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header23.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header24.xml" ContentType="application/vnd.openxmlformats-officedocument.wordprocessingml.header+xml"/>
  <Override PartName="/word/footer106.xml" ContentType="application/vnd.openxmlformats-officedocument.wordprocessingml.footer+xml"/>
  <Override PartName="/word/header25.xml" ContentType="application/vnd.openxmlformats-officedocument.wordprocessingml.header+xml"/>
  <Override PartName="/word/footer107.xml" ContentType="application/vnd.openxmlformats-officedocument.wordprocessingml.footer+xml"/>
  <Override PartName="/word/header26.xml" ContentType="application/vnd.openxmlformats-officedocument.wordprocessingml.header+xml"/>
  <Override PartName="/word/footer108.xml" ContentType="application/vnd.openxmlformats-officedocument.wordprocessingml.footer+xml"/>
  <Override PartName="/word/header27.xml" ContentType="application/vnd.openxmlformats-officedocument.wordprocessingml.header+xml"/>
  <Override PartName="/word/footer109.xml" ContentType="application/vnd.openxmlformats-officedocument.wordprocessingml.footer+xml"/>
  <Override PartName="/word/header28.xml" ContentType="application/vnd.openxmlformats-officedocument.wordprocessingml.header+xml"/>
  <Override PartName="/word/footer1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27BD5" w14:textId="6B356DA5" w:rsidR="006B3AF4" w:rsidRDefault="006B3AF4" w:rsidP="000E5941">
      <w:pPr>
        <w:spacing w:after="0" w:line="240" w:lineRule="auto"/>
        <w:rPr>
          <w:rFonts w:eastAsia="Times New Roman" w:cs="Arial"/>
          <w:b/>
          <w:sz w:val="32"/>
          <w:szCs w:val="32"/>
        </w:rPr>
      </w:pPr>
      <w:bookmarkStart w:id="0" w:name="_GoBack"/>
      <w:bookmarkEnd w:id="0"/>
    </w:p>
    <w:p w14:paraId="7BF3BD01" w14:textId="77777777" w:rsidR="000B7984" w:rsidRDefault="000B7984" w:rsidP="000E5941">
      <w:pPr>
        <w:spacing w:after="0" w:line="240" w:lineRule="auto"/>
        <w:rPr>
          <w:rFonts w:eastAsia="Times New Roman" w:cs="Arial"/>
          <w:b/>
          <w:sz w:val="32"/>
          <w:szCs w:val="32"/>
        </w:rPr>
      </w:pPr>
    </w:p>
    <w:p w14:paraId="35F55F3D" w14:textId="77777777" w:rsidR="004D4B9D" w:rsidRPr="00CA37C8" w:rsidRDefault="002264EB" w:rsidP="002445F5">
      <w:pPr>
        <w:spacing w:after="0" w:line="240" w:lineRule="auto"/>
        <w:jc w:val="center"/>
        <w:rPr>
          <w:rFonts w:eastAsia="Times New Roman" w:cs="Arial"/>
          <w:b/>
          <w:sz w:val="32"/>
          <w:szCs w:val="32"/>
        </w:rPr>
      </w:pPr>
      <w:r>
        <w:rPr>
          <w:rFonts w:eastAsia="Times New Roman" w:cs="Arial"/>
          <w:b/>
          <w:sz w:val="32"/>
          <w:szCs w:val="32"/>
        </w:rPr>
        <w:t xml:space="preserve"> </w:t>
      </w:r>
    </w:p>
    <w:p w14:paraId="21537E3B" w14:textId="77777777" w:rsidR="004D4B9D" w:rsidRPr="00CA37C8" w:rsidRDefault="004D4B9D" w:rsidP="002445F5">
      <w:pPr>
        <w:spacing w:after="0" w:line="240" w:lineRule="auto"/>
        <w:jc w:val="center"/>
        <w:rPr>
          <w:rFonts w:eastAsia="Times New Roman" w:cs="Arial"/>
          <w:b/>
          <w:sz w:val="32"/>
          <w:szCs w:val="32"/>
        </w:rPr>
      </w:pPr>
    </w:p>
    <w:p w14:paraId="1B1E5376" w14:textId="77777777" w:rsidR="004D4B9D" w:rsidRPr="00CA37C8" w:rsidRDefault="004D4B9D" w:rsidP="002445F5">
      <w:pPr>
        <w:spacing w:after="0" w:line="240" w:lineRule="auto"/>
        <w:jc w:val="center"/>
        <w:rPr>
          <w:rFonts w:eastAsia="Times New Roman" w:cs="Arial"/>
          <w:b/>
          <w:sz w:val="32"/>
          <w:szCs w:val="32"/>
        </w:rPr>
      </w:pPr>
    </w:p>
    <w:p w14:paraId="757487EB" w14:textId="77777777" w:rsidR="004D4B9D" w:rsidRPr="00CA37C8" w:rsidRDefault="004D4B9D" w:rsidP="002445F5">
      <w:pPr>
        <w:spacing w:after="0" w:line="240" w:lineRule="auto"/>
        <w:jc w:val="center"/>
        <w:rPr>
          <w:rFonts w:eastAsia="Times New Roman" w:cs="Arial"/>
          <w:b/>
          <w:sz w:val="32"/>
          <w:szCs w:val="32"/>
        </w:rPr>
      </w:pPr>
    </w:p>
    <w:p w14:paraId="128F291A" w14:textId="77777777" w:rsidR="004D4B9D" w:rsidRPr="00CA37C8" w:rsidRDefault="004D4B9D" w:rsidP="002445F5">
      <w:pPr>
        <w:spacing w:after="0" w:line="240" w:lineRule="auto"/>
        <w:jc w:val="center"/>
        <w:rPr>
          <w:rFonts w:eastAsia="Times New Roman" w:cs="Arial"/>
          <w:b/>
          <w:sz w:val="32"/>
          <w:szCs w:val="32"/>
        </w:rPr>
      </w:pPr>
    </w:p>
    <w:p w14:paraId="19287F1F" w14:textId="77777777" w:rsidR="004D4B9D" w:rsidRPr="00CA37C8" w:rsidRDefault="004D4B9D" w:rsidP="002445F5">
      <w:pPr>
        <w:spacing w:after="0" w:line="240" w:lineRule="auto"/>
        <w:jc w:val="center"/>
        <w:rPr>
          <w:rFonts w:eastAsia="Times New Roman" w:cs="Arial"/>
          <w:b/>
          <w:sz w:val="32"/>
          <w:szCs w:val="32"/>
        </w:rPr>
      </w:pPr>
    </w:p>
    <w:p w14:paraId="41A19656" w14:textId="77777777" w:rsidR="004D4B9D" w:rsidRPr="00CA37C8" w:rsidRDefault="004D4B9D" w:rsidP="002445F5">
      <w:pPr>
        <w:spacing w:after="0" w:line="240" w:lineRule="auto"/>
        <w:jc w:val="center"/>
        <w:rPr>
          <w:rFonts w:eastAsia="Times New Roman" w:cs="Arial"/>
          <w:b/>
          <w:sz w:val="32"/>
          <w:szCs w:val="32"/>
        </w:rPr>
      </w:pPr>
    </w:p>
    <w:p w14:paraId="6F11456B" w14:textId="77777777" w:rsidR="004D4B9D" w:rsidRPr="00CA37C8" w:rsidRDefault="004D4B9D" w:rsidP="002445F5">
      <w:pPr>
        <w:spacing w:after="0" w:line="240" w:lineRule="auto"/>
        <w:jc w:val="center"/>
        <w:rPr>
          <w:rFonts w:eastAsia="Times New Roman" w:cs="Arial"/>
          <w:b/>
          <w:sz w:val="32"/>
          <w:szCs w:val="32"/>
        </w:rPr>
      </w:pPr>
    </w:p>
    <w:p w14:paraId="04A11475" w14:textId="77777777" w:rsidR="004D4B9D" w:rsidRPr="00CA37C8" w:rsidRDefault="004D4B9D" w:rsidP="002445F5">
      <w:pPr>
        <w:spacing w:after="0" w:line="240" w:lineRule="auto"/>
        <w:jc w:val="center"/>
        <w:rPr>
          <w:rFonts w:eastAsia="Times New Roman" w:cs="Arial"/>
          <w:b/>
          <w:sz w:val="32"/>
          <w:szCs w:val="32"/>
        </w:rPr>
      </w:pPr>
    </w:p>
    <w:p w14:paraId="329A8646" w14:textId="77777777" w:rsidR="004D4B9D" w:rsidRPr="00CA37C8" w:rsidRDefault="004D4B9D" w:rsidP="002445F5">
      <w:pPr>
        <w:spacing w:after="0" w:line="240" w:lineRule="auto"/>
        <w:jc w:val="center"/>
        <w:rPr>
          <w:rFonts w:eastAsia="Times New Roman" w:cs="Arial"/>
          <w:b/>
          <w:sz w:val="32"/>
          <w:szCs w:val="32"/>
        </w:rPr>
      </w:pPr>
    </w:p>
    <w:p w14:paraId="6D1E06FD" w14:textId="77777777" w:rsidR="004D4B9D" w:rsidRPr="00CA37C8" w:rsidRDefault="004D4B9D" w:rsidP="002445F5">
      <w:pPr>
        <w:spacing w:after="0" w:line="240" w:lineRule="auto"/>
        <w:jc w:val="center"/>
        <w:rPr>
          <w:rFonts w:eastAsia="Times New Roman" w:cs="Arial"/>
          <w:b/>
          <w:sz w:val="32"/>
          <w:szCs w:val="32"/>
        </w:rPr>
      </w:pPr>
    </w:p>
    <w:p w14:paraId="33FF16C4" w14:textId="77777777" w:rsidR="00BF3DE3" w:rsidRDefault="00BF3DE3" w:rsidP="00BF3DE3">
      <w:pPr>
        <w:spacing w:after="0" w:line="240" w:lineRule="auto"/>
        <w:ind w:right="284"/>
        <w:rPr>
          <w:rFonts w:eastAsia="Times New Roman" w:cs="Arial"/>
          <w:b/>
          <w:sz w:val="32"/>
          <w:szCs w:val="32"/>
        </w:rPr>
      </w:pPr>
      <w:r>
        <w:rPr>
          <w:rFonts w:eastAsia="Times New Roman" w:cs="Arial"/>
          <w:b/>
          <w:sz w:val="32"/>
          <w:szCs w:val="32"/>
        </w:rPr>
        <w:t>HRVATSKA BANKA ZA OBNOVU I RAZVITAK</w:t>
      </w:r>
    </w:p>
    <w:p w14:paraId="5C19249C" w14:textId="77777777" w:rsidR="00BF3DE3" w:rsidRDefault="00BF3DE3" w:rsidP="00BF3DE3">
      <w:pPr>
        <w:spacing w:after="0" w:line="240" w:lineRule="auto"/>
        <w:ind w:right="284"/>
        <w:rPr>
          <w:rFonts w:eastAsia="Times New Roman" w:cs="Arial"/>
          <w:b/>
          <w:sz w:val="32"/>
          <w:szCs w:val="32"/>
        </w:rPr>
      </w:pPr>
    </w:p>
    <w:p w14:paraId="4B9E527B" w14:textId="47BAF90F" w:rsidR="00BF3DE3" w:rsidRDefault="0035002F" w:rsidP="00BF3DE3">
      <w:pPr>
        <w:spacing w:after="0" w:line="240" w:lineRule="auto"/>
        <w:ind w:right="284"/>
        <w:rPr>
          <w:rFonts w:eastAsia="Times New Roman" w:cs="Arial"/>
          <w:b/>
          <w:sz w:val="32"/>
          <w:szCs w:val="32"/>
        </w:rPr>
      </w:pPr>
      <w:r>
        <w:rPr>
          <w:rFonts w:eastAsia="Times New Roman" w:cs="Arial"/>
          <w:b/>
          <w:sz w:val="32"/>
          <w:szCs w:val="32"/>
        </w:rPr>
        <w:t>S</w:t>
      </w:r>
      <w:r w:rsidR="00BF3DE3" w:rsidRPr="00D01551">
        <w:rPr>
          <w:rFonts w:eastAsia="Times New Roman" w:cs="Arial"/>
          <w:b/>
          <w:sz w:val="32"/>
          <w:szCs w:val="32"/>
        </w:rPr>
        <w:t xml:space="preserve">kraćeni </w:t>
      </w:r>
      <w:r w:rsidR="00855615" w:rsidRPr="00D01551">
        <w:rPr>
          <w:rFonts w:eastAsia="Times New Roman" w:cs="Arial"/>
          <w:b/>
          <w:sz w:val="32"/>
          <w:szCs w:val="32"/>
        </w:rPr>
        <w:t>konsolidirani</w:t>
      </w:r>
      <w:r w:rsidR="00855615">
        <w:rPr>
          <w:rFonts w:eastAsia="Times New Roman" w:cs="Arial"/>
          <w:b/>
          <w:sz w:val="32"/>
          <w:szCs w:val="32"/>
        </w:rPr>
        <w:t xml:space="preserve"> </w:t>
      </w:r>
      <w:r w:rsidR="00BF3DE3">
        <w:rPr>
          <w:rFonts w:eastAsia="Times New Roman" w:cs="Arial"/>
          <w:b/>
          <w:sz w:val="32"/>
          <w:szCs w:val="32"/>
        </w:rPr>
        <w:t xml:space="preserve">financijski izvještaji za razdoblje </w:t>
      </w:r>
    </w:p>
    <w:p w14:paraId="13CF2269" w14:textId="7DCC74F1" w:rsidR="00BF3DE3" w:rsidRDefault="00BF3DE3" w:rsidP="00BF3DE3">
      <w:pPr>
        <w:spacing w:after="0" w:line="240" w:lineRule="auto"/>
        <w:ind w:right="284"/>
        <w:rPr>
          <w:rFonts w:eastAsia="Times New Roman" w:cs="Arial"/>
          <w:b/>
          <w:sz w:val="32"/>
          <w:szCs w:val="32"/>
        </w:rPr>
      </w:pPr>
      <w:r>
        <w:rPr>
          <w:rFonts w:eastAsia="Times New Roman" w:cs="Arial"/>
          <w:b/>
          <w:sz w:val="32"/>
          <w:szCs w:val="32"/>
        </w:rPr>
        <w:t xml:space="preserve">od 1.1. do </w:t>
      </w:r>
      <w:r w:rsidR="00452E72">
        <w:rPr>
          <w:rFonts w:eastAsia="Times New Roman" w:cs="Arial"/>
          <w:b/>
          <w:sz w:val="32"/>
          <w:szCs w:val="32"/>
        </w:rPr>
        <w:t>30</w:t>
      </w:r>
      <w:r w:rsidR="007C409B">
        <w:rPr>
          <w:rFonts w:eastAsia="Times New Roman" w:cs="Arial"/>
          <w:b/>
          <w:sz w:val="32"/>
          <w:szCs w:val="32"/>
        </w:rPr>
        <w:t>.</w:t>
      </w:r>
      <w:r w:rsidR="00452E72">
        <w:rPr>
          <w:rFonts w:eastAsia="Times New Roman" w:cs="Arial"/>
          <w:b/>
          <w:sz w:val="32"/>
          <w:szCs w:val="32"/>
        </w:rPr>
        <w:t>6</w:t>
      </w:r>
      <w:r>
        <w:rPr>
          <w:rFonts w:eastAsia="Times New Roman" w:cs="Arial"/>
          <w:b/>
          <w:sz w:val="32"/>
          <w:szCs w:val="32"/>
        </w:rPr>
        <w:t>.201</w:t>
      </w:r>
      <w:r w:rsidR="007C409B">
        <w:rPr>
          <w:rFonts w:eastAsia="Times New Roman" w:cs="Arial"/>
          <w:b/>
          <w:sz w:val="32"/>
          <w:szCs w:val="32"/>
        </w:rPr>
        <w:t>7</w:t>
      </w:r>
      <w:r>
        <w:rPr>
          <w:rFonts w:eastAsia="Times New Roman" w:cs="Arial"/>
          <w:b/>
          <w:sz w:val="32"/>
          <w:szCs w:val="32"/>
        </w:rPr>
        <w:t>. godine</w:t>
      </w:r>
    </w:p>
    <w:p w14:paraId="0C67D4F0" w14:textId="77777777" w:rsidR="00BF3DE3" w:rsidRDefault="00BF3DE3" w:rsidP="00BF3DE3">
      <w:pPr>
        <w:spacing w:after="0" w:line="240" w:lineRule="auto"/>
        <w:ind w:right="284"/>
        <w:rPr>
          <w:rFonts w:eastAsia="Times New Roman" w:cs="Arial"/>
          <w:b/>
          <w:sz w:val="32"/>
          <w:szCs w:val="32"/>
        </w:rPr>
      </w:pPr>
    </w:p>
    <w:p w14:paraId="0660B6E9" w14:textId="77777777" w:rsidR="004933DC" w:rsidRPr="00CA37C8" w:rsidRDefault="004933DC" w:rsidP="00C4266C">
      <w:pPr>
        <w:spacing w:after="0" w:line="240" w:lineRule="auto"/>
      </w:pPr>
    </w:p>
    <w:p w14:paraId="4755B334" w14:textId="77777777" w:rsidR="004D4B9D" w:rsidRPr="00CA37C8" w:rsidRDefault="004D4B9D" w:rsidP="00C4266C">
      <w:pPr>
        <w:spacing w:after="0" w:line="240" w:lineRule="auto"/>
      </w:pPr>
    </w:p>
    <w:p w14:paraId="3DC8B253" w14:textId="77777777" w:rsidR="004D4B9D" w:rsidRPr="00CA37C8" w:rsidRDefault="004D4B9D" w:rsidP="00C4266C">
      <w:pPr>
        <w:spacing w:after="0" w:line="240" w:lineRule="auto"/>
      </w:pPr>
    </w:p>
    <w:p w14:paraId="576DEB39" w14:textId="77777777" w:rsidR="004D4B9D" w:rsidRPr="00CA37C8" w:rsidRDefault="004D4B9D" w:rsidP="00C4266C">
      <w:pPr>
        <w:spacing w:after="0" w:line="240" w:lineRule="auto"/>
      </w:pPr>
    </w:p>
    <w:p w14:paraId="2EE5D814" w14:textId="77777777" w:rsidR="004D4B9D" w:rsidRPr="00CA37C8" w:rsidRDefault="004D4B9D" w:rsidP="00C4266C">
      <w:pPr>
        <w:spacing w:after="0" w:line="240" w:lineRule="auto"/>
      </w:pPr>
    </w:p>
    <w:p w14:paraId="429F4019" w14:textId="77777777" w:rsidR="004D4B9D" w:rsidRPr="00CA37C8" w:rsidRDefault="004D4B9D" w:rsidP="00C4266C">
      <w:pPr>
        <w:spacing w:after="0" w:line="240" w:lineRule="auto"/>
      </w:pPr>
    </w:p>
    <w:p w14:paraId="726AC7D6" w14:textId="77777777" w:rsidR="004D4B9D" w:rsidRPr="00CA37C8" w:rsidRDefault="004D4B9D" w:rsidP="00C4266C">
      <w:pPr>
        <w:spacing w:after="0" w:line="240" w:lineRule="auto"/>
      </w:pPr>
    </w:p>
    <w:p w14:paraId="058144E5" w14:textId="77777777" w:rsidR="004D4B9D" w:rsidRPr="00CA37C8" w:rsidRDefault="004D4B9D" w:rsidP="00C4266C">
      <w:pPr>
        <w:spacing w:after="0" w:line="240" w:lineRule="auto"/>
      </w:pPr>
    </w:p>
    <w:p w14:paraId="4B3CCB40" w14:textId="77777777" w:rsidR="004D4B9D" w:rsidRPr="00CA37C8" w:rsidRDefault="004D4B9D" w:rsidP="00C4266C">
      <w:pPr>
        <w:spacing w:after="0" w:line="240" w:lineRule="auto"/>
      </w:pPr>
    </w:p>
    <w:p w14:paraId="764E29B8" w14:textId="77777777" w:rsidR="004D4B9D" w:rsidRDefault="004D4B9D" w:rsidP="00C4266C">
      <w:pPr>
        <w:spacing w:after="0" w:line="240" w:lineRule="auto"/>
      </w:pPr>
    </w:p>
    <w:p w14:paraId="2FA35F05" w14:textId="77777777" w:rsidR="005131C0" w:rsidRDefault="005131C0" w:rsidP="00C4266C">
      <w:pPr>
        <w:spacing w:after="0" w:line="240" w:lineRule="auto"/>
      </w:pPr>
    </w:p>
    <w:p w14:paraId="2981214D" w14:textId="77777777" w:rsidR="005131C0" w:rsidRDefault="005131C0" w:rsidP="00C4266C">
      <w:pPr>
        <w:spacing w:after="0" w:line="240" w:lineRule="auto"/>
      </w:pPr>
    </w:p>
    <w:p w14:paraId="59E762AF" w14:textId="77777777" w:rsidR="005131C0" w:rsidRDefault="005131C0" w:rsidP="00C4266C">
      <w:pPr>
        <w:spacing w:after="0" w:line="240" w:lineRule="auto"/>
      </w:pPr>
    </w:p>
    <w:p w14:paraId="1CC1BA01" w14:textId="77777777" w:rsidR="005131C0" w:rsidRDefault="005131C0" w:rsidP="00C4266C">
      <w:pPr>
        <w:spacing w:after="0" w:line="240" w:lineRule="auto"/>
      </w:pPr>
    </w:p>
    <w:p w14:paraId="4F097774" w14:textId="77777777" w:rsidR="005131C0" w:rsidRDefault="005131C0" w:rsidP="00C4266C">
      <w:pPr>
        <w:spacing w:after="0" w:line="240" w:lineRule="auto"/>
      </w:pPr>
    </w:p>
    <w:p w14:paraId="393874BC" w14:textId="77777777" w:rsidR="005131C0" w:rsidRDefault="005131C0" w:rsidP="00C4266C">
      <w:pPr>
        <w:spacing w:after="0" w:line="240" w:lineRule="auto"/>
      </w:pPr>
    </w:p>
    <w:p w14:paraId="45E310BC" w14:textId="77777777" w:rsidR="005131C0" w:rsidRDefault="005131C0" w:rsidP="00C4266C">
      <w:pPr>
        <w:spacing w:after="0" w:line="240" w:lineRule="auto"/>
      </w:pPr>
    </w:p>
    <w:p w14:paraId="3305DE3B" w14:textId="77777777" w:rsidR="005131C0" w:rsidRDefault="005131C0" w:rsidP="00C4266C">
      <w:pPr>
        <w:spacing w:after="0" w:line="240" w:lineRule="auto"/>
      </w:pPr>
    </w:p>
    <w:p w14:paraId="032B406C" w14:textId="77777777" w:rsidR="00BF3DE3" w:rsidRDefault="00BF3DE3" w:rsidP="00C4266C">
      <w:pPr>
        <w:spacing w:after="0" w:line="240" w:lineRule="auto"/>
      </w:pPr>
    </w:p>
    <w:p w14:paraId="2D53318C" w14:textId="77777777" w:rsidR="00BF3DE3" w:rsidRDefault="00BF3DE3" w:rsidP="00C4266C">
      <w:pPr>
        <w:spacing w:after="0" w:line="240" w:lineRule="auto"/>
      </w:pPr>
    </w:p>
    <w:p w14:paraId="6BA0982F" w14:textId="77777777" w:rsidR="005131C0" w:rsidRPr="00CA37C8" w:rsidRDefault="005131C0" w:rsidP="00C4266C">
      <w:pPr>
        <w:spacing w:after="0" w:line="240" w:lineRule="auto"/>
      </w:pPr>
    </w:p>
    <w:p w14:paraId="0AFB2921" w14:textId="77777777" w:rsidR="004D4B9D" w:rsidRPr="00CA37C8" w:rsidRDefault="004D4B9D" w:rsidP="00C4266C">
      <w:pPr>
        <w:spacing w:after="0" w:line="240" w:lineRule="auto"/>
      </w:pPr>
    </w:p>
    <w:p w14:paraId="606599BF" w14:textId="77777777" w:rsidR="004D4B9D" w:rsidRPr="00CA37C8" w:rsidRDefault="004D4B9D" w:rsidP="00C4266C">
      <w:pPr>
        <w:spacing w:after="0" w:line="240" w:lineRule="auto"/>
      </w:pPr>
    </w:p>
    <w:p w14:paraId="34C82E85" w14:textId="06BA1AA0" w:rsidR="00523B8B" w:rsidRPr="00AC7E63" w:rsidRDefault="009B6196" w:rsidP="009B6196">
      <w:pPr>
        <w:spacing w:after="0" w:line="240" w:lineRule="auto"/>
        <w:rPr>
          <w:rFonts w:cs="Arial"/>
        </w:rPr>
      </w:pPr>
      <w:r>
        <w:rPr>
          <w:rFonts w:cs="Arial"/>
        </w:rPr>
        <w:t xml:space="preserve">                                                            </w:t>
      </w:r>
      <w:r w:rsidR="004D4B9D" w:rsidRPr="00AC7E63">
        <w:rPr>
          <w:rFonts w:cs="Arial"/>
        </w:rPr>
        <w:t xml:space="preserve">Zagreb, </w:t>
      </w:r>
      <w:r w:rsidR="00452E72">
        <w:rPr>
          <w:rFonts w:cs="Arial"/>
        </w:rPr>
        <w:t xml:space="preserve">kolovoz </w:t>
      </w:r>
      <w:r w:rsidR="004D4B9D" w:rsidRPr="00AC7E63">
        <w:rPr>
          <w:rFonts w:cs="Arial"/>
        </w:rPr>
        <w:t>201</w:t>
      </w:r>
      <w:r w:rsidR="007C409B">
        <w:rPr>
          <w:rFonts w:cs="Arial"/>
        </w:rPr>
        <w:t>7</w:t>
      </w:r>
      <w:r w:rsidR="004D4B9D" w:rsidRPr="00AC7E63">
        <w:rPr>
          <w:rFonts w:cs="Arial"/>
        </w:rPr>
        <w:t>. godine</w:t>
      </w:r>
    </w:p>
    <w:p w14:paraId="7EAD8100" w14:textId="77777777" w:rsidR="00143FF9" w:rsidRPr="00AC7E63" w:rsidRDefault="00143FF9" w:rsidP="00C4266C">
      <w:pPr>
        <w:spacing w:after="0" w:line="240" w:lineRule="auto"/>
        <w:ind w:left="2832" w:firstLine="708"/>
        <w:rPr>
          <w:rFonts w:cs="Arial"/>
        </w:rPr>
        <w:sectPr w:rsidR="00143FF9" w:rsidRPr="00AC7E63" w:rsidSect="00305343">
          <w:headerReference w:type="default" r:id="rId8"/>
          <w:footerReference w:type="default" r:id="rId9"/>
          <w:footerReference w:type="first" r:id="rId10"/>
          <w:pgSz w:w="11906" w:h="16838" w:code="9"/>
          <w:pgMar w:top="1417" w:right="1133" w:bottom="1417" w:left="1417" w:header="709" w:footer="709" w:gutter="0"/>
          <w:pgNumType w:chapStyle="3"/>
          <w:cols w:space="708"/>
          <w:titlePg/>
          <w:docGrid w:linePitch="360"/>
        </w:sectPr>
      </w:pPr>
    </w:p>
    <w:p w14:paraId="613AD149" w14:textId="77777777" w:rsidR="004D4B9D" w:rsidRPr="00CA37C8" w:rsidRDefault="004D4B9D" w:rsidP="00C4266C">
      <w:pPr>
        <w:spacing w:after="0" w:line="240" w:lineRule="auto"/>
        <w:ind w:left="2832" w:firstLine="708"/>
        <w:rPr>
          <w:rFonts w:cs="Arial"/>
          <w:sz w:val="19"/>
        </w:rPr>
      </w:pPr>
    </w:p>
    <w:p w14:paraId="287BDA21" w14:textId="77777777" w:rsidR="004D4B9D" w:rsidRPr="00CA37C8" w:rsidRDefault="004D4B9D" w:rsidP="00C4266C">
      <w:pPr>
        <w:spacing w:after="0" w:line="240" w:lineRule="auto"/>
      </w:pPr>
    </w:p>
    <w:tbl>
      <w:tblPr>
        <w:tblW w:w="0" w:type="auto"/>
        <w:tblInd w:w="-132" w:type="dxa"/>
        <w:tblLook w:val="01E0" w:firstRow="1" w:lastRow="1" w:firstColumn="1" w:lastColumn="1" w:noHBand="0" w:noVBand="0"/>
      </w:tblPr>
      <w:tblGrid>
        <w:gridCol w:w="8429"/>
        <w:gridCol w:w="1059"/>
      </w:tblGrid>
      <w:tr w:rsidR="00BF3DE3" w:rsidRPr="00651238" w14:paraId="32FD0E7B" w14:textId="77777777" w:rsidTr="00BF3DE3">
        <w:tc>
          <w:tcPr>
            <w:tcW w:w="8640" w:type="dxa"/>
            <w:vAlign w:val="bottom"/>
          </w:tcPr>
          <w:p w14:paraId="326BDA16" w14:textId="77777777" w:rsidR="00BF3DE3" w:rsidRPr="00651238" w:rsidRDefault="00BF3DE3" w:rsidP="00252DF3">
            <w:pPr>
              <w:spacing w:after="0" w:line="280" w:lineRule="exact"/>
              <w:rPr>
                <w:rFonts w:eastAsia="Times New Roman" w:cs="Arial"/>
              </w:rPr>
            </w:pPr>
          </w:p>
        </w:tc>
        <w:tc>
          <w:tcPr>
            <w:tcW w:w="1063" w:type="dxa"/>
            <w:vAlign w:val="bottom"/>
          </w:tcPr>
          <w:p w14:paraId="6E9A5D60" w14:textId="77777777" w:rsidR="00BF3DE3" w:rsidRPr="00651238" w:rsidRDefault="00BF3DE3" w:rsidP="00252DF3">
            <w:pPr>
              <w:spacing w:after="0" w:line="280" w:lineRule="exact"/>
              <w:jc w:val="right"/>
              <w:rPr>
                <w:rFonts w:eastAsia="Times New Roman" w:cs="Arial"/>
              </w:rPr>
            </w:pPr>
            <w:r w:rsidRPr="00651238">
              <w:rPr>
                <w:rFonts w:eastAsia="Times New Roman" w:cs="Arial"/>
              </w:rPr>
              <w:t>Stranica</w:t>
            </w:r>
          </w:p>
        </w:tc>
      </w:tr>
      <w:tr w:rsidR="00BF3DE3" w:rsidRPr="00651238" w14:paraId="4D4AF7E6" w14:textId="77777777" w:rsidTr="00BF3DE3">
        <w:tc>
          <w:tcPr>
            <w:tcW w:w="8640" w:type="dxa"/>
            <w:vAlign w:val="bottom"/>
          </w:tcPr>
          <w:p w14:paraId="31216006" w14:textId="77777777" w:rsidR="00BF3DE3" w:rsidRPr="00651238" w:rsidRDefault="00BF3DE3" w:rsidP="00252DF3">
            <w:pPr>
              <w:spacing w:after="0" w:line="280" w:lineRule="exact"/>
              <w:rPr>
                <w:rFonts w:eastAsia="Times New Roman" w:cs="Arial"/>
              </w:rPr>
            </w:pPr>
          </w:p>
        </w:tc>
        <w:tc>
          <w:tcPr>
            <w:tcW w:w="1063" w:type="dxa"/>
            <w:vAlign w:val="bottom"/>
          </w:tcPr>
          <w:p w14:paraId="686D89C3" w14:textId="77777777" w:rsidR="00BF3DE3" w:rsidRPr="00651238" w:rsidRDefault="00BF3DE3" w:rsidP="00252DF3">
            <w:pPr>
              <w:spacing w:after="0" w:line="280" w:lineRule="exact"/>
              <w:jc w:val="right"/>
              <w:rPr>
                <w:rFonts w:eastAsia="Times New Roman" w:cs="Arial"/>
              </w:rPr>
            </w:pPr>
          </w:p>
        </w:tc>
      </w:tr>
      <w:tr w:rsidR="00BF3DE3" w:rsidRPr="00651238" w14:paraId="47BC1930" w14:textId="77777777" w:rsidTr="00BF3DE3">
        <w:tc>
          <w:tcPr>
            <w:tcW w:w="8640" w:type="dxa"/>
            <w:vAlign w:val="bottom"/>
          </w:tcPr>
          <w:p w14:paraId="50150846" w14:textId="77777777" w:rsidR="00BF3DE3" w:rsidRPr="00651238" w:rsidRDefault="0043561E" w:rsidP="00E95A8D">
            <w:pPr>
              <w:spacing w:after="0" w:line="280" w:lineRule="exact"/>
              <w:rPr>
                <w:rFonts w:eastAsia="Times New Roman" w:cs="Arial"/>
              </w:rPr>
            </w:pPr>
            <w:r w:rsidRPr="00651238">
              <w:rPr>
                <w:rFonts w:eastAsia="Times New Roman" w:cs="Arial"/>
              </w:rPr>
              <w:t xml:space="preserve">Izjava osoba odgovornih za </w:t>
            </w:r>
            <w:r w:rsidR="00E95A8D">
              <w:rPr>
                <w:rFonts w:eastAsia="Times New Roman" w:cs="Arial"/>
              </w:rPr>
              <w:t>s</w:t>
            </w:r>
            <w:r w:rsidRPr="00651238">
              <w:rPr>
                <w:rFonts w:eastAsia="Times New Roman" w:cs="Arial"/>
              </w:rPr>
              <w:t>kraćene konsolidirane financijske izvještaje</w:t>
            </w:r>
          </w:p>
        </w:tc>
        <w:tc>
          <w:tcPr>
            <w:tcW w:w="1063" w:type="dxa"/>
            <w:vAlign w:val="bottom"/>
          </w:tcPr>
          <w:p w14:paraId="51EB377A" w14:textId="77777777" w:rsidR="00BF3DE3" w:rsidRPr="00651238" w:rsidRDefault="00BF3DE3" w:rsidP="00252DF3">
            <w:pPr>
              <w:spacing w:after="0" w:line="280" w:lineRule="exact"/>
              <w:jc w:val="right"/>
              <w:rPr>
                <w:rFonts w:eastAsia="Times New Roman" w:cs="Arial"/>
              </w:rPr>
            </w:pPr>
            <w:r w:rsidRPr="00651238">
              <w:rPr>
                <w:rFonts w:eastAsia="Times New Roman" w:cs="Arial"/>
              </w:rPr>
              <w:t>3</w:t>
            </w:r>
          </w:p>
        </w:tc>
      </w:tr>
      <w:tr w:rsidR="00AE31A1" w:rsidRPr="00651238" w14:paraId="6728BFC2" w14:textId="77777777" w:rsidTr="00BF3DE3">
        <w:tc>
          <w:tcPr>
            <w:tcW w:w="8640" w:type="dxa"/>
            <w:vAlign w:val="bottom"/>
          </w:tcPr>
          <w:p w14:paraId="550B4E0B" w14:textId="77777777" w:rsidR="00AE31A1" w:rsidRPr="00651238" w:rsidRDefault="00AE31A1" w:rsidP="00E95A8D">
            <w:pPr>
              <w:spacing w:after="0" w:line="280" w:lineRule="exact"/>
              <w:rPr>
                <w:rFonts w:eastAsia="Times New Roman" w:cs="Arial"/>
              </w:rPr>
            </w:pPr>
          </w:p>
        </w:tc>
        <w:tc>
          <w:tcPr>
            <w:tcW w:w="1063" w:type="dxa"/>
            <w:vAlign w:val="bottom"/>
          </w:tcPr>
          <w:p w14:paraId="2DBDD889" w14:textId="77777777" w:rsidR="00AE31A1" w:rsidRPr="00651238" w:rsidRDefault="00AE31A1" w:rsidP="00252DF3">
            <w:pPr>
              <w:spacing w:after="0" w:line="280" w:lineRule="exact"/>
              <w:jc w:val="right"/>
              <w:rPr>
                <w:rFonts w:eastAsia="Times New Roman" w:cs="Arial"/>
              </w:rPr>
            </w:pPr>
          </w:p>
        </w:tc>
      </w:tr>
      <w:tr w:rsidR="00AE31A1" w:rsidRPr="00651238" w14:paraId="5033CFDB" w14:textId="77777777" w:rsidTr="00BF3DE3">
        <w:tc>
          <w:tcPr>
            <w:tcW w:w="8640" w:type="dxa"/>
            <w:vAlign w:val="bottom"/>
          </w:tcPr>
          <w:p w14:paraId="7DB745B0" w14:textId="49D8BECB" w:rsidR="00AE31A1" w:rsidRPr="00651238" w:rsidRDefault="00AE31A1" w:rsidP="00E95A8D">
            <w:pPr>
              <w:spacing w:after="0" w:line="280" w:lineRule="exact"/>
              <w:rPr>
                <w:rFonts w:eastAsia="Times New Roman" w:cs="Arial"/>
              </w:rPr>
            </w:pPr>
            <w:r>
              <w:rPr>
                <w:rFonts w:eastAsia="Times New Roman" w:cs="Arial"/>
              </w:rPr>
              <w:t>Izvješće neovisnog revizora</w:t>
            </w:r>
          </w:p>
        </w:tc>
        <w:tc>
          <w:tcPr>
            <w:tcW w:w="1063" w:type="dxa"/>
            <w:vAlign w:val="bottom"/>
          </w:tcPr>
          <w:p w14:paraId="7AF97CC0" w14:textId="1B1C5ED8" w:rsidR="00AE31A1" w:rsidRPr="00651238" w:rsidRDefault="00AE31A1" w:rsidP="00252DF3">
            <w:pPr>
              <w:spacing w:after="0" w:line="280" w:lineRule="exact"/>
              <w:jc w:val="right"/>
              <w:rPr>
                <w:rFonts w:eastAsia="Times New Roman" w:cs="Arial"/>
              </w:rPr>
            </w:pPr>
            <w:r>
              <w:rPr>
                <w:rFonts w:eastAsia="Times New Roman" w:cs="Arial"/>
              </w:rPr>
              <w:t>4</w:t>
            </w:r>
          </w:p>
        </w:tc>
      </w:tr>
      <w:tr w:rsidR="00BF3DE3" w:rsidRPr="00651238" w14:paraId="79A03AA7" w14:textId="77777777" w:rsidTr="00BF3DE3">
        <w:tc>
          <w:tcPr>
            <w:tcW w:w="8640" w:type="dxa"/>
            <w:vAlign w:val="bottom"/>
          </w:tcPr>
          <w:p w14:paraId="161F266C" w14:textId="77777777" w:rsidR="00BF3DE3" w:rsidRPr="00651238" w:rsidRDefault="00BF3DE3" w:rsidP="00252DF3">
            <w:pPr>
              <w:spacing w:after="0" w:line="280" w:lineRule="exact"/>
              <w:rPr>
                <w:rFonts w:eastAsia="Times New Roman" w:cs="Arial"/>
              </w:rPr>
            </w:pPr>
          </w:p>
        </w:tc>
        <w:tc>
          <w:tcPr>
            <w:tcW w:w="1063" w:type="dxa"/>
            <w:vAlign w:val="bottom"/>
          </w:tcPr>
          <w:p w14:paraId="4411CADC" w14:textId="77777777" w:rsidR="00BF3DE3" w:rsidRPr="00651238" w:rsidRDefault="00BF3DE3" w:rsidP="00252DF3">
            <w:pPr>
              <w:spacing w:after="0" w:line="280" w:lineRule="exact"/>
              <w:jc w:val="right"/>
              <w:rPr>
                <w:rFonts w:eastAsia="Times New Roman" w:cs="Arial"/>
              </w:rPr>
            </w:pPr>
          </w:p>
        </w:tc>
      </w:tr>
      <w:tr w:rsidR="00BF3DE3" w:rsidRPr="00651238" w14:paraId="5BEA28CE" w14:textId="77777777" w:rsidTr="00BF3DE3">
        <w:trPr>
          <w:trHeight w:val="191"/>
        </w:trPr>
        <w:tc>
          <w:tcPr>
            <w:tcW w:w="8640" w:type="dxa"/>
            <w:vAlign w:val="bottom"/>
          </w:tcPr>
          <w:p w14:paraId="12F7059E" w14:textId="77777777" w:rsidR="00BF3DE3" w:rsidRPr="00651238" w:rsidRDefault="00C80912" w:rsidP="00E95A8D">
            <w:pPr>
              <w:spacing w:after="0" w:line="280" w:lineRule="exact"/>
              <w:rPr>
                <w:rFonts w:eastAsia="Times New Roman" w:cs="Arial"/>
              </w:rPr>
            </w:pPr>
            <w:r>
              <w:rPr>
                <w:rFonts w:eastAsia="Times New Roman" w:cs="Arial"/>
              </w:rPr>
              <w:t xml:space="preserve">Nerevidirani </w:t>
            </w:r>
            <w:r w:rsidR="00E95A8D">
              <w:rPr>
                <w:rFonts w:eastAsia="Times New Roman" w:cs="Arial"/>
              </w:rPr>
              <w:t>s</w:t>
            </w:r>
            <w:r w:rsidR="0043561E" w:rsidRPr="00651238">
              <w:rPr>
                <w:rFonts w:eastAsia="Times New Roman" w:cs="Arial"/>
              </w:rPr>
              <w:t>kraćeni konsolidirani f</w:t>
            </w:r>
            <w:r w:rsidR="00BF3DE3" w:rsidRPr="00651238">
              <w:rPr>
                <w:rFonts w:eastAsia="Times New Roman" w:cs="Arial"/>
              </w:rPr>
              <w:t>inancijski izvještaji Grupe:</w:t>
            </w:r>
          </w:p>
        </w:tc>
        <w:tc>
          <w:tcPr>
            <w:tcW w:w="1063" w:type="dxa"/>
            <w:vAlign w:val="bottom"/>
          </w:tcPr>
          <w:p w14:paraId="299F3612" w14:textId="7A8F5E78" w:rsidR="00BF3DE3" w:rsidRPr="00651238" w:rsidRDefault="00FC32F6" w:rsidP="00252DF3">
            <w:pPr>
              <w:spacing w:after="0" w:line="280" w:lineRule="exact"/>
              <w:jc w:val="right"/>
              <w:rPr>
                <w:rFonts w:eastAsia="Times New Roman" w:cs="Arial"/>
              </w:rPr>
            </w:pPr>
            <w:r>
              <w:rPr>
                <w:rFonts w:eastAsia="Times New Roman" w:cs="Arial"/>
              </w:rPr>
              <w:t>9</w:t>
            </w:r>
          </w:p>
        </w:tc>
      </w:tr>
      <w:tr w:rsidR="00BF3DE3" w:rsidRPr="00651238" w14:paraId="6AFC4423" w14:textId="77777777" w:rsidTr="00BF3DE3">
        <w:tc>
          <w:tcPr>
            <w:tcW w:w="8640" w:type="dxa"/>
            <w:vAlign w:val="bottom"/>
          </w:tcPr>
          <w:p w14:paraId="412C3FA0" w14:textId="77777777" w:rsidR="00882293" w:rsidRPr="00651238" w:rsidRDefault="00882293" w:rsidP="00252DF3">
            <w:pPr>
              <w:spacing w:after="0" w:line="280" w:lineRule="exact"/>
              <w:rPr>
                <w:rFonts w:eastAsia="Times New Roman" w:cs="Arial"/>
              </w:rPr>
            </w:pPr>
          </w:p>
          <w:p w14:paraId="5991C054" w14:textId="77777777" w:rsidR="00BF3DE3" w:rsidRPr="00651238" w:rsidRDefault="00BF3DE3" w:rsidP="00252DF3">
            <w:pPr>
              <w:spacing w:after="0" w:line="280" w:lineRule="exact"/>
              <w:rPr>
                <w:rFonts w:eastAsia="Times New Roman" w:cs="Arial"/>
              </w:rPr>
            </w:pPr>
            <w:r w:rsidRPr="00651238">
              <w:rPr>
                <w:rFonts w:eastAsia="Times New Roman" w:cs="Arial"/>
              </w:rPr>
              <w:t>Izvještaj o dobiti i gubitku</w:t>
            </w:r>
          </w:p>
        </w:tc>
        <w:tc>
          <w:tcPr>
            <w:tcW w:w="1063" w:type="dxa"/>
            <w:vAlign w:val="bottom"/>
          </w:tcPr>
          <w:p w14:paraId="478C433D" w14:textId="69282743" w:rsidR="00BF3DE3" w:rsidRPr="00651238" w:rsidRDefault="00FC32F6" w:rsidP="00252DF3">
            <w:pPr>
              <w:spacing w:after="0" w:line="280" w:lineRule="exact"/>
              <w:jc w:val="right"/>
              <w:rPr>
                <w:rFonts w:eastAsia="Times New Roman" w:cs="Arial"/>
              </w:rPr>
            </w:pPr>
            <w:r>
              <w:rPr>
                <w:rFonts w:eastAsia="Times New Roman" w:cs="Arial"/>
              </w:rPr>
              <w:t>9</w:t>
            </w:r>
          </w:p>
        </w:tc>
      </w:tr>
      <w:tr w:rsidR="00BF3DE3" w:rsidRPr="00651238" w14:paraId="387346ED" w14:textId="77777777" w:rsidTr="00BF3DE3">
        <w:tc>
          <w:tcPr>
            <w:tcW w:w="8640" w:type="dxa"/>
            <w:vAlign w:val="bottom"/>
          </w:tcPr>
          <w:p w14:paraId="6ACEEFC5" w14:textId="77777777" w:rsidR="00BF3DE3" w:rsidRPr="00651238" w:rsidRDefault="00BF3DE3" w:rsidP="00252DF3">
            <w:pPr>
              <w:spacing w:after="0" w:line="280" w:lineRule="exact"/>
              <w:rPr>
                <w:rFonts w:eastAsia="Times New Roman" w:cs="Arial"/>
              </w:rPr>
            </w:pPr>
          </w:p>
        </w:tc>
        <w:tc>
          <w:tcPr>
            <w:tcW w:w="1063" w:type="dxa"/>
            <w:vAlign w:val="bottom"/>
          </w:tcPr>
          <w:p w14:paraId="1FD1388D" w14:textId="77777777" w:rsidR="00BF3DE3" w:rsidRPr="00651238" w:rsidRDefault="00BF3DE3" w:rsidP="00252DF3">
            <w:pPr>
              <w:spacing w:after="0" w:line="280" w:lineRule="exact"/>
              <w:jc w:val="right"/>
              <w:rPr>
                <w:rFonts w:eastAsia="Times New Roman" w:cs="Arial"/>
              </w:rPr>
            </w:pPr>
          </w:p>
        </w:tc>
      </w:tr>
      <w:tr w:rsidR="00BF3DE3" w:rsidRPr="00651238" w14:paraId="29379A11" w14:textId="77777777" w:rsidTr="00BF3DE3">
        <w:tc>
          <w:tcPr>
            <w:tcW w:w="8640" w:type="dxa"/>
            <w:vAlign w:val="bottom"/>
          </w:tcPr>
          <w:p w14:paraId="3974B370" w14:textId="77777777" w:rsidR="00BF3DE3" w:rsidRPr="00651238" w:rsidRDefault="00BF3DE3" w:rsidP="00252DF3">
            <w:pPr>
              <w:spacing w:after="0" w:line="280" w:lineRule="exact"/>
              <w:rPr>
                <w:rFonts w:eastAsia="Times New Roman" w:cs="Arial"/>
              </w:rPr>
            </w:pPr>
            <w:r w:rsidRPr="00651238">
              <w:rPr>
                <w:rFonts w:eastAsia="Times New Roman" w:cs="Arial"/>
              </w:rPr>
              <w:t>Izvještaj o dobiti i gubitku te ostaloj sveobuhvatnoj dobiti</w:t>
            </w:r>
          </w:p>
        </w:tc>
        <w:tc>
          <w:tcPr>
            <w:tcW w:w="1063" w:type="dxa"/>
            <w:vAlign w:val="bottom"/>
          </w:tcPr>
          <w:p w14:paraId="4D149226" w14:textId="44773757" w:rsidR="00BF3DE3" w:rsidRPr="00651238" w:rsidRDefault="00FC32F6" w:rsidP="00252DF3">
            <w:pPr>
              <w:spacing w:after="0" w:line="280" w:lineRule="exact"/>
              <w:jc w:val="right"/>
              <w:rPr>
                <w:rFonts w:eastAsia="Times New Roman" w:cs="Arial"/>
              </w:rPr>
            </w:pPr>
            <w:r>
              <w:rPr>
                <w:rFonts w:eastAsia="Times New Roman" w:cs="Arial"/>
              </w:rPr>
              <w:t>10</w:t>
            </w:r>
          </w:p>
        </w:tc>
      </w:tr>
      <w:tr w:rsidR="00BF3DE3" w:rsidRPr="00651238" w14:paraId="66C18BC9" w14:textId="77777777" w:rsidTr="00BF3DE3">
        <w:tc>
          <w:tcPr>
            <w:tcW w:w="8640" w:type="dxa"/>
            <w:vAlign w:val="bottom"/>
          </w:tcPr>
          <w:p w14:paraId="551E44FB" w14:textId="77777777" w:rsidR="00BF3DE3" w:rsidRPr="00651238" w:rsidRDefault="00BF3DE3" w:rsidP="00252DF3">
            <w:pPr>
              <w:spacing w:after="0" w:line="280" w:lineRule="exact"/>
              <w:rPr>
                <w:rFonts w:eastAsia="Times New Roman" w:cs="Arial"/>
              </w:rPr>
            </w:pPr>
          </w:p>
        </w:tc>
        <w:tc>
          <w:tcPr>
            <w:tcW w:w="1063" w:type="dxa"/>
            <w:vAlign w:val="bottom"/>
          </w:tcPr>
          <w:p w14:paraId="054943FA" w14:textId="77777777" w:rsidR="00BF3DE3" w:rsidRPr="00651238" w:rsidRDefault="00BF3DE3" w:rsidP="00252DF3">
            <w:pPr>
              <w:spacing w:after="0" w:line="280" w:lineRule="exact"/>
              <w:jc w:val="right"/>
              <w:rPr>
                <w:rFonts w:eastAsia="Times New Roman" w:cs="Arial"/>
              </w:rPr>
            </w:pPr>
          </w:p>
        </w:tc>
      </w:tr>
      <w:tr w:rsidR="00BF3DE3" w:rsidRPr="00651238" w14:paraId="7457FE78" w14:textId="77777777" w:rsidTr="00BF3DE3">
        <w:tc>
          <w:tcPr>
            <w:tcW w:w="8640" w:type="dxa"/>
            <w:vAlign w:val="bottom"/>
          </w:tcPr>
          <w:p w14:paraId="2A1C802D" w14:textId="77777777" w:rsidR="00BF3DE3" w:rsidRPr="00651238" w:rsidRDefault="00BF3DE3" w:rsidP="00252DF3">
            <w:pPr>
              <w:spacing w:after="0" w:line="280" w:lineRule="exact"/>
              <w:rPr>
                <w:rFonts w:eastAsia="Times New Roman" w:cs="Arial"/>
              </w:rPr>
            </w:pPr>
            <w:r w:rsidRPr="00651238">
              <w:rPr>
                <w:rFonts w:eastAsia="Times New Roman" w:cs="Arial"/>
              </w:rPr>
              <w:t>Izvještaj o financijskom položaju</w:t>
            </w:r>
          </w:p>
        </w:tc>
        <w:tc>
          <w:tcPr>
            <w:tcW w:w="1063" w:type="dxa"/>
            <w:vAlign w:val="bottom"/>
          </w:tcPr>
          <w:p w14:paraId="226E163E" w14:textId="2C92E411" w:rsidR="00BF3DE3" w:rsidRPr="00651238" w:rsidRDefault="00FC32F6" w:rsidP="00252DF3">
            <w:pPr>
              <w:spacing w:after="0" w:line="280" w:lineRule="exact"/>
              <w:jc w:val="right"/>
              <w:rPr>
                <w:rFonts w:eastAsia="Times New Roman" w:cs="Arial"/>
              </w:rPr>
            </w:pPr>
            <w:r>
              <w:rPr>
                <w:rFonts w:eastAsia="Times New Roman" w:cs="Arial"/>
              </w:rPr>
              <w:t>11</w:t>
            </w:r>
          </w:p>
        </w:tc>
      </w:tr>
      <w:tr w:rsidR="00BF3DE3" w:rsidRPr="00651238" w14:paraId="799E5E3C" w14:textId="77777777" w:rsidTr="00BF3DE3">
        <w:tc>
          <w:tcPr>
            <w:tcW w:w="8640" w:type="dxa"/>
            <w:vAlign w:val="bottom"/>
          </w:tcPr>
          <w:p w14:paraId="6ECA3967" w14:textId="77777777" w:rsidR="00BF3DE3" w:rsidRPr="00651238" w:rsidRDefault="00BF3DE3" w:rsidP="00252DF3">
            <w:pPr>
              <w:spacing w:after="0" w:line="280" w:lineRule="exact"/>
              <w:rPr>
                <w:rFonts w:eastAsia="Times New Roman" w:cs="Arial"/>
              </w:rPr>
            </w:pPr>
          </w:p>
        </w:tc>
        <w:tc>
          <w:tcPr>
            <w:tcW w:w="1063" w:type="dxa"/>
            <w:vAlign w:val="bottom"/>
          </w:tcPr>
          <w:p w14:paraId="5F090F57" w14:textId="77777777" w:rsidR="00BF3DE3" w:rsidRPr="00651238" w:rsidRDefault="00BF3DE3" w:rsidP="00252DF3">
            <w:pPr>
              <w:spacing w:after="0" w:line="280" w:lineRule="exact"/>
              <w:jc w:val="right"/>
              <w:rPr>
                <w:rFonts w:eastAsia="Times New Roman" w:cs="Arial"/>
              </w:rPr>
            </w:pPr>
          </w:p>
        </w:tc>
      </w:tr>
      <w:tr w:rsidR="00BF3DE3" w:rsidRPr="00651238" w14:paraId="58CA50A8" w14:textId="77777777" w:rsidTr="00BF3DE3">
        <w:tc>
          <w:tcPr>
            <w:tcW w:w="8640" w:type="dxa"/>
            <w:vAlign w:val="bottom"/>
          </w:tcPr>
          <w:p w14:paraId="4B9217A3" w14:textId="77777777" w:rsidR="00BF3DE3" w:rsidRPr="00651238" w:rsidRDefault="00BF3DE3" w:rsidP="00252DF3">
            <w:pPr>
              <w:spacing w:after="0" w:line="280" w:lineRule="exact"/>
              <w:rPr>
                <w:rFonts w:eastAsia="Times New Roman" w:cs="Arial"/>
              </w:rPr>
            </w:pPr>
            <w:r w:rsidRPr="00651238">
              <w:rPr>
                <w:rFonts w:eastAsia="Times New Roman" w:cs="Arial"/>
              </w:rPr>
              <w:t>Izvještaj o novčanim tokovima</w:t>
            </w:r>
          </w:p>
        </w:tc>
        <w:tc>
          <w:tcPr>
            <w:tcW w:w="1063" w:type="dxa"/>
            <w:vAlign w:val="bottom"/>
          </w:tcPr>
          <w:p w14:paraId="3EA19B29" w14:textId="1A442364" w:rsidR="00BF3DE3" w:rsidRPr="00651238" w:rsidRDefault="00FC32F6" w:rsidP="00252DF3">
            <w:pPr>
              <w:spacing w:after="0" w:line="280" w:lineRule="exact"/>
              <w:jc w:val="right"/>
              <w:rPr>
                <w:rFonts w:eastAsia="Times New Roman" w:cs="Arial"/>
              </w:rPr>
            </w:pPr>
            <w:r>
              <w:rPr>
                <w:rFonts w:eastAsia="Times New Roman" w:cs="Arial"/>
              </w:rPr>
              <w:t>12</w:t>
            </w:r>
          </w:p>
        </w:tc>
      </w:tr>
      <w:tr w:rsidR="00BF3DE3" w:rsidRPr="00651238" w14:paraId="016FD82F" w14:textId="77777777" w:rsidTr="00BF3DE3">
        <w:tc>
          <w:tcPr>
            <w:tcW w:w="8640" w:type="dxa"/>
            <w:vAlign w:val="bottom"/>
          </w:tcPr>
          <w:p w14:paraId="648511EC" w14:textId="77777777" w:rsidR="00BF3DE3" w:rsidRPr="00651238" w:rsidRDefault="00BF3DE3" w:rsidP="00252DF3">
            <w:pPr>
              <w:spacing w:after="0" w:line="280" w:lineRule="exact"/>
              <w:rPr>
                <w:rFonts w:eastAsia="Times New Roman" w:cs="Arial"/>
              </w:rPr>
            </w:pPr>
          </w:p>
        </w:tc>
        <w:tc>
          <w:tcPr>
            <w:tcW w:w="1063" w:type="dxa"/>
            <w:vAlign w:val="bottom"/>
          </w:tcPr>
          <w:p w14:paraId="600D8338" w14:textId="77777777" w:rsidR="00BF3DE3" w:rsidRPr="00651238" w:rsidRDefault="00BF3DE3" w:rsidP="00252DF3">
            <w:pPr>
              <w:spacing w:after="0" w:line="280" w:lineRule="exact"/>
              <w:jc w:val="right"/>
              <w:rPr>
                <w:rFonts w:eastAsia="Times New Roman" w:cs="Arial"/>
              </w:rPr>
            </w:pPr>
          </w:p>
        </w:tc>
      </w:tr>
      <w:tr w:rsidR="00BF3DE3" w:rsidRPr="00651238" w14:paraId="2992B118" w14:textId="77777777" w:rsidTr="00BF3DE3">
        <w:tc>
          <w:tcPr>
            <w:tcW w:w="8640" w:type="dxa"/>
            <w:vAlign w:val="bottom"/>
          </w:tcPr>
          <w:p w14:paraId="3AC53893" w14:textId="77777777" w:rsidR="00BF3DE3" w:rsidRPr="00651238" w:rsidRDefault="00BF3DE3" w:rsidP="00252DF3">
            <w:pPr>
              <w:spacing w:after="0" w:line="280" w:lineRule="exact"/>
              <w:rPr>
                <w:rFonts w:eastAsia="Times New Roman" w:cs="Arial"/>
              </w:rPr>
            </w:pPr>
            <w:r w:rsidRPr="00651238">
              <w:rPr>
                <w:rFonts w:eastAsia="Times New Roman" w:cs="Arial"/>
              </w:rPr>
              <w:t>Izvještaj o promjenama na kapitalu</w:t>
            </w:r>
          </w:p>
        </w:tc>
        <w:tc>
          <w:tcPr>
            <w:tcW w:w="1063" w:type="dxa"/>
            <w:vAlign w:val="bottom"/>
          </w:tcPr>
          <w:p w14:paraId="3B182D68" w14:textId="430E642E" w:rsidR="00BF3DE3" w:rsidRPr="00651238" w:rsidRDefault="00FC32F6" w:rsidP="00252DF3">
            <w:pPr>
              <w:spacing w:after="0" w:line="280" w:lineRule="exact"/>
              <w:jc w:val="right"/>
              <w:rPr>
                <w:rFonts w:eastAsia="Times New Roman" w:cs="Arial"/>
              </w:rPr>
            </w:pPr>
            <w:r>
              <w:rPr>
                <w:rFonts w:eastAsia="Times New Roman" w:cs="Arial"/>
              </w:rPr>
              <w:t>13</w:t>
            </w:r>
          </w:p>
        </w:tc>
      </w:tr>
      <w:tr w:rsidR="00BF3DE3" w:rsidRPr="00651238" w14:paraId="1639FF1D" w14:textId="77777777" w:rsidTr="00BF3DE3">
        <w:tc>
          <w:tcPr>
            <w:tcW w:w="8640" w:type="dxa"/>
            <w:vAlign w:val="bottom"/>
          </w:tcPr>
          <w:p w14:paraId="7BA0B60A" w14:textId="77777777" w:rsidR="00BF3DE3" w:rsidRPr="00651238" w:rsidRDefault="00BF3DE3" w:rsidP="00252DF3">
            <w:pPr>
              <w:spacing w:after="0" w:line="280" w:lineRule="exact"/>
              <w:rPr>
                <w:rFonts w:eastAsia="Times New Roman" w:cs="Arial"/>
              </w:rPr>
            </w:pPr>
          </w:p>
        </w:tc>
        <w:tc>
          <w:tcPr>
            <w:tcW w:w="1063" w:type="dxa"/>
            <w:vAlign w:val="bottom"/>
          </w:tcPr>
          <w:p w14:paraId="5F74930B" w14:textId="77777777" w:rsidR="00BF3DE3" w:rsidRPr="00651238" w:rsidRDefault="00BF3DE3" w:rsidP="00252DF3">
            <w:pPr>
              <w:spacing w:after="0" w:line="280" w:lineRule="exact"/>
              <w:jc w:val="right"/>
              <w:rPr>
                <w:rFonts w:eastAsia="Times New Roman" w:cs="Arial"/>
              </w:rPr>
            </w:pPr>
          </w:p>
        </w:tc>
      </w:tr>
      <w:tr w:rsidR="00BF3DE3" w:rsidRPr="00651238" w14:paraId="789D6F79" w14:textId="77777777" w:rsidTr="00BF3DE3">
        <w:tc>
          <w:tcPr>
            <w:tcW w:w="8640" w:type="dxa"/>
            <w:vAlign w:val="bottom"/>
          </w:tcPr>
          <w:p w14:paraId="49FCC783" w14:textId="77777777" w:rsidR="00BF3DE3" w:rsidRPr="00651238" w:rsidRDefault="00C80912" w:rsidP="00E95A8D">
            <w:pPr>
              <w:spacing w:after="0" w:line="280" w:lineRule="exact"/>
              <w:rPr>
                <w:rFonts w:eastAsia="Times New Roman" w:cs="Arial"/>
              </w:rPr>
            </w:pPr>
            <w:r>
              <w:rPr>
                <w:rFonts w:eastAsia="Times New Roman" w:cs="Arial"/>
              </w:rPr>
              <w:t xml:space="preserve">Nerevidirani </w:t>
            </w:r>
            <w:r w:rsidR="00E95A8D">
              <w:rPr>
                <w:rFonts w:eastAsia="Times New Roman" w:cs="Arial"/>
              </w:rPr>
              <w:t>s</w:t>
            </w:r>
            <w:r w:rsidR="0043561E" w:rsidRPr="00651238">
              <w:rPr>
                <w:rFonts w:eastAsia="Times New Roman" w:cs="Arial"/>
              </w:rPr>
              <w:t>kraćeni nekonsolidirani f</w:t>
            </w:r>
            <w:r w:rsidR="00BF3DE3" w:rsidRPr="00651238">
              <w:rPr>
                <w:rFonts w:eastAsia="Times New Roman" w:cs="Arial"/>
              </w:rPr>
              <w:t>inancijski izvještaji Banke:</w:t>
            </w:r>
          </w:p>
        </w:tc>
        <w:tc>
          <w:tcPr>
            <w:tcW w:w="1063" w:type="dxa"/>
            <w:vAlign w:val="bottom"/>
          </w:tcPr>
          <w:p w14:paraId="017ECD7A" w14:textId="1A262309" w:rsidR="00BF3DE3" w:rsidRPr="00651238" w:rsidRDefault="00FC32F6" w:rsidP="00252DF3">
            <w:pPr>
              <w:spacing w:after="0" w:line="280" w:lineRule="exact"/>
              <w:jc w:val="right"/>
              <w:rPr>
                <w:rFonts w:eastAsia="Times New Roman" w:cs="Arial"/>
              </w:rPr>
            </w:pPr>
            <w:r>
              <w:rPr>
                <w:rFonts w:eastAsia="Times New Roman" w:cs="Arial"/>
              </w:rPr>
              <w:t>14</w:t>
            </w:r>
          </w:p>
        </w:tc>
      </w:tr>
      <w:tr w:rsidR="00BF3DE3" w:rsidRPr="00651238" w14:paraId="00651F1A" w14:textId="77777777" w:rsidTr="00BF3DE3">
        <w:tc>
          <w:tcPr>
            <w:tcW w:w="8640" w:type="dxa"/>
            <w:vAlign w:val="bottom"/>
          </w:tcPr>
          <w:p w14:paraId="4ACA70F7" w14:textId="77777777" w:rsidR="00882293" w:rsidRPr="00651238" w:rsidRDefault="00882293" w:rsidP="00252DF3">
            <w:pPr>
              <w:spacing w:after="0" w:line="280" w:lineRule="exact"/>
              <w:rPr>
                <w:rFonts w:eastAsia="Times New Roman" w:cs="Arial"/>
              </w:rPr>
            </w:pPr>
          </w:p>
          <w:p w14:paraId="535C8A6C" w14:textId="77777777" w:rsidR="00BF3DE3" w:rsidRPr="00651238" w:rsidRDefault="00BF3DE3" w:rsidP="00252DF3">
            <w:pPr>
              <w:spacing w:after="0" w:line="280" w:lineRule="exact"/>
              <w:rPr>
                <w:rFonts w:eastAsia="Times New Roman" w:cs="Arial"/>
              </w:rPr>
            </w:pPr>
            <w:r w:rsidRPr="00651238">
              <w:rPr>
                <w:rFonts w:eastAsia="Times New Roman" w:cs="Arial"/>
              </w:rPr>
              <w:t>Izvještaj o dobiti i gubitku</w:t>
            </w:r>
          </w:p>
        </w:tc>
        <w:tc>
          <w:tcPr>
            <w:tcW w:w="1063" w:type="dxa"/>
            <w:vAlign w:val="bottom"/>
          </w:tcPr>
          <w:p w14:paraId="20373125" w14:textId="441AE071" w:rsidR="00BF3DE3" w:rsidRPr="00651238" w:rsidRDefault="00FC32F6" w:rsidP="00252DF3">
            <w:pPr>
              <w:spacing w:after="0" w:line="280" w:lineRule="exact"/>
              <w:jc w:val="right"/>
              <w:rPr>
                <w:rFonts w:eastAsia="Times New Roman" w:cs="Arial"/>
              </w:rPr>
            </w:pPr>
            <w:r>
              <w:rPr>
                <w:rFonts w:eastAsia="Times New Roman" w:cs="Arial"/>
              </w:rPr>
              <w:t>14</w:t>
            </w:r>
          </w:p>
        </w:tc>
      </w:tr>
      <w:tr w:rsidR="00BF3DE3" w:rsidRPr="00651238" w14:paraId="6C77517B" w14:textId="77777777" w:rsidTr="00BF3DE3">
        <w:tc>
          <w:tcPr>
            <w:tcW w:w="8640" w:type="dxa"/>
            <w:vAlign w:val="bottom"/>
          </w:tcPr>
          <w:p w14:paraId="4266E6F0" w14:textId="77777777" w:rsidR="00BF3DE3" w:rsidRPr="00651238" w:rsidRDefault="00BF3DE3" w:rsidP="00252DF3">
            <w:pPr>
              <w:spacing w:after="0" w:line="280" w:lineRule="exact"/>
              <w:rPr>
                <w:rFonts w:eastAsia="Times New Roman" w:cs="Arial"/>
              </w:rPr>
            </w:pPr>
          </w:p>
        </w:tc>
        <w:tc>
          <w:tcPr>
            <w:tcW w:w="1063" w:type="dxa"/>
            <w:vAlign w:val="bottom"/>
          </w:tcPr>
          <w:p w14:paraId="00B64B67" w14:textId="77777777" w:rsidR="00BF3DE3" w:rsidRPr="00651238" w:rsidRDefault="00BF3DE3" w:rsidP="00252DF3">
            <w:pPr>
              <w:spacing w:after="0" w:line="280" w:lineRule="exact"/>
              <w:jc w:val="right"/>
              <w:rPr>
                <w:rFonts w:eastAsia="Times New Roman" w:cs="Arial"/>
              </w:rPr>
            </w:pPr>
          </w:p>
        </w:tc>
      </w:tr>
      <w:tr w:rsidR="00BF3DE3" w:rsidRPr="00651238" w14:paraId="5430FC9F" w14:textId="77777777" w:rsidTr="00BF3DE3">
        <w:tc>
          <w:tcPr>
            <w:tcW w:w="8640" w:type="dxa"/>
            <w:vAlign w:val="bottom"/>
          </w:tcPr>
          <w:p w14:paraId="387DDC30" w14:textId="77777777" w:rsidR="00BF3DE3" w:rsidRPr="00651238" w:rsidRDefault="00BF3DE3" w:rsidP="00252DF3">
            <w:pPr>
              <w:spacing w:after="0" w:line="280" w:lineRule="exact"/>
              <w:rPr>
                <w:rFonts w:eastAsia="Times New Roman" w:cs="Arial"/>
              </w:rPr>
            </w:pPr>
            <w:r w:rsidRPr="00651238">
              <w:rPr>
                <w:rFonts w:eastAsia="Times New Roman" w:cs="Arial"/>
              </w:rPr>
              <w:t>Izvještaj o dobiti i gubitku te ostaloj sveobuhvatnoj dobiti</w:t>
            </w:r>
          </w:p>
        </w:tc>
        <w:tc>
          <w:tcPr>
            <w:tcW w:w="1063" w:type="dxa"/>
            <w:vAlign w:val="bottom"/>
          </w:tcPr>
          <w:p w14:paraId="4F74F03C" w14:textId="56213687" w:rsidR="00BF3DE3" w:rsidRPr="00651238" w:rsidRDefault="00FC32F6" w:rsidP="00252DF3">
            <w:pPr>
              <w:spacing w:after="0" w:line="280" w:lineRule="exact"/>
              <w:jc w:val="right"/>
              <w:rPr>
                <w:rFonts w:eastAsia="Times New Roman" w:cs="Arial"/>
              </w:rPr>
            </w:pPr>
            <w:r>
              <w:rPr>
                <w:rFonts w:eastAsia="Times New Roman" w:cs="Arial"/>
              </w:rPr>
              <w:t>15</w:t>
            </w:r>
          </w:p>
        </w:tc>
      </w:tr>
      <w:tr w:rsidR="00BF3DE3" w:rsidRPr="00651238" w14:paraId="53A0AC20" w14:textId="77777777" w:rsidTr="00BF3DE3">
        <w:tc>
          <w:tcPr>
            <w:tcW w:w="8640" w:type="dxa"/>
            <w:vAlign w:val="bottom"/>
          </w:tcPr>
          <w:p w14:paraId="76583CE5" w14:textId="77777777" w:rsidR="00BF3DE3" w:rsidRPr="00651238" w:rsidRDefault="00BF3DE3" w:rsidP="00252DF3">
            <w:pPr>
              <w:spacing w:after="0" w:line="280" w:lineRule="exact"/>
              <w:rPr>
                <w:rFonts w:eastAsia="Times New Roman" w:cs="Arial"/>
              </w:rPr>
            </w:pPr>
          </w:p>
        </w:tc>
        <w:tc>
          <w:tcPr>
            <w:tcW w:w="1063" w:type="dxa"/>
            <w:vAlign w:val="bottom"/>
          </w:tcPr>
          <w:p w14:paraId="322514EE" w14:textId="77777777" w:rsidR="00BF3DE3" w:rsidRPr="00651238" w:rsidRDefault="00BF3DE3" w:rsidP="00252DF3">
            <w:pPr>
              <w:spacing w:after="0" w:line="280" w:lineRule="exact"/>
              <w:jc w:val="right"/>
              <w:rPr>
                <w:rFonts w:eastAsia="Times New Roman" w:cs="Arial"/>
              </w:rPr>
            </w:pPr>
          </w:p>
        </w:tc>
      </w:tr>
      <w:tr w:rsidR="00BF3DE3" w:rsidRPr="00651238" w14:paraId="702E80DC" w14:textId="77777777" w:rsidTr="00BF3DE3">
        <w:tc>
          <w:tcPr>
            <w:tcW w:w="8640" w:type="dxa"/>
            <w:vAlign w:val="bottom"/>
          </w:tcPr>
          <w:p w14:paraId="55F83445" w14:textId="77777777" w:rsidR="00BF3DE3" w:rsidRPr="00651238" w:rsidRDefault="00BF3DE3" w:rsidP="00252DF3">
            <w:pPr>
              <w:spacing w:after="0" w:line="280" w:lineRule="exact"/>
              <w:rPr>
                <w:rFonts w:eastAsia="Times New Roman" w:cs="Arial"/>
              </w:rPr>
            </w:pPr>
            <w:r w:rsidRPr="00651238">
              <w:rPr>
                <w:rFonts w:eastAsia="Times New Roman" w:cs="Arial"/>
              </w:rPr>
              <w:t>Izvještaj o financijskom položaju</w:t>
            </w:r>
          </w:p>
        </w:tc>
        <w:tc>
          <w:tcPr>
            <w:tcW w:w="1063" w:type="dxa"/>
            <w:vAlign w:val="bottom"/>
          </w:tcPr>
          <w:p w14:paraId="2DFA2371" w14:textId="5335ACF6" w:rsidR="00BF3DE3" w:rsidRPr="00651238" w:rsidRDefault="00BF3DE3" w:rsidP="00252DF3">
            <w:pPr>
              <w:spacing w:after="0" w:line="280" w:lineRule="exact"/>
              <w:jc w:val="right"/>
              <w:rPr>
                <w:rFonts w:eastAsia="Times New Roman" w:cs="Arial"/>
              </w:rPr>
            </w:pPr>
            <w:r w:rsidRPr="00651238">
              <w:rPr>
                <w:rFonts w:eastAsia="Times New Roman" w:cs="Arial"/>
              </w:rPr>
              <w:t>1</w:t>
            </w:r>
            <w:r w:rsidR="00FC32F6">
              <w:rPr>
                <w:rFonts w:eastAsia="Times New Roman" w:cs="Arial"/>
              </w:rPr>
              <w:t>6</w:t>
            </w:r>
          </w:p>
        </w:tc>
      </w:tr>
      <w:tr w:rsidR="00BF3DE3" w:rsidRPr="00651238" w14:paraId="1ECECD90" w14:textId="77777777" w:rsidTr="00BF3DE3">
        <w:tc>
          <w:tcPr>
            <w:tcW w:w="8640" w:type="dxa"/>
            <w:vAlign w:val="bottom"/>
          </w:tcPr>
          <w:p w14:paraId="43127DD2" w14:textId="77777777" w:rsidR="00BF3DE3" w:rsidRPr="00651238" w:rsidRDefault="00BF3DE3" w:rsidP="00252DF3">
            <w:pPr>
              <w:spacing w:after="0" w:line="280" w:lineRule="exact"/>
              <w:rPr>
                <w:rFonts w:eastAsia="Times New Roman" w:cs="Arial"/>
              </w:rPr>
            </w:pPr>
          </w:p>
        </w:tc>
        <w:tc>
          <w:tcPr>
            <w:tcW w:w="1063" w:type="dxa"/>
            <w:vAlign w:val="bottom"/>
          </w:tcPr>
          <w:p w14:paraId="3771AB8B" w14:textId="77777777" w:rsidR="00BF3DE3" w:rsidRPr="00651238" w:rsidRDefault="00BF3DE3" w:rsidP="00252DF3">
            <w:pPr>
              <w:spacing w:after="0" w:line="280" w:lineRule="exact"/>
              <w:jc w:val="right"/>
              <w:rPr>
                <w:rFonts w:eastAsia="Times New Roman" w:cs="Arial"/>
              </w:rPr>
            </w:pPr>
          </w:p>
        </w:tc>
      </w:tr>
      <w:tr w:rsidR="00BF3DE3" w:rsidRPr="00651238" w14:paraId="50695EE3" w14:textId="77777777" w:rsidTr="00BF3DE3">
        <w:tc>
          <w:tcPr>
            <w:tcW w:w="8640" w:type="dxa"/>
            <w:vAlign w:val="bottom"/>
          </w:tcPr>
          <w:p w14:paraId="7EB0CD86" w14:textId="77777777" w:rsidR="00BF3DE3" w:rsidRPr="00651238" w:rsidRDefault="00BF3DE3" w:rsidP="00252DF3">
            <w:pPr>
              <w:spacing w:after="0" w:line="280" w:lineRule="exact"/>
              <w:rPr>
                <w:rFonts w:eastAsia="Times New Roman" w:cs="Arial"/>
              </w:rPr>
            </w:pPr>
            <w:r w:rsidRPr="00651238">
              <w:rPr>
                <w:rFonts w:eastAsia="Times New Roman" w:cs="Arial"/>
              </w:rPr>
              <w:t>Izvještaj o novčanim tokovima</w:t>
            </w:r>
          </w:p>
        </w:tc>
        <w:tc>
          <w:tcPr>
            <w:tcW w:w="1063" w:type="dxa"/>
            <w:vAlign w:val="bottom"/>
          </w:tcPr>
          <w:p w14:paraId="5FC98111" w14:textId="4D3943FD" w:rsidR="00BF3DE3" w:rsidRPr="00651238" w:rsidRDefault="00BF3DE3" w:rsidP="00252DF3">
            <w:pPr>
              <w:spacing w:after="0" w:line="280" w:lineRule="exact"/>
              <w:jc w:val="right"/>
              <w:rPr>
                <w:rFonts w:eastAsia="Times New Roman" w:cs="Arial"/>
              </w:rPr>
            </w:pPr>
            <w:r w:rsidRPr="00651238">
              <w:rPr>
                <w:rFonts w:eastAsia="Times New Roman" w:cs="Arial"/>
              </w:rPr>
              <w:t>1</w:t>
            </w:r>
            <w:r w:rsidR="00FC32F6">
              <w:rPr>
                <w:rFonts w:eastAsia="Times New Roman" w:cs="Arial"/>
              </w:rPr>
              <w:t>7</w:t>
            </w:r>
          </w:p>
        </w:tc>
      </w:tr>
      <w:tr w:rsidR="00BF3DE3" w:rsidRPr="00651238" w14:paraId="5BC7362E" w14:textId="77777777" w:rsidTr="00BF3DE3">
        <w:tc>
          <w:tcPr>
            <w:tcW w:w="8640" w:type="dxa"/>
            <w:vAlign w:val="bottom"/>
          </w:tcPr>
          <w:p w14:paraId="756A1203" w14:textId="77777777" w:rsidR="00BF3DE3" w:rsidRPr="00651238" w:rsidRDefault="00BF3DE3" w:rsidP="00252DF3">
            <w:pPr>
              <w:spacing w:after="0" w:line="280" w:lineRule="exact"/>
              <w:rPr>
                <w:rFonts w:eastAsia="Times New Roman" w:cs="Arial"/>
              </w:rPr>
            </w:pPr>
          </w:p>
        </w:tc>
        <w:tc>
          <w:tcPr>
            <w:tcW w:w="1063" w:type="dxa"/>
            <w:vAlign w:val="bottom"/>
          </w:tcPr>
          <w:p w14:paraId="0141FE58" w14:textId="77777777" w:rsidR="00BF3DE3" w:rsidRPr="00651238" w:rsidRDefault="00BF3DE3" w:rsidP="00252DF3">
            <w:pPr>
              <w:spacing w:after="0" w:line="280" w:lineRule="exact"/>
              <w:jc w:val="right"/>
              <w:rPr>
                <w:rFonts w:eastAsia="Times New Roman" w:cs="Arial"/>
              </w:rPr>
            </w:pPr>
          </w:p>
        </w:tc>
      </w:tr>
      <w:tr w:rsidR="00BF3DE3" w:rsidRPr="00651238" w14:paraId="6CCD2982" w14:textId="77777777" w:rsidTr="00BF3DE3">
        <w:tc>
          <w:tcPr>
            <w:tcW w:w="8640" w:type="dxa"/>
            <w:vAlign w:val="bottom"/>
          </w:tcPr>
          <w:p w14:paraId="0476761B" w14:textId="77777777" w:rsidR="00BF3DE3" w:rsidRPr="00651238" w:rsidRDefault="00BF3DE3" w:rsidP="00252DF3">
            <w:pPr>
              <w:spacing w:after="0" w:line="280" w:lineRule="exact"/>
              <w:rPr>
                <w:rFonts w:eastAsia="Times New Roman" w:cs="Arial"/>
              </w:rPr>
            </w:pPr>
            <w:r w:rsidRPr="00651238">
              <w:rPr>
                <w:rFonts w:eastAsia="Times New Roman" w:cs="Arial"/>
              </w:rPr>
              <w:t>Izvještaj o promjenama na kapitalu</w:t>
            </w:r>
          </w:p>
        </w:tc>
        <w:tc>
          <w:tcPr>
            <w:tcW w:w="1063" w:type="dxa"/>
            <w:vAlign w:val="bottom"/>
          </w:tcPr>
          <w:p w14:paraId="4F9D9E42" w14:textId="28F22CF5" w:rsidR="00BF3DE3" w:rsidRPr="00651238" w:rsidRDefault="00BF3DE3" w:rsidP="00252DF3">
            <w:pPr>
              <w:spacing w:after="0" w:line="280" w:lineRule="exact"/>
              <w:jc w:val="right"/>
              <w:rPr>
                <w:rFonts w:eastAsia="Times New Roman" w:cs="Arial"/>
              </w:rPr>
            </w:pPr>
            <w:r w:rsidRPr="00651238">
              <w:rPr>
                <w:rFonts w:eastAsia="Times New Roman" w:cs="Arial"/>
              </w:rPr>
              <w:t>1</w:t>
            </w:r>
            <w:r w:rsidR="00FC32F6">
              <w:rPr>
                <w:rFonts w:eastAsia="Times New Roman" w:cs="Arial"/>
              </w:rPr>
              <w:t>8</w:t>
            </w:r>
          </w:p>
        </w:tc>
      </w:tr>
      <w:tr w:rsidR="00BF3DE3" w:rsidRPr="00651238" w14:paraId="061AC5D6" w14:textId="77777777" w:rsidTr="000E5941">
        <w:tc>
          <w:tcPr>
            <w:tcW w:w="8640" w:type="dxa"/>
            <w:vAlign w:val="bottom"/>
          </w:tcPr>
          <w:p w14:paraId="15BE50C6" w14:textId="77777777" w:rsidR="00BF3DE3" w:rsidRPr="00651238" w:rsidRDefault="00BF3DE3" w:rsidP="00252DF3">
            <w:pPr>
              <w:spacing w:after="0" w:line="280" w:lineRule="exact"/>
              <w:rPr>
                <w:rFonts w:eastAsia="Times New Roman" w:cs="Arial"/>
              </w:rPr>
            </w:pPr>
          </w:p>
        </w:tc>
        <w:tc>
          <w:tcPr>
            <w:tcW w:w="1063" w:type="dxa"/>
            <w:vAlign w:val="bottom"/>
          </w:tcPr>
          <w:p w14:paraId="412D68D0" w14:textId="77777777" w:rsidR="00BF3DE3" w:rsidRPr="00651238" w:rsidRDefault="00BF3DE3" w:rsidP="00252DF3">
            <w:pPr>
              <w:spacing w:after="0" w:line="280" w:lineRule="exact"/>
              <w:jc w:val="right"/>
              <w:rPr>
                <w:rFonts w:eastAsia="Times New Roman" w:cs="Arial"/>
              </w:rPr>
            </w:pPr>
          </w:p>
        </w:tc>
      </w:tr>
      <w:tr w:rsidR="00BF3DE3" w:rsidRPr="006C12B6" w14:paraId="37F51222" w14:textId="77777777" w:rsidTr="000E5941">
        <w:tc>
          <w:tcPr>
            <w:tcW w:w="8640" w:type="dxa"/>
            <w:vAlign w:val="bottom"/>
          </w:tcPr>
          <w:p w14:paraId="4C246727" w14:textId="376FAAB0" w:rsidR="00BF3DE3" w:rsidRPr="00651238" w:rsidRDefault="00BF3DE3" w:rsidP="00BE798B">
            <w:pPr>
              <w:spacing w:after="0" w:line="280" w:lineRule="exact"/>
              <w:rPr>
                <w:rFonts w:eastAsia="Times New Roman" w:cs="Arial"/>
              </w:rPr>
            </w:pPr>
            <w:r w:rsidRPr="00651238">
              <w:rPr>
                <w:rFonts w:eastAsia="Times New Roman" w:cs="Arial"/>
              </w:rPr>
              <w:t xml:space="preserve">Bilješke uz </w:t>
            </w:r>
            <w:r w:rsidR="00E95A8D">
              <w:rPr>
                <w:rFonts w:eastAsia="Times New Roman" w:cs="Arial"/>
              </w:rPr>
              <w:t>s</w:t>
            </w:r>
            <w:r w:rsidR="0043561E" w:rsidRPr="00651238">
              <w:rPr>
                <w:rFonts w:eastAsia="Times New Roman" w:cs="Arial"/>
              </w:rPr>
              <w:t>kraćene</w:t>
            </w:r>
            <w:r w:rsidR="008111E3">
              <w:rPr>
                <w:rFonts w:eastAsia="Times New Roman" w:cs="Arial"/>
              </w:rPr>
              <w:t xml:space="preserve"> konsolidirane</w:t>
            </w:r>
            <w:r w:rsidR="0043561E" w:rsidRPr="00651238">
              <w:rPr>
                <w:rFonts w:eastAsia="Times New Roman" w:cs="Arial"/>
              </w:rPr>
              <w:t xml:space="preserve"> </w:t>
            </w:r>
            <w:r w:rsidRPr="00651238">
              <w:rPr>
                <w:rFonts w:eastAsia="Times New Roman" w:cs="Arial"/>
              </w:rPr>
              <w:t xml:space="preserve">financijske izvještaje koje </w:t>
            </w:r>
            <w:r w:rsidR="00D54380">
              <w:rPr>
                <w:rFonts w:eastAsia="Times New Roman" w:cs="Arial"/>
              </w:rPr>
              <w:t>obuhvaćaju važne</w:t>
            </w:r>
            <w:r w:rsidRPr="00651238">
              <w:rPr>
                <w:rFonts w:eastAsia="Times New Roman" w:cs="Arial"/>
              </w:rPr>
              <w:t xml:space="preserve"> računovodstven</w:t>
            </w:r>
            <w:r w:rsidR="00D54380">
              <w:rPr>
                <w:rFonts w:eastAsia="Times New Roman" w:cs="Arial"/>
              </w:rPr>
              <w:t>e</w:t>
            </w:r>
            <w:r w:rsidRPr="00651238">
              <w:rPr>
                <w:rFonts w:eastAsia="Times New Roman" w:cs="Arial"/>
              </w:rPr>
              <w:t xml:space="preserve"> politik</w:t>
            </w:r>
            <w:r w:rsidR="00D54380">
              <w:rPr>
                <w:rFonts w:eastAsia="Times New Roman" w:cs="Arial"/>
              </w:rPr>
              <w:t>e</w:t>
            </w:r>
            <w:r w:rsidRPr="00651238">
              <w:rPr>
                <w:rFonts w:eastAsia="Times New Roman" w:cs="Arial"/>
              </w:rPr>
              <w:t xml:space="preserve"> i drug</w:t>
            </w:r>
            <w:r w:rsidR="00BE798B">
              <w:rPr>
                <w:rFonts w:eastAsia="Times New Roman" w:cs="Arial"/>
              </w:rPr>
              <w:t>a</w:t>
            </w:r>
            <w:r w:rsidRPr="00651238">
              <w:rPr>
                <w:rFonts w:eastAsia="Times New Roman" w:cs="Arial"/>
              </w:rPr>
              <w:t xml:space="preserve"> objašnj</w:t>
            </w:r>
            <w:r w:rsidR="00D54380">
              <w:rPr>
                <w:rFonts w:eastAsia="Times New Roman" w:cs="Arial"/>
              </w:rPr>
              <w:t>enja</w:t>
            </w:r>
          </w:p>
        </w:tc>
        <w:tc>
          <w:tcPr>
            <w:tcW w:w="1063" w:type="dxa"/>
            <w:shd w:val="clear" w:color="auto" w:fill="auto"/>
            <w:vAlign w:val="bottom"/>
          </w:tcPr>
          <w:p w14:paraId="2B9616CA" w14:textId="796BD41C" w:rsidR="00BF3DE3" w:rsidRPr="006C12B6" w:rsidRDefault="006C12B6" w:rsidP="003C43AE">
            <w:pPr>
              <w:spacing w:after="0" w:line="280" w:lineRule="exact"/>
              <w:jc w:val="right"/>
              <w:rPr>
                <w:rFonts w:eastAsia="Times New Roman" w:cs="Arial"/>
              </w:rPr>
            </w:pPr>
            <w:r w:rsidRPr="00312975">
              <w:rPr>
                <w:rFonts w:eastAsia="Times New Roman" w:cs="Arial"/>
              </w:rPr>
              <w:t>19</w:t>
            </w:r>
            <w:r w:rsidR="00BF3DE3" w:rsidRPr="006C12B6">
              <w:rPr>
                <w:rFonts w:eastAsia="Times New Roman" w:cs="Arial"/>
              </w:rPr>
              <w:t xml:space="preserve"> </w:t>
            </w:r>
            <w:r w:rsidR="00B06001" w:rsidRPr="006C12B6">
              <w:rPr>
                <w:rFonts w:eastAsia="Times New Roman" w:cs="Arial"/>
              </w:rPr>
              <w:t>-</w:t>
            </w:r>
            <w:r w:rsidR="00BF3DE3" w:rsidRPr="006C12B6">
              <w:rPr>
                <w:rFonts w:eastAsia="Times New Roman" w:cs="Arial"/>
              </w:rPr>
              <w:t xml:space="preserve"> </w:t>
            </w:r>
            <w:r w:rsidRPr="00312975">
              <w:rPr>
                <w:rFonts w:eastAsia="Times New Roman" w:cs="Arial"/>
              </w:rPr>
              <w:t>99</w:t>
            </w:r>
          </w:p>
        </w:tc>
      </w:tr>
      <w:tr w:rsidR="00CB3B67" w:rsidRPr="00651238" w14:paraId="46A7F7B4" w14:textId="77777777" w:rsidTr="000E5941">
        <w:tc>
          <w:tcPr>
            <w:tcW w:w="8640" w:type="dxa"/>
            <w:vAlign w:val="bottom"/>
          </w:tcPr>
          <w:p w14:paraId="4FC57885" w14:textId="77777777" w:rsidR="00CB3B67" w:rsidRPr="00651238" w:rsidRDefault="00CB3B67" w:rsidP="00E95A8D">
            <w:pPr>
              <w:spacing w:after="0" w:line="280" w:lineRule="exact"/>
              <w:rPr>
                <w:rFonts w:eastAsia="Times New Roman" w:cs="Arial"/>
              </w:rPr>
            </w:pPr>
          </w:p>
        </w:tc>
        <w:tc>
          <w:tcPr>
            <w:tcW w:w="1063" w:type="dxa"/>
            <w:shd w:val="clear" w:color="auto" w:fill="auto"/>
            <w:vAlign w:val="bottom"/>
          </w:tcPr>
          <w:p w14:paraId="65AD5BCF" w14:textId="77777777" w:rsidR="00CB3B67" w:rsidRPr="002E5131" w:rsidRDefault="00CB3B67" w:rsidP="000B034B">
            <w:pPr>
              <w:spacing w:after="0" w:line="280" w:lineRule="exact"/>
              <w:jc w:val="right"/>
              <w:rPr>
                <w:rFonts w:eastAsia="Times New Roman" w:cs="Arial"/>
                <w:highlight w:val="yellow"/>
              </w:rPr>
            </w:pPr>
          </w:p>
        </w:tc>
      </w:tr>
      <w:tr w:rsidR="00CB3B67" w:rsidRPr="00651238" w14:paraId="3D1F1BF4" w14:textId="77777777" w:rsidTr="000E5941">
        <w:tc>
          <w:tcPr>
            <w:tcW w:w="8640" w:type="dxa"/>
            <w:vAlign w:val="bottom"/>
          </w:tcPr>
          <w:p w14:paraId="34D6969F" w14:textId="77777777" w:rsidR="00CB3B67" w:rsidRPr="00651238" w:rsidRDefault="00CB3B67" w:rsidP="00E95A8D">
            <w:pPr>
              <w:spacing w:after="0" w:line="280" w:lineRule="exact"/>
              <w:rPr>
                <w:rFonts w:eastAsia="Times New Roman" w:cs="Arial"/>
              </w:rPr>
            </w:pPr>
            <w:r>
              <w:rPr>
                <w:rFonts w:eastAsia="Times New Roman" w:cs="Arial"/>
              </w:rPr>
              <w:t>Dodatak – Financijsko poslovanje Grupe HKO</w:t>
            </w:r>
          </w:p>
        </w:tc>
        <w:tc>
          <w:tcPr>
            <w:tcW w:w="1063" w:type="dxa"/>
            <w:shd w:val="clear" w:color="auto" w:fill="auto"/>
            <w:vAlign w:val="bottom"/>
          </w:tcPr>
          <w:p w14:paraId="275D309F" w14:textId="3B981E63" w:rsidR="00CB3B67" w:rsidRPr="00312975" w:rsidRDefault="006C12B6">
            <w:pPr>
              <w:spacing w:after="0" w:line="280" w:lineRule="exact"/>
              <w:jc w:val="right"/>
              <w:rPr>
                <w:rFonts w:eastAsia="Times New Roman" w:cs="Arial"/>
              </w:rPr>
            </w:pPr>
            <w:r w:rsidRPr="00312975">
              <w:rPr>
                <w:rFonts w:eastAsia="Times New Roman" w:cs="Arial"/>
              </w:rPr>
              <w:t>100</w:t>
            </w:r>
            <w:r w:rsidR="003E729D" w:rsidRPr="006C12B6">
              <w:rPr>
                <w:rFonts w:eastAsia="Times New Roman" w:cs="Arial"/>
              </w:rPr>
              <w:t xml:space="preserve"> </w:t>
            </w:r>
            <w:r w:rsidR="00CB3B67" w:rsidRPr="006C12B6">
              <w:rPr>
                <w:rFonts w:eastAsia="Times New Roman" w:cs="Arial"/>
              </w:rPr>
              <w:t xml:space="preserve">- </w:t>
            </w:r>
            <w:r w:rsidRPr="00312975">
              <w:rPr>
                <w:rFonts w:eastAsia="Times New Roman" w:cs="Arial"/>
              </w:rPr>
              <w:t>103</w:t>
            </w:r>
          </w:p>
        </w:tc>
      </w:tr>
    </w:tbl>
    <w:p w14:paraId="6D803176" w14:textId="77777777" w:rsidR="00775072" w:rsidRPr="00CA37C8" w:rsidRDefault="00775072" w:rsidP="00C4266C">
      <w:pPr>
        <w:spacing w:after="0" w:line="240" w:lineRule="auto"/>
      </w:pPr>
    </w:p>
    <w:p w14:paraId="69F66331" w14:textId="77777777" w:rsidR="00775072" w:rsidRPr="00CA37C8" w:rsidRDefault="00775072" w:rsidP="00C4266C">
      <w:pPr>
        <w:spacing w:after="0" w:line="240" w:lineRule="auto"/>
      </w:pPr>
    </w:p>
    <w:p w14:paraId="2C483B39" w14:textId="77777777" w:rsidR="00D97C38" w:rsidRPr="00CA37C8" w:rsidRDefault="00D97C38" w:rsidP="00C4266C">
      <w:pPr>
        <w:spacing w:after="0" w:line="240" w:lineRule="auto"/>
      </w:pPr>
    </w:p>
    <w:p w14:paraId="6A14CD2D" w14:textId="77777777" w:rsidR="00D97C38" w:rsidRPr="00CA37C8" w:rsidRDefault="00D97C38" w:rsidP="00C4266C">
      <w:pPr>
        <w:spacing w:after="0" w:line="240" w:lineRule="auto"/>
      </w:pPr>
    </w:p>
    <w:p w14:paraId="3B101E86" w14:textId="77777777" w:rsidR="00D97C38" w:rsidRPr="00CA37C8" w:rsidRDefault="00D97C38" w:rsidP="00C4266C">
      <w:pPr>
        <w:spacing w:after="0" w:line="240" w:lineRule="auto"/>
      </w:pPr>
    </w:p>
    <w:p w14:paraId="746FD916" w14:textId="77777777" w:rsidR="00E320EB" w:rsidRPr="00CA37C8" w:rsidRDefault="00E320EB" w:rsidP="00C4266C">
      <w:pPr>
        <w:spacing w:after="0" w:line="240" w:lineRule="auto"/>
      </w:pPr>
    </w:p>
    <w:p w14:paraId="01E81C1A" w14:textId="77777777" w:rsidR="00E320EB" w:rsidRPr="00CA37C8" w:rsidRDefault="00E320EB" w:rsidP="00C4266C">
      <w:pPr>
        <w:spacing w:after="0" w:line="240" w:lineRule="auto"/>
      </w:pPr>
    </w:p>
    <w:p w14:paraId="408AD5B5" w14:textId="77777777" w:rsidR="00302C9D" w:rsidRPr="00CA37C8" w:rsidRDefault="00302C9D" w:rsidP="00C4266C">
      <w:pPr>
        <w:spacing w:after="0" w:line="240" w:lineRule="auto"/>
        <w:sectPr w:rsidR="00302C9D" w:rsidRPr="00CA37C8" w:rsidSect="00305343">
          <w:headerReference w:type="default" r:id="rId11"/>
          <w:headerReference w:type="first" r:id="rId12"/>
          <w:footerReference w:type="first" r:id="rId13"/>
          <w:pgSz w:w="11906" w:h="16838" w:code="9"/>
          <w:pgMar w:top="1216" w:right="1133" w:bottom="1417" w:left="1417" w:header="709" w:footer="709" w:gutter="0"/>
          <w:pgNumType w:start="1"/>
          <w:cols w:space="708"/>
          <w:titlePg/>
          <w:docGrid w:linePitch="360"/>
        </w:sectPr>
      </w:pPr>
    </w:p>
    <w:p w14:paraId="29354671" w14:textId="77777777" w:rsidR="003057CA" w:rsidRDefault="003057CA" w:rsidP="003057CA">
      <w:pPr>
        <w:spacing w:after="0" w:line="360" w:lineRule="auto"/>
        <w:jc w:val="both"/>
        <w:rPr>
          <w:sz w:val="24"/>
          <w:szCs w:val="24"/>
        </w:rPr>
      </w:pPr>
    </w:p>
    <w:p w14:paraId="7BDC24AE" w14:textId="0F193FD4" w:rsidR="00D54380" w:rsidRDefault="00D54380" w:rsidP="00D54380">
      <w:pPr>
        <w:spacing w:after="0" w:line="360" w:lineRule="auto"/>
        <w:jc w:val="both"/>
        <w:rPr>
          <w:sz w:val="24"/>
          <w:szCs w:val="24"/>
        </w:rPr>
      </w:pPr>
      <w:r w:rsidRPr="00D54380">
        <w:rPr>
          <w:sz w:val="24"/>
          <w:szCs w:val="24"/>
        </w:rPr>
        <w:t xml:space="preserve">Potvrđujemo da su, prema našem najboljem saznanju, skraćeni konsolidirani financijski izvještaji Grupe Hrvatska banka za obnovu i razvitak prikazani na stranicama </w:t>
      </w:r>
      <w:r w:rsidRPr="006C12B6">
        <w:rPr>
          <w:sz w:val="24"/>
          <w:szCs w:val="24"/>
        </w:rPr>
        <w:t xml:space="preserve">od </w:t>
      </w:r>
      <w:r w:rsidR="006C12B6" w:rsidRPr="006C12B6">
        <w:rPr>
          <w:sz w:val="24"/>
          <w:szCs w:val="24"/>
        </w:rPr>
        <w:t>9</w:t>
      </w:r>
      <w:r w:rsidRPr="006C12B6">
        <w:rPr>
          <w:sz w:val="24"/>
          <w:szCs w:val="24"/>
        </w:rPr>
        <w:t xml:space="preserve"> do </w:t>
      </w:r>
      <w:r w:rsidR="00D9390D" w:rsidRPr="006C12B6">
        <w:rPr>
          <w:sz w:val="24"/>
          <w:szCs w:val="24"/>
        </w:rPr>
        <w:t>9</w:t>
      </w:r>
      <w:r w:rsidR="006C12B6" w:rsidRPr="006C12B6">
        <w:rPr>
          <w:sz w:val="24"/>
          <w:szCs w:val="24"/>
        </w:rPr>
        <w:t>9</w:t>
      </w:r>
      <w:r w:rsidR="00D9390D" w:rsidRPr="00D54380">
        <w:rPr>
          <w:sz w:val="24"/>
          <w:szCs w:val="24"/>
        </w:rPr>
        <w:t xml:space="preserve"> </w:t>
      </w:r>
      <w:r w:rsidRPr="00D54380">
        <w:rPr>
          <w:sz w:val="24"/>
          <w:szCs w:val="24"/>
        </w:rPr>
        <w:t>sastavljeni uz primjenu Međunarodnog računovodstvenog standarda 34: ‘’Financijsko izvještavanje za razdoblja tijekom godine“  primjenjivim za sastavljanje financijskih izvještaja za razdoblja tijekom godine te da daju cjelovit i istinit prikaz imovine, obveza, financijskog položaja, financijskog rezultata i novčanih tokova za izvještajno razdoblje.</w:t>
      </w:r>
    </w:p>
    <w:p w14:paraId="477819ED" w14:textId="77777777" w:rsidR="00D54380" w:rsidRPr="00D54380" w:rsidRDefault="00D54380" w:rsidP="00D54380">
      <w:pPr>
        <w:spacing w:after="0" w:line="360" w:lineRule="auto"/>
        <w:jc w:val="both"/>
        <w:rPr>
          <w:sz w:val="24"/>
          <w:szCs w:val="24"/>
        </w:rPr>
      </w:pPr>
    </w:p>
    <w:p w14:paraId="65877688" w14:textId="77777777" w:rsidR="00D54380" w:rsidRDefault="00D54380" w:rsidP="00D54380">
      <w:pPr>
        <w:spacing w:after="0" w:line="360" w:lineRule="auto"/>
        <w:jc w:val="both"/>
        <w:rPr>
          <w:sz w:val="24"/>
          <w:szCs w:val="24"/>
        </w:rPr>
      </w:pPr>
      <w:r w:rsidRPr="00D54380">
        <w:rPr>
          <w:sz w:val="24"/>
          <w:szCs w:val="24"/>
        </w:rPr>
        <w:t>U financijskim izvještajima se iskazuju materijalno značajne stavke i informacije. Procjena materijalnosti primjenjuje se na cijele financijske izvještaje, uključujući i bilješke.</w:t>
      </w:r>
    </w:p>
    <w:p w14:paraId="18DB2CA8" w14:textId="77777777" w:rsidR="00D54380" w:rsidRPr="00D54380" w:rsidRDefault="00D54380" w:rsidP="00D54380">
      <w:pPr>
        <w:spacing w:after="0" w:line="360" w:lineRule="auto"/>
        <w:jc w:val="both"/>
        <w:rPr>
          <w:sz w:val="24"/>
          <w:szCs w:val="24"/>
        </w:rPr>
      </w:pPr>
    </w:p>
    <w:p w14:paraId="2B4CD611" w14:textId="77777777" w:rsidR="00D54380" w:rsidRDefault="00D54380" w:rsidP="00D54380">
      <w:pPr>
        <w:spacing w:after="0" w:line="360" w:lineRule="auto"/>
        <w:jc w:val="both"/>
        <w:rPr>
          <w:sz w:val="24"/>
          <w:szCs w:val="24"/>
        </w:rPr>
      </w:pPr>
      <w:r w:rsidRPr="00D54380">
        <w:rPr>
          <w:sz w:val="24"/>
          <w:szCs w:val="24"/>
        </w:rPr>
        <w:t xml:space="preserve">Pri odlučivanju o tome koji će se podaci objaviti u financijskim izvještajima i pripadajućim bilješkama </w:t>
      </w:r>
      <w:proofErr w:type="spellStart"/>
      <w:r w:rsidRPr="00D54380">
        <w:rPr>
          <w:sz w:val="24"/>
          <w:szCs w:val="24"/>
        </w:rPr>
        <w:t>primjenjene</w:t>
      </w:r>
      <w:proofErr w:type="spellEnd"/>
      <w:r w:rsidRPr="00D54380">
        <w:rPr>
          <w:sz w:val="24"/>
          <w:szCs w:val="24"/>
        </w:rPr>
        <w:t xml:space="preserve"> su stručne prosudbe. </w:t>
      </w:r>
    </w:p>
    <w:p w14:paraId="3DBD0405" w14:textId="77777777" w:rsidR="00D54380" w:rsidRPr="00D54380" w:rsidRDefault="00D54380" w:rsidP="00D54380">
      <w:pPr>
        <w:spacing w:after="0" w:line="360" w:lineRule="auto"/>
        <w:jc w:val="both"/>
        <w:rPr>
          <w:sz w:val="24"/>
          <w:szCs w:val="24"/>
        </w:rPr>
      </w:pPr>
    </w:p>
    <w:p w14:paraId="1750165A" w14:textId="4A1E34D2" w:rsidR="00C447CE" w:rsidRDefault="00D54380" w:rsidP="00D54380">
      <w:pPr>
        <w:spacing w:after="0" w:line="360" w:lineRule="auto"/>
        <w:jc w:val="both"/>
        <w:rPr>
          <w:sz w:val="24"/>
          <w:szCs w:val="24"/>
        </w:rPr>
      </w:pPr>
      <w:r w:rsidRPr="00D54380">
        <w:rPr>
          <w:sz w:val="24"/>
          <w:szCs w:val="24"/>
        </w:rPr>
        <w:t>Određene iskazane stavke mogu se detaljnije ra</w:t>
      </w:r>
      <w:r w:rsidR="00FA09F4">
        <w:rPr>
          <w:sz w:val="24"/>
          <w:szCs w:val="24"/>
        </w:rPr>
        <w:t>š</w:t>
      </w:r>
      <w:r w:rsidRPr="00D54380">
        <w:rPr>
          <w:sz w:val="24"/>
          <w:szCs w:val="24"/>
        </w:rPr>
        <w:t>članiti ali se na agregiranoj osnovi dosljedno iskazuju iz razdoblja u razdoblje. Bilješke koje obuhvaćaju važne računovodstvene politike i druga objašnjenja prezentiraju se redoslijedom stavaka iskazanih u Izvještaju o dobiti i gubitku i Izvještaju o financijskom položaju prema strukturi za financijske institucije.</w:t>
      </w:r>
    </w:p>
    <w:p w14:paraId="10B4549D" w14:textId="77777777" w:rsidR="007C409B" w:rsidRPr="007C409B" w:rsidRDefault="007C409B" w:rsidP="007C409B">
      <w:pPr>
        <w:keepNext/>
        <w:spacing w:after="0" w:line="240" w:lineRule="auto"/>
        <w:jc w:val="both"/>
        <w:rPr>
          <w:rFonts w:ascii="Calibri" w:eastAsia="Times New Roman" w:hAnsi="Calibri" w:cs="Arial"/>
          <w:bCs/>
        </w:rPr>
      </w:pPr>
    </w:p>
    <w:p w14:paraId="711EBFB5" w14:textId="77777777" w:rsidR="007C409B" w:rsidRDefault="007C409B" w:rsidP="007C409B">
      <w:pPr>
        <w:keepNext/>
        <w:spacing w:after="0" w:line="240" w:lineRule="auto"/>
        <w:jc w:val="both"/>
        <w:rPr>
          <w:rFonts w:ascii="Calibri" w:eastAsia="Times New Roman" w:hAnsi="Calibri" w:cs="Arial"/>
          <w:bCs/>
        </w:rPr>
      </w:pPr>
    </w:p>
    <w:p w14:paraId="274374F0" w14:textId="77777777" w:rsidR="007C409B" w:rsidRPr="007C409B" w:rsidRDefault="007C409B" w:rsidP="007C409B">
      <w:pPr>
        <w:keepNext/>
        <w:spacing w:after="0" w:line="240" w:lineRule="auto"/>
        <w:jc w:val="both"/>
        <w:rPr>
          <w:rFonts w:ascii="Calibri" w:eastAsia="Times New Roman" w:hAnsi="Calibri" w:cs="Arial"/>
          <w:bCs/>
        </w:rPr>
      </w:pPr>
    </w:p>
    <w:tbl>
      <w:tblPr>
        <w:tblW w:w="3119" w:type="dxa"/>
        <w:tblLook w:val="04A0" w:firstRow="1" w:lastRow="0" w:firstColumn="1" w:lastColumn="0" w:noHBand="0" w:noVBand="1"/>
      </w:tblPr>
      <w:tblGrid>
        <w:gridCol w:w="3119"/>
      </w:tblGrid>
      <w:tr w:rsidR="007C409B" w:rsidRPr="007C409B" w14:paraId="70C27721" w14:textId="77777777" w:rsidTr="007C409B">
        <w:trPr>
          <w:trHeight w:hRule="exact" w:val="284"/>
        </w:trPr>
        <w:tc>
          <w:tcPr>
            <w:tcW w:w="3119" w:type="dxa"/>
          </w:tcPr>
          <w:p w14:paraId="43AD7731" w14:textId="77777777" w:rsidR="007C409B" w:rsidRPr="007C409B" w:rsidRDefault="007C409B" w:rsidP="007C409B">
            <w:pPr>
              <w:spacing w:after="0" w:line="240" w:lineRule="auto"/>
              <w:rPr>
                <w:rFonts w:ascii="Calibri" w:eastAsia="Times New Roman" w:hAnsi="Calibri" w:cs="Arial"/>
              </w:rPr>
            </w:pPr>
            <w:r w:rsidRPr="007C409B">
              <w:rPr>
                <w:rFonts w:ascii="Calibri" w:eastAsia="Times New Roman" w:hAnsi="Calibri" w:cs="Times New Roman"/>
              </w:rPr>
              <w:t>______________________</w:t>
            </w:r>
          </w:p>
        </w:tc>
      </w:tr>
      <w:tr w:rsidR="007C409B" w:rsidRPr="007C409B" w14:paraId="798ED67B" w14:textId="77777777" w:rsidTr="007C409B">
        <w:trPr>
          <w:trHeight w:val="269"/>
        </w:trPr>
        <w:tc>
          <w:tcPr>
            <w:tcW w:w="3119" w:type="dxa"/>
            <w:vAlign w:val="bottom"/>
          </w:tcPr>
          <w:p w14:paraId="6F610F24" w14:textId="77777777" w:rsidR="007C409B" w:rsidRPr="007C409B" w:rsidRDefault="007C409B" w:rsidP="007C409B">
            <w:pPr>
              <w:spacing w:after="0" w:line="240" w:lineRule="auto"/>
              <w:jc w:val="center"/>
              <w:rPr>
                <w:rFonts w:ascii="Calibri" w:eastAsia="Times New Roman" w:hAnsi="Calibri" w:cs="Arial"/>
              </w:rPr>
            </w:pPr>
            <w:r w:rsidRPr="007C409B">
              <w:rPr>
                <w:rFonts w:ascii="Calibri" w:eastAsia="Times New Roman" w:hAnsi="Calibri" w:cs="Arial"/>
              </w:rPr>
              <w:t>Valerija Marić</w:t>
            </w:r>
          </w:p>
        </w:tc>
      </w:tr>
      <w:tr w:rsidR="007C409B" w:rsidRPr="007C409B" w14:paraId="2BCA77FA" w14:textId="77777777" w:rsidTr="007C409B">
        <w:trPr>
          <w:trHeight w:hRule="exact" w:val="145"/>
        </w:trPr>
        <w:tc>
          <w:tcPr>
            <w:tcW w:w="3119" w:type="dxa"/>
          </w:tcPr>
          <w:p w14:paraId="77C71701" w14:textId="77777777" w:rsidR="007C409B" w:rsidRPr="007C409B" w:rsidRDefault="007C409B" w:rsidP="007C409B">
            <w:pPr>
              <w:spacing w:after="0" w:line="240" w:lineRule="auto"/>
              <w:jc w:val="center"/>
              <w:rPr>
                <w:rFonts w:ascii="Calibri" w:eastAsia="Times New Roman" w:hAnsi="Calibri" w:cs="Arial"/>
              </w:rPr>
            </w:pPr>
          </w:p>
        </w:tc>
      </w:tr>
      <w:tr w:rsidR="007C409B" w:rsidRPr="007C409B" w14:paraId="44FC5B5E" w14:textId="77777777" w:rsidTr="007C409B">
        <w:trPr>
          <w:trHeight w:val="421"/>
        </w:trPr>
        <w:tc>
          <w:tcPr>
            <w:tcW w:w="3119" w:type="dxa"/>
          </w:tcPr>
          <w:p w14:paraId="116979FB" w14:textId="77777777" w:rsidR="007C409B" w:rsidRPr="007C409B" w:rsidRDefault="007C409B" w:rsidP="007C409B">
            <w:pPr>
              <w:spacing w:after="0" w:line="240" w:lineRule="auto"/>
              <w:jc w:val="center"/>
              <w:rPr>
                <w:rFonts w:ascii="Calibri" w:eastAsia="Times New Roman" w:hAnsi="Calibri" w:cs="Arial"/>
                <w:b/>
              </w:rPr>
            </w:pPr>
            <w:r w:rsidRPr="007C409B">
              <w:rPr>
                <w:rFonts w:ascii="Calibri" w:eastAsia="Times New Roman" w:hAnsi="Calibri" w:cs="Arial"/>
                <w:b/>
              </w:rPr>
              <w:t>Pomoćnica direktora</w:t>
            </w:r>
          </w:p>
          <w:p w14:paraId="16794297" w14:textId="77777777" w:rsidR="007C409B" w:rsidRPr="007C409B" w:rsidRDefault="007C409B" w:rsidP="007C409B">
            <w:pPr>
              <w:spacing w:after="0" w:line="240" w:lineRule="auto"/>
              <w:jc w:val="center"/>
              <w:rPr>
                <w:rFonts w:ascii="Calibri" w:eastAsia="Times New Roman" w:hAnsi="Calibri" w:cs="Arial"/>
                <w:b/>
              </w:rPr>
            </w:pPr>
            <w:r w:rsidRPr="007C409B">
              <w:rPr>
                <w:rFonts w:ascii="Calibri" w:eastAsia="Times New Roman" w:hAnsi="Calibri" w:cs="Arial"/>
                <w:b/>
              </w:rPr>
              <w:t xml:space="preserve"> Sektora računovodstva</w:t>
            </w:r>
          </w:p>
        </w:tc>
      </w:tr>
    </w:tbl>
    <w:p w14:paraId="204A0E0D" w14:textId="77777777" w:rsidR="007C409B" w:rsidRPr="007C409B" w:rsidRDefault="007C409B" w:rsidP="007C409B">
      <w:pPr>
        <w:keepNext/>
        <w:spacing w:before="240" w:after="120" w:line="300" w:lineRule="exact"/>
        <w:rPr>
          <w:rFonts w:ascii="Calibri" w:eastAsia="Times New Roman" w:hAnsi="Calibri" w:cs="Arial"/>
          <w:bCs/>
        </w:rPr>
      </w:pPr>
    </w:p>
    <w:p w14:paraId="5409C796" w14:textId="77777777" w:rsidR="007C409B" w:rsidRPr="007C409B" w:rsidRDefault="007C409B" w:rsidP="007C409B">
      <w:pPr>
        <w:keepNext/>
        <w:spacing w:before="240" w:after="120" w:line="300" w:lineRule="exact"/>
        <w:jc w:val="both"/>
        <w:rPr>
          <w:rFonts w:ascii="Calibri" w:eastAsia="Times New Roman" w:hAnsi="Calibri" w:cs="Arial"/>
          <w:bCs/>
        </w:rPr>
      </w:pPr>
    </w:p>
    <w:tbl>
      <w:tblPr>
        <w:tblW w:w="9498" w:type="dxa"/>
        <w:jc w:val="center"/>
        <w:tblLook w:val="04A0" w:firstRow="1" w:lastRow="0" w:firstColumn="1" w:lastColumn="0" w:noHBand="0" w:noVBand="1"/>
      </w:tblPr>
      <w:tblGrid>
        <w:gridCol w:w="2977"/>
        <w:gridCol w:w="709"/>
        <w:gridCol w:w="2268"/>
        <w:gridCol w:w="850"/>
        <w:gridCol w:w="2694"/>
      </w:tblGrid>
      <w:tr w:rsidR="007C409B" w:rsidRPr="007C409B" w14:paraId="4880F0DA" w14:textId="77777777" w:rsidTr="007C409B">
        <w:trPr>
          <w:trHeight w:hRule="exact" w:val="284"/>
          <w:jc w:val="center"/>
        </w:trPr>
        <w:tc>
          <w:tcPr>
            <w:tcW w:w="2977" w:type="dxa"/>
          </w:tcPr>
          <w:p w14:paraId="163AAE8B" w14:textId="77777777" w:rsidR="007C409B" w:rsidRPr="007C409B" w:rsidRDefault="007C409B" w:rsidP="007C409B">
            <w:pPr>
              <w:spacing w:after="0" w:line="240" w:lineRule="auto"/>
              <w:jc w:val="center"/>
              <w:rPr>
                <w:rFonts w:ascii="Calibri" w:eastAsia="Times New Roman" w:hAnsi="Calibri" w:cs="Arial"/>
              </w:rPr>
            </w:pPr>
            <w:r w:rsidRPr="007C409B">
              <w:rPr>
                <w:rFonts w:ascii="Calibri" w:eastAsia="Times New Roman" w:hAnsi="Calibri" w:cs="Times New Roman"/>
              </w:rPr>
              <w:t>__________________</w:t>
            </w:r>
          </w:p>
        </w:tc>
        <w:tc>
          <w:tcPr>
            <w:tcW w:w="709" w:type="dxa"/>
          </w:tcPr>
          <w:p w14:paraId="6446D74C" w14:textId="77777777" w:rsidR="007C409B" w:rsidRPr="007C409B" w:rsidRDefault="007C409B" w:rsidP="007C409B">
            <w:pPr>
              <w:spacing w:after="0" w:line="240" w:lineRule="auto"/>
              <w:jc w:val="center"/>
              <w:rPr>
                <w:rFonts w:ascii="Calibri" w:eastAsia="Times New Roman" w:hAnsi="Calibri" w:cs="Times New Roman"/>
              </w:rPr>
            </w:pPr>
          </w:p>
        </w:tc>
        <w:tc>
          <w:tcPr>
            <w:tcW w:w="2268" w:type="dxa"/>
          </w:tcPr>
          <w:p w14:paraId="0CBE5F6C" w14:textId="77777777" w:rsidR="007C409B" w:rsidRPr="007C409B" w:rsidRDefault="007C409B" w:rsidP="007C409B">
            <w:pPr>
              <w:spacing w:after="0" w:line="240" w:lineRule="auto"/>
              <w:jc w:val="center"/>
              <w:rPr>
                <w:rFonts w:ascii="Calibri" w:eastAsia="Times New Roman" w:hAnsi="Calibri" w:cs="Arial"/>
              </w:rPr>
            </w:pPr>
          </w:p>
        </w:tc>
        <w:tc>
          <w:tcPr>
            <w:tcW w:w="850" w:type="dxa"/>
          </w:tcPr>
          <w:p w14:paraId="7E5F596B" w14:textId="77777777" w:rsidR="007C409B" w:rsidRPr="007C409B" w:rsidRDefault="007C409B" w:rsidP="007C409B">
            <w:pPr>
              <w:spacing w:after="0" w:line="240" w:lineRule="auto"/>
              <w:jc w:val="center"/>
              <w:rPr>
                <w:rFonts w:ascii="Calibri" w:eastAsia="Times New Roman" w:hAnsi="Calibri" w:cs="Times New Roman"/>
              </w:rPr>
            </w:pPr>
          </w:p>
        </w:tc>
        <w:tc>
          <w:tcPr>
            <w:tcW w:w="2694" w:type="dxa"/>
          </w:tcPr>
          <w:p w14:paraId="2AF65E00" w14:textId="77777777" w:rsidR="007C409B" w:rsidRPr="007C409B" w:rsidRDefault="007C409B" w:rsidP="007C409B">
            <w:pPr>
              <w:spacing w:after="0" w:line="240" w:lineRule="auto"/>
              <w:jc w:val="center"/>
              <w:rPr>
                <w:rFonts w:ascii="Calibri" w:eastAsia="Times New Roman" w:hAnsi="Calibri" w:cs="Arial"/>
              </w:rPr>
            </w:pPr>
            <w:r w:rsidRPr="007C409B">
              <w:rPr>
                <w:rFonts w:ascii="Calibri" w:eastAsia="Times New Roman" w:hAnsi="Calibri" w:cs="Times New Roman"/>
              </w:rPr>
              <w:t>___________________</w:t>
            </w:r>
          </w:p>
        </w:tc>
      </w:tr>
      <w:tr w:rsidR="007C409B" w:rsidRPr="007C409B" w14:paraId="26C7955A" w14:textId="77777777" w:rsidTr="007C409B">
        <w:trPr>
          <w:trHeight w:val="269"/>
          <w:jc w:val="center"/>
        </w:trPr>
        <w:tc>
          <w:tcPr>
            <w:tcW w:w="2977" w:type="dxa"/>
            <w:vAlign w:val="bottom"/>
          </w:tcPr>
          <w:p w14:paraId="15A4C6A5" w14:textId="77777777" w:rsidR="007C409B" w:rsidRPr="007C409B" w:rsidRDefault="007C409B" w:rsidP="007C409B">
            <w:pPr>
              <w:spacing w:after="0" w:line="240" w:lineRule="auto"/>
              <w:jc w:val="center"/>
              <w:rPr>
                <w:rFonts w:ascii="Calibri" w:eastAsia="Times New Roman" w:hAnsi="Calibri" w:cs="Arial"/>
              </w:rPr>
            </w:pPr>
            <w:r w:rsidRPr="007C409B">
              <w:rPr>
                <w:rFonts w:ascii="Calibri" w:eastAsia="Times New Roman" w:hAnsi="Calibri" w:cs="Arial"/>
              </w:rPr>
              <w:t xml:space="preserve">Martina </w:t>
            </w:r>
            <w:proofErr w:type="spellStart"/>
            <w:r w:rsidRPr="007C409B">
              <w:rPr>
                <w:rFonts w:ascii="Calibri" w:eastAsia="Times New Roman" w:hAnsi="Calibri" w:cs="Arial"/>
              </w:rPr>
              <w:t>Jus</w:t>
            </w:r>
            <w:proofErr w:type="spellEnd"/>
            <w:r w:rsidRPr="007C409B" w:rsidDel="0007650C">
              <w:rPr>
                <w:rFonts w:ascii="Calibri" w:eastAsia="Times New Roman" w:hAnsi="Calibri" w:cs="Arial"/>
              </w:rPr>
              <w:t xml:space="preserve"> </w:t>
            </w:r>
          </w:p>
        </w:tc>
        <w:tc>
          <w:tcPr>
            <w:tcW w:w="709" w:type="dxa"/>
          </w:tcPr>
          <w:p w14:paraId="6D656D8C" w14:textId="77777777" w:rsidR="007C409B" w:rsidRPr="007C409B" w:rsidDel="00603F8A" w:rsidRDefault="007C409B" w:rsidP="007C409B">
            <w:pPr>
              <w:spacing w:after="0" w:line="240" w:lineRule="auto"/>
              <w:jc w:val="center"/>
              <w:rPr>
                <w:rFonts w:ascii="Calibri" w:eastAsia="Times New Roman" w:hAnsi="Calibri" w:cs="Arial"/>
              </w:rPr>
            </w:pPr>
          </w:p>
        </w:tc>
        <w:tc>
          <w:tcPr>
            <w:tcW w:w="2268" w:type="dxa"/>
            <w:vAlign w:val="bottom"/>
          </w:tcPr>
          <w:p w14:paraId="67288A3E" w14:textId="77777777" w:rsidR="007C409B" w:rsidRPr="007C409B" w:rsidRDefault="007C409B" w:rsidP="007C409B">
            <w:pPr>
              <w:spacing w:after="0" w:line="240" w:lineRule="auto"/>
              <w:jc w:val="center"/>
              <w:rPr>
                <w:rFonts w:ascii="Calibri" w:eastAsia="Times New Roman" w:hAnsi="Calibri" w:cs="Arial"/>
              </w:rPr>
            </w:pPr>
          </w:p>
        </w:tc>
        <w:tc>
          <w:tcPr>
            <w:tcW w:w="850" w:type="dxa"/>
          </w:tcPr>
          <w:p w14:paraId="194C6C6E" w14:textId="77777777" w:rsidR="007C409B" w:rsidRPr="007C409B" w:rsidRDefault="007C409B" w:rsidP="007C409B">
            <w:pPr>
              <w:spacing w:after="0" w:line="240" w:lineRule="auto"/>
              <w:jc w:val="center"/>
              <w:rPr>
                <w:rFonts w:ascii="Calibri" w:eastAsia="Times New Roman" w:hAnsi="Calibri" w:cs="Arial"/>
              </w:rPr>
            </w:pPr>
          </w:p>
        </w:tc>
        <w:tc>
          <w:tcPr>
            <w:tcW w:w="2694" w:type="dxa"/>
            <w:vAlign w:val="bottom"/>
          </w:tcPr>
          <w:p w14:paraId="23E86DC3" w14:textId="77777777" w:rsidR="007C409B" w:rsidRPr="007C409B" w:rsidRDefault="007C409B" w:rsidP="007C409B">
            <w:pPr>
              <w:spacing w:after="0" w:line="240" w:lineRule="auto"/>
              <w:jc w:val="center"/>
              <w:rPr>
                <w:rFonts w:ascii="Calibri" w:eastAsia="Times New Roman" w:hAnsi="Calibri" w:cs="Arial"/>
              </w:rPr>
            </w:pPr>
            <w:r w:rsidRPr="007C409B">
              <w:rPr>
                <w:rFonts w:ascii="Calibri" w:eastAsia="Times New Roman" w:hAnsi="Calibri" w:cs="Arial"/>
              </w:rPr>
              <w:t xml:space="preserve">mr. </w:t>
            </w:r>
            <w:proofErr w:type="spellStart"/>
            <w:r w:rsidRPr="007C409B">
              <w:rPr>
                <w:rFonts w:ascii="Calibri" w:eastAsia="Times New Roman" w:hAnsi="Calibri" w:cs="Arial"/>
              </w:rPr>
              <w:t>sc</w:t>
            </w:r>
            <w:proofErr w:type="spellEnd"/>
            <w:r w:rsidRPr="007C409B">
              <w:rPr>
                <w:rFonts w:ascii="Calibri" w:eastAsia="Times New Roman" w:hAnsi="Calibri" w:cs="Arial"/>
              </w:rPr>
              <w:t xml:space="preserve">. Tamara </w:t>
            </w:r>
            <w:proofErr w:type="spellStart"/>
            <w:r w:rsidRPr="007C409B">
              <w:rPr>
                <w:rFonts w:ascii="Calibri" w:eastAsia="Times New Roman" w:hAnsi="Calibri" w:cs="Arial"/>
              </w:rPr>
              <w:t>Perko</w:t>
            </w:r>
            <w:proofErr w:type="spellEnd"/>
          </w:p>
        </w:tc>
      </w:tr>
      <w:tr w:rsidR="007C409B" w:rsidRPr="007C409B" w14:paraId="440E7E36" w14:textId="77777777" w:rsidTr="007C409B">
        <w:trPr>
          <w:trHeight w:hRule="exact" w:val="145"/>
          <w:jc w:val="center"/>
        </w:trPr>
        <w:tc>
          <w:tcPr>
            <w:tcW w:w="2977" w:type="dxa"/>
          </w:tcPr>
          <w:p w14:paraId="51B96A6C" w14:textId="77777777" w:rsidR="007C409B" w:rsidRPr="007C409B" w:rsidRDefault="007C409B" w:rsidP="007C409B">
            <w:pPr>
              <w:spacing w:after="0" w:line="240" w:lineRule="auto"/>
              <w:jc w:val="center"/>
              <w:rPr>
                <w:rFonts w:ascii="Calibri" w:eastAsia="Times New Roman" w:hAnsi="Calibri" w:cs="Arial"/>
              </w:rPr>
            </w:pPr>
          </w:p>
        </w:tc>
        <w:tc>
          <w:tcPr>
            <w:tcW w:w="709" w:type="dxa"/>
          </w:tcPr>
          <w:p w14:paraId="51348B13" w14:textId="77777777" w:rsidR="007C409B" w:rsidRPr="007C409B" w:rsidRDefault="007C409B" w:rsidP="007C409B">
            <w:pPr>
              <w:spacing w:after="0" w:line="240" w:lineRule="auto"/>
              <w:jc w:val="center"/>
              <w:rPr>
                <w:rFonts w:ascii="Calibri" w:eastAsia="Times New Roman" w:hAnsi="Calibri" w:cs="Arial"/>
              </w:rPr>
            </w:pPr>
          </w:p>
        </w:tc>
        <w:tc>
          <w:tcPr>
            <w:tcW w:w="2268" w:type="dxa"/>
          </w:tcPr>
          <w:p w14:paraId="67C82992" w14:textId="77777777" w:rsidR="007C409B" w:rsidRPr="007C409B" w:rsidRDefault="007C409B" w:rsidP="007C409B">
            <w:pPr>
              <w:spacing w:after="0" w:line="240" w:lineRule="auto"/>
              <w:jc w:val="center"/>
              <w:rPr>
                <w:rFonts w:ascii="Calibri" w:eastAsia="Times New Roman" w:hAnsi="Calibri" w:cs="Arial"/>
              </w:rPr>
            </w:pPr>
          </w:p>
        </w:tc>
        <w:tc>
          <w:tcPr>
            <w:tcW w:w="850" w:type="dxa"/>
          </w:tcPr>
          <w:p w14:paraId="04EFC5CC" w14:textId="77777777" w:rsidR="007C409B" w:rsidRPr="007C409B" w:rsidRDefault="007C409B" w:rsidP="007C409B">
            <w:pPr>
              <w:spacing w:after="0" w:line="240" w:lineRule="auto"/>
              <w:jc w:val="center"/>
              <w:rPr>
                <w:rFonts w:ascii="Calibri" w:eastAsia="Times New Roman" w:hAnsi="Calibri" w:cs="Arial"/>
              </w:rPr>
            </w:pPr>
          </w:p>
        </w:tc>
        <w:tc>
          <w:tcPr>
            <w:tcW w:w="2694" w:type="dxa"/>
          </w:tcPr>
          <w:p w14:paraId="7D83CAF8" w14:textId="77777777" w:rsidR="007C409B" w:rsidRPr="007C409B" w:rsidRDefault="007C409B" w:rsidP="007C409B">
            <w:pPr>
              <w:spacing w:after="0" w:line="240" w:lineRule="auto"/>
              <w:jc w:val="center"/>
              <w:rPr>
                <w:rFonts w:ascii="Calibri" w:eastAsia="Times New Roman" w:hAnsi="Calibri" w:cs="Arial"/>
              </w:rPr>
            </w:pPr>
          </w:p>
        </w:tc>
      </w:tr>
      <w:tr w:rsidR="007C409B" w:rsidRPr="007C409B" w14:paraId="027A4205" w14:textId="77777777" w:rsidTr="007C409B">
        <w:trPr>
          <w:trHeight w:val="421"/>
          <w:jc w:val="center"/>
        </w:trPr>
        <w:tc>
          <w:tcPr>
            <w:tcW w:w="2977" w:type="dxa"/>
          </w:tcPr>
          <w:p w14:paraId="7B0CA9AB" w14:textId="77777777" w:rsidR="007C409B" w:rsidRPr="007C409B" w:rsidRDefault="007C409B" w:rsidP="007C409B">
            <w:pPr>
              <w:spacing w:after="0" w:line="240" w:lineRule="auto"/>
              <w:jc w:val="center"/>
              <w:rPr>
                <w:rFonts w:ascii="Calibri" w:eastAsia="Times New Roman" w:hAnsi="Calibri" w:cs="Arial"/>
                <w:b/>
              </w:rPr>
            </w:pPr>
            <w:r w:rsidRPr="007C409B">
              <w:rPr>
                <w:rFonts w:ascii="Calibri" w:eastAsia="Times New Roman" w:hAnsi="Calibri" w:cs="Arial"/>
                <w:b/>
              </w:rPr>
              <w:t>Članica Uprave</w:t>
            </w:r>
          </w:p>
        </w:tc>
        <w:tc>
          <w:tcPr>
            <w:tcW w:w="709" w:type="dxa"/>
          </w:tcPr>
          <w:p w14:paraId="2FD5ECF9" w14:textId="77777777" w:rsidR="007C409B" w:rsidRPr="007C409B" w:rsidRDefault="007C409B" w:rsidP="007C409B">
            <w:pPr>
              <w:spacing w:after="0" w:line="240" w:lineRule="auto"/>
              <w:jc w:val="center"/>
              <w:rPr>
                <w:rFonts w:ascii="Calibri" w:eastAsia="Times New Roman" w:hAnsi="Calibri" w:cs="Arial"/>
                <w:b/>
              </w:rPr>
            </w:pPr>
          </w:p>
        </w:tc>
        <w:tc>
          <w:tcPr>
            <w:tcW w:w="2268" w:type="dxa"/>
          </w:tcPr>
          <w:p w14:paraId="3CF0DD01" w14:textId="77777777" w:rsidR="007C409B" w:rsidRPr="007C409B" w:rsidRDefault="007C409B" w:rsidP="007C409B">
            <w:pPr>
              <w:spacing w:after="0" w:line="240" w:lineRule="auto"/>
              <w:jc w:val="center"/>
              <w:rPr>
                <w:rFonts w:ascii="Calibri" w:eastAsia="Times New Roman" w:hAnsi="Calibri" w:cs="Arial"/>
                <w:b/>
              </w:rPr>
            </w:pPr>
          </w:p>
        </w:tc>
        <w:tc>
          <w:tcPr>
            <w:tcW w:w="850" w:type="dxa"/>
          </w:tcPr>
          <w:p w14:paraId="7F5B5350" w14:textId="77777777" w:rsidR="007C409B" w:rsidRPr="007C409B" w:rsidRDefault="007C409B" w:rsidP="007C409B">
            <w:pPr>
              <w:spacing w:after="0" w:line="240" w:lineRule="auto"/>
              <w:jc w:val="center"/>
              <w:rPr>
                <w:rFonts w:ascii="Calibri" w:eastAsia="Times New Roman" w:hAnsi="Calibri" w:cs="Arial"/>
                <w:b/>
              </w:rPr>
            </w:pPr>
          </w:p>
        </w:tc>
        <w:tc>
          <w:tcPr>
            <w:tcW w:w="2694" w:type="dxa"/>
          </w:tcPr>
          <w:p w14:paraId="6D98301A" w14:textId="77777777" w:rsidR="007C409B" w:rsidRPr="007C409B" w:rsidRDefault="007C409B" w:rsidP="007C409B">
            <w:pPr>
              <w:spacing w:after="0" w:line="240" w:lineRule="auto"/>
              <w:jc w:val="center"/>
              <w:rPr>
                <w:rFonts w:ascii="Calibri" w:eastAsia="Times New Roman" w:hAnsi="Calibri" w:cs="Arial"/>
                <w:b/>
              </w:rPr>
            </w:pPr>
            <w:r w:rsidRPr="007C409B">
              <w:rPr>
                <w:rFonts w:ascii="Calibri" w:eastAsia="Times New Roman" w:hAnsi="Calibri" w:cs="Arial"/>
                <w:b/>
              </w:rPr>
              <w:t>Predsjednica Uprave</w:t>
            </w:r>
          </w:p>
        </w:tc>
      </w:tr>
    </w:tbl>
    <w:p w14:paraId="0B15B4A8" w14:textId="77777777" w:rsidR="00D54380" w:rsidRPr="00252DA7" w:rsidRDefault="00D54380" w:rsidP="00D54380">
      <w:pPr>
        <w:keepNext/>
        <w:tabs>
          <w:tab w:val="right" w:pos="9781"/>
        </w:tabs>
        <w:spacing w:before="240" w:after="120" w:line="360" w:lineRule="auto"/>
        <w:jc w:val="both"/>
        <w:rPr>
          <w:rFonts w:eastAsia="Times New Roman" w:cs="Arial"/>
          <w:b/>
          <w:bCs/>
        </w:rPr>
      </w:pPr>
    </w:p>
    <w:p w14:paraId="5AC04FBF" w14:textId="03DD3A67" w:rsidR="00D54380" w:rsidRPr="00D54380" w:rsidRDefault="00D54380" w:rsidP="00D54380">
      <w:pPr>
        <w:spacing w:before="120" w:after="120" w:line="240" w:lineRule="auto"/>
        <w:rPr>
          <w:sz w:val="24"/>
          <w:szCs w:val="24"/>
        </w:rPr>
        <w:sectPr w:rsidR="00D54380" w:rsidRPr="00D54380" w:rsidSect="00D54380">
          <w:headerReference w:type="first" r:id="rId14"/>
          <w:footerReference w:type="first" r:id="rId15"/>
          <w:pgSz w:w="11906" w:h="16838" w:code="9"/>
          <w:pgMar w:top="1216" w:right="1133" w:bottom="1417" w:left="1417" w:header="709" w:footer="709" w:gutter="0"/>
          <w:pgNumType w:start="1"/>
          <w:cols w:space="708"/>
          <w:titlePg/>
          <w:docGrid w:linePitch="360"/>
        </w:sectPr>
      </w:pPr>
      <w:r w:rsidRPr="005144B3">
        <w:rPr>
          <w:rFonts w:eastAsia="Times New Roman" w:cs="Arial"/>
          <w:sz w:val="24"/>
          <w:szCs w:val="24"/>
        </w:rPr>
        <w:t xml:space="preserve">U Zagrebu, </w:t>
      </w:r>
      <w:r w:rsidR="00414506" w:rsidRPr="00414506">
        <w:rPr>
          <w:rFonts w:eastAsia="Times New Roman" w:cs="Arial"/>
          <w:sz w:val="24"/>
          <w:szCs w:val="24"/>
        </w:rPr>
        <w:t>28</w:t>
      </w:r>
      <w:r w:rsidRPr="004B42E3">
        <w:rPr>
          <w:rFonts w:eastAsia="Times New Roman" w:cs="Arial"/>
          <w:sz w:val="24"/>
          <w:szCs w:val="24"/>
        </w:rPr>
        <w:t>.</w:t>
      </w:r>
      <w:r w:rsidR="00257CDB" w:rsidRPr="004B42E3">
        <w:rPr>
          <w:rFonts w:eastAsia="Times New Roman" w:cs="Arial"/>
          <w:sz w:val="24"/>
          <w:szCs w:val="24"/>
        </w:rPr>
        <w:t xml:space="preserve"> kolovoz</w:t>
      </w:r>
      <w:r w:rsidRPr="00414506">
        <w:rPr>
          <w:rFonts w:eastAsia="Times New Roman" w:cs="Arial"/>
          <w:sz w:val="24"/>
          <w:szCs w:val="24"/>
        </w:rPr>
        <w:t xml:space="preserve"> 201</w:t>
      </w:r>
      <w:r w:rsidR="007C409B" w:rsidRPr="00414506">
        <w:rPr>
          <w:rFonts w:eastAsia="Times New Roman" w:cs="Arial"/>
          <w:sz w:val="24"/>
          <w:szCs w:val="24"/>
        </w:rPr>
        <w:t>7</w:t>
      </w:r>
      <w:r w:rsidRPr="005144B3">
        <w:rPr>
          <w:rFonts w:eastAsia="Times New Roman" w:cs="Arial"/>
          <w:sz w:val="24"/>
          <w:szCs w:val="24"/>
        </w:rPr>
        <w:t>. godine</w:t>
      </w:r>
    </w:p>
    <w:p w14:paraId="1EC02D80" w14:textId="6F966FAF" w:rsidR="00D97C38" w:rsidRDefault="00D97C38">
      <w:pPr>
        <w:spacing w:after="0" w:line="240" w:lineRule="auto"/>
      </w:pPr>
    </w:p>
    <w:p w14:paraId="794770AD" w14:textId="44BA9076" w:rsidR="000628AC" w:rsidRDefault="000628AC">
      <w:pPr>
        <w:spacing w:after="0" w:line="240" w:lineRule="auto"/>
      </w:pPr>
    </w:p>
    <w:p w14:paraId="4444E332" w14:textId="21CCD753" w:rsidR="000628AC" w:rsidRDefault="000628AC">
      <w:pPr>
        <w:spacing w:after="0" w:line="240" w:lineRule="auto"/>
      </w:pPr>
    </w:p>
    <w:p w14:paraId="4A6D3CAE" w14:textId="5BBDBB85" w:rsidR="000628AC" w:rsidRDefault="000628AC">
      <w:pPr>
        <w:spacing w:after="0" w:line="240" w:lineRule="auto"/>
      </w:pPr>
    </w:p>
    <w:p w14:paraId="18CFD521" w14:textId="78301778" w:rsidR="000628AC" w:rsidRDefault="000628AC">
      <w:pPr>
        <w:spacing w:after="0" w:line="240" w:lineRule="auto"/>
      </w:pPr>
    </w:p>
    <w:p w14:paraId="6801578B" w14:textId="16886091" w:rsidR="000628AC" w:rsidRDefault="000628AC">
      <w:pPr>
        <w:spacing w:after="0" w:line="240" w:lineRule="auto"/>
      </w:pPr>
    </w:p>
    <w:p w14:paraId="08ED51D4" w14:textId="1368D982" w:rsidR="000628AC" w:rsidRDefault="000628AC">
      <w:pPr>
        <w:spacing w:after="0" w:line="240" w:lineRule="auto"/>
      </w:pPr>
    </w:p>
    <w:p w14:paraId="386CF923" w14:textId="479E944C" w:rsidR="000628AC" w:rsidRDefault="000628AC">
      <w:pPr>
        <w:spacing w:after="0" w:line="240" w:lineRule="auto"/>
      </w:pPr>
    </w:p>
    <w:p w14:paraId="29AC069F" w14:textId="4786C187" w:rsidR="000628AC" w:rsidRDefault="000628AC">
      <w:pPr>
        <w:spacing w:after="0" w:line="240" w:lineRule="auto"/>
      </w:pPr>
    </w:p>
    <w:p w14:paraId="17BB21A0" w14:textId="0105B8D7" w:rsidR="000628AC" w:rsidRDefault="000628AC">
      <w:pPr>
        <w:spacing w:after="0" w:line="240" w:lineRule="auto"/>
      </w:pPr>
    </w:p>
    <w:p w14:paraId="5390CF0B" w14:textId="7563C903" w:rsidR="000628AC" w:rsidRDefault="000628AC">
      <w:pPr>
        <w:spacing w:after="0" w:line="240" w:lineRule="auto"/>
      </w:pPr>
    </w:p>
    <w:p w14:paraId="1023729A" w14:textId="3AF030D2" w:rsidR="000628AC" w:rsidRDefault="000628AC">
      <w:pPr>
        <w:spacing w:after="0" w:line="240" w:lineRule="auto"/>
      </w:pPr>
    </w:p>
    <w:p w14:paraId="2B8DCEF1" w14:textId="7A48C78B" w:rsidR="000628AC" w:rsidRDefault="000628AC">
      <w:pPr>
        <w:spacing w:after="0" w:line="240" w:lineRule="auto"/>
      </w:pPr>
    </w:p>
    <w:p w14:paraId="551C1116" w14:textId="30C860EB" w:rsidR="000628AC" w:rsidRDefault="000628AC">
      <w:pPr>
        <w:spacing w:after="0" w:line="240" w:lineRule="auto"/>
      </w:pPr>
    </w:p>
    <w:p w14:paraId="123AEEBE" w14:textId="79E59A8E" w:rsidR="000628AC" w:rsidRDefault="000628AC">
      <w:pPr>
        <w:spacing w:after="0" w:line="240" w:lineRule="auto"/>
      </w:pPr>
    </w:p>
    <w:p w14:paraId="786727E1" w14:textId="2871CAF7" w:rsidR="000628AC" w:rsidRDefault="000628AC">
      <w:pPr>
        <w:spacing w:after="0" w:line="240" w:lineRule="auto"/>
      </w:pPr>
    </w:p>
    <w:p w14:paraId="308432AF" w14:textId="5A992BF4" w:rsidR="000628AC" w:rsidRDefault="000628AC">
      <w:pPr>
        <w:spacing w:after="0" w:line="240" w:lineRule="auto"/>
      </w:pPr>
    </w:p>
    <w:p w14:paraId="41381B50" w14:textId="207CA694" w:rsidR="000628AC" w:rsidRDefault="000628AC">
      <w:pPr>
        <w:spacing w:after="0" w:line="240" w:lineRule="auto"/>
      </w:pPr>
    </w:p>
    <w:p w14:paraId="690F3F6C" w14:textId="09011344" w:rsidR="000628AC" w:rsidRDefault="000628AC">
      <w:pPr>
        <w:spacing w:after="0" w:line="240" w:lineRule="auto"/>
      </w:pPr>
    </w:p>
    <w:p w14:paraId="094CC2F1" w14:textId="60DF439B" w:rsidR="000628AC" w:rsidRDefault="000628AC">
      <w:pPr>
        <w:spacing w:after="0" w:line="240" w:lineRule="auto"/>
      </w:pPr>
    </w:p>
    <w:p w14:paraId="70318A04" w14:textId="3788AD32" w:rsidR="000628AC" w:rsidRDefault="000628AC">
      <w:pPr>
        <w:spacing w:after="0" w:line="240" w:lineRule="auto"/>
      </w:pPr>
    </w:p>
    <w:p w14:paraId="116926D1" w14:textId="0A02D6A1" w:rsidR="000628AC" w:rsidRDefault="000628AC">
      <w:pPr>
        <w:spacing w:after="0" w:line="240" w:lineRule="auto"/>
      </w:pPr>
    </w:p>
    <w:p w14:paraId="29F08288" w14:textId="0ACC5D0C" w:rsidR="000628AC" w:rsidRDefault="000628AC">
      <w:pPr>
        <w:spacing w:after="0" w:line="240" w:lineRule="auto"/>
      </w:pPr>
    </w:p>
    <w:p w14:paraId="5D1A4D54" w14:textId="551583A7" w:rsidR="000628AC" w:rsidRDefault="000628AC">
      <w:pPr>
        <w:spacing w:after="0" w:line="240" w:lineRule="auto"/>
      </w:pPr>
    </w:p>
    <w:p w14:paraId="35688C57" w14:textId="06DCA3F3" w:rsidR="000628AC" w:rsidRDefault="000628AC">
      <w:pPr>
        <w:spacing w:after="0" w:line="240" w:lineRule="auto"/>
      </w:pPr>
    </w:p>
    <w:p w14:paraId="598A598C" w14:textId="2B9A3983" w:rsidR="000628AC" w:rsidRDefault="000628AC">
      <w:pPr>
        <w:spacing w:after="0" w:line="240" w:lineRule="auto"/>
      </w:pPr>
    </w:p>
    <w:p w14:paraId="569D0E69" w14:textId="623EB858" w:rsidR="000628AC" w:rsidRDefault="000628AC">
      <w:pPr>
        <w:spacing w:after="0" w:line="240" w:lineRule="auto"/>
      </w:pPr>
    </w:p>
    <w:p w14:paraId="1B32FEE2" w14:textId="0E68E1B2" w:rsidR="000628AC" w:rsidRDefault="000628AC">
      <w:pPr>
        <w:spacing w:after="0" w:line="240" w:lineRule="auto"/>
      </w:pPr>
    </w:p>
    <w:p w14:paraId="68A728FA" w14:textId="6FDBEB50" w:rsidR="000628AC" w:rsidRDefault="000628AC">
      <w:pPr>
        <w:spacing w:after="0" w:line="240" w:lineRule="auto"/>
      </w:pPr>
    </w:p>
    <w:p w14:paraId="62DF5CDD" w14:textId="2DFA6D6B" w:rsidR="000628AC" w:rsidRDefault="000628AC">
      <w:pPr>
        <w:spacing w:after="0" w:line="240" w:lineRule="auto"/>
      </w:pPr>
    </w:p>
    <w:p w14:paraId="7B446142" w14:textId="09541472" w:rsidR="000628AC" w:rsidRDefault="000628AC">
      <w:pPr>
        <w:spacing w:after="0" w:line="240" w:lineRule="auto"/>
      </w:pPr>
    </w:p>
    <w:p w14:paraId="79A10971" w14:textId="31F41E73" w:rsidR="000628AC" w:rsidRDefault="000628AC">
      <w:pPr>
        <w:spacing w:after="0" w:line="240" w:lineRule="auto"/>
      </w:pPr>
    </w:p>
    <w:p w14:paraId="7D40F8EA" w14:textId="409A32BA" w:rsidR="000628AC" w:rsidRDefault="000628AC">
      <w:pPr>
        <w:spacing w:after="0" w:line="240" w:lineRule="auto"/>
      </w:pPr>
    </w:p>
    <w:p w14:paraId="7698DE03" w14:textId="618A0E20" w:rsidR="000628AC" w:rsidRDefault="000628AC">
      <w:pPr>
        <w:spacing w:after="0" w:line="240" w:lineRule="auto"/>
      </w:pPr>
    </w:p>
    <w:p w14:paraId="084CD757" w14:textId="06EDE5CC" w:rsidR="000628AC" w:rsidRDefault="000628AC">
      <w:pPr>
        <w:spacing w:after="0" w:line="240" w:lineRule="auto"/>
      </w:pPr>
    </w:p>
    <w:p w14:paraId="6F9577A2" w14:textId="541B685A" w:rsidR="000628AC" w:rsidRDefault="000628AC">
      <w:pPr>
        <w:spacing w:after="0" w:line="240" w:lineRule="auto"/>
      </w:pPr>
    </w:p>
    <w:p w14:paraId="3A7F311E" w14:textId="3C8C1F5E" w:rsidR="000628AC" w:rsidRDefault="000628AC">
      <w:pPr>
        <w:spacing w:after="0" w:line="240" w:lineRule="auto"/>
      </w:pPr>
    </w:p>
    <w:p w14:paraId="669C4053" w14:textId="135C8E91" w:rsidR="000628AC" w:rsidRDefault="000628AC">
      <w:pPr>
        <w:spacing w:after="0" w:line="240" w:lineRule="auto"/>
      </w:pPr>
    </w:p>
    <w:p w14:paraId="60D5FF0E" w14:textId="0CA6A6A3" w:rsidR="000628AC" w:rsidRDefault="000628AC">
      <w:pPr>
        <w:spacing w:after="0" w:line="240" w:lineRule="auto"/>
      </w:pPr>
    </w:p>
    <w:p w14:paraId="705379ED" w14:textId="4D797A93" w:rsidR="000628AC" w:rsidRDefault="000628AC">
      <w:pPr>
        <w:spacing w:after="0" w:line="240" w:lineRule="auto"/>
      </w:pPr>
    </w:p>
    <w:p w14:paraId="48602E72" w14:textId="2CE2AB79" w:rsidR="000628AC" w:rsidRDefault="000628AC">
      <w:pPr>
        <w:spacing w:after="0" w:line="240" w:lineRule="auto"/>
      </w:pPr>
    </w:p>
    <w:p w14:paraId="0ED9158E" w14:textId="77777777" w:rsidR="000628AC" w:rsidRDefault="000628AC">
      <w:pPr>
        <w:spacing w:after="0" w:line="240" w:lineRule="auto"/>
      </w:pPr>
    </w:p>
    <w:p w14:paraId="37033512" w14:textId="77777777" w:rsidR="000628AC" w:rsidRDefault="000628AC">
      <w:pPr>
        <w:spacing w:after="0" w:line="240" w:lineRule="auto"/>
        <w:sectPr w:rsidR="000628AC" w:rsidSect="00305343">
          <w:headerReference w:type="first" r:id="rId16"/>
          <w:footerReference w:type="first" r:id="rId17"/>
          <w:pgSz w:w="11906" w:h="16838" w:code="9"/>
          <w:pgMar w:top="1105" w:right="1133" w:bottom="1417" w:left="1417" w:header="709" w:footer="709" w:gutter="0"/>
          <w:pgNumType w:start="1"/>
          <w:cols w:space="708"/>
          <w:titlePg/>
          <w:docGrid w:linePitch="360"/>
        </w:sectPr>
      </w:pPr>
    </w:p>
    <w:p w14:paraId="58E41745" w14:textId="77777777" w:rsidR="000628AC" w:rsidRDefault="000628AC">
      <w:pPr>
        <w:spacing w:after="0" w:line="240" w:lineRule="auto"/>
        <w:sectPr w:rsidR="000628AC" w:rsidSect="00305343">
          <w:headerReference w:type="first" r:id="rId18"/>
          <w:footerReference w:type="first" r:id="rId19"/>
          <w:pgSz w:w="11906" w:h="16838" w:code="9"/>
          <w:pgMar w:top="1105" w:right="1133" w:bottom="1417" w:left="1417" w:header="709" w:footer="709" w:gutter="0"/>
          <w:pgNumType w:start="1"/>
          <w:cols w:space="708"/>
          <w:titlePg/>
          <w:docGrid w:linePitch="360"/>
        </w:sectPr>
      </w:pPr>
    </w:p>
    <w:p w14:paraId="414AE139" w14:textId="77777777" w:rsidR="000628AC" w:rsidRDefault="000628AC">
      <w:pPr>
        <w:spacing w:after="0" w:line="240" w:lineRule="auto"/>
        <w:sectPr w:rsidR="000628AC" w:rsidSect="00305343">
          <w:headerReference w:type="first" r:id="rId20"/>
          <w:footerReference w:type="first" r:id="rId21"/>
          <w:pgSz w:w="11906" w:h="16838" w:code="9"/>
          <w:pgMar w:top="1105" w:right="1133" w:bottom="1417" w:left="1417" w:header="709" w:footer="709" w:gutter="0"/>
          <w:pgNumType w:start="1"/>
          <w:cols w:space="708"/>
          <w:titlePg/>
          <w:docGrid w:linePitch="360"/>
        </w:sectPr>
      </w:pPr>
    </w:p>
    <w:p w14:paraId="09C3883E" w14:textId="77777777" w:rsidR="000628AC" w:rsidRDefault="000628AC">
      <w:pPr>
        <w:spacing w:after="0" w:line="240" w:lineRule="auto"/>
        <w:sectPr w:rsidR="000628AC" w:rsidSect="00305343">
          <w:headerReference w:type="first" r:id="rId22"/>
          <w:footerReference w:type="first" r:id="rId23"/>
          <w:pgSz w:w="11906" w:h="16838" w:code="9"/>
          <w:pgMar w:top="1105" w:right="1133" w:bottom="1417" w:left="1417" w:header="709" w:footer="709" w:gutter="0"/>
          <w:pgNumType w:start="1"/>
          <w:cols w:space="708"/>
          <w:titlePg/>
          <w:docGrid w:linePitch="360"/>
        </w:sectPr>
      </w:pPr>
    </w:p>
    <w:p w14:paraId="332D655D" w14:textId="77777777" w:rsidR="000628AC" w:rsidRDefault="000628AC">
      <w:pPr>
        <w:spacing w:after="0" w:line="240" w:lineRule="auto"/>
        <w:sectPr w:rsidR="000628AC" w:rsidSect="00305343">
          <w:headerReference w:type="first" r:id="rId24"/>
          <w:footerReference w:type="first" r:id="rId25"/>
          <w:pgSz w:w="11906" w:h="16838" w:code="9"/>
          <w:pgMar w:top="1105" w:right="1133" w:bottom="1417" w:left="1417" w:header="709" w:footer="709" w:gutter="0"/>
          <w:pgNumType w:start="1"/>
          <w:cols w:space="708"/>
          <w:titlePg/>
          <w:docGrid w:linePitch="360"/>
        </w:sectPr>
      </w:pPr>
    </w:p>
    <w:p w14:paraId="4D9E5C8B" w14:textId="2D4E62B4" w:rsidR="00D54380" w:rsidRPr="00CA37C8" w:rsidRDefault="00D54380">
      <w:pPr>
        <w:spacing w:after="0" w:line="240" w:lineRule="auto"/>
      </w:pPr>
    </w:p>
    <w:tbl>
      <w:tblPr>
        <w:tblpPr w:leftFromText="180" w:rightFromText="180" w:vertAnchor="text" w:horzAnchor="margin" w:tblpX="119" w:tblpY="17"/>
        <w:tblW w:w="4938" w:type="pct"/>
        <w:tblCellMar>
          <w:left w:w="119" w:type="dxa"/>
          <w:right w:w="119" w:type="dxa"/>
        </w:tblCellMar>
        <w:tblLook w:val="0000" w:firstRow="0" w:lastRow="0" w:firstColumn="0" w:lastColumn="0" w:noHBand="0" w:noVBand="0"/>
      </w:tblPr>
      <w:tblGrid>
        <w:gridCol w:w="3053"/>
        <w:gridCol w:w="961"/>
        <w:gridCol w:w="1380"/>
        <w:gridCol w:w="1233"/>
        <w:gridCol w:w="1393"/>
        <w:gridCol w:w="1220"/>
      </w:tblGrid>
      <w:tr w:rsidR="003A2F91" w:rsidRPr="00CA37C8" w14:paraId="4256FD1B" w14:textId="77777777" w:rsidTr="001B316F">
        <w:trPr>
          <w:trHeight w:val="291"/>
        </w:trPr>
        <w:tc>
          <w:tcPr>
            <w:tcW w:w="1652" w:type="pct"/>
            <w:vAlign w:val="center"/>
          </w:tcPr>
          <w:p w14:paraId="07CAE314" w14:textId="77777777" w:rsidR="003A2F91" w:rsidRPr="00CA37C8" w:rsidRDefault="003A2F91" w:rsidP="001B316F">
            <w:pPr>
              <w:tabs>
                <w:tab w:val="right" w:pos="1202"/>
              </w:tabs>
              <w:spacing w:after="0" w:line="280" w:lineRule="exact"/>
              <w:jc w:val="right"/>
              <w:outlineLvl w:val="0"/>
              <w:rPr>
                <w:rFonts w:eastAsia="Times New Roman" w:cs="Arial"/>
                <w:b/>
                <w:bCs/>
              </w:rPr>
            </w:pPr>
          </w:p>
        </w:tc>
        <w:tc>
          <w:tcPr>
            <w:tcW w:w="520" w:type="pct"/>
            <w:vAlign w:val="center"/>
          </w:tcPr>
          <w:p w14:paraId="0D762420" w14:textId="77777777" w:rsidR="003A2F91" w:rsidRPr="00CA37C8" w:rsidRDefault="003A2F91" w:rsidP="001B316F">
            <w:pPr>
              <w:spacing w:after="0" w:line="280" w:lineRule="exact"/>
              <w:jc w:val="center"/>
              <w:outlineLvl w:val="0"/>
              <w:rPr>
                <w:rFonts w:eastAsia="Times New Roman" w:cs="Arial"/>
                <w:b/>
                <w:bCs/>
              </w:rPr>
            </w:pPr>
          </w:p>
        </w:tc>
        <w:tc>
          <w:tcPr>
            <w:tcW w:w="1414" w:type="pct"/>
            <w:gridSpan w:val="2"/>
            <w:vAlign w:val="center"/>
          </w:tcPr>
          <w:p w14:paraId="08549966" w14:textId="4DFB22C9" w:rsidR="003A2F91" w:rsidRPr="00DA4E52" w:rsidRDefault="003A2F91" w:rsidP="00932654">
            <w:pPr>
              <w:pStyle w:val="TT"/>
              <w:tabs>
                <w:tab w:val="clear" w:pos="1202"/>
              </w:tabs>
              <w:spacing w:line="240" w:lineRule="auto"/>
              <w:jc w:val="center"/>
              <w:rPr>
                <w:rFonts w:ascii="Calibri" w:hAnsi="Calibri" w:cs="Calibri"/>
                <w:b/>
                <w:bCs/>
                <w:sz w:val="22"/>
                <w:szCs w:val="22"/>
              </w:rPr>
            </w:pPr>
            <w:r>
              <w:rPr>
                <w:rFonts w:ascii="Calibri" w:hAnsi="Calibri" w:cs="Calibri"/>
                <w:b/>
                <w:bCs/>
                <w:sz w:val="22"/>
                <w:szCs w:val="22"/>
              </w:rPr>
              <w:t>2017</w:t>
            </w:r>
            <w:r w:rsidRPr="00DA4E52">
              <w:rPr>
                <w:rFonts w:ascii="Calibri" w:hAnsi="Calibri" w:cs="Calibri"/>
                <w:b/>
                <w:bCs/>
                <w:sz w:val="22"/>
                <w:szCs w:val="22"/>
              </w:rPr>
              <w:t>.</w:t>
            </w:r>
          </w:p>
        </w:tc>
        <w:tc>
          <w:tcPr>
            <w:tcW w:w="1414" w:type="pct"/>
            <w:gridSpan w:val="2"/>
            <w:vAlign w:val="center"/>
          </w:tcPr>
          <w:p w14:paraId="308D9341" w14:textId="41E08B4E" w:rsidR="003A2F91" w:rsidRPr="00DA4E52" w:rsidRDefault="003A2F91" w:rsidP="00D96540">
            <w:pPr>
              <w:pStyle w:val="TT"/>
              <w:tabs>
                <w:tab w:val="clear" w:pos="1202"/>
              </w:tabs>
              <w:spacing w:line="240" w:lineRule="auto"/>
              <w:jc w:val="center"/>
              <w:rPr>
                <w:rFonts w:ascii="Calibri" w:hAnsi="Calibri" w:cs="Calibri"/>
                <w:b/>
                <w:bCs/>
                <w:sz w:val="22"/>
                <w:szCs w:val="22"/>
              </w:rPr>
            </w:pPr>
            <w:r>
              <w:rPr>
                <w:rFonts w:ascii="Calibri" w:hAnsi="Calibri" w:cs="Calibri"/>
                <w:b/>
                <w:bCs/>
                <w:sz w:val="22"/>
                <w:szCs w:val="22"/>
              </w:rPr>
              <w:t>2016</w:t>
            </w:r>
            <w:r w:rsidRPr="00DA4E52">
              <w:rPr>
                <w:rFonts w:ascii="Calibri" w:hAnsi="Calibri" w:cs="Calibri"/>
                <w:b/>
                <w:bCs/>
                <w:sz w:val="22"/>
                <w:szCs w:val="22"/>
              </w:rPr>
              <w:t>.</w:t>
            </w:r>
          </w:p>
        </w:tc>
      </w:tr>
      <w:tr w:rsidR="003A2F91" w:rsidRPr="00CA37C8" w14:paraId="6E1C8366" w14:textId="77777777" w:rsidTr="001B316F">
        <w:trPr>
          <w:trHeight w:val="419"/>
        </w:trPr>
        <w:tc>
          <w:tcPr>
            <w:tcW w:w="1652" w:type="pct"/>
            <w:vAlign w:val="center"/>
          </w:tcPr>
          <w:p w14:paraId="1E38BC25" w14:textId="77777777" w:rsidR="003A2F91" w:rsidRPr="00CA37C8" w:rsidRDefault="003A2F91" w:rsidP="001B316F">
            <w:pPr>
              <w:tabs>
                <w:tab w:val="right" w:pos="1202"/>
              </w:tabs>
              <w:spacing w:after="0" w:line="280" w:lineRule="exact"/>
              <w:jc w:val="right"/>
              <w:outlineLvl w:val="0"/>
              <w:rPr>
                <w:rFonts w:eastAsia="Times New Roman" w:cs="Arial"/>
                <w:b/>
                <w:bCs/>
              </w:rPr>
            </w:pPr>
          </w:p>
        </w:tc>
        <w:tc>
          <w:tcPr>
            <w:tcW w:w="520" w:type="pct"/>
            <w:vAlign w:val="center"/>
          </w:tcPr>
          <w:p w14:paraId="019687ED" w14:textId="77777777" w:rsidR="003A2F91" w:rsidRPr="00CA37C8" w:rsidRDefault="003A2F91" w:rsidP="001B316F">
            <w:pPr>
              <w:spacing w:after="0" w:line="280" w:lineRule="exact"/>
              <w:jc w:val="center"/>
              <w:outlineLvl w:val="0"/>
              <w:rPr>
                <w:rFonts w:eastAsia="Times New Roman" w:cs="Arial"/>
                <w:b/>
                <w:bCs/>
              </w:rPr>
            </w:pPr>
            <w:r w:rsidRPr="00CA37C8">
              <w:rPr>
                <w:rFonts w:eastAsia="Times New Roman" w:cs="Arial"/>
                <w:b/>
                <w:bCs/>
              </w:rPr>
              <w:t>Bilješka</w:t>
            </w:r>
          </w:p>
        </w:tc>
        <w:tc>
          <w:tcPr>
            <w:tcW w:w="747" w:type="pct"/>
            <w:vAlign w:val="center"/>
          </w:tcPr>
          <w:p w14:paraId="06E93038" w14:textId="77777777" w:rsidR="003A2F91" w:rsidRPr="003A1120" w:rsidRDefault="003A2F91" w:rsidP="001B316F">
            <w:pPr>
              <w:pStyle w:val="TT"/>
              <w:tabs>
                <w:tab w:val="clear" w:pos="1202"/>
              </w:tabs>
              <w:spacing w:line="240" w:lineRule="auto"/>
              <w:jc w:val="center"/>
              <w:rPr>
                <w:rFonts w:ascii="Calibri" w:hAnsi="Calibri" w:cs="Calibri"/>
                <w:bCs/>
                <w:noProof/>
                <w:sz w:val="22"/>
                <w:szCs w:val="22"/>
              </w:rPr>
            </w:pPr>
            <w:r w:rsidRPr="003A1120">
              <w:rPr>
                <w:rFonts w:ascii="Calibri" w:hAnsi="Calibri" w:cs="Calibri"/>
                <w:bCs/>
                <w:noProof/>
                <w:sz w:val="22"/>
                <w:szCs w:val="22"/>
              </w:rPr>
              <w:t>Tekuće razdoblje</w:t>
            </w:r>
          </w:p>
          <w:p w14:paraId="3AEB92C3" w14:textId="77777777" w:rsidR="003A2F91" w:rsidRPr="003A1120" w:rsidRDefault="003A2F91" w:rsidP="001B316F">
            <w:pPr>
              <w:pStyle w:val="TT"/>
              <w:tabs>
                <w:tab w:val="clear" w:pos="1202"/>
              </w:tabs>
              <w:spacing w:line="240" w:lineRule="auto"/>
              <w:jc w:val="center"/>
              <w:rPr>
                <w:rFonts w:ascii="Calibri" w:hAnsi="Calibri" w:cs="Calibri"/>
                <w:bCs/>
                <w:noProof/>
                <w:sz w:val="22"/>
                <w:szCs w:val="22"/>
              </w:rPr>
            </w:pPr>
            <w:r>
              <w:rPr>
                <w:rFonts w:ascii="Calibri" w:hAnsi="Calibri" w:cs="Calibri"/>
                <w:bCs/>
                <w:noProof/>
                <w:sz w:val="22"/>
                <w:szCs w:val="22"/>
              </w:rPr>
              <w:t>1.4. - 30.</w:t>
            </w:r>
            <w:r w:rsidRPr="003A1120">
              <w:rPr>
                <w:rFonts w:ascii="Calibri" w:hAnsi="Calibri" w:cs="Calibri"/>
                <w:bCs/>
                <w:noProof/>
                <w:sz w:val="22"/>
                <w:szCs w:val="22"/>
              </w:rPr>
              <w:t>6.</w:t>
            </w:r>
          </w:p>
        </w:tc>
        <w:tc>
          <w:tcPr>
            <w:tcW w:w="667" w:type="pct"/>
            <w:vAlign w:val="center"/>
          </w:tcPr>
          <w:p w14:paraId="7A6A0D94" w14:textId="77777777" w:rsidR="003A2F91" w:rsidRPr="003A1120" w:rsidRDefault="003A2F91" w:rsidP="001B316F">
            <w:pPr>
              <w:pStyle w:val="TT"/>
              <w:tabs>
                <w:tab w:val="clear" w:pos="1202"/>
              </w:tabs>
              <w:spacing w:line="240" w:lineRule="auto"/>
              <w:jc w:val="center"/>
              <w:rPr>
                <w:rFonts w:ascii="Calibri" w:hAnsi="Calibri" w:cs="Calibri"/>
                <w:bCs/>
                <w:noProof/>
                <w:sz w:val="22"/>
                <w:szCs w:val="22"/>
              </w:rPr>
            </w:pPr>
            <w:r w:rsidRPr="003A1120">
              <w:rPr>
                <w:rFonts w:ascii="Calibri" w:hAnsi="Calibri" w:cs="Calibri"/>
                <w:bCs/>
                <w:noProof/>
                <w:sz w:val="22"/>
                <w:szCs w:val="22"/>
              </w:rPr>
              <w:t>Kumulativ</w:t>
            </w:r>
          </w:p>
          <w:p w14:paraId="5197DAE7" w14:textId="77777777" w:rsidR="003A2F91" w:rsidRPr="003A1120" w:rsidRDefault="003A2F91" w:rsidP="001B316F">
            <w:pPr>
              <w:pStyle w:val="TT"/>
              <w:tabs>
                <w:tab w:val="clear" w:pos="1202"/>
              </w:tabs>
              <w:spacing w:line="240" w:lineRule="auto"/>
              <w:jc w:val="center"/>
              <w:rPr>
                <w:rFonts w:ascii="Calibri" w:hAnsi="Calibri" w:cs="Calibri"/>
                <w:bCs/>
                <w:noProof/>
                <w:sz w:val="22"/>
                <w:szCs w:val="22"/>
              </w:rPr>
            </w:pPr>
            <w:r>
              <w:rPr>
                <w:rFonts w:ascii="Calibri" w:hAnsi="Calibri" w:cs="Calibri"/>
                <w:bCs/>
                <w:noProof/>
                <w:sz w:val="22"/>
                <w:szCs w:val="22"/>
              </w:rPr>
              <w:t>1.1. - 30.</w:t>
            </w:r>
            <w:r w:rsidRPr="003A1120">
              <w:rPr>
                <w:rFonts w:ascii="Calibri" w:hAnsi="Calibri" w:cs="Calibri"/>
                <w:bCs/>
                <w:noProof/>
                <w:sz w:val="22"/>
                <w:szCs w:val="22"/>
              </w:rPr>
              <w:t>6.</w:t>
            </w:r>
          </w:p>
        </w:tc>
        <w:tc>
          <w:tcPr>
            <w:tcW w:w="754" w:type="pct"/>
            <w:vAlign w:val="center"/>
          </w:tcPr>
          <w:p w14:paraId="49B5BEBD" w14:textId="77777777" w:rsidR="003A2F91" w:rsidRPr="003A1120" w:rsidRDefault="003A2F91" w:rsidP="001B316F">
            <w:pPr>
              <w:pStyle w:val="TT"/>
              <w:tabs>
                <w:tab w:val="clear" w:pos="1202"/>
              </w:tabs>
              <w:spacing w:line="240" w:lineRule="auto"/>
              <w:jc w:val="center"/>
              <w:rPr>
                <w:rFonts w:ascii="Calibri" w:hAnsi="Calibri" w:cs="Calibri"/>
                <w:bCs/>
                <w:noProof/>
                <w:sz w:val="22"/>
                <w:szCs w:val="22"/>
              </w:rPr>
            </w:pPr>
            <w:r w:rsidRPr="003A1120">
              <w:rPr>
                <w:rFonts w:ascii="Calibri" w:hAnsi="Calibri" w:cs="Calibri"/>
                <w:bCs/>
                <w:noProof/>
                <w:sz w:val="22"/>
                <w:szCs w:val="22"/>
              </w:rPr>
              <w:t>Tekuće razdoblje</w:t>
            </w:r>
          </w:p>
          <w:p w14:paraId="5C6324F0" w14:textId="77777777" w:rsidR="003A2F91" w:rsidRPr="003A1120" w:rsidRDefault="003A2F91" w:rsidP="001B316F">
            <w:pPr>
              <w:pStyle w:val="TT"/>
              <w:tabs>
                <w:tab w:val="clear" w:pos="1202"/>
              </w:tabs>
              <w:spacing w:line="240" w:lineRule="auto"/>
              <w:jc w:val="center"/>
              <w:rPr>
                <w:rFonts w:ascii="Calibri" w:hAnsi="Calibri" w:cs="Calibri"/>
                <w:bCs/>
                <w:noProof/>
                <w:sz w:val="22"/>
                <w:szCs w:val="22"/>
              </w:rPr>
            </w:pPr>
            <w:r>
              <w:rPr>
                <w:rFonts w:ascii="Calibri" w:hAnsi="Calibri" w:cs="Calibri"/>
                <w:bCs/>
                <w:noProof/>
                <w:sz w:val="22"/>
                <w:szCs w:val="22"/>
              </w:rPr>
              <w:t>1.4. - 30.</w:t>
            </w:r>
            <w:r w:rsidRPr="003A1120">
              <w:rPr>
                <w:rFonts w:ascii="Calibri" w:hAnsi="Calibri" w:cs="Calibri"/>
                <w:bCs/>
                <w:noProof/>
                <w:sz w:val="22"/>
                <w:szCs w:val="22"/>
              </w:rPr>
              <w:t>6.</w:t>
            </w:r>
          </w:p>
        </w:tc>
        <w:tc>
          <w:tcPr>
            <w:tcW w:w="660" w:type="pct"/>
            <w:vAlign w:val="center"/>
          </w:tcPr>
          <w:p w14:paraId="628CE194" w14:textId="77777777" w:rsidR="003A2F91" w:rsidRPr="003A1120" w:rsidRDefault="003A2F91" w:rsidP="001B316F">
            <w:pPr>
              <w:pStyle w:val="TT"/>
              <w:tabs>
                <w:tab w:val="clear" w:pos="1202"/>
              </w:tabs>
              <w:spacing w:line="240" w:lineRule="auto"/>
              <w:jc w:val="center"/>
              <w:rPr>
                <w:rFonts w:ascii="Calibri" w:hAnsi="Calibri" w:cs="Calibri"/>
                <w:bCs/>
                <w:noProof/>
                <w:sz w:val="22"/>
                <w:szCs w:val="22"/>
              </w:rPr>
            </w:pPr>
            <w:r w:rsidRPr="003A1120">
              <w:rPr>
                <w:rFonts w:ascii="Calibri" w:hAnsi="Calibri" w:cs="Calibri"/>
                <w:bCs/>
                <w:noProof/>
                <w:sz w:val="22"/>
                <w:szCs w:val="22"/>
              </w:rPr>
              <w:t>Kumulativ</w:t>
            </w:r>
          </w:p>
          <w:p w14:paraId="51B6D52A" w14:textId="77777777" w:rsidR="003A2F91" w:rsidRPr="003A1120" w:rsidRDefault="003A2F91" w:rsidP="001B316F">
            <w:pPr>
              <w:pStyle w:val="TT"/>
              <w:tabs>
                <w:tab w:val="clear" w:pos="1202"/>
              </w:tabs>
              <w:spacing w:line="240" w:lineRule="auto"/>
              <w:jc w:val="center"/>
              <w:rPr>
                <w:rFonts w:ascii="Calibri" w:hAnsi="Calibri" w:cs="Calibri"/>
                <w:bCs/>
                <w:noProof/>
                <w:sz w:val="22"/>
                <w:szCs w:val="22"/>
              </w:rPr>
            </w:pPr>
            <w:r>
              <w:rPr>
                <w:rFonts w:ascii="Calibri" w:hAnsi="Calibri" w:cs="Calibri"/>
                <w:bCs/>
                <w:noProof/>
                <w:sz w:val="22"/>
                <w:szCs w:val="22"/>
              </w:rPr>
              <w:t>1.1. - 30.</w:t>
            </w:r>
            <w:r w:rsidRPr="003A1120">
              <w:rPr>
                <w:rFonts w:ascii="Calibri" w:hAnsi="Calibri" w:cs="Calibri"/>
                <w:bCs/>
                <w:noProof/>
                <w:sz w:val="22"/>
                <w:szCs w:val="22"/>
              </w:rPr>
              <w:t>6.</w:t>
            </w:r>
          </w:p>
        </w:tc>
      </w:tr>
      <w:tr w:rsidR="003A2F91" w:rsidRPr="00CA37C8" w14:paraId="417A5530" w14:textId="77777777" w:rsidTr="001B316F">
        <w:trPr>
          <w:trHeight w:hRule="exact" w:val="119"/>
        </w:trPr>
        <w:tc>
          <w:tcPr>
            <w:tcW w:w="1652" w:type="pct"/>
          </w:tcPr>
          <w:p w14:paraId="56E9C369" w14:textId="77777777" w:rsidR="003A2F91" w:rsidRPr="00CA37C8" w:rsidRDefault="003A2F91" w:rsidP="001B316F">
            <w:pPr>
              <w:tabs>
                <w:tab w:val="right" w:pos="1202"/>
              </w:tabs>
              <w:spacing w:after="0" w:line="280" w:lineRule="exact"/>
              <w:outlineLvl w:val="0"/>
              <w:rPr>
                <w:rFonts w:eastAsia="Times New Roman" w:cs="Arial"/>
              </w:rPr>
            </w:pPr>
          </w:p>
        </w:tc>
        <w:tc>
          <w:tcPr>
            <w:tcW w:w="520" w:type="pct"/>
          </w:tcPr>
          <w:p w14:paraId="60FA6796" w14:textId="77777777" w:rsidR="003A2F91" w:rsidRPr="00CA37C8" w:rsidRDefault="003A2F91" w:rsidP="001B316F">
            <w:pPr>
              <w:spacing w:after="0" w:line="280" w:lineRule="exact"/>
              <w:jc w:val="right"/>
              <w:outlineLvl w:val="0"/>
              <w:rPr>
                <w:rFonts w:eastAsia="Times New Roman" w:cs="Arial"/>
                <w:b/>
              </w:rPr>
            </w:pPr>
          </w:p>
        </w:tc>
        <w:tc>
          <w:tcPr>
            <w:tcW w:w="747" w:type="pct"/>
          </w:tcPr>
          <w:p w14:paraId="0164DA89" w14:textId="77777777" w:rsidR="003A2F91" w:rsidRPr="00CA37C8" w:rsidRDefault="003A2F91" w:rsidP="001B316F">
            <w:pPr>
              <w:spacing w:after="0" w:line="280" w:lineRule="exact"/>
              <w:jc w:val="right"/>
              <w:outlineLvl w:val="0"/>
              <w:rPr>
                <w:rFonts w:eastAsia="Times New Roman" w:cs="Arial"/>
                <w:b/>
              </w:rPr>
            </w:pPr>
          </w:p>
        </w:tc>
        <w:tc>
          <w:tcPr>
            <w:tcW w:w="667" w:type="pct"/>
          </w:tcPr>
          <w:p w14:paraId="1520629C" w14:textId="77777777" w:rsidR="003A2F91" w:rsidRPr="00CA37C8" w:rsidRDefault="003A2F91" w:rsidP="001B316F">
            <w:pPr>
              <w:spacing w:after="0" w:line="280" w:lineRule="exact"/>
              <w:jc w:val="right"/>
              <w:outlineLvl w:val="0"/>
              <w:rPr>
                <w:rFonts w:eastAsia="Times New Roman" w:cs="Arial"/>
                <w:b/>
              </w:rPr>
            </w:pPr>
          </w:p>
        </w:tc>
        <w:tc>
          <w:tcPr>
            <w:tcW w:w="754" w:type="pct"/>
          </w:tcPr>
          <w:p w14:paraId="1673ADED" w14:textId="77777777" w:rsidR="003A2F91" w:rsidRPr="00CA37C8" w:rsidRDefault="003A2F91" w:rsidP="001B316F">
            <w:pPr>
              <w:spacing w:after="0" w:line="280" w:lineRule="exact"/>
              <w:jc w:val="right"/>
              <w:outlineLvl w:val="0"/>
              <w:rPr>
                <w:rFonts w:eastAsia="Times New Roman" w:cs="Arial"/>
                <w:b/>
              </w:rPr>
            </w:pPr>
          </w:p>
        </w:tc>
        <w:tc>
          <w:tcPr>
            <w:tcW w:w="660" w:type="pct"/>
          </w:tcPr>
          <w:p w14:paraId="6EE4255D" w14:textId="77777777" w:rsidR="003A2F91" w:rsidRPr="00CA37C8" w:rsidRDefault="003A2F91" w:rsidP="001B316F">
            <w:pPr>
              <w:spacing w:after="0" w:line="280" w:lineRule="exact"/>
              <w:jc w:val="right"/>
              <w:outlineLvl w:val="0"/>
              <w:rPr>
                <w:rFonts w:eastAsia="Times New Roman" w:cs="Arial"/>
                <w:b/>
              </w:rPr>
            </w:pPr>
          </w:p>
        </w:tc>
      </w:tr>
      <w:tr w:rsidR="003A2F91" w:rsidRPr="00CA37C8" w14:paraId="4FCDB1FF" w14:textId="77777777" w:rsidTr="00312975">
        <w:trPr>
          <w:trHeight w:val="356"/>
        </w:trPr>
        <w:tc>
          <w:tcPr>
            <w:tcW w:w="1652" w:type="pct"/>
            <w:vAlign w:val="bottom"/>
          </w:tcPr>
          <w:p w14:paraId="0D22DFFE" w14:textId="77777777" w:rsidR="003A2F91" w:rsidRPr="00CA37C8" w:rsidRDefault="003A2F91" w:rsidP="003A2F91">
            <w:pPr>
              <w:tabs>
                <w:tab w:val="right" w:pos="1202"/>
              </w:tabs>
              <w:spacing w:after="0" w:line="280" w:lineRule="exact"/>
              <w:outlineLvl w:val="0"/>
              <w:rPr>
                <w:rFonts w:eastAsia="Times New Roman" w:cs="Arial"/>
                <w:bCs/>
              </w:rPr>
            </w:pPr>
            <w:r w:rsidRPr="00CA37C8">
              <w:rPr>
                <w:rFonts w:eastAsia="Times New Roman" w:cs="Arial"/>
                <w:bCs/>
                <w:spacing w:val="-2"/>
              </w:rPr>
              <w:t>Prihodi od kamata</w:t>
            </w:r>
          </w:p>
        </w:tc>
        <w:tc>
          <w:tcPr>
            <w:tcW w:w="520" w:type="pct"/>
            <w:vAlign w:val="center"/>
          </w:tcPr>
          <w:p w14:paraId="0DF7C6AD" w14:textId="77777777" w:rsidR="003A2F91" w:rsidRPr="00122720" w:rsidRDefault="003A2F91" w:rsidP="003A2F91">
            <w:pPr>
              <w:spacing w:after="0" w:line="280" w:lineRule="exact"/>
              <w:jc w:val="center"/>
              <w:outlineLvl w:val="0"/>
              <w:rPr>
                <w:rFonts w:eastAsia="Times New Roman" w:cs="Arial"/>
                <w:bCs/>
                <w:spacing w:val="-2"/>
              </w:rPr>
            </w:pPr>
            <w:r w:rsidRPr="00122720">
              <w:rPr>
                <w:rFonts w:eastAsia="Times New Roman" w:cs="Arial"/>
                <w:bCs/>
                <w:spacing w:val="-2"/>
              </w:rPr>
              <w:t>4</w:t>
            </w:r>
          </w:p>
        </w:tc>
        <w:tc>
          <w:tcPr>
            <w:tcW w:w="747" w:type="pct"/>
            <w:tcBorders>
              <w:top w:val="nil"/>
              <w:left w:val="nil"/>
              <w:bottom w:val="nil"/>
              <w:right w:val="nil"/>
            </w:tcBorders>
            <w:shd w:val="clear" w:color="auto" w:fill="auto"/>
            <w:vAlign w:val="bottom"/>
          </w:tcPr>
          <w:p w14:paraId="758DA58C" w14:textId="77658FDD" w:rsidR="003A2F91" w:rsidRPr="00312975" w:rsidRDefault="00520898" w:rsidP="00257CDB">
            <w:pPr>
              <w:spacing w:after="0" w:line="280" w:lineRule="exact"/>
              <w:jc w:val="right"/>
              <w:outlineLvl w:val="0"/>
              <w:rPr>
                <w:rFonts w:eastAsia="Times New Roman" w:cs="Arial"/>
                <w:bCs/>
                <w:spacing w:val="-2"/>
              </w:rPr>
            </w:pPr>
            <w:r w:rsidRPr="00312975">
              <w:rPr>
                <w:rFonts w:eastAsia="Times New Roman" w:cs="Arial"/>
                <w:bCs/>
                <w:spacing w:val="-2"/>
              </w:rPr>
              <w:t>212.930</w:t>
            </w:r>
          </w:p>
        </w:tc>
        <w:tc>
          <w:tcPr>
            <w:tcW w:w="667" w:type="pct"/>
            <w:tcBorders>
              <w:top w:val="nil"/>
              <w:left w:val="nil"/>
              <w:bottom w:val="nil"/>
              <w:right w:val="nil"/>
            </w:tcBorders>
            <w:shd w:val="clear" w:color="auto" w:fill="auto"/>
            <w:vAlign w:val="bottom"/>
          </w:tcPr>
          <w:p w14:paraId="5614EFBB" w14:textId="5D3BAFE8" w:rsidR="003A2F91" w:rsidRPr="00312975" w:rsidRDefault="009F3D21" w:rsidP="00AE31A1">
            <w:pPr>
              <w:spacing w:after="0" w:line="280" w:lineRule="exact"/>
              <w:jc w:val="right"/>
              <w:outlineLvl w:val="0"/>
              <w:rPr>
                <w:rFonts w:eastAsia="Times New Roman" w:cs="Arial"/>
                <w:bCs/>
                <w:spacing w:val="-2"/>
              </w:rPr>
            </w:pPr>
            <w:r w:rsidRPr="00312975">
              <w:rPr>
                <w:rFonts w:eastAsia="Times New Roman" w:cs="Arial"/>
                <w:bCs/>
                <w:spacing w:val="-2"/>
              </w:rPr>
              <w:t>451.841</w:t>
            </w:r>
          </w:p>
        </w:tc>
        <w:tc>
          <w:tcPr>
            <w:tcW w:w="754" w:type="pct"/>
            <w:tcBorders>
              <w:top w:val="nil"/>
              <w:left w:val="nil"/>
              <w:bottom w:val="nil"/>
              <w:right w:val="nil"/>
            </w:tcBorders>
            <w:shd w:val="clear" w:color="auto" w:fill="auto"/>
            <w:vAlign w:val="bottom"/>
          </w:tcPr>
          <w:p w14:paraId="7C3DCD25" w14:textId="7D0BB797" w:rsidR="003A2F91" w:rsidRDefault="003A2F91" w:rsidP="003A2F91">
            <w:pPr>
              <w:spacing w:after="0" w:line="280" w:lineRule="exact"/>
              <w:jc w:val="right"/>
              <w:outlineLvl w:val="0"/>
              <w:rPr>
                <w:rFonts w:eastAsia="Times New Roman" w:cs="Arial"/>
                <w:bCs/>
                <w:spacing w:val="-2"/>
              </w:rPr>
            </w:pPr>
            <w:r w:rsidRPr="00722C53">
              <w:rPr>
                <w:rFonts w:eastAsia="Times New Roman" w:cs="Arial"/>
                <w:bCs/>
                <w:spacing w:val="-2"/>
              </w:rPr>
              <w:t>209.982</w:t>
            </w:r>
          </w:p>
        </w:tc>
        <w:tc>
          <w:tcPr>
            <w:tcW w:w="660" w:type="pct"/>
            <w:tcBorders>
              <w:top w:val="nil"/>
              <w:left w:val="nil"/>
              <w:bottom w:val="nil"/>
              <w:right w:val="nil"/>
            </w:tcBorders>
            <w:shd w:val="clear" w:color="auto" w:fill="auto"/>
            <w:vAlign w:val="bottom"/>
          </w:tcPr>
          <w:p w14:paraId="69F3FA14" w14:textId="1B48DED3" w:rsidR="003A2F91" w:rsidRDefault="003A2F91" w:rsidP="003A2F91">
            <w:pPr>
              <w:spacing w:after="0" w:line="280" w:lineRule="exact"/>
              <w:jc w:val="right"/>
              <w:outlineLvl w:val="0"/>
              <w:rPr>
                <w:rFonts w:eastAsia="Times New Roman" w:cs="Arial"/>
                <w:bCs/>
                <w:spacing w:val="-2"/>
              </w:rPr>
            </w:pPr>
            <w:r w:rsidRPr="00722C53">
              <w:rPr>
                <w:rFonts w:eastAsia="Times New Roman" w:cs="Arial"/>
                <w:bCs/>
                <w:spacing w:val="-2"/>
              </w:rPr>
              <w:t>429.026</w:t>
            </w:r>
          </w:p>
        </w:tc>
      </w:tr>
      <w:tr w:rsidR="003A2F91" w:rsidRPr="00CA37C8" w14:paraId="37BEB09F" w14:textId="77777777" w:rsidTr="001B316F">
        <w:trPr>
          <w:trHeight w:hRule="exact" w:val="284"/>
        </w:trPr>
        <w:tc>
          <w:tcPr>
            <w:tcW w:w="1652" w:type="pct"/>
            <w:vAlign w:val="bottom"/>
          </w:tcPr>
          <w:p w14:paraId="21327096" w14:textId="77777777" w:rsidR="003A2F91" w:rsidRPr="00CA37C8" w:rsidRDefault="003A2F91" w:rsidP="003A2F91">
            <w:pPr>
              <w:tabs>
                <w:tab w:val="right" w:pos="1202"/>
              </w:tabs>
              <w:spacing w:after="0" w:line="280" w:lineRule="exact"/>
              <w:outlineLvl w:val="0"/>
              <w:rPr>
                <w:rFonts w:eastAsia="Times New Roman" w:cs="Arial"/>
                <w:bCs/>
                <w:spacing w:val="-2"/>
              </w:rPr>
            </w:pPr>
            <w:r w:rsidRPr="00CA37C8">
              <w:rPr>
                <w:rFonts w:eastAsia="Times New Roman" w:cs="Arial"/>
                <w:bCs/>
                <w:spacing w:val="-2"/>
              </w:rPr>
              <w:t>Rashodi od kamata</w:t>
            </w:r>
          </w:p>
        </w:tc>
        <w:tc>
          <w:tcPr>
            <w:tcW w:w="520" w:type="pct"/>
            <w:vAlign w:val="center"/>
          </w:tcPr>
          <w:p w14:paraId="2715E204" w14:textId="77777777" w:rsidR="003A2F91" w:rsidRPr="00122720" w:rsidRDefault="003A2F91" w:rsidP="003A2F91">
            <w:pPr>
              <w:spacing w:after="0" w:line="280" w:lineRule="exact"/>
              <w:jc w:val="center"/>
              <w:outlineLvl w:val="0"/>
              <w:rPr>
                <w:rFonts w:eastAsia="Times New Roman" w:cs="Arial"/>
                <w:bCs/>
                <w:spacing w:val="-2"/>
              </w:rPr>
            </w:pPr>
            <w:r w:rsidRPr="00122720">
              <w:rPr>
                <w:rFonts w:eastAsia="Times New Roman" w:cs="Arial"/>
                <w:bCs/>
                <w:spacing w:val="-2"/>
              </w:rPr>
              <w:t>5</w:t>
            </w:r>
          </w:p>
        </w:tc>
        <w:tc>
          <w:tcPr>
            <w:tcW w:w="747" w:type="pct"/>
            <w:tcBorders>
              <w:top w:val="nil"/>
              <w:left w:val="nil"/>
              <w:bottom w:val="nil"/>
              <w:right w:val="nil"/>
            </w:tcBorders>
            <w:shd w:val="clear" w:color="auto" w:fill="auto"/>
            <w:vAlign w:val="bottom"/>
          </w:tcPr>
          <w:p w14:paraId="0D8C7DC9" w14:textId="00847583" w:rsidR="003A2F91" w:rsidRPr="002B2DDF" w:rsidRDefault="00520898" w:rsidP="003A2F91">
            <w:pPr>
              <w:pStyle w:val="TT"/>
              <w:tabs>
                <w:tab w:val="clear" w:pos="1202"/>
              </w:tabs>
              <w:spacing w:line="240" w:lineRule="auto"/>
              <w:jc w:val="right"/>
              <w:rPr>
                <w:rFonts w:asciiTheme="minorHAnsi" w:hAnsiTheme="minorHAnsi" w:cs="Arial"/>
                <w:bCs/>
                <w:spacing w:val="-2"/>
                <w:sz w:val="22"/>
                <w:szCs w:val="22"/>
              </w:rPr>
            </w:pPr>
            <w:r>
              <w:rPr>
                <w:rFonts w:asciiTheme="minorHAnsi" w:hAnsiTheme="minorHAnsi" w:cs="Arial"/>
                <w:bCs/>
                <w:spacing w:val="-2"/>
                <w:sz w:val="22"/>
                <w:szCs w:val="22"/>
              </w:rPr>
              <w:t>(107.046)</w:t>
            </w:r>
          </w:p>
        </w:tc>
        <w:tc>
          <w:tcPr>
            <w:tcW w:w="667" w:type="pct"/>
            <w:tcBorders>
              <w:top w:val="nil"/>
              <w:left w:val="nil"/>
              <w:bottom w:val="nil"/>
              <w:right w:val="nil"/>
            </w:tcBorders>
            <w:shd w:val="clear" w:color="auto" w:fill="auto"/>
            <w:vAlign w:val="bottom"/>
          </w:tcPr>
          <w:p w14:paraId="61C242B0" w14:textId="3C238B7D" w:rsidR="003A2F91" w:rsidRPr="002B2DDF" w:rsidRDefault="00520898" w:rsidP="003A2F91">
            <w:pPr>
              <w:pStyle w:val="TT"/>
              <w:tabs>
                <w:tab w:val="clear" w:pos="1202"/>
              </w:tabs>
              <w:spacing w:line="240" w:lineRule="auto"/>
              <w:jc w:val="right"/>
              <w:rPr>
                <w:rFonts w:asciiTheme="minorHAnsi" w:hAnsiTheme="minorHAnsi" w:cs="Arial"/>
                <w:bCs/>
                <w:spacing w:val="-2"/>
                <w:sz w:val="22"/>
                <w:szCs w:val="22"/>
              </w:rPr>
            </w:pPr>
            <w:r>
              <w:rPr>
                <w:rFonts w:asciiTheme="minorHAnsi" w:hAnsiTheme="minorHAnsi" w:cs="Arial"/>
                <w:bCs/>
                <w:spacing w:val="-2"/>
                <w:sz w:val="22"/>
                <w:szCs w:val="22"/>
              </w:rPr>
              <w:t>(215.153)</w:t>
            </w:r>
          </w:p>
        </w:tc>
        <w:tc>
          <w:tcPr>
            <w:tcW w:w="754" w:type="pct"/>
            <w:tcBorders>
              <w:top w:val="nil"/>
              <w:left w:val="nil"/>
              <w:bottom w:val="nil"/>
              <w:right w:val="nil"/>
            </w:tcBorders>
            <w:shd w:val="clear" w:color="auto" w:fill="auto"/>
            <w:vAlign w:val="bottom"/>
          </w:tcPr>
          <w:p w14:paraId="74853C64" w14:textId="7191AC2B" w:rsidR="003A2F91" w:rsidRPr="008F4611" w:rsidRDefault="003A2F91" w:rsidP="003A2F91">
            <w:pPr>
              <w:pStyle w:val="TT"/>
              <w:tabs>
                <w:tab w:val="clear" w:pos="1202"/>
              </w:tabs>
              <w:spacing w:line="240" w:lineRule="auto"/>
              <w:jc w:val="right"/>
              <w:rPr>
                <w:rFonts w:cs="Arial"/>
                <w:bCs/>
                <w:spacing w:val="-2"/>
              </w:rPr>
            </w:pPr>
            <w:r w:rsidRPr="002B2DDF">
              <w:rPr>
                <w:rFonts w:asciiTheme="minorHAnsi" w:hAnsiTheme="minorHAnsi" w:cs="Arial"/>
                <w:bCs/>
                <w:spacing w:val="-2"/>
                <w:sz w:val="22"/>
                <w:szCs w:val="22"/>
              </w:rPr>
              <w:t>(113.681)</w:t>
            </w:r>
          </w:p>
        </w:tc>
        <w:tc>
          <w:tcPr>
            <w:tcW w:w="660" w:type="pct"/>
            <w:tcBorders>
              <w:top w:val="nil"/>
              <w:left w:val="nil"/>
              <w:bottom w:val="nil"/>
              <w:right w:val="nil"/>
            </w:tcBorders>
            <w:shd w:val="clear" w:color="auto" w:fill="auto"/>
            <w:vAlign w:val="bottom"/>
          </w:tcPr>
          <w:p w14:paraId="366ABC18" w14:textId="5CBDE7A9" w:rsidR="003A2F91" w:rsidRPr="008F4611" w:rsidRDefault="003A2F91" w:rsidP="003A2F91">
            <w:pPr>
              <w:pStyle w:val="TT"/>
              <w:tabs>
                <w:tab w:val="clear" w:pos="1202"/>
              </w:tabs>
              <w:spacing w:line="240" w:lineRule="auto"/>
              <w:jc w:val="right"/>
              <w:rPr>
                <w:rFonts w:cs="Arial"/>
                <w:bCs/>
                <w:spacing w:val="-2"/>
              </w:rPr>
            </w:pPr>
            <w:r w:rsidRPr="002B2DDF">
              <w:rPr>
                <w:rFonts w:asciiTheme="minorHAnsi" w:hAnsiTheme="minorHAnsi" w:cs="Arial"/>
                <w:bCs/>
                <w:spacing w:val="-2"/>
                <w:sz w:val="22"/>
                <w:szCs w:val="22"/>
              </w:rPr>
              <w:t>(228.236)</w:t>
            </w:r>
          </w:p>
        </w:tc>
      </w:tr>
      <w:tr w:rsidR="003A2F91" w:rsidRPr="00CA37C8" w14:paraId="6E804C70" w14:textId="77777777" w:rsidTr="001B316F">
        <w:trPr>
          <w:trHeight w:hRule="exact" w:val="101"/>
        </w:trPr>
        <w:tc>
          <w:tcPr>
            <w:tcW w:w="1652" w:type="pct"/>
            <w:vAlign w:val="bottom"/>
          </w:tcPr>
          <w:p w14:paraId="298A9DAD" w14:textId="77777777" w:rsidR="003A2F91" w:rsidRPr="00CA37C8" w:rsidRDefault="003A2F91" w:rsidP="003A2F91">
            <w:pPr>
              <w:keepNext/>
              <w:keepLines/>
              <w:tabs>
                <w:tab w:val="decimal" w:pos="1202"/>
              </w:tabs>
              <w:spacing w:after="0" w:line="280" w:lineRule="exact"/>
              <w:rPr>
                <w:rFonts w:eastAsia="Times New Roman" w:cs="Arial"/>
                <w:b/>
                <w:position w:val="4"/>
              </w:rPr>
            </w:pPr>
          </w:p>
        </w:tc>
        <w:tc>
          <w:tcPr>
            <w:tcW w:w="520" w:type="pct"/>
            <w:vAlign w:val="center"/>
          </w:tcPr>
          <w:p w14:paraId="45CFCE7D" w14:textId="77777777" w:rsidR="003A2F91" w:rsidRPr="00122720" w:rsidRDefault="003A2F91" w:rsidP="003A2F91">
            <w:pPr>
              <w:keepNext/>
              <w:keepLines/>
              <w:spacing w:after="0" w:line="280" w:lineRule="exact"/>
              <w:jc w:val="center"/>
              <w:rPr>
                <w:rFonts w:eastAsia="Times New Roman" w:cs="Arial"/>
                <w:b/>
                <w:spacing w:val="-2"/>
                <w:position w:val="4"/>
              </w:rPr>
            </w:pPr>
          </w:p>
        </w:tc>
        <w:tc>
          <w:tcPr>
            <w:tcW w:w="747" w:type="pct"/>
            <w:tcBorders>
              <w:bottom w:val="single" w:sz="4" w:space="0" w:color="auto"/>
            </w:tcBorders>
          </w:tcPr>
          <w:p w14:paraId="503166AE" w14:textId="77777777" w:rsidR="003A2F91" w:rsidRPr="00722C53" w:rsidRDefault="003A2F91" w:rsidP="003A2F91">
            <w:pPr>
              <w:keepNext/>
              <w:keepLines/>
              <w:spacing w:after="0" w:line="280" w:lineRule="exact"/>
              <w:jc w:val="right"/>
              <w:rPr>
                <w:rFonts w:eastAsia="Times New Roman" w:cs="Arial"/>
                <w:b/>
                <w:spacing w:val="-2"/>
                <w:position w:val="4"/>
              </w:rPr>
            </w:pPr>
          </w:p>
        </w:tc>
        <w:tc>
          <w:tcPr>
            <w:tcW w:w="667" w:type="pct"/>
            <w:tcBorders>
              <w:bottom w:val="single" w:sz="4" w:space="0" w:color="auto"/>
            </w:tcBorders>
          </w:tcPr>
          <w:p w14:paraId="123CEFD0" w14:textId="77777777" w:rsidR="003A2F91" w:rsidRPr="00722C53" w:rsidRDefault="003A2F91" w:rsidP="003A2F91">
            <w:pPr>
              <w:keepNext/>
              <w:keepLines/>
              <w:spacing w:after="0" w:line="280" w:lineRule="exact"/>
              <w:jc w:val="right"/>
              <w:rPr>
                <w:rFonts w:eastAsia="Times New Roman" w:cs="Arial"/>
                <w:b/>
                <w:spacing w:val="-2"/>
                <w:position w:val="4"/>
              </w:rPr>
            </w:pPr>
          </w:p>
        </w:tc>
        <w:tc>
          <w:tcPr>
            <w:tcW w:w="754" w:type="pct"/>
            <w:tcBorders>
              <w:bottom w:val="single" w:sz="4" w:space="0" w:color="auto"/>
            </w:tcBorders>
          </w:tcPr>
          <w:p w14:paraId="46C8C6CB" w14:textId="77777777" w:rsidR="003A2F91" w:rsidRPr="00CA37C8" w:rsidRDefault="003A2F91" w:rsidP="003A2F91">
            <w:pPr>
              <w:keepNext/>
              <w:keepLines/>
              <w:spacing w:after="0" w:line="280" w:lineRule="exact"/>
              <w:jc w:val="right"/>
              <w:rPr>
                <w:rFonts w:eastAsia="Times New Roman" w:cs="Arial"/>
                <w:b/>
                <w:spacing w:val="-2"/>
                <w:position w:val="4"/>
              </w:rPr>
            </w:pPr>
          </w:p>
        </w:tc>
        <w:tc>
          <w:tcPr>
            <w:tcW w:w="660" w:type="pct"/>
            <w:tcBorders>
              <w:bottom w:val="single" w:sz="4" w:space="0" w:color="auto"/>
            </w:tcBorders>
          </w:tcPr>
          <w:p w14:paraId="1F7F377C" w14:textId="77777777" w:rsidR="003A2F91" w:rsidRPr="00CA37C8" w:rsidRDefault="003A2F91" w:rsidP="003A2F91">
            <w:pPr>
              <w:keepNext/>
              <w:keepLines/>
              <w:spacing w:after="0" w:line="280" w:lineRule="exact"/>
              <w:jc w:val="right"/>
              <w:rPr>
                <w:rFonts w:eastAsia="Times New Roman" w:cs="Arial"/>
                <w:b/>
                <w:spacing w:val="-2"/>
                <w:position w:val="4"/>
              </w:rPr>
            </w:pPr>
          </w:p>
        </w:tc>
      </w:tr>
      <w:tr w:rsidR="003A2F91" w:rsidRPr="00CA37C8" w14:paraId="64FBB63A" w14:textId="77777777" w:rsidTr="001B316F">
        <w:trPr>
          <w:trHeight w:val="323"/>
        </w:trPr>
        <w:tc>
          <w:tcPr>
            <w:tcW w:w="1652" w:type="pct"/>
            <w:vAlign w:val="bottom"/>
          </w:tcPr>
          <w:p w14:paraId="4B014DF6" w14:textId="77777777" w:rsidR="003A2F91" w:rsidRPr="00CA37C8" w:rsidRDefault="003A2F91" w:rsidP="003A2F91">
            <w:pPr>
              <w:tabs>
                <w:tab w:val="right" w:pos="1202"/>
              </w:tabs>
              <w:spacing w:after="0" w:line="280" w:lineRule="exact"/>
              <w:outlineLvl w:val="0"/>
              <w:rPr>
                <w:rFonts w:eastAsia="Times New Roman" w:cs="Arial"/>
                <w:b/>
                <w:bCs/>
                <w:vertAlign w:val="superscript"/>
              </w:rPr>
            </w:pPr>
            <w:r w:rsidRPr="00CA37C8">
              <w:rPr>
                <w:rFonts w:eastAsia="Times New Roman" w:cs="Arial"/>
                <w:b/>
                <w:bCs/>
              </w:rPr>
              <w:t>Neto prihod od kamata</w:t>
            </w:r>
          </w:p>
        </w:tc>
        <w:tc>
          <w:tcPr>
            <w:tcW w:w="520" w:type="pct"/>
            <w:vAlign w:val="center"/>
          </w:tcPr>
          <w:p w14:paraId="0C18B827" w14:textId="77777777" w:rsidR="003A2F91" w:rsidRPr="00122720" w:rsidRDefault="003A2F91" w:rsidP="003A2F91">
            <w:pPr>
              <w:spacing w:after="0" w:line="280" w:lineRule="exact"/>
              <w:jc w:val="center"/>
              <w:rPr>
                <w:rFonts w:eastAsia="Times New Roman" w:cs="Arial"/>
                <w:b/>
                <w:bCs/>
              </w:rPr>
            </w:pPr>
          </w:p>
        </w:tc>
        <w:tc>
          <w:tcPr>
            <w:tcW w:w="747" w:type="pct"/>
            <w:tcBorders>
              <w:top w:val="single" w:sz="4" w:space="0" w:color="auto"/>
              <w:left w:val="nil"/>
              <w:bottom w:val="single" w:sz="8" w:space="0" w:color="auto"/>
              <w:right w:val="nil"/>
            </w:tcBorders>
            <w:shd w:val="clear" w:color="auto" w:fill="auto"/>
            <w:vAlign w:val="center"/>
          </w:tcPr>
          <w:p w14:paraId="2B5D6538" w14:textId="749CC3A1" w:rsidR="003A2F91" w:rsidRPr="00722C53" w:rsidRDefault="00520898" w:rsidP="003A2F91">
            <w:pPr>
              <w:spacing w:after="0" w:line="280" w:lineRule="exact"/>
              <w:jc w:val="right"/>
              <w:rPr>
                <w:rFonts w:eastAsia="Times New Roman" w:cs="Arial"/>
                <w:b/>
                <w:bCs/>
              </w:rPr>
            </w:pPr>
            <w:r>
              <w:rPr>
                <w:rFonts w:eastAsia="Times New Roman" w:cs="Arial"/>
                <w:b/>
                <w:bCs/>
              </w:rPr>
              <w:t>105.884</w:t>
            </w:r>
          </w:p>
        </w:tc>
        <w:tc>
          <w:tcPr>
            <w:tcW w:w="667" w:type="pct"/>
            <w:tcBorders>
              <w:top w:val="single" w:sz="4" w:space="0" w:color="auto"/>
              <w:left w:val="nil"/>
              <w:bottom w:val="single" w:sz="8" w:space="0" w:color="auto"/>
              <w:right w:val="nil"/>
            </w:tcBorders>
            <w:shd w:val="clear" w:color="auto" w:fill="auto"/>
            <w:vAlign w:val="center"/>
          </w:tcPr>
          <w:p w14:paraId="3900DFE6" w14:textId="3D09FBAA" w:rsidR="003A2F91" w:rsidRPr="00722C53" w:rsidRDefault="00520898" w:rsidP="003A2F91">
            <w:pPr>
              <w:spacing w:after="0" w:line="280" w:lineRule="exact"/>
              <w:jc w:val="right"/>
              <w:rPr>
                <w:rFonts w:eastAsia="Times New Roman" w:cs="Arial"/>
                <w:b/>
                <w:bCs/>
              </w:rPr>
            </w:pPr>
            <w:r>
              <w:rPr>
                <w:rFonts w:eastAsia="Times New Roman" w:cs="Arial"/>
                <w:b/>
                <w:bCs/>
              </w:rPr>
              <w:t>236.688</w:t>
            </w:r>
          </w:p>
        </w:tc>
        <w:tc>
          <w:tcPr>
            <w:tcW w:w="754" w:type="pct"/>
            <w:tcBorders>
              <w:top w:val="single" w:sz="4" w:space="0" w:color="auto"/>
              <w:left w:val="nil"/>
              <w:bottom w:val="single" w:sz="8" w:space="0" w:color="auto"/>
              <w:right w:val="nil"/>
            </w:tcBorders>
            <w:shd w:val="clear" w:color="auto" w:fill="auto"/>
            <w:vAlign w:val="center"/>
          </w:tcPr>
          <w:p w14:paraId="719A4A20" w14:textId="020DB30A" w:rsidR="003A2F91" w:rsidRDefault="003A2F91" w:rsidP="003A2F91">
            <w:pPr>
              <w:spacing w:after="0" w:line="280" w:lineRule="exact"/>
              <w:jc w:val="right"/>
              <w:rPr>
                <w:rFonts w:eastAsia="Times New Roman" w:cs="Arial"/>
                <w:b/>
                <w:bCs/>
              </w:rPr>
            </w:pPr>
            <w:r w:rsidRPr="00722C53">
              <w:rPr>
                <w:rFonts w:eastAsia="Times New Roman" w:cs="Arial"/>
                <w:b/>
                <w:bCs/>
              </w:rPr>
              <w:t>96.301</w:t>
            </w:r>
          </w:p>
        </w:tc>
        <w:tc>
          <w:tcPr>
            <w:tcW w:w="660" w:type="pct"/>
            <w:tcBorders>
              <w:top w:val="single" w:sz="4" w:space="0" w:color="auto"/>
              <w:left w:val="nil"/>
              <w:bottom w:val="single" w:sz="8" w:space="0" w:color="auto"/>
              <w:right w:val="nil"/>
            </w:tcBorders>
            <w:shd w:val="clear" w:color="auto" w:fill="auto"/>
            <w:vAlign w:val="center"/>
          </w:tcPr>
          <w:p w14:paraId="471AAA15" w14:textId="51CB14D0" w:rsidR="003A2F91" w:rsidRDefault="003A2F91" w:rsidP="003A2F91">
            <w:pPr>
              <w:spacing w:after="0" w:line="280" w:lineRule="exact"/>
              <w:jc w:val="right"/>
              <w:rPr>
                <w:rFonts w:eastAsia="Times New Roman" w:cs="Arial"/>
                <w:b/>
                <w:bCs/>
              </w:rPr>
            </w:pPr>
            <w:r w:rsidRPr="00722C53">
              <w:rPr>
                <w:rFonts w:eastAsia="Times New Roman" w:cs="Arial"/>
                <w:b/>
                <w:bCs/>
              </w:rPr>
              <w:t>200.790</w:t>
            </w:r>
          </w:p>
        </w:tc>
      </w:tr>
      <w:tr w:rsidR="003A2F91" w:rsidRPr="00CA37C8" w14:paraId="4C1BC1C9" w14:textId="77777777" w:rsidTr="001B316F">
        <w:trPr>
          <w:trHeight w:hRule="exact" w:val="119"/>
        </w:trPr>
        <w:tc>
          <w:tcPr>
            <w:tcW w:w="1652" w:type="pct"/>
            <w:vAlign w:val="bottom"/>
          </w:tcPr>
          <w:p w14:paraId="278ABDAB" w14:textId="77777777" w:rsidR="003A2F91" w:rsidRPr="00CA37C8" w:rsidRDefault="003A2F91" w:rsidP="003A2F91">
            <w:pPr>
              <w:keepNext/>
              <w:keepLines/>
              <w:tabs>
                <w:tab w:val="decimal" w:pos="1202"/>
              </w:tabs>
              <w:spacing w:after="0" w:line="280" w:lineRule="exact"/>
              <w:rPr>
                <w:rFonts w:eastAsia="Times New Roman" w:cs="Arial"/>
                <w:b/>
                <w:position w:val="4"/>
                <w:u w:val="thick"/>
              </w:rPr>
            </w:pPr>
          </w:p>
        </w:tc>
        <w:tc>
          <w:tcPr>
            <w:tcW w:w="520" w:type="pct"/>
            <w:vAlign w:val="center"/>
          </w:tcPr>
          <w:p w14:paraId="109B007F" w14:textId="77777777" w:rsidR="003A2F91" w:rsidRPr="00122720" w:rsidRDefault="003A2F91" w:rsidP="003A2F91">
            <w:pPr>
              <w:keepNext/>
              <w:keepLines/>
              <w:spacing w:after="0" w:line="280" w:lineRule="exact"/>
              <w:jc w:val="center"/>
              <w:rPr>
                <w:rFonts w:eastAsia="Times New Roman" w:cs="Arial"/>
                <w:b/>
                <w:position w:val="4"/>
                <w:u w:val="thick"/>
              </w:rPr>
            </w:pPr>
          </w:p>
        </w:tc>
        <w:tc>
          <w:tcPr>
            <w:tcW w:w="747" w:type="pct"/>
            <w:tcBorders>
              <w:top w:val="single" w:sz="12" w:space="0" w:color="auto"/>
            </w:tcBorders>
          </w:tcPr>
          <w:p w14:paraId="256EC488" w14:textId="77777777" w:rsidR="003A2F91" w:rsidRPr="00722C53" w:rsidRDefault="003A2F91" w:rsidP="003A2F91">
            <w:pPr>
              <w:spacing w:after="0" w:line="280" w:lineRule="exact"/>
              <w:jc w:val="right"/>
              <w:rPr>
                <w:rFonts w:eastAsia="Times New Roman" w:cs="Arial"/>
                <w:b/>
                <w:bCs/>
              </w:rPr>
            </w:pPr>
          </w:p>
        </w:tc>
        <w:tc>
          <w:tcPr>
            <w:tcW w:w="667" w:type="pct"/>
            <w:tcBorders>
              <w:top w:val="single" w:sz="12" w:space="0" w:color="auto"/>
            </w:tcBorders>
          </w:tcPr>
          <w:p w14:paraId="25765852" w14:textId="77777777" w:rsidR="003A2F91" w:rsidRPr="00722C53" w:rsidRDefault="003A2F91" w:rsidP="003A2F91">
            <w:pPr>
              <w:spacing w:after="0" w:line="280" w:lineRule="exact"/>
              <w:jc w:val="right"/>
              <w:rPr>
                <w:rFonts w:eastAsia="Times New Roman" w:cs="Arial"/>
                <w:b/>
                <w:bCs/>
              </w:rPr>
            </w:pPr>
          </w:p>
        </w:tc>
        <w:tc>
          <w:tcPr>
            <w:tcW w:w="754" w:type="pct"/>
            <w:tcBorders>
              <w:top w:val="single" w:sz="12" w:space="0" w:color="auto"/>
            </w:tcBorders>
          </w:tcPr>
          <w:p w14:paraId="4826FD22" w14:textId="77777777" w:rsidR="003A2F91" w:rsidRPr="00731F04" w:rsidRDefault="003A2F91" w:rsidP="003A2F91">
            <w:pPr>
              <w:spacing w:after="0" w:line="280" w:lineRule="exact"/>
              <w:jc w:val="right"/>
              <w:rPr>
                <w:rFonts w:eastAsia="Times New Roman" w:cs="Arial"/>
                <w:b/>
                <w:bCs/>
              </w:rPr>
            </w:pPr>
          </w:p>
        </w:tc>
        <w:tc>
          <w:tcPr>
            <w:tcW w:w="660" w:type="pct"/>
            <w:tcBorders>
              <w:top w:val="single" w:sz="12" w:space="0" w:color="auto"/>
            </w:tcBorders>
          </w:tcPr>
          <w:p w14:paraId="1AC9D5CC" w14:textId="77777777" w:rsidR="003A2F91" w:rsidRPr="00731F04" w:rsidRDefault="003A2F91" w:rsidP="003A2F91">
            <w:pPr>
              <w:spacing w:after="0" w:line="280" w:lineRule="exact"/>
              <w:jc w:val="right"/>
              <w:rPr>
                <w:rFonts w:eastAsia="Times New Roman" w:cs="Arial"/>
                <w:b/>
                <w:bCs/>
              </w:rPr>
            </w:pPr>
          </w:p>
        </w:tc>
      </w:tr>
      <w:tr w:rsidR="003A2F91" w:rsidRPr="00CA37C8" w14:paraId="3D670873" w14:textId="77777777" w:rsidTr="001B316F">
        <w:trPr>
          <w:trHeight w:val="316"/>
        </w:trPr>
        <w:tc>
          <w:tcPr>
            <w:tcW w:w="1652" w:type="pct"/>
            <w:vAlign w:val="bottom"/>
          </w:tcPr>
          <w:p w14:paraId="5FE60B38" w14:textId="77777777" w:rsidR="003A2F91" w:rsidRPr="00CA37C8" w:rsidRDefault="003A2F91" w:rsidP="003A2F91">
            <w:pPr>
              <w:tabs>
                <w:tab w:val="right" w:pos="1202"/>
              </w:tabs>
              <w:spacing w:after="0" w:line="280" w:lineRule="exact"/>
              <w:outlineLvl w:val="0"/>
              <w:rPr>
                <w:rFonts w:eastAsia="Times New Roman" w:cs="Arial"/>
                <w:bCs/>
                <w:spacing w:val="-2"/>
              </w:rPr>
            </w:pPr>
          </w:p>
        </w:tc>
        <w:tc>
          <w:tcPr>
            <w:tcW w:w="520" w:type="pct"/>
            <w:vAlign w:val="center"/>
          </w:tcPr>
          <w:p w14:paraId="17493CF6" w14:textId="77777777" w:rsidR="003A2F91" w:rsidRPr="00122720" w:rsidRDefault="003A2F91" w:rsidP="003A2F91">
            <w:pPr>
              <w:spacing w:after="0" w:line="280" w:lineRule="exact"/>
              <w:jc w:val="center"/>
              <w:outlineLvl w:val="0"/>
              <w:rPr>
                <w:rFonts w:eastAsia="Times New Roman" w:cs="Arial"/>
                <w:bCs/>
                <w:spacing w:val="-2"/>
              </w:rPr>
            </w:pPr>
          </w:p>
        </w:tc>
        <w:tc>
          <w:tcPr>
            <w:tcW w:w="747" w:type="pct"/>
            <w:vAlign w:val="bottom"/>
          </w:tcPr>
          <w:p w14:paraId="6FB46622" w14:textId="77777777" w:rsidR="003A2F91" w:rsidRPr="00722C53" w:rsidRDefault="003A2F91" w:rsidP="003A2F91">
            <w:pPr>
              <w:spacing w:after="0" w:line="280" w:lineRule="exact"/>
              <w:jc w:val="right"/>
              <w:rPr>
                <w:rFonts w:eastAsia="Times New Roman" w:cs="Arial"/>
                <w:b/>
                <w:bCs/>
              </w:rPr>
            </w:pPr>
          </w:p>
        </w:tc>
        <w:tc>
          <w:tcPr>
            <w:tcW w:w="667" w:type="pct"/>
            <w:vAlign w:val="bottom"/>
          </w:tcPr>
          <w:p w14:paraId="76BF0C1A" w14:textId="28D50C60" w:rsidR="003A2F91" w:rsidRPr="00722C53" w:rsidRDefault="003A2F91" w:rsidP="003A2F91">
            <w:pPr>
              <w:spacing w:after="0" w:line="280" w:lineRule="exact"/>
              <w:jc w:val="right"/>
              <w:rPr>
                <w:rFonts w:eastAsia="Times New Roman" w:cs="Arial"/>
                <w:b/>
                <w:bCs/>
              </w:rPr>
            </w:pPr>
          </w:p>
        </w:tc>
        <w:tc>
          <w:tcPr>
            <w:tcW w:w="754" w:type="pct"/>
            <w:vAlign w:val="bottom"/>
          </w:tcPr>
          <w:p w14:paraId="1A403510" w14:textId="77777777" w:rsidR="003A2F91" w:rsidRPr="00731F04" w:rsidRDefault="003A2F91" w:rsidP="003A2F91">
            <w:pPr>
              <w:spacing w:after="0" w:line="280" w:lineRule="exact"/>
              <w:jc w:val="right"/>
              <w:rPr>
                <w:rFonts w:eastAsia="Times New Roman" w:cs="Arial"/>
                <w:b/>
                <w:bCs/>
              </w:rPr>
            </w:pPr>
          </w:p>
        </w:tc>
        <w:tc>
          <w:tcPr>
            <w:tcW w:w="660" w:type="pct"/>
            <w:vAlign w:val="bottom"/>
          </w:tcPr>
          <w:p w14:paraId="2C4064C8" w14:textId="77777777" w:rsidR="003A2F91" w:rsidRPr="00731F04" w:rsidRDefault="003A2F91" w:rsidP="003A2F91">
            <w:pPr>
              <w:spacing w:after="0" w:line="280" w:lineRule="exact"/>
              <w:jc w:val="right"/>
              <w:rPr>
                <w:rFonts w:eastAsia="Times New Roman" w:cs="Arial"/>
                <w:b/>
                <w:bCs/>
              </w:rPr>
            </w:pPr>
          </w:p>
        </w:tc>
      </w:tr>
      <w:tr w:rsidR="003A2F91" w:rsidRPr="00CA37C8" w14:paraId="3B39A8A9" w14:textId="77777777" w:rsidTr="001B316F">
        <w:trPr>
          <w:trHeight w:hRule="exact" w:val="284"/>
        </w:trPr>
        <w:tc>
          <w:tcPr>
            <w:tcW w:w="1652" w:type="pct"/>
            <w:vAlign w:val="bottom"/>
          </w:tcPr>
          <w:p w14:paraId="34BBFBAB" w14:textId="77777777" w:rsidR="003A2F91" w:rsidRPr="00CA37C8" w:rsidRDefault="003A2F91" w:rsidP="003A2F91">
            <w:pPr>
              <w:tabs>
                <w:tab w:val="right" w:pos="1202"/>
              </w:tabs>
              <w:spacing w:after="0" w:line="280" w:lineRule="exact"/>
              <w:outlineLvl w:val="0"/>
              <w:rPr>
                <w:rFonts w:eastAsia="Times New Roman" w:cs="Arial"/>
                <w:bCs/>
              </w:rPr>
            </w:pPr>
            <w:r w:rsidRPr="00CA37C8">
              <w:rPr>
                <w:rFonts w:eastAsia="Times New Roman" w:cs="Arial"/>
                <w:bCs/>
                <w:spacing w:val="-2"/>
              </w:rPr>
              <w:t>Prihodi od naknada</w:t>
            </w:r>
          </w:p>
        </w:tc>
        <w:tc>
          <w:tcPr>
            <w:tcW w:w="520" w:type="pct"/>
            <w:vAlign w:val="center"/>
          </w:tcPr>
          <w:p w14:paraId="2AB2AB6F" w14:textId="77777777" w:rsidR="003A2F91" w:rsidRPr="00122720" w:rsidRDefault="003A2F91" w:rsidP="003A2F91">
            <w:pPr>
              <w:spacing w:after="0" w:line="280" w:lineRule="exact"/>
              <w:jc w:val="center"/>
              <w:rPr>
                <w:rFonts w:eastAsia="Arial Unicode MS" w:cs="Arial"/>
              </w:rPr>
            </w:pPr>
          </w:p>
        </w:tc>
        <w:tc>
          <w:tcPr>
            <w:tcW w:w="747" w:type="pct"/>
            <w:tcBorders>
              <w:top w:val="nil"/>
              <w:left w:val="nil"/>
              <w:bottom w:val="nil"/>
              <w:right w:val="nil"/>
            </w:tcBorders>
            <w:shd w:val="clear" w:color="auto" w:fill="auto"/>
            <w:vAlign w:val="center"/>
          </w:tcPr>
          <w:p w14:paraId="236792C6" w14:textId="53649D9B" w:rsidR="003A2F91" w:rsidRPr="00722C53" w:rsidRDefault="00520898" w:rsidP="003A2F91">
            <w:pPr>
              <w:spacing w:after="0" w:line="280" w:lineRule="exact"/>
              <w:jc w:val="right"/>
              <w:rPr>
                <w:rFonts w:eastAsia="Times New Roman" w:cs="Arial"/>
                <w:bCs/>
              </w:rPr>
            </w:pPr>
            <w:r>
              <w:rPr>
                <w:rFonts w:eastAsia="Times New Roman" w:cs="Arial"/>
                <w:bCs/>
              </w:rPr>
              <w:t>8.851</w:t>
            </w:r>
          </w:p>
        </w:tc>
        <w:tc>
          <w:tcPr>
            <w:tcW w:w="667" w:type="pct"/>
            <w:tcBorders>
              <w:top w:val="nil"/>
              <w:left w:val="nil"/>
              <w:bottom w:val="nil"/>
              <w:right w:val="nil"/>
            </w:tcBorders>
            <w:shd w:val="clear" w:color="auto" w:fill="auto"/>
            <w:vAlign w:val="center"/>
          </w:tcPr>
          <w:p w14:paraId="57767A6A" w14:textId="6B1FFD20" w:rsidR="003A2F91" w:rsidRPr="00722C53" w:rsidRDefault="00520898" w:rsidP="003A2F91">
            <w:pPr>
              <w:spacing w:after="0" w:line="280" w:lineRule="exact"/>
              <w:jc w:val="right"/>
              <w:rPr>
                <w:rFonts w:eastAsia="Times New Roman" w:cs="Arial"/>
                <w:bCs/>
              </w:rPr>
            </w:pPr>
            <w:r>
              <w:rPr>
                <w:rFonts w:eastAsia="Times New Roman" w:cs="Arial"/>
                <w:bCs/>
              </w:rPr>
              <w:t>16.344</w:t>
            </w:r>
          </w:p>
        </w:tc>
        <w:tc>
          <w:tcPr>
            <w:tcW w:w="754" w:type="pct"/>
            <w:tcBorders>
              <w:top w:val="nil"/>
              <w:left w:val="nil"/>
              <w:bottom w:val="nil"/>
              <w:right w:val="nil"/>
            </w:tcBorders>
            <w:shd w:val="clear" w:color="auto" w:fill="auto"/>
            <w:vAlign w:val="center"/>
          </w:tcPr>
          <w:p w14:paraId="77430F18" w14:textId="137F3812" w:rsidR="003A2F91" w:rsidRPr="00FA1E36" w:rsidRDefault="003A2F91" w:rsidP="003A2F91">
            <w:pPr>
              <w:spacing w:after="0" w:line="280" w:lineRule="exact"/>
              <w:jc w:val="right"/>
              <w:rPr>
                <w:rFonts w:eastAsia="Times New Roman" w:cs="Arial"/>
                <w:bCs/>
              </w:rPr>
            </w:pPr>
            <w:r w:rsidRPr="00722C53">
              <w:rPr>
                <w:rFonts w:eastAsia="Times New Roman" w:cs="Arial"/>
                <w:bCs/>
              </w:rPr>
              <w:t>9.001</w:t>
            </w:r>
          </w:p>
        </w:tc>
        <w:tc>
          <w:tcPr>
            <w:tcW w:w="660" w:type="pct"/>
            <w:tcBorders>
              <w:top w:val="nil"/>
              <w:left w:val="nil"/>
              <w:bottom w:val="nil"/>
              <w:right w:val="nil"/>
            </w:tcBorders>
            <w:shd w:val="clear" w:color="auto" w:fill="auto"/>
            <w:vAlign w:val="center"/>
          </w:tcPr>
          <w:p w14:paraId="62A6FCB5" w14:textId="3B91764C" w:rsidR="003A2F91" w:rsidRPr="00FA1E36" w:rsidRDefault="003A2F91" w:rsidP="003A2F91">
            <w:pPr>
              <w:spacing w:after="0" w:line="280" w:lineRule="exact"/>
              <w:jc w:val="right"/>
              <w:rPr>
                <w:rFonts w:eastAsia="Times New Roman" w:cs="Arial"/>
                <w:bCs/>
              </w:rPr>
            </w:pPr>
            <w:r w:rsidRPr="00722C53">
              <w:rPr>
                <w:rFonts w:eastAsia="Times New Roman" w:cs="Arial"/>
                <w:bCs/>
              </w:rPr>
              <w:t>15.126</w:t>
            </w:r>
          </w:p>
        </w:tc>
      </w:tr>
      <w:tr w:rsidR="003A2F91" w:rsidRPr="00CA37C8" w14:paraId="528FEAA1" w14:textId="77777777" w:rsidTr="001B316F">
        <w:trPr>
          <w:trHeight w:hRule="exact" w:val="284"/>
        </w:trPr>
        <w:tc>
          <w:tcPr>
            <w:tcW w:w="1652" w:type="pct"/>
            <w:vAlign w:val="bottom"/>
          </w:tcPr>
          <w:p w14:paraId="2E082D5E" w14:textId="77777777" w:rsidR="003A2F91" w:rsidRPr="00CA37C8" w:rsidRDefault="003A2F91" w:rsidP="003A2F91">
            <w:pPr>
              <w:tabs>
                <w:tab w:val="right" w:pos="1202"/>
              </w:tabs>
              <w:spacing w:after="0" w:line="280" w:lineRule="exact"/>
              <w:outlineLvl w:val="0"/>
              <w:rPr>
                <w:rFonts w:eastAsia="Times New Roman" w:cs="Arial"/>
                <w:bCs/>
                <w:spacing w:val="-2"/>
              </w:rPr>
            </w:pPr>
            <w:r w:rsidRPr="00CA37C8">
              <w:rPr>
                <w:rFonts w:eastAsia="Times New Roman" w:cs="Arial"/>
                <w:bCs/>
                <w:spacing w:val="-2"/>
              </w:rPr>
              <w:t>Rashodi od naknada</w:t>
            </w:r>
          </w:p>
        </w:tc>
        <w:tc>
          <w:tcPr>
            <w:tcW w:w="520" w:type="pct"/>
            <w:vAlign w:val="center"/>
          </w:tcPr>
          <w:p w14:paraId="0AC13E0D" w14:textId="77777777" w:rsidR="003A2F91" w:rsidRPr="00122720" w:rsidRDefault="003A2F91" w:rsidP="003A2F91">
            <w:pPr>
              <w:spacing w:after="0" w:line="280" w:lineRule="exact"/>
              <w:jc w:val="center"/>
              <w:rPr>
                <w:rFonts w:eastAsia="Arial Unicode MS" w:cs="Arial"/>
              </w:rPr>
            </w:pPr>
          </w:p>
        </w:tc>
        <w:tc>
          <w:tcPr>
            <w:tcW w:w="747" w:type="pct"/>
            <w:tcBorders>
              <w:top w:val="nil"/>
              <w:left w:val="nil"/>
              <w:bottom w:val="nil"/>
              <w:right w:val="nil"/>
            </w:tcBorders>
            <w:shd w:val="clear" w:color="auto" w:fill="auto"/>
            <w:vAlign w:val="bottom"/>
          </w:tcPr>
          <w:p w14:paraId="32763677" w14:textId="55FF289C" w:rsidR="003A2F91" w:rsidRPr="00722C53" w:rsidRDefault="00520898" w:rsidP="003A2F91">
            <w:pPr>
              <w:spacing w:after="0" w:line="280" w:lineRule="exact"/>
              <w:jc w:val="right"/>
              <w:rPr>
                <w:rFonts w:eastAsia="Times New Roman" w:cs="Arial"/>
                <w:bCs/>
              </w:rPr>
            </w:pPr>
            <w:r>
              <w:rPr>
                <w:rFonts w:eastAsia="Times New Roman" w:cs="Arial"/>
                <w:bCs/>
              </w:rPr>
              <w:t>(793)</w:t>
            </w:r>
          </w:p>
        </w:tc>
        <w:tc>
          <w:tcPr>
            <w:tcW w:w="667" w:type="pct"/>
            <w:tcBorders>
              <w:top w:val="nil"/>
              <w:left w:val="nil"/>
              <w:bottom w:val="nil"/>
              <w:right w:val="nil"/>
            </w:tcBorders>
            <w:shd w:val="clear" w:color="auto" w:fill="auto"/>
            <w:vAlign w:val="bottom"/>
          </w:tcPr>
          <w:p w14:paraId="7C14407A" w14:textId="3E3DE039" w:rsidR="003A2F91" w:rsidRPr="00722C53" w:rsidRDefault="00520898" w:rsidP="00177C3A">
            <w:pPr>
              <w:spacing w:after="0" w:line="280" w:lineRule="exact"/>
              <w:jc w:val="right"/>
              <w:rPr>
                <w:rFonts w:eastAsia="Times New Roman" w:cs="Arial"/>
                <w:bCs/>
              </w:rPr>
            </w:pPr>
            <w:r>
              <w:rPr>
                <w:rFonts w:eastAsia="Times New Roman" w:cs="Arial"/>
                <w:bCs/>
              </w:rPr>
              <w:t>(1.6</w:t>
            </w:r>
            <w:r w:rsidR="00710477">
              <w:rPr>
                <w:rFonts w:eastAsia="Times New Roman" w:cs="Arial"/>
                <w:bCs/>
              </w:rPr>
              <w:t>7</w:t>
            </w:r>
            <w:r>
              <w:rPr>
                <w:rFonts w:eastAsia="Times New Roman" w:cs="Arial"/>
                <w:bCs/>
              </w:rPr>
              <w:t>7)</w:t>
            </w:r>
          </w:p>
        </w:tc>
        <w:tc>
          <w:tcPr>
            <w:tcW w:w="754" w:type="pct"/>
            <w:tcBorders>
              <w:top w:val="nil"/>
              <w:left w:val="nil"/>
              <w:bottom w:val="nil"/>
              <w:right w:val="nil"/>
            </w:tcBorders>
            <w:shd w:val="clear" w:color="auto" w:fill="auto"/>
            <w:vAlign w:val="bottom"/>
          </w:tcPr>
          <w:p w14:paraId="2FFA92F0" w14:textId="40F18991" w:rsidR="003A2F91" w:rsidRPr="00FA1E36" w:rsidRDefault="003A2F91" w:rsidP="003A2F91">
            <w:pPr>
              <w:spacing w:after="0" w:line="280" w:lineRule="exact"/>
              <w:jc w:val="right"/>
              <w:rPr>
                <w:rFonts w:eastAsia="Times New Roman" w:cs="Arial"/>
                <w:bCs/>
              </w:rPr>
            </w:pPr>
            <w:r w:rsidRPr="00722C53">
              <w:rPr>
                <w:rFonts w:eastAsia="Times New Roman" w:cs="Arial"/>
                <w:bCs/>
              </w:rPr>
              <w:t>(678)</w:t>
            </w:r>
          </w:p>
        </w:tc>
        <w:tc>
          <w:tcPr>
            <w:tcW w:w="660" w:type="pct"/>
            <w:tcBorders>
              <w:top w:val="nil"/>
              <w:left w:val="nil"/>
              <w:bottom w:val="nil"/>
              <w:right w:val="nil"/>
            </w:tcBorders>
            <w:shd w:val="clear" w:color="auto" w:fill="auto"/>
            <w:vAlign w:val="bottom"/>
          </w:tcPr>
          <w:p w14:paraId="3AE3DC87" w14:textId="21325A74" w:rsidR="003A2F91" w:rsidRPr="00FA1E36" w:rsidRDefault="003A2F91" w:rsidP="003A2F91">
            <w:pPr>
              <w:spacing w:after="0" w:line="280" w:lineRule="exact"/>
              <w:jc w:val="right"/>
              <w:rPr>
                <w:rFonts w:eastAsia="Times New Roman" w:cs="Arial"/>
                <w:bCs/>
              </w:rPr>
            </w:pPr>
            <w:r w:rsidRPr="00722C53">
              <w:rPr>
                <w:rFonts w:eastAsia="Times New Roman" w:cs="Arial"/>
                <w:bCs/>
              </w:rPr>
              <w:t>(1.419)</w:t>
            </w:r>
          </w:p>
        </w:tc>
      </w:tr>
      <w:tr w:rsidR="003A2F91" w:rsidRPr="00CA37C8" w14:paraId="7A633390" w14:textId="77777777" w:rsidTr="001B316F">
        <w:trPr>
          <w:trHeight w:hRule="exact" w:val="113"/>
        </w:trPr>
        <w:tc>
          <w:tcPr>
            <w:tcW w:w="1652" w:type="pct"/>
            <w:vAlign w:val="bottom"/>
          </w:tcPr>
          <w:p w14:paraId="7628F62E" w14:textId="77777777" w:rsidR="003A2F91" w:rsidRPr="00F417B5" w:rsidRDefault="003A2F91" w:rsidP="003A2F91">
            <w:pPr>
              <w:keepNext/>
              <w:keepLines/>
              <w:tabs>
                <w:tab w:val="decimal" w:pos="1202"/>
              </w:tabs>
              <w:spacing w:after="0" w:line="280" w:lineRule="exact"/>
              <w:rPr>
                <w:rFonts w:eastAsia="Times New Roman" w:cs="Arial"/>
                <w:b/>
                <w:position w:val="4"/>
                <w:u w:val="thick"/>
              </w:rPr>
            </w:pPr>
          </w:p>
        </w:tc>
        <w:tc>
          <w:tcPr>
            <w:tcW w:w="520" w:type="pct"/>
            <w:vAlign w:val="center"/>
          </w:tcPr>
          <w:p w14:paraId="1C793ECB" w14:textId="77777777" w:rsidR="003A2F91" w:rsidRPr="00F417B5" w:rsidRDefault="003A2F91" w:rsidP="003A2F91">
            <w:pPr>
              <w:keepNext/>
              <w:keepLines/>
              <w:spacing w:after="0" w:line="280" w:lineRule="exact"/>
              <w:jc w:val="center"/>
              <w:rPr>
                <w:rFonts w:eastAsia="Times New Roman" w:cs="Arial"/>
                <w:b/>
                <w:position w:val="4"/>
                <w:u w:val="thick"/>
              </w:rPr>
            </w:pPr>
          </w:p>
        </w:tc>
        <w:tc>
          <w:tcPr>
            <w:tcW w:w="747" w:type="pct"/>
            <w:tcBorders>
              <w:bottom w:val="single" w:sz="4" w:space="0" w:color="auto"/>
            </w:tcBorders>
            <w:vAlign w:val="bottom"/>
          </w:tcPr>
          <w:p w14:paraId="726AC3CA" w14:textId="77777777" w:rsidR="003A2F91" w:rsidRPr="00722C53" w:rsidRDefault="003A2F91" w:rsidP="003A2F91">
            <w:pPr>
              <w:spacing w:after="0" w:line="280" w:lineRule="exact"/>
              <w:jc w:val="right"/>
              <w:rPr>
                <w:rFonts w:eastAsia="Times New Roman" w:cs="Arial"/>
                <w:b/>
                <w:bCs/>
              </w:rPr>
            </w:pPr>
          </w:p>
        </w:tc>
        <w:tc>
          <w:tcPr>
            <w:tcW w:w="667" w:type="pct"/>
            <w:tcBorders>
              <w:bottom w:val="single" w:sz="4" w:space="0" w:color="auto"/>
            </w:tcBorders>
            <w:vAlign w:val="bottom"/>
          </w:tcPr>
          <w:p w14:paraId="04E6189E" w14:textId="77777777" w:rsidR="003A2F91" w:rsidRPr="00722C53" w:rsidRDefault="003A2F91" w:rsidP="003A2F91">
            <w:pPr>
              <w:spacing w:after="0" w:line="280" w:lineRule="exact"/>
              <w:jc w:val="right"/>
              <w:rPr>
                <w:rFonts w:eastAsia="Times New Roman" w:cs="Arial"/>
                <w:b/>
                <w:bCs/>
              </w:rPr>
            </w:pPr>
          </w:p>
        </w:tc>
        <w:tc>
          <w:tcPr>
            <w:tcW w:w="754" w:type="pct"/>
            <w:tcBorders>
              <w:bottom w:val="single" w:sz="4" w:space="0" w:color="auto"/>
            </w:tcBorders>
            <w:vAlign w:val="bottom"/>
          </w:tcPr>
          <w:p w14:paraId="0A4B1F2C" w14:textId="77777777" w:rsidR="003A2F91" w:rsidRPr="00731F04" w:rsidRDefault="003A2F91" w:rsidP="003A2F91">
            <w:pPr>
              <w:spacing w:after="0" w:line="280" w:lineRule="exact"/>
              <w:jc w:val="right"/>
              <w:rPr>
                <w:rFonts w:eastAsia="Times New Roman" w:cs="Arial"/>
                <w:b/>
                <w:bCs/>
              </w:rPr>
            </w:pPr>
          </w:p>
        </w:tc>
        <w:tc>
          <w:tcPr>
            <w:tcW w:w="660" w:type="pct"/>
            <w:tcBorders>
              <w:bottom w:val="single" w:sz="4" w:space="0" w:color="auto"/>
            </w:tcBorders>
            <w:vAlign w:val="bottom"/>
          </w:tcPr>
          <w:p w14:paraId="7EF7902E" w14:textId="77777777" w:rsidR="003A2F91" w:rsidRPr="00731F04" w:rsidRDefault="003A2F91" w:rsidP="003A2F91">
            <w:pPr>
              <w:spacing w:after="0" w:line="280" w:lineRule="exact"/>
              <w:jc w:val="right"/>
              <w:rPr>
                <w:rFonts w:eastAsia="Times New Roman" w:cs="Arial"/>
                <w:b/>
                <w:bCs/>
              </w:rPr>
            </w:pPr>
          </w:p>
        </w:tc>
      </w:tr>
      <w:tr w:rsidR="003A2F91" w:rsidRPr="00CA37C8" w14:paraId="703DED36" w14:textId="77777777" w:rsidTr="001B316F">
        <w:trPr>
          <w:trHeight w:hRule="exact" w:val="346"/>
        </w:trPr>
        <w:tc>
          <w:tcPr>
            <w:tcW w:w="1652" w:type="pct"/>
            <w:vAlign w:val="bottom"/>
          </w:tcPr>
          <w:p w14:paraId="4ABE0915" w14:textId="77777777" w:rsidR="003A2F91" w:rsidRPr="00CA37C8" w:rsidRDefault="003A2F91" w:rsidP="003A2F91">
            <w:pPr>
              <w:tabs>
                <w:tab w:val="right" w:pos="1202"/>
              </w:tabs>
              <w:spacing w:after="0" w:line="280" w:lineRule="exact"/>
              <w:outlineLvl w:val="0"/>
              <w:rPr>
                <w:rFonts w:eastAsia="Times New Roman" w:cs="Arial"/>
                <w:b/>
                <w:bCs/>
                <w:vertAlign w:val="superscript"/>
              </w:rPr>
            </w:pPr>
            <w:r w:rsidRPr="00CA37C8">
              <w:rPr>
                <w:rFonts w:eastAsia="Times New Roman" w:cs="Arial"/>
                <w:b/>
                <w:bCs/>
              </w:rPr>
              <w:t>Neto prihod od naknada</w:t>
            </w:r>
          </w:p>
        </w:tc>
        <w:tc>
          <w:tcPr>
            <w:tcW w:w="520" w:type="pct"/>
            <w:vAlign w:val="center"/>
          </w:tcPr>
          <w:p w14:paraId="776F4883" w14:textId="77777777" w:rsidR="003A2F91" w:rsidRPr="00122720" w:rsidRDefault="003A2F91" w:rsidP="003A2F91">
            <w:pPr>
              <w:spacing w:after="0" w:line="280" w:lineRule="exact"/>
              <w:jc w:val="center"/>
              <w:outlineLvl w:val="0"/>
              <w:rPr>
                <w:rFonts w:eastAsia="Times New Roman" w:cs="Arial"/>
                <w:b/>
                <w:bCs/>
                <w:spacing w:val="-2"/>
              </w:rPr>
            </w:pPr>
          </w:p>
        </w:tc>
        <w:tc>
          <w:tcPr>
            <w:tcW w:w="747" w:type="pct"/>
            <w:tcBorders>
              <w:top w:val="single" w:sz="4" w:space="0" w:color="auto"/>
              <w:left w:val="nil"/>
              <w:bottom w:val="single" w:sz="8" w:space="0" w:color="auto"/>
              <w:right w:val="nil"/>
            </w:tcBorders>
            <w:shd w:val="clear" w:color="auto" w:fill="auto"/>
            <w:vAlign w:val="center"/>
          </w:tcPr>
          <w:p w14:paraId="033DBA49" w14:textId="38C5D8B1" w:rsidR="003A2F91" w:rsidRPr="00722C53" w:rsidRDefault="00520898" w:rsidP="003A2F91">
            <w:pPr>
              <w:spacing w:after="0" w:line="280" w:lineRule="exact"/>
              <w:jc w:val="right"/>
              <w:rPr>
                <w:rFonts w:eastAsia="Times New Roman" w:cs="Arial"/>
                <w:b/>
                <w:bCs/>
              </w:rPr>
            </w:pPr>
            <w:r>
              <w:rPr>
                <w:rFonts w:eastAsia="Times New Roman" w:cs="Arial"/>
                <w:b/>
                <w:bCs/>
              </w:rPr>
              <w:t>8.058</w:t>
            </w:r>
          </w:p>
        </w:tc>
        <w:tc>
          <w:tcPr>
            <w:tcW w:w="667" w:type="pct"/>
            <w:tcBorders>
              <w:top w:val="single" w:sz="4" w:space="0" w:color="auto"/>
              <w:left w:val="nil"/>
              <w:bottom w:val="single" w:sz="8" w:space="0" w:color="auto"/>
              <w:right w:val="nil"/>
            </w:tcBorders>
            <w:shd w:val="clear" w:color="auto" w:fill="auto"/>
            <w:vAlign w:val="center"/>
          </w:tcPr>
          <w:p w14:paraId="72203D30" w14:textId="1916C6FC" w:rsidR="003A2F91" w:rsidRPr="00722C53" w:rsidRDefault="00520898" w:rsidP="003A2F91">
            <w:pPr>
              <w:spacing w:after="0" w:line="280" w:lineRule="exact"/>
              <w:jc w:val="right"/>
              <w:rPr>
                <w:rFonts w:eastAsia="Times New Roman" w:cs="Arial"/>
                <w:b/>
                <w:bCs/>
              </w:rPr>
            </w:pPr>
            <w:r>
              <w:rPr>
                <w:rFonts w:eastAsia="Times New Roman" w:cs="Arial"/>
                <w:b/>
                <w:bCs/>
              </w:rPr>
              <w:t>14.667</w:t>
            </w:r>
          </w:p>
        </w:tc>
        <w:tc>
          <w:tcPr>
            <w:tcW w:w="754" w:type="pct"/>
            <w:tcBorders>
              <w:top w:val="single" w:sz="4" w:space="0" w:color="auto"/>
              <w:left w:val="nil"/>
              <w:bottom w:val="single" w:sz="8" w:space="0" w:color="auto"/>
              <w:right w:val="nil"/>
            </w:tcBorders>
            <w:shd w:val="clear" w:color="auto" w:fill="auto"/>
            <w:vAlign w:val="center"/>
          </w:tcPr>
          <w:p w14:paraId="59D83CE5" w14:textId="507DFACF" w:rsidR="003A2F91" w:rsidRPr="00731F04" w:rsidRDefault="003A2F91" w:rsidP="003A2F91">
            <w:pPr>
              <w:spacing w:after="0" w:line="280" w:lineRule="exact"/>
              <w:jc w:val="right"/>
              <w:rPr>
                <w:rFonts w:eastAsia="Times New Roman" w:cs="Arial"/>
                <w:b/>
                <w:bCs/>
              </w:rPr>
            </w:pPr>
            <w:r w:rsidRPr="00722C53">
              <w:rPr>
                <w:rFonts w:eastAsia="Times New Roman" w:cs="Arial"/>
                <w:b/>
                <w:bCs/>
              </w:rPr>
              <w:t>8.323</w:t>
            </w:r>
          </w:p>
        </w:tc>
        <w:tc>
          <w:tcPr>
            <w:tcW w:w="660" w:type="pct"/>
            <w:tcBorders>
              <w:top w:val="single" w:sz="4" w:space="0" w:color="auto"/>
              <w:left w:val="nil"/>
              <w:bottom w:val="single" w:sz="8" w:space="0" w:color="auto"/>
              <w:right w:val="nil"/>
            </w:tcBorders>
            <w:shd w:val="clear" w:color="auto" w:fill="auto"/>
            <w:vAlign w:val="center"/>
          </w:tcPr>
          <w:p w14:paraId="57A501AB" w14:textId="395F899D" w:rsidR="003A2F91" w:rsidRPr="00731F04" w:rsidRDefault="003A2F91" w:rsidP="003A2F91">
            <w:pPr>
              <w:spacing w:after="0" w:line="280" w:lineRule="exact"/>
              <w:jc w:val="right"/>
              <w:rPr>
                <w:rFonts w:eastAsia="Times New Roman" w:cs="Arial"/>
                <w:b/>
                <w:bCs/>
              </w:rPr>
            </w:pPr>
            <w:r w:rsidRPr="00722C53">
              <w:rPr>
                <w:rFonts w:eastAsia="Times New Roman" w:cs="Arial"/>
                <w:b/>
                <w:bCs/>
              </w:rPr>
              <w:t>13.707</w:t>
            </w:r>
          </w:p>
        </w:tc>
      </w:tr>
      <w:tr w:rsidR="003A2F91" w:rsidRPr="00CA37C8" w14:paraId="62EE9AA7" w14:textId="77777777" w:rsidTr="001B316F">
        <w:trPr>
          <w:trHeight w:val="149"/>
        </w:trPr>
        <w:tc>
          <w:tcPr>
            <w:tcW w:w="1652" w:type="pct"/>
            <w:vAlign w:val="bottom"/>
          </w:tcPr>
          <w:p w14:paraId="12C226A2" w14:textId="77777777" w:rsidR="003A2F91" w:rsidRPr="00CA37C8" w:rsidRDefault="003A2F91" w:rsidP="003A2F91">
            <w:pPr>
              <w:tabs>
                <w:tab w:val="right" w:pos="1202"/>
              </w:tabs>
              <w:spacing w:after="0" w:line="200" w:lineRule="exact"/>
              <w:outlineLvl w:val="0"/>
              <w:rPr>
                <w:rFonts w:eastAsia="Times New Roman" w:cs="Arial"/>
              </w:rPr>
            </w:pPr>
          </w:p>
        </w:tc>
        <w:tc>
          <w:tcPr>
            <w:tcW w:w="520" w:type="pct"/>
            <w:vAlign w:val="center"/>
          </w:tcPr>
          <w:p w14:paraId="3D50CBA0" w14:textId="77777777" w:rsidR="003A2F91" w:rsidRPr="00122720" w:rsidRDefault="003A2F91" w:rsidP="003A2F91">
            <w:pPr>
              <w:tabs>
                <w:tab w:val="right" w:pos="1202"/>
              </w:tabs>
              <w:spacing w:after="0" w:line="200" w:lineRule="exact"/>
              <w:jc w:val="center"/>
              <w:outlineLvl w:val="0"/>
              <w:rPr>
                <w:rFonts w:eastAsia="Times New Roman" w:cs="Arial"/>
              </w:rPr>
            </w:pPr>
          </w:p>
        </w:tc>
        <w:tc>
          <w:tcPr>
            <w:tcW w:w="747" w:type="pct"/>
            <w:tcBorders>
              <w:top w:val="single" w:sz="12" w:space="0" w:color="auto"/>
            </w:tcBorders>
          </w:tcPr>
          <w:p w14:paraId="5FA08A7F" w14:textId="77777777" w:rsidR="003A2F91" w:rsidRPr="00722C53" w:rsidRDefault="003A2F91" w:rsidP="003A2F91">
            <w:pPr>
              <w:spacing w:after="0" w:line="280" w:lineRule="exact"/>
              <w:jc w:val="right"/>
              <w:rPr>
                <w:rFonts w:eastAsia="Times New Roman" w:cs="Arial"/>
                <w:b/>
                <w:bCs/>
              </w:rPr>
            </w:pPr>
          </w:p>
        </w:tc>
        <w:tc>
          <w:tcPr>
            <w:tcW w:w="667" w:type="pct"/>
            <w:tcBorders>
              <w:top w:val="single" w:sz="12" w:space="0" w:color="auto"/>
            </w:tcBorders>
          </w:tcPr>
          <w:p w14:paraId="2CEE0E05" w14:textId="77777777" w:rsidR="003A2F91" w:rsidRPr="00722C53" w:rsidRDefault="003A2F91" w:rsidP="003A2F91">
            <w:pPr>
              <w:spacing w:after="0" w:line="280" w:lineRule="exact"/>
              <w:jc w:val="right"/>
              <w:rPr>
                <w:rFonts w:eastAsia="Times New Roman" w:cs="Arial"/>
                <w:b/>
                <w:bCs/>
              </w:rPr>
            </w:pPr>
          </w:p>
        </w:tc>
        <w:tc>
          <w:tcPr>
            <w:tcW w:w="754" w:type="pct"/>
            <w:tcBorders>
              <w:top w:val="single" w:sz="12" w:space="0" w:color="auto"/>
            </w:tcBorders>
          </w:tcPr>
          <w:p w14:paraId="439C8E2A" w14:textId="77777777" w:rsidR="003A2F91" w:rsidRPr="00731F04" w:rsidRDefault="003A2F91" w:rsidP="003A2F91">
            <w:pPr>
              <w:spacing w:after="0" w:line="280" w:lineRule="exact"/>
              <w:jc w:val="right"/>
              <w:rPr>
                <w:rFonts w:eastAsia="Times New Roman" w:cs="Arial"/>
                <w:b/>
                <w:bCs/>
              </w:rPr>
            </w:pPr>
          </w:p>
        </w:tc>
        <w:tc>
          <w:tcPr>
            <w:tcW w:w="660" w:type="pct"/>
            <w:tcBorders>
              <w:top w:val="single" w:sz="12" w:space="0" w:color="auto"/>
            </w:tcBorders>
          </w:tcPr>
          <w:p w14:paraId="6806AB82" w14:textId="77777777" w:rsidR="003A2F91" w:rsidRPr="00731F04" w:rsidRDefault="003A2F91" w:rsidP="003A2F91">
            <w:pPr>
              <w:spacing w:after="0" w:line="280" w:lineRule="exact"/>
              <w:jc w:val="right"/>
              <w:rPr>
                <w:rFonts w:eastAsia="Times New Roman" w:cs="Arial"/>
                <w:b/>
                <w:bCs/>
              </w:rPr>
            </w:pPr>
          </w:p>
        </w:tc>
      </w:tr>
      <w:tr w:rsidR="003A2F91" w:rsidRPr="00CA37C8" w14:paraId="4F59D133" w14:textId="77777777" w:rsidTr="001B316F">
        <w:trPr>
          <w:trHeight w:val="316"/>
        </w:trPr>
        <w:tc>
          <w:tcPr>
            <w:tcW w:w="1652" w:type="pct"/>
            <w:vAlign w:val="bottom"/>
          </w:tcPr>
          <w:p w14:paraId="76AFDF3E" w14:textId="77777777" w:rsidR="003A2F91" w:rsidRPr="00CA37C8" w:rsidRDefault="003A2F91" w:rsidP="003A2F91">
            <w:pPr>
              <w:tabs>
                <w:tab w:val="right" w:pos="1202"/>
              </w:tabs>
              <w:spacing w:after="0" w:line="280" w:lineRule="exact"/>
              <w:outlineLvl w:val="0"/>
              <w:rPr>
                <w:rFonts w:eastAsia="Times New Roman" w:cs="Arial"/>
              </w:rPr>
            </w:pPr>
            <w:r w:rsidRPr="00CA37C8">
              <w:rPr>
                <w:rFonts w:eastAsia="Times New Roman" w:cs="Arial"/>
              </w:rPr>
              <w:t xml:space="preserve">Neto </w:t>
            </w:r>
            <w:r>
              <w:rPr>
                <w:rFonts w:eastAsia="Times New Roman" w:cs="Arial"/>
              </w:rPr>
              <w:t>prihodi/</w:t>
            </w:r>
            <w:r w:rsidRPr="00CA37C8">
              <w:rPr>
                <w:rFonts w:eastAsia="Times New Roman" w:cs="Arial"/>
              </w:rPr>
              <w:t>(rashodi</w:t>
            </w:r>
            <w:r>
              <w:rPr>
                <w:rFonts w:eastAsia="Times New Roman" w:cs="Arial"/>
              </w:rPr>
              <w:t>)</w:t>
            </w:r>
            <w:r w:rsidRPr="00CA37C8">
              <w:rPr>
                <w:rFonts w:eastAsia="Times New Roman" w:cs="Arial"/>
              </w:rPr>
              <w:t xml:space="preserve"> od financijskih aktivnosti </w:t>
            </w:r>
          </w:p>
        </w:tc>
        <w:tc>
          <w:tcPr>
            <w:tcW w:w="520" w:type="pct"/>
            <w:vAlign w:val="center"/>
          </w:tcPr>
          <w:p w14:paraId="541440E9" w14:textId="77777777" w:rsidR="003A2F91" w:rsidRPr="00122720" w:rsidRDefault="003A2F91" w:rsidP="003A2F91">
            <w:pPr>
              <w:tabs>
                <w:tab w:val="right" w:pos="1202"/>
              </w:tabs>
              <w:spacing w:after="0" w:line="280" w:lineRule="exact"/>
              <w:jc w:val="center"/>
              <w:outlineLvl w:val="0"/>
              <w:rPr>
                <w:rFonts w:eastAsia="Times New Roman" w:cs="Arial"/>
                <w:bCs/>
                <w:spacing w:val="-2"/>
              </w:rPr>
            </w:pPr>
          </w:p>
        </w:tc>
        <w:tc>
          <w:tcPr>
            <w:tcW w:w="747" w:type="pct"/>
            <w:tcBorders>
              <w:top w:val="nil"/>
              <w:left w:val="nil"/>
              <w:bottom w:val="nil"/>
              <w:right w:val="nil"/>
            </w:tcBorders>
            <w:shd w:val="clear" w:color="auto" w:fill="auto"/>
            <w:vAlign w:val="bottom"/>
          </w:tcPr>
          <w:p w14:paraId="280B205C" w14:textId="38361C2E" w:rsidR="003A2F91" w:rsidRPr="00722C53" w:rsidRDefault="00520898" w:rsidP="003A2F91">
            <w:pPr>
              <w:spacing w:after="0" w:line="280" w:lineRule="exact"/>
              <w:jc w:val="right"/>
              <w:rPr>
                <w:rFonts w:eastAsia="Times New Roman" w:cs="Arial"/>
                <w:bCs/>
              </w:rPr>
            </w:pPr>
            <w:r>
              <w:rPr>
                <w:rFonts w:eastAsia="Times New Roman" w:cs="Arial"/>
                <w:bCs/>
              </w:rPr>
              <w:t>(4.529)</w:t>
            </w:r>
          </w:p>
        </w:tc>
        <w:tc>
          <w:tcPr>
            <w:tcW w:w="667" w:type="pct"/>
            <w:tcBorders>
              <w:top w:val="nil"/>
              <w:left w:val="nil"/>
              <w:bottom w:val="nil"/>
              <w:right w:val="nil"/>
            </w:tcBorders>
            <w:shd w:val="clear" w:color="auto" w:fill="auto"/>
            <w:vAlign w:val="bottom"/>
          </w:tcPr>
          <w:p w14:paraId="4DE52A9C" w14:textId="273AA4C2" w:rsidR="003A2F91" w:rsidRPr="00722C53" w:rsidRDefault="00520898" w:rsidP="003A2F91">
            <w:pPr>
              <w:spacing w:after="0" w:line="280" w:lineRule="exact"/>
              <w:jc w:val="right"/>
              <w:rPr>
                <w:rFonts w:eastAsia="Times New Roman" w:cs="Arial"/>
                <w:bCs/>
              </w:rPr>
            </w:pPr>
            <w:r>
              <w:rPr>
                <w:rFonts w:eastAsia="Times New Roman" w:cs="Arial"/>
                <w:bCs/>
              </w:rPr>
              <w:t>(7.813)</w:t>
            </w:r>
          </w:p>
        </w:tc>
        <w:tc>
          <w:tcPr>
            <w:tcW w:w="754" w:type="pct"/>
            <w:tcBorders>
              <w:top w:val="nil"/>
              <w:left w:val="nil"/>
              <w:bottom w:val="nil"/>
              <w:right w:val="nil"/>
            </w:tcBorders>
            <w:shd w:val="clear" w:color="auto" w:fill="auto"/>
            <w:vAlign w:val="bottom"/>
          </w:tcPr>
          <w:p w14:paraId="6BA07D8F" w14:textId="27A7A13D" w:rsidR="003A2F91" w:rsidRPr="00FA1E36" w:rsidRDefault="003A2F91" w:rsidP="003A2F91">
            <w:pPr>
              <w:spacing w:after="0" w:line="280" w:lineRule="exact"/>
              <w:jc w:val="right"/>
              <w:rPr>
                <w:rFonts w:eastAsia="Times New Roman" w:cs="Arial"/>
                <w:bCs/>
              </w:rPr>
            </w:pPr>
            <w:r w:rsidRPr="00722C53">
              <w:rPr>
                <w:rFonts w:eastAsia="Times New Roman" w:cs="Arial"/>
                <w:bCs/>
              </w:rPr>
              <w:t>3.366</w:t>
            </w:r>
          </w:p>
        </w:tc>
        <w:tc>
          <w:tcPr>
            <w:tcW w:w="660" w:type="pct"/>
            <w:tcBorders>
              <w:top w:val="nil"/>
              <w:left w:val="nil"/>
              <w:bottom w:val="nil"/>
              <w:right w:val="nil"/>
            </w:tcBorders>
            <w:shd w:val="clear" w:color="auto" w:fill="auto"/>
            <w:vAlign w:val="bottom"/>
          </w:tcPr>
          <w:p w14:paraId="06FDBD74" w14:textId="38E8044B" w:rsidR="003A2F91" w:rsidRPr="00FA1E36" w:rsidRDefault="003A2F91" w:rsidP="003A2F91">
            <w:pPr>
              <w:spacing w:after="0" w:line="280" w:lineRule="exact"/>
              <w:jc w:val="right"/>
              <w:rPr>
                <w:rFonts w:eastAsia="Times New Roman" w:cs="Arial"/>
                <w:bCs/>
              </w:rPr>
            </w:pPr>
            <w:r w:rsidRPr="00722C53">
              <w:rPr>
                <w:rFonts w:eastAsia="Times New Roman" w:cs="Arial"/>
                <w:bCs/>
              </w:rPr>
              <w:t>(10.791)</w:t>
            </w:r>
          </w:p>
        </w:tc>
      </w:tr>
      <w:tr w:rsidR="003A2F91" w:rsidRPr="00CA37C8" w14:paraId="624F174B" w14:textId="77777777" w:rsidTr="001B316F">
        <w:trPr>
          <w:trHeight w:hRule="exact" w:val="284"/>
        </w:trPr>
        <w:tc>
          <w:tcPr>
            <w:tcW w:w="1652" w:type="pct"/>
            <w:vAlign w:val="bottom"/>
          </w:tcPr>
          <w:p w14:paraId="43BB64FF" w14:textId="77777777" w:rsidR="003A2F91" w:rsidRPr="00CA37C8" w:rsidRDefault="003A2F91" w:rsidP="003A2F91">
            <w:pPr>
              <w:tabs>
                <w:tab w:val="right" w:pos="1202"/>
              </w:tabs>
              <w:spacing w:after="0" w:line="280" w:lineRule="exact"/>
              <w:outlineLvl w:val="0"/>
              <w:rPr>
                <w:rFonts w:eastAsia="Times New Roman" w:cs="Arial"/>
              </w:rPr>
            </w:pPr>
            <w:r w:rsidRPr="00CA37C8">
              <w:rPr>
                <w:rFonts w:eastAsia="Times New Roman" w:cs="Arial"/>
              </w:rPr>
              <w:t>Ostali prihodi</w:t>
            </w:r>
          </w:p>
        </w:tc>
        <w:tc>
          <w:tcPr>
            <w:tcW w:w="520" w:type="pct"/>
            <w:vAlign w:val="center"/>
          </w:tcPr>
          <w:p w14:paraId="071E71D1" w14:textId="77777777" w:rsidR="003A2F91" w:rsidRPr="00122720" w:rsidRDefault="003A2F91" w:rsidP="003A2F91">
            <w:pPr>
              <w:tabs>
                <w:tab w:val="right" w:pos="1202"/>
              </w:tabs>
              <w:spacing w:after="0" w:line="280" w:lineRule="exact"/>
              <w:jc w:val="center"/>
              <w:outlineLvl w:val="0"/>
              <w:rPr>
                <w:rFonts w:eastAsia="Times New Roman" w:cs="Arial"/>
              </w:rPr>
            </w:pPr>
          </w:p>
        </w:tc>
        <w:tc>
          <w:tcPr>
            <w:tcW w:w="747" w:type="pct"/>
            <w:tcBorders>
              <w:top w:val="nil"/>
              <w:left w:val="nil"/>
              <w:bottom w:val="nil"/>
              <w:right w:val="nil"/>
            </w:tcBorders>
            <w:shd w:val="clear" w:color="auto" w:fill="auto"/>
            <w:vAlign w:val="center"/>
          </w:tcPr>
          <w:p w14:paraId="360116F9" w14:textId="0EE3D5E0" w:rsidR="003A2F91" w:rsidRPr="00722C53" w:rsidRDefault="00520898" w:rsidP="003A2F91">
            <w:pPr>
              <w:spacing w:after="0" w:line="280" w:lineRule="exact"/>
              <w:jc w:val="right"/>
              <w:rPr>
                <w:rFonts w:eastAsia="Times New Roman" w:cs="Arial"/>
                <w:bCs/>
              </w:rPr>
            </w:pPr>
            <w:r>
              <w:rPr>
                <w:rFonts w:eastAsia="Times New Roman" w:cs="Arial"/>
                <w:bCs/>
              </w:rPr>
              <w:t>4.405</w:t>
            </w:r>
          </w:p>
        </w:tc>
        <w:tc>
          <w:tcPr>
            <w:tcW w:w="667" w:type="pct"/>
            <w:tcBorders>
              <w:top w:val="nil"/>
              <w:left w:val="nil"/>
              <w:bottom w:val="nil"/>
              <w:right w:val="nil"/>
            </w:tcBorders>
            <w:shd w:val="clear" w:color="auto" w:fill="auto"/>
            <w:vAlign w:val="center"/>
          </w:tcPr>
          <w:p w14:paraId="62DB2333" w14:textId="55909896" w:rsidR="003A2F91" w:rsidRPr="00722C53" w:rsidRDefault="00520898" w:rsidP="003A2F91">
            <w:pPr>
              <w:spacing w:after="0" w:line="280" w:lineRule="exact"/>
              <w:jc w:val="right"/>
              <w:rPr>
                <w:rFonts w:eastAsia="Times New Roman" w:cs="Arial"/>
                <w:bCs/>
              </w:rPr>
            </w:pPr>
            <w:r>
              <w:rPr>
                <w:rFonts w:eastAsia="Times New Roman" w:cs="Arial"/>
                <w:bCs/>
              </w:rPr>
              <w:t>8.362</w:t>
            </w:r>
          </w:p>
        </w:tc>
        <w:tc>
          <w:tcPr>
            <w:tcW w:w="754" w:type="pct"/>
            <w:tcBorders>
              <w:top w:val="nil"/>
              <w:left w:val="nil"/>
              <w:bottom w:val="nil"/>
              <w:right w:val="nil"/>
            </w:tcBorders>
            <w:shd w:val="clear" w:color="auto" w:fill="auto"/>
            <w:vAlign w:val="center"/>
          </w:tcPr>
          <w:p w14:paraId="0BE24614" w14:textId="7B53DCEB" w:rsidR="003A2F91" w:rsidRPr="00FA1E36" w:rsidRDefault="003A2F91" w:rsidP="003A2F91">
            <w:pPr>
              <w:spacing w:after="0" w:line="280" w:lineRule="exact"/>
              <w:jc w:val="right"/>
              <w:rPr>
                <w:rFonts w:eastAsia="Times New Roman" w:cs="Arial"/>
                <w:bCs/>
              </w:rPr>
            </w:pPr>
            <w:r w:rsidRPr="00722C53">
              <w:rPr>
                <w:rFonts w:eastAsia="Times New Roman" w:cs="Arial"/>
                <w:bCs/>
              </w:rPr>
              <w:t>3.191</w:t>
            </w:r>
          </w:p>
        </w:tc>
        <w:tc>
          <w:tcPr>
            <w:tcW w:w="660" w:type="pct"/>
            <w:tcBorders>
              <w:top w:val="nil"/>
              <w:left w:val="nil"/>
              <w:bottom w:val="nil"/>
              <w:right w:val="nil"/>
            </w:tcBorders>
            <w:shd w:val="clear" w:color="auto" w:fill="auto"/>
            <w:vAlign w:val="center"/>
          </w:tcPr>
          <w:p w14:paraId="02A72BFC" w14:textId="073F82B4" w:rsidR="003A2F91" w:rsidRPr="00FA1E36" w:rsidRDefault="003A2F91" w:rsidP="003A2F91">
            <w:pPr>
              <w:spacing w:after="0" w:line="280" w:lineRule="exact"/>
              <w:jc w:val="right"/>
              <w:rPr>
                <w:rFonts w:eastAsia="Times New Roman" w:cs="Arial"/>
                <w:bCs/>
              </w:rPr>
            </w:pPr>
            <w:r w:rsidRPr="00722C53">
              <w:rPr>
                <w:rFonts w:eastAsia="Times New Roman" w:cs="Arial"/>
                <w:bCs/>
              </w:rPr>
              <w:t>6.829</w:t>
            </w:r>
          </w:p>
        </w:tc>
      </w:tr>
      <w:tr w:rsidR="003A2F91" w:rsidRPr="00CA37C8" w14:paraId="19E58DDF" w14:textId="77777777" w:rsidTr="001B316F">
        <w:trPr>
          <w:trHeight w:val="359"/>
        </w:trPr>
        <w:tc>
          <w:tcPr>
            <w:tcW w:w="1652" w:type="pct"/>
            <w:vAlign w:val="bottom"/>
          </w:tcPr>
          <w:p w14:paraId="0F3D93A9" w14:textId="77777777" w:rsidR="003A2F91" w:rsidRPr="00CA37C8" w:rsidRDefault="003A2F91" w:rsidP="003A2F91">
            <w:pPr>
              <w:tabs>
                <w:tab w:val="right" w:pos="1202"/>
              </w:tabs>
              <w:spacing w:after="0" w:line="280" w:lineRule="exact"/>
              <w:outlineLvl w:val="0"/>
              <w:rPr>
                <w:rFonts w:eastAsia="Times New Roman" w:cs="Arial"/>
                <w:b/>
                <w:bCs/>
              </w:rPr>
            </w:pPr>
          </w:p>
        </w:tc>
        <w:tc>
          <w:tcPr>
            <w:tcW w:w="520" w:type="pct"/>
            <w:vAlign w:val="center"/>
          </w:tcPr>
          <w:p w14:paraId="485664BB" w14:textId="77777777" w:rsidR="003A2F91" w:rsidRPr="00122720" w:rsidRDefault="003A2F91" w:rsidP="003A2F91">
            <w:pPr>
              <w:tabs>
                <w:tab w:val="right" w:pos="1202"/>
              </w:tabs>
              <w:spacing w:after="0" w:line="280" w:lineRule="exact"/>
              <w:jc w:val="center"/>
              <w:outlineLvl w:val="0"/>
              <w:rPr>
                <w:rFonts w:eastAsia="Times New Roman" w:cs="Arial"/>
                <w:b/>
                <w:bCs/>
              </w:rPr>
            </w:pPr>
          </w:p>
        </w:tc>
        <w:tc>
          <w:tcPr>
            <w:tcW w:w="747" w:type="pct"/>
            <w:tcBorders>
              <w:top w:val="single" w:sz="4" w:space="0" w:color="auto"/>
              <w:left w:val="nil"/>
              <w:bottom w:val="single" w:sz="8" w:space="0" w:color="auto"/>
              <w:right w:val="nil"/>
            </w:tcBorders>
            <w:shd w:val="clear" w:color="auto" w:fill="auto"/>
            <w:vAlign w:val="center"/>
          </w:tcPr>
          <w:p w14:paraId="35632576" w14:textId="53895562" w:rsidR="003A2F91" w:rsidRPr="00722C53" w:rsidRDefault="00520898" w:rsidP="003A2F91">
            <w:pPr>
              <w:spacing w:after="0" w:line="280" w:lineRule="exact"/>
              <w:jc w:val="right"/>
              <w:rPr>
                <w:rFonts w:eastAsia="Times New Roman" w:cs="Arial"/>
                <w:b/>
                <w:bCs/>
              </w:rPr>
            </w:pPr>
            <w:r>
              <w:rPr>
                <w:rFonts w:eastAsia="Times New Roman" w:cs="Arial"/>
                <w:b/>
                <w:bCs/>
              </w:rPr>
              <w:t>113.818</w:t>
            </w:r>
          </w:p>
        </w:tc>
        <w:tc>
          <w:tcPr>
            <w:tcW w:w="667" w:type="pct"/>
            <w:tcBorders>
              <w:top w:val="single" w:sz="4" w:space="0" w:color="auto"/>
              <w:left w:val="nil"/>
              <w:bottom w:val="single" w:sz="8" w:space="0" w:color="auto"/>
              <w:right w:val="nil"/>
            </w:tcBorders>
            <w:shd w:val="clear" w:color="auto" w:fill="auto"/>
            <w:vAlign w:val="center"/>
          </w:tcPr>
          <w:p w14:paraId="37A0FD4E" w14:textId="0FCF8065" w:rsidR="003A2F91" w:rsidRPr="00722C53" w:rsidRDefault="00520898" w:rsidP="003A2F91">
            <w:pPr>
              <w:spacing w:after="0" w:line="280" w:lineRule="exact"/>
              <w:jc w:val="right"/>
              <w:rPr>
                <w:rFonts w:eastAsia="Times New Roman" w:cs="Arial"/>
                <w:b/>
                <w:bCs/>
              </w:rPr>
            </w:pPr>
            <w:r>
              <w:rPr>
                <w:rFonts w:eastAsia="Times New Roman" w:cs="Arial"/>
                <w:b/>
                <w:bCs/>
              </w:rPr>
              <w:t>251.904</w:t>
            </w:r>
          </w:p>
        </w:tc>
        <w:tc>
          <w:tcPr>
            <w:tcW w:w="754" w:type="pct"/>
            <w:tcBorders>
              <w:top w:val="single" w:sz="4" w:space="0" w:color="auto"/>
              <w:left w:val="nil"/>
              <w:bottom w:val="single" w:sz="8" w:space="0" w:color="auto"/>
              <w:right w:val="nil"/>
            </w:tcBorders>
            <w:shd w:val="clear" w:color="auto" w:fill="auto"/>
            <w:vAlign w:val="center"/>
          </w:tcPr>
          <w:p w14:paraId="36226038" w14:textId="6DF3C472" w:rsidR="003A2F91" w:rsidRDefault="003A2F91" w:rsidP="003A2F91">
            <w:pPr>
              <w:spacing w:after="0" w:line="280" w:lineRule="exact"/>
              <w:jc w:val="right"/>
              <w:rPr>
                <w:rFonts w:eastAsia="Times New Roman" w:cs="Arial"/>
                <w:b/>
                <w:bCs/>
              </w:rPr>
            </w:pPr>
            <w:r w:rsidRPr="00722C53">
              <w:rPr>
                <w:rFonts w:eastAsia="Times New Roman" w:cs="Arial"/>
                <w:b/>
                <w:bCs/>
              </w:rPr>
              <w:t>111.181</w:t>
            </w:r>
          </w:p>
        </w:tc>
        <w:tc>
          <w:tcPr>
            <w:tcW w:w="660" w:type="pct"/>
            <w:tcBorders>
              <w:top w:val="single" w:sz="4" w:space="0" w:color="auto"/>
              <w:left w:val="nil"/>
              <w:bottom w:val="single" w:sz="8" w:space="0" w:color="auto"/>
              <w:right w:val="nil"/>
            </w:tcBorders>
            <w:shd w:val="clear" w:color="auto" w:fill="auto"/>
            <w:vAlign w:val="center"/>
          </w:tcPr>
          <w:p w14:paraId="5FD217BD" w14:textId="74D5DDBB" w:rsidR="003A2F91" w:rsidRDefault="003A2F91" w:rsidP="003A2F91">
            <w:pPr>
              <w:spacing w:after="0" w:line="280" w:lineRule="exact"/>
              <w:jc w:val="right"/>
              <w:rPr>
                <w:rFonts w:eastAsia="Times New Roman" w:cs="Arial"/>
                <w:b/>
                <w:bCs/>
              </w:rPr>
            </w:pPr>
            <w:r w:rsidRPr="00722C53">
              <w:rPr>
                <w:rFonts w:eastAsia="Times New Roman" w:cs="Arial"/>
                <w:b/>
                <w:bCs/>
              </w:rPr>
              <w:t>210.535</w:t>
            </w:r>
          </w:p>
        </w:tc>
      </w:tr>
      <w:tr w:rsidR="003A2F91" w:rsidRPr="00CA37C8" w14:paraId="7AC940DE" w14:textId="77777777" w:rsidTr="001B316F">
        <w:trPr>
          <w:trHeight w:val="136"/>
        </w:trPr>
        <w:tc>
          <w:tcPr>
            <w:tcW w:w="1652" w:type="pct"/>
            <w:vAlign w:val="bottom"/>
          </w:tcPr>
          <w:p w14:paraId="1680602F" w14:textId="77777777" w:rsidR="003A2F91" w:rsidRPr="00CA37C8" w:rsidRDefault="003A2F91" w:rsidP="003A2F91">
            <w:pPr>
              <w:tabs>
                <w:tab w:val="right" w:pos="1202"/>
              </w:tabs>
              <w:spacing w:after="0" w:line="200" w:lineRule="exact"/>
              <w:outlineLvl w:val="0"/>
              <w:rPr>
                <w:rFonts w:eastAsia="Times New Roman" w:cs="Arial"/>
                <w:bCs/>
                <w:spacing w:val="-2"/>
              </w:rPr>
            </w:pPr>
          </w:p>
        </w:tc>
        <w:tc>
          <w:tcPr>
            <w:tcW w:w="520" w:type="pct"/>
            <w:vAlign w:val="bottom"/>
          </w:tcPr>
          <w:p w14:paraId="55F69914" w14:textId="77777777" w:rsidR="003A2F91" w:rsidRPr="00122720" w:rsidRDefault="003A2F91" w:rsidP="003A2F91">
            <w:pPr>
              <w:spacing w:after="0" w:line="200" w:lineRule="exact"/>
              <w:jc w:val="right"/>
              <w:outlineLvl w:val="0"/>
              <w:rPr>
                <w:rFonts w:eastAsia="Times New Roman" w:cs="Arial"/>
                <w:bCs/>
                <w:spacing w:val="-2"/>
              </w:rPr>
            </w:pPr>
          </w:p>
        </w:tc>
        <w:tc>
          <w:tcPr>
            <w:tcW w:w="747" w:type="pct"/>
            <w:tcBorders>
              <w:top w:val="single" w:sz="12" w:space="0" w:color="auto"/>
            </w:tcBorders>
          </w:tcPr>
          <w:p w14:paraId="705B8255" w14:textId="77777777" w:rsidR="003A2F91" w:rsidRPr="00722C53" w:rsidRDefault="003A2F91" w:rsidP="003A2F91">
            <w:pPr>
              <w:spacing w:after="0" w:line="280" w:lineRule="exact"/>
              <w:jc w:val="right"/>
              <w:rPr>
                <w:rFonts w:eastAsia="Times New Roman" w:cs="Arial"/>
                <w:b/>
                <w:bCs/>
              </w:rPr>
            </w:pPr>
          </w:p>
        </w:tc>
        <w:tc>
          <w:tcPr>
            <w:tcW w:w="667" w:type="pct"/>
            <w:tcBorders>
              <w:top w:val="single" w:sz="12" w:space="0" w:color="auto"/>
            </w:tcBorders>
          </w:tcPr>
          <w:p w14:paraId="01A3F091" w14:textId="77777777" w:rsidR="003A2F91" w:rsidRPr="00722C53" w:rsidRDefault="003A2F91" w:rsidP="003A2F91">
            <w:pPr>
              <w:spacing w:after="0" w:line="280" w:lineRule="exact"/>
              <w:jc w:val="right"/>
              <w:rPr>
                <w:rFonts w:eastAsia="Times New Roman" w:cs="Arial"/>
                <w:b/>
                <w:bCs/>
              </w:rPr>
            </w:pPr>
          </w:p>
        </w:tc>
        <w:tc>
          <w:tcPr>
            <w:tcW w:w="754" w:type="pct"/>
            <w:tcBorders>
              <w:top w:val="single" w:sz="12" w:space="0" w:color="auto"/>
            </w:tcBorders>
          </w:tcPr>
          <w:p w14:paraId="09509D8E" w14:textId="77777777" w:rsidR="003A2F91" w:rsidRPr="00731F04" w:rsidRDefault="003A2F91" w:rsidP="003A2F91">
            <w:pPr>
              <w:spacing w:after="0" w:line="280" w:lineRule="exact"/>
              <w:jc w:val="right"/>
              <w:rPr>
                <w:rFonts w:eastAsia="Times New Roman" w:cs="Arial"/>
                <w:b/>
                <w:bCs/>
              </w:rPr>
            </w:pPr>
          </w:p>
        </w:tc>
        <w:tc>
          <w:tcPr>
            <w:tcW w:w="660" w:type="pct"/>
            <w:tcBorders>
              <w:top w:val="single" w:sz="12" w:space="0" w:color="auto"/>
            </w:tcBorders>
          </w:tcPr>
          <w:p w14:paraId="74B910DF" w14:textId="77777777" w:rsidR="003A2F91" w:rsidRPr="00731F04" w:rsidRDefault="003A2F91" w:rsidP="003A2F91">
            <w:pPr>
              <w:spacing w:after="0" w:line="280" w:lineRule="exact"/>
              <w:jc w:val="right"/>
              <w:rPr>
                <w:rFonts w:eastAsia="Times New Roman" w:cs="Arial"/>
                <w:b/>
                <w:bCs/>
              </w:rPr>
            </w:pPr>
          </w:p>
        </w:tc>
      </w:tr>
      <w:tr w:rsidR="003A2F91" w:rsidRPr="00CA37C8" w14:paraId="545CE4D3" w14:textId="77777777" w:rsidTr="001B316F">
        <w:trPr>
          <w:trHeight w:val="316"/>
        </w:trPr>
        <w:tc>
          <w:tcPr>
            <w:tcW w:w="1652" w:type="pct"/>
            <w:vAlign w:val="bottom"/>
          </w:tcPr>
          <w:p w14:paraId="15CA8501" w14:textId="77777777" w:rsidR="003A2F91" w:rsidRPr="00CA37C8" w:rsidRDefault="003A2F91" w:rsidP="003A2F91">
            <w:pPr>
              <w:tabs>
                <w:tab w:val="right" w:pos="1202"/>
              </w:tabs>
              <w:spacing w:after="0" w:line="280" w:lineRule="exact"/>
              <w:outlineLvl w:val="0"/>
              <w:rPr>
                <w:rFonts w:eastAsia="Times New Roman" w:cs="Arial"/>
                <w:bCs/>
                <w:spacing w:val="-2"/>
              </w:rPr>
            </w:pPr>
            <w:r w:rsidRPr="00CA37C8">
              <w:rPr>
                <w:rFonts w:eastAsia="Times New Roman" w:cs="Arial"/>
                <w:bCs/>
                <w:spacing w:val="-2"/>
              </w:rPr>
              <w:t>Operativni troškovi</w:t>
            </w:r>
          </w:p>
        </w:tc>
        <w:tc>
          <w:tcPr>
            <w:tcW w:w="520" w:type="pct"/>
            <w:vAlign w:val="center"/>
          </w:tcPr>
          <w:p w14:paraId="155D30B0" w14:textId="77777777" w:rsidR="003A2F91" w:rsidRPr="00122720" w:rsidRDefault="003A2F91" w:rsidP="003A2F91">
            <w:pPr>
              <w:spacing w:after="0" w:line="280" w:lineRule="exact"/>
              <w:jc w:val="center"/>
              <w:outlineLvl w:val="0"/>
              <w:rPr>
                <w:rFonts w:eastAsia="Times New Roman" w:cs="Arial"/>
                <w:bCs/>
                <w:spacing w:val="-2"/>
              </w:rPr>
            </w:pPr>
            <w:r w:rsidRPr="00122720">
              <w:rPr>
                <w:rFonts w:eastAsia="Times New Roman" w:cs="Arial"/>
                <w:bCs/>
                <w:spacing w:val="-2"/>
              </w:rPr>
              <w:t>6</w:t>
            </w:r>
          </w:p>
        </w:tc>
        <w:tc>
          <w:tcPr>
            <w:tcW w:w="747" w:type="pct"/>
            <w:tcBorders>
              <w:top w:val="nil"/>
              <w:left w:val="nil"/>
              <w:bottom w:val="nil"/>
              <w:right w:val="nil"/>
            </w:tcBorders>
            <w:shd w:val="clear" w:color="auto" w:fill="auto"/>
            <w:vAlign w:val="bottom"/>
          </w:tcPr>
          <w:p w14:paraId="332181B1" w14:textId="73257EE6" w:rsidR="003A2F91" w:rsidRPr="00722C53" w:rsidRDefault="00520898" w:rsidP="003A2F91">
            <w:pPr>
              <w:spacing w:after="0" w:line="280" w:lineRule="exact"/>
              <w:jc w:val="right"/>
              <w:rPr>
                <w:rFonts w:eastAsia="Times New Roman" w:cs="Arial"/>
                <w:bCs/>
              </w:rPr>
            </w:pPr>
            <w:r>
              <w:rPr>
                <w:rFonts w:eastAsia="Times New Roman" w:cs="Arial"/>
                <w:bCs/>
              </w:rPr>
              <w:t>(40.881)</w:t>
            </w:r>
          </w:p>
        </w:tc>
        <w:tc>
          <w:tcPr>
            <w:tcW w:w="667" w:type="pct"/>
            <w:tcBorders>
              <w:top w:val="nil"/>
              <w:left w:val="nil"/>
              <w:bottom w:val="nil"/>
              <w:right w:val="nil"/>
            </w:tcBorders>
            <w:shd w:val="clear" w:color="auto" w:fill="auto"/>
            <w:vAlign w:val="bottom"/>
          </w:tcPr>
          <w:p w14:paraId="27792E28" w14:textId="6443BFFC" w:rsidR="003A2F91" w:rsidRPr="00722C53" w:rsidRDefault="00520898" w:rsidP="003A2F91">
            <w:pPr>
              <w:spacing w:after="0" w:line="280" w:lineRule="exact"/>
              <w:jc w:val="right"/>
              <w:rPr>
                <w:rFonts w:eastAsia="Times New Roman" w:cs="Arial"/>
                <w:bCs/>
              </w:rPr>
            </w:pPr>
            <w:r>
              <w:rPr>
                <w:rFonts w:eastAsia="Times New Roman" w:cs="Arial"/>
                <w:bCs/>
              </w:rPr>
              <w:t>(78.029)</w:t>
            </w:r>
          </w:p>
        </w:tc>
        <w:tc>
          <w:tcPr>
            <w:tcW w:w="754" w:type="pct"/>
            <w:tcBorders>
              <w:top w:val="nil"/>
              <w:left w:val="nil"/>
              <w:bottom w:val="nil"/>
              <w:right w:val="nil"/>
            </w:tcBorders>
            <w:shd w:val="clear" w:color="auto" w:fill="auto"/>
            <w:vAlign w:val="bottom"/>
          </w:tcPr>
          <w:p w14:paraId="6EEC799D" w14:textId="115B75C6" w:rsidR="003A2F91" w:rsidRPr="00FA1E36" w:rsidRDefault="003A2F91" w:rsidP="003A2F91">
            <w:pPr>
              <w:spacing w:after="0" w:line="280" w:lineRule="exact"/>
              <w:jc w:val="right"/>
              <w:rPr>
                <w:rFonts w:eastAsia="Times New Roman" w:cs="Arial"/>
                <w:bCs/>
              </w:rPr>
            </w:pPr>
            <w:r w:rsidRPr="00722C53">
              <w:rPr>
                <w:rFonts w:eastAsia="Times New Roman" w:cs="Arial"/>
                <w:bCs/>
              </w:rPr>
              <w:t>(40.096)</w:t>
            </w:r>
          </w:p>
        </w:tc>
        <w:tc>
          <w:tcPr>
            <w:tcW w:w="660" w:type="pct"/>
            <w:tcBorders>
              <w:top w:val="nil"/>
              <w:left w:val="nil"/>
              <w:bottom w:val="nil"/>
              <w:right w:val="nil"/>
            </w:tcBorders>
            <w:shd w:val="clear" w:color="auto" w:fill="auto"/>
            <w:vAlign w:val="bottom"/>
          </w:tcPr>
          <w:p w14:paraId="01026803" w14:textId="37A7C67A" w:rsidR="003A2F91" w:rsidRPr="00FA1E36" w:rsidRDefault="003A2F91" w:rsidP="003A2F91">
            <w:pPr>
              <w:spacing w:after="0" w:line="280" w:lineRule="exact"/>
              <w:jc w:val="right"/>
              <w:rPr>
                <w:rFonts w:eastAsia="Times New Roman" w:cs="Arial"/>
                <w:bCs/>
              </w:rPr>
            </w:pPr>
            <w:r w:rsidRPr="00722C53">
              <w:rPr>
                <w:rFonts w:eastAsia="Times New Roman" w:cs="Arial"/>
                <w:bCs/>
              </w:rPr>
              <w:t>(81.899)</w:t>
            </w:r>
          </w:p>
        </w:tc>
      </w:tr>
      <w:tr w:rsidR="003A2F91" w:rsidRPr="00CA37C8" w14:paraId="5A47A76A" w14:textId="77777777" w:rsidTr="001B316F">
        <w:trPr>
          <w:trHeight w:val="316"/>
        </w:trPr>
        <w:tc>
          <w:tcPr>
            <w:tcW w:w="1652" w:type="pct"/>
            <w:vAlign w:val="bottom"/>
          </w:tcPr>
          <w:p w14:paraId="0AC3532A" w14:textId="77777777" w:rsidR="003A2F91" w:rsidRPr="00CA37C8" w:rsidRDefault="003A2F91" w:rsidP="003A2F91">
            <w:pPr>
              <w:tabs>
                <w:tab w:val="right" w:pos="1202"/>
              </w:tabs>
              <w:spacing w:after="0" w:line="280" w:lineRule="exact"/>
              <w:outlineLvl w:val="0"/>
              <w:rPr>
                <w:rFonts w:eastAsia="Times New Roman" w:cs="Arial"/>
                <w:bCs/>
                <w:spacing w:val="-2"/>
              </w:rPr>
            </w:pPr>
            <w:r w:rsidRPr="00CA37C8">
              <w:rPr>
                <w:rFonts w:eastAsia="Times New Roman" w:cs="Arial"/>
                <w:bCs/>
                <w:spacing w:val="-2"/>
              </w:rPr>
              <w:t>Gubitak od umanjenja vrijednosti i rezerviranja</w:t>
            </w:r>
          </w:p>
        </w:tc>
        <w:tc>
          <w:tcPr>
            <w:tcW w:w="520" w:type="pct"/>
            <w:vAlign w:val="center"/>
          </w:tcPr>
          <w:p w14:paraId="025A2F67" w14:textId="77777777" w:rsidR="003A2F91" w:rsidRPr="00122720" w:rsidRDefault="003A2F91" w:rsidP="003A2F91">
            <w:pPr>
              <w:spacing w:after="0" w:line="280" w:lineRule="exact"/>
              <w:jc w:val="center"/>
              <w:outlineLvl w:val="0"/>
              <w:rPr>
                <w:rFonts w:eastAsia="Times New Roman" w:cs="Arial"/>
                <w:bCs/>
                <w:spacing w:val="-2"/>
              </w:rPr>
            </w:pPr>
            <w:r w:rsidRPr="00122720">
              <w:rPr>
                <w:rFonts w:eastAsia="Times New Roman" w:cs="Arial"/>
                <w:bCs/>
                <w:spacing w:val="-2"/>
              </w:rPr>
              <w:t>7</w:t>
            </w:r>
          </w:p>
        </w:tc>
        <w:tc>
          <w:tcPr>
            <w:tcW w:w="747" w:type="pct"/>
            <w:tcBorders>
              <w:top w:val="nil"/>
              <w:left w:val="nil"/>
              <w:bottom w:val="nil"/>
              <w:right w:val="nil"/>
            </w:tcBorders>
            <w:shd w:val="clear" w:color="auto" w:fill="auto"/>
            <w:vAlign w:val="bottom"/>
          </w:tcPr>
          <w:p w14:paraId="58D93E49" w14:textId="775A74E7" w:rsidR="003A2F91" w:rsidRPr="00722C53" w:rsidRDefault="00520898" w:rsidP="003A2F91">
            <w:pPr>
              <w:spacing w:after="0" w:line="280" w:lineRule="exact"/>
              <w:jc w:val="right"/>
              <w:rPr>
                <w:rFonts w:eastAsia="Times New Roman" w:cs="Arial"/>
                <w:bCs/>
              </w:rPr>
            </w:pPr>
            <w:r>
              <w:rPr>
                <w:rFonts w:eastAsia="Times New Roman" w:cs="Arial"/>
                <w:bCs/>
              </w:rPr>
              <w:t>16.414</w:t>
            </w:r>
          </w:p>
        </w:tc>
        <w:tc>
          <w:tcPr>
            <w:tcW w:w="667" w:type="pct"/>
            <w:tcBorders>
              <w:top w:val="nil"/>
              <w:left w:val="nil"/>
              <w:bottom w:val="nil"/>
              <w:right w:val="nil"/>
            </w:tcBorders>
            <w:shd w:val="clear" w:color="auto" w:fill="auto"/>
            <w:vAlign w:val="bottom"/>
          </w:tcPr>
          <w:p w14:paraId="21375562" w14:textId="3EA76023" w:rsidR="003A2F91" w:rsidRPr="00722C53" w:rsidRDefault="00520898" w:rsidP="003A2F91">
            <w:pPr>
              <w:spacing w:after="0" w:line="280" w:lineRule="exact"/>
              <w:jc w:val="right"/>
              <w:rPr>
                <w:rFonts w:eastAsia="Times New Roman" w:cs="Arial"/>
                <w:bCs/>
              </w:rPr>
            </w:pPr>
            <w:r>
              <w:rPr>
                <w:rFonts w:eastAsia="Times New Roman" w:cs="Arial"/>
                <w:bCs/>
              </w:rPr>
              <w:t>(43.125)</w:t>
            </w:r>
          </w:p>
        </w:tc>
        <w:tc>
          <w:tcPr>
            <w:tcW w:w="754" w:type="pct"/>
            <w:tcBorders>
              <w:top w:val="nil"/>
              <w:left w:val="nil"/>
              <w:bottom w:val="nil"/>
              <w:right w:val="nil"/>
            </w:tcBorders>
            <w:shd w:val="clear" w:color="auto" w:fill="auto"/>
            <w:vAlign w:val="bottom"/>
          </w:tcPr>
          <w:p w14:paraId="62D3596E" w14:textId="5C06A135" w:rsidR="003A2F91" w:rsidRPr="00FA1E36" w:rsidRDefault="003A2F91" w:rsidP="003A2F91">
            <w:pPr>
              <w:spacing w:after="0" w:line="280" w:lineRule="exact"/>
              <w:jc w:val="right"/>
              <w:rPr>
                <w:rFonts w:eastAsia="Times New Roman" w:cs="Arial"/>
                <w:bCs/>
              </w:rPr>
            </w:pPr>
            <w:r w:rsidRPr="00722C53">
              <w:rPr>
                <w:rFonts w:eastAsia="Times New Roman" w:cs="Arial"/>
                <w:bCs/>
              </w:rPr>
              <w:t>(16.492)</w:t>
            </w:r>
          </w:p>
        </w:tc>
        <w:tc>
          <w:tcPr>
            <w:tcW w:w="660" w:type="pct"/>
            <w:tcBorders>
              <w:top w:val="nil"/>
              <w:left w:val="nil"/>
              <w:bottom w:val="nil"/>
              <w:right w:val="nil"/>
            </w:tcBorders>
            <w:shd w:val="clear" w:color="auto" w:fill="auto"/>
            <w:vAlign w:val="bottom"/>
          </w:tcPr>
          <w:p w14:paraId="611AC014" w14:textId="4D7E0AA1" w:rsidR="003A2F91" w:rsidRPr="00FA1E36" w:rsidRDefault="003A2F91" w:rsidP="003A2F91">
            <w:pPr>
              <w:spacing w:after="0" w:line="280" w:lineRule="exact"/>
              <w:jc w:val="right"/>
              <w:rPr>
                <w:rFonts w:eastAsia="Times New Roman" w:cs="Arial"/>
                <w:bCs/>
              </w:rPr>
            </w:pPr>
            <w:r w:rsidRPr="00722C53">
              <w:rPr>
                <w:rFonts w:eastAsia="Times New Roman" w:cs="Arial"/>
                <w:bCs/>
              </w:rPr>
              <w:t>(20.958)</w:t>
            </w:r>
          </w:p>
        </w:tc>
      </w:tr>
      <w:tr w:rsidR="003A2F91" w:rsidRPr="00CA37C8" w14:paraId="17CDE9DE" w14:textId="77777777" w:rsidTr="001B316F">
        <w:trPr>
          <w:trHeight w:val="101"/>
        </w:trPr>
        <w:tc>
          <w:tcPr>
            <w:tcW w:w="1652" w:type="pct"/>
            <w:vAlign w:val="bottom"/>
          </w:tcPr>
          <w:p w14:paraId="09EE79C8" w14:textId="77777777" w:rsidR="003A2F91" w:rsidRPr="00CA37C8" w:rsidRDefault="003A2F91" w:rsidP="003A2F91">
            <w:pPr>
              <w:keepNext/>
              <w:keepLines/>
              <w:tabs>
                <w:tab w:val="decimal" w:pos="1202"/>
              </w:tabs>
              <w:spacing w:after="0" w:line="280" w:lineRule="exact"/>
              <w:rPr>
                <w:rFonts w:eastAsia="Times New Roman" w:cs="Arial"/>
                <w:b/>
                <w:position w:val="4"/>
              </w:rPr>
            </w:pPr>
          </w:p>
        </w:tc>
        <w:tc>
          <w:tcPr>
            <w:tcW w:w="520" w:type="pct"/>
            <w:vAlign w:val="center"/>
          </w:tcPr>
          <w:p w14:paraId="1CC2B331" w14:textId="77777777" w:rsidR="003A2F91" w:rsidRPr="00CA37C8" w:rsidRDefault="003A2F91" w:rsidP="003A2F91">
            <w:pPr>
              <w:keepNext/>
              <w:keepLines/>
              <w:spacing w:after="0" w:line="280" w:lineRule="exact"/>
              <w:jc w:val="center"/>
              <w:rPr>
                <w:rFonts w:eastAsia="Times New Roman" w:cs="Arial"/>
                <w:b/>
                <w:spacing w:val="-2"/>
                <w:position w:val="4"/>
              </w:rPr>
            </w:pPr>
          </w:p>
        </w:tc>
        <w:tc>
          <w:tcPr>
            <w:tcW w:w="747" w:type="pct"/>
            <w:tcBorders>
              <w:bottom w:val="single" w:sz="4" w:space="0" w:color="auto"/>
            </w:tcBorders>
            <w:vAlign w:val="bottom"/>
          </w:tcPr>
          <w:p w14:paraId="746127DA" w14:textId="77777777" w:rsidR="003A2F91" w:rsidRPr="00722C53" w:rsidRDefault="003A2F91" w:rsidP="003A2F91">
            <w:pPr>
              <w:spacing w:after="0" w:line="280" w:lineRule="exact"/>
              <w:jc w:val="right"/>
              <w:rPr>
                <w:rFonts w:eastAsia="Times New Roman" w:cs="Arial"/>
                <w:b/>
                <w:bCs/>
              </w:rPr>
            </w:pPr>
          </w:p>
        </w:tc>
        <w:tc>
          <w:tcPr>
            <w:tcW w:w="667" w:type="pct"/>
            <w:tcBorders>
              <w:bottom w:val="single" w:sz="4" w:space="0" w:color="auto"/>
            </w:tcBorders>
            <w:vAlign w:val="bottom"/>
          </w:tcPr>
          <w:p w14:paraId="4E42DA38" w14:textId="77777777" w:rsidR="003A2F91" w:rsidRPr="00722C53" w:rsidRDefault="003A2F91" w:rsidP="003A2F91">
            <w:pPr>
              <w:spacing w:after="0" w:line="280" w:lineRule="exact"/>
              <w:jc w:val="right"/>
              <w:rPr>
                <w:rFonts w:eastAsia="Times New Roman" w:cs="Arial"/>
                <w:b/>
                <w:bCs/>
              </w:rPr>
            </w:pPr>
          </w:p>
        </w:tc>
        <w:tc>
          <w:tcPr>
            <w:tcW w:w="754" w:type="pct"/>
            <w:tcBorders>
              <w:bottom w:val="single" w:sz="4" w:space="0" w:color="auto"/>
            </w:tcBorders>
            <w:vAlign w:val="bottom"/>
          </w:tcPr>
          <w:p w14:paraId="75BA7247" w14:textId="77777777" w:rsidR="003A2F91" w:rsidRPr="00731F04" w:rsidRDefault="003A2F91" w:rsidP="003A2F91">
            <w:pPr>
              <w:spacing w:after="0" w:line="280" w:lineRule="exact"/>
              <w:jc w:val="right"/>
              <w:rPr>
                <w:rFonts w:eastAsia="Times New Roman" w:cs="Arial"/>
                <w:b/>
                <w:bCs/>
              </w:rPr>
            </w:pPr>
          </w:p>
        </w:tc>
        <w:tc>
          <w:tcPr>
            <w:tcW w:w="660" w:type="pct"/>
            <w:tcBorders>
              <w:bottom w:val="single" w:sz="4" w:space="0" w:color="auto"/>
            </w:tcBorders>
            <w:vAlign w:val="bottom"/>
          </w:tcPr>
          <w:p w14:paraId="0CBF0921" w14:textId="77777777" w:rsidR="003A2F91" w:rsidRPr="00731F04" w:rsidRDefault="003A2F91" w:rsidP="003A2F91">
            <w:pPr>
              <w:spacing w:after="0" w:line="280" w:lineRule="exact"/>
              <w:jc w:val="right"/>
              <w:rPr>
                <w:rFonts w:eastAsia="Times New Roman" w:cs="Arial"/>
                <w:b/>
                <w:bCs/>
              </w:rPr>
            </w:pPr>
          </w:p>
        </w:tc>
      </w:tr>
      <w:tr w:rsidR="003A2F91" w:rsidRPr="00CA37C8" w14:paraId="4B31BADB" w14:textId="77777777" w:rsidTr="001B316F">
        <w:trPr>
          <w:trHeight w:hRule="exact" w:val="357"/>
        </w:trPr>
        <w:tc>
          <w:tcPr>
            <w:tcW w:w="1652" w:type="pct"/>
            <w:vAlign w:val="bottom"/>
          </w:tcPr>
          <w:p w14:paraId="5191A9F0" w14:textId="77777777" w:rsidR="003A2F91" w:rsidRPr="00CA37C8" w:rsidRDefault="003A2F91" w:rsidP="003A2F91">
            <w:pPr>
              <w:tabs>
                <w:tab w:val="right" w:pos="1202"/>
              </w:tabs>
              <w:spacing w:after="0" w:line="280" w:lineRule="exact"/>
              <w:outlineLvl w:val="0"/>
              <w:rPr>
                <w:rFonts w:eastAsia="Times New Roman" w:cs="Arial"/>
                <w:b/>
                <w:bCs/>
              </w:rPr>
            </w:pPr>
            <w:r w:rsidRPr="00CA37C8">
              <w:rPr>
                <w:rFonts w:eastAsia="Times New Roman" w:cs="Arial"/>
                <w:b/>
                <w:bCs/>
              </w:rPr>
              <w:t>Dobit prije oporezivanja</w:t>
            </w:r>
          </w:p>
        </w:tc>
        <w:tc>
          <w:tcPr>
            <w:tcW w:w="520" w:type="pct"/>
            <w:vAlign w:val="center"/>
          </w:tcPr>
          <w:p w14:paraId="5C31302E" w14:textId="77777777" w:rsidR="003A2F91" w:rsidRPr="00CA37C8" w:rsidRDefault="003A2F91" w:rsidP="003A2F91">
            <w:pPr>
              <w:tabs>
                <w:tab w:val="right" w:pos="1202"/>
              </w:tabs>
              <w:spacing w:after="0" w:line="280" w:lineRule="exact"/>
              <w:jc w:val="center"/>
              <w:outlineLvl w:val="0"/>
              <w:rPr>
                <w:rFonts w:eastAsia="Times New Roman" w:cs="Arial"/>
                <w:b/>
                <w:bCs/>
              </w:rPr>
            </w:pPr>
          </w:p>
        </w:tc>
        <w:tc>
          <w:tcPr>
            <w:tcW w:w="747" w:type="pct"/>
            <w:tcBorders>
              <w:top w:val="single" w:sz="4" w:space="0" w:color="auto"/>
              <w:left w:val="nil"/>
              <w:bottom w:val="single" w:sz="8" w:space="0" w:color="auto"/>
              <w:right w:val="nil"/>
            </w:tcBorders>
            <w:shd w:val="clear" w:color="auto" w:fill="auto"/>
            <w:vAlign w:val="center"/>
          </w:tcPr>
          <w:p w14:paraId="6612464D" w14:textId="022AC14C" w:rsidR="003A2F91" w:rsidRPr="00722C53" w:rsidRDefault="00520898" w:rsidP="003A2F91">
            <w:pPr>
              <w:spacing w:after="0" w:line="280" w:lineRule="exact"/>
              <w:jc w:val="right"/>
              <w:rPr>
                <w:rFonts w:eastAsia="Times New Roman" w:cs="Arial"/>
                <w:b/>
                <w:bCs/>
              </w:rPr>
            </w:pPr>
            <w:r>
              <w:rPr>
                <w:rFonts w:eastAsia="Times New Roman" w:cs="Arial"/>
                <w:b/>
                <w:bCs/>
              </w:rPr>
              <w:t>89.351</w:t>
            </w:r>
          </w:p>
        </w:tc>
        <w:tc>
          <w:tcPr>
            <w:tcW w:w="667" w:type="pct"/>
            <w:tcBorders>
              <w:top w:val="single" w:sz="4" w:space="0" w:color="auto"/>
              <w:left w:val="nil"/>
              <w:bottom w:val="single" w:sz="8" w:space="0" w:color="auto"/>
              <w:right w:val="nil"/>
            </w:tcBorders>
            <w:shd w:val="clear" w:color="auto" w:fill="auto"/>
            <w:vAlign w:val="center"/>
          </w:tcPr>
          <w:p w14:paraId="661FDFE5" w14:textId="361FEF44" w:rsidR="003A2F91" w:rsidRPr="00722C53" w:rsidRDefault="00520898" w:rsidP="003A2F91">
            <w:pPr>
              <w:spacing w:after="0" w:line="280" w:lineRule="exact"/>
              <w:jc w:val="right"/>
              <w:rPr>
                <w:rFonts w:eastAsia="Times New Roman" w:cs="Arial"/>
                <w:b/>
                <w:bCs/>
              </w:rPr>
            </w:pPr>
            <w:r>
              <w:rPr>
                <w:rFonts w:eastAsia="Times New Roman" w:cs="Arial"/>
                <w:b/>
                <w:bCs/>
              </w:rPr>
              <w:t>130.750</w:t>
            </w:r>
          </w:p>
        </w:tc>
        <w:tc>
          <w:tcPr>
            <w:tcW w:w="754" w:type="pct"/>
            <w:tcBorders>
              <w:top w:val="single" w:sz="4" w:space="0" w:color="auto"/>
              <w:left w:val="nil"/>
              <w:bottom w:val="single" w:sz="8" w:space="0" w:color="auto"/>
              <w:right w:val="nil"/>
            </w:tcBorders>
            <w:shd w:val="clear" w:color="auto" w:fill="auto"/>
            <w:vAlign w:val="center"/>
          </w:tcPr>
          <w:p w14:paraId="6FDD51EB" w14:textId="531B303C" w:rsidR="003A2F91" w:rsidRDefault="003A2F91" w:rsidP="003A2F91">
            <w:pPr>
              <w:spacing w:after="0" w:line="280" w:lineRule="exact"/>
              <w:jc w:val="right"/>
              <w:rPr>
                <w:rFonts w:eastAsia="Times New Roman" w:cs="Arial"/>
                <w:b/>
                <w:bCs/>
              </w:rPr>
            </w:pPr>
            <w:r w:rsidRPr="00722C53">
              <w:rPr>
                <w:rFonts w:eastAsia="Times New Roman" w:cs="Arial"/>
                <w:b/>
                <w:bCs/>
              </w:rPr>
              <w:t>54.593</w:t>
            </w:r>
          </w:p>
        </w:tc>
        <w:tc>
          <w:tcPr>
            <w:tcW w:w="660" w:type="pct"/>
            <w:tcBorders>
              <w:top w:val="single" w:sz="4" w:space="0" w:color="auto"/>
              <w:left w:val="nil"/>
              <w:bottom w:val="single" w:sz="8" w:space="0" w:color="auto"/>
              <w:right w:val="nil"/>
            </w:tcBorders>
            <w:shd w:val="clear" w:color="auto" w:fill="auto"/>
            <w:vAlign w:val="center"/>
          </w:tcPr>
          <w:p w14:paraId="189C9CA2" w14:textId="537F019C" w:rsidR="003A2F91" w:rsidRDefault="003A2F91" w:rsidP="003A2F91">
            <w:pPr>
              <w:spacing w:after="0" w:line="280" w:lineRule="exact"/>
              <w:jc w:val="right"/>
              <w:rPr>
                <w:rFonts w:eastAsia="Times New Roman" w:cs="Arial"/>
                <w:b/>
                <w:bCs/>
              </w:rPr>
            </w:pPr>
            <w:r w:rsidRPr="00722C53">
              <w:rPr>
                <w:rFonts w:eastAsia="Times New Roman" w:cs="Arial"/>
                <w:b/>
                <w:bCs/>
              </w:rPr>
              <w:t>107.678</w:t>
            </w:r>
          </w:p>
        </w:tc>
      </w:tr>
      <w:tr w:rsidR="003A2F91" w:rsidRPr="00CA37C8" w14:paraId="4C1DD33A" w14:textId="77777777" w:rsidTr="001B316F">
        <w:trPr>
          <w:trHeight w:val="130"/>
        </w:trPr>
        <w:tc>
          <w:tcPr>
            <w:tcW w:w="1652" w:type="pct"/>
            <w:vAlign w:val="bottom"/>
          </w:tcPr>
          <w:p w14:paraId="4DDA52C0" w14:textId="77777777" w:rsidR="003A2F91" w:rsidRPr="00CA37C8" w:rsidRDefault="003A2F91" w:rsidP="003A2F91">
            <w:pPr>
              <w:tabs>
                <w:tab w:val="right" w:pos="1202"/>
              </w:tabs>
              <w:spacing w:after="0" w:line="200" w:lineRule="exact"/>
              <w:outlineLvl w:val="0"/>
              <w:rPr>
                <w:rFonts w:eastAsia="Times New Roman" w:cs="Arial"/>
                <w:b/>
                <w:bCs/>
              </w:rPr>
            </w:pPr>
          </w:p>
        </w:tc>
        <w:tc>
          <w:tcPr>
            <w:tcW w:w="520" w:type="pct"/>
            <w:vAlign w:val="center"/>
          </w:tcPr>
          <w:p w14:paraId="4BA57EDE" w14:textId="77777777" w:rsidR="003A2F91" w:rsidRPr="00CA37C8" w:rsidRDefault="003A2F91" w:rsidP="003A2F91">
            <w:pPr>
              <w:tabs>
                <w:tab w:val="right" w:pos="1202"/>
              </w:tabs>
              <w:spacing w:after="0" w:line="200" w:lineRule="exact"/>
              <w:jc w:val="center"/>
              <w:outlineLvl w:val="0"/>
              <w:rPr>
                <w:rFonts w:eastAsia="Times New Roman" w:cs="Arial"/>
                <w:b/>
                <w:bCs/>
              </w:rPr>
            </w:pPr>
          </w:p>
        </w:tc>
        <w:tc>
          <w:tcPr>
            <w:tcW w:w="747" w:type="pct"/>
            <w:tcBorders>
              <w:top w:val="single" w:sz="12" w:space="0" w:color="auto"/>
            </w:tcBorders>
            <w:vAlign w:val="bottom"/>
          </w:tcPr>
          <w:p w14:paraId="2700F2CD" w14:textId="77777777" w:rsidR="003A2F91" w:rsidRPr="00722C53" w:rsidRDefault="003A2F91" w:rsidP="003A2F91">
            <w:pPr>
              <w:spacing w:after="0" w:line="280" w:lineRule="exact"/>
              <w:jc w:val="right"/>
              <w:rPr>
                <w:rFonts w:eastAsia="Times New Roman" w:cs="Arial"/>
                <w:b/>
                <w:bCs/>
              </w:rPr>
            </w:pPr>
          </w:p>
        </w:tc>
        <w:tc>
          <w:tcPr>
            <w:tcW w:w="667" w:type="pct"/>
            <w:tcBorders>
              <w:top w:val="single" w:sz="12" w:space="0" w:color="auto"/>
            </w:tcBorders>
            <w:vAlign w:val="bottom"/>
          </w:tcPr>
          <w:p w14:paraId="6A6F6861" w14:textId="77777777" w:rsidR="003A2F91" w:rsidRPr="00722C53" w:rsidRDefault="003A2F91" w:rsidP="003A2F91">
            <w:pPr>
              <w:spacing w:after="0" w:line="280" w:lineRule="exact"/>
              <w:jc w:val="right"/>
              <w:rPr>
                <w:rFonts w:eastAsia="Times New Roman" w:cs="Arial"/>
                <w:b/>
                <w:bCs/>
              </w:rPr>
            </w:pPr>
          </w:p>
        </w:tc>
        <w:tc>
          <w:tcPr>
            <w:tcW w:w="754" w:type="pct"/>
            <w:tcBorders>
              <w:top w:val="single" w:sz="12" w:space="0" w:color="auto"/>
            </w:tcBorders>
            <w:vAlign w:val="bottom"/>
          </w:tcPr>
          <w:p w14:paraId="4F043D22" w14:textId="77777777" w:rsidR="003A2F91" w:rsidRPr="00CA37C8" w:rsidRDefault="003A2F91" w:rsidP="003A2F91">
            <w:pPr>
              <w:spacing w:after="0" w:line="280" w:lineRule="exact"/>
              <w:jc w:val="right"/>
              <w:rPr>
                <w:rFonts w:eastAsia="Times New Roman" w:cs="Arial"/>
                <w:b/>
                <w:bCs/>
              </w:rPr>
            </w:pPr>
          </w:p>
        </w:tc>
        <w:tc>
          <w:tcPr>
            <w:tcW w:w="660" w:type="pct"/>
            <w:tcBorders>
              <w:top w:val="single" w:sz="12" w:space="0" w:color="auto"/>
            </w:tcBorders>
            <w:vAlign w:val="bottom"/>
          </w:tcPr>
          <w:p w14:paraId="70AA30C4" w14:textId="77777777" w:rsidR="003A2F91" w:rsidRPr="00CA37C8" w:rsidRDefault="003A2F91" w:rsidP="003A2F91">
            <w:pPr>
              <w:spacing w:after="0" w:line="280" w:lineRule="exact"/>
              <w:jc w:val="right"/>
              <w:rPr>
                <w:rFonts w:eastAsia="Times New Roman" w:cs="Arial"/>
                <w:b/>
                <w:bCs/>
              </w:rPr>
            </w:pPr>
          </w:p>
        </w:tc>
      </w:tr>
      <w:tr w:rsidR="003A2F91" w:rsidRPr="00CA37C8" w14:paraId="11AF1C33" w14:textId="77777777" w:rsidTr="001B316F">
        <w:trPr>
          <w:trHeight w:val="359"/>
        </w:trPr>
        <w:tc>
          <w:tcPr>
            <w:tcW w:w="1652" w:type="pct"/>
            <w:vAlign w:val="bottom"/>
          </w:tcPr>
          <w:p w14:paraId="2F3D3402" w14:textId="77777777" w:rsidR="003A2F91" w:rsidRPr="00CA37C8" w:rsidRDefault="003A2F91" w:rsidP="003A2F91">
            <w:pPr>
              <w:tabs>
                <w:tab w:val="right" w:pos="1202"/>
              </w:tabs>
              <w:spacing w:after="0" w:line="280" w:lineRule="exact"/>
              <w:outlineLvl w:val="0"/>
              <w:rPr>
                <w:rFonts w:eastAsia="Times New Roman" w:cs="Arial"/>
              </w:rPr>
            </w:pPr>
            <w:r w:rsidRPr="00CA37C8">
              <w:rPr>
                <w:rFonts w:eastAsia="Times New Roman" w:cs="Arial"/>
              </w:rPr>
              <w:t>Porez na dobit</w:t>
            </w:r>
          </w:p>
        </w:tc>
        <w:tc>
          <w:tcPr>
            <w:tcW w:w="520" w:type="pct"/>
            <w:vAlign w:val="center"/>
          </w:tcPr>
          <w:p w14:paraId="5A0105B2" w14:textId="77777777" w:rsidR="003A2F91" w:rsidRPr="00CA37C8" w:rsidRDefault="003A2F91" w:rsidP="003A2F91">
            <w:pPr>
              <w:tabs>
                <w:tab w:val="right" w:pos="1202"/>
              </w:tabs>
              <w:spacing w:after="0" w:line="280" w:lineRule="exact"/>
              <w:jc w:val="center"/>
              <w:outlineLvl w:val="0"/>
              <w:rPr>
                <w:rFonts w:eastAsia="Times New Roman" w:cs="Arial"/>
              </w:rPr>
            </w:pPr>
          </w:p>
        </w:tc>
        <w:tc>
          <w:tcPr>
            <w:tcW w:w="747" w:type="pct"/>
            <w:tcBorders>
              <w:bottom w:val="single" w:sz="4" w:space="0" w:color="auto"/>
            </w:tcBorders>
            <w:vAlign w:val="bottom"/>
          </w:tcPr>
          <w:p w14:paraId="744456C0" w14:textId="77777777" w:rsidR="003A2F91" w:rsidRPr="00722C53" w:rsidRDefault="003A2F91" w:rsidP="003A2F91">
            <w:pPr>
              <w:spacing w:after="0" w:line="280" w:lineRule="exact"/>
              <w:jc w:val="right"/>
              <w:rPr>
                <w:rFonts w:eastAsia="Times New Roman" w:cs="Arial"/>
                <w:bCs/>
              </w:rPr>
            </w:pPr>
            <w:r w:rsidRPr="00722C53">
              <w:rPr>
                <w:rFonts w:eastAsia="Times New Roman" w:cs="Arial"/>
                <w:bCs/>
              </w:rPr>
              <w:t>-</w:t>
            </w:r>
          </w:p>
        </w:tc>
        <w:tc>
          <w:tcPr>
            <w:tcW w:w="667" w:type="pct"/>
            <w:tcBorders>
              <w:bottom w:val="single" w:sz="4" w:space="0" w:color="auto"/>
            </w:tcBorders>
            <w:vAlign w:val="bottom"/>
          </w:tcPr>
          <w:p w14:paraId="7CC102D3" w14:textId="77777777" w:rsidR="003A2F91" w:rsidRPr="00722C53" w:rsidRDefault="003A2F91" w:rsidP="003A2F91">
            <w:pPr>
              <w:spacing w:after="0" w:line="280" w:lineRule="exact"/>
              <w:jc w:val="right"/>
              <w:rPr>
                <w:rFonts w:eastAsia="Times New Roman" w:cs="Arial"/>
                <w:bCs/>
              </w:rPr>
            </w:pPr>
            <w:r w:rsidRPr="00722C53">
              <w:rPr>
                <w:rFonts w:eastAsia="Times New Roman" w:cs="Arial"/>
                <w:bCs/>
              </w:rPr>
              <w:t>-</w:t>
            </w:r>
          </w:p>
        </w:tc>
        <w:tc>
          <w:tcPr>
            <w:tcW w:w="754" w:type="pct"/>
            <w:tcBorders>
              <w:bottom w:val="single" w:sz="4" w:space="0" w:color="auto"/>
            </w:tcBorders>
            <w:vAlign w:val="bottom"/>
          </w:tcPr>
          <w:p w14:paraId="13965B41" w14:textId="6A0106C2" w:rsidR="003A2F91" w:rsidRPr="00FA1E36" w:rsidRDefault="003A2F91" w:rsidP="003A2F91">
            <w:pPr>
              <w:spacing w:after="0" w:line="280" w:lineRule="exact"/>
              <w:jc w:val="right"/>
              <w:rPr>
                <w:rFonts w:eastAsia="Times New Roman" w:cs="Arial"/>
                <w:bCs/>
              </w:rPr>
            </w:pPr>
            <w:r w:rsidRPr="00722C53">
              <w:rPr>
                <w:rFonts w:eastAsia="Times New Roman" w:cs="Arial"/>
                <w:bCs/>
              </w:rPr>
              <w:t>-</w:t>
            </w:r>
          </w:p>
        </w:tc>
        <w:tc>
          <w:tcPr>
            <w:tcW w:w="660" w:type="pct"/>
            <w:tcBorders>
              <w:bottom w:val="single" w:sz="4" w:space="0" w:color="auto"/>
            </w:tcBorders>
            <w:vAlign w:val="bottom"/>
          </w:tcPr>
          <w:p w14:paraId="0A37972C" w14:textId="2CF2B4EC" w:rsidR="003A2F91" w:rsidRPr="00FA1E36" w:rsidRDefault="003A2F91" w:rsidP="003A2F91">
            <w:pPr>
              <w:spacing w:after="0" w:line="280" w:lineRule="exact"/>
              <w:jc w:val="right"/>
              <w:rPr>
                <w:rFonts w:eastAsia="Times New Roman" w:cs="Arial"/>
                <w:bCs/>
              </w:rPr>
            </w:pPr>
            <w:r w:rsidRPr="00722C53">
              <w:rPr>
                <w:rFonts w:eastAsia="Times New Roman" w:cs="Arial"/>
                <w:bCs/>
              </w:rPr>
              <w:t>-</w:t>
            </w:r>
          </w:p>
        </w:tc>
      </w:tr>
      <w:tr w:rsidR="003A2F91" w:rsidRPr="00CA37C8" w14:paraId="2C560867" w14:textId="77777777" w:rsidTr="001B316F">
        <w:trPr>
          <w:trHeight w:hRule="exact" w:val="284"/>
        </w:trPr>
        <w:tc>
          <w:tcPr>
            <w:tcW w:w="1652" w:type="pct"/>
            <w:vAlign w:val="bottom"/>
          </w:tcPr>
          <w:p w14:paraId="05D98043" w14:textId="59163A4A" w:rsidR="003A2F91" w:rsidRPr="00CA37C8" w:rsidRDefault="003A2F91" w:rsidP="000035C6">
            <w:pPr>
              <w:tabs>
                <w:tab w:val="right" w:pos="1202"/>
              </w:tabs>
              <w:spacing w:after="0" w:line="280" w:lineRule="exact"/>
              <w:outlineLvl w:val="0"/>
              <w:rPr>
                <w:rFonts w:eastAsia="Times New Roman" w:cs="Arial"/>
                <w:b/>
                <w:bCs/>
              </w:rPr>
            </w:pPr>
            <w:r w:rsidRPr="00CA37C8">
              <w:rPr>
                <w:rFonts w:eastAsia="Times New Roman" w:cs="Arial"/>
                <w:b/>
                <w:bCs/>
              </w:rPr>
              <w:t>Dobit tekuće</w:t>
            </w:r>
            <w:r w:rsidR="000035C6">
              <w:rPr>
                <w:rFonts w:eastAsia="Times New Roman" w:cs="Arial"/>
                <w:b/>
                <w:bCs/>
              </w:rPr>
              <w:t>g razdoblja</w:t>
            </w:r>
          </w:p>
        </w:tc>
        <w:tc>
          <w:tcPr>
            <w:tcW w:w="520" w:type="pct"/>
            <w:vAlign w:val="center"/>
          </w:tcPr>
          <w:p w14:paraId="041A3281" w14:textId="77777777" w:rsidR="003A2F91" w:rsidRPr="00CA37C8" w:rsidRDefault="003A2F91" w:rsidP="003A2F91">
            <w:pPr>
              <w:tabs>
                <w:tab w:val="right" w:pos="1202"/>
              </w:tabs>
              <w:spacing w:after="0" w:line="280" w:lineRule="exact"/>
              <w:jc w:val="center"/>
              <w:outlineLvl w:val="0"/>
              <w:rPr>
                <w:rFonts w:eastAsia="Times New Roman" w:cs="Arial"/>
                <w:b/>
                <w:bCs/>
              </w:rPr>
            </w:pPr>
          </w:p>
        </w:tc>
        <w:tc>
          <w:tcPr>
            <w:tcW w:w="747" w:type="pct"/>
            <w:tcBorders>
              <w:top w:val="single" w:sz="4" w:space="0" w:color="auto"/>
              <w:left w:val="nil"/>
              <w:bottom w:val="single" w:sz="8" w:space="0" w:color="auto"/>
              <w:right w:val="nil"/>
            </w:tcBorders>
            <w:shd w:val="clear" w:color="auto" w:fill="auto"/>
            <w:vAlign w:val="center"/>
          </w:tcPr>
          <w:p w14:paraId="7C10401F" w14:textId="3D463FED" w:rsidR="003A2F91" w:rsidRPr="00722C53" w:rsidRDefault="00520898" w:rsidP="003A2F91">
            <w:pPr>
              <w:spacing w:after="0" w:line="280" w:lineRule="exact"/>
              <w:jc w:val="right"/>
              <w:rPr>
                <w:rFonts w:eastAsia="Times New Roman" w:cs="Arial"/>
                <w:b/>
                <w:bCs/>
              </w:rPr>
            </w:pPr>
            <w:r>
              <w:rPr>
                <w:rFonts w:eastAsia="Times New Roman" w:cs="Arial"/>
                <w:b/>
                <w:bCs/>
              </w:rPr>
              <w:t>89.351</w:t>
            </w:r>
          </w:p>
        </w:tc>
        <w:tc>
          <w:tcPr>
            <w:tcW w:w="667" w:type="pct"/>
            <w:tcBorders>
              <w:top w:val="single" w:sz="4" w:space="0" w:color="auto"/>
              <w:left w:val="nil"/>
              <w:bottom w:val="single" w:sz="8" w:space="0" w:color="auto"/>
              <w:right w:val="nil"/>
            </w:tcBorders>
            <w:shd w:val="clear" w:color="auto" w:fill="auto"/>
            <w:vAlign w:val="center"/>
          </w:tcPr>
          <w:p w14:paraId="1678ED7C" w14:textId="79DE829B" w:rsidR="003A2F91" w:rsidRPr="00722C53" w:rsidRDefault="00520898" w:rsidP="003A2F91">
            <w:pPr>
              <w:spacing w:after="0" w:line="280" w:lineRule="exact"/>
              <w:jc w:val="right"/>
              <w:rPr>
                <w:rFonts w:eastAsia="Times New Roman" w:cs="Arial"/>
                <w:b/>
                <w:bCs/>
              </w:rPr>
            </w:pPr>
            <w:r w:rsidRPr="00520898">
              <w:rPr>
                <w:rFonts w:eastAsia="Times New Roman" w:cs="Arial"/>
                <w:b/>
                <w:bCs/>
              </w:rPr>
              <w:t>130.750</w:t>
            </w:r>
          </w:p>
        </w:tc>
        <w:tc>
          <w:tcPr>
            <w:tcW w:w="754" w:type="pct"/>
            <w:tcBorders>
              <w:top w:val="single" w:sz="4" w:space="0" w:color="auto"/>
              <w:left w:val="nil"/>
              <w:bottom w:val="single" w:sz="8" w:space="0" w:color="auto"/>
              <w:right w:val="nil"/>
            </w:tcBorders>
            <w:shd w:val="clear" w:color="auto" w:fill="auto"/>
            <w:vAlign w:val="center"/>
          </w:tcPr>
          <w:p w14:paraId="383B6A37" w14:textId="654A95DB" w:rsidR="003A2F91" w:rsidRDefault="003A2F91" w:rsidP="003A2F91">
            <w:pPr>
              <w:spacing w:after="0" w:line="280" w:lineRule="exact"/>
              <w:jc w:val="right"/>
              <w:rPr>
                <w:rFonts w:eastAsia="Times New Roman" w:cs="Arial"/>
                <w:b/>
                <w:bCs/>
              </w:rPr>
            </w:pPr>
            <w:r w:rsidRPr="00722C53">
              <w:rPr>
                <w:rFonts w:eastAsia="Times New Roman" w:cs="Arial"/>
                <w:b/>
                <w:bCs/>
              </w:rPr>
              <w:t>54.593</w:t>
            </w:r>
          </w:p>
        </w:tc>
        <w:tc>
          <w:tcPr>
            <w:tcW w:w="660" w:type="pct"/>
            <w:tcBorders>
              <w:top w:val="single" w:sz="4" w:space="0" w:color="auto"/>
              <w:left w:val="nil"/>
              <w:bottom w:val="single" w:sz="8" w:space="0" w:color="auto"/>
              <w:right w:val="nil"/>
            </w:tcBorders>
            <w:shd w:val="clear" w:color="auto" w:fill="auto"/>
            <w:vAlign w:val="center"/>
          </w:tcPr>
          <w:p w14:paraId="5A669459" w14:textId="04BC35B2" w:rsidR="003A2F91" w:rsidRDefault="003A2F91" w:rsidP="003A2F91">
            <w:pPr>
              <w:spacing w:after="0" w:line="280" w:lineRule="exact"/>
              <w:jc w:val="right"/>
              <w:rPr>
                <w:rFonts w:eastAsia="Times New Roman" w:cs="Arial"/>
                <w:b/>
                <w:bCs/>
              </w:rPr>
            </w:pPr>
            <w:r w:rsidRPr="00722C53">
              <w:rPr>
                <w:rFonts w:eastAsia="Times New Roman" w:cs="Arial"/>
                <w:b/>
                <w:bCs/>
              </w:rPr>
              <w:t>107.678</w:t>
            </w:r>
          </w:p>
        </w:tc>
      </w:tr>
      <w:tr w:rsidR="003A2F91" w:rsidRPr="00CA37C8" w14:paraId="59CC51E6" w14:textId="77777777" w:rsidTr="001B316F">
        <w:trPr>
          <w:trHeight w:val="74"/>
        </w:trPr>
        <w:tc>
          <w:tcPr>
            <w:tcW w:w="1652" w:type="pct"/>
            <w:vAlign w:val="bottom"/>
          </w:tcPr>
          <w:p w14:paraId="7B8D2ABC" w14:textId="77777777" w:rsidR="003A2F91" w:rsidRPr="00CA37C8" w:rsidRDefault="003A2F91" w:rsidP="003A2F91">
            <w:pPr>
              <w:keepNext/>
              <w:keepLines/>
              <w:tabs>
                <w:tab w:val="decimal" w:pos="1202"/>
              </w:tabs>
              <w:spacing w:after="0" w:line="200" w:lineRule="exact"/>
              <w:rPr>
                <w:rFonts w:eastAsia="Times New Roman" w:cs="Arial"/>
                <w:b/>
                <w:position w:val="4"/>
                <w:u w:val="thick"/>
              </w:rPr>
            </w:pPr>
          </w:p>
        </w:tc>
        <w:tc>
          <w:tcPr>
            <w:tcW w:w="520" w:type="pct"/>
            <w:vAlign w:val="center"/>
          </w:tcPr>
          <w:p w14:paraId="71AD6DE6" w14:textId="77777777" w:rsidR="003A2F91" w:rsidRPr="00CA37C8" w:rsidRDefault="003A2F91" w:rsidP="003A2F91">
            <w:pPr>
              <w:keepNext/>
              <w:keepLines/>
              <w:spacing w:after="0" w:line="200" w:lineRule="exact"/>
              <w:jc w:val="center"/>
              <w:rPr>
                <w:rFonts w:eastAsia="Times New Roman" w:cs="Arial"/>
                <w:b/>
                <w:position w:val="4"/>
                <w:u w:val="thick"/>
              </w:rPr>
            </w:pPr>
          </w:p>
        </w:tc>
        <w:tc>
          <w:tcPr>
            <w:tcW w:w="747" w:type="pct"/>
            <w:tcBorders>
              <w:top w:val="single" w:sz="12" w:space="0" w:color="auto"/>
            </w:tcBorders>
            <w:vAlign w:val="bottom"/>
          </w:tcPr>
          <w:p w14:paraId="255DF749" w14:textId="77777777" w:rsidR="003A2F91" w:rsidRPr="00722C53" w:rsidRDefault="003A2F91" w:rsidP="003A2F91">
            <w:pPr>
              <w:spacing w:after="0" w:line="280" w:lineRule="exact"/>
              <w:jc w:val="right"/>
              <w:rPr>
                <w:rFonts w:eastAsia="Times New Roman" w:cs="Arial"/>
                <w:b/>
                <w:bCs/>
              </w:rPr>
            </w:pPr>
          </w:p>
        </w:tc>
        <w:tc>
          <w:tcPr>
            <w:tcW w:w="667" w:type="pct"/>
            <w:tcBorders>
              <w:top w:val="single" w:sz="12" w:space="0" w:color="auto"/>
            </w:tcBorders>
            <w:vAlign w:val="bottom"/>
          </w:tcPr>
          <w:p w14:paraId="20E46032" w14:textId="77777777" w:rsidR="003A2F91" w:rsidRPr="00722C53" w:rsidRDefault="003A2F91" w:rsidP="003A2F91">
            <w:pPr>
              <w:spacing w:after="0" w:line="280" w:lineRule="exact"/>
              <w:jc w:val="right"/>
              <w:rPr>
                <w:rFonts w:eastAsia="Times New Roman" w:cs="Arial"/>
                <w:b/>
                <w:bCs/>
              </w:rPr>
            </w:pPr>
          </w:p>
        </w:tc>
        <w:tc>
          <w:tcPr>
            <w:tcW w:w="754" w:type="pct"/>
            <w:tcBorders>
              <w:top w:val="single" w:sz="12" w:space="0" w:color="auto"/>
            </w:tcBorders>
            <w:vAlign w:val="bottom"/>
          </w:tcPr>
          <w:p w14:paraId="744B2C3D" w14:textId="77777777" w:rsidR="003A2F91" w:rsidRPr="00731F04" w:rsidRDefault="003A2F91" w:rsidP="003A2F91">
            <w:pPr>
              <w:spacing w:after="0" w:line="280" w:lineRule="exact"/>
              <w:jc w:val="right"/>
              <w:rPr>
                <w:rFonts w:eastAsia="Times New Roman" w:cs="Arial"/>
                <w:b/>
                <w:bCs/>
              </w:rPr>
            </w:pPr>
          </w:p>
        </w:tc>
        <w:tc>
          <w:tcPr>
            <w:tcW w:w="660" w:type="pct"/>
            <w:tcBorders>
              <w:top w:val="single" w:sz="12" w:space="0" w:color="auto"/>
            </w:tcBorders>
            <w:vAlign w:val="bottom"/>
          </w:tcPr>
          <w:p w14:paraId="02ED0458" w14:textId="77777777" w:rsidR="003A2F91" w:rsidRPr="00731F04" w:rsidRDefault="003A2F91" w:rsidP="003A2F91">
            <w:pPr>
              <w:spacing w:after="0" w:line="280" w:lineRule="exact"/>
              <w:jc w:val="right"/>
              <w:rPr>
                <w:rFonts w:eastAsia="Times New Roman" w:cs="Arial"/>
                <w:b/>
                <w:bCs/>
              </w:rPr>
            </w:pPr>
          </w:p>
        </w:tc>
      </w:tr>
      <w:tr w:rsidR="003A2F91" w:rsidRPr="00CA37C8" w14:paraId="61C9C7E0" w14:textId="77777777" w:rsidTr="001B316F">
        <w:trPr>
          <w:trHeight w:val="74"/>
        </w:trPr>
        <w:tc>
          <w:tcPr>
            <w:tcW w:w="1652" w:type="pct"/>
            <w:vAlign w:val="bottom"/>
          </w:tcPr>
          <w:p w14:paraId="0E6ECBA9" w14:textId="77777777" w:rsidR="003A2F91" w:rsidRPr="00CA37C8" w:rsidRDefault="003A2F91" w:rsidP="003A2F91">
            <w:pPr>
              <w:keepNext/>
              <w:keepLines/>
              <w:tabs>
                <w:tab w:val="decimal" w:pos="1202"/>
              </w:tabs>
              <w:spacing w:after="0" w:line="200" w:lineRule="exact"/>
              <w:rPr>
                <w:rFonts w:eastAsia="Times New Roman" w:cs="Arial"/>
                <w:b/>
                <w:position w:val="4"/>
                <w:u w:val="thick"/>
              </w:rPr>
            </w:pPr>
          </w:p>
        </w:tc>
        <w:tc>
          <w:tcPr>
            <w:tcW w:w="520" w:type="pct"/>
            <w:vAlign w:val="center"/>
          </w:tcPr>
          <w:p w14:paraId="4B87DA7A" w14:textId="77777777" w:rsidR="003A2F91" w:rsidRPr="00CA37C8" w:rsidRDefault="003A2F91" w:rsidP="003A2F91">
            <w:pPr>
              <w:keepNext/>
              <w:keepLines/>
              <w:spacing w:after="0" w:line="200" w:lineRule="exact"/>
              <w:jc w:val="center"/>
              <w:rPr>
                <w:rFonts w:eastAsia="Times New Roman" w:cs="Arial"/>
                <w:b/>
                <w:position w:val="4"/>
                <w:u w:val="thick"/>
              </w:rPr>
            </w:pPr>
          </w:p>
        </w:tc>
        <w:tc>
          <w:tcPr>
            <w:tcW w:w="747" w:type="pct"/>
            <w:vAlign w:val="bottom"/>
          </w:tcPr>
          <w:p w14:paraId="35D54A1F" w14:textId="77777777" w:rsidR="003A2F91" w:rsidRPr="00722C53" w:rsidRDefault="003A2F91" w:rsidP="003A2F91">
            <w:pPr>
              <w:spacing w:after="0" w:line="280" w:lineRule="exact"/>
              <w:jc w:val="right"/>
              <w:rPr>
                <w:rFonts w:eastAsia="Times New Roman" w:cs="Arial"/>
                <w:b/>
                <w:bCs/>
              </w:rPr>
            </w:pPr>
          </w:p>
        </w:tc>
        <w:tc>
          <w:tcPr>
            <w:tcW w:w="667" w:type="pct"/>
            <w:vAlign w:val="bottom"/>
          </w:tcPr>
          <w:p w14:paraId="52894BE5" w14:textId="77777777" w:rsidR="003A2F91" w:rsidRPr="00722C53" w:rsidRDefault="003A2F91" w:rsidP="003A2F91">
            <w:pPr>
              <w:spacing w:after="0" w:line="280" w:lineRule="exact"/>
              <w:jc w:val="right"/>
              <w:rPr>
                <w:rFonts w:eastAsia="Times New Roman" w:cs="Arial"/>
                <w:b/>
                <w:bCs/>
              </w:rPr>
            </w:pPr>
          </w:p>
        </w:tc>
        <w:tc>
          <w:tcPr>
            <w:tcW w:w="754" w:type="pct"/>
            <w:vAlign w:val="bottom"/>
          </w:tcPr>
          <w:p w14:paraId="783178B7" w14:textId="77777777" w:rsidR="003A2F91" w:rsidRPr="00731F04" w:rsidRDefault="003A2F91" w:rsidP="003A2F91">
            <w:pPr>
              <w:spacing w:after="0" w:line="280" w:lineRule="exact"/>
              <w:jc w:val="right"/>
              <w:rPr>
                <w:rFonts w:eastAsia="Times New Roman" w:cs="Arial"/>
                <w:b/>
                <w:bCs/>
              </w:rPr>
            </w:pPr>
          </w:p>
        </w:tc>
        <w:tc>
          <w:tcPr>
            <w:tcW w:w="660" w:type="pct"/>
            <w:vAlign w:val="bottom"/>
          </w:tcPr>
          <w:p w14:paraId="1CF0ED3C" w14:textId="77777777" w:rsidR="003A2F91" w:rsidRPr="00731F04" w:rsidRDefault="003A2F91" w:rsidP="003A2F91">
            <w:pPr>
              <w:spacing w:after="0" w:line="280" w:lineRule="exact"/>
              <w:jc w:val="right"/>
              <w:rPr>
                <w:rFonts w:eastAsia="Times New Roman" w:cs="Arial"/>
                <w:b/>
                <w:bCs/>
              </w:rPr>
            </w:pPr>
          </w:p>
        </w:tc>
      </w:tr>
      <w:tr w:rsidR="003A2F91" w:rsidRPr="00CA37C8" w14:paraId="0A3A2B81" w14:textId="77777777" w:rsidTr="001B316F">
        <w:trPr>
          <w:trHeight w:val="74"/>
        </w:trPr>
        <w:tc>
          <w:tcPr>
            <w:tcW w:w="1652" w:type="pct"/>
            <w:vAlign w:val="bottom"/>
          </w:tcPr>
          <w:p w14:paraId="1505B53E" w14:textId="77777777" w:rsidR="003A2F91" w:rsidRPr="00CA37C8" w:rsidRDefault="003A2F91" w:rsidP="003A2F91">
            <w:pPr>
              <w:keepNext/>
              <w:keepLines/>
              <w:tabs>
                <w:tab w:val="decimal" w:pos="1202"/>
              </w:tabs>
              <w:spacing w:after="0" w:line="280" w:lineRule="exact"/>
              <w:rPr>
                <w:rFonts w:eastAsia="Times New Roman" w:cs="Arial"/>
                <w:b/>
                <w:position w:val="4"/>
              </w:rPr>
            </w:pPr>
            <w:r w:rsidRPr="00CA37C8">
              <w:rPr>
                <w:rFonts w:eastAsia="Times New Roman" w:cs="Arial"/>
                <w:b/>
                <w:position w:val="4"/>
              </w:rPr>
              <w:t>Dobit za raspodjelu:</w:t>
            </w:r>
          </w:p>
        </w:tc>
        <w:tc>
          <w:tcPr>
            <w:tcW w:w="520" w:type="pct"/>
            <w:vAlign w:val="center"/>
          </w:tcPr>
          <w:p w14:paraId="1706CF56" w14:textId="77777777" w:rsidR="003A2F91" w:rsidRPr="00CA37C8" w:rsidRDefault="003A2F91" w:rsidP="003A2F91">
            <w:pPr>
              <w:keepNext/>
              <w:keepLines/>
              <w:spacing w:after="0" w:line="280" w:lineRule="exact"/>
              <w:jc w:val="center"/>
              <w:rPr>
                <w:rFonts w:eastAsia="Times New Roman" w:cs="Arial"/>
                <w:b/>
                <w:position w:val="4"/>
                <w:u w:val="thick"/>
              </w:rPr>
            </w:pPr>
          </w:p>
        </w:tc>
        <w:tc>
          <w:tcPr>
            <w:tcW w:w="747" w:type="pct"/>
            <w:vAlign w:val="bottom"/>
          </w:tcPr>
          <w:p w14:paraId="7B4CD87A" w14:textId="77777777" w:rsidR="003A2F91" w:rsidRPr="00722C53" w:rsidRDefault="003A2F91" w:rsidP="003A2F91">
            <w:pPr>
              <w:spacing w:after="0" w:line="280" w:lineRule="exact"/>
              <w:jc w:val="right"/>
              <w:rPr>
                <w:rFonts w:eastAsia="Times New Roman" w:cs="Arial"/>
                <w:b/>
                <w:bCs/>
              </w:rPr>
            </w:pPr>
          </w:p>
        </w:tc>
        <w:tc>
          <w:tcPr>
            <w:tcW w:w="667" w:type="pct"/>
            <w:vAlign w:val="bottom"/>
          </w:tcPr>
          <w:p w14:paraId="4E19B00A" w14:textId="77777777" w:rsidR="003A2F91" w:rsidRPr="00722C53" w:rsidRDefault="003A2F91" w:rsidP="003A2F91">
            <w:pPr>
              <w:spacing w:after="0" w:line="280" w:lineRule="exact"/>
              <w:jc w:val="right"/>
              <w:rPr>
                <w:rFonts w:eastAsia="Times New Roman" w:cs="Arial"/>
                <w:b/>
                <w:bCs/>
              </w:rPr>
            </w:pPr>
          </w:p>
        </w:tc>
        <w:tc>
          <w:tcPr>
            <w:tcW w:w="754" w:type="pct"/>
            <w:vAlign w:val="bottom"/>
          </w:tcPr>
          <w:p w14:paraId="4A8342E1" w14:textId="77777777" w:rsidR="003A2F91" w:rsidRPr="00731F04" w:rsidRDefault="003A2F91" w:rsidP="003A2F91">
            <w:pPr>
              <w:spacing w:after="0" w:line="280" w:lineRule="exact"/>
              <w:jc w:val="right"/>
              <w:rPr>
                <w:rFonts w:eastAsia="Times New Roman" w:cs="Arial"/>
                <w:b/>
                <w:bCs/>
              </w:rPr>
            </w:pPr>
          </w:p>
        </w:tc>
        <w:tc>
          <w:tcPr>
            <w:tcW w:w="660" w:type="pct"/>
            <w:vAlign w:val="bottom"/>
          </w:tcPr>
          <w:p w14:paraId="28A98403" w14:textId="77777777" w:rsidR="003A2F91" w:rsidRPr="00731F04" w:rsidRDefault="003A2F91" w:rsidP="003A2F91">
            <w:pPr>
              <w:spacing w:after="0" w:line="280" w:lineRule="exact"/>
              <w:jc w:val="right"/>
              <w:rPr>
                <w:rFonts w:eastAsia="Times New Roman" w:cs="Arial"/>
                <w:b/>
                <w:bCs/>
              </w:rPr>
            </w:pPr>
          </w:p>
        </w:tc>
      </w:tr>
      <w:tr w:rsidR="003A2F91" w:rsidRPr="00397729" w14:paraId="6ADE9A4A" w14:textId="77777777" w:rsidTr="001B316F">
        <w:trPr>
          <w:trHeight w:hRule="exact" w:val="346"/>
        </w:trPr>
        <w:tc>
          <w:tcPr>
            <w:tcW w:w="1652" w:type="pct"/>
            <w:vAlign w:val="bottom"/>
          </w:tcPr>
          <w:p w14:paraId="74A3A11E" w14:textId="44C6FD8D" w:rsidR="003A2F91" w:rsidRPr="00A37C92" w:rsidRDefault="003A2F91" w:rsidP="000035C6">
            <w:pPr>
              <w:keepNext/>
              <w:keepLines/>
              <w:tabs>
                <w:tab w:val="decimal" w:pos="1202"/>
              </w:tabs>
              <w:spacing w:after="0" w:line="280" w:lineRule="exact"/>
              <w:rPr>
                <w:rFonts w:eastAsia="Times New Roman" w:cs="Arial"/>
                <w:b/>
                <w:position w:val="4"/>
              </w:rPr>
            </w:pPr>
            <w:r w:rsidRPr="00A37C92">
              <w:rPr>
                <w:rFonts w:eastAsia="Times New Roman" w:cs="Arial"/>
                <w:b/>
                <w:position w:val="4"/>
              </w:rPr>
              <w:t>Vlasni</w:t>
            </w:r>
            <w:r w:rsidR="000035C6">
              <w:rPr>
                <w:rFonts w:eastAsia="Times New Roman" w:cs="Arial"/>
                <w:b/>
                <w:position w:val="4"/>
              </w:rPr>
              <w:t>ku</w:t>
            </w:r>
            <w:r w:rsidRPr="00A37C92">
              <w:rPr>
                <w:rFonts w:eastAsia="Times New Roman" w:cs="Arial"/>
                <w:b/>
                <w:position w:val="4"/>
              </w:rPr>
              <w:t xml:space="preserve"> društva</w:t>
            </w:r>
          </w:p>
        </w:tc>
        <w:tc>
          <w:tcPr>
            <w:tcW w:w="520" w:type="pct"/>
            <w:vAlign w:val="bottom"/>
          </w:tcPr>
          <w:p w14:paraId="4468F103" w14:textId="77777777" w:rsidR="003A2F91" w:rsidRPr="00CA37C8" w:rsidRDefault="003A2F91" w:rsidP="003A2F91">
            <w:pPr>
              <w:keepNext/>
              <w:keepLines/>
              <w:spacing w:after="0" w:line="280" w:lineRule="exact"/>
              <w:rPr>
                <w:rFonts w:eastAsia="Times New Roman" w:cs="Arial"/>
                <w:position w:val="4"/>
              </w:rPr>
            </w:pPr>
          </w:p>
        </w:tc>
        <w:tc>
          <w:tcPr>
            <w:tcW w:w="747" w:type="pct"/>
            <w:tcBorders>
              <w:left w:val="nil"/>
              <w:bottom w:val="single" w:sz="12" w:space="0" w:color="auto"/>
              <w:right w:val="nil"/>
            </w:tcBorders>
            <w:shd w:val="clear" w:color="auto" w:fill="auto"/>
            <w:vAlign w:val="bottom"/>
          </w:tcPr>
          <w:p w14:paraId="08F2D656" w14:textId="4B0F2D3C" w:rsidR="003A2F91" w:rsidRPr="00722C53" w:rsidRDefault="00520898" w:rsidP="003A2F91">
            <w:pPr>
              <w:spacing w:after="0" w:line="280" w:lineRule="exact"/>
              <w:jc w:val="right"/>
              <w:rPr>
                <w:rFonts w:eastAsia="Times New Roman" w:cs="Arial"/>
                <w:b/>
                <w:bCs/>
              </w:rPr>
            </w:pPr>
            <w:r>
              <w:rPr>
                <w:rFonts w:eastAsia="Times New Roman" w:cs="Arial"/>
                <w:b/>
                <w:bCs/>
              </w:rPr>
              <w:t>89.351</w:t>
            </w:r>
          </w:p>
        </w:tc>
        <w:tc>
          <w:tcPr>
            <w:tcW w:w="667" w:type="pct"/>
            <w:tcBorders>
              <w:left w:val="nil"/>
              <w:bottom w:val="single" w:sz="12" w:space="0" w:color="auto"/>
              <w:right w:val="nil"/>
            </w:tcBorders>
            <w:shd w:val="clear" w:color="auto" w:fill="auto"/>
            <w:vAlign w:val="bottom"/>
          </w:tcPr>
          <w:p w14:paraId="67155757" w14:textId="1D55F614" w:rsidR="003A2F91" w:rsidRPr="00722C53" w:rsidRDefault="00520898" w:rsidP="003A2F91">
            <w:pPr>
              <w:spacing w:after="0" w:line="280" w:lineRule="exact"/>
              <w:jc w:val="right"/>
              <w:rPr>
                <w:rFonts w:eastAsia="Times New Roman" w:cs="Arial"/>
                <w:b/>
                <w:bCs/>
              </w:rPr>
            </w:pPr>
            <w:r w:rsidRPr="00520898">
              <w:rPr>
                <w:rFonts w:eastAsia="Times New Roman" w:cs="Arial"/>
                <w:b/>
                <w:bCs/>
              </w:rPr>
              <w:t>130.750</w:t>
            </w:r>
          </w:p>
        </w:tc>
        <w:tc>
          <w:tcPr>
            <w:tcW w:w="754" w:type="pct"/>
            <w:tcBorders>
              <w:left w:val="nil"/>
              <w:bottom w:val="single" w:sz="12" w:space="0" w:color="auto"/>
              <w:right w:val="nil"/>
            </w:tcBorders>
            <w:shd w:val="clear" w:color="auto" w:fill="auto"/>
            <w:vAlign w:val="bottom"/>
          </w:tcPr>
          <w:p w14:paraId="38C483FD" w14:textId="074A2AF6" w:rsidR="003A2F91" w:rsidRPr="00731F04" w:rsidRDefault="003A2F91" w:rsidP="003A2F91">
            <w:pPr>
              <w:spacing w:after="0" w:line="280" w:lineRule="exact"/>
              <w:jc w:val="right"/>
              <w:rPr>
                <w:rFonts w:eastAsia="Times New Roman" w:cs="Arial"/>
                <w:b/>
                <w:bCs/>
              </w:rPr>
            </w:pPr>
            <w:r w:rsidRPr="00722C53">
              <w:rPr>
                <w:rFonts w:eastAsia="Times New Roman" w:cs="Arial"/>
                <w:b/>
                <w:bCs/>
              </w:rPr>
              <w:t>54.593</w:t>
            </w:r>
          </w:p>
        </w:tc>
        <w:tc>
          <w:tcPr>
            <w:tcW w:w="660" w:type="pct"/>
            <w:tcBorders>
              <w:left w:val="nil"/>
              <w:bottom w:val="single" w:sz="12" w:space="0" w:color="auto"/>
              <w:right w:val="nil"/>
            </w:tcBorders>
            <w:shd w:val="clear" w:color="auto" w:fill="auto"/>
            <w:vAlign w:val="bottom"/>
          </w:tcPr>
          <w:p w14:paraId="66086384" w14:textId="25F9CF18" w:rsidR="003A2F91" w:rsidRPr="00731F04" w:rsidRDefault="003A2F91" w:rsidP="003A2F91">
            <w:pPr>
              <w:spacing w:after="0" w:line="280" w:lineRule="exact"/>
              <w:jc w:val="right"/>
              <w:rPr>
                <w:rFonts w:eastAsia="Times New Roman" w:cs="Arial"/>
                <w:b/>
                <w:bCs/>
              </w:rPr>
            </w:pPr>
            <w:r w:rsidRPr="00722C53">
              <w:rPr>
                <w:rFonts w:eastAsia="Times New Roman" w:cs="Arial"/>
                <w:b/>
                <w:bCs/>
              </w:rPr>
              <w:t>107.678</w:t>
            </w:r>
          </w:p>
        </w:tc>
      </w:tr>
      <w:tr w:rsidR="003A2F91" w:rsidRPr="00397729" w14:paraId="2C803AB4" w14:textId="77777777" w:rsidTr="001B316F">
        <w:trPr>
          <w:trHeight w:hRule="exact" w:val="113"/>
        </w:trPr>
        <w:tc>
          <w:tcPr>
            <w:tcW w:w="1652" w:type="pct"/>
            <w:vAlign w:val="bottom"/>
          </w:tcPr>
          <w:p w14:paraId="78D1F2D4" w14:textId="77777777" w:rsidR="003A2F91" w:rsidRPr="00A37C92" w:rsidRDefault="003A2F91" w:rsidP="001B316F">
            <w:pPr>
              <w:keepNext/>
              <w:keepLines/>
              <w:tabs>
                <w:tab w:val="decimal" w:pos="1202"/>
              </w:tabs>
              <w:spacing w:after="0" w:line="280" w:lineRule="exact"/>
              <w:rPr>
                <w:rFonts w:eastAsia="Times New Roman" w:cs="Arial"/>
                <w:b/>
                <w:position w:val="4"/>
              </w:rPr>
            </w:pPr>
          </w:p>
        </w:tc>
        <w:tc>
          <w:tcPr>
            <w:tcW w:w="520" w:type="pct"/>
            <w:vAlign w:val="bottom"/>
          </w:tcPr>
          <w:p w14:paraId="295DA93A" w14:textId="77777777" w:rsidR="003A2F91" w:rsidRPr="00CA37C8" w:rsidRDefault="003A2F91" w:rsidP="001B316F">
            <w:pPr>
              <w:keepNext/>
              <w:keepLines/>
              <w:spacing w:after="0" w:line="280" w:lineRule="exact"/>
              <w:rPr>
                <w:rFonts w:eastAsia="Times New Roman" w:cs="Arial"/>
                <w:position w:val="4"/>
              </w:rPr>
            </w:pPr>
          </w:p>
        </w:tc>
        <w:tc>
          <w:tcPr>
            <w:tcW w:w="747" w:type="pct"/>
            <w:tcBorders>
              <w:top w:val="single" w:sz="12" w:space="0" w:color="auto"/>
            </w:tcBorders>
            <w:vAlign w:val="bottom"/>
          </w:tcPr>
          <w:p w14:paraId="0931D371" w14:textId="77777777" w:rsidR="003A2F91" w:rsidRPr="00731F04" w:rsidRDefault="003A2F91" w:rsidP="001B316F">
            <w:pPr>
              <w:spacing w:after="0" w:line="280" w:lineRule="exact"/>
              <w:jc w:val="right"/>
              <w:rPr>
                <w:rFonts w:eastAsia="Times New Roman" w:cs="Arial"/>
                <w:b/>
                <w:bCs/>
              </w:rPr>
            </w:pPr>
          </w:p>
        </w:tc>
        <w:tc>
          <w:tcPr>
            <w:tcW w:w="667" w:type="pct"/>
            <w:tcBorders>
              <w:top w:val="single" w:sz="12" w:space="0" w:color="auto"/>
            </w:tcBorders>
            <w:vAlign w:val="bottom"/>
          </w:tcPr>
          <w:p w14:paraId="57894076" w14:textId="77777777" w:rsidR="003A2F91" w:rsidRPr="00731F04" w:rsidRDefault="003A2F91" w:rsidP="001B316F">
            <w:pPr>
              <w:spacing w:after="0" w:line="280" w:lineRule="exact"/>
              <w:jc w:val="right"/>
              <w:rPr>
                <w:rFonts w:eastAsia="Times New Roman" w:cs="Arial"/>
                <w:b/>
                <w:bCs/>
              </w:rPr>
            </w:pPr>
          </w:p>
        </w:tc>
        <w:tc>
          <w:tcPr>
            <w:tcW w:w="754" w:type="pct"/>
            <w:tcBorders>
              <w:top w:val="single" w:sz="12" w:space="0" w:color="auto"/>
            </w:tcBorders>
            <w:vAlign w:val="bottom"/>
          </w:tcPr>
          <w:p w14:paraId="477AC15D" w14:textId="77777777" w:rsidR="003A2F91" w:rsidRPr="00CB3B67" w:rsidRDefault="003A2F91" w:rsidP="001B316F">
            <w:pPr>
              <w:pStyle w:val="Tot"/>
              <w:spacing w:line="240" w:lineRule="auto"/>
              <w:jc w:val="right"/>
              <w:rPr>
                <w:rFonts w:asciiTheme="minorHAnsi" w:hAnsiTheme="minorHAnsi" w:cs="Arial"/>
                <w:b/>
                <w:bCs/>
                <w:sz w:val="22"/>
                <w:szCs w:val="22"/>
              </w:rPr>
            </w:pPr>
          </w:p>
        </w:tc>
        <w:tc>
          <w:tcPr>
            <w:tcW w:w="660" w:type="pct"/>
            <w:tcBorders>
              <w:top w:val="single" w:sz="12" w:space="0" w:color="auto"/>
            </w:tcBorders>
            <w:vAlign w:val="bottom"/>
          </w:tcPr>
          <w:p w14:paraId="4B58E619" w14:textId="77777777" w:rsidR="003A2F91" w:rsidRPr="00CB3B67" w:rsidRDefault="003A2F91" w:rsidP="001B316F">
            <w:pPr>
              <w:pStyle w:val="Tot"/>
              <w:spacing w:line="240" w:lineRule="auto"/>
              <w:jc w:val="right"/>
              <w:rPr>
                <w:rFonts w:asciiTheme="minorHAnsi" w:hAnsiTheme="minorHAnsi" w:cs="Arial"/>
                <w:b/>
                <w:bCs/>
                <w:sz w:val="22"/>
                <w:szCs w:val="22"/>
              </w:rPr>
            </w:pPr>
          </w:p>
        </w:tc>
      </w:tr>
    </w:tbl>
    <w:p w14:paraId="50483BBD" w14:textId="77777777" w:rsidR="00AC4D66" w:rsidRPr="00CA37C8" w:rsidRDefault="00AC4D66">
      <w:pPr>
        <w:keepNext/>
        <w:spacing w:after="0" w:line="240" w:lineRule="auto"/>
        <w:jc w:val="both"/>
        <w:rPr>
          <w:rFonts w:eastAsia="Times New Roman" w:cs="Arial"/>
          <w:sz w:val="24"/>
          <w:szCs w:val="24"/>
        </w:rPr>
      </w:pPr>
    </w:p>
    <w:p w14:paraId="7E288F48" w14:textId="77777777" w:rsidR="00CA7BA7" w:rsidRPr="00876425" w:rsidRDefault="00CA7BA7">
      <w:pPr>
        <w:keepNext/>
        <w:spacing w:after="0" w:line="240" w:lineRule="auto"/>
        <w:jc w:val="both"/>
        <w:rPr>
          <w:rFonts w:eastAsia="Times New Roman" w:cs="Arial"/>
        </w:rPr>
      </w:pPr>
    </w:p>
    <w:p w14:paraId="750DC440" w14:textId="77777777" w:rsidR="00D81EB1" w:rsidRPr="00D81EB1" w:rsidRDefault="00D81EB1" w:rsidP="000141E9">
      <w:pPr>
        <w:keepNext/>
        <w:spacing w:after="0" w:line="240" w:lineRule="auto"/>
        <w:jc w:val="both"/>
        <w:rPr>
          <w:rFonts w:eastAsia="Times New Roman" w:cs="Arial"/>
          <w:highlight w:val="yellow"/>
        </w:rPr>
      </w:pPr>
      <w:r w:rsidRPr="00D81EB1">
        <w:rPr>
          <w:rFonts w:eastAsia="Times New Roman" w:cs="Arial"/>
        </w:rPr>
        <w:t>Priložene bilješke uz financijske izvještaje sastavni su dio ovog izvještaja o dobiti i gubitku.</w:t>
      </w:r>
    </w:p>
    <w:p w14:paraId="2C2EB846" w14:textId="77777777" w:rsidR="0043561E" w:rsidRDefault="0043561E">
      <w:pPr>
        <w:spacing w:after="0" w:line="240" w:lineRule="auto"/>
        <w:rPr>
          <w:rFonts w:eastAsia="Times New Roman" w:cs="Arial"/>
          <w14:shadow w14:blurRad="50800" w14:dist="38100" w14:dir="2700000" w14:sx="100000" w14:sy="100000" w14:kx="0" w14:ky="0" w14:algn="tl">
            <w14:srgbClr w14:val="000000">
              <w14:alpha w14:val="60000"/>
            </w14:srgbClr>
          </w14:shadow>
        </w:rPr>
      </w:pPr>
    </w:p>
    <w:p w14:paraId="176013FF" w14:textId="77777777" w:rsidR="00C447CE" w:rsidRDefault="00C447CE" w:rsidP="00C447CE">
      <w:pPr>
        <w:spacing w:after="0" w:line="240" w:lineRule="auto"/>
        <w:rPr>
          <w:rFonts w:eastAsia="Times New Roman" w:cs="Arial"/>
          <w14:shadow w14:blurRad="50800" w14:dist="38100" w14:dir="2700000" w14:sx="100000" w14:sy="100000" w14:kx="0" w14:ky="0" w14:algn="tl">
            <w14:srgbClr w14:val="000000">
              <w14:alpha w14:val="60000"/>
            </w14:srgbClr>
          </w14:shadow>
        </w:rPr>
      </w:pPr>
    </w:p>
    <w:p w14:paraId="5BEBEAD0" w14:textId="77777777" w:rsidR="00016D55" w:rsidRDefault="00016D55" w:rsidP="00C447CE">
      <w:pPr>
        <w:spacing w:after="0" w:line="240" w:lineRule="auto"/>
        <w:rPr>
          <w:rFonts w:eastAsia="Times New Roman" w:cs="Arial"/>
          <w14:shadow w14:blurRad="50800" w14:dist="38100" w14:dir="2700000" w14:sx="100000" w14:sy="100000" w14:kx="0" w14:ky="0" w14:algn="tl">
            <w14:srgbClr w14:val="000000">
              <w14:alpha w14:val="60000"/>
            </w14:srgbClr>
          </w14:shadow>
        </w:rPr>
        <w:sectPr w:rsidR="00016D55" w:rsidSect="00305343">
          <w:headerReference w:type="first" r:id="rId26"/>
          <w:footerReference w:type="first" r:id="rId27"/>
          <w:pgSz w:w="11906" w:h="16838" w:code="9"/>
          <w:pgMar w:top="1105" w:right="1133" w:bottom="1417" w:left="1417" w:header="709" w:footer="709" w:gutter="0"/>
          <w:pgNumType w:start="1"/>
          <w:cols w:space="708"/>
          <w:titlePg/>
          <w:docGrid w:linePitch="360"/>
        </w:sectPr>
      </w:pPr>
    </w:p>
    <w:p w14:paraId="049C0ADA" w14:textId="77777777" w:rsidR="00A63059" w:rsidRDefault="00A63059" w:rsidP="00C447CE">
      <w:pPr>
        <w:spacing w:after="0" w:line="240" w:lineRule="auto"/>
        <w:rPr>
          <w:rFonts w:eastAsia="Times New Roman" w:cs="Arial"/>
          <w14:shadow w14:blurRad="50800" w14:dist="38100" w14:dir="2700000" w14:sx="100000" w14:sy="100000" w14:kx="0" w14:ky="0" w14:algn="tl">
            <w14:srgbClr w14:val="000000">
              <w14:alpha w14:val="60000"/>
            </w14:srgbClr>
          </w14:shadow>
        </w:rPr>
      </w:pPr>
    </w:p>
    <w:p w14:paraId="4094FCBE" w14:textId="77777777" w:rsidR="007C409B" w:rsidRDefault="007C409B" w:rsidP="00C447CE">
      <w:pPr>
        <w:spacing w:after="0" w:line="240" w:lineRule="auto"/>
        <w:rPr>
          <w:rFonts w:eastAsia="Times New Roman" w:cs="Arial"/>
          <w14:shadow w14:blurRad="50800" w14:dist="38100" w14:dir="2700000" w14:sx="100000" w14:sy="100000" w14:kx="0" w14:ky="0" w14:algn="tl">
            <w14:srgbClr w14:val="000000">
              <w14:alpha w14:val="60000"/>
            </w14:srgbClr>
          </w14:shadow>
        </w:rPr>
      </w:pPr>
    </w:p>
    <w:tbl>
      <w:tblPr>
        <w:tblW w:w="5165" w:type="pct"/>
        <w:tblCellMar>
          <w:left w:w="119" w:type="dxa"/>
          <w:right w:w="119" w:type="dxa"/>
        </w:tblCellMar>
        <w:tblLook w:val="0000" w:firstRow="0" w:lastRow="0" w:firstColumn="0" w:lastColumn="0" w:noHBand="0" w:noVBand="0"/>
      </w:tblPr>
      <w:tblGrid>
        <w:gridCol w:w="4819"/>
        <w:gridCol w:w="1212"/>
        <w:gridCol w:w="1212"/>
        <w:gridCol w:w="1212"/>
        <w:gridCol w:w="1210"/>
      </w:tblGrid>
      <w:tr w:rsidR="001B316F" w:rsidRPr="00CA37C8" w14:paraId="44E48772" w14:textId="77777777" w:rsidTr="001B316F">
        <w:trPr>
          <w:trHeight w:val="330"/>
        </w:trPr>
        <w:tc>
          <w:tcPr>
            <w:tcW w:w="2493" w:type="pct"/>
            <w:vAlign w:val="center"/>
          </w:tcPr>
          <w:p w14:paraId="52340228" w14:textId="77777777" w:rsidR="001B316F" w:rsidRPr="00CA37C8" w:rsidRDefault="001B316F" w:rsidP="001B316F">
            <w:pPr>
              <w:tabs>
                <w:tab w:val="right" w:pos="1202"/>
              </w:tabs>
              <w:spacing w:after="0" w:line="240" w:lineRule="auto"/>
              <w:jc w:val="center"/>
              <w:outlineLvl w:val="0"/>
              <w:rPr>
                <w:rFonts w:eastAsia="Times New Roman" w:cs="Arial"/>
                <w:b/>
                <w:bCs/>
              </w:rPr>
            </w:pPr>
          </w:p>
        </w:tc>
        <w:tc>
          <w:tcPr>
            <w:tcW w:w="1254" w:type="pct"/>
            <w:gridSpan w:val="2"/>
            <w:vAlign w:val="center"/>
          </w:tcPr>
          <w:p w14:paraId="3043A900" w14:textId="2FE5B688" w:rsidR="001B316F" w:rsidRPr="00DA4E52" w:rsidRDefault="001B316F" w:rsidP="00932654">
            <w:pPr>
              <w:pStyle w:val="TT"/>
              <w:tabs>
                <w:tab w:val="clear" w:pos="1202"/>
              </w:tabs>
              <w:spacing w:line="240" w:lineRule="auto"/>
              <w:jc w:val="center"/>
              <w:rPr>
                <w:rFonts w:ascii="Calibri" w:hAnsi="Calibri" w:cs="Calibri"/>
                <w:b/>
                <w:bCs/>
                <w:sz w:val="22"/>
                <w:szCs w:val="22"/>
              </w:rPr>
            </w:pPr>
            <w:r w:rsidRPr="00DA4E52">
              <w:rPr>
                <w:rFonts w:ascii="Calibri" w:hAnsi="Calibri" w:cs="Calibri"/>
                <w:b/>
                <w:bCs/>
                <w:sz w:val="22"/>
                <w:szCs w:val="22"/>
              </w:rPr>
              <w:t>201</w:t>
            </w:r>
            <w:r>
              <w:rPr>
                <w:rFonts w:ascii="Calibri" w:hAnsi="Calibri" w:cs="Calibri"/>
                <w:b/>
                <w:bCs/>
                <w:sz w:val="22"/>
                <w:szCs w:val="22"/>
              </w:rPr>
              <w:t>7</w:t>
            </w:r>
            <w:r w:rsidRPr="00DA4E52">
              <w:rPr>
                <w:rFonts w:ascii="Calibri" w:hAnsi="Calibri" w:cs="Calibri"/>
                <w:b/>
                <w:bCs/>
                <w:sz w:val="22"/>
                <w:szCs w:val="22"/>
              </w:rPr>
              <w:t>.</w:t>
            </w:r>
          </w:p>
        </w:tc>
        <w:tc>
          <w:tcPr>
            <w:tcW w:w="1253" w:type="pct"/>
            <w:gridSpan w:val="2"/>
            <w:vAlign w:val="center"/>
          </w:tcPr>
          <w:p w14:paraId="2EB73121" w14:textId="7D304CE6" w:rsidR="001B316F" w:rsidRPr="00DA4E52" w:rsidRDefault="001B316F">
            <w:pPr>
              <w:pStyle w:val="TT"/>
              <w:tabs>
                <w:tab w:val="clear" w:pos="1202"/>
              </w:tabs>
              <w:spacing w:line="240" w:lineRule="auto"/>
              <w:jc w:val="center"/>
              <w:rPr>
                <w:rFonts w:ascii="Calibri" w:hAnsi="Calibri" w:cs="Calibri"/>
                <w:b/>
                <w:bCs/>
                <w:sz w:val="22"/>
                <w:szCs w:val="22"/>
              </w:rPr>
            </w:pPr>
            <w:r w:rsidRPr="00DA4E52">
              <w:rPr>
                <w:rFonts w:ascii="Calibri" w:hAnsi="Calibri" w:cs="Calibri"/>
                <w:b/>
                <w:bCs/>
                <w:sz w:val="22"/>
                <w:szCs w:val="22"/>
              </w:rPr>
              <w:t>201</w:t>
            </w:r>
            <w:r>
              <w:rPr>
                <w:rFonts w:ascii="Calibri" w:hAnsi="Calibri" w:cs="Calibri"/>
                <w:b/>
                <w:bCs/>
                <w:sz w:val="22"/>
                <w:szCs w:val="22"/>
              </w:rPr>
              <w:t>6</w:t>
            </w:r>
            <w:r w:rsidRPr="00DA4E52">
              <w:rPr>
                <w:rFonts w:ascii="Calibri" w:hAnsi="Calibri" w:cs="Calibri"/>
                <w:b/>
                <w:bCs/>
                <w:sz w:val="22"/>
                <w:szCs w:val="22"/>
              </w:rPr>
              <w:t>.</w:t>
            </w:r>
          </w:p>
        </w:tc>
      </w:tr>
      <w:tr w:rsidR="001B316F" w:rsidRPr="00CA37C8" w14:paraId="5ECE8C5D" w14:textId="77777777" w:rsidTr="001B316F">
        <w:trPr>
          <w:trHeight w:val="545"/>
        </w:trPr>
        <w:tc>
          <w:tcPr>
            <w:tcW w:w="2493" w:type="pct"/>
            <w:vAlign w:val="center"/>
          </w:tcPr>
          <w:p w14:paraId="0E2CECB2" w14:textId="77777777" w:rsidR="001B316F" w:rsidRPr="00CA37C8" w:rsidRDefault="001B316F" w:rsidP="001B316F">
            <w:pPr>
              <w:tabs>
                <w:tab w:val="right" w:pos="1202"/>
              </w:tabs>
              <w:spacing w:after="0" w:line="240" w:lineRule="auto"/>
              <w:jc w:val="center"/>
              <w:outlineLvl w:val="0"/>
              <w:rPr>
                <w:rFonts w:eastAsia="Times New Roman" w:cs="Arial"/>
                <w:b/>
                <w:bCs/>
              </w:rPr>
            </w:pPr>
          </w:p>
        </w:tc>
        <w:tc>
          <w:tcPr>
            <w:tcW w:w="627" w:type="pct"/>
            <w:vAlign w:val="center"/>
          </w:tcPr>
          <w:p w14:paraId="6C8118B1" w14:textId="77777777" w:rsidR="001B316F" w:rsidRPr="003A1120" w:rsidRDefault="001B316F" w:rsidP="001B316F">
            <w:pPr>
              <w:pStyle w:val="TT"/>
              <w:tabs>
                <w:tab w:val="clear" w:pos="1202"/>
              </w:tabs>
              <w:spacing w:line="240" w:lineRule="auto"/>
              <w:jc w:val="center"/>
              <w:rPr>
                <w:rFonts w:ascii="Calibri" w:hAnsi="Calibri" w:cs="Calibri"/>
                <w:bCs/>
                <w:noProof/>
                <w:sz w:val="22"/>
                <w:szCs w:val="22"/>
              </w:rPr>
            </w:pPr>
            <w:r w:rsidRPr="003A1120">
              <w:rPr>
                <w:rFonts w:ascii="Calibri" w:hAnsi="Calibri" w:cs="Calibri"/>
                <w:bCs/>
                <w:noProof/>
                <w:sz w:val="22"/>
                <w:szCs w:val="22"/>
              </w:rPr>
              <w:t>Tekuće razdoblje</w:t>
            </w:r>
          </w:p>
          <w:p w14:paraId="2F9D28B3" w14:textId="77777777" w:rsidR="001B316F" w:rsidRPr="00EA4EAB" w:rsidRDefault="001B316F" w:rsidP="001B316F">
            <w:pPr>
              <w:pStyle w:val="TT"/>
              <w:tabs>
                <w:tab w:val="clear" w:pos="1202"/>
              </w:tabs>
              <w:spacing w:line="240" w:lineRule="auto"/>
              <w:jc w:val="center"/>
              <w:rPr>
                <w:rFonts w:ascii="Calibri" w:hAnsi="Calibri" w:cs="Calibri"/>
                <w:bCs/>
                <w:noProof/>
                <w:sz w:val="22"/>
                <w:szCs w:val="22"/>
              </w:rPr>
            </w:pPr>
            <w:r>
              <w:rPr>
                <w:rFonts w:ascii="Calibri" w:hAnsi="Calibri" w:cs="Calibri"/>
                <w:bCs/>
                <w:noProof/>
                <w:sz w:val="22"/>
                <w:szCs w:val="22"/>
              </w:rPr>
              <w:t>1.4. - 30.</w:t>
            </w:r>
            <w:r w:rsidRPr="003A1120">
              <w:rPr>
                <w:rFonts w:ascii="Calibri" w:hAnsi="Calibri" w:cs="Calibri"/>
                <w:bCs/>
                <w:noProof/>
                <w:sz w:val="22"/>
                <w:szCs w:val="22"/>
              </w:rPr>
              <w:t>6.</w:t>
            </w:r>
          </w:p>
        </w:tc>
        <w:tc>
          <w:tcPr>
            <w:tcW w:w="627" w:type="pct"/>
            <w:vAlign w:val="center"/>
          </w:tcPr>
          <w:p w14:paraId="3B2F322B" w14:textId="77777777" w:rsidR="001B316F" w:rsidRPr="003A1120" w:rsidRDefault="001B316F" w:rsidP="001B316F">
            <w:pPr>
              <w:pStyle w:val="TT"/>
              <w:tabs>
                <w:tab w:val="clear" w:pos="1202"/>
              </w:tabs>
              <w:spacing w:line="240" w:lineRule="auto"/>
              <w:jc w:val="center"/>
              <w:rPr>
                <w:rFonts w:ascii="Calibri" w:hAnsi="Calibri" w:cs="Calibri"/>
                <w:bCs/>
                <w:noProof/>
                <w:sz w:val="22"/>
                <w:szCs w:val="22"/>
              </w:rPr>
            </w:pPr>
            <w:r w:rsidRPr="003A1120">
              <w:rPr>
                <w:rFonts w:ascii="Calibri" w:hAnsi="Calibri" w:cs="Calibri"/>
                <w:bCs/>
                <w:noProof/>
                <w:sz w:val="22"/>
                <w:szCs w:val="22"/>
              </w:rPr>
              <w:t>Kumulativ</w:t>
            </w:r>
          </w:p>
          <w:p w14:paraId="1CA47EFA" w14:textId="77777777" w:rsidR="001B316F" w:rsidRPr="00EA4EAB" w:rsidRDefault="001B316F" w:rsidP="001B316F">
            <w:pPr>
              <w:pStyle w:val="TT"/>
              <w:tabs>
                <w:tab w:val="clear" w:pos="1202"/>
              </w:tabs>
              <w:spacing w:line="240" w:lineRule="auto"/>
              <w:jc w:val="center"/>
              <w:rPr>
                <w:rFonts w:ascii="Calibri" w:hAnsi="Calibri" w:cs="Calibri"/>
                <w:bCs/>
                <w:noProof/>
                <w:sz w:val="22"/>
                <w:szCs w:val="22"/>
              </w:rPr>
            </w:pPr>
            <w:r>
              <w:rPr>
                <w:rFonts w:ascii="Calibri" w:hAnsi="Calibri" w:cs="Calibri"/>
                <w:bCs/>
                <w:noProof/>
                <w:sz w:val="22"/>
                <w:szCs w:val="22"/>
              </w:rPr>
              <w:t>1.1. - 30.</w:t>
            </w:r>
            <w:r w:rsidRPr="003A1120">
              <w:rPr>
                <w:rFonts w:ascii="Calibri" w:hAnsi="Calibri" w:cs="Calibri"/>
                <w:bCs/>
                <w:noProof/>
                <w:sz w:val="22"/>
                <w:szCs w:val="22"/>
              </w:rPr>
              <w:t>6.</w:t>
            </w:r>
          </w:p>
        </w:tc>
        <w:tc>
          <w:tcPr>
            <w:tcW w:w="627" w:type="pct"/>
            <w:vAlign w:val="center"/>
          </w:tcPr>
          <w:p w14:paraId="6DA8111D" w14:textId="77777777" w:rsidR="001B316F" w:rsidRPr="003A1120" w:rsidRDefault="001B316F" w:rsidP="001B316F">
            <w:pPr>
              <w:pStyle w:val="TT"/>
              <w:tabs>
                <w:tab w:val="clear" w:pos="1202"/>
              </w:tabs>
              <w:spacing w:line="240" w:lineRule="auto"/>
              <w:jc w:val="center"/>
              <w:rPr>
                <w:rFonts w:ascii="Calibri" w:hAnsi="Calibri" w:cs="Calibri"/>
                <w:bCs/>
                <w:noProof/>
                <w:sz w:val="22"/>
                <w:szCs w:val="22"/>
              </w:rPr>
            </w:pPr>
            <w:r w:rsidRPr="003A1120">
              <w:rPr>
                <w:rFonts w:ascii="Calibri" w:hAnsi="Calibri" w:cs="Calibri"/>
                <w:bCs/>
                <w:noProof/>
                <w:sz w:val="22"/>
                <w:szCs w:val="22"/>
              </w:rPr>
              <w:t>Tekuće razdoblje</w:t>
            </w:r>
          </w:p>
          <w:p w14:paraId="63A56CA2" w14:textId="77777777" w:rsidR="001B316F" w:rsidRPr="00EA4EAB" w:rsidRDefault="001B316F" w:rsidP="001B316F">
            <w:pPr>
              <w:pStyle w:val="TT"/>
              <w:tabs>
                <w:tab w:val="clear" w:pos="1202"/>
              </w:tabs>
              <w:spacing w:line="240" w:lineRule="auto"/>
              <w:jc w:val="center"/>
              <w:rPr>
                <w:rFonts w:ascii="Calibri" w:hAnsi="Calibri" w:cs="Calibri"/>
                <w:bCs/>
                <w:noProof/>
                <w:sz w:val="22"/>
                <w:szCs w:val="22"/>
              </w:rPr>
            </w:pPr>
            <w:r>
              <w:rPr>
                <w:rFonts w:ascii="Calibri" w:hAnsi="Calibri" w:cs="Calibri"/>
                <w:bCs/>
                <w:noProof/>
                <w:sz w:val="22"/>
                <w:szCs w:val="22"/>
              </w:rPr>
              <w:t>1.4. - 30.</w:t>
            </w:r>
            <w:r w:rsidRPr="003A1120">
              <w:rPr>
                <w:rFonts w:ascii="Calibri" w:hAnsi="Calibri" w:cs="Calibri"/>
                <w:bCs/>
                <w:noProof/>
                <w:sz w:val="22"/>
                <w:szCs w:val="22"/>
              </w:rPr>
              <w:t>6.</w:t>
            </w:r>
          </w:p>
        </w:tc>
        <w:tc>
          <w:tcPr>
            <w:tcW w:w="626" w:type="pct"/>
            <w:vAlign w:val="center"/>
          </w:tcPr>
          <w:p w14:paraId="5C4580A8" w14:textId="77777777" w:rsidR="001B316F" w:rsidRPr="003A1120" w:rsidRDefault="001B316F" w:rsidP="001B316F">
            <w:pPr>
              <w:pStyle w:val="TT"/>
              <w:tabs>
                <w:tab w:val="clear" w:pos="1202"/>
              </w:tabs>
              <w:spacing w:line="240" w:lineRule="auto"/>
              <w:jc w:val="center"/>
              <w:rPr>
                <w:rFonts w:ascii="Calibri" w:hAnsi="Calibri" w:cs="Calibri"/>
                <w:bCs/>
                <w:noProof/>
                <w:sz w:val="22"/>
                <w:szCs w:val="22"/>
              </w:rPr>
            </w:pPr>
            <w:r w:rsidRPr="003A1120">
              <w:rPr>
                <w:rFonts w:ascii="Calibri" w:hAnsi="Calibri" w:cs="Calibri"/>
                <w:bCs/>
                <w:noProof/>
                <w:sz w:val="22"/>
                <w:szCs w:val="22"/>
              </w:rPr>
              <w:t>Kumulativ</w:t>
            </w:r>
          </w:p>
          <w:p w14:paraId="716585E5" w14:textId="77777777" w:rsidR="001B316F" w:rsidRPr="00EA4EAB" w:rsidRDefault="001B316F" w:rsidP="001B316F">
            <w:pPr>
              <w:pStyle w:val="TT"/>
              <w:tabs>
                <w:tab w:val="clear" w:pos="1202"/>
              </w:tabs>
              <w:spacing w:line="240" w:lineRule="auto"/>
              <w:jc w:val="center"/>
              <w:rPr>
                <w:rFonts w:ascii="Calibri" w:hAnsi="Calibri" w:cs="Calibri"/>
                <w:bCs/>
                <w:noProof/>
                <w:sz w:val="22"/>
                <w:szCs w:val="22"/>
              </w:rPr>
            </w:pPr>
            <w:r>
              <w:rPr>
                <w:rFonts w:ascii="Calibri" w:hAnsi="Calibri" w:cs="Calibri"/>
                <w:bCs/>
                <w:noProof/>
                <w:sz w:val="22"/>
                <w:szCs w:val="22"/>
              </w:rPr>
              <w:t>1.1. - 30.</w:t>
            </w:r>
            <w:r w:rsidRPr="003A1120">
              <w:rPr>
                <w:rFonts w:ascii="Calibri" w:hAnsi="Calibri" w:cs="Calibri"/>
                <w:bCs/>
                <w:noProof/>
                <w:sz w:val="22"/>
                <w:szCs w:val="22"/>
              </w:rPr>
              <w:t>6.</w:t>
            </w:r>
          </w:p>
        </w:tc>
      </w:tr>
      <w:tr w:rsidR="001B316F" w:rsidRPr="00CA37C8" w14:paraId="1AFD899C" w14:textId="77777777" w:rsidTr="001B316F">
        <w:trPr>
          <w:trHeight w:val="355"/>
        </w:trPr>
        <w:tc>
          <w:tcPr>
            <w:tcW w:w="2493" w:type="pct"/>
            <w:vAlign w:val="center"/>
          </w:tcPr>
          <w:p w14:paraId="34EBB476" w14:textId="77777777" w:rsidR="001B316F" w:rsidRPr="00CA37C8" w:rsidRDefault="001B316F" w:rsidP="001B316F">
            <w:pPr>
              <w:tabs>
                <w:tab w:val="right" w:pos="1202"/>
              </w:tabs>
              <w:spacing w:after="0" w:line="240" w:lineRule="auto"/>
              <w:jc w:val="center"/>
              <w:outlineLvl w:val="0"/>
              <w:rPr>
                <w:rFonts w:eastAsia="Times New Roman" w:cs="Arial"/>
                <w:b/>
                <w:bCs/>
              </w:rPr>
            </w:pPr>
          </w:p>
        </w:tc>
        <w:tc>
          <w:tcPr>
            <w:tcW w:w="627" w:type="pct"/>
          </w:tcPr>
          <w:p w14:paraId="5176E331" w14:textId="77777777" w:rsidR="001B316F" w:rsidRPr="00CA37C8" w:rsidRDefault="001B316F" w:rsidP="001B316F">
            <w:pPr>
              <w:spacing w:after="0" w:line="240" w:lineRule="auto"/>
              <w:jc w:val="right"/>
              <w:outlineLvl w:val="0"/>
              <w:rPr>
                <w:rFonts w:eastAsia="Times New Roman" w:cs="Arial"/>
                <w:b/>
                <w:bCs/>
              </w:rPr>
            </w:pPr>
          </w:p>
        </w:tc>
        <w:tc>
          <w:tcPr>
            <w:tcW w:w="627" w:type="pct"/>
          </w:tcPr>
          <w:p w14:paraId="58F69DD9" w14:textId="77777777" w:rsidR="001B316F" w:rsidRPr="00CA37C8" w:rsidRDefault="001B316F" w:rsidP="001B316F">
            <w:pPr>
              <w:spacing w:after="0" w:line="240" w:lineRule="auto"/>
              <w:jc w:val="right"/>
              <w:outlineLvl w:val="0"/>
              <w:rPr>
                <w:rFonts w:eastAsia="Times New Roman" w:cs="Arial"/>
                <w:b/>
                <w:bCs/>
              </w:rPr>
            </w:pPr>
          </w:p>
        </w:tc>
        <w:tc>
          <w:tcPr>
            <w:tcW w:w="627" w:type="pct"/>
          </w:tcPr>
          <w:p w14:paraId="08127FE0" w14:textId="77777777" w:rsidR="001B316F" w:rsidRPr="00CA37C8" w:rsidRDefault="001B316F" w:rsidP="001B316F">
            <w:pPr>
              <w:spacing w:after="0" w:line="240" w:lineRule="auto"/>
              <w:jc w:val="right"/>
              <w:outlineLvl w:val="0"/>
              <w:rPr>
                <w:rFonts w:eastAsia="Times New Roman" w:cs="Arial"/>
                <w:b/>
                <w:bCs/>
              </w:rPr>
            </w:pPr>
          </w:p>
        </w:tc>
        <w:tc>
          <w:tcPr>
            <w:tcW w:w="626" w:type="pct"/>
          </w:tcPr>
          <w:p w14:paraId="48C07962" w14:textId="77777777" w:rsidR="001B316F" w:rsidRPr="00CA37C8" w:rsidRDefault="001B316F" w:rsidP="001B316F">
            <w:pPr>
              <w:spacing w:after="0" w:line="240" w:lineRule="auto"/>
              <w:jc w:val="right"/>
              <w:outlineLvl w:val="0"/>
              <w:rPr>
                <w:rFonts w:eastAsia="Times New Roman" w:cs="Arial"/>
                <w:b/>
                <w:bCs/>
              </w:rPr>
            </w:pPr>
          </w:p>
        </w:tc>
      </w:tr>
      <w:tr w:rsidR="001B316F" w:rsidRPr="00CA37C8" w14:paraId="2519084C" w14:textId="77777777" w:rsidTr="001B316F">
        <w:trPr>
          <w:trHeight w:val="346"/>
        </w:trPr>
        <w:tc>
          <w:tcPr>
            <w:tcW w:w="2493" w:type="pct"/>
            <w:vAlign w:val="bottom"/>
          </w:tcPr>
          <w:p w14:paraId="0B94D375" w14:textId="20F9EDCE" w:rsidR="001B316F" w:rsidRPr="00CA37C8" w:rsidRDefault="001B316F" w:rsidP="000035C6">
            <w:pPr>
              <w:tabs>
                <w:tab w:val="right" w:pos="1202"/>
              </w:tabs>
              <w:spacing w:after="0" w:line="280" w:lineRule="exact"/>
              <w:outlineLvl w:val="0"/>
              <w:rPr>
                <w:rFonts w:eastAsia="Times New Roman" w:cs="Arial"/>
                <w:b/>
                <w:bCs/>
              </w:rPr>
            </w:pPr>
            <w:r w:rsidRPr="00CA37C8">
              <w:rPr>
                <w:rFonts w:eastAsia="Times New Roman" w:cs="Arial"/>
                <w:b/>
                <w:bCs/>
              </w:rPr>
              <w:t>Dobit tekuće</w:t>
            </w:r>
            <w:r w:rsidR="000035C6">
              <w:rPr>
                <w:rFonts w:eastAsia="Times New Roman" w:cs="Arial"/>
                <w:b/>
                <w:bCs/>
              </w:rPr>
              <w:t>g razdoblja</w:t>
            </w:r>
          </w:p>
        </w:tc>
        <w:tc>
          <w:tcPr>
            <w:tcW w:w="627" w:type="pct"/>
            <w:tcBorders>
              <w:top w:val="nil"/>
              <w:left w:val="nil"/>
              <w:bottom w:val="single" w:sz="8" w:space="0" w:color="auto"/>
              <w:right w:val="nil"/>
            </w:tcBorders>
            <w:shd w:val="clear" w:color="auto" w:fill="auto"/>
            <w:vAlign w:val="bottom"/>
          </w:tcPr>
          <w:p w14:paraId="6780E24E" w14:textId="4F885BF5" w:rsidR="001B316F" w:rsidRPr="00722C53" w:rsidRDefault="00D66E1B" w:rsidP="001B316F">
            <w:pPr>
              <w:tabs>
                <w:tab w:val="right" w:pos="1202"/>
              </w:tabs>
              <w:spacing w:after="0" w:line="280" w:lineRule="exact"/>
              <w:jc w:val="right"/>
              <w:outlineLvl w:val="0"/>
              <w:rPr>
                <w:rFonts w:eastAsia="Times New Roman" w:cs="Arial"/>
                <w:b/>
                <w:bCs/>
              </w:rPr>
            </w:pPr>
            <w:r w:rsidRPr="00D66E1B">
              <w:rPr>
                <w:rFonts w:eastAsia="Times New Roman" w:cs="Arial"/>
                <w:b/>
                <w:bCs/>
              </w:rPr>
              <w:t>89.351</w:t>
            </w:r>
          </w:p>
        </w:tc>
        <w:tc>
          <w:tcPr>
            <w:tcW w:w="627" w:type="pct"/>
            <w:tcBorders>
              <w:top w:val="nil"/>
              <w:left w:val="nil"/>
              <w:bottom w:val="single" w:sz="8" w:space="0" w:color="auto"/>
              <w:right w:val="nil"/>
            </w:tcBorders>
            <w:shd w:val="clear" w:color="auto" w:fill="auto"/>
            <w:vAlign w:val="bottom"/>
          </w:tcPr>
          <w:p w14:paraId="5676AA05" w14:textId="2B00B1F8" w:rsidR="001B316F" w:rsidRPr="002B2DDF" w:rsidRDefault="00D66E1B" w:rsidP="001B316F">
            <w:pPr>
              <w:tabs>
                <w:tab w:val="right" w:pos="1202"/>
              </w:tabs>
              <w:spacing w:after="0" w:line="280" w:lineRule="exact"/>
              <w:jc w:val="right"/>
              <w:outlineLvl w:val="0"/>
              <w:rPr>
                <w:rFonts w:cs="Calibri"/>
                <w:b/>
                <w:bCs/>
              </w:rPr>
            </w:pPr>
            <w:r w:rsidRPr="00D66E1B">
              <w:rPr>
                <w:rFonts w:cs="Calibri"/>
                <w:b/>
                <w:bCs/>
              </w:rPr>
              <w:t>130.750</w:t>
            </w:r>
          </w:p>
        </w:tc>
        <w:tc>
          <w:tcPr>
            <w:tcW w:w="627" w:type="pct"/>
            <w:tcBorders>
              <w:top w:val="nil"/>
              <w:left w:val="nil"/>
              <w:bottom w:val="single" w:sz="8" w:space="0" w:color="auto"/>
              <w:right w:val="nil"/>
            </w:tcBorders>
            <w:shd w:val="clear" w:color="auto" w:fill="auto"/>
            <w:vAlign w:val="bottom"/>
          </w:tcPr>
          <w:p w14:paraId="216559EF" w14:textId="286CD2C8" w:rsidR="001B316F" w:rsidRPr="00CA37C8" w:rsidRDefault="001B316F" w:rsidP="001B316F">
            <w:pPr>
              <w:tabs>
                <w:tab w:val="right" w:pos="1202"/>
              </w:tabs>
              <w:spacing w:after="0" w:line="280" w:lineRule="exact"/>
              <w:jc w:val="right"/>
              <w:outlineLvl w:val="0"/>
              <w:rPr>
                <w:rFonts w:eastAsia="Times New Roman" w:cs="Arial"/>
                <w:b/>
                <w:bCs/>
              </w:rPr>
            </w:pPr>
            <w:r w:rsidRPr="00722C53">
              <w:rPr>
                <w:rFonts w:eastAsia="Times New Roman" w:cs="Arial"/>
                <w:b/>
                <w:bCs/>
              </w:rPr>
              <w:t>54.593</w:t>
            </w:r>
          </w:p>
        </w:tc>
        <w:tc>
          <w:tcPr>
            <w:tcW w:w="626" w:type="pct"/>
            <w:tcBorders>
              <w:top w:val="nil"/>
              <w:left w:val="nil"/>
              <w:bottom w:val="single" w:sz="8" w:space="0" w:color="auto"/>
              <w:right w:val="nil"/>
            </w:tcBorders>
            <w:shd w:val="clear" w:color="auto" w:fill="auto"/>
            <w:vAlign w:val="bottom"/>
          </w:tcPr>
          <w:p w14:paraId="4837F0AD" w14:textId="14192B0F" w:rsidR="001B316F" w:rsidRPr="00A105CF" w:rsidRDefault="001B316F" w:rsidP="001B316F">
            <w:pPr>
              <w:tabs>
                <w:tab w:val="right" w:pos="1202"/>
              </w:tabs>
              <w:spacing w:after="0" w:line="280" w:lineRule="exact"/>
              <w:jc w:val="right"/>
              <w:outlineLvl w:val="0"/>
              <w:rPr>
                <w:rFonts w:ascii="Calibri" w:hAnsi="Calibri" w:cs="Calibri"/>
                <w:b/>
                <w:bCs/>
              </w:rPr>
            </w:pPr>
            <w:r w:rsidRPr="002B2DDF">
              <w:rPr>
                <w:rFonts w:cs="Calibri"/>
                <w:b/>
                <w:bCs/>
              </w:rPr>
              <w:t>107.678</w:t>
            </w:r>
          </w:p>
        </w:tc>
      </w:tr>
      <w:tr w:rsidR="001B316F" w:rsidRPr="00CA37C8" w14:paraId="792E83BA" w14:textId="77777777" w:rsidTr="001B316F">
        <w:trPr>
          <w:trHeight w:val="192"/>
        </w:trPr>
        <w:tc>
          <w:tcPr>
            <w:tcW w:w="2493" w:type="pct"/>
          </w:tcPr>
          <w:p w14:paraId="4C601138" w14:textId="77777777" w:rsidR="001B316F" w:rsidRPr="00CA37C8" w:rsidRDefault="001B316F" w:rsidP="001B316F">
            <w:pPr>
              <w:tabs>
                <w:tab w:val="right" w:pos="1202"/>
              </w:tabs>
              <w:spacing w:after="0" w:line="280" w:lineRule="exact"/>
              <w:outlineLvl w:val="0"/>
              <w:rPr>
                <w:rFonts w:eastAsia="Times New Roman" w:cs="Arial"/>
                <w:b/>
                <w:bCs/>
              </w:rPr>
            </w:pPr>
          </w:p>
        </w:tc>
        <w:tc>
          <w:tcPr>
            <w:tcW w:w="627" w:type="pct"/>
            <w:tcBorders>
              <w:top w:val="single" w:sz="12" w:space="0" w:color="auto"/>
            </w:tcBorders>
          </w:tcPr>
          <w:p w14:paraId="1C81615F" w14:textId="77777777" w:rsidR="001B316F" w:rsidRPr="00722C53" w:rsidRDefault="001B316F" w:rsidP="001B316F">
            <w:pPr>
              <w:tabs>
                <w:tab w:val="right" w:pos="1202"/>
              </w:tabs>
              <w:spacing w:after="0" w:line="280" w:lineRule="exact"/>
              <w:jc w:val="right"/>
              <w:outlineLvl w:val="0"/>
              <w:rPr>
                <w:rFonts w:eastAsia="Times New Roman" w:cs="Arial"/>
                <w:b/>
                <w:bCs/>
              </w:rPr>
            </w:pPr>
          </w:p>
        </w:tc>
        <w:tc>
          <w:tcPr>
            <w:tcW w:w="627" w:type="pct"/>
            <w:tcBorders>
              <w:top w:val="single" w:sz="12" w:space="0" w:color="auto"/>
            </w:tcBorders>
          </w:tcPr>
          <w:p w14:paraId="2A812CB0" w14:textId="77777777" w:rsidR="001B316F" w:rsidRPr="002B2DDF" w:rsidRDefault="001B316F" w:rsidP="001B316F">
            <w:pPr>
              <w:tabs>
                <w:tab w:val="right" w:pos="1202"/>
              </w:tabs>
              <w:spacing w:after="0" w:line="280" w:lineRule="exact"/>
              <w:jc w:val="right"/>
              <w:outlineLvl w:val="0"/>
              <w:rPr>
                <w:rFonts w:cs="Calibri"/>
                <w:b/>
                <w:bCs/>
              </w:rPr>
            </w:pPr>
          </w:p>
        </w:tc>
        <w:tc>
          <w:tcPr>
            <w:tcW w:w="627" w:type="pct"/>
            <w:tcBorders>
              <w:top w:val="single" w:sz="12" w:space="0" w:color="auto"/>
            </w:tcBorders>
          </w:tcPr>
          <w:p w14:paraId="389C381A" w14:textId="77777777" w:rsidR="001B316F" w:rsidRPr="00CA37C8" w:rsidRDefault="001B316F" w:rsidP="001B316F">
            <w:pPr>
              <w:tabs>
                <w:tab w:val="right" w:pos="1202"/>
              </w:tabs>
              <w:spacing w:after="0" w:line="280" w:lineRule="exact"/>
              <w:jc w:val="right"/>
              <w:outlineLvl w:val="0"/>
              <w:rPr>
                <w:rFonts w:eastAsia="Times New Roman" w:cs="Arial"/>
                <w:b/>
                <w:bCs/>
              </w:rPr>
            </w:pPr>
          </w:p>
        </w:tc>
        <w:tc>
          <w:tcPr>
            <w:tcW w:w="626" w:type="pct"/>
            <w:tcBorders>
              <w:top w:val="single" w:sz="12" w:space="0" w:color="auto"/>
            </w:tcBorders>
          </w:tcPr>
          <w:p w14:paraId="5C2100F4" w14:textId="77777777" w:rsidR="001B316F" w:rsidRDefault="001B316F" w:rsidP="001B316F">
            <w:pPr>
              <w:tabs>
                <w:tab w:val="right" w:pos="1202"/>
              </w:tabs>
              <w:spacing w:after="0" w:line="280" w:lineRule="exact"/>
              <w:jc w:val="right"/>
              <w:outlineLvl w:val="0"/>
              <w:rPr>
                <w:rFonts w:ascii="Calibri" w:hAnsi="Calibri" w:cs="Calibri"/>
                <w:b/>
                <w:bCs/>
              </w:rPr>
            </w:pPr>
          </w:p>
        </w:tc>
      </w:tr>
      <w:tr w:rsidR="001B316F" w:rsidRPr="00CA37C8" w14:paraId="1AB829AE" w14:textId="77777777" w:rsidTr="001B316F">
        <w:trPr>
          <w:trHeight w:val="346"/>
        </w:trPr>
        <w:tc>
          <w:tcPr>
            <w:tcW w:w="2493" w:type="pct"/>
            <w:vAlign w:val="bottom"/>
          </w:tcPr>
          <w:p w14:paraId="088076C7" w14:textId="77777777" w:rsidR="001B316F" w:rsidRPr="00CA37C8" w:rsidRDefault="001B316F" w:rsidP="001B316F">
            <w:pPr>
              <w:tabs>
                <w:tab w:val="right" w:pos="1202"/>
              </w:tabs>
              <w:spacing w:after="0" w:line="280" w:lineRule="exact"/>
              <w:outlineLvl w:val="0"/>
              <w:rPr>
                <w:rFonts w:eastAsia="Times New Roman" w:cs="Arial"/>
                <w:b/>
                <w:bCs/>
              </w:rPr>
            </w:pPr>
            <w:r w:rsidRPr="00CA37C8">
              <w:rPr>
                <w:rFonts w:eastAsia="Times New Roman" w:cs="Arial"/>
                <w:b/>
                <w:bCs/>
              </w:rPr>
              <w:t>Ostala sveobuhvatna dobit</w:t>
            </w:r>
          </w:p>
        </w:tc>
        <w:tc>
          <w:tcPr>
            <w:tcW w:w="627" w:type="pct"/>
            <w:vAlign w:val="bottom"/>
          </w:tcPr>
          <w:p w14:paraId="43595BAD" w14:textId="77777777" w:rsidR="001B316F" w:rsidRPr="00722C53" w:rsidRDefault="001B316F" w:rsidP="001B316F">
            <w:pPr>
              <w:tabs>
                <w:tab w:val="right" w:pos="1202"/>
              </w:tabs>
              <w:spacing w:after="0" w:line="280" w:lineRule="exact"/>
              <w:jc w:val="right"/>
              <w:outlineLvl w:val="0"/>
              <w:rPr>
                <w:rFonts w:eastAsia="Times New Roman" w:cs="Arial"/>
                <w:b/>
                <w:bCs/>
              </w:rPr>
            </w:pPr>
          </w:p>
        </w:tc>
        <w:tc>
          <w:tcPr>
            <w:tcW w:w="627" w:type="pct"/>
            <w:vAlign w:val="bottom"/>
          </w:tcPr>
          <w:p w14:paraId="561EDC34" w14:textId="77777777" w:rsidR="001B316F" w:rsidRPr="00722C53" w:rsidRDefault="001B316F" w:rsidP="001B316F">
            <w:pPr>
              <w:tabs>
                <w:tab w:val="right" w:pos="1202"/>
              </w:tabs>
              <w:spacing w:after="0" w:line="280" w:lineRule="exact"/>
              <w:jc w:val="right"/>
              <w:outlineLvl w:val="0"/>
              <w:rPr>
                <w:rFonts w:eastAsia="Times New Roman" w:cs="Arial"/>
                <w:b/>
                <w:bCs/>
              </w:rPr>
            </w:pPr>
          </w:p>
        </w:tc>
        <w:tc>
          <w:tcPr>
            <w:tcW w:w="627" w:type="pct"/>
            <w:vAlign w:val="bottom"/>
          </w:tcPr>
          <w:p w14:paraId="78F2A75B" w14:textId="77777777" w:rsidR="001B316F" w:rsidRPr="00CA37C8" w:rsidRDefault="001B316F" w:rsidP="001B316F">
            <w:pPr>
              <w:tabs>
                <w:tab w:val="right" w:pos="1202"/>
              </w:tabs>
              <w:spacing w:after="0" w:line="280" w:lineRule="exact"/>
              <w:jc w:val="right"/>
              <w:outlineLvl w:val="0"/>
              <w:rPr>
                <w:rFonts w:eastAsia="Times New Roman" w:cs="Arial"/>
                <w:b/>
                <w:bCs/>
              </w:rPr>
            </w:pPr>
          </w:p>
        </w:tc>
        <w:tc>
          <w:tcPr>
            <w:tcW w:w="626" w:type="pct"/>
            <w:vAlign w:val="bottom"/>
          </w:tcPr>
          <w:p w14:paraId="100B408D" w14:textId="77777777" w:rsidR="001B316F" w:rsidRPr="00CA37C8" w:rsidRDefault="001B316F" w:rsidP="001B316F">
            <w:pPr>
              <w:tabs>
                <w:tab w:val="right" w:pos="1202"/>
              </w:tabs>
              <w:spacing w:after="0" w:line="280" w:lineRule="exact"/>
              <w:jc w:val="right"/>
              <w:outlineLvl w:val="0"/>
              <w:rPr>
                <w:rFonts w:eastAsia="Times New Roman" w:cs="Arial"/>
                <w:b/>
                <w:bCs/>
              </w:rPr>
            </w:pPr>
          </w:p>
        </w:tc>
      </w:tr>
      <w:tr w:rsidR="001B316F" w:rsidRPr="00CA37C8" w14:paraId="5C4FA91F" w14:textId="77777777" w:rsidTr="001B316F">
        <w:trPr>
          <w:trHeight w:val="192"/>
        </w:trPr>
        <w:tc>
          <w:tcPr>
            <w:tcW w:w="2493" w:type="pct"/>
          </w:tcPr>
          <w:p w14:paraId="2623C47D" w14:textId="77777777" w:rsidR="001B316F" w:rsidRPr="00CA37C8" w:rsidRDefault="001B316F" w:rsidP="001B316F">
            <w:pPr>
              <w:tabs>
                <w:tab w:val="right" w:pos="1202"/>
              </w:tabs>
              <w:spacing w:after="0" w:line="280" w:lineRule="exact"/>
              <w:outlineLvl w:val="0"/>
              <w:rPr>
                <w:rFonts w:eastAsia="Times New Roman" w:cs="Arial"/>
                <w:b/>
                <w:bCs/>
              </w:rPr>
            </w:pPr>
          </w:p>
        </w:tc>
        <w:tc>
          <w:tcPr>
            <w:tcW w:w="627" w:type="pct"/>
          </w:tcPr>
          <w:p w14:paraId="4535C5CD" w14:textId="77777777" w:rsidR="001B316F" w:rsidRPr="00722C53" w:rsidRDefault="001B316F" w:rsidP="001B316F">
            <w:pPr>
              <w:tabs>
                <w:tab w:val="right" w:pos="1202"/>
              </w:tabs>
              <w:spacing w:after="0" w:line="280" w:lineRule="exact"/>
              <w:jc w:val="right"/>
              <w:outlineLvl w:val="0"/>
              <w:rPr>
                <w:rFonts w:eastAsia="Times New Roman" w:cs="Arial"/>
                <w:b/>
                <w:bCs/>
              </w:rPr>
            </w:pPr>
          </w:p>
        </w:tc>
        <w:tc>
          <w:tcPr>
            <w:tcW w:w="627" w:type="pct"/>
          </w:tcPr>
          <w:p w14:paraId="3AF233DF" w14:textId="77777777" w:rsidR="001B316F" w:rsidRPr="002B2DDF" w:rsidRDefault="001B316F" w:rsidP="001B316F">
            <w:pPr>
              <w:tabs>
                <w:tab w:val="right" w:pos="1202"/>
              </w:tabs>
              <w:spacing w:after="0" w:line="280" w:lineRule="exact"/>
              <w:jc w:val="right"/>
              <w:outlineLvl w:val="0"/>
              <w:rPr>
                <w:rFonts w:cs="Calibri"/>
                <w:b/>
                <w:bCs/>
              </w:rPr>
            </w:pPr>
          </w:p>
        </w:tc>
        <w:tc>
          <w:tcPr>
            <w:tcW w:w="627" w:type="pct"/>
          </w:tcPr>
          <w:p w14:paraId="78BCC926" w14:textId="77777777" w:rsidR="001B316F" w:rsidRPr="00CA37C8" w:rsidRDefault="001B316F" w:rsidP="001B316F">
            <w:pPr>
              <w:tabs>
                <w:tab w:val="right" w:pos="1202"/>
              </w:tabs>
              <w:spacing w:after="0" w:line="280" w:lineRule="exact"/>
              <w:jc w:val="right"/>
              <w:outlineLvl w:val="0"/>
              <w:rPr>
                <w:rFonts w:eastAsia="Times New Roman" w:cs="Arial"/>
                <w:b/>
                <w:bCs/>
              </w:rPr>
            </w:pPr>
          </w:p>
        </w:tc>
        <w:tc>
          <w:tcPr>
            <w:tcW w:w="626" w:type="pct"/>
          </w:tcPr>
          <w:p w14:paraId="7D7DC085" w14:textId="77777777" w:rsidR="001B316F" w:rsidRDefault="001B316F" w:rsidP="001B316F">
            <w:pPr>
              <w:tabs>
                <w:tab w:val="right" w:pos="1202"/>
              </w:tabs>
              <w:spacing w:after="0" w:line="280" w:lineRule="exact"/>
              <w:jc w:val="right"/>
              <w:outlineLvl w:val="0"/>
              <w:rPr>
                <w:rFonts w:ascii="Calibri" w:hAnsi="Calibri" w:cs="Calibri"/>
                <w:b/>
                <w:bCs/>
              </w:rPr>
            </w:pPr>
          </w:p>
        </w:tc>
      </w:tr>
      <w:tr w:rsidR="001B316F" w:rsidRPr="00CA37C8" w14:paraId="33F24530" w14:textId="77777777" w:rsidTr="001B316F">
        <w:trPr>
          <w:trHeight w:val="249"/>
        </w:trPr>
        <w:tc>
          <w:tcPr>
            <w:tcW w:w="2493" w:type="pct"/>
            <w:vAlign w:val="bottom"/>
          </w:tcPr>
          <w:p w14:paraId="7717FF5F" w14:textId="77777777" w:rsidR="001B316F" w:rsidRPr="00ED4731" w:rsidRDefault="001B316F" w:rsidP="001B316F">
            <w:pPr>
              <w:tabs>
                <w:tab w:val="right" w:pos="1202"/>
              </w:tabs>
              <w:spacing w:after="0" w:line="240" w:lineRule="auto"/>
              <w:outlineLvl w:val="0"/>
              <w:rPr>
                <w:rFonts w:eastAsia="Times New Roman" w:cs="Arial"/>
                <w:bCs/>
              </w:rPr>
            </w:pPr>
            <w:r w:rsidRPr="00CA37C8">
              <w:rPr>
                <w:rFonts w:eastAsia="Times New Roman" w:cs="Arial"/>
                <w:b/>
                <w:bCs/>
              </w:rPr>
              <w:t>Stavke koje se kasnije mogu uračunati u dobit ili gubitak:</w:t>
            </w:r>
          </w:p>
        </w:tc>
        <w:tc>
          <w:tcPr>
            <w:tcW w:w="627" w:type="pct"/>
            <w:vAlign w:val="bottom"/>
          </w:tcPr>
          <w:p w14:paraId="6EACDC0A" w14:textId="77777777" w:rsidR="001B316F" w:rsidRPr="00722C53" w:rsidRDefault="001B316F" w:rsidP="001B316F">
            <w:pPr>
              <w:keepNext/>
              <w:keepLines/>
              <w:spacing w:after="0" w:line="240" w:lineRule="auto"/>
              <w:jc w:val="right"/>
              <w:rPr>
                <w:rFonts w:eastAsia="Times New Roman" w:cs="Arial"/>
                <w:position w:val="4"/>
              </w:rPr>
            </w:pPr>
          </w:p>
        </w:tc>
        <w:tc>
          <w:tcPr>
            <w:tcW w:w="627" w:type="pct"/>
            <w:vAlign w:val="bottom"/>
          </w:tcPr>
          <w:p w14:paraId="788267A3" w14:textId="77777777" w:rsidR="001B316F" w:rsidRPr="00722C53" w:rsidRDefault="001B316F" w:rsidP="001B316F">
            <w:pPr>
              <w:keepNext/>
              <w:keepLines/>
              <w:spacing w:after="0" w:line="240" w:lineRule="auto"/>
              <w:jc w:val="right"/>
              <w:rPr>
                <w:rFonts w:eastAsia="Times New Roman" w:cs="Arial"/>
                <w:position w:val="4"/>
              </w:rPr>
            </w:pPr>
          </w:p>
        </w:tc>
        <w:tc>
          <w:tcPr>
            <w:tcW w:w="627" w:type="pct"/>
            <w:vAlign w:val="bottom"/>
          </w:tcPr>
          <w:p w14:paraId="3DCEC9BB" w14:textId="77777777" w:rsidR="001B316F" w:rsidRPr="0027420F" w:rsidRDefault="001B316F" w:rsidP="001B316F">
            <w:pPr>
              <w:keepNext/>
              <w:keepLines/>
              <w:spacing w:after="0" w:line="240" w:lineRule="auto"/>
              <w:jc w:val="right"/>
              <w:rPr>
                <w:rFonts w:eastAsia="Times New Roman" w:cs="Arial"/>
                <w:position w:val="4"/>
              </w:rPr>
            </w:pPr>
          </w:p>
        </w:tc>
        <w:tc>
          <w:tcPr>
            <w:tcW w:w="626" w:type="pct"/>
            <w:vAlign w:val="bottom"/>
          </w:tcPr>
          <w:p w14:paraId="411DEBF7" w14:textId="77777777" w:rsidR="001B316F" w:rsidRPr="006B1436" w:rsidRDefault="001B316F" w:rsidP="001B316F">
            <w:pPr>
              <w:keepNext/>
              <w:keepLines/>
              <w:spacing w:after="0" w:line="240" w:lineRule="auto"/>
              <w:jc w:val="right"/>
              <w:rPr>
                <w:rFonts w:eastAsia="Times New Roman" w:cs="Arial"/>
                <w:position w:val="4"/>
              </w:rPr>
            </w:pPr>
          </w:p>
        </w:tc>
      </w:tr>
      <w:tr w:rsidR="001B316F" w:rsidRPr="00CA37C8" w14:paraId="29DDE445" w14:textId="77777777" w:rsidTr="001B316F">
        <w:trPr>
          <w:trHeight w:val="410"/>
        </w:trPr>
        <w:tc>
          <w:tcPr>
            <w:tcW w:w="2493" w:type="pct"/>
            <w:vAlign w:val="bottom"/>
          </w:tcPr>
          <w:p w14:paraId="70550FD6" w14:textId="77777777" w:rsidR="001B316F" w:rsidRPr="002A05EC" w:rsidRDefault="001B316F" w:rsidP="001B316F">
            <w:pPr>
              <w:tabs>
                <w:tab w:val="right" w:pos="1202"/>
              </w:tabs>
              <w:spacing w:after="0" w:line="240" w:lineRule="auto"/>
              <w:outlineLvl w:val="0"/>
              <w:rPr>
                <w:rFonts w:eastAsia="Times New Roman" w:cs="Arial"/>
                <w:b/>
                <w:bCs/>
              </w:rPr>
            </w:pPr>
            <w:r w:rsidRPr="00CA37C8">
              <w:rPr>
                <w:rFonts w:eastAsia="Times New Roman" w:cs="Arial"/>
                <w:bCs/>
              </w:rPr>
              <w:t>Povećanje fer vrijednosti imovine raspoložive za prodaju</w:t>
            </w:r>
          </w:p>
        </w:tc>
        <w:tc>
          <w:tcPr>
            <w:tcW w:w="627" w:type="pct"/>
            <w:tcBorders>
              <w:top w:val="nil"/>
              <w:left w:val="nil"/>
              <w:right w:val="nil"/>
            </w:tcBorders>
            <w:shd w:val="clear" w:color="auto" w:fill="auto"/>
            <w:vAlign w:val="bottom"/>
          </w:tcPr>
          <w:p w14:paraId="0A4D76F0" w14:textId="7C5BE122" w:rsidR="001B316F" w:rsidRPr="00722C53" w:rsidRDefault="00D66E1B" w:rsidP="001B316F">
            <w:pPr>
              <w:keepNext/>
              <w:keepLines/>
              <w:spacing w:after="0" w:line="240" w:lineRule="auto"/>
              <w:jc w:val="right"/>
              <w:rPr>
                <w:rFonts w:eastAsia="Times New Roman" w:cs="Arial"/>
                <w:position w:val="4"/>
              </w:rPr>
            </w:pPr>
            <w:r w:rsidRPr="00D66E1B">
              <w:rPr>
                <w:rFonts w:eastAsia="Times New Roman" w:cs="Arial"/>
                <w:position w:val="4"/>
              </w:rPr>
              <w:t>5.211</w:t>
            </w:r>
          </w:p>
        </w:tc>
        <w:tc>
          <w:tcPr>
            <w:tcW w:w="627" w:type="pct"/>
            <w:tcBorders>
              <w:top w:val="nil"/>
              <w:left w:val="nil"/>
              <w:right w:val="nil"/>
            </w:tcBorders>
            <w:shd w:val="clear" w:color="auto" w:fill="auto"/>
            <w:vAlign w:val="bottom"/>
          </w:tcPr>
          <w:p w14:paraId="58D881C5" w14:textId="0158E31C" w:rsidR="001B316F" w:rsidRPr="00722C53" w:rsidRDefault="00D66E1B" w:rsidP="001B316F">
            <w:pPr>
              <w:keepNext/>
              <w:keepLines/>
              <w:spacing w:after="0" w:line="240" w:lineRule="auto"/>
              <w:jc w:val="right"/>
              <w:rPr>
                <w:rFonts w:eastAsia="Times New Roman" w:cs="Arial"/>
                <w:position w:val="4"/>
              </w:rPr>
            </w:pPr>
            <w:r w:rsidRPr="00D66E1B">
              <w:rPr>
                <w:rFonts w:eastAsia="Times New Roman" w:cs="Arial"/>
                <w:position w:val="4"/>
              </w:rPr>
              <w:t>21.763</w:t>
            </w:r>
          </w:p>
        </w:tc>
        <w:tc>
          <w:tcPr>
            <w:tcW w:w="627" w:type="pct"/>
            <w:tcBorders>
              <w:top w:val="nil"/>
              <w:left w:val="nil"/>
              <w:bottom w:val="nil"/>
              <w:right w:val="nil"/>
            </w:tcBorders>
            <w:shd w:val="clear" w:color="auto" w:fill="auto"/>
            <w:vAlign w:val="bottom"/>
          </w:tcPr>
          <w:p w14:paraId="04F73F55" w14:textId="18A4876E" w:rsidR="001B316F" w:rsidRPr="0027420F" w:rsidRDefault="001B316F" w:rsidP="001B316F">
            <w:pPr>
              <w:keepNext/>
              <w:keepLines/>
              <w:spacing w:after="0" w:line="240" w:lineRule="auto"/>
              <w:jc w:val="right"/>
              <w:rPr>
                <w:rFonts w:eastAsia="Times New Roman" w:cs="Arial"/>
                <w:b/>
                <w:position w:val="4"/>
              </w:rPr>
            </w:pPr>
            <w:r w:rsidRPr="00722C53">
              <w:rPr>
                <w:rFonts w:eastAsia="Times New Roman" w:cs="Arial"/>
                <w:position w:val="4"/>
              </w:rPr>
              <w:t>13.908</w:t>
            </w:r>
          </w:p>
        </w:tc>
        <w:tc>
          <w:tcPr>
            <w:tcW w:w="626" w:type="pct"/>
            <w:tcBorders>
              <w:top w:val="nil"/>
              <w:left w:val="nil"/>
              <w:bottom w:val="nil"/>
              <w:right w:val="nil"/>
            </w:tcBorders>
            <w:shd w:val="clear" w:color="auto" w:fill="auto"/>
            <w:vAlign w:val="bottom"/>
          </w:tcPr>
          <w:p w14:paraId="1C454E69" w14:textId="52B5F5EE" w:rsidR="001B316F" w:rsidRPr="00ED5429" w:rsidRDefault="001B316F" w:rsidP="001B316F">
            <w:pPr>
              <w:keepNext/>
              <w:keepLines/>
              <w:spacing w:after="0" w:line="240" w:lineRule="auto"/>
              <w:jc w:val="right"/>
              <w:rPr>
                <w:rFonts w:eastAsia="Times New Roman" w:cs="Arial"/>
                <w:b/>
                <w:position w:val="4"/>
              </w:rPr>
            </w:pPr>
            <w:r w:rsidRPr="00722C53">
              <w:rPr>
                <w:rFonts w:eastAsia="Times New Roman" w:cs="Arial"/>
                <w:position w:val="4"/>
              </w:rPr>
              <w:t>32.083</w:t>
            </w:r>
          </w:p>
        </w:tc>
      </w:tr>
      <w:tr w:rsidR="001B316F" w:rsidRPr="00CA37C8" w14:paraId="76CE83F1" w14:textId="77777777" w:rsidTr="001B316F">
        <w:trPr>
          <w:trHeight w:val="470"/>
        </w:trPr>
        <w:tc>
          <w:tcPr>
            <w:tcW w:w="2493" w:type="pct"/>
            <w:vAlign w:val="bottom"/>
          </w:tcPr>
          <w:p w14:paraId="408AE18A" w14:textId="77777777" w:rsidR="001B316F" w:rsidRPr="0038422A" w:rsidRDefault="001B316F" w:rsidP="001B316F">
            <w:pPr>
              <w:tabs>
                <w:tab w:val="right" w:pos="1202"/>
              </w:tabs>
              <w:spacing w:after="0" w:line="240" w:lineRule="auto"/>
              <w:outlineLvl w:val="0"/>
              <w:rPr>
                <w:rFonts w:eastAsia="Times New Roman" w:cs="Arial"/>
                <w:bCs/>
              </w:rPr>
            </w:pPr>
            <w:r w:rsidRPr="00CA37C8">
              <w:rPr>
                <w:rFonts w:eastAsia="Times New Roman" w:cs="Arial"/>
                <w:bCs/>
              </w:rPr>
              <w:t>Smanjenje fer vrijednosti imovine raspoložive za prodaju</w:t>
            </w:r>
          </w:p>
        </w:tc>
        <w:tc>
          <w:tcPr>
            <w:tcW w:w="627" w:type="pct"/>
            <w:tcBorders>
              <w:top w:val="nil"/>
              <w:left w:val="nil"/>
              <w:right w:val="nil"/>
            </w:tcBorders>
            <w:shd w:val="clear" w:color="auto" w:fill="auto"/>
            <w:vAlign w:val="bottom"/>
          </w:tcPr>
          <w:p w14:paraId="2AFB46FF" w14:textId="3A39598B" w:rsidR="001B316F" w:rsidRPr="002B2DDF" w:rsidRDefault="00D66E1B" w:rsidP="00312975">
            <w:pPr>
              <w:keepNext/>
              <w:keepLines/>
              <w:spacing w:after="0" w:line="240" w:lineRule="auto"/>
              <w:jc w:val="right"/>
              <w:rPr>
                <w:rFonts w:eastAsia="Times New Roman" w:cs="Arial"/>
                <w:position w:val="4"/>
              </w:rPr>
            </w:pPr>
            <w:r w:rsidRPr="00D66E1B">
              <w:rPr>
                <w:rFonts w:eastAsia="Times New Roman" w:cs="Arial"/>
                <w:position w:val="4"/>
              </w:rPr>
              <w:t>(5.347)</w:t>
            </w:r>
          </w:p>
        </w:tc>
        <w:tc>
          <w:tcPr>
            <w:tcW w:w="627" w:type="pct"/>
            <w:tcBorders>
              <w:top w:val="nil"/>
              <w:left w:val="nil"/>
              <w:right w:val="nil"/>
            </w:tcBorders>
            <w:shd w:val="clear" w:color="auto" w:fill="auto"/>
            <w:vAlign w:val="bottom"/>
          </w:tcPr>
          <w:p w14:paraId="04DF72A4" w14:textId="39FD0F8E" w:rsidR="001B316F" w:rsidRPr="002B2DDF" w:rsidRDefault="00D66E1B" w:rsidP="00312975">
            <w:pPr>
              <w:keepNext/>
              <w:keepLines/>
              <w:spacing w:after="0" w:line="240" w:lineRule="auto"/>
              <w:jc w:val="right"/>
              <w:rPr>
                <w:rFonts w:eastAsia="Times New Roman" w:cs="Arial"/>
                <w:position w:val="4"/>
              </w:rPr>
            </w:pPr>
            <w:r w:rsidRPr="00D66E1B">
              <w:rPr>
                <w:rFonts w:eastAsia="Times New Roman" w:cs="Arial"/>
                <w:position w:val="4"/>
              </w:rPr>
              <w:t>(20.156)</w:t>
            </w:r>
          </w:p>
        </w:tc>
        <w:tc>
          <w:tcPr>
            <w:tcW w:w="627" w:type="pct"/>
            <w:tcBorders>
              <w:top w:val="nil"/>
              <w:left w:val="nil"/>
              <w:right w:val="nil"/>
            </w:tcBorders>
            <w:shd w:val="clear" w:color="auto" w:fill="auto"/>
            <w:vAlign w:val="bottom"/>
          </w:tcPr>
          <w:p w14:paraId="0B3DB46E" w14:textId="40B2B0C9" w:rsidR="001B316F" w:rsidRPr="00312975" w:rsidRDefault="001B316F" w:rsidP="00312975">
            <w:pPr>
              <w:keepNext/>
              <w:keepLines/>
              <w:spacing w:after="0" w:line="240" w:lineRule="auto"/>
              <w:jc w:val="right"/>
              <w:rPr>
                <w:rFonts w:eastAsia="Times New Roman" w:cs="Arial"/>
                <w:position w:val="4"/>
              </w:rPr>
            </w:pPr>
            <w:r w:rsidRPr="002B2DDF">
              <w:rPr>
                <w:rFonts w:eastAsia="Times New Roman" w:cs="Arial"/>
                <w:position w:val="4"/>
              </w:rPr>
              <w:t>(13.787)</w:t>
            </w:r>
          </w:p>
        </w:tc>
        <w:tc>
          <w:tcPr>
            <w:tcW w:w="626" w:type="pct"/>
            <w:tcBorders>
              <w:top w:val="nil"/>
              <w:left w:val="nil"/>
              <w:right w:val="nil"/>
            </w:tcBorders>
            <w:shd w:val="clear" w:color="auto" w:fill="auto"/>
            <w:vAlign w:val="bottom"/>
          </w:tcPr>
          <w:p w14:paraId="593F91F0" w14:textId="5F88F79D" w:rsidR="001B316F" w:rsidRPr="00312975" w:rsidRDefault="001B316F" w:rsidP="00312975">
            <w:pPr>
              <w:keepNext/>
              <w:keepLines/>
              <w:spacing w:after="0" w:line="240" w:lineRule="auto"/>
              <w:jc w:val="right"/>
              <w:rPr>
                <w:rFonts w:eastAsia="Times New Roman" w:cs="Arial"/>
                <w:position w:val="4"/>
              </w:rPr>
            </w:pPr>
            <w:r w:rsidRPr="002B2DDF">
              <w:rPr>
                <w:rFonts w:eastAsia="Times New Roman" w:cs="Arial"/>
                <w:position w:val="4"/>
              </w:rPr>
              <w:t>(17.063)</w:t>
            </w:r>
          </w:p>
        </w:tc>
      </w:tr>
      <w:tr w:rsidR="001B316F" w:rsidRPr="00CA37C8" w14:paraId="1F5A7AB5" w14:textId="77777777" w:rsidTr="001B316F">
        <w:trPr>
          <w:trHeight w:val="346"/>
        </w:trPr>
        <w:tc>
          <w:tcPr>
            <w:tcW w:w="2493" w:type="pct"/>
            <w:vAlign w:val="bottom"/>
          </w:tcPr>
          <w:p w14:paraId="6BA8B9FF" w14:textId="77777777" w:rsidR="001B316F" w:rsidRPr="00CA37C8" w:rsidRDefault="001B316F" w:rsidP="001B316F">
            <w:pPr>
              <w:tabs>
                <w:tab w:val="right" w:pos="1202"/>
              </w:tabs>
              <w:spacing w:after="0" w:line="240" w:lineRule="auto"/>
              <w:outlineLvl w:val="0"/>
              <w:rPr>
                <w:rFonts w:eastAsia="Times New Roman" w:cs="Arial"/>
                <w:b/>
                <w:bCs/>
              </w:rPr>
            </w:pPr>
            <w:r w:rsidRPr="00CA37C8">
              <w:rPr>
                <w:rFonts w:eastAsia="Times New Roman" w:cs="Arial"/>
                <w:bCs/>
              </w:rPr>
              <w:t>Neto tečajne razlike po vlasničkim vrijednosnim papirima</w:t>
            </w:r>
          </w:p>
        </w:tc>
        <w:tc>
          <w:tcPr>
            <w:tcW w:w="627" w:type="pct"/>
            <w:tcBorders>
              <w:top w:val="nil"/>
              <w:left w:val="nil"/>
              <w:bottom w:val="nil"/>
              <w:right w:val="nil"/>
            </w:tcBorders>
            <w:shd w:val="clear" w:color="000000" w:fill="auto"/>
            <w:vAlign w:val="bottom"/>
          </w:tcPr>
          <w:p w14:paraId="42F458CF" w14:textId="07F26D2C" w:rsidR="001B316F" w:rsidRPr="00722C53" w:rsidRDefault="00D66E1B" w:rsidP="001B316F">
            <w:pPr>
              <w:tabs>
                <w:tab w:val="right" w:pos="1202"/>
              </w:tabs>
              <w:spacing w:after="0" w:line="280" w:lineRule="exact"/>
              <w:jc w:val="right"/>
              <w:outlineLvl w:val="0"/>
              <w:rPr>
                <w:rFonts w:eastAsia="Times New Roman" w:cs="Arial"/>
                <w:bCs/>
              </w:rPr>
            </w:pPr>
            <w:r w:rsidRPr="00D66E1B">
              <w:rPr>
                <w:rFonts w:eastAsia="Times New Roman" w:cs="Arial"/>
                <w:bCs/>
              </w:rPr>
              <w:t>(109)</w:t>
            </w:r>
          </w:p>
        </w:tc>
        <w:tc>
          <w:tcPr>
            <w:tcW w:w="627" w:type="pct"/>
            <w:tcBorders>
              <w:top w:val="nil"/>
              <w:left w:val="nil"/>
              <w:bottom w:val="nil"/>
              <w:right w:val="nil"/>
            </w:tcBorders>
            <w:shd w:val="clear" w:color="000000" w:fill="auto"/>
            <w:vAlign w:val="bottom"/>
          </w:tcPr>
          <w:p w14:paraId="32FFC9B4" w14:textId="247E2B46" w:rsidR="001B316F" w:rsidRPr="00722C53" w:rsidRDefault="00D66E1B" w:rsidP="001B316F">
            <w:pPr>
              <w:tabs>
                <w:tab w:val="right" w:pos="1202"/>
              </w:tabs>
              <w:spacing w:after="0" w:line="280" w:lineRule="exact"/>
              <w:jc w:val="right"/>
              <w:outlineLvl w:val="0"/>
              <w:rPr>
                <w:rFonts w:eastAsia="Times New Roman" w:cs="Arial"/>
                <w:bCs/>
              </w:rPr>
            </w:pPr>
            <w:r w:rsidRPr="00D66E1B">
              <w:rPr>
                <w:rFonts w:eastAsia="Times New Roman" w:cs="Arial"/>
                <w:bCs/>
              </w:rPr>
              <w:t>(517)</w:t>
            </w:r>
          </w:p>
        </w:tc>
        <w:tc>
          <w:tcPr>
            <w:tcW w:w="627" w:type="pct"/>
            <w:tcBorders>
              <w:top w:val="nil"/>
              <w:left w:val="nil"/>
              <w:bottom w:val="nil"/>
              <w:right w:val="nil"/>
            </w:tcBorders>
            <w:shd w:val="clear" w:color="000000" w:fill="auto"/>
            <w:vAlign w:val="bottom"/>
          </w:tcPr>
          <w:p w14:paraId="19E9C354" w14:textId="4AD18C49" w:rsidR="001B316F" w:rsidRPr="00312975" w:rsidRDefault="001B316F" w:rsidP="001B316F">
            <w:pPr>
              <w:tabs>
                <w:tab w:val="right" w:pos="1202"/>
              </w:tabs>
              <w:spacing w:after="0" w:line="280" w:lineRule="exact"/>
              <w:jc w:val="right"/>
              <w:outlineLvl w:val="0"/>
              <w:rPr>
                <w:rFonts w:eastAsia="Times New Roman" w:cs="Arial"/>
                <w:bCs/>
              </w:rPr>
            </w:pPr>
            <w:r w:rsidRPr="00722C53">
              <w:rPr>
                <w:rFonts w:eastAsia="Times New Roman" w:cs="Arial"/>
                <w:bCs/>
              </w:rPr>
              <w:t>(31)</w:t>
            </w:r>
          </w:p>
        </w:tc>
        <w:tc>
          <w:tcPr>
            <w:tcW w:w="626" w:type="pct"/>
            <w:tcBorders>
              <w:top w:val="nil"/>
              <w:left w:val="nil"/>
              <w:bottom w:val="nil"/>
              <w:right w:val="nil"/>
            </w:tcBorders>
            <w:shd w:val="clear" w:color="000000" w:fill="auto"/>
            <w:vAlign w:val="bottom"/>
          </w:tcPr>
          <w:p w14:paraId="37F72530" w14:textId="5F70422E" w:rsidR="001B316F" w:rsidRPr="00CA37C8" w:rsidRDefault="001B316F" w:rsidP="001B316F">
            <w:pPr>
              <w:tabs>
                <w:tab w:val="right" w:pos="1202"/>
              </w:tabs>
              <w:spacing w:after="0" w:line="280" w:lineRule="exact"/>
              <w:jc w:val="right"/>
              <w:outlineLvl w:val="0"/>
              <w:rPr>
                <w:rFonts w:eastAsia="Times New Roman" w:cs="Arial"/>
                <w:b/>
                <w:bCs/>
              </w:rPr>
            </w:pPr>
            <w:r w:rsidRPr="00722C53">
              <w:rPr>
                <w:rFonts w:eastAsia="Times New Roman" w:cs="Arial"/>
                <w:bCs/>
              </w:rPr>
              <w:t>(387)</w:t>
            </w:r>
          </w:p>
        </w:tc>
      </w:tr>
      <w:tr w:rsidR="001B316F" w:rsidRPr="00CA37C8" w14:paraId="4CD217EF" w14:textId="77777777" w:rsidTr="001B316F">
        <w:trPr>
          <w:trHeight w:val="346"/>
        </w:trPr>
        <w:tc>
          <w:tcPr>
            <w:tcW w:w="2493" w:type="pct"/>
            <w:vAlign w:val="bottom"/>
          </w:tcPr>
          <w:p w14:paraId="6D22242E" w14:textId="77777777" w:rsidR="001B316F" w:rsidRPr="00CA37C8" w:rsidRDefault="001B316F" w:rsidP="001B316F">
            <w:pPr>
              <w:tabs>
                <w:tab w:val="right" w:pos="1202"/>
              </w:tabs>
              <w:spacing w:after="0" w:line="240" w:lineRule="auto"/>
              <w:outlineLvl w:val="0"/>
              <w:rPr>
                <w:rFonts w:eastAsia="Times New Roman" w:cs="Arial"/>
                <w:bCs/>
              </w:rPr>
            </w:pPr>
            <w:r w:rsidRPr="00CA37C8">
              <w:rPr>
                <w:rFonts w:eastAsia="Times New Roman" w:cs="Arial"/>
                <w:bCs/>
              </w:rPr>
              <w:t>Prijenos realizirane dobiti po imovini raspoloživoj za prodaju u izvještaj o dobiti i gubitku</w:t>
            </w:r>
          </w:p>
        </w:tc>
        <w:tc>
          <w:tcPr>
            <w:tcW w:w="627" w:type="pct"/>
            <w:tcBorders>
              <w:top w:val="nil"/>
              <w:left w:val="nil"/>
              <w:bottom w:val="nil"/>
              <w:right w:val="nil"/>
            </w:tcBorders>
            <w:shd w:val="clear" w:color="auto" w:fill="auto"/>
            <w:vAlign w:val="bottom"/>
          </w:tcPr>
          <w:p w14:paraId="51D2DBEA" w14:textId="5177483D" w:rsidR="001B316F" w:rsidRPr="00722C53" w:rsidRDefault="00D66E1B" w:rsidP="001B316F">
            <w:pPr>
              <w:tabs>
                <w:tab w:val="right" w:pos="1202"/>
              </w:tabs>
              <w:spacing w:after="0" w:line="280" w:lineRule="exact"/>
              <w:jc w:val="right"/>
              <w:outlineLvl w:val="0"/>
              <w:rPr>
                <w:rFonts w:eastAsia="Times New Roman" w:cs="Arial"/>
                <w:bCs/>
              </w:rPr>
            </w:pPr>
            <w:r w:rsidRPr="00D66E1B">
              <w:rPr>
                <w:rFonts w:eastAsia="Times New Roman" w:cs="Arial"/>
                <w:bCs/>
              </w:rPr>
              <w:t>(8.115)</w:t>
            </w:r>
          </w:p>
        </w:tc>
        <w:tc>
          <w:tcPr>
            <w:tcW w:w="627" w:type="pct"/>
            <w:tcBorders>
              <w:top w:val="nil"/>
              <w:left w:val="nil"/>
              <w:bottom w:val="nil"/>
              <w:right w:val="nil"/>
            </w:tcBorders>
            <w:shd w:val="clear" w:color="auto" w:fill="auto"/>
            <w:vAlign w:val="bottom"/>
          </w:tcPr>
          <w:p w14:paraId="214B8CBB" w14:textId="2A032EA7" w:rsidR="001B316F" w:rsidRPr="002B2DDF" w:rsidRDefault="00D66E1B" w:rsidP="001B316F">
            <w:pPr>
              <w:tabs>
                <w:tab w:val="right" w:pos="1202"/>
              </w:tabs>
              <w:spacing w:after="0" w:line="280" w:lineRule="exact"/>
              <w:jc w:val="right"/>
              <w:outlineLvl w:val="0"/>
              <w:rPr>
                <w:rFonts w:cs="Calibri"/>
                <w:bCs/>
              </w:rPr>
            </w:pPr>
            <w:r w:rsidRPr="00D66E1B">
              <w:rPr>
                <w:rFonts w:cs="Calibri"/>
                <w:bCs/>
              </w:rPr>
              <w:t>(8.116)</w:t>
            </w:r>
          </w:p>
        </w:tc>
        <w:tc>
          <w:tcPr>
            <w:tcW w:w="627" w:type="pct"/>
            <w:tcBorders>
              <w:top w:val="nil"/>
              <w:left w:val="nil"/>
              <w:bottom w:val="nil"/>
              <w:right w:val="nil"/>
            </w:tcBorders>
            <w:shd w:val="clear" w:color="auto" w:fill="auto"/>
            <w:vAlign w:val="bottom"/>
          </w:tcPr>
          <w:p w14:paraId="6A62AAE9" w14:textId="7222940F" w:rsidR="001B316F" w:rsidRPr="00CC4C64" w:rsidRDefault="001B316F" w:rsidP="001B316F">
            <w:pPr>
              <w:tabs>
                <w:tab w:val="right" w:pos="1202"/>
              </w:tabs>
              <w:spacing w:after="0" w:line="280" w:lineRule="exact"/>
              <w:jc w:val="right"/>
              <w:outlineLvl w:val="0"/>
              <w:rPr>
                <w:rFonts w:eastAsia="Times New Roman" w:cs="Arial"/>
                <w:bCs/>
              </w:rPr>
            </w:pPr>
            <w:r w:rsidRPr="00722C53">
              <w:rPr>
                <w:rFonts w:eastAsia="Times New Roman" w:cs="Arial"/>
                <w:bCs/>
              </w:rPr>
              <w:t>(184)</w:t>
            </w:r>
          </w:p>
        </w:tc>
        <w:tc>
          <w:tcPr>
            <w:tcW w:w="626" w:type="pct"/>
            <w:tcBorders>
              <w:top w:val="nil"/>
              <w:left w:val="nil"/>
              <w:bottom w:val="nil"/>
              <w:right w:val="nil"/>
            </w:tcBorders>
            <w:shd w:val="clear" w:color="auto" w:fill="auto"/>
            <w:vAlign w:val="bottom"/>
          </w:tcPr>
          <w:p w14:paraId="6643A9B3" w14:textId="40439425" w:rsidR="001B316F" w:rsidRPr="00D65861" w:rsidRDefault="001B316F" w:rsidP="001B316F">
            <w:pPr>
              <w:tabs>
                <w:tab w:val="right" w:pos="1202"/>
              </w:tabs>
              <w:spacing w:after="0" w:line="280" w:lineRule="exact"/>
              <w:jc w:val="right"/>
              <w:outlineLvl w:val="0"/>
              <w:rPr>
                <w:rFonts w:ascii="Calibri" w:hAnsi="Calibri" w:cs="Calibri"/>
                <w:bCs/>
              </w:rPr>
            </w:pPr>
            <w:r w:rsidRPr="002B2DDF">
              <w:rPr>
                <w:rFonts w:cs="Calibri"/>
                <w:bCs/>
              </w:rPr>
              <w:t>(254)</w:t>
            </w:r>
          </w:p>
        </w:tc>
      </w:tr>
      <w:tr w:rsidR="00D66E1B" w:rsidRPr="00CA37C8" w14:paraId="0D5B3B14" w14:textId="77777777" w:rsidTr="001B316F">
        <w:trPr>
          <w:trHeight w:val="346"/>
        </w:trPr>
        <w:tc>
          <w:tcPr>
            <w:tcW w:w="2493" w:type="pct"/>
            <w:vAlign w:val="bottom"/>
          </w:tcPr>
          <w:p w14:paraId="381DDE64" w14:textId="76AB612A" w:rsidR="00D66E1B" w:rsidRPr="00CA37C8" w:rsidRDefault="00D66E1B" w:rsidP="001B316F">
            <w:pPr>
              <w:tabs>
                <w:tab w:val="right" w:pos="1202"/>
              </w:tabs>
              <w:spacing w:after="0" w:line="240" w:lineRule="auto"/>
              <w:outlineLvl w:val="0"/>
              <w:rPr>
                <w:rFonts w:eastAsia="Times New Roman" w:cs="Arial"/>
                <w:bCs/>
              </w:rPr>
            </w:pPr>
            <w:r w:rsidRPr="00D66E1B">
              <w:rPr>
                <w:rFonts w:eastAsia="Times New Roman" w:cs="Arial"/>
                <w:bCs/>
              </w:rPr>
              <w:t>Prijenos realiziranog gubitka po imovini raspoloživoj za prodaju u izvještaj o dobiti i gubitku</w:t>
            </w:r>
          </w:p>
        </w:tc>
        <w:tc>
          <w:tcPr>
            <w:tcW w:w="627" w:type="pct"/>
            <w:tcBorders>
              <w:top w:val="nil"/>
              <w:left w:val="nil"/>
              <w:bottom w:val="nil"/>
              <w:right w:val="nil"/>
            </w:tcBorders>
            <w:shd w:val="clear" w:color="auto" w:fill="auto"/>
            <w:vAlign w:val="bottom"/>
          </w:tcPr>
          <w:p w14:paraId="6CE9695C" w14:textId="780E8962" w:rsidR="00D66E1B" w:rsidRPr="00D66E1B" w:rsidRDefault="005C11EE" w:rsidP="001B316F">
            <w:pPr>
              <w:tabs>
                <w:tab w:val="right" w:pos="1202"/>
              </w:tabs>
              <w:spacing w:after="0" w:line="280" w:lineRule="exact"/>
              <w:jc w:val="right"/>
              <w:outlineLvl w:val="0"/>
              <w:rPr>
                <w:rFonts w:eastAsia="Times New Roman" w:cs="Arial"/>
                <w:bCs/>
              </w:rPr>
            </w:pPr>
            <w:r>
              <w:rPr>
                <w:rFonts w:eastAsia="Times New Roman" w:cs="Arial"/>
                <w:bCs/>
              </w:rPr>
              <w:t>6.499</w:t>
            </w:r>
          </w:p>
        </w:tc>
        <w:tc>
          <w:tcPr>
            <w:tcW w:w="627" w:type="pct"/>
            <w:tcBorders>
              <w:top w:val="nil"/>
              <w:left w:val="nil"/>
              <w:bottom w:val="nil"/>
              <w:right w:val="nil"/>
            </w:tcBorders>
            <w:shd w:val="clear" w:color="auto" w:fill="auto"/>
            <w:vAlign w:val="bottom"/>
          </w:tcPr>
          <w:p w14:paraId="517BCFC1" w14:textId="35B6B510" w:rsidR="00D66E1B" w:rsidRPr="00D66E1B" w:rsidRDefault="00D66E1B" w:rsidP="001B316F">
            <w:pPr>
              <w:tabs>
                <w:tab w:val="right" w:pos="1202"/>
              </w:tabs>
              <w:spacing w:after="0" w:line="280" w:lineRule="exact"/>
              <w:jc w:val="right"/>
              <w:outlineLvl w:val="0"/>
              <w:rPr>
                <w:rFonts w:cs="Calibri"/>
                <w:bCs/>
              </w:rPr>
            </w:pPr>
            <w:r w:rsidRPr="00D66E1B">
              <w:rPr>
                <w:rFonts w:cs="Calibri"/>
                <w:bCs/>
              </w:rPr>
              <w:t>6.505</w:t>
            </w:r>
          </w:p>
        </w:tc>
        <w:tc>
          <w:tcPr>
            <w:tcW w:w="627" w:type="pct"/>
            <w:tcBorders>
              <w:top w:val="nil"/>
              <w:left w:val="nil"/>
              <w:bottom w:val="nil"/>
              <w:right w:val="nil"/>
            </w:tcBorders>
            <w:shd w:val="clear" w:color="auto" w:fill="auto"/>
            <w:vAlign w:val="bottom"/>
          </w:tcPr>
          <w:p w14:paraId="15DDF728" w14:textId="7FF63392" w:rsidR="00D66E1B" w:rsidRPr="00722C53" w:rsidRDefault="00D66E1B" w:rsidP="001B316F">
            <w:pPr>
              <w:tabs>
                <w:tab w:val="right" w:pos="1202"/>
              </w:tabs>
              <w:spacing w:after="0" w:line="280" w:lineRule="exact"/>
              <w:jc w:val="right"/>
              <w:outlineLvl w:val="0"/>
              <w:rPr>
                <w:rFonts w:eastAsia="Times New Roman" w:cs="Arial"/>
                <w:bCs/>
              </w:rPr>
            </w:pPr>
            <w:r>
              <w:rPr>
                <w:rFonts w:eastAsia="Times New Roman" w:cs="Arial"/>
                <w:bCs/>
              </w:rPr>
              <w:t>-</w:t>
            </w:r>
          </w:p>
        </w:tc>
        <w:tc>
          <w:tcPr>
            <w:tcW w:w="626" w:type="pct"/>
            <w:tcBorders>
              <w:top w:val="nil"/>
              <w:left w:val="nil"/>
              <w:bottom w:val="nil"/>
              <w:right w:val="nil"/>
            </w:tcBorders>
            <w:shd w:val="clear" w:color="auto" w:fill="auto"/>
            <w:vAlign w:val="bottom"/>
          </w:tcPr>
          <w:p w14:paraId="7F5F7D6A" w14:textId="232568EB" w:rsidR="00D66E1B" w:rsidRPr="002B2DDF" w:rsidRDefault="00D66E1B" w:rsidP="001B316F">
            <w:pPr>
              <w:tabs>
                <w:tab w:val="right" w:pos="1202"/>
              </w:tabs>
              <w:spacing w:after="0" w:line="280" w:lineRule="exact"/>
              <w:jc w:val="right"/>
              <w:outlineLvl w:val="0"/>
              <w:rPr>
                <w:rFonts w:cs="Calibri"/>
                <w:bCs/>
              </w:rPr>
            </w:pPr>
            <w:r>
              <w:rPr>
                <w:rFonts w:cs="Calibri"/>
                <w:bCs/>
              </w:rPr>
              <w:t>-</w:t>
            </w:r>
          </w:p>
        </w:tc>
      </w:tr>
      <w:tr w:rsidR="001B316F" w:rsidRPr="00CA37C8" w14:paraId="7CC1F382" w14:textId="77777777" w:rsidTr="00312975">
        <w:trPr>
          <w:trHeight w:val="207"/>
        </w:trPr>
        <w:tc>
          <w:tcPr>
            <w:tcW w:w="2493" w:type="pct"/>
            <w:vAlign w:val="bottom"/>
          </w:tcPr>
          <w:p w14:paraId="32ED18D9" w14:textId="77777777" w:rsidR="001B316F" w:rsidRPr="00CA37C8" w:rsidRDefault="001B316F" w:rsidP="001B316F">
            <w:pPr>
              <w:tabs>
                <w:tab w:val="right" w:pos="1202"/>
              </w:tabs>
              <w:spacing w:after="0" w:line="240" w:lineRule="auto"/>
              <w:outlineLvl w:val="0"/>
              <w:rPr>
                <w:rFonts w:eastAsia="Times New Roman" w:cs="Arial"/>
                <w:bCs/>
              </w:rPr>
            </w:pPr>
            <w:r w:rsidRPr="00CA37C8">
              <w:rPr>
                <w:rFonts w:eastAsia="Times New Roman" w:cs="Arial"/>
                <w:bCs/>
              </w:rPr>
              <w:t>Odgođeni porez – ostala sveobuhvatna dobit</w:t>
            </w:r>
          </w:p>
        </w:tc>
        <w:tc>
          <w:tcPr>
            <w:tcW w:w="627" w:type="pct"/>
            <w:tcBorders>
              <w:top w:val="nil"/>
              <w:left w:val="nil"/>
              <w:bottom w:val="nil"/>
              <w:right w:val="nil"/>
            </w:tcBorders>
            <w:shd w:val="clear" w:color="auto" w:fill="auto"/>
            <w:vAlign w:val="bottom"/>
          </w:tcPr>
          <w:p w14:paraId="4CDEFB52" w14:textId="18D9F89F" w:rsidR="001B316F" w:rsidRPr="002B2DDF" w:rsidRDefault="00D66E1B" w:rsidP="001B316F">
            <w:pPr>
              <w:tabs>
                <w:tab w:val="right" w:pos="1202"/>
              </w:tabs>
              <w:spacing w:after="0" w:line="280" w:lineRule="exact"/>
              <w:jc w:val="right"/>
              <w:outlineLvl w:val="0"/>
              <w:rPr>
                <w:color w:val="000000"/>
              </w:rPr>
            </w:pPr>
            <w:r w:rsidRPr="00D66E1B">
              <w:rPr>
                <w:color w:val="000000"/>
              </w:rPr>
              <w:t>(24)</w:t>
            </w:r>
          </w:p>
        </w:tc>
        <w:tc>
          <w:tcPr>
            <w:tcW w:w="627" w:type="pct"/>
            <w:tcBorders>
              <w:top w:val="nil"/>
              <w:left w:val="nil"/>
              <w:bottom w:val="nil"/>
              <w:right w:val="nil"/>
            </w:tcBorders>
            <w:shd w:val="clear" w:color="auto" w:fill="auto"/>
            <w:vAlign w:val="bottom"/>
          </w:tcPr>
          <w:p w14:paraId="215C655D" w14:textId="3BE1720F" w:rsidR="001B316F" w:rsidRPr="002B2DDF" w:rsidRDefault="006C4DC1" w:rsidP="001B316F">
            <w:pPr>
              <w:tabs>
                <w:tab w:val="right" w:pos="1202"/>
              </w:tabs>
              <w:spacing w:after="0" w:line="280" w:lineRule="exact"/>
              <w:jc w:val="right"/>
              <w:outlineLvl w:val="0"/>
              <w:rPr>
                <w:color w:val="000000"/>
              </w:rPr>
            </w:pPr>
            <w:r>
              <w:rPr>
                <w:color w:val="000000"/>
              </w:rPr>
              <w:t>(25)</w:t>
            </w:r>
          </w:p>
        </w:tc>
        <w:tc>
          <w:tcPr>
            <w:tcW w:w="627" w:type="pct"/>
            <w:tcBorders>
              <w:top w:val="nil"/>
              <w:left w:val="nil"/>
              <w:bottom w:val="nil"/>
              <w:right w:val="nil"/>
            </w:tcBorders>
            <w:shd w:val="clear" w:color="auto" w:fill="auto"/>
            <w:vAlign w:val="bottom"/>
          </w:tcPr>
          <w:p w14:paraId="70A95BD3" w14:textId="6F3D362A" w:rsidR="001B316F" w:rsidRPr="00F1130C" w:rsidRDefault="001B316F" w:rsidP="001B316F">
            <w:pPr>
              <w:tabs>
                <w:tab w:val="right" w:pos="1202"/>
              </w:tabs>
              <w:spacing w:after="0" w:line="280" w:lineRule="exact"/>
              <w:jc w:val="right"/>
              <w:outlineLvl w:val="0"/>
              <w:rPr>
                <w:rFonts w:ascii="Calibri" w:hAnsi="Calibri"/>
                <w:color w:val="000000"/>
              </w:rPr>
            </w:pPr>
            <w:r w:rsidRPr="002B2DDF">
              <w:rPr>
                <w:color w:val="000000"/>
              </w:rPr>
              <w:t>14</w:t>
            </w:r>
          </w:p>
        </w:tc>
        <w:tc>
          <w:tcPr>
            <w:tcW w:w="626" w:type="pct"/>
            <w:tcBorders>
              <w:top w:val="nil"/>
              <w:left w:val="nil"/>
              <w:bottom w:val="nil"/>
              <w:right w:val="nil"/>
            </w:tcBorders>
            <w:shd w:val="clear" w:color="auto" w:fill="auto"/>
            <w:vAlign w:val="bottom"/>
          </w:tcPr>
          <w:p w14:paraId="2C34B2F4" w14:textId="1E8C787F" w:rsidR="001B316F" w:rsidRPr="00F1130C" w:rsidRDefault="001B316F" w:rsidP="001B316F">
            <w:pPr>
              <w:tabs>
                <w:tab w:val="right" w:pos="1202"/>
              </w:tabs>
              <w:spacing w:after="0" w:line="280" w:lineRule="exact"/>
              <w:jc w:val="right"/>
              <w:outlineLvl w:val="0"/>
              <w:rPr>
                <w:rFonts w:ascii="Calibri" w:hAnsi="Calibri"/>
                <w:color w:val="000000"/>
              </w:rPr>
            </w:pPr>
            <w:r w:rsidRPr="002B2DDF">
              <w:rPr>
                <w:color w:val="000000"/>
              </w:rPr>
              <w:t>(107)</w:t>
            </w:r>
          </w:p>
        </w:tc>
      </w:tr>
      <w:tr w:rsidR="001B316F" w:rsidRPr="00CA37C8" w14:paraId="34E96309" w14:textId="77777777" w:rsidTr="001B316F">
        <w:trPr>
          <w:trHeight w:val="578"/>
        </w:trPr>
        <w:tc>
          <w:tcPr>
            <w:tcW w:w="2493" w:type="pct"/>
            <w:vAlign w:val="bottom"/>
          </w:tcPr>
          <w:p w14:paraId="37A7BD42" w14:textId="77777777" w:rsidR="001B316F" w:rsidRPr="00CA37C8" w:rsidRDefault="001B316F" w:rsidP="001B316F">
            <w:pPr>
              <w:tabs>
                <w:tab w:val="right" w:pos="1202"/>
              </w:tabs>
              <w:spacing w:after="0" w:line="240" w:lineRule="auto"/>
              <w:outlineLvl w:val="0"/>
              <w:rPr>
                <w:rFonts w:eastAsia="Times New Roman" w:cs="Arial"/>
                <w:bCs/>
              </w:rPr>
            </w:pPr>
            <w:r>
              <w:rPr>
                <w:rFonts w:eastAsia="Times New Roman" w:cs="Arial"/>
                <w:b/>
                <w:bCs/>
              </w:rPr>
              <w:t>Ukupno stavke koje se kasnije mogu uračunati u dobit ili gubitak</w:t>
            </w:r>
          </w:p>
        </w:tc>
        <w:tc>
          <w:tcPr>
            <w:tcW w:w="627" w:type="pct"/>
            <w:tcBorders>
              <w:top w:val="single" w:sz="4" w:space="0" w:color="auto"/>
              <w:left w:val="nil"/>
              <w:bottom w:val="single" w:sz="8" w:space="0" w:color="auto"/>
              <w:right w:val="nil"/>
            </w:tcBorders>
            <w:shd w:val="clear" w:color="auto" w:fill="auto"/>
            <w:vAlign w:val="bottom"/>
          </w:tcPr>
          <w:p w14:paraId="391470B5" w14:textId="60B97687" w:rsidR="001B316F" w:rsidRPr="002B2DDF" w:rsidRDefault="00D66E1B">
            <w:pPr>
              <w:tabs>
                <w:tab w:val="right" w:pos="1202"/>
              </w:tabs>
              <w:spacing w:after="0" w:line="280" w:lineRule="exact"/>
              <w:jc w:val="right"/>
              <w:outlineLvl w:val="0"/>
              <w:rPr>
                <w:rFonts w:eastAsia="Times New Roman" w:cs="Arial"/>
                <w:b/>
                <w:bCs/>
              </w:rPr>
            </w:pPr>
            <w:r w:rsidRPr="00D66E1B">
              <w:rPr>
                <w:rFonts w:eastAsia="Times New Roman" w:cs="Arial"/>
                <w:b/>
                <w:bCs/>
              </w:rPr>
              <w:t>(</w:t>
            </w:r>
            <w:r w:rsidR="005C11EE">
              <w:rPr>
                <w:rFonts w:eastAsia="Times New Roman" w:cs="Arial"/>
                <w:b/>
                <w:bCs/>
              </w:rPr>
              <w:t>1.885</w:t>
            </w:r>
            <w:r w:rsidRPr="00D66E1B">
              <w:rPr>
                <w:rFonts w:eastAsia="Times New Roman" w:cs="Arial"/>
                <w:b/>
                <w:bCs/>
              </w:rPr>
              <w:t>)</w:t>
            </w:r>
          </w:p>
        </w:tc>
        <w:tc>
          <w:tcPr>
            <w:tcW w:w="627" w:type="pct"/>
            <w:tcBorders>
              <w:top w:val="single" w:sz="4" w:space="0" w:color="auto"/>
              <w:left w:val="nil"/>
              <w:bottom w:val="single" w:sz="8" w:space="0" w:color="auto"/>
              <w:right w:val="nil"/>
            </w:tcBorders>
            <w:shd w:val="clear" w:color="auto" w:fill="auto"/>
            <w:vAlign w:val="bottom"/>
          </w:tcPr>
          <w:p w14:paraId="6034A086" w14:textId="3FD93F8A" w:rsidR="001B316F" w:rsidRPr="002B2DDF" w:rsidRDefault="00D66E1B" w:rsidP="001B316F">
            <w:pPr>
              <w:tabs>
                <w:tab w:val="right" w:pos="1202"/>
              </w:tabs>
              <w:spacing w:after="0" w:line="280" w:lineRule="exact"/>
              <w:jc w:val="right"/>
              <w:outlineLvl w:val="0"/>
              <w:rPr>
                <w:rFonts w:cs="Calibri"/>
                <w:b/>
                <w:bCs/>
              </w:rPr>
            </w:pPr>
            <w:r w:rsidRPr="00D66E1B">
              <w:rPr>
                <w:rFonts w:cs="Calibri"/>
                <w:b/>
                <w:bCs/>
              </w:rPr>
              <w:t>(546)</w:t>
            </w:r>
          </w:p>
        </w:tc>
        <w:tc>
          <w:tcPr>
            <w:tcW w:w="627" w:type="pct"/>
            <w:tcBorders>
              <w:top w:val="single" w:sz="4" w:space="0" w:color="auto"/>
              <w:left w:val="nil"/>
              <w:bottom w:val="single" w:sz="8" w:space="0" w:color="auto"/>
              <w:right w:val="nil"/>
            </w:tcBorders>
            <w:shd w:val="clear" w:color="auto" w:fill="auto"/>
            <w:vAlign w:val="bottom"/>
          </w:tcPr>
          <w:p w14:paraId="5DFF2D8A" w14:textId="1715DE5E" w:rsidR="001B316F" w:rsidRPr="00CC4C64" w:rsidRDefault="001B316F" w:rsidP="001B316F">
            <w:pPr>
              <w:tabs>
                <w:tab w:val="right" w:pos="1202"/>
              </w:tabs>
              <w:spacing w:after="0" w:line="280" w:lineRule="exact"/>
              <w:jc w:val="right"/>
              <w:outlineLvl w:val="0"/>
              <w:rPr>
                <w:rFonts w:eastAsia="Times New Roman" w:cs="Arial"/>
                <w:bCs/>
              </w:rPr>
            </w:pPr>
            <w:r w:rsidRPr="002B2DDF">
              <w:rPr>
                <w:rFonts w:eastAsia="Times New Roman" w:cs="Arial"/>
                <w:b/>
                <w:bCs/>
              </w:rPr>
              <w:t>(80)</w:t>
            </w:r>
          </w:p>
        </w:tc>
        <w:tc>
          <w:tcPr>
            <w:tcW w:w="626" w:type="pct"/>
            <w:tcBorders>
              <w:top w:val="single" w:sz="4" w:space="0" w:color="auto"/>
              <w:left w:val="nil"/>
              <w:bottom w:val="single" w:sz="8" w:space="0" w:color="auto"/>
              <w:right w:val="nil"/>
            </w:tcBorders>
            <w:shd w:val="clear" w:color="auto" w:fill="auto"/>
            <w:vAlign w:val="bottom"/>
          </w:tcPr>
          <w:p w14:paraId="2182E073" w14:textId="54936120" w:rsidR="001B316F" w:rsidRPr="00D65861" w:rsidRDefault="001B316F" w:rsidP="001B316F">
            <w:pPr>
              <w:tabs>
                <w:tab w:val="right" w:pos="1202"/>
              </w:tabs>
              <w:spacing w:after="0" w:line="280" w:lineRule="exact"/>
              <w:jc w:val="right"/>
              <w:outlineLvl w:val="0"/>
              <w:rPr>
                <w:rFonts w:ascii="Calibri" w:hAnsi="Calibri" w:cs="Calibri"/>
                <w:bCs/>
              </w:rPr>
            </w:pPr>
            <w:r w:rsidRPr="002B2DDF">
              <w:rPr>
                <w:rFonts w:cs="Calibri"/>
                <w:b/>
                <w:bCs/>
              </w:rPr>
              <w:t>14.272</w:t>
            </w:r>
          </w:p>
        </w:tc>
      </w:tr>
      <w:tr w:rsidR="001B316F" w:rsidRPr="00CA37C8" w14:paraId="50780E92" w14:textId="77777777" w:rsidTr="001B316F">
        <w:trPr>
          <w:trHeight w:val="50"/>
        </w:trPr>
        <w:tc>
          <w:tcPr>
            <w:tcW w:w="2493" w:type="pct"/>
            <w:vAlign w:val="bottom"/>
          </w:tcPr>
          <w:p w14:paraId="78892024" w14:textId="77777777" w:rsidR="001B316F" w:rsidRPr="0027420F" w:rsidRDefault="001B316F" w:rsidP="001B316F">
            <w:pPr>
              <w:tabs>
                <w:tab w:val="right" w:pos="1202"/>
              </w:tabs>
              <w:spacing w:after="0" w:line="280" w:lineRule="exact"/>
              <w:outlineLvl w:val="0"/>
              <w:rPr>
                <w:rFonts w:eastAsia="Times New Roman" w:cs="Arial"/>
                <w:bCs/>
              </w:rPr>
            </w:pPr>
          </w:p>
        </w:tc>
        <w:tc>
          <w:tcPr>
            <w:tcW w:w="627" w:type="pct"/>
            <w:tcBorders>
              <w:top w:val="single" w:sz="12" w:space="0" w:color="auto"/>
            </w:tcBorders>
            <w:vAlign w:val="bottom"/>
          </w:tcPr>
          <w:p w14:paraId="3FA2F70B" w14:textId="77777777" w:rsidR="001B316F" w:rsidRPr="00722C53" w:rsidRDefault="001B316F" w:rsidP="001B316F">
            <w:pPr>
              <w:tabs>
                <w:tab w:val="right" w:pos="1202"/>
              </w:tabs>
              <w:spacing w:after="0" w:line="280" w:lineRule="exact"/>
              <w:jc w:val="right"/>
              <w:outlineLvl w:val="0"/>
              <w:rPr>
                <w:rFonts w:eastAsia="Times New Roman" w:cs="Arial"/>
                <w:bCs/>
              </w:rPr>
            </w:pPr>
          </w:p>
        </w:tc>
        <w:tc>
          <w:tcPr>
            <w:tcW w:w="627" w:type="pct"/>
            <w:tcBorders>
              <w:top w:val="single" w:sz="12" w:space="0" w:color="auto"/>
            </w:tcBorders>
            <w:vAlign w:val="bottom"/>
          </w:tcPr>
          <w:p w14:paraId="69EC4579" w14:textId="77777777" w:rsidR="001B316F" w:rsidRPr="002B2DDF" w:rsidRDefault="001B316F" w:rsidP="001B316F">
            <w:pPr>
              <w:tabs>
                <w:tab w:val="right" w:pos="1202"/>
              </w:tabs>
              <w:spacing w:after="0" w:line="280" w:lineRule="exact"/>
              <w:jc w:val="right"/>
              <w:outlineLvl w:val="0"/>
              <w:rPr>
                <w:rFonts w:cs="Calibri"/>
                <w:bCs/>
              </w:rPr>
            </w:pPr>
          </w:p>
        </w:tc>
        <w:tc>
          <w:tcPr>
            <w:tcW w:w="627" w:type="pct"/>
            <w:tcBorders>
              <w:top w:val="single" w:sz="12" w:space="0" w:color="auto"/>
            </w:tcBorders>
            <w:vAlign w:val="bottom"/>
          </w:tcPr>
          <w:p w14:paraId="2832230D" w14:textId="77777777" w:rsidR="001B316F" w:rsidRPr="00CC4C64" w:rsidRDefault="001B316F" w:rsidP="001B316F">
            <w:pPr>
              <w:tabs>
                <w:tab w:val="right" w:pos="1202"/>
              </w:tabs>
              <w:spacing w:after="0" w:line="280" w:lineRule="exact"/>
              <w:jc w:val="right"/>
              <w:outlineLvl w:val="0"/>
              <w:rPr>
                <w:rFonts w:eastAsia="Times New Roman" w:cs="Arial"/>
                <w:bCs/>
              </w:rPr>
            </w:pPr>
          </w:p>
        </w:tc>
        <w:tc>
          <w:tcPr>
            <w:tcW w:w="626" w:type="pct"/>
            <w:tcBorders>
              <w:top w:val="single" w:sz="12" w:space="0" w:color="auto"/>
            </w:tcBorders>
            <w:vAlign w:val="bottom"/>
          </w:tcPr>
          <w:p w14:paraId="26777960" w14:textId="77777777" w:rsidR="001B316F" w:rsidRPr="00D65861" w:rsidRDefault="001B316F" w:rsidP="001B316F">
            <w:pPr>
              <w:tabs>
                <w:tab w:val="right" w:pos="1202"/>
              </w:tabs>
              <w:spacing w:after="0" w:line="280" w:lineRule="exact"/>
              <w:jc w:val="right"/>
              <w:outlineLvl w:val="0"/>
              <w:rPr>
                <w:rFonts w:ascii="Calibri" w:hAnsi="Calibri" w:cs="Calibri"/>
                <w:bCs/>
              </w:rPr>
            </w:pPr>
          </w:p>
        </w:tc>
      </w:tr>
      <w:tr w:rsidR="001B316F" w:rsidRPr="00CA37C8" w14:paraId="5B038AAD" w14:textId="77777777" w:rsidTr="001B316F">
        <w:trPr>
          <w:trHeight w:val="359"/>
        </w:trPr>
        <w:tc>
          <w:tcPr>
            <w:tcW w:w="2493" w:type="pct"/>
            <w:vAlign w:val="bottom"/>
          </w:tcPr>
          <w:p w14:paraId="28D3E7CF" w14:textId="77777777" w:rsidR="001B316F" w:rsidRPr="00CA37C8" w:rsidRDefault="001B316F" w:rsidP="001B316F">
            <w:pPr>
              <w:tabs>
                <w:tab w:val="right" w:pos="1202"/>
              </w:tabs>
              <w:spacing w:after="0" w:line="280" w:lineRule="exact"/>
              <w:jc w:val="both"/>
              <w:outlineLvl w:val="0"/>
              <w:rPr>
                <w:rFonts w:eastAsia="Times New Roman" w:cs="Arial"/>
                <w:bCs/>
              </w:rPr>
            </w:pPr>
            <w:r w:rsidRPr="00CA37C8">
              <w:rPr>
                <w:rFonts w:eastAsia="Times New Roman" w:cs="Arial"/>
                <w:b/>
                <w:bCs/>
              </w:rPr>
              <w:t>Ostala sveobuhvatna dobit</w:t>
            </w:r>
            <w:r>
              <w:rPr>
                <w:rFonts w:eastAsia="Times New Roman" w:cs="Arial"/>
                <w:b/>
                <w:bCs/>
              </w:rPr>
              <w:t xml:space="preserve"> nakon oporezivanja</w:t>
            </w:r>
          </w:p>
        </w:tc>
        <w:tc>
          <w:tcPr>
            <w:tcW w:w="627" w:type="pct"/>
            <w:tcBorders>
              <w:top w:val="nil"/>
              <w:left w:val="nil"/>
              <w:bottom w:val="nil"/>
              <w:right w:val="nil"/>
            </w:tcBorders>
            <w:shd w:val="clear" w:color="auto" w:fill="auto"/>
            <w:vAlign w:val="bottom"/>
          </w:tcPr>
          <w:p w14:paraId="6470B1D6" w14:textId="4604F1AF" w:rsidR="001B316F" w:rsidRPr="002B2DDF" w:rsidRDefault="00D66E1B">
            <w:pPr>
              <w:tabs>
                <w:tab w:val="right" w:pos="1202"/>
              </w:tabs>
              <w:spacing w:after="0" w:line="280" w:lineRule="exact"/>
              <w:jc w:val="right"/>
              <w:outlineLvl w:val="0"/>
              <w:rPr>
                <w:rFonts w:eastAsia="Times New Roman" w:cs="Arial"/>
                <w:b/>
                <w:bCs/>
              </w:rPr>
            </w:pPr>
            <w:r w:rsidRPr="00D66E1B">
              <w:rPr>
                <w:rFonts w:eastAsia="Times New Roman" w:cs="Arial"/>
                <w:b/>
                <w:bCs/>
              </w:rPr>
              <w:t>(</w:t>
            </w:r>
            <w:r w:rsidR="005C11EE">
              <w:rPr>
                <w:rFonts w:eastAsia="Times New Roman" w:cs="Arial"/>
                <w:b/>
                <w:bCs/>
              </w:rPr>
              <w:t>1.885</w:t>
            </w:r>
            <w:r w:rsidRPr="00D66E1B">
              <w:rPr>
                <w:rFonts w:eastAsia="Times New Roman" w:cs="Arial"/>
                <w:b/>
                <w:bCs/>
              </w:rPr>
              <w:t>)</w:t>
            </w:r>
          </w:p>
        </w:tc>
        <w:tc>
          <w:tcPr>
            <w:tcW w:w="627" w:type="pct"/>
            <w:tcBorders>
              <w:top w:val="nil"/>
              <w:left w:val="nil"/>
              <w:bottom w:val="nil"/>
              <w:right w:val="nil"/>
            </w:tcBorders>
            <w:shd w:val="clear" w:color="auto" w:fill="auto"/>
            <w:vAlign w:val="bottom"/>
          </w:tcPr>
          <w:p w14:paraId="52633D13" w14:textId="56C8522E" w:rsidR="001B316F" w:rsidRPr="002B2DDF" w:rsidRDefault="00D66E1B" w:rsidP="001B316F">
            <w:pPr>
              <w:tabs>
                <w:tab w:val="right" w:pos="1202"/>
              </w:tabs>
              <w:spacing w:after="0" w:line="280" w:lineRule="exact"/>
              <w:jc w:val="right"/>
              <w:outlineLvl w:val="0"/>
              <w:rPr>
                <w:rFonts w:eastAsia="Times New Roman" w:cs="Arial"/>
                <w:b/>
                <w:bCs/>
              </w:rPr>
            </w:pPr>
            <w:r w:rsidRPr="00D66E1B">
              <w:rPr>
                <w:rFonts w:eastAsia="Times New Roman" w:cs="Arial"/>
                <w:b/>
                <w:bCs/>
              </w:rPr>
              <w:t>(546)</w:t>
            </w:r>
          </w:p>
        </w:tc>
        <w:tc>
          <w:tcPr>
            <w:tcW w:w="627" w:type="pct"/>
            <w:tcBorders>
              <w:top w:val="nil"/>
              <w:left w:val="nil"/>
              <w:bottom w:val="nil"/>
              <w:right w:val="nil"/>
            </w:tcBorders>
            <w:shd w:val="clear" w:color="auto" w:fill="auto"/>
            <w:vAlign w:val="bottom"/>
          </w:tcPr>
          <w:p w14:paraId="442AF60B" w14:textId="23E6C614" w:rsidR="001B316F" w:rsidRPr="00CC4C64" w:rsidRDefault="001B316F" w:rsidP="001B316F">
            <w:pPr>
              <w:tabs>
                <w:tab w:val="right" w:pos="1202"/>
              </w:tabs>
              <w:spacing w:after="0" w:line="280" w:lineRule="exact"/>
              <w:jc w:val="right"/>
              <w:outlineLvl w:val="0"/>
              <w:rPr>
                <w:rFonts w:eastAsia="Times New Roman" w:cs="Arial"/>
                <w:bCs/>
              </w:rPr>
            </w:pPr>
            <w:r w:rsidRPr="00722C53">
              <w:rPr>
                <w:rFonts w:eastAsia="Times New Roman" w:cs="Arial"/>
                <w:b/>
                <w:bCs/>
              </w:rPr>
              <w:t>(80)</w:t>
            </w:r>
          </w:p>
        </w:tc>
        <w:tc>
          <w:tcPr>
            <w:tcW w:w="626" w:type="pct"/>
            <w:tcBorders>
              <w:top w:val="nil"/>
              <w:left w:val="nil"/>
              <w:bottom w:val="nil"/>
              <w:right w:val="nil"/>
            </w:tcBorders>
            <w:shd w:val="clear" w:color="auto" w:fill="auto"/>
            <w:vAlign w:val="bottom"/>
          </w:tcPr>
          <w:p w14:paraId="3F2DCC4D" w14:textId="104C17D1" w:rsidR="001B316F" w:rsidRPr="00D65861" w:rsidRDefault="001B316F" w:rsidP="001B316F">
            <w:pPr>
              <w:tabs>
                <w:tab w:val="right" w:pos="1202"/>
              </w:tabs>
              <w:spacing w:after="0" w:line="280" w:lineRule="exact"/>
              <w:jc w:val="right"/>
              <w:outlineLvl w:val="0"/>
              <w:rPr>
                <w:rFonts w:eastAsia="Times New Roman" w:cs="Arial"/>
                <w:bCs/>
              </w:rPr>
            </w:pPr>
            <w:r w:rsidRPr="00722C53">
              <w:rPr>
                <w:rFonts w:eastAsia="Times New Roman" w:cs="Arial"/>
                <w:b/>
                <w:bCs/>
              </w:rPr>
              <w:t>14.272</w:t>
            </w:r>
          </w:p>
        </w:tc>
      </w:tr>
      <w:tr w:rsidR="001B316F" w:rsidRPr="00CA37C8" w14:paraId="44D45A08" w14:textId="77777777" w:rsidTr="001B316F">
        <w:trPr>
          <w:trHeight w:val="346"/>
        </w:trPr>
        <w:tc>
          <w:tcPr>
            <w:tcW w:w="2493" w:type="pct"/>
            <w:vAlign w:val="bottom"/>
          </w:tcPr>
          <w:p w14:paraId="31EBED7C" w14:textId="77777777" w:rsidR="001B316F" w:rsidRPr="00CA37C8" w:rsidRDefault="001B316F" w:rsidP="001B316F">
            <w:pPr>
              <w:tabs>
                <w:tab w:val="right" w:pos="1202"/>
              </w:tabs>
              <w:spacing w:after="0" w:line="280" w:lineRule="exact"/>
              <w:outlineLvl w:val="0"/>
              <w:rPr>
                <w:rFonts w:eastAsia="Times New Roman" w:cs="Arial"/>
                <w:b/>
                <w:bCs/>
              </w:rPr>
            </w:pPr>
          </w:p>
        </w:tc>
        <w:tc>
          <w:tcPr>
            <w:tcW w:w="627" w:type="pct"/>
            <w:tcBorders>
              <w:bottom w:val="single" w:sz="4" w:space="0" w:color="auto"/>
            </w:tcBorders>
            <w:vAlign w:val="bottom"/>
          </w:tcPr>
          <w:p w14:paraId="43027155" w14:textId="77777777" w:rsidR="001B316F" w:rsidRPr="002B2DDF" w:rsidRDefault="001B316F" w:rsidP="001B316F">
            <w:pPr>
              <w:pStyle w:val="Tot"/>
              <w:spacing w:line="240" w:lineRule="auto"/>
              <w:jc w:val="right"/>
              <w:rPr>
                <w:rFonts w:asciiTheme="minorHAnsi" w:hAnsiTheme="minorHAnsi" w:cs="Arial"/>
                <w:b/>
                <w:bCs/>
                <w:sz w:val="22"/>
                <w:szCs w:val="22"/>
              </w:rPr>
            </w:pPr>
          </w:p>
        </w:tc>
        <w:tc>
          <w:tcPr>
            <w:tcW w:w="627" w:type="pct"/>
            <w:tcBorders>
              <w:bottom w:val="single" w:sz="4" w:space="0" w:color="auto"/>
            </w:tcBorders>
            <w:vAlign w:val="bottom"/>
          </w:tcPr>
          <w:p w14:paraId="4FC2A810" w14:textId="77777777" w:rsidR="001B316F" w:rsidRPr="002B2DDF" w:rsidRDefault="001B316F" w:rsidP="001B316F">
            <w:pPr>
              <w:pStyle w:val="Tot"/>
              <w:spacing w:line="240" w:lineRule="auto"/>
              <w:jc w:val="right"/>
              <w:rPr>
                <w:rFonts w:asciiTheme="minorHAnsi" w:hAnsiTheme="minorHAnsi" w:cs="Arial"/>
                <w:b/>
                <w:bCs/>
                <w:sz w:val="22"/>
                <w:szCs w:val="22"/>
              </w:rPr>
            </w:pPr>
          </w:p>
        </w:tc>
        <w:tc>
          <w:tcPr>
            <w:tcW w:w="627" w:type="pct"/>
            <w:tcBorders>
              <w:bottom w:val="single" w:sz="4" w:space="0" w:color="auto"/>
            </w:tcBorders>
            <w:vAlign w:val="bottom"/>
          </w:tcPr>
          <w:p w14:paraId="79B65403" w14:textId="77777777" w:rsidR="001B316F" w:rsidRPr="008F4611" w:rsidRDefault="001B316F" w:rsidP="001B316F">
            <w:pPr>
              <w:pStyle w:val="Tot"/>
              <w:spacing w:line="240" w:lineRule="auto"/>
              <w:jc w:val="right"/>
              <w:rPr>
                <w:rFonts w:cs="Arial"/>
                <w:b/>
                <w:bCs/>
              </w:rPr>
            </w:pPr>
          </w:p>
        </w:tc>
        <w:tc>
          <w:tcPr>
            <w:tcW w:w="626" w:type="pct"/>
            <w:tcBorders>
              <w:bottom w:val="single" w:sz="4" w:space="0" w:color="auto"/>
            </w:tcBorders>
            <w:vAlign w:val="bottom"/>
          </w:tcPr>
          <w:p w14:paraId="62C1EE00" w14:textId="77777777" w:rsidR="001B316F" w:rsidRPr="008F4611" w:rsidRDefault="001B316F" w:rsidP="001B316F">
            <w:pPr>
              <w:pStyle w:val="Tot"/>
              <w:spacing w:line="240" w:lineRule="auto"/>
              <w:jc w:val="right"/>
              <w:rPr>
                <w:rFonts w:cs="Arial"/>
                <w:b/>
                <w:bCs/>
              </w:rPr>
            </w:pPr>
          </w:p>
        </w:tc>
      </w:tr>
      <w:tr w:rsidR="001B316F" w:rsidRPr="00CA37C8" w14:paraId="17269940" w14:textId="77777777" w:rsidTr="001B316F">
        <w:trPr>
          <w:trHeight w:val="125"/>
        </w:trPr>
        <w:tc>
          <w:tcPr>
            <w:tcW w:w="2493" w:type="pct"/>
            <w:vAlign w:val="bottom"/>
          </w:tcPr>
          <w:p w14:paraId="218EAB31" w14:textId="77777777" w:rsidR="001B316F" w:rsidRPr="00CA37C8" w:rsidRDefault="001B316F" w:rsidP="001B316F">
            <w:pPr>
              <w:tabs>
                <w:tab w:val="right" w:pos="1202"/>
              </w:tabs>
              <w:spacing w:after="0" w:line="280" w:lineRule="exact"/>
              <w:outlineLvl w:val="0"/>
              <w:rPr>
                <w:rFonts w:eastAsia="Times New Roman" w:cs="Arial"/>
                <w:b/>
                <w:bCs/>
              </w:rPr>
            </w:pPr>
            <w:r w:rsidRPr="00CA37C8">
              <w:rPr>
                <w:rFonts w:eastAsia="Times New Roman" w:cs="Arial"/>
                <w:b/>
                <w:bCs/>
              </w:rPr>
              <w:t>Ukupna sveobuhvatna dobit nakon oporezivanja</w:t>
            </w:r>
          </w:p>
        </w:tc>
        <w:tc>
          <w:tcPr>
            <w:tcW w:w="627" w:type="pct"/>
            <w:tcBorders>
              <w:top w:val="single" w:sz="4" w:space="0" w:color="auto"/>
              <w:left w:val="nil"/>
              <w:bottom w:val="single" w:sz="8" w:space="0" w:color="auto"/>
              <w:right w:val="nil"/>
            </w:tcBorders>
            <w:shd w:val="clear" w:color="auto" w:fill="auto"/>
            <w:vAlign w:val="bottom"/>
          </w:tcPr>
          <w:p w14:paraId="794A38CF" w14:textId="46B89BD8" w:rsidR="001B316F" w:rsidRPr="002B2DDF" w:rsidRDefault="005C11EE" w:rsidP="001B316F">
            <w:pPr>
              <w:keepNext/>
              <w:keepLines/>
              <w:spacing w:after="0" w:line="280" w:lineRule="exact"/>
              <w:jc w:val="right"/>
              <w:rPr>
                <w:rFonts w:eastAsia="Times New Roman" w:cs="Arial"/>
                <w:b/>
                <w:spacing w:val="-2"/>
              </w:rPr>
            </w:pPr>
            <w:r>
              <w:rPr>
                <w:rFonts w:eastAsia="Times New Roman" w:cs="Arial"/>
                <w:b/>
                <w:spacing w:val="-2"/>
              </w:rPr>
              <w:t>87.466</w:t>
            </w:r>
          </w:p>
        </w:tc>
        <w:tc>
          <w:tcPr>
            <w:tcW w:w="627" w:type="pct"/>
            <w:tcBorders>
              <w:top w:val="single" w:sz="4" w:space="0" w:color="auto"/>
              <w:left w:val="nil"/>
              <w:bottom w:val="single" w:sz="8" w:space="0" w:color="auto"/>
              <w:right w:val="nil"/>
            </w:tcBorders>
            <w:shd w:val="clear" w:color="auto" w:fill="auto"/>
            <w:vAlign w:val="bottom"/>
          </w:tcPr>
          <w:p w14:paraId="2F725E60" w14:textId="3FEFCC8D" w:rsidR="001B316F" w:rsidRPr="002B2DDF" w:rsidRDefault="00D66E1B" w:rsidP="001B316F">
            <w:pPr>
              <w:keepNext/>
              <w:keepLines/>
              <w:spacing w:after="0" w:line="280" w:lineRule="exact"/>
              <w:jc w:val="right"/>
              <w:rPr>
                <w:rFonts w:eastAsia="Times New Roman" w:cs="Arial"/>
                <w:b/>
                <w:spacing w:val="-2"/>
              </w:rPr>
            </w:pPr>
            <w:r w:rsidRPr="00D66E1B">
              <w:rPr>
                <w:rFonts w:eastAsia="Times New Roman" w:cs="Arial"/>
                <w:b/>
                <w:spacing w:val="-2"/>
              </w:rPr>
              <w:t>130.204</w:t>
            </w:r>
          </w:p>
        </w:tc>
        <w:tc>
          <w:tcPr>
            <w:tcW w:w="627" w:type="pct"/>
            <w:tcBorders>
              <w:top w:val="single" w:sz="4" w:space="0" w:color="auto"/>
              <w:left w:val="nil"/>
              <w:bottom w:val="single" w:sz="8" w:space="0" w:color="auto"/>
              <w:right w:val="nil"/>
            </w:tcBorders>
            <w:shd w:val="clear" w:color="auto" w:fill="auto"/>
            <w:vAlign w:val="bottom"/>
          </w:tcPr>
          <w:p w14:paraId="519B6868" w14:textId="26518CEB" w:rsidR="001B316F" w:rsidRPr="00CA37C8" w:rsidRDefault="001B316F" w:rsidP="001B316F">
            <w:pPr>
              <w:keepNext/>
              <w:keepLines/>
              <w:spacing w:after="0" w:line="280" w:lineRule="exact"/>
              <w:jc w:val="right"/>
              <w:rPr>
                <w:rFonts w:eastAsia="Times New Roman" w:cs="Arial"/>
                <w:b/>
                <w:spacing w:val="-2"/>
                <w:position w:val="4"/>
              </w:rPr>
            </w:pPr>
            <w:r w:rsidRPr="002B2DDF">
              <w:rPr>
                <w:rFonts w:eastAsia="Times New Roman" w:cs="Arial"/>
                <w:b/>
                <w:spacing w:val="-2"/>
              </w:rPr>
              <w:t>54.513</w:t>
            </w:r>
          </w:p>
        </w:tc>
        <w:tc>
          <w:tcPr>
            <w:tcW w:w="626" w:type="pct"/>
            <w:tcBorders>
              <w:top w:val="single" w:sz="4" w:space="0" w:color="auto"/>
              <w:left w:val="nil"/>
              <w:bottom w:val="single" w:sz="8" w:space="0" w:color="auto"/>
              <w:right w:val="nil"/>
            </w:tcBorders>
            <w:shd w:val="clear" w:color="auto" w:fill="auto"/>
            <w:vAlign w:val="bottom"/>
          </w:tcPr>
          <w:p w14:paraId="52014E53" w14:textId="5807753E" w:rsidR="001B316F" w:rsidRPr="00CA37C8" w:rsidRDefault="001B316F" w:rsidP="001B316F">
            <w:pPr>
              <w:keepNext/>
              <w:keepLines/>
              <w:spacing w:after="0" w:line="280" w:lineRule="exact"/>
              <w:jc w:val="right"/>
              <w:rPr>
                <w:rFonts w:eastAsia="Times New Roman" w:cs="Arial"/>
                <w:b/>
                <w:spacing w:val="-2"/>
                <w:position w:val="4"/>
              </w:rPr>
            </w:pPr>
            <w:r w:rsidRPr="002B2DDF">
              <w:rPr>
                <w:rFonts w:eastAsia="Times New Roman" w:cs="Arial"/>
                <w:b/>
                <w:spacing w:val="-2"/>
              </w:rPr>
              <w:t>121.950</w:t>
            </w:r>
          </w:p>
        </w:tc>
      </w:tr>
      <w:tr w:rsidR="001B316F" w:rsidRPr="00122720" w14:paraId="12417A27" w14:textId="77777777" w:rsidTr="001B316F">
        <w:trPr>
          <w:cantSplit/>
          <w:trHeight w:val="264"/>
        </w:trPr>
        <w:tc>
          <w:tcPr>
            <w:tcW w:w="2493" w:type="pct"/>
            <w:vAlign w:val="bottom"/>
          </w:tcPr>
          <w:p w14:paraId="3ED1F096" w14:textId="77777777" w:rsidR="001B316F" w:rsidRPr="00CA37C8" w:rsidRDefault="001B316F" w:rsidP="001B316F">
            <w:pPr>
              <w:tabs>
                <w:tab w:val="right" w:pos="1202"/>
              </w:tabs>
              <w:spacing w:after="0" w:line="280" w:lineRule="exact"/>
              <w:outlineLvl w:val="0"/>
              <w:rPr>
                <w:rFonts w:eastAsia="Times New Roman" w:cs="Arial"/>
                <w:b/>
                <w:bCs/>
              </w:rPr>
            </w:pPr>
          </w:p>
        </w:tc>
        <w:tc>
          <w:tcPr>
            <w:tcW w:w="627" w:type="pct"/>
            <w:tcBorders>
              <w:top w:val="single" w:sz="12" w:space="0" w:color="auto"/>
            </w:tcBorders>
          </w:tcPr>
          <w:p w14:paraId="17077726" w14:textId="77777777" w:rsidR="001B316F" w:rsidRPr="00722C53" w:rsidRDefault="001B316F" w:rsidP="001B316F">
            <w:pPr>
              <w:tabs>
                <w:tab w:val="right" w:pos="1202"/>
              </w:tabs>
              <w:spacing w:after="0" w:line="280" w:lineRule="exact"/>
              <w:jc w:val="right"/>
              <w:outlineLvl w:val="0"/>
              <w:rPr>
                <w:rFonts w:eastAsia="Times New Roman" w:cs="Arial"/>
                <w:b/>
                <w:bCs/>
              </w:rPr>
            </w:pPr>
          </w:p>
        </w:tc>
        <w:tc>
          <w:tcPr>
            <w:tcW w:w="627" w:type="pct"/>
            <w:tcBorders>
              <w:top w:val="single" w:sz="12" w:space="0" w:color="auto"/>
            </w:tcBorders>
          </w:tcPr>
          <w:p w14:paraId="14729951" w14:textId="77777777" w:rsidR="001B316F" w:rsidRPr="00722C53" w:rsidRDefault="001B316F" w:rsidP="001B316F">
            <w:pPr>
              <w:tabs>
                <w:tab w:val="right" w:pos="1202"/>
              </w:tabs>
              <w:spacing w:after="0" w:line="280" w:lineRule="exact"/>
              <w:jc w:val="right"/>
              <w:outlineLvl w:val="0"/>
              <w:rPr>
                <w:rFonts w:eastAsia="Times New Roman" w:cs="Arial"/>
                <w:b/>
                <w:bCs/>
              </w:rPr>
            </w:pPr>
          </w:p>
        </w:tc>
        <w:tc>
          <w:tcPr>
            <w:tcW w:w="627" w:type="pct"/>
            <w:tcBorders>
              <w:top w:val="single" w:sz="12" w:space="0" w:color="auto"/>
            </w:tcBorders>
          </w:tcPr>
          <w:p w14:paraId="0B7067DC" w14:textId="77777777" w:rsidR="001B316F" w:rsidRPr="00122720" w:rsidRDefault="001B316F" w:rsidP="001B316F">
            <w:pPr>
              <w:tabs>
                <w:tab w:val="right" w:pos="1202"/>
              </w:tabs>
              <w:spacing w:after="0" w:line="280" w:lineRule="exact"/>
              <w:jc w:val="right"/>
              <w:outlineLvl w:val="0"/>
              <w:rPr>
                <w:rFonts w:eastAsia="Times New Roman" w:cs="Arial"/>
                <w:b/>
                <w:bCs/>
              </w:rPr>
            </w:pPr>
          </w:p>
        </w:tc>
        <w:tc>
          <w:tcPr>
            <w:tcW w:w="626" w:type="pct"/>
            <w:tcBorders>
              <w:top w:val="single" w:sz="12" w:space="0" w:color="auto"/>
            </w:tcBorders>
          </w:tcPr>
          <w:p w14:paraId="724D1592" w14:textId="77777777" w:rsidR="001B316F" w:rsidRPr="00122720" w:rsidRDefault="001B316F" w:rsidP="001B316F">
            <w:pPr>
              <w:tabs>
                <w:tab w:val="right" w:pos="1202"/>
              </w:tabs>
              <w:spacing w:after="0" w:line="280" w:lineRule="exact"/>
              <w:jc w:val="right"/>
              <w:outlineLvl w:val="0"/>
              <w:rPr>
                <w:rFonts w:eastAsia="Times New Roman" w:cs="Arial"/>
                <w:b/>
                <w:bCs/>
              </w:rPr>
            </w:pPr>
          </w:p>
        </w:tc>
      </w:tr>
      <w:tr w:rsidR="001B316F" w:rsidRPr="00CA37C8" w14:paraId="227EF2EF" w14:textId="77777777" w:rsidTr="001B316F">
        <w:trPr>
          <w:trHeight w:val="125"/>
        </w:trPr>
        <w:tc>
          <w:tcPr>
            <w:tcW w:w="2493" w:type="pct"/>
            <w:vAlign w:val="bottom"/>
          </w:tcPr>
          <w:p w14:paraId="74F7E43C" w14:textId="77777777" w:rsidR="001B316F" w:rsidRPr="00CA37C8" w:rsidRDefault="001B316F" w:rsidP="001B316F">
            <w:pPr>
              <w:tabs>
                <w:tab w:val="right" w:pos="1202"/>
              </w:tabs>
              <w:spacing w:after="0" w:line="280" w:lineRule="exact"/>
              <w:outlineLvl w:val="0"/>
              <w:rPr>
                <w:rFonts w:eastAsia="Times New Roman" w:cs="Arial"/>
                <w:b/>
                <w:bCs/>
              </w:rPr>
            </w:pPr>
          </w:p>
        </w:tc>
        <w:tc>
          <w:tcPr>
            <w:tcW w:w="627" w:type="pct"/>
          </w:tcPr>
          <w:p w14:paraId="64FBC93B" w14:textId="77777777" w:rsidR="001B316F" w:rsidRPr="00722C53" w:rsidRDefault="001B316F" w:rsidP="001B316F">
            <w:pPr>
              <w:keepNext/>
              <w:keepLines/>
              <w:spacing w:after="0" w:line="280" w:lineRule="exact"/>
              <w:jc w:val="right"/>
              <w:rPr>
                <w:rFonts w:eastAsia="Times New Roman" w:cs="Arial"/>
                <w:b/>
                <w:spacing w:val="-2"/>
                <w:position w:val="4"/>
              </w:rPr>
            </w:pPr>
          </w:p>
        </w:tc>
        <w:tc>
          <w:tcPr>
            <w:tcW w:w="627" w:type="pct"/>
          </w:tcPr>
          <w:p w14:paraId="2A63CAF4" w14:textId="77777777" w:rsidR="001B316F" w:rsidRPr="00722C53" w:rsidRDefault="001B316F" w:rsidP="001B316F">
            <w:pPr>
              <w:keepNext/>
              <w:keepLines/>
              <w:spacing w:after="0" w:line="280" w:lineRule="exact"/>
              <w:jc w:val="right"/>
              <w:rPr>
                <w:rFonts w:eastAsia="Times New Roman" w:cs="Arial"/>
                <w:b/>
                <w:spacing w:val="-2"/>
                <w:position w:val="4"/>
              </w:rPr>
            </w:pPr>
          </w:p>
        </w:tc>
        <w:tc>
          <w:tcPr>
            <w:tcW w:w="627" w:type="pct"/>
          </w:tcPr>
          <w:p w14:paraId="516DC968" w14:textId="77777777" w:rsidR="001B316F" w:rsidRPr="00CA37C8" w:rsidRDefault="001B316F" w:rsidP="001B316F">
            <w:pPr>
              <w:keepNext/>
              <w:keepLines/>
              <w:spacing w:after="0" w:line="280" w:lineRule="exact"/>
              <w:jc w:val="right"/>
              <w:rPr>
                <w:rFonts w:eastAsia="Times New Roman" w:cs="Arial"/>
                <w:b/>
                <w:spacing w:val="-2"/>
                <w:position w:val="4"/>
              </w:rPr>
            </w:pPr>
          </w:p>
        </w:tc>
        <w:tc>
          <w:tcPr>
            <w:tcW w:w="626" w:type="pct"/>
          </w:tcPr>
          <w:p w14:paraId="7BD481A8" w14:textId="77777777" w:rsidR="001B316F" w:rsidRPr="00CA37C8" w:rsidRDefault="001B316F" w:rsidP="001B316F">
            <w:pPr>
              <w:keepNext/>
              <w:keepLines/>
              <w:spacing w:after="0" w:line="280" w:lineRule="exact"/>
              <w:jc w:val="right"/>
              <w:rPr>
                <w:rFonts w:eastAsia="Times New Roman" w:cs="Arial"/>
                <w:b/>
                <w:spacing w:val="-2"/>
                <w:position w:val="4"/>
              </w:rPr>
            </w:pPr>
          </w:p>
        </w:tc>
      </w:tr>
      <w:tr w:rsidR="001B316F" w:rsidRPr="00CA37C8" w14:paraId="641B06DC" w14:textId="77777777" w:rsidTr="001B316F">
        <w:trPr>
          <w:trHeight w:val="346"/>
        </w:trPr>
        <w:tc>
          <w:tcPr>
            <w:tcW w:w="2493" w:type="pct"/>
            <w:vAlign w:val="bottom"/>
          </w:tcPr>
          <w:p w14:paraId="7B3A79B0" w14:textId="77777777" w:rsidR="001B316F" w:rsidRPr="00CA37C8" w:rsidRDefault="001B316F" w:rsidP="001B316F">
            <w:pPr>
              <w:tabs>
                <w:tab w:val="right" w:pos="1202"/>
              </w:tabs>
              <w:spacing w:after="0" w:line="280" w:lineRule="exact"/>
              <w:outlineLvl w:val="0"/>
              <w:rPr>
                <w:rFonts w:eastAsia="Times New Roman" w:cs="Arial"/>
                <w:b/>
                <w:bCs/>
              </w:rPr>
            </w:pPr>
            <w:r w:rsidRPr="00CA37C8">
              <w:rPr>
                <w:rFonts w:eastAsia="Times New Roman" w:cs="Arial"/>
                <w:b/>
                <w:bCs/>
              </w:rPr>
              <w:t>Ukupna sveobuhvatna dobit:</w:t>
            </w:r>
          </w:p>
        </w:tc>
        <w:tc>
          <w:tcPr>
            <w:tcW w:w="627" w:type="pct"/>
            <w:vAlign w:val="bottom"/>
          </w:tcPr>
          <w:p w14:paraId="0D5B3DFE" w14:textId="77777777" w:rsidR="001B316F" w:rsidRPr="00722C53" w:rsidRDefault="001B316F" w:rsidP="001B316F">
            <w:pPr>
              <w:tabs>
                <w:tab w:val="right" w:pos="1202"/>
              </w:tabs>
              <w:spacing w:after="0" w:line="280" w:lineRule="exact"/>
              <w:jc w:val="right"/>
              <w:outlineLvl w:val="0"/>
              <w:rPr>
                <w:rFonts w:eastAsia="Times New Roman" w:cs="Arial"/>
                <w:b/>
                <w:bCs/>
              </w:rPr>
            </w:pPr>
          </w:p>
        </w:tc>
        <w:tc>
          <w:tcPr>
            <w:tcW w:w="627" w:type="pct"/>
            <w:vAlign w:val="bottom"/>
          </w:tcPr>
          <w:p w14:paraId="0065DFDE" w14:textId="77777777" w:rsidR="001B316F" w:rsidRPr="00722C53" w:rsidRDefault="001B316F" w:rsidP="001B316F">
            <w:pPr>
              <w:tabs>
                <w:tab w:val="right" w:pos="1202"/>
              </w:tabs>
              <w:spacing w:after="0" w:line="280" w:lineRule="exact"/>
              <w:jc w:val="right"/>
              <w:outlineLvl w:val="0"/>
              <w:rPr>
                <w:rFonts w:eastAsia="Times New Roman" w:cs="Arial"/>
                <w:b/>
                <w:bCs/>
              </w:rPr>
            </w:pPr>
          </w:p>
        </w:tc>
        <w:tc>
          <w:tcPr>
            <w:tcW w:w="627" w:type="pct"/>
            <w:vAlign w:val="bottom"/>
          </w:tcPr>
          <w:p w14:paraId="5F49E9AA" w14:textId="77777777" w:rsidR="001B316F" w:rsidRPr="00CA37C8" w:rsidRDefault="001B316F" w:rsidP="001B316F">
            <w:pPr>
              <w:tabs>
                <w:tab w:val="right" w:pos="1202"/>
              </w:tabs>
              <w:spacing w:after="0" w:line="280" w:lineRule="exact"/>
              <w:jc w:val="right"/>
              <w:outlineLvl w:val="0"/>
              <w:rPr>
                <w:rFonts w:eastAsia="Times New Roman" w:cs="Arial"/>
                <w:b/>
                <w:bCs/>
              </w:rPr>
            </w:pPr>
          </w:p>
        </w:tc>
        <w:tc>
          <w:tcPr>
            <w:tcW w:w="626" w:type="pct"/>
            <w:vAlign w:val="bottom"/>
          </w:tcPr>
          <w:p w14:paraId="31960A6F" w14:textId="77777777" w:rsidR="001B316F" w:rsidRPr="00CA37C8" w:rsidRDefault="001B316F" w:rsidP="001B316F">
            <w:pPr>
              <w:tabs>
                <w:tab w:val="right" w:pos="1202"/>
              </w:tabs>
              <w:spacing w:after="0" w:line="280" w:lineRule="exact"/>
              <w:jc w:val="right"/>
              <w:outlineLvl w:val="0"/>
              <w:rPr>
                <w:rFonts w:eastAsia="Times New Roman" w:cs="Arial"/>
                <w:b/>
                <w:bCs/>
              </w:rPr>
            </w:pPr>
          </w:p>
        </w:tc>
      </w:tr>
      <w:tr w:rsidR="001B316F" w:rsidRPr="00CA37C8" w14:paraId="1F304AB8" w14:textId="77777777" w:rsidTr="001B316F">
        <w:trPr>
          <w:trHeight w:val="370"/>
        </w:trPr>
        <w:tc>
          <w:tcPr>
            <w:tcW w:w="2493" w:type="pct"/>
            <w:vAlign w:val="bottom"/>
          </w:tcPr>
          <w:p w14:paraId="7BE30B26" w14:textId="2F1A3339" w:rsidR="001B316F" w:rsidRPr="00CA37C8" w:rsidRDefault="001B316F" w:rsidP="001B316F">
            <w:pPr>
              <w:tabs>
                <w:tab w:val="right" w:pos="1202"/>
              </w:tabs>
              <w:spacing w:after="0" w:line="200" w:lineRule="exact"/>
              <w:outlineLvl w:val="0"/>
              <w:rPr>
                <w:rFonts w:eastAsia="Times New Roman" w:cs="Arial"/>
                <w:b/>
                <w:bCs/>
              </w:rPr>
            </w:pPr>
            <w:r w:rsidRPr="00A37C92">
              <w:rPr>
                <w:rFonts w:eastAsia="Times New Roman" w:cs="Arial"/>
                <w:b/>
                <w:bCs/>
              </w:rPr>
              <w:t>Vlasni</w:t>
            </w:r>
            <w:r w:rsidR="000035C6">
              <w:rPr>
                <w:rFonts w:eastAsia="Times New Roman" w:cs="Arial"/>
                <w:b/>
                <w:bCs/>
              </w:rPr>
              <w:t>ku</w:t>
            </w:r>
            <w:r w:rsidRPr="00A37C92">
              <w:rPr>
                <w:rFonts w:eastAsia="Times New Roman" w:cs="Arial"/>
                <w:b/>
                <w:bCs/>
              </w:rPr>
              <w:t xml:space="preserve"> društva</w:t>
            </w:r>
          </w:p>
        </w:tc>
        <w:tc>
          <w:tcPr>
            <w:tcW w:w="627" w:type="pct"/>
            <w:tcBorders>
              <w:top w:val="nil"/>
              <w:left w:val="nil"/>
              <w:bottom w:val="single" w:sz="12" w:space="0" w:color="auto"/>
              <w:right w:val="nil"/>
            </w:tcBorders>
            <w:shd w:val="clear" w:color="auto" w:fill="auto"/>
            <w:vAlign w:val="bottom"/>
          </w:tcPr>
          <w:p w14:paraId="502F99DA" w14:textId="333F7C12" w:rsidR="001B316F" w:rsidRPr="002B2DDF" w:rsidRDefault="005C11EE" w:rsidP="001B316F">
            <w:pPr>
              <w:keepNext/>
              <w:keepLines/>
              <w:spacing w:after="0" w:line="200" w:lineRule="exact"/>
              <w:jc w:val="right"/>
              <w:rPr>
                <w:rFonts w:eastAsia="Times New Roman" w:cs="Arial"/>
                <w:b/>
              </w:rPr>
            </w:pPr>
            <w:r>
              <w:rPr>
                <w:rFonts w:eastAsia="Times New Roman" w:cs="Arial"/>
                <w:b/>
              </w:rPr>
              <w:t>87.466</w:t>
            </w:r>
          </w:p>
        </w:tc>
        <w:tc>
          <w:tcPr>
            <w:tcW w:w="627" w:type="pct"/>
            <w:tcBorders>
              <w:top w:val="nil"/>
              <w:left w:val="nil"/>
              <w:bottom w:val="single" w:sz="12" w:space="0" w:color="auto"/>
              <w:right w:val="nil"/>
            </w:tcBorders>
            <w:shd w:val="clear" w:color="auto" w:fill="auto"/>
            <w:vAlign w:val="bottom"/>
          </w:tcPr>
          <w:p w14:paraId="4D2E3382" w14:textId="0DB7382D" w:rsidR="001B316F" w:rsidRPr="002B2DDF" w:rsidRDefault="00D66E1B" w:rsidP="001B316F">
            <w:pPr>
              <w:keepNext/>
              <w:keepLines/>
              <w:spacing w:after="0" w:line="200" w:lineRule="exact"/>
              <w:jc w:val="right"/>
              <w:rPr>
                <w:rFonts w:eastAsia="Times New Roman" w:cs="Arial"/>
                <w:b/>
              </w:rPr>
            </w:pPr>
            <w:r w:rsidRPr="00D66E1B">
              <w:rPr>
                <w:rFonts w:eastAsia="Times New Roman" w:cs="Arial"/>
                <w:b/>
              </w:rPr>
              <w:t>130.204</w:t>
            </w:r>
          </w:p>
        </w:tc>
        <w:tc>
          <w:tcPr>
            <w:tcW w:w="627" w:type="pct"/>
            <w:tcBorders>
              <w:top w:val="nil"/>
              <w:left w:val="nil"/>
              <w:bottom w:val="single" w:sz="12" w:space="0" w:color="auto"/>
              <w:right w:val="nil"/>
            </w:tcBorders>
            <w:shd w:val="clear" w:color="auto" w:fill="auto"/>
            <w:vAlign w:val="bottom"/>
          </w:tcPr>
          <w:p w14:paraId="007AF0FA" w14:textId="27859DC4" w:rsidR="001B316F" w:rsidRPr="00CA37C8" w:rsidRDefault="001B316F" w:rsidP="001B316F">
            <w:pPr>
              <w:keepNext/>
              <w:keepLines/>
              <w:spacing w:after="0" w:line="200" w:lineRule="exact"/>
              <w:jc w:val="right"/>
              <w:rPr>
                <w:rFonts w:eastAsia="Times New Roman" w:cs="Arial"/>
                <w:b/>
                <w:position w:val="4"/>
                <w:u w:val="thick"/>
              </w:rPr>
            </w:pPr>
            <w:r w:rsidRPr="002B2DDF">
              <w:rPr>
                <w:rFonts w:eastAsia="Times New Roman" w:cs="Arial"/>
                <w:b/>
              </w:rPr>
              <w:t>54.513</w:t>
            </w:r>
          </w:p>
        </w:tc>
        <w:tc>
          <w:tcPr>
            <w:tcW w:w="626" w:type="pct"/>
            <w:tcBorders>
              <w:top w:val="nil"/>
              <w:left w:val="nil"/>
              <w:bottom w:val="single" w:sz="12" w:space="0" w:color="auto"/>
              <w:right w:val="nil"/>
            </w:tcBorders>
            <w:shd w:val="clear" w:color="auto" w:fill="auto"/>
            <w:vAlign w:val="bottom"/>
          </w:tcPr>
          <w:p w14:paraId="077B45C5" w14:textId="0C873EDD" w:rsidR="001B316F" w:rsidRPr="00CA37C8" w:rsidRDefault="001B316F" w:rsidP="001B316F">
            <w:pPr>
              <w:keepNext/>
              <w:keepLines/>
              <w:spacing w:after="0" w:line="200" w:lineRule="exact"/>
              <w:jc w:val="right"/>
              <w:rPr>
                <w:rFonts w:eastAsia="Times New Roman" w:cs="Arial"/>
                <w:b/>
                <w:position w:val="4"/>
                <w:u w:val="thick"/>
              </w:rPr>
            </w:pPr>
            <w:r w:rsidRPr="002B2DDF">
              <w:rPr>
                <w:rFonts w:eastAsia="Times New Roman" w:cs="Arial"/>
                <w:b/>
              </w:rPr>
              <w:t>121.950</w:t>
            </w:r>
          </w:p>
        </w:tc>
      </w:tr>
      <w:tr w:rsidR="001B316F" w:rsidRPr="00CA37C8" w14:paraId="239947CC" w14:textId="77777777" w:rsidTr="001B316F">
        <w:trPr>
          <w:trHeight w:val="212"/>
        </w:trPr>
        <w:tc>
          <w:tcPr>
            <w:tcW w:w="2493" w:type="pct"/>
            <w:vAlign w:val="bottom"/>
          </w:tcPr>
          <w:p w14:paraId="1AAF4402" w14:textId="77777777" w:rsidR="001B316F" w:rsidRPr="00CA37C8" w:rsidRDefault="001B316F" w:rsidP="001B316F">
            <w:pPr>
              <w:tabs>
                <w:tab w:val="right" w:pos="1202"/>
              </w:tabs>
              <w:spacing w:after="0" w:line="200" w:lineRule="exact"/>
              <w:outlineLvl w:val="0"/>
              <w:rPr>
                <w:rFonts w:eastAsia="Times New Roman" w:cs="Arial"/>
                <w:b/>
                <w:bCs/>
              </w:rPr>
            </w:pPr>
          </w:p>
        </w:tc>
        <w:tc>
          <w:tcPr>
            <w:tcW w:w="627" w:type="pct"/>
          </w:tcPr>
          <w:p w14:paraId="50D0C3AD" w14:textId="77777777" w:rsidR="001B316F" w:rsidRPr="00CA37C8" w:rsidRDefault="001B316F" w:rsidP="001B316F">
            <w:pPr>
              <w:keepNext/>
              <w:keepLines/>
              <w:spacing w:after="0" w:line="200" w:lineRule="exact"/>
              <w:rPr>
                <w:rFonts w:eastAsia="Times New Roman" w:cs="Arial"/>
                <w:b/>
                <w:position w:val="4"/>
              </w:rPr>
            </w:pPr>
          </w:p>
        </w:tc>
        <w:tc>
          <w:tcPr>
            <w:tcW w:w="627" w:type="pct"/>
          </w:tcPr>
          <w:p w14:paraId="73EF95DB" w14:textId="77777777" w:rsidR="001B316F" w:rsidRPr="00CA37C8" w:rsidRDefault="001B316F" w:rsidP="001B316F">
            <w:pPr>
              <w:keepNext/>
              <w:keepLines/>
              <w:spacing w:after="0" w:line="200" w:lineRule="exact"/>
              <w:rPr>
                <w:rFonts w:eastAsia="Times New Roman" w:cs="Arial"/>
                <w:b/>
                <w:position w:val="4"/>
              </w:rPr>
            </w:pPr>
          </w:p>
        </w:tc>
        <w:tc>
          <w:tcPr>
            <w:tcW w:w="627" w:type="pct"/>
          </w:tcPr>
          <w:p w14:paraId="4954D829" w14:textId="77777777" w:rsidR="001B316F" w:rsidRPr="00CA37C8" w:rsidRDefault="001B316F" w:rsidP="001B316F">
            <w:pPr>
              <w:keepNext/>
              <w:keepLines/>
              <w:spacing w:after="0" w:line="200" w:lineRule="exact"/>
              <w:jc w:val="right"/>
              <w:rPr>
                <w:rFonts w:eastAsia="Times New Roman" w:cs="Arial"/>
                <w:b/>
                <w:position w:val="4"/>
              </w:rPr>
            </w:pPr>
          </w:p>
        </w:tc>
        <w:tc>
          <w:tcPr>
            <w:tcW w:w="626" w:type="pct"/>
          </w:tcPr>
          <w:p w14:paraId="56F5826C" w14:textId="77777777" w:rsidR="001B316F" w:rsidRPr="00CA37C8" w:rsidRDefault="001B316F" w:rsidP="001B316F">
            <w:pPr>
              <w:keepNext/>
              <w:keepLines/>
              <w:spacing w:after="0" w:line="200" w:lineRule="exact"/>
              <w:jc w:val="right"/>
              <w:rPr>
                <w:rFonts w:eastAsia="Times New Roman" w:cs="Arial"/>
                <w:b/>
                <w:position w:val="4"/>
              </w:rPr>
            </w:pPr>
          </w:p>
        </w:tc>
      </w:tr>
    </w:tbl>
    <w:p w14:paraId="71590623" w14:textId="77777777" w:rsidR="00D97C38" w:rsidRPr="00CA37C8" w:rsidRDefault="00D97C38" w:rsidP="00C4266C">
      <w:pPr>
        <w:spacing w:after="0" w:line="240" w:lineRule="auto"/>
      </w:pPr>
    </w:p>
    <w:p w14:paraId="1BA27549" w14:textId="77777777" w:rsidR="00CA7BA7" w:rsidRPr="00CA37C8" w:rsidRDefault="00CA7BA7" w:rsidP="006B1436">
      <w:pPr>
        <w:spacing w:after="0" w:line="280" w:lineRule="exact"/>
      </w:pPr>
    </w:p>
    <w:p w14:paraId="427A2E10" w14:textId="77777777" w:rsidR="00AC4D66" w:rsidRPr="00CA37C8" w:rsidRDefault="00AC4D66" w:rsidP="006B1436">
      <w:pPr>
        <w:spacing w:after="0" w:line="280" w:lineRule="exact"/>
        <w:rPr>
          <w:rFonts w:eastAsia="Times New Roman" w:cs="Arial"/>
          <w:sz w:val="24"/>
          <w:szCs w:val="24"/>
        </w:rPr>
      </w:pPr>
    </w:p>
    <w:p w14:paraId="6445ECA9" w14:textId="77777777" w:rsidR="00D81EB1" w:rsidRPr="00D81EB1" w:rsidRDefault="00D81EB1" w:rsidP="000141E9">
      <w:pPr>
        <w:spacing w:after="0" w:line="240" w:lineRule="auto"/>
        <w:jc w:val="both"/>
        <w:rPr>
          <w:rFonts w:eastAsia="Times New Roman" w:cs="Arial"/>
        </w:rPr>
      </w:pPr>
      <w:r w:rsidRPr="00D81EB1">
        <w:rPr>
          <w:rFonts w:eastAsia="Times New Roman" w:cs="Arial"/>
        </w:rPr>
        <w:t>Priložene bilješke uz financijske izvještaje sastavni su dio ovog izvještaja o dobiti i gubitku te ostaloj sveobuhvatnoj dobiti.</w:t>
      </w:r>
    </w:p>
    <w:p w14:paraId="6994E8DB" w14:textId="77777777" w:rsidR="00FE7274" w:rsidRDefault="00FE7274" w:rsidP="00C4266C">
      <w:pPr>
        <w:spacing w:after="0" w:line="240" w:lineRule="auto"/>
        <w:rPr>
          <w:rFonts w:eastAsia="Times New Roman" w:cs="Arial"/>
          <w:sz w:val="24"/>
          <w:szCs w:val="24"/>
        </w:rPr>
        <w:sectPr w:rsidR="00FE7274" w:rsidSect="00305343">
          <w:headerReference w:type="first" r:id="rId28"/>
          <w:footerReference w:type="first" r:id="rId29"/>
          <w:pgSz w:w="11906" w:h="16838" w:code="9"/>
          <w:pgMar w:top="1105" w:right="1133" w:bottom="1417" w:left="1417" w:header="709" w:footer="709" w:gutter="0"/>
          <w:pgNumType w:start="1"/>
          <w:cols w:space="708"/>
          <w:titlePg/>
          <w:docGrid w:linePitch="360"/>
        </w:sectPr>
      </w:pPr>
    </w:p>
    <w:p w14:paraId="10B6151E" w14:textId="77777777" w:rsidR="00FE7274" w:rsidRDefault="00FE7274" w:rsidP="00C4266C">
      <w:pPr>
        <w:spacing w:after="0" w:line="240" w:lineRule="auto"/>
      </w:pPr>
    </w:p>
    <w:p w14:paraId="3454E788" w14:textId="77777777" w:rsidR="00026EE1" w:rsidRDefault="00026EE1" w:rsidP="00C4266C">
      <w:pPr>
        <w:spacing w:after="0" w:line="240" w:lineRule="auto"/>
      </w:pPr>
    </w:p>
    <w:tbl>
      <w:tblPr>
        <w:tblpPr w:leftFromText="181" w:rightFromText="181" w:vertAnchor="text" w:horzAnchor="margin" w:tblpY="1"/>
        <w:tblW w:w="9327" w:type="dxa"/>
        <w:tblLook w:val="0000" w:firstRow="0" w:lastRow="0" w:firstColumn="0" w:lastColumn="0" w:noHBand="0" w:noVBand="0"/>
      </w:tblPr>
      <w:tblGrid>
        <w:gridCol w:w="4318"/>
        <w:gridCol w:w="1020"/>
        <w:gridCol w:w="2236"/>
        <w:gridCol w:w="222"/>
        <w:gridCol w:w="1531"/>
      </w:tblGrid>
      <w:tr w:rsidR="00FE7274" w:rsidRPr="00CA37C8" w14:paraId="5B3F6262" w14:textId="77777777" w:rsidTr="00AD0168">
        <w:trPr>
          <w:trHeight w:val="419"/>
        </w:trPr>
        <w:tc>
          <w:tcPr>
            <w:tcW w:w="4318" w:type="dxa"/>
          </w:tcPr>
          <w:p w14:paraId="384318C2" w14:textId="77777777" w:rsidR="00FE7274" w:rsidRPr="00CA37C8" w:rsidRDefault="00FE7274" w:rsidP="00F342AA">
            <w:pPr>
              <w:spacing w:after="0" w:line="240" w:lineRule="auto"/>
              <w:rPr>
                <w:rFonts w:eastAsia="Times New Roman" w:cs="Arial"/>
              </w:rPr>
            </w:pPr>
          </w:p>
        </w:tc>
        <w:tc>
          <w:tcPr>
            <w:tcW w:w="1020" w:type="dxa"/>
            <w:vAlign w:val="center"/>
          </w:tcPr>
          <w:p w14:paraId="0119A7D7" w14:textId="77777777" w:rsidR="00FE7274" w:rsidRPr="00CA37C8" w:rsidRDefault="00FE7274" w:rsidP="00F342AA">
            <w:pPr>
              <w:spacing w:after="0" w:line="240" w:lineRule="auto"/>
              <w:jc w:val="center"/>
              <w:rPr>
                <w:rFonts w:eastAsia="Times New Roman" w:cs="Arial"/>
                <w:b/>
              </w:rPr>
            </w:pPr>
            <w:r w:rsidRPr="00CA37C8">
              <w:rPr>
                <w:rFonts w:eastAsia="Times New Roman" w:cs="Arial"/>
                <w:b/>
              </w:rPr>
              <w:t>Bilješka</w:t>
            </w:r>
          </w:p>
        </w:tc>
        <w:tc>
          <w:tcPr>
            <w:tcW w:w="2236" w:type="dxa"/>
            <w:vAlign w:val="center"/>
          </w:tcPr>
          <w:p w14:paraId="5048A305" w14:textId="5B4A114D" w:rsidR="00FE7274" w:rsidRPr="00CA37C8" w:rsidRDefault="001B316F" w:rsidP="00932654">
            <w:pPr>
              <w:spacing w:after="0" w:line="240" w:lineRule="auto"/>
              <w:jc w:val="right"/>
              <w:rPr>
                <w:rFonts w:eastAsia="Times New Roman" w:cs="Arial"/>
                <w:b/>
              </w:rPr>
            </w:pPr>
            <w:r>
              <w:rPr>
                <w:rFonts w:eastAsia="Times New Roman" w:cs="Arial"/>
                <w:b/>
              </w:rPr>
              <w:t>30</w:t>
            </w:r>
            <w:r w:rsidR="00FD2C50">
              <w:rPr>
                <w:rFonts w:eastAsia="Times New Roman" w:cs="Arial"/>
                <w:b/>
              </w:rPr>
              <w:t>.</w:t>
            </w:r>
            <w:r>
              <w:rPr>
                <w:rFonts w:eastAsia="Times New Roman" w:cs="Arial"/>
                <w:b/>
              </w:rPr>
              <w:t>6</w:t>
            </w:r>
            <w:r w:rsidR="00FE7274" w:rsidRPr="00CA37C8">
              <w:rPr>
                <w:rFonts w:eastAsia="Times New Roman" w:cs="Arial"/>
                <w:b/>
              </w:rPr>
              <w:t>.201</w:t>
            </w:r>
            <w:r w:rsidR="007C409B">
              <w:rPr>
                <w:rFonts w:eastAsia="Times New Roman" w:cs="Arial"/>
                <w:b/>
              </w:rPr>
              <w:t>7</w:t>
            </w:r>
            <w:r w:rsidR="00FE7274" w:rsidRPr="00CA37C8">
              <w:rPr>
                <w:rFonts w:eastAsia="Times New Roman" w:cs="Arial"/>
                <w:b/>
              </w:rPr>
              <w:t>.</w:t>
            </w:r>
          </w:p>
        </w:tc>
        <w:tc>
          <w:tcPr>
            <w:tcW w:w="0" w:type="auto"/>
            <w:vAlign w:val="center"/>
          </w:tcPr>
          <w:p w14:paraId="0DA2CE56" w14:textId="77777777" w:rsidR="00FE7274" w:rsidRPr="00CA37C8" w:rsidRDefault="00FE7274" w:rsidP="00F342AA">
            <w:pPr>
              <w:spacing w:after="0" w:line="240" w:lineRule="auto"/>
              <w:jc w:val="right"/>
              <w:rPr>
                <w:rFonts w:eastAsia="Times New Roman" w:cs="Arial"/>
                <w:b/>
              </w:rPr>
            </w:pPr>
          </w:p>
        </w:tc>
        <w:tc>
          <w:tcPr>
            <w:tcW w:w="1531" w:type="dxa"/>
            <w:vAlign w:val="center"/>
          </w:tcPr>
          <w:p w14:paraId="39D27E2D" w14:textId="7B58DD79" w:rsidR="00FE7274" w:rsidRPr="00CA37C8" w:rsidRDefault="00FE7274" w:rsidP="007C409B">
            <w:pPr>
              <w:spacing w:after="0" w:line="240" w:lineRule="auto"/>
              <w:jc w:val="right"/>
              <w:rPr>
                <w:rFonts w:eastAsia="Times New Roman" w:cs="Arial"/>
                <w:b/>
              </w:rPr>
            </w:pPr>
            <w:r w:rsidRPr="00CA37C8">
              <w:rPr>
                <w:rFonts w:eastAsia="Times New Roman" w:cs="Arial"/>
                <w:b/>
              </w:rPr>
              <w:t>31.12.201</w:t>
            </w:r>
            <w:r w:rsidR="007C409B">
              <w:rPr>
                <w:rFonts w:eastAsia="Times New Roman" w:cs="Arial"/>
                <w:b/>
              </w:rPr>
              <w:t>6</w:t>
            </w:r>
            <w:r w:rsidRPr="00CA37C8">
              <w:rPr>
                <w:rFonts w:eastAsia="Times New Roman" w:cs="Arial"/>
                <w:b/>
              </w:rPr>
              <w:t>.</w:t>
            </w:r>
          </w:p>
        </w:tc>
      </w:tr>
      <w:tr w:rsidR="00FE7274" w:rsidRPr="00CA37C8" w14:paraId="2D0443BC" w14:textId="77777777" w:rsidTr="00AD0168">
        <w:trPr>
          <w:trHeight w:hRule="exact" w:val="113"/>
        </w:trPr>
        <w:tc>
          <w:tcPr>
            <w:tcW w:w="4318" w:type="dxa"/>
          </w:tcPr>
          <w:p w14:paraId="29AE21DE" w14:textId="77777777" w:rsidR="00FE7274" w:rsidRPr="00CA37C8" w:rsidRDefault="00FE7274" w:rsidP="00F342AA">
            <w:pPr>
              <w:tabs>
                <w:tab w:val="right" w:pos="1202"/>
              </w:tabs>
              <w:spacing w:after="0" w:line="240" w:lineRule="auto"/>
              <w:outlineLvl w:val="0"/>
              <w:rPr>
                <w:rFonts w:eastAsia="Times New Roman" w:cs="Arial"/>
                <w:b/>
                <w:bCs/>
              </w:rPr>
            </w:pPr>
          </w:p>
        </w:tc>
        <w:tc>
          <w:tcPr>
            <w:tcW w:w="1020" w:type="dxa"/>
            <w:vAlign w:val="center"/>
          </w:tcPr>
          <w:p w14:paraId="18561A71" w14:textId="77777777" w:rsidR="00FE7274" w:rsidRPr="00CA37C8" w:rsidRDefault="00FE7274" w:rsidP="00F342AA">
            <w:pPr>
              <w:tabs>
                <w:tab w:val="right" w:pos="1202"/>
              </w:tabs>
              <w:spacing w:after="0" w:line="240" w:lineRule="auto"/>
              <w:jc w:val="center"/>
              <w:outlineLvl w:val="0"/>
              <w:rPr>
                <w:rFonts w:eastAsia="Times New Roman" w:cs="Arial"/>
                <w:b/>
                <w:bCs/>
              </w:rPr>
            </w:pPr>
          </w:p>
        </w:tc>
        <w:tc>
          <w:tcPr>
            <w:tcW w:w="2236" w:type="dxa"/>
            <w:vAlign w:val="center"/>
          </w:tcPr>
          <w:p w14:paraId="3A411DE5" w14:textId="77777777" w:rsidR="00FE7274" w:rsidRPr="00CA37C8" w:rsidRDefault="00FE7274" w:rsidP="00F342AA">
            <w:pPr>
              <w:tabs>
                <w:tab w:val="right" w:pos="1202"/>
              </w:tabs>
              <w:spacing w:after="0" w:line="240" w:lineRule="auto"/>
              <w:jc w:val="right"/>
              <w:outlineLvl w:val="0"/>
              <w:rPr>
                <w:rFonts w:eastAsia="Times New Roman" w:cs="Arial"/>
                <w:b/>
                <w:bCs/>
              </w:rPr>
            </w:pPr>
          </w:p>
        </w:tc>
        <w:tc>
          <w:tcPr>
            <w:tcW w:w="0" w:type="auto"/>
            <w:vAlign w:val="center"/>
          </w:tcPr>
          <w:p w14:paraId="6F24A08C" w14:textId="77777777" w:rsidR="00FE7274" w:rsidRPr="00CA37C8" w:rsidRDefault="00FE7274" w:rsidP="00F342AA">
            <w:pPr>
              <w:tabs>
                <w:tab w:val="right" w:pos="1202"/>
              </w:tabs>
              <w:spacing w:after="0" w:line="240" w:lineRule="auto"/>
              <w:jc w:val="right"/>
              <w:outlineLvl w:val="0"/>
              <w:rPr>
                <w:rFonts w:eastAsia="Times New Roman" w:cs="Arial"/>
                <w:b/>
                <w:bCs/>
              </w:rPr>
            </w:pPr>
          </w:p>
        </w:tc>
        <w:tc>
          <w:tcPr>
            <w:tcW w:w="1531" w:type="dxa"/>
            <w:vAlign w:val="center"/>
          </w:tcPr>
          <w:p w14:paraId="6B300A33" w14:textId="77777777" w:rsidR="00FE7274" w:rsidRPr="00CA37C8" w:rsidRDefault="00FE7274" w:rsidP="00F342AA">
            <w:pPr>
              <w:tabs>
                <w:tab w:val="right" w:pos="1202"/>
              </w:tabs>
              <w:spacing w:after="0" w:line="240" w:lineRule="auto"/>
              <w:jc w:val="right"/>
              <w:outlineLvl w:val="0"/>
              <w:rPr>
                <w:rFonts w:eastAsia="Times New Roman" w:cs="Arial"/>
                <w:b/>
                <w:bCs/>
              </w:rPr>
            </w:pPr>
          </w:p>
        </w:tc>
      </w:tr>
      <w:tr w:rsidR="00FE7274" w:rsidRPr="00CA37C8" w14:paraId="5B051D3C" w14:textId="77777777" w:rsidTr="00AD0168">
        <w:trPr>
          <w:trHeight w:val="302"/>
        </w:trPr>
        <w:tc>
          <w:tcPr>
            <w:tcW w:w="4318" w:type="dxa"/>
          </w:tcPr>
          <w:p w14:paraId="17A74ADB" w14:textId="77777777" w:rsidR="00FE7274" w:rsidRPr="00CA37C8" w:rsidRDefault="00FE7274" w:rsidP="00F342AA">
            <w:pPr>
              <w:tabs>
                <w:tab w:val="right" w:pos="1202"/>
              </w:tabs>
              <w:spacing w:after="0" w:line="240" w:lineRule="auto"/>
              <w:outlineLvl w:val="0"/>
              <w:rPr>
                <w:rFonts w:eastAsia="Times New Roman" w:cs="Arial"/>
                <w:b/>
                <w:bCs/>
              </w:rPr>
            </w:pPr>
            <w:r w:rsidRPr="00CA37C8">
              <w:rPr>
                <w:rFonts w:eastAsia="Times New Roman" w:cs="Arial"/>
                <w:b/>
                <w:bCs/>
              </w:rPr>
              <w:t xml:space="preserve">Imovina </w:t>
            </w:r>
          </w:p>
        </w:tc>
        <w:tc>
          <w:tcPr>
            <w:tcW w:w="1020" w:type="dxa"/>
            <w:vAlign w:val="center"/>
          </w:tcPr>
          <w:p w14:paraId="07EF78F2" w14:textId="77777777" w:rsidR="00FE7274" w:rsidRPr="00CA37C8" w:rsidRDefault="00FE7274" w:rsidP="00F342AA">
            <w:pPr>
              <w:tabs>
                <w:tab w:val="right" w:pos="1202"/>
              </w:tabs>
              <w:spacing w:after="0" w:line="240" w:lineRule="auto"/>
              <w:jc w:val="center"/>
              <w:outlineLvl w:val="0"/>
              <w:rPr>
                <w:rFonts w:eastAsia="Times New Roman" w:cs="Arial"/>
                <w:b/>
                <w:bCs/>
              </w:rPr>
            </w:pPr>
          </w:p>
        </w:tc>
        <w:tc>
          <w:tcPr>
            <w:tcW w:w="2236" w:type="dxa"/>
            <w:vAlign w:val="center"/>
          </w:tcPr>
          <w:p w14:paraId="08FF9709" w14:textId="77777777" w:rsidR="00FE7274" w:rsidRPr="00CA37C8" w:rsidRDefault="00FE7274" w:rsidP="00F342AA">
            <w:pPr>
              <w:tabs>
                <w:tab w:val="right" w:pos="1202"/>
              </w:tabs>
              <w:spacing w:after="0" w:line="240" w:lineRule="auto"/>
              <w:jc w:val="right"/>
              <w:outlineLvl w:val="0"/>
              <w:rPr>
                <w:rFonts w:eastAsia="Times New Roman" w:cs="Arial"/>
                <w:b/>
                <w:bCs/>
              </w:rPr>
            </w:pPr>
          </w:p>
        </w:tc>
        <w:tc>
          <w:tcPr>
            <w:tcW w:w="0" w:type="auto"/>
            <w:vAlign w:val="center"/>
          </w:tcPr>
          <w:p w14:paraId="5051F3CF" w14:textId="77777777" w:rsidR="00FE7274" w:rsidRPr="00CA37C8" w:rsidRDefault="00FE7274" w:rsidP="00F342AA">
            <w:pPr>
              <w:tabs>
                <w:tab w:val="right" w:pos="1202"/>
              </w:tabs>
              <w:spacing w:after="0" w:line="240" w:lineRule="auto"/>
              <w:jc w:val="right"/>
              <w:outlineLvl w:val="0"/>
              <w:rPr>
                <w:rFonts w:eastAsia="Times New Roman" w:cs="Arial"/>
                <w:b/>
                <w:bCs/>
              </w:rPr>
            </w:pPr>
          </w:p>
        </w:tc>
        <w:tc>
          <w:tcPr>
            <w:tcW w:w="1531" w:type="dxa"/>
            <w:vAlign w:val="center"/>
          </w:tcPr>
          <w:p w14:paraId="7303273C" w14:textId="77777777" w:rsidR="00FE7274" w:rsidRPr="00CA37C8" w:rsidRDefault="00FE7274" w:rsidP="00F342AA">
            <w:pPr>
              <w:tabs>
                <w:tab w:val="right" w:pos="1202"/>
              </w:tabs>
              <w:spacing w:after="0" w:line="240" w:lineRule="auto"/>
              <w:jc w:val="right"/>
              <w:outlineLvl w:val="0"/>
              <w:rPr>
                <w:rFonts w:eastAsia="Times New Roman" w:cs="Arial"/>
                <w:b/>
                <w:bCs/>
              </w:rPr>
            </w:pPr>
          </w:p>
        </w:tc>
      </w:tr>
      <w:tr w:rsidR="007C409B" w:rsidRPr="00CA37C8" w14:paraId="294F5737" w14:textId="77777777" w:rsidTr="00312975">
        <w:trPr>
          <w:trHeight w:val="302"/>
        </w:trPr>
        <w:tc>
          <w:tcPr>
            <w:tcW w:w="4318" w:type="dxa"/>
            <w:vAlign w:val="bottom"/>
          </w:tcPr>
          <w:p w14:paraId="6E3F6B20" w14:textId="77777777" w:rsidR="007C409B" w:rsidRPr="00CA37C8" w:rsidRDefault="007C409B" w:rsidP="007C409B">
            <w:pPr>
              <w:tabs>
                <w:tab w:val="right" w:pos="1202"/>
              </w:tabs>
              <w:spacing w:after="0" w:line="240" w:lineRule="auto"/>
              <w:outlineLvl w:val="0"/>
              <w:rPr>
                <w:rFonts w:eastAsia="Times New Roman" w:cs="Arial"/>
              </w:rPr>
            </w:pPr>
            <w:r w:rsidRPr="00CA37C8">
              <w:rPr>
                <w:rFonts w:eastAsia="Times New Roman" w:cs="Arial"/>
              </w:rPr>
              <w:t>Novčana sredstva i računi kod banaka</w:t>
            </w:r>
          </w:p>
        </w:tc>
        <w:tc>
          <w:tcPr>
            <w:tcW w:w="1020" w:type="dxa"/>
            <w:vAlign w:val="center"/>
          </w:tcPr>
          <w:p w14:paraId="11FD8CC9" w14:textId="77777777" w:rsidR="007C409B" w:rsidRPr="00CA37C8" w:rsidRDefault="007C409B" w:rsidP="007C409B">
            <w:pPr>
              <w:tabs>
                <w:tab w:val="right" w:pos="1202"/>
              </w:tabs>
              <w:spacing w:after="0" w:line="240" w:lineRule="auto"/>
              <w:jc w:val="center"/>
              <w:outlineLvl w:val="0"/>
              <w:rPr>
                <w:rFonts w:eastAsia="Times New Roman" w:cs="Arial"/>
                <w:snapToGrid w:val="0"/>
              </w:rPr>
            </w:pPr>
            <w:r>
              <w:rPr>
                <w:rFonts w:eastAsia="Times New Roman" w:cs="Arial"/>
                <w:snapToGrid w:val="0"/>
              </w:rPr>
              <w:t>8</w:t>
            </w:r>
          </w:p>
        </w:tc>
        <w:tc>
          <w:tcPr>
            <w:tcW w:w="2236" w:type="dxa"/>
            <w:tcBorders>
              <w:top w:val="nil"/>
              <w:left w:val="nil"/>
              <w:bottom w:val="nil"/>
              <w:right w:val="nil"/>
            </w:tcBorders>
            <w:shd w:val="clear" w:color="auto" w:fill="auto"/>
            <w:vAlign w:val="bottom"/>
          </w:tcPr>
          <w:p w14:paraId="470EACB2" w14:textId="438699BA" w:rsidR="007C409B" w:rsidRPr="00312975" w:rsidRDefault="009F45AB" w:rsidP="007C409B">
            <w:pPr>
              <w:tabs>
                <w:tab w:val="right" w:pos="1202"/>
              </w:tabs>
              <w:spacing w:after="0" w:line="240" w:lineRule="auto"/>
              <w:jc w:val="right"/>
              <w:outlineLvl w:val="0"/>
              <w:rPr>
                <w:rFonts w:cs="Arial"/>
                <w:color w:val="000000"/>
              </w:rPr>
            </w:pPr>
            <w:r w:rsidRPr="00312975">
              <w:rPr>
                <w:rFonts w:cs="Arial"/>
                <w:color w:val="000000"/>
              </w:rPr>
              <w:t>1.681.291</w:t>
            </w:r>
          </w:p>
        </w:tc>
        <w:tc>
          <w:tcPr>
            <w:tcW w:w="0" w:type="auto"/>
            <w:vAlign w:val="bottom"/>
          </w:tcPr>
          <w:p w14:paraId="190412EA" w14:textId="77777777" w:rsidR="007C409B" w:rsidRPr="00312975" w:rsidRDefault="007C409B" w:rsidP="007C409B">
            <w:pPr>
              <w:tabs>
                <w:tab w:val="right" w:pos="1202"/>
              </w:tabs>
              <w:spacing w:after="0" w:line="240" w:lineRule="auto"/>
              <w:jc w:val="right"/>
              <w:outlineLvl w:val="0"/>
              <w:rPr>
                <w:rFonts w:cs="Arial"/>
                <w:color w:val="000000"/>
              </w:rPr>
            </w:pPr>
          </w:p>
        </w:tc>
        <w:tc>
          <w:tcPr>
            <w:tcW w:w="1531" w:type="dxa"/>
            <w:tcBorders>
              <w:top w:val="nil"/>
              <w:left w:val="nil"/>
              <w:bottom w:val="nil"/>
              <w:right w:val="nil"/>
            </w:tcBorders>
            <w:shd w:val="clear" w:color="auto" w:fill="auto"/>
            <w:vAlign w:val="bottom"/>
          </w:tcPr>
          <w:p w14:paraId="4C566436" w14:textId="31E635DE" w:rsidR="007C409B" w:rsidRPr="00D633A5" w:rsidRDefault="007C409B" w:rsidP="007C409B">
            <w:pPr>
              <w:tabs>
                <w:tab w:val="right" w:pos="1202"/>
              </w:tabs>
              <w:spacing w:after="0" w:line="240" w:lineRule="auto"/>
              <w:jc w:val="right"/>
              <w:outlineLvl w:val="0"/>
              <w:rPr>
                <w:rFonts w:eastAsia="Times New Roman" w:cs="Arial"/>
                <w:snapToGrid w:val="0"/>
              </w:rPr>
            </w:pPr>
            <w:r>
              <w:rPr>
                <w:rFonts w:cs="Arial"/>
                <w:color w:val="000000"/>
              </w:rPr>
              <w:t>491.246</w:t>
            </w:r>
          </w:p>
        </w:tc>
      </w:tr>
      <w:tr w:rsidR="007C409B" w:rsidRPr="00CA37C8" w14:paraId="4F452F2B" w14:textId="77777777" w:rsidTr="00312975">
        <w:trPr>
          <w:trHeight w:val="302"/>
        </w:trPr>
        <w:tc>
          <w:tcPr>
            <w:tcW w:w="4318" w:type="dxa"/>
            <w:vAlign w:val="bottom"/>
          </w:tcPr>
          <w:p w14:paraId="63D1AC86" w14:textId="77777777" w:rsidR="007C409B" w:rsidRPr="00CA37C8" w:rsidRDefault="007C409B" w:rsidP="007C409B">
            <w:pPr>
              <w:tabs>
                <w:tab w:val="right" w:pos="1202"/>
              </w:tabs>
              <w:spacing w:after="0" w:line="240" w:lineRule="auto"/>
              <w:outlineLvl w:val="0"/>
              <w:rPr>
                <w:rFonts w:eastAsia="Times New Roman" w:cs="Arial"/>
              </w:rPr>
            </w:pPr>
            <w:r w:rsidRPr="00CA37C8">
              <w:rPr>
                <w:rFonts w:eastAsia="Times New Roman" w:cs="Arial"/>
              </w:rPr>
              <w:t>Depoziti kod drugih banaka</w:t>
            </w:r>
          </w:p>
        </w:tc>
        <w:tc>
          <w:tcPr>
            <w:tcW w:w="1020" w:type="dxa"/>
            <w:vAlign w:val="center"/>
          </w:tcPr>
          <w:p w14:paraId="7DD47ED2" w14:textId="77777777" w:rsidR="007C409B" w:rsidRPr="00CA37C8" w:rsidRDefault="007C409B" w:rsidP="007C409B">
            <w:pPr>
              <w:tabs>
                <w:tab w:val="right" w:pos="1202"/>
              </w:tabs>
              <w:spacing w:after="0" w:line="240" w:lineRule="auto"/>
              <w:jc w:val="center"/>
              <w:outlineLvl w:val="0"/>
              <w:rPr>
                <w:rFonts w:eastAsia="Times New Roman" w:cs="Arial"/>
                <w:snapToGrid w:val="0"/>
              </w:rPr>
            </w:pPr>
          </w:p>
        </w:tc>
        <w:tc>
          <w:tcPr>
            <w:tcW w:w="2236" w:type="dxa"/>
            <w:tcBorders>
              <w:top w:val="nil"/>
              <w:left w:val="nil"/>
              <w:bottom w:val="nil"/>
              <w:right w:val="nil"/>
            </w:tcBorders>
            <w:shd w:val="clear" w:color="auto" w:fill="auto"/>
            <w:vAlign w:val="bottom"/>
          </w:tcPr>
          <w:p w14:paraId="5C123EF1" w14:textId="1DC45DD9" w:rsidR="007C409B" w:rsidRPr="00312975" w:rsidRDefault="009F45AB" w:rsidP="007C409B">
            <w:pPr>
              <w:tabs>
                <w:tab w:val="right" w:pos="1202"/>
              </w:tabs>
              <w:spacing w:after="0" w:line="240" w:lineRule="auto"/>
              <w:jc w:val="right"/>
              <w:outlineLvl w:val="0"/>
              <w:rPr>
                <w:rFonts w:cs="Arial"/>
                <w:color w:val="000000"/>
              </w:rPr>
            </w:pPr>
            <w:r w:rsidRPr="00312975">
              <w:rPr>
                <w:rFonts w:cs="Arial"/>
                <w:color w:val="000000"/>
              </w:rPr>
              <w:t>1.548</w:t>
            </w:r>
          </w:p>
        </w:tc>
        <w:tc>
          <w:tcPr>
            <w:tcW w:w="0" w:type="auto"/>
            <w:vAlign w:val="bottom"/>
          </w:tcPr>
          <w:p w14:paraId="430578BF" w14:textId="77777777" w:rsidR="007C409B" w:rsidRPr="00312975" w:rsidRDefault="007C409B" w:rsidP="007C409B">
            <w:pPr>
              <w:tabs>
                <w:tab w:val="right" w:pos="1202"/>
              </w:tabs>
              <w:spacing w:after="0" w:line="240" w:lineRule="auto"/>
              <w:jc w:val="right"/>
              <w:outlineLvl w:val="0"/>
              <w:rPr>
                <w:rFonts w:cs="Arial"/>
                <w:color w:val="000000"/>
              </w:rPr>
            </w:pPr>
          </w:p>
        </w:tc>
        <w:tc>
          <w:tcPr>
            <w:tcW w:w="1531" w:type="dxa"/>
            <w:tcBorders>
              <w:top w:val="nil"/>
              <w:left w:val="nil"/>
              <w:bottom w:val="nil"/>
              <w:right w:val="nil"/>
            </w:tcBorders>
            <w:shd w:val="clear" w:color="auto" w:fill="auto"/>
            <w:vAlign w:val="bottom"/>
          </w:tcPr>
          <w:p w14:paraId="43F5FF05" w14:textId="67AD55AB" w:rsidR="007C409B" w:rsidRPr="00D633A5" w:rsidRDefault="007C409B" w:rsidP="007C409B">
            <w:pPr>
              <w:tabs>
                <w:tab w:val="right" w:pos="1202"/>
              </w:tabs>
              <w:spacing w:after="0" w:line="240" w:lineRule="auto"/>
              <w:jc w:val="right"/>
              <w:outlineLvl w:val="0"/>
              <w:rPr>
                <w:rFonts w:eastAsia="Times New Roman" w:cs="Arial"/>
                <w:snapToGrid w:val="0"/>
              </w:rPr>
            </w:pPr>
            <w:r>
              <w:rPr>
                <w:rFonts w:cs="Arial"/>
                <w:color w:val="000000"/>
              </w:rPr>
              <w:t>23.872</w:t>
            </w:r>
          </w:p>
        </w:tc>
      </w:tr>
      <w:tr w:rsidR="007C409B" w:rsidRPr="00CA37C8" w14:paraId="038F58DB" w14:textId="77777777" w:rsidTr="00312975">
        <w:trPr>
          <w:trHeight w:val="302"/>
        </w:trPr>
        <w:tc>
          <w:tcPr>
            <w:tcW w:w="4318" w:type="dxa"/>
            <w:vAlign w:val="bottom"/>
          </w:tcPr>
          <w:p w14:paraId="2C2F61FC" w14:textId="77777777" w:rsidR="007C409B" w:rsidRPr="00CA37C8" w:rsidRDefault="007C409B" w:rsidP="007C409B">
            <w:pPr>
              <w:tabs>
                <w:tab w:val="right" w:pos="1202"/>
              </w:tabs>
              <w:spacing w:after="0" w:line="240" w:lineRule="auto"/>
              <w:outlineLvl w:val="0"/>
              <w:rPr>
                <w:rFonts w:eastAsia="Times New Roman" w:cs="Arial"/>
              </w:rPr>
            </w:pPr>
            <w:r w:rsidRPr="00CA37C8">
              <w:rPr>
                <w:rFonts w:eastAsia="Times New Roman" w:cs="Arial"/>
              </w:rPr>
              <w:t xml:space="preserve">Krediti </w:t>
            </w:r>
            <w:r>
              <w:rPr>
                <w:rFonts w:eastAsia="Times New Roman" w:cs="Arial"/>
              </w:rPr>
              <w:t>financijskim institucijama</w:t>
            </w:r>
          </w:p>
        </w:tc>
        <w:tc>
          <w:tcPr>
            <w:tcW w:w="1020" w:type="dxa"/>
            <w:vAlign w:val="center"/>
          </w:tcPr>
          <w:p w14:paraId="30CEC076" w14:textId="77777777" w:rsidR="007C409B" w:rsidRPr="00CA37C8" w:rsidRDefault="007C409B" w:rsidP="007C409B">
            <w:pPr>
              <w:tabs>
                <w:tab w:val="right" w:pos="1202"/>
              </w:tabs>
              <w:spacing w:after="0" w:line="240" w:lineRule="auto"/>
              <w:jc w:val="center"/>
              <w:outlineLvl w:val="0"/>
              <w:rPr>
                <w:rFonts w:eastAsia="Times New Roman" w:cs="Arial"/>
                <w:snapToGrid w:val="0"/>
              </w:rPr>
            </w:pPr>
            <w:r>
              <w:rPr>
                <w:rFonts w:eastAsia="Times New Roman" w:cs="Arial"/>
                <w:snapToGrid w:val="0"/>
              </w:rPr>
              <w:t>9</w:t>
            </w:r>
          </w:p>
        </w:tc>
        <w:tc>
          <w:tcPr>
            <w:tcW w:w="2236" w:type="dxa"/>
            <w:tcBorders>
              <w:top w:val="nil"/>
              <w:left w:val="nil"/>
              <w:bottom w:val="nil"/>
              <w:right w:val="nil"/>
            </w:tcBorders>
            <w:shd w:val="clear" w:color="auto" w:fill="auto"/>
            <w:vAlign w:val="bottom"/>
          </w:tcPr>
          <w:p w14:paraId="06BA4663" w14:textId="1151092E" w:rsidR="007C409B" w:rsidRPr="000E5941" w:rsidRDefault="009F45AB" w:rsidP="007C409B">
            <w:pPr>
              <w:tabs>
                <w:tab w:val="right" w:pos="1202"/>
              </w:tabs>
              <w:spacing w:after="0" w:line="240" w:lineRule="auto"/>
              <w:jc w:val="right"/>
              <w:outlineLvl w:val="0"/>
              <w:rPr>
                <w:rFonts w:cs="Arial"/>
                <w:color w:val="000000"/>
              </w:rPr>
            </w:pPr>
            <w:r w:rsidRPr="009F45AB">
              <w:rPr>
                <w:rFonts w:cs="Arial"/>
                <w:color w:val="000000"/>
              </w:rPr>
              <w:t>11.313.502</w:t>
            </w:r>
          </w:p>
        </w:tc>
        <w:tc>
          <w:tcPr>
            <w:tcW w:w="0" w:type="auto"/>
            <w:vAlign w:val="bottom"/>
          </w:tcPr>
          <w:p w14:paraId="332AFD70" w14:textId="77777777" w:rsidR="007C409B" w:rsidRPr="00312975" w:rsidRDefault="007C409B" w:rsidP="007C409B">
            <w:pPr>
              <w:tabs>
                <w:tab w:val="right" w:pos="1202"/>
              </w:tabs>
              <w:spacing w:after="0" w:line="240" w:lineRule="auto"/>
              <w:jc w:val="right"/>
              <w:outlineLvl w:val="0"/>
              <w:rPr>
                <w:rFonts w:cs="Arial"/>
                <w:color w:val="000000"/>
              </w:rPr>
            </w:pPr>
          </w:p>
        </w:tc>
        <w:tc>
          <w:tcPr>
            <w:tcW w:w="1531" w:type="dxa"/>
            <w:tcBorders>
              <w:top w:val="nil"/>
              <w:left w:val="nil"/>
              <w:bottom w:val="nil"/>
              <w:right w:val="nil"/>
            </w:tcBorders>
            <w:shd w:val="clear" w:color="auto" w:fill="auto"/>
            <w:vAlign w:val="bottom"/>
          </w:tcPr>
          <w:p w14:paraId="13497161" w14:textId="7FBC8105" w:rsidR="007C409B" w:rsidRPr="00D633A5" w:rsidRDefault="007C409B" w:rsidP="007C409B">
            <w:pPr>
              <w:tabs>
                <w:tab w:val="right" w:pos="1202"/>
              </w:tabs>
              <w:spacing w:after="0" w:line="240" w:lineRule="auto"/>
              <w:jc w:val="right"/>
              <w:outlineLvl w:val="0"/>
              <w:rPr>
                <w:rFonts w:eastAsia="Times New Roman" w:cs="Arial"/>
                <w:snapToGrid w:val="0"/>
              </w:rPr>
            </w:pPr>
            <w:r>
              <w:rPr>
                <w:rFonts w:cs="Arial"/>
                <w:color w:val="000000"/>
              </w:rPr>
              <w:t>11.889.111</w:t>
            </w:r>
          </w:p>
        </w:tc>
      </w:tr>
      <w:tr w:rsidR="007C409B" w:rsidRPr="00CA37C8" w14:paraId="30E05688" w14:textId="77777777" w:rsidTr="00312975">
        <w:trPr>
          <w:trHeight w:val="302"/>
        </w:trPr>
        <w:tc>
          <w:tcPr>
            <w:tcW w:w="4318" w:type="dxa"/>
            <w:vAlign w:val="bottom"/>
          </w:tcPr>
          <w:p w14:paraId="2D506908" w14:textId="77777777" w:rsidR="007C409B" w:rsidRPr="00CA37C8" w:rsidRDefault="007C409B" w:rsidP="007C409B">
            <w:pPr>
              <w:tabs>
                <w:tab w:val="right" w:pos="1202"/>
              </w:tabs>
              <w:spacing w:after="0" w:line="240" w:lineRule="auto"/>
              <w:outlineLvl w:val="0"/>
              <w:rPr>
                <w:rFonts w:eastAsia="Times New Roman" w:cs="Arial"/>
              </w:rPr>
            </w:pPr>
            <w:r w:rsidRPr="00CA37C8">
              <w:rPr>
                <w:rFonts w:eastAsia="Times New Roman" w:cs="Arial"/>
              </w:rPr>
              <w:t>Krediti ostalim korisnicima</w:t>
            </w:r>
          </w:p>
        </w:tc>
        <w:tc>
          <w:tcPr>
            <w:tcW w:w="1020" w:type="dxa"/>
            <w:vAlign w:val="center"/>
          </w:tcPr>
          <w:p w14:paraId="00DA167A" w14:textId="77777777" w:rsidR="007C409B" w:rsidRPr="00CA37C8" w:rsidRDefault="007C409B" w:rsidP="007C409B">
            <w:pPr>
              <w:tabs>
                <w:tab w:val="right" w:pos="1202"/>
              </w:tabs>
              <w:spacing w:after="0" w:line="240" w:lineRule="auto"/>
              <w:jc w:val="center"/>
              <w:outlineLvl w:val="0"/>
              <w:rPr>
                <w:rFonts w:eastAsia="Times New Roman" w:cs="Arial"/>
                <w:spacing w:val="-2"/>
              </w:rPr>
            </w:pPr>
            <w:r>
              <w:rPr>
                <w:rFonts w:eastAsia="Times New Roman" w:cs="Arial"/>
                <w:spacing w:val="-2"/>
              </w:rPr>
              <w:t>10</w:t>
            </w:r>
          </w:p>
        </w:tc>
        <w:tc>
          <w:tcPr>
            <w:tcW w:w="2236" w:type="dxa"/>
            <w:tcBorders>
              <w:top w:val="nil"/>
              <w:left w:val="nil"/>
              <w:bottom w:val="nil"/>
              <w:right w:val="nil"/>
            </w:tcBorders>
            <w:shd w:val="clear" w:color="auto" w:fill="auto"/>
            <w:vAlign w:val="bottom"/>
          </w:tcPr>
          <w:p w14:paraId="499CED22" w14:textId="6CD9D7CA" w:rsidR="007C409B" w:rsidRPr="00312975" w:rsidRDefault="009F45AB" w:rsidP="007C409B">
            <w:pPr>
              <w:tabs>
                <w:tab w:val="right" w:pos="1202"/>
              </w:tabs>
              <w:spacing w:after="0" w:line="240" w:lineRule="auto"/>
              <w:jc w:val="right"/>
              <w:outlineLvl w:val="0"/>
              <w:rPr>
                <w:rFonts w:cs="Arial"/>
                <w:color w:val="000000"/>
              </w:rPr>
            </w:pPr>
            <w:r w:rsidRPr="00312975">
              <w:rPr>
                <w:rFonts w:cs="Arial"/>
                <w:color w:val="000000"/>
              </w:rPr>
              <w:t>11.647.114</w:t>
            </w:r>
          </w:p>
        </w:tc>
        <w:tc>
          <w:tcPr>
            <w:tcW w:w="0" w:type="auto"/>
            <w:vAlign w:val="bottom"/>
          </w:tcPr>
          <w:p w14:paraId="24420EA4" w14:textId="77777777" w:rsidR="007C409B" w:rsidRPr="00312975" w:rsidRDefault="007C409B" w:rsidP="007C409B">
            <w:pPr>
              <w:tabs>
                <w:tab w:val="right" w:pos="1202"/>
              </w:tabs>
              <w:spacing w:after="0" w:line="240" w:lineRule="auto"/>
              <w:jc w:val="right"/>
              <w:outlineLvl w:val="0"/>
              <w:rPr>
                <w:rFonts w:cs="Arial"/>
                <w:color w:val="000000"/>
              </w:rPr>
            </w:pPr>
          </w:p>
        </w:tc>
        <w:tc>
          <w:tcPr>
            <w:tcW w:w="1531" w:type="dxa"/>
            <w:tcBorders>
              <w:top w:val="nil"/>
              <w:left w:val="nil"/>
              <w:bottom w:val="nil"/>
              <w:right w:val="nil"/>
            </w:tcBorders>
            <w:shd w:val="clear" w:color="auto" w:fill="auto"/>
            <w:vAlign w:val="bottom"/>
          </w:tcPr>
          <w:p w14:paraId="15386DFE" w14:textId="7DAE9F57" w:rsidR="007C409B" w:rsidRPr="00D633A5" w:rsidRDefault="007C409B" w:rsidP="007C409B">
            <w:pPr>
              <w:tabs>
                <w:tab w:val="right" w:pos="1202"/>
              </w:tabs>
              <w:spacing w:after="0" w:line="240" w:lineRule="auto"/>
              <w:jc w:val="right"/>
              <w:outlineLvl w:val="0"/>
              <w:rPr>
                <w:rFonts w:eastAsia="Times New Roman" w:cs="Arial"/>
                <w:snapToGrid w:val="0"/>
              </w:rPr>
            </w:pPr>
            <w:r>
              <w:rPr>
                <w:rFonts w:cs="Arial"/>
                <w:color w:val="000000"/>
              </w:rPr>
              <w:t>11.511.194</w:t>
            </w:r>
          </w:p>
        </w:tc>
      </w:tr>
      <w:tr w:rsidR="007C409B" w:rsidRPr="00CA37C8" w14:paraId="051DCA2E" w14:textId="77777777" w:rsidTr="00312975">
        <w:trPr>
          <w:trHeight w:val="315"/>
        </w:trPr>
        <w:tc>
          <w:tcPr>
            <w:tcW w:w="4318" w:type="dxa"/>
            <w:vAlign w:val="bottom"/>
          </w:tcPr>
          <w:p w14:paraId="29646E28" w14:textId="77777777" w:rsidR="007C409B" w:rsidRPr="00CA37C8" w:rsidRDefault="007C409B" w:rsidP="007C409B">
            <w:pPr>
              <w:tabs>
                <w:tab w:val="right" w:pos="1202"/>
              </w:tabs>
              <w:spacing w:after="0" w:line="240" w:lineRule="auto"/>
              <w:outlineLvl w:val="0"/>
              <w:rPr>
                <w:rFonts w:eastAsia="Times New Roman" w:cs="Arial"/>
              </w:rPr>
            </w:pPr>
            <w:r w:rsidRPr="00CA37C8">
              <w:rPr>
                <w:rFonts w:eastAsia="Times New Roman" w:cs="Arial"/>
              </w:rPr>
              <w:t>Financijska imovina po fer vrijednosti kroz izvještaj o dobiti i gubitku</w:t>
            </w:r>
          </w:p>
        </w:tc>
        <w:tc>
          <w:tcPr>
            <w:tcW w:w="1020" w:type="dxa"/>
            <w:vAlign w:val="center"/>
          </w:tcPr>
          <w:p w14:paraId="0CE2CAB4" w14:textId="77777777" w:rsidR="007C409B" w:rsidRPr="00CA37C8" w:rsidRDefault="007C409B" w:rsidP="007C409B">
            <w:pPr>
              <w:tabs>
                <w:tab w:val="right" w:pos="1202"/>
              </w:tabs>
              <w:spacing w:after="0" w:line="240" w:lineRule="auto"/>
              <w:jc w:val="center"/>
              <w:outlineLvl w:val="0"/>
              <w:rPr>
                <w:rFonts w:eastAsia="Times New Roman" w:cs="Arial"/>
                <w:snapToGrid w:val="0"/>
              </w:rPr>
            </w:pPr>
          </w:p>
        </w:tc>
        <w:tc>
          <w:tcPr>
            <w:tcW w:w="2236" w:type="dxa"/>
            <w:tcBorders>
              <w:top w:val="nil"/>
              <w:left w:val="nil"/>
              <w:bottom w:val="nil"/>
              <w:right w:val="nil"/>
            </w:tcBorders>
            <w:shd w:val="clear" w:color="auto" w:fill="auto"/>
            <w:vAlign w:val="bottom"/>
          </w:tcPr>
          <w:p w14:paraId="73870A85" w14:textId="7C38556B" w:rsidR="007C409B" w:rsidRPr="00CA37C8" w:rsidRDefault="009F45AB" w:rsidP="007C409B">
            <w:pPr>
              <w:tabs>
                <w:tab w:val="right" w:pos="1202"/>
              </w:tabs>
              <w:spacing w:after="0" w:line="240" w:lineRule="auto"/>
              <w:jc w:val="right"/>
              <w:outlineLvl w:val="0"/>
              <w:rPr>
                <w:rFonts w:eastAsia="Times New Roman" w:cs="Arial"/>
                <w:snapToGrid w:val="0"/>
              </w:rPr>
            </w:pPr>
            <w:r w:rsidRPr="009F45AB">
              <w:rPr>
                <w:rFonts w:eastAsia="Times New Roman" w:cs="Arial"/>
                <w:snapToGrid w:val="0"/>
              </w:rPr>
              <w:t>284</w:t>
            </w:r>
          </w:p>
        </w:tc>
        <w:tc>
          <w:tcPr>
            <w:tcW w:w="0" w:type="auto"/>
            <w:vAlign w:val="bottom"/>
          </w:tcPr>
          <w:p w14:paraId="1EAB73D3" w14:textId="77777777" w:rsidR="007C409B" w:rsidRPr="00CA37C8" w:rsidRDefault="007C409B" w:rsidP="007C409B">
            <w:pPr>
              <w:tabs>
                <w:tab w:val="right" w:pos="1202"/>
              </w:tabs>
              <w:spacing w:after="0" w:line="240" w:lineRule="auto"/>
              <w:jc w:val="right"/>
              <w:outlineLvl w:val="0"/>
              <w:rPr>
                <w:rFonts w:eastAsia="Times New Roman" w:cs="Arial"/>
                <w:snapToGrid w:val="0"/>
              </w:rPr>
            </w:pPr>
          </w:p>
        </w:tc>
        <w:tc>
          <w:tcPr>
            <w:tcW w:w="1531" w:type="dxa"/>
            <w:tcBorders>
              <w:top w:val="nil"/>
              <w:left w:val="nil"/>
              <w:bottom w:val="nil"/>
              <w:right w:val="nil"/>
            </w:tcBorders>
            <w:shd w:val="clear" w:color="auto" w:fill="auto"/>
            <w:vAlign w:val="bottom"/>
          </w:tcPr>
          <w:p w14:paraId="32872185" w14:textId="2F23B6A1" w:rsidR="007C409B" w:rsidRPr="00D633A5" w:rsidRDefault="007C409B" w:rsidP="007C409B">
            <w:pPr>
              <w:tabs>
                <w:tab w:val="right" w:pos="1202"/>
              </w:tabs>
              <w:spacing w:after="0" w:line="240" w:lineRule="auto"/>
              <w:jc w:val="right"/>
              <w:outlineLvl w:val="0"/>
              <w:rPr>
                <w:rFonts w:eastAsia="Times New Roman" w:cs="Arial"/>
                <w:snapToGrid w:val="0"/>
              </w:rPr>
            </w:pPr>
            <w:r>
              <w:rPr>
                <w:rFonts w:cs="Arial"/>
                <w:color w:val="000000"/>
              </w:rPr>
              <w:t>286</w:t>
            </w:r>
          </w:p>
        </w:tc>
      </w:tr>
      <w:tr w:rsidR="007C409B" w:rsidRPr="00CA37C8" w14:paraId="6027D351" w14:textId="77777777" w:rsidTr="00312975">
        <w:trPr>
          <w:trHeight w:val="302"/>
        </w:trPr>
        <w:tc>
          <w:tcPr>
            <w:tcW w:w="4318" w:type="dxa"/>
            <w:vAlign w:val="bottom"/>
          </w:tcPr>
          <w:p w14:paraId="62E1F889" w14:textId="77777777" w:rsidR="007C409B" w:rsidRPr="00CA37C8" w:rsidRDefault="007C409B" w:rsidP="007C409B">
            <w:pPr>
              <w:tabs>
                <w:tab w:val="right" w:pos="1202"/>
              </w:tabs>
              <w:spacing w:after="0" w:line="240" w:lineRule="auto"/>
              <w:outlineLvl w:val="0"/>
              <w:rPr>
                <w:rFonts w:eastAsia="Times New Roman" w:cs="Arial"/>
              </w:rPr>
            </w:pPr>
            <w:r w:rsidRPr="00CA37C8">
              <w:rPr>
                <w:rFonts w:eastAsia="Times New Roman" w:cs="Arial"/>
              </w:rPr>
              <w:t>Imovina raspoloživa za prodaju</w:t>
            </w:r>
          </w:p>
        </w:tc>
        <w:tc>
          <w:tcPr>
            <w:tcW w:w="1020" w:type="dxa"/>
            <w:vAlign w:val="center"/>
          </w:tcPr>
          <w:p w14:paraId="120897F5" w14:textId="77777777" w:rsidR="007C409B" w:rsidRPr="00CA37C8" w:rsidRDefault="007C409B" w:rsidP="007C409B">
            <w:pPr>
              <w:tabs>
                <w:tab w:val="right" w:pos="1202"/>
              </w:tabs>
              <w:spacing w:after="0" w:line="240" w:lineRule="auto"/>
              <w:jc w:val="center"/>
              <w:outlineLvl w:val="0"/>
              <w:rPr>
                <w:rFonts w:eastAsia="Times New Roman" w:cs="Arial"/>
                <w:snapToGrid w:val="0"/>
              </w:rPr>
            </w:pPr>
            <w:r>
              <w:rPr>
                <w:rFonts w:eastAsia="Times New Roman" w:cs="Arial"/>
                <w:snapToGrid w:val="0"/>
              </w:rPr>
              <w:t>11</w:t>
            </w:r>
          </w:p>
        </w:tc>
        <w:tc>
          <w:tcPr>
            <w:tcW w:w="2236" w:type="dxa"/>
            <w:tcBorders>
              <w:top w:val="nil"/>
              <w:left w:val="nil"/>
              <w:right w:val="nil"/>
            </w:tcBorders>
            <w:shd w:val="clear" w:color="auto" w:fill="auto"/>
            <w:vAlign w:val="bottom"/>
          </w:tcPr>
          <w:p w14:paraId="6EBA52F7" w14:textId="1831DF96" w:rsidR="007C409B" w:rsidRPr="00CA37C8" w:rsidRDefault="009F45AB" w:rsidP="007C409B">
            <w:pPr>
              <w:tabs>
                <w:tab w:val="right" w:pos="1202"/>
              </w:tabs>
              <w:spacing w:after="0" w:line="240" w:lineRule="auto"/>
              <w:jc w:val="right"/>
              <w:outlineLvl w:val="0"/>
              <w:rPr>
                <w:rFonts w:eastAsia="Times New Roman" w:cs="Arial"/>
                <w:snapToGrid w:val="0"/>
              </w:rPr>
            </w:pPr>
            <w:r w:rsidRPr="009F45AB">
              <w:rPr>
                <w:rFonts w:eastAsia="Times New Roman" w:cs="Arial"/>
                <w:snapToGrid w:val="0"/>
              </w:rPr>
              <w:t>3.097.149</w:t>
            </w:r>
          </w:p>
        </w:tc>
        <w:tc>
          <w:tcPr>
            <w:tcW w:w="0" w:type="auto"/>
            <w:vAlign w:val="bottom"/>
          </w:tcPr>
          <w:p w14:paraId="7D0DBA13" w14:textId="77777777" w:rsidR="007C409B" w:rsidRPr="00CA37C8" w:rsidRDefault="007C409B" w:rsidP="007C409B">
            <w:pPr>
              <w:tabs>
                <w:tab w:val="right" w:pos="1202"/>
              </w:tabs>
              <w:spacing w:after="0" w:line="240" w:lineRule="auto"/>
              <w:jc w:val="right"/>
              <w:outlineLvl w:val="0"/>
              <w:rPr>
                <w:rFonts w:eastAsia="Times New Roman" w:cs="Arial"/>
                <w:snapToGrid w:val="0"/>
              </w:rPr>
            </w:pPr>
          </w:p>
        </w:tc>
        <w:tc>
          <w:tcPr>
            <w:tcW w:w="1531" w:type="dxa"/>
            <w:vAlign w:val="bottom"/>
          </w:tcPr>
          <w:p w14:paraId="12A85DEC" w14:textId="0822193B" w:rsidR="007C409B" w:rsidRPr="00D633A5" w:rsidRDefault="007C409B" w:rsidP="007C409B">
            <w:pPr>
              <w:tabs>
                <w:tab w:val="right" w:pos="1202"/>
              </w:tabs>
              <w:spacing w:after="0" w:line="240" w:lineRule="auto"/>
              <w:jc w:val="right"/>
              <w:outlineLvl w:val="0"/>
              <w:rPr>
                <w:rFonts w:eastAsia="Times New Roman" w:cs="Arial"/>
                <w:snapToGrid w:val="0"/>
              </w:rPr>
            </w:pPr>
            <w:r>
              <w:rPr>
                <w:rFonts w:cs="Arial"/>
                <w:snapToGrid w:val="0"/>
              </w:rPr>
              <w:t>3.390.034</w:t>
            </w:r>
          </w:p>
        </w:tc>
      </w:tr>
      <w:tr w:rsidR="007C409B" w:rsidRPr="00CA37C8" w14:paraId="0D2EE368" w14:textId="77777777" w:rsidTr="00312975">
        <w:trPr>
          <w:trHeight w:val="302"/>
        </w:trPr>
        <w:tc>
          <w:tcPr>
            <w:tcW w:w="4318" w:type="dxa"/>
            <w:vAlign w:val="bottom"/>
          </w:tcPr>
          <w:p w14:paraId="72E2A72F" w14:textId="77777777" w:rsidR="007C409B" w:rsidRPr="00CA37C8" w:rsidRDefault="007C409B" w:rsidP="007C409B">
            <w:pPr>
              <w:tabs>
                <w:tab w:val="right" w:pos="1202"/>
              </w:tabs>
              <w:spacing w:after="0" w:line="240" w:lineRule="auto"/>
              <w:outlineLvl w:val="0"/>
              <w:rPr>
                <w:rFonts w:eastAsia="Times New Roman" w:cs="Arial"/>
              </w:rPr>
            </w:pPr>
            <w:r w:rsidRPr="00CA37C8">
              <w:rPr>
                <w:rFonts w:eastAsia="Times New Roman" w:cs="Arial"/>
              </w:rPr>
              <w:t>Imovina koja se drži do dospijeća</w:t>
            </w:r>
          </w:p>
        </w:tc>
        <w:tc>
          <w:tcPr>
            <w:tcW w:w="1020" w:type="dxa"/>
            <w:vAlign w:val="center"/>
          </w:tcPr>
          <w:p w14:paraId="7C34B154" w14:textId="77777777" w:rsidR="007C409B" w:rsidRPr="00CA37C8" w:rsidRDefault="007C409B" w:rsidP="007C409B">
            <w:pPr>
              <w:tabs>
                <w:tab w:val="right" w:pos="1202"/>
              </w:tabs>
              <w:spacing w:after="0" w:line="240" w:lineRule="auto"/>
              <w:jc w:val="center"/>
              <w:outlineLvl w:val="0"/>
              <w:rPr>
                <w:rFonts w:eastAsia="Times New Roman" w:cs="Arial"/>
                <w:snapToGrid w:val="0"/>
              </w:rPr>
            </w:pPr>
          </w:p>
        </w:tc>
        <w:tc>
          <w:tcPr>
            <w:tcW w:w="2236" w:type="dxa"/>
            <w:tcBorders>
              <w:top w:val="nil"/>
              <w:left w:val="nil"/>
              <w:bottom w:val="nil"/>
              <w:right w:val="nil"/>
            </w:tcBorders>
            <w:shd w:val="clear" w:color="000000" w:fill="auto"/>
            <w:vAlign w:val="bottom"/>
          </w:tcPr>
          <w:p w14:paraId="0C83DC14" w14:textId="4C5B3EC1" w:rsidR="007C409B" w:rsidRPr="00CA37C8" w:rsidRDefault="009F45AB" w:rsidP="007C409B">
            <w:pPr>
              <w:tabs>
                <w:tab w:val="right" w:pos="1202"/>
              </w:tabs>
              <w:spacing w:after="0" w:line="240" w:lineRule="auto"/>
              <w:jc w:val="right"/>
              <w:outlineLvl w:val="0"/>
              <w:rPr>
                <w:rFonts w:eastAsia="Times New Roman" w:cs="Arial"/>
                <w:snapToGrid w:val="0"/>
              </w:rPr>
            </w:pPr>
            <w:r w:rsidRPr="009F45AB">
              <w:rPr>
                <w:rFonts w:eastAsia="Times New Roman" w:cs="Arial"/>
                <w:snapToGrid w:val="0"/>
              </w:rPr>
              <w:t>1.390</w:t>
            </w:r>
          </w:p>
        </w:tc>
        <w:tc>
          <w:tcPr>
            <w:tcW w:w="0" w:type="auto"/>
            <w:vAlign w:val="bottom"/>
          </w:tcPr>
          <w:p w14:paraId="399EA8C8" w14:textId="77777777" w:rsidR="007C409B" w:rsidRPr="00CA37C8" w:rsidRDefault="007C409B" w:rsidP="007C409B">
            <w:pPr>
              <w:tabs>
                <w:tab w:val="right" w:pos="1202"/>
              </w:tabs>
              <w:spacing w:after="0" w:line="240" w:lineRule="auto"/>
              <w:jc w:val="right"/>
              <w:outlineLvl w:val="0"/>
              <w:rPr>
                <w:rFonts w:eastAsia="Times New Roman" w:cs="Arial"/>
                <w:snapToGrid w:val="0"/>
              </w:rPr>
            </w:pPr>
          </w:p>
        </w:tc>
        <w:tc>
          <w:tcPr>
            <w:tcW w:w="1531" w:type="dxa"/>
            <w:vAlign w:val="bottom"/>
          </w:tcPr>
          <w:p w14:paraId="16BDDF5E" w14:textId="1F2E9EA3" w:rsidR="007C409B" w:rsidRPr="00D633A5" w:rsidRDefault="007C409B" w:rsidP="007C409B">
            <w:pPr>
              <w:tabs>
                <w:tab w:val="right" w:pos="1202"/>
              </w:tabs>
              <w:spacing w:after="0" w:line="240" w:lineRule="auto"/>
              <w:jc w:val="right"/>
              <w:outlineLvl w:val="0"/>
              <w:rPr>
                <w:rFonts w:eastAsia="Times New Roman" w:cs="Arial"/>
                <w:snapToGrid w:val="0"/>
              </w:rPr>
            </w:pPr>
            <w:r>
              <w:rPr>
                <w:rFonts w:cs="Arial"/>
                <w:snapToGrid w:val="0"/>
              </w:rPr>
              <w:t>1.422</w:t>
            </w:r>
          </w:p>
        </w:tc>
      </w:tr>
      <w:tr w:rsidR="007C409B" w:rsidRPr="00CA37C8" w14:paraId="736B32F9" w14:textId="77777777" w:rsidTr="00312975">
        <w:trPr>
          <w:trHeight w:val="302"/>
        </w:trPr>
        <w:tc>
          <w:tcPr>
            <w:tcW w:w="4318" w:type="dxa"/>
            <w:vAlign w:val="bottom"/>
          </w:tcPr>
          <w:p w14:paraId="5AD6C07B" w14:textId="77777777" w:rsidR="007C409B" w:rsidRPr="00CA37C8" w:rsidRDefault="007C409B" w:rsidP="007C409B">
            <w:pPr>
              <w:tabs>
                <w:tab w:val="right" w:pos="1202"/>
              </w:tabs>
              <w:spacing w:after="0" w:line="240" w:lineRule="auto"/>
              <w:outlineLvl w:val="0"/>
              <w:rPr>
                <w:rFonts w:eastAsia="Times New Roman" w:cs="Arial"/>
              </w:rPr>
            </w:pPr>
            <w:r w:rsidRPr="00CA37C8">
              <w:rPr>
                <w:rFonts w:eastAsia="Times New Roman" w:cs="Arial"/>
              </w:rPr>
              <w:t>Ulaganja u pridružena društva</w:t>
            </w:r>
          </w:p>
        </w:tc>
        <w:tc>
          <w:tcPr>
            <w:tcW w:w="1020" w:type="dxa"/>
            <w:vAlign w:val="center"/>
          </w:tcPr>
          <w:p w14:paraId="7BA31542" w14:textId="77777777" w:rsidR="007C409B" w:rsidRPr="00CA37C8" w:rsidRDefault="007C409B" w:rsidP="007C409B">
            <w:pPr>
              <w:tabs>
                <w:tab w:val="right" w:pos="1202"/>
              </w:tabs>
              <w:spacing w:after="0" w:line="240" w:lineRule="auto"/>
              <w:jc w:val="center"/>
              <w:outlineLvl w:val="0"/>
              <w:rPr>
                <w:rFonts w:eastAsia="Times New Roman" w:cs="Arial"/>
                <w:snapToGrid w:val="0"/>
              </w:rPr>
            </w:pPr>
          </w:p>
        </w:tc>
        <w:tc>
          <w:tcPr>
            <w:tcW w:w="2236" w:type="dxa"/>
            <w:tcBorders>
              <w:top w:val="nil"/>
              <w:left w:val="nil"/>
              <w:bottom w:val="nil"/>
              <w:right w:val="nil"/>
            </w:tcBorders>
            <w:shd w:val="clear" w:color="auto" w:fill="auto"/>
            <w:vAlign w:val="bottom"/>
          </w:tcPr>
          <w:p w14:paraId="3A73785E" w14:textId="638353F8" w:rsidR="007C409B" w:rsidRPr="00CA37C8" w:rsidRDefault="00AD0168" w:rsidP="007C409B">
            <w:pPr>
              <w:tabs>
                <w:tab w:val="right" w:pos="1202"/>
              </w:tabs>
              <w:spacing w:after="0" w:line="240" w:lineRule="auto"/>
              <w:jc w:val="right"/>
              <w:outlineLvl w:val="0"/>
              <w:rPr>
                <w:rFonts w:eastAsia="Times New Roman" w:cs="Arial"/>
                <w:snapToGrid w:val="0"/>
              </w:rPr>
            </w:pPr>
            <w:r>
              <w:rPr>
                <w:rFonts w:eastAsia="Times New Roman" w:cs="Arial"/>
                <w:snapToGrid w:val="0"/>
              </w:rPr>
              <w:t>-</w:t>
            </w:r>
          </w:p>
        </w:tc>
        <w:tc>
          <w:tcPr>
            <w:tcW w:w="0" w:type="auto"/>
            <w:vAlign w:val="bottom"/>
          </w:tcPr>
          <w:p w14:paraId="7ADD7D7F" w14:textId="77777777" w:rsidR="007C409B" w:rsidRPr="00CA37C8" w:rsidRDefault="007C409B" w:rsidP="007C409B">
            <w:pPr>
              <w:tabs>
                <w:tab w:val="right" w:pos="1202"/>
              </w:tabs>
              <w:spacing w:after="0" w:line="240" w:lineRule="auto"/>
              <w:jc w:val="right"/>
              <w:outlineLvl w:val="0"/>
              <w:rPr>
                <w:rFonts w:eastAsia="Times New Roman" w:cs="Arial"/>
                <w:snapToGrid w:val="0"/>
              </w:rPr>
            </w:pPr>
          </w:p>
        </w:tc>
        <w:tc>
          <w:tcPr>
            <w:tcW w:w="1531" w:type="dxa"/>
            <w:tcBorders>
              <w:top w:val="nil"/>
              <w:left w:val="nil"/>
              <w:bottom w:val="nil"/>
              <w:right w:val="nil"/>
            </w:tcBorders>
            <w:shd w:val="clear" w:color="auto" w:fill="auto"/>
            <w:vAlign w:val="bottom"/>
          </w:tcPr>
          <w:p w14:paraId="1E2458B1" w14:textId="5A88A183" w:rsidR="007C409B" w:rsidRPr="00D633A5" w:rsidRDefault="007C409B" w:rsidP="007C409B">
            <w:pPr>
              <w:tabs>
                <w:tab w:val="right" w:pos="1202"/>
              </w:tabs>
              <w:spacing w:after="0" w:line="240" w:lineRule="auto"/>
              <w:jc w:val="right"/>
              <w:outlineLvl w:val="0"/>
              <w:rPr>
                <w:rFonts w:eastAsia="Times New Roman" w:cs="Arial"/>
                <w:snapToGrid w:val="0"/>
              </w:rPr>
            </w:pPr>
            <w:r>
              <w:rPr>
                <w:rFonts w:cs="Arial"/>
                <w:snapToGrid w:val="0"/>
              </w:rPr>
              <w:t>-</w:t>
            </w:r>
          </w:p>
        </w:tc>
      </w:tr>
      <w:tr w:rsidR="007C409B" w:rsidRPr="00CA37C8" w14:paraId="3BF99618" w14:textId="77777777" w:rsidTr="00312975">
        <w:trPr>
          <w:trHeight w:val="302"/>
        </w:trPr>
        <w:tc>
          <w:tcPr>
            <w:tcW w:w="4318" w:type="dxa"/>
            <w:vAlign w:val="bottom"/>
          </w:tcPr>
          <w:p w14:paraId="728F6EE5" w14:textId="77777777" w:rsidR="007C409B" w:rsidRPr="00CA37C8" w:rsidRDefault="007C409B" w:rsidP="007C409B">
            <w:pPr>
              <w:tabs>
                <w:tab w:val="right" w:pos="1202"/>
              </w:tabs>
              <w:spacing w:after="0" w:line="240" w:lineRule="auto"/>
              <w:outlineLvl w:val="0"/>
              <w:rPr>
                <w:rFonts w:eastAsia="Times New Roman" w:cs="Arial"/>
              </w:rPr>
            </w:pPr>
            <w:r w:rsidRPr="00CA37C8">
              <w:rPr>
                <w:rFonts w:eastAsia="Times New Roman" w:cs="Arial"/>
              </w:rPr>
              <w:t>Nekretnine, postrojenja i oprema i nematerijalna imovina</w:t>
            </w:r>
          </w:p>
        </w:tc>
        <w:tc>
          <w:tcPr>
            <w:tcW w:w="1020" w:type="dxa"/>
            <w:vAlign w:val="center"/>
          </w:tcPr>
          <w:p w14:paraId="039E2B86" w14:textId="77777777" w:rsidR="007C409B" w:rsidRPr="00CA37C8" w:rsidRDefault="007C409B" w:rsidP="007C409B">
            <w:pPr>
              <w:tabs>
                <w:tab w:val="right" w:pos="1202"/>
              </w:tabs>
              <w:spacing w:after="0" w:line="240" w:lineRule="auto"/>
              <w:jc w:val="center"/>
              <w:outlineLvl w:val="0"/>
              <w:rPr>
                <w:rFonts w:eastAsia="Times New Roman" w:cs="Arial"/>
                <w:snapToGrid w:val="0"/>
              </w:rPr>
            </w:pPr>
          </w:p>
        </w:tc>
        <w:tc>
          <w:tcPr>
            <w:tcW w:w="2236" w:type="dxa"/>
            <w:tcBorders>
              <w:top w:val="nil"/>
              <w:left w:val="nil"/>
              <w:bottom w:val="nil"/>
              <w:right w:val="nil"/>
            </w:tcBorders>
            <w:shd w:val="clear" w:color="auto" w:fill="auto"/>
            <w:vAlign w:val="bottom"/>
          </w:tcPr>
          <w:p w14:paraId="65F86F8C" w14:textId="4039337A" w:rsidR="007C409B" w:rsidRPr="00CA37C8" w:rsidRDefault="009F45AB" w:rsidP="007C409B">
            <w:pPr>
              <w:tabs>
                <w:tab w:val="right" w:pos="1202"/>
              </w:tabs>
              <w:spacing w:after="0" w:line="240" w:lineRule="auto"/>
              <w:jc w:val="right"/>
              <w:outlineLvl w:val="0"/>
              <w:rPr>
                <w:rFonts w:eastAsia="Times New Roman" w:cs="Arial"/>
                <w:snapToGrid w:val="0"/>
              </w:rPr>
            </w:pPr>
            <w:r w:rsidRPr="009F45AB">
              <w:rPr>
                <w:rFonts w:eastAsia="Times New Roman" w:cs="Arial"/>
                <w:snapToGrid w:val="0"/>
              </w:rPr>
              <w:t>55.195</w:t>
            </w:r>
          </w:p>
        </w:tc>
        <w:tc>
          <w:tcPr>
            <w:tcW w:w="0" w:type="auto"/>
            <w:vAlign w:val="bottom"/>
          </w:tcPr>
          <w:p w14:paraId="06DC2CB9" w14:textId="77777777" w:rsidR="007C409B" w:rsidRPr="00CA37C8" w:rsidRDefault="007C409B" w:rsidP="007C409B">
            <w:pPr>
              <w:tabs>
                <w:tab w:val="right" w:pos="1202"/>
              </w:tabs>
              <w:spacing w:after="0" w:line="240" w:lineRule="auto"/>
              <w:jc w:val="right"/>
              <w:outlineLvl w:val="0"/>
              <w:rPr>
                <w:rFonts w:eastAsia="Times New Roman" w:cs="Arial"/>
                <w:snapToGrid w:val="0"/>
              </w:rPr>
            </w:pPr>
          </w:p>
        </w:tc>
        <w:tc>
          <w:tcPr>
            <w:tcW w:w="1531" w:type="dxa"/>
            <w:tcBorders>
              <w:top w:val="nil"/>
              <w:left w:val="nil"/>
              <w:bottom w:val="nil"/>
              <w:right w:val="nil"/>
            </w:tcBorders>
            <w:shd w:val="clear" w:color="auto" w:fill="auto"/>
            <w:vAlign w:val="bottom"/>
          </w:tcPr>
          <w:p w14:paraId="47AC6709" w14:textId="46A917AD" w:rsidR="007C409B" w:rsidRPr="00D633A5" w:rsidRDefault="007C409B" w:rsidP="007C409B">
            <w:pPr>
              <w:tabs>
                <w:tab w:val="right" w:pos="1202"/>
              </w:tabs>
              <w:spacing w:after="0" w:line="240" w:lineRule="auto"/>
              <w:jc w:val="right"/>
              <w:outlineLvl w:val="0"/>
              <w:rPr>
                <w:rFonts w:eastAsia="Times New Roman" w:cs="Arial"/>
                <w:snapToGrid w:val="0"/>
              </w:rPr>
            </w:pPr>
            <w:r>
              <w:rPr>
                <w:rFonts w:cs="Arial"/>
                <w:color w:val="000000"/>
              </w:rPr>
              <w:t>57.305</w:t>
            </w:r>
          </w:p>
        </w:tc>
      </w:tr>
      <w:tr w:rsidR="007C409B" w:rsidRPr="00CA37C8" w14:paraId="612288DB" w14:textId="77777777" w:rsidTr="00312975">
        <w:trPr>
          <w:trHeight w:val="302"/>
        </w:trPr>
        <w:tc>
          <w:tcPr>
            <w:tcW w:w="4318" w:type="dxa"/>
            <w:vAlign w:val="bottom"/>
          </w:tcPr>
          <w:p w14:paraId="70FFD7AE" w14:textId="77777777" w:rsidR="007C409B" w:rsidRPr="00CA37C8" w:rsidRDefault="007C409B" w:rsidP="007C409B">
            <w:pPr>
              <w:tabs>
                <w:tab w:val="right" w:pos="1202"/>
              </w:tabs>
              <w:spacing w:after="0" w:line="240" w:lineRule="auto"/>
              <w:outlineLvl w:val="0"/>
              <w:rPr>
                <w:rFonts w:eastAsia="Times New Roman" w:cs="Arial"/>
              </w:rPr>
            </w:pPr>
            <w:r w:rsidRPr="00CA37C8">
              <w:rPr>
                <w:rFonts w:eastAsia="Times New Roman" w:cs="Arial"/>
              </w:rPr>
              <w:t>Dugotrajna imovina namijenjena prodaji</w:t>
            </w:r>
          </w:p>
        </w:tc>
        <w:tc>
          <w:tcPr>
            <w:tcW w:w="1020" w:type="dxa"/>
            <w:vAlign w:val="center"/>
          </w:tcPr>
          <w:p w14:paraId="22021A8F" w14:textId="77777777" w:rsidR="007C409B" w:rsidRPr="00CA37C8" w:rsidRDefault="007C409B" w:rsidP="007C409B">
            <w:pPr>
              <w:tabs>
                <w:tab w:val="right" w:pos="1202"/>
              </w:tabs>
              <w:spacing w:after="0" w:line="240" w:lineRule="auto"/>
              <w:jc w:val="center"/>
              <w:outlineLvl w:val="0"/>
              <w:rPr>
                <w:rFonts w:eastAsia="Times New Roman" w:cs="Arial"/>
                <w:snapToGrid w:val="0"/>
              </w:rPr>
            </w:pPr>
          </w:p>
        </w:tc>
        <w:tc>
          <w:tcPr>
            <w:tcW w:w="2236" w:type="dxa"/>
            <w:tcBorders>
              <w:top w:val="nil"/>
              <w:left w:val="nil"/>
              <w:bottom w:val="nil"/>
              <w:right w:val="nil"/>
            </w:tcBorders>
            <w:shd w:val="clear" w:color="auto" w:fill="auto"/>
            <w:vAlign w:val="bottom"/>
          </w:tcPr>
          <w:p w14:paraId="45C1AC9A" w14:textId="6D7895C0" w:rsidR="007C409B" w:rsidRPr="00CA37C8" w:rsidRDefault="009F45AB" w:rsidP="007C409B">
            <w:pPr>
              <w:tabs>
                <w:tab w:val="right" w:pos="1202"/>
              </w:tabs>
              <w:spacing w:after="0" w:line="240" w:lineRule="auto"/>
              <w:jc w:val="right"/>
              <w:outlineLvl w:val="0"/>
              <w:rPr>
                <w:rFonts w:eastAsia="Times New Roman" w:cs="Arial"/>
                <w:snapToGrid w:val="0"/>
              </w:rPr>
            </w:pPr>
            <w:r w:rsidRPr="009F45AB">
              <w:rPr>
                <w:rFonts w:eastAsia="Times New Roman" w:cs="Arial"/>
                <w:snapToGrid w:val="0"/>
              </w:rPr>
              <w:t>17.030</w:t>
            </w:r>
          </w:p>
        </w:tc>
        <w:tc>
          <w:tcPr>
            <w:tcW w:w="0" w:type="auto"/>
            <w:vAlign w:val="bottom"/>
          </w:tcPr>
          <w:p w14:paraId="320762D1" w14:textId="77777777" w:rsidR="007C409B" w:rsidRPr="00CA37C8" w:rsidRDefault="007C409B" w:rsidP="007C409B">
            <w:pPr>
              <w:tabs>
                <w:tab w:val="right" w:pos="1202"/>
              </w:tabs>
              <w:spacing w:after="0" w:line="240" w:lineRule="auto"/>
              <w:jc w:val="right"/>
              <w:outlineLvl w:val="0"/>
              <w:rPr>
                <w:rFonts w:eastAsia="Times New Roman" w:cs="Arial"/>
                <w:snapToGrid w:val="0"/>
              </w:rPr>
            </w:pPr>
          </w:p>
        </w:tc>
        <w:tc>
          <w:tcPr>
            <w:tcW w:w="1531" w:type="dxa"/>
            <w:tcBorders>
              <w:top w:val="nil"/>
              <w:left w:val="nil"/>
              <w:bottom w:val="nil"/>
              <w:right w:val="nil"/>
            </w:tcBorders>
            <w:shd w:val="clear" w:color="auto" w:fill="auto"/>
            <w:vAlign w:val="bottom"/>
          </w:tcPr>
          <w:p w14:paraId="6066C1B8" w14:textId="5FFE0FB4" w:rsidR="007C409B" w:rsidRPr="00D633A5" w:rsidRDefault="007C409B" w:rsidP="007C409B">
            <w:pPr>
              <w:tabs>
                <w:tab w:val="right" w:pos="1202"/>
              </w:tabs>
              <w:spacing w:after="0" w:line="240" w:lineRule="auto"/>
              <w:jc w:val="right"/>
              <w:outlineLvl w:val="0"/>
              <w:rPr>
                <w:rFonts w:eastAsia="Times New Roman" w:cs="Arial"/>
                <w:snapToGrid w:val="0"/>
              </w:rPr>
            </w:pPr>
            <w:r>
              <w:rPr>
                <w:rFonts w:cs="Arial"/>
                <w:color w:val="000000"/>
              </w:rPr>
              <w:t>17.230</w:t>
            </w:r>
          </w:p>
        </w:tc>
      </w:tr>
      <w:tr w:rsidR="007C409B" w:rsidRPr="00CA37C8" w14:paraId="6BCF34D9" w14:textId="77777777" w:rsidTr="00312975">
        <w:trPr>
          <w:trHeight w:val="302"/>
        </w:trPr>
        <w:tc>
          <w:tcPr>
            <w:tcW w:w="4318" w:type="dxa"/>
            <w:vAlign w:val="bottom"/>
          </w:tcPr>
          <w:p w14:paraId="04E931AC" w14:textId="77777777" w:rsidR="007C409B" w:rsidRPr="00CA37C8" w:rsidRDefault="007C409B" w:rsidP="007C409B">
            <w:pPr>
              <w:tabs>
                <w:tab w:val="right" w:pos="1202"/>
              </w:tabs>
              <w:spacing w:after="0" w:line="240" w:lineRule="auto"/>
              <w:outlineLvl w:val="0"/>
              <w:rPr>
                <w:rFonts w:eastAsia="Times New Roman" w:cs="Arial"/>
              </w:rPr>
            </w:pPr>
            <w:r w:rsidRPr="00CA37C8">
              <w:rPr>
                <w:rFonts w:eastAsia="Times New Roman" w:cs="Arial"/>
              </w:rPr>
              <w:t>Ostala imovina</w:t>
            </w:r>
          </w:p>
        </w:tc>
        <w:tc>
          <w:tcPr>
            <w:tcW w:w="1020" w:type="dxa"/>
            <w:vAlign w:val="center"/>
          </w:tcPr>
          <w:p w14:paraId="01234D7C" w14:textId="77777777" w:rsidR="007C409B" w:rsidRPr="00CA37C8" w:rsidRDefault="007C409B" w:rsidP="007C409B">
            <w:pPr>
              <w:tabs>
                <w:tab w:val="right" w:pos="1202"/>
              </w:tabs>
              <w:spacing w:after="0" w:line="240" w:lineRule="auto"/>
              <w:jc w:val="center"/>
              <w:outlineLvl w:val="0"/>
              <w:rPr>
                <w:rFonts w:eastAsia="Times New Roman" w:cs="Arial"/>
                <w:snapToGrid w:val="0"/>
              </w:rPr>
            </w:pPr>
          </w:p>
        </w:tc>
        <w:tc>
          <w:tcPr>
            <w:tcW w:w="2236" w:type="dxa"/>
            <w:tcBorders>
              <w:top w:val="nil"/>
              <w:left w:val="nil"/>
              <w:bottom w:val="nil"/>
              <w:right w:val="nil"/>
            </w:tcBorders>
            <w:shd w:val="clear" w:color="auto" w:fill="auto"/>
            <w:vAlign w:val="bottom"/>
          </w:tcPr>
          <w:p w14:paraId="426031CA" w14:textId="4615DD10" w:rsidR="007C409B" w:rsidRPr="00CA37C8" w:rsidRDefault="009F45AB" w:rsidP="007C409B">
            <w:pPr>
              <w:tabs>
                <w:tab w:val="right" w:pos="1202"/>
              </w:tabs>
              <w:spacing w:after="0" w:line="240" w:lineRule="auto"/>
              <w:jc w:val="right"/>
              <w:outlineLvl w:val="0"/>
              <w:rPr>
                <w:rFonts w:eastAsia="Times New Roman" w:cs="Arial"/>
                <w:snapToGrid w:val="0"/>
              </w:rPr>
            </w:pPr>
            <w:r w:rsidRPr="009F45AB">
              <w:rPr>
                <w:rFonts w:eastAsia="Times New Roman" w:cs="Arial"/>
                <w:snapToGrid w:val="0"/>
              </w:rPr>
              <w:t>9.338</w:t>
            </w:r>
          </w:p>
        </w:tc>
        <w:tc>
          <w:tcPr>
            <w:tcW w:w="0" w:type="auto"/>
            <w:vAlign w:val="bottom"/>
          </w:tcPr>
          <w:p w14:paraId="7F62DE82" w14:textId="77777777" w:rsidR="007C409B" w:rsidRPr="00CA37C8" w:rsidRDefault="007C409B" w:rsidP="007C409B">
            <w:pPr>
              <w:tabs>
                <w:tab w:val="right" w:pos="1202"/>
              </w:tabs>
              <w:spacing w:after="0" w:line="240" w:lineRule="auto"/>
              <w:jc w:val="right"/>
              <w:outlineLvl w:val="0"/>
              <w:rPr>
                <w:rFonts w:eastAsia="Times New Roman" w:cs="Arial"/>
                <w:snapToGrid w:val="0"/>
              </w:rPr>
            </w:pPr>
          </w:p>
        </w:tc>
        <w:tc>
          <w:tcPr>
            <w:tcW w:w="1531" w:type="dxa"/>
            <w:tcBorders>
              <w:top w:val="nil"/>
              <w:left w:val="nil"/>
              <w:bottom w:val="nil"/>
              <w:right w:val="nil"/>
            </w:tcBorders>
            <w:shd w:val="clear" w:color="auto" w:fill="auto"/>
            <w:vAlign w:val="bottom"/>
          </w:tcPr>
          <w:p w14:paraId="0EFF1B83" w14:textId="30AD4DA6" w:rsidR="007C409B" w:rsidRPr="00D633A5" w:rsidRDefault="007C409B" w:rsidP="007C409B">
            <w:pPr>
              <w:tabs>
                <w:tab w:val="right" w:pos="1202"/>
              </w:tabs>
              <w:spacing w:after="0" w:line="240" w:lineRule="auto"/>
              <w:jc w:val="right"/>
              <w:outlineLvl w:val="0"/>
              <w:rPr>
                <w:rFonts w:eastAsia="Times New Roman" w:cs="Arial"/>
                <w:snapToGrid w:val="0"/>
              </w:rPr>
            </w:pPr>
            <w:r>
              <w:rPr>
                <w:rFonts w:cs="Arial"/>
                <w:color w:val="000000"/>
              </w:rPr>
              <w:t>9.122</w:t>
            </w:r>
          </w:p>
        </w:tc>
      </w:tr>
      <w:tr w:rsidR="00D54380" w:rsidRPr="00CA37C8" w14:paraId="089A2F3F" w14:textId="77777777" w:rsidTr="00AD0168">
        <w:trPr>
          <w:trHeight w:hRule="exact" w:val="113"/>
        </w:trPr>
        <w:tc>
          <w:tcPr>
            <w:tcW w:w="4318" w:type="dxa"/>
            <w:vAlign w:val="bottom"/>
          </w:tcPr>
          <w:p w14:paraId="072B54E2" w14:textId="77777777" w:rsidR="00D54380" w:rsidRPr="00CA37C8" w:rsidRDefault="00D54380" w:rsidP="00D54380">
            <w:pPr>
              <w:keepNext/>
              <w:keepLines/>
              <w:tabs>
                <w:tab w:val="decimal" w:pos="1202"/>
              </w:tabs>
              <w:spacing w:after="0" w:line="240" w:lineRule="auto"/>
              <w:rPr>
                <w:rFonts w:eastAsia="Times New Roman" w:cs="Arial"/>
                <w:b/>
                <w:position w:val="4"/>
              </w:rPr>
            </w:pPr>
          </w:p>
        </w:tc>
        <w:tc>
          <w:tcPr>
            <w:tcW w:w="1020" w:type="dxa"/>
            <w:vAlign w:val="center"/>
          </w:tcPr>
          <w:p w14:paraId="246412E2" w14:textId="77777777" w:rsidR="00D54380" w:rsidRPr="00CA37C8" w:rsidRDefault="00D54380" w:rsidP="00D54380">
            <w:pPr>
              <w:keepLines/>
              <w:spacing w:after="0" w:line="240" w:lineRule="auto"/>
              <w:jc w:val="center"/>
              <w:rPr>
                <w:rFonts w:eastAsia="Times New Roman" w:cs="Arial"/>
                <w:spacing w:val="-2"/>
                <w:position w:val="4"/>
              </w:rPr>
            </w:pPr>
          </w:p>
        </w:tc>
        <w:tc>
          <w:tcPr>
            <w:tcW w:w="2236" w:type="dxa"/>
            <w:tcBorders>
              <w:bottom w:val="single" w:sz="4" w:space="0" w:color="auto"/>
            </w:tcBorders>
            <w:vAlign w:val="bottom"/>
          </w:tcPr>
          <w:p w14:paraId="2E352518" w14:textId="77777777" w:rsidR="00D54380" w:rsidRPr="00CA37C8" w:rsidRDefault="00D54380" w:rsidP="00D54380">
            <w:pPr>
              <w:keepLines/>
              <w:spacing w:after="0" w:line="240" w:lineRule="auto"/>
              <w:jc w:val="right"/>
              <w:rPr>
                <w:rFonts w:eastAsia="Times New Roman" w:cs="Arial"/>
                <w:spacing w:val="-2"/>
                <w:position w:val="4"/>
              </w:rPr>
            </w:pPr>
          </w:p>
        </w:tc>
        <w:tc>
          <w:tcPr>
            <w:tcW w:w="0" w:type="auto"/>
            <w:tcBorders>
              <w:bottom w:val="single" w:sz="4" w:space="0" w:color="auto"/>
            </w:tcBorders>
            <w:vAlign w:val="bottom"/>
          </w:tcPr>
          <w:p w14:paraId="47DCDE03" w14:textId="77777777" w:rsidR="00D54380" w:rsidRPr="00CA37C8" w:rsidRDefault="00D54380" w:rsidP="00D54380">
            <w:pPr>
              <w:keepNext/>
              <w:keepLines/>
              <w:tabs>
                <w:tab w:val="left" w:pos="215"/>
                <w:tab w:val="decimal" w:pos="1295"/>
              </w:tabs>
              <w:spacing w:after="0" w:line="240" w:lineRule="auto"/>
              <w:ind w:right="-148"/>
              <w:jc w:val="right"/>
              <w:rPr>
                <w:rFonts w:eastAsia="Times New Roman" w:cs="Arial"/>
                <w:b/>
                <w:snapToGrid w:val="0"/>
                <w:position w:val="4"/>
              </w:rPr>
            </w:pPr>
          </w:p>
        </w:tc>
        <w:tc>
          <w:tcPr>
            <w:tcW w:w="1531" w:type="dxa"/>
            <w:tcBorders>
              <w:bottom w:val="single" w:sz="4" w:space="0" w:color="auto"/>
            </w:tcBorders>
            <w:vAlign w:val="bottom"/>
          </w:tcPr>
          <w:p w14:paraId="7F3E0030" w14:textId="77777777" w:rsidR="00D54380" w:rsidRPr="00CA37C8" w:rsidRDefault="00D54380" w:rsidP="00D54380">
            <w:pPr>
              <w:keepLines/>
              <w:spacing w:after="0" w:line="240" w:lineRule="auto"/>
              <w:jc w:val="right"/>
              <w:rPr>
                <w:rFonts w:eastAsia="Times New Roman" w:cs="Arial"/>
                <w:spacing w:val="-2"/>
                <w:position w:val="4"/>
              </w:rPr>
            </w:pPr>
          </w:p>
        </w:tc>
      </w:tr>
      <w:tr w:rsidR="00D54380" w:rsidRPr="00CA37C8" w14:paraId="2B395F3A" w14:textId="77777777" w:rsidTr="00AD0168">
        <w:trPr>
          <w:trHeight w:val="344"/>
        </w:trPr>
        <w:tc>
          <w:tcPr>
            <w:tcW w:w="4318" w:type="dxa"/>
            <w:vAlign w:val="bottom"/>
          </w:tcPr>
          <w:p w14:paraId="1E133677"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Ukupna imovina</w:t>
            </w:r>
          </w:p>
        </w:tc>
        <w:tc>
          <w:tcPr>
            <w:tcW w:w="1020" w:type="dxa"/>
            <w:vAlign w:val="center"/>
          </w:tcPr>
          <w:p w14:paraId="621D3E02" w14:textId="77777777" w:rsidR="00D54380" w:rsidRPr="00CA37C8" w:rsidRDefault="00D54380" w:rsidP="00D54380">
            <w:pPr>
              <w:spacing w:after="0" w:line="240" w:lineRule="auto"/>
              <w:jc w:val="center"/>
              <w:rPr>
                <w:rFonts w:eastAsia="Times New Roman" w:cs="Arial"/>
                <w:b/>
                <w:bCs/>
              </w:rPr>
            </w:pPr>
          </w:p>
        </w:tc>
        <w:tc>
          <w:tcPr>
            <w:tcW w:w="2236" w:type="dxa"/>
            <w:tcBorders>
              <w:top w:val="single" w:sz="4" w:space="0" w:color="auto"/>
              <w:bottom w:val="single" w:sz="12" w:space="0" w:color="auto"/>
            </w:tcBorders>
            <w:vAlign w:val="bottom"/>
          </w:tcPr>
          <w:p w14:paraId="16E0B735" w14:textId="4FCE8175" w:rsidR="00D54380" w:rsidRPr="006504FB" w:rsidRDefault="009F45AB" w:rsidP="00D54380">
            <w:pPr>
              <w:spacing w:after="0" w:line="240" w:lineRule="auto"/>
              <w:jc w:val="right"/>
              <w:rPr>
                <w:rFonts w:eastAsia="Times New Roman" w:cs="Arial"/>
                <w:b/>
                <w:bCs/>
              </w:rPr>
            </w:pPr>
            <w:r w:rsidRPr="009F45AB">
              <w:rPr>
                <w:rFonts w:eastAsia="Times New Roman" w:cs="Arial"/>
                <w:b/>
                <w:bCs/>
              </w:rPr>
              <w:t>27.823.841</w:t>
            </w:r>
          </w:p>
        </w:tc>
        <w:tc>
          <w:tcPr>
            <w:tcW w:w="0" w:type="auto"/>
            <w:tcBorders>
              <w:top w:val="single" w:sz="4" w:space="0" w:color="auto"/>
              <w:bottom w:val="single" w:sz="12" w:space="0" w:color="auto"/>
            </w:tcBorders>
            <w:vAlign w:val="bottom"/>
          </w:tcPr>
          <w:p w14:paraId="45E135FC"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1531" w:type="dxa"/>
            <w:tcBorders>
              <w:top w:val="single" w:sz="4" w:space="0" w:color="auto"/>
              <w:bottom w:val="single" w:sz="12" w:space="0" w:color="auto"/>
            </w:tcBorders>
            <w:vAlign w:val="bottom"/>
          </w:tcPr>
          <w:p w14:paraId="6BE0D431" w14:textId="0635BA8E" w:rsidR="00D54380" w:rsidRPr="00CA37C8" w:rsidRDefault="007C409B" w:rsidP="00D54380">
            <w:pPr>
              <w:spacing w:after="0" w:line="240" w:lineRule="auto"/>
              <w:jc w:val="right"/>
              <w:rPr>
                <w:rFonts w:eastAsia="Times New Roman" w:cs="Arial"/>
                <w:b/>
                <w:bCs/>
              </w:rPr>
            </w:pPr>
            <w:r w:rsidRPr="007C409B">
              <w:rPr>
                <w:rFonts w:eastAsia="Times New Roman" w:cs="Arial"/>
                <w:b/>
                <w:bCs/>
              </w:rPr>
              <w:t>27.390.822</w:t>
            </w:r>
          </w:p>
        </w:tc>
      </w:tr>
      <w:tr w:rsidR="00D54380" w:rsidRPr="00CA37C8" w14:paraId="54FBA0CC" w14:textId="77777777" w:rsidTr="00AD0168">
        <w:trPr>
          <w:trHeight w:hRule="exact" w:val="113"/>
        </w:trPr>
        <w:tc>
          <w:tcPr>
            <w:tcW w:w="4318" w:type="dxa"/>
            <w:vAlign w:val="bottom"/>
          </w:tcPr>
          <w:p w14:paraId="5306FEA0" w14:textId="77777777" w:rsidR="00D54380" w:rsidRPr="00CA37C8" w:rsidRDefault="00D54380" w:rsidP="00D54380">
            <w:pPr>
              <w:keepNext/>
              <w:keepLines/>
              <w:tabs>
                <w:tab w:val="decimal" w:pos="1202"/>
              </w:tabs>
              <w:spacing w:after="0" w:line="240" w:lineRule="auto"/>
              <w:rPr>
                <w:rFonts w:eastAsia="Times New Roman" w:cs="Arial"/>
                <w:b/>
                <w:position w:val="4"/>
                <w:u w:val="thick"/>
              </w:rPr>
            </w:pPr>
          </w:p>
        </w:tc>
        <w:tc>
          <w:tcPr>
            <w:tcW w:w="1020" w:type="dxa"/>
            <w:vAlign w:val="center"/>
          </w:tcPr>
          <w:p w14:paraId="4E630FB3" w14:textId="77777777" w:rsidR="00D54380" w:rsidRPr="00CA37C8" w:rsidRDefault="00D54380" w:rsidP="00D54380">
            <w:pPr>
              <w:keepNext/>
              <w:keepLines/>
              <w:tabs>
                <w:tab w:val="decimal" w:pos="1060"/>
              </w:tabs>
              <w:spacing w:after="0" w:line="240" w:lineRule="auto"/>
              <w:jc w:val="center"/>
              <w:rPr>
                <w:rFonts w:eastAsia="Times New Roman" w:cs="Arial"/>
                <w:b/>
                <w:position w:val="4"/>
                <w:u w:val="thick"/>
              </w:rPr>
            </w:pPr>
          </w:p>
        </w:tc>
        <w:tc>
          <w:tcPr>
            <w:tcW w:w="2236" w:type="dxa"/>
            <w:tcBorders>
              <w:top w:val="single" w:sz="12" w:space="0" w:color="auto"/>
            </w:tcBorders>
            <w:vAlign w:val="bottom"/>
          </w:tcPr>
          <w:p w14:paraId="495E1C1F" w14:textId="77777777" w:rsidR="00D54380" w:rsidRPr="00CA37C8" w:rsidRDefault="00D54380" w:rsidP="00D54380">
            <w:pPr>
              <w:keepNext/>
              <w:keepLines/>
              <w:tabs>
                <w:tab w:val="decimal" w:pos="1060"/>
              </w:tabs>
              <w:spacing w:after="0" w:line="240" w:lineRule="auto"/>
              <w:jc w:val="right"/>
              <w:rPr>
                <w:rFonts w:eastAsia="Times New Roman" w:cs="Arial"/>
                <w:b/>
                <w:position w:val="4"/>
                <w:u w:val="thick"/>
              </w:rPr>
            </w:pPr>
          </w:p>
        </w:tc>
        <w:tc>
          <w:tcPr>
            <w:tcW w:w="0" w:type="auto"/>
            <w:tcBorders>
              <w:top w:val="single" w:sz="12" w:space="0" w:color="auto"/>
            </w:tcBorders>
            <w:vAlign w:val="bottom"/>
          </w:tcPr>
          <w:p w14:paraId="3A699FCA" w14:textId="77777777" w:rsidR="00D54380" w:rsidRPr="00CA37C8" w:rsidRDefault="00D54380" w:rsidP="00D54380">
            <w:pPr>
              <w:keepNext/>
              <w:keepLines/>
              <w:tabs>
                <w:tab w:val="decimal" w:pos="1202"/>
              </w:tabs>
              <w:spacing w:after="0" w:line="240" w:lineRule="auto"/>
              <w:jc w:val="right"/>
              <w:rPr>
                <w:rFonts w:eastAsia="Times New Roman" w:cs="Arial"/>
                <w:b/>
                <w:position w:val="4"/>
                <w:u w:val="thick"/>
              </w:rPr>
            </w:pPr>
          </w:p>
        </w:tc>
        <w:tc>
          <w:tcPr>
            <w:tcW w:w="1531" w:type="dxa"/>
            <w:tcBorders>
              <w:top w:val="single" w:sz="12" w:space="0" w:color="auto"/>
            </w:tcBorders>
            <w:vAlign w:val="bottom"/>
          </w:tcPr>
          <w:p w14:paraId="0123C9A6" w14:textId="77777777" w:rsidR="00D54380" w:rsidRPr="00CA37C8" w:rsidRDefault="00D54380" w:rsidP="00D54380">
            <w:pPr>
              <w:keepNext/>
              <w:keepLines/>
              <w:tabs>
                <w:tab w:val="decimal" w:pos="1060"/>
              </w:tabs>
              <w:spacing w:after="0" w:line="240" w:lineRule="auto"/>
              <w:jc w:val="right"/>
              <w:rPr>
                <w:rFonts w:eastAsia="Times New Roman" w:cs="Arial"/>
                <w:b/>
                <w:position w:val="4"/>
                <w:u w:val="thick"/>
              </w:rPr>
            </w:pPr>
          </w:p>
        </w:tc>
      </w:tr>
      <w:tr w:rsidR="00D54380" w:rsidRPr="00CA37C8" w14:paraId="0C3C7BC3" w14:textId="77777777" w:rsidTr="00AD0168">
        <w:trPr>
          <w:trHeight w:val="302"/>
        </w:trPr>
        <w:tc>
          <w:tcPr>
            <w:tcW w:w="4318" w:type="dxa"/>
            <w:vAlign w:val="bottom"/>
          </w:tcPr>
          <w:p w14:paraId="5454947E"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Obveze</w:t>
            </w:r>
          </w:p>
        </w:tc>
        <w:tc>
          <w:tcPr>
            <w:tcW w:w="1020" w:type="dxa"/>
            <w:vAlign w:val="center"/>
          </w:tcPr>
          <w:p w14:paraId="4BD177AB" w14:textId="77777777" w:rsidR="00D54380" w:rsidRPr="00CA37C8" w:rsidRDefault="00D54380" w:rsidP="00D54380">
            <w:pPr>
              <w:tabs>
                <w:tab w:val="right" w:pos="1202"/>
              </w:tabs>
              <w:spacing w:after="0" w:line="240" w:lineRule="auto"/>
              <w:jc w:val="center"/>
              <w:outlineLvl w:val="0"/>
              <w:rPr>
                <w:rFonts w:eastAsia="Times New Roman" w:cs="Arial"/>
                <w:b/>
                <w:bCs/>
              </w:rPr>
            </w:pPr>
          </w:p>
        </w:tc>
        <w:tc>
          <w:tcPr>
            <w:tcW w:w="2236" w:type="dxa"/>
            <w:vAlign w:val="bottom"/>
          </w:tcPr>
          <w:p w14:paraId="3DE8C96A"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0" w:type="auto"/>
            <w:vAlign w:val="bottom"/>
          </w:tcPr>
          <w:p w14:paraId="2683CFBC"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1531" w:type="dxa"/>
            <w:vAlign w:val="bottom"/>
          </w:tcPr>
          <w:p w14:paraId="29C52C2D" w14:textId="77777777" w:rsidR="00D54380" w:rsidRPr="00CA37C8" w:rsidRDefault="00D54380" w:rsidP="00D54380">
            <w:pPr>
              <w:tabs>
                <w:tab w:val="right" w:pos="1202"/>
              </w:tabs>
              <w:spacing w:after="0" w:line="240" w:lineRule="auto"/>
              <w:jc w:val="right"/>
              <w:outlineLvl w:val="0"/>
              <w:rPr>
                <w:rFonts w:eastAsia="Times New Roman" w:cs="Arial"/>
                <w:b/>
                <w:bCs/>
              </w:rPr>
            </w:pPr>
          </w:p>
        </w:tc>
      </w:tr>
      <w:tr w:rsidR="00961FE6" w:rsidRPr="00CA37C8" w14:paraId="16A7CE95" w14:textId="77777777" w:rsidTr="00312975">
        <w:trPr>
          <w:trHeight w:val="302"/>
        </w:trPr>
        <w:tc>
          <w:tcPr>
            <w:tcW w:w="4318" w:type="dxa"/>
            <w:vAlign w:val="bottom"/>
          </w:tcPr>
          <w:p w14:paraId="0764B146" w14:textId="77777777" w:rsidR="00961FE6" w:rsidRPr="00CA37C8" w:rsidRDefault="00961FE6" w:rsidP="00961FE6">
            <w:pPr>
              <w:tabs>
                <w:tab w:val="right" w:pos="1202"/>
              </w:tabs>
              <w:spacing w:after="0" w:line="240" w:lineRule="auto"/>
              <w:outlineLvl w:val="0"/>
              <w:rPr>
                <w:rFonts w:eastAsia="Times New Roman" w:cs="Arial"/>
              </w:rPr>
            </w:pPr>
            <w:r w:rsidRPr="00CA37C8">
              <w:rPr>
                <w:rFonts w:eastAsia="Times New Roman" w:cs="Arial"/>
              </w:rPr>
              <w:t>Obveze po depozitima</w:t>
            </w:r>
          </w:p>
        </w:tc>
        <w:tc>
          <w:tcPr>
            <w:tcW w:w="1020" w:type="dxa"/>
            <w:vAlign w:val="center"/>
          </w:tcPr>
          <w:p w14:paraId="3CF17E35" w14:textId="77777777" w:rsidR="00961FE6" w:rsidRPr="00CA37C8" w:rsidRDefault="00961FE6" w:rsidP="00961FE6">
            <w:pPr>
              <w:tabs>
                <w:tab w:val="right" w:pos="1202"/>
              </w:tabs>
              <w:spacing w:after="0" w:line="240" w:lineRule="auto"/>
              <w:jc w:val="center"/>
              <w:outlineLvl w:val="0"/>
              <w:rPr>
                <w:rFonts w:eastAsia="Times New Roman" w:cs="Arial"/>
              </w:rPr>
            </w:pPr>
          </w:p>
        </w:tc>
        <w:tc>
          <w:tcPr>
            <w:tcW w:w="2236" w:type="dxa"/>
            <w:tcBorders>
              <w:top w:val="nil"/>
              <w:left w:val="nil"/>
              <w:bottom w:val="nil"/>
              <w:right w:val="nil"/>
            </w:tcBorders>
            <w:shd w:val="clear" w:color="auto" w:fill="auto"/>
            <w:vAlign w:val="center"/>
          </w:tcPr>
          <w:p w14:paraId="17837E70" w14:textId="40494CC1" w:rsidR="00961FE6" w:rsidRPr="00312975" w:rsidRDefault="00DC4A96" w:rsidP="00961FE6">
            <w:pPr>
              <w:tabs>
                <w:tab w:val="right" w:pos="1202"/>
              </w:tabs>
              <w:spacing w:after="0" w:line="240" w:lineRule="auto"/>
              <w:jc w:val="right"/>
              <w:outlineLvl w:val="0"/>
              <w:rPr>
                <w:rFonts w:cs="Arial"/>
                <w:color w:val="000000"/>
              </w:rPr>
            </w:pPr>
            <w:r>
              <w:rPr>
                <w:rFonts w:cs="Arial"/>
                <w:color w:val="000000"/>
              </w:rPr>
              <w:t>480.978</w:t>
            </w:r>
          </w:p>
        </w:tc>
        <w:tc>
          <w:tcPr>
            <w:tcW w:w="0" w:type="auto"/>
            <w:vAlign w:val="center"/>
          </w:tcPr>
          <w:p w14:paraId="2A965798" w14:textId="77777777" w:rsidR="00961FE6" w:rsidRPr="00312975" w:rsidRDefault="00961FE6" w:rsidP="00961FE6">
            <w:pPr>
              <w:tabs>
                <w:tab w:val="right" w:pos="1202"/>
              </w:tabs>
              <w:spacing w:after="0" w:line="240" w:lineRule="auto"/>
              <w:jc w:val="right"/>
              <w:outlineLvl w:val="0"/>
              <w:rPr>
                <w:rFonts w:cs="Arial"/>
                <w:color w:val="000000"/>
              </w:rPr>
            </w:pPr>
          </w:p>
        </w:tc>
        <w:tc>
          <w:tcPr>
            <w:tcW w:w="1531" w:type="dxa"/>
            <w:tcBorders>
              <w:top w:val="nil"/>
              <w:left w:val="nil"/>
              <w:bottom w:val="nil"/>
              <w:right w:val="nil"/>
            </w:tcBorders>
            <w:shd w:val="clear" w:color="auto" w:fill="auto"/>
            <w:vAlign w:val="center"/>
          </w:tcPr>
          <w:p w14:paraId="64AB31F1" w14:textId="7EC49EEF" w:rsidR="00961FE6" w:rsidRPr="00D633A5" w:rsidRDefault="00961FE6" w:rsidP="00961FE6">
            <w:pPr>
              <w:tabs>
                <w:tab w:val="right" w:pos="1202"/>
              </w:tabs>
              <w:spacing w:after="0" w:line="240" w:lineRule="auto"/>
              <w:jc w:val="right"/>
              <w:outlineLvl w:val="0"/>
              <w:rPr>
                <w:rFonts w:eastAsia="Times New Roman" w:cs="Arial"/>
                <w:snapToGrid w:val="0"/>
              </w:rPr>
            </w:pPr>
            <w:r>
              <w:rPr>
                <w:rFonts w:cs="Arial"/>
                <w:color w:val="000000"/>
              </w:rPr>
              <w:t>142.844</w:t>
            </w:r>
          </w:p>
        </w:tc>
      </w:tr>
      <w:tr w:rsidR="00961FE6" w:rsidRPr="00CA37C8" w14:paraId="4CC08B04" w14:textId="77777777" w:rsidTr="00312975">
        <w:trPr>
          <w:trHeight w:val="302"/>
        </w:trPr>
        <w:tc>
          <w:tcPr>
            <w:tcW w:w="4318" w:type="dxa"/>
            <w:vAlign w:val="bottom"/>
          </w:tcPr>
          <w:p w14:paraId="3EACF069" w14:textId="77777777" w:rsidR="00961FE6" w:rsidRPr="00CA37C8" w:rsidRDefault="00961FE6" w:rsidP="00961FE6">
            <w:pPr>
              <w:tabs>
                <w:tab w:val="right" w:pos="1202"/>
              </w:tabs>
              <w:spacing w:after="0" w:line="240" w:lineRule="auto"/>
              <w:outlineLvl w:val="0"/>
              <w:rPr>
                <w:rFonts w:eastAsia="Times New Roman" w:cs="Arial"/>
              </w:rPr>
            </w:pPr>
            <w:r w:rsidRPr="00CA37C8">
              <w:rPr>
                <w:rFonts w:eastAsia="Times New Roman" w:cs="Arial"/>
              </w:rPr>
              <w:t>Obveze po kreditima</w:t>
            </w:r>
          </w:p>
        </w:tc>
        <w:tc>
          <w:tcPr>
            <w:tcW w:w="1020" w:type="dxa"/>
            <w:vAlign w:val="center"/>
          </w:tcPr>
          <w:p w14:paraId="0B8FD486" w14:textId="77777777" w:rsidR="00961FE6" w:rsidRPr="00CA37C8" w:rsidRDefault="00961FE6" w:rsidP="00961FE6">
            <w:pPr>
              <w:tabs>
                <w:tab w:val="right" w:pos="1202"/>
              </w:tabs>
              <w:spacing w:after="0" w:line="240" w:lineRule="auto"/>
              <w:jc w:val="center"/>
              <w:outlineLvl w:val="0"/>
              <w:rPr>
                <w:rFonts w:eastAsia="Times New Roman" w:cs="Arial"/>
              </w:rPr>
            </w:pPr>
            <w:r>
              <w:rPr>
                <w:rFonts w:eastAsia="Times New Roman" w:cs="Arial"/>
              </w:rPr>
              <w:t>12</w:t>
            </w:r>
          </w:p>
        </w:tc>
        <w:tc>
          <w:tcPr>
            <w:tcW w:w="2236" w:type="dxa"/>
            <w:tcBorders>
              <w:top w:val="nil"/>
              <w:left w:val="nil"/>
              <w:bottom w:val="nil"/>
              <w:right w:val="nil"/>
            </w:tcBorders>
            <w:shd w:val="clear" w:color="auto" w:fill="auto"/>
            <w:vAlign w:val="center"/>
          </w:tcPr>
          <w:p w14:paraId="27D8CD22" w14:textId="57126D7D" w:rsidR="00961FE6" w:rsidRPr="00312975" w:rsidRDefault="00AD0168" w:rsidP="00961FE6">
            <w:pPr>
              <w:tabs>
                <w:tab w:val="right" w:pos="1202"/>
              </w:tabs>
              <w:spacing w:after="0" w:line="240" w:lineRule="auto"/>
              <w:jc w:val="right"/>
              <w:outlineLvl w:val="0"/>
              <w:rPr>
                <w:rFonts w:cs="Arial"/>
                <w:color w:val="000000"/>
              </w:rPr>
            </w:pPr>
            <w:r w:rsidRPr="00AD0168">
              <w:rPr>
                <w:rFonts w:cs="Arial"/>
                <w:color w:val="000000"/>
              </w:rPr>
              <w:t>15.423.581</w:t>
            </w:r>
          </w:p>
        </w:tc>
        <w:tc>
          <w:tcPr>
            <w:tcW w:w="0" w:type="auto"/>
            <w:vAlign w:val="center"/>
          </w:tcPr>
          <w:p w14:paraId="43424A86" w14:textId="77777777" w:rsidR="00961FE6" w:rsidRPr="00312975" w:rsidRDefault="00961FE6" w:rsidP="00961FE6">
            <w:pPr>
              <w:tabs>
                <w:tab w:val="right" w:pos="1202"/>
              </w:tabs>
              <w:spacing w:after="0" w:line="240" w:lineRule="auto"/>
              <w:jc w:val="right"/>
              <w:outlineLvl w:val="0"/>
              <w:rPr>
                <w:rFonts w:cs="Arial"/>
                <w:color w:val="000000"/>
              </w:rPr>
            </w:pPr>
          </w:p>
        </w:tc>
        <w:tc>
          <w:tcPr>
            <w:tcW w:w="1531" w:type="dxa"/>
            <w:tcBorders>
              <w:top w:val="nil"/>
              <w:left w:val="nil"/>
              <w:bottom w:val="nil"/>
              <w:right w:val="nil"/>
            </w:tcBorders>
            <w:shd w:val="clear" w:color="auto" w:fill="auto"/>
            <w:vAlign w:val="center"/>
          </w:tcPr>
          <w:p w14:paraId="6131C0DB" w14:textId="581223D8" w:rsidR="00961FE6" w:rsidRPr="00D633A5" w:rsidRDefault="00961FE6" w:rsidP="00961FE6">
            <w:pPr>
              <w:tabs>
                <w:tab w:val="right" w:pos="1202"/>
              </w:tabs>
              <w:spacing w:after="0" w:line="240" w:lineRule="auto"/>
              <w:jc w:val="right"/>
              <w:outlineLvl w:val="0"/>
              <w:rPr>
                <w:rFonts w:eastAsia="Times New Roman" w:cs="Arial"/>
                <w:snapToGrid w:val="0"/>
              </w:rPr>
            </w:pPr>
            <w:r>
              <w:rPr>
                <w:rFonts w:cs="Arial"/>
                <w:color w:val="000000"/>
              </w:rPr>
              <w:t>13.391.749</w:t>
            </w:r>
          </w:p>
        </w:tc>
      </w:tr>
      <w:tr w:rsidR="00961FE6" w:rsidRPr="00CA37C8" w14:paraId="7A132662" w14:textId="77777777" w:rsidTr="00312975">
        <w:trPr>
          <w:trHeight w:val="302"/>
        </w:trPr>
        <w:tc>
          <w:tcPr>
            <w:tcW w:w="4318" w:type="dxa"/>
            <w:vAlign w:val="bottom"/>
          </w:tcPr>
          <w:p w14:paraId="11A20327" w14:textId="77777777" w:rsidR="00961FE6" w:rsidRPr="00CA37C8" w:rsidRDefault="00961FE6" w:rsidP="00961FE6">
            <w:pPr>
              <w:tabs>
                <w:tab w:val="right" w:pos="1202"/>
              </w:tabs>
              <w:spacing w:after="0" w:line="240" w:lineRule="auto"/>
              <w:outlineLvl w:val="0"/>
              <w:rPr>
                <w:rFonts w:eastAsia="Times New Roman" w:cs="Arial"/>
              </w:rPr>
            </w:pPr>
            <w:r w:rsidRPr="00CA37C8">
              <w:rPr>
                <w:rFonts w:eastAsia="Times New Roman" w:cs="Arial"/>
              </w:rPr>
              <w:t>Obveze za izdane dugoročne vrijednosne papire</w:t>
            </w:r>
          </w:p>
        </w:tc>
        <w:tc>
          <w:tcPr>
            <w:tcW w:w="1020" w:type="dxa"/>
            <w:vAlign w:val="center"/>
          </w:tcPr>
          <w:p w14:paraId="0F5FBBD3" w14:textId="77777777" w:rsidR="00961FE6" w:rsidRPr="00CA37C8" w:rsidRDefault="00961FE6" w:rsidP="00961FE6">
            <w:pPr>
              <w:tabs>
                <w:tab w:val="right" w:pos="1202"/>
              </w:tabs>
              <w:spacing w:after="0" w:line="240" w:lineRule="auto"/>
              <w:jc w:val="center"/>
              <w:outlineLvl w:val="0"/>
              <w:rPr>
                <w:rFonts w:eastAsia="Times New Roman" w:cs="Arial"/>
              </w:rPr>
            </w:pPr>
            <w:r>
              <w:rPr>
                <w:rFonts w:eastAsia="Times New Roman" w:cs="Arial"/>
              </w:rPr>
              <w:t>13</w:t>
            </w:r>
          </w:p>
        </w:tc>
        <w:tc>
          <w:tcPr>
            <w:tcW w:w="2236" w:type="dxa"/>
            <w:tcBorders>
              <w:top w:val="nil"/>
              <w:left w:val="nil"/>
              <w:bottom w:val="nil"/>
              <w:right w:val="nil"/>
            </w:tcBorders>
            <w:shd w:val="clear" w:color="auto" w:fill="auto"/>
            <w:vAlign w:val="center"/>
          </w:tcPr>
          <w:p w14:paraId="66B53A28" w14:textId="78FF4B65" w:rsidR="00961FE6" w:rsidRPr="00312975" w:rsidRDefault="00AD0168" w:rsidP="00961FE6">
            <w:pPr>
              <w:tabs>
                <w:tab w:val="right" w:pos="1202"/>
              </w:tabs>
              <w:spacing w:after="0" w:line="240" w:lineRule="auto"/>
              <w:jc w:val="right"/>
              <w:outlineLvl w:val="0"/>
              <w:rPr>
                <w:rFonts w:cs="Arial"/>
                <w:color w:val="000000"/>
              </w:rPr>
            </w:pPr>
            <w:r w:rsidRPr="00AD0168">
              <w:rPr>
                <w:rFonts w:cs="Arial"/>
                <w:color w:val="000000"/>
              </w:rPr>
              <w:t>1.109.764</w:t>
            </w:r>
          </w:p>
        </w:tc>
        <w:tc>
          <w:tcPr>
            <w:tcW w:w="0" w:type="auto"/>
            <w:vAlign w:val="center"/>
          </w:tcPr>
          <w:p w14:paraId="51850CB0" w14:textId="77777777" w:rsidR="00961FE6" w:rsidRPr="00312975" w:rsidRDefault="00961FE6" w:rsidP="00961FE6">
            <w:pPr>
              <w:tabs>
                <w:tab w:val="right" w:pos="1202"/>
              </w:tabs>
              <w:spacing w:after="0" w:line="240" w:lineRule="auto"/>
              <w:jc w:val="right"/>
              <w:outlineLvl w:val="0"/>
              <w:rPr>
                <w:rFonts w:cs="Arial"/>
                <w:color w:val="000000"/>
              </w:rPr>
            </w:pPr>
          </w:p>
        </w:tc>
        <w:tc>
          <w:tcPr>
            <w:tcW w:w="1531" w:type="dxa"/>
            <w:tcBorders>
              <w:top w:val="nil"/>
              <w:left w:val="nil"/>
              <w:bottom w:val="nil"/>
              <w:right w:val="nil"/>
            </w:tcBorders>
            <w:shd w:val="clear" w:color="auto" w:fill="auto"/>
            <w:vAlign w:val="center"/>
          </w:tcPr>
          <w:p w14:paraId="784494F3" w14:textId="4AF5FA66" w:rsidR="00961FE6" w:rsidRPr="00D633A5" w:rsidRDefault="00961FE6" w:rsidP="00961FE6">
            <w:pPr>
              <w:tabs>
                <w:tab w:val="right" w:pos="1202"/>
              </w:tabs>
              <w:spacing w:after="0" w:line="240" w:lineRule="auto"/>
              <w:jc w:val="right"/>
              <w:outlineLvl w:val="0"/>
              <w:rPr>
                <w:rFonts w:eastAsia="Times New Roman" w:cs="Arial"/>
                <w:snapToGrid w:val="0"/>
              </w:rPr>
            </w:pPr>
            <w:r>
              <w:rPr>
                <w:rFonts w:cs="Arial"/>
                <w:color w:val="000000"/>
              </w:rPr>
              <w:t>3.105.569</w:t>
            </w:r>
          </w:p>
        </w:tc>
      </w:tr>
      <w:tr w:rsidR="00961FE6" w:rsidRPr="00CA37C8" w14:paraId="39A38BDA" w14:textId="77777777" w:rsidTr="00312975">
        <w:trPr>
          <w:trHeight w:val="315"/>
        </w:trPr>
        <w:tc>
          <w:tcPr>
            <w:tcW w:w="4318" w:type="dxa"/>
            <w:vAlign w:val="bottom"/>
          </w:tcPr>
          <w:p w14:paraId="4BB48466" w14:textId="77777777" w:rsidR="00961FE6" w:rsidRPr="00CA37C8" w:rsidRDefault="00961FE6" w:rsidP="00961FE6">
            <w:pPr>
              <w:tabs>
                <w:tab w:val="right" w:pos="1202"/>
              </w:tabs>
              <w:spacing w:after="0" w:line="240" w:lineRule="auto"/>
              <w:outlineLvl w:val="0"/>
              <w:rPr>
                <w:rFonts w:eastAsia="Times New Roman" w:cs="Arial"/>
              </w:rPr>
            </w:pPr>
            <w:r w:rsidRPr="00CA37C8">
              <w:rPr>
                <w:rFonts w:eastAsia="Times New Roman" w:cs="Arial"/>
              </w:rPr>
              <w:t>Ostale obveze</w:t>
            </w:r>
          </w:p>
        </w:tc>
        <w:tc>
          <w:tcPr>
            <w:tcW w:w="1020" w:type="dxa"/>
            <w:vAlign w:val="center"/>
          </w:tcPr>
          <w:p w14:paraId="67480E33" w14:textId="77777777" w:rsidR="00961FE6" w:rsidRPr="00CA37C8" w:rsidRDefault="00961FE6" w:rsidP="00961FE6">
            <w:pPr>
              <w:tabs>
                <w:tab w:val="right" w:pos="1202"/>
              </w:tabs>
              <w:spacing w:after="0" w:line="240" w:lineRule="auto"/>
              <w:jc w:val="center"/>
              <w:outlineLvl w:val="0"/>
              <w:rPr>
                <w:rFonts w:eastAsia="Times New Roman" w:cs="Arial"/>
              </w:rPr>
            </w:pPr>
          </w:p>
        </w:tc>
        <w:tc>
          <w:tcPr>
            <w:tcW w:w="2236" w:type="dxa"/>
            <w:tcBorders>
              <w:top w:val="nil"/>
              <w:left w:val="nil"/>
              <w:bottom w:val="nil"/>
              <w:right w:val="nil"/>
            </w:tcBorders>
            <w:shd w:val="clear" w:color="auto" w:fill="auto"/>
            <w:vAlign w:val="center"/>
          </w:tcPr>
          <w:p w14:paraId="5255AFDD" w14:textId="74FC4C9C" w:rsidR="00961FE6" w:rsidRPr="00312975" w:rsidRDefault="00AD0168" w:rsidP="00961FE6">
            <w:pPr>
              <w:tabs>
                <w:tab w:val="right" w:pos="1202"/>
              </w:tabs>
              <w:spacing w:after="0" w:line="240" w:lineRule="auto"/>
              <w:jc w:val="right"/>
              <w:outlineLvl w:val="0"/>
              <w:rPr>
                <w:rFonts w:cs="Arial"/>
                <w:color w:val="000000"/>
              </w:rPr>
            </w:pPr>
            <w:r w:rsidRPr="00AD0168">
              <w:rPr>
                <w:rFonts w:cs="Arial"/>
                <w:color w:val="000000"/>
              </w:rPr>
              <w:t>636.853</w:t>
            </w:r>
          </w:p>
        </w:tc>
        <w:tc>
          <w:tcPr>
            <w:tcW w:w="0" w:type="auto"/>
            <w:vAlign w:val="center"/>
          </w:tcPr>
          <w:p w14:paraId="3C489C5C" w14:textId="77777777" w:rsidR="00961FE6" w:rsidRPr="00312975" w:rsidRDefault="00961FE6" w:rsidP="00961FE6">
            <w:pPr>
              <w:tabs>
                <w:tab w:val="right" w:pos="1202"/>
              </w:tabs>
              <w:spacing w:after="0" w:line="240" w:lineRule="auto"/>
              <w:jc w:val="right"/>
              <w:outlineLvl w:val="0"/>
              <w:rPr>
                <w:rFonts w:cs="Arial"/>
                <w:color w:val="000000"/>
              </w:rPr>
            </w:pPr>
          </w:p>
        </w:tc>
        <w:tc>
          <w:tcPr>
            <w:tcW w:w="1531" w:type="dxa"/>
            <w:tcBorders>
              <w:top w:val="nil"/>
              <w:left w:val="nil"/>
              <w:bottom w:val="nil"/>
              <w:right w:val="nil"/>
            </w:tcBorders>
            <w:shd w:val="clear" w:color="auto" w:fill="auto"/>
            <w:vAlign w:val="center"/>
          </w:tcPr>
          <w:p w14:paraId="48A33E8D" w14:textId="5993E83B" w:rsidR="00961FE6" w:rsidRPr="00D633A5" w:rsidRDefault="00961FE6" w:rsidP="00961FE6">
            <w:pPr>
              <w:tabs>
                <w:tab w:val="right" w:pos="1202"/>
              </w:tabs>
              <w:spacing w:after="0" w:line="240" w:lineRule="auto"/>
              <w:jc w:val="right"/>
              <w:outlineLvl w:val="0"/>
              <w:rPr>
                <w:rFonts w:eastAsia="Times New Roman" w:cs="Arial"/>
                <w:snapToGrid w:val="0"/>
              </w:rPr>
            </w:pPr>
            <w:r>
              <w:rPr>
                <w:rFonts w:cs="Arial"/>
              </w:rPr>
              <w:t>707.952</w:t>
            </w:r>
          </w:p>
        </w:tc>
      </w:tr>
      <w:tr w:rsidR="00D54380" w:rsidRPr="00CA37C8" w14:paraId="2EA3B90D" w14:textId="77777777" w:rsidTr="00AD0168">
        <w:trPr>
          <w:trHeight w:hRule="exact" w:val="113"/>
        </w:trPr>
        <w:tc>
          <w:tcPr>
            <w:tcW w:w="4318" w:type="dxa"/>
            <w:vAlign w:val="bottom"/>
          </w:tcPr>
          <w:p w14:paraId="523901DC" w14:textId="77777777" w:rsidR="00D54380" w:rsidRPr="00CA37C8" w:rsidRDefault="00D54380" w:rsidP="00D54380">
            <w:pPr>
              <w:keepNext/>
              <w:keepLines/>
              <w:tabs>
                <w:tab w:val="decimal" w:pos="1202"/>
              </w:tabs>
              <w:spacing w:after="0" w:line="240" w:lineRule="auto"/>
              <w:rPr>
                <w:rFonts w:eastAsia="Times New Roman" w:cs="Arial"/>
                <w:b/>
                <w:position w:val="4"/>
              </w:rPr>
            </w:pPr>
          </w:p>
        </w:tc>
        <w:tc>
          <w:tcPr>
            <w:tcW w:w="1020" w:type="dxa"/>
            <w:vAlign w:val="center"/>
          </w:tcPr>
          <w:p w14:paraId="700942B0" w14:textId="77777777" w:rsidR="00D54380" w:rsidRPr="00CA37C8" w:rsidRDefault="00D54380" w:rsidP="00D54380">
            <w:pPr>
              <w:keepLines/>
              <w:spacing w:after="0" w:line="240" w:lineRule="auto"/>
              <w:jc w:val="center"/>
              <w:rPr>
                <w:rFonts w:eastAsia="Times New Roman" w:cs="Arial"/>
                <w:spacing w:val="-2"/>
                <w:position w:val="4"/>
              </w:rPr>
            </w:pPr>
          </w:p>
        </w:tc>
        <w:tc>
          <w:tcPr>
            <w:tcW w:w="2236" w:type="dxa"/>
            <w:tcBorders>
              <w:bottom w:val="single" w:sz="4" w:space="0" w:color="auto"/>
            </w:tcBorders>
            <w:vAlign w:val="bottom"/>
          </w:tcPr>
          <w:p w14:paraId="2E505E1D" w14:textId="77777777" w:rsidR="00D54380" w:rsidRPr="00CA37C8" w:rsidRDefault="00D54380" w:rsidP="00D54380">
            <w:pPr>
              <w:keepLines/>
              <w:spacing w:after="0" w:line="240" w:lineRule="auto"/>
              <w:jc w:val="right"/>
              <w:rPr>
                <w:rFonts w:eastAsia="Times New Roman" w:cs="Arial"/>
                <w:spacing w:val="-2"/>
                <w:position w:val="4"/>
              </w:rPr>
            </w:pPr>
          </w:p>
        </w:tc>
        <w:tc>
          <w:tcPr>
            <w:tcW w:w="0" w:type="auto"/>
            <w:tcBorders>
              <w:bottom w:val="single" w:sz="4" w:space="0" w:color="auto"/>
            </w:tcBorders>
            <w:vAlign w:val="bottom"/>
          </w:tcPr>
          <w:p w14:paraId="5C3741E5" w14:textId="77777777" w:rsidR="00D54380" w:rsidRPr="00CA37C8" w:rsidRDefault="00D54380" w:rsidP="00D54380">
            <w:pPr>
              <w:keepNext/>
              <w:keepLines/>
              <w:tabs>
                <w:tab w:val="left" w:pos="215"/>
                <w:tab w:val="decimal" w:pos="1295"/>
              </w:tabs>
              <w:spacing w:after="0" w:line="240" w:lineRule="auto"/>
              <w:ind w:right="-148"/>
              <w:jc w:val="right"/>
              <w:rPr>
                <w:rFonts w:eastAsia="Times New Roman" w:cs="Arial"/>
                <w:b/>
                <w:snapToGrid w:val="0"/>
                <w:position w:val="4"/>
              </w:rPr>
            </w:pPr>
          </w:p>
        </w:tc>
        <w:tc>
          <w:tcPr>
            <w:tcW w:w="1531" w:type="dxa"/>
            <w:tcBorders>
              <w:bottom w:val="single" w:sz="4" w:space="0" w:color="auto"/>
            </w:tcBorders>
            <w:vAlign w:val="bottom"/>
          </w:tcPr>
          <w:p w14:paraId="4EE7D358" w14:textId="77777777" w:rsidR="00D54380" w:rsidRPr="00CA37C8" w:rsidRDefault="00D54380" w:rsidP="00D54380">
            <w:pPr>
              <w:keepLines/>
              <w:spacing w:after="0" w:line="240" w:lineRule="auto"/>
              <w:jc w:val="right"/>
              <w:rPr>
                <w:rFonts w:eastAsia="Times New Roman" w:cs="Arial"/>
                <w:spacing w:val="-2"/>
                <w:position w:val="4"/>
              </w:rPr>
            </w:pPr>
          </w:p>
        </w:tc>
      </w:tr>
      <w:tr w:rsidR="00D54380" w:rsidRPr="00CA37C8" w14:paraId="6BEFED52" w14:textId="77777777" w:rsidTr="00AD0168">
        <w:trPr>
          <w:trHeight w:val="344"/>
        </w:trPr>
        <w:tc>
          <w:tcPr>
            <w:tcW w:w="4318" w:type="dxa"/>
            <w:vAlign w:val="bottom"/>
          </w:tcPr>
          <w:p w14:paraId="59FEF8A5"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Ukupne obveze</w:t>
            </w:r>
          </w:p>
        </w:tc>
        <w:tc>
          <w:tcPr>
            <w:tcW w:w="1020" w:type="dxa"/>
            <w:vAlign w:val="center"/>
          </w:tcPr>
          <w:p w14:paraId="2595B260" w14:textId="77777777" w:rsidR="00D54380" w:rsidRPr="00CA37C8" w:rsidRDefault="00D54380" w:rsidP="00D54380">
            <w:pPr>
              <w:tabs>
                <w:tab w:val="right" w:pos="1202"/>
              </w:tabs>
              <w:spacing w:after="0" w:line="240" w:lineRule="auto"/>
              <w:jc w:val="center"/>
              <w:outlineLvl w:val="0"/>
              <w:rPr>
                <w:rFonts w:eastAsia="Times New Roman" w:cs="Arial"/>
                <w:b/>
                <w:bCs/>
              </w:rPr>
            </w:pPr>
          </w:p>
        </w:tc>
        <w:tc>
          <w:tcPr>
            <w:tcW w:w="2236" w:type="dxa"/>
            <w:tcBorders>
              <w:top w:val="single" w:sz="4" w:space="0" w:color="auto"/>
              <w:bottom w:val="single" w:sz="12" w:space="0" w:color="auto"/>
            </w:tcBorders>
            <w:vAlign w:val="bottom"/>
          </w:tcPr>
          <w:p w14:paraId="7AE8DDF2" w14:textId="0E1404AC" w:rsidR="00D54380" w:rsidRPr="006504FB" w:rsidRDefault="00DC4A96" w:rsidP="00D54380">
            <w:pPr>
              <w:tabs>
                <w:tab w:val="right" w:pos="1202"/>
              </w:tabs>
              <w:spacing w:after="0" w:line="240" w:lineRule="auto"/>
              <w:jc w:val="right"/>
              <w:outlineLvl w:val="0"/>
              <w:rPr>
                <w:rFonts w:eastAsia="Times New Roman" w:cs="Arial"/>
                <w:b/>
                <w:bCs/>
              </w:rPr>
            </w:pPr>
            <w:r>
              <w:rPr>
                <w:rFonts w:eastAsia="Times New Roman" w:cs="Arial"/>
                <w:b/>
                <w:bCs/>
              </w:rPr>
              <w:t>17.651.176</w:t>
            </w:r>
          </w:p>
        </w:tc>
        <w:tc>
          <w:tcPr>
            <w:tcW w:w="0" w:type="auto"/>
            <w:tcBorders>
              <w:top w:val="single" w:sz="4" w:space="0" w:color="auto"/>
              <w:bottom w:val="single" w:sz="12" w:space="0" w:color="auto"/>
            </w:tcBorders>
            <w:vAlign w:val="bottom"/>
          </w:tcPr>
          <w:p w14:paraId="52977B48"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1531" w:type="dxa"/>
            <w:tcBorders>
              <w:top w:val="single" w:sz="4" w:space="0" w:color="auto"/>
              <w:bottom w:val="single" w:sz="12" w:space="0" w:color="auto"/>
            </w:tcBorders>
            <w:vAlign w:val="bottom"/>
          </w:tcPr>
          <w:p w14:paraId="1861686D" w14:textId="4A8E346D" w:rsidR="00D54380" w:rsidRPr="00CA37C8" w:rsidRDefault="007C409B" w:rsidP="00D54380">
            <w:pPr>
              <w:tabs>
                <w:tab w:val="right" w:pos="1202"/>
              </w:tabs>
              <w:spacing w:after="0" w:line="240" w:lineRule="auto"/>
              <w:jc w:val="right"/>
              <w:outlineLvl w:val="0"/>
              <w:rPr>
                <w:rFonts w:eastAsia="Times New Roman" w:cs="Arial"/>
                <w:b/>
                <w:bCs/>
              </w:rPr>
            </w:pPr>
            <w:r w:rsidRPr="007C409B">
              <w:rPr>
                <w:rFonts w:eastAsia="Times New Roman" w:cs="Arial"/>
                <w:b/>
                <w:bCs/>
              </w:rPr>
              <w:t>17.348.114</w:t>
            </w:r>
          </w:p>
        </w:tc>
      </w:tr>
      <w:tr w:rsidR="00D54380" w:rsidRPr="00CA37C8" w14:paraId="1E7904E8" w14:textId="77777777" w:rsidTr="00AD0168">
        <w:trPr>
          <w:trHeight w:hRule="exact" w:val="113"/>
        </w:trPr>
        <w:tc>
          <w:tcPr>
            <w:tcW w:w="4318" w:type="dxa"/>
            <w:vAlign w:val="bottom"/>
          </w:tcPr>
          <w:p w14:paraId="6E7046D1" w14:textId="77777777" w:rsidR="00D54380" w:rsidRPr="00CA37C8" w:rsidRDefault="00D54380" w:rsidP="00D54380">
            <w:pPr>
              <w:keepNext/>
              <w:keepLines/>
              <w:tabs>
                <w:tab w:val="decimal" w:pos="1202"/>
              </w:tabs>
              <w:spacing w:after="0" w:line="240" w:lineRule="auto"/>
              <w:rPr>
                <w:rFonts w:eastAsia="Times New Roman" w:cs="Arial"/>
                <w:b/>
                <w:position w:val="4"/>
                <w:u w:val="thick"/>
              </w:rPr>
            </w:pPr>
          </w:p>
        </w:tc>
        <w:tc>
          <w:tcPr>
            <w:tcW w:w="1020" w:type="dxa"/>
            <w:vAlign w:val="center"/>
          </w:tcPr>
          <w:p w14:paraId="6459ACA5" w14:textId="77777777" w:rsidR="00D54380" w:rsidRPr="00CA37C8" w:rsidRDefault="00D54380" w:rsidP="00D54380">
            <w:pPr>
              <w:keepNext/>
              <w:keepLines/>
              <w:tabs>
                <w:tab w:val="decimal" w:pos="1060"/>
              </w:tabs>
              <w:spacing w:after="0" w:line="240" w:lineRule="auto"/>
              <w:jc w:val="center"/>
              <w:rPr>
                <w:rFonts w:eastAsia="Times New Roman" w:cs="Arial"/>
                <w:b/>
                <w:position w:val="4"/>
                <w:u w:val="thick"/>
              </w:rPr>
            </w:pPr>
          </w:p>
        </w:tc>
        <w:tc>
          <w:tcPr>
            <w:tcW w:w="2236" w:type="dxa"/>
            <w:tcBorders>
              <w:top w:val="single" w:sz="12" w:space="0" w:color="auto"/>
            </w:tcBorders>
            <w:vAlign w:val="bottom"/>
          </w:tcPr>
          <w:p w14:paraId="5F41255C" w14:textId="77777777" w:rsidR="00D54380" w:rsidRPr="00CA37C8" w:rsidRDefault="00D54380" w:rsidP="00D54380">
            <w:pPr>
              <w:keepNext/>
              <w:keepLines/>
              <w:tabs>
                <w:tab w:val="decimal" w:pos="1060"/>
              </w:tabs>
              <w:spacing w:after="0" w:line="240" w:lineRule="auto"/>
              <w:jc w:val="right"/>
              <w:rPr>
                <w:rFonts w:eastAsia="Times New Roman" w:cs="Arial"/>
                <w:b/>
                <w:position w:val="4"/>
                <w:u w:val="thick"/>
              </w:rPr>
            </w:pPr>
          </w:p>
        </w:tc>
        <w:tc>
          <w:tcPr>
            <w:tcW w:w="0" w:type="auto"/>
            <w:tcBorders>
              <w:top w:val="single" w:sz="12" w:space="0" w:color="auto"/>
            </w:tcBorders>
            <w:vAlign w:val="bottom"/>
          </w:tcPr>
          <w:p w14:paraId="61431815" w14:textId="77777777" w:rsidR="00D54380" w:rsidRPr="00CA37C8" w:rsidRDefault="00D54380" w:rsidP="00D54380">
            <w:pPr>
              <w:keepNext/>
              <w:keepLines/>
              <w:tabs>
                <w:tab w:val="decimal" w:pos="1202"/>
              </w:tabs>
              <w:spacing w:after="0" w:line="240" w:lineRule="auto"/>
              <w:jc w:val="right"/>
              <w:rPr>
                <w:rFonts w:eastAsia="Times New Roman" w:cs="Arial"/>
                <w:b/>
                <w:position w:val="4"/>
                <w:u w:val="thick"/>
              </w:rPr>
            </w:pPr>
          </w:p>
        </w:tc>
        <w:tc>
          <w:tcPr>
            <w:tcW w:w="1531" w:type="dxa"/>
            <w:tcBorders>
              <w:top w:val="single" w:sz="12" w:space="0" w:color="auto"/>
            </w:tcBorders>
            <w:vAlign w:val="bottom"/>
          </w:tcPr>
          <w:p w14:paraId="65FFB96A" w14:textId="77777777" w:rsidR="00D54380" w:rsidRPr="00CA37C8" w:rsidRDefault="00D54380" w:rsidP="00D54380">
            <w:pPr>
              <w:keepNext/>
              <w:keepLines/>
              <w:tabs>
                <w:tab w:val="decimal" w:pos="1060"/>
              </w:tabs>
              <w:spacing w:after="0" w:line="240" w:lineRule="auto"/>
              <w:jc w:val="right"/>
              <w:rPr>
                <w:rFonts w:eastAsia="Times New Roman" w:cs="Arial"/>
                <w:b/>
                <w:position w:val="4"/>
                <w:u w:val="thick"/>
              </w:rPr>
            </w:pPr>
          </w:p>
        </w:tc>
      </w:tr>
      <w:tr w:rsidR="00D54380" w:rsidRPr="00CA37C8" w14:paraId="351FD240" w14:textId="77777777" w:rsidTr="00AD0168">
        <w:trPr>
          <w:trHeight w:val="302"/>
        </w:trPr>
        <w:tc>
          <w:tcPr>
            <w:tcW w:w="4318" w:type="dxa"/>
            <w:vAlign w:val="bottom"/>
          </w:tcPr>
          <w:p w14:paraId="23BDF340"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Kapital</w:t>
            </w:r>
          </w:p>
        </w:tc>
        <w:tc>
          <w:tcPr>
            <w:tcW w:w="1020" w:type="dxa"/>
            <w:vAlign w:val="center"/>
          </w:tcPr>
          <w:p w14:paraId="4929B637" w14:textId="77777777" w:rsidR="00D54380" w:rsidRPr="00CA37C8" w:rsidRDefault="00D54380" w:rsidP="00D54380">
            <w:pPr>
              <w:tabs>
                <w:tab w:val="right" w:pos="1202"/>
              </w:tabs>
              <w:spacing w:after="0" w:line="240" w:lineRule="auto"/>
              <w:jc w:val="center"/>
              <w:outlineLvl w:val="0"/>
              <w:rPr>
                <w:rFonts w:eastAsia="Times New Roman" w:cs="Arial"/>
                <w:b/>
                <w:bCs/>
              </w:rPr>
            </w:pPr>
          </w:p>
        </w:tc>
        <w:tc>
          <w:tcPr>
            <w:tcW w:w="2236" w:type="dxa"/>
            <w:vAlign w:val="bottom"/>
          </w:tcPr>
          <w:p w14:paraId="60403F42"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0" w:type="auto"/>
            <w:vAlign w:val="bottom"/>
          </w:tcPr>
          <w:p w14:paraId="1BC7BAAB"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1531" w:type="dxa"/>
            <w:vAlign w:val="bottom"/>
          </w:tcPr>
          <w:p w14:paraId="5850F6FB" w14:textId="77777777" w:rsidR="00D54380" w:rsidRPr="00CA37C8" w:rsidRDefault="00D54380" w:rsidP="00D54380">
            <w:pPr>
              <w:tabs>
                <w:tab w:val="right" w:pos="1202"/>
              </w:tabs>
              <w:spacing w:after="0" w:line="240" w:lineRule="auto"/>
              <w:jc w:val="right"/>
              <w:outlineLvl w:val="0"/>
              <w:rPr>
                <w:rFonts w:eastAsia="Times New Roman" w:cs="Arial"/>
                <w:b/>
                <w:bCs/>
              </w:rPr>
            </w:pPr>
          </w:p>
        </w:tc>
      </w:tr>
      <w:tr w:rsidR="00AD0168" w:rsidRPr="00CA37C8" w14:paraId="6321F01D" w14:textId="77777777" w:rsidTr="00312975">
        <w:trPr>
          <w:trHeight w:val="302"/>
        </w:trPr>
        <w:tc>
          <w:tcPr>
            <w:tcW w:w="4318" w:type="dxa"/>
            <w:vAlign w:val="bottom"/>
          </w:tcPr>
          <w:p w14:paraId="20D1BDA4" w14:textId="77777777" w:rsidR="00AD0168" w:rsidRPr="00CA37C8" w:rsidRDefault="00AD0168" w:rsidP="00AD0168">
            <w:pPr>
              <w:tabs>
                <w:tab w:val="right" w:pos="1202"/>
              </w:tabs>
              <w:spacing w:after="0" w:line="240" w:lineRule="auto"/>
              <w:outlineLvl w:val="0"/>
              <w:rPr>
                <w:rFonts w:eastAsia="Times New Roman" w:cs="Arial"/>
              </w:rPr>
            </w:pPr>
            <w:r w:rsidRPr="00CA37C8">
              <w:rPr>
                <w:rFonts w:eastAsia="Times New Roman" w:cs="Arial"/>
              </w:rPr>
              <w:t>Osnivački kapital</w:t>
            </w:r>
          </w:p>
        </w:tc>
        <w:tc>
          <w:tcPr>
            <w:tcW w:w="1020" w:type="dxa"/>
            <w:vAlign w:val="center"/>
          </w:tcPr>
          <w:p w14:paraId="2964EEA2" w14:textId="77777777" w:rsidR="00AD0168" w:rsidRPr="00CA37C8" w:rsidRDefault="00AD0168" w:rsidP="00AD0168">
            <w:pPr>
              <w:tabs>
                <w:tab w:val="right" w:pos="1202"/>
              </w:tabs>
              <w:spacing w:after="0" w:line="240" w:lineRule="auto"/>
              <w:jc w:val="center"/>
              <w:outlineLvl w:val="0"/>
              <w:rPr>
                <w:rFonts w:eastAsia="Times New Roman" w:cs="Arial"/>
              </w:rPr>
            </w:pPr>
          </w:p>
        </w:tc>
        <w:tc>
          <w:tcPr>
            <w:tcW w:w="2236" w:type="dxa"/>
            <w:tcBorders>
              <w:top w:val="nil"/>
              <w:left w:val="nil"/>
              <w:bottom w:val="nil"/>
              <w:right w:val="nil"/>
            </w:tcBorders>
            <w:shd w:val="clear" w:color="auto" w:fill="auto"/>
            <w:vAlign w:val="center"/>
          </w:tcPr>
          <w:p w14:paraId="20237D38" w14:textId="3103E1AC" w:rsidR="00AD0168" w:rsidRPr="000E5941" w:rsidRDefault="00AD0168" w:rsidP="00AD0168">
            <w:pPr>
              <w:tabs>
                <w:tab w:val="right" w:pos="1202"/>
              </w:tabs>
              <w:spacing w:after="0" w:line="240" w:lineRule="auto"/>
              <w:jc w:val="right"/>
              <w:outlineLvl w:val="0"/>
              <w:rPr>
                <w:rFonts w:cs="Arial"/>
                <w:color w:val="000000"/>
              </w:rPr>
            </w:pPr>
            <w:r w:rsidRPr="00312975">
              <w:rPr>
                <w:rFonts w:cs="Arial"/>
                <w:color w:val="000000"/>
              </w:rPr>
              <w:t>6.959.632</w:t>
            </w:r>
          </w:p>
        </w:tc>
        <w:tc>
          <w:tcPr>
            <w:tcW w:w="0" w:type="auto"/>
            <w:vAlign w:val="center"/>
          </w:tcPr>
          <w:p w14:paraId="0C8781F2" w14:textId="77777777" w:rsidR="00AD0168" w:rsidRPr="00CA37C8" w:rsidRDefault="00AD0168" w:rsidP="00AD0168">
            <w:pPr>
              <w:tabs>
                <w:tab w:val="right" w:pos="1202"/>
              </w:tabs>
              <w:spacing w:after="0" w:line="240" w:lineRule="auto"/>
              <w:jc w:val="right"/>
              <w:outlineLvl w:val="0"/>
              <w:rPr>
                <w:rFonts w:eastAsia="Times New Roman" w:cs="Arial"/>
              </w:rPr>
            </w:pPr>
          </w:p>
        </w:tc>
        <w:tc>
          <w:tcPr>
            <w:tcW w:w="1531" w:type="dxa"/>
            <w:tcBorders>
              <w:top w:val="nil"/>
              <w:left w:val="nil"/>
              <w:bottom w:val="nil"/>
              <w:right w:val="nil"/>
            </w:tcBorders>
            <w:shd w:val="clear" w:color="auto" w:fill="auto"/>
            <w:vAlign w:val="center"/>
          </w:tcPr>
          <w:p w14:paraId="4590E805" w14:textId="37DBDD94" w:rsidR="00AD0168" w:rsidRPr="00D633A5" w:rsidRDefault="00AD0168" w:rsidP="00AD0168">
            <w:pPr>
              <w:tabs>
                <w:tab w:val="right" w:pos="1202"/>
              </w:tabs>
              <w:spacing w:after="0" w:line="240" w:lineRule="auto"/>
              <w:jc w:val="right"/>
              <w:outlineLvl w:val="0"/>
              <w:rPr>
                <w:rFonts w:eastAsia="Times New Roman" w:cs="Arial"/>
                <w:snapToGrid w:val="0"/>
              </w:rPr>
            </w:pPr>
            <w:r>
              <w:rPr>
                <w:rFonts w:cs="Arial"/>
                <w:color w:val="000000"/>
              </w:rPr>
              <w:t>6.959.632</w:t>
            </w:r>
          </w:p>
        </w:tc>
      </w:tr>
      <w:tr w:rsidR="00AD0168" w:rsidRPr="00CA37C8" w14:paraId="36ADD95B" w14:textId="77777777" w:rsidTr="00312975">
        <w:trPr>
          <w:trHeight w:val="302"/>
        </w:trPr>
        <w:tc>
          <w:tcPr>
            <w:tcW w:w="4318" w:type="dxa"/>
            <w:vAlign w:val="bottom"/>
          </w:tcPr>
          <w:p w14:paraId="280582BF" w14:textId="77777777" w:rsidR="00AD0168" w:rsidRPr="00CA37C8" w:rsidRDefault="00AD0168" w:rsidP="00AD0168">
            <w:pPr>
              <w:tabs>
                <w:tab w:val="right" w:pos="1202"/>
              </w:tabs>
              <w:spacing w:after="0" w:line="240" w:lineRule="auto"/>
              <w:outlineLvl w:val="0"/>
              <w:rPr>
                <w:rFonts w:eastAsia="Times New Roman" w:cs="Arial"/>
              </w:rPr>
            </w:pPr>
            <w:r w:rsidRPr="00CA37C8">
              <w:rPr>
                <w:rFonts w:eastAsia="Times New Roman" w:cs="Arial"/>
              </w:rPr>
              <w:t>Zadržana dobit i rezerve</w:t>
            </w:r>
          </w:p>
        </w:tc>
        <w:tc>
          <w:tcPr>
            <w:tcW w:w="1020" w:type="dxa"/>
            <w:vAlign w:val="center"/>
          </w:tcPr>
          <w:p w14:paraId="767596AD" w14:textId="77777777" w:rsidR="00AD0168" w:rsidRPr="00CA37C8" w:rsidRDefault="00AD0168" w:rsidP="00AD0168">
            <w:pPr>
              <w:tabs>
                <w:tab w:val="right" w:pos="1202"/>
              </w:tabs>
              <w:spacing w:after="0" w:line="240" w:lineRule="auto"/>
              <w:jc w:val="center"/>
              <w:outlineLvl w:val="0"/>
              <w:rPr>
                <w:rFonts w:eastAsia="Times New Roman" w:cs="Arial"/>
              </w:rPr>
            </w:pPr>
          </w:p>
        </w:tc>
        <w:tc>
          <w:tcPr>
            <w:tcW w:w="2236" w:type="dxa"/>
            <w:tcBorders>
              <w:top w:val="nil"/>
              <w:left w:val="nil"/>
              <w:bottom w:val="nil"/>
              <w:right w:val="nil"/>
            </w:tcBorders>
            <w:shd w:val="clear" w:color="auto" w:fill="auto"/>
            <w:vAlign w:val="center"/>
          </w:tcPr>
          <w:p w14:paraId="18225B05" w14:textId="7CF55D3F" w:rsidR="00AD0168" w:rsidRPr="000E5941" w:rsidRDefault="00AD0168" w:rsidP="00AD0168">
            <w:pPr>
              <w:tabs>
                <w:tab w:val="right" w:pos="1202"/>
              </w:tabs>
              <w:spacing w:after="0" w:line="240" w:lineRule="auto"/>
              <w:jc w:val="right"/>
              <w:outlineLvl w:val="0"/>
              <w:rPr>
                <w:rFonts w:cs="Arial"/>
                <w:color w:val="000000"/>
              </w:rPr>
            </w:pPr>
            <w:r w:rsidRPr="00312975">
              <w:rPr>
                <w:rFonts w:cs="Arial"/>
                <w:color w:val="000000"/>
              </w:rPr>
              <w:t>2.996.968</w:t>
            </w:r>
          </w:p>
        </w:tc>
        <w:tc>
          <w:tcPr>
            <w:tcW w:w="0" w:type="auto"/>
            <w:vAlign w:val="center"/>
          </w:tcPr>
          <w:p w14:paraId="790A7F24" w14:textId="77777777" w:rsidR="00AD0168" w:rsidRPr="00CA37C8" w:rsidRDefault="00AD0168" w:rsidP="00AD0168">
            <w:pPr>
              <w:tabs>
                <w:tab w:val="right" w:pos="1202"/>
              </w:tabs>
              <w:spacing w:after="0" w:line="240" w:lineRule="auto"/>
              <w:jc w:val="right"/>
              <w:outlineLvl w:val="0"/>
              <w:rPr>
                <w:rFonts w:eastAsia="Times New Roman" w:cs="Arial"/>
              </w:rPr>
            </w:pPr>
          </w:p>
        </w:tc>
        <w:tc>
          <w:tcPr>
            <w:tcW w:w="1531" w:type="dxa"/>
            <w:tcBorders>
              <w:top w:val="nil"/>
              <w:left w:val="nil"/>
              <w:bottom w:val="nil"/>
              <w:right w:val="nil"/>
            </w:tcBorders>
            <w:shd w:val="clear" w:color="auto" w:fill="auto"/>
            <w:vAlign w:val="center"/>
          </w:tcPr>
          <w:p w14:paraId="22BC8E5A" w14:textId="08D0478B" w:rsidR="00AD0168" w:rsidRPr="00D633A5" w:rsidRDefault="00AD0168" w:rsidP="00AD0168">
            <w:pPr>
              <w:tabs>
                <w:tab w:val="right" w:pos="1202"/>
              </w:tabs>
              <w:spacing w:after="0" w:line="240" w:lineRule="auto"/>
              <w:jc w:val="right"/>
              <w:outlineLvl w:val="0"/>
              <w:rPr>
                <w:rFonts w:eastAsia="Times New Roman" w:cs="Arial"/>
                <w:snapToGrid w:val="0"/>
              </w:rPr>
            </w:pPr>
            <w:r>
              <w:rPr>
                <w:rFonts w:cs="Arial"/>
                <w:color w:val="000000"/>
              </w:rPr>
              <w:t>2.682.127</w:t>
            </w:r>
          </w:p>
        </w:tc>
      </w:tr>
      <w:tr w:rsidR="00AD0168" w:rsidRPr="00CA37C8" w14:paraId="4D6B4A15" w14:textId="77777777" w:rsidTr="00312975">
        <w:trPr>
          <w:trHeight w:val="315"/>
        </w:trPr>
        <w:tc>
          <w:tcPr>
            <w:tcW w:w="4318" w:type="dxa"/>
            <w:vAlign w:val="bottom"/>
          </w:tcPr>
          <w:p w14:paraId="4678368C" w14:textId="77777777" w:rsidR="00AD0168" w:rsidRPr="00CA37C8" w:rsidRDefault="00AD0168" w:rsidP="00AD0168">
            <w:pPr>
              <w:tabs>
                <w:tab w:val="right" w:pos="1202"/>
              </w:tabs>
              <w:spacing w:after="0" w:line="240" w:lineRule="auto"/>
              <w:outlineLvl w:val="0"/>
              <w:rPr>
                <w:rFonts w:eastAsia="Times New Roman" w:cs="Arial"/>
              </w:rPr>
            </w:pPr>
            <w:r w:rsidRPr="00CA37C8">
              <w:rPr>
                <w:rFonts w:eastAsia="Times New Roman" w:cs="Arial"/>
              </w:rPr>
              <w:t>Ostale rezerve</w:t>
            </w:r>
          </w:p>
        </w:tc>
        <w:tc>
          <w:tcPr>
            <w:tcW w:w="1020" w:type="dxa"/>
            <w:vAlign w:val="center"/>
          </w:tcPr>
          <w:p w14:paraId="0CD1856F" w14:textId="77777777" w:rsidR="00AD0168" w:rsidRPr="00CA37C8" w:rsidRDefault="00AD0168" w:rsidP="00AD0168">
            <w:pPr>
              <w:tabs>
                <w:tab w:val="right" w:pos="1202"/>
              </w:tabs>
              <w:spacing w:after="0" w:line="240" w:lineRule="auto"/>
              <w:jc w:val="center"/>
              <w:outlineLvl w:val="0"/>
              <w:rPr>
                <w:rFonts w:eastAsia="Times New Roman" w:cs="Arial"/>
              </w:rPr>
            </w:pPr>
          </w:p>
        </w:tc>
        <w:tc>
          <w:tcPr>
            <w:tcW w:w="2236" w:type="dxa"/>
            <w:tcBorders>
              <w:top w:val="nil"/>
              <w:left w:val="nil"/>
              <w:bottom w:val="nil"/>
              <w:right w:val="nil"/>
            </w:tcBorders>
            <w:shd w:val="clear" w:color="auto" w:fill="auto"/>
            <w:vAlign w:val="center"/>
          </w:tcPr>
          <w:p w14:paraId="5CF8AE5E" w14:textId="6C072AF3" w:rsidR="00AD0168" w:rsidRPr="000E5941" w:rsidRDefault="00AD0168" w:rsidP="00AD0168">
            <w:pPr>
              <w:tabs>
                <w:tab w:val="right" w:pos="1202"/>
              </w:tabs>
              <w:spacing w:after="0" w:line="240" w:lineRule="auto"/>
              <w:jc w:val="right"/>
              <w:outlineLvl w:val="0"/>
              <w:rPr>
                <w:rFonts w:cs="Arial"/>
                <w:color w:val="000000"/>
              </w:rPr>
            </w:pPr>
            <w:r w:rsidRPr="00312975">
              <w:rPr>
                <w:rFonts w:cs="Arial"/>
                <w:color w:val="000000"/>
              </w:rPr>
              <w:t>73.187</w:t>
            </w:r>
          </w:p>
        </w:tc>
        <w:tc>
          <w:tcPr>
            <w:tcW w:w="0" w:type="auto"/>
            <w:vAlign w:val="center"/>
          </w:tcPr>
          <w:p w14:paraId="4B462B15" w14:textId="77777777" w:rsidR="00AD0168" w:rsidRPr="00CA37C8" w:rsidRDefault="00AD0168" w:rsidP="00AD0168">
            <w:pPr>
              <w:tabs>
                <w:tab w:val="right" w:pos="1202"/>
              </w:tabs>
              <w:spacing w:after="0" w:line="240" w:lineRule="auto"/>
              <w:jc w:val="right"/>
              <w:outlineLvl w:val="0"/>
              <w:rPr>
                <w:rFonts w:eastAsia="Times New Roman" w:cs="Arial"/>
              </w:rPr>
            </w:pPr>
          </w:p>
        </w:tc>
        <w:tc>
          <w:tcPr>
            <w:tcW w:w="1531" w:type="dxa"/>
            <w:tcBorders>
              <w:top w:val="nil"/>
              <w:left w:val="nil"/>
              <w:bottom w:val="nil"/>
              <w:right w:val="nil"/>
            </w:tcBorders>
            <w:shd w:val="clear" w:color="auto" w:fill="auto"/>
            <w:vAlign w:val="center"/>
          </w:tcPr>
          <w:p w14:paraId="5DEFA3C9" w14:textId="39554BA1" w:rsidR="00AD0168" w:rsidRPr="00D633A5" w:rsidRDefault="00AD0168" w:rsidP="00AD0168">
            <w:pPr>
              <w:tabs>
                <w:tab w:val="right" w:pos="1202"/>
              </w:tabs>
              <w:spacing w:after="0" w:line="240" w:lineRule="auto"/>
              <w:jc w:val="right"/>
              <w:outlineLvl w:val="0"/>
              <w:rPr>
                <w:rFonts w:eastAsia="Times New Roman" w:cs="Arial"/>
                <w:snapToGrid w:val="0"/>
              </w:rPr>
            </w:pPr>
            <w:r>
              <w:rPr>
                <w:rFonts w:cs="Arial"/>
                <w:color w:val="000000"/>
              </w:rPr>
              <w:t>73.733</w:t>
            </w:r>
          </w:p>
        </w:tc>
      </w:tr>
      <w:tr w:rsidR="00AD0168" w:rsidRPr="00CA37C8" w14:paraId="45D82ACA" w14:textId="77777777" w:rsidTr="00312975">
        <w:trPr>
          <w:trHeight w:val="302"/>
        </w:trPr>
        <w:tc>
          <w:tcPr>
            <w:tcW w:w="4318" w:type="dxa"/>
            <w:vAlign w:val="bottom"/>
          </w:tcPr>
          <w:p w14:paraId="2805EF55" w14:textId="1B2BEA46" w:rsidR="00AD0168" w:rsidRPr="00CA37C8" w:rsidRDefault="00AD0168" w:rsidP="000035C6">
            <w:pPr>
              <w:tabs>
                <w:tab w:val="right" w:pos="1202"/>
              </w:tabs>
              <w:spacing w:after="0" w:line="240" w:lineRule="auto"/>
              <w:outlineLvl w:val="0"/>
              <w:rPr>
                <w:rFonts w:eastAsia="Times New Roman" w:cs="Arial"/>
              </w:rPr>
            </w:pPr>
            <w:r w:rsidRPr="00CA37C8">
              <w:rPr>
                <w:rFonts w:eastAsia="Times New Roman" w:cs="Arial"/>
              </w:rPr>
              <w:t>Dobit tekuće</w:t>
            </w:r>
            <w:r w:rsidR="000035C6">
              <w:rPr>
                <w:rFonts w:eastAsia="Times New Roman" w:cs="Arial"/>
              </w:rPr>
              <w:t>g</w:t>
            </w:r>
            <w:r w:rsidRPr="00CA37C8">
              <w:rPr>
                <w:rFonts w:eastAsia="Times New Roman" w:cs="Arial"/>
              </w:rPr>
              <w:t xml:space="preserve"> </w:t>
            </w:r>
            <w:r w:rsidR="000035C6">
              <w:rPr>
                <w:rFonts w:eastAsia="Times New Roman" w:cs="Arial"/>
              </w:rPr>
              <w:t>razdoblja</w:t>
            </w:r>
          </w:p>
        </w:tc>
        <w:tc>
          <w:tcPr>
            <w:tcW w:w="1020" w:type="dxa"/>
            <w:vAlign w:val="center"/>
          </w:tcPr>
          <w:p w14:paraId="06BB5258" w14:textId="77777777" w:rsidR="00AD0168" w:rsidRPr="00CA37C8" w:rsidRDefault="00AD0168" w:rsidP="00AD0168">
            <w:pPr>
              <w:tabs>
                <w:tab w:val="right" w:pos="1202"/>
              </w:tabs>
              <w:spacing w:after="0" w:line="240" w:lineRule="auto"/>
              <w:jc w:val="center"/>
              <w:outlineLvl w:val="0"/>
              <w:rPr>
                <w:rFonts w:eastAsia="Times New Roman" w:cs="Arial"/>
              </w:rPr>
            </w:pPr>
          </w:p>
        </w:tc>
        <w:tc>
          <w:tcPr>
            <w:tcW w:w="2236" w:type="dxa"/>
            <w:tcBorders>
              <w:top w:val="nil"/>
              <w:left w:val="nil"/>
              <w:bottom w:val="nil"/>
              <w:right w:val="nil"/>
            </w:tcBorders>
            <w:shd w:val="clear" w:color="auto" w:fill="auto"/>
            <w:vAlign w:val="center"/>
          </w:tcPr>
          <w:p w14:paraId="5B52B1DD" w14:textId="6A07B039" w:rsidR="00AD0168" w:rsidRPr="000E5941" w:rsidRDefault="00AD0168" w:rsidP="00AD0168">
            <w:pPr>
              <w:tabs>
                <w:tab w:val="right" w:pos="1202"/>
              </w:tabs>
              <w:spacing w:after="0" w:line="240" w:lineRule="auto"/>
              <w:jc w:val="right"/>
              <w:outlineLvl w:val="0"/>
              <w:rPr>
                <w:rFonts w:cs="Arial"/>
                <w:color w:val="000000"/>
              </w:rPr>
            </w:pPr>
            <w:r w:rsidRPr="00312975">
              <w:rPr>
                <w:rFonts w:cs="Arial"/>
                <w:color w:val="000000"/>
              </w:rPr>
              <w:t>130.750</w:t>
            </w:r>
          </w:p>
        </w:tc>
        <w:tc>
          <w:tcPr>
            <w:tcW w:w="0" w:type="auto"/>
            <w:vAlign w:val="center"/>
          </w:tcPr>
          <w:p w14:paraId="0E7E5876" w14:textId="77777777" w:rsidR="00AD0168" w:rsidRPr="00CA37C8" w:rsidRDefault="00AD0168" w:rsidP="00AD0168">
            <w:pPr>
              <w:tabs>
                <w:tab w:val="right" w:pos="1202"/>
              </w:tabs>
              <w:spacing w:after="0" w:line="240" w:lineRule="auto"/>
              <w:jc w:val="right"/>
              <w:outlineLvl w:val="0"/>
              <w:rPr>
                <w:rFonts w:eastAsia="Times New Roman" w:cs="Arial"/>
              </w:rPr>
            </w:pPr>
          </w:p>
        </w:tc>
        <w:tc>
          <w:tcPr>
            <w:tcW w:w="1531" w:type="dxa"/>
            <w:tcBorders>
              <w:top w:val="nil"/>
              <w:left w:val="nil"/>
              <w:bottom w:val="nil"/>
              <w:right w:val="nil"/>
            </w:tcBorders>
            <w:shd w:val="clear" w:color="auto" w:fill="auto"/>
            <w:vAlign w:val="center"/>
          </w:tcPr>
          <w:p w14:paraId="20144CEF" w14:textId="184338CE" w:rsidR="00AD0168" w:rsidRPr="00D633A5" w:rsidRDefault="00AD0168" w:rsidP="00AD0168">
            <w:pPr>
              <w:tabs>
                <w:tab w:val="right" w:pos="1202"/>
              </w:tabs>
              <w:spacing w:after="0" w:line="240" w:lineRule="auto"/>
              <w:jc w:val="right"/>
              <w:outlineLvl w:val="0"/>
              <w:rPr>
                <w:rFonts w:eastAsia="Times New Roman" w:cs="Arial"/>
                <w:snapToGrid w:val="0"/>
              </w:rPr>
            </w:pPr>
            <w:r>
              <w:rPr>
                <w:rFonts w:cs="Arial"/>
                <w:color w:val="000000"/>
              </w:rPr>
              <w:t>314.841</w:t>
            </w:r>
          </w:p>
        </w:tc>
      </w:tr>
      <w:tr w:rsidR="00D54380" w:rsidRPr="00CA37C8" w14:paraId="0B86D565" w14:textId="77777777" w:rsidTr="00AD0168">
        <w:trPr>
          <w:trHeight w:hRule="exact" w:val="113"/>
        </w:trPr>
        <w:tc>
          <w:tcPr>
            <w:tcW w:w="4318" w:type="dxa"/>
            <w:vAlign w:val="bottom"/>
          </w:tcPr>
          <w:p w14:paraId="10EE698B" w14:textId="77777777" w:rsidR="00D54380" w:rsidRPr="00CA37C8" w:rsidRDefault="00D54380" w:rsidP="00D54380">
            <w:pPr>
              <w:keepNext/>
              <w:keepLines/>
              <w:tabs>
                <w:tab w:val="decimal" w:pos="1202"/>
              </w:tabs>
              <w:spacing w:after="0" w:line="240" w:lineRule="auto"/>
              <w:rPr>
                <w:rFonts w:eastAsia="Times New Roman" w:cs="Arial"/>
                <w:b/>
                <w:position w:val="4"/>
              </w:rPr>
            </w:pPr>
          </w:p>
        </w:tc>
        <w:tc>
          <w:tcPr>
            <w:tcW w:w="1020" w:type="dxa"/>
            <w:vAlign w:val="center"/>
          </w:tcPr>
          <w:p w14:paraId="2553AB07" w14:textId="77777777" w:rsidR="00D54380" w:rsidRPr="00CA37C8" w:rsidRDefault="00D54380" w:rsidP="00D54380">
            <w:pPr>
              <w:keepLines/>
              <w:spacing w:after="0" w:line="240" w:lineRule="auto"/>
              <w:jc w:val="center"/>
              <w:rPr>
                <w:rFonts w:eastAsia="Times New Roman" w:cs="Arial"/>
                <w:spacing w:val="-2"/>
                <w:position w:val="4"/>
              </w:rPr>
            </w:pPr>
          </w:p>
        </w:tc>
        <w:tc>
          <w:tcPr>
            <w:tcW w:w="2236" w:type="dxa"/>
            <w:tcBorders>
              <w:bottom w:val="single" w:sz="4" w:space="0" w:color="auto"/>
            </w:tcBorders>
            <w:vAlign w:val="bottom"/>
          </w:tcPr>
          <w:p w14:paraId="15D4E17F" w14:textId="77777777" w:rsidR="00D54380" w:rsidRPr="00CA37C8" w:rsidRDefault="00D54380" w:rsidP="00D54380">
            <w:pPr>
              <w:keepLines/>
              <w:spacing w:after="0" w:line="240" w:lineRule="auto"/>
              <w:jc w:val="right"/>
              <w:rPr>
                <w:rFonts w:eastAsia="Times New Roman" w:cs="Arial"/>
                <w:spacing w:val="-2"/>
                <w:position w:val="4"/>
              </w:rPr>
            </w:pPr>
          </w:p>
        </w:tc>
        <w:tc>
          <w:tcPr>
            <w:tcW w:w="0" w:type="auto"/>
            <w:tcBorders>
              <w:bottom w:val="single" w:sz="4" w:space="0" w:color="auto"/>
            </w:tcBorders>
            <w:vAlign w:val="bottom"/>
          </w:tcPr>
          <w:p w14:paraId="22DB7039" w14:textId="77777777" w:rsidR="00D54380" w:rsidRPr="00CA37C8" w:rsidRDefault="00D54380" w:rsidP="00D54380">
            <w:pPr>
              <w:keepNext/>
              <w:keepLines/>
              <w:tabs>
                <w:tab w:val="left" w:pos="215"/>
                <w:tab w:val="decimal" w:pos="1295"/>
              </w:tabs>
              <w:spacing w:after="0" w:line="240" w:lineRule="auto"/>
              <w:ind w:right="-148"/>
              <w:jc w:val="right"/>
              <w:rPr>
                <w:rFonts w:eastAsia="Times New Roman" w:cs="Arial"/>
                <w:b/>
                <w:snapToGrid w:val="0"/>
                <w:position w:val="4"/>
              </w:rPr>
            </w:pPr>
          </w:p>
        </w:tc>
        <w:tc>
          <w:tcPr>
            <w:tcW w:w="1531" w:type="dxa"/>
            <w:tcBorders>
              <w:bottom w:val="single" w:sz="4" w:space="0" w:color="auto"/>
            </w:tcBorders>
            <w:vAlign w:val="bottom"/>
          </w:tcPr>
          <w:p w14:paraId="576CFF31" w14:textId="77777777" w:rsidR="00D54380" w:rsidRPr="00CA37C8" w:rsidRDefault="00D54380" w:rsidP="00D54380">
            <w:pPr>
              <w:keepLines/>
              <w:spacing w:after="0" w:line="240" w:lineRule="auto"/>
              <w:jc w:val="right"/>
              <w:rPr>
                <w:rFonts w:eastAsia="Times New Roman" w:cs="Arial"/>
                <w:spacing w:val="-2"/>
                <w:position w:val="4"/>
              </w:rPr>
            </w:pPr>
          </w:p>
        </w:tc>
      </w:tr>
      <w:tr w:rsidR="00D54380" w:rsidRPr="00CA37C8" w14:paraId="50C96DAD" w14:textId="77777777" w:rsidTr="00AD0168">
        <w:trPr>
          <w:trHeight w:val="344"/>
        </w:trPr>
        <w:tc>
          <w:tcPr>
            <w:tcW w:w="4318" w:type="dxa"/>
            <w:vAlign w:val="bottom"/>
          </w:tcPr>
          <w:p w14:paraId="4EB527F5"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Ukupni kapital koji pripada vlasnicima društva</w:t>
            </w:r>
          </w:p>
        </w:tc>
        <w:tc>
          <w:tcPr>
            <w:tcW w:w="1020" w:type="dxa"/>
            <w:vAlign w:val="center"/>
          </w:tcPr>
          <w:p w14:paraId="16CAB88D" w14:textId="77777777" w:rsidR="00D54380" w:rsidRPr="00CA37C8" w:rsidRDefault="00D54380" w:rsidP="00D54380">
            <w:pPr>
              <w:tabs>
                <w:tab w:val="right" w:pos="1202"/>
              </w:tabs>
              <w:spacing w:after="0" w:line="240" w:lineRule="auto"/>
              <w:jc w:val="center"/>
              <w:outlineLvl w:val="0"/>
              <w:rPr>
                <w:rFonts w:eastAsia="Times New Roman" w:cs="Arial"/>
                <w:b/>
                <w:bCs/>
              </w:rPr>
            </w:pPr>
          </w:p>
        </w:tc>
        <w:tc>
          <w:tcPr>
            <w:tcW w:w="2236" w:type="dxa"/>
            <w:tcBorders>
              <w:top w:val="single" w:sz="4" w:space="0" w:color="auto"/>
              <w:bottom w:val="single" w:sz="12" w:space="0" w:color="auto"/>
            </w:tcBorders>
            <w:vAlign w:val="bottom"/>
          </w:tcPr>
          <w:p w14:paraId="7A16A4D4" w14:textId="440075F7" w:rsidR="00D54380" w:rsidRPr="006504FB" w:rsidRDefault="00AD0168" w:rsidP="00D54380">
            <w:pPr>
              <w:tabs>
                <w:tab w:val="right" w:pos="1202"/>
              </w:tabs>
              <w:spacing w:after="0" w:line="240" w:lineRule="auto"/>
              <w:jc w:val="right"/>
              <w:outlineLvl w:val="0"/>
              <w:rPr>
                <w:rFonts w:eastAsia="Times New Roman" w:cs="Arial"/>
                <w:b/>
                <w:bCs/>
              </w:rPr>
            </w:pPr>
            <w:r w:rsidRPr="00AD0168">
              <w:rPr>
                <w:rFonts w:eastAsia="Times New Roman" w:cs="Arial"/>
                <w:b/>
                <w:bCs/>
              </w:rPr>
              <w:t>10.160.537</w:t>
            </w:r>
          </w:p>
        </w:tc>
        <w:tc>
          <w:tcPr>
            <w:tcW w:w="0" w:type="auto"/>
            <w:tcBorders>
              <w:top w:val="single" w:sz="4" w:space="0" w:color="auto"/>
              <w:bottom w:val="single" w:sz="12" w:space="0" w:color="auto"/>
            </w:tcBorders>
            <w:vAlign w:val="bottom"/>
          </w:tcPr>
          <w:p w14:paraId="51BE4E47"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1531" w:type="dxa"/>
            <w:tcBorders>
              <w:top w:val="single" w:sz="4" w:space="0" w:color="auto"/>
              <w:bottom w:val="single" w:sz="12" w:space="0" w:color="auto"/>
            </w:tcBorders>
            <w:vAlign w:val="bottom"/>
          </w:tcPr>
          <w:p w14:paraId="0CCDDDFA" w14:textId="3B5AFD42" w:rsidR="00D54380" w:rsidRPr="00CA37C8" w:rsidRDefault="007C409B" w:rsidP="00D54380">
            <w:pPr>
              <w:tabs>
                <w:tab w:val="right" w:pos="1202"/>
              </w:tabs>
              <w:spacing w:after="0" w:line="240" w:lineRule="auto"/>
              <w:jc w:val="right"/>
              <w:outlineLvl w:val="0"/>
              <w:rPr>
                <w:rFonts w:eastAsia="Times New Roman" w:cs="Arial"/>
                <w:b/>
                <w:bCs/>
              </w:rPr>
            </w:pPr>
            <w:r w:rsidRPr="007C409B">
              <w:rPr>
                <w:rFonts w:eastAsia="Times New Roman" w:cs="Arial"/>
                <w:b/>
                <w:bCs/>
              </w:rPr>
              <w:t>10.030.333</w:t>
            </w:r>
          </w:p>
        </w:tc>
      </w:tr>
      <w:tr w:rsidR="00D54380" w:rsidRPr="00CA37C8" w14:paraId="2494BF16" w14:textId="77777777" w:rsidTr="00AD0168">
        <w:trPr>
          <w:trHeight w:hRule="exact" w:val="113"/>
        </w:trPr>
        <w:tc>
          <w:tcPr>
            <w:tcW w:w="4318" w:type="dxa"/>
            <w:vAlign w:val="bottom"/>
          </w:tcPr>
          <w:p w14:paraId="5A8165FB" w14:textId="77777777" w:rsidR="00D54380" w:rsidRPr="00CA37C8" w:rsidRDefault="00D54380" w:rsidP="00D54380">
            <w:pPr>
              <w:keepNext/>
              <w:keepLines/>
              <w:tabs>
                <w:tab w:val="decimal" w:pos="1202"/>
              </w:tabs>
              <w:spacing w:after="0" w:line="240" w:lineRule="auto"/>
              <w:rPr>
                <w:rFonts w:eastAsia="Times New Roman" w:cs="Arial"/>
                <w:b/>
                <w:position w:val="4"/>
                <w:u w:val="thick"/>
              </w:rPr>
            </w:pPr>
          </w:p>
        </w:tc>
        <w:tc>
          <w:tcPr>
            <w:tcW w:w="1020" w:type="dxa"/>
            <w:vAlign w:val="center"/>
          </w:tcPr>
          <w:p w14:paraId="313229BF" w14:textId="77777777" w:rsidR="00D54380" w:rsidRPr="00CA37C8" w:rsidRDefault="00D54380" w:rsidP="00D54380">
            <w:pPr>
              <w:keepNext/>
              <w:keepLines/>
              <w:tabs>
                <w:tab w:val="decimal" w:pos="1060"/>
              </w:tabs>
              <w:spacing w:after="0" w:line="240" w:lineRule="auto"/>
              <w:jc w:val="center"/>
              <w:rPr>
                <w:rFonts w:eastAsia="Times New Roman" w:cs="Arial"/>
                <w:b/>
                <w:position w:val="4"/>
                <w:u w:val="thick"/>
              </w:rPr>
            </w:pPr>
          </w:p>
        </w:tc>
        <w:tc>
          <w:tcPr>
            <w:tcW w:w="2236" w:type="dxa"/>
            <w:tcBorders>
              <w:top w:val="single" w:sz="12" w:space="0" w:color="auto"/>
            </w:tcBorders>
            <w:vAlign w:val="bottom"/>
          </w:tcPr>
          <w:p w14:paraId="6C785CE0" w14:textId="77777777" w:rsidR="00D54380" w:rsidRPr="00CA37C8" w:rsidRDefault="00D54380" w:rsidP="00D54380">
            <w:pPr>
              <w:keepNext/>
              <w:keepLines/>
              <w:tabs>
                <w:tab w:val="decimal" w:pos="1060"/>
              </w:tabs>
              <w:spacing w:after="0" w:line="240" w:lineRule="auto"/>
              <w:jc w:val="right"/>
              <w:rPr>
                <w:rFonts w:eastAsia="Times New Roman" w:cs="Arial"/>
                <w:b/>
                <w:position w:val="4"/>
                <w:u w:val="thick"/>
              </w:rPr>
            </w:pPr>
          </w:p>
        </w:tc>
        <w:tc>
          <w:tcPr>
            <w:tcW w:w="0" w:type="auto"/>
            <w:tcBorders>
              <w:top w:val="single" w:sz="12" w:space="0" w:color="auto"/>
            </w:tcBorders>
            <w:vAlign w:val="bottom"/>
          </w:tcPr>
          <w:p w14:paraId="608FEB11" w14:textId="77777777" w:rsidR="00D54380" w:rsidRPr="00CA37C8" w:rsidRDefault="00D54380" w:rsidP="00D54380">
            <w:pPr>
              <w:keepNext/>
              <w:keepLines/>
              <w:tabs>
                <w:tab w:val="decimal" w:pos="1202"/>
              </w:tabs>
              <w:spacing w:after="0" w:line="240" w:lineRule="auto"/>
              <w:jc w:val="right"/>
              <w:rPr>
                <w:rFonts w:eastAsia="Times New Roman" w:cs="Arial"/>
                <w:b/>
                <w:position w:val="4"/>
                <w:u w:val="thick"/>
              </w:rPr>
            </w:pPr>
          </w:p>
        </w:tc>
        <w:tc>
          <w:tcPr>
            <w:tcW w:w="1531" w:type="dxa"/>
            <w:tcBorders>
              <w:top w:val="single" w:sz="12" w:space="0" w:color="auto"/>
            </w:tcBorders>
            <w:vAlign w:val="bottom"/>
          </w:tcPr>
          <w:p w14:paraId="0C39E862" w14:textId="77777777" w:rsidR="00D54380" w:rsidRPr="00CA37C8" w:rsidRDefault="00D54380" w:rsidP="00D54380">
            <w:pPr>
              <w:keepNext/>
              <w:keepLines/>
              <w:tabs>
                <w:tab w:val="decimal" w:pos="1060"/>
              </w:tabs>
              <w:spacing w:after="0" w:line="240" w:lineRule="auto"/>
              <w:jc w:val="right"/>
              <w:rPr>
                <w:rFonts w:eastAsia="Times New Roman" w:cs="Arial"/>
                <w:b/>
                <w:position w:val="4"/>
                <w:u w:val="thick"/>
              </w:rPr>
            </w:pPr>
          </w:p>
        </w:tc>
      </w:tr>
      <w:tr w:rsidR="00D54380" w:rsidRPr="00CA37C8" w14:paraId="39606671" w14:textId="77777777" w:rsidTr="00AD0168">
        <w:trPr>
          <w:trHeight w:val="110"/>
        </w:trPr>
        <w:tc>
          <w:tcPr>
            <w:tcW w:w="4318" w:type="dxa"/>
            <w:vAlign w:val="bottom"/>
          </w:tcPr>
          <w:p w14:paraId="79736D67" w14:textId="77777777" w:rsidR="00D54380" w:rsidRPr="00CA37C8" w:rsidRDefault="00D54380" w:rsidP="00D54380">
            <w:pPr>
              <w:keepNext/>
              <w:keepLines/>
              <w:tabs>
                <w:tab w:val="decimal" w:pos="1202"/>
              </w:tabs>
              <w:spacing w:after="0" w:line="240" w:lineRule="auto"/>
              <w:rPr>
                <w:rFonts w:eastAsia="Times New Roman" w:cs="Arial"/>
                <w:b/>
                <w:position w:val="4"/>
                <w:u w:val="thick"/>
              </w:rPr>
            </w:pPr>
          </w:p>
        </w:tc>
        <w:tc>
          <w:tcPr>
            <w:tcW w:w="1020" w:type="dxa"/>
            <w:vAlign w:val="center"/>
          </w:tcPr>
          <w:p w14:paraId="5C391462" w14:textId="77777777" w:rsidR="00D54380" w:rsidRPr="00CA37C8" w:rsidRDefault="00D54380" w:rsidP="00D54380">
            <w:pPr>
              <w:keepNext/>
              <w:keepLines/>
              <w:tabs>
                <w:tab w:val="decimal" w:pos="1202"/>
              </w:tabs>
              <w:spacing w:after="0" w:line="240" w:lineRule="auto"/>
              <w:jc w:val="center"/>
              <w:rPr>
                <w:rFonts w:eastAsia="Times New Roman" w:cs="Arial"/>
                <w:b/>
                <w:snapToGrid w:val="0"/>
                <w:position w:val="4"/>
                <w:u w:val="thick"/>
              </w:rPr>
            </w:pPr>
          </w:p>
        </w:tc>
        <w:tc>
          <w:tcPr>
            <w:tcW w:w="2236" w:type="dxa"/>
            <w:vAlign w:val="bottom"/>
          </w:tcPr>
          <w:p w14:paraId="14CFD922" w14:textId="77777777" w:rsidR="00D54380" w:rsidRPr="00CA37C8" w:rsidRDefault="00D54380" w:rsidP="00D54380">
            <w:pPr>
              <w:keepNext/>
              <w:keepLines/>
              <w:tabs>
                <w:tab w:val="decimal" w:pos="1202"/>
              </w:tabs>
              <w:spacing w:after="0" w:line="240" w:lineRule="auto"/>
              <w:jc w:val="right"/>
              <w:rPr>
                <w:rFonts w:eastAsia="Times New Roman" w:cs="Arial"/>
                <w:b/>
                <w:snapToGrid w:val="0"/>
                <w:position w:val="4"/>
                <w:u w:val="thick"/>
              </w:rPr>
            </w:pPr>
          </w:p>
        </w:tc>
        <w:tc>
          <w:tcPr>
            <w:tcW w:w="0" w:type="auto"/>
            <w:vAlign w:val="bottom"/>
          </w:tcPr>
          <w:p w14:paraId="04C9A58D" w14:textId="77777777" w:rsidR="00D54380" w:rsidRPr="00CA37C8" w:rsidRDefault="00D54380" w:rsidP="00D54380">
            <w:pPr>
              <w:keepNext/>
              <w:keepLines/>
              <w:tabs>
                <w:tab w:val="decimal" w:pos="1202"/>
              </w:tabs>
              <w:spacing w:after="0" w:line="240" w:lineRule="auto"/>
              <w:jc w:val="right"/>
              <w:rPr>
                <w:rFonts w:eastAsia="Times New Roman" w:cs="Arial"/>
                <w:b/>
                <w:snapToGrid w:val="0"/>
                <w:position w:val="4"/>
                <w:u w:val="thick"/>
              </w:rPr>
            </w:pPr>
          </w:p>
        </w:tc>
        <w:tc>
          <w:tcPr>
            <w:tcW w:w="1531" w:type="dxa"/>
            <w:vAlign w:val="bottom"/>
          </w:tcPr>
          <w:p w14:paraId="46E0CE8A" w14:textId="77777777" w:rsidR="00D54380" w:rsidRPr="00CA37C8" w:rsidRDefault="00D54380" w:rsidP="00D54380">
            <w:pPr>
              <w:keepNext/>
              <w:keepLines/>
              <w:tabs>
                <w:tab w:val="decimal" w:pos="1202"/>
              </w:tabs>
              <w:spacing w:after="0" w:line="240" w:lineRule="auto"/>
              <w:jc w:val="right"/>
              <w:rPr>
                <w:rFonts w:eastAsia="Times New Roman" w:cs="Arial"/>
                <w:b/>
                <w:snapToGrid w:val="0"/>
                <w:position w:val="4"/>
                <w:u w:val="thick"/>
              </w:rPr>
            </w:pPr>
          </w:p>
        </w:tc>
      </w:tr>
      <w:tr w:rsidR="00D54380" w:rsidRPr="00CA37C8" w14:paraId="251C5705" w14:textId="77777777" w:rsidTr="00AD0168">
        <w:trPr>
          <w:trHeight w:val="302"/>
        </w:trPr>
        <w:tc>
          <w:tcPr>
            <w:tcW w:w="4318" w:type="dxa"/>
            <w:vAlign w:val="bottom"/>
          </w:tcPr>
          <w:p w14:paraId="4246BC84" w14:textId="77777777" w:rsidR="00D54380" w:rsidRPr="00CA37C8" w:rsidRDefault="00D54380" w:rsidP="00D54380">
            <w:pPr>
              <w:tabs>
                <w:tab w:val="right" w:pos="1202"/>
              </w:tabs>
              <w:spacing w:after="0" w:line="240" w:lineRule="auto"/>
              <w:outlineLvl w:val="0"/>
              <w:rPr>
                <w:rFonts w:eastAsia="Times New Roman" w:cs="Arial"/>
              </w:rPr>
            </w:pPr>
            <w:r w:rsidRPr="00CA37C8">
              <w:rPr>
                <w:rFonts w:eastAsia="Times New Roman" w:cs="Arial"/>
              </w:rPr>
              <w:t>Garantni fond</w:t>
            </w:r>
          </w:p>
        </w:tc>
        <w:tc>
          <w:tcPr>
            <w:tcW w:w="1020" w:type="dxa"/>
            <w:vAlign w:val="center"/>
          </w:tcPr>
          <w:p w14:paraId="2EBAE806" w14:textId="77777777" w:rsidR="00D54380" w:rsidRPr="00CA37C8" w:rsidRDefault="00D54380" w:rsidP="00D54380">
            <w:pPr>
              <w:tabs>
                <w:tab w:val="right" w:pos="1202"/>
              </w:tabs>
              <w:spacing w:after="0" w:line="240" w:lineRule="auto"/>
              <w:jc w:val="center"/>
              <w:outlineLvl w:val="0"/>
              <w:rPr>
                <w:rFonts w:eastAsia="Times New Roman" w:cs="Arial"/>
              </w:rPr>
            </w:pPr>
          </w:p>
        </w:tc>
        <w:tc>
          <w:tcPr>
            <w:tcW w:w="2236" w:type="dxa"/>
            <w:vAlign w:val="bottom"/>
          </w:tcPr>
          <w:p w14:paraId="53640060" w14:textId="60BA56DA" w:rsidR="00D54380" w:rsidRPr="00CA37C8" w:rsidRDefault="00AD0168" w:rsidP="00D54380">
            <w:pPr>
              <w:tabs>
                <w:tab w:val="right" w:pos="1202"/>
              </w:tabs>
              <w:spacing w:after="0" w:line="240" w:lineRule="auto"/>
              <w:jc w:val="right"/>
              <w:outlineLvl w:val="0"/>
              <w:rPr>
                <w:rFonts w:eastAsia="Times New Roman" w:cs="Arial"/>
              </w:rPr>
            </w:pPr>
            <w:r w:rsidRPr="00AD0168">
              <w:rPr>
                <w:rFonts w:eastAsia="Times New Roman" w:cs="Arial"/>
              </w:rPr>
              <w:t>12.128</w:t>
            </w:r>
          </w:p>
        </w:tc>
        <w:tc>
          <w:tcPr>
            <w:tcW w:w="0" w:type="auto"/>
            <w:vAlign w:val="bottom"/>
          </w:tcPr>
          <w:p w14:paraId="3E6F46AE" w14:textId="77777777" w:rsidR="00D54380" w:rsidRPr="00CA37C8" w:rsidRDefault="00D54380" w:rsidP="00D54380">
            <w:pPr>
              <w:tabs>
                <w:tab w:val="right" w:pos="1202"/>
              </w:tabs>
              <w:spacing w:after="0" w:line="240" w:lineRule="auto"/>
              <w:jc w:val="right"/>
              <w:outlineLvl w:val="0"/>
              <w:rPr>
                <w:rFonts w:eastAsia="Times New Roman" w:cs="Arial"/>
              </w:rPr>
            </w:pPr>
          </w:p>
        </w:tc>
        <w:tc>
          <w:tcPr>
            <w:tcW w:w="1531" w:type="dxa"/>
            <w:vAlign w:val="bottom"/>
          </w:tcPr>
          <w:p w14:paraId="4DF758F4" w14:textId="1BB82F62" w:rsidR="00D54380" w:rsidRPr="00CA37C8" w:rsidRDefault="007C409B" w:rsidP="00D54380">
            <w:pPr>
              <w:tabs>
                <w:tab w:val="right" w:pos="1202"/>
              </w:tabs>
              <w:spacing w:after="0" w:line="240" w:lineRule="auto"/>
              <w:jc w:val="right"/>
              <w:outlineLvl w:val="0"/>
              <w:rPr>
                <w:rFonts w:eastAsia="Times New Roman" w:cs="Arial"/>
              </w:rPr>
            </w:pPr>
            <w:r w:rsidRPr="007C409B">
              <w:rPr>
                <w:rFonts w:eastAsia="Times New Roman" w:cs="Arial"/>
              </w:rPr>
              <w:t>12.375</w:t>
            </w:r>
          </w:p>
        </w:tc>
      </w:tr>
      <w:tr w:rsidR="00D54380" w:rsidRPr="00CA37C8" w14:paraId="7A1CBEB2" w14:textId="77777777" w:rsidTr="00AD0168">
        <w:trPr>
          <w:trHeight w:hRule="exact" w:val="113"/>
        </w:trPr>
        <w:tc>
          <w:tcPr>
            <w:tcW w:w="4318" w:type="dxa"/>
            <w:vAlign w:val="bottom"/>
          </w:tcPr>
          <w:p w14:paraId="4B430E24" w14:textId="77777777" w:rsidR="00D54380" w:rsidRPr="00CA37C8" w:rsidRDefault="00D54380" w:rsidP="00D54380">
            <w:pPr>
              <w:keepNext/>
              <w:keepLines/>
              <w:tabs>
                <w:tab w:val="left" w:pos="1134"/>
                <w:tab w:val="decimal" w:pos="1202"/>
              </w:tabs>
              <w:spacing w:after="0" w:line="240" w:lineRule="auto"/>
              <w:rPr>
                <w:rFonts w:eastAsia="Times New Roman" w:cs="Arial"/>
                <w:b/>
                <w:position w:val="4"/>
              </w:rPr>
            </w:pPr>
          </w:p>
        </w:tc>
        <w:tc>
          <w:tcPr>
            <w:tcW w:w="1020" w:type="dxa"/>
            <w:vAlign w:val="center"/>
          </w:tcPr>
          <w:p w14:paraId="6682652D" w14:textId="77777777" w:rsidR="00D54380" w:rsidRPr="00CA37C8" w:rsidRDefault="00D54380" w:rsidP="00D54380">
            <w:pPr>
              <w:keepLines/>
              <w:spacing w:after="0" w:line="240" w:lineRule="auto"/>
              <w:jc w:val="center"/>
              <w:rPr>
                <w:rFonts w:eastAsia="Times New Roman" w:cs="Arial"/>
                <w:spacing w:val="-2"/>
                <w:position w:val="4"/>
              </w:rPr>
            </w:pPr>
          </w:p>
        </w:tc>
        <w:tc>
          <w:tcPr>
            <w:tcW w:w="2236" w:type="dxa"/>
            <w:tcBorders>
              <w:bottom w:val="single" w:sz="4" w:space="0" w:color="auto"/>
            </w:tcBorders>
            <w:vAlign w:val="bottom"/>
          </w:tcPr>
          <w:p w14:paraId="337050FB" w14:textId="77777777" w:rsidR="00D54380" w:rsidRPr="00CA37C8" w:rsidRDefault="00D54380" w:rsidP="00D54380">
            <w:pPr>
              <w:keepLines/>
              <w:spacing w:after="0" w:line="240" w:lineRule="auto"/>
              <w:jc w:val="right"/>
              <w:rPr>
                <w:rFonts w:eastAsia="Times New Roman" w:cs="Arial"/>
                <w:spacing w:val="-2"/>
                <w:position w:val="4"/>
              </w:rPr>
            </w:pPr>
          </w:p>
        </w:tc>
        <w:tc>
          <w:tcPr>
            <w:tcW w:w="0" w:type="auto"/>
            <w:tcBorders>
              <w:bottom w:val="single" w:sz="4" w:space="0" w:color="auto"/>
            </w:tcBorders>
            <w:vAlign w:val="bottom"/>
          </w:tcPr>
          <w:p w14:paraId="76DF7AA8" w14:textId="77777777" w:rsidR="00D54380" w:rsidRPr="00CA37C8" w:rsidRDefault="00D54380" w:rsidP="00D54380">
            <w:pPr>
              <w:keepNext/>
              <w:keepLines/>
              <w:tabs>
                <w:tab w:val="left" w:pos="215"/>
                <w:tab w:val="decimal" w:pos="1295"/>
              </w:tabs>
              <w:spacing w:after="0" w:line="240" w:lineRule="auto"/>
              <w:ind w:right="-148"/>
              <w:jc w:val="right"/>
              <w:rPr>
                <w:rFonts w:eastAsia="Times New Roman" w:cs="Arial"/>
                <w:b/>
                <w:snapToGrid w:val="0"/>
                <w:position w:val="4"/>
              </w:rPr>
            </w:pPr>
          </w:p>
        </w:tc>
        <w:tc>
          <w:tcPr>
            <w:tcW w:w="1531" w:type="dxa"/>
            <w:tcBorders>
              <w:bottom w:val="single" w:sz="4" w:space="0" w:color="auto"/>
            </w:tcBorders>
            <w:vAlign w:val="bottom"/>
          </w:tcPr>
          <w:p w14:paraId="76717830" w14:textId="77777777" w:rsidR="00D54380" w:rsidRPr="00CA37C8" w:rsidRDefault="00D54380" w:rsidP="00D54380">
            <w:pPr>
              <w:keepLines/>
              <w:spacing w:after="0" w:line="240" w:lineRule="auto"/>
              <w:jc w:val="right"/>
              <w:rPr>
                <w:rFonts w:eastAsia="Times New Roman" w:cs="Arial"/>
                <w:spacing w:val="-2"/>
                <w:position w:val="4"/>
              </w:rPr>
            </w:pPr>
          </w:p>
        </w:tc>
      </w:tr>
      <w:tr w:rsidR="00D54380" w:rsidRPr="00CA37C8" w14:paraId="0BDD7D24" w14:textId="77777777" w:rsidTr="00AD0168">
        <w:trPr>
          <w:trHeight w:val="344"/>
        </w:trPr>
        <w:tc>
          <w:tcPr>
            <w:tcW w:w="4318" w:type="dxa"/>
            <w:vAlign w:val="bottom"/>
          </w:tcPr>
          <w:p w14:paraId="3BCCBD35"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Ukupna glavnica</w:t>
            </w:r>
          </w:p>
        </w:tc>
        <w:tc>
          <w:tcPr>
            <w:tcW w:w="1020" w:type="dxa"/>
            <w:vAlign w:val="center"/>
          </w:tcPr>
          <w:p w14:paraId="38836E8D" w14:textId="77777777" w:rsidR="00D54380" w:rsidRPr="00CA37C8" w:rsidRDefault="00D54380" w:rsidP="00D54380">
            <w:pPr>
              <w:tabs>
                <w:tab w:val="right" w:pos="1202"/>
              </w:tabs>
              <w:spacing w:after="0" w:line="240" w:lineRule="auto"/>
              <w:jc w:val="center"/>
              <w:outlineLvl w:val="0"/>
              <w:rPr>
                <w:rFonts w:eastAsia="Times New Roman" w:cs="Arial"/>
                <w:b/>
                <w:bCs/>
              </w:rPr>
            </w:pPr>
          </w:p>
        </w:tc>
        <w:tc>
          <w:tcPr>
            <w:tcW w:w="2236" w:type="dxa"/>
            <w:tcBorders>
              <w:top w:val="single" w:sz="4" w:space="0" w:color="auto"/>
              <w:bottom w:val="single" w:sz="4" w:space="0" w:color="auto"/>
            </w:tcBorders>
            <w:vAlign w:val="bottom"/>
          </w:tcPr>
          <w:p w14:paraId="2534D7F6" w14:textId="67A2C608" w:rsidR="00D54380" w:rsidRPr="006504FB" w:rsidRDefault="00AD0168" w:rsidP="00D54380">
            <w:pPr>
              <w:tabs>
                <w:tab w:val="right" w:pos="1202"/>
              </w:tabs>
              <w:spacing w:after="0" w:line="240" w:lineRule="auto"/>
              <w:jc w:val="right"/>
              <w:outlineLvl w:val="0"/>
              <w:rPr>
                <w:rFonts w:eastAsia="Times New Roman" w:cs="Arial"/>
                <w:b/>
                <w:bCs/>
              </w:rPr>
            </w:pPr>
            <w:r w:rsidRPr="00AD0168">
              <w:rPr>
                <w:rFonts w:eastAsia="Times New Roman" w:cs="Arial"/>
                <w:b/>
                <w:bCs/>
              </w:rPr>
              <w:t>10.172.665</w:t>
            </w:r>
          </w:p>
        </w:tc>
        <w:tc>
          <w:tcPr>
            <w:tcW w:w="0" w:type="auto"/>
            <w:tcBorders>
              <w:top w:val="single" w:sz="4" w:space="0" w:color="auto"/>
              <w:bottom w:val="single" w:sz="4" w:space="0" w:color="auto"/>
            </w:tcBorders>
            <w:vAlign w:val="bottom"/>
          </w:tcPr>
          <w:p w14:paraId="774DCFCE"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1531" w:type="dxa"/>
            <w:tcBorders>
              <w:top w:val="single" w:sz="4" w:space="0" w:color="auto"/>
              <w:bottom w:val="single" w:sz="4" w:space="0" w:color="auto"/>
            </w:tcBorders>
            <w:vAlign w:val="bottom"/>
          </w:tcPr>
          <w:p w14:paraId="7F2A1110" w14:textId="58639B5D" w:rsidR="00D54380" w:rsidRPr="00CA37C8" w:rsidRDefault="007C409B" w:rsidP="00D54380">
            <w:pPr>
              <w:tabs>
                <w:tab w:val="right" w:pos="1202"/>
              </w:tabs>
              <w:spacing w:after="0" w:line="240" w:lineRule="auto"/>
              <w:jc w:val="right"/>
              <w:outlineLvl w:val="0"/>
              <w:rPr>
                <w:rFonts w:eastAsia="Times New Roman" w:cs="Arial"/>
                <w:b/>
                <w:bCs/>
              </w:rPr>
            </w:pPr>
            <w:r w:rsidRPr="007C409B">
              <w:rPr>
                <w:rFonts w:eastAsia="Times New Roman" w:cs="Arial"/>
                <w:b/>
                <w:bCs/>
              </w:rPr>
              <w:t>10.042.708</w:t>
            </w:r>
          </w:p>
        </w:tc>
      </w:tr>
      <w:tr w:rsidR="00D54380" w:rsidRPr="00CA37C8" w14:paraId="51B8B971" w14:textId="77777777" w:rsidTr="00AD0168">
        <w:trPr>
          <w:trHeight w:hRule="exact" w:val="113"/>
        </w:trPr>
        <w:tc>
          <w:tcPr>
            <w:tcW w:w="4318" w:type="dxa"/>
            <w:vAlign w:val="bottom"/>
          </w:tcPr>
          <w:p w14:paraId="4B1677F6" w14:textId="77777777" w:rsidR="00D54380" w:rsidRPr="00CA37C8" w:rsidRDefault="00D54380" w:rsidP="00D54380">
            <w:pPr>
              <w:keepNext/>
              <w:keepLines/>
              <w:tabs>
                <w:tab w:val="decimal" w:pos="1202"/>
              </w:tabs>
              <w:spacing w:after="0" w:line="240" w:lineRule="auto"/>
              <w:rPr>
                <w:rFonts w:eastAsia="Times New Roman" w:cs="Arial"/>
                <w:b/>
                <w:position w:val="4"/>
              </w:rPr>
            </w:pPr>
          </w:p>
        </w:tc>
        <w:tc>
          <w:tcPr>
            <w:tcW w:w="1020" w:type="dxa"/>
            <w:vAlign w:val="center"/>
          </w:tcPr>
          <w:p w14:paraId="380506D0" w14:textId="77777777" w:rsidR="00D54380" w:rsidRPr="00CA37C8" w:rsidRDefault="00D54380" w:rsidP="00D54380">
            <w:pPr>
              <w:keepLines/>
              <w:spacing w:after="0" w:line="240" w:lineRule="auto"/>
              <w:jc w:val="center"/>
              <w:rPr>
                <w:rFonts w:eastAsia="Times New Roman" w:cs="Arial"/>
                <w:spacing w:val="-2"/>
                <w:position w:val="4"/>
              </w:rPr>
            </w:pPr>
          </w:p>
        </w:tc>
        <w:tc>
          <w:tcPr>
            <w:tcW w:w="2236" w:type="dxa"/>
            <w:tcBorders>
              <w:top w:val="single" w:sz="4" w:space="0" w:color="auto"/>
            </w:tcBorders>
            <w:vAlign w:val="bottom"/>
          </w:tcPr>
          <w:p w14:paraId="33E3295D" w14:textId="77777777" w:rsidR="00D54380" w:rsidRPr="00CA37C8" w:rsidRDefault="00D54380" w:rsidP="00D54380">
            <w:pPr>
              <w:keepLines/>
              <w:spacing w:after="0" w:line="240" w:lineRule="auto"/>
              <w:jc w:val="right"/>
              <w:rPr>
                <w:rFonts w:eastAsia="Times New Roman" w:cs="Arial"/>
                <w:spacing w:val="-2"/>
                <w:position w:val="4"/>
              </w:rPr>
            </w:pPr>
          </w:p>
        </w:tc>
        <w:tc>
          <w:tcPr>
            <w:tcW w:w="0" w:type="auto"/>
            <w:tcBorders>
              <w:top w:val="single" w:sz="4" w:space="0" w:color="auto"/>
            </w:tcBorders>
            <w:vAlign w:val="bottom"/>
          </w:tcPr>
          <w:p w14:paraId="2CB6996C" w14:textId="77777777" w:rsidR="00D54380" w:rsidRPr="00CA37C8" w:rsidRDefault="00D54380" w:rsidP="00D54380">
            <w:pPr>
              <w:keepNext/>
              <w:keepLines/>
              <w:tabs>
                <w:tab w:val="left" w:pos="215"/>
                <w:tab w:val="decimal" w:pos="1295"/>
              </w:tabs>
              <w:spacing w:after="0" w:line="240" w:lineRule="auto"/>
              <w:ind w:right="-148"/>
              <w:jc w:val="right"/>
              <w:rPr>
                <w:rFonts w:eastAsia="Times New Roman" w:cs="Arial"/>
                <w:b/>
                <w:snapToGrid w:val="0"/>
                <w:position w:val="4"/>
              </w:rPr>
            </w:pPr>
          </w:p>
        </w:tc>
        <w:tc>
          <w:tcPr>
            <w:tcW w:w="1531" w:type="dxa"/>
            <w:tcBorders>
              <w:top w:val="single" w:sz="4" w:space="0" w:color="auto"/>
            </w:tcBorders>
            <w:vAlign w:val="bottom"/>
          </w:tcPr>
          <w:p w14:paraId="74288665" w14:textId="77777777" w:rsidR="00D54380" w:rsidRPr="00CA37C8" w:rsidRDefault="00D54380" w:rsidP="00D54380">
            <w:pPr>
              <w:keepLines/>
              <w:spacing w:after="0" w:line="240" w:lineRule="auto"/>
              <w:jc w:val="right"/>
              <w:rPr>
                <w:rFonts w:eastAsia="Times New Roman" w:cs="Arial"/>
                <w:spacing w:val="-2"/>
                <w:position w:val="4"/>
              </w:rPr>
            </w:pPr>
          </w:p>
        </w:tc>
      </w:tr>
      <w:tr w:rsidR="00D54380" w:rsidRPr="00CA37C8" w14:paraId="56467DF7" w14:textId="77777777" w:rsidTr="00AD0168">
        <w:trPr>
          <w:trHeight w:val="352"/>
        </w:trPr>
        <w:tc>
          <w:tcPr>
            <w:tcW w:w="4318" w:type="dxa"/>
            <w:vAlign w:val="bottom"/>
          </w:tcPr>
          <w:p w14:paraId="36AEFB7E"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Ukupne obveze i glavnica</w:t>
            </w:r>
          </w:p>
        </w:tc>
        <w:tc>
          <w:tcPr>
            <w:tcW w:w="1020" w:type="dxa"/>
            <w:vAlign w:val="center"/>
          </w:tcPr>
          <w:p w14:paraId="71F2E9A3" w14:textId="77777777" w:rsidR="00D54380" w:rsidRPr="00CA37C8" w:rsidRDefault="00D54380" w:rsidP="00D54380">
            <w:pPr>
              <w:tabs>
                <w:tab w:val="right" w:pos="1202"/>
              </w:tabs>
              <w:spacing w:after="0" w:line="240" w:lineRule="auto"/>
              <w:jc w:val="center"/>
              <w:outlineLvl w:val="0"/>
              <w:rPr>
                <w:rFonts w:eastAsia="Times New Roman" w:cs="Arial"/>
                <w:b/>
                <w:bCs/>
              </w:rPr>
            </w:pPr>
          </w:p>
        </w:tc>
        <w:tc>
          <w:tcPr>
            <w:tcW w:w="2236" w:type="dxa"/>
            <w:vAlign w:val="bottom"/>
          </w:tcPr>
          <w:p w14:paraId="0EF9FC64" w14:textId="6A93FCC4" w:rsidR="00D54380" w:rsidRPr="006504FB" w:rsidRDefault="00665797" w:rsidP="00D54380">
            <w:pPr>
              <w:tabs>
                <w:tab w:val="right" w:pos="1202"/>
              </w:tabs>
              <w:spacing w:after="0" w:line="240" w:lineRule="auto"/>
              <w:jc w:val="right"/>
              <w:outlineLvl w:val="0"/>
              <w:rPr>
                <w:rFonts w:eastAsia="Times New Roman" w:cs="Arial"/>
                <w:b/>
                <w:bCs/>
              </w:rPr>
            </w:pPr>
            <w:r>
              <w:rPr>
                <w:rFonts w:eastAsia="Times New Roman" w:cs="Arial"/>
                <w:b/>
                <w:bCs/>
              </w:rPr>
              <w:t>27.823.841</w:t>
            </w:r>
          </w:p>
        </w:tc>
        <w:tc>
          <w:tcPr>
            <w:tcW w:w="0" w:type="auto"/>
            <w:vAlign w:val="bottom"/>
          </w:tcPr>
          <w:p w14:paraId="27544AA4"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1531" w:type="dxa"/>
            <w:vAlign w:val="bottom"/>
          </w:tcPr>
          <w:p w14:paraId="67C045E6" w14:textId="08BB2D94" w:rsidR="00D54380" w:rsidRPr="00CA37C8" w:rsidRDefault="007C409B" w:rsidP="00D54380">
            <w:pPr>
              <w:tabs>
                <w:tab w:val="right" w:pos="1202"/>
              </w:tabs>
              <w:spacing w:after="0" w:line="240" w:lineRule="auto"/>
              <w:jc w:val="right"/>
              <w:outlineLvl w:val="0"/>
              <w:rPr>
                <w:rFonts w:eastAsia="Times New Roman" w:cs="Arial"/>
                <w:b/>
                <w:bCs/>
              </w:rPr>
            </w:pPr>
            <w:r w:rsidRPr="007C409B">
              <w:rPr>
                <w:rFonts w:eastAsia="Times New Roman" w:cs="Arial"/>
                <w:b/>
                <w:bCs/>
              </w:rPr>
              <w:t>27.390.822</w:t>
            </w:r>
          </w:p>
        </w:tc>
      </w:tr>
      <w:tr w:rsidR="00DC501B" w:rsidRPr="00CA37C8" w14:paraId="50F1ECF3" w14:textId="77777777" w:rsidTr="00AD0168">
        <w:trPr>
          <w:trHeight w:hRule="exact" w:val="20"/>
        </w:trPr>
        <w:tc>
          <w:tcPr>
            <w:tcW w:w="4318" w:type="dxa"/>
          </w:tcPr>
          <w:p w14:paraId="695B5EC5" w14:textId="77777777" w:rsidR="00DC501B" w:rsidRPr="00CA37C8" w:rsidRDefault="00DC501B" w:rsidP="00DC501B">
            <w:pPr>
              <w:keepNext/>
              <w:keepLines/>
              <w:tabs>
                <w:tab w:val="decimal" w:pos="1202"/>
              </w:tabs>
              <w:spacing w:after="0" w:line="240" w:lineRule="auto"/>
              <w:rPr>
                <w:rFonts w:eastAsia="Times New Roman" w:cs="Arial"/>
                <w:b/>
                <w:position w:val="4"/>
                <w:u w:val="thick"/>
              </w:rPr>
            </w:pPr>
          </w:p>
        </w:tc>
        <w:tc>
          <w:tcPr>
            <w:tcW w:w="1020" w:type="dxa"/>
            <w:vAlign w:val="center"/>
          </w:tcPr>
          <w:p w14:paraId="714F96F0" w14:textId="77777777" w:rsidR="00DC501B" w:rsidRPr="00CA37C8" w:rsidRDefault="00DC501B" w:rsidP="00DC501B">
            <w:pPr>
              <w:keepNext/>
              <w:keepLines/>
              <w:tabs>
                <w:tab w:val="decimal" w:pos="1060"/>
              </w:tabs>
              <w:spacing w:after="0" w:line="240" w:lineRule="auto"/>
              <w:jc w:val="center"/>
              <w:rPr>
                <w:rFonts w:eastAsia="Times New Roman" w:cs="Arial"/>
                <w:b/>
                <w:position w:val="4"/>
                <w:u w:val="thick"/>
              </w:rPr>
            </w:pPr>
          </w:p>
        </w:tc>
        <w:tc>
          <w:tcPr>
            <w:tcW w:w="2236" w:type="dxa"/>
            <w:tcBorders>
              <w:bottom w:val="single" w:sz="12" w:space="0" w:color="auto"/>
            </w:tcBorders>
            <w:vAlign w:val="center"/>
          </w:tcPr>
          <w:p w14:paraId="155E5A32" w14:textId="77777777" w:rsidR="00DC501B" w:rsidRPr="00CA37C8" w:rsidRDefault="00DC501B" w:rsidP="00DC501B">
            <w:pPr>
              <w:keepNext/>
              <w:keepLines/>
              <w:tabs>
                <w:tab w:val="decimal" w:pos="1060"/>
              </w:tabs>
              <w:spacing w:after="0" w:line="240" w:lineRule="auto"/>
              <w:jc w:val="right"/>
              <w:rPr>
                <w:rFonts w:eastAsia="Times New Roman" w:cs="Arial"/>
                <w:b/>
                <w:position w:val="4"/>
                <w:u w:val="thick"/>
              </w:rPr>
            </w:pPr>
            <w:r w:rsidRPr="00CA37C8">
              <w:rPr>
                <w:rFonts w:eastAsia="Times New Roman" w:cs="Arial"/>
                <w:b/>
                <w:position w:val="4"/>
                <w:u w:val="thick"/>
              </w:rPr>
              <w:t>____________</w:t>
            </w:r>
          </w:p>
        </w:tc>
        <w:tc>
          <w:tcPr>
            <w:tcW w:w="0" w:type="auto"/>
            <w:tcBorders>
              <w:bottom w:val="single" w:sz="12" w:space="0" w:color="auto"/>
            </w:tcBorders>
            <w:vAlign w:val="center"/>
          </w:tcPr>
          <w:p w14:paraId="5FB6DDF2" w14:textId="77777777" w:rsidR="00DC501B" w:rsidRPr="00CA37C8" w:rsidRDefault="00DC501B" w:rsidP="00DC501B">
            <w:pPr>
              <w:keepNext/>
              <w:keepLines/>
              <w:tabs>
                <w:tab w:val="decimal" w:pos="1202"/>
              </w:tabs>
              <w:spacing w:after="0" w:line="240" w:lineRule="auto"/>
              <w:jc w:val="right"/>
              <w:rPr>
                <w:rFonts w:eastAsia="Times New Roman" w:cs="Arial"/>
                <w:b/>
                <w:position w:val="4"/>
                <w:u w:val="thick"/>
              </w:rPr>
            </w:pPr>
          </w:p>
        </w:tc>
        <w:tc>
          <w:tcPr>
            <w:tcW w:w="1531" w:type="dxa"/>
            <w:tcBorders>
              <w:bottom w:val="single" w:sz="12" w:space="0" w:color="auto"/>
            </w:tcBorders>
            <w:vAlign w:val="center"/>
          </w:tcPr>
          <w:p w14:paraId="056D6615" w14:textId="77777777" w:rsidR="00DC501B" w:rsidRPr="00CA37C8" w:rsidRDefault="00DC501B" w:rsidP="00DC501B">
            <w:pPr>
              <w:keepNext/>
              <w:keepLines/>
              <w:tabs>
                <w:tab w:val="decimal" w:pos="1060"/>
              </w:tabs>
              <w:spacing w:after="0" w:line="240" w:lineRule="auto"/>
              <w:jc w:val="right"/>
              <w:rPr>
                <w:rFonts w:eastAsia="Times New Roman" w:cs="Arial"/>
                <w:b/>
                <w:position w:val="4"/>
                <w:u w:val="thick"/>
              </w:rPr>
            </w:pPr>
            <w:r w:rsidRPr="00CA37C8">
              <w:rPr>
                <w:rFonts w:eastAsia="Times New Roman" w:cs="Arial"/>
                <w:b/>
                <w:position w:val="4"/>
                <w:u w:val="thick"/>
              </w:rPr>
              <w:t>____________</w:t>
            </w:r>
          </w:p>
        </w:tc>
      </w:tr>
    </w:tbl>
    <w:p w14:paraId="6C1BFE64" w14:textId="77777777" w:rsidR="00FE7274" w:rsidRDefault="00FE7274" w:rsidP="00FE7274">
      <w:pPr>
        <w:spacing w:after="0" w:line="240" w:lineRule="auto"/>
        <w:rPr>
          <w:rFonts w:eastAsia="Times New Roman" w:cs="Times New Roman"/>
          <w:sz w:val="24"/>
          <w:szCs w:val="24"/>
        </w:rPr>
      </w:pPr>
    </w:p>
    <w:p w14:paraId="08FB338C" w14:textId="77777777" w:rsidR="00026EE1" w:rsidRDefault="00026EE1" w:rsidP="00D81EB1">
      <w:pPr>
        <w:spacing w:after="0" w:line="240" w:lineRule="auto"/>
        <w:rPr>
          <w:rFonts w:eastAsia="Times New Roman" w:cs="Times New Roman"/>
        </w:rPr>
      </w:pPr>
    </w:p>
    <w:p w14:paraId="27F54705" w14:textId="77777777" w:rsidR="00D81EB1" w:rsidRPr="00D81EB1" w:rsidRDefault="00D81EB1" w:rsidP="000141E9">
      <w:pPr>
        <w:spacing w:after="0" w:line="240" w:lineRule="auto"/>
        <w:rPr>
          <w:rFonts w:eastAsia="Times New Roman" w:cs="Times New Roman"/>
        </w:rPr>
      </w:pPr>
      <w:r w:rsidRPr="00D81EB1">
        <w:rPr>
          <w:rFonts w:eastAsia="Times New Roman" w:cs="Times New Roman"/>
        </w:rPr>
        <w:t>Priložene bilješke uz financijske izvještaje sastavni su dio ovog izvještaja o financijskom položaju.</w:t>
      </w:r>
    </w:p>
    <w:p w14:paraId="07B25766" w14:textId="77777777" w:rsidR="00C447CE" w:rsidRDefault="00C447CE" w:rsidP="00C447CE">
      <w:pPr>
        <w:spacing w:after="0" w:line="240" w:lineRule="auto"/>
        <w:rPr>
          <w:rFonts w:eastAsia="Times New Roman" w:cs="Arial"/>
          <w14:shadow w14:blurRad="50800" w14:dist="38100" w14:dir="2700000" w14:sx="100000" w14:sy="100000" w14:kx="0" w14:ky="0" w14:algn="tl">
            <w14:srgbClr w14:val="000000">
              <w14:alpha w14:val="60000"/>
            </w14:srgbClr>
          </w14:shadow>
        </w:rPr>
      </w:pPr>
    </w:p>
    <w:p w14:paraId="5FCF8998" w14:textId="77777777" w:rsidR="00C447CE" w:rsidRDefault="00C447CE" w:rsidP="00C447CE">
      <w:pPr>
        <w:spacing w:after="0" w:line="240" w:lineRule="auto"/>
        <w:rPr>
          <w:rFonts w:eastAsia="Times New Roman" w:cs="Arial"/>
          <w14:shadow w14:blurRad="50800" w14:dist="38100" w14:dir="2700000" w14:sx="100000" w14:sy="100000" w14:kx="0" w14:ky="0" w14:algn="tl">
            <w14:srgbClr w14:val="000000">
              <w14:alpha w14:val="60000"/>
            </w14:srgbClr>
          </w14:shadow>
        </w:rPr>
      </w:pPr>
    </w:p>
    <w:p w14:paraId="6A00FEFD" w14:textId="4A54DF91" w:rsidR="00C447CE" w:rsidRDefault="00C447CE" w:rsidP="00C447CE">
      <w:pPr>
        <w:spacing w:after="0" w:line="240" w:lineRule="auto"/>
      </w:pPr>
      <w:r w:rsidRPr="00876425">
        <w:rPr>
          <w:rFonts w:eastAsia="Times New Roman" w:cs="Arial"/>
        </w:rPr>
        <w:tab/>
      </w:r>
    </w:p>
    <w:p w14:paraId="43432B8B" w14:textId="77777777" w:rsidR="00C447CE" w:rsidRPr="0014316B" w:rsidRDefault="00C447CE" w:rsidP="00C447CE">
      <w:pPr>
        <w:spacing w:after="0" w:line="240" w:lineRule="auto"/>
        <w:sectPr w:rsidR="00C447CE" w:rsidRPr="0014316B" w:rsidSect="00305343">
          <w:headerReference w:type="first" r:id="rId30"/>
          <w:footerReference w:type="first" r:id="rId31"/>
          <w:pgSz w:w="11906" w:h="16838" w:code="9"/>
          <w:pgMar w:top="1105" w:right="1133" w:bottom="1417" w:left="1417" w:header="709" w:footer="709" w:gutter="0"/>
          <w:pgNumType w:start="1"/>
          <w:cols w:space="708"/>
          <w:titlePg/>
          <w:docGrid w:linePitch="360"/>
        </w:sectPr>
      </w:pPr>
    </w:p>
    <w:p w14:paraId="02EA421A" w14:textId="77777777" w:rsidR="002A0320" w:rsidRDefault="002A0320" w:rsidP="002E1FA4">
      <w:pPr>
        <w:pStyle w:val="T1"/>
        <w:keepNext w:val="0"/>
        <w:spacing w:before="0" w:after="0" w:line="240" w:lineRule="auto"/>
        <w:rPr>
          <w:rFonts w:asciiTheme="minorHAnsi" w:hAnsiTheme="minorHAnsi"/>
          <w:b w:val="0"/>
          <w:bCs w:val="0"/>
          <w:sz w:val="22"/>
          <w:szCs w:val="22"/>
          <w:lang w:val="hr-HR"/>
        </w:rPr>
      </w:pPr>
    </w:p>
    <w:tbl>
      <w:tblPr>
        <w:tblpPr w:leftFromText="180" w:rightFromText="180" w:vertAnchor="page" w:horzAnchor="margin" w:tblpY="2360"/>
        <w:tblW w:w="9735" w:type="dxa"/>
        <w:tblLayout w:type="fixed"/>
        <w:tblCellMar>
          <w:left w:w="119" w:type="dxa"/>
          <w:right w:w="119" w:type="dxa"/>
        </w:tblCellMar>
        <w:tblLook w:val="0000" w:firstRow="0" w:lastRow="0" w:firstColumn="0" w:lastColumn="0" w:noHBand="0" w:noVBand="0"/>
      </w:tblPr>
      <w:tblGrid>
        <w:gridCol w:w="7231"/>
        <w:gridCol w:w="1252"/>
        <w:gridCol w:w="1252"/>
      </w:tblGrid>
      <w:tr w:rsidR="001B316F" w:rsidRPr="000601E2" w14:paraId="518D1A31" w14:textId="77777777" w:rsidTr="001B316F">
        <w:trPr>
          <w:trHeight w:val="279"/>
        </w:trPr>
        <w:tc>
          <w:tcPr>
            <w:tcW w:w="7231" w:type="dxa"/>
            <w:tcBorders>
              <w:top w:val="single" w:sz="4" w:space="0" w:color="auto"/>
              <w:bottom w:val="single" w:sz="4" w:space="0" w:color="auto"/>
            </w:tcBorders>
            <w:vAlign w:val="bottom"/>
          </w:tcPr>
          <w:p w14:paraId="6792F9B5" w14:textId="77777777" w:rsidR="001B316F" w:rsidRPr="000601E2" w:rsidRDefault="001B316F" w:rsidP="001B316F">
            <w:pPr>
              <w:keepLines/>
              <w:tabs>
                <w:tab w:val="right" w:pos="1202"/>
              </w:tabs>
              <w:spacing w:after="0" w:line="240" w:lineRule="auto"/>
              <w:jc w:val="right"/>
              <w:outlineLvl w:val="0"/>
              <w:rPr>
                <w:rFonts w:eastAsia="Times New Roman" w:cs="Arial"/>
                <w:b/>
                <w:sz w:val="19"/>
                <w:szCs w:val="19"/>
              </w:rPr>
            </w:pPr>
            <w:r w:rsidRPr="000601E2">
              <w:rPr>
                <w:rFonts w:eastAsia="Times New Roman" w:cs="Arial"/>
                <w:b/>
                <w:sz w:val="19"/>
                <w:szCs w:val="19"/>
              </w:rPr>
              <w:t xml:space="preserve">                                                                                                                                              Bilješka</w:t>
            </w:r>
          </w:p>
        </w:tc>
        <w:tc>
          <w:tcPr>
            <w:tcW w:w="1252" w:type="dxa"/>
            <w:tcBorders>
              <w:top w:val="single" w:sz="4" w:space="0" w:color="auto"/>
              <w:bottom w:val="single" w:sz="4" w:space="0" w:color="auto"/>
            </w:tcBorders>
            <w:vAlign w:val="bottom"/>
          </w:tcPr>
          <w:p w14:paraId="0C8276D7" w14:textId="0D48BD50" w:rsidR="001B316F" w:rsidRPr="000601E2" w:rsidRDefault="001B316F" w:rsidP="00932654">
            <w:pPr>
              <w:keepLines/>
              <w:tabs>
                <w:tab w:val="right" w:pos="1202"/>
              </w:tabs>
              <w:spacing w:after="0" w:line="240" w:lineRule="auto"/>
              <w:jc w:val="right"/>
              <w:outlineLvl w:val="0"/>
              <w:rPr>
                <w:rFonts w:eastAsia="Times New Roman" w:cs="Arial"/>
                <w:b/>
                <w:bCs/>
                <w:sz w:val="19"/>
                <w:szCs w:val="19"/>
              </w:rPr>
            </w:pPr>
            <w:r w:rsidRPr="000601E2">
              <w:rPr>
                <w:rFonts w:eastAsia="Times New Roman" w:cs="Arial"/>
                <w:b/>
                <w:bCs/>
                <w:sz w:val="19"/>
                <w:szCs w:val="19"/>
              </w:rPr>
              <w:t>201</w:t>
            </w:r>
            <w:r>
              <w:rPr>
                <w:rFonts w:eastAsia="Times New Roman" w:cs="Arial"/>
                <w:b/>
                <w:bCs/>
                <w:sz w:val="19"/>
                <w:szCs w:val="19"/>
              </w:rPr>
              <w:t>7</w:t>
            </w:r>
            <w:r w:rsidRPr="000601E2">
              <w:rPr>
                <w:rFonts w:eastAsia="Times New Roman" w:cs="Arial"/>
                <w:b/>
                <w:bCs/>
                <w:sz w:val="19"/>
                <w:szCs w:val="19"/>
              </w:rPr>
              <w:t>.</w:t>
            </w:r>
          </w:p>
        </w:tc>
        <w:tc>
          <w:tcPr>
            <w:tcW w:w="1252" w:type="dxa"/>
            <w:tcBorders>
              <w:top w:val="single" w:sz="4" w:space="0" w:color="auto"/>
              <w:bottom w:val="single" w:sz="4" w:space="0" w:color="auto"/>
            </w:tcBorders>
            <w:vAlign w:val="bottom"/>
          </w:tcPr>
          <w:p w14:paraId="0415C0AB" w14:textId="0701D32B" w:rsidR="001B316F" w:rsidRPr="000601E2" w:rsidRDefault="001B316F" w:rsidP="00D96540">
            <w:pPr>
              <w:keepLines/>
              <w:tabs>
                <w:tab w:val="right" w:pos="1202"/>
              </w:tabs>
              <w:spacing w:after="0" w:line="240" w:lineRule="auto"/>
              <w:jc w:val="right"/>
              <w:outlineLvl w:val="0"/>
              <w:rPr>
                <w:rFonts w:eastAsia="Times New Roman" w:cs="Arial"/>
                <w:b/>
                <w:bCs/>
                <w:sz w:val="19"/>
                <w:szCs w:val="19"/>
              </w:rPr>
            </w:pPr>
            <w:r w:rsidRPr="000601E2">
              <w:rPr>
                <w:rFonts w:eastAsia="Times New Roman" w:cs="Arial"/>
                <w:b/>
                <w:bCs/>
                <w:sz w:val="19"/>
                <w:szCs w:val="19"/>
              </w:rPr>
              <w:t>201</w:t>
            </w:r>
            <w:r>
              <w:rPr>
                <w:rFonts w:eastAsia="Times New Roman" w:cs="Arial"/>
                <w:b/>
                <w:bCs/>
                <w:sz w:val="19"/>
                <w:szCs w:val="19"/>
              </w:rPr>
              <w:t>6</w:t>
            </w:r>
            <w:r w:rsidRPr="000601E2">
              <w:rPr>
                <w:rFonts w:eastAsia="Times New Roman" w:cs="Arial"/>
                <w:b/>
                <w:bCs/>
                <w:sz w:val="19"/>
                <w:szCs w:val="19"/>
              </w:rPr>
              <w:t>.</w:t>
            </w:r>
          </w:p>
        </w:tc>
      </w:tr>
      <w:tr w:rsidR="001B316F" w:rsidRPr="000601E2" w14:paraId="564DE614" w14:textId="77777777" w:rsidTr="001B316F">
        <w:tc>
          <w:tcPr>
            <w:tcW w:w="7231" w:type="dxa"/>
          </w:tcPr>
          <w:p w14:paraId="2D329AE0" w14:textId="77777777" w:rsidR="001B316F" w:rsidRPr="000601E2" w:rsidRDefault="001B316F" w:rsidP="001B316F">
            <w:pPr>
              <w:keepLines/>
              <w:tabs>
                <w:tab w:val="right" w:pos="1202"/>
              </w:tabs>
              <w:spacing w:after="0" w:line="240" w:lineRule="auto"/>
              <w:outlineLvl w:val="0"/>
              <w:rPr>
                <w:rFonts w:eastAsia="Times New Roman" w:cs="Arial"/>
                <w:b/>
                <w:bCs/>
                <w:spacing w:val="-3"/>
                <w:sz w:val="19"/>
                <w:szCs w:val="19"/>
              </w:rPr>
            </w:pPr>
            <w:r w:rsidRPr="000601E2">
              <w:rPr>
                <w:rFonts w:eastAsia="Times New Roman" w:cs="Arial"/>
                <w:b/>
                <w:bCs/>
                <w:sz w:val="19"/>
                <w:szCs w:val="19"/>
              </w:rPr>
              <w:t>Poslovne aktivnosti</w:t>
            </w:r>
          </w:p>
        </w:tc>
        <w:tc>
          <w:tcPr>
            <w:tcW w:w="1252" w:type="dxa"/>
          </w:tcPr>
          <w:p w14:paraId="096C4B62" w14:textId="77777777" w:rsidR="001B316F" w:rsidRPr="000601E2" w:rsidRDefault="001B316F" w:rsidP="001B316F">
            <w:pPr>
              <w:keepLines/>
              <w:tabs>
                <w:tab w:val="right" w:pos="1202"/>
              </w:tabs>
              <w:spacing w:after="0" w:line="240" w:lineRule="auto"/>
              <w:jc w:val="right"/>
              <w:outlineLvl w:val="0"/>
              <w:rPr>
                <w:rFonts w:eastAsia="Times New Roman" w:cs="Arial"/>
                <w:sz w:val="19"/>
                <w:szCs w:val="19"/>
              </w:rPr>
            </w:pPr>
          </w:p>
        </w:tc>
        <w:tc>
          <w:tcPr>
            <w:tcW w:w="1252" w:type="dxa"/>
          </w:tcPr>
          <w:p w14:paraId="1A94B76F" w14:textId="77777777" w:rsidR="001B316F" w:rsidRPr="000601E2" w:rsidRDefault="001B316F" w:rsidP="001B316F">
            <w:pPr>
              <w:keepLines/>
              <w:tabs>
                <w:tab w:val="right" w:pos="1202"/>
              </w:tabs>
              <w:spacing w:after="0" w:line="240" w:lineRule="auto"/>
              <w:jc w:val="right"/>
              <w:outlineLvl w:val="0"/>
              <w:rPr>
                <w:rFonts w:eastAsia="Times New Roman" w:cs="Arial"/>
                <w:sz w:val="19"/>
                <w:szCs w:val="19"/>
              </w:rPr>
            </w:pPr>
          </w:p>
        </w:tc>
      </w:tr>
      <w:tr w:rsidR="001B316F" w:rsidRPr="000601E2" w14:paraId="776D2DDA" w14:textId="77777777" w:rsidTr="00312975">
        <w:tc>
          <w:tcPr>
            <w:tcW w:w="7231" w:type="dxa"/>
          </w:tcPr>
          <w:p w14:paraId="0580756B" w14:textId="77777777" w:rsidR="001B316F" w:rsidRPr="000601E2" w:rsidRDefault="001B316F" w:rsidP="001B316F">
            <w:pPr>
              <w:keepLines/>
              <w:tabs>
                <w:tab w:val="right" w:pos="1202"/>
              </w:tabs>
              <w:spacing w:after="0" w:line="240" w:lineRule="auto"/>
              <w:outlineLvl w:val="0"/>
              <w:rPr>
                <w:rFonts w:eastAsia="Times New Roman" w:cs="Arial"/>
                <w:spacing w:val="-3"/>
                <w:sz w:val="19"/>
                <w:szCs w:val="19"/>
              </w:rPr>
            </w:pPr>
            <w:r w:rsidRPr="000601E2">
              <w:rPr>
                <w:rFonts w:eastAsia="Times New Roman" w:cs="Arial"/>
                <w:sz w:val="19"/>
                <w:szCs w:val="19"/>
              </w:rPr>
              <w:t>Dobit prije oporezivanja</w:t>
            </w:r>
          </w:p>
        </w:tc>
        <w:tc>
          <w:tcPr>
            <w:tcW w:w="1252" w:type="dxa"/>
            <w:tcBorders>
              <w:top w:val="nil"/>
              <w:left w:val="nil"/>
              <w:right w:val="nil"/>
            </w:tcBorders>
            <w:shd w:val="clear" w:color="auto" w:fill="auto"/>
            <w:vAlign w:val="bottom"/>
          </w:tcPr>
          <w:p w14:paraId="2C254FC8" w14:textId="5BDD7B6D" w:rsidR="001B316F" w:rsidRPr="002809DD" w:rsidRDefault="00390459" w:rsidP="001B316F">
            <w:pPr>
              <w:pStyle w:val="TT"/>
              <w:keepLines/>
              <w:spacing w:line="220" w:lineRule="exact"/>
              <w:jc w:val="right"/>
              <w:rPr>
                <w:rFonts w:asciiTheme="minorHAnsi" w:hAnsiTheme="minorHAnsi" w:cs="Calibri"/>
                <w:szCs w:val="19"/>
              </w:rPr>
            </w:pPr>
            <w:r>
              <w:rPr>
                <w:rFonts w:asciiTheme="minorHAnsi" w:hAnsiTheme="minorHAnsi" w:cs="Calibri"/>
                <w:szCs w:val="19"/>
              </w:rPr>
              <w:t>130.750</w:t>
            </w:r>
          </w:p>
        </w:tc>
        <w:tc>
          <w:tcPr>
            <w:tcW w:w="1252" w:type="dxa"/>
            <w:tcBorders>
              <w:top w:val="nil"/>
              <w:left w:val="nil"/>
              <w:bottom w:val="nil"/>
              <w:right w:val="nil"/>
            </w:tcBorders>
            <w:shd w:val="clear" w:color="auto" w:fill="auto"/>
            <w:vAlign w:val="bottom"/>
          </w:tcPr>
          <w:p w14:paraId="2E727131" w14:textId="33188146" w:rsidR="001B316F" w:rsidRPr="000601E2" w:rsidRDefault="001B316F" w:rsidP="001B316F">
            <w:pPr>
              <w:pStyle w:val="TT"/>
              <w:keepLines/>
              <w:spacing w:line="220" w:lineRule="exact"/>
              <w:jc w:val="right"/>
              <w:rPr>
                <w:rFonts w:asciiTheme="minorHAnsi" w:hAnsiTheme="minorHAnsi" w:cs="Calibri"/>
                <w:szCs w:val="19"/>
              </w:rPr>
            </w:pPr>
            <w:r w:rsidRPr="002B2DDF">
              <w:rPr>
                <w:rFonts w:ascii="Calibri" w:hAnsi="Calibri" w:cs="Calibri"/>
                <w:bCs/>
              </w:rPr>
              <w:t>107.678</w:t>
            </w:r>
          </w:p>
        </w:tc>
      </w:tr>
      <w:tr w:rsidR="001B316F" w:rsidRPr="000601E2" w14:paraId="2B08CFB7" w14:textId="77777777" w:rsidTr="001B316F">
        <w:tc>
          <w:tcPr>
            <w:tcW w:w="7231" w:type="dxa"/>
          </w:tcPr>
          <w:p w14:paraId="32850838" w14:textId="77777777" w:rsidR="001B316F" w:rsidRPr="000601E2" w:rsidRDefault="001B316F" w:rsidP="001B316F">
            <w:pPr>
              <w:keepLines/>
              <w:tabs>
                <w:tab w:val="right" w:pos="1202"/>
              </w:tabs>
              <w:spacing w:after="0" w:line="240" w:lineRule="auto"/>
              <w:outlineLvl w:val="0"/>
              <w:rPr>
                <w:rFonts w:eastAsia="Times New Roman" w:cs="Arial"/>
                <w:i/>
                <w:sz w:val="19"/>
                <w:szCs w:val="19"/>
              </w:rPr>
            </w:pPr>
            <w:r w:rsidRPr="000601E2">
              <w:rPr>
                <w:rFonts w:eastAsia="Times New Roman" w:cs="Arial"/>
                <w:i/>
                <w:sz w:val="19"/>
                <w:szCs w:val="19"/>
              </w:rPr>
              <w:t>Usklađenje na neto novčana sredstva ostvarena i uporabljena za poslovne aktivnosti:</w:t>
            </w:r>
          </w:p>
        </w:tc>
        <w:tc>
          <w:tcPr>
            <w:tcW w:w="1252" w:type="dxa"/>
            <w:tcBorders>
              <w:left w:val="nil"/>
              <w:bottom w:val="nil"/>
              <w:right w:val="nil"/>
            </w:tcBorders>
            <w:shd w:val="clear" w:color="auto" w:fill="auto"/>
            <w:vAlign w:val="center"/>
          </w:tcPr>
          <w:p w14:paraId="34992848" w14:textId="77777777" w:rsidR="001B316F" w:rsidRPr="000601E2" w:rsidRDefault="001B316F" w:rsidP="001B316F">
            <w:pPr>
              <w:pStyle w:val="TT"/>
              <w:keepLines/>
              <w:spacing w:line="220" w:lineRule="exact"/>
              <w:jc w:val="right"/>
              <w:rPr>
                <w:rFonts w:asciiTheme="minorHAnsi" w:hAnsiTheme="minorHAnsi" w:cs="Calibri"/>
                <w:szCs w:val="19"/>
                <w:lang w:val="hr-HR"/>
              </w:rPr>
            </w:pPr>
          </w:p>
        </w:tc>
        <w:tc>
          <w:tcPr>
            <w:tcW w:w="1252" w:type="dxa"/>
            <w:tcBorders>
              <w:top w:val="nil"/>
              <w:left w:val="nil"/>
              <w:bottom w:val="nil"/>
              <w:right w:val="nil"/>
            </w:tcBorders>
            <w:shd w:val="clear" w:color="auto" w:fill="auto"/>
            <w:vAlign w:val="center"/>
          </w:tcPr>
          <w:p w14:paraId="72AB271F" w14:textId="77777777" w:rsidR="001B316F" w:rsidRPr="000601E2" w:rsidRDefault="001B316F" w:rsidP="001B316F">
            <w:pPr>
              <w:pStyle w:val="TT"/>
              <w:keepLines/>
              <w:spacing w:line="220" w:lineRule="exact"/>
              <w:jc w:val="right"/>
              <w:rPr>
                <w:rFonts w:asciiTheme="minorHAnsi" w:hAnsiTheme="minorHAnsi" w:cs="Calibri"/>
                <w:szCs w:val="19"/>
                <w:lang w:val="hr-HR"/>
              </w:rPr>
            </w:pPr>
          </w:p>
        </w:tc>
      </w:tr>
      <w:tr w:rsidR="001B316F" w:rsidRPr="000601E2" w14:paraId="01CA475E" w14:textId="77777777" w:rsidTr="001B316F">
        <w:tc>
          <w:tcPr>
            <w:tcW w:w="7231" w:type="dxa"/>
          </w:tcPr>
          <w:p w14:paraId="0C157846" w14:textId="77777777" w:rsidR="001B316F" w:rsidRPr="000601E2" w:rsidRDefault="001B316F" w:rsidP="001B316F">
            <w:pPr>
              <w:keepLines/>
              <w:tabs>
                <w:tab w:val="right" w:pos="1202"/>
              </w:tabs>
              <w:spacing w:after="0" w:line="240" w:lineRule="auto"/>
              <w:outlineLvl w:val="0"/>
              <w:rPr>
                <w:rFonts w:eastAsia="Times New Roman" w:cs="Arial"/>
                <w:spacing w:val="-3"/>
                <w:sz w:val="19"/>
                <w:szCs w:val="19"/>
              </w:rPr>
            </w:pPr>
            <w:r w:rsidRPr="000601E2">
              <w:rPr>
                <w:rFonts w:eastAsia="Times New Roman" w:cs="Arial"/>
                <w:sz w:val="19"/>
                <w:szCs w:val="19"/>
              </w:rPr>
              <w:t>Amortizacija</w:t>
            </w:r>
          </w:p>
        </w:tc>
        <w:tc>
          <w:tcPr>
            <w:tcW w:w="1252" w:type="dxa"/>
            <w:tcBorders>
              <w:top w:val="nil"/>
              <w:left w:val="nil"/>
              <w:right w:val="nil"/>
            </w:tcBorders>
            <w:shd w:val="clear" w:color="auto" w:fill="auto"/>
            <w:vAlign w:val="bottom"/>
          </w:tcPr>
          <w:p w14:paraId="2EB3D246" w14:textId="5AD4E9C0" w:rsidR="001B316F" w:rsidRPr="000601E2" w:rsidRDefault="00390459" w:rsidP="001B316F">
            <w:pPr>
              <w:pStyle w:val="TT"/>
              <w:keepLines/>
              <w:spacing w:line="240" w:lineRule="auto"/>
              <w:jc w:val="right"/>
              <w:rPr>
                <w:rFonts w:asciiTheme="minorHAnsi" w:hAnsiTheme="minorHAnsi" w:cs="Calibri"/>
                <w:szCs w:val="19"/>
              </w:rPr>
            </w:pPr>
            <w:r>
              <w:rPr>
                <w:rFonts w:asciiTheme="minorHAnsi" w:hAnsiTheme="minorHAnsi" w:cs="Calibri"/>
                <w:szCs w:val="19"/>
              </w:rPr>
              <w:t>3.956</w:t>
            </w:r>
          </w:p>
        </w:tc>
        <w:tc>
          <w:tcPr>
            <w:tcW w:w="1252" w:type="dxa"/>
            <w:tcBorders>
              <w:top w:val="nil"/>
              <w:left w:val="nil"/>
              <w:right w:val="nil"/>
            </w:tcBorders>
            <w:shd w:val="clear" w:color="auto" w:fill="auto"/>
            <w:vAlign w:val="bottom"/>
          </w:tcPr>
          <w:p w14:paraId="43968DCA" w14:textId="5E690790" w:rsidR="001B316F" w:rsidRPr="000601E2" w:rsidRDefault="001B316F" w:rsidP="001B316F">
            <w:pPr>
              <w:pStyle w:val="TT"/>
              <w:keepLines/>
              <w:spacing w:line="240" w:lineRule="auto"/>
              <w:jc w:val="right"/>
              <w:rPr>
                <w:rFonts w:asciiTheme="minorHAnsi" w:hAnsiTheme="minorHAnsi" w:cs="Calibri"/>
                <w:szCs w:val="19"/>
              </w:rPr>
            </w:pPr>
            <w:r>
              <w:rPr>
                <w:rFonts w:asciiTheme="minorHAnsi" w:hAnsiTheme="minorHAnsi" w:cs="Calibri"/>
                <w:szCs w:val="19"/>
              </w:rPr>
              <w:t>3.958</w:t>
            </w:r>
          </w:p>
        </w:tc>
      </w:tr>
      <w:tr w:rsidR="001B316F" w:rsidRPr="000601E2" w14:paraId="2BBA7282" w14:textId="77777777" w:rsidTr="001B316F">
        <w:tc>
          <w:tcPr>
            <w:tcW w:w="7231" w:type="dxa"/>
          </w:tcPr>
          <w:p w14:paraId="4820917A" w14:textId="77777777" w:rsidR="001B316F" w:rsidRPr="000601E2" w:rsidRDefault="001B316F" w:rsidP="001B316F">
            <w:pPr>
              <w:keepLines/>
              <w:tabs>
                <w:tab w:val="right" w:pos="1202"/>
              </w:tabs>
              <w:spacing w:after="0" w:line="240" w:lineRule="auto"/>
              <w:outlineLvl w:val="0"/>
              <w:rPr>
                <w:rFonts w:eastAsia="Times New Roman" w:cs="Arial"/>
                <w:sz w:val="19"/>
                <w:szCs w:val="19"/>
              </w:rPr>
            </w:pPr>
            <w:r w:rsidRPr="000601E2">
              <w:rPr>
                <w:rFonts w:eastAsia="Times New Roman" w:cs="Arial"/>
                <w:sz w:val="19"/>
                <w:szCs w:val="19"/>
              </w:rPr>
              <w:t>Porez na dobit</w:t>
            </w:r>
          </w:p>
        </w:tc>
        <w:tc>
          <w:tcPr>
            <w:tcW w:w="1252" w:type="dxa"/>
            <w:tcBorders>
              <w:top w:val="nil"/>
              <w:left w:val="nil"/>
              <w:bottom w:val="nil"/>
              <w:right w:val="nil"/>
            </w:tcBorders>
            <w:shd w:val="clear" w:color="000000" w:fill="auto"/>
            <w:vAlign w:val="bottom"/>
          </w:tcPr>
          <w:p w14:paraId="2479D53C" w14:textId="3518584C" w:rsidR="001B316F" w:rsidRPr="000601E2" w:rsidRDefault="00390459" w:rsidP="001B316F">
            <w:pPr>
              <w:pStyle w:val="TT"/>
              <w:keepLines/>
              <w:spacing w:line="240" w:lineRule="auto"/>
              <w:jc w:val="right"/>
              <w:rPr>
                <w:rFonts w:asciiTheme="minorHAnsi" w:hAnsiTheme="minorHAnsi" w:cs="Calibri"/>
                <w:szCs w:val="19"/>
              </w:rPr>
            </w:pPr>
            <w:r>
              <w:rPr>
                <w:rFonts w:asciiTheme="minorHAnsi" w:hAnsiTheme="minorHAnsi" w:cs="Calibri"/>
                <w:szCs w:val="19"/>
              </w:rPr>
              <w:t>25</w:t>
            </w:r>
          </w:p>
        </w:tc>
        <w:tc>
          <w:tcPr>
            <w:tcW w:w="1252" w:type="dxa"/>
            <w:tcBorders>
              <w:top w:val="nil"/>
              <w:left w:val="nil"/>
              <w:bottom w:val="nil"/>
              <w:right w:val="nil"/>
            </w:tcBorders>
            <w:shd w:val="clear" w:color="000000" w:fill="auto"/>
            <w:vAlign w:val="bottom"/>
          </w:tcPr>
          <w:p w14:paraId="70F61617" w14:textId="7A83B10E" w:rsidR="001B316F" w:rsidRPr="000601E2" w:rsidRDefault="001B316F" w:rsidP="001B316F">
            <w:pPr>
              <w:pStyle w:val="TT"/>
              <w:keepLines/>
              <w:spacing w:line="240" w:lineRule="auto"/>
              <w:jc w:val="right"/>
              <w:rPr>
                <w:rFonts w:asciiTheme="minorHAnsi" w:hAnsiTheme="minorHAnsi" w:cs="Calibri"/>
                <w:szCs w:val="19"/>
              </w:rPr>
            </w:pPr>
            <w:r>
              <w:rPr>
                <w:rFonts w:asciiTheme="minorHAnsi" w:hAnsiTheme="minorHAnsi" w:cs="Calibri"/>
                <w:szCs w:val="19"/>
              </w:rPr>
              <w:t>107</w:t>
            </w:r>
          </w:p>
        </w:tc>
      </w:tr>
      <w:tr w:rsidR="001B316F" w:rsidRPr="000601E2" w14:paraId="47D5EC3E" w14:textId="77777777" w:rsidTr="001B316F">
        <w:tc>
          <w:tcPr>
            <w:tcW w:w="7231" w:type="dxa"/>
          </w:tcPr>
          <w:p w14:paraId="2AC7AC56" w14:textId="77777777" w:rsidR="001B316F" w:rsidRPr="000601E2" w:rsidRDefault="001B316F" w:rsidP="001B316F">
            <w:pPr>
              <w:tabs>
                <w:tab w:val="right" w:pos="1202"/>
              </w:tabs>
              <w:spacing w:after="0" w:line="240" w:lineRule="auto"/>
              <w:outlineLvl w:val="0"/>
              <w:rPr>
                <w:rFonts w:eastAsia="Times New Roman" w:cs="Arial"/>
                <w:bCs/>
                <w:spacing w:val="-2"/>
                <w:sz w:val="19"/>
                <w:szCs w:val="19"/>
              </w:rPr>
            </w:pPr>
            <w:r w:rsidRPr="000601E2">
              <w:rPr>
                <w:rFonts w:eastAsia="Times New Roman" w:cs="Arial"/>
                <w:bCs/>
                <w:spacing w:val="-2"/>
                <w:sz w:val="19"/>
                <w:szCs w:val="19"/>
              </w:rPr>
              <w:t>Gubitak od umanjenja vrijednosti i rezerviranja</w:t>
            </w:r>
          </w:p>
        </w:tc>
        <w:tc>
          <w:tcPr>
            <w:tcW w:w="1252" w:type="dxa"/>
            <w:tcBorders>
              <w:top w:val="nil"/>
              <w:left w:val="nil"/>
              <w:bottom w:val="nil"/>
              <w:right w:val="nil"/>
            </w:tcBorders>
            <w:shd w:val="clear" w:color="000000" w:fill="auto"/>
            <w:vAlign w:val="bottom"/>
          </w:tcPr>
          <w:p w14:paraId="492B212E" w14:textId="5A85ABAD" w:rsidR="001B316F" w:rsidRPr="0094480B" w:rsidRDefault="00390459" w:rsidP="001B316F">
            <w:pPr>
              <w:pStyle w:val="TT"/>
              <w:keepLines/>
              <w:spacing w:line="240" w:lineRule="auto"/>
              <w:jc w:val="right"/>
              <w:rPr>
                <w:rFonts w:asciiTheme="minorHAnsi" w:hAnsiTheme="minorHAnsi" w:cs="Calibri"/>
                <w:szCs w:val="19"/>
                <w:lang w:val="pl-PL"/>
              </w:rPr>
            </w:pPr>
            <w:r>
              <w:rPr>
                <w:rFonts w:asciiTheme="minorHAnsi" w:hAnsiTheme="minorHAnsi" w:cs="Calibri"/>
                <w:szCs w:val="19"/>
                <w:lang w:val="pl-PL"/>
              </w:rPr>
              <w:t>43.125</w:t>
            </w:r>
          </w:p>
        </w:tc>
        <w:tc>
          <w:tcPr>
            <w:tcW w:w="1252" w:type="dxa"/>
            <w:tcBorders>
              <w:top w:val="nil"/>
              <w:left w:val="nil"/>
              <w:bottom w:val="nil"/>
              <w:right w:val="nil"/>
            </w:tcBorders>
            <w:shd w:val="clear" w:color="000000" w:fill="auto"/>
            <w:vAlign w:val="bottom"/>
          </w:tcPr>
          <w:p w14:paraId="16A4B58F" w14:textId="27237938" w:rsidR="001B316F" w:rsidRPr="0094480B" w:rsidRDefault="001B316F" w:rsidP="001B316F">
            <w:pPr>
              <w:pStyle w:val="TT"/>
              <w:keepLines/>
              <w:spacing w:line="240" w:lineRule="auto"/>
              <w:jc w:val="right"/>
              <w:rPr>
                <w:rFonts w:asciiTheme="minorHAnsi" w:hAnsiTheme="minorHAnsi" w:cs="Calibri"/>
                <w:szCs w:val="19"/>
                <w:lang w:val="pl-PL"/>
              </w:rPr>
            </w:pPr>
            <w:r>
              <w:rPr>
                <w:rFonts w:asciiTheme="minorHAnsi" w:hAnsiTheme="minorHAnsi" w:cs="Calibri"/>
                <w:szCs w:val="19"/>
                <w:lang w:val="pl-PL"/>
              </w:rPr>
              <w:t>20.958</w:t>
            </w:r>
          </w:p>
        </w:tc>
      </w:tr>
      <w:tr w:rsidR="001B316F" w:rsidRPr="000601E2" w14:paraId="747A3A06" w14:textId="77777777" w:rsidTr="001B316F">
        <w:tc>
          <w:tcPr>
            <w:tcW w:w="7231" w:type="dxa"/>
            <w:vAlign w:val="bottom"/>
          </w:tcPr>
          <w:p w14:paraId="74D4D053" w14:textId="77777777" w:rsidR="001B316F" w:rsidRPr="000601E2" w:rsidRDefault="001B316F" w:rsidP="001B316F">
            <w:pPr>
              <w:keepLines/>
              <w:tabs>
                <w:tab w:val="right" w:pos="1202"/>
              </w:tabs>
              <w:spacing w:after="0" w:line="240" w:lineRule="auto"/>
              <w:outlineLvl w:val="0"/>
              <w:rPr>
                <w:rFonts w:eastAsia="Times New Roman" w:cs="Arial"/>
                <w:iCs/>
                <w:sz w:val="19"/>
                <w:szCs w:val="19"/>
              </w:rPr>
            </w:pPr>
            <w:r w:rsidRPr="000601E2">
              <w:rPr>
                <w:rFonts w:eastAsia="Times New Roman" w:cs="Arial"/>
                <w:iCs/>
                <w:sz w:val="19"/>
                <w:szCs w:val="19"/>
              </w:rPr>
              <w:t xml:space="preserve">Obračunane kamate </w:t>
            </w:r>
          </w:p>
        </w:tc>
        <w:tc>
          <w:tcPr>
            <w:tcW w:w="1252" w:type="dxa"/>
            <w:tcBorders>
              <w:top w:val="nil"/>
              <w:left w:val="nil"/>
              <w:bottom w:val="nil"/>
              <w:right w:val="nil"/>
            </w:tcBorders>
            <w:shd w:val="clear" w:color="auto" w:fill="auto"/>
            <w:vAlign w:val="bottom"/>
          </w:tcPr>
          <w:p w14:paraId="2348FD23" w14:textId="3E373BD2" w:rsidR="001B316F" w:rsidRPr="000601E2" w:rsidRDefault="00553A21" w:rsidP="001B316F">
            <w:pPr>
              <w:pStyle w:val="TT"/>
              <w:keepLines/>
              <w:spacing w:line="240" w:lineRule="auto"/>
              <w:jc w:val="right"/>
              <w:rPr>
                <w:rFonts w:asciiTheme="minorHAnsi" w:hAnsiTheme="minorHAnsi" w:cs="Calibri"/>
                <w:szCs w:val="19"/>
              </w:rPr>
            </w:pPr>
            <w:r>
              <w:rPr>
                <w:rFonts w:asciiTheme="minorHAnsi" w:hAnsiTheme="minorHAnsi" w:cs="Calibri"/>
                <w:szCs w:val="19"/>
              </w:rPr>
              <w:t>(64.118)</w:t>
            </w:r>
          </w:p>
        </w:tc>
        <w:tc>
          <w:tcPr>
            <w:tcW w:w="1252" w:type="dxa"/>
            <w:tcBorders>
              <w:top w:val="nil"/>
              <w:left w:val="nil"/>
              <w:bottom w:val="nil"/>
              <w:right w:val="nil"/>
            </w:tcBorders>
            <w:shd w:val="clear" w:color="auto" w:fill="auto"/>
            <w:vAlign w:val="bottom"/>
          </w:tcPr>
          <w:p w14:paraId="4223DA4B" w14:textId="474330E1" w:rsidR="001B316F" w:rsidRPr="000601E2" w:rsidRDefault="001B316F" w:rsidP="001B316F">
            <w:pPr>
              <w:pStyle w:val="TT"/>
              <w:keepLines/>
              <w:spacing w:line="240" w:lineRule="auto"/>
              <w:jc w:val="right"/>
              <w:rPr>
                <w:rFonts w:asciiTheme="minorHAnsi" w:hAnsiTheme="minorHAnsi" w:cs="Calibri"/>
                <w:szCs w:val="19"/>
              </w:rPr>
            </w:pPr>
            <w:r>
              <w:rPr>
                <w:rFonts w:asciiTheme="minorHAnsi" w:hAnsiTheme="minorHAnsi" w:cs="Calibri"/>
                <w:szCs w:val="19"/>
              </w:rPr>
              <w:t>(78.113)</w:t>
            </w:r>
          </w:p>
        </w:tc>
      </w:tr>
      <w:tr w:rsidR="001B316F" w:rsidRPr="000601E2" w14:paraId="634F2461" w14:textId="77777777" w:rsidTr="001B316F">
        <w:tc>
          <w:tcPr>
            <w:tcW w:w="7231" w:type="dxa"/>
          </w:tcPr>
          <w:p w14:paraId="1010DCA9" w14:textId="77777777" w:rsidR="001B316F" w:rsidRPr="000601E2" w:rsidRDefault="001B316F" w:rsidP="001B316F">
            <w:pPr>
              <w:keepLines/>
              <w:tabs>
                <w:tab w:val="right" w:pos="1202"/>
              </w:tabs>
              <w:spacing w:after="0" w:line="240" w:lineRule="auto"/>
              <w:outlineLvl w:val="0"/>
              <w:rPr>
                <w:rFonts w:eastAsia="Times New Roman" w:cs="Arial"/>
                <w:i/>
                <w:iCs/>
                <w:sz w:val="19"/>
                <w:szCs w:val="19"/>
              </w:rPr>
            </w:pPr>
            <w:r w:rsidRPr="000601E2">
              <w:rPr>
                <w:rFonts w:eastAsia="Times New Roman" w:cs="Arial"/>
                <w:iCs/>
                <w:sz w:val="19"/>
                <w:szCs w:val="19"/>
              </w:rPr>
              <w:t>Odgođene naknade</w:t>
            </w:r>
          </w:p>
        </w:tc>
        <w:tc>
          <w:tcPr>
            <w:tcW w:w="1252" w:type="dxa"/>
            <w:tcBorders>
              <w:top w:val="nil"/>
              <w:left w:val="nil"/>
              <w:bottom w:val="nil"/>
              <w:right w:val="nil"/>
            </w:tcBorders>
            <w:shd w:val="clear" w:color="auto" w:fill="auto"/>
            <w:vAlign w:val="bottom"/>
          </w:tcPr>
          <w:p w14:paraId="71EE0932" w14:textId="67FEAA7F" w:rsidR="001B316F" w:rsidRPr="000601E2" w:rsidRDefault="00553A21" w:rsidP="001B316F">
            <w:pPr>
              <w:pStyle w:val="TT"/>
              <w:keepLines/>
              <w:spacing w:line="240" w:lineRule="auto"/>
              <w:jc w:val="right"/>
              <w:rPr>
                <w:rFonts w:asciiTheme="minorHAnsi" w:hAnsiTheme="minorHAnsi" w:cs="Calibri"/>
                <w:szCs w:val="19"/>
              </w:rPr>
            </w:pPr>
            <w:r>
              <w:rPr>
                <w:rFonts w:asciiTheme="minorHAnsi" w:hAnsiTheme="minorHAnsi" w:cs="Calibri"/>
                <w:szCs w:val="19"/>
              </w:rPr>
              <w:t>(7.715)</w:t>
            </w:r>
          </w:p>
        </w:tc>
        <w:tc>
          <w:tcPr>
            <w:tcW w:w="1252" w:type="dxa"/>
            <w:tcBorders>
              <w:top w:val="nil"/>
              <w:left w:val="nil"/>
              <w:bottom w:val="nil"/>
              <w:right w:val="nil"/>
            </w:tcBorders>
            <w:shd w:val="clear" w:color="auto" w:fill="auto"/>
            <w:vAlign w:val="bottom"/>
          </w:tcPr>
          <w:p w14:paraId="53E3C025" w14:textId="45849CC1" w:rsidR="001B316F" w:rsidRPr="000601E2" w:rsidRDefault="001B316F" w:rsidP="001B316F">
            <w:pPr>
              <w:pStyle w:val="TT"/>
              <w:keepLines/>
              <w:spacing w:line="240" w:lineRule="auto"/>
              <w:jc w:val="right"/>
              <w:rPr>
                <w:rFonts w:asciiTheme="minorHAnsi" w:hAnsiTheme="minorHAnsi" w:cs="Calibri"/>
                <w:szCs w:val="19"/>
              </w:rPr>
            </w:pPr>
            <w:r>
              <w:rPr>
                <w:rFonts w:asciiTheme="minorHAnsi" w:hAnsiTheme="minorHAnsi" w:cs="Calibri"/>
                <w:szCs w:val="19"/>
              </w:rPr>
              <w:t>(2.585)</w:t>
            </w:r>
          </w:p>
        </w:tc>
      </w:tr>
      <w:tr w:rsidR="001B316F" w:rsidRPr="000601E2" w14:paraId="496A7DEC" w14:textId="77777777" w:rsidTr="001B316F">
        <w:tc>
          <w:tcPr>
            <w:tcW w:w="7231" w:type="dxa"/>
          </w:tcPr>
          <w:p w14:paraId="6E338E61" w14:textId="77777777" w:rsidR="001B316F" w:rsidRPr="000601E2" w:rsidRDefault="001B316F" w:rsidP="001B316F">
            <w:pPr>
              <w:keepLines/>
              <w:tabs>
                <w:tab w:val="right" w:pos="1202"/>
              </w:tabs>
              <w:spacing w:after="0" w:line="240" w:lineRule="auto"/>
              <w:outlineLvl w:val="0"/>
              <w:rPr>
                <w:rFonts w:eastAsia="Times New Roman" w:cs="Arial"/>
                <w:i/>
                <w:iCs/>
                <w:sz w:val="19"/>
                <w:szCs w:val="19"/>
              </w:rPr>
            </w:pPr>
            <w:r w:rsidRPr="000601E2">
              <w:rPr>
                <w:rFonts w:eastAsia="Times New Roman" w:cs="Arial"/>
                <w:i/>
                <w:iCs/>
                <w:sz w:val="19"/>
                <w:szCs w:val="19"/>
              </w:rPr>
              <w:t>Dobit iz poslovnih aktivnosti prije promjena radnog kapitala</w:t>
            </w:r>
          </w:p>
        </w:tc>
        <w:tc>
          <w:tcPr>
            <w:tcW w:w="1252" w:type="dxa"/>
            <w:tcBorders>
              <w:top w:val="nil"/>
              <w:left w:val="nil"/>
              <w:bottom w:val="nil"/>
              <w:right w:val="nil"/>
            </w:tcBorders>
            <w:shd w:val="clear" w:color="auto" w:fill="auto"/>
            <w:vAlign w:val="bottom"/>
          </w:tcPr>
          <w:p w14:paraId="4AEA03B7" w14:textId="2FDFC7B8" w:rsidR="001B316F" w:rsidRPr="0094480B" w:rsidRDefault="00553A21" w:rsidP="001B316F">
            <w:pPr>
              <w:pStyle w:val="TT"/>
              <w:keepLines/>
              <w:spacing w:line="240" w:lineRule="auto"/>
              <w:jc w:val="right"/>
              <w:rPr>
                <w:rFonts w:asciiTheme="minorHAnsi" w:hAnsiTheme="minorHAnsi" w:cs="Calibri"/>
                <w:i/>
                <w:szCs w:val="19"/>
                <w:lang w:val="pl-PL"/>
              </w:rPr>
            </w:pPr>
            <w:r>
              <w:rPr>
                <w:rFonts w:asciiTheme="minorHAnsi" w:hAnsiTheme="minorHAnsi" w:cs="Calibri"/>
                <w:i/>
                <w:szCs w:val="19"/>
                <w:lang w:val="pl-PL"/>
              </w:rPr>
              <w:t>106.023</w:t>
            </w:r>
          </w:p>
        </w:tc>
        <w:tc>
          <w:tcPr>
            <w:tcW w:w="1252" w:type="dxa"/>
            <w:tcBorders>
              <w:top w:val="nil"/>
              <w:left w:val="nil"/>
              <w:bottom w:val="nil"/>
              <w:right w:val="nil"/>
            </w:tcBorders>
            <w:shd w:val="clear" w:color="auto" w:fill="auto"/>
            <w:vAlign w:val="bottom"/>
          </w:tcPr>
          <w:p w14:paraId="0E9D73A7" w14:textId="2113ABD3" w:rsidR="001B316F" w:rsidRPr="0094480B" w:rsidRDefault="001B316F" w:rsidP="001B316F">
            <w:pPr>
              <w:pStyle w:val="TT"/>
              <w:keepLines/>
              <w:spacing w:line="240" w:lineRule="auto"/>
              <w:jc w:val="right"/>
              <w:rPr>
                <w:rFonts w:asciiTheme="minorHAnsi" w:hAnsiTheme="minorHAnsi" w:cs="Calibri"/>
                <w:i/>
                <w:szCs w:val="19"/>
                <w:lang w:val="pl-PL"/>
              </w:rPr>
            </w:pPr>
            <w:r>
              <w:rPr>
                <w:rFonts w:asciiTheme="minorHAnsi" w:hAnsiTheme="minorHAnsi" w:cs="Calibri"/>
                <w:i/>
                <w:szCs w:val="19"/>
                <w:lang w:val="pl-PL"/>
              </w:rPr>
              <w:t>52.003</w:t>
            </w:r>
          </w:p>
        </w:tc>
      </w:tr>
      <w:tr w:rsidR="001B316F" w:rsidRPr="000601E2" w14:paraId="7C597409" w14:textId="77777777" w:rsidTr="001B316F">
        <w:tc>
          <w:tcPr>
            <w:tcW w:w="7231" w:type="dxa"/>
          </w:tcPr>
          <w:p w14:paraId="156D9FAD" w14:textId="77777777" w:rsidR="001B316F" w:rsidRPr="000601E2" w:rsidRDefault="001B316F" w:rsidP="001B316F">
            <w:pPr>
              <w:keepLines/>
              <w:tabs>
                <w:tab w:val="right" w:pos="1202"/>
              </w:tabs>
              <w:spacing w:after="0" w:line="240" w:lineRule="auto"/>
              <w:outlineLvl w:val="0"/>
              <w:rPr>
                <w:rFonts w:eastAsia="Times New Roman" w:cs="Arial"/>
                <w:i/>
                <w:iCs/>
                <w:sz w:val="19"/>
                <w:szCs w:val="19"/>
              </w:rPr>
            </w:pPr>
            <w:r w:rsidRPr="000601E2">
              <w:rPr>
                <w:rFonts w:eastAsia="Times New Roman" w:cs="Arial"/>
                <w:i/>
                <w:iCs/>
                <w:sz w:val="19"/>
                <w:szCs w:val="19"/>
              </w:rPr>
              <w:t>Promjene u poslovnim sredstvima i izvorima:</w:t>
            </w:r>
          </w:p>
        </w:tc>
        <w:tc>
          <w:tcPr>
            <w:tcW w:w="1252" w:type="dxa"/>
            <w:tcBorders>
              <w:top w:val="nil"/>
              <w:left w:val="nil"/>
              <w:right w:val="nil"/>
            </w:tcBorders>
            <w:shd w:val="clear" w:color="auto" w:fill="auto"/>
            <w:vAlign w:val="bottom"/>
          </w:tcPr>
          <w:p w14:paraId="29937AA1" w14:textId="77777777" w:rsidR="001B316F" w:rsidRPr="0094480B" w:rsidRDefault="001B316F" w:rsidP="001B316F">
            <w:pPr>
              <w:pStyle w:val="TT"/>
              <w:keepLines/>
              <w:spacing w:line="220" w:lineRule="exact"/>
              <w:jc w:val="right"/>
              <w:rPr>
                <w:rFonts w:asciiTheme="minorHAnsi" w:hAnsiTheme="minorHAnsi" w:cs="Calibri"/>
                <w:i/>
                <w:szCs w:val="19"/>
                <w:lang w:val="pl-PL"/>
              </w:rPr>
            </w:pPr>
          </w:p>
        </w:tc>
        <w:tc>
          <w:tcPr>
            <w:tcW w:w="1252" w:type="dxa"/>
            <w:tcBorders>
              <w:top w:val="nil"/>
              <w:left w:val="nil"/>
              <w:right w:val="nil"/>
            </w:tcBorders>
            <w:shd w:val="clear" w:color="auto" w:fill="auto"/>
            <w:vAlign w:val="bottom"/>
          </w:tcPr>
          <w:p w14:paraId="19D4309B" w14:textId="77777777" w:rsidR="001B316F" w:rsidRPr="0094480B" w:rsidRDefault="001B316F" w:rsidP="001B316F">
            <w:pPr>
              <w:pStyle w:val="TT"/>
              <w:keepLines/>
              <w:spacing w:line="220" w:lineRule="exact"/>
              <w:jc w:val="right"/>
              <w:rPr>
                <w:rFonts w:asciiTheme="minorHAnsi" w:hAnsiTheme="minorHAnsi" w:cs="Calibri"/>
                <w:i/>
                <w:szCs w:val="19"/>
                <w:lang w:val="pl-PL"/>
              </w:rPr>
            </w:pPr>
          </w:p>
        </w:tc>
      </w:tr>
      <w:tr w:rsidR="001B316F" w:rsidRPr="000601E2" w14:paraId="2E860547" w14:textId="77777777" w:rsidTr="001B316F">
        <w:tc>
          <w:tcPr>
            <w:tcW w:w="7231" w:type="dxa"/>
          </w:tcPr>
          <w:p w14:paraId="0EC57349" w14:textId="77777777" w:rsidR="001B316F" w:rsidRPr="000601E2" w:rsidRDefault="001B316F" w:rsidP="001B316F">
            <w:pPr>
              <w:keepLines/>
              <w:tabs>
                <w:tab w:val="right" w:pos="1202"/>
              </w:tabs>
              <w:spacing w:after="0" w:line="240" w:lineRule="auto"/>
              <w:outlineLvl w:val="0"/>
              <w:rPr>
                <w:rFonts w:eastAsia="Times New Roman" w:cs="Arial"/>
                <w:sz w:val="19"/>
                <w:szCs w:val="19"/>
              </w:rPr>
            </w:pPr>
            <w:r w:rsidRPr="000601E2">
              <w:rPr>
                <w:rFonts w:eastAsia="Times New Roman" w:cs="Arial"/>
                <w:sz w:val="19"/>
                <w:szCs w:val="19"/>
              </w:rPr>
              <w:t>Neto smanjenje depozita kod drugih banaka, prije rezerviranja za moguće gubitke</w:t>
            </w:r>
          </w:p>
        </w:tc>
        <w:tc>
          <w:tcPr>
            <w:tcW w:w="1252" w:type="dxa"/>
            <w:tcBorders>
              <w:top w:val="nil"/>
              <w:left w:val="nil"/>
              <w:bottom w:val="nil"/>
              <w:right w:val="nil"/>
            </w:tcBorders>
            <w:shd w:val="clear" w:color="000000" w:fill="auto"/>
            <w:vAlign w:val="bottom"/>
          </w:tcPr>
          <w:p w14:paraId="47E46E4B" w14:textId="43D07389" w:rsidR="001B316F" w:rsidRPr="00CA1477" w:rsidRDefault="00553A21" w:rsidP="00D96540">
            <w:pPr>
              <w:pStyle w:val="TT"/>
              <w:keepLines/>
              <w:spacing w:line="220" w:lineRule="exact"/>
              <w:jc w:val="right"/>
              <w:rPr>
                <w:rFonts w:asciiTheme="minorHAnsi" w:hAnsiTheme="minorHAnsi" w:cs="Calibri"/>
                <w:szCs w:val="19"/>
                <w:lang w:val="hr-HR"/>
              </w:rPr>
            </w:pPr>
            <w:r>
              <w:rPr>
                <w:rFonts w:asciiTheme="minorHAnsi" w:hAnsiTheme="minorHAnsi" w:cs="Calibri"/>
                <w:szCs w:val="19"/>
                <w:lang w:val="hr-HR"/>
              </w:rPr>
              <w:t>22.</w:t>
            </w:r>
            <w:r w:rsidR="000C1EA4">
              <w:rPr>
                <w:rFonts w:asciiTheme="minorHAnsi" w:hAnsiTheme="minorHAnsi" w:cs="Calibri"/>
                <w:szCs w:val="19"/>
                <w:lang w:val="hr-HR"/>
              </w:rPr>
              <w:t>57</w:t>
            </w:r>
            <w:r>
              <w:rPr>
                <w:rFonts w:asciiTheme="minorHAnsi" w:hAnsiTheme="minorHAnsi" w:cs="Calibri"/>
                <w:szCs w:val="19"/>
                <w:lang w:val="hr-HR"/>
              </w:rPr>
              <w:t>0</w:t>
            </w:r>
          </w:p>
        </w:tc>
        <w:tc>
          <w:tcPr>
            <w:tcW w:w="1252" w:type="dxa"/>
            <w:tcBorders>
              <w:top w:val="nil"/>
              <w:left w:val="nil"/>
              <w:bottom w:val="nil"/>
              <w:right w:val="nil"/>
            </w:tcBorders>
            <w:shd w:val="clear" w:color="000000" w:fill="auto"/>
            <w:vAlign w:val="bottom"/>
          </w:tcPr>
          <w:p w14:paraId="2168049F" w14:textId="41D6BB9D" w:rsidR="001B316F" w:rsidRPr="00F1130C" w:rsidRDefault="001B316F" w:rsidP="001B316F">
            <w:pPr>
              <w:pStyle w:val="TT"/>
              <w:keepLines/>
              <w:spacing w:line="220" w:lineRule="exact"/>
              <w:jc w:val="right"/>
              <w:rPr>
                <w:rFonts w:asciiTheme="minorHAnsi" w:hAnsiTheme="minorHAnsi" w:cs="Calibri"/>
                <w:szCs w:val="19"/>
              </w:rPr>
            </w:pPr>
            <w:r>
              <w:rPr>
                <w:rFonts w:asciiTheme="minorHAnsi" w:hAnsiTheme="minorHAnsi" w:cs="Calibri"/>
                <w:szCs w:val="19"/>
                <w:lang w:val="hr-HR"/>
              </w:rPr>
              <w:t>196.210</w:t>
            </w:r>
          </w:p>
        </w:tc>
      </w:tr>
      <w:tr w:rsidR="001B316F" w:rsidRPr="000601E2" w14:paraId="3A1CB1F2" w14:textId="77777777" w:rsidTr="001B316F">
        <w:tc>
          <w:tcPr>
            <w:tcW w:w="7231" w:type="dxa"/>
          </w:tcPr>
          <w:p w14:paraId="66855380" w14:textId="77777777" w:rsidR="001B316F" w:rsidRPr="000601E2" w:rsidRDefault="001B316F" w:rsidP="001B316F">
            <w:pPr>
              <w:keepLines/>
              <w:tabs>
                <w:tab w:val="right" w:pos="1202"/>
              </w:tabs>
              <w:spacing w:after="0" w:line="240" w:lineRule="auto"/>
              <w:outlineLvl w:val="0"/>
              <w:rPr>
                <w:rFonts w:eastAsia="Times New Roman" w:cs="Arial"/>
                <w:sz w:val="19"/>
                <w:szCs w:val="19"/>
              </w:rPr>
            </w:pPr>
            <w:r w:rsidRPr="000601E2">
              <w:rPr>
                <w:rFonts w:eastAsia="Times New Roman" w:cs="Arial"/>
                <w:sz w:val="19"/>
                <w:szCs w:val="19"/>
              </w:rPr>
              <w:t>Neto smanjenje kredita financijskim institucijama, prije rezerviranja za moguće gubitke</w:t>
            </w:r>
          </w:p>
        </w:tc>
        <w:tc>
          <w:tcPr>
            <w:tcW w:w="1252" w:type="dxa"/>
            <w:tcBorders>
              <w:top w:val="nil"/>
              <w:left w:val="nil"/>
              <w:bottom w:val="nil"/>
              <w:right w:val="nil"/>
            </w:tcBorders>
            <w:shd w:val="clear" w:color="000000" w:fill="auto"/>
            <w:vAlign w:val="bottom"/>
          </w:tcPr>
          <w:p w14:paraId="23E1461F" w14:textId="3B352C03" w:rsidR="001B316F" w:rsidRPr="00CA1477" w:rsidRDefault="00553A21" w:rsidP="001B316F">
            <w:pPr>
              <w:pStyle w:val="TT"/>
              <w:keepLines/>
              <w:spacing w:line="220" w:lineRule="exact"/>
              <w:jc w:val="right"/>
              <w:rPr>
                <w:rFonts w:asciiTheme="minorHAnsi" w:hAnsiTheme="minorHAnsi" w:cs="Calibri"/>
                <w:szCs w:val="19"/>
                <w:lang w:val="hr-HR"/>
              </w:rPr>
            </w:pPr>
            <w:r>
              <w:rPr>
                <w:rFonts w:asciiTheme="minorHAnsi" w:hAnsiTheme="minorHAnsi" w:cs="Calibri"/>
                <w:szCs w:val="19"/>
                <w:lang w:val="hr-HR"/>
              </w:rPr>
              <w:t>613.697</w:t>
            </w:r>
          </w:p>
        </w:tc>
        <w:tc>
          <w:tcPr>
            <w:tcW w:w="1252" w:type="dxa"/>
            <w:tcBorders>
              <w:top w:val="nil"/>
              <w:left w:val="nil"/>
              <w:bottom w:val="nil"/>
              <w:right w:val="nil"/>
            </w:tcBorders>
            <w:shd w:val="clear" w:color="000000" w:fill="auto"/>
            <w:vAlign w:val="bottom"/>
          </w:tcPr>
          <w:p w14:paraId="144BC6F7" w14:textId="059380D9" w:rsidR="001B316F" w:rsidRPr="00F1130C" w:rsidRDefault="001B316F" w:rsidP="001B316F">
            <w:pPr>
              <w:pStyle w:val="TT"/>
              <w:keepLines/>
              <w:spacing w:line="220" w:lineRule="exact"/>
              <w:jc w:val="right"/>
              <w:rPr>
                <w:rFonts w:asciiTheme="minorHAnsi" w:hAnsiTheme="minorHAnsi" w:cs="Calibri"/>
                <w:szCs w:val="19"/>
              </w:rPr>
            </w:pPr>
            <w:r>
              <w:rPr>
                <w:rFonts w:asciiTheme="minorHAnsi" w:hAnsiTheme="minorHAnsi" w:cs="Calibri"/>
                <w:szCs w:val="19"/>
                <w:lang w:val="hr-HR"/>
              </w:rPr>
              <w:t>618.062</w:t>
            </w:r>
          </w:p>
        </w:tc>
      </w:tr>
      <w:tr w:rsidR="001B316F" w:rsidRPr="000601E2" w14:paraId="38216691" w14:textId="77777777" w:rsidTr="001B316F">
        <w:tc>
          <w:tcPr>
            <w:tcW w:w="7231" w:type="dxa"/>
          </w:tcPr>
          <w:p w14:paraId="79E35DF0" w14:textId="77777777" w:rsidR="001B316F" w:rsidRPr="000601E2" w:rsidRDefault="001B316F" w:rsidP="001B316F">
            <w:pPr>
              <w:keepLines/>
              <w:tabs>
                <w:tab w:val="right" w:pos="1202"/>
              </w:tabs>
              <w:spacing w:after="0" w:line="240" w:lineRule="auto"/>
              <w:outlineLvl w:val="0"/>
              <w:rPr>
                <w:rFonts w:eastAsia="Times New Roman" w:cs="Arial"/>
                <w:sz w:val="19"/>
                <w:szCs w:val="19"/>
              </w:rPr>
            </w:pPr>
            <w:r w:rsidRPr="000601E2">
              <w:rPr>
                <w:rFonts w:eastAsia="Times New Roman" w:cs="Arial"/>
                <w:sz w:val="19"/>
                <w:szCs w:val="19"/>
              </w:rPr>
              <w:t>Neto (povećanje) kredita ostalim korisnicima, prije rezerviranja za moguće gubitke</w:t>
            </w:r>
          </w:p>
        </w:tc>
        <w:tc>
          <w:tcPr>
            <w:tcW w:w="1252" w:type="dxa"/>
            <w:tcBorders>
              <w:top w:val="nil"/>
              <w:left w:val="nil"/>
              <w:right w:val="nil"/>
            </w:tcBorders>
            <w:shd w:val="clear" w:color="000000" w:fill="auto"/>
            <w:vAlign w:val="bottom"/>
          </w:tcPr>
          <w:p w14:paraId="2297B5E7" w14:textId="01E63035" w:rsidR="001B316F" w:rsidRPr="00CA1477" w:rsidRDefault="00553A21" w:rsidP="001B316F">
            <w:pPr>
              <w:pStyle w:val="TT"/>
              <w:keepLines/>
              <w:spacing w:line="220" w:lineRule="exact"/>
              <w:jc w:val="right"/>
              <w:rPr>
                <w:rFonts w:asciiTheme="minorHAnsi" w:hAnsiTheme="minorHAnsi" w:cs="Calibri"/>
                <w:szCs w:val="19"/>
                <w:lang w:val="hr-HR"/>
              </w:rPr>
            </w:pPr>
            <w:r>
              <w:rPr>
                <w:rFonts w:asciiTheme="minorHAnsi" w:hAnsiTheme="minorHAnsi" w:cs="Calibri"/>
                <w:szCs w:val="19"/>
                <w:lang w:val="hr-HR"/>
              </w:rPr>
              <w:t>(246.516)</w:t>
            </w:r>
          </w:p>
        </w:tc>
        <w:tc>
          <w:tcPr>
            <w:tcW w:w="1252" w:type="dxa"/>
            <w:tcBorders>
              <w:top w:val="nil"/>
              <w:left w:val="nil"/>
              <w:right w:val="nil"/>
            </w:tcBorders>
            <w:shd w:val="clear" w:color="000000" w:fill="auto"/>
            <w:vAlign w:val="bottom"/>
          </w:tcPr>
          <w:p w14:paraId="312A202F" w14:textId="2657CA51" w:rsidR="001B316F" w:rsidRPr="00F1130C" w:rsidRDefault="001B316F" w:rsidP="001B316F">
            <w:pPr>
              <w:pStyle w:val="TT"/>
              <w:keepLines/>
              <w:spacing w:line="220" w:lineRule="exact"/>
              <w:jc w:val="right"/>
              <w:rPr>
                <w:rFonts w:asciiTheme="minorHAnsi" w:hAnsiTheme="minorHAnsi" w:cs="Calibri"/>
                <w:szCs w:val="19"/>
              </w:rPr>
            </w:pPr>
            <w:r>
              <w:rPr>
                <w:rFonts w:asciiTheme="minorHAnsi" w:hAnsiTheme="minorHAnsi" w:cs="Calibri"/>
                <w:szCs w:val="19"/>
                <w:lang w:val="hr-HR"/>
              </w:rPr>
              <w:t>(758.554)</w:t>
            </w:r>
          </w:p>
        </w:tc>
      </w:tr>
      <w:tr w:rsidR="001B316F" w:rsidRPr="000601E2" w14:paraId="75F73F5E" w14:textId="77777777" w:rsidTr="001B316F">
        <w:tc>
          <w:tcPr>
            <w:tcW w:w="7231" w:type="dxa"/>
          </w:tcPr>
          <w:p w14:paraId="7468AB0E" w14:textId="77777777" w:rsidR="001B316F" w:rsidRPr="000601E2" w:rsidRDefault="001B316F" w:rsidP="001B316F">
            <w:pPr>
              <w:keepLines/>
              <w:tabs>
                <w:tab w:val="right" w:pos="1202"/>
              </w:tabs>
              <w:spacing w:after="0" w:line="240" w:lineRule="auto"/>
              <w:outlineLvl w:val="0"/>
              <w:rPr>
                <w:rFonts w:eastAsia="Times New Roman" w:cs="Arial"/>
                <w:sz w:val="19"/>
                <w:szCs w:val="19"/>
              </w:rPr>
            </w:pPr>
            <w:r w:rsidRPr="000601E2">
              <w:rPr>
                <w:rFonts w:eastAsia="Times New Roman" w:cs="Arial"/>
                <w:sz w:val="19"/>
                <w:szCs w:val="19"/>
              </w:rPr>
              <w:t>Neto (dobitak) od aktivnosti financijske imovine po fer vrijednosti kroz izvještaj o dobiti i gubitku</w:t>
            </w:r>
          </w:p>
        </w:tc>
        <w:tc>
          <w:tcPr>
            <w:tcW w:w="1252" w:type="dxa"/>
            <w:tcBorders>
              <w:top w:val="nil"/>
              <w:left w:val="nil"/>
              <w:bottom w:val="nil"/>
              <w:right w:val="nil"/>
            </w:tcBorders>
            <w:shd w:val="clear" w:color="000000" w:fill="auto"/>
            <w:vAlign w:val="bottom"/>
          </w:tcPr>
          <w:p w14:paraId="6E7724E1" w14:textId="76D40ECF" w:rsidR="001B316F" w:rsidRPr="00CA1477" w:rsidRDefault="00553A21" w:rsidP="001B316F">
            <w:pPr>
              <w:pStyle w:val="TT"/>
              <w:keepLines/>
              <w:spacing w:line="220" w:lineRule="exact"/>
              <w:jc w:val="right"/>
              <w:rPr>
                <w:rFonts w:asciiTheme="minorHAnsi" w:hAnsiTheme="minorHAnsi" w:cs="Calibri"/>
                <w:szCs w:val="19"/>
                <w:lang w:val="hr-HR"/>
              </w:rPr>
            </w:pPr>
            <w:r>
              <w:rPr>
                <w:rFonts w:asciiTheme="minorHAnsi" w:hAnsiTheme="minorHAnsi" w:cs="Calibri"/>
                <w:szCs w:val="19"/>
                <w:lang w:val="hr-HR"/>
              </w:rPr>
              <w:t>(3)</w:t>
            </w:r>
          </w:p>
        </w:tc>
        <w:tc>
          <w:tcPr>
            <w:tcW w:w="1252" w:type="dxa"/>
            <w:tcBorders>
              <w:top w:val="nil"/>
              <w:left w:val="nil"/>
              <w:bottom w:val="nil"/>
              <w:right w:val="nil"/>
            </w:tcBorders>
            <w:shd w:val="clear" w:color="000000" w:fill="auto"/>
            <w:vAlign w:val="bottom"/>
          </w:tcPr>
          <w:p w14:paraId="6BCEC20C" w14:textId="79C90651" w:rsidR="001B316F" w:rsidRPr="00F1130C" w:rsidRDefault="001B316F" w:rsidP="001B316F">
            <w:pPr>
              <w:pStyle w:val="TT"/>
              <w:keepLines/>
              <w:spacing w:line="220" w:lineRule="exact"/>
              <w:jc w:val="right"/>
              <w:rPr>
                <w:rFonts w:asciiTheme="minorHAnsi" w:hAnsiTheme="minorHAnsi" w:cs="Calibri"/>
                <w:szCs w:val="19"/>
              </w:rPr>
            </w:pPr>
            <w:r>
              <w:rPr>
                <w:rFonts w:asciiTheme="minorHAnsi" w:hAnsiTheme="minorHAnsi" w:cs="Calibri"/>
                <w:szCs w:val="19"/>
                <w:lang w:val="hr-HR"/>
              </w:rPr>
              <w:t>(89)</w:t>
            </w:r>
          </w:p>
        </w:tc>
      </w:tr>
      <w:tr w:rsidR="001B316F" w:rsidRPr="000601E2" w14:paraId="7BDAD0ED" w14:textId="77777777" w:rsidTr="001B316F">
        <w:tc>
          <w:tcPr>
            <w:tcW w:w="7231" w:type="dxa"/>
          </w:tcPr>
          <w:p w14:paraId="2946E07A" w14:textId="77777777" w:rsidR="001B316F" w:rsidRPr="000601E2" w:rsidRDefault="001B316F" w:rsidP="001B316F">
            <w:pPr>
              <w:keepLines/>
              <w:tabs>
                <w:tab w:val="right" w:pos="1202"/>
              </w:tabs>
              <w:spacing w:after="0" w:line="240" w:lineRule="auto"/>
              <w:outlineLvl w:val="0"/>
              <w:rPr>
                <w:rFonts w:eastAsia="Times New Roman" w:cs="Arial"/>
                <w:sz w:val="19"/>
                <w:szCs w:val="19"/>
              </w:rPr>
            </w:pPr>
            <w:r w:rsidRPr="000601E2">
              <w:rPr>
                <w:rFonts w:eastAsia="Times New Roman" w:cs="Arial"/>
                <w:sz w:val="19"/>
                <w:szCs w:val="19"/>
              </w:rPr>
              <w:t xml:space="preserve">Neto realizirani </w:t>
            </w:r>
            <w:r w:rsidRPr="008A5FE5">
              <w:rPr>
                <w:rFonts w:eastAsia="Times New Roman" w:cs="Arial"/>
                <w:sz w:val="19"/>
                <w:szCs w:val="19"/>
              </w:rPr>
              <w:t>(dobitak)</w:t>
            </w:r>
            <w:r>
              <w:rPr>
                <w:rFonts w:eastAsia="Times New Roman" w:cs="Arial"/>
                <w:sz w:val="19"/>
                <w:szCs w:val="19"/>
              </w:rPr>
              <w:t xml:space="preserve"> </w:t>
            </w:r>
            <w:r w:rsidRPr="000601E2">
              <w:rPr>
                <w:rFonts w:eastAsia="Times New Roman" w:cs="Arial"/>
                <w:sz w:val="19"/>
                <w:szCs w:val="19"/>
              </w:rPr>
              <w:t>od aktivnosti imovine raspoložive za prodaju</w:t>
            </w:r>
          </w:p>
        </w:tc>
        <w:tc>
          <w:tcPr>
            <w:tcW w:w="1252" w:type="dxa"/>
            <w:tcBorders>
              <w:top w:val="nil"/>
              <w:left w:val="nil"/>
              <w:right w:val="nil"/>
            </w:tcBorders>
            <w:shd w:val="clear" w:color="auto" w:fill="auto"/>
            <w:vAlign w:val="bottom"/>
          </w:tcPr>
          <w:p w14:paraId="1F1E6E61" w14:textId="404905D3" w:rsidR="001B316F" w:rsidRPr="0094480B" w:rsidRDefault="00553A21" w:rsidP="001B316F">
            <w:pPr>
              <w:pStyle w:val="TT"/>
              <w:keepLines/>
              <w:spacing w:line="220" w:lineRule="exact"/>
              <w:jc w:val="right"/>
              <w:rPr>
                <w:rFonts w:asciiTheme="minorHAnsi" w:hAnsiTheme="minorHAnsi" w:cs="Calibri"/>
                <w:szCs w:val="19"/>
                <w:lang w:val="pl-PL"/>
              </w:rPr>
            </w:pPr>
            <w:r>
              <w:rPr>
                <w:rFonts w:asciiTheme="minorHAnsi" w:hAnsiTheme="minorHAnsi" w:cs="Calibri"/>
                <w:szCs w:val="19"/>
                <w:lang w:val="pl-PL"/>
              </w:rPr>
              <w:t>(1.616)</w:t>
            </w:r>
          </w:p>
        </w:tc>
        <w:tc>
          <w:tcPr>
            <w:tcW w:w="1252" w:type="dxa"/>
            <w:tcBorders>
              <w:top w:val="nil"/>
              <w:left w:val="nil"/>
              <w:right w:val="nil"/>
            </w:tcBorders>
            <w:shd w:val="clear" w:color="auto" w:fill="auto"/>
            <w:vAlign w:val="bottom"/>
          </w:tcPr>
          <w:p w14:paraId="6D7D52B5" w14:textId="1C16518E" w:rsidR="001B316F" w:rsidRPr="0094480B" w:rsidRDefault="001B316F" w:rsidP="001B316F">
            <w:pPr>
              <w:pStyle w:val="TT"/>
              <w:keepLines/>
              <w:spacing w:line="220" w:lineRule="exact"/>
              <w:jc w:val="right"/>
              <w:rPr>
                <w:rFonts w:asciiTheme="minorHAnsi" w:hAnsiTheme="minorHAnsi" w:cs="Calibri"/>
                <w:szCs w:val="19"/>
                <w:lang w:val="pl-PL"/>
              </w:rPr>
            </w:pPr>
            <w:r>
              <w:rPr>
                <w:rFonts w:asciiTheme="minorHAnsi" w:hAnsiTheme="minorHAnsi" w:cs="Calibri"/>
                <w:szCs w:val="19"/>
                <w:lang w:val="pl-PL"/>
              </w:rPr>
              <w:t>(254)</w:t>
            </w:r>
          </w:p>
        </w:tc>
      </w:tr>
      <w:tr w:rsidR="001B316F" w:rsidRPr="000601E2" w14:paraId="4F089F91" w14:textId="77777777" w:rsidTr="001B316F">
        <w:tc>
          <w:tcPr>
            <w:tcW w:w="7231" w:type="dxa"/>
            <w:vAlign w:val="bottom"/>
          </w:tcPr>
          <w:p w14:paraId="148E18F3" w14:textId="5B0A597C" w:rsidR="001B316F" w:rsidRPr="000601E2" w:rsidRDefault="001245E7" w:rsidP="00257CDB">
            <w:pPr>
              <w:keepLines/>
              <w:tabs>
                <w:tab w:val="right" w:pos="1202"/>
              </w:tabs>
              <w:spacing w:after="0" w:line="240" w:lineRule="auto"/>
              <w:outlineLvl w:val="0"/>
              <w:rPr>
                <w:rFonts w:eastAsia="Times New Roman" w:cs="Arial"/>
                <w:sz w:val="19"/>
                <w:szCs w:val="19"/>
              </w:rPr>
            </w:pPr>
            <w:r>
              <w:rPr>
                <w:rFonts w:eastAsia="Times New Roman" w:cs="Arial"/>
                <w:sz w:val="19"/>
                <w:szCs w:val="19"/>
              </w:rPr>
              <w:t>Smanjenje/</w:t>
            </w:r>
            <w:r w:rsidR="001B316F" w:rsidRPr="000601E2">
              <w:rPr>
                <w:rFonts w:eastAsia="Times New Roman" w:cs="Arial"/>
                <w:sz w:val="19"/>
                <w:szCs w:val="19"/>
              </w:rPr>
              <w:t>(</w:t>
            </w:r>
            <w:r>
              <w:rPr>
                <w:rFonts w:eastAsia="Times New Roman" w:cs="Arial"/>
                <w:sz w:val="19"/>
                <w:szCs w:val="19"/>
              </w:rPr>
              <w:t>p</w:t>
            </w:r>
            <w:r w:rsidR="001B316F" w:rsidRPr="000601E2">
              <w:rPr>
                <w:rFonts w:eastAsia="Times New Roman" w:cs="Arial"/>
                <w:sz w:val="19"/>
                <w:szCs w:val="19"/>
              </w:rPr>
              <w:t>ovećanje) diskonta po imovini raspoloživoj za prodaju, imovini koja se drži do dospijeća i izdanim dugoročnim vrijednosnim papirima</w:t>
            </w:r>
          </w:p>
        </w:tc>
        <w:tc>
          <w:tcPr>
            <w:tcW w:w="1252" w:type="dxa"/>
            <w:tcBorders>
              <w:top w:val="nil"/>
              <w:left w:val="nil"/>
              <w:right w:val="nil"/>
            </w:tcBorders>
            <w:shd w:val="clear" w:color="000000" w:fill="auto"/>
            <w:vAlign w:val="bottom"/>
          </w:tcPr>
          <w:p w14:paraId="2A5FD7B4" w14:textId="4C714C57" w:rsidR="001B316F" w:rsidRPr="0094480B" w:rsidRDefault="00553A21" w:rsidP="001B316F">
            <w:pPr>
              <w:pStyle w:val="TT"/>
              <w:keepLines/>
              <w:spacing w:line="220" w:lineRule="exact"/>
              <w:jc w:val="right"/>
              <w:rPr>
                <w:rFonts w:asciiTheme="minorHAnsi" w:hAnsiTheme="minorHAnsi" w:cs="Calibri"/>
                <w:szCs w:val="19"/>
                <w:lang w:val="pl-PL"/>
              </w:rPr>
            </w:pPr>
            <w:r>
              <w:rPr>
                <w:rFonts w:asciiTheme="minorHAnsi" w:hAnsiTheme="minorHAnsi" w:cs="Calibri"/>
                <w:szCs w:val="19"/>
                <w:lang w:val="pl-PL"/>
              </w:rPr>
              <w:t>1.079</w:t>
            </w:r>
          </w:p>
        </w:tc>
        <w:tc>
          <w:tcPr>
            <w:tcW w:w="1252" w:type="dxa"/>
            <w:tcBorders>
              <w:top w:val="nil"/>
              <w:left w:val="nil"/>
              <w:right w:val="nil"/>
            </w:tcBorders>
            <w:shd w:val="clear" w:color="000000" w:fill="auto"/>
            <w:vAlign w:val="bottom"/>
          </w:tcPr>
          <w:p w14:paraId="39E2DB6C" w14:textId="054905BC" w:rsidR="001B316F" w:rsidRPr="0094480B" w:rsidRDefault="001B316F" w:rsidP="001B316F">
            <w:pPr>
              <w:pStyle w:val="TT"/>
              <w:keepLines/>
              <w:spacing w:line="220" w:lineRule="exact"/>
              <w:jc w:val="right"/>
              <w:rPr>
                <w:rFonts w:asciiTheme="minorHAnsi" w:hAnsiTheme="minorHAnsi" w:cs="Calibri"/>
                <w:szCs w:val="19"/>
                <w:lang w:val="pl-PL"/>
              </w:rPr>
            </w:pPr>
            <w:r>
              <w:rPr>
                <w:rFonts w:asciiTheme="minorHAnsi" w:hAnsiTheme="minorHAnsi" w:cs="Calibri"/>
                <w:szCs w:val="19"/>
                <w:lang w:val="pl-PL"/>
              </w:rPr>
              <w:t>(1.058)</w:t>
            </w:r>
          </w:p>
        </w:tc>
      </w:tr>
      <w:tr w:rsidR="001B316F" w:rsidRPr="000601E2" w14:paraId="063C3C1D" w14:textId="77777777" w:rsidTr="001B316F">
        <w:tc>
          <w:tcPr>
            <w:tcW w:w="7231" w:type="dxa"/>
            <w:vAlign w:val="bottom"/>
          </w:tcPr>
          <w:p w14:paraId="18DE55A5" w14:textId="35119AE3" w:rsidR="001B316F" w:rsidRPr="000601E2" w:rsidRDefault="001B316F" w:rsidP="001B316F">
            <w:pPr>
              <w:keepLines/>
              <w:tabs>
                <w:tab w:val="right" w:pos="1202"/>
              </w:tabs>
              <w:spacing w:after="0" w:line="240" w:lineRule="auto"/>
              <w:outlineLvl w:val="0"/>
              <w:rPr>
                <w:rFonts w:eastAsia="Times New Roman" w:cs="Arial"/>
                <w:sz w:val="19"/>
                <w:szCs w:val="19"/>
              </w:rPr>
            </w:pPr>
            <w:r w:rsidRPr="000601E2">
              <w:rPr>
                <w:rFonts w:eastAsia="Times New Roman" w:cs="Arial"/>
                <w:sz w:val="19"/>
                <w:szCs w:val="19"/>
              </w:rPr>
              <w:t>Neto (</w:t>
            </w:r>
            <w:r w:rsidR="007F5A9F" w:rsidRPr="007F5A9F">
              <w:rPr>
                <w:rFonts w:eastAsia="Times New Roman" w:cs="Arial"/>
                <w:sz w:val="19"/>
                <w:szCs w:val="19"/>
              </w:rPr>
              <w:t>smanjenje</w:t>
            </w:r>
            <w:r w:rsidRPr="000601E2">
              <w:rPr>
                <w:rFonts w:eastAsia="Times New Roman" w:cs="Arial"/>
                <w:sz w:val="19"/>
                <w:szCs w:val="19"/>
              </w:rPr>
              <w:t>)</w:t>
            </w:r>
            <w:r w:rsidR="001245E7">
              <w:rPr>
                <w:rFonts w:eastAsia="Times New Roman" w:cs="Arial"/>
                <w:sz w:val="19"/>
                <w:szCs w:val="19"/>
              </w:rPr>
              <w:t>/povećanje</w:t>
            </w:r>
            <w:r w:rsidRPr="000601E2">
              <w:rPr>
                <w:rFonts w:eastAsia="Times New Roman" w:cs="Arial"/>
                <w:sz w:val="19"/>
                <w:szCs w:val="19"/>
              </w:rPr>
              <w:t xml:space="preserve"> dugotrajne imovine namijenjene prodaji</w:t>
            </w:r>
          </w:p>
        </w:tc>
        <w:tc>
          <w:tcPr>
            <w:tcW w:w="1252" w:type="dxa"/>
            <w:tcBorders>
              <w:top w:val="nil"/>
              <w:left w:val="nil"/>
              <w:bottom w:val="nil"/>
              <w:right w:val="nil"/>
            </w:tcBorders>
            <w:shd w:val="clear" w:color="000000" w:fill="auto"/>
            <w:vAlign w:val="bottom"/>
          </w:tcPr>
          <w:p w14:paraId="248857DC" w14:textId="318A7388" w:rsidR="001B316F" w:rsidRPr="0094480B" w:rsidRDefault="00553A21" w:rsidP="001B316F">
            <w:pPr>
              <w:pStyle w:val="TT"/>
              <w:keepLines/>
              <w:spacing w:line="220" w:lineRule="exact"/>
              <w:jc w:val="right"/>
              <w:rPr>
                <w:rFonts w:asciiTheme="minorHAnsi" w:hAnsiTheme="minorHAnsi" w:cs="Calibri"/>
                <w:szCs w:val="19"/>
                <w:lang w:val="pl-PL"/>
              </w:rPr>
            </w:pPr>
            <w:r>
              <w:rPr>
                <w:rFonts w:asciiTheme="minorHAnsi" w:hAnsiTheme="minorHAnsi" w:cs="Calibri"/>
                <w:szCs w:val="19"/>
                <w:lang w:val="pl-PL"/>
              </w:rPr>
              <w:t>212</w:t>
            </w:r>
          </w:p>
        </w:tc>
        <w:tc>
          <w:tcPr>
            <w:tcW w:w="1252" w:type="dxa"/>
            <w:tcBorders>
              <w:top w:val="nil"/>
              <w:left w:val="nil"/>
              <w:bottom w:val="nil"/>
              <w:right w:val="nil"/>
            </w:tcBorders>
            <w:shd w:val="clear" w:color="000000" w:fill="auto"/>
            <w:vAlign w:val="bottom"/>
          </w:tcPr>
          <w:p w14:paraId="1D9F6040" w14:textId="0C2D4094" w:rsidR="001B316F" w:rsidRPr="0094480B" w:rsidRDefault="001B316F" w:rsidP="001B316F">
            <w:pPr>
              <w:pStyle w:val="TT"/>
              <w:keepLines/>
              <w:spacing w:line="220" w:lineRule="exact"/>
              <w:jc w:val="right"/>
              <w:rPr>
                <w:rFonts w:asciiTheme="minorHAnsi" w:hAnsiTheme="minorHAnsi" w:cs="Calibri"/>
                <w:szCs w:val="19"/>
                <w:lang w:val="pl-PL"/>
              </w:rPr>
            </w:pPr>
            <w:r>
              <w:rPr>
                <w:rFonts w:asciiTheme="minorHAnsi" w:hAnsiTheme="minorHAnsi" w:cs="Calibri"/>
                <w:szCs w:val="19"/>
                <w:lang w:val="pl-PL"/>
              </w:rPr>
              <w:t>(15)</w:t>
            </w:r>
          </w:p>
        </w:tc>
      </w:tr>
      <w:tr w:rsidR="001B316F" w:rsidRPr="000601E2" w14:paraId="12A73429" w14:textId="77777777" w:rsidTr="001B316F">
        <w:tc>
          <w:tcPr>
            <w:tcW w:w="7231" w:type="dxa"/>
          </w:tcPr>
          <w:p w14:paraId="4FDAD53D" w14:textId="77777777" w:rsidR="001B316F" w:rsidRPr="000601E2" w:rsidRDefault="001B316F" w:rsidP="001B316F">
            <w:pPr>
              <w:keepLines/>
              <w:tabs>
                <w:tab w:val="right" w:pos="1202"/>
              </w:tabs>
              <w:spacing w:after="0" w:line="240" w:lineRule="auto"/>
              <w:outlineLvl w:val="0"/>
              <w:rPr>
                <w:rFonts w:eastAsia="Times New Roman" w:cs="Arial"/>
                <w:sz w:val="19"/>
                <w:szCs w:val="19"/>
              </w:rPr>
            </w:pPr>
            <w:r w:rsidRPr="000601E2">
              <w:rPr>
                <w:rFonts w:eastAsia="Times New Roman" w:cs="Arial"/>
                <w:sz w:val="19"/>
                <w:szCs w:val="19"/>
              </w:rPr>
              <w:t>Neto (povećanje) ostale imovine, prije rezerviranja za moguće gubitke</w:t>
            </w:r>
          </w:p>
        </w:tc>
        <w:tc>
          <w:tcPr>
            <w:tcW w:w="1252" w:type="dxa"/>
            <w:tcBorders>
              <w:top w:val="nil"/>
              <w:left w:val="nil"/>
              <w:bottom w:val="nil"/>
              <w:right w:val="nil"/>
            </w:tcBorders>
            <w:shd w:val="clear" w:color="000000" w:fill="auto"/>
            <w:vAlign w:val="bottom"/>
          </w:tcPr>
          <w:p w14:paraId="1933618D" w14:textId="269E8D96" w:rsidR="001B316F" w:rsidRPr="0094480B" w:rsidRDefault="00553A21" w:rsidP="00D96540">
            <w:pPr>
              <w:pStyle w:val="TT"/>
              <w:keepLines/>
              <w:spacing w:line="220" w:lineRule="exact"/>
              <w:jc w:val="right"/>
              <w:rPr>
                <w:rFonts w:asciiTheme="minorHAnsi" w:hAnsiTheme="minorHAnsi" w:cs="Calibri"/>
                <w:szCs w:val="19"/>
                <w:lang w:val="pl-PL"/>
              </w:rPr>
            </w:pPr>
            <w:r>
              <w:rPr>
                <w:rFonts w:asciiTheme="minorHAnsi" w:hAnsiTheme="minorHAnsi" w:cs="Calibri"/>
                <w:szCs w:val="19"/>
                <w:lang w:val="pl-PL"/>
              </w:rPr>
              <w:t>(395</w:t>
            </w:r>
            <w:r w:rsidR="007F5A9F">
              <w:rPr>
                <w:rFonts w:asciiTheme="minorHAnsi" w:hAnsiTheme="minorHAnsi" w:cs="Calibri"/>
                <w:szCs w:val="19"/>
                <w:lang w:val="pl-PL"/>
              </w:rPr>
              <w:t>)</w:t>
            </w:r>
          </w:p>
        </w:tc>
        <w:tc>
          <w:tcPr>
            <w:tcW w:w="1252" w:type="dxa"/>
            <w:tcBorders>
              <w:top w:val="nil"/>
              <w:left w:val="nil"/>
              <w:bottom w:val="nil"/>
              <w:right w:val="nil"/>
            </w:tcBorders>
            <w:shd w:val="clear" w:color="000000" w:fill="auto"/>
            <w:vAlign w:val="bottom"/>
          </w:tcPr>
          <w:p w14:paraId="63321046" w14:textId="766F4AC3" w:rsidR="001B316F" w:rsidRPr="0094480B" w:rsidRDefault="001B316F" w:rsidP="001B316F">
            <w:pPr>
              <w:pStyle w:val="TT"/>
              <w:keepLines/>
              <w:spacing w:line="220" w:lineRule="exact"/>
              <w:jc w:val="right"/>
              <w:rPr>
                <w:rFonts w:asciiTheme="minorHAnsi" w:hAnsiTheme="minorHAnsi" w:cs="Calibri"/>
                <w:szCs w:val="19"/>
                <w:lang w:val="pl-PL"/>
              </w:rPr>
            </w:pPr>
            <w:r>
              <w:rPr>
                <w:rFonts w:asciiTheme="minorHAnsi" w:hAnsiTheme="minorHAnsi" w:cs="Calibri"/>
                <w:szCs w:val="19"/>
                <w:lang w:val="pl-PL"/>
              </w:rPr>
              <w:t>(2.571)</w:t>
            </w:r>
          </w:p>
        </w:tc>
      </w:tr>
      <w:tr w:rsidR="001B316F" w:rsidRPr="000601E2" w14:paraId="12C8D480" w14:textId="77777777" w:rsidTr="001B316F">
        <w:tc>
          <w:tcPr>
            <w:tcW w:w="7231" w:type="dxa"/>
          </w:tcPr>
          <w:p w14:paraId="3388BD7F" w14:textId="7F5D9497" w:rsidR="001B316F" w:rsidRPr="000601E2" w:rsidRDefault="001B316F" w:rsidP="001B316F">
            <w:pPr>
              <w:keepLines/>
              <w:tabs>
                <w:tab w:val="right" w:pos="1202"/>
              </w:tabs>
              <w:spacing w:after="0" w:line="240" w:lineRule="auto"/>
              <w:outlineLvl w:val="0"/>
              <w:rPr>
                <w:rFonts w:eastAsia="Times New Roman" w:cs="Arial"/>
                <w:sz w:val="19"/>
                <w:szCs w:val="19"/>
              </w:rPr>
            </w:pPr>
            <w:r w:rsidRPr="000601E2">
              <w:rPr>
                <w:rFonts w:eastAsia="Times New Roman" w:cs="Arial"/>
                <w:sz w:val="19"/>
                <w:szCs w:val="19"/>
              </w:rPr>
              <w:t>Neto povećanje depozita banaka i trgovačkih društava</w:t>
            </w:r>
          </w:p>
        </w:tc>
        <w:tc>
          <w:tcPr>
            <w:tcW w:w="1252" w:type="dxa"/>
            <w:tcBorders>
              <w:top w:val="nil"/>
              <w:left w:val="nil"/>
              <w:bottom w:val="nil"/>
              <w:right w:val="nil"/>
            </w:tcBorders>
            <w:shd w:val="clear" w:color="000000" w:fill="auto"/>
            <w:vAlign w:val="bottom"/>
          </w:tcPr>
          <w:p w14:paraId="1FDA783F" w14:textId="4DFC02C4" w:rsidR="001B316F" w:rsidRPr="0094480B" w:rsidRDefault="00553A21" w:rsidP="001B316F">
            <w:pPr>
              <w:pStyle w:val="TT"/>
              <w:keepLines/>
              <w:spacing w:line="220" w:lineRule="exact"/>
              <w:jc w:val="right"/>
              <w:rPr>
                <w:rFonts w:asciiTheme="minorHAnsi" w:hAnsiTheme="minorHAnsi" w:cs="Calibri"/>
                <w:szCs w:val="19"/>
                <w:lang w:val="pl-PL"/>
              </w:rPr>
            </w:pPr>
            <w:r>
              <w:rPr>
                <w:rFonts w:asciiTheme="minorHAnsi" w:hAnsiTheme="minorHAnsi" w:cs="Calibri"/>
                <w:szCs w:val="19"/>
                <w:lang w:val="pl-PL"/>
              </w:rPr>
              <w:t>338.134</w:t>
            </w:r>
          </w:p>
        </w:tc>
        <w:tc>
          <w:tcPr>
            <w:tcW w:w="1252" w:type="dxa"/>
            <w:tcBorders>
              <w:top w:val="nil"/>
              <w:left w:val="nil"/>
              <w:bottom w:val="nil"/>
              <w:right w:val="nil"/>
            </w:tcBorders>
            <w:shd w:val="clear" w:color="000000" w:fill="auto"/>
            <w:vAlign w:val="bottom"/>
          </w:tcPr>
          <w:p w14:paraId="1B43CAD4" w14:textId="54EF7157" w:rsidR="001B316F" w:rsidRPr="0094480B" w:rsidRDefault="001B316F" w:rsidP="001B316F">
            <w:pPr>
              <w:pStyle w:val="TT"/>
              <w:keepLines/>
              <w:spacing w:line="220" w:lineRule="exact"/>
              <w:jc w:val="right"/>
              <w:rPr>
                <w:rFonts w:asciiTheme="minorHAnsi" w:hAnsiTheme="minorHAnsi" w:cs="Calibri"/>
                <w:szCs w:val="19"/>
                <w:lang w:val="pl-PL"/>
              </w:rPr>
            </w:pPr>
            <w:r>
              <w:rPr>
                <w:rFonts w:asciiTheme="minorHAnsi" w:hAnsiTheme="minorHAnsi" w:cs="Calibri"/>
                <w:szCs w:val="19"/>
                <w:lang w:val="pl-PL"/>
              </w:rPr>
              <w:t>49.508</w:t>
            </w:r>
          </w:p>
        </w:tc>
      </w:tr>
      <w:tr w:rsidR="001B316F" w:rsidRPr="000601E2" w14:paraId="12B4140C" w14:textId="77777777" w:rsidTr="001B316F">
        <w:tc>
          <w:tcPr>
            <w:tcW w:w="7231" w:type="dxa"/>
          </w:tcPr>
          <w:p w14:paraId="3D8CEFCB" w14:textId="77777777" w:rsidR="001B316F" w:rsidRPr="000601E2" w:rsidRDefault="001B316F" w:rsidP="001B316F">
            <w:pPr>
              <w:keepLines/>
              <w:tabs>
                <w:tab w:val="right" w:pos="1202"/>
              </w:tabs>
              <w:spacing w:after="0" w:line="240" w:lineRule="auto"/>
              <w:outlineLvl w:val="0"/>
              <w:rPr>
                <w:rFonts w:eastAsia="Times New Roman" w:cs="Arial"/>
                <w:spacing w:val="-2"/>
                <w:sz w:val="19"/>
                <w:szCs w:val="19"/>
              </w:rPr>
            </w:pPr>
            <w:r w:rsidRPr="000601E2">
              <w:rPr>
                <w:rFonts w:eastAsia="Times New Roman" w:cs="Arial"/>
                <w:spacing w:val="-2"/>
                <w:sz w:val="19"/>
                <w:szCs w:val="19"/>
              </w:rPr>
              <w:t>Neto (smanjenje) ostalih obveza, prije rezerviranja</w:t>
            </w:r>
          </w:p>
        </w:tc>
        <w:tc>
          <w:tcPr>
            <w:tcW w:w="1252" w:type="dxa"/>
            <w:tcBorders>
              <w:top w:val="nil"/>
              <w:left w:val="nil"/>
              <w:bottom w:val="nil"/>
              <w:right w:val="nil"/>
            </w:tcBorders>
            <w:shd w:val="clear" w:color="000000" w:fill="auto"/>
            <w:vAlign w:val="bottom"/>
          </w:tcPr>
          <w:p w14:paraId="62D8088C" w14:textId="0507751A" w:rsidR="001B316F" w:rsidRPr="0094480B" w:rsidRDefault="00553A21" w:rsidP="001B316F">
            <w:pPr>
              <w:pStyle w:val="TT"/>
              <w:keepLines/>
              <w:spacing w:line="220" w:lineRule="exact"/>
              <w:jc w:val="right"/>
              <w:rPr>
                <w:rFonts w:asciiTheme="minorHAnsi" w:hAnsiTheme="minorHAnsi" w:cs="Calibri"/>
                <w:szCs w:val="19"/>
                <w:lang w:val="pl-PL"/>
              </w:rPr>
            </w:pPr>
            <w:r>
              <w:rPr>
                <w:rFonts w:asciiTheme="minorHAnsi" w:hAnsiTheme="minorHAnsi" w:cs="Calibri"/>
                <w:szCs w:val="19"/>
                <w:lang w:val="pl-PL"/>
              </w:rPr>
              <w:t>(55.174)</w:t>
            </w:r>
          </w:p>
        </w:tc>
        <w:tc>
          <w:tcPr>
            <w:tcW w:w="1252" w:type="dxa"/>
            <w:tcBorders>
              <w:top w:val="nil"/>
              <w:left w:val="nil"/>
              <w:bottom w:val="nil"/>
              <w:right w:val="nil"/>
            </w:tcBorders>
            <w:shd w:val="clear" w:color="000000" w:fill="auto"/>
            <w:vAlign w:val="bottom"/>
          </w:tcPr>
          <w:p w14:paraId="14CCDFD8" w14:textId="0DFC4D32" w:rsidR="001B316F" w:rsidRPr="0094480B" w:rsidRDefault="001B316F" w:rsidP="001B316F">
            <w:pPr>
              <w:pStyle w:val="TT"/>
              <w:keepLines/>
              <w:spacing w:line="220" w:lineRule="exact"/>
              <w:jc w:val="right"/>
              <w:rPr>
                <w:rFonts w:asciiTheme="minorHAnsi" w:hAnsiTheme="minorHAnsi" w:cs="Calibri"/>
                <w:szCs w:val="19"/>
                <w:lang w:val="pl-PL"/>
              </w:rPr>
            </w:pPr>
            <w:r>
              <w:rPr>
                <w:rFonts w:asciiTheme="minorHAnsi" w:hAnsiTheme="minorHAnsi" w:cs="Calibri"/>
                <w:szCs w:val="19"/>
                <w:lang w:val="pl-PL"/>
              </w:rPr>
              <w:t>(70.709)</w:t>
            </w:r>
          </w:p>
        </w:tc>
      </w:tr>
      <w:tr w:rsidR="001B316F" w:rsidRPr="000601E2" w14:paraId="517CADD7" w14:textId="77777777" w:rsidTr="001B316F">
        <w:trPr>
          <w:trHeight w:hRule="exact" w:val="113"/>
        </w:trPr>
        <w:tc>
          <w:tcPr>
            <w:tcW w:w="7231" w:type="dxa"/>
            <w:tcBorders>
              <w:bottom w:val="single" w:sz="4" w:space="0" w:color="auto"/>
            </w:tcBorders>
          </w:tcPr>
          <w:p w14:paraId="2171DB24" w14:textId="77777777" w:rsidR="001B316F" w:rsidRPr="000601E2" w:rsidRDefault="001B316F" w:rsidP="001B316F">
            <w:pPr>
              <w:keepNext/>
              <w:keepLines/>
              <w:tabs>
                <w:tab w:val="decimal" w:pos="1202"/>
              </w:tabs>
              <w:spacing w:after="0" w:line="240" w:lineRule="auto"/>
              <w:rPr>
                <w:rFonts w:eastAsia="Times New Roman" w:cs="Arial"/>
                <w:b/>
                <w:bCs/>
                <w:position w:val="4"/>
                <w:sz w:val="19"/>
                <w:szCs w:val="19"/>
                <w:u w:val="thick"/>
              </w:rPr>
            </w:pPr>
          </w:p>
        </w:tc>
        <w:tc>
          <w:tcPr>
            <w:tcW w:w="1252" w:type="dxa"/>
            <w:tcBorders>
              <w:bottom w:val="single" w:sz="4" w:space="0" w:color="auto"/>
            </w:tcBorders>
            <w:vAlign w:val="bottom"/>
          </w:tcPr>
          <w:p w14:paraId="27F0B232" w14:textId="77777777" w:rsidR="001B316F" w:rsidRPr="000601E2" w:rsidRDefault="001B316F" w:rsidP="001B316F">
            <w:pPr>
              <w:pStyle w:val="TT"/>
              <w:keepLines/>
              <w:spacing w:line="220" w:lineRule="exact"/>
              <w:jc w:val="right"/>
              <w:rPr>
                <w:rFonts w:asciiTheme="minorHAnsi" w:hAnsiTheme="minorHAnsi" w:cs="Calibri"/>
                <w:b/>
                <w:szCs w:val="19"/>
              </w:rPr>
            </w:pPr>
          </w:p>
        </w:tc>
        <w:tc>
          <w:tcPr>
            <w:tcW w:w="1252" w:type="dxa"/>
            <w:tcBorders>
              <w:bottom w:val="single" w:sz="4" w:space="0" w:color="auto"/>
            </w:tcBorders>
            <w:vAlign w:val="bottom"/>
          </w:tcPr>
          <w:p w14:paraId="57F0F1E4" w14:textId="77777777" w:rsidR="001B316F" w:rsidRPr="000601E2" w:rsidRDefault="001B316F" w:rsidP="001B316F">
            <w:pPr>
              <w:pStyle w:val="TT"/>
              <w:keepLines/>
              <w:spacing w:line="220" w:lineRule="exact"/>
              <w:jc w:val="right"/>
              <w:rPr>
                <w:rFonts w:asciiTheme="minorHAnsi" w:hAnsiTheme="minorHAnsi" w:cs="Calibri"/>
                <w:b/>
                <w:szCs w:val="19"/>
              </w:rPr>
            </w:pPr>
          </w:p>
        </w:tc>
      </w:tr>
      <w:tr w:rsidR="001B316F" w:rsidRPr="000601E2" w14:paraId="14BF5B0C" w14:textId="77777777" w:rsidTr="001B316F">
        <w:trPr>
          <w:trHeight w:val="228"/>
        </w:trPr>
        <w:tc>
          <w:tcPr>
            <w:tcW w:w="7231" w:type="dxa"/>
            <w:tcBorders>
              <w:top w:val="single" w:sz="4" w:space="0" w:color="auto"/>
              <w:bottom w:val="single" w:sz="12" w:space="0" w:color="auto"/>
            </w:tcBorders>
          </w:tcPr>
          <w:p w14:paraId="3725EE2B" w14:textId="77777777" w:rsidR="001B316F" w:rsidRPr="000601E2" w:rsidRDefault="001B316F" w:rsidP="001B316F">
            <w:pPr>
              <w:keepLines/>
              <w:tabs>
                <w:tab w:val="right" w:pos="1202"/>
              </w:tabs>
              <w:spacing w:after="0" w:line="240" w:lineRule="auto"/>
              <w:outlineLvl w:val="0"/>
              <w:rPr>
                <w:rFonts w:eastAsia="Times New Roman" w:cs="Arial"/>
                <w:b/>
                <w:bCs/>
                <w:spacing w:val="-3"/>
                <w:sz w:val="19"/>
                <w:szCs w:val="19"/>
              </w:rPr>
            </w:pPr>
            <w:r w:rsidRPr="000601E2">
              <w:rPr>
                <w:rFonts w:eastAsia="Times New Roman" w:cs="Arial"/>
                <w:b/>
                <w:bCs/>
                <w:sz w:val="19"/>
                <w:szCs w:val="19"/>
              </w:rPr>
              <w:t>Neto novčana sredstva</w:t>
            </w:r>
            <w:r>
              <w:rPr>
                <w:rFonts w:eastAsia="Times New Roman" w:cs="Arial"/>
                <w:b/>
                <w:bCs/>
                <w:sz w:val="19"/>
                <w:szCs w:val="19"/>
              </w:rPr>
              <w:t xml:space="preserve"> ostvarena </w:t>
            </w:r>
            <w:r w:rsidRPr="000601E2">
              <w:rPr>
                <w:rFonts w:eastAsia="Times New Roman" w:cs="Arial"/>
                <w:b/>
                <w:bCs/>
                <w:sz w:val="19"/>
                <w:szCs w:val="19"/>
              </w:rPr>
              <w:t xml:space="preserve">u poslovnim aktivnostima </w:t>
            </w:r>
          </w:p>
        </w:tc>
        <w:tc>
          <w:tcPr>
            <w:tcW w:w="1252" w:type="dxa"/>
            <w:tcBorders>
              <w:top w:val="single" w:sz="4" w:space="0" w:color="auto"/>
              <w:bottom w:val="single" w:sz="12" w:space="0" w:color="auto"/>
            </w:tcBorders>
            <w:vAlign w:val="bottom"/>
          </w:tcPr>
          <w:p w14:paraId="452EB206" w14:textId="0A241B6C" w:rsidR="001B316F" w:rsidRPr="0094480B" w:rsidRDefault="00553A21" w:rsidP="001B316F">
            <w:pPr>
              <w:pStyle w:val="TT"/>
              <w:keepLines/>
              <w:spacing w:line="220" w:lineRule="exact"/>
              <w:jc w:val="right"/>
              <w:rPr>
                <w:rFonts w:asciiTheme="minorHAnsi" w:hAnsiTheme="minorHAnsi" w:cs="Calibri"/>
                <w:b/>
                <w:szCs w:val="19"/>
                <w:lang w:val="hr-HR"/>
              </w:rPr>
            </w:pPr>
            <w:r>
              <w:rPr>
                <w:rFonts w:asciiTheme="minorHAnsi" w:hAnsiTheme="minorHAnsi" w:cs="Calibri"/>
                <w:b/>
                <w:szCs w:val="19"/>
                <w:lang w:val="hr-HR"/>
              </w:rPr>
              <w:t>778.011</w:t>
            </w:r>
          </w:p>
        </w:tc>
        <w:tc>
          <w:tcPr>
            <w:tcW w:w="1252" w:type="dxa"/>
            <w:tcBorders>
              <w:top w:val="single" w:sz="4" w:space="0" w:color="auto"/>
              <w:bottom w:val="single" w:sz="12" w:space="0" w:color="auto"/>
            </w:tcBorders>
            <w:vAlign w:val="bottom"/>
          </w:tcPr>
          <w:p w14:paraId="2B70782F" w14:textId="26F5B1AF" w:rsidR="001B316F" w:rsidRPr="0094480B" w:rsidRDefault="001B316F" w:rsidP="001B316F">
            <w:pPr>
              <w:pStyle w:val="TT"/>
              <w:keepLines/>
              <w:spacing w:line="220" w:lineRule="exact"/>
              <w:jc w:val="right"/>
              <w:rPr>
                <w:rFonts w:asciiTheme="minorHAnsi" w:hAnsiTheme="minorHAnsi" w:cs="Calibri"/>
                <w:b/>
                <w:szCs w:val="19"/>
                <w:lang w:val="hr-HR"/>
              </w:rPr>
            </w:pPr>
            <w:r>
              <w:rPr>
                <w:rFonts w:asciiTheme="minorHAnsi" w:hAnsiTheme="minorHAnsi" w:cs="Calibri"/>
                <w:b/>
                <w:szCs w:val="19"/>
                <w:lang w:val="hr-HR"/>
              </w:rPr>
              <w:t>82.533</w:t>
            </w:r>
          </w:p>
        </w:tc>
      </w:tr>
      <w:tr w:rsidR="001B316F" w:rsidRPr="000601E2" w14:paraId="6A2F2CF3" w14:textId="77777777" w:rsidTr="001B316F">
        <w:trPr>
          <w:trHeight w:hRule="exact" w:val="113"/>
        </w:trPr>
        <w:tc>
          <w:tcPr>
            <w:tcW w:w="7231" w:type="dxa"/>
            <w:tcBorders>
              <w:top w:val="single" w:sz="12" w:space="0" w:color="auto"/>
            </w:tcBorders>
            <w:vAlign w:val="bottom"/>
          </w:tcPr>
          <w:p w14:paraId="0C14A923" w14:textId="77777777" w:rsidR="001B316F" w:rsidRPr="000601E2" w:rsidRDefault="001B316F" w:rsidP="001B316F">
            <w:pPr>
              <w:keepNext/>
              <w:keepLines/>
              <w:tabs>
                <w:tab w:val="decimal" w:pos="1202"/>
              </w:tabs>
              <w:spacing w:after="0" w:line="240" w:lineRule="auto"/>
              <w:rPr>
                <w:rFonts w:eastAsia="Times New Roman" w:cs="Arial"/>
                <w:b/>
                <w:bCs/>
                <w:position w:val="4"/>
                <w:sz w:val="19"/>
                <w:szCs w:val="19"/>
              </w:rPr>
            </w:pPr>
          </w:p>
        </w:tc>
        <w:tc>
          <w:tcPr>
            <w:tcW w:w="1252" w:type="dxa"/>
            <w:tcBorders>
              <w:top w:val="single" w:sz="12" w:space="0" w:color="auto"/>
            </w:tcBorders>
          </w:tcPr>
          <w:p w14:paraId="0FA96C06" w14:textId="77777777" w:rsidR="001B316F" w:rsidRPr="000601E2" w:rsidRDefault="001B316F" w:rsidP="001B316F">
            <w:pPr>
              <w:keepLines/>
              <w:spacing w:after="0" w:line="240" w:lineRule="auto"/>
              <w:jc w:val="right"/>
              <w:rPr>
                <w:rFonts w:eastAsia="Times New Roman" w:cs="Arial"/>
                <w:b/>
                <w:position w:val="4"/>
                <w:sz w:val="19"/>
                <w:szCs w:val="19"/>
                <w:u w:val="thick"/>
              </w:rPr>
            </w:pPr>
          </w:p>
        </w:tc>
        <w:tc>
          <w:tcPr>
            <w:tcW w:w="1252" w:type="dxa"/>
            <w:tcBorders>
              <w:top w:val="single" w:sz="12" w:space="0" w:color="auto"/>
            </w:tcBorders>
          </w:tcPr>
          <w:p w14:paraId="71A1E084" w14:textId="77777777" w:rsidR="001B316F" w:rsidRPr="000601E2" w:rsidRDefault="001B316F" w:rsidP="001B316F">
            <w:pPr>
              <w:keepLines/>
              <w:spacing w:after="0" w:line="240" w:lineRule="auto"/>
              <w:jc w:val="right"/>
              <w:rPr>
                <w:rFonts w:eastAsia="Times New Roman" w:cs="Arial"/>
                <w:b/>
                <w:position w:val="4"/>
                <w:sz w:val="19"/>
                <w:szCs w:val="19"/>
                <w:u w:val="thick"/>
              </w:rPr>
            </w:pPr>
          </w:p>
        </w:tc>
      </w:tr>
      <w:tr w:rsidR="001B316F" w:rsidRPr="000601E2" w14:paraId="4E7E572C" w14:textId="77777777" w:rsidTr="001B316F">
        <w:tc>
          <w:tcPr>
            <w:tcW w:w="7231" w:type="dxa"/>
          </w:tcPr>
          <w:p w14:paraId="2EDC5001" w14:textId="77777777" w:rsidR="001B316F" w:rsidRPr="000601E2" w:rsidRDefault="001B316F" w:rsidP="001B316F">
            <w:pPr>
              <w:keepLines/>
              <w:tabs>
                <w:tab w:val="right" w:pos="1202"/>
              </w:tabs>
              <w:spacing w:after="0" w:line="240" w:lineRule="auto"/>
              <w:outlineLvl w:val="0"/>
              <w:rPr>
                <w:rFonts w:eastAsia="Times New Roman" w:cs="Arial"/>
                <w:b/>
                <w:bCs/>
                <w:sz w:val="19"/>
                <w:szCs w:val="19"/>
              </w:rPr>
            </w:pPr>
            <w:proofErr w:type="spellStart"/>
            <w:r w:rsidRPr="000601E2">
              <w:rPr>
                <w:rFonts w:eastAsia="Times New Roman" w:cs="Arial"/>
                <w:b/>
                <w:bCs/>
                <w:sz w:val="19"/>
                <w:szCs w:val="19"/>
              </w:rPr>
              <w:t>Ulagateljske</w:t>
            </w:r>
            <w:proofErr w:type="spellEnd"/>
            <w:r w:rsidRPr="000601E2">
              <w:rPr>
                <w:rFonts w:eastAsia="Times New Roman" w:cs="Arial"/>
                <w:b/>
                <w:bCs/>
                <w:sz w:val="19"/>
                <w:szCs w:val="19"/>
              </w:rPr>
              <w:t xml:space="preserve"> aktivnosti</w:t>
            </w:r>
          </w:p>
        </w:tc>
        <w:tc>
          <w:tcPr>
            <w:tcW w:w="1252" w:type="dxa"/>
          </w:tcPr>
          <w:p w14:paraId="54F5F527" w14:textId="77777777" w:rsidR="001B316F" w:rsidRPr="000601E2" w:rsidRDefault="001B316F" w:rsidP="001B316F">
            <w:pPr>
              <w:keepLines/>
              <w:tabs>
                <w:tab w:val="right" w:pos="1202"/>
              </w:tabs>
              <w:spacing w:after="0" w:line="240" w:lineRule="auto"/>
              <w:jc w:val="right"/>
              <w:outlineLvl w:val="0"/>
              <w:rPr>
                <w:rFonts w:eastAsia="Times New Roman" w:cs="Arial"/>
                <w:b/>
                <w:bCs/>
                <w:sz w:val="19"/>
                <w:szCs w:val="19"/>
              </w:rPr>
            </w:pPr>
          </w:p>
        </w:tc>
        <w:tc>
          <w:tcPr>
            <w:tcW w:w="1252" w:type="dxa"/>
          </w:tcPr>
          <w:p w14:paraId="7ACABB3F" w14:textId="77777777" w:rsidR="001B316F" w:rsidRPr="000601E2" w:rsidRDefault="001B316F" w:rsidP="001B316F">
            <w:pPr>
              <w:keepLines/>
              <w:tabs>
                <w:tab w:val="right" w:pos="1202"/>
              </w:tabs>
              <w:spacing w:after="0" w:line="240" w:lineRule="auto"/>
              <w:jc w:val="right"/>
              <w:outlineLvl w:val="0"/>
              <w:rPr>
                <w:rFonts w:eastAsia="Times New Roman" w:cs="Arial"/>
                <w:b/>
                <w:bCs/>
                <w:sz w:val="19"/>
                <w:szCs w:val="19"/>
              </w:rPr>
            </w:pPr>
          </w:p>
        </w:tc>
      </w:tr>
      <w:tr w:rsidR="001B316F" w:rsidRPr="000601E2" w14:paraId="2FC5E591" w14:textId="77777777" w:rsidTr="001B316F">
        <w:tc>
          <w:tcPr>
            <w:tcW w:w="7231" w:type="dxa"/>
          </w:tcPr>
          <w:p w14:paraId="5FE3136A" w14:textId="77777777" w:rsidR="001B316F" w:rsidRPr="000601E2" w:rsidRDefault="001B316F" w:rsidP="001B316F">
            <w:pPr>
              <w:keepLines/>
              <w:tabs>
                <w:tab w:val="right" w:pos="1202"/>
              </w:tabs>
              <w:spacing w:after="0" w:line="240" w:lineRule="auto"/>
              <w:outlineLvl w:val="0"/>
              <w:rPr>
                <w:rFonts w:eastAsia="Times New Roman" w:cs="Arial"/>
                <w:bCs/>
                <w:sz w:val="19"/>
                <w:szCs w:val="19"/>
              </w:rPr>
            </w:pPr>
            <w:r w:rsidRPr="000601E2">
              <w:rPr>
                <w:rFonts w:eastAsia="Times New Roman" w:cs="Arial"/>
                <w:bCs/>
                <w:sz w:val="19"/>
                <w:szCs w:val="19"/>
              </w:rPr>
              <w:t>(Kupovina) financijske imovine po fer vrijednosti kroz izvještaj o dobiti i gubitku</w:t>
            </w:r>
          </w:p>
        </w:tc>
        <w:tc>
          <w:tcPr>
            <w:tcW w:w="1252" w:type="dxa"/>
            <w:tcBorders>
              <w:top w:val="nil"/>
              <w:left w:val="nil"/>
              <w:bottom w:val="nil"/>
              <w:right w:val="nil"/>
            </w:tcBorders>
            <w:shd w:val="clear" w:color="000000" w:fill="auto"/>
            <w:vAlign w:val="bottom"/>
          </w:tcPr>
          <w:p w14:paraId="256CC0F2" w14:textId="6C9C6143" w:rsidR="001B316F" w:rsidRPr="000601E2" w:rsidRDefault="00553A21" w:rsidP="001B316F">
            <w:pPr>
              <w:keepLines/>
              <w:tabs>
                <w:tab w:val="right" w:pos="1202"/>
              </w:tabs>
              <w:spacing w:after="0" w:line="240" w:lineRule="auto"/>
              <w:jc w:val="right"/>
              <w:outlineLvl w:val="0"/>
              <w:rPr>
                <w:rFonts w:eastAsia="Times New Roman" w:cs="Arial"/>
                <w:bCs/>
                <w:sz w:val="19"/>
                <w:szCs w:val="19"/>
              </w:rPr>
            </w:pPr>
            <w:r>
              <w:rPr>
                <w:rFonts w:eastAsia="Times New Roman" w:cs="Arial"/>
                <w:bCs/>
                <w:sz w:val="19"/>
                <w:szCs w:val="19"/>
              </w:rPr>
              <w:t>-</w:t>
            </w:r>
          </w:p>
        </w:tc>
        <w:tc>
          <w:tcPr>
            <w:tcW w:w="1252" w:type="dxa"/>
            <w:tcBorders>
              <w:top w:val="nil"/>
              <w:left w:val="nil"/>
              <w:bottom w:val="nil"/>
              <w:right w:val="nil"/>
            </w:tcBorders>
            <w:shd w:val="clear" w:color="000000" w:fill="auto"/>
            <w:vAlign w:val="bottom"/>
          </w:tcPr>
          <w:p w14:paraId="5832CBEB" w14:textId="4A9533B5" w:rsidR="001B316F" w:rsidRPr="000601E2" w:rsidRDefault="001B316F" w:rsidP="001B316F">
            <w:pPr>
              <w:keepLines/>
              <w:tabs>
                <w:tab w:val="right" w:pos="1202"/>
              </w:tabs>
              <w:spacing w:after="0" w:line="240" w:lineRule="auto"/>
              <w:jc w:val="right"/>
              <w:outlineLvl w:val="0"/>
              <w:rPr>
                <w:rFonts w:eastAsia="Times New Roman" w:cs="Arial"/>
                <w:bCs/>
                <w:sz w:val="19"/>
                <w:szCs w:val="19"/>
              </w:rPr>
            </w:pPr>
            <w:r>
              <w:rPr>
                <w:rFonts w:eastAsia="Times New Roman" w:cs="Arial"/>
                <w:bCs/>
                <w:sz w:val="19"/>
                <w:szCs w:val="19"/>
              </w:rPr>
              <w:t>(4.570)</w:t>
            </w:r>
          </w:p>
        </w:tc>
      </w:tr>
      <w:tr w:rsidR="001B316F" w:rsidRPr="000601E2" w14:paraId="4A68C8F2" w14:textId="77777777" w:rsidTr="001B316F">
        <w:tc>
          <w:tcPr>
            <w:tcW w:w="7231" w:type="dxa"/>
          </w:tcPr>
          <w:p w14:paraId="5604B46E" w14:textId="77777777" w:rsidR="001B316F" w:rsidRPr="000601E2" w:rsidRDefault="001B316F" w:rsidP="001B316F">
            <w:pPr>
              <w:keepLines/>
              <w:tabs>
                <w:tab w:val="right" w:pos="1202"/>
              </w:tabs>
              <w:spacing w:after="0" w:line="240" w:lineRule="auto"/>
              <w:outlineLvl w:val="0"/>
              <w:rPr>
                <w:rFonts w:eastAsia="Times New Roman" w:cs="Arial"/>
                <w:bCs/>
                <w:sz w:val="19"/>
                <w:szCs w:val="19"/>
              </w:rPr>
            </w:pPr>
            <w:r w:rsidRPr="000601E2">
              <w:rPr>
                <w:rFonts w:eastAsia="Times New Roman" w:cs="Arial"/>
                <w:bCs/>
                <w:sz w:val="19"/>
                <w:szCs w:val="19"/>
              </w:rPr>
              <w:t>Prodaja financijske imovine po fer vrijednosti kroz izvještaj o dobiti i gubitku</w:t>
            </w:r>
          </w:p>
        </w:tc>
        <w:tc>
          <w:tcPr>
            <w:tcW w:w="1252" w:type="dxa"/>
            <w:tcBorders>
              <w:top w:val="nil"/>
              <w:left w:val="nil"/>
              <w:bottom w:val="nil"/>
              <w:right w:val="nil"/>
            </w:tcBorders>
            <w:shd w:val="clear" w:color="000000" w:fill="auto"/>
            <w:vAlign w:val="bottom"/>
          </w:tcPr>
          <w:p w14:paraId="0D8AC81D" w14:textId="464C3FC0" w:rsidR="001B316F" w:rsidRPr="000601E2" w:rsidRDefault="00553A21" w:rsidP="001B316F">
            <w:pPr>
              <w:keepLines/>
              <w:tabs>
                <w:tab w:val="right" w:pos="1202"/>
              </w:tabs>
              <w:spacing w:after="0" w:line="240" w:lineRule="auto"/>
              <w:jc w:val="right"/>
              <w:outlineLvl w:val="0"/>
              <w:rPr>
                <w:rFonts w:eastAsia="Times New Roman" w:cs="Arial"/>
                <w:bCs/>
                <w:sz w:val="19"/>
                <w:szCs w:val="19"/>
              </w:rPr>
            </w:pPr>
            <w:r>
              <w:rPr>
                <w:rFonts w:eastAsia="Times New Roman" w:cs="Arial"/>
                <w:bCs/>
                <w:sz w:val="19"/>
                <w:szCs w:val="19"/>
              </w:rPr>
              <w:t>-</w:t>
            </w:r>
          </w:p>
        </w:tc>
        <w:tc>
          <w:tcPr>
            <w:tcW w:w="1252" w:type="dxa"/>
            <w:tcBorders>
              <w:top w:val="nil"/>
              <w:left w:val="nil"/>
              <w:bottom w:val="nil"/>
              <w:right w:val="nil"/>
            </w:tcBorders>
            <w:shd w:val="clear" w:color="000000" w:fill="auto"/>
            <w:vAlign w:val="bottom"/>
          </w:tcPr>
          <w:p w14:paraId="202BC672" w14:textId="2A3A3B17" w:rsidR="001B316F" w:rsidRPr="000601E2" w:rsidRDefault="001B316F" w:rsidP="001B316F">
            <w:pPr>
              <w:keepLines/>
              <w:tabs>
                <w:tab w:val="right" w:pos="1202"/>
              </w:tabs>
              <w:spacing w:after="0" w:line="240" w:lineRule="auto"/>
              <w:jc w:val="right"/>
              <w:outlineLvl w:val="0"/>
              <w:rPr>
                <w:rFonts w:eastAsia="Times New Roman" w:cs="Arial"/>
                <w:bCs/>
                <w:sz w:val="19"/>
                <w:szCs w:val="19"/>
              </w:rPr>
            </w:pPr>
            <w:r>
              <w:rPr>
                <w:rFonts w:eastAsia="Times New Roman" w:cs="Arial"/>
                <w:bCs/>
                <w:sz w:val="19"/>
                <w:szCs w:val="19"/>
              </w:rPr>
              <w:t>3.821</w:t>
            </w:r>
          </w:p>
        </w:tc>
      </w:tr>
      <w:tr w:rsidR="001B316F" w:rsidRPr="000601E2" w14:paraId="6D521AC4" w14:textId="77777777" w:rsidTr="001B316F">
        <w:tc>
          <w:tcPr>
            <w:tcW w:w="7231" w:type="dxa"/>
          </w:tcPr>
          <w:p w14:paraId="30F1DB55" w14:textId="77777777" w:rsidR="001B316F" w:rsidRPr="000601E2" w:rsidRDefault="001B316F" w:rsidP="001B316F">
            <w:pPr>
              <w:keepLines/>
              <w:tabs>
                <w:tab w:val="right" w:pos="1202"/>
              </w:tabs>
              <w:spacing w:after="0" w:line="240" w:lineRule="auto"/>
              <w:outlineLvl w:val="0"/>
              <w:rPr>
                <w:rFonts w:eastAsia="Times New Roman" w:cs="Arial"/>
                <w:bCs/>
                <w:sz w:val="19"/>
                <w:szCs w:val="19"/>
              </w:rPr>
            </w:pPr>
            <w:r w:rsidRPr="000601E2">
              <w:rPr>
                <w:rFonts w:eastAsia="Times New Roman" w:cs="Arial"/>
                <w:bCs/>
                <w:sz w:val="19"/>
                <w:szCs w:val="19"/>
              </w:rPr>
              <w:t>Neto (kupovina) imovine raspoložive za prodaju</w:t>
            </w:r>
          </w:p>
        </w:tc>
        <w:tc>
          <w:tcPr>
            <w:tcW w:w="1252" w:type="dxa"/>
            <w:tcBorders>
              <w:top w:val="nil"/>
              <w:left w:val="nil"/>
              <w:bottom w:val="nil"/>
              <w:right w:val="nil"/>
            </w:tcBorders>
            <w:shd w:val="clear" w:color="000000" w:fill="auto"/>
            <w:vAlign w:val="bottom"/>
          </w:tcPr>
          <w:p w14:paraId="4978298A" w14:textId="76367EB1" w:rsidR="001B316F" w:rsidRPr="000601E2" w:rsidRDefault="00553A21" w:rsidP="001B316F">
            <w:pPr>
              <w:keepLines/>
              <w:tabs>
                <w:tab w:val="right" w:pos="1202"/>
              </w:tabs>
              <w:spacing w:after="0" w:line="240" w:lineRule="auto"/>
              <w:jc w:val="right"/>
              <w:outlineLvl w:val="0"/>
              <w:rPr>
                <w:rFonts w:eastAsia="Times New Roman" w:cs="Arial"/>
                <w:bCs/>
                <w:sz w:val="19"/>
                <w:szCs w:val="19"/>
              </w:rPr>
            </w:pPr>
            <w:r>
              <w:rPr>
                <w:rFonts w:eastAsia="Times New Roman" w:cs="Arial"/>
                <w:bCs/>
                <w:sz w:val="19"/>
                <w:szCs w:val="19"/>
              </w:rPr>
              <w:t>(941.243)</w:t>
            </w:r>
          </w:p>
        </w:tc>
        <w:tc>
          <w:tcPr>
            <w:tcW w:w="1252" w:type="dxa"/>
            <w:tcBorders>
              <w:top w:val="nil"/>
              <w:left w:val="nil"/>
              <w:bottom w:val="nil"/>
              <w:right w:val="nil"/>
            </w:tcBorders>
            <w:shd w:val="clear" w:color="000000" w:fill="auto"/>
            <w:vAlign w:val="bottom"/>
          </w:tcPr>
          <w:p w14:paraId="21DE6EEC" w14:textId="047E2B20" w:rsidR="001B316F" w:rsidRPr="000601E2" w:rsidRDefault="001B316F" w:rsidP="001B316F">
            <w:pPr>
              <w:keepLines/>
              <w:tabs>
                <w:tab w:val="right" w:pos="1202"/>
              </w:tabs>
              <w:spacing w:after="0" w:line="240" w:lineRule="auto"/>
              <w:jc w:val="right"/>
              <w:outlineLvl w:val="0"/>
              <w:rPr>
                <w:rFonts w:eastAsia="Times New Roman" w:cs="Arial"/>
                <w:bCs/>
                <w:sz w:val="19"/>
                <w:szCs w:val="19"/>
              </w:rPr>
            </w:pPr>
            <w:r>
              <w:rPr>
                <w:rFonts w:eastAsia="Times New Roman" w:cs="Arial"/>
                <w:bCs/>
                <w:sz w:val="19"/>
                <w:szCs w:val="19"/>
              </w:rPr>
              <w:t>(1.460.805)</w:t>
            </w:r>
          </w:p>
        </w:tc>
      </w:tr>
      <w:tr w:rsidR="001B316F" w:rsidRPr="000601E2" w14:paraId="2334FFFD" w14:textId="77777777" w:rsidTr="001B316F">
        <w:tc>
          <w:tcPr>
            <w:tcW w:w="7231" w:type="dxa"/>
          </w:tcPr>
          <w:p w14:paraId="01D9B28A" w14:textId="77777777" w:rsidR="001B316F" w:rsidRPr="000601E2" w:rsidRDefault="001B316F" w:rsidP="001B316F">
            <w:pPr>
              <w:keepLines/>
              <w:tabs>
                <w:tab w:val="right" w:pos="1202"/>
              </w:tabs>
              <w:spacing w:after="0" w:line="240" w:lineRule="auto"/>
              <w:outlineLvl w:val="0"/>
              <w:rPr>
                <w:rFonts w:eastAsia="Times New Roman" w:cs="Arial"/>
                <w:spacing w:val="-2"/>
                <w:sz w:val="19"/>
                <w:szCs w:val="19"/>
              </w:rPr>
            </w:pPr>
            <w:r w:rsidRPr="000601E2">
              <w:rPr>
                <w:rFonts w:eastAsia="Times New Roman" w:cs="Arial"/>
                <w:sz w:val="19"/>
                <w:szCs w:val="19"/>
              </w:rPr>
              <w:t xml:space="preserve">Prodaja </w:t>
            </w:r>
            <w:r w:rsidRPr="000601E2">
              <w:rPr>
                <w:rFonts w:eastAsia="Times New Roman" w:cs="Arial"/>
                <w:spacing w:val="-2"/>
                <w:sz w:val="19"/>
                <w:szCs w:val="19"/>
              </w:rPr>
              <w:t>imovine raspoložive za prodaju</w:t>
            </w:r>
          </w:p>
        </w:tc>
        <w:tc>
          <w:tcPr>
            <w:tcW w:w="1252" w:type="dxa"/>
            <w:tcBorders>
              <w:top w:val="nil"/>
              <w:left w:val="nil"/>
              <w:bottom w:val="nil"/>
              <w:right w:val="nil"/>
            </w:tcBorders>
            <w:shd w:val="clear" w:color="000000" w:fill="auto"/>
            <w:vAlign w:val="bottom"/>
          </w:tcPr>
          <w:p w14:paraId="17A309D0" w14:textId="23A73341" w:rsidR="001B316F" w:rsidRPr="000601E2" w:rsidRDefault="00553A21" w:rsidP="001B316F">
            <w:pPr>
              <w:keepLines/>
              <w:tabs>
                <w:tab w:val="right" w:pos="1202"/>
              </w:tabs>
              <w:spacing w:after="0" w:line="240" w:lineRule="auto"/>
              <w:jc w:val="right"/>
              <w:outlineLvl w:val="0"/>
              <w:rPr>
                <w:rFonts w:eastAsia="Times New Roman" w:cs="Arial"/>
                <w:spacing w:val="-2"/>
                <w:sz w:val="19"/>
                <w:szCs w:val="19"/>
              </w:rPr>
            </w:pPr>
            <w:r>
              <w:rPr>
                <w:rFonts w:eastAsia="Times New Roman" w:cs="Arial"/>
                <w:spacing w:val="-2"/>
                <w:sz w:val="19"/>
                <w:szCs w:val="19"/>
              </w:rPr>
              <w:t>1.215.201</w:t>
            </w:r>
          </w:p>
        </w:tc>
        <w:tc>
          <w:tcPr>
            <w:tcW w:w="1252" w:type="dxa"/>
            <w:tcBorders>
              <w:top w:val="nil"/>
              <w:left w:val="nil"/>
              <w:bottom w:val="nil"/>
              <w:right w:val="nil"/>
            </w:tcBorders>
            <w:shd w:val="clear" w:color="000000" w:fill="auto"/>
            <w:vAlign w:val="bottom"/>
          </w:tcPr>
          <w:p w14:paraId="64BC3473" w14:textId="4C313050" w:rsidR="001B316F" w:rsidRPr="000601E2" w:rsidRDefault="001B316F" w:rsidP="001B316F">
            <w:pPr>
              <w:keepLines/>
              <w:tabs>
                <w:tab w:val="right" w:pos="1202"/>
              </w:tabs>
              <w:spacing w:after="0" w:line="240" w:lineRule="auto"/>
              <w:jc w:val="right"/>
              <w:outlineLvl w:val="0"/>
              <w:rPr>
                <w:rFonts w:eastAsia="Times New Roman" w:cs="Arial"/>
                <w:spacing w:val="-2"/>
                <w:sz w:val="19"/>
                <w:szCs w:val="19"/>
              </w:rPr>
            </w:pPr>
            <w:r>
              <w:rPr>
                <w:rFonts w:eastAsia="Times New Roman" w:cs="Arial"/>
                <w:spacing w:val="-2"/>
                <w:sz w:val="19"/>
                <w:szCs w:val="19"/>
              </w:rPr>
              <w:t>863.825</w:t>
            </w:r>
          </w:p>
        </w:tc>
      </w:tr>
      <w:tr w:rsidR="001B316F" w:rsidRPr="000601E2" w14:paraId="352A2D0E" w14:textId="77777777" w:rsidTr="001B316F">
        <w:tc>
          <w:tcPr>
            <w:tcW w:w="7231" w:type="dxa"/>
          </w:tcPr>
          <w:p w14:paraId="434D4914" w14:textId="77777777" w:rsidR="001B316F" w:rsidRPr="000601E2" w:rsidRDefault="001B316F" w:rsidP="001B316F">
            <w:pPr>
              <w:keepLines/>
              <w:tabs>
                <w:tab w:val="right" w:pos="1202"/>
              </w:tabs>
              <w:spacing w:after="0" w:line="240" w:lineRule="auto"/>
              <w:outlineLvl w:val="0"/>
              <w:rPr>
                <w:rFonts w:eastAsia="Times New Roman" w:cs="Arial"/>
                <w:spacing w:val="-2"/>
                <w:sz w:val="19"/>
                <w:szCs w:val="19"/>
              </w:rPr>
            </w:pPr>
            <w:r w:rsidRPr="000601E2">
              <w:rPr>
                <w:rFonts w:eastAsia="Times New Roman" w:cs="Arial"/>
                <w:spacing w:val="-2"/>
                <w:sz w:val="19"/>
                <w:szCs w:val="19"/>
              </w:rPr>
              <w:t>Neto (nabava) nekretnina, postrojenja i opreme i nematerijalne imovine</w:t>
            </w:r>
          </w:p>
        </w:tc>
        <w:tc>
          <w:tcPr>
            <w:tcW w:w="1252" w:type="dxa"/>
            <w:vAlign w:val="bottom"/>
          </w:tcPr>
          <w:p w14:paraId="06F958A4" w14:textId="588139C5" w:rsidR="001B316F" w:rsidRPr="000601E2" w:rsidRDefault="00553A21" w:rsidP="00D96540">
            <w:pPr>
              <w:keepLines/>
              <w:spacing w:after="0" w:line="240" w:lineRule="auto"/>
              <w:jc w:val="right"/>
              <w:rPr>
                <w:rFonts w:eastAsia="Times New Roman" w:cs="Arial"/>
                <w:spacing w:val="-2"/>
                <w:sz w:val="19"/>
                <w:szCs w:val="19"/>
              </w:rPr>
            </w:pPr>
            <w:r>
              <w:rPr>
                <w:rFonts w:eastAsia="Times New Roman" w:cs="Arial"/>
                <w:spacing w:val="-2"/>
                <w:sz w:val="19"/>
                <w:szCs w:val="19"/>
              </w:rPr>
              <w:t>(1.8</w:t>
            </w:r>
            <w:r w:rsidR="000C1EA4">
              <w:rPr>
                <w:rFonts w:eastAsia="Times New Roman" w:cs="Arial"/>
                <w:spacing w:val="-2"/>
                <w:sz w:val="19"/>
                <w:szCs w:val="19"/>
              </w:rPr>
              <w:t>14</w:t>
            </w:r>
            <w:r>
              <w:rPr>
                <w:rFonts w:eastAsia="Times New Roman" w:cs="Arial"/>
                <w:spacing w:val="-2"/>
                <w:sz w:val="19"/>
                <w:szCs w:val="19"/>
              </w:rPr>
              <w:t>)</w:t>
            </w:r>
          </w:p>
        </w:tc>
        <w:tc>
          <w:tcPr>
            <w:tcW w:w="1252" w:type="dxa"/>
            <w:vAlign w:val="bottom"/>
          </w:tcPr>
          <w:p w14:paraId="26CA2CEC" w14:textId="10AC1B05" w:rsidR="001B316F" w:rsidRPr="000601E2" w:rsidRDefault="001B316F" w:rsidP="001B316F">
            <w:pPr>
              <w:keepLines/>
              <w:spacing w:after="0" w:line="240" w:lineRule="auto"/>
              <w:jc w:val="right"/>
              <w:rPr>
                <w:rFonts w:eastAsia="Times New Roman" w:cs="Arial"/>
                <w:spacing w:val="-2"/>
                <w:sz w:val="19"/>
                <w:szCs w:val="19"/>
              </w:rPr>
            </w:pPr>
            <w:r>
              <w:rPr>
                <w:rFonts w:eastAsia="Times New Roman" w:cs="Arial"/>
                <w:spacing w:val="-2"/>
                <w:sz w:val="19"/>
                <w:szCs w:val="19"/>
              </w:rPr>
              <w:t>(515)</w:t>
            </w:r>
          </w:p>
        </w:tc>
      </w:tr>
      <w:tr w:rsidR="001B316F" w:rsidRPr="000601E2" w14:paraId="45BF5D9B" w14:textId="77777777" w:rsidTr="001B316F">
        <w:trPr>
          <w:trHeight w:hRule="exact" w:val="113"/>
        </w:trPr>
        <w:tc>
          <w:tcPr>
            <w:tcW w:w="7231" w:type="dxa"/>
            <w:tcBorders>
              <w:bottom w:val="single" w:sz="2" w:space="0" w:color="auto"/>
            </w:tcBorders>
          </w:tcPr>
          <w:p w14:paraId="2E0F4B54" w14:textId="77777777" w:rsidR="001B316F" w:rsidRPr="000601E2" w:rsidRDefault="001B316F" w:rsidP="001B316F">
            <w:pPr>
              <w:keepLines/>
              <w:spacing w:after="0" w:line="240" w:lineRule="auto"/>
              <w:ind w:right="731"/>
              <w:jc w:val="right"/>
              <w:rPr>
                <w:rFonts w:eastAsia="Times New Roman" w:cs="Arial"/>
                <w:b/>
                <w:position w:val="4"/>
                <w:sz w:val="19"/>
                <w:szCs w:val="19"/>
              </w:rPr>
            </w:pPr>
          </w:p>
        </w:tc>
        <w:tc>
          <w:tcPr>
            <w:tcW w:w="1252" w:type="dxa"/>
            <w:tcBorders>
              <w:bottom w:val="single" w:sz="2" w:space="0" w:color="auto"/>
            </w:tcBorders>
          </w:tcPr>
          <w:p w14:paraId="1BC995CE" w14:textId="77777777" w:rsidR="001B316F" w:rsidRPr="000601E2" w:rsidRDefault="001B316F" w:rsidP="001B316F">
            <w:pPr>
              <w:keepLines/>
              <w:spacing w:after="0" w:line="240" w:lineRule="auto"/>
              <w:jc w:val="right"/>
              <w:rPr>
                <w:rFonts w:eastAsia="Times New Roman" w:cs="Arial"/>
                <w:spacing w:val="-2"/>
                <w:position w:val="4"/>
                <w:sz w:val="19"/>
                <w:szCs w:val="19"/>
              </w:rPr>
            </w:pPr>
          </w:p>
        </w:tc>
        <w:tc>
          <w:tcPr>
            <w:tcW w:w="1252" w:type="dxa"/>
            <w:tcBorders>
              <w:bottom w:val="single" w:sz="2" w:space="0" w:color="auto"/>
            </w:tcBorders>
          </w:tcPr>
          <w:p w14:paraId="1F84D3D5" w14:textId="77777777" w:rsidR="001B316F" w:rsidRPr="000601E2" w:rsidRDefault="001B316F" w:rsidP="001B316F">
            <w:pPr>
              <w:keepLines/>
              <w:spacing w:after="0" w:line="240" w:lineRule="auto"/>
              <w:jc w:val="right"/>
              <w:rPr>
                <w:rFonts w:eastAsia="Times New Roman" w:cs="Arial"/>
                <w:spacing w:val="-2"/>
                <w:position w:val="4"/>
                <w:sz w:val="19"/>
                <w:szCs w:val="19"/>
              </w:rPr>
            </w:pPr>
          </w:p>
        </w:tc>
      </w:tr>
      <w:tr w:rsidR="001B316F" w:rsidRPr="000601E2" w14:paraId="6CA22376" w14:textId="77777777" w:rsidTr="001B316F">
        <w:trPr>
          <w:trHeight w:val="235"/>
        </w:trPr>
        <w:tc>
          <w:tcPr>
            <w:tcW w:w="7231" w:type="dxa"/>
            <w:tcBorders>
              <w:top w:val="single" w:sz="2" w:space="0" w:color="auto"/>
              <w:bottom w:val="single" w:sz="12" w:space="0" w:color="auto"/>
            </w:tcBorders>
            <w:vAlign w:val="center"/>
          </w:tcPr>
          <w:p w14:paraId="5976EB3C" w14:textId="4E094DE6" w:rsidR="001B316F" w:rsidRPr="000601E2" w:rsidRDefault="001B316F" w:rsidP="001B316F">
            <w:pPr>
              <w:keepLines/>
              <w:tabs>
                <w:tab w:val="right" w:pos="1202"/>
              </w:tabs>
              <w:spacing w:after="0" w:line="240" w:lineRule="auto"/>
              <w:outlineLvl w:val="0"/>
              <w:rPr>
                <w:rFonts w:eastAsia="Times New Roman" w:cs="Arial"/>
                <w:b/>
                <w:bCs/>
                <w:sz w:val="19"/>
                <w:szCs w:val="19"/>
              </w:rPr>
            </w:pPr>
            <w:r w:rsidRPr="000601E2">
              <w:rPr>
                <w:rFonts w:eastAsia="Times New Roman" w:cs="Arial"/>
                <w:b/>
                <w:bCs/>
                <w:sz w:val="19"/>
                <w:szCs w:val="19"/>
              </w:rPr>
              <w:t>Neto novčana sredstva</w:t>
            </w:r>
            <w:r w:rsidR="001245E7">
              <w:rPr>
                <w:rFonts w:eastAsia="Times New Roman" w:cs="Arial"/>
                <w:b/>
                <w:bCs/>
                <w:sz w:val="19"/>
                <w:szCs w:val="19"/>
              </w:rPr>
              <w:t xml:space="preserve"> ostvarena/</w:t>
            </w:r>
            <w:r w:rsidRPr="000601E2">
              <w:rPr>
                <w:rFonts w:eastAsia="Times New Roman" w:cs="Arial"/>
                <w:b/>
                <w:bCs/>
                <w:sz w:val="19"/>
                <w:szCs w:val="19"/>
              </w:rPr>
              <w:t xml:space="preserve">(uporabljena) u </w:t>
            </w:r>
            <w:proofErr w:type="spellStart"/>
            <w:r w:rsidRPr="000601E2">
              <w:rPr>
                <w:rFonts w:eastAsia="Times New Roman" w:cs="Arial"/>
                <w:b/>
                <w:bCs/>
                <w:sz w:val="19"/>
                <w:szCs w:val="19"/>
              </w:rPr>
              <w:t>ulagateljskim</w:t>
            </w:r>
            <w:proofErr w:type="spellEnd"/>
            <w:r w:rsidRPr="000601E2">
              <w:rPr>
                <w:rFonts w:eastAsia="Times New Roman" w:cs="Arial"/>
                <w:b/>
                <w:bCs/>
                <w:sz w:val="19"/>
                <w:szCs w:val="19"/>
              </w:rPr>
              <w:t xml:space="preserve"> aktivnostima</w:t>
            </w:r>
          </w:p>
        </w:tc>
        <w:tc>
          <w:tcPr>
            <w:tcW w:w="1252" w:type="dxa"/>
            <w:tcBorders>
              <w:top w:val="single" w:sz="2" w:space="0" w:color="auto"/>
              <w:bottom w:val="single" w:sz="12" w:space="0" w:color="auto"/>
            </w:tcBorders>
            <w:vAlign w:val="bottom"/>
          </w:tcPr>
          <w:p w14:paraId="422B342A" w14:textId="3ABE1FB3" w:rsidR="001B316F" w:rsidRPr="000601E2" w:rsidRDefault="00553A21" w:rsidP="001B316F">
            <w:pPr>
              <w:spacing w:after="0" w:line="240" w:lineRule="auto"/>
              <w:jc w:val="right"/>
              <w:rPr>
                <w:rFonts w:eastAsia="Times New Roman" w:cs="Arial"/>
                <w:b/>
                <w:bCs/>
                <w:spacing w:val="-2"/>
                <w:sz w:val="19"/>
                <w:szCs w:val="19"/>
              </w:rPr>
            </w:pPr>
            <w:r>
              <w:rPr>
                <w:rFonts w:eastAsia="Times New Roman" w:cs="Arial"/>
                <w:b/>
                <w:bCs/>
                <w:spacing w:val="-2"/>
                <w:sz w:val="19"/>
                <w:szCs w:val="19"/>
              </w:rPr>
              <w:t>272.144</w:t>
            </w:r>
          </w:p>
        </w:tc>
        <w:tc>
          <w:tcPr>
            <w:tcW w:w="1252" w:type="dxa"/>
            <w:tcBorders>
              <w:top w:val="single" w:sz="2" w:space="0" w:color="auto"/>
              <w:bottom w:val="single" w:sz="12" w:space="0" w:color="auto"/>
            </w:tcBorders>
            <w:vAlign w:val="bottom"/>
          </w:tcPr>
          <w:p w14:paraId="0E7D0128" w14:textId="285F375D" w:rsidR="001B316F" w:rsidRPr="000601E2" w:rsidRDefault="001B316F" w:rsidP="001B316F">
            <w:pPr>
              <w:spacing w:after="0" w:line="240" w:lineRule="auto"/>
              <w:jc w:val="right"/>
              <w:rPr>
                <w:rFonts w:eastAsia="Times New Roman" w:cs="Arial"/>
                <w:b/>
                <w:bCs/>
                <w:spacing w:val="-2"/>
                <w:sz w:val="19"/>
                <w:szCs w:val="19"/>
              </w:rPr>
            </w:pPr>
            <w:r>
              <w:rPr>
                <w:rFonts w:eastAsia="Times New Roman" w:cs="Arial"/>
                <w:b/>
                <w:bCs/>
                <w:spacing w:val="-2"/>
                <w:sz w:val="19"/>
                <w:szCs w:val="19"/>
              </w:rPr>
              <w:t>(598.244)</w:t>
            </w:r>
          </w:p>
        </w:tc>
      </w:tr>
      <w:tr w:rsidR="001B316F" w:rsidRPr="000601E2" w14:paraId="15B872F6" w14:textId="77777777" w:rsidTr="001B316F">
        <w:trPr>
          <w:trHeight w:hRule="exact" w:val="113"/>
        </w:trPr>
        <w:tc>
          <w:tcPr>
            <w:tcW w:w="7231" w:type="dxa"/>
            <w:tcBorders>
              <w:top w:val="single" w:sz="12" w:space="0" w:color="auto"/>
            </w:tcBorders>
            <w:vAlign w:val="bottom"/>
          </w:tcPr>
          <w:p w14:paraId="23374E18" w14:textId="77777777" w:rsidR="001B316F" w:rsidRPr="000601E2" w:rsidRDefault="001B316F" w:rsidP="001B316F">
            <w:pPr>
              <w:keepLines/>
              <w:tabs>
                <w:tab w:val="decimal" w:pos="1202"/>
              </w:tabs>
              <w:spacing w:after="0" w:line="240" w:lineRule="auto"/>
              <w:rPr>
                <w:rFonts w:eastAsia="Times New Roman" w:cs="Arial"/>
                <w:b/>
                <w:position w:val="4"/>
                <w:sz w:val="19"/>
                <w:szCs w:val="19"/>
                <w:u w:val="thick"/>
              </w:rPr>
            </w:pPr>
          </w:p>
        </w:tc>
        <w:tc>
          <w:tcPr>
            <w:tcW w:w="1252" w:type="dxa"/>
            <w:tcBorders>
              <w:top w:val="single" w:sz="12" w:space="0" w:color="auto"/>
            </w:tcBorders>
          </w:tcPr>
          <w:p w14:paraId="1BBBBBAC" w14:textId="77777777" w:rsidR="001B316F" w:rsidRPr="000601E2" w:rsidRDefault="001B316F" w:rsidP="001B316F">
            <w:pPr>
              <w:keepLines/>
              <w:spacing w:after="0" w:line="240" w:lineRule="auto"/>
              <w:jc w:val="right"/>
              <w:rPr>
                <w:rFonts w:eastAsia="Times New Roman" w:cs="Arial"/>
                <w:b/>
                <w:position w:val="4"/>
                <w:sz w:val="19"/>
                <w:szCs w:val="19"/>
                <w:u w:val="thick"/>
              </w:rPr>
            </w:pPr>
          </w:p>
        </w:tc>
        <w:tc>
          <w:tcPr>
            <w:tcW w:w="1252" w:type="dxa"/>
            <w:tcBorders>
              <w:top w:val="single" w:sz="12" w:space="0" w:color="auto"/>
            </w:tcBorders>
          </w:tcPr>
          <w:p w14:paraId="0C1B7DDE" w14:textId="77777777" w:rsidR="001B316F" w:rsidRPr="000601E2" w:rsidRDefault="001B316F" w:rsidP="001B316F">
            <w:pPr>
              <w:keepLines/>
              <w:spacing w:after="0" w:line="240" w:lineRule="auto"/>
              <w:jc w:val="right"/>
              <w:rPr>
                <w:rFonts w:eastAsia="Times New Roman" w:cs="Arial"/>
                <w:b/>
                <w:position w:val="4"/>
                <w:sz w:val="19"/>
                <w:szCs w:val="19"/>
                <w:u w:val="thick"/>
              </w:rPr>
            </w:pPr>
          </w:p>
        </w:tc>
      </w:tr>
      <w:tr w:rsidR="001B316F" w:rsidRPr="000601E2" w14:paraId="6877B3A4" w14:textId="77777777" w:rsidTr="001B316F">
        <w:tc>
          <w:tcPr>
            <w:tcW w:w="7231" w:type="dxa"/>
          </w:tcPr>
          <w:p w14:paraId="601EFB84" w14:textId="77777777" w:rsidR="001B316F" w:rsidRPr="000601E2" w:rsidRDefault="001B316F" w:rsidP="001B316F">
            <w:pPr>
              <w:keepLines/>
              <w:tabs>
                <w:tab w:val="right" w:pos="1202"/>
              </w:tabs>
              <w:spacing w:after="0" w:line="240" w:lineRule="auto"/>
              <w:outlineLvl w:val="0"/>
              <w:rPr>
                <w:rFonts w:eastAsia="Times New Roman" w:cs="Arial"/>
                <w:b/>
                <w:bCs/>
                <w:spacing w:val="-3"/>
                <w:sz w:val="19"/>
                <w:szCs w:val="19"/>
              </w:rPr>
            </w:pPr>
            <w:r w:rsidRPr="000601E2">
              <w:rPr>
                <w:rFonts w:eastAsia="Times New Roman" w:cs="Arial"/>
                <w:b/>
                <w:bCs/>
                <w:sz w:val="19"/>
                <w:szCs w:val="19"/>
              </w:rPr>
              <w:t>Financijske aktivnosti</w:t>
            </w:r>
          </w:p>
        </w:tc>
        <w:tc>
          <w:tcPr>
            <w:tcW w:w="1252" w:type="dxa"/>
          </w:tcPr>
          <w:p w14:paraId="1FA3E0FB" w14:textId="7149192E" w:rsidR="001B316F" w:rsidRPr="000601E2" w:rsidRDefault="001B316F" w:rsidP="001B316F">
            <w:pPr>
              <w:keepLines/>
              <w:tabs>
                <w:tab w:val="right" w:pos="1202"/>
              </w:tabs>
              <w:spacing w:after="0" w:line="240" w:lineRule="auto"/>
              <w:jc w:val="right"/>
              <w:outlineLvl w:val="0"/>
              <w:rPr>
                <w:rFonts w:eastAsia="Times New Roman" w:cs="Arial"/>
                <w:b/>
                <w:bCs/>
                <w:sz w:val="19"/>
                <w:szCs w:val="19"/>
              </w:rPr>
            </w:pPr>
          </w:p>
        </w:tc>
        <w:tc>
          <w:tcPr>
            <w:tcW w:w="1252" w:type="dxa"/>
          </w:tcPr>
          <w:p w14:paraId="6CFAB17B" w14:textId="77777777" w:rsidR="001B316F" w:rsidRPr="000601E2" w:rsidRDefault="001B316F" w:rsidP="001B316F">
            <w:pPr>
              <w:keepLines/>
              <w:tabs>
                <w:tab w:val="right" w:pos="1202"/>
              </w:tabs>
              <w:spacing w:after="0" w:line="240" w:lineRule="auto"/>
              <w:jc w:val="right"/>
              <w:outlineLvl w:val="0"/>
              <w:rPr>
                <w:rFonts w:eastAsia="Times New Roman" w:cs="Arial"/>
                <w:b/>
                <w:bCs/>
                <w:sz w:val="19"/>
                <w:szCs w:val="19"/>
              </w:rPr>
            </w:pPr>
          </w:p>
        </w:tc>
      </w:tr>
      <w:tr w:rsidR="001B316F" w:rsidRPr="000601E2" w14:paraId="76BCCDB5" w14:textId="77777777" w:rsidTr="001B316F">
        <w:tc>
          <w:tcPr>
            <w:tcW w:w="7231" w:type="dxa"/>
          </w:tcPr>
          <w:p w14:paraId="53339370" w14:textId="77777777" w:rsidR="001B316F" w:rsidRPr="000601E2" w:rsidRDefault="001B316F" w:rsidP="001B316F">
            <w:pPr>
              <w:pStyle w:val="TT"/>
              <w:keepLines/>
              <w:spacing w:line="220" w:lineRule="exact"/>
              <w:rPr>
                <w:rFonts w:asciiTheme="minorHAnsi" w:hAnsiTheme="minorHAnsi" w:cs="Calibri"/>
                <w:spacing w:val="-3"/>
                <w:szCs w:val="19"/>
                <w:lang w:val="hr-HR"/>
              </w:rPr>
            </w:pPr>
            <w:r w:rsidRPr="000601E2">
              <w:rPr>
                <w:rFonts w:asciiTheme="minorHAnsi" w:hAnsiTheme="minorHAnsi" w:cs="Calibri"/>
                <w:spacing w:val="-3"/>
                <w:szCs w:val="19"/>
                <w:lang w:val="hr-HR"/>
              </w:rPr>
              <w:t>Povećanje osnivačkog kapitala</w:t>
            </w:r>
          </w:p>
        </w:tc>
        <w:tc>
          <w:tcPr>
            <w:tcW w:w="1252" w:type="dxa"/>
            <w:tcBorders>
              <w:top w:val="nil"/>
              <w:left w:val="nil"/>
              <w:bottom w:val="nil"/>
              <w:right w:val="nil"/>
            </w:tcBorders>
            <w:shd w:val="clear" w:color="auto" w:fill="auto"/>
            <w:vAlign w:val="bottom"/>
          </w:tcPr>
          <w:p w14:paraId="7CAC0900" w14:textId="774C2035" w:rsidR="001B316F" w:rsidRPr="000601E2" w:rsidRDefault="00553A21" w:rsidP="001B316F">
            <w:pPr>
              <w:keepLines/>
              <w:tabs>
                <w:tab w:val="right" w:pos="1202"/>
              </w:tabs>
              <w:spacing w:after="0" w:line="240" w:lineRule="auto"/>
              <w:jc w:val="right"/>
              <w:outlineLvl w:val="0"/>
              <w:rPr>
                <w:rFonts w:eastAsia="Times New Roman" w:cs="Arial"/>
                <w:spacing w:val="-2"/>
                <w:sz w:val="19"/>
                <w:szCs w:val="19"/>
              </w:rPr>
            </w:pPr>
            <w:r>
              <w:rPr>
                <w:rFonts w:eastAsia="Times New Roman" w:cs="Arial"/>
                <w:spacing w:val="-2"/>
                <w:sz w:val="19"/>
                <w:szCs w:val="19"/>
              </w:rPr>
              <w:t>-</w:t>
            </w:r>
          </w:p>
        </w:tc>
        <w:tc>
          <w:tcPr>
            <w:tcW w:w="1252" w:type="dxa"/>
            <w:tcBorders>
              <w:top w:val="nil"/>
              <w:left w:val="nil"/>
              <w:bottom w:val="nil"/>
              <w:right w:val="nil"/>
            </w:tcBorders>
            <w:shd w:val="clear" w:color="auto" w:fill="auto"/>
            <w:vAlign w:val="bottom"/>
          </w:tcPr>
          <w:p w14:paraId="6EE2329E" w14:textId="700579FE" w:rsidR="001B316F" w:rsidRPr="000601E2" w:rsidRDefault="001B316F" w:rsidP="001B316F">
            <w:pPr>
              <w:keepLines/>
              <w:tabs>
                <w:tab w:val="right" w:pos="1202"/>
              </w:tabs>
              <w:spacing w:after="0" w:line="240" w:lineRule="auto"/>
              <w:jc w:val="right"/>
              <w:outlineLvl w:val="0"/>
              <w:rPr>
                <w:rFonts w:eastAsia="Times New Roman" w:cs="Arial"/>
                <w:spacing w:val="-2"/>
                <w:sz w:val="19"/>
                <w:szCs w:val="19"/>
              </w:rPr>
            </w:pPr>
            <w:r>
              <w:rPr>
                <w:rFonts w:eastAsia="Times New Roman" w:cs="Arial"/>
                <w:spacing w:val="-2"/>
                <w:sz w:val="19"/>
                <w:szCs w:val="19"/>
              </w:rPr>
              <w:t>-</w:t>
            </w:r>
          </w:p>
        </w:tc>
      </w:tr>
      <w:tr w:rsidR="001B316F" w:rsidRPr="000601E2" w14:paraId="4222F6F6" w14:textId="77777777" w:rsidTr="001B316F">
        <w:tc>
          <w:tcPr>
            <w:tcW w:w="7231" w:type="dxa"/>
          </w:tcPr>
          <w:p w14:paraId="442C91C3" w14:textId="77777777" w:rsidR="001B316F" w:rsidRPr="000601E2" w:rsidRDefault="001B316F" w:rsidP="001B316F">
            <w:pPr>
              <w:keepLines/>
              <w:tabs>
                <w:tab w:val="right" w:pos="1202"/>
              </w:tabs>
              <w:spacing w:after="0" w:line="240" w:lineRule="auto"/>
              <w:outlineLvl w:val="0"/>
              <w:rPr>
                <w:rFonts w:eastAsia="Times New Roman" w:cs="Arial"/>
                <w:spacing w:val="-3"/>
                <w:sz w:val="19"/>
                <w:szCs w:val="19"/>
              </w:rPr>
            </w:pPr>
            <w:r w:rsidRPr="000601E2">
              <w:rPr>
                <w:rFonts w:eastAsia="Times New Roman" w:cs="Arial"/>
                <w:spacing w:val="-3"/>
                <w:sz w:val="19"/>
                <w:szCs w:val="19"/>
              </w:rPr>
              <w:t>Povećanje obveza po kreditima povlačenjem sredstava kredita</w:t>
            </w:r>
          </w:p>
        </w:tc>
        <w:tc>
          <w:tcPr>
            <w:tcW w:w="1252" w:type="dxa"/>
            <w:tcBorders>
              <w:top w:val="nil"/>
              <w:left w:val="nil"/>
              <w:bottom w:val="nil"/>
              <w:right w:val="nil"/>
            </w:tcBorders>
            <w:shd w:val="clear" w:color="auto" w:fill="auto"/>
            <w:vAlign w:val="bottom"/>
          </w:tcPr>
          <w:p w14:paraId="7CE0CD2A" w14:textId="3E7C9188" w:rsidR="001B316F" w:rsidRPr="000601E2" w:rsidRDefault="00553A21" w:rsidP="001B316F">
            <w:pPr>
              <w:keepLines/>
              <w:tabs>
                <w:tab w:val="right" w:pos="1202"/>
              </w:tabs>
              <w:spacing w:after="0" w:line="240" w:lineRule="auto"/>
              <w:jc w:val="right"/>
              <w:outlineLvl w:val="0"/>
              <w:rPr>
                <w:rFonts w:eastAsia="Times New Roman" w:cs="Arial"/>
                <w:spacing w:val="-2"/>
                <w:sz w:val="19"/>
                <w:szCs w:val="19"/>
              </w:rPr>
            </w:pPr>
            <w:r>
              <w:rPr>
                <w:rFonts w:eastAsia="Times New Roman" w:cs="Arial"/>
                <w:spacing w:val="-2"/>
                <w:sz w:val="19"/>
                <w:szCs w:val="19"/>
              </w:rPr>
              <w:t>3.154.491</w:t>
            </w:r>
          </w:p>
        </w:tc>
        <w:tc>
          <w:tcPr>
            <w:tcW w:w="1252" w:type="dxa"/>
            <w:tcBorders>
              <w:top w:val="nil"/>
              <w:left w:val="nil"/>
              <w:bottom w:val="nil"/>
              <w:right w:val="nil"/>
            </w:tcBorders>
            <w:shd w:val="clear" w:color="auto" w:fill="auto"/>
            <w:vAlign w:val="bottom"/>
          </w:tcPr>
          <w:p w14:paraId="572BB09A" w14:textId="52D0178E" w:rsidR="001B316F" w:rsidRPr="000601E2" w:rsidRDefault="001B316F" w:rsidP="001B316F">
            <w:pPr>
              <w:keepLines/>
              <w:tabs>
                <w:tab w:val="right" w:pos="1202"/>
              </w:tabs>
              <w:spacing w:after="0" w:line="240" w:lineRule="auto"/>
              <w:jc w:val="right"/>
              <w:outlineLvl w:val="0"/>
              <w:rPr>
                <w:rFonts w:eastAsia="Times New Roman" w:cs="Arial"/>
                <w:spacing w:val="-2"/>
                <w:sz w:val="19"/>
                <w:szCs w:val="19"/>
              </w:rPr>
            </w:pPr>
            <w:r>
              <w:rPr>
                <w:rFonts w:eastAsia="Times New Roman" w:cs="Arial"/>
                <w:spacing w:val="-2"/>
                <w:sz w:val="19"/>
                <w:szCs w:val="19"/>
              </w:rPr>
              <w:t>1.102.744</w:t>
            </w:r>
          </w:p>
        </w:tc>
      </w:tr>
      <w:tr w:rsidR="001B316F" w:rsidRPr="000601E2" w14:paraId="4EC1EAC7" w14:textId="77777777" w:rsidTr="001B316F">
        <w:tc>
          <w:tcPr>
            <w:tcW w:w="7231" w:type="dxa"/>
          </w:tcPr>
          <w:p w14:paraId="52690E3D" w14:textId="77777777" w:rsidR="001B316F" w:rsidRPr="000601E2" w:rsidRDefault="001B316F" w:rsidP="001B316F">
            <w:pPr>
              <w:keepLines/>
              <w:tabs>
                <w:tab w:val="right" w:pos="1202"/>
              </w:tabs>
              <w:spacing w:after="0" w:line="240" w:lineRule="auto"/>
              <w:outlineLvl w:val="0"/>
              <w:rPr>
                <w:rFonts w:eastAsia="Times New Roman" w:cs="Arial"/>
                <w:spacing w:val="-3"/>
                <w:sz w:val="19"/>
                <w:szCs w:val="19"/>
              </w:rPr>
            </w:pPr>
            <w:r w:rsidRPr="000601E2">
              <w:rPr>
                <w:rFonts w:eastAsia="Times New Roman" w:cs="Arial"/>
                <w:spacing w:val="-3"/>
                <w:sz w:val="19"/>
                <w:szCs w:val="19"/>
              </w:rPr>
              <w:t>(Smanjenje) obveza po kreditima otplatom glavnice kredita</w:t>
            </w:r>
          </w:p>
        </w:tc>
        <w:tc>
          <w:tcPr>
            <w:tcW w:w="1252" w:type="dxa"/>
            <w:tcBorders>
              <w:top w:val="nil"/>
              <w:left w:val="nil"/>
              <w:bottom w:val="nil"/>
              <w:right w:val="nil"/>
            </w:tcBorders>
            <w:shd w:val="clear" w:color="auto" w:fill="auto"/>
            <w:vAlign w:val="bottom"/>
          </w:tcPr>
          <w:p w14:paraId="23540FF5" w14:textId="4BE7E70C" w:rsidR="001B316F" w:rsidRPr="000601E2" w:rsidRDefault="00553A21" w:rsidP="001B316F">
            <w:pPr>
              <w:keepLines/>
              <w:tabs>
                <w:tab w:val="right" w:pos="1202"/>
              </w:tabs>
              <w:spacing w:after="0" w:line="240" w:lineRule="auto"/>
              <w:jc w:val="right"/>
              <w:outlineLvl w:val="0"/>
              <w:rPr>
                <w:rFonts w:eastAsia="Times New Roman" w:cs="Arial"/>
                <w:spacing w:val="-2"/>
                <w:sz w:val="19"/>
                <w:szCs w:val="19"/>
              </w:rPr>
            </w:pPr>
            <w:r>
              <w:rPr>
                <w:rFonts w:eastAsia="Times New Roman" w:cs="Arial"/>
                <w:spacing w:val="-2"/>
                <w:sz w:val="19"/>
                <w:szCs w:val="19"/>
              </w:rPr>
              <w:t>(823.167)</w:t>
            </w:r>
          </w:p>
        </w:tc>
        <w:tc>
          <w:tcPr>
            <w:tcW w:w="1252" w:type="dxa"/>
            <w:tcBorders>
              <w:top w:val="nil"/>
              <w:left w:val="nil"/>
              <w:bottom w:val="nil"/>
              <w:right w:val="nil"/>
            </w:tcBorders>
            <w:shd w:val="clear" w:color="auto" w:fill="auto"/>
            <w:vAlign w:val="bottom"/>
          </w:tcPr>
          <w:p w14:paraId="6AF4DCA7" w14:textId="577B4B1F" w:rsidR="001B316F" w:rsidRPr="000601E2" w:rsidRDefault="001B316F" w:rsidP="001B316F">
            <w:pPr>
              <w:keepLines/>
              <w:tabs>
                <w:tab w:val="right" w:pos="1202"/>
              </w:tabs>
              <w:spacing w:after="0" w:line="240" w:lineRule="auto"/>
              <w:jc w:val="right"/>
              <w:outlineLvl w:val="0"/>
              <w:rPr>
                <w:rFonts w:eastAsia="Times New Roman" w:cs="Arial"/>
                <w:spacing w:val="-2"/>
                <w:sz w:val="19"/>
                <w:szCs w:val="19"/>
              </w:rPr>
            </w:pPr>
            <w:r>
              <w:rPr>
                <w:rFonts w:eastAsia="Times New Roman" w:cs="Arial"/>
                <w:spacing w:val="-2"/>
                <w:sz w:val="19"/>
                <w:szCs w:val="19"/>
              </w:rPr>
              <w:t>(453.307)</w:t>
            </w:r>
          </w:p>
        </w:tc>
      </w:tr>
      <w:tr w:rsidR="00553A21" w:rsidRPr="000601E2" w14:paraId="2FF19F48" w14:textId="77777777" w:rsidTr="001B316F">
        <w:tc>
          <w:tcPr>
            <w:tcW w:w="7231" w:type="dxa"/>
          </w:tcPr>
          <w:p w14:paraId="450A0CD3" w14:textId="31E1B6B3" w:rsidR="00553A21" w:rsidRPr="000601E2" w:rsidRDefault="00D21F0A" w:rsidP="008514E4">
            <w:pPr>
              <w:keepLines/>
              <w:tabs>
                <w:tab w:val="right" w:pos="1202"/>
              </w:tabs>
              <w:spacing w:after="0" w:line="240" w:lineRule="auto"/>
              <w:outlineLvl w:val="0"/>
              <w:rPr>
                <w:rFonts w:eastAsia="Times New Roman" w:cs="Arial"/>
                <w:spacing w:val="-3"/>
                <w:sz w:val="19"/>
                <w:szCs w:val="19"/>
              </w:rPr>
            </w:pPr>
            <w:r>
              <w:rPr>
                <w:rFonts w:eastAsia="Times New Roman" w:cs="Arial"/>
                <w:spacing w:val="-3"/>
                <w:sz w:val="19"/>
                <w:szCs w:val="19"/>
              </w:rPr>
              <w:t>(</w:t>
            </w:r>
            <w:r w:rsidR="00553A21" w:rsidRPr="00553A21">
              <w:rPr>
                <w:rFonts w:eastAsia="Times New Roman" w:cs="Arial"/>
                <w:spacing w:val="-3"/>
                <w:sz w:val="19"/>
                <w:szCs w:val="19"/>
              </w:rPr>
              <w:t>Smanjenje</w:t>
            </w:r>
            <w:r>
              <w:rPr>
                <w:rFonts w:eastAsia="Times New Roman" w:cs="Arial"/>
                <w:spacing w:val="-3"/>
                <w:sz w:val="19"/>
                <w:szCs w:val="19"/>
              </w:rPr>
              <w:t>)</w:t>
            </w:r>
            <w:r w:rsidR="00553A21" w:rsidRPr="00553A21">
              <w:rPr>
                <w:rFonts w:eastAsia="Times New Roman" w:cs="Arial"/>
                <w:spacing w:val="-3"/>
                <w:sz w:val="19"/>
                <w:szCs w:val="19"/>
              </w:rPr>
              <w:t xml:space="preserve"> obveza za izdane dugoročne vrijednosne papir</w:t>
            </w:r>
            <w:r w:rsidR="001245E7">
              <w:rPr>
                <w:rFonts w:eastAsia="Times New Roman" w:cs="Arial"/>
                <w:spacing w:val="-3"/>
                <w:sz w:val="19"/>
                <w:szCs w:val="19"/>
              </w:rPr>
              <w:t>e jednokratnom</w:t>
            </w:r>
            <w:r w:rsidR="00553A21" w:rsidRPr="00553A21">
              <w:rPr>
                <w:rFonts w:eastAsia="Times New Roman" w:cs="Arial"/>
                <w:spacing w:val="-3"/>
                <w:sz w:val="19"/>
                <w:szCs w:val="19"/>
              </w:rPr>
              <w:t xml:space="preserve"> otplatom</w:t>
            </w:r>
          </w:p>
        </w:tc>
        <w:tc>
          <w:tcPr>
            <w:tcW w:w="1252" w:type="dxa"/>
            <w:tcBorders>
              <w:top w:val="nil"/>
              <w:left w:val="nil"/>
              <w:bottom w:val="nil"/>
              <w:right w:val="nil"/>
            </w:tcBorders>
            <w:shd w:val="clear" w:color="auto" w:fill="auto"/>
            <w:vAlign w:val="bottom"/>
          </w:tcPr>
          <w:p w14:paraId="2D9AE3EE" w14:textId="69C5B518" w:rsidR="00553A21" w:rsidRDefault="00553A21" w:rsidP="001B316F">
            <w:pPr>
              <w:keepLines/>
              <w:tabs>
                <w:tab w:val="right" w:pos="1202"/>
              </w:tabs>
              <w:spacing w:after="0" w:line="240" w:lineRule="auto"/>
              <w:jc w:val="right"/>
              <w:outlineLvl w:val="0"/>
              <w:rPr>
                <w:rFonts w:eastAsia="Times New Roman" w:cs="Arial"/>
                <w:spacing w:val="-2"/>
                <w:sz w:val="19"/>
                <w:szCs w:val="19"/>
              </w:rPr>
            </w:pPr>
            <w:r>
              <w:rPr>
                <w:rFonts w:eastAsia="Times New Roman" w:cs="Arial"/>
                <w:spacing w:val="-2"/>
                <w:sz w:val="19"/>
                <w:szCs w:val="19"/>
              </w:rPr>
              <w:t>(1.852.051)</w:t>
            </w:r>
          </w:p>
        </w:tc>
        <w:tc>
          <w:tcPr>
            <w:tcW w:w="1252" w:type="dxa"/>
            <w:tcBorders>
              <w:top w:val="nil"/>
              <w:left w:val="nil"/>
              <w:bottom w:val="nil"/>
              <w:right w:val="nil"/>
            </w:tcBorders>
            <w:shd w:val="clear" w:color="auto" w:fill="auto"/>
            <w:vAlign w:val="bottom"/>
          </w:tcPr>
          <w:p w14:paraId="2A26DCCE" w14:textId="60C14F6E" w:rsidR="00553A21" w:rsidRDefault="00553A21" w:rsidP="001B316F">
            <w:pPr>
              <w:keepLines/>
              <w:tabs>
                <w:tab w:val="right" w:pos="1202"/>
              </w:tabs>
              <w:spacing w:after="0" w:line="240" w:lineRule="auto"/>
              <w:jc w:val="right"/>
              <w:outlineLvl w:val="0"/>
              <w:rPr>
                <w:rFonts w:eastAsia="Times New Roman" w:cs="Arial"/>
                <w:spacing w:val="-2"/>
                <w:sz w:val="19"/>
                <w:szCs w:val="19"/>
              </w:rPr>
            </w:pPr>
            <w:r>
              <w:rPr>
                <w:rFonts w:eastAsia="Times New Roman" w:cs="Arial"/>
                <w:spacing w:val="-2"/>
                <w:sz w:val="19"/>
                <w:szCs w:val="19"/>
              </w:rPr>
              <w:t>-</w:t>
            </w:r>
          </w:p>
        </w:tc>
      </w:tr>
      <w:tr w:rsidR="001B316F" w:rsidRPr="000601E2" w14:paraId="6034D27E" w14:textId="77777777" w:rsidTr="001B316F">
        <w:trPr>
          <w:trHeight w:hRule="exact" w:val="113"/>
        </w:trPr>
        <w:tc>
          <w:tcPr>
            <w:tcW w:w="7231" w:type="dxa"/>
            <w:tcBorders>
              <w:bottom w:val="single" w:sz="2" w:space="0" w:color="auto"/>
            </w:tcBorders>
          </w:tcPr>
          <w:p w14:paraId="0058B4BB" w14:textId="77777777" w:rsidR="001B316F" w:rsidRPr="000601E2" w:rsidRDefault="001B316F" w:rsidP="001B316F">
            <w:pPr>
              <w:keepLines/>
              <w:spacing w:after="0" w:line="240" w:lineRule="auto"/>
              <w:ind w:right="731"/>
              <w:jc w:val="right"/>
              <w:rPr>
                <w:rFonts w:eastAsia="Times New Roman" w:cs="Arial"/>
                <w:b/>
                <w:position w:val="4"/>
                <w:sz w:val="19"/>
                <w:szCs w:val="19"/>
              </w:rPr>
            </w:pPr>
          </w:p>
        </w:tc>
        <w:tc>
          <w:tcPr>
            <w:tcW w:w="1252" w:type="dxa"/>
            <w:tcBorders>
              <w:bottom w:val="single" w:sz="2" w:space="0" w:color="auto"/>
            </w:tcBorders>
          </w:tcPr>
          <w:p w14:paraId="661A14A4" w14:textId="63785BD4" w:rsidR="001B316F" w:rsidRPr="000601E2" w:rsidRDefault="001B316F" w:rsidP="001B316F">
            <w:pPr>
              <w:keepLines/>
              <w:spacing w:after="0" w:line="240" w:lineRule="auto"/>
              <w:jc w:val="right"/>
              <w:rPr>
                <w:rFonts w:eastAsia="Times New Roman" w:cs="Arial"/>
                <w:spacing w:val="-2"/>
                <w:position w:val="4"/>
                <w:sz w:val="19"/>
                <w:szCs w:val="19"/>
              </w:rPr>
            </w:pPr>
          </w:p>
        </w:tc>
        <w:tc>
          <w:tcPr>
            <w:tcW w:w="1252" w:type="dxa"/>
            <w:tcBorders>
              <w:bottom w:val="single" w:sz="2" w:space="0" w:color="auto"/>
            </w:tcBorders>
          </w:tcPr>
          <w:p w14:paraId="1196C5F4" w14:textId="77777777" w:rsidR="001B316F" w:rsidRPr="000601E2" w:rsidRDefault="001B316F" w:rsidP="001B316F">
            <w:pPr>
              <w:keepLines/>
              <w:spacing w:after="0" w:line="240" w:lineRule="auto"/>
              <w:jc w:val="right"/>
              <w:rPr>
                <w:rFonts w:eastAsia="Times New Roman" w:cs="Arial"/>
                <w:spacing w:val="-2"/>
                <w:position w:val="4"/>
                <w:sz w:val="19"/>
                <w:szCs w:val="19"/>
              </w:rPr>
            </w:pPr>
          </w:p>
        </w:tc>
      </w:tr>
      <w:tr w:rsidR="001B316F" w:rsidRPr="000601E2" w14:paraId="07F7EC47" w14:textId="77777777" w:rsidTr="001B316F">
        <w:tc>
          <w:tcPr>
            <w:tcW w:w="7231" w:type="dxa"/>
            <w:tcBorders>
              <w:top w:val="single" w:sz="2" w:space="0" w:color="auto"/>
              <w:bottom w:val="single" w:sz="12" w:space="0" w:color="auto"/>
            </w:tcBorders>
          </w:tcPr>
          <w:p w14:paraId="657C1618" w14:textId="6DD4E687" w:rsidR="001B316F" w:rsidRPr="000601E2" w:rsidRDefault="001B316F" w:rsidP="00257CDB">
            <w:pPr>
              <w:keepLines/>
              <w:tabs>
                <w:tab w:val="right" w:pos="1202"/>
              </w:tabs>
              <w:spacing w:after="0" w:line="240" w:lineRule="auto"/>
              <w:outlineLvl w:val="0"/>
              <w:rPr>
                <w:rFonts w:eastAsia="Times New Roman" w:cs="Arial"/>
                <w:b/>
                <w:bCs/>
                <w:spacing w:val="-3"/>
                <w:sz w:val="19"/>
                <w:szCs w:val="19"/>
              </w:rPr>
            </w:pPr>
            <w:r w:rsidRPr="000601E2">
              <w:rPr>
                <w:rFonts w:eastAsia="Times New Roman" w:cs="Arial"/>
                <w:b/>
                <w:bCs/>
                <w:sz w:val="19"/>
                <w:szCs w:val="19"/>
              </w:rPr>
              <w:t xml:space="preserve">Neto novčana sredstva </w:t>
            </w:r>
            <w:r>
              <w:rPr>
                <w:rFonts w:eastAsia="Times New Roman" w:cs="Arial"/>
                <w:b/>
                <w:bCs/>
                <w:sz w:val="19"/>
                <w:szCs w:val="19"/>
              </w:rPr>
              <w:t>ostvarena</w:t>
            </w:r>
            <w:r w:rsidR="001245E7">
              <w:rPr>
                <w:rFonts w:eastAsia="Times New Roman" w:cs="Arial"/>
                <w:b/>
                <w:bCs/>
                <w:sz w:val="19"/>
                <w:szCs w:val="19"/>
              </w:rPr>
              <w:t xml:space="preserve"> </w:t>
            </w:r>
            <w:r w:rsidRPr="000601E2">
              <w:rPr>
                <w:rFonts w:eastAsia="Times New Roman" w:cs="Arial"/>
                <w:b/>
                <w:bCs/>
                <w:sz w:val="19"/>
                <w:szCs w:val="19"/>
              </w:rPr>
              <w:t xml:space="preserve">u financijskim aktivnostima </w:t>
            </w:r>
          </w:p>
        </w:tc>
        <w:tc>
          <w:tcPr>
            <w:tcW w:w="1252" w:type="dxa"/>
            <w:tcBorders>
              <w:top w:val="single" w:sz="2" w:space="0" w:color="auto"/>
              <w:bottom w:val="single" w:sz="12" w:space="0" w:color="auto"/>
            </w:tcBorders>
          </w:tcPr>
          <w:p w14:paraId="64688D41" w14:textId="73111682" w:rsidR="001B316F" w:rsidRPr="000601E2" w:rsidRDefault="00553A21" w:rsidP="001B316F">
            <w:pPr>
              <w:spacing w:after="0" w:line="240" w:lineRule="auto"/>
              <w:jc w:val="right"/>
              <w:rPr>
                <w:rFonts w:eastAsia="Times New Roman" w:cs="Arial"/>
                <w:b/>
                <w:bCs/>
                <w:sz w:val="19"/>
                <w:szCs w:val="19"/>
              </w:rPr>
            </w:pPr>
            <w:r>
              <w:rPr>
                <w:rFonts w:eastAsia="Times New Roman" w:cs="Arial"/>
                <w:b/>
                <w:bCs/>
                <w:sz w:val="19"/>
                <w:szCs w:val="19"/>
              </w:rPr>
              <w:t>479.273</w:t>
            </w:r>
          </w:p>
        </w:tc>
        <w:tc>
          <w:tcPr>
            <w:tcW w:w="1252" w:type="dxa"/>
            <w:tcBorders>
              <w:top w:val="single" w:sz="2" w:space="0" w:color="auto"/>
              <w:bottom w:val="single" w:sz="12" w:space="0" w:color="auto"/>
            </w:tcBorders>
          </w:tcPr>
          <w:p w14:paraId="19FFDE18" w14:textId="35B78E81" w:rsidR="001B316F" w:rsidRPr="000601E2" w:rsidRDefault="001B316F" w:rsidP="001B316F">
            <w:pPr>
              <w:spacing w:after="0" w:line="240" w:lineRule="auto"/>
              <w:jc w:val="right"/>
              <w:rPr>
                <w:rFonts w:eastAsia="Times New Roman" w:cs="Arial"/>
                <w:b/>
                <w:bCs/>
                <w:sz w:val="19"/>
                <w:szCs w:val="19"/>
              </w:rPr>
            </w:pPr>
            <w:r>
              <w:rPr>
                <w:rFonts w:eastAsia="Times New Roman" w:cs="Arial"/>
                <w:b/>
                <w:bCs/>
                <w:sz w:val="19"/>
                <w:szCs w:val="19"/>
              </w:rPr>
              <w:t>649.437</w:t>
            </w:r>
          </w:p>
        </w:tc>
      </w:tr>
      <w:tr w:rsidR="001B316F" w:rsidRPr="000601E2" w14:paraId="67D0B15E" w14:textId="77777777" w:rsidTr="001B316F">
        <w:trPr>
          <w:trHeight w:hRule="exact" w:val="113"/>
        </w:trPr>
        <w:tc>
          <w:tcPr>
            <w:tcW w:w="7231" w:type="dxa"/>
            <w:tcBorders>
              <w:top w:val="single" w:sz="12" w:space="0" w:color="auto"/>
            </w:tcBorders>
          </w:tcPr>
          <w:p w14:paraId="4D30240D" w14:textId="77777777" w:rsidR="001B316F" w:rsidRPr="000601E2" w:rsidRDefault="001B316F" w:rsidP="001B316F">
            <w:pPr>
              <w:keepLines/>
              <w:tabs>
                <w:tab w:val="right" w:pos="1202"/>
              </w:tabs>
              <w:spacing w:after="0" w:line="240" w:lineRule="auto"/>
              <w:outlineLvl w:val="0"/>
              <w:rPr>
                <w:rFonts w:eastAsia="Times New Roman" w:cs="Arial"/>
                <w:b/>
                <w:bCs/>
                <w:sz w:val="19"/>
                <w:szCs w:val="19"/>
              </w:rPr>
            </w:pPr>
          </w:p>
        </w:tc>
        <w:tc>
          <w:tcPr>
            <w:tcW w:w="1252" w:type="dxa"/>
            <w:tcBorders>
              <w:top w:val="single" w:sz="12" w:space="0" w:color="auto"/>
            </w:tcBorders>
          </w:tcPr>
          <w:p w14:paraId="4AE3F2C5" w14:textId="77777777" w:rsidR="001B316F" w:rsidRPr="000601E2" w:rsidRDefault="001B316F" w:rsidP="001B316F">
            <w:pPr>
              <w:keepLines/>
              <w:spacing w:after="0" w:line="240" w:lineRule="auto"/>
              <w:jc w:val="right"/>
              <w:rPr>
                <w:rFonts w:eastAsia="Times New Roman" w:cs="Arial"/>
                <w:position w:val="4"/>
                <w:sz w:val="19"/>
                <w:szCs w:val="19"/>
                <w:u w:val="thick"/>
              </w:rPr>
            </w:pPr>
          </w:p>
        </w:tc>
        <w:tc>
          <w:tcPr>
            <w:tcW w:w="1252" w:type="dxa"/>
            <w:tcBorders>
              <w:top w:val="single" w:sz="12" w:space="0" w:color="auto"/>
            </w:tcBorders>
          </w:tcPr>
          <w:p w14:paraId="25E5468F" w14:textId="77777777" w:rsidR="001B316F" w:rsidRPr="000601E2" w:rsidRDefault="001B316F" w:rsidP="001B316F">
            <w:pPr>
              <w:keepLines/>
              <w:spacing w:after="0" w:line="240" w:lineRule="auto"/>
              <w:jc w:val="right"/>
              <w:rPr>
                <w:rFonts w:eastAsia="Times New Roman" w:cs="Arial"/>
                <w:position w:val="4"/>
                <w:sz w:val="19"/>
                <w:szCs w:val="19"/>
                <w:u w:val="thick"/>
              </w:rPr>
            </w:pPr>
          </w:p>
        </w:tc>
      </w:tr>
      <w:tr w:rsidR="001B316F" w:rsidRPr="000601E2" w14:paraId="620B5BD7" w14:textId="77777777" w:rsidTr="001B316F">
        <w:tc>
          <w:tcPr>
            <w:tcW w:w="7231" w:type="dxa"/>
          </w:tcPr>
          <w:p w14:paraId="4C313FAF" w14:textId="77777777" w:rsidR="001B316F" w:rsidRPr="000601E2" w:rsidRDefault="001B316F" w:rsidP="001B316F">
            <w:pPr>
              <w:keepLines/>
              <w:tabs>
                <w:tab w:val="right" w:pos="1202"/>
              </w:tabs>
              <w:spacing w:after="0" w:line="240" w:lineRule="auto"/>
              <w:outlineLvl w:val="0"/>
              <w:rPr>
                <w:rFonts w:eastAsia="Times New Roman" w:cs="Arial"/>
                <w:b/>
                <w:bCs/>
                <w:sz w:val="19"/>
                <w:szCs w:val="19"/>
              </w:rPr>
            </w:pPr>
            <w:r w:rsidRPr="000601E2">
              <w:rPr>
                <w:rFonts w:eastAsia="Times New Roman" w:cs="Arial"/>
                <w:b/>
                <w:bCs/>
                <w:sz w:val="19"/>
                <w:szCs w:val="19"/>
              </w:rPr>
              <w:t>Učinci promjene tečajeva na novac i novčane ekvivalente</w:t>
            </w:r>
          </w:p>
        </w:tc>
        <w:tc>
          <w:tcPr>
            <w:tcW w:w="1252" w:type="dxa"/>
          </w:tcPr>
          <w:p w14:paraId="186502EE" w14:textId="77777777" w:rsidR="001B316F" w:rsidRPr="000601E2" w:rsidRDefault="001B316F" w:rsidP="001B316F">
            <w:pPr>
              <w:spacing w:after="0" w:line="240" w:lineRule="auto"/>
              <w:jc w:val="right"/>
              <w:rPr>
                <w:rFonts w:eastAsia="Times New Roman" w:cs="Arial"/>
                <w:b/>
                <w:bCs/>
                <w:sz w:val="19"/>
                <w:szCs w:val="19"/>
              </w:rPr>
            </w:pPr>
          </w:p>
        </w:tc>
        <w:tc>
          <w:tcPr>
            <w:tcW w:w="1252" w:type="dxa"/>
          </w:tcPr>
          <w:p w14:paraId="762E1C94" w14:textId="77777777" w:rsidR="001B316F" w:rsidRPr="000601E2" w:rsidRDefault="001B316F" w:rsidP="001B316F">
            <w:pPr>
              <w:spacing w:after="0" w:line="240" w:lineRule="auto"/>
              <w:jc w:val="right"/>
              <w:rPr>
                <w:rFonts w:eastAsia="Times New Roman" w:cs="Arial"/>
                <w:b/>
                <w:bCs/>
                <w:sz w:val="19"/>
                <w:szCs w:val="19"/>
              </w:rPr>
            </w:pPr>
          </w:p>
        </w:tc>
      </w:tr>
      <w:tr w:rsidR="001B316F" w:rsidRPr="000601E2" w14:paraId="5D809277" w14:textId="77777777" w:rsidTr="001B316F">
        <w:tc>
          <w:tcPr>
            <w:tcW w:w="7231" w:type="dxa"/>
            <w:tcBorders>
              <w:bottom w:val="single" w:sz="2" w:space="0" w:color="auto"/>
            </w:tcBorders>
          </w:tcPr>
          <w:p w14:paraId="68CF2D88" w14:textId="77777777" w:rsidR="001B316F" w:rsidRPr="000601E2" w:rsidRDefault="001B316F" w:rsidP="001B316F">
            <w:pPr>
              <w:keepLines/>
              <w:tabs>
                <w:tab w:val="right" w:pos="1202"/>
              </w:tabs>
              <w:spacing w:after="0" w:line="240" w:lineRule="auto"/>
              <w:outlineLvl w:val="0"/>
              <w:rPr>
                <w:rFonts w:eastAsia="Times New Roman" w:cs="Arial"/>
                <w:bCs/>
                <w:sz w:val="19"/>
                <w:szCs w:val="19"/>
              </w:rPr>
            </w:pPr>
            <w:r w:rsidRPr="000601E2">
              <w:rPr>
                <w:rFonts w:eastAsia="Times New Roman" w:cs="Arial"/>
                <w:bCs/>
                <w:sz w:val="19"/>
                <w:szCs w:val="19"/>
              </w:rPr>
              <w:t>Neto tečajne razlike</w:t>
            </w:r>
          </w:p>
        </w:tc>
        <w:tc>
          <w:tcPr>
            <w:tcW w:w="1252" w:type="dxa"/>
            <w:tcBorders>
              <w:bottom w:val="single" w:sz="2" w:space="0" w:color="auto"/>
            </w:tcBorders>
            <w:vAlign w:val="bottom"/>
          </w:tcPr>
          <w:p w14:paraId="6F129FDB" w14:textId="71997A7A" w:rsidR="001B316F" w:rsidRPr="000601E2" w:rsidRDefault="00553A21" w:rsidP="001B316F">
            <w:pPr>
              <w:spacing w:after="0" w:line="240" w:lineRule="auto"/>
              <w:jc w:val="right"/>
              <w:rPr>
                <w:rFonts w:eastAsia="Times New Roman" w:cs="Arial"/>
                <w:bCs/>
                <w:sz w:val="19"/>
                <w:szCs w:val="19"/>
              </w:rPr>
            </w:pPr>
            <w:r>
              <w:rPr>
                <w:rFonts w:eastAsia="Times New Roman" w:cs="Arial"/>
                <w:bCs/>
                <w:sz w:val="19"/>
                <w:szCs w:val="19"/>
              </w:rPr>
              <w:t>(340.595)</w:t>
            </w:r>
          </w:p>
        </w:tc>
        <w:tc>
          <w:tcPr>
            <w:tcW w:w="1252" w:type="dxa"/>
            <w:tcBorders>
              <w:bottom w:val="single" w:sz="2" w:space="0" w:color="auto"/>
            </w:tcBorders>
            <w:vAlign w:val="bottom"/>
          </w:tcPr>
          <w:p w14:paraId="388B9284" w14:textId="67AF9380" w:rsidR="001B316F" w:rsidRPr="000601E2" w:rsidRDefault="001B316F" w:rsidP="001B316F">
            <w:pPr>
              <w:spacing w:after="0" w:line="240" w:lineRule="auto"/>
              <w:jc w:val="right"/>
              <w:rPr>
                <w:rFonts w:eastAsia="Times New Roman" w:cs="Arial"/>
                <w:bCs/>
                <w:sz w:val="19"/>
                <w:szCs w:val="19"/>
              </w:rPr>
            </w:pPr>
            <w:r>
              <w:rPr>
                <w:rFonts w:eastAsia="Times New Roman" w:cs="Arial"/>
                <w:bCs/>
                <w:sz w:val="19"/>
                <w:szCs w:val="19"/>
              </w:rPr>
              <w:t>(205.521)</w:t>
            </w:r>
          </w:p>
        </w:tc>
      </w:tr>
      <w:tr w:rsidR="001B316F" w:rsidRPr="000601E2" w14:paraId="6202E1B5" w14:textId="77777777" w:rsidTr="001B316F">
        <w:tc>
          <w:tcPr>
            <w:tcW w:w="7231" w:type="dxa"/>
            <w:tcBorders>
              <w:top w:val="single" w:sz="2" w:space="0" w:color="auto"/>
              <w:bottom w:val="single" w:sz="12" w:space="0" w:color="auto"/>
            </w:tcBorders>
            <w:vAlign w:val="bottom"/>
          </w:tcPr>
          <w:p w14:paraId="287FC822" w14:textId="77777777" w:rsidR="001B316F" w:rsidRPr="000601E2" w:rsidRDefault="001B316F" w:rsidP="001B316F">
            <w:pPr>
              <w:keepLines/>
              <w:tabs>
                <w:tab w:val="right" w:pos="1202"/>
              </w:tabs>
              <w:spacing w:after="0" w:line="240" w:lineRule="auto"/>
              <w:outlineLvl w:val="0"/>
              <w:rPr>
                <w:rFonts w:eastAsia="Times New Roman" w:cs="Arial"/>
                <w:b/>
                <w:spacing w:val="-3"/>
                <w:sz w:val="19"/>
                <w:szCs w:val="19"/>
              </w:rPr>
            </w:pPr>
            <w:r w:rsidRPr="000601E2">
              <w:rPr>
                <w:rFonts w:eastAsia="Times New Roman" w:cs="Arial"/>
                <w:b/>
                <w:spacing w:val="-3"/>
                <w:sz w:val="19"/>
                <w:szCs w:val="19"/>
              </w:rPr>
              <w:t>Neto učinak</w:t>
            </w:r>
          </w:p>
        </w:tc>
        <w:tc>
          <w:tcPr>
            <w:tcW w:w="1252" w:type="dxa"/>
            <w:tcBorders>
              <w:top w:val="single" w:sz="2" w:space="0" w:color="auto"/>
              <w:bottom w:val="single" w:sz="12" w:space="0" w:color="auto"/>
              <w:right w:val="nil"/>
            </w:tcBorders>
            <w:vAlign w:val="bottom"/>
          </w:tcPr>
          <w:p w14:paraId="492D7F37" w14:textId="27FC80E6" w:rsidR="001B316F" w:rsidRPr="000601E2" w:rsidRDefault="00553A21" w:rsidP="001B316F">
            <w:pPr>
              <w:keepLines/>
              <w:tabs>
                <w:tab w:val="right" w:pos="1202"/>
              </w:tabs>
              <w:spacing w:after="0" w:line="240" w:lineRule="auto"/>
              <w:jc w:val="right"/>
              <w:outlineLvl w:val="0"/>
              <w:rPr>
                <w:rFonts w:eastAsia="Times New Roman" w:cs="Arial"/>
                <w:b/>
                <w:spacing w:val="-3"/>
                <w:sz w:val="19"/>
                <w:szCs w:val="19"/>
              </w:rPr>
            </w:pPr>
            <w:r>
              <w:rPr>
                <w:rFonts w:eastAsia="Times New Roman" w:cs="Arial"/>
                <w:b/>
                <w:spacing w:val="-3"/>
                <w:sz w:val="19"/>
                <w:szCs w:val="19"/>
              </w:rPr>
              <w:t>(340.595)</w:t>
            </w:r>
          </w:p>
        </w:tc>
        <w:tc>
          <w:tcPr>
            <w:tcW w:w="1252" w:type="dxa"/>
            <w:tcBorders>
              <w:top w:val="single" w:sz="2" w:space="0" w:color="auto"/>
              <w:bottom w:val="single" w:sz="12" w:space="0" w:color="auto"/>
              <w:right w:val="nil"/>
            </w:tcBorders>
            <w:vAlign w:val="bottom"/>
          </w:tcPr>
          <w:p w14:paraId="71764A07" w14:textId="3310B1EE" w:rsidR="001B316F" w:rsidRPr="000601E2" w:rsidRDefault="001B316F" w:rsidP="001B316F">
            <w:pPr>
              <w:keepLines/>
              <w:tabs>
                <w:tab w:val="right" w:pos="1202"/>
              </w:tabs>
              <w:spacing w:after="0" w:line="240" w:lineRule="auto"/>
              <w:jc w:val="right"/>
              <w:outlineLvl w:val="0"/>
              <w:rPr>
                <w:rFonts w:eastAsia="Times New Roman" w:cs="Arial"/>
                <w:b/>
                <w:spacing w:val="-3"/>
                <w:sz w:val="19"/>
                <w:szCs w:val="19"/>
              </w:rPr>
            </w:pPr>
            <w:r>
              <w:rPr>
                <w:rFonts w:eastAsia="Times New Roman" w:cs="Arial"/>
                <w:b/>
                <w:spacing w:val="-3"/>
                <w:sz w:val="19"/>
                <w:szCs w:val="19"/>
              </w:rPr>
              <w:t>(205.521)</w:t>
            </w:r>
          </w:p>
        </w:tc>
      </w:tr>
      <w:tr w:rsidR="001B316F" w:rsidRPr="000601E2" w14:paraId="7421FFA0" w14:textId="77777777" w:rsidTr="001B316F">
        <w:trPr>
          <w:trHeight w:hRule="exact" w:val="241"/>
        </w:trPr>
        <w:tc>
          <w:tcPr>
            <w:tcW w:w="7231" w:type="dxa"/>
            <w:tcBorders>
              <w:top w:val="single" w:sz="12" w:space="0" w:color="auto"/>
            </w:tcBorders>
            <w:vAlign w:val="bottom"/>
          </w:tcPr>
          <w:p w14:paraId="2399BDA3" w14:textId="77777777" w:rsidR="001B316F" w:rsidRPr="000601E2" w:rsidRDefault="001B316F" w:rsidP="001B316F">
            <w:pPr>
              <w:keepLines/>
              <w:tabs>
                <w:tab w:val="decimal" w:pos="1202"/>
              </w:tabs>
              <w:spacing w:after="0" w:line="240" w:lineRule="exact"/>
              <w:rPr>
                <w:rFonts w:eastAsia="Times New Roman" w:cs="Arial"/>
                <w:position w:val="4"/>
                <w:sz w:val="19"/>
                <w:szCs w:val="19"/>
              </w:rPr>
            </w:pPr>
          </w:p>
        </w:tc>
        <w:tc>
          <w:tcPr>
            <w:tcW w:w="1252" w:type="dxa"/>
            <w:tcBorders>
              <w:top w:val="single" w:sz="12" w:space="0" w:color="auto"/>
              <w:right w:val="nil"/>
            </w:tcBorders>
          </w:tcPr>
          <w:p w14:paraId="5C0CEABC" w14:textId="77777777" w:rsidR="001B316F" w:rsidRPr="000601E2" w:rsidRDefault="001B316F" w:rsidP="001B316F">
            <w:pPr>
              <w:keepLines/>
              <w:spacing w:after="0" w:line="240" w:lineRule="exact"/>
              <w:jc w:val="right"/>
              <w:rPr>
                <w:rFonts w:eastAsia="Times New Roman" w:cs="Arial"/>
                <w:position w:val="4"/>
                <w:sz w:val="19"/>
                <w:szCs w:val="19"/>
                <w:u w:val="thick"/>
              </w:rPr>
            </w:pPr>
          </w:p>
        </w:tc>
        <w:tc>
          <w:tcPr>
            <w:tcW w:w="1252" w:type="dxa"/>
            <w:tcBorders>
              <w:top w:val="single" w:sz="12" w:space="0" w:color="auto"/>
              <w:right w:val="nil"/>
            </w:tcBorders>
          </w:tcPr>
          <w:p w14:paraId="769603F0" w14:textId="77777777" w:rsidR="001B316F" w:rsidRPr="000601E2" w:rsidRDefault="001B316F" w:rsidP="001B316F">
            <w:pPr>
              <w:keepLines/>
              <w:spacing w:after="0" w:line="240" w:lineRule="exact"/>
              <w:jc w:val="right"/>
              <w:rPr>
                <w:rFonts w:eastAsia="Times New Roman" w:cs="Arial"/>
                <w:position w:val="4"/>
                <w:sz w:val="19"/>
                <w:szCs w:val="19"/>
                <w:u w:val="thick"/>
              </w:rPr>
            </w:pPr>
          </w:p>
        </w:tc>
      </w:tr>
      <w:tr w:rsidR="001B316F" w:rsidRPr="000601E2" w14:paraId="5D859917" w14:textId="77777777" w:rsidTr="001B316F">
        <w:trPr>
          <w:trHeight w:val="122"/>
        </w:trPr>
        <w:tc>
          <w:tcPr>
            <w:tcW w:w="7231" w:type="dxa"/>
            <w:vAlign w:val="center"/>
          </w:tcPr>
          <w:p w14:paraId="57589DA0" w14:textId="05397F2D" w:rsidR="001B316F" w:rsidRPr="000601E2" w:rsidRDefault="001B316F" w:rsidP="004C4ABF">
            <w:pPr>
              <w:keepLines/>
              <w:tabs>
                <w:tab w:val="right" w:pos="1202"/>
              </w:tabs>
              <w:spacing w:after="0" w:line="240" w:lineRule="auto"/>
              <w:outlineLvl w:val="0"/>
              <w:rPr>
                <w:rFonts w:eastAsia="Times New Roman" w:cs="Arial"/>
                <w:sz w:val="19"/>
                <w:szCs w:val="19"/>
              </w:rPr>
            </w:pPr>
            <w:r w:rsidRPr="000601E2">
              <w:rPr>
                <w:rFonts w:eastAsia="Times New Roman" w:cs="Arial"/>
                <w:sz w:val="19"/>
                <w:szCs w:val="19"/>
              </w:rPr>
              <w:t xml:space="preserve">Neto </w:t>
            </w:r>
            <w:r w:rsidR="00C85479">
              <w:rPr>
                <w:rFonts w:eastAsia="Times New Roman" w:cs="Arial"/>
                <w:sz w:val="19"/>
                <w:szCs w:val="19"/>
              </w:rPr>
              <w:t>p</w:t>
            </w:r>
            <w:r w:rsidR="001245E7">
              <w:rPr>
                <w:rFonts w:eastAsia="Times New Roman" w:cs="Arial"/>
                <w:sz w:val="19"/>
                <w:szCs w:val="19"/>
              </w:rPr>
              <w:t>ovećanje/</w:t>
            </w:r>
            <w:r w:rsidRPr="005E6C9F">
              <w:rPr>
                <w:rFonts w:eastAsia="Times New Roman" w:cs="Arial"/>
                <w:sz w:val="19"/>
                <w:szCs w:val="19"/>
              </w:rPr>
              <w:t>(smanjenje)</w:t>
            </w:r>
            <w:r w:rsidR="001245E7">
              <w:rPr>
                <w:rFonts w:eastAsia="Times New Roman" w:cs="Arial"/>
                <w:sz w:val="19"/>
                <w:szCs w:val="19"/>
              </w:rPr>
              <w:t xml:space="preserve"> </w:t>
            </w:r>
            <w:proofErr w:type="spellStart"/>
            <w:r w:rsidR="00C85479">
              <w:rPr>
                <w:rFonts w:eastAsia="Times New Roman" w:cs="Arial"/>
                <w:sz w:val="19"/>
                <w:szCs w:val="19"/>
              </w:rPr>
              <w:t>p</w:t>
            </w:r>
            <w:r w:rsidRPr="000601E2">
              <w:rPr>
                <w:rFonts w:eastAsia="Times New Roman" w:cs="Arial"/>
                <w:sz w:val="19"/>
                <w:szCs w:val="19"/>
              </w:rPr>
              <w:t>ovca</w:t>
            </w:r>
            <w:proofErr w:type="spellEnd"/>
            <w:r w:rsidRPr="000601E2">
              <w:rPr>
                <w:rFonts w:eastAsia="Times New Roman" w:cs="Arial"/>
                <w:sz w:val="19"/>
                <w:szCs w:val="19"/>
              </w:rPr>
              <w:t xml:space="preserve"> i novčanih ekvivalenata</w:t>
            </w:r>
          </w:p>
        </w:tc>
        <w:tc>
          <w:tcPr>
            <w:tcW w:w="1252" w:type="dxa"/>
          </w:tcPr>
          <w:p w14:paraId="7DA3F0BE" w14:textId="1CE9C4A9" w:rsidR="001B316F" w:rsidRPr="000601E2" w:rsidRDefault="00553A21" w:rsidP="001B316F">
            <w:pPr>
              <w:keepLines/>
              <w:spacing w:after="0" w:line="240" w:lineRule="auto"/>
              <w:jc w:val="right"/>
              <w:rPr>
                <w:rFonts w:eastAsia="Times New Roman" w:cs="Arial"/>
                <w:spacing w:val="-2"/>
                <w:sz w:val="19"/>
                <w:szCs w:val="19"/>
              </w:rPr>
            </w:pPr>
            <w:r>
              <w:rPr>
                <w:rFonts w:eastAsia="Times New Roman" w:cs="Arial"/>
                <w:spacing w:val="-2"/>
                <w:sz w:val="19"/>
                <w:szCs w:val="19"/>
              </w:rPr>
              <w:t>1.188.833</w:t>
            </w:r>
          </w:p>
        </w:tc>
        <w:tc>
          <w:tcPr>
            <w:tcW w:w="1252" w:type="dxa"/>
          </w:tcPr>
          <w:p w14:paraId="15579F43" w14:textId="2A433B32" w:rsidR="001B316F" w:rsidRPr="000601E2" w:rsidRDefault="001B316F" w:rsidP="001B316F">
            <w:pPr>
              <w:keepLines/>
              <w:spacing w:after="0" w:line="240" w:lineRule="auto"/>
              <w:jc w:val="right"/>
              <w:rPr>
                <w:rFonts w:eastAsia="Times New Roman" w:cs="Arial"/>
                <w:spacing w:val="-2"/>
                <w:sz w:val="19"/>
                <w:szCs w:val="19"/>
              </w:rPr>
            </w:pPr>
            <w:r>
              <w:rPr>
                <w:rFonts w:eastAsia="Times New Roman" w:cs="Arial"/>
                <w:spacing w:val="-2"/>
                <w:sz w:val="19"/>
                <w:szCs w:val="19"/>
              </w:rPr>
              <w:t>(71.795)</w:t>
            </w:r>
          </w:p>
        </w:tc>
      </w:tr>
      <w:tr w:rsidR="001B316F" w:rsidRPr="000601E2" w14:paraId="2F5723E2" w14:textId="77777777" w:rsidTr="001B316F">
        <w:trPr>
          <w:trHeight w:hRule="exact" w:val="113"/>
        </w:trPr>
        <w:tc>
          <w:tcPr>
            <w:tcW w:w="7231" w:type="dxa"/>
            <w:vAlign w:val="center"/>
          </w:tcPr>
          <w:p w14:paraId="694EF9B2" w14:textId="77777777" w:rsidR="001B316F" w:rsidRPr="000601E2" w:rsidRDefault="001B316F" w:rsidP="001B316F">
            <w:pPr>
              <w:keepLines/>
              <w:tabs>
                <w:tab w:val="right" w:pos="1202"/>
              </w:tabs>
              <w:spacing w:after="0" w:line="240" w:lineRule="auto"/>
              <w:outlineLvl w:val="0"/>
              <w:rPr>
                <w:rFonts w:eastAsia="Times New Roman" w:cs="Arial"/>
                <w:sz w:val="19"/>
                <w:szCs w:val="19"/>
              </w:rPr>
            </w:pPr>
          </w:p>
        </w:tc>
        <w:tc>
          <w:tcPr>
            <w:tcW w:w="1252" w:type="dxa"/>
          </w:tcPr>
          <w:p w14:paraId="15CE028D" w14:textId="77777777" w:rsidR="001B316F" w:rsidRPr="000601E2" w:rsidRDefault="001B316F" w:rsidP="001B316F">
            <w:pPr>
              <w:keepLines/>
              <w:spacing w:after="0" w:line="240" w:lineRule="auto"/>
              <w:jc w:val="right"/>
              <w:rPr>
                <w:rFonts w:eastAsia="Times New Roman" w:cs="Arial"/>
                <w:spacing w:val="-2"/>
                <w:sz w:val="19"/>
                <w:szCs w:val="19"/>
              </w:rPr>
            </w:pPr>
          </w:p>
        </w:tc>
        <w:tc>
          <w:tcPr>
            <w:tcW w:w="1252" w:type="dxa"/>
          </w:tcPr>
          <w:p w14:paraId="1B448962" w14:textId="77777777" w:rsidR="001B316F" w:rsidRPr="000601E2" w:rsidRDefault="001B316F" w:rsidP="001B316F">
            <w:pPr>
              <w:keepLines/>
              <w:spacing w:after="0" w:line="240" w:lineRule="auto"/>
              <w:jc w:val="right"/>
              <w:rPr>
                <w:rFonts w:eastAsia="Times New Roman" w:cs="Arial"/>
                <w:spacing w:val="-2"/>
                <w:sz w:val="19"/>
                <w:szCs w:val="19"/>
              </w:rPr>
            </w:pPr>
          </w:p>
        </w:tc>
      </w:tr>
      <w:tr w:rsidR="001B316F" w:rsidRPr="000601E2" w14:paraId="50ECF65D" w14:textId="77777777" w:rsidTr="001B316F">
        <w:trPr>
          <w:trHeight w:val="122"/>
        </w:trPr>
        <w:tc>
          <w:tcPr>
            <w:tcW w:w="7231" w:type="dxa"/>
            <w:vAlign w:val="center"/>
          </w:tcPr>
          <w:p w14:paraId="3D08602E" w14:textId="77777777" w:rsidR="001B316F" w:rsidRPr="000601E2" w:rsidRDefault="001B316F" w:rsidP="001B316F">
            <w:pPr>
              <w:keepLines/>
              <w:tabs>
                <w:tab w:val="right" w:pos="1202"/>
              </w:tabs>
              <w:spacing w:after="0" w:line="240" w:lineRule="auto"/>
              <w:outlineLvl w:val="0"/>
              <w:rPr>
                <w:rFonts w:eastAsia="Times New Roman" w:cs="Arial"/>
                <w:sz w:val="19"/>
                <w:szCs w:val="19"/>
              </w:rPr>
            </w:pPr>
            <w:r w:rsidRPr="000601E2">
              <w:rPr>
                <w:rFonts w:eastAsia="Times New Roman" w:cs="Arial"/>
                <w:sz w:val="19"/>
                <w:szCs w:val="19"/>
              </w:rPr>
              <w:t xml:space="preserve">Stanje na dan 1. siječnja, prije rezerviranja </w:t>
            </w:r>
          </w:p>
        </w:tc>
        <w:tc>
          <w:tcPr>
            <w:tcW w:w="1252" w:type="dxa"/>
            <w:tcBorders>
              <w:top w:val="nil"/>
              <w:left w:val="nil"/>
              <w:bottom w:val="nil"/>
              <w:right w:val="nil"/>
            </w:tcBorders>
            <w:shd w:val="clear" w:color="auto" w:fill="auto"/>
            <w:vAlign w:val="bottom"/>
          </w:tcPr>
          <w:p w14:paraId="055E9EB4" w14:textId="4F2A3759" w:rsidR="001B316F" w:rsidRPr="000601E2" w:rsidRDefault="00553A21" w:rsidP="001B316F">
            <w:pPr>
              <w:keepLines/>
              <w:spacing w:after="0" w:line="240" w:lineRule="auto"/>
              <w:jc w:val="right"/>
              <w:rPr>
                <w:rFonts w:eastAsia="Times New Roman" w:cs="Arial"/>
                <w:spacing w:val="-2"/>
                <w:sz w:val="19"/>
                <w:szCs w:val="19"/>
              </w:rPr>
            </w:pPr>
            <w:r>
              <w:rPr>
                <w:rFonts w:eastAsia="Times New Roman" w:cs="Arial"/>
                <w:spacing w:val="-2"/>
                <w:sz w:val="19"/>
                <w:szCs w:val="19"/>
              </w:rPr>
              <w:t>494.325</w:t>
            </w:r>
          </w:p>
        </w:tc>
        <w:tc>
          <w:tcPr>
            <w:tcW w:w="1252" w:type="dxa"/>
            <w:tcBorders>
              <w:top w:val="nil"/>
              <w:left w:val="nil"/>
              <w:bottom w:val="nil"/>
              <w:right w:val="nil"/>
            </w:tcBorders>
            <w:shd w:val="clear" w:color="auto" w:fill="auto"/>
            <w:vAlign w:val="bottom"/>
          </w:tcPr>
          <w:p w14:paraId="19FB18A3" w14:textId="4BCB0F31" w:rsidR="001B316F" w:rsidRPr="000601E2" w:rsidRDefault="001B316F" w:rsidP="001B316F">
            <w:pPr>
              <w:keepLines/>
              <w:spacing w:after="0" w:line="240" w:lineRule="auto"/>
              <w:jc w:val="right"/>
              <w:rPr>
                <w:rFonts w:eastAsia="Times New Roman" w:cs="Arial"/>
                <w:spacing w:val="-2"/>
                <w:sz w:val="19"/>
                <w:szCs w:val="19"/>
              </w:rPr>
            </w:pPr>
            <w:r>
              <w:rPr>
                <w:rFonts w:eastAsia="Times New Roman" w:cs="Arial"/>
                <w:spacing w:val="-2"/>
                <w:sz w:val="19"/>
                <w:szCs w:val="19"/>
              </w:rPr>
              <w:t>486.743</w:t>
            </w:r>
          </w:p>
        </w:tc>
      </w:tr>
      <w:tr w:rsidR="001B316F" w:rsidRPr="000601E2" w14:paraId="444D9453" w14:textId="77777777" w:rsidTr="001B316F">
        <w:trPr>
          <w:trHeight w:val="122"/>
        </w:trPr>
        <w:tc>
          <w:tcPr>
            <w:tcW w:w="7231" w:type="dxa"/>
            <w:vAlign w:val="center"/>
          </w:tcPr>
          <w:p w14:paraId="2DB41CC3" w14:textId="7D22094B" w:rsidR="001B316F" w:rsidRPr="000601E2" w:rsidRDefault="001B316F" w:rsidP="0058023F">
            <w:pPr>
              <w:keepLines/>
              <w:tabs>
                <w:tab w:val="right" w:pos="1202"/>
              </w:tabs>
              <w:spacing w:after="0" w:line="240" w:lineRule="auto"/>
              <w:outlineLvl w:val="0"/>
              <w:rPr>
                <w:rFonts w:eastAsia="Times New Roman" w:cs="Arial"/>
                <w:sz w:val="19"/>
                <w:szCs w:val="19"/>
              </w:rPr>
            </w:pPr>
            <w:r w:rsidRPr="000601E2">
              <w:rPr>
                <w:rFonts w:eastAsia="Times New Roman" w:cs="Arial"/>
                <w:sz w:val="19"/>
                <w:szCs w:val="19"/>
              </w:rPr>
              <w:t xml:space="preserve">Neto </w:t>
            </w:r>
            <w:r w:rsidR="000B7984">
              <w:rPr>
                <w:rFonts w:eastAsia="Times New Roman" w:cs="Arial"/>
                <w:sz w:val="19"/>
                <w:szCs w:val="19"/>
              </w:rPr>
              <w:t>povećanje/</w:t>
            </w:r>
            <w:r w:rsidRPr="005E6C9F">
              <w:rPr>
                <w:rFonts w:eastAsia="Times New Roman" w:cs="Arial"/>
                <w:sz w:val="19"/>
                <w:szCs w:val="19"/>
              </w:rPr>
              <w:t>(smanjenje</w:t>
            </w:r>
            <w:r w:rsidR="000B7984">
              <w:rPr>
                <w:rFonts w:eastAsia="Times New Roman" w:cs="Arial"/>
                <w:sz w:val="19"/>
                <w:szCs w:val="19"/>
              </w:rPr>
              <w:t>)</w:t>
            </w:r>
            <w:r w:rsidRPr="000601E2">
              <w:rPr>
                <w:rFonts w:eastAsia="Times New Roman" w:cs="Arial"/>
                <w:sz w:val="19"/>
                <w:szCs w:val="19"/>
              </w:rPr>
              <w:t xml:space="preserve"> novca</w:t>
            </w:r>
          </w:p>
        </w:tc>
        <w:tc>
          <w:tcPr>
            <w:tcW w:w="1252" w:type="dxa"/>
            <w:tcBorders>
              <w:top w:val="nil"/>
              <w:left w:val="nil"/>
              <w:bottom w:val="nil"/>
              <w:right w:val="nil"/>
            </w:tcBorders>
            <w:shd w:val="clear" w:color="auto" w:fill="auto"/>
            <w:vAlign w:val="bottom"/>
          </w:tcPr>
          <w:p w14:paraId="71C0298C" w14:textId="3EC8E06D" w:rsidR="001B316F" w:rsidRPr="000601E2" w:rsidRDefault="00553A21" w:rsidP="001B316F">
            <w:pPr>
              <w:keepLines/>
              <w:spacing w:after="0" w:line="240" w:lineRule="auto"/>
              <w:jc w:val="right"/>
              <w:rPr>
                <w:rFonts w:eastAsia="Times New Roman" w:cs="Arial"/>
                <w:spacing w:val="-2"/>
                <w:sz w:val="19"/>
                <w:szCs w:val="19"/>
              </w:rPr>
            </w:pPr>
            <w:r>
              <w:rPr>
                <w:rFonts w:eastAsia="Times New Roman" w:cs="Arial"/>
                <w:spacing w:val="-2"/>
                <w:sz w:val="19"/>
                <w:szCs w:val="19"/>
              </w:rPr>
              <w:t>1.188.833</w:t>
            </w:r>
          </w:p>
        </w:tc>
        <w:tc>
          <w:tcPr>
            <w:tcW w:w="1252" w:type="dxa"/>
            <w:tcBorders>
              <w:top w:val="nil"/>
              <w:left w:val="nil"/>
              <w:bottom w:val="nil"/>
              <w:right w:val="nil"/>
            </w:tcBorders>
            <w:shd w:val="clear" w:color="auto" w:fill="auto"/>
            <w:vAlign w:val="bottom"/>
          </w:tcPr>
          <w:p w14:paraId="7406CF5A" w14:textId="0EC17390" w:rsidR="001B316F" w:rsidRPr="000601E2" w:rsidRDefault="001B316F" w:rsidP="001B316F">
            <w:pPr>
              <w:keepLines/>
              <w:spacing w:after="0" w:line="240" w:lineRule="auto"/>
              <w:jc w:val="right"/>
              <w:rPr>
                <w:rFonts w:eastAsia="Times New Roman" w:cs="Arial"/>
                <w:spacing w:val="-2"/>
                <w:sz w:val="19"/>
                <w:szCs w:val="19"/>
              </w:rPr>
            </w:pPr>
            <w:r>
              <w:rPr>
                <w:rFonts w:eastAsia="Times New Roman" w:cs="Arial"/>
                <w:spacing w:val="-2"/>
                <w:sz w:val="19"/>
                <w:szCs w:val="19"/>
              </w:rPr>
              <w:t>(71.795)</w:t>
            </w:r>
          </w:p>
        </w:tc>
      </w:tr>
      <w:tr w:rsidR="001B316F" w:rsidRPr="000601E2" w14:paraId="2162EBA1" w14:textId="77777777" w:rsidTr="001B316F">
        <w:trPr>
          <w:trHeight w:val="122"/>
        </w:trPr>
        <w:tc>
          <w:tcPr>
            <w:tcW w:w="7231" w:type="dxa"/>
            <w:tcBorders>
              <w:top w:val="single" w:sz="4" w:space="0" w:color="auto"/>
              <w:bottom w:val="single" w:sz="12" w:space="0" w:color="auto"/>
            </w:tcBorders>
            <w:vAlign w:val="bottom"/>
          </w:tcPr>
          <w:p w14:paraId="6F400BE4" w14:textId="77777777" w:rsidR="001B316F" w:rsidRPr="000601E2" w:rsidRDefault="001B316F" w:rsidP="001B316F">
            <w:pPr>
              <w:keepLines/>
              <w:tabs>
                <w:tab w:val="right" w:pos="1202"/>
              </w:tabs>
              <w:spacing w:after="0" w:line="240" w:lineRule="auto"/>
              <w:outlineLvl w:val="0"/>
              <w:rPr>
                <w:rFonts w:eastAsia="Times New Roman" w:cs="Arial"/>
                <w:b/>
                <w:bCs/>
                <w:sz w:val="19"/>
                <w:szCs w:val="19"/>
              </w:rPr>
            </w:pPr>
            <w:r w:rsidRPr="000601E2">
              <w:rPr>
                <w:rFonts w:eastAsia="Times New Roman" w:cs="Arial"/>
                <w:b/>
                <w:bCs/>
                <w:sz w:val="19"/>
                <w:szCs w:val="19"/>
              </w:rPr>
              <w:t>Stanje na dan 30. lipnja, prije rezerviranja                                                                            8</w:t>
            </w:r>
          </w:p>
        </w:tc>
        <w:tc>
          <w:tcPr>
            <w:tcW w:w="1252" w:type="dxa"/>
            <w:tcBorders>
              <w:top w:val="single" w:sz="4" w:space="0" w:color="auto"/>
              <w:bottom w:val="single" w:sz="12" w:space="0" w:color="auto"/>
            </w:tcBorders>
            <w:vAlign w:val="bottom"/>
          </w:tcPr>
          <w:p w14:paraId="07151E92" w14:textId="3B568D6A" w:rsidR="001B316F" w:rsidRPr="000601E2" w:rsidRDefault="00553A21" w:rsidP="001B316F">
            <w:pPr>
              <w:spacing w:after="0" w:line="240" w:lineRule="auto"/>
              <w:jc w:val="right"/>
              <w:rPr>
                <w:rFonts w:eastAsia="Times New Roman" w:cs="Arial"/>
                <w:b/>
                <w:bCs/>
                <w:spacing w:val="-2"/>
                <w:sz w:val="19"/>
                <w:szCs w:val="19"/>
              </w:rPr>
            </w:pPr>
            <w:r>
              <w:rPr>
                <w:rFonts w:eastAsia="Times New Roman" w:cs="Arial"/>
                <w:b/>
                <w:bCs/>
                <w:spacing w:val="-2"/>
                <w:sz w:val="19"/>
                <w:szCs w:val="19"/>
              </w:rPr>
              <w:t>1.683.158</w:t>
            </w:r>
          </w:p>
        </w:tc>
        <w:tc>
          <w:tcPr>
            <w:tcW w:w="1252" w:type="dxa"/>
            <w:tcBorders>
              <w:top w:val="single" w:sz="4" w:space="0" w:color="auto"/>
              <w:bottom w:val="single" w:sz="12" w:space="0" w:color="auto"/>
            </w:tcBorders>
            <w:vAlign w:val="bottom"/>
          </w:tcPr>
          <w:p w14:paraId="50427A84" w14:textId="43745BBA" w:rsidR="001B316F" w:rsidRPr="000601E2" w:rsidRDefault="001B316F" w:rsidP="001B316F">
            <w:pPr>
              <w:spacing w:after="0" w:line="240" w:lineRule="auto"/>
              <w:jc w:val="right"/>
              <w:rPr>
                <w:rFonts w:eastAsia="Times New Roman" w:cs="Arial"/>
                <w:b/>
                <w:bCs/>
                <w:spacing w:val="-2"/>
                <w:sz w:val="19"/>
                <w:szCs w:val="19"/>
              </w:rPr>
            </w:pPr>
            <w:r>
              <w:rPr>
                <w:rFonts w:eastAsia="Times New Roman" w:cs="Arial"/>
                <w:b/>
                <w:bCs/>
                <w:spacing w:val="-2"/>
                <w:sz w:val="19"/>
                <w:szCs w:val="19"/>
              </w:rPr>
              <w:t>414.948</w:t>
            </w:r>
          </w:p>
        </w:tc>
      </w:tr>
      <w:tr w:rsidR="001B316F" w:rsidRPr="000601E2" w14:paraId="46985136" w14:textId="77777777" w:rsidTr="001B316F">
        <w:trPr>
          <w:trHeight w:hRule="exact" w:val="113"/>
        </w:trPr>
        <w:tc>
          <w:tcPr>
            <w:tcW w:w="7231" w:type="dxa"/>
            <w:tcBorders>
              <w:top w:val="single" w:sz="12" w:space="0" w:color="auto"/>
            </w:tcBorders>
            <w:vAlign w:val="bottom"/>
          </w:tcPr>
          <w:p w14:paraId="6AF63283" w14:textId="77777777" w:rsidR="001B316F" w:rsidRPr="000601E2" w:rsidRDefault="001B316F" w:rsidP="001B316F">
            <w:pPr>
              <w:keepLines/>
              <w:tabs>
                <w:tab w:val="decimal" w:pos="1202"/>
              </w:tabs>
              <w:spacing w:after="0" w:line="240" w:lineRule="auto"/>
              <w:rPr>
                <w:rFonts w:eastAsia="Times New Roman" w:cs="Arial"/>
                <w:b/>
                <w:position w:val="4"/>
                <w:sz w:val="19"/>
                <w:szCs w:val="19"/>
                <w:u w:val="thick"/>
              </w:rPr>
            </w:pPr>
          </w:p>
        </w:tc>
        <w:tc>
          <w:tcPr>
            <w:tcW w:w="1252" w:type="dxa"/>
            <w:tcBorders>
              <w:top w:val="single" w:sz="12" w:space="0" w:color="auto"/>
            </w:tcBorders>
          </w:tcPr>
          <w:p w14:paraId="01FCC02F" w14:textId="77777777" w:rsidR="001B316F" w:rsidRPr="000601E2" w:rsidRDefault="001B316F" w:rsidP="001B316F">
            <w:pPr>
              <w:keepLines/>
              <w:spacing w:after="0" w:line="240" w:lineRule="auto"/>
              <w:jc w:val="right"/>
              <w:rPr>
                <w:rFonts w:eastAsia="Times New Roman" w:cs="Arial"/>
                <w:b/>
                <w:position w:val="4"/>
                <w:sz w:val="19"/>
                <w:szCs w:val="19"/>
                <w:u w:val="thick"/>
              </w:rPr>
            </w:pPr>
          </w:p>
        </w:tc>
        <w:tc>
          <w:tcPr>
            <w:tcW w:w="1252" w:type="dxa"/>
            <w:tcBorders>
              <w:top w:val="single" w:sz="12" w:space="0" w:color="auto"/>
            </w:tcBorders>
          </w:tcPr>
          <w:p w14:paraId="58657076" w14:textId="77777777" w:rsidR="001B316F" w:rsidRPr="000601E2" w:rsidRDefault="001B316F" w:rsidP="001B316F">
            <w:pPr>
              <w:keepLines/>
              <w:spacing w:after="0" w:line="240" w:lineRule="auto"/>
              <w:jc w:val="right"/>
              <w:rPr>
                <w:rFonts w:eastAsia="Times New Roman" w:cs="Arial"/>
                <w:b/>
                <w:position w:val="4"/>
                <w:sz w:val="19"/>
                <w:szCs w:val="19"/>
                <w:u w:val="thick"/>
              </w:rPr>
            </w:pPr>
          </w:p>
        </w:tc>
      </w:tr>
      <w:tr w:rsidR="001B316F" w:rsidRPr="000601E2" w14:paraId="5682B561" w14:textId="77777777" w:rsidTr="001B316F">
        <w:trPr>
          <w:trHeight w:val="267"/>
        </w:trPr>
        <w:tc>
          <w:tcPr>
            <w:tcW w:w="7231" w:type="dxa"/>
            <w:vAlign w:val="bottom"/>
          </w:tcPr>
          <w:p w14:paraId="5C705623" w14:textId="77777777" w:rsidR="001B316F" w:rsidRPr="000601E2" w:rsidRDefault="001B316F" w:rsidP="001B316F">
            <w:pPr>
              <w:keepLines/>
              <w:tabs>
                <w:tab w:val="right" w:pos="1202"/>
              </w:tabs>
              <w:spacing w:after="0" w:line="240" w:lineRule="auto"/>
              <w:outlineLvl w:val="0"/>
              <w:rPr>
                <w:rFonts w:eastAsia="Times New Roman" w:cs="Arial"/>
                <w:sz w:val="19"/>
                <w:szCs w:val="19"/>
              </w:rPr>
            </w:pPr>
            <w:r w:rsidRPr="000601E2">
              <w:rPr>
                <w:rFonts w:eastAsia="Times New Roman" w:cs="Arial"/>
                <w:b/>
                <w:bCs/>
                <w:sz w:val="19"/>
                <w:szCs w:val="19"/>
              </w:rPr>
              <w:t>Dopunski podaci – poslovne aktivnosti</w:t>
            </w:r>
          </w:p>
        </w:tc>
        <w:tc>
          <w:tcPr>
            <w:tcW w:w="1252" w:type="dxa"/>
            <w:vAlign w:val="bottom"/>
          </w:tcPr>
          <w:p w14:paraId="5CA56E88" w14:textId="77777777" w:rsidR="001B316F" w:rsidRPr="000601E2" w:rsidRDefault="001B316F" w:rsidP="001B316F">
            <w:pPr>
              <w:keepLines/>
              <w:spacing w:after="0" w:line="240" w:lineRule="auto"/>
              <w:jc w:val="right"/>
              <w:rPr>
                <w:rFonts w:eastAsia="Times New Roman" w:cs="Arial"/>
                <w:b/>
                <w:position w:val="4"/>
                <w:sz w:val="19"/>
                <w:szCs w:val="19"/>
              </w:rPr>
            </w:pPr>
          </w:p>
        </w:tc>
        <w:tc>
          <w:tcPr>
            <w:tcW w:w="1252" w:type="dxa"/>
            <w:vAlign w:val="bottom"/>
          </w:tcPr>
          <w:p w14:paraId="518E2DDF" w14:textId="77777777" w:rsidR="001B316F" w:rsidRPr="000601E2" w:rsidRDefault="001B316F" w:rsidP="001B316F">
            <w:pPr>
              <w:keepLines/>
              <w:spacing w:after="0" w:line="240" w:lineRule="auto"/>
              <w:jc w:val="right"/>
              <w:rPr>
                <w:rFonts w:eastAsia="Times New Roman" w:cs="Arial"/>
                <w:b/>
                <w:position w:val="4"/>
                <w:sz w:val="19"/>
                <w:szCs w:val="19"/>
              </w:rPr>
            </w:pPr>
          </w:p>
        </w:tc>
      </w:tr>
      <w:tr w:rsidR="001B316F" w:rsidRPr="000601E2" w14:paraId="0804ED7D" w14:textId="77777777" w:rsidTr="001B316F">
        <w:trPr>
          <w:trHeight w:val="68"/>
        </w:trPr>
        <w:tc>
          <w:tcPr>
            <w:tcW w:w="7231" w:type="dxa"/>
            <w:vAlign w:val="bottom"/>
          </w:tcPr>
          <w:p w14:paraId="6F751D42" w14:textId="77777777" w:rsidR="001B316F" w:rsidRPr="000601E2" w:rsidRDefault="001B316F" w:rsidP="001B316F">
            <w:pPr>
              <w:keepLines/>
              <w:tabs>
                <w:tab w:val="decimal" w:pos="1202"/>
              </w:tabs>
              <w:spacing w:after="0" w:line="240" w:lineRule="auto"/>
              <w:rPr>
                <w:rFonts w:eastAsia="Times New Roman" w:cs="Arial"/>
                <w:position w:val="4"/>
                <w:sz w:val="19"/>
                <w:szCs w:val="19"/>
              </w:rPr>
            </w:pPr>
            <w:r w:rsidRPr="000601E2">
              <w:rPr>
                <w:rFonts w:eastAsia="Times New Roman" w:cs="Arial"/>
                <w:position w:val="4"/>
                <w:sz w:val="19"/>
                <w:szCs w:val="19"/>
              </w:rPr>
              <w:t>Plaćene kamate</w:t>
            </w:r>
          </w:p>
        </w:tc>
        <w:tc>
          <w:tcPr>
            <w:tcW w:w="1252" w:type="dxa"/>
            <w:tcBorders>
              <w:top w:val="nil"/>
              <w:left w:val="nil"/>
              <w:bottom w:val="nil"/>
              <w:right w:val="nil"/>
            </w:tcBorders>
            <w:shd w:val="clear" w:color="auto" w:fill="auto"/>
            <w:vAlign w:val="bottom"/>
          </w:tcPr>
          <w:p w14:paraId="7AF050B4" w14:textId="027BF0DB" w:rsidR="001B316F" w:rsidRPr="000601E2" w:rsidRDefault="00553A21" w:rsidP="001B316F">
            <w:pPr>
              <w:keepLines/>
              <w:spacing w:after="0" w:line="240" w:lineRule="auto"/>
              <w:jc w:val="right"/>
              <w:rPr>
                <w:rFonts w:eastAsia="Times New Roman" w:cs="Arial"/>
                <w:position w:val="4"/>
                <w:sz w:val="19"/>
                <w:szCs w:val="19"/>
              </w:rPr>
            </w:pPr>
            <w:r>
              <w:rPr>
                <w:rFonts w:eastAsia="Times New Roman" w:cs="Arial"/>
                <w:position w:val="4"/>
                <w:sz w:val="19"/>
                <w:szCs w:val="19"/>
              </w:rPr>
              <w:t>294.418</w:t>
            </w:r>
          </w:p>
        </w:tc>
        <w:tc>
          <w:tcPr>
            <w:tcW w:w="1252" w:type="dxa"/>
            <w:tcBorders>
              <w:top w:val="nil"/>
              <w:left w:val="nil"/>
              <w:bottom w:val="nil"/>
              <w:right w:val="nil"/>
            </w:tcBorders>
            <w:shd w:val="clear" w:color="auto" w:fill="auto"/>
            <w:vAlign w:val="bottom"/>
          </w:tcPr>
          <w:p w14:paraId="70550099" w14:textId="449250B7" w:rsidR="001B316F" w:rsidRPr="000601E2" w:rsidRDefault="001B316F" w:rsidP="001B316F">
            <w:pPr>
              <w:keepLines/>
              <w:spacing w:after="0" w:line="240" w:lineRule="auto"/>
              <w:jc w:val="right"/>
              <w:rPr>
                <w:rFonts w:eastAsia="Times New Roman" w:cs="Arial"/>
                <w:position w:val="4"/>
                <w:sz w:val="19"/>
                <w:szCs w:val="19"/>
              </w:rPr>
            </w:pPr>
            <w:r>
              <w:rPr>
                <w:rFonts w:eastAsia="Times New Roman" w:cs="Arial"/>
                <w:position w:val="4"/>
                <w:sz w:val="19"/>
                <w:szCs w:val="19"/>
              </w:rPr>
              <w:t>311.376</w:t>
            </w:r>
          </w:p>
        </w:tc>
      </w:tr>
      <w:tr w:rsidR="001B316F" w:rsidRPr="000601E2" w14:paraId="066F4187" w14:textId="77777777" w:rsidTr="001B316F">
        <w:trPr>
          <w:trHeight w:val="68"/>
        </w:trPr>
        <w:tc>
          <w:tcPr>
            <w:tcW w:w="7231" w:type="dxa"/>
            <w:vAlign w:val="bottom"/>
          </w:tcPr>
          <w:p w14:paraId="40178A49" w14:textId="77777777" w:rsidR="001B316F" w:rsidRPr="000601E2" w:rsidRDefault="001B316F" w:rsidP="001B316F">
            <w:pPr>
              <w:keepLines/>
              <w:tabs>
                <w:tab w:val="decimal" w:pos="1202"/>
              </w:tabs>
              <w:spacing w:after="0" w:line="240" w:lineRule="auto"/>
              <w:rPr>
                <w:rFonts w:eastAsia="Times New Roman" w:cs="Arial"/>
                <w:position w:val="4"/>
                <w:sz w:val="19"/>
                <w:szCs w:val="19"/>
              </w:rPr>
            </w:pPr>
            <w:r w:rsidRPr="000601E2">
              <w:rPr>
                <w:rFonts w:eastAsia="Times New Roman" w:cs="Arial"/>
                <w:position w:val="4"/>
                <w:sz w:val="19"/>
                <w:szCs w:val="19"/>
              </w:rPr>
              <w:t>Primljene kamate</w:t>
            </w:r>
          </w:p>
        </w:tc>
        <w:tc>
          <w:tcPr>
            <w:tcW w:w="1252" w:type="dxa"/>
            <w:tcBorders>
              <w:top w:val="nil"/>
              <w:left w:val="nil"/>
              <w:bottom w:val="nil"/>
              <w:right w:val="nil"/>
            </w:tcBorders>
            <w:shd w:val="clear" w:color="auto" w:fill="auto"/>
            <w:vAlign w:val="bottom"/>
          </w:tcPr>
          <w:p w14:paraId="6220DCFF" w14:textId="67D3B0C3" w:rsidR="001B316F" w:rsidRPr="000601E2" w:rsidRDefault="00553A21" w:rsidP="001B316F">
            <w:pPr>
              <w:keepLines/>
              <w:spacing w:after="0" w:line="240" w:lineRule="auto"/>
              <w:jc w:val="right"/>
              <w:rPr>
                <w:rFonts w:eastAsia="Times New Roman" w:cs="Arial"/>
                <w:position w:val="4"/>
                <w:sz w:val="19"/>
                <w:szCs w:val="19"/>
              </w:rPr>
            </w:pPr>
            <w:r>
              <w:rPr>
                <w:rFonts w:eastAsia="Times New Roman" w:cs="Arial"/>
                <w:position w:val="4"/>
                <w:sz w:val="19"/>
                <w:szCs w:val="19"/>
              </w:rPr>
              <w:t>386.192</w:t>
            </w:r>
          </w:p>
        </w:tc>
        <w:tc>
          <w:tcPr>
            <w:tcW w:w="1252" w:type="dxa"/>
            <w:tcBorders>
              <w:top w:val="nil"/>
              <w:left w:val="nil"/>
              <w:bottom w:val="nil"/>
              <w:right w:val="nil"/>
            </w:tcBorders>
            <w:shd w:val="clear" w:color="auto" w:fill="auto"/>
            <w:vAlign w:val="bottom"/>
          </w:tcPr>
          <w:p w14:paraId="21CB119C" w14:textId="00F8037B" w:rsidR="001B316F" w:rsidRPr="000601E2" w:rsidRDefault="001B316F" w:rsidP="001B316F">
            <w:pPr>
              <w:keepLines/>
              <w:spacing w:after="0" w:line="240" w:lineRule="auto"/>
              <w:jc w:val="right"/>
              <w:rPr>
                <w:rFonts w:eastAsia="Times New Roman" w:cs="Arial"/>
                <w:position w:val="4"/>
                <w:sz w:val="19"/>
                <w:szCs w:val="19"/>
              </w:rPr>
            </w:pPr>
            <w:r>
              <w:rPr>
                <w:rFonts w:eastAsia="Times New Roman" w:cs="Arial"/>
                <w:position w:val="4"/>
                <w:sz w:val="19"/>
                <w:szCs w:val="19"/>
              </w:rPr>
              <w:t>356.307</w:t>
            </w:r>
          </w:p>
        </w:tc>
      </w:tr>
    </w:tbl>
    <w:p w14:paraId="6A6F8C46" w14:textId="77777777" w:rsidR="008638F9" w:rsidRDefault="008638F9" w:rsidP="002E1FA4">
      <w:pPr>
        <w:pStyle w:val="T1"/>
        <w:keepNext w:val="0"/>
        <w:spacing w:before="0" w:after="0" w:line="240" w:lineRule="auto"/>
        <w:rPr>
          <w:rFonts w:asciiTheme="minorHAnsi" w:hAnsiTheme="minorHAnsi"/>
          <w:b w:val="0"/>
          <w:bCs w:val="0"/>
          <w:sz w:val="22"/>
          <w:szCs w:val="22"/>
          <w:lang w:val="hr-HR"/>
        </w:rPr>
      </w:pPr>
    </w:p>
    <w:p w14:paraId="55847292" w14:textId="441A6A74" w:rsidR="000141E9" w:rsidRPr="002E1FA4" w:rsidRDefault="002E1FA4" w:rsidP="000141E9">
      <w:pPr>
        <w:pStyle w:val="T1"/>
        <w:keepNext w:val="0"/>
        <w:spacing w:before="120" w:after="0" w:line="240" w:lineRule="auto"/>
        <w:rPr>
          <w:rFonts w:asciiTheme="minorHAnsi" w:hAnsiTheme="minorHAnsi" w:cs="Arial"/>
          <w:b w:val="0"/>
          <w:bCs w:val="0"/>
          <w:sz w:val="22"/>
          <w:szCs w:val="22"/>
          <w:lang w:val="hr-HR"/>
        </w:rPr>
      </w:pPr>
      <w:r w:rsidRPr="002E1FA4">
        <w:rPr>
          <w:rFonts w:asciiTheme="minorHAnsi" w:hAnsiTheme="minorHAnsi"/>
          <w:b w:val="0"/>
          <w:bCs w:val="0"/>
          <w:sz w:val="22"/>
          <w:szCs w:val="22"/>
          <w:lang w:val="hr-HR"/>
        </w:rPr>
        <w:t>Priložene bilješke uz financijske izvještaje sastavni su dio ovog izvještaja o novčanim tokovima.</w:t>
      </w:r>
    </w:p>
    <w:p w14:paraId="49FC6946" w14:textId="77777777" w:rsidR="001A0990" w:rsidRPr="00CA37C8" w:rsidRDefault="001A0990" w:rsidP="00C4266C">
      <w:pPr>
        <w:spacing w:after="0" w:line="240" w:lineRule="auto"/>
        <w:rPr>
          <w:rFonts w:eastAsia="Times New Roman" w:cs="Times New Roman"/>
          <w:sz w:val="24"/>
          <w:szCs w:val="24"/>
        </w:rPr>
        <w:sectPr w:rsidR="001A0990" w:rsidRPr="00CA37C8" w:rsidSect="00305343">
          <w:headerReference w:type="default" r:id="rId32"/>
          <w:headerReference w:type="first" r:id="rId33"/>
          <w:footerReference w:type="first" r:id="rId34"/>
          <w:pgSz w:w="11906" w:h="16838" w:code="9"/>
          <w:pgMar w:top="610" w:right="1133" w:bottom="1417" w:left="1417" w:header="709" w:footer="709" w:gutter="0"/>
          <w:cols w:space="708"/>
          <w:titlePg/>
          <w:docGrid w:linePitch="360"/>
        </w:sectPr>
      </w:pPr>
    </w:p>
    <w:p w14:paraId="735F6D94" w14:textId="77777777" w:rsidR="00D97C38" w:rsidRPr="00CA37C8" w:rsidRDefault="00D97C38" w:rsidP="00C4266C">
      <w:pPr>
        <w:spacing w:after="0" w:line="240" w:lineRule="auto"/>
        <w:rPr>
          <w:rFonts w:eastAsia="Times New Roman" w:cs="Times New Roman"/>
          <w:sz w:val="24"/>
          <w:szCs w:val="24"/>
        </w:rPr>
      </w:pPr>
    </w:p>
    <w:p w14:paraId="2EFBCE16" w14:textId="77777777" w:rsidR="00EC1B73" w:rsidRDefault="00EC1B73" w:rsidP="00C66644">
      <w:pPr>
        <w:pStyle w:val="T1"/>
        <w:keepNext w:val="0"/>
        <w:spacing w:before="0" w:after="0" w:line="240" w:lineRule="auto"/>
        <w:rPr>
          <w:rFonts w:asciiTheme="minorHAnsi" w:hAnsiTheme="minorHAnsi" w:cs="Arial"/>
          <w:b w:val="0"/>
          <w:bCs w:val="0"/>
          <w:sz w:val="22"/>
          <w:szCs w:val="22"/>
          <w:lang w:val="hr-HR"/>
        </w:rPr>
      </w:pPr>
    </w:p>
    <w:tbl>
      <w:tblPr>
        <w:tblpPr w:leftFromText="180" w:rightFromText="180" w:vertAnchor="page" w:horzAnchor="margin" w:tblpY="2806"/>
        <w:tblW w:w="4986" w:type="pct"/>
        <w:tblLayout w:type="fixed"/>
        <w:tblCellMar>
          <w:left w:w="120" w:type="dxa"/>
          <w:right w:w="57" w:type="dxa"/>
        </w:tblCellMar>
        <w:tblLook w:val="0000" w:firstRow="0" w:lastRow="0" w:firstColumn="0" w:lastColumn="0" w:noHBand="0" w:noVBand="0"/>
      </w:tblPr>
      <w:tblGrid>
        <w:gridCol w:w="2765"/>
        <w:gridCol w:w="1288"/>
        <w:gridCol w:w="1288"/>
        <w:gridCol w:w="1288"/>
        <w:gridCol w:w="1288"/>
        <w:gridCol w:w="1413"/>
      </w:tblGrid>
      <w:tr w:rsidR="001B316F" w:rsidRPr="001B316F" w14:paraId="43DDF044" w14:textId="77777777" w:rsidTr="00312975">
        <w:trPr>
          <w:trHeight w:val="803"/>
        </w:trPr>
        <w:tc>
          <w:tcPr>
            <w:tcW w:w="1482" w:type="pct"/>
          </w:tcPr>
          <w:p w14:paraId="7A8059DA" w14:textId="77777777" w:rsidR="001B316F" w:rsidRPr="001B316F" w:rsidRDefault="001B316F" w:rsidP="001B316F">
            <w:pPr>
              <w:tabs>
                <w:tab w:val="right" w:pos="1202"/>
              </w:tabs>
              <w:spacing w:after="0" w:line="240" w:lineRule="auto"/>
              <w:outlineLvl w:val="0"/>
              <w:rPr>
                <w:rFonts w:eastAsia="Times New Roman" w:cs="Arial"/>
                <w:b/>
                <w:iCs/>
                <w:sz w:val="19"/>
                <w:szCs w:val="19"/>
              </w:rPr>
            </w:pPr>
          </w:p>
        </w:tc>
        <w:tc>
          <w:tcPr>
            <w:tcW w:w="690" w:type="pct"/>
            <w:vAlign w:val="bottom"/>
          </w:tcPr>
          <w:p w14:paraId="2903EB92" w14:textId="77777777" w:rsidR="001B316F" w:rsidRPr="001B316F" w:rsidRDefault="001B316F" w:rsidP="001B316F">
            <w:pPr>
              <w:tabs>
                <w:tab w:val="right" w:pos="1202"/>
              </w:tabs>
              <w:spacing w:after="0" w:line="240" w:lineRule="auto"/>
              <w:jc w:val="right"/>
              <w:outlineLvl w:val="0"/>
              <w:rPr>
                <w:rFonts w:eastAsia="Times New Roman" w:cs="Arial"/>
                <w:b/>
                <w:iCs/>
                <w:sz w:val="19"/>
                <w:szCs w:val="19"/>
              </w:rPr>
            </w:pPr>
            <w:r w:rsidRPr="001B316F">
              <w:rPr>
                <w:rFonts w:eastAsia="Times New Roman" w:cs="Arial"/>
                <w:b/>
                <w:iCs/>
                <w:sz w:val="19"/>
                <w:szCs w:val="19"/>
              </w:rPr>
              <w:t>Osnivački</w:t>
            </w:r>
          </w:p>
          <w:p w14:paraId="1670FEC2" w14:textId="77777777" w:rsidR="001B316F" w:rsidRPr="001B316F" w:rsidRDefault="001B316F" w:rsidP="001B316F">
            <w:pPr>
              <w:tabs>
                <w:tab w:val="right" w:pos="1202"/>
              </w:tabs>
              <w:spacing w:after="0" w:line="240" w:lineRule="auto"/>
              <w:jc w:val="right"/>
              <w:outlineLvl w:val="0"/>
              <w:rPr>
                <w:rFonts w:eastAsia="Times New Roman" w:cs="Arial"/>
                <w:b/>
                <w:iCs/>
                <w:sz w:val="19"/>
                <w:szCs w:val="19"/>
              </w:rPr>
            </w:pPr>
            <w:r w:rsidRPr="001B316F">
              <w:rPr>
                <w:rFonts w:eastAsia="Times New Roman" w:cs="Arial"/>
                <w:b/>
                <w:iCs/>
                <w:sz w:val="19"/>
                <w:szCs w:val="19"/>
              </w:rPr>
              <w:t>kapital</w:t>
            </w:r>
          </w:p>
        </w:tc>
        <w:tc>
          <w:tcPr>
            <w:tcW w:w="690" w:type="pct"/>
            <w:vAlign w:val="bottom"/>
          </w:tcPr>
          <w:p w14:paraId="07EA0D3B" w14:textId="77777777" w:rsidR="001B316F" w:rsidRPr="001B316F" w:rsidRDefault="001B316F" w:rsidP="001B316F">
            <w:pPr>
              <w:tabs>
                <w:tab w:val="right" w:pos="1202"/>
              </w:tabs>
              <w:spacing w:after="0" w:line="240" w:lineRule="auto"/>
              <w:jc w:val="right"/>
              <w:outlineLvl w:val="0"/>
              <w:rPr>
                <w:rFonts w:eastAsia="Times New Roman" w:cs="Arial"/>
                <w:b/>
                <w:iCs/>
                <w:sz w:val="19"/>
                <w:szCs w:val="19"/>
              </w:rPr>
            </w:pPr>
            <w:r w:rsidRPr="001B316F">
              <w:rPr>
                <w:rFonts w:eastAsia="Times New Roman" w:cs="Arial"/>
                <w:b/>
                <w:iCs/>
                <w:sz w:val="19"/>
                <w:szCs w:val="19"/>
              </w:rPr>
              <w:t>Zadržana</w:t>
            </w:r>
          </w:p>
          <w:p w14:paraId="390A3F1D" w14:textId="77777777" w:rsidR="001B316F" w:rsidRPr="001B316F" w:rsidRDefault="001B316F" w:rsidP="001B316F">
            <w:pPr>
              <w:tabs>
                <w:tab w:val="right" w:pos="1202"/>
              </w:tabs>
              <w:spacing w:after="0" w:line="240" w:lineRule="auto"/>
              <w:jc w:val="right"/>
              <w:outlineLvl w:val="0"/>
              <w:rPr>
                <w:rFonts w:eastAsia="Times New Roman" w:cs="Arial"/>
                <w:b/>
                <w:iCs/>
                <w:sz w:val="19"/>
                <w:szCs w:val="19"/>
              </w:rPr>
            </w:pPr>
            <w:r w:rsidRPr="001B316F">
              <w:rPr>
                <w:rFonts w:eastAsia="Times New Roman" w:cs="Arial"/>
                <w:b/>
                <w:iCs/>
                <w:sz w:val="19"/>
                <w:szCs w:val="19"/>
              </w:rPr>
              <w:t>dobit i rezerve</w:t>
            </w:r>
          </w:p>
        </w:tc>
        <w:tc>
          <w:tcPr>
            <w:tcW w:w="690" w:type="pct"/>
            <w:vAlign w:val="bottom"/>
          </w:tcPr>
          <w:p w14:paraId="59241B98" w14:textId="77777777" w:rsidR="001B316F" w:rsidRPr="001B316F" w:rsidRDefault="001B316F" w:rsidP="001B316F">
            <w:pPr>
              <w:tabs>
                <w:tab w:val="right" w:pos="1202"/>
              </w:tabs>
              <w:spacing w:after="0" w:line="240" w:lineRule="auto"/>
              <w:jc w:val="right"/>
              <w:outlineLvl w:val="0"/>
              <w:rPr>
                <w:rFonts w:eastAsia="Times New Roman" w:cs="Arial"/>
                <w:b/>
                <w:iCs/>
                <w:sz w:val="19"/>
                <w:szCs w:val="19"/>
              </w:rPr>
            </w:pPr>
            <w:r w:rsidRPr="001B316F">
              <w:rPr>
                <w:rFonts w:eastAsia="Times New Roman" w:cs="Arial"/>
                <w:b/>
                <w:iCs/>
                <w:sz w:val="19"/>
                <w:szCs w:val="19"/>
              </w:rPr>
              <w:t>Ostale rezerve</w:t>
            </w:r>
          </w:p>
        </w:tc>
        <w:tc>
          <w:tcPr>
            <w:tcW w:w="690" w:type="pct"/>
            <w:vAlign w:val="bottom"/>
          </w:tcPr>
          <w:p w14:paraId="59436AD0" w14:textId="77777777" w:rsidR="001B316F" w:rsidRPr="001B316F" w:rsidRDefault="001B316F" w:rsidP="001B316F">
            <w:pPr>
              <w:tabs>
                <w:tab w:val="right" w:pos="1202"/>
              </w:tabs>
              <w:spacing w:after="0" w:line="240" w:lineRule="auto"/>
              <w:jc w:val="right"/>
              <w:outlineLvl w:val="0"/>
              <w:rPr>
                <w:rFonts w:eastAsia="Times New Roman" w:cs="Arial"/>
                <w:b/>
                <w:iCs/>
                <w:sz w:val="19"/>
                <w:szCs w:val="19"/>
              </w:rPr>
            </w:pPr>
            <w:r w:rsidRPr="001B316F">
              <w:rPr>
                <w:rFonts w:eastAsia="Times New Roman" w:cs="Arial"/>
                <w:b/>
                <w:iCs/>
                <w:sz w:val="19"/>
                <w:szCs w:val="19"/>
              </w:rPr>
              <w:t>Neto dobit</w:t>
            </w:r>
          </w:p>
          <w:p w14:paraId="0A658A2D" w14:textId="7EC74DBA" w:rsidR="001B316F" w:rsidRPr="001B316F" w:rsidRDefault="001B316F" w:rsidP="000035C6">
            <w:pPr>
              <w:tabs>
                <w:tab w:val="right" w:pos="1202"/>
              </w:tabs>
              <w:spacing w:after="0" w:line="240" w:lineRule="auto"/>
              <w:jc w:val="right"/>
              <w:outlineLvl w:val="0"/>
              <w:rPr>
                <w:rFonts w:eastAsia="Times New Roman" w:cs="Arial"/>
                <w:b/>
                <w:iCs/>
                <w:sz w:val="19"/>
                <w:szCs w:val="19"/>
              </w:rPr>
            </w:pPr>
            <w:r w:rsidRPr="001B316F">
              <w:rPr>
                <w:rFonts w:eastAsia="Times New Roman" w:cs="Arial"/>
                <w:b/>
                <w:iCs/>
                <w:sz w:val="19"/>
                <w:szCs w:val="19"/>
              </w:rPr>
              <w:t>tekuće</w:t>
            </w:r>
            <w:r w:rsidR="000035C6">
              <w:rPr>
                <w:rFonts w:eastAsia="Times New Roman" w:cs="Arial"/>
                <w:b/>
                <w:iCs/>
                <w:sz w:val="19"/>
                <w:szCs w:val="19"/>
              </w:rPr>
              <w:t>g</w:t>
            </w:r>
            <w:r w:rsidRPr="001B316F">
              <w:rPr>
                <w:rFonts w:eastAsia="Times New Roman" w:cs="Arial"/>
                <w:b/>
                <w:iCs/>
                <w:sz w:val="19"/>
                <w:szCs w:val="19"/>
              </w:rPr>
              <w:t xml:space="preserve"> </w:t>
            </w:r>
            <w:r w:rsidR="000035C6">
              <w:rPr>
                <w:rFonts w:eastAsia="Times New Roman" w:cs="Arial"/>
                <w:b/>
                <w:iCs/>
                <w:sz w:val="19"/>
                <w:szCs w:val="19"/>
              </w:rPr>
              <w:t>razdoblja</w:t>
            </w:r>
          </w:p>
        </w:tc>
        <w:tc>
          <w:tcPr>
            <w:tcW w:w="757" w:type="pct"/>
            <w:vAlign w:val="bottom"/>
          </w:tcPr>
          <w:p w14:paraId="7472A74D" w14:textId="77777777" w:rsidR="001B316F" w:rsidRPr="001B316F" w:rsidRDefault="001B316F" w:rsidP="001B316F">
            <w:pPr>
              <w:tabs>
                <w:tab w:val="right" w:pos="1202"/>
              </w:tabs>
              <w:spacing w:after="0" w:line="240" w:lineRule="auto"/>
              <w:jc w:val="right"/>
              <w:outlineLvl w:val="0"/>
              <w:rPr>
                <w:rFonts w:eastAsia="Times New Roman" w:cs="Arial"/>
                <w:b/>
                <w:iCs/>
                <w:sz w:val="19"/>
                <w:szCs w:val="19"/>
              </w:rPr>
            </w:pPr>
            <w:r w:rsidRPr="001B316F">
              <w:rPr>
                <w:rFonts w:eastAsia="Times New Roman" w:cs="Arial"/>
                <w:b/>
                <w:iCs/>
                <w:sz w:val="19"/>
                <w:szCs w:val="19"/>
              </w:rPr>
              <w:t xml:space="preserve">Ukupni </w:t>
            </w:r>
          </w:p>
          <w:p w14:paraId="6D8935B2" w14:textId="77777777" w:rsidR="001B316F" w:rsidRPr="001B316F" w:rsidRDefault="001B316F" w:rsidP="001B316F">
            <w:pPr>
              <w:tabs>
                <w:tab w:val="right" w:pos="1202"/>
              </w:tabs>
              <w:spacing w:after="0" w:line="240" w:lineRule="auto"/>
              <w:jc w:val="right"/>
              <w:outlineLvl w:val="0"/>
              <w:rPr>
                <w:rFonts w:eastAsia="Times New Roman" w:cs="Arial"/>
                <w:b/>
                <w:iCs/>
                <w:sz w:val="19"/>
                <w:szCs w:val="19"/>
              </w:rPr>
            </w:pPr>
            <w:r w:rsidRPr="001B316F">
              <w:rPr>
                <w:rFonts w:eastAsia="Times New Roman" w:cs="Arial"/>
                <w:b/>
                <w:iCs/>
                <w:sz w:val="19"/>
                <w:szCs w:val="19"/>
              </w:rPr>
              <w:t>kapital</w:t>
            </w:r>
          </w:p>
        </w:tc>
      </w:tr>
      <w:tr w:rsidR="001B316F" w:rsidRPr="001B316F" w14:paraId="41969050" w14:textId="77777777" w:rsidTr="00312975">
        <w:trPr>
          <w:trHeight w:val="135"/>
        </w:trPr>
        <w:tc>
          <w:tcPr>
            <w:tcW w:w="1482" w:type="pct"/>
          </w:tcPr>
          <w:p w14:paraId="34572B42" w14:textId="77777777" w:rsidR="001B316F" w:rsidRPr="001B316F" w:rsidRDefault="001B316F" w:rsidP="001B316F">
            <w:pPr>
              <w:tabs>
                <w:tab w:val="right" w:pos="1202"/>
              </w:tabs>
              <w:spacing w:after="0" w:line="240" w:lineRule="auto"/>
              <w:outlineLvl w:val="0"/>
              <w:rPr>
                <w:rFonts w:eastAsia="Times New Roman" w:cs="Arial"/>
                <w:iCs/>
                <w:sz w:val="19"/>
                <w:szCs w:val="19"/>
              </w:rPr>
            </w:pPr>
          </w:p>
        </w:tc>
        <w:tc>
          <w:tcPr>
            <w:tcW w:w="690" w:type="pct"/>
            <w:vAlign w:val="bottom"/>
          </w:tcPr>
          <w:p w14:paraId="0F23528E" w14:textId="77777777" w:rsidR="001B316F" w:rsidRPr="001B316F" w:rsidRDefault="001B316F" w:rsidP="001B316F">
            <w:pPr>
              <w:tabs>
                <w:tab w:val="right" w:pos="1202"/>
              </w:tabs>
              <w:spacing w:after="0" w:line="240" w:lineRule="auto"/>
              <w:jc w:val="right"/>
              <w:outlineLvl w:val="0"/>
              <w:rPr>
                <w:rFonts w:eastAsia="Times New Roman" w:cs="Arial"/>
                <w:b/>
                <w:bCs/>
                <w:sz w:val="19"/>
                <w:szCs w:val="19"/>
              </w:rPr>
            </w:pPr>
          </w:p>
        </w:tc>
        <w:tc>
          <w:tcPr>
            <w:tcW w:w="690" w:type="pct"/>
            <w:vAlign w:val="bottom"/>
          </w:tcPr>
          <w:p w14:paraId="5922C150" w14:textId="77777777" w:rsidR="001B316F" w:rsidRPr="001B316F" w:rsidRDefault="001B316F" w:rsidP="001B316F">
            <w:pPr>
              <w:tabs>
                <w:tab w:val="right" w:pos="1202"/>
              </w:tabs>
              <w:spacing w:after="0" w:line="240" w:lineRule="auto"/>
              <w:jc w:val="right"/>
              <w:outlineLvl w:val="0"/>
              <w:rPr>
                <w:rFonts w:eastAsia="Times New Roman" w:cs="Arial"/>
                <w:b/>
                <w:bCs/>
                <w:sz w:val="19"/>
                <w:szCs w:val="19"/>
              </w:rPr>
            </w:pPr>
          </w:p>
        </w:tc>
        <w:tc>
          <w:tcPr>
            <w:tcW w:w="690" w:type="pct"/>
          </w:tcPr>
          <w:p w14:paraId="255F0EF4" w14:textId="77777777" w:rsidR="001B316F" w:rsidRPr="001B316F" w:rsidRDefault="001B316F" w:rsidP="001B316F">
            <w:pPr>
              <w:tabs>
                <w:tab w:val="right" w:pos="1202"/>
              </w:tabs>
              <w:spacing w:after="0" w:line="240" w:lineRule="auto"/>
              <w:jc w:val="right"/>
              <w:outlineLvl w:val="0"/>
              <w:rPr>
                <w:rFonts w:eastAsia="Times New Roman" w:cs="Arial"/>
                <w:b/>
                <w:bCs/>
                <w:sz w:val="19"/>
                <w:szCs w:val="19"/>
              </w:rPr>
            </w:pPr>
          </w:p>
        </w:tc>
        <w:tc>
          <w:tcPr>
            <w:tcW w:w="690" w:type="pct"/>
            <w:vAlign w:val="bottom"/>
          </w:tcPr>
          <w:p w14:paraId="4ACD67E7" w14:textId="77777777" w:rsidR="001B316F" w:rsidRPr="001B316F" w:rsidRDefault="001B316F" w:rsidP="001B316F">
            <w:pPr>
              <w:tabs>
                <w:tab w:val="right" w:pos="1202"/>
              </w:tabs>
              <w:spacing w:after="0" w:line="240" w:lineRule="auto"/>
              <w:jc w:val="right"/>
              <w:outlineLvl w:val="0"/>
              <w:rPr>
                <w:rFonts w:eastAsia="Times New Roman" w:cs="Arial"/>
                <w:b/>
                <w:bCs/>
                <w:sz w:val="19"/>
                <w:szCs w:val="19"/>
              </w:rPr>
            </w:pPr>
          </w:p>
        </w:tc>
        <w:tc>
          <w:tcPr>
            <w:tcW w:w="757" w:type="pct"/>
            <w:vAlign w:val="bottom"/>
          </w:tcPr>
          <w:p w14:paraId="4517EAC6" w14:textId="77777777" w:rsidR="001B316F" w:rsidRPr="001B316F" w:rsidRDefault="001B316F" w:rsidP="001B316F">
            <w:pPr>
              <w:tabs>
                <w:tab w:val="right" w:pos="1202"/>
              </w:tabs>
              <w:spacing w:after="0" w:line="240" w:lineRule="auto"/>
              <w:jc w:val="right"/>
              <w:outlineLvl w:val="0"/>
              <w:rPr>
                <w:rFonts w:eastAsia="Times New Roman" w:cs="Arial"/>
                <w:b/>
                <w:bCs/>
                <w:sz w:val="19"/>
                <w:szCs w:val="19"/>
              </w:rPr>
            </w:pPr>
          </w:p>
        </w:tc>
      </w:tr>
      <w:tr w:rsidR="001B316F" w:rsidRPr="001B316F" w14:paraId="0BAA1CCE" w14:textId="77777777" w:rsidTr="00312975">
        <w:trPr>
          <w:trHeight w:val="464"/>
        </w:trPr>
        <w:tc>
          <w:tcPr>
            <w:tcW w:w="1482" w:type="pct"/>
            <w:vAlign w:val="bottom"/>
          </w:tcPr>
          <w:p w14:paraId="482B137F" w14:textId="4CC96FFC" w:rsidR="001B316F" w:rsidRPr="001B316F" w:rsidRDefault="001B316F" w:rsidP="00932654">
            <w:pPr>
              <w:tabs>
                <w:tab w:val="right" w:pos="1202"/>
              </w:tabs>
              <w:spacing w:after="0" w:line="240" w:lineRule="auto"/>
              <w:outlineLvl w:val="0"/>
              <w:rPr>
                <w:rFonts w:eastAsia="Times New Roman" w:cs="Arial"/>
                <w:b/>
                <w:iCs/>
                <w:sz w:val="19"/>
                <w:szCs w:val="19"/>
              </w:rPr>
            </w:pPr>
            <w:r w:rsidRPr="001B316F">
              <w:rPr>
                <w:rFonts w:eastAsia="Times New Roman" w:cs="Arial"/>
                <w:b/>
                <w:iCs/>
                <w:sz w:val="19"/>
                <w:szCs w:val="19"/>
              </w:rPr>
              <w:t>Stanje 1. siječnja 201</w:t>
            </w:r>
            <w:r>
              <w:rPr>
                <w:rFonts w:eastAsia="Times New Roman" w:cs="Arial"/>
                <w:b/>
                <w:iCs/>
                <w:sz w:val="19"/>
                <w:szCs w:val="19"/>
              </w:rPr>
              <w:t>6</w:t>
            </w:r>
            <w:r w:rsidRPr="001B316F">
              <w:rPr>
                <w:rFonts w:eastAsia="Times New Roman" w:cs="Arial"/>
                <w:b/>
                <w:iCs/>
                <w:sz w:val="19"/>
                <w:szCs w:val="19"/>
              </w:rPr>
              <w:t>. godine</w:t>
            </w:r>
          </w:p>
        </w:tc>
        <w:tc>
          <w:tcPr>
            <w:tcW w:w="690" w:type="pct"/>
            <w:tcBorders>
              <w:top w:val="nil"/>
              <w:left w:val="nil"/>
              <w:bottom w:val="nil"/>
              <w:right w:val="nil"/>
            </w:tcBorders>
            <w:shd w:val="clear" w:color="auto" w:fill="auto"/>
            <w:vAlign w:val="bottom"/>
          </w:tcPr>
          <w:p w14:paraId="3797BF16" w14:textId="1A84A7A7" w:rsidR="001B316F" w:rsidRPr="001B316F" w:rsidRDefault="001B316F" w:rsidP="001B316F">
            <w:pPr>
              <w:tabs>
                <w:tab w:val="right" w:pos="1202"/>
              </w:tabs>
              <w:spacing w:after="0" w:line="240" w:lineRule="auto"/>
              <w:jc w:val="right"/>
              <w:outlineLvl w:val="0"/>
              <w:rPr>
                <w:rFonts w:ascii="Calibri" w:eastAsia="Times New Roman" w:hAnsi="Calibri" w:cs="Calibri"/>
                <w:b/>
                <w:iCs/>
                <w:sz w:val="19"/>
                <w:szCs w:val="19"/>
                <w:lang w:val="en-GB"/>
              </w:rPr>
            </w:pPr>
            <w:r w:rsidRPr="001B316F">
              <w:rPr>
                <w:rFonts w:ascii="Calibri" w:eastAsia="Times New Roman" w:hAnsi="Calibri" w:cs="Times New Roman"/>
                <w:b/>
                <w:bCs/>
                <w:color w:val="000000"/>
                <w:sz w:val="19"/>
                <w:szCs w:val="19"/>
                <w:lang w:val="en-GB"/>
              </w:rPr>
              <w:t>6.926.632</w:t>
            </w:r>
          </w:p>
        </w:tc>
        <w:tc>
          <w:tcPr>
            <w:tcW w:w="690" w:type="pct"/>
            <w:tcBorders>
              <w:top w:val="nil"/>
              <w:left w:val="nil"/>
              <w:bottom w:val="nil"/>
              <w:right w:val="nil"/>
            </w:tcBorders>
            <w:shd w:val="clear" w:color="auto" w:fill="auto"/>
            <w:vAlign w:val="bottom"/>
          </w:tcPr>
          <w:p w14:paraId="538A8190" w14:textId="6E44D20C" w:rsidR="001B316F" w:rsidRPr="001B316F" w:rsidRDefault="001B316F" w:rsidP="001B316F">
            <w:pPr>
              <w:tabs>
                <w:tab w:val="right" w:pos="1202"/>
              </w:tabs>
              <w:spacing w:after="0" w:line="240" w:lineRule="auto"/>
              <w:jc w:val="right"/>
              <w:outlineLvl w:val="0"/>
              <w:rPr>
                <w:rFonts w:ascii="Calibri" w:eastAsia="Times New Roman" w:hAnsi="Calibri" w:cs="Calibri"/>
                <w:b/>
                <w:iCs/>
                <w:sz w:val="19"/>
                <w:szCs w:val="19"/>
                <w:lang w:val="en-GB"/>
              </w:rPr>
            </w:pPr>
            <w:r w:rsidRPr="001B316F">
              <w:rPr>
                <w:rFonts w:ascii="Calibri" w:eastAsia="Times New Roman" w:hAnsi="Calibri" w:cs="Times New Roman"/>
                <w:b/>
                <w:bCs/>
                <w:color w:val="000000"/>
                <w:sz w:val="19"/>
                <w:szCs w:val="19"/>
                <w:lang w:val="en-GB"/>
              </w:rPr>
              <w:t>2.475.862</w:t>
            </w:r>
          </w:p>
        </w:tc>
        <w:tc>
          <w:tcPr>
            <w:tcW w:w="690" w:type="pct"/>
            <w:tcBorders>
              <w:top w:val="nil"/>
              <w:left w:val="nil"/>
              <w:bottom w:val="nil"/>
              <w:right w:val="nil"/>
            </w:tcBorders>
            <w:shd w:val="clear" w:color="auto" w:fill="auto"/>
            <w:vAlign w:val="bottom"/>
          </w:tcPr>
          <w:p w14:paraId="03995199" w14:textId="3105F945" w:rsidR="001B316F" w:rsidRPr="001B316F" w:rsidRDefault="001B316F" w:rsidP="001B316F">
            <w:pPr>
              <w:tabs>
                <w:tab w:val="right" w:pos="1202"/>
              </w:tabs>
              <w:spacing w:after="0" w:line="240" w:lineRule="auto"/>
              <w:jc w:val="right"/>
              <w:outlineLvl w:val="0"/>
              <w:rPr>
                <w:rFonts w:ascii="Calibri" w:eastAsia="Times New Roman" w:hAnsi="Calibri" w:cs="Calibri"/>
                <w:b/>
                <w:iCs/>
                <w:sz w:val="19"/>
                <w:szCs w:val="19"/>
                <w:lang w:val="en-GB"/>
              </w:rPr>
            </w:pPr>
            <w:r w:rsidRPr="001B316F">
              <w:rPr>
                <w:rFonts w:ascii="Calibri" w:eastAsia="Times New Roman" w:hAnsi="Calibri" w:cs="Times New Roman"/>
                <w:b/>
                <w:bCs/>
                <w:color w:val="000000"/>
                <w:sz w:val="19"/>
                <w:szCs w:val="19"/>
                <w:lang w:val="en-GB"/>
              </w:rPr>
              <w:t>43.283</w:t>
            </w:r>
          </w:p>
        </w:tc>
        <w:tc>
          <w:tcPr>
            <w:tcW w:w="690" w:type="pct"/>
            <w:tcBorders>
              <w:top w:val="nil"/>
              <w:left w:val="nil"/>
              <w:bottom w:val="nil"/>
              <w:right w:val="nil"/>
            </w:tcBorders>
            <w:shd w:val="clear" w:color="auto" w:fill="auto"/>
            <w:vAlign w:val="bottom"/>
          </w:tcPr>
          <w:p w14:paraId="2BDC1DB8" w14:textId="1008350E" w:rsidR="001B316F" w:rsidRPr="001B316F" w:rsidRDefault="001B316F" w:rsidP="001B316F">
            <w:pPr>
              <w:tabs>
                <w:tab w:val="right" w:pos="1202"/>
              </w:tabs>
              <w:spacing w:after="0" w:line="240" w:lineRule="auto"/>
              <w:jc w:val="right"/>
              <w:outlineLvl w:val="0"/>
              <w:rPr>
                <w:rFonts w:ascii="Calibri" w:eastAsia="Times New Roman" w:hAnsi="Calibri" w:cs="Calibri"/>
                <w:b/>
                <w:iCs/>
                <w:sz w:val="19"/>
                <w:szCs w:val="19"/>
                <w:lang w:val="en-GB"/>
              </w:rPr>
            </w:pPr>
            <w:r w:rsidRPr="001B316F">
              <w:rPr>
                <w:rFonts w:ascii="Calibri" w:eastAsia="Times New Roman" w:hAnsi="Calibri" w:cs="Times New Roman"/>
                <w:b/>
                <w:bCs/>
                <w:color w:val="000000"/>
                <w:sz w:val="19"/>
                <w:szCs w:val="19"/>
                <w:lang w:val="en-GB"/>
              </w:rPr>
              <w:t>206.265</w:t>
            </w:r>
          </w:p>
        </w:tc>
        <w:tc>
          <w:tcPr>
            <w:tcW w:w="757" w:type="pct"/>
            <w:tcBorders>
              <w:top w:val="nil"/>
              <w:left w:val="nil"/>
              <w:bottom w:val="nil"/>
              <w:right w:val="nil"/>
            </w:tcBorders>
            <w:shd w:val="clear" w:color="auto" w:fill="auto"/>
            <w:vAlign w:val="bottom"/>
          </w:tcPr>
          <w:p w14:paraId="366CEC18" w14:textId="509F9307" w:rsidR="001B316F" w:rsidRPr="001B316F" w:rsidRDefault="001B316F" w:rsidP="001B316F">
            <w:pPr>
              <w:tabs>
                <w:tab w:val="right" w:pos="1202"/>
              </w:tabs>
              <w:spacing w:after="0" w:line="240" w:lineRule="auto"/>
              <w:jc w:val="right"/>
              <w:outlineLvl w:val="0"/>
              <w:rPr>
                <w:rFonts w:ascii="Calibri" w:eastAsia="Times New Roman" w:hAnsi="Calibri" w:cs="Calibri"/>
                <w:b/>
                <w:iCs/>
                <w:sz w:val="19"/>
                <w:szCs w:val="19"/>
                <w:lang w:val="en-GB"/>
              </w:rPr>
            </w:pPr>
            <w:r w:rsidRPr="001B316F">
              <w:rPr>
                <w:rFonts w:ascii="Calibri" w:eastAsia="Times New Roman" w:hAnsi="Calibri" w:cs="Times New Roman"/>
                <w:b/>
                <w:bCs/>
                <w:color w:val="000000"/>
                <w:sz w:val="19"/>
                <w:szCs w:val="19"/>
                <w:lang w:val="en-GB"/>
              </w:rPr>
              <w:t>9.652.042</w:t>
            </w:r>
          </w:p>
        </w:tc>
      </w:tr>
      <w:tr w:rsidR="001B316F" w:rsidRPr="001B316F" w14:paraId="0443E93C" w14:textId="77777777" w:rsidTr="00312975">
        <w:trPr>
          <w:trHeight w:val="61"/>
        </w:trPr>
        <w:tc>
          <w:tcPr>
            <w:tcW w:w="1482" w:type="pct"/>
          </w:tcPr>
          <w:p w14:paraId="181FB446" w14:textId="77777777" w:rsidR="001B316F" w:rsidRPr="001B316F" w:rsidRDefault="001B316F" w:rsidP="001B316F">
            <w:pPr>
              <w:tabs>
                <w:tab w:val="right" w:pos="1202"/>
              </w:tabs>
              <w:spacing w:after="0" w:line="140" w:lineRule="exact"/>
              <w:jc w:val="right"/>
              <w:outlineLvl w:val="0"/>
              <w:rPr>
                <w:rFonts w:eastAsia="Times New Roman" w:cs="Arial"/>
                <w:b/>
                <w:iCs/>
                <w:sz w:val="19"/>
                <w:szCs w:val="19"/>
              </w:rPr>
            </w:pPr>
          </w:p>
        </w:tc>
        <w:tc>
          <w:tcPr>
            <w:tcW w:w="690" w:type="pct"/>
            <w:vAlign w:val="bottom"/>
          </w:tcPr>
          <w:p w14:paraId="1353A611" w14:textId="77777777" w:rsidR="001B316F" w:rsidRPr="001B316F" w:rsidRDefault="001B316F" w:rsidP="001B316F">
            <w:pPr>
              <w:keepNext/>
              <w:keepLines/>
              <w:spacing w:after="0" w:line="100" w:lineRule="exact"/>
              <w:jc w:val="right"/>
              <w:rPr>
                <w:rFonts w:ascii="Arial" w:eastAsia="Times New Roman" w:hAnsi="Arial" w:cs="Arial"/>
                <w:b/>
                <w:position w:val="4"/>
                <w:sz w:val="16"/>
                <w:szCs w:val="20"/>
                <w:u w:val="thick"/>
              </w:rPr>
            </w:pPr>
            <w:r w:rsidRPr="001B316F">
              <w:rPr>
                <w:rFonts w:ascii="Arial" w:eastAsia="Times New Roman" w:hAnsi="Arial" w:cs="Arial"/>
                <w:b/>
                <w:position w:val="4"/>
                <w:sz w:val="16"/>
                <w:szCs w:val="20"/>
                <w:u w:val="thick"/>
              </w:rPr>
              <w:t>___________</w:t>
            </w:r>
          </w:p>
        </w:tc>
        <w:tc>
          <w:tcPr>
            <w:tcW w:w="690" w:type="pct"/>
            <w:vAlign w:val="bottom"/>
          </w:tcPr>
          <w:p w14:paraId="0B169C57" w14:textId="77777777" w:rsidR="001B316F" w:rsidRPr="001B316F" w:rsidRDefault="001B316F" w:rsidP="001B316F">
            <w:pPr>
              <w:keepNext/>
              <w:keepLines/>
              <w:spacing w:after="0" w:line="100" w:lineRule="exact"/>
              <w:jc w:val="right"/>
              <w:rPr>
                <w:rFonts w:ascii="Arial" w:eastAsia="Times New Roman" w:hAnsi="Arial" w:cs="Arial"/>
                <w:b/>
                <w:position w:val="4"/>
                <w:sz w:val="16"/>
                <w:szCs w:val="20"/>
                <w:u w:val="thick"/>
              </w:rPr>
            </w:pPr>
            <w:r w:rsidRPr="001B316F">
              <w:rPr>
                <w:rFonts w:ascii="Arial" w:eastAsia="Times New Roman" w:hAnsi="Arial" w:cs="Arial"/>
                <w:b/>
                <w:position w:val="4"/>
                <w:sz w:val="16"/>
                <w:szCs w:val="20"/>
                <w:u w:val="thick"/>
              </w:rPr>
              <w:t>___________</w:t>
            </w:r>
          </w:p>
        </w:tc>
        <w:tc>
          <w:tcPr>
            <w:tcW w:w="690" w:type="pct"/>
            <w:vAlign w:val="bottom"/>
          </w:tcPr>
          <w:p w14:paraId="7D7877FD" w14:textId="77777777" w:rsidR="001B316F" w:rsidRPr="001B316F" w:rsidRDefault="001B316F" w:rsidP="001B316F">
            <w:pPr>
              <w:keepNext/>
              <w:keepLines/>
              <w:spacing w:after="0" w:line="100" w:lineRule="exact"/>
              <w:jc w:val="right"/>
              <w:rPr>
                <w:rFonts w:ascii="Arial" w:eastAsia="Times New Roman" w:hAnsi="Arial" w:cs="Arial"/>
                <w:b/>
                <w:position w:val="4"/>
                <w:sz w:val="16"/>
                <w:szCs w:val="20"/>
                <w:u w:val="thick"/>
              </w:rPr>
            </w:pPr>
            <w:r w:rsidRPr="001B316F">
              <w:rPr>
                <w:rFonts w:ascii="Arial" w:eastAsia="Times New Roman" w:hAnsi="Arial" w:cs="Arial"/>
                <w:b/>
                <w:position w:val="4"/>
                <w:sz w:val="16"/>
                <w:szCs w:val="20"/>
                <w:u w:val="thick"/>
              </w:rPr>
              <w:t>___________</w:t>
            </w:r>
          </w:p>
        </w:tc>
        <w:tc>
          <w:tcPr>
            <w:tcW w:w="690" w:type="pct"/>
            <w:vAlign w:val="bottom"/>
          </w:tcPr>
          <w:p w14:paraId="11A02291" w14:textId="77777777" w:rsidR="001B316F" w:rsidRPr="001B316F" w:rsidRDefault="001B316F" w:rsidP="001B316F">
            <w:pPr>
              <w:keepNext/>
              <w:keepLines/>
              <w:spacing w:after="0" w:line="100" w:lineRule="exact"/>
              <w:jc w:val="right"/>
              <w:rPr>
                <w:rFonts w:ascii="Arial" w:eastAsia="Times New Roman" w:hAnsi="Arial" w:cs="Arial"/>
                <w:b/>
                <w:position w:val="4"/>
                <w:sz w:val="16"/>
                <w:szCs w:val="20"/>
                <w:u w:val="thick"/>
              </w:rPr>
            </w:pPr>
            <w:r w:rsidRPr="001B316F">
              <w:rPr>
                <w:rFonts w:ascii="Arial" w:eastAsia="Times New Roman" w:hAnsi="Arial" w:cs="Arial"/>
                <w:b/>
                <w:position w:val="4"/>
                <w:sz w:val="16"/>
                <w:szCs w:val="20"/>
                <w:u w:val="thick"/>
              </w:rPr>
              <w:t>___________</w:t>
            </w:r>
          </w:p>
        </w:tc>
        <w:tc>
          <w:tcPr>
            <w:tcW w:w="757" w:type="pct"/>
            <w:vAlign w:val="bottom"/>
          </w:tcPr>
          <w:p w14:paraId="475ADFAE" w14:textId="77777777" w:rsidR="001B316F" w:rsidRPr="001B316F" w:rsidRDefault="001B316F" w:rsidP="001B316F">
            <w:pPr>
              <w:keepNext/>
              <w:keepLines/>
              <w:spacing w:after="0" w:line="100" w:lineRule="exact"/>
              <w:jc w:val="right"/>
              <w:rPr>
                <w:rFonts w:ascii="Arial" w:eastAsia="Times New Roman" w:hAnsi="Arial" w:cs="Arial"/>
                <w:b/>
                <w:position w:val="4"/>
                <w:sz w:val="16"/>
                <w:szCs w:val="20"/>
                <w:u w:val="thick"/>
              </w:rPr>
            </w:pPr>
            <w:r w:rsidRPr="001B316F">
              <w:rPr>
                <w:rFonts w:ascii="Arial" w:eastAsia="Times New Roman" w:hAnsi="Arial" w:cs="Arial"/>
                <w:b/>
                <w:position w:val="4"/>
                <w:sz w:val="16"/>
                <w:szCs w:val="20"/>
                <w:u w:val="thick"/>
              </w:rPr>
              <w:t>___________</w:t>
            </w:r>
          </w:p>
        </w:tc>
      </w:tr>
      <w:tr w:rsidR="001B316F" w:rsidRPr="001B316F" w14:paraId="1AD0B9C0" w14:textId="77777777" w:rsidTr="00312975">
        <w:trPr>
          <w:trHeight w:val="135"/>
        </w:trPr>
        <w:tc>
          <w:tcPr>
            <w:tcW w:w="1482" w:type="pct"/>
            <w:vAlign w:val="bottom"/>
          </w:tcPr>
          <w:p w14:paraId="3C57602A" w14:textId="77777777" w:rsidR="001B316F" w:rsidRPr="001B316F" w:rsidRDefault="001B316F" w:rsidP="001B316F">
            <w:pPr>
              <w:tabs>
                <w:tab w:val="right" w:pos="1202"/>
              </w:tabs>
              <w:spacing w:after="0" w:line="240" w:lineRule="auto"/>
              <w:outlineLvl w:val="0"/>
              <w:rPr>
                <w:rFonts w:eastAsia="Times New Roman" w:cs="Arial"/>
                <w:iCs/>
                <w:sz w:val="19"/>
                <w:szCs w:val="19"/>
              </w:rPr>
            </w:pPr>
          </w:p>
        </w:tc>
        <w:tc>
          <w:tcPr>
            <w:tcW w:w="690" w:type="pct"/>
            <w:vAlign w:val="bottom"/>
          </w:tcPr>
          <w:p w14:paraId="7F10FC07" w14:textId="77777777" w:rsidR="001B316F" w:rsidRPr="001B316F" w:rsidRDefault="001B316F" w:rsidP="001B316F">
            <w:pPr>
              <w:keepNext/>
              <w:keepLines/>
              <w:tabs>
                <w:tab w:val="decimal" w:pos="1202"/>
              </w:tabs>
              <w:spacing w:after="0" w:line="240" w:lineRule="auto"/>
              <w:jc w:val="right"/>
              <w:rPr>
                <w:rFonts w:eastAsia="Times New Roman" w:cs="Arial"/>
                <w:b/>
                <w:position w:val="4"/>
                <w:sz w:val="19"/>
                <w:szCs w:val="19"/>
                <w:u w:val="thick"/>
              </w:rPr>
            </w:pPr>
          </w:p>
        </w:tc>
        <w:tc>
          <w:tcPr>
            <w:tcW w:w="690" w:type="pct"/>
            <w:vAlign w:val="bottom"/>
          </w:tcPr>
          <w:p w14:paraId="49A19167" w14:textId="77777777" w:rsidR="001B316F" w:rsidRPr="001B316F" w:rsidRDefault="001B316F" w:rsidP="001B316F">
            <w:pPr>
              <w:keepNext/>
              <w:keepLines/>
              <w:tabs>
                <w:tab w:val="decimal" w:pos="1202"/>
              </w:tabs>
              <w:spacing w:after="0" w:line="240" w:lineRule="auto"/>
              <w:jc w:val="right"/>
              <w:rPr>
                <w:rFonts w:eastAsia="Times New Roman" w:cs="Arial"/>
                <w:b/>
                <w:position w:val="4"/>
                <w:sz w:val="19"/>
                <w:szCs w:val="19"/>
                <w:u w:val="thick"/>
              </w:rPr>
            </w:pPr>
          </w:p>
        </w:tc>
        <w:tc>
          <w:tcPr>
            <w:tcW w:w="690" w:type="pct"/>
            <w:vAlign w:val="bottom"/>
          </w:tcPr>
          <w:p w14:paraId="5653F5CE" w14:textId="77777777" w:rsidR="001B316F" w:rsidRPr="001B316F" w:rsidRDefault="001B316F" w:rsidP="001B316F">
            <w:pPr>
              <w:keepNext/>
              <w:keepLines/>
              <w:tabs>
                <w:tab w:val="decimal" w:pos="1202"/>
              </w:tabs>
              <w:spacing w:after="0" w:line="240" w:lineRule="auto"/>
              <w:jc w:val="right"/>
              <w:rPr>
                <w:rFonts w:eastAsia="Times New Roman" w:cs="Arial"/>
                <w:b/>
                <w:position w:val="4"/>
                <w:sz w:val="19"/>
                <w:szCs w:val="19"/>
                <w:u w:val="thick"/>
              </w:rPr>
            </w:pPr>
          </w:p>
        </w:tc>
        <w:tc>
          <w:tcPr>
            <w:tcW w:w="690" w:type="pct"/>
            <w:vAlign w:val="bottom"/>
          </w:tcPr>
          <w:p w14:paraId="6E09D46C" w14:textId="77777777" w:rsidR="001B316F" w:rsidRPr="001B316F" w:rsidRDefault="001B316F" w:rsidP="001B316F">
            <w:pPr>
              <w:keepNext/>
              <w:keepLines/>
              <w:tabs>
                <w:tab w:val="decimal" w:pos="1202"/>
              </w:tabs>
              <w:spacing w:after="0" w:line="240" w:lineRule="auto"/>
              <w:jc w:val="right"/>
              <w:rPr>
                <w:rFonts w:eastAsia="Times New Roman" w:cs="Arial"/>
                <w:b/>
                <w:position w:val="4"/>
                <w:sz w:val="19"/>
                <w:szCs w:val="19"/>
                <w:u w:val="thick"/>
              </w:rPr>
            </w:pPr>
          </w:p>
        </w:tc>
        <w:tc>
          <w:tcPr>
            <w:tcW w:w="757" w:type="pct"/>
            <w:vAlign w:val="bottom"/>
          </w:tcPr>
          <w:p w14:paraId="0A27255B" w14:textId="77777777" w:rsidR="001B316F" w:rsidRPr="001B316F" w:rsidRDefault="001B316F" w:rsidP="001B316F">
            <w:pPr>
              <w:keepNext/>
              <w:keepLines/>
              <w:tabs>
                <w:tab w:val="decimal" w:pos="1202"/>
              </w:tabs>
              <w:spacing w:after="0" w:line="240" w:lineRule="auto"/>
              <w:jc w:val="right"/>
              <w:rPr>
                <w:rFonts w:eastAsia="Times New Roman" w:cs="Arial"/>
                <w:b/>
                <w:position w:val="4"/>
                <w:sz w:val="19"/>
                <w:szCs w:val="19"/>
                <w:u w:val="thick"/>
              </w:rPr>
            </w:pPr>
          </w:p>
        </w:tc>
      </w:tr>
      <w:tr w:rsidR="001B316F" w:rsidRPr="001B316F" w14:paraId="2B25F2AF" w14:textId="77777777" w:rsidTr="00312975">
        <w:trPr>
          <w:trHeight w:val="78"/>
        </w:trPr>
        <w:tc>
          <w:tcPr>
            <w:tcW w:w="1482" w:type="pct"/>
            <w:vAlign w:val="bottom"/>
          </w:tcPr>
          <w:p w14:paraId="5472BC3D" w14:textId="3EFDD1A8" w:rsidR="001B316F" w:rsidRPr="001B316F" w:rsidRDefault="001B316F" w:rsidP="000035C6">
            <w:pPr>
              <w:tabs>
                <w:tab w:val="right" w:pos="1202"/>
              </w:tabs>
              <w:spacing w:after="0" w:line="240" w:lineRule="auto"/>
              <w:outlineLvl w:val="0"/>
              <w:rPr>
                <w:rFonts w:eastAsia="Times New Roman" w:cs="Arial"/>
                <w:iCs/>
                <w:sz w:val="19"/>
                <w:szCs w:val="19"/>
              </w:rPr>
            </w:pPr>
            <w:r w:rsidRPr="001B316F">
              <w:rPr>
                <w:rFonts w:eastAsia="Times New Roman" w:cs="Arial"/>
                <w:iCs/>
                <w:sz w:val="19"/>
                <w:szCs w:val="19"/>
              </w:rPr>
              <w:t>Dobit tekuće</w:t>
            </w:r>
            <w:r w:rsidR="000035C6">
              <w:rPr>
                <w:rFonts w:eastAsia="Times New Roman" w:cs="Arial"/>
                <w:iCs/>
                <w:sz w:val="19"/>
                <w:szCs w:val="19"/>
              </w:rPr>
              <w:t>g</w:t>
            </w:r>
            <w:r w:rsidRPr="001B316F">
              <w:rPr>
                <w:rFonts w:eastAsia="Times New Roman" w:cs="Arial"/>
                <w:iCs/>
                <w:sz w:val="19"/>
                <w:szCs w:val="19"/>
              </w:rPr>
              <w:t xml:space="preserve"> </w:t>
            </w:r>
            <w:r w:rsidR="000035C6">
              <w:rPr>
                <w:rFonts w:eastAsia="Times New Roman" w:cs="Arial"/>
                <w:iCs/>
                <w:sz w:val="19"/>
                <w:szCs w:val="19"/>
              </w:rPr>
              <w:t>razdoblja</w:t>
            </w:r>
          </w:p>
        </w:tc>
        <w:tc>
          <w:tcPr>
            <w:tcW w:w="690" w:type="pct"/>
            <w:tcBorders>
              <w:top w:val="nil"/>
              <w:left w:val="nil"/>
              <w:bottom w:val="nil"/>
              <w:right w:val="nil"/>
            </w:tcBorders>
            <w:shd w:val="clear" w:color="auto" w:fill="auto"/>
            <w:vAlign w:val="bottom"/>
          </w:tcPr>
          <w:p w14:paraId="50AC408F" w14:textId="68CA17AF" w:rsidR="001B316F" w:rsidRPr="001B316F" w:rsidRDefault="001B316F" w:rsidP="001B316F">
            <w:pPr>
              <w:tabs>
                <w:tab w:val="right" w:pos="1202"/>
              </w:tabs>
              <w:spacing w:after="0" w:line="240" w:lineRule="auto"/>
              <w:jc w:val="right"/>
              <w:outlineLvl w:val="0"/>
              <w:rPr>
                <w:rFonts w:eastAsia="Times New Roman" w:cs="Arial"/>
                <w:sz w:val="19"/>
                <w:szCs w:val="19"/>
              </w:rPr>
            </w:pPr>
            <w:r w:rsidRPr="001B316F">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7B3583F7" w14:textId="6A48AD56" w:rsidR="001B316F" w:rsidRPr="001B316F" w:rsidRDefault="001B316F" w:rsidP="001B316F">
            <w:pPr>
              <w:tabs>
                <w:tab w:val="right" w:pos="1202"/>
              </w:tabs>
              <w:spacing w:after="0" w:line="240" w:lineRule="auto"/>
              <w:jc w:val="right"/>
              <w:outlineLvl w:val="0"/>
              <w:rPr>
                <w:rFonts w:eastAsia="Times New Roman" w:cs="Arial"/>
                <w:sz w:val="19"/>
                <w:szCs w:val="19"/>
              </w:rPr>
            </w:pPr>
            <w:r w:rsidRPr="001B316F">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4F1488A6" w14:textId="793110E2" w:rsidR="001B316F" w:rsidRPr="001B316F" w:rsidRDefault="001B316F" w:rsidP="001B316F">
            <w:pPr>
              <w:tabs>
                <w:tab w:val="right" w:pos="1202"/>
              </w:tabs>
              <w:spacing w:after="0" w:line="240" w:lineRule="auto"/>
              <w:jc w:val="right"/>
              <w:outlineLvl w:val="0"/>
              <w:rPr>
                <w:rFonts w:eastAsia="Times New Roman" w:cs="Arial"/>
                <w:sz w:val="19"/>
                <w:szCs w:val="19"/>
              </w:rPr>
            </w:pPr>
            <w:r w:rsidRPr="001B316F">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61CB3420" w14:textId="415758D0" w:rsidR="001B316F" w:rsidRPr="001B316F" w:rsidRDefault="001B316F" w:rsidP="001B316F">
            <w:pPr>
              <w:tabs>
                <w:tab w:val="right" w:pos="1202"/>
              </w:tabs>
              <w:spacing w:after="0" w:line="240" w:lineRule="auto"/>
              <w:jc w:val="right"/>
              <w:outlineLvl w:val="0"/>
              <w:rPr>
                <w:rFonts w:eastAsia="Times New Roman" w:cs="Arial"/>
                <w:sz w:val="19"/>
                <w:szCs w:val="19"/>
              </w:rPr>
            </w:pPr>
            <w:r w:rsidRPr="001B316F">
              <w:rPr>
                <w:rFonts w:eastAsia="Times New Roman" w:cs="Arial"/>
                <w:sz w:val="19"/>
                <w:szCs w:val="19"/>
              </w:rPr>
              <w:t>107.678</w:t>
            </w:r>
          </w:p>
        </w:tc>
        <w:tc>
          <w:tcPr>
            <w:tcW w:w="757" w:type="pct"/>
            <w:tcBorders>
              <w:top w:val="nil"/>
              <w:left w:val="nil"/>
              <w:bottom w:val="nil"/>
              <w:right w:val="nil"/>
            </w:tcBorders>
            <w:shd w:val="clear" w:color="auto" w:fill="auto"/>
            <w:vAlign w:val="bottom"/>
          </w:tcPr>
          <w:p w14:paraId="4B9B9813" w14:textId="74A6471D" w:rsidR="001B316F" w:rsidRPr="001B316F" w:rsidRDefault="001B316F" w:rsidP="001B316F">
            <w:pPr>
              <w:tabs>
                <w:tab w:val="right" w:pos="1202"/>
              </w:tabs>
              <w:spacing w:after="0" w:line="240" w:lineRule="auto"/>
              <w:jc w:val="right"/>
              <w:outlineLvl w:val="0"/>
              <w:rPr>
                <w:rFonts w:eastAsia="Times New Roman" w:cs="Arial"/>
                <w:b/>
                <w:iCs/>
                <w:sz w:val="19"/>
                <w:szCs w:val="19"/>
              </w:rPr>
            </w:pPr>
            <w:r w:rsidRPr="001B316F">
              <w:rPr>
                <w:rFonts w:eastAsia="Times New Roman" w:cs="Arial"/>
                <w:b/>
                <w:iCs/>
                <w:sz w:val="19"/>
                <w:szCs w:val="19"/>
              </w:rPr>
              <w:t>107.678</w:t>
            </w:r>
          </w:p>
        </w:tc>
      </w:tr>
      <w:tr w:rsidR="001B316F" w:rsidRPr="001B316F" w14:paraId="78FAAAEA" w14:textId="77777777" w:rsidTr="00312975">
        <w:trPr>
          <w:trHeight w:val="270"/>
        </w:trPr>
        <w:tc>
          <w:tcPr>
            <w:tcW w:w="1482" w:type="pct"/>
            <w:vAlign w:val="bottom"/>
          </w:tcPr>
          <w:p w14:paraId="69DBFEFC" w14:textId="77777777" w:rsidR="001B316F" w:rsidRPr="001B316F" w:rsidRDefault="001B316F" w:rsidP="001B316F">
            <w:pPr>
              <w:tabs>
                <w:tab w:val="right" w:pos="1202"/>
              </w:tabs>
              <w:spacing w:after="0" w:line="240" w:lineRule="auto"/>
              <w:outlineLvl w:val="0"/>
              <w:rPr>
                <w:rFonts w:eastAsia="Times New Roman" w:cs="Arial"/>
                <w:iCs/>
                <w:sz w:val="19"/>
                <w:szCs w:val="19"/>
              </w:rPr>
            </w:pPr>
            <w:r w:rsidRPr="001B316F">
              <w:rPr>
                <w:rFonts w:eastAsia="Times New Roman" w:cs="Arial"/>
                <w:iCs/>
                <w:sz w:val="19"/>
                <w:szCs w:val="19"/>
              </w:rPr>
              <w:t>Ostala sveobuhvatna dobit</w:t>
            </w:r>
          </w:p>
        </w:tc>
        <w:tc>
          <w:tcPr>
            <w:tcW w:w="690" w:type="pct"/>
            <w:tcBorders>
              <w:top w:val="nil"/>
              <w:left w:val="nil"/>
              <w:bottom w:val="nil"/>
              <w:right w:val="nil"/>
            </w:tcBorders>
            <w:shd w:val="clear" w:color="auto" w:fill="auto"/>
            <w:vAlign w:val="bottom"/>
          </w:tcPr>
          <w:p w14:paraId="37D1FA77" w14:textId="244036FF" w:rsidR="001B316F" w:rsidRPr="001B316F" w:rsidRDefault="001B316F" w:rsidP="001B316F">
            <w:pPr>
              <w:tabs>
                <w:tab w:val="right" w:pos="1202"/>
              </w:tabs>
              <w:spacing w:after="0" w:line="240" w:lineRule="auto"/>
              <w:jc w:val="right"/>
              <w:outlineLvl w:val="0"/>
              <w:rPr>
                <w:rFonts w:eastAsia="Times New Roman" w:cs="Arial"/>
                <w:iCs/>
                <w:sz w:val="19"/>
                <w:szCs w:val="19"/>
              </w:rPr>
            </w:pPr>
            <w:r w:rsidRPr="001B316F">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0D8276CF" w14:textId="3885594E" w:rsidR="001B316F" w:rsidRPr="001B316F" w:rsidRDefault="001B316F" w:rsidP="001B316F">
            <w:pPr>
              <w:tabs>
                <w:tab w:val="right" w:pos="1202"/>
              </w:tabs>
              <w:spacing w:after="0" w:line="240" w:lineRule="auto"/>
              <w:jc w:val="right"/>
              <w:outlineLvl w:val="0"/>
              <w:rPr>
                <w:rFonts w:eastAsia="Times New Roman" w:cs="Arial"/>
                <w:iCs/>
                <w:sz w:val="19"/>
                <w:szCs w:val="19"/>
              </w:rPr>
            </w:pPr>
            <w:r w:rsidRPr="001B316F">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611492ED" w14:textId="50496562" w:rsidR="001B316F" w:rsidRPr="001B316F" w:rsidRDefault="001B316F" w:rsidP="001B316F">
            <w:pPr>
              <w:tabs>
                <w:tab w:val="right" w:pos="1202"/>
              </w:tabs>
              <w:spacing w:after="0" w:line="240" w:lineRule="auto"/>
              <w:jc w:val="right"/>
              <w:outlineLvl w:val="0"/>
              <w:rPr>
                <w:rFonts w:eastAsia="Times New Roman" w:cs="Arial"/>
                <w:iCs/>
                <w:sz w:val="19"/>
                <w:szCs w:val="19"/>
              </w:rPr>
            </w:pPr>
            <w:r w:rsidRPr="001B316F">
              <w:rPr>
                <w:rFonts w:eastAsia="Times New Roman" w:cs="Arial"/>
                <w:iCs/>
                <w:sz w:val="19"/>
                <w:szCs w:val="19"/>
              </w:rPr>
              <w:t>14.272</w:t>
            </w:r>
          </w:p>
        </w:tc>
        <w:tc>
          <w:tcPr>
            <w:tcW w:w="690" w:type="pct"/>
            <w:tcBorders>
              <w:top w:val="nil"/>
              <w:left w:val="nil"/>
              <w:bottom w:val="nil"/>
              <w:right w:val="nil"/>
            </w:tcBorders>
            <w:shd w:val="clear" w:color="auto" w:fill="auto"/>
            <w:vAlign w:val="bottom"/>
          </w:tcPr>
          <w:p w14:paraId="6D5582FC" w14:textId="200A42B0" w:rsidR="001B316F" w:rsidRPr="001B316F" w:rsidRDefault="001B316F" w:rsidP="001B316F">
            <w:pPr>
              <w:tabs>
                <w:tab w:val="right" w:pos="1202"/>
              </w:tabs>
              <w:spacing w:after="0" w:line="240" w:lineRule="auto"/>
              <w:jc w:val="right"/>
              <w:outlineLvl w:val="0"/>
              <w:rPr>
                <w:rFonts w:eastAsia="Times New Roman" w:cs="Arial"/>
                <w:iCs/>
                <w:sz w:val="19"/>
                <w:szCs w:val="19"/>
              </w:rPr>
            </w:pPr>
            <w:r w:rsidRPr="001B316F">
              <w:rPr>
                <w:rFonts w:eastAsia="Times New Roman" w:cs="Arial"/>
                <w:iCs/>
                <w:sz w:val="19"/>
                <w:szCs w:val="19"/>
              </w:rPr>
              <w:t>-</w:t>
            </w:r>
          </w:p>
        </w:tc>
        <w:tc>
          <w:tcPr>
            <w:tcW w:w="757" w:type="pct"/>
            <w:tcBorders>
              <w:top w:val="nil"/>
              <w:left w:val="nil"/>
              <w:bottom w:val="nil"/>
              <w:right w:val="nil"/>
            </w:tcBorders>
            <w:shd w:val="clear" w:color="auto" w:fill="auto"/>
            <w:vAlign w:val="bottom"/>
          </w:tcPr>
          <w:p w14:paraId="048EE52D" w14:textId="41BF80F3" w:rsidR="001B316F" w:rsidRPr="001B316F" w:rsidRDefault="001B316F" w:rsidP="001B316F">
            <w:pPr>
              <w:tabs>
                <w:tab w:val="right" w:pos="1202"/>
              </w:tabs>
              <w:spacing w:after="0" w:line="240" w:lineRule="auto"/>
              <w:jc w:val="right"/>
              <w:outlineLvl w:val="0"/>
              <w:rPr>
                <w:rFonts w:eastAsia="Times New Roman" w:cs="Arial"/>
                <w:b/>
                <w:iCs/>
                <w:sz w:val="19"/>
                <w:szCs w:val="19"/>
              </w:rPr>
            </w:pPr>
            <w:r w:rsidRPr="001B316F">
              <w:rPr>
                <w:rFonts w:eastAsia="Times New Roman" w:cs="Arial"/>
                <w:b/>
                <w:iCs/>
                <w:sz w:val="19"/>
                <w:szCs w:val="19"/>
              </w:rPr>
              <w:t>14.272</w:t>
            </w:r>
          </w:p>
        </w:tc>
      </w:tr>
      <w:tr w:rsidR="001B316F" w:rsidRPr="001B316F" w14:paraId="038A0965" w14:textId="77777777" w:rsidTr="00312975">
        <w:trPr>
          <w:trHeight w:val="135"/>
        </w:trPr>
        <w:tc>
          <w:tcPr>
            <w:tcW w:w="1482" w:type="pct"/>
          </w:tcPr>
          <w:p w14:paraId="437BBC5B" w14:textId="77777777" w:rsidR="001B316F" w:rsidRPr="001B316F" w:rsidRDefault="001B316F" w:rsidP="001B316F">
            <w:pPr>
              <w:tabs>
                <w:tab w:val="right" w:pos="1202"/>
              </w:tabs>
              <w:spacing w:after="0" w:line="140" w:lineRule="exact"/>
              <w:jc w:val="right"/>
              <w:outlineLvl w:val="0"/>
              <w:rPr>
                <w:rFonts w:eastAsia="Times New Roman" w:cs="Arial"/>
                <w:iCs/>
                <w:sz w:val="19"/>
                <w:szCs w:val="19"/>
              </w:rPr>
            </w:pPr>
          </w:p>
        </w:tc>
        <w:tc>
          <w:tcPr>
            <w:tcW w:w="690" w:type="pct"/>
            <w:vAlign w:val="bottom"/>
          </w:tcPr>
          <w:p w14:paraId="7CF5D7E1" w14:textId="77777777" w:rsidR="001B316F" w:rsidRPr="001B316F"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c>
          <w:tcPr>
            <w:tcW w:w="690" w:type="pct"/>
            <w:vAlign w:val="bottom"/>
          </w:tcPr>
          <w:p w14:paraId="7E67D75C" w14:textId="77777777" w:rsidR="001B316F" w:rsidRPr="001B316F"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c>
          <w:tcPr>
            <w:tcW w:w="690" w:type="pct"/>
            <w:vAlign w:val="bottom"/>
          </w:tcPr>
          <w:p w14:paraId="70BDD1BD" w14:textId="77777777" w:rsidR="001B316F" w:rsidRPr="001B316F"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c>
          <w:tcPr>
            <w:tcW w:w="690" w:type="pct"/>
            <w:vAlign w:val="bottom"/>
          </w:tcPr>
          <w:p w14:paraId="3D244076" w14:textId="77777777" w:rsidR="001B316F" w:rsidRPr="001B316F"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c>
          <w:tcPr>
            <w:tcW w:w="757" w:type="pct"/>
            <w:vAlign w:val="bottom"/>
          </w:tcPr>
          <w:p w14:paraId="32C9D200" w14:textId="77777777" w:rsidR="001B316F" w:rsidRPr="001B316F"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r>
      <w:tr w:rsidR="001B316F" w:rsidRPr="001B316F" w14:paraId="22836C65" w14:textId="77777777" w:rsidTr="00312975">
        <w:trPr>
          <w:trHeight w:val="78"/>
        </w:trPr>
        <w:tc>
          <w:tcPr>
            <w:tcW w:w="1482" w:type="pct"/>
            <w:vAlign w:val="bottom"/>
          </w:tcPr>
          <w:p w14:paraId="61970E6D" w14:textId="77777777" w:rsidR="001B316F" w:rsidRPr="001B316F" w:rsidRDefault="001B316F" w:rsidP="001B316F">
            <w:pPr>
              <w:tabs>
                <w:tab w:val="right" w:pos="1202"/>
              </w:tabs>
              <w:spacing w:after="0" w:line="240" w:lineRule="auto"/>
              <w:outlineLvl w:val="0"/>
              <w:rPr>
                <w:rFonts w:eastAsia="Times New Roman" w:cs="Arial"/>
                <w:iCs/>
                <w:sz w:val="19"/>
                <w:szCs w:val="19"/>
              </w:rPr>
            </w:pPr>
            <w:r w:rsidRPr="001B316F">
              <w:rPr>
                <w:rFonts w:eastAsia="Times New Roman" w:cs="Arial"/>
                <w:iCs/>
                <w:sz w:val="19"/>
                <w:szCs w:val="19"/>
              </w:rPr>
              <w:t>Ukupna sveobuhvatna dobit</w:t>
            </w:r>
          </w:p>
        </w:tc>
        <w:tc>
          <w:tcPr>
            <w:tcW w:w="690" w:type="pct"/>
            <w:tcBorders>
              <w:top w:val="nil"/>
              <w:left w:val="nil"/>
              <w:bottom w:val="nil"/>
              <w:right w:val="nil"/>
            </w:tcBorders>
            <w:shd w:val="clear" w:color="auto" w:fill="auto"/>
            <w:vAlign w:val="bottom"/>
          </w:tcPr>
          <w:p w14:paraId="7B116846" w14:textId="0406F45A" w:rsidR="001B316F" w:rsidRPr="001B316F" w:rsidRDefault="001B316F" w:rsidP="001B316F">
            <w:pPr>
              <w:tabs>
                <w:tab w:val="right" w:pos="1202"/>
              </w:tabs>
              <w:spacing w:after="0" w:line="240" w:lineRule="auto"/>
              <w:jc w:val="right"/>
              <w:outlineLvl w:val="0"/>
              <w:rPr>
                <w:rFonts w:eastAsia="Times New Roman" w:cs="Arial"/>
                <w:iCs/>
                <w:sz w:val="19"/>
                <w:szCs w:val="19"/>
              </w:rPr>
            </w:pPr>
            <w:r w:rsidRPr="001B316F">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65DA4F39" w14:textId="2E226FBA" w:rsidR="001B316F" w:rsidRPr="001B316F" w:rsidRDefault="001B316F" w:rsidP="001B316F">
            <w:pPr>
              <w:tabs>
                <w:tab w:val="right" w:pos="1202"/>
              </w:tabs>
              <w:spacing w:after="0" w:line="240" w:lineRule="auto"/>
              <w:jc w:val="right"/>
              <w:outlineLvl w:val="0"/>
              <w:rPr>
                <w:rFonts w:eastAsia="Times New Roman" w:cs="Arial"/>
                <w:iCs/>
                <w:sz w:val="19"/>
                <w:szCs w:val="19"/>
              </w:rPr>
            </w:pPr>
            <w:r w:rsidRPr="001B316F">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031E190C" w14:textId="78AABD36" w:rsidR="001B316F" w:rsidRPr="001B316F" w:rsidRDefault="001B316F" w:rsidP="001B316F">
            <w:pPr>
              <w:tabs>
                <w:tab w:val="right" w:pos="1202"/>
              </w:tabs>
              <w:spacing w:after="0" w:line="240" w:lineRule="auto"/>
              <w:jc w:val="right"/>
              <w:outlineLvl w:val="0"/>
              <w:rPr>
                <w:rFonts w:eastAsia="Times New Roman" w:cs="Arial"/>
                <w:iCs/>
                <w:sz w:val="19"/>
                <w:szCs w:val="19"/>
              </w:rPr>
            </w:pPr>
            <w:r w:rsidRPr="001B316F">
              <w:rPr>
                <w:rFonts w:eastAsia="Times New Roman" w:cs="Arial"/>
                <w:iCs/>
                <w:sz w:val="19"/>
                <w:szCs w:val="19"/>
              </w:rPr>
              <w:t>14.272</w:t>
            </w:r>
          </w:p>
        </w:tc>
        <w:tc>
          <w:tcPr>
            <w:tcW w:w="690" w:type="pct"/>
            <w:tcBorders>
              <w:top w:val="nil"/>
              <w:left w:val="nil"/>
              <w:bottom w:val="nil"/>
              <w:right w:val="nil"/>
            </w:tcBorders>
            <w:shd w:val="clear" w:color="auto" w:fill="auto"/>
            <w:vAlign w:val="bottom"/>
          </w:tcPr>
          <w:p w14:paraId="34B3A4F2" w14:textId="626C834F" w:rsidR="001B316F" w:rsidRPr="001B316F" w:rsidRDefault="001B316F" w:rsidP="001B316F">
            <w:pPr>
              <w:tabs>
                <w:tab w:val="right" w:pos="1202"/>
              </w:tabs>
              <w:spacing w:after="0" w:line="240" w:lineRule="auto"/>
              <w:jc w:val="right"/>
              <w:outlineLvl w:val="0"/>
              <w:rPr>
                <w:rFonts w:eastAsia="Times New Roman" w:cs="Arial"/>
                <w:iCs/>
                <w:sz w:val="19"/>
                <w:szCs w:val="19"/>
              </w:rPr>
            </w:pPr>
            <w:r w:rsidRPr="001B316F">
              <w:rPr>
                <w:rFonts w:eastAsia="Times New Roman" w:cs="Arial"/>
                <w:iCs/>
                <w:sz w:val="19"/>
                <w:szCs w:val="19"/>
              </w:rPr>
              <w:t>107.678</w:t>
            </w:r>
          </w:p>
        </w:tc>
        <w:tc>
          <w:tcPr>
            <w:tcW w:w="757" w:type="pct"/>
            <w:tcBorders>
              <w:top w:val="nil"/>
              <w:left w:val="nil"/>
              <w:bottom w:val="nil"/>
              <w:right w:val="nil"/>
            </w:tcBorders>
            <w:shd w:val="clear" w:color="auto" w:fill="auto"/>
            <w:vAlign w:val="bottom"/>
          </w:tcPr>
          <w:p w14:paraId="6ACBAB9C" w14:textId="417EC423" w:rsidR="001B316F" w:rsidRPr="001B316F" w:rsidRDefault="001B316F" w:rsidP="001B316F">
            <w:pPr>
              <w:tabs>
                <w:tab w:val="right" w:pos="1202"/>
              </w:tabs>
              <w:spacing w:after="0" w:line="240" w:lineRule="auto"/>
              <w:jc w:val="right"/>
              <w:outlineLvl w:val="0"/>
              <w:rPr>
                <w:rFonts w:eastAsia="Times New Roman" w:cs="Arial"/>
                <w:b/>
                <w:iCs/>
                <w:sz w:val="19"/>
                <w:szCs w:val="19"/>
              </w:rPr>
            </w:pPr>
            <w:r w:rsidRPr="001B316F">
              <w:rPr>
                <w:rFonts w:eastAsia="Times New Roman" w:cs="Arial"/>
                <w:b/>
                <w:iCs/>
                <w:sz w:val="19"/>
                <w:szCs w:val="19"/>
              </w:rPr>
              <w:t>121.950</w:t>
            </w:r>
          </w:p>
        </w:tc>
      </w:tr>
      <w:tr w:rsidR="001B316F" w:rsidRPr="001B316F" w14:paraId="5258EAED" w14:textId="77777777" w:rsidTr="00312975">
        <w:trPr>
          <w:trHeight w:val="135"/>
        </w:trPr>
        <w:tc>
          <w:tcPr>
            <w:tcW w:w="1482" w:type="pct"/>
          </w:tcPr>
          <w:p w14:paraId="26E227C0" w14:textId="77777777" w:rsidR="001B316F" w:rsidRPr="001B316F" w:rsidRDefault="001B316F" w:rsidP="001B316F">
            <w:pPr>
              <w:tabs>
                <w:tab w:val="right" w:pos="1202"/>
              </w:tabs>
              <w:spacing w:after="0" w:line="140" w:lineRule="exact"/>
              <w:jc w:val="right"/>
              <w:outlineLvl w:val="0"/>
              <w:rPr>
                <w:rFonts w:eastAsia="Times New Roman" w:cs="Arial"/>
                <w:iCs/>
                <w:sz w:val="19"/>
                <w:szCs w:val="19"/>
              </w:rPr>
            </w:pPr>
          </w:p>
        </w:tc>
        <w:tc>
          <w:tcPr>
            <w:tcW w:w="690" w:type="pct"/>
            <w:vAlign w:val="bottom"/>
          </w:tcPr>
          <w:p w14:paraId="4D1BA80C" w14:textId="77777777" w:rsidR="001B316F" w:rsidRPr="001B316F"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c>
          <w:tcPr>
            <w:tcW w:w="690" w:type="pct"/>
            <w:vAlign w:val="bottom"/>
          </w:tcPr>
          <w:p w14:paraId="390AB026" w14:textId="77777777" w:rsidR="001B316F" w:rsidRPr="001B316F"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c>
          <w:tcPr>
            <w:tcW w:w="690" w:type="pct"/>
            <w:vAlign w:val="bottom"/>
          </w:tcPr>
          <w:p w14:paraId="6A1468D6" w14:textId="77777777" w:rsidR="001B316F" w:rsidRPr="001B316F"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c>
          <w:tcPr>
            <w:tcW w:w="690" w:type="pct"/>
            <w:vAlign w:val="bottom"/>
          </w:tcPr>
          <w:p w14:paraId="2C06BB13" w14:textId="77777777" w:rsidR="001B316F" w:rsidRPr="001B316F"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c>
          <w:tcPr>
            <w:tcW w:w="757" w:type="pct"/>
            <w:vAlign w:val="bottom"/>
          </w:tcPr>
          <w:p w14:paraId="19439FDF" w14:textId="77777777" w:rsidR="001B316F" w:rsidRPr="001B316F"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r>
      <w:tr w:rsidR="001B316F" w:rsidRPr="001B316F" w14:paraId="3E075BF9" w14:textId="77777777" w:rsidTr="00312975">
        <w:trPr>
          <w:trHeight w:val="479"/>
        </w:trPr>
        <w:tc>
          <w:tcPr>
            <w:tcW w:w="1482" w:type="pct"/>
            <w:vAlign w:val="bottom"/>
          </w:tcPr>
          <w:p w14:paraId="383979CA" w14:textId="77777777" w:rsidR="001B316F" w:rsidRPr="001B316F" w:rsidRDefault="001B316F" w:rsidP="001B316F">
            <w:pPr>
              <w:tabs>
                <w:tab w:val="right" w:pos="1202"/>
              </w:tabs>
              <w:spacing w:after="0" w:line="240" w:lineRule="auto"/>
              <w:outlineLvl w:val="0"/>
              <w:rPr>
                <w:rFonts w:eastAsia="Times New Roman" w:cs="Arial"/>
                <w:iCs/>
                <w:sz w:val="19"/>
                <w:szCs w:val="19"/>
              </w:rPr>
            </w:pPr>
            <w:r w:rsidRPr="001B316F">
              <w:rPr>
                <w:rFonts w:eastAsia="Times New Roman" w:cs="Arial"/>
                <w:iCs/>
                <w:sz w:val="19"/>
                <w:szCs w:val="19"/>
              </w:rPr>
              <w:t xml:space="preserve">Uplate u osnivački kapital iz državnog proračuna </w:t>
            </w:r>
          </w:p>
        </w:tc>
        <w:tc>
          <w:tcPr>
            <w:tcW w:w="690" w:type="pct"/>
            <w:tcBorders>
              <w:top w:val="nil"/>
              <w:left w:val="nil"/>
              <w:bottom w:val="nil"/>
              <w:right w:val="nil"/>
            </w:tcBorders>
            <w:shd w:val="clear" w:color="auto" w:fill="auto"/>
            <w:vAlign w:val="bottom"/>
          </w:tcPr>
          <w:p w14:paraId="1001FF3F" w14:textId="55657C33" w:rsidR="001B316F" w:rsidRPr="001B316F" w:rsidRDefault="001B316F" w:rsidP="001B316F">
            <w:pPr>
              <w:tabs>
                <w:tab w:val="right" w:pos="1202"/>
              </w:tabs>
              <w:spacing w:after="0" w:line="240" w:lineRule="auto"/>
              <w:jc w:val="right"/>
              <w:outlineLvl w:val="0"/>
              <w:rPr>
                <w:rFonts w:eastAsia="Times New Roman" w:cs="Arial"/>
                <w:iCs/>
                <w:sz w:val="19"/>
                <w:szCs w:val="19"/>
              </w:rPr>
            </w:pPr>
            <w:r w:rsidRPr="001B316F">
              <w:rPr>
                <w:rFonts w:eastAsia="Times New Roman" w:cs="Arial"/>
                <w:iCs/>
                <w:sz w:val="19"/>
                <w:szCs w:val="19"/>
              </w:rPr>
              <w:t>-</w:t>
            </w:r>
          </w:p>
        </w:tc>
        <w:tc>
          <w:tcPr>
            <w:tcW w:w="690" w:type="pct"/>
            <w:tcBorders>
              <w:top w:val="nil"/>
              <w:left w:val="nil"/>
              <w:bottom w:val="nil"/>
              <w:right w:val="nil"/>
            </w:tcBorders>
            <w:shd w:val="clear" w:color="auto" w:fill="auto"/>
            <w:vAlign w:val="bottom"/>
          </w:tcPr>
          <w:p w14:paraId="37A9C497" w14:textId="7C8606C5" w:rsidR="001B316F" w:rsidRPr="001B316F" w:rsidRDefault="001B316F" w:rsidP="001B316F">
            <w:pPr>
              <w:tabs>
                <w:tab w:val="right" w:pos="1202"/>
              </w:tabs>
              <w:spacing w:after="0" w:line="240" w:lineRule="auto"/>
              <w:jc w:val="right"/>
              <w:outlineLvl w:val="0"/>
              <w:rPr>
                <w:rFonts w:eastAsia="Times New Roman" w:cs="Arial"/>
                <w:iCs/>
                <w:sz w:val="19"/>
                <w:szCs w:val="19"/>
              </w:rPr>
            </w:pPr>
            <w:r w:rsidRPr="001B316F">
              <w:rPr>
                <w:rFonts w:eastAsia="Times New Roman" w:cs="Arial"/>
                <w:iCs/>
                <w:sz w:val="19"/>
                <w:szCs w:val="19"/>
              </w:rPr>
              <w:t>-</w:t>
            </w:r>
          </w:p>
        </w:tc>
        <w:tc>
          <w:tcPr>
            <w:tcW w:w="690" w:type="pct"/>
            <w:tcBorders>
              <w:top w:val="nil"/>
              <w:left w:val="nil"/>
              <w:bottom w:val="nil"/>
              <w:right w:val="nil"/>
            </w:tcBorders>
            <w:shd w:val="clear" w:color="auto" w:fill="auto"/>
            <w:vAlign w:val="bottom"/>
          </w:tcPr>
          <w:p w14:paraId="06E7B13F" w14:textId="7A4E4662" w:rsidR="001B316F" w:rsidRPr="001B316F" w:rsidRDefault="001B316F" w:rsidP="001B316F">
            <w:pPr>
              <w:tabs>
                <w:tab w:val="right" w:pos="1202"/>
              </w:tabs>
              <w:spacing w:after="0" w:line="240" w:lineRule="auto"/>
              <w:jc w:val="right"/>
              <w:outlineLvl w:val="0"/>
              <w:rPr>
                <w:rFonts w:eastAsia="Times New Roman" w:cs="Arial"/>
                <w:iCs/>
                <w:sz w:val="19"/>
                <w:szCs w:val="19"/>
              </w:rPr>
            </w:pPr>
            <w:r w:rsidRPr="001B316F">
              <w:rPr>
                <w:rFonts w:eastAsia="Times New Roman" w:cs="Arial"/>
                <w:iCs/>
                <w:sz w:val="19"/>
                <w:szCs w:val="19"/>
              </w:rPr>
              <w:t>-</w:t>
            </w:r>
          </w:p>
        </w:tc>
        <w:tc>
          <w:tcPr>
            <w:tcW w:w="690" w:type="pct"/>
            <w:tcBorders>
              <w:top w:val="nil"/>
              <w:left w:val="nil"/>
              <w:bottom w:val="nil"/>
              <w:right w:val="nil"/>
            </w:tcBorders>
            <w:shd w:val="clear" w:color="auto" w:fill="auto"/>
            <w:vAlign w:val="bottom"/>
          </w:tcPr>
          <w:p w14:paraId="01876FF1" w14:textId="19EFE9D3" w:rsidR="001B316F" w:rsidRPr="001B316F" w:rsidRDefault="001B316F" w:rsidP="001B316F">
            <w:pPr>
              <w:tabs>
                <w:tab w:val="right" w:pos="1202"/>
              </w:tabs>
              <w:spacing w:after="0" w:line="240" w:lineRule="auto"/>
              <w:jc w:val="right"/>
              <w:outlineLvl w:val="0"/>
              <w:rPr>
                <w:rFonts w:eastAsia="Times New Roman" w:cs="Arial"/>
                <w:iCs/>
                <w:sz w:val="19"/>
                <w:szCs w:val="19"/>
              </w:rPr>
            </w:pPr>
            <w:r w:rsidRPr="001B316F">
              <w:rPr>
                <w:rFonts w:eastAsia="Times New Roman" w:cs="Arial"/>
                <w:iCs/>
                <w:sz w:val="19"/>
                <w:szCs w:val="19"/>
              </w:rPr>
              <w:t>-</w:t>
            </w:r>
          </w:p>
        </w:tc>
        <w:tc>
          <w:tcPr>
            <w:tcW w:w="757" w:type="pct"/>
            <w:tcBorders>
              <w:top w:val="nil"/>
              <w:left w:val="nil"/>
              <w:bottom w:val="nil"/>
              <w:right w:val="nil"/>
            </w:tcBorders>
            <w:shd w:val="clear" w:color="auto" w:fill="auto"/>
            <w:vAlign w:val="bottom"/>
          </w:tcPr>
          <w:p w14:paraId="43DE30EA" w14:textId="66356B0F" w:rsidR="001B316F" w:rsidRPr="001B316F" w:rsidRDefault="001B316F" w:rsidP="001B316F">
            <w:pPr>
              <w:tabs>
                <w:tab w:val="right" w:pos="1202"/>
              </w:tabs>
              <w:spacing w:after="0" w:line="240" w:lineRule="auto"/>
              <w:jc w:val="right"/>
              <w:outlineLvl w:val="0"/>
              <w:rPr>
                <w:rFonts w:eastAsia="Times New Roman" w:cs="Arial"/>
                <w:b/>
                <w:iCs/>
                <w:sz w:val="19"/>
                <w:szCs w:val="19"/>
              </w:rPr>
            </w:pPr>
            <w:r w:rsidRPr="001B316F">
              <w:rPr>
                <w:rFonts w:eastAsia="Times New Roman" w:cs="Arial"/>
                <w:b/>
                <w:iCs/>
                <w:sz w:val="19"/>
                <w:szCs w:val="19"/>
              </w:rPr>
              <w:t>-</w:t>
            </w:r>
          </w:p>
        </w:tc>
      </w:tr>
      <w:tr w:rsidR="001B316F" w:rsidRPr="001B316F" w14:paraId="46ABFB93" w14:textId="77777777" w:rsidTr="00312975">
        <w:trPr>
          <w:trHeight w:val="476"/>
        </w:trPr>
        <w:tc>
          <w:tcPr>
            <w:tcW w:w="1482" w:type="pct"/>
            <w:vAlign w:val="bottom"/>
          </w:tcPr>
          <w:p w14:paraId="3B603207" w14:textId="52866E70" w:rsidR="001B316F" w:rsidRPr="001B316F" w:rsidRDefault="001B316F" w:rsidP="00932654">
            <w:pPr>
              <w:tabs>
                <w:tab w:val="right" w:pos="1202"/>
              </w:tabs>
              <w:spacing w:after="0" w:line="240" w:lineRule="auto"/>
              <w:outlineLvl w:val="0"/>
              <w:rPr>
                <w:rFonts w:eastAsia="Times New Roman" w:cs="Arial"/>
                <w:i/>
                <w:iCs/>
                <w:sz w:val="19"/>
                <w:szCs w:val="19"/>
              </w:rPr>
            </w:pPr>
            <w:r w:rsidRPr="001B316F">
              <w:rPr>
                <w:rFonts w:eastAsia="Times New Roman" w:cs="Arial"/>
                <w:iCs/>
                <w:sz w:val="19"/>
                <w:szCs w:val="19"/>
              </w:rPr>
              <w:t>Prijenos dobiti iz 201</w:t>
            </w:r>
            <w:r>
              <w:rPr>
                <w:rFonts w:eastAsia="Times New Roman" w:cs="Arial"/>
                <w:iCs/>
                <w:sz w:val="19"/>
                <w:szCs w:val="19"/>
              </w:rPr>
              <w:t>5</w:t>
            </w:r>
            <w:r w:rsidRPr="001B316F">
              <w:rPr>
                <w:rFonts w:eastAsia="Times New Roman" w:cs="Arial"/>
                <w:iCs/>
                <w:sz w:val="19"/>
                <w:szCs w:val="19"/>
              </w:rPr>
              <w:t>. godine u zadržanu dobit</w:t>
            </w:r>
          </w:p>
        </w:tc>
        <w:tc>
          <w:tcPr>
            <w:tcW w:w="690" w:type="pct"/>
            <w:tcBorders>
              <w:top w:val="nil"/>
              <w:left w:val="nil"/>
              <w:bottom w:val="nil"/>
              <w:right w:val="nil"/>
            </w:tcBorders>
            <w:shd w:val="clear" w:color="auto" w:fill="auto"/>
            <w:vAlign w:val="bottom"/>
          </w:tcPr>
          <w:p w14:paraId="746C16D3" w14:textId="68A93946" w:rsidR="001B316F" w:rsidRPr="001B316F" w:rsidRDefault="001B316F" w:rsidP="001B316F">
            <w:pPr>
              <w:tabs>
                <w:tab w:val="right" w:pos="1202"/>
              </w:tabs>
              <w:spacing w:after="0" w:line="240" w:lineRule="auto"/>
              <w:jc w:val="right"/>
              <w:outlineLvl w:val="0"/>
              <w:rPr>
                <w:rFonts w:eastAsia="Times New Roman" w:cs="Arial"/>
                <w:iCs/>
                <w:sz w:val="19"/>
                <w:szCs w:val="19"/>
              </w:rPr>
            </w:pPr>
            <w:r w:rsidRPr="001B316F">
              <w:rPr>
                <w:rFonts w:ascii="Calibri" w:eastAsia="Times New Roman" w:hAnsi="Calibri" w:cs="Times New Roman"/>
                <w:color w:val="000000"/>
                <w:sz w:val="19"/>
                <w:szCs w:val="19"/>
                <w:lang w:val="en-GB"/>
              </w:rPr>
              <w:t>-</w:t>
            </w:r>
          </w:p>
        </w:tc>
        <w:tc>
          <w:tcPr>
            <w:tcW w:w="690" w:type="pct"/>
            <w:tcBorders>
              <w:top w:val="nil"/>
              <w:left w:val="nil"/>
              <w:bottom w:val="nil"/>
              <w:right w:val="nil"/>
            </w:tcBorders>
            <w:shd w:val="clear" w:color="auto" w:fill="auto"/>
            <w:vAlign w:val="bottom"/>
          </w:tcPr>
          <w:p w14:paraId="71B48626" w14:textId="0D7F9875" w:rsidR="001B316F" w:rsidRPr="001B316F" w:rsidRDefault="001B316F" w:rsidP="001B316F">
            <w:pPr>
              <w:tabs>
                <w:tab w:val="right" w:pos="1202"/>
              </w:tabs>
              <w:spacing w:after="0" w:line="240" w:lineRule="auto"/>
              <w:jc w:val="right"/>
              <w:outlineLvl w:val="0"/>
              <w:rPr>
                <w:rFonts w:eastAsia="Times New Roman" w:cs="Arial"/>
                <w:iCs/>
                <w:sz w:val="19"/>
                <w:szCs w:val="19"/>
              </w:rPr>
            </w:pPr>
            <w:r w:rsidRPr="001B316F">
              <w:rPr>
                <w:rFonts w:ascii="Calibri" w:eastAsia="Times New Roman" w:hAnsi="Calibri" w:cs="Times New Roman"/>
                <w:color w:val="000000"/>
                <w:sz w:val="19"/>
                <w:szCs w:val="19"/>
                <w:lang w:val="en-GB"/>
              </w:rPr>
              <w:t>206.265</w:t>
            </w:r>
          </w:p>
        </w:tc>
        <w:tc>
          <w:tcPr>
            <w:tcW w:w="690" w:type="pct"/>
            <w:tcBorders>
              <w:top w:val="nil"/>
              <w:left w:val="nil"/>
              <w:bottom w:val="nil"/>
              <w:right w:val="nil"/>
            </w:tcBorders>
            <w:shd w:val="clear" w:color="auto" w:fill="auto"/>
            <w:vAlign w:val="bottom"/>
          </w:tcPr>
          <w:p w14:paraId="358B566B" w14:textId="25172436" w:rsidR="001B316F" w:rsidRPr="001B316F" w:rsidRDefault="001B316F" w:rsidP="001B316F">
            <w:pPr>
              <w:tabs>
                <w:tab w:val="right" w:pos="1202"/>
              </w:tabs>
              <w:spacing w:after="0" w:line="240" w:lineRule="auto"/>
              <w:jc w:val="right"/>
              <w:outlineLvl w:val="0"/>
              <w:rPr>
                <w:rFonts w:eastAsia="Times New Roman" w:cs="Arial"/>
                <w:iCs/>
                <w:sz w:val="19"/>
                <w:szCs w:val="19"/>
              </w:rPr>
            </w:pPr>
            <w:r w:rsidRPr="001B316F">
              <w:rPr>
                <w:rFonts w:ascii="Calibri" w:eastAsia="Times New Roman" w:hAnsi="Calibri" w:cs="Times New Roman"/>
                <w:color w:val="000000"/>
                <w:sz w:val="19"/>
                <w:szCs w:val="19"/>
                <w:lang w:val="en-GB"/>
              </w:rPr>
              <w:t>-</w:t>
            </w:r>
          </w:p>
        </w:tc>
        <w:tc>
          <w:tcPr>
            <w:tcW w:w="690" w:type="pct"/>
            <w:tcBorders>
              <w:top w:val="nil"/>
              <w:left w:val="nil"/>
              <w:bottom w:val="nil"/>
              <w:right w:val="nil"/>
            </w:tcBorders>
            <w:shd w:val="clear" w:color="auto" w:fill="auto"/>
            <w:vAlign w:val="bottom"/>
          </w:tcPr>
          <w:p w14:paraId="3D7F0F07" w14:textId="1DC0B0DE" w:rsidR="001B316F" w:rsidRPr="001B316F" w:rsidRDefault="001B316F" w:rsidP="001B316F">
            <w:pPr>
              <w:tabs>
                <w:tab w:val="right" w:pos="1202"/>
              </w:tabs>
              <w:spacing w:after="0" w:line="240" w:lineRule="auto"/>
              <w:jc w:val="right"/>
              <w:outlineLvl w:val="0"/>
              <w:rPr>
                <w:rFonts w:eastAsia="Times New Roman" w:cs="Arial"/>
                <w:iCs/>
                <w:sz w:val="19"/>
                <w:szCs w:val="19"/>
              </w:rPr>
            </w:pPr>
            <w:r w:rsidRPr="001B316F">
              <w:rPr>
                <w:rFonts w:ascii="Calibri" w:eastAsia="Times New Roman" w:hAnsi="Calibri" w:cs="Times New Roman"/>
                <w:color w:val="000000"/>
                <w:sz w:val="19"/>
                <w:szCs w:val="19"/>
                <w:lang w:val="en-GB"/>
              </w:rPr>
              <w:t xml:space="preserve">          (206.265)</w:t>
            </w:r>
          </w:p>
        </w:tc>
        <w:tc>
          <w:tcPr>
            <w:tcW w:w="757" w:type="pct"/>
            <w:tcBorders>
              <w:top w:val="nil"/>
              <w:left w:val="nil"/>
              <w:bottom w:val="nil"/>
              <w:right w:val="nil"/>
            </w:tcBorders>
            <w:shd w:val="clear" w:color="auto" w:fill="auto"/>
            <w:vAlign w:val="bottom"/>
          </w:tcPr>
          <w:p w14:paraId="4E70564F" w14:textId="3FEAF5F7" w:rsidR="001B316F" w:rsidRPr="001B316F" w:rsidRDefault="001B316F" w:rsidP="001B316F">
            <w:pPr>
              <w:tabs>
                <w:tab w:val="right" w:pos="1202"/>
              </w:tabs>
              <w:spacing w:after="0" w:line="240" w:lineRule="auto"/>
              <w:jc w:val="right"/>
              <w:outlineLvl w:val="0"/>
              <w:rPr>
                <w:rFonts w:eastAsia="Times New Roman" w:cs="Arial"/>
                <w:b/>
                <w:iCs/>
                <w:sz w:val="19"/>
                <w:szCs w:val="19"/>
              </w:rPr>
            </w:pPr>
            <w:r w:rsidRPr="001B316F">
              <w:rPr>
                <w:rFonts w:ascii="Calibri" w:eastAsia="Times New Roman" w:hAnsi="Calibri" w:cs="Times New Roman"/>
                <w:b/>
                <w:color w:val="000000"/>
                <w:sz w:val="19"/>
                <w:szCs w:val="19"/>
                <w:lang w:val="en-GB"/>
              </w:rPr>
              <w:t xml:space="preserve">                         - </w:t>
            </w:r>
          </w:p>
        </w:tc>
      </w:tr>
      <w:tr w:rsidR="001B316F" w:rsidRPr="001B316F" w14:paraId="184EDD6C" w14:textId="77777777" w:rsidTr="00312975">
        <w:trPr>
          <w:trHeight w:val="135"/>
        </w:trPr>
        <w:tc>
          <w:tcPr>
            <w:tcW w:w="1482" w:type="pct"/>
          </w:tcPr>
          <w:p w14:paraId="4EDF1F4D" w14:textId="77777777" w:rsidR="001B316F" w:rsidRPr="001B316F" w:rsidRDefault="001B316F" w:rsidP="001B316F">
            <w:pPr>
              <w:tabs>
                <w:tab w:val="right" w:pos="1202"/>
              </w:tabs>
              <w:spacing w:after="0" w:line="140" w:lineRule="exact"/>
              <w:jc w:val="right"/>
              <w:outlineLvl w:val="0"/>
              <w:rPr>
                <w:rFonts w:eastAsia="Times New Roman" w:cs="Arial"/>
                <w:iCs/>
                <w:sz w:val="19"/>
                <w:szCs w:val="19"/>
              </w:rPr>
            </w:pPr>
          </w:p>
        </w:tc>
        <w:tc>
          <w:tcPr>
            <w:tcW w:w="690" w:type="pct"/>
          </w:tcPr>
          <w:p w14:paraId="60C0B233" w14:textId="77777777" w:rsidR="001B316F" w:rsidRPr="001B316F"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c>
          <w:tcPr>
            <w:tcW w:w="690" w:type="pct"/>
          </w:tcPr>
          <w:p w14:paraId="5B813793" w14:textId="77777777" w:rsidR="001B316F" w:rsidRPr="001B316F"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c>
          <w:tcPr>
            <w:tcW w:w="690" w:type="pct"/>
          </w:tcPr>
          <w:p w14:paraId="073DF592" w14:textId="77777777" w:rsidR="001B316F" w:rsidRPr="001B316F"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c>
          <w:tcPr>
            <w:tcW w:w="690" w:type="pct"/>
          </w:tcPr>
          <w:p w14:paraId="6F029C7B" w14:textId="77777777" w:rsidR="001B316F" w:rsidRPr="001B316F"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c>
          <w:tcPr>
            <w:tcW w:w="757" w:type="pct"/>
          </w:tcPr>
          <w:p w14:paraId="523A0E99" w14:textId="77777777" w:rsidR="001B316F" w:rsidRPr="001B316F"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1B316F">
              <w:rPr>
                <w:rFonts w:eastAsia="Times New Roman" w:cs="Arial"/>
                <w:spacing w:val="-2"/>
                <w:position w:val="4"/>
                <w:sz w:val="19"/>
                <w:szCs w:val="19"/>
              </w:rPr>
              <w:t>__________</w:t>
            </w:r>
          </w:p>
        </w:tc>
      </w:tr>
      <w:tr w:rsidR="001B316F" w:rsidRPr="001B316F" w14:paraId="1F031529" w14:textId="77777777" w:rsidTr="00312975">
        <w:trPr>
          <w:trHeight w:val="279"/>
        </w:trPr>
        <w:tc>
          <w:tcPr>
            <w:tcW w:w="1482" w:type="pct"/>
            <w:vAlign w:val="bottom"/>
          </w:tcPr>
          <w:p w14:paraId="249149E9" w14:textId="6B7E7303" w:rsidR="001B316F" w:rsidRPr="001B316F" w:rsidRDefault="001B316F" w:rsidP="001B316F">
            <w:pPr>
              <w:tabs>
                <w:tab w:val="right" w:pos="1202"/>
              </w:tabs>
              <w:spacing w:after="0" w:line="240" w:lineRule="auto"/>
              <w:outlineLvl w:val="0"/>
              <w:rPr>
                <w:rFonts w:eastAsia="Times New Roman" w:cs="Arial"/>
                <w:b/>
                <w:iCs/>
                <w:sz w:val="19"/>
                <w:szCs w:val="19"/>
              </w:rPr>
            </w:pPr>
            <w:r w:rsidRPr="001B316F">
              <w:rPr>
                <w:rFonts w:eastAsia="Times New Roman" w:cs="Arial"/>
                <w:b/>
                <w:iCs/>
                <w:sz w:val="19"/>
                <w:szCs w:val="19"/>
              </w:rPr>
              <w:t>Stanje 30. lipnja 201</w:t>
            </w:r>
            <w:r>
              <w:rPr>
                <w:rFonts w:eastAsia="Times New Roman" w:cs="Arial"/>
                <w:b/>
                <w:iCs/>
                <w:sz w:val="19"/>
                <w:szCs w:val="19"/>
              </w:rPr>
              <w:t>6</w:t>
            </w:r>
            <w:r w:rsidRPr="001B316F">
              <w:rPr>
                <w:rFonts w:eastAsia="Times New Roman" w:cs="Arial"/>
                <w:b/>
                <w:iCs/>
                <w:sz w:val="19"/>
                <w:szCs w:val="19"/>
              </w:rPr>
              <w:t>. godine</w:t>
            </w:r>
          </w:p>
        </w:tc>
        <w:tc>
          <w:tcPr>
            <w:tcW w:w="690" w:type="pct"/>
            <w:tcBorders>
              <w:top w:val="nil"/>
              <w:left w:val="nil"/>
              <w:bottom w:val="nil"/>
              <w:right w:val="nil"/>
            </w:tcBorders>
            <w:shd w:val="clear" w:color="auto" w:fill="auto"/>
            <w:vAlign w:val="bottom"/>
          </w:tcPr>
          <w:p w14:paraId="74CD22AB" w14:textId="22DAAB6C" w:rsidR="001B316F" w:rsidRPr="001B316F" w:rsidRDefault="001B316F" w:rsidP="001B316F">
            <w:pPr>
              <w:tabs>
                <w:tab w:val="right" w:pos="1202"/>
              </w:tabs>
              <w:spacing w:after="0" w:line="320" w:lineRule="exact"/>
              <w:jc w:val="right"/>
              <w:outlineLvl w:val="0"/>
              <w:rPr>
                <w:rFonts w:eastAsia="Times New Roman" w:cs="Arial"/>
                <w:b/>
                <w:iCs/>
                <w:sz w:val="19"/>
                <w:szCs w:val="19"/>
              </w:rPr>
            </w:pPr>
            <w:r w:rsidRPr="001B316F">
              <w:rPr>
                <w:rFonts w:ascii="Calibri" w:eastAsia="Times New Roman" w:hAnsi="Calibri" w:cs="Times New Roman"/>
                <w:b/>
                <w:bCs/>
                <w:color w:val="000000"/>
                <w:sz w:val="19"/>
                <w:szCs w:val="19"/>
                <w:lang w:val="en-GB"/>
              </w:rPr>
              <w:t>6.926.632</w:t>
            </w:r>
          </w:p>
        </w:tc>
        <w:tc>
          <w:tcPr>
            <w:tcW w:w="690" w:type="pct"/>
            <w:tcBorders>
              <w:top w:val="nil"/>
              <w:left w:val="nil"/>
              <w:bottom w:val="nil"/>
              <w:right w:val="nil"/>
            </w:tcBorders>
            <w:shd w:val="clear" w:color="auto" w:fill="auto"/>
            <w:vAlign w:val="bottom"/>
          </w:tcPr>
          <w:p w14:paraId="7CB7EEB5" w14:textId="26A1F56C" w:rsidR="001B316F" w:rsidRPr="001B316F" w:rsidRDefault="001B316F" w:rsidP="001B316F">
            <w:pPr>
              <w:tabs>
                <w:tab w:val="right" w:pos="1202"/>
              </w:tabs>
              <w:spacing w:after="0" w:line="320" w:lineRule="exact"/>
              <w:jc w:val="right"/>
              <w:outlineLvl w:val="0"/>
              <w:rPr>
                <w:rFonts w:eastAsia="Times New Roman" w:cs="Arial"/>
                <w:b/>
                <w:iCs/>
                <w:sz w:val="19"/>
                <w:szCs w:val="19"/>
              </w:rPr>
            </w:pPr>
            <w:r w:rsidRPr="001B316F">
              <w:rPr>
                <w:rFonts w:eastAsia="Times New Roman" w:cs="Arial"/>
                <w:b/>
                <w:iCs/>
                <w:sz w:val="19"/>
                <w:szCs w:val="19"/>
              </w:rPr>
              <w:t>2.682.127</w:t>
            </w:r>
          </w:p>
        </w:tc>
        <w:tc>
          <w:tcPr>
            <w:tcW w:w="690" w:type="pct"/>
            <w:tcBorders>
              <w:top w:val="nil"/>
              <w:left w:val="nil"/>
              <w:bottom w:val="nil"/>
              <w:right w:val="nil"/>
            </w:tcBorders>
            <w:shd w:val="clear" w:color="auto" w:fill="auto"/>
            <w:vAlign w:val="bottom"/>
          </w:tcPr>
          <w:p w14:paraId="374D87DF" w14:textId="7241F782" w:rsidR="001B316F" w:rsidRPr="001B316F" w:rsidRDefault="001B316F" w:rsidP="001B316F">
            <w:pPr>
              <w:tabs>
                <w:tab w:val="right" w:pos="1202"/>
              </w:tabs>
              <w:spacing w:after="0" w:line="320" w:lineRule="exact"/>
              <w:jc w:val="right"/>
              <w:outlineLvl w:val="0"/>
              <w:rPr>
                <w:rFonts w:eastAsia="Times New Roman" w:cs="Arial"/>
                <w:b/>
                <w:iCs/>
                <w:sz w:val="19"/>
                <w:szCs w:val="19"/>
              </w:rPr>
            </w:pPr>
            <w:r w:rsidRPr="001B316F">
              <w:rPr>
                <w:rFonts w:eastAsia="Times New Roman" w:cs="Arial"/>
                <w:b/>
                <w:iCs/>
                <w:sz w:val="19"/>
                <w:szCs w:val="19"/>
              </w:rPr>
              <w:t>57.555</w:t>
            </w:r>
          </w:p>
        </w:tc>
        <w:tc>
          <w:tcPr>
            <w:tcW w:w="690" w:type="pct"/>
            <w:tcBorders>
              <w:top w:val="nil"/>
              <w:left w:val="nil"/>
              <w:bottom w:val="nil"/>
              <w:right w:val="nil"/>
            </w:tcBorders>
            <w:shd w:val="clear" w:color="auto" w:fill="auto"/>
            <w:vAlign w:val="bottom"/>
          </w:tcPr>
          <w:p w14:paraId="34624211" w14:textId="785242B9" w:rsidR="001B316F" w:rsidRPr="001B316F" w:rsidRDefault="001B316F" w:rsidP="001B316F">
            <w:pPr>
              <w:tabs>
                <w:tab w:val="right" w:pos="1202"/>
              </w:tabs>
              <w:spacing w:after="0" w:line="320" w:lineRule="exact"/>
              <w:jc w:val="right"/>
              <w:outlineLvl w:val="0"/>
              <w:rPr>
                <w:rFonts w:eastAsia="Times New Roman" w:cs="Arial"/>
                <w:b/>
                <w:iCs/>
                <w:sz w:val="19"/>
                <w:szCs w:val="19"/>
              </w:rPr>
            </w:pPr>
            <w:r w:rsidRPr="001B316F">
              <w:rPr>
                <w:rFonts w:eastAsia="Times New Roman" w:cs="Arial"/>
                <w:b/>
                <w:iCs/>
                <w:sz w:val="19"/>
                <w:szCs w:val="19"/>
              </w:rPr>
              <w:t>107.678</w:t>
            </w:r>
          </w:p>
        </w:tc>
        <w:tc>
          <w:tcPr>
            <w:tcW w:w="757" w:type="pct"/>
            <w:tcBorders>
              <w:top w:val="nil"/>
              <w:left w:val="nil"/>
              <w:bottom w:val="nil"/>
              <w:right w:val="nil"/>
            </w:tcBorders>
            <w:shd w:val="clear" w:color="auto" w:fill="auto"/>
            <w:vAlign w:val="bottom"/>
          </w:tcPr>
          <w:p w14:paraId="388D47AA" w14:textId="7759E18B" w:rsidR="001B316F" w:rsidRPr="001B316F" w:rsidRDefault="001B316F" w:rsidP="001B316F">
            <w:pPr>
              <w:tabs>
                <w:tab w:val="right" w:pos="1202"/>
              </w:tabs>
              <w:spacing w:after="0" w:line="320" w:lineRule="exact"/>
              <w:jc w:val="right"/>
              <w:outlineLvl w:val="0"/>
              <w:rPr>
                <w:rFonts w:eastAsia="Times New Roman" w:cs="Arial"/>
                <w:b/>
                <w:iCs/>
                <w:sz w:val="19"/>
                <w:szCs w:val="19"/>
              </w:rPr>
            </w:pPr>
            <w:r w:rsidRPr="001B316F">
              <w:rPr>
                <w:rFonts w:eastAsia="Times New Roman" w:cs="Arial"/>
                <w:b/>
                <w:iCs/>
                <w:sz w:val="19"/>
                <w:szCs w:val="19"/>
              </w:rPr>
              <w:t>9.773.992</w:t>
            </w:r>
          </w:p>
        </w:tc>
      </w:tr>
      <w:tr w:rsidR="001B316F" w:rsidRPr="001B316F" w14:paraId="376BCAA5" w14:textId="77777777" w:rsidTr="00312975">
        <w:trPr>
          <w:trHeight w:val="77"/>
        </w:trPr>
        <w:tc>
          <w:tcPr>
            <w:tcW w:w="1482" w:type="pct"/>
          </w:tcPr>
          <w:p w14:paraId="544F758C" w14:textId="77777777" w:rsidR="001B316F" w:rsidRPr="001B316F" w:rsidRDefault="001B316F" w:rsidP="001B316F">
            <w:pPr>
              <w:tabs>
                <w:tab w:val="right" w:pos="1202"/>
              </w:tabs>
              <w:spacing w:after="0" w:line="140" w:lineRule="exact"/>
              <w:jc w:val="right"/>
              <w:outlineLvl w:val="0"/>
              <w:rPr>
                <w:rFonts w:eastAsia="Times New Roman" w:cs="Arial"/>
                <w:b/>
                <w:iCs/>
                <w:sz w:val="19"/>
                <w:szCs w:val="19"/>
              </w:rPr>
            </w:pPr>
          </w:p>
        </w:tc>
        <w:tc>
          <w:tcPr>
            <w:tcW w:w="690" w:type="pct"/>
          </w:tcPr>
          <w:p w14:paraId="075D69C8" w14:textId="77777777" w:rsidR="001B316F" w:rsidRPr="001B316F" w:rsidRDefault="001B316F" w:rsidP="001B316F">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0" w:type="pct"/>
          </w:tcPr>
          <w:p w14:paraId="25AFE30B" w14:textId="77777777" w:rsidR="001B316F" w:rsidRPr="001B316F" w:rsidRDefault="001B316F" w:rsidP="001B316F">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0" w:type="pct"/>
          </w:tcPr>
          <w:p w14:paraId="67A5D81D" w14:textId="77777777" w:rsidR="001B316F" w:rsidRPr="001B316F" w:rsidRDefault="001B316F" w:rsidP="001B316F">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0" w:type="pct"/>
          </w:tcPr>
          <w:p w14:paraId="6060B670" w14:textId="77777777" w:rsidR="001B316F" w:rsidRPr="001B316F" w:rsidRDefault="001B316F" w:rsidP="001B316F">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757" w:type="pct"/>
          </w:tcPr>
          <w:p w14:paraId="7943C1B9" w14:textId="77777777" w:rsidR="001B316F" w:rsidRPr="001B316F" w:rsidRDefault="001B316F" w:rsidP="001B316F">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r>
      <w:tr w:rsidR="001B316F" w:rsidRPr="001B316F" w14:paraId="1FFF9E67" w14:textId="77777777" w:rsidTr="00312975">
        <w:trPr>
          <w:trHeight w:val="364"/>
        </w:trPr>
        <w:tc>
          <w:tcPr>
            <w:tcW w:w="1482" w:type="pct"/>
            <w:vAlign w:val="bottom"/>
          </w:tcPr>
          <w:p w14:paraId="3D4A0045" w14:textId="7850EE33" w:rsidR="001B316F" w:rsidRPr="001B316F" w:rsidRDefault="001B316F" w:rsidP="00932654">
            <w:pPr>
              <w:tabs>
                <w:tab w:val="right" w:pos="1202"/>
              </w:tabs>
              <w:spacing w:after="0" w:line="240" w:lineRule="auto"/>
              <w:outlineLvl w:val="0"/>
              <w:rPr>
                <w:rFonts w:eastAsia="Times New Roman" w:cs="Arial"/>
                <w:b/>
                <w:iCs/>
                <w:sz w:val="19"/>
                <w:szCs w:val="19"/>
              </w:rPr>
            </w:pPr>
            <w:r w:rsidRPr="001B316F">
              <w:rPr>
                <w:rFonts w:eastAsia="Times New Roman" w:cs="Arial"/>
                <w:b/>
                <w:iCs/>
                <w:sz w:val="19"/>
                <w:szCs w:val="19"/>
              </w:rPr>
              <w:t>Stanje 1. siječnja 201</w:t>
            </w:r>
            <w:r>
              <w:rPr>
                <w:rFonts w:eastAsia="Times New Roman" w:cs="Arial"/>
                <w:b/>
                <w:iCs/>
                <w:sz w:val="19"/>
                <w:szCs w:val="19"/>
              </w:rPr>
              <w:t>7</w:t>
            </w:r>
            <w:r w:rsidRPr="001B316F">
              <w:rPr>
                <w:rFonts w:eastAsia="Times New Roman" w:cs="Arial"/>
                <w:b/>
                <w:iCs/>
                <w:sz w:val="19"/>
                <w:szCs w:val="19"/>
              </w:rPr>
              <w:t>. godine</w:t>
            </w:r>
          </w:p>
        </w:tc>
        <w:tc>
          <w:tcPr>
            <w:tcW w:w="690" w:type="pct"/>
            <w:tcBorders>
              <w:top w:val="nil"/>
              <w:left w:val="nil"/>
              <w:bottom w:val="nil"/>
              <w:right w:val="nil"/>
            </w:tcBorders>
            <w:shd w:val="clear" w:color="auto" w:fill="auto"/>
            <w:vAlign w:val="bottom"/>
          </w:tcPr>
          <w:p w14:paraId="5AF93939" w14:textId="4472B8E2" w:rsidR="001B316F" w:rsidRPr="001B316F" w:rsidRDefault="000D6D32" w:rsidP="001B316F">
            <w:pPr>
              <w:tabs>
                <w:tab w:val="right" w:pos="1202"/>
              </w:tabs>
              <w:spacing w:after="0" w:line="240" w:lineRule="auto"/>
              <w:jc w:val="right"/>
              <w:outlineLvl w:val="0"/>
              <w:rPr>
                <w:rFonts w:ascii="Calibri" w:eastAsia="Times New Roman" w:hAnsi="Calibri" w:cs="Calibri"/>
                <w:b/>
                <w:iCs/>
                <w:sz w:val="19"/>
                <w:szCs w:val="19"/>
                <w:lang w:val="en-GB"/>
              </w:rPr>
            </w:pPr>
            <w:r>
              <w:rPr>
                <w:rFonts w:ascii="Calibri" w:eastAsia="Times New Roman" w:hAnsi="Calibri" w:cs="Times New Roman"/>
                <w:b/>
                <w:bCs/>
                <w:color w:val="000000"/>
                <w:sz w:val="19"/>
                <w:szCs w:val="19"/>
                <w:lang w:val="en-GB"/>
              </w:rPr>
              <w:t>6.959.632</w:t>
            </w:r>
          </w:p>
        </w:tc>
        <w:tc>
          <w:tcPr>
            <w:tcW w:w="690" w:type="pct"/>
            <w:tcBorders>
              <w:top w:val="nil"/>
              <w:left w:val="nil"/>
              <w:bottom w:val="nil"/>
              <w:right w:val="nil"/>
            </w:tcBorders>
            <w:shd w:val="clear" w:color="auto" w:fill="auto"/>
            <w:vAlign w:val="bottom"/>
          </w:tcPr>
          <w:p w14:paraId="2615179A" w14:textId="002BA0A7" w:rsidR="001B316F" w:rsidRPr="001B316F" w:rsidRDefault="000D6D32" w:rsidP="00D96540">
            <w:pPr>
              <w:tabs>
                <w:tab w:val="right" w:pos="1202"/>
              </w:tabs>
              <w:spacing w:after="0" w:line="240" w:lineRule="auto"/>
              <w:jc w:val="right"/>
              <w:outlineLvl w:val="0"/>
              <w:rPr>
                <w:rFonts w:ascii="Calibri" w:eastAsia="Times New Roman" w:hAnsi="Calibri" w:cs="Calibri"/>
                <w:b/>
                <w:iCs/>
                <w:sz w:val="19"/>
                <w:szCs w:val="19"/>
                <w:lang w:val="en-GB"/>
              </w:rPr>
            </w:pPr>
            <w:r>
              <w:rPr>
                <w:rFonts w:ascii="Calibri" w:eastAsia="Times New Roman" w:hAnsi="Calibri" w:cs="Times New Roman"/>
                <w:b/>
                <w:bCs/>
                <w:color w:val="000000"/>
                <w:sz w:val="19"/>
                <w:szCs w:val="19"/>
                <w:lang w:val="en-GB"/>
              </w:rPr>
              <w:t>2.</w:t>
            </w:r>
            <w:r w:rsidR="00997056">
              <w:rPr>
                <w:rFonts w:ascii="Calibri" w:eastAsia="Times New Roman" w:hAnsi="Calibri" w:cs="Times New Roman"/>
                <w:b/>
                <w:bCs/>
                <w:color w:val="000000"/>
                <w:sz w:val="19"/>
                <w:szCs w:val="19"/>
                <w:lang w:val="en-GB"/>
              </w:rPr>
              <w:t>6</w:t>
            </w:r>
            <w:r>
              <w:rPr>
                <w:rFonts w:ascii="Calibri" w:eastAsia="Times New Roman" w:hAnsi="Calibri" w:cs="Times New Roman"/>
                <w:b/>
                <w:bCs/>
                <w:color w:val="000000"/>
                <w:sz w:val="19"/>
                <w:szCs w:val="19"/>
                <w:lang w:val="en-GB"/>
              </w:rPr>
              <w:t>8</w:t>
            </w:r>
            <w:r w:rsidR="00997056">
              <w:rPr>
                <w:rFonts w:ascii="Calibri" w:eastAsia="Times New Roman" w:hAnsi="Calibri" w:cs="Times New Roman"/>
                <w:b/>
                <w:bCs/>
                <w:color w:val="000000"/>
                <w:sz w:val="19"/>
                <w:szCs w:val="19"/>
                <w:lang w:val="en-GB"/>
              </w:rPr>
              <w:t>2</w:t>
            </w:r>
            <w:r>
              <w:rPr>
                <w:rFonts w:ascii="Calibri" w:eastAsia="Times New Roman" w:hAnsi="Calibri" w:cs="Times New Roman"/>
                <w:b/>
                <w:bCs/>
                <w:color w:val="000000"/>
                <w:sz w:val="19"/>
                <w:szCs w:val="19"/>
                <w:lang w:val="en-GB"/>
              </w:rPr>
              <w:t>.127</w:t>
            </w:r>
          </w:p>
        </w:tc>
        <w:tc>
          <w:tcPr>
            <w:tcW w:w="690" w:type="pct"/>
            <w:tcBorders>
              <w:top w:val="nil"/>
              <w:left w:val="nil"/>
              <w:bottom w:val="nil"/>
              <w:right w:val="nil"/>
            </w:tcBorders>
            <w:shd w:val="clear" w:color="auto" w:fill="auto"/>
            <w:vAlign w:val="bottom"/>
          </w:tcPr>
          <w:p w14:paraId="123724E6" w14:textId="24BEE563" w:rsidR="001B316F" w:rsidRPr="001B316F" w:rsidRDefault="000D6D32" w:rsidP="001B316F">
            <w:pPr>
              <w:tabs>
                <w:tab w:val="right" w:pos="1202"/>
              </w:tabs>
              <w:spacing w:after="0" w:line="240" w:lineRule="auto"/>
              <w:jc w:val="right"/>
              <w:outlineLvl w:val="0"/>
              <w:rPr>
                <w:rFonts w:ascii="Calibri" w:eastAsia="Times New Roman" w:hAnsi="Calibri" w:cs="Calibri"/>
                <w:b/>
                <w:iCs/>
                <w:sz w:val="19"/>
                <w:szCs w:val="19"/>
                <w:lang w:val="en-GB"/>
              </w:rPr>
            </w:pPr>
            <w:r>
              <w:rPr>
                <w:rFonts w:ascii="Calibri" w:eastAsia="Times New Roman" w:hAnsi="Calibri" w:cs="Times New Roman"/>
                <w:b/>
                <w:bCs/>
                <w:color w:val="000000"/>
                <w:sz w:val="19"/>
                <w:szCs w:val="19"/>
                <w:lang w:val="en-GB"/>
              </w:rPr>
              <w:t>73.733</w:t>
            </w:r>
          </w:p>
        </w:tc>
        <w:tc>
          <w:tcPr>
            <w:tcW w:w="690" w:type="pct"/>
            <w:tcBorders>
              <w:top w:val="nil"/>
              <w:left w:val="nil"/>
              <w:bottom w:val="nil"/>
              <w:right w:val="nil"/>
            </w:tcBorders>
            <w:shd w:val="clear" w:color="auto" w:fill="auto"/>
            <w:vAlign w:val="bottom"/>
          </w:tcPr>
          <w:p w14:paraId="688F36A3" w14:textId="4A72BBB7" w:rsidR="001B316F" w:rsidRPr="001B316F" w:rsidRDefault="000D6D32" w:rsidP="001B316F">
            <w:pPr>
              <w:tabs>
                <w:tab w:val="right" w:pos="1202"/>
              </w:tabs>
              <w:spacing w:after="0" w:line="240" w:lineRule="auto"/>
              <w:jc w:val="right"/>
              <w:outlineLvl w:val="0"/>
              <w:rPr>
                <w:rFonts w:ascii="Calibri" w:eastAsia="Times New Roman" w:hAnsi="Calibri" w:cs="Calibri"/>
                <w:b/>
                <w:iCs/>
                <w:sz w:val="19"/>
                <w:szCs w:val="19"/>
                <w:lang w:val="en-GB"/>
              </w:rPr>
            </w:pPr>
            <w:r>
              <w:rPr>
                <w:rFonts w:ascii="Calibri" w:eastAsia="Times New Roman" w:hAnsi="Calibri" w:cs="Times New Roman"/>
                <w:b/>
                <w:bCs/>
                <w:color w:val="000000"/>
                <w:sz w:val="19"/>
                <w:szCs w:val="19"/>
                <w:lang w:val="en-GB"/>
              </w:rPr>
              <w:t>314.841</w:t>
            </w:r>
          </w:p>
        </w:tc>
        <w:tc>
          <w:tcPr>
            <w:tcW w:w="757" w:type="pct"/>
            <w:tcBorders>
              <w:top w:val="nil"/>
              <w:left w:val="nil"/>
              <w:bottom w:val="nil"/>
              <w:right w:val="nil"/>
            </w:tcBorders>
            <w:shd w:val="clear" w:color="auto" w:fill="auto"/>
            <w:vAlign w:val="bottom"/>
          </w:tcPr>
          <w:p w14:paraId="592FF610" w14:textId="2E983EE9" w:rsidR="001B316F" w:rsidRPr="001B316F" w:rsidRDefault="000D6D32" w:rsidP="001B316F">
            <w:pPr>
              <w:tabs>
                <w:tab w:val="right" w:pos="1202"/>
              </w:tabs>
              <w:spacing w:after="0" w:line="240" w:lineRule="auto"/>
              <w:jc w:val="right"/>
              <w:outlineLvl w:val="0"/>
              <w:rPr>
                <w:rFonts w:ascii="Calibri" w:eastAsia="Times New Roman" w:hAnsi="Calibri" w:cs="Calibri"/>
                <w:b/>
                <w:iCs/>
                <w:sz w:val="19"/>
                <w:szCs w:val="19"/>
                <w:lang w:val="en-GB"/>
              </w:rPr>
            </w:pPr>
            <w:r>
              <w:rPr>
                <w:rFonts w:ascii="Calibri" w:eastAsia="Times New Roman" w:hAnsi="Calibri" w:cs="Times New Roman"/>
                <w:b/>
                <w:bCs/>
                <w:color w:val="000000"/>
                <w:sz w:val="19"/>
                <w:szCs w:val="19"/>
                <w:lang w:val="en-GB"/>
              </w:rPr>
              <w:t>10.030.33</w:t>
            </w:r>
            <w:r w:rsidR="005E7414">
              <w:rPr>
                <w:rFonts w:ascii="Calibri" w:eastAsia="Times New Roman" w:hAnsi="Calibri" w:cs="Times New Roman"/>
                <w:b/>
                <w:bCs/>
                <w:color w:val="000000"/>
                <w:sz w:val="19"/>
                <w:szCs w:val="19"/>
                <w:lang w:val="en-GB"/>
              </w:rPr>
              <w:t>3</w:t>
            </w:r>
          </w:p>
        </w:tc>
      </w:tr>
      <w:tr w:rsidR="001B316F" w:rsidRPr="001B316F" w14:paraId="5CAB6656" w14:textId="77777777" w:rsidTr="00312975">
        <w:trPr>
          <w:trHeight w:val="77"/>
        </w:trPr>
        <w:tc>
          <w:tcPr>
            <w:tcW w:w="1482" w:type="pct"/>
          </w:tcPr>
          <w:p w14:paraId="2C6CA00C" w14:textId="77777777" w:rsidR="001B316F" w:rsidRPr="001B316F" w:rsidRDefault="001B316F" w:rsidP="001B316F">
            <w:pPr>
              <w:tabs>
                <w:tab w:val="right" w:pos="1202"/>
              </w:tabs>
              <w:spacing w:after="0" w:line="140" w:lineRule="exact"/>
              <w:jc w:val="right"/>
              <w:outlineLvl w:val="0"/>
              <w:rPr>
                <w:rFonts w:eastAsia="Times New Roman" w:cs="Arial"/>
                <w:b/>
                <w:iCs/>
                <w:sz w:val="19"/>
                <w:szCs w:val="19"/>
              </w:rPr>
            </w:pPr>
          </w:p>
        </w:tc>
        <w:tc>
          <w:tcPr>
            <w:tcW w:w="690" w:type="pct"/>
            <w:vAlign w:val="bottom"/>
          </w:tcPr>
          <w:p w14:paraId="5E44C2E6" w14:textId="77777777" w:rsidR="001B316F" w:rsidRPr="001B316F" w:rsidRDefault="001B316F" w:rsidP="001B316F">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0" w:type="pct"/>
            <w:vAlign w:val="bottom"/>
          </w:tcPr>
          <w:p w14:paraId="0EF5E9E5" w14:textId="77777777" w:rsidR="001B316F" w:rsidRPr="001B316F" w:rsidRDefault="001B316F" w:rsidP="001B316F">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0" w:type="pct"/>
            <w:vAlign w:val="bottom"/>
          </w:tcPr>
          <w:p w14:paraId="0B1A9EBB" w14:textId="77777777" w:rsidR="001B316F" w:rsidRPr="001B316F" w:rsidRDefault="001B316F" w:rsidP="001B316F">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690" w:type="pct"/>
            <w:vAlign w:val="bottom"/>
          </w:tcPr>
          <w:p w14:paraId="174829AD" w14:textId="77777777" w:rsidR="001B316F" w:rsidRPr="001B316F" w:rsidRDefault="001B316F" w:rsidP="001B316F">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c>
          <w:tcPr>
            <w:tcW w:w="757" w:type="pct"/>
            <w:vAlign w:val="bottom"/>
          </w:tcPr>
          <w:p w14:paraId="46739F19" w14:textId="77777777" w:rsidR="001B316F" w:rsidRPr="001B316F" w:rsidRDefault="001B316F" w:rsidP="001B316F">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___________</w:t>
            </w:r>
          </w:p>
        </w:tc>
      </w:tr>
      <w:tr w:rsidR="001B316F" w:rsidRPr="001B316F" w14:paraId="58DF7013" w14:textId="77777777" w:rsidTr="00312975">
        <w:trPr>
          <w:trHeight w:hRule="exact" w:val="277"/>
        </w:trPr>
        <w:tc>
          <w:tcPr>
            <w:tcW w:w="1482" w:type="pct"/>
            <w:vAlign w:val="bottom"/>
          </w:tcPr>
          <w:p w14:paraId="3681CC6E" w14:textId="2A60E1E4" w:rsidR="001B316F" w:rsidRPr="001B316F" w:rsidRDefault="001B316F" w:rsidP="001B316F">
            <w:pPr>
              <w:tabs>
                <w:tab w:val="right" w:pos="1202"/>
              </w:tabs>
              <w:spacing w:after="0" w:line="240" w:lineRule="auto"/>
              <w:outlineLvl w:val="0"/>
              <w:rPr>
                <w:rFonts w:eastAsia="Times New Roman" w:cs="Arial"/>
                <w:iCs/>
                <w:sz w:val="19"/>
                <w:szCs w:val="19"/>
              </w:rPr>
            </w:pPr>
            <w:r w:rsidRPr="001B316F">
              <w:rPr>
                <w:rFonts w:eastAsia="Times New Roman" w:cs="Arial"/>
                <w:iCs/>
                <w:sz w:val="19"/>
                <w:szCs w:val="19"/>
              </w:rPr>
              <w:t>Dobit tekuće</w:t>
            </w:r>
            <w:r w:rsidR="000035C6">
              <w:rPr>
                <w:rFonts w:eastAsia="Times New Roman" w:cs="Arial"/>
                <w:iCs/>
                <w:sz w:val="19"/>
                <w:szCs w:val="19"/>
              </w:rPr>
              <w:t>g razdoblja</w:t>
            </w:r>
          </w:p>
        </w:tc>
        <w:tc>
          <w:tcPr>
            <w:tcW w:w="690" w:type="pct"/>
            <w:tcBorders>
              <w:top w:val="nil"/>
              <w:left w:val="nil"/>
              <w:bottom w:val="nil"/>
              <w:right w:val="nil"/>
            </w:tcBorders>
            <w:shd w:val="clear" w:color="auto" w:fill="auto"/>
            <w:vAlign w:val="bottom"/>
          </w:tcPr>
          <w:p w14:paraId="2C8C73F9" w14:textId="77777777" w:rsidR="001B316F" w:rsidRPr="00D00F43" w:rsidRDefault="001B316F" w:rsidP="001B316F">
            <w:pPr>
              <w:tabs>
                <w:tab w:val="right" w:pos="1202"/>
              </w:tabs>
              <w:spacing w:after="0" w:line="240" w:lineRule="auto"/>
              <w:jc w:val="right"/>
              <w:outlineLvl w:val="0"/>
              <w:rPr>
                <w:rFonts w:eastAsia="Times New Roman" w:cs="Arial"/>
                <w:sz w:val="19"/>
                <w:szCs w:val="19"/>
              </w:rPr>
            </w:pPr>
            <w:r w:rsidRPr="00D00F43">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2349F365" w14:textId="77777777" w:rsidR="001B316F" w:rsidRPr="00D00F43" w:rsidRDefault="001B316F" w:rsidP="001B316F">
            <w:pPr>
              <w:tabs>
                <w:tab w:val="right" w:pos="1202"/>
              </w:tabs>
              <w:spacing w:after="0" w:line="240" w:lineRule="auto"/>
              <w:jc w:val="right"/>
              <w:outlineLvl w:val="0"/>
              <w:rPr>
                <w:rFonts w:eastAsia="Times New Roman" w:cs="Arial"/>
                <w:sz w:val="19"/>
                <w:szCs w:val="19"/>
              </w:rPr>
            </w:pPr>
            <w:r w:rsidRPr="00D00F43">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670B3EA8" w14:textId="77777777" w:rsidR="001B316F" w:rsidRPr="00D00F43" w:rsidRDefault="001B316F" w:rsidP="001B316F">
            <w:pPr>
              <w:tabs>
                <w:tab w:val="right" w:pos="1202"/>
              </w:tabs>
              <w:spacing w:after="0" w:line="240" w:lineRule="auto"/>
              <w:jc w:val="right"/>
              <w:outlineLvl w:val="0"/>
              <w:rPr>
                <w:rFonts w:eastAsia="Times New Roman" w:cs="Arial"/>
                <w:sz w:val="19"/>
                <w:szCs w:val="19"/>
              </w:rPr>
            </w:pPr>
            <w:r w:rsidRPr="00D00F43">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356FB27C" w14:textId="21B24BE9" w:rsidR="001B316F" w:rsidRPr="00D00F43" w:rsidRDefault="00D00F43" w:rsidP="001B316F">
            <w:pPr>
              <w:tabs>
                <w:tab w:val="right" w:pos="1202"/>
              </w:tabs>
              <w:spacing w:after="0" w:line="240" w:lineRule="auto"/>
              <w:jc w:val="right"/>
              <w:outlineLvl w:val="0"/>
              <w:rPr>
                <w:rFonts w:eastAsia="Times New Roman" w:cs="Arial"/>
                <w:sz w:val="19"/>
                <w:szCs w:val="19"/>
              </w:rPr>
            </w:pPr>
            <w:r w:rsidRPr="00312975">
              <w:rPr>
                <w:rFonts w:eastAsia="Times New Roman" w:cs="Arial"/>
                <w:sz w:val="19"/>
                <w:szCs w:val="19"/>
              </w:rPr>
              <w:t>130.750</w:t>
            </w:r>
          </w:p>
        </w:tc>
        <w:tc>
          <w:tcPr>
            <w:tcW w:w="757" w:type="pct"/>
            <w:tcBorders>
              <w:top w:val="nil"/>
              <w:left w:val="nil"/>
              <w:bottom w:val="nil"/>
              <w:right w:val="nil"/>
            </w:tcBorders>
            <w:shd w:val="clear" w:color="auto" w:fill="auto"/>
            <w:vAlign w:val="bottom"/>
          </w:tcPr>
          <w:p w14:paraId="191F17C4" w14:textId="5016E643" w:rsidR="001B316F" w:rsidRPr="00D00F43" w:rsidRDefault="00D00F43" w:rsidP="001B316F">
            <w:pPr>
              <w:tabs>
                <w:tab w:val="right" w:pos="1202"/>
              </w:tabs>
              <w:spacing w:after="0" w:line="240" w:lineRule="auto"/>
              <w:jc w:val="right"/>
              <w:outlineLvl w:val="0"/>
              <w:rPr>
                <w:rFonts w:eastAsia="Times New Roman" w:cs="Arial"/>
                <w:b/>
                <w:iCs/>
                <w:sz w:val="19"/>
                <w:szCs w:val="19"/>
              </w:rPr>
            </w:pPr>
            <w:r w:rsidRPr="00312975">
              <w:rPr>
                <w:rFonts w:eastAsia="Times New Roman" w:cs="Arial"/>
                <w:b/>
                <w:iCs/>
                <w:sz w:val="19"/>
                <w:szCs w:val="19"/>
              </w:rPr>
              <w:t>130.750</w:t>
            </w:r>
          </w:p>
        </w:tc>
      </w:tr>
      <w:tr w:rsidR="001B316F" w:rsidRPr="001B316F" w14:paraId="2E127C4C" w14:textId="77777777" w:rsidTr="00312975">
        <w:trPr>
          <w:trHeight w:hRule="exact" w:val="277"/>
        </w:trPr>
        <w:tc>
          <w:tcPr>
            <w:tcW w:w="1482" w:type="pct"/>
            <w:vAlign w:val="bottom"/>
          </w:tcPr>
          <w:p w14:paraId="0EDB79BF" w14:textId="77777777" w:rsidR="001B316F" w:rsidRPr="001B316F" w:rsidRDefault="001B316F" w:rsidP="001B316F">
            <w:pPr>
              <w:tabs>
                <w:tab w:val="right" w:pos="1202"/>
              </w:tabs>
              <w:spacing w:after="0" w:line="240" w:lineRule="auto"/>
              <w:outlineLvl w:val="0"/>
              <w:rPr>
                <w:rFonts w:eastAsia="Times New Roman" w:cs="Arial"/>
                <w:iCs/>
                <w:sz w:val="19"/>
                <w:szCs w:val="19"/>
              </w:rPr>
            </w:pPr>
            <w:r w:rsidRPr="001B316F">
              <w:rPr>
                <w:rFonts w:eastAsia="Times New Roman" w:cs="Arial"/>
                <w:iCs/>
                <w:sz w:val="19"/>
                <w:szCs w:val="19"/>
              </w:rPr>
              <w:t>Ostala sveobuhvatna dobit</w:t>
            </w:r>
          </w:p>
        </w:tc>
        <w:tc>
          <w:tcPr>
            <w:tcW w:w="690" w:type="pct"/>
            <w:tcBorders>
              <w:top w:val="nil"/>
              <w:left w:val="nil"/>
              <w:bottom w:val="nil"/>
              <w:right w:val="nil"/>
            </w:tcBorders>
            <w:shd w:val="clear" w:color="auto" w:fill="auto"/>
            <w:vAlign w:val="bottom"/>
          </w:tcPr>
          <w:p w14:paraId="14DA5CFF" w14:textId="77777777" w:rsidR="001B316F" w:rsidRPr="00D00F43" w:rsidRDefault="001B316F" w:rsidP="001B316F">
            <w:pPr>
              <w:tabs>
                <w:tab w:val="right" w:pos="1202"/>
              </w:tabs>
              <w:spacing w:after="0" w:line="240" w:lineRule="auto"/>
              <w:jc w:val="right"/>
              <w:outlineLvl w:val="0"/>
              <w:rPr>
                <w:rFonts w:eastAsia="Times New Roman" w:cs="Arial"/>
                <w:iCs/>
                <w:sz w:val="19"/>
                <w:szCs w:val="19"/>
              </w:rPr>
            </w:pPr>
            <w:r w:rsidRPr="00D00F43">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182E567D" w14:textId="77777777" w:rsidR="001B316F" w:rsidRPr="00D00F43" w:rsidRDefault="001B316F" w:rsidP="001B316F">
            <w:pPr>
              <w:tabs>
                <w:tab w:val="right" w:pos="1202"/>
              </w:tabs>
              <w:spacing w:after="0" w:line="240" w:lineRule="auto"/>
              <w:jc w:val="right"/>
              <w:outlineLvl w:val="0"/>
              <w:rPr>
                <w:rFonts w:eastAsia="Times New Roman" w:cs="Arial"/>
                <w:iCs/>
                <w:sz w:val="19"/>
                <w:szCs w:val="19"/>
              </w:rPr>
            </w:pPr>
            <w:r w:rsidRPr="00D00F43">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44B8C78F" w14:textId="198C7029" w:rsidR="001B316F" w:rsidRPr="00D00F43" w:rsidRDefault="00D00F43" w:rsidP="001B316F">
            <w:pPr>
              <w:tabs>
                <w:tab w:val="right" w:pos="1202"/>
              </w:tabs>
              <w:spacing w:after="0" w:line="240" w:lineRule="auto"/>
              <w:jc w:val="right"/>
              <w:outlineLvl w:val="0"/>
              <w:rPr>
                <w:rFonts w:eastAsia="Times New Roman" w:cs="Arial"/>
                <w:iCs/>
                <w:sz w:val="19"/>
                <w:szCs w:val="19"/>
              </w:rPr>
            </w:pPr>
            <w:r w:rsidRPr="00312975">
              <w:rPr>
                <w:rFonts w:eastAsia="Times New Roman" w:cs="Arial"/>
                <w:iCs/>
                <w:sz w:val="19"/>
                <w:szCs w:val="19"/>
              </w:rPr>
              <w:t>(546)</w:t>
            </w:r>
          </w:p>
        </w:tc>
        <w:tc>
          <w:tcPr>
            <w:tcW w:w="690" w:type="pct"/>
            <w:tcBorders>
              <w:top w:val="nil"/>
              <w:left w:val="nil"/>
              <w:bottom w:val="nil"/>
              <w:right w:val="nil"/>
            </w:tcBorders>
            <w:shd w:val="clear" w:color="auto" w:fill="auto"/>
            <w:vAlign w:val="bottom"/>
          </w:tcPr>
          <w:p w14:paraId="7FCCA418" w14:textId="77777777" w:rsidR="001B316F" w:rsidRPr="00D00F43" w:rsidRDefault="001B316F" w:rsidP="001B316F">
            <w:pPr>
              <w:tabs>
                <w:tab w:val="right" w:pos="1202"/>
              </w:tabs>
              <w:spacing w:after="0" w:line="240" w:lineRule="auto"/>
              <w:jc w:val="right"/>
              <w:outlineLvl w:val="0"/>
              <w:rPr>
                <w:rFonts w:eastAsia="Times New Roman" w:cs="Arial"/>
                <w:iCs/>
                <w:sz w:val="19"/>
                <w:szCs w:val="19"/>
              </w:rPr>
            </w:pPr>
            <w:r w:rsidRPr="00D00F43">
              <w:rPr>
                <w:rFonts w:eastAsia="Times New Roman" w:cs="Arial"/>
                <w:iCs/>
                <w:sz w:val="19"/>
                <w:szCs w:val="19"/>
              </w:rPr>
              <w:t>-</w:t>
            </w:r>
          </w:p>
        </w:tc>
        <w:tc>
          <w:tcPr>
            <w:tcW w:w="757" w:type="pct"/>
            <w:tcBorders>
              <w:top w:val="nil"/>
              <w:left w:val="nil"/>
              <w:bottom w:val="nil"/>
              <w:right w:val="nil"/>
            </w:tcBorders>
            <w:shd w:val="clear" w:color="auto" w:fill="auto"/>
            <w:vAlign w:val="bottom"/>
          </w:tcPr>
          <w:p w14:paraId="68C0232E" w14:textId="3BB783E0" w:rsidR="001B316F" w:rsidRPr="00D00F43" w:rsidRDefault="00D00F43" w:rsidP="001B316F">
            <w:pPr>
              <w:tabs>
                <w:tab w:val="right" w:pos="1202"/>
              </w:tabs>
              <w:spacing w:after="0" w:line="240" w:lineRule="auto"/>
              <w:jc w:val="right"/>
              <w:outlineLvl w:val="0"/>
              <w:rPr>
                <w:rFonts w:eastAsia="Times New Roman" w:cs="Arial"/>
                <w:b/>
                <w:iCs/>
                <w:sz w:val="19"/>
                <w:szCs w:val="19"/>
              </w:rPr>
            </w:pPr>
            <w:r w:rsidRPr="00312975">
              <w:rPr>
                <w:rFonts w:eastAsia="Times New Roman" w:cs="Arial"/>
                <w:b/>
                <w:iCs/>
                <w:sz w:val="19"/>
                <w:szCs w:val="19"/>
              </w:rPr>
              <w:t>(546)</w:t>
            </w:r>
          </w:p>
        </w:tc>
      </w:tr>
      <w:tr w:rsidR="001B316F" w:rsidRPr="001B316F" w14:paraId="12BD200E" w14:textId="77777777" w:rsidTr="00312975">
        <w:trPr>
          <w:trHeight w:val="77"/>
        </w:trPr>
        <w:tc>
          <w:tcPr>
            <w:tcW w:w="1482" w:type="pct"/>
          </w:tcPr>
          <w:p w14:paraId="16372842" w14:textId="77777777" w:rsidR="001B316F" w:rsidRPr="001B316F" w:rsidRDefault="001B316F" w:rsidP="001B316F">
            <w:pPr>
              <w:tabs>
                <w:tab w:val="right" w:pos="1202"/>
              </w:tabs>
              <w:spacing w:after="0" w:line="140" w:lineRule="exact"/>
              <w:jc w:val="right"/>
              <w:outlineLvl w:val="0"/>
              <w:rPr>
                <w:rFonts w:eastAsia="Times New Roman" w:cs="Arial"/>
                <w:iCs/>
                <w:sz w:val="19"/>
                <w:szCs w:val="19"/>
              </w:rPr>
            </w:pPr>
          </w:p>
        </w:tc>
        <w:tc>
          <w:tcPr>
            <w:tcW w:w="690" w:type="pct"/>
            <w:vAlign w:val="bottom"/>
          </w:tcPr>
          <w:p w14:paraId="5D102BBD" w14:textId="77777777" w:rsidR="001B316F" w:rsidRPr="00D00F43"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c>
          <w:tcPr>
            <w:tcW w:w="690" w:type="pct"/>
            <w:vAlign w:val="bottom"/>
          </w:tcPr>
          <w:p w14:paraId="506AE19A" w14:textId="77777777" w:rsidR="001B316F" w:rsidRPr="00D00F43"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c>
          <w:tcPr>
            <w:tcW w:w="690" w:type="pct"/>
            <w:vAlign w:val="bottom"/>
          </w:tcPr>
          <w:p w14:paraId="2F5DB906" w14:textId="77777777" w:rsidR="001B316F" w:rsidRPr="00D00F43"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c>
          <w:tcPr>
            <w:tcW w:w="690" w:type="pct"/>
            <w:vAlign w:val="bottom"/>
          </w:tcPr>
          <w:p w14:paraId="398FDA1F" w14:textId="77777777" w:rsidR="001B316F" w:rsidRPr="00D00F43"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c>
          <w:tcPr>
            <w:tcW w:w="757" w:type="pct"/>
            <w:vAlign w:val="bottom"/>
          </w:tcPr>
          <w:p w14:paraId="5EAFA0EA" w14:textId="77777777" w:rsidR="001B316F" w:rsidRPr="00D00F43"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r>
      <w:tr w:rsidR="001B316F" w:rsidRPr="001B316F" w14:paraId="61A21150" w14:textId="77777777" w:rsidTr="00312975">
        <w:trPr>
          <w:trHeight w:val="77"/>
        </w:trPr>
        <w:tc>
          <w:tcPr>
            <w:tcW w:w="1482" w:type="pct"/>
            <w:vAlign w:val="bottom"/>
          </w:tcPr>
          <w:p w14:paraId="7C8373E7" w14:textId="77777777" w:rsidR="001B316F" w:rsidRPr="001B316F" w:rsidRDefault="001B316F" w:rsidP="001B316F">
            <w:pPr>
              <w:tabs>
                <w:tab w:val="right" w:pos="1202"/>
              </w:tabs>
              <w:spacing w:after="0" w:line="240" w:lineRule="auto"/>
              <w:outlineLvl w:val="0"/>
              <w:rPr>
                <w:rFonts w:eastAsia="Times New Roman" w:cs="Arial"/>
                <w:iCs/>
                <w:sz w:val="19"/>
                <w:szCs w:val="19"/>
              </w:rPr>
            </w:pPr>
            <w:r w:rsidRPr="001B316F">
              <w:rPr>
                <w:rFonts w:eastAsia="Times New Roman" w:cs="Arial"/>
                <w:iCs/>
                <w:sz w:val="19"/>
                <w:szCs w:val="19"/>
              </w:rPr>
              <w:t>Ukupna sveobuhvatna dobit</w:t>
            </w:r>
          </w:p>
        </w:tc>
        <w:tc>
          <w:tcPr>
            <w:tcW w:w="690" w:type="pct"/>
            <w:tcBorders>
              <w:top w:val="nil"/>
              <w:left w:val="nil"/>
              <w:bottom w:val="nil"/>
              <w:right w:val="nil"/>
            </w:tcBorders>
            <w:shd w:val="clear" w:color="auto" w:fill="auto"/>
            <w:vAlign w:val="bottom"/>
          </w:tcPr>
          <w:p w14:paraId="5A02554F" w14:textId="77777777" w:rsidR="001B316F" w:rsidRPr="00D00F43" w:rsidRDefault="001B316F" w:rsidP="001B316F">
            <w:pPr>
              <w:tabs>
                <w:tab w:val="right" w:pos="1202"/>
              </w:tabs>
              <w:spacing w:after="0" w:line="240" w:lineRule="auto"/>
              <w:jc w:val="right"/>
              <w:outlineLvl w:val="0"/>
              <w:rPr>
                <w:rFonts w:eastAsia="Times New Roman" w:cs="Arial"/>
                <w:iCs/>
                <w:sz w:val="19"/>
                <w:szCs w:val="19"/>
              </w:rPr>
            </w:pPr>
            <w:r w:rsidRPr="00D00F43">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268FA339" w14:textId="77777777" w:rsidR="001B316F" w:rsidRPr="00D00F43" w:rsidRDefault="001B316F" w:rsidP="001B316F">
            <w:pPr>
              <w:tabs>
                <w:tab w:val="right" w:pos="1202"/>
              </w:tabs>
              <w:spacing w:after="0" w:line="240" w:lineRule="auto"/>
              <w:jc w:val="right"/>
              <w:outlineLvl w:val="0"/>
              <w:rPr>
                <w:rFonts w:eastAsia="Times New Roman" w:cs="Arial"/>
                <w:iCs/>
                <w:sz w:val="19"/>
                <w:szCs w:val="19"/>
              </w:rPr>
            </w:pPr>
            <w:r w:rsidRPr="00D00F43">
              <w:rPr>
                <w:rFonts w:ascii="Calibri" w:eastAsia="Times New Roman" w:hAnsi="Calibri" w:cs="Times New Roman"/>
                <w:color w:val="000000"/>
                <w:sz w:val="19"/>
                <w:szCs w:val="19"/>
                <w:lang w:val="en-GB"/>
              </w:rPr>
              <w:t xml:space="preserve"> - </w:t>
            </w:r>
          </w:p>
        </w:tc>
        <w:tc>
          <w:tcPr>
            <w:tcW w:w="690" w:type="pct"/>
            <w:tcBorders>
              <w:top w:val="nil"/>
              <w:left w:val="nil"/>
              <w:bottom w:val="nil"/>
              <w:right w:val="nil"/>
            </w:tcBorders>
            <w:shd w:val="clear" w:color="auto" w:fill="auto"/>
            <w:vAlign w:val="bottom"/>
          </w:tcPr>
          <w:p w14:paraId="6F758E48" w14:textId="0A4AFDF2" w:rsidR="001B316F" w:rsidRPr="00D00F43" w:rsidRDefault="00D00F43" w:rsidP="001B316F">
            <w:pPr>
              <w:tabs>
                <w:tab w:val="right" w:pos="1202"/>
              </w:tabs>
              <w:spacing w:after="0" w:line="240" w:lineRule="auto"/>
              <w:jc w:val="right"/>
              <w:outlineLvl w:val="0"/>
              <w:rPr>
                <w:rFonts w:eastAsia="Times New Roman" w:cs="Arial"/>
                <w:iCs/>
                <w:sz w:val="19"/>
                <w:szCs w:val="19"/>
              </w:rPr>
            </w:pPr>
            <w:r w:rsidRPr="00312975">
              <w:rPr>
                <w:rFonts w:eastAsia="Times New Roman" w:cs="Arial"/>
                <w:iCs/>
                <w:sz w:val="19"/>
                <w:szCs w:val="19"/>
              </w:rPr>
              <w:t>(546)</w:t>
            </w:r>
          </w:p>
        </w:tc>
        <w:tc>
          <w:tcPr>
            <w:tcW w:w="690" w:type="pct"/>
            <w:tcBorders>
              <w:top w:val="nil"/>
              <w:left w:val="nil"/>
              <w:bottom w:val="nil"/>
              <w:right w:val="nil"/>
            </w:tcBorders>
            <w:shd w:val="clear" w:color="auto" w:fill="auto"/>
            <w:vAlign w:val="bottom"/>
          </w:tcPr>
          <w:p w14:paraId="0BE0526D" w14:textId="79FCF105" w:rsidR="001B316F" w:rsidRPr="00D00F43" w:rsidRDefault="00D00F43" w:rsidP="001B316F">
            <w:pPr>
              <w:tabs>
                <w:tab w:val="right" w:pos="1202"/>
              </w:tabs>
              <w:spacing w:after="0" w:line="240" w:lineRule="auto"/>
              <w:jc w:val="right"/>
              <w:outlineLvl w:val="0"/>
              <w:rPr>
                <w:rFonts w:eastAsia="Times New Roman" w:cs="Arial"/>
                <w:iCs/>
                <w:sz w:val="19"/>
                <w:szCs w:val="19"/>
              </w:rPr>
            </w:pPr>
            <w:r w:rsidRPr="00312975">
              <w:rPr>
                <w:rFonts w:eastAsia="Times New Roman" w:cs="Arial"/>
                <w:iCs/>
                <w:sz w:val="19"/>
                <w:szCs w:val="19"/>
              </w:rPr>
              <w:t>130.750</w:t>
            </w:r>
          </w:p>
        </w:tc>
        <w:tc>
          <w:tcPr>
            <w:tcW w:w="757" w:type="pct"/>
            <w:tcBorders>
              <w:top w:val="nil"/>
              <w:left w:val="nil"/>
              <w:bottom w:val="nil"/>
              <w:right w:val="nil"/>
            </w:tcBorders>
            <w:shd w:val="clear" w:color="auto" w:fill="auto"/>
            <w:vAlign w:val="bottom"/>
          </w:tcPr>
          <w:p w14:paraId="37C6D339" w14:textId="77B75149" w:rsidR="001B316F" w:rsidRPr="00D00F43" w:rsidRDefault="00D00F43" w:rsidP="001B316F">
            <w:pPr>
              <w:tabs>
                <w:tab w:val="right" w:pos="1202"/>
              </w:tabs>
              <w:spacing w:after="0" w:line="240" w:lineRule="auto"/>
              <w:jc w:val="right"/>
              <w:outlineLvl w:val="0"/>
              <w:rPr>
                <w:rFonts w:eastAsia="Times New Roman" w:cs="Arial"/>
                <w:b/>
                <w:iCs/>
                <w:sz w:val="19"/>
                <w:szCs w:val="19"/>
              </w:rPr>
            </w:pPr>
            <w:r w:rsidRPr="00312975">
              <w:rPr>
                <w:rFonts w:eastAsia="Times New Roman" w:cs="Arial"/>
                <w:b/>
                <w:iCs/>
                <w:sz w:val="19"/>
                <w:szCs w:val="19"/>
              </w:rPr>
              <w:t>130.204</w:t>
            </w:r>
          </w:p>
        </w:tc>
      </w:tr>
      <w:tr w:rsidR="001B316F" w:rsidRPr="001B316F" w14:paraId="2382571F" w14:textId="77777777" w:rsidTr="00312975">
        <w:trPr>
          <w:trHeight w:val="77"/>
        </w:trPr>
        <w:tc>
          <w:tcPr>
            <w:tcW w:w="1482" w:type="pct"/>
          </w:tcPr>
          <w:p w14:paraId="217F2193" w14:textId="77777777" w:rsidR="001B316F" w:rsidRPr="001B316F" w:rsidRDefault="001B316F" w:rsidP="001B316F">
            <w:pPr>
              <w:tabs>
                <w:tab w:val="right" w:pos="1202"/>
              </w:tabs>
              <w:spacing w:after="0" w:line="140" w:lineRule="exact"/>
              <w:jc w:val="right"/>
              <w:outlineLvl w:val="0"/>
              <w:rPr>
                <w:rFonts w:eastAsia="Times New Roman" w:cs="Arial"/>
                <w:iCs/>
                <w:sz w:val="19"/>
                <w:szCs w:val="19"/>
              </w:rPr>
            </w:pPr>
          </w:p>
        </w:tc>
        <w:tc>
          <w:tcPr>
            <w:tcW w:w="690" w:type="pct"/>
            <w:vAlign w:val="bottom"/>
          </w:tcPr>
          <w:p w14:paraId="2537D361" w14:textId="77777777" w:rsidR="001B316F" w:rsidRPr="00D00F43"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c>
          <w:tcPr>
            <w:tcW w:w="690" w:type="pct"/>
            <w:vAlign w:val="bottom"/>
          </w:tcPr>
          <w:p w14:paraId="69B4F4F2" w14:textId="77777777" w:rsidR="001B316F" w:rsidRPr="00D00F43"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c>
          <w:tcPr>
            <w:tcW w:w="690" w:type="pct"/>
            <w:vAlign w:val="bottom"/>
          </w:tcPr>
          <w:p w14:paraId="5E25D768" w14:textId="77777777" w:rsidR="001B316F" w:rsidRPr="00D00F43"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c>
          <w:tcPr>
            <w:tcW w:w="690" w:type="pct"/>
            <w:vAlign w:val="bottom"/>
          </w:tcPr>
          <w:p w14:paraId="6CC59568" w14:textId="77777777" w:rsidR="001B316F" w:rsidRPr="00D00F43"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c>
          <w:tcPr>
            <w:tcW w:w="757" w:type="pct"/>
            <w:vAlign w:val="bottom"/>
          </w:tcPr>
          <w:p w14:paraId="7301B4CF" w14:textId="77777777" w:rsidR="001B316F" w:rsidRPr="00D00F43"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r>
      <w:tr w:rsidR="001B316F" w:rsidRPr="001B316F" w14:paraId="24CD8AC6" w14:textId="77777777" w:rsidTr="00312975">
        <w:trPr>
          <w:trHeight w:val="77"/>
        </w:trPr>
        <w:tc>
          <w:tcPr>
            <w:tcW w:w="1482" w:type="pct"/>
            <w:vAlign w:val="bottom"/>
          </w:tcPr>
          <w:p w14:paraId="5A5505B8" w14:textId="77777777" w:rsidR="001B316F" w:rsidRPr="001B316F" w:rsidRDefault="001B316F" w:rsidP="001B316F">
            <w:pPr>
              <w:tabs>
                <w:tab w:val="right" w:pos="1202"/>
              </w:tabs>
              <w:spacing w:after="0" w:line="240" w:lineRule="auto"/>
              <w:outlineLvl w:val="0"/>
              <w:rPr>
                <w:rFonts w:eastAsia="Times New Roman" w:cs="Arial"/>
                <w:i/>
                <w:iCs/>
                <w:sz w:val="19"/>
                <w:szCs w:val="19"/>
              </w:rPr>
            </w:pPr>
            <w:r w:rsidRPr="001B316F">
              <w:rPr>
                <w:rFonts w:eastAsia="Times New Roman" w:cs="Arial"/>
                <w:iCs/>
                <w:sz w:val="19"/>
                <w:szCs w:val="19"/>
              </w:rPr>
              <w:t xml:space="preserve">Uplate u osnivački kapital iz državnog proračuna </w:t>
            </w:r>
          </w:p>
        </w:tc>
        <w:tc>
          <w:tcPr>
            <w:tcW w:w="690" w:type="pct"/>
            <w:tcBorders>
              <w:top w:val="nil"/>
              <w:left w:val="nil"/>
              <w:bottom w:val="nil"/>
              <w:right w:val="nil"/>
            </w:tcBorders>
            <w:shd w:val="clear" w:color="auto" w:fill="auto"/>
            <w:vAlign w:val="bottom"/>
          </w:tcPr>
          <w:p w14:paraId="0AC94C4C" w14:textId="77777777" w:rsidR="001B316F" w:rsidRPr="00D00F43" w:rsidRDefault="001B316F" w:rsidP="001B316F">
            <w:pPr>
              <w:tabs>
                <w:tab w:val="right" w:pos="1202"/>
              </w:tabs>
              <w:spacing w:after="0" w:line="240" w:lineRule="auto"/>
              <w:jc w:val="right"/>
              <w:outlineLvl w:val="0"/>
              <w:rPr>
                <w:rFonts w:eastAsia="Times New Roman" w:cs="Arial"/>
                <w:iCs/>
                <w:sz w:val="19"/>
                <w:szCs w:val="19"/>
              </w:rPr>
            </w:pPr>
            <w:r w:rsidRPr="00D00F43">
              <w:rPr>
                <w:rFonts w:eastAsia="Times New Roman" w:cs="Arial"/>
                <w:iCs/>
                <w:sz w:val="19"/>
                <w:szCs w:val="19"/>
              </w:rPr>
              <w:t>-</w:t>
            </w:r>
          </w:p>
        </w:tc>
        <w:tc>
          <w:tcPr>
            <w:tcW w:w="690" w:type="pct"/>
            <w:tcBorders>
              <w:top w:val="nil"/>
              <w:left w:val="nil"/>
              <w:bottom w:val="nil"/>
              <w:right w:val="nil"/>
            </w:tcBorders>
            <w:shd w:val="clear" w:color="auto" w:fill="auto"/>
            <w:vAlign w:val="bottom"/>
          </w:tcPr>
          <w:p w14:paraId="6780BB07" w14:textId="77777777" w:rsidR="001B316F" w:rsidRPr="00D00F43" w:rsidRDefault="001B316F" w:rsidP="001B316F">
            <w:pPr>
              <w:tabs>
                <w:tab w:val="right" w:pos="1202"/>
              </w:tabs>
              <w:spacing w:after="0" w:line="240" w:lineRule="auto"/>
              <w:jc w:val="right"/>
              <w:outlineLvl w:val="0"/>
              <w:rPr>
                <w:rFonts w:eastAsia="Times New Roman" w:cs="Arial"/>
                <w:iCs/>
                <w:sz w:val="19"/>
                <w:szCs w:val="19"/>
              </w:rPr>
            </w:pPr>
            <w:r w:rsidRPr="00D00F43">
              <w:rPr>
                <w:rFonts w:eastAsia="Times New Roman" w:cs="Arial"/>
                <w:iCs/>
                <w:sz w:val="19"/>
                <w:szCs w:val="19"/>
              </w:rPr>
              <w:t>-</w:t>
            </w:r>
          </w:p>
        </w:tc>
        <w:tc>
          <w:tcPr>
            <w:tcW w:w="690" w:type="pct"/>
            <w:tcBorders>
              <w:top w:val="nil"/>
              <w:left w:val="nil"/>
              <w:bottom w:val="nil"/>
              <w:right w:val="nil"/>
            </w:tcBorders>
            <w:shd w:val="clear" w:color="auto" w:fill="auto"/>
            <w:vAlign w:val="bottom"/>
          </w:tcPr>
          <w:p w14:paraId="5093D6F4" w14:textId="77777777" w:rsidR="001B316F" w:rsidRPr="00D00F43" w:rsidRDefault="001B316F" w:rsidP="001B316F">
            <w:pPr>
              <w:tabs>
                <w:tab w:val="right" w:pos="1202"/>
              </w:tabs>
              <w:spacing w:after="0" w:line="240" w:lineRule="auto"/>
              <w:jc w:val="right"/>
              <w:outlineLvl w:val="0"/>
              <w:rPr>
                <w:rFonts w:eastAsia="Times New Roman" w:cs="Arial"/>
                <w:iCs/>
                <w:sz w:val="19"/>
                <w:szCs w:val="19"/>
              </w:rPr>
            </w:pPr>
            <w:r w:rsidRPr="00D00F43">
              <w:rPr>
                <w:rFonts w:eastAsia="Times New Roman" w:cs="Arial"/>
                <w:iCs/>
                <w:sz w:val="19"/>
                <w:szCs w:val="19"/>
              </w:rPr>
              <w:t>-</w:t>
            </w:r>
          </w:p>
        </w:tc>
        <w:tc>
          <w:tcPr>
            <w:tcW w:w="690" w:type="pct"/>
            <w:tcBorders>
              <w:top w:val="nil"/>
              <w:left w:val="nil"/>
              <w:bottom w:val="nil"/>
              <w:right w:val="nil"/>
            </w:tcBorders>
            <w:shd w:val="clear" w:color="auto" w:fill="auto"/>
            <w:vAlign w:val="bottom"/>
          </w:tcPr>
          <w:p w14:paraId="52AA3F8F" w14:textId="77777777" w:rsidR="001B316F" w:rsidRPr="00D00F43" w:rsidRDefault="001B316F" w:rsidP="001B316F">
            <w:pPr>
              <w:tabs>
                <w:tab w:val="right" w:pos="1202"/>
              </w:tabs>
              <w:spacing w:after="0" w:line="240" w:lineRule="auto"/>
              <w:jc w:val="right"/>
              <w:outlineLvl w:val="0"/>
              <w:rPr>
                <w:rFonts w:eastAsia="Times New Roman" w:cs="Arial"/>
                <w:iCs/>
                <w:sz w:val="19"/>
                <w:szCs w:val="19"/>
              </w:rPr>
            </w:pPr>
            <w:r w:rsidRPr="00D00F43">
              <w:rPr>
                <w:rFonts w:eastAsia="Times New Roman" w:cs="Arial"/>
                <w:iCs/>
                <w:sz w:val="19"/>
                <w:szCs w:val="19"/>
              </w:rPr>
              <w:t>-</w:t>
            </w:r>
          </w:p>
        </w:tc>
        <w:tc>
          <w:tcPr>
            <w:tcW w:w="757" w:type="pct"/>
            <w:tcBorders>
              <w:top w:val="nil"/>
              <w:left w:val="nil"/>
              <w:bottom w:val="nil"/>
              <w:right w:val="nil"/>
            </w:tcBorders>
            <w:shd w:val="clear" w:color="auto" w:fill="auto"/>
            <w:vAlign w:val="bottom"/>
          </w:tcPr>
          <w:p w14:paraId="68552085" w14:textId="77777777" w:rsidR="001B316F" w:rsidRPr="00D00F43" w:rsidRDefault="001B316F" w:rsidP="001B316F">
            <w:pPr>
              <w:tabs>
                <w:tab w:val="right" w:pos="1202"/>
              </w:tabs>
              <w:spacing w:after="0" w:line="240" w:lineRule="auto"/>
              <w:jc w:val="right"/>
              <w:outlineLvl w:val="0"/>
              <w:rPr>
                <w:rFonts w:eastAsia="Times New Roman" w:cs="Arial"/>
                <w:b/>
                <w:iCs/>
                <w:sz w:val="19"/>
                <w:szCs w:val="19"/>
              </w:rPr>
            </w:pPr>
            <w:r w:rsidRPr="00D00F43">
              <w:rPr>
                <w:rFonts w:eastAsia="Times New Roman" w:cs="Arial"/>
                <w:b/>
                <w:iCs/>
                <w:sz w:val="19"/>
                <w:szCs w:val="19"/>
              </w:rPr>
              <w:t>-</w:t>
            </w:r>
          </w:p>
        </w:tc>
      </w:tr>
      <w:tr w:rsidR="001B316F" w:rsidRPr="001B316F" w14:paraId="3AD8FA88" w14:textId="77777777" w:rsidTr="00312975">
        <w:trPr>
          <w:trHeight w:val="73"/>
        </w:trPr>
        <w:tc>
          <w:tcPr>
            <w:tcW w:w="1482" w:type="pct"/>
            <w:vAlign w:val="bottom"/>
          </w:tcPr>
          <w:p w14:paraId="7C519C74" w14:textId="78A932EB" w:rsidR="001B316F" w:rsidRPr="001B316F" w:rsidRDefault="001B316F" w:rsidP="00932654">
            <w:pPr>
              <w:tabs>
                <w:tab w:val="right" w:pos="1202"/>
              </w:tabs>
              <w:spacing w:after="0" w:line="240" w:lineRule="auto"/>
              <w:outlineLvl w:val="0"/>
              <w:rPr>
                <w:rFonts w:eastAsia="Times New Roman" w:cs="Arial"/>
                <w:i/>
                <w:iCs/>
                <w:sz w:val="19"/>
                <w:szCs w:val="19"/>
              </w:rPr>
            </w:pPr>
            <w:r w:rsidRPr="001B316F">
              <w:rPr>
                <w:rFonts w:eastAsia="Times New Roman" w:cs="Arial"/>
                <w:iCs/>
                <w:sz w:val="19"/>
                <w:szCs w:val="19"/>
              </w:rPr>
              <w:t>Prijenos dobiti iz 201</w:t>
            </w:r>
            <w:r>
              <w:rPr>
                <w:rFonts w:eastAsia="Times New Roman" w:cs="Arial"/>
                <w:iCs/>
                <w:sz w:val="19"/>
                <w:szCs w:val="19"/>
              </w:rPr>
              <w:t>6</w:t>
            </w:r>
            <w:r w:rsidRPr="001B316F">
              <w:rPr>
                <w:rFonts w:eastAsia="Times New Roman" w:cs="Arial"/>
                <w:iCs/>
                <w:sz w:val="19"/>
                <w:szCs w:val="19"/>
              </w:rPr>
              <w:t>. godine u zadržanu dobit</w:t>
            </w:r>
          </w:p>
        </w:tc>
        <w:tc>
          <w:tcPr>
            <w:tcW w:w="690" w:type="pct"/>
            <w:tcBorders>
              <w:top w:val="nil"/>
              <w:left w:val="nil"/>
              <w:bottom w:val="nil"/>
              <w:right w:val="nil"/>
            </w:tcBorders>
            <w:shd w:val="clear" w:color="auto" w:fill="auto"/>
            <w:vAlign w:val="bottom"/>
          </w:tcPr>
          <w:p w14:paraId="61EBF5C4" w14:textId="77777777" w:rsidR="001B316F" w:rsidRPr="00D00F43" w:rsidRDefault="001B316F" w:rsidP="001B316F">
            <w:pPr>
              <w:tabs>
                <w:tab w:val="right" w:pos="1202"/>
              </w:tabs>
              <w:spacing w:after="0" w:line="240" w:lineRule="auto"/>
              <w:jc w:val="right"/>
              <w:outlineLvl w:val="0"/>
              <w:rPr>
                <w:rFonts w:eastAsia="Times New Roman" w:cs="Arial"/>
                <w:iCs/>
                <w:sz w:val="19"/>
                <w:szCs w:val="19"/>
              </w:rPr>
            </w:pPr>
            <w:r w:rsidRPr="00D00F43">
              <w:rPr>
                <w:rFonts w:ascii="Calibri" w:eastAsia="Times New Roman" w:hAnsi="Calibri" w:cs="Times New Roman"/>
                <w:color w:val="000000"/>
                <w:sz w:val="19"/>
                <w:szCs w:val="19"/>
                <w:lang w:val="en-GB"/>
              </w:rPr>
              <w:t>-</w:t>
            </w:r>
          </w:p>
        </w:tc>
        <w:tc>
          <w:tcPr>
            <w:tcW w:w="690" w:type="pct"/>
            <w:tcBorders>
              <w:top w:val="nil"/>
              <w:left w:val="nil"/>
              <w:bottom w:val="nil"/>
              <w:right w:val="nil"/>
            </w:tcBorders>
            <w:shd w:val="clear" w:color="auto" w:fill="auto"/>
            <w:vAlign w:val="bottom"/>
          </w:tcPr>
          <w:p w14:paraId="34404223" w14:textId="4EB6631E" w:rsidR="001B316F" w:rsidRPr="00D00F43" w:rsidRDefault="00D00F43" w:rsidP="001B316F">
            <w:pPr>
              <w:tabs>
                <w:tab w:val="right" w:pos="1202"/>
              </w:tabs>
              <w:spacing w:after="0" w:line="240" w:lineRule="auto"/>
              <w:jc w:val="right"/>
              <w:outlineLvl w:val="0"/>
              <w:rPr>
                <w:rFonts w:eastAsia="Times New Roman" w:cs="Arial"/>
                <w:iCs/>
                <w:sz w:val="19"/>
                <w:szCs w:val="19"/>
              </w:rPr>
            </w:pPr>
            <w:r w:rsidRPr="00312975">
              <w:rPr>
                <w:rFonts w:ascii="Calibri" w:eastAsia="Times New Roman" w:hAnsi="Calibri" w:cs="Times New Roman"/>
                <w:color w:val="000000"/>
                <w:sz w:val="19"/>
                <w:szCs w:val="19"/>
                <w:lang w:val="en-GB"/>
              </w:rPr>
              <w:t>314.841</w:t>
            </w:r>
          </w:p>
        </w:tc>
        <w:tc>
          <w:tcPr>
            <w:tcW w:w="690" w:type="pct"/>
            <w:tcBorders>
              <w:top w:val="nil"/>
              <w:left w:val="nil"/>
              <w:bottom w:val="nil"/>
              <w:right w:val="nil"/>
            </w:tcBorders>
            <w:shd w:val="clear" w:color="auto" w:fill="auto"/>
            <w:vAlign w:val="bottom"/>
          </w:tcPr>
          <w:p w14:paraId="2035FBB4" w14:textId="77777777" w:rsidR="001B316F" w:rsidRPr="00D00F43" w:rsidRDefault="001B316F" w:rsidP="001B316F">
            <w:pPr>
              <w:tabs>
                <w:tab w:val="right" w:pos="1202"/>
              </w:tabs>
              <w:spacing w:after="0" w:line="240" w:lineRule="auto"/>
              <w:jc w:val="right"/>
              <w:outlineLvl w:val="0"/>
              <w:rPr>
                <w:rFonts w:eastAsia="Times New Roman" w:cs="Arial"/>
                <w:iCs/>
                <w:sz w:val="19"/>
                <w:szCs w:val="19"/>
              </w:rPr>
            </w:pPr>
            <w:r w:rsidRPr="00D00F43">
              <w:rPr>
                <w:rFonts w:ascii="Calibri" w:eastAsia="Times New Roman" w:hAnsi="Calibri" w:cs="Times New Roman"/>
                <w:color w:val="000000"/>
                <w:sz w:val="19"/>
                <w:szCs w:val="19"/>
                <w:lang w:val="en-GB"/>
              </w:rPr>
              <w:t>-</w:t>
            </w:r>
          </w:p>
        </w:tc>
        <w:tc>
          <w:tcPr>
            <w:tcW w:w="690" w:type="pct"/>
            <w:tcBorders>
              <w:top w:val="nil"/>
              <w:left w:val="nil"/>
              <w:bottom w:val="nil"/>
              <w:right w:val="nil"/>
            </w:tcBorders>
            <w:shd w:val="clear" w:color="auto" w:fill="auto"/>
            <w:vAlign w:val="bottom"/>
          </w:tcPr>
          <w:p w14:paraId="5205EAB4" w14:textId="46054AA4" w:rsidR="001B316F" w:rsidRPr="00D00F43" w:rsidRDefault="00D00F43" w:rsidP="00D96540">
            <w:pPr>
              <w:tabs>
                <w:tab w:val="right" w:pos="1202"/>
              </w:tabs>
              <w:spacing w:after="0" w:line="240" w:lineRule="auto"/>
              <w:jc w:val="right"/>
              <w:outlineLvl w:val="0"/>
              <w:rPr>
                <w:rFonts w:eastAsia="Times New Roman" w:cs="Arial"/>
                <w:iCs/>
                <w:sz w:val="19"/>
                <w:szCs w:val="19"/>
              </w:rPr>
            </w:pPr>
            <w:r w:rsidRPr="00312975">
              <w:rPr>
                <w:rFonts w:ascii="Calibri" w:eastAsia="Times New Roman" w:hAnsi="Calibri" w:cs="Times New Roman"/>
                <w:color w:val="000000"/>
                <w:sz w:val="19"/>
                <w:szCs w:val="19"/>
                <w:lang w:val="en-GB"/>
              </w:rPr>
              <w:t>(314.841)</w:t>
            </w:r>
            <w:r w:rsidR="001B316F" w:rsidRPr="00D00F43">
              <w:rPr>
                <w:rFonts w:ascii="Calibri" w:eastAsia="Times New Roman" w:hAnsi="Calibri" w:cs="Times New Roman"/>
                <w:color w:val="000000"/>
                <w:sz w:val="19"/>
                <w:szCs w:val="19"/>
                <w:lang w:val="en-GB"/>
              </w:rPr>
              <w:t xml:space="preserve">          </w:t>
            </w:r>
          </w:p>
        </w:tc>
        <w:tc>
          <w:tcPr>
            <w:tcW w:w="757" w:type="pct"/>
            <w:tcBorders>
              <w:top w:val="nil"/>
              <w:left w:val="nil"/>
              <w:bottom w:val="nil"/>
              <w:right w:val="nil"/>
            </w:tcBorders>
            <w:shd w:val="clear" w:color="auto" w:fill="auto"/>
            <w:vAlign w:val="bottom"/>
          </w:tcPr>
          <w:p w14:paraId="4809CBB7" w14:textId="77777777" w:rsidR="001B316F" w:rsidRPr="00D00F43" w:rsidRDefault="001B316F" w:rsidP="001B316F">
            <w:pPr>
              <w:tabs>
                <w:tab w:val="right" w:pos="1202"/>
              </w:tabs>
              <w:spacing w:after="0" w:line="240" w:lineRule="auto"/>
              <w:jc w:val="right"/>
              <w:outlineLvl w:val="0"/>
              <w:rPr>
                <w:rFonts w:eastAsia="Times New Roman" w:cs="Arial"/>
                <w:b/>
                <w:iCs/>
                <w:sz w:val="19"/>
                <w:szCs w:val="19"/>
              </w:rPr>
            </w:pPr>
            <w:r w:rsidRPr="00D00F43">
              <w:rPr>
                <w:rFonts w:ascii="Calibri" w:eastAsia="Times New Roman" w:hAnsi="Calibri" w:cs="Times New Roman"/>
                <w:b/>
                <w:color w:val="000000"/>
                <w:sz w:val="19"/>
                <w:szCs w:val="19"/>
                <w:lang w:val="en-GB"/>
              </w:rPr>
              <w:t xml:space="preserve">                         - </w:t>
            </w:r>
          </w:p>
        </w:tc>
      </w:tr>
      <w:tr w:rsidR="001B316F" w:rsidRPr="001B316F" w14:paraId="3890A648" w14:textId="77777777" w:rsidTr="00312975">
        <w:trPr>
          <w:trHeight w:val="109"/>
        </w:trPr>
        <w:tc>
          <w:tcPr>
            <w:tcW w:w="1482" w:type="pct"/>
          </w:tcPr>
          <w:p w14:paraId="310FFF16" w14:textId="77777777" w:rsidR="001B316F" w:rsidRPr="001B316F" w:rsidRDefault="001B316F" w:rsidP="001B316F">
            <w:pPr>
              <w:tabs>
                <w:tab w:val="right" w:pos="1202"/>
              </w:tabs>
              <w:spacing w:after="0" w:line="140" w:lineRule="exact"/>
              <w:jc w:val="right"/>
              <w:outlineLvl w:val="0"/>
              <w:rPr>
                <w:rFonts w:eastAsia="Times New Roman" w:cs="Arial"/>
                <w:iCs/>
                <w:sz w:val="19"/>
                <w:szCs w:val="19"/>
              </w:rPr>
            </w:pPr>
          </w:p>
        </w:tc>
        <w:tc>
          <w:tcPr>
            <w:tcW w:w="690" w:type="pct"/>
            <w:vAlign w:val="bottom"/>
          </w:tcPr>
          <w:p w14:paraId="4DB9B400" w14:textId="77777777" w:rsidR="001B316F" w:rsidRPr="00D00F43"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c>
          <w:tcPr>
            <w:tcW w:w="690" w:type="pct"/>
            <w:vAlign w:val="bottom"/>
          </w:tcPr>
          <w:p w14:paraId="683B4900" w14:textId="77777777" w:rsidR="001B316F" w:rsidRPr="00D00F43"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c>
          <w:tcPr>
            <w:tcW w:w="690" w:type="pct"/>
            <w:vAlign w:val="bottom"/>
          </w:tcPr>
          <w:p w14:paraId="456C7F82" w14:textId="77777777" w:rsidR="001B316F" w:rsidRPr="00D00F43"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c>
          <w:tcPr>
            <w:tcW w:w="690" w:type="pct"/>
            <w:vAlign w:val="bottom"/>
          </w:tcPr>
          <w:p w14:paraId="6E647764" w14:textId="77777777" w:rsidR="001B316F" w:rsidRPr="00D00F43"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c>
          <w:tcPr>
            <w:tcW w:w="757" w:type="pct"/>
            <w:vAlign w:val="bottom"/>
          </w:tcPr>
          <w:p w14:paraId="1F451704" w14:textId="77777777" w:rsidR="001B316F" w:rsidRPr="00D00F43" w:rsidRDefault="001B316F" w:rsidP="001B316F">
            <w:pPr>
              <w:keepNext/>
              <w:keepLines/>
              <w:tabs>
                <w:tab w:val="decimal" w:pos="1015"/>
              </w:tabs>
              <w:spacing w:after="0" w:line="140" w:lineRule="exact"/>
              <w:jc w:val="right"/>
              <w:rPr>
                <w:rFonts w:eastAsia="Times New Roman" w:cs="Arial"/>
                <w:spacing w:val="-2"/>
                <w:position w:val="4"/>
                <w:sz w:val="19"/>
                <w:szCs w:val="19"/>
              </w:rPr>
            </w:pPr>
            <w:r w:rsidRPr="00D00F43">
              <w:rPr>
                <w:rFonts w:eastAsia="Times New Roman" w:cs="Arial"/>
                <w:spacing w:val="-2"/>
                <w:position w:val="4"/>
                <w:sz w:val="19"/>
                <w:szCs w:val="19"/>
              </w:rPr>
              <w:t>__________</w:t>
            </w:r>
          </w:p>
        </w:tc>
      </w:tr>
      <w:tr w:rsidR="001B316F" w:rsidRPr="001B316F" w14:paraId="01B8860F" w14:textId="77777777" w:rsidTr="00312975">
        <w:trPr>
          <w:trHeight w:val="73"/>
        </w:trPr>
        <w:tc>
          <w:tcPr>
            <w:tcW w:w="1482" w:type="pct"/>
            <w:vAlign w:val="bottom"/>
          </w:tcPr>
          <w:p w14:paraId="2047E9FB" w14:textId="4A5B5407" w:rsidR="001B316F" w:rsidRPr="001B316F" w:rsidRDefault="001B316F" w:rsidP="00932654">
            <w:pPr>
              <w:tabs>
                <w:tab w:val="right" w:pos="1202"/>
              </w:tabs>
              <w:spacing w:after="0" w:line="320" w:lineRule="exact"/>
              <w:outlineLvl w:val="0"/>
              <w:rPr>
                <w:rFonts w:eastAsia="Times New Roman" w:cs="Arial"/>
                <w:b/>
                <w:iCs/>
                <w:sz w:val="19"/>
                <w:szCs w:val="19"/>
              </w:rPr>
            </w:pPr>
            <w:r w:rsidRPr="001B316F">
              <w:rPr>
                <w:rFonts w:eastAsia="Times New Roman" w:cs="Arial"/>
                <w:b/>
                <w:iCs/>
                <w:sz w:val="19"/>
                <w:szCs w:val="19"/>
              </w:rPr>
              <w:t>Stanje 30. lipnja 201</w:t>
            </w:r>
            <w:r>
              <w:rPr>
                <w:rFonts w:eastAsia="Times New Roman" w:cs="Arial"/>
                <w:b/>
                <w:iCs/>
                <w:sz w:val="19"/>
                <w:szCs w:val="19"/>
              </w:rPr>
              <w:t>7</w:t>
            </w:r>
            <w:r w:rsidRPr="001B316F">
              <w:rPr>
                <w:rFonts w:eastAsia="Times New Roman" w:cs="Arial"/>
                <w:b/>
                <w:iCs/>
                <w:sz w:val="19"/>
                <w:szCs w:val="19"/>
              </w:rPr>
              <w:t>. godine</w:t>
            </w:r>
          </w:p>
        </w:tc>
        <w:tc>
          <w:tcPr>
            <w:tcW w:w="690" w:type="pct"/>
            <w:tcBorders>
              <w:top w:val="nil"/>
              <w:left w:val="nil"/>
              <w:bottom w:val="nil"/>
              <w:right w:val="nil"/>
            </w:tcBorders>
            <w:shd w:val="clear" w:color="auto" w:fill="auto"/>
            <w:vAlign w:val="bottom"/>
          </w:tcPr>
          <w:p w14:paraId="01E80327" w14:textId="540D6020" w:rsidR="001B316F" w:rsidRPr="00312975" w:rsidRDefault="00D00F43" w:rsidP="001B316F">
            <w:pPr>
              <w:tabs>
                <w:tab w:val="right" w:pos="1202"/>
              </w:tabs>
              <w:spacing w:after="0" w:line="320" w:lineRule="exact"/>
              <w:jc w:val="right"/>
              <w:outlineLvl w:val="0"/>
              <w:rPr>
                <w:rFonts w:eastAsia="Times New Roman" w:cs="Arial"/>
                <w:b/>
                <w:iCs/>
                <w:sz w:val="19"/>
                <w:szCs w:val="19"/>
                <w:highlight w:val="yellow"/>
              </w:rPr>
            </w:pPr>
            <w:r w:rsidRPr="00D00F43">
              <w:rPr>
                <w:rFonts w:ascii="Calibri" w:eastAsia="Times New Roman" w:hAnsi="Calibri" w:cs="Times New Roman"/>
                <w:b/>
                <w:bCs/>
                <w:color w:val="000000"/>
                <w:sz w:val="19"/>
                <w:szCs w:val="19"/>
                <w:lang w:val="en-GB"/>
              </w:rPr>
              <w:t>6.959.632</w:t>
            </w:r>
          </w:p>
        </w:tc>
        <w:tc>
          <w:tcPr>
            <w:tcW w:w="690" w:type="pct"/>
            <w:tcBorders>
              <w:top w:val="nil"/>
              <w:left w:val="nil"/>
              <w:bottom w:val="nil"/>
              <w:right w:val="nil"/>
            </w:tcBorders>
            <w:shd w:val="clear" w:color="auto" w:fill="auto"/>
            <w:vAlign w:val="bottom"/>
          </w:tcPr>
          <w:p w14:paraId="3CCD8ECA" w14:textId="202D90B5" w:rsidR="001B316F" w:rsidRPr="00312975" w:rsidRDefault="00D00F43" w:rsidP="001B316F">
            <w:pPr>
              <w:tabs>
                <w:tab w:val="right" w:pos="1202"/>
              </w:tabs>
              <w:spacing w:after="0" w:line="320" w:lineRule="exact"/>
              <w:jc w:val="right"/>
              <w:outlineLvl w:val="0"/>
              <w:rPr>
                <w:rFonts w:eastAsia="Times New Roman" w:cs="Arial"/>
                <w:b/>
                <w:iCs/>
                <w:sz w:val="19"/>
                <w:szCs w:val="19"/>
                <w:highlight w:val="yellow"/>
              </w:rPr>
            </w:pPr>
            <w:r w:rsidRPr="00D00F43">
              <w:rPr>
                <w:rFonts w:eastAsia="Times New Roman" w:cs="Arial"/>
                <w:b/>
                <w:iCs/>
                <w:sz w:val="19"/>
                <w:szCs w:val="19"/>
              </w:rPr>
              <w:t>2.996.968</w:t>
            </w:r>
          </w:p>
        </w:tc>
        <w:tc>
          <w:tcPr>
            <w:tcW w:w="690" w:type="pct"/>
            <w:tcBorders>
              <w:top w:val="nil"/>
              <w:left w:val="nil"/>
              <w:bottom w:val="nil"/>
              <w:right w:val="nil"/>
            </w:tcBorders>
            <w:shd w:val="clear" w:color="auto" w:fill="auto"/>
            <w:vAlign w:val="bottom"/>
          </w:tcPr>
          <w:p w14:paraId="34EBA7E3" w14:textId="0F152482" w:rsidR="001B316F" w:rsidRPr="00312975" w:rsidRDefault="00D00F43" w:rsidP="001B316F">
            <w:pPr>
              <w:tabs>
                <w:tab w:val="right" w:pos="1202"/>
              </w:tabs>
              <w:spacing w:after="0" w:line="320" w:lineRule="exact"/>
              <w:jc w:val="right"/>
              <w:outlineLvl w:val="0"/>
              <w:rPr>
                <w:rFonts w:eastAsia="Times New Roman" w:cs="Arial"/>
                <w:b/>
                <w:iCs/>
                <w:sz w:val="19"/>
                <w:szCs w:val="19"/>
                <w:highlight w:val="yellow"/>
              </w:rPr>
            </w:pPr>
            <w:r w:rsidRPr="00D00F43">
              <w:rPr>
                <w:rFonts w:eastAsia="Times New Roman" w:cs="Arial"/>
                <w:b/>
                <w:iCs/>
                <w:sz w:val="19"/>
                <w:szCs w:val="19"/>
              </w:rPr>
              <w:t>73.187</w:t>
            </w:r>
          </w:p>
        </w:tc>
        <w:tc>
          <w:tcPr>
            <w:tcW w:w="690" w:type="pct"/>
            <w:tcBorders>
              <w:top w:val="nil"/>
              <w:left w:val="nil"/>
              <w:bottom w:val="nil"/>
              <w:right w:val="nil"/>
            </w:tcBorders>
            <w:shd w:val="clear" w:color="auto" w:fill="auto"/>
            <w:vAlign w:val="bottom"/>
          </w:tcPr>
          <w:p w14:paraId="4F948B67" w14:textId="39263DE8" w:rsidR="001B316F" w:rsidRPr="00312975" w:rsidRDefault="00D00F43" w:rsidP="001B316F">
            <w:pPr>
              <w:tabs>
                <w:tab w:val="right" w:pos="1202"/>
              </w:tabs>
              <w:spacing w:after="0" w:line="320" w:lineRule="exact"/>
              <w:jc w:val="right"/>
              <w:outlineLvl w:val="0"/>
              <w:rPr>
                <w:rFonts w:eastAsia="Times New Roman" w:cs="Arial"/>
                <w:b/>
                <w:iCs/>
                <w:sz w:val="19"/>
                <w:szCs w:val="19"/>
                <w:highlight w:val="yellow"/>
              </w:rPr>
            </w:pPr>
            <w:r w:rsidRPr="00D00F43">
              <w:rPr>
                <w:rFonts w:eastAsia="Times New Roman" w:cs="Arial"/>
                <w:b/>
                <w:iCs/>
                <w:sz w:val="19"/>
                <w:szCs w:val="19"/>
              </w:rPr>
              <w:t>130.750</w:t>
            </w:r>
          </w:p>
        </w:tc>
        <w:tc>
          <w:tcPr>
            <w:tcW w:w="757" w:type="pct"/>
            <w:tcBorders>
              <w:top w:val="nil"/>
              <w:left w:val="nil"/>
              <w:bottom w:val="nil"/>
              <w:right w:val="nil"/>
            </w:tcBorders>
            <w:shd w:val="clear" w:color="auto" w:fill="auto"/>
            <w:vAlign w:val="bottom"/>
          </w:tcPr>
          <w:p w14:paraId="10B4C364" w14:textId="0B21CD58" w:rsidR="001B316F" w:rsidRPr="00312975" w:rsidRDefault="00D00F43" w:rsidP="00D96540">
            <w:pPr>
              <w:tabs>
                <w:tab w:val="right" w:pos="1202"/>
              </w:tabs>
              <w:spacing w:after="0" w:line="320" w:lineRule="exact"/>
              <w:jc w:val="right"/>
              <w:outlineLvl w:val="0"/>
              <w:rPr>
                <w:rFonts w:eastAsia="Times New Roman" w:cs="Arial"/>
                <w:b/>
                <w:iCs/>
                <w:sz w:val="19"/>
                <w:szCs w:val="19"/>
                <w:highlight w:val="yellow"/>
              </w:rPr>
            </w:pPr>
            <w:r w:rsidRPr="00D00F43">
              <w:rPr>
                <w:rFonts w:eastAsia="Times New Roman" w:cs="Arial"/>
                <w:b/>
                <w:iCs/>
                <w:sz w:val="19"/>
                <w:szCs w:val="19"/>
              </w:rPr>
              <w:t>10.160.537</w:t>
            </w:r>
          </w:p>
        </w:tc>
      </w:tr>
      <w:tr w:rsidR="001B316F" w:rsidRPr="001B316F" w14:paraId="58F2535B" w14:textId="77777777" w:rsidTr="00312975">
        <w:trPr>
          <w:trHeight w:val="110"/>
        </w:trPr>
        <w:tc>
          <w:tcPr>
            <w:tcW w:w="1482" w:type="pct"/>
          </w:tcPr>
          <w:p w14:paraId="1EFB9FCE" w14:textId="77777777" w:rsidR="001B316F" w:rsidRPr="001B316F" w:rsidRDefault="001B316F" w:rsidP="001B316F">
            <w:pPr>
              <w:tabs>
                <w:tab w:val="right" w:pos="1202"/>
              </w:tabs>
              <w:spacing w:after="0" w:line="140" w:lineRule="exact"/>
              <w:jc w:val="right"/>
              <w:outlineLvl w:val="0"/>
              <w:rPr>
                <w:rFonts w:eastAsia="Times New Roman" w:cs="Arial"/>
                <w:iCs/>
                <w:sz w:val="19"/>
                <w:szCs w:val="19"/>
              </w:rPr>
            </w:pPr>
          </w:p>
        </w:tc>
        <w:tc>
          <w:tcPr>
            <w:tcW w:w="690" w:type="pct"/>
          </w:tcPr>
          <w:p w14:paraId="362E57B6" w14:textId="77777777" w:rsidR="001B316F" w:rsidRPr="001B316F" w:rsidRDefault="001B316F" w:rsidP="001B316F">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w:t>
            </w:r>
          </w:p>
        </w:tc>
        <w:tc>
          <w:tcPr>
            <w:tcW w:w="690" w:type="pct"/>
          </w:tcPr>
          <w:p w14:paraId="2AE7C29A" w14:textId="77777777" w:rsidR="001B316F" w:rsidRPr="001B316F" w:rsidRDefault="001B316F" w:rsidP="001B316F">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w:t>
            </w:r>
          </w:p>
        </w:tc>
        <w:tc>
          <w:tcPr>
            <w:tcW w:w="690" w:type="pct"/>
          </w:tcPr>
          <w:p w14:paraId="18214D7D" w14:textId="77777777" w:rsidR="001B316F" w:rsidRPr="001B316F" w:rsidRDefault="001B316F" w:rsidP="001B316F">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w:t>
            </w:r>
          </w:p>
        </w:tc>
        <w:tc>
          <w:tcPr>
            <w:tcW w:w="690" w:type="pct"/>
          </w:tcPr>
          <w:p w14:paraId="50A66916" w14:textId="77777777" w:rsidR="001B316F" w:rsidRPr="001B316F" w:rsidRDefault="001B316F" w:rsidP="001B316F">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w:t>
            </w:r>
          </w:p>
        </w:tc>
        <w:tc>
          <w:tcPr>
            <w:tcW w:w="757" w:type="pct"/>
          </w:tcPr>
          <w:p w14:paraId="1B1A3F12" w14:textId="77777777" w:rsidR="001B316F" w:rsidRPr="001B316F" w:rsidRDefault="001B316F" w:rsidP="001B316F">
            <w:pPr>
              <w:keepNext/>
              <w:keepLines/>
              <w:tabs>
                <w:tab w:val="decimal" w:pos="1015"/>
              </w:tabs>
              <w:spacing w:after="0" w:line="140" w:lineRule="exact"/>
              <w:jc w:val="right"/>
              <w:rPr>
                <w:rFonts w:eastAsia="Times New Roman" w:cs="Arial"/>
                <w:b/>
                <w:position w:val="4"/>
                <w:sz w:val="19"/>
                <w:szCs w:val="19"/>
                <w:u w:val="thick"/>
              </w:rPr>
            </w:pPr>
            <w:r w:rsidRPr="001B316F">
              <w:rPr>
                <w:rFonts w:eastAsia="Times New Roman" w:cs="Arial"/>
                <w:b/>
                <w:position w:val="4"/>
                <w:sz w:val="19"/>
                <w:szCs w:val="19"/>
                <w:u w:val="thick"/>
              </w:rPr>
              <w:t>__________</w:t>
            </w:r>
          </w:p>
        </w:tc>
      </w:tr>
    </w:tbl>
    <w:p w14:paraId="0D1DFDA2" w14:textId="77777777" w:rsidR="00EC1B73" w:rsidRDefault="00EC1B73" w:rsidP="00C66644">
      <w:pPr>
        <w:pStyle w:val="T1"/>
        <w:keepNext w:val="0"/>
        <w:spacing w:before="0" w:after="0" w:line="240" w:lineRule="auto"/>
        <w:rPr>
          <w:rFonts w:asciiTheme="minorHAnsi" w:hAnsiTheme="minorHAnsi" w:cs="Arial"/>
          <w:b w:val="0"/>
          <w:bCs w:val="0"/>
          <w:sz w:val="22"/>
          <w:szCs w:val="22"/>
          <w:lang w:val="hr-HR"/>
        </w:rPr>
      </w:pPr>
    </w:p>
    <w:p w14:paraId="10F0FD64" w14:textId="77777777" w:rsidR="00026EE1" w:rsidRDefault="00026EE1" w:rsidP="00C66644">
      <w:pPr>
        <w:pStyle w:val="T1"/>
        <w:keepNext w:val="0"/>
        <w:spacing w:before="0" w:after="0" w:line="240" w:lineRule="auto"/>
        <w:rPr>
          <w:rFonts w:asciiTheme="minorHAnsi" w:hAnsiTheme="minorHAnsi" w:cs="Arial"/>
          <w:b w:val="0"/>
          <w:bCs w:val="0"/>
          <w:sz w:val="22"/>
          <w:szCs w:val="22"/>
          <w:lang w:val="hr-HR"/>
        </w:rPr>
      </w:pPr>
    </w:p>
    <w:p w14:paraId="08359489" w14:textId="77777777" w:rsidR="00C66644" w:rsidRPr="00C66644" w:rsidRDefault="00C66644" w:rsidP="00C66644">
      <w:pPr>
        <w:pStyle w:val="T1"/>
        <w:keepNext w:val="0"/>
        <w:spacing w:before="0" w:after="0" w:line="240" w:lineRule="auto"/>
        <w:rPr>
          <w:rFonts w:asciiTheme="minorHAnsi" w:hAnsiTheme="minorHAnsi" w:cs="Arial"/>
          <w:b w:val="0"/>
          <w:bCs w:val="0"/>
          <w:sz w:val="22"/>
          <w:szCs w:val="22"/>
          <w:lang w:val="hr-HR"/>
        </w:rPr>
      </w:pPr>
      <w:r w:rsidRPr="00087E03">
        <w:rPr>
          <w:rFonts w:asciiTheme="minorHAnsi" w:hAnsiTheme="minorHAnsi" w:cs="Arial"/>
          <w:b w:val="0"/>
          <w:bCs w:val="0"/>
          <w:sz w:val="22"/>
          <w:szCs w:val="22"/>
          <w:lang w:val="hr-HR"/>
        </w:rPr>
        <w:t>Priložene bilješke uz financijske izvještaje sastavni su dio ovog izvještaja o promjenama na kapitalu</w:t>
      </w:r>
      <w:r w:rsidRPr="00087E03">
        <w:rPr>
          <w:rFonts w:asciiTheme="minorHAnsi" w:hAnsiTheme="minorHAnsi"/>
          <w:b w:val="0"/>
          <w:bCs w:val="0"/>
          <w:sz w:val="22"/>
          <w:szCs w:val="22"/>
          <w:lang w:val="hr-HR"/>
        </w:rPr>
        <w:t>.</w:t>
      </w:r>
    </w:p>
    <w:p w14:paraId="0A900FE2" w14:textId="77777777" w:rsidR="00B45788" w:rsidRDefault="00B45788" w:rsidP="00C66644">
      <w:pPr>
        <w:spacing w:after="0" w:line="240" w:lineRule="auto"/>
        <w:rPr>
          <w:rFonts w:eastAsia="Times New Roman" w:cs="Arial"/>
          <w:bCs/>
          <w:sz w:val="24"/>
          <w:szCs w:val="24"/>
        </w:rPr>
      </w:pPr>
    </w:p>
    <w:p w14:paraId="53BE08D9" w14:textId="77777777" w:rsidR="00026EE1" w:rsidRPr="00CA37C8" w:rsidRDefault="00026EE1" w:rsidP="00C66644">
      <w:pPr>
        <w:spacing w:after="0" w:line="240" w:lineRule="auto"/>
        <w:rPr>
          <w:rFonts w:eastAsia="Times New Roman" w:cs="Arial"/>
          <w:bCs/>
          <w:sz w:val="24"/>
          <w:szCs w:val="24"/>
        </w:rPr>
      </w:pPr>
    </w:p>
    <w:p w14:paraId="3C664C11" w14:textId="77777777" w:rsidR="001A0990" w:rsidRPr="00CA37C8" w:rsidRDefault="001A0990" w:rsidP="00C66644">
      <w:pPr>
        <w:spacing w:after="0" w:line="240" w:lineRule="auto"/>
        <w:rPr>
          <w:rFonts w:eastAsia="Times New Roman" w:cs="Times New Roman"/>
          <w:bCs/>
          <w:sz w:val="24"/>
          <w:szCs w:val="24"/>
        </w:rPr>
        <w:sectPr w:rsidR="001A0990" w:rsidRPr="00CA37C8" w:rsidSect="00305343">
          <w:headerReference w:type="first" r:id="rId35"/>
          <w:footerReference w:type="first" r:id="rId36"/>
          <w:pgSz w:w="11906" w:h="16838" w:code="9"/>
          <w:pgMar w:top="1418" w:right="1133" w:bottom="1417" w:left="1417" w:header="737" w:footer="709" w:gutter="0"/>
          <w:cols w:space="708"/>
          <w:titlePg/>
          <w:docGrid w:linePitch="360"/>
        </w:sectPr>
      </w:pPr>
    </w:p>
    <w:p w14:paraId="68A4BF9B" w14:textId="77777777" w:rsidR="00B20C74" w:rsidRDefault="00B20C74">
      <w:pPr>
        <w:spacing w:after="0" w:line="240" w:lineRule="auto"/>
        <w:rPr>
          <w:rFonts w:eastAsia="Times New Roman" w:cs="Arial"/>
          <w:sz w:val="19"/>
          <w:szCs w:val="20"/>
        </w:rPr>
      </w:pPr>
    </w:p>
    <w:p w14:paraId="5E70CE0C" w14:textId="77777777" w:rsidR="00026EE1" w:rsidRPr="00CA37C8" w:rsidRDefault="00026EE1">
      <w:pPr>
        <w:spacing w:after="0" w:line="240" w:lineRule="auto"/>
        <w:rPr>
          <w:rFonts w:eastAsia="Times New Roman" w:cs="Arial"/>
          <w:sz w:val="19"/>
          <w:szCs w:val="20"/>
        </w:rPr>
      </w:pPr>
    </w:p>
    <w:tbl>
      <w:tblPr>
        <w:tblpPr w:leftFromText="181" w:rightFromText="181" w:vertAnchor="text" w:horzAnchor="margin" w:tblpY="1"/>
        <w:tblOverlap w:val="never"/>
        <w:tblW w:w="5000" w:type="pct"/>
        <w:tblLayout w:type="fixed"/>
        <w:tblCellMar>
          <w:left w:w="119" w:type="dxa"/>
          <w:right w:w="119" w:type="dxa"/>
        </w:tblCellMar>
        <w:tblLook w:val="0000" w:firstRow="0" w:lastRow="0" w:firstColumn="0" w:lastColumn="0" w:noHBand="0" w:noVBand="0"/>
      </w:tblPr>
      <w:tblGrid>
        <w:gridCol w:w="2552"/>
        <w:gridCol w:w="992"/>
        <w:gridCol w:w="1755"/>
        <w:gridCol w:w="1364"/>
        <w:gridCol w:w="1340"/>
        <w:gridCol w:w="1353"/>
      </w:tblGrid>
      <w:tr w:rsidR="00E24B12" w:rsidRPr="00E24B12" w14:paraId="161F355F" w14:textId="77777777" w:rsidTr="00312975">
        <w:trPr>
          <w:cantSplit/>
          <w:trHeight w:val="302"/>
        </w:trPr>
        <w:tc>
          <w:tcPr>
            <w:tcW w:w="1364" w:type="pct"/>
          </w:tcPr>
          <w:p w14:paraId="7DE51481" w14:textId="77777777" w:rsidR="00E24B12" w:rsidRPr="00E24B12" w:rsidRDefault="00E24B12" w:rsidP="00E24B12">
            <w:pPr>
              <w:tabs>
                <w:tab w:val="right" w:pos="1202"/>
              </w:tabs>
              <w:spacing w:after="0" w:line="240" w:lineRule="exact"/>
              <w:outlineLvl w:val="0"/>
              <w:rPr>
                <w:rFonts w:eastAsia="Times New Roman" w:cs="Arial"/>
                <w:b/>
                <w:bCs/>
              </w:rPr>
            </w:pPr>
          </w:p>
        </w:tc>
        <w:tc>
          <w:tcPr>
            <w:tcW w:w="530" w:type="pct"/>
          </w:tcPr>
          <w:p w14:paraId="58509CF6" w14:textId="77777777" w:rsidR="00E24B12" w:rsidRPr="00E24B12" w:rsidRDefault="00E24B12" w:rsidP="00E24B12">
            <w:pPr>
              <w:spacing w:after="0" w:line="240" w:lineRule="exact"/>
              <w:jc w:val="center"/>
              <w:outlineLvl w:val="0"/>
              <w:rPr>
                <w:rFonts w:eastAsia="Times New Roman" w:cs="Arial"/>
                <w:b/>
                <w:bCs/>
              </w:rPr>
            </w:pPr>
          </w:p>
        </w:tc>
        <w:tc>
          <w:tcPr>
            <w:tcW w:w="1667" w:type="pct"/>
            <w:gridSpan w:val="2"/>
          </w:tcPr>
          <w:p w14:paraId="27A26C33" w14:textId="2ACF5733" w:rsidR="00E24B12" w:rsidRPr="00E24B12" w:rsidRDefault="00E24B12" w:rsidP="00D96540">
            <w:pPr>
              <w:spacing w:after="0" w:line="240" w:lineRule="exact"/>
              <w:jc w:val="center"/>
              <w:outlineLvl w:val="0"/>
              <w:rPr>
                <w:rFonts w:eastAsia="Times New Roman" w:cs="Arial"/>
                <w:b/>
                <w:bCs/>
              </w:rPr>
            </w:pPr>
            <w:r w:rsidRPr="00E24B12">
              <w:rPr>
                <w:rFonts w:eastAsia="Times New Roman" w:cs="Arial"/>
                <w:b/>
                <w:bCs/>
              </w:rPr>
              <w:t>201</w:t>
            </w:r>
            <w:r w:rsidR="00B20C74">
              <w:rPr>
                <w:rFonts w:eastAsia="Times New Roman" w:cs="Arial"/>
                <w:b/>
                <w:bCs/>
              </w:rPr>
              <w:t>7</w:t>
            </w:r>
            <w:r w:rsidRPr="00E24B12">
              <w:rPr>
                <w:rFonts w:eastAsia="Times New Roman" w:cs="Arial"/>
                <w:b/>
                <w:bCs/>
              </w:rPr>
              <w:t>.</w:t>
            </w:r>
          </w:p>
        </w:tc>
        <w:tc>
          <w:tcPr>
            <w:tcW w:w="1439" w:type="pct"/>
            <w:gridSpan w:val="2"/>
          </w:tcPr>
          <w:p w14:paraId="1D1DAA69" w14:textId="7F4FC769" w:rsidR="00E24B12" w:rsidRPr="00E24B12" w:rsidRDefault="00E24B12" w:rsidP="00D96540">
            <w:pPr>
              <w:spacing w:after="0" w:line="240" w:lineRule="exact"/>
              <w:jc w:val="center"/>
              <w:outlineLvl w:val="0"/>
              <w:rPr>
                <w:rFonts w:eastAsia="Times New Roman" w:cs="Arial"/>
                <w:b/>
                <w:bCs/>
              </w:rPr>
            </w:pPr>
            <w:r w:rsidRPr="00E24B12">
              <w:rPr>
                <w:rFonts w:eastAsia="Times New Roman" w:cs="Arial"/>
                <w:b/>
                <w:bCs/>
              </w:rPr>
              <w:t>201</w:t>
            </w:r>
            <w:r>
              <w:rPr>
                <w:rFonts w:eastAsia="Times New Roman" w:cs="Arial"/>
                <w:b/>
                <w:bCs/>
              </w:rPr>
              <w:t>6</w:t>
            </w:r>
            <w:r w:rsidRPr="00E24B12">
              <w:rPr>
                <w:rFonts w:eastAsia="Times New Roman" w:cs="Arial"/>
                <w:b/>
                <w:bCs/>
              </w:rPr>
              <w:t>.</w:t>
            </w:r>
          </w:p>
        </w:tc>
      </w:tr>
      <w:tr w:rsidR="00E24B12" w:rsidRPr="00E24B12" w14:paraId="1409F570" w14:textId="77777777" w:rsidTr="00312975">
        <w:trPr>
          <w:cantSplit/>
          <w:trHeight w:val="302"/>
        </w:trPr>
        <w:tc>
          <w:tcPr>
            <w:tcW w:w="1364" w:type="pct"/>
          </w:tcPr>
          <w:p w14:paraId="464F2BF8" w14:textId="77777777" w:rsidR="00E24B12" w:rsidRPr="00E24B12" w:rsidRDefault="00E24B12" w:rsidP="00E24B12">
            <w:pPr>
              <w:tabs>
                <w:tab w:val="right" w:pos="1202"/>
              </w:tabs>
              <w:spacing w:after="0" w:line="240" w:lineRule="exact"/>
              <w:outlineLvl w:val="0"/>
              <w:rPr>
                <w:rFonts w:eastAsia="Times New Roman" w:cs="Arial"/>
                <w:b/>
                <w:bCs/>
              </w:rPr>
            </w:pPr>
          </w:p>
        </w:tc>
        <w:tc>
          <w:tcPr>
            <w:tcW w:w="530" w:type="pct"/>
            <w:vAlign w:val="center"/>
          </w:tcPr>
          <w:p w14:paraId="6656943F" w14:textId="77777777" w:rsidR="00E24B12" w:rsidRPr="00E24B12" w:rsidRDefault="00E24B12" w:rsidP="00E24B12">
            <w:pPr>
              <w:spacing w:after="0" w:line="240" w:lineRule="exact"/>
              <w:jc w:val="center"/>
              <w:outlineLvl w:val="0"/>
              <w:rPr>
                <w:rFonts w:eastAsia="Times New Roman" w:cs="Arial"/>
                <w:b/>
                <w:bCs/>
              </w:rPr>
            </w:pPr>
            <w:r w:rsidRPr="00E24B12">
              <w:rPr>
                <w:rFonts w:eastAsia="Times New Roman" w:cs="Arial"/>
                <w:b/>
                <w:bCs/>
              </w:rPr>
              <w:t>Bilješka</w:t>
            </w:r>
          </w:p>
        </w:tc>
        <w:tc>
          <w:tcPr>
            <w:tcW w:w="938" w:type="pct"/>
            <w:vAlign w:val="center"/>
          </w:tcPr>
          <w:p w14:paraId="27F58F26" w14:textId="77777777" w:rsidR="004A169A" w:rsidRDefault="00E24B12" w:rsidP="00E24B12">
            <w:pPr>
              <w:spacing w:after="0" w:line="240" w:lineRule="auto"/>
              <w:jc w:val="center"/>
              <w:outlineLvl w:val="0"/>
              <w:rPr>
                <w:rFonts w:ascii="Calibri" w:eastAsia="Times New Roman" w:hAnsi="Calibri" w:cs="Calibri"/>
                <w:bCs/>
                <w:noProof/>
                <w:lang w:val="en-GB"/>
              </w:rPr>
            </w:pPr>
            <w:r w:rsidRPr="00E24B12">
              <w:rPr>
                <w:rFonts w:ascii="Calibri" w:eastAsia="Times New Roman" w:hAnsi="Calibri" w:cs="Calibri"/>
                <w:bCs/>
                <w:noProof/>
                <w:lang w:val="en-GB"/>
              </w:rPr>
              <w:t xml:space="preserve">Tekuće </w:t>
            </w:r>
          </w:p>
          <w:p w14:paraId="228215D9" w14:textId="12815F8D" w:rsidR="00E24B12" w:rsidRPr="00E24B12" w:rsidRDefault="00E24B12" w:rsidP="00E24B12">
            <w:pPr>
              <w:spacing w:after="0" w:line="240" w:lineRule="auto"/>
              <w:jc w:val="center"/>
              <w:outlineLvl w:val="0"/>
              <w:rPr>
                <w:rFonts w:ascii="Calibri" w:eastAsia="Times New Roman" w:hAnsi="Calibri" w:cs="Calibri"/>
                <w:bCs/>
                <w:noProof/>
                <w:lang w:val="en-GB"/>
              </w:rPr>
            </w:pPr>
            <w:r w:rsidRPr="00E24B12">
              <w:rPr>
                <w:rFonts w:ascii="Calibri" w:eastAsia="Times New Roman" w:hAnsi="Calibri" w:cs="Calibri"/>
                <w:bCs/>
                <w:noProof/>
                <w:lang w:val="en-GB"/>
              </w:rPr>
              <w:t>razdoblje</w:t>
            </w:r>
          </w:p>
          <w:p w14:paraId="738CDAF4" w14:textId="77777777" w:rsidR="00E24B12" w:rsidRPr="00E24B12" w:rsidRDefault="00E24B12" w:rsidP="00E24B12">
            <w:pPr>
              <w:spacing w:after="0" w:line="240" w:lineRule="auto"/>
              <w:jc w:val="center"/>
              <w:outlineLvl w:val="0"/>
              <w:rPr>
                <w:rFonts w:ascii="Calibri" w:eastAsia="Times New Roman" w:hAnsi="Calibri" w:cs="Calibri"/>
                <w:bCs/>
                <w:noProof/>
                <w:lang w:val="en-GB"/>
              </w:rPr>
            </w:pPr>
            <w:r w:rsidRPr="00E24B12">
              <w:rPr>
                <w:rFonts w:ascii="Calibri" w:eastAsia="Times New Roman" w:hAnsi="Calibri" w:cs="Calibri"/>
                <w:bCs/>
                <w:noProof/>
                <w:lang w:val="en-GB"/>
              </w:rPr>
              <w:t>1.4. - 30.6.</w:t>
            </w:r>
          </w:p>
        </w:tc>
        <w:tc>
          <w:tcPr>
            <w:tcW w:w="728" w:type="pct"/>
            <w:vAlign w:val="center"/>
          </w:tcPr>
          <w:p w14:paraId="7DB8BA86" w14:textId="77777777" w:rsidR="00E24B12" w:rsidRPr="00E24B12" w:rsidRDefault="00E24B12" w:rsidP="00E24B12">
            <w:pPr>
              <w:spacing w:after="0" w:line="240" w:lineRule="auto"/>
              <w:jc w:val="center"/>
              <w:outlineLvl w:val="0"/>
              <w:rPr>
                <w:rFonts w:ascii="Calibri" w:eastAsia="Times New Roman" w:hAnsi="Calibri" w:cs="Calibri"/>
                <w:bCs/>
                <w:noProof/>
                <w:lang w:val="en-GB"/>
              </w:rPr>
            </w:pPr>
            <w:r w:rsidRPr="00E24B12">
              <w:rPr>
                <w:rFonts w:ascii="Calibri" w:eastAsia="Times New Roman" w:hAnsi="Calibri" w:cs="Calibri"/>
                <w:bCs/>
                <w:noProof/>
                <w:lang w:val="en-GB"/>
              </w:rPr>
              <w:t>Kumulativ</w:t>
            </w:r>
          </w:p>
          <w:p w14:paraId="32D8987F" w14:textId="77777777" w:rsidR="00E24B12" w:rsidRPr="00E24B12" w:rsidRDefault="00E24B12" w:rsidP="00E24B12">
            <w:pPr>
              <w:spacing w:after="0" w:line="240" w:lineRule="auto"/>
              <w:jc w:val="center"/>
              <w:outlineLvl w:val="0"/>
              <w:rPr>
                <w:rFonts w:ascii="Calibri" w:eastAsia="Times New Roman" w:hAnsi="Calibri" w:cs="Calibri"/>
                <w:bCs/>
                <w:noProof/>
                <w:lang w:val="en-GB"/>
              </w:rPr>
            </w:pPr>
            <w:r w:rsidRPr="00E24B12">
              <w:rPr>
                <w:rFonts w:ascii="Calibri" w:eastAsia="Times New Roman" w:hAnsi="Calibri" w:cs="Calibri"/>
                <w:bCs/>
                <w:noProof/>
                <w:lang w:val="en-GB"/>
              </w:rPr>
              <w:t>1.1. - 30.6.</w:t>
            </w:r>
          </w:p>
        </w:tc>
        <w:tc>
          <w:tcPr>
            <w:tcW w:w="716" w:type="pct"/>
            <w:vAlign w:val="center"/>
          </w:tcPr>
          <w:p w14:paraId="3A5F16AE" w14:textId="77777777" w:rsidR="00E24B12" w:rsidRPr="00E24B12" w:rsidRDefault="00E24B12" w:rsidP="00E24B12">
            <w:pPr>
              <w:spacing w:after="0" w:line="240" w:lineRule="auto"/>
              <w:jc w:val="center"/>
              <w:outlineLvl w:val="0"/>
              <w:rPr>
                <w:rFonts w:ascii="Calibri" w:eastAsia="Times New Roman" w:hAnsi="Calibri" w:cs="Calibri"/>
                <w:bCs/>
                <w:noProof/>
                <w:lang w:val="en-GB"/>
              </w:rPr>
            </w:pPr>
            <w:r w:rsidRPr="00E24B12">
              <w:rPr>
                <w:rFonts w:ascii="Calibri" w:eastAsia="Times New Roman" w:hAnsi="Calibri" w:cs="Calibri"/>
                <w:bCs/>
                <w:noProof/>
                <w:lang w:val="en-GB"/>
              </w:rPr>
              <w:t>Tekuće razdoblje</w:t>
            </w:r>
          </w:p>
          <w:p w14:paraId="6CF5E32E" w14:textId="77777777" w:rsidR="00E24B12" w:rsidRPr="00E24B12" w:rsidRDefault="00E24B12" w:rsidP="00E24B12">
            <w:pPr>
              <w:spacing w:after="0" w:line="240" w:lineRule="auto"/>
              <w:jc w:val="center"/>
              <w:outlineLvl w:val="0"/>
              <w:rPr>
                <w:rFonts w:ascii="Calibri" w:eastAsia="Times New Roman" w:hAnsi="Calibri" w:cs="Calibri"/>
                <w:bCs/>
                <w:noProof/>
                <w:lang w:val="en-GB"/>
              </w:rPr>
            </w:pPr>
            <w:r w:rsidRPr="00E24B12">
              <w:rPr>
                <w:rFonts w:ascii="Calibri" w:eastAsia="Times New Roman" w:hAnsi="Calibri" w:cs="Calibri"/>
                <w:bCs/>
                <w:noProof/>
                <w:lang w:val="en-GB"/>
              </w:rPr>
              <w:t>1.4. - 30.6.</w:t>
            </w:r>
          </w:p>
        </w:tc>
        <w:tc>
          <w:tcPr>
            <w:tcW w:w="723" w:type="pct"/>
            <w:vAlign w:val="center"/>
          </w:tcPr>
          <w:p w14:paraId="301950FA" w14:textId="77777777" w:rsidR="00E24B12" w:rsidRPr="00E24B12" w:rsidRDefault="00E24B12" w:rsidP="00E24B12">
            <w:pPr>
              <w:spacing w:after="0" w:line="240" w:lineRule="auto"/>
              <w:jc w:val="center"/>
              <w:outlineLvl w:val="0"/>
              <w:rPr>
                <w:rFonts w:ascii="Calibri" w:eastAsia="Times New Roman" w:hAnsi="Calibri" w:cs="Calibri"/>
                <w:bCs/>
                <w:noProof/>
                <w:lang w:val="en-GB"/>
              </w:rPr>
            </w:pPr>
            <w:r w:rsidRPr="00E24B12">
              <w:rPr>
                <w:rFonts w:ascii="Calibri" w:eastAsia="Times New Roman" w:hAnsi="Calibri" w:cs="Calibri"/>
                <w:bCs/>
                <w:noProof/>
                <w:lang w:val="en-GB"/>
              </w:rPr>
              <w:t>Kumulativ</w:t>
            </w:r>
          </w:p>
          <w:p w14:paraId="564444A3" w14:textId="77777777" w:rsidR="00E24B12" w:rsidRPr="00E24B12" w:rsidRDefault="00E24B12" w:rsidP="00E24B12">
            <w:pPr>
              <w:spacing w:after="0" w:line="240" w:lineRule="auto"/>
              <w:jc w:val="center"/>
              <w:outlineLvl w:val="0"/>
              <w:rPr>
                <w:rFonts w:ascii="Calibri" w:eastAsia="Times New Roman" w:hAnsi="Calibri" w:cs="Calibri"/>
                <w:bCs/>
                <w:noProof/>
                <w:lang w:val="en-GB"/>
              </w:rPr>
            </w:pPr>
            <w:r w:rsidRPr="00E24B12">
              <w:rPr>
                <w:rFonts w:ascii="Calibri" w:eastAsia="Times New Roman" w:hAnsi="Calibri" w:cs="Calibri"/>
                <w:bCs/>
                <w:noProof/>
                <w:lang w:val="en-GB"/>
              </w:rPr>
              <w:t>1.1. - 30.6.</w:t>
            </w:r>
          </w:p>
        </w:tc>
      </w:tr>
      <w:tr w:rsidR="00E24B12" w:rsidRPr="00E24B12" w14:paraId="5AA36E52" w14:textId="77777777" w:rsidTr="00312975">
        <w:trPr>
          <w:cantSplit/>
          <w:trHeight w:val="302"/>
        </w:trPr>
        <w:tc>
          <w:tcPr>
            <w:tcW w:w="1364" w:type="pct"/>
          </w:tcPr>
          <w:p w14:paraId="5D198375" w14:textId="77777777" w:rsidR="00E24B12" w:rsidRPr="00E24B12" w:rsidRDefault="00E24B12" w:rsidP="00E24B12">
            <w:pPr>
              <w:tabs>
                <w:tab w:val="right" w:pos="1202"/>
              </w:tabs>
              <w:spacing w:after="0" w:line="240" w:lineRule="exact"/>
              <w:outlineLvl w:val="0"/>
              <w:rPr>
                <w:rFonts w:eastAsia="Times New Roman" w:cs="Arial"/>
              </w:rPr>
            </w:pPr>
          </w:p>
        </w:tc>
        <w:tc>
          <w:tcPr>
            <w:tcW w:w="530" w:type="pct"/>
          </w:tcPr>
          <w:p w14:paraId="36D4FB11" w14:textId="77777777" w:rsidR="00E24B12" w:rsidRPr="00E24B12" w:rsidRDefault="00E24B12" w:rsidP="00E24B12">
            <w:pPr>
              <w:spacing w:after="0" w:line="240" w:lineRule="exact"/>
              <w:jc w:val="center"/>
              <w:outlineLvl w:val="0"/>
              <w:rPr>
                <w:rFonts w:eastAsia="Times New Roman" w:cs="Arial"/>
                <w:b/>
              </w:rPr>
            </w:pPr>
          </w:p>
        </w:tc>
        <w:tc>
          <w:tcPr>
            <w:tcW w:w="938" w:type="pct"/>
          </w:tcPr>
          <w:p w14:paraId="23B093AB" w14:textId="77777777" w:rsidR="00E24B12" w:rsidRPr="00E24B12" w:rsidRDefault="00E24B12" w:rsidP="00E24B12">
            <w:pPr>
              <w:spacing w:after="0" w:line="240" w:lineRule="exact"/>
              <w:jc w:val="right"/>
              <w:outlineLvl w:val="0"/>
              <w:rPr>
                <w:rFonts w:eastAsia="Times New Roman" w:cs="Arial"/>
                <w:b/>
              </w:rPr>
            </w:pPr>
          </w:p>
        </w:tc>
        <w:tc>
          <w:tcPr>
            <w:tcW w:w="728" w:type="pct"/>
          </w:tcPr>
          <w:p w14:paraId="481DCE74" w14:textId="77777777" w:rsidR="00E24B12" w:rsidRPr="00E24B12" w:rsidRDefault="00E24B12" w:rsidP="00E24B12">
            <w:pPr>
              <w:spacing w:after="0" w:line="240" w:lineRule="exact"/>
              <w:jc w:val="right"/>
              <w:outlineLvl w:val="0"/>
              <w:rPr>
                <w:rFonts w:eastAsia="Times New Roman" w:cs="Arial"/>
                <w:b/>
              </w:rPr>
            </w:pPr>
          </w:p>
        </w:tc>
        <w:tc>
          <w:tcPr>
            <w:tcW w:w="716" w:type="pct"/>
          </w:tcPr>
          <w:p w14:paraId="3A860EFC" w14:textId="77777777" w:rsidR="00E24B12" w:rsidRPr="00E24B12" w:rsidRDefault="00E24B12" w:rsidP="00E24B12">
            <w:pPr>
              <w:spacing w:after="0" w:line="240" w:lineRule="exact"/>
              <w:jc w:val="right"/>
              <w:outlineLvl w:val="0"/>
              <w:rPr>
                <w:rFonts w:eastAsia="Times New Roman" w:cs="Arial"/>
                <w:b/>
              </w:rPr>
            </w:pPr>
          </w:p>
        </w:tc>
        <w:tc>
          <w:tcPr>
            <w:tcW w:w="723" w:type="pct"/>
          </w:tcPr>
          <w:p w14:paraId="43F9A107" w14:textId="77777777" w:rsidR="00E24B12" w:rsidRPr="00E24B12" w:rsidRDefault="00E24B12" w:rsidP="00E24B12">
            <w:pPr>
              <w:spacing w:after="0" w:line="240" w:lineRule="exact"/>
              <w:jc w:val="right"/>
              <w:outlineLvl w:val="0"/>
              <w:rPr>
                <w:rFonts w:eastAsia="Times New Roman" w:cs="Arial"/>
                <w:b/>
              </w:rPr>
            </w:pPr>
          </w:p>
        </w:tc>
      </w:tr>
      <w:tr w:rsidR="00E24B12" w:rsidRPr="00E24B12" w14:paraId="66F3314A" w14:textId="77777777" w:rsidTr="00312975">
        <w:trPr>
          <w:cantSplit/>
          <w:trHeight w:val="315"/>
        </w:trPr>
        <w:tc>
          <w:tcPr>
            <w:tcW w:w="1364" w:type="pct"/>
            <w:vAlign w:val="bottom"/>
          </w:tcPr>
          <w:p w14:paraId="4ACC2564" w14:textId="77777777" w:rsidR="00E24B12" w:rsidRPr="00E24B12" w:rsidRDefault="00E24B12" w:rsidP="00E24B12">
            <w:pPr>
              <w:tabs>
                <w:tab w:val="right" w:pos="1202"/>
              </w:tabs>
              <w:spacing w:after="0" w:line="240" w:lineRule="exact"/>
              <w:outlineLvl w:val="0"/>
              <w:rPr>
                <w:rFonts w:eastAsia="Times New Roman" w:cs="Arial"/>
                <w:bCs/>
              </w:rPr>
            </w:pPr>
            <w:r w:rsidRPr="00E24B12">
              <w:rPr>
                <w:rFonts w:eastAsia="Times New Roman" w:cs="Arial"/>
                <w:bCs/>
                <w:spacing w:val="-2"/>
              </w:rPr>
              <w:t>Prihodi od kamata</w:t>
            </w:r>
          </w:p>
        </w:tc>
        <w:tc>
          <w:tcPr>
            <w:tcW w:w="530" w:type="pct"/>
            <w:vAlign w:val="center"/>
          </w:tcPr>
          <w:p w14:paraId="14C352DC" w14:textId="77777777" w:rsidR="00E24B12" w:rsidRPr="00E24B12" w:rsidRDefault="00E24B12" w:rsidP="00E24B12">
            <w:pPr>
              <w:spacing w:after="0" w:line="240" w:lineRule="exact"/>
              <w:jc w:val="center"/>
              <w:outlineLvl w:val="0"/>
              <w:rPr>
                <w:rFonts w:eastAsia="Times New Roman" w:cs="Arial"/>
                <w:bCs/>
                <w:spacing w:val="-2"/>
              </w:rPr>
            </w:pPr>
            <w:r w:rsidRPr="00E24B12">
              <w:rPr>
                <w:rFonts w:eastAsia="Times New Roman" w:cs="Arial"/>
                <w:bCs/>
                <w:spacing w:val="-2"/>
              </w:rPr>
              <w:t>4</w:t>
            </w:r>
          </w:p>
        </w:tc>
        <w:tc>
          <w:tcPr>
            <w:tcW w:w="938" w:type="pct"/>
            <w:tcBorders>
              <w:top w:val="nil"/>
              <w:left w:val="nil"/>
              <w:bottom w:val="nil"/>
              <w:right w:val="nil"/>
            </w:tcBorders>
            <w:shd w:val="clear" w:color="auto" w:fill="auto"/>
            <w:vAlign w:val="bottom"/>
          </w:tcPr>
          <w:p w14:paraId="244E7A1F" w14:textId="4C8A353C" w:rsidR="00E24B12" w:rsidRPr="00E24B12" w:rsidRDefault="00967EA8" w:rsidP="00E24B12">
            <w:pPr>
              <w:spacing w:after="0" w:line="240" w:lineRule="exact"/>
              <w:jc w:val="right"/>
              <w:outlineLvl w:val="0"/>
              <w:rPr>
                <w:rFonts w:eastAsia="Times New Roman" w:cs="Arial"/>
                <w:bCs/>
                <w:spacing w:val="-2"/>
              </w:rPr>
            </w:pPr>
            <w:r w:rsidRPr="00967EA8">
              <w:rPr>
                <w:rFonts w:eastAsia="Times New Roman" w:cs="Arial"/>
                <w:bCs/>
                <w:spacing w:val="-2"/>
              </w:rPr>
              <w:t>212.509</w:t>
            </w:r>
          </w:p>
        </w:tc>
        <w:tc>
          <w:tcPr>
            <w:tcW w:w="728" w:type="pct"/>
            <w:tcBorders>
              <w:top w:val="nil"/>
              <w:left w:val="nil"/>
              <w:bottom w:val="nil"/>
              <w:right w:val="nil"/>
            </w:tcBorders>
            <w:shd w:val="clear" w:color="auto" w:fill="auto"/>
            <w:vAlign w:val="bottom"/>
          </w:tcPr>
          <w:p w14:paraId="71AFB394" w14:textId="3BC941DD" w:rsidR="00E24B12" w:rsidRPr="00E24B12" w:rsidRDefault="00200B84" w:rsidP="00E24B12">
            <w:pPr>
              <w:spacing w:after="0" w:line="240" w:lineRule="exact"/>
              <w:jc w:val="right"/>
              <w:rPr>
                <w:rFonts w:cs="Calibri"/>
                <w:snapToGrid w:val="0"/>
                <w:color w:val="000000"/>
              </w:rPr>
            </w:pPr>
            <w:r w:rsidRPr="00200B84">
              <w:rPr>
                <w:rFonts w:cs="Calibri"/>
                <w:snapToGrid w:val="0"/>
                <w:color w:val="000000"/>
              </w:rPr>
              <w:t>451.012</w:t>
            </w:r>
          </w:p>
        </w:tc>
        <w:tc>
          <w:tcPr>
            <w:tcW w:w="716" w:type="pct"/>
            <w:tcBorders>
              <w:top w:val="nil"/>
              <w:left w:val="nil"/>
              <w:bottom w:val="nil"/>
              <w:right w:val="nil"/>
            </w:tcBorders>
            <w:shd w:val="clear" w:color="auto" w:fill="auto"/>
            <w:vAlign w:val="bottom"/>
          </w:tcPr>
          <w:p w14:paraId="7C891711" w14:textId="66255E57" w:rsidR="00E24B12" w:rsidRPr="00E24B12" w:rsidRDefault="00E24B12" w:rsidP="00E24B12">
            <w:pPr>
              <w:spacing w:after="0" w:line="240" w:lineRule="exact"/>
              <w:jc w:val="right"/>
              <w:outlineLvl w:val="0"/>
              <w:rPr>
                <w:rFonts w:eastAsia="Times New Roman" w:cs="Arial"/>
                <w:bCs/>
                <w:spacing w:val="-2"/>
              </w:rPr>
            </w:pPr>
            <w:r w:rsidRPr="00E24B12">
              <w:rPr>
                <w:rFonts w:eastAsia="Times New Roman" w:cs="Arial"/>
                <w:bCs/>
                <w:spacing w:val="-2"/>
              </w:rPr>
              <w:t>209.556</w:t>
            </w:r>
          </w:p>
        </w:tc>
        <w:tc>
          <w:tcPr>
            <w:tcW w:w="723" w:type="pct"/>
            <w:tcBorders>
              <w:top w:val="nil"/>
              <w:left w:val="nil"/>
              <w:bottom w:val="nil"/>
              <w:right w:val="nil"/>
            </w:tcBorders>
            <w:shd w:val="clear" w:color="auto" w:fill="auto"/>
            <w:vAlign w:val="bottom"/>
          </w:tcPr>
          <w:p w14:paraId="3246F35E" w14:textId="3BAB75C5" w:rsidR="00E24B12" w:rsidRPr="00E24B12" w:rsidRDefault="00E24B12" w:rsidP="00E24B12">
            <w:pPr>
              <w:spacing w:after="0" w:line="240" w:lineRule="exact"/>
              <w:jc w:val="right"/>
              <w:rPr>
                <w:rFonts w:ascii="Calibri" w:hAnsi="Calibri" w:cs="Calibri"/>
                <w:snapToGrid w:val="0"/>
                <w:color w:val="000000"/>
              </w:rPr>
            </w:pPr>
            <w:r w:rsidRPr="00E24B12">
              <w:rPr>
                <w:rFonts w:cs="Calibri"/>
                <w:snapToGrid w:val="0"/>
                <w:color w:val="000000"/>
              </w:rPr>
              <w:t>428.189</w:t>
            </w:r>
          </w:p>
        </w:tc>
      </w:tr>
      <w:tr w:rsidR="00E24B12" w:rsidRPr="00E24B12" w14:paraId="14B46D02" w14:textId="77777777" w:rsidTr="00312975">
        <w:trPr>
          <w:cantSplit/>
          <w:trHeight w:val="302"/>
        </w:trPr>
        <w:tc>
          <w:tcPr>
            <w:tcW w:w="1364" w:type="pct"/>
            <w:vAlign w:val="bottom"/>
          </w:tcPr>
          <w:p w14:paraId="1AB6E36A" w14:textId="77777777" w:rsidR="00E24B12" w:rsidRPr="00E24B12" w:rsidRDefault="00E24B12" w:rsidP="00E24B12">
            <w:pPr>
              <w:tabs>
                <w:tab w:val="right" w:pos="1202"/>
              </w:tabs>
              <w:spacing w:after="0" w:line="240" w:lineRule="exact"/>
              <w:outlineLvl w:val="0"/>
              <w:rPr>
                <w:rFonts w:eastAsia="Times New Roman" w:cs="Arial"/>
                <w:bCs/>
                <w:spacing w:val="-2"/>
              </w:rPr>
            </w:pPr>
            <w:r w:rsidRPr="00E24B12">
              <w:rPr>
                <w:rFonts w:eastAsia="Times New Roman" w:cs="Arial"/>
                <w:bCs/>
                <w:spacing w:val="-2"/>
              </w:rPr>
              <w:t>Rashodi od kamata</w:t>
            </w:r>
          </w:p>
        </w:tc>
        <w:tc>
          <w:tcPr>
            <w:tcW w:w="530" w:type="pct"/>
            <w:vAlign w:val="center"/>
          </w:tcPr>
          <w:p w14:paraId="753F12D3" w14:textId="77777777" w:rsidR="00E24B12" w:rsidRPr="00E24B12" w:rsidRDefault="00E24B12" w:rsidP="00E24B12">
            <w:pPr>
              <w:spacing w:after="0" w:line="240" w:lineRule="exact"/>
              <w:jc w:val="center"/>
              <w:outlineLvl w:val="0"/>
              <w:rPr>
                <w:rFonts w:eastAsia="Times New Roman" w:cs="Arial"/>
                <w:bCs/>
                <w:spacing w:val="-2"/>
              </w:rPr>
            </w:pPr>
            <w:r w:rsidRPr="00E24B12">
              <w:rPr>
                <w:rFonts w:eastAsia="Times New Roman" w:cs="Arial"/>
                <w:bCs/>
                <w:spacing w:val="-2"/>
              </w:rPr>
              <w:t>5</w:t>
            </w:r>
          </w:p>
        </w:tc>
        <w:tc>
          <w:tcPr>
            <w:tcW w:w="938" w:type="pct"/>
            <w:tcBorders>
              <w:top w:val="nil"/>
              <w:left w:val="nil"/>
              <w:bottom w:val="nil"/>
              <w:right w:val="nil"/>
            </w:tcBorders>
            <w:shd w:val="clear" w:color="auto" w:fill="auto"/>
            <w:vAlign w:val="bottom"/>
          </w:tcPr>
          <w:p w14:paraId="0FC22722" w14:textId="024A97A1" w:rsidR="00E24B12" w:rsidRPr="00E24B12" w:rsidRDefault="00967EA8" w:rsidP="00E24B12">
            <w:pPr>
              <w:spacing w:after="0" w:line="240" w:lineRule="exact"/>
              <w:jc w:val="right"/>
              <w:outlineLvl w:val="0"/>
              <w:rPr>
                <w:rFonts w:eastAsia="Times New Roman" w:cs="Arial"/>
                <w:bCs/>
                <w:spacing w:val="-2"/>
              </w:rPr>
            </w:pPr>
            <w:r>
              <w:rPr>
                <w:rFonts w:eastAsia="Times New Roman" w:cs="Arial"/>
                <w:bCs/>
                <w:spacing w:val="-2"/>
              </w:rPr>
              <w:t>(1</w:t>
            </w:r>
            <w:r w:rsidRPr="00967EA8">
              <w:rPr>
                <w:rFonts w:eastAsia="Times New Roman" w:cs="Arial"/>
                <w:bCs/>
                <w:spacing w:val="-2"/>
              </w:rPr>
              <w:t>07.046</w:t>
            </w:r>
            <w:r>
              <w:rPr>
                <w:rFonts w:eastAsia="Times New Roman" w:cs="Arial"/>
                <w:bCs/>
                <w:spacing w:val="-2"/>
              </w:rPr>
              <w:t>)</w:t>
            </w:r>
          </w:p>
        </w:tc>
        <w:tc>
          <w:tcPr>
            <w:tcW w:w="728" w:type="pct"/>
            <w:tcBorders>
              <w:top w:val="nil"/>
              <w:left w:val="nil"/>
              <w:bottom w:val="nil"/>
              <w:right w:val="nil"/>
            </w:tcBorders>
            <w:shd w:val="clear" w:color="auto" w:fill="auto"/>
            <w:vAlign w:val="bottom"/>
          </w:tcPr>
          <w:p w14:paraId="26640E35" w14:textId="2CEA674E" w:rsidR="00E24B12" w:rsidRPr="00E24B12" w:rsidRDefault="00200B84" w:rsidP="00E24B12">
            <w:pPr>
              <w:spacing w:after="0" w:line="240" w:lineRule="exact"/>
              <w:jc w:val="right"/>
              <w:rPr>
                <w:rFonts w:cs="Calibri"/>
                <w:snapToGrid w:val="0"/>
                <w:color w:val="000000"/>
              </w:rPr>
            </w:pPr>
            <w:r w:rsidRPr="00200B84">
              <w:rPr>
                <w:rFonts w:cs="Calibri"/>
                <w:snapToGrid w:val="0"/>
                <w:color w:val="000000"/>
              </w:rPr>
              <w:t>(215.153)</w:t>
            </w:r>
          </w:p>
        </w:tc>
        <w:tc>
          <w:tcPr>
            <w:tcW w:w="716" w:type="pct"/>
            <w:tcBorders>
              <w:top w:val="nil"/>
              <w:left w:val="nil"/>
              <w:bottom w:val="nil"/>
              <w:right w:val="nil"/>
            </w:tcBorders>
            <w:shd w:val="clear" w:color="auto" w:fill="auto"/>
            <w:vAlign w:val="bottom"/>
          </w:tcPr>
          <w:p w14:paraId="6781CC56" w14:textId="7CDD0FFC" w:rsidR="00E24B12" w:rsidRPr="00E24B12" w:rsidRDefault="00E24B12" w:rsidP="00E24B12">
            <w:pPr>
              <w:spacing w:after="0" w:line="240" w:lineRule="exact"/>
              <w:jc w:val="right"/>
              <w:outlineLvl w:val="0"/>
              <w:rPr>
                <w:rFonts w:eastAsia="Times New Roman" w:cs="Arial"/>
                <w:bCs/>
                <w:spacing w:val="-2"/>
              </w:rPr>
            </w:pPr>
            <w:r w:rsidRPr="00E24B12">
              <w:rPr>
                <w:rFonts w:eastAsia="Times New Roman" w:cs="Arial"/>
                <w:bCs/>
                <w:spacing w:val="-2"/>
              </w:rPr>
              <w:t>(113.681)</w:t>
            </w:r>
          </w:p>
        </w:tc>
        <w:tc>
          <w:tcPr>
            <w:tcW w:w="723" w:type="pct"/>
            <w:tcBorders>
              <w:top w:val="nil"/>
              <w:left w:val="nil"/>
              <w:bottom w:val="nil"/>
              <w:right w:val="nil"/>
            </w:tcBorders>
            <w:shd w:val="clear" w:color="auto" w:fill="auto"/>
            <w:vAlign w:val="bottom"/>
          </w:tcPr>
          <w:p w14:paraId="7988EB36" w14:textId="74A33052" w:rsidR="00E24B12" w:rsidRPr="00E24B12" w:rsidRDefault="00E24B12" w:rsidP="00E24B12">
            <w:pPr>
              <w:spacing w:after="0" w:line="240" w:lineRule="exact"/>
              <w:jc w:val="right"/>
              <w:rPr>
                <w:rFonts w:ascii="Calibri" w:hAnsi="Calibri" w:cs="Calibri"/>
                <w:snapToGrid w:val="0"/>
                <w:color w:val="000000"/>
              </w:rPr>
            </w:pPr>
            <w:r w:rsidRPr="00E24B12">
              <w:rPr>
                <w:rFonts w:cs="Calibri"/>
                <w:snapToGrid w:val="0"/>
                <w:color w:val="000000"/>
              </w:rPr>
              <w:t>(228.236)</w:t>
            </w:r>
          </w:p>
        </w:tc>
      </w:tr>
      <w:tr w:rsidR="00E24B12" w:rsidRPr="00E24B12" w14:paraId="5F633DB4" w14:textId="77777777" w:rsidTr="00312975">
        <w:trPr>
          <w:cantSplit/>
          <w:trHeight w:hRule="exact" w:val="85"/>
        </w:trPr>
        <w:tc>
          <w:tcPr>
            <w:tcW w:w="1364" w:type="pct"/>
            <w:vAlign w:val="bottom"/>
          </w:tcPr>
          <w:p w14:paraId="68C698E7" w14:textId="77777777" w:rsidR="00E24B12" w:rsidRPr="00E24B12" w:rsidRDefault="00E24B12" w:rsidP="00E24B12">
            <w:pPr>
              <w:tabs>
                <w:tab w:val="right" w:pos="1202"/>
              </w:tabs>
              <w:spacing w:after="0" w:line="240" w:lineRule="exact"/>
              <w:outlineLvl w:val="0"/>
              <w:rPr>
                <w:rFonts w:eastAsia="Times New Roman" w:cs="Arial"/>
                <w:bCs/>
                <w:spacing w:val="-2"/>
              </w:rPr>
            </w:pPr>
          </w:p>
        </w:tc>
        <w:tc>
          <w:tcPr>
            <w:tcW w:w="530" w:type="pct"/>
            <w:vAlign w:val="center"/>
          </w:tcPr>
          <w:p w14:paraId="25E4B215" w14:textId="77777777" w:rsidR="00E24B12" w:rsidRPr="00E24B12" w:rsidRDefault="00E24B12" w:rsidP="00E24B12">
            <w:pPr>
              <w:spacing w:after="0" w:line="240" w:lineRule="exact"/>
              <w:jc w:val="center"/>
              <w:outlineLvl w:val="0"/>
              <w:rPr>
                <w:rFonts w:eastAsia="Times New Roman" w:cs="Arial"/>
                <w:bCs/>
                <w:spacing w:val="-2"/>
              </w:rPr>
            </w:pPr>
          </w:p>
        </w:tc>
        <w:tc>
          <w:tcPr>
            <w:tcW w:w="938" w:type="pct"/>
            <w:tcBorders>
              <w:bottom w:val="single" w:sz="4" w:space="0" w:color="auto"/>
            </w:tcBorders>
            <w:vAlign w:val="bottom"/>
          </w:tcPr>
          <w:p w14:paraId="51909323" w14:textId="77777777" w:rsidR="00E24B12" w:rsidRPr="00E24B12" w:rsidRDefault="00E24B12" w:rsidP="00E24B12">
            <w:pPr>
              <w:spacing w:after="0" w:line="240" w:lineRule="exact"/>
              <w:jc w:val="right"/>
              <w:outlineLvl w:val="0"/>
              <w:rPr>
                <w:rFonts w:eastAsia="Times New Roman" w:cs="Arial"/>
                <w:bCs/>
                <w:spacing w:val="-2"/>
              </w:rPr>
            </w:pPr>
          </w:p>
        </w:tc>
        <w:tc>
          <w:tcPr>
            <w:tcW w:w="728" w:type="pct"/>
            <w:tcBorders>
              <w:bottom w:val="single" w:sz="4" w:space="0" w:color="auto"/>
            </w:tcBorders>
            <w:vAlign w:val="bottom"/>
          </w:tcPr>
          <w:p w14:paraId="326998CE" w14:textId="77777777" w:rsidR="00E24B12" w:rsidRPr="00E24B12" w:rsidRDefault="00E24B12" w:rsidP="00E24B12">
            <w:pPr>
              <w:spacing w:after="0" w:line="240" w:lineRule="exact"/>
              <w:jc w:val="right"/>
              <w:rPr>
                <w:rFonts w:cs="Calibri"/>
                <w:snapToGrid w:val="0"/>
                <w:color w:val="000000"/>
              </w:rPr>
            </w:pPr>
          </w:p>
        </w:tc>
        <w:tc>
          <w:tcPr>
            <w:tcW w:w="716" w:type="pct"/>
            <w:tcBorders>
              <w:bottom w:val="single" w:sz="4" w:space="0" w:color="auto"/>
            </w:tcBorders>
            <w:vAlign w:val="bottom"/>
          </w:tcPr>
          <w:p w14:paraId="1817F0AD" w14:textId="77777777" w:rsidR="00E24B12" w:rsidRPr="00E24B12" w:rsidRDefault="00E24B12" w:rsidP="00E24B12">
            <w:pPr>
              <w:spacing w:after="0" w:line="240" w:lineRule="exact"/>
              <w:jc w:val="right"/>
              <w:outlineLvl w:val="0"/>
              <w:rPr>
                <w:rFonts w:eastAsia="Times New Roman" w:cs="Arial"/>
                <w:bCs/>
                <w:spacing w:val="-2"/>
              </w:rPr>
            </w:pPr>
          </w:p>
        </w:tc>
        <w:tc>
          <w:tcPr>
            <w:tcW w:w="723" w:type="pct"/>
            <w:tcBorders>
              <w:bottom w:val="single" w:sz="4" w:space="0" w:color="auto"/>
            </w:tcBorders>
            <w:vAlign w:val="bottom"/>
          </w:tcPr>
          <w:p w14:paraId="6978EE84" w14:textId="77777777" w:rsidR="00E24B12" w:rsidRPr="00E24B12" w:rsidRDefault="00E24B12" w:rsidP="00E24B12">
            <w:pPr>
              <w:spacing w:after="0" w:line="240" w:lineRule="exact"/>
              <w:jc w:val="right"/>
              <w:rPr>
                <w:rFonts w:ascii="Calibri" w:hAnsi="Calibri" w:cs="Calibri"/>
                <w:snapToGrid w:val="0"/>
                <w:color w:val="000000"/>
              </w:rPr>
            </w:pPr>
          </w:p>
        </w:tc>
      </w:tr>
      <w:tr w:rsidR="00E24B12" w:rsidRPr="00E24B12" w14:paraId="0D856885" w14:textId="77777777" w:rsidTr="00312975">
        <w:trPr>
          <w:cantSplit/>
          <w:trHeight w:hRule="exact" w:val="346"/>
        </w:trPr>
        <w:tc>
          <w:tcPr>
            <w:tcW w:w="1364" w:type="pct"/>
            <w:vAlign w:val="bottom"/>
          </w:tcPr>
          <w:p w14:paraId="7D4316FA" w14:textId="77777777" w:rsidR="00E24B12" w:rsidRPr="00E24B12" w:rsidRDefault="00E24B12" w:rsidP="00E24B12">
            <w:pPr>
              <w:tabs>
                <w:tab w:val="right" w:pos="1202"/>
              </w:tabs>
              <w:spacing w:after="0" w:line="240" w:lineRule="exact"/>
              <w:outlineLvl w:val="0"/>
              <w:rPr>
                <w:rFonts w:eastAsia="Times New Roman" w:cs="Arial"/>
                <w:b/>
                <w:bCs/>
                <w:vertAlign w:val="superscript"/>
              </w:rPr>
            </w:pPr>
            <w:r w:rsidRPr="00E24B12">
              <w:rPr>
                <w:rFonts w:eastAsia="Times New Roman" w:cs="Arial"/>
                <w:b/>
                <w:bCs/>
              </w:rPr>
              <w:t>Neto prihod od kamata</w:t>
            </w:r>
          </w:p>
        </w:tc>
        <w:tc>
          <w:tcPr>
            <w:tcW w:w="530" w:type="pct"/>
            <w:vAlign w:val="center"/>
          </w:tcPr>
          <w:p w14:paraId="11D566F0" w14:textId="77777777" w:rsidR="00E24B12" w:rsidRPr="00E24B12" w:rsidRDefault="00E24B12" w:rsidP="00E24B12">
            <w:pPr>
              <w:spacing w:after="0" w:line="240" w:lineRule="exact"/>
              <w:jc w:val="center"/>
              <w:outlineLvl w:val="0"/>
              <w:rPr>
                <w:rFonts w:eastAsia="Times New Roman" w:cs="Arial"/>
                <w:b/>
                <w:bCs/>
                <w:spacing w:val="-2"/>
              </w:rPr>
            </w:pPr>
          </w:p>
        </w:tc>
        <w:tc>
          <w:tcPr>
            <w:tcW w:w="938" w:type="pct"/>
            <w:tcBorders>
              <w:top w:val="single" w:sz="4" w:space="0" w:color="auto"/>
              <w:left w:val="nil"/>
              <w:bottom w:val="single" w:sz="12" w:space="0" w:color="auto"/>
              <w:right w:val="nil"/>
            </w:tcBorders>
            <w:shd w:val="clear" w:color="auto" w:fill="auto"/>
            <w:vAlign w:val="bottom"/>
          </w:tcPr>
          <w:p w14:paraId="42DAD13D" w14:textId="4BBB1AE8" w:rsidR="00E24B12" w:rsidRPr="00E24B12" w:rsidRDefault="00967EA8" w:rsidP="00E24B12">
            <w:pPr>
              <w:spacing w:after="0" w:line="240" w:lineRule="auto"/>
              <w:jc w:val="right"/>
              <w:outlineLvl w:val="0"/>
              <w:rPr>
                <w:rFonts w:eastAsia="Times New Roman" w:cs="Arial"/>
                <w:b/>
                <w:bCs/>
                <w:spacing w:val="-2"/>
                <w:lang w:val="en-GB"/>
              </w:rPr>
            </w:pPr>
            <w:r w:rsidRPr="00967EA8">
              <w:rPr>
                <w:rFonts w:eastAsia="Times New Roman" w:cs="Arial"/>
                <w:b/>
                <w:bCs/>
                <w:spacing w:val="-2"/>
                <w:lang w:val="en-GB"/>
              </w:rPr>
              <w:t>105.463</w:t>
            </w:r>
          </w:p>
        </w:tc>
        <w:tc>
          <w:tcPr>
            <w:tcW w:w="728" w:type="pct"/>
            <w:tcBorders>
              <w:top w:val="single" w:sz="4" w:space="0" w:color="auto"/>
              <w:left w:val="nil"/>
              <w:bottom w:val="single" w:sz="12" w:space="0" w:color="auto"/>
              <w:right w:val="nil"/>
            </w:tcBorders>
            <w:shd w:val="clear" w:color="auto" w:fill="auto"/>
            <w:vAlign w:val="bottom"/>
          </w:tcPr>
          <w:p w14:paraId="5F99F902" w14:textId="10A8B410" w:rsidR="00E24B12" w:rsidRPr="00E24B12" w:rsidRDefault="00997056" w:rsidP="00E24B12">
            <w:pPr>
              <w:spacing w:after="0" w:line="240" w:lineRule="auto"/>
              <w:jc w:val="right"/>
              <w:outlineLvl w:val="0"/>
              <w:rPr>
                <w:rFonts w:eastAsia="Times New Roman" w:cs="Arial"/>
                <w:b/>
                <w:bCs/>
                <w:spacing w:val="-2"/>
                <w:lang w:val="en-GB"/>
              </w:rPr>
            </w:pPr>
            <w:r>
              <w:rPr>
                <w:rFonts w:eastAsia="Times New Roman" w:cs="Arial"/>
                <w:b/>
                <w:bCs/>
                <w:spacing w:val="-2"/>
                <w:lang w:val="en-GB"/>
              </w:rPr>
              <w:t>235.859</w:t>
            </w:r>
          </w:p>
        </w:tc>
        <w:tc>
          <w:tcPr>
            <w:tcW w:w="716" w:type="pct"/>
            <w:tcBorders>
              <w:top w:val="single" w:sz="4" w:space="0" w:color="auto"/>
              <w:left w:val="nil"/>
              <w:bottom w:val="single" w:sz="12" w:space="0" w:color="auto"/>
              <w:right w:val="nil"/>
            </w:tcBorders>
            <w:shd w:val="clear" w:color="auto" w:fill="auto"/>
            <w:vAlign w:val="bottom"/>
          </w:tcPr>
          <w:p w14:paraId="30F2B87D" w14:textId="120E3F81" w:rsidR="00E24B12" w:rsidRPr="00E24B12" w:rsidRDefault="00E24B12" w:rsidP="00E24B12">
            <w:pPr>
              <w:spacing w:after="0" w:line="240" w:lineRule="auto"/>
              <w:jc w:val="right"/>
              <w:outlineLvl w:val="0"/>
              <w:rPr>
                <w:rFonts w:ascii="Arial" w:eastAsia="Times New Roman" w:hAnsi="Arial" w:cs="Arial"/>
                <w:b/>
                <w:bCs/>
                <w:spacing w:val="-2"/>
                <w:sz w:val="19"/>
                <w:szCs w:val="20"/>
                <w:lang w:val="en-GB"/>
              </w:rPr>
            </w:pPr>
            <w:r w:rsidRPr="00E24B12">
              <w:rPr>
                <w:rFonts w:eastAsia="Times New Roman" w:cs="Arial"/>
                <w:b/>
                <w:bCs/>
                <w:spacing w:val="-2"/>
                <w:lang w:val="en-GB"/>
              </w:rPr>
              <w:t>95.875</w:t>
            </w:r>
          </w:p>
        </w:tc>
        <w:tc>
          <w:tcPr>
            <w:tcW w:w="723" w:type="pct"/>
            <w:tcBorders>
              <w:top w:val="single" w:sz="4" w:space="0" w:color="auto"/>
              <w:left w:val="nil"/>
              <w:bottom w:val="single" w:sz="12" w:space="0" w:color="auto"/>
              <w:right w:val="nil"/>
            </w:tcBorders>
            <w:shd w:val="clear" w:color="auto" w:fill="auto"/>
            <w:vAlign w:val="bottom"/>
          </w:tcPr>
          <w:p w14:paraId="6A9C696D" w14:textId="6B8AC429" w:rsidR="00E24B12" w:rsidRPr="00E24B12" w:rsidRDefault="00E24B12" w:rsidP="00E24B12">
            <w:pPr>
              <w:spacing w:after="0" w:line="240" w:lineRule="auto"/>
              <w:jc w:val="right"/>
              <w:outlineLvl w:val="0"/>
              <w:rPr>
                <w:rFonts w:eastAsia="Times New Roman" w:cs="Arial"/>
                <w:b/>
                <w:bCs/>
                <w:spacing w:val="-2"/>
                <w:sz w:val="19"/>
                <w:szCs w:val="20"/>
                <w:lang w:val="en-GB"/>
              </w:rPr>
            </w:pPr>
            <w:r w:rsidRPr="00E24B12">
              <w:rPr>
                <w:rFonts w:eastAsia="Times New Roman" w:cs="Arial"/>
                <w:b/>
                <w:bCs/>
                <w:spacing w:val="-2"/>
                <w:lang w:val="en-GB"/>
              </w:rPr>
              <w:t>199.953</w:t>
            </w:r>
          </w:p>
        </w:tc>
      </w:tr>
      <w:tr w:rsidR="00E24B12" w:rsidRPr="00E24B12" w14:paraId="5757B20F" w14:textId="77777777" w:rsidTr="00312975">
        <w:trPr>
          <w:cantSplit/>
          <w:trHeight w:val="315"/>
        </w:trPr>
        <w:tc>
          <w:tcPr>
            <w:tcW w:w="1364" w:type="pct"/>
            <w:vAlign w:val="bottom"/>
          </w:tcPr>
          <w:p w14:paraId="52077BB3" w14:textId="77777777" w:rsidR="00E24B12" w:rsidRPr="00E24B12" w:rsidRDefault="00E24B12" w:rsidP="00E24B12">
            <w:pPr>
              <w:tabs>
                <w:tab w:val="right" w:pos="1202"/>
              </w:tabs>
              <w:spacing w:after="0" w:line="240" w:lineRule="exact"/>
              <w:outlineLvl w:val="0"/>
              <w:rPr>
                <w:rFonts w:eastAsia="Times New Roman" w:cs="Arial"/>
                <w:bCs/>
                <w:spacing w:val="-2"/>
              </w:rPr>
            </w:pPr>
          </w:p>
        </w:tc>
        <w:tc>
          <w:tcPr>
            <w:tcW w:w="530" w:type="pct"/>
            <w:vAlign w:val="center"/>
          </w:tcPr>
          <w:p w14:paraId="04216383" w14:textId="77777777" w:rsidR="00E24B12" w:rsidRPr="00E24B12" w:rsidRDefault="00E24B12" w:rsidP="00E24B12">
            <w:pPr>
              <w:spacing w:after="0" w:line="240" w:lineRule="exact"/>
              <w:jc w:val="center"/>
              <w:outlineLvl w:val="0"/>
              <w:rPr>
                <w:rFonts w:eastAsia="Times New Roman" w:cs="Arial"/>
                <w:bCs/>
                <w:spacing w:val="-2"/>
              </w:rPr>
            </w:pPr>
          </w:p>
        </w:tc>
        <w:tc>
          <w:tcPr>
            <w:tcW w:w="938" w:type="pct"/>
            <w:tcBorders>
              <w:top w:val="single" w:sz="12" w:space="0" w:color="auto"/>
            </w:tcBorders>
            <w:vAlign w:val="bottom"/>
          </w:tcPr>
          <w:p w14:paraId="0FF35822" w14:textId="77777777" w:rsidR="00E24B12" w:rsidRPr="00E24B12" w:rsidRDefault="00E24B12" w:rsidP="00E24B12">
            <w:pPr>
              <w:spacing w:after="0" w:line="240" w:lineRule="exact"/>
              <w:jc w:val="right"/>
              <w:outlineLvl w:val="0"/>
              <w:rPr>
                <w:rFonts w:eastAsia="Times New Roman" w:cs="Arial"/>
                <w:bCs/>
                <w:spacing w:val="-2"/>
              </w:rPr>
            </w:pPr>
          </w:p>
        </w:tc>
        <w:tc>
          <w:tcPr>
            <w:tcW w:w="728" w:type="pct"/>
            <w:tcBorders>
              <w:top w:val="single" w:sz="12" w:space="0" w:color="auto"/>
            </w:tcBorders>
            <w:vAlign w:val="bottom"/>
          </w:tcPr>
          <w:p w14:paraId="0588C508" w14:textId="77777777" w:rsidR="00E24B12" w:rsidRPr="00E24B12" w:rsidRDefault="00E24B12" w:rsidP="00E24B12">
            <w:pPr>
              <w:spacing w:after="0" w:line="240" w:lineRule="exact"/>
              <w:jc w:val="right"/>
              <w:outlineLvl w:val="0"/>
              <w:rPr>
                <w:rFonts w:eastAsia="Times New Roman" w:cs="Arial"/>
                <w:bCs/>
                <w:spacing w:val="-2"/>
              </w:rPr>
            </w:pPr>
          </w:p>
        </w:tc>
        <w:tc>
          <w:tcPr>
            <w:tcW w:w="716" w:type="pct"/>
            <w:tcBorders>
              <w:top w:val="single" w:sz="12" w:space="0" w:color="auto"/>
            </w:tcBorders>
            <w:vAlign w:val="bottom"/>
          </w:tcPr>
          <w:p w14:paraId="6AFB6B9E" w14:textId="77777777" w:rsidR="00E24B12" w:rsidRPr="00E24B12" w:rsidRDefault="00E24B12" w:rsidP="00E24B12">
            <w:pPr>
              <w:spacing w:after="0" w:line="240" w:lineRule="exact"/>
              <w:jc w:val="right"/>
              <w:outlineLvl w:val="0"/>
              <w:rPr>
                <w:rFonts w:eastAsia="Times New Roman" w:cs="Arial"/>
                <w:bCs/>
                <w:spacing w:val="-2"/>
              </w:rPr>
            </w:pPr>
          </w:p>
        </w:tc>
        <w:tc>
          <w:tcPr>
            <w:tcW w:w="723" w:type="pct"/>
            <w:tcBorders>
              <w:top w:val="single" w:sz="12" w:space="0" w:color="auto"/>
            </w:tcBorders>
            <w:vAlign w:val="bottom"/>
          </w:tcPr>
          <w:p w14:paraId="4A5C7094" w14:textId="77777777" w:rsidR="00E24B12" w:rsidRPr="00E24B12" w:rsidRDefault="00E24B12" w:rsidP="00E24B12">
            <w:pPr>
              <w:spacing w:after="0" w:line="240" w:lineRule="exact"/>
              <w:jc w:val="right"/>
              <w:outlineLvl w:val="0"/>
              <w:rPr>
                <w:rFonts w:eastAsia="Times New Roman" w:cs="Arial"/>
                <w:bCs/>
                <w:spacing w:val="-2"/>
              </w:rPr>
            </w:pPr>
          </w:p>
        </w:tc>
      </w:tr>
      <w:tr w:rsidR="00E24B12" w:rsidRPr="00E24B12" w14:paraId="03C315D1" w14:textId="77777777" w:rsidTr="00312975">
        <w:trPr>
          <w:cantSplit/>
          <w:trHeight w:val="302"/>
        </w:trPr>
        <w:tc>
          <w:tcPr>
            <w:tcW w:w="1364" w:type="pct"/>
            <w:vAlign w:val="bottom"/>
          </w:tcPr>
          <w:p w14:paraId="5A56D08D" w14:textId="77777777" w:rsidR="00E24B12" w:rsidRPr="00E24B12" w:rsidRDefault="00E24B12" w:rsidP="00E24B12">
            <w:pPr>
              <w:tabs>
                <w:tab w:val="right" w:pos="1202"/>
              </w:tabs>
              <w:spacing w:after="0" w:line="240" w:lineRule="exact"/>
              <w:outlineLvl w:val="0"/>
              <w:rPr>
                <w:rFonts w:eastAsia="Times New Roman" w:cs="Arial"/>
                <w:bCs/>
              </w:rPr>
            </w:pPr>
            <w:r w:rsidRPr="00E24B12">
              <w:rPr>
                <w:rFonts w:eastAsia="Times New Roman" w:cs="Arial"/>
                <w:bCs/>
                <w:spacing w:val="-2"/>
              </w:rPr>
              <w:t>Prihodi od naknada</w:t>
            </w:r>
          </w:p>
        </w:tc>
        <w:tc>
          <w:tcPr>
            <w:tcW w:w="530" w:type="pct"/>
            <w:vAlign w:val="center"/>
          </w:tcPr>
          <w:p w14:paraId="4F8B88AA" w14:textId="77777777" w:rsidR="00E24B12" w:rsidRPr="00E24B12" w:rsidRDefault="00E24B12" w:rsidP="00E24B12">
            <w:pPr>
              <w:spacing w:after="0" w:line="240" w:lineRule="exact"/>
              <w:jc w:val="center"/>
              <w:rPr>
                <w:rFonts w:eastAsia="Arial Unicode MS" w:cs="Arial"/>
              </w:rPr>
            </w:pPr>
          </w:p>
        </w:tc>
        <w:tc>
          <w:tcPr>
            <w:tcW w:w="938" w:type="pct"/>
            <w:tcBorders>
              <w:top w:val="nil"/>
              <w:left w:val="nil"/>
              <w:bottom w:val="nil"/>
              <w:right w:val="nil"/>
            </w:tcBorders>
            <w:shd w:val="clear" w:color="auto" w:fill="auto"/>
            <w:vAlign w:val="bottom"/>
          </w:tcPr>
          <w:p w14:paraId="3706BAA0" w14:textId="248AB92E" w:rsidR="00E24B12" w:rsidRPr="00E24B12" w:rsidRDefault="00967EA8" w:rsidP="00E24B12">
            <w:pPr>
              <w:spacing w:after="0" w:line="240" w:lineRule="exact"/>
              <w:jc w:val="right"/>
              <w:rPr>
                <w:rFonts w:eastAsia="Arial Unicode MS" w:cs="Arial"/>
              </w:rPr>
            </w:pPr>
            <w:r w:rsidRPr="00967EA8">
              <w:rPr>
                <w:rFonts w:eastAsia="Arial Unicode MS" w:cs="Arial"/>
              </w:rPr>
              <w:t>8.215</w:t>
            </w:r>
          </w:p>
        </w:tc>
        <w:tc>
          <w:tcPr>
            <w:tcW w:w="728" w:type="pct"/>
            <w:tcBorders>
              <w:top w:val="nil"/>
              <w:left w:val="nil"/>
              <w:bottom w:val="nil"/>
              <w:right w:val="nil"/>
            </w:tcBorders>
            <w:shd w:val="clear" w:color="auto" w:fill="auto"/>
            <w:vAlign w:val="bottom"/>
          </w:tcPr>
          <w:p w14:paraId="18324FF0" w14:textId="65DCE8C8" w:rsidR="00E24B12" w:rsidRPr="00E24B12" w:rsidRDefault="00200B84" w:rsidP="00E24B12">
            <w:pPr>
              <w:spacing w:after="0" w:line="240" w:lineRule="exact"/>
              <w:jc w:val="right"/>
              <w:rPr>
                <w:rFonts w:eastAsia="Arial Unicode MS" w:cs="Arial"/>
              </w:rPr>
            </w:pPr>
            <w:r w:rsidRPr="00200B84">
              <w:rPr>
                <w:rFonts w:eastAsia="Arial Unicode MS" w:cs="Arial"/>
              </w:rPr>
              <w:t>15.060</w:t>
            </w:r>
          </w:p>
        </w:tc>
        <w:tc>
          <w:tcPr>
            <w:tcW w:w="716" w:type="pct"/>
            <w:tcBorders>
              <w:top w:val="nil"/>
              <w:left w:val="nil"/>
              <w:bottom w:val="nil"/>
              <w:right w:val="nil"/>
            </w:tcBorders>
            <w:shd w:val="clear" w:color="auto" w:fill="auto"/>
            <w:vAlign w:val="bottom"/>
          </w:tcPr>
          <w:p w14:paraId="5D316C6C" w14:textId="64FA5EF8" w:rsidR="00E24B12" w:rsidRPr="00E24B12" w:rsidRDefault="00E24B12" w:rsidP="00E24B12">
            <w:pPr>
              <w:spacing w:after="0" w:line="240" w:lineRule="exact"/>
              <w:jc w:val="right"/>
              <w:rPr>
                <w:rFonts w:eastAsia="Arial Unicode MS" w:cs="Arial"/>
              </w:rPr>
            </w:pPr>
            <w:r w:rsidRPr="00E24B12">
              <w:rPr>
                <w:rFonts w:eastAsia="Arial Unicode MS" w:cs="Arial"/>
              </w:rPr>
              <w:t>8.443</w:t>
            </w:r>
          </w:p>
        </w:tc>
        <w:tc>
          <w:tcPr>
            <w:tcW w:w="723" w:type="pct"/>
            <w:tcBorders>
              <w:top w:val="nil"/>
              <w:left w:val="nil"/>
              <w:bottom w:val="nil"/>
              <w:right w:val="nil"/>
            </w:tcBorders>
            <w:shd w:val="clear" w:color="auto" w:fill="auto"/>
            <w:vAlign w:val="bottom"/>
          </w:tcPr>
          <w:p w14:paraId="4C195AF4" w14:textId="3028698D" w:rsidR="00E24B12" w:rsidRPr="00E24B12" w:rsidRDefault="00E24B12" w:rsidP="00E24B12">
            <w:pPr>
              <w:spacing w:after="0" w:line="240" w:lineRule="exact"/>
              <w:jc w:val="right"/>
              <w:rPr>
                <w:rFonts w:eastAsia="Arial Unicode MS" w:cs="Arial"/>
              </w:rPr>
            </w:pPr>
            <w:r w:rsidRPr="00E24B12">
              <w:rPr>
                <w:rFonts w:eastAsia="Arial Unicode MS" w:cs="Arial"/>
              </w:rPr>
              <w:t>14.020</w:t>
            </w:r>
          </w:p>
        </w:tc>
      </w:tr>
      <w:tr w:rsidR="00E24B12" w:rsidRPr="00E24B12" w14:paraId="13552E20" w14:textId="77777777" w:rsidTr="00312975">
        <w:trPr>
          <w:cantSplit/>
          <w:trHeight w:val="302"/>
        </w:trPr>
        <w:tc>
          <w:tcPr>
            <w:tcW w:w="1364" w:type="pct"/>
            <w:vAlign w:val="bottom"/>
          </w:tcPr>
          <w:p w14:paraId="6E2897DD" w14:textId="77777777" w:rsidR="00E24B12" w:rsidRPr="00E24B12" w:rsidRDefault="00E24B12" w:rsidP="00E24B12">
            <w:pPr>
              <w:tabs>
                <w:tab w:val="right" w:pos="1202"/>
              </w:tabs>
              <w:spacing w:after="0" w:line="240" w:lineRule="exact"/>
              <w:outlineLvl w:val="0"/>
              <w:rPr>
                <w:rFonts w:eastAsia="Times New Roman" w:cs="Arial"/>
                <w:bCs/>
                <w:spacing w:val="-2"/>
              </w:rPr>
            </w:pPr>
            <w:r w:rsidRPr="00E24B12">
              <w:rPr>
                <w:rFonts w:eastAsia="Times New Roman" w:cs="Arial"/>
                <w:bCs/>
                <w:spacing w:val="-2"/>
              </w:rPr>
              <w:t>Rashodi od naknada</w:t>
            </w:r>
          </w:p>
        </w:tc>
        <w:tc>
          <w:tcPr>
            <w:tcW w:w="530" w:type="pct"/>
            <w:vAlign w:val="center"/>
          </w:tcPr>
          <w:p w14:paraId="2656E82E" w14:textId="77777777" w:rsidR="00E24B12" w:rsidRPr="00E24B12" w:rsidRDefault="00E24B12" w:rsidP="00E24B12">
            <w:pPr>
              <w:spacing w:after="0" w:line="240" w:lineRule="exact"/>
              <w:jc w:val="center"/>
              <w:rPr>
                <w:rFonts w:eastAsia="Arial Unicode MS" w:cs="Arial"/>
              </w:rPr>
            </w:pPr>
          </w:p>
        </w:tc>
        <w:tc>
          <w:tcPr>
            <w:tcW w:w="938" w:type="pct"/>
            <w:tcBorders>
              <w:top w:val="nil"/>
              <w:left w:val="nil"/>
              <w:bottom w:val="nil"/>
              <w:right w:val="nil"/>
            </w:tcBorders>
            <w:shd w:val="clear" w:color="auto" w:fill="auto"/>
            <w:vAlign w:val="bottom"/>
          </w:tcPr>
          <w:p w14:paraId="6F15FFF4" w14:textId="447DCF28" w:rsidR="00E24B12" w:rsidRPr="00E24B12" w:rsidRDefault="00967EA8" w:rsidP="00D96540">
            <w:pPr>
              <w:spacing w:after="0" w:line="240" w:lineRule="exact"/>
              <w:jc w:val="right"/>
              <w:rPr>
                <w:rFonts w:eastAsia="Arial Unicode MS" w:cs="Arial"/>
              </w:rPr>
            </w:pPr>
            <w:r>
              <w:rPr>
                <w:rFonts w:eastAsia="Arial Unicode MS" w:cs="Arial"/>
              </w:rPr>
              <w:t>(</w:t>
            </w:r>
            <w:r w:rsidR="003B1EBF">
              <w:rPr>
                <w:rFonts w:eastAsia="Arial Unicode MS" w:cs="Arial"/>
              </w:rPr>
              <w:t>793</w:t>
            </w:r>
            <w:r>
              <w:rPr>
                <w:rFonts w:eastAsia="Arial Unicode MS" w:cs="Arial"/>
              </w:rPr>
              <w:t>)</w:t>
            </w:r>
          </w:p>
        </w:tc>
        <w:tc>
          <w:tcPr>
            <w:tcW w:w="728" w:type="pct"/>
            <w:tcBorders>
              <w:top w:val="nil"/>
              <w:left w:val="nil"/>
              <w:bottom w:val="nil"/>
              <w:right w:val="nil"/>
            </w:tcBorders>
            <w:shd w:val="clear" w:color="auto" w:fill="auto"/>
            <w:vAlign w:val="bottom"/>
          </w:tcPr>
          <w:p w14:paraId="3A092C47" w14:textId="5C31B930" w:rsidR="00E24B12" w:rsidRPr="00E24B12" w:rsidRDefault="00200B84" w:rsidP="00E24B12">
            <w:pPr>
              <w:spacing w:after="0" w:line="240" w:lineRule="exact"/>
              <w:jc w:val="right"/>
              <w:rPr>
                <w:rFonts w:eastAsia="Arial Unicode MS" w:cs="Arial"/>
              </w:rPr>
            </w:pPr>
            <w:r w:rsidRPr="00200B84">
              <w:rPr>
                <w:rFonts w:eastAsia="Arial Unicode MS" w:cs="Arial"/>
              </w:rPr>
              <w:t>(1.677)</w:t>
            </w:r>
          </w:p>
        </w:tc>
        <w:tc>
          <w:tcPr>
            <w:tcW w:w="716" w:type="pct"/>
            <w:tcBorders>
              <w:top w:val="nil"/>
              <w:left w:val="nil"/>
              <w:bottom w:val="nil"/>
              <w:right w:val="nil"/>
            </w:tcBorders>
            <w:shd w:val="clear" w:color="auto" w:fill="auto"/>
            <w:vAlign w:val="bottom"/>
          </w:tcPr>
          <w:p w14:paraId="0CF4645B" w14:textId="7B3CB643" w:rsidR="00E24B12" w:rsidRPr="00E24B12" w:rsidRDefault="00E24B12" w:rsidP="00E24B12">
            <w:pPr>
              <w:spacing w:after="0" w:line="240" w:lineRule="exact"/>
              <w:jc w:val="right"/>
              <w:rPr>
                <w:rFonts w:eastAsia="Arial Unicode MS" w:cs="Arial"/>
              </w:rPr>
            </w:pPr>
            <w:r w:rsidRPr="00E24B12">
              <w:rPr>
                <w:rFonts w:eastAsia="Arial Unicode MS" w:cs="Arial"/>
              </w:rPr>
              <w:t>(678)</w:t>
            </w:r>
          </w:p>
        </w:tc>
        <w:tc>
          <w:tcPr>
            <w:tcW w:w="723" w:type="pct"/>
            <w:tcBorders>
              <w:top w:val="nil"/>
              <w:left w:val="nil"/>
              <w:bottom w:val="nil"/>
              <w:right w:val="nil"/>
            </w:tcBorders>
            <w:shd w:val="clear" w:color="auto" w:fill="auto"/>
            <w:vAlign w:val="bottom"/>
          </w:tcPr>
          <w:p w14:paraId="16BAB241" w14:textId="3A75CBBB" w:rsidR="00E24B12" w:rsidRPr="00E24B12" w:rsidRDefault="00E24B12" w:rsidP="00E24B12">
            <w:pPr>
              <w:spacing w:after="0" w:line="240" w:lineRule="exact"/>
              <w:jc w:val="right"/>
              <w:rPr>
                <w:rFonts w:eastAsia="Arial Unicode MS" w:cs="Arial"/>
              </w:rPr>
            </w:pPr>
            <w:r w:rsidRPr="00E24B12">
              <w:rPr>
                <w:rFonts w:eastAsia="Arial Unicode MS" w:cs="Arial"/>
              </w:rPr>
              <w:t>(1.419)</w:t>
            </w:r>
          </w:p>
        </w:tc>
      </w:tr>
      <w:tr w:rsidR="00E24B12" w:rsidRPr="00E24B12" w14:paraId="6DEDB22A" w14:textId="77777777" w:rsidTr="00312975">
        <w:trPr>
          <w:cantSplit/>
          <w:trHeight w:hRule="exact" w:val="85"/>
        </w:trPr>
        <w:tc>
          <w:tcPr>
            <w:tcW w:w="1364" w:type="pct"/>
            <w:vAlign w:val="bottom"/>
          </w:tcPr>
          <w:p w14:paraId="45D7322E" w14:textId="77777777" w:rsidR="00E24B12" w:rsidRPr="00E24B12" w:rsidRDefault="00E24B12" w:rsidP="00E24B12">
            <w:pPr>
              <w:tabs>
                <w:tab w:val="right" w:pos="1202"/>
              </w:tabs>
              <w:spacing w:after="0" w:line="240" w:lineRule="exact"/>
              <w:outlineLvl w:val="0"/>
              <w:rPr>
                <w:rFonts w:eastAsia="Times New Roman" w:cs="Arial"/>
                <w:bCs/>
                <w:spacing w:val="-2"/>
              </w:rPr>
            </w:pPr>
          </w:p>
        </w:tc>
        <w:tc>
          <w:tcPr>
            <w:tcW w:w="530" w:type="pct"/>
            <w:vAlign w:val="center"/>
          </w:tcPr>
          <w:p w14:paraId="6BACDD29" w14:textId="77777777" w:rsidR="00E24B12" w:rsidRPr="00E24B12" w:rsidRDefault="00E24B12" w:rsidP="00E24B12">
            <w:pPr>
              <w:spacing w:after="0" w:line="240" w:lineRule="exact"/>
              <w:jc w:val="center"/>
              <w:rPr>
                <w:rFonts w:eastAsia="Arial Unicode MS" w:cs="Arial"/>
              </w:rPr>
            </w:pPr>
          </w:p>
        </w:tc>
        <w:tc>
          <w:tcPr>
            <w:tcW w:w="938" w:type="pct"/>
            <w:tcBorders>
              <w:bottom w:val="single" w:sz="4" w:space="0" w:color="auto"/>
            </w:tcBorders>
            <w:vAlign w:val="bottom"/>
          </w:tcPr>
          <w:p w14:paraId="61AD4E8D" w14:textId="77777777" w:rsidR="00E24B12" w:rsidRPr="00E24B12" w:rsidRDefault="00E24B12" w:rsidP="00E24B12">
            <w:pPr>
              <w:spacing w:after="0" w:line="240" w:lineRule="exact"/>
              <w:jc w:val="right"/>
              <w:rPr>
                <w:rFonts w:eastAsia="Arial Unicode MS" w:cs="Arial"/>
              </w:rPr>
            </w:pPr>
          </w:p>
        </w:tc>
        <w:tc>
          <w:tcPr>
            <w:tcW w:w="728" w:type="pct"/>
            <w:tcBorders>
              <w:bottom w:val="single" w:sz="4" w:space="0" w:color="auto"/>
            </w:tcBorders>
            <w:vAlign w:val="bottom"/>
          </w:tcPr>
          <w:p w14:paraId="50AB5D59" w14:textId="77777777" w:rsidR="00E24B12" w:rsidRPr="00E24B12" w:rsidRDefault="00E24B12" w:rsidP="00E24B12">
            <w:pPr>
              <w:spacing w:after="0" w:line="240" w:lineRule="exact"/>
              <w:jc w:val="right"/>
              <w:rPr>
                <w:rFonts w:eastAsia="Arial Unicode MS" w:cs="Arial"/>
              </w:rPr>
            </w:pPr>
          </w:p>
        </w:tc>
        <w:tc>
          <w:tcPr>
            <w:tcW w:w="716" w:type="pct"/>
            <w:tcBorders>
              <w:bottom w:val="single" w:sz="4" w:space="0" w:color="auto"/>
            </w:tcBorders>
            <w:vAlign w:val="bottom"/>
          </w:tcPr>
          <w:p w14:paraId="59290F46" w14:textId="77777777" w:rsidR="00E24B12" w:rsidRPr="00E24B12" w:rsidRDefault="00E24B12" w:rsidP="00E24B12">
            <w:pPr>
              <w:spacing w:after="0" w:line="240" w:lineRule="exact"/>
              <w:jc w:val="right"/>
              <w:rPr>
                <w:rFonts w:eastAsia="Arial Unicode MS" w:cs="Arial"/>
              </w:rPr>
            </w:pPr>
          </w:p>
        </w:tc>
        <w:tc>
          <w:tcPr>
            <w:tcW w:w="723" w:type="pct"/>
            <w:tcBorders>
              <w:bottom w:val="single" w:sz="4" w:space="0" w:color="auto"/>
            </w:tcBorders>
            <w:vAlign w:val="bottom"/>
          </w:tcPr>
          <w:p w14:paraId="173BD882" w14:textId="77777777" w:rsidR="00E24B12" w:rsidRPr="00E24B12" w:rsidRDefault="00E24B12" w:rsidP="00E24B12">
            <w:pPr>
              <w:spacing w:after="0" w:line="240" w:lineRule="exact"/>
              <w:jc w:val="right"/>
              <w:rPr>
                <w:rFonts w:eastAsia="Arial Unicode MS" w:cs="Arial"/>
              </w:rPr>
            </w:pPr>
          </w:p>
        </w:tc>
      </w:tr>
      <w:tr w:rsidR="00E24B12" w:rsidRPr="00E24B12" w14:paraId="75EE4C25" w14:textId="77777777" w:rsidTr="00312975">
        <w:trPr>
          <w:cantSplit/>
          <w:trHeight w:hRule="exact" w:val="346"/>
        </w:trPr>
        <w:tc>
          <w:tcPr>
            <w:tcW w:w="1364" w:type="pct"/>
            <w:vAlign w:val="bottom"/>
          </w:tcPr>
          <w:p w14:paraId="52D8E546" w14:textId="77777777" w:rsidR="00E24B12" w:rsidRPr="00E24B12" w:rsidRDefault="00E24B12" w:rsidP="00E24B12">
            <w:pPr>
              <w:tabs>
                <w:tab w:val="right" w:pos="1202"/>
              </w:tabs>
              <w:spacing w:after="0" w:line="240" w:lineRule="exact"/>
              <w:outlineLvl w:val="0"/>
              <w:rPr>
                <w:rFonts w:eastAsia="Times New Roman" w:cs="Arial"/>
                <w:b/>
                <w:bCs/>
                <w:vertAlign w:val="superscript"/>
              </w:rPr>
            </w:pPr>
            <w:r w:rsidRPr="00E24B12">
              <w:rPr>
                <w:rFonts w:eastAsia="Times New Roman" w:cs="Arial"/>
                <w:b/>
                <w:bCs/>
              </w:rPr>
              <w:t>Neto prihod od naknada</w:t>
            </w:r>
          </w:p>
        </w:tc>
        <w:tc>
          <w:tcPr>
            <w:tcW w:w="530" w:type="pct"/>
            <w:vAlign w:val="center"/>
          </w:tcPr>
          <w:p w14:paraId="65E09D8C" w14:textId="77777777" w:rsidR="00E24B12" w:rsidRPr="00E24B12" w:rsidRDefault="00E24B12" w:rsidP="00E24B12">
            <w:pPr>
              <w:spacing w:after="0" w:line="240" w:lineRule="exact"/>
              <w:jc w:val="center"/>
              <w:outlineLvl w:val="0"/>
              <w:rPr>
                <w:rFonts w:eastAsia="Times New Roman" w:cs="Arial"/>
                <w:b/>
                <w:bCs/>
                <w:spacing w:val="-2"/>
              </w:rPr>
            </w:pPr>
          </w:p>
        </w:tc>
        <w:tc>
          <w:tcPr>
            <w:tcW w:w="938" w:type="pct"/>
            <w:tcBorders>
              <w:top w:val="single" w:sz="4" w:space="0" w:color="auto"/>
              <w:left w:val="nil"/>
              <w:bottom w:val="single" w:sz="12" w:space="0" w:color="auto"/>
              <w:right w:val="nil"/>
            </w:tcBorders>
            <w:shd w:val="clear" w:color="auto" w:fill="auto"/>
            <w:vAlign w:val="bottom"/>
          </w:tcPr>
          <w:p w14:paraId="7508EC02" w14:textId="7B29E85F" w:rsidR="00E24B12" w:rsidRPr="00E24B12" w:rsidRDefault="00967EA8" w:rsidP="00E24B12">
            <w:pPr>
              <w:spacing w:after="0" w:line="240" w:lineRule="auto"/>
              <w:jc w:val="right"/>
              <w:outlineLvl w:val="0"/>
              <w:rPr>
                <w:rFonts w:eastAsia="Times New Roman" w:cs="Arial"/>
                <w:b/>
                <w:bCs/>
                <w:spacing w:val="-2"/>
                <w:lang w:val="en-GB"/>
              </w:rPr>
            </w:pPr>
            <w:r>
              <w:rPr>
                <w:rFonts w:eastAsia="Times New Roman" w:cs="Arial"/>
                <w:b/>
                <w:bCs/>
                <w:spacing w:val="-2"/>
                <w:lang w:val="en-GB"/>
              </w:rPr>
              <w:t>7.422</w:t>
            </w:r>
          </w:p>
        </w:tc>
        <w:tc>
          <w:tcPr>
            <w:tcW w:w="728" w:type="pct"/>
            <w:tcBorders>
              <w:top w:val="single" w:sz="4" w:space="0" w:color="auto"/>
              <w:left w:val="nil"/>
              <w:bottom w:val="single" w:sz="12" w:space="0" w:color="auto"/>
              <w:right w:val="nil"/>
            </w:tcBorders>
            <w:shd w:val="clear" w:color="auto" w:fill="auto"/>
            <w:vAlign w:val="bottom"/>
          </w:tcPr>
          <w:p w14:paraId="7252F4FF" w14:textId="5021EA1D" w:rsidR="00E24B12" w:rsidRPr="00E24B12" w:rsidRDefault="00200B84" w:rsidP="00E24B12">
            <w:pPr>
              <w:spacing w:after="0" w:line="240" w:lineRule="auto"/>
              <w:jc w:val="right"/>
              <w:outlineLvl w:val="0"/>
              <w:rPr>
                <w:rFonts w:eastAsia="Times New Roman" w:cs="Arial"/>
                <w:b/>
                <w:bCs/>
                <w:spacing w:val="-2"/>
                <w:lang w:val="en-GB"/>
              </w:rPr>
            </w:pPr>
            <w:r w:rsidRPr="00200B84">
              <w:rPr>
                <w:rFonts w:eastAsia="Times New Roman" w:cs="Arial"/>
                <w:b/>
                <w:bCs/>
                <w:spacing w:val="-2"/>
                <w:lang w:val="en-GB"/>
              </w:rPr>
              <w:t>13.383</w:t>
            </w:r>
          </w:p>
        </w:tc>
        <w:tc>
          <w:tcPr>
            <w:tcW w:w="716" w:type="pct"/>
            <w:tcBorders>
              <w:top w:val="single" w:sz="4" w:space="0" w:color="auto"/>
              <w:left w:val="nil"/>
              <w:bottom w:val="single" w:sz="12" w:space="0" w:color="auto"/>
              <w:right w:val="nil"/>
            </w:tcBorders>
            <w:shd w:val="clear" w:color="auto" w:fill="auto"/>
            <w:vAlign w:val="bottom"/>
          </w:tcPr>
          <w:p w14:paraId="738DC69B" w14:textId="5A8799F9" w:rsidR="00E24B12" w:rsidRPr="00E24B12" w:rsidRDefault="00E24B12" w:rsidP="00E24B12">
            <w:pPr>
              <w:spacing w:after="0" w:line="240" w:lineRule="auto"/>
              <w:jc w:val="right"/>
              <w:outlineLvl w:val="0"/>
              <w:rPr>
                <w:rFonts w:ascii="Arial" w:eastAsia="Times New Roman" w:hAnsi="Arial" w:cs="Arial"/>
                <w:b/>
                <w:bCs/>
                <w:spacing w:val="-2"/>
                <w:sz w:val="19"/>
                <w:szCs w:val="20"/>
                <w:lang w:val="en-GB"/>
              </w:rPr>
            </w:pPr>
            <w:r w:rsidRPr="00E24B12">
              <w:rPr>
                <w:rFonts w:eastAsia="Times New Roman" w:cs="Arial"/>
                <w:b/>
                <w:bCs/>
                <w:spacing w:val="-2"/>
                <w:lang w:val="en-GB"/>
              </w:rPr>
              <w:t>7.765</w:t>
            </w:r>
          </w:p>
        </w:tc>
        <w:tc>
          <w:tcPr>
            <w:tcW w:w="723" w:type="pct"/>
            <w:tcBorders>
              <w:top w:val="single" w:sz="4" w:space="0" w:color="auto"/>
              <w:left w:val="nil"/>
              <w:bottom w:val="single" w:sz="12" w:space="0" w:color="auto"/>
              <w:right w:val="nil"/>
            </w:tcBorders>
            <w:shd w:val="clear" w:color="auto" w:fill="auto"/>
            <w:vAlign w:val="bottom"/>
          </w:tcPr>
          <w:p w14:paraId="21091EC6" w14:textId="4943D263" w:rsidR="00E24B12" w:rsidRPr="00E24B12" w:rsidRDefault="00E24B12" w:rsidP="00E24B12">
            <w:pPr>
              <w:spacing w:after="0" w:line="240" w:lineRule="auto"/>
              <w:jc w:val="right"/>
              <w:outlineLvl w:val="0"/>
              <w:rPr>
                <w:rFonts w:ascii="Arial" w:eastAsia="Times New Roman" w:hAnsi="Arial" w:cs="Arial"/>
                <w:b/>
                <w:bCs/>
                <w:spacing w:val="-2"/>
                <w:sz w:val="19"/>
                <w:szCs w:val="20"/>
                <w:lang w:val="en-GB"/>
              </w:rPr>
            </w:pPr>
            <w:r w:rsidRPr="00E24B12">
              <w:rPr>
                <w:rFonts w:eastAsia="Times New Roman" w:cs="Arial"/>
                <w:b/>
                <w:bCs/>
                <w:spacing w:val="-2"/>
                <w:lang w:val="en-GB"/>
              </w:rPr>
              <w:t>12.601</w:t>
            </w:r>
          </w:p>
        </w:tc>
      </w:tr>
      <w:tr w:rsidR="00E24B12" w:rsidRPr="00E24B12" w14:paraId="5402626C" w14:textId="77777777" w:rsidTr="00312975">
        <w:trPr>
          <w:cantSplit/>
          <w:trHeight w:val="302"/>
        </w:trPr>
        <w:tc>
          <w:tcPr>
            <w:tcW w:w="1364" w:type="pct"/>
            <w:vAlign w:val="bottom"/>
          </w:tcPr>
          <w:p w14:paraId="51EC2CD0" w14:textId="77777777" w:rsidR="00E24B12" w:rsidRPr="00E24B12" w:rsidRDefault="00E24B12" w:rsidP="00E24B12">
            <w:pPr>
              <w:tabs>
                <w:tab w:val="right" w:pos="1202"/>
              </w:tabs>
              <w:spacing w:after="0" w:line="240" w:lineRule="exact"/>
              <w:outlineLvl w:val="0"/>
              <w:rPr>
                <w:rFonts w:eastAsia="Times New Roman" w:cs="Arial"/>
              </w:rPr>
            </w:pPr>
          </w:p>
        </w:tc>
        <w:tc>
          <w:tcPr>
            <w:tcW w:w="530" w:type="pct"/>
            <w:vAlign w:val="center"/>
          </w:tcPr>
          <w:p w14:paraId="6C800DB0" w14:textId="77777777" w:rsidR="00E24B12" w:rsidRPr="00E24B12" w:rsidRDefault="00E24B12" w:rsidP="00E24B12">
            <w:pPr>
              <w:tabs>
                <w:tab w:val="right" w:pos="1202"/>
              </w:tabs>
              <w:spacing w:after="0" w:line="240" w:lineRule="exact"/>
              <w:jc w:val="center"/>
              <w:outlineLvl w:val="0"/>
              <w:rPr>
                <w:rFonts w:eastAsia="Times New Roman" w:cs="Arial"/>
              </w:rPr>
            </w:pPr>
          </w:p>
        </w:tc>
        <w:tc>
          <w:tcPr>
            <w:tcW w:w="938" w:type="pct"/>
            <w:tcBorders>
              <w:top w:val="single" w:sz="12" w:space="0" w:color="auto"/>
            </w:tcBorders>
            <w:vAlign w:val="bottom"/>
          </w:tcPr>
          <w:p w14:paraId="079A08E2" w14:textId="77777777" w:rsidR="00E24B12" w:rsidRPr="00E24B12" w:rsidRDefault="00E24B12" w:rsidP="00E24B12">
            <w:pPr>
              <w:tabs>
                <w:tab w:val="right" w:pos="1202"/>
              </w:tabs>
              <w:spacing w:after="0" w:line="240" w:lineRule="exact"/>
              <w:jc w:val="right"/>
              <w:outlineLvl w:val="0"/>
              <w:rPr>
                <w:rFonts w:eastAsia="Times New Roman" w:cs="Arial"/>
              </w:rPr>
            </w:pPr>
          </w:p>
        </w:tc>
        <w:tc>
          <w:tcPr>
            <w:tcW w:w="728" w:type="pct"/>
            <w:tcBorders>
              <w:top w:val="single" w:sz="12" w:space="0" w:color="auto"/>
            </w:tcBorders>
            <w:vAlign w:val="bottom"/>
          </w:tcPr>
          <w:p w14:paraId="3B5387F7" w14:textId="77777777" w:rsidR="00E24B12" w:rsidRPr="00E24B12" w:rsidRDefault="00E24B12" w:rsidP="00E24B12">
            <w:pPr>
              <w:tabs>
                <w:tab w:val="right" w:pos="1202"/>
              </w:tabs>
              <w:spacing w:after="0" w:line="240" w:lineRule="exact"/>
              <w:jc w:val="right"/>
              <w:outlineLvl w:val="0"/>
              <w:rPr>
                <w:rFonts w:eastAsia="Times New Roman" w:cs="Arial"/>
              </w:rPr>
            </w:pPr>
          </w:p>
        </w:tc>
        <w:tc>
          <w:tcPr>
            <w:tcW w:w="716" w:type="pct"/>
            <w:tcBorders>
              <w:top w:val="single" w:sz="12" w:space="0" w:color="auto"/>
            </w:tcBorders>
            <w:vAlign w:val="bottom"/>
          </w:tcPr>
          <w:p w14:paraId="0E93DB9C" w14:textId="77777777" w:rsidR="00E24B12" w:rsidRPr="00E24B12" w:rsidRDefault="00E24B12" w:rsidP="00E24B12">
            <w:pPr>
              <w:tabs>
                <w:tab w:val="right" w:pos="1202"/>
              </w:tabs>
              <w:spacing w:after="0" w:line="240" w:lineRule="exact"/>
              <w:jc w:val="right"/>
              <w:outlineLvl w:val="0"/>
              <w:rPr>
                <w:rFonts w:eastAsia="Times New Roman" w:cs="Arial"/>
              </w:rPr>
            </w:pPr>
          </w:p>
        </w:tc>
        <w:tc>
          <w:tcPr>
            <w:tcW w:w="723" w:type="pct"/>
            <w:tcBorders>
              <w:top w:val="single" w:sz="12" w:space="0" w:color="auto"/>
            </w:tcBorders>
            <w:vAlign w:val="bottom"/>
          </w:tcPr>
          <w:p w14:paraId="595CB115" w14:textId="77777777" w:rsidR="00E24B12" w:rsidRPr="00E24B12" w:rsidRDefault="00E24B12" w:rsidP="00E24B12">
            <w:pPr>
              <w:tabs>
                <w:tab w:val="right" w:pos="1202"/>
              </w:tabs>
              <w:spacing w:after="0" w:line="240" w:lineRule="exact"/>
              <w:jc w:val="right"/>
              <w:outlineLvl w:val="0"/>
              <w:rPr>
                <w:rFonts w:eastAsia="Times New Roman" w:cs="Arial"/>
              </w:rPr>
            </w:pPr>
          </w:p>
        </w:tc>
      </w:tr>
      <w:tr w:rsidR="00E24B12" w:rsidRPr="00E24B12" w14:paraId="5DEC1475" w14:textId="77777777" w:rsidTr="00312975">
        <w:trPr>
          <w:cantSplit/>
          <w:trHeight w:val="372"/>
        </w:trPr>
        <w:tc>
          <w:tcPr>
            <w:tcW w:w="1364" w:type="pct"/>
            <w:vAlign w:val="bottom"/>
          </w:tcPr>
          <w:p w14:paraId="7A86A35F" w14:textId="77777777" w:rsidR="00E24B12" w:rsidRPr="00E24B12" w:rsidRDefault="00E24B12" w:rsidP="00E24B12">
            <w:pPr>
              <w:tabs>
                <w:tab w:val="right" w:pos="1202"/>
              </w:tabs>
              <w:spacing w:after="0" w:line="240" w:lineRule="exact"/>
              <w:outlineLvl w:val="0"/>
              <w:rPr>
                <w:rFonts w:eastAsia="Times New Roman" w:cs="Arial"/>
              </w:rPr>
            </w:pPr>
            <w:r w:rsidRPr="00E24B12">
              <w:rPr>
                <w:rFonts w:eastAsia="Times New Roman" w:cs="Arial"/>
              </w:rPr>
              <w:t xml:space="preserve">Neto prihodi/(rashodi) od financijskih aktivnosti </w:t>
            </w:r>
          </w:p>
        </w:tc>
        <w:tc>
          <w:tcPr>
            <w:tcW w:w="530" w:type="pct"/>
            <w:vAlign w:val="center"/>
          </w:tcPr>
          <w:p w14:paraId="1A36610F" w14:textId="77777777" w:rsidR="00E24B12" w:rsidRPr="00E24B12" w:rsidRDefault="00E24B12" w:rsidP="00E24B12">
            <w:pPr>
              <w:tabs>
                <w:tab w:val="right" w:pos="1202"/>
              </w:tabs>
              <w:spacing w:after="0" w:line="240" w:lineRule="exact"/>
              <w:jc w:val="center"/>
              <w:outlineLvl w:val="0"/>
              <w:rPr>
                <w:rFonts w:eastAsia="Times New Roman" w:cs="Arial"/>
                <w:bCs/>
                <w:spacing w:val="-2"/>
              </w:rPr>
            </w:pPr>
          </w:p>
        </w:tc>
        <w:tc>
          <w:tcPr>
            <w:tcW w:w="938" w:type="pct"/>
            <w:tcBorders>
              <w:top w:val="nil"/>
              <w:left w:val="nil"/>
              <w:bottom w:val="nil"/>
              <w:right w:val="nil"/>
            </w:tcBorders>
            <w:shd w:val="clear" w:color="auto" w:fill="auto"/>
            <w:vAlign w:val="bottom"/>
          </w:tcPr>
          <w:p w14:paraId="33364581" w14:textId="52071316" w:rsidR="00E24B12" w:rsidRPr="00E24B12" w:rsidRDefault="00200B84" w:rsidP="00E24B12">
            <w:pPr>
              <w:tabs>
                <w:tab w:val="right" w:pos="1202"/>
              </w:tabs>
              <w:spacing w:after="0" w:line="240" w:lineRule="exact"/>
              <w:jc w:val="right"/>
              <w:outlineLvl w:val="0"/>
              <w:rPr>
                <w:rFonts w:eastAsia="Times New Roman" w:cs="Arial"/>
                <w:bCs/>
                <w:spacing w:val="-2"/>
              </w:rPr>
            </w:pPr>
            <w:r w:rsidRPr="00200B84">
              <w:rPr>
                <w:rFonts w:eastAsia="Times New Roman" w:cs="Arial"/>
                <w:bCs/>
                <w:spacing w:val="-2"/>
              </w:rPr>
              <w:t>(4.483)</w:t>
            </w:r>
          </w:p>
        </w:tc>
        <w:tc>
          <w:tcPr>
            <w:tcW w:w="728" w:type="pct"/>
            <w:tcBorders>
              <w:top w:val="nil"/>
              <w:left w:val="nil"/>
              <w:bottom w:val="nil"/>
              <w:right w:val="nil"/>
            </w:tcBorders>
            <w:shd w:val="clear" w:color="auto" w:fill="auto"/>
            <w:vAlign w:val="bottom"/>
          </w:tcPr>
          <w:p w14:paraId="44154386" w14:textId="5C95C94D" w:rsidR="00E24B12" w:rsidRPr="00E24B12" w:rsidRDefault="00200B84" w:rsidP="00E24B12">
            <w:pPr>
              <w:tabs>
                <w:tab w:val="right" w:pos="1202"/>
              </w:tabs>
              <w:spacing w:after="0" w:line="240" w:lineRule="exact"/>
              <w:jc w:val="right"/>
              <w:outlineLvl w:val="0"/>
              <w:rPr>
                <w:rFonts w:eastAsia="Times New Roman" w:cs="Arial"/>
                <w:bCs/>
                <w:spacing w:val="-2"/>
              </w:rPr>
            </w:pPr>
            <w:r w:rsidRPr="00200B84">
              <w:rPr>
                <w:rFonts w:eastAsia="Times New Roman" w:cs="Arial"/>
                <w:bCs/>
                <w:spacing w:val="-2"/>
              </w:rPr>
              <w:t>(7.574)</w:t>
            </w:r>
          </w:p>
        </w:tc>
        <w:tc>
          <w:tcPr>
            <w:tcW w:w="716" w:type="pct"/>
            <w:tcBorders>
              <w:top w:val="nil"/>
              <w:left w:val="nil"/>
              <w:bottom w:val="nil"/>
              <w:right w:val="nil"/>
            </w:tcBorders>
            <w:shd w:val="clear" w:color="auto" w:fill="auto"/>
            <w:vAlign w:val="bottom"/>
          </w:tcPr>
          <w:p w14:paraId="7ECC4777" w14:textId="5972237E" w:rsidR="00E24B12" w:rsidRPr="00E24B12" w:rsidRDefault="00E24B12" w:rsidP="00E24B12">
            <w:pPr>
              <w:tabs>
                <w:tab w:val="right" w:pos="1202"/>
              </w:tabs>
              <w:spacing w:after="0" w:line="240" w:lineRule="exact"/>
              <w:jc w:val="right"/>
              <w:outlineLvl w:val="0"/>
              <w:rPr>
                <w:rFonts w:eastAsia="Times New Roman" w:cs="Arial"/>
                <w:bCs/>
                <w:spacing w:val="-2"/>
              </w:rPr>
            </w:pPr>
            <w:r w:rsidRPr="00E24B12">
              <w:rPr>
                <w:rFonts w:eastAsia="Times New Roman" w:cs="Arial"/>
                <w:bCs/>
                <w:spacing w:val="-2"/>
              </w:rPr>
              <w:t>3.226</w:t>
            </w:r>
          </w:p>
        </w:tc>
        <w:tc>
          <w:tcPr>
            <w:tcW w:w="723" w:type="pct"/>
            <w:tcBorders>
              <w:top w:val="nil"/>
              <w:left w:val="nil"/>
              <w:bottom w:val="nil"/>
              <w:right w:val="nil"/>
            </w:tcBorders>
            <w:shd w:val="clear" w:color="auto" w:fill="auto"/>
            <w:vAlign w:val="bottom"/>
          </w:tcPr>
          <w:p w14:paraId="7DDE8D9F" w14:textId="4B1D71F3" w:rsidR="00E24B12" w:rsidRPr="00E24B12" w:rsidRDefault="00E24B12" w:rsidP="00E24B12">
            <w:pPr>
              <w:tabs>
                <w:tab w:val="right" w:pos="1202"/>
              </w:tabs>
              <w:spacing w:after="0" w:line="240" w:lineRule="exact"/>
              <w:jc w:val="right"/>
              <w:outlineLvl w:val="0"/>
              <w:rPr>
                <w:rFonts w:eastAsia="Times New Roman" w:cs="Arial"/>
                <w:bCs/>
                <w:spacing w:val="-2"/>
              </w:rPr>
            </w:pPr>
            <w:r w:rsidRPr="00E24B12">
              <w:rPr>
                <w:rFonts w:eastAsia="Times New Roman" w:cs="Arial"/>
                <w:bCs/>
                <w:spacing w:val="-2"/>
              </w:rPr>
              <w:t>(10.816)</w:t>
            </w:r>
          </w:p>
        </w:tc>
      </w:tr>
      <w:tr w:rsidR="00E24B12" w:rsidRPr="00E24B12" w14:paraId="414E1369" w14:textId="77777777" w:rsidTr="00312975">
        <w:trPr>
          <w:cantSplit/>
          <w:trHeight w:val="345"/>
        </w:trPr>
        <w:tc>
          <w:tcPr>
            <w:tcW w:w="1364" w:type="pct"/>
            <w:vAlign w:val="bottom"/>
          </w:tcPr>
          <w:p w14:paraId="44D9A48B" w14:textId="77777777" w:rsidR="00E24B12" w:rsidRPr="00E24B12" w:rsidRDefault="00E24B12" w:rsidP="00E24B12">
            <w:pPr>
              <w:tabs>
                <w:tab w:val="right" w:pos="1202"/>
              </w:tabs>
              <w:spacing w:after="0" w:line="240" w:lineRule="exact"/>
              <w:outlineLvl w:val="0"/>
              <w:rPr>
                <w:rFonts w:eastAsia="Times New Roman" w:cs="Arial"/>
              </w:rPr>
            </w:pPr>
            <w:r w:rsidRPr="00E24B12">
              <w:rPr>
                <w:rFonts w:eastAsia="Times New Roman" w:cs="Arial"/>
              </w:rPr>
              <w:t>Ostali prihodi</w:t>
            </w:r>
          </w:p>
        </w:tc>
        <w:tc>
          <w:tcPr>
            <w:tcW w:w="530" w:type="pct"/>
            <w:vAlign w:val="center"/>
          </w:tcPr>
          <w:p w14:paraId="6C8A52BE" w14:textId="77777777" w:rsidR="00E24B12" w:rsidRPr="00E24B12" w:rsidRDefault="00E24B12" w:rsidP="00E24B12">
            <w:pPr>
              <w:tabs>
                <w:tab w:val="right" w:pos="1202"/>
              </w:tabs>
              <w:spacing w:after="0" w:line="240" w:lineRule="exact"/>
              <w:jc w:val="center"/>
              <w:outlineLvl w:val="0"/>
              <w:rPr>
                <w:rFonts w:eastAsia="Times New Roman" w:cs="Arial"/>
              </w:rPr>
            </w:pPr>
          </w:p>
        </w:tc>
        <w:tc>
          <w:tcPr>
            <w:tcW w:w="938" w:type="pct"/>
            <w:tcBorders>
              <w:top w:val="nil"/>
              <w:left w:val="nil"/>
              <w:bottom w:val="nil"/>
              <w:right w:val="nil"/>
            </w:tcBorders>
            <w:shd w:val="clear" w:color="auto" w:fill="auto"/>
            <w:vAlign w:val="bottom"/>
          </w:tcPr>
          <w:p w14:paraId="11953298" w14:textId="1C15A23E" w:rsidR="00E24B12" w:rsidRPr="00E24B12" w:rsidRDefault="00200B84" w:rsidP="00E24B12">
            <w:pPr>
              <w:tabs>
                <w:tab w:val="right" w:pos="1202"/>
              </w:tabs>
              <w:spacing w:after="0" w:line="240" w:lineRule="exact"/>
              <w:jc w:val="right"/>
              <w:outlineLvl w:val="0"/>
              <w:rPr>
                <w:rFonts w:eastAsia="Times New Roman" w:cs="Arial"/>
              </w:rPr>
            </w:pPr>
            <w:r w:rsidRPr="00200B84">
              <w:rPr>
                <w:rFonts w:eastAsia="Times New Roman" w:cs="Arial"/>
              </w:rPr>
              <w:t>2.926</w:t>
            </w:r>
          </w:p>
        </w:tc>
        <w:tc>
          <w:tcPr>
            <w:tcW w:w="728" w:type="pct"/>
            <w:tcBorders>
              <w:top w:val="nil"/>
              <w:left w:val="nil"/>
              <w:bottom w:val="nil"/>
              <w:right w:val="nil"/>
            </w:tcBorders>
            <w:shd w:val="clear" w:color="auto" w:fill="auto"/>
            <w:vAlign w:val="bottom"/>
          </w:tcPr>
          <w:p w14:paraId="23C2B688" w14:textId="52850CAE" w:rsidR="00E24B12" w:rsidRPr="00E24B12" w:rsidRDefault="00200B84" w:rsidP="00E24B12">
            <w:pPr>
              <w:tabs>
                <w:tab w:val="right" w:pos="1202"/>
              </w:tabs>
              <w:spacing w:after="0" w:line="240" w:lineRule="exact"/>
              <w:jc w:val="right"/>
              <w:outlineLvl w:val="0"/>
              <w:rPr>
                <w:rFonts w:eastAsia="Times New Roman" w:cs="Arial"/>
              </w:rPr>
            </w:pPr>
            <w:r w:rsidRPr="00200B84">
              <w:rPr>
                <w:rFonts w:eastAsia="Times New Roman" w:cs="Arial"/>
              </w:rPr>
              <w:t>4.970</w:t>
            </w:r>
          </w:p>
        </w:tc>
        <w:tc>
          <w:tcPr>
            <w:tcW w:w="716" w:type="pct"/>
            <w:tcBorders>
              <w:top w:val="nil"/>
              <w:left w:val="nil"/>
              <w:bottom w:val="nil"/>
              <w:right w:val="nil"/>
            </w:tcBorders>
            <w:shd w:val="clear" w:color="auto" w:fill="auto"/>
            <w:vAlign w:val="bottom"/>
          </w:tcPr>
          <w:p w14:paraId="7FE1338E" w14:textId="546B3D1C" w:rsidR="00E24B12" w:rsidRPr="00E24B12" w:rsidRDefault="00E24B12" w:rsidP="00E24B12">
            <w:pPr>
              <w:tabs>
                <w:tab w:val="right" w:pos="1202"/>
              </w:tabs>
              <w:spacing w:after="0" w:line="240" w:lineRule="exact"/>
              <w:jc w:val="right"/>
              <w:outlineLvl w:val="0"/>
              <w:rPr>
                <w:rFonts w:eastAsia="Times New Roman" w:cs="Arial"/>
              </w:rPr>
            </w:pPr>
            <w:r w:rsidRPr="00E24B12">
              <w:rPr>
                <w:rFonts w:eastAsia="Times New Roman" w:cs="Arial"/>
              </w:rPr>
              <w:t>1.514</w:t>
            </w:r>
          </w:p>
        </w:tc>
        <w:tc>
          <w:tcPr>
            <w:tcW w:w="723" w:type="pct"/>
            <w:tcBorders>
              <w:top w:val="nil"/>
              <w:left w:val="nil"/>
              <w:bottom w:val="nil"/>
              <w:right w:val="nil"/>
            </w:tcBorders>
            <w:shd w:val="clear" w:color="auto" w:fill="auto"/>
            <w:vAlign w:val="bottom"/>
          </w:tcPr>
          <w:p w14:paraId="7D83B89B" w14:textId="6F67E414" w:rsidR="00E24B12" w:rsidRPr="00E24B12" w:rsidRDefault="00E24B12" w:rsidP="00E24B12">
            <w:pPr>
              <w:tabs>
                <w:tab w:val="right" w:pos="1202"/>
              </w:tabs>
              <w:spacing w:after="0" w:line="240" w:lineRule="exact"/>
              <w:jc w:val="right"/>
              <w:outlineLvl w:val="0"/>
              <w:rPr>
                <w:rFonts w:eastAsia="Times New Roman" w:cs="Arial"/>
              </w:rPr>
            </w:pPr>
            <w:r w:rsidRPr="00E24B12">
              <w:rPr>
                <w:rFonts w:eastAsia="Times New Roman" w:cs="Arial"/>
              </w:rPr>
              <w:t>3.547</w:t>
            </w:r>
          </w:p>
        </w:tc>
      </w:tr>
      <w:tr w:rsidR="00E24B12" w:rsidRPr="00E24B12" w14:paraId="16A0A920" w14:textId="77777777" w:rsidTr="00312975">
        <w:trPr>
          <w:cantSplit/>
          <w:trHeight w:hRule="exact" w:val="346"/>
        </w:trPr>
        <w:tc>
          <w:tcPr>
            <w:tcW w:w="1364" w:type="pct"/>
            <w:vAlign w:val="bottom"/>
          </w:tcPr>
          <w:p w14:paraId="6B4B7BC8" w14:textId="77777777" w:rsidR="00E24B12" w:rsidRPr="00E24B12" w:rsidRDefault="00E24B12" w:rsidP="00E24B12">
            <w:pPr>
              <w:tabs>
                <w:tab w:val="right" w:pos="1202"/>
              </w:tabs>
              <w:spacing w:after="0" w:line="240" w:lineRule="exact"/>
              <w:outlineLvl w:val="0"/>
              <w:rPr>
                <w:rFonts w:eastAsia="Times New Roman" w:cs="Arial"/>
                <w:b/>
                <w:bCs/>
              </w:rPr>
            </w:pPr>
          </w:p>
        </w:tc>
        <w:tc>
          <w:tcPr>
            <w:tcW w:w="530" w:type="pct"/>
            <w:vAlign w:val="center"/>
          </w:tcPr>
          <w:p w14:paraId="49D8A34A" w14:textId="77777777" w:rsidR="00E24B12" w:rsidRPr="00E24B12" w:rsidRDefault="00E24B12" w:rsidP="00E24B12">
            <w:pPr>
              <w:tabs>
                <w:tab w:val="right" w:pos="1202"/>
              </w:tabs>
              <w:spacing w:after="0" w:line="240" w:lineRule="exact"/>
              <w:jc w:val="center"/>
              <w:outlineLvl w:val="0"/>
              <w:rPr>
                <w:rFonts w:eastAsia="Times New Roman" w:cs="Arial"/>
                <w:b/>
                <w:bCs/>
              </w:rPr>
            </w:pPr>
          </w:p>
        </w:tc>
        <w:tc>
          <w:tcPr>
            <w:tcW w:w="938" w:type="pct"/>
            <w:tcBorders>
              <w:top w:val="single" w:sz="4" w:space="0" w:color="auto"/>
              <w:left w:val="nil"/>
              <w:bottom w:val="single" w:sz="8" w:space="0" w:color="auto"/>
              <w:right w:val="nil"/>
            </w:tcBorders>
            <w:shd w:val="clear" w:color="auto" w:fill="auto"/>
            <w:vAlign w:val="bottom"/>
          </w:tcPr>
          <w:p w14:paraId="16FD1CA3" w14:textId="0B06F418" w:rsidR="00E24B12" w:rsidRPr="00E24B12" w:rsidRDefault="00200B84" w:rsidP="00E24B12">
            <w:pPr>
              <w:tabs>
                <w:tab w:val="right" w:pos="1202"/>
              </w:tabs>
              <w:spacing w:after="0" w:line="240" w:lineRule="auto"/>
              <w:jc w:val="right"/>
              <w:outlineLvl w:val="0"/>
              <w:rPr>
                <w:rFonts w:eastAsia="Times New Roman" w:cs="Arial"/>
                <w:b/>
                <w:bCs/>
                <w:lang w:val="en-GB"/>
              </w:rPr>
            </w:pPr>
            <w:r w:rsidRPr="00200B84">
              <w:rPr>
                <w:rFonts w:eastAsia="Times New Roman" w:cs="Arial"/>
                <w:b/>
                <w:bCs/>
                <w:lang w:val="en-GB"/>
              </w:rPr>
              <w:t>111.328</w:t>
            </w:r>
          </w:p>
        </w:tc>
        <w:tc>
          <w:tcPr>
            <w:tcW w:w="728" w:type="pct"/>
            <w:tcBorders>
              <w:top w:val="single" w:sz="4" w:space="0" w:color="auto"/>
              <w:left w:val="nil"/>
              <w:bottom w:val="single" w:sz="8" w:space="0" w:color="auto"/>
              <w:right w:val="nil"/>
            </w:tcBorders>
            <w:shd w:val="clear" w:color="auto" w:fill="auto"/>
            <w:vAlign w:val="bottom"/>
          </w:tcPr>
          <w:p w14:paraId="07404906" w14:textId="331072F3" w:rsidR="00E24B12" w:rsidRPr="00E24B12" w:rsidRDefault="00997056" w:rsidP="00E24B12">
            <w:pPr>
              <w:tabs>
                <w:tab w:val="right" w:pos="1202"/>
              </w:tabs>
              <w:spacing w:after="0" w:line="240" w:lineRule="auto"/>
              <w:jc w:val="right"/>
              <w:outlineLvl w:val="0"/>
              <w:rPr>
                <w:rFonts w:eastAsia="Times New Roman" w:cs="Arial"/>
                <w:b/>
                <w:bCs/>
                <w:lang w:val="en-GB"/>
              </w:rPr>
            </w:pPr>
            <w:r>
              <w:rPr>
                <w:rFonts w:eastAsia="Times New Roman" w:cs="Arial"/>
                <w:b/>
                <w:bCs/>
                <w:lang w:val="en-GB"/>
              </w:rPr>
              <w:t>246.638</w:t>
            </w:r>
          </w:p>
        </w:tc>
        <w:tc>
          <w:tcPr>
            <w:tcW w:w="716" w:type="pct"/>
            <w:tcBorders>
              <w:top w:val="single" w:sz="4" w:space="0" w:color="auto"/>
              <w:left w:val="nil"/>
              <w:bottom w:val="single" w:sz="8" w:space="0" w:color="auto"/>
              <w:right w:val="nil"/>
            </w:tcBorders>
            <w:shd w:val="clear" w:color="auto" w:fill="auto"/>
            <w:vAlign w:val="bottom"/>
          </w:tcPr>
          <w:p w14:paraId="483E1A4F" w14:textId="1555AF73" w:rsidR="00E24B12" w:rsidRPr="00E24B12" w:rsidRDefault="00E24B12" w:rsidP="00E24B12">
            <w:pPr>
              <w:tabs>
                <w:tab w:val="right" w:pos="1202"/>
              </w:tabs>
              <w:spacing w:after="0" w:line="240" w:lineRule="auto"/>
              <w:jc w:val="right"/>
              <w:outlineLvl w:val="0"/>
              <w:rPr>
                <w:rFonts w:ascii="Arial" w:eastAsia="Times New Roman" w:hAnsi="Arial" w:cs="Arial"/>
                <w:b/>
                <w:bCs/>
                <w:sz w:val="19"/>
                <w:szCs w:val="20"/>
                <w:lang w:val="en-GB"/>
              </w:rPr>
            </w:pPr>
            <w:r w:rsidRPr="00E24B12">
              <w:rPr>
                <w:rFonts w:eastAsia="Times New Roman" w:cs="Arial"/>
                <w:b/>
                <w:bCs/>
                <w:lang w:val="en-GB"/>
              </w:rPr>
              <w:t>108.380</w:t>
            </w:r>
          </w:p>
        </w:tc>
        <w:tc>
          <w:tcPr>
            <w:tcW w:w="723" w:type="pct"/>
            <w:tcBorders>
              <w:top w:val="single" w:sz="4" w:space="0" w:color="auto"/>
              <w:left w:val="nil"/>
              <w:bottom w:val="single" w:sz="8" w:space="0" w:color="auto"/>
              <w:right w:val="nil"/>
            </w:tcBorders>
            <w:shd w:val="clear" w:color="auto" w:fill="auto"/>
            <w:vAlign w:val="bottom"/>
          </w:tcPr>
          <w:p w14:paraId="11842C35" w14:textId="78CA5637" w:rsidR="00E24B12" w:rsidRPr="00E24B12" w:rsidRDefault="00E24B12" w:rsidP="00E24B12">
            <w:pPr>
              <w:tabs>
                <w:tab w:val="right" w:pos="1202"/>
              </w:tabs>
              <w:spacing w:after="0" w:line="240" w:lineRule="auto"/>
              <w:jc w:val="right"/>
              <w:outlineLvl w:val="0"/>
              <w:rPr>
                <w:rFonts w:ascii="Arial" w:eastAsia="Times New Roman" w:hAnsi="Arial" w:cs="Arial"/>
                <w:b/>
                <w:bCs/>
                <w:sz w:val="19"/>
                <w:szCs w:val="20"/>
                <w:lang w:val="en-GB"/>
              </w:rPr>
            </w:pPr>
            <w:r w:rsidRPr="00E24B12">
              <w:rPr>
                <w:rFonts w:eastAsia="Times New Roman" w:cs="Arial"/>
                <w:b/>
                <w:bCs/>
                <w:lang w:val="en-GB"/>
              </w:rPr>
              <w:t>205.285</w:t>
            </w:r>
          </w:p>
        </w:tc>
      </w:tr>
      <w:tr w:rsidR="00E24B12" w:rsidRPr="00E24B12" w14:paraId="2C83B591" w14:textId="77777777" w:rsidTr="00312975">
        <w:trPr>
          <w:cantSplit/>
          <w:trHeight w:val="81"/>
        </w:trPr>
        <w:tc>
          <w:tcPr>
            <w:tcW w:w="1364" w:type="pct"/>
            <w:vAlign w:val="bottom"/>
          </w:tcPr>
          <w:p w14:paraId="2C84E91F" w14:textId="77777777" w:rsidR="00E24B12" w:rsidRPr="00E24B12" w:rsidRDefault="00E24B12" w:rsidP="00E24B12">
            <w:pPr>
              <w:tabs>
                <w:tab w:val="right" w:pos="1202"/>
              </w:tabs>
              <w:spacing w:after="0" w:line="240" w:lineRule="exact"/>
              <w:outlineLvl w:val="0"/>
              <w:rPr>
                <w:rFonts w:eastAsia="Times New Roman" w:cs="Arial"/>
                <w:bCs/>
                <w:spacing w:val="-2"/>
              </w:rPr>
            </w:pPr>
          </w:p>
        </w:tc>
        <w:tc>
          <w:tcPr>
            <w:tcW w:w="530" w:type="pct"/>
            <w:vAlign w:val="center"/>
          </w:tcPr>
          <w:p w14:paraId="01F02275" w14:textId="77777777" w:rsidR="00E24B12" w:rsidRPr="00E24B12" w:rsidRDefault="00E24B12" w:rsidP="00E24B12">
            <w:pPr>
              <w:spacing w:after="0" w:line="240" w:lineRule="exact"/>
              <w:jc w:val="center"/>
              <w:outlineLvl w:val="0"/>
              <w:rPr>
                <w:rFonts w:eastAsia="Times New Roman" w:cs="Arial"/>
                <w:bCs/>
                <w:spacing w:val="-2"/>
              </w:rPr>
            </w:pPr>
          </w:p>
        </w:tc>
        <w:tc>
          <w:tcPr>
            <w:tcW w:w="938" w:type="pct"/>
            <w:tcBorders>
              <w:top w:val="single" w:sz="12" w:space="0" w:color="auto"/>
            </w:tcBorders>
            <w:vAlign w:val="bottom"/>
          </w:tcPr>
          <w:p w14:paraId="74668DF6" w14:textId="77777777" w:rsidR="00E24B12" w:rsidRPr="00E24B12" w:rsidRDefault="00E24B12" w:rsidP="00E24B12">
            <w:pPr>
              <w:spacing w:after="0" w:line="240" w:lineRule="exact"/>
              <w:jc w:val="right"/>
              <w:outlineLvl w:val="0"/>
              <w:rPr>
                <w:rFonts w:eastAsia="Times New Roman" w:cs="Arial"/>
                <w:bCs/>
                <w:spacing w:val="-2"/>
              </w:rPr>
            </w:pPr>
          </w:p>
        </w:tc>
        <w:tc>
          <w:tcPr>
            <w:tcW w:w="728" w:type="pct"/>
            <w:tcBorders>
              <w:top w:val="single" w:sz="12" w:space="0" w:color="auto"/>
            </w:tcBorders>
            <w:vAlign w:val="bottom"/>
          </w:tcPr>
          <w:p w14:paraId="1D60FDB3" w14:textId="77777777" w:rsidR="00E24B12" w:rsidRPr="00E24B12" w:rsidRDefault="00E24B12" w:rsidP="00E24B12">
            <w:pPr>
              <w:spacing w:after="0" w:line="240" w:lineRule="exact"/>
              <w:jc w:val="right"/>
              <w:outlineLvl w:val="0"/>
              <w:rPr>
                <w:rFonts w:cs="Calibri"/>
                <w:bCs/>
                <w:spacing w:val="-2"/>
              </w:rPr>
            </w:pPr>
          </w:p>
        </w:tc>
        <w:tc>
          <w:tcPr>
            <w:tcW w:w="716" w:type="pct"/>
            <w:tcBorders>
              <w:top w:val="single" w:sz="12" w:space="0" w:color="auto"/>
            </w:tcBorders>
            <w:vAlign w:val="bottom"/>
          </w:tcPr>
          <w:p w14:paraId="2CF172A7" w14:textId="77777777" w:rsidR="00E24B12" w:rsidRPr="00E24B12" w:rsidRDefault="00E24B12" w:rsidP="00E24B12">
            <w:pPr>
              <w:spacing w:after="0" w:line="240" w:lineRule="exact"/>
              <w:jc w:val="right"/>
              <w:outlineLvl w:val="0"/>
              <w:rPr>
                <w:rFonts w:eastAsia="Times New Roman" w:cs="Arial"/>
                <w:bCs/>
                <w:spacing w:val="-2"/>
              </w:rPr>
            </w:pPr>
          </w:p>
        </w:tc>
        <w:tc>
          <w:tcPr>
            <w:tcW w:w="723" w:type="pct"/>
            <w:tcBorders>
              <w:top w:val="single" w:sz="12" w:space="0" w:color="auto"/>
            </w:tcBorders>
            <w:vAlign w:val="bottom"/>
          </w:tcPr>
          <w:p w14:paraId="45C8341A" w14:textId="77777777" w:rsidR="00E24B12" w:rsidRPr="00E24B12" w:rsidRDefault="00E24B12" w:rsidP="00E24B12">
            <w:pPr>
              <w:spacing w:after="0" w:line="240" w:lineRule="exact"/>
              <w:jc w:val="right"/>
              <w:outlineLvl w:val="0"/>
              <w:rPr>
                <w:rFonts w:ascii="Calibri" w:hAnsi="Calibri" w:cs="Calibri"/>
                <w:bCs/>
                <w:spacing w:val="-2"/>
              </w:rPr>
            </w:pPr>
          </w:p>
        </w:tc>
      </w:tr>
      <w:tr w:rsidR="00E24B12" w:rsidRPr="00E24B12" w14:paraId="0090EAA3" w14:textId="77777777" w:rsidTr="00312975">
        <w:trPr>
          <w:cantSplit/>
          <w:trHeight w:val="337"/>
        </w:trPr>
        <w:tc>
          <w:tcPr>
            <w:tcW w:w="1364" w:type="pct"/>
            <w:vAlign w:val="bottom"/>
          </w:tcPr>
          <w:p w14:paraId="53D959A3" w14:textId="77777777" w:rsidR="00E24B12" w:rsidRPr="00E24B12" w:rsidRDefault="00E24B12" w:rsidP="00E24B12">
            <w:pPr>
              <w:tabs>
                <w:tab w:val="right" w:pos="1202"/>
              </w:tabs>
              <w:spacing w:after="0" w:line="240" w:lineRule="exact"/>
              <w:outlineLvl w:val="0"/>
              <w:rPr>
                <w:rFonts w:eastAsia="Times New Roman" w:cs="Arial"/>
                <w:bCs/>
                <w:spacing w:val="-2"/>
              </w:rPr>
            </w:pPr>
            <w:r w:rsidRPr="00E24B12">
              <w:rPr>
                <w:rFonts w:eastAsia="Times New Roman" w:cs="Arial"/>
                <w:bCs/>
                <w:spacing w:val="-2"/>
              </w:rPr>
              <w:t>Operativni troškovi</w:t>
            </w:r>
          </w:p>
        </w:tc>
        <w:tc>
          <w:tcPr>
            <w:tcW w:w="530" w:type="pct"/>
            <w:vAlign w:val="bottom"/>
          </w:tcPr>
          <w:p w14:paraId="54509383" w14:textId="77777777" w:rsidR="00E24B12" w:rsidRPr="00E24B12" w:rsidRDefault="00E24B12" w:rsidP="00E24B12">
            <w:pPr>
              <w:spacing w:after="0" w:line="240" w:lineRule="exact"/>
              <w:jc w:val="center"/>
              <w:outlineLvl w:val="0"/>
              <w:rPr>
                <w:rFonts w:eastAsia="Times New Roman" w:cs="Arial"/>
                <w:bCs/>
                <w:spacing w:val="-2"/>
              </w:rPr>
            </w:pPr>
            <w:r w:rsidRPr="00E24B12">
              <w:rPr>
                <w:rFonts w:eastAsia="Times New Roman" w:cs="Arial"/>
                <w:bCs/>
                <w:spacing w:val="-2"/>
              </w:rPr>
              <w:t>6</w:t>
            </w:r>
          </w:p>
        </w:tc>
        <w:tc>
          <w:tcPr>
            <w:tcW w:w="938" w:type="pct"/>
            <w:tcBorders>
              <w:top w:val="nil"/>
              <w:left w:val="nil"/>
              <w:bottom w:val="nil"/>
              <w:right w:val="nil"/>
            </w:tcBorders>
            <w:shd w:val="clear" w:color="auto" w:fill="auto"/>
            <w:vAlign w:val="bottom"/>
          </w:tcPr>
          <w:p w14:paraId="3237E581" w14:textId="2A8CE7F9" w:rsidR="00E24B12" w:rsidRPr="00E24B12" w:rsidRDefault="00200B84" w:rsidP="00E24B12">
            <w:pPr>
              <w:spacing w:after="0" w:line="240" w:lineRule="exact"/>
              <w:jc w:val="right"/>
              <w:outlineLvl w:val="0"/>
              <w:rPr>
                <w:rFonts w:eastAsia="Times New Roman" w:cs="Arial"/>
                <w:bCs/>
                <w:spacing w:val="-2"/>
              </w:rPr>
            </w:pPr>
            <w:r w:rsidRPr="00200B84">
              <w:rPr>
                <w:rFonts w:eastAsia="Times New Roman" w:cs="Arial"/>
                <w:bCs/>
                <w:spacing w:val="-2"/>
              </w:rPr>
              <w:t>(38.642)</w:t>
            </w:r>
          </w:p>
        </w:tc>
        <w:tc>
          <w:tcPr>
            <w:tcW w:w="728" w:type="pct"/>
            <w:tcBorders>
              <w:top w:val="nil"/>
              <w:left w:val="nil"/>
              <w:bottom w:val="nil"/>
              <w:right w:val="nil"/>
            </w:tcBorders>
            <w:shd w:val="clear" w:color="auto" w:fill="auto"/>
            <w:vAlign w:val="bottom"/>
          </w:tcPr>
          <w:p w14:paraId="256C4255" w14:textId="583D4198" w:rsidR="00E24B12" w:rsidRPr="00E24B12" w:rsidRDefault="00200B84" w:rsidP="00E24B12">
            <w:pPr>
              <w:spacing w:after="0" w:line="240" w:lineRule="exact"/>
              <w:jc w:val="right"/>
              <w:outlineLvl w:val="0"/>
              <w:rPr>
                <w:rFonts w:cs="Calibri"/>
                <w:bCs/>
                <w:spacing w:val="-2"/>
              </w:rPr>
            </w:pPr>
            <w:r w:rsidRPr="00200B84">
              <w:rPr>
                <w:rFonts w:cs="Calibri"/>
                <w:bCs/>
                <w:spacing w:val="-2"/>
              </w:rPr>
              <w:t>(74.132)</w:t>
            </w:r>
          </w:p>
        </w:tc>
        <w:tc>
          <w:tcPr>
            <w:tcW w:w="716" w:type="pct"/>
            <w:tcBorders>
              <w:top w:val="nil"/>
              <w:left w:val="nil"/>
              <w:bottom w:val="nil"/>
              <w:right w:val="nil"/>
            </w:tcBorders>
            <w:shd w:val="clear" w:color="auto" w:fill="auto"/>
            <w:vAlign w:val="bottom"/>
          </w:tcPr>
          <w:p w14:paraId="453980C2" w14:textId="79CE3AAA" w:rsidR="00E24B12" w:rsidRPr="00E24B12" w:rsidRDefault="00E24B12" w:rsidP="00E24B12">
            <w:pPr>
              <w:spacing w:after="0" w:line="240" w:lineRule="exact"/>
              <w:jc w:val="right"/>
              <w:outlineLvl w:val="0"/>
              <w:rPr>
                <w:rFonts w:eastAsia="Times New Roman" w:cs="Arial"/>
                <w:bCs/>
                <w:spacing w:val="-2"/>
              </w:rPr>
            </w:pPr>
            <w:r w:rsidRPr="00E24B12">
              <w:rPr>
                <w:rFonts w:eastAsia="Times New Roman" w:cs="Arial"/>
                <w:bCs/>
                <w:spacing w:val="-2"/>
              </w:rPr>
              <w:t>(37.507)</w:t>
            </w:r>
          </w:p>
        </w:tc>
        <w:tc>
          <w:tcPr>
            <w:tcW w:w="723" w:type="pct"/>
            <w:tcBorders>
              <w:top w:val="nil"/>
              <w:left w:val="nil"/>
              <w:bottom w:val="nil"/>
              <w:right w:val="nil"/>
            </w:tcBorders>
            <w:shd w:val="clear" w:color="auto" w:fill="auto"/>
            <w:vAlign w:val="bottom"/>
          </w:tcPr>
          <w:p w14:paraId="4A0D7010" w14:textId="57D68E6D" w:rsidR="00E24B12" w:rsidRPr="00E24B12" w:rsidRDefault="00E24B12" w:rsidP="00E24B12">
            <w:pPr>
              <w:spacing w:after="0" w:line="240" w:lineRule="exact"/>
              <w:jc w:val="right"/>
              <w:outlineLvl w:val="0"/>
              <w:rPr>
                <w:rFonts w:ascii="Calibri" w:hAnsi="Calibri" w:cs="Calibri"/>
                <w:bCs/>
                <w:spacing w:val="-2"/>
              </w:rPr>
            </w:pPr>
            <w:r w:rsidRPr="00E24B12">
              <w:rPr>
                <w:rFonts w:cs="Calibri"/>
                <w:bCs/>
                <w:spacing w:val="-2"/>
              </w:rPr>
              <w:t>(77.050)</w:t>
            </w:r>
          </w:p>
        </w:tc>
      </w:tr>
      <w:tr w:rsidR="00E24B12" w:rsidRPr="00E24B12" w14:paraId="09E7751F" w14:textId="77777777" w:rsidTr="00312975">
        <w:trPr>
          <w:cantSplit/>
          <w:trHeight w:val="369"/>
        </w:trPr>
        <w:tc>
          <w:tcPr>
            <w:tcW w:w="1364" w:type="pct"/>
            <w:vAlign w:val="bottom"/>
          </w:tcPr>
          <w:p w14:paraId="52861401" w14:textId="77777777" w:rsidR="00E24B12" w:rsidRPr="00E24B12" w:rsidRDefault="00E24B12" w:rsidP="00E24B12">
            <w:pPr>
              <w:tabs>
                <w:tab w:val="right" w:pos="1202"/>
              </w:tabs>
              <w:spacing w:after="0" w:line="240" w:lineRule="exact"/>
              <w:outlineLvl w:val="0"/>
              <w:rPr>
                <w:rFonts w:eastAsia="Times New Roman" w:cs="Arial"/>
                <w:bCs/>
                <w:spacing w:val="-2"/>
              </w:rPr>
            </w:pPr>
            <w:r w:rsidRPr="00E24B12">
              <w:rPr>
                <w:rFonts w:eastAsia="Times New Roman" w:cs="Arial"/>
                <w:bCs/>
                <w:spacing w:val="-2"/>
              </w:rPr>
              <w:t>Gubitak od umanjenja vrijednosti i rezerviranja</w:t>
            </w:r>
          </w:p>
        </w:tc>
        <w:tc>
          <w:tcPr>
            <w:tcW w:w="530" w:type="pct"/>
            <w:vAlign w:val="bottom"/>
          </w:tcPr>
          <w:p w14:paraId="7CBA4B51" w14:textId="77777777" w:rsidR="00E24B12" w:rsidRPr="00E24B12" w:rsidRDefault="00E24B12" w:rsidP="00E24B12">
            <w:pPr>
              <w:spacing w:after="0" w:line="240" w:lineRule="exact"/>
              <w:jc w:val="center"/>
              <w:outlineLvl w:val="0"/>
              <w:rPr>
                <w:rFonts w:eastAsia="Times New Roman" w:cs="Arial"/>
                <w:bCs/>
                <w:spacing w:val="-2"/>
              </w:rPr>
            </w:pPr>
            <w:r w:rsidRPr="00E24B12">
              <w:rPr>
                <w:rFonts w:eastAsia="Times New Roman" w:cs="Arial"/>
                <w:bCs/>
                <w:spacing w:val="-2"/>
              </w:rPr>
              <w:t>7</w:t>
            </w:r>
          </w:p>
        </w:tc>
        <w:tc>
          <w:tcPr>
            <w:tcW w:w="938" w:type="pct"/>
            <w:tcBorders>
              <w:top w:val="nil"/>
              <w:left w:val="nil"/>
              <w:bottom w:val="nil"/>
              <w:right w:val="nil"/>
            </w:tcBorders>
            <w:shd w:val="clear" w:color="auto" w:fill="auto"/>
            <w:vAlign w:val="bottom"/>
          </w:tcPr>
          <w:p w14:paraId="11E86FBE" w14:textId="6800563D" w:rsidR="00E24B12" w:rsidRPr="00E24B12" w:rsidRDefault="00200B84" w:rsidP="00E24B12">
            <w:pPr>
              <w:spacing w:after="0" w:line="240" w:lineRule="exact"/>
              <w:jc w:val="right"/>
              <w:outlineLvl w:val="0"/>
              <w:rPr>
                <w:rFonts w:eastAsia="Times New Roman" w:cs="Arial"/>
                <w:bCs/>
                <w:spacing w:val="-2"/>
              </w:rPr>
            </w:pPr>
            <w:r w:rsidRPr="00200B84">
              <w:rPr>
                <w:rFonts w:eastAsia="Times New Roman" w:cs="Arial"/>
                <w:bCs/>
                <w:spacing w:val="-2"/>
              </w:rPr>
              <w:t>16.419</w:t>
            </w:r>
          </w:p>
        </w:tc>
        <w:tc>
          <w:tcPr>
            <w:tcW w:w="728" w:type="pct"/>
            <w:tcBorders>
              <w:top w:val="nil"/>
              <w:left w:val="nil"/>
              <w:bottom w:val="nil"/>
              <w:right w:val="nil"/>
            </w:tcBorders>
            <w:shd w:val="clear" w:color="auto" w:fill="auto"/>
            <w:vAlign w:val="bottom"/>
          </w:tcPr>
          <w:p w14:paraId="1D1395AE" w14:textId="34BE2450" w:rsidR="00E24B12" w:rsidRPr="00E24B12" w:rsidRDefault="00200B84" w:rsidP="00E24B12">
            <w:pPr>
              <w:spacing w:after="0" w:line="240" w:lineRule="exact"/>
              <w:jc w:val="right"/>
              <w:outlineLvl w:val="0"/>
              <w:rPr>
                <w:rFonts w:cs="Calibri"/>
                <w:bCs/>
                <w:spacing w:val="-2"/>
              </w:rPr>
            </w:pPr>
            <w:r w:rsidRPr="00200B84">
              <w:rPr>
                <w:rFonts w:cs="Calibri"/>
                <w:bCs/>
                <w:spacing w:val="-2"/>
              </w:rPr>
              <w:t>(43.150)</w:t>
            </w:r>
          </w:p>
        </w:tc>
        <w:tc>
          <w:tcPr>
            <w:tcW w:w="716" w:type="pct"/>
            <w:tcBorders>
              <w:top w:val="nil"/>
              <w:left w:val="nil"/>
              <w:bottom w:val="nil"/>
              <w:right w:val="nil"/>
            </w:tcBorders>
            <w:shd w:val="clear" w:color="auto" w:fill="auto"/>
            <w:vAlign w:val="bottom"/>
          </w:tcPr>
          <w:p w14:paraId="1361FCE5" w14:textId="1BC916AB" w:rsidR="00E24B12" w:rsidRPr="00E24B12" w:rsidRDefault="00E24B12" w:rsidP="00E24B12">
            <w:pPr>
              <w:spacing w:after="0" w:line="240" w:lineRule="exact"/>
              <w:jc w:val="right"/>
              <w:outlineLvl w:val="0"/>
              <w:rPr>
                <w:rFonts w:eastAsia="Times New Roman" w:cs="Arial"/>
                <w:bCs/>
                <w:spacing w:val="-2"/>
              </w:rPr>
            </w:pPr>
            <w:r w:rsidRPr="00E24B12">
              <w:rPr>
                <w:rFonts w:eastAsia="Times New Roman" w:cs="Arial"/>
                <w:bCs/>
                <w:spacing w:val="-2"/>
              </w:rPr>
              <w:t>(16.550)</w:t>
            </w:r>
          </w:p>
        </w:tc>
        <w:tc>
          <w:tcPr>
            <w:tcW w:w="723" w:type="pct"/>
            <w:tcBorders>
              <w:top w:val="nil"/>
              <w:left w:val="nil"/>
              <w:bottom w:val="nil"/>
              <w:right w:val="nil"/>
            </w:tcBorders>
            <w:shd w:val="clear" w:color="auto" w:fill="auto"/>
            <w:vAlign w:val="bottom"/>
          </w:tcPr>
          <w:p w14:paraId="312F9803" w14:textId="5D1CB73B" w:rsidR="00E24B12" w:rsidRPr="00E24B12" w:rsidRDefault="00E24B12" w:rsidP="00E24B12">
            <w:pPr>
              <w:spacing w:after="0" w:line="240" w:lineRule="exact"/>
              <w:jc w:val="right"/>
              <w:outlineLvl w:val="0"/>
              <w:rPr>
                <w:rFonts w:ascii="Calibri" w:hAnsi="Calibri" w:cs="Calibri"/>
                <w:bCs/>
                <w:spacing w:val="-2"/>
              </w:rPr>
            </w:pPr>
            <w:r w:rsidRPr="00E24B12">
              <w:rPr>
                <w:rFonts w:cs="Calibri"/>
                <w:bCs/>
                <w:spacing w:val="-2"/>
              </w:rPr>
              <w:t>(21.000)</w:t>
            </w:r>
          </w:p>
        </w:tc>
      </w:tr>
      <w:tr w:rsidR="00E24B12" w:rsidRPr="00E24B12" w14:paraId="5654505B" w14:textId="77777777" w:rsidTr="00312975">
        <w:trPr>
          <w:cantSplit/>
          <w:trHeight w:val="166"/>
        </w:trPr>
        <w:tc>
          <w:tcPr>
            <w:tcW w:w="1364" w:type="pct"/>
            <w:vAlign w:val="bottom"/>
          </w:tcPr>
          <w:p w14:paraId="0F84EB6C" w14:textId="77777777" w:rsidR="00E24B12" w:rsidRPr="00E24B12" w:rsidRDefault="00E24B12" w:rsidP="00E24B12">
            <w:pPr>
              <w:tabs>
                <w:tab w:val="right" w:pos="1202"/>
              </w:tabs>
              <w:spacing w:after="0" w:line="240" w:lineRule="exact"/>
              <w:outlineLvl w:val="0"/>
              <w:rPr>
                <w:rFonts w:eastAsia="Times New Roman" w:cs="Arial"/>
                <w:bCs/>
                <w:spacing w:val="-2"/>
              </w:rPr>
            </w:pPr>
          </w:p>
        </w:tc>
        <w:tc>
          <w:tcPr>
            <w:tcW w:w="530" w:type="pct"/>
            <w:vAlign w:val="center"/>
          </w:tcPr>
          <w:p w14:paraId="79485ACF" w14:textId="77777777" w:rsidR="00E24B12" w:rsidRPr="00E24B12" w:rsidRDefault="00E24B12" w:rsidP="00E24B12">
            <w:pPr>
              <w:spacing w:after="0" w:line="240" w:lineRule="exact"/>
              <w:jc w:val="center"/>
              <w:outlineLvl w:val="0"/>
              <w:rPr>
                <w:rFonts w:eastAsia="Times New Roman" w:cs="Arial"/>
                <w:bCs/>
                <w:spacing w:val="-2"/>
              </w:rPr>
            </w:pPr>
          </w:p>
        </w:tc>
        <w:tc>
          <w:tcPr>
            <w:tcW w:w="938" w:type="pct"/>
            <w:tcBorders>
              <w:bottom w:val="single" w:sz="4" w:space="0" w:color="auto"/>
            </w:tcBorders>
            <w:vAlign w:val="bottom"/>
          </w:tcPr>
          <w:p w14:paraId="67D0A976" w14:textId="77777777" w:rsidR="00E24B12" w:rsidRPr="00E24B12" w:rsidRDefault="00E24B12" w:rsidP="00E24B12">
            <w:pPr>
              <w:spacing w:after="0" w:line="240" w:lineRule="exact"/>
              <w:jc w:val="right"/>
              <w:outlineLvl w:val="0"/>
              <w:rPr>
                <w:rFonts w:eastAsia="Times New Roman" w:cs="Arial"/>
                <w:bCs/>
                <w:spacing w:val="-2"/>
              </w:rPr>
            </w:pPr>
          </w:p>
        </w:tc>
        <w:tc>
          <w:tcPr>
            <w:tcW w:w="728" w:type="pct"/>
            <w:tcBorders>
              <w:bottom w:val="single" w:sz="4" w:space="0" w:color="auto"/>
            </w:tcBorders>
            <w:vAlign w:val="bottom"/>
          </w:tcPr>
          <w:p w14:paraId="4B021438" w14:textId="77777777" w:rsidR="00E24B12" w:rsidRPr="00E24B12" w:rsidRDefault="00E24B12" w:rsidP="00E24B12">
            <w:pPr>
              <w:spacing w:after="0" w:line="240" w:lineRule="exact"/>
              <w:jc w:val="right"/>
              <w:outlineLvl w:val="0"/>
              <w:rPr>
                <w:rFonts w:cs="Calibri"/>
                <w:bCs/>
                <w:spacing w:val="-2"/>
              </w:rPr>
            </w:pPr>
          </w:p>
        </w:tc>
        <w:tc>
          <w:tcPr>
            <w:tcW w:w="716" w:type="pct"/>
            <w:tcBorders>
              <w:bottom w:val="single" w:sz="4" w:space="0" w:color="auto"/>
            </w:tcBorders>
            <w:vAlign w:val="bottom"/>
          </w:tcPr>
          <w:p w14:paraId="29CE87F4" w14:textId="77777777" w:rsidR="00E24B12" w:rsidRPr="00E24B12" w:rsidRDefault="00E24B12" w:rsidP="00E24B12">
            <w:pPr>
              <w:spacing w:after="0" w:line="240" w:lineRule="exact"/>
              <w:jc w:val="right"/>
              <w:outlineLvl w:val="0"/>
              <w:rPr>
                <w:rFonts w:eastAsia="Times New Roman" w:cs="Arial"/>
                <w:bCs/>
                <w:spacing w:val="-2"/>
              </w:rPr>
            </w:pPr>
          </w:p>
        </w:tc>
        <w:tc>
          <w:tcPr>
            <w:tcW w:w="723" w:type="pct"/>
            <w:tcBorders>
              <w:bottom w:val="single" w:sz="4" w:space="0" w:color="auto"/>
            </w:tcBorders>
            <w:vAlign w:val="bottom"/>
          </w:tcPr>
          <w:p w14:paraId="73426CC9" w14:textId="77777777" w:rsidR="00E24B12" w:rsidRPr="00E24B12" w:rsidRDefault="00E24B12" w:rsidP="00E24B12">
            <w:pPr>
              <w:spacing w:after="0" w:line="240" w:lineRule="exact"/>
              <w:jc w:val="right"/>
              <w:outlineLvl w:val="0"/>
              <w:rPr>
                <w:rFonts w:ascii="Calibri" w:hAnsi="Calibri" w:cs="Calibri"/>
                <w:bCs/>
                <w:spacing w:val="-2"/>
              </w:rPr>
            </w:pPr>
          </w:p>
        </w:tc>
      </w:tr>
      <w:tr w:rsidR="00E24B12" w:rsidRPr="00E24B12" w14:paraId="340C7D48" w14:textId="77777777" w:rsidTr="00312975">
        <w:trPr>
          <w:cantSplit/>
          <w:trHeight w:hRule="exact" w:val="346"/>
        </w:trPr>
        <w:tc>
          <w:tcPr>
            <w:tcW w:w="1364" w:type="pct"/>
            <w:vAlign w:val="bottom"/>
          </w:tcPr>
          <w:p w14:paraId="7B9B9E47" w14:textId="77777777" w:rsidR="00E24B12" w:rsidRPr="00E24B12" w:rsidRDefault="00E24B12" w:rsidP="00E24B12">
            <w:pPr>
              <w:tabs>
                <w:tab w:val="right" w:pos="1202"/>
              </w:tabs>
              <w:spacing w:after="0" w:line="240" w:lineRule="exact"/>
              <w:outlineLvl w:val="0"/>
              <w:rPr>
                <w:rFonts w:eastAsia="Times New Roman" w:cs="Arial"/>
                <w:b/>
                <w:bCs/>
              </w:rPr>
            </w:pPr>
            <w:r w:rsidRPr="00E24B12">
              <w:rPr>
                <w:rFonts w:eastAsia="Times New Roman" w:cs="Arial"/>
                <w:b/>
                <w:bCs/>
              </w:rPr>
              <w:t>Dobit prije oporezivanja</w:t>
            </w:r>
          </w:p>
        </w:tc>
        <w:tc>
          <w:tcPr>
            <w:tcW w:w="530" w:type="pct"/>
            <w:vAlign w:val="center"/>
          </w:tcPr>
          <w:p w14:paraId="1C14073A" w14:textId="77777777" w:rsidR="00E24B12" w:rsidRPr="00E24B12" w:rsidRDefault="00E24B12" w:rsidP="00E24B12">
            <w:pPr>
              <w:tabs>
                <w:tab w:val="right" w:pos="1202"/>
              </w:tabs>
              <w:spacing w:after="0" w:line="240" w:lineRule="exact"/>
              <w:jc w:val="center"/>
              <w:outlineLvl w:val="0"/>
              <w:rPr>
                <w:rFonts w:eastAsia="Times New Roman" w:cs="Arial"/>
                <w:b/>
                <w:bCs/>
              </w:rPr>
            </w:pPr>
          </w:p>
        </w:tc>
        <w:tc>
          <w:tcPr>
            <w:tcW w:w="938" w:type="pct"/>
            <w:tcBorders>
              <w:top w:val="single" w:sz="4" w:space="0" w:color="auto"/>
              <w:left w:val="nil"/>
              <w:bottom w:val="single" w:sz="12" w:space="0" w:color="auto"/>
              <w:right w:val="nil"/>
            </w:tcBorders>
            <w:shd w:val="clear" w:color="auto" w:fill="auto"/>
            <w:vAlign w:val="bottom"/>
          </w:tcPr>
          <w:p w14:paraId="4765F23E" w14:textId="09DFB0B6" w:rsidR="00E24B12" w:rsidRPr="00E24B12" w:rsidRDefault="00200B84" w:rsidP="00E24B12">
            <w:pPr>
              <w:tabs>
                <w:tab w:val="right" w:pos="1202"/>
              </w:tabs>
              <w:spacing w:after="0" w:line="240" w:lineRule="auto"/>
              <w:jc w:val="right"/>
              <w:outlineLvl w:val="0"/>
              <w:rPr>
                <w:rFonts w:eastAsia="Times New Roman" w:cs="Arial"/>
                <w:b/>
                <w:bCs/>
                <w:lang w:val="en-GB"/>
              </w:rPr>
            </w:pPr>
            <w:r w:rsidRPr="00200B84">
              <w:rPr>
                <w:rFonts w:eastAsia="Times New Roman" w:cs="Arial"/>
                <w:b/>
                <w:bCs/>
                <w:lang w:val="en-GB"/>
              </w:rPr>
              <w:t>89.105</w:t>
            </w:r>
          </w:p>
        </w:tc>
        <w:tc>
          <w:tcPr>
            <w:tcW w:w="728" w:type="pct"/>
            <w:tcBorders>
              <w:top w:val="single" w:sz="4" w:space="0" w:color="auto"/>
              <w:left w:val="nil"/>
              <w:bottom w:val="single" w:sz="12" w:space="0" w:color="auto"/>
              <w:right w:val="nil"/>
            </w:tcBorders>
            <w:shd w:val="clear" w:color="auto" w:fill="auto"/>
            <w:vAlign w:val="bottom"/>
          </w:tcPr>
          <w:p w14:paraId="2D0B1AE1" w14:textId="432461AE" w:rsidR="00E24B12" w:rsidRPr="00E24B12" w:rsidRDefault="00200B84" w:rsidP="00E24B12">
            <w:pPr>
              <w:tabs>
                <w:tab w:val="right" w:pos="1202"/>
              </w:tabs>
              <w:spacing w:after="0" w:line="240" w:lineRule="auto"/>
              <w:jc w:val="right"/>
              <w:outlineLvl w:val="0"/>
              <w:rPr>
                <w:rFonts w:eastAsia="Times New Roman" w:cs="Arial"/>
                <w:b/>
                <w:bCs/>
                <w:lang w:val="en-GB"/>
              </w:rPr>
            </w:pPr>
            <w:r w:rsidRPr="00200B84">
              <w:rPr>
                <w:rFonts w:eastAsia="Times New Roman" w:cs="Arial"/>
                <w:b/>
                <w:bCs/>
                <w:lang w:val="en-GB"/>
              </w:rPr>
              <w:t>129.356</w:t>
            </w:r>
          </w:p>
        </w:tc>
        <w:tc>
          <w:tcPr>
            <w:tcW w:w="716" w:type="pct"/>
            <w:tcBorders>
              <w:top w:val="single" w:sz="4" w:space="0" w:color="auto"/>
              <w:left w:val="nil"/>
              <w:bottom w:val="single" w:sz="12" w:space="0" w:color="auto"/>
              <w:right w:val="nil"/>
            </w:tcBorders>
            <w:shd w:val="clear" w:color="auto" w:fill="auto"/>
            <w:vAlign w:val="bottom"/>
          </w:tcPr>
          <w:p w14:paraId="1E12E1DD" w14:textId="0194CEBA" w:rsidR="00E24B12" w:rsidRPr="00E24B12" w:rsidRDefault="00E24B12" w:rsidP="00E24B12">
            <w:pPr>
              <w:tabs>
                <w:tab w:val="right" w:pos="1202"/>
              </w:tabs>
              <w:spacing w:after="0" w:line="240" w:lineRule="auto"/>
              <w:jc w:val="right"/>
              <w:outlineLvl w:val="0"/>
              <w:rPr>
                <w:rFonts w:ascii="Arial" w:eastAsia="Times New Roman" w:hAnsi="Arial" w:cs="Arial"/>
                <w:b/>
                <w:bCs/>
                <w:sz w:val="19"/>
                <w:szCs w:val="20"/>
                <w:lang w:val="en-GB"/>
              </w:rPr>
            </w:pPr>
            <w:r w:rsidRPr="00E24B12">
              <w:rPr>
                <w:rFonts w:eastAsia="Times New Roman" w:cs="Arial"/>
                <w:b/>
                <w:bCs/>
                <w:lang w:val="en-GB"/>
              </w:rPr>
              <w:t>54.323</w:t>
            </w:r>
          </w:p>
        </w:tc>
        <w:tc>
          <w:tcPr>
            <w:tcW w:w="723" w:type="pct"/>
            <w:tcBorders>
              <w:top w:val="single" w:sz="4" w:space="0" w:color="auto"/>
              <w:left w:val="nil"/>
              <w:bottom w:val="single" w:sz="12" w:space="0" w:color="auto"/>
              <w:right w:val="nil"/>
            </w:tcBorders>
            <w:shd w:val="clear" w:color="auto" w:fill="auto"/>
            <w:vAlign w:val="bottom"/>
          </w:tcPr>
          <w:p w14:paraId="556F90A2" w14:textId="4A84034A" w:rsidR="00E24B12" w:rsidRPr="00E24B12" w:rsidRDefault="00E24B12" w:rsidP="00E24B12">
            <w:pPr>
              <w:tabs>
                <w:tab w:val="right" w:pos="1202"/>
              </w:tabs>
              <w:spacing w:after="0" w:line="240" w:lineRule="auto"/>
              <w:jc w:val="right"/>
              <w:outlineLvl w:val="0"/>
              <w:rPr>
                <w:rFonts w:ascii="Arial" w:eastAsia="Times New Roman" w:hAnsi="Arial" w:cs="Arial"/>
                <w:b/>
                <w:bCs/>
                <w:sz w:val="19"/>
                <w:szCs w:val="20"/>
                <w:lang w:val="en-GB"/>
              </w:rPr>
            </w:pPr>
            <w:r w:rsidRPr="00E24B12">
              <w:rPr>
                <w:rFonts w:eastAsia="Times New Roman" w:cs="Arial"/>
                <w:b/>
                <w:bCs/>
                <w:lang w:val="en-GB"/>
              </w:rPr>
              <w:t>107.235</w:t>
            </w:r>
          </w:p>
        </w:tc>
      </w:tr>
      <w:tr w:rsidR="00E24B12" w:rsidRPr="00E24B12" w14:paraId="698593CB" w14:textId="77777777" w:rsidTr="00312975">
        <w:trPr>
          <w:cantSplit/>
          <w:trHeight w:val="237"/>
        </w:trPr>
        <w:tc>
          <w:tcPr>
            <w:tcW w:w="1364" w:type="pct"/>
            <w:vAlign w:val="bottom"/>
          </w:tcPr>
          <w:p w14:paraId="5E2EF23F" w14:textId="77777777" w:rsidR="00E24B12" w:rsidRPr="00E24B12" w:rsidRDefault="00E24B12" w:rsidP="00E24B12">
            <w:pPr>
              <w:tabs>
                <w:tab w:val="right" w:pos="1202"/>
              </w:tabs>
              <w:spacing w:after="0" w:line="240" w:lineRule="exact"/>
              <w:outlineLvl w:val="0"/>
              <w:rPr>
                <w:rFonts w:eastAsia="Times New Roman" w:cs="Arial"/>
              </w:rPr>
            </w:pPr>
          </w:p>
        </w:tc>
        <w:tc>
          <w:tcPr>
            <w:tcW w:w="530" w:type="pct"/>
            <w:vAlign w:val="center"/>
          </w:tcPr>
          <w:p w14:paraId="4A10327A" w14:textId="77777777" w:rsidR="00E24B12" w:rsidRPr="00E24B12" w:rsidRDefault="00E24B12" w:rsidP="00E24B12">
            <w:pPr>
              <w:tabs>
                <w:tab w:val="right" w:pos="1202"/>
              </w:tabs>
              <w:spacing w:after="0" w:line="240" w:lineRule="exact"/>
              <w:jc w:val="center"/>
              <w:outlineLvl w:val="0"/>
              <w:rPr>
                <w:rFonts w:eastAsia="Times New Roman" w:cs="Arial"/>
              </w:rPr>
            </w:pPr>
          </w:p>
        </w:tc>
        <w:tc>
          <w:tcPr>
            <w:tcW w:w="938" w:type="pct"/>
            <w:tcBorders>
              <w:top w:val="single" w:sz="12" w:space="0" w:color="auto"/>
            </w:tcBorders>
            <w:vAlign w:val="bottom"/>
          </w:tcPr>
          <w:p w14:paraId="6A6D591F" w14:textId="77777777" w:rsidR="00E24B12" w:rsidRPr="00E24B12" w:rsidRDefault="00E24B12" w:rsidP="00E24B12">
            <w:pPr>
              <w:tabs>
                <w:tab w:val="right" w:pos="1202"/>
              </w:tabs>
              <w:spacing w:after="0" w:line="240" w:lineRule="exact"/>
              <w:jc w:val="right"/>
              <w:outlineLvl w:val="0"/>
              <w:rPr>
                <w:rFonts w:eastAsia="Times New Roman" w:cs="Arial"/>
              </w:rPr>
            </w:pPr>
          </w:p>
        </w:tc>
        <w:tc>
          <w:tcPr>
            <w:tcW w:w="728" w:type="pct"/>
            <w:tcBorders>
              <w:top w:val="single" w:sz="12" w:space="0" w:color="auto"/>
            </w:tcBorders>
            <w:vAlign w:val="bottom"/>
          </w:tcPr>
          <w:p w14:paraId="0000DC32" w14:textId="77777777" w:rsidR="00E24B12" w:rsidRPr="00E24B12" w:rsidRDefault="00E24B12" w:rsidP="00E24B12">
            <w:pPr>
              <w:tabs>
                <w:tab w:val="right" w:pos="1202"/>
              </w:tabs>
              <w:spacing w:after="0" w:line="240" w:lineRule="exact"/>
              <w:jc w:val="right"/>
              <w:outlineLvl w:val="0"/>
              <w:rPr>
                <w:rFonts w:eastAsia="Times New Roman" w:cs="Arial"/>
              </w:rPr>
            </w:pPr>
          </w:p>
        </w:tc>
        <w:tc>
          <w:tcPr>
            <w:tcW w:w="716" w:type="pct"/>
            <w:tcBorders>
              <w:top w:val="single" w:sz="12" w:space="0" w:color="auto"/>
            </w:tcBorders>
            <w:vAlign w:val="bottom"/>
          </w:tcPr>
          <w:p w14:paraId="3C0C2D27" w14:textId="77777777" w:rsidR="00E24B12" w:rsidRPr="00E24B12" w:rsidRDefault="00E24B12" w:rsidP="00E24B12">
            <w:pPr>
              <w:tabs>
                <w:tab w:val="right" w:pos="1202"/>
              </w:tabs>
              <w:spacing w:after="0" w:line="240" w:lineRule="exact"/>
              <w:jc w:val="right"/>
              <w:outlineLvl w:val="0"/>
              <w:rPr>
                <w:rFonts w:eastAsia="Times New Roman" w:cs="Arial"/>
              </w:rPr>
            </w:pPr>
          </w:p>
        </w:tc>
        <w:tc>
          <w:tcPr>
            <w:tcW w:w="723" w:type="pct"/>
            <w:tcBorders>
              <w:top w:val="single" w:sz="12" w:space="0" w:color="auto"/>
            </w:tcBorders>
            <w:vAlign w:val="bottom"/>
          </w:tcPr>
          <w:p w14:paraId="3A2CF37B" w14:textId="77777777" w:rsidR="00E24B12" w:rsidRPr="00E24B12" w:rsidRDefault="00E24B12" w:rsidP="00E24B12">
            <w:pPr>
              <w:tabs>
                <w:tab w:val="right" w:pos="1202"/>
              </w:tabs>
              <w:spacing w:after="0" w:line="240" w:lineRule="exact"/>
              <w:jc w:val="right"/>
              <w:outlineLvl w:val="0"/>
              <w:rPr>
                <w:rFonts w:eastAsia="Times New Roman" w:cs="Arial"/>
              </w:rPr>
            </w:pPr>
          </w:p>
        </w:tc>
      </w:tr>
      <w:tr w:rsidR="00E24B12" w:rsidRPr="00E24B12" w14:paraId="28ACCE04" w14:textId="77777777" w:rsidTr="00312975">
        <w:trPr>
          <w:cantSplit/>
          <w:trHeight w:val="308"/>
        </w:trPr>
        <w:tc>
          <w:tcPr>
            <w:tcW w:w="1364" w:type="pct"/>
            <w:vAlign w:val="bottom"/>
          </w:tcPr>
          <w:p w14:paraId="4483B1FB" w14:textId="77777777" w:rsidR="00E24B12" w:rsidRPr="00E24B12" w:rsidRDefault="00E24B12" w:rsidP="00E24B12">
            <w:pPr>
              <w:tabs>
                <w:tab w:val="right" w:pos="1202"/>
              </w:tabs>
              <w:spacing w:after="0" w:line="240" w:lineRule="exact"/>
              <w:outlineLvl w:val="0"/>
              <w:rPr>
                <w:rFonts w:eastAsia="Times New Roman" w:cs="Arial"/>
              </w:rPr>
            </w:pPr>
            <w:r w:rsidRPr="00E24B12">
              <w:rPr>
                <w:rFonts w:eastAsia="Times New Roman" w:cs="Arial"/>
              </w:rPr>
              <w:t>Porez na dobit</w:t>
            </w:r>
          </w:p>
        </w:tc>
        <w:tc>
          <w:tcPr>
            <w:tcW w:w="530" w:type="pct"/>
            <w:vAlign w:val="center"/>
          </w:tcPr>
          <w:p w14:paraId="0B4FBEDB" w14:textId="77777777" w:rsidR="00E24B12" w:rsidRPr="00E24B12" w:rsidRDefault="00E24B12" w:rsidP="00E24B12">
            <w:pPr>
              <w:tabs>
                <w:tab w:val="right" w:pos="1202"/>
              </w:tabs>
              <w:spacing w:after="0" w:line="240" w:lineRule="exact"/>
              <w:jc w:val="center"/>
              <w:outlineLvl w:val="0"/>
              <w:rPr>
                <w:rFonts w:eastAsia="Times New Roman" w:cs="Arial"/>
              </w:rPr>
            </w:pPr>
          </w:p>
        </w:tc>
        <w:tc>
          <w:tcPr>
            <w:tcW w:w="938" w:type="pct"/>
            <w:tcBorders>
              <w:bottom w:val="single" w:sz="4" w:space="0" w:color="auto"/>
            </w:tcBorders>
            <w:vAlign w:val="bottom"/>
          </w:tcPr>
          <w:p w14:paraId="0D5994C7" w14:textId="77777777" w:rsidR="00E24B12" w:rsidRPr="00E24B12" w:rsidRDefault="00E24B12" w:rsidP="00E24B12">
            <w:pPr>
              <w:tabs>
                <w:tab w:val="right" w:pos="1202"/>
              </w:tabs>
              <w:spacing w:after="0" w:line="240" w:lineRule="exact"/>
              <w:jc w:val="right"/>
              <w:outlineLvl w:val="0"/>
              <w:rPr>
                <w:rFonts w:eastAsia="Times New Roman" w:cs="Arial"/>
              </w:rPr>
            </w:pPr>
            <w:r w:rsidRPr="00E24B12">
              <w:rPr>
                <w:rFonts w:eastAsia="Times New Roman" w:cs="Arial"/>
              </w:rPr>
              <w:t>-</w:t>
            </w:r>
          </w:p>
        </w:tc>
        <w:tc>
          <w:tcPr>
            <w:tcW w:w="728" w:type="pct"/>
            <w:tcBorders>
              <w:bottom w:val="single" w:sz="4" w:space="0" w:color="auto"/>
            </w:tcBorders>
            <w:vAlign w:val="bottom"/>
          </w:tcPr>
          <w:p w14:paraId="40AD5921" w14:textId="77777777" w:rsidR="00E24B12" w:rsidRPr="00E24B12" w:rsidRDefault="00E24B12" w:rsidP="00E24B12">
            <w:pPr>
              <w:tabs>
                <w:tab w:val="right" w:pos="1202"/>
              </w:tabs>
              <w:spacing w:after="0" w:line="240" w:lineRule="exact"/>
              <w:jc w:val="right"/>
              <w:outlineLvl w:val="0"/>
              <w:rPr>
                <w:rFonts w:eastAsia="Times New Roman" w:cs="Arial"/>
              </w:rPr>
            </w:pPr>
            <w:r w:rsidRPr="00E24B12">
              <w:rPr>
                <w:rFonts w:eastAsia="Times New Roman" w:cs="Arial"/>
              </w:rPr>
              <w:t>-</w:t>
            </w:r>
          </w:p>
        </w:tc>
        <w:tc>
          <w:tcPr>
            <w:tcW w:w="716" w:type="pct"/>
            <w:tcBorders>
              <w:bottom w:val="single" w:sz="4" w:space="0" w:color="auto"/>
            </w:tcBorders>
            <w:vAlign w:val="bottom"/>
          </w:tcPr>
          <w:p w14:paraId="554121BA" w14:textId="383AD4A5" w:rsidR="00E24B12" w:rsidRPr="00E24B12" w:rsidRDefault="00E24B12" w:rsidP="00E24B12">
            <w:pPr>
              <w:tabs>
                <w:tab w:val="right" w:pos="1202"/>
              </w:tabs>
              <w:spacing w:after="0" w:line="240" w:lineRule="exact"/>
              <w:jc w:val="right"/>
              <w:outlineLvl w:val="0"/>
              <w:rPr>
                <w:rFonts w:eastAsia="Times New Roman" w:cs="Arial"/>
              </w:rPr>
            </w:pPr>
            <w:r w:rsidRPr="00E24B12">
              <w:rPr>
                <w:rFonts w:eastAsia="Times New Roman" w:cs="Arial"/>
              </w:rPr>
              <w:t>-</w:t>
            </w:r>
          </w:p>
        </w:tc>
        <w:tc>
          <w:tcPr>
            <w:tcW w:w="723" w:type="pct"/>
            <w:tcBorders>
              <w:bottom w:val="single" w:sz="4" w:space="0" w:color="auto"/>
            </w:tcBorders>
            <w:vAlign w:val="bottom"/>
          </w:tcPr>
          <w:p w14:paraId="3EB7B523" w14:textId="48C86E53" w:rsidR="00E24B12" w:rsidRPr="00E24B12" w:rsidRDefault="00E24B12" w:rsidP="00E24B12">
            <w:pPr>
              <w:tabs>
                <w:tab w:val="right" w:pos="1202"/>
              </w:tabs>
              <w:spacing w:after="0" w:line="240" w:lineRule="exact"/>
              <w:jc w:val="right"/>
              <w:outlineLvl w:val="0"/>
              <w:rPr>
                <w:rFonts w:eastAsia="Times New Roman" w:cs="Arial"/>
              </w:rPr>
            </w:pPr>
            <w:r w:rsidRPr="00E24B12">
              <w:rPr>
                <w:rFonts w:eastAsia="Times New Roman" w:cs="Arial"/>
              </w:rPr>
              <w:t>-</w:t>
            </w:r>
          </w:p>
        </w:tc>
      </w:tr>
      <w:tr w:rsidR="00E24B12" w:rsidRPr="00E24B12" w14:paraId="64D2D1E5" w14:textId="77777777" w:rsidTr="00312975">
        <w:trPr>
          <w:cantSplit/>
          <w:trHeight w:hRule="exact" w:val="346"/>
        </w:trPr>
        <w:tc>
          <w:tcPr>
            <w:tcW w:w="1364" w:type="pct"/>
            <w:vAlign w:val="bottom"/>
          </w:tcPr>
          <w:p w14:paraId="0868422D" w14:textId="61C6A2B8" w:rsidR="00E24B12" w:rsidRPr="00E24B12" w:rsidRDefault="00E24B12" w:rsidP="000035C6">
            <w:pPr>
              <w:tabs>
                <w:tab w:val="right" w:pos="1202"/>
              </w:tabs>
              <w:spacing w:after="0" w:line="240" w:lineRule="exact"/>
              <w:outlineLvl w:val="0"/>
              <w:rPr>
                <w:rFonts w:eastAsia="Times New Roman" w:cs="Arial"/>
                <w:b/>
                <w:bCs/>
              </w:rPr>
            </w:pPr>
            <w:r w:rsidRPr="00E24B12">
              <w:rPr>
                <w:rFonts w:eastAsia="Times New Roman" w:cs="Arial"/>
                <w:b/>
                <w:bCs/>
              </w:rPr>
              <w:t>Dobit tekuće</w:t>
            </w:r>
            <w:r w:rsidR="000035C6">
              <w:rPr>
                <w:rFonts w:eastAsia="Times New Roman" w:cs="Arial"/>
                <w:b/>
                <w:bCs/>
              </w:rPr>
              <w:t>g razdoblja</w:t>
            </w:r>
          </w:p>
        </w:tc>
        <w:tc>
          <w:tcPr>
            <w:tcW w:w="530" w:type="pct"/>
            <w:vAlign w:val="center"/>
          </w:tcPr>
          <w:p w14:paraId="22BF8035" w14:textId="77777777" w:rsidR="00E24B12" w:rsidRPr="00E24B12" w:rsidRDefault="00E24B12" w:rsidP="00E24B12">
            <w:pPr>
              <w:tabs>
                <w:tab w:val="right" w:pos="1202"/>
              </w:tabs>
              <w:spacing w:after="0" w:line="240" w:lineRule="exact"/>
              <w:jc w:val="center"/>
              <w:outlineLvl w:val="0"/>
              <w:rPr>
                <w:rFonts w:eastAsia="Times New Roman" w:cs="Arial"/>
                <w:b/>
                <w:bCs/>
              </w:rPr>
            </w:pPr>
          </w:p>
        </w:tc>
        <w:tc>
          <w:tcPr>
            <w:tcW w:w="938" w:type="pct"/>
            <w:tcBorders>
              <w:left w:val="nil"/>
              <w:bottom w:val="single" w:sz="12" w:space="0" w:color="auto"/>
              <w:right w:val="nil"/>
            </w:tcBorders>
            <w:shd w:val="clear" w:color="auto" w:fill="auto"/>
            <w:vAlign w:val="bottom"/>
          </w:tcPr>
          <w:p w14:paraId="27A62C26" w14:textId="6224DAA0" w:rsidR="00E24B12" w:rsidRPr="00E24B12" w:rsidRDefault="00200B84" w:rsidP="00E24B12">
            <w:pPr>
              <w:tabs>
                <w:tab w:val="right" w:pos="1202"/>
              </w:tabs>
              <w:spacing w:after="0" w:line="240" w:lineRule="auto"/>
              <w:jc w:val="right"/>
              <w:outlineLvl w:val="0"/>
              <w:rPr>
                <w:rFonts w:eastAsia="Times New Roman" w:cs="Arial"/>
                <w:b/>
                <w:bCs/>
                <w:lang w:val="en-GB"/>
              </w:rPr>
            </w:pPr>
            <w:r w:rsidRPr="00200B84">
              <w:rPr>
                <w:rFonts w:eastAsia="Times New Roman" w:cs="Arial"/>
                <w:b/>
                <w:bCs/>
                <w:lang w:val="en-GB"/>
              </w:rPr>
              <w:t>89.105</w:t>
            </w:r>
          </w:p>
        </w:tc>
        <w:tc>
          <w:tcPr>
            <w:tcW w:w="728" w:type="pct"/>
            <w:tcBorders>
              <w:left w:val="nil"/>
              <w:bottom w:val="single" w:sz="12" w:space="0" w:color="auto"/>
              <w:right w:val="nil"/>
            </w:tcBorders>
            <w:shd w:val="clear" w:color="auto" w:fill="auto"/>
            <w:vAlign w:val="bottom"/>
          </w:tcPr>
          <w:p w14:paraId="2CF87ECE" w14:textId="65EF36BC" w:rsidR="00E24B12" w:rsidRPr="00E24B12" w:rsidRDefault="00200B84" w:rsidP="00E24B12">
            <w:pPr>
              <w:tabs>
                <w:tab w:val="right" w:pos="1202"/>
              </w:tabs>
              <w:spacing w:after="0" w:line="240" w:lineRule="auto"/>
              <w:jc w:val="right"/>
              <w:outlineLvl w:val="0"/>
              <w:rPr>
                <w:rFonts w:eastAsia="Times New Roman" w:cs="Arial"/>
                <w:b/>
                <w:bCs/>
                <w:lang w:val="en-GB"/>
              </w:rPr>
            </w:pPr>
            <w:r w:rsidRPr="00200B84">
              <w:rPr>
                <w:rFonts w:eastAsia="Times New Roman" w:cs="Arial"/>
                <w:b/>
                <w:bCs/>
                <w:lang w:val="en-GB"/>
              </w:rPr>
              <w:t>129.356</w:t>
            </w:r>
          </w:p>
        </w:tc>
        <w:tc>
          <w:tcPr>
            <w:tcW w:w="716" w:type="pct"/>
            <w:tcBorders>
              <w:top w:val="single" w:sz="4" w:space="0" w:color="auto"/>
              <w:left w:val="nil"/>
              <w:bottom w:val="single" w:sz="12" w:space="0" w:color="auto"/>
              <w:right w:val="nil"/>
            </w:tcBorders>
            <w:shd w:val="clear" w:color="auto" w:fill="auto"/>
            <w:vAlign w:val="bottom"/>
          </w:tcPr>
          <w:p w14:paraId="542565DF" w14:textId="6509223A" w:rsidR="00E24B12" w:rsidRPr="00E24B12" w:rsidRDefault="00E24B12" w:rsidP="00E24B12">
            <w:pPr>
              <w:tabs>
                <w:tab w:val="right" w:pos="1202"/>
              </w:tabs>
              <w:spacing w:after="0" w:line="240" w:lineRule="auto"/>
              <w:jc w:val="right"/>
              <w:outlineLvl w:val="0"/>
              <w:rPr>
                <w:rFonts w:ascii="Arial" w:eastAsia="Times New Roman" w:hAnsi="Arial" w:cs="Arial"/>
                <w:b/>
                <w:bCs/>
                <w:sz w:val="19"/>
                <w:szCs w:val="20"/>
                <w:lang w:val="en-GB"/>
              </w:rPr>
            </w:pPr>
            <w:r w:rsidRPr="00E24B12">
              <w:rPr>
                <w:rFonts w:eastAsia="Times New Roman" w:cs="Arial"/>
                <w:b/>
                <w:bCs/>
                <w:lang w:val="en-GB"/>
              </w:rPr>
              <w:t>54.323</w:t>
            </w:r>
          </w:p>
        </w:tc>
        <w:tc>
          <w:tcPr>
            <w:tcW w:w="723" w:type="pct"/>
            <w:tcBorders>
              <w:top w:val="single" w:sz="4" w:space="0" w:color="auto"/>
              <w:left w:val="nil"/>
              <w:bottom w:val="single" w:sz="12" w:space="0" w:color="auto"/>
              <w:right w:val="nil"/>
            </w:tcBorders>
            <w:shd w:val="clear" w:color="auto" w:fill="auto"/>
            <w:vAlign w:val="bottom"/>
          </w:tcPr>
          <w:p w14:paraId="39C20F54" w14:textId="18FA7FD2" w:rsidR="00E24B12" w:rsidRPr="00E24B12" w:rsidRDefault="00E24B12" w:rsidP="00E24B12">
            <w:pPr>
              <w:tabs>
                <w:tab w:val="right" w:pos="1202"/>
              </w:tabs>
              <w:spacing w:after="0" w:line="240" w:lineRule="auto"/>
              <w:jc w:val="right"/>
              <w:outlineLvl w:val="0"/>
              <w:rPr>
                <w:rFonts w:ascii="Arial" w:eastAsia="Times New Roman" w:hAnsi="Arial" w:cs="Arial"/>
                <w:b/>
                <w:bCs/>
                <w:sz w:val="19"/>
                <w:szCs w:val="20"/>
                <w:lang w:val="en-GB"/>
              </w:rPr>
            </w:pPr>
            <w:r w:rsidRPr="00E24B12">
              <w:rPr>
                <w:rFonts w:eastAsia="Times New Roman" w:cs="Arial"/>
                <w:b/>
                <w:bCs/>
                <w:lang w:val="en-GB"/>
              </w:rPr>
              <w:t>107.235</w:t>
            </w:r>
          </w:p>
        </w:tc>
      </w:tr>
      <w:tr w:rsidR="00E24B12" w:rsidRPr="00E24B12" w14:paraId="22A185CA" w14:textId="77777777" w:rsidTr="00312975">
        <w:trPr>
          <w:cantSplit/>
          <w:trHeight w:val="70"/>
        </w:trPr>
        <w:tc>
          <w:tcPr>
            <w:tcW w:w="1364" w:type="pct"/>
            <w:vAlign w:val="bottom"/>
          </w:tcPr>
          <w:p w14:paraId="06CB29DE" w14:textId="77777777" w:rsidR="00E24B12" w:rsidRPr="00E24B12" w:rsidRDefault="00E24B12" w:rsidP="00E24B12">
            <w:pPr>
              <w:keepNext/>
              <w:keepLines/>
              <w:tabs>
                <w:tab w:val="decimal" w:pos="1202"/>
              </w:tabs>
              <w:spacing w:after="0" w:line="240" w:lineRule="exact"/>
              <w:rPr>
                <w:rFonts w:eastAsia="Times New Roman" w:cs="Arial"/>
                <w:b/>
                <w:position w:val="4"/>
                <w:u w:val="thick"/>
              </w:rPr>
            </w:pPr>
          </w:p>
        </w:tc>
        <w:tc>
          <w:tcPr>
            <w:tcW w:w="530" w:type="pct"/>
            <w:vAlign w:val="center"/>
          </w:tcPr>
          <w:p w14:paraId="3B11DDCD" w14:textId="77777777" w:rsidR="00E24B12" w:rsidRPr="00E24B12" w:rsidRDefault="00E24B12" w:rsidP="00E24B12">
            <w:pPr>
              <w:keepNext/>
              <w:keepLines/>
              <w:spacing w:after="0" w:line="240" w:lineRule="exact"/>
              <w:jc w:val="center"/>
              <w:rPr>
                <w:rFonts w:eastAsia="Times New Roman" w:cs="Arial"/>
                <w:b/>
                <w:position w:val="4"/>
                <w:u w:val="thick"/>
              </w:rPr>
            </w:pPr>
          </w:p>
        </w:tc>
        <w:tc>
          <w:tcPr>
            <w:tcW w:w="938" w:type="pct"/>
            <w:tcBorders>
              <w:top w:val="single" w:sz="12" w:space="0" w:color="auto"/>
            </w:tcBorders>
            <w:vAlign w:val="bottom"/>
          </w:tcPr>
          <w:p w14:paraId="3776C522" w14:textId="77777777" w:rsidR="00E24B12" w:rsidRPr="00E24B12" w:rsidRDefault="00E24B12" w:rsidP="00E24B12">
            <w:pPr>
              <w:keepNext/>
              <w:keepLines/>
              <w:spacing w:after="0" w:line="240" w:lineRule="exact"/>
              <w:jc w:val="right"/>
              <w:rPr>
                <w:rFonts w:eastAsia="Times New Roman" w:cs="Arial"/>
                <w:b/>
                <w:position w:val="4"/>
                <w:u w:val="thick"/>
              </w:rPr>
            </w:pPr>
          </w:p>
        </w:tc>
        <w:tc>
          <w:tcPr>
            <w:tcW w:w="728" w:type="pct"/>
            <w:tcBorders>
              <w:top w:val="single" w:sz="12" w:space="0" w:color="auto"/>
            </w:tcBorders>
            <w:vAlign w:val="bottom"/>
          </w:tcPr>
          <w:p w14:paraId="62758403" w14:textId="77777777" w:rsidR="00E24B12" w:rsidRPr="00E24B12" w:rsidRDefault="00E24B12" w:rsidP="00E24B12">
            <w:pPr>
              <w:keepNext/>
              <w:keepLines/>
              <w:spacing w:after="0" w:line="240" w:lineRule="exact"/>
              <w:jc w:val="right"/>
              <w:rPr>
                <w:rFonts w:eastAsia="Times New Roman" w:cs="Arial"/>
                <w:b/>
                <w:position w:val="4"/>
                <w:u w:val="thick"/>
              </w:rPr>
            </w:pPr>
          </w:p>
        </w:tc>
        <w:tc>
          <w:tcPr>
            <w:tcW w:w="716" w:type="pct"/>
            <w:tcBorders>
              <w:top w:val="single" w:sz="12" w:space="0" w:color="auto"/>
            </w:tcBorders>
            <w:vAlign w:val="bottom"/>
          </w:tcPr>
          <w:p w14:paraId="51565F0D" w14:textId="77777777" w:rsidR="00E24B12" w:rsidRPr="00E24B12" w:rsidRDefault="00E24B12" w:rsidP="00E24B12">
            <w:pPr>
              <w:keepNext/>
              <w:keepLines/>
              <w:spacing w:after="0" w:line="240" w:lineRule="exact"/>
              <w:jc w:val="right"/>
              <w:rPr>
                <w:rFonts w:eastAsia="Times New Roman" w:cs="Arial"/>
                <w:b/>
                <w:position w:val="4"/>
                <w:u w:val="thick"/>
              </w:rPr>
            </w:pPr>
          </w:p>
        </w:tc>
        <w:tc>
          <w:tcPr>
            <w:tcW w:w="723" w:type="pct"/>
            <w:tcBorders>
              <w:top w:val="single" w:sz="12" w:space="0" w:color="auto"/>
            </w:tcBorders>
            <w:vAlign w:val="bottom"/>
          </w:tcPr>
          <w:p w14:paraId="79894824" w14:textId="77777777" w:rsidR="00E24B12" w:rsidRPr="00E24B12" w:rsidRDefault="00E24B12" w:rsidP="00E24B12">
            <w:pPr>
              <w:keepNext/>
              <w:keepLines/>
              <w:spacing w:after="0" w:line="240" w:lineRule="exact"/>
              <w:jc w:val="right"/>
              <w:rPr>
                <w:rFonts w:eastAsia="Times New Roman" w:cs="Arial"/>
                <w:b/>
                <w:position w:val="4"/>
                <w:u w:val="thick"/>
              </w:rPr>
            </w:pPr>
          </w:p>
        </w:tc>
      </w:tr>
      <w:tr w:rsidR="00E24B12" w:rsidRPr="00E24B12" w14:paraId="60BF3028" w14:textId="77777777" w:rsidTr="00312975">
        <w:trPr>
          <w:cantSplit/>
          <w:trHeight w:val="70"/>
        </w:trPr>
        <w:tc>
          <w:tcPr>
            <w:tcW w:w="1364" w:type="pct"/>
            <w:vAlign w:val="bottom"/>
          </w:tcPr>
          <w:p w14:paraId="299661D6" w14:textId="77777777" w:rsidR="00E24B12" w:rsidRPr="00E24B12" w:rsidRDefault="00E24B12" w:rsidP="00E24B12">
            <w:pPr>
              <w:keepNext/>
              <w:keepLines/>
              <w:tabs>
                <w:tab w:val="decimal" w:pos="1202"/>
              </w:tabs>
              <w:spacing w:after="0" w:line="240" w:lineRule="exact"/>
              <w:rPr>
                <w:rFonts w:eastAsia="Times New Roman" w:cs="Arial"/>
                <w:b/>
                <w:position w:val="4"/>
                <w:u w:val="thick"/>
              </w:rPr>
            </w:pPr>
          </w:p>
        </w:tc>
        <w:tc>
          <w:tcPr>
            <w:tcW w:w="530" w:type="pct"/>
            <w:vAlign w:val="center"/>
          </w:tcPr>
          <w:p w14:paraId="09342537" w14:textId="77777777" w:rsidR="00E24B12" w:rsidRPr="00E24B12" w:rsidRDefault="00E24B12" w:rsidP="00E24B12">
            <w:pPr>
              <w:keepNext/>
              <w:keepLines/>
              <w:spacing w:after="0" w:line="240" w:lineRule="exact"/>
              <w:jc w:val="center"/>
              <w:rPr>
                <w:rFonts w:eastAsia="Times New Roman" w:cs="Arial"/>
                <w:b/>
                <w:position w:val="4"/>
                <w:u w:val="thick"/>
              </w:rPr>
            </w:pPr>
          </w:p>
        </w:tc>
        <w:tc>
          <w:tcPr>
            <w:tcW w:w="938" w:type="pct"/>
            <w:vAlign w:val="bottom"/>
          </w:tcPr>
          <w:p w14:paraId="3084539F" w14:textId="77777777" w:rsidR="00E24B12" w:rsidRPr="00E24B12" w:rsidRDefault="00E24B12" w:rsidP="00E24B12">
            <w:pPr>
              <w:keepNext/>
              <w:keepLines/>
              <w:spacing w:after="0" w:line="240" w:lineRule="exact"/>
              <w:jc w:val="right"/>
              <w:rPr>
                <w:rFonts w:eastAsia="Times New Roman" w:cs="Arial"/>
                <w:b/>
                <w:position w:val="4"/>
                <w:u w:val="thick"/>
              </w:rPr>
            </w:pPr>
          </w:p>
        </w:tc>
        <w:tc>
          <w:tcPr>
            <w:tcW w:w="728" w:type="pct"/>
            <w:vAlign w:val="bottom"/>
          </w:tcPr>
          <w:p w14:paraId="5F88CDC8" w14:textId="77777777" w:rsidR="00E24B12" w:rsidRPr="00E24B12" w:rsidRDefault="00E24B12" w:rsidP="00E24B12">
            <w:pPr>
              <w:keepNext/>
              <w:keepLines/>
              <w:spacing w:after="0" w:line="240" w:lineRule="exact"/>
              <w:jc w:val="right"/>
              <w:rPr>
                <w:rFonts w:eastAsia="Times New Roman" w:cs="Arial"/>
                <w:b/>
                <w:position w:val="4"/>
                <w:u w:val="thick"/>
              </w:rPr>
            </w:pPr>
          </w:p>
        </w:tc>
        <w:tc>
          <w:tcPr>
            <w:tcW w:w="716" w:type="pct"/>
            <w:vAlign w:val="bottom"/>
          </w:tcPr>
          <w:p w14:paraId="1E4B5563" w14:textId="77777777" w:rsidR="00E24B12" w:rsidRPr="00E24B12" w:rsidRDefault="00E24B12" w:rsidP="00E24B12">
            <w:pPr>
              <w:keepNext/>
              <w:keepLines/>
              <w:spacing w:after="0" w:line="240" w:lineRule="exact"/>
              <w:jc w:val="right"/>
              <w:rPr>
                <w:rFonts w:eastAsia="Times New Roman" w:cs="Arial"/>
                <w:b/>
                <w:position w:val="4"/>
                <w:u w:val="thick"/>
              </w:rPr>
            </w:pPr>
          </w:p>
        </w:tc>
        <w:tc>
          <w:tcPr>
            <w:tcW w:w="723" w:type="pct"/>
            <w:vAlign w:val="bottom"/>
          </w:tcPr>
          <w:p w14:paraId="4B1787BD" w14:textId="77777777" w:rsidR="00E24B12" w:rsidRPr="00E24B12" w:rsidRDefault="00E24B12" w:rsidP="00E24B12">
            <w:pPr>
              <w:keepNext/>
              <w:keepLines/>
              <w:spacing w:after="0" w:line="240" w:lineRule="exact"/>
              <w:jc w:val="right"/>
              <w:rPr>
                <w:rFonts w:eastAsia="Times New Roman" w:cs="Arial"/>
                <w:b/>
                <w:position w:val="4"/>
                <w:u w:val="thick"/>
              </w:rPr>
            </w:pPr>
          </w:p>
        </w:tc>
      </w:tr>
      <w:tr w:rsidR="00E24B12" w:rsidRPr="00E24B12" w14:paraId="4FC00871" w14:textId="77777777" w:rsidTr="00312975">
        <w:trPr>
          <w:cantSplit/>
          <w:trHeight w:val="299"/>
        </w:trPr>
        <w:tc>
          <w:tcPr>
            <w:tcW w:w="1364" w:type="pct"/>
            <w:vAlign w:val="bottom"/>
          </w:tcPr>
          <w:p w14:paraId="21A747D9" w14:textId="77777777" w:rsidR="00E24B12" w:rsidRPr="00E24B12" w:rsidRDefault="00E24B12" w:rsidP="00E24B12">
            <w:pPr>
              <w:keepNext/>
              <w:keepLines/>
              <w:tabs>
                <w:tab w:val="decimal" w:pos="1202"/>
              </w:tabs>
              <w:spacing w:after="0" w:line="240" w:lineRule="exact"/>
              <w:rPr>
                <w:rFonts w:eastAsia="Times New Roman" w:cs="Arial"/>
                <w:b/>
                <w:position w:val="4"/>
              </w:rPr>
            </w:pPr>
            <w:r w:rsidRPr="00E24B12">
              <w:rPr>
                <w:rFonts w:eastAsia="Times New Roman" w:cs="Arial"/>
                <w:b/>
                <w:position w:val="4"/>
              </w:rPr>
              <w:t>Dobit za raspodjelu:</w:t>
            </w:r>
          </w:p>
        </w:tc>
        <w:tc>
          <w:tcPr>
            <w:tcW w:w="530" w:type="pct"/>
            <w:vAlign w:val="center"/>
          </w:tcPr>
          <w:p w14:paraId="297C1717" w14:textId="77777777" w:rsidR="00E24B12" w:rsidRPr="00E24B12" w:rsidRDefault="00E24B12" w:rsidP="00E24B12">
            <w:pPr>
              <w:keepNext/>
              <w:keepLines/>
              <w:spacing w:after="0" w:line="240" w:lineRule="exact"/>
              <w:jc w:val="center"/>
              <w:rPr>
                <w:rFonts w:eastAsia="Times New Roman" w:cs="Arial"/>
                <w:b/>
                <w:position w:val="4"/>
                <w:u w:val="thick"/>
              </w:rPr>
            </w:pPr>
          </w:p>
        </w:tc>
        <w:tc>
          <w:tcPr>
            <w:tcW w:w="938" w:type="pct"/>
            <w:vAlign w:val="bottom"/>
          </w:tcPr>
          <w:p w14:paraId="188E9D3B" w14:textId="77777777" w:rsidR="00E24B12" w:rsidRPr="00E24B12" w:rsidRDefault="00E24B12" w:rsidP="00E24B12">
            <w:pPr>
              <w:keepNext/>
              <w:keepLines/>
              <w:spacing w:after="0" w:line="240" w:lineRule="exact"/>
              <w:jc w:val="right"/>
              <w:rPr>
                <w:rFonts w:eastAsia="Times New Roman" w:cs="Arial"/>
                <w:b/>
                <w:position w:val="4"/>
                <w:u w:val="thick"/>
              </w:rPr>
            </w:pPr>
          </w:p>
        </w:tc>
        <w:tc>
          <w:tcPr>
            <w:tcW w:w="728" w:type="pct"/>
            <w:vAlign w:val="bottom"/>
          </w:tcPr>
          <w:p w14:paraId="3232AC0A" w14:textId="77777777" w:rsidR="00E24B12" w:rsidRPr="00E24B12" w:rsidRDefault="00E24B12" w:rsidP="00E24B12">
            <w:pPr>
              <w:keepNext/>
              <w:keepLines/>
              <w:spacing w:after="0" w:line="240" w:lineRule="exact"/>
              <w:jc w:val="right"/>
              <w:rPr>
                <w:rFonts w:eastAsia="Times New Roman" w:cs="Arial"/>
                <w:b/>
                <w:position w:val="4"/>
                <w:u w:val="thick"/>
              </w:rPr>
            </w:pPr>
          </w:p>
        </w:tc>
        <w:tc>
          <w:tcPr>
            <w:tcW w:w="716" w:type="pct"/>
            <w:vAlign w:val="bottom"/>
          </w:tcPr>
          <w:p w14:paraId="5CFEB9AC" w14:textId="77777777" w:rsidR="00E24B12" w:rsidRPr="00E24B12" w:rsidRDefault="00E24B12" w:rsidP="00E24B12">
            <w:pPr>
              <w:keepNext/>
              <w:keepLines/>
              <w:spacing w:after="0" w:line="240" w:lineRule="exact"/>
              <w:jc w:val="right"/>
              <w:rPr>
                <w:rFonts w:eastAsia="Times New Roman" w:cs="Arial"/>
                <w:b/>
                <w:position w:val="4"/>
                <w:u w:val="thick"/>
              </w:rPr>
            </w:pPr>
          </w:p>
        </w:tc>
        <w:tc>
          <w:tcPr>
            <w:tcW w:w="723" w:type="pct"/>
            <w:vAlign w:val="bottom"/>
          </w:tcPr>
          <w:p w14:paraId="3325E49C" w14:textId="77777777" w:rsidR="00E24B12" w:rsidRPr="00E24B12" w:rsidRDefault="00E24B12" w:rsidP="00E24B12">
            <w:pPr>
              <w:keepNext/>
              <w:keepLines/>
              <w:spacing w:after="0" w:line="240" w:lineRule="exact"/>
              <w:jc w:val="right"/>
              <w:rPr>
                <w:rFonts w:eastAsia="Times New Roman" w:cs="Arial"/>
                <w:b/>
                <w:position w:val="4"/>
                <w:u w:val="thick"/>
              </w:rPr>
            </w:pPr>
          </w:p>
        </w:tc>
      </w:tr>
      <w:tr w:rsidR="00E24B12" w:rsidRPr="00E24B12" w14:paraId="0242E851" w14:textId="77777777" w:rsidTr="00312975">
        <w:trPr>
          <w:cantSplit/>
          <w:trHeight w:hRule="exact" w:val="346"/>
        </w:trPr>
        <w:tc>
          <w:tcPr>
            <w:tcW w:w="1364" w:type="pct"/>
            <w:vAlign w:val="bottom"/>
          </w:tcPr>
          <w:p w14:paraId="1510B3BD" w14:textId="1C5D6435" w:rsidR="00E24B12" w:rsidRPr="00E24B12" w:rsidRDefault="00E24B12" w:rsidP="00E24B12">
            <w:pPr>
              <w:keepNext/>
              <w:keepLines/>
              <w:tabs>
                <w:tab w:val="decimal" w:pos="1202"/>
              </w:tabs>
              <w:spacing w:after="0" w:line="240" w:lineRule="exact"/>
              <w:rPr>
                <w:rFonts w:eastAsia="Times New Roman" w:cs="Arial"/>
                <w:b/>
                <w:position w:val="4"/>
              </w:rPr>
            </w:pPr>
            <w:r w:rsidRPr="00E24B12">
              <w:rPr>
                <w:rFonts w:eastAsia="Times New Roman" w:cs="Arial"/>
                <w:b/>
                <w:position w:val="4"/>
              </w:rPr>
              <w:t>Vlasni</w:t>
            </w:r>
            <w:r w:rsidR="000035C6">
              <w:rPr>
                <w:rFonts w:eastAsia="Times New Roman" w:cs="Arial"/>
                <w:b/>
                <w:position w:val="4"/>
              </w:rPr>
              <w:t>ku</w:t>
            </w:r>
            <w:r w:rsidRPr="00E24B12">
              <w:rPr>
                <w:rFonts w:eastAsia="Times New Roman" w:cs="Arial"/>
                <w:b/>
                <w:position w:val="4"/>
              </w:rPr>
              <w:t xml:space="preserve"> društva</w:t>
            </w:r>
          </w:p>
        </w:tc>
        <w:tc>
          <w:tcPr>
            <w:tcW w:w="530" w:type="pct"/>
            <w:vAlign w:val="center"/>
          </w:tcPr>
          <w:p w14:paraId="3CCC2796" w14:textId="77777777" w:rsidR="00E24B12" w:rsidRPr="00E24B12" w:rsidRDefault="00E24B12" w:rsidP="00E24B12">
            <w:pPr>
              <w:keepNext/>
              <w:keepLines/>
              <w:spacing w:after="0" w:line="240" w:lineRule="exact"/>
              <w:jc w:val="center"/>
              <w:rPr>
                <w:rFonts w:eastAsia="Times New Roman" w:cs="Arial"/>
                <w:b/>
                <w:position w:val="4"/>
              </w:rPr>
            </w:pPr>
          </w:p>
        </w:tc>
        <w:tc>
          <w:tcPr>
            <w:tcW w:w="938" w:type="pct"/>
            <w:tcBorders>
              <w:left w:val="nil"/>
              <w:bottom w:val="single" w:sz="12" w:space="0" w:color="auto"/>
              <w:right w:val="nil"/>
            </w:tcBorders>
            <w:shd w:val="clear" w:color="auto" w:fill="auto"/>
            <w:vAlign w:val="bottom"/>
          </w:tcPr>
          <w:p w14:paraId="7F177BBB" w14:textId="55CF0046" w:rsidR="00E24B12" w:rsidRPr="00E24B12" w:rsidRDefault="00200B84" w:rsidP="00E24B12">
            <w:pPr>
              <w:tabs>
                <w:tab w:val="right" w:pos="1202"/>
              </w:tabs>
              <w:spacing w:after="0" w:line="240" w:lineRule="auto"/>
              <w:jc w:val="right"/>
              <w:outlineLvl w:val="0"/>
              <w:rPr>
                <w:rFonts w:eastAsia="Times New Roman" w:cs="Arial"/>
                <w:b/>
                <w:bCs/>
                <w:lang w:val="en-GB"/>
              </w:rPr>
            </w:pPr>
            <w:r w:rsidRPr="00200B84">
              <w:rPr>
                <w:rFonts w:eastAsia="Times New Roman" w:cs="Arial"/>
                <w:b/>
                <w:bCs/>
                <w:lang w:val="en-GB"/>
              </w:rPr>
              <w:t>89.105</w:t>
            </w:r>
          </w:p>
        </w:tc>
        <w:tc>
          <w:tcPr>
            <w:tcW w:w="728" w:type="pct"/>
            <w:tcBorders>
              <w:left w:val="nil"/>
              <w:bottom w:val="single" w:sz="12" w:space="0" w:color="auto"/>
              <w:right w:val="nil"/>
            </w:tcBorders>
            <w:shd w:val="clear" w:color="auto" w:fill="auto"/>
            <w:vAlign w:val="bottom"/>
          </w:tcPr>
          <w:p w14:paraId="42F2B7C2" w14:textId="7CFEA549" w:rsidR="00E24B12" w:rsidRPr="00E24B12" w:rsidRDefault="00200B84" w:rsidP="00E24B12">
            <w:pPr>
              <w:tabs>
                <w:tab w:val="right" w:pos="1202"/>
              </w:tabs>
              <w:spacing w:after="0" w:line="240" w:lineRule="auto"/>
              <w:jc w:val="right"/>
              <w:outlineLvl w:val="0"/>
              <w:rPr>
                <w:rFonts w:eastAsia="Times New Roman" w:cs="Arial"/>
                <w:b/>
                <w:bCs/>
                <w:lang w:val="en-GB"/>
              </w:rPr>
            </w:pPr>
            <w:r w:rsidRPr="00200B84">
              <w:rPr>
                <w:rFonts w:eastAsia="Times New Roman" w:cs="Arial"/>
                <w:b/>
                <w:bCs/>
                <w:lang w:val="en-GB"/>
              </w:rPr>
              <w:t>129.356</w:t>
            </w:r>
          </w:p>
        </w:tc>
        <w:tc>
          <w:tcPr>
            <w:tcW w:w="716" w:type="pct"/>
            <w:tcBorders>
              <w:left w:val="nil"/>
              <w:bottom w:val="single" w:sz="12" w:space="0" w:color="auto"/>
              <w:right w:val="nil"/>
            </w:tcBorders>
            <w:shd w:val="clear" w:color="auto" w:fill="auto"/>
            <w:vAlign w:val="bottom"/>
          </w:tcPr>
          <w:p w14:paraId="74806D02" w14:textId="5A163830" w:rsidR="00E24B12" w:rsidRPr="00E24B12" w:rsidRDefault="00E24B12" w:rsidP="00E24B12">
            <w:pPr>
              <w:tabs>
                <w:tab w:val="right" w:pos="1202"/>
              </w:tabs>
              <w:spacing w:after="0" w:line="240" w:lineRule="auto"/>
              <w:jc w:val="right"/>
              <w:outlineLvl w:val="0"/>
              <w:rPr>
                <w:rFonts w:ascii="Arial" w:eastAsia="Times New Roman" w:hAnsi="Arial" w:cs="Arial"/>
                <w:b/>
                <w:bCs/>
                <w:sz w:val="19"/>
                <w:szCs w:val="20"/>
                <w:lang w:val="en-GB"/>
              </w:rPr>
            </w:pPr>
            <w:r w:rsidRPr="00E24B12">
              <w:rPr>
                <w:rFonts w:eastAsia="Times New Roman" w:cs="Arial"/>
                <w:b/>
                <w:bCs/>
                <w:lang w:val="en-GB"/>
              </w:rPr>
              <w:t>54.323</w:t>
            </w:r>
          </w:p>
        </w:tc>
        <w:tc>
          <w:tcPr>
            <w:tcW w:w="723" w:type="pct"/>
            <w:tcBorders>
              <w:left w:val="nil"/>
              <w:bottom w:val="single" w:sz="12" w:space="0" w:color="auto"/>
              <w:right w:val="nil"/>
            </w:tcBorders>
            <w:shd w:val="clear" w:color="auto" w:fill="auto"/>
            <w:vAlign w:val="bottom"/>
          </w:tcPr>
          <w:p w14:paraId="7DE2D644" w14:textId="56FEFEA0" w:rsidR="00E24B12" w:rsidRPr="00E24B12" w:rsidRDefault="00E24B12" w:rsidP="00E24B12">
            <w:pPr>
              <w:tabs>
                <w:tab w:val="right" w:pos="1202"/>
              </w:tabs>
              <w:spacing w:after="0" w:line="240" w:lineRule="auto"/>
              <w:jc w:val="right"/>
              <w:outlineLvl w:val="0"/>
              <w:rPr>
                <w:rFonts w:ascii="Arial" w:eastAsia="Times New Roman" w:hAnsi="Arial" w:cs="Arial"/>
                <w:b/>
                <w:bCs/>
                <w:sz w:val="19"/>
                <w:szCs w:val="20"/>
                <w:lang w:val="en-GB"/>
              </w:rPr>
            </w:pPr>
            <w:r w:rsidRPr="00E24B12">
              <w:rPr>
                <w:rFonts w:eastAsia="Times New Roman" w:cs="Arial"/>
                <w:b/>
                <w:bCs/>
                <w:lang w:val="en-GB"/>
              </w:rPr>
              <w:t>107.235</w:t>
            </w:r>
          </w:p>
        </w:tc>
      </w:tr>
      <w:tr w:rsidR="00E24B12" w:rsidRPr="00E24B12" w14:paraId="6DBAF3A3" w14:textId="77777777" w:rsidTr="00312975">
        <w:trPr>
          <w:cantSplit/>
          <w:trHeight w:hRule="exact" w:val="113"/>
        </w:trPr>
        <w:tc>
          <w:tcPr>
            <w:tcW w:w="1364" w:type="pct"/>
          </w:tcPr>
          <w:p w14:paraId="5BD71768" w14:textId="77777777" w:rsidR="00E24B12" w:rsidRPr="00E24B12" w:rsidRDefault="00E24B12" w:rsidP="00E24B12">
            <w:pPr>
              <w:keepNext/>
              <w:keepLines/>
              <w:tabs>
                <w:tab w:val="decimal" w:pos="1202"/>
              </w:tabs>
              <w:spacing w:after="0" w:line="240" w:lineRule="exact"/>
              <w:rPr>
                <w:rFonts w:eastAsia="Times New Roman" w:cs="Arial"/>
                <w:b/>
                <w:position w:val="4"/>
              </w:rPr>
            </w:pPr>
          </w:p>
        </w:tc>
        <w:tc>
          <w:tcPr>
            <w:tcW w:w="530" w:type="pct"/>
          </w:tcPr>
          <w:p w14:paraId="65A9E286" w14:textId="77777777" w:rsidR="00E24B12" w:rsidRPr="00E24B12" w:rsidRDefault="00E24B12" w:rsidP="00E24B12">
            <w:pPr>
              <w:keepNext/>
              <w:keepLines/>
              <w:spacing w:after="0" w:line="240" w:lineRule="exact"/>
              <w:jc w:val="center"/>
              <w:rPr>
                <w:rFonts w:eastAsia="Times New Roman" w:cs="Arial"/>
                <w:b/>
                <w:position w:val="4"/>
                <w:u w:val="thick"/>
              </w:rPr>
            </w:pPr>
          </w:p>
        </w:tc>
        <w:tc>
          <w:tcPr>
            <w:tcW w:w="938" w:type="pct"/>
            <w:tcBorders>
              <w:top w:val="single" w:sz="12" w:space="0" w:color="auto"/>
            </w:tcBorders>
            <w:vAlign w:val="bottom"/>
          </w:tcPr>
          <w:p w14:paraId="4164152F" w14:textId="77777777" w:rsidR="00E24B12" w:rsidRPr="00E24B12" w:rsidRDefault="00E24B12" w:rsidP="00E24B12">
            <w:pPr>
              <w:keepNext/>
              <w:keepLines/>
              <w:spacing w:after="0" w:line="240" w:lineRule="exact"/>
              <w:jc w:val="right"/>
              <w:rPr>
                <w:rFonts w:eastAsia="Times New Roman" w:cs="Arial"/>
                <w:b/>
                <w:spacing w:val="-2"/>
                <w:position w:val="4"/>
                <w:u w:val="thick"/>
              </w:rPr>
            </w:pPr>
            <w:r w:rsidRPr="00E24B12">
              <w:rPr>
                <w:rFonts w:eastAsia="Times New Roman" w:cs="Arial"/>
                <w:b/>
                <w:position w:val="4"/>
                <w:u w:val="thick"/>
              </w:rPr>
              <w:t>____________</w:t>
            </w:r>
          </w:p>
        </w:tc>
        <w:tc>
          <w:tcPr>
            <w:tcW w:w="728" w:type="pct"/>
            <w:tcBorders>
              <w:top w:val="single" w:sz="12" w:space="0" w:color="auto"/>
            </w:tcBorders>
            <w:vAlign w:val="bottom"/>
          </w:tcPr>
          <w:p w14:paraId="378D7222" w14:textId="77777777" w:rsidR="00E24B12" w:rsidRPr="00E24B12" w:rsidRDefault="00E24B12" w:rsidP="00E24B12">
            <w:pPr>
              <w:keepNext/>
              <w:keepLines/>
              <w:spacing w:after="0" w:line="240" w:lineRule="exact"/>
              <w:jc w:val="right"/>
              <w:rPr>
                <w:rFonts w:eastAsia="Times New Roman" w:cs="Arial"/>
                <w:b/>
                <w:spacing w:val="-2"/>
                <w:position w:val="4"/>
                <w:u w:val="thick"/>
              </w:rPr>
            </w:pPr>
            <w:r w:rsidRPr="00E24B12">
              <w:rPr>
                <w:rFonts w:eastAsia="Times New Roman" w:cs="Arial"/>
                <w:b/>
                <w:position w:val="4"/>
                <w:u w:val="thick"/>
              </w:rPr>
              <w:t>____________</w:t>
            </w:r>
          </w:p>
        </w:tc>
        <w:tc>
          <w:tcPr>
            <w:tcW w:w="716" w:type="pct"/>
            <w:tcBorders>
              <w:top w:val="single" w:sz="12" w:space="0" w:color="auto"/>
            </w:tcBorders>
          </w:tcPr>
          <w:p w14:paraId="486055D2" w14:textId="77777777" w:rsidR="00E24B12" w:rsidRPr="00E24B12" w:rsidRDefault="00E24B12" w:rsidP="00E24B12">
            <w:pPr>
              <w:keepNext/>
              <w:keepLines/>
              <w:spacing w:after="0" w:line="240" w:lineRule="exact"/>
              <w:jc w:val="right"/>
              <w:rPr>
                <w:rFonts w:eastAsia="Times New Roman" w:cs="Arial"/>
                <w:b/>
                <w:position w:val="4"/>
                <w:u w:val="thick"/>
              </w:rPr>
            </w:pPr>
          </w:p>
        </w:tc>
        <w:tc>
          <w:tcPr>
            <w:tcW w:w="723" w:type="pct"/>
            <w:tcBorders>
              <w:top w:val="single" w:sz="12" w:space="0" w:color="auto"/>
            </w:tcBorders>
          </w:tcPr>
          <w:p w14:paraId="32C94077" w14:textId="77777777" w:rsidR="00E24B12" w:rsidRPr="00E24B12" w:rsidRDefault="00E24B12" w:rsidP="00E24B12">
            <w:pPr>
              <w:keepNext/>
              <w:keepLines/>
              <w:spacing w:after="0" w:line="240" w:lineRule="exact"/>
              <w:jc w:val="right"/>
              <w:rPr>
                <w:rFonts w:eastAsia="Times New Roman" w:cs="Arial"/>
                <w:b/>
                <w:position w:val="4"/>
                <w:u w:val="thick"/>
              </w:rPr>
            </w:pPr>
          </w:p>
        </w:tc>
      </w:tr>
    </w:tbl>
    <w:p w14:paraId="41CDF92F" w14:textId="77777777" w:rsidR="00484F77" w:rsidRPr="00CA37C8" w:rsidRDefault="00484F77" w:rsidP="002445F5">
      <w:pPr>
        <w:spacing w:after="0" w:line="240" w:lineRule="auto"/>
      </w:pPr>
    </w:p>
    <w:p w14:paraId="15DD5C77" w14:textId="77777777" w:rsidR="001E3EF9" w:rsidRPr="00CA37C8" w:rsidRDefault="001E3EF9" w:rsidP="00C4266C">
      <w:pPr>
        <w:keepNext/>
        <w:spacing w:after="0" w:line="240" w:lineRule="auto"/>
        <w:jc w:val="both"/>
        <w:rPr>
          <w:rFonts w:eastAsia="Times New Roman" w:cs="Arial"/>
          <w:sz w:val="24"/>
          <w:szCs w:val="24"/>
        </w:rPr>
      </w:pPr>
    </w:p>
    <w:p w14:paraId="6830F348" w14:textId="77777777" w:rsidR="00810883" w:rsidRPr="00D81EB1" w:rsidRDefault="00810883" w:rsidP="00810883">
      <w:pPr>
        <w:keepNext/>
        <w:spacing w:after="0" w:line="240" w:lineRule="auto"/>
        <w:jc w:val="both"/>
        <w:rPr>
          <w:rFonts w:eastAsia="Times New Roman" w:cs="Arial"/>
          <w:highlight w:val="yellow"/>
        </w:rPr>
      </w:pPr>
      <w:r w:rsidRPr="00D81EB1">
        <w:rPr>
          <w:rFonts w:eastAsia="Times New Roman" w:cs="Arial"/>
        </w:rPr>
        <w:t>Priložene bilješke uz financijske izvještaje sastavni su dio ovog izvještaja o dobiti i gubitku.</w:t>
      </w:r>
    </w:p>
    <w:p w14:paraId="38F1F7E2" w14:textId="77777777" w:rsidR="00D97C38" w:rsidRPr="00CA37C8" w:rsidRDefault="00D97C38">
      <w:pPr>
        <w:spacing w:after="0" w:line="240" w:lineRule="auto"/>
        <w:rPr>
          <w:rFonts w:eastAsia="Times New Roman" w:cs="Arial"/>
          <w:sz w:val="19"/>
          <w:szCs w:val="20"/>
        </w:rPr>
      </w:pPr>
    </w:p>
    <w:p w14:paraId="35BF7411" w14:textId="77777777" w:rsidR="00C447CE" w:rsidRDefault="00C447CE" w:rsidP="00C447CE">
      <w:pPr>
        <w:spacing w:after="0" w:line="240" w:lineRule="auto"/>
      </w:pPr>
    </w:p>
    <w:p w14:paraId="0CD47749" w14:textId="77777777" w:rsidR="00C447CE" w:rsidRDefault="00C447CE" w:rsidP="00C447CE">
      <w:pPr>
        <w:spacing w:after="0" w:line="240" w:lineRule="auto"/>
      </w:pPr>
    </w:p>
    <w:p w14:paraId="4DF0ED75" w14:textId="77777777" w:rsidR="00C447CE" w:rsidRDefault="00C447CE" w:rsidP="00C447CE">
      <w:pPr>
        <w:spacing w:after="0" w:line="240" w:lineRule="auto"/>
        <w:rPr>
          <w:rFonts w:eastAsia="Times New Roman" w:cs="Arial"/>
          <w14:shadow w14:blurRad="50800" w14:dist="38100" w14:dir="2700000" w14:sx="100000" w14:sy="100000" w14:kx="0" w14:ky="0" w14:algn="tl">
            <w14:srgbClr w14:val="000000">
              <w14:alpha w14:val="60000"/>
            </w14:srgbClr>
          </w14:shadow>
        </w:rPr>
      </w:pPr>
    </w:p>
    <w:p w14:paraId="2ED2755A" w14:textId="77777777" w:rsidR="00C447CE" w:rsidRDefault="00C447CE" w:rsidP="00C447CE">
      <w:pPr>
        <w:spacing w:after="0" w:line="240" w:lineRule="auto"/>
      </w:pPr>
      <w:r w:rsidRPr="00876425">
        <w:rPr>
          <w:rFonts w:eastAsia="Times New Roman" w:cs="Arial"/>
        </w:rPr>
        <w:tab/>
      </w:r>
    </w:p>
    <w:p w14:paraId="5AECBAFC" w14:textId="77777777" w:rsidR="00C447CE" w:rsidRDefault="00C447CE" w:rsidP="00C447CE">
      <w:pPr>
        <w:spacing w:after="0" w:line="240" w:lineRule="auto"/>
        <w:rPr>
          <w:rFonts w:eastAsia="Times New Roman" w:cs="Arial"/>
          <w14:shadow w14:blurRad="50800" w14:dist="38100" w14:dir="2700000" w14:sx="100000" w14:sy="100000" w14:kx="0" w14:ky="0" w14:algn="tl">
            <w14:srgbClr w14:val="000000">
              <w14:alpha w14:val="60000"/>
            </w14:srgbClr>
          </w14:shadow>
        </w:rPr>
      </w:pPr>
    </w:p>
    <w:p w14:paraId="46CE45B7" w14:textId="77777777" w:rsidR="00FE35EB" w:rsidRPr="00CA37C8" w:rsidRDefault="00FE35EB" w:rsidP="00FE35EB">
      <w:pPr>
        <w:spacing w:after="0" w:line="240" w:lineRule="auto"/>
      </w:pPr>
    </w:p>
    <w:p w14:paraId="72555418" w14:textId="77777777" w:rsidR="00FE35EB" w:rsidRPr="00CA37C8" w:rsidRDefault="00FE35EB" w:rsidP="00FE35EB">
      <w:pPr>
        <w:spacing w:after="0" w:line="240" w:lineRule="auto"/>
        <w:sectPr w:rsidR="00FE35EB" w:rsidRPr="00CA37C8" w:rsidSect="00305343">
          <w:headerReference w:type="first" r:id="rId37"/>
          <w:footerReference w:type="first" r:id="rId38"/>
          <w:pgSz w:w="11906" w:h="16838" w:code="9"/>
          <w:pgMar w:top="1276" w:right="1133" w:bottom="1417" w:left="1417" w:header="709" w:footer="709" w:gutter="0"/>
          <w:cols w:space="708"/>
          <w:titlePg/>
          <w:docGrid w:linePitch="360"/>
        </w:sectPr>
      </w:pPr>
    </w:p>
    <w:p w14:paraId="4E881C05" w14:textId="77777777" w:rsidR="001E3EF9" w:rsidRDefault="001E3EF9" w:rsidP="00C4266C">
      <w:pPr>
        <w:spacing w:after="0" w:line="240" w:lineRule="auto"/>
      </w:pPr>
    </w:p>
    <w:p w14:paraId="56A7DD08" w14:textId="77777777" w:rsidR="00026EE1" w:rsidRDefault="00026EE1" w:rsidP="00C4266C">
      <w:pPr>
        <w:spacing w:after="0" w:line="240" w:lineRule="auto"/>
      </w:pPr>
    </w:p>
    <w:tbl>
      <w:tblPr>
        <w:tblW w:w="5315" w:type="pct"/>
        <w:tblInd w:w="-307" w:type="dxa"/>
        <w:tblCellMar>
          <w:left w:w="119" w:type="dxa"/>
          <w:right w:w="119" w:type="dxa"/>
        </w:tblCellMar>
        <w:tblLook w:val="0000" w:firstRow="0" w:lastRow="0" w:firstColumn="0" w:lastColumn="0" w:noHBand="0" w:noVBand="0"/>
      </w:tblPr>
      <w:tblGrid>
        <w:gridCol w:w="4229"/>
        <w:gridCol w:w="1323"/>
        <w:gridCol w:w="1559"/>
        <w:gridCol w:w="1579"/>
        <w:gridCol w:w="1255"/>
      </w:tblGrid>
      <w:tr w:rsidR="00481F7C" w:rsidRPr="00CA37C8" w14:paraId="753D4EBE" w14:textId="77777777" w:rsidTr="00312975">
        <w:trPr>
          <w:trHeight w:val="210"/>
        </w:trPr>
        <w:tc>
          <w:tcPr>
            <w:tcW w:w="2126" w:type="pct"/>
            <w:vAlign w:val="center"/>
          </w:tcPr>
          <w:p w14:paraId="66D38F37" w14:textId="77777777" w:rsidR="00481F7C" w:rsidRPr="00CA37C8" w:rsidRDefault="00481F7C" w:rsidP="00932654">
            <w:pPr>
              <w:tabs>
                <w:tab w:val="right" w:pos="1202"/>
              </w:tabs>
              <w:spacing w:after="0" w:line="240" w:lineRule="auto"/>
              <w:jc w:val="center"/>
              <w:outlineLvl w:val="0"/>
              <w:rPr>
                <w:rFonts w:eastAsia="Times New Roman" w:cs="Arial"/>
                <w:b/>
                <w:bCs/>
              </w:rPr>
            </w:pPr>
          </w:p>
        </w:tc>
        <w:tc>
          <w:tcPr>
            <w:tcW w:w="1449" w:type="pct"/>
            <w:gridSpan w:val="2"/>
          </w:tcPr>
          <w:p w14:paraId="5D2A13BC" w14:textId="746B2743" w:rsidR="00481F7C" w:rsidRPr="00CA37C8" w:rsidRDefault="00481F7C" w:rsidP="00932654">
            <w:pPr>
              <w:spacing w:after="0" w:line="240" w:lineRule="exact"/>
              <w:jc w:val="center"/>
              <w:outlineLvl w:val="0"/>
              <w:rPr>
                <w:rFonts w:eastAsia="Times New Roman" w:cs="Arial"/>
                <w:b/>
                <w:bCs/>
              </w:rPr>
            </w:pPr>
            <w:r>
              <w:rPr>
                <w:rFonts w:eastAsia="Times New Roman" w:cs="Arial"/>
                <w:b/>
                <w:bCs/>
              </w:rPr>
              <w:t>2017.</w:t>
            </w:r>
          </w:p>
        </w:tc>
        <w:tc>
          <w:tcPr>
            <w:tcW w:w="1425" w:type="pct"/>
            <w:gridSpan w:val="2"/>
          </w:tcPr>
          <w:p w14:paraId="3243FC93" w14:textId="73E725B6" w:rsidR="00481F7C" w:rsidRPr="00CA37C8" w:rsidRDefault="00481F7C">
            <w:pPr>
              <w:spacing w:after="0" w:line="240" w:lineRule="exact"/>
              <w:jc w:val="center"/>
              <w:outlineLvl w:val="0"/>
              <w:rPr>
                <w:rFonts w:eastAsia="Times New Roman" w:cs="Arial"/>
                <w:b/>
                <w:bCs/>
              </w:rPr>
            </w:pPr>
            <w:r>
              <w:rPr>
                <w:rFonts w:eastAsia="Times New Roman" w:cs="Arial"/>
                <w:b/>
                <w:bCs/>
              </w:rPr>
              <w:t>2016.</w:t>
            </w:r>
          </w:p>
        </w:tc>
      </w:tr>
      <w:tr w:rsidR="00481F7C" w:rsidRPr="00CA37C8" w14:paraId="36143770" w14:textId="77777777" w:rsidTr="00312975">
        <w:trPr>
          <w:trHeight w:val="548"/>
        </w:trPr>
        <w:tc>
          <w:tcPr>
            <w:tcW w:w="2126" w:type="pct"/>
            <w:vAlign w:val="center"/>
          </w:tcPr>
          <w:p w14:paraId="4C02C9D5" w14:textId="77777777" w:rsidR="00481F7C" w:rsidRPr="00312975" w:rsidRDefault="00481F7C" w:rsidP="00932654">
            <w:pPr>
              <w:tabs>
                <w:tab w:val="right" w:pos="1202"/>
              </w:tabs>
              <w:spacing w:after="0" w:line="240" w:lineRule="auto"/>
              <w:jc w:val="center"/>
              <w:outlineLvl w:val="0"/>
              <w:rPr>
                <w:rFonts w:eastAsia="Times New Roman" w:cs="Arial"/>
                <w:bCs/>
              </w:rPr>
            </w:pPr>
          </w:p>
        </w:tc>
        <w:tc>
          <w:tcPr>
            <w:tcW w:w="665" w:type="pct"/>
            <w:vAlign w:val="center"/>
          </w:tcPr>
          <w:p w14:paraId="2205BF21" w14:textId="77777777" w:rsidR="00481F7C" w:rsidRPr="00312975" w:rsidRDefault="00481F7C" w:rsidP="00932654">
            <w:pPr>
              <w:pStyle w:val="TT"/>
              <w:tabs>
                <w:tab w:val="clear" w:pos="1202"/>
              </w:tabs>
              <w:spacing w:line="240" w:lineRule="auto"/>
              <w:jc w:val="center"/>
              <w:rPr>
                <w:rFonts w:asciiTheme="minorHAnsi" w:hAnsiTheme="minorHAnsi" w:cs="Arial"/>
                <w:bCs/>
                <w:sz w:val="22"/>
                <w:szCs w:val="22"/>
                <w:lang w:val="hr-HR"/>
              </w:rPr>
            </w:pPr>
            <w:r w:rsidRPr="00312975">
              <w:rPr>
                <w:rFonts w:asciiTheme="minorHAnsi" w:hAnsiTheme="minorHAnsi" w:cs="Arial"/>
                <w:bCs/>
                <w:sz w:val="22"/>
                <w:szCs w:val="22"/>
                <w:lang w:val="hr-HR"/>
              </w:rPr>
              <w:t>Tekuće razdoblje</w:t>
            </w:r>
          </w:p>
          <w:p w14:paraId="51822B28" w14:textId="77777777" w:rsidR="00481F7C" w:rsidRPr="00312975" w:rsidRDefault="00481F7C" w:rsidP="00932654">
            <w:pPr>
              <w:pStyle w:val="TT"/>
              <w:tabs>
                <w:tab w:val="clear" w:pos="1202"/>
              </w:tabs>
              <w:spacing w:line="240" w:lineRule="auto"/>
              <w:jc w:val="center"/>
              <w:rPr>
                <w:rFonts w:asciiTheme="minorHAnsi" w:hAnsiTheme="minorHAnsi" w:cs="Arial"/>
                <w:bCs/>
                <w:sz w:val="22"/>
                <w:szCs w:val="22"/>
                <w:lang w:val="hr-HR"/>
              </w:rPr>
            </w:pPr>
            <w:r w:rsidRPr="00312975">
              <w:rPr>
                <w:rFonts w:asciiTheme="minorHAnsi" w:hAnsiTheme="minorHAnsi" w:cs="Arial"/>
                <w:bCs/>
                <w:sz w:val="22"/>
                <w:szCs w:val="22"/>
                <w:lang w:val="hr-HR"/>
              </w:rPr>
              <w:t>1.4. - 30.6.</w:t>
            </w:r>
          </w:p>
        </w:tc>
        <w:tc>
          <w:tcPr>
            <w:tcW w:w="784" w:type="pct"/>
            <w:vAlign w:val="center"/>
          </w:tcPr>
          <w:p w14:paraId="09BE7307" w14:textId="77777777" w:rsidR="00481F7C" w:rsidRPr="00312975" w:rsidRDefault="00481F7C" w:rsidP="00932654">
            <w:pPr>
              <w:pStyle w:val="TT"/>
              <w:tabs>
                <w:tab w:val="clear" w:pos="1202"/>
              </w:tabs>
              <w:spacing w:line="240" w:lineRule="auto"/>
              <w:jc w:val="center"/>
              <w:rPr>
                <w:rFonts w:asciiTheme="minorHAnsi" w:hAnsiTheme="minorHAnsi" w:cs="Arial"/>
                <w:bCs/>
                <w:sz w:val="22"/>
                <w:szCs w:val="22"/>
                <w:lang w:val="hr-HR"/>
              </w:rPr>
            </w:pPr>
            <w:r w:rsidRPr="00312975">
              <w:rPr>
                <w:rFonts w:asciiTheme="minorHAnsi" w:hAnsiTheme="minorHAnsi" w:cs="Arial"/>
                <w:bCs/>
                <w:sz w:val="22"/>
                <w:szCs w:val="22"/>
                <w:lang w:val="hr-HR"/>
              </w:rPr>
              <w:t>Kumulativ</w:t>
            </w:r>
          </w:p>
          <w:p w14:paraId="6A4F90AF" w14:textId="77777777" w:rsidR="00481F7C" w:rsidRPr="00312975" w:rsidRDefault="00481F7C" w:rsidP="00932654">
            <w:pPr>
              <w:pStyle w:val="TT"/>
              <w:tabs>
                <w:tab w:val="clear" w:pos="1202"/>
              </w:tabs>
              <w:spacing w:line="240" w:lineRule="auto"/>
              <w:jc w:val="center"/>
              <w:rPr>
                <w:rFonts w:asciiTheme="minorHAnsi" w:hAnsiTheme="minorHAnsi" w:cs="Arial"/>
                <w:bCs/>
                <w:sz w:val="22"/>
                <w:szCs w:val="22"/>
                <w:lang w:val="hr-HR"/>
              </w:rPr>
            </w:pPr>
            <w:r w:rsidRPr="00312975">
              <w:rPr>
                <w:rFonts w:asciiTheme="minorHAnsi" w:hAnsiTheme="minorHAnsi" w:cs="Arial"/>
                <w:bCs/>
                <w:sz w:val="22"/>
                <w:szCs w:val="22"/>
                <w:lang w:val="hr-HR"/>
              </w:rPr>
              <w:t>1.1. - 30.6.</w:t>
            </w:r>
          </w:p>
        </w:tc>
        <w:tc>
          <w:tcPr>
            <w:tcW w:w="794" w:type="pct"/>
            <w:vAlign w:val="center"/>
          </w:tcPr>
          <w:p w14:paraId="096E6BCF" w14:textId="77777777" w:rsidR="00481F7C" w:rsidRPr="00312975" w:rsidRDefault="00481F7C" w:rsidP="00932654">
            <w:pPr>
              <w:pStyle w:val="TT"/>
              <w:tabs>
                <w:tab w:val="clear" w:pos="1202"/>
              </w:tabs>
              <w:spacing w:line="240" w:lineRule="auto"/>
              <w:jc w:val="center"/>
              <w:rPr>
                <w:rFonts w:asciiTheme="minorHAnsi" w:hAnsiTheme="minorHAnsi" w:cs="Arial"/>
                <w:bCs/>
                <w:sz w:val="22"/>
                <w:szCs w:val="22"/>
                <w:lang w:val="hr-HR"/>
              </w:rPr>
            </w:pPr>
            <w:r w:rsidRPr="00312975">
              <w:rPr>
                <w:rFonts w:asciiTheme="minorHAnsi" w:hAnsiTheme="minorHAnsi" w:cs="Arial"/>
                <w:bCs/>
                <w:sz w:val="22"/>
                <w:szCs w:val="22"/>
                <w:lang w:val="hr-HR"/>
              </w:rPr>
              <w:t>Tekuće razdoblje</w:t>
            </w:r>
          </w:p>
          <w:p w14:paraId="6C2A9CB1" w14:textId="77777777" w:rsidR="00481F7C" w:rsidRPr="00312975" w:rsidRDefault="00481F7C" w:rsidP="00932654">
            <w:pPr>
              <w:pStyle w:val="TT"/>
              <w:tabs>
                <w:tab w:val="clear" w:pos="1202"/>
              </w:tabs>
              <w:spacing w:line="240" w:lineRule="auto"/>
              <w:jc w:val="center"/>
              <w:rPr>
                <w:rFonts w:asciiTheme="minorHAnsi" w:hAnsiTheme="minorHAnsi" w:cs="Arial"/>
                <w:bCs/>
                <w:sz w:val="22"/>
                <w:szCs w:val="22"/>
                <w:lang w:val="hr-HR"/>
              </w:rPr>
            </w:pPr>
            <w:r w:rsidRPr="00312975">
              <w:rPr>
                <w:rFonts w:asciiTheme="minorHAnsi" w:hAnsiTheme="minorHAnsi" w:cs="Arial"/>
                <w:bCs/>
                <w:sz w:val="22"/>
                <w:szCs w:val="22"/>
                <w:lang w:val="hr-HR"/>
              </w:rPr>
              <w:t>1.4. - 30.6.</w:t>
            </w:r>
          </w:p>
        </w:tc>
        <w:tc>
          <w:tcPr>
            <w:tcW w:w="631" w:type="pct"/>
            <w:vAlign w:val="center"/>
          </w:tcPr>
          <w:p w14:paraId="39CA30DB" w14:textId="77777777" w:rsidR="00481F7C" w:rsidRPr="00312975" w:rsidRDefault="00481F7C" w:rsidP="00932654">
            <w:pPr>
              <w:pStyle w:val="TT"/>
              <w:tabs>
                <w:tab w:val="clear" w:pos="1202"/>
              </w:tabs>
              <w:spacing w:line="240" w:lineRule="auto"/>
              <w:jc w:val="center"/>
              <w:rPr>
                <w:rFonts w:asciiTheme="minorHAnsi" w:hAnsiTheme="minorHAnsi" w:cs="Arial"/>
                <w:bCs/>
                <w:sz w:val="22"/>
                <w:szCs w:val="22"/>
                <w:lang w:val="hr-HR"/>
              </w:rPr>
            </w:pPr>
            <w:r w:rsidRPr="00312975">
              <w:rPr>
                <w:rFonts w:asciiTheme="minorHAnsi" w:hAnsiTheme="minorHAnsi" w:cs="Arial"/>
                <w:bCs/>
                <w:sz w:val="22"/>
                <w:szCs w:val="22"/>
                <w:lang w:val="hr-HR"/>
              </w:rPr>
              <w:t>Kumulativ</w:t>
            </w:r>
          </w:p>
          <w:p w14:paraId="1CC11375" w14:textId="77777777" w:rsidR="00481F7C" w:rsidRPr="00312975" w:rsidRDefault="00481F7C" w:rsidP="00932654">
            <w:pPr>
              <w:pStyle w:val="TT"/>
              <w:tabs>
                <w:tab w:val="clear" w:pos="1202"/>
              </w:tabs>
              <w:spacing w:line="240" w:lineRule="auto"/>
              <w:jc w:val="center"/>
              <w:rPr>
                <w:rFonts w:asciiTheme="minorHAnsi" w:hAnsiTheme="minorHAnsi" w:cs="Arial"/>
                <w:bCs/>
                <w:sz w:val="22"/>
                <w:szCs w:val="22"/>
                <w:lang w:val="hr-HR"/>
              </w:rPr>
            </w:pPr>
            <w:r w:rsidRPr="00312975">
              <w:rPr>
                <w:rFonts w:asciiTheme="minorHAnsi" w:hAnsiTheme="minorHAnsi" w:cs="Arial"/>
                <w:bCs/>
                <w:sz w:val="22"/>
                <w:szCs w:val="22"/>
                <w:lang w:val="hr-HR"/>
              </w:rPr>
              <w:t>1.1. - 30.6.</w:t>
            </w:r>
          </w:p>
        </w:tc>
      </w:tr>
      <w:tr w:rsidR="00481F7C" w:rsidRPr="00CA37C8" w14:paraId="41BE4CED" w14:textId="77777777" w:rsidTr="00312975">
        <w:trPr>
          <w:trHeight w:val="357"/>
        </w:trPr>
        <w:tc>
          <w:tcPr>
            <w:tcW w:w="2126" w:type="pct"/>
            <w:vAlign w:val="center"/>
          </w:tcPr>
          <w:p w14:paraId="409F858D" w14:textId="77777777" w:rsidR="00481F7C" w:rsidRPr="00CA37C8" w:rsidRDefault="00481F7C" w:rsidP="00932654">
            <w:pPr>
              <w:tabs>
                <w:tab w:val="right" w:pos="1202"/>
              </w:tabs>
              <w:spacing w:after="0" w:line="240" w:lineRule="auto"/>
              <w:jc w:val="center"/>
              <w:outlineLvl w:val="0"/>
              <w:rPr>
                <w:rFonts w:eastAsia="Times New Roman" w:cs="Arial"/>
                <w:b/>
                <w:bCs/>
              </w:rPr>
            </w:pPr>
          </w:p>
        </w:tc>
        <w:tc>
          <w:tcPr>
            <w:tcW w:w="665" w:type="pct"/>
          </w:tcPr>
          <w:p w14:paraId="42D33F19" w14:textId="77777777" w:rsidR="00481F7C" w:rsidRPr="00CA37C8" w:rsidRDefault="00481F7C" w:rsidP="00932654">
            <w:pPr>
              <w:spacing w:after="0" w:line="240" w:lineRule="auto"/>
              <w:jc w:val="right"/>
              <w:outlineLvl w:val="0"/>
              <w:rPr>
                <w:rFonts w:eastAsia="Times New Roman" w:cs="Arial"/>
                <w:b/>
                <w:bCs/>
              </w:rPr>
            </w:pPr>
          </w:p>
        </w:tc>
        <w:tc>
          <w:tcPr>
            <w:tcW w:w="784" w:type="pct"/>
          </w:tcPr>
          <w:p w14:paraId="3D2889DC" w14:textId="77777777" w:rsidR="00481F7C" w:rsidRPr="00CA37C8" w:rsidRDefault="00481F7C" w:rsidP="00932654">
            <w:pPr>
              <w:spacing w:after="0" w:line="240" w:lineRule="auto"/>
              <w:jc w:val="right"/>
              <w:outlineLvl w:val="0"/>
              <w:rPr>
                <w:rFonts w:eastAsia="Times New Roman" w:cs="Arial"/>
                <w:b/>
                <w:bCs/>
              </w:rPr>
            </w:pPr>
          </w:p>
        </w:tc>
        <w:tc>
          <w:tcPr>
            <w:tcW w:w="794" w:type="pct"/>
          </w:tcPr>
          <w:p w14:paraId="573D865A" w14:textId="77777777" w:rsidR="00481F7C" w:rsidRPr="00CA37C8" w:rsidRDefault="00481F7C" w:rsidP="00932654">
            <w:pPr>
              <w:spacing w:after="0" w:line="240" w:lineRule="auto"/>
              <w:jc w:val="right"/>
              <w:outlineLvl w:val="0"/>
              <w:rPr>
                <w:rFonts w:eastAsia="Times New Roman" w:cs="Arial"/>
                <w:b/>
                <w:bCs/>
              </w:rPr>
            </w:pPr>
          </w:p>
        </w:tc>
        <w:tc>
          <w:tcPr>
            <w:tcW w:w="631" w:type="pct"/>
          </w:tcPr>
          <w:p w14:paraId="6E5804D5" w14:textId="77777777" w:rsidR="00481F7C" w:rsidRPr="00CA37C8" w:rsidRDefault="00481F7C" w:rsidP="00932654">
            <w:pPr>
              <w:spacing w:after="0" w:line="240" w:lineRule="auto"/>
              <w:jc w:val="right"/>
              <w:outlineLvl w:val="0"/>
              <w:rPr>
                <w:rFonts w:eastAsia="Times New Roman" w:cs="Arial"/>
                <w:b/>
                <w:bCs/>
              </w:rPr>
            </w:pPr>
          </w:p>
        </w:tc>
      </w:tr>
      <w:tr w:rsidR="00481F7C" w:rsidRPr="00CA37C8" w14:paraId="7160770A" w14:textId="77777777" w:rsidTr="00312975">
        <w:trPr>
          <w:trHeight w:val="348"/>
        </w:trPr>
        <w:tc>
          <w:tcPr>
            <w:tcW w:w="2126" w:type="pct"/>
            <w:vAlign w:val="bottom"/>
          </w:tcPr>
          <w:p w14:paraId="3C99E927" w14:textId="45DA064B" w:rsidR="00481F7C" w:rsidRPr="00CA37C8" w:rsidRDefault="00481F7C" w:rsidP="000035C6">
            <w:pPr>
              <w:tabs>
                <w:tab w:val="right" w:pos="1202"/>
              </w:tabs>
              <w:spacing w:after="0" w:line="280" w:lineRule="exact"/>
              <w:outlineLvl w:val="0"/>
              <w:rPr>
                <w:rFonts w:eastAsia="Times New Roman" w:cs="Arial"/>
                <w:b/>
                <w:bCs/>
              </w:rPr>
            </w:pPr>
            <w:r w:rsidRPr="00CA37C8">
              <w:rPr>
                <w:rFonts w:eastAsia="Times New Roman" w:cs="Arial"/>
                <w:b/>
                <w:bCs/>
              </w:rPr>
              <w:t>Dobit tekuće</w:t>
            </w:r>
            <w:r w:rsidR="000035C6">
              <w:rPr>
                <w:rFonts w:eastAsia="Times New Roman" w:cs="Arial"/>
                <w:b/>
                <w:bCs/>
              </w:rPr>
              <w:t>g razdoblja</w:t>
            </w:r>
          </w:p>
        </w:tc>
        <w:tc>
          <w:tcPr>
            <w:tcW w:w="665" w:type="pct"/>
            <w:tcBorders>
              <w:left w:val="nil"/>
              <w:bottom w:val="single" w:sz="12" w:space="0" w:color="auto"/>
              <w:right w:val="nil"/>
            </w:tcBorders>
            <w:shd w:val="clear" w:color="auto" w:fill="auto"/>
            <w:vAlign w:val="bottom"/>
          </w:tcPr>
          <w:p w14:paraId="77925AD3" w14:textId="49EE4E6F" w:rsidR="00481F7C" w:rsidRPr="00722C53" w:rsidRDefault="00687EB8" w:rsidP="00481F7C">
            <w:pPr>
              <w:tabs>
                <w:tab w:val="right" w:pos="1202"/>
              </w:tabs>
              <w:spacing w:after="0" w:line="280" w:lineRule="exact"/>
              <w:jc w:val="right"/>
              <w:outlineLvl w:val="0"/>
              <w:rPr>
                <w:rFonts w:eastAsia="Times New Roman" w:cs="Arial"/>
                <w:b/>
                <w:bCs/>
              </w:rPr>
            </w:pPr>
            <w:r w:rsidRPr="00687EB8">
              <w:rPr>
                <w:rFonts w:eastAsia="Times New Roman" w:cs="Arial"/>
                <w:b/>
                <w:bCs/>
              </w:rPr>
              <w:t>89.105</w:t>
            </w:r>
          </w:p>
        </w:tc>
        <w:tc>
          <w:tcPr>
            <w:tcW w:w="784" w:type="pct"/>
            <w:tcBorders>
              <w:left w:val="nil"/>
              <w:bottom w:val="single" w:sz="12" w:space="0" w:color="auto"/>
              <w:right w:val="nil"/>
            </w:tcBorders>
            <w:shd w:val="clear" w:color="auto" w:fill="auto"/>
            <w:vAlign w:val="bottom"/>
          </w:tcPr>
          <w:p w14:paraId="44B352CE" w14:textId="1C587744" w:rsidR="00481F7C" w:rsidRPr="002B2DDF" w:rsidRDefault="00C01D95" w:rsidP="00481F7C">
            <w:pPr>
              <w:tabs>
                <w:tab w:val="right" w:pos="1202"/>
              </w:tabs>
              <w:spacing w:after="0" w:line="280" w:lineRule="exact"/>
              <w:jc w:val="right"/>
              <w:outlineLvl w:val="0"/>
              <w:rPr>
                <w:rFonts w:cs="Calibri"/>
                <w:b/>
                <w:bCs/>
              </w:rPr>
            </w:pPr>
            <w:r>
              <w:rPr>
                <w:rFonts w:cs="Calibri"/>
                <w:b/>
                <w:bCs/>
              </w:rPr>
              <w:t>129.356</w:t>
            </w:r>
          </w:p>
        </w:tc>
        <w:tc>
          <w:tcPr>
            <w:tcW w:w="794" w:type="pct"/>
            <w:tcBorders>
              <w:top w:val="nil"/>
              <w:left w:val="nil"/>
              <w:bottom w:val="single" w:sz="8" w:space="0" w:color="auto"/>
              <w:right w:val="nil"/>
            </w:tcBorders>
            <w:shd w:val="clear" w:color="auto" w:fill="auto"/>
            <w:vAlign w:val="bottom"/>
          </w:tcPr>
          <w:p w14:paraId="2E7C6FF2" w14:textId="25CCBBF4" w:rsidR="00481F7C" w:rsidRPr="00CA37C8" w:rsidRDefault="00481F7C" w:rsidP="00481F7C">
            <w:pPr>
              <w:tabs>
                <w:tab w:val="right" w:pos="1202"/>
              </w:tabs>
              <w:spacing w:after="0" w:line="280" w:lineRule="exact"/>
              <w:jc w:val="right"/>
              <w:outlineLvl w:val="0"/>
              <w:rPr>
                <w:rFonts w:eastAsia="Times New Roman" w:cs="Arial"/>
                <w:b/>
                <w:bCs/>
              </w:rPr>
            </w:pPr>
            <w:r w:rsidRPr="00722C53">
              <w:rPr>
                <w:rFonts w:cs="Arial"/>
                <w:b/>
                <w:bCs/>
              </w:rPr>
              <w:t>54.323</w:t>
            </w:r>
          </w:p>
        </w:tc>
        <w:tc>
          <w:tcPr>
            <w:tcW w:w="631" w:type="pct"/>
            <w:tcBorders>
              <w:top w:val="nil"/>
              <w:left w:val="nil"/>
              <w:bottom w:val="single" w:sz="8" w:space="0" w:color="auto"/>
              <w:right w:val="nil"/>
            </w:tcBorders>
            <w:shd w:val="clear" w:color="auto" w:fill="auto"/>
            <w:vAlign w:val="bottom"/>
          </w:tcPr>
          <w:p w14:paraId="76DF58D9" w14:textId="281300F9" w:rsidR="00481F7C" w:rsidRPr="00A105CF" w:rsidRDefault="00481F7C" w:rsidP="00481F7C">
            <w:pPr>
              <w:tabs>
                <w:tab w:val="right" w:pos="1202"/>
              </w:tabs>
              <w:spacing w:after="0" w:line="280" w:lineRule="exact"/>
              <w:jc w:val="right"/>
              <w:outlineLvl w:val="0"/>
              <w:rPr>
                <w:rFonts w:ascii="Calibri" w:hAnsi="Calibri" w:cs="Calibri"/>
                <w:b/>
                <w:bCs/>
              </w:rPr>
            </w:pPr>
            <w:r w:rsidRPr="00722C53">
              <w:rPr>
                <w:rFonts w:cs="Arial"/>
                <w:b/>
                <w:bCs/>
              </w:rPr>
              <w:t>107.235</w:t>
            </w:r>
          </w:p>
        </w:tc>
      </w:tr>
      <w:tr w:rsidR="00481F7C" w:rsidRPr="00CA37C8" w14:paraId="1E0E9C0C" w14:textId="77777777" w:rsidTr="00312975">
        <w:trPr>
          <w:trHeight w:hRule="exact" w:val="227"/>
        </w:trPr>
        <w:tc>
          <w:tcPr>
            <w:tcW w:w="2126" w:type="pct"/>
          </w:tcPr>
          <w:p w14:paraId="1CC39E5D" w14:textId="77777777" w:rsidR="00481F7C" w:rsidRPr="00CA37C8" w:rsidRDefault="00481F7C" w:rsidP="00481F7C">
            <w:pPr>
              <w:tabs>
                <w:tab w:val="right" w:pos="1202"/>
              </w:tabs>
              <w:spacing w:after="0" w:line="280" w:lineRule="exact"/>
              <w:outlineLvl w:val="0"/>
              <w:rPr>
                <w:rFonts w:eastAsia="Times New Roman" w:cs="Arial"/>
                <w:b/>
                <w:bCs/>
              </w:rPr>
            </w:pPr>
          </w:p>
        </w:tc>
        <w:tc>
          <w:tcPr>
            <w:tcW w:w="665" w:type="pct"/>
            <w:tcBorders>
              <w:top w:val="single" w:sz="12" w:space="0" w:color="auto"/>
            </w:tcBorders>
            <w:vAlign w:val="bottom"/>
          </w:tcPr>
          <w:p w14:paraId="179F26A3" w14:textId="77777777" w:rsidR="00481F7C" w:rsidRPr="00722C53" w:rsidRDefault="00481F7C" w:rsidP="00481F7C">
            <w:pPr>
              <w:tabs>
                <w:tab w:val="right" w:pos="1202"/>
              </w:tabs>
              <w:spacing w:after="0" w:line="280" w:lineRule="exact"/>
              <w:jc w:val="right"/>
              <w:outlineLvl w:val="0"/>
              <w:rPr>
                <w:rFonts w:eastAsia="Times New Roman" w:cs="Arial"/>
                <w:b/>
                <w:bCs/>
              </w:rPr>
            </w:pPr>
          </w:p>
        </w:tc>
        <w:tc>
          <w:tcPr>
            <w:tcW w:w="784" w:type="pct"/>
            <w:tcBorders>
              <w:top w:val="single" w:sz="12" w:space="0" w:color="auto"/>
            </w:tcBorders>
            <w:vAlign w:val="bottom"/>
          </w:tcPr>
          <w:p w14:paraId="4F99EE51" w14:textId="77777777" w:rsidR="00481F7C" w:rsidRPr="002B2DDF" w:rsidRDefault="00481F7C" w:rsidP="00481F7C">
            <w:pPr>
              <w:tabs>
                <w:tab w:val="right" w:pos="1202"/>
              </w:tabs>
              <w:spacing w:after="0" w:line="280" w:lineRule="exact"/>
              <w:jc w:val="right"/>
              <w:outlineLvl w:val="0"/>
              <w:rPr>
                <w:rFonts w:cs="Calibri"/>
                <w:b/>
                <w:bCs/>
              </w:rPr>
            </w:pPr>
          </w:p>
        </w:tc>
        <w:tc>
          <w:tcPr>
            <w:tcW w:w="794" w:type="pct"/>
            <w:tcBorders>
              <w:top w:val="single" w:sz="12" w:space="0" w:color="auto"/>
            </w:tcBorders>
            <w:vAlign w:val="bottom"/>
          </w:tcPr>
          <w:p w14:paraId="5F586E9E" w14:textId="77777777" w:rsidR="00481F7C" w:rsidRPr="00CA37C8" w:rsidRDefault="00481F7C" w:rsidP="00481F7C">
            <w:pPr>
              <w:tabs>
                <w:tab w:val="right" w:pos="1202"/>
              </w:tabs>
              <w:spacing w:after="0" w:line="280" w:lineRule="exact"/>
              <w:jc w:val="right"/>
              <w:outlineLvl w:val="0"/>
              <w:rPr>
                <w:rFonts w:eastAsia="Times New Roman" w:cs="Arial"/>
                <w:b/>
                <w:bCs/>
              </w:rPr>
            </w:pPr>
          </w:p>
        </w:tc>
        <w:tc>
          <w:tcPr>
            <w:tcW w:w="631" w:type="pct"/>
            <w:tcBorders>
              <w:top w:val="single" w:sz="12" w:space="0" w:color="auto"/>
            </w:tcBorders>
            <w:vAlign w:val="bottom"/>
          </w:tcPr>
          <w:p w14:paraId="5E989164" w14:textId="77777777" w:rsidR="00481F7C" w:rsidRDefault="00481F7C" w:rsidP="00481F7C">
            <w:pPr>
              <w:tabs>
                <w:tab w:val="right" w:pos="1202"/>
              </w:tabs>
              <w:spacing w:after="0" w:line="280" w:lineRule="exact"/>
              <w:jc w:val="right"/>
              <w:outlineLvl w:val="0"/>
              <w:rPr>
                <w:rFonts w:ascii="Calibri" w:hAnsi="Calibri" w:cs="Calibri"/>
                <w:b/>
                <w:bCs/>
              </w:rPr>
            </w:pPr>
          </w:p>
        </w:tc>
      </w:tr>
      <w:tr w:rsidR="00481F7C" w:rsidRPr="00CA37C8" w14:paraId="6E10FAB9" w14:textId="77777777" w:rsidTr="00312975">
        <w:trPr>
          <w:trHeight w:val="348"/>
        </w:trPr>
        <w:tc>
          <w:tcPr>
            <w:tcW w:w="2126" w:type="pct"/>
            <w:vAlign w:val="bottom"/>
          </w:tcPr>
          <w:p w14:paraId="31852F5C" w14:textId="77777777" w:rsidR="00481F7C" w:rsidRPr="00CA37C8" w:rsidRDefault="00481F7C" w:rsidP="00481F7C">
            <w:pPr>
              <w:tabs>
                <w:tab w:val="right" w:pos="1202"/>
              </w:tabs>
              <w:spacing w:after="0" w:line="280" w:lineRule="exact"/>
              <w:outlineLvl w:val="0"/>
              <w:rPr>
                <w:rFonts w:eastAsia="Times New Roman" w:cs="Arial"/>
                <w:b/>
                <w:bCs/>
              </w:rPr>
            </w:pPr>
            <w:r w:rsidRPr="00CA37C8">
              <w:rPr>
                <w:rFonts w:eastAsia="Times New Roman" w:cs="Arial"/>
                <w:b/>
                <w:bCs/>
              </w:rPr>
              <w:t>Ostala sveobuhvatna dobit</w:t>
            </w:r>
          </w:p>
        </w:tc>
        <w:tc>
          <w:tcPr>
            <w:tcW w:w="665" w:type="pct"/>
            <w:vAlign w:val="bottom"/>
          </w:tcPr>
          <w:p w14:paraId="5D769C56" w14:textId="77777777" w:rsidR="00481F7C" w:rsidRPr="00722C53" w:rsidRDefault="00481F7C" w:rsidP="00481F7C">
            <w:pPr>
              <w:tabs>
                <w:tab w:val="right" w:pos="1202"/>
              </w:tabs>
              <w:spacing w:after="0" w:line="280" w:lineRule="exact"/>
              <w:jc w:val="right"/>
              <w:outlineLvl w:val="0"/>
              <w:rPr>
                <w:rFonts w:eastAsia="Times New Roman" w:cs="Arial"/>
                <w:b/>
                <w:bCs/>
              </w:rPr>
            </w:pPr>
          </w:p>
        </w:tc>
        <w:tc>
          <w:tcPr>
            <w:tcW w:w="784" w:type="pct"/>
            <w:vAlign w:val="bottom"/>
          </w:tcPr>
          <w:p w14:paraId="2A5866C3" w14:textId="77777777" w:rsidR="00481F7C" w:rsidRPr="00722C53" w:rsidRDefault="00481F7C" w:rsidP="00481F7C">
            <w:pPr>
              <w:tabs>
                <w:tab w:val="right" w:pos="1202"/>
              </w:tabs>
              <w:spacing w:after="0" w:line="280" w:lineRule="exact"/>
              <w:jc w:val="right"/>
              <w:outlineLvl w:val="0"/>
              <w:rPr>
                <w:rFonts w:eastAsia="Times New Roman" w:cs="Arial"/>
                <w:b/>
                <w:bCs/>
              </w:rPr>
            </w:pPr>
          </w:p>
        </w:tc>
        <w:tc>
          <w:tcPr>
            <w:tcW w:w="794" w:type="pct"/>
            <w:vAlign w:val="bottom"/>
          </w:tcPr>
          <w:p w14:paraId="1C6B0050" w14:textId="77777777" w:rsidR="00481F7C" w:rsidRPr="00CA37C8" w:rsidRDefault="00481F7C" w:rsidP="00481F7C">
            <w:pPr>
              <w:tabs>
                <w:tab w:val="right" w:pos="1202"/>
              </w:tabs>
              <w:spacing w:after="0" w:line="280" w:lineRule="exact"/>
              <w:jc w:val="right"/>
              <w:outlineLvl w:val="0"/>
              <w:rPr>
                <w:rFonts w:eastAsia="Times New Roman" w:cs="Arial"/>
                <w:b/>
                <w:bCs/>
              </w:rPr>
            </w:pPr>
          </w:p>
        </w:tc>
        <w:tc>
          <w:tcPr>
            <w:tcW w:w="631" w:type="pct"/>
            <w:vAlign w:val="bottom"/>
          </w:tcPr>
          <w:p w14:paraId="4FF7BCC0" w14:textId="77777777" w:rsidR="00481F7C" w:rsidRPr="00CA37C8" w:rsidRDefault="00481F7C" w:rsidP="00481F7C">
            <w:pPr>
              <w:tabs>
                <w:tab w:val="right" w:pos="1202"/>
              </w:tabs>
              <w:spacing w:after="0" w:line="280" w:lineRule="exact"/>
              <w:jc w:val="right"/>
              <w:outlineLvl w:val="0"/>
              <w:rPr>
                <w:rFonts w:eastAsia="Times New Roman" w:cs="Arial"/>
                <w:b/>
                <w:bCs/>
              </w:rPr>
            </w:pPr>
          </w:p>
        </w:tc>
      </w:tr>
      <w:tr w:rsidR="00481F7C" w:rsidRPr="00CA37C8" w14:paraId="5F442D1F" w14:textId="77777777" w:rsidTr="00312975">
        <w:trPr>
          <w:trHeight w:hRule="exact" w:val="227"/>
        </w:trPr>
        <w:tc>
          <w:tcPr>
            <w:tcW w:w="2126" w:type="pct"/>
            <w:vAlign w:val="bottom"/>
          </w:tcPr>
          <w:p w14:paraId="1C6F7768" w14:textId="77777777" w:rsidR="00481F7C" w:rsidRPr="00CA37C8" w:rsidRDefault="00481F7C" w:rsidP="00481F7C">
            <w:pPr>
              <w:tabs>
                <w:tab w:val="right" w:pos="1202"/>
              </w:tabs>
              <w:spacing w:after="0" w:line="280" w:lineRule="exact"/>
              <w:outlineLvl w:val="0"/>
              <w:rPr>
                <w:rFonts w:eastAsia="Times New Roman" w:cs="Arial"/>
                <w:b/>
                <w:bCs/>
              </w:rPr>
            </w:pPr>
          </w:p>
        </w:tc>
        <w:tc>
          <w:tcPr>
            <w:tcW w:w="665" w:type="pct"/>
            <w:vAlign w:val="bottom"/>
          </w:tcPr>
          <w:p w14:paraId="7B448F58" w14:textId="77777777" w:rsidR="00481F7C" w:rsidRPr="00722C53" w:rsidRDefault="00481F7C" w:rsidP="00481F7C">
            <w:pPr>
              <w:tabs>
                <w:tab w:val="right" w:pos="1202"/>
              </w:tabs>
              <w:spacing w:after="0" w:line="280" w:lineRule="exact"/>
              <w:jc w:val="right"/>
              <w:outlineLvl w:val="0"/>
              <w:rPr>
                <w:rFonts w:eastAsia="Times New Roman" w:cs="Arial"/>
                <w:b/>
                <w:bCs/>
              </w:rPr>
            </w:pPr>
          </w:p>
        </w:tc>
        <w:tc>
          <w:tcPr>
            <w:tcW w:w="784" w:type="pct"/>
            <w:vAlign w:val="bottom"/>
          </w:tcPr>
          <w:p w14:paraId="103C1683" w14:textId="77777777" w:rsidR="00481F7C" w:rsidRPr="00722C53" w:rsidRDefault="00481F7C" w:rsidP="00481F7C">
            <w:pPr>
              <w:tabs>
                <w:tab w:val="right" w:pos="1202"/>
              </w:tabs>
              <w:spacing w:after="0" w:line="280" w:lineRule="exact"/>
              <w:jc w:val="right"/>
              <w:outlineLvl w:val="0"/>
              <w:rPr>
                <w:rFonts w:eastAsia="Times New Roman" w:cs="Arial"/>
                <w:b/>
                <w:bCs/>
              </w:rPr>
            </w:pPr>
          </w:p>
        </w:tc>
        <w:tc>
          <w:tcPr>
            <w:tcW w:w="794" w:type="pct"/>
            <w:vAlign w:val="bottom"/>
          </w:tcPr>
          <w:p w14:paraId="6C3856A9" w14:textId="77777777" w:rsidR="00481F7C" w:rsidRPr="00CA37C8" w:rsidRDefault="00481F7C" w:rsidP="00481F7C">
            <w:pPr>
              <w:tabs>
                <w:tab w:val="right" w:pos="1202"/>
              </w:tabs>
              <w:spacing w:after="0" w:line="280" w:lineRule="exact"/>
              <w:jc w:val="right"/>
              <w:outlineLvl w:val="0"/>
              <w:rPr>
                <w:rFonts w:eastAsia="Times New Roman" w:cs="Arial"/>
                <w:b/>
                <w:bCs/>
              </w:rPr>
            </w:pPr>
          </w:p>
        </w:tc>
        <w:tc>
          <w:tcPr>
            <w:tcW w:w="631" w:type="pct"/>
            <w:vAlign w:val="bottom"/>
          </w:tcPr>
          <w:p w14:paraId="48617EA4" w14:textId="77777777" w:rsidR="00481F7C" w:rsidRPr="00CA37C8" w:rsidRDefault="00481F7C" w:rsidP="00481F7C">
            <w:pPr>
              <w:tabs>
                <w:tab w:val="right" w:pos="1202"/>
              </w:tabs>
              <w:spacing w:after="0" w:line="280" w:lineRule="exact"/>
              <w:jc w:val="right"/>
              <w:outlineLvl w:val="0"/>
              <w:rPr>
                <w:rFonts w:eastAsia="Times New Roman" w:cs="Arial"/>
                <w:b/>
                <w:bCs/>
              </w:rPr>
            </w:pPr>
          </w:p>
        </w:tc>
      </w:tr>
      <w:tr w:rsidR="00481F7C" w:rsidRPr="00CA37C8" w14:paraId="7B0AF0B8" w14:textId="77777777" w:rsidTr="00312975">
        <w:trPr>
          <w:trHeight w:val="348"/>
        </w:trPr>
        <w:tc>
          <w:tcPr>
            <w:tcW w:w="2126" w:type="pct"/>
            <w:vAlign w:val="bottom"/>
          </w:tcPr>
          <w:p w14:paraId="5583EC68" w14:textId="77777777" w:rsidR="00481F7C" w:rsidRPr="00CA37C8" w:rsidRDefault="00481F7C" w:rsidP="00481F7C">
            <w:pPr>
              <w:tabs>
                <w:tab w:val="right" w:pos="1202"/>
              </w:tabs>
              <w:spacing w:after="0" w:line="280" w:lineRule="exact"/>
              <w:outlineLvl w:val="0"/>
              <w:rPr>
                <w:rFonts w:eastAsia="Times New Roman" w:cs="Arial"/>
                <w:b/>
                <w:bCs/>
              </w:rPr>
            </w:pPr>
            <w:r w:rsidRPr="00CA37C8">
              <w:rPr>
                <w:rFonts w:eastAsia="Times New Roman" w:cs="Arial"/>
                <w:b/>
                <w:bCs/>
              </w:rPr>
              <w:t>Stavke koje se kasnije mogu uračunati u dobit ili gubitak:</w:t>
            </w:r>
          </w:p>
        </w:tc>
        <w:tc>
          <w:tcPr>
            <w:tcW w:w="665" w:type="pct"/>
            <w:vAlign w:val="bottom"/>
          </w:tcPr>
          <w:p w14:paraId="41112C12" w14:textId="77777777" w:rsidR="00481F7C" w:rsidRPr="00722C53" w:rsidRDefault="00481F7C" w:rsidP="00481F7C">
            <w:pPr>
              <w:tabs>
                <w:tab w:val="right" w:pos="1202"/>
              </w:tabs>
              <w:spacing w:after="0" w:line="280" w:lineRule="exact"/>
              <w:jc w:val="right"/>
              <w:outlineLvl w:val="0"/>
              <w:rPr>
                <w:rFonts w:eastAsia="Times New Roman" w:cs="Arial"/>
                <w:b/>
                <w:bCs/>
              </w:rPr>
            </w:pPr>
          </w:p>
        </w:tc>
        <w:tc>
          <w:tcPr>
            <w:tcW w:w="784" w:type="pct"/>
            <w:vAlign w:val="bottom"/>
          </w:tcPr>
          <w:p w14:paraId="4AD483A8" w14:textId="77777777" w:rsidR="00481F7C" w:rsidRPr="00722C53" w:rsidRDefault="00481F7C" w:rsidP="00481F7C">
            <w:pPr>
              <w:tabs>
                <w:tab w:val="right" w:pos="1202"/>
              </w:tabs>
              <w:spacing w:after="0" w:line="280" w:lineRule="exact"/>
              <w:jc w:val="right"/>
              <w:outlineLvl w:val="0"/>
              <w:rPr>
                <w:rFonts w:eastAsia="Times New Roman" w:cs="Arial"/>
                <w:b/>
                <w:bCs/>
              </w:rPr>
            </w:pPr>
          </w:p>
        </w:tc>
        <w:tc>
          <w:tcPr>
            <w:tcW w:w="794" w:type="pct"/>
            <w:vAlign w:val="bottom"/>
          </w:tcPr>
          <w:p w14:paraId="55CBAB0F" w14:textId="77777777" w:rsidR="00481F7C" w:rsidRPr="00CA37C8" w:rsidRDefault="00481F7C" w:rsidP="00481F7C">
            <w:pPr>
              <w:tabs>
                <w:tab w:val="right" w:pos="1202"/>
              </w:tabs>
              <w:spacing w:after="0" w:line="280" w:lineRule="exact"/>
              <w:jc w:val="right"/>
              <w:outlineLvl w:val="0"/>
              <w:rPr>
                <w:rFonts w:eastAsia="Times New Roman" w:cs="Arial"/>
                <w:b/>
                <w:bCs/>
              </w:rPr>
            </w:pPr>
          </w:p>
        </w:tc>
        <w:tc>
          <w:tcPr>
            <w:tcW w:w="631" w:type="pct"/>
            <w:vAlign w:val="bottom"/>
          </w:tcPr>
          <w:p w14:paraId="016E2EED" w14:textId="77777777" w:rsidR="00481F7C" w:rsidRPr="00CA37C8" w:rsidRDefault="00481F7C" w:rsidP="00481F7C">
            <w:pPr>
              <w:tabs>
                <w:tab w:val="right" w:pos="1202"/>
              </w:tabs>
              <w:spacing w:after="0" w:line="280" w:lineRule="exact"/>
              <w:jc w:val="right"/>
              <w:outlineLvl w:val="0"/>
              <w:rPr>
                <w:rFonts w:eastAsia="Times New Roman" w:cs="Arial"/>
                <w:b/>
                <w:bCs/>
              </w:rPr>
            </w:pPr>
          </w:p>
        </w:tc>
      </w:tr>
      <w:tr w:rsidR="00481F7C" w:rsidRPr="00CA37C8" w14:paraId="53C0111E" w14:textId="77777777" w:rsidTr="00312975">
        <w:trPr>
          <w:trHeight w:val="348"/>
        </w:trPr>
        <w:tc>
          <w:tcPr>
            <w:tcW w:w="2126" w:type="pct"/>
            <w:vAlign w:val="bottom"/>
          </w:tcPr>
          <w:p w14:paraId="6DC1ACA4" w14:textId="77777777" w:rsidR="00481F7C" w:rsidRPr="00CA37C8" w:rsidRDefault="00481F7C" w:rsidP="00481F7C">
            <w:pPr>
              <w:tabs>
                <w:tab w:val="right" w:pos="1202"/>
              </w:tabs>
              <w:spacing w:after="0" w:line="280" w:lineRule="exact"/>
              <w:outlineLvl w:val="0"/>
              <w:rPr>
                <w:rFonts w:eastAsia="Times New Roman" w:cs="Arial"/>
                <w:bCs/>
              </w:rPr>
            </w:pPr>
            <w:r w:rsidRPr="00CA37C8">
              <w:rPr>
                <w:rFonts w:eastAsia="Times New Roman" w:cs="Arial"/>
                <w:bCs/>
              </w:rPr>
              <w:t>Povećanje fer vrijednosti imovine raspoložive za prodaju</w:t>
            </w:r>
          </w:p>
        </w:tc>
        <w:tc>
          <w:tcPr>
            <w:tcW w:w="665" w:type="pct"/>
            <w:tcBorders>
              <w:top w:val="nil"/>
              <w:bottom w:val="nil"/>
              <w:right w:val="nil"/>
            </w:tcBorders>
            <w:shd w:val="clear" w:color="auto" w:fill="auto"/>
            <w:vAlign w:val="bottom"/>
          </w:tcPr>
          <w:p w14:paraId="3A09073D" w14:textId="7A2DF872" w:rsidR="00481F7C" w:rsidRPr="00722C53" w:rsidRDefault="00687EB8" w:rsidP="00481F7C">
            <w:pPr>
              <w:tabs>
                <w:tab w:val="right" w:pos="1202"/>
              </w:tabs>
              <w:spacing w:after="0" w:line="280" w:lineRule="exact"/>
              <w:jc w:val="right"/>
              <w:outlineLvl w:val="0"/>
              <w:rPr>
                <w:rFonts w:eastAsia="Times New Roman" w:cs="Arial"/>
                <w:bCs/>
              </w:rPr>
            </w:pPr>
            <w:r w:rsidRPr="00687EB8">
              <w:rPr>
                <w:rFonts w:eastAsia="Times New Roman" w:cs="Arial"/>
                <w:bCs/>
              </w:rPr>
              <w:t>4.706</w:t>
            </w:r>
          </w:p>
        </w:tc>
        <w:tc>
          <w:tcPr>
            <w:tcW w:w="784" w:type="pct"/>
            <w:tcBorders>
              <w:top w:val="nil"/>
              <w:left w:val="nil"/>
              <w:bottom w:val="nil"/>
              <w:right w:val="nil"/>
            </w:tcBorders>
            <w:shd w:val="clear" w:color="auto" w:fill="auto"/>
            <w:vAlign w:val="bottom"/>
          </w:tcPr>
          <w:p w14:paraId="07678C26" w14:textId="4BF2EFCA" w:rsidR="00481F7C" w:rsidRPr="002B2DDF" w:rsidRDefault="00DD46A9" w:rsidP="00481F7C">
            <w:pPr>
              <w:tabs>
                <w:tab w:val="right" w:pos="1202"/>
              </w:tabs>
              <w:spacing w:after="0" w:line="280" w:lineRule="exact"/>
              <w:jc w:val="right"/>
              <w:outlineLvl w:val="0"/>
              <w:rPr>
                <w:rFonts w:cs="Calibri"/>
                <w:bCs/>
              </w:rPr>
            </w:pPr>
            <w:r w:rsidRPr="00DD46A9">
              <w:rPr>
                <w:rFonts w:cs="Calibri"/>
                <w:bCs/>
              </w:rPr>
              <w:t>20.527</w:t>
            </w:r>
          </w:p>
        </w:tc>
        <w:tc>
          <w:tcPr>
            <w:tcW w:w="794" w:type="pct"/>
            <w:tcBorders>
              <w:top w:val="nil"/>
              <w:bottom w:val="nil"/>
              <w:right w:val="nil"/>
            </w:tcBorders>
            <w:shd w:val="clear" w:color="auto" w:fill="auto"/>
            <w:vAlign w:val="bottom"/>
          </w:tcPr>
          <w:p w14:paraId="2A78513E" w14:textId="6787B02F" w:rsidR="00481F7C" w:rsidRPr="00CA37C8" w:rsidRDefault="00481F7C" w:rsidP="00481F7C">
            <w:pPr>
              <w:tabs>
                <w:tab w:val="right" w:pos="1202"/>
              </w:tabs>
              <w:spacing w:after="0" w:line="280" w:lineRule="exact"/>
              <w:jc w:val="right"/>
              <w:outlineLvl w:val="0"/>
              <w:rPr>
                <w:rFonts w:eastAsia="Times New Roman" w:cs="Arial"/>
                <w:bCs/>
              </w:rPr>
            </w:pPr>
            <w:r w:rsidRPr="00722C53">
              <w:rPr>
                <w:rFonts w:eastAsia="Times New Roman" w:cs="Arial"/>
                <w:bCs/>
              </w:rPr>
              <w:t>13.615</w:t>
            </w:r>
          </w:p>
        </w:tc>
        <w:tc>
          <w:tcPr>
            <w:tcW w:w="631" w:type="pct"/>
            <w:tcBorders>
              <w:top w:val="nil"/>
              <w:left w:val="nil"/>
              <w:bottom w:val="nil"/>
              <w:right w:val="nil"/>
            </w:tcBorders>
            <w:shd w:val="clear" w:color="auto" w:fill="auto"/>
            <w:vAlign w:val="bottom"/>
          </w:tcPr>
          <w:p w14:paraId="64D17D48" w14:textId="2D36559C" w:rsidR="00481F7C" w:rsidRPr="00A105CF" w:rsidRDefault="00481F7C" w:rsidP="00481F7C">
            <w:pPr>
              <w:tabs>
                <w:tab w:val="right" w:pos="1202"/>
              </w:tabs>
              <w:spacing w:after="0" w:line="280" w:lineRule="exact"/>
              <w:jc w:val="right"/>
              <w:outlineLvl w:val="0"/>
              <w:rPr>
                <w:rFonts w:ascii="Calibri" w:hAnsi="Calibri" w:cs="Calibri"/>
                <w:bCs/>
              </w:rPr>
            </w:pPr>
            <w:r w:rsidRPr="002B2DDF">
              <w:rPr>
                <w:rFonts w:cs="Calibri"/>
                <w:bCs/>
              </w:rPr>
              <w:t>31.114</w:t>
            </w:r>
          </w:p>
        </w:tc>
      </w:tr>
      <w:tr w:rsidR="00481F7C" w:rsidRPr="00CA37C8" w14:paraId="4A13C5A5" w14:textId="77777777" w:rsidTr="00312975">
        <w:trPr>
          <w:trHeight w:val="348"/>
        </w:trPr>
        <w:tc>
          <w:tcPr>
            <w:tcW w:w="2126" w:type="pct"/>
            <w:vAlign w:val="bottom"/>
          </w:tcPr>
          <w:p w14:paraId="0A5D7D33" w14:textId="77777777" w:rsidR="00481F7C" w:rsidRPr="00CA37C8" w:rsidRDefault="00481F7C" w:rsidP="00481F7C">
            <w:pPr>
              <w:tabs>
                <w:tab w:val="right" w:pos="1202"/>
              </w:tabs>
              <w:spacing w:after="0" w:line="280" w:lineRule="exact"/>
              <w:outlineLvl w:val="0"/>
              <w:rPr>
                <w:rFonts w:eastAsia="Times New Roman" w:cs="Arial"/>
                <w:bCs/>
              </w:rPr>
            </w:pPr>
            <w:r w:rsidRPr="00CA37C8">
              <w:rPr>
                <w:rFonts w:eastAsia="Times New Roman" w:cs="Arial"/>
                <w:bCs/>
              </w:rPr>
              <w:t>Smanjenje fer vrijednosti imovine raspoložive za prodaju</w:t>
            </w:r>
          </w:p>
        </w:tc>
        <w:tc>
          <w:tcPr>
            <w:tcW w:w="665" w:type="pct"/>
            <w:tcBorders>
              <w:top w:val="nil"/>
              <w:left w:val="nil"/>
              <w:right w:val="nil"/>
            </w:tcBorders>
            <w:shd w:val="clear" w:color="auto" w:fill="auto"/>
            <w:vAlign w:val="bottom"/>
          </w:tcPr>
          <w:p w14:paraId="3F98C413" w14:textId="6699ADEE" w:rsidR="00481F7C" w:rsidRPr="00722C53" w:rsidRDefault="00687EB8" w:rsidP="00481F7C">
            <w:pPr>
              <w:tabs>
                <w:tab w:val="right" w:pos="1202"/>
              </w:tabs>
              <w:spacing w:after="0" w:line="280" w:lineRule="exact"/>
              <w:jc w:val="right"/>
              <w:outlineLvl w:val="0"/>
              <w:rPr>
                <w:rFonts w:eastAsia="Times New Roman" w:cs="Arial"/>
                <w:bCs/>
              </w:rPr>
            </w:pPr>
            <w:r w:rsidRPr="00687EB8">
              <w:rPr>
                <w:rFonts w:eastAsia="Times New Roman" w:cs="Arial"/>
                <w:bCs/>
              </w:rPr>
              <w:t>(4.986)</w:t>
            </w:r>
          </w:p>
        </w:tc>
        <w:tc>
          <w:tcPr>
            <w:tcW w:w="784" w:type="pct"/>
            <w:tcBorders>
              <w:top w:val="nil"/>
              <w:left w:val="nil"/>
              <w:right w:val="nil"/>
            </w:tcBorders>
            <w:shd w:val="clear" w:color="auto" w:fill="auto"/>
            <w:vAlign w:val="bottom"/>
          </w:tcPr>
          <w:p w14:paraId="62A6EFBB" w14:textId="390312B3" w:rsidR="00481F7C" w:rsidRPr="002B2DDF" w:rsidRDefault="00DD46A9" w:rsidP="00481F7C">
            <w:pPr>
              <w:tabs>
                <w:tab w:val="right" w:pos="1202"/>
              </w:tabs>
              <w:spacing w:after="0" w:line="280" w:lineRule="exact"/>
              <w:jc w:val="right"/>
              <w:outlineLvl w:val="0"/>
              <w:rPr>
                <w:rFonts w:cs="Calibri"/>
                <w:bCs/>
              </w:rPr>
            </w:pPr>
            <w:r w:rsidRPr="00DD46A9">
              <w:rPr>
                <w:rFonts w:cs="Calibri"/>
                <w:bCs/>
              </w:rPr>
              <w:t>(19.056)</w:t>
            </w:r>
          </w:p>
        </w:tc>
        <w:tc>
          <w:tcPr>
            <w:tcW w:w="794" w:type="pct"/>
            <w:tcBorders>
              <w:top w:val="nil"/>
              <w:left w:val="nil"/>
              <w:right w:val="nil"/>
            </w:tcBorders>
            <w:shd w:val="clear" w:color="auto" w:fill="auto"/>
            <w:vAlign w:val="bottom"/>
          </w:tcPr>
          <w:p w14:paraId="3947C92D" w14:textId="5E358EEF" w:rsidR="00481F7C" w:rsidRPr="00CA37C8" w:rsidRDefault="00481F7C" w:rsidP="00481F7C">
            <w:pPr>
              <w:tabs>
                <w:tab w:val="right" w:pos="1202"/>
              </w:tabs>
              <w:spacing w:after="0" w:line="280" w:lineRule="exact"/>
              <w:jc w:val="right"/>
              <w:outlineLvl w:val="0"/>
              <w:rPr>
                <w:rFonts w:eastAsia="Times New Roman" w:cs="Arial"/>
                <w:bCs/>
              </w:rPr>
            </w:pPr>
            <w:r w:rsidRPr="00722C53">
              <w:rPr>
                <w:rFonts w:eastAsia="Times New Roman" w:cs="Arial"/>
                <w:bCs/>
              </w:rPr>
              <w:t>(13.573)</w:t>
            </w:r>
          </w:p>
        </w:tc>
        <w:tc>
          <w:tcPr>
            <w:tcW w:w="631" w:type="pct"/>
            <w:tcBorders>
              <w:top w:val="nil"/>
              <w:left w:val="nil"/>
              <w:right w:val="nil"/>
            </w:tcBorders>
            <w:shd w:val="clear" w:color="auto" w:fill="auto"/>
            <w:vAlign w:val="bottom"/>
          </w:tcPr>
          <w:p w14:paraId="11FDA0F0" w14:textId="2BE9694A" w:rsidR="00481F7C" w:rsidRPr="00A105CF" w:rsidRDefault="00481F7C" w:rsidP="00481F7C">
            <w:pPr>
              <w:tabs>
                <w:tab w:val="right" w:pos="1202"/>
              </w:tabs>
              <w:spacing w:after="0" w:line="280" w:lineRule="exact"/>
              <w:jc w:val="right"/>
              <w:outlineLvl w:val="0"/>
              <w:rPr>
                <w:rFonts w:ascii="Calibri" w:hAnsi="Calibri" w:cs="Calibri"/>
                <w:bCs/>
              </w:rPr>
            </w:pPr>
            <w:r w:rsidRPr="002B2DDF">
              <w:rPr>
                <w:rFonts w:cs="Calibri"/>
                <w:bCs/>
              </w:rPr>
              <w:t>(16.793)</w:t>
            </w:r>
          </w:p>
        </w:tc>
      </w:tr>
      <w:tr w:rsidR="00481F7C" w:rsidRPr="00CA37C8" w14:paraId="0EE848FB" w14:textId="77777777" w:rsidTr="00312975">
        <w:trPr>
          <w:trHeight w:val="348"/>
        </w:trPr>
        <w:tc>
          <w:tcPr>
            <w:tcW w:w="2126" w:type="pct"/>
            <w:vAlign w:val="bottom"/>
          </w:tcPr>
          <w:p w14:paraId="73921617" w14:textId="77777777" w:rsidR="00481F7C" w:rsidRPr="00CA37C8" w:rsidRDefault="00481F7C" w:rsidP="00481F7C">
            <w:pPr>
              <w:tabs>
                <w:tab w:val="right" w:pos="1202"/>
              </w:tabs>
              <w:spacing w:after="0" w:line="280" w:lineRule="exact"/>
              <w:outlineLvl w:val="0"/>
              <w:rPr>
                <w:rFonts w:eastAsia="Times New Roman" w:cs="Arial"/>
                <w:bCs/>
              </w:rPr>
            </w:pPr>
            <w:r w:rsidRPr="00CA37C8">
              <w:rPr>
                <w:rFonts w:eastAsia="Times New Roman" w:cs="Arial"/>
                <w:bCs/>
              </w:rPr>
              <w:t>Neto tečajne razlike po vlasničkim vrijednosnim papirima</w:t>
            </w:r>
          </w:p>
        </w:tc>
        <w:tc>
          <w:tcPr>
            <w:tcW w:w="665" w:type="pct"/>
            <w:tcBorders>
              <w:top w:val="nil"/>
              <w:left w:val="nil"/>
              <w:bottom w:val="nil"/>
              <w:right w:val="nil"/>
            </w:tcBorders>
            <w:shd w:val="clear" w:color="000000" w:fill="auto"/>
            <w:vAlign w:val="bottom"/>
          </w:tcPr>
          <w:p w14:paraId="466677AD" w14:textId="6F826479" w:rsidR="00481F7C" w:rsidRPr="00722C53" w:rsidRDefault="00687EB8" w:rsidP="00481F7C">
            <w:pPr>
              <w:tabs>
                <w:tab w:val="right" w:pos="1202"/>
              </w:tabs>
              <w:spacing w:after="0" w:line="280" w:lineRule="exact"/>
              <w:jc w:val="right"/>
              <w:outlineLvl w:val="0"/>
              <w:rPr>
                <w:rFonts w:eastAsia="Times New Roman" w:cs="Arial"/>
                <w:bCs/>
              </w:rPr>
            </w:pPr>
            <w:r w:rsidRPr="00687EB8">
              <w:rPr>
                <w:rFonts w:eastAsia="Times New Roman" w:cs="Arial"/>
                <w:bCs/>
              </w:rPr>
              <w:t>(109)</w:t>
            </w:r>
          </w:p>
        </w:tc>
        <w:tc>
          <w:tcPr>
            <w:tcW w:w="784" w:type="pct"/>
            <w:tcBorders>
              <w:top w:val="nil"/>
              <w:left w:val="nil"/>
              <w:bottom w:val="nil"/>
              <w:right w:val="nil"/>
            </w:tcBorders>
            <w:shd w:val="clear" w:color="000000" w:fill="auto"/>
            <w:vAlign w:val="bottom"/>
          </w:tcPr>
          <w:p w14:paraId="640A037C" w14:textId="667B9D34" w:rsidR="00481F7C" w:rsidRPr="002B2DDF" w:rsidRDefault="00DD46A9" w:rsidP="00481F7C">
            <w:pPr>
              <w:tabs>
                <w:tab w:val="right" w:pos="1202"/>
              </w:tabs>
              <w:spacing w:after="0" w:line="280" w:lineRule="exact"/>
              <w:jc w:val="right"/>
              <w:outlineLvl w:val="0"/>
              <w:rPr>
                <w:rFonts w:cs="Calibri"/>
                <w:bCs/>
              </w:rPr>
            </w:pPr>
            <w:r w:rsidRPr="00DD46A9">
              <w:rPr>
                <w:rFonts w:cs="Calibri"/>
                <w:bCs/>
              </w:rPr>
              <w:t>(517)</w:t>
            </w:r>
          </w:p>
        </w:tc>
        <w:tc>
          <w:tcPr>
            <w:tcW w:w="794" w:type="pct"/>
            <w:tcBorders>
              <w:top w:val="nil"/>
              <w:left w:val="nil"/>
              <w:bottom w:val="nil"/>
              <w:right w:val="nil"/>
            </w:tcBorders>
            <w:shd w:val="clear" w:color="000000" w:fill="auto"/>
            <w:vAlign w:val="bottom"/>
          </w:tcPr>
          <w:p w14:paraId="6F348B81" w14:textId="22210474" w:rsidR="00481F7C" w:rsidRPr="00CA37C8" w:rsidRDefault="00481F7C" w:rsidP="00481F7C">
            <w:pPr>
              <w:tabs>
                <w:tab w:val="right" w:pos="1202"/>
              </w:tabs>
              <w:spacing w:after="0" w:line="280" w:lineRule="exact"/>
              <w:jc w:val="right"/>
              <w:outlineLvl w:val="0"/>
              <w:rPr>
                <w:rFonts w:eastAsia="Times New Roman" w:cs="Arial"/>
                <w:bCs/>
              </w:rPr>
            </w:pPr>
            <w:r w:rsidRPr="00722C53">
              <w:rPr>
                <w:rFonts w:eastAsia="Times New Roman" w:cs="Arial"/>
                <w:bCs/>
              </w:rPr>
              <w:t>(31)</w:t>
            </w:r>
          </w:p>
        </w:tc>
        <w:tc>
          <w:tcPr>
            <w:tcW w:w="631" w:type="pct"/>
            <w:tcBorders>
              <w:top w:val="nil"/>
              <w:left w:val="nil"/>
              <w:bottom w:val="nil"/>
              <w:right w:val="nil"/>
            </w:tcBorders>
            <w:shd w:val="clear" w:color="000000" w:fill="auto"/>
            <w:vAlign w:val="bottom"/>
          </w:tcPr>
          <w:p w14:paraId="4DD8BD70" w14:textId="165AA9B1" w:rsidR="00481F7C" w:rsidRPr="00A105CF" w:rsidRDefault="00481F7C" w:rsidP="00481F7C">
            <w:pPr>
              <w:tabs>
                <w:tab w:val="right" w:pos="1202"/>
              </w:tabs>
              <w:spacing w:after="0" w:line="280" w:lineRule="exact"/>
              <w:jc w:val="right"/>
              <w:outlineLvl w:val="0"/>
              <w:rPr>
                <w:rFonts w:ascii="Calibri" w:hAnsi="Calibri" w:cs="Calibri"/>
                <w:bCs/>
              </w:rPr>
            </w:pPr>
            <w:r w:rsidRPr="002B2DDF">
              <w:rPr>
                <w:rFonts w:cs="Calibri"/>
                <w:bCs/>
              </w:rPr>
              <w:t>(387)</w:t>
            </w:r>
          </w:p>
        </w:tc>
      </w:tr>
      <w:tr w:rsidR="00481F7C" w:rsidRPr="00CA37C8" w14:paraId="0B10FE30" w14:textId="77777777" w:rsidTr="00312975">
        <w:trPr>
          <w:trHeight w:val="526"/>
        </w:trPr>
        <w:tc>
          <w:tcPr>
            <w:tcW w:w="2126" w:type="pct"/>
            <w:vAlign w:val="bottom"/>
          </w:tcPr>
          <w:p w14:paraId="0044901E" w14:textId="77777777" w:rsidR="00481F7C" w:rsidRPr="00CA37C8" w:rsidRDefault="00481F7C" w:rsidP="00481F7C">
            <w:pPr>
              <w:tabs>
                <w:tab w:val="right" w:pos="1202"/>
              </w:tabs>
              <w:spacing w:after="0" w:line="280" w:lineRule="exact"/>
              <w:outlineLvl w:val="0"/>
              <w:rPr>
                <w:rFonts w:eastAsia="Times New Roman" w:cs="Arial"/>
                <w:bCs/>
              </w:rPr>
            </w:pPr>
            <w:r w:rsidRPr="00CA37C8">
              <w:rPr>
                <w:rFonts w:eastAsia="Times New Roman" w:cs="Arial"/>
                <w:bCs/>
              </w:rPr>
              <w:t>Prijenos realizirane dobiti po imovini raspoloživoj za prodaju u izvještaj o dobiti i gubitku</w:t>
            </w:r>
          </w:p>
        </w:tc>
        <w:tc>
          <w:tcPr>
            <w:tcW w:w="665" w:type="pct"/>
            <w:tcBorders>
              <w:top w:val="nil"/>
              <w:left w:val="nil"/>
              <w:bottom w:val="nil"/>
              <w:right w:val="nil"/>
            </w:tcBorders>
            <w:shd w:val="clear" w:color="auto" w:fill="auto"/>
            <w:vAlign w:val="bottom"/>
          </w:tcPr>
          <w:p w14:paraId="61597496" w14:textId="79AB208A" w:rsidR="00481F7C" w:rsidRPr="00722C53" w:rsidRDefault="00DD46A9" w:rsidP="00481F7C">
            <w:pPr>
              <w:tabs>
                <w:tab w:val="right" w:pos="1202"/>
              </w:tabs>
              <w:spacing w:after="0" w:line="280" w:lineRule="exact"/>
              <w:jc w:val="right"/>
              <w:outlineLvl w:val="0"/>
              <w:rPr>
                <w:rFonts w:eastAsia="Times New Roman" w:cs="Arial"/>
                <w:bCs/>
              </w:rPr>
            </w:pPr>
            <w:r>
              <w:rPr>
                <w:rFonts w:eastAsia="Times New Roman" w:cs="Arial"/>
                <w:bCs/>
              </w:rPr>
              <w:t>(</w:t>
            </w:r>
            <w:r w:rsidRPr="00DD46A9">
              <w:rPr>
                <w:rFonts w:eastAsia="Times New Roman" w:cs="Arial"/>
                <w:bCs/>
              </w:rPr>
              <w:t>8</w:t>
            </w:r>
            <w:r w:rsidR="00DD185F">
              <w:rPr>
                <w:rFonts w:eastAsia="Times New Roman" w:cs="Arial"/>
                <w:bCs/>
              </w:rPr>
              <w:t>.</w:t>
            </w:r>
            <w:r w:rsidRPr="00DD46A9">
              <w:rPr>
                <w:rFonts w:eastAsia="Times New Roman" w:cs="Arial"/>
                <w:bCs/>
              </w:rPr>
              <w:t>115</w:t>
            </w:r>
            <w:r>
              <w:rPr>
                <w:rFonts w:eastAsia="Times New Roman" w:cs="Arial"/>
                <w:bCs/>
              </w:rPr>
              <w:t>)</w:t>
            </w:r>
          </w:p>
        </w:tc>
        <w:tc>
          <w:tcPr>
            <w:tcW w:w="784" w:type="pct"/>
            <w:tcBorders>
              <w:top w:val="nil"/>
              <w:left w:val="nil"/>
              <w:bottom w:val="nil"/>
              <w:right w:val="nil"/>
            </w:tcBorders>
            <w:shd w:val="clear" w:color="auto" w:fill="auto"/>
            <w:vAlign w:val="bottom"/>
          </w:tcPr>
          <w:p w14:paraId="3FDA8658" w14:textId="6A54653C" w:rsidR="00481F7C" w:rsidRPr="002B2DDF" w:rsidRDefault="00DD46A9" w:rsidP="00481F7C">
            <w:pPr>
              <w:tabs>
                <w:tab w:val="right" w:pos="1202"/>
              </w:tabs>
              <w:spacing w:after="0" w:line="280" w:lineRule="exact"/>
              <w:jc w:val="right"/>
              <w:outlineLvl w:val="0"/>
              <w:rPr>
                <w:rFonts w:cs="Calibri"/>
                <w:bCs/>
              </w:rPr>
            </w:pPr>
            <w:r w:rsidRPr="00DD46A9">
              <w:rPr>
                <w:rFonts w:cs="Calibri"/>
                <w:bCs/>
              </w:rPr>
              <w:t>(8.115)</w:t>
            </w:r>
          </w:p>
        </w:tc>
        <w:tc>
          <w:tcPr>
            <w:tcW w:w="794" w:type="pct"/>
            <w:tcBorders>
              <w:top w:val="nil"/>
              <w:left w:val="nil"/>
              <w:bottom w:val="nil"/>
              <w:right w:val="nil"/>
            </w:tcBorders>
            <w:shd w:val="clear" w:color="auto" w:fill="auto"/>
            <w:vAlign w:val="bottom"/>
          </w:tcPr>
          <w:p w14:paraId="3D60BCC1" w14:textId="5E41450D" w:rsidR="00481F7C" w:rsidRPr="00CA37C8" w:rsidRDefault="00481F7C" w:rsidP="00481F7C">
            <w:pPr>
              <w:tabs>
                <w:tab w:val="right" w:pos="1202"/>
              </w:tabs>
              <w:spacing w:after="0" w:line="280" w:lineRule="exact"/>
              <w:jc w:val="right"/>
              <w:outlineLvl w:val="0"/>
              <w:rPr>
                <w:rFonts w:eastAsia="Times New Roman" w:cs="Arial"/>
                <w:bCs/>
              </w:rPr>
            </w:pPr>
            <w:r w:rsidRPr="00722C53">
              <w:rPr>
                <w:rFonts w:eastAsia="Times New Roman" w:cs="Arial"/>
                <w:bCs/>
              </w:rPr>
              <w:t>(36)</w:t>
            </w:r>
          </w:p>
        </w:tc>
        <w:tc>
          <w:tcPr>
            <w:tcW w:w="631" w:type="pct"/>
            <w:tcBorders>
              <w:top w:val="nil"/>
              <w:left w:val="nil"/>
              <w:bottom w:val="nil"/>
              <w:right w:val="nil"/>
            </w:tcBorders>
            <w:shd w:val="clear" w:color="auto" w:fill="auto"/>
            <w:vAlign w:val="bottom"/>
          </w:tcPr>
          <w:p w14:paraId="43360956" w14:textId="4D70B531" w:rsidR="00481F7C" w:rsidRPr="00A105CF" w:rsidRDefault="00481F7C" w:rsidP="00481F7C">
            <w:pPr>
              <w:tabs>
                <w:tab w:val="right" w:pos="1202"/>
              </w:tabs>
              <w:spacing w:after="0" w:line="280" w:lineRule="exact"/>
              <w:jc w:val="right"/>
              <w:outlineLvl w:val="0"/>
              <w:rPr>
                <w:rFonts w:ascii="Calibri" w:hAnsi="Calibri" w:cs="Calibri"/>
                <w:bCs/>
              </w:rPr>
            </w:pPr>
            <w:r w:rsidRPr="002B2DDF">
              <w:rPr>
                <w:rFonts w:cs="Calibri"/>
                <w:bCs/>
              </w:rPr>
              <w:t>(90)</w:t>
            </w:r>
          </w:p>
        </w:tc>
      </w:tr>
      <w:tr w:rsidR="00DD46A9" w:rsidRPr="00CA37C8" w14:paraId="440985B6" w14:textId="77777777" w:rsidTr="00481F7C">
        <w:trPr>
          <w:trHeight w:val="526"/>
        </w:trPr>
        <w:tc>
          <w:tcPr>
            <w:tcW w:w="2126" w:type="pct"/>
            <w:vAlign w:val="bottom"/>
          </w:tcPr>
          <w:p w14:paraId="393C042B" w14:textId="3E0960ED" w:rsidR="00DD46A9" w:rsidRPr="00CA37C8" w:rsidRDefault="00DD46A9" w:rsidP="00481F7C">
            <w:pPr>
              <w:tabs>
                <w:tab w:val="right" w:pos="1202"/>
              </w:tabs>
              <w:spacing w:after="0" w:line="280" w:lineRule="exact"/>
              <w:outlineLvl w:val="0"/>
              <w:rPr>
                <w:rFonts w:eastAsia="Times New Roman" w:cs="Arial"/>
                <w:bCs/>
              </w:rPr>
            </w:pPr>
            <w:r w:rsidRPr="00DD46A9">
              <w:rPr>
                <w:rFonts w:eastAsia="Times New Roman" w:cs="Arial"/>
                <w:bCs/>
              </w:rPr>
              <w:t>Prijenos realiziranog gubitka po imovini raspoloživoj za prodaju u izvještaj o dobiti i gubitku</w:t>
            </w:r>
          </w:p>
        </w:tc>
        <w:tc>
          <w:tcPr>
            <w:tcW w:w="665" w:type="pct"/>
            <w:tcBorders>
              <w:top w:val="nil"/>
              <w:left w:val="nil"/>
              <w:bottom w:val="nil"/>
              <w:right w:val="nil"/>
            </w:tcBorders>
            <w:shd w:val="clear" w:color="auto" w:fill="auto"/>
            <w:vAlign w:val="bottom"/>
          </w:tcPr>
          <w:p w14:paraId="4E78BEC9" w14:textId="463A52C5" w:rsidR="00DD46A9" w:rsidRPr="00DD46A9" w:rsidRDefault="00DD46A9" w:rsidP="00481F7C">
            <w:pPr>
              <w:tabs>
                <w:tab w:val="right" w:pos="1202"/>
              </w:tabs>
              <w:spacing w:after="0" w:line="280" w:lineRule="exact"/>
              <w:jc w:val="right"/>
              <w:outlineLvl w:val="0"/>
              <w:rPr>
                <w:rFonts w:eastAsia="Times New Roman" w:cs="Arial"/>
                <w:bCs/>
              </w:rPr>
            </w:pPr>
            <w:r w:rsidRPr="00DD46A9">
              <w:rPr>
                <w:rFonts w:eastAsia="Times New Roman" w:cs="Arial"/>
                <w:bCs/>
              </w:rPr>
              <w:t>6.499</w:t>
            </w:r>
          </w:p>
        </w:tc>
        <w:tc>
          <w:tcPr>
            <w:tcW w:w="784" w:type="pct"/>
            <w:tcBorders>
              <w:top w:val="nil"/>
              <w:left w:val="nil"/>
              <w:bottom w:val="nil"/>
              <w:right w:val="nil"/>
            </w:tcBorders>
            <w:shd w:val="clear" w:color="auto" w:fill="auto"/>
            <w:vAlign w:val="bottom"/>
          </w:tcPr>
          <w:p w14:paraId="093C04B5" w14:textId="733B5777" w:rsidR="00DD46A9" w:rsidRPr="002B2DDF" w:rsidRDefault="00DD46A9" w:rsidP="00481F7C">
            <w:pPr>
              <w:tabs>
                <w:tab w:val="right" w:pos="1202"/>
              </w:tabs>
              <w:spacing w:after="0" w:line="280" w:lineRule="exact"/>
              <w:jc w:val="right"/>
              <w:outlineLvl w:val="0"/>
              <w:rPr>
                <w:rFonts w:cs="Calibri"/>
                <w:bCs/>
              </w:rPr>
            </w:pPr>
            <w:r w:rsidRPr="00DD46A9">
              <w:rPr>
                <w:rFonts w:cs="Calibri"/>
                <w:bCs/>
              </w:rPr>
              <w:t>6.499</w:t>
            </w:r>
          </w:p>
        </w:tc>
        <w:tc>
          <w:tcPr>
            <w:tcW w:w="794" w:type="pct"/>
            <w:tcBorders>
              <w:top w:val="nil"/>
              <w:left w:val="nil"/>
              <w:bottom w:val="nil"/>
              <w:right w:val="nil"/>
            </w:tcBorders>
            <w:shd w:val="clear" w:color="auto" w:fill="auto"/>
            <w:vAlign w:val="bottom"/>
          </w:tcPr>
          <w:p w14:paraId="5E8D4581" w14:textId="469764BE" w:rsidR="00DD46A9" w:rsidRPr="00722C53" w:rsidRDefault="00DD46A9" w:rsidP="00481F7C">
            <w:pPr>
              <w:tabs>
                <w:tab w:val="right" w:pos="1202"/>
              </w:tabs>
              <w:spacing w:after="0" w:line="280" w:lineRule="exact"/>
              <w:jc w:val="right"/>
              <w:outlineLvl w:val="0"/>
              <w:rPr>
                <w:rFonts w:eastAsia="Times New Roman" w:cs="Arial"/>
                <w:bCs/>
              </w:rPr>
            </w:pPr>
            <w:r>
              <w:rPr>
                <w:rFonts w:eastAsia="Times New Roman" w:cs="Arial"/>
                <w:bCs/>
              </w:rPr>
              <w:t>-</w:t>
            </w:r>
          </w:p>
        </w:tc>
        <w:tc>
          <w:tcPr>
            <w:tcW w:w="631" w:type="pct"/>
            <w:tcBorders>
              <w:top w:val="nil"/>
              <w:left w:val="nil"/>
              <w:bottom w:val="nil"/>
              <w:right w:val="nil"/>
            </w:tcBorders>
            <w:shd w:val="clear" w:color="auto" w:fill="auto"/>
            <w:vAlign w:val="bottom"/>
          </w:tcPr>
          <w:p w14:paraId="6CB05714" w14:textId="3900B83F" w:rsidR="00DD46A9" w:rsidRPr="002B2DDF" w:rsidRDefault="00DD46A9" w:rsidP="00481F7C">
            <w:pPr>
              <w:tabs>
                <w:tab w:val="right" w:pos="1202"/>
              </w:tabs>
              <w:spacing w:after="0" w:line="280" w:lineRule="exact"/>
              <w:jc w:val="right"/>
              <w:outlineLvl w:val="0"/>
              <w:rPr>
                <w:rFonts w:cs="Calibri"/>
                <w:bCs/>
              </w:rPr>
            </w:pPr>
            <w:r>
              <w:rPr>
                <w:rFonts w:cs="Calibri"/>
                <w:bCs/>
              </w:rPr>
              <w:t>-</w:t>
            </w:r>
          </w:p>
        </w:tc>
      </w:tr>
      <w:tr w:rsidR="00481F7C" w:rsidRPr="00CA37C8" w14:paraId="62DF446A" w14:textId="77777777" w:rsidTr="00312975">
        <w:trPr>
          <w:trHeight w:val="348"/>
        </w:trPr>
        <w:tc>
          <w:tcPr>
            <w:tcW w:w="2126" w:type="pct"/>
            <w:vAlign w:val="bottom"/>
          </w:tcPr>
          <w:p w14:paraId="25F43807" w14:textId="77777777" w:rsidR="00481F7C" w:rsidRPr="00CA37C8" w:rsidRDefault="00481F7C" w:rsidP="00481F7C">
            <w:pPr>
              <w:tabs>
                <w:tab w:val="right" w:pos="1202"/>
              </w:tabs>
              <w:spacing w:after="0" w:line="280" w:lineRule="exact"/>
              <w:outlineLvl w:val="0"/>
              <w:rPr>
                <w:rFonts w:eastAsia="Times New Roman" w:cs="Arial"/>
                <w:b/>
                <w:bCs/>
              </w:rPr>
            </w:pPr>
            <w:r>
              <w:rPr>
                <w:rFonts w:eastAsia="Times New Roman" w:cs="Arial"/>
                <w:b/>
                <w:bCs/>
              </w:rPr>
              <w:t>Ukupno stavke koje se kasnije mogu uračunati u dobit ili gubitak</w:t>
            </w:r>
          </w:p>
        </w:tc>
        <w:tc>
          <w:tcPr>
            <w:tcW w:w="665" w:type="pct"/>
            <w:tcBorders>
              <w:top w:val="single" w:sz="4" w:space="0" w:color="auto"/>
              <w:left w:val="nil"/>
              <w:bottom w:val="single" w:sz="8" w:space="0" w:color="auto"/>
              <w:right w:val="nil"/>
            </w:tcBorders>
            <w:shd w:val="clear" w:color="auto" w:fill="auto"/>
            <w:vAlign w:val="bottom"/>
          </w:tcPr>
          <w:p w14:paraId="25162E0D" w14:textId="6942F824" w:rsidR="00481F7C" w:rsidRPr="002B2DDF" w:rsidRDefault="00AF07EE" w:rsidP="00481F7C">
            <w:pPr>
              <w:pStyle w:val="Tot"/>
              <w:spacing w:line="240" w:lineRule="auto"/>
              <w:jc w:val="right"/>
              <w:rPr>
                <w:rFonts w:asciiTheme="minorHAnsi" w:hAnsiTheme="minorHAnsi" w:cs="Arial"/>
                <w:b/>
                <w:bCs/>
                <w:sz w:val="22"/>
                <w:szCs w:val="22"/>
                <w:lang w:val="hr-HR"/>
              </w:rPr>
            </w:pPr>
            <w:r w:rsidRPr="00AF07EE">
              <w:rPr>
                <w:rFonts w:asciiTheme="minorHAnsi" w:hAnsiTheme="minorHAnsi" w:cs="Arial"/>
                <w:b/>
                <w:bCs/>
                <w:sz w:val="22"/>
                <w:szCs w:val="22"/>
                <w:lang w:val="hr-HR"/>
              </w:rPr>
              <w:t>(2.005)</w:t>
            </w:r>
          </w:p>
        </w:tc>
        <w:tc>
          <w:tcPr>
            <w:tcW w:w="784" w:type="pct"/>
            <w:tcBorders>
              <w:top w:val="single" w:sz="4" w:space="0" w:color="auto"/>
              <w:left w:val="nil"/>
              <w:bottom w:val="single" w:sz="8" w:space="0" w:color="auto"/>
              <w:right w:val="nil"/>
            </w:tcBorders>
            <w:shd w:val="clear" w:color="auto" w:fill="auto"/>
            <w:vAlign w:val="bottom"/>
          </w:tcPr>
          <w:p w14:paraId="5EF16377" w14:textId="08E42B52" w:rsidR="00481F7C" w:rsidRPr="002B2DDF" w:rsidRDefault="00C01D95" w:rsidP="00481F7C">
            <w:pPr>
              <w:pStyle w:val="Tot"/>
              <w:spacing w:line="240" w:lineRule="auto"/>
              <w:jc w:val="right"/>
              <w:rPr>
                <w:rFonts w:asciiTheme="minorHAnsi" w:hAnsiTheme="minorHAnsi" w:cs="Arial"/>
                <w:b/>
                <w:bCs/>
                <w:sz w:val="22"/>
                <w:szCs w:val="22"/>
                <w:lang w:val="hr-HR"/>
              </w:rPr>
            </w:pPr>
            <w:r>
              <w:rPr>
                <w:rFonts w:asciiTheme="minorHAnsi" w:hAnsiTheme="minorHAnsi" w:cs="Arial"/>
                <w:b/>
                <w:bCs/>
                <w:sz w:val="22"/>
                <w:szCs w:val="22"/>
                <w:lang w:val="hr-HR"/>
              </w:rPr>
              <w:t>(662)</w:t>
            </w:r>
          </w:p>
        </w:tc>
        <w:tc>
          <w:tcPr>
            <w:tcW w:w="794" w:type="pct"/>
            <w:tcBorders>
              <w:top w:val="single" w:sz="4" w:space="0" w:color="auto"/>
              <w:left w:val="nil"/>
              <w:bottom w:val="single" w:sz="8" w:space="0" w:color="auto"/>
              <w:right w:val="nil"/>
            </w:tcBorders>
            <w:shd w:val="clear" w:color="auto" w:fill="auto"/>
            <w:vAlign w:val="bottom"/>
          </w:tcPr>
          <w:p w14:paraId="6D81B5A7" w14:textId="5EA7BF8C" w:rsidR="00481F7C" w:rsidRPr="008F4611" w:rsidRDefault="00481F7C" w:rsidP="00481F7C">
            <w:pPr>
              <w:pStyle w:val="Tot"/>
              <w:spacing w:line="240" w:lineRule="auto"/>
              <w:jc w:val="right"/>
              <w:rPr>
                <w:rFonts w:cs="Arial"/>
                <w:b/>
                <w:bCs/>
              </w:rPr>
            </w:pPr>
            <w:r w:rsidRPr="002B2DDF">
              <w:rPr>
                <w:rFonts w:asciiTheme="minorHAnsi" w:hAnsiTheme="minorHAnsi" w:cs="Arial"/>
                <w:b/>
                <w:bCs/>
                <w:sz w:val="22"/>
                <w:szCs w:val="22"/>
                <w:lang w:val="hr-HR"/>
              </w:rPr>
              <w:t>(25)</w:t>
            </w:r>
          </w:p>
        </w:tc>
        <w:tc>
          <w:tcPr>
            <w:tcW w:w="631" w:type="pct"/>
            <w:tcBorders>
              <w:top w:val="single" w:sz="4" w:space="0" w:color="auto"/>
              <w:left w:val="nil"/>
              <w:bottom w:val="single" w:sz="8" w:space="0" w:color="auto"/>
              <w:right w:val="nil"/>
            </w:tcBorders>
            <w:shd w:val="clear" w:color="auto" w:fill="auto"/>
            <w:vAlign w:val="bottom"/>
          </w:tcPr>
          <w:p w14:paraId="2422B750" w14:textId="290E83C4" w:rsidR="00481F7C" w:rsidRPr="008F4611" w:rsidRDefault="00481F7C" w:rsidP="00481F7C">
            <w:pPr>
              <w:pStyle w:val="Tot"/>
              <w:spacing w:line="240" w:lineRule="auto"/>
              <w:jc w:val="right"/>
              <w:rPr>
                <w:rFonts w:cs="Arial"/>
                <w:b/>
                <w:bCs/>
              </w:rPr>
            </w:pPr>
            <w:r w:rsidRPr="002B2DDF">
              <w:rPr>
                <w:rFonts w:asciiTheme="minorHAnsi" w:hAnsiTheme="minorHAnsi" w:cs="Arial"/>
                <w:b/>
                <w:bCs/>
                <w:sz w:val="22"/>
                <w:szCs w:val="22"/>
                <w:lang w:val="hr-HR"/>
              </w:rPr>
              <w:t>13.844</w:t>
            </w:r>
          </w:p>
        </w:tc>
      </w:tr>
      <w:tr w:rsidR="00481F7C" w:rsidRPr="00CA37C8" w14:paraId="5C999C00" w14:textId="77777777" w:rsidTr="00312975">
        <w:trPr>
          <w:trHeight w:val="148"/>
        </w:trPr>
        <w:tc>
          <w:tcPr>
            <w:tcW w:w="2126" w:type="pct"/>
            <w:vAlign w:val="bottom"/>
          </w:tcPr>
          <w:p w14:paraId="2A5073DF" w14:textId="77777777" w:rsidR="00481F7C" w:rsidRPr="00CA37C8" w:rsidRDefault="00481F7C" w:rsidP="00481F7C">
            <w:pPr>
              <w:tabs>
                <w:tab w:val="right" w:pos="1202"/>
              </w:tabs>
              <w:spacing w:after="0" w:line="280" w:lineRule="exact"/>
              <w:outlineLvl w:val="0"/>
              <w:rPr>
                <w:rFonts w:eastAsia="Times New Roman" w:cs="Arial"/>
                <w:b/>
                <w:bCs/>
              </w:rPr>
            </w:pPr>
          </w:p>
        </w:tc>
        <w:tc>
          <w:tcPr>
            <w:tcW w:w="665" w:type="pct"/>
            <w:tcBorders>
              <w:top w:val="single" w:sz="12" w:space="0" w:color="auto"/>
            </w:tcBorders>
            <w:vAlign w:val="bottom"/>
          </w:tcPr>
          <w:p w14:paraId="6B79F1EC" w14:textId="77777777" w:rsidR="00481F7C" w:rsidRPr="00722C53" w:rsidRDefault="00481F7C" w:rsidP="00481F7C">
            <w:pPr>
              <w:keepNext/>
              <w:keepLines/>
              <w:spacing w:after="0" w:line="280" w:lineRule="exact"/>
              <w:jc w:val="right"/>
              <w:rPr>
                <w:rFonts w:eastAsia="Times New Roman" w:cs="Arial"/>
                <w:b/>
                <w:spacing w:val="-2"/>
                <w:position w:val="4"/>
              </w:rPr>
            </w:pPr>
          </w:p>
        </w:tc>
        <w:tc>
          <w:tcPr>
            <w:tcW w:w="784" w:type="pct"/>
            <w:tcBorders>
              <w:top w:val="single" w:sz="12" w:space="0" w:color="auto"/>
            </w:tcBorders>
            <w:vAlign w:val="bottom"/>
          </w:tcPr>
          <w:p w14:paraId="4042E89D" w14:textId="77777777" w:rsidR="00481F7C" w:rsidRPr="00722C53" w:rsidRDefault="00481F7C" w:rsidP="00481F7C">
            <w:pPr>
              <w:keepNext/>
              <w:keepLines/>
              <w:spacing w:after="0" w:line="280" w:lineRule="exact"/>
              <w:jc w:val="right"/>
              <w:rPr>
                <w:rFonts w:eastAsia="Times New Roman" w:cs="Arial"/>
                <w:b/>
                <w:spacing w:val="-2"/>
                <w:position w:val="4"/>
              </w:rPr>
            </w:pPr>
          </w:p>
        </w:tc>
        <w:tc>
          <w:tcPr>
            <w:tcW w:w="794" w:type="pct"/>
            <w:tcBorders>
              <w:top w:val="single" w:sz="12" w:space="0" w:color="auto"/>
            </w:tcBorders>
            <w:vAlign w:val="bottom"/>
          </w:tcPr>
          <w:p w14:paraId="61E2AEDE" w14:textId="77777777" w:rsidR="00481F7C" w:rsidRPr="00CA37C8" w:rsidRDefault="00481F7C" w:rsidP="00481F7C">
            <w:pPr>
              <w:keepNext/>
              <w:keepLines/>
              <w:spacing w:after="0" w:line="280" w:lineRule="exact"/>
              <w:jc w:val="right"/>
              <w:rPr>
                <w:rFonts w:eastAsia="Times New Roman" w:cs="Arial"/>
                <w:b/>
                <w:spacing w:val="-2"/>
                <w:position w:val="4"/>
              </w:rPr>
            </w:pPr>
          </w:p>
        </w:tc>
        <w:tc>
          <w:tcPr>
            <w:tcW w:w="631" w:type="pct"/>
            <w:tcBorders>
              <w:top w:val="single" w:sz="12" w:space="0" w:color="auto"/>
            </w:tcBorders>
            <w:vAlign w:val="bottom"/>
          </w:tcPr>
          <w:p w14:paraId="505B60B3" w14:textId="77777777" w:rsidR="00481F7C" w:rsidRPr="00CA37C8" w:rsidRDefault="00481F7C" w:rsidP="00481F7C">
            <w:pPr>
              <w:keepNext/>
              <w:keepLines/>
              <w:spacing w:after="0" w:line="280" w:lineRule="exact"/>
              <w:jc w:val="right"/>
              <w:rPr>
                <w:rFonts w:eastAsia="Times New Roman" w:cs="Arial"/>
                <w:b/>
                <w:spacing w:val="-2"/>
                <w:position w:val="4"/>
              </w:rPr>
            </w:pPr>
          </w:p>
        </w:tc>
      </w:tr>
      <w:tr w:rsidR="00DD185F" w:rsidRPr="00CA37C8" w14:paraId="2EFBC920" w14:textId="77777777" w:rsidTr="00312975">
        <w:trPr>
          <w:trHeight w:val="131"/>
        </w:trPr>
        <w:tc>
          <w:tcPr>
            <w:tcW w:w="2126" w:type="pct"/>
            <w:vAlign w:val="bottom"/>
          </w:tcPr>
          <w:p w14:paraId="0C029833" w14:textId="77777777" w:rsidR="00DD185F" w:rsidRPr="00CA37C8" w:rsidRDefault="00DD185F" w:rsidP="00DD185F">
            <w:pPr>
              <w:tabs>
                <w:tab w:val="right" w:pos="1202"/>
              </w:tabs>
              <w:spacing w:after="0" w:line="280" w:lineRule="exact"/>
              <w:outlineLvl w:val="0"/>
              <w:rPr>
                <w:rFonts w:eastAsia="Times New Roman" w:cs="Arial"/>
                <w:b/>
                <w:bCs/>
              </w:rPr>
            </w:pPr>
            <w:r w:rsidRPr="00CA37C8">
              <w:rPr>
                <w:rFonts w:eastAsia="Times New Roman" w:cs="Arial"/>
                <w:b/>
                <w:bCs/>
              </w:rPr>
              <w:t>Ostala sveobuhvatna dobit</w:t>
            </w:r>
            <w:r>
              <w:rPr>
                <w:rFonts w:eastAsia="Times New Roman" w:cs="Arial"/>
                <w:b/>
                <w:bCs/>
              </w:rPr>
              <w:t xml:space="preserve"> nakon oporezivanja</w:t>
            </w:r>
          </w:p>
        </w:tc>
        <w:tc>
          <w:tcPr>
            <w:tcW w:w="665" w:type="pct"/>
            <w:tcBorders>
              <w:top w:val="nil"/>
              <w:left w:val="nil"/>
              <w:bottom w:val="nil"/>
              <w:right w:val="nil"/>
            </w:tcBorders>
            <w:shd w:val="clear" w:color="auto" w:fill="auto"/>
            <w:vAlign w:val="bottom"/>
          </w:tcPr>
          <w:p w14:paraId="5A959B17" w14:textId="11D76400" w:rsidR="00DD185F" w:rsidRPr="00722C53" w:rsidRDefault="00DD185F" w:rsidP="00DD185F">
            <w:pPr>
              <w:keepNext/>
              <w:keepLines/>
              <w:spacing w:after="0" w:line="280" w:lineRule="exact"/>
              <w:jc w:val="right"/>
              <w:rPr>
                <w:rFonts w:eastAsia="Times New Roman" w:cs="Arial"/>
                <w:b/>
                <w:spacing w:val="-2"/>
                <w:position w:val="4"/>
              </w:rPr>
            </w:pPr>
            <w:r>
              <w:rPr>
                <w:rFonts w:cs="Arial"/>
                <w:b/>
                <w:bCs/>
              </w:rPr>
              <w:t>(2.005)</w:t>
            </w:r>
          </w:p>
        </w:tc>
        <w:tc>
          <w:tcPr>
            <w:tcW w:w="784" w:type="pct"/>
            <w:tcBorders>
              <w:top w:val="nil"/>
              <w:left w:val="nil"/>
              <w:bottom w:val="nil"/>
              <w:right w:val="nil"/>
            </w:tcBorders>
            <w:shd w:val="clear" w:color="auto" w:fill="auto"/>
            <w:vAlign w:val="bottom"/>
          </w:tcPr>
          <w:p w14:paraId="386BB4E5" w14:textId="75989578" w:rsidR="00DD185F" w:rsidRPr="00722C53" w:rsidRDefault="00DD185F" w:rsidP="00DD185F">
            <w:pPr>
              <w:keepNext/>
              <w:keepLines/>
              <w:spacing w:after="0" w:line="280" w:lineRule="exact"/>
              <w:jc w:val="right"/>
              <w:rPr>
                <w:rFonts w:eastAsia="Times New Roman" w:cs="Arial"/>
                <w:b/>
                <w:spacing w:val="-2"/>
                <w:position w:val="4"/>
              </w:rPr>
            </w:pPr>
            <w:r>
              <w:rPr>
                <w:rFonts w:cs="Arial"/>
                <w:b/>
                <w:bCs/>
              </w:rPr>
              <w:t>(662)</w:t>
            </w:r>
          </w:p>
        </w:tc>
        <w:tc>
          <w:tcPr>
            <w:tcW w:w="794" w:type="pct"/>
            <w:tcBorders>
              <w:top w:val="nil"/>
              <w:left w:val="nil"/>
              <w:bottom w:val="nil"/>
              <w:right w:val="nil"/>
            </w:tcBorders>
            <w:shd w:val="clear" w:color="auto" w:fill="auto"/>
            <w:vAlign w:val="bottom"/>
          </w:tcPr>
          <w:p w14:paraId="1707927B" w14:textId="6CBAD5E4" w:rsidR="00DD185F" w:rsidRPr="00CA37C8" w:rsidRDefault="00DD185F" w:rsidP="00DD185F">
            <w:pPr>
              <w:keepNext/>
              <w:keepLines/>
              <w:spacing w:after="0" w:line="280" w:lineRule="exact"/>
              <w:jc w:val="right"/>
              <w:rPr>
                <w:rFonts w:eastAsia="Times New Roman" w:cs="Arial"/>
                <w:b/>
                <w:spacing w:val="-2"/>
                <w:position w:val="4"/>
              </w:rPr>
            </w:pPr>
            <w:r w:rsidRPr="00722C53">
              <w:rPr>
                <w:rFonts w:cs="Arial"/>
                <w:b/>
                <w:bCs/>
              </w:rPr>
              <w:t>(25)</w:t>
            </w:r>
          </w:p>
        </w:tc>
        <w:tc>
          <w:tcPr>
            <w:tcW w:w="631" w:type="pct"/>
            <w:tcBorders>
              <w:top w:val="nil"/>
              <w:left w:val="nil"/>
              <w:bottom w:val="nil"/>
              <w:right w:val="nil"/>
            </w:tcBorders>
            <w:shd w:val="clear" w:color="auto" w:fill="auto"/>
            <w:vAlign w:val="bottom"/>
          </w:tcPr>
          <w:p w14:paraId="188B31A2" w14:textId="33656D96" w:rsidR="00DD185F" w:rsidRPr="00CA37C8" w:rsidRDefault="00DD185F" w:rsidP="00DD185F">
            <w:pPr>
              <w:keepNext/>
              <w:keepLines/>
              <w:spacing w:after="0" w:line="280" w:lineRule="exact"/>
              <w:jc w:val="right"/>
              <w:rPr>
                <w:rFonts w:eastAsia="Times New Roman" w:cs="Arial"/>
                <w:b/>
                <w:spacing w:val="-2"/>
                <w:position w:val="4"/>
              </w:rPr>
            </w:pPr>
            <w:r w:rsidRPr="00722C53">
              <w:rPr>
                <w:rFonts w:cs="Arial"/>
                <w:b/>
                <w:bCs/>
              </w:rPr>
              <w:t>13.844</w:t>
            </w:r>
          </w:p>
        </w:tc>
      </w:tr>
      <w:tr w:rsidR="00481F7C" w:rsidRPr="00CA37C8" w14:paraId="5CF6A306" w14:textId="77777777" w:rsidTr="00312975">
        <w:trPr>
          <w:trHeight w:val="125"/>
        </w:trPr>
        <w:tc>
          <w:tcPr>
            <w:tcW w:w="2126" w:type="pct"/>
            <w:vAlign w:val="bottom"/>
          </w:tcPr>
          <w:p w14:paraId="0C5FB016" w14:textId="77777777" w:rsidR="00481F7C" w:rsidRPr="00CA37C8" w:rsidRDefault="00481F7C" w:rsidP="00481F7C">
            <w:pPr>
              <w:tabs>
                <w:tab w:val="right" w:pos="1202"/>
              </w:tabs>
              <w:spacing w:after="0" w:line="280" w:lineRule="exact"/>
              <w:outlineLvl w:val="0"/>
              <w:rPr>
                <w:rFonts w:eastAsia="Times New Roman" w:cs="Arial"/>
                <w:b/>
                <w:bCs/>
              </w:rPr>
            </w:pPr>
          </w:p>
        </w:tc>
        <w:tc>
          <w:tcPr>
            <w:tcW w:w="665" w:type="pct"/>
            <w:tcBorders>
              <w:bottom w:val="single" w:sz="4" w:space="0" w:color="auto"/>
            </w:tcBorders>
            <w:vAlign w:val="bottom"/>
          </w:tcPr>
          <w:p w14:paraId="4DF2FF34" w14:textId="77777777" w:rsidR="00481F7C" w:rsidRPr="00722C53" w:rsidRDefault="00481F7C" w:rsidP="00481F7C">
            <w:pPr>
              <w:keepNext/>
              <w:keepLines/>
              <w:spacing w:after="0" w:line="280" w:lineRule="exact"/>
              <w:jc w:val="right"/>
              <w:rPr>
                <w:rFonts w:eastAsia="Times New Roman" w:cs="Arial"/>
                <w:b/>
                <w:spacing w:val="-2"/>
                <w:position w:val="4"/>
              </w:rPr>
            </w:pPr>
          </w:p>
        </w:tc>
        <w:tc>
          <w:tcPr>
            <w:tcW w:w="784" w:type="pct"/>
            <w:tcBorders>
              <w:bottom w:val="single" w:sz="4" w:space="0" w:color="auto"/>
            </w:tcBorders>
            <w:vAlign w:val="bottom"/>
          </w:tcPr>
          <w:p w14:paraId="7E35451B" w14:textId="77777777" w:rsidR="00481F7C" w:rsidRPr="00722C53" w:rsidRDefault="00481F7C" w:rsidP="00481F7C">
            <w:pPr>
              <w:keepNext/>
              <w:keepLines/>
              <w:spacing w:after="0" w:line="280" w:lineRule="exact"/>
              <w:jc w:val="right"/>
              <w:rPr>
                <w:rFonts w:eastAsia="Times New Roman" w:cs="Arial"/>
                <w:b/>
                <w:spacing w:val="-2"/>
                <w:position w:val="4"/>
              </w:rPr>
            </w:pPr>
          </w:p>
        </w:tc>
        <w:tc>
          <w:tcPr>
            <w:tcW w:w="794" w:type="pct"/>
            <w:tcBorders>
              <w:bottom w:val="single" w:sz="4" w:space="0" w:color="auto"/>
            </w:tcBorders>
            <w:vAlign w:val="bottom"/>
          </w:tcPr>
          <w:p w14:paraId="5CA90721" w14:textId="77777777" w:rsidR="00481F7C" w:rsidRPr="00CA37C8" w:rsidRDefault="00481F7C" w:rsidP="00481F7C">
            <w:pPr>
              <w:keepNext/>
              <w:keepLines/>
              <w:spacing w:after="0" w:line="280" w:lineRule="exact"/>
              <w:jc w:val="right"/>
              <w:rPr>
                <w:rFonts w:eastAsia="Times New Roman" w:cs="Arial"/>
                <w:b/>
                <w:spacing w:val="-2"/>
                <w:position w:val="4"/>
              </w:rPr>
            </w:pPr>
          </w:p>
        </w:tc>
        <w:tc>
          <w:tcPr>
            <w:tcW w:w="631" w:type="pct"/>
            <w:tcBorders>
              <w:bottom w:val="single" w:sz="4" w:space="0" w:color="auto"/>
            </w:tcBorders>
            <w:vAlign w:val="bottom"/>
          </w:tcPr>
          <w:p w14:paraId="5B837399" w14:textId="77777777" w:rsidR="00481F7C" w:rsidRPr="00CA37C8" w:rsidRDefault="00481F7C" w:rsidP="00481F7C">
            <w:pPr>
              <w:keepNext/>
              <w:keepLines/>
              <w:spacing w:after="0" w:line="280" w:lineRule="exact"/>
              <w:jc w:val="right"/>
              <w:rPr>
                <w:rFonts w:eastAsia="Times New Roman" w:cs="Arial"/>
                <w:b/>
                <w:spacing w:val="-2"/>
                <w:position w:val="4"/>
              </w:rPr>
            </w:pPr>
          </w:p>
        </w:tc>
      </w:tr>
      <w:tr w:rsidR="00481F7C" w:rsidRPr="00CA37C8" w14:paraId="59051B58" w14:textId="77777777" w:rsidTr="00312975">
        <w:trPr>
          <w:trHeight w:val="427"/>
        </w:trPr>
        <w:tc>
          <w:tcPr>
            <w:tcW w:w="2126" w:type="pct"/>
            <w:vAlign w:val="bottom"/>
          </w:tcPr>
          <w:p w14:paraId="7CD91357" w14:textId="77777777" w:rsidR="00481F7C" w:rsidRPr="00CA37C8" w:rsidRDefault="00481F7C" w:rsidP="00481F7C">
            <w:pPr>
              <w:tabs>
                <w:tab w:val="right" w:pos="1202"/>
              </w:tabs>
              <w:spacing w:after="0" w:line="280" w:lineRule="exact"/>
              <w:outlineLvl w:val="0"/>
              <w:rPr>
                <w:rFonts w:eastAsia="Times New Roman" w:cs="Arial"/>
                <w:b/>
                <w:bCs/>
              </w:rPr>
            </w:pPr>
            <w:r w:rsidRPr="00CA37C8">
              <w:rPr>
                <w:rFonts w:eastAsia="Times New Roman" w:cs="Arial"/>
                <w:b/>
                <w:bCs/>
              </w:rPr>
              <w:t>Ukupna sveobuhvatna dobit nakon oporezivanja</w:t>
            </w:r>
          </w:p>
        </w:tc>
        <w:tc>
          <w:tcPr>
            <w:tcW w:w="665" w:type="pct"/>
            <w:tcBorders>
              <w:top w:val="single" w:sz="4" w:space="0" w:color="auto"/>
              <w:left w:val="nil"/>
              <w:bottom w:val="single" w:sz="8" w:space="0" w:color="auto"/>
              <w:right w:val="nil"/>
            </w:tcBorders>
            <w:shd w:val="clear" w:color="auto" w:fill="auto"/>
            <w:vAlign w:val="bottom"/>
          </w:tcPr>
          <w:p w14:paraId="2EC7DB9B" w14:textId="15B61358" w:rsidR="00481F7C" w:rsidRPr="002B2DDF" w:rsidRDefault="00AF07EE" w:rsidP="00481F7C">
            <w:pPr>
              <w:pStyle w:val="Tot"/>
              <w:spacing w:line="240" w:lineRule="auto"/>
              <w:jc w:val="right"/>
              <w:rPr>
                <w:rFonts w:asciiTheme="minorHAnsi" w:hAnsiTheme="minorHAnsi" w:cs="Arial"/>
                <w:b/>
                <w:bCs/>
                <w:sz w:val="22"/>
                <w:szCs w:val="22"/>
                <w:lang w:val="hr-HR"/>
              </w:rPr>
            </w:pPr>
            <w:r w:rsidRPr="00AF07EE">
              <w:rPr>
                <w:rFonts w:asciiTheme="minorHAnsi" w:hAnsiTheme="minorHAnsi" w:cs="Arial"/>
                <w:b/>
                <w:bCs/>
                <w:sz w:val="22"/>
                <w:szCs w:val="22"/>
                <w:lang w:val="hr-HR"/>
              </w:rPr>
              <w:t>87.100</w:t>
            </w:r>
          </w:p>
        </w:tc>
        <w:tc>
          <w:tcPr>
            <w:tcW w:w="784" w:type="pct"/>
            <w:tcBorders>
              <w:top w:val="single" w:sz="4" w:space="0" w:color="auto"/>
              <w:left w:val="nil"/>
              <w:bottom w:val="single" w:sz="8" w:space="0" w:color="auto"/>
              <w:right w:val="nil"/>
            </w:tcBorders>
            <w:shd w:val="clear" w:color="auto" w:fill="auto"/>
            <w:vAlign w:val="bottom"/>
          </w:tcPr>
          <w:p w14:paraId="44408B78" w14:textId="67BD0AB1" w:rsidR="00481F7C" w:rsidRPr="002B2DDF" w:rsidRDefault="00AF07EE" w:rsidP="00481F7C">
            <w:pPr>
              <w:pStyle w:val="Tot"/>
              <w:spacing w:line="240" w:lineRule="auto"/>
              <w:jc w:val="right"/>
              <w:rPr>
                <w:rFonts w:asciiTheme="minorHAnsi" w:hAnsiTheme="minorHAnsi" w:cs="Arial"/>
                <w:b/>
                <w:bCs/>
                <w:sz w:val="22"/>
                <w:szCs w:val="22"/>
                <w:lang w:val="hr-HR"/>
              </w:rPr>
            </w:pPr>
            <w:r w:rsidRPr="00AF07EE">
              <w:rPr>
                <w:rFonts w:asciiTheme="minorHAnsi" w:hAnsiTheme="minorHAnsi" w:cs="Arial"/>
                <w:b/>
                <w:bCs/>
                <w:sz w:val="22"/>
                <w:szCs w:val="22"/>
                <w:lang w:val="hr-HR"/>
              </w:rPr>
              <w:t>128.694</w:t>
            </w:r>
          </w:p>
        </w:tc>
        <w:tc>
          <w:tcPr>
            <w:tcW w:w="794" w:type="pct"/>
            <w:tcBorders>
              <w:top w:val="single" w:sz="4" w:space="0" w:color="auto"/>
              <w:left w:val="nil"/>
              <w:bottom w:val="single" w:sz="8" w:space="0" w:color="auto"/>
              <w:right w:val="nil"/>
            </w:tcBorders>
            <w:shd w:val="clear" w:color="auto" w:fill="auto"/>
            <w:vAlign w:val="bottom"/>
          </w:tcPr>
          <w:p w14:paraId="7B336357" w14:textId="44014D5F" w:rsidR="00481F7C" w:rsidRPr="008F4611" w:rsidRDefault="00481F7C" w:rsidP="00481F7C">
            <w:pPr>
              <w:pStyle w:val="Tot"/>
              <w:spacing w:line="240" w:lineRule="auto"/>
              <w:jc w:val="right"/>
              <w:rPr>
                <w:rFonts w:cs="Arial"/>
                <w:b/>
                <w:bCs/>
              </w:rPr>
            </w:pPr>
            <w:r w:rsidRPr="002B2DDF">
              <w:rPr>
                <w:rFonts w:asciiTheme="minorHAnsi" w:hAnsiTheme="minorHAnsi" w:cs="Arial"/>
                <w:b/>
                <w:bCs/>
                <w:sz w:val="22"/>
                <w:szCs w:val="22"/>
                <w:lang w:val="hr-HR"/>
              </w:rPr>
              <w:t>54.298</w:t>
            </w:r>
          </w:p>
        </w:tc>
        <w:tc>
          <w:tcPr>
            <w:tcW w:w="631" w:type="pct"/>
            <w:tcBorders>
              <w:top w:val="single" w:sz="4" w:space="0" w:color="auto"/>
              <w:left w:val="nil"/>
              <w:bottom w:val="single" w:sz="8" w:space="0" w:color="auto"/>
              <w:right w:val="nil"/>
            </w:tcBorders>
            <w:shd w:val="clear" w:color="auto" w:fill="auto"/>
            <w:vAlign w:val="bottom"/>
          </w:tcPr>
          <w:p w14:paraId="7D76FE42" w14:textId="460E2D23" w:rsidR="00481F7C" w:rsidRPr="008F4611" w:rsidRDefault="00481F7C" w:rsidP="00481F7C">
            <w:pPr>
              <w:pStyle w:val="Tot"/>
              <w:spacing w:line="240" w:lineRule="auto"/>
              <w:jc w:val="right"/>
              <w:rPr>
                <w:rFonts w:cs="Arial"/>
                <w:b/>
                <w:bCs/>
              </w:rPr>
            </w:pPr>
            <w:r w:rsidRPr="002B2DDF">
              <w:rPr>
                <w:rFonts w:asciiTheme="minorHAnsi" w:hAnsiTheme="minorHAnsi" w:cs="Arial"/>
                <w:b/>
                <w:bCs/>
                <w:sz w:val="22"/>
                <w:szCs w:val="22"/>
                <w:lang w:val="hr-HR"/>
              </w:rPr>
              <w:t>121.079</w:t>
            </w:r>
          </w:p>
        </w:tc>
      </w:tr>
      <w:tr w:rsidR="00481F7C" w:rsidRPr="00CA37C8" w14:paraId="37D92B23" w14:textId="77777777" w:rsidTr="00312975">
        <w:trPr>
          <w:trHeight w:hRule="exact" w:val="227"/>
        </w:trPr>
        <w:tc>
          <w:tcPr>
            <w:tcW w:w="2126" w:type="pct"/>
            <w:vAlign w:val="bottom"/>
          </w:tcPr>
          <w:p w14:paraId="33F6D211" w14:textId="77777777" w:rsidR="00481F7C" w:rsidRPr="00CA37C8" w:rsidRDefault="00481F7C" w:rsidP="00481F7C">
            <w:pPr>
              <w:tabs>
                <w:tab w:val="right" w:pos="1202"/>
              </w:tabs>
              <w:spacing w:after="0" w:line="200" w:lineRule="exact"/>
              <w:outlineLvl w:val="0"/>
              <w:rPr>
                <w:rFonts w:eastAsia="Times New Roman" w:cs="Arial"/>
                <w:b/>
                <w:bCs/>
              </w:rPr>
            </w:pPr>
          </w:p>
        </w:tc>
        <w:tc>
          <w:tcPr>
            <w:tcW w:w="665" w:type="pct"/>
            <w:tcBorders>
              <w:top w:val="single" w:sz="12" w:space="0" w:color="auto"/>
            </w:tcBorders>
            <w:vAlign w:val="bottom"/>
          </w:tcPr>
          <w:p w14:paraId="1EE59A83" w14:textId="77777777" w:rsidR="00481F7C" w:rsidRPr="00722C53" w:rsidRDefault="00481F7C" w:rsidP="00481F7C">
            <w:pPr>
              <w:keepNext/>
              <w:keepLines/>
              <w:spacing w:after="0" w:line="200" w:lineRule="exact"/>
              <w:jc w:val="right"/>
              <w:rPr>
                <w:rFonts w:eastAsia="Times New Roman" w:cs="Arial"/>
                <w:b/>
                <w:position w:val="4"/>
                <w:u w:val="thick"/>
              </w:rPr>
            </w:pPr>
          </w:p>
        </w:tc>
        <w:tc>
          <w:tcPr>
            <w:tcW w:w="784" w:type="pct"/>
            <w:tcBorders>
              <w:top w:val="single" w:sz="12" w:space="0" w:color="auto"/>
            </w:tcBorders>
            <w:vAlign w:val="bottom"/>
          </w:tcPr>
          <w:p w14:paraId="6965603D" w14:textId="77777777" w:rsidR="00481F7C" w:rsidRPr="00722C53" w:rsidRDefault="00481F7C" w:rsidP="00481F7C">
            <w:pPr>
              <w:keepNext/>
              <w:keepLines/>
              <w:spacing w:after="0" w:line="200" w:lineRule="exact"/>
              <w:jc w:val="right"/>
              <w:rPr>
                <w:rFonts w:eastAsia="Times New Roman" w:cs="Arial"/>
                <w:b/>
                <w:position w:val="4"/>
                <w:u w:val="thick"/>
              </w:rPr>
            </w:pPr>
          </w:p>
        </w:tc>
        <w:tc>
          <w:tcPr>
            <w:tcW w:w="794" w:type="pct"/>
            <w:tcBorders>
              <w:top w:val="single" w:sz="12" w:space="0" w:color="auto"/>
            </w:tcBorders>
            <w:vAlign w:val="bottom"/>
          </w:tcPr>
          <w:p w14:paraId="7129FD64" w14:textId="77777777" w:rsidR="00481F7C" w:rsidRPr="00CA37C8" w:rsidRDefault="00481F7C" w:rsidP="00481F7C">
            <w:pPr>
              <w:keepNext/>
              <w:keepLines/>
              <w:spacing w:after="0" w:line="200" w:lineRule="exact"/>
              <w:jc w:val="right"/>
              <w:rPr>
                <w:rFonts w:eastAsia="Times New Roman" w:cs="Arial"/>
                <w:b/>
                <w:position w:val="4"/>
                <w:u w:val="thick"/>
              </w:rPr>
            </w:pPr>
          </w:p>
        </w:tc>
        <w:tc>
          <w:tcPr>
            <w:tcW w:w="631" w:type="pct"/>
            <w:tcBorders>
              <w:top w:val="single" w:sz="12" w:space="0" w:color="auto"/>
            </w:tcBorders>
            <w:vAlign w:val="bottom"/>
          </w:tcPr>
          <w:p w14:paraId="72EAE17B" w14:textId="77777777" w:rsidR="00481F7C" w:rsidRPr="00CA37C8" w:rsidRDefault="00481F7C" w:rsidP="00481F7C">
            <w:pPr>
              <w:keepNext/>
              <w:keepLines/>
              <w:spacing w:after="0" w:line="200" w:lineRule="exact"/>
              <w:jc w:val="right"/>
              <w:rPr>
                <w:rFonts w:eastAsia="Times New Roman" w:cs="Arial"/>
                <w:b/>
                <w:position w:val="4"/>
                <w:u w:val="thick"/>
              </w:rPr>
            </w:pPr>
          </w:p>
        </w:tc>
      </w:tr>
      <w:tr w:rsidR="00481F7C" w:rsidRPr="00CA37C8" w14:paraId="3E3682C7" w14:textId="77777777" w:rsidTr="00312975">
        <w:trPr>
          <w:trHeight w:val="213"/>
        </w:trPr>
        <w:tc>
          <w:tcPr>
            <w:tcW w:w="2126" w:type="pct"/>
            <w:vAlign w:val="bottom"/>
          </w:tcPr>
          <w:p w14:paraId="2158B682" w14:textId="77777777" w:rsidR="00481F7C" w:rsidRPr="00CA37C8" w:rsidRDefault="00481F7C" w:rsidP="00481F7C">
            <w:pPr>
              <w:tabs>
                <w:tab w:val="right" w:pos="1202"/>
              </w:tabs>
              <w:spacing w:after="0" w:line="200" w:lineRule="exact"/>
              <w:outlineLvl w:val="0"/>
              <w:rPr>
                <w:rFonts w:eastAsia="Times New Roman" w:cs="Arial"/>
                <w:b/>
                <w:bCs/>
              </w:rPr>
            </w:pPr>
          </w:p>
        </w:tc>
        <w:tc>
          <w:tcPr>
            <w:tcW w:w="665" w:type="pct"/>
            <w:vAlign w:val="bottom"/>
          </w:tcPr>
          <w:p w14:paraId="635E5611" w14:textId="77777777" w:rsidR="00481F7C" w:rsidRPr="00722C53" w:rsidRDefault="00481F7C" w:rsidP="00481F7C">
            <w:pPr>
              <w:keepNext/>
              <w:keepLines/>
              <w:spacing w:after="0" w:line="200" w:lineRule="exact"/>
              <w:jc w:val="right"/>
              <w:rPr>
                <w:rFonts w:eastAsia="Times New Roman" w:cs="Arial"/>
                <w:b/>
                <w:position w:val="4"/>
              </w:rPr>
            </w:pPr>
          </w:p>
        </w:tc>
        <w:tc>
          <w:tcPr>
            <w:tcW w:w="784" w:type="pct"/>
            <w:vAlign w:val="bottom"/>
          </w:tcPr>
          <w:p w14:paraId="3518B6E6" w14:textId="77777777" w:rsidR="00481F7C" w:rsidRPr="00722C53" w:rsidRDefault="00481F7C" w:rsidP="00481F7C">
            <w:pPr>
              <w:keepNext/>
              <w:keepLines/>
              <w:spacing w:after="0" w:line="200" w:lineRule="exact"/>
              <w:jc w:val="right"/>
              <w:rPr>
                <w:rFonts w:eastAsia="Times New Roman" w:cs="Arial"/>
                <w:b/>
                <w:position w:val="4"/>
              </w:rPr>
            </w:pPr>
          </w:p>
        </w:tc>
        <w:tc>
          <w:tcPr>
            <w:tcW w:w="794" w:type="pct"/>
            <w:vAlign w:val="bottom"/>
          </w:tcPr>
          <w:p w14:paraId="102D5E8A" w14:textId="77777777" w:rsidR="00481F7C" w:rsidRPr="00CA37C8" w:rsidRDefault="00481F7C" w:rsidP="00481F7C">
            <w:pPr>
              <w:keepNext/>
              <w:keepLines/>
              <w:spacing w:after="0" w:line="200" w:lineRule="exact"/>
              <w:jc w:val="right"/>
              <w:rPr>
                <w:rFonts w:eastAsia="Times New Roman" w:cs="Arial"/>
                <w:b/>
                <w:position w:val="4"/>
              </w:rPr>
            </w:pPr>
          </w:p>
        </w:tc>
        <w:tc>
          <w:tcPr>
            <w:tcW w:w="631" w:type="pct"/>
            <w:vAlign w:val="bottom"/>
          </w:tcPr>
          <w:p w14:paraId="37908476" w14:textId="77777777" w:rsidR="00481F7C" w:rsidRPr="00CA37C8" w:rsidRDefault="00481F7C" w:rsidP="00481F7C">
            <w:pPr>
              <w:keepNext/>
              <w:keepLines/>
              <w:spacing w:after="0" w:line="200" w:lineRule="exact"/>
              <w:jc w:val="right"/>
              <w:rPr>
                <w:rFonts w:eastAsia="Times New Roman" w:cs="Arial"/>
                <w:b/>
                <w:position w:val="4"/>
              </w:rPr>
            </w:pPr>
          </w:p>
        </w:tc>
      </w:tr>
      <w:tr w:rsidR="00481F7C" w:rsidRPr="00CA37C8" w14:paraId="7C12126E" w14:textId="77777777" w:rsidTr="00312975">
        <w:trPr>
          <w:trHeight w:val="305"/>
        </w:trPr>
        <w:tc>
          <w:tcPr>
            <w:tcW w:w="2126" w:type="pct"/>
            <w:vAlign w:val="bottom"/>
          </w:tcPr>
          <w:p w14:paraId="4C43D2F3" w14:textId="77777777" w:rsidR="00481F7C" w:rsidRPr="00CA37C8" w:rsidRDefault="00481F7C" w:rsidP="00481F7C">
            <w:pPr>
              <w:tabs>
                <w:tab w:val="right" w:pos="1202"/>
              </w:tabs>
              <w:spacing w:after="0" w:line="280" w:lineRule="exact"/>
              <w:outlineLvl w:val="0"/>
              <w:rPr>
                <w:rFonts w:eastAsia="Times New Roman" w:cs="Arial"/>
                <w:b/>
                <w:bCs/>
              </w:rPr>
            </w:pPr>
            <w:r w:rsidRPr="00CA37C8">
              <w:rPr>
                <w:rFonts w:eastAsia="Times New Roman" w:cs="Arial"/>
                <w:b/>
                <w:bCs/>
              </w:rPr>
              <w:t>Ukupna sveobuhvatna dobit:</w:t>
            </w:r>
          </w:p>
        </w:tc>
        <w:tc>
          <w:tcPr>
            <w:tcW w:w="665" w:type="pct"/>
            <w:vAlign w:val="bottom"/>
          </w:tcPr>
          <w:p w14:paraId="61009921" w14:textId="77777777" w:rsidR="00481F7C" w:rsidRPr="00722C53" w:rsidRDefault="00481F7C" w:rsidP="00481F7C">
            <w:pPr>
              <w:keepNext/>
              <w:keepLines/>
              <w:spacing w:after="0" w:line="280" w:lineRule="exact"/>
              <w:jc w:val="right"/>
              <w:rPr>
                <w:rFonts w:eastAsia="Times New Roman" w:cs="Arial"/>
                <w:b/>
                <w:position w:val="4"/>
              </w:rPr>
            </w:pPr>
          </w:p>
        </w:tc>
        <w:tc>
          <w:tcPr>
            <w:tcW w:w="784" w:type="pct"/>
            <w:vAlign w:val="bottom"/>
          </w:tcPr>
          <w:p w14:paraId="6EFF738F" w14:textId="77777777" w:rsidR="00481F7C" w:rsidRPr="00722C53" w:rsidRDefault="00481F7C" w:rsidP="00481F7C">
            <w:pPr>
              <w:keepNext/>
              <w:keepLines/>
              <w:spacing w:after="0" w:line="280" w:lineRule="exact"/>
              <w:jc w:val="right"/>
              <w:rPr>
                <w:rFonts w:eastAsia="Times New Roman" w:cs="Arial"/>
                <w:b/>
                <w:position w:val="4"/>
              </w:rPr>
            </w:pPr>
          </w:p>
        </w:tc>
        <w:tc>
          <w:tcPr>
            <w:tcW w:w="794" w:type="pct"/>
            <w:vAlign w:val="bottom"/>
          </w:tcPr>
          <w:p w14:paraId="5901165B" w14:textId="77777777" w:rsidR="00481F7C" w:rsidRPr="00CA37C8" w:rsidRDefault="00481F7C" w:rsidP="00481F7C">
            <w:pPr>
              <w:keepNext/>
              <w:keepLines/>
              <w:spacing w:after="0" w:line="280" w:lineRule="exact"/>
              <w:jc w:val="right"/>
              <w:rPr>
                <w:rFonts w:eastAsia="Times New Roman" w:cs="Arial"/>
                <w:b/>
                <w:position w:val="4"/>
              </w:rPr>
            </w:pPr>
          </w:p>
        </w:tc>
        <w:tc>
          <w:tcPr>
            <w:tcW w:w="631" w:type="pct"/>
            <w:vAlign w:val="bottom"/>
          </w:tcPr>
          <w:p w14:paraId="19C37FFF" w14:textId="77777777" w:rsidR="00481F7C" w:rsidRPr="00CA37C8" w:rsidRDefault="00481F7C" w:rsidP="00481F7C">
            <w:pPr>
              <w:keepNext/>
              <w:keepLines/>
              <w:spacing w:after="0" w:line="280" w:lineRule="exact"/>
              <w:jc w:val="right"/>
              <w:rPr>
                <w:rFonts w:eastAsia="Times New Roman" w:cs="Arial"/>
                <w:b/>
                <w:position w:val="4"/>
              </w:rPr>
            </w:pPr>
          </w:p>
        </w:tc>
      </w:tr>
      <w:tr w:rsidR="00481F7C" w:rsidRPr="006B1436" w14:paraId="0D237AB7" w14:textId="77777777" w:rsidTr="00312975">
        <w:trPr>
          <w:trHeight w:val="305"/>
        </w:trPr>
        <w:tc>
          <w:tcPr>
            <w:tcW w:w="2126" w:type="pct"/>
            <w:vAlign w:val="bottom"/>
          </w:tcPr>
          <w:p w14:paraId="5C59FA06" w14:textId="58303832" w:rsidR="00481F7C" w:rsidRPr="00A37C92" w:rsidRDefault="00481F7C" w:rsidP="000035C6">
            <w:pPr>
              <w:tabs>
                <w:tab w:val="right" w:pos="1202"/>
              </w:tabs>
              <w:spacing w:after="0" w:line="280" w:lineRule="exact"/>
              <w:outlineLvl w:val="0"/>
              <w:rPr>
                <w:rFonts w:eastAsia="Times New Roman" w:cs="Arial"/>
                <w:b/>
                <w:bCs/>
              </w:rPr>
            </w:pPr>
            <w:r w:rsidRPr="00A37C92">
              <w:rPr>
                <w:rFonts w:eastAsia="Times New Roman" w:cs="Arial"/>
                <w:b/>
                <w:bCs/>
              </w:rPr>
              <w:t>Vlasni</w:t>
            </w:r>
            <w:r w:rsidR="000035C6">
              <w:rPr>
                <w:rFonts w:eastAsia="Times New Roman" w:cs="Arial"/>
                <w:b/>
                <w:bCs/>
              </w:rPr>
              <w:t>ku</w:t>
            </w:r>
            <w:r w:rsidRPr="00A37C92">
              <w:rPr>
                <w:rFonts w:eastAsia="Times New Roman" w:cs="Arial"/>
                <w:b/>
                <w:bCs/>
              </w:rPr>
              <w:t xml:space="preserve"> društva</w:t>
            </w:r>
          </w:p>
        </w:tc>
        <w:tc>
          <w:tcPr>
            <w:tcW w:w="665" w:type="pct"/>
            <w:tcBorders>
              <w:top w:val="nil"/>
              <w:left w:val="nil"/>
              <w:bottom w:val="single" w:sz="12" w:space="0" w:color="auto"/>
              <w:right w:val="nil"/>
            </w:tcBorders>
            <w:shd w:val="clear" w:color="auto" w:fill="auto"/>
            <w:vAlign w:val="bottom"/>
          </w:tcPr>
          <w:p w14:paraId="02D99FF6" w14:textId="0F84E462" w:rsidR="00481F7C" w:rsidRPr="002B2DDF" w:rsidRDefault="00AF07EE" w:rsidP="00481F7C">
            <w:pPr>
              <w:keepNext/>
              <w:keepLines/>
              <w:spacing w:after="0" w:line="280" w:lineRule="exact"/>
              <w:jc w:val="right"/>
              <w:rPr>
                <w:rFonts w:eastAsia="Times New Roman" w:cs="Arial"/>
                <w:b/>
              </w:rPr>
            </w:pPr>
            <w:r w:rsidRPr="00AF07EE">
              <w:rPr>
                <w:rFonts w:eastAsia="Times New Roman" w:cs="Arial"/>
                <w:b/>
              </w:rPr>
              <w:t>87.100</w:t>
            </w:r>
          </w:p>
        </w:tc>
        <w:tc>
          <w:tcPr>
            <w:tcW w:w="784" w:type="pct"/>
            <w:tcBorders>
              <w:top w:val="nil"/>
              <w:left w:val="nil"/>
              <w:bottom w:val="single" w:sz="12" w:space="0" w:color="auto"/>
              <w:right w:val="nil"/>
            </w:tcBorders>
            <w:shd w:val="clear" w:color="auto" w:fill="auto"/>
            <w:vAlign w:val="bottom"/>
          </w:tcPr>
          <w:p w14:paraId="71DA436E" w14:textId="7F21A5B0" w:rsidR="00481F7C" w:rsidRPr="002B2DDF" w:rsidRDefault="00AF07EE" w:rsidP="00481F7C">
            <w:pPr>
              <w:keepNext/>
              <w:keepLines/>
              <w:spacing w:after="0" w:line="280" w:lineRule="exact"/>
              <w:jc w:val="right"/>
              <w:rPr>
                <w:rFonts w:eastAsia="Times New Roman" w:cs="Arial"/>
                <w:b/>
              </w:rPr>
            </w:pPr>
            <w:r w:rsidRPr="00AF07EE">
              <w:rPr>
                <w:rFonts w:eastAsia="Times New Roman" w:cs="Arial"/>
                <w:b/>
              </w:rPr>
              <w:t>128.694</w:t>
            </w:r>
          </w:p>
        </w:tc>
        <w:tc>
          <w:tcPr>
            <w:tcW w:w="794" w:type="pct"/>
            <w:tcBorders>
              <w:top w:val="nil"/>
              <w:left w:val="nil"/>
              <w:bottom w:val="single" w:sz="12" w:space="0" w:color="auto"/>
              <w:right w:val="nil"/>
            </w:tcBorders>
            <w:shd w:val="clear" w:color="auto" w:fill="auto"/>
            <w:vAlign w:val="bottom"/>
          </w:tcPr>
          <w:p w14:paraId="5D59D377" w14:textId="2A43615F" w:rsidR="00481F7C" w:rsidRPr="00A37C92" w:rsidRDefault="00481F7C" w:rsidP="00481F7C">
            <w:pPr>
              <w:keepNext/>
              <w:keepLines/>
              <w:spacing w:after="0" w:line="280" w:lineRule="exact"/>
              <w:jc w:val="right"/>
              <w:rPr>
                <w:rFonts w:eastAsia="Times New Roman" w:cs="Arial"/>
                <w:b/>
                <w:position w:val="4"/>
              </w:rPr>
            </w:pPr>
            <w:r w:rsidRPr="002B2DDF">
              <w:rPr>
                <w:rFonts w:eastAsia="Times New Roman" w:cs="Arial"/>
                <w:b/>
              </w:rPr>
              <w:t>54.298</w:t>
            </w:r>
          </w:p>
        </w:tc>
        <w:tc>
          <w:tcPr>
            <w:tcW w:w="631" w:type="pct"/>
            <w:tcBorders>
              <w:top w:val="nil"/>
              <w:left w:val="nil"/>
              <w:bottom w:val="single" w:sz="12" w:space="0" w:color="auto"/>
              <w:right w:val="nil"/>
            </w:tcBorders>
            <w:shd w:val="clear" w:color="auto" w:fill="auto"/>
            <w:vAlign w:val="bottom"/>
          </w:tcPr>
          <w:p w14:paraId="5A125A6A" w14:textId="4471C41C" w:rsidR="00481F7C" w:rsidRPr="00A37C92" w:rsidRDefault="00481F7C" w:rsidP="00481F7C">
            <w:pPr>
              <w:keepNext/>
              <w:keepLines/>
              <w:spacing w:after="0" w:line="280" w:lineRule="exact"/>
              <w:jc w:val="right"/>
              <w:rPr>
                <w:rFonts w:eastAsia="Times New Roman" w:cs="Arial"/>
                <w:b/>
                <w:position w:val="4"/>
              </w:rPr>
            </w:pPr>
            <w:r w:rsidRPr="002B2DDF">
              <w:rPr>
                <w:rFonts w:eastAsia="Times New Roman" w:cs="Arial"/>
                <w:b/>
              </w:rPr>
              <w:t>121.079</w:t>
            </w:r>
          </w:p>
        </w:tc>
      </w:tr>
    </w:tbl>
    <w:p w14:paraId="5988E7C7" w14:textId="77777777" w:rsidR="002A05EC" w:rsidRDefault="002A05EC" w:rsidP="00C4266C">
      <w:pPr>
        <w:spacing w:after="0" w:line="240" w:lineRule="auto"/>
      </w:pPr>
    </w:p>
    <w:p w14:paraId="7430A451" w14:textId="77777777" w:rsidR="00810883" w:rsidRDefault="00810883" w:rsidP="00C4266C">
      <w:pPr>
        <w:spacing w:after="0" w:line="240" w:lineRule="auto"/>
        <w:rPr>
          <w:sz w:val="20"/>
          <w:szCs w:val="20"/>
        </w:rPr>
      </w:pPr>
    </w:p>
    <w:p w14:paraId="091CAE44" w14:textId="77777777" w:rsidR="001A0990" w:rsidRDefault="00810883" w:rsidP="000141E9">
      <w:pPr>
        <w:spacing w:after="0" w:line="240" w:lineRule="auto"/>
        <w:jc w:val="both"/>
        <w:rPr>
          <w:rFonts w:eastAsia="Times New Roman" w:cs="Arial"/>
        </w:rPr>
      </w:pPr>
      <w:r w:rsidRPr="00D81EB1">
        <w:rPr>
          <w:rFonts w:eastAsia="Times New Roman" w:cs="Arial"/>
        </w:rPr>
        <w:t>Priložene bilješke uz financijske izvještaje sastavni su dio ovog izvještaja o dobiti i gubitku t</w:t>
      </w:r>
      <w:r w:rsidR="00FE35EB">
        <w:rPr>
          <w:rFonts w:eastAsia="Times New Roman" w:cs="Arial"/>
        </w:rPr>
        <w:t>e ostaloj sveobuhvatnoj dobiti.</w:t>
      </w:r>
    </w:p>
    <w:p w14:paraId="2C561D7A" w14:textId="77777777" w:rsidR="00FE35EB" w:rsidRPr="00FE35EB" w:rsidRDefault="00FE35EB" w:rsidP="00FE35EB">
      <w:pPr>
        <w:spacing w:after="0" w:line="240" w:lineRule="auto"/>
        <w:jc w:val="both"/>
        <w:rPr>
          <w:rFonts w:eastAsia="Times New Roman" w:cs="Arial"/>
        </w:rPr>
        <w:sectPr w:rsidR="00FE35EB" w:rsidRPr="00FE35EB" w:rsidSect="00305343">
          <w:headerReference w:type="first" r:id="rId39"/>
          <w:footerReference w:type="first" r:id="rId40"/>
          <w:pgSz w:w="11906" w:h="16838" w:code="9"/>
          <w:pgMar w:top="1276" w:right="1133" w:bottom="1417" w:left="1417" w:header="709" w:footer="709" w:gutter="0"/>
          <w:cols w:space="708"/>
          <w:titlePg/>
          <w:docGrid w:linePitch="360"/>
        </w:sectPr>
      </w:pPr>
    </w:p>
    <w:tbl>
      <w:tblPr>
        <w:tblpPr w:leftFromText="181" w:rightFromText="181" w:vertAnchor="text" w:horzAnchor="margin" w:tblpY="360"/>
        <w:tblW w:w="4986" w:type="pct"/>
        <w:tblLayout w:type="fixed"/>
        <w:tblLook w:val="0000" w:firstRow="0" w:lastRow="0" w:firstColumn="0" w:lastColumn="0" w:noHBand="0" w:noVBand="0"/>
      </w:tblPr>
      <w:tblGrid>
        <w:gridCol w:w="4956"/>
        <w:gridCol w:w="1110"/>
        <w:gridCol w:w="1523"/>
        <w:gridCol w:w="276"/>
        <w:gridCol w:w="1465"/>
      </w:tblGrid>
      <w:tr w:rsidR="00F342AA" w:rsidRPr="00CA37C8" w14:paraId="71671550" w14:textId="77777777" w:rsidTr="00B604A4">
        <w:trPr>
          <w:trHeight w:val="290"/>
        </w:trPr>
        <w:tc>
          <w:tcPr>
            <w:tcW w:w="2656" w:type="pct"/>
          </w:tcPr>
          <w:p w14:paraId="7EB5A2B0" w14:textId="77777777" w:rsidR="00F342AA" w:rsidRPr="00CA37C8" w:rsidRDefault="00F342AA" w:rsidP="00F342AA">
            <w:pPr>
              <w:spacing w:after="0" w:line="240" w:lineRule="auto"/>
              <w:rPr>
                <w:rFonts w:eastAsia="Times New Roman" w:cs="Arial"/>
              </w:rPr>
            </w:pPr>
          </w:p>
          <w:p w14:paraId="192F442F" w14:textId="77777777" w:rsidR="00F342AA" w:rsidRPr="00CA37C8" w:rsidRDefault="00F342AA" w:rsidP="00F342AA">
            <w:pPr>
              <w:spacing w:after="0" w:line="240" w:lineRule="auto"/>
              <w:rPr>
                <w:rFonts w:eastAsia="Times New Roman" w:cs="Arial"/>
              </w:rPr>
            </w:pPr>
          </w:p>
        </w:tc>
        <w:tc>
          <w:tcPr>
            <w:tcW w:w="595" w:type="pct"/>
            <w:vAlign w:val="center"/>
          </w:tcPr>
          <w:p w14:paraId="4557777F" w14:textId="77777777" w:rsidR="00F342AA" w:rsidRPr="00CA37C8" w:rsidRDefault="00F342AA" w:rsidP="00F342AA">
            <w:pPr>
              <w:spacing w:after="0" w:line="240" w:lineRule="auto"/>
              <w:jc w:val="center"/>
              <w:rPr>
                <w:rFonts w:eastAsia="Times New Roman" w:cs="Arial"/>
                <w:b/>
              </w:rPr>
            </w:pPr>
            <w:r w:rsidRPr="00CA37C8">
              <w:rPr>
                <w:rFonts w:eastAsia="Times New Roman" w:cs="Arial"/>
                <w:b/>
              </w:rPr>
              <w:t>Bilješka</w:t>
            </w:r>
          </w:p>
        </w:tc>
        <w:tc>
          <w:tcPr>
            <w:tcW w:w="816" w:type="pct"/>
            <w:vAlign w:val="center"/>
          </w:tcPr>
          <w:p w14:paraId="4790145C" w14:textId="15B1580A" w:rsidR="00F342AA" w:rsidRPr="00CA37C8" w:rsidRDefault="00481F7C" w:rsidP="00932654">
            <w:pPr>
              <w:spacing w:after="0" w:line="240" w:lineRule="auto"/>
              <w:jc w:val="right"/>
              <w:rPr>
                <w:rFonts w:eastAsia="Times New Roman" w:cs="Arial"/>
                <w:b/>
              </w:rPr>
            </w:pPr>
            <w:r>
              <w:rPr>
                <w:rFonts w:eastAsia="Times New Roman" w:cs="Arial"/>
                <w:b/>
              </w:rPr>
              <w:t>30</w:t>
            </w:r>
            <w:r w:rsidR="00FD4D9D">
              <w:rPr>
                <w:rFonts w:eastAsia="Times New Roman" w:cs="Arial"/>
                <w:b/>
              </w:rPr>
              <w:t>.</w:t>
            </w:r>
            <w:r>
              <w:rPr>
                <w:rFonts w:eastAsia="Times New Roman" w:cs="Arial"/>
                <w:b/>
              </w:rPr>
              <w:t>6</w:t>
            </w:r>
            <w:r w:rsidR="00F342AA" w:rsidRPr="00CA37C8">
              <w:rPr>
                <w:rFonts w:eastAsia="Times New Roman" w:cs="Arial"/>
                <w:b/>
              </w:rPr>
              <w:t>.201</w:t>
            </w:r>
            <w:r w:rsidR="00FD4D9D">
              <w:rPr>
                <w:rFonts w:eastAsia="Times New Roman" w:cs="Arial"/>
                <w:b/>
              </w:rPr>
              <w:t>7</w:t>
            </w:r>
            <w:r w:rsidR="00F342AA" w:rsidRPr="00CA37C8">
              <w:rPr>
                <w:rFonts w:eastAsia="Times New Roman" w:cs="Arial"/>
                <w:b/>
              </w:rPr>
              <w:t>.</w:t>
            </w:r>
          </w:p>
        </w:tc>
        <w:tc>
          <w:tcPr>
            <w:tcW w:w="148" w:type="pct"/>
            <w:vAlign w:val="center"/>
          </w:tcPr>
          <w:p w14:paraId="7D69E35C" w14:textId="77777777" w:rsidR="00F342AA" w:rsidRPr="00CA37C8" w:rsidRDefault="00F342AA" w:rsidP="00F342AA">
            <w:pPr>
              <w:spacing w:after="0" w:line="240" w:lineRule="auto"/>
              <w:jc w:val="right"/>
              <w:rPr>
                <w:rFonts w:eastAsia="Times New Roman" w:cs="Arial"/>
                <w:b/>
              </w:rPr>
            </w:pPr>
          </w:p>
        </w:tc>
        <w:tc>
          <w:tcPr>
            <w:tcW w:w="785" w:type="pct"/>
            <w:vAlign w:val="center"/>
          </w:tcPr>
          <w:p w14:paraId="62444DBC" w14:textId="7AB30C5C" w:rsidR="00F342AA" w:rsidRPr="00CA37C8" w:rsidRDefault="00F342AA" w:rsidP="00FD4D9D">
            <w:pPr>
              <w:spacing w:after="0" w:line="240" w:lineRule="auto"/>
              <w:jc w:val="right"/>
              <w:rPr>
                <w:rFonts w:eastAsia="Times New Roman" w:cs="Arial"/>
                <w:b/>
              </w:rPr>
            </w:pPr>
            <w:r w:rsidRPr="00CA37C8">
              <w:rPr>
                <w:rFonts w:eastAsia="Times New Roman" w:cs="Arial"/>
                <w:b/>
              </w:rPr>
              <w:t>31.12.201</w:t>
            </w:r>
            <w:r w:rsidR="00FD4D9D">
              <w:rPr>
                <w:rFonts w:eastAsia="Times New Roman" w:cs="Arial"/>
                <w:b/>
              </w:rPr>
              <w:t>6</w:t>
            </w:r>
            <w:r w:rsidRPr="00CA37C8">
              <w:rPr>
                <w:rFonts w:eastAsia="Times New Roman" w:cs="Arial"/>
                <w:b/>
              </w:rPr>
              <w:t>.</w:t>
            </w:r>
          </w:p>
        </w:tc>
      </w:tr>
      <w:tr w:rsidR="00F342AA" w:rsidRPr="00CA37C8" w14:paraId="192A12E8" w14:textId="77777777" w:rsidTr="00B604A4">
        <w:trPr>
          <w:trHeight w:val="311"/>
        </w:trPr>
        <w:tc>
          <w:tcPr>
            <w:tcW w:w="2656" w:type="pct"/>
            <w:vAlign w:val="center"/>
          </w:tcPr>
          <w:p w14:paraId="1AA98D1C" w14:textId="77777777" w:rsidR="00F342AA" w:rsidRPr="00CA37C8" w:rsidRDefault="00F342AA" w:rsidP="00F342AA">
            <w:pPr>
              <w:tabs>
                <w:tab w:val="right" w:pos="1202"/>
              </w:tabs>
              <w:spacing w:after="0" w:line="240" w:lineRule="auto"/>
              <w:outlineLvl w:val="0"/>
              <w:rPr>
                <w:rFonts w:eastAsia="Times New Roman" w:cs="Arial"/>
                <w:b/>
                <w:bCs/>
              </w:rPr>
            </w:pPr>
            <w:r w:rsidRPr="00CA37C8">
              <w:rPr>
                <w:rFonts w:eastAsia="Times New Roman" w:cs="Arial"/>
                <w:b/>
                <w:bCs/>
              </w:rPr>
              <w:t>Imovina</w:t>
            </w:r>
          </w:p>
        </w:tc>
        <w:tc>
          <w:tcPr>
            <w:tcW w:w="595" w:type="pct"/>
            <w:vAlign w:val="center"/>
          </w:tcPr>
          <w:p w14:paraId="75972623" w14:textId="77777777" w:rsidR="00F342AA" w:rsidRPr="00CA37C8" w:rsidRDefault="00F342AA" w:rsidP="00F342AA">
            <w:pPr>
              <w:tabs>
                <w:tab w:val="right" w:pos="1202"/>
              </w:tabs>
              <w:spacing w:after="0" w:line="240" w:lineRule="auto"/>
              <w:jc w:val="center"/>
              <w:outlineLvl w:val="0"/>
              <w:rPr>
                <w:rFonts w:eastAsia="Times New Roman" w:cs="Arial"/>
                <w:b/>
                <w:bCs/>
              </w:rPr>
            </w:pPr>
          </w:p>
        </w:tc>
        <w:tc>
          <w:tcPr>
            <w:tcW w:w="816" w:type="pct"/>
            <w:vAlign w:val="center"/>
          </w:tcPr>
          <w:p w14:paraId="429F0B0B" w14:textId="77777777" w:rsidR="00F342AA" w:rsidRPr="00CA37C8" w:rsidRDefault="00F342AA" w:rsidP="00F342AA">
            <w:pPr>
              <w:tabs>
                <w:tab w:val="right" w:pos="1202"/>
              </w:tabs>
              <w:spacing w:after="0" w:line="240" w:lineRule="auto"/>
              <w:jc w:val="right"/>
              <w:outlineLvl w:val="0"/>
              <w:rPr>
                <w:rFonts w:eastAsia="Times New Roman" w:cs="Arial"/>
                <w:b/>
                <w:bCs/>
              </w:rPr>
            </w:pPr>
          </w:p>
        </w:tc>
        <w:tc>
          <w:tcPr>
            <w:tcW w:w="148" w:type="pct"/>
            <w:vAlign w:val="center"/>
          </w:tcPr>
          <w:p w14:paraId="6A77886C" w14:textId="77777777" w:rsidR="00F342AA" w:rsidRPr="00CA37C8" w:rsidRDefault="00F342AA" w:rsidP="00F342AA">
            <w:pPr>
              <w:tabs>
                <w:tab w:val="right" w:pos="1202"/>
              </w:tabs>
              <w:spacing w:after="0" w:line="240" w:lineRule="auto"/>
              <w:jc w:val="right"/>
              <w:outlineLvl w:val="0"/>
              <w:rPr>
                <w:rFonts w:eastAsia="Times New Roman" w:cs="Arial"/>
                <w:b/>
                <w:bCs/>
              </w:rPr>
            </w:pPr>
          </w:p>
        </w:tc>
        <w:tc>
          <w:tcPr>
            <w:tcW w:w="785" w:type="pct"/>
            <w:vAlign w:val="center"/>
          </w:tcPr>
          <w:p w14:paraId="06B998DD" w14:textId="77777777" w:rsidR="00F342AA" w:rsidRPr="00CA37C8" w:rsidRDefault="00F342AA" w:rsidP="00F342AA">
            <w:pPr>
              <w:tabs>
                <w:tab w:val="right" w:pos="1202"/>
              </w:tabs>
              <w:spacing w:after="0" w:line="240" w:lineRule="auto"/>
              <w:jc w:val="right"/>
              <w:outlineLvl w:val="0"/>
              <w:rPr>
                <w:rFonts w:eastAsia="Times New Roman" w:cs="Arial"/>
                <w:b/>
                <w:bCs/>
              </w:rPr>
            </w:pPr>
          </w:p>
        </w:tc>
      </w:tr>
      <w:tr w:rsidR="007A0F85" w:rsidRPr="00CA37C8" w14:paraId="6A610F13" w14:textId="77777777" w:rsidTr="00312975">
        <w:trPr>
          <w:trHeight w:val="311"/>
        </w:trPr>
        <w:tc>
          <w:tcPr>
            <w:tcW w:w="2656" w:type="pct"/>
            <w:vAlign w:val="center"/>
          </w:tcPr>
          <w:p w14:paraId="7E23FFBB" w14:textId="77777777" w:rsidR="007A0F85" w:rsidRPr="00CA37C8" w:rsidRDefault="007A0F85" w:rsidP="007A0F85">
            <w:pPr>
              <w:tabs>
                <w:tab w:val="right" w:pos="1202"/>
              </w:tabs>
              <w:spacing w:after="0" w:line="240" w:lineRule="auto"/>
              <w:outlineLvl w:val="0"/>
              <w:rPr>
                <w:rFonts w:eastAsia="Times New Roman" w:cs="Arial"/>
              </w:rPr>
            </w:pPr>
            <w:r w:rsidRPr="00CA37C8">
              <w:rPr>
                <w:rFonts w:eastAsia="Times New Roman" w:cs="Arial"/>
              </w:rPr>
              <w:t>Novčana sredstva i računi kod banaka</w:t>
            </w:r>
          </w:p>
        </w:tc>
        <w:tc>
          <w:tcPr>
            <w:tcW w:w="595" w:type="pct"/>
            <w:vAlign w:val="center"/>
          </w:tcPr>
          <w:p w14:paraId="4616A4A4" w14:textId="77777777" w:rsidR="007A0F85" w:rsidRPr="00CA37C8" w:rsidRDefault="007A0F85" w:rsidP="007A0F85">
            <w:pPr>
              <w:tabs>
                <w:tab w:val="right" w:pos="1202"/>
              </w:tabs>
              <w:spacing w:after="0" w:line="240" w:lineRule="auto"/>
              <w:jc w:val="center"/>
              <w:outlineLvl w:val="0"/>
              <w:rPr>
                <w:rFonts w:eastAsia="Times New Roman" w:cs="Arial"/>
                <w:snapToGrid w:val="0"/>
              </w:rPr>
            </w:pPr>
            <w:r>
              <w:rPr>
                <w:rFonts w:eastAsia="Times New Roman" w:cs="Arial"/>
                <w:snapToGrid w:val="0"/>
              </w:rPr>
              <w:t>8</w:t>
            </w:r>
          </w:p>
        </w:tc>
        <w:tc>
          <w:tcPr>
            <w:tcW w:w="816" w:type="pct"/>
            <w:tcBorders>
              <w:top w:val="nil"/>
              <w:left w:val="nil"/>
              <w:bottom w:val="nil"/>
              <w:right w:val="nil"/>
            </w:tcBorders>
            <w:shd w:val="clear" w:color="auto" w:fill="auto"/>
            <w:vAlign w:val="bottom"/>
          </w:tcPr>
          <w:p w14:paraId="6DB6FD38" w14:textId="4F8B2BB5" w:rsidR="007A0F85" w:rsidRPr="00312975" w:rsidRDefault="007A0F85" w:rsidP="007A0F85">
            <w:pPr>
              <w:tabs>
                <w:tab w:val="right" w:pos="1202"/>
              </w:tabs>
              <w:spacing w:after="0" w:line="240" w:lineRule="auto"/>
              <w:jc w:val="right"/>
              <w:outlineLvl w:val="0"/>
            </w:pPr>
            <w:r w:rsidRPr="00312975">
              <w:t>1.680.033</w:t>
            </w:r>
          </w:p>
        </w:tc>
        <w:tc>
          <w:tcPr>
            <w:tcW w:w="148" w:type="pct"/>
            <w:vAlign w:val="bottom"/>
          </w:tcPr>
          <w:p w14:paraId="201D3ECA" w14:textId="77777777" w:rsidR="007A0F85" w:rsidRPr="00CA37C8" w:rsidRDefault="007A0F85" w:rsidP="007A0F85">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1CFE7F29" w14:textId="0392B8C6" w:rsidR="007A0F85" w:rsidRPr="00257BB8" w:rsidRDefault="007A0F85" w:rsidP="007A0F85">
            <w:pPr>
              <w:tabs>
                <w:tab w:val="right" w:pos="1202"/>
              </w:tabs>
              <w:spacing w:after="0" w:line="240" w:lineRule="auto"/>
              <w:jc w:val="right"/>
              <w:outlineLvl w:val="0"/>
              <w:rPr>
                <w:rFonts w:eastAsia="Times New Roman" w:cs="Arial"/>
                <w:snapToGrid w:val="0"/>
              </w:rPr>
            </w:pPr>
            <w:r w:rsidRPr="000F45B3">
              <w:t>490.695</w:t>
            </w:r>
          </w:p>
        </w:tc>
      </w:tr>
      <w:tr w:rsidR="007A0F85" w:rsidRPr="00CA37C8" w14:paraId="1A352D26" w14:textId="77777777" w:rsidTr="00312975">
        <w:trPr>
          <w:trHeight w:val="311"/>
        </w:trPr>
        <w:tc>
          <w:tcPr>
            <w:tcW w:w="2656" w:type="pct"/>
            <w:vAlign w:val="center"/>
          </w:tcPr>
          <w:p w14:paraId="288C3B2C" w14:textId="77777777" w:rsidR="007A0F85" w:rsidRPr="00CA37C8" w:rsidRDefault="007A0F85" w:rsidP="007A0F85">
            <w:pPr>
              <w:tabs>
                <w:tab w:val="right" w:pos="1202"/>
              </w:tabs>
              <w:spacing w:after="0" w:line="240" w:lineRule="auto"/>
              <w:outlineLvl w:val="0"/>
              <w:rPr>
                <w:rFonts w:eastAsia="Times New Roman" w:cs="Arial"/>
              </w:rPr>
            </w:pPr>
            <w:r w:rsidRPr="00CA37C8">
              <w:rPr>
                <w:rFonts w:eastAsia="Times New Roman" w:cs="Arial"/>
              </w:rPr>
              <w:t>Depoziti kod drugih banaka</w:t>
            </w:r>
          </w:p>
        </w:tc>
        <w:tc>
          <w:tcPr>
            <w:tcW w:w="595" w:type="pct"/>
            <w:vAlign w:val="center"/>
          </w:tcPr>
          <w:p w14:paraId="26C6D6B6" w14:textId="77777777" w:rsidR="007A0F85" w:rsidRPr="00CA37C8" w:rsidRDefault="007A0F85" w:rsidP="007A0F85">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3527C1C9" w14:textId="2918A1D0" w:rsidR="007A0F85" w:rsidRPr="00312975" w:rsidRDefault="007A0F85" w:rsidP="007A0F85">
            <w:pPr>
              <w:tabs>
                <w:tab w:val="right" w:pos="1202"/>
              </w:tabs>
              <w:spacing w:after="0" w:line="240" w:lineRule="auto"/>
              <w:jc w:val="right"/>
              <w:outlineLvl w:val="0"/>
            </w:pPr>
            <w:r w:rsidRPr="00312975">
              <w:t>1.548</w:t>
            </w:r>
          </w:p>
        </w:tc>
        <w:tc>
          <w:tcPr>
            <w:tcW w:w="148" w:type="pct"/>
            <w:vAlign w:val="bottom"/>
          </w:tcPr>
          <w:p w14:paraId="5142024D" w14:textId="77777777" w:rsidR="007A0F85" w:rsidRPr="00CA37C8" w:rsidRDefault="007A0F85" w:rsidP="007A0F85">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6C5F2C58" w14:textId="2EC73B3A" w:rsidR="007A0F85" w:rsidRPr="00257BB8" w:rsidRDefault="007A0F85" w:rsidP="007A0F85">
            <w:pPr>
              <w:tabs>
                <w:tab w:val="right" w:pos="1202"/>
              </w:tabs>
              <w:spacing w:after="0" w:line="240" w:lineRule="auto"/>
              <w:jc w:val="right"/>
              <w:outlineLvl w:val="0"/>
              <w:rPr>
                <w:rFonts w:eastAsia="Times New Roman" w:cs="Arial"/>
                <w:snapToGrid w:val="0"/>
              </w:rPr>
            </w:pPr>
            <w:r w:rsidRPr="000F45B3">
              <w:t>23.872</w:t>
            </w:r>
          </w:p>
        </w:tc>
      </w:tr>
      <w:tr w:rsidR="007A0F85" w:rsidRPr="00CA37C8" w14:paraId="31D1DAA0" w14:textId="77777777" w:rsidTr="00312975">
        <w:trPr>
          <w:trHeight w:val="322"/>
        </w:trPr>
        <w:tc>
          <w:tcPr>
            <w:tcW w:w="2656" w:type="pct"/>
            <w:vAlign w:val="center"/>
          </w:tcPr>
          <w:p w14:paraId="0511C3FB" w14:textId="77777777" w:rsidR="007A0F85" w:rsidRPr="00CA37C8" w:rsidRDefault="007A0F85" w:rsidP="007A0F85">
            <w:pPr>
              <w:tabs>
                <w:tab w:val="right" w:pos="1202"/>
              </w:tabs>
              <w:spacing w:after="0" w:line="240" w:lineRule="auto"/>
              <w:outlineLvl w:val="0"/>
              <w:rPr>
                <w:rFonts w:eastAsia="Times New Roman" w:cs="Arial"/>
              </w:rPr>
            </w:pPr>
            <w:r w:rsidRPr="00CA37C8">
              <w:rPr>
                <w:rFonts w:eastAsia="Times New Roman" w:cs="Arial"/>
              </w:rPr>
              <w:t xml:space="preserve">Krediti </w:t>
            </w:r>
            <w:r>
              <w:rPr>
                <w:rFonts w:eastAsia="Times New Roman" w:cs="Arial"/>
              </w:rPr>
              <w:t>financijskim institucijama</w:t>
            </w:r>
          </w:p>
        </w:tc>
        <w:tc>
          <w:tcPr>
            <w:tcW w:w="595" w:type="pct"/>
            <w:vAlign w:val="center"/>
          </w:tcPr>
          <w:p w14:paraId="15981801" w14:textId="77777777" w:rsidR="007A0F85" w:rsidRPr="00CA37C8" w:rsidRDefault="007A0F85" w:rsidP="007A0F85">
            <w:pPr>
              <w:tabs>
                <w:tab w:val="right" w:pos="1202"/>
              </w:tabs>
              <w:spacing w:after="0" w:line="240" w:lineRule="auto"/>
              <w:jc w:val="center"/>
              <w:outlineLvl w:val="0"/>
              <w:rPr>
                <w:rFonts w:eastAsia="Times New Roman" w:cs="Arial"/>
                <w:snapToGrid w:val="0"/>
              </w:rPr>
            </w:pPr>
            <w:r>
              <w:rPr>
                <w:rFonts w:eastAsia="Times New Roman" w:cs="Arial"/>
                <w:snapToGrid w:val="0"/>
              </w:rPr>
              <w:t>9</w:t>
            </w:r>
          </w:p>
        </w:tc>
        <w:tc>
          <w:tcPr>
            <w:tcW w:w="816" w:type="pct"/>
            <w:tcBorders>
              <w:top w:val="nil"/>
              <w:left w:val="nil"/>
              <w:bottom w:val="nil"/>
              <w:right w:val="nil"/>
            </w:tcBorders>
            <w:shd w:val="clear" w:color="auto" w:fill="auto"/>
            <w:vAlign w:val="bottom"/>
          </w:tcPr>
          <w:p w14:paraId="06DD8B19" w14:textId="310460FC" w:rsidR="007A0F85" w:rsidRPr="00312975" w:rsidRDefault="007A0F85" w:rsidP="007A0F85">
            <w:pPr>
              <w:tabs>
                <w:tab w:val="right" w:pos="1202"/>
              </w:tabs>
              <w:spacing w:after="0" w:line="240" w:lineRule="auto"/>
              <w:jc w:val="right"/>
              <w:outlineLvl w:val="0"/>
            </w:pPr>
            <w:r w:rsidRPr="00312975">
              <w:t>11.313.502</w:t>
            </w:r>
          </w:p>
        </w:tc>
        <w:tc>
          <w:tcPr>
            <w:tcW w:w="148" w:type="pct"/>
            <w:vAlign w:val="bottom"/>
          </w:tcPr>
          <w:p w14:paraId="7C2E026A" w14:textId="77777777" w:rsidR="007A0F85" w:rsidRPr="00CA37C8" w:rsidRDefault="007A0F85" w:rsidP="007A0F85">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0C1F8F87" w14:textId="2C37FBDC" w:rsidR="007A0F85" w:rsidRPr="00257BB8" w:rsidRDefault="007A0F85" w:rsidP="007A0F85">
            <w:pPr>
              <w:tabs>
                <w:tab w:val="right" w:pos="1202"/>
              </w:tabs>
              <w:spacing w:after="0" w:line="240" w:lineRule="auto"/>
              <w:jc w:val="right"/>
              <w:outlineLvl w:val="0"/>
              <w:rPr>
                <w:rFonts w:eastAsia="Times New Roman" w:cs="Arial"/>
                <w:snapToGrid w:val="0"/>
              </w:rPr>
            </w:pPr>
            <w:r w:rsidRPr="000F45B3">
              <w:t>11.889.111</w:t>
            </w:r>
          </w:p>
        </w:tc>
      </w:tr>
      <w:tr w:rsidR="007A0F85" w:rsidRPr="00CA37C8" w14:paraId="7B321005" w14:textId="77777777" w:rsidTr="00312975">
        <w:trPr>
          <w:trHeight w:val="311"/>
        </w:trPr>
        <w:tc>
          <w:tcPr>
            <w:tcW w:w="2656" w:type="pct"/>
            <w:vAlign w:val="center"/>
          </w:tcPr>
          <w:p w14:paraId="5ABD08E3" w14:textId="77777777" w:rsidR="007A0F85" w:rsidRPr="00CA37C8" w:rsidRDefault="007A0F85" w:rsidP="007A0F85">
            <w:pPr>
              <w:tabs>
                <w:tab w:val="right" w:pos="1202"/>
              </w:tabs>
              <w:spacing w:after="0" w:line="240" w:lineRule="auto"/>
              <w:outlineLvl w:val="0"/>
              <w:rPr>
                <w:rFonts w:eastAsia="Times New Roman" w:cs="Arial"/>
              </w:rPr>
            </w:pPr>
            <w:r w:rsidRPr="00CA37C8">
              <w:rPr>
                <w:rFonts w:eastAsia="Times New Roman" w:cs="Arial"/>
              </w:rPr>
              <w:t>Krediti ostalim korisnicima</w:t>
            </w:r>
          </w:p>
        </w:tc>
        <w:tc>
          <w:tcPr>
            <w:tcW w:w="595" w:type="pct"/>
            <w:vAlign w:val="center"/>
          </w:tcPr>
          <w:p w14:paraId="210AC15C" w14:textId="77777777" w:rsidR="007A0F85" w:rsidRPr="00CA37C8" w:rsidRDefault="007A0F85" w:rsidP="007A0F85">
            <w:pPr>
              <w:tabs>
                <w:tab w:val="right" w:pos="1202"/>
              </w:tabs>
              <w:spacing w:after="0" w:line="240" w:lineRule="auto"/>
              <w:jc w:val="center"/>
              <w:outlineLvl w:val="0"/>
              <w:rPr>
                <w:rFonts w:eastAsia="Times New Roman" w:cs="Arial"/>
                <w:spacing w:val="-2"/>
              </w:rPr>
            </w:pPr>
            <w:r>
              <w:rPr>
                <w:rFonts w:eastAsia="Times New Roman" w:cs="Arial"/>
                <w:spacing w:val="-2"/>
              </w:rPr>
              <w:t>10</w:t>
            </w:r>
          </w:p>
        </w:tc>
        <w:tc>
          <w:tcPr>
            <w:tcW w:w="816" w:type="pct"/>
            <w:tcBorders>
              <w:top w:val="nil"/>
              <w:left w:val="nil"/>
              <w:bottom w:val="nil"/>
              <w:right w:val="nil"/>
            </w:tcBorders>
            <w:shd w:val="clear" w:color="auto" w:fill="auto"/>
            <w:vAlign w:val="bottom"/>
          </w:tcPr>
          <w:p w14:paraId="34A8B88B" w14:textId="100974C6" w:rsidR="007A0F85" w:rsidRPr="00312975" w:rsidRDefault="007A0F85" w:rsidP="007A0F85">
            <w:pPr>
              <w:tabs>
                <w:tab w:val="right" w:pos="1202"/>
              </w:tabs>
              <w:spacing w:after="0" w:line="240" w:lineRule="auto"/>
              <w:jc w:val="right"/>
              <w:outlineLvl w:val="0"/>
            </w:pPr>
            <w:r w:rsidRPr="00312975">
              <w:t>11.647.114</w:t>
            </w:r>
          </w:p>
        </w:tc>
        <w:tc>
          <w:tcPr>
            <w:tcW w:w="148" w:type="pct"/>
            <w:vAlign w:val="bottom"/>
          </w:tcPr>
          <w:p w14:paraId="47BC8955" w14:textId="77777777" w:rsidR="007A0F85" w:rsidRPr="00CA37C8" w:rsidRDefault="007A0F85" w:rsidP="007A0F85">
            <w:pPr>
              <w:tabs>
                <w:tab w:val="right" w:pos="1202"/>
              </w:tabs>
              <w:spacing w:after="0" w:line="240" w:lineRule="auto"/>
              <w:jc w:val="right"/>
              <w:outlineLvl w:val="0"/>
              <w:rPr>
                <w:rFonts w:eastAsia="Times New Roman" w:cs="Arial"/>
                <w:spacing w:val="-2"/>
              </w:rPr>
            </w:pPr>
          </w:p>
        </w:tc>
        <w:tc>
          <w:tcPr>
            <w:tcW w:w="785" w:type="pct"/>
            <w:tcBorders>
              <w:top w:val="nil"/>
              <w:left w:val="nil"/>
              <w:bottom w:val="nil"/>
              <w:right w:val="nil"/>
            </w:tcBorders>
            <w:shd w:val="clear" w:color="auto" w:fill="auto"/>
            <w:vAlign w:val="bottom"/>
          </w:tcPr>
          <w:p w14:paraId="26ED5DBE" w14:textId="7AC5EDF3" w:rsidR="007A0F85" w:rsidRPr="00257BB8" w:rsidRDefault="007A0F85" w:rsidP="007A0F85">
            <w:pPr>
              <w:tabs>
                <w:tab w:val="right" w:pos="1202"/>
              </w:tabs>
              <w:spacing w:after="0" w:line="240" w:lineRule="auto"/>
              <w:jc w:val="right"/>
              <w:outlineLvl w:val="0"/>
              <w:rPr>
                <w:rFonts w:eastAsia="Times New Roman" w:cs="Arial"/>
                <w:snapToGrid w:val="0"/>
              </w:rPr>
            </w:pPr>
            <w:r w:rsidRPr="000F45B3">
              <w:t>11.511.194</w:t>
            </w:r>
          </w:p>
        </w:tc>
      </w:tr>
      <w:tr w:rsidR="00A1037D" w:rsidRPr="00CA37C8" w14:paraId="095DB86D" w14:textId="77777777" w:rsidTr="00312975">
        <w:trPr>
          <w:trHeight w:val="311"/>
        </w:trPr>
        <w:tc>
          <w:tcPr>
            <w:tcW w:w="2656" w:type="pct"/>
            <w:vAlign w:val="center"/>
          </w:tcPr>
          <w:p w14:paraId="4A9D9364"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Imovina raspoloživa za prodaju</w:t>
            </w:r>
          </w:p>
        </w:tc>
        <w:tc>
          <w:tcPr>
            <w:tcW w:w="595" w:type="pct"/>
            <w:vAlign w:val="center"/>
          </w:tcPr>
          <w:p w14:paraId="1A2C3BAC" w14:textId="77777777" w:rsidR="00A1037D" w:rsidRPr="00CA37C8" w:rsidRDefault="00A1037D" w:rsidP="00A1037D">
            <w:pPr>
              <w:tabs>
                <w:tab w:val="right" w:pos="1202"/>
              </w:tabs>
              <w:spacing w:after="0" w:line="240" w:lineRule="auto"/>
              <w:jc w:val="center"/>
              <w:outlineLvl w:val="0"/>
              <w:rPr>
                <w:rFonts w:eastAsia="Times New Roman" w:cs="Arial"/>
                <w:snapToGrid w:val="0"/>
              </w:rPr>
            </w:pPr>
            <w:r>
              <w:rPr>
                <w:rFonts w:eastAsia="Times New Roman" w:cs="Arial"/>
                <w:snapToGrid w:val="0"/>
              </w:rPr>
              <w:t>11</w:t>
            </w:r>
          </w:p>
        </w:tc>
        <w:tc>
          <w:tcPr>
            <w:tcW w:w="816" w:type="pct"/>
            <w:tcBorders>
              <w:top w:val="nil"/>
              <w:left w:val="nil"/>
              <w:bottom w:val="nil"/>
              <w:right w:val="nil"/>
            </w:tcBorders>
            <w:shd w:val="clear" w:color="auto" w:fill="auto"/>
            <w:vAlign w:val="bottom"/>
          </w:tcPr>
          <w:p w14:paraId="2DF9EEE2" w14:textId="55D17F82" w:rsidR="00A1037D" w:rsidRPr="00CA37C8" w:rsidRDefault="007A0F85" w:rsidP="00A1037D">
            <w:pPr>
              <w:tabs>
                <w:tab w:val="right" w:pos="1202"/>
              </w:tabs>
              <w:spacing w:after="0" w:line="240" w:lineRule="auto"/>
              <w:jc w:val="right"/>
              <w:outlineLvl w:val="0"/>
              <w:rPr>
                <w:rFonts w:eastAsia="Times New Roman" w:cs="Arial"/>
                <w:snapToGrid w:val="0"/>
              </w:rPr>
            </w:pPr>
            <w:r w:rsidRPr="007A0F85">
              <w:rPr>
                <w:rFonts w:eastAsia="Times New Roman" w:cs="Arial"/>
                <w:snapToGrid w:val="0"/>
              </w:rPr>
              <w:t>3.047.924</w:t>
            </w:r>
          </w:p>
        </w:tc>
        <w:tc>
          <w:tcPr>
            <w:tcW w:w="148" w:type="pct"/>
            <w:vAlign w:val="bottom"/>
          </w:tcPr>
          <w:p w14:paraId="684E0CD2" w14:textId="77777777" w:rsidR="00A1037D" w:rsidRPr="00CA37C8" w:rsidRDefault="00A1037D" w:rsidP="00A1037D">
            <w:pPr>
              <w:tabs>
                <w:tab w:val="right" w:pos="1202"/>
              </w:tabs>
              <w:spacing w:after="0" w:line="240" w:lineRule="auto"/>
              <w:jc w:val="right"/>
              <w:outlineLvl w:val="0"/>
              <w:rPr>
                <w:rFonts w:eastAsia="Times New Roman" w:cs="Arial"/>
                <w:snapToGrid w:val="0"/>
              </w:rPr>
            </w:pPr>
          </w:p>
        </w:tc>
        <w:tc>
          <w:tcPr>
            <w:tcW w:w="785" w:type="pct"/>
            <w:vAlign w:val="bottom"/>
          </w:tcPr>
          <w:p w14:paraId="154EC163" w14:textId="16468AFA" w:rsidR="00A1037D" w:rsidRPr="00257BB8" w:rsidRDefault="00A1037D" w:rsidP="00A1037D">
            <w:pPr>
              <w:tabs>
                <w:tab w:val="right" w:pos="1202"/>
              </w:tabs>
              <w:spacing w:after="0" w:line="240" w:lineRule="auto"/>
              <w:jc w:val="right"/>
              <w:outlineLvl w:val="0"/>
              <w:rPr>
                <w:rFonts w:eastAsia="Times New Roman" w:cs="Arial"/>
                <w:snapToGrid w:val="0"/>
              </w:rPr>
            </w:pPr>
            <w:r w:rsidRPr="009D3620">
              <w:t>3.343.574</w:t>
            </w:r>
          </w:p>
        </w:tc>
      </w:tr>
      <w:tr w:rsidR="00A1037D" w:rsidRPr="00CA37C8" w14:paraId="18A98E8E" w14:textId="77777777" w:rsidTr="00312975">
        <w:trPr>
          <w:trHeight w:val="311"/>
        </w:trPr>
        <w:tc>
          <w:tcPr>
            <w:tcW w:w="2656" w:type="pct"/>
            <w:vAlign w:val="center"/>
          </w:tcPr>
          <w:p w14:paraId="6B78EFAF"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Ulaganja u ovisna društva</w:t>
            </w:r>
          </w:p>
        </w:tc>
        <w:tc>
          <w:tcPr>
            <w:tcW w:w="595" w:type="pct"/>
            <w:vAlign w:val="center"/>
          </w:tcPr>
          <w:p w14:paraId="198FEE5C" w14:textId="77777777" w:rsidR="00A1037D" w:rsidRPr="00CA37C8" w:rsidRDefault="00A1037D" w:rsidP="00A1037D">
            <w:pPr>
              <w:tabs>
                <w:tab w:val="right" w:pos="1202"/>
              </w:tabs>
              <w:spacing w:after="0" w:line="240" w:lineRule="auto"/>
              <w:jc w:val="center"/>
              <w:outlineLvl w:val="0"/>
              <w:rPr>
                <w:rFonts w:eastAsia="Times New Roman" w:cs="Arial"/>
                <w:snapToGrid w:val="0"/>
              </w:rPr>
            </w:pPr>
          </w:p>
        </w:tc>
        <w:tc>
          <w:tcPr>
            <w:tcW w:w="816" w:type="pct"/>
            <w:shd w:val="clear" w:color="auto" w:fill="auto"/>
            <w:vAlign w:val="bottom"/>
          </w:tcPr>
          <w:p w14:paraId="41B7F48C" w14:textId="6115852D" w:rsidR="00A1037D" w:rsidRPr="00CA37C8" w:rsidRDefault="007A0F85" w:rsidP="00A1037D">
            <w:pPr>
              <w:tabs>
                <w:tab w:val="right" w:pos="1202"/>
              </w:tabs>
              <w:spacing w:after="0" w:line="240" w:lineRule="auto"/>
              <w:jc w:val="right"/>
              <w:outlineLvl w:val="0"/>
              <w:rPr>
                <w:rFonts w:eastAsia="Times New Roman" w:cs="Arial"/>
                <w:snapToGrid w:val="0"/>
              </w:rPr>
            </w:pPr>
            <w:r w:rsidRPr="007A0F85">
              <w:rPr>
                <w:rFonts w:eastAsia="Times New Roman" w:cs="Arial"/>
                <w:snapToGrid w:val="0"/>
              </w:rPr>
              <w:t>36.124</w:t>
            </w:r>
          </w:p>
        </w:tc>
        <w:tc>
          <w:tcPr>
            <w:tcW w:w="148" w:type="pct"/>
            <w:vAlign w:val="bottom"/>
          </w:tcPr>
          <w:p w14:paraId="492D7062" w14:textId="77777777" w:rsidR="00A1037D" w:rsidRPr="00CA37C8" w:rsidRDefault="00A1037D" w:rsidP="00A1037D">
            <w:pPr>
              <w:tabs>
                <w:tab w:val="right" w:pos="1202"/>
              </w:tabs>
              <w:spacing w:after="0" w:line="240" w:lineRule="auto"/>
              <w:jc w:val="right"/>
              <w:outlineLvl w:val="0"/>
              <w:rPr>
                <w:rFonts w:eastAsia="Times New Roman" w:cs="Arial"/>
                <w:snapToGrid w:val="0"/>
              </w:rPr>
            </w:pPr>
          </w:p>
        </w:tc>
        <w:tc>
          <w:tcPr>
            <w:tcW w:w="785" w:type="pct"/>
            <w:vAlign w:val="bottom"/>
          </w:tcPr>
          <w:p w14:paraId="6F3D2B0D" w14:textId="2B4E4A80" w:rsidR="00A1037D" w:rsidRPr="00257BB8" w:rsidRDefault="00A1037D" w:rsidP="00A1037D">
            <w:pPr>
              <w:tabs>
                <w:tab w:val="right" w:pos="1202"/>
              </w:tabs>
              <w:spacing w:after="0" w:line="240" w:lineRule="auto"/>
              <w:jc w:val="right"/>
              <w:outlineLvl w:val="0"/>
              <w:rPr>
                <w:rFonts w:eastAsia="Times New Roman" w:cs="Arial"/>
                <w:snapToGrid w:val="0"/>
              </w:rPr>
            </w:pPr>
            <w:r w:rsidRPr="009D3620">
              <w:t>36.124</w:t>
            </w:r>
          </w:p>
        </w:tc>
      </w:tr>
      <w:tr w:rsidR="00FD4D9D" w:rsidRPr="00CA37C8" w14:paraId="78AFEF6B" w14:textId="77777777" w:rsidTr="00312975">
        <w:trPr>
          <w:trHeight w:val="311"/>
        </w:trPr>
        <w:tc>
          <w:tcPr>
            <w:tcW w:w="2656" w:type="pct"/>
            <w:vAlign w:val="center"/>
          </w:tcPr>
          <w:p w14:paraId="3BCEA8BD" w14:textId="77777777" w:rsidR="00FD4D9D" w:rsidRPr="00CA37C8" w:rsidRDefault="00FD4D9D" w:rsidP="00FD4D9D">
            <w:pPr>
              <w:tabs>
                <w:tab w:val="right" w:pos="1202"/>
              </w:tabs>
              <w:spacing w:after="0" w:line="240" w:lineRule="auto"/>
              <w:outlineLvl w:val="0"/>
              <w:rPr>
                <w:rFonts w:eastAsia="Times New Roman" w:cs="Arial"/>
              </w:rPr>
            </w:pPr>
            <w:r w:rsidRPr="00CA37C8">
              <w:rPr>
                <w:rFonts w:eastAsia="Times New Roman" w:cs="Arial"/>
              </w:rPr>
              <w:t>Ulaganja u pridružena društva</w:t>
            </w:r>
          </w:p>
        </w:tc>
        <w:tc>
          <w:tcPr>
            <w:tcW w:w="595" w:type="pct"/>
            <w:vAlign w:val="center"/>
          </w:tcPr>
          <w:p w14:paraId="022C3B9F" w14:textId="77777777" w:rsidR="00FD4D9D" w:rsidRPr="00CA37C8" w:rsidRDefault="00FD4D9D" w:rsidP="00FD4D9D">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center"/>
          </w:tcPr>
          <w:p w14:paraId="75F7F7E2" w14:textId="404A0319" w:rsidR="00FD4D9D" w:rsidRPr="00CA37C8" w:rsidRDefault="00A1037D" w:rsidP="00FD4D9D">
            <w:pPr>
              <w:tabs>
                <w:tab w:val="right" w:pos="1202"/>
              </w:tabs>
              <w:spacing w:after="0" w:line="240" w:lineRule="auto"/>
              <w:jc w:val="right"/>
              <w:outlineLvl w:val="0"/>
              <w:rPr>
                <w:rFonts w:eastAsia="Times New Roman" w:cs="Arial"/>
                <w:snapToGrid w:val="0"/>
              </w:rPr>
            </w:pPr>
            <w:r>
              <w:rPr>
                <w:rFonts w:eastAsia="Times New Roman" w:cs="Arial"/>
                <w:snapToGrid w:val="0"/>
              </w:rPr>
              <w:t>-</w:t>
            </w:r>
          </w:p>
        </w:tc>
        <w:tc>
          <w:tcPr>
            <w:tcW w:w="148" w:type="pct"/>
            <w:vAlign w:val="center"/>
          </w:tcPr>
          <w:p w14:paraId="44ED90FD" w14:textId="77777777" w:rsidR="00FD4D9D" w:rsidRPr="00CA37C8" w:rsidRDefault="00FD4D9D" w:rsidP="00FD4D9D">
            <w:pPr>
              <w:tabs>
                <w:tab w:val="right" w:pos="1202"/>
              </w:tabs>
              <w:spacing w:after="0" w:line="240" w:lineRule="auto"/>
              <w:jc w:val="right"/>
              <w:outlineLvl w:val="0"/>
              <w:rPr>
                <w:rFonts w:eastAsia="Times New Roman" w:cs="Arial"/>
                <w:snapToGrid w:val="0"/>
              </w:rPr>
            </w:pPr>
          </w:p>
        </w:tc>
        <w:tc>
          <w:tcPr>
            <w:tcW w:w="785" w:type="pct"/>
            <w:vAlign w:val="center"/>
          </w:tcPr>
          <w:p w14:paraId="68E01C70" w14:textId="325D4411" w:rsidR="00FD4D9D" w:rsidRPr="00257BB8" w:rsidRDefault="0052338A" w:rsidP="00312975">
            <w:pPr>
              <w:tabs>
                <w:tab w:val="left" w:pos="1141"/>
                <w:tab w:val="right" w:pos="1202"/>
                <w:tab w:val="right" w:pos="1249"/>
              </w:tabs>
              <w:spacing w:after="0" w:line="240" w:lineRule="auto"/>
              <w:outlineLvl w:val="0"/>
              <w:rPr>
                <w:rFonts w:eastAsia="Times New Roman" w:cs="Arial"/>
                <w:snapToGrid w:val="0"/>
              </w:rPr>
            </w:pPr>
            <w:r>
              <w:rPr>
                <w:rFonts w:cs="Arial"/>
                <w:snapToGrid w:val="0"/>
              </w:rPr>
              <w:tab/>
            </w:r>
            <w:r>
              <w:rPr>
                <w:rFonts w:cs="Arial"/>
                <w:snapToGrid w:val="0"/>
              </w:rPr>
              <w:tab/>
            </w:r>
            <w:r w:rsidR="00FD4D9D" w:rsidRPr="005D12B5">
              <w:rPr>
                <w:rFonts w:cs="Arial"/>
                <w:snapToGrid w:val="0"/>
              </w:rPr>
              <w:t>-</w:t>
            </w:r>
          </w:p>
        </w:tc>
      </w:tr>
      <w:tr w:rsidR="00A1037D" w:rsidRPr="00CA37C8" w14:paraId="44253EC1" w14:textId="77777777" w:rsidTr="00312975">
        <w:trPr>
          <w:trHeight w:val="311"/>
        </w:trPr>
        <w:tc>
          <w:tcPr>
            <w:tcW w:w="2656" w:type="pct"/>
            <w:vAlign w:val="center"/>
          </w:tcPr>
          <w:p w14:paraId="1080C9F2"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Nekretnine, postrojenja i oprema i nematerijalna imovina</w:t>
            </w:r>
          </w:p>
        </w:tc>
        <w:tc>
          <w:tcPr>
            <w:tcW w:w="595" w:type="pct"/>
            <w:vAlign w:val="center"/>
          </w:tcPr>
          <w:p w14:paraId="37CFF5F2" w14:textId="77777777" w:rsidR="00A1037D" w:rsidRPr="00CA37C8" w:rsidRDefault="00A1037D" w:rsidP="00A1037D">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401B251F" w14:textId="11A2FF38" w:rsidR="00A1037D" w:rsidRPr="00CA37C8" w:rsidRDefault="007A0F85" w:rsidP="00A1037D">
            <w:pPr>
              <w:tabs>
                <w:tab w:val="right" w:pos="1202"/>
              </w:tabs>
              <w:spacing w:after="0" w:line="240" w:lineRule="auto"/>
              <w:jc w:val="right"/>
              <w:outlineLvl w:val="0"/>
              <w:rPr>
                <w:rFonts w:eastAsia="Times New Roman" w:cs="Arial"/>
                <w:snapToGrid w:val="0"/>
              </w:rPr>
            </w:pPr>
            <w:r w:rsidRPr="007A0F85">
              <w:rPr>
                <w:rFonts w:eastAsia="Times New Roman" w:cs="Arial"/>
                <w:snapToGrid w:val="0"/>
              </w:rPr>
              <w:t>55.126</w:t>
            </w:r>
          </w:p>
        </w:tc>
        <w:tc>
          <w:tcPr>
            <w:tcW w:w="148" w:type="pct"/>
            <w:vAlign w:val="bottom"/>
          </w:tcPr>
          <w:p w14:paraId="6C6BF8CA" w14:textId="77777777" w:rsidR="00A1037D" w:rsidRPr="00CA37C8" w:rsidRDefault="00A1037D" w:rsidP="00A1037D">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0534581F" w14:textId="758CD462" w:rsidR="00A1037D" w:rsidRPr="00257BB8" w:rsidRDefault="00A1037D" w:rsidP="00A1037D">
            <w:pPr>
              <w:tabs>
                <w:tab w:val="right" w:pos="1202"/>
              </w:tabs>
              <w:spacing w:after="0" w:line="240" w:lineRule="auto"/>
              <w:jc w:val="right"/>
              <w:outlineLvl w:val="0"/>
              <w:rPr>
                <w:rFonts w:eastAsia="Times New Roman" w:cs="Arial"/>
                <w:snapToGrid w:val="0"/>
              </w:rPr>
            </w:pPr>
            <w:r w:rsidRPr="009B7124">
              <w:t>57.216</w:t>
            </w:r>
          </w:p>
        </w:tc>
      </w:tr>
      <w:tr w:rsidR="00A1037D" w:rsidRPr="00CA37C8" w14:paraId="4FCE55A2" w14:textId="77777777" w:rsidTr="00312975">
        <w:trPr>
          <w:trHeight w:val="311"/>
        </w:trPr>
        <w:tc>
          <w:tcPr>
            <w:tcW w:w="2656" w:type="pct"/>
            <w:vAlign w:val="center"/>
          </w:tcPr>
          <w:p w14:paraId="63E5535E"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Dugotrajna imovina namijenjena prodaji</w:t>
            </w:r>
          </w:p>
        </w:tc>
        <w:tc>
          <w:tcPr>
            <w:tcW w:w="595" w:type="pct"/>
            <w:vAlign w:val="center"/>
          </w:tcPr>
          <w:p w14:paraId="6FBC3482" w14:textId="77777777" w:rsidR="00A1037D" w:rsidRPr="00CA37C8" w:rsidRDefault="00A1037D" w:rsidP="00A1037D">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223746A1" w14:textId="3525C217" w:rsidR="00A1037D" w:rsidRPr="00CA37C8" w:rsidRDefault="007A0F85" w:rsidP="00A1037D">
            <w:pPr>
              <w:tabs>
                <w:tab w:val="right" w:pos="1202"/>
              </w:tabs>
              <w:spacing w:after="0" w:line="240" w:lineRule="auto"/>
              <w:jc w:val="right"/>
              <w:outlineLvl w:val="0"/>
              <w:rPr>
                <w:rFonts w:eastAsia="Times New Roman" w:cs="Arial"/>
                <w:snapToGrid w:val="0"/>
              </w:rPr>
            </w:pPr>
            <w:r w:rsidRPr="007A0F85">
              <w:rPr>
                <w:rFonts w:eastAsia="Times New Roman" w:cs="Arial"/>
                <w:snapToGrid w:val="0"/>
              </w:rPr>
              <w:t>17.030</w:t>
            </w:r>
          </w:p>
        </w:tc>
        <w:tc>
          <w:tcPr>
            <w:tcW w:w="148" w:type="pct"/>
            <w:vAlign w:val="bottom"/>
          </w:tcPr>
          <w:p w14:paraId="3D9D5B71" w14:textId="77777777" w:rsidR="00A1037D" w:rsidRPr="00CA37C8" w:rsidRDefault="00A1037D" w:rsidP="00A1037D">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58C9C66E" w14:textId="36BCA32C" w:rsidR="00A1037D" w:rsidRPr="00257BB8" w:rsidRDefault="00A1037D" w:rsidP="00A1037D">
            <w:pPr>
              <w:tabs>
                <w:tab w:val="right" w:pos="1202"/>
              </w:tabs>
              <w:spacing w:after="0" w:line="240" w:lineRule="auto"/>
              <w:jc w:val="right"/>
              <w:outlineLvl w:val="0"/>
              <w:rPr>
                <w:rFonts w:eastAsia="Times New Roman" w:cs="Arial"/>
                <w:snapToGrid w:val="0"/>
              </w:rPr>
            </w:pPr>
            <w:r w:rsidRPr="009B7124">
              <w:t>17.230</w:t>
            </w:r>
          </w:p>
        </w:tc>
      </w:tr>
      <w:tr w:rsidR="00A1037D" w:rsidRPr="00CA37C8" w14:paraId="10D9DC07" w14:textId="77777777" w:rsidTr="00312975">
        <w:trPr>
          <w:trHeight w:val="311"/>
        </w:trPr>
        <w:tc>
          <w:tcPr>
            <w:tcW w:w="2656" w:type="pct"/>
            <w:vAlign w:val="center"/>
          </w:tcPr>
          <w:p w14:paraId="39B8025E"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Ostala imovina</w:t>
            </w:r>
          </w:p>
        </w:tc>
        <w:tc>
          <w:tcPr>
            <w:tcW w:w="595" w:type="pct"/>
            <w:vAlign w:val="center"/>
          </w:tcPr>
          <w:p w14:paraId="633F93CF" w14:textId="77777777" w:rsidR="00A1037D" w:rsidRPr="00CA37C8" w:rsidRDefault="00A1037D" w:rsidP="00A1037D">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191646DD" w14:textId="0493AF6C" w:rsidR="00A1037D" w:rsidRPr="00CA37C8" w:rsidRDefault="007A0F85" w:rsidP="00A1037D">
            <w:pPr>
              <w:tabs>
                <w:tab w:val="right" w:pos="1202"/>
              </w:tabs>
              <w:spacing w:after="0" w:line="240" w:lineRule="auto"/>
              <w:jc w:val="right"/>
              <w:outlineLvl w:val="0"/>
              <w:rPr>
                <w:rFonts w:eastAsia="Times New Roman" w:cs="Arial"/>
                <w:snapToGrid w:val="0"/>
              </w:rPr>
            </w:pPr>
            <w:r w:rsidRPr="007A0F85">
              <w:rPr>
                <w:rFonts w:eastAsia="Times New Roman" w:cs="Arial"/>
                <w:snapToGrid w:val="0"/>
              </w:rPr>
              <w:t>7.572</w:t>
            </w:r>
          </w:p>
        </w:tc>
        <w:tc>
          <w:tcPr>
            <w:tcW w:w="148" w:type="pct"/>
            <w:vAlign w:val="bottom"/>
          </w:tcPr>
          <w:p w14:paraId="06A95DE3" w14:textId="77777777" w:rsidR="00A1037D" w:rsidRPr="00CA37C8" w:rsidRDefault="00A1037D" w:rsidP="00A1037D">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2A837986" w14:textId="7DCC944A" w:rsidR="00A1037D" w:rsidRPr="00257BB8" w:rsidRDefault="00A1037D" w:rsidP="00A1037D">
            <w:pPr>
              <w:tabs>
                <w:tab w:val="right" w:pos="1202"/>
              </w:tabs>
              <w:spacing w:after="0" w:line="240" w:lineRule="auto"/>
              <w:jc w:val="right"/>
              <w:outlineLvl w:val="0"/>
              <w:rPr>
                <w:rFonts w:eastAsia="Times New Roman" w:cs="Arial"/>
                <w:snapToGrid w:val="0"/>
              </w:rPr>
            </w:pPr>
            <w:r w:rsidRPr="009B7124">
              <w:t>5.900</w:t>
            </w:r>
          </w:p>
        </w:tc>
      </w:tr>
      <w:tr w:rsidR="00D54380" w:rsidRPr="00CA37C8" w14:paraId="75F440C9" w14:textId="77777777" w:rsidTr="00B604A4">
        <w:trPr>
          <w:trHeight w:hRule="exact" w:val="113"/>
        </w:trPr>
        <w:tc>
          <w:tcPr>
            <w:tcW w:w="2656" w:type="pct"/>
            <w:vAlign w:val="center"/>
          </w:tcPr>
          <w:p w14:paraId="10DAC3ED" w14:textId="77777777" w:rsidR="00D54380" w:rsidRPr="00CA37C8" w:rsidRDefault="00D54380" w:rsidP="00D54380">
            <w:pPr>
              <w:keepNext/>
              <w:keepLines/>
              <w:tabs>
                <w:tab w:val="decimal" w:pos="1202"/>
              </w:tabs>
              <w:spacing w:after="0" w:line="240" w:lineRule="auto"/>
              <w:rPr>
                <w:rFonts w:eastAsia="Times New Roman" w:cs="Arial"/>
                <w:b/>
                <w:position w:val="4"/>
              </w:rPr>
            </w:pPr>
          </w:p>
        </w:tc>
        <w:tc>
          <w:tcPr>
            <w:tcW w:w="595" w:type="pct"/>
            <w:vAlign w:val="center"/>
          </w:tcPr>
          <w:p w14:paraId="339B043C" w14:textId="77777777" w:rsidR="00D54380" w:rsidRPr="00CA37C8" w:rsidRDefault="00D54380" w:rsidP="00D54380">
            <w:pPr>
              <w:tabs>
                <w:tab w:val="right" w:pos="1202"/>
              </w:tabs>
              <w:spacing w:after="0" w:line="240" w:lineRule="auto"/>
              <w:jc w:val="center"/>
              <w:outlineLvl w:val="0"/>
              <w:rPr>
                <w:rFonts w:eastAsia="Times New Roman" w:cs="Arial"/>
                <w:snapToGrid w:val="0"/>
              </w:rPr>
            </w:pPr>
          </w:p>
        </w:tc>
        <w:tc>
          <w:tcPr>
            <w:tcW w:w="816" w:type="pct"/>
            <w:tcBorders>
              <w:bottom w:val="single" w:sz="4" w:space="0" w:color="auto"/>
            </w:tcBorders>
            <w:vAlign w:val="bottom"/>
          </w:tcPr>
          <w:p w14:paraId="5CFE40EB" w14:textId="77777777" w:rsidR="00D54380" w:rsidRPr="00CA37C8" w:rsidRDefault="00D54380" w:rsidP="00D54380">
            <w:pPr>
              <w:keepLines/>
              <w:spacing w:after="0" w:line="240" w:lineRule="auto"/>
              <w:jc w:val="right"/>
              <w:rPr>
                <w:rFonts w:eastAsia="Times New Roman" w:cs="Arial"/>
                <w:spacing w:val="-2"/>
                <w:position w:val="4"/>
              </w:rPr>
            </w:pPr>
          </w:p>
        </w:tc>
        <w:tc>
          <w:tcPr>
            <w:tcW w:w="148" w:type="pct"/>
            <w:tcBorders>
              <w:bottom w:val="single" w:sz="4" w:space="0" w:color="auto"/>
            </w:tcBorders>
            <w:vAlign w:val="center"/>
          </w:tcPr>
          <w:p w14:paraId="210D7062" w14:textId="77777777" w:rsidR="00D54380" w:rsidRPr="00CA37C8" w:rsidRDefault="00D54380" w:rsidP="00D54380">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bottom w:val="single" w:sz="4" w:space="0" w:color="auto"/>
            </w:tcBorders>
            <w:vAlign w:val="bottom"/>
          </w:tcPr>
          <w:p w14:paraId="1B9D207E" w14:textId="77777777" w:rsidR="00D54380" w:rsidRPr="00CA37C8" w:rsidRDefault="00D54380" w:rsidP="00D54380">
            <w:pPr>
              <w:keepLines/>
              <w:spacing w:after="0" w:line="240" w:lineRule="auto"/>
              <w:jc w:val="right"/>
              <w:rPr>
                <w:rFonts w:eastAsia="Times New Roman" w:cs="Arial"/>
                <w:spacing w:val="-2"/>
                <w:position w:val="4"/>
              </w:rPr>
            </w:pPr>
          </w:p>
        </w:tc>
      </w:tr>
      <w:tr w:rsidR="00D54380" w:rsidRPr="00CA37C8" w14:paraId="50ABD348" w14:textId="77777777" w:rsidTr="00B604A4">
        <w:trPr>
          <w:trHeight w:val="345"/>
        </w:trPr>
        <w:tc>
          <w:tcPr>
            <w:tcW w:w="2656" w:type="pct"/>
            <w:vAlign w:val="center"/>
          </w:tcPr>
          <w:p w14:paraId="36665602"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Ukupna imovina</w:t>
            </w:r>
          </w:p>
        </w:tc>
        <w:tc>
          <w:tcPr>
            <w:tcW w:w="595" w:type="pct"/>
            <w:vAlign w:val="center"/>
          </w:tcPr>
          <w:p w14:paraId="0EFE4F4A" w14:textId="77777777" w:rsidR="00D54380" w:rsidRPr="00CA37C8" w:rsidRDefault="00D54380" w:rsidP="00D54380">
            <w:pPr>
              <w:keepLines/>
              <w:spacing w:after="0" w:line="240" w:lineRule="auto"/>
              <w:jc w:val="center"/>
              <w:rPr>
                <w:rFonts w:eastAsia="Times New Roman" w:cs="Arial"/>
                <w:spacing w:val="-2"/>
                <w:position w:val="4"/>
              </w:rPr>
            </w:pPr>
          </w:p>
        </w:tc>
        <w:tc>
          <w:tcPr>
            <w:tcW w:w="816" w:type="pct"/>
            <w:tcBorders>
              <w:top w:val="single" w:sz="4" w:space="0" w:color="auto"/>
              <w:bottom w:val="single" w:sz="12" w:space="0" w:color="auto"/>
            </w:tcBorders>
            <w:vAlign w:val="bottom"/>
          </w:tcPr>
          <w:p w14:paraId="4D348513" w14:textId="30BD6527" w:rsidR="00D54380" w:rsidRPr="00B604A4" w:rsidRDefault="007A0F85" w:rsidP="00D54380">
            <w:pPr>
              <w:tabs>
                <w:tab w:val="right" w:pos="1202"/>
              </w:tabs>
              <w:spacing w:after="0" w:line="240" w:lineRule="auto"/>
              <w:jc w:val="right"/>
              <w:outlineLvl w:val="0"/>
              <w:rPr>
                <w:rFonts w:eastAsia="Times New Roman" w:cs="Arial"/>
                <w:b/>
                <w:bCs/>
              </w:rPr>
            </w:pPr>
            <w:r w:rsidRPr="007A0F85">
              <w:rPr>
                <w:rFonts w:eastAsia="Times New Roman" w:cs="Arial"/>
                <w:b/>
                <w:bCs/>
              </w:rPr>
              <w:t>27.805.973</w:t>
            </w:r>
          </w:p>
        </w:tc>
        <w:tc>
          <w:tcPr>
            <w:tcW w:w="148" w:type="pct"/>
            <w:tcBorders>
              <w:top w:val="single" w:sz="4" w:space="0" w:color="auto"/>
              <w:bottom w:val="single" w:sz="12" w:space="0" w:color="auto"/>
            </w:tcBorders>
            <w:vAlign w:val="center"/>
          </w:tcPr>
          <w:p w14:paraId="72E216C5"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785" w:type="pct"/>
            <w:tcBorders>
              <w:top w:val="single" w:sz="4" w:space="0" w:color="auto"/>
              <w:bottom w:val="single" w:sz="12" w:space="0" w:color="auto"/>
            </w:tcBorders>
            <w:vAlign w:val="bottom"/>
          </w:tcPr>
          <w:p w14:paraId="669080D8" w14:textId="2C61DBC3" w:rsidR="00D54380" w:rsidRPr="00CA37C8" w:rsidRDefault="00A1037D" w:rsidP="00D54380">
            <w:pPr>
              <w:tabs>
                <w:tab w:val="right" w:pos="1202"/>
              </w:tabs>
              <w:spacing w:after="0" w:line="240" w:lineRule="auto"/>
              <w:jc w:val="right"/>
              <w:outlineLvl w:val="0"/>
              <w:rPr>
                <w:rFonts w:eastAsia="Times New Roman" w:cs="Arial"/>
                <w:b/>
                <w:bCs/>
              </w:rPr>
            </w:pPr>
            <w:r w:rsidRPr="00A1037D">
              <w:rPr>
                <w:rFonts w:eastAsia="Times New Roman" w:cs="Arial"/>
                <w:b/>
                <w:bCs/>
              </w:rPr>
              <w:t>27.374.916</w:t>
            </w:r>
          </w:p>
        </w:tc>
      </w:tr>
      <w:tr w:rsidR="00D54380" w:rsidRPr="00CA37C8" w14:paraId="5FDDBFD7" w14:textId="77777777" w:rsidTr="00B604A4">
        <w:trPr>
          <w:trHeight w:hRule="exact" w:val="113"/>
        </w:trPr>
        <w:tc>
          <w:tcPr>
            <w:tcW w:w="2656" w:type="pct"/>
            <w:vAlign w:val="center"/>
          </w:tcPr>
          <w:p w14:paraId="6AD551D0" w14:textId="77777777" w:rsidR="00D54380" w:rsidRPr="00CA37C8" w:rsidRDefault="00D54380" w:rsidP="00D54380">
            <w:pPr>
              <w:keepNext/>
              <w:keepLines/>
              <w:tabs>
                <w:tab w:val="decimal" w:pos="1202"/>
              </w:tabs>
              <w:spacing w:after="0" w:line="240" w:lineRule="auto"/>
              <w:rPr>
                <w:rFonts w:eastAsia="Times New Roman" w:cs="Arial"/>
                <w:b/>
                <w:position w:val="4"/>
                <w:u w:val="thick"/>
              </w:rPr>
            </w:pPr>
          </w:p>
        </w:tc>
        <w:tc>
          <w:tcPr>
            <w:tcW w:w="595" w:type="pct"/>
            <w:vAlign w:val="center"/>
          </w:tcPr>
          <w:p w14:paraId="14B07E8B" w14:textId="77777777" w:rsidR="00D54380" w:rsidRPr="00CA37C8" w:rsidRDefault="00D54380" w:rsidP="00D54380">
            <w:pPr>
              <w:spacing w:after="0" w:line="240" w:lineRule="auto"/>
              <w:jc w:val="center"/>
              <w:rPr>
                <w:rFonts w:eastAsia="Times New Roman" w:cs="Arial"/>
                <w:b/>
                <w:bCs/>
              </w:rPr>
            </w:pPr>
          </w:p>
        </w:tc>
        <w:tc>
          <w:tcPr>
            <w:tcW w:w="816" w:type="pct"/>
            <w:tcBorders>
              <w:top w:val="single" w:sz="12" w:space="0" w:color="auto"/>
            </w:tcBorders>
            <w:vAlign w:val="bottom"/>
          </w:tcPr>
          <w:p w14:paraId="51F35637" w14:textId="77777777" w:rsidR="00D54380" w:rsidRPr="00CA37C8" w:rsidRDefault="00D54380" w:rsidP="00D54380">
            <w:pPr>
              <w:keepNext/>
              <w:keepLines/>
              <w:tabs>
                <w:tab w:val="decimal" w:pos="1060"/>
              </w:tabs>
              <w:spacing w:after="0" w:line="240" w:lineRule="auto"/>
              <w:jc w:val="right"/>
              <w:rPr>
                <w:rFonts w:eastAsia="Times New Roman" w:cs="Arial"/>
                <w:b/>
                <w:position w:val="4"/>
                <w:u w:val="thick"/>
              </w:rPr>
            </w:pPr>
          </w:p>
        </w:tc>
        <w:tc>
          <w:tcPr>
            <w:tcW w:w="148" w:type="pct"/>
            <w:tcBorders>
              <w:top w:val="single" w:sz="12" w:space="0" w:color="auto"/>
            </w:tcBorders>
            <w:vAlign w:val="center"/>
          </w:tcPr>
          <w:p w14:paraId="7F3F4CE6" w14:textId="77777777" w:rsidR="00D54380" w:rsidRPr="00CA37C8" w:rsidRDefault="00D54380" w:rsidP="00D54380">
            <w:pPr>
              <w:keepNext/>
              <w:keepLines/>
              <w:tabs>
                <w:tab w:val="decimal" w:pos="1202"/>
              </w:tabs>
              <w:spacing w:after="0" w:line="240" w:lineRule="auto"/>
              <w:jc w:val="right"/>
              <w:rPr>
                <w:rFonts w:eastAsia="Times New Roman" w:cs="Arial"/>
                <w:b/>
                <w:position w:val="4"/>
                <w:u w:val="thick"/>
              </w:rPr>
            </w:pPr>
          </w:p>
        </w:tc>
        <w:tc>
          <w:tcPr>
            <w:tcW w:w="785" w:type="pct"/>
            <w:tcBorders>
              <w:top w:val="single" w:sz="12" w:space="0" w:color="auto"/>
            </w:tcBorders>
            <w:vAlign w:val="bottom"/>
          </w:tcPr>
          <w:p w14:paraId="3A761A5A" w14:textId="77777777" w:rsidR="00D54380" w:rsidRPr="00CA37C8" w:rsidRDefault="00D54380" w:rsidP="00D54380">
            <w:pPr>
              <w:keepNext/>
              <w:keepLines/>
              <w:tabs>
                <w:tab w:val="decimal" w:pos="1060"/>
              </w:tabs>
              <w:spacing w:after="0" w:line="240" w:lineRule="auto"/>
              <w:jc w:val="right"/>
              <w:rPr>
                <w:rFonts w:eastAsia="Times New Roman" w:cs="Arial"/>
                <w:b/>
                <w:position w:val="4"/>
                <w:u w:val="thick"/>
              </w:rPr>
            </w:pPr>
          </w:p>
        </w:tc>
      </w:tr>
      <w:tr w:rsidR="00D54380" w:rsidRPr="00CA37C8" w14:paraId="5130DBB5" w14:textId="77777777" w:rsidTr="00B604A4">
        <w:trPr>
          <w:trHeight w:val="322"/>
        </w:trPr>
        <w:tc>
          <w:tcPr>
            <w:tcW w:w="2656" w:type="pct"/>
            <w:vAlign w:val="center"/>
          </w:tcPr>
          <w:p w14:paraId="59159071"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Obveze</w:t>
            </w:r>
          </w:p>
        </w:tc>
        <w:tc>
          <w:tcPr>
            <w:tcW w:w="595" w:type="pct"/>
            <w:vAlign w:val="center"/>
          </w:tcPr>
          <w:p w14:paraId="2B532A20" w14:textId="77777777" w:rsidR="00D54380" w:rsidRPr="00CA37C8" w:rsidRDefault="00D54380" w:rsidP="00D54380">
            <w:pPr>
              <w:keepNext/>
              <w:keepLines/>
              <w:tabs>
                <w:tab w:val="decimal" w:pos="1060"/>
              </w:tabs>
              <w:spacing w:after="0" w:line="240" w:lineRule="auto"/>
              <w:jc w:val="center"/>
              <w:rPr>
                <w:rFonts w:eastAsia="Times New Roman" w:cs="Arial"/>
                <w:b/>
                <w:position w:val="4"/>
                <w:u w:val="thick"/>
              </w:rPr>
            </w:pPr>
          </w:p>
        </w:tc>
        <w:tc>
          <w:tcPr>
            <w:tcW w:w="816" w:type="pct"/>
            <w:vAlign w:val="bottom"/>
          </w:tcPr>
          <w:p w14:paraId="3083D6C2"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148" w:type="pct"/>
            <w:vAlign w:val="center"/>
          </w:tcPr>
          <w:p w14:paraId="4CD28EBE"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785" w:type="pct"/>
            <w:vAlign w:val="bottom"/>
          </w:tcPr>
          <w:p w14:paraId="44BAE6B1" w14:textId="77777777" w:rsidR="00D54380" w:rsidRPr="00CA37C8" w:rsidRDefault="00D54380" w:rsidP="00D54380">
            <w:pPr>
              <w:tabs>
                <w:tab w:val="right" w:pos="1202"/>
              </w:tabs>
              <w:spacing w:after="0" w:line="240" w:lineRule="auto"/>
              <w:jc w:val="right"/>
              <w:outlineLvl w:val="0"/>
              <w:rPr>
                <w:rFonts w:eastAsia="Times New Roman" w:cs="Arial"/>
                <w:b/>
                <w:bCs/>
              </w:rPr>
            </w:pPr>
          </w:p>
        </w:tc>
      </w:tr>
      <w:tr w:rsidR="00A1037D" w:rsidRPr="00CA37C8" w14:paraId="7DDDC3B5" w14:textId="77777777" w:rsidTr="000E5941">
        <w:trPr>
          <w:trHeight w:val="311"/>
        </w:trPr>
        <w:tc>
          <w:tcPr>
            <w:tcW w:w="2656" w:type="pct"/>
            <w:vAlign w:val="center"/>
          </w:tcPr>
          <w:p w14:paraId="5A698C90"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Obveze po depozitima</w:t>
            </w:r>
          </w:p>
        </w:tc>
        <w:tc>
          <w:tcPr>
            <w:tcW w:w="595" w:type="pct"/>
            <w:vAlign w:val="center"/>
          </w:tcPr>
          <w:p w14:paraId="1E425A0A" w14:textId="77777777" w:rsidR="00A1037D" w:rsidRPr="00CA37C8" w:rsidRDefault="00A1037D" w:rsidP="00A1037D">
            <w:pPr>
              <w:tabs>
                <w:tab w:val="right" w:pos="1202"/>
              </w:tabs>
              <w:spacing w:after="0" w:line="240" w:lineRule="auto"/>
              <w:jc w:val="center"/>
              <w:outlineLvl w:val="0"/>
              <w:rPr>
                <w:rFonts w:eastAsia="Times New Roman" w:cs="Arial"/>
                <w:b/>
                <w:bCs/>
              </w:rPr>
            </w:pPr>
          </w:p>
        </w:tc>
        <w:tc>
          <w:tcPr>
            <w:tcW w:w="816" w:type="pct"/>
            <w:tcBorders>
              <w:top w:val="nil"/>
              <w:left w:val="nil"/>
              <w:bottom w:val="nil"/>
              <w:right w:val="nil"/>
            </w:tcBorders>
            <w:shd w:val="clear" w:color="auto" w:fill="auto"/>
            <w:vAlign w:val="bottom"/>
          </w:tcPr>
          <w:p w14:paraId="7284F06C" w14:textId="6CDE555E" w:rsidR="00A1037D" w:rsidRPr="00CA37C8" w:rsidRDefault="007A0F85" w:rsidP="00A1037D">
            <w:pPr>
              <w:tabs>
                <w:tab w:val="right" w:pos="1202"/>
              </w:tabs>
              <w:spacing w:after="0" w:line="240" w:lineRule="auto"/>
              <w:jc w:val="right"/>
              <w:outlineLvl w:val="0"/>
              <w:rPr>
                <w:rFonts w:eastAsia="Times New Roman" w:cs="Arial"/>
              </w:rPr>
            </w:pPr>
            <w:r w:rsidRPr="007A0F85">
              <w:t>480.978</w:t>
            </w:r>
          </w:p>
        </w:tc>
        <w:tc>
          <w:tcPr>
            <w:tcW w:w="148" w:type="pct"/>
            <w:vAlign w:val="bottom"/>
          </w:tcPr>
          <w:p w14:paraId="71084150" w14:textId="77777777" w:rsidR="00A1037D" w:rsidRPr="00CA37C8" w:rsidRDefault="00A1037D" w:rsidP="00A1037D">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64BE916C" w14:textId="41388B80" w:rsidR="00A1037D" w:rsidRPr="00257BB8" w:rsidRDefault="00A1037D" w:rsidP="00A1037D">
            <w:pPr>
              <w:tabs>
                <w:tab w:val="right" w:pos="1202"/>
              </w:tabs>
              <w:spacing w:after="0" w:line="240" w:lineRule="auto"/>
              <w:jc w:val="right"/>
              <w:outlineLvl w:val="0"/>
              <w:rPr>
                <w:rFonts w:eastAsia="Times New Roman" w:cs="Arial"/>
              </w:rPr>
            </w:pPr>
            <w:r w:rsidRPr="00EF0969">
              <w:t>142.844</w:t>
            </w:r>
          </w:p>
        </w:tc>
      </w:tr>
      <w:tr w:rsidR="00A1037D" w:rsidRPr="00CA37C8" w14:paraId="3395AFFF" w14:textId="77777777" w:rsidTr="000E5941">
        <w:trPr>
          <w:trHeight w:val="311"/>
        </w:trPr>
        <w:tc>
          <w:tcPr>
            <w:tcW w:w="2656" w:type="pct"/>
            <w:vAlign w:val="center"/>
          </w:tcPr>
          <w:p w14:paraId="3FA9F10A"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Obveze po kreditima</w:t>
            </w:r>
          </w:p>
        </w:tc>
        <w:tc>
          <w:tcPr>
            <w:tcW w:w="595" w:type="pct"/>
            <w:vAlign w:val="center"/>
          </w:tcPr>
          <w:p w14:paraId="7590D0E4" w14:textId="77777777" w:rsidR="00A1037D" w:rsidRPr="00CA37C8" w:rsidRDefault="00A1037D" w:rsidP="00A1037D">
            <w:pPr>
              <w:tabs>
                <w:tab w:val="right" w:pos="1202"/>
              </w:tabs>
              <w:spacing w:after="0" w:line="240" w:lineRule="auto"/>
              <w:jc w:val="center"/>
              <w:outlineLvl w:val="0"/>
              <w:rPr>
                <w:rFonts w:eastAsia="Times New Roman" w:cs="Arial"/>
              </w:rPr>
            </w:pPr>
            <w:r>
              <w:rPr>
                <w:rFonts w:eastAsia="Times New Roman" w:cs="Arial"/>
              </w:rPr>
              <w:t>12</w:t>
            </w:r>
          </w:p>
        </w:tc>
        <w:tc>
          <w:tcPr>
            <w:tcW w:w="816" w:type="pct"/>
            <w:tcBorders>
              <w:top w:val="nil"/>
              <w:left w:val="nil"/>
              <w:bottom w:val="nil"/>
              <w:right w:val="nil"/>
            </w:tcBorders>
            <w:shd w:val="clear" w:color="auto" w:fill="auto"/>
            <w:vAlign w:val="bottom"/>
          </w:tcPr>
          <w:p w14:paraId="4FAAA6E0" w14:textId="287DECF0" w:rsidR="00A1037D" w:rsidRPr="00CA37C8" w:rsidRDefault="007A0F85" w:rsidP="00A1037D">
            <w:pPr>
              <w:tabs>
                <w:tab w:val="right" w:pos="1202"/>
              </w:tabs>
              <w:spacing w:after="0" w:line="240" w:lineRule="auto"/>
              <w:jc w:val="right"/>
              <w:outlineLvl w:val="0"/>
              <w:rPr>
                <w:rFonts w:eastAsia="Times New Roman" w:cs="Arial"/>
              </w:rPr>
            </w:pPr>
            <w:r w:rsidRPr="007A0F85">
              <w:t>15.423.581</w:t>
            </w:r>
          </w:p>
        </w:tc>
        <w:tc>
          <w:tcPr>
            <w:tcW w:w="148" w:type="pct"/>
            <w:vAlign w:val="bottom"/>
          </w:tcPr>
          <w:p w14:paraId="60D0B684" w14:textId="77777777" w:rsidR="00A1037D" w:rsidRPr="00CA37C8" w:rsidRDefault="00A1037D" w:rsidP="00A1037D">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41F6C94F" w14:textId="314C882A" w:rsidR="00A1037D" w:rsidRPr="00257BB8" w:rsidRDefault="00A1037D" w:rsidP="00A1037D">
            <w:pPr>
              <w:tabs>
                <w:tab w:val="right" w:pos="1202"/>
              </w:tabs>
              <w:spacing w:after="0" w:line="240" w:lineRule="auto"/>
              <w:jc w:val="right"/>
              <w:outlineLvl w:val="0"/>
              <w:rPr>
                <w:rFonts w:eastAsia="Times New Roman" w:cs="Arial"/>
              </w:rPr>
            </w:pPr>
            <w:r w:rsidRPr="00EF0969">
              <w:t>13.391.749</w:t>
            </w:r>
          </w:p>
        </w:tc>
      </w:tr>
      <w:tr w:rsidR="00A1037D" w:rsidRPr="00CA37C8" w14:paraId="0DA7373E" w14:textId="77777777" w:rsidTr="000E5941">
        <w:trPr>
          <w:trHeight w:val="311"/>
        </w:trPr>
        <w:tc>
          <w:tcPr>
            <w:tcW w:w="2656" w:type="pct"/>
            <w:vAlign w:val="center"/>
          </w:tcPr>
          <w:p w14:paraId="108D8A61"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Obveze za izdane dugoročne vrijednosne papire</w:t>
            </w:r>
          </w:p>
        </w:tc>
        <w:tc>
          <w:tcPr>
            <w:tcW w:w="595" w:type="pct"/>
            <w:vAlign w:val="center"/>
          </w:tcPr>
          <w:p w14:paraId="21025C52" w14:textId="77777777" w:rsidR="00A1037D" w:rsidRPr="00CA37C8" w:rsidRDefault="00A1037D" w:rsidP="00A1037D">
            <w:pPr>
              <w:tabs>
                <w:tab w:val="right" w:pos="1202"/>
              </w:tabs>
              <w:spacing w:after="0" w:line="240" w:lineRule="auto"/>
              <w:jc w:val="center"/>
              <w:outlineLvl w:val="0"/>
              <w:rPr>
                <w:rFonts w:eastAsia="Times New Roman" w:cs="Arial"/>
              </w:rPr>
            </w:pPr>
            <w:r>
              <w:rPr>
                <w:rFonts w:eastAsia="Times New Roman" w:cs="Arial"/>
              </w:rPr>
              <w:t>13</w:t>
            </w:r>
          </w:p>
        </w:tc>
        <w:tc>
          <w:tcPr>
            <w:tcW w:w="816" w:type="pct"/>
            <w:tcBorders>
              <w:top w:val="nil"/>
              <w:left w:val="nil"/>
              <w:bottom w:val="nil"/>
              <w:right w:val="nil"/>
            </w:tcBorders>
            <w:shd w:val="clear" w:color="auto" w:fill="auto"/>
            <w:vAlign w:val="bottom"/>
          </w:tcPr>
          <w:p w14:paraId="729C684A" w14:textId="01F77B59" w:rsidR="00A1037D" w:rsidRPr="00CA37C8" w:rsidRDefault="007A0F85" w:rsidP="00A1037D">
            <w:pPr>
              <w:tabs>
                <w:tab w:val="right" w:pos="1202"/>
              </w:tabs>
              <w:spacing w:after="0" w:line="240" w:lineRule="auto"/>
              <w:jc w:val="right"/>
              <w:outlineLvl w:val="0"/>
              <w:rPr>
                <w:rFonts w:eastAsia="Times New Roman" w:cs="Arial"/>
              </w:rPr>
            </w:pPr>
            <w:r w:rsidRPr="007A0F85">
              <w:t>1.109.764</w:t>
            </w:r>
          </w:p>
        </w:tc>
        <w:tc>
          <w:tcPr>
            <w:tcW w:w="148" w:type="pct"/>
            <w:vAlign w:val="bottom"/>
          </w:tcPr>
          <w:p w14:paraId="7559C90E" w14:textId="77777777" w:rsidR="00A1037D" w:rsidRPr="00CA37C8" w:rsidRDefault="00A1037D" w:rsidP="00A1037D">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108306C4" w14:textId="601084DA" w:rsidR="00A1037D" w:rsidRPr="00257BB8" w:rsidRDefault="00A1037D" w:rsidP="00A1037D">
            <w:pPr>
              <w:tabs>
                <w:tab w:val="right" w:pos="1202"/>
              </w:tabs>
              <w:spacing w:after="0" w:line="240" w:lineRule="auto"/>
              <w:jc w:val="right"/>
              <w:outlineLvl w:val="0"/>
              <w:rPr>
                <w:rFonts w:eastAsia="Times New Roman" w:cs="Arial"/>
              </w:rPr>
            </w:pPr>
            <w:r w:rsidRPr="00EF0969">
              <w:t>3.105.569</w:t>
            </w:r>
          </w:p>
        </w:tc>
      </w:tr>
      <w:tr w:rsidR="00A1037D" w:rsidRPr="00CA37C8" w14:paraId="13E525C7" w14:textId="77777777" w:rsidTr="000E5941">
        <w:trPr>
          <w:trHeight w:val="311"/>
        </w:trPr>
        <w:tc>
          <w:tcPr>
            <w:tcW w:w="2656" w:type="pct"/>
            <w:vAlign w:val="center"/>
          </w:tcPr>
          <w:p w14:paraId="62FEF52D"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Ostale obveze</w:t>
            </w:r>
          </w:p>
        </w:tc>
        <w:tc>
          <w:tcPr>
            <w:tcW w:w="595" w:type="pct"/>
            <w:vAlign w:val="center"/>
          </w:tcPr>
          <w:p w14:paraId="6A10AD44" w14:textId="77777777" w:rsidR="00A1037D" w:rsidRPr="00CA37C8" w:rsidRDefault="00A1037D" w:rsidP="00A1037D">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1CD3F574" w14:textId="0E43B5BD" w:rsidR="00A1037D" w:rsidRPr="00CA37C8" w:rsidRDefault="007A0F85" w:rsidP="00A1037D">
            <w:pPr>
              <w:tabs>
                <w:tab w:val="right" w:pos="1202"/>
              </w:tabs>
              <w:spacing w:after="0" w:line="240" w:lineRule="auto"/>
              <w:jc w:val="right"/>
              <w:outlineLvl w:val="0"/>
              <w:rPr>
                <w:rFonts w:eastAsia="Times New Roman" w:cs="Arial"/>
              </w:rPr>
            </w:pPr>
            <w:r w:rsidRPr="007A0F85">
              <w:t>625.223</w:t>
            </w:r>
          </w:p>
        </w:tc>
        <w:tc>
          <w:tcPr>
            <w:tcW w:w="148" w:type="pct"/>
            <w:vAlign w:val="bottom"/>
          </w:tcPr>
          <w:p w14:paraId="0A7C1E43" w14:textId="77777777" w:rsidR="00A1037D" w:rsidRPr="00CA37C8" w:rsidRDefault="00A1037D" w:rsidP="00A1037D">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56A1AFE1" w14:textId="74C597FA" w:rsidR="00A1037D" w:rsidRPr="00257BB8" w:rsidRDefault="00A1037D" w:rsidP="00A1037D">
            <w:pPr>
              <w:tabs>
                <w:tab w:val="right" w:pos="1202"/>
              </w:tabs>
              <w:spacing w:after="0" w:line="240" w:lineRule="auto"/>
              <w:jc w:val="right"/>
              <w:outlineLvl w:val="0"/>
              <w:rPr>
                <w:rFonts w:eastAsia="Times New Roman" w:cs="Arial"/>
              </w:rPr>
            </w:pPr>
            <w:r w:rsidRPr="00EF0969">
              <w:t>696.774</w:t>
            </w:r>
          </w:p>
        </w:tc>
      </w:tr>
      <w:tr w:rsidR="00A1037D" w:rsidRPr="00CA37C8" w14:paraId="6D1BDD2B" w14:textId="77777777" w:rsidTr="000E5941">
        <w:trPr>
          <w:trHeight w:hRule="exact" w:val="113"/>
        </w:trPr>
        <w:tc>
          <w:tcPr>
            <w:tcW w:w="2656" w:type="pct"/>
            <w:vAlign w:val="center"/>
          </w:tcPr>
          <w:p w14:paraId="58E7115E" w14:textId="77777777" w:rsidR="00A1037D" w:rsidRPr="00CA37C8" w:rsidRDefault="00A1037D" w:rsidP="00A1037D">
            <w:pPr>
              <w:keepNext/>
              <w:keepLines/>
              <w:tabs>
                <w:tab w:val="decimal" w:pos="1202"/>
              </w:tabs>
              <w:spacing w:after="0" w:line="240" w:lineRule="auto"/>
              <w:rPr>
                <w:rFonts w:eastAsia="Times New Roman" w:cs="Arial"/>
                <w:b/>
                <w:position w:val="4"/>
              </w:rPr>
            </w:pPr>
          </w:p>
        </w:tc>
        <w:tc>
          <w:tcPr>
            <w:tcW w:w="595" w:type="pct"/>
            <w:vAlign w:val="center"/>
          </w:tcPr>
          <w:p w14:paraId="33922754" w14:textId="77777777" w:rsidR="00A1037D" w:rsidRPr="00CA37C8" w:rsidRDefault="00A1037D" w:rsidP="00A1037D">
            <w:pPr>
              <w:keepLines/>
              <w:spacing w:after="0" w:line="240" w:lineRule="auto"/>
              <w:jc w:val="center"/>
              <w:rPr>
                <w:rFonts w:eastAsia="Times New Roman" w:cs="Arial"/>
                <w:spacing w:val="-2"/>
                <w:position w:val="4"/>
              </w:rPr>
            </w:pPr>
          </w:p>
        </w:tc>
        <w:tc>
          <w:tcPr>
            <w:tcW w:w="816" w:type="pct"/>
            <w:tcBorders>
              <w:bottom w:val="single" w:sz="4" w:space="0" w:color="auto"/>
            </w:tcBorders>
          </w:tcPr>
          <w:p w14:paraId="08FB95BD" w14:textId="77777777" w:rsidR="00A1037D" w:rsidRPr="00CA37C8" w:rsidRDefault="00A1037D" w:rsidP="00A1037D">
            <w:pPr>
              <w:keepLines/>
              <w:spacing w:after="0" w:line="240" w:lineRule="auto"/>
              <w:jc w:val="right"/>
              <w:rPr>
                <w:rFonts w:eastAsia="Times New Roman" w:cs="Arial"/>
                <w:spacing w:val="-2"/>
                <w:position w:val="4"/>
              </w:rPr>
            </w:pPr>
          </w:p>
        </w:tc>
        <w:tc>
          <w:tcPr>
            <w:tcW w:w="148" w:type="pct"/>
            <w:tcBorders>
              <w:bottom w:val="single" w:sz="4" w:space="0" w:color="auto"/>
            </w:tcBorders>
            <w:vAlign w:val="center"/>
          </w:tcPr>
          <w:p w14:paraId="36AC2D6E" w14:textId="77777777" w:rsidR="00A1037D" w:rsidRPr="00CA37C8" w:rsidRDefault="00A1037D" w:rsidP="00A1037D">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bottom w:val="single" w:sz="4" w:space="0" w:color="auto"/>
            </w:tcBorders>
            <w:vAlign w:val="bottom"/>
          </w:tcPr>
          <w:p w14:paraId="0657B087" w14:textId="77777777" w:rsidR="00A1037D" w:rsidRPr="00CA37C8" w:rsidRDefault="00A1037D" w:rsidP="00A1037D">
            <w:pPr>
              <w:keepLines/>
              <w:spacing w:after="0" w:line="240" w:lineRule="auto"/>
              <w:jc w:val="right"/>
              <w:rPr>
                <w:rFonts w:eastAsia="Times New Roman" w:cs="Arial"/>
                <w:spacing w:val="-2"/>
                <w:position w:val="4"/>
              </w:rPr>
            </w:pPr>
          </w:p>
        </w:tc>
      </w:tr>
      <w:tr w:rsidR="00A1037D" w:rsidRPr="00CA37C8" w14:paraId="44882463" w14:textId="77777777" w:rsidTr="000E5941">
        <w:trPr>
          <w:trHeight w:val="358"/>
        </w:trPr>
        <w:tc>
          <w:tcPr>
            <w:tcW w:w="2656" w:type="pct"/>
            <w:vAlign w:val="center"/>
          </w:tcPr>
          <w:p w14:paraId="6100A850" w14:textId="77777777" w:rsidR="00A1037D" w:rsidRPr="00CA37C8" w:rsidRDefault="00A1037D" w:rsidP="00A1037D">
            <w:pPr>
              <w:tabs>
                <w:tab w:val="right" w:pos="1202"/>
              </w:tabs>
              <w:spacing w:after="0" w:line="240" w:lineRule="auto"/>
              <w:outlineLvl w:val="0"/>
              <w:rPr>
                <w:rFonts w:eastAsia="Times New Roman" w:cs="Arial"/>
                <w:b/>
                <w:bCs/>
              </w:rPr>
            </w:pPr>
            <w:r w:rsidRPr="00CA37C8">
              <w:rPr>
                <w:rFonts w:eastAsia="Times New Roman" w:cs="Arial"/>
                <w:b/>
                <w:bCs/>
              </w:rPr>
              <w:t>Ukupne obveze</w:t>
            </w:r>
          </w:p>
        </w:tc>
        <w:tc>
          <w:tcPr>
            <w:tcW w:w="595" w:type="pct"/>
            <w:vAlign w:val="center"/>
          </w:tcPr>
          <w:p w14:paraId="71460244" w14:textId="77777777" w:rsidR="00A1037D" w:rsidRPr="00CA37C8" w:rsidRDefault="00A1037D" w:rsidP="00A1037D">
            <w:pPr>
              <w:tabs>
                <w:tab w:val="right" w:pos="1202"/>
              </w:tabs>
              <w:spacing w:after="0" w:line="240" w:lineRule="auto"/>
              <w:jc w:val="center"/>
              <w:outlineLvl w:val="0"/>
              <w:rPr>
                <w:rFonts w:eastAsia="Times New Roman" w:cs="Arial"/>
                <w:b/>
                <w:bCs/>
              </w:rPr>
            </w:pPr>
          </w:p>
        </w:tc>
        <w:tc>
          <w:tcPr>
            <w:tcW w:w="816" w:type="pct"/>
            <w:tcBorders>
              <w:top w:val="single" w:sz="4" w:space="0" w:color="auto"/>
              <w:bottom w:val="single" w:sz="12" w:space="0" w:color="auto"/>
            </w:tcBorders>
            <w:vAlign w:val="bottom"/>
          </w:tcPr>
          <w:p w14:paraId="25D1D88D" w14:textId="569FD42D" w:rsidR="00A1037D" w:rsidRPr="00B604A4" w:rsidRDefault="007A0F85" w:rsidP="00A1037D">
            <w:pPr>
              <w:tabs>
                <w:tab w:val="right" w:pos="1202"/>
              </w:tabs>
              <w:spacing w:after="0" w:line="240" w:lineRule="auto"/>
              <w:jc w:val="right"/>
              <w:outlineLvl w:val="0"/>
              <w:rPr>
                <w:rFonts w:eastAsia="Times New Roman" w:cs="Arial"/>
                <w:b/>
                <w:bCs/>
              </w:rPr>
            </w:pPr>
            <w:r w:rsidRPr="007A0F85">
              <w:rPr>
                <w:rFonts w:eastAsia="Times New Roman" w:cs="Arial"/>
                <w:b/>
                <w:bCs/>
              </w:rPr>
              <w:t>17.639.546</w:t>
            </w:r>
          </w:p>
        </w:tc>
        <w:tc>
          <w:tcPr>
            <w:tcW w:w="148" w:type="pct"/>
            <w:tcBorders>
              <w:top w:val="single" w:sz="4" w:space="0" w:color="auto"/>
              <w:bottom w:val="single" w:sz="12" w:space="0" w:color="auto"/>
            </w:tcBorders>
            <w:vAlign w:val="center"/>
          </w:tcPr>
          <w:p w14:paraId="7E6D57C9" w14:textId="77777777" w:rsidR="00A1037D" w:rsidRPr="00CA37C8" w:rsidRDefault="00A1037D" w:rsidP="00A1037D">
            <w:pPr>
              <w:tabs>
                <w:tab w:val="right" w:pos="1202"/>
              </w:tabs>
              <w:spacing w:after="0" w:line="240" w:lineRule="auto"/>
              <w:jc w:val="right"/>
              <w:outlineLvl w:val="0"/>
              <w:rPr>
                <w:rFonts w:eastAsia="Times New Roman" w:cs="Arial"/>
                <w:b/>
                <w:bCs/>
              </w:rPr>
            </w:pPr>
          </w:p>
        </w:tc>
        <w:tc>
          <w:tcPr>
            <w:tcW w:w="785" w:type="pct"/>
            <w:tcBorders>
              <w:top w:val="single" w:sz="4" w:space="0" w:color="auto"/>
              <w:bottom w:val="single" w:sz="12" w:space="0" w:color="auto"/>
            </w:tcBorders>
            <w:vAlign w:val="bottom"/>
          </w:tcPr>
          <w:p w14:paraId="43CDAD8F" w14:textId="5B644A87" w:rsidR="00A1037D" w:rsidRPr="00CA37C8" w:rsidRDefault="00A1037D" w:rsidP="00A1037D">
            <w:pPr>
              <w:tabs>
                <w:tab w:val="right" w:pos="1202"/>
              </w:tabs>
              <w:spacing w:after="0" w:line="240" w:lineRule="auto"/>
              <w:jc w:val="right"/>
              <w:outlineLvl w:val="0"/>
              <w:rPr>
                <w:rFonts w:eastAsia="Times New Roman" w:cs="Arial"/>
                <w:b/>
                <w:bCs/>
              </w:rPr>
            </w:pPr>
            <w:r w:rsidRPr="00A1037D">
              <w:rPr>
                <w:rFonts w:eastAsia="Times New Roman" w:cs="Arial"/>
                <w:b/>
                <w:bCs/>
              </w:rPr>
              <w:t>17.336.936</w:t>
            </w:r>
          </w:p>
        </w:tc>
      </w:tr>
      <w:tr w:rsidR="00D54380" w:rsidRPr="00CA37C8" w14:paraId="0C986364" w14:textId="77777777" w:rsidTr="00B604A4">
        <w:trPr>
          <w:trHeight w:hRule="exact" w:val="113"/>
        </w:trPr>
        <w:tc>
          <w:tcPr>
            <w:tcW w:w="2656" w:type="pct"/>
            <w:vAlign w:val="center"/>
          </w:tcPr>
          <w:p w14:paraId="35E8B0D9" w14:textId="77777777" w:rsidR="00D54380" w:rsidRPr="00CA37C8" w:rsidRDefault="00D54380" w:rsidP="00D54380">
            <w:pPr>
              <w:keepNext/>
              <w:keepLines/>
              <w:tabs>
                <w:tab w:val="decimal" w:pos="1202"/>
              </w:tabs>
              <w:spacing w:after="0" w:line="240" w:lineRule="auto"/>
              <w:rPr>
                <w:rFonts w:eastAsia="Times New Roman" w:cs="Arial"/>
                <w:b/>
                <w:position w:val="4"/>
                <w:u w:val="thick"/>
              </w:rPr>
            </w:pPr>
          </w:p>
        </w:tc>
        <w:tc>
          <w:tcPr>
            <w:tcW w:w="595" w:type="pct"/>
            <w:vAlign w:val="center"/>
          </w:tcPr>
          <w:p w14:paraId="3AD5483A" w14:textId="77777777" w:rsidR="00D54380" w:rsidRPr="00CA37C8" w:rsidRDefault="00D54380" w:rsidP="00D54380">
            <w:pPr>
              <w:keepNext/>
              <w:keepLines/>
              <w:tabs>
                <w:tab w:val="decimal" w:pos="1060"/>
              </w:tabs>
              <w:spacing w:after="0" w:line="240" w:lineRule="auto"/>
              <w:jc w:val="center"/>
              <w:rPr>
                <w:rFonts w:eastAsia="Times New Roman" w:cs="Arial"/>
                <w:b/>
                <w:position w:val="4"/>
                <w:u w:val="thick"/>
              </w:rPr>
            </w:pPr>
          </w:p>
        </w:tc>
        <w:tc>
          <w:tcPr>
            <w:tcW w:w="816" w:type="pct"/>
            <w:tcBorders>
              <w:top w:val="single" w:sz="12" w:space="0" w:color="auto"/>
            </w:tcBorders>
            <w:vAlign w:val="bottom"/>
          </w:tcPr>
          <w:p w14:paraId="2340B948" w14:textId="77777777" w:rsidR="00D54380" w:rsidRPr="00CA37C8" w:rsidRDefault="00D54380" w:rsidP="00D54380">
            <w:pPr>
              <w:keepNext/>
              <w:keepLines/>
              <w:tabs>
                <w:tab w:val="decimal" w:pos="1060"/>
              </w:tabs>
              <w:spacing w:after="0" w:line="240" w:lineRule="auto"/>
              <w:jc w:val="right"/>
              <w:rPr>
                <w:rFonts w:eastAsia="Times New Roman" w:cs="Arial"/>
                <w:b/>
                <w:position w:val="4"/>
                <w:u w:val="thick"/>
              </w:rPr>
            </w:pPr>
          </w:p>
        </w:tc>
        <w:tc>
          <w:tcPr>
            <w:tcW w:w="148" w:type="pct"/>
            <w:tcBorders>
              <w:top w:val="single" w:sz="12" w:space="0" w:color="auto"/>
            </w:tcBorders>
            <w:vAlign w:val="center"/>
          </w:tcPr>
          <w:p w14:paraId="0510BB54" w14:textId="77777777" w:rsidR="00D54380" w:rsidRPr="00CA37C8" w:rsidRDefault="00D54380" w:rsidP="00D54380">
            <w:pPr>
              <w:keepNext/>
              <w:keepLines/>
              <w:tabs>
                <w:tab w:val="decimal" w:pos="1202"/>
              </w:tabs>
              <w:spacing w:after="0" w:line="240" w:lineRule="auto"/>
              <w:jc w:val="right"/>
              <w:rPr>
                <w:rFonts w:eastAsia="Times New Roman" w:cs="Arial"/>
                <w:b/>
                <w:position w:val="4"/>
                <w:u w:val="thick"/>
              </w:rPr>
            </w:pPr>
          </w:p>
        </w:tc>
        <w:tc>
          <w:tcPr>
            <w:tcW w:w="785" w:type="pct"/>
            <w:tcBorders>
              <w:top w:val="single" w:sz="12" w:space="0" w:color="auto"/>
            </w:tcBorders>
            <w:vAlign w:val="bottom"/>
          </w:tcPr>
          <w:p w14:paraId="6DEF3385" w14:textId="77777777" w:rsidR="00D54380" w:rsidRPr="00CA37C8" w:rsidRDefault="00D54380" w:rsidP="00D54380">
            <w:pPr>
              <w:keepNext/>
              <w:keepLines/>
              <w:tabs>
                <w:tab w:val="decimal" w:pos="1060"/>
              </w:tabs>
              <w:spacing w:after="0" w:line="240" w:lineRule="auto"/>
              <w:jc w:val="right"/>
              <w:rPr>
                <w:rFonts w:eastAsia="Times New Roman" w:cs="Arial"/>
                <w:b/>
                <w:position w:val="4"/>
                <w:u w:val="thick"/>
              </w:rPr>
            </w:pPr>
          </w:p>
        </w:tc>
      </w:tr>
      <w:tr w:rsidR="00D54380" w:rsidRPr="00CA37C8" w14:paraId="3F142FC3" w14:textId="77777777" w:rsidTr="00B604A4">
        <w:trPr>
          <w:trHeight w:val="311"/>
        </w:trPr>
        <w:tc>
          <w:tcPr>
            <w:tcW w:w="2656" w:type="pct"/>
            <w:vAlign w:val="center"/>
          </w:tcPr>
          <w:p w14:paraId="4D29A05C"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Kapital</w:t>
            </w:r>
          </w:p>
        </w:tc>
        <w:tc>
          <w:tcPr>
            <w:tcW w:w="595" w:type="pct"/>
            <w:vAlign w:val="center"/>
          </w:tcPr>
          <w:p w14:paraId="50F9C9A1" w14:textId="77777777" w:rsidR="00D54380" w:rsidRPr="00CA37C8" w:rsidRDefault="00D54380" w:rsidP="00D54380">
            <w:pPr>
              <w:tabs>
                <w:tab w:val="right" w:pos="1202"/>
              </w:tabs>
              <w:spacing w:after="0" w:line="240" w:lineRule="auto"/>
              <w:jc w:val="center"/>
              <w:outlineLvl w:val="0"/>
              <w:rPr>
                <w:rFonts w:eastAsia="Times New Roman" w:cs="Arial"/>
                <w:b/>
                <w:bCs/>
              </w:rPr>
            </w:pPr>
          </w:p>
        </w:tc>
        <w:tc>
          <w:tcPr>
            <w:tcW w:w="816" w:type="pct"/>
            <w:vAlign w:val="bottom"/>
          </w:tcPr>
          <w:p w14:paraId="19B90806"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148" w:type="pct"/>
            <w:vAlign w:val="center"/>
          </w:tcPr>
          <w:p w14:paraId="6A757C2F"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785" w:type="pct"/>
            <w:vAlign w:val="bottom"/>
          </w:tcPr>
          <w:p w14:paraId="382A0525" w14:textId="77777777" w:rsidR="00D54380" w:rsidRPr="00CA37C8" w:rsidRDefault="00D54380" w:rsidP="00D54380">
            <w:pPr>
              <w:tabs>
                <w:tab w:val="right" w:pos="1202"/>
              </w:tabs>
              <w:spacing w:after="0" w:line="240" w:lineRule="auto"/>
              <w:jc w:val="right"/>
              <w:outlineLvl w:val="0"/>
              <w:rPr>
                <w:rFonts w:eastAsia="Times New Roman" w:cs="Arial"/>
                <w:b/>
                <w:bCs/>
              </w:rPr>
            </w:pPr>
          </w:p>
        </w:tc>
      </w:tr>
      <w:tr w:rsidR="00A1037D" w:rsidRPr="00CA37C8" w14:paraId="004187D8" w14:textId="77777777" w:rsidTr="000E5941">
        <w:trPr>
          <w:trHeight w:val="311"/>
        </w:trPr>
        <w:tc>
          <w:tcPr>
            <w:tcW w:w="2656" w:type="pct"/>
            <w:vAlign w:val="center"/>
          </w:tcPr>
          <w:p w14:paraId="04792515"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Osnivački kapital</w:t>
            </w:r>
          </w:p>
        </w:tc>
        <w:tc>
          <w:tcPr>
            <w:tcW w:w="595" w:type="pct"/>
            <w:vAlign w:val="center"/>
          </w:tcPr>
          <w:p w14:paraId="369056EB" w14:textId="77777777" w:rsidR="00A1037D" w:rsidRPr="00CA37C8" w:rsidRDefault="00A1037D" w:rsidP="00A1037D">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5A63495D" w14:textId="4C9B9BE3" w:rsidR="00A1037D" w:rsidRPr="00CA37C8" w:rsidRDefault="007A0F85" w:rsidP="00A1037D">
            <w:pPr>
              <w:tabs>
                <w:tab w:val="right" w:pos="1202"/>
              </w:tabs>
              <w:spacing w:after="0" w:line="240" w:lineRule="auto"/>
              <w:jc w:val="right"/>
              <w:outlineLvl w:val="0"/>
              <w:rPr>
                <w:rFonts w:eastAsia="Times New Roman" w:cs="Arial"/>
              </w:rPr>
            </w:pPr>
            <w:r w:rsidRPr="007A0F85">
              <w:t>6.959.632</w:t>
            </w:r>
          </w:p>
        </w:tc>
        <w:tc>
          <w:tcPr>
            <w:tcW w:w="148" w:type="pct"/>
            <w:vAlign w:val="bottom"/>
          </w:tcPr>
          <w:p w14:paraId="2E026661" w14:textId="77777777" w:rsidR="00A1037D" w:rsidRPr="00CA37C8" w:rsidRDefault="00A1037D" w:rsidP="00A1037D">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2D1E58CD" w14:textId="318C0EDC" w:rsidR="00A1037D" w:rsidRPr="00257BB8" w:rsidRDefault="00A1037D" w:rsidP="00A1037D">
            <w:pPr>
              <w:tabs>
                <w:tab w:val="right" w:pos="1202"/>
              </w:tabs>
              <w:spacing w:after="0" w:line="240" w:lineRule="auto"/>
              <w:jc w:val="right"/>
              <w:outlineLvl w:val="0"/>
              <w:rPr>
                <w:rFonts w:eastAsia="Times New Roman" w:cs="Arial"/>
              </w:rPr>
            </w:pPr>
            <w:r w:rsidRPr="00D06F2B">
              <w:t>6.959.632</w:t>
            </w:r>
          </w:p>
        </w:tc>
      </w:tr>
      <w:tr w:rsidR="00A1037D" w:rsidRPr="00CA37C8" w14:paraId="180055C9" w14:textId="77777777" w:rsidTr="000E5941">
        <w:trPr>
          <w:trHeight w:val="322"/>
        </w:trPr>
        <w:tc>
          <w:tcPr>
            <w:tcW w:w="2656" w:type="pct"/>
            <w:vAlign w:val="center"/>
          </w:tcPr>
          <w:p w14:paraId="6D051500"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Zadržana dobit i rezerve</w:t>
            </w:r>
          </w:p>
        </w:tc>
        <w:tc>
          <w:tcPr>
            <w:tcW w:w="595" w:type="pct"/>
            <w:vAlign w:val="center"/>
          </w:tcPr>
          <w:p w14:paraId="77038F4B" w14:textId="77777777" w:rsidR="00A1037D" w:rsidRPr="00CA37C8" w:rsidRDefault="00A1037D" w:rsidP="00A1037D">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5E9D26DB" w14:textId="08B82FA1" w:rsidR="00A1037D" w:rsidRPr="00CA37C8" w:rsidRDefault="007A0F85" w:rsidP="00A1037D">
            <w:pPr>
              <w:tabs>
                <w:tab w:val="right" w:pos="1202"/>
              </w:tabs>
              <w:spacing w:after="0" w:line="240" w:lineRule="auto"/>
              <w:jc w:val="right"/>
              <w:outlineLvl w:val="0"/>
              <w:rPr>
                <w:rFonts w:eastAsia="Times New Roman" w:cs="Arial"/>
              </w:rPr>
            </w:pPr>
            <w:r w:rsidRPr="007A0F85">
              <w:t>2.995.656</w:t>
            </w:r>
          </w:p>
        </w:tc>
        <w:tc>
          <w:tcPr>
            <w:tcW w:w="148" w:type="pct"/>
            <w:vAlign w:val="bottom"/>
          </w:tcPr>
          <w:p w14:paraId="4DE88E14" w14:textId="77777777" w:rsidR="00A1037D" w:rsidRPr="00CA37C8" w:rsidRDefault="00A1037D" w:rsidP="00A1037D">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6D9F6C08" w14:textId="6522E463" w:rsidR="00A1037D" w:rsidRPr="00257BB8" w:rsidRDefault="00A1037D" w:rsidP="00A1037D">
            <w:pPr>
              <w:tabs>
                <w:tab w:val="right" w:pos="1202"/>
              </w:tabs>
              <w:spacing w:after="0" w:line="240" w:lineRule="auto"/>
              <w:jc w:val="right"/>
              <w:outlineLvl w:val="0"/>
              <w:rPr>
                <w:rFonts w:eastAsia="Times New Roman" w:cs="Arial"/>
              </w:rPr>
            </w:pPr>
            <w:r w:rsidRPr="00D06F2B">
              <w:t>2.682.131</w:t>
            </w:r>
          </w:p>
        </w:tc>
      </w:tr>
      <w:tr w:rsidR="00A1037D" w:rsidRPr="00CA37C8" w14:paraId="2EB130AE" w14:textId="77777777" w:rsidTr="000E5941">
        <w:trPr>
          <w:trHeight w:val="311"/>
        </w:trPr>
        <w:tc>
          <w:tcPr>
            <w:tcW w:w="2656" w:type="pct"/>
            <w:vAlign w:val="center"/>
          </w:tcPr>
          <w:p w14:paraId="5FE7C2A1" w14:textId="77777777" w:rsidR="00A1037D" w:rsidRPr="00CA37C8" w:rsidRDefault="00A1037D" w:rsidP="00A1037D">
            <w:pPr>
              <w:tabs>
                <w:tab w:val="right" w:pos="1202"/>
              </w:tabs>
              <w:spacing w:after="0" w:line="240" w:lineRule="auto"/>
              <w:outlineLvl w:val="0"/>
              <w:rPr>
                <w:rFonts w:eastAsia="Times New Roman" w:cs="Arial"/>
              </w:rPr>
            </w:pPr>
            <w:r w:rsidRPr="00CA37C8">
              <w:rPr>
                <w:rFonts w:eastAsia="Times New Roman" w:cs="Arial"/>
              </w:rPr>
              <w:t>Ostale rezerve</w:t>
            </w:r>
          </w:p>
        </w:tc>
        <w:tc>
          <w:tcPr>
            <w:tcW w:w="595" w:type="pct"/>
            <w:vAlign w:val="center"/>
          </w:tcPr>
          <w:p w14:paraId="592286AF" w14:textId="77777777" w:rsidR="00A1037D" w:rsidRPr="00CA37C8" w:rsidRDefault="00A1037D" w:rsidP="00A1037D">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1C95CC81" w14:textId="1D07F700" w:rsidR="00A1037D" w:rsidRPr="00CA37C8" w:rsidRDefault="007A0F85" w:rsidP="00A1037D">
            <w:pPr>
              <w:tabs>
                <w:tab w:val="right" w:pos="1202"/>
              </w:tabs>
              <w:spacing w:after="0" w:line="240" w:lineRule="auto"/>
              <w:jc w:val="right"/>
              <w:outlineLvl w:val="0"/>
              <w:rPr>
                <w:rFonts w:eastAsia="Times New Roman" w:cs="Arial"/>
              </w:rPr>
            </w:pPr>
            <w:r w:rsidRPr="007A0F85">
              <w:t>69.655</w:t>
            </w:r>
          </w:p>
        </w:tc>
        <w:tc>
          <w:tcPr>
            <w:tcW w:w="148" w:type="pct"/>
            <w:vAlign w:val="bottom"/>
          </w:tcPr>
          <w:p w14:paraId="39D33E0A" w14:textId="77777777" w:rsidR="00A1037D" w:rsidRPr="00CA37C8" w:rsidRDefault="00A1037D" w:rsidP="00A1037D">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77FFE2EA" w14:textId="06A09B56" w:rsidR="00A1037D" w:rsidRPr="00257BB8" w:rsidRDefault="00A1037D" w:rsidP="00A1037D">
            <w:pPr>
              <w:tabs>
                <w:tab w:val="right" w:pos="1202"/>
              </w:tabs>
              <w:spacing w:after="0" w:line="240" w:lineRule="auto"/>
              <w:jc w:val="right"/>
              <w:outlineLvl w:val="0"/>
              <w:rPr>
                <w:rFonts w:eastAsia="Times New Roman" w:cs="Arial"/>
              </w:rPr>
            </w:pPr>
            <w:r w:rsidRPr="00D06F2B">
              <w:t>70.317</w:t>
            </w:r>
          </w:p>
        </w:tc>
      </w:tr>
      <w:tr w:rsidR="00A1037D" w:rsidRPr="00CA37C8" w14:paraId="4234EBDF" w14:textId="77777777" w:rsidTr="000E5941">
        <w:trPr>
          <w:trHeight w:val="311"/>
        </w:trPr>
        <w:tc>
          <w:tcPr>
            <w:tcW w:w="2656" w:type="pct"/>
            <w:vAlign w:val="center"/>
          </w:tcPr>
          <w:p w14:paraId="5EA55ED9" w14:textId="4CE8C4E8" w:rsidR="00A1037D" w:rsidRPr="00CA37C8" w:rsidRDefault="00A1037D" w:rsidP="000035C6">
            <w:pPr>
              <w:tabs>
                <w:tab w:val="right" w:pos="1202"/>
              </w:tabs>
              <w:spacing w:after="0" w:line="240" w:lineRule="auto"/>
              <w:outlineLvl w:val="0"/>
              <w:rPr>
                <w:rFonts w:eastAsia="Times New Roman" w:cs="Arial"/>
              </w:rPr>
            </w:pPr>
            <w:r w:rsidRPr="00CA37C8">
              <w:rPr>
                <w:rFonts w:eastAsia="Times New Roman" w:cs="Arial"/>
              </w:rPr>
              <w:t>Dobit tekuće</w:t>
            </w:r>
            <w:r w:rsidR="000035C6">
              <w:rPr>
                <w:rFonts w:eastAsia="Times New Roman" w:cs="Arial"/>
              </w:rPr>
              <w:t>g</w:t>
            </w:r>
            <w:r w:rsidRPr="00CA37C8">
              <w:rPr>
                <w:rFonts w:eastAsia="Times New Roman" w:cs="Arial"/>
              </w:rPr>
              <w:t xml:space="preserve"> </w:t>
            </w:r>
            <w:r w:rsidR="000035C6">
              <w:rPr>
                <w:rFonts w:eastAsia="Times New Roman" w:cs="Arial"/>
              </w:rPr>
              <w:t>razdoblja</w:t>
            </w:r>
          </w:p>
        </w:tc>
        <w:tc>
          <w:tcPr>
            <w:tcW w:w="595" w:type="pct"/>
            <w:vAlign w:val="center"/>
          </w:tcPr>
          <w:p w14:paraId="09348A4B" w14:textId="77777777" w:rsidR="00A1037D" w:rsidRPr="00CA37C8" w:rsidRDefault="00A1037D" w:rsidP="00A1037D">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3FAA2275" w14:textId="559B87BA" w:rsidR="00A1037D" w:rsidRPr="00CA37C8" w:rsidRDefault="007A0F85" w:rsidP="00A1037D">
            <w:pPr>
              <w:tabs>
                <w:tab w:val="right" w:pos="1202"/>
              </w:tabs>
              <w:spacing w:after="0" w:line="240" w:lineRule="auto"/>
              <w:jc w:val="right"/>
              <w:outlineLvl w:val="0"/>
              <w:rPr>
                <w:rFonts w:eastAsia="Times New Roman" w:cs="Arial"/>
              </w:rPr>
            </w:pPr>
            <w:r w:rsidRPr="007A0F85">
              <w:t>129.356</w:t>
            </w:r>
          </w:p>
        </w:tc>
        <w:tc>
          <w:tcPr>
            <w:tcW w:w="148" w:type="pct"/>
            <w:vAlign w:val="bottom"/>
          </w:tcPr>
          <w:p w14:paraId="7CF8B9B8" w14:textId="77777777" w:rsidR="00A1037D" w:rsidRPr="00CA37C8" w:rsidRDefault="00A1037D" w:rsidP="00A1037D">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6CF9B22A" w14:textId="5A73DEE6" w:rsidR="00A1037D" w:rsidRPr="00257BB8" w:rsidRDefault="00A1037D" w:rsidP="00A1037D">
            <w:pPr>
              <w:tabs>
                <w:tab w:val="right" w:pos="1202"/>
              </w:tabs>
              <w:spacing w:after="0" w:line="240" w:lineRule="auto"/>
              <w:jc w:val="right"/>
              <w:outlineLvl w:val="0"/>
              <w:rPr>
                <w:rFonts w:eastAsia="Times New Roman" w:cs="Arial"/>
              </w:rPr>
            </w:pPr>
            <w:r w:rsidRPr="00D06F2B">
              <w:t>313.525</w:t>
            </w:r>
          </w:p>
        </w:tc>
      </w:tr>
      <w:tr w:rsidR="00D54380" w:rsidRPr="00CA37C8" w14:paraId="35340C57" w14:textId="77777777" w:rsidTr="00B604A4">
        <w:trPr>
          <w:trHeight w:hRule="exact" w:val="113"/>
        </w:trPr>
        <w:tc>
          <w:tcPr>
            <w:tcW w:w="2656" w:type="pct"/>
            <w:vAlign w:val="center"/>
          </w:tcPr>
          <w:p w14:paraId="0349922C" w14:textId="77777777" w:rsidR="00D54380" w:rsidRPr="00CA37C8" w:rsidRDefault="00D54380" w:rsidP="00D54380">
            <w:pPr>
              <w:keepNext/>
              <w:keepLines/>
              <w:tabs>
                <w:tab w:val="decimal" w:pos="1202"/>
              </w:tabs>
              <w:spacing w:after="0" w:line="240" w:lineRule="auto"/>
              <w:rPr>
                <w:rFonts w:eastAsia="Times New Roman" w:cs="Arial"/>
                <w:b/>
                <w:position w:val="4"/>
              </w:rPr>
            </w:pPr>
          </w:p>
        </w:tc>
        <w:tc>
          <w:tcPr>
            <w:tcW w:w="595" w:type="pct"/>
            <w:vAlign w:val="center"/>
          </w:tcPr>
          <w:p w14:paraId="38795264" w14:textId="77777777" w:rsidR="00D54380" w:rsidRPr="00CA37C8" w:rsidRDefault="00D54380" w:rsidP="00D54380">
            <w:pPr>
              <w:keepLines/>
              <w:spacing w:after="0" w:line="240" w:lineRule="auto"/>
              <w:jc w:val="center"/>
              <w:rPr>
                <w:rFonts w:eastAsia="Times New Roman" w:cs="Arial"/>
                <w:spacing w:val="-2"/>
                <w:position w:val="4"/>
              </w:rPr>
            </w:pPr>
          </w:p>
        </w:tc>
        <w:tc>
          <w:tcPr>
            <w:tcW w:w="816" w:type="pct"/>
            <w:tcBorders>
              <w:bottom w:val="single" w:sz="4" w:space="0" w:color="auto"/>
            </w:tcBorders>
            <w:vAlign w:val="bottom"/>
          </w:tcPr>
          <w:p w14:paraId="215A86D9" w14:textId="77777777" w:rsidR="00D54380" w:rsidRPr="00CA37C8" w:rsidRDefault="00D54380" w:rsidP="00D54380">
            <w:pPr>
              <w:keepLines/>
              <w:spacing w:after="0" w:line="240" w:lineRule="auto"/>
              <w:jc w:val="right"/>
              <w:rPr>
                <w:rFonts w:eastAsia="Times New Roman" w:cs="Arial"/>
                <w:spacing w:val="-2"/>
                <w:position w:val="4"/>
              </w:rPr>
            </w:pPr>
          </w:p>
        </w:tc>
        <w:tc>
          <w:tcPr>
            <w:tcW w:w="148" w:type="pct"/>
            <w:tcBorders>
              <w:bottom w:val="single" w:sz="4" w:space="0" w:color="auto"/>
            </w:tcBorders>
            <w:vAlign w:val="center"/>
          </w:tcPr>
          <w:p w14:paraId="28F3E603" w14:textId="77777777" w:rsidR="00D54380" w:rsidRPr="00CA37C8" w:rsidRDefault="00D54380" w:rsidP="00D54380">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bottom w:val="single" w:sz="4" w:space="0" w:color="auto"/>
            </w:tcBorders>
            <w:vAlign w:val="bottom"/>
          </w:tcPr>
          <w:p w14:paraId="2FCBB6E4" w14:textId="77777777" w:rsidR="00D54380" w:rsidRPr="00CA37C8" w:rsidRDefault="00D54380" w:rsidP="00D54380">
            <w:pPr>
              <w:keepLines/>
              <w:spacing w:after="0" w:line="240" w:lineRule="auto"/>
              <w:jc w:val="right"/>
              <w:rPr>
                <w:rFonts w:eastAsia="Times New Roman" w:cs="Arial"/>
                <w:spacing w:val="-2"/>
                <w:position w:val="4"/>
              </w:rPr>
            </w:pPr>
          </w:p>
        </w:tc>
      </w:tr>
      <w:tr w:rsidR="00D54380" w:rsidRPr="00CA37C8" w14:paraId="175180B3" w14:textId="77777777" w:rsidTr="00B604A4">
        <w:trPr>
          <w:trHeight w:val="345"/>
        </w:trPr>
        <w:tc>
          <w:tcPr>
            <w:tcW w:w="2656" w:type="pct"/>
            <w:vAlign w:val="center"/>
          </w:tcPr>
          <w:p w14:paraId="28CA3255"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 xml:space="preserve">Ukupni kapital </w:t>
            </w:r>
          </w:p>
        </w:tc>
        <w:tc>
          <w:tcPr>
            <w:tcW w:w="595" w:type="pct"/>
            <w:vAlign w:val="center"/>
          </w:tcPr>
          <w:p w14:paraId="6FF9C0B7" w14:textId="77777777" w:rsidR="00D54380" w:rsidRPr="00CA37C8" w:rsidRDefault="00D54380" w:rsidP="00D54380">
            <w:pPr>
              <w:tabs>
                <w:tab w:val="right" w:pos="1202"/>
              </w:tabs>
              <w:spacing w:after="0" w:line="240" w:lineRule="auto"/>
              <w:jc w:val="center"/>
              <w:outlineLvl w:val="0"/>
              <w:rPr>
                <w:rFonts w:eastAsia="Times New Roman" w:cs="Arial"/>
                <w:b/>
                <w:bCs/>
              </w:rPr>
            </w:pPr>
          </w:p>
        </w:tc>
        <w:tc>
          <w:tcPr>
            <w:tcW w:w="816" w:type="pct"/>
            <w:tcBorders>
              <w:top w:val="single" w:sz="4" w:space="0" w:color="auto"/>
              <w:bottom w:val="single" w:sz="12" w:space="0" w:color="auto"/>
            </w:tcBorders>
            <w:vAlign w:val="bottom"/>
          </w:tcPr>
          <w:p w14:paraId="5B632484" w14:textId="4AB2C469" w:rsidR="00D54380" w:rsidRPr="00B604A4" w:rsidRDefault="007A0F85" w:rsidP="00D54380">
            <w:pPr>
              <w:tabs>
                <w:tab w:val="right" w:pos="1202"/>
              </w:tabs>
              <w:spacing w:after="0" w:line="240" w:lineRule="auto"/>
              <w:jc w:val="right"/>
              <w:outlineLvl w:val="0"/>
              <w:rPr>
                <w:rFonts w:eastAsia="Times New Roman" w:cs="Arial"/>
                <w:b/>
                <w:bCs/>
              </w:rPr>
            </w:pPr>
            <w:r w:rsidRPr="007A0F85">
              <w:rPr>
                <w:rFonts w:eastAsia="Times New Roman" w:cs="Arial"/>
                <w:b/>
                <w:bCs/>
              </w:rPr>
              <w:t>10.154.299</w:t>
            </w:r>
          </w:p>
        </w:tc>
        <w:tc>
          <w:tcPr>
            <w:tcW w:w="148" w:type="pct"/>
            <w:tcBorders>
              <w:top w:val="single" w:sz="4" w:space="0" w:color="auto"/>
              <w:bottom w:val="single" w:sz="12" w:space="0" w:color="auto"/>
            </w:tcBorders>
            <w:vAlign w:val="bottom"/>
          </w:tcPr>
          <w:p w14:paraId="057CB57F"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785" w:type="pct"/>
            <w:tcBorders>
              <w:top w:val="single" w:sz="4" w:space="0" w:color="auto"/>
              <w:bottom w:val="single" w:sz="12" w:space="0" w:color="auto"/>
            </w:tcBorders>
            <w:vAlign w:val="bottom"/>
          </w:tcPr>
          <w:p w14:paraId="1C4B7EF0" w14:textId="2A3B0149" w:rsidR="00D54380" w:rsidRPr="00CA37C8" w:rsidRDefault="00A1037D" w:rsidP="00D54380">
            <w:pPr>
              <w:tabs>
                <w:tab w:val="right" w:pos="1202"/>
              </w:tabs>
              <w:spacing w:after="0" w:line="240" w:lineRule="auto"/>
              <w:jc w:val="right"/>
              <w:outlineLvl w:val="0"/>
              <w:rPr>
                <w:rFonts w:eastAsia="Times New Roman" w:cs="Arial"/>
                <w:b/>
                <w:bCs/>
              </w:rPr>
            </w:pPr>
            <w:r w:rsidRPr="00A1037D">
              <w:rPr>
                <w:rFonts w:eastAsia="Times New Roman" w:cs="Arial"/>
                <w:b/>
                <w:bCs/>
              </w:rPr>
              <w:t>10.025.605</w:t>
            </w:r>
          </w:p>
        </w:tc>
      </w:tr>
      <w:tr w:rsidR="00D54380" w:rsidRPr="00CA37C8" w14:paraId="01FBD55E" w14:textId="77777777" w:rsidTr="00B604A4">
        <w:trPr>
          <w:trHeight w:val="92"/>
        </w:trPr>
        <w:tc>
          <w:tcPr>
            <w:tcW w:w="2656" w:type="pct"/>
            <w:vAlign w:val="center"/>
          </w:tcPr>
          <w:p w14:paraId="2CC31FC1" w14:textId="77777777" w:rsidR="00D54380" w:rsidRPr="00CA37C8" w:rsidRDefault="00D54380" w:rsidP="00D54380">
            <w:pPr>
              <w:keepNext/>
              <w:keepLines/>
              <w:tabs>
                <w:tab w:val="decimal" w:pos="1202"/>
              </w:tabs>
              <w:spacing w:after="0" w:line="240" w:lineRule="auto"/>
              <w:rPr>
                <w:rFonts w:eastAsia="Times New Roman" w:cs="Arial"/>
                <w:b/>
                <w:position w:val="4"/>
                <w:u w:val="thick"/>
              </w:rPr>
            </w:pPr>
          </w:p>
        </w:tc>
        <w:tc>
          <w:tcPr>
            <w:tcW w:w="595" w:type="pct"/>
            <w:vAlign w:val="center"/>
          </w:tcPr>
          <w:p w14:paraId="54A608F4" w14:textId="77777777" w:rsidR="00D54380" w:rsidRPr="00CA37C8" w:rsidRDefault="00D54380" w:rsidP="00D54380">
            <w:pPr>
              <w:keepNext/>
              <w:keepLines/>
              <w:tabs>
                <w:tab w:val="decimal" w:pos="1060"/>
              </w:tabs>
              <w:spacing w:after="0" w:line="240" w:lineRule="auto"/>
              <w:jc w:val="center"/>
              <w:rPr>
                <w:rFonts w:eastAsia="Times New Roman" w:cs="Arial"/>
                <w:b/>
                <w:position w:val="4"/>
                <w:u w:val="thick"/>
              </w:rPr>
            </w:pPr>
          </w:p>
        </w:tc>
        <w:tc>
          <w:tcPr>
            <w:tcW w:w="816" w:type="pct"/>
            <w:tcBorders>
              <w:top w:val="single" w:sz="12" w:space="0" w:color="auto"/>
            </w:tcBorders>
            <w:vAlign w:val="bottom"/>
          </w:tcPr>
          <w:p w14:paraId="00B24A51" w14:textId="77777777" w:rsidR="00D54380" w:rsidRPr="00CA37C8" w:rsidRDefault="00D54380" w:rsidP="00D54380">
            <w:pPr>
              <w:keepNext/>
              <w:keepLines/>
              <w:tabs>
                <w:tab w:val="decimal" w:pos="1060"/>
              </w:tabs>
              <w:spacing w:after="0" w:line="240" w:lineRule="auto"/>
              <w:jc w:val="right"/>
              <w:rPr>
                <w:rFonts w:eastAsia="Times New Roman" w:cs="Arial"/>
                <w:b/>
                <w:position w:val="4"/>
                <w:u w:val="thick"/>
              </w:rPr>
            </w:pPr>
          </w:p>
        </w:tc>
        <w:tc>
          <w:tcPr>
            <w:tcW w:w="148" w:type="pct"/>
            <w:tcBorders>
              <w:top w:val="single" w:sz="12" w:space="0" w:color="auto"/>
            </w:tcBorders>
            <w:vAlign w:val="bottom"/>
          </w:tcPr>
          <w:p w14:paraId="52D9B873" w14:textId="77777777" w:rsidR="00D54380" w:rsidRPr="00CA37C8" w:rsidRDefault="00D54380" w:rsidP="00D54380">
            <w:pPr>
              <w:keepNext/>
              <w:keepLines/>
              <w:tabs>
                <w:tab w:val="decimal" w:pos="1202"/>
              </w:tabs>
              <w:spacing w:after="0" w:line="240" w:lineRule="auto"/>
              <w:jc w:val="right"/>
              <w:rPr>
                <w:rFonts w:eastAsia="Times New Roman" w:cs="Arial"/>
                <w:b/>
                <w:position w:val="4"/>
                <w:u w:val="thick"/>
              </w:rPr>
            </w:pPr>
          </w:p>
        </w:tc>
        <w:tc>
          <w:tcPr>
            <w:tcW w:w="785" w:type="pct"/>
            <w:tcBorders>
              <w:top w:val="single" w:sz="12" w:space="0" w:color="auto"/>
            </w:tcBorders>
            <w:vAlign w:val="bottom"/>
          </w:tcPr>
          <w:p w14:paraId="0586085F" w14:textId="77777777" w:rsidR="00D54380" w:rsidRPr="00CA37C8" w:rsidRDefault="00D54380" w:rsidP="00D54380">
            <w:pPr>
              <w:keepNext/>
              <w:keepLines/>
              <w:tabs>
                <w:tab w:val="decimal" w:pos="1060"/>
              </w:tabs>
              <w:spacing w:after="0" w:line="240" w:lineRule="auto"/>
              <w:jc w:val="right"/>
              <w:rPr>
                <w:rFonts w:eastAsia="Times New Roman" w:cs="Arial"/>
                <w:b/>
                <w:position w:val="4"/>
                <w:u w:val="thick"/>
              </w:rPr>
            </w:pPr>
          </w:p>
        </w:tc>
      </w:tr>
      <w:tr w:rsidR="00D54380" w:rsidRPr="00CA37C8" w14:paraId="700798CB" w14:textId="77777777" w:rsidTr="00B604A4">
        <w:trPr>
          <w:trHeight w:val="311"/>
        </w:trPr>
        <w:tc>
          <w:tcPr>
            <w:tcW w:w="2656" w:type="pct"/>
            <w:vAlign w:val="center"/>
          </w:tcPr>
          <w:p w14:paraId="35353B1C" w14:textId="77777777" w:rsidR="00D54380" w:rsidRPr="00CA37C8" w:rsidRDefault="00D54380" w:rsidP="00D54380">
            <w:pPr>
              <w:tabs>
                <w:tab w:val="right" w:pos="1202"/>
              </w:tabs>
              <w:spacing w:after="0" w:line="240" w:lineRule="auto"/>
              <w:outlineLvl w:val="0"/>
              <w:rPr>
                <w:rFonts w:eastAsia="Times New Roman" w:cs="Arial"/>
              </w:rPr>
            </w:pPr>
            <w:r w:rsidRPr="00CA37C8">
              <w:rPr>
                <w:rFonts w:eastAsia="Times New Roman" w:cs="Arial"/>
              </w:rPr>
              <w:t>Garantni fond</w:t>
            </w:r>
          </w:p>
        </w:tc>
        <w:tc>
          <w:tcPr>
            <w:tcW w:w="595" w:type="pct"/>
            <w:vAlign w:val="center"/>
          </w:tcPr>
          <w:p w14:paraId="56297159" w14:textId="77777777" w:rsidR="00D54380" w:rsidRPr="00CA37C8" w:rsidRDefault="00D54380" w:rsidP="00D54380">
            <w:pPr>
              <w:tabs>
                <w:tab w:val="right" w:pos="1202"/>
              </w:tabs>
              <w:spacing w:after="0" w:line="240" w:lineRule="auto"/>
              <w:jc w:val="center"/>
              <w:outlineLvl w:val="0"/>
              <w:rPr>
                <w:rFonts w:eastAsia="Times New Roman" w:cs="Arial"/>
              </w:rPr>
            </w:pPr>
          </w:p>
        </w:tc>
        <w:tc>
          <w:tcPr>
            <w:tcW w:w="816" w:type="pct"/>
            <w:vAlign w:val="bottom"/>
          </w:tcPr>
          <w:p w14:paraId="0EEE3B73" w14:textId="4725C1D1" w:rsidR="00D54380" w:rsidRPr="00CA37C8" w:rsidRDefault="007A0F85" w:rsidP="00D54380">
            <w:pPr>
              <w:tabs>
                <w:tab w:val="right" w:pos="1202"/>
              </w:tabs>
              <w:spacing w:after="0" w:line="240" w:lineRule="auto"/>
              <w:jc w:val="right"/>
              <w:outlineLvl w:val="0"/>
              <w:rPr>
                <w:rFonts w:eastAsia="Times New Roman" w:cs="Arial"/>
              </w:rPr>
            </w:pPr>
            <w:r w:rsidRPr="007A0F85">
              <w:rPr>
                <w:rFonts w:eastAsia="Times New Roman" w:cs="Arial"/>
              </w:rPr>
              <w:t>12.128</w:t>
            </w:r>
          </w:p>
        </w:tc>
        <w:tc>
          <w:tcPr>
            <w:tcW w:w="148" w:type="pct"/>
            <w:vAlign w:val="bottom"/>
          </w:tcPr>
          <w:p w14:paraId="646B75A1" w14:textId="77777777" w:rsidR="00D54380" w:rsidRPr="00CA37C8" w:rsidRDefault="00D54380" w:rsidP="00D54380">
            <w:pPr>
              <w:tabs>
                <w:tab w:val="right" w:pos="1202"/>
              </w:tabs>
              <w:spacing w:after="0" w:line="240" w:lineRule="auto"/>
              <w:jc w:val="right"/>
              <w:outlineLvl w:val="0"/>
              <w:rPr>
                <w:rFonts w:eastAsia="Times New Roman" w:cs="Arial"/>
              </w:rPr>
            </w:pPr>
          </w:p>
        </w:tc>
        <w:tc>
          <w:tcPr>
            <w:tcW w:w="785" w:type="pct"/>
            <w:vAlign w:val="bottom"/>
          </w:tcPr>
          <w:p w14:paraId="098C8CF0" w14:textId="34AD1E4B" w:rsidR="00D54380" w:rsidRPr="00CA37C8" w:rsidRDefault="00A1037D" w:rsidP="00D54380">
            <w:pPr>
              <w:tabs>
                <w:tab w:val="right" w:pos="1202"/>
              </w:tabs>
              <w:spacing w:after="0" w:line="240" w:lineRule="auto"/>
              <w:jc w:val="right"/>
              <w:outlineLvl w:val="0"/>
              <w:rPr>
                <w:rFonts w:eastAsia="Times New Roman" w:cs="Arial"/>
              </w:rPr>
            </w:pPr>
            <w:r w:rsidRPr="00A1037D">
              <w:rPr>
                <w:rFonts w:eastAsia="Times New Roman" w:cs="Arial"/>
              </w:rPr>
              <w:t>12.375</w:t>
            </w:r>
          </w:p>
        </w:tc>
      </w:tr>
      <w:tr w:rsidR="00D54380" w:rsidRPr="00CA37C8" w14:paraId="053B0440" w14:textId="77777777" w:rsidTr="00B604A4">
        <w:trPr>
          <w:trHeight w:hRule="exact" w:val="142"/>
        </w:trPr>
        <w:tc>
          <w:tcPr>
            <w:tcW w:w="2656" w:type="pct"/>
            <w:vAlign w:val="center"/>
          </w:tcPr>
          <w:p w14:paraId="6E7D9A21" w14:textId="77777777" w:rsidR="00D54380" w:rsidRPr="00CA37C8" w:rsidRDefault="00D54380" w:rsidP="00D54380">
            <w:pPr>
              <w:keepNext/>
              <w:keepLines/>
              <w:tabs>
                <w:tab w:val="left" w:pos="1134"/>
                <w:tab w:val="decimal" w:pos="1202"/>
              </w:tabs>
              <w:spacing w:after="0" w:line="240" w:lineRule="auto"/>
              <w:rPr>
                <w:rFonts w:eastAsia="Times New Roman" w:cs="Arial"/>
                <w:b/>
                <w:position w:val="4"/>
              </w:rPr>
            </w:pPr>
          </w:p>
        </w:tc>
        <w:tc>
          <w:tcPr>
            <w:tcW w:w="595" w:type="pct"/>
            <w:vAlign w:val="center"/>
          </w:tcPr>
          <w:p w14:paraId="638EE3E4" w14:textId="77777777" w:rsidR="00D54380" w:rsidRPr="00CA37C8" w:rsidRDefault="00D54380" w:rsidP="00D54380">
            <w:pPr>
              <w:keepLines/>
              <w:spacing w:after="0" w:line="240" w:lineRule="auto"/>
              <w:jc w:val="center"/>
              <w:rPr>
                <w:rFonts w:eastAsia="Times New Roman" w:cs="Arial"/>
                <w:spacing w:val="-2"/>
                <w:position w:val="4"/>
              </w:rPr>
            </w:pPr>
          </w:p>
        </w:tc>
        <w:tc>
          <w:tcPr>
            <w:tcW w:w="816" w:type="pct"/>
            <w:tcBorders>
              <w:bottom w:val="single" w:sz="4" w:space="0" w:color="auto"/>
            </w:tcBorders>
            <w:vAlign w:val="bottom"/>
          </w:tcPr>
          <w:p w14:paraId="7BC97E10" w14:textId="77777777" w:rsidR="00D54380" w:rsidRPr="00CA37C8" w:rsidRDefault="00D54380" w:rsidP="00D54380">
            <w:pPr>
              <w:keepLines/>
              <w:spacing w:after="0" w:line="240" w:lineRule="auto"/>
              <w:jc w:val="right"/>
              <w:rPr>
                <w:rFonts w:eastAsia="Times New Roman" w:cs="Arial"/>
                <w:spacing w:val="-2"/>
                <w:position w:val="4"/>
              </w:rPr>
            </w:pPr>
          </w:p>
        </w:tc>
        <w:tc>
          <w:tcPr>
            <w:tcW w:w="148" w:type="pct"/>
            <w:tcBorders>
              <w:bottom w:val="single" w:sz="4" w:space="0" w:color="auto"/>
            </w:tcBorders>
            <w:vAlign w:val="bottom"/>
          </w:tcPr>
          <w:p w14:paraId="7BF61CA7" w14:textId="77777777" w:rsidR="00D54380" w:rsidRPr="00CA37C8" w:rsidRDefault="00D54380" w:rsidP="00D54380">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bottom w:val="single" w:sz="4" w:space="0" w:color="auto"/>
            </w:tcBorders>
            <w:vAlign w:val="bottom"/>
          </w:tcPr>
          <w:p w14:paraId="2BB621CA" w14:textId="77777777" w:rsidR="00D54380" w:rsidRPr="00CA37C8" w:rsidRDefault="00D54380" w:rsidP="00D54380">
            <w:pPr>
              <w:keepLines/>
              <w:spacing w:after="0" w:line="240" w:lineRule="auto"/>
              <w:jc w:val="right"/>
              <w:rPr>
                <w:rFonts w:eastAsia="Times New Roman" w:cs="Arial"/>
                <w:spacing w:val="-2"/>
                <w:position w:val="4"/>
              </w:rPr>
            </w:pPr>
          </w:p>
        </w:tc>
      </w:tr>
      <w:tr w:rsidR="00D54380" w:rsidRPr="00CA37C8" w14:paraId="7136C841" w14:textId="77777777" w:rsidTr="00B604A4">
        <w:trPr>
          <w:trHeight w:val="358"/>
        </w:trPr>
        <w:tc>
          <w:tcPr>
            <w:tcW w:w="2656" w:type="pct"/>
            <w:vAlign w:val="center"/>
          </w:tcPr>
          <w:p w14:paraId="441EB1C3"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Ukupna glavnica</w:t>
            </w:r>
          </w:p>
        </w:tc>
        <w:tc>
          <w:tcPr>
            <w:tcW w:w="595" w:type="pct"/>
            <w:vAlign w:val="center"/>
          </w:tcPr>
          <w:p w14:paraId="68966D9D" w14:textId="77777777" w:rsidR="00D54380" w:rsidRPr="00CA37C8" w:rsidRDefault="00D54380" w:rsidP="00D54380">
            <w:pPr>
              <w:tabs>
                <w:tab w:val="right" w:pos="1202"/>
              </w:tabs>
              <w:spacing w:after="0" w:line="240" w:lineRule="auto"/>
              <w:jc w:val="center"/>
              <w:outlineLvl w:val="0"/>
              <w:rPr>
                <w:rFonts w:eastAsia="Times New Roman" w:cs="Arial"/>
                <w:b/>
                <w:bCs/>
              </w:rPr>
            </w:pPr>
          </w:p>
        </w:tc>
        <w:tc>
          <w:tcPr>
            <w:tcW w:w="816" w:type="pct"/>
            <w:tcBorders>
              <w:top w:val="single" w:sz="4" w:space="0" w:color="auto"/>
              <w:bottom w:val="single" w:sz="4" w:space="0" w:color="auto"/>
            </w:tcBorders>
            <w:vAlign w:val="bottom"/>
          </w:tcPr>
          <w:p w14:paraId="6DF80FD3" w14:textId="0E894852" w:rsidR="00D54380" w:rsidRPr="00B604A4" w:rsidRDefault="007A0F85" w:rsidP="005413FB">
            <w:pPr>
              <w:tabs>
                <w:tab w:val="right" w:pos="1202"/>
              </w:tabs>
              <w:spacing w:after="0" w:line="240" w:lineRule="auto"/>
              <w:jc w:val="right"/>
              <w:outlineLvl w:val="0"/>
              <w:rPr>
                <w:rFonts w:eastAsia="Times New Roman" w:cs="Arial"/>
                <w:b/>
                <w:bCs/>
              </w:rPr>
            </w:pPr>
            <w:r w:rsidRPr="007A0F85">
              <w:rPr>
                <w:rFonts w:eastAsia="Times New Roman" w:cs="Arial"/>
                <w:b/>
                <w:bCs/>
              </w:rPr>
              <w:t>10.166.427</w:t>
            </w:r>
          </w:p>
        </w:tc>
        <w:tc>
          <w:tcPr>
            <w:tcW w:w="148" w:type="pct"/>
            <w:tcBorders>
              <w:top w:val="single" w:sz="4" w:space="0" w:color="auto"/>
              <w:bottom w:val="single" w:sz="4" w:space="0" w:color="auto"/>
            </w:tcBorders>
            <w:vAlign w:val="bottom"/>
          </w:tcPr>
          <w:p w14:paraId="60841227"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785" w:type="pct"/>
            <w:tcBorders>
              <w:top w:val="single" w:sz="4" w:space="0" w:color="auto"/>
              <w:bottom w:val="single" w:sz="4" w:space="0" w:color="auto"/>
            </w:tcBorders>
            <w:vAlign w:val="bottom"/>
          </w:tcPr>
          <w:p w14:paraId="45B94FCA" w14:textId="706FF5BD" w:rsidR="00D54380" w:rsidRPr="00CA37C8" w:rsidRDefault="00A1037D" w:rsidP="00D54380">
            <w:pPr>
              <w:tabs>
                <w:tab w:val="right" w:pos="1202"/>
              </w:tabs>
              <w:spacing w:after="0" w:line="240" w:lineRule="auto"/>
              <w:jc w:val="right"/>
              <w:outlineLvl w:val="0"/>
              <w:rPr>
                <w:rFonts w:eastAsia="Times New Roman" w:cs="Arial"/>
                <w:b/>
                <w:bCs/>
              </w:rPr>
            </w:pPr>
            <w:r w:rsidRPr="00A1037D">
              <w:rPr>
                <w:rFonts w:eastAsia="Times New Roman" w:cs="Arial"/>
                <w:b/>
                <w:bCs/>
              </w:rPr>
              <w:t>10.037.980</w:t>
            </w:r>
          </w:p>
        </w:tc>
      </w:tr>
      <w:tr w:rsidR="00D54380" w:rsidRPr="00CA37C8" w14:paraId="7D71E2A2" w14:textId="77777777" w:rsidTr="00B604A4">
        <w:trPr>
          <w:trHeight w:hRule="exact" w:val="113"/>
        </w:trPr>
        <w:tc>
          <w:tcPr>
            <w:tcW w:w="2656" w:type="pct"/>
            <w:vAlign w:val="center"/>
          </w:tcPr>
          <w:p w14:paraId="5DAD5794" w14:textId="77777777" w:rsidR="00D54380" w:rsidRPr="00CA37C8" w:rsidRDefault="00D54380" w:rsidP="00D54380">
            <w:pPr>
              <w:keepNext/>
              <w:keepLines/>
              <w:tabs>
                <w:tab w:val="decimal" w:pos="1202"/>
              </w:tabs>
              <w:spacing w:after="0" w:line="240" w:lineRule="auto"/>
              <w:rPr>
                <w:rFonts w:eastAsia="Times New Roman" w:cs="Arial"/>
                <w:b/>
                <w:position w:val="4"/>
              </w:rPr>
            </w:pPr>
          </w:p>
        </w:tc>
        <w:tc>
          <w:tcPr>
            <w:tcW w:w="595" w:type="pct"/>
            <w:vAlign w:val="center"/>
          </w:tcPr>
          <w:p w14:paraId="5E05AD3E" w14:textId="77777777" w:rsidR="00D54380" w:rsidRPr="00CA37C8" w:rsidRDefault="00D54380" w:rsidP="00D54380">
            <w:pPr>
              <w:keepLines/>
              <w:spacing w:after="0" w:line="240" w:lineRule="auto"/>
              <w:jc w:val="center"/>
              <w:rPr>
                <w:rFonts w:eastAsia="Times New Roman" w:cs="Arial"/>
                <w:spacing w:val="-2"/>
                <w:position w:val="4"/>
              </w:rPr>
            </w:pPr>
          </w:p>
        </w:tc>
        <w:tc>
          <w:tcPr>
            <w:tcW w:w="816" w:type="pct"/>
            <w:tcBorders>
              <w:top w:val="single" w:sz="4" w:space="0" w:color="auto"/>
            </w:tcBorders>
            <w:vAlign w:val="bottom"/>
          </w:tcPr>
          <w:p w14:paraId="1AD4139E" w14:textId="77777777" w:rsidR="00D54380" w:rsidRPr="00CA37C8" w:rsidRDefault="00D54380" w:rsidP="00D54380">
            <w:pPr>
              <w:keepLines/>
              <w:spacing w:after="0" w:line="240" w:lineRule="auto"/>
              <w:jc w:val="right"/>
              <w:rPr>
                <w:rFonts w:eastAsia="Times New Roman" w:cs="Arial"/>
                <w:spacing w:val="-2"/>
                <w:position w:val="4"/>
              </w:rPr>
            </w:pPr>
          </w:p>
        </w:tc>
        <w:tc>
          <w:tcPr>
            <w:tcW w:w="148" w:type="pct"/>
            <w:tcBorders>
              <w:top w:val="single" w:sz="4" w:space="0" w:color="auto"/>
            </w:tcBorders>
            <w:vAlign w:val="bottom"/>
          </w:tcPr>
          <w:p w14:paraId="5501640C" w14:textId="77777777" w:rsidR="00D54380" w:rsidRPr="00CA37C8" w:rsidRDefault="00D54380" w:rsidP="00D54380">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top w:val="single" w:sz="4" w:space="0" w:color="auto"/>
            </w:tcBorders>
            <w:vAlign w:val="bottom"/>
          </w:tcPr>
          <w:p w14:paraId="3167FD6C" w14:textId="77777777" w:rsidR="00D54380" w:rsidRPr="00CA37C8" w:rsidRDefault="00D54380" w:rsidP="00D54380">
            <w:pPr>
              <w:keepLines/>
              <w:spacing w:after="0" w:line="240" w:lineRule="auto"/>
              <w:jc w:val="right"/>
              <w:rPr>
                <w:rFonts w:eastAsia="Times New Roman" w:cs="Arial"/>
                <w:spacing w:val="-2"/>
                <w:position w:val="4"/>
              </w:rPr>
            </w:pPr>
          </w:p>
        </w:tc>
      </w:tr>
      <w:tr w:rsidR="00D54380" w:rsidRPr="00CA37C8" w14:paraId="5DCF7C48" w14:textId="77777777" w:rsidTr="00B604A4">
        <w:trPr>
          <w:trHeight w:val="343"/>
        </w:trPr>
        <w:tc>
          <w:tcPr>
            <w:tcW w:w="2656" w:type="pct"/>
            <w:vAlign w:val="center"/>
          </w:tcPr>
          <w:p w14:paraId="15106F38" w14:textId="77777777" w:rsidR="00D54380" w:rsidRPr="00CA37C8" w:rsidRDefault="00D54380" w:rsidP="00D54380">
            <w:pPr>
              <w:tabs>
                <w:tab w:val="right" w:pos="1202"/>
              </w:tabs>
              <w:spacing w:after="0" w:line="240" w:lineRule="auto"/>
              <w:outlineLvl w:val="0"/>
              <w:rPr>
                <w:rFonts w:eastAsia="Times New Roman" w:cs="Arial"/>
                <w:b/>
                <w:bCs/>
              </w:rPr>
            </w:pPr>
            <w:r w:rsidRPr="00CA37C8">
              <w:rPr>
                <w:rFonts w:eastAsia="Times New Roman" w:cs="Arial"/>
                <w:b/>
                <w:bCs/>
              </w:rPr>
              <w:t>Ukupne obveze i glavnica</w:t>
            </w:r>
          </w:p>
        </w:tc>
        <w:tc>
          <w:tcPr>
            <w:tcW w:w="595" w:type="pct"/>
            <w:vAlign w:val="center"/>
          </w:tcPr>
          <w:p w14:paraId="32876F51" w14:textId="77777777" w:rsidR="00D54380" w:rsidRPr="00CA37C8" w:rsidRDefault="00D54380" w:rsidP="00D54380">
            <w:pPr>
              <w:tabs>
                <w:tab w:val="right" w:pos="1202"/>
              </w:tabs>
              <w:spacing w:after="0" w:line="240" w:lineRule="auto"/>
              <w:jc w:val="center"/>
              <w:outlineLvl w:val="0"/>
              <w:rPr>
                <w:rFonts w:eastAsia="Times New Roman" w:cs="Arial"/>
                <w:b/>
                <w:bCs/>
              </w:rPr>
            </w:pPr>
          </w:p>
        </w:tc>
        <w:tc>
          <w:tcPr>
            <w:tcW w:w="816" w:type="pct"/>
            <w:tcBorders>
              <w:bottom w:val="single" w:sz="12" w:space="0" w:color="auto"/>
            </w:tcBorders>
            <w:vAlign w:val="bottom"/>
          </w:tcPr>
          <w:p w14:paraId="10C64434" w14:textId="43A819A7" w:rsidR="00D54380" w:rsidRPr="00B604A4" w:rsidRDefault="007A0F85" w:rsidP="00D54380">
            <w:pPr>
              <w:tabs>
                <w:tab w:val="right" w:pos="1202"/>
              </w:tabs>
              <w:spacing w:after="0" w:line="240" w:lineRule="auto"/>
              <w:jc w:val="right"/>
              <w:outlineLvl w:val="0"/>
              <w:rPr>
                <w:rFonts w:eastAsia="Times New Roman" w:cs="Arial"/>
                <w:b/>
                <w:bCs/>
              </w:rPr>
            </w:pPr>
            <w:r w:rsidRPr="007A0F85">
              <w:rPr>
                <w:rFonts w:eastAsia="Times New Roman" w:cs="Arial"/>
                <w:b/>
                <w:bCs/>
              </w:rPr>
              <w:t>27.805.973</w:t>
            </w:r>
          </w:p>
        </w:tc>
        <w:tc>
          <w:tcPr>
            <w:tcW w:w="148" w:type="pct"/>
            <w:tcBorders>
              <w:bottom w:val="single" w:sz="12" w:space="0" w:color="auto"/>
            </w:tcBorders>
            <w:vAlign w:val="bottom"/>
          </w:tcPr>
          <w:p w14:paraId="21334733" w14:textId="77777777" w:rsidR="00D54380" w:rsidRPr="00CA37C8" w:rsidRDefault="00D54380" w:rsidP="00D54380">
            <w:pPr>
              <w:tabs>
                <w:tab w:val="right" w:pos="1202"/>
              </w:tabs>
              <w:spacing w:after="0" w:line="240" w:lineRule="auto"/>
              <w:jc w:val="right"/>
              <w:outlineLvl w:val="0"/>
              <w:rPr>
                <w:rFonts w:eastAsia="Times New Roman" w:cs="Arial"/>
                <w:b/>
                <w:bCs/>
              </w:rPr>
            </w:pPr>
          </w:p>
        </w:tc>
        <w:tc>
          <w:tcPr>
            <w:tcW w:w="785" w:type="pct"/>
            <w:tcBorders>
              <w:bottom w:val="single" w:sz="12" w:space="0" w:color="auto"/>
            </w:tcBorders>
            <w:vAlign w:val="bottom"/>
          </w:tcPr>
          <w:p w14:paraId="473F2DDE" w14:textId="12335357" w:rsidR="00D54380" w:rsidRPr="00CA37C8" w:rsidRDefault="00A1037D" w:rsidP="00D54380">
            <w:pPr>
              <w:tabs>
                <w:tab w:val="right" w:pos="1202"/>
              </w:tabs>
              <w:spacing w:after="0" w:line="240" w:lineRule="auto"/>
              <w:jc w:val="right"/>
              <w:outlineLvl w:val="0"/>
              <w:rPr>
                <w:rFonts w:eastAsia="Times New Roman" w:cs="Arial"/>
                <w:b/>
                <w:bCs/>
              </w:rPr>
            </w:pPr>
            <w:r w:rsidRPr="00A1037D">
              <w:rPr>
                <w:rFonts w:eastAsia="Times New Roman" w:cs="Arial"/>
                <w:b/>
                <w:bCs/>
              </w:rPr>
              <w:t>27.374.916</w:t>
            </w:r>
          </w:p>
        </w:tc>
      </w:tr>
      <w:tr w:rsidR="00DC7131" w:rsidRPr="00CA37C8" w14:paraId="5E989D8A" w14:textId="77777777" w:rsidTr="00B604A4">
        <w:trPr>
          <w:trHeight w:hRule="exact" w:val="113"/>
        </w:trPr>
        <w:tc>
          <w:tcPr>
            <w:tcW w:w="2656" w:type="pct"/>
            <w:vAlign w:val="center"/>
          </w:tcPr>
          <w:p w14:paraId="7BDFBFCD" w14:textId="77777777" w:rsidR="00DC7131" w:rsidRPr="00CA37C8" w:rsidRDefault="00DC7131" w:rsidP="00DC7131">
            <w:pPr>
              <w:tabs>
                <w:tab w:val="right" w:pos="1202"/>
              </w:tabs>
              <w:spacing w:after="0" w:line="240" w:lineRule="auto"/>
              <w:outlineLvl w:val="0"/>
              <w:rPr>
                <w:rFonts w:eastAsia="Times New Roman" w:cs="Arial"/>
                <w:b/>
                <w:bCs/>
              </w:rPr>
            </w:pPr>
          </w:p>
        </w:tc>
        <w:tc>
          <w:tcPr>
            <w:tcW w:w="595" w:type="pct"/>
            <w:vAlign w:val="center"/>
          </w:tcPr>
          <w:p w14:paraId="51CE2005" w14:textId="77777777" w:rsidR="00DC7131" w:rsidRPr="00CA37C8" w:rsidRDefault="00DC7131" w:rsidP="00DC7131">
            <w:pPr>
              <w:tabs>
                <w:tab w:val="right" w:pos="1202"/>
              </w:tabs>
              <w:spacing w:after="0" w:line="240" w:lineRule="auto"/>
              <w:jc w:val="center"/>
              <w:outlineLvl w:val="0"/>
              <w:rPr>
                <w:rFonts w:eastAsia="Times New Roman" w:cs="Arial"/>
                <w:b/>
                <w:bCs/>
              </w:rPr>
            </w:pPr>
          </w:p>
        </w:tc>
        <w:tc>
          <w:tcPr>
            <w:tcW w:w="816" w:type="pct"/>
            <w:tcBorders>
              <w:top w:val="single" w:sz="12" w:space="0" w:color="auto"/>
            </w:tcBorders>
            <w:vAlign w:val="center"/>
          </w:tcPr>
          <w:p w14:paraId="6BAF4617" w14:textId="77777777" w:rsidR="00DC7131" w:rsidRPr="00CA37C8" w:rsidRDefault="00DC7131" w:rsidP="00DC7131">
            <w:pPr>
              <w:tabs>
                <w:tab w:val="right" w:pos="1202"/>
              </w:tabs>
              <w:spacing w:after="0" w:line="240" w:lineRule="auto"/>
              <w:jc w:val="right"/>
              <w:outlineLvl w:val="0"/>
              <w:rPr>
                <w:rFonts w:eastAsia="Times New Roman" w:cs="Arial"/>
                <w:b/>
                <w:bCs/>
              </w:rPr>
            </w:pPr>
          </w:p>
        </w:tc>
        <w:tc>
          <w:tcPr>
            <w:tcW w:w="148" w:type="pct"/>
            <w:tcBorders>
              <w:top w:val="single" w:sz="12" w:space="0" w:color="auto"/>
            </w:tcBorders>
            <w:vAlign w:val="center"/>
          </w:tcPr>
          <w:p w14:paraId="3E20DE3C" w14:textId="77777777" w:rsidR="00DC7131" w:rsidRPr="00CA37C8" w:rsidRDefault="00DC7131" w:rsidP="00DC7131">
            <w:pPr>
              <w:tabs>
                <w:tab w:val="right" w:pos="1202"/>
              </w:tabs>
              <w:spacing w:after="0" w:line="240" w:lineRule="auto"/>
              <w:jc w:val="right"/>
              <w:outlineLvl w:val="0"/>
              <w:rPr>
                <w:rFonts w:eastAsia="Times New Roman" w:cs="Arial"/>
                <w:b/>
                <w:bCs/>
              </w:rPr>
            </w:pPr>
          </w:p>
        </w:tc>
        <w:tc>
          <w:tcPr>
            <w:tcW w:w="785" w:type="pct"/>
            <w:tcBorders>
              <w:top w:val="single" w:sz="12" w:space="0" w:color="auto"/>
            </w:tcBorders>
            <w:vAlign w:val="center"/>
          </w:tcPr>
          <w:p w14:paraId="0DFA83A2" w14:textId="77777777" w:rsidR="00DC7131" w:rsidRPr="00CA37C8" w:rsidRDefault="00DC7131" w:rsidP="00DC7131">
            <w:pPr>
              <w:tabs>
                <w:tab w:val="right" w:pos="1202"/>
              </w:tabs>
              <w:spacing w:after="0" w:line="240" w:lineRule="auto"/>
              <w:jc w:val="right"/>
              <w:outlineLvl w:val="0"/>
              <w:rPr>
                <w:rFonts w:eastAsia="Times New Roman" w:cs="Arial"/>
                <w:b/>
                <w:bCs/>
              </w:rPr>
            </w:pPr>
          </w:p>
        </w:tc>
      </w:tr>
    </w:tbl>
    <w:p w14:paraId="1FE0A01C" w14:textId="77777777" w:rsidR="00D97C38" w:rsidRDefault="00D97C38" w:rsidP="00C4266C">
      <w:pPr>
        <w:spacing w:after="0" w:line="240" w:lineRule="auto"/>
        <w:rPr>
          <w:sz w:val="24"/>
          <w:szCs w:val="24"/>
        </w:rPr>
      </w:pPr>
    </w:p>
    <w:p w14:paraId="076B1802" w14:textId="77777777" w:rsidR="00026EE1" w:rsidRDefault="00026EE1" w:rsidP="00C4266C">
      <w:pPr>
        <w:spacing w:after="0" w:line="240" w:lineRule="auto"/>
        <w:rPr>
          <w:sz w:val="24"/>
          <w:szCs w:val="24"/>
        </w:rPr>
      </w:pPr>
    </w:p>
    <w:p w14:paraId="3284C34B" w14:textId="77777777" w:rsidR="00B06001" w:rsidRDefault="00B06001" w:rsidP="00810883">
      <w:pPr>
        <w:spacing w:after="0" w:line="240" w:lineRule="auto"/>
        <w:rPr>
          <w:rFonts w:eastAsia="Times New Roman" w:cs="Times New Roman"/>
        </w:rPr>
      </w:pPr>
    </w:p>
    <w:p w14:paraId="2A44E16D" w14:textId="77777777" w:rsidR="00810883" w:rsidRPr="00D81EB1" w:rsidRDefault="00810883" w:rsidP="000141E9">
      <w:pPr>
        <w:spacing w:after="0" w:line="240" w:lineRule="auto"/>
        <w:jc w:val="both"/>
        <w:rPr>
          <w:rFonts w:eastAsia="Times New Roman" w:cs="Times New Roman"/>
        </w:rPr>
      </w:pPr>
      <w:r w:rsidRPr="00D81EB1">
        <w:rPr>
          <w:rFonts w:eastAsia="Times New Roman" w:cs="Times New Roman"/>
        </w:rPr>
        <w:t>Priložene bilješke uz financijske izvještaje sastavni su dio ovog izvještaja o financijskom položaju.</w:t>
      </w:r>
    </w:p>
    <w:p w14:paraId="2F88C985" w14:textId="77777777" w:rsidR="008C22C0" w:rsidRDefault="008C22C0" w:rsidP="008C22C0">
      <w:pPr>
        <w:spacing w:after="0" w:line="240" w:lineRule="auto"/>
        <w:rPr>
          <w:rFonts w:eastAsia="Times New Roman" w:cs="Arial"/>
          <w14:shadow w14:blurRad="50800" w14:dist="38100" w14:dir="2700000" w14:sx="100000" w14:sy="100000" w14:kx="0" w14:ky="0" w14:algn="tl">
            <w14:srgbClr w14:val="000000">
              <w14:alpha w14:val="60000"/>
            </w14:srgbClr>
          </w14:shadow>
        </w:rPr>
      </w:pPr>
    </w:p>
    <w:p w14:paraId="2DA7D2A0" w14:textId="77777777" w:rsidR="00C447CE" w:rsidRDefault="00C447CE" w:rsidP="00C447CE">
      <w:pPr>
        <w:spacing w:after="0" w:line="240" w:lineRule="auto"/>
        <w:rPr>
          <w:rFonts w:eastAsia="Times New Roman" w:cs="Arial"/>
          <w14:shadow w14:blurRad="50800" w14:dist="38100" w14:dir="2700000" w14:sx="100000" w14:sy="100000" w14:kx="0" w14:ky="0" w14:algn="tl">
            <w14:srgbClr w14:val="000000">
              <w14:alpha w14:val="60000"/>
            </w14:srgbClr>
          </w14:shadow>
        </w:rPr>
      </w:pPr>
    </w:p>
    <w:p w14:paraId="1A481FC4" w14:textId="77777777" w:rsidR="00C447CE" w:rsidRDefault="00C447CE" w:rsidP="00C447CE">
      <w:pPr>
        <w:spacing w:after="0" w:line="240" w:lineRule="auto"/>
      </w:pPr>
      <w:r w:rsidRPr="00876425">
        <w:rPr>
          <w:rFonts w:eastAsia="Times New Roman" w:cs="Arial"/>
        </w:rPr>
        <w:tab/>
      </w:r>
    </w:p>
    <w:p w14:paraId="5BF75B4C" w14:textId="77777777" w:rsidR="00C447CE" w:rsidRDefault="00C447CE" w:rsidP="00C447CE">
      <w:pPr>
        <w:spacing w:after="0" w:line="240" w:lineRule="auto"/>
        <w:rPr>
          <w:rFonts w:eastAsia="Times New Roman" w:cs="Arial"/>
          <w14:shadow w14:blurRad="50800" w14:dist="38100" w14:dir="2700000" w14:sx="100000" w14:sy="100000" w14:kx="0" w14:ky="0" w14:algn="tl">
            <w14:srgbClr w14:val="000000">
              <w14:alpha w14:val="60000"/>
            </w14:srgbClr>
          </w14:shadow>
        </w:rPr>
      </w:pPr>
    </w:p>
    <w:p w14:paraId="3B765C2F" w14:textId="77777777" w:rsidR="00D2121E" w:rsidRPr="00CA37C8" w:rsidRDefault="00D2121E" w:rsidP="008C22C0">
      <w:pPr>
        <w:spacing w:after="0" w:line="240" w:lineRule="auto"/>
        <w:rPr>
          <w:rFonts w:eastAsia="Times New Roman" w:cs="Times New Roman"/>
          <w:sz w:val="19"/>
          <w:szCs w:val="19"/>
          <w:highlight w:val="yellow"/>
        </w:rPr>
      </w:pPr>
    </w:p>
    <w:p w14:paraId="46BB4E4A" w14:textId="77777777" w:rsidR="00F342AA" w:rsidRDefault="00F342AA" w:rsidP="00C4266C">
      <w:pPr>
        <w:spacing w:after="0" w:line="240" w:lineRule="auto"/>
        <w:rPr>
          <w:sz w:val="24"/>
          <w:szCs w:val="24"/>
        </w:rPr>
        <w:sectPr w:rsidR="00F342AA" w:rsidSect="00305343">
          <w:headerReference w:type="first" r:id="rId41"/>
          <w:footerReference w:type="first" r:id="rId42"/>
          <w:pgSz w:w="11906" w:h="16838" w:code="9"/>
          <w:pgMar w:top="1377" w:right="1133" w:bottom="1417" w:left="1417" w:header="709" w:footer="709" w:gutter="0"/>
          <w:cols w:space="708"/>
          <w:titlePg/>
          <w:docGrid w:linePitch="360"/>
        </w:sectPr>
      </w:pPr>
    </w:p>
    <w:p w14:paraId="1AB75735" w14:textId="77777777" w:rsidR="00637F7F" w:rsidRDefault="00637F7F" w:rsidP="002445F5">
      <w:pPr>
        <w:spacing w:after="0" w:line="240" w:lineRule="auto"/>
        <w:rPr>
          <w:sz w:val="24"/>
          <w:szCs w:val="24"/>
        </w:rPr>
      </w:pPr>
    </w:p>
    <w:tbl>
      <w:tblPr>
        <w:tblpPr w:leftFromText="180" w:rightFromText="180" w:vertAnchor="page" w:horzAnchor="margin" w:tblpY="2439"/>
        <w:tblW w:w="5076" w:type="pct"/>
        <w:tblLayout w:type="fixed"/>
        <w:tblCellMar>
          <w:left w:w="119" w:type="dxa"/>
          <w:right w:w="119" w:type="dxa"/>
        </w:tblCellMar>
        <w:tblLook w:val="0000" w:firstRow="0" w:lastRow="0" w:firstColumn="0" w:lastColumn="0" w:noHBand="0" w:noVBand="0"/>
      </w:tblPr>
      <w:tblGrid>
        <w:gridCol w:w="6791"/>
        <w:gridCol w:w="1373"/>
        <w:gridCol w:w="1334"/>
      </w:tblGrid>
      <w:tr w:rsidR="00481F7C" w:rsidRPr="00481F7C" w14:paraId="1775B2DD" w14:textId="77777777" w:rsidTr="00932654">
        <w:trPr>
          <w:trHeight w:val="173"/>
        </w:trPr>
        <w:tc>
          <w:tcPr>
            <w:tcW w:w="3575" w:type="pct"/>
            <w:tcBorders>
              <w:top w:val="single" w:sz="4" w:space="0" w:color="auto"/>
              <w:bottom w:val="single" w:sz="4" w:space="0" w:color="auto"/>
            </w:tcBorders>
          </w:tcPr>
          <w:p w14:paraId="12429B21" w14:textId="77777777" w:rsidR="00481F7C" w:rsidRPr="00481F7C" w:rsidRDefault="00481F7C" w:rsidP="00481F7C">
            <w:pPr>
              <w:keepLines/>
              <w:tabs>
                <w:tab w:val="right" w:pos="1202"/>
              </w:tabs>
              <w:spacing w:after="0" w:line="240" w:lineRule="exact"/>
              <w:jc w:val="right"/>
              <w:outlineLvl w:val="0"/>
              <w:rPr>
                <w:rFonts w:eastAsia="Times New Roman" w:cs="Arial"/>
                <w:b/>
                <w:sz w:val="19"/>
                <w:szCs w:val="19"/>
              </w:rPr>
            </w:pPr>
            <w:r w:rsidRPr="00481F7C">
              <w:rPr>
                <w:rFonts w:eastAsia="Times New Roman" w:cs="Arial"/>
                <w:b/>
                <w:sz w:val="19"/>
                <w:szCs w:val="19"/>
              </w:rPr>
              <w:t xml:space="preserve">                                                                                                                                    Bilješka</w:t>
            </w:r>
          </w:p>
        </w:tc>
        <w:tc>
          <w:tcPr>
            <w:tcW w:w="723" w:type="pct"/>
            <w:tcBorders>
              <w:top w:val="single" w:sz="4" w:space="0" w:color="auto"/>
              <w:bottom w:val="single" w:sz="4" w:space="0" w:color="auto"/>
            </w:tcBorders>
            <w:vAlign w:val="bottom"/>
          </w:tcPr>
          <w:p w14:paraId="2046027A" w14:textId="22D70EEA" w:rsidR="00481F7C" w:rsidRPr="00481F7C" w:rsidRDefault="00481F7C" w:rsidP="00932654">
            <w:pPr>
              <w:keepLines/>
              <w:tabs>
                <w:tab w:val="right" w:pos="1202"/>
              </w:tabs>
              <w:spacing w:after="0" w:line="240" w:lineRule="exact"/>
              <w:jc w:val="right"/>
              <w:outlineLvl w:val="0"/>
              <w:rPr>
                <w:rFonts w:eastAsia="Times New Roman" w:cs="Arial"/>
                <w:b/>
                <w:bCs/>
                <w:sz w:val="19"/>
                <w:szCs w:val="19"/>
              </w:rPr>
            </w:pPr>
            <w:r w:rsidRPr="00481F7C">
              <w:rPr>
                <w:rFonts w:eastAsia="Times New Roman" w:cs="Arial"/>
                <w:b/>
                <w:bCs/>
                <w:sz w:val="19"/>
                <w:szCs w:val="19"/>
              </w:rPr>
              <w:t>201</w:t>
            </w:r>
            <w:r>
              <w:rPr>
                <w:rFonts w:eastAsia="Times New Roman" w:cs="Arial"/>
                <w:b/>
                <w:bCs/>
                <w:sz w:val="19"/>
                <w:szCs w:val="19"/>
              </w:rPr>
              <w:t>7</w:t>
            </w:r>
            <w:r w:rsidRPr="00481F7C">
              <w:rPr>
                <w:rFonts w:eastAsia="Times New Roman" w:cs="Arial"/>
                <w:b/>
                <w:bCs/>
                <w:sz w:val="19"/>
                <w:szCs w:val="19"/>
              </w:rPr>
              <w:t>.</w:t>
            </w:r>
          </w:p>
        </w:tc>
        <w:tc>
          <w:tcPr>
            <w:tcW w:w="702" w:type="pct"/>
            <w:tcBorders>
              <w:top w:val="single" w:sz="4" w:space="0" w:color="auto"/>
              <w:bottom w:val="single" w:sz="4" w:space="0" w:color="auto"/>
            </w:tcBorders>
            <w:vAlign w:val="bottom"/>
          </w:tcPr>
          <w:p w14:paraId="38D9D2B8" w14:textId="3C5C229D" w:rsidR="00481F7C" w:rsidRPr="00481F7C" w:rsidRDefault="00481F7C" w:rsidP="00D96540">
            <w:pPr>
              <w:keepLines/>
              <w:tabs>
                <w:tab w:val="right" w:pos="1202"/>
              </w:tabs>
              <w:spacing w:after="0" w:line="240" w:lineRule="exact"/>
              <w:jc w:val="right"/>
              <w:outlineLvl w:val="0"/>
              <w:rPr>
                <w:rFonts w:eastAsia="Times New Roman" w:cs="Arial"/>
                <w:b/>
                <w:bCs/>
                <w:sz w:val="19"/>
                <w:szCs w:val="19"/>
              </w:rPr>
            </w:pPr>
            <w:r w:rsidRPr="00481F7C">
              <w:rPr>
                <w:rFonts w:eastAsia="Times New Roman" w:cs="Arial"/>
                <w:b/>
                <w:bCs/>
                <w:sz w:val="19"/>
                <w:szCs w:val="19"/>
              </w:rPr>
              <w:t>201</w:t>
            </w:r>
            <w:r>
              <w:rPr>
                <w:rFonts w:eastAsia="Times New Roman" w:cs="Arial"/>
                <w:b/>
                <w:bCs/>
                <w:sz w:val="19"/>
                <w:szCs w:val="19"/>
              </w:rPr>
              <w:t>6</w:t>
            </w:r>
            <w:r w:rsidRPr="00481F7C">
              <w:rPr>
                <w:rFonts w:eastAsia="Times New Roman" w:cs="Arial"/>
                <w:b/>
                <w:bCs/>
                <w:sz w:val="19"/>
                <w:szCs w:val="19"/>
              </w:rPr>
              <w:t>.</w:t>
            </w:r>
          </w:p>
        </w:tc>
      </w:tr>
      <w:tr w:rsidR="00481F7C" w:rsidRPr="00481F7C" w14:paraId="6743F4C0" w14:textId="77777777" w:rsidTr="00932654">
        <w:tc>
          <w:tcPr>
            <w:tcW w:w="3575" w:type="pct"/>
            <w:tcBorders>
              <w:top w:val="single" w:sz="4" w:space="0" w:color="auto"/>
            </w:tcBorders>
          </w:tcPr>
          <w:p w14:paraId="195B8FD8" w14:textId="77777777" w:rsidR="00481F7C" w:rsidRPr="00481F7C" w:rsidRDefault="00481F7C" w:rsidP="00481F7C">
            <w:pPr>
              <w:keepLines/>
              <w:tabs>
                <w:tab w:val="right" w:pos="1202"/>
              </w:tabs>
              <w:spacing w:after="0" w:line="240" w:lineRule="exact"/>
              <w:outlineLvl w:val="0"/>
              <w:rPr>
                <w:rFonts w:eastAsia="Times New Roman" w:cs="Arial"/>
                <w:b/>
                <w:bCs/>
                <w:spacing w:val="-3"/>
                <w:sz w:val="19"/>
                <w:szCs w:val="19"/>
              </w:rPr>
            </w:pPr>
            <w:r w:rsidRPr="00481F7C">
              <w:rPr>
                <w:rFonts w:eastAsia="Times New Roman" w:cs="Arial"/>
                <w:b/>
                <w:bCs/>
                <w:sz w:val="19"/>
                <w:szCs w:val="19"/>
              </w:rPr>
              <w:t>Poslovne aktivnosti</w:t>
            </w:r>
          </w:p>
        </w:tc>
        <w:tc>
          <w:tcPr>
            <w:tcW w:w="723" w:type="pct"/>
            <w:tcBorders>
              <w:top w:val="single" w:sz="4" w:space="0" w:color="auto"/>
            </w:tcBorders>
          </w:tcPr>
          <w:p w14:paraId="68AA16DA" w14:textId="77777777" w:rsidR="00481F7C" w:rsidRPr="00481F7C" w:rsidRDefault="00481F7C" w:rsidP="00481F7C">
            <w:pPr>
              <w:keepLines/>
              <w:tabs>
                <w:tab w:val="right" w:pos="1202"/>
              </w:tabs>
              <w:spacing w:after="0" w:line="240" w:lineRule="exact"/>
              <w:jc w:val="right"/>
              <w:outlineLvl w:val="0"/>
              <w:rPr>
                <w:rFonts w:eastAsia="Times New Roman" w:cs="Arial"/>
                <w:sz w:val="19"/>
                <w:szCs w:val="19"/>
              </w:rPr>
            </w:pPr>
          </w:p>
        </w:tc>
        <w:tc>
          <w:tcPr>
            <w:tcW w:w="702" w:type="pct"/>
            <w:tcBorders>
              <w:top w:val="single" w:sz="4" w:space="0" w:color="auto"/>
            </w:tcBorders>
          </w:tcPr>
          <w:p w14:paraId="603B8AAD" w14:textId="77777777" w:rsidR="00481F7C" w:rsidRPr="00481F7C" w:rsidRDefault="00481F7C" w:rsidP="00481F7C">
            <w:pPr>
              <w:keepLines/>
              <w:tabs>
                <w:tab w:val="right" w:pos="1202"/>
              </w:tabs>
              <w:spacing w:after="0" w:line="240" w:lineRule="exact"/>
              <w:jc w:val="right"/>
              <w:outlineLvl w:val="0"/>
              <w:rPr>
                <w:rFonts w:eastAsia="Times New Roman" w:cs="Arial"/>
                <w:sz w:val="19"/>
                <w:szCs w:val="19"/>
              </w:rPr>
            </w:pPr>
          </w:p>
        </w:tc>
      </w:tr>
      <w:tr w:rsidR="00481F7C" w:rsidRPr="00481F7C" w14:paraId="5A8B88DE" w14:textId="77777777" w:rsidTr="00312975">
        <w:tc>
          <w:tcPr>
            <w:tcW w:w="3575" w:type="pct"/>
          </w:tcPr>
          <w:p w14:paraId="351144CA" w14:textId="77777777" w:rsidR="00481F7C" w:rsidRPr="00481F7C" w:rsidRDefault="00481F7C" w:rsidP="00481F7C">
            <w:pPr>
              <w:keepLines/>
              <w:tabs>
                <w:tab w:val="right" w:pos="1202"/>
              </w:tabs>
              <w:spacing w:after="0" w:line="240" w:lineRule="exact"/>
              <w:outlineLvl w:val="0"/>
              <w:rPr>
                <w:rFonts w:eastAsia="Times New Roman" w:cs="Arial"/>
                <w:spacing w:val="-3"/>
                <w:sz w:val="19"/>
                <w:szCs w:val="19"/>
              </w:rPr>
            </w:pPr>
            <w:r w:rsidRPr="00481F7C">
              <w:rPr>
                <w:rFonts w:eastAsia="Times New Roman" w:cs="Arial"/>
                <w:sz w:val="19"/>
                <w:szCs w:val="19"/>
              </w:rPr>
              <w:t>Dobit prije oporezivanja</w:t>
            </w:r>
          </w:p>
        </w:tc>
        <w:tc>
          <w:tcPr>
            <w:tcW w:w="723" w:type="pct"/>
            <w:vAlign w:val="bottom"/>
          </w:tcPr>
          <w:p w14:paraId="7288C775" w14:textId="7A4A4B45" w:rsidR="00481F7C" w:rsidRPr="00481F7C" w:rsidRDefault="00F27B14" w:rsidP="00481F7C">
            <w:pPr>
              <w:keepLines/>
              <w:tabs>
                <w:tab w:val="right" w:pos="1202"/>
              </w:tabs>
              <w:spacing w:after="0" w:line="240" w:lineRule="exact"/>
              <w:jc w:val="right"/>
              <w:outlineLvl w:val="0"/>
              <w:rPr>
                <w:rFonts w:eastAsia="Times New Roman" w:cs="Arial"/>
                <w:sz w:val="19"/>
                <w:szCs w:val="19"/>
              </w:rPr>
            </w:pPr>
            <w:r w:rsidRPr="00F27B14">
              <w:rPr>
                <w:rFonts w:eastAsia="Times New Roman" w:cs="Arial"/>
                <w:sz w:val="19"/>
                <w:szCs w:val="19"/>
              </w:rPr>
              <w:t>129.356</w:t>
            </w:r>
          </w:p>
        </w:tc>
        <w:tc>
          <w:tcPr>
            <w:tcW w:w="702" w:type="pct"/>
            <w:vAlign w:val="bottom"/>
          </w:tcPr>
          <w:p w14:paraId="0458B7B0" w14:textId="66BD26C3" w:rsidR="00481F7C" w:rsidRPr="00481F7C" w:rsidRDefault="00481F7C" w:rsidP="00481F7C">
            <w:pPr>
              <w:keepLines/>
              <w:tabs>
                <w:tab w:val="right" w:pos="1202"/>
              </w:tabs>
              <w:spacing w:after="0" w:line="240" w:lineRule="auto"/>
              <w:jc w:val="right"/>
              <w:outlineLvl w:val="0"/>
              <w:rPr>
                <w:rFonts w:eastAsia="Times New Roman" w:cs="Arial"/>
                <w:sz w:val="19"/>
                <w:szCs w:val="19"/>
              </w:rPr>
            </w:pPr>
            <w:r w:rsidRPr="00481F7C">
              <w:rPr>
                <w:rFonts w:eastAsia="Times New Roman" w:cs="Arial"/>
                <w:sz w:val="19"/>
                <w:szCs w:val="19"/>
              </w:rPr>
              <w:t>107.235</w:t>
            </w:r>
          </w:p>
        </w:tc>
      </w:tr>
      <w:tr w:rsidR="00481F7C" w:rsidRPr="00481F7C" w14:paraId="3A51F7EF" w14:textId="77777777" w:rsidTr="00312975">
        <w:tc>
          <w:tcPr>
            <w:tcW w:w="3575" w:type="pct"/>
          </w:tcPr>
          <w:p w14:paraId="360E93C0" w14:textId="77777777" w:rsidR="00481F7C" w:rsidRPr="00481F7C" w:rsidRDefault="00481F7C" w:rsidP="00481F7C">
            <w:pPr>
              <w:keepLines/>
              <w:tabs>
                <w:tab w:val="right" w:pos="1202"/>
              </w:tabs>
              <w:spacing w:after="0" w:line="240" w:lineRule="exact"/>
              <w:outlineLvl w:val="0"/>
              <w:rPr>
                <w:rFonts w:eastAsia="Times New Roman" w:cs="Arial"/>
                <w:i/>
                <w:sz w:val="19"/>
                <w:szCs w:val="19"/>
              </w:rPr>
            </w:pPr>
            <w:r w:rsidRPr="00481F7C">
              <w:rPr>
                <w:rFonts w:eastAsia="Times New Roman" w:cs="Arial"/>
                <w:i/>
                <w:sz w:val="19"/>
                <w:szCs w:val="19"/>
              </w:rPr>
              <w:t>Usklađenje na neto novčana sredstva ostvarena i uporabljena za poslovne aktivnosti:</w:t>
            </w:r>
          </w:p>
        </w:tc>
        <w:tc>
          <w:tcPr>
            <w:tcW w:w="723" w:type="pct"/>
            <w:vAlign w:val="bottom"/>
          </w:tcPr>
          <w:p w14:paraId="68470430" w14:textId="77777777" w:rsidR="00481F7C" w:rsidRPr="00481F7C" w:rsidRDefault="00481F7C" w:rsidP="00481F7C">
            <w:pPr>
              <w:keepLines/>
              <w:tabs>
                <w:tab w:val="right" w:pos="1202"/>
              </w:tabs>
              <w:spacing w:after="0" w:line="240" w:lineRule="exact"/>
              <w:jc w:val="right"/>
              <w:outlineLvl w:val="0"/>
              <w:rPr>
                <w:rFonts w:eastAsia="Times New Roman" w:cs="Arial"/>
                <w:i/>
                <w:sz w:val="19"/>
                <w:szCs w:val="19"/>
              </w:rPr>
            </w:pPr>
          </w:p>
        </w:tc>
        <w:tc>
          <w:tcPr>
            <w:tcW w:w="702" w:type="pct"/>
            <w:vAlign w:val="bottom"/>
          </w:tcPr>
          <w:p w14:paraId="0778A4AB" w14:textId="77777777" w:rsidR="00481F7C" w:rsidRPr="00481F7C" w:rsidRDefault="00481F7C" w:rsidP="00481F7C">
            <w:pPr>
              <w:keepLines/>
              <w:tabs>
                <w:tab w:val="right" w:pos="1202"/>
              </w:tabs>
              <w:spacing w:after="0" w:line="240" w:lineRule="auto"/>
              <w:jc w:val="right"/>
              <w:outlineLvl w:val="0"/>
              <w:rPr>
                <w:rFonts w:eastAsia="Times New Roman" w:cs="Arial"/>
                <w:i/>
                <w:sz w:val="19"/>
                <w:szCs w:val="19"/>
              </w:rPr>
            </w:pPr>
          </w:p>
        </w:tc>
      </w:tr>
      <w:tr w:rsidR="00481F7C" w:rsidRPr="00481F7C" w14:paraId="6DFB37EB" w14:textId="77777777" w:rsidTr="00312975">
        <w:tc>
          <w:tcPr>
            <w:tcW w:w="3575" w:type="pct"/>
          </w:tcPr>
          <w:p w14:paraId="75A14E0F" w14:textId="77777777" w:rsidR="00481F7C" w:rsidRPr="00481F7C" w:rsidRDefault="00481F7C" w:rsidP="00481F7C">
            <w:pPr>
              <w:keepLines/>
              <w:tabs>
                <w:tab w:val="right" w:pos="1202"/>
              </w:tabs>
              <w:spacing w:after="0" w:line="240" w:lineRule="exact"/>
              <w:outlineLvl w:val="0"/>
              <w:rPr>
                <w:rFonts w:eastAsia="Times New Roman" w:cs="Arial"/>
                <w:spacing w:val="-3"/>
                <w:sz w:val="19"/>
                <w:szCs w:val="19"/>
              </w:rPr>
            </w:pPr>
            <w:r w:rsidRPr="00481F7C">
              <w:rPr>
                <w:rFonts w:eastAsia="Times New Roman" w:cs="Arial"/>
                <w:sz w:val="19"/>
                <w:szCs w:val="19"/>
              </w:rPr>
              <w:t>Amortizacija</w:t>
            </w:r>
          </w:p>
        </w:tc>
        <w:tc>
          <w:tcPr>
            <w:tcW w:w="723" w:type="pct"/>
            <w:vAlign w:val="bottom"/>
          </w:tcPr>
          <w:p w14:paraId="483C852B" w14:textId="57754063" w:rsidR="00481F7C" w:rsidRPr="00481F7C" w:rsidRDefault="00F27B14" w:rsidP="00481F7C">
            <w:pPr>
              <w:keepLines/>
              <w:tabs>
                <w:tab w:val="right" w:pos="1202"/>
              </w:tabs>
              <w:spacing w:after="0" w:line="240" w:lineRule="auto"/>
              <w:jc w:val="right"/>
              <w:outlineLvl w:val="0"/>
              <w:rPr>
                <w:rFonts w:eastAsia="Times New Roman" w:cs="Times New Roman"/>
                <w:sz w:val="19"/>
                <w:szCs w:val="19"/>
                <w:lang w:val="en-GB"/>
              </w:rPr>
            </w:pPr>
            <w:r w:rsidRPr="00F27B14">
              <w:rPr>
                <w:rFonts w:eastAsia="Times New Roman" w:cs="Times New Roman"/>
                <w:sz w:val="19"/>
                <w:szCs w:val="19"/>
                <w:lang w:val="en-GB"/>
              </w:rPr>
              <w:t>3.926</w:t>
            </w:r>
          </w:p>
        </w:tc>
        <w:tc>
          <w:tcPr>
            <w:tcW w:w="702" w:type="pct"/>
            <w:vAlign w:val="bottom"/>
          </w:tcPr>
          <w:p w14:paraId="54CD95DE" w14:textId="6560DA34" w:rsidR="00481F7C" w:rsidRPr="00481F7C" w:rsidRDefault="00481F7C" w:rsidP="00481F7C">
            <w:pPr>
              <w:keepLines/>
              <w:tabs>
                <w:tab w:val="right" w:pos="1202"/>
              </w:tabs>
              <w:spacing w:after="0" w:line="240" w:lineRule="auto"/>
              <w:jc w:val="right"/>
              <w:outlineLvl w:val="0"/>
              <w:rPr>
                <w:rFonts w:ascii="Arial" w:eastAsia="Times New Roman" w:hAnsi="Arial" w:cs="Times New Roman"/>
                <w:sz w:val="19"/>
                <w:szCs w:val="19"/>
                <w:lang w:val="en-GB"/>
              </w:rPr>
            </w:pPr>
            <w:r w:rsidRPr="00481F7C">
              <w:rPr>
                <w:rFonts w:eastAsia="Times New Roman" w:cs="Times New Roman"/>
                <w:sz w:val="19"/>
                <w:szCs w:val="19"/>
                <w:lang w:val="en-GB"/>
              </w:rPr>
              <w:t>3.923</w:t>
            </w:r>
          </w:p>
        </w:tc>
      </w:tr>
      <w:tr w:rsidR="00481F7C" w:rsidRPr="00481F7C" w14:paraId="37EFE05F" w14:textId="77777777" w:rsidTr="00312975">
        <w:tc>
          <w:tcPr>
            <w:tcW w:w="3575" w:type="pct"/>
          </w:tcPr>
          <w:p w14:paraId="599D1D25" w14:textId="77777777" w:rsidR="00481F7C" w:rsidRPr="00481F7C" w:rsidRDefault="00481F7C" w:rsidP="00481F7C">
            <w:pPr>
              <w:tabs>
                <w:tab w:val="right" w:pos="1202"/>
              </w:tabs>
              <w:spacing w:after="0" w:line="240" w:lineRule="exact"/>
              <w:outlineLvl w:val="0"/>
              <w:rPr>
                <w:rFonts w:eastAsia="Times New Roman" w:cs="Arial"/>
                <w:bCs/>
                <w:spacing w:val="-2"/>
                <w:sz w:val="19"/>
                <w:szCs w:val="19"/>
              </w:rPr>
            </w:pPr>
            <w:r w:rsidRPr="00481F7C">
              <w:rPr>
                <w:rFonts w:eastAsia="Times New Roman" w:cs="Arial"/>
                <w:bCs/>
                <w:spacing w:val="-2"/>
                <w:sz w:val="19"/>
                <w:szCs w:val="19"/>
              </w:rPr>
              <w:t>Gubitak od umanjenja vrijednosti i rezerviranja</w:t>
            </w:r>
          </w:p>
        </w:tc>
        <w:tc>
          <w:tcPr>
            <w:tcW w:w="723" w:type="pct"/>
            <w:tcBorders>
              <w:top w:val="nil"/>
              <w:left w:val="nil"/>
              <w:bottom w:val="nil"/>
              <w:right w:val="nil"/>
            </w:tcBorders>
            <w:shd w:val="clear" w:color="000000" w:fill="auto"/>
            <w:vAlign w:val="bottom"/>
          </w:tcPr>
          <w:p w14:paraId="7B73E822" w14:textId="7FF50711" w:rsidR="00481F7C" w:rsidRPr="00481F7C" w:rsidRDefault="00F27B14" w:rsidP="00481F7C">
            <w:pPr>
              <w:keepLines/>
              <w:tabs>
                <w:tab w:val="right" w:pos="1202"/>
              </w:tabs>
              <w:spacing w:after="0" w:line="240" w:lineRule="auto"/>
              <w:jc w:val="right"/>
              <w:outlineLvl w:val="0"/>
              <w:rPr>
                <w:rFonts w:eastAsia="Times New Roman" w:cs="Times New Roman"/>
                <w:sz w:val="19"/>
                <w:szCs w:val="19"/>
              </w:rPr>
            </w:pPr>
            <w:r w:rsidRPr="00F27B14">
              <w:rPr>
                <w:rFonts w:eastAsia="Times New Roman" w:cs="Times New Roman"/>
                <w:sz w:val="19"/>
                <w:szCs w:val="19"/>
              </w:rPr>
              <w:t>43.150</w:t>
            </w:r>
          </w:p>
        </w:tc>
        <w:tc>
          <w:tcPr>
            <w:tcW w:w="702" w:type="pct"/>
            <w:tcBorders>
              <w:top w:val="nil"/>
              <w:left w:val="nil"/>
              <w:bottom w:val="nil"/>
              <w:right w:val="nil"/>
            </w:tcBorders>
            <w:shd w:val="clear" w:color="000000" w:fill="auto"/>
            <w:vAlign w:val="bottom"/>
          </w:tcPr>
          <w:p w14:paraId="289D5C6F" w14:textId="4516FD60" w:rsidR="00481F7C" w:rsidRPr="00481F7C" w:rsidRDefault="00481F7C" w:rsidP="00481F7C">
            <w:pPr>
              <w:keepLines/>
              <w:tabs>
                <w:tab w:val="right" w:pos="1202"/>
              </w:tabs>
              <w:spacing w:after="0" w:line="240" w:lineRule="auto"/>
              <w:jc w:val="right"/>
              <w:outlineLvl w:val="0"/>
              <w:rPr>
                <w:rFonts w:ascii="Arial" w:eastAsia="Times New Roman" w:hAnsi="Arial" w:cs="Times New Roman"/>
                <w:sz w:val="19"/>
                <w:szCs w:val="19"/>
                <w:lang w:val="en-GB"/>
              </w:rPr>
            </w:pPr>
            <w:r w:rsidRPr="00481F7C">
              <w:rPr>
                <w:rFonts w:eastAsia="Times New Roman" w:cs="Times New Roman"/>
                <w:sz w:val="19"/>
                <w:szCs w:val="19"/>
              </w:rPr>
              <w:t>21.000</w:t>
            </w:r>
          </w:p>
        </w:tc>
      </w:tr>
      <w:tr w:rsidR="00481F7C" w:rsidRPr="00481F7C" w14:paraId="2A82409D" w14:textId="77777777" w:rsidTr="00312975">
        <w:tc>
          <w:tcPr>
            <w:tcW w:w="3575" w:type="pct"/>
            <w:vAlign w:val="bottom"/>
          </w:tcPr>
          <w:p w14:paraId="087F7262" w14:textId="77777777" w:rsidR="00481F7C" w:rsidRPr="00481F7C" w:rsidRDefault="00481F7C" w:rsidP="00481F7C">
            <w:pPr>
              <w:keepLines/>
              <w:tabs>
                <w:tab w:val="right" w:pos="1202"/>
              </w:tabs>
              <w:spacing w:after="0" w:line="240" w:lineRule="exact"/>
              <w:outlineLvl w:val="0"/>
              <w:rPr>
                <w:rFonts w:eastAsia="Times New Roman" w:cs="Arial"/>
                <w:iCs/>
                <w:sz w:val="19"/>
                <w:szCs w:val="19"/>
              </w:rPr>
            </w:pPr>
            <w:r w:rsidRPr="00481F7C">
              <w:rPr>
                <w:rFonts w:eastAsia="Times New Roman" w:cs="Arial"/>
                <w:iCs/>
                <w:sz w:val="19"/>
                <w:szCs w:val="19"/>
              </w:rPr>
              <w:t xml:space="preserve">Obračunane kamate </w:t>
            </w:r>
          </w:p>
        </w:tc>
        <w:tc>
          <w:tcPr>
            <w:tcW w:w="723" w:type="pct"/>
            <w:tcBorders>
              <w:top w:val="nil"/>
              <w:left w:val="nil"/>
              <w:bottom w:val="nil"/>
              <w:right w:val="nil"/>
            </w:tcBorders>
            <w:shd w:val="clear" w:color="auto" w:fill="auto"/>
            <w:vAlign w:val="bottom"/>
          </w:tcPr>
          <w:p w14:paraId="1C53D339" w14:textId="1AF8515B" w:rsidR="00481F7C" w:rsidRPr="00481F7C" w:rsidRDefault="00F27B14" w:rsidP="00481F7C">
            <w:pPr>
              <w:keepLines/>
              <w:tabs>
                <w:tab w:val="right" w:pos="1202"/>
              </w:tabs>
              <w:spacing w:after="0" w:line="240" w:lineRule="auto"/>
              <w:jc w:val="right"/>
              <w:outlineLvl w:val="0"/>
              <w:rPr>
                <w:rFonts w:eastAsia="Times New Roman" w:cs="Times New Roman"/>
                <w:sz w:val="19"/>
                <w:szCs w:val="19"/>
                <w:lang w:val="en-GB"/>
              </w:rPr>
            </w:pPr>
            <w:r w:rsidRPr="00F27B14">
              <w:rPr>
                <w:rFonts w:eastAsia="Times New Roman" w:cs="Times New Roman"/>
                <w:sz w:val="19"/>
                <w:szCs w:val="19"/>
                <w:lang w:val="en-GB"/>
              </w:rPr>
              <w:t>(64.096)</w:t>
            </w:r>
          </w:p>
        </w:tc>
        <w:tc>
          <w:tcPr>
            <w:tcW w:w="702" w:type="pct"/>
            <w:tcBorders>
              <w:top w:val="nil"/>
              <w:left w:val="nil"/>
              <w:bottom w:val="nil"/>
              <w:right w:val="nil"/>
            </w:tcBorders>
            <w:shd w:val="clear" w:color="auto" w:fill="auto"/>
            <w:vAlign w:val="bottom"/>
          </w:tcPr>
          <w:p w14:paraId="56DAFF55" w14:textId="7A8B467C" w:rsidR="00481F7C" w:rsidRPr="00481F7C" w:rsidRDefault="00481F7C" w:rsidP="00481F7C">
            <w:pPr>
              <w:keepLines/>
              <w:tabs>
                <w:tab w:val="right" w:pos="1202"/>
              </w:tabs>
              <w:spacing w:after="0" w:line="240" w:lineRule="auto"/>
              <w:jc w:val="right"/>
              <w:outlineLvl w:val="0"/>
              <w:rPr>
                <w:rFonts w:ascii="Arial" w:eastAsia="Times New Roman" w:hAnsi="Arial" w:cs="Times New Roman"/>
                <w:sz w:val="19"/>
                <w:szCs w:val="19"/>
                <w:lang w:val="en-GB"/>
              </w:rPr>
            </w:pPr>
            <w:r w:rsidRPr="00481F7C">
              <w:rPr>
                <w:rFonts w:eastAsia="Times New Roman" w:cs="Times New Roman"/>
                <w:sz w:val="19"/>
                <w:szCs w:val="19"/>
                <w:lang w:val="en-GB"/>
              </w:rPr>
              <w:t>(78.128)</w:t>
            </w:r>
          </w:p>
        </w:tc>
      </w:tr>
      <w:tr w:rsidR="00481F7C" w:rsidRPr="00481F7C" w14:paraId="6EABDBDD" w14:textId="77777777" w:rsidTr="00312975">
        <w:tc>
          <w:tcPr>
            <w:tcW w:w="3575" w:type="pct"/>
          </w:tcPr>
          <w:p w14:paraId="61F58D9E" w14:textId="77777777" w:rsidR="00481F7C" w:rsidRPr="00481F7C" w:rsidRDefault="00481F7C" w:rsidP="00481F7C">
            <w:pPr>
              <w:keepLines/>
              <w:tabs>
                <w:tab w:val="right" w:pos="1202"/>
              </w:tabs>
              <w:spacing w:after="0" w:line="240" w:lineRule="exact"/>
              <w:outlineLvl w:val="0"/>
              <w:rPr>
                <w:rFonts w:eastAsia="Times New Roman" w:cs="Arial"/>
                <w:i/>
                <w:iCs/>
                <w:sz w:val="19"/>
                <w:szCs w:val="19"/>
              </w:rPr>
            </w:pPr>
            <w:r w:rsidRPr="00481F7C">
              <w:rPr>
                <w:rFonts w:eastAsia="Times New Roman" w:cs="Arial"/>
                <w:iCs/>
                <w:sz w:val="19"/>
                <w:szCs w:val="19"/>
              </w:rPr>
              <w:t>Odgođene naknade</w:t>
            </w:r>
          </w:p>
        </w:tc>
        <w:tc>
          <w:tcPr>
            <w:tcW w:w="723" w:type="pct"/>
            <w:tcBorders>
              <w:top w:val="nil"/>
              <w:left w:val="nil"/>
              <w:bottom w:val="nil"/>
              <w:right w:val="nil"/>
            </w:tcBorders>
            <w:shd w:val="clear" w:color="auto" w:fill="auto"/>
            <w:vAlign w:val="bottom"/>
          </w:tcPr>
          <w:p w14:paraId="2446C449" w14:textId="408EE1B5" w:rsidR="00481F7C" w:rsidRPr="00481F7C" w:rsidRDefault="00F27B14" w:rsidP="00481F7C">
            <w:pPr>
              <w:keepLines/>
              <w:tabs>
                <w:tab w:val="right" w:pos="1202"/>
              </w:tabs>
              <w:spacing w:after="0" w:line="240" w:lineRule="auto"/>
              <w:jc w:val="right"/>
              <w:outlineLvl w:val="0"/>
              <w:rPr>
                <w:rFonts w:eastAsia="Times New Roman" w:cs="Times New Roman"/>
                <w:sz w:val="19"/>
                <w:szCs w:val="19"/>
                <w:lang w:val="en-GB"/>
              </w:rPr>
            </w:pPr>
            <w:r w:rsidRPr="00F27B14">
              <w:rPr>
                <w:rFonts w:eastAsia="Times New Roman" w:cs="Times New Roman"/>
                <w:sz w:val="19"/>
                <w:szCs w:val="19"/>
                <w:lang w:val="en-GB"/>
              </w:rPr>
              <w:t>(7.715)</w:t>
            </w:r>
          </w:p>
        </w:tc>
        <w:tc>
          <w:tcPr>
            <w:tcW w:w="702" w:type="pct"/>
            <w:tcBorders>
              <w:top w:val="nil"/>
              <w:left w:val="nil"/>
              <w:bottom w:val="nil"/>
              <w:right w:val="nil"/>
            </w:tcBorders>
            <w:shd w:val="clear" w:color="auto" w:fill="auto"/>
            <w:vAlign w:val="bottom"/>
          </w:tcPr>
          <w:p w14:paraId="49E4EED9" w14:textId="6881EDC2" w:rsidR="00481F7C" w:rsidRPr="00481F7C" w:rsidRDefault="00481F7C" w:rsidP="00481F7C">
            <w:pPr>
              <w:keepLines/>
              <w:tabs>
                <w:tab w:val="right" w:pos="1202"/>
              </w:tabs>
              <w:spacing w:after="0" w:line="240" w:lineRule="auto"/>
              <w:jc w:val="right"/>
              <w:outlineLvl w:val="0"/>
              <w:rPr>
                <w:rFonts w:ascii="Arial" w:eastAsia="Times New Roman" w:hAnsi="Arial" w:cs="Times New Roman"/>
                <w:sz w:val="19"/>
                <w:szCs w:val="19"/>
                <w:lang w:val="en-GB"/>
              </w:rPr>
            </w:pPr>
            <w:r w:rsidRPr="00481F7C">
              <w:rPr>
                <w:rFonts w:eastAsia="Times New Roman" w:cs="Times New Roman"/>
                <w:sz w:val="19"/>
                <w:szCs w:val="19"/>
                <w:lang w:val="en-GB"/>
              </w:rPr>
              <w:t>(2.585)</w:t>
            </w:r>
          </w:p>
        </w:tc>
      </w:tr>
      <w:tr w:rsidR="00481F7C" w:rsidRPr="00481F7C" w14:paraId="018BBA7B" w14:textId="77777777" w:rsidTr="00312975">
        <w:tc>
          <w:tcPr>
            <w:tcW w:w="3575" w:type="pct"/>
          </w:tcPr>
          <w:p w14:paraId="521E8FBD" w14:textId="77777777" w:rsidR="00481F7C" w:rsidRPr="00481F7C" w:rsidRDefault="00481F7C" w:rsidP="00481F7C">
            <w:pPr>
              <w:keepLines/>
              <w:tabs>
                <w:tab w:val="right" w:pos="1202"/>
              </w:tabs>
              <w:spacing w:after="0" w:line="240" w:lineRule="exact"/>
              <w:outlineLvl w:val="0"/>
              <w:rPr>
                <w:rFonts w:eastAsia="Times New Roman" w:cs="Arial"/>
                <w:i/>
                <w:iCs/>
                <w:sz w:val="19"/>
                <w:szCs w:val="19"/>
              </w:rPr>
            </w:pPr>
            <w:r w:rsidRPr="00481F7C">
              <w:rPr>
                <w:rFonts w:eastAsia="Times New Roman" w:cs="Arial"/>
                <w:i/>
                <w:iCs/>
                <w:sz w:val="19"/>
                <w:szCs w:val="19"/>
              </w:rPr>
              <w:t>Dobit iz poslovnih aktivnosti prije promjena radnog kapitala</w:t>
            </w:r>
          </w:p>
        </w:tc>
        <w:tc>
          <w:tcPr>
            <w:tcW w:w="723" w:type="pct"/>
            <w:tcBorders>
              <w:top w:val="nil"/>
              <w:left w:val="nil"/>
              <w:bottom w:val="nil"/>
              <w:right w:val="nil"/>
            </w:tcBorders>
            <w:shd w:val="clear" w:color="auto" w:fill="auto"/>
            <w:vAlign w:val="bottom"/>
          </w:tcPr>
          <w:p w14:paraId="797D3992" w14:textId="3B07B991" w:rsidR="00481F7C" w:rsidRPr="00481F7C" w:rsidRDefault="00F27B14" w:rsidP="00481F7C">
            <w:pPr>
              <w:keepLines/>
              <w:tabs>
                <w:tab w:val="right" w:pos="1202"/>
              </w:tabs>
              <w:spacing w:after="0" w:line="240" w:lineRule="auto"/>
              <w:jc w:val="right"/>
              <w:outlineLvl w:val="0"/>
              <w:rPr>
                <w:rFonts w:eastAsia="Times New Roman" w:cs="Times New Roman"/>
                <w:i/>
                <w:sz w:val="19"/>
                <w:szCs w:val="19"/>
              </w:rPr>
            </w:pPr>
            <w:r w:rsidRPr="00F27B14">
              <w:rPr>
                <w:rFonts w:eastAsia="Times New Roman" w:cs="Times New Roman"/>
                <w:i/>
                <w:sz w:val="19"/>
                <w:szCs w:val="19"/>
              </w:rPr>
              <w:t>104.621</w:t>
            </w:r>
          </w:p>
        </w:tc>
        <w:tc>
          <w:tcPr>
            <w:tcW w:w="702" w:type="pct"/>
            <w:tcBorders>
              <w:top w:val="nil"/>
              <w:left w:val="nil"/>
              <w:bottom w:val="nil"/>
              <w:right w:val="nil"/>
            </w:tcBorders>
            <w:shd w:val="clear" w:color="auto" w:fill="auto"/>
            <w:vAlign w:val="bottom"/>
          </w:tcPr>
          <w:p w14:paraId="5416962A" w14:textId="021DC629" w:rsidR="00481F7C" w:rsidRPr="00481F7C" w:rsidRDefault="00481F7C" w:rsidP="00481F7C">
            <w:pPr>
              <w:keepLines/>
              <w:tabs>
                <w:tab w:val="right" w:pos="1202"/>
              </w:tabs>
              <w:spacing w:after="0" w:line="240" w:lineRule="auto"/>
              <w:jc w:val="right"/>
              <w:outlineLvl w:val="0"/>
              <w:rPr>
                <w:rFonts w:ascii="Arial" w:eastAsia="Times New Roman" w:hAnsi="Arial" w:cs="Times New Roman"/>
                <w:i/>
                <w:sz w:val="19"/>
                <w:szCs w:val="19"/>
                <w:lang w:val="en-GB"/>
              </w:rPr>
            </w:pPr>
            <w:r w:rsidRPr="00481F7C">
              <w:rPr>
                <w:rFonts w:eastAsia="Times New Roman" w:cs="Times New Roman"/>
                <w:i/>
                <w:sz w:val="19"/>
                <w:szCs w:val="19"/>
              </w:rPr>
              <w:t>51.445</w:t>
            </w:r>
          </w:p>
        </w:tc>
      </w:tr>
      <w:tr w:rsidR="00481F7C" w:rsidRPr="00481F7C" w14:paraId="6F51CC72" w14:textId="77777777" w:rsidTr="00312975">
        <w:tc>
          <w:tcPr>
            <w:tcW w:w="3575" w:type="pct"/>
          </w:tcPr>
          <w:p w14:paraId="687D9F67" w14:textId="77777777" w:rsidR="00481F7C" w:rsidRPr="00481F7C" w:rsidRDefault="00481F7C" w:rsidP="00481F7C">
            <w:pPr>
              <w:keepLines/>
              <w:tabs>
                <w:tab w:val="right" w:pos="1202"/>
              </w:tabs>
              <w:spacing w:after="0" w:line="240" w:lineRule="exact"/>
              <w:outlineLvl w:val="0"/>
              <w:rPr>
                <w:rFonts w:eastAsia="Times New Roman" w:cs="Arial"/>
                <w:i/>
                <w:iCs/>
                <w:sz w:val="19"/>
                <w:szCs w:val="19"/>
              </w:rPr>
            </w:pPr>
            <w:r w:rsidRPr="00481F7C">
              <w:rPr>
                <w:rFonts w:eastAsia="Times New Roman" w:cs="Arial"/>
                <w:i/>
                <w:iCs/>
                <w:sz w:val="19"/>
                <w:szCs w:val="19"/>
              </w:rPr>
              <w:t>Promjene u poslovnim sredstvima i izvorima:</w:t>
            </w:r>
          </w:p>
        </w:tc>
        <w:tc>
          <w:tcPr>
            <w:tcW w:w="723" w:type="pct"/>
            <w:vAlign w:val="bottom"/>
          </w:tcPr>
          <w:p w14:paraId="36591E64" w14:textId="3BE258BC" w:rsidR="00481F7C" w:rsidRPr="00481F7C" w:rsidRDefault="00481F7C" w:rsidP="00481F7C">
            <w:pPr>
              <w:keepLines/>
              <w:spacing w:after="0" w:line="240" w:lineRule="exact"/>
              <w:jc w:val="right"/>
              <w:rPr>
                <w:rFonts w:eastAsia="Times New Roman" w:cs="Arial"/>
                <w:i/>
                <w:sz w:val="19"/>
                <w:szCs w:val="19"/>
              </w:rPr>
            </w:pPr>
          </w:p>
        </w:tc>
        <w:tc>
          <w:tcPr>
            <w:tcW w:w="702" w:type="pct"/>
            <w:vAlign w:val="bottom"/>
          </w:tcPr>
          <w:p w14:paraId="13EFBDD2" w14:textId="75730853" w:rsidR="00481F7C" w:rsidRPr="00481F7C" w:rsidRDefault="00481F7C" w:rsidP="00481F7C">
            <w:pPr>
              <w:keepLines/>
              <w:spacing w:after="0" w:line="240" w:lineRule="auto"/>
              <w:jc w:val="right"/>
              <w:rPr>
                <w:rFonts w:eastAsia="Times New Roman" w:cs="Arial"/>
                <w:i/>
                <w:sz w:val="19"/>
                <w:szCs w:val="19"/>
              </w:rPr>
            </w:pPr>
          </w:p>
        </w:tc>
      </w:tr>
      <w:tr w:rsidR="00481F7C" w:rsidRPr="00481F7C" w14:paraId="57C6E6A5" w14:textId="77777777" w:rsidTr="00312975">
        <w:tc>
          <w:tcPr>
            <w:tcW w:w="3575" w:type="pct"/>
          </w:tcPr>
          <w:p w14:paraId="301D233B" w14:textId="77777777" w:rsidR="00481F7C" w:rsidRPr="00481F7C" w:rsidRDefault="00481F7C" w:rsidP="00481F7C">
            <w:pPr>
              <w:keepLines/>
              <w:tabs>
                <w:tab w:val="right" w:pos="1202"/>
              </w:tabs>
              <w:spacing w:after="0" w:line="240" w:lineRule="exact"/>
              <w:outlineLvl w:val="0"/>
              <w:rPr>
                <w:rFonts w:eastAsia="Times New Roman" w:cs="Arial"/>
                <w:sz w:val="19"/>
                <w:szCs w:val="19"/>
              </w:rPr>
            </w:pPr>
            <w:r w:rsidRPr="00481F7C">
              <w:rPr>
                <w:rFonts w:eastAsia="Times New Roman" w:cs="Arial"/>
                <w:sz w:val="19"/>
                <w:szCs w:val="19"/>
              </w:rPr>
              <w:t>Neto smanjenje depozita kod drugih banaka, prije rezerviranja za moguće gubitke</w:t>
            </w:r>
          </w:p>
        </w:tc>
        <w:tc>
          <w:tcPr>
            <w:tcW w:w="723" w:type="pct"/>
            <w:tcBorders>
              <w:top w:val="nil"/>
              <w:left w:val="nil"/>
              <w:bottom w:val="nil"/>
              <w:right w:val="nil"/>
            </w:tcBorders>
            <w:shd w:val="clear" w:color="000000" w:fill="auto"/>
            <w:vAlign w:val="bottom"/>
          </w:tcPr>
          <w:p w14:paraId="68DD64F9" w14:textId="2856BDE1" w:rsidR="00481F7C" w:rsidRPr="00481F7C" w:rsidRDefault="00945830" w:rsidP="00481F7C">
            <w:pPr>
              <w:keepLines/>
              <w:tabs>
                <w:tab w:val="right" w:pos="1202"/>
              </w:tabs>
              <w:spacing w:after="0" w:line="240" w:lineRule="auto"/>
              <w:jc w:val="right"/>
              <w:outlineLvl w:val="0"/>
              <w:rPr>
                <w:rFonts w:eastAsia="Times New Roman" w:cs="Times New Roman"/>
                <w:sz w:val="19"/>
                <w:szCs w:val="19"/>
                <w:lang w:val="pl-PL"/>
              </w:rPr>
            </w:pPr>
            <w:r w:rsidRPr="00945830">
              <w:rPr>
                <w:rFonts w:eastAsia="Times New Roman" w:cs="Times New Roman"/>
                <w:sz w:val="19"/>
                <w:szCs w:val="19"/>
                <w:lang w:val="pl-PL"/>
              </w:rPr>
              <w:t>22.570</w:t>
            </w:r>
          </w:p>
        </w:tc>
        <w:tc>
          <w:tcPr>
            <w:tcW w:w="702" w:type="pct"/>
            <w:tcBorders>
              <w:top w:val="nil"/>
              <w:left w:val="nil"/>
              <w:bottom w:val="nil"/>
              <w:right w:val="nil"/>
            </w:tcBorders>
            <w:shd w:val="clear" w:color="000000" w:fill="auto"/>
            <w:vAlign w:val="bottom"/>
          </w:tcPr>
          <w:p w14:paraId="10779CCC" w14:textId="18700045" w:rsidR="00481F7C" w:rsidRPr="00481F7C" w:rsidRDefault="00481F7C" w:rsidP="00481F7C">
            <w:pPr>
              <w:keepLines/>
              <w:tabs>
                <w:tab w:val="right" w:pos="1202"/>
              </w:tabs>
              <w:spacing w:after="0" w:line="240" w:lineRule="auto"/>
              <w:jc w:val="right"/>
              <w:outlineLvl w:val="0"/>
              <w:rPr>
                <w:rFonts w:ascii="Arial" w:eastAsia="Times New Roman" w:hAnsi="Arial" w:cs="Times New Roman"/>
                <w:sz w:val="19"/>
                <w:szCs w:val="19"/>
                <w:lang w:val="pl-PL"/>
              </w:rPr>
            </w:pPr>
            <w:r w:rsidRPr="00481F7C">
              <w:rPr>
                <w:rFonts w:eastAsia="Times New Roman" w:cs="Times New Roman"/>
                <w:sz w:val="19"/>
                <w:szCs w:val="19"/>
                <w:lang w:val="pl-PL"/>
              </w:rPr>
              <w:t>194.210</w:t>
            </w:r>
          </w:p>
        </w:tc>
      </w:tr>
      <w:tr w:rsidR="00481F7C" w:rsidRPr="00481F7C" w14:paraId="1AF8104A" w14:textId="77777777" w:rsidTr="00312975">
        <w:tc>
          <w:tcPr>
            <w:tcW w:w="3575" w:type="pct"/>
          </w:tcPr>
          <w:p w14:paraId="048B2C0D" w14:textId="77777777" w:rsidR="00481F7C" w:rsidRPr="00481F7C" w:rsidRDefault="00481F7C" w:rsidP="00481F7C">
            <w:pPr>
              <w:keepLines/>
              <w:tabs>
                <w:tab w:val="right" w:pos="1202"/>
              </w:tabs>
              <w:spacing w:after="0" w:line="240" w:lineRule="exact"/>
              <w:outlineLvl w:val="0"/>
              <w:rPr>
                <w:rFonts w:eastAsia="Times New Roman" w:cs="Arial"/>
                <w:sz w:val="19"/>
                <w:szCs w:val="19"/>
              </w:rPr>
            </w:pPr>
            <w:r w:rsidRPr="00481F7C">
              <w:rPr>
                <w:rFonts w:eastAsia="Times New Roman" w:cs="Arial"/>
                <w:sz w:val="19"/>
                <w:szCs w:val="19"/>
              </w:rPr>
              <w:t>Neto smanjenje kredita financijskim institucijama, prije rezerviranja za moguće gubitke</w:t>
            </w:r>
          </w:p>
        </w:tc>
        <w:tc>
          <w:tcPr>
            <w:tcW w:w="723" w:type="pct"/>
            <w:tcBorders>
              <w:top w:val="nil"/>
              <w:left w:val="nil"/>
              <w:bottom w:val="nil"/>
              <w:right w:val="nil"/>
            </w:tcBorders>
            <w:shd w:val="clear" w:color="000000" w:fill="auto"/>
            <w:vAlign w:val="bottom"/>
          </w:tcPr>
          <w:p w14:paraId="6A25959C" w14:textId="307DEB96" w:rsidR="00481F7C" w:rsidRPr="00481F7C" w:rsidRDefault="00945830" w:rsidP="00481F7C">
            <w:pPr>
              <w:keepLines/>
              <w:tabs>
                <w:tab w:val="right" w:pos="1202"/>
              </w:tabs>
              <w:spacing w:after="0" w:line="240" w:lineRule="auto"/>
              <w:jc w:val="right"/>
              <w:outlineLvl w:val="0"/>
              <w:rPr>
                <w:rFonts w:eastAsia="Times New Roman" w:cs="Times New Roman"/>
                <w:sz w:val="19"/>
                <w:szCs w:val="19"/>
                <w:lang w:val="pl-PL"/>
              </w:rPr>
            </w:pPr>
            <w:r w:rsidRPr="00945830">
              <w:rPr>
                <w:rFonts w:eastAsia="Times New Roman" w:cs="Times New Roman"/>
                <w:sz w:val="19"/>
                <w:szCs w:val="19"/>
                <w:lang w:val="pl-PL"/>
              </w:rPr>
              <w:t>613.697</w:t>
            </w:r>
          </w:p>
        </w:tc>
        <w:tc>
          <w:tcPr>
            <w:tcW w:w="702" w:type="pct"/>
            <w:tcBorders>
              <w:top w:val="nil"/>
              <w:left w:val="nil"/>
              <w:bottom w:val="nil"/>
              <w:right w:val="nil"/>
            </w:tcBorders>
            <w:shd w:val="clear" w:color="000000" w:fill="auto"/>
            <w:vAlign w:val="bottom"/>
          </w:tcPr>
          <w:p w14:paraId="3EE965ED" w14:textId="4122632E" w:rsidR="00481F7C" w:rsidRPr="00481F7C" w:rsidRDefault="00481F7C" w:rsidP="00481F7C">
            <w:pPr>
              <w:keepLines/>
              <w:tabs>
                <w:tab w:val="right" w:pos="1202"/>
              </w:tabs>
              <w:spacing w:after="0" w:line="240" w:lineRule="auto"/>
              <w:jc w:val="right"/>
              <w:outlineLvl w:val="0"/>
              <w:rPr>
                <w:rFonts w:ascii="Arial" w:eastAsia="Times New Roman" w:hAnsi="Arial" w:cs="Times New Roman"/>
                <w:sz w:val="19"/>
                <w:szCs w:val="19"/>
                <w:lang w:val="pl-PL"/>
              </w:rPr>
            </w:pPr>
            <w:r w:rsidRPr="00481F7C">
              <w:rPr>
                <w:rFonts w:eastAsia="Times New Roman" w:cs="Times New Roman"/>
                <w:sz w:val="19"/>
                <w:szCs w:val="19"/>
                <w:lang w:val="pl-PL"/>
              </w:rPr>
              <w:t>618.062</w:t>
            </w:r>
          </w:p>
        </w:tc>
      </w:tr>
      <w:tr w:rsidR="00481F7C" w:rsidRPr="00481F7C" w14:paraId="402A3547" w14:textId="77777777" w:rsidTr="00312975">
        <w:tc>
          <w:tcPr>
            <w:tcW w:w="3575" w:type="pct"/>
          </w:tcPr>
          <w:p w14:paraId="39959C88" w14:textId="77777777" w:rsidR="00481F7C" w:rsidRPr="00481F7C" w:rsidRDefault="00481F7C" w:rsidP="00481F7C">
            <w:pPr>
              <w:keepLines/>
              <w:tabs>
                <w:tab w:val="right" w:pos="1202"/>
              </w:tabs>
              <w:spacing w:after="0" w:line="240" w:lineRule="exact"/>
              <w:outlineLvl w:val="0"/>
              <w:rPr>
                <w:rFonts w:eastAsia="Times New Roman" w:cs="Arial"/>
                <w:sz w:val="19"/>
                <w:szCs w:val="19"/>
              </w:rPr>
            </w:pPr>
            <w:r w:rsidRPr="00481F7C">
              <w:rPr>
                <w:rFonts w:eastAsia="Times New Roman" w:cs="Arial"/>
                <w:sz w:val="19"/>
                <w:szCs w:val="19"/>
              </w:rPr>
              <w:t>Neto (povećanje) kredita ostalim korisnicima, prije rezerviranja za moguće gubitke</w:t>
            </w:r>
          </w:p>
        </w:tc>
        <w:tc>
          <w:tcPr>
            <w:tcW w:w="723" w:type="pct"/>
            <w:tcBorders>
              <w:top w:val="nil"/>
              <w:left w:val="nil"/>
              <w:bottom w:val="nil"/>
              <w:right w:val="nil"/>
            </w:tcBorders>
            <w:shd w:val="clear" w:color="000000" w:fill="auto"/>
            <w:vAlign w:val="bottom"/>
          </w:tcPr>
          <w:p w14:paraId="3BA2E958" w14:textId="52A8421E" w:rsidR="00481F7C" w:rsidRPr="00481F7C" w:rsidRDefault="00945830" w:rsidP="00481F7C">
            <w:pPr>
              <w:keepLines/>
              <w:tabs>
                <w:tab w:val="right" w:pos="1202"/>
              </w:tabs>
              <w:spacing w:after="0" w:line="240" w:lineRule="auto"/>
              <w:jc w:val="right"/>
              <w:outlineLvl w:val="0"/>
              <w:rPr>
                <w:rFonts w:eastAsia="Times New Roman" w:cs="Times New Roman"/>
                <w:sz w:val="19"/>
                <w:szCs w:val="19"/>
                <w:lang w:val="pl-PL"/>
              </w:rPr>
            </w:pPr>
            <w:r w:rsidRPr="00945830">
              <w:rPr>
                <w:rFonts w:eastAsia="Times New Roman" w:cs="Times New Roman"/>
                <w:sz w:val="19"/>
                <w:szCs w:val="19"/>
                <w:lang w:val="pl-PL"/>
              </w:rPr>
              <w:t>(246.516)</w:t>
            </w:r>
          </w:p>
        </w:tc>
        <w:tc>
          <w:tcPr>
            <w:tcW w:w="702" w:type="pct"/>
            <w:tcBorders>
              <w:top w:val="nil"/>
              <w:left w:val="nil"/>
              <w:bottom w:val="nil"/>
              <w:right w:val="nil"/>
            </w:tcBorders>
            <w:shd w:val="clear" w:color="000000" w:fill="auto"/>
            <w:vAlign w:val="bottom"/>
          </w:tcPr>
          <w:p w14:paraId="73DEA9EF" w14:textId="451FA24E" w:rsidR="00481F7C" w:rsidRPr="00481F7C" w:rsidRDefault="00481F7C" w:rsidP="00481F7C">
            <w:pPr>
              <w:keepLines/>
              <w:tabs>
                <w:tab w:val="right" w:pos="1202"/>
              </w:tabs>
              <w:spacing w:after="0" w:line="240" w:lineRule="auto"/>
              <w:jc w:val="right"/>
              <w:outlineLvl w:val="0"/>
              <w:rPr>
                <w:rFonts w:ascii="Arial" w:eastAsia="Times New Roman" w:hAnsi="Arial" w:cs="Times New Roman"/>
                <w:sz w:val="19"/>
                <w:szCs w:val="19"/>
                <w:lang w:val="pl-PL"/>
              </w:rPr>
            </w:pPr>
            <w:r w:rsidRPr="00481F7C">
              <w:rPr>
                <w:rFonts w:eastAsia="Times New Roman" w:cs="Times New Roman"/>
                <w:sz w:val="19"/>
                <w:szCs w:val="19"/>
                <w:lang w:val="pl-PL"/>
              </w:rPr>
              <w:t>(758.554)</w:t>
            </w:r>
          </w:p>
        </w:tc>
      </w:tr>
      <w:tr w:rsidR="00481F7C" w:rsidRPr="00481F7C" w14:paraId="2BEB21ED" w14:textId="77777777" w:rsidTr="00312975">
        <w:tc>
          <w:tcPr>
            <w:tcW w:w="3575" w:type="pct"/>
          </w:tcPr>
          <w:p w14:paraId="2E4ABD96" w14:textId="3679A6C2" w:rsidR="00481F7C" w:rsidRPr="00481F7C" w:rsidRDefault="00481F7C" w:rsidP="00481F7C">
            <w:pPr>
              <w:keepLines/>
              <w:tabs>
                <w:tab w:val="right" w:pos="1202"/>
              </w:tabs>
              <w:spacing w:after="0" w:line="240" w:lineRule="exact"/>
              <w:outlineLvl w:val="0"/>
              <w:rPr>
                <w:rFonts w:eastAsia="Times New Roman" w:cs="Arial"/>
                <w:sz w:val="19"/>
                <w:szCs w:val="19"/>
              </w:rPr>
            </w:pPr>
            <w:r w:rsidRPr="00481F7C">
              <w:rPr>
                <w:rFonts w:eastAsia="Times New Roman" w:cs="Arial"/>
                <w:sz w:val="19"/>
                <w:szCs w:val="19"/>
              </w:rPr>
              <w:t>Neto realizirani (dobitak) od aktivnosti imovine raspoložive za prodaju</w:t>
            </w:r>
          </w:p>
        </w:tc>
        <w:tc>
          <w:tcPr>
            <w:tcW w:w="723" w:type="pct"/>
            <w:tcBorders>
              <w:top w:val="nil"/>
              <w:left w:val="nil"/>
              <w:right w:val="nil"/>
            </w:tcBorders>
            <w:shd w:val="clear" w:color="auto" w:fill="auto"/>
            <w:vAlign w:val="bottom"/>
          </w:tcPr>
          <w:p w14:paraId="0457E057" w14:textId="6C1DF8CB" w:rsidR="00481F7C" w:rsidRPr="00481F7C" w:rsidRDefault="00945830" w:rsidP="00481F7C">
            <w:pPr>
              <w:keepLines/>
              <w:tabs>
                <w:tab w:val="right" w:pos="1202"/>
              </w:tabs>
              <w:spacing w:after="0" w:line="240" w:lineRule="auto"/>
              <w:jc w:val="right"/>
              <w:outlineLvl w:val="0"/>
              <w:rPr>
                <w:rFonts w:eastAsia="Times New Roman" w:cs="Times New Roman"/>
                <w:sz w:val="19"/>
                <w:szCs w:val="19"/>
                <w:lang w:val="pl-PL"/>
              </w:rPr>
            </w:pPr>
            <w:r w:rsidRPr="00945830">
              <w:rPr>
                <w:rFonts w:eastAsia="Times New Roman" w:cs="Times New Roman"/>
                <w:sz w:val="19"/>
                <w:szCs w:val="19"/>
                <w:lang w:val="pl-PL"/>
              </w:rPr>
              <w:t>(1.616)</w:t>
            </w:r>
          </w:p>
        </w:tc>
        <w:tc>
          <w:tcPr>
            <w:tcW w:w="702" w:type="pct"/>
            <w:tcBorders>
              <w:top w:val="nil"/>
              <w:left w:val="nil"/>
              <w:right w:val="nil"/>
            </w:tcBorders>
            <w:shd w:val="clear" w:color="auto" w:fill="auto"/>
            <w:vAlign w:val="bottom"/>
          </w:tcPr>
          <w:p w14:paraId="3A46099A" w14:textId="18178AEF" w:rsidR="00481F7C" w:rsidRPr="00481F7C" w:rsidRDefault="00481F7C" w:rsidP="00481F7C">
            <w:pPr>
              <w:keepLines/>
              <w:tabs>
                <w:tab w:val="right" w:pos="1202"/>
              </w:tabs>
              <w:spacing w:after="0" w:line="240" w:lineRule="auto"/>
              <w:jc w:val="right"/>
              <w:outlineLvl w:val="0"/>
              <w:rPr>
                <w:rFonts w:ascii="Arial" w:eastAsia="Times New Roman" w:hAnsi="Arial" w:cs="Times New Roman"/>
                <w:sz w:val="19"/>
                <w:szCs w:val="19"/>
                <w:lang w:val="pl-PL"/>
              </w:rPr>
            </w:pPr>
            <w:r w:rsidRPr="00481F7C">
              <w:rPr>
                <w:rFonts w:eastAsia="Times New Roman" w:cs="Times New Roman"/>
                <w:sz w:val="19"/>
                <w:szCs w:val="19"/>
                <w:lang w:val="pl-PL"/>
              </w:rPr>
              <w:t>(90)</w:t>
            </w:r>
          </w:p>
        </w:tc>
      </w:tr>
      <w:tr w:rsidR="00481F7C" w:rsidRPr="00481F7C" w14:paraId="5F0A59C5" w14:textId="77777777" w:rsidTr="00312975">
        <w:tc>
          <w:tcPr>
            <w:tcW w:w="3575" w:type="pct"/>
            <w:vAlign w:val="bottom"/>
          </w:tcPr>
          <w:p w14:paraId="768157C9" w14:textId="40A423BB" w:rsidR="00481F7C" w:rsidRPr="00481F7C" w:rsidRDefault="004C34CC" w:rsidP="00481F7C">
            <w:pPr>
              <w:keepLines/>
              <w:tabs>
                <w:tab w:val="right" w:pos="1202"/>
              </w:tabs>
              <w:spacing w:after="0" w:line="240" w:lineRule="exact"/>
              <w:outlineLvl w:val="0"/>
              <w:rPr>
                <w:rFonts w:eastAsia="Times New Roman" w:cs="Arial"/>
                <w:sz w:val="19"/>
                <w:szCs w:val="19"/>
              </w:rPr>
            </w:pPr>
            <w:r>
              <w:rPr>
                <w:rFonts w:eastAsia="Times New Roman" w:cs="Arial"/>
                <w:sz w:val="19"/>
                <w:szCs w:val="19"/>
              </w:rPr>
              <w:t>Smanjenje/</w:t>
            </w:r>
            <w:r w:rsidRPr="000601E2">
              <w:rPr>
                <w:rFonts w:eastAsia="Times New Roman" w:cs="Arial"/>
                <w:sz w:val="19"/>
                <w:szCs w:val="19"/>
              </w:rPr>
              <w:t>(</w:t>
            </w:r>
            <w:r>
              <w:rPr>
                <w:rFonts w:eastAsia="Times New Roman" w:cs="Arial"/>
                <w:sz w:val="19"/>
                <w:szCs w:val="19"/>
              </w:rPr>
              <w:t>p</w:t>
            </w:r>
            <w:r w:rsidRPr="000601E2">
              <w:rPr>
                <w:rFonts w:eastAsia="Times New Roman" w:cs="Arial"/>
                <w:sz w:val="19"/>
                <w:szCs w:val="19"/>
              </w:rPr>
              <w:t>ovećanje) d</w:t>
            </w:r>
            <w:r w:rsidR="00481F7C" w:rsidRPr="00481F7C">
              <w:rPr>
                <w:rFonts w:eastAsia="Times New Roman" w:cs="Arial"/>
                <w:sz w:val="19"/>
                <w:szCs w:val="19"/>
              </w:rPr>
              <w:t>iskonta po imovini raspoloživoj za prodaju i izdanim dugoročnim vrijednosnim papirima</w:t>
            </w:r>
          </w:p>
        </w:tc>
        <w:tc>
          <w:tcPr>
            <w:tcW w:w="723" w:type="pct"/>
            <w:tcBorders>
              <w:top w:val="nil"/>
              <w:left w:val="nil"/>
              <w:right w:val="nil"/>
            </w:tcBorders>
            <w:shd w:val="clear" w:color="000000" w:fill="auto"/>
            <w:vAlign w:val="bottom"/>
          </w:tcPr>
          <w:p w14:paraId="5B11C04A" w14:textId="788E937F" w:rsidR="00481F7C" w:rsidRPr="00481F7C" w:rsidRDefault="00945830" w:rsidP="00481F7C">
            <w:pPr>
              <w:keepLines/>
              <w:tabs>
                <w:tab w:val="right" w:pos="1202"/>
              </w:tabs>
              <w:spacing w:after="0" w:line="240" w:lineRule="auto"/>
              <w:jc w:val="right"/>
              <w:outlineLvl w:val="0"/>
              <w:rPr>
                <w:rFonts w:eastAsia="Times New Roman" w:cs="Times New Roman"/>
                <w:sz w:val="19"/>
                <w:szCs w:val="19"/>
                <w:lang w:val="pl-PL"/>
              </w:rPr>
            </w:pPr>
            <w:r w:rsidRPr="00945830">
              <w:rPr>
                <w:rFonts w:eastAsia="Times New Roman" w:cs="Times New Roman"/>
                <w:sz w:val="19"/>
                <w:szCs w:val="19"/>
                <w:lang w:val="pl-PL"/>
              </w:rPr>
              <w:t>859</w:t>
            </w:r>
          </w:p>
        </w:tc>
        <w:tc>
          <w:tcPr>
            <w:tcW w:w="702" w:type="pct"/>
            <w:tcBorders>
              <w:top w:val="nil"/>
              <w:left w:val="nil"/>
              <w:right w:val="nil"/>
            </w:tcBorders>
            <w:shd w:val="clear" w:color="000000" w:fill="auto"/>
            <w:vAlign w:val="bottom"/>
          </w:tcPr>
          <w:p w14:paraId="530AC3E7" w14:textId="71881FD0" w:rsidR="00481F7C" w:rsidRPr="00481F7C" w:rsidRDefault="00481F7C" w:rsidP="00481F7C">
            <w:pPr>
              <w:keepLines/>
              <w:tabs>
                <w:tab w:val="right" w:pos="1202"/>
              </w:tabs>
              <w:spacing w:after="0" w:line="240" w:lineRule="auto"/>
              <w:jc w:val="right"/>
              <w:outlineLvl w:val="0"/>
              <w:rPr>
                <w:rFonts w:ascii="Arial" w:eastAsia="Times New Roman" w:hAnsi="Arial" w:cs="Times New Roman"/>
                <w:sz w:val="19"/>
                <w:szCs w:val="19"/>
                <w:lang w:val="pl-PL"/>
              </w:rPr>
            </w:pPr>
            <w:r w:rsidRPr="00481F7C">
              <w:rPr>
                <w:rFonts w:eastAsia="Times New Roman" w:cs="Times New Roman"/>
                <w:sz w:val="19"/>
                <w:szCs w:val="19"/>
                <w:lang w:val="pl-PL"/>
              </w:rPr>
              <w:t>(1.260)</w:t>
            </w:r>
          </w:p>
        </w:tc>
      </w:tr>
      <w:tr w:rsidR="00481F7C" w:rsidRPr="00481F7C" w14:paraId="150A5467" w14:textId="77777777" w:rsidTr="00312975">
        <w:tc>
          <w:tcPr>
            <w:tcW w:w="3575" w:type="pct"/>
            <w:vAlign w:val="bottom"/>
          </w:tcPr>
          <w:p w14:paraId="2B22C724" w14:textId="7576E635" w:rsidR="00481F7C" w:rsidRPr="00481F7C" w:rsidRDefault="00481F7C" w:rsidP="00481F7C">
            <w:pPr>
              <w:keepLines/>
              <w:tabs>
                <w:tab w:val="right" w:pos="1202"/>
              </w:tabs>
              <w:spacing w:after="0" w:line="240" w:lineRule="exact"/>
              <w:outlineLvl w:val="0"/>
              <w:rPr>
                <w:rFonts w:eastAsia="Times New Roman" w:cs="Arial"/>
                <w:sz w:val="19"/>
                <w:szCs w:val="19"/>
              </w:rPr>
            </w:pPr>
            <w:r w:rsidRPr="00481F7C">
              <w:rPr>
                <w:rFonts w:eastAsia="Times New Roman" w:cs="Arial"/>
                <w:sz w:val="19"/>
                <w:szCs w:val="19"/>
              </w:rPr>
              <w:t>Neto (</w:t>
            </w:r>
            <w:r w:rsidR="00FE2167" w:rsidRPr="00FE2167">
              <w:rPr>
                <w:rFonts w:eastAsia="Times New Roman" w:cs="Arial"/>
                <w:sz w:val="19"/>
                <w:szCs w:val="19"/>
              </w:rPr>
              <w:t>smanjenje</w:t>
            </w:r>
            <w:r w:rsidRPr="00481F7C">
              <w:rPr>
                <w:rFonts w:eastAsia="Times New Roman" w:cs="Arial"/>
                <w:sz w:val="19"/>
                <w:szCs w:val="19"/>
              </w:rPr>
              <w:t>)</w:t>
            </w:r>
            <w:r w:rsidR="0075177B">
              <w:rPr>
                <w:rFonts w:eastAsia="Times New Roman" w:cs="Arial"/>
                <w:sz w:val="19"/>
                <w:szCs w:val="19"/>
              </w:rPr>
              <w:t>/povećanje</w:t>
            </w:r>
            <w:r w:rsidRPr="00481F7C">
              <w:rPr>
                <w:rFonts w:eastAsia="Times New Roman" w:cs="Arial"/>
                <w:sz w:val="19"/>
                <w:szCs w:val="19"/>
              </w:rPr>
              <w:t xml:space="preserve"> dugotrajne imovine namijenjene prodaji</w:t>
            </w:r>
          </w:p>
        </w:tc>
        <w:tc>
          <w:tcPr>
            <w:tcW w:w="723" w:type="pct"/>
            <w:tcBorders>
              <w:top w:val="nil"/>
              <w:left w:val="nil"/>
              <w:bottom w:val="nil"/>
              <w:right w:val="nil"/>
            </w:tcBorders>
            <w:shd w:val="clear" w:color="000000" w:fill="auto"/>
            <w:vAlign w:val="bottom"/>
          </w:tcPr>
          <w:p w14:paraId="703E6B1E" w14:textId="318DCFB1" w:rsidR="00481F7C" w:rsidRPr="00481F7C" w:rsidRDefault="00945830" w:rsidP="00481F7C">
            <w:pPr>
              <w:keepLines/>
              <w:tabs>
                <w:tab w:val="right" w:pos="1202"/>
              </w:tabs>
              <w:spacing w:after="0" w:line="240" w:lineRule="auto"/>
              <w:jc w:val="right"/>
              <w:outlineLvl w:val="0"/>
              <w:rPr>
                <w:rFonts w:eastAsia="Times New Roman" w:cs="Times New Roman"/>
                <w:sz w:val="19"/>
                <w:szCs w:val="19"/>
                <w:lang w:val="pl-PL"/>
              </w:rPr>
            </w:pPr>
            <w:r w:rsidRPr="00945830">
              <w:rPr>
                <w:rFonts w:eastAsia="Times New Roman" w:cs="Times New Roman"/>
                <w:sz w:val="19"/>
                <w:szCs w:val="19"/>
                <w:lang w:val="pl-PL"/>
              </w:rPr>
              <w:t>212</w:t>
            </w:r>
          </w:p>
        </w:tc>
        <w:tc>
          <w:tcPr>
            <w:tcW w:w="702" w:type="pct"/>
            <w:tcBorders>
              <w:top w:val="nil"/>
              <w:left w:val="nil"/>
              <w:bottom w:val="nil"/>
              <w:right w:val="nil"/>
            </w:tcBorders>
            <w:shd w:val="clear" w:color="000000" w:fill="auto"/>
            <w:vAlign w:val="bottom"/>
          </w:tcPr>
          <w:p w14:paraId="25A06333" w14:textId="4B587297" w:rsidR="00481F7C" w:rsidRPr="00481F7C" w:rsidRDefault="00481F7C" w:rsidP="00481F7C">
            <w:pPr>
              <w:keepLines/>
              <w:tabs>
                <w:tab w:val="right" w:pos="1202"/>
              </w:tabs>
              <w:spacing w:after="0" w:line="240" w:lineRule="auto"/>
              <w:jc w:val="right"/>
              <w:outlineLvl w:val="0"/>
              <w:rPr>
                <w:rFonts w:ascii="Arial" w:eastAsia="Times New Roman" w:hAnsi="Arial" w:cs="Times New Roman"/>
                <w:sz w:val="19"/>
                <w:szCs w:val="19"/>
                <w:lang w:val="pl-PL"/>
              </w:rPr>
            </w:pPr>
            <w:r w:rsidRPr="00481F7C">
              <w:rPr>
                <w:rFonts w:eastAsia="Times New Roman" w:cs="Times New Roman"/>
                <w:sz w:val="19"/>
                <w:szCs w:val="19"/>
                <w:lang w:val="pl-PL"/>
              </w:rPr>
              <w:t>(15)</w:t>
            </w:r>
          </w:p>
        </w:tc>
      </w:tr>
      <w:tr w:rsidR="00481F7C" w:rsidRPr="00481F7C" w14:paraId="4964C815" w14:textId="77777777" w:rsidTr="00312975">
        <w:tc>
          <w:tcPr>
            <w:tcW w:w="3575" w:type="pct"/>
          </w:tcPr>
          <w:p w14:paraId="4854A1B9" w14:textId="77777777" w:rsidR="00481F7C" w:rsidRPr="00481F7C" w:rsidRDefault="00481F7C" w:rsidP="00481F7C">
            <w:pPr>
              <w:keepLines/>
              <w:tabs>
                <w:tab w:val="right" w:pos="1202"/>
              </w:tabs>
              <w:spacing w:after="0" w:line="240" w:lineRule="exact"/>
              <w:outlineLvl w:val="0"/>
              <w:rPr>
                <w:rFonts w:eastAsia="Times New Roman" w:cs="Arial"/>
                <w:sz w:val="19"/>
                <w:szCs w:val="19"/>
              </w:rPr>
            </w:pPr>
            <w:r w:rsidRPr="00481F7C">
              <w:rPr>
                <w:rFonts w:eastAsia="Times New Roman" w:cs="Arial"/>
                <w:sz w:val="19"/>
                <w:szCs w:val="19"/>
              </w:rPr>
              <w:t>Neto (povećanje) ostale imovine, prije rezerviranja za moguće gubitke</w:t>
            </w:r>
          </w:p>
        </w:tc>
        <w:tc>
          <w:tcPr>
            <w:tcW w:w="723" w:type="pct"/>
            <w:tcBorders>
              <w:top w:val="nil"/>
              <w:left w:val="nil"/>
              <w:bottom w:val="nil"/>
              <w:right w:val="nil"/>
            </w:tcBorders>
            <w:shd w:val="clear" w:color="000000" w:fill="auto"/>
            <w:vAlign w:val="bottom"/>
          </w:tcPr>
          <w:p w14:paraId="71CD19C9" w14:textId="7744D45B" w:rsidR="00481F7C" w:rsidRPr="00481F7C" w:rsidRDefault="00945830" w:rsidP="00481F7C">
            <w:pPr>
              <w:keepLines/>
              <w:tabs>
                <w:tab w:val="right" w:pos="1202"/>
              </w:tabs>
              <w:spacing w:after="0" w:line="240" w:lineRule="auto"/>
              <w:jc w:val="right"/>
              <w:outlineLvl w:val="0"/>
              <w:rPr>
                <w:rFonts w:eastAsia="Times New Roman" w:cs="Times New Roman"/>
                <w:sz w:val="19"/>
                <w:szCs w:val="19"/>
                <w:lang w:val="pl-PL"/>
              </w:rPr>
            </w:pPr>
            <w:r w:rsidRPr="00945830">
              <w:rPr>
                <w:rFonts w:eastAsia="Times New Roman" w:cs="Times New Roman"/>
                <w:sz w:val="19"/>
                <w:szCs w:val="19"/>
                <w:lang w:val="pl-PL"/>
              </w:rPr>
              <w:t>(2.187)</w:t>
            </w:r>
          </w:p>
        </w:tc>
        <w:tc>
          <w:tcPr>
            <w:tcW w:w="702" w:type="pct"/>
            <w:tcBorders>
              <w:top w:val="nil"/>
              <w:left w:val="nil"/>
              <w:bottom w:val="nil"/>
              <w:right w:val="nil"/>
            </w:tcBorders>
            <w:shd w:val="clear" w:color="000000" w:fill="auto"/>
            <w:vAlign w:val="bottom"/>
          </w:tcPr>
          <w:p w14:paraId="64631D38" w14:textId="3CD3BD12" w:rsidR="00481F7C" w:rsidRPr="00481F7C" w:rsidRDefault="00481F7C" w:rsidP="00481F7C">
            <w:pPr>
              <w:keepLines/>
              <w:tabs>
                <w:tab w:val="right" w:pos="1202"/>
              </w:tabs>
              <w:spacing w:after="0" w:line="240" w:lineRule="auto"/>
              <w:jc w:val="right"/>
              <w:outlineLvl w:val="0"/>
              <w:rPr>
                <w:rFonts w:ascii="Arial" w:eastAsia="Times New Roman" w:hAnsi="Arial" w:cs="Times New Roman"/>
                <w:sz w:val="19"/>
                <w:szCs w:val="19"/>
                <w:lang w:val="pl-PL"/>
              </w:rPr>
            </w:pPr>
            <w:r w:rsidRPr="00481F7C">
              <w:rPr>
                <w:rFonts w:eastAsia="Times New Roman" w:cs="Times New Roman"/>
                <w:sz w:val="19"/>
                <w:szCs w:val="19"/>
                <w:lang w:val="pl-PL"/>
              </w:rPr>
              <w:t>(2.308)</w:t>
            </w:r>
          </w:p>
        </w:tc>
      </w:tr>
      <w:tr w:rsidR="00481F7C" w:rsidRPr="00481F7C" w14:paraId="4CA8ED7F" w14:textId="77777777" w:rsidTr="00312975">
        <w:tc>
          <w:tcPr>
            <w:tcW w:w="3575" w:type="pct"/>
          </w:tcPr>
          <w:p w14:paraId="3A5CA632" w14:textId="6D6A867F" w:rsidR="00481F7C" w:rsidRPr="00481F7C" w:rsidRDefault="00481F7C" w:rsidP="00481F7C">
            <w:pPr>
              <w:keepLines/>
              <w:tabs>
                <w:tab w:val="right" w:pos="1202"/>
              </w:tabs>
              <w:spacing w:after="0" w:line="240" w:lineRule="exact"/>
              <w:outlineLvl w:val="0"/>
              <w:rPr>
                <w:rFonts w:eastAsia="Times New Roman" w:cs="Arial"/>
                <w:sz w:val="19"/>
                <w:szCs w:val="19"/>
              </w:rPr>
            </w:pPr>
            <w:r w:rsidRPr="00481F7C">
              <w:rPr>
                <w:rFonts w:eastAsia="Times New Roman" w:cs="Arial"/>
                <w:sz w:val="19"/>
                <w:szCs w:val="19"/>
              </w:rPr>
              <w:t xml:space="preserve">Neto </w:t>
            </w:r>
            <w:r w:rsidR="004C34CC">
              <w:rPr>
                <w:rFonts w:eastAsia="Times New Roman" w:cs="Arial"/>
                <w:sz w:val="19"/>
                <w:szCs w:val="19"/>
              </w:rPr>
              <w:t>po</w:t>
            </w:r>
            <w:r w:rsidRPr="00481F7C">
              <w:rPr>
                <w:rFonts w:eastAsia="Times New Roman" w:cs="Arial"/>
                <w:sz w:val="19"/>
                <w:szCs w:val="19"/>
              </w:rPr>
              <w:t>većanje</w:t>
            </w:r>
            <w:r w:rsidR="00FE2167">
              <w:rPr>
                <w:rFonts w:eastAsia="Times New Roman" w:cs="Arial"/>
                <w:sz w:val="19"/>
                <w:szCs w:val="19"/>
              </w:rPr>
              <w:t>)</w:t>
            </w:r>
            <w:r w:rsidR="004C34CC">
              <w:rPr>
                <w:rFonts w:eastAsia="Times New Roman" w:cs="Arial"/>
                <w:sz w:val="19"/>
                <w:szCs w:val="19"/>
              </w:rPr>
              <w:t xml:space="preserve"> d</w:t>
            </w:r>
            <w:r w:rsidRPr="00481F7C">
              <w:rPr>
                <w:rFonts w:eastAsia="Times New Roman" w:cs="Arial"/>
                <w:sz w:val="19"/>
                <w:szCs w:val="19"/>
              </w:rPr>
              <w:t>epozita banaka i trgovačkih društava</w:t>
            </w:r>
          </w:p>
        </w:tc>
        <w:tc>
          <w:tcPr>
            <w:tcW w:w="723" w:type="pct"/>
            <w:tcBorders>
              <w:top w:val="nil"/>
              <w:left w:val="nil"/>
              <w:bottom w:val="nil"/>
              <w:right w:val="nil"/>
            </w:tcBorders>
            <w:shd w:val="clear" w:color="000000" w:fill="auto"/>
            <w:vAlign w:val="bottom"/>
          </w:tcPr>
          <w:p w14:paraId="0F609A78" w14:textId="16186993" w:rsidR="00481F7C" w:rsidRPr="00481F7C" w:rsidRDefault="00945830" w:rsidP="00481F7C">
            <w:pPr>
              <w:keepLines/>
              <w:tabs>
                <w:tab w:val="right" w:pos="1202"/>
              </w:tabs>
              <w:spacing w:after="0" w:line="240" w:lineRule="auto"/>
              <w:jc w:val="right"/>
              <w:outlineLvl w:val="0"/>
              <w:rPr>
                <w:rFonts w:eastAsia="Times New Roman" w:cs="Times New Roman"/>
                <w:sz w:val="19"/>
                <w:szCs w:val="19"/>
                <w:lang w:val="pl-PL"/>
              </w:rPr>
            </w:pPr>
            <w:r w:rsidRPr="00945830">
              <w:rPr>
                <w:rFonts w:eastAsia="Times New Roman" w:cs="Times New Roman"/>
                <w:sz w:val="19"/>
                <w:szCs w:val="19"/>
                <w:lang w:val="pl-PL"/>
              </w:rPr>
              <w:t>338.134</w:t>
            </w:r>
          </w:p>
        </w:tc>
        <w:tc>
          <w:tcPr>
            <w:tcW w:w="702" w:type="pct"/>
            <w:tcBorders>
              <w:top w:val="nil"/>
              <w:left w:val="nil"/>
              <w:bottom w:val="nil"/>
              <w:right w:val="nil"/>
            </w:tcBorders>
            <w:shd w:val="clear" w:color="000000" w:fill="auto"/>
            <w:vAlign w:val="bottom"/>
          </w:tcPr>
          <w:p w14:paraId="081299F4" w14:textId="55C4C23F" w:rsidR="00481F7C" w:rsidRPr="00481F7C" w:rsidRDefault="00481F7C" w:rsidP="00481F7C">
            <w:pPr>
              <w:keepLines/>
              <w:tabs>
                <w:tab w:val="right" w:pos="1202"/>
              </w:tabs>
              <w:spacing w:after="0" w:line="240" w:lineRule="auto"/>
              <w:jc w:val="right"/>
              <w:outlineLvl w:val="0"/>
              <w:rPr>
                <w:rFonts w:ascii="Arial" w:eastAsia="Times New Roman" w:hAnsi="Arial" w:cs="Times New Roman"/>
                <w:sz w:val="19"/>
                <w:szCs w:val="19"/>
                <w:lang w:val="pl-PL"/>
              </w:rPr>
            </w:pPr>
            <w:r w:rsidRPr="00481F7C">
              <w:rPr>
                <w:rFonts w:eastAsia="Times New Roman" w:cs="Times New Roman"/>
                <w:sz w:val="19"/>
                <w:szCs w:val="19"/>
                <w:lang w:val="pl-PL"/>
              </w:rPr>
              <w:t>49.508</w:t>
            </w:r>
          </w:p>
        </w:tc>
      </w:tr>
      <w:tr w:rsidR="00481F7C" w:rsidRPr="00481F7C" w14:paraId="332D768F" w14:textId="77777777" w:rsidTr="00312975">
        <w:tc>
          <w:tcPr>
            <w:tcW w:w="3575" w:type="pct"/>
          </w:tcPr>
          <w:p w14:paraId="07AC0266" w14:textId="77777777" w:rsidR="00481F7C" w:rsidRPr="00481F7C" w:rsidRDefault="00481F7C" w:rsidP="00481F7C">
            <w:pPr>
              <w:keepLines/>
              <w:tabs>
                <w:tab w:val="right" w:pos="1202"/>
              </w:tabs>
              <w:spacing w:after="0" w:line="240" w:lineRule="exact"/>
              <w:outlineLvl w:val="0"/>
              <w:rPr>
                <w:rFonts w:eastAsia="Times New Roman" w:cs="Arial"/>
                <w:spacing w:val="-2"/>
                <w:sz w:val="19"/>
                <w:szCs w:val="19"/>
              </w:rPr>
            </w:pPr>
            <w:r w:rsidRPr="00481F7C">
              <w:rPr>
                <w:rFonts w:eastAsia="Times New Roman" w:cs="Arial"/>
                <w:spacing w:val="-2"/>
                <w:sz w:val="19"/>
                <w:szCs w:val="19"/>
              </w:rPr>
              <w:t>Neto (smanjenje) ostalih obveza, prije rezerviranja</w:t>
            </w:r>
          </w:p>
        </w:tc>
        <w:tc>
          <w:tcPr>
            <w:tcW w:w="723" w:type="pct"/>
            <w:tcBorders>
              <w:top w:val="nil"/>
              <w:left w:val="nil"/>
              <w:bottom w:val="nil"/>
              <w:right w:val="nil"/>
            </w:tcBorders>
            <w:shd w:val="clear" w:color="000000" w:fill="auto"/>
            <w:vAlign w:val="bottom"/>
          </w:tcPr>
          <w:p w14:paraId="6CE4ADB0" w14:textId="63238697" w:rsidR="00481F7C" w:rsidRPr="00481F7C" w:rsidRDefault="00945830" w:rsidP="00481F7C">
            <w:pPr>
              <w:keepLines/>
              <w:tabs>
                <w:tab w:val="right" w:pos="1202"/>
              </w:tabs>
              <w:spacing w:after="0" w:line="240" w:lineRule="auto"/>
              <w:jc w:val="right"/>
              <w:outlineLvl w:val="0"/>
              <w:rPr>
                <w:rFonts w:eastAsia="Times New Roman" w:cs="Times New Roman"/>
                <w:sz w:val="19"/>
                <w:szCs w:val="19"/>
                <w:lang w:val="pl-PL"/>
              </w:rPr>
            </w:pPr>
            <w:r w:rsidRPr="00945830">
              <w:rPr>
                <w:rFonts w:eastAsia="Times New Roman" w:cs="Times New Roman"/>
                <w:sz w:val="19"/>
                <w:szCs w:val="19"/>
                <w:lang w:val="pl-PL"/>
              </w:rPr>
              <w:t>(55.263)</w:t>
            </w:r>
          </w:p>
        </w:tc>
        <w:tc>
          <w:tcPr>
            <w:tcW w:w="702" w:type="pct"/>
            <w:tcBorders>
              <w:top w:val="nil"/>
              <w:left w:val="nil"/>
              <w:bottom w:val="nil"/>
              <w:right w:val="nil"/>
            </w:tcBorders>
            <w:shd w:val="clear" w:color="000000" w:fill="auto"/>
            <w:vAlign w:val="bottom"/>
          </w:tcPr>
          <w:p w14:paraId="1BE82057" w14:textId="1B66B490" w:rsidR="00481F7C" w:rsidRPr="00481F7C" w:rsidRDefault="00481F7C" w:rsidP="00481F7C">
            <w:pPr>
              <w:keepLines/>
              <w:tabs>
                <w:tab w:val="right" w:pos="1202"/>
              </w:tabs>
              <w:spacing w:after="0" w:line="240" w:lineRule="auto"/>
              <w:jc w:val="right"/>
              <w:outlineLvl w:val="0"/>
              <w:rPr>
                <w:rFonts w:ascii="Arial" w:eastAsia="Times New Roman" w:hAnsi="Arial" w:cs="Times New Roman"/>
                <w:sz w:val="19"/>
                <w:szCs w:val="19"/>
                <w:lang w:val="pl-PL"/>
              </w:rPr>
            </w:pPr>
            <w:r w:rsidRPr="00481F7C">
              <w:rPr>
                <w:rFonts w:eastAsia="Times New Roman" w:cs="Times New Roman"/>
                <w:sz w:val="19"/>
                <w:szCs w:val="19"/>
                <w:lang w:val="pl-PL"/>
              </w:rPr>
              <w:t>(70.207)</w:t>
            </w:r>
          </w:p>
        </w:tc>
      </w:tr>
      <w:tr w:rsidR="00481F7C" w:rsidRPr="00481F7C" w14:paraId="1B91A92D" w14:textId="77777777" w:rsidTr="00932654">
        <w:trPr>
          <w:trHeight w:hRule="exact" w:val="113"/>
        </w:trPr>
        <w:tc>
          <w:tcPr>
            <w:tcW w:w="3575" w:type="pct"/>
            <w:tcBorders>
              <w:bottom w:val="single" w:sz="2" w:space="0" w:color="auto"/>
            </w:tcBorders>
          </w:tcPr>
          <w:p w14:paraId="722A1454" w14:textId="77777777" w:rsidR="00481F7C" w:rsidRPr="00481F7C" w:rsidRDefault="00481F7C" w:rsidP="00481F7C">
            <w:pPr>
              <w:keepLines/>
              <w:spacing w:after="0" w:line="240" w:lineRule="exact"/>
              <w:ind w:right="731"/>
              <w:jc w:val="right"/>
              <w:rPr>
                <w:rFonts w:eastAsia="Times New Roman" w:cs="Arial"/>
                <w:b/>
                <w:position w:val="4"/>
                <w:sz w:val="19"/>
                <w:szCs w:val="19"/>
              </w:rPr>
            </w:pPr>
          </w:p>
        </w:tc>
        <w:tc>
          <w:tcPr>
            <w:tcW w:w="723" w:type="pct"/>
            <w:tcBorders>
              <w:bottom w:val="single" w:sz="2" w:space="0" w:color="auto"/>
            </w:tcBorders>
            <w:vAlign w:val="bottom"/>
          </w:tcPr>
          <w:p w14:paraId="535AC630" w14:textId="77777777" w:rsidR="00481F7C" w:rsidRPr="00481F7C" w:rsidRDefault="00481F7C" w:rsidP="00481F7C">
            <w:pPr>
              <w:keepLines/>
              <w:spacing w:after="0" w:line="240" w:lineRule="exact"/>
              <w:jc w:val="right"/>
              <w:rPr>
                <w:rFonts w:eastAsia="Times New Roman" w:cs="Arial"/>
                <w:spacing w:val="-2"/>
                <w:position w:val="4"/>
                <w:sz w:val="19"/>
                <w:szCs w:val="19"/>
              </w:rPr>
            </w:pPr>
          </w:p>
        </w:tc>
        <w:tc>
          <w:tcPr>
            <w:tcW w:w="702" w:type="pct"/>
            <w:tcBorders>
              <w:bottom w:val="single" w:sz="2" w:space="0" w:color="auto"/>
            </w:tcBorders>
            <w:vAlign w:val="bottom"/>
          </w:tcPr>
          <w:p w14:paraId="5C71FA06" w14:textId="77777777" w:rsidR="00481F7C" w:rsidRPr="00481F7C" w:rsidRDefault="00481F7C" w:rsidP="00481F7C">
            <w:pPr>
              <w:keepLines/>
              <w:spacing w:after="0" w:line="240" w:lineRule="auto"/>
              <w:jc w:val="right"/>
              <w:rPr>
                <w:rFonts w:eastAsia="Times New Roman" w:cs="Arial"/>
                <w:spacing w:val="-2"/>
                <w:position w:val="4"/>
                <w:sz w:val="19"/>
                <w:szCs w:val="19"/>
              </w:rPr>
            </w:pPr>
          </w:p>
        </w:tc>
      </w:tr>
      <w:tr w:rsidR="00481F7C" w:rsidRPr="00481F7C" w14:paraId="6F307CCC" w14:textId="77777777" w:rsidTr="00312975">
        <w:trPr>
          <w:trHeight w:val="228"/>
        </w:trPr>
        <w:tc>
          <w:tcPr>
            <w:tcW w:w="3575" w:type="pct"/>
            <w:tcBorders>
              <w:top w:val="single" w:sz="2" w:space="0" w:color="auto"/>
              <w:bottom w:val="single" w:sz="12" w:space="0" w:color="auto"/>
            </w:tcBorders>
          </w:tcPr>
          <w:p w14:paraId="3E13D387" w14:textId="77777777" w:rsidR="00481F7C" w:rsidRPr="00481F7C" w:rsidRDefault="00481F7C" w:rsidP="00481F7C">
            <w:pPr>
              <w:keepLines/>
              <w:tabs>
                <w:tab w:val="right" w:pos="1202"/>
              </w:tabs>
              <w:spacing w:after="0" w:line="240" w:lineRule="exact"/>
              <w:outlineLvl w:val="0"/>
              <w:rPr>
                <w:rFonts w:eastAsia="Times New Roman" w:cs="Arial"/>
                <w:b/>
                <w:bCs/>
                <w:spacing w:val="-3"/>
                <w:sz w:val="19"/>
                <w:szCs w:val="19"/>
              </w:rPr>
            </w:pPr>
            <w:r w:rsidRPr="00481F7C">
              <w:rPr>
                <w:rFonts w:eastAsia="Times New Roman" w:cs="Arial"/>
                <w:b/>
                <w:bCs/>
                <w:sz w:val="19"/>
                <w:szCs w:val="19"/>
              </w:rPr>
              <w:t xml:space="preserve">Neto novčana sredstva ostvarena u poslovnim aktivnostima </w:t>
            </w:r>
          </w:p>
        </w:tc>
        <w:tc>
          <w:tcPr>
            <w:tcW w:w="723" w:type="pct"/>
            <w:tcBorders>
              <w:top w:val="single" w:sz="2" w:space="0" w:color="auto"/>
            </w:tcBorders>
            <w:vAlign w:val="bottom"/>
          </w:tcPr>
          <w:p w14:paraId="19A6B404" w14:textId="0AC24AC8" w:rsidR="00481F7C" w:rsidRPr="00481F7C" w:rsidRDefault="00945830" w:rsidP="00481F7C">
            <w:pPr>
              <w:spacing w:after="0" w:line="240" w:lineRule="exact"/>
              <w:jc w:val="right"/>
              <w:rPr>
                <w:rFonts w:eastAsia="Times New Roman" w:cs="Arial"/>
                <w:b/>
                <w:spacing w:val="-2"/>
                <w:sz w:val="19"/>
                <w:szCs w:val="19"/>
              </w:rPr>
            </w:pPr>
            <w:r w:rsidRPr="00945830">
              <w:rPr>
                <w:rFonts w:eastAsia="Times New Roman" w:cs="Arial"/>
                <w:b/>
                <w:spacing w:val="-2"/>
                <w:sz w:val="19"/>
                <w:szCs w:val="19"/>
              </w:rPr>
              <w:t>774.511</w:t>
            </w:r>
          </w:p>
        </w:tc>
        <w:tc>
          <w:tcPr>
            <w:tcW w:w="702" w:type="pct"/>
            <w:tcBorders>
              <w:top w:val="single" w:sz="2" w:space="0" w:color="auto"/>
            </w:tcBorders>
            <w:vAlign w:val="bottom"/>
          </w:tcPr>
          <w:p w14:paraId="2B54CC5B" w14:textId="3073AD43" w:rsidR="00481F7C" w:rsidRPr="00481F7C" w:rsidRDefault="00481F7C" w:rsidP="00312975">
            <w:pPr>
              <w:spacing w:after="0" w:line="240" w:lineRule="exact"/>
              <w:jc w:val="right"/>
              <w:rPr>
                <w:rFonts w:eastAsia="Times New Roman" w:cs="Arial"/>
                <w:b/>
                <w:spacing w:val="-2"/>
                <w:sz w:val="19"/>
                <w:szCs w:val="19"/>
              </w:rPr>
            </w:pPr>
            <w:r w:rsidRPr="00481F7C">
              <w:rPr>
                <w:rFonts w:eastAsia="Times New Roman" w:cs="Arial"/>
                <w:b/>
                <w:spacing w:val="-2"/>
                <w:sz w:val="19"/>
                <w:szCs w:val="19"/>
              </w:rPr>
              <w:t>80.791</w:t>
            </w:r>
          </w:p>
        </w:tc>
      </w:tr>
      <w:tr w:rsidR="00481F7C" w:rsidRPr="00481F7C" w14:paraId="4CF09AFD" w14:textId="77777777" w:rsidTr="00932654">
        <w:trPr>
          <w:trHeight w:hRule="exact" w:val="113"/>
        </w:trPr>
        <w:tc>
          <w:tcPr>
            <w:tcW w:w="3575" w:type="pct"/>
            <w:tcBorders>
              <w:top w:val="single" w:sz="12" w:space="0" w:color="auto"/>
            </w:tcBorders>
            <w:vAlign w:val="bottom"/>
          </w:tcPr>
          <w:p w14:paraId="323091BA" w14:textId="77777777" w:rsidR="00481F7C" w:rsidRPr="00481F7C" w:rsidRDefault="00481F7C" w:rsidP="00481F7C">
            <w:pPr>
              <w:keepLines/>
              <w:tabs>
                <w:tab w:val="decimal" w:pos="1202"/>
              </w:tabs>
              <w:spacing w:after="0" w:line="240" w:lineRule="exact"/>
              <w:rPr>
                <w:rFonts w:eastAsia="Times New Roman" w:cs="Arial"/>
                <w:b/>
                <w:position w:val="4"/>
                <w:sz w:val="19"/>
                <w:szCs w:val="19"/>
                <w:u w:val="thick"/>
              </w:rPr>
            </w:pPr>
          </w:p>
        </w:tc>
        <w:tc>
          <w:tcPr>
            <w:tcW w:w="723" w:type="pct"/>
            <w:tcBorders>
              <w:top w:val="single" w:sz="12" w:space="0" w:color="auto"/>
            </w:tcBorders>
            <w:vAlign w:val="bottom"/>
          </w:tcPr>
          <w:p w14:paraId="0C534A8A" w14:textId="77777777" w:rsidR="00481F7C" w:rsidRPr="00481F7C" w:rsidRDefault="00481F7C" w:rsidP="00481F7C">
            <w:pPr>
              <w:keepLines/>
              <w:spacing w:after="0" w:line="240" w:lineRule="exact"/>
              <w:jc w:val="right"/>
              <w:rPr>
                <w:rFonts w:eastAsia="Times New Roman" w:cs="Arial"/>
                <w:b/>
                <w:position w:val="4"/>
                <w:sz w:val="19"/>
                <w:szCs w:val="19"/>
                <w:u w:val="thick"/>
              </w:rPr>
            </w:pPr>
          </w:p>
        </w:tc>
        <w:tc>
          <w:tcPr>
            <w:tcW w:w="702" w:type="pct"/>
            <w:tcBorders>
              <w:top w:val="single" w:sz="12" w:space="0" w:color="auto"/>
            </w:tcBorders>
            <w:vAlign w:val="bottom"/>
          </w:tcPr>
          <w:p w14:paraId="725F4BEC" w14:textId="77777777" w:rsidR="00481F7C" w:rsidRPr="00481F7C" w:rsidRDefault="00481F7C" w:rsidP="00481F7C">
            <w:pPr>
              <w:keepLines/>
              <w:spacing w:after="0" w:line="240" w:lineRule="auto"/>
              <w:jc w:val="right"/>
              <w:rPr>
                <w:rFonts w:eastAsia="Times New Roman" w:cs="Arial"/>
                <w:b/>
                <w:position w:val="4"/>
                <w:sz w:val="19"/>
                <w:szCs w:val="19"/>
                <w:u w:val="thick"/>
              </w:rPr>
            </w:pPr>
          </w:p>
        </w:tc>
      </w:tr>
      <w:tr w:rsidR="00481F7C" w:rsidRPr="00481F7C" w14:paraId="2CDF6F52" w14:textId="77777777" w:rsidTr="00932654">
        <w:tc>
          <w:tcPr>
            <w:tcW w:w="3575" w:type="pct"/>
          </w:tcPr>
          <w:p w14:paraId="4576B84C" w14:textId="77777777" w:rsidR="00481F7C" w:rsidRPr="00481F7C" w:rsidRDefault="00481F7C" w:rsidP="00481F7C">
            <w:pPr>
              <w:keepLines/>
              <w:tabs>
                <w:tab w:val="right" w:pos="1202"/>
              </w:tabs>
              <w:spacing w:after="0" w:line="240" w:lineRule="exact"/>
              <w:outlineLvl w:val="0"/>
              <w:rPr>
                <w:rFonts w:eastAsia="Times New Roman" w:cs="Arial"/>
                <w:b/>
                <w:bCs/>
                <w:sz w:val="19"/>
                <w:szCs w:val="19"/>
              </w:rPr>
            </w:pPr>
            <w:proofErr w:type="spellStart"/>
            <w:r w:rsidRPr="00481F7C">
              <w:rPr>
                <w:rFonts w:eastAsia="Times New Roman" w:cs="Arial"/>
                <w:b/>
                <w:bCs/>
                <w:sz w:val="19"/>
                <w:szCs w:val="19"/>
              </w:rPr>
              <w:t>Ulagateljske</w:t>
            </w:r>
            <w:proofErr w:type="spellEnd"/>
            <w:r w:rsidRPr="00481F7C">
              <w:rPr>
                <w:rFonts w:eastAsia="Times New Roman" w:cs="Arial"/>
                <w:b/>
                <w:bCs/>
                <w:sz w:val="19"/>
                <w:szCs w:val="19"/>
              </w:rPr>
              <w:t xml:space="preserve"> aktivnosti</w:t>
            </w:r>
          </w:p>
        </w:tc>
        <w:tc>
          <w:tcPr>
            <w:tcW w:w="723" w:type="pct"/>
            <w:vAlign w:val="bottom"/>
          </w:tcPr>
          <w:p w14:paraId="76891406" w14:textId="77777777" w:rsidR="00481F7C" w:rsidRPr="00481F7C" w:rsidRDefault="00481F7C" w:rsidP="00481F7C">
            <w:pPr>
              <w:keepLines/>
              <w:tabs>
                <w:tab w:val="right" w:pos="1202"/>
              </w:tabs>
              <w:spacing w:after="0" w:line="240" w:lineRule="exact"/>
              <w:jc w:val="right"/>
              <w:outlineLvl w:val="0"/>
              <w:rPr>
                <w:rFonts w:eastAsia="Times New Roman" w:cs="Arial"/>
                <w:b/>
                <w:bCs/>
                <w:sz w:val="19"/>
                <w:szCs w:val="19"/>
              </w:rPr>
            </w:pPr>
          </w:p>
        </w:tc>
        <w:tc>
          <w:tcPr>
            <w:tcW w:w="702" w:type="pct"/>
            <w:vAlign w:val="bottom"/>
          </w:tcPr>
          <w:p w14:paraId="03D210E9" w14:textId="77777777" w:rsidR="00481F7C" w:rsidRPr="00481F7C" w:rsidRDefault="00481F7C" w:rsidP="00481F7C">
            <w:pPr>
              <w:keepLines/>
              <w:tabs>
                <w:tab w:val="right" w:pos="1202"/>
              </w:tabs>
              <w:spacing w:after="0" w:line="240" w:lineRule="auto"/>
              <w:jc w:val="right"/>
              <w:outlineLvl w:val="0"/>
              <w:rPr>
                <w:rFonts w:eastAsia="Times New Roman" w:cs="Arial"/>
                <w:b/>
                <w:bCs/>
                <w:sz w:val="19"/>
                <w:szCs w:val="19"/>
              </w:rPr>
            </w:pPr>
          </w:p>
        </w:tc>
      </w:tr>
      <w:tr w:rsidR="00481F7C" w:rsidRPr="00481F7C" w14:paraId="4D7924E9" w14:textId="77777777" w:rsidTr="00932654">
        <w:tc>
          <w:tcPr>
            <w:tcW w:w="3575" w:type="pct"/>
          </w:tcPr>
          <w:p w14:paraId="12BE6ADE" w14:textId="77777777" w:rsidR="00481F7C" w:rsidRPr="00481F7C" w:rsidRDefault="00481F7C" w:rsidP="00481F7C">
            <w:pPr>
              <w:keepLines/>
              <w:tabs>
                <w:tab w:val="right" w:pos="1202"/>
              </w:tabs>
              <w:spacing w:after="0" w:line="240" w:lineRule="exact"/>
              <w:outlineLvl w:val="0"/>
              <w:rPr>
                <w:rFonts w:eastAsia="Times New Roman" w:cs="Arial"/>
                <w:bCs/>
                <w:sz w:val="19"/>
                <w:szCs w:val="19"/>
              </w:rPr>
            </w:pPr>
            <w:r w:rsidRPr="00481F7C">
              <w:rPr>
                <w:rFonts w:eastAsia="Times New Roman" w:cs="Arial"/>
                <w:bCs/>
                <w:sz w:val="19"/>
                <w:szCs w:val="19"/>
              </w:rPr>
              <w:t>Neto (kupovina) imovine raspoložive za prodaju</w:t>
            </w:r>
          </w:p>
        </w:tc>
        <w:tc>
          <w:tcPr>
            <w:tcW w:w="723" w:type="pct"/>
            <w:vAlign w:val="bottom"/>
          </w:tcPr>
          <w:p w14:paraId="2E168477" w14:textId="31B8B882" w:rsidR="00481F7C" w:rsidRPr="00481F7C" w:rsidRDefault="00945830" w:rsidP="008514E4">
            <w:pPr>
              <w:keepLines/>
              <w:tabs>
                <w:tab w:val="right" w:pos="1202"/>
              </w:tabs>
              <w:spacing w:after="0" w:line="240" w:lineRule="exact"/>
              <w:jc w:val="right"/>
              <w:outlineLvl w:val="0"/>
              <w:rPr>
                <w:rFonts w:eastAsia="Times New Roman" w:cs="Arial"/>
                <w:bCs/>
                <w:sz w:val="19"/>
                <w:szCs w:val="19"/>
              </w:rPr>
            </w:pPr>
            <w:r w:rsidRPr="00945830">
              <w:rPr>
                <w:rFonts w:eastAsia="Times New Roman" w:cs="Arial"/>
                <w:bCs/>
                <w:sz w:val="19"/>
                <w:szCs w:val="19"/>
              </w:rPr>
              <w:t>(934.</w:t>
            </w:r>
            <w:r w:rsidR="000B6113">
              <w:rPr>
                <w:rFonts w:eastAsia="Times New Roman" w:cs="Arial"/>
                <w:bCs/>
                <w:sz w:val="19"/>
                <w:szCs w:val="19"/>
              </w:rPr>
              <w:t>826</w:t>
            </w:r>
            <w:r w:rsidRPr="00945830">
              <w:rPr>
                <w:rFonts w:eastAsia="Times New Roman" w:cs="Arial"/>
                <w:bCs/>
                <w:sz w:val="19"/>
                <w:szCs w:val="19"/>
              </w:rPr>
              <w:t>)</w:t>
            </w:r>
          </w:p>
        </w:tc>
        <w:tc>
          <w:tcPr>
            <w:tcW w:w="702" w:type="pct"/>
            <w:vAlign w:val="bottom"/>
          </w:tcPr>
          <w:p w14:paraId="30E49D73" w14:textId="5AF6B455" w:rsidR="00481F7C" w:rsidRPr="00481F7C" w:rsidRDefault="00481F7C" w:rsidP="00312975">
            <w:pPr>
              <w:keepLines/>
              <w:tabs>
                <w:tab w:val="right" w:pos="1202"/>
              </w:tabs>
              <w:spacing w:after="0" w:line="240" w:lineRule="exact"/>
              <w:jc w:val="right"/>
              <w:outlineLvl w:val="0"/>
              <w:rPr>
                <w:rFonts w:eastAsia="Times New Roman" w:cs="Arial"/>
                <w:bCs/>
                <w:sz w:val="19"/>
                <w:szCs w:val="19"/>
              </w:rPr>
            </w:pPr>
            <w:r w:rsidRPr="00481F7C">
              <w:rPr>
                <w:rFonts w:eastAsia="Times New Roman" w:cs="Arial"/>
                <w:bCs/>
                <w:sz w:val="19"/>
                <w:szCs w:val="19"/>
              </w:rPr>
              <w:t>(1.458.008)</w:t>
            </w:r>
          </w:p>
        </w:tc>
      </w:tr>
      <w:tr w:rsidR="00481F7C" w:rsidRPr="00481F7C" w14:paraId="3B0E8AB0" w14:textId="77777777" w:rsidTr="00932654">
        <w:tc>
          <w:tcPr>
            <w:tcW w:w="3575" w:type="pct"/>
          </w:tcPr>
          <w:p w14:paraId="3B89DA35" w14:textId="77777777" w:rsidR="00481F7C" w:rsidRPr="00481F7C" w:rsidRDefault="00481F7C" w:rsidP="00481F7C">
            <w:pPr>
              <w:keepLines/>
              <w:tabs>
                <w:tab w:val="right" w:pos="1202"/>
              </w:tabs>
              <w:spacing w:after="0" w:line="240" w:lineRule="exact"/>
              <w:outlineLvl w:val="0"/>
              <w:rPr>
                <w:rFonts w:eastAsia="Times New Roman" w:cs="Arial"/>
                <w:spacing w:val="-2"/>
                <w:sz w:val="19"/>
                <w:szCs w:val="19"/>
              </w:rPr>
            </w:pPr>
            <w:r w:rsidRPr="00481F7C">
              <w:rPr>
                <w:rFonts w:eastAsia="Times New Roman" w:cs="Arial"/>
                <w:sz w:val="19"/>
                <w:szCs w:val="19"/>
              </w:rPr>
              <w:t xml:space="preserve">Prodaja </w:t>
            </w:r>
            <w:r w:rsidRPr="00481F7C">
              <w:rPr>
                <w:rFonts w:eastAsia="Times New Roman" w:cs="Arial"/>
                <w:spacing w:val="-2"/>
                <w:sz w:val="19"/>
                <w:szCs w:val="19"/>
              </w:rPr>
              <w:t>imovine raspoložive za prodaju</w:t>
            </w:r>
          </w:p>
        </w:tc>
        <w:tc>
          <w:tcPr>
            <w:tcW w:w="723" w:type="pct"/>
            <w:vAlign w:val="bottom"/>
          </w:tcPr>
          <w:p w14:paraId="3284FBBF" w14:textId="7369A110" w:rsidR="00481F7C" w:rsidRPr="00481F7C" w:rsidRDefault="00945830" w:rsidP="008514E4">
            <w:pPr>
              <w:keepLines/>
              <w:tabs>
                <w:tab w:val="right" w:pos="1202"/>
              </w:tabs>
              <w:spacing w:after="0" w:line="240" w:lineRule="exact"/>
              <w:jc w:val="right"/>
              <w:outlineLvl w:val="0"/>
              <w:rPr>
                <w:rFonts w:eastAsia="Times New Roman" w:cs="Arial"/>
                <w:spacing w:val="-2"/>
                <w:sz w:val="19"/>
                <w:szCs w:val="19"/>
              </w:rPr>
            </w:pPr>
            <w:r w:rsidRPr="00945830">
              <w:rPr>
                <w:rFonts w:eastAsia="Times New Roman" w:cs="Arial"/>
                <w:spacing w:val="-2"/>
                <w:sz w:val="19"/>
                <w:szCs w:val="19"/>
              </w:rPr>
              <w:t>1.211.</w:t>
            </w:r>
            <w:r w:rsidR="000B6113">
              <w:rPr>
                <w:rFonts w:eastAsia="Times New Roman" w:cs="Arial"/>
                <w:spacing w:val="-2"/>
                <w:sz w:val="19"/>
                <w:szCs w:val="19"/>
              </w:rPr>
              <w:t>829</w:t>
            </w:r>
          </w:p>
        </w:tc>
        <w:tc>
          <w:tcPr>
            <w:tcW w:w="702" w:type="pct"/>
            <w:vAlign w:val="bottom"/>
          </w:tcPr>
          <w:p w14:paraId="32BA95B8" w14:textId="1C8E1CA7" w:rsidR="00481F7C" w:rsidRPr="00312975" w:rsidRDefault="00481F7C" w:rsidP="00312975">
            <w:pPr>
              <w:keepLines/>
              <w:tabs>
                <w:tab w:val="right" w:pos="1202"/>
              </w:tabs>
              <w:spacing w:after="0" w:line="240" w:lineRule="exact"/>
              <w:jc w:val="right"/>
              <w:outlineLvl w:val="0"/>
              <w:rPr>
                <w:rFonts w:eastAsia="Times New Roman" w:cs="Arial"/>
                <w:bCs/>
                <w:sz w:val="19"/>
                <w:szCs w:val="19"/>
              </w:rPr>
            </w:pPr>
            <w:r w:rsidRPr="00312975">
              <w:rPr>
                <w:rFonts w:eastAsia="Times New Roman" w:cs="Arial"/>
                <w:bCs/>
                <w:sz w:val="19"/>
                <w:szCs w:val="19"/>
              </w:rPr>
              <w:t>862.067</w:t>
            </w:r>
          </w:p>
        </w:tc>
      </w:tr>
      <w:tr w:rsidR="00481F7C" w:rsidRPr="00481F7C" w14:paraId="1E75BCD0" w14:textId="77777777" w:rsidTr="00932654">
        <w:tc>
          <w:tcPr>
            <w:tcW w:w="3575" w:type="pct"/>
          </w:tcPr>
          <w:p w14:paraId="37EB496B" w14:textId="77777777" w:rsidR="00481F7C" w:rsidRPr="00481F7C" w:rsidRDefault="00481F7C" w:rsidP="00481F7C">
            <w:pPr>
              <w:keepLines/>
              <w:tabs>
                <w:tab w:val="right" w:pos="1202"/>
              </w:tabs>
              <w:spacing w:after="0" w:line="240" w:lineRule="exact"/>
              <w:outlineLvl w:val="0"/>
              <w:rPr>
                <w:rFonts w:eastAsia="Times New Roman" w:cs="Arial"/>
                <w:spacing w:val="-2"/>
                <w:sz w:val="19"/>
                <w:szCs w:val="19"/>
              </w:rPr>
            </w:pPr>
            <w:r w:rsidRPr="00481F7C">
              <w:rPr>
                <w:rFonts w:eastAsia="Times New Roman" w:cs="Arial"/>
                <w:spacing w:val="-2"/>
                <w:sz w:val="19"/>
                <w:szCs w:val="19"/>
              </w:rPr>
              <w:t>Neto (nabava) nekretnina, postrojenja i opreme i nematerijalne imovine</w:t>
            </w:r>
          </w:p>
        </w:tc>
        <w:tc>
          <w:tcPr>
            <w:tcW w:w="723" w:type="pct"/>
            <w:vAlign w:val="bottom"/>
          </w:tcPr>
          <w:p w14:paraId="586C72A6" w14:textId="1D2E90A3" w:rsidR="00481F7C" w:rsidRPr="00481F7C" w:rsidRDefault="00945830" w:rsidP="00481F7C">
            <w:pPr>
              <w:keepLines/>
              <w:spacing w:after="0" w:line="240" w:lineRule="exact"/>
              <w:jc w:val="right"/>
              <w:rPr>
                <w:rFonts w:eastAsia="Times New Roman" w:cs="Arial"/>
                <w:spacing w:val="-2"/>
                <w:sz w:val="19"/>
                <w:szCs w:val="19"/>
              </w:rPr>
            </w:pPr>
            <w:r w:rsidRPr="00945830">
              <w:rPr>
                <w:rFonts w:eastAsia="Times New Roman" w:cs="Arial"/>
                <w:spacing w:val="-2"/>
                <w:sz w:val="19"/>
                <w:szCs w:val="19"/>
              </w:rPr>
              <w:t>(1.804)</w:t>
            </w:r>
          </w:p>
        </w:tc>
        <w:tc>
          <w:tcPr>
            <w:tcW w:w="702" w:type="pct"/>
            <w:vAlign w:val="bottom"/>
          </w:tcPr>
          <w:p w14:paraId="53772FE8" w14:textId="500776A3" w:rsidR="00481F7C" w:rsidRPr="00312975" w:rsidRDefault="00481F7C" w:rsidP="00312975">
            <w:pPr>
              <w:keepLines/>
              <w:tabs>
                <w:tab w:val="right" w:pos="1202"/>
              </w:tabs>
              <w:spacing w:after="0" w:line="240" w:lineRule="exact"/>
              <w:jc w:val="right"/>
              <w:outlineLvl w:val="0"/>
              <w:rPr>
                <w:rFonts w:eastAsia="Times New Roman" w:cs="Arial"/>
                <w:bCs/>
                <w:sz w:val="19"/>
                <w:szCs w:val="19"/>
              </w:rPr>
            </w:pPr>
            <w:r w:rsidRPr="00312975">
              <w:rPr>
                <w:rFonts w:eastAsia="Times New Roman" w:cs="Arial"/>
                <w:bCs/>
                <w:sz w:val="19"/>
                <w:szCs w:val="19"/>
              </w:rPr>
              <w:t>(539)</w:t>
            </w:r>
          </w:p>
        </w:tc>
      </w:tr>
      <w:tr w:rsidR="00481F7C" w:rsidRPr="00481F7C" w14:paraId="7E109F91" w14:textId="77777777" w:rsidTr="00932654">
        <w:trPr>
          <w:trHeight w:hRule="exact" w:val="113"/>
        </w:trPr>
        <w:tc>
          <w:tcPr>
            <w:tcW w:w="3575" w:type="pct"/>
            <w:tcBorders>
              <w:bottom w:val="single" w:sz="2" w:space="0" w:color="auto"/>
            </w:tcBorders>
          </w:tcPr>
          <w:p w14:paraId="25D92FC3" w14:textId="77777777" w:rsidR="00481F7C" w:rsidRPr="00481F7C" w:rsidRDefault="00481F7C" w:rsidP="00481F7C">
            <w:pPr>
              <w:keepLines/>
              <w:spacing w:after="0" w:line="240" w:lineRule="exact"/>
              <w:ind w:right="731"/>
              <w:jc w:val="right"/>
              <w:rPr>
                <w:rFonts w:eastAsia="Times New Roman" w:cs="Arial"/>
                <w:b/>
                <w:position w:val="4"/>
                <w:sz w:val="19"/>
                <w:szCs w:val="19"/>
              </w:rPr>
            </w:pPr>
          </w:p>
        </w:tc>
        <w:tc>
          <w:tcPr>
            <w:tcW w:w="723" w:type="pct"/>
            <w:tcBorders>
              <w:bottom w:val="single" w:sz="2" w:space="0" w:color="auto"/>
            </w:tcBorders>
            <w:vAlign w:val="bottom"/>
          </w:tcPr>
          <w:p w14:paraId="180A0829" w14:textId="77777777" w:rsidR="00481F7C" w:rsidRPr="00481F7C" w:rsidRDefault="00481F7C" w:rsidP="00481F7C">
            <w:pPr>
              <w:keepLines/>
              <w:spacing w:after="0" w:line="240" w:lineRule="exact"/>
              <w:jc w:val="right"/>
              <w:rPr>
                <w:rFonts w:eastAsia="Times New Roman" w:cs="Arial"/>
                <w:b/>
                <w:position w:val="4"/>
                <w:sz w:val="19"/>
                <w:szCs w:val="19"/>
              </w:rPr>
            </w:pPr>
          </w:p>
        </w:tc>
        <w:tc>
          <w:tcPr>
            <w:tcW w:w="702" w:type="pct"/>
            <w:tcBorders>
              <w:bottom w:val="single" w:sz="2" w:space="0" w:color="auto"/>
            </w:tcBorders>
            <w:vAlign w:val="bottom"/>
          </w:tcPr>
          <w:p w14:paraId="53E7C8D6" w14:textId="77777777" w:rsidR="00481F7C" w:rsidRPr="00481F7C" w:rsidRDefault="00481F7C" w:rsidP="00481F7C">
            <w:pPr>
              <w:keepLines/>
              <w:spacing w:after="0" w:line="240" w:lineRule="auto"/>
              <w:jc w:val="right"/>
              <w:rPr>
                <w:rFonts w:eastAsia="Times New Roman" w:cs="Arial"/>
                <w:b/>
                <w:position w:val="4"/>
                <w:sz w:val="19"/>
                <w:szCs w:val="19"/>
              </w:rPr>
            </w:pPr>
          </w:p>
        </w:tc>
      </w:tr>
      <w:tr w:rsidR="00481F7C" w:rsidRPr="00481F7C" w14:paraId="6D712D4F" w14:textId="77777777" w:rsidTr="00932654">
        <w:trPr>
          <w:trHeight w:val="196"/>
        </w:trPr>
        <w:tc>
          <w:tcPr>
            <w:tcW w:w="3575" w:type="pct"/>
            <w:tcBorders>
              <w:top w:val="single" w:sz="2" w:space="0" w:color="auto"/>
              <w:bottom w:val="single" w:sz="12" w:space="0" w:color="auto"/>
            </w:tcBorders>
          </w:tcPr>
          <w:p w14:paraId="5EC6781B" w14:textId="78B433E1" w:rsidR="00481F7C" w:rsidRPr="00481F7C" w:rsidRDefault="00481F7C" w:rsidP="00481F7C">
            <w:pPr>
              <w:keepLines/>
              <w:tabs>
                <w:tab w:val="right" w:pos="1202"/>
              </w:tabs>
              <w:spacing w:after="0" w:line="240" w:lineRule="exact"/>
              <w:outlineLvl w:val="0"/>
              <w:rPr>
                <w:rFonts w:eastAsia="Times New Roman" w:cs="Arial"/>
                <w:b/>
                <w:bCs/>
                <w:sz w:val="19"/>
                <w:szCs w:val="19"/>
              </w:rPr>
            </w:pPr>
            <w:r w:rsidRPr="00481F7C">
              <w:rPr>
                <w:rFonts w:eastAsia="Times New Roman" w:cs="Arial"/>
                <w:b/>
                <w:bCs/>
                <w:sz w:val="19"/>
                <w:szCs w:val="19"/>
              </w:rPr>
              <w:t xml:space="preserve">Neto novčana sredstva </w:t>
            </w:r>
            <w:r w:rsidR="0075177B">
              <w:rPr>
                <w:rFonts w:eastAsia="Times New Roman" w:cs="Arial"/>
                <w:b/>
                <w:bCs/>
                <w:sz w:val="19"/>
                <w:szCs w:val="19"/>
              </w:rPr>
              <w:t>ostvarena/</w:t>
            </w:r>
            <w:r w:rsidRPr="00481F7C">
              <w:rPr>
                <w:rFonts w:eastAsia="Times New Roman" w:cs="Arial"/>
                <w:b/>
                <w:bCs/>
                <w:sz w:val="19"/>
                <w:szCs w:val="19"/>
              </w:rPr>
              <w:t xml:space="preserve">(uporabljena) u </w:t>
            </w:r>
            <w:proofErr w:type="spellStart"/>
            <w:r w:rsidRPr="00481F7C">
              <w:rPr>
                <w:rFonts w:eastAsia="Times New Roman" w:cs="Arial"/>
                <w:b/>
                <w:bCs/>
                <w:sz w:val="19"/>
                <w:szCs w:val="19"/>
              </w:rPr>
              <w:t>ulagateljskim</w:t>
            </w:r>
            <w:proofErr w:type="spellEnd"/>
            <w:r w:rsidRPr="00481F7C">
              <w:rPr>
                <w:rFonts w:eastAsia="Times New Roman" w:cs="Arial"/>
                <w:b/>
                <w:bCs/>
                <w:sz w:val="19"/>
                <w:szCs w:val="19"/>
              </w:rPr>
              <w:t xml:space="preserve"> aktivnostima</w:t>
            </w:r>
          </w:p>
        </w:tc>
        <w:tc>
          <w:tcPr>
            <w:tcW w:w="723" w:type="pct"/>
            <w:tcBorders>
              <w:top w:val="single" w:sz="2" w:space="0" w:color="auto"/>
            </w:tcBorders>
            <w:vAlign w:val="bottom"/>
          </w:tcPr>
          <w:p w14:paraId="7EFA9C84" w14:textId="42FD6D69" w:rsidR="00481F7C" w:rsidRPr="00481F7C" w:rsidRDefault="00945830" w:rsidP="00481F7C">
            <w:pPr>
              <w:spacing w:after="0" w:line="240" w:lineRule="exact"/>
              <w:jc w:val="right"/>
              <w:rPr>
                <w:rFonts w:eastAsia="Times New Roman" w:cs="Arial"/>
                <w:b/>
                <w:bCs/>
                <w:spacing w:val="-2"/>
                <w:sz w:val="19"/>
                <w:szCs w:val="19"/>
              </w:rPr>
            </w:pPr>
            <w:r w:rsidRPr="00945830">
              <w:rPr>
                <w:rFonts w:eastAsia="Times New Roman" w:cs="Arial"/>
                <w:b/>
                <w:bCs/>
                <w:spacing w:val="-2"/>
                <w:sz w:val="19"/>
                <w:szCs w:val="19"/>
              </w:rPr>
              <w:t>275.199</w:t>
            </w:r>
          </w:p>
        </w:tc>
        <w:tc>
          <w:tcPr>
            <w:tcW w:w="702" w:type="pct"/>
            <w:tcBorders>
              <w:top w:val="single" w:sz="2" w:space="0" w:color="auto"/>
            </w:tcBorders>
            <w:vAlign w:val="bottom"/>
          </w:tcPr>
          <w:p w14:paraId="6F5365B1" w14:textId="682F39B5" w:rsidR="00481F7C" w:rsidRPr="00481F7C" w:rsidRDefault="00481F7C" w:rsidP="00481F7C">
            <w:pPr>
              <w:spacing w:after="0" w:line="240" w:lineRule="auto"/>
              <w:jc w:val="right"/>
              <w:rPr>
                <w:rFonts w:eastAsia="Times New Roman" w:cs="Arial"/>
                <w:b/>
                <w:bCs/>
                <w:spacing w:val="-2"/>
                <w:sz w:val="19"/>
                <w:szCs w:val="19"/>
              </w:rPr>
            </w:pPr>
            <w:r w:rsidRPr="00481F7C">
              <w:rPr>
                <w:rFonts w:eastAsia="Times New Roman" w:cs="Arial"/>
                <w:b/>
                <w:bCs/>
                <w:spacing w:val="-2"/>
                <w:sz w:val="19"/>
                <w:szCs w:val="19"/>
              </w:rPr>
              <w:t>(596.480)</w:t>
            </w:r>
          </w:p>
        </w:tc>
      </w:tr>
      <w:tr w:rsidR="00481F7C" w:rsidRPr="00481F7C" w14:paraId="3BD7D5ED" w14:textId="77777777" w:rsidTr="00932654">
        <w:trPr>
          <w:trHeight w:hRule="exact" w:val="113"/>
        </w:trPr>
        <w:tc>
          <w:tcPr>
            <w:tcW w:w="3575" w:type="pct"/>
            <w:tcBorders>
              <w:top w:val="single" w:sz="12" w:space="0" w:color="auto"/>
            </w:tcBorders>
            <w:vAlign w:val="bottom"/>
          </w:tcPr>
          <w:p w14:paraId="29E43333" w14:textId="77777777" w:rsidR="00481F7C" w:rsidRPr="00481F7C" w:rsidRDefault="00481F7C" w:rsidP="00481F7C">
            <w:pPr>
              <w:keepLines/>
              <w:tabs>
                <w:tab w:val="decimal" w:pos="1202"/>
              </w:tabs>
              <w:spacing w:after="0" w:line="240" w:lineRule="exact"/>
              <w:rPr>
                <w:rFonts w:eastAsia="Times New Roman" w:cs="Arial"/>
                <w:b/>
                <w:position w:val="4"/>
                <w:sz w:val="19"/>
                <w:szCs w:val="19"/>
                <w:u w:val="thick"/>
              </w:rPr>
            </w:pPr>
          </w:p>
        </w:tc>
        <w:tc>
          <w:tcPr>
            <w:tcW w:w="723" w:type="pct"/>
            <w:tcBorders>
              <w:top w:val="single" w:sz="12" w:space="0" w:color="auto"/>
            </w:tcBorders>
            <w:vAlign w:val="bottom"/>
          </w:tcPr>
          <w:p w14:paraId="328CFCFA" w14:textId="77777777" w:rsidR="00481F7C" w:rsidRPr="00481F7C" w:rsidRDefault="00481F7C" w:rsidP="00481F7C">
            <w:pPr>
              <w:keepLines/>
              <w:spacing w:after="0" w:line="240" w:lineRule="exact"/>
              <w:jc w:val="right"/>
              <w:rPr>
                <w:rFonts w:eastAsia="Times New Roman" w:cs="Arial"/>
                <w:b/>
                <w:position w:val="4"/>
                <w:sz w:val="19"/>
                <w:szCs w:val="19"/>
                <w:u w:val="thick"/>
              </w:rPr>
            </w:pPr>
          </w:p>
        </w:tc>
        <w:tc>
          <w:tcPr>
            <w:tcW w:w="702" w:type="pct"/>
            <w:tcBorders>
              <w:top w:val="single" w:sz="12" w:space="0" w:color="auto"/>
            </w:tcBorders>
            <w:vAlign w:val="bottom"/>
          </w:tcPr>
          <w:p w14:paraId="65D1C74E" w14:textId="77777777" w:rsidR="00481F7C" w:rsidRPr="00481F7C" w:rsidRDefault="00481F7C" w:rsidP="00481F7C">
            <w:pPr>
              <w:keepLines/>
              <w:spacing w:after="0" w:line="240" w:lineRule="auto"/>
              <w:jc w:val="right"/>
              <w:rPr>
                <w:rFonts w:eastAsia="Times New Roman" w:cs="Arial"/>
                <w:b/>
                <w:position w:val="4"/>
                <w:sz w:val="19"/>
                <w:szCs w:val="19"/>
                <w:u w:val="thick"/>
              </w:rPr>
            </w:pPr>
          </w:p>
        </w:tc>
      </w:tr>
      <w:tr w:rsidR="00481F7C" w:rsidRPr="00481F7C" w14:paraId="08B6DD21" w14:textId="77777777" w:rsidTr="00932654">
        <w:tc>
          <w:tcPr>
            <w:tcW w:w="3575" w:type="pct"/>
          </w:tcPr>
          <w:p w14:paraId="6236AFB9" w14:textId="77777777" w:rsidR="00481F7C" w:rsidRPr="00481F7C" w:rsidRDefault="00481F7C" w:rsidP="00481F7C">
            <w:pPr>
              <w:keepLines/>
              <w:tabs>
                <w:tab w:val="right" w:pos="1202"/>
              </w:tabs>
              <w:spacing w:after="0" w:line="240" w:lineRule="exact"/>
              <w:outlineLvl w:val="0"/>
              <w:rPr>
                <w:rFonts w:eastAsia="Times New Roman" w:cs="Arial"/>
                <w:b/>
                <w:bCs/>
                <w:spacing w:val="-3"/>
                <w:sz w:val="19"/>
                <w:szCs w:val="19"/>
              </w:rPr>
            </w:pPr>
            <w:r w:rsidRPr="00481F7C">
              <w:rPr>
                <w:rFonts w:eastAsia="Times New Roman" w:cs="Arial"/>
                <w:b/>
                <w:bCs/>
                <w:sz w:val="19"/>
                <w:szCs w:val="19"/>
              </w:rPr>
              <w:t>Financijske aktivnosti</w:t>
            </w:r>
          </w:p>
        </w:tc>
        <w:tc>
          <w:tcPr>
            <w:tcW w:w="723" w:type="pct"/>
            <w:vAlign w:val="bottom"/>
          </w:tcPr>
          <w:p w14:paraId="6700491C" w14:textId="77777777" w:rsidR="00481F7C" w:rsidRPr="00481F7C" w:rsidRDefault="00481F7C" w:rsidP="00481F7C">
            <w:pPr>
              <w:keepLines/>
              <w:tabs>
                <w:tab w:val="right" w:pos="1202"/>
              </w:tabs>
              <w:spacing w:after="0" w:line="240" w:lineRule="exact"/>
              <w:jc w:val="right"/>
              <w:outlineLvl w:val="0"/>
              <w:rPr>
                <w:rFonts w:eastAsia="Times New Roman" w:cs="Arial"/>
                <w:b/>
                <w:bCs/>
                <w:sz w:val="19"/>
                <w:szCs w:val="19"/>
              </w:rPr>
            </w:pPr>
          </w:p>
        </w:tc>
        <w:tc>
          <w:tcPr>
            <w:tcW w:w="702" w:type="pct"/>
            <w:vAlign w:val="bottom"/>
          </w:tcPr>
          <w:p w14:paraId="1101AF83" w14:textId="77777777" w:rsidR="00481F7C" w:rsidRPr="00481F7C" w:rsidRDefault="00481F7C" w:rsidP="00481F7C">
            <w:pPr>
              <w:keepLines/>
              <w:tabs>
                <w:tab w:val="right" w:pos="1202"/>
              </w:tabs>
              <w:spacing w:after="0" w:line="240" w:lineRule="auto"/>
              <w:jc w:val="right"/>
              <w:outlineLvl w:val="0"/>
              <w:rPr>
                <w:rFonts w:eastAsia="Times New Roman" w:cs="Arial"/>
                <w:b/>
                <w:bCs/>
                <w:sz w:val="19"/>
                <w:szCs w:val="19"/>
              </w:rPr>
            </w:pPr>
          </w:p>
        </w:tc>
      </w:tr>
      <w:tr w:rsidR="00481F7C" w:rsidRPr="00481F7C" w14:paraId="2FEBC7B4" w14:textId="77777777" w:rsidTr="00932654">
        <w:tc>
          <w:tcPr>
            <w:tcW w:w="3575" w:type="pct"/>
          </w:tcPr>
          <w:p w14:paraId="6A4DF8BA" w14:textId="77777777" w:rsidR="00481F7C" w:rsidRPr="00481F7C" w:rsidRDefault="00481F7C" w:rsidP="00481F7C">
            <w:pPr>
              <w:keepLines/>
              <w:tabs>
                <w:tab w:val="right" w:pos="1202"/>
              </w:tabs>
              <w:spacing w:after="0" w:line="240" w:lineRule="exact"/>
              <w:outlineLvl w:val="0"/>
              <w:rPr>
                <w:rFonts w:eastAsia="Times New Roman" w:cs="Arial"/>
                <w:spacing w:val="-3"/>
                <w:sz w:val="19"/>
                <w:szCs w:val="19"/>
              </w:rPr>
            </w:pPr>
            <w:r w:rsidRPr="00481F7C">
              <w:rPr>
                <w:rFonts w:ascii="Calibri" w:hAnsi="Calibri" w:cs="Calibri"/>
                <w:spacing w:val="-3"/>
                <w:sz w:val="19"/>
                <w:szCs w:val="19"/>
              </w:rPr>
              <w:t>Povećanje osnivačkog kapitala</w:t>
            </w:r>
          </w:p>
        </w:tc>
        <w:tc>
          <w:tcPr>
            <w:tcW w:w="723" w:type="pct"/>
            <w:tcBorders>
              <w:top w:val="nil"/>
              <w:left w:val="nil"/>
              <w:bottom w:val="nil"/>
              <w:right w:val="nil"/>
            </w:tcBorders>
            <w:shd w:val="clear" w:color="auto" w:fill="auto"/>
            <w:vAlign w:val="bottom"/>
          </w:tcPr>
          <w:p w14:paraId="4C4BEB2F" w14:textId="77777777" w:rsidR="00481F7C" w:rsidRPr="00481F7C" w:rsidRDefault="00481F7C" w:rsidP="00481F7C">
            <w:pPr>
              <w:keepLines/>
              <w:tabs>
                <w:tab w:val="right" w:pos="1202"/>
              </w:tabs>
              <w:spacing w:after="0" w:line="240" w:lineRule="exact"/>
              <w:jc w:val="right"/>
              <w:outlineLvl w:val="0"/>
              <w:rPr>
                <w:rFonts w:eastAsia="Times New Roman" w:cs="Arial"/>
                <w:spacing w:val="-2"/>
                <w:sz w:val="19"/>
                <w:szCs w:val="19"/>
              </w:rPr>
            </w:pPr>
            <w:r w:rsidRPr="00481F7C">
              <w:rPr>
                <w:rFonts w:eastAsia="Times New Roman" w:cs="Arial"/>
                <w:spacing w:val="-2"/>
                <w:sz w:val="19"/>
                <w:szCs w:val="19"/>
              </w:rPr>
              <w:t>-</w:t>
            </w:r>
          </w:p>
        </w:tc>
        <w:tc>
          <w:tcPr>
            <w:tcW w:w="702" w:type="pct"/>
            <w:tcBorders>
              <w:top w:val="nil"/>
              <w:left w:val="nil"/>
              <w:bottom w:val="nil"/>
              <w:right w:val="nil"/>
            </w:tcBorders>
            <w:shd w:val="clear" w:color="auto" w:fill="auto"/>
            <w:vAlign w:val="bottom"/>
          </w:tcPr>
          <w:p w14:paraId="178A4E55" w14:textId="1B545189" w:rsidR="00481F7C" w:rsidRPr="00481F7C" w:rsidRDefault="00481F7C" w:rsidP="00481F7C">
            <w:pPr>
              <w:keepLines/>
              <w:tabs>
                <w:tab w:val="right" w:pos="1202"/>
              </w:tabs>
              <w:spacing w:after="0" w:line="240" w:lineRule="auto"/>
              <w:jc w:val="right"/>
              <w:outlineLvl w:val="0"/>
              <w:rPr>
                <w:rFonts w:eastAsia="Times New Roman" w:cs="Arial"/>
                <w:spacing w:val="-2"/>
                <w:sz w:val="19"/>
                <w:szCs w:val="19"/>
              </w:rPr>
            </w:pPr>
            <w:r w:rsidRPr="00481F7C">
              <w:rPr>
                <w:rFonts w:eastAsia="Times New Roman" w:cs="Arial"/>
                <w:spacing w:val="-2"/>
                <w:sz w:val="19"/>
                <w:szCs w:val="19"/>
              </w:rPr>
              <w:t>-</w:t>
            </w:r>
          </w:p>
        </w:tc>
      </w:tr>
      <w:tr w:rsidR="00481F7C" w:rsidRPr="00481F7C" w14:paraId="14CF00A3" w14:textId="77777777" w:rsidTr="00932654">
        <w:tc>
          <w:tcPr>
            <w:tcW w:w="3575" w:type="pct"/>
          </w:tcPr>
          <w:p w14:paraId="03592068" w14:textId="77777777" w:rsidR="00481F7C" w:rsidRPr="00481F7C" w:rsidRDefault="00481F7C" w:rsidP="00481F7C">
            <w:pPr>
              <w:keepLines/>
              <w:tabs>
                <w:tab w:val="right" w:pos="1202"/>
              </w:tabs>
              <w:spacing w:after="0" w:line="240" w:lineRule="exact"/>
              <w:outlineLvl w:val="0"/>
              <w:rPr>
                <w:rFonts w:eastAsia="Times New Roman" w:cs="Arial"/>
                <w:spacing w:val="-3"/>
                <w:sz w:val="19"/>
                <w:szCs w:val="19"/>
              </w:rPr>
            </w:pPr>
            <w:r w:rsidRPr="00481F7C">
              <w:rPr>
                <w:rFonts w:eastAsia="Times New Roman" w:cs="Arial"/>
                <w:spacing w:val="-3"/>
                <w:sz w:val="19"/>
                <w:szCs w:val="19"/>
              </w:rPr>
              <w:t>Povećanje obveza po kreditima povlačenjem sredstava kredita</w:t>
            </w:r>
          </w:p>
        </w:tc>
        <w:tc>
          <w:tcPr>
            <w:tcW w:w="723" w:type="pct"/>
            <w:tcBorders>
              <w:top w:val="nil"/>
              <w:left w:val="nil"/>
              <w:bottom w:val="nil"/>
              <w:right w:val="nil"/>
            </w:tcBorders>
            <w:shd w:val="clear" w:color="auto" w:fill="auto"/>
            <w:vAlign w:val="bottom"/>
          </w:tcPr>
          <w:p w14:paraId="0D3CEB5C" w14:textId="174F8C02" w:rsidR="00481F7C" w:rsidRPr="00481F7C" w:rsidRDefault="00945830" w:rsidP="00481F7C">
            <w:pPr>
              <w:keepLines/>
              <w:tabs>
                <w:tab w:val="right" w:pos="1202"/>
              </w:tabs>
              <w:spacing w:after="0" w:line="240" w:lineRule="exact"/>
              <w:jc w:val="right"/>
              <w:outlineLvl w:val="0"/>
              <w:rPr>
                <w:rFonts w:eastAsia="Times New Roman" w:cs="Arial"/>
                <w:spacing w:val="-2"/>
                <w:sz w:val="19"/>
                <w:szCs w:val="19"/>
              </w:rPr>
            </w:pPr>
            <w:r w:rsidRPr="00945830">
              <w:rPr>
                <w:rFonts w:eastAsia="Times New Roman" w:cs="Arial"/>
                <w:spacing w:val="-2"/>
                <w:sz w:val="19"/>
                <w:szCs w:val="19"/>
              </w:rPr>
              <w:t>3.154.491</w:t>
            </w:r>
          </w:p>
        </w:tc>
        <w:tc>
          <w:tcPr>
            <w:tcW w:w="702" w:type="pct"/>
            <w:tcBorders>
              <w:top w:val="nil"/>
              <w:left w:val="nil"/>
              <w:bottom w:val="nil"/>
              <w:right w:val="nil"/>
            </w:tcBorders>
            <w:shd w:val="clear" w:color="auto" w:fill="auto"/>
            <w:vAlign w:val="bottom"/>
          </w:tcPr>
          <w:p w14:paraId="751DD706" w14:textId="0C666279" w:rsidR="00481F7C" w:rsidRPr="00481F7C" w:rsidRDefault="00481F7C" w:rsidP="00312975">
            <w:pPr>
              <w:keepLines/>
              <w:tabs>
                <w:tab w:val="right" w:pos="1202"/>
              </w:tabs>
              <w:spacing w:after="0" w:line="240" w:lineRule="exact"/>
              <w:jc w:val="right"/>
              <w:outlineLvl w:val="0"/>
              <w:rPr>
                <w:rFonts w:eastAsia="Times New Roman" w:cs="Arial"/>
                <w:spacing w:val="-2"/>
                <w:sz w:val="19"/>
                <w:szCs w:val="19"/>
              </w:rPr>
            </w:pPr>
            <w:r w:rsidRPr="00481F7C">
              <w:rPr>
                <w:rFonts w:eastAsia="Times New Roman" w:cs="Arial"/>
                <w:spacing w:val="-2"/>
                <w:sz w:val="19"/>
                <w:szCs w:val="19"/>
              </w:rPr>
              <w:t>1.102.744</w:t>
            </w:r>
          </w:p>
        </w:tc>
      </w:tr>
      <w:tr w:rsidR="00481F7C" w:rsidRPr="00481F7C" w14:paraId="3526C438" w14:textId="77777777" w:rsidTr="00932654">
        <w:tc>
          <w:tcPr>
            <w:tcW w:w="3575" w:type="pct"/>
          </w:tcPr>
          <w:p w14:paraId="64581FA4" w14:textId="77777777" w:rsidR="00481F7C" w:rsidRPr="00481F7C" w:rsidRDefault="00481F7C" w:rsidP="00481F7C">
            <w:pPr>
              <w:keepLines/>
              <w:tabs>
                <w:tab w:val="right" w:pos="1202"/>
              </w:tabs>
              <w:spacing w:after="0" w:line="240" w:lineRule="exact"/>
              <w:outlineLvl w:val="0"/>
              <w:rPr>
                <w:rFonts w:eastAsia="Times New Roman" w:cs="Arial"/>
                <w:spacing w:val="-3"/>
                <w:sz w:val="19"/>
                <w:szCs w:val="19"/>
              </w:rPr>
            </w:pPr>
            <w:r w:rsidRPr="00481F7C">
              <w:rPr>
                <w:rFonts w:eastAsia="Times New Roman" w:cs="Arial"/>
                <w:spacing w:val="-3"/>
                <w:sz w:val="19"/>
                <w:szCs w:val="19"/>
              </w:rPr>
              <w:t>(Smanjenje) obveza po kreditima otplatom glavnice kredita</w:t>
            </w:r>
          </w:p>
        </w:tc>
        <w:tc>
          <w:tcPr>
            <w:tcW w:w="723" w:type="pct"/>
            <w:tcBorders>
              <w:top w:val="nil"/>
              <w:left w:val="nil"/>
              <w:bottom w:val="nil"/>
              <w:right w:val="nil"/>
            </w:tcBorders>
            <w:shd w:val="clear" w:color="auto" w:fill="auto"/>
            <w:vAlign w:val="bottom"/>
          </w:tcPr>
          <w:p w14:paraId="23C2B9C9" w14:textId="0D483788" w:rsidR="00481F7C" w:rsidRPr="00481F7C" w:rsidRDefault="00945830" w:rsidP="00481F7C">
            <w:pPr>
              <w:keepLines/>
              <w:tabs>
                <w:tab w:val="right" w:pos="1202"/>
              </w:tabs>
              <w:spacing w:after="0" w:line="240" w:lineRule="exact"/>
              <w:jc w:val="right"/>
              <w:outlineLvl w:val="0"/>
              <w:rPr>
                <w:rFonts w:eastAsia="Times New Roman" w:cs="Arial"/>
                <w:spacing w:val="-2"/>
                <w:sz w:val="19"/>
                <w:szCs w:val="19"/>
              </w:rPr>
            </w:pPr>
            <w:r w:rsidRPr="00945830">
              <w:rPr>
                <w:rFonts w:eastAsia="Times New Roman" w:cs="Arial"/>
                <w:spacing w:val="-2"/>
                <w:sz w:val="19"/>
                <w:szCs w:val="19"/>
              </w:rPr>
              <w:t>(823.167)</w:t>
            </w:r>
          </w:p>
        </w:tc>
        <w:tc>
          <w:tcPr>
            <w:tcW w:w="702" w:type="pct"/>
            <w:tcBorders>
              <w:top w:val="nil"/>
              <w:left w:val="nil"/>
              <w:bottom w:val="nil"/>
              <w:right w:val="nil"/>
            </w:tcBorders>
            <w:shd w:val="clear" w:color="auto" w:fill="auto"/>
            <w:vAlign w:val="bottom"/>
          </w:tcPr>
          <w:p w14:paraId="005E1A62" w14:textId="77DFDBAF" w:rsidR="00481F7C" w:rsidRPr="00481F7C" w:rsidRDefault="00481F7C" w:rsidP="00312975">
            <w:pPr>
              <w:keepLines/>
              <w:tabs>
                <w:tab w:val="right" w:pos="1202"/>
              </w:tabs>
              <w:spacing w:after="0" w:line="240" w:lineRule="exact"/>
              <w:jc w:val="right"/>
              <w:outlineLvl w:val="0"/>
              <w:rPr>
                <w:rFonts w:eastAsia="Times New Roman" w:cs="Arial"/>
                <w:spacing w:val="-2"/>
                <w:sz w:val="19"/>
                <w:szCs w:val="19"/>
              </w:rPr>
            </w:pPr>
            <w:r w:rsidRPr="00481F7C">
              <w:rPr>
                <w:rFonts w:eastAsia="Times New Roman" w:cs="Arial"/>
                <w:spacing w:val="-2"/>
                <w:sz w:val="19"/>
                <w:szCs w:val="19"/>
              </w:rPr>
              <w:t>(453.307)</w:t>
            </w:r>
          </w:p>
        </w:tc>
      </w:tr>
      <w:tr w:rsidR="00945830" w:rsidRPr="00481F7C" w14:paraId="0D6E5F63" w14:textId="77777777" w:rsidTr="00932654">
        <w:tc>
          <w:tcPr>
            <w:tcW w:w="3575" w:type="pct"/>
          </w:tcPr>
          <w:p w14:paraId="768536D1" w14:textId="2AB6B118" w:rsidR="00945830" w:rsidRPr="00481F7C" w:rsidRDefault="00B760D0" w:rsidP="008514E4">
            <w:pPr>
              <w:keepLines/>
              <w:tabs>
                <w:tab w:val="right" w:pos="1202"/>
              </w:tabs>
              <w:spacing w:after="0" w:line="240" w:lineRule="exact"/>
              <w:outlineLvl w:val="0"/>
              <w:rPr>
                <w:rFonts w:eastAsia="Times New Roman" w:cs="Arial"/>
                <w:spacing w:val="-3"/>
                <w:sz w:val="19"/>
                <w:szCs w:val="19"/>
              </w:rPr>
            </w:pPr>
            <w:r>
              <w:rPr>
                <w:rFonts w:eastAsia="Times New Roman" w:cs="Arial"/>
                <w:spacing w:val="-3"/>
                <w:sz w:val="19"/>
                <w:szCs w:val="19"/>
              </w:rPr>
              <w:t>(</w:t>
            </w:r>
            <w:r w:rsidR="000B3518">
              <w:rPr>
                <w:rFonts w:eastAsia="Times New Roman" w:cs="Arial"/>
                <w:spacing w:val="-3"/>
                <w:sz w:val="19"/>
                <w:szCs w:val="19"/>
              </w:rPr>
              <w:t>Smanjenje</w:t>
            </w:r>
            <w:r>
              <w:rPr>
                <w:rFonts w:eastAsia="Times New Roman" w:cs="Arial"/>
                <w:spacing w:val="-3"/>
                <w:sz w:val="19"/>
                <w:szCs w:val="19"/>
              </w:rPr>
              <w:t>)</w:t>
            </w:r>
            <w:r w:rsidR="000B3518">
              <w:rPr>
                <w:rFonts w:eastAsia="Times New Roman" w:cs="Arial"/>
                <w:spacing w:val="-3"/>
                <w:sz w:val="19"/>
                <w:szCs w:val="19"/>
              </w:rPr>
              <w:t xml:space="preserve"> obveza</w:t>
            </w:r>
            <w:r w:rsidR="00945830" w:rsidRPr="00945830">
              <w:rPr>
                <w:rFonts w:eastAsia="Times New Roman" w:cs="Arial"/>
                <w:spacing w:val="-3"/>
                <w:sz w:val="19"/>
                <w:szCs w:val="19"/>
              </w:rPr>
              <w:t xml:space="preserve"> za izdane dugoročne vrijednosne papire </w:t>
            </w:r>
            <w:r w:rsidR="0075177B">
              <w:rPr>
                <w:rFonts w:eastAsia="Times New Roman" w:cs="Arial"/>
                <w:spacing w:val="-3"/>
                <w:sz w:val="19"/>
                <w:szCs w:val="19"/>
              </w:rPr>
              <w:t xml:space="preserve">jednokratnom </w:t>
            </w:r>
            <w:r w:rsidR="00945830" w:rsidRPr="00945830">
              <w:rPr>
                <w:rFonts w:eastAsia="Times New Roman" w:cs="Arial"/>
                <w:spacing w:val="-3"/>
                <w:sz w:val="19"/>
                <w:szCs w:val="19"/>
              </w:rPr>
              <w:t>otplatom</w:t>
            </w:r>
          </w:p>
        </w:tc>
        <w:tc>
          <w:tcPr>
            <w:tcW w:w="723" w:type="pct"/>
            <w:tcBorders>
              <w:top w:val="nil"/>
              <w:left w:val="nil"/>
              <w:bottom w:val="nil"/>
              <w:right w:val="nil"/>
            </w:tcBorders>
            <w:shd w:val="clear" w:color="auto" w:fill="auto"/>
            <w:vAlign w:val="bottom"/>
          </w:tcPr>
          <w:p w14:paraId="6F94EAE1" w14:textId="62904CC8" w:rsidR="00945830" w:rsidRPr="00945830" w:rsidRDefault="00945830" w:rsidP="00481F7C">
            <w:pPr>
              <w:keepLines/>
              <w:tabs>
                <w:tab w:val="right" w:pos="1202"/>
              </w:tabs>
              <w:spacing w:after="0" w:line="240" w:lineRule="exact"/>
              <w:jc w:val="right"/>
              <w:outlineLvl w:val="0"/>
              <w:rPr>
                <w:rFonts w:eastAsia="Times New Roman" w:cs="Arial"/>
                <w:spacing w:val="-2"/>
                <w:sz w:val="19"/>
                <w:szCs w:val="19"/>
              </w:rPr>
            </w:pPr>
            <w:r w:rsidRPr="00945830">
              <w:rPr>
                <w:rFonts w:eastAsia="Times New Roman" w:cs="Arial"/>
                <w:spacing w:val="-2"/>
                <w:sz w:val="19"/>
                <w:szCs w:val="19"/>
              </w:rPr>
              <w:t>(1.852.051)</w:t>
            </w:r>
          </w:p>
        </w:tc>
        <w:tc>
          <w:tcPr>
            <w:tcW w:w="702" w:type="pct"/>
            <w:tcBorders>
              <w:top w:val="nil"/>
              <w:left w:val="nil"/>
              <w:bottom w:val="nil"/>
              <w:right w:val="nil"/>
            </w:tcBorders>
            <w:shd w:val="clear" w:color="auto" w:fill="auto"/>
            <w:vAlign w:val="bottom"/>
          </w:tcPr>
          <w:p w14:paraId="3F03BCCA" w14:textId="5C07D16C" w:rsidR="00945830" w:rsidRPr="00481F7C" w:rsidRDefault="00945830" w:rsidP="00481F7C">
            <w:pPr>
              <w:keepLines/>
              <w:tabs>
                <w:tab w:val="right" w:pos="1202"/>
              </w:tabs>
              <w:spacing w:after="0" w:line="240" w:lineRule="auto"/>
              <w:jc w:val="right"/>
              <w:outlineLvl w:val="0"/>
              <w:rPr>
                <w:rFonts w:eastAsia="Times New Roman" w:cs="Arial"/>
                <w:spacing w:val="-2"/>
                <w:sz w:val="19"/>
                <w:szCs w:val="19"/>
              </w:rPr>
            </w:pPr>
            <w:r>
              <w:rPr>
                <w:rFonts w:eastAsia="Times New Roman" w:cs="Arial"/>
                <w:spacing w:val="-2"/>
                <w:sz w:val="19"/>
                <w:szCs w:val="19"/>
              </w:rPr>
              <w:t>-</w:t>
            </w:r>
          </w:p>
        </w:tc>
      </w:tr>
      <w:tr w:rsidR="00481F7C" w:rsidRPr="00481F7C" w14:paraId="12B57103" w14:textId="77777777" w:rsidTr="00932654">
        <w:trPr>
          <w:trHeight w:hRule="exact" w:val="113"/>
        </w:trPr>
        <w:tc>
          <w:tcPr>
            <w:tcW w:w="3575" w:type="pct"/>
            <w:tcBorders>
              <w:bottom w:val="single" w:sz="2" w:space="0" w:color="auto"/>
            </w:tcBorders>
          </w:tcPr>
          <w:p w14:paraId="2B426F0A" w14:textId="77777777" w:rsidR="00481F7C" w:rsidRPr="00481F7C" w:rsidRDefault="00481F7C" w:rsidP="00481F7C">
            <w:pPr>
              <w:keepLines/>
              <w:spacing w:after="0" w:line="240" w:lineRule="exact"/>
              <w:ind w:right="731"/>
              <w:jc w:val="right"/>
              <w:rPr>
                <w:rFonts w:eastAsia="Times New Roman" w:cs="Arial"/>
                <w:b/>
                <w:position w:val="4"/>
                <w:sz w:val="19"/>
                <w:szCs w:val="19"/>
              </w:rPr>
            </w:pPr>
          </w:p>
        </w:tc>
        <w:tc>
          <w:tcPr>
            <w:tcW w:w="723" w:type="pct"/>
            <w:tcBorders>
              <w:bottom w:val="single" w:sz="2" w:space="0" w:color="auto"/>
            </w:tcBorders>
            <w:vAlign w:val="bottom"/>
          </w:tcPr>
          <w:p w14:paraId="2EAA9A91" w14:textId="77777777" w:rsidR="00481F7C" w:rsidRPr="00481F7C" w:rsidRDefault="00481F7C" w:rsidP="00481F7C">
            <w:pPr>
              <w:keepLines/>
              <w:spacing w:after="0" w:line="240" w:lineRule="exact"/>
              <w:jc w:val="right"/>
              <w:rPr>
                <w:rFonts w:eastAsia="Times New Roman" w:cs="Arial"/>
                <w:spacing w:val="-2"/>
                <w:position w:val="4"/>
                <w:sz w:val="19"/>
                <w:szCs w:val="19"/>
              </w:rPr>
            </w:pPr>
          </w:p>
        </w:tc>
        <w:tc>
          <w:tcPr>
            <w:tcW w:w="702" w:type="pct"/>
            <w:tcBorders>
              <w:bottom w:val="single" w:sz="2" w:space="0" w:color="auto"/>
            </w:tcBorders>
            <w:vAlign w:val="bottom"/>
          </w:tcPr>
          <w:p w14:paraId="61F86E89" w14:textId="77777777" w:rsidR="00481F7C" w:rsidRPr="00481F7C" w:rsidRDefault="00481F7C" w:rsidP="00481F7C">
            <w:pPr>
              <w:keepLines/>
              <w:spacing w:after="0" w:line="240" w:lineRule="auto"/>
              <w:jc w:val="right"/>
              <w:rPr>
                <w:rFonts w:eastAsia="Times New Roman" w:cs="Arial"/>
                <w:spacing w:val="-2"/>
                <w:position w:val="4"/>
                <w:sz w:val="19"/>
                <w:szCs w:val="19"/>
              </w:rPr>
            </w:pPr>
          </w:p>
        </w:tc>
      </w:tr>
      <w:tr w:rsidR="00481F7C" w:rsidRPr="00481F7C" w14:paraId="051DCB27" w14:textId="77777777" w:rsidTr="00932654">
        <w:tc>
          <w:tcPr>
            <w:tcW w:w="3575" w:type="pct"/>
            <w:tcBorders>
              <w:top w:val="single" w:sz="2" w:space="0" w:color="auto"/>
              <w:bottom w:val="single" w:sz="12" w:space="0" w:color="auto"/>
            </w:tcBorders>
          </w:tcPr>
          <w:p w14:paraId="55BD4180" w14:textId="23E67A79" w:rsidR="00481F7C" w:rsidRPr="00481F7C" w:rsidRDefault="00481F7C" w:rsidP="0058023F">
            <w:pPr>
              <w:keepLines/>
              <w:tabs>
                <w:tab w:val="right" w:pos="1202"/>
              </w:tabs>
              <w:spacing w:after="0" w:line="240" w:lineRule="exact"/>
              <w:outlineLvl w:val="0"/>
              <w:rPr>
                <w:rFonts w:eastAsia="Times New Roman" w:cs="Arial"/>
                <w:b/>
                <w:bCs/>
                <w:spacing w:val="-3"/>
                <w:sz w:val="19"/>
                <w:szCs w:val="19"/>
              </w:rPr>
            </w:pPr>
            <w:r w:rsidRPr="00481F7C">
              <w:rPr>
                <w:rFonts w:eastAsia="Times New Roman" w:cs="Arial"/>
                <w:b/>
                <w:bCs/>
                <w:sz w:val="19"/>
                <w:szCs w:val="19"/>
              </w:rPr>
              <w:t>Neto novčana sredstva ostvarena</w:t>
            </w:r>
            <w:r w:rsidR="0075177B">
              <w:rPr>
                <w:rFonts w:eastAsia="Times New Roman" w:cs="Arial"/>
                <w:b/>
                <w:bCs/>
                <w:sz w:val="19"/>
                <w:szCs w:val="19"/>
              </w:rPr>
              <w:t xml:space="preserve"> </w:t>
            </w:r>
            <w:r w:rsidRPr="00481F7C">
              <w:rPr>
                <w:rFonts w:eastAsia="Times New Roman" w:cs="Arial"/>
                <w:b/>
                <w:bCs/>
                <w:sz w:val="19"/>
                <w:szCs w:val="19"/>
              </w:rPr>
              <w:t xml:space="preserve">u financijskim aktivnostima </w:t>
            </w:r>
          </w:p>
        </w:tc>
        <w:tc>
          <w:tcPr>
            <w:tcW w:w="723" w:type="pct"/>
            <w:tcBorders>
              <w:top w:val="single" w:sz="2" w:space="0" w:color="auto"/>
            </w:tcBorders>
            <w:vAlign w:val="bottom"/>
          </w:tcPr>
          <w:p w14:paraId="5886BB4B" w14:textId="5924171B" w:rsidR="00481F7C" w:rsidRPr="00481F7C" w:rsidRDefault="00945830" w:rsidP="00481F7C">
            <w:pPr>
              <w:spacing w:after="0" w:line="240" w:lineRule="exact"/>
              <w:jc w:val="right"/>
              <w:rPr>
                <w:rFonts w:eastAsia="Times New Roman" w:cs="Arial"/>
                <w:b/>
                <w:bCs/>
                <w:sz w:val="19"/>
                <w:szCs w:val="19"/>
              </w:rPr>
            </w:pPr>
            <w:r w:rsidRPr="00945830">
              <w:rPr>
                <w:rFonts w:eastAsia="Times New Roman" w:cs="Arial"/>
                <w:b/>
                <w:bCs/>
                <w:sz w:val="19"/>
                <w:szCs w:val="19"/>
              </w:rPr>
              <w:t>479.273</w:t>
            </w:r>
          </w:p>
        </w:tc>
        <w:tc>
          <w:tcPr>
            <w:tcW w:w="702" w:type="pct"/>
            <w:tcBorders>
              <w:top w:val="single" w:sz="2" w:space="0" w:color="auto"/>
            </w:tcBorders>
            <w:vAlign w:val="bottom"/>
          </w:tcPr>
          <w:p w14:paraId="43CC0663" w14:textId="14550067" w:rsidR="00481F7C" w:rsidRPr="00481F7C" w:rsidRDefault="00481F7C" w:rsidP="00312975">
            <w:pPr>
              <w:spacing w:after="0" w:line="240" w:lineRule="exact"/>
              <w:jc w:val="right"/>
              <w:rPr>
                <w:rFonts w:eastAsia="Times New Roman" w:cs="Arial"/>
                <w:b/>
                <w:bCs/>
                <w:sz w:val="19"/>
                <w:szCs w:val="19"/>
              </w:rPr>
            </w:pPr>
            <w:r w:rsidRPr="00481F7C">
              <w:rPr>
                <w:rFonts w:eastAsia="Times New Roman" w:cs="Arial"/>
                <w:b/>
                <w:bCs/>
                <w:sz w:val="19"/>
                <w:szCs w:val="19"/>
              </w:rPr>
              <w:t>649.437</w:t>
            </w:r>
          </w:p>
        </w:tc>
      </w:tr>
      <w:tr w:rsidR="00481F7C" w:rsidRPr="00481F7C" w14:paraId="5042CAFF" w14:textId="77777777" w:rsidTr="00932654">
        <w:trPr>
          <w:trHeight w:hRule="exact" w:val="113"/>
        </w:trPr>
        <w:tc>
          <w:tcPr>
            <w:tcW w:w="3575" w:type="pct"/>
            <w:tcBorders>
              <w:top w:val="single" w:sz="12" w:space="0" w:color="auto"/>
            </w:tcBorders>
          </w:tcPr>
          <w:p w14:paraId="630739B5" w14:textId="77777777" w:rsidR="00481F7C" w:rsidRPr="00481F7C" w:rsidRDefault="00481F7C" w:rsidP="00481F7C">
            <w:pPr>
              <w:keepLines/>
              <w:tabs>
                <w:tab w:val="right" w:pos="1202"/>
              </w:tabs>
              <w:spacing w:after="0" w:line="240" w:lineRule="exact"/>
              <w:outlineLvl w:val="0"/>
              <w:rPr>
                <w:rFonts w:eastAsia="Times New Roman" w:cs="Arial"/>
                <w:b/>
                <w:bCs/>
                <w:sz w:val="19"/>
                <w:szCs w:val="19"/>
              </w:rPr>
            </w:pPr>
          </w:p>
        </w:tc>
        <w:tc>
          <w:tcPr>
            <w:tcW w:w="723" w:type="pct"/>
            <w:tcBorders>
              <w:top w:val="single" w:sz="12" w:space="0" w:color="auto"/>
            </w:tcBorders>
            <w:vAlign w:val="bottom"/>
          </w:tcPr>
          <w:p w14:paraId="273DCAD8" w14:textId="77777777" w:rsidR="00481F7C" w:rsidRPr="00481F7C" w:rsidRDefault="00481F7C" w:rsidP="00481F7C">
            <w:pPr>
              <w:keepLines/>
              <w:spacing w:after="0" w:line="240" w:lineRule="exact"/>
              <w:jc w:val="right"/>
              <w:rPr>
                <w:rFonts w:eastAsia="Times New Roman" w:cs="Arial"/>
                <w:position w:val="4"/>
                <w:sz w:val="19"/>
                <w:szCs w:val="19"/>
                <w:u w:val="thick"/>
              </w:rPr>
            </w:pPr>
          </w:p>
        </w:tc>
        <w:tc>
          <w:tcPr>
            <w:tcW w:w="702" w:type="pct"/>
            <w:tcBorders>
              <w:top w:val="single" w:sz="12" w:space="0" w:color="auto"/>
            </w:tcBorders>
            <w:vAlign w:val="bottom"/>
          </w:tcPr>
          <w:p w14:paraId="089B7E23" w14:textId="77777777" w:rsidR="00481F7C" w:rsidRPr="00481F7C" w:rsidRDefault="00481F7C" w:rsidP="00481F7C">
            <w:pPr>
              <w:keepLines/>
              <w:spacing w:after="0" w:line="240" w:lineRule="auto"/>
              <w:jc w:val="right"/>
              <w:rPr>
                <w:rFonts w:eastAsia="Times New Roman" w:cs="Arial"/>
                <w:position w:val="4"/>
                <w:sz w:val="19"/>
                <w:szCs w:val="19"/>
                <w:u w:val="thick"/>
              </w:rPr>
            </w:pPr>
          </w:p>
        </w:tc>
      </w:tr>
      <w:tr w:rsidR="00481F7C" w:rsidRPr="00481F7C" w14:paraId="353B8F52" w14:textId="77777777" w:rsidTr="00932654">
        <w:tc>
          <w:tcPr>
            <w:tcW w:w="3575" w:type="pct"/>
          </w:tcPr>
          <w:p w14:paraId="2D728103" w14:textId="77777777" w:rsidR="00481F7C" w:rsidRPr="00481F7C" w:rsidRDefault="00481F7C" w:rsidP="00481F7C">
            <w:pPr>
              <w:keepLines/>
              <w:tabs>
                <w:tab w:val="right" w:pos="1202"/>
              </w:tabs>
              <w:spacing w:after="0" w:line="240" w:lineRule="exact"/>
              <w:outlineLvl w:val="0"/>
              <w:rPr>
                <w:rFonts w:eastAsia="Times New Roman" w:cs="Arial"/>
                <w:b/>
                <w:bCs/>
                <w:sz w:val="19"/>
                <w:szCs w:val="19"/>
              </w:rPr>
            </w:pPr>
            <w:r w:rsidRPr="00481F7C">
              <w:rPr>
                <w:rFonts w:eastAsia="Times New Roman" w:cs="Arial"/>
                <w:b/>
                <w:bCs/>
                <w:sz w:val="19"/>
                <w:szCs w:val="19"/>
              </w:rPr>
              <w:t>Učinci promjene tečajeva na novac i novčane ekvivalente</w:t>
            </w:r>
          </w:p>
        </w:tc>
        <w:tc>
          <w:tcPr>
            <w:tcW w:w="723" w:type="pct"/>
            <w:vAlign w:val="bottom"/>
          </w:tcPr>
          <w:p w14:paraId="1CCC2AE8" w14:textId="77777777" w:rsidR="00481F7C" w:rsidRPr="00481F7C" w:rsidRDefault="00481F7C" w:rsidP="00481F7C">
            <w:pPr>
              <w:spacing w:after="0" w:line="240" w:lineRule="exact"/>
              <w:jc w:val="right"/>
              <w:rPr>
                <w:rFonts w:eastAsia="Times New Roman" w:cs="Arial"/>
                <w:b/>
                <w:bCs/>
                <w:sz w:val="19"/>
                <w:szCs w:val="19"/>
              </w:rPr>
            </w:pPr>
          </w:p>
        </w:tc>
        <w:tc>
          <w:tcPr>
            <w:tcW w:w="702" w:type="pct"/>
            <w:vAlign w:val="bottom"/>
          </w:tcPr>
          <w:p w14:paraId="5F96BF73" w14:textId="77777777" w:rsidR="00481F7C" w:rsidRPr="00481F7C" w:rsidRDefault="00481F7C" w:rsidP="00481F7C">
            <w:pPr>
              <w:spacing w:after="0" w:line="240" w:lineRule="auto"/>
              <w:jc w:val="right"/>
              <w:rPr>
                <w:rFonts w:eastAsia="Times New Roman" w:cs="Arial"/>
                <w:b/>
                <w:bCs/>
                <w:sz w:val="19"/>
                <w:szCs w:val="19"/>
              </w:rPr>
            </w:pPr>
          </w:p>
        </w:tc>
      </w:tr>
      <w:tr w:rsidR="00481F7C" w:rsidRPr="00481F7C" w14:paraId="0E884280" w14:textId="77777777" w:rsidTr="00932654">
        <w:tc>
          <w:tcPr>
            <w:tcW w:w="3575" w:type="pct"/>
          </w:tcPr>
          <w:p w14:paraId="48F60FE2" w14:textId="77777777" w:rsidR="00481F7C" w:rsidRPr="00481F7C" w:rsidRDefault="00481F7C" w:rsidP="00481F7C">
            <w:pPr>
              <w:keepLines/>
              <w:tabs>
                <w:tab w:val="right" w:pos="1202"/>
              </w:tabs>
              <w:spacing w:after="0" w:line="240" w:lineRule="exact"/>
              <w:outlineLvl w:val="0"/>
              <w:rPr>
                <w:rFonts w:eastAsia="Times New Roman" w:cs="Arial"/>
                <w:bCs/>
                <w:sz w:val="19"/>
                <w:szCs w:val="19"/>
              </w:rPr>
            </w:pPr>
            <w:r w:rsidRPr="00481F7C">
              <w:rPr>
                <w:rFonts w:eastAsia="Times New Roman" w:cs="Arial"/>
                <w:bCs/>
                <w:sz w:val="19"/>
                <w:szCs w:val="19"/>
              </w:rPr>
              <w:t>Neto tečajne razlike</w:t>
            </w:r>
          </w:p>
        </w:tc>
        <w:tc>
          <w:tcPr>
            <w:tcW w:w="723" w:type="pct"/>
            <w:vAlign w:val="bottom"/>
          </w:tcPr>
          <w:p w14:paraId="22CC3BCD" w14:textId="64BB1C87" w:rsidR="00481F7C" w:rsidRPr="00481F7C" w:rsidRDefault="00945830" w:rsidP="00481F7C">
            <w:pPr>
              <w:spacing w:after="0" w:line="240" w:lineRule="exact"/>
              <w:jc w:val="right"/>
              <w:rPr>
                <w:rFonts w:eastAsia="Times New Roman" w:cs="Arial"/>
                <w:bCs/>
                <w:sz w:val="19"/>
                <w:szCs w:val="19"/>
              </w:rPr>
            </w:pPr>
            <w:r w:rsidRPr="00945830">
              <w:rPr>
                <w:rFonts w:eastAsia="Times New Roman" w:cs="Arial"/>
                <w:bCs/>
                <w:sz w:val="19"/>
                <w:szCs w:val="19"/>
              </w:rPr>
              <w:t>(340.857)</w:t>
            </w:r>
          </w:p>
        </w:tc>
        <w:tc>
          <w:tcPr>
            <w:tcW w:w="702" w:type="pct"/>
            <w:vAlign w:val="bottom"/>
          </w:tcPr>
          <w:p w14:paraId="101EF421" w14:textId="73BD562E" w:rsidR="00481F7C" w:rsidRPr="00481F7C" w:rsidRDefault="00481F7C" w:rsidP="00312975">
            <w:pPr>
              <w:spacing w:after="0" w:line="240" w:lineRule="exact"/>
              <w:jc w:val="right"/>
              <w:rPr>
                <w:rFonts w:eastAsia="Times New Roman" w:cs="Arial"/>
                <w:bCs/>
                <w:sz w:val="19"/>
                <w:szCs w:val="19"/>
              </w:rPr>
            </w:pPr>
            <w:r w:rsidRPr="00481F7C">
              <w:rPr>
                <w:rFonts w:eastAsia="Times New Roman" w:cs="Arial"/>
                <w:bCs/>
                <w:sz w:val="19"/>
                <w:szCs w:val="19"/>
              </w:rPr>
              <w:t>(205.753)</w:t>
            </w:r>
          </w:p>
        </w:tc>
      </w:tr>
      <w:tr w:rsidR="00481F7C" w:rsidRPr="00481F7C" w14:paraId="7D18EC9B" w14:textId="77777777" w:rsidTr="00932654">
        <w:trPr>
          <w:trHeight w:hRule="exact" w:val="113"/>
        </w:trPr>
        <w:tc>
          <w:tcPr>
            <w:tcW w:w="3575" w:type="pct"/>
            <w:tcBorders>
              <w:bottom w:val="single" w:sz="2" w:space="0" w:color="auto"/>
            </w:tcBorders>
            <w:vAlign w:val="bottom"/>
          </w:tcPr>
          <w:p w14:paraId="1C6BD7EF" w14:textId="77777777" w:rsidR="00481F7C" w:rsidRPr="00481F7C" w:rsidRDefault="00481F7C" w:rsidP="00481F7C">
            <w:pPr>
              <w:keepLines/>
              <w:tabs>
                <w:tab w:val="decimal" w:pos="1202"/>
              </w:tabs>
              <w:spacing w:after="0" w:line="240" w:lineRule="exact"/>
              <w:rPr>
                <w:rFonts w:eastAsia="Times New Roman" w:cs="Arial"/>
                <w:position w:val="4"/>
                <w:sz w:val="19"/>
                <w:szCs w:val="19"/>
              </w:rPr>
            </w:pPr>
          </w:p>
        </w:tc>
        <w:tc>
          <w:tcPr>
            <w:tcW w:w="723" w:type="pct"/>
            <w:tcBorders>
              <w:bottom w:val="single" w:sz="2" w:space="0" w:color="auto"/>
              <w:right w:val="nil"/>
            </w:tcBorders>
            <w:vAlign w:val="bottom"/>
          </w:tcPr>
          <w:p w14:paraId="70479E79" w14:textId="77777777" w:rsidR="00481F7C" w:rsidRPr="00481F7C" w:rsidRDefault="00481F7C" w:rsidP="00481F7C">
            <w:pPr>
              <w:keepLines/>
              <w:spacing w:after="0" w:line="240" w:lineRule="exact"/>
              <w:jc w:val="right"/>
              <w:rPr>
                <w:rFonts w:eastAsia="Times New Roman" w:cs="Arial"/>
                <w:spacing w:val="-2"/>
                <w:position w:val="4"/>
                <w:sz w:val="19"/>
                <w:szCs w:val="19"/>
              </w:rPr>
            </w:pPr>
          </w:p>
        </w:tc>
        <w:tc>
          <w:tcPr>
            <w:tcW w:w="702" w:type="pct"/>
            <w:tcBorders>
              <w:bottom w:val="single" w:sz="2" w:space="0" w:color="auto"/>
              <w:right w:val="nil"/>
            </w:tcBorders>
            <w:vAlign w:val="bottom"/>
          </w:tcPr>
          <w:p w14:paraId="06978012" w14:textId="77777777" w:rsidR="00481F7C" w:rsidRPr="00481F7C" w:rsidRDefault="00481F7C" w:rsidP="00481F7C">
            <w:pPr>
              <w:keepLines/>
              <w:spacing w:after="0" w:line="240" w:lineRule="auto"/>
              <w:jc w:val="right"/>
              <w:rPr>
                <w:rFonts w:eastAsia="Times New Roman" w:cs="Arial"/>
                <w:spacing w:val="-2"/>
                <w:position w:val="4"/>
                <w:sz w:val="19"/>
                <w:szCs w:val="19"/>
              </w:rPr>
            </w:pPr>
          </w:p>
        </w:tc>
      </w:tr>
      <w:tr w:rsidR="00481F7C" w:rsidRPr="00481F7C" w14:paraId="0C8A9038" w14:textId="77777777" w:rsidTr="00932654">
        <w:trPr>
          <w:trHeight w:val="247"/>
        </w:trPr>
        <w:tc>
          <w:tcPr>
            <w:tcW w:w="3575" w:type="pct"/>
            <w:tcBorders>
              <w:top w:val="single" w:sz="2" w:space="0" w:color="auto"/>
              <w:bottom w:val="single" w:sz="12" w:space="0" w:color="auto"/>
            </w:tcBorders>
            <w:vAlign w:val="bottom"/>
          </w:tcPr>
          <w:p w14:paraId="4039EDBF" w14:textId="77777777" w:rsidR="00481F7C" w:rsidRPr="00481F7C" w:rsidRDefault="00481F7C" w:rsidP="00481F7C">
            <w:pPr>
              <w:keepLines/>
              <w:tabs>
                <w:tab w:val="right" w:pos="1202"/>
              </w:tabs>
              <w:spacing w:after="0" w:line="240" w:lineRule="exact"/>
              <w:outlineLvl w:val="0"/>
              <w:rPr>
                <w:rFonts w:eastAsia="Times New Roman" w:cs="Arial"/>
                <w:b/>
                <w:spacing w:val="-3"/>
                <w:sz w:val="19"/>
                <w:szCs w:val="19"/>
              </w:rPr>
            </w:pPr>
            <w:r w:rsidRPr="00481F7C">
              <w:rPr>
                <w:rFonts w:eastAsia="Times New Roman" w:cs="Arial"/>
                <w:b/>
                <w:spacing w:val="-3"/>
                <w:sz w:val="19"/>
                <w:szCs w:val="19"/>
              </w:rPr>
              <w:t>Neto učinak</w:t>
            </w:r>
          </w:p>
        </w:tc>
        <w:tc>
          <w:tcPr>
            <w:tcW w:w="723" w:type="pct"/>
            <w:tcBorders>
              <w:top w:val="single" w:sz="2" w:space="0" w:color="auto"/>
              <w:right w:val="nil"/>
            </w:tcBorders>
            <w:vAlign w:val="bottom"/>
          </w:tcPr>
          <w:p w14:paraId="0962808C" w14:textId="5510CBE3" w:rsidR="00481F7C" w:rsidRPr="00481F7C" w:rsidRDefault="00945830" w:rsidP="00481F7C">
            <w:pPr>
              <w:keepLines/>
              <w:tabs>
                <w:tab w:val="right" w:pos="1202"/>
              </w:tabs>
              <w:spacing w:after="0" w:line="240" w:lineRule="exact"/>
              <w:jc w:val="right"/>
              <w:outlineLvl w:val="0"/>
              <w:rPr>
                <w:rFonts w:eastAsia="Times New Roman" w:cs="Arial"/>
                <w:b/>
                <w:spacing w:val="-3"/>
                <w:sz w:val="19"/>
                <w:szCs w:val="19"/>
              </w:rPr>
            </w:pPr>
            <w:r w:rsidRPr="00945830">
              <w:rPr>
                <w:rFonts w:eastAsia="Times New Roman" w:cs="Arial"/>
                <w:b/>
                <w:spacing w:val="-3"/>
                <w:sz w:val="19"/>
                <w:szCs w:val="19"/>
              </w:rPr>
              <w:t>(340.857)</w:t>
            </w:r>
          </w:p>
        </w:tc>
        <w:tc>
          <w:tcPr>
            <w:tcW w:w="702" w:type="pct"/>
            <w:tcBorders>
              <w:top w:val="single" w:sz="2" w:space="0" w:color="auto"/>
              <w:right w:val="nil"/>
            </w:tcBorders>
            <w:vAlign w:val="bottom"/>
          </w:tcPr>
          <w:p w14:paraId="22EA2B44" w14:textId="3DB54E6E" w:rsidR="00481F7C" w:rsidRPr="00481F7C" w:rsidRDefault="00481F7C" w:rsidP="00481F7C">
            <w:pPr>
              <w:keepLines/>
              <w:tabs>
                <w:tab w:val="right" w:pos="1202"/>
              </w:tabs>
              <w:spacing w:after="0" w:line="240" w:lineRule="auto"/>
              <w:jc w:val="right"/>
              <w:outlineLvl w:val="0"/>
              <w:rPr>
                <w:rFonts w:eastAsia="Times New Roman" w:cs="Arial"/>
                <w:b/>
                <w:spacing w:val="-3"/>
                <w:sz w:val="19"/>
                <w:szCs w:val="19"/>
              </w:rPr>
            </w:pPr>
            <w:r w:rsidRPr="00481F7C">
              <w:rPr>
                <w:rFonts w:eastAsia="Times New Roman" w:cs="Arial"/>
                <w:b/>
                <w:spacing w:val="-3"/>
                <w:sz w:val="19"/>
                <w:szCs w:val="19"/>
              </w:rPr>
              <w:t>(205.753)</w:t>
            </w:r>
          </w:p>
        </w:tc>
      </w:tr>
      <w:tr w:rsidR="00481F7C" w:rsidRPr="00481F7C" w14:paraId="66434B75" w14:textId="77777777" w:rsidTr="00932654">
        <w:trPr>
          <w:trHeight w:hRule="exact" w:val="113"/>
        </w:trPr>
        <w:tc>
          <w:tcPr>
            <w:tcW w:w="3575" w:type="pct"/>
            <w:tcBorders>
              <w:top w:val="single" w:sz="12" w:space="0" w:color="auto"/>
            </w:tcBorders>
            <w:vAlign w:val="bottom"/>
          </w:tcPr>
          <w:p w14:paraId="3ACB76E1" w14:textId="77777777" w:rsidR="00481F7C" w:rsidRPr="00481F7C" w:rsidRDefault="00481F7C" w:rsidP="00481F7C">
            <w:pPr>
              <w:keepLines/>
              <w:tabs>
                <w:tab w:val="decimal" w:pos="1202"/>
              </w:tabs>
              <w:spacing w:after="0" w:line="240" w:lineRule="exact"/>
              <w:rPr>
                <w:rFonts w:eastAsia="Times New Roman" w:cs="Arial"/>
                <w:position w:val="4"/>
                <w:sz w:val="19"/>
                <w:szCs w:val="19"/>
              </w:rPr>
            </w:pPr>
          </w:p>
        </w:tc>
        <w:tc>
          <w:tcPr>
            <w:tcW w:w="723" w:type="pct"/>
            <w:tcBorders>
              <w:top w:val="single" w:sz="12" w:space="0" w:color="auto"/>
              <w:right w:val="nil"/>
            </w:tcBorders>
            <w:vAlign w:val="bottom"/>
          </w:tcPr>
          <w:p w14:paraId="2A9C7AF8" w14:textId="77777777" w:rsidR="00481F7C" w:rsidRPr="00481F7C" w:rsidRDefault="00481F7C" w:rsidP="00481F7C">
            <w:pPr>
              <w:keepLines/>
              <w:spacing w:after="0" w:line="240" w:lineRule="exact"/>
              <w:jc w:val="right"/>
              <w:rPr>
                <w:rFonts w:eastAsia="Times New Roman" w:cs="Arial"/>
                <w:position w:val="4"/>
                <w:sz w:val="19"/>
                <w:szCs w:val="19"/>
                <w:u w:val="thick"/>
              </w:rPr>
            </w:pPr>
          </w:p>
        </w:tc>
        <w:tc>
          <w:tcPr>
            <w:tcW w:w="702" w:type="pct"/>
            <w:tcBorders>
              <w:top w:val="single" w:sz="12" w:space="0" w:color="auto"/>
              <w:right w:val="nil"/>
            </w:tcBorders>
            <w:vAlign w:val="bottom"/>
          </w:tcPr>
          <w:p w14:paraId="50263EC7" w14:textId="77777777" w:rsidR="00481F7C" w:rsidRPr="00481F7C" w:rsidRDefault="00481F7C" w:rsidP="00481F7C">
            <w:pPr>
              <w:keepLines/>
              <w:spacing w:after="0" w:line="240" w:lineRule="auto"/>
              <w:jc w:val="right"/>
              <w:rPr>
                <w:rFonts w:eastAsia="Times New Roman" w:cs="Arial"/>
                <w:position w:val="4"/>
                <w:sz w:val="19"/>
                <w:szCs w:val="19"/>
                <w:u w:val="thick"/>
              </w:rPr>
            </w:pPr>
          </w:p>
        </w:tc>
      </w:tr>
      <w:tr w:rsidR="00481F7C" w:rsidRPr="00481F7C" w14:paraId="6BF8452C" w14:textId="77777777" w:rsidTr="00932654">
        <w:trPr>
          <w:trHeight w:val="122"/>
        </w:trPr>
        <w:tc>
          <w:tcPr>
            <w:tcW w:w="3575" w:type="pct"/>
            <w:vAlign w:val="center"/>
          </w:tcPr>
          <w:p w14:paraId="3EB2A850" w14:textId="565C87E6" w:rsidR="00481F7C" w:rsidRPr="00481F7C" w:rsidRDefault="0075177B" w:rsidP="0058023F">
            <w:pPr>
              <w:keepLines/>
              <w:tabs>
                <w:tab w:val="right" w:pos="1202"/>
              </w:tabs>
              <w:spacing w:after="0" w:line="240" w:lineRule="exact"/>
              <w:outlineLvl w:val="0"/>
              <w:rPr>
                <w:rFonts w:eastAsia="Times New Roman" w:cs="Arial"/>
                <w:sz w:val="19"/>
                <w:szCs w:val="19"/>
              </w:rPr>
            </w:pPr>
            <w:r>
              <w:rPr>
                <w:rFonts w:eastAsia="Times New Roman" w:cs="Arial"/>
                <w:sz w:val="19"/>
                <w:szCs w:val="19"/>
              </w:rPr>
              <w:t>Neto</w:t>
            </w:r>
            <w:r w:rsidRPr="00481F7C">
              <w:rPr>
                <w:rFonts w:eastAsia="Times New Roman" w:cs="Arial"/>
                <w:sz w:val="19"/>
                <w:szCs w:val="19"/>
              </w:rPr>
              <w:t xml:space="preserve"> povećanje</w:t>
            </w:r>
            <w:r>
              <w:rPr>
                <w:rFonts w:eastAsia="Times New Roman" w:cs="Arial"/>
                <w:sz w:val="19"/>
                <w:szCs w:val="19"/>
              </w:rPr>
              <w:t>/</w:t>
            </w:r>
            <w:r w:rsidR="00481F7C" w:rsidRPr="00481F7C">
              <w:rPr>
                <w:rFonts w:eastAsia="Times New Roman" w:cs="Arial"/>
                <w:sz w:val="19"/>
                <w:szCs w:val="19"/>
              </w:rPr>
              <w:t>(smanjenje) novca i novčanih ekvivalenata</w:t>
            </w:r>
          </w:p>
        </w:tc>
        <w:tc>
          <w:tcPr>
            <w:tcW w:w="723" w:type="pct"/>
            <w:vAlign w:val="bottom"/>
          </w:tcPr>
          <w:p w14:paraId="66EFD29C" w14:textId="47130E3E" w:rsidR="00481F7C" w:rsidRPr="00481F7C" w:rsidRDefault="00945830" w:rsidP="00481F7C">
            <w:pPr>
              <w:keepLines/>
              <w:spacing w:after="0" w:line="240" w:lineRule="exact"/>
              <w:jc w:val="right"/>
              <w:rPr>
                <w:rFonts w:eastAsia="Times New Roman" w:cs="Arial"/>
                <w:spacing w:val="-2"/>
                <w:sz w:val="19"/>
                <w:szCs w:val="19"/>
              </w:rPr>
            </w:pPr>
            <w:r w:rsidRPr="00945830">
              <w:rPr>
                <w:rFonts w:eastAsia="Times New Roman" w:cs="Arial"/>
                <w:spacing w:val="-2"/>
                <w:sz w:val="19"/>
                <w:szCs w:val="19"/>
              </w:rPr>
              <w:t>1.188.126</w:t>
            </w:r>
          </w:p>
        </w:tc>
        <w:tc>
          <w:tcPr>
            <w:tcW w:w="702" w:type="pct"/>
            <w:vAlign w:val="bottom"/>
          </w:tcPr>
          <w:p w14:paraId="196FAACD" w14:textId="4DAF9CAC" w:rsidR="00481F7C" w:rsidRPr="00481F7C" w:rsidRDefault="00481F7C" w:rsidP="00312975">
            <w:pPr>
              <w:keepLines/>
              <w:spacing w:after="0" w:line="240" w:lineRule="exact"/>
              <w:jc w:val="right"/>
              <w:rPr>
                <w:rFonts w:eastAsia="Times New Roman" w:cs="Arial"/>
                <w:spacing w:val="-2"/>
                <w:sz w:val="19"/>
                <w:szCs w:val="19"/>
              </w:rPr>
            </w:pPr>
            <w:r w:rsidRPr="00481F7C">
              <w:rPr>
                <w:rFonts w:eastAsia="Times New Roman" w:cs="Arial"/>
                <w:spacing w:val="-2"/>
                <w:sz w:val="19"/>
                <w:szCs w:val="19"/>
              </w:rPr>
              <w:t>(72.005)</w:t>
            </w:r>
          </w:p>
        </w:tc>
      </w:tr>
      <w:tr w:rsidR="00481F7C" w:rsidRPr="00481F7C" w14:paraId="2713637A" w14:textId="77777777" w:rsidTr="00932654">
        <w:trPr>
          <w:trHeight w:hRule="exact" w:val="113"/>
        </w:trPr>
        <w:tc>
          <w:tcPr>
            <w:tcW w:w="3575" w:type="pct"/>
            <w:vAlign w:val="center"/>
          </w:tcPr>
          <w:p w14:paraId="2E82ACDC" w14:textId="77777777" w:rsidR="00481F7C" w:rsidRPr="00481F7C" w:rsidRDefault="00481F7C" w:rsidP="00481F7C">
            <w:pPr>
              <w:keepLines/>
              <w:tabs>
                <w:tab w:val="right" w:pos="1202"/>
              </w:tabs>
              <w:spacing w:after="0" w:line="240" w:lineRule="exact"/>
              <w:outlineLvl w:val="0"/>
              <w:rPr>
                <w:rFonts w:eastAsia="Times New Roman" w:cs="Arial"/>
                <w:sz w:val="19"/>
                <w:szCs w:val="19"/>
              </w:rPr>
            </w:pPr>
          </w:p>
        </w:tc>
        <w:tc>
          <w:tcPr>
            <w:tcW w:w="723" w:type="pct"/>
            <w:vAlign w:val="bottom"/>
          </w:tcPr>
          <w:p w14:paraId="662E41C5" w14:textId="77777777" w:rsidR="00481F7C" w:rsidRPr="00481F7C" w:rsidRDefault="00481F7C" w:rsidP="00481F7C">
            <w:pPr>
              <w:keepLines/>
              <w:spacing w:after="0" w:line="240" w:lineRule="exact"/>
              <w:jc w:val="center"/>
              <w:rPr>
                <w:rFonts w:eastAsia="Times New Roman" w:cs="Arial"/>
                <w:spacing w:val="-2"/>
                <w:sz w:val="19"/>
                <w:szCs w:val="19"/>
              </w:rPr>
            </w:pPr>
          </w:p>
        </w:tc>
        <w:tc>
          <w:tcPr>
            <w:tcW w:w="702" w:type="pct"/>
            <w:vAlign w:val="bottom"/>
          </w:tcPr>
          <w:p w14:paraId="179E1835" w14:textId="77777777" w:rsidR="00481F7C" w:rsidRPr="00481F7C" w:rsidRDefault="00481F7C" w:rsidP="00312975">
            <w:pPr>
              <w:keepLines/>
              <w:spacing w:after="0" w:line="240" w:lineRule="exact"/>
              <w:jc w:val="right"/>
              <w:rPr>
                <w:rFonts w:eastAsia="Times New Roman" w:cs="Arial"/>
                <w:spacing w:val="-2"/>
                <w:sz w:val="19"/>
                <w:szCs w:val="19"/>
              </w:rPr>
            </w:pPr>
          </w:p>
        </w:tc>
      </w:tr>
      <w:tr w:rsidR="00481F7C" w:rsidRPr="00481F7C" w14:paraId="22DDF794" w14:textId="77777777" w:rsidTr="00932654">
        <w:trPr>
          <w:trHeight w:val="122"/>
        </w:trPr>
        <w:tc>
          <w:tcPr>
            <w:tcW w:w="3575" w:type="pct"/>
            <w:vAlign w:val="center"/>
          </w:tcPr>
          <w:p w14:paraId="2DDBF7F8" w14:textId="77777777" w:rsidR="00481F7C" w:rsidRPr="00481F7C" w:rsidRDefault="00481F7C" w:rsidP="00481F7C">
            <w:pPr>
              <w:keepLines/>
              <w:tabs>
                <w:tab w:val="right" w:pos="1202"/>
              </w:tabs>
              <w:spacing w:after="0" w:line="240" w:lineRule="exact"/>
              <w:outlineLvl w:val="0"/>
              <w:rPr>
                <w:rFonts w:eastAsia="Times New Roman" w:cs="Arial"/>
                <w:sz w:val="19"/>
                <w:szCs w:val="19"/>
              </w:rPr>
            </w:pPr>
            <w:r w:rsidRPr="00481F7C">
              <w:rPr>
                <w:rFonts w:eastAsia="Times New Roman" w:cs="Arial"/>
                <w:sz w:val="19"/>
                <w:szCs w:val="19"/>
              </w:rPr>
              <w:t xml:space="preserve">Stanje na dan 1. siječnja, prije rezerviranja </w:t>
            </w:r>
          </w:p>
        </w:tc>
        <w:tc>
          <w:tcPr>
            <w:tcW w:w="723" w:type="pct"/>
            <w:tcBorders>
              <w:top w:val="nil"/>
              <w:left w:val="nil"/>
              <w:bottom w:val="nil"/>
              <w:right w:val="nil"/>
            </w:tcBorders>
            <w:shd w:val="clear" w:color="auto" w:fill="auto"/>
            <w:vAlign w:val="bottom"/>
          </w:tcPr>
          <w:p w14:paraId="6AC4A4DB" w14:textId="54285256" w:rsidR="00481F7C" w:rsidRPr="00481F7C" w:rsidRDefault="00945830" w:rsidP="00481F7C">
            <w:pPr>
              <w:keepLines/>
              <w:spacing w:after="0" w:line="240" w:lineRule="exact"/>
              <w:jc w:val="right"/>
              <w:rPr>
                <w:rFonts w:eastAsia="Times New Roman" w:cs="Arial"/>
                <w:spacing w:val="-2"/>
                <w:sz w:val="19"/>
                <w:szCs w:val="19"/>
              </w:rPr>
            </w:pPr>
            <w:r w:rsidRPr="00945830">
              <w:rPr>
                <w:rFonts w:eastAsia="Times New Roman" w:cs="Arial"/>
                <w:spacing w:val="-2"/>
                <w:sz w:val="19"/>
                <w:szCs w:val="19"/>
              </w:rPr>
              <w:t>493.774</w:t>
            </w:r>
          </w:p>
        </w:tc>
        <w:tc>
          <w:tcPr>
            <w:tcW w:w="702" w:type="pct"/>
            <w:tcBorders>
              <w:top w:val="nil"/>
              <w:left w:val="nil"/>
              <w:bottom w:val="nil"/>
              <w:right w:val="nil"/>
            </w:tcBorders>
            <w:shd w:val="clear" w:color="auto" w:fill="auto"/>
            <w:vAlign w:val="bottom"/>
          </w:tcPr>
          <w:p w14:paraId="14F55581" w14:textId="3E254FDC" w:rsidR="00481F7C" w:rsidRPr="00481F7C" w:rsidRDefault="00481F7C" w:rsidP="00312975">
            <w:pPr>
              <w:keepLines/>
              <w:spacing w:after="0" w:line="240" w:lineRule="exact"/>
              <w:jc w:val="right"/>
              <w:rPr>
                <w:rFonts w:eastAsia="Times New Roman" w:cs="Arial"/>
                <w:spacing w:val="-2"/>
                <w:sz w:val="19"/>
                <w:szCs w:val="19"/>
              </w:rPr>
            </w:pPr>
            <w:r w:rsidRPr="00481F7C">
              <w:rPr>
                <w:rFonts w:eastAsia="Times New Roman" w:cs="Arial"/>
                <w:spacing w:val="-2"/>
                <w:sz w:val="19"/>
                <w:szCs w:val="19"/>
              </w:rPr>
              <w:t>486.501</w:t>
            </w:r>
          </w:p>
        </w:tc>
      </w:tr>
      <w:tr w:rsidR="00481F7C" w:rsidRPr="00481F7C" w14:paraId="4A21A7D6" w14:textId="77777777" w:rsidTr="00932654">
        <w:trPr>
          <w:trHeight w:val="122"/>
        </w:trPr>
        <w:tc>
          <w:tcPr>
            <w:tcW w:w="3575" w:type="pct"/>
            <w:vAlign w:val="center"/>
          </w:tcPr>
          <w:p w14:paraId="386FA7B5" w14:textId="10624629" w:rsidR="00481F7C" w:rsidRPr="00481F7C" w:rsidRDefault="00481F7C" w:rsidP="0058023F">
            <w:pPr>
              <w:keepLines/>
              <w:tabs>
                <w:tab w:val="right" w:pos="1202"/>
              </w:tabs>
              <w:spacing w:after="0" w:line="260" w:lineRule="exact"/>
              <w:outlineLvl w:val="0"/>
              <w:rPr>
                <w:rFonts w:eastAsia="Times New Roman" w:cs="Arial"/>
                <w:sz w:val="19"/>
                <w:szCs w:val="19"/>
              </w:rPr>
            </w:pPr>
            <w:r w:rsidRPr="00481F7C">
              <w:rPr>
                <w:rFonts w:eastAsia="Times New Roman" w:cs="Arial"/>
                <w:sz w:val="19"/>
                <w:szCs w:val="19"/>
              </w:rPr>
              <w:t xml:space="preserve">Neto </w:t>
            </w:r>
            <w:r w:rsidR="0058686E" w:rsidRPr="00481F7C">
              <w:rPr>
                <w:rFonts w:eastAsia="Times New Roman" w:cs="Arial"/>
                <w:sz w:val="19"/>
                <w:szCs w:val="19"/>
              </w:rPr>
              <w:t>povećanje</w:t>
            </w:r>
            <w:r w:rsidR="0058686E">
              <w:rPr>
                <w:rFonts w:eastAsia="Times New Roman" w:cs="Arial"/>
                <w:sz w:val="19"/>
                <w:szCs w:val="19"/>
              </w:rPr>
              <w:t>/(smanjenje)</w:t>
            </w:r>
            <w:r w:rsidRPr="00481F7C" w:rsidDel="005E6C9F">
              <w:rPr>
                <w:rFonts w:eastAsia="Times New Roman" w:cs="Arial"/>
                <w:sz w:val="19"/>
                <w:szCs w:val="19"/>
              </w:rPr>
              <w:t xml:space="preserve"> </w:t>
            </w:r>
            <w:r w:rsidRPr="00481F7C">
              <w:rPr>
                <w:rFonts w:eastAsia="Times New Roman" w:cs="Arial"/>
                <w:sz w:val="19"/>
                <w:szCs w:val="19"/>
              </w:rPr>
              <w:t>novca</w:t>
            </w:r>
          </w:p>
        </w:tc>
        <w:tc>
          <w:tcPr>
            <w:tcW w:w="723" w:type="pct"/>
            <w:tcBorders>
              <w:top w:val="nil"/>
              <w:left w:val="nil"/>
              <w:bottom w:val="nil"/>
              <w:right w:val="nil"/>
            </w:tcBorders>
            <w:shd w:val="clear" w:color="auto" w:fill="auto"/>
            <w:vAlign w:val="bottom"/>
          </w:tcPr>
          <w:p w14:paraId="2E819469" w14:textId="40811049" w:rsidR="00481F7C" w:rsidRPr="00481F7C" w:rsidRDefault="00945830" w:rsidP="00312975">
            <w:pPr>
              <w:keepLines/>
              <w:spacing w:after="0" w:line="240" w:lineRule="exact"/>
              <w:jc w:val="right"/>
              <w:rPr>
                <w:rFonts w:eastAsia="Times New Roman" w:cs="Arial"/>
                <w:spacing w:val="-2"/>
                <w:sz w:val="19"/>
                <w:szCs w:val="19"/>
              </w:rPr>
            </w:pPr>
            <w:r w:rsidRPr="00945830">
              <w:rPr>
                <w:rFonts w:eastAsia="Times New Roman" w:cs="Arial"/>
                <w:spacing w:val="-2"/>
                <w:sz w:val="19"/>
                <w:szCs w:val="19"/>
              </w:rPr>
              <w:t>1.188.126</w:t>
            </w:r>
          </w:p>
        </w:tc>
        <w:tc>
          <w:tcPr>
            <w:tcW w:w="702" w:type="pct"/>
            <w:tcBorders>
              <w:top w:val="nil"/>
              <w:left w:val="nil"/>
              <w:bottom w:val="nil"/>
              <w:right w:val="nil"/>
            </w:tcBorders>
            <w:shd w:val="clear" w:color="auto" w:fill="auto"/>
            <w:vAlign w:val="bottom"/>
          </w:tcPr>
          <w:p w14:paraId="3C2748D3" w14:textId="0BEC6720" w:rsidR="00481F7C" w:rsidRPr="00481F7C" w:rsidRDefault="00481F7C" w:rsidP="00312975">
            <w:pPr>
              <w:keepLines/>
              <w:spacing w:after="0" w:line="240" w:lineRule="exact"/>
              <w:jc w:val="right"/>
              <w:rPr>
                <w:rFonts w:eastAsia="Times New Roman" w:cs="Arial"/>
                <w:spacing w:val="-2"/>
                <w:sz w:val="19"/>
                <w:szCs w:val="19"/>
              </w:rPr>
            </w:pPr>
            <w:r w:rsidRPr="00481F7C">
              <w:rPr>
                <w:rFonts w:eastAsia="Times New Roman" w:cs="Arial"/>
                <w:spacing w:val="-2"/>
                <w:sz w:val="19"/>
                <w:szCs w:val="19"/>
              </w:rPr>
              <w:t>(72.005)</w:t>
            </w:r>
          </w:p>
        </w:tc>
      </w:tr>
      <w:tr w:rsidR="00481F7C" w:rsidRPr="00481F7C" w14:paraId="55AD79BA" w14:textId="77777777" w:rsidTr="00932654">
        <w:trPr>
          <w:trHeight w:hRule="exact" w:val="113"/>
        </w:trPr>
        <w:tc>
          <w:tcPr>
            <w:tcW w:w="3575" w:type="pct"/>
            <w:tcBorders>
              <w:bottom w:val="single" w:sz="4" w:space="0" w:color="auto"/>
            </w:tcBorders>
          </w:tcPr>
          <w:p w14:paraId="083086C6" w14:textId="77777777" w:rsidR="00481F7C" w:rsidRPr="00481F7C" w:rsidRDefault="00481F7C" w:rsidP="00481F7C">
            <w:pPr>
              <w:keepLines/>
              <w:spacing w:after="0" w:line="240" w:lineRule="exact"/>
              <w:ind w:right="731"/>
              <w:jc w:val="right"/>
              <w:rPr>
                <w:rFonts w:eastAsia="Times New Roman" w:cs="Arial"/>
                <w:b/>
                <w:position w:val="4"/>
                <w:sz w:val="19"/>
                <w:szCs w:val="19"/>
              </w:rPr>
            </w:pPr>
          </w:p>
        </w:tc>
        <w:tc>
          <w:tcPr>
            <w:tcW w:w="723" w:type="pct"/>
            <w:tcBorders>
              <w:bottom w:val="single" w:sz="4" w:space="0" w:color="auto"/>
            </w:tcBorders>
            <w:vAlign w:val="bottom"/>
          </w:tcPr>
          <w:p w14:paraId="48AF1F17" w14:textId="77777777" w:rsidR="00481F7C" w:rsidRPr="00481F7C" w:rsidRDefault="00481F7C" w:rsidP="00481F7C">
            <w:pPr>
              <w:keepLines/>
              <w:spacing w:after="0" w:line="240" w:lineRule="exact"/>
              <w:jc w:val="right"/>
              <w:rPr>
                <w:rFonts w:eastAsia="Times New Roman" w:cs="Arial"/>
                <w:spacing w:val="-2"/>
                <w:position w:val="4"/>
                <w:sz w:val="19"/>
                <w:szCs w:val="19"/>
              </w:rPr>
            </w:pPr>
          </w:p>
        </w:tc>
        <w:tc>
          <w:tcPr>
            <w:tcW w:w="702" w:type="pct"/>
            <w:tcBorders>
              <w:bottom w:val="single" w:sz="4" w:space="0" w:color="auto"/>
            </w:tcBorders>
            <w:vAlign w:val="bottom"/>
          </w:tcPr>
          <w:p w14:paraId="014881F0" w14:textId="77777777" w:rsidR="00481F7C" w:rsidRPr="00481F7C" w:rsidRDefault="00481F7C" w:rsidP="00481F7C">
            <w:pPr>
              <w:keepLines/>
              <w:spacing w:after="0" w:line="240" w:lineRule="auto"/>
              <w:jc w:val="right"/>
              <w:rPr>
                <w:rFonts w:eastAsia="Times New Roman" w:cs="Arial"/>
                <w:spacing w:val="-2"/>
                <w:position w:val="4"/>
                <w:sz w:val="19"/>
                <w:szCs w:val="19"/>
              </w:rPr>
            </w:pPr>
          </w:p>
        </w:tc>
      </w:tr>
      <w:tr w:rsidR="00481F7C" w:rsidRPr="00D36A42" w14:paraId="360E4520" w14:textId="77777777" w:rsidTr="00932654">
        <w:trPr>
          <w:trHeight w:val="122"/>
        </w:trPr>
        <w:tc>
          <w:tcPr>
            <w:tcW w:w="3575" w:type="pct"/>
            <w:tcBorders>
              <w:top w:val="single" w:sz="4" w:space="0" w:color="auto"/>
              <w:bottom w:val="single" w:sz="12" w:space="0" w:color="auto"/>
            </w:tcBorders>
          </w:tcPr>
          <w:p w14:paraId="7B23AE7B" w14:textId="77777777" w:rsidR="00481F7C" w:rsidRPr="00481F7C" w:rsidRDefault="00481F7C" w:rsidP="00481F7C">
            <w:pPr>
              <w:keepLines/>
              <w:tabs>
                <w:tab w:val="right" w:pos="1202"/>
              </w:tabs>
              <w:spacing w:after="0" w:line="240" w:lineRule="exact"/>
              <w:outlineLvl w:val="0"/>
              <w:rPr>
                <w:rFonts w:eastAsia="Times New Roman" w:cs="Arial"/>
                <w:b/>
                <w:bCs/>
                <w:sz w:val="19"/>
                <w:szCs w:val="19"/>
              </w:rPr>
            </w:pPr>
            <w:r w:rsidRPr="00481F7C">
              <w:rPr>
                <w:rFonts w:eastAsia="Times New Roman" w:cs="Arial"/>
                <w:b/>
                <w:bCs/>
                <w:sz w:val="19"/>
                <w:szCs w:val="19"/>
              </w:rPr>
              <w:t>Stanje na dan 30. lipnja, prije rezerviranja                                                                        8</w:t>
            </w:r>
          </w:p>
        </w:tc>
        <w:tc>
          <w:tcPr>
            <w:tcW w:w="723" w:type="pct"/>
            <w:tcBorders>
              <w:top w:val="single" w:sz="4" w:space="0" w:color="auto"/>
              <w:bottom w:val="single" w:sz="12" w:space="0" w:color="auto"/>
            </w:tcBorders>
            <w:vAlign w:val="bottom"/>
          </w:tcPr>
          <w:p w14:paraId="22E9AF27" w14:textId="255F5BA5" w:rsidR="00481F7C" w:rsidRPr="00481F7C" w:rsidRDefault="00945830" w:rsidP="00481F7C">
            <w:pPr>
              <w:spacing w:after="0" w:line="240" w:lineRule="exact"/>
              <w:jc w:val="right"/>
              <w:rPr>
                <w:rFonts w:eastAsia="Times New Roman" w:cs="Arial"/>
                <w:b/>
                <w:bCs/>
                <w:spacing w:val="-2"/>
                <w:sz w:val="19"/>
                <w:szCs w:val="19"/>
              </w:rPr>
            </w:pPr>
            <w:r w:rsidRPr="00945830">
              <w:rPr>
                <w:rFonts w:eastAsia="Times New Roman" w:cs="Arial"/>
                <w:b/>
                <w:bCs/>
                <w:spacing w:val="-2"/>
                <w:sz w:val="19"/>
                <w:szCs w:val="19"/>
              </w:rPr>
              <w:t>1.681.900</w:t>
            </w:r>
          </w:p>
        </w:tc>
        <w:tc>
          <w:tcPr>
            <w:tcW w:w="702" w:type="pct"/>
            <w:tcBorders>
              <w:top w:val="single" w:sz="4" w:space="0" w:color="auto"/>
              <w:bottom w:val="single" w:sz="12" w:space="0" w:color="auto"/>
            </w:tcBorders>
            <w:vAlign w:val="bottom"/>
          </w:tcPr>
          <w:p w14:paraId="79F1386A" w14:textId="454FCBBD" w:rsidR="00481F7C" w:rsidRPr="00481F7C" w:rsidRDefault="00481F7C" w:rsidP="00312975">
            <w:pPr>
              <w:spacing w:after="0" w:line="240" w:lineRule="exact"/>
              <w:jc w:val="right"/>
              <w:rPr>
                <w:rFonts w:eastAsia="Times New Roman" w:cs="Arial"/>
                <w:b/>
                <w:bCs/>
                <w:spacing w:val="-2"/>
                <w:sz w:val="19"/>
                <w:szCs w:val="19"/>
              </w:rPr>
            </w:pPr>
            <w:r w:rsidRPr="00481F7C">
              <w:rPr>
                <w:rFonts w:eastAsia="Times New Roman" w:cs="Arial"/>
                <w:b/>
                <w:bCs/>
                <w:spacing w:val="-2"/>
                <w:sz w:val="19"/>
                <w:szCs w:val="19"/>
              </w:rPr>
              <w:t>414.496</w:t>
            </w:r>
          </w:p>
        </w:tc>
      </w:tr>
      <w:tr w:rsidR="00481F7C" w:rsidRPr="00481F7C" w14:paraId="5D3F07FA" w14:textId="77777777" w:rsidTr="00932654">
        <w:trPr>
          <w:trHeight w:hRule="exact" w:val="113"/>
        </w:trPr>
        <w:tc>
          <w:tcPr>
            <w:tcW w:w="3575" w:type="pct"/>
            <w:tcBorders>
              <w:top w:val="single" w:sz="12" w:space="0" w:color="auto"/>
            </w:tcBorders>
            <w:vAlign w:val="bottom"/>
          </w:tcPr>
          <w:p w14:paraId="5C7EB7F6" w14:textId="77777777" w:rsidR="00481F7C" w:rsidRPr="00481F7C" w:rsidRDefault="00481F7C" w:rsidP="00481F7C">
            <w:pPr>
              <w:keepLines/>
              <w:tabs>
                <w:tab w:val="decimal" w:pos="1202"/>
              </w:tabs>
              <w:spacing w:after="0" w:line="240" w:lineRule="exact"/>
              <w:rPr>
                <w:rFonts w:eastAsia="Times New Roman" w:cs="Arial"/>
                <w:b/>
                <w:position w:val="4"/>
                <w:sz w:val="19"/>
                <w:szCs w:val="19"/>
                <w:u w:val="thick"/>
              </w:rPr>
            </w:pPr>
          </w:p>
        </w:tc>
        <w:tc>
          <w:tcPr>
            <w:tcW w:w="723" w:type="pct"/>
            <w:tcBorders>
              <w:top w:val="single" w:sz="12" w:space="0" w:color="auto"/>
            </w:tcBorders>
            <w:vAlign w:val="bottom"/>
          </w:tcPr>
          <w:p w14:paraId="04644252" w14:textId="77777777" w:rsidR="00481F7C" w:rsidRPr="00481F7C" w:rsidRDefault="00481F7C" w:rsidP="00481F7C">
            <w:pPr>
              <w:keepLines/>
              <w:spacing w:after="0" w:line="240" w:lineRule="exact"/>
              <w:jc w:val="right"/>
              <w:rPr>
                <w:rFonts w:eastAsia="Times New Roman" w:cs="Arial"/>
                <w:b/>
                <w:position w:val="4"/>
                <w:sz w:val="19"/>
                <w:szCs w:val="19"/>
                <w:u w:val="thick"/>
              </w:rPr>
            </w:pPr>
          </w:p>
        </w:tc>
        <w:tc>
          <w:tcPr>
            <w:tcW w:w="702" w:type="pct"/>
            <w:tcBorders>
              <w:top w:val="single" w:sz="12" w:space="0" w:color="auto"/>
            </w:tcBorders>
            <w:vAlign w:val="bottom"/>
          </w:tcPr>
          <w:p w14:paraId="1550F120" w14:textId="77777777" w:rsidR="00481F7C" w:rsidRPr="00481F7C" w:rsidRDefault="00481F7C" w:rsidP="00481F7C">
            <w:pPr>
              <w:keepLines/>
              <w:spacing w:after="0" w:line="240" w:lineRule="auto"/>
              <w:jc w:val="right"/>
              <w:rPr>
                <w:rFonts w:eastAsia="Times New Roman" w:cs="Arial"/>
                <w:b/>
                <w:position w:val="4"/>
                <w:sz w:val="19"/>
                <w:szCs w:val="19"/>
                <w:u w:val="thick"/>
              </w:rPr>
            </w:pPr>
          </w:p>
        </w:tc>
      </w:tr>
      <w:tr w:rsidR="00481F7C" w:rsidRPr="00481F7C" w14:paraId="325D60B5" w14:textId="77777777" w:rsidTr="00932654">
        <w:trPr>
          <w:trHeight w:val="68"/>
        </w:trPr>
        <w:tc>
          <w:tcPr>
            <w:tcW w:w="3575" w:type="pct"/>
            <w:vAlign w:val="bottom"/>
          </w:tcPr>
          <w:p w14:paraId="5621FA3B" w14:textId="77777777" w:rsidR="00481F7C" w:rsidRPr="00481F7C" w:rsidRDefault="00481F7C" w:rsidP="00481F7C">
            <w:pPr>
              <w:keepLines/>
              <w:tabs>
                <w:tab w:val="decimal" w:pos="1202"/>
              </w:tabs>
              <w:spacing w:after="0" w:line="240" w:lineRule="exact"/>
              <w:rPr>
                <w:rFonts w:eastAsia="Times New Roman" w:cs="Arial"/>
                <w:b/>
                <w:position w:val="4"/>
                <w:sz w:val="19"/>
                <w:szCs w:val="19"/>
              </w:rPr>
            </w:pPr>
            <w:r w:rsidRPr="00481F7C">
              <w:rPr>
                <w:rFonts w:eastAsia="Times New Roman" w:cs="Arial"/>
                <w:b/>
                <w:position w:val="4"/>
                <w:sz w:val="19"/>
                <w:szCs w:val="19"/>
              </w:rPr>
              <w:t>Dopunski podaci – poslovne aktivnosti</w:t>
            </w:r>
          </w:p>
        </w:tc>
        <w:tc>
          <w:tcPr>
            <w:tcW w:w="723" w:type="pct"/>
          </w:tcPr>
          <w:p w14:paraId="70897F4C" w14:textId="77777777" w:rsidR="00481F7C" w:rsidRPr="00481F7C" w:rsidRDefault="00481F7C" w:rsidP="00481F7C">
            <w:pPr>
              <w:keepLines/>
              <w:spacing w:after="0" w:line="240" w:lineRule="exact"/>
              <w:jc w:val="right"/>
              <w:rPr>
                <w:rFonts w:eastAsia="Times New Roman" w:cs="Arial"/>
                <w:b/>
                <w:position w:val="4"/>
                <w:sz w:val="19"/>
                <w:szCs w:val="19"/>
              </w:rPr>
            </w:pPr>
          </w:p>
        </w:tc>
        <w:tc>
          <w:tcPr>
            <w:tcW w:w="702" w:type="pct"/>
          </w:tcPr>
          <w:p w14:paraId="65E58CF4" w14:textId="77777777" w:rsidR="00481F7C" w:rsidRPr="00481F7C" w:rsidRDefault="00481F7C" w:rsidP="00481F7C">
            <w:pPr>
              <w:keepLines/>
              <w:spacing w:after="0" w:line="240" w:lineRule="auto"/>
              <w:jc w:val="right"/>
              <w:rPr>
                <w:rFonts w:eastAsia="Times New Roman" w:cs="Arial"/>
                <w:b/>
                <w:position w:val="4"/>
                <w:sz w:val="19"/>
                <w:szCs w:val="19"/>
              </w:rPr>
            </w:pPr>
          </w:p>
        </w:tc>
      </w:tr>
      <w:tr w:rsidR="00481F7C" w:rsidRPr="00481F7C" w14:paraId="6A9CC969" w14:textId="77777777" w:rsidTr="00932654">
        <w:trPr>
          <w:trHeight w:val="68"/>
        </w:trPr>
        <w:tc>
          <w:tcPr>
            <w:tcW w:w="3575" w:type="pct"/>
            <w:vAlign w:val="bottom"/>
          </w:tcPr>
          <w:p w14:paraId="4353C117" w14:textId="77777777" w:rsidR="00481F7C" w:rsidRPr="00481F7C" w:rsidRDefault="00481F7C" w:rsidP="00481F7C">
            <w:pPr>
              <w:keepLines/>
              <w:tabs>
                <w:tab w:val="decimal" w:pos="1202"/>
              </w:tabs>
              <w:spacing w:after="0" w:line="240" w:lineRule="exact"/>
              <w:rPr>
                <w:rFonts w:eastAsia="Times New Roman" w:cs="Arial"/>
                <w:position w:val="4"/>
                <w:sz w:val="19"/>
                <w:szCs w:val="19"/>
              </w:rPr>
            </w:pPr>
            <w:r w:rsidRPr="00481F7C">
              <w:rPr>
                <w:rFonts w:eastAsia="Times New Roman" w:cs="Arial"/>
                <w:position w:val="4"/>
                <w:sz w:val="19"/>
                <w:szCs w:val="19"/>
              </w:rPr>
              <w:t>Plaćene kamate</w:t>
            </w:r>
          </w:p>
        </w:tc>
        <w:tc>
          <w:tcPr>
            <w:tcW w:w="723" w:type="pct"/>
            <w:tcBorders>
              <w:top w:val="nil"/>
              <w:left w:val="nil"/>
              <w:bottom w:val="nil"/>
              <w:right w:val="nil"/>
            </w:tcBorders>
            <w:shd w:val="clear" w:color="auto" w:fill="auto"/>
            <w:vAlign w:val="center"/>
          </w:tcPr>
          <w:p w14:paraId="7F23782D" w14:textId="791BB0F1" w:rsidR="00481F7C" w:rsidRPr="00481F7C" w:rsidRDefault="00945830" w:rsidP="00481F7C">
            <w:pPr>
              <w:keepLines/>
              <w:spacing w:after="0" w:line="240" w:lineRule="exact"/>
              <w:jc w:val="right"/>
              <w:rPr>
                <w:rFonts w:eastAsia="Times New Roman" w:cs="Arial"/>
                <w:position w:val="4"/>
                <w:sz w:val="19"/>
                <w:szCs w:val="19"/>
              </w:rPr>
            </w:pPr>
            <w:r w:rsidRPr="00945830">
              <w:rPr>
                <w:rFonts w:eastAsia="Times New Roman" w:cs="Arial"/>
                <w:position w:val="4"/>
                <w:sz w:val="19"/>
                <w:szCs w:val="19"/>
              </w:rPr>
              <w:t>294.418</w:t>
            </w:r>
          </w:p>
        </w:tc>
        <w:tc>
          <w:tcPr>
            <w:tcW w:w="702" w:type="pct"/>
            <w:tcBorders>
              <w:top w:val="nil"/>
              <w:left w:val="nil"/>
              <w:bottom w:val="nil"/>
              <w:right w:val="nil"/>
            </w:tcBorders>
            <w:shd w:val="clear" w:color="auto" w:fill="auto"/>
            <w:vAlign w:val="center"/>
          </w:tcPr>
          <w:p w14:paraId="0EC65AF9" w14:textId="61C300E8" w:rsidR="00481F7C" w:rsidRPr="00481F7C" w:rsidRDefault="00481F7C" w:rsidP="00312975">
            <w:pPr>
              <w:keepLines/>
              <w:spacing w:after="0" w:line="240" w:lineRule="exact"/>
              <w:jc w:val="right"/>
              <w:rPr>
                <w:rFonts w:eastAsia="Times New Roman" w:cs="Arial"/>
                <w:position w:val="4"/>
                <w:sz w:val="19"/>
                <w:szCs w:val="19"/>
              </w:rPr>
            </w:pPr>
            <w:r w:rsidRPr="00481F7C">
              <w:rPr>
                <w:rFonts w:eastAsia="Times New Roman" w:cs="Arial"/>
                <w:position w:val="4"/>
                <w:sz w:val="19"/>
                <w:szCs w:val="19"/>
              </w:rPr>
              <w:t>311.376</w:t>
            </w:r>
          </w:p>
        </w:tc>
      </w:tr>
      <w:tr w:rsidR="00481F7C" w:rsidRPr="00481F7C" w14:paraId="1032BBC3" w14:textId="77777777" w:rsidTr="00932654">
        <w:trPr>
          <w:trHeight w:val="68"/>
        </w:trPr>
        <w:tc>
          <w:tcPr>
            <w:tcW w:w="3575" w:type="pct"/>
            <w:vAlign w:val="bottom"/>
          </w:tcPr>
          <w:p w14:paraId="1BE7C1E0" w14:textId="77777777" w:rsidR="00481F7C" w:rsidRPr="00481F7C" w:rsidRDefault="00481F7C" w:rsidP="00481F7C">
            <w:pPr>
              <w:keepLines/>
              <w:tabs>
                <w:tab w:val="decimal" w:pos="1202"/>
              </w:tabs>
              <w:spacing w:after="0" w:line="240" w:lineRule="exact"/>
              <w:rPr>
                <w:rFonts w:eastAsia="Times New Roman" w:cs="Arial"/>
                <w:position w:val="4"/>
                <w:sz w:val="19"/>
                <w:szCs w:val="19"/>
              </w:rPr>
            </w:pPr>
            <w:r w:rsidRPr="00481F7C">
              <w:rPr>
                <w:rFonts w:eastAsia="Times New Roman" w:cs="Arial"/>
                <w:position w:val="4"/>
                <w:sz w:val="19"/>
                <w:szCs w:val="19"/>
              </w:rPr>
              <w:t>Primljene kamate</w:t>
            </w:r>
          </w:p>
        </w:tc>
        <w:tc>
          <w:tcPr>
            <w:tcW w:w="723" w:type="pct"/>
            <w:tcBorders>
              <w:top w:val="nil"/>
              <w:left w:val="nil"/>
              <w:bottom w:val="nil"/>
              <w:right w:val="nil"/>
            </w:tcBorders>
            <w:shd w:val="clear" w:color="auto" w:fill="auto"/>
            <w:vAlign w:val="center"/>
          </w:tcPr>
          <w:p w14:paraId="2505641A" w14:textId="59A4DB99" w:rsidR="00481F7C" w:rsidRPr="00481F7C" w:rsidRDefault="00945830" w:rsidP="00481F7C">
            <w:pPr>
              <w:keepLines/>
              <w:spacing w:after="0" w:line="240" w:lineRule="exact"/>
              <w:jc w:val="right"/>
              <w:rPr>
                <w:rFonts w:eastAsia="Times New Roman" w:cs="Arial"/>
                <w:position w:val="4"/>
                <w:sz w:val="19"/>
                <w:szCs w:val="19"/>
              </w:rPr>
            </w:pPr>
            <w:r w:rsidRPr="00945830">
              <w:rPr>
                <w:rFonts w:eastAsia="Times New Roman" w:cs="Arial"/>
                <w:position w:val="4"/>
                <w:sz w:val="19"/>
                <w:szCs w:val="19"/>
              </w:rPr>
              <w:t>385.174</w:t>
            </w:r>
          </w:p>
        </w:tc>
        <w:tc>
          <w:tcPr>
            <w:tcW w:w="702" w:type="pct"/>
            <w:tcBorders>
              <w:top w:val="nil"/>
              <w:left w:val="nil"/>
              <w:bottom w:val="nil"/>
              <w:right w:val="nil"/>
            </w:tcBorders>
            <w:shd w:val="clear" w:color="auto" w:fill="auto"/>
            <w:vAlign w:val="center"/>
          </w:tcPr>
          <w:p w14:paraId="5ADDF5FC" w14:textId="4AD2248C" w:rsidR="00481F7C" w:rsidRPr="00481F7C" w:rsidRDefault="00481F7C" w:rsidP="00312975">
            <w:pPr>
              <w:keepLines/>
              <w:spacing w:after="0" w:line="240" w:lineRule="exact"/>
              <w:jc w:val="right"/>
              <w:rPr>
                <w:rFonts w:eastAsia="Times New Roman" w:cs="Arial"/>
                <w:position w:val="4"/>
                <w:sz w:val="19"/>
                <w:szCs w:val="19"/>
              </w:rPr>
            </w:pPr>
            <w:r w:rsidRPr="00481F7C">
              <w:rPr>
                <w:rFonts w:eastAsia="Times New Roman" w:cs="Arial"/>
                <w:position w:val="4"/>
                <w:sz w:val="19"/>
                <w:szCs w:val="19"/>
              </w:rPr>
              <w:t>355.235</w:t>
            </w:r>
          </w:p>
        </w:tc>
      </w:tr>
    </w:tbl>
    <w:p w14:paraId="2D943B0E" w14:textId="77777777" w:rsidR="00881AEB" w:rsidRDefault="00881AEB" w:rsidP="00810883">
      <w:pPr>
        <w:pStyle w:val="T1"/>
        <w:keepNext w:val="0"/>
        <w:spacing w:before="0" w:after="0" w:line="240" w:lineRule="auto"/>
        <w:rPr>
          <w:rFonts w:asciiTheme="minorHAnsi" w:hAnsiTheme="minorHAnsi"/>
          <w:b w:val="0"/>
          <w:bCs w:val="0"/>
          <w:sz w:val="22"/>
          <w:szCs w:val="22"/>
          <w:lang w:val="hr-HR"/>
        </w:rPr>
      </w:pPr>
    </w:p>
    <w:p w14:paraId="2AAA50EB" w14:textId="77777777" w:rsidR="00881AEB" w:rsidRDefault="00881AEB" w:rsidP="00810883">
      <w:pPr>
        <w:pStyle w:val="T1"/>
        <w:keepNext w:val="0"/>
        <w:spacing w:before="0" w:after="0" w:line="240" w:lineRule="auto"/>
        <w:rPr>
          <w:rFonts w:asciiTheme="minorHAnsi" w:hAnsiTheme="minorHAnsi"/>
          <w:b w:val="0"/>
          <w:bCs w:val="0"/>
          <w:sz w:val="22"/>
          <w:szCs w:val="22"/>
          <w:lang w:val="hr-HR"/>
        </w:rPr>
      </w:pPr>
    </w:p>
    <w:p w14:paraId="62EF1020" w14:textId="77777777" w:rsidR="00810883" w:rsidRPr="002E1FA4" w:rsidRDefault="00810883" w:rsidP="00810883">
      <w:pPr>
        <w:pStyle w:val="T1"/>
        <w:keepNext w:val="0"/>
        <w:spacing w:before="0" w:after="0" w:line="240" w:lineRule="auto"/>
        <w:rPr>
          <w:rFonts w:asciiTheme="minorHAnsi" w:hAnsiTheme="minorHAnsi" w:cs="Arial"/>
          <w:b w:val="0"/>
          <w:bCs w:val="0"/>
          <w:sz w:val="22"/>
          <w:szCs w:val="22"/>
          <w:lang w:val="hr-HR"/>
        </w:rPr>
      </w:pPr>
      <w:r w:rsidRPr="002E1FA4">
        <w:rPr>
          <w:rFonts w:asciiTheme="minorHAnsi" w:hAnsiTheme="minorHAnsi"/>
          <w:b w:val="0"/>
          <w:bCs w:val="0"/>
          <w:sz w:val="22"/>
          <w:szCs w:val="22"/>
          <w:lang w:val="hr-HR"/>
        </w:rPr>
        <w:t>Priložene bilješke uz financijske izvještaje sastavni su dio ovog izvještaja o novčanim tokovima.</w:t>
      </w:r>
    </w:p>
    <w:p w14:paraId="084A83C7" w14:textId="77777777" w:rsidR="00810883" w:rsidRPr="00CA37C8" w:rsidRDefault="00810883" w:rsidP="002445F5">
      <w:pPr>
        <w:spacing w:after="0" w:line="240" w:lineRule="auto"/>
        <w:rPr>
          <w:sz w:val="24"/>
          <w:szCs w:val="24"/>
        </w:rPr>
      </w:pPr>
    </w:p>
    <w:p w14:paraId="2DAE2F34" w14:textId="77777777" w:rsidR="001A0990" w:rsidRPr="00CA37C8" w:rsidRDefault="001A0990">
      <w:pPr>
        <w:spacing w:after="0" w:line="240" w:lineRule="auto"/>
        <w:rPr>
          <w:rFonts w:eastAsia="Times New Roman" w:cs="Times New Roman"/>
          <w:sz w:val="24"/>
          <w:szCs w:val="24"/>
        </w:rPr>
        <w:sectPr w:rsidR="001A0990" w:rsidRPr="00CA37C8" w:rsidSect="00305343">
          <w:headerReference w:type="first" r:id="rId43"/>
          <w:footerReference w:type="first" r:id="rId44"/>
          <w:pgSz w:w="11906" w:h="16838" w:code="9"/>
          <w:pgMar w:top="1377" w:right="1133" w:bottom="1417" w:left="1417" w:header="709" w:footer="709" w:gutter="0"/>
          <w:cols w:space="708"/>
          <w:titlePg/>
          <w:docGrid w:linePitch="360"/>
        </w:sectPr>
      </w:pPr>
    </w:p>
    <w:p w14:paraId="0E55A36D" w14:textId="77777777" w:rsidR="00D91F7F" w:rsidRDefault="00D91F7F" w:rsidP="00C4266C">
      <w:pPr>
        <w:spacing w:after="0" w:line="240" w:lineRule="auto"/>
        <w:rPr>
          <w:sz w:val="24"/>
          <w:szCs w:val="24"/>
        </w:rPr>
      </w:pPr>
    </w:p>
    <w:p w14:paraId="08E09793" w14:textId="77777777" w:rsidR="00481F7C" w:rsidRDefault="00481F7C" w:rsidP="00C4266C">
      <w:pPr>
        <w:spacing w:after="0" w:line="240" w:lineRule="auto"/>
        <w:rPr>
          <w:sz w:val="24"/>
          <w:szCs w:val="24"/>
        </w:rPr>
      </w:pPr>
    </w:p>
    <w:p w14:paraId="1F47E1BB" w14:textId="77777777" w:rsidR="00026EE1" w:rsidRPr="00CA37C8" w:rsidRDefault="00026EE1" w:rsidP="00C4266C">
      <w:pPr>
        <w:spacing w:after="0" w:line="240" w:lineRule="auto"/>
        <w:rPr>
          <w:sz w:val="24"/>
          <w:szCs w:val="24"/>
        </w:rPr>
      </w:pPr>
    </w:p>
    <w:tbl>
      <w:tblPr>
        <w:tblpPr w:leftFromText="180" w:rightFromText="180" w:vertAnchor="page" w:horzAnchor="margin" w:tblpY="2461"/>
        <w:tblW w:w="5076" w:type="pct"/>
        <w:tblLayout w:type="fixed"/>
        <w:tblCellMar>
          <w:left w:w="120" w:type="dxa"/>
          <w:right w:w="57" w:type="dxa"/>
        </w:tblCellMar>
        <w:tblLook w:val="0000" w:firstRow="0" w:lastRow="0" w:firstColumn="0" w:lastColumn="0" w:noHBand="0" w:noVBand="0"/>
      </w:tblPr>
      <w:tblGrid>
        <w:gridCol w:w="2839"/>
        <w:gridCol w:w="1331"/>
        <w:gridCol w:w="1332"/>
        <w:gridCol w:w="1332"/>
        <w:gridCol w:w="1332"/>
        <w:gridCol w:w="1332"/>
      </w:tblGrid>
      <w:tr w:rsidR="00481F7C" w:rsidRPr="00481F7C" w14:paraId="2EDE78D5" w14:textId="77777777" w:rsidTr="00312975">
        <w:trPr>
          <w:trHeight w:val="769"/>
        </w:trPr>
        <w:tc>
          <w:tcPr>
            <w:tcW w:w="1495" w:type="pct"/>
          </w:tcPr>
          <w:p w14:paraId="496CA22E" w14:textId="77777777" w:rsidR="00481F7C" w:rsidRPr="00481F7C" w:rsidRDefault="00481F7C" w:rsidP="00481F7C">
            <w:pPr>
              <w:tabs>
                <w:tab w:val="right" w:pos="1202"/>
              </w:tabs>
              <w:spacing w:after="0" w:line="240" w:lineRule="auto"/>
              <w:outlineLvl w:val="0"/>
              <w:rPr>
                <w:rFonts w:eastAsia="Times New Roman" w:cs="Arial"/>
                <w:b/>
                <w:iCs/>
                <w:sz w:val="19"/>
                <w:szCs w:val="19"/>
              </w:rPr>
            </w:pPr>
          </w:p>
        </w:tc>
        <w:tc>
          <w:tcPr>
            <w:tcW w:w="701" w:type="pct"/>
            <w:vAlign w:val="bottom"/>
          </w:tcPr>
          <w:p w14:paraId="67968897" w14:textId="77777777" w:rsidR="00481F7C" w:rsidRPr="00481F7C" w:rsidRDefault="00481F7C" w:rsidP="00481F7C">
            <w:pPr>
              <w:tabs>
                <w:tab w:val="right" w:pos="1202"/>
              </w:tabs>
              <w:spacing w:after="0" w:line="240" w:lineRule="auto"/>
              <w:jc w:val="right"/>
              <w:outlineLvl w:val="0"/>
              <w:rPr>
                <w:rFonts w:eastAsia="Times New Roman" w:cs="Arial"/>
                <w:b/>
                <w:iCs/>
                <w:sz w:val="19"/>
                <w:szCs w:val="19"/>
              </w:rPr>
            </w:pPr>
            <w:r w:rsidRPr="00481F7C">
              <w:rPr>
                <w:rFonts w:eastAsia="Times New Roman" w:cs="Arial"/>
                <w:b/>
                <w:iCs/>
                <w:sz w:val="19"/>
                <w:szCs w:val="19"/>
              </w:rPr>
              <w:t xml:space="preserve">Osnivački </w:t>
            </w:r>
          </w:p>
          <w:p w14:paraId="1502E672" w14:textId="77777777" w:rsidR="00481F7C" w:rsidRPr="00481F7C" w:rsidRDefault="00481F7C" w:rsidP="00481F7C">
            <w:pPr>
              <w:tabs>
                <w:tab w:val="right" w:pos="1202"/>
              </w:tabs>
              <w:spacing w:after="0" w:line="240" w:lineRule="auto"/>
              <w:jc w:val="right"/>
              <w:outlineLvl w:val="0"/>
              <w:rPr>
                <w:rFonts w:eastAsia="Times New Roman" w:cs="Arial"/>
                <w:b/>
                <w:iCs/>
                <w:sz w:val="19"/>
                <w:szCs w:val="19"/>
              </w:rPr>
            </w:pPr>
            <w:r w:rsidRPr="00481F7C">
              <w:rPr>
                <w:rFonts w:eastAsia="Times New Roman" w:cs="Arial"/>
                <w:b/>
                <w:iCs/>
                <w:sz w:val="19"/>
                <w:szCs w:val="19"/>
              </w:rPr>
              <w:t>kapital</w:t>
            </w:r>
          </w:p>
        </w:tc>
        <w:tc>
          <w:tcPr>
            <w:tcW w:w="701" w:type="pct"/>
            <w:vAlign w:val="bottom"/>
          </w:tcPr>
          <w:p w14:paraId="2B4F51DF" w14:textId="77777777" w:rsidR="00481F7C" w:rsidRPr="00481F7C" w:rsidRDefault="00481F7C" w:rsidP="00481F7C">
            <w:pPr>
              <w:tabs>
                <w:tab w:val="right" w:pos="1202"/>
              </w:tabs>
              <w:spacing w:after="0" w:line="240" w:lineRule="auto"/>
              <w:jc w:val="right"/>
              <w:outlineLvl w:val="0"/>
              <w:rPr>
                <w:rFonts w:eastAsia="Times New Roman" w:cs="Arial"/>
                <w:b/>
                <w:iCs/>
                <w:sz w:val="19"/>
                <w:szCs w:val="19"/>
              </w:rPr>
            </w:pPr>
            <w:r w:rsidRPr="00481F7C">
              <w:rPr>
                <w:rFonts w:eastAsia="Times New Roman" w:cs="Arial"/>
                <w:b/>
                <w:iCs/>
                <w:sz w:val="19"/>
                <w:szCs w:val="19"/>
              </w:rPr>
              <w:t xml:space="preserve">  Zadržana </w:t>
            </w:r>
          </w:p>
          <w:p w14:paraId="1D04A32B" w14:textId="77777777" w:rsidR="00481F7C" w:rsidRPr="00481F7C" w:rsidRDefault="00481F7C" w:rsidP="00481F7C">
            <w:pPr>
              <w:tabs>
                <w:tab w:val="right" w:pos="1202"/>
              </w:tabs>
              <w:spacing w:after="0" w:line="240" w:lineRule="auto"/>
              <w:jc w:val="right"/>
              <w:outlineLvl w:val="0"/>
              <w:rPr>
                <w:rFonts w:eastAsia="Times New Roman" w:cs="Arial"/>
                <w:b/>
                <w:iCs/>
                <w:sz w:val="19"/>
                <w:szCs w:val="19"/>
              </w:rPr>
            </w:pPr>
            <w:r w:rsidRPr="00481F7C">
              <w:rPr>
                <w:rFonts w:eastAsia="Times New Roman" w:cs="Arial"/>
                <w:b/>
                <w:iCs/>
                <w:sz w:val="19"/>
                <w:szCs w:val="19"/>
              </w:rPr>
              <w:t>dobit i</w:t>
            </w:r>
          </w:p>
          <w:p w14:paraId="55F46337" w14:textId="77777777" w:rsidR="00481F7C" w:rsidRPr="00481F7C" w:rsidRDefault="00481F7C" w:rsidP="00481F7C">
            <w:pPr>
              <w:tabs>
                <w:tab w:val="right" w:pos="1202"/>
              </w:tabs>
              <w:spacing w:after="0" w:line="240" w:lineRule="auto"/>
              <w:jc w:val="right"/>
              <w:outlineLvl w:val="0"/>
              <w:rPr>
                <w:rFonts w:eastAsia="Times New Roman" w:cs="Arial"/>
                <w:b/>
                <w:iCs/>
                <w:sz w:val="19"/>
                <w:szCs w:val="19"/>
              </w:rPr>
            </w:pPr>
            <w:r w:rsidRPr="00481F7C">
              <w:rPr>
                <w:rFonts w:eastAsia="Times New Roman" w:cs="Arial"/>
                <w:b/>
                <w:iCs/>
                <w:sz w:val="19"/>
                <w:szCs w:val="19"/>
              </w:rPr>
              <w:t xml:space="preserve"> rezerve</w:t>
            </w:r>
          </w:p>
        </w:tc>
        <w:tc>
          <w:tcPr>
            <w:tcW w:w="701" w:type="pct"/>
            <w:vAlign w:val="bottom"/>
          </w:tcPr>
          <w:p w14:paraId="1B8F1078" w14:textId="77777777" w:rsidR="00481F7C" w:rsidRPr="00481F7C" w:rsidRDefault="00481F7C" w:rsidP="00481F7C">
            <w:pPr>
              <w:tabs>
                <w:tab w:val="right" w:pos="1202"/>
              </w:tabs>
              <w:spacing w:after="0" w:line="240" w:lineRule="auto"/>
              <w:jc w:val="right"/>
              <w:outlineLvl w:val="0"/>
              <w:rPr>
                <w:rFonts w:eastAsia="Times New Roman" w:cs="Arial"/>
                <w:b/>
                <w:iCs/>
                <w:sz w:val="19"/>
                <w:szCs w:val="19"/>
              </w:rPr>
            </w:pPr>
            <w:r w:rsidRPr="00481F7C">
              <w:rPr>
                <w:rFonts w:eastAsia="Times New Roman" w:cs="Arial"/>
                <w:b/>
                <w:iCs/>
                <w:sz w:val="19"/>
                <w:szCs w:val="19"/>
              </w:rPr>
              <w:t>Ostale</w:t>
            </w:r>
          </w:p>
          <w:p w14:paraId="5A779D1D" w14:textId="77777777" w:rsidR="00481F7C" w:rsidRPr="00481F7C" w:rsidRDefault="00481F7C" w:rsidP="00481F7C">
            <w:pPr>
              <w:tabs>
                <w:tab w:val="right" w:pos="1202"/>
              </w:tabs>
              <w:spacing w:after="0" w:line="240" w:lineRule="auto"/>
              <w:jc w:val="right"/>
              <w:outlineLvl w:val="0"/>
              <w:rPr>
                <w:rFonts w:eastAsia="Times New Roman" w:cs="Arial"/>
                <w:b/>
                <w:iCs/>
                <w:sz w:val="19"/>
                <w:szCs w:val="19"/>
              </w:rPr>
            </w:pPr>
            <w:r w:rsidRPr="00481F7C">
              <w:rPr>
                <w:rFonts w:eastAsia="Times New Roman" w:cs="Arial"/>
                <w:b/>
                <w:iCs/>
                <w:sz w:val="19"/>
                <w:szCs w:val="19"/>
              </w:rPr>
              <w:t xml:space="preserve"> rezerve</w:t>
            </w:r>
          </w:p>
        </w:tc>
        <w:tc>
          <w:tcPr>
            <w:tcW w:w="701" w:type="pct"/>
            <w:vAlign w:val="bottom"/>
          </w:tcPr>
          <w:p w14:paraId="39D3535A" w14:textId="77777777" w:rsidR="00481F7C" w:rsidRPr="00481F7C" w:rsidRDefault="00481F7C" w:rsidP="00481F7C">
            <w:pPr>
              <w:tabs>
                <w:tab w:val="right" w:pos="1202"/>
              </w:tabs>
              <w:spacing w:after="0" w:line="240" w:lineRule="auto"/>
              <w:jc w:val="right"/>
              <w:outlineLvl w:val="0"/>
              <w:rPr>
                <w:rFonts w:eastAsia="Times New Roman" w:cs="Arial"/>
                <w:b/>
                <w:iCs/>
                <w:sz w:val="19"/>
                <w:szCs w:val="19"/>
              </w:rPr>
            </w:pPr>
            <w:r w:rsidRPr="00481F7C">
              <w:rPr>
                <w:rFonts w:eastAsia="Times New Roman" w:cs="Arial"/>
                <w:b/>
                <w:iCs/>
                <w:sz w:val="19"/>
                <w:szCs w:val="19"/>
              </w:rPr>
              <w:t>Neto dobit</w:t>
            </w:r>
          </w:p>
          <w:p w14:paraId="7B317A29" w14:textId="74AC430F" w:rsidR="00481F7C" w:rsidRPr="00481F7C" w:rsidRDefault="00481F7C" w:rsidP="00481F7C">
            <w:pPr>
              <w:tabs>
                <w:tab w:val="right" w:pos="1202"/>
              </w:tabs>
              <w:spacing w:after="0" w:line="240" w:lineRule="auto"/>
              <w:jc w:val="right"/>
              <w:outlineLvl w:val="0"/>
              <w:rPr>
                <w:rFonts w:eastAsia="Times New Roman" w:cs="Arial"/>
                <w:b/>
                <w:iCs/>
                <w:sz w:val="19"/>
                <w:szCs w:val="19"/>
              </w:rPr>
            </w:pPr>
            <w:r w:rsidRPr="00481F7C">
              <w:rPr>
                <w:rFonts w:eastAsia="Times New Roman" w:cs="Arial"/>
                <w:b/>
                <w:iCs/>
                <w:sz w:val="19"/>
                <w:szCs w:val="19"/>
              </w:rPr>
              <w:t>tekuće</w:t>
            </w:r>
            <w:r w:rsidR="000035C6">
              <w:rPr>
                <w:rFonts w:eastAsia="Times New Roman" w:cs="Arial"/>
                <w:b/>
                <w:iCs/>
                <w:sz w:val="19"/>
                <w:szCs w:val="19"/>
              </w:rPr>
              <w:t>g</w:t>
            </w:r>
          </w:p>
          <w:p w14:paraId="34286843" w14:textId="18D6E3F5" w:rsidR="00481F7C" w:rsidRPr="00481F7C" w:rsidRDefault="00481F7C" w:rsidP="000035C6">
            <w:pPr>
              <w:tabs>
                <w:tab w:val="right" w:pos="1202"/>
              </w:tabs>
              <w:spacing w:after="0" w:line="240" w:lineRule="auto"/>
              <w:jc w:val="right"/>
              <w:outlineLvl w:val="0"/>
              <w:rPr>
                <w:rFonts w:eastAsia="Times New Roman" w:cs="Arial"/>
                <w:b/>
                <w:iCs/>
                <w:sz w:val="19"/>
                <w:szCs w:val="19"/>
              </w:rPr>
            </w:pPr>
            <w:r w:rsidRPr="00481F7C">
              <w:rPr>
                <w:rFonts w:eastAsia="Times New Roman" w:cs="Arial"/>
                <w:b/>
                <w:iCs/>
                <w:sz w:val="19"/>
                <w:szCs w:val="19"/>
              </w:rPr>
              <w:t xml:space="preserve"> </w:t>
            </w:r>
            <w:r w:rsidR="000035C6">
              <w:rPr>
                <w:rFonts w:eastAsia="Times New Roman" w:cs="Arial"/>
                <w:b/>
                <w:iCs/>
                <w:sz w:val="19"/>
                <w:szCs w:val="19"/>
              </w:rPr>
              <w:t>razdoblja</w:t>
            </w:r>
          </w:p>
        </w:tc>
        <w:tc>
          <w:tcPr>
            <w:tcW w:w="701" w:type="pct"/>
            <w:vAlign w:val="bottom"/>
          </w:tcPr>
          <w:p w14:paraId="0D34A570" w14:textId="77777777" w:rsidR="00481F7C" w:rsidRPr="00481F7C" w:rsidRDefault="00481F7C" w:rsidP="00481F7C">
            <w:pPr>
              <w:tabs>
                <w:tab w:val="right" w:pos="1202"/>
              </w:tabs>
              <w:spacing w:after="0" w:line="240" w:lineRule="auto"/>
              <w:jc w:val="right"/>
              <w:outlineLvl w:val="0"/>
              <w:rPr>
                <w:rFonts w:eastAsia="Times New Roman" w:cs="Arial"/>
                <w:b/>
                <w:iCs/>
                <w:sz w:val="19"/>
                <w:szCs w:val="19"/>
              </w:rPr>
            </w:pPr>
            <w:r w:rsidRPr="00481F7C">
              <w:rPr>
                <w:rFonts w:eastAsia="Times New Roman" w:cs="Arial"/>
                <w:b/>
                <w:iCs/>
                <w:sz w:val="19"/>
                <w:szCs w:val="19"/>
              </w:rPr>
              <w:t xml:space="preserve">Ukupni </w:t>
            </w:r>
          </w:p>
          <w:p w14:paraId="37BB7E06" w14:textId="77777777" w:rsidR="00481F7C" w:rsidRPr="00481F7C" w:rsidRDefault="00481F7C" w:rsidP="00481F7C">
            <w:pPr>
              <w:tabs>
                <w:tab w:val="right" w:pos="1202"/>
              </w:tabs>
              <w:spacing w:after="0" w:line="240" w:lineRule="auto"/>
              <w:jc w:val="right"/>
              <w:outlineLvl w:val="0"/>
              <w:rPr>
                <w:rFonts w:eastAsia="Times New Roman" w:cs="Arial"/>
                <w:b/>
                <w:iCs/>
                <w:sz w:val="19"/>
                <w:szCs w:val="19"/>
              </w:rPr>
            </w:pPr>
            <w:r w:rsidRPr="00481F7C">
              <w:rPr>
                <w:rFonts w:eastAsia="Times New Roman" w:cs="Arial"/>
                <w:b/>
                <w:iCs/>
                <w:sz w:val="19"/>
                <w:szCs w:val="19"/>
              </w:rPr>
              <w:t xml:space="preserve">kapital </w:t>
            </w:r>
          </w:p>
        </w:tc>
      </w:tr>
      <w:tr w:rsidR="00481F7C" w:rsidRPr="00481F7C" w14:paraId="1245D45A" w14:textId="77777777" w:rsidTr="00312975">
        <w:trPr>
          <w:trHeight w:val="130"/>
        </w:trPr>
        <w:tc>
          <w:tcPr>
            <w:tcW w:w="1495" w:type="pct"/>
          </w:tcPr>
          <w:p w14:paraId="27CE5640" w14:textId="77777777" w:rsidR="00481F7C" w:rsidRPr="00481F7C" w:rsidRDefault="00481F7C" w:rsidP="00481F7C">
            <w:pPr>
              <w:tabs>
                <w:tab w:val="right" w:pos="1202"/>
              </w:tabs>
              <w:spacing w:after="0" w:line="240" w:lineRule="auto"/>
              <w:outlineLvl w:val="0"/>
              <w:rPr>
                <w:rFonts w:eastAsia="Times New Roman" w:cs="Arial"/>
                <w:iCs/>
                <w:sz w:val="19"/>
                <w:szCs w:val="19"/>
              </w:rPr>
            </w:pPr>
          </w:p>
        </w:tc>
        <w:tc>
          <w:tcPr>
            <w:tcW w:w="701" w:type="pct"/>
            <w:vAlign w:val="bottom"/>
          </w:tcPr>
          <w:p w14:paraId="31CFAB0B" w14:textId="77777777" w:rsidR="00481F7C" w:rsidRPr="00481F7C" w:rsidRDefault="00481F7C" w:rsidP="00481F7C">
            <w:pPr>
              <w:tabs>
                <w:tab w:val="right" w:pos="1202"/>
              </w:tabs>
              <w:spacing w:after="0" w:line="240" w:lineRule="auto"/>
              <w:jc w:val="right"/>
              <w:outlineLvl w:val="0"/>
              <w:rPr>
                <w:rFonts w:eastAsia="Times New Roman" w:cs="Arial"/>
                <w:b/>
                <w:bCs/>
                <w:sz w:val="19"/>
                <w:szCs w:val="19"/>
              </w:rPr>
            </w:pPr>
          </w:p>
        </w:tc>
        <w:tc>
          <w:tcPr>
            <w:tcW w:w="701" w:type="pct"/>
            <w:vAlign w:val="bottom"/>
          </w:tcPr>
          <w:p w14:paraId="06E19E04" w14:textId="77777777" w:rsidR="00481F7C" w:rsidRPr="00481F7C" w:rsidRDefault="00481F7C" w:rsidP="00481F7C">
            <w:pPr>
              <w:tabs>
                <w:tab w:val="right" w:pos="1202"/>
              </w:tabs>
              <w:spacing w:after="0" w:line="240" w:lineRule="auto"/>
              <w:jc w:val="right"/>
              <w:outlineLvl w:val="0"/>
              <w:rPr>
                <w:rFonts w:eastAsia="Times New Roman" w:cs="Arial"/>
                <w:b/>
                <w:bCs/>
                <w:sz w:val="19"/>
                <w:szCs w:val="19"/>
              </w:rPr>
            </w:pPr>
          </w:p>
        </w:tc>
        <w:tc>
          <w:tcPr>
            <w:tcW w:w="701" w:type="pct"/>
          </w:tcPr>
          <w:p w14:paraId="1877AAD7" w14:textId="77777777" w:rsidR="00481F7C" w:rsidRPr="00481F7C" w:rsidRDefault="00481F7C" w:rsidP="00481F7C">
            <w:pPr>
              <w:tabs>
                <w:tab w:val="right" w:pos="1202"/>
              </w:tabs>
              <w:spacing w:after="0" w:line="240" w:lineRule="auto"/>
              <w:jc w:val="right"/>
              <w:outlineLvl w:val="0"/>
              <w:rPr>
                <w:rFonts w:eastAsia="Times New Roman" w:cs="Arial"/>
                <w:b/>
                <w:bCs/>
                <w:sz w:val="19"/>
                <w:szCs w:val="19"/>
              </w:rPr>
            </w:pPr>
          </w:p>
        </w:tc>
        <w:tc>
          <w:tcPr>
            <w:tcW w:w="701" w:type="pct"/>
            <w:vAlign w:val="bottom"/>
          </w:tcPr>
          <w:p w14:paraId="41E1B41A" w14:textId="77777777" w:rsidR="00481F7C" w:rsidRPr="00481F7C" w:rsidRDefault="00481F7C" w:rsidP="00481F7C">
            <w:pPr>
              <w:tabs>
                <w:tab w:val="right" w:pos="1202"/>
              </w:tabs>
              <w:spacing w:after="0" w:line="240" w:lineRule="auto"/>
              <w:jc w:val="right"/>
              <w:outlineLvl w:val="0"/>
              <w:rPr>
                <w:rFonts w:eastAsia="Times New Roman" w:cs="Arial"/>
                <w:b/>
                <w:bCs/>
                <w:sz w:val="19"/>
                <w:szCs w:val="19"/>
              </w:rPr>
            </w:pPr>
          </w:p>
        </w:tc>
        <w:tc>
          <w:tcPr>
            <w:tcW w:w="701" w:type="pct"/>
            <w:vAlign w:val="bottom"/>
          </w:tcPr>
          <w:p w14:paraId="0AC7138E" w14:textId="77777777" w:rsidR="00481F7C" w:rsidRPr="00481F7C" w:rsidRDefault="00481F7C" w:rsidP="00481F7C">
            <w:pPr>
              <w:tabs>
                <w:tab w:val="right" w:pos="1202"/>
              </w:tabs>
              <w:spacing w:after="0" w:line="240" w:lineRule="auto"/>
              <w:jc w:val="right"/>
              <w:outlineLvl w:val="0"/>
              <w:rPr>
                <w:rFonts w:eastAsia="Times New Roman" w:cs="Arial"/>
                <w:b/>
                <w:bCs/>
                <w:sz w:val="19"/>
                <w:szCs w:val="19"/>
              </w:rPr>
            </w:pPr>
          </w:p>
        </w:tc>
      </w:tr>
      <w:tr w:rsidR="00481F7C" w:rsidRPr="00481F7C" w14:paraId="60F8D44A" w14:textId="77777777" w:rsidTr="00312975">
        <w:trPr>
          <w:trHeight w:val="444"/>
        </w:trPr>
        <w:tc>
          <w:tcPr>
            <w:tcW w:w="1495" w:type="pct"/>
            <w:vAlign w:val="bottom"/>
          </w:tcPr>
          <w:p w14:paraId="1BF04927" w14:textId="5A128FC2" w:rsidR="00481F7C" w:rsidRPr="00481F7C" w:rsidRDefault="00481F7C" w:rsidP="00312975">
            <w:pPr>
              <w:tabs>
                <w:tab w:val="right" w:pos="1202"/>
              </w:tabs>
              <w:spacing w:after="0" w:line="240" w:lineRule="auto"/>
              <w:outlineLvl w:val="0"/>
              <w:rPr>
                <w:rFonts w:eastAsia="Times New Roman" w:cs="Arial"/>
                <w:b/>
                <w:iCs/>
                <w:sz w:val="19"/>
                <w:szCs w:val="19"/>
              </w:rPr>
            </w:pPr>
            <w:r w:rsidRPr="00481F7C">
              <w:rPr>
                <w:rFonts w:eastAsia="Times New Roman" w:cs="Arial"/>
                <w:b/>
                <w:iCs/>
                <w:sz w:val="19"/>
                <w:szCs w:val="19"/>
              </w:rPr>
              <w:t>Stanje 1. siječnja 201</w:t>
            </w:r>
            <w:r>
              <w:rPr>
                <w:rFonts w:eastAsia="Times New Roman" w:cs="Arial"/>
                <w:b/>
                <w:iCs/>
                <w:sz w:val="19"/>
                <w:szCs w:val="19"/>
              </w:rPr>
              <w:t>6</w:t>
            </w:r>
            <w:r w:rsidRPr="00481F7C">
              <w:rPr>
                <w:rFonts w:eastAsia="Times New Roman" w:cs="Arial"/>
                <w:b/>
                <w:iCs/>
                <w:sz w:val="19"/>
                <w:szCs w:val="19"/>
              </w:rPr>
              <w:t>. godine</w:t>
            </w:r>
          </w:p>
        </w:tc>
        <w:tc>
          <w:tcPr>
            <w:tcW w:w="701" w:type="pct"/>
            <w:tcBorders>
              <w:top w:val="nil"/>
              <w:left w:val="nil"/>
              <w:bottom w:val="nil"/>
              <w:right w:val="nil"/>
            </w:tcBorders>
            <w:shd w:val="clear" w:color="auto" w:fill="auto"/>
            <w:vAlign w:val="bottom"/>
          </w:tcPr>
          <w:p w14:paraId="6C332971" w14:textId="45BBFDEC" w:rsidR="00481F7C" w:rsidRPr="00481F7C" w:rsidRDefault="00481F7C" w:rsidP="00481F7C">
            <w:pPr>
              <w:tabs>
                <w:tab w:val="right" w:pos="1202"/>
              </w:tabs>
              <w:spacing w:after="0" w:line="240" w:lineRule="auto"/>
              <w:jc w:val="right"/>
              <w:outlineLvl w:val="0"/>
              <w:rPr>
                <w:rFonts w:ascii="Calibri" w:eastAsia="Times New Roman" w:hAnsi="Calibri" w:cs="Calibri"/>
                <w:b/>
                <w:iCs/>
                <w:sz w:val="19"/>
                <w:szCs w:val="19"/>
                <w:lang w:val="en-GB"/>
              </w:rPr>
            </w:pPr>
            <w:r w:rsidRPr="00481F7C">
              <w:rPr>
                <w:rFonts w:ascii="Calibri" w:eastAsia="Times New Roman" w:hAnsi="Calibri" w:cs="Times New Roman"/>
                <w:b/>
                <w:bCs/>
                <w:color w:val="000000"/>
                <w:sz w:val="19"/>
                <w:szCs w:val="19"/>
                <w:lang w:val="en-GB"/>
              </w:rPr>
              <w:t>6.926.632</w:t>
            </w:r>
          </w:p>
        </w:tc>
        <w:tc>
          <w:tcPr>
            <w:tcW w:w="701" w:type="pct"/>
            <w:tcBorders>
              <w:top w:val="nil"/>
              <w:left w:val="nil"/>
              <w:bottom w:val="nil"/>
              <w:right w:val="nil"/>
            </w:tcBorders>
            <w:shd w:val="clear" w:color="auto" w:fill="auto"/>
            <w:vAlign w:val="bottom"/>
          </w:tcPr>
          <w:p w14:paraId="01C9D0CF" w14:textId="7141D86D" w:rsidR="00481F7C" w:rsidRPr="00481F7C" w:rsidRDefault="00481F7C" w:rsidP="00481F7C">
            <w:pPr>
              <w:tabs>
                <w:tab w:val="right" w:pos="1202"/>
              </w:tabs>
              <w:spacing w:after="0" w:line="240" w:lineRule="auto"/>
              <w:jc w:val="right"/>
              <w:outlineLvl w:val="0"/>
              <w:rPr>
                <w:rFonts w:ascii="Calibri" w:eastAsia="Times New Roman" w:hAnsi="Calibri" w:cs="Calibri"/>
                <w:b/>
                <w:iCs/>
                <w:sz w:val="19"/>
                <w:szCs w:val="19"/>
                <w:lang w:val="en-GB"/>
              </w:rPr>
            </w:pPr>
            <w:r w:rsidRPr="00481F7C">
              <w:rPr>
                <w:rFonts w:ascii="Calibri" w:eastAsia="Times New Roman" w:hAnsi="Calibri" w:cs="Times New Roman"/>
                <w:b/>
                <w:bCs/>
                <w:color w:val="000000"/>
                <w:sz w:val="19"/>
                <w:szCs w:val="19"/>
                <w:lang w:val="en-GB"/>
              </w:rPr>
              <w:t>2.476.903</w:t>
            </w:r>
          </w:p>
        </w:tc>
        <w:tc>
          <w:tcPr>
            <w:tcW w:w="701" w:type="pct"/>
            <w:tcBorders>
              <w:top w:val="nil"/>
              <w:left w:val="nil"/>
              <w:bottom w:val="nil"/>
              <w:right w:val="nil"/>
            </w:tcBorders>
            <w:shd w:val="clear" w:color="auto" w:fill="auto"/>
            <w:vAlign w:val="bottom"/>
          </w:tcPr>
          <w:p w14:paraId="365C594F" w14:textId="7D7447A2" w:rsidR="00481F7C" w:rsidRPr="00481F7C" w:rsidRDefault="00481F7C" w:rsidP="00481F7C">
            <w:pPr>
              <w:tabs>
                <w:tab w:val="right" w:pos="1202"/>
              </w:tabs>
              <w:spacing w:after="0" w:line="240" w:lineRule="auto"/>
              <w:jc w:val="right"/>
              <w:outlineLvl w:val="0"/>
              <w:rPr>
                <w:rFonts w:ascii="Calibri" w:eastAsia="Times New Roman" w:hAnsi="Calibri" w:cs="Calibri"/>
                <w:b/>
                <w:iCs/>
                <w:sz w:val="19"/>
                <w:szCs w:val="19"/>
                <w:lang w:val="en-GB"/>
              </w:rPr>
            </w:pPr>
            <w:r w:rsidRPr="00481F7C">
              <w:rPr>
                <w:rFonts w:ascii="Calibri" w:eastAsia="Times New Roman" w:hAnsi="Calibri" w:cs="Times New Roman"/>
                <w:b/>
                <w:bCs/>
                <w:color w:val="000000"/>
                <w:sz w:val="19"/>
                <w:szCs w:val="19"/>
                <w:lang w:val="en-GB"/>
              </w:rPr>
              <w:t>41.182</w:t>
            </w:r>
          </w:p>
        </w:tc>
        <w:tc>
          <w:tcPr>
            <w:tcW w:w="701" w:type="pct"/>
            <w:tcBorders>
              <w:top w:val="nil"/>
              <w:left w:val="nil"/>
              <w:bottom w:val="nil"/>
              <w:right w:val="nil"/>
            </w:tcBorders>
            <w:shd w:val="clear" w:color="auto" w:fill="auto"/>
            <w:vAlign w:val="bottom"/>
          </w:tcPr>
          <w:p w14:paraId="0FDB09D1" w14:textId="4F31338F" w:rsidR="00481F7C" w:rsidRPr="00481F7C" w:rsidRDefault="00481F7C" w:rsidP="00481F7C">
            <w:pPr>
              <w:tabs>
                <w:tab w:val="right" w:pos="1202"/>
              </w:tabs>
              <w:spacing w:after="0" w:line="240" w:lineRule="auto"/>
              <w:jc w:val="right"/>
              <w:outlineLvl w:val="0"/>
              <w:rPr>
                <w:rFonts w:ascii="Calibri" w:eastAsia="Times New Roman" w:hAnsi="Calibri" w:cs="Calibri"/>
                <w:b/>
                <w:iCs/>
                <w:sz w:val="19"/>
                <w:szCs w:val="19"/>
                <w:lang w:val="en-GB"/>
              </w:rPr>
            </w:pPr>
            <w:r w:rsidRPr="00481F7C">
              <w:rPr>
                <w:rFonts w:ascii="Calibri" w:eastAsia="Times New Roman" w:hAnsi="Calibri" w:cs="Times New Roman"/>
                <w:b/>
                <w:bCs/>
                <w:color w:val="000000"/>
                <w:sz w:val="19"/>
                <w:szCs w:val="19"/>
                <w:lang w:val="en-GB"/>
              </w:rPr>
              <w:t>205.228</w:t>
            </w:r>
          </w:p>
        </w:tc>
        <w:tc>
          <w:tcPr>
            <w:tcW w:w="701" w:type="pct"/>
            <w:tcBorders>
              <w:top w:val="nil"/>
              <w:left w:val="nil"/>
              <w:bottom w:val="nil"/>
              <w:right w:val="nil"/>
            </w:tcBorders>
            <w:shd w:val="clear" w:color="auto" w:fill="auto"/>
            <w:vAlign w:val="bottom"/>
          </w:tcPr>
          <w:p w14:paraId="6114406F" w14:textId="195CF979" w:rsidR="00481F7C" w:rsidRPr="00481F7C" w:rsidRDefault="00481F7C" w:rsidP="00481F7C">
            <w:pPr>
              <w:tabs>
                <w:tab w:val="right" w:pos="1202"/>
              </w:tabs>
              <w:spacing w:after="0" w:line="240" w:lineRule="auto"/>
              <w:jc w:val="right"/>
              <w:outlineLvl w:val="0"/>
              <w:rPr>
                <w:rFonts w:ascii="Calibri" w:eastAsia="Times New Roman" w:hAnsi="Calibri" w:cs="Calibri"/>
                <w:b/>
                <w:iCs/>
                <w:sz w:val="19"/>
                <w:szCs w:val="19"/>
                <w:lang w:val="en-GB"/>
              </w:rPr>
            </w:pPr>
            <w:r w:rsidRPr="00481F7C">
              <w:rPr>
                <w:rFonts w:ascii="Calibri" w:eastAsia="Times New Roman" w:hAnsi="Calibri" w:cs="Times New Roman"/>
                <w:b/>
                <w:bCs/>
                <w:color w:val="000000"/>
                <w:sz w:val="19"/>
                <w:szCs w:val="19"/>
                <w:lang w:val="en-GB"/>
              </w:rPr>
              <w:t>9.649.945</w:t>
            </w:r>
          </w:p>
        </w:tc>
      </w:tr>
      <w:tr w:rsidR="00481F7C" w:rsidRPr="00481F7C" w14:paraId="4920142A" w14:textId="77777777" w:rsidTr="00312975">
        <w:trPr>
          <w:trHeight w:hRule="exact" w:val="158"/>
        </w:trPr>
        <w:tc>
          <w:tcPr>
            <w:tcW w:w="1495" w:type="pct"/>
            <w:vAlign w:val="bottom"/>
          </w:tcPr>
          <w:p w14:paraId="44F4FF49" w14:textId="77777777" w:rsidR="00481F7C" w:rsidRPr="00481F7C" w:rsidRDefault="00481F7C" w:rsidP="00481F7C">
            <w:pPr>
              <w:tabs>
                <w:tab w:val="right" w:pos="1202"/>
              </w:tabs>
              <w:spacing w:after="0" w:line="140" w:lineRule="exact"/>
              <w:outlineLvl w:val="0"/>
              <w:rPr>
                <w:rFonts w:eastAsia="Times New Roman" w:cs="Arial"/>
                <w:b/>
                <w:iCs/>
                <w:sz w:val="19"/>
                <w:szCs w:val="19"/>
              </w:rPr>
            </w:pPr>
          </w:p>
        </w:tc>
        <w:tc>
          <w:tcPr>
            <w:tcW w:w="701" w:type="pct"/>
          </w:tcPr>
          <w:p w14:paraId="05F27CA6" w14:textId="77777777" w:rsidR="00481F7C" w:rsidRPr="00481F7C" w:rsidRDefault="00481F7C" w:rsidP="00481F7C">
            <w:pPr>
              <w:keepNext/>
              <w:keepLines/>
              <w:tabs>
                <w:tab w:val="decimal" w:pos="1015"/>
              </w:tabs>
              <w:spacing w:after="0"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c>
          <w:tcPr>
            <w:tcW w:w="701" w:type="pct"/>
          </w:tcPr>
          <w:p w14:paraId="42A499B6" w14:textId="77777777" w:rsidR="00481F7C" w:rsidRPr="00481F7C" w:rsidRDefault="00481F7C" w:rsidP="00481F7C">
            <w:pPr>
              <w:keepNext/>
              <w:keepLines/>
              <w:tabs>
                <w:tab w:val="decimal" w:pos="1015"/>
              </w:tabs>
              <w:spacing w:after="0"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c>
          <w:tcPr>
            <w:tcW w:w="701" w:type="pct"/>
          </w:tcPr>
          <w:p w14:paraId="3FA9B7CE" w14:textId="77777777" w:rsidR="00481F7C" w:rsidRPr="00481F7C" w:rsidRDefault="00481F7C" w:rsidP="00481F7C">
            <w:pPr>
              <w:keepNext/>
              <w:keepLines/>
              <w:tabs>
                <w:tab w:val="decimal" w:pos="1015"/>
              </w:tabs>
              <w:spacing w:after="0"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c>
          <w:tcPr>
            <w:tcW w:w="701" w:type="pct"/>
          </w:tcPr>
          <w:p w14:paraId="6CFD27C2" w14:textId="77777777" w:rsidR="00481F7C" w:rsidRPr="00481F7C" w:rsidRDefault="00481F7C" w:rsidP="00481F7C">
            <w:pPr>
              <w:keepNext/>
              <w:keepLines/>
              <w:tabs>
                <w:tab w:val="decimal" w:pos="1015"/>
              </w:tabs>
              <w:spacing w:after="0"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c>
          <w:tcPr>
            <w:tcW w:w="701" w:type="pct"/>
          </w:tcPr>
          <w:p w14:paraId="46EB3A15" w14:textId="77777777" w:rsidR="00481F7C" w:rsidRPr="00481F7C" w:rsidRDefault="00481F7C" w:rsidP="00481F7C">
            <w:pPr>
              <w:keepNext/>
              <w:keepLines/>
              <w:tabs>
                <w:tab w:val="decimal" w:pos="1015"/>
              </w:tabs>
              <w:spacing w:after="0"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r>
      <w:tr w:rsidR="00481F7C" w:rsidRPr="00481F7C" w14:paraId="47CACCDA" w14:textId="77777777" w:rsidTr="00312975">
        <w:trPr>
          <w:trHeight w:val="130"/>
        </w:trPr>
        <w:tc>
          <w:tcPr>
            <w:tcW w:w="1495" w:type="pct"/>
            <w:vAlign w:val="bottom"/>
          </w:tcPr>
          <w:p w14:paraId="6EB2759B" w14:textId="77777777" w:rsidR="00481F7C" w:rsidRPr="00481F7C" w:rsidRDefault="00481F7C" w:rsidP="00481F7C">
            <w:pPr>
              <w:tabs>
                <w:tab w:val="right" w:pos="1202"/>
              </w:tabs>
              <w:spacing w:after="0" w:line="240" w:lineRule="auto"/>
              <w:outlineLvl w:val="0"/>
              <w:rPr>
                <w:rFonts w:eastAsia="Times New Roman" w:cs="Arial"/>
                <w:iCs/>
                <w:sz w:val="19"/>
                <w:szCs w:val="19"/>
              </w:rPr>
            </w:pPr>
          </w:p>
        </w:tc>
        <w:tc>
          <w:tcPr>
            <w:tcW w:w="701" w:type="pct"/>
          </w:tcPr>
          <w:p w14:paraId="4F56C028" w14:textId="77777777" w:rsidR="00481F7C" w:rsidRPr="00481F7C" w:rsidRDefault="00481F7C" w:rsidP="00481F7C">
            <w:pPr>
              <w:keepNext/>
              <w:keepLines/>
              <w:tabs>
                <w:tab w:val="decimal" w:pos="1202"/>
              </w:tabs>
              <w:spacing w:after="0" w:line="240" w:lineRule="auto"/>
              <w:rPr>
                <w:rFonts w:eastAsia="Times New Roman" w:cs="Arial"/>
                <w:b/>
                <w:position w:val="4"/>
                <w:sz w:val="19"/>
                <w:szCs w:val="19"/>
                <w:u w:val="thick"/>
              </w:rPr>
            </w:pPr>
          </w:p>
        </w:tc>
        <w:tc>
          <w:tcPr>
            <w:tcW w:w="701" w:type="pct"/>
          </w:tcPr>
          <w:p w14:paraId="4E169A51" w14:textId="77777777" w:rsidR="00481F7C" w:rsidRPr="00481F7C" w:rsidRDefault="00481F7C" w:rsidP="00481F7C">
            <w:pPr>
              <w:keepNext/>
              <w:keepLines/>
              <w:tabs>
                <w:tab w:val="decimal" w:pos="1202"/>
              </w:tabs>
              <w:spacing w:after="0" w:line="240" w:lineRule="auto"/>
              <w:rPr>
                <w:rFonts w:eastAsia="Times New Roman" w:cs="Arial"/>
                <w:b/>
                <w:position w:val="4"/>
                <w:sz w:val="19"/>
                <w:szCs w:val="19"/>
                <w:u w:val="thick"/>
              </w:rPr>
            </w:pPr>
          </w:p>
        </w:tc>
        <w:tc>
          <w:tcPr>
            <w:tcW w:w="701" w:type="pct"/>
          </w:tcPr>
          <w:p w14:paraId="542B02D2" w14:textId="77777777" w:rsidR="00481F7C" w:rsidRPr="00481F7C" w:rsidRDefault="00481F7C" w:rsidP="00481F7C">
            <w:pPr>
              <w:keepNext/>
              <w:keepLines/>
              <w:tabs>
                <w:tab w:val="decimal" w:pos="1202"/>
              </w:tabs>
              <w:spacing w:after="0" w:line="240" w:lineRule="auto"/>
              <w:rPr>
                <w:rFonts w:eastAsia="Times New Roman" w:cs="Arial"/>
                <w:b/>
                <w:position w:val="4"/>
                <w:sz w:val="19"/>
                <w:szCs w:val="19"/>
                <w:u w:val="thick"/>
              </w:rPr>
            </w:pPr>
          </w:p>
        </w:tc>
        <w:tc>
          <w:tcPr>
            <w:tcW w:w="701" w:type="pct"/>
          </w:tcPr>
          <w:p w14:paraId="111813A0" w14:textId="77777777" w:rsidR="00481F7C" w:rsidRPr="00481F7C" w:rsidRDefault="00481F7C" w:rsidP="00481F7C">
            <w:pPr>
              <w:keepNext/>
              <w:keepLines/>
              <w:tabs>
                <w:tab w:val="decimal" w:pos="1202"/>
              </w:tabs>
              <w:spacing w:after="0" w:line="240" w:lineRule="auto"/>
              <w:rPr>
                <w:rFonts w:eastAsia="Times New Roman" w:cs="Arial"/>
                <w:b/>
                <w:position w:val="4"/>
                <w:sz w:val="19"/>
                <w:szCs w:val="19"/>
                <w:u w:val="thick"/>
              </w:rPr>
            </w:pPr>
          </w:p>
        </w:tc>
        <w:tc>
          <w:tcPr>
            <w:tcW w:w="701" w:type="pct"/>
          </w:tcPr>
          <w:p w14:paraId="63B592BA" w14:textId="77777777" w:rsidR="00481F7C" w:rsidRPr="00481F7C" w:rsidRDefault="00481F7C" w:rsidP="00481F7C">
            <w:pPr>
              <w:keepNext/>
              <w:keepLines/>
              <w:tabs>
                <w:tab w:val="decimal" w:pos="1202"/>
              </w:tabs>
              <w:spacing w:after="0" w:line="240" w:lineRule="auto"/>
              <w:rPr>
                <w:rFonts w:eastAsia="Times New Roman" w:cs="Arial"/>
                <w:b/>
                <w:position w:val="4"/>
                <w:sz w:val="19"/>
                <w:szCs w:val="19"/>
                <w:u w:val="thick"/>
              </w:rPr>
            </w:pPr>
          </w:p>
        </w:tc>
      </w:tr>
      <w:tr w:rsidR="00481F7C" w:rsidRPr="00481F7C" w14:paraId="4716B854" w14:textId="77777777" w:rsidTr="00312975">
        <w:trPr>
          <w:trHeight w:val="308"/>
        </w:trPr>
        <w:tc>
          <w:tcPr>
            <w:tcW w:w="1495" w:type="pct"/>
            <w:vAlign w:val="bottom"/>
          </w:tcPr>
          <w:p w14:paraId="4A219485" w14:textId="06F3E228" w:rsidR="00481F7C" w:rsidRPr="00481F7C" w:rsidRDefault="00481F7C" w:rsidP="000035C6">
            <w:pPr>
              <w:tabs>
                <w:tab w:val="right" w:pos="1202"/>
              </w:tabs>
              <w:spacing w:after="0" w:line="240" w:lineRule="auto"/>
              <w:outlineLvl w:val="0"/>
              <w:rPr>
                <w:rFonts w:eastAsia="Times New Roman" w:cs="Arial"/>
                <w:iCs/>
                <w:sz w:val="19"/>
                <w:szCs w:val="19"/>
              </w:rPr>
            </w:pPr>
            <w:r w:rsidRPr="00481F7C">
              <w:rPr>
                <w:rFonts w:eastAsia="Times New Roman" w:cs="Arial"/>
                <w:iCs/>
                <w:sz w:val="19"/>
                <w:szCs w:val="19"/>
              </w:rPr>
              <w:t>Dobit tekuće</w:t>
            </w:r>
            <w:r w:rsidR="000035C6">
              <w:rPr>
                <w:rFonts w:eastAsia="Times New Roman" w:cs="Arial"/>
                <w:iCs/>
                <w:sz w:val="19"/>
                <w:szCs w:val="19"/>
              </w:rPr>
              <w:t>g razdoblja</w:t>
            </w:r>
          </w:p>
        </w:tc>
        <w:tc>
          <w:tcPr>
            <w:tcW w:w="701" w:type="pct"/>
            <w:tcBorders>
              <w:top w:val="nil"/>
              <w:left w:val="nil"/>
              <w:bottom w:val="nil"/>
              <w:right w:val="nil"/>
            </w:tcBorders>
            <w:shd w:val="clear" w:color="auto" w:fill="auto"/>
            <w:vAlign w:val="bottom"/>
          </w:tcPr>
          <w:p w14:paraId="054B9D8B" w14:textId="40606D40" w:rsidR="00481F7C" w:rsidRPr="00481F7C" w:rsidRDefault="00481F7C" w:rsidP="00481F7C">
            <w:pPr>
              <w:tabs>
                <w:tab w:val="right" w:pos="1202"/>
              </w:tabs>
              <w:spacing w:after="0" w:line="240" w:lineRule="auto"/>
              <w:jc w:val="right"/>
              <w:outlineLvl w:val="0"/>
              <w:rPr>
                <w:rFonts w:eastAsia="Times New Roman" w:cs="Arial"/>
                <w:sz w:val="19"/>
                <w:szCs w:val="19"/>
              </w:rPr>
            </w:pPr>
            <w:r w:rsidRPr="00481F7C">
              <w:rPr>
                <w:rFonts w:eastAsia="Times New Roman" w:cs="Arial"/>
                <w:sz w:val="19"/>
                <w:szCs w:val="19"/>
              </w:rPr>
              <w:t>-</w:t>
            </w:r>
          </w:p>
        </w:tc>
        <w:tc>
          <w:tcPr>
            <w:tcW w:w="701" w:type="pct"/>
            <w:tcBorders>
              <w:top w:val="nil"/>
              <w:left w:val="nil"/>
              <w:bottom w:val="nil"/>
              <w:right w:val="nil"/>
            </w:tcBorders>
            <w:shd w:val="clear" w:color="auto" w:fill="auto"/>
            <w:vAlign w:val="bottom"/>
          </w:tcPr>
          <w:p w14:paraId="40E78E33" w14:textId="55686ED2" w:rsidR="00481F7C" w:rsidRPr="00481F7C" w:rsidRDefault="00481F7C" w:rsidP="00481F7C">
            <w:pPr>
              <w:tabs>
                <w:tab w:val="right" w:pos="1202"/>
              </w:tabs>
              <w:spacing w:after="0" w:line="240" w:lineRule="auto"/>
              <w:jc w:val="right"/>
              <w:outlineLvl w:val="0"/>
              <w:rPr>
                <w:rFonts w:eastAsia="Times New Roman" w:cs="Arial"/>
                <w:sz w:val="19"/>
                <w:szCs w:val="19"/>
              </w:rPr>
            </w:pPr>
            <w:r w:rsidRPr="00481F7C">
              <w:rPr>
                <w:rFonts w:eastAsia="Times New Roman" w:cs="Arial"/>
                <w:sz w:val="19"/>
                <w:szCs w:val="19"/>
              </w:rPr>
              <w:t>-</w:t>
            </w:r>
          </w:p>
        </w:tc>
        <w:tc>
          <w:tcPr>
            <w:tcW w:w="701" w:type="pct"/>
            <w:tcBorders>
              <w:top w:val="nil"/>
              <w:left w:val="nil"/>
              <w:bottom w:val="nil"/>
              <w:right w:val="nil"/>
            </w:tcBorders>
            <w:shd w:val="clear" w:color="auto" w:fill="auto"/>
            <w:vAlign w:val="bottom"/>
          </w:tcPr>
          <w:p w14:paraId="0E4716EB" w14:textId="4A3B1843" w:rsidR="00481F7C" w:rsidRPr="00481F7C" w:rsidRDefault="00481F7C" w:rsidP="00481F7C">
            <w:pPr>
              <w:tabs>
                <w:tab w:val="right" w:pos="1202"/>
              </w:tabs>
              <w:spacing w:after="0" w:line="240" w:lineRule="auto"/>
              <w:jc w:val="right"/>
              <w:outlineLvl w:val="0"/>
              <w:rPr>
                <w:rFonts w:eastAsia="Times New Roman" w:cs="Arial"/>
                <w:sz w:val="19"/>
                <w:szCs w:val="19"/>
              </w:rPr>
            </w:pPr>
            <w:r w:rsidRPr="00481F7C">
              <w:rPr>
                <w:rFonts w:eastAsia="Times New Roman" w:cs="Arial"/>
                <w:sz w:val="19"/>
                <w:szCs w:val="19"/>
              </w:rPr>
              <w:t>-</w:t>
            </w:r>
          </w:p>
        </w:tc>
        <w:tc>
          <w:tcPr>
            <w:tcW w:w="701" w:type="pct"/>
            <w:tcBorders>
              <w:top w:val="nil"/>
              <w:left w:val="nil"/>
              <w:bottom w:val="nil"/>
              <w:right w:val="nil"/>
            </w:tcBorders>
            <w:shd w:val="clear" w:color="auto" w:fill="auto"/>
            <w:vAlign w:val="bottom"/>
          </w:tcPr>
          <w:p w14:paraId="5846E76C" w14:textId="28A26AA9" w:rsidR="00481F7C" w:rsidRPr="00481F7C" w:rsidRDefault="00481F7C" w:rsidP="00481F7C">
            <w:pPr>
              <w:tabs>
                <w:tab w:val="right" w:pos="1202"/>
              </w:tabs>
              <w:spacing w:after="0" w:line="240" w:lineRule="auto"/>
              <w:jc w:val="right"/>
              <w:outlineLvl w:val="0"/>
              <w:rPr>
                <w:rFonts w:eastAsia="Times New Roman" w:cs="Arial"/>
                <w:sz w:val="19"/>
                <w:szCs w:val="19"/>
              </w:rPr>
            </w:pPr>
            <w:r w:rsidRPr="00481F7C">
              <w:rPr>
                <w:rFonts w:eastAsia="Times New Roman" w:cs="Arial"/>
                <w:sz w:val="19"/>
                <w:szCs w:val="19"/>
              </w:rPr>
              <w:t>107.235</w:t>
            </w:r>
          </w:p>
        </w:tc>
        <w:tc>
          <w:tcPr>
            <w:tcW w:w="701" w:type="pct"/>
            <w:tcBorders>
              <w:top w:val="nil"/>
              <w:left w:val="nil"/>
              <w:bottom w:val="nil"/>
              <w:right w:val="nil"/>
            </w:tcBorders>
            <w:shd w:val="clear" w:color="auto" w:fill="auto"/>
            <w:vAlign w:val="bottom"/>
          </w:tcPr>
          <w:p w14:paraId="332900F6" w14:textId="07A02B86" w:rsidR="00481F7C" w:rsidRPr="00481F7C" w:rsidRDefault="00481F7C" w:rsidP="00481F7C">
            <w:pPr>
              <w:tabs>
                <w:tab w:val="right" w:pos="1202"/>
              </w:tabs>
              <w:spacing w:after="0" w:line="240" w:lineRule="auto"/>
              <w:jc w:val="right"/>
              <w:outlineLvl w:val="0"/>
              <w:rPr>
                <w:rFonts w:eastAsia="Times New Roman" w:cs="Arial"/>
                <w:b/>
                <w:iCs/>
                <w:sz w:val="19"/>
                <w:szCs w:val="19"/>
              </w:rPr>
            </w:pPr>
            <w:r w:rsidRPr="00481F7C">
              <w:rPr>
                <w:rFonts w:eastAsia="Times New Roman" w:cs="Arial"/>
                <w:b/>
                <w:iCs/>
                <w:sz w:val="19"/>
                <w:szCs w:val="19"/>
              </w:rPr>
              <w:t>107.235</w:t>
            </w:r>
          </w:p>
        </w:tc>
      </w:tr>
      <w:tr w:rsidR="00481F7C" w:rsidRPr="00481F7C" w14:paraId="2EC1B19A" w14:textId="77777777" w:rsidTr="00312975">
        <w:trPr>
          <w:trHeight w:val="258"/>
        </w:trPr>
        <w:tc>
          <w:tcPr>
            <w:tcW w:w="1495" w:type="pct"/>
            <w:vAlign w:val="bottom"/>
          </w:tcPr>
          <w:p w14:paraId="4DAA5BFC" w14:textId="77777777" w:rsidR="00481F7C" w:rsidRPr="00481F7C" w:rsidRDefault="00481F7C" w:rsidP="00481F7C">
            <w:pPr>
              <w:tabs>
                <w:tab w:val="right" w:pos="1202"/>
              </w:tabs>
              <w:spacing w:after="0" w:line="240" w:lineRule="auto"/>
              <w:outlineLvl w:val="0"/>
              <w:rPr>
                <w:rFonts w:eastAsia="Times New Roman" w:cs="Arial"/>
                <w:iCs/>
                <w:sz w:val="19"/>
                <w:szCs w:val="19"/>
              </w:rPr>
            </w:pPr>
            <w:r w:rsidRPr="00481F7C">
              <w:rPr>
                <w:rFonts w:eastAsia="Times New Roman" w:cs="Arial"/>
                <w:iCs/>
                <w:sz w:val="19"/>
                <w:szCs w:val="19"/>
              </w:rPr>
              <w:t>Ostala sveobuhvatna dobit</w:t>
            </w:r>
          </w:p>
        </w:tc>
        <w:tc>
          <w:tcPr>
            <w:tcW w:w="701" w:type="pct"/>
            <w:tcBorders>
              <w:top w:val="nil"/>
              <w:left w:val="nil"/>
              <w:bottom w:val="nil"/>
              <w:right w:val="nil"/>
            </w:tcBorders>
            <w:shd w:val="clear" w:color="auto" w:fill="auto"/>
            <w:vAlign w:val="bottom"/>
          </w:tcPr>
          <w:p w14:paraId="1B97BAD9" w14:textId="28179995" w:rsidR="00481F7C" w:rsidRPr="00481F7C" w:rsidRDefault="00481F7C" w:rsidP="00481F7C">
            <w:pPr>
              <w:tabs>
                <w:tab w:val="right" w:pos="1202"/>
              </w:tabs>
              <w:spacing w:after="0" w:line="240" w:lineRule="auto"/>
              <w:jc w:val="right"/>
              <w:outlineLvl w:val="0"/>
              <w:rPr>
                <w:rFonts w:eastAsia="Times New Roman" w:cs="Arial"/>
                <w:iCs/>
                <w:sz w:val="19"/>
                <w:szCs w:val="19"/>
              </w:rPr>
            </w:pPr>
            <w:r w:rsidRPr="00481F7C">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26E7EAAE" w14:textId="37B9F41A" w:rsidR="00481F7C" w:rsidRPr="00481F7C" w:rsidRDefault="00481F7C" w:rsidP="00481F7C">
            <w:pPr>
              <w:tabs>
                <w:tab w:val="right" w:pos="1202"/>
              </w:tabs>
              <w:spacing w:after="0" w:line="240" w:lineRule="auto"/>
              <w:jc w:val="right"/>
              <w:outlineLvl w:val="0"/>
              <w:rPr>
                <w:rFonts w:eastAsia="Times New Roman" w:cs="Arial"/>
                <w:iCs/>
                <w:sz w:val="19"/>
                <w:szCs w:val="19"/>
              </w:rPr>
            </w:pPr>
            <w:r w:rsidRPr="00481F7C">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2A22D281" w14:textId="0152C8B7" w:rsidR="00481F7C" w:rsidRPr="00481F7C" w:rsidRDefault="00481F7C" w:rsidP="00481F7C">
            <w:pPr>
              <w:tabs>
                <w:tab w:val="right" w:pos="1202"/>
              </w:tabs>
              <w:spacing w:after="0" w:line="240" w:lineRule="auto"/>
              <w:jc w:val="right"/>
              <w:outlineLvl w:val="0"/>
              <w:rPr>
                <w:rFonts w:eastAsia="Times New Roman" w:cs="Arial"/>
                <w:iCs/>
                <w:sz w:val="19"/>
                <w:szCs w:val="19"/>
              </w:rPr>
            </w:pPr>
            <w:r w:rsidRPr="00481F7C">
              <w:rPr>
                <w:rFonts w:eastAsia="Times New Roman" w:cs="Arial"/>
                <w:iCs/>
                <w:sz w:val="19"/>
                <w:szCs w:val="19"/>
              </w:rPr>
              <w:t>13.844</w:t>
            </w:r>
          </w:p>
        </w:tc>
        <w:tc>
          <w:tcPr>
            <w:tcW w:w="701" w:type="pct"/>
            <w:tcBorders>
              <w:top w:val="nil"/>
              <w:left w:val="nil"/>
              <w:bottom w:val="nil"/>
              <w:right w:val="nil"/>
            </w:tcBorders>
            <w:shd w:val="clear" w:color="auto" w:fill="auto"/>
            <w:vAlign w:val="bottom"/>
          </w:tcPr>
          <w:p w14:paraId="14F268AC" w14:textId="4C595B70" w:rsidR="00481F7C" w:rsidRPr="00481F7C" w:rsidRDefault="00481F7C" w:rsidP="00481F7C">
            <w:pPr>
              <w:tabs>
                <w:tab w:val="right" w:pos="1202"/>
              </w:tabs>
              <w:spacing w:after="0" w:line="240" w:lineRule="auto"/>
              <w:jc w:val="right"/>
              <w:outlineLvl w:val="0"/>
              <w:rPr>
                <w:rFonts w:eastAsia="Times New Roman" w:cs="Arial"/>
                <w:iCs/>
                <w:sz w:val="19"/>
                <w:szCs w:val="19"/>
              </w:rPr>
            </w:pPr>
            <w:r w:rsidRPr="00481F7C">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32A63EBD" w14:textId="28BE8B6F" w:rsidR="00481F7C" w:rsidRPr="00481F7C" w:rsidRDefault="00481F7C" w:rsidP="00481F7C">
            <w:pPr>
              <w:tabs>
                <w:tab w:val="right" w:pos="1202"/>
              </w:tabs>
              <w:spacing w:after="0" w:line="240" w:lineRule="auto"/>
              <w:jc w:val="right"/>
              <w:outlineLvl w:val="0"/>
              <w:rPr>
                <w:rFonts w:eastAsia="Times New Roman" w:cs="Arial"/>
                <w:b/>
                <w:iCs/>
                <w:sz w:val="19"/>
                <w:szCs w:val="19"/>
              </w:rPr>
            </w:pPr>
            <w:r w:rsidRPr="00481F7C">
              <w:rPr>
                <w:rFonts w:eastAsia="Times New Roman" w:cs="Arial"/>
                <w:b/>
                <w:iCs/>
                <w:sz w:val="19"/>
                <w:szCs w:val="19"/>
              </w:rPr>
              <w:t>13.844</w:t>
            </w:r>
          </w:p>
        </w:tc>
      </w:tr>
      <w:tr w:rsidR="00481F7C" w:rsidRPr="00481F7C" w14:paraId="3132F692" w14:textId="77777777" w:rsidTr="00312975">
        <w:trPr>
          <w:trHeight w:val="130"/>
        </w:trPr>
        <w:tc>
          <w:tcPr>
            <w:tcW w:w="1495" w:type="pct"/>
            <w:vAlign w:val="bottom"/>
          </w:tcPr>
          <w:p w14:paraId="57C72BB9" w14:textId="77777777" w:rsidR="00481F7C" w:rsidRPr="00481F7C" w:rsidRDefault="00481F7C" w:rsidP="00481F7C">
            <w:pPr>
              <w:tabs>
                <w:tab w:val="right" w:pos="1202"/>
              </w:tabs>
              <w:spacing w:after="0" w:line="140" w:lineRule="exact"/>
              <w:outlineLvl w:val="0"/>
              <w:rPr>
                <w:rFonts w:eastAsia="Times New Roman" w:cs="Arial"/>
                <w:iCs/>
                <w:sz w:val="19"/>
                <w:szCs w:val="19"/>
              </w:rPr>
            </w:pPr>
          </w:p>
        </w:tc>
        <w:tc>
          <w:tcPr>
            <w:tcW w:w="701" w:type="pct"/>
          </w:tcPr>
          <w:p w14:paraId="0EE53CB0" w14:textId="77777777" w:rsidR="00481F7C" w:rsidRPr="00481F7C" w:rsidRDefault="00481F7C" w:rsidP="00481F7C">
            <w:pPr>
              <w:keepNext/>
              <w:keepLines/>
              <w:tabs>
                <w:tab w:val="decimal" w:pos="1015"/>
              </w:tabs>
              <w:spacing w:after="0" w:line="140" w:lineRule="exact"/>
              <w:jc w:val="center"/>
              <w:rPr>
                <w:rFonts w:eastAsia="Times New Roman" w:cs="Arial"/>
                <w:spacing w:val="-2"/>
                <w:position w:val="4"/>
                <w:sz w:val="19"/>
                <w:szCs w:val="19"/>
              </w:rPr>
            </w:pPr>
            <w:r w:rsidRPr="00481F7C">
              <w:rPr>
                <w:rFonts w:eastAsia="Times New Roman" w:cs="Arial"/>
                <w:spacing w:val="-2"/>
                <w:position w:val="4"/>
                <w:sz w:val="19"/>
                <w:szCs w:val="19"/>
              </w:rPr>
              <w:t>__________</w:t>
            </w:r>
          </w:p>
        </w:tc>
        <w:tc>
          <w:tcPr>
            <w:tcW w:w="701" w:type="pct"/>
          </w:tcPr>
          <w:p w14:paraId="0B55F5AC" w14:textId="77777777" w:rsidR="00481F7C" w:rsidRPr="00481F7C" w:rsidRDefault="00481F7C" w:rsidP="00481F7C">
            <w:pPr>
              <w:keepNext/>
              <w:keepLines/>
              <w:tabs>
                <w:tab w:val="decimal" w:pos="1015"/>
              </w:tabs>
              <w:spacing w:after="0" w:line="140" w:lineRule="exact"/>
              <w:jc w:val="center"/>
              <w:rPr>
                <w:rFonts w:eastAsia="Times New Roman" w:cs="Arial"/>
                <w:spacing w:val="-2"/>
                <w:position w:val="4"/>
                <w:sz w:val="19"/>
                <w:szCs w:val="19"/>
              </w:rPr>
            </w:pPr>
            <w:r w:rsidRPr="00481F7C">
              <w:rPr>
                <w:rFonts w:eastAsia="Times New Roman" w:cs="Arial"/>
                <w:spacing w:val="-2"/>
                <w:position w:val="4"/>
                <w:sz w:val="19"/>
                <w:szCs w:val="19"/>
              </w:rPr>
              <w:t>__________</w:t>
            </w:r>
          </w:p>
        </w:tc>
        <w:tc>
          <w:tcPr>
            <w:tcW w:w="701" w:type="pct"/>
          </w:tcPr>
          <w:p w14:paraId="7BBE70C4" w14:textId="77777777" w:rsidR="00481F7C" w:rsidRPr="00481F7C" w:rsidRDefault="00481F7C" w:rsidP="00481F7C">
            <w:pPr>
              <w:keepNext/>
              <w:keepLines/>
              <w:tabs>
                <w:tab w:val="decimal" w:pos="1015"/>
              </w:tabs>
              <w:spacing w:after="0" w:line="140" w:lineRule="exact"/>
              <w:jc w:val="center"/>
              <w:rPr>
                <w:rFonts w:eastAsia="Times New Roman" w:cs="Arial"/>
                <w:spacing w:val="-2"/>
                <w:position w:val="4"/>
                <w:sz w:val="19"/>
                <w:szCs w:val="19"/>
              </w:rPr>
            </w:pPr>
            <w:r w:rsidRPr="00481F7C">
              <w:rPr>
                <w:rFonts w:eastAsia="Times New Roman" w:cs="Arial"/>
                <w:spacing w:val="-2"/>
                <w:position w:val="4"/>
                <w:sz w:val="19"/>
                <w:szCs w:val="19"/>
              </w:rPr>
              <w:t>__________</w:t>
            </w:r>
          </w:p>
        </w:tc>
        <w:tc>
          <w:tcPr>
            <w:tcW w:w="701" w:type="pct"/>
          </w:tcPr>
          <w:p w14:paraId="53F912A0" w14:textId="77777777" w:rsidR="00481F7C" w:rsidRPr="00481F7C" w:rsidRDefault="00481F7C" w:rsidP="00481F7C">
            <w:pPr>
              <w:keepNext/>
              <w:keepLines/>
              <w:tabs>
                <w:tab w:val="decimal" w:pos="1015"/>
              </w:tabs>
              <w:spacing w:after="0" w:line="140" w:lineRule="exact"/>
              <w:jc w:val="center"/>
              <w:rPr>
                <w:rFonts w:eastAsia="Times New Roman" w:cs="Arial"/>
                <w:spacing w:val="-2"/>
                <w:position w:val="4"/>
                <w:sz w:val="19"/>
                <w:szCs w:val="19"/>
              </w:rPr>
            </w:pPr>
            <w:r w:rsidRPr="00481F7C">
              <w:rPr>
                <w:rFonts w:eastAsia="Times New Roman" w:cs="Arial"/>
                <w:spacing w:val="-2"/>
                <w:position w:val="4"/>
                <w:sz w:val="19"/>
                <w:szCs w:val="19"/>
              </w:rPr>
              <w:t>__________</w:t>
            </w:r>
          </w:p>
        </w:tc>
        <w:tc>
          <w:tcPr>
            <w:tcW w:w="701" w:type="pct"/>
          </w:tcPr>
          <w:p w14:paraId="154C750B" w14:textId="77777777" w:rsidR="00481F7C" w:rsidRPr="00481F7C" w:rsidRDefault="00481F7C" w:rsidP="00481F7C">
            <w:pPr>
              <w:keepNext/>
              <w:keepLines/>
              <w:tabs>
                <w:tab w:val="decimal" w:pos="1015"/>
              </w:tabs>
              <w:spacing w:after="0" w:line="140" w:lineRule="exact"/>
              <w:jc w:val="right"/>
              <w:rPr>
                <w:rFonts w:eastAsia="Times New Roman" w:cs="Arial"/>
                <w:spacing w:val="-2"/>
                <w:position w:val="4"/>
                <w:sz w:val="19"/>
                <w:szCs w:val="19"/>
              </w:rPr>
            </w:pPr>
            <w:r w:rsidRPr="00481F7C">
              <w:rPr>
                <w:rFonts w:eastAsia="Times New Roman" w:cs="Arial"/>
                <w:spacing w:val="-2"/>
                <w:position w:val="4"/>
                <w:sz w:val="19"/>
                <w:szCs w:val="19"/>
              </w:rPr>
              <w:t>__________</w:t>
            </w:r>
          </w:p>
        </w:tc>
      </w:tr>
      <w:tr w:rsidR="00481F7C" w:rsidRPr="00481F7C" w14:paraId="25FDBE7F" w14:textId="77777777" w:rsidTr="00312975">
        <w:trPr>
          <w:trHeight w:val="264"/>
        </w:trPr>
        <w:tc>
          <w:tcPr>
            <w:tcW w:w="1495" w:type="pct"/>
            <w:vAlign w:val="bottom"/>
          </w:tcPr>
          <w:p w14:paraId="0B2A1523" w14:textId="77777777" w:rsidR="00481F7C" w:rsidRPr="00481F7C" w:rsidRDefault="00481F7C" w:rsidP="00481F7C">
            <w:pPr>
              <w:tabs>
                <w:tab w:val="right" w:pos="1202"/>
              </w:tabs>
              <w:spacing w:after="0" w:line="240" w:lineRule="auto"/>
              <w:outlineLvl w:val="0"/>
              <w:rPr>
                <w:rFonts w:eastAsia="Times New Roman" w:cs="Arial"/>
                <w:iCs/>
                <w:sz w:val="19"/>
                <w:szCs w:val="19"/>
              </w:rPr>
            </w:pPr>
            <w:r w:rsidRPr="00481F7C">
              <w:rPr>
                <w:rFonts w:eastAsia="Times New Roman" w:cs="Arial"/>
                <w:iCs/>
                <w:sz w:val="19"/>
                <w:szCs w:val="19"/>
              </w:rPr>
              <w:t>Ukupna sveobuhvatna dobit</w:t>
            </w:r>
          </w:p>
        </w:tc>
        <w:tc>
          <w:tcPr>
            <w:tcW w:w="701" w:type="pct"/>
            <w:tcBorders>
              <w:top w:val="nil"/>
              <w:left w:val="nil"/>
              <w:bottom w:val="nil"/>
              <w:right w:val="nil"/>
            </w:tcBorders>
            <w:shd w:val="clear" w:color="auto" w:fill="auto"/>
            <w:vAlign w:val="bottom"/>
          </w:tcPr>
          <w:p w14:paraId="687987E0" w14:textId="565807B2" w:rsidR="00481F7C" w:rsidRPr="00481F7C" w:rsidRDefault="00481F7C" w:rsidP="00481F7C">
            <w:pPr>
              <w:tabs>
                <w:tab w:val="right" w:pos="1202"/>
              </w:tabs>
              <w:spacing w:after="0" w:line="240" w:lineRule="auto"/>
              <w:jc w:val="right"/>
              <w:outlineLvl w:val="0"/>
              <w:rPr>
                <w:rFonts w:eastAsia="Times New Roman" w:cs="Arial"/>
                <w:b/>
                <w:iCs/>
                <w:sz w:val="19"/>
                <w:szCs w:val="19"/>
              </w:rPr>
            </w:pPr>
            <w:r w:rsidRPr="00481F7C">
              <w:rPr>
                <w:rFonts w:eastAsia="Times New Roman" w:cs="Arial"/>
                <w:b/>
                <w:iCs/>
                <w:sz w:val="19"/>
                <w:szCs w:val="19"/>
              </w:rPr>
              <w:t>-</w:t>
            </w:r>
          </w:p>
        </w:tc>
        <w:tc>
          <w:tcPr>
            <w:tcW w:w="701" w:type="pct"/>
            <w:tcBorders>
              <w:top w:val="nil"/>
              <w:left w:val="nil"/>
              <w:bottom w:val="nil"/>
              <w:right w:val="nil"/>
            </w:tcBorders>
            <w:shd w:val="clear" w:color="auto" w:fill="auto"/>
            <w:vAlign w:val="bottom"/>
          </w:tcPr>
          <w:p w14:paraId="195E8401" w14:textId="596E7F1A" w:rsidR="00481F7C" w:rsidRPr="00481F7C" w:rsidRDefault="00481F7C" w:rsidP="00481F7C">
            <w:pPr>
              <w:tabs>
                <w:tab w:val="right" w:pos="1202"/>
              </w:tabs>
              <w:spacing w:after="0" w:line="240" w:lineRule="auto"/>
              <w:jc w:val="right"/>
              <w:outlineLvl w:val="0"/>
              <w:rPr>
                <w:rFonts w:eastAsia="Times New Roman" w:cs="Arial"/>
                <w:b/>
                <w:iCs/>
                <w:sz w:val="19"/>
                <w:szCs w:val="19"/>
              </w:rPr>
            </w:pPr>
            <w:r w:rsidRPr="00481F7C">
              <w:rPr>
                <w:rFonts w:eastAsia="Times New Roman" w:cs="Arial"/>
                <w:b/>
                <w:iCs/>
                <w:sz w:val="19"/>
                <w:szCs w:val="19"/>
              </w:rPr>
              <w:t>-</w:t>
            </w:r>
          </w:p>
        </w:tc>
        <w:tc>
          <w:tcPr>
            <w:tcW w:w="701" w:type="pct"/>
            <w:tcBorders>
              <w:top w:val="nil"/>
              <w:left w:val="nil"/>
              <w:bottom w:val="nil"/>
              <w:right w:val="nil"/>
            </w:tcBorders>
            <w:shd w:val="clear" w:color="auto" w:fill="auto"/>
            <w:vAlign w:val="bottom"/>
          </w:tcPr>
          <w:p w14:paraId="59FAD5DB" w14:textId="7922DB27" w:rsidR="00481F7C" w:rsidRPr="00481F7C" w:rsidRDefault="00481F7C" w:rsidP="00481F7C">
            <w:pPr>
              <w:tabs>
                <w:tab w:val="right" w:pos="1202"/>
              </w:tabs>
              <w:spacing w:after="0" w:line="240" w:lineRule="auto"/>
              <w:jc w:val="right"/>
              <w:outlineLvl w:val="0"/>
              <w:rPr>
                <w:rFonts w:eastAsia="Times New Roman" w:cs="Arial"/>
                <w:iCs/>
                <w:sz w:val="19"/>
                <w:szCs w:val="19"/>
              </w:rPr>
            </w:pPr>
            <w:r w:rsidRPr="00481F7C">
              <w:rPr>
                <w:rFonts w:eastAsia="Times New Roman" w:cs="Arial"/>
                <w:iCs/>
                <w:sz w:val="19"/>
                <w:szCs w:val="19"/>
              </w:rPr>
              <w:t>13.844</w:t>
            </w:r>
          </w:p>
        </w:tc>
        <w:tc>
          <w:tcPr>
            <w:tcW w:w="701" w:type="pct"/>
            <w:tcBorders>
              <w:top w:val="nil"/>
              <w:left w:val="nil"/>
              <w:bottom w:val="nil"/>
              <w:right w:val="nil"/>
            </w:tcBorders>
            <w:shd w:val="clear" w:color="auto" w:fill="auto"/>
            <w:vAlign w:val="bottom"/>
          </w:tcPr>
          <w:p w14:paraId="06EB14F1" w14:textId="7AD3F076" w:rsidR="00481F7C" w:rsidRPr="00481F7C" w:rsidRDefault="00481F7C" w:rsidP="00481F7C">
            <w:pPr>
              <w:tabs>
                <w:tab w:val="right" w:pos="1202"/>
              </w:tabs>
              <w:spacing w:after="0" w:line="240" w:lineRule="auto"/>
              <w:jc w:val="right"/>
              <w:outlineLvl w:val="0"/>
              <w:rPr>
                <w:rFonts w:eastAsia="Times New Roman" w:cs="Arial"/>
                <w:iCs/>
                <w:sz w:val="19"/>
                <w:szCs w:val="19"/>
              </w:rPr>
            </w:pPr>
            <w:r w:rsidRPr="00481F7C">
              <w:rPr>
                <w:rFonts w:eastAsia="Times New Roman" w:cs="Arial"/>
                <w:iCs/>
                <w:sz w:val="19"/>
                <w:szCs w:val="19"/>
              </w:rPr>
              <w:t>107.235</w:t>
            </w:r>
          </w:p>
        </w:tc>
        <w:tc>
          <w:tcPr>
            <w:tcW w:w="701" w:type="pct"/>
            <w:tcBorders>
              <w:top w:val="nil"/>
              <w:left w:val="nil"/>
              <w:bottom w:val="nil"/>
              <w:right w:val="nil"/>
            </w:tcBorders>
            <w:shd w:val="clear" w:color="auto" w:fill="auto"/>
            <w:vAlign w:val="bottom"/>
          </w:tcPr>
          <w:p w14:paraId="038F27FD" w14:textId="7B003048" w:rsidR="00481F7C" w:rsidRPr="00481F7C" w:rsidRDefault="00481F7C" w:rsidP="00481F7C">
            <w:pPr>
              <w:tabs>
                <w:tab w:val="right" w:pos="1202"/>
              </w:tabs>
              <w:spacing w:after="0" w:line="240" w:lineRule="auto"/>
              <w:jc w:val="right"/>
              <w:outlineLvl w:val="0"/>
              <w:rPr>
                <w:rFonts w:eastAsia="Times New Roman" w:cs="Arial"/>
                <w:b/>
                <w:iCs/>
                <w:sz w:val="19"/>
                <w:szCs w:val="19"/>
              </w:rPr>
            </w:pPr>
            <w:r w:rsidRPr="00481F7C">
              <w:rPr>
                <w:rFonts w:eastAsia="Times New Roman" w:cs="Arial"/>
                <w:b/>
                <w:iCs/>
                <w:sz w:val="19"/>
                <w:szCs w:val="19"/>
              </w:rPr>
              <w:t>121.079</w:t>
            </w:r>
          </w:p>
        </w:tc>
      </w:tr>
      <w:tr w:rsidR="00481F7C" w:rsidRPr="00481F7C" w14:paraId="0F496A92" w14:textId="77777777" w:rsidTr="00312975">
        <w:trPr>
          <w:trHeight w:val="130"/>
        </w:trPr>
        <w:tc>
          <w:tcPr>
            <w:tcW w:w="1495" w:type="pct"/>
            <w:vAlign w:val="bottom"/>
          </w:tcPr>
          <w:p w14:paraId="1281E0B6" w14:textId="77777777" w:rsidR="00481F7C" w:rsidRPr="00481F7C" w:rsidRDefault="00481F7C" w:rsidP="00481F7C">
            <w:pPr>
              <w:tabs>
                <w:tab w:val="right" w:pos="1202"/>
              </w:tabs>
              <w:spacing w:after="0" w:line="140" w:lineRule="exact"/>
              <w:outlineLvl w:val="0"/>
              <w:rPr>
                <w:rFonts w:eastAsia="Times New Roman" w:cs="Arial"/>
                <w:iCs/>
                <w:sz w:val="19"/>
                <w:szCs w:val="19"/>
              </w:rPr>
            </w:pPr>
          </w:p>
        </w:tc>
        <w:tc>
          <w:tcPr>
            <w:tcW w:w="701" w:type="pct"/>
          </w:tcPr>
          <w:p w14:paraId="1B96600A" w14:textId="77777777" w:rsidR="00481F7C" w:rsidRPr="00481F7C" w:rsidRDefault="00481F7C" w:rsidP="00481F7C">
            <w:pPr>
              <w:keepNext/>
              <w:keepLines/>
              <w:tabs>
                <w:tab w:val="decimal" w:pos="1015"/>
              </w:tabs>
              <w:spacing w:after="0" w:line="140" w:lineRule="exact"/>
              <w:jc w:val="center"/>
              <w:rPr>
                <w:rFonts w:eastAsia="Times New Roman" w:cs="Arial"/>
                <w:spacing w:val="-2"/>
                <w:position w:val="4"/>
                <w:sz w:val="19"/>
                <w:szCs w:val="19"/>
              </w:rPr>
            </w:pPr>
            <w:r w:rsidRPr="00481F7C">
              <w:rPr>
                <w:rFonts w:eastAsia="Times New Roman" w:cs="Arial"/>
                <w:spacing w:val="-2"/>
                <w:position w:val="4"/>
                <w:sz w:val="19"/>
                <w:szCs w:val="19"/>
              </w:rPr>
              <w:t>__________</w:t>
            </w:r>
          </w:p>
        </w:tc>
        <w:tc>
          <w:tcPr>
            <w:tcW w:w="701" w:type="pct"/>
          </w:tcPr>
          <w:p w14:paraId="72EF22C4" w14:textId="77777777" w:rsidR="00481F7C" w:rsidRPr="00481F7C" w:rsidRDefault="00481F7C" w:rsidP="00481F7C">
            <w:pPr>
              <w:keepNext/>
              <w:keepLines/>
              <w:tabs>
                <w:tab w:val="decimal" w:pos="1015"/>
              </w:tabs>
              <w:spacing w:after="0" w:line="140" w:lineRule="exact"/>
              <w:jc w:val="center"/>
              <w:rPr>
                <w:rFonts w:eastAsia="Times New Roman" w:cs="Arial"/>
                <w:spacing w:val="-2"/>
                <w:position w:val="4"/>
                <w:sz w:val="19"/>
                <w:szCs w:val="19"/>
              </w:rPr>
            </w:pPr>
            <w:r w:rsidRPr="00481F7C">
              <w:rPr>
                <w:rFonts w:eastAsia="Times New Roman" w:cs="Arial"/>
                <w:spacing w:val="-2"/>
                <w:position w:val="4"/>
                <w:sz w:val="19"/>
                <w:szCs w:val="19"/>
              </w:rPr>
              <w:t>__________</w:t>
            </w:r>
          </w:p>
        </w:tc>
        <w:tc>
          <w:tcPr>
            <w:tcW w:w="701" w:type="pct"/>
          </w:tcPr>
          <w:p w14:paraId="5B15AFD0" w14:textId="77777777" w:rsidR="00481F7C" w:rsidRPr="00481F7C" w:rsidRDefault="00481F7C" w:rsidP="00481F7C">
            <w:pPr>
              <w:keepNext/>
              <w:keepLines/>
              <w:tabs>
                <w:tab w:val="decimal" w:pos="1015"/>
              </w:tabs>
              <w:spacing w:after="0" w:line="140" w:lineRule="exact"/>
              <w:jc w:val="center"/>
              <w:rPr>
                <w:rFonts w:eastAsia="Times New Roman" w:cs="Arial"/>
                <w:spacing w:val="-2"/>
                <w:position w:val="4"/>
                <w:sz w:val="19"/>
                <w:szCs w:val="19"/>
              </w:rPr>
            </w:pPr>
            <w:r w:rsidRPr="00481F7C">
              <w:rPr>
                <w:rFonts w:eastAsia="Times New Roman" w:cs="Arial"/>
                <w:spacing w:val="-2"/>
                <w:position w:val="4"/>
                <w:sz w:val="19"/>
                <w:szCs w:val="19"/>
              </w:rPr>
              <w:t>__________</w:t>
            </w:r>
          </w:p>
        </w:tc>
        <w:tc>
          <w:tcPr>
            <w:tcW w:w="701" w:type="pct"/>
          </w:tcPr>
          <w:p w14:paraId="6A06AD14" w14:textId="77777777" w:rsidR="00481F7C" w:rsidRPr="00481F7C" w:rsidRDefault="00481F7C" w:rsidP="00481F7C">
            <w:pPr>
              <w:keepNext/>
              <w:keepLines/>
              <w:tabs>
                <w:tab w:val="decimal" w:pos="1015"/>
              </w:tabs>
              <w:spacing w:after="0" w:line="140" w:lineRule="exact"/>
              <w:jc w:val="center"/>
              <w:rPr>
                <w:rFonts w:eastAsia="Times New Roman" w:cs="Arial"/>
                <w:spacing w:val="-2"/>
                <w:position w:val="4"/>
                <w:sz w:val="19"/>
                <w:szCs w:val="19"/>
              </w:rPr>
            </w:pPr>
            <w:r w:rsidRPr="00481F7C">
              <w:rPr>
                <w:rFonts w:eastAsia="Times New Roman" w:cs="Arial"/>
                <w:spacing w:val="-2"/>
                <w:position w:val="4"/>
                <w:sz w:val="19"/>
                <w:szCs w:val="19"/>
              </w:rPr>
              <w:t>__________</w:t>
            </w:r>
          </w:p>
        </w:tc>
        <w:tc>
          <w:tcPr>
            <w:tcW w:w="701" w:type="pct"/>
          </w:tcPr>
          <w:p w14:paraId="1D2AD566" w14:textId="77777777" w:rsidR="00481F7C" w:rsidRPr="00481F7C" w:rsidRDefault="00481F7C" w:rsidP="00481F7C">
            <w:pPr>
              <w:keepNext/>
              <w:keepLines/>
              <w:tabs>
                <w:tab w:val="decimal" w:pos="1015"/>
              </w:tabs>
              <w:spacing w:after="0" w:line="140" w:lineRule="exact"/>
              <w:jc w:val="right"/>
              <w:rPr>
                <w:rFonts w:eastAsia="Times New Roman" w:cs="Arial"/>
                <w:spacing w:val="-2"/>
                <w:position w:val="4"/>
                <w:sz w:val="19"/>
                <w:szCs w:val="19"/>
              </w:rPr>
            </w:pPr>
            <w:r w:rsidRPr="00481F7C">
              <w:rPr>
                <w:rFonts w:eastAsia="Times New Roman" w:cs="Arial"/>
                <w:spacing w:val="-2"/>
                <w:position w:val="4"/>
                <w:sz w:val="19"/>
                <w:szCs w:val="19"/>
              </w:rPr>
              <w:t>__________</w:t>
            </w:r>
          </w:p>
        </w:tc>
      </w:tr>
      <w:tr w:rsidR="00481F7C" w:rsidRPr="00481F7C" w14:paraId="4F795A2E" w14:textId="77777777" w:rsidTr="00312975">
        <w:trPr>
          <w:trHeight w:val="451"/>
        </w:trPr>
        <w:tc>
          <w:tcPr>
            <w:tcW w:w="1495" w:type="pct"/>
            <w:vAlign w:val="bottom"/>
          </w:tcPr>
          <w:p w14:paraId="0E8A2594" w14:textId="77777777" w:rsidR="00481F7C" w:rsidRPr="00481F7C" w:rsidRDefault="00481F7C" w:rsidP="00481F7C">
            <w:pPr>
              <w:tabs>
                <w:tab w:val="right" w:pos="1202"/>
              </w:tabs>
              <w:spacing w:after="0" w:line="240" w:lineRule="auto"/>
              <w:outlineLvl w:val="0"/>
              <w:rPr>
                <w:rFonts w:eastAsia="Times New Roman" w:cs="Arial"/>
                <w:i/>
                <w:iCs/>
                <w:sz w:val="19"/>
                <w:szCs w:val="19"/>
              </w:rPr>
            </w:pPr>
            <w:r w:rsidRPr="00481F7C">
              <w:rPr>
                <w:rFonts w:eastAsia="Times New Roman" w:cs="Arial"/>
                <w:iCs/>
                <w:sz w:val="19"/>
                <w:szCs w:val="19"/>
              </w:rPr>
              <w:t xml:space="preserve">Uplate u osnivački kapital iz državnog proračuna </w:t>
            </w:r>
          </w:p>
        </w:tc>
        <w:tc>
          <w:tcPr>
            <w:tcW w:w="701" w:type="pct"/>
            <w:tcBorders>
              <w:top w:val="nil"/>
              <w:left w:val="nil"/>
              <w:bottom w:val="nil"/>
              <w:right w:val="nil"/>
            </w:tcBorders>
            <w:shd w:val="clear" w:color="auto" w:fill="auto"/>
            <w:vAlign w:val="bottom"/>
          </w:tcPr>
          <w:p w14:paraId="64D05DA1" w14:textId="3FECAB85" w:rsidR="00481F7C" w:rsidRPr="00481F7C" w:rsidRDefault="00481F7C" w:rsidP="00481F7C">
            <w:pPr>
              <w:tabs>
                <w:tab w:val="right" w:pos="1202"/>
              </w:tabs>
              <w:spacing w:after="0" w:line="240" w:lineRule="auto"/>
              <w:jc w:val="right"/>
              <w:outlineLvl w:val="0"/>
              <w:rPr>
                <w:rFonts w:eastAsia="Times New Roman" w:cs="Arial"/>
                <w:iCs/>
                <w:sz w:val="19"/>
                <w:szCs w:val="19"/>
              </w:rPr>
            </w:pPr>
            <w:r w:rsidRPr="00481F7C">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28A4D28A" w14:textId="546373B4" w:rsidR="00481F7C" w:rsidRPr="00481F7C" w:rsidRDefault="00481F7C" w:rsidP="00481F7C">
            <w:pPr>
              <w:tabs>
                <w:tab w:val="right" w:pos="1202"/>
              </w:tabs>
              <w:spacing w:after="0" w:line="240" w:lineRule="auto"/>
              <w:jc w:val="right"/>
              <w:outlineLvl w:val="0"/>
              <w:rPr>
                <w:rFonts w:eastAsia="Times New Roman" w:cs="Arial"/>
                <w:iCs/>
                <w:sz w:val="19"/>
                <w:szCs w:val="19"/>
              </w:rPr>
            </w:pPr>
            <w:r w:rsidRPr="00481F7C">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562DC4EF" w14:textId="5B772B24" w:rsidR="00481F7C" w:rsidRPr="00481F7C" w:rsidRDefault="00481F7C" w:rsidP="00481F7C">
            <w:pPr>
              <w:tabs>
                <w:tab w:val="right" w:pos="1202"/>
              </w:tabs>
              <w:spacing w:after="0" w:line="240" w:lineRule="auto"/>
              <w:jc w:val="right"/>
              <w:outlineLvl w:val="0"/>
              <w:rPr>
                <w:rFonts w:eastAsia="Times New Roman" w:cs="Arial"/>
                <w:iCs/>
                <w:sz w:val="19"/>
                <w:szCs w:val="19"/>
              </w:rPr>
            </w:pPr>
            <w:r w:rsidRPr="00481F7C">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34E8E5A2" w14:textId="081A7D9D" w:rsidR="00481F7C" w:rsidRPr="00481F7C" w:rsidRDefault="00481F7C" w:rsidP="00481F7C">
            <w:pPr>
              <w:tabs>
                <w:tab w:val="right" w:pos="1202"/>
              </w:tabs>
              <w:spacing w:after="0" w:line="240" w:lineRule="auto"/>
              <w:jc w:val="right"/>
              <w:outlineLvl w:val="0"/>
              <w:rPr>
                <w:rFonts w:eastAsia="Times New Roman" w:cs="Arial"/>
                <w:iCs/>
                <w:sz w:val="19"/>
                <w:szCs w:val="19"/>
              </w:rPr>
            </w:pPr>
            <w:r w:rsidRPr="00481F7C">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65BE4566" w14:textId="0611A93B" w:rsidR="00481F7C" w:rsidRPr="00481F7C" w:rsidRDefault="00481F7C" w:rsidP="00481F7C">
            <w:pPr>
              <w:tabs>
                <w:tab w:val="right" w:pos="1202"/>
              </w:tabs>
              <w:spacing w:after="0" w:line="240" w:lineRule="auto"/>
              <w:jc w:val="right"/>
              <w:outlineLvl w:val="0"/>
              <w:rPr>
                <w:rFonts w:eastAsia="Times New Roman" w:cs="Arial"/>
                <w:b/>
                <w:iCs/>
                <w:sz w:val="19"/>
                <w:szCs w:val="19"/>
              </w:rPr>
            </w:pPr>
            <w:r w:rsidRPr="00481F7C">
              <w:rPr>
                <w:rFonts w:eastAsia="Times New Roman" w:cs="Arial"/>
                <w:b/>
                <w:iCs/>
                <w:sz w:val="19"/>
                <w:szCs w:val="19"/>
              </w:rPr>
              <w:t>-</w:t>
            </w:r>
          </w:p>
        </w:tc>
      </w:tr>
      <w:tr w:rsidR="00481F7C" w:rsidRPr="00481F7C" w14:paraId="39AF45E6" w14:textId="77777777" w:rsidTr="00312975">
        <w:trPr>
          <w:trHeight w:val="524"/>
        </w:trPr>
        <w:tc>
          <w:tcPr>
            <w:tcW w:w="1495" w:type="pct"/>
            <w:vAlign w:val="bottom"/>
          </w:tcPr>
          <w:p w14:paraId="7D8587C6" w14:textId="5D93C45A" w:rsidR="00481F7C" w:rsidRPr="00481F7C" w:rsidRDefault="00481F7C" w:rsidP="00312975">
            <w:pPr>
              <w:tabs>
                <w:tab w:val="right" w:pos="1202"/>
              </w:tabs>
              <w:spacing w:after="0" w:line="240" w:lineRule="auto"/>
              <w:outlineLvl w:val="0"/>
              <w:rPr>
                <w:rFonts w:eastAsia="Times New Roman" w:cs="Arial"/>
                <w:i/>
                <w:iCs/>
                <w:sz w:val="19"/>
                <w:szCs w:val="19"/>
              </w:rPr>
            </w:pPr>
            <w:r w:rsidRPr="00481F7C">
              <w:rPr>
                <w:rFonts w:eastAsia="Times New Roman" w:cs="Arial"/>
                <w:iCs/>
                <w:sz w:val="19"/>
                <w:szCs w:val="19"/>
              </w:rPr>
              <w:t>Prijenos dobiti iz 201</w:t>
            </w:r>
            <w:r>
              <w:rPr>
                <w:rFonts w:eastAsia="Times New Roman" w:cs="Arial"/>
                <w:iCs/>
                <w:sz w:val="19"/>
                <w:szCs w:val="19"/>
              </w:rPr>
              <w:t>5</w:t>
            </w:r>
            <w:r w:rsidRPr="00481F7C">
              <w:rPr>
                <w:rFonts w:eastAsia="Times New Roman" w:cs="Arial"/>
                <w:iCs/>
                <w:sz w:val="19"/>
                <w:szCs w:val="19"/>
              </w:rPr>
              <w:t>. godine u zadržanu dobit</w:t>
            </w:r>
          </w:p>
        </w:tc>
        <w:tc>
          <w:tcPr>
            <w:tcW w:w="701" w:type="pct"/>
            <w:tcBorders>
              <w:top w:val="nil"/>
              <w:left w:val="nil"/>
              <w:bottom w:val="nil"/>
              <w:right w:val="nil"/>
            </w:tcBorders>
            <w:shd w:val="clear" w:color="auto" w:fill="auto"/>
            <w:vAlign w:val="bottom"/>
          </w:tcPr>
          <w:p w14:paraId="06B6BACF" w14:textId="09E50687" w:rsidR="00481F7C" w:rsidRPr="00481F7C" w:rsidRDefault="00481F7C" w:rsidP="00481F7C">
            <w:pPr>
              <w:tabs>
                <w:tab w:val="right" w:pos="1202"/>
              </w:tabs>
              <w:spacing w:after="0" w:line="240" w:lineRule="auto"/>
              <w:jc w:val="right"/>
              <w:outlineLvl w:val="0"/>
              <w:rPr>
                <w:rFonts w:eastAsia="Times New Roman" w:cs="Arial"/>
                <w:iCs/>
                <w:sz w:val="19"/>
                <w:szCs w:val="19"/>
              </w:rPr>
            </w:pPr>
            <w:r w:rsidRPr="00481F7C">
              <w:rPr>
                <w:rFonts w:ascii="Calibri" w:eastAsia="Times New Roman" w:hAnsi="Calibri" w:cs="Times New Roman"/>
                <w:color w:val="000000"/>
                <w:sz w:val="19"/>
                <w:szCs w:val="19"/>
                <w:lang w:val="en-GB"/>
              </w:rPr>
              <w:t>-</w:t>
            </w:r>
          </w:p>
        </w:tc>
        <w:tc>
          <w:tcPr>
            <w:tcW w:w="701" w:type="pct"/>
            <w:tcBorders>
              <w:top w:val="nil"/>
              <w:left w:val="nil"/>
              <w:bottom w:val="nil"/>
              <w:right w:val="nil"/>
            </w:tcBorders>
            <w:shd w:val="clear" w:color="auto" w:fill="auto"/>
            <w:vAlign w:val="bottom"/>
          </w:tcPr>
          <w:p w14:paraId="2B293EB0" w14:textId="2BDF00AF" w:rsidR="00481F7C" w:rsidRPr="00481F7C" w:rsidRDefault="00481F7C" w:rsidP="00481F7C">
            <w:pPr>
              <w:tabs>
                <w:tab w:val="right" w:pos="1202"/>
              </w:tabs>
              <w:spacing w:after="0" w:line="240" w:lineRule="auto"/>
              <w:jc w:val="right"/>
              <w:outlineLvl w:val="0"/>
              <w:rPr>
                <w:rFonts w:eastAsia="Times New Roman" w:cs="Arial"/>
                <w:iCs/>
                <w:sz w:val="19"/>
                <w:szCs w:val="19"/>
              </w:rPr>
            </w:pPr>
            <w:r w:rsidRPr="00481F7C">
              <w:rPr>
                <w:rFonts w:ascii="Calibri" w:eastAsia="Times New Roman" w:hAnsi="Calibri" w:cs="Times New Roman"/>
                <w:color w:val="000000"/>
                <w:sz w:val="19"/>
                <w:szCs w:val="19"/>
                <w:lang w:val="en-GB"/>
              </w:rPr>
              <w:t>205.228</w:t>
            </w:r>
          </w:p>
        </w:tc>
        <w:tc>
          <w:tcPr>
            <w:tcW w:w="701" w:type="pct"/>
            <w:tcBorders>
              <w:top w:val="nil"/>
              <w:left w:val="nil"/>
              <w:bottom w:val="nil"/>
              <w:right w:val="nil"/>
            </w:tcBorders>
            <w:shd w:val="clear" w:color="auto" w:fill="auto"/>
            <w:vAlign w:val="bottom"/>
          </w:tcPr>
          <w:p w14:paraId="6856B536" w14:textId="557A91C1" w:rsidR="00481F7C" w:rsidRPr="00481F7C" w:rsidRDefault="00481F7C" w:rsidP="00481F7C">
            <w:pPr>
              <w:tabs>
                <w:tab w:val="right" w:pos="1202"/>
              </w:tabs>
              <w:spacing w:after="0" w:line="240" w:lineRule="auto"/>
              <w:jc w:val="right"/>
              <w:outlineLvl w:val="0"/>
              <w:rPr>
                <w:rFonts w:eastAsia="Times New Roman" w:cs="Arial"/>
                <w:iCs/>
                <w:sz w:val="19"/>
                <w:szCs w:val="19"/>
              </w:rPr>
            </w:pPr>
            <w:r w:rsidRPr="00481F7C">
              <w:rPr>
                <w:rFonts w:ascii="Calibri" w:eastAsia="Times New Roman" w:hAnsi="Calibri" w:cs="Times New Roman"/>
                <w:color w:val="000000"/>
                <w:sz w:val="19"/>
                <w:szCs w:val="19"/>
                <w:lang w:val="en-GB"/>
              </w:rPr>
              <w:t>-</w:t>
            </w:r>
          </w:p>
        </w:tc>
        <w:tc>
          <w:tcPr>
            <w:tcW w:w="701" w:type="pct"/>
            <w:tcBorders>
              <w:top w:val="nil"/>
              <w:left w:val="nil"/>
              <w:bottom w:val="nil"/>
              <w:right w:val="nil"/>
            </w:tcBorders>
            <w:shd w:val="clear" w:color="auto" w:fill="auto"/>
            <w:vAlign w:val="bottom"/>
          </w:tcPr>
          <w:p w14:paraId="6172B933" w14:textId="77BC371A" w:rsidR="00481F7C" w:rsidRPr="00481F7C" w:rsidRDefault="00481F7C" w:rsidP="00481F7C">
            <w:pPr>
              <w:tabs>
                <w:tab w:val="right" w:pos="1202"/>
              </w:tabs>
              <w:spacing w:after="0" w:line="240" w:lineRule="auto"/>
              <w:jc w:val="right"/>
              <w:outlineLvl w:val="0"/>
              <w:rPr>
                <w:rFonts w:eastAsia="Times New Roman" w:cs="Arial"/>
                <w:iCs/>
                <w:sz w:val="19"/>
                <w:szCs w:val="19"/>
              </w:rPr>
            </w:pPr>
            <w:r w:rsidRPr="00481F7C">
              <w:rPr>
                <w:rFonts w:ascii="Calibri" w:eastAsia="Times New Roman" w:hAnsi="Calibri" w:cs="Times New Roman"/>
                <w:color w:val="000000"/>
                <w:sz w:val="19"/>
                <w:szCs w:val="19"/>
                <w:lang w:val="en-GB"/>
              </w:rPr>
              <w:t xml:space="preserve">           (205.228)</w:t>
            </w:r>
          </w:p>
        </w:tc>
        <w:tc>
          <w:tcPr>
            <w:tcW w:w="701" w:type="pct"/>
            <w:tcBorders>
              <w:top w:val="nil"/>
              <w:left w:val="nil"/>
              <w:bottom w:val="nil"/>
              <w:right w:val="nil"/>
            </w:tcBorders>
            <w:shd w:val="clear" w:color="auto" w:fill="auto"/>
            <w:vAlign w:val="bottom"/>
          </w:tcPr>
          <w:p w14:paraId="0937B88A" w14:textId="6F0B7BB1" w:rsidR="00481F7C" w:rsidRPr="00481F7C" w:rsidRDefault="00481F7C" w:rsidP="00481F7C">
            <w:pPr>
              <w:tabs>
                <w:tab w:val="right" w:pos="1202"/>
              </w:tabs>
              <w:spacing w:after="0" w:line="240" w:lineRule="auto"/>
              <w:jc w:val="right"/>
              <w:outlineLvl w:val="0"/>
              <w:rPr>
                <w:rFonts w:eastAsia="Times New Roman" w:cs="Arial"/>
                <w:b/>
                <w:iCs/>
                <w:sz w:val="19"/>
                <w:szCs w:val="19"/>
              </w:rPr>
            </w:pPr>
            <w:r w:rsidRPr="00481F7C">
              <w:rPr>
                <w:rFonts w:ascii="Calibri" w:eastAsia="Times New Roman" w:hAnsi="Calibri" w:cs="Times New Roman"/>
                <w:b/>
                <w:color w:val="000000"/>
                <w:sz w:val="19"/>
                <w:szCs w:val="19"/>
                <w:lang w:val="en-GB"/>
              </w:rPr>
              <w:t xml:space="preserve">                          - </w:t>
            </w:r>
          </w:p>
        </w:tc>
      </w:tr>
      <w:tr w:rsidR="00481F7C" w:rsidRPr="00481F7C" w14:paraId="0821D298" w14:textId="77777777" w:rsidTr="00312975">
        <w:trPr>
          <w:trHeight w:val="130"/>
        </w:trPr>
        <w:tc>
          <w:tcPr>
            <w:tcW w:w="1495" w:type="pct"/>
            <w:vAlign w:val="bottom"/>
          </w:tcPr>
          <w:p w14:paraId="14195223" w14:textId="77777777" w:rsidR="00481F7C" w:rsidRPr="00481F7C" w:rsidRDefault="00481F7C" w:rsidP="00481F7C">
            <w:pPr>
              <w:tabs>
                <w:tab w:val="right" w:pos="1202"/>
              </w:tabs>
              <w:spacing w:after="0" w:line="140" w:lineRule="exact"/>
              <w:outlineLvl w:val="0"/>
              <w:rPr>
                <w:rFonts w:eastAsia="Times New Roman" w:cs="Arial"/>
                <w:iCs/>
                <w:sz w:val="19"/>
                <w:szCs w:val="19"/>
              </w:rPr>
            </w:pPr>
          </w:p>
        </w:tc>
        <w:tc>
          <w:tcPr>
            <w:tcW w:w="701" w:type="pct"/>
          </w:tcPr>
          <w:p w14:paraId="2A70CA6E" w14:textId="77777777" w:rsidR="00481F7C" w:rsidRPr="00481F7C" w:rsidRDefault="00481F7C" w:rsidP="00481F7C">
            <w:pPr>
              <w:keepNext/>
              <w:keepLines/>
              <w:tabs>
                <w:tab w:val="decimal" w:pos="1015"/>
              </w:tabs>
              <w:spacing w:after="0" w:line="140" w:lineRule="exact"/>
              <w:jc w:val="center"/>
              <w:rPr>
                <w:rFonts w:eastAsia="Times New Roman" w:cs="Arial"/>
                <w:spacing w:val="-2"/>
                <w:position w:val="4"/>
                <w:sz w:val="19"/>
                <w:szCs w:val="19"/>
              </w:rPr>
            </w:pPr>
            <w:r w:rsidRPr="00481F7C">
              <w:rPr>
                <w:rFonts w:eastAsia="Times New Roman" w:cs="Arial"/>
                <w:spacing w:val="-2"/>
                <w:position w:val="4"/>
                <w:sz w:val="19"/>
                <w:szCs w:val="19"/>
              </w:rPr>
              <w:t>__________</w:t>
            </w:r>
          </w:p>
        </w:tc>
        <w:tc>
          <w:tcPr>
            <w:tcW w:w="701" w:type="pct"/>
          </w:tcPr>
          <w:p w14:paraId="44129CE7" w14:textId="77777777" w:rsidR="00481F7C" w:rsidRPr="00481F7C" w:rsidRDefault="00481F7C" w:rsidP="00481F7C">
            <w:pPr>
              <w:keepNext/>
              <w:keepLines/>
              <w:tabs>
                <w:tab w:val="decimal" w:pos="1015"/>
              </w:tabs>
              <w:spacing w:after="0" w:line="140" w:lineRule="exact"/>
              <w:jc w:val="center"/>
              <w:rPr>
                <w:rFonts w:eastAsia="Times New Roman" w:cs="Arial"/>
                <w:spacing w:val="-2"/>
                <w:position w:val="4"/>
                <w:sz w:val="19"/>
                <w:szCs w:val="19"/>
              </w:rPr>
            </w:pPr>
            <w:r w:rsidRPr="00481F7C">
              <w:rPr>
                <w:rFonts w:eastAsia="Times New Roman" w:cs="Arial"/>
                <w:spacing w:val="-2"/>
                <w:position w:val="4"/>
                <w:sz w:val="19"/>
                <w:szCs w:val="19"/>
              </w:rPr>
              <w:t>__________</w:t>
            </w:r>
          </w:p>
        </w:tc>
        <w:tc>
          <w:tcPr>
            <w:tcW w:w="701" w:type="pct"/>
          </w:tcPr>
          <w:p w14:paraId="191A1393" w14:textId="77777777" w:rsidR="00481F7C" w:rsidRPr="00481F7C" w:rsidRDefault="00481F7C" w:rsidP="00481F7C">
            <w:pPr>
              <w:keepNext/>
              <w:keepLines/>
              <w:tabs>
                <w:tab w:val="decimal" w:pos="1015"/>
              </w:tabs>
              <w:spacing w:after="0" w:line="140" w:lineRule="exact"/>
              <w:jc w:val="center"/>
              <w:rPr>
                <w:rFonts w:eastAsia="Times New Roman" w:cs="Arial"/>
                <w:spacing w:val="-2"/>
                <w:position w:val="4"/>
                <w:sz w:val="19"/>
                <w:szCs w:val="19"/>
              </w:rPr>
            </w:pPr>
            <w:r w:rsidRPr="00481F7C">
              <w:rPr>
                <w:rFonts w:eastAsia="Times New Roman" w:cs="Arial"/>
                <w:spacing w:val="-2"/>
                <w:position w:val="4"/>
                <w:sz w:val="19"/>
                <w:szCs w:val="19"/>
              </w:rPr>
              <w:t>__________</w:t>
            </w:r>
          </w:p>
        </w:tc>
        <w:tc>
          <w:tcPr>
            <w:tcW w:w="701" w:type="pct"/>
          </w:tcPr>
          <w:p w14:paraId="186DB716" w14:textId="77777777" w:rsidR="00481F7C" w:rsidRPr="00481F7C" w:rsidRDefault="00481F7C" w:rsidP="00481F7C">
            <w:pPr>
              <w:keepNext/>
              <w:keepLines/>
              <w:tabs>
                <w:tab w:val="decimal" w:pos="1015"/>
              </w:tabs>
              <w:spacing w:after="0" w:line="140" w:lineRule="exact"/>
              <w:jc w:val="center"/>
              <w:rPr>
                <w:rFonts w:eastAsia="Times New Roman" w:cs="Arial"/>
                <w:spacing w:val="-2"/>
                <w:position w:val="4"/>
                <w:sz w:val="19"/>
                <w:szCs w:val="19"/>
              </w:rPr>
            </w:pPr>
            <w:r w:rsidRPr="00481F7C">
              <w:rPr>
                <w:rFonts w:eastAsia="Times New Roman" w:cs="Arial"/>
                <w:spacing w:val="-2"/>
                <w:position w:val="4"/>
                <w:sz w:val="19"/>
                <w:szCs w:val="19"/>
              </w:rPr>
              <w:t>__________</w:t>
            </w:r>
          </w:p>
        </w:tc>
        <w:tc>
          <w:tcPr>
            <w:tcW w:w="701" w:type="pct"/>
          </w:tcPr>
          <w:p w14:paraId="441581D0" w14:textId="77777777" w:rsidR="00481F7C" w:rsidRPr="00481F7C" w:rsidRDefault="00481F7C" w:rsidP="00481F7C">
            <w:pPr>
              <w:keepNext/>
              <w:keepLines/>
              <w:tabs>
                <w:tab w:val="decimal" w:pos="1015"/>
              </w:tabs>
              <w:spacing w:after="0" w:line="140" w:lineRule="exact"/>
              <w:jc w:val="right"/>
              <w:rPr>
                <w:rFonts w:eastAsia="Times New Roman" w:cs="Arial"/>
                <w:spacing w:val="-2"/>
                <w:position w:val="4"/>
                <w:sz w:val="19"/>
                <w:szCs w:val="19"/>
              </w:rPr>
            </w:pPr>
            <w:r w:rsidRPr="00481F7C">
              <w:rPr>
                <w:rFonts w:eastAsia="Times New Roman" w:cs="Arial"/>
                <w:spacing w:val="-2"/>
                <w:position w:val="4"/>
                <w:sz w:val="19"/>
                <w:szCs w:val="19"/>
              </w:rPr>
              <w:t>__________</w:t>
            </w:r>
          </w:p>
        </w:tc>
      </w:tr>
      <w:tr w:rsidR="00481F7C" w:rsidRPr="00481F7C" w14:paraId="4E2A0214" w14:textId="77777777" w:rsidTr="00312975">
        <w:trPr>
          <w:trHeight w:val="341"/>
        </w:trPr>
        <w:tc>
          <w:tcPr>
            <w:tcW w:w="1495" w:type="pct"/>
            <w:vAlign w:val="bottom"/>
          </w:tcPr>
          <w:p w14:paraId="1498D661" w14:textId="5920747F" w:rsidR="00481F7C" w:rsidRPr="00481F7C" w:rsidRDefault="00481F7C" w:rsidP="00312975">
            <w:pPr>
              <w:tabs>
                <w:tab w:val="right" w:pos="1202"/>
              </w:tabs>
              <w:spacing w:after="0" w:line="240" w:lineRule="auto"/>
              <w:outlineLvl w:val="0"/>
              <w:rPr>
                <w:rFonts w:eastAsia="Times New Roman" w:cs="Arial"/>
                <w:b/>
                <w:iCs/>
                <w:sz w:val="19"/>
                <w:szCs w:val="19"/>
              </w:rPr>
            </w:pPr>
            <w:r w:rsidRPr="00481F7C">
              <w:rPr>
                <w:rFonts w:eastAsia="Times New Roman" w:cs="Arial"/>
                <w:b/>
                <w:iCs/>
                <w:sz w:val="19"/>
                <w:szCs w:val="19"/>
              </w:rPr>
              <w:t>Stanje 30. lipnja 201</w:t>
            </w:r>
            <w:r>
              <w:rPr>
                <w:rFonts w:eastAsia="Times New Roman" w:cs="Arial"/>
                <w:b/>
                <w:iCs/>
                <w:sz w:val="19"/>
                <w:szCs w:val="19"/>
              </w:rPr>
              <w:t>6</w:t>
            </w:r>
            <w:r w:rsidRPr="00481F7C">
              <w:rPr>
                <w:rFonts w:eastAsia="Times New Roman" w:cs="Arial"/>
                <w:b/>
                <w:iCs/>
                <w:sz w:val="19"/>
                <w:szCs w:val="19"/>
              </w:rPr>
              <w:t>. godine</w:t>
            </w:r>
          </w:p>
        </w:tc>
        <w:tc>
          <w:tcPr>
            <w:tcW w:w="701" w:type="pct"/>
            <w:tcBorders>
              <w:top w:val="nil"/>
              <w:left w:val="nil"/>
              <w:bottom w:val="nil"/>
              <w:right w:val="nil"/>
            </w:tcBorders>
            <w:shd w:val="clear" w:color="auto" w:fill="auto"/>
            <w:vAlign w:val="bottom"/>
          </w:tcPr>
          <w:p w14:paraId="466513D1" w14:textId="23507E3F" w:rsidR="00481F7C" w:rsidRPr="00481F7C" w:rsidRDefault="00481F7C" w:rsidP="00481F7C">
            <w:pPr>
              <w:tabs>
                <w:tab w:val="right" w:pos="1202"/>
              </w:tabs>
              <w:spacing w:after="0" w:line="240" w:lineRule="auto"/>
              <w:jc w:val="right"/>
              <w:outlineLvl w:val="0"/>
              <w:rPr>
                <w:rFonts w:eastAsia="Times New Roman" w:cs="Arial"/>
                <w:b/>
                <w:iCs/>
                <w:sz w:val="19"/>
                <w:szCs w:val="19"/>
              </w:rPr>
            </w:pPr>
            <w:r w:rsidRPr="00481F7C">
              <w:rPr>
                <w:rFonts w:eastAsia="Times New Roman" w:cs="Arial"/>
                <w:b/>
                <w:iCs/>
                <w:sz w:val="19"/>
                <w:szCs w:val="19"/>
              </w:rPr>
              <w:t>6.926.632</w:t>
            </w:r>
          </w:p>
        </w:tc>
        <w:tc>
          <w:tcPr>
            <w:tcW w:w="701" w:type="pct"/>
            <w:tcBorders>
              <w:top w:val="nil"/>
              <w:left w:val="nil"/>
              <w:bottom w:val="nil"/>
              <w:right w:val="nil"/>
            </w:tcBorders>
            <w:shd w:val="clear" w:color="auto" w:fill="auto"/>
            <w:vAlign w:val="bottom"/>
          </w:tcPr>
          <w:p w14:paraId="2EB604D4" w14:textId="66858EA2" w:rsidR="00481F7C" w:rsidRPr="00481F7C" w:rsidRDefault="00481F7C" w:rsidP="00481F7C">
            <w:pPr>
              <w:tabs>
                <w:tab w:val="right" w:pos="1202"/>
              </w:tabs>
              <w:spacing w:after="0" w:line="240" w:lineRule="auto"/>
              <w:jc w:val="right"/>
              <w:outlineLvl w:val="0"/>
              <w:rPr>
                <w:rFonts w:eastAsia="Times New Roman" w:cs="Arial"/>
                <w:b/>
                <w:iCs/>
                <w:sz w:val="19"/>
                <w:szCs w:val="19"/>
              </w:rPr>
            </w:pPr>
            <w:r w:rsidRPr="00481F7C">
              <w:rPr>
                <w:rFonts w:eastAsia="Times New Roman" w:cs="Arial"/>
                <w:b/>
                <w:iCs/>
                <w:sz w:val="19"/>
                <w:szCs w:val="19"/>
              </w:rPr>
              <w:t>2.682.131</w:t>
            </w:r>
          </w:p>
        </w:tc>
        <w:tc>
          <w:tcPr>
            <w:tcW w:w="701" w:type="pct"/>
            <w:tcBorders>
              <w:top w:val="nil"/>
              <w:left w:val="nil"/>
              <w:bottom w:val="nil"/>
              <w:right w:val="nil"/>
            </w:tcBorders>
            <w:shd w:val="clear" w:color="auto" w:fill="auto"/>
            <w:vAlign w:val="bottom"/>
          </w:tcPr>
          <w:p w14:paraId="17E412EF" w14:textId="0912E811" w:rsidR="00481F7C" w:rsidRPr="00481F7C" w:rsidRDefault="00481F7C" w:rsidP="00481F7C">
            <w:pPr>
              <w:tabs>
                <w:tab w:val="right" w:pos="1202"/>
              </w:tabs>
              <w:spacing w:after="0" w:line="240" w:lineRule="auto"/>
              <w:jc w:val="right"/>
              <w:outlineLvl w:val="0"/>
              <w:rPr>
                <w:rFonts w:eastAsia="Times New Roman" w:cs="Arial"/>
                <w:b/>
                <w:iCs/>
                <w:sz w:val="19"/>
                <w:szCs w:val="19"/>
              </w:rPr>
            </w:pPr>
            <w:r w:rsidRPr="00481F7C">
              <w:rPr>
                <w:rFonts w:eastAsia="Times New Roman" w:cs="Arial"/>
                <w:b/>
                <w:iCs/>
                <w:sz w:val="19"/>
                <w:szCs w:val="19"/>
              </w:rPr>
              <w:t>55.026</w:t>
            </w:r>
          </w:p>
        </w:tc>
        <w:tc>
          <w:tcPr>
            <w:tcW w:w="701" w:type="pct"/>
            <w:tcBorders>
              <w:top w:val="nil"/>
              <w:left w:val="nil"/>
              <w:bottom w:val="nil"/>
              <w:right w:val="nil"/>
            </w:tcBorders>
            <w:shd w:val="clear" w:color="auto" w:fill="auto"/>
            <w:vAlign w:val="bottom"/>
          </w:tcPr>
          <w:p w14:paraId="23B70D1A" w14:textId="5F524D0A" w:rsidR="00481F7C" w:rsidRPr="00481F7C" w:rsidRDefault="00481F7C" w:rsidP="00481F7C">
            <w:pPr>
              <w:tabs>
                <w:tab w:val="right" w:pos="1202"/>
              </w:tabs>
              <w:spacing w:after="0" w:line="240" w:lineRule="auto"/>
              <w:jc w:val="right"/>
              <w:outlineLvl w:val="0"/>
              <w:rPr>
                <w:rFonts w:eastAsia="Times New Roman" w:cs="Arial"/>
                <w:b/>
                <w:iCs/>
                <w:sz w:val="19"/>
                <w:szCs w:val="19"/>
              </w:rPr>
            </w:pPr>
            <w:r w:rsidRPr="00481F7C">
              <w:rPr>
                <w:rFonts w:eastAsia="Times New Roman" w:cs="Arial"/>
                <w:b/>
                <w:iCs/>
                <w:sz w:val="19"/>
                <w:szCs w:val="19"/>
              </w:rPr>
              <w:t>107.235</w:t>
            </w:r>
          </w:p>
        </w:tc>
        <w:tc>
          <w:tcPr>
            <w:tcW w:w="701" w:type="pct"/>
            <w:tcBorders>
              <w:top w:val="nil"/>
              <w:left w:val="nil"/>
              <w:bottom w:val="nil"/>
              <w:right w:val="nil"/>
            </w:tcBorders>
            <w:shd w:val="clear" w:color="auto" w:fill="auto"/>
            <w:vAlign w:val="bottom"/>
          </w:tcPr>
          <w:p w14:paraId="407E73B7" w14:textId="1E44DAA8" w:rsidR="00481F7C" w:rsidRPr="00481F7C" w:rsidRDefault="00481F7C" w:rsidP="00481F7C">
            <w:pPr>
              <w:tabs>
                <w:tab w:val="right" w:pos="1202"/>
              </w:tabs>
              <w:spacing w:after="0" w:line="240" w:lineRule="auto"/>
              <w:jc w:val="right"/>
              <w:outlineLvl w:val="0"/>
              <w:rPr>
                <w:rFonts w:eastAsia="Times New Roman" w:cs="Arial"/>
                <w:b/>
                <w:iCs/>
                <w:sz w:val="19"/>
                <w:szCs w:val="19"/>
              </w:rPr>
            </w:pPr>
            <w:r w:rsidRPr="00481F7C">
              <w:rPr>
                <w:rFonts w:eastAsia="Times New Roman" w:cs="Arial"/>
                <w:b/>
                <w:iCs/>
                <w:sz w:val="19"/>
                <w:szCs w:val="19"/>
              </w:rPr>
              <w:t>9.771.024</w:t>
            </w:r>
          </w:p>
        </w:tc>
      </w:tr>
      <w:tr w:rsidR="00481F7C" w:rsidRPr="00481F7C" w14:paraId="0D5040AC" w14:textId="77777777" w:rsidTr="00312975">
        <w:trPr>
          <w:trHeight w:val="74"/>
        </w:trPr>
        <w:tc>
          <w:tcPr>
            <w:tcW w:w="1495" w:type="pct"/>
            <w:vAlign w:val="bottom"/>
          </w:tcPr>
          <w:p w14:paraId="3C9EA7DC" w14:textId="77777777" w:rsidR="00481F7C" w:rsidRPr="00481F7C" w:rsidRDefault="00481F7C" w:rsidP="00481F7C">
            <w:pPr>
              <w:tabs>
                <w:tab w:val="right" w:pos="1202"/>
              </w:tabs>
              <w:spacing w:after="0" w:line="140" w:lineRule="exact"/>
              <w:outlineLvl w:val="0"/>
              <w:rPr>
                <w:rFonts w:eastAsia="Times New Roman" w:cs="Arial"/>
                <w:b/>
                <w:iCs/>
                <w:sz w:val="19"/>
                <w:szCs w:val="19"/>
              </w:rPr>
            </w:pPr>
          </w:p>
        </w:tc>
        <w:tc>
          <w:tcPr>
            <w:tcW w:w="701" w:type="pct"/>
            <w:vAlign w:val="bottom"/>
          </w:tcPr>
          <w:p w14:paraId="2D9A80A9" w14:textId="77777777" w:rsidR="00481F7C" w:rsidRPr="00481F7C" w:rsidRDefault="00481F7C" w:rsidP="00481F7C">
            <w:pPr>
              <w:keepNext/>
              <w:keepLines/>
              <w:tabs>
                <w:tab w:val="decimal" w:pos="1015"/>
              </w:tabs>
              <w:spacing w:after="0"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c>
          <w:tcPr>
            <w:tcW w:w="701" w:type="pct"/>
            <w:vAlign w:val="bottom"/>
          </w:tcPr>
          <w:p w14:paraId="1B468FCA" w14:textId="77777777" w:rsidR="00481F7C" w:rsidRPr="00481F7C" w:rsidRDefault="00481F7C" w:rsidP="00481F7C">
            <w:pPr>
              <w:keepNext/>
              <w:keepLines/>
              <w:tabs>
                <w:tab w:val="decimal" w:pos="1015"/>
              </w:tabs>
              <w:spacing w:after="0"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c>
          <w:tcPr>
            <w:tcW w:w="701" w:type="pct"/>
            <w:vAlign w:val="bottom"/>
          </w:tcPr>
          <w:p w14:paraId="7D06FB4A" w14:textId="77777777" w:rsidR="00481F7C" w:rsidRPr="00481F7C" w:rsidRDefault="00481F7C" w:rsidP="00481F7C">
            <w:pPr>
              <w:keepNext/>
              <w:keepLines/>
              <w:tabs>
                <w:tab w:val="decimal" w:pos="1015"/>
              </w:tabs>
              <w:spacing w:after="0"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c>
          <w:tcPr>
            <w:tcW w:w="701" w:type="pct"/>
            <w:vAlign w:val="bottom"/>
          </w:tcPr>
          <w:p w14:paraId="0FE34DF5" w14:textId="77777777" w:rsidR="00481F7C" w:rsidRPr="00481F7C" w:rsidRDefault="00481F7C" w:rsidP="00481F7C">
            <w:pPr>
              <w:keepNext/>
              <w:keepLines/>
              <w:tabs>
                <w:tab w:val="decimal" w:pos="1015"/>
              </w:tabs>
              <w:spacing w:after="0"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c>
          <w:tcPr>
            <w:tcW w:w="701" w:type="pct"/>
            <w:vAlign w:val="bottom"/>
          </w:tcPr>
          <w:p w14:paraId="1E325E16" w14:textId="77777777" w:rsidR="00481F7C" w:rsidRPr="00481F7C" w:rsidRDefault="00481F7C" w:rsidP="00481F7C">
            <w:pPr>
              <w:keepNext/>
              <w:keepLines/>
              <w:tabs>
                <w:tab w:val="decimal" w:pos="1015"/>
              </w:tabs>
              <w:spacing w:after="0"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r>
      <w:tr w:rsidR="00A24B9F" w:rsidRPr="00A24B9F" w14:paraId="104D7B57" w14:textId="77777777" w:rsidTr="00312975">
        <w:trPr>
          <w:trHeight w:val="256"/>
        </w:trPr>
        <w:tc>
          <w:tcPr>
            <w:tcW w:w="1495" w:type="pct"/>
            <w:vAlign w:val="bottom"/>
          </w:tcPr>
          <w:p w14:paraId="5ACDAF52" w14:textId="2FAD7E14" w:rsidR="00A24B9F" w:rsidRPr="00481F7C" w:rsidRDefault="00A24B9F" w:rsidP="00312975">
            <w:pPr>
              <w:tabs>
                <w:tab w:val="right" w:pos="1202"/>
              </w:tabs>
              <w:spacing w:after="0" w:line="240" w:lineRule="auto"/>
              <w:outlineLvl w:val="0"/>
              <w:rPr>
                <w:rFonts w:eastAsia="Times New Roman" w:cs="Arial"/>
                <w:b/>
                <w:iCs/>
                <w:sz w:val="19"/>
                <w:szCs w:val="19"/>
              </w:rPr>
            </w:pPr>
            <w:r w:rsidRPr="00481F7C">
              <w:rPr>
                <w:rFonts w:eastAsia="Times New Roman" w:cs="Arial"/>
                <w:b/>
                <w:iCs/>
                <w:sz w:val="19"/>
                <w:szCs w:val="19"/>
              </w:rPr>
              <w:t>Stanje 1. siječnja 201</w:t>
            </w:r>
            <w:r>
              <w:rPr>
                <w:rFonts w:eastAsia="Times New Roman" w:cs="Arial"/>
                <w:b/>
                <w:iCs/>
                <w:sz w:val="19"/>
                <w:szCs w:val="19"/>
              </w:rPr>
              <w:t>7</w:t>
            </w:r>
            <w:r w:rsidRPr="00481F7C">
              <w:rPr>
                <w:rFonts w:eastAsia="Times New Roman" w:cs="Arial"/>
                <w:b/>
                <w:iCs/>
                <w:sz w:val="19"/>
                <w:szCs w:val="19"/>
              </w:rPr>
              <w:t>. godine</w:t>
            </w:r>
          </w:p>
        </w:tc>
        <w:tc>
          <w:tcPr>
            <w:tcW w:w="701" w:type="pct"/>
            <w:tcBorders>
              <w:top w:val="nil"/>
              <w:left w:val="nil"/>
              <w:bottom w:val="nil"/>
              <w:right w:val="nil"/>
            </w:tcBorders>
            <w:shd w:val="clear" w:color="auto" w:fill="auto"/>
            <w:vAlign w:val="bottom"/>
          </w:tcPr>
          <w:p w14:paraId="1FCBB668" w14:textId="3DB4C268" w:rsidR="00A24B9F" w:rsidRPr="00312975" w:rsidRDefault="00A24B9F" w:rsidP="00D96540">
            <w:pPr>
              <w:tabs>
                <w:tab w:val="right" w:pos="1202"/>
              </w:tabs>
              <w:spacing w:after="0" w:line="240" w:lineRule="auto"/>
              <w:jc w:val="right"/>
              <w:outlineLvl w:val="0"/>
              <w:rPr>
                <w:rFonts w:eastAsia="Times New Roman" w:cs="Arial"/>
                <w:b/>
                <w:iCs/>
                <w:sz w:val="19"/>
                <w:szCs w:val="19"/>
              </w:rPr>
            </w:pPr>
            <w:r w:rsidRPr="00312975">
              <w:rPr>
                <w:rFonts w:eastAsia="Times New Roman" w:cs="Arial"/>
                <w:b/>
                <w:iCs/>
                <w:sz w:val="19"/>
                <w:szCs w:val="19"/>
              </w:rPr>
              <w:t>6.959.632</w:t>
            </w:r>
          </w:p>
        </w:tc>
        <w:tc>
          <w:tcPr>
            <w:tcW w:w="701" w:type="pct"/>
            <w:tcBorders>
              <w:top w:val="nil"/>
              <w:left w:val="nil"/>
              <w:bottom w:val="nil"/>
              <w:right w:val="nil"/>
            </w:tcBorders>
            <w:shd w:val="clear" w:color="auto" w:fill="auto"/>
            <w:vAlign w:val="bottom"/>
          </w:tcPr>
          <w:p w14:paraId="6521708C" w14:textId="5A92DDB5" w:rsidR="00A24B9F" w:rsidRPr="00312975" w:rsidRDefault="00A24B9F" w:rsidP="008514E4">
            <w:pPr>
              <w:tabs>
                <w:tab w:val="right" w:pos="1202"/>
              </w:tabs>
              <w:spacing w:after="0" w:line="240" w:lineRule="auto"/>
              <w:jc w:val="right"/>
              <w:outlineLvl w:val="0"/>
              <w:rPr>
                <w:rFonts w:eastAsia="Times New Roman" w:cs="Arial"/>
                <w:b/>
                <w:iCs/>
                <w:sz w:val="19"/>
                <w:szCs w:val="19"/>
              </w:rPr>
            </w:pPr>
            <w:r w:rsidRPr="00312975">
              <w:rPr>
                <w:rFonts w:eastAsia="Times New Roman" w:cs="Arial"/>
                <w:b/>
                <w:iCs/>
                <w:sz w:val="19"/>
                <w:szCs w:val="19"/>
              </w:rPr>
              <w:t>2.682.131</w:t>
            </w:r>
          </w:p>
        </w:tc>
        <w:tc>
          <w:tcPr>
            <w:tcW w:w="701" w:type="pct"/>
            <w:tcBorders>
              <w:top w:val="nil"/>
              <w:left w:val="nil"/>
              <w:bottom w:val="nil"/>
              <w:right w:val="nil"/>
            </w:tcBorders>
            <w:shd w:val="clear" w:color="auto" w:fill="auto"/>
            <w:vAlign w:val="bottom"/>
          </w:tcPr>
          <w:p w14:paraId="4EE7909D" w14:textId="4F503EFF" w:rsidR="00A24B9F" w:rsidRPr="00312975" w:rsidRDefault="00A24B9F" w:rsidP="00257CDB">
            <w:pPr>
              <w:tabs>
                <w:tab w:val="right" w:pos="1202"/>
              </w:tabs>
              <w:spacing w:after="0" w:line="240" w:lineRule="auto"/>
              <w:jc w:val="right"/>
              <w:outlineLvl w:val="0"/>
              <w:rPr>
                <w:rFonts w:eastAsia="Times New Roman" w:cs="Arial"/>
                <w:b/>
                <w:iCs/>
                <w:sz w:val="19"/>
                <w:szCs w:val="19"/>
              </w:rPr>
            </w:pPr>
            <w:r w:rsidRPr="00312975">
              <w:rPr>
                <w:rFonts w:eastAsia="Times New Roman" w:cs="Arial"/>
                <w:b/>
                <w:iCs/>
                <w:sz w:val="19"/>
                <w:szCs w:val="19"/>
              </w:rPr>
              <w:t>70.317</w:t>
            </w:r>
          </w:p>
        </w:tc>
        <w:tc>
          <w:tcPr>
            <w:tcW w:w="701" w:type="pct"/>
            <w:tcBorders>
              <w:top w:val="nil"/>
              <w:left w:val="nil"/>
              <w:bottom w:val="nil"/>
              <w:right w:val="nil"/>
            </w:tcBorders>
            <w:shd w:val="clear" w:color="auto" w:fill="auto"/>
            <w:vAlign w:val="bottom"/>
          </w:tcPr>
          <w:p w14:paraId="24A3A423" w14:textId="548D9919" w:rsidR="00A24B9F" w:rsidRPr="00312975" w:rsidRDefault="00A24B9F" w:rsidP="00257CDB">
            <w:pPr>
              <w:tabs>
                <w:tab w:val="right" w:pos="1202"/>
              </w:tabs>
              <w:spacing w:after="0" w:line="240" w:lineRule="auto"/>
              <w:jc w:val="right"/>
              <w:outlineLvl w:val="0"/>
              <w:rPr>
                <w:rFonts w:eastAsia="Times New Roman" w:cs="Arial"/>
                <w:b/>
                <w:iCs/>
                <w:sz w:val="19"/>
                <w:szCs w:val="19"/>
              </w:rPr>
            </w:pPr>
            <w:r w:rsidRPr="00312975">
              <w:rPr>
                <w:rFonts w:eastAsia="Times New Roman" w:cs="Arial"/>
                <w:b/>
                <w:iCs/>
                <w:sz w:val="19"/>
                <w:szCs w:val="19"/>
              </w:rPr>
              <w:t>313.525</w:t>
            </w:r>
          </w:p>
        </w:tc>
        <w:tc>
          <w:tcPr>
            <w:tcW w:w="701" w:type="pct"/>
            <w:tcBorders>
              <w:top w:val="nil"/>
              <w:left w:val="nil"/>
              <w:bottom w:val="nil"/>
              <w:right w:val="nil"/>
            </w:tcBorders>
            <w:shd w:val="clear" w:color="auto" w:fill="auto"/>
            <w:vAlign w:val="bottom"/>
          </w:tcPr>
          <w:p w14:paraId="34DCA909" w14:textId="57373377" w:rsidR="00A24B9F" w:rsidRPr="00312975" w:rsidRDefault="00A24B9F" w:rsidP="00257CDB">
            <w:pPr>
              <w:tabs>
                <w:tab w:val="right" w:pos="1202"/>
              </w:tabs>
              <w:spacing w:after="0" w:line="240" w:lineRule="auto"/>
              <w:jc w:val="right"/>
              <w:outlineLvl w:val="0"/>
              <w:rPr>
                <w:rFonts w:eastAsia="Times New Roman" w:cs="Arial"/>
                <w:b/>
                <w:iCs/>
                <w:sz w:val="19"/>
                <w:szCs w:val="19"/>
              </w:rPr>
            </w:pPr>
            <w:r w:rsidRPr="00312975">
              <w:rPr>
                <w:rFonts w:eastAsia="Times New Roman" w:cs="Arial"/>
                <w:b/>
                <w:iCs/>
                <w:sz w:val="19"/>
                <w:szCs w:val="19"/>
              </w:rPr>
              <w:t>10.025.605</w:t>
            </w:r>
          </w:p>
        </w:tc>
      </w:tr>
      <w:tr w:rsidR="00481F7C" w:rsidRPr="00481F7C" w14:paraId="182D6188" w14:textId="77777777" w:rsidTr="00312975">
        <w:trPr>
          <w:trHeight w:val="74"/>
        </w:trPr>
        <w:tc>
          <w:tcPr>
            <w:tcW w:w="1495" w:type="pct"/>
            <w:vAlign w:val="bottom"/>
          </w:tcPr>
          <w:p w14:paraId="07816D82" w14:textId="77777777" w:rsidR="00481F7C" w:rsidRPr="00481F7C" w:rsidRDefault="00481F7C" w:rsidP="00481F7C">
            <w:pPr>
              <w:tabs>
                <w:tab w:val="right" w:pos="1202"/>
              </w:tabs>
              <w:spacing w:after="0" w:line="140" w:lineRule="exact"/>
              <w:outlineLvl w:val="0"/>
              <w:rPr>
                <w:rFonts w:eastAsia="Times New Roman" w:cs="Arial"/>
                <w:b/>
                <w:iCs/>
                <w:sz w:val="19"/>
                <w:szCs w:val="19"/>
              </w:rPr>
            </w:pPr>
          </w:p>
        </w:tc>
        <w:tc>
          <w:tcPr>
            <w:tcW w:w="701" w:type="pct"/>
          </w:tcPr>
          <w:p w14:paraId="0B52D0D9" w14:textId="77777777" w:rsidR="00481F7C" w:rsidRPr="00481F7C" w:rsidRDefault="00481F7C" w:rsidP="00481F7C">
            <w:pPr>
              <w:keepNext/>
              <w:keepLines/>
              <w:tabs>
                <w:tab w:val="decimal" w:pos="1015"/>
              </w:tabs>
              <w:spacing w:after="0"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c>
          <w:tcPr>
            <w:tcW w:w="701" w:type="pct"/>
          </w:tcPr>
          <w:p w14:paraId="0322C64A" w14:textId="77777777" w:rsidR="00481F7C" w:rsidRPr="00481F7C" w:rsidRDefault="00481F7C" w:rsidP="00481F7C">
            <w:pPr>
              <w:keepNext/>
              <w:keepLines/>
              <w:tabs>
                <w:tab w:val="decimal" w:pos="1015"/>
              </w:tabs>
              <w:spacing w:after="0"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c>
          <w:tcPr>
            <w:tcW w:w="701" w:type="pct"/>
          </w:tcPr>
          <w:p w14:paraId="681DB3DC" w14:textId="77777777" w:rsidR="00481F7C" w:rsidRPr="00481F7C" w:rsidRDefault="00481F7C" w:rsidP="00481F7C">
            <w:pPr>
              <w:keepNext/>
              <w:keepLines/>
              <w:tabs>
                <w:tab w:val="decimal" w:pos="1015"/>
              </w:tabs>
              <w:spacing w:after="0"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c>
          <w:tcPr>
            <w:tcW w:w="701" w:type="pct"/>
          </w:tcPr>
          <w:p w14:paraId="5689FADB" w14:textId="77777777" w:rsidR="00481F7C" w:rsidRPr="00481F7C" w:rsidRDefault="00481F7C" w:rsidP="00481F7C">
            <w:pPr>
              <w:keepNext/>
              <w:keepLines/>
              <w:tabs>
                <w:tab w:val="decimal" w:pos="1015"/>
              </w:tabs>
              <w:spacing w:after="0"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c>
          <w:tcPr>
            <w:tcW w:w="701" w:type="pct"/>
          </w:tcPr>
          <w:p w14:paraId="06697EAD" w14:textId="77777777" w:rsidR="00481F7C" w:rsidRPr="00481F7C" w:rsidRDefault="00481F7C" w:rsidP="00481F7C">
            <w:pPr>
              <w:keepNext/>
              <w:keepLines/>
              <w:tabs>
                <w:tab w:val="decimal" w:pos="1015"/>
              </w:tabs>
              <w:spacing w:after="0"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___________</w:t>
            </w:r>
          </w:p>
        </w:tc>
      </w:tr>
      <w:tr w:rsidR="00481F7C" w:rsidRPr="00F41974" w14:paraId="08D1F424" w14:textId="77777777" w:rsidTr="00312975">
        <w:trPr>
          <w:trHeight w:val="350"/>
        </w:trPr>
        <w:tc>
          <w:tcPr>
            <w:tcW w:w="1495" w:type="pct"/>
            <w:vAlign w:val="bottom"/>
          </w:tcPr>
          <w:p w14:paraId="2003581A" w14:textId="5537DC31" w:rsidR="00481F7C" w:rsidRPr="00481F7C" w:rsidRDefault="00481F7C" w:rsidP="000035C6">
            <w:pPr>
              <w:tabs>
                <w:tab w:val="right" w:pos="1202"/>
              </w:tabs>
              <w:spacing w:after="0" w:line="240" w:lineRule="auto"/>
              <w:outlineLvl w:val="0"/>
              <w:rPr>
                <w:rFonts w:eastAsia="Times New Roman" w:cs="Arial"/>
                <w:iCs/>
                <w:sz w:val="19"/>
                <w:szCs w:val="19"/>
              </w:rPr>
            </w:pPr>
            <w:r w:rsidRPr="00481F7C">
              <w:rPr>
                <w:rFonts w:eastAsia="Times New Roman" w:cs="Arial"/>
                <w:iCs/>
                <w:sz w:val="19"/>
                <w:szCs w:val="19"/>
              </w:rPr>
              <w:t>Dobit tekuće</w:t>
            </w:r>
            <w:r w:rsidR="000035C6">
              <w:rPr>
                <w:rFonts w:eastAsia="Times New Roman" w:cs="Arial"/>
                <w:iCs/>
                <w:sz w:val="19"/>
                <w:szCs w:val="19"/>
              </w:rPr>
              <w:t>g razdoblja</w:t>
            </w:r>
          </w:p>
        </w:tc>
        <w:tc>
          <w:tcPr>
            <w:tcW w:w="701" w:type="pct"/>
            <w:tcBorders>
              <w:top w:val="nil"/>
              <w:left w:val="nil"/>
              <w:bottom w:val="nil"/>
              <w:right w:val="nil"/>
            </w:tcBorders>
            <w:shd w:val="clear" w:color="auto" w:fill="auto"/>
            <w:vAlign w:val="bottom"/>
          </w:tcPr>
          <w:p w14:paraId="3B57B20A" w14:textId="77777777" w:rsidR="00481F7C" w:rsidRPr="00F41974" w:rsidRDefault="00481F7C" w:rsidP="00481F7C">
            <w:pPr>
              <w:tabs>
                <w:tab w:val="right" w:pos="1202"/>
              </w:tabs>
              <w:spacing w:after="0" w:line="240" w:lineRule="auto"/>
              <w:jc w:val="right"/>
              <w:outlineLvl w:val="0"/>
              <w:rPr>
                <w:rFonts w:eastAsia="Times New Roman" w:cs="Arial"/>
                <w:sz w:val="19"/>
                <w:szCs w:val="19"/>
              </w:rPr>
            </w:pPr>
            <w:r w:rsidRPr="00F41974">
              <w:rPr>
                <w:rFonts w:eastAsia="Times New Roman" w:cs="Arial"/>
                <w:sz w:val="19"/>
                <w:szCs w:val="19"/>
              </w:rPr>
              <w:t>-</w:t>
            </w:r>
          </w:p>
        </w:tc>
        <w:tc>
          <w:tcPr>
            <w:tcW w:w="701" w:type="pct"/>
            <w:tcBorders>
              <w:top w:val="nil"/>
              <w:left w:val="nil"/>
              <w:bottom w:val="nil"/>
              <w:right w:val="nil"/>
            </w:tcBorders>
            <w:shd w:val="clear" w:color="auto" w:fill="auto"/>
            <w:vAlign w:val="bottom"/>
          </w:tcPr>
          <w:p w14:paraId="2E56063F" w14:textId="77777777" w:rsidR="00481F7C" w:rsidRPr="00F41974" w:rsidRDefault="00481F7C" w:rsidP="00481F7C">
            <w:pPr>
              <w:tabs>
                <w:tab w:val="right" w:pos="1202"/>
              </w:tabs>
              <w:spacing w:after="0" w:line="240" w:lineRule="auto"/>
              <w:jc w:val="right"/>
              <w:outlineLvl w:val="0"/>
              <w:rPr>
                <w:rFonts w:eastAsia="Times New Roman" w:cs="Arial"/>
                <w:sz w:val="19"/>
                <w:szCs w:val="19"/>
              </w:rPr>
            </w:pPr>
            <w:r w:rsidRPr="00F41974">
              <w:rPr>
                <w:rFonts w:eastAsia="Times New Roman" w:cs="Arial"/>
                <w:sz w:val="19"/>
                <w:szCs w:val="19"/>
              </w:rPr>
              <w:t>-</w:t>
            </w:r>
          </w:p>
        </w:tc>
        <w:tc>
          <w:tcPr>
            <w:tcW w:w="701" w:type="pct"/>
            <w:tcBorders>
              <w:top w:val="nil"/>
              <w:left w:val="nil"/>
              <w:bottom w:val="nil"/>
              <w:right w:val="nil"/>
            </w:tcBorders>
            <w:shd w:val="clear" w:color="auto" w:fill="auto"/>
            <w:vAlign w:val="bottom"/>
          </w:tcPr>
          <w:p w14:paraId="353A65D8" w14:textId="77777777" w:rsidR="00481F7C" w:rsidRPr="00F41974" w:rsidRDefault="00481F7C" w:rsidP="00481F7C">
            <w:pPr>
              <w:tabs>
                <w:tab w:val="right" w:pos="1202"/>
              </w:tabs>
              <w:spacing w:after="0" w:line="240" w:lineRule="auto"/>
              <w:jc w:val="right"/>
              <w:outlineLvl w:val="0"/>
              <w:rPr>
                <w:rFonts w:eastAsia="Times New Roman" w:cs="Arial"/>
                <w:sz w:val="19"/>
                <w:szCs w:val="19"/>
              </w:rPr>
            </w:pPr>
            <w:r w:rsidRPr="00F41974">
              <w:rPr>
                <w:rFonts w:eastAsia="Times New Roman" w:cs="Arial"/>
                <w:sz w:val="19"/>
                <w:szCs w:val="19"/>
              </w:rPr>
              <w:t>-</w:t>
            </w:r>
          </w:p>
        </w:tc>
        <w:tc>
          <w:tcPr>
            <w:tcW w:w="701" w:type="pct"/>
            <w:tcBorders>
              <w:top w:val="nil"/>
              <w:left w:val="nil"/>
              <w:bottom w:val="nil"/>
              <w:right w:val="nil"/>
            </w:tcBorders>
            <w:shd w:val="clear" w:color="auto" w:fill="auto"/>
            <w:vAlign w:val="bottom"/>
          </w:tcPr>
          <w:p w14:paraId="1C61E9D6" w14:textId="7BBE3ED5" w:rsidR="00481F7C" w:rsidRPr="00F41974" w:rsidRDefault="00A46E9E" w:rsidP="00481F7C">
            <w:pPr>
              <w:tabs>
                <w:tab w:val="right" w:pos="1202"/>
              </w:tabs>
              <w:spacing w:after="0" w:line="240" w:lineRule="auto"/>
              <w:jc w:val="right"/>
              <w:outlineLvl w:val="0"/>
              <w:rPr>
                <w:rFonts w:eastAsia="Times New Roman" w:cs="Arial"/>
                <w:sz w:val="19"/>
                <w:szCs w:val="19"/>
              </w:rPr>
            </w:pPr>
            <w:r w:rsidRPr="00F41974">
              <w:rPr>
                <w:rFonts w:eastAsia="Times New Roman" w:cs="Arial"/>
                <w:sz w:val="19"/>
                <w:szCs w:val="19"/>
              </w:rPr>
              <w:t>129.356</w:t>
            </w:r>
          </w:p>
        </w:tc>
        <w:tc>
          <w:tcPr>
            <w:tcW w:w="701" w:type="pct"/>
            <w:tcBorders>
              <w:top w:val="nil"/>
              <w:left w:val="nil"/>
              <w:bottom w:val="nil"/>
              <w:right w:val="nil"/>
            </w:tcBorders>
            <w:shd w:val="clear" w:color="auto" w:fill="auto"/>
            <w:vAlign w:val="bottom"/>
          </w:tcPr>
          <w:p w14:paraId="73546C77" w14:textId="4C7D7314" w:rsidR="00481F7C" w:rsidRPr="00F41974" w:rsidRDefault="00A46E9E" w:rsidP="00481F7C">
            <w:pPr>
              <w:tabs>
                <w:tab w:val="right" w:pos="1202"/>
              </w:tabs>
              <w:spacing w:after="0" w:line="240" w:lineRule="auto"/>
              <w:jc w:val="right"/>
              <w:outlineLvl w:val="0"/>
              <w:rPr>
                <w:rFonts w:eastAsia="Times New Roman" w:cs="Arial"/>
                <w:b/>
                <w:iCs/>
                <w:sz w:val="19"/>
                <w:szCs w:val="19"/>
              </w:rPr>
            </w:pPr>
            <w:r w:rsidRPr="00F41974">
              <w:rPr>
                <w:rFonts w:eastAsia="Times New Roman" w:cs="Arial"/>
                <w:b/>
                <w:iCs/>
                <w:sz w:val="19"/>
                <w:szCs w:val="19"/>
              </w:rPr>
              <w:t>129.356</w:t>
            </w:r>
          </w:p>
        </w:tc>
      </w:tr>
      <w:tr w:rsidR="00481F7C" w:rsidRPr="00F41974" w14:paraId="4D5D6E51" w14:textId="77777777" w:rsidTr="00312975">
        <w:trPr>
          <w:trHeight w:val="262"/>
        </w:trPr>
        <w:tc>
          <w:tcPr>
            <w:tcW w:w="1495" w:type="pct"/>
            <w:vAlign w:val="bottom"/>
          </w:tcPr>
          <w:p w14:paraId="798FB38F" w14:textId="77777777" w:rsidR="00481F7C" w:rsidRPr="00481F7C" w:rsidRDefault="00481F7C" w:rsidP="00481F7C">
            <w:pPr>
              <w:tabs>
                <w:tab w:val="right" w:pos="1202"/>
              </w:tabs>
              <w:spacing w:after="0" w:line="240" w:lineRule="auto"/>
              <w:outlineLvl w:val="0"/>
              <w:rPr>
                <w:rFonts w:eastAsia="Times New Roman" w:cs="Arial"/>
                <w:iCs/>
                <w:sz w:val="19"/>
                <w:szCs w:val="19"/>
              </w:rPr>
            </w:pPr>
            <w:r w:rsidRPr="00481F7C">
              <w:rPr>
                <w:rFonts w:eastAsia="Times New Roman" w:cs="Arial"/>
                <w:iCs/>
                <w:sz w:val="19"/>
                <w:szCs w:val="19"/>
              </w:rPr>
              <w:t>Ostala sveobuhvatna dobit</w:t>
            </w:r>
          </w:p>
        </w:tc>
        <w:tc>
          <w:tcPr>
            <w:tcW w:w="701" w:type="pct"/>
            <w:tcBorders>
              <w:top w:val="nil"/>
              <w:left w:val="nil"/>
              <w:bottom w:val="nil"/>
              <w:right w:val="nil"/>
            </w:tcBorders>
            <w:shd w:val="clear" w:color="auto" w:fill="auto"/>
            <w:vAlign w:val="bottom"/>
          </w:tcPr>
          <w:p w14:paraId="18E874C8" w14:textId="77777777" w:rsidR="00481F7C" w:rsidRPr="00F41974" w:rsidRDefault="00481F7C" w:rsidP="00481F7C">
            <w:pPr>
              <w:tabs>
                <w:tab w:val="right" w:pos="1202"/>
              </w:tabs>
              <w:spacing w:after="0" w:line="240" w:lineRule="auto"/>
              <w:jc w:val="right"/>
              <w:outlineLvl w:val="0"/>
              <w:rPr>
                <w:rFonts w:eastAsia="Times New Roman" w:cs="Arial"/>
                <w:iCs/>
                <w:sz w:val="19"/>
                <w:szCs w:val="19"/>
              </w:rPr>
            </w:pPr>
            <w:r w:rsidRPr="00F41974">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28D4CBA3" w14:textId="77777777" w:rsidR="00481F7C" w:rsidRPr="00F41974" w:rsidRDefault="00481F7C" w:rsidP="00481F7C">
            <w:pPr>
              <w:tabs>
                <w:tab w:val="right" w:pos="1202"/>
              </w:tabs>
              <w:spacing w:after="0" w:line="240" w:lineRule="auto"/>
              <w:jc w:val="right"/>
              <w:outlineLvl w:val="0"/>
              <w:rPr>
                <w:rFonts w:eastAsia="Times New Roman" w:cs="Arial"/>
                <w:iCs/>
                <w:sz w:val="19"/>
                <w:szCs w:val="19"/>
              </w:rPr>
            </w:pPr>
            <w:r w:rsidRPr="00F41974">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069501C9" w14:textId="03B4B04B" w:rsidR="00481F7C" w:rsidRPr="00F41974" w:rsidRDefault="00A46E9E" w:rsidP="00481F7C">
            <w:pPr>
              <w:tabs>
                <w:tab w:val="right" w:pos="1202"/>
              </w:tabs>
              <w:spacing w:after="0" w:line="240" w:lineRule="auto"/>
              <w:jc w:val="right"/>
              <w:outlineLvl w:val="0"/>
              <w:rPr>
                <w:rFonts w:eastAsia="Times New Roman" w:cs="Arial"/>
                <w:iCs/>
                <w:sz w:val="19"/>
                <w:szCs w:val="19"/>
              </w:rPr>
            </w:pPr>
            <w:r w:rsidRPr="00F41974">
              <w:rPr>
                <w:rFonts w:eastAsia="Times New Roman" w:cs="Arial"/>
                <w:iCs/>
                <w:sz w:val="19"/>
                <w:szCs w:val="19"/>
              </w:rPr>
              <w:t>(662)</w:t>
            </w:r>
          </w:p>
        </w:tc>
        <w:tc>
          <w:tcPr>
            <w:tcW w:w="701" w:type="pct"/>
            <w:tcBorders>
              <w:top w:val="nil"/>
              <w:left w:val="nil"/>
              <w:bottom w:val="nil"/>
              <w:right w:val="nil"/>
            </w:tcBorders>
            <w:shd w:val="clear" w:color="auto" w:fill="auto"/>
            <w:vAlign w:val="bottom"/>
          </w:tcPr>
          <w:p w14:paraId="1D724022" w14:textId="77777777" w:rsidR="00481F7C" w:rsidRPr="00F41974" w:rsidRDefault="00481F7C" w:rsidP="00481F7C">
            <w:pPr>
              <w:tabs>
                <w:tab w:val="right" w:pos="1202"/>
              </w:tabs>
              <w:spacing w:after="0" w:line="240" w:lineRule="auto"/>
              <w:jc w:val="right"/>
              <w:outlineLvl w:val="0"/>
              <w:rPr>
                <w:rFonts w:eastAsia="Times New Roman" w:cs="Arial"/>
                <w:iCs/>
                <w:sz w:val="19"/>
                <w:szCs w:val="19"/>
              </w:rPr>
            </w:pPr>
            <w:r w:rsidRPr="00F41974">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43131019" w14:textId="45DBE18C" w:rsidR="00481F7C" w:rsidRPr="00F41974" w:rsidRDefault="00A46E9E" w:rsidP="00481F7C">
            <w:pPr>
              <w:tabs>
                <w:tab w:val="right" w:pos="1202"/>
              </w:tabs>
              <w:spacing w:after="0" w:line="240" w:lineRule="auto"/>
              <w:jc w:val="right"/>
              <w:outlineLvl w:val="0"/>
              <w:rPr>
                <w:rFonts w:eastAsia="Times New Roman" w:cs="Arial"/>
                <w:b/>
                <w:iCs/>
                <w:sz w:val="19"/>
                <w:szCs w:val="19"/>
              </w:rPr>
            </w:pPr>
            <w:r w:rsidRPr="00F41974">
              <w:rPr>
                <w:rFonts w:eastAsia="Times New Roman" w:cs="Arial"/>
                <w:b/>
                <w:iCs/>
                <w:sz w:val="19"/>
                <w:szCs w:val="19"/>
              </w:rPr>
              <w:t>(662)</w:t>
            </w:r>
          </w:p>
        </w:tc>
      </w:tr>
      <w:tr w:rsidR="00481F7C" w:rsidRPr="00F41974" w14:paraId="6468FEF8" w14:textId="77777777" w:rsidTr="00312975">
        <w:trPr>
          <w:trHeight w:val="74"/>
        </w:trPr>
        <w:tc>
          <w:tcPr>
            <w:tcW w:w="1495" w:type="pct"/>
            <w:vAlign w:val="bottom"/>
          </w:tcPr>
          <w:p w14:paraId="145DEE19" w14:textId="77777777" w:rsidR="00481F7C" w:rsidRPr="00481F7C" w:rsidRDefault="00481F7C" w:rsidP="00481F7C">
            <w:pPr>
              <w:tabs>
                <w:tab w:val="right" w:pos="1202"/>
              </w:tabs>
              <w:spacing w:after="0" w:line="140" w:lineRule="exact"/>
              <w:outlineLvl w:val="0"/>
              <w:rPr>
                <w:rFonts w:eastAsia="Times New Roman" w:cs="Arial"/>
                <w:iCs/>
                <w:sz w:val="19"/>
                <w:szCs w:val="19"/>
              </w:rPr>
            </w:pPr>
          </w:p>
        </w:tc>
        <w:tc>
          <w:tcPr>
            <w:tcW w:w="701" w:type="pct"/>
            <w:vAlign w:val="bottom"/>
          </w:tcPr>
          <w:p w14:paraId="7283F24C" w14:textId="77777777" w:rsidR="00481F7C" w:rsidRPr="00F41974" w:rsidRDefault="00481F7C" w:rsidP="00481F7C">
            <w:pPr>
              <w:keepNext/>
              <w:keepLines/>
              <w:tabs>
                <w:tab w:val="decimal" w:pos="1015"/>
              </w:tabs>
              <w:spacing w:after="0"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c>
          <w:tcPr>
            <w:tcW w:w="701" w:type="pct"/>
            <w:vAlign w:val="bottom"/>
          </w:tcPr>
          <w:p w14:paraId="4AF336CF" w14:textId="77777777" w:rsidR="00481F7C" w:rsidRPr="00F41974" w:rsidRDefault="00481F7C" w:rsidP="00481F7C">
            <w:pPr>
              <w:keepNext/>
              <w:keepLines/>
              <w:tabs>
                <w:tab w:val="decimal" w:pos="1015"/>
              </w:tabs>
              <w:spacing w:after="0"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c>
          <w:tcPr>
            <w:tcW w:w="701" w:type="pct"/>
            <w:vAlign w:val="bottom"/>
          </w:tcPr>
          <w:p w14:paraId="6F8A7DEF" w14:textId="77777777" w:rsidR="00481F7C" w:rsidRPr="00F41974" w:rsidRDefault="00481F7C" w:rsidP="00481F7C">
            <w:pPr>
              <w:keepNext/>
              <w:keepLines/>
              <w:tabs>
                <w:tab w:val="decimal" w:pos="1015"/>
              </w:tabs>
              <w:spacing w:after="0"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c>
          <w:tcPr>
            <w:tcW w:w="701" w:type="pct"/>
            <w:vAlign w:val="bottom"/>
          </w:tcPr>
          <w:p w14:paraId="2F0E38C1" w14:textId="77777777" w:rsidR="00481F7C" w:rsidRPr="00F41974" w:rsidRDefault="00481F7C" w:rsidP="00481F7C">
            <w:pPr>
              <w:keepNext/>
              <w:keepLines/>
              <w:tabs>
                <w:tab w:val="decimal" w:pos="1015"/>
              </w:tabs>
              <w:spacing w:after="0"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c>
          <w:tcPr>
            <w:tcW w:w="701" w:type="pct"/>
            <w:vAlign w:val="bottom"/>
          </w:tcPr>
          <w:p w14:paraId="4FA41290" w14:textId="77777777" w:rsidR="00481F7C" w:rsidRPr="00F41974" w:rsidRDefault="00481F7C" w:rsidP="00481F7C">
            <w:pPr>
              <w:keepNext/>
              <w:keepLines/>
              <w:tabs>
                <w:tab w:val="decimal" w:pos="1015"/>
              </w:tabs>
              <w:spacing w:after="0" w:line="140" w:lineRule="exact"/>
              <w:jc w:val="right"/>
              <w:rPr>
                <w:rFonts w:eastAsia="Times New Roman" w:cs="Arial"/>
                <w:b/>
                <w:spacing w:val="-2"/>
                <w:position w:val="4"/>
                <w:sz w:val="19"/>
                <w:szCs w:val="19"/>
              </w:rPr>
            </w:pPr>
            <w:r w:rsidRPr="00F41974">
              <w:rPr>
                <w:rFonts w:eastAsia="Times New Roman" w:cs="Arial"/>
                <w:b/>
                <w:spacing w:val="-2"/>
                <w:position w:val="4"/>
                <w:sz w:val="19"/>
                <w:szCs w:val="19"/>
              </w:rPr>
              <w:t>__________</w:t>
            </w:r>
          </w:p>
        </w:tc>
      </w:tr>
      <w:tr w:rsidR="00481F7C" w:rsidRPr="00F41974" w14:paraId="7C35E97A" w14:textId="77777777" w:rsidTr="00312975">
        <w:trPr>
          <w:trHeight w:val="325"/>
        </w:trPr>
        <w:tc>
          <w:tcPr>
            <w:tcW w:w="1495" w:type="pct"/>
            <w:vAlign w:val="bottom"/>
          </w:tcPr>
          <w:p w14:paraId="2B0A5613" w14:textId="77777777" w:rsidR="00481F7C" w:rsidRPr="00481F7C" w:rsidRDefault="00481F7C" w:rsidP="00481F7C">
            <w:pPr>
              <w:tabs>
                <w:tab w:val="right" w:pos="1202"/>
              </w:tabs>
              <w:spacing w:after="0" w:line="240" w:lineRule="auto"/>
              <w:outlineLvl w:val="0"/>
              <w:rPr>
                <w:rFonts w:eastAsia="Times New Roman" w:cs="Arial"/>
                <w:iCs/>
                <w:sz w:val="19"/>
                <w:szCs w:val="19"/>
              </w:rPr>
            </w:pPr>
            <w:r w:rsidRPr="00481F7C">
              <w:rPr>
                <w:rFonts w:eastAsia="Times New Roman" w:cs="Arial"/>
                <w:iCs/>
                <w:sz w:val="19"/>
                <w:szCs w:val="19"/>
              </w:rPr>
              <w:t>Ukupna sveobuhvatna dobit</w:t>
            </w:r>
          </w:p>
        </w:tc>
        <w:tc>
          <w:tcPr>
            <w:tcW w:w="701" w:type="pct"/>
            <w:tcBorders>
              <w:top w:val="nil"/>
              <w:left w:val="nil"/>
              <w:bottom w:val="nil"/>
              <w:right w:val="nil"/>
            </w:tcBorders>
            <w:shd w:val="clear" w:color="auto" w:fill="auto"/>
            <w:vAlign w:val="bottom"/>
          </w:tcPr>
          <w:p w14:paraId="4694D28C" w14:textId="77777777" w:rsidR="00481F7C" w:rsidRPr="00F41974" w:rsidRDefault="00481F7C" w:rsidP="00481F7C">
            <w:pPr>
              <w:tabs>
                <w:tab w:val="right" w:pos="1202"/>
              </w:tabs>
              <w:spacing w:after="0" w:line="240" w:lineRule="auto"/>
              <w:jc w:val="right"/>
              <w:outlineLvl w:val="0"/>
              <w:rPr>
                <w:rFonts w:eastAsia="Times New Roman" w:cs="Arial"/>
                <w:b/>
                <w:iCs/>
                <w:sz w:val="19"/>
                <w:szCs w:val="19"/>
              </w:rPr>
            </w:pPr>
            <w:r w:rsidRPr="00F41974">
              <w:rPr>
                <w:rFonts w:eastAsia="Times New Roman" w:cs="Arial"/>
                <w:b/>
                <w:iCs/>
                <w:sz w:val="19"/>
                <w:szCs w:val="19"/>
              </w:rPr>
              <w:t>-</w:t>
            </w:r>
          </w:p>
        </w:tc>
        <w:tc>
          <w:tcPr>
            <w:tcW w:w="701" w:type="pct"/>
            <w:tcBorders>
              <w:top w:val="nil"/>
              <w:left w:val="nil"/>
              <w:bottom w:val="nil"/>
              <w:right w:val="nil"/>
            </w:tcBorders>
            <w:shd w:val="clear" w:color="auto" w:fill="auto"/>
            <w:vAlign w:val="bottom"/>
          </w:tcPr>
          <w:p w14:paraId="565E0ED0" w14:textId="77777777" w:rsidR="00481F7C" w:rsidRPr="00F41974" w:rsidRDefault="00481F7C" w:rsidP="00481F7C">
            <w:pPr>
              <w:tabs>
                <w:tab w:val="right" w:pos="1202"/>
              </w:tabs>
              <w:spacing w:after="0" w:line="240" w:lineRule="auto"/>
              <w:jc w:val="right"/>
              <w:outlineLvl w:val="0"/>
              <w:rPr>
                <w:rFonts w:eastAsia="Times New Roman" w:cs="Arial"/>
                <w:b/>
                <w:iCs/>
                <w:sz w:val="19"/>
                <w:szCs w:val="19"/>
              </w:rPr>
            </w:pPr>
            <w:r w:rsidRPr="00F41974">
              <w:rPr>
                <w:rFonts w:eastAsia="Times New Roman" w:cs="Arial"/>
                <w:b/>
                <w:iCs/>
                <w:sz w:val="19"/>
                <w:szCs w:val="19"/>
              </w:rPr>
              <w:t>-</w:t>
            </w:r>
          </w:p>
        </w:tc>
        <w:tc>
          <w:tcPr>
            <w:tcW w:w="701" w:type="pct"/>
            <w:tcBorders>
              <w:top w:val="nil"/>
              <w:left w:val="nil"/>
              <w:bottom w:val="nil"/>
              <w:right w:val="nil"/>
            </w:tcBorders>
            <w:shd w:val="clear" w:color="auto" w:fill="auto"/>
            <w:vAlign w:val="bottom"/>
          </w:tcPr>
          <w:p w14:paraId="716B261D" w14:textId="1F688975" w:rsidR="00481F7C" w:rsidRPr="00F41974" w:rsidRDefault="00A46E9E" w:rsidP="00481F7C">
            <w:pPr>
              <w:tabs>
                <w:tab w:val="right" w:pos="1202"/>
              </w:tabs>
              <w:spacing w:after="0" w:line="240" w:lineRule="auto"/>
              <w:jc w:val="right"/>
              <w:outlineLvl w:val="0"/>
              <w:rPr>
                <w:rFonts w:eastAsia="Times New Roman" w:cs="Arial"/>
                <w:iCs/>
                <w:sz w:val="19"/>
                <w:szCs w:val="19"/>
              </w:rPr>
            </w:pPr>
            <w:r w:rsidRPr="00F41974">
              <w:rPr>
                <w:rFonts w:eastAsia="Times New Roman" w:cs="Arial"/>
                <w:iCs/>
                <w:sz w:val="19"/>
                <w:szCs w:val="19"/>
              </w:rPr>
              <w:t>(662)</w:t>
            </w:r>
          </w:p>
        </w:tc>
        <w:tc>
          <w:tcPr>
            <w:tcW w:w="701" w:type="pct"/>
            <w:tcBorders>
              <w:top w:val="nil"/>
              <w:left w:val="nil"/>
              <w:bottom w:val="nil"/>
              <w:right w:val="nil"/>
            </w:tcBorders>
            <w:shd w:val="clear" w:color="auto" w:fill="auto"/>
            <w:vAlign w:val="bottom"/>
          </w:tcPr>
          <w:p w14:paraId="36A21D99" w14:textId="086E1FEE" w:rsidR="00481F7C" w:rsidRPr="00F41974" w:rsidRDefault="00A46E9E" w:rsidP="00481F7C">
            <w:pPr>
              <w:tabs>
                <w:tab w:val="right" w:pos="1202"/>
              </w:tabs>
              <w:spacing w:after="0" w:line="240" w:lineRule="auto"/>
              <w:jc w:val="right"/>
              <w:outlineLvl w:val="0"/>
              <w:rPr>
                <w:rFonts w:eastAsia="Times New Roman" w:cs="Arial"/>
                <w:iCs/>
                <w:sz w:val="19"/>
                <w:szCs w:val="19"/>
              </w:rPr>
            </w:pPr>
            <w:r w:rsidRPr="00F41974">
              <w:rPr>
                <w:rFonts w:eastAsia="Times New Roman" w:cs="Arial"/>
                <w:iCs/>
                <w:sz w:val="19"/>
                <w:szCs w:val="19"/>
              </w:rPr>
              <w:t>129.356</w:t>
            </w:r>
          </w:p>
        </w:tc>
        <w:tc>
          <w:tcPr>
            <w:tcW w:w="701" w:type="pct"/>
            <w:tcBorders>
              <w:top w:val="nil"/>
              <w:left w:val="nil"/>
              <w:bottom w:val="nil"/>
              <w:right w:val="nil"/>
            </w:tcBorders>
            <w:shd w:val="clear" w:color="auto" w:fill="auto"/>
            <w:vAlign w:val="bottom"/>
          </w:tcPr>
          <w:p w14:paraId="04564230" w14:textId="03CB9973" w:rsidR="00481F7C" w:rsidRPr="00F41974" w:rsidRDefault="00A46E9E" w:rsidP="00481F7C">
            <w:pPr>
              <w:tabs>
                <w:tab w:val="right" w:pos="1202"/>
              </w:tabs>
              <w:spacing w:after="0" w:line="240" w:lineRule="auto"/>
              <w:jc w:val="right"/>
              <w:outlineLvl w:val="0"/>
              <w:rPr>
                <w:rFonts w:eastAsia="Times New Roman" w:cs="Arial"/>
                <w:b/>
                <w:iCs/>
                <w:sz w:val="19"/>
                <w:szCs w:val="19"/>
              </w:rPr>
            </w:pPr>
            <w:r w:rsidRPr="00F41974">
              <w:rPr>
                <w:rFonts w:eastAsia="Times New Roman" w:cs="Arial"/>
                <w:b/>
                <w:iCs/>
                <w:sz w:val="19"/>
                <w:szCs w:val="19"/>
              </w:rPr>
              <w:t>128.694</w:t>
            </w:r>
          </w:p>
        </w:tc>
      </w:tr>
      <w:tr w:rsidR="00481F7C" w:rsidRPr="00F41974" w14:paraId="392E2DAA" w14:textId="77777777" w:rsidTr="00312975">
        <w:trPr>
          <w:trHeight w:val="74"/>
        </w:trPr>
        <w:tc>
          <w:tcPr>
            <w:tcW w:w="1495" w:type="pct"/>
            <w:vAlign w:val="bottom"/>
          </w:tcPr>
          <w:p w14:paraId="3B4AD672" w14:textId="77777777" w:rsidR="00481F7C" w:rsidRPr="00481F7C" w:rsidRDefault="00481F7C" w:rsidP="00481F7C">
            <w:pPr>
              <w:tabs>
                <w:tab w:val="right" w:pos="1202"/>
              </w:tabs>
              <w:spacing w:after="0" w:line="140" w:lineRule="exact"/>
              <w:outlineLvl w:val="0"/>
              <w:rPr>
                <w:rFonts w:eastAsia="Times New Roman" w:cs="Arial"/>
                <w:iCs/>
                <w:sz w:val="19"/>
                <w:szCs w:val="19"/>
              </w:rPr>
            </w:pPr>
          </w:p>
        </w:tc>
        <w:tc>
          <w:tcPr>
            <w:tcW w:w="701" w:type="pct"/>
            <w:vAlign w:val="bottom"/>
          </w:tcPr>
          <w:p w14:paraId="4111A742" w14:textId="77777777" w:rsidR="00481F7C" w:rsidRPr="00F41974" w:rsidRDefault="00481F7C" w:rsidP="00481F7C">
            <w:pPr>
              <w:keepNext/>
              <w:keepLines/>
              <w:tabs>
                <w:tab w:val="decimal" w:pos="1015"/>
              </w:tabs>
              <w:spacing w:after="0"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c>
          <w:tcPr>
            <w:tcW w:w="701" w:type="pct"/>
            <w:vAlign w:val="bottom"/>
          </w:tcPr>
          <w:p w14:paraId="5D4A72A1" w14:textId="77777777" w:rsidR="00481F7C" w:rsidRPr="00F41974" w:rsidRDefault="00481F7C" w:rsidP="00481F7C">
            <w:pPr>
              <w:keepNext/>
              <w:keepLines/>
              <w:tabs>
                <w:tab w:val="decimal" w:pos="1015"/>
              </w:tabs>
              <w:spacing w:after="0"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c>
          <w:tcPr>
            <w:tcW w:w="701" w:type="pct"/>
            <w:vAlign w:val="bottom"/>
          </w:tcPr>
          <w:p w14:paraId="0C1C7AA9" w14:textId="77777777" w:rsidR="00481F7C" w:rsidRPr="00F41974" w:rsidRDefault="00481F7C" w:rsidP="00481F7C">
            <w:pPr>
              <w:keepNext/>
              <w:keepLines/>
              <w:tabs>
                <w:tab w:val="decimal" w:pos="1015"/>
              </w:tabs>
              <w:spacing w:after="0"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c>
          <w:tcPr>
            <w:tcW w:w="701" w:type="pct"/>
            <w:vAlign w:val="bottom"/>
          </w:tcPr>
          <w:p w14:paraId="3B9A55A6" w14:textId="77777777" w:rsidR="00481F7C" w:rsidRPr="00F41974" w:rsidRDefault="00481F7C" w:rsidP="00481F7C">
            <w:pPr>
              <w:keepNext/>
              <w:keepLines/>
              <w:tabs>
                <w:tab w:val="decimal" w:pos="1015"/>
              </w:tabs>
              <w:spacing w:after="0"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c>
          <w:tcPr>
            <w:tcW w:w="701" w:type="pct"/>
            <w:vAlign w:val="bottom"/>
          </w:tcPr>
          <w:p w14:paraId="2AD49A3F" w14:textId="77777777" w:rsidR="00481F7C" w:rsidRPr="00F41974" w:rsidRDefault="00481F7C" w:rsidP="00481F7C">
            <w:pPr>
              <w:keepNext/>
              <w:keepLines/>
              <w:tabs>
                <w:tab w:val="decimal" w:pos="1015"/>
              </w:tabs>
              <w:spacing w:after="0" w:line="140" w:lineRule="exact"/>
              <w:jc w:val="right"/>
              <w:rPr>
                <w:rFonts w:eastAsia="Times New Roman" w:cs="Arial"/>
                <w:b/>
                <w:spacing w:val="-2"/>
                <w:position w:val="4"/>
                <w:sz w:val="19"/>
                <w:szCs w:val="19"/>
              </w:rPr>
            </w:pPr>
            <w:r w:rsidRPr="00F41974">
              <w:rPr>
                <w:rFonts w:eastAsia="Times New Roman" w:cs="Arial"/>
                <w:b/>
                <w:spacing w:val="-2"/>
                <w:position w:val="4"/>
                <w:sz w:val="19"/>
                <w:szCs w:val="19"/>
              </w:rPr>
              <w:t>__________</w:t>
            </w:r>
          </w:p>
        </w:tc>
      </w:tr>
      <w:tr w:rsidR="00481F7C" w:rsidRPr="00F41974" w14:paraId="0729C920" w14:textId="77777777" w:rsidTr="00312975">
        <w:trPr>
          <w:trHeight w:val="363"/>
        </w:trPr>
        <w:tc>
          <w:tcPr>
            <w:tcW w:w="1495" w:type="pct"/>
            <w:vAlign w:val="bottom"/>
          </w:tcPr>
          <w:p w14:paraId="3B9AB73D" w14:textId="77777777" w:rsidR="00481F7C" w:rsidRPr="00481F7C" w:rsidRDefault="00481F7C" w:rsidP="00481F7C">
            <w:pPr>
              <w:tabs>
                <w:tab w:val="right" w:pos="1202"/>
              </w:tabs>
              <w:spacing w:after="0" w:line="240" w:lineRule="auto"/>
              <w:outlineLvl w:val="0"/>
              <w:rPr>
                <w:rFonts w:eastAsia="Times New Roman" w:cs="Arial"/>
                <w:iCs/>
                <w:sz w:val="19"/>
                <w:szCs w:val="19"/>
              </w:rPr>
            </w:pPr>
            <w:r w:rsidRPr="00481F7C">
              <w:rPr>
                <w:rFonts w:eastAsia="Times New Roman" w:cs="Arial"/>
                <w:iCs/>
                <w:sz w:val="19"/>
                <w:szCs w:val="19"/>
              </w:rPr>
              <w:t xml:space="preserve">Uplate u osnivački kapital iz državnog proračuna </w:t>
            </w:r>
          </w:p>
        </w:tc>
        <w:tc>
          <w:tcPr>
            <w:tcW w:w="701" w:type="pct"/>
            <w:tcBorders>
              <w:top w:val="nil"/>
              <w:left w:val="nil"/>
              <w:bottom w:val="nil"/>
              <w:right w:val="nil"/>
            </w:tcBorders>
            <w:shd w:val="clear" w:color="auto" w:fill="auto"/>
            <w:vAlign w:val="bottom"/>
          </w:tcPr>
          <w:p w14:paraId="397468E4" w14:textId="77777777" w:rsidR="00481F7C" w:rsidRPr="00F41974" w:rsidRDefault="00481F7C" w:rsidP="00481F7C">
            <w:pPr>
              <w:tabs>
                <w:tab w:val="right" w:pos="1202"/>
              </w:tabs>
              <w:spacing w:after="0" w:line="240" w:lineRule="auto"/>
              <w:jc w:val="right"/>
              <w:outlineLvl w:val="0"/>
              <w:rPr>
                <w:rFonts w:eastAsia="Times New Roman" w:cs="Arial"/>
                <w:iCs/>
                <w:sz w:val="19"/>
                <w:szCs w:val="19"/>
              </w:rPr>
            </w:pPr>
            <w:r w:rsidRPr="00F41974">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41E8C27A" w14:textId="77777777" w:rsidR="00481F7C" w:rsidRPr="00F41974" w:rsidRDefault="00481F7C" w:rsidP="00481F7C">
            <w:pPr>
              <w:tabs>
                <w:tab w:val="right" w:pos="1202"/>
              </w:tabs>
              <w:spacing w:after="0" w:line="240" w:lineRule="auto"/>
              <w:jc w:val="right"/>
              <w:outlineLvl w:val="0"/>
              <w:rPr>
                <w:rFonts w:eastAsia="Times New Roman" w:cs="Arial"/>
                <w:iCs/>
                <w:sz w:val="19"/>
                <w:szCs w:val="19"/>
              </w:rPr>
            </w:pPr>
            <w:r w:rsidRPr="00F41974">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19799F62" w14:textId="77777777" w:rsidR="00481F7C" w:rsidRPr="00F41974" w:rsidRDefault="00481F7C" w:rsidP="00481F7C">
            <w:pPr>
              <w:tabs>
                <w:tab w:val="right" w:pos="1202"/>
              </w:tabs>
              <w:spacing w:after="0" w:line="240" w:lineRule="auto"/>
              <w:jc w:val="right"/>
              <w:outlineLvl w:val="0"/>
              <w:rPr>
                <w:rFonts w:eastAsia="Times New Roman" w:cs="Arial"/>
                <w:iCs/>
                <w:sz w:val="19"/>
                <w:szCs w:val="19"/>
              </w:rPr>
            </w:pPr>
            <w:r w:rsidRPr="00F41974">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69E43D01" w14:textId="77777777" w:rsidR="00481F7C" w:rsidRPr="00F41974" w:rsidRDefault="00481F7C" w:rsidP="00481F7C">
            <w:pPr>
              <w:tabs>
                <w:tab w:val="right" w:pos="1202"/>
              </w:tabs>
              <w:spacing w:after="0" w:line="240" w:lineRule="auto"/>
              <w:jc w:val="right"/>
              <w:outlineLvl w:val="0"/>
              <w:rPr>
                <w:rFonts w:eastAsia="Times New Roman" w:cs="Arial"/>
                <w:iCs/>
                <w:sz w:val="19"/>
                <w:szCs w:val="19"/>
              </w:rPr>
            </w:pPr>
            <w:r w:rsidRPr="00F41974">
              <w:rPr>
                <w:rFonts w:eastAsia="Times New Roman" w:cs="Arial"/>
                <w:iCs/>
                <w:sz w:val="19"/>
                <w:szCs w:val="19"/>
              </w:rPr>
              <w:t>-</w:t>
            </w:r>
          </w:p>
        </w:tc>
        <w:tc>
          <w:tcPr>
            <w:tcW w:w="701" w:type="pct"/>
            <w:tcBorders>
              <w:top w:val="nil"/>
              <w:left w:val="nil"/>
              <w:bottom w:val="nil"/>
              <w:right w:val="nil"/>
            </w:tcBorders>
            <w:shd w:val="clear" w:color="auto" w:fill="auto"/>
            <w:vAlign w:val="bottom"/>
          </w:tcPr>
          <w:p w14:paraId="7405375C" w14:textId="77777777" w:rsidR="00481F7C" w:rsidRPr="00F41974" w:rsidRDefault="00481F7C" w:rsidP="00481F7C">
            <w:pPr>
              <w:tabs>
                <w:tab w:val="right" w:pos="1202"/>
              </w:tabs>
              <w:spacing w:after="0" w:line="240" w:lineRule="auto"/>
              <w:jc w:val="right"/>
              <w:outlineLvl w:val="0"/>
              <w:rPr>
                <w:rFonts w:eastAsia="Times New Roman" w:cs="Arial"/>
                <w:b/>
                <w:iCs/>
                <w:sz w:val="19"/>
                <w:szCs w:val="19"/>
              </w:rPr>
            </w:pPr>
            <w:r w:rsidRPr="00F41974">
              <w:rPr>
                <w:rFonts w:eastAsia="Times New Roman" w:cs="Arial"/>
                <w:b/>
                <w:iCs/>
                <w:sz w:val="19"/>
                <w:szCs w:val="19"/>
              </w:rPr>
              <w:t>-</w:t>
            </w:r>
          </w:p>
        </w:tc>
      </w:tr>
      <w:tr w:rsidR="00481F7C" w:rsidRPr="00F41974" w14:paraId="5A184659" w14:textId="77777777" w:rsidTr="00312975">
        <w:trPr>
          <w:trHeight w:val="70"/>
        </w:trPr>
        <w:tc>
          <w:tcPr>
            <w:tcW w:w="1495" w:type="pct"/>
            <w:vAlign w:val="bottom"/>
          </w:tcPr>
          <w:p w14:paraId="6915781C" w14:textId="40DA7D9E" w:rsidR="00481F7C" w:rsidRPr="00481F7C" w:rsidRDefault="00481F7C" w:rsidP="00312975">
            <w:pPr>
              <w:tabs>
                <w:tab w:val="right" w:pos="1202"/>
              </w:tabs>
              <w:spacing w:after="0" w:line="240" w:lineRule="auto"/>
              <w:outlineLvl w:val="0"/>
              <w:rPr>
                <w:rFonts w:eastAsia="Times New Roman" w:cs="Arial"/>
                <w:i/>
                <w:iCs/>
                <w:sz w:val="19"/>
                <w:szCs w:val="19"/>
              </w:rPr>
            </w:pPr>
            <w:r w:rsidRPr="00481F7C">
              <w:rPr>
                <w:rFonts w:eastAsia="Times New Roman" w:cs="Arial"/>
                <w:iCs/>
                <w:sz w:val="19"/>
                <w:szCs w:val="19"/>
              </w:rPr>
              <w:t>Prijenos dobiti iz 201</w:t>
            </w:r>
            <w:r>
              <w:rPr>
                <w:rFonts w:eastAsia="Times New Roman" w:cs="Arial"/>
                <w:iCs/>
                <w:sz w:val="19"/>
                <w:szCs w:val="19"/>
              </w:rPr>
              <w:t>6</w:t>
            </w:r>
            <w:r w:rsidRPr="00481F7C">
              <w:rPr>
                <w:rFonts w:eastAsia="Times New Roman" w:cs="Arial"/>
                <w:iCs/>
                <w:sz w:val="19"/>
                <w:szCs w:val="19"/>
              </w:rPr>
              <w:t>. godine u zadržanu dobit</w:t>
            </w:r>
          </w:p>
        </w:tc>
        <w:tc>
          <w:tcPr>
            <w:tcW w:w="701" w:type="pct"/>
            <w:tcBorders>
              <w:top w:val="nil"/>
              <w:left w:val="nil"/>
              <w:bottom w:val="nil"/>
              <w:right w:val="nil"/>
            </w:tcBorders>
            <w:shd w:val="clear" w:color="auto" w:fill="auto"/>
            <w:vAlign w:val="bottom"/>
          </w:tcPr>
          <w:p w14:paraId="77ADBFCE" w14:textId="77777777" w:rsidR="00481F7C" w:rsidRPr="00F41974" w:rsidRDefault="00481F7C" w:rsidP="00481F7C">
            <w:pPr>
              <w:tabs>
                <w:tab w:val="right" w:pos="1202"/>
              </w:tabs>
              <w:spacing w:after="0" w:line="240" w:lineRule="auto"/>
              <w:jc w:val="right"/>
              <w:outlineLvl w:val="0"/>
              <w:rPr>
                <w:rFonts w:eastAsia="Times New Roman" w:cs="Arial"/>
                <w:iCs/>
                <w:sz w:val="19"/>
                <w:szCs w:val="19"/>
              </w:rPr>
            </w:pPr>
            <w:r w:rsidRPr="00F41974">
              <w:rPr>
                <w:rFonts w:ascii="Calibri" w:eastAsia="Times New Roman" w:hAnsi="Calibri" w:cs="Times New Roman"/>
                <w:color w:val="000000"/>
                <w:sz w:val="19"/>
                <w:szCs w:val="19"/>
                <w:lang w:val="en-GB"/>
              </w:rPr>
              <w:t>-</w:t>
            </w:r>
          </w:p>
        </w:tc>
        <w:tc>
          <w:tcPr>
            <w:tcW w:w="701" w:type="pct"/>
            <w:tcBorders>
              <w:top w:val="nil"/>
              <w:left w:val="nil"/>
              <w:bottom w:val="nil"/>
              <w:right w:val="nil"/>
            </w:tcBorders>
            <w:shd w:val="clear" w:color="auto" w:fill="auto"/>
            <w:vAlign w:val="bottom"/>
          </w:tcPr>
          <w:p w14:paraId="5FA448C8" w14:textId="34CA75CB" w:rsidR="00481F7C" w:rsidRPr="00F41974" w:rsidRDefault="00A46E9E" w:rsidP="00D96540">
            <w:pPr>
              <w:tabs>
                <w:tab w:val="right" w:pos="1202"/>
              </w:tabs>
              <w:spacing w:after="0" w:line="240" w:lineRule="auto"/>
              <w:jc w:val="right"/>
              <w:outlineLvl w:val="0"/>
              <w:rPr>
                <w:rFonts w:eastAsia="Times New Roman" w:cs="Arial"/>
                <w:iCs/>
                <w:sz w:val="19"/>
                <w:szCs w:val="19"/>
              </w:rPr>
            </w:pPr>
            <w:r w:rsidRPr="00F41974">
              <w:rPr>
                <w:rFonts w:ascii="Calibri" w:eastAsia="Times New Roman" w:hAnsi="Calibri" w:cs="Times New Roman"/>
                <w:color w:val="000000"/>
                <w:sz w:val="19"/>
                <w:szCs w:val="19"/>
                <w:lang w:val="en-GB"/>
              </w:rPr>
              <w:t>313.525</w:t>
            </w:r>
          </w:p>
        </w:tc>
        <w:tc>
          <w:tcPr>
            <w:tcW w:w="701" w:type="pct"/>
            <w:tcBorders>
              <w:top w:val="nil"/>
              <w:left w:val="nil"/>
              <w:bottom w:val="nil"/>
              <w:right w:val="nil"/>
            </w:tcBorders>
            <w:shd w:val="clear" w:color="auto" w:fill="auto"/>
            <w:vAlign w:val="bottom"/>
          </w:tcPr>
          <w:p w14:paraId="3C88FFBE" w14:textId="77777777" w:rsidR="00481F7C" w:rsidRPr="00F41974" w:rsidRDefault="00481F7C" w:rsidP="00481F7C">
            <w:pPr>
              <w:tabs>
                <w:tab w:val="right" w:pos="1202"/>
              </w:tabs>
              <w:spacing w:after="0" w:line="240" w:lineRule="auto"/>
              <w:jc w:val="right"/>
              <w:outlineLvl w:val="0"/>
              <w:rPr>
                <w:rFonts w:eastAsia="Times New Roman" w:cs="Arial"/>
                <w:iCs/>
                <w:sz w:val="19"/>
                <w:szCs w:val="19"/>
              </w:rPr>
            </w:pPr>
            <w:r w:rsidRPr="00F41974">
              <w:rPr>
                <w:rFonts w:ascii="Calibri" w:eastAsia="Times New Roman" w:hAnsi="Calibri" w:cs="Times New Roman"/>
                <w:color w:val="000000"/>
                <w:sz w:val="19"/>
                <w:szCs w:val="19"/>
                <w:lang w:val="en-GB"/>
              </w:rPr>
              <w:t>-</w:t>
            </w:r>
          </w:p>
        </w:tc>
        <w:tc>
          <w:tcPr>
            <w:tcW w:w="701" w:type="pct"/>
            <w:tcBorders>
              <w:top w:val="nil"/>
              <w:left w:val="nil"/>
              <w:bottom w:val="nil"/>
              <w:right w:val="nil"/>
            </w:tcBorders>
            <w:shd w:val="clear" w:color="auto" w:fill="auto"/>
            <w:vAlign w:val="bottom"/>
          </w:tcPr>
          <w:p w14:paraId="6EC7E2C1" w14:textId="1AE38C03" w:rsidR="00481F7C" w:rsidRPr="00F41974" w:rsidRDefault="00A46E9E" w:rsidP="00D96540">
            <w:pPr>
              <w:tabs>
                <w:tab w:val="right" w:pos="1202"/>
              </w:tabs>
              <w:spacing w:after="0" w:line="240" w:lineRule="auto"/>
              <w:jc w:val="right"/>
              <w:outlineLvl w:val="0"/>
              <w:rPr>
                <w:rFonts w:eastAsia="Times New Roman" w:cs="Arial"/>
                <w:iCs/>
                <w:sz w:val="19"/>
                <w:szCs w:val="19"/>
              </w:rPr>
            </w:pPr>
            <w:r w:rsidRPr="00F41974">
              <w:rPr>
                <w:rFonts w:ascii="Calibri" w:eastAsia="Times New Roman" w:hAnsi="Calibri" w:cs="Times New Roman"/>
                <w:color w:val="000000"/>
                <w:sz w:val="19"/>
                <w:szCs w:val="19"/>
                <w:lang w:val="en-GB"/>
              </w:rPr>
              <w:t>(313.525)</w:t>
            </w:r>
          </w:p>
        </w:tc>
        <w:tc>
          <w:tcPr>
            <w:tcW w:w="701" w:type="pct"/>
            <w:tcBorders>
              <w:top w:val="nil"/>
              <w:left w:val="nil"/>
              <w:bottom w:val="nil"/>
              <w:right w:val="nil"/>
            </w:tcBorders>
            <w:shd w:val="clear" w:color="auto" w:fill="auto"/>
            <w:vAlign w:val="bottom"/>
          </w:tcPr>
          <w:p w14:paraId="0552F1F0" w14:textId="77777777" w:rsidR="00481F7C" w:rsidRPr="00F41974" w:rsidRDefault="00481F7C" w:rsidP="00481F7C">
            <w:pPr>
              <w:tabs>
                <w:tab w:val="right" w:pos="1202"/>
              </w:tabs>
              <w:spacing w:after="0" w:line="240" w:lineRule="auto"/>
              <w:jc w:val="right"/>
              <w:outlineLvl w:val="0"/>
              <w:rPr>
                <w:rFonts w:eastAsia="Times New Roman" w:cs="Arial"/>
                <w:b/>
                <w:iCs/>
                <w:sz w:val="19"/>
                <w:szCs w:val="19"/>
              </w:rPr>
            </w:pPr>
            <w:r w:rsidRPr="00F41974">
              <w:rPr>
                <w:rFonts w:ascii="Calibri" w:eastAsia="Times New Roman" w:hAnsi="Calibri" w:cs="Times New Roman"/>
                <w:b/>
                <w:color w:val="000000"/>
                <w:sz w:val="19"/>
                <w:szCs w:val="19"/>
                <w:lang w:val="en-GB"/>
              </w:rPr>
              <w:t xml:space="preserve">                          - </w:t>
            </w:r>
          </w:p>
        </w:tc>
      </w:tr>
      <w:tr w:rsidR="00481F7C" w:rsidRPr="00F41974" w14:paraId="44BB70CC" w14:textId="77777777" w:rsidTr="00312975">
        <w:trPr>
          <w:trHeight w:val="70"/>
        </w:trPr>
        <w:tc>
          <w:tcPr>
            <w:tcW w:w="1495" w:type="pct"/>
            <w:vAlign w:val="bottom"/>
          </w:tcPr>
          <w:p w14:paraId="704FAD14" w14:textId="77777777" w:rsidR="00481F7C" w:rsidRPr="00481F7C" w:rsidRDefault="00481F7C" w:rsidP="00481F7C">
            <w:pPr>
              <w:tabs>
                <w:tab w:val="right" w:pos="1202"/>
              </w:tabs>
              <w:spacing w:after="0" w:line="140" w:lineRule="exact"/>
              <w:outlineLvl w:val="0"/>
              <w:rPr>
                <w:rFonts w:eastAsia="Times New Roman" w:cs="Arial"/>
                <w:iCs/>
                <w:sz w:val="19"/>
                <w:szCs w:val="19"/>
              </w:rPr>
            </w:pPr>
          </w:p>
        </w:tc>
        <w:tc>
          <w:tcPr>
            <w:tcW w:w="701" w:type="pct"/>
            <w:vAlign w:val="bottom"/>
          </w:tcPr>
          <w:p w14:paraId="3BAFD5EC" w14:textId="77777777" w:rsidR="00481F7C" w:rsidRPr="00F41974" w:rsidRDefault="00481F7C" w:rsidP="00481F7C">
            <w:pPr>
              <w:keepNext/>
              <w:keepLines/>
              <w:tabs>
                <w:tab w:val="decimal" w:pos="1015"/>
              </w:tabs>
              <w:spacing w:after="0"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c>
          <w:tcPr>
            <w:tcW w:w="701" w:type="pct"/>
            <w:vAlign w:val="bottom"/>
          </w:tcPr>
          <w:p w14:paraId="63AE89BC" w14:textId="77777777" w:rsidR="00481F7C" w:rsidRPr="00F41974" w:rsidRDefault="00481F7C" w:rsidP="00481F7C">
            <w:pPr>
              <w:keepNext/>
              <w:keepLines/>
              <w:tabs>
                <w:tab w:val="decimal" w:pos="1015"/>
              </w:tabs>
              <w:spacing w:after="0"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c>
          <w:tcPr>
            <w:tcW w:w="701" w:type="pct"/>
            <w:vAlign w:val="bottom"/>
          </w:tcPr>
          <w:p w14:paraId="39E6EAAE" w14:textId="77777777" w:rsidR="00481F7C" w:rsidRPr="00F41974" w:rsidRDefault="00481F7C" w:rsidP="00481F7C">
            <w:pPr>
              <w:keepNext/>
              <w:keepLines/>
              <w:tabs>
                <w:tab w:val="decimal" w:pos="1015"/>
              </w:tabs>
              <w:spacing w:after="0"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c>
          <w:tcPr>
            <w:tcW w:w="701" w:type="pct"/>
            <w:vAlign w:val="bottom"/>
          </w:tcPr>
          <w:p w14:paraId="6AC5F8F0" w14:textId="77777777" w:rsidR="00481F7C" w:rsidRPr="00F41974" w:rsidRDefault="00481F7C" w:rsidP="00481F7C">
            <w:pPr>
              <w:keepNext/>
              <w:keepLines/>
              <w:tabs>
                <w:tab w:val="decimal" w:pos="1015"/>
              </w:tabs>
              <w:spacing w:after="0"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c>
          <w:tcPr>
            <w:tcW w:w="701" w:type="pct"/>
            <w:vAlign w:val="bottom"/>
          </w:tcPr>
          <w:p w14:paraId="47EC0653" w14:textId="77777777" w:rsidR="00481F7C" w:rsidRPr="00F41974" w:rsidRDefault="00481F7C" w:rsidP="00481F7C">
            <w:pPr>
              <w:keepNext/>
              <w:keepLines/>
              <w:tabs>
                <w:tab w:val="decimal" w:pos="1015"/>
              </w:tabs>
              <w:spacing w:after="0" w:line="140" w:lineRule="exact"/>
              <w:jc w:val="right"/>
              <w:rPr>
                <w:rFonts w:eastAsia="Times New Roman" w:cs="Arial"/>
                <w:spacing w:val="-2"/>
                <w:position w:val="4"/>
                <w:sz w:val="19"/>
                <w:szCs w:val="19"/>
              </w:rPr>
            </w:pPr>
            <w:r w:rsidRPr="00F41974">
              <w:rPr>
                <w:rFonts w:eastAsia="Times New Roman" w:cs="Arial"/>
                <w:spacing w:val="-2"/>
                <w:position w:val="4"/>
                <w:sz w:val="19"/>
                <w:szCs w:val="19"/>
              </w:rPr>
              <w:t>__________</w:t>
            </w:r>
          </w:p>
        </w:tc>
      </w:tr>
      <w:tr w:rsidR="00481F7C" w:rsidRPr="00481F7C" w14:paraId="5E7D4E5D" w14:textId="77777777" w:rsidTr="00312975">
        <w:trPr>
          <w:trHeight w:val="70"/>
        </w:trPr>
        <w:tc>
          <w:tcPr>
            <w:tcW w:w="1495" w:type="pct"/>
            <w:vAlign w:val="bottom"/>
          </w:tcPr>
          <w:p w14:paraId="65E3295C" w14:textId="4CC31478" w:rsidR="00481F7C" w:rsidRPr="00481F7C" w:rsidRDefault="00481F7C" w:rsidP="00312975">
            <w:pPr>
              <w:tabs>
                <w:tab w:val="right" w:pos="1202"/>
              </w:tabs>
              <w:spacing w:after="0" w:line="240" w:lineRule="auto"/>
              <w:outlineLvl w:val="0"/>
              <w:rPr>
                <w:rFonts w:eastAsia="Times New Roman" w:cs="Arial"/>
                <w:b/>
                <w:iCs/>
                <w:sz w:val="19"/>
                <w:szCs w:val="19"/>
              </w:rPr>
            </w:pPr>
            <w:r w:rsidRPr="00481F7C">
              <w:rPr>
                <w:rFonts w:eastAsia="Times New Roman" w:cs="Arial"/>
                <w:b/>
                <w:iCs/>
                <w:sz w:val="19"/>
                <w:szCs w:val="19"/>
              </w:rPr>
              <w:t>Stanje 30. lipnja 201</w:t>
            </w:r>
            <w:r>
              <w:rPr>
                <w:rFonts w:eastAsia="Times New Roman" w:cs="Arial"/>
                <w:b/>
                <w:iCs/>
                <w:sz w:val="19"/>
                <w:szCs w:val="19"/>
              </w:rPr>
              <w:t>7</w:t>
            </w:r>
            <w:r w:rsidRPr="00481F7C">
              <w:rPr>
                <w:rFonts w:eastAsia="Times New Roman" w:cs="Arial"/>
                <w:b/>
                <w:iCs/>
                <w:sz w:val="19"/>
                <w:szCs w:val="19"/>
              </w:rPr>
              <w:t>. godine</w:t>
            </w:r>
          </w:p>
        </w:tc>
        <w:tc>
          <w:tcPr>
            <w:tcW w:w="701" w:type="pct"/>
            <w:tcBorders>
              <w:top w:val="nil"/>
              <w:left w:val="nil"/>
              <w:bottom w:val="nil"/>
              <w:right w:val="nil"/>
            </w:tcBorders>
            <w:shd w:val="clear" w:color="auto" w:fill="auto"/>
            <w:vAlign w:val="bottom"/>
          </w:tcPr>
          <w:p w14:paraId="56B693CC" w14:textId="267F21BD" w:rsidR="00481F7C" w:rsidRPr="00312975" w:rsidRDefault="00A46E9E" w:rsidP="00481F7C">
            <w:pPr>
              <w:tabs>
                <w:tab w:val="right" w:pos="1202"/>
              </w:tabs>
              <w:spacing w:after="0" w:line="240" w:lineRule="auto"/>
              <w:jc w:val="right"/>
              <w:outlineLvl w:val="0"/>
              <w:rPr>
                <w:rFonts w:eastAsia="Times New Roman" w:cs="Arial"/>
                <w:b/>
                <w:iCs/>
                <w:sz w:val="19"/>
                <w:szCs w:val="19"/>
                <w:highlight w:val="yellow"/>
              </w:rPr>
            </w:pPr>
            <w:r w:rsidRPr="00A46E9E">
              <w:rPr>
                <w:rFonts w:eastAsia="Times New Roman" w:cs="Arial"/>
                <w:b/>
                <w:iCs/>
                <w:sz w:val="19"/>
                <w:szCs w:val="19"/>
              </w:rPr>
              <w:t>6.959.632</w:t>
            </w:r>
          </w:p>
        </w:tc>
        <w:tc>
          <w:tcPr>
            <w:tcW w:w="701" w:type="pct"/>
            <w:tcBorders>
              <w:top w:val="nil"/>
              <w:left w:val="nil"/>
              <w:bottom w:val="nil"/>
              <w:right w:val="nil"/>
            </w:tcBorders>
            <w:shd w:val="clear" w:color="auto" w:fill="auto"/>
            <w:vAlign w:val="bottom"/>
          </w:tcPr>
          <w:p w14:paraId="3550F019" w14:textId="763E108C" w:rsidR="00481F7C" w:rsidRPr="00312975" w:rsidRDefault="00A46E9E" w:rsidP="00D96540">
            <w:pPr>
              <w:tabs>
                <w:tab w:val="right" w:pos="1202"/>
              </w:tabs>
              <w:spacing w:after="0" w:line="240" w:lineRule="auto"/>
              <w:jc w:val="right"/>
              <w:outlineLvl w:val="0"/>
              <w:rPr>
                <w:rFonts w:eastAsia="Times New Roman" w:cs="Arial"/>
                <w:b/>
                <w:iCs/>
                <w:sz w:val="19"/>
                <w:szCs w:val="19"/>
                <w:highlight w:val="yellow"/>
              </w:rPr>
            </w:pPr>
            <w:r w:rsidRPr="00A46E9E">
              <w:rPr>
                <w:rFonts w:eastAsia="Times New Roman" w:cs="Arial"/>
                <w:b/>
                <w:iCs/>
                <w:sz w:val="19"/>
                <w:szCs w:val="19"/>
              </w:rPr>
              <w:t>2.995.656</w:t>
            </w:r>
          </w:p>
        </w:tc>
        <w:tc>
          <w:tcPr>
            <w:tcW w:w="701" w:type="pct"/>
            <w:tcBorders>
              <w:top w:val="nil"/>
              <w:left w:val="nil"/>
              <w:bottom w:val="nil"/>
              <w:right w:val="nil"/>
            </w:tcBorders>
            <w:shd w:val="clear" w:color="auto" w:fill="auto"/>
            <w:vAlign w:val="bottom"/>
          </w:tcPr>
          <w:p w14:paraId="7D17B3A3" w14:textId="460DB03D" w:rsidR="00481F7C" w:rsidRPr="00312975" w:rsidRDefault="00A46E9E" w:rsidP="00481F7C">
            <w:pPr>
              <w:tabs>
                <w:tab w:val="right" w:pos="1202"/>
              </w:tabs>
              <w:spacing w:after="0" w:line="240" w:lineRule="auto"/>
              <w:jc w:val="right"/>
              <w:outlineLvl w:val="0"/>
              <w:rPr>
                <w:rFonts w:eastAsia="Times New Roman" w:cs="Arial"/>
                <w:b/>
                <w:iCs/>
                <w:sz w:val="19"/>
                <w:szCs w:val="19"/>
                <w:highlight w:val="yellow"/>
              </w:rPr>
            </w:pPr>
            <w:r w:rsidRPr="00A46E9E">
              <w:rPr>
                <w:rFonts w:eastAsia="Times New Roman" w:cs="Arial"/>
                <w:b/>
                <w:iCs/>
                <w:sz w:val="19"/>
                <w:szCs w:val="19"/>
              </w:rPr>
              <w:t>69.655</w:t>
            </w:r>
          </w:p>
        </w:tc>
        <w:tc>
          <w:tcPr>
            <w:tcW w:w="701" w:type="pct"/>
            <w:tcBorders>
              <w:top w:val="nil"/>
              <w:left w:val="nil"/>
              <w:bottom w:val="nil"/>
              <w:right w:val="nil"/>
            </w:tcBorders>
            <w:shd w:val="clear" w:color="auto" w:fill="auto"/>
            <w:vAlign w:val="bottom"/>
          </w:tcPr>
          <w:p w14:paraId="11537C23" w14:textId="162EE4DC" w:rsidR="00481F7C" w:rsidRPr="00312975" w:rsidRDefault="00A46E9E" w:rsidP="00481F7C">
            <w:pPr>
              <w:tabs>
                <w:tab w:val="right" w:pos="1202"/>
              </w:tabs>
              <w:spacing w:after="0" w:line="240" w:lineRule="auto"/>
              <w:jc w:val="right"/>
              <w:outlineLvl w:val="0"/>
              <w:rPr>
                <w:rFonts w:eastAsia="Times New Roman" w:cs="Arial"/>
                <w:b/>
                <w:iCs/>
                <w:sz w:val="19"/>
                <w:szCs w:val="19"/>
                <w:highlight w:val="yellow"/>
              </w:rPr>
            </w:pPr>
            <w:r w:rsidRPr="00A46E9E">
              <w:rPr>
                <w:rFonts w:eastAsia="Times New Roman" w:cs="Arial"/>
                <w:b/>
                <w:iCs/>
                <w:sz w:val="19"/>
                <w:szCs w:val="19"/>
              </w:rPr>
              <w:t>129.356</w:t>
            </w:r>
          </w:p>
        </w:tc>
        <w:tc>
          <w:tcPr>
            <w:tcW w:w="701" w:type="pct"/>
            <w:tcBorders>
              <w:top w:val="nil"/>
              <w:left w:val="nil"/>
              <w:bottom w:val="nil"/>
              <w:right w:val="nil"/>
            </w:tcBorders>
            <w:shd w:val="clear" w:color="auto" w:fill="auto"/>
            <w:vAlign w:val="bottom"/>
          </w:tcPr>
          <w:p w14:paraId="4ACE115F" w14:textId="200E9774" w:rsidR="00481F7C" w:rsidRPr="00312975" w:rsidRDefault="00A46E9E" w:rsidP="00481F7C">
            <w:pPr>
              <w:tabs>
                <w:tab w:val="right" w:pos="1202"/>
              </w:tabs>
              <w:spacing w:after="0" w:line="240" w:lineRule="auto"/>
              <w:jc w:val="right"/>
              <w:outlineLvl w:val="0"/>
              <w:rPr>
                <w:rFonts w:eastAsia="Times New Roman" w:cs="Arial"/>
                <w:b/>
                <w:iCs/>
                <w:sz w:val="19"/>
                <w:szCs w:val="19"/>
                <w:highlight w:val="yellow"/>
              </w:rPr>
            </w:pPr>
            <w:r w:rsidRPr="00A46E9E">
              <w:rPr>
                <w:rFonts w:eastAsia="Times New Roman" w:cs="Arial"/>
                <w:b/>
                <w:iCs/>
                <w:sz w:val="19"/>
                <w:szCs w:val="19"/>
              </w:rPr>
              <w:t>10.154.299</w:t>
            </w:r>
          </w:p>
        </w:tc>
      </w:tr>
      <w:tr w:rsidR="00481F7C" w:rsidRPr="00481F7C" w14:paraId="72FFD0FC" w14:textId="77777777" w:rsidTr="00312975">
        <w:trPr>
          <w:trHeight w:val="109"/>
        </w:trPr>
        <w:tc>
          <w:tcPr>
            <w:tcW w:w="1495" w:type="pct"/>
          </w:tcPr>
          <w:p w14:paraId="0834325C" w14:textId="77777777" w:rsidR="00481F7C" w:rsidRPr="00481F7C" w:rsidRDefault="00481F7C" w:rsidP="00481F7C">
            <w:pPr>
              <w:tabs>
                <w:tab w:val="right" w:pos="1202"/>
              </w:tabs>
              <w:spacing w:after="0" w:line="140" w:lineRule="exact"/>
              <w:jc w:val="right"/>
              <w:outlineLvl w:val="0"/>
              <w:rPr>
                <w:rFonts w:eastAsia="Times New Roman" w:cs="Arial"/>
                <w:iCs/>
                <w:sz w:val="19"/>
                <w:szCs w:val="19"/>
              </w:rPr>
            </w:pPr>
          </w:p>
        </w:tc>
        <w:tc>
          <w:tcPr>
            <w:tcW w:w="701" w:type="pct"/>
            <w:vAlign w:val="bottom"/>
          </w:tcPr>
          <w:p w14:paraId="557CAE77" w14:textId="77777777" w:rsidR="00481F7C" w:rsidRPr="00481F7C" w:rsidRDefault="00481F7C" w:rsidP="00481F7C">
            <w:pPr>
              <w:keepNext/>
              <w:keepLines/>
              <w:tabs>
                <w:tab w:val="decimal" w:pos="1015"/>
              </w:tabs>
              <w:spacing w:after="0"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w:t>
            </w:r>
          </w:p>
        </w:tc>
        <w:tc>
          <w:tcPr>
            <w:tcW w:w="701" w:type="pct"/>
            <w:vAlign w:val="bottom"/>
          </w:tcPr>
          <w:p w14:paraId="2B3DEA2B" w14:textId="77777777" w:rsidR="00481F7C" w:rsidRPr="00481F7C" w:rsidRDefault="00481F7C" w:rsidP="00481F7C">
            <w:pPr>
              <w:keepNext/>
              <w:keepLines/>
              <w:tabs>
                <w:tab w:val="decimal" w:pos="1015"/>
              </w:tabs>
              <w:spacing w:after="0"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w:t>
            </w:r>
          </w:p>
        </w:tc>
        <w:tc>
          <w:tcPr>
            <w:tcW w:w="701" w:type="pct"/>
            <w:vAlign w:val="bottom"/>
          </w:tcPr>
          <w:p w14:paraId="014D2C6C" w14:textId="77777777" w:rsidR="00481F7C" w:rsidRPr="00481F7C" w:rsidRDefault="00481F7C" w:rsidP="00481F7C">
            <w:pPr>
              <w:keepNext/>
              <w:keepLines/>
              <w:tabs>
                <w:tab w:val="decimal" w:pos="1015"/>
              </w:tabs>
              <w:spacing w:after="0"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w:t>
            </w:r>
          </w:p>
        </w:tc>
        <w:tc>
          <w:tcPr>
            <w:tcW w:w="701" w:type="pct"/>
            <w:vAlign w:val="bottom"/>
          </w:tcPr>
          <w:p w14:paraId="08ADD293" w14:textId="77777777" w:rsidR="00481F7C" w:rsidRPr="00481F7C" w:rsidRDefault="00481F7C" w:rsidP="00481F7C">
            <w:pPr>
              <w:keepNext/>
              <w:keepLines/>
              <w:tabs>
                <w:tab w:val="decimal" w:pos="1015"/>
              </w:tabs>
              <w:spacing w:after="0"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w:t>
            </w:r>
          </w:p>
        </w:tc>
        <w:tc>
          <w:tcPr>
            <w:tcW w:w="701" w:type="pct"/>
            <w:vAlign w:val="bottom"/>
          </w:tcPr>
          <w:p w14:paraId="0F7412BF" w14:textId="77777777" w:rsidR="00481F7C" w:rsidRPr="00481F7C" w:rsidRDefault="00481F7C" w:rsidP="00481F7C">
            <w:pPr>
              <w:keepNext/>
              <w:keepLines/>
              <w:tabs>
                <w:tab w:val="decimal" w:pos="1015"/>
              </w:tabs>
              <w:spacing w:after="0" w:line="140" w:lineRule="exact"/>
              <w:jc w:val="right"/>
              <w:rPr>
                <w:rFonts w:eastAsia="Times New Roman" w:cs="Arial"/>
                <w:b/>
                <w:position w:val="4"/>
                <w:sz w:val="19"/>
                <w:szCs w:val="19"/>
                <w:u w:val="thick"/>
              </w:rPr>
            </w:pPr>
            <w:r w:rsidRPr="00481F7C">
              <w:rPr>
                <w:rFonts w:eastAsia="Times New Roman" w:cs="Arial"/>
                <w:b/>
                <w:position w:val="4"/>
                <w:sz w:val="19"/>
                <w:szCs w:val="19"/>
                <w:u w:val="thick"/>
              </w:rPr>
              <w:t>__________</w:t>
            </w:r>
          </w:p>
        </w:tc>
      </w:tr>
    </w:tbl>
    <w:p w14:paraId="23AB74FD" w14:textId="77777777" w:rsidR="00D91F7F" w:rsidRDefault="00D91F7F" w:rsidP="00C4266C">
      <w:pPr>
        <w:spacing w:after="0" w:line="240" w:lineRule="auto"/>
        <w:rPr>
          <w:sz w:val="24"/>
          <w:szCs w:val="24"/>
        </w:rPr>
      </w:pPr>
    </w:p>
    <w:p w14:paraId="03B3CE47" w14:textId="77777777" w:rsidR="00810883" w:rsidRDefault="00810883" w:rsidP="00C4266C">
      <w:pPr>
        <w:spacing w:after="0" w:line="240" w:lineRule="auto"/>
        <w:rPr>
          <w:sz w:val="24"/>
          <w:szCs w:val="24"/>
        </w:rPr>
      </w:pPr>
    </w:p>
    <w:p w14:paraId="23FD2E65" w14:textId="77777777" w:rsidR="00EC1B73" w:rsidRDefault="00EC1B73" w:rsidP="00C4266C">
      <w:pPr>
        <w:spacing w:after="0" w:line="240" w:lineRule="auto"/>
        <w:rPr>
          <w:sz w:val="24"/>
          <w:szCs w:val="24"/>
        </w:rPr>
      </w:pPr>
    </w:p>
    <w:p w14:paraId="42E99FCC" w14:textId="77777777" w:rsidR="00810883" w:rsidRPr="00C66644" w:rsidRDefault="00810883" w:rsidP="00810883">
      <w:pPr>
        <w:pStyle w:val="T1"/>
        <w:keepNext w:val="0"/>
        <w:spacing w:before="0" w:after="0" w:line="240" w:lineRule="auto"/>
        <w:rPr>
          <w:rFonts w:asciiTheme="minorHAnsi" w:hAnsiTheme="minorHAnsi" w:cs="Arial"/>
          <w:b w:val="0"/>
          <w:bCs w:val="0"/>
          <w:sz w:val="22"/>
          <w:szCs w:val="22"/>
          <w:lang w:val="hr-HR"/>
        </w:rPr>
      </w:pPr>
      <w:r w:rsidRPr="00087E03">
        <w:rPr>
          <w:rFonts w:asciiTheme="minorHAnsi" w:hAnsiTheme="minorHAnsi" w:cs="Arial"/>
          <w:b w:val="0"/>
          <w:bCs w:val="0"/>
          <w:sz w:val="22"/>
          <w:szCs w:val="22"/>
          <w:lang w:val="hr-HR"/>
        </w:rPr>
        <w:t>Priložene bilješke uz financijske izvještaje sastavni su dio ovog izvještaja o promjenama na kapitalu</w:t>
      </w:r>
      <w:r w:rsidRPr="00087E03">
        <w:rPr>
          <w:rFonts w:asciiTheme="minorHAnsi" w:hAnsiTheme="minorHAnsi"/>
          <w:b w:val="0"/>
          <w:bCs w:val="0"/>
          <w:sz w:val="22"/>
          <w:szCs w:val="22"/>
          <w:lang w:val="hr-HR"/>
        </w:rPr>
        <w:t>.</w:t>
      </w:r>
    </w:p>
    <w:p w14:paraId="17A43D6A" w14:textId="77777777" w:rsidR="00810883" w:rsidRPr="00CA37C8" w:rsidRDefault="00810883" w:rsidP="00C4266C">
      <w:pPr>
        <w:spacing w:after="0" w:line="240" w:lineRule="auto"/>
        <w:rPr>
          <w:sz w:val="24"/>
          <w:szCs w:val="24"/>
        </w:rPr>
      </w:pPr>
    </w:p>
    <w:p w14:paraId="12D4B8FE" w14:textId="77777777" w:rsidR="00C97A45" w:rsidRPr="00CA37C8" w:rsidRDefault="00C97A45" w:rsidP="00C4266C">
      <w:pPr>
        <w:spacing w:after="0" w:line="240" w:lineRule="auto"/>
        <w:rPr>
          <w:rFonts w:eastAsia="Times New Roman" w:cs="Arial"/>
          <w:bCs/>
          <w:sz w:val="24"/>
          <w:szCs w:val="24"/>
        </w:rPr>
        <w:sectPr w:rsidR="00C97A45" w:rsidRPr="00CA37C8" w:rsidSect="00305343">
          <w:headerReference w:type="first" r:id="rId45"/>
          <w:footerReference w:type="first" r:id="rId46"/>
          <w:pgSz w:w="11906" w:h="16838" w:code="9"/>
          <w:pgMar w:top="1276" w:right="1133" w:bottom="1417" w:left="1417" w:header="709" w:footer="709" w:gutter="0"/>
          <w:cols w:space="708"/>
          <w:titlePg/>
          <w:docGrid w:linePitch="360"/>
        </w:sectPr>
      </w:pPr>
    </w:p>
    <w:p w14:paraId="05C9A592" w14:textId="77777777" w:rsidR="00FB78E7" w:rsidRDefault="00FB78E7" w:rsidP="00FB78E7">
      <w:pPr>
        <w:pStyle w:val="ListParagraph"/>
        <w:tabs>
          <w:tab w:val="left" w:pos="-720"/>
        </w:tabs>
        <w:suppressAutoHyphens/>
        <w:spacing w:after="0" w:line="240" w:lineRule="auto"/>
        <w:ind w:left="425"/>
        <w:rPr>
          <w:rFonts w:eastAsia="Times New Roman" w:cs="Calibri"/>
          <w:b/>
          <w:spacing w:val="-3"/>
          <w:lang w:eastAsia="hr-HR"/>
        </w:rPr>
      </w:pPr>
    </w:p>
    <w:p w14:paraId="23E1757B" w14:textId="5F1EB3FC" w:rsidR="008B38E6" w:rsidRPr="0038086E" w:rsidRDefault="0038086E" w:rsidP="0038086E">
      <w:pPr>
        <w:tabs>
          <w:tab w:val="left" w:pos="-720"/>
          <w:tab w:val="left" w:pos="546"/>
        </w:tabs>
        <w:suppressAutoHyphens/>
        <w:spacing w:after="0" w:line="240" w:lineRule="auto"/>
        <w:rPr>
          <w:rFonts w:eastAsia="Times New Roman" w:cs="Calibri"/>
          <w:b/>
          <w:spacing w:val="-3"/>
          <w:lang w:eastAsia="hr-HR"/>
        </w:rPr>
      </w:pPr>
      <w:r>
        <w:rPr>
          <w:rFonts w:eastAsia="Times New Roman" w:cs="Calibri"/>
          <w:b/>
          <w:spacing w:val="-3"/>
          <w:lang w:eastAsia="hr-HR"/>
        </w:rPr>
        <w:t>1.</w:t>
      </w:r>
      <w:r>
        <w:rPr>
          <w:rFonts w:eastAsia="Times New Roman" w:cs="Calibri"/>
          <w:b/>
          <w:spacing w:val="-3"/>
          <w:lang w:eastAsia="hr-HR"/>
        </w:rPr>
        <w:tab/>
      </w:r>
      <w:r w:rsidR="00B0623A" w:rsidRPr="0038086E">
        <w:rPr>
          <w:rFonts w:eastAsia="Times New Roman" w:cs="Calibri"/>
          <w:b/>
          <w:spacing w:val="-3"/>
          <w:lang w:eastAsia="hr-HR"/>
        </w:rPr>
        <w:t>Opći podaci</w:t>
      </w:r>
    </w:p>
    <w:p w14:paraId="1B64C64E" w14:textId="77777777" w:rsidR="00FB78E7" w:rsidRPr="00876425" w:rsidRDefault="00FB78E7" w:rsidP="00FB78E7">
      <w:pPr>
        <w:pStyle w:val="ListParagraph"/>
        <w:tabs>
          <w:tab w:val="left" w:pos="-720"/>
        </w:tabs>
        <w:suppressAutoHyphens/>
        <w:spacing w:after="0" w:line="240" w:lineRule="auto"/>
        <w:ind w:left="425"/>
        <w:rPr>
          <w:rFonts w:eastAsia="Times New Roman" w:cs="Calibri"/>
          <w:b/>
          <w:spacing w:val="-3"/>
          <w:lang w:eastAsia="hr-HR"/>
        </w:rPr>
      </w:pPr>
    </w:p>
    <w:p w14:paraId="041850EB" w14:textId="77777777" w:rsidR="00B779AD" w:rsidRDefault="00B779AD" w:rsidP="00F1130C">
      <w:pPr>
        <w:tabs>
          <w:tab w:val="left" w:pos="426"/>
        </w:tabs>
        <w:spacing w:after="0" w:line="240" w:lineRule="auto"/>
        <w:jc w:val="both"/>
        <w:rPr>
          <w:rFonts w:eastAsia="Times New Roman" w:cs="Arial"/>
          <w:b/>
          <w:lang w:eastAsia="hr-HR"/>
        </w:rPr>
      </w:pPr>
      <w:r w:rsidRPr="00876425">
        <w:rPr>
          <w:rFonts w:eastAsia="Times New Roman" w:cs="Arial"/>
          <w:b/>
          <w:lang w:eastAsia="hr-HR"/>
        </w:rPr>
        <w:t>1.1.</w:t>
      </w:r>
      <w:r w:rsidR="007B783A">
        <w:rPr>
          <w:rFonts w:eastAsia="Times New Roman" w:cs="Arial"/>
          <w:b/>
          <w:lang w:eastAsia="hr-HR"/>
        </w:rPr>
        <w:tab/>
      </w:r>
      <w:r w:rsidRPr="00876425">
        <w:rPr>
          <w:rFonts w:eastAsia="Times New Roman" w:cs="Arial"/>
          <w:b/>
          <w:lang w:eastAsia="hr-HR"/>
        </w:rPr>
        <w:t>Grupa:</w:t>
      </w:r>
    </w:p>
    <w:p w14:paraId="33E4EBCA" w14:textId="77777777" w:rsidR="00FB78E7" w:rsidRPr="00876425" w:rsidRDefault="00FB78E7" w:rsidP="00FB78E7">
      <w:pPr>
        <w:spacing w:after="0" w:line="240" w:lineRule="auto"/>
        <w:jc w:val="both"/>
        <w:rPr>
          <w:rFonts w:eastAsia="Times New Roman" w:cs="Arial"/>
          <w:b/>
          <w:lang w:eastAsia="hr-HR"/>
        </w:rPr>
      </w:pPr>
    </w:p>
    <w:p w14:paraId="7036627F" w14:textId="77777777" w:rsidR="00B779AD" w:rsidRPr="00876425" w:rsidRDefault="00B779AD" w:rsidP="00FB78E7">
      <w:pPr>
        <w:keepNext/>
        <w:tabs>
          <w:tab w:val="left" w:pos="567"/>
          <w:tab w:val="left" w:pos="1470"/>
        </w:tabs>
        <w:spacing w:after="0" w:line="240" w:lineRule="auto"/>
        <w:jc w:val="both"/>
        <w:outlineLvl w:val="0"/>
        <w:rPr>
          <w:rFonts w:eastAsia="Times New Roman" w:cs="Arial"/>
          <w:bCs/>
          <w:spacing w:val="-3"/>
        </w:rPr>
      </w:pPr>
      <w:r w:rsidRPr="00876425">
        <w:rPr>
          <w:rFonts w:eastAsia="Times New Roman" w:cs="Arial"/>
          <w:bCs/>
          <w:spacing w:val="-3"/>
        </w:rPr>
        <w:t xml:space="preserve">Hrvatska banka za obnovu i razvitak („HBOR“ ili „Banka“) je matično društvo Grupe Hrvatska banka za obnovu i razvitak („Grupa“) koja posluje u Republici Hrvatskoj. Grupa obavlja u najvećem obimu bankarsko poslovanje, a u manjem </w:t>
      </w:r>
      <w:proofErr w:type="spellStart"/>
      <w:r w:rsidRPr="00876425">
        <w:rPr>
          <w:rFonts w:eastAsia="Times New Roman" w:cs="Arial"/>
          <w:bCs/>
          <w:spacing w:val="-3"/>
        </w:rPr>
        <w:t>osiguravateljske</w:t>
      </w:r>
      <w:proofErr w:type="spellEnd"/>
      <w:r w:rsidRPr="00876425">
        <w:rPr>
          <w:rFonts w:eastAsia="Times New Roman" w:cs="Arial"/>
          <w:bCs/>
          <w:spacing w:val="-3"/>
        </w:rPr>
        <w:t xml:space="preserve"> aktivnosti te procjenu kreditnih rizika. Ovi financijski izvješ</w:t>
      </w:r>
      <w:r w:rsidR="00640198">
        <w:rPr>
          <w:rFonts w:eastAsia="Times New Roman" w:cs="Arial"/>
          <w:bCs/>
          <w:spacing w:val="-3"/>
        </w:rPr>
        <w:t>taji obuhvaćaju nekonsolidirane</w:t>
      </w:r>
      <w:r w:rsidRPr="00876425">
        <w:rPr>
          <w:rFonts w:eastAsia="Times New Roman" w:cs="Arial"/>
          <w:bCs/>
          <w:spacing w:val="-3"/>
        </w:rPr>
        <w:t xml:space="preserve"> i konsolidirane financijske izvještaje Banke i Grupe.</w:t>
      </w:r>
    </w:p>
    <w:p w14:paraId="716D923A" w14:textId="77777777" w:rsidR="00FB78E7" w:rsidRDefault="00FB78E7" w:rsidP="00FB78E7">
      <w:pPr>
        <w:keepNext/>
        <w:spacing w:after="0" w:line="240" w:lineRule="auto"/>
        <w:jc w:val="both"/>
        <w:rPr>
          <w:rFonts w:eastAsia="Times New Roman" w:cs="Arial"/>
        </w:rPr>
      </w:pPr>
    </w:p>
    <w:p w14:paraId="138FB116" w14:textId="77777777" w:rsidR="00B779AD" w:rsidRPr="00876425" w:rsidRDefault="00B779AD" w:rsidP="00FB78E7">
      <w:pPr>
        <w:keepNext/>
        <w:spacing w:after="0" w:line="240" w:lineRule="auto"/>
        <w:jc w:val="both"/>
        <w:rPr>
          <w:rFonts w:eastAsia="Times New Roman" w:cs="Arial"/>
        </w:rPr>
      </w:pPr>
      <w:r w:rsidRPr="00876425">
        <w:rPr>
          <w:rFonts w:eastAsia="Times New Roman" w:cs="Arial"/>
        </w:rPr>
        <w:t>Sjedište Banke je u Zagrebu, Strossmayerov trg 9, Zagreb, Hrvatska.</w:t>
      </w:r>
    </w:p>
    <w:p w14:paraId="0A894FC5" w14:textId="77777777" w:rsidR="00FB78E7" w:rsidRDefault="00FB78E7" w:rsidP="00FB78E7">
      <w:pPr>
        <w:spacing w:after="0" w:line="240" w:lineRule="auto"/>
        <w:jc w:val="both"/>
        <w:rPr>
          <w:rFonts w:eastAsia="Times New Roman" w:cs="Arial"/>
        </w:rPr>
      </w:pPr>
    </w:p>
    <w:p w14:paraId="50C5E393" w14:textId="77777777" w:rsidR="00B779AD" w:rsidRDefault="00B779AD" w:rsidP="00FB78E7">
      <w:pPr>
        <w:spacing w:after="0" w:line="240" w:lineRule="auto"/>
        <w:jc w:val="both"/>
        <w:rPr>
          <w:rFonts w:eastAsia="Times New Roman" w:cs="Arial"/>
        </w:rPr>
      </w:pPr>
      <w:r w:rsidRPr="00876425">
        <w:rPr>
          <w:rFonts w:eastAsia="Times New Roman" w:cs="Arial"/>
        </w:rPr>
        <w:t xml:space="preserve">Grupa je formirana tijekom 2010. godine, a ovisna društva Banke su Hrvatsko kreditno osiguranje d.d. i Poslovni info servis d.o.o. koji čine Grupu Hrvatsko kreditno osiguranje („Grupa HKO“). </w:t>
      </w:r>
    </w:p>
    <w:p w14:paraId="52B86248" w14:textId="77777777" w:rsidR="00EA4AEE" w:rsidRPr="00876425" w:rsidRDefault="00EA4AEE" w:rsidP="00FB78E7">
      <w:pPr>
        <w:spacing w:after="0" w:line="240" w:lineRule="auto"/>
        <w:jc w:val="both"/>
        <w:rPr>
          <w:rFonts w:eastAsia="Times New Roman" w:cs="Arial"/>
        </w:rPr>
      </w:pPr>
    </w:p>
    <w:p w14:paraId="069F42DF" w14:textId="77777777" w:rsidR="00B81E3B" w:rsidRPr="00876425" w:rsidRDefault="00B81E3B" w:rsidP="00FB78E7">
      <w:pPr>
        <w:spacing w:after="0" w:line="240" w:lineRule="auto"/>
        <w:jc w:val="both"/>
        <w:rPr>
          <w:rFonts w:cs="Arial"/>
        </w:rPr>
      </w:pPr>
      <w:r w:rsidRPr="00876425">
        <w:rPr>
          <w:rFonts w:cs="Calibri"/>
        </w:rPr>
        <w:t>Hrvatska banka za obnovu i razvitak je 100%-</w:t>
      </w:r>
      <w:proofErr w:type="spellStart"/>
      <w:r w:rsidRPr="00876425">
        <w:rPr>
          <w:rFonts w:cs="Calibri"/>
        </w:rPr>
        <w:t>tni</w:t>
      </w:r>
      <w:proofErr w:type="spellEnd"/>
      <w:r w:rsidRPr="00876425">
        <w:rPr>
          <w:rFonts w:cs="Calibri"/>
        </w:rPr>
        <w:t xml:space="preserve"> vlasnik HKO-a.</w:t>
      </w:r>
    </w:p>
    <w:p w14:paraId="26D508E7" w14:textId="77777777" w:rsidR="00FB78E7" w:rsidRDefault="00FB78E7" w:rsidP="00FB78E7">
      <w:pPr>
        <w:spacing w:after="0" w:line="240" w:lineRule="auto"/>
        <w:jc w:val="both"/>
        <w:rPr>
          <w:rFonts w:eastAsia="Times New Roman" w:cs="Arial"/>
        </w:rPr>
      </w:pPr>
    </w:p>
    <w:p w14:paraId="55C35FFB" w14:textId="77777777" w:rsidR="00B779AD" w:rsidRPr="00876425" w:rsidRDefault="00B779AD" w:rsidP="00FB78E7">
      <w:pPr>
        <w:spacing w:after="0" w:line="240" w:lineRule="auto"/>
        <w:jc w:val="both"/>
        <w:rPr>
          <w:rFonts w:eastAsia="Times New Roman" w:cs="Arial"/>
        </w:rPr>
      </w:pPr>
      <w:r w:rsidRPr="00876425">
        <w:rPr>
          <w:rFonts w:eastAsia="Times New Roman" w:cs="Arial"/>
        </w:rPr>
        <w:t>Sjedište Grupe HKO je u Zagrebu, Bednjanska 12.</w:t>
      </w:r>
    </w:p>
    <w:p w14:paraId="434606C3" w14:textId="77777777" w:rsidR="00FB78E7" w:rsidRDefault="00FB78E7" w:rsidP="00FB78E7">
      <w:pPr>
        <w:keepNext/>
        <w:spacing w:after="0" w:line="240" w:lineRule="auto"/>
        <w:jc w:val="both"/>
        <w:rPr>
          <w:rFonts w:eastAsia="Times New Roman" w:cs="Arial"/>
        </w:rPr>
      </w:pPr>
    </w:p>
    <w:p w14:paraId="707E33DD" w14:textId="14659E7E" w:rsidR="00B779AD" w:rsidRDefault="00B779AD" w:rsidP="00FB78E7">
      <w:pPr>
        <w:keepNext/>
        <w:spacing w:after="0" w:line="240" w:lineRule="auto"/>
        <w:jc w:val="both"/>
        <w:rPr>
          <w:rFonts w:eastAsia="Times New Roman" w:cs="Arial"/>
        </w:rPr>
      </w:pPr>
      <w:r w:rsidRPr="00726744">
        <w:rPr>
          <w:rFonts w:eastAsia="Times New Roman" w:cs="Arial"/>
        </w:rPr>
        <w:t xml:space="preserve">Na dan </w:t>
      </w:r>
      <w:r w:rsidR="00932654">
        <w:rPr>
          <w:rFonts w:eastAsia="Times New Roman" w:cs="Arial"/>
        </w:rPr>
        <w:t>30</w:t>
      </w:r>
      <w:r w:rsidR="007E5F1B">
        <w:rPr>
          <w:rFonts w:eastAsia="Times New Roman" w:cs="Arial"/>
        </w:rPr>
        <w:t xml:space="preserve">. </w:t>
      </w:r>
      <w:r w:rsidR="00932654">
        <w:rPr>
          <w:rFonts w:eastAsia="Times New Roman" w:cs="Arial"/>
        </w:rPr>
        <w:t>lipnja</w:t>
      </w:r>
      <w:r w:rsidRPr="00726744">
        <w:rPr>
          <w:rFonts w:eastAsia="Times New Roman" w:cs="Arial"/>
        </w:rPr>
        <w:t xml:space="preserve"> </w:t>
      </w:r>
      <w:r w:rsidR="00333C6F" w:rsidRPr="00726744">
        <w:rPr>
          <w:rFonts w:eastAsia="Times New Roman" w:cs="Arial"/>
        </w:rPr>
        <w:t>201</w:t>
      </w:r>
      <w:r w:rsidR="007E5F1B">
        <w:rPr>
          <w:rFonts w:eastAsia="Times New Roman" w:cs="Arial"/>
        </w:rPr>
        <w:t>7</w:t>
      </w:r>
      <w:r w:rsidRPr="00726744">
        <w:rPr>
          <w:rFonts w:eastAsia="Times New Roman" w:cs="Arial"/>
        </w:rPr>
        <w:t xml:space="preserve">. godine Grupa ima </w:t>
      </w:r>
      <w:r w:rsidR="009A3785">
        <w:rPr>
          <w:rFonts w:eastAsia="Times New Roman" w:cs="Arial"/>
        </w:rPr>
        <w:t>377</w:t>
      </w:r>
      <w:r w:rsidR="009A3785" w:rsidRPr="00726744">
        <w:rPr>
          <w:rFonts w:eastAsia="Times New Roman" w:cs="Arial"/>
        </w:rPr>
        <w:t xml:space="preserve"> </w:t>
      </w:r>
      <w:r w:rsidRPr="00726744">
        <w:rPr>
          <w:rFonts w:eastAsia="Times New Roman" w:cs="Arial"/>
        </w:rPr>
        <w:t>zaposlenika (</w:t>
      </w:r>
      <w:r w:rsidR="00932654">
        <w:rPr>
          <w:rFonts w:eastAsia="Times New Roman" w:cs="Arial"/>
        </w:rPr>
        <w:t>30</w:t>
      </w:r>
      <w:r w:rsidR="007E5F1B">
        <w:rPr>
          <w:rFonts w:eastAsia="Times New Roman" w:cs="Arial"/>
        </w:rPr>
        <w:t xml:space="preserve">. </w:t>
      </w:r>
      <w:r w:rsidR="00932654">
        <w:rPr>
          <w:rFonts w:eastAsia="Times New Roman" w:cs="Arial"/>
        </w:rPr>
        <w:t>lipnja</w:t>
      </w:r>
      <w:r w:rsidR="00932654" w:rsidRPr="00726744">
        <w:rPr>
          <w:rFonts w:eastAsia="Times New Roman" w:cs="Arial"/>
        </w:rPr>
        <w:t xml:space="preserve"> </w:t>
      </w:r>
      <w:r w:rsidR="00333C6F" w:rsidRPr="00726744">
        <w:rPr>
          <w:rFonts w:eastAsia="Times New Roman" w:cs="Arial"/>
        </w:rPr>
        <w:t>201</w:t>
      </w:r>
      <w:r w:rsidR="007E5F1B">
        <w:rPr>
          <w:rFonts w:eastAsia="Times New Roman" w:cs="Arial"/>
        </w:rPr>
        <w:t>6</w:t>
      </w:r>
      <w:r w:rsidRPr="00726744">
        <w:rPr>
          <w:rFonts w:eastAsia="Times New Roman" w:cs="Arial"/>
        </w:rPr>
        <w:t xml:space="preserve">. godine bilo </w:t>
      </w:r>
      <w:r w:rsidRPr="009A3785">
        <w:rPr>
          <w:rFonts w:eastAsia="Times New Roman" w:cs="Arial"/>
        </w:rPr>
        <w:t xml:space="preserve">je </w:t>
      </w:r>
      <w:r w:rsidR="00932654" w:rsidRPr="009A3785">
        <w:rPr>
          <w:rFonts w:eastAsia="Times New Roman" w:cs="Arial"/>
        </w:rPr>
        <w:t>358</w:t>
      </w:r>
      <w:r w:rsidR="00333C6F" w:rsidRPr="00F36B3F">
        <w:rPr>
          <w:rFonts w:eastAsia="Times New Roman" w:cs="Arial"/>
        </w:rPr>
        <w:t xml:space="preserve"> </w:t>
      </w:r>
      <w:r w:rsidRPr="00F36B3F">
        <w:rPr>
          <w:rFonts w:eastAsia="Times New Roman" w:cs="Arial"/>
        </w:rPr>
        <w:t>zaposlenika).</w:t>
      </w:r>
    </w:p>
    <w:p w14:paraId="34989B00" w14:textId="77777777" w:rsidR="00DC4CDD" w:rsidRPr="00876425" w:rsidRDefault="00DC4CDD" w:rsidP="00FB78E7">
      <w:pPr>
        <w:keepNext/>
        <w:spacing w:after="0" w:line="240" w:lineRule="auto"/>
        <w:jc w:val="both"/>
        <w:rPr>
          <w:rFonts w:eastAsia="Times New Roman" w:cs="Arial"/>
        </w:rPr>
      </w:pPr>
    </w:p>
    <w:p w14:paraId="5D7F1043" w14:textId="77777777" w:rsidR="00B779AD" w:rsidRDefault="00B779AD" w:rsidP="00F1130C">
      <w:pPr>
        <w:tabs>
          <w:tab w:val="left" w:pos="426"/>
        </w:tabs>
        <w:spacing w:after="0" w:line="240" w:lineRule="auto"/>
        <w:jc w:val="both"/>
        <w:rPr>
          <w:rFonts w:eastAsia="Times New Roman" w:cs="Arial"/>
          <w:b/>
          <w:lang w:eastAsia="hr-HR"/>
        </w:rPr>
      </w:pPr>
      <w:r w:rsidRPr="00876425">
        <w:rPr>
          <w:rFonts w:eastAsia="Times New Roman" w:cs="Arial"/>
          <w:b/>
          <w:lang w:eastAsia="hr-HR"/>
        </w:rPr>
        <w:t xml:space="preserve">1.2. </w:t>
      </w:r>
      <w:r w:rsidR="007B783A">
        <w:rPr>
          <w:rFonts w:eastAsia="Times New Roman" w:cs="Arial"/>
          <w:b/>
          <w:lang w:eastAsia="hr-HR"/>
        </w:rPr>
        <w:tab/>
      </w:r>
      <w:r w:rsidRPr="00876425">
        <w:rPr>
          <w:rFonts w:eastAsia="Times New Roman" w:cs="Arial"/>
          <w:b/>
          <w:lang w:eastAsia="hr-HR"/>
        </w:rPr>
        <w:t>Banka:</w:t>
      </w:r>
    </w:p>
    <w:p w14:paraId="6E9FBC32" w14:textId="77777777" w:rsidR="00FB78E7" w:rsidRPr="00876425" w:rsidRDefault="00FB78E7" w:rsidP="00FB78E7">
      <w:pPr>
        <w:spacing w:after="0" w:line="240" w:lineRule="auto"/>
        <w:jc w:val="both"/>
        <w:rPr>
          <w:rFonts w:eastAsia="Times New Roman" w:cs="Arial"/>
          <w:b/>
          <w:lang w:eastAsia="hr-HR"/>
        </w:rPr>
      </w:pPr>
    </w:p>
    <w:p w14:paraId="0103AC8D" w14:textId="77777777" w:rsidR="00B779AD" w:rsidRPr="00876425" w:rsidRDefault="00B779AD" w:rsidP="00FB78E7">
      <w:pPr>
        <w:keepNext/>
        <w:spacing w:after="0" w:line="240" w:lineRule="auto"/>
        <w:jc w:val="both"/>
        <w:rPr>
          <w:rFonts w:eastAsia="Times New Roman" w:cs="Arial"/>
          <w:b/>
          <w:bCs/>
        </w:rPr>
      </w:pPr>
      <w:r w:rsidRPr="00876425">
        <w:rPr>
          <w:rFonts w:eastAsia="Times New Roman" w:cs="Arial"/>
        </w:rPr>
        <w:t xml:space="preserve">Hrvatska banka za obnovu i razvitak </w:t>
      </w:r>
      <w:r w:rsidRPr="00EF27CE">
        <w:rPr>
          <w:rFonts w:eastAsia="Times New Roman" w:cs="Arial"/>
        </w:rPr>
        <w:t>(</w:t>
      </w:r>
      <w:r w:rsidRPr="00F1130C">
        <w:rPr>
          <w:rFonts w:eastAsia="Times New Roman" w:cs="Arial"/>
          <w:bCs/>
        </w:rPr>
        <w:t>„</w:t>
      </w:r>
      <w:r w:rsidRPr="00EF27CE">
        <w:rPr>
          <w:rFonts w:eastAsia="Times New Roman" w:cs="Arial"/>
        </w:rPr>
        <w:t>HBOR</w:t>
      </w:r>
      <w:r w:rsidRPr="00F1130C">
        <w:rPr>
          <w:rFonts w:eastAsia="Times New Roman" w:cs="Arial"/>
          <w:bCs/>
        </w:rPr>
        <w:t>“</w:t>
      </w:r>
      <w:r w:rsidRPr="00EF27CE">
        <w:rPr>
          <w:rFonts w:eastAsia="Times New Roman" w:cs="Arial"/>
        </w:rPr>
        <w:t xml:space="preserve"> ili </w:t>
      </w:r>
      <w:r w:rsidRPr="00F1130C">
        <w:rPr>
          <w:rFonts w:eastAsia="Times New Roman" w:cs="Arial"/>
          <w:bCs/>
        </w:rPr>
        <w:t>„</w:t>
      </w:r>
      <w:r w:rsidRPr="00EF27CE">
        <w:rPr>
          <w:rFonts w:eastAsia="Times New Roman" w:cs="Arial"/>
        </w:rPr>
        <w:t>Banka</w:t>
      </w:r>
      <w:r w:rsidRPr="00F1130C">
        <w:rPr>
          <w:rFonts w:eastAsia="Times New Roman" w:cs="Arial"/>
          <w:bCs/>
        </w:rPr>
        <w:t>“</w:t>
      </w:r>
      <w:r w:rsidRPr="00EF27CE">
        <w:rPr>
          <w:rFonts w:eastAsia="Times New Roman" w:cs="Arial"/>
        </w:rPr>
        <w:t>)</w:t>
      </w:r>
      <w:r w:rsidRPr="00876425">
        <w:rPr>
          <w:rFonts w:eastAsia="Times New Roman" w:cs="Arial"/>
        </w:rPr>
        <w:t xml:space="preserve"> osnovana je 12. lipnja 1992. godine donošenjem Zakona o Hrvatskoj kreditnoj banci za obnovu (HKBO). U prosincu 1995. godine, Banka mijenja naziv u Hrvatska banka za obnovu i razvitak. Osnivač i 100%-</w:t>
      </w:r>
      <w:proofErr w:type="spellStart"/>
      <w:r w:rsidRPr="00876425">
        <w:rPr>
          <w:rFonts w:eastAsia="Times New Roman" w:cs="Arial"/>
        </w:rPr>
        <w:t>tni</w:t>
      </w:r>
      <w:proofErr w:type="spellEnd"/>
      <w:r w:rsidRPr="00876425">
        <w:rPr>
          <w:rFonts w:eastAsia="Times New Roman" w:cs="Arial"/>
        </w:rPr>
        <w:t xml:space="preserve"> vlasnik HBOR-a je Republika Hrvatska. </w:t>
      </w:r>
    </w:p>
    <w:p w14:paraId="04FF3D5F" w14:textId="77777777" w:rsidR="00FB78E7" w:rsidRDefault="00FB78E7" w:rsidP="00FB78E7">
      <w:pPr>
        <w:spacing w:after="0" w:line="240" w:lineRule="auto"/>
        <w:jc w:val="both"/>
        <w:rPr>
          <w:rFonts w:eastAsia="Times New Roman" w:cs="Arial"/>
          <w:lang w:eastAsia="hr-HR"/>
        </w:rPr>
      </w:pPr>
    </w:p>
    <w:p w14:paraId="4EE21611" w14:textId="77777777" w:rsidR="00D03035" w:rsidRPr="00876425" w:rsidRDefault="00B779AD" w:rsidP="00FB78E7">
      <w:pPr>
        <w:spacing w:after="0" w:line="240" w:lineRule="auto"/>
        <w:jc w:val="both"/>
        <w:rPr>
          <w:rFonts w:eastAsia="Times New Roman" w:cs="Arial"/>
          <w:lang w:eastAsia="hr-HR"/>
        </w:rPr>
      </w:pPr>
      <w:r w:rsidRPr="00876425">
        <w:rPr>
          <w:rFonts w:eastAsia="Times New Roman" w:cs="Arial"/>
          <w:lang w:eastAsia="hr-HR"/>
        </w:rPr>
        <w:t>Republika Hrvatska jamči za obveze Hrvatske banke za obnovu i razvitak bezuvjetno, neopozivo i na prvi poziv te bez izdav</w:t>
      </w:r>
      <w:r w:rsidR="00D03035" w:rsidRPr="00876425">
        <w:rPr>
          <w:rFonts w:eastAsia="Times New Roman" w:cs="Arial"/>
          <w:lang w:eastAsia="hr-HR"/>
        </w:rPr>
        <w:t>anja posebne jamstvene isprave</w:t>
      </w:r>
      <w:r w:rsidR="00607BFB">
        <w:rPr>
          <w:rFonts w:eastAsia="Times New Roman" w:cs="Arial"/>
          <w:lang w:eastAsia="hr-HR"/>
        </w:rPr>
        <w:t>.</w:t>
      </w:r>
    </w:p>
    <w:p w14:paraId="5275641F" w14:textId="77777777" w:rsidR="00D03035" w:rsidRPr="00876425" w:rsidRDefault="00D03035" w:rsidP="00FB78E7">
      <w:pPr>
        <w:spacing w:after="0" w:line="240" w:lineRule="auto"/>
        <w:jc w:val="both"/>
        <w:rPr>
          <w:rFonts w:eastAsia="Times New Roman" w:cs="Arial"/>
          <w:b/>
          <w:lang w:eastAsia="hr-HR"/>
        </w:rPr>
      </w:pPr>
      <w:r w:rsidRPr="00876425">
        <w:rPr>
          <w:rFonts w:eastAsia="Times New Roman" w:cs="Arial"/>
          <w:lang w:eastAsia="hr-HR"/>
        </w:rPr>
        <w:t>Odgovornost Republike Hrvatske kao jamca za obveze HBOR-a je solidarna i neograničena.</w:t>
      </w:r>
    </w:p>
    <w:p w14:paraId="7C8EE0F6" w14:textId="77777777" w:rsidR="00FB78E7" w:rsidRDefault="00FB78E7" w:rsidP="00FB78E7">
      <w:pPr>
        <w:spacing w:after="0" w:line="240" w:lineRule="auto"/>
        <w:jc w:val="both"/>
        <w:rPr>
          <w:rFonts w:eastAsia="Times New Roman" w:cs="Arial"/>
          <w:lang w:eastAsia="hr-HR"/>
        </w:rPr>
      </w:pPr>
    </w:p>
    <w:p w14:paraId="10592632" w14:textId="77777777" w:rsidR="007A46AD" w:rsidRDefault="00D03035" w:rsidP="00007FC2">
      <w:pPr>
        <w:spacing w:after="0" w:line="240" w:lineRule="auto"/>
        <w:jc w:val="both"/>
        <w:rPr>
          <w:rFonts w:eastAsia="Times New Roman" w:cs="Arial"/>
          <w:i/>
        </w:rPr>
      </w:pPr>
      <w:r w:rsidRPr="00876425">
        <w:rPr>
          <w:rFonts w:eastAsia="Times New Roman" w:cs="Arial"/>
          <w:lang w:eastAsia="hr-HR"/>
        </w:rPr>
        <w:t>Zakonom o HBOR-u</w:t>
      </w:r>
      <w:r w:rsidRPr="00876425">
        <w:rPr>
          <w:rFonts w:eastAsia="Times New Roman" w:cs="Arial"/>
          <w:b/>
          <w:lang w:eastAsia="hr-HR"/>
        </w:rPr>
        <w:t xml:space="preserve"> </w:t>
      </w:r>
      <w:r w:rsidRPr="00876425">
        <w:rPr>
          <w:rFonts w:eastAsia="Times New Roman" w:cs="Arial"/>
          <w:lang w:eastAsia="hr-HR"/>
        </w:rPr>
        <w:t xml:space="preserve">iz prosinca 2006. godine temeljni kapital HBOR-a utvrđen je u visini od 7 milijardi kuna čija se dinamika uplate za pojedinu godinu utvrđuje državnim proračunom. </w:t>
      </w:r>
    </w:p>
    <w:p w14:paraId="471B0423" w14:textId="77777777" w:rsidR="00FB0AAD" w:rsidRDefault="00FB0AAD" w:rsidP="00007FC2">
      <w:pPr>
        <w:spacing w:after="0" w:line="240" w:lineRule="auto"/>
        <w:jc w:val="both"/>
        <w:rPr>
          <w:rFonts w:eastAsia="Times New Roman" w:cs="Arial"/>
          <w:i/>
        </w:rPr>
      </w:pPr>
    </w:p>
    <w:p w14:paraId="727A807D" w14:textId="77777777" w:rsidR="007910A0" w:rsidRDefault="007910A0" w:rsidP="00007FC2">
      <w:pPr>
        <w:spacing w:after="0" w:line="240" w:lineRule="auto"/>
        <w:jc w:val="both"/>
        <w:rPr>
          <w:rFonts w:eastAsia="Times New Roman" w:cs="Arial"/>
        </w:rPr>
        <w:sectPr w:rsidR="007910A0" w:rsidSect="00305343">
          <w:headerReference w:type="first" r:id="rId47"/>
          <w:footerReference w:type="first" r:id="rId48"/>
          <w:pgSz w:w="11906" w:h="16838" w:code="9"/>
          <w:pgMar w:top="596" w:right="1133" w:bottom="1417" w:left="1417" w:header="709" w:footer="709" w:gutter="0"/>
          <w:cols w:space="708"/>
          <w:titlePg/>
          <w:docGrid w:linePitch="360"/>
        </w:sectPr>
      </w:pPr>
    </w:p>
    <w:p w14:paraId="60A02A14" w14:textId="77777777" w:rsidR="007A46AD" w:rsidRPr="00312975" w:rsidRDefault="007A46AD" w:rsidP="00007FC2">
      <w:pPr>
        <w:spacing w:after="0" w:line="240" w:lineRule="auto"/>
        <w:jc w:val="both"/>
        <w:rPr>
          <w:rFonts w:eastAsia="Times New Roman" w:cs="Arial"/>
          <w:sz w:val="20"/>
          <w:szCs w:val="20"/>
        </w:rPr>
      </w:pPr>
    </w:p>
    <w:p w14:paraId="7B7B260A" w14:textId="77777777" w:rsidR="00F46BB1" w:rsidRDefault="00F46BB1" w:rsidP="00F1130C">
      <w:pPr>
        <w:pStyle w:val="ListParagraph"/>
        <w:tabs>
          <w:tab w:val="left" w:pos="-720"/>
          <w:tab w:val="left" w:pos="426"/>
        </w:tabs>
        <w:suppressAutoHyphens/>
        <w:spacing w:after="0" w:line="240" w:lineRule="auto"/>
        <w:ind w:left="0"/>
        <w:rPr>
          <w:rFonts w:eastAsia="Times New Roman" w:cs="Calibri"/>
          <w:b/>
          <w:spacing w:val="-3"/>
          <w:lang w:eastAsia="hr-HR"/>
        </w:rPr>
      </w:pPr>
      <w:r>
        <w:rPr>
          <w:rFonts w:eastAsia="Times New Roman" w:cs="Calibri"/>
          <w:b/>
          <w:spacing w:val="-3"/>
          <w:lang w:eastAsia="hr-HR"/>
        </w:rPr>
        <w:t>1.</w:t>
      </w:r>
      <w:r w:rsidR="007B783A">
        <w:rPr>
          <w:rFonts w:eastAsia="Times New Roman" w:cs="Calibri"/>
          <w:b/>
          <w:spacing w:val="-3"/>
          <w:lang w:eastAsia="hr-HR"/>
        </w:rPr>
        <w:tab/>
      </w:r>
      <w:r w:rsidRPr="00876425">
        <w:rPr>
          <w:rFonts w:eastAsia="Times New Roman" w:cs="Calibri"/>
          <w:b/>
          <w:spacing w:val="-3"/>
          <w:lang w:eastAsia="hr-HR"/>
        </w:rPr>
        <w:t>Opći podaci</w:t>
      </w:r>
      <w:r>
        <w:rPr>
          <w:rFonts w:eastAsia="Times New Roman" w:cs="Calibri"/>
          <w:b/>
          <w:spacing w:val="-3"/>
          <w:lang w:eastAsia="hr-HR"/>
        </w:rPr>
        <w:t xml:space="preserve"> (nastavak)</w:t>
      </w:r>
    </w:p>
    <w:p w14:paraId="3E6F5999" w14:textId="77777777" w:rsidR="00813AE3" w:rsidRPr="00312975" w:rsidRDefault="00813AE3" w:rsidP="00007FC2">
      <w:pPr>
        <w:spacing w:after="0" w:line="240" w:lineRule="auto"/>
        <w:jc w:val="both"/>
        <w:rPr>
          <w:rFonts w:eastAsia="Times New Roman" w:cs="Arial"/>
          <w:sz w:val="18"/>
          <w:szCs w:val="18"/>
        </w:rPr>
      </w:pPr>
    </w:p>
    <w:p w14:paraId="50CD281C" w14:textId="77777777" w:rsidR="00F46BB1" w:rsidRDefault="00F46BB1" w:rsidP="00F1130C">
      <w:pPr>
        <w:tabs>
          <w:tab w:val="left" w:pos="426"/>
        </w:tabs>
        <w:spacing w:after="0" w:line="240" w:lineRule="auto"/>
        <w:jc w:val="both"/>
        <w:rPr>
          <w:rFonts w:eastAsia="Times New Roman" w:cs="Arial"/>
          <w:b/>
          <w:lang w:eastAsia="hr-HR"/>
        </w:rPr>
      </w:pPr>
      <w:r w:rsidRPr="00876425">
        <w:rPr>
          <w:rFonts w:eastAsia="Times New Roman" w:cs="Arial"/>
          <w:b/>
          <w:lang w:eastAsia="hr-HR"/>
        </w:rPr>
        <w:t xml:space="preserve">1.2. </w:t>
      </w:r>
      <w:r w:rsidR="007B783A">
        <w:rPr>
          <w:rFonts w:eastAsia="Times New Roman" w:cs="Arial"/>
          <w:b/>
          <w:lang w:eastAsia="hr-HR"/>
        </w:rPr>
        <w:tab/>
      </w:r>
      <w:r w:rsidRPr="00876425">
        <w:rPr>
          <w:rFonts w:eastAsia="Times New Roman" w:cs="Arial"/>
          <w:b/>
          <w:lang w:eastAsia="hr-HR"/>
        </w:rPr>
        <w:t>Banka</w:t>
      </w:r>
      <w:r>
        <w:rPr>
          <w:rFonts w:eastAsia="Times New Roman" w:cs="Arial"/>
          <w:b/>
          <w:lang w:eastAsia="hr-HR"/>
        </w:rPr>
        <w:t xml:space="preserve"> (nastavak)</w:t>
      </w:r>
      <w:r w:rsidRPr="00876425">
        <w:rPr>
          <w:rFonts w:eastAsia="Times New Roman" w:cs="Arial"/>
          <w:b/>
          <w:lang w:eastAsia="hr-HR"/>
        </w:rPr>
        <w:t>:</w:t>
      </w:r>
    </w:p>
    <w:p w14:paraId="27D75A65" w14:textId="77777777" w:rsidR="007910A0" w:rsidRPr="00312975" w:rsidRDefault="007910A0" w:rsidP="007910A0">
      <w:pPr>
        <w:spacing w:after="0" w:line="240" w:lineRule="auto"/>
        <w:jc w:val="both"/>
        <w:rPr>
          <w:rFonts w:eastAsia="Times New Roman" w:cs="Arial"/>
          <w:sz w:val="18"/>
          <w:szCs w:val="18"/>
          <w:lang w:eastAsia="hr-HR"/>
        </w:rPr>
      </w:pPr>
    </w:p>
    <w:p w14:paraId="086B9985" w14:textId="77777777" w:rsidR="00FB6B28" w:rsidRPr="00201C55" w:rsidRDefault="00FB6B28" w:rsidP="00FB6B28">
      <w:pPr>
        <w:pStyle w:val="NormalWeb"/>
        <w:tabs>
          <w:tab w:val="left" w:pos="567"/>
        </w:tabs>
        <w:spacing w:before="0" w:beforeAutospacing="0" w:after="0" w:afterAutospacing="0"/>
        <w:jc w:val="both"/>
        <w:rPr>
          <w:rFonts w:asciiTheme="minorHAnsi" w:hAnsiTheme="minorHAnsi" w:cs="Arial"/>
          <w:i/>
          <w:sz w:val="22"/>
          <w:szCs w:val="22"/>
        </w:rPr>
      </w:pPr>
      <w:r w:rsidRPr="00201C55">
        <w:rPr>
          <w:rFonts w:asciiTheme="minorHAnsi" w:hAnsiTheme="minorHAnsi" w:cs="Arial"/>
          <w:i/>
          <w:sz w:val="22"/>
          <w:szCs w:val="22"/>
        </w:rPr>
        <w:t>Nadzorni odbor</w:t>
      </w:r>
    </w:p>
    <w:p w14:paraId="02F9C8CD" w14:textId="197DFE66" w:rsidR="00FB6B28" w:rsidRDefault="00427210" w:rsidP="00FB6B28">
      <w:pPr>
        <w:pStyle w:val="T1PARAGRAPH"/>
        <w:widowControl w:val="0"/>
        <w:numPr>
          <w:ilvl w:val="0"/>
          <w:numId w:val="0"/>
        </w:numPr>
        <w:spacing w:after="0" w:line="240" w:lineRule="auto"/>
        <w:rPr>
          <w:rFonts w:asciiTheme="minorHAnsi" w:hAnsiTheme="minorHAnsi"/>
          <w:sz w:val="22"/>
          <w:szCs w:val="22"/>
        </w:rPr>
      </w:pPr>
      <w:r>
        <w:rPr>
          <w:rFonts w:asciiTheme="minorHAnsi" w:hAnsiTheme="minorHAnsi"/>
          <w:sz w:val="22"/>
          <w:szCs w:val="22"/>
        </w:rPr>
        <w:t>U izvještajnom razdoblju</w:t>
      </w:r>
      <w:r w:rsidR="00F3366C">
        <w:rPr>
          <w:rFonts w:asciiTheme="minorHAnsi" w:hAnsiTheme="minorHAnsi"/>
          <w:sz w:val="22"/>
          <w:szCs w:val="22"/>
        </w:rPr>
        <w:t xml:space="preserve"> </w:t>
      </w:r>
      <w:r w:rsidR="00FB6B28">
        <w:rPr>
          <w:rFonts w:asciiTheme="minorHAnsi" w:hAnsiTheme="minorHAnsi"/>
          <w:sz w:val="22"/>
          <w:szCs w:val="22"/>
        </w:rPr>
        <w:t>Nadzorni odbor djel</w:t>
      </w:r>
      <w:r w:rsidR="00F3366C">
        <w:rPr>
          <w:rFonts w:asciiTheme="minorHAnsi" w:hAnsiTheme="minorHAnsi"/>
          <w:sz w:val="22"/>
          <w:szCs w:val="22"/>
        </w:rPr>
        <w:t xml:space="preserve">uje </w:t>
      </w:r>
      <w:r w:rsidR="00FB6B28">
        <w:rPr>
          <w:rFonts w:asciiTheme="minorHAnsi" w:hAnsiTheme="minorHAnsi"/>
          <w:sz w:val="22"/>
          <w:szCs w:val="22"/>
        </w:rPr>
        <w:t>u sljedećem sastavu</w:t>
      </w:r>
      <w:r w:rsidR="00FB6B28" w:rsidRPr="00A36513">
        <w:rPr>
          <w:rFonts w:asciiTheme="minorHAnsi" w:hAnsiTheme="minorHAnsi"/>
          <w:sz w:val="22"/>
          <w:szCs w:val="22"/>
        </w:rPr>
        <w:t>:</w:t>
      </w:r>
    </w:p>
    <w:p w14:paraId="43990184" w14:textId="27B4583A" w:rsidR="00FB6B28" w:rsidRPr="00201C55" w:rsidRDefault="00FB6B28" w:rsidP="0038086E">
      <w:pPr>
        <w:pStyle w:val="ListParagraph"/>
        <w:numPr>
          <w:ilvl w:val="0"/>
          <w:numId w:val="14"/>
        </w:numPr>
        <w:spacing w:after="0" w:line="240" w:lineRule="auto"/>
        <w:ind w:left="851" w:hanging="284"/>
        <w:jc w:val="both"/>
        <w:rPr>
          <w:rFonts w:cs="Arial"/>
        </w:rPr>
      </w:pPr>
      <w:r w:rsidRPr="00201C55">
        <w:rPr>
          <w:rFonts w:cs="Arial"/>
        </w:rPr>
        <w:t xml:space="preserve">dr. </w:t>
      </w:r>
      <w:proofErr w:type="spellStart"/>
      <w:r w:rsidRPr="00201C55">
        <w:rPr>
          <w:rFonts w:cs="Arial"/>
        </w:rPr>
        <w:t>sc</w:t>
      </w:r>
      <w:proofErr w:type="spellEnd"/>
      <w:r w:rsidRPr="00201C55">
        <w:rPr>
          <w:rFonts w:cs="Arial"/>
        </w:rPr>
        <w:t xml:space="preserve">. Zdravko Marić, ministar financija </w:t>
      </w:r>
      <w:r w:rsidRPr="005B6B4C">
        <w:rPr>
          <w:rFonts w:cs="Arial"/>
        </w:rPr>
        <w:t>–</w:t>
      </w:r>
      <w:r w:rsidRPr="00201C55">
        <w:rPr>
          <w:rFonts w:cs="Arial"/>
        </w:rPr>
        <w:t xml:space="preserve"> po položaju predsjednik Nadzornog odbora</w:t>
      </w:r>
      <w:r w:rsidR="00F3366C">
        <w:rPr>
          <w:rFonts w:cs="Arial"/>
        </w:rPr>
        <w:t>,</w:t>
      </w:r>
      <w:r w:rsidRPr="00201C55">
        <w:rPr>
          <w:rFonts w:cs="Arial"/>
        </w:rPr>
        <w:t xml:space="preserve"> </w:t>
      </w:r>
    </w:p>
    <w:p w14:paraId="1662F392" w14:textId="753C0CDC" w:rsidR="00FB6B28" w:rsidRPr="00201C55" w:rsidRDefault="00FB6B28" w:rsidP="0038086E">
      <w:pPr>
        <w:pStyle w:val="T1PARAGRAPH"/>
        <w:numPr>
          <w:ilvl w:val="0"/>
          <w:numId w:val="14"/>
        </w:numPr>
        <w:spacing w:after="0" w:line="240" w:lineRule="auto"/>
        <w:ind w:left="851" w:hanging="284"/>
        <w:rPr>
          <w:rFonts w:asciiTheme="minorHAnsi" w:hAnsiTheme="minorHAnsi"/>
          <w:sz w:val="22"/>
          <w:szCs w:val="22"/>
        </w:rPr>
      </w:pPr>
      <w:r w:rsidRPr="000272A5">
        <w:rPr>
          <w:rFonts w:asciiTheme="minorHAnsi" w:hAnsiTheme="minorHAnsi"/>
          <w:sz w:val="22"/>
          <w:szCs w:val="22"/>
        </w:rPr>
        <w:t>dr.sc. Martina Dalić,</w:t>
      </w:r>
      <w:r w:rsidRPr="000272A5">
        <w:t xml:space="preserve"> </w:t>
      </w:r>
      <w:r w:rsidRPr="000272A5">
        <w:rPr>
          <w:rFonts w:asciiTheme="minorHAnsi" w:hAnsiTheme="minorHAnsi"/>
          <w:sz w:val="22"/>
          <w:szCs w:val="22"/>
        </w:rPr>
        <w:t xml:space="preserve">potpredsjednica Vlade Republike Hrvatske i ministrica gospodarstva, </w:t>
      </w:r>
      <w:r w:rsidRPr="00215F46">
        <w:rPr>
          <w:rFonts w:asciiTheme="minorHAnsi" w:hAnsiTheme="minorHAnsi"/>
          <w:sz w:val="22"/>
          <w:szCs w:val="22"/>
        </w:rPr>
        <w:t>poduzetništva i obrta</w:t>
      </w:r>
      <w:r w:rsidRPr="00215F46">
        <w:t xml:space="preserve"> </w:t>
      </w:r>
      <w:r w:rsidRPr="005B6B4C">
        <w:rPr>
          <w:rFonts w:asciiTheme="minorHAnsi" w:hAnsiTheme="minorHAnsi"/>
          <w:sz w:val="22"/>
          <w:szCs w:val="22"/>
        </w:rPr>
        <w:t>–</w:t>
      </w:r>
      <w:r w:rsidRPr="00215F46">
        <w:t xml:space="preserve"> </w:t>
      </w:r>
      <w:r w:rsidRPr="00215F46">
        <w:rPr>
          <w:rFonts w:asciiTheme="minorHAnsi" w:hAnsiTheme="minorHAnsi"/>
          <w:sz w:val="22"/>
          <w:szCs w:val="22"/>
        </w:rPr>
        <w:t>po položaju zamjenica predsjednika Nadzornog odbora</w:t>
      </w:r>
      <w:r w:rsidRPr="00061DAE">
        <w:rPr>
          <w:rFonts w:asciiTheme="minorHAnsi" w:hAnsiTheme="minorHAnsi"/>
          <w:sz w:val="22"/>
          <w:szCs w:val="22"/>
        </w:rPr>
        <w:t>,</w:t>
      </w:r>
    </w:p>
    <w:p w14:paraId="542C0B43" w14:textId="4C462B60" w:rsidR="00FB6B28" w:rsidRDefault="00FB6B28" w:rsidP="00CB44C2">
      <w:pPr>
        <w:pStyle w:val="T1PARAGRAPH"/>
        <w:numPr>
          <w:ilvl w:val="0"/>
          <w:numId w:val="14"/>
        </w:numPr>
        <w:spacing w:after="0" w:line="240" w:lineRule="auto"/>
        <w:ind w:left="851" w:hanging="284"/>
        <w:rPr>
          <w:rFonts w:asciiTheme="minorHAnsi" w:hAnsiTheme="minorHAnsi"/>
          <w:sz w:val="22"/>
          <w:szCs w:val="22"/>
        </w:rPr>
      </w:pPr>
      <w:r w:rsidRPr="000272A5">
        <w:rPr>
          <w:rFonts w:asciiTheme="minorHAnsi" w:hAnsiTheme="minorHAnsi"/>
          <w:sz w:val="22"/>
          <w:szCs w:val="22"/>
        </w:rPr>
        <w:t>Gabrijela Žalac,</w:t>
      </w:r>
      <w:r w:rsidRPr="000272A5">
        <w:t xml:space="preserve"> </w:t>
      </w:r>
      <w:r w:rsidRPr="000272A5">
        <w:rPr>
          <w:rFonts w:asciiTheme="minorHAnsi" w:hAnsiTheme="minorHAnsi"/>
          <w:sz w:val="22"/>
          <w:szCs w:val="22"/>
        </w:rPr>
        <w:t>ministrica regionalnoga razvoja i fondova Europske unije -</w:t>
      </w:r>
      <w:r w:rsidRPr="00215F46">
        <w:rPr>
          <w:rFonts w:asciiTheme="minorHAnsi" w:hAnsiTheme="minorHAnsi"/>
          <w:sz w:val="22"/>
          <w:szCs w:val="22"/>
        </w:rPr>
        <w:t xml:space="preserve"> po položaju članica Nadzornog odbora,</w:t>
      </w:r>
    </w:p>
    <w:p w14:paraId="3AFAF138" w14:textId="687CCBCE" w:rsidR="00E009B2" w:rsidRPr="00215F46" w:rsidRDefault="00427210" w:rsidP="00CB44C2">
      <w:pPr>
        <w:pStyle w:val="T1PARAGRAPH"/>
        <w:numPr>
          <w:ilvl w:val="0"/>
          <w:numId w:val="14"/>
        </w:numPr>
        <w:spacing w:after="0" w:line="240" w:lineRule="auto"/>
        <w:ind w:left="851" w:hanging="284"/>
        <w:rPr>
          <w:rFonts w:asciiTheme="minorHAnsi" w:hAnsiTheme="minorHAnsi"/>
          <w:sz w:val="22"/>
          <w:szCs w:val="22"/>
        </w:rPr>
      </w:pPr>
      <w:r>
        <w:rPr>
          <w:rFonts w:asciiTheme="minorHAnsi" w:hAnsiTheme="minorHAnsi"/>
          <w:sz w:val="22"/>
          <w:szCs w:val="22"/>
        </w:rPr>
        <w:t xml:space="preserve">Lovro </w:t>
      </w:r>
      <w:proofErr w:type="spellStart"/>
      <w:r>
        <w:rPr>
          <w:rFonts w:asciiTheme="minorHAnsi" w:hAnsiTheme="minorHAnsi"/>
          <w:sz w:val="22"/>
          <w:szCs w:val="22"/>
        </w:rPr>
        <w:t>Kuščević</w:t>
      </w:r>
      <w:proofErr w:type="spellEnd"/>
      <w:r>
        <w:rPr>
          <w:rFonts w:asciiTheme="minorHAnsi" w:hAnsiTheme="minorHAnsi"/>
          <w:sz w:val="22"/>
          <w:szCs w:val="22"/>
        </w:rPr>
        <w:t>, ministar graditeljstva i prostornog uređenja (od 25. svibnja 2017. godine do 9. lipnja 2017. godine),</w:t>
      </w:r>
    </w:p>
    <w:p w14:paraId="0BC9AE0E" w14:textId="276EF63D" w:rsidR="003958C8" w:rsidRPr="00061DAE" w:rsidRDefault="003958C8" w:rsidP="003958C8">
      <w:pPr>
        <w:pStyle w:val="T1PARAGRAPH"/>
        <w:numPr>
          <w:ilvl w:val="0"/>
          <w:numId w:val="14"/>
        </w:numPr>
        <w:spacing w:after="0" w:line="240" w:lineRule="auto"/>
        <w:ind w:left="851" w:hanging="284"/>
        <w:rPr>
          <w:rFonts w:asciiTheme="minorHAnsi" w:hAnsiTheme="minorHAnsi"/>
          <w:sz w:val="22"/>
          <w:szCs w:val="22"/>
        </w:rPr>
      </w:pPr>
      <w:r w:rsidRPr="00215F46">
        <w:rPr>
          <w:rFonts w:asciiTheme="minorHAnsi" w:hAnsiTheme="minorHAnsi"/>
          <w:sz w:val="22"/>
          <w:szCs w:val="22"/>
        </w:rPr>
        <w:t xml:space="preserve">dr. </w:t>
      </w:r>
      <w:proofErr w:type="spellStart"/>
      <w:r w:rsidRPr="00215F46">
        <w:rPr>
          <w:rFonts w:asciiTheme="minorHAnsi" w:hAnsiTheme="minorHAnsi"/>
          <w:sz w:val="22"/>
          <w:szCs w:val="22"/>
        </w:rPr>
        <w:t>sc</w:t>
      </w:r>
      <w:proofErr w:type="spellEnd"/>
      <w:r w:rsidRPr="00215F46">
        <w:rPr>
          <w:rFonts w:asciiTheme="minorHAnsi" w:hAnsiTheme="minorHAnsi"/>
          <w:sz w:val="22"/>
          <w:szCs w:val="22"/>
        </w:rPr>
        <w:t xml:space="preserve">. Slaven </w:t>
      </w:r>
      <w:proofErr w:type="spellStart"/>
      <w:r w:rsidRPr="00215F46">
        <w:rPr>
          <w:rFonts w:asciiTheme="minorHAnsi" w:hAnsiTheme="minorHAnsi"/>
          <w:sz w:val="22"/>
          <w:szCs w:val="22"/>
        </w:rPr>
        <w:t>Dobrović</w:t>
      </w:r>
      <w:proofErr w:type="spellEnd"/>
      <w:r w:rsidRPr="00215F46">
        <w:rPr>
          <w:rFonts w:asciiTheme="minorHAnsi" w:hAnsiTheme="minorHAnsi"/>
          <w:sz w:val="22"/>
          <w:szCs w:val="22"/>
        </w:rPr>
        <w:t>, ministar zaštite okoliša i energetike</w:t>
      </w:r>
      <w:r w:rsidR="00427210">
        <w:rPr>
          <w:rFonts w:asciiTheme="minorHAnsi" w:hAnsiTheme="minorHAnsi"/>
          <w:sz w:val="22"/>
          <w:szCs w:val="22"/>
        </w:rPr>
        <w:t xml:space="preserve"> (do 25. svibnja 2017. godine)</w:t>
      </w:r>
      <w:r w:rsidRPr="00061DAE">
        <w:rPr>
          <w:rFonts w:asciiTheme="minorHAnsi" w:hAnsiTheme="minorHAnsi"/>
          <w:sz w:val="22"/>
          <w:szCs w:val="22"/>
        </w:rPr>
        <w:t>,</w:t>
      </w:r>
    </w:p>
    <w:p w14:paraId="1F7EDCAF" w14:textId="77777777" w:rsidR="003958C8" w:rsidRPr="00F51330" w:rsidRDefault="003958C8" w:rsidP="003958C8">
      <w:pPr>
        <w:pStyle w:val="T1PARAGRAPH"/>
        <w:numPr>
          <w:ilvl w:val="0"/>
          <w:numId w:val="14"/>
        </w:numPr>
        <w:spacing w:after="0" w:line="240" w:lineRule="auto"/>
        <w:ind w:left="851" w:hanging="284"/>
        <w:rPr>
          <w:rFonts w:asciiTheme="minorHAnsi" w:hAnsiTheme="minorHAnsi"/>
          <w:sz w:val="22"/>
          <w:szCs w:val="22"/>
        </w:rPr>
      </w:pPr>
      <w:r w:rsidRPr="00F51330">
        <w:rPr>
          <w:rFonts w:asciiTheme="minorHAnsi" w:hAnsiTheme="minorHAnsi"/>
          <w:sz w:val="22"/>
          <w:szCs w:val="22"/>
        </w:rPr>
        <w:t xml:space="preserve">Gari </w:t>
      </w:r>
      <w:proofErr w:type="spellStart"/>
      <w:r w:rsidRPr="00F51330">
        <w:rPr>
          <w:rFonts w:asciiTheme="minorHAnsi" w:hAnsiTheme="minorHAnsi"/>
          <w:sz w:val="22"/>
          <w:szCs w:val="22"/>
        </w:rPr>
        <w:t>Cappelli</w:t>
      </w:r>
      <w:proofErr w:type="spellEnd"/>
      <w:r w:rsidRPr="00F51330">
        <w:rPr>
          <w:rFonts w:asciiTheme="minorHAnsi" w:hAnsiTheme="minorHAnsi"/>
          <w:sz w:val="22"/>
          <w:szCs w:val="22"/>
        </w:rPr>
        <w:t>, ministar turizma,</w:t>
      </w:r>
    </w:p>
    <w:p w14:paraId="10E83F94" w14:textId="77777777" w:rsidR="003958C8" w:rsidRPr="00215F46" w:rsidRDefault="003958C8" w:rsidP="003958C8">
      <w:pPr>
        <w:pStyle w:val="T1PARAGRAPH"/>
        <w:numPr>
          <w:ilvl w:val="0"/>
          <w:numId w:val="14"/>
        </w:numPr>
        <w:spacing w:after="0" w:line="240" w:lineRule="auto"/>
        <w:ind w:left="851" w:hanging="284"/>
        <w:rPr>
          <w:rFonts w:asciiTheme="minorHAnsi" w:hAnsiTheme="minorHAnsi"/>
          <w:sz w:val="22"/>
          <w:szCs w:val="22"/>
        </w:rPr>
      </w:pPr>
      <w:r w:rsidRPr="00215F46">
        <w:rPr>
          <w:rFonts w:asciiTheme="minorHAnsi" w:hAnsiTheme="minorHAnsi"/>
          <w:sz w:val="22"/>
          <w:szCs w:val="22"/>
        </w:rPr>
        <w:t xml:space="preserve">Tomislav </w:t>
      </w:r>
      <w:proofErr w:type="spellStart"/>
      <w:r w:rsidRPr="00215F46">
        <w:rPr>
          <w:rFonts w:asciiTheme="minorHAnsi" w:hAnsiTheme="minorHAnsi"/>
          <w:sz w:val="22"/>
          <w:szCs w:val="22"/>
        </w:rPr>
        <w:t>Tolušić</w:t>
      </w:r>
      <w:proofErr w:type="spellEnd"/>
      <w:r w:rsidRPr="00215F46">
        <w:rPr>
          <w:rFonts w:asciiTheme="minorHAnsi" w:hAnsiTheme="minorHAnsi"/>
          <w:sz w:val="22"/>
          <w:szCs w:val="22"/>
        </w:rPr>
        <w:t>, ministar poljoprivrede,</w:t>
      </w:r>
    </w:p>
    <w:p w14:paraId="273E00DE" w14:textId="77777777" w:rsidR="00FB6B28" w:rsidRPr="00201C55" w:rsidRDefault="00FB6B28" w:rsidP="0038086E">
      <w:pPr>
        <w:pStyle w:val="ListParagraph"/>
        <w:numPr>
          <w:ilvl w:val="0"/>
          <w:numId w:val="14"/>
        </w:numPr>
        <w:spacing w:after="0" w:line="240" w:lineRule="auto"/>
        <w:ind w:left="851" w:hanging="284"/>
        <w:jc w:val="both"/>
        <w:rPr>
          <w:rFonts w:cs="Arial"/>
        </w:rPr>
      </w:pPr>
      <w:r w:rsidRPr="00201C55">
        <w:rPr>
          <w:rFonts w:cs="Arial"/>
        </w:rPr>
        <w:t xml:space="preserve">Luka </w:t>
      </w:r>
      <w:proofErr w:type="spellStart"/>
      <w:r w:rsidRPr="00201C55">
        <w:rPr>
          <w:rFonts w:cs="Arial"/>
        </w:rPr>
        <w:t>Burilović</w:t>
      </w:r>
      <w:proofErr w:type="spellEnd"/>
      <w:r w:rsidRPr="00201C55">
        <w:rPr>
          <w:rFonts w:cs="Arial"/>
        </w:rPr>
        <w:t>, predsjednik Hrvatske gospodarske komore – po položaju član Nadzornog odbora,</w:t>
      </w:r>
    </w:p>
    <w:p w14:paraId="3B2AFD31" w14:textId="77777777" w:rsidR="003958C8" w:rsidRPr="00FB6B28" w:rsidRDefault="003958C8" w:rsidP="003958C8">
      <w:pPr>
        <w:pStyle w:val="ListParagraph"/>
        <w:numPr>
          <w:ilvl w:val="0"/>
          <w:numId w:val="14"/>
        </w:numPr>
        <w:spacing w:after="0" w:line="240" w:lineRule="auto"/>
        <w:ind w:left="851" w:hanging="284"/>
        <w:jc w:val="both"/>
        <w:rPr>
          <w:rFonts w:cs="Arial"/>
        </w:rPr>
      </w:pPr>
      <w:r w:rsidRPr="00FB6B28">
        <w:rPr>
          <w:rFonts w:cs="Arial"/>
        </w:rPr>
        <w:t xml:space="preserve">Boris </w:t>
      </w:r>
      <w:proofErr w:type="spellStart"/>
      <w:r w:rsidRPr="00FB6B28">
        <w:rPr>
          <w:rFonts w:cs="Arial"/>
        </w:rPr>
        <w:t>Lalovac</w:t>
      </w:r>
      <w:proofErr w:type="spellEnd"/>
      <w:r w:rsidRPr="00FB6B28">
        <w:rPr>
          <w:rFonts w:cs="Arial"/>
        </w:rPr>
        <w:t>, zastupnik u Hrvatskome saboru,</w:t>
      </w:r>
    </w:p>
    <w:p w14:paraId="3BB6F4AC" w14:textId="43B194AB" w:rsidR="003958C8" w:rsidRPr="00FB6B28" w:rsidRDefault="003958C8" w:rsidP="003958C8">
      <w:pPr>
        <w:pStyle w:val="ListParagraph"/>
        <w:numPr>
          <w:ilvl w:val="0"/>
          <w:numId w:val="14"/>
        </w:numPr>
        <w:spacing w:after="0" w:line="240" w:lineRule="auto"/>
        <w:ind w:left="851" w:hanging="284"/>
        <w:jc w:val="both"/>
        <w:rPr>
          <w:rFonts w:cs="Arial"/>
        </w:rPr>
      </w:pPr>
      <w:r w:rsidRPr="00FB6B28">
        <w:rPr>
          <w:rFonts w:cs="Arial"/>
        </w:rPr>
        <w:t>Ivana Ninčević-</w:t>
      </w:r>
      <w:proofErr w:type="spellStart"/>
      <w:r w:rsidRPr="00FB6B28">
        <w:rPr>
          <w:rFonts w:cs="Arial"/>
        </w:rPr>
        <w:t>Lesandrić</w:t>
      </w:r>
      <w:proofErr w:type="spellEnd"/>
      <w:r w:rsidRPr="00FB6B28">
        <w:rPr>
          <w:rFonts w:cs="Arial"/>
        </w:rPr>
        <w:t>, zastupnica u Hrvatskome saboru</w:t>
      </w:r>
      <w:r>
        <w:rPr>
          <w:rFonts w:cs="Arial"/>
        </w:rPr>
        <w:t>,</w:t>
      </w:r>
    </w:p>
    <w:p w14:paraId="13740AED" w14:textId="3D3B4D07" w:rsidR="00FB6B28" w:rsidRDefault="00FB6B28" w:rsidP="0038086E">
      <w:pPr>
        <w:pStyle w:val="ListParagraph"/>
        <w:numPr>
          <w:ilvl w:val="0"/>
          <w:numId w:val="14"/>
        </w:numPr>
        <w:spacing w:after="0" w:line="240" w:lineRule="auto"/>
        <w:ind w:left="851" w:hanging="284"/>
        <w:jc w:val="both"/>
        <w:rPr>
          <w:rFonts w:cs="Arial"/>
        </w:rPr>
      </w:pPr>
      <w:r w:rsidRPr="001F420C">
        <w:rPr>
          <w:rFonts w:cs="Arial"/>
        </w:rPr>
        <w:t xml:space="preserve">Grozdana Perić, </w:t>
      </w:r>
      <w:r>
        <w:rPr>
          <w:rFonts w:cs="Arial"/>
        </w:rPr>
        <w:t>predsjednica Odbora za financije i državni proračun, Hrvatski sabor</w:t>
      </w:r>
      <w:r w:rsidR="003958C8">
        <w:rPr>
          <w:rFonts w:cs="Arial"/>
        </w:rPr>
        <w:t>.</w:t>
      </w:r>
    </w:p>
    <w:p w14:paraId="270A50EF" w14:textId="77777777" w:rsidR="002F3AED" w:rsidRPr="00312975" w:rsidRDefault="002F3AED" w:rsidP="007910A0">
      <w:pPr>
        <w:spacing w:after="0" w:line="240" w:lineRule="auto"/>
        <w:jc w:val="both"/>
        <w:rPr>
          <w:rFonts w:cs="Arial"/>
          <w:sz w:val="18"/>
          <w:szCs w:val="18"/>
        </w:rPr>
      </w:pPr>
    </w:p>
    <w:p w14:paraId="0B7EEB02" w14:textId="288A7189" w:rsidR="00235F91" w:rsidRDefault="002F3AED" w:rsidP="00312975">
      <w:pPr>
        <w:spacing w:after="0" w:line="240" w:lineRule="auto"/>
        <w:jc w:val="both"/>
        <w:rPr>
          <w:rFonts w:eastAsia="Times New Roman" w:cs="Arial"/>
        </w:rPr>
      </w:pPr>
      <w:r w:rsidRPr="00B97998">
        <w:rPr>
          <w:rFonts w:eastAsia="Times New Roman" w:cs="Arial"/>
        </w:rPr>
        <w:t xml:space="preserve">Vlada Republike Hrvatske je dana </w:t>
      </w:r>
      <w:r w:rsidR="00F0777F">
        <w:rPr>
          <w:rFonts w:eastAsia="Times New Roman" w:cs="Arial"/>
        </w:rPr>
        <w:t>9. lipnja 2017. godine donijela Rješenje</w:t>
      </w:r>
      <w:r>
        <w:rPr>
          <w:rFonts w:eastAsia="Times New Roman" w:cs="Arial"/>
        </w:rPr>
        <w:t xml:space="preserve"> o </w:t>
      </w:r>
      <w:r w:rsidR="00F0777F">
        <w:rPr>
          <w:rFonts w:eastAsia="Times New Roman" w:cs="Arial"/>
        </w:rPr>
        <w:t xml:space="preserve">imenovanju Lovre </w:t>
      </w:r>
      <w:proofErr w:type="spellStart"/>
      <w:r w:rsidR="00F0777F">
        <w:rPr>
          <w:rFonts w:eastAsia="Times New Roman" w:cs="Arial"/>
        </w:rPr>
        <w:t>Kuščevića</w:t>
      </w:r>
      <w:proofErr w:type="spellEnd"/>
      <w:r w:rsidR="00F0777F">
        <w:rPr>
          <w:rFonts w:eastAsia="Times New Roman" w:cs="Arial"/>
        </w:rPr>
        <w:t xml:space="preserve"> ministrom uprave. Navedenim Rješenjem prestaje mandat Lovri </w:t>
      </w:r>
      <w:proofErr w:type="spellStart"/>
      <w:r w:rsidR="00F0777F">
        <w:rPr>
          <w:rFonts w:eastAsia="Times New Roman" w:cs="Arial"/>
        </w:rPr>
        <w:t>Kuščeviću</w:t>
      </w:r>
      <w:proofErr w:type="spellEnd"/>
      <w:r w:rsidR="00F0777F">
        <w:rPr>
          <w:rFonts w:eastAsia="Times New Roman" w:cs="Arial"/>
        </w:rPr>
        <w:t xml:space="preserve">, dotadašnjem ministru graditeljstva i prostornog uređenja, kao članu Nadzornog odbora HBOR-a, jer, sukladno Zakonu o HBOR-u, ministar uprave </w:t>
      </w:r>
      <w:r w:rsidR="00894C6A">
        <w:rPr>
          <w:rFonts w:eastAsia="Times New Roman" w:cs="Arial"/>
        </w:rPr>
        <w:t>ne može biti imenovan</w:t>
      </w:r>
      <w:r w:rsidR="00F0777F">
        <w:rPr>
          <w:rFonts w:eastAsia="Times New Roman" w:cs="Arial"/>
        </w:rPr>
        <w:t xml:space="preserve"> u Nadzorni odbor HBOR-a.</w:t>
      </w:r>
      <w:r w:rsidR="0001200B">
        <w:rPr>
          <w:rFonts w:eastAsia="Times New Roman" w:cs="Arial"/>
        </w:rPr>
        <w:t xml:space="preserve"> </w:t>
      </w:r>
    </w:p>
    <w:p w14:paraId="59AB5A0B" w14:textId="77777777" w:rsidR="00635366" w:rsidRDefault="00635366" w:rsidP="00312975">
      <w:pPr>
        <w:spacing w:after="0" w:line="240" w:lineRule="auto"/>
        <w:jc w:val="both"/>
        <w:rPr>
          <w:rFonts w:eastAsia="Times New Roman" w:cs="Arial"/>
          <w:color w:val="FF0000"/>
        </w:rPr>
      </w:pPr>
    </w:p>
    <w:p w14:paraId="49D5E59B" w14:textId="345E835D" w:rsidR="00235F91" w:rsidRPr="004B42E3" w:rsidRDefault="00235F91" w:rsidP="00312975">
      <w:pPr>
        <w:spacing w:after="0" w:line="240" w:lineRule="auto"/>
        <w:jc w:val="both"/>
        <w:rPr>
          <w:rFonts w:eastAsia="Times New Roman" w:cs="Arial"/>
        </w:rPr>
      </w:pPr>
      <w:r w:rsidRPr="004B42E3">
        <w:rPr>
          <w:rFonts w:eastAsia="Times New Roman" w:cs="Arial"/>
        </w:rPr>
        <w:t xml:space="preserve">Nakon izvještajnog razdoblja, Vlada Republike Hrvatske je dana 4. kolovoza 2017. godine donijela Rješenje o imenovanju Predraga </w:t>
      </w:r>
      <w:proofErr w:type="spellStart"/>
      <w:r w:rsidRPr="004B42E3">
        <w:rPr>
          <w:rFonts w:eastAsia="Times New Roman" w:cs="Arial"/>
        </w:rPr>
        <w:t>Štromara</w:t>
      </w:r>
      <w:proofErr w:type="spellEnd"/>
      <w:r w:rsidRPr="004B42E3">
        <w:rPr>
          <w:rFonts w:eastAsia="Times New Roman" w:cs="Arial"/>
        </w:rPr>
        <w:t xml:space="preserve">, </w:t>
      </w:r>
      <w:r w:rsidR="00B57520" w:rsidRPr="004B42E3">
        <w:rPr>
          <w:rFonts w:eastAsia="Times New Roman" w:cs="Arial"/>
        </w:rPr>
        <w:t>potpredsjednika Vlade</w:t>
      </w:r>
      <w:r w:rsidR="00F33B0A" w:rsidRPr="004B42E3">
        <w:rPr>
          <w:rFonts w:eastAsia="Times New Roman" w:cs="Arial"/>
        </w:rPr>
        <w:t xml:space="preserve"> Republike Hrvatske</w:t>
      </w:r>
      <w:r w:rsidR="008E1DA4" w:rsidRPr="004B42E3">
        <w:rPr>
          <w:rFonts w:eastAsia="Times New Roman" w:cs="Arial"/>
        </w:rPr>
        <w:t xml:space="preserve"> i </w:t>
      </w:r>
      <w:r w:rsidRPr="004B42E3">
        <w:rPr>
          <w:rFonts w:eastAsia="Times New Roman" w:cs="Arial"/>
        </w:rPr>
        <w:t>ministra graditeljstva i prostornoga uređenja</w:t>
      </w:r>
      <w:r w:rsidR="006352D4" w:rsidRPr="004B42E3">
        <w:rPr>
          <w:rFonts w:eastAsia="Times New Roman" w:cs="Arial"/>
        </w:rPr>
        <w:t>,</w:t>
      </w:r>
      <w:r w:rsidRPr="004B42E3">
        <w:rPr>
          <w:rFonts w:eastAsia="Times New Roman" w:cs="Arial"/>
        </w:rPr>
        <w:t xml:space="preserve"> članom </w:t>
      </w:r>
      <w:proofErr w:type="spellStart"/>
      <w:r w:rsidRPr="004B42E3">
        <w:rPr>
          <w:rFonts w:eastAsia="Times New Roman" w:cs="Arial"/>
        </w:rPr>
        <w:t>Nadzonog</w:t>
      </w:r>
      <w:proofErr w:type="spellEnd"/>
      <w:r w:rsidRPr="004B42E3">
        <w:rPr>
          <w:rFonts w:eastAsia="Times New Roman" w:cs="Arial"/>
        </w:rPr>
        <w:t xml:space="preserve"> odbora HBOR-a.</w:t>
      </w:r>
    </w:p>
    <w:p w14:paraId="10F68B2B" w14:textId="77777777" w:rsidR="00235F91" w:rsidRPr="00312975" w:rsidRDefault="00235F91" w:rsidP="00312975">
      <w:pPr>
        <w:spacing w:after="0" w:line="240" w:lineRule="auto"/>
        <w:jc w:val="both"/>
        <w:rPr>
          <w:rFonts w:eastAsia="Times New Roman" w:cs="Arial"/>
          <w:sz w:val="18"/>
          <w:szCs w:val="18"/>
        </w:rPr>
      </w:pPr>
    </w:p>
    <w:p w14:paraId="1DD7524B" w14:textId="2DD64A8B" w:rsidR="00F0777F" w:rsidRDefault="004D43BF" w:rsidP="00312975">
      <w:pPr>
        <w:spacing w:after="0" w:line="240" w:lineRule="auto"/>
        <w:jc w:val="both"/>
        <w:rPr>
          <w:rFonts w:eastAsia="Times New Roman" w:cs="Arial"/>
        </w:rPr>
      </w:pPr>
      <w:r>
        <w:rPr>
          <w:rFonts w:eastAsia="Times New Roman" w:cs="Arial"/>
        </w:rPr>
        <w:t>Nakon izvještajnog razdoblja, Odlukom Hrvatskog sabora od 14. srpnja 2017. godine, razrješuje se članica Nadzornog odbora iz reda zastupnika Ivana Ninčević-</w:t>
      </w:r>
      <w:proofErr w:type="spellStart"/>
      <w:r>
        <w:rPr>
          <w:rFonts w:eastAsia="Times New Roman" w:cs="Arial"/>
        </w:rPr>
        <w:t>Lesandrić</w:t>
      </w:r>
      <w:proofErr w:type="spellEnd"/>
      <w:r>
        <w:rPr>
          <w:rFonts w:eastAsia="Times New Roman" w:cs="Arial"/>
        </w:rPr>
        <w:t xml:space="preserve">. Istom Odlukom se za članicu Nadzornog odbora HBOR-a iz rada zastupnika imenuje Božica Makar. </w:t>
      </w:r>
    </w:p>
    <w:p w14:paraId="23768D6E" w14:textId="77777777" w:rsidR="00F51330" w:rsidRPr="00312975" w:rsidRDefault="00F51330" w:rsidP="007910A0">
      <w:pPr>
        <w:spacing w:after="0" w:line="240" w:lineRule="auto"/>
        <w:jc w:val="both"/>
        <w:rPr>
          <w:rFonts w:eastAsia="Times New Roman" w:cs="Arial"/>
          <w:sz w:val="18"/>
          <w:szCs w:val="18"/>
          <w:lang w:eastAsia="hr-HR"/>
        </w:rPr>
      </w:pPr>
    </w:p>
    <w:p w14:paraId="11135D24" w14:textId="77777777" w:rsidR="00F51330" w:rsidRPr="00F51330" w:rsidRDefault="00F51330" w:rsidP="00F51330">
      <w:pPr>
        <w:keepNext/>
        <w:tabs>
          <w:tab w:val="left" w:pos="567"/>
        </w:tabs>
        <w:spacing w:after="0" w:line="240" w:lineRule="auto"/>
        <w:jc w:val="both"/>
        <w:outlineLvl w:val="0"/>
        <w:rPr>
          <w:rFonts w:ascii="Calibri" w:eastAsia="Times New Roman" w:hAnsi="Calibri" w:cs="Arial"/>
          <w:i/>
          <w:caps/>
        </w:rPr>
      </w:pPr>
      <w:r w:rsidRPr="00F51330">
        <w:rPr>
          <w:rFonts w:ascii="Calibri" w:eastAsia="Times New Roman" w:hAnsi="Calibri" w:cs="Arial"/>
          <w:i/>
        </w:rPr>
        <w:t>Uprava</w:t>
      </w:r>
      <w:r w:rsidRPr="00F51330">
        <w:rPr>
          <w:rFonts w:ascii="Calibri" w:eastAsia="Times New Roman" w:hAnsi="Calibri" w:cs="Arial"/>
          <w:i/>
          <w:caps/>
        </w:rPr>
        <w:t xml:space="preserve"> </w:t>
      </w:r>
    </w:p>
    <w:p w14:paraId="7597D231" w14:textId="77777777" w:rsidR="007910A0" w:rsidRDefault="007910A0" w:rsidP="007910A0">
      <w:pPr>
        <w:spacing w:after="0" w:line="240" w:lineRule="auto"/>
        <w:jc w:val="both"/>
        <w:rPr>
          <w:rFonts w:eastAsia="Times New Roman" w:cs="Arial"/>
          <w:lang w:eastAsia="hr-HR"/>
        </w:rPr>
      </w:pPr>
      <w:r>
        <w:rPr>
          <w:rFonts w:eastAsia="Times New Roman" w:cs="Arial"/>
          <w:lang w:eastAsia="hr-HR"/>
        </w:rPr>
        <w:t>Na dan sastavljanja ovih izvještaja Uprava HBOR-a djeluje u sljedećem sastavu:</w:t>
      </w:r>
    </w:p>
    <w:p w14:paraId="5C679603" w14:textId="4FD590FF" w:rsidR="007910A0" w:rsidRPr="00F10919" w:rsidRDefault="00001352" w:rsidP="00001352">
      <w:pPr>
        <w:pStyle w:val="ListParagraph"/>
        <w:numPr>
          <w:ilvl w:val="0"/>
          <w:numId w:val="10"/>
        </w:numPr>
        <w:tabs>
          <w:tab w:val="left" w:pos="709"/>
        </w:tabs>
        <w:spacing w:after="0" w:line="240" w:lineRule="auto"/>
        <w:ind w:left="851" w:hanging="425"/>
        <w:jc w:val="both"/>
        <w:rPr>
          <w:rFonts w:eastAsia="Times New Roman" w:cs="Arial"/>
          <w:lang w:eastAsia="hr-HR"/>
        </w:rPr>
      </w:pPr>
      <w:r w:rsidRPr="00001352">
        <w:rPr>
          <w:rFonts w:eastAsia="Times New Roman" w:cs="Arial"/>
          <w:lang w:eastAsia="hr-HR"/>
        </w:rPr>
        <w:t xml:space="preserve">mr. </w:t>
      </w:r>
      <w:proofErr w:type="spellStart"/>
      <w:r w:rsidRPr="00001352">
        <w:rPr>
          <w:rFonts w:eastAsia="Times New Roman" w:cs="Arial"/>
          <w:lang w:eastAsia="hr-HR"/>
        </w:rPr>
        <w:t>sc</w:t>
      </w:r>
      <w:proofErr w:type="spellEnd"/>
      <w:r w:rsidRPr="00001352">
        <w:rPr>
          <w:rFonts w:eastAsia="Times New Roman" w:cs="Arial"/>
          <w:lang w:eastAsia="hr-HR"/>
        </w:rPr>
        <w:t xml:space="preserve">. Tamara </w:t>
      </w:r>
      <w:proofErr w:type="spellStart"/>
      <w:r w:rsidRPr="00001352">
        <w:rPr>
          <w:rFonts w:eastAsia="Times New Roman" w:cs="Arial"/>
          <w:lang w:eastAsia="hr-HR"/>
        </w:rPr>
        <w:t>Perko</w:t>
      </w:r>
      <w:proofErr w:type="spellEnd"/>
      <w:r w:rsidR="004E390A">
        <w:rPr>
          <w:rFonts w:eastAsia="Times New Roman" w:cs="Arial"/>
          <w:lang w:eastAsia="hr-HR"/>
        </w:rPr>
        <w:t>, predsjednica Uprave i</w:t>
      </w:r>
    </w:p>
    <w:p w14:paraId="0CF2E6CE" w14:textId="00363096" w:rsidR="007910A0" w:rsidRDefault="004E390A" w:rsidP="00001352">
      <w:pPr>
        <w:pStyle w:val="ListParagraph"/>
        <w:numPr>
          <w:ilvl w:val="0"/>
          <w:numId w:val="10"/>
        </w:numPr>
        <w:spacing w:after="0" w:line="240" w:lineRule="auto"/>
        <w:ind w:left="709" w:hanging="283"/>
        <w:jc w:val="both"/>
        <w:rPr>
          <w:rFonts w:eastAsia="Times New Roman" w:cs="Arial"/>
          <w:lang w:eastAsia="hr-HR"/>
        </w:rPr>
      </w:pPr>
      <w:r>
        <w:rPr>
          <w:rFonts w:eastAsia="Times New Roman" w:cs="Arial"/>
          <w:lang w:eastAsia="hr-HR"/>
        </w:rPr>
        <w:t xml:space="preserve">Martina </w:t>
      </w:r>
      <w:proofErr w:type="spellStart"/>
      <w:r>
        <w:rPr>
          <w:rFonts w:eastAsia="Times New Roman" w:cs="Arial"/>
          <w:lang w:eastAsia="hr-HR"/>
        </w:rPr>
        <w:t>Jus</w:t>
      </w:r>
      <w:proofErr w:type="spellEnd"/>
      <w:r>
        <w:rPr>
          <w:rFonts w:eastAsia="Times New Roman" w:cs="Arial"/>
          <w:lang w:eastAsia="hr-HR"/>
        </w:rPr>
        <w:t>, članica Uprave.</w:t>
      </w:r>
    </w:p>
    <w:p w14:paraId="6D79C3A7" w14:textId="27847EA9" w:rsidR="00F51330" w:rsidRPr="00312975" w:rsidRDefault="00F51330" w:rsidP="00F51330">
      <w:pPr>
        <w:spacing w:after="0" w:line="240" w:lineRule="auto"/>
        <w:jc w:val="both"/>
        <w:rPr>
          <w:rFonts w:eastAsia="Times New Roman" w:cs="Arial"/>
          <w:sz w:val="18"/>
          <w:szCs w:val="18"/>
          <w:lang w:eastAsia="hr-HR"/>
        </w:rPr>
      </w:pPr>
    </w:p>
    <w:p w14:paraId="14BA02AB" w14:textId="4D1532EF" w:rsidR="00F51330" w:rsidRDefault="00F51330" w:rsidP="00F51330">
      <w:pPr>
        <w:spacing w:after="0" w:line="240" w:lineRule="auto"/>
        <w:jc w:val="both"/>
        <w:rPr>
          <w:rFonts w:ascii="Calibri" w:eastAsia="Times New Roman" w:hAnsi="Calibri" w:cs="Arial"/>
        </w:rPr>
      </w:pPr>
      <w:r w:rsidRPr="00F51330">
        <w:rPr>
          <w:rFonts w:ascii="Calibri" w:eastAsia="Times New Roman" w:hAnsi="Calibri" w:cs="Arial"/>
        </w:rPr>
        <w:t xml:space="preserve">Odlukom Nadzornog odbora HBOR-a od 25. siječnja 2017. godine, mr. </w:t>
      </w:r>
      <w:proofErr w:type="spellStart"/>
      <w:r w:rsidRPr="00F51330">
        <w:rPr>
          <w:rFonts w:ascii="Calibri" w:eastAsia="Times New Roman" w:hAnsi="Calibri" w:cs="Arial"/>
        </w:rPr>
        <w:t>sc</w:t>
      </w:r>
      <w:proofErr w:type="spellEnd"/>
      <w:r w:rsidRPr="00F51330">
        <w:rPr>
          <w:rFonts w:ascii="Calibri" w:eastAsia="Times New Roman" w:hAnsi="Calibri" w:cs="Arial"/>
        </w:rPr>
        <w:t xml:space="preserve">. Tamara </w:t>
      </w:r>
      <w:proofErr w:type="spellStart"/>
      <w:r w:rsidRPr="00F51330">
        <w:rPr>
          <w:rFonts w:ascii="Calibri" w:eastAsia="Times New Roman" w:hAnsi="Calibri" w:cs="Arial"/>
        </w:rPr>
        <w:t>Perko</w:t>
      </w:r>
      <w:proofErr w:type="spellEnd"/>
      <w:r w:rsidRPr="00F51330">
        <w:rPr>
          <w:rFonts w:ascii="Calibri" w:eastAsia="Times New Roman" w:hAnsi="Calibri" w:cs="Arial"/>
        </w:rPr>
        <w:t xml:space="preserve"> imenuje se za predsjednicu Uprave HBOR-a, a Martina </w:t>
      </w:r>
      <w:proofErr w:type="spellStart"/>
      <w:r w:rsidRPr="00F51330">
        <w:rPr>
          <w:rFonts w:ascii="Calibri" w:eastAsia="Times New Roman" w:hAnsi="Calibri" w:cs="Arial"/>
        </w:rPr>
        <w:t>Jus</w:t>
      </w:r>
      <w:proofErr w:type="spellEnd"/>
      <w:r w:rsidRPr="00F51330">
        <w:rPr>
          <w:rFonts w:ascii="Calibri" w:eastAsia="Times New Roman" w:hAnsi="Calibri" w:cs="Arial"/>
        </w:rPr>
        <w:t xml:space="preserve"> za članicu Uprave HBOR-a, s danom 1. veljače 2017. godine, do provedbe postupka izbora i imenovanja članova Uprave HBOR-a sukladno Uredbi o kriterijima za provedbu postupaka odabira i imenovanja predsjednika i članova uprava trgovačkih društava i drugih pravnih osoba od strateškog i posebnog interesa za Republiku Hrvatsku (NN br. 33/16, 46/16 i 109/16), a najviše na vrijeme od šest mjeseci.</w:t>
      </w:r>
    </w:p>
    <w:p w14:paraId="54664EF7" w14:textId="73F03417" w:rsidR="00BF71D2" w:rsidRPr="00312975" w:rsidRDefault="00BF71D2" w:rsidP="00F51330">
      <w:pPr>
        <w:spacing w:after="0" w:line="240" w:lineRule="auto"/>
        <w:jc w:val="both"/>
        <w:rPr>
          <w:rFonts w:ascii="Calibri" w:eastAsia="Times New Roman" w:hAnsi="Calibri" w:cs="Arial"/>
          <w:sz w:val="18"/>
          <w:szCs w:val="18"/>
        </w:rPr>
      </w:pPr>
    </w:p>
    <w:p w14:paraId="23CB8ECB" w14:textId="77777777" w:rsidR="00635366" w:rsidRDefault="00BF71D2" w:rsidP="00F51330">
      <w:pPr>
        <w:spacing w:after="0" w:line="240" w:lineRule="auto"/>
        <w:jc w:val="both"/>
        <w:rPr>
          <w:rFonts w:ascii="Calibri" w:eastAsia="Times New Roman" w:hAnsi="Calibri" w:cs="Arial"/>
        </w:rPr>
        <w:sectPr w:rsidR="00635366" w:rsidSect="00837863">
          <w:footerReference w:type="default" r:id="rId49"/>
          <w:headerReference w:type="first" r:id="rId50"/>
          <w:footerReference w:type="first" r:id="rId51"/>
          <w:pgSz w:w="11906" w:h="16838" w:code="9"/>
          <w:pgMar w:top="596" w:right="1133" w:bottom="1417" w:left="1417" w:header="709" w:footer="709" w:gutter="0"/>
          <w:cols w:space="708"/>
          <w:titlePg/>
          <w:docGrid w:linePitch="360"/>
        </w:sectPr>
      </w:pPr>
      <w:r>
        <w:rPr>
          <w:rFonts w:ascii="Calibri" w:eastAsia="Times New Roman" w:hAnsi="Calibri" w:cs="Arial"/>
        </w:rPr>
        <w:t xml:space="preserve">Nakon izvještajnog razdoblja, Odlukom Nadzornog odbora od </w:t>
      </w:r>
      <w:r w:rsidR="003805F3">
        <w:rPr>
          <w:rFonts w:ascii="Calibri" w:eastAsia="Times New Roman" w:hAnsi="Calibri" w:cs="Arial"/>
        </w:rPr>
        <w:t xml:space="preserve">31. srpnja 2017. godine mr. </w:t>
      </w:r>
      <w:proofErr w:type="spellStart"/>
      <w:r w:rsidR="003805F3">
        <w:rPr>
          <w:rFonts w:ascii="Calibri" w:eastAsia="Times New Roman" w:hAnsi="Calibri" w:cs="Arial"/>
        </w:rPr>
        <w:t>sc</w:t>
      </w:r>
      <w:proofErr w:type="spellEnd"/>
      <w:r w:rsidR="003805F3">
        <w:rPr>
          <w:rFonts w:ascii="Calibri" w:eastAsia="Times New Roman" w:hAnsi="Calibri" w:cs="Arial"/>
        </w:rPr>
        <w:t xml:space="preserve">. Tamara </w:t>
      </w:r>
      <w:proofErr w:type="spellStart"/>
      <w:r w:rsidR="003805F3">
        <w:rPr>
          <w:rFonts w:ascii="Calibri" w:eastAsia="Times New Roman" w:hAnsi="Calibri" w:cs="Arial"/>
        </w:rPr>
        <w:t>Perko</w:t>
      </w:r>
      <w:proofErr w:type="spellEnd"/>
      <w:r w:rsidR="003805F3">
        <w:rPr>
          <w:rFonts w:ascii="Calibri" w:eastAsia="Times New Roman" w:hAnsi="Calibri" w:cs="Arial"/>
        </w:rPr>
        <w:t xml:space="preserve"> imenuje se </w:t>
      </w:r>
      <w:r w:rsidR="003D6932">
        <w:rPr>
          <w:rFonts w:ascii="Calibri" w:eastAsia="Times New Roman" w:hAnsi="Calibri" w:cs="Arial"/>
        </w:rPr>
        <w:t xml:space="preserve">za predsjednicu Uprave HBOR-a, a Martina </w:t>
      </w:r>
      <w:proofErr w:type="spellStart"/>
      <w:r w:rsidR="003D6932">
        <w:rPr>
          <w:rFonts w:ascii="Calibri" w:eastAsia="Times New Roman" w:hAnsi="Calibri" w:cs="Arial"/>
        </w:rPr>
        <w:t>Jus</w:t>
      </w:r>
      <w:proofErr w:type="spellEnd"/>
      <w:r w:rsidR="003D6932">
        <w:rPr>
          <w:rFonts w:ascii="Calibri" w:eastAsia="Times New Roman" w:hAnsi="Calibri" w:cs="Arial"/>
        </w:rPr>
        <w:t xml:space="preserve"> se imenuje članicom Uprave HBOR-a, obje s danom 1. kolovoza 2017. godine, do provedbe postupka izbora i imenovanja članova Uprave HBOR-a u skladu s Uredbom o kriterijima za provedbu postupaka odabira i imenovanja kandidata za predsjednike </w:t>
      </w:r>
    </w:p>
    <w:p w14:paraId="14D70EAA" w14:textId="77777777" w:rsidR="00635366" w:rsidRDefault="00635366" w:rsidP="00635366">
      <w:pPr>
        <w:pStyle w:val="ListParagraph"/>
        <w:tabs>
          <w:tab w:val="left" w:pos="-720"/>
          <w:tab w:val="left" w:pos="426"/>
        </w:tabs>
        <w:suppressAutoHyphens/>
        <w:spacing w:after="0" w:line="240" w:lineRule="auto"/>
        <w:ind w:left="0"/>
        <w:rPr>
          <w:rFonts w:eastAsia="Times New Roman" w:cs="Calibri"/>
          <w:b/>
          <w:spacing w:val="-3"/>
          <w:lang w:eastAsia="hr-HR"/>
        </w:rPr>
      </w:pPr>
    </w:p>
    <w:p w14:paraId="2FA3021E" w14:textId="2BE5400D" w:rsidR="00635366" w:rsidRDefault="00635366" w:rsidP="00635366">
      <w:pPr>
        <w:pStyle w:val="ListParagraph"/>
        <w:tabs>
          <w:tab w:val="left" w:pos="-720"/>
          <w:tab w:val="left" w:pos="426"/>
        </w:tabs>
        <w:suppressAutoHyphens/>
        <w:spacing w:after="0" w:line="240" w:lineRule="auto"/>
        <w:ind w:left="0"/>
        <w:rPr>
          <w:rFonts w:eastAsia="Times New Roman" w:cs="Calibri"/>
          <w:b/>
          <w:spacing w:val="-3"/>
          <w:lang w:eastAsia="hr-HR"/>
        </w:rPr>
      </w:pPr>
      <w:r>
        <w:rPr>
          <w:rFonts w:eastAsia="Times New Roman" w:cs="Calibri"/>
          <w:b/>
          <w:spacing w:val="-3"/>
          <w:lang w:eastAsia="hr-HR"/>
        </w:rPr>
        <w:t>1.</w:t>
      </w:r>
      <w:r>
        <w:rPr>
          <w:rFonts w:eastAsia="Times New Roman" w:cs="Calibri"/>
          <w:b/>
          <w:spacing w:val="-3"/>
          <w:lang w:eastAsia="hr-HR"/>
        </w:rPr>
        <w:tab/>
      </w:r>
      <w:r w:rsidRPr="00876425">
        <w:rPr>
          <w:rFonts w:eastAsia="Times New Roman" w:cs="Calibri"/>
          <w:b/>
          <w:spacing w:val="-3"/>
          <w:lang w:eastAsia="hr-HR"/>
        </w:rPr>
        <w:t>Opći podaci</w:t>
      </w:r>
      <w:r>
        <w:rPr>
          <w:rFonts w:eastAsia="Times New Roman" w:cs="Calibri"/>
          <w:b/>
          <w:spacing w:val="-3"/>
          <w:lang w:eastAsia="hr-HR"/>
        </w:rPr>
        <w:t xml:space="preserve"> (nastavak)</w:t>
      </w:r>
    </w:p>
    <w:p w14:paraId="1B950BD9" w14:textId="77777777" w:rsidR="00635366" w:rsidRDefault="00635366" w:rsidP="00635366">
      <w:pPr>
        <w:spacing w:after="0" w:line="240" w:lineRule="auto"/>
        <w:jc w:val="both"/>
        <w:rPr>
          <w:rFonts w:eastAsia="Times New Roman" w:cs="Arial"/>
        </w:rPr>
      </w:pPr>
    </w:p>
    <w:p w14:paraId="3FF43A3B" w14:textId="77777777" w:rsidR="00635366" w:rsidRDefault="00635366" w:rsidP="00635366">
      <w:pPr>
        <w:tabs>
          <w:tab w:val="left" w:pos="426"/>
        </w:tabs>
        <w:spacing w:after="0" w:line="240" w:lineRule="auto"/>
        <w:jc w:val="both"/>
        <w:rPr>
          <w:rFonts w:eastAsia="Times New Roman" w:cs="Arial"/>
          <w:b/>
          <w:lang w:eastAsia="hr-HR"/>
        </w:rPr>
      </w:pPr>
      <w:r w:rsidRPr="00876425">
        <w:rPr>
          <w:rFonts w:eastAsia="Times New Roman" w:cs="Arial"/>
          <w:b/>
          <w:lang w:eastAsia="hr-HR"/>
        </w:rPr>
        <w:t xml:space="preserve">1.2. </w:t>
      </w:r>
      <w:r>
        <w:rPr>
          <w:rFonts w:eastAsia="Times New Roman" w:cs="Arial"/>
          <w:b/>
          <w:lang w:eastAsia="hr-HR"/>
        </w:rPr>
        <w:tab/>
      </w:r>
      <w:r w:rsidRPr="00876425">
        <w:rPr>
          <w:rFonts w:eastAsia="Times New Roman" w:cs="Arial"/>
          <w:b/>
          <w:lang w:eastAsia="hr-HR"/>
        </w:rPr>
        <w:t>Banka</w:t>
      </w:r>
      <w:r>
        <w:rPr>
          <w:rFonts w:eastAsia="Times New Roman" w:cs="Arial"/>
          <w:b/>
          <w:lang w:eastAsia="hr-HR"/>
        </w:rPr>
        <w:t xml:space="preserve"> (nastavak)</w:t>
      </w:r>
      <w:r w:rsidRPr="00876425">
        <w:rPr>
          <w:rFonts w:eastAsia="Times New Roman" w:cs="Arial"/>
          <w:b/>
          <w:lang w:eastAsia="hr-HR"/>
        </w:rPr>
        <w:t>:</w:t>
      </w:r>
    </w:p>
    <w:p w14:paraId="176ABE55" w14:textId="77777777" w:rsidR="00635366" w:rsidRDefault="00635366" w:rsidP="00635366">
      <w:pPr>
        <w:spacing w:after="0" w:line="240" w:lineRule="auto"/>
        <w:jc w:val="both"/>
        <w:rPr>
          <w:rFonts w:eastAsia="Times New Roman" w:cs="Arial"/>
        </w:rPr>
      </w:pPr>
    </w:p>
    <w:p w14:paraId="75146EA2" w14:textId="77777777" w:rsidR="00635366" w:rsidRPr="00020A3C" w:rsidRDefault="00635366" w:rsidP="00635366">
      <w:pPr>
        <w:spacing w:after="0" w:line="240" w:lineRule="auto"/>
        <w:jc w:val="both"/>
        <w:rPr>
          <w:rFonts w:eastAsia="Times New Roman" w:cs="Arial"/>
          <w:i/>
        </w:rPr>
      </w:pPr>
      <w:r w:rsidRPr="00020A3C">
        <w:rPr>
          <w:rFonts w:eastAsia="Times New Roman" w:cs="Arial"/>
          <w:i/>
        </w:rPr>
        <w:t>Uprava (nastavak)</w:t>
      </w:r>
    </w:p>
    <w:p w14:paraId="36174EE0" w14:textId="77777777" w:rsidR="00635366" w:rsidRDefault="00635366" w:rsidP="00F51330">
      <w:pPr>
        <w:spacing w:after="0" w:line="240" w:lineRule="auto"/>
        <w:jc w:val="both"/>
        <w:rPr>
          <w:rFonts w:ascii="Calibri" w:eastAsia="Times New Roman" w:hAnsi="Calibri" w:cs="Arial"/>
        </w:rPr>
      </w:pPr>
    </w:p>
    <w:p w14:paraId="0C2B7712" w14:textId="5AC17B2F" w:rsidR="007910A0" w:rsidRDefault="003D6932" w:rsidP="00F51330">
      <w:pPr>
        <w:spacing w:after="0" w:line="240" w:lineRule="auto"/>
        <w:jc w:val="both"/>
        <w:rPr>
          <w:rFonts w:eastAsia="Times New Roman" w:cs="Arial"/>
          <w:lang w:eastAsia="hr-HR"/>
        </w:rPr>
      </w:pPr>
      <w:r>
        <w:rPr>
          <w:rFonts w:ascii="Calibri" w:eastAsia="Times New Roman" w:hAnsi="Calibri" w:cs="Arial"/>
        </w:rPr>
        <w:t>i članove uprava trgovačkih društava i drugih pravnih osoba od strateškog i posebnog interesa za Republiku Hrvatsku (NN 19/17), a najviše na vrijeme od šest mjeseci.</w:t>
      </w:r>
      <w:r w:rsidR="00721D4D">
        <w:rPr>
          <w:rFonts w:ascii="Calibri" w:eastAsia="Times New Roman" w:hAnsi="Calibri" w:cs="Arial"/>
        </w:rPr>
        <w:t xml:space="preserve"> </w:t>
      </w:r>
    </w:p>
    <w:p w14:paraId="3D8B0E98" w14:textId="77777777" w:rsidR="00635366" w:rsidRDefault="00635366" w:rsidP="007910A0">
      <w:pPr>
        <w:spacing w:after="0" w:line="240" w:lineRule="auto"/>
        <w:jc w:val="both"/>
        <w:rPr>
          <w:rFonts w:eastAsia="Times New Roman" w:cs="Arial"/>
        </w:rPr>
      </w:pPr>
    </w:p>
    <w:p w14:paraId="28AAB245" w14:textId="3193FE5B" w:rsidR="007910A0" w:rsidRDefault="007910A0" w:rsidP="007910A0">
      <w:pPr>
        <w:spacing w:after="0" w:line="240" w:lineRule="auto"/>
        <w:jc w:val="both"/>
        <w:rPr>
          <w:rFonts w:eastAsia="Times New Roman" w:cs="Arial"/>
          <w:i/>
        </w:rPr>
      </w:pPr>
      <w:r w:rsidRPr="007910A0">
        <w:rPr>
          <w:rFonts w:eastAsia="Times New Roman" w:cs="Arial"/>
        </w:rPr>
        <w:t xml:space="preserve">Na dan </w:t>
      </w:r>
      <w:r w:rsidR="00932654" w:rsidRPr="007E5F1B">
        <w:rPr>
          <w:rFonts w:eastAsia="Times New Roman" w:cs="Arial"/>
        </w:rPr>
        <w:t>3</w:t>
      </w:r>
      <w:r w:rsidR="00932654">
        <w:rPr>
          <w:rFonts w:eastAsia="Times New Roman" w:cs="Arial"/>
        </w:rPr>
        <w:t>0</w:t>
      </w:r>
      <w:r w:rsidR="007E5F1B" w:rsidRPr="007E5F1B">
        <w:rPr>
          <w:rFonts w:eastAsia="Times New Roman" w:cs="Arial"/>
        </w:rPr>
        <w:t xml:space="preserve">. </w:t>
      </w:r>
      <w:r w:rsidR="00932654">
        <w:rPr>
          <w:rFonts w:eastAsia="Times New Roman" w:cs="Arial"/>
        </w:rPr>
        <w:t>lipnja</w:t>
      </w:r>
      <w:r w:rsidR="00932654" w:rsidRPr="007910A0">
        <w:rPr>
          <w:rFonts w:eastAsia="Times New Roman" w:cs="Arial"/>
        </w:rPr>
        <w:t xml:space="preserve"> </w:t>
      </w:r>
      <w:r w:rsidRPr="007910A0">
        <w:rPr>
          <w:rFonts w:eastAsia="Times New Roman" w:cs="Arial"/>
        </w:rPr>
        <w:t>201</w:t>
      </w:r>
      <w:r w:rsidR="007E5F1B">
        <w:rPr>
          <w:rFonts w:eastAsia="Times New Roman" w:cs="Arial"/>
        </w:rPr>
        <w:t>7</w:t>
      </w:r>
      <w:r w:rsidRPr="007910A0">
        <w:rPr>
          <w:rFonts w:eastAsia="Times New Roman" w:cs="Arial"/>
        </w:rPr>
        <w:t xml:space="preserve">. godine HBOR ima </w:t>
      </w:r>
      <w:r w:rsidR="009A3785" w:rsidRPr="009A3785">
        <w:rPr>
          <w:rFonts w:eastAsia="Times New Roman" w:cs="Arial"/>
        </w:rPr>
        <w:t>361</w:t>
      </w:r>
      <w:r w:rsidR="009A3785">
        <w:rPr>
          <w:rFonts w:eastAsia="Times New Roman" w:cs="Arial"/>
        </w:rPr>
        <w:t xml:space="preserve"> </w:t>
      </w:r>
      <w:r w:rsidRPr="007910A0">
        <w:rPr>
          <w:rFonts w:eastAsia="Times New Roman" w:cs="Arial"/>
        </w:rPr>
        <w:t>zaposlenika (</w:t>
      </w:r>
      <w:r w:rsidR="00932654" w:rsidRPr="007E5F1B">
        <w:rPr>
          <w:rFonts w:eastAsia="Times New Roman" w:cs="Arial"/>
        </w:rPr>
        <w:t>3</w:t>
      </w:r>
      <w:r w:rsidR="00932654">
        <w:rPr>
          <w:rFonts w:eastAsia="Times New Roman" w:cs="Arial"/>
        </w:rPr>
        <w:t>0</w:t>
      </w:r>
      <w:r w:rsidR="007E5F1B" w:rsidRPr="007E5F1B">
        <w:rPr>
          <w:rFonts w:eastAsia="Times New Roman" w:cs="Arial"/>
        </w:rPr>
        <w:t xml:space="preserve">. </w:t>
      </w:r>
      <w:r w:rsidR="00932654">
        <w:rPr>
          <w:rFonts w:eastAsia="Times New Roman" w:cs="Arial"/>
        </w:rPr>
        <w:t>lipnja</w:t>
      </w:r>
      <w:r w:rsidR="00932654" w:rsidRPr="007910A0">
        <w:rPr>
          <w:rFonts w:eastAsia="Times New Roman" w:cs="Arial"/>
        </w:rPr>
        <w:t xml:space="preserve"> </w:t>
      </w:r>
      <w:r w:rsidRPr="007910A0">
        <w:rPr>
          <w:rFonts w:eastAsia="Times New Roman" w:cs="Arial"/>
        </w:rPr>
        <w:t>201</w:t>
      </w:r>
      <w:r w:rsidR="007E5F1B">
        <w:rPr>
          <w:rFonts w:eastAsia="Times New Roman" w:cs="Arial"/>
        </w:rPr>
        <w:t>6</w:t>
      </w:r>
      <w:r w:rsidRPr="007910A0">
        <w:rPr>
          <w:rFonts w:eastAsia="Times New Roman" w:cs="Arial"/>
        </w:rPr>
        <w:t xml:space="preserve">. godine bilo je </w:t>
      </w:r>
      <w:r w:rsidR="00932654">
        <w:rPr>
          <w:rFonts w:eastAsia="Times New Roman" w:cs="Arial"/>
        </w:rPr>
        <w:t xml:space="preserve">345 </w:t>
      </w:r>
      <w:r w:rsidRPr="007910A0">
        <w:rPr>
          <w:rFonts w:eastAsia="Times New Roman" w:cs="Arial"/>
        </w:rPr>
        <w:t>zaposlenika).</w:t>
      </w:r>
    </w:p>
    <w:p w14:paraId="1D389205" w14:textId="27BB2349" w:rsidR="00BF71D2" w:rsidRDefault="00BF71D2" w:rsidP="007910A0">
      <w:pPr>
        <w:spacing w:after="0" w:line="240" w:lineRule="auto"/>
        <w:jc w:val="both"/>
        <w:rPr>
          <w:rFonts w:eastAsia="Times New Roman" w:cs="Arial"/>
          <w:i/>
        </w:rPr>
      </w:pPr>
    </w:p>
    <w:p w14:paraId="3785D49D" w14:textId="77777777" w:rsidR="007910A0" w:rsidRPr="00D12EBA" w:rsidRDefault="007910A0" w:rsidP="007910A0">
      <w:pPr>
        <w:spacing w:after="0" w:line="240" w:lineRule="auto"/>
        <w:jc w:val="both"/>
        <w:rPr>
          <w:rFonts w:eastAsia="Times New Roman" w:cs="Arial"/>
          <w:i/>
        </w:rPr>
      </w:pPr>
      <w:r w:rsidRPr="00D12EBA">
        <w:rPr>
          <w:rFonts w:eastAsia="Times New Roman" w:cs="Arial"/>
          <w:i/>
        </w:rPr>
        <w:t>Revizorski odbor</w:t>
      </w:r>
    </w:p>
    <w:p w14:paraId="6C87F636" w14:textId="1591A6CD" w:rsidR="007910A0" w:rsidRPr="00D12EBA" w:rsidRDefault="00F51330" w:rsidP="007910A0">
      <w:pPr>
        <w:tabs>
          <w:tab w:val="left" w:pos="426"/>
        </w:tabs>
        <w:spacing w:after="0" w:line="240" w:lineRule="auto"/>
        <w:jc w:val="both"/>
        <w:rPr>
          <w:rFonts w:eastAsia="Times New Roman" w:cs="Arial"/>
          <w:lang w:eastAsia="hr-HR"/>
        </w:rPr>
      </w:pPr>
      <w:r w:rsidRPr="00F51330">
        <w:rPr>
          <w:rFonts w:eastAsia="Times New Roman" w:cs="Arial"/>
          <w:lang w:eastAsia="hr-HR"/>
        </w:rPr>
        <w:t>Nakon prestanka mandata članovima Nadzornog odbora, dana 4. ožujka 2016. godine</w:t>
      </w:r>
      <w:r w:rsidR="007910A0">
        <w:rPr>
          <w:rFonts w:eastAsia="Times New Roman" w:cs="Arial"/>
          <w:lang w:eastAsia="hr-HR"/>
        </w:rPr>
        <w:t xml:space="preserve"> </w:t>
      </w:r>
      <w:r>
        <w:rPr>
          <w:rFonts w:eastAsia="Times New Roman" w:cs="Arial"/>
          <w:lang w:eastAsia="hr-HR"/>
        </w:rPr>
        <w:t xml:space="preserve">pa </w:t>
      </w:r>
      <w:r w:rsidR="007910A0">
        <w:rPr>
          <w:rFonts w:eastAsia="Times New Roman" w:cs="Arial"/>
          <w:lang w:eastAsia="hr-HR"/>
        </w:rPr>
        <w:t xml:space="preserve">do </w:t>
      </w:r>
      <w:r w:rsidR="00DC3F6D">
        <w:rPr>
          <w:rFonts w:eastAsia="Times New Roman" w:cs="Arial"/>
          <w:lang w:eastAsia="hr-HR"/>
        </w:rPr>
        <w:t>kraja izvještajnog razdoblja</w:t>
      </w:r>
      <w:r w:rsidR="007910A0">
        <w:rPr>
          <w:rFonts w:eastAsia="Times New Roman" w:cs="Arial"/>
          <w:lang w:eastAsia="hr-HR"/>
        </w:rPr>
        <w:t xml:space="preserve"> nije imenovan novi sastav Revizorskog odbora i njegovu ulogu trenutno ima Nadzorni odbor.</w:t>
      </w:r>
    </w:p>
    <w:p w14:paraId="36FD711A" w14:textId="3E4EC894" w:rsidR="007910A0" w:rsidRDefault="007910A0" w:rsidP="007910A0">
      <w:pPr>
        <w:tabs>
          <w:tab w:val="left" w:pos="426"/>
        </w:tabs>
        <w:spacing w:after="0" w:line="240" w:lineRule="auto"/>
        <w:jc w:val="both"/>
        <w:rPr>
          <w:rFonts w:eastAsia="Times New Roman" w:cs="Arial"/>
          <w:b/>
          <w:lang w:eastAsia="hr-HR"/>
        </w:rPr>
      </w:pPr>
    </w:p>
    <w:p w14:paraId="19AB8DA8" w14:textId="4E559003" w:rsidR="00DC3F6D" w:rsidRDefault="00DC3F6D" w:rsidP="007910A0">
      <w:pPr>
        <w:tabs>
          <w:tab w:val="left" w:pos="426"/>
        </w:tabs>
        <w:spacing w:after="0" w:line="240" w:lineRule="auto"/>
        <w:jc w:val="both"/>
        <w:rPr>
          <w:rFonts w:eastAsia="Times New Roman" w:cs="Arial"/>
          <w:lang w:eastAsia="hr-HR"/>
        </w:rPr>
      </w:pPr>
      <w:r w:rsidRPr="00312975">
        <w:rPr>
          <w:rFonts w:eastAsia="Times New Roman" w:cs="Arial"/>
          <w:lang w:eastAsia="hr-HR"/>
        </w:rPr>
        <w:t>Nakon izvještajnog razdoblja</w:t>
      </w:r>
      <w:r>
        <w:rPr>
          <w:rFonts w:eastAsia="Times New Roman" w:cs="Arial"/>
          <w:lang w:eastAsia="hr-HR"/>
        </w:rPr>
        <w:t>, Odlukom Nadzornog odbora od 25. srpnja 2017. godine imenovan je Revizorski odbor u sastavu:</w:t>
      </w:r>
    </w:p>
    <w:p w14:paraId="4382A4DF" w14:textId="77777777" w:rsidR="00DC3F6D" w:rsidRDefault="00DC3F6D" w:rsidP="007910A0">
      <w:pPr>
        <w:tabs>
          <w:tab w:val="left" w:pos="426"/>
        </w:tabs>
        <w:spacing w:after="0" w:line="240" w:lineRule="auto"/>
        <w:jc w:val="both"/>
        <w:rPr>
          <w:rFonts w:eastAsia="Times New Roman" w:cs="Arial"/>
          <w:lang w:eastAsia="hr-HR"/>
        </w:rPr>
      </w:pPr>
    </w:p>
    <w:p w14:paraId="36546F09" w14:textId="13598879" w:rsidR="00DC3F6D" w:rsidRDefault="00DC3F6D" w:rsidP="00312975">
      <w:pPr>
        <w:pStyle w:val="ListParagraph"/>
        <w:numPr>
          <w:ilvl w:val="0"/>
          <w:numId w:val="31"/>
        </w:numPr>
        <w:tabs>
          <w:tab w:val="left" w:pos="426"/>
        </w:tabs>
        <w:spacing w:after="0" w:line="240" w:lineRule="auto"/>
        <w:jc w:val="both"/>
        <w:rPr>
          <w:rFonts w:eastAsia="Times New Roman" w:cs="Arial"/>
          <w:lang w:eastAsia="hr-HR"/>
        </w:rPr>
      </w:pPr>
      <w:r w:rsidRPr="00312975">
        <w:rPr>
          <w:rFonts w:eastAsia="Times New Roman" w:cs="Arial"/>
          <w:lang w:eastAsia="hr-HR"/>
        </w:rPr>
        <w:t xml:space="preserve">prof. dr. </w:t>
      </w:r>
      <w:proofErr w:type="spellStart"/>
      <w:r w:rsidRPr="00312975">
        <w:rPr>
          <w:rFonts w:eastAsia="Times New Roman" w:cs="Arial"/>
          <w:lang w:eastAsia="hr-HR"/>
        </w:rPr>
        <w:t>sc</w:t>
      </w:r>
      <w:proofErr w:type="spellEnd"/>
      <w:r w:rsidRPr="00312975">
        <w:rPr>
          <w:rFonts w:eastAsia="Times New Roman" w:cs="Arial"/>
          <w:lang w:eastAsia="hr-HR"/>
        </w:rPr>
        <w:t xml:space="preserve">. Lajoš </w:t>
      </w:r>
      <w:proofErr w:type="spellStart"/>
      <w:r w:rsidRPr="00312975">
        <w:rPr>
          <w:rFonts w:eastAsia="Times New Roman" w:cs="Arial"/>
          <w:lang w:eastAsia="hr-HR"/>
        </w:rPr>
        <w:t>Žager</w:t>
      </w:r>
      <w:proofErr w:type="spellEnd"/>
      <w:r w:rsidRPr="00312975">
        <w:rPr>
          <w:rFonts w:eastAsia="Times New Roman" w:cs="Arial"/>
          <w:lang w:eastAsia="hr-HR"/>
        </w:rPr>
        <w:t xml:space="preserve">, dekan Ekonomskog fakulteta Sveučilišta u Zagrebu, u svojstvu predsjednika Revizorskog odbora, </w:t>
      </w:r>
    </w:p>
    <w:p w14:paraId="6CD54F1D" w14:textId="0924208D" w:rsidR="00DC3F6D" w:rsidRDefault="00086ABF" w:rsidP="00312975">
      <w:pPr>
        <w:pStyle w:val="ListParagraph"/>
        <w:numPr>
          <w:ilvl w:val="0"/>
          <w:numId w:val="31"/>
        </w:numPr>
        <w:tabs>
          <w:tab w:val="left" w:pos="426"/>
        </w:tabs>
        <w:spacing w:after="0" w:line="240" w:lineRule="auto"/>
        <w:jc w:val="both"/>
        <w:rPr>
          <w:rFonts w:eastAsia="Times New Roman" w:cs="Arial"/>
          <w:lang w:eastAsia="hr-HR"/>
        </w:rPr>
      </w:pPr>
      <w:r>
        <w:rPr>
          <w:rFonts w:eastAsia="Times New Roman" w:cs="Arial"/>
          <w:lang w:eastAsia="hr-HR"/>
        </w:rPr>
        <w:t>Grozdana Perić, predsjednica Odbora za financije i državni proračun u Hrvatskom saboru, u svojstvu zamjenice predsjednika Revizorskog odbora,</w:t>
      </w:r>
    </w:p>
    <w:p w14:paraId="4A017659" w14:textId="042E806F" w:rsidR="00086ABF" w:rsidRPr="00312975" w:rsidRDefault="00086ABF" w:rsidP="00312975">
      <w:pPr>
        <w:pStyle w:val="ListParagraph"/>
        <w:numPr>
          <w:ilvl w:val="0"/>
          <w:numId w:val="31"/>
        </w:numPr>
        <w:tabs>
          <w:tab w:val="left" w:pos="426"/>
        </w:tabs>
        <w:spacing w:after="0" w:line="240" w:lineRule="auto"/>
        <w:jc w:val="both"/>
        <w:rPr>
          <w:rFonts w:eastAsia="Times New Roman" w:cs="Arial"/>
          <w:lang w:eastAsia="hr-HR"/>
        </w:rPr>
      </w:pPr>
      <w:r>
        <w:rPr>
          <w:rFonts w:eastAsia="Times New Roman" w:cs="Arial"/>
          <w:lang w:eastAsia="hr-HR"/>
        </w:rPr>
        <w:t>Aurora Volarević, direktorica Interne kontrole, revizije i rizika u Hrvatskom Telekomu d.d., u svojstvu članice Revizorskog odbora.</w:t>
      </w:r>
    </w:p>
    <w:p w14:paraId="62A116B7" w14:textId="41D77389" w:rsidR="00DC3F6D" w:rsidRDefault="00DC3F6D" w:rsidP="007910A0">
      <w:pPr>
        <w:tabs>
          <w:tab w:val="left" w:pos="426"/>
        </w:tabs>
        <w:spacing w:after="0" w:line="240" w:lineRule="auto"/>
        <w:jc w:val="both"/>
        <w:rPr>
          <w:rFonts w:eastAsia="Times New Roman" w:cs="Arial"/>
          <w:lang w:eastAsia="hr-HR"/>
        </w:rPr>
      </w:pPr>
    </w:p>
    <w:p w14:paraId="57B103E0" w14:textId="3CEE8A02" w:rsidR="00DC3F6D" w:rsidRDefault="00DC3F6D" w:rsidP="007910A0">
      <w:pPr>
        <w:tabs>
          <w:tab w:val="left" w:pos="426"/>
        </w:tabs>
        <w:spacing w:after="0" w:line="240" w:lineRule="auto"/>
        <w:jc w:val="both"/>
        <w:rPr>
          <w:rFonts w:eastAsia="Times New Roman" w:cs="Arial"/>
          <w:lang w:eastAsia="hr-HR"/>
        </w:rPr>
      </w:pPr>
    </w:p>
    <w:p w14:paraId="26313C34" w14:textId="49DF69B0" w:rsidR="00DC3F6D" w:rsidRDefault="00DC3F6D" w:rsidP="007910A0">
      <w:pPr>
        <w:tabs>
          <w:tab w:val="left" w:pos="426"/>
        </w:tabs>
        <w:spacing w:after="0" w:line="240" w:lineRule="auto"/>
        <w:jc w:val="both"/>
        <w:rPr>
          <w:rFonts w:eastAsia="Times New Roman" w:cs="Arial"/>
          <w:lang w:eastAsia="hr-HR"/>
        </w:rPr>
      </w:pPr>
    </w:p>
    <w:p w14:paraId="1AE653C4" w14:textId="11283CFB" w:rsidR="00DC3F6D" w:rsidRDefault="00DC3F6D" w:rsidP="007910A0">
      <w:pPr>
        <w:tabs>
          <w:tab w:val="left" w:pos="426"/>
        </w:tabs>
        <w:spacing w:after="0" w:line="240" w:lineRule="auto"/>
        <w:jc w:val="both"/>
        <w:rPr>
          <w:rFonts w:eastAsia="Times New Roman" w:cs="Arial"/>
          <w:lang w:eastAsia="hr-HR"/>
        </w:rPr>
      </w:pPr>
    </w:p>
    <w:p w14:paraId="4FB81431" w14:textId="77777777" w:rsidR="00DC3F6D" w:rsidRPr="00312975" w:rsidRDefault="00DC3F6D" w:rsidP="007910A0">
      <w:pPr>
        <w:tabs>
          <w:tab w:val="left" w:pos="426"/>
        </w:tabs>
        <w:spacing w:after="0" w:line="240" w:lineRule="auto"/>
        <w:jc w:val="both"/>
        <w:rPr>
          <w:rFonts w:eastAsia="Times New Roman" w:cs="Arial"/>
          <w:lang w:eastAsia="hr-HR"/>
        </w:rPr>
        <w:sectPr w:rsidR="00DC3F6D" w:rsidRPr="00312975" w:rsidSect="00837863">
          <w:footerReference w:type="first" r:id="rId52"/>
          <w:pgSz w:w="11906" w:h="16838" w:code="9"/>
          <w:pgMar w:top="596" w:right="1133" w:bottom="1417" w:left="1417" w:header="709" w:footer="709" w:gutter="0"/>
          <w:cols w:space="708"/>
          <w:titlePg/>
          <w:docGrid w:linePitch="360"/>
        </w:sectPr>
      </w:pPr>
    </w:p>
    <w:p w14:paraId="33E8B31C" w14:textId="77777777" w:rsidR="00DC4CDD" w:rsidRPr="00876425" w:rsidRDefault="00DC4CDD" w:rsidP="00FB78E7">
      <w:pPr>
        <w:keepNext/>
        <w:spacing w:after="0" w:line="240" w:lineRule="auto"/>
        <w:jc w:val="both"/>
        <w:rPr>
          <w:rFonts w:eastAsia="Times New Roman" w:cs="Arial"/>
        </w:rPr>
      </w:pPr>
    </w:p>
    <w:p w14:paraId="012C09A6" w14:textId="77777777" w:rsidR="007910A0" w:rsidRDefault="007910A0" w:rsidP="0038086E">
      <w:pPr>
        <w:pStyle w:val="ListParagraph"/>
        <w:tabs>
          <w:tab w:val="left" w:pos="-720"/>
          <w:tab w:val="left" w:pos="567"/>
        </w:tabs>
        <w:suppressAutoHyphens/>
        <w:spacing w:after="0" w:line="240" w:lineRule="auto"/>
        <w:ind w:left="0"/>
        <w:rPr>
          <w:rFonts w:eastAsia="Times New Roman" w:cs="Calibri"/>
          <w:b/>
          <w:spacing w:val="-3"/>
          <w:lang w:eastAsia="hr-HR"/>
        </w:rPr>
      </w:pPr>
      <w:r>
        <w:rPr>
          <w:rFonts w:eastAsia="Times New Roman" w:cs="Calibri"/>
          <w:b/>
          <w:spacing w:val="-3"/>
          <w:lang w:eastAsia="hr-HR"/>
        </w:rPr>
        <w:t>1.</w:t>
      </w:r>
      <w:r>
        <w:rPr>
          <w:rFonts w:eastAsia="Times New Roman" w:cs="Calibri"/>
          <w:b/>
          <w:spacing w:val="-3"/>
          <w:lang w:eastAsia="hr-HR"/>
        </w:rPr>
        <w:tab/>
      </w:r>
      <w:r w:rsidRPr="00876425">
        <w:rPr>
          <w:rFonts w:eastAsia="Times New Roman" w:cs="Calibri"/>
          <w:b/>
          <w:spacing w:val="-3"/>
          <w:lang w:eastAsia="hr-HR"/>
        </w:rPr>
        <w:t>Opći podaci</w:t>
      </w:r>
      <w:r>
        <w:rPr>
          <w:rFonts w:eastAsia="Times New Roman" w:cs="Calibri"/>
          <w:b/>
          <w:spacing w:val="-3"/>
          <w:lang w:eastAsia="hr-HR"/>
        </w:rPr>
        <w:t xml:space="preserve"> (nastavak)</w:t>
      </w:r>
    </w:p>
    <w:p w14:paraId="117ADBEE" w14:textId="77777777" w:rsidR="007910A0" w:rsidRDefault="007910A0" w:rsidP="007910A0">
      <w:pPr>
        <w:spacing w:after="0" w:line="240" w:lineRule="auto"/>
        <w:jc w:val="both"/>
        <w:rPr>
          <w:rFonts w:eastAsia="Times New Roman" w:cs="Arial"/>
        </w:rPr>
      </w:pPr>
    </w:p>
    <w:p w14:paraId="3153FCE6" w14:textId="3E8388B6" w:rsidR="007910A0" w:rsidRDefault="007910A0" w:rsidP="0038086E">
      <w:pPr>
        <w:tabs>
          <w:tab w:val="left" w:pos="567"/>
        </w:tabs>
        <w:spacing w:after="0" w:line="240" w:lineRule="auto"/>
        <w:jc w:val="both"/>
        <w:rPr>
          <w:rFonts w:eastAsia="Times New Roman" w:cs="Arial"/>
          <w:b/>
          <w:lang w:eastAsia="hr-HR"/>
        </w:rPr>
      </w:pPr>
      <w:r w:rsidRPr="00876425">
        <w:rPr>
          <w:rFonts w:eastAsia="Times New Roman" w:cs="Arial"/>
          <w:b/>
          <w:lang w:eastAsia="hr-HR"/>
        </w:rPr>
        <w:t xml:space="preserve">1.2. </w:t>
      </w:r>
      <w:r>
        <w:rPr>
          <w:rFonts w:eastAsia="Times New Roman" w:cs="Arial"/>
          <w:b/>
          <w:lang w:eastAsia="hr-HR"/>
        </w:rPr>
        <w:tab/>
      </w:r>
      <w:r w:rsidRPr="00876425">
        <w:rPr>
          <w:rFonts w:eastAsia="Times New Roman" w:cs="Arial"/>
          <w:b/>
          <w:lang w:eastAsia="hr-HR"/>
        </w:rPr>
        <w:t>Banka</w:t>
      </w:r>
      <w:r>
        <w:rPr>
          <w:rFonts w:eastAsia="Times New Roman" w:cs="Arial"/>
          <w:b/>
          <w:lang w:eastAsia="hr-HR"/>
        </w:rPr>
        <w:t xml:space="preserve"> (nastavak)</w:t>
      </w:r>
      <w:r w:rsidRPr="00876425">
        <w:rPr>
          <w:rFonts w:eastAsia="Times New Roman" w:cs="Arial"/>
          <w:b/>
          <w:lang w:eastAsia="hr-HR"/>
        </w:rPr>
        <w:t>:</w:t>
      </w:r>
    </w:p>
    <w:p w14:paraId="7E19D4D0" w14:textId="77777777" w:rsidR="007910A0" w:rsidRDefault="007910A0" w:rsidP="00F1130C">
      <w:pPr>
        <w:tabs>
          <w:tab w:val="left" w:pos="426"/>
        </w:tabs>
        <w:spacing w:after="0" w:line="240" w:lineRule="auto"/>
        <w:jc w:val="both"/>
        <w:rPr>
          <w:rFonts w:eastAsia="Times New Roman" w:cs="Arial"/>
          <w:b/>
          <w:lang w:eastAsia="hr-HR"/>
        </w:rPr>
      </w:pPr>
    </w:p>
    <w:p w14:paraId="40061C2C" w14:textId="77777777" w:rsidR="00D03035" w:rsidRDefault="00D03035" w:rsidP="00F1130C">
      <w:pPr>
        <w:tabs>
          <w:tab w:val="left" w:pos="426"/>
        </w:tabs>
        <w:spacing w:after="0" w:line="240" w:lineRule="auto"/>
        <w:jc w:val="both"/>
        <w:rPr>
          <w:rFonts w:eastAsia="Times New Roman" w:cs="Arial"/>
          <w:b/>
          <w:lang w:eastAsia="hr-HR"/>
        </w:rPr>
      </w:pPr>
      <w:r w:rsidRPr="00876425">
        <w:rPr>
          <w:rFonts w:eastAsia="Times New Roman" w:cs="Arial"/>
          <w:b/>
          <w:lang w:eastAsia="hr-HR"/>
        </w:rPr>
        <w:t>1.2.1. Djelatnost Banke:</w:t>
      </w:r>
    </w:p>
    <w:p w14:paraId="457395BB" w14:textId="77777777" w:rsidR="00FB78E7" w:rsidRPr="00876425" w:rsidRDefault="00FB78E7" w:rsidP="00FB78E7">
      <w:pPr>
        <w:spacing w:after="0" w:line="240" w:lineRule="auto"/>
        <w:jc w:val="both"/>
        <w:rPr>
          <w:rFonts w:eastAsia="Times New Roman" w:cs="Arial"/>
          <w:b/>
          <w:lang w:eastAsia="hr-HR"/>
        </w:rPr>
      </w:pPr>
    </w:p>
    <w:p w14:paraId="7E44074A" w14:textId="77777777" w:rsidR="00D03035" w:rsidRPr="00876425" w:rsidRDefault="00D03035" w:rsidP="00FB78E7">
      <w:pPr>
        <w:spacing w:after="0" w:line="240" w:lineRule="auto"/>
        <w:jc w:val="both"/>
        <w:rPr>
          <w:rFonts w:eastAsia="Times New Roman" w:cs="Arial"/>
          <w:lang w:eastAsia="hr-HR"/>
        </w:rPr>
      </w:pPr>
      <w:r w:rsidRPr="00876425">
        <w:rPr>
          <w:rFonts w:eastAsia="Times New Roman" w:cs="Arial"/>
          <w:lang w:eastAsia="hr-HR"/>
        </w:rPr>
        <w:t xml:space="preserve">Glavne poslovne djelatnosti Banke odnose se na: </w:t>
      </w:r>
    </w:p>
    <w:p w14:paraId="12D8925A" w14:textId="77777777" w:rsidR="00D03035" w:rsidRPr="00876425" w:rsidRDefault="00D03035" w:rsidP="00F1130C">
      <w:pPr>
        <w:numPr>
          <w:ilvl w:val="0"/>
          <w:numId w:val="1"/>
        </w:numPr>
        <w:spacing w:after="0" w:line="240" w:lineRule="auto"/>
        <w:ind w:left="1077" w:hanging="357"/>
        <w:jc w:val="both"/>
        <w:rPr>
          <w:rFonts w:eastAsia="Times New Roman" w:cs="Arial"/>
          <w:lang w:eastAsia="hr-HR"/>
        </w:rPr>
      </w:pPr>
      <w:r w:rsidRPr="00876425">
        <w:rPr>
          <w:rFonts w:eastAsia="Times New Roman" w:cs="Arial"/>
          <w:lang w:eastAsia="hr-HR"/>
        </w:rPr>
        <w:t xml:space="preserve">financiranje obnove i razvitka hrvatskoga gospodarstva, </w:t>
      </w:r>
    </w:p>
    <w:p w14:paraId="197352E6" w14:textId="77777777" w:rsidR="00D03035" w:rsidRPr="00876425" w:rsidRDefault="00D03035" w:rsidP="00F1130C">
      <w:pPr>
        <w:numPr>
          <w:ilvl w:val="0"/>
          <w:numId w:val="1"/>
        </w:numPr>
        <w:spacing w:after="0" w:line="240" w:lineRule="auto"/>
        <w:jc w:val="both"/>
        <w:rPr>
          <w:rFonts w:eastAsia="Times New Roman" w:cs="Arial"/>
          <w:lang w:eastAsia="hr-HR"/>
        </w:rPr>
      </w:pPr>
      <w:r w:rsidRPr="00876425">
        <w:rPr>
          <w:rFonts w:eastAsia="Times New Roman" w:cs="Arial"/>
          <w:lang w:eastAsia="hr-HR"/>
        </w:rPr>
        <w:t xml:space="preserve">financiranje infrastrukture, </w:t>
      </w:r>
    </w:p>
    <w:p w14:paraId="784010FA" w14:textId="77777777" w:rsidR="00D03035" w:rsidRPr="00876425" w:rsidRDefault="00D03035" w:rsidP="00F1130C">
      <w:pPr>
        <w:numPr>
          <w:ilvl w:val="0"/>
          <w:numId w:val="1"/>
        </w:numPr>
        <w:spacing w:after="0" w:line="240" w:lineRule="auto"/>
        <w:jc w:val="both"/>
        <w:rPr>
          <w:rFonts w:eastAsia="Times New Roman" w:cs="Arial"/>
          <w:lang w:eastAsia="hr-HR"/>
        </w:rPr>
      </w:pPr>
      <w:r w:rsidRPr="00876425">
        <w:rPr>
          <w:rFonts w:eastAsia="Times New Roman" w:cs="Arial"/>
          <w:lang w:eastAsia="hr-HR"/>
        </w:rPr>
        <w:t xml:space="preserve">poticanje izvoza, </w:t>
      </w:r>
    </w:p>
    <w:p w14:paraId="4CD83557" w14:textId="77777777" w:rsidR="00D03035" w:rsidRPr="00876425" w:rsidRDefault="00D03035" w:rsidP="00F1130C">
      <w:pPr>
        <w:numPr>
          <w:ilvl w:val="0"/>
          <w:numId w:val="1"/>
        </w:numPr>
        <w:spacing w:after="0" w:line="240" w:lineRule="auto"/>
        <w:jc w:val="both"/>
        <w:rPr>
          <w:rFonts w:eastAsia="Times New Roman" w:cs="Arial"/>
          <w:lang w:eastAsia="hr-HR"/>
        </w:rPr>
      </w:pPr>
      <w:r w:rsidRPr="00876425">
        <w:rPr>
          <w:rFonts w:eastAsia="Times New Roman" w:cs="Arial"/>
          <w:lang w:eastAsia="hr-HR"/>
        </w:rPr>
        <w:t xml:space="preserve">potporu razvitku malog i srednjeg poduzetništva, </w:t>
      </w:r>
    </w:p>
    <w:p w14:paraId="1D832173" w14:textId="77777777" w:rsidR="007A46AD" w:rsidRPr="007A46AD" w:rsidRDefault="00D03035" w:rsidP="00F1130C">
      <w:pPr>
        <w:numPr>
          <w:ilvl w:val="0"/>
          <w:numId w:val="1"/>
        </w:numPr>
        <w:spacing w:after="0" w:line="240" w:lineRule="auto"/>
        <w:rPr>
          <w:rFonts w:cs="Calibri"/>
          <w:b/>
          <w:spacing w:val="-3"/>
          <w:lang w:eastAsia="hr-HR"/>
        </w:rPr>
      </w:pPr>
      <w:r w:rsidRPr="007A46AD">
        <w:rPr>
          <w:rFonts w:eastAsia="Times New Roman" w:cs="Arial"/>
          <w:lang w:eastAsia="hr-HR"/>
        </w:rPr>
        <w:t>poticanje zaštite okoliša</w:t>
      </w:r>
      <w:r w:rsidR="00BC5121" w:rsidRPr="007A46AD">
        <w:rPr>
          <w:rFonts w:eastAsia="Times New Roman" w:cs="Arial"/>
          <w:lang w:eastAsia="hr-HR"/>
        </w:rPr>
        <w:t>,</w:t>
      </w:r>
    </w:p>
    <w:p w14:paraId="4AA70042" w14:textId="77777777" w:rsidR="0052420D" w:rsidRPr="00007FC2" w:rsidRDefault="007A46AD" w:rsidP="00F1130C">
      <w:pPr>
        <w:numPr>
          <w:ilvl w:val="0"/>
          <w:numId w:val="1"/>
        </w:numPr>
        <w:spacing w:after="0" w:line="240" w:lineRule="auto"/>
        <w:rPr>
          <w:rFonts w:cs="Calibri"/>
          <w:b/>
          <w:spacing w:val="-3"/>
          <w:lang w:eastAsia="hr-HR"/>
        </w:rPr>
      </w:pPr>
      <w:r>
        <w:rPr>
          <w:rFonts w:eastAsia="Times New Roman" w:cs="Arial"/>
          <w:lang w:eastAsia="hr-HR"/>
        </w:rPr>
        <w:t>kao i osiguranja izvoza hrvatskih roba i usluga od netržišnih rizika u ime i za račun Republike Hrvatske.</w:t>
      </w:r>
    </w:p>
    <w:p w14:paraId="03C1C8C2" w14:textId="77777777" w:rsidR="00BC5121" w:rsidRPr="007A46AD" w:rsidRDefault="00BC5121" w:rsidP="00007FC2">
      <w:pPr>
        <w:spacing w:after="0" w:line="240" w:lineRule="auto"/>
        <w:ind w:left="720"/>
        <w:rPr>
          <w:rFonts w:cs="Calibri"/>
          <w:b/>
          <w:spacing w:val="-3"/>
          <w:lang w:eastAsia="hr-HR"/>
        </w:rPr>
      </w:pPr>
    </w:p>
    <w:p w14:paraId="3C3F79B7" w14:textId="77777777" w:rsidR="00114CCE" w:rsidRPr="00876425" w:rsidRDefault="00D03035" w:rsidP="00FB78E7">
      <w:pPr>
        <w:spacing w:after="0" w:line="240" w:lineRule="auto"/>
        <w:jc w:val="both"/>
        <w:rPr>
          <w:rFonts w:eastAsia="Times New Roman" w:cs="Arial"/>
          <w:lang w:eastAsia="hr-HR"/>
        </w:rPr>
      </w:pPr>
      <w:r w:rsidRPr="00876425">
        <w:rPr>
          <w:rFonts w:eastAsia="Times New Roman" w:cs="Arial"/>
          <w:lang w:eastAsia="hr-HR"/>
        </w:rPr>
        <w:t>HBOR može obavljati i druge financijske poslove sukladno odlukama Vlade Republike Hrvatske ako ona ocijeni da je to u interesu Republike Hrvatske.</w:t>
      </w:r>
    </w:p>
    <w:p w14:paraId="6A2D4702" w14:textId="77777777" w:rsidR="007A46AD" w:rsidRDefault="007A46AD" w:rsidP="00B80E06">
      <w:pPr>
        <w:spacing w:after="0" w:line="240" w:lineRule="auto"/>
        <w:ind w:left="426"/>
        <w:jc w:val="both"/>
        <w:rPr>
          <w:rFonts w:eastAsia="Times New Roman" w:cs="Arial"/>
          <w:b/>
          <w:sz w:val="24"/>
          <w:szCs w:val="24"/>
          <w:lang w:eastAsia="hr-HR"/>
        </w:rPr>
      </w:pPr>
    </w:p>
    <w:p w14:paraId="6609F649" w14:textId="063AD0DB" w:rsidR="00D03035" w:rsidRPr="00876425" w:rsidRDefault="0038086E" w:rsidP="0038086E">
      <w:pPr>
        <w:tabs>
          <w:tab w:val="left" w:pos="567"/>
        </w:tabs>
        <w:spacing w:after="0" w:line="240" w:lineRule="auto"/>
        <w:jc w:val="both"/>
        <w:rPr>
          <w:rFonts w:eastAsia="Times New Roman" w:cs="Arial"/>
          <w:b/>
          <w:lang w:eastAsia="hr-HR"/>
        </w:rPr>
      </w:pPr>
      <w:r>
        <w:rPr>
          <w:rFonts w:eastAsia="Times New Roman" w:cs="Arial"/>
          <w:b/>
          <w:lang w:eastAsia="hr-HR"/>
        </w:rPr>
        <w:t>2.</w:t>
      </w:r>
      <w:r>
        <w:rPr>
          <w:rFonts w:eastAsia="Times New Roman" w:cs="Arial"/>
          <w:b/>
          <w:lang w:eastAsia="hr-HR"/>
        </w:rPr>
        <w:tab/>
      </w:r>
      <w:r w:rsidR="00B25458" w:rsidRPr="00876425">
        <w:rPr>
          <w:rFonts w:eastAsia="Times New Roman" w:cs="Arial"/>
          <w:b/>
          <w:lang w:eastAsia="hr-HR"/>
        </w:rPr>
        <w:t>Temelj</w:t>
      </w:r>
      <w:r w:rsidR="00D03035" w:rsidRPr="00876425">
        <w:rPr>
          <w:rFonts w:eastAsia="Times New Roman" w:cs="Arial"/>
          <w:b/>
          <w:lang w:eastAsia="hr-HR"/>
        </w:rPr>
        <w:t xml:space="preserve"> za </w:t>
      </w:r>
      <w:r w:rsidR="00887532" w:rsidRPr="00876425">
        <w:rPr>
          <w:rFonts w:eastAsia="Times New Roman" w:cs="Arial"/>
          <w:b/>
          <w:lang w:eastAsia="hr-HR"/>
        </w:rPr>
        <w:t xml:space="preserve">sastavljanje </w:t>
      </w:r>
      <w:r w:rsidR="00D03035" w:rsidRPr="00876425">
        <w:rPr>
          <w:rFonts w:eastAsia="Times New Roman" w:cs="Arial"/>
          <w:b/>
          <w:lang w:eastAsia="hr-HR"/>
        </w:rPr>
        <w:t>financijskih izvještaja</w:t>
      </w:r>
      <w:r w:rsidR="000746B4" w:rsidRPr="00876425">
        <w:rPr>
          <w:rFonts w:eastAsia="Times New Roman" w:cs="Arial"/>
          <w:b/>
          <w:lang w:eastAsia="hr-HR"/>
        </w:rPr>
        <w:t xml:space="preserve"> u tijeku godine</w:t>
      </w:r>
    </w:p>
    <w:p w14:paraId="273A3134" w14:textId="77777777" w:rsidR="00AE12ED" w:rsidRDefault="00AE12ED" w:rsidP="00504060">
      <w:pPr>
        <w:spacing w:after="0" w:line="240" w:lineRule="auto"/>
        <w:jc w:val="both"/>
        <w:rPr>
          <w:rFonts w:eastAsia="Times New Roman" w:cs="Arial"/>
          <w:lang w:eastAsia="hr-HR"/>
        </w:rPr>
      </w:pPr>
    </w:p>
    <w:p w14:paraId="7E7E53D4" w14:textId="39123E0E" w:rsidR="00B25458" w:rsidRDefault="00E303D6" w:rsidP="00FB78E7">
      <w:pPr>
        <w:spacing w:after="0" w:line="240" w:lineRule="auto"/>
        <w:jc w:val="both"/>
        <w:rPr>
          <w:rFonts w:eastAsia="Times New Roman" w:cs="Arial"/>
          <w:lang w:eastAsia="hr-HR"/>
        </w:rPr>
      </w:pPr>
      <w:r w:rsidRPr="00D1233D">
        <w:rPr>
          <w:rFonts w:eastAsia="Times New Roman" w:cs="Arial"/>
          <w:lang w:eastAsia="hr-HR"/>
        </w:rPr>
        <w:t xml:space="preserve">Skraćeni </w:t>
      </w:r>
      <w:r w:rsidR="001E47CC" w:rsidRPr="00D1233D">
        <w:rPr>
          <w:rFonts w:eastAsia="Times New Roman" w:cs="Arial"/>
          <w:lang w:eastAsia="hr-HR"/>
        </w:rPr>
        <w:t xml:space="preserve">konsolidirani </w:t>
      </w:r>
      <w:r w:rsidRPr="00D1233D">
        <w:rPr>
          <w:rFonts w:eastAsia="Times New Roman" w:cs="Arial"/>
          <w:lang w:eastAsia="hr-HR"/>
        </w:rPr>
        <w:t>f</w:t>
      </w:r>
      <w:r w:rsidR="0035061D" w:rsidRPr="00D1233D">
        <w:rPr>
          <w:rFonts w:eastAsia="Times New Roman" w:cs="Arial"/>
          <w:lang w:eastAsia="hr-HR"/>
        </w:rPr>
        <w:t>inancijski izvještaji Grupe HBOR</w:t>
      </w:r>
      <w:r w:rsidR="0035061D" w:rsidRPr="00876425">
        <w:rPr>
          <w:rFonts w:eastAsia="Times New Roman" w:cs="Arial"/>
          <w:lang w:eastAsia="hr-HR"/>
        </w:rPr>
        <w:t xml:space="preserve"> </w:t>
      </w:r>
      <w:r w:rsidR="00B25458" w:rsidRPr="00876425">
        <w:rPr>
          <w:rFonts w:eastAsia="Times New Roman" w:cs="Arial"/>
          <w:lang w:eastAsia="hr-HR"/>
        </w:rPr>
        <w:t>za razdoblje od 1.</w:t>
      </w:r>
      <w:r w:rsidR="00B81E3B" w:rsidRPr="00876425">
        <w:rPr>
          <w:rFonts w:eastAsia="Times New Roman" w:cs="Arial"/>
          <w:lang w:eastAsia="hr-HR"/>
        </w:rPr>
        <w:t xml:space="preserve"> siječnja</w:t>
      </w:r>
      <w:r w:rsidR="00B25458" w:rsidRPr="00876425">
        <w:rPr>
          <w:rFonts w:eastAsia="Times New Roman" w:cs="Arial"/>
          <w:lang w:eastAsia="hr-HR"/>
        </w:rPr>
        <w:t xml:space="preserve"> do </w:t>
      </w:r>
      <w:r w:rsidR="00932654">
        <w:rPr>
          <w:rFonts w:eastAsia="Times New Roman" w:cs="Arial"/>
          <w:lang w:eastAsia="hr-HR"/>
        </w:rPr>
        <w:t>30</w:t>
      </w:r>
      <w:r w:rsidR="00F51330">
        <w:rPr>
          <w:rFonts w:eastAsia="Times New Roman" w:cs="Arial"/>
          <w:lang w:eastAsia="hr-HR"/>
        </w:rPr>
        <w:t xml:space="preserve">. </w:t>
      </w:r>
      <w:r w:rsidR="00932654">
        <w:rPr>
          <w:rFonts w:eastAsia="Times New Roman" w:cs="Arial"/>
          <w:lang w:eastAsia="hr-HR"/>
        </w:rPr>
        <w:t>lipnja</w:t>
      </w:r>
      <w:r w:rsidR="00932654" w:rsidRPr="00876425">
        <w:rPr>
          <w:rFonts w:eastAsia="Times New Roman" w:cs="Arial"/>
          <w:lang w:eastAsia="hr-HR"/>
        </w:rPr>
        <w:t xml:space="preserve"> </w:t>
      </w:r>
      <w:r w:rsidR="00333C6F" w:rsidRPr="00876425">
        <w:rPr>
          <w:rFonts w:eastAsia="Times New Roman" w:cs="Arial"/>
          <w:lang w:eastAsia="hr-HR"/>
        </w:rPr>
        <w:t>201</w:t>
      </w:r>
      <w:r w:rsidR="00F51330">
        <w:rPr>
          <w:rFonts w:eastAsia="Times New Roman" w:cs="Arial"/>
          <w:lang w:eastAsia="hr-HR"/>
        </w:rPr>
        <w:t>7</w:t>
      </w:r>
      <w:r w:rsidR="00B25458" w:rsidRPr="00876425">
        <w:rPr>
          <w:rFonts w:eastAsia="Times New Roman" w:cs="Arial"/>
          <w:lang w:eastAsia="hr-HR"/>
        </w:rPr>
        <w:t>. godine sastavljeni su primjenom Međunarodnog računovodstvenog standarda 34</w:t>
      </w:r>
      <w:r w:rsidR="00184BF8" w:rsidRPr="00876425">
        <w:rPr>
          <w:rFonts w:eastAsia="Times New Roman" w:cs="Arial"/>
          <w:lang w:eastAsia="hr-HR"/>
        </w:rPr>
        <w:t xml:space="preserve"> </w:t>
      </w:r>
      <w:r w:rsidR="00AC0885" w:rsidRPr="00876425">
        <w:rPr>
          <w:rFonts w:eastAsia="Times New Roman" w:cs="Arial"/>
          <w:lang w:eastAsia="hr-HR"/>
        </w:rPr>
        <w:t>Financijsko izvještavanje za razdoblja tijekom godine</w:t>
      </w:r>
      <w:r w:rsidR="00B25458" w:rsidRPr="00876425">
        <w:rPr>
          <w:rFonts w:eastAsia="Times New Roman" w:cs="Arial"/>
          <w:lang w:eastAsia="hr-HR"/>
        </w:rPr>
        <w:t xml:space="preserve">. </w:t>
      </w:r>
    </w:p>
    <w:p w14:paraId="4F62F835" w14:textId="77777777" w:rsidR="00504060" w:rsidRPr="00876425" w:rsidRDefault="00504060" w:rsidP="00FB78E7">
      <w:pPr>
        <w:spacing w:after="0" w:line="240" w:lineRule="auto"/>
        <w:jc w:val="both"/>
        <w:rPr>
          <w:rFonts w:eastAsia="Times New Roman" w:cs="Arial"/>
          <w:lang w:eastAsia="hr-HR"/>
        </w:rPr>
      </w:pPr>
    </w:p>
    <w:p w14:paraId="22D8DD67" w14:textId="7D6F68A5" w:rsidR="00604FF8" w:rsidRDefault="001E47CC" w:rsidP="00FB78E7">
      <w:pPr>
        <w:spacing w:after="0" w:line="240" w:lineRule="auto"/>
        <w:jc w:val="both"/>
        <w:rPr>
          <w:rFonts w:eastAsia="Times New Roman" w:cs="Arial"/>
          <w:lang w:eastAsia="hr-HR"/>
        </w:rPr>
      </w:pPr>
      <w:r w:rsidRPr="00D1233D">
        <w:rPr>
          <w:rFonts w:eastAsia="Times New Roman" w:cs="Arial"/>
          <w:lang w:eastAsia="hr-HR"/>
        </w:rPr>
        <w:t>Skraćeni konsolidirani financijski izvještaji</w:t>
      </w:r>
      <w:r w:rsidR="00B81E3B" w:rsidRPr="00D1233D">
        <w:rPr>
          <w:rFonts w:eastAsia="Times New Roman" w:cs="Arial"/>
          <w:lang w:eastAsia="hr-HR"/>
        </w:rPr>
        <w:t xml:space="preserve"> za razdoblje</w:t>
      </w:r>
      <w:r w:rsidR="00B81E3B" w:rsidRPr="005F0AFA">
        <w:rPr>
          <w:rFonts w:eastAsia="Times New Roman" w:cs="Arial"/>
          <w:lang w:eastAsia="hr-HR"/>
        </w:rPr>
        <w:t xml:space="preserve"> od 1. siječnja do </w:t>
      </w:r>
      <w:r w:rsidR="00932654" w:rsidRPr="00F51330">
        <w:rPr>
          <w:rFonts w:eastAsia="Times New Roman" w:cs="Arial"/>
          <w:lang w:eastAsia="hr-HR"/>
        </w:rPr>
        <w:t>3</w:t>
      </w:r>
      <w:r w:rsidR="00932654">
        <w:rPr>
          <w:rFonts w:eastAsia="Times New Roman" w:cs="Arial"/>
          <w:lang w:eastAsia="hr-HR"/>
        </w:rPr>
        <w:t>0</w:t>
      </w:r>
      <w:r w:rsidR="00F51330" w:rsidRPr="00F51330">
        <w:rPr>
          <w:rFonts w:eastAsia="Times New Roman" w:cs="Arial"/>
          <w:lang w:eastAsia="hr-HR"/>
        </w:rPr>
        <w:t xml:space="preserve">. </w:t>
      </w:r>
      <w:r w:rsidR="00932654">
        <w:rPr>
          <w:rFonts w:eastAsia="Times New Roman" w:cs="Arial"/>
          <w:lang w:eastAsia="hr-HR"/>
        </w:rPr>
        <w:t>lipnja</w:t>
      </w:r>
      <w:r w:rsidR="00932654" w:rsidRPr="005F0AFA">
        <w:rPr>
          <w:rFonts w:eastAsia="Times New Roman" w:cs="Arial"/>
          <w:lang w:eastAsia="hr-HR"/>
        </w:rPr>
        <w:t xml:space="preserve"> </w:t>
      </w:r>
      <w:r w:rsidR="00333C6F" w:rsidRPr="005F0AFA">
        <w:rPr>
          <w:rFonts w:eastAsia="Times New Roman" w:cs="Arial"/>
          <w:lang w:eastAsia="hr-HR"/>
        </w:rPr>
        <w:t>201</w:t>
      </w:r>
      <w:r w:rsidR="00F51330">
        <w:rPr>
          <w:rFonts w:eastAsia="Times New Roman" w:cs="Arial"/>
          <w:lang w:eastAsia="hr-HR"/>
        </w:rPr>
        <w:t>7</w:t>
      </w:r>
      <w:r w:rsidR="00B81E3B" w:rsidRPr="005F0AFA">
        <w:rPr>
          <w:rFonts w:eastAsia="Times New Roman" w:cs="Arial"/>
          <w:lang w:eastAsia="hr-HR"/>
        </w:rPr>
        <w:t xml:space="preserve">. godine </w:t>
      </w:r>
      <w:r w:rsidRPr="002E6BD9">
        <w:rPr>
          <w:rFonts w:eastAsia="Times New Roman" w:cs="Arial"/>
          <w:lang w:eastAsia="hr-HR"/>
        </w:rPr>
        <w:t xml:space="preserve">ne uključuju sve informacije i objave koje se zahtijevaju u godišnjim konsolidiranim financijskim izvještajima i potrebno ih je čitati </w:t>
      </w:r>
      <w:r w:rsidR="002445F5" w:rsidRPr="002E6BD9">
        <w:rPr>
          <w:rFonts w:eastAsia="Times New Roman" w:cs="Arial"/>
          <w:lang w:eastAsia="hr-HR"/>
        </w:rPr>
        <w:t>u kombinaciji s godišnjim konsolidiranim financijskim</w:t>
      </w:r>
      <w:r w:rsidR="002445F5" w:rsidRPr="005F0AFA">
        <w:rPr>
          <w:rFonts w:eastAsia="Times New Roman" w:cs="Arial"/>
          <w:lang w:eastAsia="hr-HR"/>
        </w:rPr>
        <w:t xml:space="preserve"> izvještajima Grupe HBOR za godinu koja je završila 31.</w:t>
      </w:r>
      <w:r w:rsidR="006B35D1">
        <w:rPr>
          <w:rFonts w:eastAsia="Times New Roman" w:cs="Arial"/>
          <w:lang w:eastAsia="hr-HR"/>
        </w:rPr>
        <w:t xml:space="preserve"> prosinca </w:t>
      </w:r>
      <w:r w:rsidR="00333C6F" w:rsidRPr="005F0AFA">
        <w:rPr>
          <w:rFonts w:eastAsia="Times New Roman" w:cs="Arial"/>
          <w:lang w:eastAsia="hr-HR"/>
        </w:rPr>
        <w:t>201</w:t>
      </w:r>
      <w:r w:rsidR="00F51330">
        <w:rPr>
          <w:rFonts w:eastAsia="Times New Roman" w:cs="Arial"/>
          <w:lang w:eastAsia="hr-HR"/>
        </w:rPr>
        <w:t>6</w:t>
      </w:r>
      <w:r w:rsidR="002445F5" w:rsidRPr="005F0AFA">
        <w:rPr>
          <w:rFonts w:eastAsia="Times New Roman" w:cs="Arial"/>
          <w:lang w:eastAsia="hr-HR"/>
        </w:rPr>
        <w:t>. godine.</w:t>
      </w:r>
    </w:p>
    <w:p w14:paraId="74B26B37" w14:textId="77777777" w:rsidR="00504060" w:rsidRPr="00876425" w:rsidRDefault="00504060" w:rsidP="00FB78E7">
      <w:pPr>
        <w:spacing w:after="0" w:line="240" w:lineRule="auto"/>
        <w:jc w:val="both"/>
        <w:rPr>
          <w:rFonts w:eastAsia="Times New Roman" w:cs="Arial"/>
          <w:lang w:eastAsia="hr-HR"/>
        </w:rPr>
      </w:pPr>
    </w:p>
    <w:p w14:paraId="7BC82306" w14:textId="77777777" w:rsidR="00501C6C" w:rsidRDefault="00501C6C" w:rsidP="00FB78E7">
      <w:pPr>
        <w:spacing w:after="0" w:line="240" w:lineRule="auto"/>
        <w:ind w:right="27"/>
        <w:jc w:val="both"/>
        <w:rPr>
          <w:rFonts w:eastAsia="Times New Roman" w:cs="Calibri"/>
          <w:lang w:eastAsia="hr-HR"/>
        </w:rPr>
      </w:pPr>
      <w:r w:rsidRPr="00876425">
        <w:rPr>
          <w:rFonts w:eastAsia="Times New Roman" w:cs="Calibri"/>
          <w:lang w:eastAsia="hr-HR"/>
        </w:rPr>
        <w:t>Skraćeni financijski izvještaji Grupe HBOR i HBOR-a pripremljeni su po načelu nastavka poslovanja.</w:t>
      </w:r>
    </w:p>
    <w:p w14:paraId="47F49BBC" w14:textId="77777777" w:rsidR="00504060" w:rsidRPr="00876425" w:rsidRDefault="00504060" w:rsidP="00FB78E7">
      <w:pPr>
        <w:spacing w:after="0" w:line="240" w:lineRule="auto"/>
        <w:ind w:right="27"/>
        <w:jc w:val="both"/>
        <w:rPr>
          <w:rFonts w:eastAsia="Times New Roman" w:cs="Calibri"/>
          <w:lang w:eastAsia="hr-HR"/>
        </w:rPr>
      </w:pPr>
    </w:p>
    <w:p w14:paraId="0E074D32" w14:textId="63B666E6" w:rsidR="00EA4D11" w:rsidRDefault="00EA4D11" w:rsidP="00FB78E7">
      <w:pPr>
        <w:spacing w:after="0" w:line="240" w:lineRule="auto"/>
        <w:ind w:right="27"/>
        <w:jc w:val="both"/>
        <w:rPr>
          <w:rFonts w:eastAsia="Times New Roman" w:cs="Calibri"/>
          <w:lang w:eastAsia="hr-HR"/>
        </w:rPr>
      </w:pPr>
      <w:r w:rsidRPr="00876425">
        <w:rPr>
          <w:rFonts w:eastAsia="Times New Roman" w:cs="Calibri"/>
          <w:lang w:eastAsia="hr-HR"/>
        </w:rPr>
        <w:t xml:space="preserve">Financijski izvještaji Grupe HBOR i HBOR-a sastoje se od konsolidiranog i nekonsolidiranog Izvještaja o financijskom položaju na dan </w:t>
      </w:r>
      <w:r w:rsidR="00932654" w:rsidRPr="00F51330">
        <w:rPr>
          <w:rFonts w:eastAsia="Times New Roman" w:cs="Arial"/>
          <w:lang w:eastAsia="hr-HR"/>
        </w:rPr>
        <w:t>3</w:t>
      </w:r>
      <w:r w:rsidR="00932654">
        <w:rPr>
          <w:rFonts w:eastAsia="Times New Roman" w:cs="Arial"/>
          <w:lang w:eastAsia="hr-HR"/>
        </w:rPr>
        <w:t>0</w:t>
      </w:r>
      <w:r w:rsidR="00F51330" w:rsidRPr="00F51330">
        <w:rPr>
          <w:rFonts w:eastAsia="Times New Roman" w:cs="Arial"/>
          <w:lang w:eastAsia="hr-HR"/>
        </w:rPr>
        <w:t xml:space="preserve">. </w:t>
      </w:r>
      <w:r w:rsidR="00932654">
        <w:rPr>
          <w:rFonts w:eastAsia="Times New Roman" w:cs="Arial"/>
          <w:lang w:eastAsia="hr-HR"/>
        </w:rPr>
        <w:t>lipnja</w:t>
      </w:r>
      <w:r w:rsidR="00932654" w:rsidRPr="00876425">
        <w:rPr>
          <w:rFonts w:eastAsia="Times New Roman" w:cs="Calibri"/>
          <w:lang w:eastAsia="hr-HR"/>
        </w:rPr>
        <w:t xml:space="preserve"> </w:t>
      </w:r>
      <w:r w:rsidR="00333C6F" w:rsidRPr="00876425">
        <w:rPr>
          <w:rFonts w:eastAsia="Times New Roman" w:cs="Calibri"/>
          <w:lang w:eastAsia="hr-HR"/>
        </w:rPr>
        <w:t>20</w:t>
      </w:r>
      <w:r w:rsidR="007910A0">
        <w:rPr>
          <w:rFonts w:eastAsia="Times New Roman" w:cs="Calibri"/>
          <w:lang w:eastAsia="hr-HR"/>
        </w:rPr>
        <w:t>1</w:t>
      </w:r>
      <w:r w:rsidR="00F51330">
        <w:rPr>
          <w:rFonts w:eastAsia="Times New Roman" w:cs="Calibri"/>
          <w:lang w:eastAsia="hr-HR"/>
        </w:rPr>
        <w:t>7</w:t>
      </w:r>
      <w:r w:rsidRPr="00876425">
        <w:rPr>
          <w:rFonts w:eastAsia="Times New Roman" w:cs="Calibri"/>
          <w:lang w:eastAsia="hr-HR"/>
        </w:rPr>
        <w:t xml:space="preserve">. godine, Izvještaja o dobiti i gubitku za razdoblje od 1. siječnja do </w:t>
      </w:r>
      <w:r w:rsidR="00932654" w:rsidRPr="00F51330">
        <w:rPr>
          <w:rFonts w:eastAsia="Times New Roman" w:cs="Arial"/>
          <w:lang w:eastAsia="hr-HR"/>
        </w:rPr>
        <w:t>3</w:t>
      </w:r>
      <w:r w:rsidR="00932654">
        <w:rPr>
          <w:rFonts w:eastAsia="Times New Roman" w:cs="Arial"/>
          <w:lang w:eastAsia="hr-HR"/>
        </w:rPr>
        <w:t>0</w:t>
      </w:r>
      <w:r w:rsidR="00F51330" w:rsidRPr="00F51330">
        <w:rPr>
          <w:rFonts w:eastAsia="Times New Roman" w:cs="Arial"/>
          <w:lang w:eastAsia="hr-HR"/>
        </w:rPr>
        <w:t xml:space="preserve">. </w:t>
      </w:r>
      <w:r w:rsidR="00932654">
        <w:rPr>
          <w:rFonts w:eastAsia="Times New Roman" w:cs="Arial"/>
          <w:lang w:eastAsia="hr-HR"/>
        </w:rPr>
        <w:t>lipnja</w:t>
      </w:r>
      <w:r w:rsidR="00932654" w:rsidRPr="00876425">
        <w:rPr>
          <w:rFonts w:eastAsia="Times New Roman" w:cs="Calibri"/>
          <w:lang w:eastAsia="hr-HR"/>
        </w:rPr>
        <w:t xml:space="preserve"> </w:t>
      </w:r>
      <w:r w:rsidR="00333C6F" w:rsidRPr="00876425">
        <w:rPr>
          <w:rFonts w:eastAsia="Times New Roman" w:cs="Calibri"/>
          <w:lang w:eastAsia="hr-HR"/>
        </w:rPr>
        <w:t>201</w:t>
      </w:r>
      <w:r w:rsidR="00F51330">
        <w:rPr>
          <w:rFonts w:eastAsia="Times New Roman" w:cs="Calibri"/>
          <w:lang w:eastAsia="hr-HR"/>
        </w:rPr>
        <w:t>7</w:t>
      </w:r>
      <w:r w:rsidRPr="00876425">
        <w:rPr>
          <w:rFonts w:eastAsia="Times New Roman" w:cs="Calibri"/>
          <w:lang w:eastAsia="hr-HR"/>
        </w:rPr>
        <w:t xml:space="preserve">. godine, Izvještaja o dobiti i gubitku te ostaloj sveobuhvatnoj dobiti za razdoblje od 1. siječnja do </w:t>
      </w:r>
      <w:r w:rsidR="00932654" w:rsidRPr="00F51330">
        <w:rPr>
          <w:rFonts w:eastAsia="Times New Roman" w:cs="Arial"/>
          <w:lang w:eastAsia="hr-HR"/>
        </w:rPr>
        <w:t>3</w:t>
      </w:r>
      <w:r w:rsidR="00932654">
        <w:rPr>
          <w:rFonts w:eastAsia="Times New Roman" w:cs="Arial"/>
          <w:lang w:eastAsia="hr-HR"/>
        </w:rPr>
        <w:t>0</w:t>
      </w:r>
      <w:r w:rsidR="00F51330" w:rsidRPr="00F51330">
        <w:rPr>
          <w:rFonts w:eastAsia="Times New Roman" w:cs="Arial"/>
          <w:lang w:eastAsia="hr-HR"/>
        </w:rPr>
        <w:t xml:space="preserve">. </w:t>
      </w:r>
      <w:r w:rsidR="00932654">
        <w:rPr>
          <w:rFonts w:eastAsia="Times New Roman" w:cs="Arial"/>
          <w:lang w:eastAsia="hr-HR"/>
        </w:rPr>
        <w:t>lipnja</w:t>
      </w:r>
      <w:r w:rsidR="00932654" w:rsidRPr="005F0AFA">
        <w:rPr>
          <w:rFonts w:eastAsia="Times New Roman" w:cs="Arial"/>
          <w:lang w:eastAsia="hr-HR"/>
        </w:rPr>
        <w:t xml:space="preserve"> </w:t>
      </w:r>
      <w:r w:rsidR="00333C6F" w:rsidRPr="00876425">
        <w:rPr>
          <w:rFonts w:eastAsia="Times New Roman" w:cs="Calibri"/>
          <w:lang w:eastAsia="hr-HR"/>
        </w:rPr>
        <w:t>201</w:t>
      </w:r>
      <w:r w:rsidR="00F51330">
        <w:rPr>
          <w:rFonts w:eastAsia="Times New Roman" w:cs="Calibri"/>
          <w:lang w:eastAsia="hr-HR"/>
        </w:rPr>
        <w:t>7</w:t>
      </w:r>
      <w:r w:rsidRPr="00876425">
        <w:rPr>
          <w:rFonts w:eastAsia="Times New Roman" w:cs="Calibri"/>
          <w:lang w:eastAsia="hr-HR"/>
        </w:rPr>
        <w:t xml:space="preserve">. godine, Izvještaja o novčanim tokovima za razdoblje od 1. siječnja do </w:t>
      </w:r>
      <w:r w:rsidR="00932654" w:rsidRPr="00F51330">
        <w:rPr>
          <w:rFonts w:eastAsia="Times New Roman" w:cs="Arial"/>
          <w:lang w:eastAsia="hr-HR"/>
        </w:rPr>
        <w:t>3</w:t>
      </w:r>
      <w:r w:rsidR="00932654">
        <w:rPr>
          <w:rFonts w:eastAsia="Times New Roman" w:cs="Arial"/>
          <w:lang w:eastAsia="hr-HR"/>
        </w:rPr>
        <w:t>0</w:t>
      </w:r>
      <w:r w:rsidR="00F51330" w:rsidRPr="00F51330">
        <w:rPr>
          <w:rFonts w:eastAsia="Times New Roman" w:cs="Arial"/>
          <w:lang w:eastAsia="hr-HR"/>
        </w:rPr>
        <w:t xml:space="preserve">. </w:t>
      </w:r>
      <w:r w:rsidR="00932654">
        <w:rPr>
          <w:rFonts w:eastAsia="Times New Roman" w:cs="Arial"/>
          <w:lang w:eastAsia="hr-HR"/>
        </w:rPr>
        <w:t>lipnja</w:t>
      </w:r>
      <w:r w:rsidR="00932654" w:rsidRPr="005F0AFA">
        <w:rPr>
          <w:rFonts w:eastAsia="Times New Roman" w:cs="Arial"/>
          <w:lang w:eastAsia="hr-HR"/>
        </w:rPr>
        <w:t xml:space="preserve"> </w:t>
      </w:r>
      <w:r w:rsidR="00333C6F" w:rsidRPr="00876425">
        <w:rPr>
          <w:rFonts w:eastAsia="Times New Roman" w:cs="Calibri"/>
          <w:lang w:eastAsia="hr-HR"/>
        </w:rPr>
        <w:t>201</w:t>
      </w:r>
      <w:r w:rsidR="00F51330">
        <w:rPr>
          <w:rFonts w:eastAsia="Times New Roman" w:cs="Calibri"/>
          <w:lang w:eastAsia="hr-HR"/>
        </w:rPr>
        <w:t>7</w:t>
      </w:r>
      <w:r w:rsidRPr="00876425">
        <w:rPr>
          <w:rFonts w:eastAsia="Times New Roman" w:cs="Calibri"/>
          <w:lang w:eastAsia="hr-HR"/>
        </w:rPr>
        <w:t xml:space="preserve">. godine, Izvještaja o promjenama na kapitalu za razdoblje od 1. siječnja do </w:t>
      </w:r>
      <w:r w:rsidR="00932654" w:rsidRPr="00F51330">
        <w:rPr>
          <w:rFonts w:eastAsia="Times New Roman" w:cs="Arial"/>
          <w:lang w:eastAsia="hr-HR"/>
        </w:rPr>
        <w:t>3</w:t>
      </w:r>
      <w:r w:rsidR="00932654">
        <w:rPr>
          <w:rFonts w:eastAsia="Times New Roman" w:cs="Arial"/>
          <w:lang w:eastAsia="hr-HR"/>
        </w:rPr>
        <w:t>0</w:t>
      </w:r>
      <w:r w:rsidR="00F51330" w:rsidRPr="00F51330">
        <w:rPr>
          <w:rFonts w:eastAsia="Times New Roman" w:cs="Arial"/>
          <w:lang w:eastAsia="hr-HR"/>
        </w:rPr>
        <w:t xml:space="preserve">. </w:t>
      </w:r>
      <w:r w:rsidR="00932654">
        <w:rPr>
          <w:rFonts w:eastAsia="Times New Roman" w:cs="Arial"/>
          <w:lang w:eastAsia="hr-HR"/>
        </w:rPr>
        <w:t>lipnja</w:t>
      </w:r>
      <w:r w:rsidR="00932654" w:rsidRPr="00F51330">
        <w:rPr>
          <w:rFonts w:eastAsia="Times New Roman" w:cs="Arial"/>
          <w:lang w:eastAsia="hr-HR"/>
        </w:rPr>
        <w:t xml:space="preserve"> </w:t>
      </w:r>
      <w:r w:rsidR="00333C6F" w:rsidRPr="00876425">
        <w:rPr>
          <w:rFonts w:eastAsia="Times New Roman" w:cs="Calibri"/>
          <w:lang w:eastAsia="hr-HR"/>
        </w:rPr>
        <w:t>201</w:t>
      </w:r>
      <w:r w:rsidR="00F51330">
        <w:rPr>
          <w:rFonts w:eastAsia="Times New Roman" w:cs="Calibri"/>
          <w:lang w:eastAsia="hr-HR"/>
        </w:rPr>
        <w:t>7</w:t>
      </w:r>
      <w:r w:rsidRPr="00876425">
        <w:rPr>
          <w:rFonts w:eastAsia="Times New Roman" w:cs="Calibri"/>
          <w:lang w:eastAsia="hr-HR"/>
        </w:rPr>
        <w:t xml:space="preserve">. godine te pripadajućih Bilješki </w:t>
      </w:r>
      <w:r w:rsidR="00163A54">
        <w:rPr>
          <w:rFonts w:eastAsia="Times New Roman" w:cs="Calibri"/>
          <w:lang w:eastAsia="hr-HR"/>
        </w:rPr>
        <w:t xml:space="preserve">koje </w:t>
      </w:r>
      <w:r w:rsidR="007910A0" w:rsidRPr="007910A0">
        <w:rPr>
          <w:rFonts w:eastAsia="Times New Roman" w:cs="Calibri"/>
          <w:lang w:eastAsia="hr-HR"/>
        </w:rPr>
        <w:t>obuhvaćaju važne računovodstvene politike i druga objašnjenja</w:t>
      </w:r>
      <w:r w:rsidRPr="00876425">
        <w:rPr>
          <w:rFonts w:eastAsia="Times New Roman" w:cs="Calibri"/>
          <w:lang w:eastAsia="hr-HR"/>
        </w:rPr>
        <w:t>.</w:t>
      </w:r>
    </w:p>
    <w:p w14:paraId="284E384B" w14:textId="77777777" w:rsidR="0021697A" w:rsidRDefault="0021697A" w:rsidP="0021697A">
      <w:pPr>
        <w:rPr>
          <w:rFonts w:eastAsia="Times New Roman" w:cs="Arial"/>
          <w:sz w:val="24"/>
          <w:szCs w:val="24"/>
          <w:lang w:eastAsia="hr-HR"/>
        </w:rPr>
      </w:pPr>
    </w:p>
    <w:p w14:paraId="5BD25C6E" w14:textId="77777777" w:rsidR="0021697A" w:rsidRDefault="0021697A" w:rsidP="0021697A">
      <w:pPr>
        <w:rPr>
          <w:rFonts w:eastAsia="Times New Roman" w:cs="Arial"/>
          <w:sz w:val="24"/>
          <w:szCs w:val="24"/>
          <w:lang w:eastAsia="hr-HR"/>
        </w:rPr>
      </w:pPr>
    </w:p>
    <w:p w14:paraId="3030C7DF" w14:textId="77777777" w:rsidR="00215746" w:rsidRPr="00007FC2" w:rsidRDefault="00215746" w:rsidP="00007FC2">
      <w:pPr>
        <w:rPr>
          <w:rFonts w:eastAsia="Times New Roman" w:cs="Arial"/>
          <w:sz w:val="24"/>
          <w:szCs w:val="24"/>
          <w:lang w:eastAsia="hr-HR"/>
        </w:rPr>
        <w:sectPr w:rsidR="00215746" w:rsidRPr="00007FC2" w:rsidSect="00305343">
          <w:footerReference w:type="first" r:id="rId53"/>
          <w:pgSz w:w="11906" w:h="16838" w:code="9"/>
          <w:pgMar w:top="596" w:right="1133" w:bottom="1417" w:left="1417" w:header="709" w:footer="709" w:gutter="0"/>
          <w:cols w:space="708"/>
          <w:titlePg/>
          <w:docGrid w:linePitch="360"/>
        </w:sectPr>
      </w:pPr>
    </w:p>
    <w:p w14:paraId="5A707CAB" w14:textId="77777777" w:rsidR="00B80E06" w:rsidRDefault="00B80E06" w:rsidP="00385FA3">
      <w:pPr>
        <w:keepNext/>
        <w:tabs>
          <w:tab w:val="left" w:pos="426"/>
        </w:tabs>
        <w:spacing w:after="0" w:line="240" w:lineRule="auto"/>
        <w:jc w:val="both"/>
        <w:rPr>
          <w:rFonts w:eastAsia="Times New Roman" w:cs="Arial"/>
          <w:b/>
          <w:bCs/>
          <w:sz w:val="24"/>
          <w:szCs w:val="24"/>
        </w:rPr>
      </w:pPr>
    </w:p>
    <w:p w14:paraId="286B90FA" w14:textId="77777777" w:rsidR="00AE12ED" w:rsidRDefault="00FB78E7" w:rsidP="00FB78E7">
      <w:pPr>
        <w:keepNext/>
        <w:tabs>
          <w:tab w:val="left" w:pos="426"/>
        </w:tabs>
        <w:spacing w:after="0" w:line="240" w:lineRule="auto"/>
        <w:jc w:val="both"/>
        <w:rPr>
          <w:rFonts w:eastAsia="Times New Roman" w:cs="Arial"/>
          <w:b/>
          <w:bCs/>
        </w:rPr>
      </w:pPr>
      <w:r>
        <w:rPr>
          <w:rFonts w:eastAsia="Times New Roman" w:cs="Arial"/>
          <w:b/>
          <w:bCs/>
        </w:rPr>
        <w:t xml:space="preserve">3. </w:t>
      </w:r>
      <w:r>
        <w:rPr>
          <w:rFonts w:eastAsia="Times New Roman" w:cs="Arial"/>
          <w:b/>
          <w:bCs/>
        </w:rPr>
        <w:tab/>
      </w:r>
      <w:r w:rsidR="00955FDC" w:rsidRPr="00876425">
        <w:rPr>
          <w:rFonts w:eastAsia="Times New Roman" w:cs="Arial"/>
          <w:b/>
          <w:bCs/>
        </w:rPr>
        <w:t>Sažetak značajnih računovodstvenih politika</w:t>
      </w:r>
    </w:p>
    <w:p w14:paraId="41A58D07" w14:textId="77777777" w:rsidR="00FB78E7" w:rsidRPr="00BF3DE3" w:rsidRDefault="00FB78E7" w:rsidP="00FB78E7">
      <w:pPr>
        <w:keepNext/>
        <w:tabs>
          <w:tab w:val="left" w:pos="426"/>
        </w:tabs>
        <w:spacing w:after="0" w:line="240" w:lineRule="auto"/>
        <w:jc w:val="both"/>
        <w:rPr>
          <w:rFonts w:eastAsia="Times New Roman" w:cs="Arial"/>
          <w:b/>
          <w:bCs/>
        </w:rPr>
      </w:pPr>
    </w:p>
    <w:p w14:paraId="072026F4" w14:textId="77777777" w:rsidR="007910A0" w:rsidRPr="007910A0" w:rsidRDefault="007910A0" w:rsidP="007910A0">
      <w:pPr>
        <w:keepNext/>
        <w:tabs>
          <w:tab w:val="left" w:pos="567"/>
        </w:tabs>
        <w:spacing w:after="0" w:line="240" w:lineRule="auto"/>
        <w:jc w:val="both"/>
        <w:rPr>
          <w:rFonts w:eastAsia="Times New Roman" w:cs="Arial"/>
          <w:b/>
          <w:bCs/>
        </w:rPr>
      </w:pPr>
      <w:r w:rsidRPr="007910A0">
        <w:rPr>
          <w:rFonts w:eastAsia="Times New Roman" w:cs="Arial"/>
          <w:b/>
          <w:bCs/>
        </w:rPr>
        <w:t>3.1.</w:t>
      </w:r>
      <w:r w:rsidRPr="007910A0">
        <w:rPr>
          <w:rFonts w:eastAsia="Times New Roman" w:cs="Arial"/>
          <w:b/>
          <w:bCs/>
        </w:rPr>
        <w:tab/>
        <w:t>Računovodstvene politike</w:t>
      </w:r>
    </w:p>
    <w:p w14:paraId="77831735" w14:textId="77777777" w:rsidR="007910A0" w:rsidRPr="007910A0" w:rsidRDefault="007910A0" w:rsidP="007910A0">
      <w:pPr>
        <w:keepNext/>
        <w:spacing w:after="0" w:line="240" w:lineRule="auto"/>
        <w:jc w:val="both"/>
        <w:rPr>
          <w:rFonts w:eastAsia="Times New Roman" w:cs="Arial"/>
          <w:bCs/>
        </w:rPr>
      </w:pPr>
    </w:p>
    <w:p w14:paraId="7B1E51C6" w14:textId="555EE57A" w:rsidR="007910A0" w:rsidRPr="007910A0" w:rsidRDefault="007910A0" w:rsidP="007910A0">
      <w:pPr>
        <w:spacing w:after="0" w:line="240" w:lineRule="auto"/>
        <w:jc w:val="both"/>
        <w:rPr>
          <w:rFonts w:ascii="Calibri" w:hAnsi="Calibri"/>
          <w:szCs w:val="21"/>
        </w:rPr>
      </w:pPr>
      <w:r w:rsidRPr="007910A0">
        <w:rPr>
          <w:rFonts w:ascii="Calibri" w:eastAsia="Times New Roman" w:hAnsi="Calibri" w:cs="Arial"/>
          <w:bCs/>
          <w:szCs w:val="21"/>
        </w:rPr>
        <w:t>Osnovne računovodstvene politike primijenjene pri sastavljanju skraćenih financijskih izvještaja jednake su kao i pri sastavljanju Godišnjih financijskih izvještaja na dan 31. prosinca 201</w:t>
      </w:r>
      <w:r w:rsidR="00126FD1">
        <w:rPr>
          <w:rFonts w:ascii="Calibri" w:eastAsia="Times New Roman" w:hAnsi="Calibri" w:cs="Arial"/>
          <w:bCs/>
          <w:szCs w:val="21"/>
        </w:rPr>
        <w:t>6</w:t>
      </w:r>
      <w:r w:rsidRPr="007910A0">
        <w:rPr>
          <w:rFonts w:ascii="Calibri" w:eastAsia="Times New Roman" w:hAnsi="Calibri" w:cs="Arial"/>
          <w:bCs/>
          <w:szCs w:val="21"/>
        </w:rPr>
        <w:t>. godine</w:t>
      </w:r>
      <w:r w:rsidRPr="007910A0">
        <w:rPr>
          <w:rFonts w:ascii="Calibri" w:eastAsia="Times New Roman" w:hAnsi="Calibri" w:cs="Arial"/>
          <w:szCs w:val="21"/>
          <w:lang w:eastAsia="hr-HR"/>
        </w:rPr>
        <w:t xml:space="preserve"> koji su javno objavljeni na adresi: </w:t>
      </w:r>
      <w:hyperlink r:id="rId54" w:history="1">
        <w:r w:rsidRPr="007910A0">
          <w:rPr>
            <w:rFonts w:ascii="Calibri" w:hAnsi="Calibri"/>
            <w:color w:val="0000FF" w:themeColor="hyperlink"/>
            <w:szCs w:val="21"/>
            <w:u w:val="single"/>
          </w:rPr>
          <w:t>http://www.hbor.hr</w:t>
        </w:r>
      </w:hyperlink>
      <w:r w:rsidRPr="007910A0">
        <w:rPr>
          <w:rFonts w:ascii="Calibri" w:hAnsi="Calibri"/>
          <w:szCs w:val="21"/>
        </w:rPr>
        <w:t xml:space="preserve">. </w:t>
      </w:r>
    </w:p>
    <w:p w14:paraId="55340D24" w14:textId="77777777" w:rsidR="007910A0" w:rsidRPr="007910A0" w:rsidRDefault="007910A0" w:rsidP="007910A0">
      <w:pPr>
        <w:tabs>
          <w:tab w:val="left" w:pos="426"/>
        </w:tabs>
        <w:spacing w:after="0" w:line="240" w:lineRule="auto"/>
        <w:jc w:val="both"/>
        <w:rPr>
          <w:rFonts w:eastAsia="Times New Roman" w:cs="Arial"/>
          <w:b/>
        </w:rPr>
      </w:pPr>
    </w:p>
    <w:p w14:paraId="48E913CA" w14:textId="77777777" w:rsidR="007910A0" w:rsidRDefault="007910A0" w:rsidP="007910A0">
      <w:pPr>
        <w:spacing w:after="0" w:line="240" w:lineRule="auto"/>
        <w:ind w:left="567" w:hanging="567"/>
        <w:jc w:val="both"/>
        <w:rPr>
          <w:rFonts w:eastAsia="Times New Roman" w:cs="Arial"/>
          <w:b/>
        </w:rPr>
      </w:pPr>
      <w:r w:rsidRPr="007910A0">
        <w:rPr>
          <w:rFonts w:eastAsia="Times New Roman" w:cs="Arial"/>
          <w:b/>
        </w:rPr>
        <w:t>3.2.</w:t>
      </w:r>
      <w:r w:rsidRPr="007910A0">
        <w:rPr>
          <w:rFonts w:eastAsia="Times New Roman" w:cs="Arial"/>
          <w:b/>
        </w:rPr>
        <w:tab/>
        <w:t>Usvajanje</w:t>
      </w:r>
      <w:r w:rsidRPr="007910A0">
        <w:t xml:space="preserve"> </w:t>
      </w:r>
      <w:r w:rsidRPr="007910A0">
        <w:rPr>
          <w:rFonts w:eastAsia="Times New Roman" w:cs="Arial"/>
          <w:b/>
        </w:rPr>
        <w:t>novih i izmijenjenih Međunarodnih standarda financijskog izvještavanja:</w:t>
      </w:r>
    </w:p>
    <w:p w14:paraId="610C29FE" w14:textId="77777777" w:rsidR="003036F5" w:rsidRDefault="003036F5" w:rsidP="007910A0">
      <w:pPr>
        <w:spacing w:after="0" w:line="240" w:lineRule="auto"/>
        <w:ind w:left="567" w:hanging="567"/>
        <w:jc w:val="both"/>
        <w:rPr>
          <w:rFonts w:eastAsia="Times New Roman" w:cs="Arial"/>
          <w:b/>
        </w:rPr>
      </w:pPr>
    </w:p>
    <w:p w14:paraId="2AB3EA9D" w14:textId="4B7F6184" w:rsidR="003036F5" w:rsidRPr="003036F5" w:rsidRDefault="003036F5" w:rsidP="003036F5">
      <w:pPr>
        <w:spacing w:after="0" w:line="240" w:lineRule="auto"/>
        <w:jc w:val="both"/>
        <w:rPr>
          <w:rFonts w:eastAsia="Times New Roman" w:cs="Arial"/>
        </w:rPr>
      </w:pPr>
      <w:r w:rsidRPr="003036F5">
        <w:rPr>
          <w:rFonts w:eastAsia="Times New Roman" w:cs="Arial"/>
        </w:rPr>
        <w:t xml:space="preserve">U tekućem razdoblju primijenjeni su sljedeći novi i prerađeni </w:t>
      </w:r>
      <w:proofErr w:type="spellStart"/>
      <w:r w:rsidRPr="003036F5">
        <w:rPr>
          <w:rFonts w:eastAsia="Times New Roman" w:cs="Arial"/>
        </w:rPr>
        <w:t>MSFi-jevi</w:t>
      </w:r>
      <w:proofErr w:type="spellEnd"/>
      <w:r w:rsidRPr="003036F5">
        <w:rPr>
          <w:rFonts w:eastAsia="Times New Roman" w:cs="Arial"/>
        </w:rPr>
        <w:t xml:space="preserve"> koji su utjecali na prikaz i objavljivanje u priloženim izvještajima:</w:t>
      </w:r>
    </w:p>
    <w:p w14:paraId="30A913EF" w14:textId="77777777" w:rsidR="007910A0" w:rsidRPr="007910A0" w:rsidRDefault="007910A0" w:rsidP="007910A0">
      <w:pPr>
        <w:spacing w:after="0" w:line="240" w:lineRule="auto"/>
        <w:jc w:val="both"/>
        <w:rPr>
          <w:rFonts w:eastAsia="PMingLiU" w:cs="Arial"/>
          <w:color w:val="000000"/>
          <w:lang w:eastAsia="hr-HR" w:bidi="hr-HR"/>
        </w:rPr>
      </w:pPr>
    </w:p>
    <w:p w14:paraId="575A3897" w14:textId="3B2B71AC" w:rsidR="009620EF" w:rsidRPr="009620EF" w:rsidRDefault="009620EF" w:rsidP="004D7519">
      <w:pPr>
        <w:tabs>
          <w:tab w:val="left" w:pos="426"/>
        </w:tabs>
        <w:spacing w:after="120" w:line="240" w:lineRule="auto"/>
        <w:ind w:left="425" w:hanging="425"/>
        <w:jc w:val="both"/>
        <w:rPr>
          <w:rFonts w:ascii="Calibri" w:eastAsia="PMingLiU" w:hAnsi="Calibri" w:cs="Arial"/>
          <w:i/>
          <w:color w:val="000000"/>
          <w:lang w:eastAsia="hr-HR" w:bidi="hr-HR"/>
        </w:rPr>
      </w:pPr>
      <w:r w:rsidRPr="009620EF">
        <w:rPr>
          <w:rFonts w:ascii="Calibri" w:eastAsia="PMingLiU" w:hAnsi="Calibri" w:cs="Arial"/>
          <w:i/>
          <w:color w:val="000000"/>
          <w:lang w:eastAsia="hr-HR" w:bidi="hr-HR"/>
        </w:rPr>
        <w:t>a)</w:t>
      </w:r>
      <w:r w:rsidRPr="009620EF">
        <w:rPr>
          <w:rFonts w:ascii="Calibri" w:eastAsia="PMingLiU" w:hAnsi="Calibri" w:cs="Arial"/>
          <w:i/>
          <w:color w:val="000000"/>
          <w:lang w:eastAsia="hr-HR" w:bidi="hr-HR"/>
        </w:rPr>
        <w:tab/>
        <w:t>Novi i izmijenjeni Međunarodni standardi financijskog izvještaja koji se odnose na izvještajno razdoblje</w:t>
      </w:r>
      <w:r w:rsidR="00BB161E">
        <w:rPr>
          <w:rFonts w:ascii="Calibri" w:eastAsia="PMingLiU" w:hAnsi="Calibri" w:cs="Arial"/>
          <w:i/>
          <w:color w:val="000000"/>
          <w:lang w:eastAsia="hr-HR" w:bidi="hr-HR"/>
        </w:rPr>
        <w:t>, a još nisu</w:t>
      </w:r>
      <w:r w:rsidRPr="009620EF">
        <w:rPr>
          <w:rFonts w:ascii="Calibri" w:eastAsia="PMingLiU" w:hAnsi="Calibri" w:cs="Arial"/>
          <w:i/>
          <w:color w:val="000000"/>
          <w:lang w:eastAsia="hr-HR" w:bidi="hr-HR"/>
        </w:rPr>
        <w:t xml:space="preserve"> usvojeni u Europskoj uniji:</w:t>
      </w:r>
    </w:p>
    <w:p w14:paraId="7075FCC7" w14:textId="77777777" w:rsidR="00BB161E" w:rsidRPr="009620EF" w:rsidRDefault="00BB161E" w:rsidP="00BB161E">
      <w:pPr>
        <w:numPr>
          <w:ilvl w:val="0"/>
          <w:numId w:val="18"/>
        </w:numPr>
        <w:tabs>
          <w:tab w:val="left" w:pos="426"/>
        </w:tabs>
        <w:spacing w:after="0" w:line="240" w:lineRule="auto"/>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Izmijenjeni MRS 12 Porezi na dobit (na snazi za razdoblja koja započinju na dan ili nakon 1. siječnja 2017. godine, ali u Europskoj uniji još nije usvojen) - Priznavanje odgođene porezne imovine za nerealizirane gubitke. IASB je zaključio da se različitost u praksi oko priznavanja odgođene porezne imovine koja se odnosi na neki dužnički instrument mjeren po fer vrijednosti može uglavnom pripisati neizvjesnosti oko primjene nekih od načela u MRS-u 12. Stoga se izmjene i dopune sastoje od pojašnjenja i ilustrativnog primjera.</w:t>
      </w:r>
    </w:p>
    <w:p w14:paraId="796F55BA" w14:textId="63586CEF" w:rsidR="00BB161E" w:rsidRPr="009620EF" w:rsidRDefault="00BB161E" w:rsidP="00BB161E">
      <w:pPr>
        <w:tabs>
          <w:tab w:val="left" w:pos="426"/>
        </w:tabs>
        <w:spacing w:after="0" w:line="240" w:lineRule="auto"/>
        <w:ind w:firstLine="709"/>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 xml:space="preserve">Ova izmjena </w:t>
      </w:r>
      <w:r w:rsidRPr="00D568C4">
        <w:rPr>
          <w:rFonts w:ascii="Calibri" w:eastAsia="PMingLiU" w:hAnsi="Calibri" w:cs="Arial"/>
          <w:color w:val="000000"/>
          <w:lang w:eastAsia="hr-HR" w:bidi="hr-HR"/>
        </w:rPr>
        <w:t>ne</w:t>
      </w:r>
      <w:r w:rsidR="00D568C4">
        <w:rPr>
          <w:rFonts w:ascii="Calibri" w:eastAsia="PMingLiU" w:hAnsi="Calibri" w:cs="Arial"/>
          <w:color w:val="000000"/>
          <w:lang w:eastAsia="hr-HR" w:bidi="hr-HR"/>
        </w:rPr>
        <w:t>će imati</w:t>
      </w:r>
      <w:r w:rsidRPr="009620EF">
        <w:rPr>
          <w:rFonts w:ascii="Calibri" w:eastAsia="PMingLiU" w:hAnsi="Calibri" w:cs="Arial"/>
          <w:color w:val="000000"/>
          <w:lang w:eastAsia="hr-HR" w:bidi="hr-HR"/>
        </w:rPr>
        <w:t xml:space="preserve"> utjecaja na Grupu nakon početne primjene.</w:t>
      </w:r>
    </w:p>
    <w:p w14:paraId="3F38AF17" w14:textId="77777777" w:rsidR="00BB161E" w:rsidRPr="009620EF" w:rsidRDefault="00BB161E" w:rsidP="00BB161E">
      <w:pPr>
        <w:tabs>
          <w:tab w:val="left" w:pos="426"/>
        </w:tabs>
        <w:spacing w:after="0" w:line="240" w:lineRule="auto"/>
        <w:ind w:firstLine="709"/>
        <w:jc w:val="both"/>
        <w:rPr>
          <w:rFonts w:ascii="Calibri" w:eastAsia="PMingLiU" w:hAnsi="Calibri" w:cs="Arial"/>
          <w:b/>
          <w:color w:val="000000"/>
          <w:lang w:eastAsia="hr-HR" w:bidi="hr-HR"/>
        </w:rPr>
      </w:pPr>
    </w:p>
    <w:p w14:paraId="7CA1DC32" w14:textId="77777777" w:rsidR="00BB161E" w:rsidRPr="009620EF" w:rsidRDefault="00BB161E" w:rsidP="00BB161E">
      <w:pPr>
        <w:numPr>
          <w:ilvl w:val="0"/>
          <w:numId w:val="18"/>
        </w:numPr>
        <w:tabs>
          <w:tab w:val="left" w:pos="426"/>
        </w:tabs>
        <w:spacing w:after="0" w:line="240" w:lineRule="auto"/>
        <w:ind w:left="714" w:hanging="357"/>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Izmijenjeni MRS 7 Izvještaj o novčanim tokovima (na snazi za razdoblja koja započinju na dan ili nakon 1. siječnja 2017. godine, ali u Europskoj uniji još nije usvojen) – inicijativa u vezi objavljivanja. Izmjene i dopune imaju za cilj da subjekti daju objave koje korisnicima financijskih izvještaja omogućuju procjenu promjena u obvezama koje nastaju iz financijskih aktivnosti, uključujući promjene koje nastaju iz novčanih tokova i nenovčanih promjena.</w:t>
      </w:r>
    </w:p>
    <w:p w14:paraId="68895802" w14:textId="6FA5742A" w:rsidR="00BB161E" w:rsidRPr="009620EF" w:rsidRDefault="00BB161E" w:rsidP="00BB161E">
      <w:pPr>
        <w:tabs>
          <w:tab w:val="left" w:pos="426"/>
        </w:tabs>
        <w:spacing w:after="0" w:line="240" w:lineRule="auto"/>
        <w:ind w:firstLine="709"/>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Ova izmjena ne</w:t>
      </w:r>
      <w:r w:rsidR="00D568C4">
        <w:rPr>
          <w:rFonts w:ascii="Calibri" w:eastAsia="PMingLiU" w:hAnsi="Calibri" w:cs="Arial"/>
          <w:color w:val="000000"/>
          <w:lang w:eastAsia="hr-HR" w:bidi="hr-HR"/>
        </w:rPr>
        <w:t>će imati</w:t>
      </w:r>
      <w:r w:rsidRPr="009620EF">
        <w:rPr>
          <w:rFonts w:ascii="Calibri" w:eastAsia="PMingLiU" w:hAnsi="Calibri" w:cs="Arial"/>
          <w:color w:val="000000"/>
          <w:lang w:eastAsia="hr-HR" w:bidi="hr-HR"/>
        </w:rPr>
        <w:t xml:space="preserve"> utjecaja na Grupu nakon početne primjene.</w:t>
      </w:r>
    </w:p>
    <w:p w14:paraId="780229A7" w14:textId="77777777" w:rsidR="00BB161E" w:rsidRPr="009620EF" w:rsidRDefault="00BB161E" w:rsidP="00BB161E">
      <w:pPr>
        <w:tabs>
          <w:tab w:val="left" w:pos="426"/>
        </w:tabs>
        <w:spacing w:after="0" w:line="240" w:lineRule="auto"/>
        <w:ind w:left="709"/>
        <w:jc w:val="both"/>
        <w:rPr>
          <w:rFonts w:ascii="Calibri" w:eastAsia="PMingLiU" w:hAnsi="Calibri" w:cs="Arial"/>
          <w:color w:val="000000"/>
          <w:lang w:eastAsia="hr-HR" w:bidi="hr-HR"/>
        </w:rPr>
      </w:pPr>
    </w:p>
    <w:p w14:paraId="4910135F" w14:textId="77777777" w:rsidR="00BB161E" w:rsidRPr="009620EF" w:rsidRDefault="00BB161E" w:rsidP="00BB161E">
      <w:pPr>
        <w:numPr>
          <w:ilvl w:val="0"/>
          <w:numId w:val="13"/>
        </w:numPr>
        <w:spacing w:after="0" w:line="240" w:lineRule="auto"/>
        <w:contextualSpacing/>
        <w:jc w:val="both"/>
        <w:rPr>
          <w:rFonts w:ascii="Calibri" w:eastAsia="Times New Roman" w:hAnsi="Calibri" w:cs="Times New Roman"/>
          <w:lang w:eastAsia="hr-HR"/>
        </w:rPr>
      </w:pPr>
      <w:r w:rsidRPr="009620EF">
        <w:rPr>
          <w:rFonts w:ascii="Calibri" w:eastAsia="Times New Roman" w:hAnsi="Calibri" w:cs="Times New Roman"/>
          <w:bCs/>
          <w:kern w:val="3"/>
          <w:u w:val="single"/>
          <w:lang w:eastAsia="hr-HR"/>
        </w:rPr>
        <w:t>Godišnja poboljšanja 2014.-2016.</w:t>
      </w:r>
      <w:r w:rsidRPr="009620EF">
        <w:rPr>
          <w:rFonts w:ascii="Calibri" w:eastAsia="Times New Roman" w:hAnsi="Calibri" w:cs="Times New Roman"/>
          <w:bCs/>
          <w:kern w:val="3"/>
          <w:lang w:eastAsia="hr-HR"/>
        </w:rPr>
        <w:t xml:space="preserve"> - p</w:t>
      </w:r>
      <w:r w:rsidRPr="009620EF">
        <w:rPr>
          <w:rFonts w:ascii="Calibri" w:eastAsia="Times New Roman" w:hAnsi="Calibri" w:cs="Times New Roman"/>
          <w:lang w:eastAsia="hr-HR"/>
        </w:rPr>
        <w:t>rimarni cilj procesa je unaprijediti kvalitetu standarda izmjenom i dopunom postojećih MSFI-</w:t>
      </w:r>
      <w:proofErr w:type="spellStart"/>
      <w:r w:rsidRPr="009620EF">
        <w:rPr>
          <w:rFonts w:ascii="Calibri" w:eastAsia="Times New Roman" w:hAnsi="Calibri" w:cs="Times New Roman"/>
          <w:lang w:eastAsia="hr-HR"/>
        </w:rPr>
        <w:t>jeva</w:t>
      </w:r>
      <w:proofErr w:type="spellEnd"/>
      <w:r w:rsidRPr="009620EF">
        <w:rPr>
          <w:rFonts w:ascii="Calibri" w:eastAsia="Times New Roman" w:hAnsi="Calibri" w:cs="Times New Roman"/>
          <w:lang w:eastAsia="hr-HR"/>
        </w:rPr>
        <w:t xml:space="preserve"> kako bi se pojasnile upute i tekst, ili kako bi se ispravile relativno manje, nenamjerne posljedice, konflikti ili propusti.</w:t>
      </w:r>
    </w:p>
    <w:p w14:paraId="08C3F3D7" w14:textId="77777777" w:rsidR="00BB161E" w:rsidRPr="009620EF" w:rsidRDefault="00BB161E" w:rsidP="000E5941">
      <w:pPr>
        <w:spacing w:after="0" w:line="240" w:lineRule="auto"/>
        <w:ind w:left="680"/>
        <w:jc w:val="both"/>
        <w:rPr>
          <w:rFonts w:ascii="Calibri" w:eastAsia="Times New Roman" w:hAnsi="Calibri" w:cs="Times New Roman"/>
          <w:lang w:eastAsia="hr-HR"/>
        </w:rPr>
      </w:pPr>
      <w:r w:rsidRPr="009620EF">
        <w:rPr>
          <w:rFonts w:ascii="Calibri" w:eastAsia="Times New Roman" w:hAnsi="Calibri" w:cs="Times New Roman"/>
          <w:lang w:eastAsia="hr-HR"/>
        </w:rPr>
        <w:t xml:space="preserve"> Pitanja obuhvaćena u ovom ciklusu su:</w:t>
      </w:r>
    </w:p>
    <w:p w14:paraId="606E3341" w14:textId="77777777" w:rsidR="00BB161E" w:rsidRPr="009620EF" w:rsidRDefault="00BB161E" w:rsidP="000E5941">
      <w:pPr>
        <w:spacing w:after="0" w:line="240" w:lineRule="auto"/>
        <w:ind w:left="680"/>
        <w:jc w:val="both"/>
        <w:rPr>
          <w:rFonts w:ascii="Calibri" w:eastAsia="Times New Roman" w:hAnsi="Calibri" w:cs="Times New Roman"/>
          <w:lang w:eastAsia="hr-HR"/>
        </w:rPr>
      </w:pPr>
    </w:p>
    <w:p w14:paraId="7EB12EA2" w14:textId="5B3ED89D" w:rsidR="00BB161E" w:rsidRPr="000E5941" w:rsidRDefault="00BB161E" w:rsidP="00BB161E">
      <w:pPr>
        <w:numPr>
          <w:ilvl w:val="0"/>
          <w:numId w:val="26"/>
        </w:numPr>
        <w:suppressAutoHyphens/>
        <w:autoSpaceDN w:val="0"/>
        <w:spacing w:after="0" w:line="240" w:lineRule="auto"/>
        <w:ind w:left="1276" w:hanging="357"/>
        <w:jc w:val="both"/>
        <w:textAlignment w:val="baseline"/>
        <w:rPr>
          <w:rFonts w:ascii="Calibri" w:eastAsia="Times New Roman" w:hAnsi="Calibri" w:cs="Times New Roman"/>
        </w:rPr>
      </w:pPr>
      <w:r w:rsidRPr="009620EF">
        <w:rPr>
          <w:rFonts w:ascii="Calibri" w:eastAsia="Times New Roman" w:hAnsi="Calibri" w:cs="Times New Roman"/>
        </w:rPr>
        <w:t xml:space="preserve">MSFI 12 </w:t>
      </w:r>
      <w:r w:rsidRPr="009620EF">
        <w:rPr>
          <w:rFonts w:ascii="Calibri" w:eastAsia="Times New Roman" w:hAnsi="Calibri" w:cs="Times New Roman"/>
          <w:bCs/>
        </w:rPr>
        <w:t xml:space="preserve">Objavljivanje udjela u drugim subjektima </w:t>
      </w:r>
      <w:r w:rsidRPr="009620EF">
        <w:rPr>
          <w:rFonts w:ascii="Calibri" w:eastAsia="Calibri" w:hAnsi="Calibri" w:cs="Arial"/>
        </w:rPr>
        <w:t>(na snazi za razdoblja koja započinju na dan ili nakon 1. siječnja 2017. godine, ali u Europskoj uniji još nije usvojen)</w:t>
      </w:r>
      <w:r w:rsidRPr="009620EF">
        <w:rPr>
          <w:rFonts w:ascii="Calibri" w:eastAsia="Times New Roman" w:hAnsi="Calibri" w:cs="Times New Roman"/>
        </w:rPr>
        <w:t>: Pojašnjava područje primjene standarda tako da utvrđuje da se zahtjevi objavljivanja</w:t>
      </w:r>
      <w:r w:rsidRPr="009620EF">
        <w:rPr>
          <w:rFonts w:ascii="Calibri" w:eastAsia="Times New Roman" w:hAnsi="Calibri" w:cs="Times New Roman"/>
          <w:lang w:eastAsia="hr-HR"/>
        </w:rPr>
        <w:t xml:space="preserve"> određeni standardom, osim onih navedenih u stavcima B10.–B16., primjenjuju na udjele subjekta navedene u stavku 5. koji su klasificirani kao raspoloživi za prodaju, kao raspoloživi za raspodjelu ili kao prestanak poslovanja u skladu s MSFI 5 </w:t>
      </w:r>
      <w:r w:rsidRPr="009620EF">
        <w:rPr>
          <w:rFonts w:ascii="Calibri" w:eastAsia="Times New Roman" w:hAnsi="Calibri" w:cs="Times New Roman"/>
          <w:i/>
          <w:iCs/>
          <w:lang w:eastAsia="hr-HR"/>
        </w:rPr>
        <w:t>Dugotrajna imovina namijenjena prodaji i prestanak poslovanja.</w:t>
      </w:r>
    </w:p>
    <w:p w14:paraId="1508D641" w14:textId="6AADA62C" w:rsidR="009A140E" w:rsidRDefault="009A140E" w:rsidP="000E5941">
      <w:pPr>
        <w:suppressAutoHyphens/>
        <w:autoSpaceDN w:val="0"/>
        <w:spacing w:after="0" w:line="240" w:lineRule="auto"/>
        <w:ind w:left="1276"/>
        <w:jc w:val="both"/>
        <w:textAlignment w:val="baseline"/>
        <w:rPr>
          <w:rFonts w:ascii="Calibri" w:eastAsia="PMingLiU" w:hAnsi="Calibri" w:cs="Arial"/>
          <w:color w:val="000000"/>
          <w:lang w:eastAsia="hr-HR" w:bidi="hr-HR"/>
        </w:rPr>
      </w:pPr>
      <w:r w:rsidRPr="009A140E">
        <w:rPr>
          <w:rFonts w:ascii="Calibri" w:eastAsia="PMingLiU" w:hAnsi="Calibri" w:cs="Arial"/>
          <w:color w:val="000000"/>
          <w:lang w:eastAsia="hr-HR" w:bidi="hr-HR"/>
        </w:rPr>
        <w:t>Ova izmjena ne</w:t>
      </w:r>
      <w:r w:rsidR="00D568C4">
        <w:rPr>
          <w:rFonts w:ascii="Calibri" w:eastAsia="PMingLiU" w:hAnsi="Calibri" w:cs="Arial"/>
          <w:color w:val="000000"/>
          <w:lang w:eastAsia="hr-HR" w:bidi="hr-HR"/>
        </w:rPr>
        <w:t>će imati</w:t>
      </w:r>
      <w:r w:rsidRPr="009A140E">
        <w:rPr>
          <w:rFonts w:ascii="Calibri" w:eastAsia="PMingLiU" w:hAnsi="Calibri" w:cs="Arial"/>
          <w:color w:val="000000"/>
          <w:lang w:eastAsia="hr-HR" w:bidi="hr-HR"/>
        </w:rPr>
        <w:t xml:space="preserve"> utjecaja na Grupu nakon početne primjene</w:t>
      </w:r>
    </w:p>
    <w:p w14:paraId="32F6E041" w14:textId="77777777" w:rsidR="009A140E" w:rsidRPr="000E5941" w:rsidRDefault="009A140E" w:rsidP="000E5941">
      <w:pPr>
        <w:suppressAutoHyphens/>
        <w:autoSpaceDN w:val="0"/>
        <w:spacing w:after="0" w:line="240" w:lineRule="auto"/>
        <w:ind w:left="1276"/>
        <w:jc w:val="both"/>
        <w:textAlignment w:val="baseline"/>
        <w:rPr>
          <w:rFonts w:ascii="Calibri" w:eastAsia="Times New Roman" w:hAnsi="Calibri" w:cs="Times New Roman"/>
        </w:rPr>
      </w:pPr>
    </w:p>
    <w:p w14:paraId="67756980" w14:textId="097D6F30" w:rsidR="001658AD" w:rsidRPr="000E5941" w:rsidRDefault="009A140E" w:rsidP="001658AD">
      <w:pPr>
        <w:pStyle w:val="ListParagraph"/>
        <w:numPr>
          <w:ilvl w:val="0"/>
          <w:numId w:val="13"/>
        </w:numPr>
        <w:tabs>
          <w:tab w:val="left" w:pos="426"/>
        </w:tabs>
        <w:spacing w:after="0" w:line="240" w:lineRule="auto"/>
        <w:ind w:left="1276"/>
        <w:jc w:val="both"/>
        <w:rPr>
          <w:rFonts w:ascii="Calibri" w:eastAsia="Times New Roman" w:hAnsi="Calibri" w:cs="Times New Roman"/>
        </w:rPr>
        <w:sectPr w:rsidR="001658AD" w:rsidRPr="000E5941" w:rsidSect="009170A3">
          <w:footerReference w:type="default" r:id="rId55"/>
          <w:pgSz w:w="11907" w:h="16840" w:code="9"/>
          <w:pgMar w:top="1418" w:right="1134" w:bottom="1134" w:left="1418" w:header="851" w:footer="851" w:gutter="0"/>
          <w:cols w:space="720"/>
          <w:noEndnote/>
        </w:sectPr>
      </w:pPr>
      <w:r w:rsidRPr="00F13F54">
        <w:rPr>
          <w:rFonts w:ascii="Calibri" w:eastAsia="Times New Roman" w:hAnsi="Calibri" w:cs="Times New Roman"/>
        </w:rPr>
        <w:t>IFRS 1 Prv</w:t>
      </w:r>
      <w:r w:rsidR="00A234E8">
        <w:rPr>
          <w:rFonts w:ascii="Calibri" w:eastAsia="Times New Roman" w:hAnsi="Calibri" w:cs="Times New Roman"/>
        </w:rPr>
        <w:t>a primjena</w:t>
      </w:r>
      <w:r w:rsidRPr="00F13F54">
        <w:rPr>
          <w:rFonts w:ascii="Calibri" w:eastAsia="Times New Roman" w:hAnsi="Calibri" w:cs="Times New Roman"/>
        </w:rPr>
        <w:t xml:space="preserve"> M</w:t>
      </w:r>
      <w:r w:rsidR="00392710">
        <w:rPr>
          <w:rFonts w:ascii="Calibri" w:eastAsia="Times New Roman" w:hAnsi="Calibri" w:cs="Times New Roman"/>
        </w:rPr>
        <w:t>SFI</w:t>
      </w:r>
      <w:r w:rsidRPr="00F13F54">
        <w:rPr>
          <w:rFonts w:ascii="Calibri" w:eastAsia="Times New Roman" w:hAnsi="Calibri" w:cs="Times New Roman"/>
        </w:rPr>
        <w:t xml:space="preserve"> i MRS 28 Udjeli u pridruženim subjektima i zajedničkim pothvatima koji su u okviru Godišnjih poboljšanja 2014.-2016. na snazi su za razdoblja koja započinju na dan ili nakon 1. siječnja 2018. godine </w:t>
      </w:r>
      <w:r w:rsidR="00392710">
        <w:rPr>
          <w:rFonts w:ascii="Calibri" w:eastAsia="Times New Roman" w:hAnsi="Calibri" w:cs="Times New Roman"/>
        </w:rPr>
        <w:t xml:space="preserve"> </w:t>
      </w:r>
      <w:r w:rsidR="001658AD" w:rsidRPr="000E5941">
        <w:rPr>
          <w:rFonts w:ascii="Calibri" w:eastAsia="Times New Roman" w:hAnsi="Calibri" w:cs="Times New Roman"/>
        </w:rPr>
        <w:t>i nisu</w:t>
      </w:r>
      <w:r w:rsidR="00392710">
        <w:rPr>
          <w:rFonts w:ascii="Calibri" w:eastAsia="Times New Roman" w:hAnsi="Calibri" w:cs="Times New Roman"/>
        </w:rPr>
        <w:t xml:space="preserve"> </w:t>
      </w:r>
      <w:r w:rsidR="001658AD" w:rsidRPr="000E5941">
        <w:rPr>
          <w:rFonts w:ascii="Calibri" w:eastAsia="Times New Roman" w:hAnsi="Calibri" w:cs="Times New Roman"/>
        </w:rPr>
        <w:t xml:space="preserve"> usvojeni u</w:t>
      </w:r>
      <w:r w:rsidR="00392710">
        <w:rPr>
          <w:rFonts w:ascii="Calibri" w:eastAsia="Times New Roman" w:hAnsi="Calibri" w:cs="Times New Roman"/>
        </w:rPr>
        <w:t xml:space="preserve"> </w:t>
      </w:r>
      <w:r w:rsidR="001658AD" w:rsidRPr="000E5941">
        <w:rPr>
          <w:rFonts w:ascii="Calibri" w:eastAsia="Times New Roman" w:hAnsi="Calibri" w:cs="Times New Roman"/>
        </w:rPr>
        <w:t xml:space="preserve"> Europskoj</w:t>
      </w:r>
      <w:r w:rsidR="00392710">
        <w:rPr>
          <w:rFonts w:ascii="Calibri" w:eastAsia="Times New Roman" w:hAnsi="Calibri" w:cs="Times New Roman"/>
        </w:rPr>
        <w:t xml:space="preserve"> </w:t>
      </w:r>
      <w:r w:rsidR="001658AD" w:rsidRPr="000E5941">
        <w:rPr>
          <w:rFonts w:ascii="Calibri" w:eastAsia="Times New Roman" w:hAnsi="Calibri" w:cs="Times New Roman"/>
        </w:rPr>
        <w:t xml:space="preserve"> uniji </w:t>
      </w:r>
      <w:r w:rsidRPr="00F13F54">
        <w:rPr>
          <w:rFonts w:ascii="Calibri" w:eastAsia="Times New Roman" w:hAnsi="Calibri" w:cs="Times New Roman"/>
        </w:rPr>
        <w:t xml:space="preserve">pa su </w:t>
      </w:r>
    </w:p>
    <w:p w14:paraId="10F160E1" w14:textId="77777777" w:rsidR="001658AD" w:rsidRDefault="001658AD" w:rsidP="001E4F43">
      <w:pPr>
        <w:pStyle w:val="ListParagraph"/>
        <w:keepNext/>
        <w:tabs>
          <w:tab w:val="left" w:pos="426"/>
        </w:tabs>
        <w:spacing w:after="0" w:line="240" w:lineRule="auto"/>
        <w:jc w:val="both"/>
        <w:rPr>
          <w:rFonts w:eastAsia="Times New Roman" w:cs="Arial"/>
          <w:b/>
          <w:bCs/>
        </w:rPr>
      </w:pPr>
    </w:p>
    <w:p w14:paraId="0CC48B56" w14:textId="0EC75AC1" w:rsidR="001658AD" w:rsidRPr="000E5941" w:rsidRDefault="001658AD" w:rsidP="001E4F43">
      <w:pPr>
        <w:keepNext/>
        <w:tabs>
          <w:tab w:val="left" w:pos="426"/>
        </w:tabs>
        <w:spacing w:after="0" w:line="240" w:lineRule="auto"/>
        <w:jc w:val="both"/>
        <w:rPr>
          <w:rFonts w:eastAsia="Times New Roman" w:cs="Arial"/>
          <w:b/>
          <w:bCs/>
        </w:rPr>
      </w:pPr>
      <w:r w:rsidRPr="000E5941">
        <w:rPr>
          <w:rFonts w:eastAsia="Times New Roman" w:cs="Arial"/>
          <w:b/>
          <w:bCs/>
        </w:rPr>
        <w:t xml:space="preserve">3. </w:t>
      </w:r>
      <w:r w:rsidRPr="000E5941">
        <w:rPr>
          <w:rFonts w:eastAsia="Times New Roman" w:cs="Arial"/>
          <w:b/>
          <w:bCs/>
        </w:rPr>
        <w:tab/>
        <w:t>Sažetak značajnih računovodstvenih politika (nastavak)</w:t>
      </w:r>
    </w:p>
    <w:p w14:paraId="6B222B38" w14:textId="77777777" w:rsidR="001658AD" w:rsidRPr="001658AD" w:rsidRDefault="001658AD" w:rsidP="001E4F43">
      <w:pPr>
        <w:pStyle w:val="ListParagraph"/>
        <w:tabs>
          <w:tab w:val="left" w:pos="426"/>
        </w:tabs>
        <w:spacing w:after="0" w:line="240" w:lineRule="auto"/>
        <w:jc w:val="both"/>
        <w:rPr>
          <w:rFonts w:ascii="Calibri" w:eastAsia="PMingLiU" w:hAnsi="Calibri" w:cs="Arial"/>
          <w:color w:val="000000"/>
          <w:highlight w:val="yellow"/>
          <w:lang w:eastAsia="hr-HR" w:bidi="hr-HR"/>
        </w:rPr>
      </w:pPr>
    </w:p>
    <w:p w14:paraId="18E10067" w14:textId="6E6C8175" w:rsidR="001658AD" w:rsidRDefault="001658AD" w:rsidP="001E4F43">
      <w:pPr>
        <w:spacing w:after="0" w:line="240" w:lineRule="auto"/>
        <w:jc w:val="both"/>
        <w:rPr>
          <w:rFonts w:eastAsia="Times New Roman" w:cs="Arial"/>
          <w:b/>
        </w:rPr>
      </w:pPr>
      <w:r w:rsidRPr="001E4F43">
        <w:rPr>
          <w:rFonts w:eastAsia="Times New Roman" w:cs="Arial"/>
          <w:b/>
        </w:rPr>
        <w:t>3.2.</w:t>
      </w:r>
      <w:r w:rsidRPr="001E4F43">
        <w:rPr>
          <w:rFonts w:eastAsia="Times New Roman" w:cs="Arial"/>
          <w:b/>
        </w:rPr>
        <w:tab/>
        <w:t>Usvajanje</w:t>
      </w:r>
      <w:r w:rsidRPr="007910A0">
        <w:t xml:space="preserve"> </w:t>
      </w:r>
      <w:r w:rsidRPr="001E4F43">
        <w:rPr>
          <w:rFonts w:eastAsia="Times New Roman" w:cs="Arial"/>
          <w:b/>
        </w:rPr>
        <w:t>novih i izmijenjenih Međunarodnih standarda financijskog izvještavanja (nastavak):</w:t>
      </w:r>
    </w:p>
    <w:p w14:paraId="53AF4EDA" w14:textId="77777777" w:rsidR="001658AD" w:rsidRPr="001E4F43" w:rsidRDefault="001658AD" w:rsidP="001E4F43">
      <w:pPr>
        <w:spacing w:after="0" w:line="240" w:lineRule="auto"/>
        <w:jc w:val="both"/>
        <w:rPr>
          <w:rFonts w:eastAsia="Times New Roman" w:cs="Arial"/>
          <w:b/>
        </w:rPr>
      </w:pPr>
    </w:p>
    <w:p w14:paraId="5304B6E5" w14:textId="31609BDD" w:rsidR="001658AD" w:rsidRPr="009620EF" w:rsidRDefault="001658AD" w:rsidP="001658AD">
      <w:pPr>
        <w:tabs>
          <w:tab w:val="left" w:pos="426"/>
        </w:tabs>
        <w:spacing w:after="120" w:line="240" w:lineRule="auto"/>
        <w:ind w:left="425" w:hanging="425"/>
        <w:jc w:val="both"/>
        <w:rPr>
          <w:rFonts w:ascii="Calibri" w:eastAsia="PMingLiU" w:hAnsi="Calibri" w:cs="Arial"/>
          <w:i/>
          <w:color w:val="000000"/>
          <w:lang w:eastAsia="hr-HR" w:bidi="hr-HR"/>
        </w:rPr>
      </w:pPr>
      <w:r w:rsidRPr="009620EF">
        <w:rPr>
          <w:rFonts w:ascii="Calibri" w:eastAsia="PMingLiU" w:hAnsi="Calibri" w:cs="Arial"/>
          <w:i/>
          <w:color w:val="000000"/>
          <w:lang w:eastAsia="hr-HR" w:bidi="hr-HR"/>
        </w:rPr>
        <w:t>a)</w:t>
      </w:r>
      <w:r w:rsidRPr="009620EF">
        <w:rPr>
          <w:rFonts w:ascii="Calibri" w:eastAsia="PMingLiU" w:hAnsi="Calibri" w:cs="Arial"/>
          <w:i/>
          <w:color w:val="000000"/>
          <w:lang w:eastAsia="hr-HR" w:bidi="hr-HR"/>
        </w:rPr>
        <w:tab/>
        <w:t>Novi i izmijenjeni Međunarodni standardi financijskog izvještaja koji se odnose na izvještajno razdoblje</w:t>
      </w:r>
      <w:r>
        <w:rPr>
          <w:rFonts w:ascii="Calibri" w:eastAsia="PMingLiU" w:hAnsi="Calibri" w:cs="Arial"/>
          <w:i/>
          <w:color w:val="000000"/>
          <w:lang w:eastAsia="hr-HR" w:bidi="hr-HR"/>
        </w:rPr>
        <w:t>, a još nisu</w:t>
      </w:r>
      <w:r w:rsidRPr="009620EF">
        <w:rPr>
          <w:rFonts w:ascii="Calibri" w:eastAsia="PMingLiU" w:hAnsi="Calibri" w:cs="Arial"/>
          <w:i/>
          <w:color w:val="000000"/>
          <w:lang w:eastAsia="hr-HR" w:bidi="hr-HR"/>
        </w:rPr>
        <w:t xml:space="preserve"> usvojeni u Europskoj uniji</w:t>
      </w:r>
      <w:r>
        <w:rPr>
          <w:rFonts w:ascii="Calibri" w:eastAsia="PMingLiU" w:hAnsi="Calibri" w:cs="Arial"/>
          <w:i/>
          <w:color w:val="000000"/>
          <w:lang w:eastAsia="hr-HR" w:bidi="hr-HR"/>
        </w:rPr>
        <w:t xml:space="preserve"> (nastavak)</w:t>
      </w:r>
      <w:r w:rsidRPr="009620EF">
        <w:rPr>
          <w:rFonts w:ascii="Calibri" w:eastAsia="PMingLiU" w:hAnsi="Calibri" w:cs="Arial"/>
          <w:i/>
          <w:color w:val="000000"/>
          <w:lang w:eastAsia="hr-HR" w:bidi="hr-HR"/>
        </w:rPr>
        <w:t>:</w:t>
      </w:r>
    </w:p>
    <w:p w14:paraId="0AD9290B" w14:textId="77777777" w:rsidR="001658AD" w:rsidRPr="001658AD" w:rsidRDefault="001658AD" w:rsidP="001E4F43">
      <w:pPr>
        <w:pStyle w:val="ListParagraph"/>
        <w:tabs>
          <w:tab w:val="left" w:pos="426"/>
        </w:tabs>
        <w:spacing w:after="0" w:line="240" w:lineRule="auto"/>
        <w:jc w:val="both"/>
        <w:rPr>
          <w:rFonts w:ascii="Calibri" w:eastAsia="PMingLiU" w:hAnsi="Calibri" w:cs="Arial"/>
          <w:color w:val="000000"/>
          <w:lang w:eastAsia="hr-HR" w:bidi="hr-HR"/>
        </w:rPr>
      </w:pPr>
    </w:p>
    <w:p w14:paraId="2E86A986" w14:textId="77777777" w:rsidR="001658AD" w:rsidRPr="001E4F43" w:rsidRDefault="001658AD" w:rsidP="000E5941">
      <w:pPr>
        <w:pStyle w:val="ListParagraph"/>
        <w:numPr>
          <w:ilvl w:val="0"/>
          <w:numId w:val="13"/>
        </w:numPr>
        <w:tabs>
          <w:tab w:val="left" w:pos="426"/>
        </w:tabs>
        <w:spacing w:after="0" w:line="240" w:lineRule="auto"/>
        <w:ind w:left="709" w:hanging="283"/>
        <w:jc w:val="both"/>
        <w:rPr>
          <w:rFonts w:ascii="Calibri" w:eastAsia="Times New Roman" w:hAnsi="Calibri" w:cs="Times New Roman"/>
        </w:rPr>
      </w:pPr>
      <w:r w:rsidRPr="001658AD">
        <w:rPr>
          <w:rFonts w:ascii="Calibri" w:eastAsia="Times New Roman" w:hAnsi="Calibri" w:cs="Times New Roman"/>
          <w:bCs/>
          <w:kern w:val="3"/>
          <w:u w:val="single"/>
          <w:lang w:eastAsia="hr-HR"/>
        </w:rPr>
        <w:t>Godišnja poboljšanja 2014.-2016.</w:t>
      </w:r>
      <w:r w:rsidRPr="001658AD">
        <w:rPr>
          <w:rFonts w:ascii="Calibri" w:eastAsia="Times New Roman" w:hAnsi="Calibri" w:cs="Times New Roman"/>
          <w:bCs/>
          <w:kern w:val="3"/>
          <w:lang w:eastAsia="hr-HR"/>
        </w:rPr>
        <w:t xml:space="preserve"> (nastavak)</w:t>
      </w:r>
    </w:p>
    <w:p w14:paraId="31FA9634" w14:textId="700C9A41" w:rsidR="001658AD" w:rsidRPr="001E4F43" w:rsidRDefault="001658AD" w:rsidP="001E4F43">
      <w:pPr>
        <w:pStyle w:val="ListParagraph"/>
        <w:tabs>
          <w:tab w:val="left" w:pos="426"/>
        </w:tabs>
        <w:spacing w:after="0" w:line="240" w:lineRule="auto"/>
        <w:ind w:left="1276"/>
        <w:jc w:val="both"/>
        <w:rPr>
          <w:rFonts w:ascii="Calibri" w:eastAsia="Times New Roman" w:hAnsi="Calibri" w:cs="Times New Roman"/>
        </w:rPr>
      </w:pPr>
      <w:r w:rsidRPr="001E4F43">
        <w:rPr>
          <w:rFonts w:ascii="Calibri" w:eastAsia="Times New Roman" w:hAnsi="Calibri" w:cs="Times New Roman"/>
        </w:rPr>
        <w:t xml:space="preserve"> </w:t>
      </w:r>
    </w:p>
    <w:p w14:paraId="08283BFE" w14:textId="68906B6A" w:rsidR="001658AD" w:rsidRPr="001E4F43" w:rsidRDefault="009A140E" w:rsidP="001E4F43">
      <w:pPr>
        <w:pStyle w:val="ListParagraph"/>
        <w:tabs>
          <w:tab w:val="left" w:pos="426"/>
        </w:tabs>
        <w:spacing w:after="0" w:line="240" w:lineRule="auto"/>
        <w:ind w:left="1276"/>
        <w:jc w:val="both"/>
        <w:rPr>
          <w:rFonts w:ascii="Calibri" w:eastAsia="PMingLiU" w:hAnsi="Calibri" w:cs="Arial"/>
          <w:color w:val="000000"/>
          <w:lang w:eastAsia="hr-HR" w:bidi="hr-HR"/>
        </w:rPr>
      </w:pPr>
      <w:r w:rsidRPr="000E5941">
        <w:rPr>
          <w:rFonts w:ascii="Calibri" w:eastAsia="Times New Roman" w:hAnsi="Calibri" w:cs="Times New Roman"/>
        </w:rPr>
        <w:t xml:space="preserve">opisani pod c) </w:t>
      </w:r>
      <w:r w:rsidR="001658AD" w:rsidRPr="000E5941">
        <w:rPr>
          <w:rFonts w:ascii="Calibri" w:eastAsia="PMingLiU" w:hAnsi="Calibri" w:cs="Arial"/>
          <w:color w:val="000000"/>
          <w:lang w:eastAsia="hr-HR" w:bidi="hr-HR"/>
        </w:rPr>
        <w:t>Novi i izmijenjeni Međunarodni standardi financijskog izvještaja koji stupaju na snagu nakon izvještajnog razdoblja, a još nisu usvojeni u Europskoj uniji.</w:t>
      </w:r>
    </w:p>
    <w:p w14:paraId="641E9268" w14:textId="0AFA14E6" w:rsidR="009A140E" w:rsidRPr="001E4F43" w:rsidRDefault="009A140E" w:rsidP="000E5941">
      <w:pPr>
        <w:pStyle w:val="ListParagraph"/>
        <w:tabs>
          <w:tab w:val="left" w:pos="426"/>
        </w:tabs>
        <w:spacing w:after="0" w:line="240" w:lineRule="auto"/>
        <w:jc w:val="both"/>
        <w:rPr>
          <w:rFonts w:ascii="Calibri" w:eastAsia="PMingLiU" w:hAnsi="Calibri" w:cs="Arial"/>
          <w:color w:val="000000"/>
          <w:highlight w:val="yellow"/>
          <w:lang w:eastAsia="hr-HR" w:bidi="hr-HR"/>
        </w:rPr>
      </w:pPr>
    </w:p>
    <w:p w14:paraId="35D30C85" w14:textId="6FEE88E3" w:rsidR="009A140E" w:rsidRDefault="009A140E" w:rsidP="009A140E">
      <w:pPr>
        <w:tabs>
          <w:tab w:val="left" w:pos="426"/>
        </w:tabs>
        <w:ind w:left="426" w:hanging="426"/>
        <w:jc w:val="both"/>
        <w:rPr>
          <w:rFonts w:eastAsia="PMingLiU" w:cs="Arial"/>
          <w:i/>
          <w:color w:val="000000"/>
          <w:lang w:eastAsia="hr-HR" w:bidi="hr-HR"/>
        </w:rPr>
      </w:pPr>
      <w:r>
        <w:rPr>
          <w:rFonts w:eastAsia="PMingLiU" w:cs="Arial"/>
          <w:i/>
          <w:color w:val="000000"/>
          <w:lang w:eastAsia="hr-HR" w:bidi="hr-HR"/>
        </w:rPr>
        <w:t>b)</w:t>
      </w:r>
      <w:r>
        <w:rPr>
          <w:rFonts w:eastAsia="PMingLiU" w:cs="Arial"/>
          <w:i/>
          <w:color w:val="000000"/>
          <w:lang w:eastAsia="hr-HR" w:bidi="hr-HR"/>
        </w:rPr>
        <w:tab/>
      </w:r>
      <w:r w:rsidRPr="009D1460">
        <w:rPr>
          <w:rFonts w:eastAsia="PMingLiU" w:cs="Arial"/>
          <w:i/>
          <w:color w:val="000000"/>
          <w:lang w:eastAsia="hr-HR" w:bidi="hr-HR"/>
        </w:rPr>
        <w:t xml:space="preserve">Novi i izmijenjeni Međunarodni standardi financijskog izvještaja koji se </w:t>
      </w:r>
      <w:r>
        <w:rPr>
          <w:rFonts w:eastAsia="PMingLiU" w:cs="Arial"/>
          <w:i/>
          <w:color w:val="000000"/>
          <w:lang w:eastAsia="hr-HR" w:bidi="hr-HR"/>
        </w:rPr>
        <w:t xml:space="preserve">ne </w:t>
      </w:r>
      <w:r w:rsidRPr="009D1460">
        <w:rPr>
          <w:rFonts w:eastAsia="PMingLiU" w:cs="Arial"/>
          <w:i/>
          <w:color w:val="000000"/>
          <w:lang w:eastAsia="hr-HR" w:bidi="hr-HR"/>
        </w:rPr>
        <w:t>odnose na izvještajno razdoblje</w:t>
      </w:r>
      <w:r>
        <w:rPr>
          <w:rFonts w:eastAsia="PMingLiU" w:cs="Arial"/>
          <w:i/>
          <w:color w:val="000000"/>
          <w:lang w:eastAsia="hr-HR" w:bidi="hr-HR"/>
        </w:rPr>
        <w:t xml:space="preserve"> i</w:t>
      </w:r>
      <w:r w:rsidRPr="009D1460">
        <w:rPr>
          <w:rFonts w:eastAsia="PMingLiU" w:cs="Arial"/>
          <w:i/>
          <w:color w:val="000000"/>
          <w:lang w:eastAsia="hr-HR" w:bidi="hr-HR"/>
        </w:rPr>
        <w:t xml:space="preserve"> usvojeni </w:t>
      </w:r>
      <w:r>
        <w:rPr>
          <w:rFonts w:eastAsia="PMingLiU" w:cs="Arial"/>
          <w:i/>
          <w:color w:val="000000"/>
          <w:lang w:eastAsia="hr-HR" w:bidi="hr-HR"/>
        </w:rPr>
        <w:t xml:space="preserve">su </w:t>
      </w:r>
      <w:r w:rsidRPr="009D1460">
        <w:rPr>
          <w:rFonts w:eastAsia="PMingLiU" w:cs="Arial"/>
          <w:i/>
          <w:color w:val="000000"/>
          <w:lang w:eastAsia="hr-HR" w:bidi="hr-HR"/>
        </w:rPr>
        <w:t>u Europskoj uniji</w:t>
      </w:r>
      <w:r>
        <w:rPr>
          <w:rFonts w:eastAsia="PMingLiU" w:cs="Arial"/>
          <w:i/>
          <w:color w:val="000000"/>
          <w:lang w:eastAsia="hr-HR" w:bidi="hr-HR"/>
        </w:rPr>
        <w:t xml:space="preserve"> </w:t>
      </w:r>
      <w:r w:rsidRPr="005D12B5">
        <w:rPr>
          <w:rFonts w:eastAsia="PMingLiU" w:cs="Arial"/>
          <w:i/>
          <w:color w:val="000000"/>
          <w:lang w:eastAsia="hr-HR" w:bidi="hr-HR"/>
        </w:rPr>
        <w:t>s ocjenom utjecaja na financijske izvještaje</w:t>
      </w:r>
      <w:r>
        <w:rPr>
          <w:rFonts w:eastAsia="PMingLiU" w:cs="Arial"/>
          <w:i/>
          <w:color w:val="000000"/>
          <w:lang w:eastAsia="hr-HR" w:bidi="hr-HR"/>
        </w:rPr>
        <w:t>:</w:t>
      </w:r>
    </w:p>
    <w:p w14:paraId="71AEC7FC" w14:textId="77777777" w:rsidR="009620EF" w:rsidRPr="009620EF" w:rsidRDefault="009620EF" w:rsidP="009620EF">
      <w:pPr>
        <w:numPr>
          <w:ilvl w:val="0"/>
          <w:numId w:val="18"/>
        </w:numPr>
        <w:tabs>
          <w:tab w:val="left" w:pos="426"/>
        </w:tabs>
        <w:spacing w:after="0" w:line="240" w:lineRule="auto"/>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 xml:space="preserve">Novi MSFI 15 Prihodi po ugovorima s kupcima (na snazi za razdoblja koja započinju na dan ili nakon 1. siječnja 2018. godine, </w:t>
      </w:r>
      <w:r w:rsidRPr="009620EF">
        <w:rPr>
          <w:rFonts w:ascii="Calibri" w:eastAsia="Calibri" w:hAnsi="Calibri" w:cs="Arial"/>
        </w:rPr>
        <w:t>usvojen u Europskoj uniji 22. rujna 2016. godine</w:t>
      </w:r>
      <w:r w:rsidRPr="009620EF">
        <w:rPr>
          <w:rFonts w:ascii="Calibri" w:eastAsia="PMingLiU" w:hAnsi="Calibri" w:cs="Arial"/>
          <w:color w:val="000000"/>
          <w:lang w:eastAsia="hr-HR" w:bidi="hr-HR"/>
        </w:rPr>
        <w:t xml:space="preserve">) koji uvodi jedinstveni cjeloviti model za subjekte koji ostvaruju prihode iz ugovora s kupcima. Datumom stupanja na snagu zamijenit će sljedeće standarde i tumačenja: MRS 18 Prihodi; MRS 11 Ugovori o izgradnji; IFRIC 13 Programi očuvanja vjernosti kupaca; IFRIC 15 Ugovori o izgradnji nekretnina; IFRIC 18 Prijenos imovine s kupaca te SIC 31 Prihodi – nenovčane transakcije koje uključuju usluge oglašavanja. </w:t>
      </w:r>
    </w:p>
    <w:p w14:paraId="593AF460" w14:textId="77777777" w:rsidR="009620EF" w:rsidRPr="009620EF" w:rsidRDefault="009620EF" w:rsidP="009620EF">
      <w:pPr>
        <w:tabs>
          <w:tab w:val="left" w:pos="426"/>
        </w:tabs>
        <w:spacing w:after="0" w:line="240" w:lineRule="auto"/>
        <w:ind w:left="720"/>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Temeljno načelo MSFI-ja 15 je da subjekt priznaje prihode kao odraz prijenosa dobara ili usluga na kupca u iznosu koji odražava naknadu za koju subjekt očekuje da ima pravo u zamjenu za ta dobra i usluge.</w:t>
      </w:r>
    </w:p>
    <w:p w14:paraId="45BDDB05" w14:textId="77777777" w:rsidR="009620EF" w:rsidRPr="009620EF" w:rsidRDefault="009620EF" w:rsidP="009620EF">
      <w:pPr>
        <w:tabs>
          <w:tab w:val="left" w:pos="426"/>
        </w:tabs>
        <w:spacing w:after="0" w:line="240" w:lineRule="auto"/>
        <w:ind w:left="720"/>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Standard uspostavlja model 5 koraka koji će se primjenjivati na zarađene prihode iz ugovora s kupcima neovisno o tipu transakcije ili djelatnosti, a to su: identificiranje ugovora s kupcima, identificiranje pojedinih obveza izvršenja u ugovorima, utvrđivanje cijene transakcije, alokacija cijene transakcije na pojedinačne obveze izvršenja i priznavanje prihoda kada subjekta udovolji obvezi izvršenja. Međutim, standard se ne primjenjuje na financijske instrumente i ostala ugovorna prava ili obveze u djelokrugu MRS-a 39 Financijski instrumenti: priznavanje i mjerenje, odnosno MSFI-ja 9 - Financijski instrumenti, MSFI-ja 10 – Konsolidirani financijski izvještaji, MSFI-ja 11 – Zajednički poslovi, MRS-a 27 – Nekonsolidirani financijski izvještaji i MRS-a 28 – Udjeli u pridruženim subjektima i zajedničkim pothvatima i ugovore o osiguranju u djelokrugu MSFI-ja 4 – Ugovori o osiguranju, slijedom čega neće imati utjecaja na Grupu nakon početne primjene.</w:t>
      </w:r>
    </w:p>
    <w:p w14:paraId="1F8827FC" w14:textId="77777777" w:rsidR="009620EF" w:rsidRPr="009620EF" w:rsidRDefault="009620EF" w:rsidP="009620EF">
      <w:pPr>
        <w:tabs>
          <w:tab w:val="left" w:pos="426"/>
        </w:tabs>
        <w:spacing w:after="0" w:line="240" w:lineRule="auto"/>
        <w:ind w:left="426" w:hanging="426"/>
        <w:jc w:val="both"/>
        <w:rPr>
          <w:rFonts w:ascii="Calibri" w:eastAsia="PMingLiU" w:hAnsi="Calibri" w:cs="Arial"/>
          <w:i/>
          <w:color w:val="000000"/>
          <w:lang w:eastAsia="hr-HR" w:bidi="hr-HR"/>
        </w:rPr>
      </w:pPr>
    </w:p>
    <w:p w14:paraId="5A9EC7C3" w14:textId="1E68997F" w:rsidR="009620EF" w:rsidRPr="009A140E" w:rsidRDefault="009620EF" w:rsidP="000E5941">
      <w:pPr>
        <w:numPr>
          <w:ilvl w:val="0"/>
          <w:numId w:val="18"/>
        </w:numPr>
        <w:tabs>
          <w:tab w:val="left" w:pos="426"/>
        </w:tabs>
        <w:spacing w:after="0" w:line="240" w:lineRule="auto"/>
        <w:contextualSpacing/>
        <w:jc w:val="both"/>
        <w:rPr>
          <w:rFonts w:ascii="Calibri" w:eastAsia="PMingLiU" w:hAnsi="Calibri" w:cs="Arial"/>
          <w:color w:val="000000"/>
          <w:lang w:eastAsia="hr-HR" w:bidi="hr-HR"/>
        </w:rPr>
      </w:pPr>
      <w:r w:rsidRPr="009A140E">
        <w:rPr>
          <w:rFonts w:ascii="Calibri" w:eastAsia="PMingLiU" w:hAnsi="Calibri" w:cs="Arial"/>
          <w:color w:val="000000"/>
          <w:lang w:eastAsia="hr-HR" w:bidi="hr-HR"/>
        </w:rPr>
        <w:t xml:space="preserve">MSFI 9 Financijski instrumenti - u srpnju 2014. godine objavljen je konačni tekst novog MSFI-ja 9 Financijski instrumenti (na snazi za razdoblja koja započinju na dan ili nakon 1. siječnja 2018. godine, usvojen u Europskoj uniji 22. studenoga 2016. godine), koji će datumom stupanja na snagu u cijelosti zamijeniti MRS 39 Financijski instrumenti: Priznavanje i mjerenje, a sadrži zahtjeve koji se odnose na priznavanje i mjerenje, umanjenje, prestanak priznavanja i računovodstvo zaštite općenito. </w:t>
      </w:r>
    </w:p>
    <w:p w14:paraId="65054EB0" w14:textId="77777777" w:rsidR="009620EF" w:rsidRPr="009620EF" w:rsidRDefault="009620EF" w:rsidP="009620EF">
      <w:pPr>
        <w:tabs>
          <w:tab w:val="left" w:pos="426"/>
        </w:tabs>
        <w:spacing w:after="0" w:line="240" w:lineRule="auto"/>
        <w:ind w:left="709"/>
        <w:jc w:val="both"/>
        <w:rPr>
          <w:rFonts w:ascii="Calibri" w:eastAsia="PMingLiU" w:hAnsi="Calibri" w:cs="Arial"/>
          <w:i/>
          <w:color w:val="000000"/>
          <w:lang w:eastAsia="hr-HR" w:bidi="hr-HR"/>
        </w:rPr>
      </w:pPr>
    </w:p>
    <w:p w14:paraId="406A05A0" w14:textId="77777777" w:rsidR="001658AD" w:rsidRDefault="009620EF" w:rsidP="001658AD">
      <w:pPr>
        <w:tabs>
          <w:tab w:val="left" w:pos="426"/>
        </w:tabs>
        <w:spacing w:after="0" w:line="240" w:lineRule="auto"/>
        <w:ind w:left="709"/>
        <w:jc w:val="both"/>
        <w:rPr>
          <w:rFonts w:ascii="Calibri" w:eastAsia="PMingLiU" w:hAnsi="Calibri" w:cs="Arial"/>
          <w:color w:val="000000"/>
          <w:lang w:eastAsia="hr-HR" w:bidi="hr-HR"/>
        </w:rPr>
        <w:sectPr w:rsidR="001658AD" w:rsidSect="009170A3">
          <w:footerReference w:type="default" r:id="rId56"/>
          <w:pgSz w:w="11907" w:h="16840" w:code="9"/>
          <w:pgMar w:top="1418" w:right="1134" w:bottom="1134" w:left="1418" w:header="851" w:footer="851" w:gutter="0"/>
          <w:cols w:space="720"/>
          <w:noEndnote/>
        </w:sectPr>
      </w:pPr>
      <w:r w:rsidRPr="009620EF">
        <w:rPr>
          <w:rFonts w:ascii="Calibri" w:eastAsia="PMingLiU" w:hAnsi="Calibri" w:cs="Arial"/>
          <w:i/>
          <w:color w:val="000000"/>
          <w:lang w:eastAsia="hr-HR" w:bidi="hr-HR"/>
        </w:rPr>
        <w:t>Klasificiranje i mjerenje financijske imovine i financijskih obveza</w:t>
      </w:r>
      <w:r w:rsidRPr="009620EF">
        <w:rPr>
          <w:rFonts w:ascii="Calibri" w:eastAsia="PMingLiU" w:hAnsi="Calibri" w:cs="Arial"/>
          <w:color w:val="000000"/>
          <w:lang w:eastAsia="hr-HR" w:bidi="hr-HR"/>
        </w:rPr>
        <w:t xml:space="preserve"> – sva priznata financijska imovina koja je trenutno u djelokrugu MRS-a 39, datumom primjene MSFI 9 vrednuje se ili po amortiziranom trošku ili po fer vrijednosti.</w:t>
      </w:r>
    </w:p>
    <w:p w14:paraId="41E053F5" w14:textId="77777777" w:rsidR="001658AD" w:rsidRDefault="001658AD" w:rsidP="001658AD">
      <w:pPr>
        <w:keepNext/>
        <w:tabs>
          <w:tab w:val="left" w:pos="426"/>
        </w:tabs>
        <w:spacing w:after="0" w:line="240" w:lineRule="auto"/>
        <w:jc w:val="both"/>
        <w:rPr>
          <w:rFonts w:eastAsia="Times New Roman" w:cs="Arial"/>
          <w:b/>
          <w:bCs/>
        </w:rPr>
      </w:pPr>
    </w:p>
    <w:p w14:paraId="082352CB" w14:textId="0A859636" w:rsidR="001658AD" w:rsidRDefault="001658AD" w:rsidP="001658AD">
      <w:pPr>
        <w:keepNext/>
        <w:tabs>
          <w:tab w:val="left" w:pos="426"/>
        </w:tabs>
        <w:spacing w:after="0" w:line="240" w:lineRule="auto"/>
        <w:jc w:val="both"/>
        <w:rPr>
          <w:rFonts w:eastAsia="Times New Roman" w:cs="Arial"/>
          <w:b/>
          <w:bCs/>
        </w:rPr>
      </w:pPr>
      <w:r>
        <w:rPr>
          <w:rFonts w:eastAsia="Times New Roman" w:cs="Arial"/>
          <w:b/>
          <w:bCs/>
        </w:rPr>
        <w:t xml:space="preserve">3. </w:t>
      </w:r>
      <w:r>
        <w:rPr>
          <w:rFonts w:eastAsia="Times New Roman" w:cs="Arial"/>
          <w:b/>
          <w:bCs/>
        </w:rPr>
        <w:tab/>
      </w:r>
      <w:r w:rsidRPr="00876425">
        <w:rPr>
          <w:rFonts w:eastAsia="Times New Roman" w:cs="Arial"/>
          <w:b/>
          <w:bCs/>
        </w:rPr>
        <w:t>Sažetak značajnih računovodstvenih politika</w:t>
      </w:r>
      <w:r>
        <w:rPr>
          <w:rFonts w:eastAsia="Times New Roman" w:cs="Arial"/>
          <w:b/>
          <w:bCs/>
        </w:rPr>
        <w:t xml:space="preserve"> (nastavak)</w:t>
      </w:r>
    </w:p>
    <w:p w14:paraId="4E2BF5BC" w14:textId="77777777" w:rsidR="001658AD" w:rsidRDefault="001658AD" w:rsidP="001658AD">
      <w:pPr>
        <w:tabs>
          <w:tab w:val="left" w:pos="426"/>
        </w:tabs>
        <w:spacing w:after="0" w:line="240" w:lineRule="auto"/>
        <w:ind w:left="993" w:hanging="284"/>
        <w:jc w:val="both"/>
        <w:rPr>
          <w:rFonts w:ascii="Calibri" w:eastAsia="PMingLiU" w:hAnsi="Calibri" w:cs="Arial"/>
          <w:color w:val="000000"/>
          <w:highlight w:val="yellow"/>
          <w:lang w:eastAsia="hr-HR" w:bidi="hr-HR"/>
        </w:rPr>
      </w:pPr>
    </w:p>
    <w:p w14:paraId="077F0BC9" w14:textId="77777777" w:rsidR="001658AD" w:rsidRDefault="001658AD" w:rsidP="001658AD">
      <w:pPr>
        <w:spacing w:after="0" w:line="240" w:lineRule="auto"/>
        <w:ind w:left="567" w:hanging="567"/>
        <w:jc w:val="both"/>
        <w:rPr>
          <w:rFonts w:eastAsia="Times New Roman" w:cs="Arial"/>
          <w:b/>
        </w:rPr>
      </w:pPr>
      <w:r w:rsidRPr="007910A0">
        <w:rPr>
          <w:rFonts w:eastAsia="Times New Roman" w:cs="Arial"/>
          <w:b/>
        </w:rPr>
        <w:t>3.2.</w:t>
      </w:r>
      <w:r w:rsidRPr="007910A0">
        <w:rPr>
          <w:rFonts w:eastAsia="Times New Roman" w:cs="Arial"/>
          <w:b/>
        </w:rPr>
        <w:tab/>
        <w:t>Usvajanje</w:t>
      </w:r>
      <w:r w:rsidRPr="007910A0">
        <w:t xml:space="preserve"> </w:t>
      </w:r>
      <w:r w:rsidRPr="007910A0">
        <w:rPr>
          <w:rFonts w:eastAsia="Times New Roman" w:cs="Arial"/>
          <w:b/>
        </w:rPr>
        <w:t>novih i izmijenjenih Međunarodnih standarda financijskog izvještavanja</w:t>
      </w:r>
      <w:r>
        <w:rPr>
          <w:rFonts w:eastAsia="Times New Roman" w:cs="Arial"/>
          <w:b/>
        </w:rPr>
        <w:t xml:space="preserve"> (nastavak)</w:t>
      </w:r>
      <w:r w:rsidRPr="007910A0">
        <w:rPr>
          <w:rFonts w:eastAsia="Times New Roman" w:cs="Arial"/>
          <w:b/>
        </w:rPr>
        <w:t>:</w:t>
      </w:r>
    </w:p>
    <w:p w14:paraId="2FF3D35F" w14:textId="77777777" w:rsidR="001658AD" w:rsidRPr="009620EF" w:rsidRDefault="001658AD" w:rsidP="001658AD">
      <w:pPr>
        <w:tabs>
          <w:tab w:val="left" w:pos="426"/>
        </w:tabs>
        <w:spacing w:after="0" w:line="240" w:lineRule="auto"/>
        <w:ind w:left="993" w:hanging="284"/>
        <w:jc w:val="both"/>
        <w:rPr>
          <w:rFonts w:ascii="Calibri" w:eastAsia="PMingLiU" w:hAnsi="Calibri" w:cs="Arial"/>
          <w:color w:val="000000"/>
          <w:lang w:eastAsia="hr-HR" w:bidi="hr-HR"/>
        </w:rPr>
      </w:pPr>
    </w:p>
    <w:p w14:paraId="3800A394" w14:textId="77777777" w:rsidR="001658AD" w:rsidRDefault="001658AD" w:rsidP="001658AD">
      <w:pPr>
        <w:tabs>
          <w:tab w:val="left" w:pos="426"/>
        </w:tabs>
        <w:spacing w:after="0" w:line="240" w:lineRule="auto"/>
        <w:ind w:left="426" w:hanging="426"/>
        <w:jc w:val="both"/>
        <w:rPr>
          <w:rFonts w:eastAsia="PMingLiU" w:cs="Arial"/>
          <w:i/>
          <w:color w:val="000000"/>
          <w:lang w:eastAsia="hr-HR" w:bidi="hr-HR"/>
        </w:rPr>
      </w:pPr>
      <w:r>
        <w:rPr>
          <w:rFonts w:eastAsia="PMingLiU" w:cs="Arial"/>
          <w:i/>
          <w:color w:val="000000"/>
          <w:lang w:eastAsia="hr-HR" w:bidi="hr-HR"/>
        </w:rPr>
        <w:t>b)</w:t>
      </w:r>
      <w:r>
        <w:rPr>
          <w:rFonts w:eastAsia="PMingLiU" w:cs="Arial"/>
          <w:i/>
          <w:color w:val="000000"/>
          <w:lang w:eastAsia="hr-HR" w:bidi="hr-HR"/>
        </w:rPr>
        <w:tab/>
      </w:r>
      <w:r w:rsidRPr="009D1460">
        <w:rPr>
          <w:rFonts w:eastAsia="PMingLiU" w:cs="Arial"/>
          <w:i/>
          <w:color w:val="000000"/>
          <w:lang w:eastAsia="hr-HR" w:bidi="hr-HR"/>
        </w:rPr>
        <w:t xml:space="preserve">Novi i izmijenjeni Međunarodni standardi financijskog izvještaja koji se </w:t>
      </w:r>
      <w:r>
        <w:rPr>
          <w:rFonts w:eastAsia="PMingLiU" w:cs="Arial"/>
          <w:i/>
          <w:color w:val="000000"/>
          <w:lang w:eastAsia="hr-HR" w:bidi="hr-HR"/>
        </w:rPr>
        <w:t xml:space="preserve">ne </w:t>
      </w:r>
      <w:r w:rsidRPr="009D1460">
        <w:rPr>
          <w:rFonts w:eastAsia="PMingLiU" w:cs="Arial"/>
          <w:i/>
          <w:color w:val="000000"/>
          <w:lang w:eastAsia="hr-HR" w:bidi="hr-HR"/>
        </w:rPr>
        <w:t>odnose na izvještajno razdoblje</w:t>
      </w:r>
      <w:r>
        <w:rPr>
          <w:rFonts w:eastAsia="PMingLiU" w:cs="Arial"/>
          <w:i/>
          <w:color w:val="000000"/>
          <w:lang w:eastAsia="hr-HR" w:bidi="hr-HR"/>
        </w:rPr>
        <w:t xml:space="preserve"> i</w:t>
      </w:r>
      <w:r w:rsidRPr="009D1460">
        <w:rPr>
          <w:rFonts w:eastAsia="PMingLiU" w:cs="Arial"/>
          <w:i/>
          <w:color w:val="000000"/>
          <w:lang w:eastAsia="hr-HR" w:bidi="hr-HR"/>
        </w:rPr>
        <w:t xml:space="preserve"> usvojeni </w:t>
      </w:r>
      <w:r>
        <w:rPr>
          <w:rFonts w:eastAsia="PMingLiU" w:cs="Arial"/>
          <w:i/>
          <w:color w:val="000000"/>
          <w:lang w:eastAsia="hr-HR" w:bidi="hr-HR"/>
        </w:rPr>
        <w:t xml:space="preserve">su </w:t>
      </w:r>
      <w:r w:rsidRPr="009D1460">
        <w:rPr>
          <w:rFonts w:eastAsia="PMingLiU" w:cs="Arial"/>
          <w:i/>
          <w:color w:val="000000"/>
          <w:lang w:eastAsia="hr-HR" w:bidi="hr-HR"/>
        </w:rPr>
        <w:t>u Europskoj uniji</w:t>
      </w:r>
      <w:r>
        <w:rPr>
          <w:rFonts w:eastAsia="PMingLiU" w:cs="Arial"/>
          <w:i/>
          <w:color w:val="000000"/>
          <w:lang w:eastAsia="hr-HR" w:bidi="hr-HR"/>
        </w:rPr>
        <w:t xml:space="preserve"> </w:t>
      </w:r>
      <w:r w:rsidRPr="005D12B5">
        <w:rPr>
          <w:rFonts w:eastAsia="PMingLiU" w:cs="Arial"/>
          <w:i/>
          <w:color w:val="000000"/>
          <w:lang w:eastAsia="hr-HR" w:bidi="hr-HR"/>
        </w:rPr>
        <w:t>s ocjenom utjecaja na financijske izvještaje</w:t>
      </w:r>
      <w:r>
        <w:rPr>
          <w:rFonts w:eastAsia="PMingLiU" w:cs="Arial"/>
          <w:i/>
          <w:color w:val="000000"/>
          <w:lang w:eastAsia="hr-HR" w:bidi="hr-HR"/>
        </w:rPr>
        <w:t xml:space="preserve"> (nastavak):</w:t>
      </w:r>
    </w:p>
    <w:p w14:paraId="0B9023DC" w14:textId="77777777" w:rsidR="001658AD" w:rsidRDefault="001658AD" w:rsidP="001658AD">
      <w:pPr>
        <w:tabs>
          <w:tab w:val="left" w:pos="426"/>
        </w:tabs>
        <w:spacing w:after="0" w:line="240" w:lineRule="auto"/>
        <w:ind w:left="426" w:hanging="426"/>
        <w:jc w:val="both"/>
        <w:rPr>
          <w:rFonts w:eastAsia="PMingLiU" w:cs="Arial"/>
          <w:i/>
          <w:color w:val="000000"/>
          <w:lang w:eastAsia="hr-HR" w:bidi="hr-HR"/>
        </w:rPr>
      </w:pPr>
    </w:p>
    <w:p w14:paraId="33BC6027" w14:textId="77777777" w:rsidR="001658AD" w:rsidRPr="00BB73D5" w:rsidRDefault="001658AD" w:rsidP="001658AD">
      <w:pPr>
        <w:pStyle w:val="ListParagraph"/>
        <w:numPr>
          <w:ilvl w:val="0"/>
          <w:numId w:val="13"/>
        </w:numPr>
        <w:tabs>
          <w:tab w:val="left" w:pos="426"/>
        </w:tabs>
        <w:spacing w:after="0" w:line="240" w:lineRule="auto"/>
        <w:jc w:val="both"/>
        <w:rPr>
          <w:rFonts w:ascii="Calibri" w:eastAsia="PMingLiU" w:hAnsi="Calibri" w:cs="Arial"/>
          <w:i/>
          <w:color w:val="000000"/>
          <w:lang w:eastAsia="hr-HR" w:bidi="hr-HR"/>
        </w:rPr>
      </w:pPr>
      <w:r w:rsidRPr="00BB73D5">
        <w:rPr>
          <w:rFonts w:ascii="Calibri" w:eastAsia="PMingLiU" w:hAnsi="Calibri" w:cs="Arial"/>
          <w:color w:val="000000"/>
          <w:lang w:eastAsia="hr-HR" w:bidi="hr-HR"/>
        </w:rPr>
        <w:t xml:space="preserve">MSFI 9 Financijski instrumenti </w:t>
      </w:r>
      <w:r>
        <w:rPr>
          <w:rFonts w:ascii="Calibri" w:eastAsia="PMingLiU" w:hAnsi="Calibri" w:cs="Arial"/>
          <w:color w:val="000000"/>
          <w:lang w:eastAsia="hr-HR" w:bidi="hr-HR"/>
        </w:rPr>
        <w:t xml:space="preserve"> (nastavak)</w:t>
      </w:r>
      <w:r w:rsidRPr="001658AD" w:rsidDel="001658AD">
        <w:rPr>
          <w:rFonts w:ascii="Calibri" w:eastAsia="PMingLiU" w:hAnsi="Calibri" w:cs="Arial"/>
          <w:i/>
          <w:color w:val="000000"/>
          <w:lang w:eastAsia="hr-HR" w:bidi="hr-HR"/>
        </w:rPr>
        <w:t xml:space="preserve"> </w:t>
      </w:r>
    </w:p>
    <w:p w14:paraId="38A096F7" w14:textId="77777777" w:rsidR="009620EF" w:rsidRPr="009620EF" w:rsidRDefault="009620EF" w:rsidP="001658AD">
      <w:pPr>
        <w:tabs>
          <w:tab w:val="left" w:pos="426"/>
        </w:tabs>
        <w:spacing w:after="0" w:line="240" w:lineRule="auto"/>
        <w:ind w:left="709"/>
        <w:jc w:val="both"/>
        <w:rPr>
          <w:rFonts w:ascii="Calibri" w:eastAsia="PMingLiU" w:hAnsi="Calibri" w:cs="Arial"/>
          <w:i/>
          <w:color w:val="000000"/>
          <w:lang w:eastAsia="hr-HR" w:bidi="hr-HR"/>
        </w:rPr>
      </w:pPr>
    </w:p>
    <w:p w14:paraId="03CC5B20" w14:textId="77777777" w:rsidR="009620EF" w:rsidRPr="009620EF" w:rsidRDefault="009620EF" w:rsidP="001658AD">
      <w:pPr>
        <w:tabs>
          <w:tab w:val="left" w:pos="426"/>
        </w:tabs>
        <w:spacing w:after="0" w:line="240" w:lineRule="auto"/>
        <w:ind w:left="709"/>
        <w:jc w:val="both"/>
        <w:rPr>
          <w:rFonts w:ascii="Calibri" w:eastAsia="PMingLiU" w:hAnsi="Calibri" w:cs="Arial"/>
          <w:color w:val="000000"/>
          <w:lang w:eastAsia="hr-HR" w:bidi="hr-HR"/>
        </w:rPr>
      </w:pPr>
      <w:r w:rsidRPr="009620EF">
        <w:rPr>
          <w:rFonts w:ascii="Calibri" w:eastAsia="PMingLiU" w:hAnsi="Calibri" w:cs="Arial"/>
          <w:i/>
          <w:color w:val="000000"/>
          <w:lang w:eastAsia="hr-HR" w:bidi="hr-HR"/>
        </w:rPr>
        <w:t>Umanjenje</w:t>
      </w:r>
      <w:r w:rsidRPr="009620EF">
        <w:rPr>
          <w:rFonts w:ascii="Calibri" w:eastAsia="PMingLiU" w:hAnsi="Calibri" w:cs="Arial"/>
          <w:color w:val="000000"/>
          <w:lang w:eastAsia="hr-HR" w:bidi="hr-HR"/>
        </w:rPr>
        <w:t xml:space="preserve"> – MSFI 9 uvodi nov model umanjenja prema očekivanim gubicima prema kojem više nije nužan nastanak kreditnog gubitka da bi se moglo priznati umanjenje vrijednosti. Subjekti primjene priznaju godišnji očekivani kreditni gubitak ili očekivani kreditni gubitak kroz vijek trajanja financijskog instrumenta ovisno o tome da li je bilo značajnog povećanja kreditnog rizika od trenutka početnog priznavanja. Mjerenje očekivanog kreditnog gubitka mora odražavati vjerojatnost ishoda, utjecaj vremenske vrijednosti novca i biti temeljeno na razumnim i potkrepljujućim informacijama. </w:t>
      </w:r>
    </w:p>
    <w:p w14:paraId="12BE6781" w14:textId="77777777" w:rsidR="009A140E" w:rsidRDefault="009A140E" w:rsidP="009A140E">
      <w:pPr>
        <w:keepNext/>
        <w:tabs>
          <w:tab w:val="left" w:pos="426"/>
        </w:tabs>
        <w:spacing w:after="0" w:line="240" w:lineRule="auto"/>
        <w:jc w:val="both"/>
        <w:rPr>
          <w:rFonts w:eastAsia="Times New Roman" w:cs="Arial"/>
          <w:b/>
          <w:bCs/>
        </w:rPr>
      </w:pPr>
    </w:p>
    <w:p w14:paraId="472AC12A" w14:textId="3F77E913" w:rsidR="009620EF" w:rsidRPr="009620EF" w:rsidRDefault="009620EF" w:rsidP="000E5941">
      <w:pPr>
        <w:pStyle w:val="ListParagraph"/>
        <w:spacing w:after="0" w:line="240" w:lineRule="auto"/>
        <w:rPr>
          <w:rFonts w:ascii="Calibri" w:eastAsia="PMingLiU" w:hAnsi="Calibri" w:cs="Arial"/>
          <w:color w:val="000000"/>
          <w:lang w:eastAsia="hr-HR" w:bidi="hr-HR"/>
        </w:rPr>
      </w:pPr>
      <w:r w:rsidRPr="009620EF">
        <w:rPr>
          <w:rFonts w:ascii="Calibri" w:eastAsia="PMingLiU" w:hAnsi="Calibri" w:cs="Arial"/>
          <w:i/>
          <w:color w:val="000000"/>
          <w:lang w:eastAsia="hr-HR" w:bidi="hr-HR"/>
        </w:rPr>
        <w:t>Računovodstvo zaštite</w:t>
      </w:r>
      <w:r w:rsidRPr="009620EF">
        <w:rPr>
          <w:rFonts w:ascii="Calibri" w:eastAsia="PMingLiU" w:hAnsi="Calibri" w:cs="Arial"/>
          <w:color w:val="000000"/>
          <w:lang w:eastAsia="hr-HR" w:bidi="hr-HR"/>
        </w:rPr>
        <w:t xml:space="preserve"> – MSFI 9 uvodi bitno izmijenjen model računovodstva zaštite, uz proširene informacije koje treba objaviti o aktivnostima upravljanja rizicima. Novi model je posljedica značajnog revidiranja računovodstva zaštite kojim se sam postupak obračunavanja usklađuje s aktivnostima subjekta u upravljanju rizicima.</w:t>
      </w:r>
    </w:p>
    <w:p w14:paraId="4E41343C" w14:textId="77777777" w:rsidR="009620EF" w:rsidRPr="009620EF" w:rsidRDefault="009620EF" w:rsidP="001658AD">
      <w:pPr>
        <w:tabs>
          <w:tab w:val="left" w:pos="426"/>
        </w:tabs>
        <w:spacing w:after="0" w:line="240" w:lineRule="auto"/>
        <w:ind w:left="709"/>
        <w:jc w:val="both"/>
        <w:rPr>
          <w:rFonts w:ascii="Calibri" w:eastAsia="PMingLiU" w:hAnsi="Calibri" w:cs="Arial"/>
          <w:color w:val="000000"/>
          <w:lang w:eastAsia="hr-HR" w:bidi="hr-HR"/>
        </w:rPr>
      </w:pPr>
    </w:p>
    <w:p w14:paraId="367DC2AE" w14:textId="77777777" w:rsidR="009620EF" w:rsidRPr="009620EF" w:rsidRDefault="009620EF" w:rsidP="001658AD">
      <w:pPr>
        <w:tabs>
          <w:tab w:val="left" w:pos="426"/>
        </w:tabs>
        <w:spacing w:after="0" w:line="240" w:lineRule="auto"/>
        <w:ind w:left="709"/>
        <w:jc w:val="both"/>
        <w:rPr>
          <w:rFonts w:ascii="Calibri" w:eastAsia="PMingLiU" w:hAnsi="Calibri" w:cs="Arial"/>
          <w:lang w:eastAsia="hr-HR" w:bidi="hr-HR"/>
        </w:rPr>
      </w:pPr>
      <w:r w:rsidRPr="009620EF">
        <w:rPr>
          <w:rFonts w:ascii="Calibri" w:eastAsia="PMingLiU" w:hAnsi="Calibri" w:cs="Arial"/>
          <w:lang w:eastAsia="hr-HR" w:bidi="hr-HR"/>
        </w:rPr>
        <w:t xml:space="preserve">Grupa neće primijeniti MSFI 9 u razdoblju prije njegove obavezne primjene. </w:t>
      </w:r>
    </w:p>
    <w:p w14:paraId="11A261BC" w14:textId="77777777" w:rsidR="009620EF" w:rsidRPr="009620EF" w:rsidRDefault="009620EF" w:rsidP="001658AD">
      <w:pPr>
        <w:autoSpaceDE w:val="0"/>
        <w:autoSpaceDN w:val="0"/>
        <w:adjustRightInd w:val="0"/>
        <w:spacing w:after="0" w:line="240" w:lineRule="auto"/>
        <w:ind w:firstLine="680"/>
        <w:jc w:val="both"/>
        <w:rPr>
          <w:rFonts w:ascii="Calibri" w:eastAsia="Times New Roman" w:hAnsi="Calibri" w:cs="Verdana"/>
        </w:rPr>
      </w:pPr>
    </w:p>
    <w:p w14:paraId="1D8C1894" w14:textId="77777777" w:rsidR="009620EF" w:rsidRPr="009620EF" w:rsidRDefault="009620EF" w:rsidP="001658AD">
      <w:pPr>
        <w:autoSpaceDE w:val="0"/>
        <w:autoSpaceDN w:val="0"/>
        <w:adjustRightInd w:val="0"/>
        <w:spacing w:after="0" w:line="240" w:lineRule="auto"/>
        <w:ind w:left="680"/>
        <w:jc w:val="both"/>
        <w:rPr>
          <w:rFonts w:ascii="Calibri" w:eastAsia="Times New Roman" w:hAnsi="Calibri" w:cs="Verdana"/>
        </w:rPr>
      </w:pPr>
      <w:r w:rsidRPr="009620EF">
        <w:rPr>
          <w:rFonts w:ascii="Calibri" w:eastAsia="Times New Roman" w:hAnsi="Calibri" w:cs="Verdana"/>
        </w:rPr>
        <w:t xml:space="preserve">Banka je 2016. godine pokrenula projekt uvođenja MSFI-ja 9 angažirajući vanjske konzultante. </w:t>
      </w:r>
    </w:p>
    <w:p w14:paraId="2297B0D9" w14:textId="77777777" w:rsidR="009620EF" w:rsidRPr="009620EF" w:rsidRDefault="009620EF" w:rsidP="001658AD">
      <w:pPr>
        <w:autoSpaceDE w:val="0"/>
        <w:autoSpaceDN w:val="0"/>
        <w:adjustRightInd w:val="0"/>
        <w:spacing w:after="0" w:line="240" w:lineRule="auto"/>
        <w:ind w:left="680"/>
        <w:jc w:val="both"/>
        <w:rPr>
          <w:rFonts w:ascii="Calibri" w:eastAsia="Times New Roman" w:hAnsi="Calibri" w:cs="Verdana"/>
        </w:rPr>
      </w:pPr>
    </w:p>
    <w:p w14:paraId="30682875" w14:textId="77777777" w:rsidR="009620EF" w:rsidRPr="009620EF" w:rsidRDefault="009620EF" w:rsidP="001658AD">
      <w:pPr>
        <w:autoSpaceDE w:val="0"/>
        <w:autoSpaceDN w:val="0"/>
        <w:adjustRightInd w:val="0"/>
        <w:spacing w:after="0" w:line="240" w:lineRule="auto"/>
        <w:ind w:left="680"/>
        <w:jc w:val="both"/>
        <w:rPr>
          <w:rFonts w:ascii="Calibri" w:eastAsia="Times New Roman" w:hAnsi="Calibri" w:cs="Verdana"/>
        </w:rPr>
      </w:pPr>
      <w:r w:rsidRPr="009620EF">
        <w:rPr>
          <w:rFonts w:ascii="Calibri" w:eastAsia="Times New Roman" w:hAnsi="Calibri" w:cs="Verdana"/>
        </w:rPr>
        <w:t>Projektom su predviđene sljedeće faze:</w:t>
      </w:r>
    </w:p>
    <w:p w14:paraId="26E4F01D" w14:textId="77777777" w:rsidR="009620EF" w:rsidRPr="009620EF" w:rsidRDefault="009620EF" w:rsidP="001658AD">
      <w:pPr>
        <w:autoSpaceDE w:val="0"/>
        <w:autoSpaceDN w:val="0"/>
        <w:adjustRightInd w:val="0"/>
        <w:spacing w:after="0" w:line="240" w:lineRule="auto"/>
        <w:ind w:left="680"/>
        <w:jc w:val="both"/>
        <w:rPr>
          <w:rFonts w:ascii="Calibri" w:eastAsia="Times New Roman" w:hAnsi="Calibri" w:cs="Verdana"/>
        </w:rPr>
      </w:pPr>
    </w:p>
    <w:p w14:paraId="37DC59AF" w14:textId="77777777" w:rsidR="009620EF" w:rsidRPr="009620EF" w:rsidRDefault="009620EF" w:rsidP="000E5941">
      <w:pPr>
        <w:numPr>
          <w:ilvl w:val="0"/>
          <w:numId w:val="20"/>
        </w:numPr>
        <w:autoSpaceDE w:val="0"/>
        <w:autoSpaceDN w:val="0"/>
        <w:adjustRightInd w:val="0"/>
        <w:spacing w:after="0" w:line="240" w:lineRule="auto"/>
        <w:ind w:left="1418" w:hanging="425"/>
        <w:contextualSpacing/>
        <w:jc w:val="both"/>
        <w:rPr>
          <w:rFonts w:ascii="Calibri" w:eastAsia="Times New Roman" w:hAnsi="Calibri" w:cs="Verdana"/>
        </w:rPr>
      </w:pPr>
      <w:r w:rsidRPr="009620EF">
        <w:rPr>
          <w:rFonts w:ascii="Calibri" w:eastAsia="Times New Roman" w:hAnsi="Calibri" w:cs="Verdana"/>
        </w:rPr>
        <w:t>niz edukacija na temu upoznavanja zaposlenika Banke s MSFI-</w:t>
      </w:r>
      <w:proofErr w:type="spellStart"/>
      <w:r w:rsidRPr="009620EF">
        <w:rPr>
          <w:rFonts w:ascii="Calibri" w:eastAsia="Times New Roman" w:hAnsi="Calibri" w:cs="Verdana"/>
        </w:rPr>
        <w:t>jem</w:t>
      </w:r>
      <w:proofErr w:type="spellEnd"/>
      <w:r w:rsidRPr="009620EF">
        <w:rPr>
          <w:rFonts w:ascii="Calibri" w:eastAsia="Times New Roman" w:hAnsi="Calibri" w:cs="Verdana"/>
        </w:rPr>
        <w:t xml:space="preserve"> 9 i njegovim zahtjevima,</w:t>
      </w:r>
    </w:p>
    <w:p w14:paraId="1B695D8D" w14:textId="77777777" w:rsidR="009620EF" w:rsidRPr="009620EF" w:rsidRDefault="009620EF" w:rsidP="001658AD">
      <w:pPr>
        <w:numPr>
          <w:ilvl w:val="0"/>
          <w:numId w:val="20"/>
        </w:numPr>
        <w:autoSpaceDE w:val="0"/>
        <w:autoSpaceDN w:val="0"/>
        <w:adjustRightInd w:val="0"/>
        <w:spacing w:after="0" w:line="240" w:lineRule="auto"/>
        <w:ind w:left="1418" w:hanging="425"/>
        <w:contextualSpacing/>
        <w:jc w:val="both"/>
        <w:rPr>
          <w:rFonts w:ascii="Calibri" w:eastAsia="Times New Roman" w:hAnsi="Calibri" w:cs="Verdana"/>
        </w:rPr>
      </w:pPr>
      <w:r w:rsidRPr="009620EF">
        <w:rPr>
          <w:rFonts w:ascii="Calibri" w:eastAsia="Times New Roman" w:hAnsi="Calibri" w:cs="Verdana"/>
        </w:rPr>
        <w:t>analiza jazova između postojećeg stanja i zahtjeva MSFI-ja 9 u području klasificiranja i mjerenja:</w:t>
      </w:r>
    </w:p>
    <w:p w14:paraId="3436AEEF" w14:textId="77777777" w:rsidR="009620EF" w:rsidRPr="009620EF" w:rsidRDefault="009620EF" w:rsidP="001658AD">
      <w:pPr>
        <w:numPr>
          <w:ilvl w:val="1"/>
          <w:numId w:val="20"/>
        </w:numPr>
        <w:autoSpaceDE w:val="0"/>
        <w:autoSpaceDN w:val="0"/>
        <w:adjustRightInd w:val="0"/>
        <w:spacing w:after="0" w:line="240" w:lineRule="auto"/>
        <w:contextualSpacing/>
        <w:jc w:val="both"/>
        <w:rPr>
          <w:rFonts w:ascii="Calibri" w:eastAsia="Times New Roman" w:hAnsi="Calibri" w:cs="Verdana"/>
        </w:rPr>
      </w:pPr>
      <w:r w:rsidRPr="009620EF">
        <w:rPr>
          <w:rFonts w:ascii="Calibri" w:eastAsia="Times New Roman" w:hAnsi="Calibri" w:cs="Verdana"/>
        </w:rPr>
        <w:t>određivanje poslovnih modela</w:t>
      </w:r>
    </w:p>
    <w:p w14:paraId="30E1CFF5" w14:textId="77777777" w:rsidR="009620EF" w:rsidRPr="009620EF" w:rsidRDefault="009620EF" w:rsidP="001658AD">
      <w:pPr>
        <w:numPr>
          <w:ilvl w:val="1"/>
          <w:numId w:val="20"/>
        </w:numPr>
        <w:autoSpaceDE w:val="0"/>
        <w:autoSpaceDN w:val="0"/>
        <w:adjustRightInd w:val="0"/>
        <w:spacing w:after="0" w:line="240" w:lineRule="auto"/>
        <w:contextualSpacing/>
        <w:jc w:val="both"/>
        <w:rPr>
          <w:rFonts w:ascii="Calibri" w:eastAsia="Times New Roman" w:hAnsi="Calibri" w:cs="Verdana"/>
        </w:rPr>
      </w:pPr>
      <w:r w:rsidRPr="009620EF">
        <w:rPr>
          <w:rFonts w:ascii="Calibri" w:eastAsia="Times New Roman" w:hAnsi="Calibri" w:cs="Verdana"/>
        </w:rPr>
        <w:t>određivanje karakteristika ugovorenog tijeka novca</w:t>
      </w:r>
    </w:p>
    <w:p w14:paraId="61F3A844" w14:textId="77777777" w:rsidR="009620EF" w:rsidRPr="009620EF" w:rsidRDefault="009620EF" w:rsidP="001658AD">
      <w:pPr>
        <w:numPr>
          <w:ilvl w:val="0"/>
          <w:numId w:val="21"/>
        </w:numPr>
        <w:autoSpaceDE w:val="0"/>
        <w:autoSpaceDN w:val="0"/>
        <w:adjustRightInd w:val="0"/>
        <w:spacing w:after="0" w:line="240" w:lineRule="auto"/>
        <w:ind w:left="1418" w:hanging="425"/>
        <w:contextualSpacing/>
        <w:jc w:val="both"/>
        <w:rPr>
          <w:rFonts w:ascii="Calibri" w:eastAsia="Times New Roman" w:hAnsi="Calibri" w:cs="Verdana"/>
        </w:rPr>
      </w:pPr>
      <w:r w:rsidRPr="009620EF">
        <w:rPr>
          <w:rFonts w:ascii="Calibri" w:eastAsia="Times New Roman" w:hAnsi="Calibri" w:cs="Verdana"/>
        </w:rPr>
        <w:t>analiza jazova između postojećeg stanja i zahtjeva MSFI-ja 9 u području umanjenja vrijednosti,</w:t>
      </w:r>
    </w:p>
    <w:p w14:paraId="5B8B36BB" w14:textId="77777777" w:rsidR="009620EF" w:rsidRPr="009620EF" w:rsidRDefault="009620EF" w:rsidP="001658AD">
      <w:pPr>
        <w:numPr>
          <w:ilvl w:val="0"/>
          <w:numId w:val="21"/>
        </w:numPr>
        <w:autoSpaceDE w:val="0"/>
        <w:autoSpaceDN w:val="0"/>
        <w:adjustRightInd w:val="0"/>
        <w:spacing w:after="0" w:line="240" w:lineRule="auto"/>
        <w:ind w:left="1418" w:hanging="425"/>
        <w:contextualSpacing/>
        <w:jc w:val="both"/>
        <w:rPr>
          <w:rFonts w:ascii="Calibri" w:eastAsia="Times New Roman" w:hAnsi="Calibri" w:cs="Verdana"/>
        </w:rPr>
      </w:pPr>
      <w:r w:rsidRPr="009620EF">
        <w:rPr>
          <w:rFonts w:ascii="Calibri" w:eastAsia="Times New Roman" w:hAnsi="Calibri" w:cs="Verdana"/>
        </w:rPr>
        <w:t>analiza kvantitativnog utjecaja MSFI-ja 9,</w:t>
      </w:r>
    </w:p>
    <w:p w14:paraId="06BF91B5" w14:textId="77777777" w:rsidR="009620EF" w:rsidRPr="009620EF" w:rsidRDefault="009620EF" w:rsidP="001658AD">
      <w:pPr>
        <w:numPr>
          <w:ilvl w:val="0"/>
          <w:numId w:val="21"/>
        </w:numPr>
        <w:autoSpaceDE w:val="0"/>
        <w:autoSpaceDN w:val="0"/>
        <w:adjustRightInd w:val="0"/>
        <w:spacing w:after="0" w:line="240" w:lineRule="auto"/>
        <w:ind w:left="1418" w:hanging="425"/>
        <w:contextualSpacing/>
        <w:jc w:val="both"/>
        <w:rPr>
          <w:rFonts w:ascii="Calibri" w:eastAsia="Times New Roman" w:hAnsi="Calibri" w:cs="Verdana"/>
        </w:rPr>
      </w:pPr>
      <w:r w:rsidRPr="009620EF">
        <w:rPr>
          <w:rFonts w:ascii="Calibri" w:eastAsia="Times New Roman" w:hAnsi="Calibri" w:cs="Verdana"/>
        </w:rPr>
        <w:t>izrada funkcionalnih specifikacija za odgovarajuće aplikacijsko rješenje, odnosno uvođenje odgovarajućeg softvera,</w:t>
      </w:r>
    </w:p>
    <w:p w14:paraId="7E458433" w14:textId="77777777" w:rsidR="009620EF" w:rsidRPr="009620EF" w:rsidRDefault="009620EF" w:rsidP="001658AD">
      <w:pPr>
        <w:numPr>
          <w:ilvl w:val="0"/>
          <w:numId w:val="21"/>
        </w:numPr>
        <w:autoSpaceDE w:val="0"/>
        <w:autoSpaceDN w:val="0"/>
        <w:adjustRightInd w:val="0"/>
        <w:spacing w:after="0" w:line="240" w:lineRule="auto"/>
        <w:ind w:left="1418" w:hanging="425"/>
        <w:contextualSpacing/>
        <w:jc w:val="both"/>
        <w:rPr>
          <w:rFonts w:ascii="Calibri" w:eastAsia="Times New Roman" w:hAnsi="Calibri" w:cs="Verdana"/>
        </w:rPr>
      </w:pPr>
      <w:r w:rsidRPr="009620EF">
        <w:rPr>
          <w:rFonts w:ascii="Calibri" w:eastAsia="Times New Roman" w:hAnsi="Calibri" w:cs="Verdana"/>
        </w:rPr>
        <w:t>izrada metodologije umanjenja vrijednosti prema poslovnim modelima Banke – izrada modela za izračunavanje rizičnih parametara za izračunavanje očekivanih kreditnih gubitaka prema MSFI-ju 9.</w:t>
      </w:r>
    </w:p>
    <w:p w14:paraId="4BED8240" w14:textId="77777777" w:rsidR="009620EF" w:rsidRPr="009620EF" w:rsidRDefault="009620EF" w:rsidP="001658AD">
      <w:pPr>
        <w:autoSpaceDE w:val="0"/>
        <w:autoSpaceDN w:val="0"/>
        <w:adjustRightInd w:val="0"/>
        <w:spacing w:after="0" w:line="240" w:lineRule="auto"/>
        <w:jc w:val="both"/>
        <w:rPr>
          <w:rFonts w:ascii="Calibri" w:eastAsia="Times New Roman" w:hAnsi="Calibri" w:cs="Verdana"/>
        </w:rPr>
      </w:pPr>
    </w:p>
    <w:p w14:paraId="3D274F5F" w14:textId="2C1F2781" w:rsidR="009620EF" w:rsidRPr="009620EF" w:rsidRDefault="009620EF" w:rsidP="001658AD">
      <w:pPr>
        <w:autoSpaceDE w:val="0"/>
        <w:autoSpaceDN w:val="0"/>
        <w:adjustRightInd w:val="0"/>
        <w:spacing w:after="0" w:line="240" w:lineRule="auto"/>
        <w:ind w:left="680"/>
        <w:jc w:val="both"/>
        <w:rPr>
          <w:rFonts w:ascii="Calibri" w:eastAsia="Times New Roman" w:hAnsi="Calibri" w:cs="Verdana"/>
        </w:rPr>
      </w:pPr>
      <w:r w:rsidRPr="009620EF">
        <w:rPr>
          <w:rFonts w:ascii="Calibri" w:eastAsia="Times New Roman" w:hAnsi="Calibri" w:cs="Verdana"/>
        </w:rPr>
        <w:t xml:space="preserve">U kontekstu klasifikacije i mjerenja, Banka </w:t>
      </w:r>
      <w:r w:rsidR="006C12B6">
        <w:rPr>
          <w:rFonts w:ascii="Calibri" w:eastAsia="Times New Roman" w:hAnsi="Calibri" w:cs="Verdana"/>
        </w:rPr>
        <w:t>je u fazi</w:t>
      </w:r>
      <w:r w:rsidRPr="009620EF">
        <w:rPr>
          <w:rFonts w:ascii="Calibri" w:eastAsia="Times New Roman" w:hAnsi="Calibri" w:cs="Verdana"/>
        </w:rPr>
        <w:t xml:space="preserve"> definiranja poslovnih modela i drugih zahtjeva MSFI-ja 9 prema utvrđenim jazovima i aktivnostima definiranima za njihovo zatvaranje. </w:t>
      </w:r>
    </w:p>
    <w:p w14:paraId="6BB10026" w14:textId="77777777" w:rsidR="001658AD" w:rsidRDefault="001658AD" w:rsidP="001658AD">
      <w:pPr>
        <w:autoSpaceDE w:val="0"/>
        <w:autoSpaceDN w:val="0"/>
        <w:adjustRightInd w:val="0"/>
        <w:spacing w:after="0" w:line="240" w:lineRule="auto"/>
        <w:ind w:left="680"/>
        <w:jc w:val="both"/>
        <w:rPr>
          <w:rFonts w:ascii="Calibri" w:eastAsia="Times New Roman" w:hAnsi="Calibri" w:cs="Verdana"/>
        </w:rPr>
      </w:pPr>
    </w:p>
    <w:p w14:paraId="48DF9880" w14:textId="423B5A01" w:rsidR="001658AD" w:rsidRDefault="009620EF" w:rsidP="001658AD">
      <w:pPr>
        <w:autoSpaceDE w:val="0"/>
        <w:autoSpaceDN w:val="0"/>
        <w:adjustRightInd w:val="0"/>
        <w:spacing w:after="0" w:line="240" w:lineRule="auto"/>
        <w:ind w:left="680"/>
        <w:jc w:val="both"/>
        <w:rPr>
          <w:rFonts w:ascii="Calibri" w:eastAsia="Times New Roman" w:hAnsi="Calibri" w:cs="Verdana"/>
        </w:rPr>
        <w:sectPr w:rsidR="001658AD" w:rsidSect="009170A3">
          <w:footerReference w:type="default" r:id="rId57"/>
          <w:pgSz w:w="11907" w:h="16840" w:code="9"/>
          <w:pgMar w:top="1418" w:right="1134" w:bottom="1134" w:left="1418" w:header="851" w:footer="851" w:gutter="0"/>
          <w:cols w:space="720"/>
          <w:noEndnote/>
        </w:sectPr>
      </w:pPr>
      <w:r w:rsidRPr="009620EF">
        <w:rPr>
          <w:rFonts w:ascii="Calibri" w:eastAsia="Times New Roman" w:hAnsi="Calibri" w:cs="Verdana"/>
        </w:rPr>
        <w:t xml:space="preserve">U području umanjenja vrijednosti, Banka </w:t>
      </w:r>
      <w:r w:rsidR="006C12B6">
        <w:rPr>
          <w:rFonts w:ascii="Calibri" w:eastAsia="Times New Roman" w:hAnsi="Calibri" w:cs="Verdana"/>
        </w:rPr>
        <w:t xml:space="preserve">procjenjuje da će </w:t>
      </w:r>
      <w:r w:rsidRPr="009620EF">
        <w:rPr>
          <w:rFonts w:ascii="Calibri" w:eastAsia="Times New Roman" w:hAnsi="Calibri" w:cs="Verdana"/>
        </w:rPr>
        <w:t>modeliranje rizičnih parametara, koji obuhvaćaju sve parametre potrebne za projiciranje očekivanja o budućim čimbenicima</w:t>
      </w:r>
      <w:r w:rsidR="006C12B6">
        <w:rPr>
          <w:rFonts w:ascii="Calibri" w:eastAsia="Times New Roman" w:hAnsi="Calibri" w:cs="Verdana"/>
        </w:rPr>
        <w:t>, biti izvršeno do kraja rujna 2017. godine kada će biti utvrđen kvantitativni utjecaj u području umanjenja vrijednosti</w:t>
      </w:r>
      <w:r w:rsidRPr="009620EF">
        <w:rPr>
          <w:rFonts w:ascii="Calibri" w:eastAsia="Times New Roman" w:hAnsi="Calibri" w:cs="Verdana"/>
        </w:rPr>
        <w:t>.</w:t>
      </w:r>
    </w:p>
    <w:p w14:paraId="3BE5B6E9" w14:textId="77777777" w:rsidR="009620EF" w:rsidRPr="009620EF" w:rsidRDefault="009620EF" w:rsidP="009620EF">
      <w:pPr>
        <w:autoSpaceDE w:val="0"/>
        <w:autoSpaceDN w:val="0"/>
        <w:adjustRightInd w:val="0"/>
        <w:spacing w:after="0" w:line="240" w:lineRule="auto"/>
        <w:ind w:left="680"/>
        <w:jc w:val="both"/>
        <w:rPr>
          <w:rFonts w:ascii="Calibri" w:eastAsia="Times New Roman" w:hAnsi="Calibri" w:cs="Verdana"/>
        </w:rPr>
      </w:pPr>
    </w:p>
    <w:p w14:paraId="15DEDD74" w14:textId="77777777" w:rsidR="001658AD" w:rsidRDefault="001658AD" w:rsidP="001658AD">
      <w:pPr>
        <w:keepNext/>
        <w:tabs>
          <w:tab w:val="left" w:pos="426"/>
        </w:tabs>
        <w:spacing w:after="0" w:line="240" w:lineRule="auto"/>
        <w:jc w:val="both"/>
        <w:rPr>
          <w:rFonts w:eastAsia="Times New Roman" w:cs="Arial"/>
          <w:b/>
          <w:bCs/>
        </w:rPr>
      </w:pPr>
      <w:r>
        <w:rPr>
          <w:rFonts w:eastAsia="Times New Roman" w:cs="Arial"/>
          <w:b/>
          <w:bCs/>
        </w:rPr>
        <w:t xml:space="preserve">3. </w:t>
      </w:r>
      <w:r>
        <w:rPr>
          <w:rFonts w:eastAsia="Times New Roman" w:cs="Arial"/>
          <w:b/>
          <w:bCs/>
        </w:rPr>
        <w:tab/>
      </w:r>
      <w:r w:rsidRPr="00876425">
        <w:rPr>
          <w:rFonts w:eastAsia="Times New Roman" w:cs="Arial"/>
          <w:b/>
          <w:bCs/>
        </w:rPr>
        <w:t>Sažetak značajnih računovodstvenih politika</w:t>
      </w:r>
      <w:r>
        <w:rPr>
          <w:rFonts w:eastAsia="Times New Roman" w:cs="Arial"/>
          <w:b/>
          <w:bCs/>
        </w:rPr>
        <w:t xml:space="preserve"> (nastavak)</w:t>
      </w:r>
    </w:p>
    <w:p w14:paraId="21E279E4" w14:textId="77777777" w:rsidR="001658AD" w:rsidRDefault="001658AD" w:rsidP="001658AD">
      <w:pPr>
        <w:tabs>
          <w:tab w:val="left" w:pos="426"/>
        </w:tabs>
        <w:spacing w:after="0" w:line="240" w:lineRule="auto"/>
        <w:ind w:left="993" w:hanging="284"/>
        <w:jc w:val="both"/>
        <w:rPr>
          <w:rFonts w:ascii="Calibri" w:eastAsia="PMingLiU" w:hAnsi="Calibri" w:cs="Arial"/>
          <w:color w:val="000000"/>
          <w:highlight w:val="yellow"/>
          <w:lang w:eastAsia="hr-HR" w:bidi="hr-HR"/>
        </w:rPr>
      </w:pPr>
    </w:p>
    <w:p w14:paraId="086AF600" w14:textId="77777777" w:rsidR="001658AD" w:rsidRDefault="001658AD" w:rsidP="001658AD">
      <w:pPr>
        <w:spacing w:after="0" w:line="240" w:lineRule="auto"/>
        <w:ind w:left="567" w:hanging="567"/>
        <w:jc w:val="both"/>
        <w:rPr>
          <w:rFonts w:eastAsia="Times New Roman" w:cs="Arial"/>
          <w:b/>
        </w:rPr>
      </w:pPr>
      <w:r w:rsidRPr="007910A0">
        <w:rPr>
          <w:rFonts w:eastAsia="Times New Roman" w:cs="Arial"/>
          <w:b/>
        </w:rPr>
        <w:t>3.2.</w:t>
      </w:r>
      <w:r w:rsidRPr="007910A0">
        <w:rPr>
          <w:rFonts w:eastAsia="Times New Roman" w:cs="Arial"/>
          <w:b/>
        </w:rPr>
        <w:tab/>
        <w:t>Usvajanje</w:t>
      </w:r>
      <w:r w:rsidRPr="007910A0">
        <w:t xml:space="preserve"> </w:t>
      </w:r>
      <w:r w:rsidRPr="007910A0">
        <w:rPr>
          <w:rFonts w:eastAsia="Times New Roman" w:cs="Arial"/>
          <w:b/>
        </w:rPr>
        <w:t>novih i izmijenjenih Međunarodnih standarda financijskog izvještavanja</w:t>
      </w:r>
      <w:r>
        <w:rPr>
          <w:rFonts w:eastAsia="Times New Roman" w:cs="Arial"/>
          <w:b/>
        </w:rPr>
        <w:t xml:space="preserve"> (nastavak)</w:t>
      </w:r>
      <w:r w:rsidRPr="007910A0">
        <w:rPr>
          <w:rFonts w:eastAsia="Times New Roman" w:cs="Arial"/>
          <w:b/>
        </w:rPr>
        <w:t>:</w:t>
      </w:r>
    </w:p>
    <w:p w14:paraId="0A6C0D22" w14:textId="77777777" w:rsidR="001658AD" w:rsidRPr="009620EF" w:rsidRDefault="001658AD" w:rsidP="001658AD">
      <w:pPr>
        <w:tabs>
          <w:tab w:val="left" w:pos="426"/>
        </w:tabs>
        <w:spacing w:after="0" w:line="240" w:lineRule="auto"/>
        <w:ind w:left="993" w:hanging="284"/>
        <w:jc w:val="both"/>
        <w:rPr>
          <w:rFonts w:ascii="Calibri" w:eastAsia="PMingLiU" w:hAnsi="Calibri" w:cs="Arial"/>
          <w:color w:val="000000"/>
          <w:lang w:eastAsia="hr-HR" w:bidi="hr-HR"/>
        </w:rPr>
      </w:pPr>
    </w:p>
    <w:p w14:paraId="6E408E7E" w14:textId="77777777" w:rsidR="001658AD" w:rsidRDefault="001658AD" w:rsidP="001658AD">
      <w:pPr>
        <w:tabs>
          <w:tab w:val="left" w:pos="426"/>
        </w:tabs>
        <w:spacing w:after="0" w:line="240" w:lineRule="auto"/>
        <w:ind w:left="426" w:hanging="426"/>
        <w:jc w:val="both"/>
        <w:rPr>
          <w:rFonts w:eastAsia="PMingLiU" w:cs="Arial"/>
          <w:i/>
          <w:color w:val="000000"/>
          <w:lang w:eastAsia="hr-HR" w:bidi="hr-HR"/>
        </w:rPr>
      </w:pPr>
      <w:r>
        <w:rPr>
          <w:rFonts w:eastAsia="PMingLiU" w:cs="Arial"/>
          <w:i/>
          <w:color w:val="000000"/>
          <w:lang w:eastAsia="hr-HR" w:bidi="hr-HR"/>
        </w:rPr>
        <w:t>b)</w:t>
      </w:r>
      <w:r>
        <w:rPr>
          <w:rFonts w:eastAsia="PMingLiU" w:cs="Arial"/>
          <w:i/>
          <w:color w:val="000000"/>
          <w:lang w:eastAsia="hr-HR" w:bidi="hr-HR"/>
        </w:rPr>
        <w:tab/>
      </w:r>
      <w:r w:rsidRPr="009D1460">
        <w:rPr>
          <w:rFonts w:eastAsia="PMingLiU" w:cs="Arial"/>
          <w:i/>
          <w:color w:val="000000"/>
          <w:lang w:eastAsia="hr-HR" w:bidi="hr-HR"/>
        </w:rPr>
        <w:t xml:space="preserve">Novi i izmijenjeni Međunarodni standardi financijskog izvještaja koji se </w:t>
      </w:r>
      <w:r>
        <w:rPr>
          <w:rFonts w:eastAsia="PMingLiU" w:cs="Arial"/>
          <w:i/>
          <w:color w:val="000000"/>
          <w:lang w:eastAsia="hr-HR" w:bidi="hr-HR"/>
        </w:rPr>
        <w:t xml:space="preserve">ne </w:t>
      </w:r>
      <w:r w:rsidRPr="009D1460">
        <w:rPr>
          <w:rFonts w:eastAsia="PMingLiU" w:cs="Arial"/>
          <w:i/>
          <w:color w:val="000000"/>
          <w:lang w:eastAsia="hr-HR" w:bidi="hr-HR"/>
        </w:rPr>
        <w:t>odnose na izvještajno razdoblje</w:t>
      </w:r>
      <w:r>
        <w:rPr>
          <w:rFonts w:eastAsia="PMingLiU" w:cs="Arial"/>
          <w:i/>
          <w:color w:val="000000"/>
          <w:lang w:eastAsia="hr-HR" w:bidi="hr-HR"/>
        </w:rPr>
        <w:t xml:space="preserve"> i</w:t>
      </w:r>
      <w:r w:rsidRPr="009D1460">
        <w:rPr>
          <w:rFonts w:eastAsia="PMingLiU" w:cs="Arial"/>
          <w:i/>
          <w:color w:val="000000"/>
          <w:lang w:eastAsia="hr-HR" w:bidi="hr-HR"/>
        </w:rPr>
        <w:t xml:space="preserve"> usvojeni </w:t>
      </w:r>
      <w:r>
        <w:rPr>
          <w:rFonts w:eastAsia="PMingLiU" w:cs="Arial"/>
          <w:i/>
          <w:color w:val="000000"/>
          <w:lang w:eastAsia="hr-HR" w:bidi="hr-HR"/>
        </w:rPr>
        <w:t xml:space="preserve">su </w:t>
      </w:r>
      <w:r w:rsidRPr="009D1460">
        <w:rPr>
          <w:rFonts w:eastAsia="PMingLiU" w:cs="Arial"/>
          <w:i/>
          <w:color w:val="000000"/>
          <w:lang w:eastAsia="hr-HR" w:bidi="hr-HR"/>
        </w:rPr>
        <w:t>u Europskoj uniji</w:t>
      </w:r>
      <w:r>
        <w:rPr>
          <w:rFonts w:eastAsia="PMingLiU" w:cs="Arial"/>
          <w:i/>
          <w:color w:val="000000"/>
          <w:lang w:eastAsia="hr-HR" w:bidi="hr-HR"/>
        </w:rPr>
        <w:t xml:space="preserve"> </w:t>
      </w:r>
      <w:r w:rsidRPr="005D12B5">
        <w:rPr>
          <w:rFonts w:eastAsia="PMingLiU" w:cs="Arial"/>
          <w:i/>
          <w:color w:val="000000"/>
          <w:lang w:eastAsia="hr-HR" w:bidi="hr-HR"/>
        </w:rPr>
        <w:t>s ocjenom utjecaja na financijske izvještaje</w:t>
      </w:r>
      <w:r>
        <w:rPr>
          <w:rFonts w:eastAsia="PMingLiU" w:cs="Arial"/>
          <w:i/>
          <w:color w:val="000000"/>
          <w:lang w:eastAsia="hr-HR" w:bidi="hr-HR"/>
        </w:rPr>
        <w:t xml:space="preserve"> (nastavak):</w:t>
      </w:r>
    </w:p>
    <w:p w14:paraId="3DA75A01" w14:textId="77777777" w:rsidR="001658AD" w:rsidRDefault="001658AD" w:rsidP="001658AD">
      <w:pPr>
        <w:tabs>
          <w:tab w:val="left" w:pos="426"/>
        </w:tabs>
        <w:spacing w:after="0" w:line="240" w:lineRule="auto"/>
        <w:ind w:left="426" w:hanging="426"/>
        <w:jc w:val="both"/>
        <w:rPr>
          <w:rFonts w:eastAsia="PMingLiU" w:cs="Arial"/>
          <w:i/>
          <w:color w:val="000000"/>
          <w:lang w:eastAsia="hr-HR" w:bidi="hr-HR"/>
        </w:rPr>
      </w:pPr>
    </w:p>
    <w:p w14:paraId="5834B74C" w14:textId="77777777" w:rsidR="001658AD" w:rsidRPr="002E1422" w:rsidRDefault="001658AD" w:rsidP="001658AD">
      <w:pPr>
        <w:pStyle w:val="ListParagraph"/>
        <w:numPr>
          <w:ilvl w:val="0"/>
          <w:numId w:val="13"/>
        </w:numPr>
        <w:tabs>
          <w:tab w:val="left" w:pos="426"/>
        </w:tabs>
        <w:spacing w:after="0" w:line="240" w:lineRule="auto"/>
        <w:jc w:val="both"/>
        <w:rPr>
          <w:rFonts w:ascii="Calibri" w:eastAsia="PMingLiU" w:hAnsi="Calibri" w:cs="Arial"/>
          <w:i/>
          <w:color w:val="000000"/>
          <w:lang w:eastAsia="hr-HR" w:bidi="hr-HR"/>
        </w:rPr>
      </w:pPr>
      <w:r w:rsidRPr="002E1422">
        <w:rPr>
          <w:rFonts w:ascii="Calibri" w:eastAsia="PMingLiU" w:hAnsi="Calibri" w:cs="Arial"/>
          <w:color w:val="000000"/>
          <w:lang w:eastAsia="hr-HR" w:bidi="hr-HR"/>
        </w:rPr>
        <w:t xml:space="preserve">MSFI 9 Financijski instrumenti </w:t>
      </w:r>
      <w:r>
        <w:rPr>
          <w:rFonts w:ascii="Calibri" w:eastAsia="PMingLiU" w:hAnsi="Calibri" w:cs="Arial"/>
          <w:color w:val="000000"/>
          <w:lang w:eastAsia="hr-HR" w:bidi="hr-HR"/>
        </w:rPr>
        <w:t xml:space="preserve"> (nastavak)</w:t>
      </w:r>
      <w:r w:rsidRPr="001658AD" w:rsidDel="001658AD">
        <w:rPr>
          <w:rFonts w:ascii="Calibri" w:eastAsia="PMingLiU" w:hAnsi="Calibri" w:cs="Arial"/>
          <w:i/>
          <w:color w:val="000000"/>
          <w:lang w:eastAsia="hr-HR" w:bidi="hr-HR"/>
        </w:rPr>
        <w:t xml:space="preserve"> </w:t>
      </w:r>
    </w:p>
    <w:p w14:paraId="283ED8F9" w14:textId="77777777" w:rsidR="001658AD" w:rsidRDefault="001658AD" w:rsidP="009620EF">
      <w:pPr>
        <w:autoSpaceDE w:val="0"/>
        <w:autoSpaceDN w:val="0"/>
        <w:adjustRightInd w:val="0"/>
        <w:spacing w:after="0" w:line="240" w:lineRule="auto"/>
        <w:ind w:left="680"/>
        <w:jc w:val="both"/>
        <w:rPr>
          <w:rFonts w:ascii="Calibri" w:eastAsia="Times New Roman" w:hAnsi="Calibri" w:cs="Verdana"/>
        </w:rPr>
      </w:pPr>
    </w:p>
    <w:p w14:paraId="76A6EEC5" w14:textId="520D86C4" w:rsidR="009620EF" w:rsidRPr="009620EF" w:rsidRDefault="009620EF" w:rsidP="009620EF">
      <w:pPr>
        <w:autoSpaceDE w:val="0"/>
        <w:autoSpaceDN w:val="0"/>
        <w:adjustRightInd w:val="0"/>
        <w:spacing w:after="0" w:line="240" w:lineRule="auto"/>
        <w:ind w:left="680"/>
        <w:jc w:val="both"/>
        <w:rPr>
          <w:rFonts w:ascii="Calibri" w:eastAsia="PMingLiU" w:hAnsi="Calibri" w:cs="Arial"/>
          <w:lang w:eastAsia="hr-HR" w:bidi="hr-HR"/>
        </w:rPr>
      </w:pPr>
      <w:r w:rsidRPr="009620EF">
        <w:rPr>
          <w:rFonts w:ascii="Calibri" w:eastAsia="Times New Roman" w:hAnsi="Calibri" w:cs="Verdana"/>
        </w:rPr>
        <w:t>Utjecaj u području umanjenja vrijednosti ovisi o utvrđenoj metodologiji za izračunavanje očekivanih kreditnih gubitaka i modeliranj</w:t>
      </w:r>
      <w:r w:rsidR="002D2F01">
        <w:rPr>
          <w:rFonts w:ascii="Calibri" w:eastAsia="Times New Roman" w:hAnsi="Calibri" w:cs="Verdana"/>
        </w:rPr>
        <w:t>u</w:t>
      </w:r>
      <w:r w:rsidRPr="009620EF">
        <w:rPr>
          <w:rFonts w:ascii="Calibri" w:eastAsia="Times New Roman" w:hAnsi="Calibri" w:cs="Verdana"/>
        </w:rPr>
        <w:t xml:space="preserve"> rizičnih parametara temeljem očekivanih kreditnih gubitaka.</w:t>
      </w:r>
    </w:p>
    <w:p w14:paraId="7D22EB82" w14:textId="77777777" w:rsidR="009620EF" w:rsidRPr="009620EF" w:rsidRDefault="009620EF" w:rsidP="009620EF">
      <w:pPr>
        <w:tabs>
          <w:tab w:val="left" w:pos="426"/>
        </w:tabs>
        <w:spacing w:after="0" w:line="240" w:lineRule="auto"/>
        <w:ind w:left="720"/>
        <w:contextualSpacing/>
        <w:jc w:val="both"/>
        <w:rPr>
          <w:rFonts w:ascii="Calibri" w:eastAsia="PMingLiU" w:hAnsi="Calibri" w:cs="Arial"/>
          <w:lang w:eastAsia="hr-HR" w:bidi="hr-HR"/>
        </w:rPr>
      </w:pPr>
    </w:p>
    <w:p w14:paraId="3FB1C274" w14:textId="673C3AF8" w:rsidR="009620EF" w:rsidRDefault="009620EF" w:rsidP="009620EF">
      <w:pPr>
        <w:tabs>
          <w:tab w:val="left" w:pos="426"/>
        </w:tabs>
        <w:spacing w:after="0" w:line="240" w:lineRule="auto"/>
        <w:ind w:left="720"/>
        <w:contextualSpacing/>
        <w:jc w:val="both"/>
        <w:rPr>
          <w:rFonts w:ascii="Calibri" w:eastAsia="PMingLiU" w:hAnsi="Calibri" w:cs="Arial"/>
          <w:lang w:eastAsia="hr-HR" w:bidi="hr-HR"/>
        </w:rPr>
      </w:pPr>
      <w:r w:rsidRPr="009620EF">
        <w:rPr>
          <w:rFonts w:ascii="Calibri" w:eastAsia="PMingLiU" w:hAnsi="Calibri" w:cs="Arial"/>
          <w:lang w:eastAsia="hr-HR" w:bidi="hr-HR"/>
        </w:rPr>
        <w:t>Paralelno se radi na prilagodbama računovodstvenih politika HBOR-a i procesa financijskog izvještavanja.</w:t>
      </w:r>
    </w:p>
    <w:p w14:paraId="217DA918" w14:textId="77777777" w:rsidR="009620EF" w:rsidRPr="009620EF" w:rsidRDefault="009620EF" w:rsidP="009620EF">
      <w:pPr>
        <w:tabs>
          <w:tab w:val="left" w:pos="426"/>
        </w:tabs>
        <w:spacing w:after="0" w:line="240" w:lineRule="auto"/>
        <w:ind w:left="720"/>
        <w:contextualSpacing/>
        <w:jc w:val="both"/>
        <w:rPr>
          <w:rFonts w:ascii="Calibri" w:eastAsia="PMingLiU" w:hAnsi="Calibri" w:cs="Arial"/>
          <w:lang w:eastAsia="hr-HR" w:bidi="hr-HR"/>
        </w:rPr>
      </w:pPr>
    </w:p>
    <w:p w14:paraId="6CCCC619" w14:textId="77777777" w:rsidR="009620EF" w:rsidRPr="009620EF" w:rsidRDefault="009620EF" w:rsidP="009620EF">
      <w:pPr>
        <w:tabs>
          <w:tab w:val="left" w:pos="8640"/>
        </w:tabs>
        <w:spacing w:after="0" w:line="240" w:lineRule="auto"/>
        <w:ind w:left="720" w:right="57"/>
        <w:jc w:val="both"/>
        <w:rPr>
          <w:rFonts w:ascii="Calibri" w:eastAsia="Times New Roman" w:hAnsi="Calibri" w:cs="Times New Roman"/>
        </w:rPr>
      </w:pPr>
      <w:r w:rsidRPr="009620EF">
        <w:rPr>
          <w:rFonts w:ascii="Calibri" w:eastAsia="Times New Roman" w:hAnsi="Calibri" w:cs="Times New Roman"/>
        </w:rPr>
        <w:t>Ovisnom društvu - Grupi HKO odobren je, zbog nematerijalnosti, pristup privremenog izuzeća koji će se primjenjivati od 1. siječnja 2018. godine do 1. siječnja 2021. godine, odnosno do početka primjene novog standarda o ugovorima o osiguranju, osim ukoliko Hrvatska agencija za nadzor financijskih usluga (HANFA) ne odredi drugačije.</w:t>
      </w:r>
    </w:p>
    <w:p w14:paraId="06D898C2" w14:textId="77777777" w:rsidR="009620EF" w:rsidRPr="009620EF" w:rsidRDefault="009620EF" w:rsidP="009620EF">
      <w:pPr>
        <w:tabs>
          <w:tab w:val="left" w:pos="426"/>
        </w:tabs>
        <w:spacing w:after="0" w:line="240" w:lineRule="auto"/>
        <w:ind w:left="720"/>
        <w:contextualSpacing/>
        <w:jc w:val="both"/>
        <w:rPr>
          <w:rFonts w:ascii="Calibri" w:eastAsia="PMingLiU" w:hAnsi="Calibri" w:cs="Arial"/>
          <w:color w:val="000000"/>
          <w:lang w:eastAsia="hr-HR" w:bidi="hr-HR"/>
        </w:rPr>
      </w:pPr>
    </w:p>
    <w:p w14:paraId="3E68FEB4" w14:textId="404ACA38" w:rsidR="009620EF" w:rsidRPr="009620EF" w:rsidRDefault="001658AD" w:rsidP="009620EF">
      <w:pPr>
        <w:tabs>
          <w:tab w:val="left" w:pos="426"/>
        </w:tabs>
        <w:spacing w:after="0" w:line="240" w:lineRule="auto"/>
        <w:ind w:left="426" w:hanging="426"/>
        <w:jc w:val="both"/>
        <w:rPr>
          <w:rFonts w:ascii="Calibri" w:eastAsia="PMingLiU" w:hAnsi="Calibri" w:cs="Arial"/>
          <w:i/>
          <w:color w:val="000000"/>
          <w:lang w:eastAsia="hr-HR" w:bidi="hr-HR"/>
        </w:rPr>
      </w:pPr>
      <w:r>
        <w:rPr>
          <w:rFonts w:ascii="Calibri" w:eastAsia="PMingLiU" w:hAnsi="Calibri" w:cs="Arial"/>
          <w:i/>
          <w:color w:val="000000"/>
          <w:lang w:eastAsia="hr-HR" w:bidi="hr-HR"/>
        </w:rPr>
        <w:t>c)</w:t>
      </w:r>
      <w:r w:rsidR="009620EF" w:rsidRPr="009620EF">
        <w:rPr>
          <w:rFonts w:ascii="Calibri" w:eastAsia="PMingLiU" w:hAnsi="Calibri" w:cs="Arial"/>
          <w:i/>
          <w:color w:val="000000"/>
          <w:lang w:eastAsia="hr-HR" w:bidi="hr-HR"/>
        </w:rPr>
        <w:tab/>
        <w:t>Novi i izmijenjeni Međunarodni standardi financijskog izvještaja koji stupaju na snagu nakon izvještajnog razdoblja, a još nisu usvojeni u Europskoj uniji:</w:t>
      </w:r>
    </w:p>
    <w:p w14:paraId="5D000A05" w14:textId="77777777" w:rsidR="009620EF" w:rsidRPr="009620EF" w:rsidRDefault="009620EF" w:rsidP="009620EF">
      <w:pPr>
        <w:tabs>
          <w:tab w:val="left" w:pos="426"/>
        </w:tabs>
        <w:spacing w:after="0" w:line="240" w:lineRule="auto"/>
        <w:ind w:left="720"/>
        <w:contextualSpacing/>
        <w:jc w:val="both"/>
        <w:rPr>
          <w:rFonts w:ascii="Calibri" w:eastAsia="PMingLiU" w:hAnsi="Calibri" w:cs="Arial"/>
          <w:color w:val="000000"/>
          <w:lang w:eastAsia="hr-HR" w:bidi="hr-HR"/>
        </w:rPr>
      </w:pPr>
    </w:p>
    <w:p w14:paraId="658D385B" w14:textId="77777777" w:rsidR="009620EF" w:rsidRPr="009620EF" w:rsidRDefault="009620EF" w:rsidP="009620EF">
      <w:pPr>
        <w:numPr>
          <w:ilvl w:val="0"/>
          <w:numId w:val="18"/>
        </w:numPr>
        <w:tabs>
          <w:tab w:val="left" w:pos="426"/>
        </w:tabs>
        <w:spacing w:after="0" w:line="240" w:lineRule="auto"/>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 xml:space="preserve">Izmijenjeni MSFI 10 Konsolidirani financijski izvještaji i MRS 28 Udjeli u pridruženim subjektima i zajedničkim pothvatima (odgođena primjena na neodređeno vrijeme) koji pojašnjava prodaju ili doprinos imovine između </w:t>
      </w:r>
      <w:proofErr w:type="spellStart"/>
      <w:r w:rsidRPr="009620EF">
        <w:rPr>
          <w:rFonts w:ascii="Calibri" w:eastAsia="PMingLiU" w:hAnsi="Calibri" w:cs="Arial"/>
          <w:color w:val="000000"/>
          <w:lang w:eastAsia="hr-HR" w:bidi="hr-HR"/>
        </w:rPr>
        <w:t>ulagatelja</w:t>
      </w:r>
      <w:proofErr w:type="spellEnd"/>
      <w:r w:rsidRPr="009620EF">
        <w:rPr>
          <w:rFonts w:ascii="Calibri" w:eastAsia="PMingLiU" w:hAnsi="Calibri" w:cs="Arial"/>
          <w:color w:val="000000"/>
          <w:lang w:eastAsia="hr-HR" w:bidi="hr-HR"/>
        </w:rPr>
        <w:t xml:space="preserve"> i njegovog pridruženog društva ili zajedničkog pothvata na način da u transakciji koja uključuje pridružena društva ili zajedničke pothvate obim priznavanja dobitka ili gubitka ovisi o tome da li imovina koja je prodana ili dana čini sastavni dio poslovanja.</w:t>
      </w:r>
    </w:p>
    <w:p w14:paraId="75B7F364" w14:textId="77777777" w:rsidR="009620EF" w:rsidRPr="009620EF" w:rsidRDefault="009620EF" w:rsidP="009620EF">
      <w:pPr>
        <w:tabs>
          <w:tab w:val="left" w:pos="426"/>
        </w:tabs>
        <w:spacing w:after="0" w:line="240" w:lineRule="auto"/>
        <w:ind w:left="709"/>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 xml:space="preserve">Grupa će primijeniti navedene izmjene i dopune u slučaju da dođe do takve transakcije u razdoblju od početka primjene standarda. </w:t>
      </w:r>
    </w:p>
    <w:p w14:paraId="2D013898" w14:textId="77777777" w:rsidR="009620EF" w:rsidRPr="009620EF" w:rsidRDefault="009620EF" w:rsidP="009620EF">
      <w:pPr>
        <w:tabs>
          <w:tab w:val="left" w:pos="426"/>
        </w:tabs>
        <w:spacing w:after="0" w:line="240" w:lineRule="auto"/>
        <w:ind w:left="709"/>
        <w:jc w:val="both"/>
        <w:rPr>
          <w:rFonts w:ascii="Calibri" w:eastAsia="PMingLiU" w:hAnsi="Calibri" w:cs="Arial"/>
          <w:color w:val="000000"/>
          <w:lang w:eastAsia="hr-HR" w:bidi="hr-HR"/>
        </w:rPr>
      </w:pPr>
    </w:p>
    <w:p w14:paraId="22E4DD09" w14:textId="77777777" w:rsidR="009620EF" w:rsidRPr="009620EF" w:rsidRDefault="009620EF" w:rsidP="009620EF">
      <w:pPr>
        <w:numPr>
          <w:ilvl w:val="0"/>
          <w:numId w:val="18"/>
        </w:numPr>
        <w:tabs>
          <w:tab w:val="left" w:pos="426"/>
        </w:tabs>
        <w:spacing w:after="0" w:line="240" w:lineRule="auto"/>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Novi MSFI 16 Najmovi (na snazi za razdoblja koja započinju na dan ili nakon 1. siječnja 2019. godine, ali u Europskoj uniji još nije usvojen) koji uvodi načela za priznavanje, mjerenje, prezentiranje i objavu najmova za obje ugovorne strane, i najmoprimca i najmodavca. Novi standard zahtjeva od najmoprimaca priznavanje većine najmova u financijskim izvještajima te će najmoprimci koristiti jedinstveni računovodstveni model za sve najmove, s određenim izuzecima.</w:t>
      </w:r>
    </w:p>
    <w:p w14:paraId="4100767D" w14:textId="77777777" w:rsidR="009620EF" w:rsidRPr="009620EF" w:rsidRDefault="009620EF" w:rsidP="009620EF">
      <w:pPr>
        <w:tabs>
          <w:tab w:val="left" w:pos="426"/>
        </w:tabs>
        <w:spacing w:after="0" w:line="240" w:lineRule="auto"/>
        <w:ind w:left="720"/>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Navedeni novi MSFI neće imati značajan utjecaj na Grupu nakon početne primjene.</w:t>
      </w:r>
    </w:p>
    <w:p w14:paraId="49CE798B" w14:textId="77777777" w:rsidR="009620EF" w:rsidRPr="009620EF" w:rsidRDefault="009620EF" w:rsidP="009620EF">
      <w:pPr>
        <w:tabs>
          <w:tab w:val="left" w:pos="426"/>
        </w:tabs>
        <w:spacing w:after="0" w:line="240" w:lineRule="auto"/>
        <w:ind w:left="720"/>
        <w:contextualSpacing/>
        <w:jc w:val="both"/>
        <w:rPr>
          <w:rFonts w:ascii="Calibri" w:eastAsia="PMingLiU" w:hAnsi="Calibri" w:cs="Arial"/>
          <w:color w:val="000000"/>
          <w:lang w:eastAsia="hr-HR" w:bidi="hr-HR"/>
        </w:rPr>
      </w:pPr>
    </w:p>
    <w:p w14:paraId="1119A510" w14:textId="77777777" w:rsidR="009620EF" w:rsidRPr="009620EF" w:rsidRDefault="009620EF" w:rsidP="009620EF">
      <w:pPr>
        <w:tabs>
          <w:tab w:val="left" w:pos="426"/>
        </w:tabs>
        <w:spacing w:after="0" w:line="240" w:lineRule="exact"/>
        <w:ind w:left="720"/>
        <w:contextualSpacing/>
        <w:jc w:val="both"/>
        <w:rPr>
          <w:rFonts w:ascii="Calibri" w:eastAsia="PMingLiU" w:hAnsi="Calibri" w:cs="Arial"/>
          <w:color w:val="000000"/>
          <w:lang w:eastAsia="hr-HR" w:bidi="hr-HR"/>
        </w:rPr>
        <w:sectPr w:rsidR="009620EF" w:rsidRPr="009620EF" w:rsidSect="009170A3">
          <w:footerReference w:type="default" r:id="rId58"/>
          <w:pgSz w:w="11907" w:h="16840" w:code="9"/>
          <w:pgMar w:top="1418" w:right="1134" w:bottom="1134" w:left="1418" w:header="851" w:footer="851" w:gutter="0"/>
          <w:cols w:space="720"/>
          <w:noEndnote/>
        </w:sectPr>
      </w:pPr>
    </w:p>
    <w:p w14:paraId="1FDE08F1" w14:textId="1CCE78A8" w:rsidR="009620EF" w:rsidRDefault="009620EF" w:rsidP="009620EF">
      <w:pPr>
        <w:tabs>
          <w:tab w:val="left" w:pos="426"/>
        </w:tabs>
        <w:spacing w:after="0" w:line="240" w:lineRule="auto"/>
        <w:ind w:left="360"/>
        <w:jc w:val="both"/>
        <w:rPr>
          <w:rFonts w:ascii="Calibri" w:eastAsia="PMingLiU" w:hAnsi="Calibri" w:cs="Arial"/>
          <w:color w:val="000000"/>
          <w:lang w:eastAsia="hr-HR" w:bidi="hr-HR"/>
        </w:rPr>
      </w:pPr>
    </w:p>
    <w:p w14:paraId="5AF1E2E2" w14:textId="77777777" w:rsidR="00DC4ED1" w:rsidRDefault="00DC4ED1" w:rsidP="00DC4ED1">
      <w:pPr>
        <w:keepNext/>
        <w:tabs>
          <w:tab w:val="left" w:pos="426"/>
        </w:tabs>
        <w:spacing w:after="0" w:line="240" w:lineRule="auto"/>
        <w:jc w:val="both"/>
        <w:rPr>
          <w:rFonts w:eastAsia="Times New Roman" w:cs="Arial"/>
          <w:b/>
          <w:bCs/>
        </w:rPr>
      </w:pPr>
      <w:r>
        <w:rPr>
          <w:rFonts w:eastAsia="Times New Roman" w:cs="Arial"/>
          <w:b/>
          <w:bCs/>
        </w:rPr>
        <w:t xml:space="preserve">3. </w:t>
      </w:r>
      <w:r>
        <w:rPr>
          <w:rFonts w:eastAsia="Times New Roman" w:cs="Arial"/>
          <w:b/>
          <w:bCs/>
        </w:rPr>
        <w:tab/>
      </w:r>
      <w:r w:rsidRPr="00876425">
        <w:rPr>
          <w:rFonts w:eastAsia="Times New Roman" w:cs="Arial"/>
          <w:b/>
          <w:bCs/>
        </w:rPr>
        <w:t>Sažetak značajnih računovodstvenih politika</w:t>
      </w:r>
      <w:r>
        <w:rPr>
          <w:rFonts w:eastAsia="Times New Roman" w:cs="Arial"/>
          <w:b/>
          <w:bCs/>
        </w:rPr>
        <w:t xml:space="preserve"> (nastavak)</w:t>
      </w:r>
    </w:p>
    <w:p w14:paraId="0C99DE75" w14:textId="77777777" w:rsidR="00DC4ED1" w:rsidRDefault="00DC4ED1" w:rsidP="00DC4ED1">
      <w:pPr>
        <w:tabs>
          <w:tab w:val="left" w:pos="426"/>
        </w:tabs>
        <w:spacing w:after="0" w:line="240" w:lineRule="auto"/>
        <w:ind w:left="993" w:hanging="284"/>
        <w:jc w:val="both"/>
        <w:rPr>
          <w:rFonts w:ascii="Calibri" w:eastAsia="PMingLiU" w:hAnsi="Calibri" w:cs="Arial"/>
          <w:color w:val="000000"/>
          <w:highlight w:val="yellow"/>
          <w:lang w:eastAsia="hr-HR" w:bidi="hr-HR"/>
        </w:rPr>
      </w:pPr>
    </w:p>
    <w:p w14:paraId="05F7E6A1" w14:textId="77777777" w:rsidR="00DC4ED1" w:rsidRDefault="00DC4ED1" w:rsidP="00DC4ED1">
      <w:pPr>
        <w:spacing w:after="0" w:line="240" w:lineRule="auto"/>
        <w:ind w:left="567" w:hanging="567"/>
        <w:jc w:val="both"/>
        <w:rPr>
          <w:rFonts w:eastAsia="Times New Roman" w:cs="Arial"/>
          <w:b/>
        </w:rPr>
      </w:pPr>
      <w:r w:rsidRPr="007910A0">
        <w:rPr>
          <w:rFonts w:eastAsia="Times New Roman" w:cs="Arial"/>
          <w:b/>
        </w:rPr>
        <w:t>3.2.</w:t>
      </w:r>
      <w:r w:rsidRPr="007910A0">
        <w:rPr>
          <w:rFonts w:eastAsia="Times New Roman" w:cs="Arial"/>
          <w:b/>
        </w:rPr>
        <w:tab/>
        <w:t>Usvajanje</w:t>
      </w:r>
      <w:r w:rsidRPr="007910A0">
        <w:t xml:space="preserve"> </w:t>
      </w:r>
      <w:r w:rsidRPr="007910A0">
        <w:rPr>
          <w:rFonts w:eastAsia="Times New Roman" w:cs="Arial"/>
          <w:b/>
        </w:rPr>
        <w:t>novih i izmijenjenih Međunarodnih standarda financijskog izvještavanja</w:t>
      </w:r>
      <w:r>
        <w:rPr>
          <w:rFonts w:eastAsia="Times New Roman" w:cs="Arial"/>
          <w:b/>
        </w:rPr>
        <w:t xml:space="preserve"> (nastavak)</w:t>
      </w:r>
      <w:r w:rsidRPr="007910A0">
        <w:rPr>
          <w:rFonts w:eastAsia="Times New Roman" w:cs="Arial"/>
          <w:b/>
        </w:rPr>
        <w:t>:</w:t>
      </w:r>
    </w:p>
    <w:p w14:paraId="7F88B4C1" w14:textId="77777777" w:rsidR="00DC4ED1" w:rsidRPr="009620EF" w:rsidRDefault="00DC4ED1" w:rsidP="00DC4ED1">
      <w:pPr>
        <w:tabs>
          <w:tab w:val="left" w:pos="426"/>
        </w:tabs>
        <w:spacing w:after="0" w:line="240" w:lineRule="auto"/>
        <w:ind w:left="720"/>
        <w:contextualSpacing/>
        <w:jc w:val="both"/>
        <w:rPr>
          <w:rFonts w:ascii="Calibri" w:eastAsia="PMingLiU" w:hAnsi="Calibri" w:cs="Arial"/>
          <w:color w:val="000000"/>
          <w:lang w:eastAsia="hr-HR" w:bidi="hr-HR"/>
        </w:rPr>
      </w:pPr>
    </w:p>
    <w:p w14:paraId="3A8B48D3" w14:textId="3D0E30E5" w:rsidR="00DC4ED1" w:rsidRPr="009620EF" w:rsidRDefault="00DC4ED1" w:rsidP="00DC4ED1">
      <w:pPr>
        <w:tabs>
          <w:tab w:val="left" w:pos="426"/>
        </w:tabs>
        <w:spacing w:after="0" w:line="240" w:lineRule="auto"/>
        <w:ind w:left="426" w:hanging="426"/>
        <w:jc w:val="both"/>
        <w:rPr>
          <w:rFonts w:ascii="Calibri" w:eastAsia="PMingLiU" w:hAnsi="Calibri" w:cs="Arial"/>
          <w:i/>
          <w:color w:val="000000"/>
          <w:lang w:eastAsia="hr-HR" w:bidi="hr-HR"/>
        </w:rPr>
      </w:pPr>
      <w:r>
        <w:rPr>
          <w:rFonts w:ascii="Calibri" w:eastAsia="PMingLiU" w:hAnsi="Calibri" w:cs="Arial"/>
          <w:i/>
          <w:color w:val="000000"/>
          <w:lang w:eastAsia="hr-HR" w:bidi="hr-HR"/>
        </w:rPr>
        <w:t>c)</w:t>
      </w:r>
      <w:r w:rsidRPr="009620EF">
        <w:rPr>
          <w:rFonts w:ascii="Calibri" w:eastAsia="PMingLiU" w:hAnsi="Calibri" w:cs="Arial"/>
          <w:i/>
          <w:color w:val="000000"/>
          <w:lang w:eastAsia="hr-HR" w:bidi="hr-HR"/>
        </w:rPr>
        <w:tab/>
        <w:t>Novi i izmijenjeni Međunarodni standardi financijskog izvještaja koji stupaju na snagu nakon izvještajnog razdoblja, a još nisu usvojeni u Europskoj uniji</w:t>
      </w:r>
      <w:r>
        <w:rPr>
          <w:rFonts w:ascii="Calibri" w:eastAsia="PMingLiU" w:hAnsi="Calibri" w:cs="Arial"/>
          <w:i/>
          <w:color w:val="000000"/>
          <w:lang w:eastAsia="hr-HR" w:bidi="hr-HR"/>
        </w:rPr>
        <w:t xml:space="preserve"> (nastavak)</w:t>
      </w:r>
      <w:r w:rsidRPr="009620EF">
        <w:rPr>
          <w:rFonts w:ascii="Calibri" w:eastAsia="PMingLiU" w:hAnsi="Calibri" w:cs="Arial"/>
          <w:i/>
          <w:color w:val="000000"/>
          <w:lang w:eastAsia="hr-HR" w:bidi="hr-HR"/>
        </w:rPr>
        <w:t>:</w:t>
      </w:r>
    </w:p>
    <w:p w14:paraId="37F7895E" w14:textId="77777777" w:rsidR="00DC4ED1" w:rsidRPr="009620EF" w:rsidRDefault="00DC4ED1" w:rsidP="009620EF">
      <w:pPr>
        <w:tabs>
          <w:tab w:val="left" w:pos="426"/>
        </w:tabs>
        <w:spacing w:after="0" w:line="240" w:lineRule="auto"/>
        <w:ind w:left="360"/>
        <w:jc w:val="both"/>
        <w:rPr>
          <w:rFonts w:ascii="Calibri" w:eastAsia="PMingLiU" w:hAnsi="Calibri" w:cs="Arial"/>
          <w:color w:val="000000"/>
          <w:lang w:eastAsia="hr-HR" w:bidi="hr-HR"/>
        </w:rPr>
      </w:pPr>
    </w:p>
    <w:p w14:paraId="15C7533C" w14:textId="77777777" w:rsidR="009620EF" w:rsidRPr="009620EF" w:rsidRDefault="009620EF" w:rsidP="009620EF">
      <w:pPr>
        <w:numPr>
          <w:ilvl w:val="0"/>
          <w:numId w:val="18"/>
        </w:numPr>
        <w:tabs>
          <w:tab w:val="left" w:pos="426"/>
        </w:tabs>
        <w:spacing w:after="0" w:line="240" w:lineRule="auto"/>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Izmjene i dopune MSFI 15  Prihodi po ugovorima (na snazi za razdoblja koja započinju na dan ili nakon 1. siječnja 2018. godine, ali u Europskoj uniji još nije usvojen) – izdana pojašnjenja uz MSFI 15.</w:t>
      </w:r>
    </w:p>
    <w:p w14:paraId="1AD0F44C" w14:textId="77777777" w:rsidR="009620EF" w:rsidRPr="009620EF" w:rsidRDefault="009620EF" w:rsidP="009620EF">
      <w:pPr>
        <w:tabs>
          <w:tab w:val="left" w:pos="426"/>
        </w:tabs>
        <w:spacing w:after="0" w:line="240" w:lineRule="auto"/>
        <w:ind w:left="709"/>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 xml:space="preserve">Izmjenama i dopunama ne mijenjaju se temeljna načela standarda nego se samo pojašnjavaju te se nude određene dodatne prijelazne olakšice.  </w:t>
      </w:r>
    </w:p>
    <w:p w14:paraId="5D38D6BB" w14:textId="77777777" w:rsidR="009620EF" w:rsidRPr="009620EF" w:rsidRDefault="009620EF" w:rsidP="009620EF">
      <w:pPr>
        <w:tabs>
          <w:tab w:val="left" w:pos="426"/>
        </w:tabs>
        <w:spacing w:after="0" w:line="240" w:lineRule="auto"/>
        <w:ind w:left="709"/>
        <w:jc w:val="both"/>
        <w:rPr>
          <w:rFonts w:ascii="Calibri" w:eastAsia="PMingLiU" w:hAnsi="Calibri" w:cs="Arial"/>
          <w:color w:val="000000"/>
          <w:lang w:eastAsia="hr-HR" w:bidi="hr-HR"/>
        </w:rPr>
      </w:pPr>
    </w:p>
    <w:p w14:paraId="6892BCF1" w14:textId="525C6E8B" w:rsidR="009620EF" w:rsidRDefault="009620EF" w:rsidP="009620EF">
      <w:pPr>
        <w:tabs>
          <w:tab w:val="left" w:pos="426"/>
        </w:tabs>
        <w:spacing w:after="0" w:line="240" w:lineRule="auto"/>
        <w:ind w:left="709"/>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Standard 15 se ne primjenjuje na financijske instrumente i ostala ugovorna prava ili obveze u djelokrugu MRS-a 39 Financijski instrumenti: priznavanje i mjerenje, odnosno MSFI-ja 9 - Financijski instrumenti, MSFI-ja 10 – Konsolidirani financijski izvještaji, MSFI-ja 11 – Zajednički poslovi, MRS-a 27 – Nekonsolidirani financijski izvještaji i MRS-a 28 – Udjeli u pridruženim subjektima i zajedničkim pothvatima i ugovore o osiguranju u djelokrugu MSFI-ja 4 – Ugovori o osiguranju, slijedom čega neće imati utjecaja na Grupu nakon početne primjene.</w:t>
      </w:r>
    </w:p>
    <w:p w14:paraId="3F09B605" w14:textId="77777777" w:rsidR="00DC4ED1" w:rsidRPr="009620EF" w:rsidRDefault="00DC4ED1" w:rsidP="009620EF">
      <w:pPr>
        <w:tabs>
          <w:tab w:val="left" w:pos="426"/>
        </w:tabs>
        <w:spacing w:after="0" w:line="240" w:lineRule="auto"/>
        <w:ind w:left="709"/>
        <w:jc w:val="both"/>
        <w:rPr>
          <w:rFonts w:ascii="Calibri" w:eastAsia="PMingLiU" w:hAnsi="Calibri" w:cs="Arial"/>
          <w:color w:val="000000"/>
          <w:lang w:eastAsia="hr-HR" w:bidi="hr-HR"/>
        </w:rPr>
      </w:pPr>
    </w:p>
    <w:p w14:paraId="2F228E49" w14:textId="77777777" w:rsidR="00DC4ED1" w:rsidRPr="009620EF" w:rsidRDefault="00DC4ED1" w:rsidP="00DC4ED1">
      <w:pPr>
        <w:numPr>
          <w:ilvl w:val="0"/>
          <w:numId w:val="13"/>
        </w:numPr>
        <w:spacing w:after="0" w:line="240" w:lineRule="auto"/>
        <w:contextualSpacing/>
        <w:jc w:val="both"/>
        <w:rPr>
          <w:rFonts w:ascii="Calibri" w:eastAsia="Times New Roman" w:hAnsi="Calibri" w:cs="Times New Roman"/>
          <w:lang w:eastAsia="hr-HR"/>
        </w:rPr>
      </w:pPr>
      <w:r w:rsidRPr="009620EF">
        <w:rPr>
          <w:rFonts w:ascii="Calibri" w:eastAsia="Times New Roman" w:hAnsi="Calibri" w:cs="Times New Roman"/>
          <w:bCs/>
          <w:kern w:val="3"/>
          <w:u w:val="single"/>
          <w:lang w:eastAsia="hr-HR"/>
        </w:rPr>
        <w:t>Godišnja poboljšanja 2014.-2016.</w:t>
      </w:r>
      <w:r w:rsidRPr="009620EF">
        <w:rPr>
          <w:rFonts w:ascii="Calibri" w:eastAsia="Times New Roman" w:hAnsi="Calibri" w:cs="Times New Roman"/>
          <w:bCs/>
          <w:kern w:val="3"/>
          <w:lang w:eastAsia="hr-HR"/>
        </w:rPr>
        <w:t xml:space="preserve"> - p</w:t>
      </w:r>
      <w:r w:rsidRPr="009620EF">
        <w:rPr>
          <w:rFonts w:ascii="Calibri" w:eastAsia="Times New Roman" w:hAnsi="Calibri" w:cs="Times New Roman"/>
          <w:lang w:eastAsia="hr-HR"/>
        </w:rPr>
        <w:t>rimarni cilj procesa je unaprijediti kvalitetu standarda izmjenom i dopunom postojećih MSFI-</w:t>
      </w:r>
      <w:proofErr w:type="spellStart"/>
      <w:r w:rsidRPr="009620EF">
        <w:rPr>
          <w:rFonts w:ascii="Calibri" w:eastAsia="Times New Roman" w:hAnsi="Calibri" w:cs="Times New Roman"/>
          <w:lang w:eastAsia="hr-HR"/>
        </w:rPr>
        <w:t>jeva</w:t>
      </w:r>
      <w:proofErr w:type="spellEnd"/>
      <w:r w:rsidRPr="009620EF">
        <w:rPr>
          <w:rFonts w:ascii="Calibri" w:eastAsia="Times New Roman" w:hAnsi="Calibri" w:cs="Times New Roman"/>
          <w:lang w:eastAsia="hr-HR"/>
        </w:rPr>
        <w:t xml:space="preserve"> kako bi se pojasnile upute i tekst, ili kako bi se ispravile relativno manje, nenamjerne posljedice, konflikti ili propusti.</w:t>
      </w:r>
    </w:p>
    <w:p w14:paraId="5BB94F20" w14:textId="77777777" w:rsidR="00DC4ED1" w:rsidRPr="009620EF" w:rsidRDefault="00DC4ED1" w:rsidP="000E5941">
      <w:pPr>
        <w:spacing w:after="0" w:line="240" w:lineRule="auto"/>
        <w:ind w:left="680"/>
        <w:jc w:val="both"/>
        <w:rPr>
          <w:rFonts w:ascii="Calibri" w:eastAsia="Times New Roman" w:hAnsi="Calibri" w:cs="Times New Roman"/>
          <w:lang w:eastAsia="hr-HR"/>
        </w:rPr>
      </w:pPr>
      <w:r w:rsidRPr="009620EF">
        <w:rPr>
          <w:rFonts w:ascii="Calibri" w:eastAsia="Times New Roman" w:hAnsi="Calibri" w:cs="Times New Roman"/>
          <w:lang w:eastAsia="hr-HR"/>
        </w:rPr>
        <w:t xml:space="preserve"> Pitanja obuhvaćena u ovom ciklusu su:</w:t>
      </w:r>
    </w:p>
    <w:p w14:paraId="3957EED6" w14:textId="77777777" w:rsidR="00DC4ED1" w:rsidRPr="009620EF" w:rsidRDefault="00DC4ED1" w:rsidP="00DC4ED1">
      <w:pPr>
        <w:tabs>
          <w:tab w:val="left" w:pos="426"/>
        </w:tabs>
        <w:spacing w:after="0" w:line="240" w:lineRule="auto"/>
        <w:ind w:firstLine="709"/>
        <w:jc w:val="both"/>
        <w:rPr>
          <w:rFonts w:ascii="Calibri" w:eastAsia="Calibri" w:hAnsi="Calibri" w:cs="Arial"/>
        </w:rPr>
      </w:pPr>
    </w:p>
    <w:p w14:paraId="7D725ECE" w14:textId="6BF7DD00" w:rsidR="00DC4ED1" w:rsidRPr="009620EF" w:rsidRDefault="00DC4ED1" w:rsidP="00DC4ED1">
      <w:pPr>
        <w:numPr>
          <w:ilvl w:val="0"/>
          <w:numId w:val="24"/>
        </w:numPr>
        <w:tabs>
          <w:tab w:val="left" w:pos="1276"/>
        </w:tabs>
        <w:suppressAutoHyphens/>
        <w:autoSpaceDN w:val="0"/>
        <w:spacing w:after="0" w:line="240" w:lineRule="auto"/>
        <w:ind w:left="1276" w:hanging="357"/>
        <w:jc w:val="both"/>
        <w:textAlignment w:val="baseline"/>
        <w:rPr>
          <w:rFonts w:ascii="Calibri" w:eastAsia="Times New Roman" w:hAnsi="Calibri" w:cs="Times New Roman"/>
        </w:rPr>
      </w:pPr>
      <w:r w:rsidRPr="009620EF">
        <w:rPr>
          <w:rFonts w:ascii="Calibri" w:eastAsia="Times New Roman" w:hAnsi="Calibri" w:cs="Times New Roman"/>
        </w:rPr>
        <w:t>IFRS 1 Prv</w:t>
      </w:r>
      <w:r w:rsidR="00F903D9">
        <w:rPr>
          <w:rFonts w:ascii="Calibri" w:eastAsia="Times New Roman" w:hAnsi="Calibri" w:cs="Times New Roman"/>
        </w:rPr>
        <w:t>a primjena</w:t>
      </w:r>
      <w:r w:rsidRPr="009620EF">
        <w:rPr>
          <w:rFonts w:ascii="Calibri" w:eastAsia="Times New Roman" w:hAnsi="Calibri" w:cs="Times New Roman"/>
        </w:rPr>
        <w:t xml:space="preserve"> Međunarodnih standarda financijskog izvještavanja </w:t>
      </w:r>
      <w:r w:rsidRPr="009620EF">
        <w:rPr>
          <w:rFonts w:ascii="Calibri" w:eastAsia="Calibri" w:hAnsi="Calibri" w:cs="Arial"/>
        </w:rPr>
        <w:t>(na snazi za razdoblja koja započinju na dan ili nakon 1. siječnja 2018. godine, ali u Europskoj uniji još nije usvojen)</w:t>
      </w:r>
      <w:r w:rsidRPr="009620EF">
        <w:rPr>
          <w:rFonts w:ascii="Calibri" w:eastAsia="Times New Roman" w:hAnsi="Calibri" w:cs="Times New Roman"/>
        </w:rPr>
        <w:t>: Uklanja kratkoročna izuzeća u odlomcima</w:t>
      </w:r>
      <w:r w:rsidRPr="009620EF">
        <w:rPr>
          <w:rFonts w:ascii="Calibri" w:eastAsia="Times New Roman" w:hAnsi="Calibri" w:cs="Times New Roman"/>
          <w:lang w:eastAsia="hr-HR"/>
        </w:rPr>
        <w:t xml:space="preserve"> E3–E7 u IFRS 1 jer su ispunila svoju namjeravanu svrhu</w:t>
      </w:r>
      <w:r w:rsidRPr="009620EF">
        <w:rPr>
          <w:rFonts w:ascii="Calibri" w:eastAsia="Times New Roman" w:hAnsi="Calibri" w:cs="Times New Roman"/>
        </w:rPr>
        <w:t xml:space="preserve">. </w:t>
      </w:r>
    </w:p>
    <w:p w14:paraId="27AC0796" w14:textId="77777777" w:rsidR="00DC4ED1" w:rsidRPr="009620EF" w:rsidRDefault="00DC4ED1" w:rsidP="00DC4ED1">
      <w:pPr>
        <w:tabs>
          <w:tab w:val="left" w:pos="720"/>
        </w:tabs>
        <w:suppressAutoHyphens/>
        <w:autoSpaceDN w:val="0"/>
        <w:spacing w:after="0" w:line="240" w:lineRule="auto"/>
        <w:ind w:left="714"/>
        <w:jc w:val="both"/>
        <w:textAlignment w:val="baseline"/>
        <w:rPr>
          <w:rFonts w:ascii="Calibri" w:eastAsia="Times New Roman" w:hAnsi="Calibri" w:cs="Times New Roman"/>
        </w:rPr>
      </w:pPr>
    </w:p>
    <w:p w14:paraId="0DABDDFC" w14:textId="77777777" w:rsidR="00DC4ED1" w:rsidRPr="009620EF" w:rsidRDefault="00DC4ED1" w:rsidP="00DC4ED1">
      <w:pPr>
        <w:numPr>
          <w:ilvl w:val="0"/>
          <w:numId w:val="25"/>
        </w:numPr>
        <w:tabs>
          <w:tab w:val="left" w:pos="1276"/>
        </w:tabs>
        <w:suppressAutoHyphens/>
        <w:autoSpaceDN w:val="0"/>
        <w:spacing w:after="0" w:line="240" w:lineRule="auto"/>
        <w:ind w:left="1276" w:hanging="357"/>
        <w:jc w:val="both"/>
        <w:textAlignment w:val="baseline"/>
        <w:rPr>
          <w:rFonts w:ascii="Calibri" w:eastAsia="Times New Roman" w:hAnsi="Calibri" w:cs="Times New Roman"/>
        </w:rPr>
      </w:pPr>
      <w:r w:rsidRPr="009620EF">
        <w:rPr>
          <w:rFonts w:ascii="Calibri" w:eastAsia="Times New Roman" w:hAnsi="Calibri" w:cs="Times New Roman"/>
        </w:rPr>
        <w:t>MR</w:t>
      </w:r>
      <w:r w:rsidRPr="009620EF">
        <w:rPr>
          <w:rFonts w:ascii="Calibri" w:eastAsia="Times New Roman" w:hAnsi="Calibri" w:cs="Times New Roman"/>
          <w:bCs/>
        </w:rPr>
        <w:t>S 28</w:t>
      </w:r>
      <w:r w:rsidRPr="009620EF">
        <w:rPr>
          <w:rFonts w:ascii="Calibri" w:eastAsia="Times New Roman" w:hAnsi="Calibri" w:cs="Times New Roman"/>
          <w:b/>
        </w:rPr>
        <w:t xml:space="preserve"> </w:t>
      </w:r>
      <w:r w:rsidRPr="009620EF">
        <w:rPr>
          <w:rFonts w:ascii="Calibri" w:eastAsia="Times New Roman" w:hAnsi="Calibri" w:cs="Times New Roman"/>
          <w:bCs/>
          <w:iCs/>
        </w:rPr>
        <w:t xml:space="preserve">Udjeli u pridruženim subjektima i zajedničkim pothvatima </w:t>
      </w:r>
      <w:r w:rsidRPr="009620EF">
        <w:rPr>
          <w:rFonts w:ascii="Calibri" w:eastAsia="Calibri" w:hAnsi="Calibri" w:cs="Arial"/>
        </w:rPr>
        <w:t>(na snazi za razdoblja koja započinju na dan ili nakon 1. siječnja 2018. godine, ali u Europskoj uniji još nije usvojen)</w:t>
      </w:r>
      <w:r w:rsidRPr="009620EF">
        <w:rPr>
          <w:rFonts w:ascii="Calibri" w:eastAsia="Times New Roman" w:hAnsi="Calibri" w:cs="Times New Roman"/>
          <w:b/>
        </w:rPr>
        <w:t xml:space="preserve">: </w:t>
      </w:r>
      <w:r w:rsidRPr="009620EF">
        <w:rPr>
          <w:rFonts w:ascii="Calibri" w:eastAsia="Times New Roman" w:hAnsi="Calibri" w:cs="Times New Roman"/>
        </w:rPr>
        <w:t>Pojašnjava da je odluka da se po fer vrijednosti kroz račun dobiti i gubitka mjeri udio u pridruženom subjektu ili zajedničkom pothvatu koji je u vlasništvu subjekta koji je društvo rizičnog kapitala ili neki drugi kvalificirani subjekt moguća za svaki udio u pridruženom subjektu ili zajedničkom pothvatu po načelu „od udjela do udjela“, nakon početnog priznavanja.</w:t>
      </w:r>
    </w:p>
    <w:p w14:paraId="606750CD" w14:textId="77777777" w:rsidR="009620EF" w:rsidRPr="009620EF" w:rsidRDefault="009620EF" w:rsidP="009620EF">
      <w:pPr>
        <w:tabs>
          <w:tab w:val="left" w:pos="426"/>
        </w:tabs>
        <w:spacing w:after="0" w:line="240" w:lineRule="auto"/>
        <w:jc w:val="both"/>
        <w:rPr>
          <w:rFonts w:ascii="Calibri" w:eastAsia="PMingLiU" w:hAnsi="Calibri" w:cs="Arial"/>
          <w:color w:val="000000"/>
          <w:lang w:eastAsia="hr-HR" w:bidi="hr-HR"/>
        </w:rPr>
      </w:pPr>
    </w:p>
    <w:p w14:paraId="7693ADD9" w14:textId="77777777" w:rsidR="009620EF" w:rsidRPr="009620EF" w:rsidRDefault="009620EF" w:rsidP="009620EF">
      <w:pPr>
        <w:numPr>
          <w:ilvl w:val="0"/>
          <w:numId w:val="18"/>
        </w:numPr>
        <w:tabs>
          <w:tab w:val="left" w:pos="426"/>
        </w:tabs>
        <w:spacing w:after="0" w:line="240" w:lineRule="auto"/>
        <w:contextualSpacing/>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Izmjene i dopune MSFI 2 Plaćanje temeljeno na dionicama (na snazi za razdoblja koja započinju na dan ili nakon 1. siječnja 2018. godine, ali u Europskoj uniji još nije usvojen) – izdana pojašnjenja uz MSFI 2 u vezi klasifikacije i mjerenja plaćanja temeljenih na dionicama.</w:t>
      </w:r>
    </w:p>
    <w:p w14:paraId="1A8154D2" w14:textId="77777777" w:rsidR="009620EF" w:rsidRPr="009620EF" w:rsidRDefault="009620EF" w:rsidP="009620EF">
      <w:pPr>
        <w:tabs>
          <w:tab w:val="left" w:pos="426"/>
        </w:tabs>
        <w:spacing w:after="0" w:line="240" w:lineRule="auto"/>
        <w:ind w:firstLine="709"/>
        <w:jc w:val="both"/>
        <w:rPr>
          <w:rFonts w:ascii="Calibri" w:eastAsia="PMingLiU" w:hAnsi="Calibri" w:cs="Arial"/>
          <w:color w:val="000000"/>
          <w:lang w:eastAsia="hr-HR" w:bidi="hr-HR"/>
        </w:rPr>
      </w:pPr>
      <w:r w:rsidRPr="009620EF">
        <w:rPr>
          <w:rFonts w:ascii="Calibri" w:eastAsia="PMingLiU" w:hAnsi="Calibri" w:cs="Arial"/>
          <w:color w:val="000000"/>
          <w:lang w:eastAsia="hr-HR" w:bidi="hr-HR"/>
        </w:rPr>
        <w:t>Ova izmjena neće imati utjecaja na Grupu nakon početne primjene.</w:t>
      </w:r>
    </w:p>
    <w:p w14:paraId="69AE8EC1" w14:textId="77777777" w:rsidR="00DC4ED1" w:rsidRDefault="00DC4ED1" w:rsidP="009620EF">
      <w:pPr>
        <w:tabs>
          <w:tab w:val="left" w:pos="426"/>
        </w:tabs>
        <w:spacing w:after="0" w:line="240" w:lineRule="auto"/>
        <w:ind w:firstLine="709"/>
        <w:jc w:val="both"/>
        <w:rPr>
          <w:rFonts w:ascii="Calibri" w:eastAsia="PMingLiU" w:hAnsi="Calibri" w:cs="Arial"/>
          <w:color w:val="000000"/>
          <w:lang w:eastAsia="hr-HR" w:bidi="hr-HR"/>
        </w:rPr>
        <w:sectPr w:rsidR="00DC4ED1" w:rsidSect="009170A3">
          <w:footerReference w:type="default" r:id="rId59"/>
          <w:pgSz w:w="11907" w:h="16840" w:code="9"/>
          <w:pgMar w:top="1418" w:right="1134" w:bottom="1134" w:left="1418" w:header="851" w:footer="851" w:gutter="0"/>
          <w:cols w:space="720"/>
          <w:noEndnote/>
        </w:sectPr>
      </w:pPr>
    </w:p>
    <w:p w14:paraId="6E9FC0D9" w14:textId="678949FA" w:rsidR="009620EF" w:rsidRDefault="009620EF" w:rsidP="009620EF">
      <w:pPr>
        <w:tabs>
          <w:tab w:val="left" w:pos="426"/>
        </w:tabs>
        <w:spacing w:after="0" w:line="240" w:lineRule="auto"/>
        <w:ind w:firstLine="709"/>
        <w:jc w:val="both"/>
        <w:rPr>
          <w:rFonts w:ascii="Calibri" w:eastAsia="PMingLiU" w:hAnsi="Calibri" w:cs="Arial"/>
          <w:color w:val="000000"/>
          <w:lang w:eastAsia="hr-HR" w:bidi="hr-HR"/>
        </w:rPr>
      </w:pPr>
    </w:p>
    <w:p w14:paraId="549F32E0" w14:textId="77777777" w:rsidR="00DC4ED1" w:rsidRDefault="00DC4ED1" w:rsidP="00DC4ED1">
      <w:pPr>
        <w:keepNext/>
        <w:tabs>
          <w:tab w:val="left" w:pos="426"/>
        </w:tabs>
        <w:spacing w:after="0" w:line="240" w:lineRule="auto"/>
        <w:jc w:val="both"/>
        <w:rPr>
          <w:rFonts w:eastAsia="Times New Roman" w:cs="Arial"/>
          <w:b/>
          <w:bCs/>
        </w:rPr>
      </w:pPr>
      <w:r>
        <w:rPr>
          <w:rFonts w:eastAsia="Times New Roman" w:cs="Arial"/>
          <w:b/>
          <w:bCs/>
        </w:rPr>
        <w:t xml:space="preserve">3. </w:t>
      </w:r>
      <w:r>
        <w:rPr>
          <w:rFonts w:eastAsia="Times New Roman" w:cs="Arial"/>
          <w:b/>
          <w:bCs/>
        </w:rPr>
        <w:tab/>
      </w:r>
      <w:r w:rsidRPr="00876425">
        <w:rPr>
          <w:rFonts w:eastAsia="Times New Roman" w:cs="Arial"/>
          <w:b/>
          <w:bCs/>
        </w:rPr>
        <w:t>Sažetak značajnih računovodstvenih politika</w:t>
      </w:r>
      <w:r>
        <w:rPr>
          <w:rFonts w:eastAsia="Times New Roman" w:cs="Arial"/>
          <w:b/>
          <w:bCs/>
        </w:rPr>
        <w:t xml:space="preserve"> (nastavak)</w:t>
      </w:r>
    </w:p>
    <w:p w14:paraId="7A6F9104" w14:textId="77777777" w:rsidR="00DC4ED1" w:rsidRDefault="00DC4ED1" w:rsidP="00DC4ED1">
      <w:pPr>
        <w:tabs>
          <w:tab w:val="left" w:pos="426"/>
        </w:tabs>
        <w:spacing w:after="0" w:line="240" w:lineRule="auto"/>
        <w:ind w:left="993" w:hanging="284"/>
        <w:jc w:val="both"/>
        <w:rPr>
          <w:rFonts w:ascii="Calibri" w:eastAsia="PMingLiU" w:hAnsi="Calibri" w:cs="Arial"/>
          <w:color w:val="000000"/>
          <w:highlight w:val="yellow"/>
          <w:lang w:eastAsia="hr-HR" w:bidi="hr-HR"/>
        </w:rPr>
      </w:pPr>
    </w:p>
    <w:p w14:paraId="251B37E6" w14:textId="77777777" w:rsidR="00DC4ED1" w:rsidRDefault="00DC4ED1" w:rsidP="00DC4ED1">
      <w:pPr>
        <w:spacing w:after="0" w:line="240" w:lineRule="auto"/>
        <w:ind w:left="567" w:hanging="567"/>
        <w:jc w:val="both"/>
        <w:rPr>
          <w:rFonts w:eastAsia="Times New Roman" w:cs="Arial"/>
          <w:b/>
        </w:rPr>
      </w:pPr>
      <w:r w:rsidRPr="007910A0">
        <w:rPr>
          <w:rFonts w:eastAsia="Times New Roman" w:cs="Arial"/>
          <w:b/>
        </w:rPr>
        <w:t>3.2.</w:t>
      </w:r>
      <w:r w:rsidRPr="007910A0">
        <w:rPr>
          <w:rFonts w:eastAsia="Times New Roman" w:cs="Arial"/>
          <w:b/>
        </w:rPr>
        <w:tab/>
        <w:t>Usvajanje</w:t>
      </w:r>
      <w:r w:rsidRPr="007910A0">
        <w:t xml:space="preserve"> </w:t>
      </w:r>
      <w:r w:rsidRPr="007910A0">
        <w:rPr>
          <w:rFonts w:eastAsia="Times New Roman" w:cs="Arial"/>
          <w:b/>
        </w:rPr>
        <w:t>novih i izmijenjenih Međunarodnih standarda financijskog izvještavanja</w:t>
      </w:r>
      <w:r>
        <w:rPr>
          <w:rFonts w:eastAsia="Times New Roman" w:cs="Arial"/>
          <w:b/>
        </w:rPr>
        <w:t xml:space="preserve"> (nastavak)</w:t>
      </w:r>
      <w:r w:rsidRPr="007910A0">
        <w:rPr>
          <w:rFonts w:eastAsia="Times New Roman" w:cs="Arial"/>
          <w:b/>
        </w:rPr>
        <w:t>:</w:t>
      </w:r>
    </w:p>
    <w:p w14:paraId="203C2655" w14:textId="77777777" w:rsidR="00DC4ED1" w:rsidRPr="009620EF" w:rsidRDefault="00DC4ED1" w:rsidP="00DC4ED1">
      <w:pPr>
        <w:tabs>
          <w:tab w:val="left" w:pos="426"/>
        </w:tabs>
        <w:spacing w:after="0" w:line="240" w:lineRule="auto"/>
        <w:ind w:left="720"/>
        <w:contextualSpacing/>
        <w:jc w:val="both"/>
        <w:rPr>
          <w:rFonts w:ascii="Calibri" w:eastAsia="PMingLiU" w:hAnsi="Calibri" w:cs="Arial"/>
          <w:color w:val="000000"/>
          <w:lang w:eastAsia="hr-HR" w:bidi="hr-HR"/>
        </w:rPr>
      </w:pPr>
    </w:p>
    <w:p w14:paraId="3E975210" w14:textId="4E5C5400" w:rsidR="00DC4ED1" w:rsidRPr="009620EF" w:rsidRDefault="00DC4ED1" w:rsidP="00DC4ED1">
      <w:pPr>
        <w:tabs>
          <w:tab w:val="left" w:pos="426"/>
        </w:tabs>
        <w:spacing w:after="0" w:line="240" w:lineRule="auto"/>
        <w:ind w:left="426" w:hanging="426"/>
        <w:jc w:val="both"/>
        <w:rPr>
          <w:rFonts w:ascii="Calibri" w:eastAsia="PMingLiU" w:hAnsi="Calibri" w:cs="Arial"/>
          <w:i/>
          <w:color w:val="000000"/>
          <w:lang w:eastAsia="hr-HR" w:bidi="hr-HR"/>
        </w:rPr>
      </w:pPr>
      <w:r>
        <w:rPr>
          <w:rFonts w:ascii="Calibri" w:eastAsia="PMingLiU" w:hAnsi="Calibri" w:cs="Arial"/>
          <w:i/>
          <w:color w:val="000000"/>
          <w:lang w:eastAsia="hr-HR" w:bidi="hr-HR"/>
        </w:rPr>
        <w:t>c)</w:t>
      </w:r>
      <w:r w:rsidRPr="009620EF">
        <w:rPr>
          <w:rFonts w:ascii="Calibri" w:eastAsia="PMingLiU" w:hAnsi="Calibri" w:cs="Arial"/>
          <w:i/>
          <w:color w:val="000000"/>
          <w:lang w:eastAsia="hr-HR" w:bidi="hr-HR"/>
        </w:rPr>
        <w:tab/>
        <w:t>Novi i izmijenjeni Međunarodni standardi financijskog izvještaja koji stupaju na snagu nakon izvještajnog razdoblja, a još nisu usvojeni u Europskoj uniji</w:t>
      </w:r>
      <w:r>
        <w:rPr>
          <w:rFonts w:ascii="Calibri" w:eastAsia="PMingLiU" w:hAnsi="Calibri" w:cs="Arial"/>
          <w:i/>
          <w:color w:val="000000"/>
          <w:lang w:eastAsia="hr-HR" w:bidi="hr-HR"/>
        </w:rPr>
        <w:t xml:space="preserve"> (nastavak)</w:t>
      </w:r>
      <w:r w:rsidRPr="009620EF">
        <w:rPr>
          <w:rFonts w:ascii="Calibri" w:eastAsia="PMingLiU" w:hAnsi="Calibri" w:cs="Arial"/>
          <w:i/>
          <w:color w:val="000000"/>
          <w:lang w:eastAsia="hr-HR" w:bidi="hr-HR"/>
        </w:rPr>
        <w:t>:</w:t>
      </w:r>
    </w:p>
    <w:p w14:paraId="18E7F7E7" w14:textId="77777777" w:rsidR="00DC4ED1" w:rsidRPr="009620EF" w:rsidRDefault="00DC4ED1" w:rsidP="009620EF">
      <w:pPr>
        <w:tabs>
          <w:tab w:val="left" w:pos="426"/>
        </w:tabs>
        <w:spacing w:after="0" w:line="240" w:lineRule="auto"/>
        <w:ind w:firstLine="709"/>
        <w:jc w:val="both"/>
        <w:rPr>
          <w:rFonts w:ascii="Calibri" w:eastAsia="PMingLiU" w:hAnsi="Calibri" w:cs="Arial"/>
          <w:color w:val="000000"/>
          <w:lang w:eastAsia="hr-HR" w:bidi="hr-HR"/>
        </w:rPr>
      </w:pPr>
    </w:p>
    <w:p w14:paraId="01B62665" w14:textId="77777777" w:rsidR="009620EF" w:rsidRPr="009620EF" w:rsidRDefault="009620EF" w:rsidP="009620EF">
      <w:pPr>
        <w:numPr>
          <w:ilvl w:val="0"/>
          <w:numId w:val="13"/>
        </w:numPr>
        <w:tabs>
          <w:tab w:val="left" w:pos="709"/>
        </w:tabs>
        <w:spacing w:after="0" w:line="240" w:lineRule="auto"/>
        <w:contextualSpacing/>
        <w:jc w:val="both"/>
        <w:rPr>
          <w:rFonts w:ascii="Calibri" w:eastAsia="Times New Roman" w:hAnsi="Calibri" w:cs="Arial"/>
          <w:color w:val="222222"/>
          <w:lang w:eastAsia="hr-HR"/>
        </w:rPr>
      </w:pPr>
      <w:r w:rsidRPr="009620EF">
        <w:rPr>
          <w:rFonts w:ascii="Calibri" w:eastAsia="Calibri" w:hAnsi="Calibri" w:cs="Arial"/>
        </w:rPr>
        <w:t>Dopuna MSFI-ja 4 Ugovori o osiguranju - primjena MSFI-ja 9 Financijski instrumenti s MSFI 4 (na snazi za razdoblja koja započinju na dan ili nakon 1. siječnja 2018. godine, ali u Europskoj uniji još nije usvojen) – dopune postojećih zahtjeva MSFI-ja 4:</w:t>
      </w:r>
    </w:p>
    <w:p w14:paraId="3F25F867" w14:textId="02AF598B" w:rsidR="009620EF" w:rsidRPr="00DC4ED1" w:rsidRDefault="009620EF" w:rsidP="000E5941">
      <w:pPr>
        <w:numPr>
          <w:ilvl w:val="0"/>
          <w:numId w:val="12"/>
        </w:numPr>
        <w:tabs>
          <w:tab w:val="left" w:pos="709"/>
        </w:tabs>
        <w:spacing w:after="0" w:line="240" w:lineRule="auto"/>
        <w:contextualSpacing/>
        <w:jc w:val="both"/>
        <w:rPr>
          <w:rFonts w:ascii="Calibri" w:eastAsia="Times New Roman" w:hAnsi="Calibri" w:cs="Arial"/>
          <w:color w:val="222222"/>
          <w:lang w:eastAsia="hr-HR"/>
        </w:rPr>
      </w:pPr>
      <w:r w:rsidRPr="00DC4ED1">
        <w:rPr>
          <w:rFonts w:ascii="Calibri" w:eastAsia="Calibri" w:hAnsi="Calibri" w:cs="Arial"/>
        </w:rPr>
        <w:t>„privremeno“ izuzeće“ - subjektima čije su pretežite aktivnosti povezane s osiguranjem dopušta odgodu primjene standarda MSFI 9 do 2021. godine te</w:t>
      </w:r>
    </w:p>
    <w:p w14:paraId="2ABFEB5C" w14:textId="77777777" w:rsidR="009620EF" w:rsidRPr="009620EF" w:rsidRDefault="009620EF" w:rsidP="009620EF">
      <w:pPr>
        <w:tabs>
          <w:tab w:val="left" w:pos="709"/>
        </w:tabs>
        <w:spacing w:after="0" w:line="240" w:lineRule="auto"/>
        <w:ind w:left="1080"/>
        <w:contextualSpacing/>
        <w:jc w:val="both"/>
        <w:rPr>
          <w:rFonts w:ascii="Calibri" w:eastAsia="Times New Roman" w:hAnsi="Calibri" w:cs="Arial"/>
          <w:color w:val="222222"/>
          <w:lang w:eastAsia="hr-HR"/>
        </w:rPr>
      </w:pPr>
    </w:p>
    <w:p w14:paraId="1FB503E9" w14:textId="77777777" w:rsidR="009620EF" w:rsidRPr="009620EF" w:rsidRDefault="009620EF" w:rsidP="009620EF">
      <w:pPr>
        <w:numPr>
          <w:ilvl w:val="0"/>
          <w:numId w:val="12"/>
        </w:numPr>
        <w:tabs>
          <w:tab w:val="left" w:pos="709"/>
        </w:tabs>
        <w:spacing w:after="0" w:line="240" w:lineRule="auto"/>
        <w:contextualSpacing/>
        <w:jc w:val="both"/>
        <w:rPr>
          <w:rFonts w:ascii="Calibri" w:eastAsia="Times New Roman" w:hAnsi="Calibri" w:cs="Arial"/>
          <w:color w:val="222222"/>
          <w:lang w:eastAsia="hr-HR"/>
        </w:rPr>
      </w:pPr>
      <w:r w:rsidRPr="009620EF">
        <w:rPr>
          <w:rFonts w:ascii="Calibri" w:eastAsia="Calibri" w:hAnsi="Calibri" w:cs="Arial"/>
        </w:rPr>
        <w:t>„pristup preklapanja“ („</w:t>
      </w:r>
      <w:proofErr w:type="spellStart"/>
      <w:r w:rsidRPr="009620EF">
        <w:rPr>
          <w:rFonts w:ascii="Calibri" w:eastAsia="Calibri" w:hAnsi="Calibri" w:cs="Arial"/>
        </w:rPr>
        <w:t>overlay</w:t>
      </w:r>
      <w:proofErr w:type="spellEnd"/>
      <w:r w:rsidRPr="009620EF">
        <w:rPr>
          <w:rFonts w:ascii="Calibri" w:eastAsia="Calibri" w:hAnsi="Calibri" w:cs="Arial"/>
        </w:rPr>
        <w:t xml:space="preserve"> </w:t>
      </w:r>
      <w:proofErr w:type="spellStart"/>
      <w:r w:rsidRPr="009620EF">
        <w:rPr>
          <w:rFonts w:ascii="Calibri" w:eastAsia="Calibri" w:hAnsi="Calibri" w:cs="Arial"/>
        </w:rPr>
        <w:t>approach</w:t>
      </w:r>
      <w:proofErr w:type="spellEnd"/>
      <w:r w:rsidRPr="009620EF">
        <w:rPr>
          <w:rFonts w:ascii="Calibri" w:eastAsia="Calibri" w:hAnsi="Calibri" w:cs="Arial"/>
        </w:rPr>
        <w:t xml:space="preserve">“) – dopušta svim izdavateljima ugovora o osiguranju priznavanje u ostaloj sveobuhvatnoj dobiti, a ne dobiti ili gubitku, </w:t>
      </w:r>
      <w:proofErr w:type="spellStart"/>
      <w:r w:rsidRPr="009620EF">
        <w:rPr>
          <w:rFonts w:ascii="Calibri" w:eastAsia="Calibri" w:hAnsi="Calibri" w:cs="Arial"/>
        </w:rPr>
        <w:t>volatilnosti</w:t>
      </w:r>
      <w:proofErr w:type="spellEnd"/>
      <w:r w:rsidRPr="009620EF">
        <w:rPr>
          <w:rFonts w:ascii="Calibri" w:eastAsia="Calibri" w:hAnsi="Calibri" w:cs="Arial"/>
        </w:rPr>
        <w:t xml:space="preserve"> koja bi mogla nastati ako bi se MSFI 9 primijenio prije izdavanja novog standarda o ugovorima o osiguranju.</w:t>
      </w:r>
    </w:p>
    <w:p w14:paraId="7E63D32A" w14:textId="77777777" w:rsidR="009620EF" w:rsidRPr="009620EF" w:rsidRDefault="009620EF" w:rsidP="009620EF">
      <w:pPr>
        <w:tabs>
          <w:tab w:val="left" w:pos="709"/>
        </w:tabs>
        <w:spacing w:after="0" w:line="240" w:lineRule="auto"/>
        <w:ind w:left="720"/>
        <w:contextualSpacing/>
        <w:jc w:val="both"/>
        <w:rPr>
          <w:rFonts w:ascii="Calibri" w:eastAsia="Times New Roman" w:hAnsi="Calibri" w:cs="Arial"/>
          <w:color w:val="222222"/>
          <w:lang w:eastAsia="hr-HR"/>
        </w:rPr>
      </w:pPr>
    </w:p>
    <w:p w14:paraId="56A8E413" w14:textId="77777777" w:rsidR="009620EF" w:rsidRPr="009620EF" w:rsidRDefault="009620EF" w:rsidP="009620EF">
      <w:pPr>
        <w:tabs>
          <w:tab w:val="left" w:pos="8640"/>
        </w:tabs>
        <w:spacing w:after="0" w:line="240" w:lineRule="auto"/>
        <w:ind w:left="1080" w:right="57"/>
        <w:contextualSpacing/>
        <w:jc w:val="both"/>
        <w:rPr>
          <w:rFonts w:ascii="Calibri" w:eastAsia="Times New Roman" w:hAnsi="Calibri" w:cs="Times New Roman"/>
        </w:rPr>
      </w:pPr>
      <w:r w:rsidRPr="009620EF">
        <w:rPr>
          <w:rFonts w:ascii="Calibri" w:eastAsia="Times New Roman" w:hAnsi="Calibri" w:cs="Times New Roman"/>
        </w:rPr>
        <w:t>Ovisnom društvu - Grupi HKO odobren je, zbog nematerijalnosti, pristup privremenog izuzeća koji će se primjenjivati od 1. siječnja 2018. godine do 1. siječnja 2021. godine, odnosno do početka primjene novog standarda o ugovorima o osiguranju, osim ukoliko Hrvatska agencija za nadzor financijskih usluga (HANFA) ne odredi drugačije.</w:t>
      </w:r>
    </w:p>
    <w:p w14:paraId="28428372" w14:textId="77777777" w:rsidR="009620EF" w:rsidRPr="009620EF" w:rsidRDefault="009620EF" w:rsidP="009620EF">
      <w:pPr>
        <w:tabs>
          <w:tab w:val="left" w:pos="426"/>
        </w:tabs>
        <w:spacing w:after="0" w:line="240" w:lineRule="auto"/>
        <w:ind w:firstLine="709"/>
        <w:jc w:val="both"/>
        <w:rPr>
          <w:rFonts w:ascii="Calibri" w:eastAsia="Calibri" w:hAnsi="Calibri" w:cs="Arial"/>
        </w:rPr>
      </w:pPr>
    </w:p>
    <w:p w14:paraId="0FF5CA7D" w14:textId="77777777" w:rsidR="009620EF" w:rsidRPr="009620EF" w:rsidRDefault="009620EF" w:rsidP="009620EF">
      <w:pPr>
        <w:numPr>
          <w:ilvl w:val="0"/>
          <w:numId w:val="11"/>
        </w:numPr>
        <w:spacing w:after="0" w:line="240" w:lineRule="auto"/>
        <w:ind w:left="709"/>
        <w:contextualSpacing/>
        <w:jc w:val="both"/>
        <w:rPr>
          <w:rFonts w:ascii="Calibri" w:eastAsia="Times New Roman" w:hAnsi="Calibri" w:cs="Times New Roman"/>
        </w:rPr>
      </w:pPr>
      <w:r w:rsidRPr="009620EF">
        <w:rPr>
          <w:rFonts w:ascii="Calibri" w:eastAsia="Times New Roman" w:hAnsi="Calibri" w:cs="Times New Roman"/>
        </w:rPr>
        <w:t xml:space="preserve">Novo tumačenje - IFRIC 22 Transakcije u stranim valutama i avansne naknade </w:t>
      </w:r>
      <w:r w:rsidRPr="009620EF">
        <w:rPr>
          <w:rFonts w:ascii="Calibri" w:eastAsia="Calibri" w:hAnsi="Calibri" w:cs="Arial"/>
        </w:rPr>
        <w:t>(na snazi za razdoblja koja započinju na dan ili nakon 1. siječnja 2018. godine, ali u Europskoj uniji još nije usvojen)</w:t>
      </w:r>
      <w:r w:rsidRPr="009620EF">
        <w:rPr>
          <w:rFonts w:ascii="Calibri" w:eastAsia="Times New Roman" w:hAnsi="Calibri" w:cs="Times New Roman"/>
        </w:rPr>
        <w:t xml:space="preserve"> – </w:t>
      </w:r>
      <w:r w:rsidRPr="009620EF">
        <w:rPr>
          <w:rFonts w:ascii="Calibri" w:eastAsia="Times New Roman" w:hAnsi="Calibri" w:cs="Times New Roman"/>
          <w:lang w:eastAsia="hr-HR"/>
        </w:rPr>
        <w:t>pojašnjava računovodstvo za transakcije koje obuhvaćaju primitak ili plaćanje avansne naknade u stranoj valuti.</w:t>
      </w:r>
    </w:p>
    <w:p w14:paraId="6365D455" w14:textId="77777777" w:rsidR="009620EF" w:rsidRPr="009620EF" w:rsidRDefault="009620EF" w:rsidP="009620EF">
      <w:pPr>
        <w:spacing w:after="0" w:line="240" w:lineRule="auto"/>
        <w:ind w:left="680"/>
        <w:jc w:val="both"/>
        <w:rPr>
          <w:rFonts w:ascii="Calibri" w:eastAsia="Times New Roman" w:hAnsi="Calibri" w:cs="Times New Roman"/>
        </w:rPr>
      </w:pPr>
      <w:r w:rsidRPr="009620EF">
        <w:rPr>
          <w:rFonts w:ascii="Calibri" w:eastAsia="Times New Roman" w:hAnsi="Calibri" w:cs="Times New Roman"/>
          <w:lang w:eastAsia="hr-HR"/>
        </w:rPr>
        <w:t>Tumačenje obuhvaća transakcije u stranim valutama kada subjekt priznaje nemonetarnu imovinu ili nemonetarnu obvezu koja proizlazi iz plaćanja ili primitka avansne naknade prije nego što subjekt prizna povezanu imovinu, rashod ili prihod. Ne primjenjuje se kada subjekt mjeri povezanu imovinu, rashod ili prihod pri početnom priznavanju po fer vrijednosti ili po fer vrijednosti zaprimljene naknade ili plaćene na datum koji nije datum početnog priznavanja nemonetarne imovine ili nemonetarne obveze. Također, Tumačenje se ne treba primjenjivati na poreze na dobit, ugovore o osiguranju ili ugovore o reosiguranju.</w:t>
      </w:r>
    </w:p>
    <w:p w14:paraId="548FA030" w14:textId="77777777" w:rsidR="009620EF" w:rsidRPr="009620EF" w:rsidRDefault="009620EF" w:rsidP="000E5941">
      <w:pPr>
        <w:spacing w:after="0" w:line="240" w:lineRule="auto"/>
        <w:ind w:left="680"/>
        <w:rPr>
          <w:rFonts w:ascii="Calibri" w:eastAsia="Times New Roman" w:hAnsi="Calibri" w:cs="Times New Roman"/>
          <w:lang w:eastAsia="hr-HR"/>
        </w:rPr>
      </w:pPr>
    </w:p>
    <w:p w14:paraId="25012D14" w14:textId="77777777" w:rsidR="009620EF" w:rsidRPr="009620EF" w:rsidRDefault="009620EF" w:rsidP="000E5941">
      <w:pPr>
        <w:spacing w:after="0" w:line="240" w:lineRule="auto"/>
        <w:ind w:left="680"/>
        <w:rPr>
          <w:rFonts w:ascii="Calibri" w:eastAsia="Times New Roman" w:hAnsi="Calibri" w:cs="Times New Roman"/>
          <w:lang w:eastAsia="hr-HR"/>
        </w:rPr>
      </w:pPr>
      <w:r w:rsidRPr="009620EF">
        <w:rPr>
          <w:rFonts w:ascii="Calibri" w:eastAsia="Times New Roman" w:hAnsi="Calibri" w:cs="Times New Roman"/>
          <w:lang w:eastAsia="hr-HR"/>
        </w:rPr>
        <w:t>Odbor za tumačenje došao je do sljedećeg zaključka:</w:t>
      </w:r>
    </w:p>
    <w:p w14:paraId="392B115D" w14:textId="77777777" w:rsidR="009620EF" w:rsidRPr="009620EF" w:rsidRDefault="009620EF" w:rsidP="009620EF">
      <w:pPr>
        <w:numPr>
          <w:ilvl w:val="0"/>
          <w:numId w:val="27"/>
        </w:numPr>
        <w:suppressAutoHyphens/>
        <w:autoSpaceDN w:val="0"/>
        <w:spacing w:after="0" w:line="240" w:lineRule="auto"/>
        <w:ind w:left="1276"/>
        <w:jc w:val="both"/>
        <w:textAlignment w:val="baseline"/>
        <w:rPr>
          <w:rFonts w:ascii="Calibri" w:eastAsia="Times New Roman" w:hAnsi="Calibri" w:cs="Times New Roman"/>
        </w:rPr>
      </w:pPr>
      <w:r w:rsidRPr="009620EF">
        <w:rPr>
          <w:rFonts w:ascii="Calibri" w:eastAsia="Times New Roman" w:hAnsi="Calibri" w:cs="Times New Roman"/>
          <w:lang w:eastAsia="hr-HR"/>
        </w:rPr>
        <w:t>datum transakcije, u svrhu utvrđivanja tečaja, je datum početnog priznavanja unaprijed plaćene nemonetarne imovine ili obveze odgođenog priznavanja prihoda,</w:t>
      </w:r>
    </w:p>
    <w:p w14:paraId="4445DFFF" w14:textId="77777777" w:rsidR="009620EF" w:rsidRPr="009620EF" w:rsidRDefault="009620EF" w:rsidP="009620EF">
      <w:pPr>
        <w:numPr>
          <w:ilvl w:val="0"/>
          <w:numId w:val="27"/>
        </w:numPr>
        <w:suppressAutoHyphens/>
        <w:autoSpaceDN w:val="0"/>
        <w:spacing w:after="0" w:line="240" w:lineRule="auto"/>
        <w:ind w:left="1276"/>
        <w:jc w:val="both"/>
        <w:textAlignment w:val="baseline"/>
        <w:rPr>
          <w:rFonts w:ascii="Calibri" w:eastAsia="Times New Roman" w:hAnsi="Calibri" w:cs="Times New Roman"/>
          <w:lang w:eastAsia="hr-HR"/>
        </w:rPr>
      </w:pPr>
      <w:r w:rsidRPr="009620EF">
        <w:rPr>
          <w:rFonts w:ascii="Calibri" w:eastAsia="Times New Roman" w:hAnsi="Calibri" w:cs="Times New Roman"/>
          <w:lang w:eastAsia="hr-HR"/>
        </w:rPr>
        <w:t>ukoliko postoji više avansnih plaćanja ili primitaka, datum transakcije je utvrđen za svako plaćanje ili primitak.</w:t>
      </w:r>
    </w:p>
    <w:p w14:paraId="47AF10DA" w14:textId="77777777" w:rsidR="009620EF" w:rsidRPr="009620EF" w:rsidRDefault="009620EF" w:rsidP="009620EF">
      <w:pPr>
        <w:keepNext/>
        <w:tabs>
          <w:tab w:val="left" w:pos="142"/>
          <w:tab w:val="left" w:pos="567"/>
        </w:tabs>
        <w:spacing w:after="0" w:line="240" w:lineRule="auto"/>
        <w:jc w:val="both"/>
        <w:rPr>
          <w:rFonts w:ascii="Calibri" w:eastAsia="Times New Roman" w:hAnsi="Calibri" w:cs="Arial"/>
          <w:b/>
          <w:bCs/>
        </w:rPr>
      </w:pPr>
    </w:p>
    <w:p w14:paraId="0B650381" w14:textId="77777777" w:rsidR="00DC4ED1" w:rsidRDefault="009620EF" w:rsidP="009620EF">
      <w:pPr>
        <w:numPr>
          <w:ilvl w:val="0"/>
          <w:numId w:val="11"/>
        </w:numPr>
        <w:spacing w:after="0" w:line="240" w:lineRule="auto"/>
        <w:ind w:left="709"/>
        <w:contextualSpacing/>
        <w:jc w:val="both"/>
        <w:rPr>
          <w:rFonts w:ascii="Calibri" w:eastAsia="Calibri" w:hAnsi="Calibri" w:cs="Arial"/>
        </w:rPr>
        <w:sectPr w:rsidR="00DC4ED1" w:rsidSect="00D17FF0">
          <w:footerReference w:type="first" r:id="rId60"/>
          <w:pgSz w:w="11906" w:h="16838" w:code="9"/>
          <w:pgMar w:top="1418" w:right="1418" w:bottom="595" w:left="1134" w:header="709" w:footer="709" w:gutter="0"/>
          <w:cols w:space="708"/>
          <w:titlePg/>
          <w:docGrid w:linePitch="360"/>
        </w:sectPr>
      </w:pPr>
      <w:r w:rsidRPr="009620EF">
        <w:rPr>
          <w:rFonts w:ascii="Calibri" w:eastAsia="Times New Roman" w:hAnsi="Calibri" w:cs="Times New Roman"/>
          <w:bCs/>
          <w:lang w:eastAsia="hr-HR"/>
        </w:rPr>
        <w:t xml:space="preserve">Izmjene i dopune MRS 40 </w:t>
      </w:r>
      <w:r w:rsidRPr="009620EF">
        <w:rPr>
          <w:rFonts w:ascii="Calibri" w:eastAsia="Times New Roman" w:hAnsi="Calibri" w:cs="Times New Roman"/>
          <w:bCs/>
          <w:iCs/>
          <w:lang w:eastAsia="hr-HR"/>
        </w:rPr>
        <w:t xml:space="preserve">Ulaganje u nekretnine </w:t>
      </w:r>
      <w:r w:rsidRPr="009620EF">
        <w:rPr>
          <w:rFonts w:ascii="Calibri" w:eastAsia="Times New Roman" w:hAnsi="Calibri" w:cs="Times New Roman"/>
          <w:bCs/>
          <w:lang w:eastAsia="hr-HR"/>
        </w:rPr>
        <w:t xml:space="preserve">— Prijenos ulaganja u nekretnine </w:t>
      </w:r>
      <w:r w:rsidRPr="009620EF">
        <w:rPr>
          <w:rFonts w:ascii="Calibri" w:eastAsia="Calibri" w:hAnsi="Calibri" w:cs="Arial"/>
        </w:rPr>
        <w:t>(na snazi za razdoblja koja započinju na dan ili nakon 1. siječnja 2018. godine, ali u Europskoj uniji još nije usvojen).</w:t>
      </w:r>
    </w:p>
    <w:p w14:paraId="22266585" w14:textId="0269C5D6" w:rsidR="009620EF" w:rsidRDefault="009620EF" w:rsidP="000E5941">
      <w:pPr>
        <w:spacing w:after="0" w:line="240" w:lineRule="auto"/>
        <w:ind w:left="709"/>
        <w:contextualSpacing/>
        <w:jc w:val="both"/>
        <w:rPr>
          <w:rFonts w:ascii="Calibri" w:eastAsia="Times New Roman" w:hAnsi="Calibri" w:cs="Times New Roman"/>
        </w:rPr>
      </w:pPr>
    </w:p>
    <w:p w14:paraId="6A98307F" w14:textId="77777777" w:rsidR="00DC4ED1" w:rsidRDefault="00DC4ED1" w:rsidP="00DC4ED1">
      <w:pPr>
        <w:keepNext/>
        <w:tabs>
          <w:tab w:val="left" w:pos="426"/>
        </w:tabs>
        <w:spacing w:after="0" w:line="240" w:lineRule="auto"/>
        <w:jc w:val="both"/>
        <w:rPr>
          <w:rFonts w:eastAsia="Times New Roman" w:cs="Arial"/>
          <w:b/>
          <w:bCs/>
        </w:rPr>
      </w:pPr>
      <w:r>
        <w:rPr>
          <w:rFonts w:eastAsia="Times New Roman" w:cs="Arial"/>
          <w:b/>
          <w:bCs/>
        </w:rPr>
        <w:t xml:space="preserve">3. </w:t>
      </w:r>
      <w:r>
        <w:rPr>
          <w:rFonts w:eastAsia="Times New Roman" w:cs="Arial"/>
          <w:b/>
          <w:bCs/>
        </w:rPr>
        <w:tab/>
      </w:r>
      <w:r w:rsidRPr="00876425">
        <w:rPr>
          <w:rFonts w:eastAsia="Times New Roman" w:cs="Arial"/>
          <w:b/>
          <w:bCs/>
        </w:rPr>
        <w:t>Sažetak značajnih računovodstvenih politika</w:t>
      </w:r>
      <w:r>
        <w:rPr>
          <w:rFonts w:eastAsia="Times New Roman" w:cs="Arial"/>
          <w:b/>
          <w:bCs/>
        </w:rPr>
        <w:t xml:space="preserve"> (nastavak)</w:t>
      </w:r>
    </w:p>
    <w:p w14:paraId="6B896ED2" w14:textId="77777777" w:rsidR="00DC4ED1" w:rsidRDefault="00DC4ED1" w:rsidP="00DC4ED1">
      <w:pPr>
        <w:tabs>
          <w:tab w:val="left" w:pos="426"/>
        </w:tabs>
        <w:spacing w:after="0" w:line="240" w:lineRule="auto"/>
        <w:ind w:left="993" w:hanging="284"/>
        <w:jc w:val="both"/>
        <w:rPr>
          <w:rFonts w:ascii="Calibri" w:eastAsia="PMingLiU" w:hAnsi="Calibri" w:cs="Arial"/>
          <w:color w:val="000000"/>
          <w:highlight w:val="yellow"/>
          <w:lang w:eastAsia="hr-HR" w:bidi="hr-HR"/>
        </w:rPr>
      </w:pPr>
    </w:p>
    <w:p w14:paraId="126D63B4" w14:textId="77777777" w:rsidR="00DC4ED1" w:rsidRDefault="00DC4ED1" w:rsidP="00DC4ED1">
      <w:pPr>
        <w:spacing w:after="0" w:line="240" w:lineRule="auto"/>
        <w:ind w:left="567" w:hanging="567"/>
        <w:jc w:val="both"/>
        <w:rPr>
          <w:rFonts w:eastAsia="Times New Roman" w:cs="Arial"/>
          <w:b/>
        </w:rPr>
      </w:pPr>
      <w:r w:rsidRPr="007910A0">
        <w:rPr>
          <w:rFonts w:eastAsia="Times New Roman" w:cs="Arial"/>
          <w:b/>
        </w:rPr>
        <w:t>3.2.</w:t>
      </w:r>
      <w:r w:rsidRPr="007910A0">
        <w:rPr>
          <w:rFonts w:eastAsia="Times New Roman" w:cs="Arial"/>
          <w:b/>
        </w:rPr>
        <w:tab/>
        <w:t>Usvajanje</w:t>
      </w:r>
      <w:r w:rsidRPr="007910A0">
        <w:t xml:space="preserve"> </w:t>
      </w:r>
      <w:r w:rsidRPr="007910A0">
        <w:rPr>
          <w:rFonts w:eastAsia="Times New Roman" w:cs="Arial"/>
          <w:b/>
        </w:rPr>
        <w:t>novih i izmijenjenih Međunarodnih standarda financijskog izvještavanja</w:t>
      </w:r>
      <w:r>
        <w:rPr>
          <w:rFonts w:eastAsia="Times New Roman" w:cs="Arial"/>
          <w:b/>
        </w:rPr>
        <w:t xml:space="preserve"> (nastavak)</w:t>
      </w:r>
      <w:r w:rsidRPr="007910A0">
        <w:rPr>
          <w:rFonts w:eastAsia="Times New Roman" w:cs="Arial"/>
          <w:b/>
        </w:rPr>
        <w:t>:</w:t>
      </w:r>
    </w:p>
    <w:p w14:paraId="0996BC26" w14:textId="77777777" w:rsidR="00DC4ED1" w:rsidRPr="009620EF" w:rsidRDefault="00DC4ED1" w:rsidP="00DC4ED1">
      <w:pPr>
        <w:tabs>
          <w:tab w:val="left" w:pos="426"/>
        </w:tabs>
        <w:spacing w:after="0" w:line="240" w:lineRule="auto"/>
        <w:ind w:left="720"/>
        <w:contextualSpacing/>
        <w:jc w:val="both"/>
        <w:rPr>
          <w:rFonts w:ascii="Calibri" w:eastAsia="PMingLiU" w:hAnsi="Calibri" w:cs="Arial"/>
          <w:color w:val="000000"/>
          <w:lang w:eastAsia="hr-HR" w:bidi="hr-HR"/>
        </w:rPr>
      </w:pPr>
    </w:p>
    <w:p w14:paraId="76BCA36A" w14:textId="77777777" w:rsidR="00DC4ED1" w:rsidRPr="009620EF" w:rsidRDefault="00DC4ED1" w:rsidP="00DC4ED1">
      <w:pPr>
        <w:tabs>
          <w:tab w:val="left" w:pos="426"/>
        </w:tabs>
        <w:spacing w:after="0" w:line="240" w:lineRule="auto"/>
        <w:ind w:left="426" w:hanging="426"/>
        <w:jc w:val="both"/>
        <w:rPr>
          <w:rFonts w:ascii="Calibri" w:eastAsia="PMingLiU" w:hAnsi="Calibri" w:cs="Arial"/>
          <w:i/>
          <w:color w:val="000000"/>
          <w:lang w:eastAsia="hr-HR" w:bidi="hr-HR"/>
        </w:rPr>
      </w:pPr>
      <w:r>
        <w:rPr>
          <w:rFonts w:ascii="Calibri" w:eastAsia="PMingLiU" w:hAnsi="Calibri" w:cs="Arial"/>
          <w:i/>
          <w:color w:val="000000"/>
          <w:lang w:eastAsia="hr-HR" w:bidi="hr-HR"/>
        </w:rPr>
        <w:t>c)</w:t>
      </w:r>
      <w:r w:rsidRPr="009620EF">
        <w:rPr>
          <w:rFonts w:ascii="Calibri" w:eastAsia="PMingLiU" w:hAnsi="Calibri" w:cs="Arial"/>
          <w:i/>
          <w:color w:val="000000"/>
          <w:lang w:eastAsia="hr-HR" w:bidi="hr-HR"/>
        </w:rPr>
        <w:tab/>
        <w:t>Novi i izmijenjeni Međunarodni standardi financijskog izvještaja koji stupaju na snagu nakon izvještajnog razdoblja, a još nisu usvojeni u Europskoj uniji</w:t>
      </w:r>
      <w:r>
        <w:rPr>
          <w:rFonts w:ascii="Calibri" w:eastAsia="PMingLiU" w:hAnsi="Calibri" w:cs="Arial"/>
          <w:i/>
          <w:color w:val="000000"/>
          <w:lang w:eastAsia="hr-HR" w:bidi="hr-HR"/>
        </w:rPr>
        <w:t xml:space="preserve"> (nastavak)</w:t>
      </w:r>
      <w:r w:rsidRPr="009620EF">
        <w:rPr>
          <w:rFonts w:ascii="Calibri" w:eastAsia="PMingLiU" w:hAnsi="Calibri" w:cs="Arial"/>
          <w:i/>
          <w:color w:val="000000"/>
          <w:lang w:eastAsia="hr-HR" w:bidi="hr-HR"/>
        </w:rPr>
        <w:t>:</w:t>
      </w:r>
    </w:p>
    <w:p w14:paraId="2ED763C8" w14:textId="77777777" w:rsidR="00DC4ED1" w:rsidRPr="009620EF" w:rsidRDefault="00DC4ED1" w:rsidP="000E5941">
      <w:pPr>
        <w:spacing w:after="0" w:line="240" w:lineRule="auto"/>
        <w:ind w:left="709"/>
        <w:contextualSpacing/>
        <w:jc w:val="both"/>
        <w:rPr>
          <w:rFonts w:ascii="Calibri" w:eastAsia="Times New Roman" w:hAnsi="Calibri" w:cs="Times New Roman"/>
        </w:rPr>
      </w:pPr>
    </w:p>
    <w:p w14:paraId="09FBE0E3" w14:textId="77777777" w:rsidR="00DC4ED1" w:rsidRPr="00DC4ED1" w:rsidRDefault="00DC4ED1" w:rsidP="000E5941">
      <w:pPr>
        <w:pStyle w:val="ListParagraph"/>
        <w:numPr>
          <w:ilvl w:val="0"/>
          <w:numId w:val="13"/>
        </w:numPr>
        <w:spacing w:after="0" w:line="240" w:lineRule="auto"/>
        <w:jc w:val="both"/>
        <w:rPr>
          <w:rFonts w:ascii="Calibri" w:eastAsia="Times New Roman" w:hAnsi="Calibri" w:cs="Times New Roman"/>
          <w:lang w:eastAsia="hr-HR"/>
        </w:rPr>
      </w:pPr>
      <w:r w:rsidRPr="000E5941">
        <w:rPr>
          <w:rFonts w:ascii="Calibri" w:eastAsia="Times New Roman" w:hAnsi="Calibri" w:cs="Times New Roman"/>
          <w:bCs/>
          <w:lang w:eastAsia="hr-HR"/>
        </w:rPr>
        <w:t xml:space="preserve">Izmjene i dopune MRS 40 </w:t>
      </w:r>
      <w:r w:rsidRPr="000E5941">
        <w:rPr>
          <w:rFonts w:ascii="Calibri" w:eastAsia="Times New Roman" w:hAnsi="Calibri" w:cs="Times New Roman"/>
          <w:bCs/>
          <w:iCs/>
          <w:lang w:eastAsia="hr-HR"/>
        </w:rPr>
        <w:t>Ulaganje u nekretnine</w:t>
      </w:r>
      <w:r>
        <w:rPr>
          <w:rFonts w:ascii="Calibri" w:eastAsia="Times New Roman" w:hAnsi="Calibri" w:cs="Times New Roman"/>
          <w:bCs/>
          <w:iCs/>
          <w:lang w:eastAsia="hr-HR"/>
        </w:rPr>
        <w:t xml:space="preserve"> (nastavak)</w:t>
      </w:r>
      <w:r w:rsidRPr="000E5941">
        <w:rPr>
          <w:rFonts w:ascii="Calibri" w:eastAsia="Times New Roman" w:hAnsi="Calibri" w:cs="Times New Roman"/>
          <w:bCs/>
          <w:iCs/>
          <w:lang w:eastAsia="hr-HR"/>
        </w:rPr>
        <w:t xml:space="preserve"> </w:t>
      </w:r>
    </w:p>
    <w:p w14:paraId="7A2D01A0" w14:textId="77777777" w:rsidR="00DC4ED1" w:rsidRDefault="00DC4ED1" w:rsidP="000E5941">
      <w:pPr>
        <w:pStyle w:val="ListParagraph"/>
        <w:spacing w:after="0" w:line="240" w:lineRule="auto"/>
        <w:jc w:val="both"/>
        <w:rPr>
          <w:rFonts w:ascii="Calibri" w:eastAsia="Times New Roman" w:hAnsi="Calibri" w:cs="Times New Roman"/>
          <w:bCs/>
          <w:lang w:eastAsia="hr-HR"/>
        </w:rPr>
      </w:pPr>
    </w:p>
    <w:p w14:paraId="36116F7E" w14:textId="12AF29EE" w:rsidR="009620EF" w:rsidRPr="000E5941" w:rsidRDefault="00DC4ED1" w:rsidP="000E5941">
      <w:pPr>
        <w:pStyle w:val="ListParagraph"/>
        <w:spacing w:after="0" w:line="240" w:lineRule="auto"/>
        <w:jc w:val="both"/>
        <w:rPr>
          <w:rFonts w:ascii="Calibri" w:eastAsia="Times New Roman" w:hAnsi="Calibri" w:cs="Times New Roman"/>
          <w:lang w:eastAsia="hr-HR"/>
        </w:rPr>
      </w:pPr>
      <w:r>
        <w:rPr>
          <w:rFonts w:ascii="Calibri" w:eastAsia="Times New Roman" w:hAnsi="Calibri" w:cs="Times New Roman"/>
          <w:bCs/>
          <w:lang w:eastAsia="hr-HR"/>
        </w:rPr>
        <w:t xml:space="preserve">Izmjene i dopune iz </w:t>
      </w:r>
      <w:r w:rsidRPr="000E5941">
        <w:rPr>
          <w:rFonts w:ascii="Calibri" w:eastAsia="Times New Roman" w:hAnsi="Calibri" w:cs="Times New Roman"/>
          <w:bCs/>
          <w:lang w:eastAsia="hr-HR"/>
        </w:rPr>
        <w:t>Prijenos</w:t>
      </w:r>
      <w:r>
        <w:rPr>
          <w:rFonts w:ascii="Calibri" w:eastAsia="Times New Roman" w:hAnsi="Calibri" w:cs="Times New Roman"/>
          <w:bCs/>
          <w:lang w:eastAsia="hr-HR"/>
        </w:rPr>
        <w:t>a</w:t>
      </w:r>
      <w:r w:rsidRPr="000E5941">
        <w:rPr>
          <w:rFonts w:ascii="Calibri" w:eastAsia="Times New Roman" w:hAnsi="Calibri" w:cs="Times New Roman"/>
          <w:bCs/>
          <w:lang w:eastAsia="hr-HR"/>
        </w:rPr>
        <w:t xml:space="preserve"> ulaganja u nekretnine</w:t>
      </w:r>
      <w:r w:rsidR="009620EF" w:rsidRPr="000E5941">
        <w:rPr>
          <w:rFonts w:ascii="Calibri" w:eastAsia="Times New Roman" w:hAnsi="Calibri" w:cs="Times New Roman"/>
          <w:lang w:eastAsia="hr-HR"/>
        </w:rPr>
        <w:t xml:space="preserve"> su sljedeće:</w:t>
      </w:r>
    </w:p>
    <w:p w14:paraId="55EEF5E3" w14:textId="77777777" w:rsidR="009620EF" w:rsidRPr="009620EF" w:rsidRDefault="009620EF" w:rsidP="009620EF">
      <w:pPr>
        <w:spacing w:after="0" w:line="240" w:lineRule="auto"/>
        <w:ind w:firstLine="680"/>
        <w:jc w:val="both"/>
        <w:rPr>
          <w:rFonts w:ascii="Calibri" w:eastAsia="Times New Roman" w:hAnsi="Calibri" w:cs="Times New Roman"/>
        </w:rPr>
      </w:pPr>
    </w:p>
    <w:p w14:paraId="4B5BD962" w14:textId="77777777" w:rsidR="009620EF" w:rsidRPr="009620EF" w:rsidRDefault="009620EF" w:rsidP="009620EF">
      <w:pPr>
        <w:numPr>
          <w:ilvl w:val="0"/>
          <w:numId w:val="28"/>
        </w:numPr>
        <w:suppressAutoHyphens/>
        <w:autoSpaceDN w:val="0"/>
        <w:spacing w:after="0" w:line="240" w:lineRule="auto"/>
        <w:ind w:left="1276"/>
        <w:jc w:val="both"/>
        <w:textAlignment w:val="baseline"/>
        <w:rPr>
          <w:rFonts w:ascii="Calibri" w:eastAsia="Times New Roman" w:hAnsi="Calibri" w:cs="Times New Roman"/>
        </w:rPr>
      </w:pPr>
      <w:r w:rsidRPr="009620EF">
        <w:rPr>
          <w:rFonts w:ascii="Calibri" w:eastAsia="Times New Roman" w:hAnsi="Calibri" w:cs="Times New Roman"/>
          <w:lang w:eastAsia="hr-HR"/>
        </w:rPr>
        <w:t>Stavak 57. mijenja se i utvrđuje da subjekt mora nekretninu prenijeti na investicijsku nekretninu ili sa investicijske nekretnine kada, i samo kada, postoji dokaz o promjeni u korištenju. Promjena u korištenju nastupa ako nekretnina zadovoljava, ili prestane zadovoljavati, definiciju investicijske nekretnine. Promjena u namjerama poslovodstva u vezi korištenja nekretnine sama po sebi ne predstavlja dokaz o promjeni u korištenju.</w:t>
      </w:r>
    </w:p>
    <w:p w14:paraId="1D626A45" w14:textId="2BDD31F2" w:rsidR="007D1D5D" w:rsidRDefault="009620EF" w:rsidP="009620EF">
      <w:pPr>
        <w:numPr>
          <w:ilvl w:val="0"/>
          <w:numId w:val="28"/>
        </w:numPr>
        <w:suppressAutoHyphens/>
        <w:autoSpaceDN w:val="0"/>
        <w:spacing w:after="0" w:line="240" w:lineRule="auto"/>
        <w:ind w:left="1276"/>
        <w:jc w:val="both"/>
        <w:textAlignment w:val="baseline"/>
        <w:rPr>
          <w:rFonts w:ascii="Calibri" w:eastAsia="Times New Roman" w:hAnsi="Calibri" w:cs="Times New Roman"/>
          <w:lang w:eastAsia="hr-HR"/>
        </w:rPr>
      </w:pPr>
      <w:r w:rsidRPr="009620EF">
        <w:rPr>
          <w:rFonts w:ascii="Calibri" w:eastAsia="Times New Roman" w:hAnsi="Calibri" w:cs="Times New Roman"/>
          <w:lang w:eastAsia="hr-HR"/>
        </w:rPr>
        <w:t>Popis dokaza iz stavka 57.(a) – (d) osmišljen je kao neiscrpan popis primjera za razliku od pretho</w:t>
      </w:r>
      <w:r w:rsidR="007D1D5D">
        <w:rPr>
          <w:rFonts w:ascii="Calibri" w:eastAsia="Times New Roman" w:hAnsi="Calibri" w:cs="Times New Roman"/>
          <w:lang w:eastAsia="hr-HR"/>
        </w:rPr>
        <w:t>dnog popisa koje je bio iscrpan</w:t>
      </w:r>
      <w:r w:rsidR="005D3A35">
        <w:rPr>
          <w:rFonts w:ascii="Calibri" w:eastAsia="Times New Roman" w:hAnsi="Calibri" w:cs="Times New Roman"/>
          <w:lang w:eastAsia="hr-HR"/>
        </w:rPr>
        <w:t>.</w:t>
      </w:r>
    </w:p>
    <w:p w14:paraId="386E913C" w14:textId="77777777" w:rsidR="00420CED" w:rsidRDefault="00420CED" w:rsidP="00312975">
      <w:pPr>
        <w:pStyle w:val="ListParagraph"/>
        <w:suppressAutoHyphens/>
        <w:autoSpaceDN w:val="0"/>
        <w:spacing w:after="0" w:line="240" w:lineRule="auto"/>
        <w:jc w:val="both"/>
        <w:textAlignment w:val="baseline"/>
        <w:rPr>
          <w:rFonts w:ascii="Calibri" w:eastAsia="Times New Roman" w:hAnsi="Calibri" w:cs="Times New Roman"/>
          <w:lang w:eastAsia="hr-HR"/>
        </w:rPr>
      </w:pPr>
    </w:p>
    <w:p w14:paraId="5FD1CE5B" w14:textId="40D689C1" w:rsidR="00921591" w:rsidRDefault="00420CED" w:rsidP="00312975">
      <w:pPr>
        <w:pStyle w:val="ListParagraph"/>
        <w:numPr>
          <w:ilvl w:val="0"/>
          <w:numId w:val="13"/>
        </w:numPr>
        <w:suppressAutoHyphens/>
        <w:autoSpaceDN w:val="0"/>
        <w:spacing w:after="0" w:line="240" w:lineRule="auto"/>
        <w:jc w:val="both"/>
        <w:textAlignment w:val="baseline"/>
        <w:rPr>
          <w:rFonts w:ascii="Calibri" w:eastAsia="Times New Roman" w:hAnsi="Calibri" w:cs="Times New Roman"/>
          <w:lang w:eastAsia="hr-HR"/>
        </w:rPr>
      </w:pPr>
      <w:r>
        <w:rPr>
          <w:rFonts w:ascii="Calibri" w:eastAsia="Times New Roman" w:hAnsi="Calibri" w:cs="Times New Roman"/>
          <w:lang w:eastAsia="hr-HR"/>
        </w:rPr>
        <w:t>Novi MSFI 17  Ugovori o osiguranju (na snazi za razdoblja koja započinju na dan ili nakon 1. siječnja 2021. godine, ali u Europskoj uniji još nije usvojen) – zamjenjuje MSFI 4 Ugovo</w:t>
      </w:r>
      <w:r w:rsidR="00337B2C">
        <w:rPr>
          <w:rFonts w:ascii="Calibri" w:eastAsia="Times New Roman" w:hAnsi="Calibri" w:cs="Times New Roman"/>
          <w:lang w:eastAsia="hr-HR"/>
        </w:rPr>
        <w:t>ri o osiguranju. Sveukupni cilj</w:t>
      </w:r>
      <w:r>
        <w:rPr>
          <w:rFonts w:ascii="Calibri" w:eastAsia="Times New Roman" w:hAnsi="Calibri" w:cs="Times New Roman"/>
          <w:lang w:eastAsia="hr-HR"/>
        </w:rPr>
        <w:t xml:space="preserve"> MSFI-ja 17 je osigurati korisniji i konzistentniji računovodstveni model za ugovore o osiguranju između subjekata koji globalno izdaju ugovore o osiguranju.</w:t>
      </w:r>
    </w:p>
    <w:p w14:paraId="73EC8503" w14:textId="77777777" w:rsidR="00337B2C" w:rsidRDefault="00337B2C" w:rsidP="00312975">
      <w:pPr>
        <w:pStyle w:val="ListParagraph"/>
        <w:suppressAutoHyphens/>
        <w:autoSpaceDN w:val="0"/>
        <w:spacing w:after="0" w:line="240" w:lineRule="auto"/>
        <w:jc w:val="both"/>
        <w:textAlignment w:val="baseline"/>
        <w:rPr>
          <w:rFonts w:ascii="Calibri" w:eastAsia="Times New Roman" w:hAnsi="Calibri" w:cs="Times New Roman"/>
          <w:lang w:eastAsia="hr-HR"/>
        </w:rPr>
      </w:pPr>
    </w:p>
    <w:p w14:paraId="016F88EF" w14:textId="6A66BC91" w:rsidR="00337B2C" w:rsidRDefault="00337B2C" w:rsidP="00312975">
      <w:pPr>
        <w:pStyle w:val="ListParagraph"/>
        <w:suppressAutoHyphens/>
        <w:autoSpaceDN w:val="0"/>
        <w:spacing w:after="0" w:line="240" w:lineRule="auto"/>
        <w:jc w:val="both"/>
        <w:textAlignment w:val="baseline"/>
        <w:rPr>
          <w:rFonts w:ascii="Calibri" w:eastAsia="Times New Roman" w:hAnsi="Calibri" w:cs="Times New Roman"/>
          <w:lang w:eastAsia="hr-HR"/>
        </w:rPr>
      </w:pPr>
      <w:r>
        <w:rPr>
          <w:rFonts w:ascii="Calibri" w:eastAsia="Times New Roman" w:hAnsi="Calibri" w:cs="Times New Roman"/>
          <w:lang w:eastAsia="hr-HR"/>
        </w:rPr>
        <w:t>Grupa planira usvojiti standard nakon njegova stupanja na snagu i trenutno ocjenjuje njegov utjecaj.</w:t>
      </w:r>
    </w:p>
    <w:p w14:paraId="025D004A" w14:textId="6F0D0EC3" w:rsidR="00337B2C" w:rsidRDefault="00337B2C" w:rsidP="00312975">
      <w:pPr>
        <w:suppressAutoHyphens/>
        <w:autoSpaceDN w:val="0"/>
        <w:spacing w:after="0" w:line="240" w:lineRule="auto"/>
        <w:jc w:val="both"/>
        <w:textAlignment w:val="baseline"/>
        <w:rPr>
          <w:rFonts w:ascii="Calibri" w:eastAsia="Times New Roman" w:hAnsi="Calibri" w:cs="Times New Roman"/>
          <w:lang w:eastAsia="hr-HR"/>
        </w:rPr>
      </w:pPr>
    </w:p>
    <w:p w14:paraId="5BC5DC85" w14:textId="1EE63400" w:rsidR="00921591" w:rsidRDefault="00337B2C" w:rsidP="00312975">
      <w:pPr>
        <w:pStyle w:val="ListParagraph"/>
        <w:numPr>
          <w:ilvl w:val="0"/>
          <w:numId w:val="13"/>
        </w:numPr>
        <w:suppressAutoHyphens/>
        <w:autoSpaceDN w:val="0"/>
        <w:spacing w:after="0" w:line="240" w:lineRule="auto"/>
        <w:jc w:val="both"/>
        <w:textAlignment w:val="baseline"/>
        <w:rPr>
          <w:rFonts w:ascii="Calibri" w:eastAsia="Times New Roman" w:hAnsi="Calibri" w:cs="Times New Roman"/>
          <w:lang w:eastAsia="hr-HR"/>
        </w:rPr>
      </w:pPr>
      <w:r w:rsidRPr="00337B2C">
        <w:rPr>
          <w:rFonts w:ascii="Calibri" w:eastAsia="Times New Roman" w:hAnsi="Calibri" w:cs="Times New Roman"/>
          <w:lang w:eastAsia="hr-HR"/>
        </w:rPr>
        <w:t xml:space="preserve">Novo Tumačenje – IFRIC 23 </w:t>
      </w:r>
      <w:r w:rsidR="00981AE3" w:rsidRPr="00981AE3">
        <w:rPr>
          <w:rFonts w:ascii="Calibri" w:eastAsia="Times New Roman" w:hAnsi="Calibri" w:cs="Times New Roman"/>
          <w:lang w:eastAsia="hr-HR"/>
        </w:rPr>
        <w:t>Neizvjesnost</w:t>
      </w:r>
      <w:r w:rsidRPr="00337B2C">
        <w:rPr>
          <w:rFonts w:ascii="Calibri" w:eastAsia="Times New Roman" w:hAnsi="Calibri" w:cs="Times New Roman"/>
          <w:lang w:eastAsia="hr-HR"/>
        </w:rPr>
        <w:t xml:space="preserve"> u pogledu tretmana poreza na dobit (na snazi za razdoblja koja započinju na dan ili nakon 1. </w:t>
      </w:r>
      <w:r>
        <w:rPr>
          <w:rFonts w:ascii="Calibri" w:eastAsia="Times New Roman" w:hAnsi="Calibri" w:cs="Times New Roman"/>
          <w:lang w:eastAsia="hr-HR"/>
        </w:rPr>
        <w:t>s</w:t>
      </w:r>
      <w:r w:rsidRPr="00337B2C">
        <w:rPr>
          <w:rFonts w:ascii="Calibri" w:eastAsia="Times New Roman" w:hAnsi="Calibri" w:cs="Times New Roman"/>
          <w:lang w:eastAsia="hr-HR"/>
        </w:rPr>
        <w:t>iječnja 2019. godine, ali u Europskoj uniji još nije usvojen) – tumačenje opisuje računovodstvo za poreze na dobit u slučaju kada porezni tretmani uključuju dvojbu koja utječe na primjenu MRS-a 12 Porezi na dobit</w:t>
      </w:r>
      <w:r>
        <w:rPr>
          <w:rFonts w:ascii="Calibri" w:eastAsia="Times New Roman" w:hAnsi="Calibri" w:cs="Times New Roman"/>
          <w:lang w:eastAsia="hr-HR"/>
        </w:rPr>
        <w:t>. Tumačenje se ne primjenjuje na poreze ili namete izvan opsega MRS-a 12, niti izričito obuhvaća zahtjeve koji se odnose na kamate i novčane kazne koje se povezuju s dvojbenim poreznim tretmanom.</w:t>
      </w:r>
    </w:p>
    <w:p w14:paraId="507638EE" w14:textId="77777777" w:rsidR="00337B2C" w:rsidRDefault="00337B2C" w:rsidP="00312975">
      <w:pPr>
        <w:pStyle w:val="ListParagraph"/>
        <w:suppressAutoHyphens/>
        <w:autoSpaceDN w:val="0"/>
        <w:spacing w:after="0" w:line="240" w:lineRule="auto"/>
        <w:jc w:val="both"/>
        <w:textAlignment w:val="baseline"/>
        <w:rPr>
          <w:rFonts w:ascii="Calibri" w:eastAsia="Times New Roman" w:hAnsi="Calibri" w:cs="Times New Roman"/>
          <w:lang w:eastAsia="hr-HR"/>
        </w:rPr>
      </w:pPr>
    </w:p>
    <w:p w14:paraId="57A76212" w14:textId="1BB3815B" w:rsidR="00337B2C" w:rsidRPr="00337B2C" w:rsidRDefault="00337B2C" w:rsidP="00312975">
      <w:pPr>
        <w:pStyle w:val="ListParagraph"/>
        <w:suppressAutoHyphens/>
        <w:autoSpaceDN w:val="0"/>
        <w:spacing w:after="0" w:line="240" w:lineRule="auto"/>
        <w:jc w:val="both"/>
        <w:textAlignment w:val="baseline"/>
        <w:rPr>
          <w:rFonts w:ascii="Calibri" w:eastAsia="Times New Roman" w:hAnsi="Calibri" w:cs="Times New Roman"/>
          <w:lang w:eastAsia="hr-HR"/>
        </w:rPr>
      </w:pPr>
      <w:r>
        <w:rPr>
          <w:rFonts w:ascii="Calibri" w:eastAsia="Times New Roman" w:hAnsi="Calibri" w:cs="Times New Roman"/>
          <w:lang w:eastAsia="hr-HR"/>
        </w:rPr>
        <w:t>Grupa trenutno procjenjuje utjecaj ovih tumačenja na financijsko izvještavanje.</w:t>
      </w:r>
    </w:p>
    <w:p w14:paraId="26E4FC62" w14:textId="39B30A6D" w:rsidR="00921591" w:rsidRDefault="00921591" w:rsidP="00312975">
      <w:pPr>
        <w:suppressAutoHyphens/>
        <w:autoSpaceDN w:val="0"/>
        <w:spacing w:after="0" w:line="240" w:lineRule="auto"/>
        <w:jc w:val="both"/>
        <w:textAlignment w:val="baseline"/>
        <w:rPr>
          <w:rFonts w:ascii="Calibri" w:eastAsia="Times New Roman" w:hAnsi="Calibri" w:cs="Times New Roman"/>
          <w:lang w:eastAsia="hr-HR"/>
        </w:rPr>
      </w:pPr>
    </w:p>
    <w:p w14:paraId="24A3D4BC" w14:textId="3C2501AB" w:rsidR="00921591" w:rsidRDefault="00921591" w:rsidP="00312975">
      <w:pPr>
        <w:suppressAutoHyphens/>
        <w:autoSpaceDN w:val="0"/>
        <w:spacing w:after="0" w:line="240" w:lineRule="auto"/>
        <w:jc w:val="both"/>
        <w:textAlignment w:val="baseline"/>
        <w:rPr>
          <w:rFonts w:ascii="Calibri" w:eastAsia="Times New Roman" w:hAnsi="Calibri" w:cs="Times New Roman"/>
          <w:lang w:eastAsia="hr-HR"/>
        </w:rPr>
      </w:pPr>
    </w:p>
    <w:p w14:paraId="72BDE0FF" w14:textId="796D9BB5" w:rsidR="00921591" w:rsidRDefault="00921591" w:rsidP="00312975">
      <w:pPr>
        <w:suppressAutoHyphens/>
        <w:autoSpaceDN w:val="0"/>
        <w:spacing w:after="0" w:line="240" w:lineRule="auto"/>
        <w:jc w:val="both"/>
        <w:textAlignment w:val="baseline"/>
        <w:rPr>
          <w:rFonts w:ascii="Calibri" w:eastAsia="Times New Roman" w:hAnsi="Calibri" w:cs="Times New Roman"/>
          <w:lang w:eastAsia="hr-HR"/>
        </w:rPr>
      </w:pPr>
    </w:p>
    <w:p w14:paraId="7CFB5F5E" w14:textId="528699A6" w:rsidR="00921591" w:rsidRDefault="00921591" w:rsidP="00312975">
      <w:pPr>
        <w:suppressAutoHyphens/>
        <w:autoSpaceDN w:val="0"/>
        <w:spacing w:after="0" w:line="240" w:lineRule="auto"/>
        <w:jc w:val="both"/>
        <w:textAlignment w:val="baseline"/>
        <w:rPr>
          <w:rFonts w:ascii="Calibri" w:eastAsia="Times New Roman" w:hAnsi="Calibri" w:cs="Times New Roman"/>
          <w:lang w:eastAsia="hr-HR"/>
        </w:rPr>
      </w:pPr>
    </w:p>
    <w:p w14:paraId="10C162EE" w14:textId="77777777" w:rsidR="00921591" w:rsidRDefault="00921591" w:rsidP="00312975">
      <w:pPr>
        <w:suppressAutoHyphens/>
        <w:autoSpaceDN w:val="0"/>
        <w:spacing w:after="0" w:line="240" w:lineRule="auto"/>
        <w:jc w:val="both"/>
        <w:textAlignment w:val="baseline"/>
        <w:rPr>
          <w:rFonts w:ascii="Calibri" w:eastAsia="Times New Roman" w:hAnsi="Calibri" w:cs="Times New Roman"/>
          <w:lang w:eastAsia="hr-HR"/>
        </w:rPr>
        <w:sectPr w:rsidR="00921591" w:rsidSect="00D17FF0">
          <w:footerReference w:type="first" r:id="rId61"/>
          <w:pgSz w:w="11906" w:h="16838" w:code="9"/>
          <w:pgMar w:top="1418" w:right="1418" w:bottom="595" w:left="1134" w:header="709" w:footer="709" w:gutter="0"/>
          <w:cols w:space="708"/>
          <w:titlePg/>
          <w:docGrid w:linePitch="360"/>
        </w:sectPr>
      </w:pPr>
    </w:p>
    <w:p w14:paraId="1DAF6F3A" w14:textId="30468B80" w:rsidR="009620EF" w:rsidRPr="009620EF" w:rsidRDefault="009620EF" w:rsidP="004D7519">
      <w:pPr>
        <w:suppressAutoHyphens/>
        <w:autoSpaceDN w:val="0"/>
        <w:spacing w:after="0" w:line="240" w:lineRule="auto"/>
        <w:jc w:val="both"/>
        <w:textAlignment w:val="baseline"/>
        <w:rPr>
          <w:rFonts w:ascii="Calibri" w:eastAsia="Times New Roman" w:hAnsi="Calibri" w:cs="Times New Roman"/>
          <w:lang w:eastAsia="hr-HR"/>
        </w:rPr>
      </w:pPr>
    </w:p>
    <w:p w14:paraId="5C76A878" w14:textId="77777777" w:rsidR="00AE09B0" w:rsidRPr="00876425" w:rsidRDefault="00AE09B0" w:rsidP="006379CB">
      <w:pPr>
        <w:tabs>
          <w:tab w:val="left" w:pos="567"/>
        </w:tabs>
        <w:spacing w:after="0" w:line="240" w:lineRule="auto"/>
        <w:jc w:val="both"/>
        <w:rPr>
          <w:rFonts w:eastAsia="Times New Roman" w:cs="Calibri"/>
          <w:b/>
          <w:lang w:eastAsia="hr-HR"/>
        </w:rPr>
      </w:pPr>
      <w:r w:rsidRPr="00876425">
        <w:rPr>
          <w:rFonts w:eastAsia="Times New Roman" w:cs="Calibri"/>
          <w:b/>
          <w:spacing w:val="-3"/>
          <w:lang w:eastAsia="hr-HR"/>
        </w:rPr>
        <w:t xml:space="preserve">4. </w:t>
      </w:r>
      <w:r w:rsidRPr="00876425">
        <w:rPr>
          <w:rFonts w:eastAsia="Times New Roman" w:cs="Calibri"/>
          <w:b/>
          <w:spacing w:val="-3"/>
          <w:lang w:eastAsia="hr-HR"/>
        </w:rPr>
        <w:tab/>
      </w:r>
      <w:r w:rsidR="00A106A1" w:rsidRPr="00876425">
        <w:rPr>
          <w:rFonts w:eastAsia="Times New Roman" w:cs="Calibri"/>
          <w:b/>
          <w:spacing w:val="-3"/>
          <w:lang w:eastAsia="hr-HR"/>
        </w:rPr>
        <w:t xml:space="preserve"> </w:t>
      </w:r>
      <w:r w:rsidRPr="00876425">
        <w:rPr>
          <w:rFonts w:eastAsia="Times New Roman" w:cs="Arial"/>
          <w:b/>
        </w:rPr>
        <w:t xml:space="preserve">Prihodi od kamata </w:t>
      </w:r>
    </w:p>
    <w:p w14:paraId="154E8F6B" w14:textId="77777777" w:rsidR="00A82098" w:rsidRDefault="00A82098" w:rsidP="006379CB">
      <w:pPr>
        <w:tabs>
          <w:tab w:val="left" w:pos="-720"/>
          <w:tab w:val="left" w:pos="426"/>
        </w:tabs>
        <w:suppressAutoHyphens/>
        <w:spacing w:after="0" w:line="240" w:lineRule="auto"/>
        <w:jc w:val="both"/>
        <w:rPr>
          <w:rFonts w:eastAsia="Times New Roman" w:cs="Arial"/>
        </w:rPr>
      </w:pPr>
    </w:p>
    <w:p w14:paraId="6EC7A36D" w14:textId="77777777" w:rsidR="00932654" w:rsidRDefault="00932654" w:rsidP="006379CB">
      <w:pPr>
        <w:tabs>
          <w:tab w:val="left" w:pos="-720"/>
          <w:tab w:val="left" w:pos="426"/>
        </w:tabs>
        <w:suppressAutoHyphens/>
        <w:spacing w:after="0" w:line="240" w:lineRule="auto"/>
        <w:jc w:val="both"/>
        <w:rPr>
          <w:rFonts w:eastAsia="Times New Roman" w:cs="Arial"/>
        </w:rPr>
      </w:pPr>
    </w:p>
    <w:p w14:paraId="01E0CA8D" w14:textId="77777777" w:rsidR="00AE09B0" w:rsidRDefault="00AE09B0" w:rsidP="006379CB">
      <w:pPr>
        <w:tabs>
          <w:tab w:val="left" w:pos="-720"/>
          <w:tab w:val="left" w:pos="426"/>
        </w:tabs>
        <w:suppressAutoHyphens/>
        <w:spacing w:after="0" w:line="240" w:lineRule="auto"/>
        <w:jc w:val="both"/>
        <w:rPr>
          <w:rFonts w:eastAsia="Times New Roman" w:cs="Arial"/>
        </w:rPr>
      </w:pPr>
      <w:r w:rsidRPr="006379CB">
        <w:rPr>
          <w:rFonts w:eastAsia="Times New Roman" w:cs="Arial"/>
        </w:rPr>
        <w:t>Prihodi od kamata po korisnicima</w:t>
      </w:r>
      <w:r w:rsidR="00202F35" w:rsidRPr="006379CB">
        <w:rPr>
          <w:rFonts w:eastAsia="Times New Roman" w:cs="Arial"/>
        </w:rPr>
        <w:t>:</w:t>
      </w:r>
    </w:p>
    <w:p w14:paraId="7BD58095" w14:textId="77777777" w:rsidR="00932654" w:rsidRPr="006379CB" w:rsidRDefault="00932654" w:rsidP="006379CB">
      <w:pPr>
        <w:tabs>
          <w:tab w:val="left" w:pos="-720"/>
          <w:tab w:val="left" w:pos="426"/>
        </w:tabs>
        <w:suppressAutoHyphens/>
        <w:spacing w:after="0" w:line="240" w:lineRule="auto"/>
        <w:jc w:val="both"/>
        <w:rPr>
          <w:rFonts w:eastAsia="Times New Roman" w:cs="Arial"/>
        </w:rPr>
      </w:pPr>
    </w:p>
    <w:tbl>
      <w:tblPr>
        <w:tblW w:w="4797" w:type="pct"/>
        <w:tblLook w:val="0000" w:firstRow="0" w:lastRow="0" w:firstColumn="0" w:lastColumn="0" w:noHBand="0" w:noVBand="0"/>
      </w:tblPr>
      <w:tblGrid>
        <w:gridCol w:w="3119"/>
        <w:gridCol w:w="1388"/>
        <w:gridCol w:w="1388"/>
        <w:gridCol w:w="1388"/>
        <w:gridCol w:w="1388"/>
        <w:gridCol w:w="1388"/>
        <w:gridCol w:w="1388"/>
        <w:gridCol w:w="1388"/>
        <w:gridCol w:w="1388"/>
      </w:tblGrid>
      <w:tr w:rsidR="00215328" w:rsidRPr="00F31958" w14:paraId="26692851" w14:textId="77777777" w:rsidTr="00215328">
        <w:trPr>
          <w:trHeight w:val="218"/>
        </w:trPr>
        <w:tc>
          <w:tcPr>
            <w:tcW w:w="3048" w:type="pct"/>
            <w:gridSpan w:val="5"/>
            <w:shd w:val="clear" w:color="auto" w:fill="auto"/>
          </w:tcPr>
          <w:p w14:paraId="4EE701F8" w14:textId="6914A0FC" w:rsidR="00215328" w:rsidRPr="00932654" w:rsidRDefault="00215328" w:rsidP="00932654">
            <w:pPr>
              <w:spacing w:after="0" w:line="240" w:lineRule="auto"/>
              <w:jc w:val="both"/>
              <w:rPr>
                <w:rFonts w:eastAsia="Times New Roman" w:cs="Arial"/>
                <w:b/>
                <w:sz w:val="20"/>
                <w:szCs w:val="20"/>
              </w:rPr>
            </w:pPr>
            <w:r>
              <w:rPr>
                <w:rFonts w:eastAsia="Times New Roman" w:cs="Arial"/>
                <w:b/>
                <w:sz w:val="20"/>
                <w:szCs w:val="20"/>
              </w:rPr>
              <w:t xml:space="preserve">                                                                                                                                                                               </w:t>
            </w:r>
            <w:r w:rsidRPr="00932654">
              <w:rPr>
                <w:rFonts w:eastAsia="Times New Roman" w:cs="Arial"/>
                <w:b/>
                <w:sz w:val="20"/>
                <w:szCs w:val="20"/>
              </w:rPr>
              <w:t>Grupa</w:t>
            </w:r>
          </w:p>
        </w:tc>
        <w:tc>
          <w:tcPr>
            <w:tcW w:w="1952" w:type="pct"/>
            <w:gridSpan w:val="4"/>
            <w:shd w:val="clear" w:color="auto" w:fill="auto"/>
            <w:vAlign w:val="bottom"/>
          </w:tcPr>
          <w:p w14:paraId="0F435D90" w14:textId="29A063CD" w:rsidR="00215328" w:rsidRPr="00932654" w:rsidRDefault="00215328" w:rsidP="00932654">
            <w:pPr>
              <w:spacing w:after="0" w:line="240" w:lineRule="auto"/>
              <w:jc w:val="both"/>
              <w:rPr>
                <w:rFonts w:eastAsia="Times New Roman" w:cs="Arial"/>
                <w:b/>
                <w:sz w:val="20"/>
                <w:szCs w:val="20"/>
              </w:rPr>
            </w:pPr>
            <w:r>
              <w:rPr>
                <w:rFonts w:eastAsia="Times New Roman" w:cs="Arial"/>
                <w:b/>
                <w:sz w:val="20"/>
                <w:szCs w:val="20"/>
              </w:rPr>
              <w:t xml:space="preserve">                                                                                                          </w:t>
            </w:r>
            <w:r w:rsidRPr="00932654">
              <w:rPr>
                <w:rFonts w:eastAsia="Times New Roman" w:cs="Arial"/>
                <w:b/>
                <w:sz w:val="20"/>
                <w:szCs w:val="20"/>
              </w:rPr>
              <w:t>Banka</w:t>
            </w:r>
          </w:p>
        </w:tc>
      </w:tr>
      <w:tr w:rsidR="00932654" w:rsidRPr="00F31958" w14:paraId="721F7C78" w14:textId="77777777" w:rsidTr="00312975">
        <w:trPr>
          <w:trHeight w:val="267"/>
        </w:trPr>
        <w:tc>
          <w:tcPr>
            <w:tcW w:w="1096" w:type="pct"/>
            <w:tcBorders>
              <w:top w:val="nil"/>
              <w:left w:val="nil"/>
              <w:bottom w:val="nil"/>
              <w:right w:val="nil"/>
            </w:tcBorders>
            <w:shd w:val="clear" w:color="auto" w:fill="auto"/>
            <w:vAlign w:val="center"/>
            <w:hideMark/>
          </w:tcPr>
          <w:p w14:paraId="2B3C7E73" w14:textId="77777777" w:rsidR="00932654" w:rsidRPr="00F31958" w:rsidRDefault="00932654" w:rsidP="00060490">
            <w:pPr>
              <w:spacing w:after="0" w:line="240" w:lineRule="auto"/>
              <w:jc w:val="right"/>
              <w:rPr>
                <w:rFonts w:ascii="Calibri" w:eastAsia="Times New Roman" w:hAnsi="Calibri" w:cs="Times New Roman"/>
                <w:sz w:val="20"/>
                <w:szCs w:val="20"/>
                <w:lang w:eastAsia="hr-HR"/>
              </w:rPr>
            </w:pPr>
          </w:p>
        </w:tc>
        <w:tc>
          <w:tcPr>
            <w:tcW w:w="976" w:type="pct"/>
            <w:gridSpan w:val="2"/>
            <w:tcBorders>
              <w:top w:val="nil"/>
              <w:left w:val="nil"/>
              <w:bottom w:val="nil"/>
              <w:right w:val="nil"/>
            </w:tcBorders>
            <w:shd w:val="clear" w:color="auto" w:fill="auto"/>
            <w:vAlign w:val="bottom"/>
            <w:hideMark/>
          </w:tcPr>
          <w:p w14:paraId="4ACBBF25" w14:textId="431F223F" w:rsidR="00932654" w:rsidRPr="00F31958" w:rsidRDefault="00932654">
            <w:pPr>
              <w:spacing w:after="0" w:line="240" w:lineRule="auto"/>
              <w:jc w:val="center"/>
              <w:rPr>
                <w:rFonts w:ascii="Calibri" w:eastAsia="Times New Roman" w:hAnsi="Calibri" w:cs="Times New Roman"/>
                <w:b/>
                <w:bCs/>
                <w:color w:val="000000"/>
                <w:sz w:val="20"/>
                <w:szCs w:val="20"/>
                <w:lang w:eastAsia="hr-HR"/>
              </w:rPr>
            </w:pPr>
            <w:r w:rsidRPr="00F31958">
              <w:rPr>
                <w:rFonts w:ascii="Calibri" w:eastAsia="Times New Roman" w:hAnsi="Calibri" w:cs="Times New Roman"/>
                <w:b/>
                <w:bCs/>
                <w:color w:val="000000"/>
                <w:sz w:val="20"/>
                <w:szCs w:val="20"/>
                <w:lang w:eastAsia="hr-HR"/>
              </w:rPr>
              <w:t>201</w:t>
            </w:r>
            <w:r w:rsidR="00215328">
              <w:rPr>
                <w:rFonts w:ascii="Calibri" w:eastAsia="Times New Roman" w:hAnsi="Calibri" w:cs="Times New Roman"/>
                <w:b/>
                <w:bCs/>
                <w:color w:val="000000"/>
                <w:sz w:val="20"/>
                <w:szCs w:val="20"/>
                <w:lang w:eastAsia="hr-HR"/>
              </w:rPr>
              <w:t>7</w:t>
            </w:r>
            <w:r w:rsidRPr="00F31958">
              <w:rPr>
                <w:rFonts w:ascii="Calibri" w:eastAsia="Times New Roman" w:hAnsi="Calibri" w:cs="Times New Roman"/>
                <w:b/>
                <w:bCs/>
                <w:color w:val="000000"/>
                <w:sz w:val="20"/>
                <w:szCs w:val="20"/>
                <w:lang w:eastAsia="hr-HR"/>
              </w:rPr>
              <w:t>.</w:t>
            </w:r>
          </w:p>
        </w:tc>
        <w:tc>
          <w:tcPr>
            <w:tcW w:w="976" w:type="pct"/>
            <w:gridSpan w:val="2"/>
            <w:tcBorders>
              <w:top w:val="nil"/>
              <w:left w:val="nil"/>
              <w:bottom w:val="nil"/>
              <w:right w:val="nil"/>
            </w:tcBorders>
            <w:shd w:val="clear" w:color="auto" w:fill="auto"/>
            <w:vAlign w:val="bottom"/>
            <w:hideMark/>
          </w:tcPr>
          <w:p w14:paraId="0570BF38" w14:textId="6406A636" w:rsidR="00932654" w:rsidRPr="00F31958" w:rsidRDefault="00932654">
            <w:pPr>
              <w:spacing w:after="0" w:line="240" w:lineRule="auto"/>
              <w:jc w:val="center"/>
              <w:rPr>
                <w:rFonts w:ascii="Calibri" w:eastAsia="Times New Roman" w:hAnsi="Calibri" w:cs="Times New Roman"/>
                <w:b/>
                <w:bCs/>
                <w:color w:val="000000"/>
                <w:sz w:val="20"/>
                <w:szCs w:val="20"/>
                <w:lang w:eastAsia="hr-HR"/>
              </w:rPr>
            </w:pPr>
            <w:r w:rsidRPr="00F31958">
              <w:rPr>
                <w:rFonts w:ascii="Calibri" w:eastAsia="Times New Roman" w:hAnsi="Calibri" w:cs="Times New Roman"/>
                <w:b/>
                <w:bCs/>
                <w:color w:val="000000"/>
                <w:sz w:val="20"/>
                <w:szCs w:val="20"/>
                <w:lang w:eastAsia="hr-HR"/>
              </w:rPr>
              <w:t>201</w:t>
            </w:r>
            <w:r w:rsidR="00215328">
              <w:rPr>
                <w:rFonts w:ascii="Calibri" w:eastAsia="Times New Roman" w:hAnsi="Calibri" w:cs="Times New Roman"/>
                <w:b/>
                <w:bCs/>
                <w:color w:val="000000"/>
                <w:sz w:val="20"/>
                <w:szCs w:val="20"/>
                <w:lang w:eastAsia="hr-HR"/>
              </w:rPr>
              <w:t>6</w:t>
            </w:r>
            <w:r w:rsidRPr="00F31958">
              <w:rPr>
                <w:rFonts w:ascii="Calibri" w:eastAsia="Times New Roman" w:hAnsi="Calibri" w:cs="Times New Roman"/>
                <w:b/>
                <w:bCs/>
                <w:color w:val="000000"/>
                <w:sz w:val="20"/>
                <w:szCs w:val="20"/>
                <w:lang w:eastAsia="hr-HR"/>
              </w:rPr>
              <w:t>.</w:t>
            </w:r>
          </w:p>
        </w:tc>
        <w:tc>
          <w:tcPr>
            <w:tcW w:w="976" w:type="pct"/>
            <w:gridSpan w:val="2"/>
            <w:tcBorders>
              <w:top w:val="nil"/>
              <w:left w:val="nil"/>
              <w:bottom w:val="nil"/>
              <w:right w:val="nil"/>
            </w:tcBorders>
            <w:shd w:val="clear" w:color="auto" w:fill="auto"/>
            <w:vAlign w:val="bottom"/>
            <w:hideMark/>
          </w:tcPr>
          <w:p w14:paraId="5164737A" w14:textId="4EC9453E" w:rsidR="00932654" w:rsidRPr="00F31958" w:rsidRDefault="00932654">
            <w:pPr>
              <w:spacing w:after="0" w:line="240" w:lineRule="auto"/>
              <w:jc w:val="center"/>
              <w:rPr>
                <w:rFonts w:ascii="Calibri" w:eastAsia="Times New Roman" w:hAnsi="Calibri" w:cs="Times New Roman"/>
                <w:b/>
                <w:bCs/>
                <w:color w:val="000000"/>
                <w:sz w:val="20"/>
                <w:szCs w:val="20"/>
                <w:lang w:eastAsia="hr-HR"/>
              </w:rPr>
            </w:pPr>
            <w:r w:rsidRPr="00F31958">
              <w:rPr>
                <w:rFonts w:ascii="Calibri" w:eastAsia="Times New Roman" w:hAnsi="Calibri" w:cs="Times New Roman"/>
                <w:b/>
                <w:bCs/>
                <w:color w:val="000000"/>
                <w:sz w:val="20"/>
                <w:szCs w:val="20"/>
                <w:lang w:eastAsia="hr-HR"/>
              </w:rPr>
              <w:t>201</w:t>
            </w:r>
            <w:r w:rsidR="00215328">
              <w:rPr>
                <w:rFonts w:ascii="Calibri" w:eastAsia="Times New Roman" w:hAnsi="Calibri" w:cs="Times New Roman"/>
                <w:b/>
                <w:bCs/>
                <w:color w:val="000000"/>
                <w:sz w:val="20"/>
                <w:szCs w:val="20"/>
                <w:lang w:eastAsia="hr-HR"/>
              </w:rPr>
              <w:t>7</w:t>
            </w:r>
            <w:r w:rsidRPr="00F31958">
              <w:rPr>
                <w:rFonts w:ascii="Calibri" w:eastAsia="Times New Roman" w:hAnsi="Calibri" w:cs="Times New Roman"/>
                <w:b/>
                <w:bCs/>
                <w:color w:val="000000"/>
                <w:sz w:val="20"/>
                <w:szCs w:val="20"/>
                <w:lang w:eastAsia="hr-HR"/>
              </w:rPr>
              <w:t>.</w:t>
            </w:r>
          </w:p>
        </w:tc>
        <w:tc>
          <w:tcPr>
            <w:tcW w:w="976" w:type="pct"/>
            <w:gridSpan w:val="2"/>
            <w:tcBorders>
              <w:top w:val="nil"/>
              <w:left w:val="nil"/>
              <w:bottom w:val="nil"/>
              <w:right w:val="nil"/>
            </w:tcBorders>
            <w:shd w:val="clear" w:color="auto" w:fill="auto"/>
            <w:vAlign w:val="bottom"/>
            <w:hideMark/>
          </w:tcPr>
          <w:p w14:paraId="15AEE8A3" w14:textId="2125EB31" w:rsidR="00932654" w:rsidRPr="00F31958" w:rsidRDefault="00932654">
            <w:pPr>
              <w:spacing w:after="0" w:line="240" w:lineRule="auto"/>
              <w:jc w:val="center"/>
              <w:rPr>
                <w:rFonts w:ascii="Calibri" w:eastAsia="Times New Roman" w:hAnsi="Calibri" w:cs="Times New Roman"/>
                <w:b/>
                <w:bCs/>
                <w:color w:val="000000"/>
                <w:sz w:val="20"/>
                <w:szCs w:val="20"/>
                <w:lang w:eastAsia="hr-HR"/>
              </w:rPr>
            </w:pPr>
            <w:r w:rsidRPr="00F31958">
              <w:rPr>
                <w:rFonts w:ascii="Calibri" w:eastAsia="Times New Roman" w:hAnsi="Calibri" w:cs="Times New Roman"/>
                <w:b/>
                <w:bCs/>
                <w:color w:val="000000"/>
                <w:sz w:val="20"/>
                <w:szCs w:val="20"/>
                <w:lang w:eastAsia="hr-HR"/>
              </w:rPr>
              <w:t>201</w:t>
            </w:r>
            <w:r w:rsidR="00215328">
              <w:rPr>
                <w:rFonts w:ascii="Calibri" w:eastAsia="Times New Roman" w:hAnsi="Calibri" w:cs="Times New Roman"/>
                <w:b/>
                <w:bCs/>
                <w:color w:val="000000"/>
                <w:sz w:val="20"/>
                <w:szCs w:val="20"/>
                <w:lang w:eastAsia="hr-HR"/>
              </w:rPr>
              <w:t>6</w:t>
            </w:r>
            <w:r w:rsidRPr="00F31958">
              <w:rPr>
                <w:rFonts w:ascii="Calibri" w:eastAsia="Times New Roman" w:hAnsi="Calibri" w:cs="Times New Roman"/>
                <w:b/>
                <w:bCs/>
                <w:color w:val="000000"/>
                <w:sz w:val="20"/>
                <w:szCs w:val="20"/>
                <w:lang w:eastAsia="hr-HR"/>
              </w:rPr>
              <w:t>.</w:t>
            </w:r>
          </w:p>
        </w:tc>
      </w:tr>
      <w:tr w:rsidR="00932654" w:rsidRPr="00F31958" w14:paraId="49AAD3A7" w14:textId="77777777" w:rsidTr="00312975">
        <w:trPr>
          <w:trHeight w:val="285"/>
        </w:trPr>
        <w:tc>
          <w:tcPr>
            <w:tcW w:w="1096" w:type="pct"/>
            <w:tcBorders>
              <w:top w:val="nil"/>
              <w:left w:val="nil"/>
              <w:bottom w:val="nil"/>
              <w:right w:val="nil"/>
            </w:tcBorders>
            <w:shd w:val="clear" w:color="auto" w:fill="auto"/>
            <w:vAlign w:val="center"/>
            <w:hideMark/>
          </w:tcPr>
          <w:p w14:paraId="3CF6FDD5" w14:textId="77777777" w:rsidR="00932654" w:rsidRPr="00F31958" w:rsidRDefault="00932654" w:rsidP="00060490">
            <w:pPr>
              <w:spacing w:after="0" w:line="240" w:lineRule="auto"/>
              <w:jc w:val="center"/>
              <w:rPr>
                <w:rFonts w:ascii="Calibri" w:eastAsia="Times New Roman" w:hAnsi="Calibri" w:cs="Times New Roman"/>
                <w:b/>
                <w:bCs/>
                <w:color w:val="000000"/>
                <w:sz w:val="20"/>
                <w:szCs w:val="20"/>
                <w:lang w:eastAsia="hr-HR"/>
              </w:rPr>
            </w:pPr>
          </w:p>
        </w:tc>
        <w:tc>
          <w:tcPr>
            <w:tcW w:w="488" w:type="pct"/>
            <w:tcBorders>
              <w:top w:val="nil"/>
              <w:left w:val="nil"/>
              <w:bottom w:val="nil"/>
              <w:right w:val="nil"/>
            </w:tcBorders>
            <w:shd w:val="clear" w:color="auto" w:fill="auto"/>
            <w:vAlign w:val="center"/>
            <w:hideMark/>
          </w:tcPr>
          <w:p w14:paraId="6A74A021" w14:textId="77777777" w:rsidR="00932654" w:rsidRPr="00F31958" w:rsidRDefault="00932654" w:rsidP="00060490">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Tekuće razdoblje</w:t>
            </w:r>
          </w:p>
        </w:tc>
        <w:tc>
          <w:tcPr>
            <w:tcW w:w="488" w:type="pct"/>
            <w:tcBorders>
              <w:top w:val="nil"/>
              <w:left w:val="nil"/>
              <w:bottom w:val="nil"/>
              <w:right w:val="nil"/>
            </w:tcBorders>
            <w:shd w:val="clear" w:color="auto" w:fill="auto"/>
            <w:vAlign w:val="center"/>
            <w:hideMark/>
          </w:tcPr>
          <w:p w14:paraId="17300455" w14:textId="77777777" w:rsidR="00932654" w:rsidRPr="00F31958" w:rsidRDefault="00932654" w:rsidP="00060490">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Kumulativ</w:t>
            </w:r>
          </w:p>
        </w:tc>
        <w:tc>
          <w:tcPr>
            <w:tcW w:w="488" w:type="pct"/>
            <w:tcBorders>
              <w:top w:val="nil"/>
              <w:left w:val="nil"/>
              <w:bottom w:val="nil"/>
              <w:right w:val="nil"/>
            </w:tcBorders>
            <w:shd w:val="clear" w:color="auto" w:fill="auto"/>
            <w:vAlign w:val="center"/>
            <w:hideMark/>
          </w:tcPr>
          <w:p w14:paraId="2822EB66" w14:textId="77777777" w:rsidR="00932654" w:rsidRPr="00F31958" w:rsidRDefault="00932654" w:rsidP="00060490">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Tekuće razdoblje</w:t>
            </w:r>
          </w:p>
        </w:tc>
        <w:tc>
          <w:tcPr>
            <w:tcW w:w="488" w:type="pct"/>
            <w:tcBorders>
              <w:top w:val="nil"/>
              <w:left w:val="nil"/>
              <w:bottom w:val="nil"/>
              <w:right w:val="nil"/>
            </w:tcBorders>
            <w:shd w:val="clear" w:color="auto" w:fill="auto"/>
            <w:vAlign w:val="center"/>
            <w:hideMark/>
          </w:tcPr>
          <w:p w14:paraId="5EAD7C92" w14:textId="77777777" w:rsidR="00932654" w:rsidRPr="00F31958" w:rsidRDefault="00932654" w:rsidP="00060490">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Kumulativ</w:t>
            </w:r>
          </w:p>
        </w:tc>
        <w:tc>
          <w:tcPr>
            <w:tcW w:w="488" w:type="pct"/>
            <w:tcBorders>
              <w:top w:val="nil"/>
              <w:left w:val="nil"/>
              <w:bottom w:val="nil"/>
              <w:right w:val="nil"/>
            </w:tcBorders>
            <w:shd w:val="clear" w:color="auto" w:fill="auto"/>
            <w:vAlign w:val="center"/>
            <w:hideMark/>
          </w:tcPr>
          <w:p w14:paraId="4090E90C" w14:textId="77777777" w:rsidR="00932654" w:rsidRPr="00F31958" w:rsidRDefault="00932654" w:rsidP="00060490">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Tekuće razdoblje</w:t>
            </w:r>
          </w:p>
        </w:tc>
        <w:tc>
          <w:tcPr>
            <w:tcW w:w="488" w:type="pct"/>
            <w:tcBorders>
              <w:top w:val="nil"/>
              <w:left w:val="nil"/>
              <w:bottom w:val="nil"/>
              <w:right w:val="nil"/>
            </w:tcBorders>
            <w:shd w:val="clear" w:color="auto" w:fill="auto"/>
            <w:vAlign w:val="center"/>
            <w:hideMark/>
          </w:tcPr>
          <w:p w14:paraId="12493C71" w14:textId="77777777" w:rsidR="00932654" w:rsidRPr="00F31958" w:rsidRDefault="00932654" w:rsidP="00060490">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Kumulativ</w:t>
            </w:r>
          </w:p>
        </w:tc>
        <w:tc>
          <w:tcPr>
            <w:tcW w:w="488" w:type="pct"/>
            <w:tcBorders>
              <w:top w:val="nil"/>
              <w:left w:val="nil"/>
              <w:bottom w:val="nil"/>
              <w:right w:val="nil"/>
            </w:tcBorders>
            <w:shd w:val="clear" w:color="auto" w:fill="auto"/>
            <w:vAlign w:val="center"/>
            <w:hideMark/>
          </w:tcPr>
          <w:p w14:paraId="1EA06EAE" w14:textId="77777777" w:rsidR="00932654" w:rsidRPr="00F31958" w:rsidRDefault="00932654" w:rsidP="00060490">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Tekuće razdoblje</w:t>
            </w:r>
          </w:p>
        </w:tc>
        <w:tc>
          <w:tcPr>
            <w:tcW w:w="488" w:type="pct"/>
            <w:tcBorders>
              <w:top w:val="nil"/>
              <w:left w:val="nil"/>
              <w:bottom w:val="nil"/>
              <w:right w:val="nil"/>
            </w:tcBorders>
            <w:shd w:val="clear" w:color="auto" w:fill="auto"/>
            <w:vAlign w:val="center"/>
            <w:hideMark/>
          </w:tcPr>
          <w:p w14:paraId="0BC2C276" w14:textId="77777777" w:rsidR="00932654" w:rsidRPr="00F31958" w:rsidRDefault="00932654" w:rsidP="00060490">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Kumulativ</w:t>
            </w:r>
          </w:p>
        </w:tc>
      </w:tr>
      <w:tr w:rsidR="00932654" w:rsidRPr="00F31958" w14:paraId="389C6D0B" w14:textId="77777777" w:rsidTr="00312975">
        <w:trPr>
          <w:trHeight w:val="285"/>
        </w:trPr>
        <w:tc>
          <w:tcPr>
            <w:tcW w:w="1096" w:type="pct"/>
            <w:tcBorders>
              <w:top w:val="nil"/>
              <w:left w:val="nil"/>
              <w:bottom w:val="nil"/>
              <w:right w:val="nil"/>
            </w:tcBorders>
            <w:shd w:val="clear" w:color="auto" w:fill="auto"/>
            <w:vAlign w:val="center"/>
            <w:hideMark/>
          </w:tcPr>
          <w:p w14:paraId="39867CA5" w14:textId="77777777" w:rsidR="00932654" w:rsidRPr="00F31958" w:rsidRDefault="00932654" w:rsidP="00060490">
            <w:pPr>
              <w:spacing w:after="0" w:line="240" w:lineRule="auto"/>
              <w:jc w:val="center"/>
              <w:rPr>
                <w:rFonts w:ascii="Calibri" w:eastAsia="Times New Roman" w:hAnsi="Calibri" w:cs="Times New Roman"/>
                <w:color w:val="000000"/>
                <w:sz w:val="20"/>
                <w:szCs w:val="20"/>
                <w:lang w:eastAsia="hr-HR"/>
              </w:rPr>
            </w:pPr>
          </w:p>
        </w:tc>
        <w:tc>
          <w:tcPr>
            <w:tcW w:w="488" w:type="pct"/>
            <w:tcBorders>
              <w:top w:val="nil"/>
              <w:left w:val="nil"/>
              <w:bottom w:val="nil"/>
              <w:right w:val="nil"/>
            </w:tcBorders>
            <w:shd w:val="clear" w:color="auto" w:fill="auto"/>
            <w:vAlign w:val="center"/>
            <w:hideMark/>
          </w:tcPr>
          <w:p w14:paraId="77688AA6" w14:textId="77777777" w:rsidR="00932654" w:rsidRPr="00F31958" w:rsidRDefault="00932654" w:rsidP="00060490">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1.4. - 30.6.</w:t>
            </w:r>
          </w:p>
        </w:tc>
        <w:tc>
          <w:tcPr>
            <w:tcW w:w="488" w:type="pct"/>
            <w:tcBorders>
              <w:top w:val="nil"/>
              <w:left w:val="nil"/>
              <w:bottom w:val="nil"/>
              <w:right w:val="nil"/>
            </w:tcBorders>
            <w:shd w:val="clear" w:color="auto" w:fill="auto"/>
            <w:vAlign w:val="center"/>
            <w:hideMark/>
          </w:tcPr>
          <w:p w14:paraId="009BF1CD" w14:textId="77777777" w:rsidR="00932654" w:rsidRPr="00F31958" w:rsidRDefault="00932654" w:rsidP="00060490">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1.1. - 30.6.</w:t>
            </w:r>
          </w:p>
        </w:tc>
        <w:tc>
          <w:tcPr>
            <w:tcW w:w="488" w:type="pct"/>
            <w:tcBorders>
              <w:top w:val="nil"/>
              <w:left w:val="nil"/>
              <w:bottom w:val="nil"/>
              <w:right w:val="nil"/>
            </w:tcBorders>
            <w:shd w:val="clear" w:color="auto" w:fill="auto"/>
            <w:vAlign w:val="center"/>
            <w:hideMark/>
          </w:tcPr>
          <w:p w14:paraId="799803BC" w14:textId="77777777" w:rsidR="00932654" w:rsidRPr="00F31958" w:rsidRDefault="00932654" w:rsidP="00060490">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1.4. - 30.6.</w:t>
            </w:r>
          </w:p>
        </w:tc>
        <w:tc>
          <w:tcPr>
            <w:tcW w:w="488" w:type="pct"/>
            <w:tcBorders>
              <w:top w:val="nil"/>
              <w:left w:val="nil"/>
              <w:bottom w:val="nil"/>
              <w:right w:val="nil"/>
            </w:tcBorders>
            <w:shd w:val="clear" w:color="auto" w:fill="auto"/>
            <w:vAlign w:val="center"/>
            <w:hideMark/>
          </w:tcPr>
          <w:p w14:paraId="57D44154" w14:textId="77777777" w:rsidR="00932654" w:rsidRPr="00F31958" w:rsidRDefault="00932654" w:rsidP="00060490">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1.1. - 30.6.</w:t>
            </w:r>
          </w:p>
        </w:tc>
        <w:tc>
          <w:tcPr>
            <w:tcW w:w="488" w:type="pct"/>
            <w:tcBorders>
              <w:top w:val="nil"/>
              <w:left w:val="nil"/>
              <w:bottom w:val="nil"/>
              <w:right w:val="nil"/>
            </w:tcBorders>
            <w:shd w:val="clear" w:color="auto" w:fill="auto"/>
            <w:vAlign w:val="center"/>
            <w:hideMark/>
          </w:tcPr>
          <w:p w14:paraId="04DB0677" w14:textId="77777777" w:rsidR="00932654" w:rsidRPr="00F31958" w:rsidRDefault="00932654" w:rsidP="00060490">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1.4. - 30.6.</w:t>
            </w:r>
          </w:p>
        </w:tc>
        <w:tc>
          <w:tcPr>
            <w:tcW w:w="488" w:type="pct"/>
            <w:tcBorders>
              <w:top w:val="nil"/>
              <w:left w:val="nil"/>
              <w:bottom w:val="nil"/>
              <w:right w:val="nil"/>
            </w:tcBorders>
            <w:shd w:val="clear" w:color="auto" w:fill="auto"/>
            <w:vAlign w:val="center"/>
            <w:hideMark/>
          </w:tcPr>
          <w:p w14:paraId="6193B9A0" w14:textId="77777777" w:rsidR="00932654" w:rsidRPr="00F31958" w:rsidRDefault="00932654" w:rsidP="00060490">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1.1. - 30.6.</w:t>
            </w:r>
          </w:p>
        </w:tc>
        <w:tc>
          <w:tcPr>
            <w:tcW w:w="488" w:type="pct"/>
            <w:tcBorders>
              <w:top w:val="nil"/>
              <w:left w:val="nil"/>
              <w:bottom w:val="nil"/>
              <w:right w:val="nil"/>
            </w:tcBorders>
            <w:shd w:val="clear" w:color="auto" w:fill="auto"/>
            <w:vAlign w:val="center"/>
            <w:hideMark/>
          </w:tcPr>
          <w:p w14:paraId="7B452A61" w14:textId="77777777" w:rsidR="00932654" w:rsidRPr="00F31958" w:rsidRDefault="00932654" w:rsidP="00060490">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1.4. - 30.6.</w:t>
            </w:r>
          </w:p>
        </w:tc>
        <w:tc>
          <w:tcPr>
            <w:tcW w:w="488" w:type="pct"/>
            <w:tcBorders>
              <w:top w:val="nil"/>
              <w:left w:val="nil"/>
              <w:bottom w:val="nil"/>
              <w:right w:val="nil"/>
            </w:tcBorders>
            <w:shd w:val="clear" w:color="auto" w:fill="auto"/>
            <w:vAlign w:val="center"/>
            <w:hideMark/>
          </w:tcPr>
          <w:p w14:paraId="2777C3BA" w14:textId="77777777" w:rsidR="00932654" w:rsidRPr="00F31958" w:rsidRDefault="00932654" w:rsidP="00060490">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1.1. - 30.6.</w:t>
            </w:r>
          </w:p>
        </w:tc>
      </w:tr>
      <w:tr w:rsidR="00215328" w:rsidRPr="00F31958" w14:paraId="389CF5E0" w14:textId="77777777" w:rsidTr="00312975">
        <w:trPr>
          <w:trHeight w:val="285"/>
        </w:trPr>
        <w:tc>
          <w:tcPr>
            <w:tcW w:w="1096" w:type="pct"/>
            <w:tcBorders>
              <w:top w:val="nil"/>
              <w:left w:val="nil"/>
              <w:bottom w:val="nil"/>
              <w:right w:val="nil"/>
            </w:tcBorders>
            <w:shd w:val="clear" w:color="auto" w:fill="auto"/>
            <w:vAlign w:val="center"/>
            <w:hideMark/>
          </w:tcPr>
          <w:p w14:paraId="64101ADB" w14:textId="77777777" w:rsidR="00215328" w:rsidRPr="00F31958" w:rsidRDefault="00215328" w:rsidP="00215328">
            <w:pPr>
              <w:spacing w:after="0" w:line="240" w:lineRule="auto"/>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Javni sektor</w:t>
            </w:r>
          </w:p>
        </w:tc>
        <w:tc>
          <w:tcPr>
            <w:tcW w:w="488" w:type="pct"/>
            <w:tcBorders>
              <w:top w:val="nil"/>
              <w:left w:val="nil"/>
              <w:bottom w:val="nil"/>
              <w:right w:val="nil"/>
            </w:tcBorders>
            <w:shd w:val="clear" w:color="auto" w:fill="auto"/>
            <w:vAlign w:val="center"/>
          </w:tcPr>
          <w:p w14:paraId="58E337EC" w14:textId="25FAACE7"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27.443</w:t>
            </w:r>
          </w:p>
        </w:tc>
        <w:tc>
          <w:tcPr>
            <w:tcW w:w="488" w:type="pct"/>
            <w:tcBorders>
              <w:top w:val="nil"/>
              <w:left w:val="nil"/>
              <w:bottom w:val="nil"/>
              <w:right w:val="nil"/>
            </w:tcBorders>
            <w:shd w:val="clear" w:color="auto" w:fill="auto"/>
            <w:vAlign w:val="center"/>
          </w:tcPr>
          <w:p w14:paraId="1FE535F3" w14:textId="378B3EAC"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55.378</w:t>
            </w:r>
          </w:p>
        </w:tc>
        <w:tc>
          <w:tcPr>
            <w:tcW w:w="488" w:type="pct"/>
            <w:tcBorders>
              <w:top w:val="nil"/>
              <w:left w:val="nil"/>
              <w:bottom w:val="nil"/>
              <w:right w:val="nil"/>
            </w:tcBorders>
            <w:shd w:val="clear" w:color="auto" w:fill="auto"/>
            <w:vAlign w:val="center"/>
            <w:hideMark/>
          </w:tcPr>
          <w:p w14:paraId="37535D41" w14:textId="4D14A95C"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28.050</w:t>
            </w:r>
          </w:p>
        </w:tc>
        <w:tc>
          <w:tcPr>
            <w:tcW w:w="488" w:type="pct"/>
            <w:tcBorders>
              <w:top w:val="nil"/>
              <w:left w:val="nil"/>
              <w:bottom w:val="nil"/>
              <w:right w:val="nil"/>
            </w:tcBorders>
            <w:shd w:val="clear" w:color="auto" w:fill="auto"/>
            <w:vAlign w:val="center"/>
            <w:hideMark/>
          </w:tcPr>
          <w:p w14:paraId="142D6660" w14:textId="44612A9B"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60.918</w:t>
            </w:r>
          </w:p>
        </w:tc>
        <w:tc>
          <w:tcPr>
            <w:tcW w:w="488" w:type="pct"/>
            <w:tcBorders>
              <w:top w:val="nil"/>
              <w:left w:val="nil"/>
              <w:bottom w:val="nil"/>
              <w:right w:val="nil"/>
            </w:tcBorders>
            <w:shd w:val="clear" w:color="auto" w:fill="auto"/>
            <w:vAlign w:val="center"/>
          </w:tcPr>
          <w:p w14:paraId="2CBD2999" w14:textId="75E56C83"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27.022</w:t>
            </w:r>
          </w:p>
        </w:tc>
        <w:tc>
          <w:tcPr>
            <w:tcW w:w="488" w:type="pct"/>
            <w:tcBorders>
              <w:top w:val="nil"/>
              <w:left w:val="nil"/>
              <w:bottom w:val="nil"/>
              <w:right w:val="nil"/>
            </w:tcBorders>
            <w:shd w:val="clear" w:color="auto" w:fill="auto"/>
            <w:vAlign w:val="center"/>
          </w:tcPr>
          <w:p w14:paraId="6FF19950" w14:textId="1D5358AF"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54.549</w:t>
            </w:r>
          </w:p>
        </w:tc>
        <w:tc>
          <w:tcPr>
            <w:tcW w:w="488" w:type="pct"/>
            <w:tcBorders>
              <w:top w:val="nil"/>
              <w:left w:val="nil"/>
              <w:bottom w:val="nil"/>
              <w:right w:val="nil"/>
            </w:tcBorders>
            <w:shd w:val="clear" w:color="auto" w:fill="auto"/>
            <w:vAlign w:val="center"/>
            <w:hideMark/>
          </w:tcPr>
          <w:p w14:paraId="22937DE3" w14:textId="136E0C48"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27.648</w:t>
            </w:r>
          </w:p>
        </w:tc>
        <w:tc>
          <w:tcPr>
            <w:tcW w:w="488" w:type="pct"/>
            <w:tcBorders>
              <w:top w:val="nil"/>
              <w:left w:val="nil"/>
              <w:bottom w:val="nil"/>
              <w:right w:val="nil"/>
            </w:tcBorders>
            <w:shd w:val="clear" w:color="auto" w:fill="auto"/>
            <w:noWrap/>
            <w:vAlign w:val="center"/>
            <w:hideMark/>
          </w:tcPr>
          <w:p w14:paraId="0F512FA1" w14:textId="6467C30C"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60.132</w:t>
            </w:r>
          </w:p>
        </w:tc>
      </w:tr>
      <w:tr w:rsidR="00215328" w:rsidRPr="00F31958" w14:paraId="2F2DBBBA" w14:textId="77777777" w:rsidTr="00312975">
        <w:trPr>
          <w:trHeight w:val="285"/>
        </w:trPr>
        <w:tc>
          <w:tcPr>
            <w:tcW w:w="1096" w:type="pct"/>
            <w:tcBorders>
              <w:top w:val="nil"/>
              <w:left w:val="nil"/>
              <w:bottom w:val="nil"/>
              <w:right w:val="nil"/>
            </w:tcBorders>
            <w:shd w:val="clear" w:color="auto" w:fill="auto"/>
            <w:vAlign w:val="center"/>
            <w:hideMark/>
          </w:tcPr>
          <w:p w14:paraId="789169AA" w14:textId="77777777" w:rsidR="00215328" w:rsidRPr="00F31958" w:rsidRDefault="00215328" w:rsidP="00215328">
            <w:pPr>
              <w:spacing w:after="0" w:line="240" w:lineRule="auto"/>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Državna trgovačka društva</w:t>
            </w:r>
          </w:p>
        </w:tc>
        <w:tc>
          <w:tcPr>
            <w:tcW w:w="488" w:type="pct"/>
            <w:tcBorders>
              <w:top w:val="nil"/>
              <w:left w:val="nil"/>
              <w:bottom w:val="nil"/>
              <w:right w:val="nil"/>
            </w:tcBorders>
            <w:shd w:val="clear" w:color="auto" w:fill="auto"/>
            <w:vAlign w:val="center"/>
          </w:tcPr>
          <w:p w14:paraId="7D8F900C" w14:textId="6477EE84"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13.470</w:t>
            </w:r>
          </w:p>
        </w:tc>
        <w:tc>
          <w:tcPr>
            <w:tcW w:w="488" w:type="pct"/>
            <w:tcBorders>
              <w:top w:val="nil"/>
              <w:left w:val="nil"/>
              <w:bottom w:val="nil"/>
              <w:right w:val="nil"/>
            </w:tcBorders>
            <w:shd w:val="clear" w:color="auto" w:fill="auto"/>
            <w:vAlign w:val="center"/>
          </w:tcPr>
          <w:p w14:paraId="07960EC7" w14:textId="3EE6CA2F"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25.985</w:t>
            </w:r>
          </w:p>
        </w:tc>
        <w:tc>
          <w:tcPr>
            <w:tcW w:w="488" w:type="pct"/>
            <w:tcBorders>
              <w:top w:val="nil"/>
              <w:left w:val="nil"/>
              <w:bottom w:val="nil"/>
              <w:right w:val="nil"/>
            </w:tcBorders>
            <w:shd w:val="clear" w:color="auto" w:fill="auto"/>
            <w:vAlign w:val="center"/>
            <w:hideMark/>
          </w:tcPr>
          <w:p w14:paraId="22C1A9DB" w14:textId="1720C292"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10.053</w:t>
            </w:r>
          </w:p>
        </w:tc>
        <w:tc>
          <w:tcPr>
            <w:tcW w:w="488" w:type="pct"/>
            <w:tcBorders>
              <w:top w:val="nil"/>
              <w:left w:val="nil"/>
              <w:bottom w:val="nil"/>
              <w:right w:val="nil"/>
            </w:tcBorders>
            <w:shd w:val="clear" w:color="auto" w:fill="auto"/>
            <w:vAlign w:val="center"/>
            <w:hideMark/>
          </w:tcPr>
          <w:p w14:paraId="7A9E0DEC" w14:textId="30697ACE"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18.638</w:t>
            </w:r>
          </w:p>
        </w:tc>
        <w:tc>
          <w:tcPr>
            <w:tcW w:w="488" w:type="pct"/>
            <w:tcBorders>
              <w:top w:val="nil"/>
              <w:left w:val="nil"/>
              <w:bottom w:val="nil"/>
              <w:right w:val="nil"/>
            </w:tcBorders>
            <w:shd w:val="clear" w:color="auto" w:fill="auto"/>
            <w:vAlign w:val="center"/>
          </w:tcPr>
          <w:p w14:paraId="1C890EFF" w14:textId="5E6A9D1B"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13.470</w:t>
            </w:r>
          </w:p>
        </w:tc>
        <w:tc>
          <w:tcPr>
            <w:tcW w:w="488" w:type="pct"/>
            <w:tcBorders>
              <w:top w:val="nil"/>
              <w:left w:val="nil"/>
              <w:bottom w:val="nil"/>
              <w:right w:val="nil"/>
            </w:tcBorders>
            <w:shd w:val="clear" w:color="auto" w:fill="auto"/>
            <w:vAlign w:val="center"/>
          </w:tcPr>
          <w:p w14:paraId="511114A4" w14:textId="0560B7EB"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25.985</w:t>
            </w:r>
          </w:p>
        </w:tc>
        <w:tc>
          <w:tcPr>
            <w:tcW w:w="488" w:type="pct"/>
            <w:tcBorders>
              <w:top w:val="nil"/>
              <w:left w:val="nil"/>
              <w:bottom w:val="nil"/>
              <w:right w:val="nil"/>
            </w:tcBorders>
            <w:shd w:val="clear" w:color="auto" w:fill="auto"/>
            <w:vAlign w:val="center"/>
            <w:hideMark/>
          </w:tcPr>
          <w:p w14:paraId="1751C6C6" w14:textId="0B234C10"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10.053</w:t>
            </w:r>
          </w:p>
        </w:tc>
        <w:tc>
          <w:tcPr>
            <w:tcW w:w="488" w:type="pct"/>
            <w:tcBorders>
              <w:top w:val="nil"/>
              <w:left w:val="nil"/>
              <w:bottom w:val="nil"/>
              <w:right w:val="nil"/>
            </w:tcBorders>
            <w:shd w:val="clear" w:color="auto" w:fill="auto"/>
            <w:noWrap/>
            <w:vAlign w:val="center"/>
            <w:hideMark/>
          </w:tcPr>
          <w:p w14:paraId="374362B0" w14:textId="2FA6A359"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18.638</w:t>
            </w:r>
          </w:p>
        </w:tc>
      </w:tr>
      <w:tr w:rsidR="00215328" w:rsidRPr="00F31958" w14:paraId="0E3A7D1A" w14:textId="77777777" w:rsidTr="00312975">
        <w:trPr>
          <w:trHeight w:val="285"/>
        </w:trPr>
        <w:tc>
          <w:tcPr>
            <w:tcW w:w="1096" w:type="pct"/>
            <w:tcBorders>
              <w:top w:val="nil"/>
              <w:left w:val="nil"/>
              <w:bottom w:val="nil"/>
              <w:right w:val="nil"/>
            </w:tcBorders>
            <w:shd w:val="clear" w:color="auto" w:fill="auto"/>
            <w:vAlign w:val="center"/>
            <w:hideMark/>
          </w:tcPr>
          <w:p w14:paraId="0887947B" w14:textId="77777777" w:rsidR="00215328" w:rsidRPr="00F31958" w:rsidRDefault="00215328" w:rsidP="00215328">
            <w:pPr>
              <w:spacing w:after="0" w:line="240" w:lineRule="auto"/>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Strane pravne osobe</w:t>
            </w:r>
          </w:p>
        </w:tc>
        <w:tc>
          <w:tcPr>
            <w:tcW w:w="488" w:type="pct"/>
            <w:tcBorders>
              <w:top w:val="nil"/>
              <w:left w:val="nil"/>
              <w:bottom w:val="nil"/>
              <w:right w:val="nil"/>
            </w:tcBorders>
            <w:shd w:val="clear" w:color="auto" w:fill="auto"/>
            <w:vAlign w:val="center"/>
          </w:tcPr>
          <w:p w14:paraId="5457F837" w14:textId="65C474AF"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3.223</w:t>
            </w:r>
          </w:p>
        </w:tc>
        <w:tc>
          <w:tcPr>
            <w:tcW w:w="488" w:type="pct"/>
            <w:tcBorders>
              <w:top w:val="nil"/>
              <w:left w:val="nil"/>
              <w:bottom w:val="nil"/>
              <w:right w:val="nil"/>
            </w:tcBorders>
            <w:shd w:val="clear" w:color="auto" w:fill="auto"/>
            <w:vAlign w:val="center"/>
          </w:tcPr>
          <w:p w14:paraId="4DDA4566" w14:textId="0807E219"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6.509</w:t>
            </w:r>
          </w:p>
        </w:tc>
        <w:tc>
          <w:tcPr>
            <w:tcW w:w="488" w:type="pct"/>
            <w:tcBorders>
              <w:top w:val="nil"/>
              <w:left w:val="nil"/>
              <w:bottom w:val="nil"/>
              <w:right w:val="nil"/>
            </w:tcBorders>
            <w:shd w:val="clear" w:color="auto" w:fill="auto"/>
            <w:vAlign w:val="center"/>
            <w:hideMark/>
          </w:tcPr>
          <w:p w14:paraId="49A537B7" w14:textId="5D7814D2"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3.271</w:t>
            </w:r>
          </w:p>
        </w:tc>
        <w:tc>
          <w:tcPr>
            <w:tcW w:w="488" w:type="pct"/>
            <w:tcBorders>
              <w:top w:val="nil"/>
              <w:left w:val="nil"/>
              <w:bottom w:val="nil"/>
              <w:right w:val="nil"/>
            </w:tcBorders>
            <w:shd w:val="clear" w:color="auto" w:fill="auto"/>
            <w:vAlign w:val="center"/>
            <w:hideMark/>
          </w:tcPr>
          <w:p w14:paraId="62574344" w14:textId="094B6926"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6.394</w:t>
            </w:r>
          </w:p>
        </w:tc>
        <w:tc>
          <w:tcPr>
            <w:tcW w:w="488" w:type="pct"/>
            <w:tcBorders>
              <w:top w:val="nil"/>
              <w:left w:val="nil"/>
              <w:bottom w:val="nil"/>
              <w:right w:val="nil"/>
            </w:tcBorders>
            <w:shd w:val="clear" w:color="auto" w:fill="auto"/>
            <w:vAlign w:val="center"/>
          </w:tcPr>
          <w:p w14:paraId="48BC7519" w14:textId="61F3803E"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3.223</w:t>
            </w:r>
          </w:p>
        </w:tc>
        <w:tc>
          <w:tcPr>
            <w:tcW w:w="488" w:type="pct"/>
            <w:tcBorders>
              <w:top w:val="nil"/>
              <w:left w:val="nil"/>
              <w:bottom w:val="nil"/>
              <w:right w:val="nil"/>
            </w:tcBorders>
            <w:shd w:val="clear" w:color="auto" w:fill="auto"/>
            <w:vAlign w:val="center"/>
          </w:tcPr>
          <w:p w14:paraId="00E5216B" w14:textId="2CF87D82"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6.509</w:t>
            </w:r>
          </w:p>
        </w:tc>
        <w:tc>
          <w:tcPr>
            <w:tcW w:w="488" w:type="pct"/>
            <w:tcBorders>
              <w:top w:val="nil"/>
              <w:left w:val="nil"/>
              <w:bottom w:val="nil"/>
              <w:right w:val="nil"/>
            </w:tcBorders>
            <w:shd w:val="clear" w:color="auto" w:fill="auto"/>
            <w:vAlign w:val="center"/>
            <w:hideMark/>
          </w:tcPr>
          <w:p w14:paraId="713FB779" w14:textId="62EC9FC7"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3.271</w:t>
            </w:r>
          </w:p>
        </w:tc>
        <w:tc>
          <w:tcPr>
            <w:tcW w:w="488" w:type="pct"/>
            <w:tcBorders>
              <w:top w:val="nil"/>
              <w:left w:val="nil"/>
              <w:bottom w:val="nil"/>
              <w:right w:val="nil"/>
            </w:tcBorders>
            <w:shd w:val="clear" w:color="auto" w:fill="auto"/>
            <w:noWrap/>
            <w:vAlign w:val="center"/>
            <w:hideMark/>
          </w:tcPr>
          <w:p w14:paraId="346E803D" w14:textId="4E93AE05"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6.394</w:t>
            </w:r>
          </w:p>
        </w:tc>
      </w:tr>
      <w:tr w:rsidR="00215328" w:rsidRPr="00F31958" w14:paraId="6FC4C01D" w14:textId="77777777" w:rsidTr="00312975">
        <w:trPr>
          <w:trHeight w:val="285"/>
        </w:trPr>
        <w:tc>
          <w:tcPr>
            <w:tcW w:w="1096" w:type="pct"/>
            <w:tcBorders>
              <w:top w:val="nil"/>
              <w:left w:val="nil"/>
              <w:bottom w:val="nil"/>
              <w:right w:val="nil"/>
            </w:tcBorders>
            <w:shd w:val="clear" w:color="auto" w:fill="auto"/>
            <w:vAlign w:val="center"/>
            <w:hideMark/>
          </w:tcPr>
          <w:p w14:paraId="74DE1939" w14:textId="77777777" w:rsidR="00215328" w:rsidRPr="00F31958" w:rsidRDefault="00215328" w:rsidP="00215328">
            <w:pPr>
              <w:spacing w:after="0" w:line="240" w:lineRule="auto"/>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Domaća trgovačka društva</w:t>
            </w:r>
          </w:p>
        </w:tc>
        <w:tc>
          <w:tcPr>
            <w:tcW w:w="488" w:type="pct"/>
            <w:tcBorders>
              <w:top w:val="nil"/>
              <w:left w:val="nil"/>
              <w:bottom w:val="nil"/>
              <w:right w:val="nil"/>
            </w:tcBorders>
            <w:shd w:val="clear" w:color="auto" w:fill="auto"/>
            <w:vAlign w:val="center"/>
          </w:tcPr>
          <w:p w14:paraId="077A8431" w14:textId="2A1A71F2"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94.817</w:t>
            </w:r>
          </w:p>
        </w:tc>
        <w:tc>
          <w:tcPr>
            <w:tcW w:w="488" w:type="pct"/>
            <w:tcBorders>
              <w:top w:val="nil"/>
              <w:left w:val="nil"/>
              <w:bottom w:val="nil"/>
              <w:right w:val="nil"/>
            </w:tcBorders>
            <w:shd w:val="clear" w:color="auto" w:fill="auto"/>
            <w:vAlign w:val="center"/>
          </w:tcPr>
          <w:p w14:paraId="022DEF3F" w14:textId="6F0C5728"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186.462</w:t>
            </w:r>
          </w:p>
        </w:tc>
        <w:tc>
          <w:tcPr>
            <w:tcW w:w="488" w:type="pct"/>
            <w:tcBorders>
              <w:top w:val="nil"/>
              <w:left w:val="nil"/>
              <w:bottom w:val="nil"/>
              <w:right w:val="nil"/>
            </w:tcBorders>
            <w:shd w:val="clear" w:color="auto" w:fill="auto"/>
            <w:vAlign w:val="center"/>
            <w:hideMark/>
          </w:tcPr>
          <w:p w14:paraId="373FF424" w14:textId="7BC0DADA"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81.370</w:t>
            </w:r>
          </w:p>
        </w:tc>
        <w:tc>
          <w:tcPr>
            <w:tcW w:w="488" w:type="pct"/>
            <w:tcBorders>
              <w:top w:val="nil"/>
              <w:left w:val="nil"/>
              <w:bottom w:val="nil"/>
              <w:right w:val="nil"/>
            </w:tcBorders>
            <w:shd w:val="clear" w:color="auto" w:fill="auto"/>
            <w:vAlign w:val="center"/>
            <w:hideMark/>
          </w:tcPr>
          <w:p w14:paraId="2B85E206" w14:textId="70AC63AB"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162.108</w:t>
            </w:r>
          </w:p>
        </w:tc>
        <w:tc>
          <w:tcPr>
            <w:tcW w:w="488" w:type="pct"/>
            <w:tcBorders>
              <w:top w:val="nil"/>
              <w:left w:val="nil"/>
              <w:bottom w:val="nil"/>
              <w:right w:val="nil"/>
            </w:tcBorders>
            <w:shd w:val="clear" w:color="auto" w:fill="auto"/>
            <w:vAlign w:val="center"/>
          </w:tcPr>
          <w:p w14:paraId="4A3CBB99" w14:textId="6F123E25"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94.817</w:t>
            </w:r>
          </w:p>
        </w:tc>
        <w:tc>
          <w:tcPr>
            <w:tcW w:w="488" w:type="pct"/>
            <w:tcBorders>
              <w:top w:val="nil"/>
              <w:left w:val="nil"/>
              <w:bottom w:val="nil"/>
              <w:right w:val="nil"/>
            </w:tcBorders>
            <w:shd w:val="clear" w:color="auto" w:fill="auto"/>
            <w:vAlign w:val="center"/>
          </w:tcPr>
          <w:p w14:paraId="16F5B7FF" w14:textId="379FE29C"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186.462</w:t>
            </w:r>
          </w:p>
        </w:tc>
        <w:tc>
          <w:tcPr>
            <w:tcW w:w="488" w:type="pct"/>
            <w:tcBorders>
              <w:top w:val="nil"/>
              <w:left w:val="nil"/>
              <w:bottom w:val="nil"/>
              <w:right w:val="nil"/>
            </w:tcBorders>
            <w:shd w:val="clear" w:color="auto" w:fill="auto"/>
            <w:vAlign w:val="center"/>
            <w:hideMark/>
          </w:tcPr>
          <w:p w14:paraId="6BA07C30" w14:textId="023E4ECA"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81.370</w:t>
            </w:r>
          </w:p>
        </w:tc>
        <w:tc>
          <w:tcPr>
            <w:tcW w:w="488" w:type="pct"/>
            <w:tcBorders>
              <w:top w:val="nil"/>
              <w:left w:val="nil"/>
              <w:bottom w:val="nil"/>
              <w:right w:val="nil"/>
            </w:tcBorders>
            <w:shd w:val="clear" w:color="auto" w:fill="auto"/>
            <w:noWrap/>
            <w:vAlign w:val="center"/>
            <w:hideMark/>
          </w:tcPr>
          <w:p w14:paraId="06C93361" w14:textId="4F0420A1"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162.108</w:t>
            </w:r>
          </w:p>
        </w:tc>
      </w:tr>
      <w:tr w:rsidR="00215328" w:rsidRPr="00F31958" w14:paraId="336C34FA" w14:textId="77777777" w:rsidTr="00312975">
        <w:trPr>
          <w:trHeight w:val="285"/>
        </w:trPr>
        <w:tc>
          <w:tcPr>
            <w:tcW w:w="1096" w:type="pct"/>
            <w:tcBorders>
              <w:top w:val="nil"/>
              <w:left w:val="nil"/>
              <w:bottom w:val="nil"/>
              <w:right w:val="nil"/>
            </w:tcBorders>
            <w:shd w:val="clear" w:color="auto" w:fill="auto"/>
            <w:vAlign w:val="center"/>
            <w:hideMark/>
          </w:tcPr>
          <w:p w14:paraId="6A0B1B5C" w14:textId="77777777" w:rsidR="00215328" w:rsidRPr="00F31958" w:rsidRDefault="00215328" w:rsidP="00215328">
            <w:pPr>
              <w:spacing w:after="0" w:line="240" w:lineRule="auto"/>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Domaće financijske institucije</w:t>
            </w:r>
          </w:p>
        </w:tc>
        <w:tc>
          <w:tcPr>
            <w:tcW w:w="488" w:type="pct"/>
            <w:tcBorders>
              <w:top w:val="nil"/>
              <w:left w:val="nil"/>
              <w:bottom w:val="nil"/>
              <w:right w:val="nil"/>
            </w:tcBorders>
            <w:shd w:val="clear" w:color="auto" w:fill="auto"/>
            <w:vAlign w:val="center"/>
          </w:tcPr>
          <w:p w14:paraId="472577F5" w14:textId="2BF6CFB9"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61.107</w:t>
            </w:r>
          </w:p>
        </w:tc>
        <w:tc>
          <w:tcPr>
            <w:tcW w:w="488" w:type="pct"/>
            <w:tcBorders>
              <w:top w:val="nil"/>
              <w:left w:val="nil"/>
              <w:bottom w:val="nil"/>
              <w:right w:val="nil"/>
            </w:tcBorders>
            <w:shd w:val="clear" w:color="auto" w:fill="auto"/>
            <w:vAlign w:val="center"/>
          </w:tcPr>
          <w:p w14:paraId="0377BC30" w14:textId="435475F5"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125.822</w:t>
            </w:r>
          </w:p>
        </w:tc>
        <w:tc>
          <w:tcPr>
            <w:tcW w:w="488" w:type="pct"/>
            <w:tcBorders>
              <w:top w:val="nil"/>
              <w:left w:val="nil"/>
              <w:bottom w:val="nil"/>
              <w:right w:val="nil"/>
            </w:tcBorders>
            <w:shd w:val="clear" w:color="auto" w:fill="auto"/>
            <w:vAlign w:val="center"/>
            <w:hideMark/>
          </w:tcPr>
          <w:p w14:paraId="237B2A2C" w14:textId="4A91DCA9"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70.720</w:t>
            </w:r>
          </w:p>
        </w:tc>
        <w:tc>
          <w:tcPr>
            <w:tcW w:w="488" w:type="pct"/>
            <w:tcBorders>
              <w:top w:val="nil"/>
              <w:left w:val="nil"/>
              <w:bottom w:val="nil"/>
              <w:right w:val="nil"/>
            </w:tcBorders>
            <w:shd w:val="clear" w:color="auto" w:fill="auto"/>
            <w:vAlign w:val="center"/>
            <w:hideMark/>
          </w:tcPr>
          <w:p w14:paraId="470D9E52" w14:textId="00AE1A54"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145.547</w:t>
            </w:r>
          </w:p>
        </w:tc>
        <w:tc>
          <w:tcPr>
            <w:tcW w:w="488" w:type="pct"/>
            <w:tcBorders>
              <w:top w:val="nil"/>
              <w:left w:val="nil"/>
              <w:bottom w:val="nil"/>
              <w:right w:val="nil"/>
            </w:tcBorders>
            <w:shd w:val="clear" w:color="auto" w:fill="auto"/>
            <w:vAlign w:val="center"/>
          </w:tcPr>
          <w:p w14:paraId="707F7C70" w14:textId="32F1190E"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61.107</w:t>
            </w:r>
          </w:p>
        </w:tc>
        <w:tc>
          <w:tcPr>
            <w:tcW w:w="488" w:type="pct"/>
            <w:tcBorders>
              <w:top w:val="nil"/>
              <w:left w:val="nil"/>
              <w:bottom w:val="nil"/>
              <w:right w:val="nil"/>
            </w:tcBorders>
            <w:shd w:val="clear" w:color="auto" w:fill="auto"/>
            <w:vAlign w:val="center"/>
          </w:tcPr>
          <w:p w14:paraId="65D5CDEB" w14:textId="2A7ECCFC"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125.822</w:t>
            </w:r>
          </w:p>
        </w:tc>
        <w:tc>
          <w:tcPr>
            <w:tcW w:w="488" w:type="pct"/>
            <w:tcBorders>
              <w:top w:val="nil"/>
              <w:left w:val="nil"/>
              <w:bottom w:val="nil"/>
              <w:right w:val="nil"/>
            </w:tcBorders>
            <w:shd w:val="clear" w:color="auto" w:fill="auto"/>
            <w:vAlign w:val="center"/>
            <w:hideMark/>
          </w:tcPr>
          <w:p w14:paraId="5649ACAD" w14:textId="6D139C92"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70.696</w:t>
            </w:r>
          </w:p>
        </w:tc>
        <w:tc>
          <w:tcPr>
            <w:tcW w:w="488" w:type="pct"/>
            <w:tcBorders>
              <w:top w:val="nil"/>
              <w:left w:val="nil"/>
              <w:bottom w:val="nil"/>
              <w:right w:val="nil"/>
            </w:tcBorders>
            <w:shd w:val="clear" w:color="auto" w:fill="auto"/>
            <w:noWrap/>
            <w:vAlign w:val="center"/>
            <w:hideMark/>
          </w:tcPr>
          <w:p w14:paraId="63724FCC" w14:textId="23387D9F"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145.496</w:t>
            </w:r>
          </w:p>
        </w:tc>
      </w:tr>
      <w:tr w:rsidR="00215328" w:rsidRPr="00F31958" w14:paraId="7808DFF4" w14:textId="77777777" w:rsidTr="00312975">
        <w:trPr>
          <w:trHeight w:val="285"/>
        </w:trPr>
        <w:tc>
          <w:tcPr>
            <w:tcW w:w="1096" w:type="pct"/>
            <w:tcBorders>
              <w:top w:val="nil"/>
              <w:left w:val="nil"/>
              <w:bottom w:val="nil"/>
              <w:right w:val="nil"/>
            </w:tcBorders>
            <w:shd w:val="clear" w:color="auto" w:fill="auto"/>
            <w:vAlign w:val="center"/>
            <w:hideMark/>
          </w:tcPr>
          <w:p w14:paraId="59393BED" w14:textId="77777777" w:rsidR="00215328" w:rsidRPr="00F31958" w:rsidRDefault="00215328" w:rsidP="00215328">
            <w:pPr>
              <w:spacing w:after="0" w:line="240" w:lineRule="auto"/>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Inozemne financijske institucije</w:t>
            </w:r>
          </w:p>
        </w:tc>
        <w:tc>
          <w:tcPr>
            <w:tcW w:w="488" w:type="pct"/>
            <w:tcBorders>
              <w:top w:val="nil"/>
              <w:left w:val="nil"/>
              <w:bottom w:val="nil"/>
              <w:right w:val="nil"/>
            </w:tcBorders>
            <w:shd w:val="clear" w:color="auto" w:fill="auto"/>
            <w:vAlign w:val="center"/>
          </w:tcPr>
          <w:p w14:paraId="03BCDC87" w14:textId="077D373A"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38</w:t>
            </w:r>
          </w:p>
        </w:tc>
        <w:tc>
          <w:tcPr>
            <w:tcW w:w="488" w:type="pct"/>
            <w:tcBorders>
              <w:top w:val="nil"/>
              <w:left w:val="nil"/>
              <w:bottom w:val="nil"/>
              <w:right w:val="nil"/>
            </w:tcBorders>
            <w:shd w:val="clear" w:color="auto" w:fill="auto"/>
            <w:vAlign w:val="center"/>
          </w:tcPr>
          <w:p w14:paraId="7F64C9F5" w14:textId="5C177B99"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173</w:t>
            </w:r>
          </w:p>
        </w:tc>
        <w:tc>
          <w:tcPr>
            <w:tcW w:w="488" w:type="pct"/>
            <w:tcBorders>
              <w:top w:val="nil"/>
              <w:left w:val="nil"/>
              <w:bottom w:val="nil"/>
              <w:right w:val="nil"/>
            </w:tcBorders>
            <w:shd w:val="clear" w:color="auto" w:fill="auto"/>
            <w:vAlign w:val="center"/>
            <w:hideMark/>
          </w:tcPr>
          <w:p w14:paraId="58A4AE91" w14:textId="2CEEA782"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42</w:t>
            </w:r>
          </w:p>
        </w:tc>
        <w:tc>
          <w:tcPr>
            <w:tcW w:w="488" w:type="pct"/>
            <w:tcBorders>
              <w:top w:val="nil"/>
              <w:left w:val="nil"/>
              <w:bottom w:val="nil"/>
              <w:right w:val="nil"/>
            </w:tcBorders>
            <w:shd w:val="clear" w:color="auto" w:fill="auto"/>
            <w:vAlign w:val="center"/>
            <w:hideMark/>
          </w:tcPr>
          <w:p w14:paraId="40C9E68A" w14:textId="50E97283"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63</w:t>
            </w:r>
          </w:p>
        </w:tc>
        <w:tc>
          <w:tcPr>
            <w:tcW w:w="488" w:type="pct"/>
            <w:tcBorders>
              <w:top w:val="nil"/>
              <w:left w:val="nil"/>
              <w:bottom w:val="nil"/>
              <w:right w:val="nil"/>
            </w:tcBorders>
            <w:shd w:val="clear" w:color="auto" w:fill="auto"/>
            <w:vAlign w:val="center"/>
          </w:tcPr>
          <w:p w14:paraId="1C9E0B42" w14:textId="11832B37"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38</w:t>
            </w:r>
          </w:p>
        </w:tc>
        <w:tc>
          <w:tcPr>
            <w:tcW w:w="488" w:type="pct"/>
            <w:tcBorders>
              <w:top w:val="nil"/>
              <w:left w:val="nil"/>
              <w:bottom w:val="nil"/>
              <w:right w:val="nil"/>
            </w:tcBorders>
            <w:shd w:val="clear" w:color="auto" w:fill="auto"/>
            <w:vAlign w:val="center"/>
          </w:tcPr>
          <w:p w14:paraId="7622B59F" w14:textId="62D3D9B1"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173</w:t>
            </w:r>
          </w:p>
        </w:tc>
        <w:tc>
          <w:tcPr>
            <w:tcW w:w="488" w:type="pct"/>
            <w:tcBorders>
              <w:top w:val="nil"/>
              <w:left w:val="nil"/>
              <w:bottom w:val="nil"/>
              <w:right w:val="nil"/>
            </w:tcBorders>
            <w:shd w:val="clear" w:color="auto" w:fill="auto"/>
            <w:vAlign w:val="center"/>
            <w:hideMark/>
          </w:tcPr>
          <w:p w14:paraId="2C9E7C04" w14:textId="05F91871"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42</w:t>
            </w:r>
          </w:p>
        </w:tc>
        <w:tc>
          <w:tcPr>
            <w:tcW w:w="488" w:type="pct"/>
            <w:tcBorders>
              <w:top w:val="nil"/>
              <w:left w:val="nil"/>
              <w:bottom w:val="nil"/>
              <w:right w:val="nil"/>
            </w:tcBorders>
            <w:shd w:val="clear" w:color="auto" w:fill="auto"/>
            <w:vAlign w:val="center"/>
            <w:hideMark/>
          </w:tcPr>
          <w:p w14:paraId="5708649E" w14:textId="5BDD8BF6"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63</w:t>
            </w:r>
          </w:p>
        </w:tc>
      </w:tr>
      <w:tr w:rsidR="00215328" w:rsidRPr="00F31958" w14:paraId="549F10DB" w14:textId="77777777" w:rsidTr="00312975">
        <w:trPr>
          <w:trHeight w:val="285"/>
        </w:trPr>
        <w:tc>
          <w:tcPr>
            <w:tcW w:w="1096" w:type="pct"/>
            <w:tcBorders>
              <w:top w:val="nil"/>
              <w:left w:val="nil"/>
              <w:bottom w:val="nil"/>
              <w:right w:val="nil"/>
            </w:tcBorders>
            <w:shd w:val="clear" w:color="auto" w:fill="auto"/>
            <w:vAlign w:val="center"/>
            <w:hideMark/>
          </w:tcPr>
          <w:p w14:paraId="07849CB0" w14:textId="77777777" w:rsidR="00215328" w:rsidRPr="00F31958" w:rsidRDefault="00215328" w:rsidP="00215328">
            <w:pPr>
              <w:spacing w:after="0" w:line="240" w:lineRule="auto"/>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Zatezne kamate</w:t>
            </w:r>
          </w:p>
        </w:tc>
        <w:tc>
          <w:tcPr>
            <w:tcW w:w="488" w:type="pct"/>
            <w:tcBorders>
              <w:top w:val="nil"/>
              <w:left w:val="nil"/>
              <w:bottom w:val="nil"/>
              <w:right w:val="nil"/>
            </w:tcBorders>
            <w:shd w:val="clear" w:color="auto" w:fill="auto"/>
            <w:vAlign w:val="center"/>
          </w:tcPr>
          <w:p w14:paraId="057BC7F5" w14:textId="0712D61B"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1.922</w:t>
            </w:r>
          </w:p>
        </w:tc>
        <w:tc>
          <w:tcPr>
            <w:tcW w:w="488" w:type="pct"/>
            <w:tcBorders>
              <w:top w:val="nil"/>
              <w:left w:val="nil"/>
              <w:bottom w:val="nil"/>
              <w:right w:val="nil"/>
            </w:tcBorders>
            <w:shd w:val="clear" w:color="auto" w:fill="auto"/>
            <w:vAlign w:val="center"/>
          </w:tcPr>
          <w:p w14:paraId="78B2C86F" w14:textId="401D7F8B"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4.157</w:t>
            </w:r>
          </w:p>
        </w:tc>
        <w:tc>
          <w:tcPr>
            <w:tcW w:w="488" w:type="pct"/>
            <w:tcBorders>
              <w:top w:val="nil"/>
              <w:left w:val="nil"/>
              <w:bottom w:val="nil"/>
              <w:right w:val="nil"/>
            </w:tcBorders>
            <w:shd w:val="clear" w:color="auto" w:fill="auto"/>
            <w:vAlign w:val="center"/>
            <w:hideMark/>
          </w:tcPr>
          <w:p w14:paraId="7DC040A2" w14:textId="364D2262"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3.173</w:t>
            </w:r>
          </w:p>
        </w:tc>
        <w:tc>
          <w:tcPr>
            <w:tcW w:w="488" w:type="pct"/>
            <w:tcBorders>
              <w:top w:val="nil"/>
              <w:left w:val="nil"/>
              <w:bottom w:val="nil"/>
              <w:right w:val="nil"/>
            </w:tcBorders>
            <w:shd w:val="clear" w:color="auto" w:fill="auto"/>
            <w:vAlign w:val="center"/>
            <w:hideMark/>
          </w:tcPr>
          <w:p w14:paraId="537C7FDC" w14:textId="7DB690DD"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6.340</w:t>
            </w:r>
          </w:p>
        </w:tc>
        <w:tc>
          <w:tcPr>
            <w:tcW w:w="488" w:type="pct"/>
            <w:tcBorders>
              <w:top w:val="nil"/>
              <w:left w:val="nil"/>
              <w:bottom w:val="nil"/>
              <w:right w:val="nil"/>
            </w:tcBorders>
            <w:shd w:val="clear" w:color="auto" w:fill="auto"/>
            <w:vAlign w:val="center"/>
          </w:tcPr>
          <w:p w14:paraId="6A42023F" w14:textId="35293CCB"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1.922</w:t>
            </w:r>
          </w:p>
        </w:tc>
        <w:tc>
          <w:tcPr>
            <w:tcW w:w="488" w:type="pct"/>
            <w:tcBorders>
              <w:top w:val="nil"/>
              <w:left w:val="nil"/>
              <w:bottom w:val="nil"/>
              <w:right w:val="nil"/>
            </w:tcBorders>
            <w:shd w:val="clear" w:color="auto" w:fill="auto"/>
            <w:vAlign w:val="center"/>
          </w:tcPr>
          <w:p w14:paraId="015D173D" w14:textId="58824A65"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4.157</w:t>
            </w:r>
          </w:p>
        </w:tc>
        <w:tc>
          <w:tcPr>
            <w:tcW w:w="488" w:type="pct"/>
            <w:tcBorders>
              <w:top w:val="nil"/>
              <w:left w:val="nil"/>
              <w:bottom w:val="nil"/>
              <w:right w:val="nil"/>
            </w:tcBorders>
            <w:shd w:val="clear" w:color="auto" w:fill="auto"/>
            <w:vAlign w:val="center"/>
            <w:hideMark/>
          </w:tcPr>
          <w:p w14:paraId="6B51254C" w14:textId="453DE5A3"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3.173</w:t>
            </w:r>
          </w:p>
        </w:tc>
        <w:tc>
          <w:tcPr>
            <w:tcW w:w="488" w:type="pct"/>
            <w:tcBorders>
              <w:top w:val="nil"/>
              <w:left w:val="nil"/>
              <w:bottom w:val="nil"/>
              <w:right w:val="nil"/>
            </w:tcBorders>
            <w:shd w:val="clear" w:color="auto" w:fill="auto"/>
            <w:noWrap/>
            <w:vAlign w:val="center"/>
            <w:hideMark/>
          </w:tcPr>
          <w:p w14:paraId="2310BFE9" w14:textId="6CA7CD6B"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6.340</w:t>
            </w:r>
          </w:p>
        </w:tc>
      </w:tr>
      <w:tr w:rsidR="00215328" w:rsidRPr="00F31958" w14:paraId="46879D81" w14:textId="77777777" w:rsidTr="00312975">
        <w:trPr>
          <w:trHeight w:val="285"/>
        </w:trPr>
        <w:tc>
          <w:tcPr>
            <w:tcW w:w="1096" w:type="pct"/>
            <w:tcBorders>
              <w:top w:val="nil"/>
              <w:left w:val="nil"/>
              <w:bottom w:val="nil"/>
              <w:right w:val="nil"/>
            </w:tcBorders>
            <w:shd w:val="clear" w:color="auto" w:fill="auto"/>
            <w:vAlign w:val="center"/>
            <w:hideMark/>
          </w:tcPr>
          <w:p w14:paraId="755678C6" w14:textId="77777777" w:rsidR="00215328" w:rsidRPr="00F31958" w:rsidRDefault="00215328" w:rsidP="00215328">
            <w:pPr>
              <w:spacing w:after="0" w:line="240" w:lineRule="auto"/>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Ostalo</w:t>
            </w:r>
          </w:p>
        </w:tc>
        <w:tc>
          <w:tcPr>
            <w:tcW w:w="488" w:type="pct"/>
            <w:tcBorders>
              <w:top w:val="nil"/>
              <w:left w:val="nil"/>
              <w:bottom w:val="nil"/>
              <w:right w:val="nil"/>
            </w:tcBorders>
            <w:shd w:val="clear" w:color="auto" w:fill="auto"/>
            <w:vAlign w:val="center"/>
          </w:tcPr>
          <w:p w14:paraId="11642E42" w14:textId="69A76269"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10.910</w:t>
            </w:r>
          </w:p>
        </w:tc>
        <w:tc>
          <w:tcPr>
            <w:tcW w:w="488" w:type="pct"/>
            <w:tcBorders>
              <w:top w:val="nil"/>
              <w:left w:val="nil"/>
              <w:bottom w:val="nil"/>
              <w:right w:val="nil"/>
            </w:tcBorders>
            <w:shd w:val="clear" w:color="auto" w:fill="auto"/>
            <w:vAlign w:val="center"/>
          </w:tcPr>
          <w:p w14:paraId="4B4F43DC" w14:textId="528128DC"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47.355</w:t>
            </w:r>
          </w:p>
        </w:tc>
        <w:tc>
          <w:tcPr>
            <w:tcW w:w="488" w:type="pct"/>
            <w:tcBorders>
              <w:top w:val="nil"/>
              <w:left w:val="nil"/>
              <w:bottom w:val="nil"/>
              <w:right w:val="nil"/>
            </w:tcBorders>
            <w:shd w:val="clear" w:color="auto" w:fill="auto"/>
            <w:vAlign w:val="center"/>
            <w:hideMark/>
          </w:tcPr>
          <w:p w14:paraId="3AEB3D5E" w14:textId="41AD8FB4"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13.303</w:t>
            </w:r>
          </w:p>
        </w:tc>
        <w:tc>
          <w:tcPr>
            <w:tcW w:w="488" w:type="pct"/>
            <w:tcBorders>
              <w:top w:val="nil"/>
              <w:left w:val="nil"/>
              <w:bottom w:val="nil"/>
              <w:right w:val="nil"/>
            </w:tcBorders>
            <w:shd w:val="clear" w:color="auto" w:fill="auto"/>
            <w:vAlign w:val="center"/>
            <w:hideMark/>
          </w:tcPr>
          <w:p w14:paraId="6D9E0EF2" w14:textId="47782E71"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29.018</w:t>
            </w:r>
          </w:p>
        </w:tc>
        <w:tc>
          <w:tcPr>
            <w:tcW w:w="488" w:type="pct"/>
            <w:tcBorders>
              <w:top w:val="nil"/>
              <w:left w:val="nil"/>
              <w:bottom w:val="nil"/>
              <w:right w:val="nil"/>
            </w:tcBorders>
            <w:shd w:val="clear" w:color="auto" w:fill="auto"/>
            <w:vAlign w:val="center"/>
          </w:tcPr>
          <w:p w14:paraId="63B044E9" w14:textId="62CC3303"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10.910</w:t>
            </w:r>
          </w:p>
        </w:tc>
        <w:tc>
          <w:tcPr>
            <w:tcW w:w="488" w:type="pct"/>
            <w:tcBorders>
              <w:top w:val="nil"/>
              <w:left w:val="nil"/>
              <w:bottom w:val="nil"/>
              <w:right w:val="nil"/>
            </w:tcBorders>
            <w:shd w:val="clear" w:color="auto" w:fill="auto"/>
            <w:vAlign w:val="center"/>
          </w:tcPr>
          <w:p w14:paraId="7C50872B" w14:textId="7FE6CE5F" w:rsidR="00215328" w:rsidRPr="00F31958" w:rsidRDefault="00CE5065" w:rsidP="00215328">
            <w:pPr>
              <w:spacing w:after="0" w:line="240" w:lineRule="auto"/>
              <w:jc w:val="right"/>
              <w:rPr>
                <w:rFonts w:ascii="Calibri" w:eastAsia="Times New Roman" w:hAnsi="Calibri" w:cs="Times New Roman"/>
                <w:color w:val="000000"/>
                <w:sz w:val="20"/>
                <w:szCs w:val="20"/>
                <w:lang w:eastAsia="hr-HR"/>
              </w:rPr>
            </w:pPr>
            <w:r w:rsidRPr="00CE5065">
              <w:rPr>
                <w:rFonts w:ascii="Calibri" w:eastAsia="Times New Roman" w:hAnsi="Calibri" w:cs="Times New Roman"/>
                <w:color w:val="000000"/>
                <w:sz w:val="20"/>
                <w:szCs w:val="20"/>
                <w:lang w:eastAsia="hr-HR"/>
              </w:rPr>
              <w:t>47.355</w:t>
            </w:r>
          </w:p>
        </w:tc>
        <w:tc>
          <w:tcPr>
            <w:tcW w:w="488" w:type="pct"/>
            <w:tcBorders>
              <w:top w:val="nil"/>
              <w:left w:val="nil"/>
              <w:bottom w:val="nil"/>
              <w:right w:val="nil"/>
            </w:tcBorders>
            <w:shd w:val="clear" w:color="auto" w:fill="auto"/>
            <w:vAlign w:val="center"/>
            <w:hideMark/>
          </w:tcPr>
          <w:p w14:paraId="385E655F" w14:textId="64D21546"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13.303</w:t>
            </w:r>
          </w:p>
        </w:tc>
        <w:tc>
          <w:tcPr>
            <w:tcW w:w="488" w:type="pct"/>
            <w:tcBorders>
              <w:top w:val="nil"/>
              <w:left w:val="nil"/>
              <w:bottom w:val="nil"/>
              <w:right w:val="nil"/>
            </w:tcBorders>
            <w:shd w:val="clear" w:color="auto" w:fill="auto"/>
            <w:noWrap/>
            <w:vAlign w:val="center"/>
            <w:hideMark/>
          </w:tcPr>
          <w:p w14:paraId="1863C4F5" w14:textId="5A2B1B7E"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r w:rsidRPr="00F31958">
              <w:rPr>
                <w:rFonts w:ascii="Calibri" w:eastAsia="Times New Roman" w:hAnsi="Calibri" w:cs="Times New Roman"/>
                <w:color w:val="000000"/>
                <w:sz w:val="20"/>
                <w:szCs w:val="20"/>
                <w:lang w:eastAsia="hr-HR"/>
              </w:rPr>
              <w:t>29.018</w:t>
            </w:r>
          </w:p>
        </w:tc>
      </w:tr>
      <w:tr w:rsidR="00215328" w:rsidRPr="00F31958" w14:paraId="0E1E8749" w14:textId="77777777" w:rsidTr="00312975">
        <w:trPr>
          <w:trHeight w:val="297"/>
        </w:trPr>
        <w:tc>
          <w:tcPr>
            <w:tcW w:w="1096" w:type="pct"/>
            <w:tcBorders>
              <w:top w:val="nil"/>
              <w:left w:val="nil"/>
              <w:bottom w:val="nil"/>
              <w:right w:val="nil"/>
            </w:tcBorders>
            <w:shd w:val="clear" w:color="auto" w:fill="auto"/>
            <w:vAlign w:val="center"/>
            <w:hideMark/>
          </w:tcPr>
          <w:p w14:paraId="5BB24809" w14:textId="77777777" w:rsidR="00215328" w:rsidRPr="00F31958" w:rsidRDefault="00215328" w:rsidP="00215328">
            <w:pPr>
              <w:spacing w:after="0" w:line="240" w:lineRule="auto"/>
              <w:jc w:val="right"/>
              <w:rPr>
                <w:rFonts w:ascii="Calibri" w:eastAsia="Times New Roman" w:hAnsi="Calibri" w:cs="Times New Roman"/>
                <w:color w:val="000000"/>
                <w:sz w:val="20"/>
                <w:szCs w:val="20"/>
                <w:lang w:eastAsia="hr-HR"/>
              </w:rPr>
            </w:pPr>
          </w:p>
        </w:tc>
        <w:tc>
          <w:tcPr>
            <w:tcW w:w="488" w:type="pct"/>
            <w:tcBorders>
              <w:top w:val="single" w:sz="4" w:space="0" w:color="auto"/>
              <w:left w:val="nil"/>
              <w:bottom w:val="single" w:sz="12" w:space="0" w:color="auto"/>
              <w:right w:val="nil"/>
            </w:tcBorders>
            <w:shd w:val="clear" w:color="auto" w:fill="auto"/>
            <w:vAlign w:val="center"/>
          </w:tcPr>
          <w:p w14:paraId="618269DE" w14:textId="5499A0A6" w:rsidR="00215328" w:rsidRPr="00F31958" w:rsidRDefault="00CE5065" w:rsidP="00215328">
            <w:pPr>
              <w:spacing w:after="0" w:line="240" w:lineRule="auto"/>
              <w:jc w:val="right"/>
              <w:rPr>
                <w:rFonts w:ascii="Calibri" w:eastAsia="Times New Roman" w:hAnsi="Calibri" w:cs="Times New Roman"/>
                <w:b/>
                <w:bCs/>
                <w:color w:val="000000"/>
                <w:sz w:val="20"/>
                <w:szCs w:val="20"/>
                <w:lang w:eastAsia="hr-HR"/>
              </w:rPr>
            </w:pPr>
            <w:r w:rsidRPr="00CE5065">
              <w:rPr>
                <w:rFonts w:ascii="Calibri" w:eastAsia="Times New Roman" w:hAnsi="Calibri" w:cs="Times New Roman"/>
                <w:b/>
                <w:bCs/>
                <w:color w:val="000000"/>
                <w:sz w:val="20"/>
                <w:szCs w:val="20"/>
                <w:lang w:eastAsia="hr-HR"/>
              </w:rPr>
              <w:t>212.930</w:t>
            </w:r>
          </w:p>
        </w:tc>
        <w:tc>
          <w:tcPr>
            <w:tcW w:w="488" w:type="pct"/>
            <w:tcBorders>
              <w:top w:val="single" w:sz="4" w:space="0" w:color="auto"/>
              <w:left w:val="nil"/>
              <w:bottom w:val="single" w:sz="12" w:space="0" w:color="auto"/>
              <w:right w:val="nil"/>
            </w:tcBorders>
            <w:shd w:val="clear" w:color="auto" w:fill="auto"/>
            <w:vAlign w:val="center"/>
          </w:tcPr>
          <w:p w14:paraId="6324595D" w14:textId="4A99F9F0" w:rsidR="00215328" w:rsidRPr="00F31958" w:rsidRDefault="00CE5065" w:rsidP="00215328">
            <w:pPr>
              <w:spacing w:after="0" w:line="240" w:lineRule="auto"/>
              <w:jc w:val="right"/>
              <w:rPr>
                <w:rFonts w:ascii="Calibri" w:eastAsia="Times New Roman" w:hAnsi="Calibri" w:cs="Times New Roman"/>
                <w:b/>
                <w:bCs/>
                <w:color w:val="000000"/>
                <w:sz w:val="20"/>
                <w:szCs w:val="20"/>
                <w:lang w:eastAsia="hr-HR"/>
              </w:rPr>
            </w:pPr>
            <w:r w:rsidRPr="00CE5065">
              <w:rPr>
                <w:rFonts w:ascii="Calibri" w:eastAsia="Times New Roman" w:hAnsi="Calibri" w:cs="Times New Roman"/>
                <w:b/>
                <w:bCs/>
                <w:color w:val="000000"/>
                <w:sz w:val="20"/>
                <w:szCs w:val="20"/>
                <w:lang w:eastAsia="hr-HR"/>
              </w:rPr>
              <w:t>451.841</w:t>
            </w:r>
          </w:p>
        </w:tc>
        <w:tc>
          <w:tcPr>
            <w:tcW w:w="488" w:type="pct"/>
            <w:tcBorders>
              <w:top w:val="single" w:sz="4" w:space="0" w:color="auto"/>
              <w:left w:val="nil"/>
              <w:bottom w:val="single" w:sz="12" w:space="0" w:color="auto"/>
              <w:right w:val="nil"/>
            </w:tcBorders>
            <w:shd w:val="clear" w:color="auto" w:fill="auto"/>
            <w:vAlign w:val="center"/>
            <w:hideMark/>
          </w:tcPr>
          <w:p w14:paraId="04853E53" w14:textId="08CF3057" w:rsidR="00215328" w:rsidRPr="00F31958" w:rsidRDefault="00215328" w:rsidP="00215328">
            <w:pPr>
              <w:spacing w:after="0" w:line="240" w:lineRule="auto"/>
              <w:jc w:val="right"/>
              <w:rPr>
                <w:rFonts w:ascii="Calibri" w:eastAsia="Times New Roman" w:hAnsi="Calibri" w:cs="Times New Roman"/>
                <w:b/>
                <w:bCs/>
                <w:color w:val="000000"/>
                <w:sz w:val="20"/>
                <w:szCs w:val="20"/>
                <w:lang w:eastAsia="hr-HR"/>
              </w:rPr>
            </w:pPr>
            <w:r w:rsidRPr="00F31958">
              <w:rPr>
                <w:rFonts w:ascii="Calibri" w:eastAsia="Times New Roman" w:hAnsi="Calibri" w:cs="Times New Roman"/>
                <w:b/>
                <w:bCs/>
                <w:color w:val="000000"/>
                <w:sz w:val="20"/>
                <w:szCs w:val="20"/>
                <w:lang w:eastAsia="hr-HR"/>
              </w:rPr>
              <w:t>209.982</w:t>
            </w:r>
          </w:p>
        </w:tc>
        <w:tc>
          <w:tcPr>
            <w:tcW w:w="488" w:type="pct"/>
            <w:tcBorders>
              <w:top w:val="single" w:sz="4" w:space="0" w:color="auto"/>
              <w:left w:val="nil"/>
              <w:bottom w:val="single" w:sz="12" w:space="0" w:color="auto"/>
              <w:right w:val="nil"/>
            </w:tcBorders>
            <w:shd w:val="clear" w:color="auto" w:fill="auto"/>
            <w:vAlign w:val="center"/>
            <w:hideMark/>
          </w:tcPr>
          <w:p w14:paraId="06B49B19" w14:textId="795A505B" w:rsidR="00215328" w:rsidRPr="00F31958" w:rsidRDefault="00215328" w:rsidP="00215328">
            <w:pPr>
              <w:spacing w:after="0" w:line="240" w:lineRule="auto"/>
              <w:jc w:val="right"/>
              <w:rPr>
                <w:rFonts w:ascii="Calibri" w:eastAsia="Times New Roman" w:hAnsi="Calibri" w:cs="Times New Roman"/>
                <w:b/>
                <w:bCs/>
                <w:color w:val="000000"/>
                <w:sz w:val="20"/>
                <w:szCs w:val="20"/>
                <w:lang w:eastAsia="hr-HR"/>
              </w:rPr>
            </w:pPr>
            <w:r w:rsidRPr="00F31958">
              <w:rPr>
                <w:rFonts w:ascii="Calibri" w:eastAsia="Times New Roman" w:hAnsi="Calibri" w:cs="Times New Roman"/>
                <w:b/>
                <w:bCs/>
                <w:color w:val="000000"/>
                <w:sz w:val="20"/>
                <w:szCs w:val="20"/>
                <w:lang w:eastAsia="hr-HR"/>
              </w:rPr>
              <w:t>429.026</w:t>
            </w:r>
          </w:p>
        </w:tc>
        <w:tc>
          <w:tcPr>
            <w:tcW w:w="488" w:type="pct"/>
            <w:tcBorders>
              <w:top w:val="single" w:sz="4" w:space="0" w:color="auto"/>
              <w:left w:val="nil"/>
              <w:bottom w:val="single" w:sz="12" w:space="0" w:color="auto"/>
              <w:right w:val="nil"/>
            </w:tcBorders>
            <w:shd w:val="clear" w:color="auto" w:fill="auto"/>
            <w:vAlign w:val="center"/>
          </w:tcPr>
          <w:p w14:paraId="59AEB040" w14:textId="67278D07" w:rsidR="00215328" w:rsidRPr="00F31958" w:rsidRDefault="00CE5065" w:rsidP="00215328">
            <w:pPr>
              <w:spacing w:after="0" w:line="240" w:lineRule="auto"/>
              <w:jc w:val="right"/>
              <w:rPr>
                <w:rFonts w:ascii="Calibri" w:eastAsia="Times New Roman" w:hAnsi="Calibri" w:cs="Times New Roman"/>
                <w:b/>
                <w:bCs/>
                <w:color w:val="000000"/>
                <w:sz w:val="20"/>
                <w:szCs w:val="20"/>
                <w:lang w:eastAsia="hr-HR"/>
              </w:rPr>
            </w:pPr>
            <w:r w:rsidRPr="00CE5065">
              <w:rPr>
                <w:rFonts w:ascii="Calibri" w:eastAsia="Times New Roman" w:hAnsi="Calibri" w:cs="Times New Roman"/>
                <w:b/>
                <w:bCs/>
                <w:color w:val="000000"/>
                <w:sz w:val="20"/>
                <w:szCs w:val="20"/>
                <w:lang w:eastAsia="hr-HR"/>
              </w:rPr>
              <w:t>212.509</w:t>
            </w:r>
          </w:p>
        </w:tc>
        <w:tc>
          <w:tcPr>
            <w:tcW w:w="488" w:type="pct"/>
            <w:tcBorders>
              <w:top w:val="single" w:sz="4" w:space="0" w:color="auto"/>
              <w:left w:val="nil"/>
              <w:bottom w:val="single" w:sz="12" w:space="0" w:color="auto"/>
              <w:right w:val="nil"/>
            </w:tcBorders>
            <w:shd w:val="clear" w:color="auto" w:fill="auto"/>
            <w:vAlign w:val="center"/>
          </w:tcPr>
          <w:p w14:paraId="1DAC5A7F" w14:textId="07C0587B" w:rsidR="00215328" w:rsidRPr="00F31958" w:rsidRDefault="00CE5065" w:rsidP="00215328">
            <w:pPr>
              <w:spacing w:after="0" w:line="240" w:lineRule="auto"/>
              <w:jc w:val="right"/>
              <w:rPr>
                <w:rFonts w:ascii="Calibri" w:eastAsia="Times New Roman" w:hAnsi="Calibri" w:cs="Times New Roman"/>
                <w:b/>
                <w:bCs/>
                <w:color w:val="000000"/>
                <w:sz w:val="20"/>
                <w:szCs w:val="20"/>
                <w:lang w:eastAsia="hr-HR"/>
              </w:rPr>
            </w:pPr>
            <w:r w:rsidRPr="00CE5065">
              <w:rPr>
                <w:rFonts w:ascii="Calibri" w:eastAsia="Times New Roman" w:hAnsi="Calibri" w:cs="Times New Roman"/>
                <w:b/>
                <w:bCs/>
                <w:color w:val="000000"/>
                <w:sz w:val="20"/>
                <w:szCs w:val="20"/>
                <w:lang w:eastAsia="hr-HR"/>
              </w:rPr>
              <w:t>451.012</w:t>
            </w:r>
          </w:p>
        </w:tc>
        <w:tc>
          <w:tcPr>
            <w:tcW w:w="488" w:type="pct"/>
            <w:tcBorders>
              <w:top w:val="single" w:sz="4" w:space="0" w:color="auto"/>
              <w:left w:val="nil"/>
              <w:bottom w:val="single" w:sz="12" w:space="0" w:color="auto"/>
              <w:right w:val="nil"/>
            </w:tcBorders>
            <w:shd w:val="clear" w:color="auto" w:fill="auto"/>
            <w:vAlign w:val="center"/>
            <w:hideMark/>
          </w:tcPr>
          <w:p w14:paraId="78188C68" w14:textId="6F7F3758" w:rsidR="00215328" w:rsidRPr="00F31958" w:rsidRDefault="00215328" w:rsidP="00215328">
            <w:pPr>
              <w:spacing w:after="0" w:line="240" w:lineRule="auto"/>
              <w:jc w:val="right"/>
              <w:rPr>
                <w:rFonts w:ascii="Calibri" w:eastAsia="Times New Roman" w:hAnsi="Calibri" w:cs="Times New Roman"/>
                <w:b/>
                <w:bCs/>
                <w:color w:val="000000"/>
                <w:sz w:val="20"/>
                <w:szCs w:val="20"/>
                <w:lang w:eastAsia="hr-HR"/>
              </w:rPr>
            </w:pPr>
            <w:r w:rsidRPr="00F31958">
              <w:rPr>
                <w:rFonts w:ascii="Calibri" w:eastAsia="Times New Roman" w:hAnsi="Calibri" w:cs="Times New Roman"/>
                <w:b/>
                <w:bCs/>
                <w:color w:val="000000"/>
                <w:sz w:val="20"/>
                <w:szCs w:val="20"/>
                <w:lang w:eastAsia="hr-HR"/>
              </w:rPr>
              <w:t>209.556</w:t>
            </w:r>
          </w:p>
        </w:tc>
        <w:tc>
          <w:tcPr>
            <w:tcW w:w="488" w:type="pct"/>
            <w:tcBorders>
              <w:top w:val="single" w:sz="4" w:space="0" w:color="auto"/>
              <w:left w:val="nil"/>
              <w:bottom w:val="single" w:sz="12" w:space="0" w:color="auto"/>
              <w:right w:val="nil"/>
            </w:tcBorders>
            <w:shd w:val="clear" w:color="auto" w:fill="auto"/>
            <w:vAlign w:val="center"/>
            <w:hideMark/>
          </w:tcPr>
          <w:p w14:paraId="60CF5C8D" w14:textId="5193BE03" w:rsidR="00215328" w:rsidRPr="00F31958" w:rsidRDefault="00215328" w:rsidP="00215328">
            <w:pPr>
              <w:spacing w:after="0" w:line="240" w:lineRule="auto"/>
              <w:jc w:val="right"/>
              <w:rPr>
                <w:rFonts w:ascii="Calibri" w:eastAsia="Times New Roman" w:hAnsi="Calibri" w:cs="Times New Roman"/>
                <w:b/>
                <w:bCs/>
                <w:color w:val="000000"/>
                <w:sz w:val="20"/>
                <w:szCs w:val="20"/>
                <w:lang w:eastAsia="hr-HR"/>
              </w:rPr>
            </w:pPr>
            <w:r w:rsidRPr="00F31958">
              <w:rPr>
                <w:rFonts w:ascii="Calibri" w:eastAsia="Times New Roman" w:hAnsi="Calibri" w:cs="Times New Roman"/>
                <w:b/>
                <w:bCs/>
                <w:color w:val="000000"/>
                <w:sz w:val="20"/>
                <w:szCs w:val="20"/>
                <w:lang w:eastAsia="hr-HR"/>
              </w:rPr>
              <w:t>428.189</w:t>
            </w:r>
          </w:p>
        </w:tc>
      </w:tr>
    </w:tbl>
    <w:p w14:paraId="2A447595" w14:textId="77777777" w:rsidR="006379CB" w:rsidRDefault="006379CB" w:rsidP="006379CB">
      <w:pPr>
        <w:spacing w:after="0" w:line="240" w:lineRule="auto"/>
        <w:jc w:val="both"/>
        <w:rPr>
          <w:rFonts w:eastAsia="Times New Roman" w:cs="Arial"/>
        </w:rPr>
      </w:pPr>
    </w:p>
    <w:p w14:paraId="20F291F8" w14:textId="77777777" w:rsidR="00932654" w:rsidRDefault="00932654" w:rsidP="00932654">
      <w:pPr>
        <w:pStyle w:val="T1"/>
        <w:keepNext w:val="0"/>
        <w:spacing w:before="0" w:after="0" w:line="240" w:lineRule="auto"/>
        <w:ind w:right="140"/>
        <w:rPr>
          <w:rFonts w:cs="Arial"/>
        </w:rPr>
      </w:pPr>
    </w:p>
    <w:p w14:paraId="14D695D0" w14:textId="77777777" w:rsidR="00932654" w:rsidRDefault="00932654" w:rsidP="00932654">
      <w:pPr>
        <w:pStyle w:val="T1"/>
        <w:keepNext w:val="0"/>
        <w:spacing w:before="0" w:after="0" w:line="240" w:lineRule="auto"/>
        <w:ind w:right="366"/>
        <w:rPr>
          <w:lang w:eastAsia="hr-HR"/>
        </w:rPr>
        <w:sectPr w:rsidR="00932654" w:rsidSect="00932654">
          <w:footerReference w:type="first" r:id="rId62"/>
          <w:pgSz w:w="16838" w:h="11906" w:orient="landscape" w:code="9"/>
          <w:pgMar w:top="1418" w:right="595" w:bottom="1134" w:left="1418" w:header="709" w:footer="709" w:gutter="0"/>
          <w:cols w:space="708"/>
          <w:titlePg/>
          <w:docGrid w:linePitch="360"/>
        </w:sectPr>
      </w:pPr>
    </w:p>
    <w:p w14:paraId="468CD275" w14:textId="77777777" w:rsidR="00A82098" w:rsidRDefault="00A82098" w:rsidP="006379CB">
      <w:pPr>
        <w:spacing w:after="0" w:line="240" w:lineRule="auto"/>
        <w:jc w:val="both"/>
        <w:rPr>
          <w:rFonts w:eastAsia="Times New Roman" w:cs="Arial"/>
        </w:rPr>
      </w:pPr>
    </w:p>
    <w:p w14:paraId="71BC8EC0" w14:textId="357ED168" w:rsidR="005723A9" w:rsidRDefault="005723A9" w:rsidP="005723A9">
      <w:pPr>
        <w:tabs>
          <w:tab w:val="left" w:pos="567"/>
        </w:tabs>
        <w:spacing w:after="0" w:line="240" w:lineRule="auto"/>
        <w:jc w:val="both"/>
        <w:rPr>
          <w:rFonts w:eastAsia="Times New Roman" w:cs="Arial"/>
          <w:b/>
        </w:rPr>
      </w:pPr>
      <w:r w:rsidRPr="00876425">
        <w:rPr>
          <w:rFonts w:eastAsia="Times New Roman" w:cs="Calibri"/>
          <w:b/>
          <w:spacing w:val="-3"/>
          <w:lang w:eastAsia="hr-HR"/>
        </w:rPr>
        <w:t xml:space="preserve">4. </w:t>
      </w:r>
      <w:r w:rsidRPr="00876425">
        <w:rPr>
          <w:rFonts w:eastAsia="Times New Roman" w:cs="Calibri"/>
          <w:b/>
          <w:spacing w:val="-3"/>
          <w:lang w:eastAsia="hr-HR"/>
        </w:rPr>
        <w:tab/>
        <w:t xml:space="preserve"> </w:t>
      </w:r>
      <w:r w:rsidRPr="00876425">
        <w:rPr>
          <w:rFonts w:eastAsia="Times New Roman" w:cs="Arial"/>
          <w:b/>
        </w:rPr>
        <w:t xml:space="preserve">Prihodi od kamata </w:t>
      </w:r>
      <w:r>
        <w:rPr>
          <w:rFonts w:eastAsia="Times New Roman" w:cs="Arial"/>
          <w:b/>
        </w:rPr>
        <w:t>(nastavak)</w:t>
      </w:r>
    </w:p>
    <w:p w14:paraId="5D3450A1" w14:textId="77777777" w:rsidR="005723A9" w:rsidRPr="00876425" w:rsidRDefault="005723A9" w:rsidP="005723A9">
      <w:pPr>
        <w:tabs>
          <w:tab w:val="left" w:pos="567"/>
        </w:tabs>
        <w:spacing w:after="0" w:line="240" w:lineRule="auto"/>
        <w:jc w:val="both"/>
        <w:rPr>
          <w:rFonts w:eastAsia="Times New Roman" w:cs="Calibri"/>
          <w:b/>
          <w:lang w:eastAsia="hr-HR"/>
        </w:rPr>
      </w:pPr>
    </w:p>
    <w:p w14:paraId="688A114C" w14:textId="77777777" w:rsidR="00AE09B0" w:rsidRPr="006379CB" w:rsidRDefault="00AE09B0" w:rsidP="006379CB">
      <w:pPr>
        <w:spacing w:after="0" w:line="240" w:lineRule="auto"/>
        <w:jc w:val="both"/>
        <w:rPr>
          <w:rFonts w:eastAsia="Times New Roman" w:cs="Arial"/>
        </w:rPr>
      </w:pPr>
      <w:r w:rsidRPr="006379CB">
        <w:rPr>
          <w:rFonts w:eastAsia="Times New Roman" w:cs="Arial"/>
        </w:rPr>
        <w:t>Prihodi od kamata po vrstama plasmana:</w:t>
      </w:r>
    </w:p>
    <w:p w14:paraId="67582911" w14:textId="77777777" w:rsidR="00215328" w:rsidRPr="00312975" w:rsidRDefault="00215328" w:rsidP="00312975">
      <w:pPr>
        <w:spacing w:after="0" w:line="240" w:lineRule="auto"/>
        <w:jc w:val="both"/>
        <w:rPr>
          <w:rFonts w:eastAsia="Times New Roman" w:cs="Calibri"/>
          <w:sz w:val="24"/>
          <w:szCs w:val="24"/>
          <w:lang w:eastAsia="hr-HR"/>
        </w:rPr>
      </w:pPr>
    </w:p>
    <w:tbl>
      <w:tblPr>
        <w:tblW w:w="4772" w:type="pct"/>
        <w:tblLayout w:type="fixed"/>
        <w:tblLook w:val="04A0" w:firstRow="1" w:lastRow="0" w:firstColumn="1" w:lastColumn="0" w:noHBand="0" w:noVBand="1"/>
      </w:tblPr>
      <w:tblGrid>
        <w:gridCol w:w="3112"/>
        <w:gridCol w:w="1402"/>
        <w:gridCol w:w="1356"/>
        <w:gridCol w:w="1354"/>
        <w:gridCol w:w="1355"/>
        <w:gridCol w:w="1355"/>
        <w:gridCol w:w="1505"/>
        <w:gridCol w:w="1355"/>
        <w:gridCol w:w="1355"/>
      </w:tblGrid>
      <w:tr w:rsidR="000241DA" w:rsidRPr="000241DA" w14:paraId="6D8D313D" w14:textId="77777777" w:rsidTr="000241DA">
        <w:trPr>
          <w:trHeight w:val="258"/>
        </w:trPr>
        <w:tc>
          <w:tcPr>
            <w:tcW w:w="3113" w:type="dxa"/>
            <w:tcBorders>
              <w:top w:val="nil"/>
              <w:left w:val="nil"/>
              <w:bottom w:val="nil"/>
              <w:right w:val="nil"/>
            </w:tcBorders>
            <w:shd w:val="clear" w:color="auto" w:fill="auto"/>
            <w:vAlign w:val="center"/>
            <w:hideMark/>
          </w:tcPr>
          <w:p w14:paraId="22B930CD" w14:textId="77777777" w:rsidR="000241DA" w:rsidRPr="000241DA" w:rsidRDefault="000241DA" w:rsidP="000241DA">
            <w:pPr>
              <w:spacing w:after="0" w:line="240" w:lineRule="auto"/>
              <w:rPr>
                <w:rFonts w:ascii="Times New Roman" w:eastAsia="Times New Roman" w:hAnsi="Times New Roman" w:cs="Times New Roman"/>
                <w:sz w:val="24"/>
                <w:szCs w:val="24"/>
                <w:lang w:eastAsia="hr-HR"/>
              </w:rPr>
            </w:pPr>
          </w:p>
        </w:tc>
        <w:tc>
          <w:tcPr>
            <w:tcW w:w="5467" w:type="dxa"/>
            <w:gridSpan w:val="4"/>
            <w:tcBorders>
              <w:top w:val="nil"/>
              <w:left w:val="nil"/>
              <w:bottom w:val="nil"/>
              <w:right w:val="nil"/>
            </w:tcBorders>
            <w:shd w:val="clear" w:color="auto" w:fill="auto"/>
            <w:noWrap/>
            <w:vAlign w:val="bottom"/>
            <w:hideMark/>
          </w:tcPr>
          <w:p w14:paraId="3591EF6E" w14:textId="77777777" w:rsidR="000241DA" w:rsidRPr="000241DA" w:rsidRDefault="000241DA" w:rsidP="000241DA">
            <w:pPr>
              <w:spacing w:after="0" w:line="240" w:lineRule="auto"/>
              <w:jc w:val="right"/>
              <w:rPr>
                <w:rFonts w:ascii="Calibri" w:eastAsia="Times New Roman" w:hAnsi="Calibri" w:cs="Times New Roman"/>
                <w:b/>
                <w:bCs/>
                <w:sz w:val="20"/>
                <w:szCs w:val="20"/>
                <w:lang w:eastAsia="hr-HR"/>
              </w:rPr>
            </w:pPr>
            <w:r w:rsidRPr="000241DA">
              <w:rPr>
                <w:rFonts w:ascii="Calibri" w:eastAsia="Times New Roman" w:hAnsi="Calibri" w:cs="Times New Roman"/>
                <w:b/>
                <w:bCs/>
                <w:sz w:val="20"/>
                <w:szCs w:val="20"/>
                <w:lang w:eastAsia="hr-HR"/>
              </w:rPr>
              <w:t>Grupa</w:t>
            </w:r>
          </w:p>
        </w:tc>
        <w:tc>
          <w:tcPr>
            <w:tcW w:w="5570" w:type="dxa"/>
            <w:gridSpan w:val="4"/>
            <w:tcBorders>
              <w:top w:val="nil"/>
              <w:left w:val="nil"/>
              <w:bottom w:val="nil"/>
              <w:right w:val="nil"/>
            </w:tcBorders>
            <w:shd w:val="clear" w:color="auto" w:fill="auto"/>
            <w:noWrap/>
            <w:vAlign w:val="bottom"/>
            <w:hideMark/>
          </w:tcPr>
          <w:p w14:paraId="3A9B2953" w14:textId="77777777" w:rsidR="000241DA" w:rsidRPr="000241DA" w:rsidRDefault="000241DA" w:rsidP="000241DA">
            <w:pPr>
              <w:spacing w:after="0" w:line="240" w:lineRule="auto"/>
              <w:jc w:val="right"/>
              <w:rPr>
                <w:rFonts w:ascii="Calibri" w:eastAsia="Times New Roman" w:hAnsi="Calibri" w:cs="Times New Roman"/>
                <w:b/>
                <w:bCs/>
                <w:sz w:val="20"/>
                <w:szCs w:val="20"/>
                <w:lang w:eastAsia="hr-HR"/>
              </w:rPr>
            </w:pPr>
            <w:r w:rsidRPr="000241DA">
              <w:rPr>
                <w:rFonts w:ascii="Calibri" w:eastAsia="Times New Roman" w:hAnsi="Calibri" w:cs="Times New Roman"/>
                <w:b/>
                <w:bCs/>
                <w:sz w:val="20"/>
                <w:szCs w:val="20"/>
                <w:lang w:eastAsia="hr-HR"/>
              </w:rPr>
              <w:t>Banka</w:t>
            </w:r>
          </w:p>
        </w:tc>
      </w:tr>
      <w:tr w:rsidR="000241DA" w:rsidRPr="000241DA" w14:paraId="532F83AF" w14:textId="77777777" w:rsidTr="000241DA">
        <w:trPr>
          <w:trHeight w:val="258"/>
        </w:trPr>
        <w:tc>
          <w:tcPr>
            <w:tcW w:w="3113" w:type="dxa"/>
            <w:tcBorders>
              <w:top w:val="nil"/>
              <w:left w:val="nil"/>
              <w:bottom w:val="nil"/>
              <w:right w:val="nil"/>
            </w:tcBorders>
            <w:shd w:val="clear" w:color="auto" w:fill="auto"/>
            <w:vAlign w:val="center"/>
            <w:hideMark/>
          </w:tcPr>
          <w:p w14:paraId="5CA6D410" w14:textId="77777777" w:rsidR="000241DA" w:rsidRPr="000241DA" w:rsidRDefault="000241DA" w:rsidP="000241DA">
            <w:pPr>
              <w:spacing w:after="0" w:line="240" w:lineRule="auto"/>
              <w:jc w:val="right"/>
              <w:rPr>
                <w:rFonts w:ascii="Calibri" w:eastAsia="Times New Roman" w:hAnsi="Calibri" w:cs="Times New Roman"/>
                <w:b/>
                <w:bCs/>
                <w:sz w:val="20"/>
                <w:szCs w:val="20"/>
                <w:lang w:eastAsia="hr-HR"/>
              </w:rPr>
            </w:pPr>
          </w:p>
        </w:tc>
        <w:tc>
          <w:tcPr>
            <w:tcW w:w="2758" w:type="dxa"/>
            <w:gridSpan w:val="2"/>
            <w:tcBorders>
              <w:top w:val="nil"/>
              <w:left w:val="nil"/>
              <w:bottom w:val="nil"/>
              <w:right w:val="nil"/>
            </w:tcBorders>
            <w:shd w:val="clear" w:color="auto" w:fill="auto"/>
            <w:vAlign w:val="bottom"/>
            <w:hideMark/>
          </w:tcPr>
          <w:p w14:paraId="07226107" w14:textId="3215FC56" w:rsidR="000241DA" w:rsidRPr="000241DA" w:rsidRDefault="000241DA">
            <w:pPr>
              <w:spacing w:after="0" w:line="240" w:lineRule="auto"/>
              <w:jc w:val="center"/>
              <w:rPr>
                <w:rFonts w:ascii="Calibri" w:eastAsia="Times New Roman" w:hAnsi="Calibri" w:cs="Times New Roman"/>
                <w:b/>
                <w:bCs/>
                <w:color w:val="000000"/>
                <w:sz w:val="20"/>
                <w:szCs w:val="20"/>
                <w:lang w:eastAsia="hr-HR"/>
              </w:rPr>
            </w:pPr>
            <w:r w:rsidRPr="000241DA">
              <w:rPr>
                <w:rFonts w:ascii="Calibri" w:eastAsia="Times New Roman" w:hAnsi="Calibri" w:cs="Times New Roman"/>
                <w:b/>
                <w:bCs/>
                <w:color w:val="000000"/>
                <w:sz w:val="20"/>
                <w:szCs w:val="20"/>
                <w:lang w:eastAsia="hr-HR"/>
              </w:rPr>
              <w:t>201</w:t>
            </w:r>
            <w:r w:rsidR="008A6393">
              <w:rPr>
                <w:rFonts w:ascii="Calibri" w:eastAsia="Times New Roman" w:hAnsi="Calibri" w:cs="Times New Roman"/>
                <w:b/>
                <w:bCs/>
                <w:color w:val="000000"/>
                <w:sz w:val="20"/>
                <w:szCs w:val="20"/>
                <w:lang w:eastAsia="hr-HR"/>
              </w:rPr>
              <w:t>7</w:t>
            </w:r>
            <w:r w:rsidRPr="000241DA">
              <w:rPr>
                <w:rFonts w:ascii="Calibri" w:eastAsia="Times New Roman" w:hAnsi="Calibri" w:cs="Times New Roman"/>
                <w:b/>
                <w:bCs/>
                <w:color w:val="000000"/>
                <w:sz w:val="20"/>
                <w:szCs w:val="20"/>
                <w:lang w:eastAsia="hr-HR"/>
              </w:rPr>
              <w:t>.</w:t>
            </w:r>
          </w:p>
        </w:tc>
        <w:tc>
          <w:tcPr>
            <w:tcW w:w="2709" w:type="dxa"/>
            <w:gridSpan w:val="2"/>
            <w:tcBorders>
              <w:top w:val="nil"/>
              <w:left w:val="nil"/>
              <w:bottom w:val="nil"/>
              <w:right w:val="nil"/>
            </w:tcBorders>
            <w:shd w:val="clear" w:color="auto" w:fill="auto"/>
            <w:vAlign w:val="bottom"/>
            <w:hideMark/>
          </w:tcPr>
          <w:p w14:paraId="4CF0FCA5" w14:textId="700E4E31" w:rsidR="000241DA" w:rsidRPr="000241DA" w:rsidRDefault="000241DA">
            <w:pPr>
              <w:spacing w:after="0" w:line="240" w:lineRule="auto"/>
              <w:jc w:val="center"/>
              <w:rPr>
                <w:rFonts w:ascii="Calibri" w:eastAsia="Times New Roman" w:hAnsi="Calibri" w:cs="Times New Roman"/>
                <w:b/>
                <w:bCs/>
                <w:color w:val="000000"/>
                <w:sz w:val="20"/>
                <w:szCs w:val="20"/>
                <w:lang w:eastAsia="hr-HR"/>
              </w:rPr>
            </w:pPr>
            <w:r w:rsidRPr="000241DA">
              <w:rPr>
                <w:rFonts w:ascii="Calibri" w:eastAsia="Times New Roman" w:hAnsi="Calibri" w:cs="Times New Roman"/>
                <w:b/>
                <w:bCs/>
                <w:color w:val="000000"/>
                <w:sz w:val="20"/>
                <w:szCs w:val="20"/>
                <w:lang w:eastAsia="hr-HR"/>
              </w:rPr>
              <w:t>201</w:t>
            </w:r>
            <w:r w:rsidR="008A6393">
              <w:rPr>
                <w:rFonts w:ascii="Calibri" w:eastAsia="Times New Roman" w:hAnsi="Calibri" w:cs="Times New Roman"/>
                <w:b/>
                <w:bCs/>
                <w:color w:val="000000"/>
                <w:sz w:val="20"/>
                <w:szCs w:val="20"/>
                <w:lang w:eastAsia="hr-HR"/>
              </w:rPr>
              <w:t>6</w:t>
            </w:r>
            <w:r w:rsidRPr="000241DA">
              <w:rPr>
                <w:rFonts w:ascii="Calibri" w:eastAsia="Times New Roman" w:hAnsi="Calibri" w:cs="Times New Roman"/>
                <w:b/>
                <w:bCs/>
                <w:color w:val="000000"/>
                <w:sz w:val="20"/>
                <w:szCs w:val="20"/>
                <w:lang w:eastAsia="hr-HR"/>
              </w:rPr>
              <w:t>.</w:t>
            </w:r>
          </w:p>
        </w:tc>
        <w:tc>
          <w:tcPr>
            <w:tcW w:w="2860" w:type="dxa"/>
            <w:gridSpan w:val="2"/>
            <w:tcBorders>
              <w:top w:val="nil"/>
              <w:left w:val="nil"/>
              <w:bottom w:val="nil"/>
              <w:right w:val="nil"/>
            </w:tcBorders>
            <w:shd w:val="clear" w:color="auto" w:fill="auto"/>
            <w:vAlign w:val="bottom"/>
            <w:hideMark/>
          </w:tcPr>
          <w:p w14:paraId="54191B22" w14:textId="4D57D58A" w:rsidR="000241DA" w:rsidRPr="000241DA" w:rsidRDefault="000241DA">
            <w:pPr>
              <w:spacing w:after="0" w:line="240" w:lineRule="auto"/>
              <w:jc w:val="center"/>
              <w:rPr>
                <w:rFonts w:ascii="Calibri" w:eastAsia="Times New Roman" w:hAnsi="Calibri" w:cs="Times New Roman"/>
                <w:b/>
                <w:bCs/>
                <w:color w:val="000000"/>
                <w:sz w:val="20"/>
                <w:szCs w:val="20"/>
                <w:lang w:eastAsia="hr-HR"/>
              </w:rPr>
            </w:pPr>
            <w:r w:rsidRPr="000241DA">
              <w:rPr>
                <w:rFonts w:ascii="Calibri" w:eastAsia="Times New Roman" w:hAnsi="Calibri" w:cs="Times New Roman"/>
                <w:b/>
                <w:bCs/>
                <w:color w:val="000000"/>
                <w:sz w:val="20"/>
                <w:szCs w:val="20"/>
                <w:lang w:eastAsia="hr-HR"/>
              </w:rPr>
              <w:t>201</w:t>
            </w:r>
            <w:r w:rsidR="008A6393">
              <w:rPr>
                <w:rFonts w:ascii="Calibri" w:eastAsia="Times New Roman" w:hAnsi="Calibri" w:cs="Times New Roman"/>
                <w:b/>
                <w:bCs/>
                <w:color w:val="000000"/>
                <w:sz w:val="20"/>
                <w:szCs w:val="20"/>
                <w:lang w:eastAsia="hr-HR"/>
              </w:rPr>
              <w:t>7</w:t>
            </w:r>
            <w:r w:rsidRPr="000241DA">
              <w:rPr>
                <w:rFonts w:ascii="Calibri" w:eastAsia="Times New Roman" w:hAnsi="Calibri" w:cs="Times New Roman"/>
                <w:b/>
                <w:bCs/>
                <w:color w:val="000000"/>
                <w:sz w:val="20"/>
                <w:szCs w:val="20"/>
                <w:lang w:eastAsia="hr-HR"/>
              </w:rPr>
              <w:t>.</w:t>
            </w:r>
          </w:p>
        </w:tc>
        <w:tc>
          <w:tcPr>
            <w:tcW w:w="2710" w:type="dxa"/>
            <w:gridSpan w:val="2"/>
            <w:tcBorders>
              <w:top w:val="nil"/>
              <w:left w:val="nil"/>
              <w:bottom w:val="nil"/>
              <w:right w:val="nil"/>
            </w:tcBorders>
            <w:shd w:val="clear" w:color="auto" w:fill="auto"/>
            <w:vAlign w:val="bottom"/>
            <w:hideMark/>
          </w:tcPr>
          <w:p w14:paraId="6232D558" w14:textId="6B0D1720" w:rsidR="000241DA" w:rsidRPr="000241DA" w:rsidRDefault="000241DA">
            <w:pPr>
              <w:spacing w:after="0" w:line="240" w:lineRule="auto"/>
              <w:jc w:val="center"/>
              <w:rPr>
                <w:rFonts w:ascii="Calibri" w:eastAsia="Times New Roman" w:hAnsi="Calibri" w:cs="Times New Roman"/>
                <w:b/>
                <w:bCs/>
                <w:color w:val="000000"/>
                <w:sz w:val="20"/>
                <w:szCs w:val="20"/>
                <w:lang w:eastAsia="hr-HR"/>
              </w:rPr>
            </w:pPr>
            <w:r w:rsidRPr="000241DA">
              <w:rPr>
                <w:rFonts w:ascii="Calibri" w:eastAsia="Times New Roman" w:hAnsi="Calibri" w:cs="Times New Roman"/>
                <w:b/>
                <w:bCs/>
                <w:color w:val="000000"/>
                <w:sz w:val="20"/>
                <w:szCs w:val="20"/>
                <w:lang w:eastAsia="hr-HR"/>
              </w:rPr>
              <w:t>201</w:t>
            </w:r>
            <w:r w:rsidR="005D369C">
              <w:rPr>
                <w:rFonts w:ascii="Calibri" w:eastAsia="Times New Roman" w:hAnsi="Calibri" w:cs="Times New Roman"/>
                <w:b/>
                <w:bCs/>
                <w:color w:val="000000"/>
                <w:sz w:val="20"/>
                <w:szCs w:val="20"/>
                <w:lang w:eastAsia="hr-HR"/>
              </w:rPr>
              <w:t>6</w:t>
            </w:r>
            <w:r w:rsidRPr="000241DA">
              <w:rPr>
                <w:rFonts w:ascii="Calibri" w:eastAsia="Times New Roman" w:hAnsi="Calibri" w:cs="Times New Roman"/>
                <w:b/>
                <w:bCs/>
                <w:color w:val="000000"/>
                <w:sz w:val="20"/>
                <w:szCs w:val="20"/>
                <w:lang w:eastAsia="hr-HR"/>
              </w:rPr>
              <w:t>.</w:t>
            </w:r>
          </w:p>
        </w:tc>
      </w:tr>
      <w:tr w:rsidR="000241DA" w:rsidRPr="000241DA" w14:paraId="37F804C7" w14:textId="77777777" w:rsidTr="000241DA">
        <w:trPr>
          <w:trHeight w:val="258"/>
        </w:trPr>
        <w:tc>
          <w:tcPr>
            <w:tcW w:w="3113" w:type="dxa"/>
            <w:tcBorders>
              <w:top w:val="nil"/>
              <w:left w:val="nil"/>
              <w:bottom w:val="nil"/>
              <w:right w:val="nil"/>
            </w:tcBorders>
            <w:shd w:val="clear" w:color="auto" w:fill="auto"/>
            <w:vAlign w:val="center"/>
            <w:hideMark/>
          </w:tcPr>
          <w:p w14:paraId="60DBADEF" w14:textId="77777777" w:rsidR="000241DA" w:rsidRPr="000241DA" w:rsidRDefault="000241DA" w:rsidP="000241DA">
            <w:pPr>
              <w:spacing w:after="0" w:line="240" w:lineRule="auto"/>
              <w:jc w:val="center"/>
              <w:rPr>
                <w:rFonts w:ascii="Calibri" w:eastAsia="Times New Roman" w:hAnsi="Calibri" w:cs="Times New Roman"/>
                <w:b/>
                <w:bCs/>
                <w:color w:val="000000"/>
                <w:sz w:val="20"/>
                <w:szCs w:val="20"/>
                <w:lang w:eastAsia="hr-HR"/>
              </w:rPr>
            </w:pPr>
          </w:p>
        </w:tc>
        <w:tc>
          <w:tcPr>
            <w:tcW w:w="1402" w:type="dxa"/>
            <w:tcBorders>
              <w:top w:val="nil"/>
              <w:left w:val="nil"/>
              <w:bottom w:val="nil"/>
              <w:right w:val="nil"/>
            </w:tcBorders>
            <w:shd w:val="clear" w:color="auto" w:fill="auto"/>
            <w:vAlign w:val="center"/>
            <w:hideMark/>
          </w:tcPr>
          <w:p w14:paraId="66AC9019" w14:textId="77777777" w:rsidR="000241DA" w:rsidRPr="000241DA" w:rsidRDefault="000241DA"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Tekuće razdoblje</w:t>
            </w:r>
          </w:p>
        </w:tc>
        <w:tc>
          <w:tcPr>
            <w:tcW w:w="1356" w:type="dxa"/>
            <w:tcBorders>
              <w:top w:val="nil"/>
              <w:left w:val="nil"/>
              <w:bottom w:val="nil"/>
              <w:right w:val="nil"/>
            </w:tcBorders>
            <w:shd w:val="clear" w:color="auto" w:fill="auto"/>
            <w:vAlign w:val="center"/>
            <w:hideMark/>
          </w:tcPr>
          <w:p w14:paraId="05210CF7" w14:textId="77777777" w:rsidR="000241DA" w:rsidRPr="000241DA" w:rsidRDefault="000241DA"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Kumulativ</w:t>
            </w:r>
          </w:p>
        </w:tc>
        <w:tc>
          <w:tcPr>
            <w:tcW w:w="1354" w:type="dxa"/>
            <w:tcBorders>
              <w:top w:val="nil"/>
              <w:left w:val="nil"/>
              <w:bottom w:val="nil"/>
              <w:right w:val="nil"/>
            </w:tcBorders>
            <w:shd w:val="clear" w:color="auto" w:fill="auto"/>
            <w:vAlign w:val="center"/>
            <w:hideMark/>
          </w:tcPr>
          <w:p w14:paraId="5FFB1933" w14:textId="77777777" w:rsidR="000241DA" w:rsidRPr="000241DA" w:rsidRDefault="000241DA"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Tekuće razdoblje</w:t>
            </w:r>
          </w:p>
        </w:tc>
        <w:tc>
          <w:tcPr>
            <w:tcW w:w="1355" w:type="dxa"/>
            <w:tcBorders>
              <w:top w:val="nil"/>
              <w:left w:val="nil"/>
              <w:bottom w:val="nil"/>
              <w:right w:val="nil"/>
            </w:tcBorders>
            <w:shd w:val="clear" w:color="auto" w:fill="auto"/>
            <w:vAlign w:val="center"/>
            <w:hideMark/>
          </w:tcPr>
          <w:p w14:paraId="3F029F94" w14:textId="77777777" w:rsidR="000241DA" w:rsidRPr="000241DA" w:rsidRDefault="000241DA"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Kumulativ</w:t>
            </w:r>
          </w:p>
        </w:tc>
        <w:tc>
          <w:tcPr>
            <w:tcW w:w="1355" w:type="dxa"/>
            <w:tcBorders>
              <w:top w:val="nil"/>
              <w:left w:val="nil"/>
              <w:bottom w:val="nil"/>
              <w:right w:val="nil"/>
            </w:tcBorders>
            <w:shd w:val="clear" w:color="auto" w:fill="auto"/>
            <w:vAlign w:val="center"/>
            <w:hideMark/>
          </w:tcPr>
          <w:p w14:paraId="62B0D9BD" w14:textId="77777777" w:rsidR="000241DA" w:rsidRPr="000241DA" w:rsidRDefault="000241DA"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Tekuće razdoblje</w:t>
            </w:r>
          </w:p>
        </w:tc>
        <w:tc>
          <w:tcPr>
            <w:tcW w:w="1505" w:type="dxa"/>
            <w:tcBorders>
              <w:top w:val="nil"/>
              <w:left w:val="nil"/>
              <w:bottom w:val="nil"/>
              <w:right w:val="nil"/>
            </w:tcBorders>
            <w:shd w:val="clear" w:color="auto" w:fill="auto"/>
            <w:vAlign w:val="center"/>
            <w:hideMark/>
          </w:tcPr>
          <w:p w14:paraId="359E13DC" w14:textId="77777777" w:rsidR="000241DA" w:rsidRPr="000241DA" w:rsidRDefault="000241DA"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Kumulativ</w:t>
            </w:r>
          </w:p>
        </w:tc>
        <w:tc>
          <w:tcPr>
            <w:tcW w:w="1355" w:type="dxa"/>
            <w:tcBorders>
              <w:top w:val="nil"/>
              <w:left w:val="nil"/>
              <w:bottom w:val="nil"/>
              <w:right w:val="nil"/>
            </w:tcBorders>
            <w:shd w:val="clear" w:color="auto" w:fill="auto"/>
            <w:vAlign w:val="center"/>
            <w:hideMark/>
          </w:tcPr>
          <w:p w14:paraId="0C6C9D7E" w14:textId="77777777" w:rsidR="000241DA" w:rsidRPr="000241DA" w:rsidRDefault="000241DA"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Tekuće razdoblje</w:t>
            </w:r>
          </w:p>
        </w:tc>
        <w:tc>
          <w:tcPr>
            <w:tcW w:w="1355" w:type="dxa"/>
            <w:tcBorders>
              <w:top w:val="nil"/>
              <w:left w:val="nil"/>
              <w:bottom w:val="nil"/>
              <w:right w:val="nil"/>
            </w:tcBorders>
            <w:shd w:val="clear" w:color="auto" w:fill="auto"/>
            <w:vAlign w:val="center"/>
            <w:hideMark/>
          </w:tcPr>
          <w:p w14:paraId="3DE29196" w14:textId="77777777" w:rsidR="000241DA" w:rsidRPr="000241DA" w:rsidRDefault="000241DA"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Kumulativ</w:t>
            </w:r>
          </w:p>
        </w:tc>
      </w:tr>
      <w:tr w:rsidR="000241DA" w:rsidRPr="000241DA" w14:paraId="535183FB" w14:textId="77777777" w:rsidTr="000241DA">
        <w:trPr>
          <w:trHeight w:val="258"/>
        </w:trPr>
        <w:tc>
          <w:tcPr>
            <w:tcW w:w="3113" w:type="dxa"/>
            <w:tcBorders>
              <w:top w:val="nil"/>
              <w:left w:val="nil"/>
              <w:bottom w:val="nil"/>
              <w:right w:val="nil"/>
            </w:tcBorders>
            <w:shd w:val="clear" w:color="auto" w:fill="auto"/>
            <w:noWrap/>
            <w:vAlign w:val="bottom"/>
            <w:hideMark/>
          </w:tcPr>
          <w:p w14:paraId="40DC259A" w14:textId="77777777" w:rsidR="000241DA" w:rsidRPr="000241DA" w:rsidRDefault="000241DA" w:rsidP="000241DA">
            <w:pPr>
              <w:spacing w:after="0" w:line="240" w:lineRule="auto"/>
              <w:jc w:val="center"/>
              <w:rPr>
                <w:rFonts w:ascii="Calibri" w:eastAsia="Times New Roman" w:hAnsi="Calibri" w:cs="Times New Roman"/>
                <w:color w:val="000000"/>
                <w:sz w:val="20"/>
                <w:szCs w:val="20"/>
                <w:lang w:eastAsia="hr-HR"/>
              </w:rPr>
            </w:pPr>
          </w:p>
        </w:tc>
        <w:tc>
          <w:tcPr>
            <w:tcW w:w="1402" w:type="dxa"/>
            <w:tcBorders>
              <w:top w:val="nil"/>
              <w:left w:val="nil"/>
              <w:bottom w:val="nil"/>
              <w:right w:val="nil"/>
            </w:tcBorders>
            <w:shd w:val="clear" w:color="auto" w:fill="auto"/>
            <w:vAlign w:val="center"/>
            <w:hideMark/>
          </w:tcPr>
          <w:p w14:paraId="589B6095" w14:textId="77777777" w:rsidR="000241DA" w:rsidRPr="000241DA" w:rsidRDefault="000241DA"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1.4. - 30.6.</w:t>
            </w:r>
          </w:p>
        </w:tc>
        <w:tc>
          <w:tcPr>
            <w:tcW w:w="1356" w:type="dxa"/>
            <w:tcBorders>
              <w:top w:val="nil"/>
              <w:left w:val="nil"/>
              <w:bottom w:val="nil"/>
              <w:right w:val="nil"/>
            </w:tcBorders>
            <w:shd w:val="clear" w:color="auto" w:fill="auto"/>
            <w:vAlign w:val="center"/>
            <w:hideMark/>
          </w:tcPr>
          <w:p w14:paraId="5BD51396" w14:textId="77777777" w:rsidR="000241DA" w:rsidRPr="000241DA" w:rsidRDefault="000241DA"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1.1. - 30.6.</w:t>
            </w:r>
          </w:p>
        </w:tc>
        <w:tc>
          <w:tcPr>
            <w:tcW w:w="1354" w:type="dxa"/>
            <w:tcBorders>
              <w:top w:val="nil"/>
              <w:left w:val="nil"/>
              <w:bottom w:val="nil"/>
              <w:right w:val="nil"/>
            </w:tcBorders>
            <w:shd w:val="clear" w:color="auto" w:fill="auto"/>
            <w:vAlign w:val="center"/>
            <w:hideMark/>
          </w:tcPr>
          <w:p w14:paraId="185D4B12" w14:textId="77777777" w:rsidR="000241DA" w:rsidRPr="000241DA" w:rsidRDefault="000241DA"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1.4. - 30.6.</w:t>
            </w:r>
          </w:p>
        </w:tc>
        <w:tc>
          <w:tcPr>
            <w:tcW w:w="1355" w:type="dxa"/>
            <w:tcBorders>
              <w:top w:val="nil"/>
              <w:left w:val="nil"/>
              <w:bottom w:val="nil"/>
              <w:right w:val="nil"/>
            </w:tcBorders>
            <w:shd w:val="clear" w:color="auto" w:fill="auto"/>
            <w:vAlign w:val="center"/>
            <w:hideMark/>
          </w:tcPr>
          <w:p w14:paraId="4E15A264" w14:textId="77777777" w:rsidR="000241DA" w:rsidRPr="000241DA" w:rsidRDefault="000241DA"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1.1. - 30.6.</w:t>
            </w:r>
          </w:p>
        </w:tc>
        <w:tc>
          <w:tcPr>
            <w:tcW w:w="1355" w:type="dxa"/>
            <w:tcBorders>
              <w:top w:val="nil"/>
              <w:left w:val="nil"/>
              <w:bottom w:val="nil"/>
              <w:right w:val="nil"/>
            </w:tcBorders>
            <w:shd w:val="clear" w:color="auto" w:fill="auto"/>
            <w:vAlign w:val="center"/>
            <w:hideMark/>
          </w:tcPr>
          <w:p w14:paraId="2F03C0A7" w14:textId="77777777" w:rsidR="000241DA" w:rsidRPr="000241DA" w:rsidRDefault="000241DA"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1.4. - 30.6.</w:t>
            </w:r>
          </w:p>
        </w:tc>
        <w:tc>
          <w:tcPr>
            <w:tcW w:w="1505" w:type="dxa"/>
            <w:tcBorders>
              <w:top w:val="nil"/>
              <w:left w:val="nil"/>
              <w:bottom w:val="nil"/>
              <w:right w:val="nil"/>
            </w:tcBorders>
            <w:shd w:val="clear" w:color="auto" w:fill="auto"/>
            <w:vAlign w:val="center"/>
            <w:hideMark/>
          </w:tcPr>
          <w:p w14:paraId="3E0296D7" w14:textId="77777777" w:rsidR="000241DA" w:rsidRPr="000241DA" w:rsidRDefault="000241DA"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1.1. - 30.6.</w:t>
            </w:r>
          </w:p>
        </w:tc>
        <w:tc>
          <w:tcPr>
            <w:tcW w:w="1355" w:type="dxa"/>
            <w:tcBorders>
              <w:top w:val="nil"/>
              <w:left w:val="nil"/>
              <w:bottom w:val="nil"/>
              <w:right w:val="nil"/>
            </w:tcBorders>
            <w:shd w:val="clear" w:color="auto" w:fill="auto"/>
            <w:vAlign w:val="center"/>
            <w:hideMark/>
          </w:tcPr>
          <w:p w14:paraId="04619D96" w14:textId="77777777" w:rsidR="000241DA" w:rsidRPr="000241DA" w:rsidRDefault="000241DA"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1.4. - 30.6.</w:t>
            </w:r>
          </w:p>
        </w:tc>
        <w:tc>
          <w:tcPr>
            <w:tcW w:w="1355" w:type="dxa"/>
            <w:tcBorders>
              <w:top w:val="nil"/>
              <w:left w:val="nil"/>
              <w:bottom w:val="nil"/>
              <w:right w:val="nil"/>
            </w:tcBorders>
            <w:shd w:val="clear" w:color="auto" w:fill="auto"/>
            <w:vAlign w:val="center"/>
            <w:hideMark/>
          </w:tcPr>
          <w:p w14:paraId="2FE7310D" w14:textId="77777777" w:rsidR="000241DA" w:rsidRPr="000241DA" w:rsidRDefault="000241DA"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1.1. - 30.6.</w:t>
            </w:r>
          </w:p>
        </w:tc>
      </w:tr>
      <w:tr w:rsidR="000241DA" w:rsidRPr="000241DA" w14:paraId="534B596C" w14:textId="77777777" w:rsidTr="000241DA">
        <w:trPr>
          <w:trHeight w:val="258"/>
        </w:trPr>
        <w:tc>
          <w:tcPr>
            <w:tcW w:w="3113" w:type="dxa"/>
            <w:tcBorders>
              <w:top w:val="nil"/>
              <w:left w:val="nil"/>
              <w:bottom w:val="nil"/>
              <w:right w:val="nil"/>
            </w:tcBorders>
            <w:shd w:val="clear" w:color="auto" w:fill="auto"/>
            <w:vAlign w:val="center"/>
            <w:hideMark/>
          </w:tcPr>
          <w:p w14:paraId="7941203A" w14:textId="77777777" w:rsidR="000241DA" w:rsidRPr="000241DA" w:rsidRDefault="000241DA" w:rsidP="000241DA">
            <w:pPr>
              <w:spacing w:after="0" w:line="240" w:lineRule="auto"/>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Kamate po kreditima</w:t>
            </w:r>
          </w:p>
        </w:tc>
        <w:tc>
          <w:tcPr>
            <w:tcW w:w="1402" w:type="dxa"/>
            <w:tcBorders>
              <w:top w:val="nil"/>
              <w:left w:val="nil"/>
              <w:bottom w:val="nil"/>
              <w:right w:val="nil"/>
            </w:tcBorders>
            <w:shd w:val="clear" w:color="auto" w:fill="auto"/>
            <w:vAlign w:val="center"/>
            <w:hideMark/>
          </w:tcPr>
          <w:p w14:paraId="527E4E6D" w14:textId="77777777" w:rsidR="000241DA" w:rsidRPr="000241DA" w:rsidRDefault="000241DA" w:rsidP="000241DA">
            <w:pPr>
              <w:spacing w:after="0" w:line="240" w:lineRule="auto"/>
              <w:rPr>
                <w:rFonts w:ascii="Calibri" w:eastAsia="Times New Roman" w:hAnsi="Calibri" w:cs="Times New Roman"/>
                <w:color w:val="000000"/>
                <w:sz w:val="20"/>
                <w:szCs w:val="20"/>
                <w:lang w:eastAsia="hr-HR"/>
              </w:rPr>
            </w:pPr>
          </w:p>
        </w:tc>
        <w:tc>
          <w:tcPr>
            <w:tcW w:w="1356" w:type="dxa"/>
            <w:tcBorders>
              <w:top w:val="nil"/>
              <w:left w:val="nil"/>
              <w:bottom w:val="nil"/>
              <w:right w:val="nil"/>
            </w:tcBorders>
            <w:shd w:val="clear" w:color="auto" w:fill="auto"/>
            <w:vAlign w:val="center"/>
            <w:hideMark/>
          </w:tcPr>
          <w:p w14:paraId="52938117" w14:textId="77777777" w:rsidR="000241DA" w:rsidRPr="000241DA" w:rsidRDefault="000241DA" w:rsidP="000241DA">
            <w:pPr>
              <w:spacing w:after="0" w:line="240" w:lineRule="auto"/>
              <w:jc w:val="center"/>
              <w:rPr>
                <w:rFonts w:ascii="Times New Roman" w:eastAsia="Times New Roman" w:hAnsi="Times New Roman" w:cs="Times New Roman"/>
                <w:sz w:val="20"/>
                <w:szCs w:val="20"/>
                <w:lang w:eastAsia="hr-HR"/>
              </w:rPr>
            </w:pPr>
          </w:p>
        </w:tc>
        <w:tc>
          <w:tcPr>
            <w:tcW w:w="1354" w:type="dxa"/>
            <w:tcBorders>
              <w:top w:val="nil"/>
              <w:left w:val="nil"/>
              <w:bottom w:val="nil"/>
              <w:right w:val="nil"/>
            </w:tcBorders>
            <w:shd w:val="clear" w:color="auto" w:fill="auto"/>
            <w:vAlign w:val="center"/>
            <w:hideMark/>
          </w:tcPr>
          <w:p w14:paraId="7FCC32DB" w14:textId="77777777" w:rsidR="000241DA" w:rsidRPr="000241DA" w:rsidRDefault="000241DA" w:rsidP="000241DA">
            <w:pPr>
              <w:spacing w:after="0" w:line="240" w:lineRule="auto"/>
              <w:jc w:val="center"/>
              <w:rPr>
                <w:rFonts w:ascii="Times New Roman" w:eastAsia="Times New Roman" w:hAnsi="Times New Roman" w:cs="Times New Roman"/>
                <w:sz w:val="20"/>
                <w:szCs w:val="20"/>
                <w:lang w:eastAsia="hr-HR"/>
              </w:rPr>
            </w:pPr>
          </w:p>
        </w:tc>
        <w:tc>
          <w:tcPr>
            <w:tcW w:w="1355" w:type="dxa"/>
            <w:tcBorders>
              <w:top w:val="nil"/>
              <w:left w:val="nil"/>
              <w:bottom w:val="nil"/>
              <w:right w:val="nil"/>
            </w:tcBorders>
            <w:shd w:val="clear" w:color="auto" w:fill="auto"/>
            <w:vAlign w:val="center"/>
            <w:hideMark/>
          </w:tcPr>
          <w:p w14:paraId="57C80427" w14:textId="77777777" w:rsidR="000241DA" w:rsidRPr="000241DA" w:rsidRDefault="000241DA" w:rsidP="000241DA">
            <w:pPr>
              <w:spacing w:after="0" w:line="240" w:lineRule="auto"/>
              <w:jc w:val="center"/>
              <w:rPr>
                <w:rFonts w:ascii="Times New Roman" w:eastAsia="Times New Roman" w:hAnsi="Times New Roman" w:cs="Times New Roman"/>
                <w:sz w:val="20"/>
                <w:szCs w:val="20"/>
                <w:lang w:eastAsia="hr-HR"/>
              </w:rPr>
            </w:pPr>
          </w:p>
        </w:tc>
        <w:tc>
          <w:tcPr>
            <w:tcW w:w="1355" w:type="dxa"/>
            <w:tcBorders>
              <w:top w:val="nil"/>
              <w:left w:val="nil"/>
              <w:bottom w:val="nil"/>
              <w:right w:val="nil"/>
            </w:tcBorders>
            <w:shd w:val="clear" w:color="auto" w:fill="auto"/>
            <w:vAlign w:val="center"/>
            <w:hideMark/>
          </w:tcPr>
          <w:p w14:paraId="2F542B1A" w14:textId="77777777" w:rsidR="000241DA" w:rsidRPr="000241DA" w:rsidRDefault="000241DA" w:rsidP="000241DA">
            <w:pPr>
              <w:spacing w:after="0" w:line="240" w:lineRule="auto"/>
              <w:jc w:val="center"/>
              <w:rPr>
                <w:rFonts w:ascii="Times New Roman" w:eastAsia="Times New Roman" w:hAnsi="Times New Roman" w:cs="Times New Roman"/>
                <w:sz w:val="20"/>
                <w:szCs w:val="20"/>
                <w:lang w:eastAsia="hr-HR"/>
              </w:rPr>
            </w:pPr>
          </w:p>
        </w:tc>
        <w:tc>
          <w:tcPr>
            <w:tcW w:w="1505" w:type="dxa"/>
            <w:tcBorders>
              <w:top w:val="nil"/>
              <w:left w:val="nil"/>
              <w:bottom w:val="nil"/>
              <w:right w:val="nil"/>
            </w:tcBorders>
            <w:shd w:val="clear" w:color="auto" w:fill="auto"/>
            <w:vAlign w:val="center"/>
            <w:hideMark/>
          </w:tcPr>
          <w:p w14:paraId="4B06639B" w14:textId="77777777" w:rsidR="000241DA" w:rsidRPr="000241DA" w:rsidRDefault="000241DA" w:rsidP="000241DA">
            <w:pPr>
              <w:spacing w:after="0" w:line="240" w:lineRule="auto"/>
              <w:jc w:val="center"/>
              <w:rPr>
                <w:rFonts w:ascii="Times New Roman" w:eastAsia="Times New Roman" w:hAnsi="Times New Roman" w:cs="Times New Roman"/>
                <w:sz w:val="20"/>
                <w:szCs w:val="20"/>
                <w:lang w:eastAsia="hr-HR"/>
              </w:rPr>
            </w:pPr>
          </w:p>
        </w:tc>
        <w:tc>
          <w:tcPr>
            <w:tcW w:w="1355" w:type="dxa"/>
            <w:tcBorders>
              <w:top w:val="nil"/>
              <w:left w:val="nil"/>
              <w:bottom w:val="nil"/>
              <w:right w:val="nil"/>
            </w:tcBorders>
            <w:shd w:val="clear" w:color="auto" w:fill="auto"/>
            <w:vAlign w:val="center"/>
            <w:hideMark/>
          </w:tcPr>
          <w:p w14:paraId="4F27FF02" w14:textId="77777777" w:rsidR="000241DA" w:rsidRPr="000241DA" w:rsidRDefault="000241DA" w:rsidP="000241DA">
            <w:pPr>
              <w:spacing w:after="0" w:line="240" w:lineRule="auto"/>
              <w:jc w:val="center"/>
              <w:rPr>
                <w:rFonts w:ascii="Times New Roman" w:eastAsia="Times New Roman" w:hAnsi="Times New Roman" w:cs="Times New Roman"/>
                <w:sz w:val="20"/>
                <w:szCs w:val="20"/>
                <w:lang w:eastAsia="hr-HR"/>
              </w:rPr>
            </w:pPr>
          </w:p>
        </w:tc>
        <w:tc>
          <w:tcPr>
            <w:tcW w:w="1355" w:type="dxa"/>
            <w:tcBorders>
              <w:top w:val="nil"/>
              <w:left w:val="nil"/>
              <w:bottom w:val="nil"/>
              <w:right w:val="nil"/>
            </w:tcBorders>
            <w:shd w:val="clear" w:color="auto" w:fill="auto"/>
            <w:vAlign w:val="center"/>
            <w:hideMark/>
          </w:tcPr>
          <w:p w14:paraId="4C6ED76D" w14:textId="77777777" w:rsidR="000241DA" w:rsidRPr="000241DA" w:rsidRDefault="000241DA" w:rsidP="000241DA">
            <w:pPr>
              <w:spacing w:after="0" w:line="240" w:lineRule="auto"/>
              <w:jc w:val="center"/>
              <w:rPr>
                <w:rFonts w:ascii="Times New Roman" w:eastAsia="Times New Roman" w:hAnsi="Times New Roman" w:cs="Times New Roman"/>
                <w:sz w:val="20"/>
                <w:szCs w:val="20"/>
                <w:lang w:eastAsia="hr-HR"/>
              </w:rPr>
            </w:pPr>
          </w:p>
        </w:tc>
      </w:tr>
      <w:tr w:rsidR="000241DA" w:rsidRPr="000241DA" w14:paraId="2930EEE9" w14:textId="77777777" w:rsidTr="00312975">
        <w:trPr>
          <w:trHeight w:val="258"/>
        </w:trPr>
        <w:tc>
          <w:tcPr>
            <w:tcW w:w="3113" w:type="dxa"/>
            <w:tcBorders>
              <w:top w:val="nil"/>
              <w:left w:val="nil"/>
              <w:bottom w:val="nil"/>
              <w:right w:val="nil"/>
            </w:tcBorders>
            <w:shd w:val="clear" w:color="auto" w:fill="auto"/>
            <w:vAlign w:val="center"/>
            <w:hideMark/>
          </w:tcPr>
          <w:p w14:paraId="0CB2627F" w14:textId="77777777" w:rsidR="000241DA" w:rsidRPr="000241DA" w:rsidRDefault="000241DA" w:rsidP="000241DA">
            <w:pPr>
              <w:spacing w:after="0" w:line="240" w:lineRule="auto"/>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 xml:space="preserve"> - financijskim institucijama</w:t>
            </w:r>
          </w:p>
        </w:tc>
        <w:tc>
          <w:tcPr>
            <w:tcW w:w="1402" w:type="dxa"/>
            <w:tcBorders>
              <w:top w:val="nil"/>
              <w:left w:val="nil"/>
              <w:bottom w:val="nil"/>
              <w:right w:val="nil"/>
            </w:tcBorders>
            <w:shd w:val="clear" w:color="auto" w:fill="auto"/>
            <w:vAlign w:val="center"/>
          </w:tcPr>
          <w:p w14:paraId="327968F2" w14:textId="5ABE3459" w:rsidR="000241DA" w:rsidRPr="000241DA" w:rsidRDefault="00CA161B" w:rsidP="000241DA">
            <w:pPr>
              <w:spacing w:after="0" w:line="240" w:lineRule="auto"/>
              <w:jc w:val="right"/>
              <w:rPr>
                <w:rFonts w:ascii="Calibri" w:eastAsia="Times New Roman" w:hAnsi="Calibri" w:cs="Times New Roman"/>
                <w:color w:val="000000"/>
                <w:sz w:val="20"/>
                <w:szCs w:val="20"/>
                <w:lang w:eastAsia="hr-HR"/>
              </w:rPr>
            </w:pPr>
            <w:r w:rsidRPr="00CA161B">
              <w:rPr>
                <w:rFonts w:ascii="Calibri" w:eastAsia="Times New Roman" w:hAnsi="Calibri" w:cs="Times New Roman"/>
                <w:color w:val="000000"/>
                <w:sz w:val="20"/>
                <w:szCs w:val="20"/>
                <w:lang w:eastAsia="hr-HR"/>
              </w:rPr>
              <w:t>61.826</w:t>
            </w:r>
          </w:p>
        </w:tc>
        <w:tc>
          <w:tcPr>
            <w:tcW w:w="1356" w:type="dxa"/>
            <w:tcBorders>
              <w:top w:val="nil"/>
              <w:left w:val="nil"/>
              <w:bottom w:val="nil"/>
              <w:right w:val="nil"/>
            </w:tcBorders>
            <w:shd w:val="clear" w:color="auto" w:fill="auto"/>
            <w:vAlign w:val="center"/>
          </w:tcPr>
          <w:p w14:paraId="76BBD857" w14:textId="23EA2EC7" w:rsidR="000241DA" w:rsidRPr="000241DA" w:rsidRDefault="00CA161B" w:rsidP="000241DA">
            <w:pPr>
              <w:spacing w:after="0" w:line="240" w:lineRule="auto"/>
              <w:jc w:val="right"/>
              <w:rPr>
                <w:rFonts w:ascii="Calibri" w:eastAsia="Times New Roman" w:hAnsi="Calibri" w:cs="Times New Roman"/>
                <w:color w:val="000000"/>
                <w:sz w:val="20"/>
                <w:szCs w:val="20"/>
                <w:lang w:eastAsia="hr-HR"/>
              </w:rPr>
            </w:pPr>
            <w:r w:rsidRPr="00CA161B">
              <w:rPr>
                <w:rFonts w:ascii="Calibri" w:eastAsia="Times New Roman" w:hAnsi="Calibri" w:cs="Times New Roman"/>
                <w:color w:val="000000"/>
                <w:sz w:val="20"/>
                <w:szCs w:val="20"/>
                <w:lang w:eastAsia="hr-HR"/>
              </w:rPr>
              <w:t>128.389</w:t>
            </w:r>
          </w:p>
        </w:tc>
        <w:tc>
          <w:tcPr>
            <w:tcW w:w="1354" w:type="dxa"/>
            <w:tcBorders>
              <w:top w:val="nil"/>
              <w:left w:val="nil"/>
              <w:bottom w:val="nil"/>
              <w:right w:val="nil"/>
            </w:tcBorders>
            <w:shd w:val="clear" w:color="auto" w:fill="auto"/>
            <w:vAlign w:val="center"/>
            <w:hideMark/>
          </w:tcPr>
          <w:p w14:paraId="1F6765F0" w14:textId="2ED17815" w:rsidR="000241DA" w:rsidRPr="000241DA" w:rsidRDefault="008A6393"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70.701</w:t>
            </w:r>
          </w:p>
        </w:tc>
        <w:tc>
          <w:tcPr>
            <w:tcW w:w="1355" w:type="dxa"/>
            <w:tcBorders>
              <w:top w:val="nil"/>
              <w:left w:val="nil"/>
              <w:bottom w:val="nil"/>
              <w:right w:val="nil"/>
            </w:tcBorders>
            <w:shd w:val="clear" w:color="auto" w:fill="auto"/>
            <w:vAlign w:val="center"/>
            <w:hideMark/>
          </w:tcPr>
          <w:p w14:paraId="5CBE640E" w14:textId="074D8873" w:rsidR="000241DA" w:rsidRPr="000241DA" w:rsidRDefault="008A6393"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145.692</w:t>
            </w:r>
          </w:p>
        </w:tc>
        <w:tc>
          <w:tcPr>
            <w:tcW w:w="1355" w:type="dxa"/>
            <w:tcBorders>
              <w:top w:val="nil"/>
              <w:left w:val="nil"/>
              <w:bottom w:val="nil"/>
              <w:right w:val="nil"/>
            </w:tcBorders>
            <w:shd w:val="clear" w:color="auto" w:fill="auto"/>
            <w:vAlign w:val="center"/>
          </w:tcPr>
          <w:p w14:paraId="0F114BF3" w14:textId="0F199B5E" w:rsidR="000241DA" w:rsidRPr="000241DA" w:rsidRDefault="00CA161B" w:rsidP="000241DA">
            <w:pPr>
              <w:spacing w:after="0" w:line="240" w:lineRule="auto"/>
              <w:jc w:val="right"/>
              <w:rPr>
                <w:rFonts w:ascii="Calibri" w:eastAsia="Times New Roman" w:hAnsi="Calibri" w:cs="Times New Roman"/>
                <w:color w:val="000000"/>
                <w:sz w:val="20"/>
                <w:szCs w:val="20"/>
                <w:lang w:eastAsia="hr-HR"/>
              </w:rPr>
            </w:pPr>
            <w:r w:rsidRPr="00CA161B">
              <w:rPr>
                <w:rFonts w:ascii="Calibri" w:eastAsia="Times New Roman" w:hAnsi="Calibri" w:cs="Times New Roman"/>
                <w:color w:val="000000"/>
                <w:sz w:val="20"/>
                <w:szCs w:val="20"/>
                <w:lang w:eastAsia="hr-HR"/>
              </w:rPr>
              <w:t>61.826</w:t>
            </w:r>
          </w:p>
        </w:tc>
        <w:tc>
          <w:tcPr>
            <w:tcW w:w="1505" w:type="dxa"/>
            <w:tcBorders>
              <w:top w:val="nil"/>
              <w:left w:val="nil"/>
              <w:bottom w:val="nil"/>
              <w:right w:val="nil"/>
            </w:tcBorders>
            <w:shd w:val="clear" w:color="auto" w:fill="auto"/>
            <w:vAlign w:val="center"/>
          </w:tcPr>
          <w:p w14:paraId="259B5B1B" w14:textId="5766D3DC" w:rsidR="000241DA" w:rsidRPr="000241DA" w:rsidRDefault="00CA161B" w:rsidP="000241DA">
            <w:pPr>
              <w:spacing w:after="0" w:line="240" w:lineRule="auto"/>
              <w:jc w:val="right"/>
              <w:rPr>
                <w:rFonts w:ascii="Calibri" w:eastAsia="Times New Roman" w:hAnsi="Calibri" w:cs="Times New Roman"/>
                <w:color w:val="000000"/>
                <w:sz w:val="20"/>
                <w:szCs w:val="20"/>
                <w:lang w:eastAsia="hr-HR"/>
              </w:rPr>
            </w:pPr>
            <w:r w:rsidRPr="00CA161B">
              <w:rPr>
                <w:rFonts w:ascii="Calibri" w:eastAsia="Times New Roman" w:hAnsi="Calibri" w:cs="Times New Roman"/>
                <w:color w:val="000000"/>
                <w:sz w:val="20"/>
                <w:szCs w:val="20"/>
                <w:lang w:eastAsia="hr-HR"/>
              </w:rPr>
              <w:t>128.389</w:t>
            </w:r>
          </w:p>
        </w:tc>
        <w:tc>
          <w:tcPr>
            <w:tcW w:w="1355" w:type="dxa"/>
            <w:tcBorders>
              <w:top w:val="nil"/>
              <w:left w:val="nil"/>
              <w:bottom w:val="nil"/>
              <w:right w:val="nil"/>
            </w:tcBorders>
            <w:shd w:val="clear" w:color="auto" w:fill="auto"/>
            <w:vAlign w:val="center"/>
            <w:hideMark/>
          </w:tcPr>
          <w:p w14:paraId="5402ECA1" w14:textId="59F86411" w:rsidR="000241DA" w:rsidRPr="000241DA" w:rsidRDefault="005D369C"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70.701</w:t>
            </w:r>
          </w:p>
        </w:tc>
        <w:tc>
          <w:tcPr>
            <w:tcW w:w="1355" w:type="dxa"/>
            <w:tcBorders>
              <w:top w:val="nil"/>
              <w:left w:val="nil"/>
              <w:bottom w:val="nil"/>
              <w:right w:val="nil"/>
            </w:tcBorders>
            <w:shd w:val="clear" w:color="auto" w:fill="auto"/>
            <w:noWrap/>
            <w:vAlign w:val="bottom"/>
            <w:hideMark/>
          </w:tcPr>
          <w:p w14:paraId="0F3CC3D1" w14:textId="791E3B51" w:rsidR="000241DA" w:rsidRPr="000241DA" w:rsidRDefault="005D369C"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145.692</w:t>
            </w:r>
          </w:p>
        </w:tc>
      </w:tr>
      <w:tr w:rsidR="000241DA" w:rsidRPr="000241DA" w14:paraId="0462DC6B" w14:textId="77777777" w:rsidTr="00312975">
        <w:trPr>
          <w:trHeight w:val="258"/>
        </w:trPr>
        <w:tc>
          <w:tcPr>
            <w:tcW w:w="3113" w:type="dxa"/>
            <w:tcBorders>
              <w:top w:val="nil"/>
              <w:left w:val="nil"/>
              <w:bottom w:val="nil"/>
              <w:right w:val="nil"/>
            </w:tcBorders>
            <w:shd w:val="clear" w:color="auto" w:fill="auto"/>
            <w:vAlign w:val="center"/>
            <w:hideMark/>
          </w:tcPr>
          <w:p w14:paraId="554A2D25" w14:textId="77777777" w:rsidR="000241DA" w:rsidRPr="000241DA" w:rsidRDefault="000241DA" w:rsidP="000241DA">
            <w:pPr>
              <w:spacing w:after="0" w:line="240" w:lineRule="auto"/>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 xml:space="preserve">- ostalim korisnicima </w:t>
            </w:r>
          </w:p>
        </w:tc>
        <w:tc>
          <w:tcPr>
            <w:tcW w:w="1402" w:type="dxa"/>
            <w:tcBorders>
              <w:top w:val="nil"/>
              <w:left w:val="nil"/>
              <w:bottom w:val="nil"/>
              <w:right w:val="nil"/>
            </w:tcBorders>
            <w:shd w:val="clear" w:color="auto" w:fill="auto"/>
            <w:vAlign w:val="center"/>
          </w:tcPr>
          <w:p w14:paraId="19B2CFBE" w14:textId="5CEB0744" w:rsidR="000241DA" w:rsidRPr="000241DA" w:rsidRDefault="00CA161B" w:rsidP="000241DA">
            <w:pPr>
              <w:spacing w:after="0" w:line="240" w:lineRule="auto"/>
              <w:jc w:val="right"/>
              <w:rPr>
                <w:rFonts w:ascii="Calibri" w:eastAsia="Times New Roman" w:hAnsi="Calibri" w:cs="Times New Roman"/>
                <w:color w:val="000000"/>
                <w:sz w:val="20"/>
                <w:szCs w:val="20"/>
                <w:lang w:eastAsia="hr-HR"/>
              </w:rPr>
            </w:pPr>
            <w:r w:rsidRPr="00CA161B">
              <w:rPr>
                <w:rFonts w:ascii="Calibri" w:eastAsia="Times New Roman" w:hAnsi="Calibri" w:cs="Times New Roman"/>
                <w:color w:val="000000"/>
                <w:sz w:val="20"/>
                <w:szCs w:val="20"/>
                <w:lang w:eastAsia="hr-HR"/>
              </w:rPr>
              <w:t>140.932</w:t>
            </w:r>
          </w:p>
        </w:tc>
        <w:tc>
          <w:tcPr>
            <w:tcW w:w="1356" w:type="dxa"/>
            <w:tcBorders>
              <w:top w:val="nil"/>
              <w:left w:val="nil"/>
              <w:bottom w:val="nil"/>
              <w:right w:val="nil"/>
            </w:tcBorders>
            <w:shd w:val="clear" w:color="auto" w:fill="auto"/>
            <w:vAlign w:val="center"/>
          </w:tcPr>
          <w:p w14:paraId="7BD863B1" w14:textId="3589EE4B" w:rsidR="000241DA" w:rsidRPr="000241DA" w:rsidRDefault="00CA161B" w:rsidP="000241DA">
            <w:pPr>
              <w:spacing w:after="0" w:line="240" w:lineRule="auto"/>
              <w:jc w:val="right"/>
              <w:rPr>
                <w:rFonts w:ascii="Calibri" w:eastAsia="Times New Roman" w:hAnsi="Calibri" w:cs="Times New Roman"/>
                <w:color w:val="000000"/>
                <w:sz w:val="20"/>
                <w:szCs w:val="20"/>
                <w:lang w:eastAsia="hr-HR"/>
              </w:rPr>
            </w:pPr>
            <w:r w:rsidRPr="00CA161B">
              <w:rPr>
                <w:rFonts w:ascii="Calibri" w:eastAsia="Times New Roman" w:hAnsi="Calibri" w:cs="Times New Roman"/>
                <w:color w:val="000000"/>
                <w:sz w:val="20"/>
                <w:szCs w:val="20"/>
                <w:lang w:eastAsia="hr-HR"/>
              </w:rPr>
              <w:t>302.003</w:t>
            </w:r>
          </w:p>
        </w:tc>
        <w:tc>
          <w:tcPr>
            <w:tcW w:w="1354" w:type="dxa"/>
            <w:tcBorders>
              <w:top w:val="nil"/>
              <w:left w:val="nil"/>
              <w:bottom w:val="nil"/>
              <w:right w:val="nil"/>
            </w:tcBorders>
            <w:shd w:val="clear" w:color="auto" w:fill="auto"/>
            <w:vAlign w:val="center"/>
            <w:hideMark/>
          </w:tcPr>
          <w:p w14:paraId="37757BEE" w14:textId="3656A068" w:rsidR="000241DA" w:rsidRPr="000241DA" w:rsidRDefault="008A6393"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126.874</w:t>
            </w:r>
          </w:p>
        </w:tc>
        <w:tc>
          <w:tcPr>
            <w:tcW w:w="1355" w:type="dxa"/>
            <w:tcBorders>
              <w:top w:val="nil"/>
              <w:left w:val="nil"/>
              <w:bottom w:val="nil"/>
              <w:right w:val="nil"/>
            </w:tcBorders>
            <w:shd w:val="clear" w:color="auto" w:fill="auto"/>
            <w:vAlign w:val="center"/>
            <w:hideMark/>
          </w:tcPr>
          <w:p w14:paraId="31203267" w14:textId="21F170A3" w:rsidR="000241DA" w:rsidRPr="000241DA" w:rsidRDefault="008A6393"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258.605</w:t>
            </w:r>
          </w:p>
        </w:tc>
        <w:tc>
          <w:tcPr>
            <w:tcW w:w="1355" w:type="dxa"/>
            <w:tcBorders>
              <w:top w:val="nil"/>
              <w:left w:val="nil"/>
              <w:bottom w:val="nil"/>
              <w:right w:val="nil"/>
            </w:tcBorders>
            <w:shd w:val="clear" w:color="auto" w:fill="auto"/>
            <w:vAlign w:val="center"/>
          </w:tcPr>
          <w:p w14:paraId="3B3A6432" w14:textId="445E5370" w:rsidR="000241DA" w:rsidRPr="000241DA" w:rsidRDefault="00CA161B" w:rsidP="000241DA">
            <w:pPr>
              <w:spacing w:after="0" w:line="240" w:lineRule="auto"/>
              <w:jc w:val="right"/>
              <w:rPr>
                <w:rFonts w:ascii="Calibri" w:eastAsia="Times New Roman" w:hAnsi="Calibri" w:cs="Times New Roman"/>
                <w:color w:val="000000"/>
                <w:sz w:val="20"/>
                <w:szCs w:val="20"/>
                <w:lang w:eastAsia="hr-HR"/>
              </w:rPr>
            </w:pPr>
            <w:r w:rsidRPr="00CA161B">
              <w:rPr>
                <w:rFonts w:ascii="Calibri" w:eastAsia="Times New Roman" w:hAnsi="Calibri" w:cs="Times New Roman"/>
                <w:color w:val="000000"/>
                <w:sz w:val="20"/>
                <w:szCs w:val="20"/>
                <w:lang w:eastAsia="hr-HR"/>
              </w:rPr>
              <w:t>140.932</w:t>
            </w:r>
          </w:p>
        </w:tc>
        <w:tc>
          <w:tcPr>
            <w:tcW w:w="1505" w:type="dxa"/>
            <w:tcBorders>
              <w:top w:val="nil"/>
              <w:left w:val="nil"/>
              <w:bottom w:val="nil"/>
              <w:right w:val="nil"/>
            </w:tcBorders>
            <w:shd w:val="clear" w:color="auto" w:fill="auto"/>
            <w:vAlign w:val="center"/>
          </w:tcPr>
          <w:p w14:paraId="4A22B6A5" w14:textId="0F39CED8" w:rsidR="000241DA" w:rsidRPr="000241DA" w:rsidRDefault="00CA161B" w:rsidP="000241DA">
            <w:pPr>
              <w:spacing w:after="0" w:line="240" w:lineRule="auto"/>
              <w:jc w:val="right"/>
              <w:rPr>
                <w:rFonts w:ascii="Calibri" w:eastAsia="Times New Roman" w:hAnsi="Calibri" w:cs="Times New Roman"/>
                <w:color w:val="000000"/>
                <w:sz w:val="20"/>
                <w:szCs w:val="20"/>
                <w:lang w:eastAsia="hr-HR"/>
              </w:rPr>
            </w:pPr>
            <w:r w:rsidRPr="00CA161B">
              <w:rPr>
                <w:rFonts w:ascii="Calibri" w:eastAsia="Times New Roman" w:hAnsi="Calibri" w:cs="Times New Roman"/>
                <w:color w:val="000000"/>
                <w:sz w:val="20"/>
                <w:szCs w:val="20"/>
                <w:lang w:eastAsia="hr-HR"/>
              </w:rPr>
              <w:t>302.003</w:t>
            </w:r>
          </w:p>
        </w:tc>
        <w:tc>
          <w:tcPr>
            <w:tcW w:w="1355" w:type="dxa"/>
            <w:tcBorders>
              <w:top w:val="nil"/>
              <w:left w:val="nil"/>
              <w:bottom w:val="nil"/>
              <w:right w:val="nil"/>
            </w:tcBorders>
            <w:shd w:val="clear" w:color="auto" w:fill="auto"/>
            <w:vAlign w:val="center"/>
            <w:hideMark/>
          </w:tcPr>
          <w:p w14:paraId="30C5A1AC" w14:textId="77296E3F" w:rsidR="000241DA" w:rsidRPr="000241DA" w:rsidRDefault="005D369C"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126.874</w:t>
            </w:r>
          </w:p>
        </w:tc>
        <w:tc>
          <w:tcPr>
            <w:tcW w:w="1355" w:type="dxa"/>
            <w:tcBorders>
              <w:top w:val="nil"/>
              <w:left w:val="nil"/>
              <w:bottom w:val="nil"/>
              <w:right w:val="nil"/>
            </w:tcBorders>
            <w:shd w:val="clear" w:color="auto" w:fill="auto"/>
            <w:noWrap/>
            <w:vAlign w:val="bottom"/>
            <w:hideMark/>
          </w:tcPr>
          <w:p w14:paraId="28D81323" w14:textId="0DCC12B0" w:rsidR="000241DA" w:rsidRPr="000241DA" w:rsidRDefault="005D369C"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258.605</w:t>
            </w:r>
          </w:p>
        </w:tc>
      </w:tr>
      <w:tr w:rsidR="000241DA" w:rsidRPr="000241DA" w14:paraId="5E7EF042" w14:textId="77777777" w:rsidTr="00312975">
        <w:trPr>
          <w:trHeight w:val="258"/>
        </w:trPr>
        <w:tc>
          <w:tcPr>
            <w:tcW w:w="3113" w:type="dxa"/>
            <w:tcBorders>
              <w:top w:val="nil"/>
              <w:left w:val="nil"/>
              <w:bottom w:val="nil"/>
              <w:right w:val="nil"/>
            </w:tcBorders>
            <w:shd w:val="clear" w:color="auto" w:fill="auto"/>
            <w:vAlign w:val="center"/>
            <w:hideMark/>
          </w:tcPr>
          <w:p w14:paraId="5FAE98E9" w14:textId="77777777" w:rsidR="000241DA" w:rsidRPr="000241DA" w:rsidRDefault="000241DA" w:rsidP="000241DA">
            <w:pPr>
              <w:spacing w:after="0" w:line="240" w:lineRule="auto"/>
              <w:jc w:val="right"/>
              <w:rPr>
                <w:rFonts w:ascii="Calibri" w:eastAsia="Times New Roman" w:hAnsi="Calibri" w:cs="Times New Roman"/>
                <w:color w:val="000000"/>
                <w:sz w:val="20"/>
                <w:szCs w:val="20"/>
                <w:lang w:eastAsia="hr-HR"/>
              </w:rPr>
            </w:pPr>
          </w:p>
        </w:tc>
        <w:tc>
          <w:tcPr>
            <w:tcW w:w="1402" w:type="dxa"/>
            <w:tcBorders>
              <w:top w:val="single" w:sz="4" w:space="0" w:color="auto"/>
              <w:left w:val="nil"/>
              <w:bottom w:val="single" w:sz="4" w:space="0" w:color="auto"/>
              <w:right w:val="nil"/>
            </w:tcBorders>
            <w:shd w:val="clear" w:color="auto" w:fill="auto"/>
            <w:vAlign w:val="center"/>
          </w:tcPr>
          <w:p w14:paraId="482D0AA5" w14:textId="417FD648" w:rsidR="000241DA" w:rsidRPr="000241DA" w:rsidRDefault="00CA161B" w:rsidP="000241DA">
            <w:pPr>
              <w:spacing w:after="0" w:line="240" w:lineRule="auto"/>
              <w:jc w:val="right"/>
              <w:rPr>
                <w:rFonts w:ascii="Calibri" w:eastAsia="Times New Roman" w:hAnsi="Calibri" w:cs="Times New Roman"/>
                <w:color w:val="000000"/>
                <w:sz w:val="20"/>
                <w:szCs w:val="20"/>
                <w:lang w:eastAsia="hr-HR"/>
              </w:rPr>
            </w:pPr>
            <w:r w:rsidRPr="00CA161B">
              <w:rPr>
                <w:rFonts w:ascii="Calibri" w:eastAsia="Times New Roman" w:hAnsi="Calibri" w:cs="Times New Roman"/>
                <w:color w:val="000000"/>
                <w:sz w:val="20"/>
                <w:szCs w:val="20"/>
                <w:lang w:eastAsia="hr-HR"/>
              </w:rPr>
              <w:t>202.758</w:t>
            </w:r>
          </w:p>
        </w:tc>
        <w:tc>
          <w:tcPr>
            <w:tcW w:w="1356" w:type="dxa"/>
            <w:tcBorders>
              <w:top w:val="single" w:sz="4" w:space="0" w:color="auto"/>
              <w:left w:val="nil"/>
              <w:bottom w:val="single" w:sz="4" w:space="0" w:color="auto"/>
              <w:right w:val="nil"/>
            </w:tcBorders>
            <w:shd w:val="clear" w:color="auto" w:fill="auto"/>
            <w:vAlign w:val="center"/>
          </w:tcPr>
          <w:p w14:paraId="02FE3A48" w14:textId="0911C0A8" w:rsidR="000241DA" w:rsidRPr="000241DA" w:rsidRDefault="00CA161B" w:rsidP="000241DA">
            <w:pPr>
              <w:spacing w:after="0" w:line="240" w:lineRule="auto"/>
              <w:jc w:val="right"/>
              <w:rPr>
                <w:rFonts w:ascii="Calibri" w:eastAsia="Times New Roman" w:hAnsi="Calibri" w:cs="Times New Roman"/>
                <w:color w:val="000000"/>
                <w:sz w:val="20"/>
                <w:szCs w:val="20"/>
                <w:lang w:eastAsia="hr-HR"/>
              </w:rPr>
            </w:pPr>
            <w:r w:rsidRPr="00CA161B">
              <w:rPr>
                <w:rFonts w:ascii="Calibri" w:eastAsia="Times New Roman" w:hAnsi="Calibri" w:cs="Times New Roman"/>
                <w:color w:val="000000"/>
                <w:sz w:val="20"/>
                <w:szCs w:val="20"/>
                <w:lang w:eastAsia="hr-HR"/>
              </w:rPr>
              <w:t>430.392</w:t>
            </w:r>
          </w:p>
        </w:tc>
        <w:tc>
          <w:tcPr>
            <w:tcW w:w="1354" w:type="dxa"/>
            <w:tcBorders>
              <w:top w:val="single" w:sz="4" w:space="0" w:color="auto"/>
              <w:left w:val="nil"/>
              <w:bottom w:val="single" w:sz="4" w:space="0" w:color="auto"/>
              <w:right w:val="nil"/>
            </w:tcBorders>
            <w:shd w:val="clear" w:color="auto" w:fill="auto"/>
            <w:vAlign w:val="center"/>
            <w:hideMark/>
          </w:tcPr>
          <w:p w14:paraId="6E0E8391" w14:textId="0EE08F23" w:rsidR="000241DA" w:rsidRPr="000241DA" w:rsidRDefault="008A6393"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197.575</w:t>
            </w:r>
          </w:p>
        </w:tc>
        <w:tc>
          <w:tcPr>
            <w:tcW w:w="1355" w:type="dxa"/>
            <w:tcBorders>
              <w:top w:val="single" w:sz="4" w:space="0" w:color="auto"/>
              <w:left w:val="nil"/>
              <w:bottom w:val="single" w:sz="4" w:space="0" w:color="auto"/>
              <w:right w:val="nil"/>
            </w:tcBorders>
            <w:shd w:val="clear" w:color="auto" w:fill="auto"/>
            <w:vAlign w:val="center"/>
            <w:hideMark/>
          </w:tcPr>
          <w:p w14:paraId="3DDA4059" w14:textId="046A3B21" w:rsidR="000241DA" w:rsidRPr="000241DA" w:rsidRDefault="008A6393"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404.297</w:t>
            </w:r>
          </w:p>
        </w:tc>
        <w:tc>
          <w:tcPr>
            <w:tcW w:w="1355" w:type="dxa"/>
            <w:tcBorders>
              <w:top w:val="single" w:sz="4" w:space="0" w:color="auto"/>
              <w:left w:val="nil"/>
              <w:bottom w:val="single" w:sz="4" w:space="0" w:color="auto"/>
              <w:right w:val="nil"/>
            </w:tcBorders>
            <w:shd w:val="clear" w:color="auto" w:fill="auto"/>
            <w:vAlign w:val="center"/>
          </w:tcPr>
          <w:p w14:paraId="78E36BAC" w14:textId="786A3BC6" w:rsidR="000241DA" w:rsidRPr="000241DA" w:rsidRDefault="00CA161B" w:rsidP="000241DA">
            <w:pPr>
              <w:spacing w:after="0" w:line="240" w:lineRule="auto"/>
              <w:jc w:val="right"/>
              <w:rPr>
                <w:rFonts w:ascii="Calibri" w:eastAsia="Times New Roman" w:hAnsi="Calibri" w:cs="Times New Roman"/>
                <w:color w:val="000000"/>
                <w:sz w:val="20"/>
                <w:szCs w:val="20"/>
                <w:lang w:eastAsia="hr-HR"/>
              </w:rPr>
            </w:pPr>
            <w:r w:rsidRPr="00CA161B">
              <w:rPr>
                <w:rFonts w:ascii="Calibri" w:eastAsia="Times New Roman" w:hAnsi="Calibri" w:cs="Times New Roman"/>
                <w:color w:val="000000"/>
                <w:sz w:val="20"/>
                <w:szCs w:val="20"/>
                <w:lang w:eastAsia="hr-HR"/>
              </w:rPr>
              <w:t>202.758</w:t>
            </w:r>
          </w:p>
        </w:tc>
        <w:tc>
          <w:tcPr>
            <w:tcW w:w="1505" w:type="dxa"/>
            <w:tcBorders>
              <w:top w:val="single" w:sz="4" w:space="0" w:color="auto"/>
              <w:left w:val="nil"/>
              <w:bottom w:val="single" w:sz="4" w:space="0" w:color="auto"/>
              <w:right w:val="nil"/>
            </w:tcBorders>
            <w:shd w:val="clear" w:color="auto" w:fill="auto"/>
            <w:vAlign w:val="center"/>
          </w:tcPr>
          <w:p w14:paraId="47A6A16A" w14:textId="66EB9A2C" w:rsidR="000241DA" w:rsidRPr="000241DA" w:rsidRDefault="00CA161B" w:rsidP="000241DA">
            <w:pPr>
              <w:spacing w:after="0" w:line="240" w:lineRule="auto"/>
              <w:jc w:val="right"/>
              <w:rPr>
                <w:rFonts w:ascii="Calibri" w:eastAsia="Times New Roman" w:hAnsi="Calibri" w:cs="Times New Roman"/>
                <w:color w:val="000000"/>
                <w:sz w:val="20"/>
                <w:szCs w:val="20"/>
                <w:lang w:eastAsia="hr-HR"/>
              </w:rPr>
            </w:pPr>
            <w:r w:rsidRPr="00CA161B">
              <w:rPr>
                <w:rFonts w:ascii="Calibri" w:eastAsia="Times New Roman" w:hAnsi="Calibri" w:cs="Times New Roman"/>
                <w:color w:val="000000"/>
                <w:sz w:val="20"/>
                <w:szCs w:val="20"/>
                <w:lang w:eastAsia="hr-HR"/>
              </w:rPr>
              <w:t>430.392</w:t>
            </w:r>
          </w:p>
        </w:tc>
        <w:tc>
          <w:tcPr>
            <w:tcW w:w="1355" w:type="dxa"/>
            <w:tcBorders>
              <w:top w:val="single" w:sz="4" w:space="0" w:color="auto"/>
              <w:left w:val="nil"/>
              <w:bottom w:val="single" w:sz="4" w:space="0" w:color="auto"/>
              <w:right w:val="nil"/>
            </w:tcBorders>
            <w:shd w:val="clear" w:color="auto" w:fill="auto"/>
            <w:vAlign w:val="center"/>
            <w:hideMark/>
          </w:tcPr>
          <w:p w14:paraId="5E8B4A21" w14:textId="7A7176F2" w:rsidR="000241DA" w:rsidRPr="000241DA" w:rsidRDefault="005D369C"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197.575</w:t>
            </w:r>
          </w:p>
        </w:tc>
        <w:tc>
          <w:tcPr>
            <w:tcW w:w="1355" w:type="dxa"/>
            <w:tcBorders>
              <w:top w:val="single" w:sz="4" w:space="0" w:color="auto"/>
              <w:left w:val="nil"/>
              <w:bottom w:val="single" w:sz="4" w:space="0" w:color="auto"/>
              <w:right w:val="nil"/>
            </w:tcBorders>
            <w:shd w:val="clear" w:color="auto" w:fill="auto"/>
            <w:vAlign w:val="center"/>
            <w:hideMark/>
          </w:tcPr>
          <w:p w14:paraId="20A7C00A" w14:textId="7F0F78BF" w:rsidR="000241DA" w:rsidRPr="000241DA" w:rsidRDefault="005D369C"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404.297</w:t>
            </w:r>
          </w:p>
        </w:tc>
      </w:tr>
      <w:tr w:rsidR="000241DA" w:rsidRPr="000241DA" w14:paraId="2A795F17" w14:textId="77777777" w:rsidTr="00312975">
        <w:trPr>
          <w:trHeight w:val="258"/>
        </w:trPr>
        <w:tc>
          <w:tcPr>
            <w:tcW w:w="3113" w:type="dxa"/>
            <w:tcBorders>
              <w:top w:val="nil"/>
              <w:left w:val="nil"/>
              <w:bottom w:val="nil"/>
              <w:right w:val="nil"/>
            </w:tcBorders>
            <w:shd w:val="clear" w:color="auto" w:fill="auto"/>
            <w:vAlign w:val="center"/>
            <w:hideMark/>
          </w:tcPr>
          <w:p w14:paraId="46D40FC2" w14:textId="77777777" w:rsidR="000241DA" w:rsidRPr="000241DA" w:rsidRDefault="000241DA" w:rsidP="000241DA">
            <w:pPr>
              <w:spacing w:after="0" w:line="240" w:lineRule="auto"/>
              <w:jc w:val="right"/>
              <w:rPr>
                <w:rFonts w:ascii="Calibri" w:eastAsia="Times New Roman" w:hAnsi="Calibri" w:cs="Times New Roman"/>
                <w:color w:val="000000"/>
                <w:sz w:val="20"/>
                <w:szCs w:val="20"/>
                <w:lang w:eastAsia="hr-HR"/>
              </w:rPr>
            </w:pPr>
          </w:p>
        </w:tc>
        <w:tc>
          <w:tcPr>
            <w:tcW w:w="1402" w:type="dxa"/>
            <w:tcBorders>
              <w:top w:val="nil"/>
              <w:left w:val="nil"/>
              <w:bottom w:val="nil"/>
              <w:right w:val="nil"/>
            </w:tcBorders>
            <w:shd w:val="clear" w:color="auto" w:fill="auto"/>
            <w:vAlign w:val="center"/>
          </w:tcPr>
          <w:p w14:paraId="506D6203" w14:textId="77777777" w:rsidR="000241DA" w:rsidRPr="000241DA" w:rsidRDefault="000241DA" w:rsidP="000241DA">
            <w:pPr>
              <w:spacing w:after="0" w:line="240" w:lineRule="auto"/>
              <w:rPr>
                <w:rFonts w:ascii="Times New Roman" w:eastAsia="Times New Roman" w:hAnsi="Times New Roman" w:cs="Times New Roman"/>
                <w:sz w:val="20"/>
                <w:szCs w:val="20"/>
                <w:lang w:eastAsia="hr-HR"/>
              </w:rPr>
            </w:pPr>
          </w:p>
        </w:tc>
        <w:tc>
          <w:tcPr>
            <w:tcW w:w="1356" w:type="dxa"/>
            <w:tcBorders>
              <w:top w:val="nil"/>
              <w:left w:val="nil"/>
              <w:bottom w:val="nil"/>
              <w:right w:val="nil"/>
            </w:tcBorders>
            <w:shd w:val="clear" w:color="auto" w:fill="auto"/>
            <w:vAlign w:val="center"/>
          </w:tcPr>
          <w:p w14:paraId="0F55F372" w14:textId="77777777" w:rsidR="000241DA" w:rsidRPr="000241DA" w:rsidRDefault="000241DA" w:rsidP="000241DA">
            <w:pPr>
              <w:spacing w:after="0" w:line="240" w:lineRule="auto"/>
              <w:rPr>
                <w:rFonts w:ascii="Times New Roman" w:eastAsia="Times New Roman" w:hAnsi="Times New Roman" w:cs="Times New Roman"/>
                <w:sz w:val="20"/>
                <w:szCs w:val="20"/>
                <w:lang w:eastAsia="hr-HR"/>
              </w:rPr>
            </w:pPr>
          </w:p>
        </w:tc>
        <w:tc>
          <w:tcPr>
            <w:tcW w:w="1354" w:type="dxa"/>
            <w:tcBorders>
              <w:top w:val="nil"/>
              <w:left w:val="nil"/>
              <w:bottom w:val="nil"/>
              <w:right w:val="nil"/>
            </w:tcBorders>
            <w:shd w:val="clear" w:color="auto" w:fill="auto"/>
            <w:vAlign w:val="center"/>
            <w:hideMark/>
          </w:tcPr>
          <w:p w14:paraId="6F691488" w14:textId="77777777" w:rsidR="000241DA" w:rsidRPr="000241DA" w:rsidRDefault="000241DA" w:rsidP="000241DA">
            <w:pPr>
              <w:spacing w:after="0" w:line="240" w:lineRule="auto"/>
              <w:rPr>
                <w:rFonts w:ascii="Times New Roman" w:eastAsia="Times New Roman" w:hAnsi="Times New Roman" w:cs="Times New Roman"/>
                <w:sz w:val="20"/>
                <w:szCs w:val="20"/>
                <w:lang w:eastAsia="hr-HR"/>
              </w:rPr>
            </w:pPr>
          </w:p>
        </w:tc>
        <w:tc>
          <w:tcPr>
            <w:tcW w:w="1355" w:type="dxa"/>
            <w:tcBorders>
              <w:top w:val="nil"/>
              <w:left w:val="nil"/>
              <w:bottom w:val="nil"/>
              <w:right w:val="nil"/>
            </w:tcBorders>
            <w:shd w:val="clear" w:color="auto" w:fill="auto"/>
            <w:vAlign w:val="center"/>
            <w:hideMark/>
          </w:tcPr>
          <w:p w14:paraId="2D45A77C" w14:textId="77777777" w:rsidR="000241DA" w:rsidRPr="000241DA" w:rsidRDefault="000241DA" w:rsidP="000241DA">
            <w:pPr>
              <w:spacing w:after="0" w:line="240" w:lineRule="auto"/>
              <w:rPr>
                <w:rFonts w:ascii="Times New Roman" w:eastAsia="Times New Roman" w:hAnsi="Times New Roman" w:cs="Times New Roman"/>
                <w:sz w:val="20"/>
                <w:szCs w:val="20"/>
                <w:lang w:eastAsia="hr-HR"/>
              </w:rPr>
            </w:pPr>
          </w:p>
        </w:tc>
        <w:tc>
          <w:tcPr>
            <w:tcW w:w="1355" w:type="dxa"/>
            <w:tcBorders>
              <w:top w:val="nil"/>
              <w:left w:val="nil"/>
              <w:bottom w:val="nil"/>
              <w:right w:val="nil"/>
            </w:tcBorders>
            <w:shd w:val="clear" w:color="auto" w:fill="auto"/>
            <w:vAlign w:val="center"/>
          </w:tcPr>
          <w:p w14:paraId="6437001C" w14:textId="77777777" w:rsidR="000241DA" w:rsidRPr="000241DA" w:rsidRDefault="000241DA" w:rsidP="000241DA">
            <w:pPr>
              <w:spacing w:after="0" w:line="240" w:lineRule="auto"/>
              <w:jc w:val="right"/>
              <w:rPr>
                <w:rFonts w:ascii="Times New Roman" w:eastAsia="Times New Roman" w:hAnsi="Times New Roman" w:cs="Times New Roman"/>
                <w:sz w:val="20"/>
                <w:szCs w:val="20"/>
                <w:lang w:eastAsia="hr-HR"/>
              </w:rPr>
            </w:pPr>
          </w:p>
        </w:tc>
        <w:tc>
          <w:tcPr>
            <w:tcW w:w="1505" w:type="dxa"/>
            <w:tcBorders>
              <w:top w:val="nil"/>
              <w:left w:val="nil"/>
              <w:bottom w:val="nil"/>
              <w:right w:val="nil"/>
            </w:tcBorders>
            <w:shd w:val="clear" w:color="auto" w:fill="auto"/>
            <w:vAlign w:val="center"/>
          </w:tcPr>
          <w:p w14:paraId="2D0C17A0" w14:textId="77777777" w:rsidR="000241DA" w:rsidRPr="000241DA" w:rsidRDefault="000241DA" w:rsidP="000241DA">
            <w:pPr>
              <w:spacing w:after="0" w:line="240" w:lineRule="auto"/>
              <w:jc w:val="right"/>
              <w:rPr>
                <w:rFonts w:ascii="Times New Roman" w:eastAsia="Times New Roman" w:hAnsi="Times New Roman" w:cs="Times New Roman"/>
                <w:sz w:val="20"/>
                <w:szCs w:val="20"/>
                <w:lang w:eastAsia="hr-HR"/>
              </w:rPr>
            </w:pPr>
          </w:p>
        </w:tc>
        <w:tc>
          <w:tcPr>
            <w:tcW w:w="1355" w:type="dxa"/>
            <w:tcBorders>
              <w:top w:val="nil"/>
              <w:left w:val="nil"/>
              <w:bottom w:val="nil"/>
              <w:right w:val="nil"/>
            </w:tcBorders>
            <w:shd w:val="clear" w:color="auto" w:fill="auto"/>
            <w:vAlign w:val="center"/>
            <w:hideMark/>
          </w:tcPr>
          <w:p w14:paraId="43F32CB7" w14:textId="77777777" w:rsidR="000241DA" w:rsidRPr="000241DA" w:rsidRDefault="000241DA" w:rsidP="000241DA">
            <w:pPr>
              <w:spacing w:after="0" w:line="240" w:lineRule="auto"/>
              <w:jc w:val="right"/>
              <w:rPr>
                <w:rFonts w:ascii="Times New Roman" w:eastAsia="Times New Roman" w:hAnsi="Times New Roman" w:cs="Times New Roman"/>
                <w:sz w:val="20"/>
                <w:szCs w:val="20"/>
                <w:lang w:eastAsia="hr-HR"/>
              </w:rPr>
            </w:pPr>
          </w:p>
        </w:tc>
        <w:tc>
          <w:tcPr>
            <w:tcW w:w="1355" w:type="dxa"/>
            <w:tcBorders>
              <w:top w:val="nil"/>
              <w:left w:val="nil"/>
              <w:bottom w:val="nil"/>
              <w:right w:val="nil"/>
            </w:tcBorders>
            <w:shd w:val="clear" w:color="auto" w:fill="auto"/>
            <w:noWrap/>
            <w:vAlign w:val="bottom"/>
            <w:hideMark/>
          </w:tcPr>
          <w:p w14:paraId="63074F48" w14:textId="77777777" w:rsidR="000241DA" w:rsidRPr="000241DA" w:rsidRDefault="000241DA" w:rsidP="000241DA">
            <w:pPr>
              <w:spacing w:after="0" w:line="240" w:lineRule="auto"/>
              <w:jc w:val="right"/>
              <w:rPr>
                <w:rFonts w:ascii="Times New Roman" w:eastAsia="Times New Roman" w:hAnsi="Times New Roman" w:cs="Times New Roman"/>
                <w:sz w:val="20"/>
                <w:szCs w:val="20"/>
                <w:lang w:eastAsia="hr-HR"/>
              </w:rPr>
            </w:pPr>
          </w:p>
        </w:tc>
      </w:tr>
      <w:tr w:rsidR="000241DA" w:rsidRPr="000241DA" w14:paraId="62EFD95F" w14:textId="77777777" w:rsidTr="00312975">
        <w:trPr>
          <w:trHeight w:val="258"/>
        </w:trPr>
        <w:tc>
          <w:tcPr>
            <w:tcW w:w="3113" w:type="dxa"/>
            <w:tcBorders>
              <w:top w:val="nil"/>
              <w:left w:val="nil"/>
              <w:bottom w:val="nil"/>
              <w:right w:val="nil"/>
            </w:tcBorders>
            <w:shd w:val="clear" w:color="auto" w:fill="auto"/>
            <w:vAlign w:val="center"/>
            <w:hideMark/>
          </w:tcPr>
          <w:p w14:paraId="0D41B858" w14:textId="77777777" w:rsidR="000241DA" w:rsidRPr="000241DA" w:rsidRDefault="000241DA" w:rsidP="000241DA">
            <w:pPr>
              <w:spacing w:after="0" w:line="240" w:lineRule="auto"/>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Plasmani u vrijednosne papire</w:t>
            </w:r>
          </w:p>
        </w:tc>
        <w:tc>
          <w:tcPr>
            <w:tcW w:w="1402" w:type="dxa"/>
            <w:tcBorders>
              <w:top w:val="nil"/>
              <w:left w:val="nil"/>
              <w:bottom w:val="nil"/>
              <w:right w:val="nil"/>
            </w:tcBorders>
            <w:shd w:val="clear" w:color="auto" w:fill="auto"/>
            <w:vAlign w:val="center"/>
          </w:tcPr>
          <w:p w14:paraId="2D49CA48" w14:textId="4FFF790F" w:rsidR="000241DA" w:rsidRPr="000241DA" w:rsidRDefault="00CA161B" w:rsidP="000241DA">
            <w:pPr>
              <w:spacing w:after="0" w:line="240" w:lineRule="auto"/>
              <w:jc w:val="right"/>
              <w:rPr>
                <w:rFonts w:ascii="Calibri" w:eastAsia="Times New Roman" w:hAnsi="Calibri" w:cs="Times New Roman"/>
                <w:color w:val="000000"/>
                <w:sz w:val="20"/>
                <w:szCs w:val="20"/>
                <w:lang w:eastAsia="hr-HR"/>
              </w:rPr>
            </w:pPr>
            <w:r w:rsidRPr="00CA161B">
              <w:rPr>
                <w:rFonts w:ascii="Calibri" w:eastAsia="Times New Roman" w:hAnsi="Calibri" w:cs="Times New Roman"/>
                <w:color w:val="000000"/>
                <w:sz w:val="20"/>
                <w:szCs w:val="20"/>
                <w:lang w:eastAsia="hr-HR"/>
              </w:rPr>
              <w:t>10.132</w:t>
            </w:r>
          </w:p>
        </w:tc>
        <w:tc>
          <w:tcPr>
            <w:tcW w:w="1356" w:type="dxa"/>
            <w:tcBorders>
              <w:top w:val="nil"/>
              <w:left w:val="nil"/>
              <w:bottom w:val="nil"/>
              <w:right w:val="nil"/>
            </w:tcBorders>
            <w:shd w:val="clear" w:color="auto" w:fill="auto"/>
            <w:vAlign w:val="center"/>
          </w:tcPr>
          <w:p w14:paraId="02E1FC7C" w14:textId="6D0B7E65" w:rsidR="000241DA" w:rsidRPr="000241DA" w:rsidRDefault="00CA161B" w:rsidP="000241DA">
            <w:pPr>
              <w:spacing w:after="0" w:line="240" w:lineRule="auto"/>
              <w:jc w:val="right"/>
              <w:rPr>
                <w:rFonts w:ascii="Calibri" w:eastAsia="Times New Roman" w:hAnsi="Calibri" w:cs="Times New Roman"/>
                <w:color w:val="000000"/>
                <w:sz w:val="20"/>
                <w:szCs w:val="20"/>
                <w:lang w:eastAsia="hr-HR"/>
              </w:rPr>
            </w:pPr>
            <w:r w:rsidRPr="00CA161B">
              <w:rPr>
                <w:rFonts w:ascii="Calibri" w:eastAsia="Times New Roman" w:hAnsi="Calibri" w:cs="Times New Roman"/>
                <w:color w:val="000000"/>
                <w:sz w:val="20"/>
                <w:szCs w:val="20"/>
                <w:lang w:eastAsia="hr-HR"/>
              </w:rPr>
              <w:t>21.270</w:t>
            </w:r>
          </w:p>
        </w:tc>
        <w:tc>
          <w:tcPr>
            <w:tcW w:w="1354" w:type="dxa"/>
            <w:tcBorders>
              <w:top w:val="nil"/>
              <w:left w:val="nil"/>
              <w:bottom w:val="nil"/>
              <w:right w:val="nil"/>
            </w:tcBorders>
            <w:shd w:val="clear" w:color="auto" w:fill="auto"/>
            <w:vAlign w:val="center"/>
            <w:hideMark/>
          </w:tcPr>
          <w:p w14:paraId="329FC9BC" w14:textId="13D1BE2B" w:rsidR="000241DA" w:rsidRPr="000241DA" w:rsidRDefault="008A6393"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12.332</w:t>
            </w:r>
          </w:p>
        </w:tc>
        <w:tc>
          <w:tcPr>
            <w:tcW w:w="1355" w:type="dxa"/>
            <w:tcBorders>
              <w:top w:val="nil"/>
              <w:left w:val="nil"/>
              <w:bottom w:val="nil"/>
              <w:right w:val="nil"/>
            </w:tcBorders>
            <w:shd w:val="clear" w:color="auto" w:fill="auto"/>
            <w:vAlign w:val="center"/>
            <w:hideMark/>
          </w:tcPr>
          <w:p w14:paraId="370AFCFA" w14:textId="71A5F3C0" w:rsidR="000241DA" w:rsidRPr="000241DA" w:rsidRDefault="008A6393"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24.579</w:t>
            </w:r>
          </w:p>
        </w:tc>
        <w:tc>
          <w:tcPr>
            <w:tcW w:w="1355" w:type="dxa"/>
            <w:tcBorders>
              <w:top w:val="nil"/>
              <w:left w:val="nil"/>
              <w:bottom w:val="nil"/>
              <w:right w:val="nil"/>
            </w:tcBorders>
            <w:shd w:val="clear" w:color="auto" w:fill="auto"/>
            <w:vAlign w:val="center"/>
          </w:tcPr>
          <w:p w14:paraId="3B97DED5" w14:textId="4603F4F1" w:rsidR="000241DA" w:rsidRPr="000241DA" w:rsidRDefault="00CA161B" w:rsidP="000241DA">
            <w:pPr>
              <w:spacing w:after="0" w:line="240" w:lineRule="auto"/>
              <w:jc w:val="right"/>
              <w:rPr>
                <w:rFonts w:ascii="Calibri" w:eastAsia="Times New Roman" w:hAnsi="Calibri" w:cs="Times New Roman"/>
                <w:color w:val="000000"/>
                <w:sz w:val="20"/>
                <w:szCs w:val="20"/>
                <w:lang w:eastAsia="hr-HR"/>
              </w:rPr>
            </w:pPr>
            <w:r w:rsidRPr="00CA161B">
              <w:rPr>
                <w:rFonts w:ascii="Calibri" w:eastAsia="Times New Roman" w:hAnsi="Calibri" w:cs="Times New Roman"/>
                <w:color w:val="000000"/>
                <w:sz w:val="20"/>
                <w:szCs w:val="20"/>
                <w:lang w:eastAsia="hr-HR"/>
              </w:rPr>
              <w:t>9.711</w:t>
            </w:r>
          </w:p>
        </w:tc>
        <w:tc>
          <w:tcPr>
            <w:tcW w:w="1505" w:type="dxa"/>
            <w:tcBorders>
              <w:top w:val="nil"/>
              <w:left w:val="nil"/>
              <w:bottom w:val="nil"/>
              <w:right w:val="nil"/>
            </w:tcBorders>
            <w:shd w:val="clear" w:color="auto" w:fill="auto"/>
            <w:vAlign w:val="center"/>
          </w:tcPr>
          <w:p w14:paraId="4C4C6D51" w14:textId="2AA2A47B" w:rsidR="000241DA" w:rsidRPr="000241DA" w:rsidRDefault="00CA161B" w:rsidP="000241DA">
            <w:pPr>
              <w:spacing w:after="0" w:line="240" w:lineRule="auto"/>
              <w:jc w:val="right"/>
              <w:rPr>
                <w:rFonts w:ascii="Calibri" w:eastAsia="Times New Roman" w:hAnsi="Calibri" w:cs="Times New Roman"/>
                <w:color w:val="000000"/>
                <w:sz w:val="20"/>
                <w:szCs w:val="20"/>
                <w:lang w:eastAsia="hr-HR"/>
              </w:rPr>
            </w:pPr>
            <w:r w:rsidRPr="00CA161B">
              <w:rPr>
                <w:rFonts w:ascii="Calibri" w:eastAsia="Times New Roman" w:hAnsi="Calibri" w:cs="Times New Roman"/>
                <w:color w:val="000000"/>
                <w:sz w:val="20"/>
                <w:szCs w:val="20"/>
                <w:lang w:eastAsia="hr-HR"/>
              </w:rPr>
              <w:t>20.441</w:t>
            </w:r>
          </w:p>
        </w:tc>
        <w:tc>
          <w:tcPr>
            <w:tcW w:w="1355" w:type="dxa"/>
            <w:tcBorders>
              <w:top w:val="nil"/>
              <w:left w:val="nil"/>
              <w:bottom w:val="nil"/>
              <w:right w:val="nil"/>
            </w:tcBorders>
            <w:shd w:val="clear" w:color="auto" w:fill="auto"/>
            <w:vAlign w:val="center"/>
            <w:hideMark/>
          </w:tcPr>
          <w:p w14:paraId="2B0A9165" w14:textId="7DB2350F" w:rsidR="000241DA" w:rsidRPr="000241DA" w:rsidRDefault="005D369C"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11.930</w:t>
            </w:r>
          </w:p>
        </w:tc>
        <w:tc>
          <w:tcPr>
            <w:tcW w:w="1355" w:type="dxa"/>
            <w:tcBorders>
              <w:top w:val="nil"/>
              <w:left w:val="nil"/>
              <w:bottom w:val="nil"/>
              <w:right w:val="nil"/>
            </w:tcBorders>
            <w:shd w:val="clear" w:color="auto" w:fill="auto"/>
            <w:noWrap/>
            <w:vAlign w:val="bottom"/>
            <w:hideMark/>
          </w:tcPr>
          <w:p w14:paraId="4F78A8C8" w14:textId="68A67D7B" w:rsidR="000241DA" w:rsidRPr="000241DA" w:rsidRDefault="005D369C"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23.793</w:t>
            </w:r>
          </w:p>
        </w:tc>
      </w:tr>
      <w:tr w:rsidR="000241DA" w:rsidRPr="000241DA" w14:paraId="5932A507" w14:textId="77777777" w:rsidTr="00312975">
        <w:trPr>
          <w:trHeight w:val="258"/>
        </w:trPr>
        <w:tc>
          <w:tcPr>
            <w:tcW w:w="3113" w:type="dxa"/>
            <w:tcBorders>
              <w:top w:val="nil"/>
              <w:left w:val="nil"/>
              <w:bottom w:val="nil"/>
              <w:right w:val="nil"/>
            </w:tcBorders>
            <w:shd w:val="clear" w:color="auto" w:fill="auto"/>
            <w:vAlign w:val="center"/>
            <w:hideMark/>
          </w:tcPr>
          <w:p w14:paraId="2672EDC0" w14:textId="77777777" w:rsidR="000241DA" w:rsidRPr="000241DA" w:rsidRDefault="000241DA" w:rsidP="000241DA">
            <w:pPr>
              <w:spacing w:after="0" w:line="240" w:lineRule="auto"/>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Depoziti</w:t>
            </w:r>
          </w:p>
        </w:tc>
        <w:tc>
          <w:tcPr>
            <w:tcW w:w="1402" w:type="dxa"/>
            <w:tcBorders>
              <w:top w:val="nil"/>
              <w:left w:val="nil"/>
              <w:bottom w:val="single" w:sz="4" w:space="0" w:color="auto"/>
              <w:right w:val="nil"/>
            </w:tcBorders>
            <w:shd w:val="clear" w:color="auto" w:fill="auto"/>
            <w:vAlign w:val="center"/>
          </w:tcPr>
          <w:p w14:paraId="2217A93B" w14:textId="05220D7C" w:rsidR="000241DA" w:rsidRPr="000241DA" w:rsidRDefault="00CA161B" w:rsidP="000241DA">
            <w:pPr>
              <w:spacing w:after="0" w:line="240" w:lineRule="auto"/>
              <w:jc w:val="right"/>
              <w:rPr>
                <w:rFonts w:ascii="Calibri" w:eastAsia="Times New Roman" w:hAnsi="Calibri" w:cs="Times New Roman"/>
                <w:color w:val="000000"/>
                <w:sz w:val="20"/>
                <w:szCs w:val="20"/>
                <w:lang w:eastAsia="hr-HR"/>
              </w:rPr>
            </w:pPr>
            <w:r w:rsidRPr="00CA161B">
              <w:rPr>
                <w:rFonts w:ascii="Calibri" w:eastAsia="Times New Roman" w:hAnsi="Calibri" w:cs="Times New Roman"/>
                <w:color w:val="000000"/>
                <w:sz w:val="20"/>
                <w:szCs w:val="20"/>
                <w:lang w:eastAsia="hr-HR"/>
              </w:rPr>
              <w:t>40</w:t>
            </w:r>
          </w:p>
        </w:tc>
        <w:tc>
          <w:tcPr>
            <w:tcW w:w="1356" w:type="dxa"/>
            <w:tcBorders>
              <w:top w:val="nil"/>
              <w:left w:val="nil"/>
              <w:bottom w:val="single" w:sz="4" w:space="0" w:color="auto"/>
              <w:right w:val="nil"/>
            </w:tcBorders>
            <w:shd w:val="clear" w:color="auto" w:fill="auto"/>
            <w:vAlign w:val="center"/>
          </w:tcPr>
          <w:p w14:paraId="00C4050B" w14:textId="62BAE78B" w:rsidR="000241DA" w:rsidRPr="000241DA" w:rsidRDefault="00CA161B" w:rsidP="000241DA">
            <w:pPr>
              <w:spacing w:after="0" w:line="240" w:lineRule="auto"/>
              <w:jc w:val="right"/>
              <w:rPr>
                <w:rFonts w:ascii="Calibri" w:eastAsia="Times New Roman" w:hAnsi="Calibri" w:cs="Times New Roman"/>
                <w:color w:val="000000"/>
                <w:sz w:val="20"/>
                <w:szCs w:val="20"/>
                <w:lang w:eastAsia="hr-HR"/>
              </w:rPr>
            </w:pPr>
            <w:r w:rsidRPr="00CA161B">
              <w:rPr>
                <w:rFonts w:ascii="Calibri" w:eastAsia="Times New Roman" w:hAnsi="Calibri" w:cs="Times New Roman"/>
                <w:color w:val="000000"/>
                <w:sz w:val="20"/>
                <w:szCs w:val="20"/>
                <w:lang w:eastAsia="hr-HR"/>
              </w:rPr>
              <w:t>179</w:t>
            </w:r>
          </w:p>
        </w:tc>
        <w:tc>
          <w:tcPr>
            <w:tcW w:w="1354" w:type="dxa"/>
            <w:tcBorders>
              <w:top w:val="nil"/>
              <w:left w:val="nil"/>
              <w:bottom w:val="single" w:sz="4" w:space="0" w:color="auto"/>
              <w:right w:val="nil"/>
            </w:tcBorders>
            <w:shd w:val="clear" w:color="auto" w:fill="auto"/>
            <w:vAlign w:val="center"/>
            <w:hideMark/>
          </w:tcPr>
          <w:p w14:paraId="7B022AD8" w14:textId="7056936C" w:rsidR="000241DA" w:rsidRPr="000241DA" w:rsidRDefault="008A6393"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75</w:t>
            </w:r>
          </w:p>
        </w:tc>
        <w:tc>
          <w:tcPr>
            <w:tcW w:w="1355" w:type="dxa"/>
            <w:tcBorders>
              <w:top w:val="nil"/>
              <w:left w:val="nil"/>
              <w:bottom w:val="single" w:sz="4" w:space="0" w:color="auto"/>
              <w:right w:val="nil"/>
            </w:tcBorders>
            <w:shd w:val="clear" w:color="auto" w:fill="auto"/>
            <w:vAlign w:val="center"/>
            <w:hideMark/>
          </w:tcPr>
          <w:p w14:paraId="1D3294FC" w14:textId="6F5173E1" w:rsidR="000241DA" w:rsidRPr="000241DA" w:rsidRDefault="008A6393"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150</w:t>
            </w:r>
          </w:p>
        </w:tc>
        <w:tc>
          <w:tcPr>
            <w:tcW w:w="1355" w:type="dxa"/>
            <w:tcBorders>
              <w:top w:val="nil"/>
              <w:left w:val="nil"/>
              <w:bottom w:val="single" w:sz="4" w:space="0" w:color="auto"/>
              <w:right w:val="nil"/>
            </w:tcBorders>
            <w:shd w:val="clear" w:color="auto" w:fill="auto"/>
            <w:vAlign w:val="center"/>
          </w:tcPr>
          <w:p w14:paraId="388A57F2" w14:textId="61264074" w:rsidR="000241DA" w:rsidRPr="000241DA" w:rsidRDefault="00CA161B" w:rsidP="000241DA">
            <w:pPr>
              <w:spacing w:after="0" w:line="240" w:lineRule="auto"/>
              <w:jc w:val="right"/>
              <w:rPr>
                <w:rFonts w:ascii="Calibri" w:eastAsia="Times New Roman" w:hAnsi="Calibri" w:cs="Times New Roman"/>
                <w:color w:val="000000"/>
                <w:sz w:val="20"/>
                <w:szCs w:val="20"/>
                <w:lang w:eastAsia="hr-HR"/>
              </w:rPr>
            </w:pPr>
            <w:r w:rsidRPr="00CA161B">
              <w:rPr>
                <w:rFonts w:ascii="Calibri" w:eastAsia="Times New Roman" w:hAnsi="Calibri" w:cs="Times New Roman"/>
                <w:color w:val="000000"/>
                <w:sz w:val="20"/>
                <w:szCs w:val="20"/>
                <w:lang w:eastAsia="hr-HR"/>
              </w:rPr>
              <w:t>40</w:t>
            </w:r>
          </w:p>
        </w:tc>
        <w:tc>
          <w:tcPr>
            <w:tcW w:w="1505" w:type="dxa"/>
            <w:tcBorders>
              <w:top w:val="nil"/>
              <w:left w:val="nil"/>
              <w:bottom w:val="single" w:sz="4" w:space="0" w:color="auto"/>
              <w:right w:val="nil"/>
            </w:tcBorders>
            <w:shd w:val="clear" w:color="auto" w:fill="auto"/>
            <w:vAlign w:val="center"/>
          </w:tcPr>
          <w:p w14:paraId="2E5CB4EF" w14:textId="0DC0EAD8" w:rsidR="000241DA" w:rsidRPr="000241DA" w:rsidRDefault="00CA161B" w:rsidP="000241DA">
            <w:pPr>
              <w:spacing w:after="0" w:line="240" w:lineRule="auto"/>
              <w:jc w:val="right"/>
              <w:rPr>
                <w:rFonts w:ascii="Calibri" w:eastAsia="Times New Roman" w:hAnsi="Calibri" w:cs="Times New Roman"/>
                <w:color w:val="000000"/>
                <w:sz w:val="20"/>
                <w:szCs w:val="20"/>
                <w:lang w:eastAsia="hr-HR"/>
              </w:rPr>
            </w:pPr>
            <w:r w:rsidRPr="00CA161B">
              <w:rPr>
                <w:rFonts w:ascii="Calibri" w:eastAsia="Times New Roman" w:hAnsi="Calibri" w:cs="Times New Roman"/>
                <w:color w:val="000000"/>
                <w:sz w:val="20"/>
                <w:szCs w:val="20"/>
                <w:lang w:eastAsia="hr-HR"/>
              </w:rPr>
              <w:t>179</w:t>
            </w:r>
          </w:p>
        </w:tc>
        <w:tc>
          <w:tcPr>
            <w:tcW w:w="1355" w:type="dxa"/>
            <w:tcBorders>
              <w:top w:val="nil"/>
              <w:left w:val="nil"/>
              <w:bottom w:val="single" w:sz="4" w:space="0" w:color="auto"/>
              <w:right w:val="nil"/>
            </w:tcBorders>
            <w:shd w:val="clear" w:color="auto" w:fill="auto"/>
            <w:vAlign w:val="center"/>
            <w:hideMark/>
          </w:tcPr>
          <w:p w14:paraId="3595FC62" w14:textId="75813374" w:rsidR="000241DA" w:rsidRPr="000241DA" w:rsidRDefault="005D369C"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51</w:t>
            </w:r>
          </w:p>
        </w:tc>
        <w:tc>
          <w:tcPr>
            <w:tcW w:w="1355" w:type="dxa"/>
            <w:tcBorders>
              <w:top w:val="nil"/>
              <w:left w:val="nil"/>
              <w:bottom w:val="single" w:sz="4" w:space="0" w:color="auto"/>
              <w:right w:val="nil"/>
            </w:tcBorders>
            <w:shd w:val="clear" w:color="auto" w:fill="auto"/>
            <w:noWrap/>
            <w:vAlign w:val="bottom"/>
            <w:hideMark/>
          </w:tcPr>
          <w:p w14:paraId="560000FC" w14:textId="2E5B31D3" w:rsidR="000241DA" w:rsidRPr="000241DA" w:rsidRDefault="005D369C" w:rsidP="000241DA">
            <w:pPr>
              <w:spacing w:after="0" w:line="240" w:lineRule="auto"/>
              <w:jc w:val="right"/>
              <w:rPr>
                <w:rFonts w:ascii="Calibri" w:eastAsia="Times New Roman" w:hAnsi="Calibri" w:cs="Times New Roman"/>
                <w:color w:val="000000"/>
                <w:sz w:val="20"/>
                <w:szCs w:val="20"/>
                <w:lang w:eastAsia="hr-HR"/>
              </w:rPr>
            </w:pPr>
            <w:r w:rsidRPr="000241DA">
              <w:rPr>
                <w:rFonts w:ascii="Calibri" w:eastAsia="Times New Roman" w:hAnsi="Calibri" w:cs="Times New Roman"/>
                <w:color w:val="000000"/>
                <w:sz w:val="20"/>
                <w:szCs w:val="20"/>
                <w:lang w:eastAsia="hr-HR"/>
              </w:rPr>
              <w:t>99</w:t>
            </w:r>
          </w:p>
        </w:tc>
      </w:tr>
      <w:tr w:rsidR="000241DA" w:rsidRPr="000241DA" w14:paraId="54084811" w14:textId="77777777" w:rsidTr="00312975">
        <w:trPr>
          <w:trHeight w:val="273"/>
        </w:trPr>
        <w:tc>
          <w:tcPr>
            <w:tcW w:w="3113" w:type="dxa"/>
            <w:tcBorders>
              <w:top w:val="nil"/>
              <w:left w:val="nil"/>
              <w:bottom w:val="nil"/>
              <w:right w:val="nil"/>
            </w:tcBorders>
            <w:shd w:val="clear" w:color="auto" w:fill="auto"/>
            <w:vAlign w:val="center"/>
            <w:hideMark/>
          </w:tcPr>
          <w:p w14:paraId="06F1E373" w14:textId="77777777" w:rsidR="000241DA" w:rsidRPr="000241DA" w:rsidRDefault="000241DA" w:rsidP="000241DA">
            <w:pPr>
              <w:spacing w:after="0" w:line="240" w:lineRule="auto"/>
              <w:jc w:val="right"/>
              <w:rPr>
                <w:rFonts w:ascii="Calibri" w:eastAsia="Times New Roman" w:hAnsi="Calibri" w:cs="Times New Roman"/>
                <w:color w:val="000000"/>
                <w:sz w:val="20"/>
                <w:szCs w:val="20"/>
                <w:lang w:eastAsia="hr-HR"/>
              </w:rPr>
            </w:pPr>
          </w:p>
        </w:tc>
        <w:tc>
          <w:tcPr>
            <w:tcW w:w="1402" w:type="dxa"/>
            <w:tcBorders>
              <w:top w:val="single" w:sz="4" w:space="0" w:color="auto"/>
              <w:left w:val="nil"/>
              <w:bottom w:val="single" w:sz="12" w:space="0" w:color="auto"/>
              <w:right w:val="nil"/>
            </w:tcBorders>
            <w:shd w:val="clear" w:color="auto" w:fill="auto"/>
            <w:vAlign w:val="center"/>
          </w:tcPr>
          <w:p w14:paraId="08AF6775" w14:textId="45172AD7" w:rsidR="000241DA" w:rsidRPr="000241DA" w:rsidRDefault="00CA161B" w:rsidP="000241DA">
            <w:pPr>
              <w:spacing w:after="0" w:line="240" w:lineRule="auto"/>
              <w:jc w:val="right"/>
              <w:rPr>
                <w:rFonts w:ascii="Calibri" w:eastAsia="Times New Roman" w:hAnsi="Calibri" w:cs="Times New Roman"/>
                <w:b/>
                <w:bCs/>
                <w:color w:val="000000"/>
                <w:sz w:val="20"/>
                <w:szCs w:val="20"/>
                <w:lang w:eastAsia="hr-HR"/>
              </w:rPr>
            </w:pPr>
            <w:r w:rsidRPr="00CA161B">
              <w:rPr>
                <w:rFonts w:ascii="Calibri" w:eastAsia="Times New Roman" w:hAnsi="Calibri" w:cs="Times New Roman"/>
                <w:b/>
                <w:bCs/>
                <w:color w:val="000000"/>
                <w:sz w:val="20"/>
                <w:szCs w:val="20"/>
                <w:lang w:eastAsia="hr-HR"/>
              </w:rPr>
              <w:t>212.930</w:t>
            </w:r>
          </w:p>
        </w:tc>
        <w:tc>
          <w:tcPr>
            <w:tcW w:w="1356" w:type="dxa"/>
            <w:tcBorders>
              <w:top w:val="single" w:sz="4" w:space="0" w:color="auto"/>
              <w:left w:val="nil"/>
              <w:bottom w:val="single" w:sz="12" w:space="0" w:color="auto"/>
              <w:right w:val="nil"/>
            </w:tcBorders>
            <w:shd w:val="clear" w:color="auto" w:fill="auto"/>
            <w:vAlign w:val="center"/>
          </w:tcPr>
          <w:p w14:paraId="4C209B37" w14:textId="38143A7A" w:rsidR="000241DA" w:rsidRPr="000241DA" w:rsidRDefault="00CA161B" w:rsidP="000241DA">
            <w:pPr>
              <w:spacing w:after="0" w:line="240" w:lineRule="auto"/>
              <w:jc w:val="right"/>
              <w:rPr>
                <w:rFonts w:ascii="Calibri" w:eastAsia="Times New Roman" w:hAnsi="Calibri" w:cs="Times New Roman"/>
                <w:b/>
                <w:bCs/>
                <w:color w:val="000000"/>
                <w:sz w:val="20"/>
                <w:szCs w:val="20"/>
                <w:lang w:eastAsia="hr-HR"/>
              </w:rPr>
            </w:pPr>
            <w:r w:rsidRPr="00CA161B">
              <w:rPr>
                <w:rFonts w:ascii="Calibri" w:eastAsia="Times New Roman" w:hAnsi="Calibri" w:cs="Times New Roman"/>
                <w:b/>
                <w:bCs/>
                <w:color w:val="000000"/>
                <w:sz w:val="20"/>
                <w:szCs w:val="20"/>
                <w:lang w:eastAsia="hr-HR"/>
              </w:rPr>
              <w:t>451.841</w:t>
            </w:r>
          </w:p>
        </w:tc>
        <w:tc>
          <w:tcPr>
            <w:tcW w:w="1354" w:type="dxa"/>
            <w:tcBorders>
              <w:top w:val="single" w:sz="4" w:space="0" w:color="auto"/>
              <w:left w:val="nil"/>
              <w:bottom w:val="single" w:sz="12" w:space="0" w:color="auto"/>
              <w:right w:val="nil"/>
            </w:tcBorders>
            <w:shd w:val="clear" w:color="auto" w:fill="auto"/>
            <w:vAlign w:val="center"/>
            <w:hideMark/>
          </w:tcPr>
          <w:p w14:paraId="19EF712A" w14:textId="0CA276B0" w:rsidR="000241DA" w:rsidRPr="000241DA" w:rsidRDefault="008A6393" w:rsidP="000241DA">
            <w:pPr>
              <w:spacing w:after="0" w:line="240" w:lineRule="auto"/>
              <w:jc w:val="right"/>
              <w:rPr>
                <w:rFonts w:ascii="Calibri" w:eastAsia="Times New Roman" w:hAnsi="Calibri" w:cs="Times New Roman"/>
                <w:b/>
                <w:bCs/>
                <w:color w:val="000000"/>
                <w:sz w:val="20"/>
                <w:szCs w:val="20"/>
                <w:lang w:eastAsia="hr-HR"/>
              </w:rPr>
            </w:pPr>
            <w:r w:rsidRPr="000241DA">
              <w:rPr>
                <w:rFonts w:ascii="Calibri" w:eastAsia="Times New Roman" w:hAnsi="Calibri" w:cs="Times New Roman"/>
                <w:b/>
                <w:bCs/>
                <w:color w:val="000000"/>
                <w:sz w:val="20"/>
                <w:szCs w:val="20"/>
                <w:lang w:eastAsia="hr-HR"/>
              </w:rPr>
              <w:t>209.982</w:t>
            </w:r>
          </w:p>
        </w:tc>
        <w:tc>
          <w:tcPr>
            <w:tcW w:w="1355" w:type="dxa"/>
            <w:tcBorders>
              <w:top w:val="single" w:sz="4" w:space="0" w:color="auto"/>
              <w:left w:val="nil"/>
              <w:bottom w:val="single" w:sz="12" w:space="0" w:color="auto"/>
              <w:right w:val="nil"/>
            </w:tcBorders>
            <w:shd w:val="clear" w:color="auto" w:fill="auto"/>
            <w:vAlign w:val="center"/>
            <w:hideMark/>
          </w:tcPr>
          <w:p w14:paraId="11D5061E" w14:textId="63C12B3E" w:rsidR="000241DA" w:rsidRPr="000241DA" w:rsidRDefault="008A6393" w:rsidP="000241DA">
            <w:pPr>
              <w:spacing w:after="0" w:line="240" w:lineRule="auto"/>
              <w:jc w:val="right"/>
              <w:rPr>
                <w:rFonts w:ascii="Calibri" w:eastAsia="Times New Roman" w:hAnsi="Calibri" w:cs="Times New Roman"/>
                <w:b/>
                <w:bCs/>
                <w:color w:val="000000"/>
                <w:sz w:val="20"/>
                <w:szCs w:val="20"/>
                <w:lang w:eastAsia="hr-HR"/>
              </w:rPr>
            </w:pPr>
            <w:r w:rsidRPr="000241DA">
              <w:rPr>
                <w:rFonts w:ascii="Calibri" w:eastAsia="Times New Roman" w:hAnsi="Calibri" w:cs="Times New Roman"/>
                <w:b/>
                <w:bCs/>
                <w:color w:val="000000"/>
                <w:sz w:val="20"/>
                <w:szCs w:val="20"/>
                <w:lang w:eastAsia="hr-HR"/>
              </w:rPr>
              <w:t>429.026</w:t>
            </w:r>
          </w:p>
        </w:tc>
        <w:tc>
          <w:tcPr>
            <w:tcW w:w="1355" w:type="dxa"/>
            <w:tcBorders>
              <w:top w:val="single" w:sz="4" w:space="0" w:color="auto"/>
              <w:left w:val="nil"/>
              <w:bottom w:val="single" w:sz="12" w:space="0" w:color="auto"/>
              <w:right w:val="nil"/>
            </w:tcBorders>
            <w:shd w:val="clear" w:color="auto" w:fill="auto"/>
            <w:vAlign w:val="center"/>
          </w:tcPr>
          <w:p w14:paraId="345866AB" w14:textId="784DF033" w:rsidR="000241DA" w:rsidRPr="000241DA" w:rsidRDefault="00CA161B" w:rsidP="000241DA">
            <w:pPr>
              <w:spacing w:after="0" w:line="240" w:lineRule="auto"/>
              <w:jc w:val="right"/>
              <w:rPr>
                <w:rFonts w:ascii="Calibri" w:eastAsia="Times New Roman" w:hAnsi="Calibri" w:cs="Times New Roman"/>
                <w:b/>
                <w:bCs/>
                <w:color w:val="000000"/>
                <w:sz w:val="20"/>
                <w:szCs w:val="20"/>
                <w:lang w:eastAsia="hr-HR"/>
              </w:rPr>
            </w:pPr>
            <w:r w:rsidRPr="00CA161B">
              <w:rPr>
                <w:rFonts w:ascii="Calibri" w:eastAsia="Times New Roman" w:hAnsi="Calibri" w:cs="Times New Roman"/>
                <w:b/>
                <w:bCs/>
                <w:color w:val="000000"/>
                <w:sz w:val="20"/>
                <w:szCs w:val="20"/>
                <w:lang w:eastAsia="hr-HR"/>
              </w:rPr>
              <w:t>212.509</w:t>
            </w:r>
          </w:p>
        </w:tc>
        <w:tc>
          <w:tcPr>
            <w:tcW w:w="1505" w:type="dxa"/>
            <w:tcBorders>
              <w:top w:val="single" w:sz="4" w:space="0" w:color="auto"/>
              <w:left w:val="nil"/>
              <w:bottom w:val="single" w:sz="12" w:space="0" w:color="auto"/>
              <w:right w:val="nil"/>
            </w:tcBorders>
            <w:shd w:val="clear" w:color="auto" w:fill="auto"/>
            <w:vAlign w:val="center"/>
          </w:tcPr>
          <w:p w14:paraId="3E6789AF" w14:textId="22B02AB5" w:rsidR="000241DA" w:rsidRPr="000241DA" w:rsidRDefault="00CA161B" w:rsidP="000241DA">
            <w:pPr>
              <w:spacing w:after="0" w:line="240" w:lineRule="auto"/>
              <w:jc w:val="right"/>
              <w:rPr>
                <w:rFonts w:ascii="Calibri" w:eastAsia="Times New Roman" w:hAnsi="Calibri" w:cs="Times New Roman"/>
                <w:b/>
                <w:bCs/>
                <w:color w:val="000000"/>
                <w:sz w:val="20"/>
                <w:szCs w:val="20"/>
                <w:lang w:eastAsia="hr-HR"/>
              </w:rPr>
            </w:pPr>
            <w:r w:rsidRPr="00CA161B">
              <w:rPr>
                <w:rFonts w:ascii="Calibri" w:eastAsia="Times New Roman" w:hAnsi="Calibri" w:cs="Times New Roman"/>
                <w:b/>
                <w:bCs/>
                <w:color w:val="000000"/>
                <w:sz w:val="20"/>
                <w:szCs w:val="20"/>
                <w:lang w:eastAsia="hr-HR"/>
              </w:rPr>
              <w:t>451.012</w:t>
            </w:r>
          </w:p>
        </w:tc>
        <w:tc>
          <w:tcPr>
            <w:tcW w:w="1355" w:type="dxa"/>
            <w:tcBorders>
              <w:top w:val="single" w:sz="4" w:space="0" w:color="auto"/>
              <w:left w:val="nil"/>
              <w:bottom w:val="single" w:sz="12" w:space="0" w:color="auto"/>
              <w:right w:val="nil"/>
            </w:tcBorders>
            <w:shd w:val="clear" w:color="auto" w:fill="auto"/>
            <w:vAlign w:val="center"/>
            <w:hideMark/>
          </w:tcPr>
          <w:p w14:paraId="2519D711" w14:textId="2CCA1261" w:rsidR="000241DA" w:rsidRPr="000241DA" w:rsidRDefault="005D369C" w:rsidP="000241DA">
            <w:pPr>
              <w:spacing w:after="0" w:line="240" w:lineRule="auto"/>
              <w:jc w:val="right"/>
              <w:rPr>
                <w:rFonts w:ascii="Calibri" w:eastAsia="Times New Roman" w:hAnsi="Calibri" w:cs="Times New Roman"/>
                <w:b/>
                <w:bCs/>
                <w:color w:val="000000"/>
                <w:sz w:val="20"/>
                <w:szCs w:val="20"/>
                <w:lang w:eastAsia="hr-HR"/>
              </w:rPr>
            </w:pPr>
            <w:r w:rsidRPr="000241DA">
              <w:rPr>
                <w:rFonts w:ascii="Calibri" w:eastAsia="Times New Roman" w:hAnsi="Calibri" w:cs="Times New Roman"/>
                <w:b/>
                <w:bCs/>
                <w:color w:val="000000"/>
                <w:sz w:val="20"/>
                <w:szCs w:val="20"/>
                <w:lang w:eastAsia="hr-HR"/>
              </w:rPr>
              <w:t>209.556</w:t>
            </w:r>
          </w:p>
        </w:tc>
        <w:tc>
          <w:tcPr>
            <w:tcW w:w="1355" w:type="dxa"/>
            <w:tcBorders>
              <w:top w:val="single" w:sz="4" w:space="0" w:color="auto"/>
              <w:left w:val="nil"/>
              <w:bottom w:val="single" w:sz="12" w:space="0" w:color="auto"/>
              <w:right w:val="nil"/>
            </w:tcBorders>
            <w:shd w:val="clear" w:color="auto" w:fill="auto"/>
            <w:vAlign w:val="center"/>
            <w:hideMark/>
          </w:tcPr>
          <w:p w14:paraId="6B5C6E81" w14:textId="7AD07CFD" w:rsidR="000241DA" w:rsidRPr="000241DA" w:rsidRDefault="005D369C" w:rsidP="000241DA">
            <w:pPr>
              <w:spacing w:after="0" w:line="240" w:lineRule="auto"/>
              <w:jc w:val="right"/>
              <w:rPr>
                <w:rFonts w:ascii="Calibri" w:eastAsia="Times New Roman" w:hAnsi="Calibri" w:cs="Times New Roman"/>
                <w:b/>
                <w:bCs/>
                <w:color w:val="000000"/>
                <w:sz w:val="20"/>
                <w:szCs w:val="20"/>
                <w:lang w:eastAsia="hr-HR"/>
              </w:rPr>
            </w:pPr>
            <w:r w:rsidRPr="000241DA">
              <w:rPr>
                <w:rFonts w:ascii="Calibri" w:eastAsia="Times New Roman" w:hAnsi="Calibri" w:cs="Times New Roman"/>
                <w:b/>
                <w:bCs/>
                <w:color w:val="000000"/>
                <w:sz w:val="20"/>
                <w:szCs w:val="20"/>
                <w:lang w:eastAsia="hr-HR"/>
              </w:rPr>
              <w:t>428.189</w:t>
            </w:r>
          </w:p>
        </w:tc>
      </w:tr>
    </w:tbl>
    <w:p w14:paraId="24ECD148" w14:textId="77777777" w:rsidR="00AE12ED" w:rsidRDefault="00AE12ED" w:rsidP="00BF3DE3">
      <w:pPr>
        <w:pStyle w:val="T1"/>
        <w:keepNext w:val="0"/>
        <w:spacing w:before="0" w:after="0" w:line="240" w:lineRule="auto"/>
        <w:rPr>
          <w:rFonts w:asciiTheme="minorHAnsi" w:hAnsiTheme="minorHAnsi" w:cs="Arial"/>
          <w:b w:val="0"/>
          <w:sz w:val="22"/>
          <w:szCs w:val="22"/>
          <w:lang w:val="hr-HR"/>
        </w:rPr>
      </w:pPr>
    </w:p>
    <w:p w14:paraId="22D9E74F" w14:textId="77777777" w:rsidR="00D17FF0" w:rsidRDefault="00D17FF0" w:rsidP="00D17FF0">
      <w:pPr>
        <w:pStyle w:val="T1"/>
        <w:keepNext w:val="0"/>
        <w:spacing w:before="0" w:after="0" w:line="240" w:lineRule="auto"/>
        <w:ind w:right="140"/>
        <w:rPr>
          <w:rFonts w:asciiTheme="minorHAnsi" w:hAnsiTheme="minorHAnsi" w:cs="Arial"/>
          <w:b w:val="0"/>
          <w:sz w:val="22"/>
          <w:szCs w:val="22"/>
          <w:lang w:val="hr-HR"/>
        </w:rPr>
      </w:pPr>
    </w:p>
    <w:p w14:paraId="2C25883B" w14:textId="48FA1690" w:rsidR="00AE09B0" w:rsidRPr="00F86904" w:rsidRDefault="00AE09B0" w:rsidP="00D17FF0">
      <w:pPr>
        <w:pStyle w:val="T1"/>
        <w:keepNext w:val="0"/>
        <w:spacing w:before="0" w:after="0" w:line="240" w:lineRule="auto"/>
        <w:ind w:right="140"/>
        <w:rPr>
          <w:rFonts w:asciiTheme="minorHAnsi" w:hAnsiTheme="minorHAnsi" w:cs="Arial"/>
          <w:b w:val="0"/>
          <w:sz w:val="22"/>
          <w:szCs w:val="22"/>
          <w:lang w:val="hr-HR"/>
        </w:rPr>
      </w:pPr>
      <w:r w:rsidRPr="00A05D2F">
        <w:rPr>
          <w:rFonts w:asciiTheme="minorHAnsi" w:hAnsiTheme="minorHAnsi" w:cs="Arial"/>
          <w:b w:val="0"/>
          <w:sz w:val="22"/>
          <w:szCs w:val="22"/>
          <w:lang w:val="hr-HR"/>
        </w:rPr>
        <w:t>Razlika između prihoda od kamata i primljenog odnosno naplaćenog iznosa kamatnih prihoda (vid</w:t>
      </w:r>
      <w:r w:rsidR="00882293" w:rsidRPr="00A05D2F">
        <w:rPr>
          <w:rFonts w:asciiTheme="minorHAnsi" w:hAnsiTheme="minorHAnsi" w:cs="Arial"/>
          <w:b w:val="0"/>
          <w:sz w:val="22"/>
          <w:szCs w:val="22"/>
          <w:lang w:val="hr-HR"/>
        </w:rPr>
        <w:t>jet</w:t>
      </w:r>
      <w:r w:rsidRPr="00A05D2F">
        <w:rPr>
          <w:rFonts w:asciiTheme="minorHAnsi" w:hAnsiTheme="minorHAnsi" w:cs="Arial"/>
          <w:b w:val="0"/>
          <w:sz w:val="22"/>
          <w:szCs w:val="22"/>
          <w:lang w:val="hr-HR"/>
        </w:rPr>
        <w:t xml:space="preserve">i Izvještaj o novčanim tokovima) najvećim se dijelom odnosi na prihode s osnova subvencionirane kamatne stope čiji se tok novca bilježi u trenutku uplate. </w:t>
      </w:r>
      <w:r w:rsidRPr="00A05D2F">
        <w:rPr>
          <w:rFonts w:asciiTheme="minorHAnsi" w:hAnsiTheme="minorHAnsi" w:cs="Arial"/>
          <w:b w:val="0"/>
          <w:bCs w:val="0"/>
          <w:sz w:val="22"/>
          <w:szCs w:val="22"/>
          <w:lang w:val="hr-HR"/>
        </w:rPr>
        <w:t>Diskontirani iznos subvencionirane kamate za krajnjeg korisnika iskazan je kao odgođeno priznavanje kamatnih prihoda i priznaje se u izvještaju o dobiti i gubitku te ostaloj sveobuhvatnoj dobiti na vremenskoj osnovi tijekom razdoblja otplate kredita.</w:t>
      </w:r>
      <w:r w:rsidRPr="00A05D2F">
        <w:rPr>
          <w:rFonts w:asciiTheme="minorHAnsi" w:hAnsiTheme="minorHAnsi" w:cs="Arial"/>
          <w:b w:val="0"/>
          <w:sz w:val="22"/>
          <w:szCs w:val="22"/>
          <w:lang w:val="hr-HR"/>
        </w:rPr>
        <w:t xml:space="preserve"> Prihod od subvencionirane kamate </w:t>
      </w:r>
      <w:r w:rsidR="001962BE">
        <w:rPr>
          <w:rFonts w:asciiTheme="minorHAnsi" w:hAnsiTheme="minorHAnsi" w:cs="Arial"/>
          <w:b w:val="0"/>
          <w:sz w:val="22"/>
          <w:szCs w:val="22"/>
          <w:lang w:val="hr-HR"/>
        </w:rPr>
        <w:t>za razdoblje od 1.</w:t>
      </w:r>
      <w:r w:rsidR="00A23AEB" w:rsidRPr="00A05D2F">
        <w:rPr>
          <w:rFonts w:asciiTheme="minorHAnsi" w:hAnsiTheme="minorHAnsi" w:cs="Arial"/>
          <w:b w:val="0"/>
          <w:sz w:val="22"/>
          <w:szCs w:val="22"/>
          <w:lang w:val="hr-HR"/>
        </w:rPr>
        <w:t xml:space="preserve">1. do </w:t>
      </w:r>
      <w:r w:rsidR="008A6393" w:rsidRPr="00A05D2F">
        <w:rPr>
          <w:rFonts w:asciiTheme="minorHAnsi" w:hAnsiTheme="minorHAnsi" w:cs="Arial"/>
          <w:b w:val="0"/>
          <w:sz w:val="22"/>
          <w:szCs w:val="22"/>
          <w:lang w:val="hr-HR"/>
        </w:rPr>
        <w:t>3</w:t>
      </w:r>
      <w:r w:rsidR="008A6393">
        <w:rPr>
          <w:rFonts w:asciiTheme="minorHAnsi" w:hAnsiTheme="minorHAnsi" w:cs="Arial"/>
          <w:b w:val="0"/>
          <w:sz w:val="22"/>
          <w:szCs w:val="22"/>
          <w:lang w:val="hr-HR"/>
        </w:rPr>
        <w:t>0</w:t>
      </w:r>
      <w:r w:rsidR="001962BE">
        <w:rPr>
          <w:rFonts w:asciiTheme="minorHAnsi" w:hAnsiTheme="minorHAnsi" w:cs="Arial"/>
          <w:b w:val="0"/>
          <w:sz w:val="22"/>
          <w:szCs w:val="22"/>
          <w:lang w:val="hr-HR"/>
        </w:rPr>
        <w:t>.</w:t>
      </w:r>
      <w:r w:rsidR="008A6393">
        <w:rPr>
          <w:rFonts w:asciiTheme="minorHAnsi" w:hAnsiTheme="minorHAnsi" w:cs="Arial"/>
          <w:b w:val="0"/>
          <w:sz w:val="22"/>
          <w:szCs w:val="22"/>
          <w:lang w:val="hr-HR"/>
        </w:rPr>
        <w:t>6</w:t>
      </w:r>
      <w:r w:rsidR="00A23AEB" w:rsidRPr="00A05D2F">
        <w:rPr>
          <w:rFonts w:asciiTheme="minorHAnsi" w:hAnsiTheme="minorHAnsi" w:cs="Arial"/>
          <w:b w:val="0"/>
          <w:sz w:val="22"/>
          <w:szCs w:val="22"/>
          <w:lang w:val="hr-HR"/>
        </w:rPr>
        <w:t>.</w:t>
      </w:r>
      <w:r w:rsidR="00065224" w:rsidRPr="00A05D2F">
        <w:rPr>
          <w:rFonts w:asciiTheme="minorHAnsi" w:hAnsiTheme="minorHAnsi" w:cs="Arial"/>
          <w:b w:val="0"/>
          <w:sz w:val="22"/>
          <w:szCs w:val="22"/>
          <w:lang w:val="hr-HR"/>
        </w:rPr>
        <w:t>201</w:t>
      </w:r>
      <w:r w:rsidR="00126FD1">
        <w:rPr>
          <w:rFonts w:asciiTheme="minorHAnsi" w:hAnsiTheme="minorHAnsi" w:cs="Arial"/>
          <w:b w:val="0"/>
          <w:sz w:val="22"/>
          <w:szCs w:val="22"/>
          <w:lang w:val="hr-HR"/>
        </w:rPr>
        <w:t>7</w:t>
      </w:r>
      <w:r w:rsidR="00A23AEB" w:rsidRPr="00A05D2F">
        <w:rPr>
          <w:rFonts w:asciiTheme="minorHAnsi" w:hAnsiTheme="minorHAnsi" w:cs="Arial"/>
          <w:b w:val="0"/>
          <w:sz w:val="22"/>
          <w:szCs w:val="22"/>
          <w:lang w:val="hr-HR"/>
        </w:rPr>
        <w:t>. godine</w:t>
      </w:r>
      <w:r w:rsidRPr="00A05D2F">
        <w:rPr>
          <w:rFonts w:asciiTheme="minorHAnsi" w:hAnsiTheme="minorHAnsi" w:cs="Arial"/>
          <w:b w:val="0"/>
          <w:sz w:val="22"/>
          <w:szCs w:val="22"/>
          <w:lang w:val="hr-HR"/>
        </w:rPr>
        <w:t xml:space="preserve"> </w:t>
      </w:r>
      <w:r w:rsidRPr="00627EC9">
        <w:rPr>
          <w:rFonts w:asciiTheme="minorHAnsi" w:hAnsiTheme="minorHAnsi" w:cs="Arial"/>
          <w:b w:val="0"/>
          <w:sz w:val="22"/>
          <w:szCs w:val="22"/>
          <w:lang w:val="hr-HR"/>
        </w:rPr>
        <w:t xml:space="preserve">iznosi </w:t>
      </w:r>
      <w:r w:rsidR="008865B8" w:rsidRPr="008865B8">
        <w:rPr>
          <w:rFonts w:asciiTheme="minorHAnsi" w:hAnsiTheme="minorHAnsi" w:cs="Arial"/>
          <w:b w:val="0"/>
          <w:sz w:val="22"/>
          <w:szCs w:val="22"/>
          <w:lang w:val="hr-HR"/>
        </w:rPr>
        <w:t>53.015</w:t>
      </w:r>
      <w:r w:rsidR="008865B8">
        <w:rPr>
          <w:rFonts w:asciiTheme="minorHAnsi" w:hAnsiTheme="minorHAnsi" w:cs="Arial"/>
          <w:b w:val="0"/>
          <w:sz w:val="22"/>
          <w:szCs w:val="22"/>
          <w:lang w:val="hr-HR"/>
        </w:rPr>
        <w:t xml:space="preserve"> </w:t>
      </w:r>
      <w:r w:rsidRPr="00627EC9">
        <w:rPr>
          <w:rFonts w:asciiTheme="minorHAnsi" w:hAnsiTheme="minorHAnsi" w:cs="Arial"/>
          <w:b w:val="0"/>
          <w:sz w:val="22"/>
          <w:szCs w:val="22"/>
          <w:lang w:val="hr-HR"/>
        </w:rPr>
        <w:t>tisuća</w:t>
      </w:r>
      <w:r w:rsidRPr="00A05D2F">
        <w:rPr>
          <w:rFonts w:asciiTheme="minorHAnsi" w:hAnsiTheme="minorHAnsi" w:cs="Arial"/>
          <w:b w:val="0"/>
          <w:sz w:val="22"/>
          <w:szCs w:val="22"/>
          <w:lang w:val="hr-HR"/>
        </w:rPr>
        <w:t xml:space="preserve"> kuna (</w:t>
      </w:r>
      <w:r w:rsidR="001962BE">
        <w:rPr>
          <w:rFonts w:asciiTheme="minorHAnsi" w:hAnsiTheme="minorHAnsi" w:cs="Arial"/>
          <w:b w:val="0"/>
          <w:sz w:val="22"/>
          <w:szCs w:val="22"/>
          <w:lang w:val="hr-HR"/>
        </w:rPr>
        <w:t>1.</w:t>
      </w:r>
      <w:r w:rsidR="00B80592" w:rsidRPr="00A05D2F">
        <w:rPr>
          <w:rFonts w:asciiTheme="minorHAnsi" w:hAnsiTheme="minorHAnsi" w:cs="Arial"/>
          <w:b w:val="0"/>
          <w:sz w:val="22"/>
          <w:szCs w:val="22"/>
          <w:lang w:val="hr-HR"/>
        </w:rPr>
        <w:t xml:space="preserve">1. do </w:t>
      </w:r>
      <w:r w:rsidR="008A6393" w:rsidRPr="00A05D2F">
        <w:rPr>
          <w:rFonts w:asciiTheme="minorHAnsi" w:hAnsiTheme="minorHAnsi" w:cs="Arial"/>
          <w:b w:val="0"/>
          <w:sz w:val="22"/>
          <w:szCs w:val="22"/>
          <w:lang w:val="hr-HR"/>
        </w:rPr>
        <w:t>3</w:t>
      </w:r>
      <w:r w:rsidR="008A6393">
        <w:rPr>
          <w:rFonts w:asciiTheme="minorHAnsi" w:hAnsiTheme="minorHAnsi" w:cs="Arial"/>
          <w:b w:val="0"/>
          <w:sz w:val="22"/>
          <w:szCs w:val="22"/>
          <w:lang w:val="hr-HR"/>
        </w:rPr>
        <w:t>0</w:t>
      </w:r>
      <w:r w:rsidR="001962BE">
        <w:rPr>
          <w:rFonts w:asciiTheme="minorHAnsi" w:hAnsiTheme="minorHAnsi" w:cs="Arial"/>
          <w:b w:val="0"/>
          <w:sz w:val="22"/>
          <w:szCs w:val="22"/>
          <w:lang w:val="hr-HR"/>
        </w:rPr>
        <w:t>.</w:t>
      </w:r>
      <w:r w:rsidR="008A6393">
        <w:rPr>
          <w:rFonts w:asciiTheme="minorHAnsi" w:hAnsiTheme="minorHAnsi" w:cs="Arial"/>
          <w:b w:val="0"/>
          <w:sz w:val="22"/>
          <w:szCs w:val="22"/>
          <w:lang w:val="hr-HR"/>
        </w:rPr>
        <w:t>6</w:t>
      </w:r>
      <w:r w:rsidR="00A23AEB" w:rsidRPr="00A05D2F">
        <w:rPr>
          <w:rFonts w:asciiTheme="minorHAnsi" w:hAnsiTheme="minorHAnsi" w:cs="Arial"/>
          <w:b w:val="0"/>
          <w:sz w:val="22"/>
          <w:szCs w:val="22"/>
          <w:lang w:val="hr-HR"/>
        </w:rPr>
        <w:t>.</w:t>
      </w:r>
      <w:r w:rsidR="00065224" w:rsidRPr="00A05D2F">
        <w:rPr>
          <w:rFonts w:asciiTheme="minorHAnsi" w:hAnsiTheme="minorHAnsi" w:cs="Arial"/>
          <w:b w:val="0"/>
          <w:sz w:val="22"/>
          <w:szCs w:val="22"/>
          <w:lang w:val="hr-HR"/>
        </w:rPr>
        <w:t>201</w:t>
      </w:r>
      <w:r w:rsidR="00126FD1">
        <w:rPr>
          <w:rFonts w:asciiTheme="minorHAnsi" w:hAnsiTheme="minorHAnsi" w:cs="Arial"/>
          <w:b w:val="0"/>
          <w:sz w:val="22"/>
          <w:szCs w:val="22"/>
          <w:lang w:val="hr-HR"/>
        </w:rPr>
        <w:t>6</w:t>
      </w:r>
      <w:r w:rsidR="00A23AEB" w:rsidRPr="00A05D2F">
        <w:rPr>
          <w:rFonts w:asciiTheme="minorHAnsi" w:hAnsiTheme="minorHAnsi" w:cs="Arial"/>
          <w:b w:val="0"/>
          <w:sz w:val="22"/>
          <w:szCs w:val="22"/>
          <w:lang w:val="hr-HR"/>
        </w:rPr>
        <w:t>.</w:t>
      </w:r>
      <w:r w:rsidRPr="00A05D2F">
        <w:rPr>
          <w:rFonts w:asciiTheme="minorHAnsi" w:hAnsiTheme="minorHAnsi" w:cs="Arial"/>
          <w:b w:val="0"/>
          <w:sz w:val="22"/>
          <w:szCs w:val="22"/>
          <w:lang w:val="hr-HR"/>
        </w:rPr>
        <w:t xml:space="preserve"> godine: </w:t>
      </w:r>
      <w:r w:rsidR="008A6393">
        <w:rPr>
          <w:rFonts w:asciiTheme="minorHAnsi" w:hAnsiTheme="minorHAnsi" w:cs="Arial"/>
          <w:b w:val="0"/>
          <w:sz w:val="22"/>
          <w:szCs w:val="22"/>
          <w:lang w:val="hr-HR"/>
        </w:rPr>
        <w:t>67.637</w:t>
      </w:r>
      <w:r w:rsidR="00837863" w:rsidRPr="00837863">
        <w:rPr>
          <w:rFonts w:asciiTheme="minorHAnsi" w:hAnsiTheme="minorHAnsi" w:cs="Arial"/>
          <w:b w:val="0"/>
          <w:sz w:val="22"/>
          <w:szCs w:val="22"/>
          <w:lang w:val="hr-HR"/>
        </w:rPr>
        <w:t xml:space="preserve"> </w:t>
      </w:r>
      <w:r w:rsidRPr="00A05D2F">
        <w:rPr>
          <w:rFonts w:asciiTheme="minorHAnsi" w:hAnsiTheme="minorHAnsi" w:cs="Arial"/>
          <w:b w:val="0"/>
          <w:sz w:val="22"/>
          <w:szCs w:val="22"/>
          <w:lang w:val="hr-HR"/>
        </w:rPr>
        <w:t>tisuća kuna).</w:t>
      </w:r>
      <w:r w:rsidRPr="00F86904">
        <w:rPr>
          <w:rFonts w:asciiTheme="minorHAnsi" w:hAnsiTheme="minorHAnsi" w:cs="Arial"/>
          <w:b w:val="0"/>
          <w:sz w:val="22"/>
          <w:szCs w:val="22"/>
          <w:lang w:val="hr-HR"/>
        </w:rPr>
        <w:t xml:space="preserve"> </w:t>
      </w:r>
    </w:p>
    <w:p w14:paraId="36E80771" w14:textId="77777777" w:rsidR="00AE12ED" w:rsidRPr="00FE20A4" w:rsidRDefault="00AE12ED" w:rsidP="00D17FF0">
      <w:pPr>
        <w:pStyle w:val="T1"/>
        <w:keepNext w:val="0"/>
        <w:spacing w:before="0" w:after="0" w:line="240" w:lineRule="auto"/>
        <w:ind w:right="140"/>
        <w:rPr>
          <w:rFonts w:asciiTheme="minorHAnsi" w:hAnsiTheme="minorHAnsi" w:cs="Arial"/>
          <w:b w:val="0"/>
          <w:sz w:val="22"/>
          <w:szCs w:val="22"/>
          <w:highlight w:val="yellow"/>
          <w:lang w:val="hr-HR"/>
        </w:rPr>
      </w:pPr>
    </w:p>
    <w:p w14:paraId="7E7242E1" w14:textId="77777777" w:rsidR="00DE00A1" w:rsidRDefault="00AE09B0" w:rsidP="00D17FF0">
      <w:pPr>
        <w:pStyle w:val="T1"/>
        <w:keepNext w:val="0"/>
        <w:spacing w:before="0" w:after="0" w:line="240" w:lineRule="auto"/>
        <w:ind w:right="140"/>
        <w:rPr>
          <w:rFonts w:cs="Arial"/>
        </w:rPr>
      </w:pPr>
      <w:r w:rsidRPr="00A05D2F">
        <w:rPr>
          <w:rFonts w:asciiTheme="minorHAnsi" w:hAnsiTheme="minorHAnsi" w:cs="Arial"/>
          <w:b w:val="0"/>
          <w:sz w:val="22"/>
          <w:szCs w:val="22"/>
          <w:lang w:val="hr-HR"/>
        </w:rPr>
        <w:t>Nadalje, razliku između prihoda od kamata i naplaćenog iznosa kamatnih prihoda čini i iznos naknada po kreditima te iznos obračunate nedospjele kamate. Naknade se u cijelosti naplaćuju pri odobravanju kredita, a u izvještaj o dobiti i gubitku te ostaloj sveobuhvatnoj dobiti priznaju se na vremenskoj osnovi tijekom razdoblja otplate kredita. Nedospjela kamata priznaje se u izvještaj o dobiti i gubitku te ostaloj sveobuhvatnoj dobiti za pripadajuće razdoblje.</w:t>
      </w:r>
    </w:p>
    <w:p w14:paraId="007CA0DC" w14:textId="77777777" w:rsidR="00AE09B0" w:rsidRDefault="00AE09B0" w:rsidP="00F1130C">
      <w:pPr>
        <w:pStyle w:val="T1"/>
        <w:keepNext w:val="0"/>
        <w:spacing w:before="0" w:after="0" w:line="240" w:lineRule="auto"/>
        <w:ind w:right="366"/>
        <w:rPr>
          <w:lang w:eastAsia="hr-HR"/>
        </w:rPr>
        <w:sectPr w:rsidR="00AE09B0" w:rsidSect="00312975">
          <w:footerReference w:type="first" r:id="rId63"/>
          <w:pgSz w:w="16838" w:h="11906" w:orient="landscape" w:code="9"/>
          <w:pgMar w:top="1418" w:right="595" w:bottom="1134" w:left="1418" w:header="709" w:footer="709" w:gutter="0"/>
          <w:cols w:space="708"/>
          <w:titlePg/>
          <w:docGrid w:linePitch="360"/>
        </w:sectPr>
      </w:pPr>
    </w:p>
    <w:p w14:paraId="4833D9C9" w14:textId="77777777" w:rsidR="00BF3447" w:rsidRPr="00BF3447" w:rsidRDefault="00BF3447" w:rsidP="006379CB">
      <w:pPr>
        <w:tabs>
          <w:tab w:val="left" w:pos="142"/>
          <w:tab w:val="left" w:pos="567"/>
        </w:tabs>
        <w:spacing w:after="0" w:line="240" w:lineRule="auto"/>
        <w:jc w:val="both"/>
        <w:rPr>
          <w:rFonts w:eastAsia="Times New Roman" w:cs="Calibri"/>
          <w:b/>
          <w:sz w:val="18"/>
          <w:szCs w:val="18"/>
          <w:lang w:eastAsia="hr-HR"/>
        </w:rPr>
      </w:pPr>
    </w:p>
    <w:p w14:paraId="0836C0E7" w14:textId="77777777" w:rsidR="00AE09B0" w:rsidRPr="00876425" w:rsidRDefault="00AE09B0" w:rsidP="006379CB">
      <w:pPr>
        <w:tabs>
          <w:tab w:val="left" w:pos="142"/>
          <w:tab w:val="left" w:pos="567"/>
        </w:tabs>
        <w:spacing w:after="0" w:line="240" w:lineRule="auto"/>
        <w:jc w:val="both"/>
        <w:rPr>
          <w:rFonts w:eastAsia="Times New Roman" w:cs="Calibri"/>
          <w:lang w:eastAsia="hr-HR"/>
        </w:rPr>
      </w:pPr>
      <w:r w:rsidRPr="00876425">
        <w:rPr>
          <w:rFonts w:eastAsia="Times New Roman" w:cs="Calibri"/>
          <w:b/>
          <w:lang w:eastAsia="hr-HR"/>
        </w:rPr>
        <w:t xml:space="preserve">5. </w:t>
      </w:r>
      <w:r w:rsidRPr="00876425">
        <w:rPr>
          <w:rFonts w:eastAsia="Times New Roman" w:cs="Calibri"/>
          <w:b/>
          <w:lang w:eastAsia="hr-HR"/>
        </w:rPr>
        <w:tab/>
        <w:t xml:space="preserve">Rashodi od kamata </w:t>
      </w:r>
    </w:p>
    <w:p w14:paraId="3793046F" w14:textId="77777777" w:rsidR="006379CB" w:rsidRDefault="006379CB" w:rsidP="006379CB">
      <w:pPr>
        <w:spacing w:after="0" w:line="240" w:lineRule="auto"/>
        <w:jc w:val="both"/>
        <w:rPr>
          <w:rFonts w:eastAsia="Times New Roman" w:cs="Calibri"/>
          <w:lang w:eastAsia="hr-HR"/>
        </w:rPr>
      </w:pPr>
    </w:p>
    <w:p w14:paraId="1E1DD7BD" w14:textId="77777777" w:rsidR="006379CB" w:rsidRPr="00473076" w:rsidRDefault="00AE09B0" w:rsidP="00473076">
      <w:pPr>
        <w:spacing w:after="120" w:line="240" w:lineRule="auto"/>
        <w:jc w:val="both"/>
        <w:rPr>
          <w:rFonts w:eastAsia="Times New Roman" w:cs="Calibri"/>
          <w:lang w:eastAsia="hr-HR"/>
        </w:rPr>
      </w:pPr>
      <w:r w:rsidRPr="006379CB">
        <w:rPr>
          <w:rFonts w:eastAsia="Times New Roman" w:cs="Calibri"/>
          <w:lang w:eastAsia="hr-HR"/>
        </w:rPr>
        <w:t>Rashodi od kamata prema primateljima</w:t>
      </w:r>
      <w:r w:rsidR="00202F35" w:rsidRPr="006379CB">
        <w:rPr>
          <w:rFonts w:eastAsia="Times New Roman" w:cs="Calibri"/>
          <w:lang w:eastAsia="hr-HR"/>
        </w:rPr>
        <w:t>:</w:t>
      </w:r>
    </w:p>
    <w:tbl>
      <w:tblPr>
        <w:tblW w:w="4744" w:type="pct"/>
        <w:tblLayout w:type="fixed"/>
        <w:tblLook w:val="04A0" w:firstRow="1" w:lastRow="0" w:firstColumn="1" w:lastColumn="0" w:noHBand="0" w:noVBand="1"/>
      </w:tblPr>
      <w:tblGrid>
        <w:gridCol w:w="2449"/>
        <w:gridCol w:w="1489"/>
        <w:gridCol w:w="1412"/>
        <w:gridCol w:w="1517"/>
        <w:gridCol w:w="1389"/>
        <w:gridCol w:w="1519"/>
        <w:gridCol w:w="1518"/>
        <w:gridCol w:w="1384"/>
        <w:gridCol w:w="1389"/>
      </w:tblGrid>
      <w:tr w:rsidR="004D1763" w:rsidRPr="004D1763" w14:paraId="10AD8CAD" w14:textId="77777777" w:rsidTr="00312975">
        <w:trPr>
          <w:trHeight w:val="574"/>
        </w:trPr>
        <w:tc>
          <w:tcPr>
            <w:tcW w:w="2449" w:type="dxa"/>
            <w:shd w:val="clear" w:color="auto" w:fill="auto"/>
            <w:noWrap/>
            <w:vAlign w:val="bottom"/>
            <w:hideMark/>
          </w:tcPr>
          <w:p w14:paraId="12D99EFC" w14:textId="77777777" w:rsidR="004D1763" w:rsidRPr="004D1763" w:rsidRDefault="004D1763" w:rsidP="004D1763">
            <w:pPr>
              <w:spacing w:after="0" w:line="240" w:lineRule="auto"/>
              <w:rPr>
                <w:rFonts w:ascii="Times New Roman" w:eastAsia="Times New Roman" w:hAnsi="Times New Roman" w:cs="Times New Roman"/>
                <w:sz w:val="24"/>
                <w:szCs w:val="24"/>
                <w:lang w:eastAsia="hr-HR"/>
              </w:rPr>
            </w:pPr>
          </w:p>
        </w:tc>
        <w:tc>
          <w:tcPr>
            <w:tcW w:w="5807" w:type="dxa"/>
            <w:gridSpan w:val="4"/>
            <w:shd w:val="clear" w:color="auto" w:fill="auto"/>
            <w:noWrap/>
            <w:vAlign w:val="bottom"/>
            <w:hideMark/>
          </w:tcPr>
          <w:p w14:paraId="41B4EEC8" w14:textId="77777777" w:rsidR="004D1763" w:rsidRPr="004D1763" w:rsidRDefault="004D1763" w:rsidP="004D1763">
            <w:pPr>
              <w:spacing w:after="0" w:line="240" w:lineRule="auto"/>
              <w:jc w:val="right"/>
              <w:rPr>
                <w:rFonts w:ascii="Calibri" w:eastAsia="Times New Roman" w:hAnsi="Calibri" w:cs="Times New Roman"/>
                <w:b/>
                <w:bCs/>
                <w:sz w:val="20"/>
                <w:szCs w:val="20"/>
                <w:lang w:eastAsia="hr-HR"/>
              </w:rPr>
            </w:pPr>
            <w:r w:rsidRPr="004D1763">
              <w:rPr>
                <w:rFonts w:ascii="Calibri" w:eastAsia="Times New Roman" w:hAnsi="Calibri" w:cs="Times New Roman"/>
                <w:b/>
                <w:bCs/>
                <w:sz w:val="20"/>
                <w:szCs w:val="20"/>
                <w:lang w:eastAsia="hr-HR"/>
              </w:rPr>
              <w:t>Grupa</w:t>
            </w:r>
          </w:p>
        </w:tc>
        <w:tc>
          <w:tcPr>
            <w:tcW w:w="5810" w:type="dxa"/>
            <w:gridSpan w:val="4"/>
            <w:shd w:val="clear" w:color="auto" w:fill="auto"/>
            <w:noWrap/>
            <w:vAlign w:val="bottom"/>
            <w:hideMark/>
          </w:tcPr>
          <w:p w14:paraId="55394233" w14:textId="77777777" w:rsidR="004D1763" w:rsidRPr="004D1763" w:rsidRDefault="004D1763" w:rsidP="004D1763">
            <w:pPr>
              <w:spacing w:after="0" w:line="240" w:lineRule="auto"/>
              <w:jc w:val="right"/>
              <w:rPr>
                <w:rFonts w:ascii="Calibri" w:eastAsia="Times New Roman" w:hAnsi="Calibri" w:cs="Times New Roman"/>
                <w:b/>
                <w:bCs/>
                <w:sz w:val="20"/>
                <w:szCs w:val="20"/>
                <w:lang w:eastAsia="hr-HR"/>
              </w:rPr>
            </w:pPr>
            <w:r w:rsidRPr="004D1763">
              <w:rPr>
                <w:rFonts w:ascii="Calibri" w:eastAsia="Times New Roman" w:hAnsi="Calibri" w:cs="Times New Roman"/>
                <w:b/>
                <w:bCs/>
                <w:sz w:val="20"/>
                <w:szCs w:val="20"/>
                <w:lang w:eastAsia="hr-HR"/>
              </w:rPr>
              <w:t>Banka</w:t>
            </w:r>
          </w:p>
        </w:tc>
      </w:tr>
      <w:tr w:rsidR="000A2E26" w:rsidRPr="004D1763" w14:paraId="7A5D9348" w14:textId="77777777" w:rsidTr="00312975">
        <w:trPr>
          <w:trHeight w:val="95"/>
        </w:trPr>
        <w:tc>
          <w:tcPr>
            <w:tcW w:w="2449" w:type="dxa"/>
            <w:shd w:val="clear" w:color="auto" w:fill="auto"/>
            <w:vAlign w:val="center"/>
            <w:hideMark/>
          </w:tcPr>
          <w:p w14:paraId="6CFA7CC5" w14:textId="77777777" w:rsidR="004D1763" w:rsidRPr="004D1763" w:rsidRDefault="004D1763" w:rsidP="004D1763">
            <w:pPr>
              <w:spacing w:after="0" w:line="240" w:lineRule="auto"/>
              <w:jc w:val="right"/>
              <w:rPr>
                <w:rFonts w:ascii="Calibri" w:eastAsia="Times New Roman" w:hAnsi="Calibri" w:cs="Times New Roman"/>
                <w:b/>
                <w:bCs/>
                <w:sz w:val="20"/>
                <w:szCs w:val="20"/>
                <w:lang w:eastAsia="hr-HR"/>
              </w:rPr>
            </w:pPr>
          </w:p>
        </w:tc>
        <w:tc>
          <w:tcPr>
            <w:tcW w:w="2901" w:type="dxa"/>
            <w:gridSpan w:val="2"/>
            <w:shd w:val="clear" w:color="auto" w:fill="auto"/>
            <w:vAlign w:val="bottom"/>
            <w:hideMark/>
          </w:tcPr>
          <w:p w14:paraId="60918D0C" w14:textId="26D0742B" w:rsidR="004D1763" w:rsidRPr="004D1763" w:rsidRDefault="004D1763">
            <w:pPr>
              <w:spacing w:after="0" w:line="240" w:lineRule="auto"/>
              <w:jc w:val="center"/>
              <w:rPr>
                <w:rFonts w:ascii="Calibri" w:eastAsia="Times New Roman" w:hAnsi="Calibri" w:cs="Times New Roman"/>
                <w:b/>
                <w:bCs/>
                <w:sz w:val="20"/>
                <w:szCs w:val="20"/>
                <w:lang w:eastAsia="hr-HR"/>
              </w:rPr>
            </w:pPr>
            <w:r w:rsidRPr="004D1763">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7</w:t>
            </w:r>
            <w:r w:rsidRPr="004D1763">
              <w:rPr>
                <w:rFonts w:ascii="Calibri" w:eastAsia="Times New Roman" w:hAnsi="Calibri" w:cs="Times New Roman"/>
                <w:b/>
                <w:bCs/>
                <w:sz w:val="20"/>
                <w:szCs w:val="20"/>
                <w:lang w:eastAsia="hr-HR"/>
              </w:rPr>
              <w:t>.</w:t>
            </w:r>
          </w:p>
        </w:tc>
        <w:tc>
          <w:tcPr>
            <w:tcW w:w="2906" w:type="dxa"/>
            <w:gridSpan w:val="2"/>
            <w:shd w:val="clear" w:color="auto" w:fill="auto"/>
            <w:vAlign w:val="bottom"/>
            <w:hideMark/>
          </w:tcPr>
          <w:p w14:paraId="4ADCEC63" w14:textId="438669AE" w:rsidR="004D1763" w:rsidRPr="004D1763" w:rsidRDefault="004D1763">
            <w:pPr>
              <w:spacing w:after="0" w:line="240" w:lineRule="auto"/>
              <w:jc w:val="center"/>
              <w:rPr>
                <w:rFonts w:ascii="Calibri" w:eastAsia="Times New Roman" w:hAnsi="Calibri" w:cs="Times New Roman"/>
                <w:b/>
                <w:bCs/>
                <w:sz w:val="20"/>
                <w:szCs w:val="20"/>
                <w:lang w:eastAsia="hr-HR"/>
              </w:rPr>
            </w:pPr>
            <w:r w:rsidRPr="004D1763">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6</w:t>
            </w:r>
            <w:r w:rsidRPr="004D1763">
              <w:rPr>
                <w:rFonts w:ascii="Calibri" w:eastAsia="Times New Roman" w:hAnsi="Calibri" w:cs="Times New Roman"/>
                <w:b/>
                <w:bCs/>
                <w:sz w:val="20"/>
                <w:szCs w:val="20"/>
                <w:lang w:eastAsia="hr-HR"/>
              </w:rPr>
              <w:t>.</w:t>
            </w:r>
          </w:p>
        </w:tc>
        <w:tc>
          <w:tcPr>
            <w:tcW w:w="3037" w:type="dxa"/>
            <w:gridSpan w:val="2"/>
            <w:shd w:val="clear" w:color="auto" w:fill="auto"/>
            <w:vAlign w:val="bottom"/>
            <w:hideMark/>
          </w:tcPr>
          <w:p w14:paraId="18656271" w14:textId="2DEF24F3" w:rsidR="004D1763" w:rsidRPr="004D1763" w:rsidRDefault="004D1763">
            <w:pPr>
              <w:spacing w:after="0" w:line="240" w:lineRule="auto"/>
              <w:jc w:val="center"/>
              <w:rPr>
                <w:rFonts w:ascii="Calibri" w:eastAsia="Times New Roman" w:hAnsi="Calibri" w:cs="Times New Roman"/>
                <w:b/>
                <w:bCs/>
                <w:sz w:val="20"/>
                <w:szCs w:val="20"/>
                <w:lang w:eastAsia="hr-HR"/>
              </w:rPr>
            </w:pPr>
            <w:r w:rsidRPr="004D1763">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7</w:t>
            </w:r>
            <w:r w:rsidRPr="004D1763">
              <w:rPr>
                <w:rFonts w:ascii="Calibri" w:eastAsia="Times New Roman" w:hAnsi="Calibri" w:cs="Times New Roman"/>
                <w:b/>
                <w:bCs/>
                <w:sz w:val="20"/>
                <w:szCs w:val="20"/>
                <w:lang w:eastAsia="hr-HR"/>
              </w:rPr>
              <w:t>.</w:t>
            </w:r>
          </w:p>
        </w:tc>
        <w:tc>
          <w:tcPr>
            <w:tcW w:w="2773" w:type="dxa"/>
            <w:gridSpan w:val="2"/>
            <w:shd w:val="clear" w:color="auto" w:fill="auto"/>
            <w:vAlign w:val="bottom"/>
            <w:hideMark/>
          </w:tcPr>
          <w:p w14:paraId="047E3FAD" w14:textId="406A9555" w:rsidR="004D1763" w:rsidRPr="004D1763" w:rsidRDefault="004D1763">
            <w:pPr>
              <w:spacing w:after="0" w:line="240" w:lineRule="auto"/>
              <w:jc w:val="center"/>
              <w:rPr>
                <w:rFonts w:ascii="Calibri" w:eastAsia="Times New Roman" w:hAnsi="Calibri" w:cs="Times New Roman"/>
                <w:b/>
                <w:bCs/>
                <w:sz w:val="20"/>
                <w:szCs w:val="20"/>
                <w:lang w:eastAsia="hr-HR"/>
              </w:rPr>
            </w:pPr>
            <w:r w:rsidRPr="004D1763">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6</w:t>
            </w:r>
            <w:r w:rsidRPr="004D1763">
              <w:rPr>
                <w:rFonts w:ascii="Calibri" w:eastAsia="Times New Roman" w:hAnsi="Calibri" w:cs="Times New Roman"/>
                <w:b/>
                <w:bCs/>
                <w:sz w:val="20"/>
                <w:szCs w:val="20"/>
                <w:lang w:eastAsia="hr-HR"/>
              </w:rPr>
              <w:t>.</w:t>
            </w:r>
          </w:p>
        </w:tc>
      </w:tr>
      <w:tr w:rsidR="000A2E26" w:rsidRPr="004D1763" w14:paraId="26B7493A" w14:textId="77777777" w:rsidTr="00312975">
        <w:trPr>
          <w:trHeight w:val="225"/>
        </w:trPr>
        <w:tc>
          <w:tcPr>
            <w:tcW w:w="2449" w:type="dxa"/>
            <w:shd w:val="clear" w:color="auto" w:fill="auto"/>
            <w:vAlign w:val="center"/>
            <w:hideMark/>
          </w:tcPr>
          <w:p w14:paraId="72E81D46" w14:textId="77777777" w:rsidR="004D1763" w:rsidRPr="004D1763" w:rsidRDefault="004D1763" w:rsidP="004D1763">
            <w:pPr>
              <w:spacing w:after="0" w:line="240" w:lineRule="auto"/>
              <w:jc w:val="center"/>
              <w:rPr>
                <w:rFonts w:ascii="Calibri" w:eastAsia="Times New Roman" w:hAnsi="Calibri" w:cs="Times New Roman"/>
                <w:b/>
                <w:bCs/>
                <w:sz w:val="20"/>
                <w:szCs w:val="20"/>
                <w:lang w:eastAsia="hr-HR"/>
              </w:rPr>
            </w:pPr>
          </w:p>
        </w:tc>
        <w:tc>
          <w:tcPr>
            <w:tcW w:w="1489" w:type="dxa"/>
            <w:shd w:val="clear" w:color="auto" w:fill="auto"/>
            <w:vAlign w:val="center"/>
            <w:hideMark/>
          </w:tcPr>
          <w:p w14:paraId="4DB80AD4" w14:textId="77777777" w:rsidR="004D1763" w:rsidRPr="004D1763" w:rsidRDefault="004D1763" w:rsidP="004D1763">
            <w:pPr>
              <w:spacing w:after="0" w:line="240" w:lineRule="auto"/>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Tekuće razdoblje</w:t>
            </w:r>
          </w:p>
        </w:tc>
        <w:tc>
          <w:tcPr>
            <w:tcW w:w="1412" w:type="dxa"/>
            <w:shd w:val="clear" w:color="auto" w:fill="auto"/>
            <w:vAlign w:val="center"/>
            <w:hideMark/>
          </w:tcPr>
          <w:p w14:paraId="28843F5C" w14:textId="77777777" w:rsidR="004D1763" w:rsidRPr="004D1763" w:rsidRDefault="004D1763" w:rsidP="004D1763">
            <w:pPr>
              <w:spacing w:after="0" w:line="240" w:lineRule="auto"/>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Kumulativ</w:t>
            </w:r>
          </w:p>
        </w:tc>
        <w:tc>
          <w:tcPr>
            <w:tcW w:w="1517" w:type="dxa"/>
            <w:shd w:val="clear" w:color="auto" w:fill="auto"/>
            <w:vAlign w:val="center"/>
            <w:hideMark/>
          </w:tcPr>
          <w:p w14:paraId="747F65D0" w14:textId="77777777" w:rsidR="004D1763" w:rsidRPr="004D1763" w:rsidRDefault="004D1763" w:rsidP="004D1763">
            <w:pPr>
              <w:spacing w:after="0" w:line="240" w:lineRule="auto"/>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Tekuće razdoblje</w:t>
            </w:r>
          </w:p>
        </w:tc>
        <w:tc>
          <w:tcPr>
            <w:tcW w:w="1389" w:type="dxa"/>
            <w:shd w:val="clear" w:color="auto" w:fill="auto"/>
            <w:vAlign w:val="center"/>
            <w:hideMark/>
          </w:tcPr>
          <w:p w14:paraId="5671E202" w14:textId="77777777" w:rsidR="004D1763" w:rsidRPr="004D1763" w:rsidRDefault="004D1763" w:rsidP="004D1763">
            <w:pPr>
              <w:spacing w:after="0" w:line="240" w:lineRule="auto"/>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Kumulativ</w:t>
            </w:r>
          </w:p>
        </w:tc>
        <w:tc>
          <w:tcPr>
            <w:tcW w:w="1519" w:type="dxa"/>
            <w:shd w:val="clear" w:color="auto" w:fill="auto"/>
            <w:vAlign w:val="center"/>
            <w:hideMark/>
          </w:tcPr>
          <w:p w14:paraId="69F853E5" w14:textId="77777777" w:rsidR="004D1763" w:rsidRPr="004D1763" w:rsidRDefault="004D1763" w:rsidP="004D1763">
            <w:pPr>
              <w:spacing w:after="0" w:line="240" w:lineRule="auto"/>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Tekuće razdoblje</w:t>
            </w:r>
          </w:p>
        </w:tc>
        <w:tc>
          <w:tcPr>
            <w:tcW w:w="1518" w:type="dxa"/>
            <w:shd w:val="clear" w:color="auto" w:fill="auto"/>
            <w:vAlign w:val="center"/>
            <w:hideMark/>
          </w:tcPr>
          <w:p w14:paraId="76B76AFB" w14:textId="77777777" w:rsidR="004D1763" w:rsidRPr="004D1763" w:rsidRDefault="004D1763" w:rsidP="004D1763">
            <w:pPr>
              <w:spacing w:after="0" w:line="240" w:lineRule="auto"/>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Kumulativ</w:t>
            </w:r>
          </w:p>
        </w:tc>
        <w:tc>
          <w:tcPr>
            <w:tcW w:w="1384" w:type="dxa"/>
            <w:shd w:val="clear" w:color="auto" w:fill="auto"/>
            <w:vAlign w:val="center"/>
            <w:hideMark/>
          </w:tcPr>
          <w:p w14:paraId="75900382" w14:textId="77777777" w:rsidR="004D1763" w:rsidRPr="004D1763" w:rsidRDefault="004D1763" w:rsidP="004D1763">
            <w:pPr>
              <w:spacing w:after="0" w:line="240" w:lineRule="auto"/>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Tekuće razdoblje</w:t>
            </w:r>
          </w:p>
        </w:tc>
        <w:tc>
          <w:tcPr>
            <w:tcW w:w="1389" w:type="dxa"/>
            <w:shd w:val="clear" w:color="auto" w:fill="auto"/>
            <w:vAlign w:val="center"/>
            <w:hideMark/>
          </w:tcPr>
          <w:p w14:paraId="30E39AD2" w14:textId="77777777" w:rsidR="004D1763" w:rsidRPr="004D1763" w:rsidRDefault="004D1763" w:rsidP="004D1763">
            <w:pPr>
              <w:spacing w:after="0" w:line="240" w:lineRule="auto"/>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Kumulativ</w:t>
            </w:r>
          </w:p>
        </w:tc>
      </w:tr>
      <w:tr w:rsidR="000A2E26" w:rsidRPr="004D1763" w14:paraId="27B533CB" w14:textId="77777777" w:rsidTr="00312975">
        <w:trPr>
          <w:trHeight w:val="316"/>
        </w:trPr>
        <w:tc>
          <w:tcPr>
            <w:tcW w:w="2449" w:type="dxa"/>
            <w:shd w:val="clear" w:color="auto" w:fill="auto"/>
            <w:vAlign w:val="center"/>
            <w:hideMark/>
          </w:tcPr>
          <w:p w14:paraId="6080EEDD" w14:textId="77777777" w:rsidR="004D1763" w:rsidRPr="004D1763" w:rsidRDefault="004D1763" w:rsidP="004D1763">
            <w:pPr>
              <w:spacing w:after="0" w:line="240" w:lineRule="auto"/>
              <w:jc w:val="center"/>
              <w:rPr>
                <w:rFonts w:ascii="Calibri" w:eastAsia="Times New Roman" w:hAnsi="Calibri" w:cs="Times New Roman"/>
                <w:sz w:val="20"/>
                <w:szCs w:val="20"/>
                <w:lang w:eastAsia="hr-HR"/>
              </w:rPr>
            </w:pPr>
          </w:p>
        </w:tc>
        <w:tc>
          <w:tcPr>
            <w:tcW w:w="1489" w:type="dxa"/>
            <w:shd w:val="clear" w:color="auto" w:fill="auto"/>
            <w:vAlign w:val="center"/>
            <w:hideMark/>
          </w:tcPr>
          <w:p w14:paraId="4D588859" w14:textId="77777777" w:rsidR="004D1763" w:rsidRPr="004D1763" w:rsidRDefault="004D1763" w:rsidP="004D1763">
            <w:pPr>
              <w:spacing w:after="0" w:line="240" w:lineRule="auto"/>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1.4. - 30.6.</w:t>
            </w:r>
          </w:p>
        </w:tc>
        <w:tc>
          <w:tcPr>
            <w:tcW w:w="1412" w:type="dxa"/>
            <w:shd w:val="clear" w:color="auto" w:fill="auto"/>
            <w:vAlign w:val="center"/>
            <w:hideMark/>
          </w:tcPr>
          <w:p w14:paraId="5873A608" w14:textId="77777777" w:rsidR="004D1763" w:rsidRPr="004D1763" w:rsidRDefault="004D1763" w:rsidP="004D1763">
            <w:pPr>
              <w:spacing w:after="0" w:line="240" w:lineRule="auto"/>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1.1. - 30.6.</w:t>
            </w:r>
          </w:p>
        </w:tc>
        <w:tc>
          <w:tcPr>
            <w:tcW w:w="1517" w:type="dxa"/>
            <w:shd w:val="clear" w:color="auto" w:fill="auto"/>
            <w:vAlign w:val="center"/>
            <w:hideMark/>
          </w:tcPr>
          <w:p w14:paraId="67B569BB" w14:textId="77777777" w:rsidR="004D1763" w:rsidRPr="004D1763" w:rsidRDefault="004D1763" w:rsidP="004D1763">
            <w:pPr>
              <w:spacing w:after="0" w:line="240" w:lineRule="auto"/>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1.4. - 30.6.</w:t>
            </w:r>
          </w:p>
        </w:tc>
        <w:tc>
          <w:tcPr>
            <w:tcW w:w="1389" w:type="dxa"/>
            <w:shd w:val="clear" w:color="auto" w:fill="auto"/>
            <w:vAlign w:val="center"/>
            <w:hideMark/>
          </w:tcPr>
          <w:p w14:paraId="35A60932" w14:textId="77777777" w:rsidR="004D1763" w:rsidRPr="004D1763" w:rsidRDefault="004D1763" w:rsidP="004D1763">
            <w:pPr>
              <w:spacing w:after="0" w:line="240" w:lineRule="auto"/>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1.1. - 30.6.</w:t>
            </w:r>
          </w:p>
        </w:tc>
        <w:tc>
          <w:tcPr>
            <w:tcW w:w="1519" w:type="dxa"/>
            <w:shd w:val="clear" w:color="auto" w:fill="auto"/>
            <w:vAlign w:val="center"/>
            <w:hideMark/>
          </w:tcPr>
          <w:p w14:paraId="3DBB89F9" w14:textId="77777777" w:rsidR="004D1763" w:rsidRPr="004D1763" w:rsidRDefault="004D1763" w:rsidP="004D1763">
            <w:pPr>
              <w:spacing w:after="0" w:line="240" w:lineRule="auto"/>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1.4. - 30.6.</w:t>
            </w:r>
          </w:p>
        </w:tc>
        <w:tc>
          <w:tcPr>
            <w:tcW w:w="1518" w:type="dxa"/>
            <w:shd w:val="clear" w:color="auto" w:fill="auto"/>
            <w:vAlign w:val="center"/>
            <w:hideMark/>
          </w:tcPr>
          <w:p w14:paraId="5EA8E1E2" w14:textId="77777777" w:rsidR="004D1763" w:rsidRPr="004D1763" w:rsidRDefault="004D1763" w:rsidP="004D1763">
            <w:pPr>
              <w:spacing w:after="0" w:line="240" w:lineRule="auto"/>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1.1. - 30.6.</w:t>
            </w:r>
          </w:p>
        </w:tc>
        <w:tc>
          <w:tcPr>
            <w:tcW w:w="1384" w:type="dxa"/>
            <w:shd w:val="clear" w:color="auto" w:fill="auto"/>
            <w:vAlign w:val="center"/>
            <w:hideMark/>
          </w:tcPr>
          <w:p w14:paraId="0FEE7F6F" w14:textId="77777777" w:rsidR="004D1763" w:rsidRPr="004D1763" w:rsidRDefault="004D1763" w:rsidP="004D1763">
            <w:pPr>
              <w:spacing w:after="0" w:line="240" w:lineRule="auto"/>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1.4. - 30.6.</w:t>
            </w:r>
          </w:p>
        </w:tc>
        <w:tc>
          <w:tcPr>
            <w:tcW w:w="1389" w:type="dxa"/>
            <w:shd w:val="clear" w:color="auto" w:fill="auto"/>
            <w:vAlign w:val="center"/>
            <w:hideMark/>
          </w:tcPr>
          <w:p w14:paraId="4B9B811E" w14:textId="77777777" w:rsidR="004D1763" w:rsidRPr="004D1763" w:rsidRDefault="004D1763" w:rsidP="004D1763">
            <w:pPr>
              <w:spacing w:after="0" w:line="240" w:lineRule="auto"/>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1.1. - 30.6.</w:t>
            </w:r>
          </w:p>
        </w:tc>
      </w:tr>
      <w:tr w:rsidR="00E110B3" w:rsidRPr="004D1763" w14:paraId="0BD5E4F0" w14:textId="77777777" w:rsidTr="00312975">
        <w:trPr>
          <w:trHeight w:val="590"/>
        </w:trPr>
        <w:tc>
          <w:tcPr>
            <w:tcW w:w="2449" w:type="dxa"/>
            <w:shd w:val="clear" w:color="auto" w:fill="auto"/>
            <w:vAlign w:val="bottom"/>
            <w:hideMark/>
          </w:tcPr>
          <w:p w14:paraId="6D90A8B1" w14:textId="77777777" w:rsidR="00E110B3" w:rsidRPr="004D1763" w:rsidRDefault="00E110B3" w:rsidP="00E110B3">
            <w:pPr>
              <w:spacing w:after="0" w:line="240" w:lineRule="auto"/>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Domaće financijske institucije</w:t>
            </w:r>
          </w:p>
        </w:tc>
        <w:tc>
          <w:tcPr>
            <w:tcW w:w="1489" w:type="dxa"/>
            <w:tcBorders>
              <w:top w:val="nil"/>
              <w:left w:val="nil"/>
              <w:bottom w:val="nil"/>
              <w:right w:val="nil"/>
            </w:tcBorders>
            <w:shd w:val="clear" w:color="auto" w:fill="auto"/>
            <w:noWrap/>
            <w:vAlign w:val="bottom"/>
          </w:tcPr>
          <w:p w14:paraId="61A4861C" w14:textId="3E0D075D" w:rsidR="00E110B3" w:rsidRPr="004D1763" w:rsidRDefault="00E110B3" w:rsidP="00E110B3">
            <w:pPr>
              <w:spacing w:after="0" w:line="240" w:lineRule="auto"/>
              <w:jc w:val="right"/>
              <w:rPr>
                <w:rFonts w:ascii="Calibri" w:eastAsia="Times New Roman" w:hAnsi="Calibri" w:cs="Times New Roman"/>
                <w:sz w:val="20"/>
                <w:szCs w:val="20"/>
                <w:lang w:eastAsia="hr-HR"/>
              </w:rPr>
            </w:pPr>
            <w:r>
              <w:rPr>
                <w:rFonts w:ascii="Calibri" w:hAnsi="Calibri"/>
                <w:sz w:val="20"/>
                <w:szCs w:val="20"/>
              </w:rPr>
              <w:t>754</w:t>
            </w:r>
          </w:p>
        </w:tc>
        <w:tc>
          <w:tcPr>
            <w:tcW w:w="1412" w:type="dxa"/>
            <w:tcBorders>
              <w:top w:val="nil"/>
              <w:left w:val="nil"/>
              <w:bottom w:val="nil"/>
              <w:right w:val="nil"/>
            </w:tcBorders>
            <w:shd w:val="clear" w:color="auto" w:fill="auto"/>
            <w:noWrap/>
            <w:vAlign w:val="bottom"/>
          </w:tcPr>
          <w:p w14:paraId="7FB9CB17" w14:textId="14E05753" w:rsidR="00E110B3" w:rsidRPr="004D1763" w:rsidRDefault="00E110B3" w:rsidP="00E110B3">
            <w:pPr>
              <w:spacing w:after="0" w:line="240" w:lineRule="auto"/>
              <w:jc w:val="right"/>
              <w:rPr>
                <w:rFonts w:ascii="Calibri" w:eastAsia="Times New Roman" w:hAnsi="Calibri" w:cs="Times New Roman"/>
                <w:sz w:val="20"/>
                <w:szCs w:val="20"/>
                <w:lang w:eastAsia="hr-HR"/>
              </w:rPr>
            </w:pPr>
            <w:r>
              <w:rPr>
                <w:rFonts w:ascii="Calibri" w:hAnsi="Calibri"/>
                <w:sz w:val="20"/>
                <w:szCs w:val="20"/>
              </w:rPr>
              <w:t>1.469</w:t>
            </w:r>
          </w:p>
        </w:tc>
        <w:tc>
          <w:tcPr>
            <w:tcW w:w="1517" w:type="dxa"/>
            <w:shd w:val="clear" w:color="auto" w:fill="auto"/>
            <w:noWrap/>
            <w:vAlign w:val="bottom"/>
            <w:hideMark/>
          </w:tcPr>
          <w:p w14:paraId="15B13947" w14:textId="14B6EEC5" w:rsidR="00E110B3" w:rsidRPr="004D1763" w:rsidRDefault="00E110B3" w:rsidP="00E110B3">
            <w:pPr>
              <w:spacing w:after="0" w:line="240" w:lineRule="auto"/>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2.663</w:t>
            </w:r>
          </w:p>
        </w:tc>
        <w:tc>
          <w:tcPr>
            <w:tcW w:w="1389" w:type="dxa"/>
            <w:shd w:val="clear" w:color="auto" w:fill="auto"/>
            <w:noWrap/>
            <w:vAlign w:val="bottom"/>
            <w:hideMark/>
          </w:tcPr>
          <w:p w14:paraId="4AEF1F73" w14:textId="1DB7F5EF" w:rsidR="00E110B3" w:rsidRPr="004D1763" w:rsidRDefault="00E110B3" w:rsidP="00E110B3">
            <w:pPr>
              <w:spacing w:after="0" w:line="240" w:lineRule="auto"/>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5.323</w:t>
            </w:r>
          </w:p>
        </w:tc>
        <w:tc>
          <w:tcPr>
            <w:tcW w:w="1519" w:type="dxa"/>
            <w:tcBorders>
              <w:top w:val="nil"/>
              <w:left w:val="nil"/>
              <w:bottom w:val="nil"/>
              <w:right w:val="nil"/>
            </w:tcBorders>
            <w:shd w:val="clear" w:color="auto" w:fill="auto"/>
            <w:noWrap/>
            <w:vAlign w:val="bottom"/>
          </w:tcPr>
          <w:p w14:paraId="529663A1" w14:textId="47CECF92" w:rsidR="00E110B3" w:rsidRPr="004D1763" w:rsidRDefault="00E110B3" w:rsidP="00E110B3">
            <w:pPr>
              <w:spacing w:after="0" w:line="240" w:lineRule="auto"/>
              <w:jc w:val="right"/>
              <w:rPr>
                <w:rFonts w:ascii="Calibri" w:eastAsia="Times New Roman" w:hAnsi="Calibri" w:cs="Times New Roman"/>
                <w:sz w:val="20"/>
                <w:szCs w:val="20"/>
                <w:lang w:eastAsia="hr-HR"/>
              </w:rPr>
            </w:pPr>
            <w:r>
              <w:rPr>
                <w:rFonts w:ascii="Calibri" w:hAnsi="Calibri"/>
                <w:sz w:val="20"/>
                <w:szCs w:val="20"/>
              </w:rPr>
              <w:t>754</w:t>
            </w:r>
          </w:p>
        </w:tc>
        <w:tc>
          <w:tcPr>
            <w:tcW w:w="1518" w:type="dxa"/>
            <w:tcBorders>
              <w:top w:val="nil"/>
              <w:left w:val="nil"/>
              <w:bottom w:val="nil"/>
              <w:right w:val="nil"/>
            </w:tcBorders>
            <w:shd w:val="clear" w:color="auto" w:fill="auto"/>
            <w:noWrap/>
            <w:vAlign w:val="bottom"/>
          </w:tcPr>
          <w:p w14:paraId="6E79040F" w14:textId="63FDE6FC" w:rsidR="00E110B3" w:rsidRPr="004D1763" w:rsidRDefault="00E110B3" w:rsidP="00E110B3">
            <w:pPr>
              <w:spacing w:after="0" w:line="240" w:lineRule="auto"/>
              <w:jc w:val="right"/>
              <w:rPr>
                <w:rFonts w:ascii="Calibri" w:eastAsia="Times New Roman" w:hAnsi="Calibri" w:cs="Times New Roman"/>
                <w:sz w:val="20"/>
                <w:szCs w:val="20"/>
                <w:lang w:eastAsia="hr-HR"/>
              </w:rPr>
            </w:pPr>
            <w:r>
              <w:rPr>
                <w:rFonts w:ascii="Calibri" w:hAnsi="Calibri"/>
                <w:sz w:val="20"/>
                <w:szCs w:val="20"/>
              </w:rPr>
              <w:t>1.469</w:t>
            </w:r>
          </w:p>
        </w:tc>
        <w:tc>
          <w:tcPr>
            <w:tcW w:w="1384" w:type="dxa"/>
            <w:shd w:val="clear" w:color="auto" w:fill="auto"/>
            <w:noWrap/>
            <w:vAlign w:val="bottom"/>
            <w:hideMark/>
          </w:tcPr>
          <w:p w14:paraId="339D94DB" w14:textId="469E5A85" w:rsidR="00E110B3" w:rsidRPr="004D1763" w:rsidRDefault="00E110B3" w:rsidP="00E110B3">
            <w:pPr>
              <w:spacing w:after="0" w:line="240" w:lineRule="auto"/>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2.663</w:t>
            </w:r>
          </w:p>
        </w:tc>
        <w:tc>
          <w:tcPr>
            <w:tcW w:w="1389" w:type="dxa"/>
            <w:shd w:val="clear" w:color="auto" w:fill="auto"/>
            <w:noWrap/>
            <w:vAlign w:val="bottom"/>
            <w:hideMark/>
          </w:tcPr>
          <w:p w14:paraId="3F64747E" w14:textId="41F3180A" w:rsidR="00E110B3" w:rsidRPr="004D1763" w:rsidRDefault="00E110B3" w:rsidP="00E110B3">
            <w:pPr>
              <w:spacing w:after="0" w:line="240" w:lineRule="auto"/>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5.323</w:t>
            </w:r>
          </w:p>
        </w:tc>
      </w:tr>
      <w:tr w:rsidR="00E110B3" w:rsidRPr="004D1763" w14:paraId="1A13B8AB" w14:textId="77777777" w:rsidTr="00312975">
        <w:trPr>
          <w:trHeight w:val="191"/>
        </w:trPr>
        <w:tc>
          <w:tcPr>
            <w:tcW w:w="2449" w:type="dxa"/>
            <w:shd w:val="clear" w:color="auto" w:fill="auto"/>
            <w:vAlign w:val="center"/>
            <w:hideMark/>
          </w:tcPr>
          <w:p w14:paraId="27BC7287" w14:textId="77777777" w:rsidR="00E110B3" w:rsidRPr="004D1763" w:rsidRDefault="00E110B3" w:rsidP="00E110B3">
            <w:pPr>
              <w:spacing w:after="0" w:line="240" w:lineRule="auto"/>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Inozemne financijske institucije</w:t>
            </w:r>
          </w:p>
        </w:tc>
        <w:tc>
          <w:tcPr>
            <w:tcW w:w="1489" w:type="dxa"/>
            <w:tcBorders>
              <w:top w:val="nil"/>
              <w:left w:val="nil"/>
              <w:bottom w:val="nil"/>
              <w:right w:val="nil"/>
            </w:tcBorders>
            <w:shd w:val="clear" w:color="auto" w:fill="auto"/>
            <w:vAlign w:val="bottom"/>
          </w:tcPr>
          <w:p w14:paraId="03826662" w14:textId="7D82CB23" w:rsidR="00E110B3" w:rsidRPr="004D1763" w:rsidRDefault="00E110B3" w:rsidP="00E110B3">
            <w:pPr>
              <w:spacing w:after="0" w:line="240" w:lineRule="auto"/>
              <w:jc w:val="right"/>
              <w:rPr>
                <w:rFonts w:ascii="Calibri" w:eastAsia="Times New Roman" w:hAnsi="Calibri" w:cs="Times New Roman"/>
                <w:sz w:val="20"/>
                <w:szCs w:val="20"/>
                <w:lang w:eastAsia="hr-HR"/>
              </w:rPr>
            </w:pPr>
            <w:r>
              <w:rPr>
                <w:rFonts w:ascii="Calibri" w:hAnsi="Calibri"/>
                <w:sz w:val="20"/>
                <w:szCs w:val="20"/>
              </w:rPr>
              <w:t>106.292</w:t>
            </w:r>
          </w:p>
        </w:tc>
        <w:tc>
          <w:tcPr>
            <w:tcW w:w="1412" w:type="dxa"/>
            <w:tcBorders>
              <w:top w:val="nil"/>
              <w:left w:val="nil"/>
              <w:bottom w:val="nil"/>
              <w:right w:val="nil"/>
            </w:tcBorders>
            <w:shd w:val="clear" w:color="auto" w:fill="auto"/>
            <w:vAlign w:val="bottom"/>
          </w:tcPr>
          <w:p w14:paraId="3C9E8010" w14:textId="1DB80291" w:rsidR="00E110B3" w:rsidRPr="004D1763" w:rsidRDefault="00E110B3" w:rsidP="00E110B3">
            <w:pPr>
              <w:spacing w:after="0" w:line="240" w:lineRule="auto"/>
              <w:jc w:val="right"/>
              <w:rPr>
                <w:rFonts w:ascii="Calibri" w:eastAsia="Times New Roman" w:hAnsi="Calibri" w:cs="Times New Roman"/>
                <w:sz w:val="20"/>
                <w:szCs w:val="20"/>
                <w:lang w:eastAsia="hr-HR"/>
              </w:rPr>
            </w:pPr>
            <w:r>
              <w:rPr>
                <w:rFonts w:ascii="Calibri" w:hAnsi="Calibri"/>
                <w:sz w:val="20"/>
                <w:szCs w:val="20"/>
              </w:rPr>
              <w:t>213.684</w:t>
            </w:r>
          </w:p>
        </w:tc>
        <w:tc>
          <w:tcPr>
            <w:tcW w:w="1517" w:type="dxa"/>
            <w:tcBorders>
              <w:bottom w:val="single" w:sz="2" w:space="0" w:color="auto"/>
            </w:tcBorders>
            <w:shd w:val="clear" w:color="auto" w:fill="auto"/>
            <w:noWrap/>
            <w:vAlign w:val="bottom"/>
            <w:hideMark/>
          </w:tcPr>
          <w:p w14:paraId="27A3C413" w14:textId="6F57EF8A" w:rsidR="00E110B3" w:rsidRPr="004D1763" w:rsidRDefault="00E110B3" w:rsidP="00E110B3">
            <w:pPr>
              <w:spacing w:after="0" w:line="240" w:lineRule="auto"/>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111.018</w:t>
            </w:r>
          </w:p>
        </w:tc>
        <w:tc>
          <w:tcPr>
            <w:tcW w:w="1389" w:type="dxa"/>
            <w:tcBorders>
              <w:bottom w:val="single" w:sz="2" w:space="0" w:color="auto"/>
            </w:tcBorders>
            <w:shd w:val="clear" w:color="auto" w:fill="auto"/>
            <w:noWrap/>
            <w:vAlign w:val="bottom"/>
            <w:hideMark/>
          </w:tcPr>
          <w:p w14:paraId="50A5D3B5" w14:textId="49CB0168" w:rsidR="00E110B3" w:rsidRPr="004D1763" w:rsidRDefault="00E110B3" w:rsidP="00E110B3">
            <w:pPr>
              <w:spacing w:after="0" w:line="240" w:lineRule="auto"/>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222.913</w:t>
            </w:r>
          </w:p>
        </w:tc>
        <w:tc>
          <w:tcPr>
            <w:tcW w:w="1519" w:type="dxa"/>
            <w:tcBorders>
              <w:top w:val="nil"/>
              <w:left w:val="nil"/>
              <w:bottom w:val="nil"/>
              <w:right w:val="nil"/>
            </w:tcBorders>
            <w:shd w:val="clear" w:color="auto" w:fill="auto"/>
            <w:noWrap/>
            <w:vAlign w:val="bottom"/>
          </w:tcPr>
          <w:p w14:paraId="04B7B98C" w14:textId="1E932E4F" w:rsidR="00E110B3" w:rsidRPr="004D1763" w:rsidRDefault="00E110B3" w:rsidP="00E110B3">
            <w:pPr>
              <w:spacing w:after="0" w:line="240" w:lineRule="auto"/>
              <w:jc w:val="right"/>
              <w:rPr>
                <w:rFonts w:ascii="Calibri" w:eastAsia="Times New Roman" w:hAnsi="Calibri" w:cs="Times New Roman"/>
                <w:sz w:val="20"/>
                <w:szCs w:val="20"/>
                <w:lang w:eastAsia="hr-HR"/>
              </w:rPr>
            </w:pPr>
            <w:r>
              <w:rPr>
                <w:rFonts w:ascii="Calibri" w:hAnsi="Calibri"/>
                <w:sz w:val="20"/>
                <w:szCs w:val="20"/>
              </w:rPr>
              <w:t>106.292</w:t>
            </w:r>
          </w:p>
        </w:tc>
        <w:tc>
          <w:tcPr>
            <w:tcW w:w="1518" w:type="dxa"/>
            <w:tcBorders>
              <w:top w:val="nil"/>
              <w:left w:val="nil"/>
              <w:bottom w:val="nil"/>
              <w:right w:val="nil"/>
            </w:tcBorders>
            <w:shd w:val="clear" w:color="auto" w:fill="auto"/>
            <w:noWrap/>
            <w:vAlign w:val="bottom"/>
          </w:tcPr>
          <w:p w14:paraId="1755EDD4" w14:textId="0F646199" w:rsidR="00E110B3" w:rsidRPr="004D1763" w:rsidRDefault="00E110B3" w:rsidP="00E110B3">
            <w:pPr>
              <w:spacing w:after="0" w:line="240" w:lineRule="auto"/>
              <w:jc w:val="right"/>
              <w:rPr>
                <w:rFonts w:ascii="Calibri" w:eastAsia="Times New Roman" w:hAnsi="Calibri" w:cs="Times New Roman"/>
                <w:sz w:val="20"/>
                <w:szCs w:val="20"/>
                <w:lang w:eastAsia="hr-HR"/>
              </w:rPr>
            </w:pPr>
            <w:r>
              <w:rPr>
                <w:rFonts w:ascii="Calibri" w:hAnsi="Calibri"/>
                <w:sz w:val="20"/>
                <w:szCs w:val="20"/>
              </w:rPr>
              <w:t>213.684</w:t>
            </w:r>
          </w:p>
        </w:tc>
        <w:tc>
          <w:tcPr>
            <w:tcW w:w="1384" w:type="dxa"/>
            <w:tcBorders>
              <w:bottom w:val="single" w:sz="2" w:space="0" w:color="auto"/>
            </w:tcBorders>
            <w:shd w:val="clear" w:color="auto" w:fill="auto"/>
            <w:noWrap/>
            <w:vAlign w:val="bottom"/>
            <w:hideMark/>
          </w:tcPr>
          <w:p w14:paraId="569199CF" w14:textId="41B8B420" w:rsidR="00E110B3" w:rsidRPr="004D1763" w:rsidRDefault="00E110B3" w:rsidP="00E110B3">
            <w:pPr>
              <w:spacing w:after="0" w:line="240" w:lineRule="auto"/>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111.018</w:t>
            </w:r>
          </w:p>
        </w:tc>
        <w:tc>
          <w:tcPr>
            <w:tcW w:w="1389" w:type="dxa"/>
            <w:tcBorders>
              <w:bottom w:val="single" w:sz="2" w:space="0" w:color="auto"/>
            </w:tcBorders>
            <w:shd w:val="clear" w:color="auto" w:fill="auto"/>
            <w:noWrap/>
            <w:vAlign w:val="bottom"/>
            <w:hideMark/>
          </w:tcPr>
          <w:p w14:paraId="2AC67217" w14:textId="10CA12BA" w:rsidR="00E110B3" w:rsidRPr="004D1763" w:rsidRDefault="00E110B3" w:rsidP="00E110B3">
            <w:pPr>
              <w:spacing w:after="0" w:line="240" w:lineRule="auto"/>
              <w:jc w:val="right"/>
              <w:rPr>
                <w:rFonts w:ascii="Calibri" w:eastAsia="Times New Roman" w:hAnsi="Calibri" w:cs="Times New Roman"/>
                <w:sz w:val="20"/>
                <w:szCs w:val="20"/>
                <w:lang w:eastAsia="hr-HR"/>
              </w:rPr>
            </w:pPr>
            <w:r w:rsidRPr="004D1763">
              <w:rPr>
                <w:rFonts w:ascii="Calibri" w:eastAsia="Times New Roman" w:hAnsi="Calibri" w:cs="Times New Roman"/>
                <w:sz w:val="20"/>
                <w:szCs w:val="20"/>
                <w:lang w:eastAsia="hr-HR"/>
              </w:rPr>
              <w:t>222.913</w:t>
            </w:r>
          </w:p>
        </w:tc>
      </w:tr>
      <w:tr w:rsidR="00E110B3" w:rsidRPr="004D1763" w14:paraId="43894C7E" w14:textId="77777777" w:rsidTr="00E110B3">
        <w:trPr>
          <w:trHeight w:val="306"/>
        </w:trPr>
        <w:tc>
          <w:tcPr>
            <w:tcW w:w="2449" w:type="dxa"/>
            <w:shd w:val="clear" w:color="auto" w:fill="auto"/>
            <w:vAlign w:val="center"/>
            <w:hideMark/>
          </w:tcPr>
          <w:p w14:paraId="01A04993" w14:textId="77777777" w:rsidR="004D1763" w:rsidRPr="004D1763" w:rsidRDefault="004D1763" w:rsidP="004D1763">
            <w:pPr>
              <w:spacing w:after="0" w:line="240" w:lineRule="auto"/>
              <w:jc w:val="right"/>
              <w:rPr>
                <w:rFonts w:ascii="Calibri" w:eastAsia="Times New Roman" w:hAnsi="Calibri" w:cs="Times New Roman"/>
                <w:sz w:val="20"/>
                <w:szCs w:val="20"/>
                <w:lang w:eastAsia="hr-HR"/>
              </w:rPr>
            </w:pPr>
          </w:p>
        </w:tc>
        <w:tc>
          <w:tcPr>
            <w:tcW w:w="1489" w:type="dxa"/>
            <w:tcBorders>
              <w:top w:val="single" w:sz="2" w:space="0" w:color="auto"/>
              <w:bottom w:val="single" w:sz="12" w:space="0" w:color="auto"/>
            </w:tcBorders>
            <w:shd w:val="clear" w:color="auto" w:fill="auto"/>
            <w:vAlign w:val="center"/>
          </w:tcPr>
          <w:p w14:paraId="7D332A85" w14:textId="59BA1B8B" w:rsidR="004D1763" w:rsidRPr="004D1763" w:rsidRDefault="00E110B3" w:rsidP="004D1763">
            <w:pPr>
              <w:spacing w:after="0" w:line="240" w:lineRule="auto"/>
              <w:jc w:val="right"/>
              <w:rPr>
                <w:rFonts w:ascii="Calibri" w:eastAsia="Times New Roman" w:hAnsi="Calibri" w:cs="Times New Roman"/>
                <w:b/>
                <w:bCs/>
                <w:sz w:val="20"/>
                <w:szCs w:val="20"/>
                <w:lang w:eastAsia="hr-HR"/>
              </w:rPr>
            </w:pPr>
            <w:r w:rsidRPr="00E110B3">
              <w:rPr>
                <w:rFonts w:ascii="Calibri" w:eastAsia="Times New Roman" w:hAnsi="Calibri" w:cs="Times New Roman"/>
                <w:b/>
                <w:bCs/>
                <w:sz w:val="20"/>
                <w:szCs w:val="20"/>
                <w:lang w:eastAsia="hr-HR"/>
              </w:rPr>
              <w:t>107.046</w:t>
            </w:r>
          </w:p>
        </w:tc>
        <w:tc>
          <w:tcPr>
            <w:tcW w:w="1412" w:type="dxa"/>
            <w:tcBorders>
              <w:top w:val="single" w:sz="2" w:space="0" w:color="auto"/>
              <w:bottom w:val="single" w:sz="12" w:space="0" w:color="auto"/>
            </w:tcBorders>
            <w:shd w:val="clear" w:color="auto" w:fill="auto"/>
            <w:vAlign w:val="center"/>
          </w:tcPr>
          <w:p w14:paraId="2EF33145" w14:textId="2F2698DB" w:rsidR="004D1763" w:rsidRPr="004D1763" w:rsidRDefault="00E110B3" w:rsidP="004D1763">
            <w:pPr>
              <w:spacing w:after="0" w:line="240" w:lineRule="auto"/>
              <w:jc w:val="right"/>
              <w:rPr>
                <w:rFonts w:ascii="Calibri" w:eastAsia="Times New Roman" w:hAnsi="Calibri" w:cs="Times New Roman"/>
                <w:b/>
                <w:bCs/>
                <w:sz w:val="20"/>
                <w:szCs w:val="20"/>
                <w:lang w:eastAsia="hr-HR"/>
              </w:rPr>
            </w:pPr>
            <w:r w:rsidRPr="00E110B3">
              <w:rPr>
                <w:rFonts w:ascii="Calibri" w:eastAsia="Times New Roman" w:hAnsi="Calibri" w:cs="Times New Roman"/>
                <w:b/>
                <w:bCs/>
                <w:sz w:val="20"/>
                <w:szCs w:val="20"/>
                <w:lang w:eastAsia="hr-HR"/>
              </w:rPr>
              <w:t>215.153</w:t>
            </w:r>
          </w:p>
        </w:tc>
        <w:tc>
          <w:tcPr>
            <w:tcW w:w="1517" w:type="dxa"/>
            <w:tcBorders>
              <w:top w:val="single" w:sz="2" w:space="0" w:color="auto"/>
              <w:bottom w:val="single" w:sz="12" w:space="0" w:color="auto"/>
            </w:tcBorders>
            <w:shd w:val="clear" w:color="auto" w:fill="auto"/>
            <w:vAlign w:val="center"/>
            <w:hideMark/>
          </w:tcPr>
          <w:p w14:paraId="42B5FA4F" w14:textId="7F74E9C3" w:rsidR="004D1763" w:rsidRPr="004D1763" w:rsidRDefault="004D1763" w:rsidP="004D1763">
            <w:pPr>
              <w:spacing w:after="0" w:line="240" w:lineRule="auto"/>
              <w:jc w:val="right"/>
              <w:rPr>
                <w:rFonts w:ascii="Calibri" w:eastAsia="Times New Roman" w:hAnsi="Calibri" w:cs="Times New Roman"/>
                <w:b/>
                <w:bCs/>
                <w:sz w:val="20"/>
                <w:szCs w:val="20"/>
                <w:lang w:eastAsia="hr-HR"/>
              </w:rPr>
            </w:pPr>
            <w:r w:rsidRPr="004D1763">
              <w:rPr>
                <w:rFonts w:ascii="Calibri" w:eastAsia="Times New Roman" w:hAnsi="Calibri" w:cs="Times New Roman"/>
                <w:b/>
                <w:bCs/>
                <w:sz w:val="20"/>
                <w:szCs w:val="20"/>
                <w:lang w:eastAsia="hr-HR"/>
              </w:rPr>
              <w:t>113.681</w:t>
            </w:r>
          </w:p>
        </w:tc>
        <w:tc>
          <w:tcPr>
            <w:tcW w:w="1389" w:type="dxa"/>
            <w:tcBorders>
              <w:top w:val="single" w:sz="2" w:space="0" w:color="auto"/>
              <w:bottom w:val="single" w:sz="12" w:space="0" w:color="auto"/>
            </w:tcBorders>
            <w:shd w:val="clear" w:color="auto" w:fill="auto"/>
            <w:vAlign w:val="center"/>
            <w:hideMark/>
          </w:tcPr>
          <w:p w14:paraId="5A508529" w14:textId="1A32F20F" w:rsidR="004D1763" w:rsidRPr="004D1763" w:rsidRDefault="004D1763" w:rsidP="004D1763">
            <w:pPr>
              <w:spacing w:after="0" w:line="240" w:lineRule="auto"/>
              <w:jc w:val="right"/>
              <w:rPr>
                <w:rFonts w:ascii="Calibri" w:eastAsia="Times New Roman" w:hAnsi="Calibri" w:cs="Times New Roman"/>
                <w:b/>
                <w:bCs/>
                <w:sz w:val="20"/>
                <w:szCs w:val="20"/>
                <w:lang w:eastAsia="hr-HR"/>
              </w:rPr>
            </w:pPr>
            <w:r w:rsidRPr="004D1763">
              <w:rPr>
                <w:rFonts w:ascii="Calibri" w:eastAsia="Times New Roman" w:hAnsi="Calibri" w:cs="Times New Roman"/>
                <w:b/>
                <w:bCs/>
                <w:sz w:val="20"/>
                <w:szCs w:val="20"/>
                <w:lang w:eastAsia="hr-HR"/>
              </w:rPr>
              <w:t>228.236</w:t>
            </w:r>
          </w:p>
        </w:tc>
        <w:tc>
          <w:tcPr>
            <w:tcW w:w="1519" w:type="dxa"/>
            <w:tcBorders>
              <w:top w:val="single" w:sz="2" w:space="0" w:color="auto"/>
              <w:bottom w:val="single" w:sz="12" w:space="0" w:color="auto"/>
            </w:tcBorders>
            <w:shd w:val="clear" w:color="auto" w:fill="auto"/>
            <w:vAlign w:val="center"/>
          </w:tcPr>
          <w:p w14:paraId="5E115547" w14:textId="2C2008D1" w:rsidR="004D1763" w:rsidRPr="004D1763" w:rsidRDefault="00E110B3" w:rsidP="004D1763">
            <w:pPr>
              <w:spacing w:after="0" w:line="240" w:lineRule="auto"/>
              <w:jc w:val="right"/>
              <w:rPr>
                <w:rFonts w:ascii="Calibri" w:eastAsia="Times New Roman" w:hAnsi="Calibri" w:cs="Times New Roman"/>
                <w:b/>
                <w:bCs/>
                <w:sz w:val="20"/>
                <w:szCs w:val="20"/>
                <w:lang w:eastAsia="hr-HR"/>
              </w:rPr>
            </w:pPr>
            <w:r w:rsidRPr="00E110B3">
              <w:rPr>
                <w:rFonts w:ascii="Calibri" w:eastAsia="Times New Roman" w:hAnsi="Calibri" w:cs="Times New Roman"/>
                <w:b/>
                <w:bCs/>
                <w:sz w:val="20"/>
                <w:szCs w:val="20"/>
                <w:lang w:eastAsia="hr-HR"/>
              </w:rPr>
              <w:t>107.046</w:t>
            </w:r>
          </w:p>
        </w:tc>
        <w:tc>
          <w:tcPr>
            <w:tcW w:w="1518" w:type="dxa"/>
            <w:tcBorders>
              <w:top w:val="single" w:sz="2" w:space="0" w:color="auto"/>
              <w:bottom w:val="single" w:sz="12" w:space="0" w:color="auto"/>
            </w:tcBorders>
            <w:shd w:val="clear" w:color="auto" w:fill="auto"/>
            <w:vAlign w:val="center"/>
          </w:tcPr>
          <w:p w14:paraId="5A016766" w14:textId="1AD679AE" w:rsidR="004D1763" w:rsidRPr="004D1763" w:rsidRDefault="00E110B3" w:rsidP="004D1763">
            <w:pPr>
              <w:spacing w:after="0" w:line="240" w:lineRule="auto"/>
              <w:jc w:val="right"/>
              <w:rPr>
                <w:rFonts w:ascii="Calibri" w:eastAsia="Times New Roman" w:hAnsi="Calibri" w:cs="Times New Roman"/>
                <w:b/>
                <w:bCs/>
                <w:sz w:val="20"/>
                <w:szCs w:val="20"/>
                <w:lang w:eastAsia="hr-HR"/>
              </w:rPr>
            </w:pPr>
            <w:r w:rsidRPr="00E110B3">
              <w:rPr>
                <w:rFonts w:ascii="Calibri" w:eastAsia="Times New Roman" w:hAnsi="Calibri" w:cs="Times New Roman"/>
                <w:b/>
                <w:bCs/>
                <w:sz w:val="20"/>
                <w:szCs w:val="20"/>
                <w:lang w:eastAsia="hr-HR"/>
              </w:rPr>
              <w:t>215.153</w:t>
            </w:r>
          </w:p>
        </w:tc>
        <w:tc>
          <w:tcPr>
            <w:tcW w:w="1384" w:type="dxa"/>
            <w:tcBorders>
              <w:top w:val="single" w:sz="2" w:space="0" w:color="auto"/>
              <w:bottom w:val="single" w:sz="12" w:space="0" w:color="auto"/>
            </w:tcBorders>
            <w:shd w:val="clear" w:color="auto" w:fill="auto"/>
            <w:vAlign w:val="center"/>
            <w:hideMark/>
          </w:tcPr>
          <w:p w14:paraId="02E88F65" w14:textId="44EC003F" w:rsidR="004D1763" w:rsidRPr="004D1763" w:rsidRDefault="004D1763" w:rsidP="004D1763">
            <w:pPr>
              <w:spacing w:after="0" w:line="240" w:lineRule="auto"/>
              <w:jc w:val="right"/>
              <w:rPr>
                <w:rFonts w:ascii="Calibri" w:eastAsia="Times New Roman" w:hAnsi="Calibri" w:cs="Times New Roman"/>
                <w:b/>
                <w:bCs/>
                <w:sz w:val="20"/>
                <w:szCs w:val="20"/>
                <w:lang w:eastAsia="hr-HR"/>
              </w:rPr>
            </w:pPr>
            <w:r w:rsidRPr="004D1763">
              <w:rPr>
                <w:rFonts w:ascii="Calibri" w:eastAsia="Times New Roman" w:hAnsi="Calibri" w:cs="Times New Roman"/>
                <w:b/>
                <w:bCs/>
                <w:sz w:val="20"/>
                <w:szCs w:val="20"/>
                <w:lang w:eastAsia="hr-HR"/>
              </w:rPr>
              <w:t>113.681</w:t>
            </w:r>
          </w:p>
        </w:tc>
        <w:tc>
          <w:tcPr>
            <w:tcW w:w="1389" w:type="dxa"/>
            <w:tcBorders>
              <w:top w:val="single" w:sz="2" w:space="0" w:color="auto"/>
              <w:bottom w:val="single" w:sz="12" w:space="0" w:color="auto"/>
            </w:tcBorders>
            <w:shd w:val="clear" w:color="auto" w:fill="auto"/>
            <w:vAlign w:val="center"/>
            <w:hideMark/>
          </w:tcPr>
          <w:p w14:paraId="2ED1D947" w14:textId="0448053D" w:rsidR="004D1763" w:rsidRPr="004D1763" w:rsidRDefault="004D1763" w:rsidP="004D1763">
            <w:pPr>
              <w:spacing w:after="0" w:line="240" w:lineRule="auto"/>
              <w:jc w:val="right"/>
              <w:rPr>
                <w:rFonts w:ascii="Calibri" w:eastAsia="Times New Roman" w:hAnsi="Calibri" w:cs="Times New Roman"/>
                <w:b/>
                <w:bCs/>
                <w:sz w:val="20"/>
                <w:szCs w:val="20"/>
                <w:lang w:eastAsia="hr-HR"/>
              </w:rPr>
            </w:pPr>
            <w:r w:rsidRPr="004D1763">
              <w:rPr>
                <w:rFonts w:ascii="Calibri" w:eastAsia="Times New Roman" w:hAnsi="Calibri" w:cs="Times New Roman"/>
                <w:b/>
                <w:bCs/>
                <w:sz w:val="20"/>
                <w:szCs w:val="20"/>
                <w:lang w:eastAsia="hr-HR"/>
              </w:rPr>
              <w:t>228.236</w:t>
            </w:r>
          </w:p>
        </w:tc>
      </w:tr>
    </w:tbl>
    <w:p w14:paraId="1130B685" w14:textId="77777777" w:rsidR="00BF3447" w:rsidRDefault="00BF3447" w:rsidP="00473076">
      <w:pPr>
        <w:spacing w:after="120" w:line="240" w:lineRule="auto"/>
        <w:jc w:val="both"/>
        <w:rPr>
          <w:rFonts w:eastAsia="Times New Roman" w:cs="Calibri"/>
          <w:lang w:eastAsia="hr-HR"/>
        </w:rPr>
      </w:pPr>
    </w:p>
    <w:p w14:paraId="14D6CBC9" w14:textId="77777777" w:rsidR="00202F35" w:rsidRPr="00876425" w:rsidRDefault="00AE09B0" w:rsidP="00473076">
      <w:pPr>
        <w:spacing w:after="120" w:line="240" w:lineRule="auto"/>
        <w:jc w:val="both"/>
        <w:rPr>
          <w:rFonts w:eastAsia="Times New Roman" w:cs="Calibri"/>
          <w:lang w:eastAsia="hr-HR"/>
        </w:rPr>
      </w:pPr>
      <w:r w:rsidRPr="00876425">
        <w:rPr>
          <w:rFonts w:eastAsia="Times New Roman" w:cs="Calibri"/>
          <w:lang w:eastAsia="hr-HR"/>
        </w:rPr>
        <w:t>Rashodi od kamata prema vrstama obveza:</w:t>
      </w:r>
    </w:p>
    <w:tbl>
      <w:tblPr>
        <w:tblW w:w="4924" w:type="pct"/>
        <w:tblLayout w:type="fixed"/>
        <w:tblCellMar>
          <w:left w:w="122" w:type="dxa"/>
          <w:right w:w="122" w:type="dxa"/>
        </w:tblCellMar>
        <w:tblLook w:val="0000" w:firstRow="0" w:lastRow="0" w:firstColumn="0" w:lastColumn="0" w:noHBand="0" w:noVBand="0"/>
      </w:tblPr>
      <w:tblGrid>
        <w:gridCol w:w="2487"/>
        <w:gridCol w:w="1530"/>
        <w:gridCol w:w="1539"/>
        <w:gridCol w:w="1530"/>
        <w:gridCol w:w="1399"/>
        <w:gridCol w:w="1542"/>
        <w:gridCol w:w="1539"/>
        <w:gridCol w:w="1539"/>
        <w:gridCol w:w="1495"/>
      </w:tblGrid>
      <w:tr w:rsidR="00427DD5" w:rsidRPr="00427DD5" w14:paraId="348A7B0A" w14:textId="77777777" w:rsidTr="00060490">
        <w:trPr>
          <w:trHeight w:val="300"/>
        </w:trPr>
        <w:tc>
          <w:tcPr>
            <w:tcW w:w="852" w:type="pct"/>
          </w:tcPr>
          <w:p w14:paraId="330B46BB" w14:textId="77777777" w:rsidR="00427DD5" w:rsidRPr="00427DD5" w:rsidRDefault="00427DD5" w:rsidP="00427DD5">
            <w:pPr>
              <w:tabs>
                <w:tab w:val="left" w:pos="-720"/>
              </w:tabs>
              <w:suppressAutoHyphens/>
              <w:spacing w:after="0" w:line="240" w:lineRule="auto"/>
              <w:jc w:val="right"/>
              <w:rPr>
                <w:rFonts w:eastAsia="Times New Roman" w:cs="Arial"/>
                <w:spacing w:val="-3"/>
                <w:sz w:val="20"/>
                <w:szCs w:val="20"/>
              </w:rPr>
            </w:pPr>
            <w:r w:rsidRPr="00427DD5">
              <w:rPr>
                <w:rFonts w:eastAsia="Times New Roman" w:cs="Arial"/>
                <w:spacing w:val="-3"/>
                <w:sz w:val="20"/>
                <w:szCs w:val="20"/>
              </w:rPr>
              <w:t xml:space="preserve">         </w:t>
            </w:r>
          </w:p>
        </w:tc>
        <w:tc>
          <w:tcPr>
            <w:tcW w:w="2054" w:type="pct"/>
            <w:gridSpan w:val="4"/>
            <w:vAlign w:val="bottom"/>
          </w:tcPr>
          <w:p w14:paraId="52A54F58" w14:textId="77777777" w:rsidR="00427DD5" w:rsidRPr="00427DD5" w:rsidRDefault="00427DD5" w:rsidP="00427DD5">
            <w:pPr>
              <w:tabs>
                <w:tab w:val="right" w:pos="1202"/>
              </w:tabs>
              <w:spacing w:after="0" w:line="240" w:lineRule="atLeast"/>
              <w:jc w:val="right"/>
              <w:outlineLvl w:val="0"/>
              <w:rPr>
                <w:rFonts w:eastAsia="Times New Roman" w:cs="Arial"/>
                <w:b/>
                <w:sz w:val="20"/>
                <w:szCs w:val="20"/>
              </w:rPr>
            </w:pPr>
            <w:r w:rsidRPr="00427DD5">
              <w:rPr>
                <w:rFonts w:ascii="Calibri" w:eastAsia="Times New Roman" w:hAnsi="Calibri" w:cs="Times New Roman"/>
                <w:b/>
                <w:bCs/>
                <w:sz w:val="20"/>
                <w:szCs w:val="20"/>
                <w:lang w:eastAsia="hr-HR"/>
              </w:rPr>
              <w:t>Grupa</w:t>
            </w:r>
          </w:p>
        </w:tc>
        <w:tc>
          <w:tcPr>
            <w:tcW w:w="2094" w:type="pct"/>
            <w:gridSpan w:val="4"/>
            <w:vAlign w:val="bottom"/>
          </w:tcPr>
          <w:p w14:paraId="2AE1D3E3" w14:textId="77777777" w:rsidR="00427DD5" w:rsidRPr="00427DD5" w:rsidRDefault="00427DD5" w:rsidP="00427DD5">
            <w:pPr>
              <w:tabs>
                <w:tab w:val="right" w:pos="1202"/>
              </w:tabs>
              <w:spacing w:after="0" w:line="240" w:lineRule="atLeast"/>
              <w:jc w:val="right"/>
              <w:outlineLvl w:val="0"/>
              <w:rPr>
                <w:rFonts w:eastAsia="Times New Roman" w:cs="Arial"/>
                <w:b/>
                <w:sz w:val="20"/>
                <w:szCs w:val="20"/>
              </w:rPr>
            </w:pPr>
            <w:r w:rsidRPr="00427DD5">
              <w:rPr>
                <w:rFonts w:ascii="Calibri" w:eastAsia="Times New Roman" w:hAnsi="Calibri" w:cs="Times New Roman"/>
                <w:b/>
                <w:bCs/>
                <w:sz w:val="20"/>
                <w:szCs w:val="20"/>
                <w:lang w:eastAsia="hr-HR"/>
              </w:rPr>
              <w:t>Banka</w:t>
            </w:r>
          </w:p>
        </w:tc>
      </w:tr>
      <w:tr w:rsidR="00427DD5" w:rsidRPr="00427DD5" w14:paraId="651497B3" w14:textId="77777777" w:rsidTr="00060490">
        <w:trPr>
          <w:trHeight w:val="300"/>
        </w:trPr>
        <w:tc>
          <w:tcPr>
            <w:tcW w:w="852" w:type="pct"/>
          </w:tcPr>
          <w:p w14:paraId="3F9F04BA" w14:textId="77777777" w:rsidR="00427DD5" w:rsidRPr="00427DD5" w:rsidRDefault="00427DD5" w:rsidP="00427DD5">
            <w:pPr>
              <w:tabs>
                <w:tab w:val="left" w:pos="-720"/>
              </w:tabs>
              <w:suppressAutoHyphens/>
              <w:spacing w:after="0" w:line="240" w:lineRule="auto"/>
              <w:jc w:val="right"/>
              <w:rPr>
                <w:rFonts w:eastAsia="Times New Roman" w:cs="Arial"/>
                <w:spacing w:val="-3"/>
                <w:sz w:val="20"/>
                <w:szCs w:val="20"/>
              </w:rPr>
            </w:pPr>
          </w:p>
        </w:tc>
        <w:tc>
          <w:tcPr>
            <w:tcW w:w="1051" w:type="pct"/>
            <w:gridSpan w:val="2"/>
            <w:vAlign w:val="bottom"/>
          </w:tcPr>
          <w:p w14:paraId="52852218" w14:textId="73B331AF" w:rsidR="00427DD5" w:rsidRPr="00427DD5" w:rsidRDefault="00427DD5">
            <w:pPr>
              <w:tabs>
                <w:tab w:val="right" w:pos="1202"/>
              </w:tabs>
              <w:spacing w:after="0" w:line="240" w:lineRule="atLeast"/>
              <w:jc w:val="center"/>
              <w:outlineLvl w:val="0"/>
              <w:rPr>
                <w:rFonts w:eastAsia="Times New Roman" w:cs="Arial"/>
                <w:b/>
                <w:sz w:val="20"/>
                <w:szCs w:val="20"/>
              </w:rPr>
            </w:pPr>
            <w:r w:rsidRPr="00427DD5">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7</w:t>
            </w:r>
            <w:r w:rsidRPr="00427DD5">
              <w:rPr>
                <w:rFonts w:ascii="Calibri" w:eastAsia="Times New Roman" w:hAnsi="Calibri" w:cs="Times New Roman"/>
                <w:b/>
                <w:bCs/>
                <w:sz w:val="20"/>
                <w:szCs w:val="20"/>
                <w:lang w:eastAsia="hr-HR"/>
              </w:rPr>
              <w:t>.</w:t>
            </w:r>
          </w:p>
        </w:tc>
        <w:tc>
          <w:tcPr>
            <w:tcW w:w="1003" w:type="pct"/>
            <w:gridSpan w:val="2"/>
            <w:vAlign w:val="bottom"/>
          </w:tcPr>
          <w:p w14:paraId="5879DA58" w14:textId="735E1B63" w:rsidR="00427DD5" w:rsidRPr="00427DD5" w:rsidRDefault="00427DD5">
            <w:pPr>
              <w:tabs>
                <w:tab w:val="right" w:pos="1202"/>
              </w:tabs>
              <w:spacing w:after="0" w:line="240" w:lineRule="atLeast"/>
              <w:jc w:val="center"/>
              <w:outlineLvl w:val="0"/>
              <w:rPr>
                <w:rFonts w:eastAsia="Times New Roman" w:cs="Arial"/>
                <w:b/>
                <w:sz w:val="20"/>
                <w:szCs w:val="20"/>
              </w:rPr>
            </w:pPr>
            <w:r w:rsidRPr="00427DD5">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6</w:t>
            </w:r>
            <w:r w:rsidRPr="00427DD5">
              <w:rPr>
                <w:rFonts w:ascii="Calibri" w:eastAsia="Times New Roman" w:hAnsi="Calibri" w:cs="Times New Roman"/>
                <w:b/>
                <w:bCs/>
                <w:sz w:val="20"/>
                <w:szCs w:val="20"/>
                <w:lang w:eastAsia="hr-HR"/>
              </w:rPr>
              <w:t>.</w:t>
            </w:r>
          </w:p>
        </w:tc>
        <w:tc>
          <w:tcPr>
            <w:tcW w:w="1055" w:type="pct"/>
            <w:gridSpan w:val="2"/>
            <w:vAlign w:val="bottom"/>
          </w:tcPr>
          <w:p w14:paraId="55BA43D3" w14:textId="01CBC888" w:rsidR="00427DD5" w:rsidRPr="00427DD5" w:rsidRDefault="00427DD5">
            <w:pPr>
              <w:tabs>
                <w:tab w:val="right" w:pos="1202"/>
              </w:tabs>
              <w:spacing w:after="0" w:line="240" w:lineRule="atLeast"/>
              <w:jc w:val="center"/>
              <w:outlineLvl w:val="0"/>
              <w:rPr>
                <w:rFonts w:eastAsia="Times New Roman" w:cs="Arial"/>
                <w:b/>
                <w:sz w:val="20"/>
                <w:szCs w:val="20"/>
              </w:rPr>
            </w:pPr>
            <w:r w:rsidRPr="00427DD5">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7</w:t>
            </w:r>
            <w:r w:rsidRPr="00427DD5">
              <w:rPr>
                <w:rFonts w:ascii="Calibri" w:eastAsia="Times New Roman" w:hAnsi="Calibri" w:cs="Times New Roman"/>
                <w:b/>
                <w:bCs/>
                <w:sz w:val="20"/>
                <w:szCs w:val="20"/>
                <w:lang w:eastAsia="hr-HR"/>
              </w:rPr>
              <w:t>.</w:t>
            </w:r>
          </w:p>
        </w:tc>
        <w:tc>
          <w:tcPr>
            <w:tcW w:w="1039" w:type="pct"/>
            <w:gridSpan w:val="2"/>
            <w:vAlign w:val="bottom"/>
          </w:tcPr>
          <w:p w14:paraId="65C8D808" w14:textId="456AE68C" w:rsidR="00427DD5" w:rsidRPr="00427DD5" w:rsidRDefault="00427DD5">
            <w:pPr>
              <w:tabs>
                <w:tab w:val="right" w:pos="1202"/>
              </w:tabs>
              <w:spacing w:after="0" w:line="240" w:lineRule="atLeast"/>
              <w:jc w:val="center"/>
              <w:outlineLvl w:val="0"/>
              <w:rPr>
                <w:rFonts w:eastAsia="Times New Roman" w:cs="Arial"/>
                <w:b/>
                <w:sz w:val="20"/>
                <w:szCs w:val="20"/>
              </w:rPr>
            </w:pPr>
            <w:r w:rsidRPr="00427DD5">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6</w:t>
            </w:r>
            <w:r w:rsidRPr="00427DD5">
              <w:rPr>
                <w:rFonts w:ascii="Calibri" w:eastAsia="Times New Roman" w:hAnsi="Calibri" w:cs="Times New Roman"/>
                <w:b/>
                <w:bCs/>
                <w:sz w:val="20"/>
                <w:szCs w:val="20"/>
                <w:lang w:eastAsia="hr-HR"/>
              </w:rPr>
              <w:t>.</w:t>
            </w:r>
          </w:p>
        </w:tc>
      </w:tr>
      <w:tr w:rsidR="00427DD5" w:rsidRPr="00427DD5" w14:paraId="643600BA" w14:textId="77777777" w:rsidTr="00060490">
        <w:trPr>
          <w:trHeight w:val="458"/>
        </w:trPr>
        <w:tc>
          <w:tcPr>
            <w:tcW w:w="852" w:type="pct"/>
          </w:tcPr>
          <w:p w14:paraId="620CA456" w14:textId="77777777" w:rsidR="00427DD5" w:rsidRPr="00427DD5" w:rsidRDefault="00427DD5" w:rsidP="00427DD5">
            <w:pPr>
              <w:tabs>
                <w:tab w:val="left" w:pos="-720"/>
              </w:tabs>
              <w:suppressAutoHyphens/>
              <w:spacing w:after="0" w:line="240" w:lineRule="auto"/>
              <w:jc w:val="right"/>
              <w:rPr>
                <w:rFonts w:eastAsia="Times New Roman" w:cs="Arial"/>
                <w:spacing w:val="-3"/>
                <w:sz w:val="20"/>
                <w:szCs w:val="20"/>
              </w:rPr>
            </w:pPr>
          </w:p>
        </w:tc>
        <w:tc>
          <w:tcPr>
            <w:tcW w:w="524" w:type="pct"/>
            <w:vAlign w:val="center"/>
          </w:tcPr>
          <w:p w14:paraId="1A09702E" w14:textId="77777777" w:rsidR="00427DD5" w:rsidRPr="00427DD5" w:rsidRDefault="00427DD5" w:rsidP="00427DD5">
            <w:pPr>
              <w:spacing w:after="0" w:line="240" w:lineRule="auto"/>
              <w:jc w:val="right"/>
              <w:rPr>
                <w:rFonts w:ascii="Calibri" w:eastAsia="Times New Roman" w:hAnsi="Calibri" w:cs="Times New Roman"/>
                <w:sz w:val="20"/>
                <w:szCs w:val="20"/>
                <w:lang w:eastAsia="hr-HR"/>
              </w:rPr>
            </w:pPr>
            <w:r w:rsidRPr="00427DD5">
              <w:rPr>
                <w:rFonts w:ascii="Calibri" w:eastAsia="Times New Roman" w:hAnsi="Calibri" w:cs="Times New Roman"/>
                <w:sz w:val="20"/>
                <w:szCs w:val="20"/>
                <w:lang w:eastAsia="hr-HR"/>
              </w:rPr>
              <w:t>Tekuće razdoblje</w:t>
            </w:r>
          </w:p>
        </w:tc>
        <w:tc>
          <w:tcPr>
            <w:tcW w:w="527" w:type="pct"/>
            <w:vAlign w:val="center"/>
          </w:tcPr>
          <w:p w14:paraId="77214EA1" w14:textId="77777777" w:rsidR="00427DD5" w:rsidRPr="00427DD5" w:rsidRDefault="00427DD5" w:rsidP="00427DD5">
            <w:pPr>
              <w:spacing w:after="0" w:line="240" w:lineRule="auto"/>
              <w:jc w:val="right"/>
              <w:rPr>
                <w:rFonts w:ascii="Calibri" w:eastAsia="Times New Roman" w:hAnsi="Calibri" w:cs="Times New Roman"/>
                <w:sz w:val="20"/>
                <w:szCs w:val="20"/>
                <w:lang w:eastAsia="hr-HR"/>
              </w:rPr>
            </w:pPr>
            <w:r w:rsidRPr="00427DD5">
              <w:rPr>
                <w:rFonts w:ascii="Calibri" w:eastAsia="Times New Roman" w:hAnsi="Calibri" w:cs="Times New Roman"/>
                <w:sz w:val="20"/>
                <w:szCs w:val="20"/>
                <w:lang w:eastAsia="hr-HR"/>
              </w:rPr>
              <w:t>Kumulativ</w:t>
            </w:r>
          </w:p>
        </w:tc>
        <w:tc>
          <w:tcPr>
            <w:tcW w:w="524" w:type="pct"/>
            <w:vAlign w:val="center"/>
          </w:tcPr>
          <w:p w14:paraId="53D25FFD" w14:textId="77777777" w:rsidR="00427DD5" w:rsidRPr="00427DD5" w:rsidRDefault="00427DD5" w:rsidP="00427DD5">
            <w:pPr>
              <w:spacing w:after="0" w:line="240" w:lineRule="auto"/>
              <w:jc w:val="right"/>
              <w:rPr>
                <w:rFonts w:ascii="Calibri" w:eastAsia="Times New Roman" w:hAnsi="Calibri" w:cs="Times New Roman"/>
                <w:sz w:val="20"/>
                <w:szCs w:val="20"/>
                <w:lang w:eastAsia="hr-HR"/>
              </w:rPr>
            </w:pPr>
            <w:r w:rsidRPr="00427DD5">
              <w:rPr>
                <w:rFonts w:ascii="Calibri" w:eastAsia="Times New Roman" w:hAnsi="Calibri" w:cs="Times New Roman"/>
                <w:sz w:val="20"/>
                <w:szCs w:val="20"/>
                <w:lang w:eastAsia="hr-HR"/>
              </w:rPr>
              <w:t>Tekuće razdoblje</w:t>
            </w:r>
          </w:p>
        </w:tc>
        <w:tc>
          <w:tcPr>
            <w:tcW w:w="479" w:type="pct"/>
            <w:vAlign w:val="center"/>
          </w:tcPr>
          <w:p w14:paraId="48B93D28" w14:textId="77777777" w:rsidR="00427DD5" w:rsidRPr="00427DD5" w:rsidRDefault="00427DD5" w:rsidP="00427DD5">
            <w:pPr>
              <w:spacing w:after="0" w:line="240" w:lineRule="auto"/>
              <w:jc w:val="right"/>
              <w:rPr>
                <w:rFonts w:ascii="Calibri" w:eastAsia="Times New Roman" w:hAnsi="Calibri" w:cs="Times New Roman"/>
                <w:sz w:val="20"/>
                <w:szCs w:val="20"/>
                <w:lang w:eastAsia="hr-HR"/>
              </w:rPr>
            </w:pPr>
            <w:r w:rsidRPr="00427DD5">
              <w:rPr>
                <w:rFonts w:ascii="Calibri" w:eastAsia="Times New Roman" w:hAnsi="Calibri" w:cs="Times New Roman"/>
                <w:sz w:val="20"/>
                <w:szCs w:val="20"/>
                <w:lang w:eastAsia="hr-HR"/>
              </w:rPr>
              <w:t>Kumulativ</w:t>
            </w:r>
          </w:p>
        </w:tc>
        <w:tc>
          <w:tcPr>
            <w:tcW w:w="528" w:type="pct"/>
            <w:vAlign w:val="center"/>
          </w:tcPr>
          <w:p w14:paraId="056C15FB" w14:textId="77777777" w:rsidR="00427DD5" w:rsidRPr="00427DD5" w:rsidRDefault="00427DD5" w:rsidP="00427DD5">
            <w:pPr>
              <w:spacing w:after="0" w:line="240" w:lineRule="auto"/>
              <w:jc w:val="right"/>
              <w:rPr>
                <w:rFonts w:ascii="Calibri" w:eastAsia="Times New Roman" w:hAnsi="Calibri" w:cs="Times New Roman"/>
                <w:sz w:val="20"/>
                <w:szCs w:val="20"/>
                <w:lang w:eastAsia="hr-HR"/>
              </w:rPr>
            </w:pPr>
            <w:r w:rsidRPr="00427DD5">
              <w:rPr>
                <w:rFonts w:ascii="Calibri" w:eastAsia="Times New Roman" w:hAnsi="Calibri" w:cs="Times New Roman"/>
                <w:sz w:val="20"/>
                <w:szCs w:val="20"/>
                <w:lang w:eastAsia="hr-HR"/>
              </w:rPr>
              <w:t>Tekuće razdoblje</w:t>
            </w:r>
          </w:p>
        </w:tc>
        <w:tc>
          <w:tcPr>
            <w:tcW w:w="527" w:type="pct"/>
            <w:vAlign w:val="center"/>
          </w:tcPr>
          <w:p w14:paraId="1E93E79F" w14:textId="77777777" w:rsidR="00427DD5" w:rsidRPr="00427DD5" w:rsidRDefault="00427DD5" w:rsidP="00427DD5">
            <w:pPr>
              <w:spacing w:after="0" w:line="240" w:lineRule="auto"/>
              <w:jc w:val="right"/>
              <w:rPr>
                <w:rFonts w:ascii="Calibri" w:eastAsia="Times New Roman" w:hAnsi="Calibri" w:cs="Times New Roman"/>
                <w:sz w:val="20"/>
                <w:szCs w:val="20"/>
                <w:lang w:eastAsia="hr-HR"/>
              </w:rPr>
            </w:pPr>
            <w:r w:rsidRPr="00427DD5">
              <w:rPr>
                <w:rFonts w:ascii="Calibri" w:eastAsia="Times New Roman" w:hAnsi="Calibri" w:cs="Times New Roman"/>
                <w:sz w:val="20"/>
                <w:szCs w:val="20"/>
                <w:lang w:eastAsia="hr-HR"/>
              </w:rPr>
              <w:t>Kumulativ</w:t>
            </w:r>
          </w:p>
        </w:tc>
        <w:tc>
          <w:tcPr>
            <w:tcW w:w="527" w:type="pct"/>
            <w:vAlign w:val="center"/>
          </w:tcPr>
          <w:p w14:paraId="2B298366" w14:textId="77777777" w:rsidR="00427DD5" w:rsidRPr="00427DD5" w:rsidRDefault="00427DD5" w:rsidP="00427DD5">
            <w:pPr>
              <w:spacing w:after="0" w:line="240" w:lineRule="auto"/>
              <w:jc w:val="right"/>
              <w:rPr>
                <w:rFonts w:ascii="Calibri" w:eastAsia="Times New Roman" w:hAnsi="Calibri" w:cs="Times New Roman"/>
                <w:sz w:val="20"/>
                <w:szCs w:val="20"/>
                <w:lang w:eastAsia="hr-HR"/>
              </w:rPr>
            </w:pPr>
            <w:r w:rsidRPr="00427DD5">
              <w:rPr>
                <w:rFonts w:ascii="Calibri" w:eastAsia="Times New Roman" w:hAnsi="Calibri" w:cs="Times New Roman"/>
                <w:sz w:val="20"/>
                <w:szCs w:val="20"/>
                <w:lang w:eastAsia="hr-HR"/>
              </w:rPr>
              <w:t>Tekuće razdoblje</w:t>
            </w:r>
          </w:p>
        </w:tc>
        <w:tc>
          <w:tcPr>
            <w:tcW w:w="512" w:type="pct"/>
            <w:vAlign w:val="center"/>
          </w:tcPr>
          <w:p w14:paraId="72A2A237" w14:textId="77777777" w:rsidR="00427DD5" w:rsidRPr="00427DD5" w:rsidRDefault="00427DD5" w:rsidP="00427DD5">
            <w:pPr>
              <w:spacing w:after="0" w:line="240" w:lineRule="auto"/>
              <w:jc w:val="right"/>
              <w:rPr>
                <w:rFonts w:ascii="Calibri" w:eastAsia="Times New Roman" w:hAnsi="Calibri" w:cs="Times New Roman"/>
                <w:sz w:val="20"/>
                <w:szCs w:val="20"/>
                <w:lang w:eastAsia="hr-HR"/>
              </w:rPr>
            </w:pPr>
            <w:r w:rsidRPr="00427DD5">
              <w:rPr>
                <w:rFonts w:ascii="Calibri" w:eastAsia="Times New Roman" w:hAnsi="Calibri" w:cs="Times New Roman"/>
                <w:sz w:val="20"/>
                <w:szCs w:val="20"/>
                <w:lang w:eastAsia="hr-HR"/>
              </w:rPr>
              <w:t>Kumulativ</w:t>
            </w:r>
          </w:p>
        </w:tc>
      </w:tr>
      <w:tr w:rsidR="00427DD5" w:rsidRPr="00427DD5" w14:paraId="2058D568" w14:textId="77777777" w:rsidTr="00060490">
        <w:trPr>
          <w:trHeight w:hRule="exact" w:val="252"/>
        </w:trPr>
        <w:tc>
          <w:tcPr>
            <w:tcW w:w="852" w:type="pct"/>
          </w:tcPr>
          <w:p w14:paraId="06C6DD61" w14:textId="77777777" w:rsidR="00427DD5" w:rsidRPr="00427DD5" w:rsidRDefault="00427DD5" w:rsidP="00427DD5">
            <w:pPr>
              <w:tabs>
                <w:tab w:val="left" w:pos="-720"/>
              </w:tabs>
              <w:suppressAutoHyphens/>
              <w:spacing w:after="0" w:line="240" w:lineRule="auto"/>
              <w:rPr>
                <w:rFonts w:eastAsia="Times New Roman" w:cs="Arial"/>
                <w:b/>
                <w:spacing w:val="-3"/>
                <w:sz w:val="20"/>
                <w:szCs w:val="20"/>
              </w:rPr>
            </w:pPr>
          </w:p>
        </w:tc>
        <w:tc>
          <w:tcPr>
            <w:tcW w:w="524" w:type="pct"/>
            <w:vAlign w:val="center"/>
          </w:tcPr>
          <w:p w14:paraId="162784BE" w14:textId="77777777" w:rsidR="00427DD5" w:rsidRPr="00427DD5" w:rsidRDefault="00427DD5" w:rsidP="00427DD5">
            <w:pPr>
              <w:tabs>
                <w:tab w:val="left" w:pos="-720"/>
              </w:tabs>
              <w:suppressAutoHyphens/>
              <w:spacing w:after="0" w:line="240" w:lineRule="auto"/>
              <w:jc w:val="right"/>
              <w:rPr>
                <w:rFonts w:eastAsia="Times New Roman" w:cs="Arial"/>
                <w:b/>
                <w:spacing w:val="-3"/>
                <w:sz w:val="20"/>
                <w:szCs w:val="20"/>
              </w:rPr>
            </w:pPr>
            <w:r w:rsidRPr="00427DD5">
              <w:rPr>
                <w:rFonts w:ascii="Calibri" w:eastAsia="Times New Roman" w:hAnsi="Calibri" w:cs="Times New Roman"/>
                <w:sz w:val="20"/>
                <w:szCs w:val="20"/>
                <w:lang w:eastAsia="hr-HR"/>
              </w:rPr>
              <w:t>1.4. - 30.6.</w:t>
            </w:r>
          </w:p>
        </w:tc>
        <w:tc>
          <w:tcPr>
            <w:tcW w:w="527" w:type="pct"/>
            <w:vAlign w:val="center"/>
          </w:tcPr>
          <w:p w14:paraId="051C30D6" w14:textId="77777777" w:rsidR="00427DD5" w:rsidRPr="00427DD5" w:rsidRDefault="00427DD5" w:rsidP="00427DD5">
            <w:pPr>
              <w:tabs>
                <w:tab w:val="left" w:pos="-720"/>
              </w:tabs>
              <w:suppressAutoHyphens/>
              <w:spacing w:after="0" w:line="240" w:lineRule="auto"/>
              <w:jc w:val="right"/>
              <w:rPr>
                <w:rFonts w:eastAsia="Times New Roman" w:cs="Arial"/>
                <w:b/>
                <w:spacing w:val="-3"/>
                <w:sz w:val="20"/>
                <w:szCs w:val="20"/>
              </w:rPr>
            </w:pPr>
            <w:r w:rsidRPr="00427DD5">
              <w:rPr>
                <w:rFonts w:ascii="Calibri" w:eastAsia="Times New Roman" w:hAnsi="Calibri" w:cs="Times New Roman"/>
                <w:sz w:val="20"/>
                <w:szCs w:val="20"/>
                <w:lang w:eastAsia="hr-HR"/>
              </w:rPr>
              <w:t>1.1. - 30.6.</w:t>
            </w:r>
          </w:p>
        </w:tc>
        <w:tc>
          <w:tcPr>
            <w:tcW w:w="524" w:type="pct"/>
            <w:vAlign w:val="center"/>
          </w:tcPr>
          <w:p w14:paraId="258A43FB" w14:textId="77777777" w:rsidR="00427DD5" w:rsidRPr="00427DD5" w:rsidRDefault="00427DD5" w:rsidP="00427DD5">
            <w:pPr>
              <w:tabs>
                <w:tab w:val="left" w:pos="-720"/>
              </w:tabs>
              <w:suppressAutoHyphens/>
              <w:spacing w:after="0" w:line="240" w:lineRule="auto"/>
              <w:jc w:val="right"/>
              <w:rPr>
                <w:rFonts w:eastAsia="Times New Roman" w:cs="Arial"/>
                <w:b/>
                <w:spacing w:val="-3"/>
                <w:sz w:val="20"/>
                <w:szCs w:val="20"/>
              </w:rPr>
            </w:pPr>
            <w:r w:rsidRPr="00427DD5">
              <w:rPr>
                <w:rFonts w:ascii="Calibri" w:eastAsia="Times New Roman" w:hAnsi="Calibri" w:cs="Times New Roman"/>
                <w:sz w:val="20"/>
                <w:szCs w:val="20"/>
                <w:lang w:eastAsia="hr-HR"/>
              </w:rPr>
              <w:t>1.4. - 30.6.</w:t>
            </w:r>
          </w:p>
        </w:tc>
        <w:tc>
          <w:tcPr>
            <w:tcW w:w="479" w:type="pct"/>
            <w:vAlign w:val="center"/>
          </w:tcPr>
          <w:p w14:paraId="445EBD8A" w14:textId="77777777" w:rsidR="00427DD5" w:rsidRPr="00427DD5" w:rsidRDefault="00427DD5" w:rsidP="00427DD5">
            <w:pPr>
              <w:tabs>
                <w:tab w:val="left" w:pos="-720"/>
              </w:tabs>
              <w:suppressAutoHyphens/>
              <w:spacing w:after="0" w:line="240" w:lineRule="auto"/>
              <w:jc w:val="right"/>
              <w:rPr>
                <w:rFonts w:eastAsia="Times New Roman" w:cs="Arial"/>
                <w:b/>
                <w:spacing w:val="-3"/>
                <w:sz w:val="20"/>
                <w:szCs w:val="20"/>
              </w:rPr>
            </w:pPr>
            <w:r w:rsidRPr="00427DD5">
              <w:rPr>
                <w:rFonts w:ascii="Calibri" w:eastAsia="Times New Roman" w:hAnsi="Calibri" w:cs="Times New Roman"/>
                <w:sz w:val="20"/>
                <w:szCs w:val="20"/>
                <w:lang w:eastAsia="hr-HR"/>
              </w:rPr>
              <w:t>1.1. - 30.6.</w:t>
            </w:r>
          </w:p>
        </w:tc>
        <w:tc>
          <w:tcPr>
            <w:tcW w:w="528" w:type="pct"/>
            <w:vAlign w:val="center"/>
          </w:tcPr>
          <w:p w14:paraId="019A2A4F" w14:textId="77777777" w:rsidR="00427DD5" w:rsidRPr="00427DD5" w:rsidRDefault="00427DD5" w:rsidP="00427DD5">
            <w:pPr>
              <w:tabs>
                <w:tab w:val="left" w:pos="-720"/>
              </w:tabs>
              <w:suppressAutoHyphens/>
              <w:spacing w:after="0" w:line="240" w:lineRule="auto"/>
              <w:jc w:val="right"/>
              <w:rPr>
                <w:rFonts w:eastAsia="Times New Roman" w:cs="Arial"/>
                <w:b/>
                <w:spacing w:val="-3"/>
                <w:sz w:val="20"/>
                <w:szCs w:val="20"/>
              </w:rPr>
            </w:pPr>
            <w:r w:rsidRPr="00427DD5">
              <w:rPr>
                <w:rFonts w:ascii="Calibri" w:eastAsia="Times New Roman" w:hAnsi="Calibri" w:cs="Times New Roman"/>
                <w:sz w:val="20"/>
                <w:szCs w:val="20"/>
                <w:lang w:eastAsia="hr-HR"/>
              </w:rPr>
              <w:t>1.4. - 30.6.</w:t>
            </w:r>
          </w:p>
        </w:tc>
        <w:tc>
          <w:tcPr>
            <w:tcW w:w="527" w:type="pct"/>
            <w:vAlign w:val="center"/>
          </w:tcPr>
          <w:p w14:paraId="1255BDA4" w14:textId="77777777" w:rsidR="00427DD5" w:rsidRPr="00427DD5" w:rsidRDefault="00427DD5" w:rsidP="00427DD5">
            <w:pPr>
              <w:tabs>
                <w:tab w:val="left" w:pos="-720"/>
              </w:tabs>
              <w:suppressAutoHyphens/>
              <w:spacing w:after="0" w:line="240" w:lineRule="auto"/>
              <w:jc w:val="right"/>
              <w:rPr>
                <w:rFonts w:eastAsia="Times New Roman" w:cs="Arial"/>
                <w:b/>
                <w:spacing w:val="-3"/>
                <w:sz w:val="20"/>
                <w:szCs w:val="20"/>
              </w:rPr>
            </w:pPr>
            <w:r w:rsidRPr="00427DD5">
              <w:rPr>
                <w:rFonts w:ascii="Calibri" w:eastAsia="Times New Roman" w:hAnsi="Calibri" w:cs="Times New Roman"/>
                <w:sz w:val="20"/>
                <w:szCs w:val="20"/>
                <w:lang w:eastAsia="hr-HR"/>
              </w:rPr>
              <w:t>1.1. - 30.6.</w:t>
            </w:r>
          </w:p>
        </w:tc>
        <w:tc>
          <w:tcPr>
            <w:tcW w:w="527" w:type="pct"/>
            <w:vAlign w:val="center"/>
          </w:tcPr>
          <w:p w14:paraId="7E59051B" w14:textId="77777777" w:rsidR="00427DD5" w:rsidRPr="00427DD5" w:rsidRDefault="00427DD5" w:rsidP="00427DD5">
            <w:pPr>
              <w:tabs>
                <w:tab w:val="left" w:pos="-720"/>
              </w:tabs>
              <w:suppressAutoHyphens/>
              <w:spacing w:after="0" w:line="240" w:lineRule="auto"/>
              <w:jc w:val="right"/>
              <w:rPr>
                <w:rFonts w:eastAsia="Times New Roman" w:cs="Arial"/>
                <w:b/>
                <w:spacing w:val="-3"/>
                <w:sz w:val="20"/>
                <w:szCs w:val="20"/>
              </w:rPr>
            </w:pPr>
            <w:r w:rsidRPr="00427DD5">
              <w:rPr>
                <w:rFonts w:ascii="Calibri" w:eastAsia="Times New Roman" w:hAnsi="Calibri" w:cs="Times New Roman"/>
                <w:sz w:val="20"/>
                <w:szCs w:val="20"/>
                <w:lang w:eastAsia="hr-HR"/>
              </w:rPr>
              <w:t>1.4. - 30.6.</w:t>
            </w:r>
          </w:p>
        </w:tc>
        <w:tc>
          <w:tcPr>
            <w:tcW w:w="512" w:type="pct"/>
            <w:vAlign w:val="center"/>
          </w:tcPr>
          <w:p w14:paraId="3825E1EB" w14:textId="77777777" w:rsidR="00427DD5" w:rsidRPr="00427DD5" w:rsidRDefault="00427DD5" w:rsidP="00427DD5">
            <w:pPr>
              <w:tabs>
                <w:tab w:val="left" w:pos="-720"/>
              </w:tabs>
              <w:suppressAutoHyphens/>
              <w:spacing w:after="0" w:line="240" w:lineRule="auto"/>
              <w:jc w:val="right"/>
              <w:rPr>
                <w:rFonts w:eastAsia="Times New Roman" w:cs="Arial"/>
                <w:b/>
                <w:spacing w:val="-3"/>
                <w:sz w:val="20"/>
                <w:szCs w:val="20"/>
              </w:rPr>
            </w:pPr>
            <w:r w:rsidRPr="00427DD5">
              <w:rPr>
                <w:rFonts w:ascii="Calibri" w:eastAsia="Times New Roman" w:hAnsi="Calibri" w:cs="Times New Roman"/>
                <w:sz w:val="20"/>
                <w:szCs w:val="20"/>
                <w:lang w:eastAsia="hr-HR"/>
              </w:rPr>
              <w:t>1.1. - 30.6.</w:t>
            </w:r>
          </w:p>
        </w:tc>
      </w:tr>
      <w:tr w:rsidR="000A4249" w:rsidRPr="00427DD5" w14:paraId="2A1E8194" w14:textId="77777777" w:rsidTr="00312975">
        <w:trPr>
          <w:trHeight w:val="120"/>
        </w:trPr>
        <w:tc>
          <w:tcPr>
            <w:tcW w:w="852" w:type="pct"/>
          </w:tcPr>
          <w:p w14:paraId="0AFFB2E1" w14:textId="77777777" w:rsidR="000A4249" w:rsidRPr="00427DD5" w:rsidRDefault="000A4249" w:rsidP="000A4249">
            <w:pPr>
              <w:tabs>
                <w:tab w:val="right" w:pos="1202"/>
              </w:tabs>
              <w:spacing w:after="0" w:line="301" w:lineRule="exact"/>
              <w:outlineLvl w:val="0"/>
              <w:rPr>
                <w:rFonts w:eastAsia="Times New Roman" w:cs="Arial"/>
                <w:b/>
                <w:sz w:val="20"/>
                <w:szCs w:val="20"/>
              </w:rPr>
            </w:pPr>
            <w:r w:rsidRPr="00427DD5">
              <w:rPr>
                <w:rFonts w:eastAsia="Times New Roman" w:cs="Arial"/>
                <w:sz w:val="20"/>
                <w:szCs w:val="20"/>
              </w:rPr>
              <w:t xml:space="preserve">Obveze po kreditima </w:t>
            </w:r>
          </w:p>
        </w:tc>
        <w:tc>
          <w:tcPr>
            <w:tcW w:w="524" w:type="pct"/>
            <w:tcBorders>
              <w:top w:val="nil"/>
              <w:left w:val="nil"/>
              <w:bottom w:val="nil"/>
              <w:right w:val="nil"/>
            </w:tcBorders>
            <w:shd w:val="clear" w:color="auto" w:fill="auto"/>
            <w:vAlign w:val="bottom"/>
          </w:tcPr>
          <w:p w14:paraId="0E7E08C7" w14:textId="6B017106" w:rsidR="000A4249" w:rsidRPr="00427DD5" w:rsidRDefault="000A4249" w:rsidP="000A4249">
            <w:pPr>
              <w:tabs>
                <w:tab w:val="right" w:pos="1202"/>
              </w:tabs>
              <w:spacing w:after="0" w:line="301" w:lineRule="exact"/>
              <w:ind w:left="65"/>
              <w:jc w:val="right"/>
              <w:outlineLvl w:val="0"/>
              <w:rPr>
                <w:rFonts w:eastAsia="Times New Roman" w:cs="Arial"/>
                <w:sz w:val="20"/>
                <w:szCs w:val="20"/>
              </w:rPr>
            </w:pPr>
            <w:r>
              <w:rPr>
                <w:rFonts w:ascii="Calibri" w:hAnsi="Calibri"/>
                <w:color w:val="000000"/>
                <w:sz w:val="20"/>
                <w:szCs w:val="20"/>
              </w:rPr>
              <w:t>69.923</w:t>
            </w:r>
          </w:p>
        </w:tc>
        <w:tc>
          <w:tcPr>
            <w:tcW w:w="527" w:type="pct"/>
            <w:tcBorders>
              <w:top w:val="nil"/>
              <w:left w:val="nil"/>
              <w:bottom w:val="nil"/>
              <w:right w:val="nil"/>
            </w:tcBorders>
            <w:shd w:val="clear" w:color="auto" w:fill="auto"/>
            <w:vAlign w:val="bottom"/>
          </w:tcPr>
          <w:p w14:paraId="14238620" w14:textId="3159E60C" w:rsidR="000A4249" w:rsidRPr="00427DD5" w:rsidRDefault="000A4249" w:rsidP="000A4249">
            <w:pPr>
              <w:tabs>
                <w:tab w:val="right" w:pos="1202"/>
              </w:tabs>
              <w:spacing w:after="0" w:line="301" w:lineRule="exact"/>
              <w:ind w:left="65"/>
              <w:jc w:val="right"/>
              <w:outlineLvl w:val="0"/>
              <w:rPr>
                <w:rFonts w:eastAsia="Times New Roman" w:cs="Arial"/>
                <w:sz w:val="20"/>
                <w:szCs w:val="20"/>
              </w:rPr>
            </w:pPr>
            <w:r>
              <w:rPr>
                <w:rFonts w:ascii="Calibri" w:hAnsi="Calibri"/>
                <w:color w:val="000000"/>
                <w:sz w:val="20"/>
                <w:szCs w:val="20"/>
              </w:rPr>
              <w:t>137.293</w:t>
            </w:r>
          </w:p>
        </w:tc>
        <w:tc>
          <w:tcPr>
            <w:tcW w:w="524" w:type="pct"/>
            <w:tcBorders>
              <w:top w:val="nil"/>
              <w:left w:val="nil"/>
              <w:bottom w:val="nil"/>
              <w:right w:val="nil"/>
            </w:tcBorders>
            <w:shd w:val="clear" w:color="auto" w:fill="auto"/>
            <w:vAlign w:val="bottom"/>
          </w:tcPr>
          <w:p w14:paraId="31DD2635" w14:textId="42FD050A" w:rsidR="000A4249" w:rsidRPr="00427DD5" w:rsidRDefault="000A4249" w:rsidP="000A4249">
            <w:pPr>
              <w:tabs>
                <w:tab w:val="right" w:pos="1202"/>
              </w:tabs>
              <w:spacing w:after="0" w:line="301" w:lineRule="exact"/>
              <w:ind w:left="65"/>
              <w:jc w:val="right"/>
              <w:outlineLvl w:val="0"/>
              <w:rPr>
                <w:rFonts w:eastAsia="Times New Roman" w:cs="Arial"/>
                <w:sz w:val="20"/>
                <w:szCs w:val="20"/>
              </w:rPr>
            </w:pPr>
            <w:r w:rsidRPr="00427DD5">
              <w:rPr>
                <w:rFonts w:eastAsia="Times New Roman" w:cs="Arial"/>
                <w:sz w:val="20"/>
                <w:szCs w:val="20"/>
              </w:rPr>
              <w:t>69.739</w:t>
            </w:r>
          </w:p>
        </w:tc>
        <w:tc>
          <w:tcPr>
            <w:tcW w:w="479" w:type="pct"/>
            <w:tcBorders>
              <w:top w:val="nil"/>
              <w:left w:val="nil"/>
              <w:bottom w:val="nil"/>
              <w:right w:val="nil"/>
            </w:tcBorders>
            <w:shd w:val="clear" w:color="auto" w:fill="auto"/>
            <w:vAlign w:val="bottom"/>
          </w:tcPr>
          <w:p w14:paraId="0C0F9C05" w14:textId="31EDA9BB" w:rsidR="000A4249" w:rsidRPr="00427DD5" w:rsidRDefault="000A4249" w:rsidP="000A4249">
            <w:pPr>
              <w:tabs>
                <w:tab w:val="right" w:pos="1202"/>
              </w:tabs>
              <w:spacing w:after="0" w:line="301" w:lineRule="exact"/>
              <w:ind w:left="65"/>
              <w:jc w:val="right"/>
              <w:outlineLvl w:val="0"/>
              <w:rPr>
                <w:rFonts w:eastAsia="Times New Roman" w:cs="Arial"/>
                <w:sz w:val="20"/>
                <w:szCs w:val="20"/>
              </w:rPr>
            </w:pPr>
            <w:r w:rsidRPr="00427DD5">
              <w:rPr>
                <w:rFonts w:eastAsia="Times New Roman" w:cs="Arial"/>
                <w:sz w:val="20"/>
                <w:szCs w:val="20"/>
              </w:rPr>
              <w:t>139.790</w:t>
            </w:r>
          </w:p>
        </w:tc>
        <w:tc>
          <w:tcPr>
            <w:tcW w:w="528" w:type="pct"/>
            <w:tcBorders>
              <w:top w:val="nil"/>
              <w:left w:val="nil"/>
              <w:bottom w:val="nil"/>
              <w:right w:val="nil"/>
            </w:tcBorders>
            <w:shd w:val="clear" w:color="auto" w:fill="auto"/>
            <w:vAlign w:val="bottom"/>
          </w:tcPr>
          <w:p w14:paraId="4DE11A59" w14:textId="7942967F" w:rsidR="000A4249" w:rsidRPr="00427DD5" w:rsidRDefault="000A4249" w:rsidP="000A4249">
            <w:pPr>
              <w:keepLines/>
              <w:tabs>
                <w:tab w:val="right" w:pos="1202"/>
              </w:tabs>
              <w:spacing w:after="0" w:line="240" w:lineRule="auto"/>
              <w:jc w:val="right"/>
              <w:outlineLvl w:val="0"/>
              <w:rPr>
                <w:rFonts w:ascii="Calibri" w:eastAsia="Times New Roman" w:hAnsi="Calibri" w:cs="Calibri"/>
                <w:sz w:val="20"/>
                <w:szCs w:val="20"/>
                <w:lang w:val="en-GB"/>
              </w:rPr>
            </w:pPr>
            <w:r>
              <w:rPr>
                <w:rFonts w:ascii="Calibri" w:hAnsi="Calibri"/>
                <w:color w:val="000000"/>
                <w:sz w:val="20"/>
                <w:szCs w:val="20"/>
              </w:rPr>
              <w:t>69.923</w:t>
            </w:r>
          </w:p>
        </w:tc>
        <w:tc>
          <w:tcPr>
            <w:tcW w:w="527" w:type="pct"/>
            <w:tcBorders>
              <w:top w:val="nil"/>
              <w:left w:val="nil"/>
              <w:bottom w:val="nil"/>
              <w:right w:val="nil"/>
            </w:tcBorders>
            <w:shd w:val="clear" w:color="auto" w:fill="auto"/>
            <w:vAlign w:val="bottom"/>
          </w:tcPr>
          <w:p w14:paraId="4FBC9A74" w14:textId="0A946FF0" w:rsidR="000A4249" w:rsidRPr="00427DD5" w:rsidRDefault="000A4249" w:rsidP="000A4249">
            <w:pPr>
              <w:keepLines/>
              <w:tabs>
                <w:tab w:val="right" w:pos="1202"/>
              </w:tabs>
              <w:spacing w:after="0" w:line="240" w:lineRule="auto"/>
              <w:jc w:val="right"/>
              <w:outlineLvl w:val="0"/>
              <w:rPr>
                <w:rFonts w:eastAsia="Times New Roman" w:cs="Calibri"/>
                <w:sz w:val="20"/>
                <w:szCs w:val="20"/>
                <w:lang w:val="en-GB"/>
              </w:rPr>
            </w:pPr>
            <w:r>
              <w:rPr>
                <w:rFonts w:ascii="Calibri" w:hAnsi="Calibri"/>
                <w:color w:val="000000"/>
                <w:sz w:val="20"/>
                <w:szCs w:val="20"/>
              </w:rPr>
              <w:t>137.293</w:t>
            </w:r>
          </w:p>
        </w:tc>
        <w:tc>
          <w:tcPr>
            <w:tcW w:w="527" w:type="pct"/>
            <w:tcBorders>
              <w:top w:val="nil"/>
              <w:left w:val="nil"/>
              <w:bottom w:val="nil"/>
              <w:right w:val="nil"/>
            </w:tcBorders>
            <w:shd w:val="clear" w:color="auto" w:fill="auto"/>
            <w:vAlign w:val="bottom"/>
          </w:tcPr>
          <w:p w14:paraId="117E30FB" w14:textId="37A38D10" w:rsidR="000A4249" w:rsidRPr="00427DD5" w:rsidRDefault="000A4249" w:rsidP="000A4249">
            <w:pPr>
              <w:keepLines/>
              <w:tabs>
                <w:tab w:val="right" w:pos="1202"/>
              </w:tabs>
              <w:spacing w:after="0" w:line="240" w:lineRule="auto"/>
              <w:jc w:val="right"/>
              <w:outlineLvl w:val="0"/>
              <w:rPr>
                <w:rFonts w:ascii="Calibri" w:eastAsia="Times New Roman" w:hAnsi="Calibri" w:cs="Calibri"/>
                <w:sz w:val="20"/>
                <w:szCs w:val="20"/>
                <w:lang w:val="en-GB"/>
              </w:rPr>
            </w:pPr>
            <w:r w:rsidRPr="00427DD5">
              <w:rPr>
                <w:rFonts w:ascii="Calibri" w:eastAsia="Times New Roman" w:hAnsi="Calibri" w:cs="Calibri"/>
                <w:sz w:val="20"/>
                <w:szCs w:val="20"/>
                <w:lang w:val="en-GB"/>
              </w:rPr>
              <w:t>69.739</w:t>
            </w:r>
          </w:p>
        </w:tc>
        <w:tc>
          <w:tcPr>
            <w:tcW w:w="512" w:type="pct"/>
            <w:tcBorders>
              <w:top w:val="nil"/>
              <w:left w:val="nil"/>
              <w:bottom w:val="nil"/>
              <w:right w:val="nil"/>
            </w:tcBorders>
            <w:shd w:val="clear" w:color="auto" w:fill="auto"/>
            <w:vAlign w:val="bottom"/>
          </w:tcPr>
          <w:p w14:paraId="3129C2AF" w14:textId="532DC01E" w:rsidR="000A4249" w:rsidRPr="00427DD5" w:rsidRDefault="000A4249" w:rsidP="000A4249">
            <w:pPr>
              <w:keepLines/>
              <w:tabs>
                <w:tab w:val="right" w:pos="1202"/>
              </w:tabs>
              <w:spacing w:after="0" w:line="240" w:lineRule="auto"/>
              <w:jc w:val="right"/>
              <w:outlineLvl w:val="0"/>
              <w:rPr>
                <w:rFonts w:ascii="Calibri" w:eastAsia="Times New Roman" w:hAnsi="Calibri" w:cs="Calibri"/>
                <w:sz w:val="20"/>
                <w:szCs w:val="20"/>
                <w:lang w:val="en-GB"/>
              </w:rPr>
            </w:pPr>
            <w:r w:rsidRPr="00427DD5">
              <w:rPr>
                <w:rFonts w:eastAsia="Times New Roman" w:cs="Arial"/>
                <w:sz w:val="20"/>
                <w:szCs w:val="20"/>
                <w:lang w:val="en-GB"/>
              </w:rPr>
              <w:t>139.790</w:t>
            </w:r>
          </w:p>
        </w:tc>
      </w:tr>
      <w:tr w:rsidR="000A4249" w:rsidRPr="00427DD5" w14:paraId="74CA6791" w14:textId="77777777" w:rsidTr="00312975">
        <w:trPr>
          <w:trHeight w:val="120"/>
        </w:trPr>
        <w:tc>
          <w:tcPr>
            <w:tcW w:w="852" w:type="pct"/>
          </w:tcPr>
          <w:p w14:paraId="6F5DC19C" w14:textId="77777777" w:rsidR="000A4249" w:rsidRPr="00427DD5" w:rsidRDefault="000A4249" w:rsidP="000A4249">
            <w:pPr>
              <w:tabs>
                <w:tab w:val="right" w:pos="1202"/>
              </w:tabs>
              <w:spacing w:after="0" w:line="301" w:lineRule="exact"/>
              <w:outlineLvl w:val="0"/>
              <w:rPr>
                <w:rFonts w:eastAsia="Times New Roman" w:cs="Arial"/>
                <w:b/>
                <w:sz w:val="20"/>
                <w:szCs w:val="20"/>
              </w:rPr>
            </w:pPr>
            <w:r w:rsidRPr="00427DD5">
              <w:rPr>
                <w:rFonts w:eastAsia="Times New Roman" w:cs="Arial"/>
                <w:sz w:val="20"/>
                <w:szCs w:val="20"/>
              </w:rPr>
              <w:t xml:space="preserve">Dužnički vrijednosni papiri </w:t>
            </w:r>
          </w:p>
        </w:tc>
        <w:tc>
          <w:tcPr>
            <w:tcW w:w="524" w:type="pct"/>
            <w:tcBorders>
              <w:top w:val="nil"/>
              <w:left w:val="nil"/>
              <w:bottom w:val="nil"/>
              <w:right w:val="nil"/>
            </w:tcBorders>
            <w:shd w:val="clear" w:color="auto" w:fill="auto"/>
            <w:vAlign w:val="bottom"/>
          </w:tcPr>
          <w:p w14:paraId="7AD97C5F" w14:textId="60DB1F5E" w:rsidR="000A4249" w:rsidRPr="00427DD5" w:rsidRDefault="000A4249" w:rsidP="000A4249">
            <w:pPr>
              <w:tabs>
                <w:tab w:val="right" w:pos="1202"/>
              </w:tabs>
              <w:spacing w:after="0" w:line="301" w:lineRule="exact"/>
              <w:jc w:val="right"/>
              <w:outlineLvl w:val="0"/>
              <w:rPr>
                <w:rFonts w:eastAsia="Times New Roman" w:cs="Arial"/>
                <w:sz w:val="20"/>
                <w:szCs w:val="20"/>
              </w:rPr>
            </w:pPr>
            <w:r>
              <w:rPr>
                <w:rFonts w:ascii="Calibri" w:hAnsi="Calibri"/>
                <w:color w:val="000000"/>
                <w:sz w:val="20"/>
                <w:szCs w:val="20"/>
              </w:rPr>
              <w:t>36.922</w:t>
            </w:r>
          </w:p>
        </w:tc>
        <w:tc>
          <w:tcPr>
            <w:tcW w:w="527" w:type="pct"/>
            <w:tcBorders>
              <w:top w:val="nil"/>
              <w:left w:val="nil"/>
              <w:bottom w:val="nil"/>
              <w:right w:val="nil"/>
            </w:tcBorders>
            <w:shd w:val="clear" w:color="auto" w:fill="auto"/>
            <w:vAlign w:val="bottom"/>
          </w:tcPr>
          <w:p w14:paraId="04854EB6" w14:textId="514F3E27" w:rsidR="000A4249" w:rsidRPr="00427DD5" w:rsidRDefault="000A4249" w:rsidP="000A4249">
            <w:pPr>
              <w:tabs>
                <w:tab w:val="right" w:pos="1202"/>
              </w:tabs>
              <w:spacing w:after="0" w:line="301" w:lineRule="exact"/>
              <w:jc w:val="right"/>
              <w:outlineLvl w:val="0"/>
              <w:rPr>
                <w:rFonts w:eastAsia="Times New Roman" w:cs="Arial"/>
                <w:sz w:val="20"/>
                <w:szCs w:val="20"/>
              </w:rPr>
            </w:pPr>
            <w:r>
              <w:rPr>
                <w:rFonts w:ascii="Calibri" w:hAnsi="Calibri"/>
                <w:color w:val="000000"/>
                <w:sz w:val="20"/>
                <w:szCs w:val="20"/>
              </w:rPr>
              <w:t>77.599</w:t>
            </w:r>
          </w:p>
        </w:tc>
        <w:tc>
          <w:tcPr>
            <w:tcW w:w="524" w:type="pct"/>
            <w:tcBorders>
              <w:top w:val="nil"/>
              <w:left w:val="nil"/>
              <w:bottom w:val="nil"/>
              <w:right w:val="nil"/>
            </w:tcBorders>
            <w:shd w:val="clear" w:color="auto" w:fill="auto"/>
            <w:vAlign w:val="bottom"/>
          </w:tcPr>
          <w:p w14:paraId="09295BE3" w14:textId="4B1D2A5C" w:rsidR="000A4249" w:rsidRPr="00427DD5" w:rsidRDefault="000A4249" w:rsidP="000A4249">
            <w:pPr>
              <w:tabs>
                <w:tab w:val="right" w:pos="1202"/>
              </w:tabs>
              <w:spacing w:after="0" w:line="301" w:lineRule="exact"/>
              <w:jc w:val="right"/>
              <w:outlineLvl w:val="0"/>
              <w:rPr>
                <w:rFonts w:eastAsia="Times New Roman" w:cs="Arial"/>
                <w:sz w:val="20"/>
                <w:szCs w:val="20"/>
              </w:rPr>
            </w:pPr>
            <w:r w:rsidRPr="00427DD5">
              <w:rPr>
                <w:rFonts w:eastAsia="Times New Roman" w:cs="Arial"/>
                <w:sz w:val="20"/>
                <w:szCs w:val="20"/>
              </w:rPr>
              <w:t>43.942</w:t>
            </w:r>
          </w:p>
        </w:tc>
        <w:tc>
          <w:tcPr>
            <w:tcW w:w="479" w:type="pct"/>
            <w:tcBorders>
              <w:top w:val="nil"/>
              <w:left w:val="nil"/>
              <w:bottom w:val="nil"/>
              <w:right w:val="nil"/>
            </w:tcBorders>
            <w:shd w:val="clear" w:color="auto" w:fill="auto"/>
            <w:vAlign w:val="bottom"/>
          </w:tcPr>
          <w:p w14:paraId="12B6B6AF" w14:textId="3FB5CED3" w:rsidR="000A4249" w:rsidRPr="00427DD5" w:rsidRDefault="000A4249" w:rsidP="000A4249">
            <w:pPr>
              <w:tabs>
                <w:tab w:val="right" w:pos="1202"/>
              </w:tabs>
              <w:spacing w:after="0" w:line="301" w:lineRule="exact"/>
              <w:jc w:val="right"/>
              <w:outlineLvl w:val="0"/>
              <w:rPr>
                <w:rFonts w:eastAsia="Times New Roman" w:cs="Arial"/>
                <w:sz w:val="20"/>
                <w:szCs w:val="20"/>
              </w:rPr>
            </w:pPr>
            <w:r w:rsidRPr="00427DD5">
              <w:rPr>
                <w:rFonts w:eastAsia="Times New Roman" w:cs="Arial"/>
                <w:sz w:val="20"/>
                <w:szCs w:val="20"/>
              </w:rPr>
              <w:t>88.446</w:t>
            </w:r>
          </w:p>
        </w:tc>
        <w:tc>
          <w:tcPr>
            <w:tcW w:w="528" w:type="pct"/>
            <w:tcBorders>
              <w:top w:val="nil"/>
              <w:left w:val="nil"/>
              <w:bottom w:val="nil"/>
              <w:right w:val="nil"/>
            </w:tcBorders>
            <w:shd w:val="clear" w:color="auto" w:fill="auto"/>
            <w:vAlign w:val="bottom"/>
          </w:tcPr>
          <w:p w14:paraId="068B194A" w14:textId="7B970FF1" w:rsidR="000A4249" w:rsidRPr="00427DD5" w:rsidRDefault="000A4249" w:rsidP="000A4249">
            <w:pPr>
              <w:keepLines/>
              <w:tabs>
                <w:tab w:val="right" w:pos="1202"/>
              </w:tabs>
              <w:spacing w:after="0" w:line="240" w:lineRule="auto"/>
              <w:jc w:val="right"/>
              <w:outlineLvl w:val="0"/>
              <w:rPr>
                <w:rFonts w:ascii="Calibri" w:eastAsia="Times New Roman" w:hAnsi="Calibri" w:cs="Calibri"/>
                <w:sz w:val="20"/>
                <w:szCs w:val="20"/>
                <w:lang w:val="en-GB"/>
              </w:rPr>
            </w:pPr>
            <w:r>
              <w:rPr>
                <w:rFonts w:ascii="Calibri" w:hAnsi="Calibri"/>
                <w:color w:val="000000"/>
                <w:sz w:val="20"/>
                <w:szCs w:val="20"/>
              </w:rPr>
              <w:t>36.922</w:t>
            </w:r>
          </w:p>
        </w:tc>
        <w:tc>
          <w:tcPr>
            <w:tcW w:w="527" w:type="pct"/>
            <w:tcBorders>
              <w:top w:val="nil"/>
              <w:left w:val="nil"/>
              <w:bottom w:val="nil"/>
              <w:right w:val="nil"/>
            </w:tcBorders>
            <w:shd w:val="clear" w:color="auto" w:fill="auto"/>
            <w:vAlign w:val="bottom"/>
          </w:tcPr>
          <w:p w14:paraId="2155EAD3" w14:textId="6D4B94DF" w:rsidR="000A4249" w:rsidRPr="00427DD5" w:rsidRDefault="000A4249" w:rsidP="000A4249">
            <w:pPr>
              <w:keepLines/>
              <w:tabs>
                <w:tab w:val="right" w:pos="1202"/>
              </w:tabs>
              <w:spacing w:after="0" w:line="240" w:lineRule="auto"/>
              <w:jc w:val="right"/>
              <w:outlineLvl w:val="0"/>
              <w:rPr>
                <w:rFonts w:eastAsia="Times New Roman" w:cs="Calibri"/>
                <w:sz w:val="20"/>
                <w:szCs w:val="20"/>
                <w:lang w:val="en-GB"/>
              </w:rPr>
            </w:pPr>
            <w:r>
              <w:rPr>
                <w:rFonts w:ascii="Calibri" w:hAnsi="Calibri"/>
                <w:color w:val="000000"/>
                <w:sz w:val="20"/>
                <w:szCs w:val="20"/>
              </w:rPr>
              <w:t>77.599</w:t>
            </w:r>
          </w:p>
        </w:tc>
        <w:tc>
          <w:tcPr>
            <w:tcW w:w="527" w:type="pct"/>
            <w:tcBorders>
              <w:top w:val="nil"/>
              <w:left w:val="nil"/>
              <w:bottom w:val="nil"/>
              <w:right w:val="nil"/>
            </w:tcBorders>
            <w:shd w:val="clear" w:color="auto" w:fill="auto"/>
            <w:vAlign w:val="bottom"/>
          </w:tcPr>
          <w:p w14:paraId="781E6A4E" w14:textId="59BBD620" w:rsidR="000A4249" w:rsidRPr="00427DD5" w:rsidRDefault="000A4249" w:rsidP="000A4249">
            <w:pPr>
              <w:keepLines/>
              <w:tabs>
                <w:tab w:val="right" w:pos="1202"/>
              </w:tabs>
              <w:spacing w:after="0" w:line="240" w:lineRule="auto"/>
              <w:jc w:val="right"/>
              <w:outlineLvl w:val="0"/>
              <w:rPr>
                <w:rFonts w:ascii="Calibri" w:eastAsia="Times New Roman" w:hAnsi="Calibri" w:cs="Calibri"/>
                <w:sz w:val="20"/>
                <w:szCs w:val="20"/>
                <w:lang w:val="en-GB"/>
              </w:rPr>
            </w:pPr>
            <w:r w:rsidRPr="00427DD5">
              <w:rPr>
                <w:rFonts w:ascii="Calibri" w:eastAsia="Times New Roman" w:hAnsi="Calibri" w:cs="Calibri"/>
                <w:sz w:val="20"/>
                <w:szCs w:val="20"/>
                <w:lang w:val="en-GB"/>
              </w:rPr>
              <w:t>43.942</w:t>
            </w:r>
          </w:p>
        </w:tc>
        <w:tc>
          <w:tcPr>
            <w:tcW w:w="512" w:type="pct"/>
            <w:tcBorders>
              <w:top w:val="nil"/>
              <w:left w:val="nil"/>
              <w:bottom w:val="nil"/>
              <w:right w:val="nil"/>
            </w:tcBorders>
            <w:shd w:val="clear" w:color="auto" w:fill="auto"/>
            <w:vAlign w:val="bottom"/>
          </w:tcPr>
          <w:p w14:paraId="41E12161" w14:textId="59876906" w:rsidR="000A4249" w:rsidRPr="00427DD5" w:rsidRDefault="000A4249" w:rsidP="000A4249">
            <w:pPr>
              <w:keepLines/>
              <w:tabs>
                <w:tab w:val="right" w:pos="1202"/>
              </w:tabs>
              <w:spacing w:after="0" w:line="240" w:lineRule="auto"/>
              <w:jc w:val="right"/>
              <w:outlineLvl w:val="0"/>
              <w:rPr>
                <w:rFonts w:ascii="Calibri" w:eastAsia="Times New Roman" w:hAnsi="Calibri" w:cs="Calibri"/>
                <w:sz w:val="20"/>
                <w:szCs w:val="20"/>
                <w:lang w:val="en-GB"/>
              </w:rPr>
            </w:pPr>
            <w:r w:rsidRPr="00427DD5">
              <w:rPr>
                <w:rFonts w:eastAsia="Times New Roman" w:cs="Arial"/>
                <w:sz w:val="20"/>
                <w:szCs w:val="20"/>
                <w:lang w:val="en-GB"/>
              </w:rPr>
              <w:t>88.446</w:t>
            </w:r>
          </w:p>
        </w:tc>
      </w:tr>
      <w:tr w:rsidR="000A4249" w:rsidRPr="00427DD5" w14:paraId="76BCEF68" w14:textId="77777777" w:rsidTr="00312975">
        <w:trPr>
          <w:trHeight w:val="120"/>
        </w:trPr>
        <w:tc>
          <w:tcPr>
            <w:tcW w:w="852" w:type="pct"/>
          </w:tcPr>
          <w:p w14:paraId="2FBBD996" w14:textId="5F3B71DA" w:rsidR="000A4249" w:rsidRPr="00427DD5" w:rsidRDefault="000A4249" w:rsidP="00427DD5">
            <w:pPr>
              <w:tabs>
                <w:tab w:val="right" w:pos="1202"/>
              </w:tabs>
              <w:spacing w:after="0" w:line="301" w:lineRule="exact"/>
              <w:outlineLvl w:val="0"/>
              <w:rPr>
                <w:rFonts w:eastAsia="Times New Roman" w:cs="Arial"/>
                <w:sz w:val="20"/>
                <w:szCs w:val="20"/>
              </w:rPr>
            </w:pPr>
            <w:r>
              <w:rPr>
                <w:rFonts w:eastAsia="Times New Roman" w:cs="Arial"/>
                <w:sz w:val="20"/>
                <w:szCs w:val="20"/>
              </w:rPr>
              <w:t>Depoziti</w:t>
            </w:r>
          </w:p>
        </w:tc>
        <w:tc>
          <w:tcPr>
            <w:tcW w:w="524" w:type="pct"/>
            <w:tcBorders>
              <w:top w:val="nil"/>
              <w:left w:val="nil"/>
              <w:bottom w:val="nil"/>
              <w:right w:val="nil"/>
            </w:tcBorders>
            <w:shd w:val="clear" w:color="auto" w:fill="auto"/>
            <w:vAlign w:val="bottom"/>
          </w:tcPr>
          <w:p w14:paraId="54971E04" w14:textId="6396478A" w:rsidR="000A4249" w:rsidRPr="00427DD5" w:rsidRDefault="000A4249" w:rsidP="00427DD5">
            <w:pPr>
              <w:tabs>
                <w:tab w:val="right" w:pos="1202"/>
              </w:tabs>
              <w:spacing w:after="0" w:line="301" w:lineRule="exact"/>
              <w:jc w:val="right"/>
              <w:outlineLvl w:val="0"/>
              <w:rPr>
                <w:rFonts w:eastAsia="Times New Roman" w:cs="Arial"/>
                <w:sz w:val="20"/>
                <w:szCs w:val="20"/>
              </w:rPr>
            </w:pPr>
            <w:r>
              <w:rPr>
                <w:rFonts w:eastAsia="Times New Roman" w:cs="Arial"/>
                <w:sz w:val="20"/>
                <w:szCs w:val="20"/>
              </w:rPr>
              <w:t>201</w:t>
            </w:r>
          </w:p>
        </w:tc>
        <w:tc>
          <w:tcPr>
            <w:tcW w:w="527" w:type="pct"/>
            <w:tcBorders>
              <w:top w:val="nil"/>
              <w:left w:val="nil"/>
              <w:bottom w:val="nil"/>
              <w:right w:val="nil"/>
            </w:tcBorders>
            <w:shd w:val="clear" w:color="auto" w:fill="auto"/>
            <w:vAlign w:val="bottom"/>
          </w:tcPr>
          <w:p w14:paraId="44676714" w14:textId="1195B54C" w:rsidR="000A4249" w:rsidRPr="00427DD5" w:rsidRDefault="000A4249" w:rsidP="00427DD5">
            <w:pPr>
              <w:tabs>
                <w:tab w:val="right" w:pos="1202"/>
              </w:tabs>
              <w:spacing w:after="0" w:line="301" w:lineRule="exact"/>
              <w:jc w:val="right"/>
              <w:outlineLvl w:val="0"/>
              <w:rPr>
                <w:rFonts w:eastAsia="Times New Roman" w:cs="Arial"/>
                <w:sz w:val="20"/>
                <w:szCs w:val="20"/>
              </w:rPr>
            </w:pPr>
            <w:r>
              <w:rPr>
                <w:rFonts w:eastAsia="Times New Roman" w:cs="Arial"/>
                <w:sz w:val="20"/>
                <w:szCs w:val="20"/>
              </w:rPr>
              <w:t>261</w:t>
            </w:r>
          </w:p>
        </w:tc>
        <w:tc>
          <w:tcPr>
            <w:tcW w:w="524" w:type="pct"/>
            <w:tcBorders>
              <w:top w:val="nil"/>
              <w:left w:val="nil"/>
              <w:bottom w:val="nil"/>
              <w:right w:val="nil"/>
            </w:tcBorders>
            <w:shd w:val="clear" w:color="auto" w:fill="auto"/>
            <w:vAlign w:val="bottom"/>
          </w:tcPr>
          <w:p w14:paraId="4DEA4C1F" w14:textId="68F3BE56" w:rsidR="000A4249" w:rsidRPr="00427DD5" w:rsidRDefault="000A4249" w:rsidP="00427DD5">
            <w:pPr>
              <w:tabs>
                <w:tab w:val="right" w:pos="1202"/>
              </w:tabs>
              <w:spacing w:after="0" w:line="301" w:lineRule="exact"/>
              <w:jc w:val="right"/>
              <w:outlineLvl w:val="0"/>
              <w:rPr>
                <w:rFonts w:eastAsia="Times New Roman" w:cs="Arial"/>
                <w:sz w:val="20"/>
                <w:szCs w:val="20"/>
              </w:rPr>
            </w:pPr>
            <w:r>
              <w:rPr>
                <w:rFonts w:eastAsia="Times New Roman" w:cs="Arial"/>
                <w:sz w:val="20"/>
                <w:szCs w:val="20"/>
              </w:rPr>
              <w:t>-</w:t>
            </w:r>
          </w:p>
        </w:tc>
        <w:tc>
          <w:tcPr>
            <w:tcW w:w="479" w:type="pct"/>
            <w:tcBorders>
              <w:top w:val="nil"/>
              <w:left w:val="nil"/>
              <w:bottom w:val="nil"/>
              <w:right w:val="nil"/>
            </w:tcBorders>
            <w:shd w:val="clear" w:color="auto" w:fill="auto"/>
            <w:vAlign w:val="bottom"/>
          </w:tcPr>
          <w:p w14:paraId="307723A5" w14:textId="2B63A8CE" w:rsidR="000A4249" w:rsidRPr="00427DD5" w:rsidRDefault="00631559" w:rsidP="00427DD5">
            <w:pPr>
              <w:tabs>
                <w:tab w:val="right" w:pos="1202"/>
              </w:tabs>
              <w:spacing w:after="0" w:line="301" w:lineRule="exact"/>
              <w:jc w:val="right"/>
              <w:outlineLvl w:val="0"/>
              <w:rPr>
                <w:rFonts w:eastAsia="Times New Roman" w:cs="Arial"/>
                <w:sz w:val="20"/>
                <w:szCs w:val="20"/>
              </w:rPr>
            </w:pPr>
            <w:r>
              <w:rPr>
                <w:rFonts w:eastAsia="Times New Roman" w:cs="Arial"/>
                <w:sz w:val="20"/>
                <w:szCs w:val="20"/>
              </w:rPr>
              <w:t>-</w:t>
            </w:r>
          </w:p>
        </w:tc>
        <w:tc>
          <w:tcPr>
            <w:tcW w:w="528" w:type="pct"/>
            <w:tcBorders>
              <w:top w:val="nil"/>
              <w:left w:val="nil"/>
              <w:bottom w:val="nil"/>
              <w:right w:val="nil"/>
            </w:tcBorders>
            <w:shd w:val="clear" w:color="auto" w:fill="auto"/>
            <w:vAlign w:val="bottom"/>
          </w:tcPr>
          <w:p w14:paraId="659F375F" w14:textId="68F0386F" w:rsidR="000A4249" w:rsidRPr="00427DD5" w:rsidRDefault="000A4249" w:rsidP="00427DD5">
            <w:pPr>
              <w:keepLines/>
              <w:tabs>
                <w:tab w:val="right" w:pos="1202"/>
              </w:tabs>
              <w:spacing w:after="0" w:line="240" w:lineRule="auto"/>
              <w:jc w:val="right"/>
              <w:outlineLvl w:val="0"/>
              <w:rPr>
                <w:rFonts w:ascii="Calibri" w:eastAsia="Times New Roman" w:hAnsi="Calibri" w:cs="Calibri"/>
                <w:sz w:val="20"/>
                <w:szCs w:val="20"/>
                <w:lang w:val="en-GB"/>
              </w:rPr>
            </w:pPr>
            <w:r>
              <w:rPr>
                <w:rFonts w:ascii="Calibri" w:eastAsia="Times New Roman" w:hAnsi="Calibri" w:cs="Calibri"/>
                <w:sz w:val="20"/>
                <w:szCs w:val="20"/>
                <w:lang w:val="en-GB"/>
              </w:rPr>
              <w:t>201</w:t>
            </w:r>
          </w:p>
        </w:tc>
        <w:tc>
          <w:tcPr>
            <w:tcW w:w="527" w:type="pct"/>
            <w:tcBorders>
              <w:top w:val="nil"/>
              <w:left w:val="nil"/>
              <w:bottom w:val="nil"/>
              <w:right w:val="nil"/>
            </w:tcBorders>
            <w:shd w:val="clear" w:color="auto" w:fill="auto"/>
            <w:vAlign w:val="bottom"/>
          </w:tcPr>
          <w:p w14:paraId="281C2DD3" w14:textId="62B1EF6F" w:rsidR="000A4249" w:rsidRPr="00427DD5" w:rsidRDefault="000A4249" w:rsidP="00427DD5">
            <w:pPr>
              <w:keepLines/>
              <w:tabs>
                <w:tab w:val="right" w:pos="1202"/>
              </w:tabs>
              <w:spacing w:after="0" w:line="240" w:lineRule="auto"/>
              <w:jc w:val="right"/>
              <w:outlineLvl w:val="0"/>
              <w:rPr>
                <w:rFonts w:eastAsia="Times New Roman" w:cs="Calibri"/>
                <w:sz w:val="20"/>
                <w:szCs w:val="20"/>
                <w:lang w:val="en-GB"/>
              </w:rPr>
            </w:pPr>
            <w:r>
              <w:rPr>
                <w:rFonts w:eastAsia="Times New Roman" w:cs="Calibri"/>
                <w:sz w:val="20"/>
                <w:szCs w:val="20"/>
                <w:lang w:val="en-GB"/>
              </w:rPr>
              <w:t>261</w:t>
            </w:r>
          </w:p>
        </w:tc>
        <w:tc>
          <w:tcPr>
            <w:tcW w:w="527" w:type="pct"/>
            <w:tcBorders>
              <w:top w:val="nil"/>
              <w:left w:val="nil"/>
              <w:bottom w:val="nil"/>
              <w:right w:val="nil"/>
            </w:tcBorders>
            <w:shd w:val="clear" w:color="auto" w:fill="auto"/>
            <w:vAlign w:val="bottom"/>
          </w:tcPr>
          <w:p w14:paraId="5C16CA39" w14:textId="69D9D506" w:rsidR="000A4249" w:rsidRPr="00427DD5" w:rsidRDefault="000A4249" w:rsidP="00427DD5">
            <w:pPr>
              <w:keepLines/>
              <w:tabs>
                <w:tab w:val="right" w:pos="1202"/>
              </w:tabs>
              <w:spacing w:after="0" w:line="240" w:lineRule="auto"/>
              <w:jc w:val="right"/>
              <w:outlineLvl w:val="0"/>
              <w:rPr>
                <w:rFonts w:ascii="Calibri" w:eastAsia="Times New Roman" w:hAnsi="Calibri" w:cs="Calibri"/>
                <w:sz w:val="20"/>
                <w:szCs w:val="20"/>
                <w:lang w:val="en-GB"/>
              </w:rPr>
            </w:pPr>
            <w:r>
              <w:rPr>
                <w:rFonts w:ascii="Calibri" w:eastAsia="Times New Roman" w:hAnsi="Calibri" w:cs="Calibri"/>
                <w:sz w:val="20"/>
                <w:szCs w:val="20"/>
                <w:lang w:val="en-GB"/>
              </w:rPr>
              <w:t>-</w:t>
            </w:r>
          </w:p>
        </w:tc>
        <w:tc>
          <w:tcPr>
            <w:tcW w:w="512" w:type="pct"/>
            <w:tcBorders>
              <w:top w:val="nil"/>
              <w:left w:val="nil"/>
              <w:bottom w:val="nil"/>
              <w:right w:val="nil"/>
            </w:tcBorders>
            <w:shd w:val="clear" w:color="auto" w:fill="auto"/>
            <w:vAlign w:val="bottom"/>
          </w:tcPr>
          <w:p w14:paraId="7158CCFD" w14:textId="64CE3F5D" w:rsidR="000A4249" w:rsidRPr="00427DD5" w:rsidRDefault="000A4249" w:rsidP="00427DD5">
            <w:pPr>
              <w:keepLines/>
              <w:tabs>
                <w:tab w:val="right" w:pos="1202"/>
              </w:tabs>
              <w:spacing w:after="0" w:line="240" w:lineRule="auto"/>
              <w:jc w:val="right"/>
              <w:outlineLvl w:val="0"/>
              <w:rPr>
                <w:rFonts w:eastAsia="Times New Roman" w:cs="Arial"/>
                <w:sz w:val="20"/>
                <w:szCs w:val="20"/>
                <w:lang w:val="en-GB"/>
              </w:rPr>
            </w:pPr>
            <w:r>
              <w:rPr>
                <w:rFonts w:eastAsia="Times New Roman" w:cs="Arial"/>
                <w:sz w:val="20"/>
                <w:szCs w:val="20"/>
                <w:lang w:val="en-GB"/>
              </w:rPr>
              <w:t>-</w:t>
            </w:r>
          </w:p>
        </w:tc>
      </w:tr>
      <w:tr w:rsidR="00427DD5" w:rsidRPr="00427DD5" w14:paraId="120D2A1D" w14:textId="77777777" w:rsidTr="00312975">
        <w:trPr>
          <w:trHeight w:val="207"/>
        </w:trPr>
        <w:tc>
          <w:tcPr>
            <w:tcW w:w="852" w:type="pct"/>
          </w:tcPr>
          <w:p w14:paraId="13F42402" w14:textId="77777777" w:rsidR="00427DD5" w:rsidRPr="00427DD5" w:rsidRDefault="00427DD5" w:rsidP="00427DD5">
            <w:pPr>
              <w:tabs>
                <w:tab w:val="right" w:pos="1202"/>
              </w:tabs>
              <w:spacing w:after="0" w:line="240" w:lineRule="auto"/>
              <w:outlineLvl w:val="0"/>
              <w:rPr>
                <w:rFonts w:eastAsia="Times New Roman" w:cs="Arial"/>
                <w:b/>
                <w:bCs/>
                <w:sz w:val="20"/>
                <w:szCs w:val="20"/>
              </w:rPr>
            </w:pPr>
          </w:p>
        </w:tc>
        <w:tc>
          <w:tcPr>
            <w:tcW w:w="524" w:type="pct"/>
            <w:tcBorders>
              <w:top w:val="single" w:sz="4" w:space="0" w:color="auto"/>
              <w:left w:val="nil"/>
              <w:bottom w:val="single" w:sz="12" w:space="0" w:color="auto"/>
              <w:right w:val="nil"/>
            </w:tcBorders>
            <w:shd w:val="clear" w:color="auto" w:fill="auto"/>
            <w:vAlign w:val="center"/>
          </w:tcPr>
          <w:p w14:paraId="18161DCC" w14:textId="62A4D8F3" w:rsidR="00427DD5" w:rsidRPr="00427DD5" w:rsidRDefault="000A4249" w:rsidP="00427DD5">
            <w:pPr>
              <w:tabs>
                <w:tab w:val="right" w:pos="1202"/>
              </w:tabs>
              <w:spacing w:after="0" w:line="240" w:lineRule="auto"/>
              <w:jc w:val="right"/>
              <w:outlineLvl w:val="0"/>
              <w:rPr>
                <w:rFonts w:eastAsia="Times New Roman" w:cs="Arial"/>
                <w:b/>
                <w:bCs/>
                <w:sz w:val="20"/>
                <w:szCs w:val="20"/>
              </w:rPr>
            </w:pPr>
            <w:r w:rsidRPr="000A4249">
              <w:rPr>
                <w:rFonts w:eastAsia="Times New Roman" w:cs="Arial"/>
                <w:b/>
                <w:bCs/>
                <w:sz w:val="20"/>
                <w:szCs w:val="20"/>
              </w:rPr>
              <w:t>107.046</w:t>
            </w:r>
          </w:p>
        </w:tc>
        <w:tc>
          <w:tcPr>
            <w:tcW w:w="527" w:type="pct"/>
            <w:tcBorders>
              <w:top w:val="single" w:sz="4" w:space="0" w:color="auto"/>
              <w:left w:val="nil"/>
              <w:bottom w:val="single" w:sz="12" w:space="0" w:color="auto"/>
              <w:right w:val="nil"/>
            </w:tcBorders>
            <w:shd w:val="clear" w:color="auto" w:fill="auto"/>
            <w:vAlign w:val="center"/>
          </w:tcPr>
          <w:p w14:paraId="2381D003" w14:textId="361ABA09" w:rsidR="00427DD5" w:rsidRPr="00427DD5" w:rsidRDefault="000A4249" w:rsidP="00427DD5">
            <w:pPr>
              <w:tabs>
                <w:tab w:val="right" w:pos="1202"/>
              </w:tabs>
              <w:spacing w:after="0" w:line="240" w:lineRule="auto"/>
              <w:jc w:val="right"/>
              <w:outlineLvl w:val="0"/>
              <w:rPr>
                <w:rFonts w:eastAsia="Times New Roman" w:cs="Arial"/>
                <w:b/>
                <w:bCs/>
                <w:sz w:val="20"/>
                <w:szCs w:val="20"/>
              </w:rPr>
            </w:pPr>
            <w:r w:rsidRPr="000A4249">
              <w:rPr>
                <w:rFonts w:eastAsia="Times New Roman" w:cs="Arial"/>
                <w:b/>
                <w:bCs/>
                <w:sz w:val="20"/>
                <w:szCs w:val="20"/>
              </w:rPr>
              <w:t>215.153</w:t>
            </w:r>
          </w:p>
        </w:tc>
        <w:tc>
          <w:tcPr>
            <w:tcW w:w="524" w:type="pct"/>
            <w:tcBorders>
              <w:top w:val="single" w:sz="4" w:space="0" w:color="auto"/>
              <w:left w:val="nil"/>
              <w:bottom w:val="single" w:sz="12" w:space="0" w:color="auto"/>
              <w:right w:val="nil"/>
            </w:tcBorders>
            <w:shd w:val="clear" w:color="auto" w:fill="auto"/>
            <w:vAlign w:val="center"/>
          </w:tcPr>
          <w:p w14:paraId="4615BFB5" w14:textId="0200AB13" w:rsidR="00427DD5" w:rsidRPr="00427DD5" w:rsidRDefault="00427DD5" w:rsidP="00427DD5">
            <w:pPr>
              <w:tabs>
                <w:tab w:val="right" w:pos="1202"/>
              </w:tabs>
              <w:spacing w:after="0" w:line="240" w:lineRule="auto"/>
              <w:jc w:val="right"/>
              <w:outlineLvl w:val="0"/>
              <w:rPr>
                <w:rFonts w:eastAsia="Times New Roman" w:cs="Arial"/>
                <w:b/>
                <w:bCs/>
                <w:sz w:val="20"/>
                <w:szCs w:val="20"/>
              </w:rPr>
            </w:pPr>
            <w:r w:rsidRPr="00427DD5">
              <w:rPr>
                <w:rFonts w:eastAsia="Times New Roman" w:cs="Arial"/>
                <w:b/>
                <w:bCs/>
                <w:sz w:val="20"/>
                <w:szCs w:val="20"/>
              </w:rPr>
              <w:t>113.681</w:t>
            </w:r>
          </w:p>
        </w:tc>
        <w:tc>
          <w:tcPr>
            <w:tcW w:w="479" w:type="pct"/>
            <w:tcBorders>
              <w:top w:val="single" w:sz="4" w:space="0" w:color="auto"/>
              <w:left w:val="nil"/>
              <w:bottom w:val="single" w:sz="12" w:space="0" w:color="auto"/>
              <w:right w:val="nil"/>
            </w:tcBorders>
            <w:shd w:val="clear" w:color="auto" w:fill="auto"/>
            <w:vAlign w:val="center"/>
          </w:tcPr>
          <w:p w14:paraId="4B685A92" w14:textId="63D5BF58" w:rsidR="00427DD5" w:rsidRPr="00427DD5" w:rsidRDefault="00427DD5" w:rsidP="00427DD5">
            <w:pPr>
              <w:tabs>
                <w:tab w:val="right" w:pos="1202"/>
              </w:tabs>
              <w:spacing w:after="0" w:line="240" w:lineRule="auto"/>
              <w:jc w:val="right"/>
              <w:outlineLvl w:val="0"/>
              <w:rPr>
                <w:rFonts w:eastAsia="Times New Roman" w:cs="Arial"/>
                <w:b/>
                <w:bCs/>
                <w:sz w:val="20"/>
                <w:szCs w:val="20"/>
              </w:rPr>
            </w:pPr>
            <w:r w:rsidRPr="00427DD5">
              <w:rPr>
                <w:rFonts w:eastAsia="Times New Roman" w:cs="Arial"/>
                <w:b/>
                <w:bCs/>
                <w:sz w:val="20"/>
                <w:szCs w:val="20"/>
              </w:rPr>
              <w:t>228.236</w:t>
            </w:r>
          </w:p>
        </w:tc>
        <w:tc>
          <w:tcPr>
            <w:tcW w:w="528" w:type="pct"/>
            <w:tcBorders>
              <w:top w:val="single" w:sz="4" w:space="0" w:color="auto"/>
              <w:left w:val="nil"/>
              <w:bottom w:val="single" w:sz="12" w:space="0" w:color="auto"/>
              <w:right w:val="nil"/>
            </w:tcBorders>
            <w:shd w:val="clear" w:color="auto" w:fill="auto"/>
            <w:vAlign w:val="center"/>
          </w:tcPr>
          <w:p w14:paraId="7D676861" w14:textId="010B5516" w:rsidR="00427DD5" w:rsidRPr="00427DD5" w:rsidRDefault="000A4249" w:rsidP="00427DD5">
            <w:pPr>
              <w:keepLines/>
              <w:tabs>
                <w:tab w:val="right" w:pos="1202"/>
              </w:tabs>
              <w:spacing w:after="0" w:line="240" w:lineRule="auto"/>
              <w:jc w:val="right"/>
              <w:outlineLvl w:val="0"/>
              <w:rPr>
                <w:rFonts w:eastAsia="Times New Roman" w:cs="Calibri"/>
                <w:b/>
                <w:sz w:val="20"/>
                <w:szCs w:val="20"/>
                <w:lang w:val="en-GB"/>
              </w:rPr>
            </w:pPr>
            <w:r w:rsidRPr="000A4249">
              <w:rPr>
                <w:rFonts w:eastAsia="Times New Roman" w:cs="Calibri"/>
                <w:b/>
                <w:sz w:val="20"/>
                <w:szCs w:val="20"/>
                <w:lang w:val="en-GB"/>
              </w:rPr>
              <w:t>107.046</w:t>
            </w:r>
          </w:p>
        </w:tc>
        <w:tc>
          <w:tcPr>
            <w:tcW w:w="527" w:type="pct"/>
            <w:tcBorders>
              <w:top w:val="single" w:sz="4" w:space="0" w:color="auto"/>
              <w:left w:val="nil"/>
              <w:bottom w:val="single" w:sz="12" w:space="0" w:color="auto"/>
              <w:right w:val="nil"/>
            </w:tcBorders>
            <w:shd w:val="clear" w:color="auto" w:fill="auto"/>
            <w:vAlign w:val="center"/>
          </w:tcPr>
          <w:p w14:paraId="031C4D2C" w14:textId="459516E8" w:rsidR="00427DD5" w:rsidRPr="00427DD5" w:rsidRDefault="000A4249" w:rsidP="00427DD5">
            <w:pPr>
              <w:keepLines/>
              <w:tabs>
                <w:tab w:val="right" w:pos="1202"/>
              </w:tabs>
              <w:spacing w:after="0" w:line="240" w:lineRule="auto"/>
              <w:jc w:val="right"/>
              <w:outlineLvl w:val="0"/>
              <w:rPr>
                <w:rFonts w:eastAsia="Times New Roman" w:cs="Calibri"/>
                <w:b/>
                <w:sz w:val="20"/>
                <w:szCs w:val="20"/>
                <w:lang w:val="en-GB"/>
              </w:rPr>
            </w:pPr>
            <w:r w:rsidRPr="000A4249">
              <w:rPr>
                <w:rFonts w:eastAsia="Times New Roman" w:cs="Calibri"/>
                <w:b/>
                <w:sz w:val="20"/>
                <w:szCs w:val="20"/>
                <w:lang w:val="en-GB"/>
              </w:rPr>
              <w:t>215.153</w:t>
            </w:r>
          </w:p>
        </w:tc>
        <w:tc>
          <w:tcPr>
            <w:tcW w:w="527" w:type="pct"/>
            <w:tcBorders>
              <w:top w:val="single" w:sz="4" w:space="0" w:color="auto"/>
              <w:left w:val="nil"/>
              <w:bottom w:val="single" w:sz="12" w:space="0" w:color="auto"/>
              <w:right w:val="nil"/>
            </w:tcBorders>
            <w:shd w:val="clear" w:color="auto" w:fill="auto"/>
            <w:vAlign w:val="center"/>
          </w:tcPr>
          <w:p w14:paraId="6FC9553E" w14:textId="15B0337D" w:rsidR="00427DD5" w:rsidRPr="00427DD5" w:rsidRDefault="00427DD5" w:rsidP="00427DD5">
            <w:pPr>
              <w:keepLines/>
              <w:tabs>
                <w:tab w:val="right" w:pos="1202"/>
              </w:tabs>
              <w:spacing w:after="0" w:line="240" w:lineRule="auto"/>
              <w:jc w:val="right"/>
              <w:outlineLvl w:val="0"/>
              <w:rPr>
                <w:rFonts w:eastAsia="Times New Roman" w:cs="Calibri"/>
                <w:b/>
                <w:sz w:val="20"/>
                <w:szCs w:val="20"/>
                <w:lang w:val="en-GB"/>
              </w:rPr>
            </w:pPr>
            <w:r w:rsidRPr="00427DD5">
              <w:rPr>
                <w:rFonts w:eastAsia="Times New Roman" w:cs="Calibri"/>
                <w:b/>
                <w:sz w:val="20"/>
                <w:szCs w:val="20"/>
                <w:lang w:val="en-GB"/>
              </w:rPr>
              <w:t>113.681</w:t>
            </w:r>
          </w:p>
        </w:tc>
        <w:tc>
          <w:tcPr>
            <w:tcW w:w="512" w:type="pct"/>
            <w:tcBorders>
              <w:top w:val="single" w:sz="4" w:space="0" w:color="auto"/>
              <w:left w:val="nil"/>
              <w:bottom w:val="single" w:sz="12" w:space="0" w:color="auto"/>
              <w:right w:val="nil"/>
            </w:tcBorders>
            <w:shd w:val="clear" w:color="auto" w:fill="auto"/>
            <w:vAlign w:val="center"/>
          </w:tcPr>
          <w:p w14:paraId="19D81793" w14:textId="4CF4F438" w:rsidR="00427DD5" w:rsidRPr="00427DD5" w:rsidRDefault="00427DD5" w:rsidP="00427DD5">
            <w:pPr>
              <w:keepLines/>
              <w:tabs>
                <w:tab w:val="right" w:pos="1202"/>
              </w:tabs>
              <w:spacing w:after="0" w:line="240" w:lineRule="auto"/>
              <w:jc w:val="right"/>
              <w:outlineLvl w:val="0"/>
              <w:rPr>
                <w:rFonts w:eastAsia="Times New Roman" w:cs="Calibri"/>
                <w:b/>
                <w:sz w:val="20"/>
                <w:szCs w:val="20"/>
                <w:lang w:val="en-GB"/>
              </w:rPr>
            </w:pPr>
            <w:r w:rsidRPr="00427DD5">
              <w:rPr>
                <w:rFonts w:eastAsia="Times New Roman" w:cs="Calibri"/>
                <w:b/>
                <w:sz w:val="20"/>
                <w:szCs w:val="20"/>
                <w:lang w:val="en-GB"/>
              </w:rPr>
              <w:t>228.236</w:t>
            </w:r>
          </w:p>
        </w:tc>
      </w:tr>
    </w:tbl>
    <w:p w14:paraId="30C26905" w14:textId="77777777" w:rsidR="00BF3447" w:rsidRDefault="00BF3447" w:rsidP="00202F35">
      <w:pPr>
        <w:keepNext/>
        <w:tabs>
          <w:tab w:val="left" w:pos="709"/>
        </w:tabs>
        <w:spacing w:after="0" w:line="240" w:lineRule="auto"/>
        <w:jc w:val="both"/>
        <w:rPr>
          <w:rFonts w:eastAsia="Times New Roman" w:cs="Arial"/>
        </w:rPr>
      </w:pPr>
    </w:p>
    <w:p w14:paraId="2D43BCC9" w14:textId="77777777" w:rsidR="00BF3447" w:rsidRDefault="00AE09B0" w:rsidP="00F1130C">
      <w:pPr>
        <w:keepNext/>
        <w:tabs>
          <w:tab w:val="left" w:pos="709"/>
        </w:tabs>
        <w:spacing w:after="0" w:line="240" w:lineRule="auto"/>
        <w:ind w:right="224"/>
        <w:jc w:val="both"/>
        <w:rPr>
          <w:rFonts w:eastAsia="Times New Roman" w:cs="Arial"/>
        </w:rPr>
      </w:pPr>
      <w:r w:rsidRPr="00A05D2F">
        <w:rPr>
          <w:rFonts w:eastAsia="Times New Roman" w:cs="Arial"/>
        </w:rPr>
        <w:t>Razlika između rashoda od kamata i plaćenih kamata (vid</w:t>
      </w:r>
      <w:r w:rsidR="00882293" w:rsidRPr="00A05D2F">
        <w:rPr>
          <w:rFonts w:eastAsia="Times New Roman" w:cs="Arial"/>
        </w:rPr>
        <w:t>jet</w:t>
      </w:r>
      <w:r w:rsidRPr="00A05D2F">
        <w:rPr>
          <w:rFonts w:eastAsia="Times New Roman" w:cs="Arial"/>
        </w:rPr>
        <w:t>i Izvještaj o novčanim tokovima) najvećim se dijelom odnosi na promjenu iznosa nedospjele kamate u odnosu na prethodnu godinu kao i na amortizaciju diskonta po izdanim dužničkim vrijednosnim papirima.</w:t>
      </w:r>
    </w:p>
    <w:p w14:paraId="1AAE27F0" w14:textId="77777777" w:rsidR="00BF3447" w:rsidRDefault="00BF3447" w:rsidP="00F1130C">
      <w:pPr>
        <w:keepNext/>
        <w:tabs>
          <w:tab w:val="left" w:pos="709"/>
        </w:tabs>
        <w:spacing w:after="0" w:line="240" w:lineRule="auto"/>
        <w:ind w:right="224"/>
        <w:rPr>
          <w:rFonts w:eastAsia="Times New Roman" w:cs="Arial"/>
        </w:rPr>
      </w:pPr>
    </w:p>
    <w:p w14:paraId="263EEF84" w14:textId="77777777" w:rsidR="00BF3447" w:rsidRDefault="00BF3447" w:rsidP="00F1130C">
      <w:pPr>
        <w:keepNext/>
        <w:tabs>
          <w:tab w:val="left" w:pos="709"/>
        </w:tabs>
        <w:spacing w:after="0" w:line="240" w:lineRule="auto"/>
        <w:ind w:right="224"/>
        <w:rPr>
          <w:rFonts w:eastAsia="Times New Roman" w:cs="Arial"/>
        </w:rPr>
        <w:sectPr w:rsidR="00BF3447" w:rsidSect="00312975">
          <w:footerReference w:type="first" r:id="rId64"/>
          <w:pgSz w:w="16838" w:h="11906" w:orient="landscape" w:code="9"/>
          <w:pgMar w:top="1418" w:right="595" w:bottom="1134" w:left="1418" w:header="709" w:footer="709" w:gutter="0"/>
          <w:cols w:space="708"/>
          <w:titlePg/>
          <w:docGrid w:linePitch="360"/>
        </w:sectPr>
      </w:pPr>
    </w:p>
    <w:p w14:paraId="57775FD0" w14:textId="77777777" w:rsidR="00BF3447" w:rsidRDefault="00BF3447" w:rsidP="006379CB">
      <w:pPr>
        <w:pStyle w:val="T1"/>
        <w:tabs>
          <w:tab w:val="left" w:pos="567"/>
        </w:tabs>
        <w:spacing w:before="0" w:after="0" w:line="240" w:lineRule="auto"/>
        <w:rPr>
          <w:rFonts w:asciiTheme="minorHAnsi" w:hAnsiTheme="minorHAnsi" w:cs="Arial"/>
          <w:sz w:val="22"/>
          <w:szCs w:val="22"/>
          <w:lang w:val="hr-HR"/>
        </w:rPr>
      </w:pPr>
    </w:p>
    <w:p w14:paraId="19A385A2" w14:textId="77777777" w:rsidR="007B2C90" w:rsidRDefault="007B2C90" w:rsidP="006379CB">
      <w:pPr>
        <w:pStyle w:val="T1"/>
        <w:tabs>
          <w:tab w:val="left" w:pos="567"/>
        </w:tabs>
        <w:spacing w:before="0" w:after="0" w:line="240" w:lineRule="auto"/>
        <w:rPr>
          <w:rFonts w:asciiTheme="minorHAnsi" w:hAnsiTheme="minorHAnsi" w:cs="Arial"/>
          <w:sz w:val="22"/>
          <w:szCs w:val="22"/>
          <w:lang w:val="hr-HR"/>
        </w:rPr>
      </w:pPr>
      <w:r w:rsidRPr="007B2C90">
        <w:rPr>
          <w:rFonts w:asciiTheme="minorHAnsi" w:hAnsiTheme="minorHAnsi" w:cs="Arial"/>
          <w:sz w:val="22"/>
          <w:szCs w:val="22"/>
          <w:lang w:val="hr-HR"/>
        </w:rPr>
        <w:t>6.</w:t>
      </w:r>
      <w:r w:rsidRPr="007B2C90">
        <w:rPr>
          <w:rFonts w:asciiTheme="minorHAnsi" w:hAnsiTheme="minorHAnsi" w:cs="Arial"/>
          <w:sz w:val="22"/>
          <w:szCs w:val="22"/>
          <w:lang w:val="hr-HR"/>
        </w:rPr>
        <w:tab/>
        <w:t>Operativni troškovi</w:t>
      </w:r>
    </w:p>
    <w:p w14:paraId="314A4DE0" w14:textId="77777777" w:rsidR="007B2C90" w:rsidRPr="007B2C90" w:rsidRDefault="007B2C90" w:rsidP="007B2C90">
      <w:pPr>
        <w:pStyle w:val="T1"/>
        <w:spacing w:before="0" w:after="0" w:line="240" w:lineRule="auto"/>
        <w:rPr>
          <w:rFonts w:asciiTheme="minorHAnsi" w:hAnsiTheme="minorHAnsi" w:cs="Arial"/>
          <w:sz w:val="22"/>
          <w:szCs w:val="22"/>
          <w:lang w:val="hr-HR"/>
        </w:rPr>
      </w:pPr>
    </w:p>
    <w:p w14:paraId="0A9A62CB" w14:textId="3B062620" w:rsidR="007B2C90" w:rsidRDefault="007B2C90" w:rsidP="007B2C90">
      <w:pPr>
        <w:pStyle w:val="TT"/>
        <w:tabs>
          <w:tab w:val="clear" w:pos="1202"/>
          <w:tab w:val="left" w:pos="-720"/>
          <w:tab w:val="left" w:pos="9600"/>
        </w:tabs>
        <w:suppressAutoHyphens/>
        <w:spacing w:line="240" w:lineRule="auto"/>
        <w:outlineLvl w:val="9"/>
        <w:rPr>
          <w:rFonts w:asciiTheme="minorHAnsi" w:hAnsiTheme="minorHAnsi" w:cs="Arial"/>
          <w:spacing w:val="-3"/>
          <w:sz w:val="22"/>
          <w:szCs w:val="22"/>
          <w:lang w:val="hr-HR"/>
        </w:rPr>
      </w:pPr>
      <w:r w:rsidRPr="007B2C90">
        <w:rPr>
          <w:rFonts w:asciiTheme="minorHAnsi" w:hAnsiTheme="minorHAnsi" w:cs="Arial"/>
          <w:spacing w:val="-3"/>
          <w:sz w:val="22"/>
          <w:szCs w:val="22"/>
          <w:lang w:val="hr-HR"/>
        </w:rPr>
        <w:t>Operativni troškovi mogu se prikazati kako slijedi:</w:t>
      </w:r>
    </w:p>
    <w:p w14:paraId="75F17A34" w14:textId="77777777" w:rsidR="005723A9" w:rsidRPr="007B2C90" w:rsidRDefault="005723A9" w:rsidP="007B2C90">
      <w:pPr>
        <w:pStyle w:val="TT"/>
        <w:tabs>
          <w:tab w:val="clear" w:pos="1202"/>
          <w:tab w:val="left" w:pos="-720"/>
          <w:tab w:val="left" w:pos="9600"/>
        </w:tabs>
        <w:suppressAutoHyphens/>
        <w:spacing w:line="240" w:lineRule="auto"/>
        <w:outlineLvl w:val="9"/>
        <w:rPr>
          <w:rFonts w:asciiTheme="minorHAnsi" w:hAnsiTheme="minorHAnsi" w:cs="Arial"/>
          <w:spacing w:val="-3"/>
          <w:sz w:val="22"/>
          <w:szCs w:val="22"/>
          <w:lang w:val="hr-HR"/>
        </w:rPr>
      </w:pPr>
    </w:p>
    <w:tbl>
      <w:tblPr>
        <w:tblW w:w="4873" w:type="pct"/>
        <w:tblCellMar>
          <w:left w:w="122" w:type="dxa"/>
          <w:right w:w="122" w:type="dxa"/>
        </w:tblCellMar>
        <w:tblLook w:val="0000" w:firstRow="0" w:lastRow="0" w:firstColumn="0" w:lastColumn="0" w:noHBand="0" w:noVBand="0"/>
      </w:tblPr>
      <w:tblGrid>
        <w:gridCol w:w="3234"/>
        <w:gridCol w:w="1399"/>
        <w:gridCol w:w="1404"/>
        <w:gridCol w:w="1401"/>
        <w:gridCol w:w="1404"/>
        <w:gridCol w:w="1399"/>
        <w:gridCol w:w="1404"/>
        <w:gridCol w:w="1399"/>
        <w:gridCol w:w="1404"/>
      </w:tblGrid>
      <w:tr w:rsidR="00331AF1" w:rsidRPr="00A960E2" w14:paraId="3E5DB31A" w14:textId="77777777" w:rsidTr="00312975">
        <w:trPr>
          <w:trHeight w:val="57"/>
        </w:trPr>
        <w:tc>
          <w:tcPr>
            <w:tcW w:w="3060" w:type="pct"/>
            <w:gridSpan w:val="5"/>
            <w:shd w:val="clear" w:color="auto" w:fill="auto"/>
          </w:tcPr>
          <w:p w14:paraId="5C57AC9C" w14:textId="4BDB0E7B" w:rsidR="00331AF1" w:rsidRPr="00331AF1" w:rsidRDefault="00331AF1" w:rsidP="00331AF1">
            <w:pPr>
              <w:spacing w:after="0" w:line="240" w:lineRule="auto"/>
              <w:jc w:val="right"/>
              <w:rPr>
                <w:rFonts w:ascii="Calibri" w:eastAsia="Times New Roman" w:hAnsi="Calibri" w:cs="Times New Roman"/>
                <w:b/>
                <w:bCs/>
                <w:sz w:val="20"/>
                <w:szCs w:val="20"/>
                <w:lang w:eastAsia="hr-HR"/>
              </w:rPr>
            </w:pPr>
            <w:r>
              <w:rPr>
                <w:rFonts w:ascii="Calibri" w:eastAsia="Times New Roman" w:hAnsi="Calibri" w:cs="Times New Roman"/>
                <w:b/>
                <w:bCs/>
                <w:sz w:val="20"/>
                <w:szCs w:val="20"/>
                <w:lang w:eastAsia="hr-HR"/>
              </w:rPr>
              <w:t>Grupa</w:t>
            </w:r>
          </w:p>
        </w:tc>
        <w:tc>
          <w:tcPr>
            <w:tcW w:w="1940" w:type="pct"/>
            <w:gridSpan w:val="4"/>
            <w:shd w:val="clear" w:color="auto" w:fill="auto"/>
          </w:tcPr>
          <w:p w14:paraId="0AF6EFE4" w14:textId="2DC75947" w:rsidR="00331AF1" w:rsidRPr="00312975" w:rsidRDefault="00331AF1" w:rsidP="00312975">
            <w:pPr>
              <w:spacing w:after="0" w:line="240" w:lineRule="auto"/>
              <w:jc w:val="right"/>
              <w:rPr>
                <w:rFonts w:ascii="Calibri" w:eastAsia="Times New Roman" w:hAnsi="Calibri" w:cs="Times New Roman"/>
                <w:b/>
                <w:bCs/>
                <w:sz w:val="20"/>
                <w:szCs w:val="20"/>
                <w:lang w:eastAsia="hr-HR"/>
              </w:rPr>
            </w:pPr>
            <w:r>
              <w:rPr>
                <w:rFonts w:ascii="Calibri" w:eastAsia="Times New Roman" w:hAnsi="Calibri" w:cs="Times New Roman"/>
                <w:b/>
                <w:bCs/>
                <w:sz w:val="20"/>
                <w:szCs w:val="20"/>
                <w:lang w:eastAsia="hr-HR"/>
              </w:rPr>
              <w:t>Banka</w:t>
            </w:r>
          </w:p>
        </w:tc>
      </w:tr>
      <w:tr w:rsidR="00331AF1" w:rsidRPr="00A960E2" w14:paraId="3280BCB9" w14:textId="77777777" w:rsidTr="00312975">
        <w:tblPrEx>
          <w:tblCellMar>
            <w:left w:w="108" w:type="dxa"/>
            <w:right w:w="108" w:type="dxa"/>
          </w:tblCellMar>
          <w:tblLook w:val="04A0" w:firstRow="1" w:lastRow="0" w:firstColumn="1" w:lastColumn="0" w:noHBand="0" w:noVBand="1"/>
        </w:tblPrEx>
        <w:trPr>
          <w:trHeight w:val="258"/>
        </w:trPr>
        <w:tc>
          <w:tcPr>
            <w:tcW w:w="1119" w:type="pct"/>
            <w:tcBorders>
              <w:top w:val="nil"/>
              <w:left w:val="nil"/>
              <w:bottom w:val="nil"/>
              <w:right w:val="nil"/>
            </w:tcBorders>
            <w:shd w:val="clear" w:color="auto" w:fill="auto"/>
            <w:vAlign w:val="center"/>
            <w:hideMark/>
          </w:tcPr>
          <w:p w14:paraId="2BACCBE8" w14:textId="77777777" w:rsidR="00331AF1" w:rsidRPr="00A960E2" w:rsidRDefault="00331AF1" w:rsidP="00060490">
            <w:pPr>
              <w:spacing w:after="0" w:line="240" w:lineRule="auto"/>
              <w:jc w:val="right"/>
              <w:rPr>
                <w:rFonts w:ascii="Calibri" w:eastAsia="Times New Roman" w:hAnsi="Calibri" w:cs="Times New Roman"/>
                <w:b/>
                <w:bCs/>
                <w:sz w:val="20"/>
                <w:szCs w:val="20"/>
                <w:lang w:eastAsia="hr-HR"/>
              </w:rPr>
            </w:pPr>
          </w:p>
        </w:tc>
        <w:tc>
          <w:tcPr>
            <w:tcW w:w="970" w:type="pct"/>
            <w:gridSpan w:val="2"/>
            <w:tcBorders>
              <w:top w:val="nil"/>
              <w:left w:val="nil"/>
              <w:bottom w:val="nil"/>
              <w:right w:val="nil"/>
            </w:tcBorders>
            <w:shd w:val="clear" w:color="auto" w:fill="auto"/>
            <w:vAlign w:val="bottom"/>
            <w:hideMark/>
          </w:tcPr>
          <w:p w14:paraId="1F17467F" w14:textId="0AE5806C" w:rsidR="00331AF1" w:rsidRPr="00312975" w:rsidRDefault="00331AF1">
            <w:pPr>
              <w:spacing w:after="0" w:line="240" w:lineRule="auto"/>
              <w:jc w:val="center"/>
              <w:rPr>
                <w:rFonts w:ascii="Calibri" w:eastAsia="Times New Roman" w:hAnsi="Calibri" w:cs="Times New Roman"/>
                <w:b/>
                <w:bCs/>
                <w:sz w:val="20"/>
                <w:szCs w:val="20"/>
                <w:lang w:eastAsia="hr-HR"/>
              </w:rPr>
            </w:pPr>
            <w:r w:rsidRPr="00312975">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7</w:t>
            </w:r>
            <w:r w:rsidRPr="00312975">
              <w:rPr>
                <w:rFonts w:ascii="Calibri" w:eastAsia="Times New Roman" w:hAnsi="Calibri" w:cs="Times New Roman"/>
                <w:b/>
                <w:bCs/>
                <w:sz w:val="20"/>
                <w:szCs w:val="20"/>
                <w:lang w:eastAsia="hr-HR"/>
              </w:rPr>
              <w:t>.</w:t>
            </w:r>
          </w:p>
        </w:tc>
        <w:tc>
          <w:tcPr>
            <w:tcW w:w="971" w:type="pct"/>
            <w:gridSpan w:val="2"/>
            <w:tcBorders>
              <w:top w:val="nil"/>
              <w:left w:val="nil"/>
              <w:bottom w:val="nil"/>
              <w:right w:val="nil"/>
            </w:tcBorders>
            <w:shd w:val="clear" w:color="auto" w:fill="auto"/>
            <w:vAlign w:val="bottom"/>
            <w:hideMark/>
          </w:tcPr>
          <w:p w14:paraId="5AF826FD" w14:textId="74DFBDBC" w:rsidR="00331AF1" w:rsidRPr="00A960E2" w:rsidRDefault="00331AF1">
            <w:pPr>
              <w:spacing w:after="0" w:line="240" w:lineRule="auto"/>
              <w:jc w:val="center"/>
              <w:rPr>
                <w:rFonts w:ascii="Calibri" w:eastAsia="Times New Roman" w:hAnsi="Calibri" w:cs="Times New Roman"/>
                <w:b/>
                <w:bCs/>
                <w:sz w:val="20"/>
                <w:szCs w:val="20"/>
                <w:lang w:eastAsia="hr-HR"/>
              </w:rPr>
            </w:pPr>
            <w:r w:rsidRPr="00A960E2">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6</w:t>
            </w:r>
            <w:r w:rsidRPr="00A960E2">
              <w:rPr>
                <w:rFonts w:ascii="Calibri" w:eastAsia="Times New Roman" w:hAnsi="Calibri" w:cs="Times New Roman"/>
                <w:b/>
                <w:bCs/>
                <w:sz w:val="20"/>
                <w:szCs w:val="20"/>
                <w:lang w:eastAsia="hr-HR"/>
              </w:rPr>
              <w:t>.</w:t>
            </w:r>
          </w:p>
        </w:tc>
        <w:tc>
          <w:tcPr>
            <w:tcW w:w="970" w:type="pct"/>
            <w:gridSpan w:val="2"/>
            <w:tcBorders>
              <w:top w:val="nil"/>
              <w:left w:val="nil"/>
              <w:bottom w:val="nil"/>
              <w:right w:val="nil"/>
            </w:tcBorders>
            <w:shd w:val="clear" w:color="auto" w:fill="auto"/>
            <w:vAlign w:val="bottom"/>
            <w:hideMark/>
          </w:tcPr>
          <w:p w14:paraId="7CFCA23B" w14:textId="347DA854" w:rsidR="00331AF1" w:rsidRPr="00A960E2" w:rsidRDefault="00331AF1">
            <w:pPr>
              <w:spacing w:after="0" w:line="240" w:lineRule="auto"/>
              <w:jc w:val="center"/>
              <w:rPr>
                <w:rFonts w:ascii="Calibri" w:eastAsia="Times New Roman" w:hAnsi="Calibri" w:cs="Times New Roman"/>
                <w:b/>
                <w:bCs/>
                <w:sz w:val="20"/>
                <w:szCs w:val="20"/>
                <w:lang w:eastAsia="hr-HR"/>
              </w:rPr>
            </w:pPr>
            <w:r w:rsidRPr="00A960E2">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7</w:t>
            </w:r>
            <w:r w:rsidRPr="00A960E2">
              <w:rPr>
                <w:rFonts w:ascii="Calibri" w:eastAsia="Times New Roman" w:hAnsi="Calibri" w:cs="Times New Roman"/>
                <w:b/>
                <w:bCs/>
                <w:sz w:val="20"/>
                <w:szCs w:val="20"/>
                <w:lang w:eastAsia="hr-HR"/>
              </w:rPr>
              <w:t>.</w:t>
            </w:r>
          </w:p>
        </w:tc>
        <w:tc>
          <w:tcPr>
            <w:tcW w:w="970" w:type="pct"/>
            <w:gridSpan w:val="2"/>
            <w:tcBorders>
              <w:top w:val="nil"/>
              <w:left w:val="nil"/>
              <w:bottom w:val="nil"/>
              <w:right w:val="nil"/>
            </w:tcBorders>
            <w:shd w:val="clear" w:color="auto" w:fill="auto"/>
            <w:vAlign w:val="bottom"/>
            <w:hideMark/>
          </w:tcPr>
          <w:p w14:paraId="02E8A7F9" w14:textId="75DAF8E4" w:rsidR="00331AF1" w:rsidRPr="00A960E2" w:rsidRDefault="00331AF1">
            <w:pPr>
              <w:spacing w:after="0" w:line="240" w:lineRule="auto"/>
              <w:jc w:val="center"/>
              <w:rPr>
                <w:rFonts w:ascii="Calibri" w:eastAsia="Times New Roman" w:hAnsi="Calibri" w:cs="Times New Roman"/>
                <w:b/>
                <w:bCs/>
                <w:sz w:val="20"/>
                <w:szCs w:val="20"/>
                <w:lang w:eastAsia="hr-HR"/>
              </w:rPr>
            </w:pPr>
            <w:r w:rsidRPr="00A960E2">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6</w:t>
            </w:r>
            <w:r w:rsidRPr="00A960E2">
              <w:rPr>
                <w:rFonts w:ascii="Calibri" w:eastAsia="Times New Roman" w:hAnsi="Calibri" w:cs="Times New Roman"/>
                <w:b/>
                <w:bCs/>
                <w:sz w:val="20"/>
                <w:szCs w:val="20"/>
                <w:lang w:eastAsia="hr-HR"/>
              </w:rPr>
              <w:t>.</w:t>
            </w:r>
          </w:p>
        </w:tc>
      </w:tr>
      <w:tr w:rsidR="00331AF1" w:rsidRPr="00A960E2" w14:paraId="4FC43515" w14:textId="77777777" w:rsidTr="00312975">
        <w:tblPrEx>
          <w:tblCellMar>
            <w:left w:w="108" w:type="dxa"/>
            <w:right w:w="108" w:type="dxa"/>
          </w:tblCellMar>
          <w:tblLook w:val="04A0" w:firstRow="1" w:lastRow="0" w:firstColumn="1" w:lastColumn="0" w:noHBand="0" w:noVBand="1"/>
        </w:tblPrEx>
        <w:trPr>
          <w:trHeight w:val="516"/>
        </w:trPr>
        <w:tc>
          <w:tcPr>
            <w:tcW w:w="1119" w:type="pct"/>
            <w:tcBorders>
              <w:top w:val="nil"/>
              <w:left w:val="nil"/>
              <w:bottom w:val="nil"/>
              <w:right w:val="nil"/>
            </w:tcBorders>
            <w:shd w:val="clear" w:color="auto" w:fill="auto"/>
            <w:vAlign w:val="center"/>
            <w:hideMark/>
          </w:tcPr>
          <w:p w14:paraId="0FD4C0B5" w14:textId="77777777" w:rsidR="00331AF1" w:rsidRPr="00A960E2" w:rsidRDefault="00331AF1" w:rsidP="00060490">
            <w:pPr>
              <w:spacing w:after="0" w:line="240" w:lineRule="auto"/>
              <w:jc w:val="center"/>
              <w:rPr>
                <w:rFonts w:ascii="Calibri" w:eastAsia="Times New Roman" w:hAnsi="Calibri" w:cs="Times New Roman"/>
                <w:b/>
                <w:bCs/>
                <w:sz w:val="20"/>
                <w:szCs w:val="20"/>
                <w:lang w:eastAsia="hr-HR"/>
              </w:rPr>
            </w:pPr>
          </w:p>
        </w:tc>
        <w:tc>
          <w:tcPr>
            <w:tcW w:w="484" w:type="pct"/>
            <w:tcBorders>
              <w:top w:val="nil"/>
              <w:left w:val="nil"/>
              <w:bottom w:val="nil"/>
              <w:right w:val="nil"/>
            </w:tcBorders>
            <w:shd w:val="clear" w:color="auto" w:fill="auto"/>
            <w:vAlign w:val="center"/>
            <w:hideMark/>
          </w:tcPr>
          <w:p w14:paraId="6FF18C69" w14:textId="77777777" w:rsidR="00331AF1" w:rsidRPr="00A960E2" w:rsidRDefault="00331AF1" w:rsidP="00060490">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Tekuće razdoblje</w:t>
            </w:r>
          </w:p>
        </w:tc>
        <w:tc>
          <w:tcPr>
            <w:tcW w:w="486" w:type="pct"/>
            <w:tcBorders>
              <w:top w:val="nil"/>
              <w:left w:val="nil"/>
              <w:bottom w:val="nil"/>
              <w:right w:val="nil"/>
            </w:tcBorders>
            <w:shd w:val="clear" w:color="auto" w:fill="auto"/>
            <w:vAlign w:val="center"/>
            <w:hideMark/>
          </w:tcPr>
          <w:p w14:paraId="20A47BE0" w14:textId="77777777" w:rsidR="00331AF1" w:rsidRPr="00A960E2" w:rsidRDefault="00331AF1" w:rsidP="00060490">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Kumulativ</w:t>
            </w:r>
          </w:p>
        </w:tc>
        <w:tc>
          <w:tcPr>
            <w:tcW w:w="485" w:type="pct"/>
            <w:tcBorders>
              <w:top w:val="nil"/>
              <w:left w:val="nil"/>
              <w:bottom w:val="nil"/>
              <w:right w:val="nil"/>
            </w:tcBorders>
            <w:shd w:val="clear" w:color="auto" w:fill="auto"/>
            <w:vAlign w:val="center"/>
            <w:hideMark/>
          </w:tcPr>
          <w:p w14:paraId="61311139" w14:textId="77777777" w:rsidR="00331AF1" w:rsidRPr="00A960E2" w:rsidRDefault="00331AF1" w:rsidP="00060490">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Tekuće razdoblje</w:t>
            </w:r>
          </w:p>
        </w:tc>
        <w:tc>
          <w:tcPr>
            <w:tcW w:w="486" w:type="pct"/>
            <w:tcBorders>
              <w:top w:val="nil"/>
              <w:left w:val="nil"/>
              <w:bottom w:val="nil"/>
              <w:right w:val="nil"/>
            </w:tcBorders>
            <w:shd w:val="clear" w:color="auto" w:fill="auto"/>
            <w:vAlign w:val="center"/>
            <w:hideMark/>
          </w:tcPr>
          <w:p w14:paraId="326E912C" w14:textId="77777777" w:rsidR="00331AF1" w:rsidRPr="00A960E2" w:rsidRDefault="00331AF1" w:rsidP="00060490">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Kumulativ</w:t>
            </w:r>
          </w:p>
        </w:tc>
        <w:tc>
          <w:tcPr>
            <w:tcW w:w="484" w:type="pct"/>
            <w:tcBorders>
              <w:top w:val="nil"/>
              <w:left w:val="nil"/>
              <w:bottom w:val="nil"/>
              <w:right w:val="nil"/>
            </w:tcBorders>
            <w:shd w:val="clear" w:color="auto" w:fill="auto"/>
            <w:vAlign w:val="center"/>
            <w:hideMark/>
          </w:tcPr>
          <w:p w14:paraId="56C41A2D" w14:textId="77777777" w:rsidR="00331AF1" w:rsidRPr="00A960E2" w:rsidRDefault="00331AF1" w:rsidP="00060490">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Tekuće razdoblje</w:t>
            </w:r>
          </w:p>
        </w:tc>
        <w:tc>
          <w:tcPr>
            <w:tcW w:w="486" w:type="pct"/>
            <w:tcBorders>
              <w:top w:val="nil"/>
              <w:left w:val="nil"/>
              <w:bottom w:val="nil"/>
              <w:right w:val="nil"/>
            </w:tcBorders>
            <w:shd w:val="clear" w:color="auto" w:fill="auto"/>
            <w:vAlign w:val="center"/>
            <w:hideMark/>
          </w:tcPr>
          <w:p w14:paraId="3C2D1E58" w14:textId="77777777" w:rsidR="00331AF1" w:rsidRPr="00A960E2" w:rsidRDefault="00331AF1" w:rsidP="00060490">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Kumulativ</w:t>
            </w:r>
          </w:p>
        </w:tc>
        <w:tc>
          <w:tcPr>
            <w:tcW w:w="484" w:type="pct"/>
            <w:tcBorders>
              <w:top w:val="nil"/>
              <w:left w:val="nil"/>
              <w:bottom w:val="nil"/>
              <w:right w:val="nil"/>
            </w:tcBorders>
            <w:shd w:val="clear" w:color="auto" w:fill="auto"/>
            <w:vAlign w:val="center"/>
            <w:hideMark/>
          </w:tcPr>
          <w:p w14:paraId="29F1E253" w14:textId="77777777" w:rsidR="00331AF1" w:rsidRPr="00A960E2" w:rsidRDefault="00331AF1" w:rsidP="00060490">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Tekuće razdoblje</w:t>
            </w:r>
          </w:p>
        </w:tc>
        <w:tc>
          <w:tcPr>
            <w:tcW w:w="486" w:type="pct"/>
            <w:tcBorders>
              <w:top w:val="nil"/>
              <w:left w:val="nil"/>
              <w:bottom w:val="nil"/>
              <w:right w:val="nil"/>
            </w:tcBorders>
            <w:shd w:val="clear" w:color="auto" w:fill="auto"/>
            <w:vAlign w:val="center"/>
            <w:hideMark/>
          </w:tcPr>
          <w:p w14:paraId="3F844126" w14:textId="77777777" w:rsidR="00331AF1" w:rsidRPr="00A960E2" w:rsidRDefault="00331AF1" w:rsidP="00060490">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Kumulativ</w:t>
            </w:r>
          </w:p>
        </w:tc>
      </w:tr>
      <w:tr w:rsidR="00331AF1" w:rsidRPr="00A960E2" w14:paraId="46F04C89" w14:textId="77777777" w:rsidTr="00312975">
        <w:tblPrEx>
          <w:tblCellMar>
            <w:left w:w="108" w:type="dxa"/>
            <w:right w:w="108" w:type="dxa"/>
          </w:tblCellMar>
          <w:tblLook w:val="04A0" w:firstRow="1" w:lastRow="0" w:firstColumn="1" w:lastColumn="0" w:noHBand="0" w:noVBand="1"/>
        </w:tblPrEx>
        <w:trPr>
          <w:trHeight w:val="258"/>
        </w:trPr>
        <w:tc>
          <w:tcPr>
            <w:tcW w:w="1119" w:type="pct"/>
            <w:tcBorders>
              <w:top w:val="nil"/>
              <w:left w:val="nil"/>
              <w:bottom w:val="nil"/>
              <w:right w:val="nil"/>
            </w:tcBorders>
            <w:shd w:val="clear" w:color="auto" w:fill="auto"/>
            <w:vAlign w:val="center"/>
            <w:hideMark/>
          </w:tcPr>
          <w:p w14:paraId="35353E25" w14:textId="77777777" w:rsidR="00331AF1" w:rsidRPr="00A960E2" w:rsidRDefault="00331AF1" w:rsidP="00060490">
            <w:pPr>
              <w:spacing w:after="0" w:line="240" w:lineRule="auto"/>
              <w:jc w:val="center"/>
              <w:rPr>
                <w:rFonts w:ascii="Calibri" w:eastAsia="Times New Roman" w:hAnsi="Calibri" w:cs="Times New Roman"/>
                <w:sz w:val="20"/>
                <w:szCs w:val="20"/>
                <w:lang w:eastAsia="hr-HR"/>
              </w:rPr>
            </w:pPr>
          </w:p>
        </w:tc>
        <w:tc>
          <w:tcPr>
            <w:tcW w:w="484" w:type="pct"/>
            <w:tcBorders>
              <w:top w:val="nil"/>
              <w:left w:val="nil"/>
              <w:bottom w:val="nil"/>
              <w:right w:val="nil"/>
            </w:tcBorders>
            <w:shd w:val="clear" w:color="auto" w:fill="auto"/>
            <w:vAlign w:val="center"/>
            <w:hideMark/>
          </w:tcPr>
          <w:p w14:paraId="569DF146" w14:textId="77777777" w:rsidR="00331AF1" w:rsidRPr="00A960E2" w:rsidRDefault="00331AF1" w:rsidP="00060490">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1.4. - 30.6.</w:t>
            </w:r>
          </w:p>
        </w:tc>
        <w:tc>
          <w:tcPr>
            <w:tcW w:w="486" w:type="pct"/>
            <w:tcBorders>
              <w:top w:val="nil"/>
              <w:left w:val="nil"/>
              <w:bottom w:val="nil"/>
              <w:right w:val="nil"/>
            </w:tcBorders>
            <w:shd w:val="clear" w:color="auto" w:fill="auto"/>
            <w:vAlign w:val="center"/>
            <w:hideMark/>
          </w:tcPr>
          <w:p w14:paraId="043DF07C" w14:textId="77777777" w:rsidR="00331AF1" w:rsidRPr="00A960E2" w:rsidRDefault="00331AF1" w:rsidP="00060490">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1.1. - 30.6.</w:t>
            </w:r>
          </w:p>
        </w:tc>
        <w:tc>
          <w:tcPr>
            <w:tcW w:w="485" w:type="pct"/>
            <w:tcBorders>
              <w:top w:val="nil"/>
              <w:left w:val="nil"/>
              <w:bottom w:val="nil"/>
              <w:right w:val="nil"/>
            </w:tcBorders>
            <w:shd w:val="clear" w:color="auto" w:fill="auto"/>
            <w:vAlign w:val="center"/>
            <w:hideMark/>
          </w:tcPr>
          <w:p w14:paraId="573F87A8" w14:textId="77777777" w:rsidR="00331AF1" w:rsidRPr="00A960E2" w:rsidRDefault="00331AF1" w:rsidP="00060490">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1.4. - 30.6.</w:t>
            </w:r>
          </w:p>
        </w:tc>
        <w:tc>
          <w:tcPr>
            <w:tcW w:w="486" w:type="pct"/>
            <w:tcBorders>
              <w:top w:val="nil"/>
              <w:left w:val="nil"/>
              <w:bottom w:val="nil"/>
              <w:right w:val="nil"/>
            </w:tcBorders>
            <w:shd w:val="clear" w:color="auto" w:fill="auto"/>
            <w:vAlign w:val="center"/>
            <w:hideMark/>
          </w:tcPr>
          <w:p w14:paraId="3B44243A" w14:textId="77777777" w:rsidR="00331AF1" w:rsidRPr="00A960E2" w:rsidRDefault="00331AF1" w:rsidP="00060490">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1.1. - 30.6.</w:t>
            </w:r>
          </w:p>
        </w:tc>
        <w:tc>
          <w:tcPr>
            <w:tcW w:w="484" w:type="pct"/>
            <w:tcBorders>
              <w:top w:val="nil"/>
              <w:left w:val="nil"/>
              <w:bottom w:val="nil"/>
              <w:right w:val="nil"/>
            </w:tcBorders>
            <w:shd w:val="clear" w:color="auto" w:fill="auto"/>
            <w:vAlign w:val="center"/>
            <w:hideMark/>
          </w:tcPr>
          <w:p w14:paraId="402EAA00" w14:textId="77777777" w:rsidR="00331AF1" w:rsidRPr="00A960E2" w:rsidRDefault="00331AF1" w:rsidP="00060490">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1.4. - 30.6.</w:t>
            </w:r>
          </w:p>
        </w:tc>
        <w:tc>
          <w:tcPr>
            <w:tcW w:w="486" w:type="pct"/>
            <w:tcBorders>
              <w:top w:val="nil"/>
              <w:left w:val="nil"/>
              <w:bottom w:val="nil"/>
              <w:right w:val="nil"/>
            </w:tcBorders>
            <w:shd w:val="clear" w:color="auto" w:fill="auto"/>
            <w:vAlign w:val="center"/>
            <w:hideMark/>
          </w:tcPr>
          <w:p w14:paraId="593C8F2D" w14:textId="77777777" w:rsidR="00331AF1" w:rsidRPr="00A960E2" w:rsidRDefault="00331AF1" w:rsidP="00060490">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1.1. - 30.6.</w:t>
            </w:r>
          </w:p>
        </w:tc>
        <w:tc>
          <w:tcPr>
            <w:tcW w:w="484" w:type="pct"/>
            <w:tcBorders>
              <w:top w:val="nil"/>
              <w:left w:val="nil"/>
              <w:bottom w:val="nil"/>
              <w:right w:val="nil"/>
            </w:tcBorders>
            <w:shd w:val="clear" w:color="auto" w:fill="auto"/>
            <w:vAlign w:val="center"/>
            <w:hideMark/>
          </w:tcPr>
          <w:p w14:paraId="034D8EA3" w14:textId="77777777" w:rsidR="00331AF1" w:rsidRPr="00A960E2" w:rsidRDefault="00331AF1" w:rsidP="00060490">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1.4. - 30.6.</w:t>
            </w:r>
          </w:p>
        </w:tc>
        <w:tc>
          <w:tcPr>
            <w:tcW w:w="486" w:type="pct"/>
            <w:tcBorders>
              <w:top w:val="nil"/>
              <w:left w:val="nil"/>
              <w:bottom w:val="nil"/>
              <w:right w:val="nil"/>
            </w:tcBorders>
            <w:shd w:val="clear" w:color="auto" w:fill="auto"/>
            <w:vAlign w:val="center"/>
            <w:hideMark/>
          </w:tcPr>
          <w:p w14:paraId="5165BC29" w14:textId="77777777" w:rsidR="00331AF1" w:rsidRPr="00A960E2" w:rsidRDefault="00331AF1" w:rsidP="00060490">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1.1. - 30.6.</w:t>
            </w:r>
          </w:p>
        </w:tc>
      </w:tr>
      <w:tr w:rsidR="00331AF1" w:rsidRPr="00A960E2" w14:paraId="7D2EB3C8" w14:textId="77777777" w:rsidTr="00312975">
        <w:tblPrEx>
          <w:tblCellMar>
            <w:left w:w="108" w:type="dxa"/>
            <w:right w:w="108" w:type="dxa"/>
          </w:tblCellMar>
          <w:tblLook w:val="04A0" w:firstRow="1" w:lastRow="0" w:firstColumn="1" w:lastColumn="0" w:noHBand="0" w:noVBand="1"/>
        </w:tblPrEx>
        <w:trPr>
          <w:trHeight w:val="258"/>
        </w:trPr>
        <w:tc>
          <w:tcPr>
            <w:tcW w:w="1119" w:type="pct"/>
            <w:tcBorders>
              <w:top w:val="nil"/>
              <w:left w:val="nil"/>
              <w:bottom w:val="nil"/>
              <w:right w:val="nil"/>
            </w:tcBorders>
            <w:shd w:val="clear" w:color="auto" w:fill="auto"/>
            <w:vAlign w:val="center"/>
            <w:hideMark/>
          </w:tcPr>
          <w:p w14:paraId="0BB4F3DF" w14:textId="77777777" w:rsidR="00331AF1" w:rsidRPr="00A960E2" w:rsidRDefault="00331AF1" w:rsidP="00060490">
            <w:pPr>
              <w:spacing w:after="0" w:line="240" w:lineRule="auto"/>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Opći i administrativni troškovi:</w:t>
            </w:r>
          </w:p>
        </w:tc>
        <w:tc>
          <w:tcPr>
            <w:tcW w:w="484" w:type="pct"/>
            <w:tcBorders>
              <w:top w:val="nil"/>
              <w:left w:val="nil"/>
              <w:bottom w:val="nil"/>
              <w:right w:val="nil"/>
            </w:tcBorders>
            <w:shd w:val="clear" w:color="auto" w:fill="auto"/>
            <w:vAlign w:val="center"/>
            <w:hideMark/>
          </w:tcPr>
          <w:p w14:paraId="37FC6C28" w14:textId="77777777" w:rsidR="00331AF1" w:rsidRPr="00A960E2" w:rsidRDefault="00331AF1" w:rsidP="00060490">
            <w:pPr>
              <w:spacing w:after="0" w:line="240" w:lineRule="auto"/>
              <w:rPr>
                <w:rFonts w:ascii="Calibri" w:eastAsia="Times New Roman" w:hAnsi="Calibri" w:cs="Times New Roman"/>
                <w:color w:val="000000"/>
                <w:sz w:val="20"/>
                <w:szCs w:val="20"/>
                <w:lang w:eastAsia="hr-HR"/>
              </w:rPr>
            </w:pPr>
          </w:p>
        </w:tc>
        <w:tc>
          <w:tcPr>
            <w:tcW w:w="486" w:type="pct"/>
            <w:tcBorders>
              <w:top w:val="nil"/>
              <w:left w:val="nil"/>
              <w:bottom w:val="nil"/>
              <w:right w:val="nil"/>
            </w:tcBorders>
            <w:shd w:val="clear" w:color="auto" w:fill="auto"/>
            <w:vAlign w:val="center"/>
            <w:hideMark/>
          </w:tcPr>
          <w:p w14:paraId="69CE1292" w14:textId="77777777" w:rsidR="00331AF1" w:rsidRPr="00A960E2" w:rsidRDefault="00331AF1" w:rsidP="00060490">
            <w:pPr>
              <w:spacing w:after="0" w:line="240" w:lineRule="auto"/>
              <w:jc w:val="right"/>
              <w:rPr>
                <w:rFonts w:ascii="Times New Roman" w:eastAsia="Times New Roman" w:hAnsi="Times New Roman" w:cs="Times New Roman"/>
                <w:sz w:val="20"/>
                <w:szCs w:val="20"/>
                <w:lang w:eastAsia="hr-HR"/>
              </w:rPr>
            </w:pPr>
          </w:p>
        </w:tc>
        <w:tc>
          <w:tcPr>
            <w:tcW w:w="485" w:type="pct"/>
            <w:tcBorders>
              <w:top w:val="nil"/>
              <w:left w:val="nil"/>
              <w:bottom w:val="nil"/>
              <w:right w:val="nil"/>
            </w:tcBorders>
            <w:shd w:val="clear" w:color="auto" w:fill="auto"/>
            <w:vAlign w:val="center"/>
            <w:hideMark/>
          </w:tcPr>
          <w:p w14:paraId="21AB554A" w14:textId="77777777" w:rsidR="00331AF1" w:rsidRPr="00A960E2" w:rsidRDefault="00331AF1" w:rsidP="00060490">
            <w:pPr>
              <w:spacing w:after="0" w:line="240" w:lineRule="auto"/>
              <w:jc w:val="right"/>
              <w:rPr>
                <w:rFonts w:ascii="Times New Roman" w:eastAsia="Times New Roman" w:hAnsi="Times New Roman" w:cs="Times New Roman"/>
                <w:sz w:val="20"/>
                <w:szCs w:val="20"/>
                <w:lang w:eastAsia="hr-HR"/>
              </w:rPr>
            </w:pPr>
          </w:p>
        </w:tc>
        <w:tc>
          <w:tcPr>
            <w:tcW w:w="486" w:type="pct"/>
            <w:tcBorders>
              <w:top w:val="nil"/>
              <w:left w:val="nil"/>
              <w:bottom w:val="nil"/>
              <w:right w:val="nil"/>
            </w:tcBorders>
            <w:shd w:val="clear" w:color="auto" w:fill="auto"/>
            <w:vAlign w:val="center"/>
            <w:hideMark/>
          </w:tcPr>
          <w:p w14:paraId="44F3C116" w14:textId="77777777" w:rsidR="00331AF1" w:rsidRPr="00A960E2" w:rsidRDefault="00331AF1" w:rsidP="00060490">
            <w:pPr>
              <w:spacing w:after="0" w:line="240" w:lineRule="auto"/>
              <w:jc w:val="right"/>
              <w:rPr>
                <w:rFonts w:ascii="Times New Roman" w:eastAsia="Times New Roman" w:hAnsi="Times New Roman" w:cs="Times New Roman"/>
                <w:sz w:val="20"/>
                <w:szCs w:val="20"/>
                <w:lang w:eastAsia="hr-HR"/>
              </w:rPr>
            </w:pPr>
          </w:p>
        </w:tc>
        <w:tc>
          <w:tcPr>
            <w:tcW w:w="484" w:type="pct"/>
            <w:tcBorders>
              <w:top w:val="nil"/>
              <w:left w:val="nil"/>
              <w:bottom w:val="nil"/>
              <w:right w:val="nil"/>
            </w:tcBorders>
            <w:shd w:val="clear" w:color="auto" w:fill="auto"/>
            <w:noWrap/>
            <w:vAlign w:val="bottom"/>
            <w:hideMark/>
          </w:tcPr>
          <w:p w14:paraId="56435497" w14:textId="77777777" w:rsidR="00331AF1" w:rsidRPr="00A960E2" w:rsidRDefault="00331AF1" w:rsidP="00060490">
            <w:pPr>
              <w:spacing w:after="0" w:line="240" w:lineRule="auto"/>
              <w:jc w:val="right"/>
              <w:rPr>
                <w:rFonts w:ascii="Times New Roman" w:eastAsia="Times New Roman" w:hAnsi="Times New Roman" w:cs="Times New Roman"/>
                <w:sz w:val="20"/>
                <w:szCs w:val="20"/>
                <w:lang w:eastAsia="hr-HR"/>
              </w:rPr>
            </w:pPr>
          </w:p>
        </w:tc>
        <w:tc>
          <w:tcPr>
            <w:tcW w:w="486" w:type="pct"/>
            <w:tcBorders>
              <w:top w:val="nil"/>
              <w:left w:val="nil"/>
              <w:bottom w:val="nil"/>
              <w:right w:val="nil"/>
            </w:tcBorders>
            <w:shd w:val="clear" w:color="auto" w:fill="auto"/>
            <w:noWrap/>
            <w:vAlign w:val="bottom"/>
            <w:hideMark/>
          </w:tcPr>
          <w:p w14:paraId="7010F866" w14:textId="77777777" w:rsidR="00331AF1" w:rsidRPr="00A960E2" w:rsidRDefault="00331AF1" w:rsidP="00060490">
            <w:pPr>
              <w:spacing w:after="0" w:line="240" w:lineRule="auto"/>
              <w:rPr>
                <w:rFonts w:ascii="Times New Roman" w:eastAsia="Times New Roman" w:hAnsi="Times New Roman" w:cs="Times New Roman"/>
                <w:sz w:val="20"/>
                <w:szCs w:val="20"/>
                <w:lang w:eastAsia="hr-HR"/>
              </w:rPr>
            </w:pPr>
          </w:p>
        </w:tc>
        <w:tc>
          <w:tcPr>
            <w:tcW w:w="484" w:type="pct"/>
            <w:tcBorders>
              <w:top w:val="nil"/>
              <w:left w:val="nil"/>
              <w:bottom w:val="nil"/>
              <w:right w:val="nil"/>
            </w:tcBorders>
            <w:shd w:val="clear" w:color="auto" w:fill="auto"/>
            <w:noWrap/>
            <w:vAlign w:val="bottom"/>
            <w:hideMark/>
          </w:tcPr>
          <w:p w14:paraId="56164F33" w14:textId="77777777" w:rsidR="00331AF1" w:rsidRPr="00A960E2" w:rsidRDefault="00331AF1" w:rsidP="00060490">
            <w:pPr>
              <w:spacing w:after="0" w:line="240" w:lineRule="auto"/>
              <w:rPr>
                <w:rFonts w:ascii="Times New Roman" w:eastAsia="Times New Roman" w:hAnsi="Times New Roman" w:cs="Times New Roman"/>
                <w:sz w:val="20"/>
                <w:szCs w:val="20"/>
                <w:lang w:eastAsia="hr-HR"/>
              </w:rPr>
            </w:pPr>
          </w:p>
        </w:tc>
        <w:tc>
          <w:tcPr>
            <w:tcW w:w="486" w:type="pct"/>
            <w:tcBorders>
              <w:top w:val="nil"/>
              <w:left w:val="nil"/>
              <w:bottom w:val="nil"/>
              <w:right w:val="nil"/>
            </w:tcBorders>
            <w:shd w:val="clear" w:color="auto" w:fill="auto"/>
            <w:noWrap/>
            <w:vAlign w:val="bottom"/>
            <w:hideMark/>
          </w:tcPr>
          <w:p w14:paraId="30E931F8" w14:textId="77777777" w:rsidR="00331AF1" w:rsidRPr="00A960E2" w:rsidRDefault="00331AF1" w:rsidP="00060490">
            <w:pPr>
              <w:spacing w:after="0" w:line="240" w:lineRule="auto"/>
              <w:rPr>
                <w:rFonts w:ascii="Times New Roman" w:eastAsia="Times New Roman" w:hAnsi="Times New Roman" w:cs="Times New Roman"/>
                <w:sz w:val="20"/>
                <w:szCs w:val="20"/>
                <w:lang w:eastAsia="hr-HR"/>
              </w:rPr>
            </w:pPr>
          </w:p>
        </w:tc>
      </w:tr>
      <w:tr w:rsidR="00D123BF" w:rsidRPr="00A960E2" w14:paraId="76331869" w14:textId="77777777" w:rsidTr="00312975">
        <w:tblPrEx>
          <w:tblCellMar>
            <w:left w:w="108" w:type="dxa"/>
            <w:right w:w="108" w:type="dxa"/>
          </w:tblCellMar>
          <w:tblLook w:val="04A0" w:firstRow="1" w:lastRow="0" w:firstColumn="1" w:lastColumn="0" w:noHBand="0" w:noVBand="1"/>
        </w:tblPrEx>
        <w:trPr>
          <w:trHeight w:val="258"/>
        </w:trPr>
        <w:tc>
          <w:tcPr>
            <w:tcW w:w="1119" w:type="pct"/>
            <w:tcBorders>
              <w:top w:val="nil"/>
              <w:left w:val="nil"/>
              <w:bottom w:val="nil"/>
              <w:right w:val="nil"/>
            </w:tcBorders>
            <w:shd w:val="clear" w:color="auto" w:fill="auto"/>
            <w:vAlign w:val="center"/>
            <w:hideMark/>
          </w:tcPr>
          <w:p w14:paraId="03B404CF" w14:textId="77777777" w:rsidR="00D123BF" w:rsidRPr="00A960E2" w:rsidRDefault="00D123BF" w:rsidP="00D123BF">
            <w:pPr>
              <w:spacing w:after="0" w:line="240" w:lineRule="auto"/>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Troškovi osoblja</w:t>
            </w:r>
          </w:p>
        </w:tc>
        <w:tc>
          <w:tcPr>
            <w:tcW w:w="484" w:type="pct"/>
            <w:tcBorders>
              <w:top w:val="nil"/>
              <w:left w:val="nil"/>
              <w:bottom w:val="nil"/>
              <w:right w:val="nil"/>
            </w:tcBorders>
            <w:shd w:val="clear" w:color="auto" w:fill="auto"/>
            <w:vAlign w:val="bottom"/>
          </w:tcPr>
          <w:p w14:paraId="2C292422" w14:textId="7DC77D5C" w:rsidR="00D123BF" w:rsidRPr="00A960E2" w:rsidRDefault="00D123BF" w:rsidP="00D123BF">
            <w:pPr>
              <w:spacing w:after="0" w:line="240" w:lineRule="auto"/>
              <w:jc w:val="right"/>
              <w:rPr>
                <w:rFonts w:ascii="Calibri" w:eastAsia="Times New Roman" w:hAnsi="Calibri" w:cs="Times New Roman"/>
                <w:color w:val="000000"/>
                <w:sz w:val="20"/>
                <w:szCs w:val="20"/>
                <w:lang w:eastAsia="hr-HR"/>
              </w:rPr>
            </w:pPr>
            <w:r>
              <w:rPr>
                <w:rFonts w:ascii="Calibri" w:hAnsi="Calibri"/>
                <w:color w:val="000000"/>
                <w:sz w:val="20"/>
                <w:szCs w:val="20"/>
              </w:rPr>
              <w:t>22.396</w:t>
            </w:r>
          </w:p>
        </w:tc>
        <w:tc>
          <w:tcPr>
            <w:tcW w:w="486" w:type="pct"/>
            <w:tcBorders>
              <w:top w:val="nil"/>
              <w:left w:val="nil"/>
              <w:bottom w:val="nil"/>
              <w:right w:val="nil"/>
            </w:tcBorders>
            <w:shd w:val="clear" w:color="auto" w:fill="auto"/>
            <w:vAlign w:val="bottom"/>
          </w:tcPr>
          <w:p w14:paraId="415C0943" w14:textId="69212BF4" w:rsidR="00D123BF" w:rsidRPr="00A960E2" w:rsidRDefault="00D123BF" w:rsidP="00D123BF">
            <w:pPr>
              <w:spacing w:after="0" w:line="240" w:lineRule="auto"/>
              <w:jc w:val="right"/>
              <w:rPr>
                <w:rFonts w:ascii="Calibri" w:eastAsia="Times New Roman" w:hAnsi="Calibri" w:cs="Times New Roman"/>
                <w:sz w:val="20"/>
                <w:szCs w:val="20"/>
                <w:lang w:eastAsia="hr-HR"/>
              </w:rPr>
            </w:pPr>
            <w:r>
              <w:rPr>
                <w:rFonts w:ascii="Calibri" w:hAnsi="Calibri"/>
                <w:sz w:val="20"/>
                <w:szCs w:val="20"/>
              </w:rPr>
              <w:t>45.622</w:t>
            </w:r>
          </w:p>
        </w:tc>
        <w:tc>
          <w:tcPr>
            <w:tcW w:w="485" w:type="pct"/>
            <w:tcBorders>
              <w:top w:val="nil"/>
              <w:left w:val="nil"/>
              <w:bottom w:val="nil"/>
              <w:right w:val="nil"/>
            </w:tcBorders>
            <w:shd w:val="clear" w:color="auto" w:fill="auto"/>
            <w:vAlign w:val="bottom"/>
            <w:hideMark/>
          </w:tcPr>
          <w:p w14:paraId="02DC322D" w14:textId="7F439CF0" w:rsidR="00D123BF" w:rsidRPr="00A960E2" w:rsidRDefault="00D123BF" w:rsidP="00D123BF">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color w:val="000000"/>
                <w:sz w:val="20"/>
                <w:szCs w:val="20"/>
                <w:lang w:eastAsia="hr-HR"/>
              </w:rPr>
              <w:t>22.317</w:t>
            </w:r>
          </w:p>
        </w:tc>
        <w:tc>
          <w:tcPr>
            <w:tcW w:w="486" w:type="pct"/>
            <w:tcBorders>
              <w:top w:val="nil"/>
              <w:left w:val="nil"/>
              <w:bottom w:val="nil"/>
              <w:right w:val="nil"/>
            </w:tcBorders>
            <w:shd w:val="clear" w:color="auto" w:fill="auto"/>
            <w:vAlign w:val="bottom"/>
            <w:hideMark/>
          </w:tcPr>
          <w:p w14:paraId="547D8BDD" w14:textId="7C07771B" w:rsidR="00D123BF" w:rsidRPr="00A960E2" w:rsidRDefault="00D123BF" w:rsidP="00D123BF">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43.697</w:t>
            </w:r>
          </w:p>
        </w:tc>
        <w:tc>
          <w:tcPr>
            <w:tcW w:w="484" w:type="pct"/>
            <w:tcBorders>
              <w:top w:val="nil"/>
              <w:left w:val="nil"/>
              <w:bottom w:val="nil"/>
              <w:right w:val="nil"/>
            </w:tcBorders>
            <w:shd w:val="clear" w:color="auto" w:fill="auto"/>
            <w:noWrap/>
            <w:vAlign w:val="bottom"/>
          </w:tcPr>
          <w:p w14:paraId="6F6B7ADF" w14:textId="5AD6151C" w:rsidR="00D123BF" w:rsidRPr="00A960E2" w:rsidRDefault="00D123BF" w:rsidP="00D123BF">
            <w:pPr>
              <w:spacing w:after="0" w:line="240" w:lineRule="auto"/>
              <w:jc w:val="right"/>
              <w:rPr>
                <w:rFonts w:ascii="Calibri" w:eastAsia="Times New Roman" w:hAnsi="Calibri" w:cs="Times New Roman"/>
                <w:sz w:val="20"/>
                <w:szCs w:val="20"/>
                <w:lang w:eastAsia="hr-HR"/>
              </w:rPr>
            </w:pPr>
            <w:r>
              <w:rPr>
                <w:rFonts w:ascii="Calibri" w:hAnsi="Calibri"/>
                <w:sz w:val="20"/>
                <w:szCs w:val="20"/>
              </w:rPr>
              <w:t>21.460</w:t>
            </w:r>
          </w:p>
        </w:tc>
        <w:tc>
          <w:tcPr>
            <w:tcW w:w="486" w:type="pct"/>
            <w:tcBorders>
              <w:top w:val="nil"/>
              <w:left w:val="nil"/>
              <w:bottom w:val="nil"/>
              <w:right w:val="nil"/>
            </w:tcBorders>
            <w:shd w:val="clear" w:color="auto" w:fill="auto"/>
            <w:noWrap/>
            <w:vAlign w:val="bottom"/>
          </w:tcPr>
          <w:p w14:paraId="0955A8D6" w14:textId="61F4B4BA" w:rsidR="00D123BF" w:rsidRPr="00A960E2" w:rsidRDefault="00D123BF" w:rsidP="00D123BF">
            <w:pPr>
              <w:spacing w:after="0" w:line="240" w:lineRule="auto"/>
              <w:jc w:val="right"/>
              <w:rPr>
                <w:rFonts w:ascii="Calibri" w:eastAsia="Times New Roman" w:hAnsi="Calibri" w:cs="Times New Roman"/>
                <w:sz w:val="20"/>
                <w:szCs w:val="20"/>
                <w:lang w:eastAsia="hr-HR"/>
              </w:rPr>
            </w:pPr>
            <w:r>
              <w:rPr>
                <w:rFonts w:ascii="Calibri" w:hAnsi="Calibri"/>
                <w:sz w:val="20"/>
                <w:szCs w:val="20"/>
              </w:rPr>
              <w:t>43.933</w:t>
            </w:r>
          </w:p>
        </w:tc>
        <w:tc>
          <w:tcPr>
            <w:tcW w:w="484" w:type="pct"/>
            <w:tcBorders>
              <w:top w:val="nil"/>
              <w:left w:val="nil"/>
              <w:bottom w:val="nil"/>
              <w:right w:val="nil"/>
            </w:tcBorders>
            <w:shd w:val="clear" w:color="auto" w:fill="auto"/>
            <w:noWrap/>
            <w:vAlign w:val="bottom"/>
            <w:hideMark/>
          </w:tcPr>
          <w:p w14:paraId="363ADBE8" w14:textId="2616CB32" w:rsidR="00D123BF" w:rsidRPr="00A960E2" w:rsidRDefault="00D123BF" w:rsidP="00D123BF">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21.521</w:t>
            </w:r>
          </w:p>
        </w:tc>
        <w:tc>
          <w:tcPr>
            <w:tcW w:w="486" w:type="pct"/>
            <w:tcBorders>
              <w:top w:val="nil"/>
              <w:left w:val="nil"/>
              <w:bottom w:val="nil"/>
              <w:right w:val="nil"/>
            </w:tcBorders>
            <w:shd w:val="clear" w:color="auto" w:fill="auto"/>
            <w:noWrap/>
            <w:vAlign w:val="bottom"/>
            <w:hideMark/>
          </w:tcPr>
          <w:p w14:paraId="0B1315AC" w14:textId="256B0860" w:rsidR="00D123BF" w:rsidRPr="00A960E2" w:rsidRDefault="00D123BF" w:rsidP="00D123BF">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42.057</w:t>
            </w:r>
          </w:p>
        </w:tc>
      </w:tr>
      <w:tr w:rsidR="00D123BF" w:rsidRPr="00A960E2" w14:paraId="7301C39E" w14:textId="77777777" w:rsidTr="00312975">
        <w:tblPrEx>
          <w:tblCellMar>
            <w:left w:w="108" w:type="dxa"/>
            <w:right w:w="108" w:type="dxa"/>
          </w:tblCellMar>
          <w:tblLook w:val="04A0" w:firstRow="1" w:lastRow="0" w:firstColumn="1" w:lastColumn="0" w:noHBand="0" w:noVBand="1"/>
        </w:tblPrEx>
        <w:trPr>
          <w:trHeight w:val="258"/>
        </w:trPr>
        <w:tc>
          <w:tcPr>
            <w:tcW w:w="1119" w:type="pct"/>
            <w:tcBorders>
              <w:top w:val="nil"/>
              <w:left w:val="nil"/>
              <w:bottom w:val="nil"/>
              <w:right w:val="nil"/>
            </w:tcBorders>
            <w:shd w:val="clear" w:color="auto" w:fill="auto"/>
            <w:vAlign w:val="center"/>
            <w:hideMark/>
          </w:tcPr>
          <w:p w14:paraId="213C6570" w14:textId="77777777" w:rsidR="00D123BF" w:rsidRPr="00A960E2" w:rsidRDefault="00D123BF" w:rsidP="00D123BF">
            <w:pPr>
              <w:spacing w:after="0" w:line="240" w:lineRule="auto"/>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Amortizacija</w:t>
            </w:r>
          </w:p>
        </w:tc>
        <w:tc>
          <w:tcPr>
            <w:tcW w:w="484" w:type="pct"/>
            <w:tcBorders>
              <w:top w:val="nil"/>
              <w:left w:val="nil"/>
              <w:bottom w:val="nil"/>
              <w:right w:val="nil"/>
            </w:tcBorders>
            <w:shd w:val="clear" w:color="auto" w:fill="auto"/>
            <w:vAlign w:val="bottom"/>
          </w:tcPr>
          <w:p w14:paraId="250C45BE" w14:textId="38A02175" w:rsidR="00D123BF" w:rsidRPr="00A960E2" w:rsidRDefault="00D123BF" w:rsidP="00D123BF">
            <w:pPr>
              <w:spacing w:after="0" w:line="240" w:lineRule="auto"/>
              <w:jc w:val="right"/>
              <w:rPr>
                <w:rFonts w:ascii="Calibri" w:eastAsia="Times New Roman" w:hAnsi="Calibri" w:cs="Times New Roman"/>
                <w:color w:val="000000"/>
                <w:sz w:val="20"/>
                <w:szCs w:val="20"/>
                <w:lang w:eastAsia="hr-HR"/>
              </w:rPr>
            </w:pPr>
            <w:r>
              <w:rPr>
                <w:rFonts w:ascii="Calibri" w:hAnsi="Calibri"/>
                <w:color w:val="000000"/>
                <w:sz w:val="20"/>
                <w:szCs w:val="20"/>
              </w:rPr>
              <w:t>1.864</w:t>
            </w:r>
          </w:p>
        </w:tc>
        <w:tc>
          <w:tcPr>
            <w:tcW w:w="486" w:type="pct"/>
            <w:tcBorders>
              <w:top w:val="nil"/>
              <w:left w:val="nil"/>
              <w:bottom w:val="nil"/>
              <w:right w:val="nil"/>
            </w:tcBorders>
            <w:shd w:val="clear" w:color="auto" w:fill="auto"/>
            <w:vAlign w:val="bottom"/>
          </w:tcPr>
          <w:p w14:paraId="62DC4B82" w14:textId="72305BF8" w:rsidR="00D123BF" w:rsidRPr="00A960E2" w:rsidRDefault="00D123BF" w:rsidP="00D123BF">
            <w:pPr>
              <w:spacing w:after="0" w:line="240" w:lineRule="auto"/>
              <w:jc w:val="right"/>
              <w:rPr>
                <w:rFonts w:ascii="Calibri" w:eastAsia="Times New Roman" w:hAnsi="Calibri" w:cs="Times New Roman"/>
                <w:sz w:val="20"/>
                <w:szCs w:val="20"/>
                <w:lang w:eastAsia="hr-HR"/>
              </w:rPr>
            </w:pPr>
            <w:r>
              <w:rPr>
                <w:rFonts w:ascii="Calibri" w:hAnsi="Calibri"/>
                <w:sz w:val="20"/>
                <w:szCs w:val="20"/>
              </w:rPr>
              <w:t>3.956</w:t>
            </w:r>
          </w:p>
        </w:tc>
        <w:tc>
          <w:tcPr>
            <w:tcW w:w="485" w:type="pct"/>
            <w:tcBorders>
              <w:top w:val="nil"/>
              <w:left w:val="nil"/>
              <w:bottom w:val="nil"/>
              <w:right w:val="nil"/>
            </w:tcBorders>
            <w:shd w:val="clear" w:color="auto" w:fill="auto"/>
            <w:vAlign w:val="bottom"/>
            <w:hideMark/>
          </w:tcPr>
          <w:p w14:paraId="3849B0FD" w14:textId="2342CC7F" w:rsidR="00D123BF" w:rsidRPr="00A960E2" w:rsidRDefault="00D123BF" w:rsidP="00D123BF">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color w:val="000000"/>
                <w:sz w:val="20"/>
                <w:szCs w:val="20"/>
                <w:lang w:eastAsia="hr-HR"/>
              </w:rPr>
              <w:t>1.930</w:t>
            </w:r>
          </w:p>
        </w:tc>
        <w:tc>
          <w:tcPr>
            <w:tcW w:w="486" w:type="pct"/>
            <w:tcBorders>
              <w:top w:val="nil"/>
              <w:left w:val="nil"/>
              <w:bottom w:val="nil"/>
              <w:right w:val="nil"/>
            </w:tcBorders>
            <w:shd w:val="clear" w:color="auto" w:fill="auto"/>
            <w:vAlign w:val="bottom"/>
            <w:hideMark/>
          </w:tcPr>
          <w:p w14:paraId="7E17AFED" w14:textId="60028DA1" w:rsidR="00D123BF" w:rsidRPr="00A960E2" w:rsidRDefault="00D123BF" w:rsidP="00D123BF">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3.958</w:t>
            </w:r>
          </w:p>
        </w:tc>
        <w:tc>
          <w:tcPr>
            <w:tcW w:w="484" w:type="pct"/>
            <w:tcBorders>
              <w:top w:val="nil"/>
              <w:left w:val="nil"/>
              <w:bottom w:val="nil"/>
              <w:right w:val="nil"/>
            </w:tcBorders>
            <w:shd w:val="clear" w:color="auto" w:fill="auto"/>
            <w:noWrap/>
            <w:vAlign w:val="bottom"/>
          </w:tcPr>
          <w:p w14:paraId="6DC50504" w14:textId="03C63072" w:rsidR="00D123BF" w:rsidRPr="00A960E2" w:rsidRDefault="00D123BF" w:rsidP="00D123BF">
            <w:pPr>
              <w:spacing w:after="0" w:line="240" w:lineRule="auto"/>
              <w:jc w:val="right"/>
              <w:rPr>
                <w:rFonts w:ascii="Calibri" w:eastAsia="Times New Roman" w:hAnsi="Calibri" w:cs="Times New Roman"/>
                <w:sz w:val="20"/>
                <w:szCs w:val="20"/>
                <w:lang w:eastAsia="hr-HR"/>
              </w:rPr>
            </w:pPr>
            <w:r>
              <w:rPr>
                <w:rFonts w:ascii="Calibri" w:hAnsi="Calibri"/>
                <w:sz w:val="20"/>
                <w:szCs w:val="20"/>
              </w:rPr>
              <w:t>1.848</w:t>
            </w:r>
          </w:p>
        </w:tc>
        <w:tc>
          <w:tcPr>
            <w:tcW w:w="486" w:type="pct"/>
            <w:tcBorders>
              <w:top w:val="nil"/>
              <w:left w:val="nil"/>
              <w:bottom w:val="nil"/>
              <w:right w:val="nil"/>
            </w:tcBorders>
            <w:shd w:val="clear" w:color="auto" w:fill="auto"/>
            <w:noWrap/>
            <w:vAlign w:val="bottom"/>
          </w:tcPr>
          <w:p w14:paraId="3A5E5647" w14:textId="653D35F7" w:rsidR="00D123BF" w:rsidRPr="00A960E2" w:rsidRDefault="00D123BF" w:rsidP="00D123BF">
            <w:pPr>
              <w:spacing w:after="0" w:line="240" w:lineRule="auto"/>
              <w:jc w:val="right"/>
              <w:rPr>
                <w:rFonts w:ascii="Calibri" w:eastAsia="Times New Roman" w:hAnsi="Calibri" w:cs="Times New Roman"/>
                <w:sz w:val="20"/>
                <w:szCs w:val="20"/>
                <w:lang w:eastAsia="hr-HR"/>
              </w:rPr>
            </w:pPr>
            <w:r>
              <w:rPr>
                <w:rFonts w:ascii="Calibri" w:hAnsi="Calibri"/>
                <w:sz w:val="20"/>
                <w:szCs w:val="20"/>
              </w:rPr>
              <w:t>3.926</w:t>
            </w:r>
          </w:p>
        </w:tc>
        <w:tc>
          <w:tcPr>
            <w:tcW w:w="484" w:type="pct"/>
            <w:tcBorders>
              <w:top w:val="nil"/>
              <w:left w:val="nil"/>
              <w:bottom w:val="nil"/>
              <w:right w:val="nil"/>
            </w:tcBorders>
            <w:shd w:val="clear" w:color="auto" w:fill="auto"/>
            <w:noWrap/>
            <w:vAlign w:val="bottom"/>
            <w:hideMark/>
          </w:tcPr>
          <w:p w14:paraId="5020A3F4" w14:textId="5B3FC529" w:rsidR="00D123BF" w:rsidRPr="00A960E2" w:rsidRDefault="00D123BF" w:rsidP="00D123BF">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1.917</w:t>
            </w:r>
          </w:p>
        </w:tc>
        <w:tc>
          <w:tcPr>
            <w:tcW w:w="486" w:type="pct"/>
            <w:tcBorders>
              <w:top w:val="nil"/>
              <w:left w:val="nil"/>
              <w:bottom w:val="nil"/>
              <w:right w:val="nil"/>
            </w:tcBorders>
            <w:shd w:val="clear" w:color="auto" w:fill="auto"/>
            <w:noWrap/>
            <w:vAlign w:val="bottom"/>
            <w:hideMark/>
          </w:tcPr>
          <w:p w14:paraId="0F3EB065" w14:textId="7BC0DD5D" w:rsidR="00D123BF" w:rsidRPr="00A960E2" w:rsidRDefault="00D123BF" w:rsidP="00D123BF">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3.923</w:t>
            </w:r>
          </w:p>
        </w:tc>
      </w:tr>
      <w:tr w:rsidR="00D123BF" w:rsidRPr="00A960E2" w14:paraId="5F581192" w14:textId="77777777" w:rsidTr="00312975">
        <w:tblPrEx>
          <w:tblCellMar>
            <w:left w:w="108" w:type="dxa"/>
            <w:right w:w="108" w:type="dxa"/>
          </w:tblCellMar>
          <w:tblLook w:val="04A0" w:firstRow="1" w:lastRow="0" w:firstColumn="1" w:lastColumn="0" w:noHBand="0" w:noVBand="1"/>
        </w:tblPrEx>
        <w:trPr>
          <w:trHeight w:val="258"/>
        </w:trPr>
        <w:tc>
          <w:tcPr>
            <w:tcW w:w="1119" w:type="pct"/>
            <w:tcBorders>
              <w:top w:val="nil"/>
              <w:left w:val="nil"/>
              <w:bottom w:val="nil"/>
              <w:right w:val="nil"/>
            </w:tcBorders>
            <w:shd w:val="clear" w:color="auto" w:fill="auto"/>
            <w:vAlign w:val="center"/>
            <w:hideMark/>
          </w:tcPr>
          <w:p w14:paraId="25BA75B1" w14:textId="77777777" w:rsidR="00D123BF" w:rsidRPr="00A960E2" w:rsidRDefault="00D123BF" w:rsidP="00D123BF">
            <w:pPr>
              <w:spacing w:after="0" w:line="240" w:lineRule="auto"/>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 xml:space="preserve">Troškovi administracije </w:t>
            </w:r>
          </w:p>
        </w:tc>
        <w:tc>
          <w:tcPr>
            <w:tcW w:w="484" w:type="pct"/>
            <w:tcBorders>
              <w:top w:val="nil"/>
              <w:left w:val="nil"/>
              <w:bottom w:val="nil"/>
              <w:right w:val="nil"/>
            </w:tcBorders>
            <w:shd w:val="clear" w:color="auto" w:fill="auto"/>
            <w:vAlign w:val="bottom"/>
          </w:tcPr>
          <w:p w14:paraId="7D41D359" w14:textId="44452A76" w:rsidR="00D123BF" w:rsidRPr="00A960E2" w:rsidRDefault="00D123BF" w:rsidP="00D123BF">
            <w:pPr>
              <w:spacing w:after="0" w:line="240" w:lineRule="auto"/>
              <w:jc w:val="right"/>
              <w:rPr>
                <w:rFonts w:ascii="Calibri" w:eastAsia="Times New Roman" w:hAnsi="Calibri" w:cs="Times New Roman"/>
                <w:color w:val="000000"/>
                <w:sz w:val="20"/>
                <w:szCs w:val="20"/>
                <w:lang w:eastAsia="hr-HR"/>
              </w:rPr>
            </w:pPr>
            <w:r>
              <w:rPr>
                <w:rFonts w:ascii="Calibri" w:hAnsi="Calibri"/>
                <w:color w:val="000000"/>
                <w:sz w:val="20"/>
                <w:szCs w:val="20"/>
              </w:rPr>
              <w:t>3.716</w:t>
            </w:r>
          </w:p>
        </w:tc>
        <w:tc>
          <w:tcPr>
            <w:tcW w:w="486" w:type="pct"/>
            <w:tcBorders>
              <w:top w:val="nil"/>
              <w:left w:val="nil"/>
              <w:bottom w:val="nil"/>
              <w:right w:val="nil"/>
            </w:tcBorders>
            <w:shd w:val="clear" w:color="auto" w:fill="auto"/>
            <w:vAlign w:val="bottom"/>
          </w:tcPr>
          <w:p w14:paraId="61560B8B" w14:textId="2C7AC3F7" w:rsidR="00D123BF" w:rsidRPr="00A960E2" w:rsidRDefault="00D123BF" w:rsidP="00D123BF">
            <w:pPr>
              <w:spacing w:after="0" w:line="240" w:lineRule="auto"/>
              <w:jc w:val="right"/>
              <w:rPr>
                <w:rFonts w:ascii="Calibri" w:eastAsia="Times New Roman" w:hAnsi="Calibri" w:cs="Times New Roman"/>
                <w:sz w:val="20"/>
                <w:szCs w:val="20"/>
                <w:lang w:eastAsia="hr-HR"/>
              </w:rPr>
            </w:pPr>
            <w:r>
              <w:rPr>
                <w:rFonts w:ascii="Calibri" w:hAnsi="Calibri"/>
                <w:sz w:val="20"/>
                <w:szCs w:val="20"/>
              </w:rPr>
              <w:t>6.648</w:t>
            </w:r>
          </w:p>
        </w:tc>
        <w:tc>
          <w:tcPr>
            <w:tcW w:w="485" w:type="pct"/>
            <w:tcBorders>
              <w:top w:val="nil"/>
              <w:left w:val="nil"/>
              <w:bottom w:val="nil"/>
              <w:right w:val="nil"/>
            </w:tcBorders>
            <w:shd w:val="clear" w:color="auto" w:fill="auto"/>
            <w:vAlign w:val="bottom"/>
            <w:hideMark/>
          </w:tcPr>
          <w:p w14:paraId="3D05CA68" w14:textId="6B64D332" w:rsidR="00D123BF" w:rsidRPr="00A960E2" w:rsidRDefault="00D123BF" w:rsidP="00D123BF">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color w:val="000000"/>
                <w:sz w:val="20"/>
                <w:szCs w:val="20"/>
                <w:lang w:eastAsia="hr-HR"/>
              </w:rPr>
              <w:t>3.450</w:t>
            </w:r>
          </w:p>
        </w:tc>
        <w:tc>
          <w:tcPr>
            <w:tcW w:w="486" w:type="pct"/>
            <w:tcBorders>
              <w:top w:val="nil"/>
              <w:left w:val="nil"/>
              <w:bottom w:val="nil"/>
              <w:right w:val="nil"/>
            </w:tcBorders>
            <w:shd w:val="clear" w:color="auto" w:fill="auto"/>
            <w:vAlign w:val="bottom"/>
            <w:hideMark/>
          </w:tcPr>
          <w:p w14:paraId="2232DBBD" w14:textId="2746261B" w:rsidR="00D123BF" w:rsidRPr="00A960E2" w:rsidRDefault="00D123BF" w:rsidP="00D123BF">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5.890</w:t>
            </w:r>
          </w:p>
        </w:tc>
        <w:tc>
          <w:tcPr>
            <w:tcW w:w="484" w:type="pct"/>
            <w:tcBorders>
              <w:top w:val="nil"/>
              <w:left w:val="nil"/>
              <w:bottom w:val="nil"/>
              <w:right w:val="nil"/>
            </w:tcBorders>
            <w:shd w:val="clear" w:color="auto" w:fill="auto"/>
            <w:noWrap/>
            <w:vAlign w:val="bottom"/>
          </w:tcPr>
          <w:p w14:paraId="1424A0FA" w14:textId="784C398A" w:rsidR="00D123BF" w:rsidRPr="00A960E2" w:rsidRDefault="00D123BF" w:rsidP="00D123BF">
            <w:pPr>
              <w:spacing w:after="0" w:line="240" w:lineRule="auto"/>
              <w:jc w:val="right"/>
              <w:rPr>
                <w:rFonts w:ascii="Calibri" w:eastAsia="Times New Roman" w:hAnsi="Calibri" w:cs="Times New Roman"/>
                <w:sz w:val="20"/>
                <w:szCs w:val="20"/>
                <w:lang w:eastAsia="hr-HR"/>
              </w:rPr>
            </w:pPr>
            <w:r>
              <w:rPr>
                <w:rFonts w:ascii="Calibri" w:hAnsi="Calibri"/>
                <w:sz w:val="20"/>
                <w:szCs w:val="20"/>
              </w:rPr>
              <w:t>3.646</w:t>
            </w:r>
          </w:p>
        </w:tc>
        <w:tc>
          <w:tcPr>
            <w:tcW w:w="486" w:type="pct"/>
            <w:tcBorders>
              <w:top w:val="nil"/>
              <w:left w:val="nil"/>
              <w:bottom w:val="nil"/>
              <w:right w:val="nil"/>
            </w:tcBorders>
            <w:shd w:val="clear" w:color="auto" w:fill="auto"/>
            <w:noWrap/>
            <w:vAlign w:val="bottom"/>
          </w:tcPr>
          <w:p w14:paraId="5C405CF4" w14:textId="1F486A28" w:rsidR="00D123BF" w:rsidRPr="00A960E2" w:rsidRDefault="00D123BF" w:rsidP="00D123BF">
            <w:pPr>
              <w:spacing w:after="0" w:line="240" w:lineRule="auto"/>
              <w:jc w:val="right"/>
              <w:rPr>
                <w:rFonts w:ascii="Calibri" w:eastAsia="Times New Roman" w:hAnsi="Calibri" w:cs="Times New Roman"/>
                <w:sz w:val="20"/>
                <w:szCs w:val="20"/>
                <w:lang w:eastAsia="hr-HR"/>
              </w:rPr>
            </w:pPr>
            <w:r>
              <w:rPr>
                <w:rFonts w:ascii="Calibri" w:hAnsi="Calibri"/>
                <w:sz w:val="20"/>
                <w:szCs w:val="20"/>
              </w:rPr>
              <w:t>6.472</w:t>
            </w:r>
          </w:p>
        </w:tc>
        <w:tc>
          <w:tcPr>
            <w:tcW w:w="484" w:type="pct"/>
            <w:tcBorders>
              <w:top w:val="nil"/>
              <w:left w:val="nil"/>
              <w:bottom w:val="nil"/>
              <w:right w:val="nil"/>
            </w:tcBorders>
            <w:shd w:val="clear" w:color="auto" w:fill="auto"/>
            <w:noWrap/>
            <w:vAlign w:val="bottom"/>
            <w:hideMark/>
          </w:tcPr>
          <w:p w14:paraId="2C3AD715" w14:textId="64C6EB2D" w:rsidR="00D123BF" w:rsidRPr="00A960E2" w:rsidRDefault="00D123BF" w:rsidP="00D123BF">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3.392</w:t>
            </w:r>
          </w:p>
        </w:tc>
        <w:tc>
          <w:tcPr>
            <w:tcW w:w="486" w:type="pct"/>
            <w:tcBorders>
              <w:top w:val="nil"/>
              <w:left w:val="nil"/>
              <w:bottom w:val="nil"/>
              <w:right w:val="nil"/>
            </w:tcBorders>
            <w:shd w:val="clear" w:color="auto" w:fill="auto"/>
            <w:noWrap/>
            <w:vAlign w:val="bottom"/>
            <w:hideMark/>
          </w:tcPr>
          <w:p w14:paraId="6859FD52" w14:textId="2A785DB9" w:rsidR="00D123BF" w:rsidRPr="00A960E2" w:rsidRDefault="00D123BF" w:rsidP="00D123BF">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5.761</w:t>
            </w:r>
          </w:p>
        </w:tc>
      </w:tr>
      <w:tr w:rsidR="00D123BF" w:rsidRPr="00A960E2" w14:paraId="40DE8E7B" w14:textId="77777777" w:rsidTr="00312975">
        <w:tblPrEx>
          <w:tblCellMar>
            <w:left w:w="108" w:type="dxa"/>
            <w:right w:w="108" w:type="dxa"/>
          </w:tblCellMar>
          <w:tblLook w:val="04A0" w:firstRow="1" w:lastRow="0" w:firstColumn="1" w:lastColumn="0" w:noHBand="0" w:noVBand="1"/>
        </w:tblPrEx>
        <w:trPr>
          <w:trHeight w:val="258"/>
        </w:trPr>
        <w:tc>
          <w:tcPr>
            <w:tcW w:w="1119" w:type="pct"/>
            <w:tcBorders>
              <w:top w:val="nil"/>
              <w:left w:val="nil"/>
              <w:bottom w:val="nil"/>
              <w:right w:val="nil"/>
            </w:tcBorders>
            <w:shd w:val="clear" w:color="auto" w:fill="auto"/>
            <w:vAlign w:val="center"/>
            <w:hideMark/>
          </w:tcPr>
          <w:p w14:paraId="50A705A0" w14:textId="77777777" w:rsidR="00D123BF" w:rsidRPr="00A960E2" w:rsidRDefault="00D123BF" w:rsidP="00D123BF">
            <w:pPr>
              <w:spacing w:after="0" w:line="240" w:lineRule="auto"/>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Utrošeni materijal i usluge</w:t>
            </w:r>
          </w:p>
        </w:tc>
        <w:tc>
          <w:tcPr>
            <w:tcW w:w="484" w:type="pct"/>
            <w:tcBorders>
              <w:top w:val="nil"/>
              <w:left w:val="nil"/>
              <w:bottom w:val="nil"/>
              <w:right w:val="nil"/>
            </w:tcBorders>
            <w:shd w:val="clear" w:color="auto" w:fill="auto"/>
            <w:vAlign w:val="bottom"/>
          </w:tcPr>
          <w:p w14:paraId="328FA112" w14:textId="7CBC9F10" w:rsidR="00D123BF" w:rsidRPr="00A960E2" w:rsidRDefault="00D123BF" w:rsidP="00D123BF">
            <w:pPr>
              <w:spacing w:after="0" w:line="240" w:lineRule="auto"/>
              <w:jc w:val="right"/>
              <w:rPr>
                <w:rFonts w:ascii="Calibri" w:eastAsia="Times New Roman" w:hAnsi="Calibri" w:cs="Times New Roman"/>
                <w:color w:val="000000"/>
                <w:sz w:val="20"/>
                <w:szCs w:val="20"/>
                <w:lang w:eastAsia="hr-HR"/>
              </w:rPr>
            </w:pPr>
            <w:r>
              <w:rPr>
                <w:rFonts w:ascii="Calibri" w:hAnsi="Calibri"/>
                <w:color w:val="000000"/>
                <w:sz w:val="20"/>
                <w:szCs w:val="20"/>
              </w:rPr>
              <w:t>9.150</w:t>
            </w:r>
          </w:p>
        </w:tc>
        <w:tc>
          <w:tcPr>
            <w:tcW w:w="486" w:type="pct"/>
            <w:tcBorders>
              <w:top w:val="nil"/>
              <w:left w:val="nil"/>
              <w:bottom w:val="nil"/>
              <w:right w:val="nil"/>
            </w:tcBorders>
            <w:shd w:val="clear" w:color="auto" w:fill="auto"/>
            <w:vAlign w:val="bottom"/>
          </w:tcPr>
          <w:p w14:paraId="4B22F020" w14:textId="6B2F1BD3" w:rsidR="00D123BF" w:rsidRPr="00A960E2" w:rsidRDefault="00D123BF" w:rsidP="00D123BF">
            <w:pPr>
              <w:spacing w:after="0" w:line="240" w:lineRule="auto"/>
              <w:jc w:val="right"/>
              <w:rPr>
                <w:rFonts w:ascii="Calibri" w:eastAsia="Times New Roman" w:hAnsi="Calibri" w:cs="Times New Roman"/>
                <w:sz w:val="20"/>
                <w:szCs w:val="20"/>
                <w:lang w:eastAsia="hr-HR"/>
              </w:rPr>
            </w:pPr>
            <w:r>
              <w:rPr>
                <w:rFonts w:ascii="Calibri" w:hAnsi="Calibri"/>
                <w:sz w:val="20"/>
                <w:szCs w:val="20"/>
              </w:rPr>
              <w:t>15.205</w:t>
            </w:r>
          </w:p>
        </w:tc>
        <w:tc>
          <w:tcPr>
            <w:tcW w:w="485" w:type="pct"/>
            <w:tcBorders>
              <w:top w:val="nil"/>
              <w:left w:val="nil"/>
              <w:bottom w:val="nil"/>
              <w:right w:val="nil"/>
            </w:tcBorders>
            <w:shd w:val="clear" w:color="auto" w:fill="auto"/>
            <w:vAlign w:val="bottom"/>
            <w:hideMark/>
          </w:tcPr>
          <w:p w14:paraId="1662EB7F" w14:textId="6B7FE373" w:rsidR="00D123BF" w:rsidRPr="00A960E2" w:rsidRDefault="00D123BF" w:rsidP="00D123BF">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color w:val="000000"/>
                <w:sz w:val="20"/>
                <w:szCs w:val="20"/>
                <w:lang w:eastAsia="hr-HR"/>
              </w:rPr>
              <w:t>7.398</w:t>
            </w:r>
          </w:p>
        </w:tc>
        <w:tc>
          <w:tcPr>
            <w:tcW w:w="486" w:type="pct"/>
            <w:tcBorders>
              <w:top w:val="nil"/>
              <w:left w:val="nil"/>
              <w:bottom w:val="nil"/>
              <w:right w:val="nil"/>
            </w:tcBorders>
            <w:shd w:val="clear" w:color="auto" w:fill="auto"/>
            <w:vAlign w:val="bottom"/>
            <w:hideMark/>
          </w:tcPr>
          <w:p w14:paraId="6BF121E1" w14:textId="1F270D6C" w:rsidR="00D123BF" w:rsidRPr="00A960E2" w:rsidRDefault="00D123BF" w:rsidP="00D123BF">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13.246</w:t>
            </w:r>
          </w:p>
        </w:tc>
        <w:tc>
          <w:tcPr>
            <w:tcW w:w="484" w:type="pct"/>
            <w:tcBorders>
              <w:top w:val="nil"/>
              <w:left w:val="nil"/>
              <w:bottom w:val="nil"/>
              <w:right w:val="nil"/>
            </w:tcBorders>
            <w:shd w:val="clear" w:color="auto" w:fill="auto"/>
            <w:noWrap/>
            <w:vAlign w:val="bottom"/>
          </w:tcPr>
          <w:p w14:paraId="1CAD9E2A" w14:textId="381D404C" w:rsidR="00D123BF" w:rsidRPr="00A960E2" w:rsidRDefault="00D123BF" w:rsidP="00D123BF">
            <w:pPr>
              <w:spacing w:after="0" w:line="240" w:lineRule="auto"/>
              <w:jc w:val="right"/>
              <w:rPr>
                <w:rFonts w:ascii="Calibri" w:eastAsia="Times New Roman" w:hAnsi="Calibri" w:cs="Times New Roman"/>
                <w:sz w:val="20"/>
                <w:szCs w:val="20"/>
                <w:lang w:eastAsia="hr-HR"/>
              </w:rPr>
            </w:pPr>
            <w:r>
              <w:rPr>
                <w:rFonts w:ascii="Calibri" w:hAnsi="Calibri"/>
                <w:sz w:val="20"/>
                <w:szCs w:val="20"/>
              </w:rPr>
              <w:t>8.684</w:t>
            </w:r>
          </w:p>
        </w:tc>
        <w:tc>
          <w:tcPr>
            <w:tcW w:w="486" w:type="pct"/>
            <w:tcBorders>
              <w:top w:val="nil"/>
              <w:left w:val="nil"/>
              <w:bottom w:val="nil"/>
              <w:right w:val="nil"/>
            </w:tcBorders>
            <w:shd w:val="clear" w:color="auto" w:fill="auto"/>
            <w:noWrap/>
            <w:vAlign w:val="bottom"/>
          </w:tcPr>
          <w:p w14:paraId="4B997A9D" w14:textId="55386D30" w:rsidR="00D123BF" w:rsidRPr="00A960E2" w:rsidRDefault="00D123BF" w:rsidP="00D123BF">
            <w:pPr>
              <w:spacing w:after="0" w:line="240" w:lineRule="auto"/>
              <w:jc w:val="right"/>
              <w:rPr>
                <w:rFonts w:ascii="Calibri" w:eastAsia="Times New Roman" w:hAnsi="Calibri" w:cs="Times New Roman"/>
                <w:sz w:val="20"/>
                <w:szCs w:val="20"/>
                <w:lang w:eastAsia="hr-HR"/>
              </w:rPr>
            </w:pPr>
            <w:r>
              <w:rPr>
                <w:rFonts w:ascii="Calibri" w:hAnsi="Calibri"/>
                <w:sz w:val="20"/>
                <w:szCs w:val="20"/>
              </w:rPr>
              <w:t>14.251</w:t>
            </w:r>
          </w:p>
        </w:tc>
        <w:tc>
          <w:tcPr>
            <w:tcW w:w="484" w:type="pct"/>
            <w:tcBorders>
              <w:top w:val="nil"/>
              <w:left w:val="nil"/>
              <w:bottom w:val="nil"/>
              <w:right w:val="nil"/>
            </w:tcBorders>
            <w:shd w:val="clear" w:color="auto" w:fill="auto"/>
            <w:noWrap/>
            <w:vAlign w:val="bottom"/>
            <w:hideMark/>
          </w:tcPr>
          <w:p w14:paraId="5A01AC34" w14:textId="14DC8026" w:rsidR="00D123BF" w:rsidRPr="00A960E2" w:rsidRDefault="00D123BF" w:rsidP="00D123BF">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6.943</w:t>
            </w:r>
          </w:p>
        </w:tc>
        <w:tc>
          <w:tcPr>
            <w:tcW w:w="486" w:type="pct"/>
            <w:tcBorders>
              <w:top w:val="nil"/>
              <w:left w:val="nil"/>
              <w:bottom w:val="nil"/>
              <w:right w:val="nil"/>
            </w:tcBorders>
            <w:shd w:val="clear" w:color="auto" w:fill="auto"/>
            <w:noWrap/>
            <w:vAlign w:val="bottom"/>
            <w:hideMark/>
          </w:tcPr>
          <w:p w14:paraId="0D38388F" w14:textId="5972D529" w:rsidR="00D123BF" w:rsidRPr="00A960E2" w:rsidRDefault="00D123BF" w:rsidP="00D123BF">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12.430</w:t>
            </w:r>
          </w:p>
        </w:tc>
      </w:tr>
      <w:tr w:rsidR="00331AF1" w:rsidRPr="00A960E2" w14:paraId="3A2769D8" w14:textId="77777777" w:rsidTr="00312975">
        <w:tblPrEx>
          <w:tblCellMar>
            <w:left w:w="108" w:type="dxa"/>
            <w:right w:w="108" w:type="dxa"/>
          </w:tblCellMar>
          <w:tblLook w:val="04A0" w:firstRow="1" w:lastRow="0" w:firstColumn="1" w:lastColumn="0" w:noHBand="0" w:noVBand="1"/>
        </w:tblPrEx>
        <w:trPr>
          <w:trHeight w:val="258"/>
        </w:trPr>
        <w:tc>
          <w:tcPr>
            <w:tcW w:w="1119" w:type="pct"/>
            <w:tcBorders>
              <w:top w:val="nil"/>
              <w:left w:val="nil"/>
              <w:bottom w:val="nil"/>
              <w:right w:val="nil"/>
            </w:tcBorders>
            <w:shd w:val="clear" w:color="auto" w:fill="auto"/>
            <w:vAlign w:val="center"/>
            <w:hideMark/>
          </w:tcPr>
          <w:p w14:paraId="350CD7EE" w14:textId="77777777" w:rsidR="00331AF1" w:rsidRPr="00A960E2" w:rsidRDefault="00331AF1" w:rsidP="00331AF1">
            <w:pPr>
              <w:spacing w:after="0" w:line="240" w:lineRule="auto"/>
              <w:jc w:val="right"/>
              <w:rPr>
                <w:rFonts w:ascii="Calibri" w:eastAsia="Times New Roman" w:hAnsi="Calibri" w:cs="Times New Roman"/>
                <w:sz w:val="20"/>
                <w:szCs w:val="20"/>
                <w:lang w:eastAsia="hr-HR"/>
              </w:rPr>
            </w:pPr>
          </w:p>
        </w:tc>
        <w:tc>
          <w:tcPr>
            <w:tcW w:w="484" w:type="pct"/>
            <w:tcBorders>
              <w:top w:val="single" w:sz="4" w:space="0" w:color="auto"/>
              <w:left w:val="nil"/>
              <w:bottom w:val="single" w:sz="4" w:space="0" w:color="auto"/>
              <w:right w:val="nil"/>
            </w:tcBorders>
            <w:shd w:val="clear" w:color="auto" w:fill="auto"/>
            <w:vAlign w:val="center"/>
          </w:tcPr>
          <w:p w14:paraId="48C497BB" w14:textId="085CDADF" w:rsidR="00331AF1" w:rsidRPr="00A960E2" w:rsidRDefault="00D123BF" w:rsidP="00331AF1">
            <w:pPr>
              <w:spacing w:after="0" w:line="240" w:lineRule="auto"/>
              <w:jc w:val="right"/>
              <w:rPr>
                <w:rFonts w:ascii="Calibri" w:eastAsia="Times New Roman" w:hAnsi="Calibri" w:cs="Times New Roman"/>
                <w:color w:val="000000"/>
                <w:sz w:val="20"/>
                <w:szCs w:val="20"/>
                <w:lang w:eastAsia="hr-HR"/>
              </w:rPr>
            </w:pPr>
            <w:r w:rsidRPr="00D123BF">
              <w:rPr>
                <w:rFonts w:ascii="Calibri" w:eastAsia="Times New Roman" w:hAnsi="Calibri" w:cs="Times New Roman"/>
                <w:color w:val="000000"/>
                <w:sz w:val="20"/>
                <w:szCs w:val="20"/>
                <w:lang w:eastAsia="hr-HR"/>
              </w:rPr>
              <w:t>37.126</w:t>
            </w:r>
          </w:p>
        </w:tc>
        <w:tc>
          <w:tcPr>
            <w:tcW w:w="486" w:type="pct"/>
            <w:tcBorders>
              <w:top w:val="single" w:sz="4" w:space="0" w:color="auto"/>
              <w:left w:val="nil"/>
              <w:bottom w:val="single" w:sz="4" w:space="0" w:color="auto"/>
              <w:right w:val="nil"/>
            </w:tcBorders>
            <w:shd w:val="clear" w:color="auto" w:fill="auto"/>
            <w:vAlign w:val="center"/>
          </w:tcPr>
          <w:p w14:paraId="38FDCBB5" w14:textId="767B6681" w:rsidR="00331AF1" w:rsidRPr="00A960E2" w:rsidRDefault="00D123BF" w:rsidP="00331AF1">
            <w:pPr>
              <w:spacing w:after="0" w:line="240" w:lineRule="auto"/>
              <w:jc w:val="right"/>
              <w:rPr>
                <w:rFonts w:ascii="Calibri" w:eastAsia="Times New Roman" w:hAnsi="Calibri" w:cs="Times New Roman"/>
                <w:color w:val="000000"/>
                <w:sz w:val="20"/>
                <w:szCs w:val="20"/>
                <w:lang w:eastAsia="hr-HR"/>
              </w:rPr>
            </w:pPr>
            <w:r w:rsidRPr="00D123BF">
              <w:rPr>
                <w:rFonts w:ascii="Calibri" w:eastAsia="Times New Roman" w:hAnsi="Calibri" w:cs="Times New Roman"/>
                <w:color w:val="000000"/>
                <w:sz w:val="20"/>
                <w:szCs w:val="20"/>
                <w:lang w:eastAsia="hr-HR"/>
              </w:rPr>
              <w:t>71.431</w:t>
            </w:r>
          </w:p>
        </w:tc>
        <w:tc>
          <w:tcPr>
            <w:tcW w:w="485" w:type="pct"/>
            <w:tcBorders>
              <w:top w:val="single" w:sz="4" w:space="0" w:color="auto"/>
              <w:left w:val="nil"/>
              <w:bottom w:val="single" w:sz="4" w:space="0" w:color="auto"/>
              <w:right w:val="nil"/>
            </w:tcBorders>
            <w:shd w:val="clear" w:color="auto" w:fill="auto"/>
            <w:vAlign w:val="center"/>
            <w:hideMark/>
          </w:tcPr>
          <w:p w14:paraId="7B7CB25F" w14:textId="3BD90243" w:rsidR="00331AF1" w:rsidRPr="00A960E2" w:rsidRDefault="00331AF1" w:rsidP="00331AF1">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color w:val="000000"/>
                <w:sz w:val="20"/>
                <w:szCs w:val="20"/>
                <w:lang w:eastAsia="hr-HR"/>
              </w:rPr>
              <w:t>35.095</w:t>
            </w:r>
          </w:p>
        </w:tc>
        <w:tc>
          <w:tcPr>
            <w:tcW w:w="486" w:type="pct"/>
            <w:tcBorders>
              <w:top w:val="single" w:sz="4" w:space="0" w:color="auto"/>
              <w:left w:val="nil"/>
              <w:bottom w:val="single" w:sz="4" w:space="0" w:color="auto"/>
              <w:right w:val="nil"/>
            </w:tcBorders>
            <w:shd w:val="clear" w:color="auto" w:fill="auto"/>
            <w:vAlign w:val="center"/>
            <w:hideMark/>
          </w:tcPr>
          <w:p w14:paraId="79D3DB9F" w14:textId="0B696D41" w:rsidR="00331AF1" w:rsidRPr="00A960E2" w:rsidRDefault="00331AF1" w:rsidP="00331AF1">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color w:val="000000"/>
                <w:sz w:val="20"/>
                <w:szCs w:val="20"/>
                <w:lang w:eastAsia="hr-HR"/>
              </w:rPr>
              <w:t>66.791</w:t>
            </w:r>
          </w:p>
        </w:tc>
        <w:tc>
          <w:tcPr>
            <w:tcW w:w="484" w:type="pct"/>
            <w:tcBorders>
              <w:top w:val="single" w:sz="4" w:space="0" w:color="auto"/>
              <w:left w:val="nil"/>
              <w:bottom w:val="single" w:sz="4" w:space="0" w:color="auto"/>
              <w:right w:val="nil"/>
            </w:tcBorders>
            <w:shd w:val="clear" w:color="auto" w:fill="auto"/>
            <w:vAlign w:val="center"/>
          </w:tcPr>
          <w:p w14:paraId="4F9D5F5E" w14:textId="3A5F7429" w:rsidR="00331AF1" w:rsidRPr="00A960E2" w:rsidRDefault="00D123BF" w:rsidP="00331AF1">
            <w:pPr>
              <w:spacing w:after="0" w:line="240" w:lineRule="auto"/>
              <w:jc w:val="right"/>
              <w:rPr>
                <w:rFonts w:ascii="Calibri" w:eastAsia="Times New Roman" w:hAnsi="Calibri" w:cs="Times New Roman"/>
                <w:sz w:val="20"/>
                <w:szCs w:val="20"/>
                <w:lang w:eastAsia="hr-HR"/>
              </w:rPr>
            </w:pPr>
            <w:r w:rsidRPr="00D123BF">
              <w:rPr>
                <w:rFonts w:ascii="Calibri" w:eastAsia="Times New Roman" w:hAnsi="Calibri" w:cs="Times New Roman"/>
                <w:sz w:val="20"/>
                <w:szCs w:val="20"/>
                <w:lang w:eastAsia="hr-HR"/>
              </w:rPr>
              <w:t>35.638</w:t>
            </w:r>
          </w:p>
        </w:tc>
        <w:tc>
          <w:tcPr>
            <w:tcW w:w="486" w:type="pct"/>
            <w:tcBorders>
              <w:top w:val="single" w:sz="4" w:space="0" w:color="auto"/>
              <w:left w:val="nil"/>
              <w:bottom w:val="single" w:sz="4" w:space="0" w:color="auto"/>
              <w:right w:val="nil"/>
            </w:tcBorders>
            <w:shd w:val="clear" w:color="auto" w:fill="auto"/>
            <w:vAlign w:val="center"/>
          </w:tcPr>
          <w:p w14:paraId="636075AF" w14:textId="4E3C3138" w:rsidR="00331AF1" w:rsidRPr="00A960E2" w:rsidRDefault="00D123BF" w:rsidP="00331AF1">
            <w:pPr>
              <w:spacing w:after="0" w:line="240" w:lineRule="auto"/>
              <w:jc w:val="right"/>
              <w:rPr>
                <w:rFonts w:ascii="Calibri" w:eastAsia="Times New Roman" w:hAnsi="Calibri" w:cs="Times New Roman"/>
                <w:sz w:val="20"/>
                <w:szCs w:val="20"/>
                <w:lang w:eastAsia="hr-HR"/>
              </w:rPr>
            </w:pPr>
            <w:r w:rsidRPr="00D123BF">
              <w:rPr>
                <w:rFonts w:ascii="Calibri" w:eastAsia="Times New Roman" w:hAnsi="Calibri" w:cs="Times New Roman"/>
                <w:sz w:val="20"/>
                <w:szCs w:val="20"/>
                <w:lang w:eastAsia="hr-HR"/>
              </w:rPr>
              <w:t>68.582</w:t>
            </w:r>
          </w:p>
        </w:tc>
        <w:tc>
          <w:tcPr>
            <w:tcW w:w="484" w:type="pct"/>
            <w:tcBorders>
              <w:top w:val="single" w:sz="4" w:space="0" w:color="auto"/>
              <w:left w:val="nil"/>
              <w:bottom w:val="single" w:sz="4" w:space="0" w:color="auto"/>
              <w:right w:val="nil"/>
            </w:tcBorders>
            <w:shd w:val="clear" w:color="auto" w:fill="auto"/>
            <w:vAlign w:val="center"/>
            <w:hideMark/>
          </w:tcPr>
          <w:p w14:paraId="068FA0EE" w14:textId="32134B1D" w:rsidR="00331AF1" w:rsidRPr="00A960E2" w:rsidRDefault="00331AF1" w:rsidP="00331AF1">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33.773</w:t>
            </w:r>
          </w:p>
        </w:tc>
        <w:tc>
          <w:tcPr>
            <w:tcW w:w="486" w:type="pct"/>
            <w:tcBorders>
              <w:top w:val="single" w:sz="4" w:space="0" w:color="auto"/>
              <w:left w:val="nil"/>
              <w:bottom w:val="single" w:sz="4" w:space="0" w:color="auto"/>
              <w:right w:val="nil"/>
            </w:tcBorders>
            <w:shd w:val="clear" w:color="auto" w:fill="auto"/>
            <w:vAlign w:val="center"/>
            <w:hideMark/>
          </w:tcPr>
          <w:p w14:paraId="4F1D8295" w14:textId="0156EC8B" w:rsidR="00331AF1" w:rsidRPr="00A960E2" w:rsidRDefault="00331AF1" w:rsidP="00331AF1">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64.171</w:t>
            </w:r>
          </w:p>
        </w:tc>
      </w:tr>
      <w:tr w:rsidR="00331AF1" w:rsidRPr="00A960E2" w14:paraId="75C108B5" w14:textId="77777777" w:rsidTr="00312975">
        <w:tblPrEx>
          <w:tblCellMar>
            <w:left w:w="108" w:type="dxa"/>
            <w:right w:w="108" w:type="dxa"/>
          </w:tblCellMar>
          <w:tblLook w:val="04A0" w:firstRow="1" w:lastRow="0" w:firstColumn="1" w:lastColumn="0" w:noHBand="0" w:noVBand="1"/>
        </w:tblPrEx>
        <w:trPr>
          <w:trHeight w:val="258"/>
        </w:trPr>
        <w:tc>
          <w:tcPr>
            <w:tcW w:w="1119" w:type="pct"/>
            <w:tcBorders>
              <w:top w:val="nil"/>
              <w:left w:val="nil"/>
              <w:bottom w:val="nil"/>
              <w:right w:val="nil"/>
            </w:tcBorders>
            <w:shd w:val="clear" w:color="auto" w:fill="auto"/>
            <w:vAlign w:val="center"/>
            <w:hideMark/>
          </w:tcPr>
          <w:p w14:paraId="15144389" w14:textId="77777777" w:rsidR="00331AF1" w:rsidRPr="00A960E2" w:rsidRDefault="00331AF1" w:rsidP="00331AF1">
            <w:pPr>
              <w:spacing w:after="0" w:line="240" w:lineRule="auto"/>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Ostali troškovi:</w:t>
            </w:r>
          </w:p>
        </w:tc>
        <w:tc>
          <w:tcPr>
            <w:tcW w:w="484" w:type="pct"/>
            <w:tcBorders>
              <w:top w:val="nil"/>
              <w:left w:val="nil"/>
              <w:bottom w:val="nil"/>
              <w:right w:val="nil"/>
            </w:tcBorders>
            <w:shd w:val="clear" w:color="auto" w:fill="auto"/>
            <w:vAlign w:val="center"/>
          </w:tcPr>
          <w:p w14:paraId="456F9DDC" w14:textId="77777777" w:rsidR="00331AF1" w:rsidRPr="00A960E2" w:rsidRDefault="00331AF1" w:rsidP="00331AF1">
            <w:pPr>
              <w:spacing w:after="0" w:line="240" w:lineRule="auto"/>
              <w:rPr>
                <w:rFonts w:ascii="Calibri" w:eastAsia="Times New Roman" w:hAnsi="Calibri" w:cs="Times New Roman"/>
                <w:color w:val="000000"/>
                <w:sz w:val="20"/>
                <w:szCs w:val="20"/>
                <w:lang w:eastAsia="hr-HR"/>
              </w:rPr>
            </w:pPr>
          </w:p>
        </w:tc>
        <w:tc>
          <w:tcPr>
            <w:tcW w:w="486" w:type="pct"/>
            <w:tcBorders>
              <w:top w:val="nil"/>
              <w:left w:val="nil"/>
              <w:bottom w:val="nil"/>
              <w:right w:val="nil"/>
            </w:tcBorders>
            <w:shd w:val="clear" w:color="auto" w:fill="auto"/>
            <w:vAlign w:val="center"/>
          </w:tcPr>
          <w:p w14:paraId="6607D883" w14:textId="77777777" w:rsidR="00331AF1" w:rsidRPr="00A960E2" w:rsidRDefault="00331AF1" w:rsidP="00331AF1">
            <w:pPr>
              <w:spacing w:after="0" w:line="240" w:lineRule="auto"/>
              <w:jc w:val="right"/>
              <w:rPr>
                <w:rFonts w:ascii="Times New Roman" w:eastAsia="Times New Roman" w:hAnsi="Times New Roman" w:cs="Times New Roman"/>
                <w:sz w:val="20"/>
                <w:szCs w:val="20"/>
                <w:lang w:eastAsia="hr-HR"/>
              </w:rPr>
            </w:pPr>
          </w:p>
        </w:tc>
        <w:tc>
          <w:tcPr>
            <w:tcW w:w="485" w:type="pct"/>
            <w:tcBorders>
              <w:top w:val="nil"/>
              <w:left w:val="nil"/>
              <w:bottom w:val="nil"/>
              <w:right w:val="nil"/>
            </w:tcBorders>
            <w:shd w:val="clear" w:color="auto" w:fill="auto"/>
            <w:vAlign w:val="center"/>
            <w:hideMark/>
          </w:tcPr>
          <w:p w14:paraId="560A0064" w14:textId="77777777" w:rsidR="00331AF1" w:rsidRPr="00A960E2" w:rsidRDefault="00331AF1" w:rsidP="00331AF1">
            <w:pPr>
              <w:spacing w:after="0" w:line="240" w:lineRule="auto"/>
              <w:jc w:val="right"/>
              <w:rPr>
                <w:rFonts w:ascii="Times New Roman" w:eastAsia="Times New Roman" w:hAnsi="Times New Roman" w:cs="Times New Roman"/>
                <w:sz w:val="20"/>
                <w:szCs w:val="20"/>
                <w:lang w:eastAsia="hr-HR"/>
              </w:rPr>
            </w:pPr>
          </w:p>
        </w:tc>
        <w:tc>
          <w:tcPr>
            <w:tcW w:w="486" w:type="pct"/>
            <w:tcBorders>
              <w:top w:val="nil"/>
              <w:left w:val="nil"/>
              <w:bottom w:val="nil"/>
              <w:right w:val="nil"/>
            </w:tcBorders>
            <w:shd w:val="clear" w:color="auto" w:fill="auto"/>
            <w:vAlign w:val="center"/>
            <w:hideMark/>
          </w:tcPr>
          <w:p w14:paraId="58BDDE42" w14:textId="77777777" w:rsidR="00331AF1" w:rsidRPr="00A960E2" w:rsidRDefault="00331AF1" w:rsidP="00331AF1">
            <w:pPr>
              <w:spacing w:after="0" w:line="240" w:lineRule="auto"/>
              <w:jc w:val="right"/>
              <w:rPr>
                <w:rFonts w:ascii="Times New Roman" w:eastAsia="Times New Roman" w:hAnsi="Times New Roman" w:cs="Times New Roman"/>
                <w:sz w:val="20"/>
                <w:szCs w:val="20"/>
                <w:lang w:eastAsia="hr-HR"/>
              </w:rPr>
            </w:pPr>
          </w:p>
        </w:tc>
        <w:tc>
          <w:tcPr>
            <w:tcW w:w="484" w:type="pct"/>
            <w:tcBorders>
              <w:top w:val="nil"/>
              <w:left w:val="nil"/>
              <w:bottom w:val="nil"/>
              <w:right w:val="nil"/>
            </w:tcBorders>
            <w:shd w:val="clear" w:color="auto" w:fill="auto"/>
            <w:noWrap/>
            <w:vAlign w:val="bottom"/>
          </w:tcPr>
          <w:p w14:paraId="07047354" w14:textId="77777777" w:rsidR="00331AF1" w:rsidRPr="00A960E2" w:rsidRDefault="00331AF1" w:rsidP="00331AF1">
            <w:pPr>
              <w:spacing w:after="0" w:line="240" w:lineRule="auto"/>
              <w:jc w:val="right"/>
              <w:rPr>
                <w:rFonts w:ascii="Times New Roman" w:eastAsia="Times New Roman" w:hAnsi="Times New Roman" w:cs="Times New Roman"/>
                <w:sz w:val="20"/>
                <w:szCs w:val="20"/>
                <w:lang w:eastAsia="hr-HR"/>
              </w:rPr>
            </w:pPr>
          </w:p>
        </w:tc>
        <w:tc>
          <w:tcPr>
            <w:tcW w:w="486" w:type="pct"/>
            <w:tcBorders>
              <w:top w:val="nil"/>
              <w:left w:val="nil"/>
              <w:bottom w:val="nil"/>
              <w:right w:val="nil"/>
            </w:tcBorders>
            <w:shd w:val="clear" w:color="auto" w:fill="auto"/>
            <w:noWrap/>
            <w:vAlign w:val="bottom"/>
          </w:tcPr>
          <w:p w14:paraId="50C91FD4" w14:textId="77777777" w:rsidR="00331AF1" w:rsidRPr="00A960E2" w:rsidRDefault="00331AF1" w:rsidP="00331AF1">
            <w:pPr>
              <w:spacing w:after="0" w:line="240" w:lineRule="auto"/>
              <w:rPr>
                <w:rFonts w:ascii="Times New Roman" w:eastAsia="Times New Roman" w:hAnsi="Times New Roman" w:cs="Times New Roman"/>
                <w:sz w:val="20"/>
                <w:szCs w:val="20"/>
                <w:lang w:eastAsia="hr-HR"/>
              </w:rPr>
            </w:pPr>
          </w:p>
        </w:tc>
        <w:tc>
          <w:tcPr>
            <w:tcW w:w="484" w:type="pct"/>
            <w:tcBorders>
              <w:top w:val="nil"/>
              <w:left w:val="nil"/>
              <w:bottom w:val="nil"/>
              <w:right w:val="nil"/>
            </w:tcBorders>
            <w:shd w:val="clear" w:color="auto" w:fill="auto"/>
            <w:noWrap/>
            <w:vAlign w:val="bottom"/>
            <w:hideMark/>
          </w:tcPr>
          <w:p w14:paraId="4ED6D857" w14:textId="77777777" w:rsidR="00331AF1" w:rsidRPr="00A960E2" w:rsidRDefault="00331AF1" w:rsidP="00331AF1">
            <w:pPr>
              <w:spacing w:after="0" w:line="240" w:lineRule="auto"/>
              <w:rPr>
                <w:rFonts w:ascii="Times New Roman" w:eastAsia="Times New Roman" w:hAnsi="Times New Roman" w:cs="Times New Roman"/>
                <w:sz w:val="20"/>
                <w:szCs w:val="20"/>
                <w:lang w:eastAsia="hr-HR"/>
              </w:rPr>
            </w:pPr>
          </w:p>
        </w:tc>
        <w:tc>
          <w:tcPr>
            <w:tcW w:w="486" w:type="pct"/>
            <w:tcBorders>
              <w:top w:val="nil"/>
              <w:left w:val="nil"/>
              <w:bottom w:val="nil"/>
              <w:right w:val="nil"/>
            </w:tcBorders>
            <w:shd w:val="clear" w:color="auto" w:fill="auto"/>
            <w:noWrap/>
            <w:vAlign w:val="bottom"/>
            <w:hideMark/>
          </w:tcPr>
          <w:p w14:paraId="233650A8" w14:textId="77777777" w:rsidR="00331AF1" w:rsidRPr="00A960E2" w:rsidRDefault="00331AF1" w:rsidP="00331AF1">
            <w:pPr>
              <w:spacing w:after="0" w:line="240" w:lineRule="auto"/>
              <w:rPr>
                <w:rFonts w:ascii="Times New Roman" w:eastAsia="Times New Roman" w:hAnsi="Times New Roman" w:cs="Times New Roman"/>
                <w:sz w:val="20"/>
                <w:szCs w:val="20"/>
                <w:lang w:eastAsia="hr-HR"/>
              </w:rPr>
            </w:pPr>
          </w:p>
        </w:tc>
      </w:tr>
      <w:tr w:rsidR="00D123BF" w:rsidRPr="00A960E2" w14:paraId="166788F1" w14:textId="77777777" w:rsidTr="00312975">
        <w:tblPrEx>
          <w:tblCellMar>
            <w:left w:w="108" w:type="dxa"/>
            <w:right w:w="108" w:type="dxa"/>
          </w:tblCellMar>
          <w:tblLook w:val="04A0" w:firstRow="1" w:lastRow="0" w:firstColumn="1" w:lastColumn="0" w:noHBand="0" w:noVBand="1"/>
        </w:tblPrEx>
        <w:trPr>
          <w:trHeight w:val="258"/>
        </w:trPr>
        <w:tc>
          <w:tcPr>
            <w:tcW w:w="1119" w:type="pct"/>
            <w:tcBorders>
              <w:top w:val="nil"/>
              <w:left w:val="nil"/>
              <w:bottom w:val="nil"/>
              <w:right w:val="nil"/>
            </w:tcBorders>
            <w:shd w:val="clear" w:color="auto" w:fill="auto"/>
            <w:vAlign w:val="center"/>
            <w:hideMark/>
          </w:tcPr>
          <w:p w14:paraId="0977F321" w14:textId="77777777" w:rsidR="00D123BF" w:rsidRPr="00A960E2" w:rsidRDefault="00D123BF" w:rsidP="00D123BF">
            <w:pPr>
              <w:spacing w:after="0" w:line="240" w:lineRule="auto"/>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 xml:space="preserve">Porezi i doprinosi </w:t>
            </w:r>
          </w:p>
        </w:tc>
        <w:tc>
          <w:tcPr>
            <w:tcW w:w="484" w:type="pct"/>
            <w:tcBorders>
              <w:top w:val="nil"/>
              <w:left w:val="nil"/>
              <w:bottom w:val="nil"/>
              <w:right w:val="nil"/>
            </w:tcBorders>
            <w:shd w:val="clear" w:color="auto" w:fill="auto"/>
            <w:vAlign w:val="bottom"/>
          </w:tcPr>
          <w:p w14:paraId="59B6F7B4" w14:textId="44FE32A9" w:rsidR="00D123BF" w:rsidRPr="00A960E2" w:rsidRDefault="00D123BF" w:rsidP="00D123BF">
            <w:pPr>
              <w:spacing w:after="0" w:line="240" w:lineRule="auto"/>
              <w:jc w:val="right"/>
              <w:rPr>
                <w:rFonts w:ascii="Calibri" w:eastAsia="Times New Roman" w:hAnsi="Calibri" w:cs="Times New Roman"/>
                <w:color w:val="000000"/>
                <w:sz w:val="20"/>
                <w:szCs w:val="20"/>
                <w:lang w:eastAsia="hr-HR"/>
              </w:rPr>
            </w:pPr>
            <w:r>
              <w:rPr>
                <w:rFonts w:ascii="Calibri" w:hAnsi="Calibri"/>
                <w:color w:val="000000"/>
                <w:sz w:val="20"/>
                <w:szCs w:val="20"/>
              </w:rPr>
              <w:t>206</w:t>
            </w:r>
          </w:p>
        </w:tc>
        <w:tc>
          <w:tcPr>
            <w:tcW w:w="486" w:type="pct"/>
            <w:tcBorders>
              <w:top w:val="nil"/>
              <w:left w:val="nil"/>
              <w:bottom w:val="nil"/>
              <w:right w:val="nil"/>
            </w:tcBorders>
            <w:shd w:val="clear" w:color="auto" w:fill="auto"/>
            <w:vAlign w:val="bottom"/>
          </w:tcPr>
          <w:p w14:paraId="5B498F81" w14:textId="66EA4E2A" w:rsidR="00D123BF" w:rsidRPr="00A960E2" w:rsidRDefault="00D123BF" w:rsidP="00D123BF">
            <w:pPr>
              <w:spacing w:after="0" w:line="240" w:lineRule="auto"/>
              <w:jc w:val="right"/>
              <w:rPr>
                <w:rFonts w:ascii="Calibri" w:eastAsia="Times New Roman" w:hAnsi="Calibri" w:cs="Times New Roman"/>
                <w:sz w:val="20"/>
                <w:szCs w:val="20"/>
                <w:lang w:eastAsia="hr-HR"/>
              </w:rPr>
            </w:pPr>
            <w:r>
              <w:rPr>
                <w:rFonts w:ascii="Calibri" w:hAnsi="Calibri"/>
                <w:sz w:val="20"/>
                <w:szCs w:val="20"/>
              </w:rPr>
              <w:t>305</w:t>
            </w:r>
          </w:p>
        </w:tc>
        <w:tc>
          <w:tcPr>
            <w:tcW w:w="485" w:type="pct"/>
            <w:tcBorders>
              <w:top w:val="nil"/>
              <w:left w:val="nil"/>
              <w:bottom w:val="nil"/>
              <w:right w:val="nil"/>
            </w:tcBorders>
            <w:shd w:val="clear" w:color="auto" w:fill="auto"/>
            <w:vAlign w:val="bottom"/>
            <w:hideMark/>
          </w:tcPr>
          <w:p w14:paraId="30131CE8" w14:textId="67A6EA38" w:rsidR="00D123BF" w:rsidRPr="00A960E2" w:rsidRDefault="00D123BF" w:rsidP="00D123BF">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color w:val="000000"/>
                <w:sz w:val="20"/>
                <w:szCs w:val="20"/>
                <w:lang w:eastAsia="hr-HR"/>
              </w:rPr>
              <w:t>195</w:t>
            </w:r>
          </w:p>
        </w:tc>
        <w:tc>
          <w:tcPr>
            <w:tcW w:w="486" w:type="pct"/>
            <w:tcBorders>
              <w:top w:val="nil"/>
              <w:left w:val="nil"/>
              <w:bottom w:val="nil"/>
              <w:right w:val="nil"/>
            </w:tcBorders>
            <w:shd w:val="clear" w:color="auto" w:fill="auto"/>
            <w:vAlign w:val="bottom"/>
            <w:hideMark/>
          </w:tcPr>
          <w:p w14:paraId="6848D056" w14:textId="50F0C1A5" w:rsidR="00D123BF" w:rsidRPr="00A960E2" w:rsidRDefault="00D123BF" w:rsidP="00D123BF">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340</w:t>
            </w:r>
          </w:p>
        </w:tc>
        <w:tc>
          <w:tcPr>
            <w:tcW w:w="484" w:type="pct"/>
            <w:tcBorders>
              <w:top w:val="nil"/>
              <w:left w:val="nil"/>
              <w:bottom w:val="nil"/>
              <w:right w:val="nil"/>
            </w:tcBorders>
            <w:shd w:val="clear" w:color="auto" w:fill="auto"/>
            <w:noWrap/>
            <w:vAlign w:val="bottom"/>
          </w:tcPr>
          <w:p w14:paraId="4C6D6E33" w14:textId="75782937" w:rsidR="00D123BF" w:rsidRPr="00A960E2" w:rsidRDefault="00D123BF" w:rsidP="00D123BF">
            <w:pPr>
              <w:spacing w:after="0" w:line="240" w:lineRule="auto"/>
              <w:jc w:val="right"/>
              <w:rPr>
                <w:rFonts w:ascii="Calibri" w:eastAsia="Times New Roman" w:hAnsi="Calibri" w:cs="Times New Roman"/>
                <w:sz w:val="20"/>
                <w:szCs w:val="20"/>
                <w:lang w:eastAsia="hr-HR"/>
              </w:rPr>
            </w:pPr>
            <w:r>
              <w:rPr>
                <w:rFonts w:ascii="Calibri" w:hAnsi="Calibri"/>
                <w:sz w:val="20"/>
                <w:szCs w:val="20"/>
              </w:rPr>
              <w:t>205</w:t>
            </w:r>
          </w:p>
        </w:tc>
        <w:tc>
          <w:tcPr>
            <w:tcW w:w="486" w:type="pct"/>
            <w:tcBorders>
              <w:top w:val="nil"/>
              <w:left w:val="nil"/>
              <w:bottom w:val="nil"/>
              <w:right w:val="nil"/>
            </w:tcBorders>
            <w:shd w:val="clear" w:color="auto" w:fill="auto"/>
            <w:noWrap/>
            <w:vAlign w:val="bottom"/>
          </w:tcPr>
          <w:p w14:paraId="1D297724" w14:textId="1DD219E5" w:rsidR="00D123BF" w:rsidRPr="00A960E2" w:rsidRDefault="00D123BF" w:rsidP="00D123BF">
            <w:pPr>
              <w:spacing w:after="0" w:line="240" w:lineRule="auto"/>
              <w:jc w:val="right"/>
              <w:rPr>
                <w:rFonts w:ascii="Calibri" w:eastAsia="Times New Roman" w:hAnsi="Calibri" w:cs="Times New Roman"/>
                <w:sz w:val="20"/>
                <w:szCs w:val="20"/>
                <w:lang w:eastAsia="hr-HR"/>
              </w:rPr>
            </w:pPr>
            <w:r>
              <w:rPr>
                <w:rFonts w:ascii="Calibri" w:hAnsi="Calibri"/>
                <w:sz w:val="20"/>
                <w:szCs w:val="20"/>
              </w:rPr>
              <w:t>303</w:t>
            </w:r>
          </w:p>
        </w:tc>
        <w:tc>
          <w:tcPr>
            <w:tcW w:w="484" w:type="pct"/>
            <w:tcBorders>
              <w:top w:val="nil"/>
              <w:left w:val="nil"/>
              <w:bottom w:val="nil"/>
              <w:right w:val="nil"/>
            </w:tcBorders>
            <w:shd w:val="clear" w:color="auto" w:fill="auto"/>
            <w:noWrap/>
            <w:vAlign w:val="bottom"/>
            <w:hideMark/>
          </w:tcPr>
          <w:p w14:paraId="5ACC6709" w14:textId="3E94D13E" w:rsidR="00D123BF" w:rsidRPr="00A960E2" w:rsidRDefault="00D123BF" w:rsidP="00D123BF">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195</w:t>
            </w:r>
          </w:p>
        </w:tc>
        <w:tc>
          <w:tcPr>
            <w:tcW w:w="486" w:type="pct"/>
            <w:tcBorders>
              <w:top w:val="nil"/>
              <w:left w:val="nil"/>
              <w:bottom w:val="nil"/>
              <w:right w:val="nil"/>
            </w:tcBorders>
            <w:shd w:val="clear" w:color="auto" w:fill="auto"/>
            <w:noWrap/>
            <w:vAlign w:val="bottom"/>
            <w:hideMark/>
          </w:tcPr>
          <w:p w14:paraId="6E999EA1" w14:textId="2A21BFCA" w:rsidR="00D123BF" w:rsidRPr="00A960E2" w:rsidRDefault="00D123BF" w:rsidP="00D123BF">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339</w:t>
            </w:r>
          </w:p>
        </w:tc>
      </w:tr>
      <w:tr w:rsidR="00D123BF" w:rsidRPr="00A960E2" w14:paraId="0DEBC719" w14:textId="77777777" w:rsidTr="00312975">
        <w:tblPrEx>
          <w:tblCellMar>
            <w:left w:w="108" w:type="dxa"/>
            <w:right w:w="108" w:type="dxa"/>
          </w:tblCellMar>
          <w:tblLook w:val="04A0" w:firstRow="1" w:lastRow="0" w:firstColumn="1" w:lastColumn="0" w:noHBand="0" w:noVBand="1"/>
        </w:tblPrEx>
        <w:trPr>
          <w:trHeight w:val="258"/>
        </w:trPr>
        <w:tc>
          <w:tcPr>
            <w:tcW w:w="1119" w:type="pct"/>
            <w:tcBorders>
              <w:top w:val="nil"/>
              <w:left w:val="nil"/>
              <w:bottom w:val="nil"/>
              <w:right w:val="nil"/>
            </w:tcBorders>
            <w:shd w:val="clear" w:color="auto" w:fill="auto"/>
            <w:vAlign w:val="center"/>
            <w:hideMark/>
          </w:tcPr>
          <w:p w14:paraId="1CFD422C" w14:textId="77777777" w:rsidR="00D123BF" w:rsidRPr="00A960E2" w:rsidRDefault="00D123BF" w:rsidP="00D123BF">
            <w:pPr>
              <w:spacing w:after="0" w:line="240" w:lineRule="auto"/>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Ostali rashodi</w:t>
            </w:r>
          </w:p>
        </w:tc>
        <w:tc>
          <w:tcPr>
            <w:tcW w:w="484" w:type="pct"/>
            <w:tcBorders>
              <w:top w:val="nil"/>
              <w:left w:val="nil"/>
              <w:bottom w:val="nil"/>
              <w:right w:val="nil"/>
            </w:tcBorders>
            <w:shd w:val="clear" w:color="auto" w:fill="auto"/>
            <w:vAlign w:val="bottom"/>
          </w:tcPr>
          <w:p w14:paraId="3AE04370" w14:textId="45C59A1E" w:rsidR="00D123BF" w:rsidRPr="00A960E2" w:rsidRDefault="00D123BF" w:rsidP="00D123BF">
            <w:pPr>
              <w:spacing w:after="0" w:line="240" w:lineRule="auto"/>
              <w:jc w:val="right"/>
              <w:rPr>
                <w:rFonts w:ascii="Calibri" w:eastAsia="Times New Roman" w:hAnsi="Calibri" w:cs="Times New Roman"/>
                <w:color w:val="000000"/>
                <w:sz w:val="20"/>
                <w:szCs w:val="20"/>
                <w:lang w:eastAsia="hr-HR"/>
              </w:rPr>
            </w:pPr>
            <w:r>
              <w:rPr>
                <w:rFonts w:ascii="Calibri" w:hAnsi="Calibri"/>
                <w:color w:val="000000"/>
                <w:sz w:val="20"/>
                <w:szCs w:val="20"/>
              </w:rPr>
              <w:t>3.549</w:t>
            </w:r>
          </w:p>
        </w:tc>
        <w:tc>
          <w:tcPr>
            <w:tcW w:w="486" w:type="pct"/>
            <w:tcBorders>
              <w:top w:val="nil"/>
              <w:left w:val="nil"/>
              <w:bottom w:val="nil"/>
              <w:right w:val="nil"/>
            </w:tcBorders>
            <w:shd w:val="clear" w:color="auto" w:fill="auto"/>
            <w:vAlign w:val="bottom"/>
          </w:tcPr>
          <w:p w14:paraId="4887F508" w14:textId="48B64A36" w:rsidR="00D123BF" w:rsidRPr="00A960E2" w:rsidRDefault="00D123BF" w:rsidP="00D123BF">
            <w:pPr>
              <w:spacing w:after="0" w:line="240" w:lineRule="auto"/>
              <w:jc w:val="right"/>
              <w:rPr>
                <w:rFonts w:ascii="Calibri" w:eastAsia="Times New Roman" w:hAnsi="Calibri" w:cs="Times New Roman"/>
                <w:sz w:val="20"/>
                <w:szCs w:val="20"/>
                <w:lang w:eastAsia="hr-HR"/>
              </w:rPr>
            </w:pPr>
            <w:r>
              <w:rPr>
                <w:rFonts w:ascii="Calibri" w:hAnsi="Calibri"/>
                <w:sz w:val="20"/>
                <w:szCs w:val="20"/>
              </w:rPr>
              <w:t>6.293</w:t>
            </w:r>
          </w:p>
        </w:tc>
        <w:tc>
          <w:tcPr>
            <w:tcW w:w="485" w:type="pct"/>
            <w:tcBorders>
              <w:top w:val="nil"/>
              <w:left w:val="nil"/>
              <w:bottom w:val="nil"/>
              <w:right w:val="nil"/>
            </w:tcBorders>
            <w:shd w:val="clear" w:color="auto" w:fill="auto"/>
            <w:vAlign w:val="bottom"/>
            <w:hideMark/>
          </w:tcPr>
          <w:p w14:paraId="22D0097A" w14:textId="558F612E" w:rsidR="00D123BF" w:rsidRPr="00A960E2" w:rsidRDefault="00D123BF" w:rsidP="00D123BF">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color w:val="000000"/>
                <w:sz w:val="20"/>
                <w:szCs w:val="20"/>
                <w:lang w:eastAsia="hr-HR"/>
              </w:rPr>
              <w:t>4.806</w:t>
            </w:r>
          </w:p>
        </w:tc>
        <w:tc>
          <w:tcPr>
            <w:tcW w:w="486" w:type="pct"/>
            <w:tcBorders>
              <w:top w:val="nil"/>
              <w:left w:val="nil"/>
              <w:bottom w:val="nil"/>
              <w:right w:val="nil"/>
            </w:tcBorders>
            <w:shd w:val="clear" w:color="auto" w:fill="auto"/>
            <w:vAlign w:val="bottom"/>
            <w:hideMark/>
          </w:tcPr>
          <w:p w14:paraId="2208516F" w14:textId="4A9D54C2" w:rsidR="00D123BF" w:rsidRPr="00A960E2" w:rsidRDefault="00D123BF" w:rsidP="00D123BF">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14.768</w:t>
            </w:r>
          </w:p>
        </w:tc>
        <w:tc>
          <w:tcPr>
            <w:tcW w:w="484" w:type="pct"/>
            <w:tcBorders>
              <w:top w:val="nil"/>
              <w:left w:val="nil"/>
              <w:bottom w:val="nil"/>
              <w:right w:val="nil"/>
            </w:tcBorders>
            <w:shd w:val="clear" w:color="auto" w:fill="auto"/>
            <w:noWrap/>
            <w:vAlign w:val="bottom"/>
          </w:tcPr>
          <w:p w14:paraId="3428C712" w14:textId="203823DC" w:rsidR="00D123BF" w:rsidRPr="00A960E2" w:rsidRDefault="00D123BF" w:rsidP="00D123BF">
            <w:pPr>
              <w:spacing w:after="0" w:line="240" w:lineRule="auto"/>
              <w:jc w:val="right"/>
              <w:rPr>
                <w:rFonts w:ascii="Calibri" w:eastAsia="Times New Roman" w:hAnsi="Calibri" w:cs="Times New Roman"/>
                <w:sz w:val="20"/>
                <w:szCs w:val="20"/>
                <w:lang w:eastAsia="hr-HR"/>
              </w:rPr>
            </w:pPr>
            <w:r>
              <w:rPr>
                <w:rFonts w:ascii="Calibri" w:hAnsi="Calibri"/>
                <w:sz w:val="20"/>
                <w:szCs w:val="20"/>
              </w:rPr>
              <w:t>2.799</w:t>
            </w:r>
          </w:p>
        </w:tc>
        <w:tc>
          <w:tcPr>
            <w:tcW w:w="486" w:type="pct"/>
            <w:tcBorders>
              <w:top w:val="nil"/>
              <w:left w:val="nil"/>
              <w:bottom w:val="nil"/>
              <w:right w:val="nil"/>
            </w:tcBorders>
            <w:shd w:val="clear" w:color="auto" w:fill="auto"/>
            <w:noWrap/>
            <w:vAlign w:val="bottom"/>
          </w:tcPr>
          <w:p w14:paraId="1B69DCC7" w14:textId="24C47535" w:rsidR="00D123BF" w:rsidRPr="00A960E2" w:rsidRDefault="00D123BF" w:rsidP="00D123BF">
            <w:pPr>
              <w:spacing w:after="0" w:line="240" w:lineRule="auto"/>
              <w:jc w:val="right"/>
              <w:rPr>
                <w:rFonts w:ascii="Calibri" w:eastAsia="Times New Roman" w:hAnsi="Calibri" w:cs="Times New Roman"/>
                <w:sz w:val="20"/>
                <w:szCs w:val="20"/>
                <w:lang w:eastAsia="hr-HR"/>
              </w:rPr>
            </w:pPr>
            <w:r>
              <w:rPr>
                <w:rFonts w:ascii="Calibri" w:hAnsi="Calibri"/>
                <w:sz w:val="20"/>
                <w:szCs w:val="20"/>
              </w:rPr>
              <w:t>5.247</w:t>
            </w:r>
          </w:p>
        </w:tc>
        <w:tc>
          <w:tcPr>
            <w:tcW w:w="484" w:type="pct"/>
            <w:tcBorders>
              <w:top w:val="nil"/>
              <w:left w:val="nil"/>
              <w:bottom w:val="nil"/>
              <w:right w:val="nil"/>
            </w:tcBorders>
            <w:shd w:val="clear" w:color="auto" w:fill="auto"/>
            <w:noWrap/>
            <w:vAlign w:val="bottom"/>
            <w:hideMark/>
          </w:tcPr>
          <w:p w14:paraId="47476C99" w14:textId="5C4F3F3F" w:rsidR="00D123BF" w:rsidRPr="00A960E2" w:rsidRDefault="00D123BF" w:rsidP="00D123BF">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3.539</w:t>
            </w:r>
          </w:p>
        </w:tc>
        <w:tc>
          <w:tcPr>
            <w:tcW w:w="486" w:type="pct"/>
            <w:tcBorders>
              <w:top w:val="nil"/>
              <w:left w:val="nil"/>
              <w:bottom w:val="nil"/>
              <w:right w:val="nil"/>
            </w:tcBorders>
            <w:shd w:val="clear" w:color="auto" w:fill="auto"/>
            <w:noWrap/>
            <w:vAlign w:val="bottom"/>
            <w:hideMark/>
          </w:tcPr>
          <w:p w14:paraId="1A1E0D2A" w14:textId="3D9D0E62" w:rsidR="00D123BF" w:rsidRPr="00A960E2" w:rsidRDefault="00D123BF" w:rsidP="00D123BF">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12.540</w:t>
            </w:r>
          </w:p>
        </w:tc>
      </w:tr>
      <w:tr w:rsidR="00331AF1" w:rsidRPr="00A960E2" w14:paraId="3810019C" w14:textId="77777777" w:rsidTr="00312975">
        <w:tblPrEx>
          <w:tblCellMar>
            <w:left w:w="108" w:type="dxa"/>
            <w:right w:w="108" w:type="dxa"/>
          </w:tblCellMar>
          <w:tblLook w:val="04A0" w:firstRow="1" w:lastRow="0" w:firstColumn="1" w:lastColumn="0" w:noHBand="0" w:noVBand="1"/>
        </w:tblPrEx>
        <w:trPr>
          <w:trHeight w:val="273"/>
        </w:trPr>
        <w:tc>
          <w:tcPr>
            <w:tcW w:w="1119" w:type="pct"/>
            <w:tcBorders>
              <w:top w:val="nil"/>
              <w:left w:val="nil"/>
              <w:bottom w:val="nil"/>
              <w:right w:val="nil"/>
            </w:tcBorders>
            <w:shd w:val="clear" w:color="auto" w:fill="auto"/>
            <w:vAlign w:val="center"/>
            <w:hideMark/>
          </w:tcPr>
          <w:p w14:paraId="2941BE75" w14:textId="77777777" w:rsidR="00331AF1" w:rsidRPr="00A960E2" w:rsidRDefault="00331AF1" w:rsidP="00331AF1">
            <w:pPr>
              <w:spacing w:after="0" w:line="240" w:lineRule="auto"/>
              <w:jc w:val="right"/>
              <w:rPr>
                <w:rFonts w:ascii="Calibri" w:eastAsia="Times New Roman" w:hAnsi="Calibri" w:cs="Times New Roman"/>
                <w:sz w:val="20"/>
                <w:szCs w:val="20"/>
                <w:lang w:eastAsia="hr-HR"/>
              </w:rPr>
            </w:pPr>
          </w:p>
        </w:tc>
        <w:tc>
          <w:tcPr>
            <w:tcW w:w="484" w:type="pct"/>
            <w:tcBorders>
              <w:top w:val="single" w:sz="4" w:space="0" w:color="auto"/>
              <w:left w:val="nil"/>
              <w:bottom w:val="single" w:sz="8" w:space="0" w:color="auto"/>
              <w:right w:val="nil"/>
            </w:tcBorders>
            <w:shd w:val="clear" w:color="auto" w:fill="auto"/>
            <w:vAlign w:val="center"/>
          </w:tcPr>
          <w:p w14:paraId="5A346711" w14:textId="1FD13445" w:rsidR="00331AF1" w:rsidRPr="00A960E2" w:rsidRDefault="00D123BF" w:rsidP="00331AF1">
            <w:pPr>
              <w:spacing w:after="0" w:line="240" w:lineRule="auto"/>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3.755</w:t>
            </w:r>
          </w:p>
        </w:tc>
        <w:tc>
          <w:tcPr>
            <w:tcW w:w="486" w:type="pct"/>
            <w:tcBorders>
              <w:top w:val="single" w:sz="4" w:space="0" w:color="auto"/>
              <w:left w:val="nil"/>
              <w:bottom w:val="single" w:sz="8" w:space="0" w:color="auto"/>
              <w:right w:val="nil"/>
            </w:tcBorders>
            <w:shd w:val="clear" w:color="auto" w:fill="auto"/>
            <w:vAlign w:val="center"/>
          </w:tcPr>
          <w:p w14:paraId="2762EBD7" w14:textId="18C77A7D" w:rsidR="00331AF1" w:rsidRPr="00A960E2" w:rsidRDefault="00D123BF" w:rsidP="00331AF1">
            <w:pPr>
              <w:spacing w:after="0" w:line="240" w:lineRule="auto"/>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6.598</w:t>
            </w:r>
          </w:p>
        </w:tc>
        <w:tc>
          <w:tcPr>
            <w:tcW w:w="485" w:type="pct"/>
            <w:tcBorders>
              <w:top w:val="single" w:sz="4" w:space="0" w:color="auto"/>
              <w:left w:val="nil"/>
              <w:bottom w:val="single" w:sz="8" w:space="0" w:color="auto"/>
              <w:right w:val="nil"/>
            </w:tcBorders>
            <w:shd w:val="clear" w:color="auto" w:fill="auto"/>
            <w:vAlign w:val="center"/>
            <w:hideMark/>
          </w:tcPr>
          <w:p w14:paraId="18FE69D4" w14:textId="1DC683FE" w:rsidR="00331AF1" w:rsidRPr="00A960E2" w:rsidRDefault="00331AF1" w:rsidP="00331AF1">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color w:val="000000"/>
                <w:sz w:val="20"/>
                <w:szCs w:val="20"/>
                <w:lang w:eastAsia="hr-HR"/>
              </w:rPr>
              <w:t>5.001</w:t>
            </w:r>
          </w:p>
        </w:tc>
        <w:tc>
          <w:tcPr>
            <w:tcW w:w="486" w:type="pct"/>
            <w:tcBorders>
              <w:top w:val="single" w:sz="4" w:space="0" w:color="auto"/>
              <w:left w:val="nil"/>
              <w:bottom w:val="single" w:sz="8" w:space="0" w:color="auto"/>
              <w:right w:val="nil"/>
            </w:tcBorders>
            <w:shd w:val="clear" w:color="auto" w:fill="auto"/>
            <w:vAlign w:val="center"/>
            <w:hideMark/>
          </w:tcPr>
          <w:p w14:paraId="732EB1DE" w14:textId="34EEE917" w:rsidR="00331AF1" w:rsidRPr="00A960E2" w:rsidRDefault="00331AF1" w:rsidP="00331AF1">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color w:val="000000"/>
                <w:sz w:val="20"/>
                <w:szCs w:val="20"/>
                <w:lang w:eastAsia="hr-HR"/>
              </w:rPr>
              <w:t>15.108</w:t>
            </w:r>
          </w:p>
        </w:tc>
        <w:tc>
          <w:tcPr>
            <w:tcW w:w="484" w:type="pct"/>
            <w:tcBorders>
              <w:top w:val="single" w:sz="4" w:space="0" w:color="auto"/>
              <w:left w:val="nil"/>
              <w:bottom w:val="single" w:sz="8" w:space="0" w:color="auto"/>
              <w:right w:val="nil"/>
            </w:tcBorders>
            <w:shd w:val="clear" w:color="auto" w:fill="auto"/>
            <w:vAlign w:val="center"/>
          </w:tcPr>
          <w:p w14:paraId="616A9944" w14:textId="63058EF3" w:rsidR="00331AF1" w:rsidRPr="00A960E2" w:rsidRDefault="00D123BF" w:rsidP="00331AF1">
            <w:pPr>
              <w:spacing w:after="0" w:line="240" w:lineRule="auto"/>
              <w:jc w:val="right"/>
              <w:rPr>
                <w:rFonts w:ascii="Calibri" w:eastAsia="Times New Roman" w:hAnsi="Calibri" w:cs="Times New Roman"/>
                <w:sz w:val="20"/>
                <w:szCs w:val="20"/>
                <w:lang w:eastAsia="hr-HR"/>
              </w:rPr>
            </w:pPr>
            <w:r>
              <w:rPr>
                <w:rFonts w:ascii="Calibri" w:eastAsia="Times New Roman" w:hAnsi="Calibri" w:cs="Times New Roman"/>
                <w:sz w:val="20"/>
                <w:szCs w:val="20"/>
                <w:lang w:eastAsia="hr-HR"/>
              </w:rPr>
              <w:t>3.004</w:t>
            </w:r>
          </w:p>
        </w:tc>
        <w:tc>
          <w:tcPr>
            <w:tcW w:w="486" w:type="pct"/>
            <w:tcBorders>
              <w:top w:val="single" w:sz="4" w:space="0" w:color="auto"/>
              <w:left w:val="nil"/>
              <w:bottom w:val="single" w:sz="8" w:space="0" w:color="auto"/>
              <w:right w:val="nil"/>
            </w:tcBorders>
            <w:shd w:val="clear" w:color="auto" w:fill="auto"/>
            <w:vAlign w:val="center"/>
          </w:tcPr>
          <w:p w14:paraId="5186BD37" w14:textId="6749EAF9" w:rsidR="00331AF1" w:rsidRPr="00A960E2" w:rsidRDefault="00D123BF" w:rsidP="00331AF1">
            <w:pPr>
              <w:spacing w:after="0" w:line="240" w:lineRule="auto"/>
              <w:jc w:val="right"/>
              <w:rPr>
                <w:rFonts w:ascii="Calibri" w:eastAsia="Times New Roman" w:hAnsi="Calibri" w:cs="Times New Roman"/>
                <w:sz w:val="20"/>
                <w:szCs w:val="20"/>
                <w:lang w:eastAsia="hr-HR"/>
              </w:rPr>
            </w:pPr>
            <w:r>
              <w:rPr>
                <w:rFonts w:ascii="Calibri" w:eastAsia="Times New Roman" w:hAnsi="Calibri" w:cs="Times New Roman"/>
                <w:sz w:val="20"/>
                <w:szCs w:val="20"/>
                <w:lang w:eastAsia="hr-HR"/>
              </w:rPr>
              <w:t>5.550</w:t>
            </w:r>
          </w:p>
        </w:tc>
        <w:tc>
          <w:tcPr>
            <w:tcW w:w="484" w:type="pct"/>
            <w:tcBorders>
              <w:top w:val="single" w:sz="4" w:space="0" w:color="auto"/>
              <w:left w:val="nil"/>
              <w:bottom w:val="single" w:sz="8" w:space="0" w:color="auto"/>
              <w:right w:val="nil"/>
            </w:tcBorders>
            <w:shd w:val="clear" w:color="auto" w:fill="auto"/>
            <w:vAlign w:val="center"/>
            <w:hideMark/>
          </w:tcPr>
          <w:p w14:paraId="3915B5F5" w14:textId="4CCD69BE" w:rsidR="00331AF1" w:rsidRPr="00A960E2" w:rsidRDefault="00331AF1" w:rsidP="00331AF1">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3.734</w:t>
            </w:r>
          </w:p>
        </w:tc>
        <w:tc>
          <w:tcPr>
            <w:tcW w:w="486" w:type="pct"/>
            <w:tcBorders>
              <w:top w:val="single" w:sz="4" w:space="0" w:color="auto"/>
              <w:left w:val="nil"/>
              <w:bottom w:val="single" w:sz="8" w:space="0" w:color="auto"/>
              <w:right w:val="nil"/>
            </w:tcBorders>
            <w:shd w:val="clear" w:color="auto" w:fill="auto"/>
            <w:vAlign w:val="center"/>
            <w:hideMark/>
          </w:tcPr>
          <w:p w14:paraId="10F23CB7" w14:textId="69708531" w:rsidR="00331AF1" w:rsidRPr="00A960E2" w:rsidRDefault="00331AF1" w:rsidP="00331AF1">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12.879</w:t>
            </w:r>
          </w:p>
        </w:tc>
      </w:tr>
      <w:tr w:rsidR="00331AF1" w:rsidRPr="00A960E2" w14:paraId="70A8DC40" w14:textId="77777777" w:rsidTr="00312975">
        <w:tblPrEx>
          <w:tblCellMar>
            <w:left w:w="108" w:type="dxa"/>
            <w:right w:w="108" w:type="dxa"/>
          </w:tblCellMar>
          <w:tblLook w:val="04A0" w:firstRow="1" w:lastRow="0" w:firstColumn="1" w:lastColumn="0" w:noHBand="0" w:noVBand="1"/>
        </w:tblPrEx>
        <w:trPr>
          <w:trHeight w:val="273"/>
        </w:trPr>
        <w:tc>
          <w:tcPr>
            <w:tcW w:w="1119" w:type="pct"/>
            <w:tcBorders>
              <w:top w:val="nil"/>
              <w:left w:val="nil"/>
              <w:bottom w:val="nil"/>
              <w:right w:val="nil"/>
            </w:tcBorders>
            <w:shd w:val="clear" w:color="auto" w:fill="auto"/>
            <w:vAlign w:val="center"/>
            <w:hideMark/>
          </w:tcPr>
          <w:p w14:paraId="591AA24D" w14:textId="77777777" w:rsidR="00331AF1" w:rsidRPr="00A960E2" w:rsidRDefault="00331AF1" w:rsidP="00331AF1">
            <w:pPr>
              <w:spacing w:after="0" w:line="240" w:lineRule="auto"/>
              <w:jc w:val="right"/>
              <w:rPr>
                <w:rFonts w:ascii="Calibri" w:eastAsia="Times New Roman" w:hAnsi="Calibri" w:cs="Times New Roman"/>
                <w:sz w:val="20"/>
                <w:szCs w:val="20"/>
                <w:lang w:eastAsia="hr-HR"/>
              </w:rPr>
            </w:pPr>
          </w:p>
        </w:tc>
        <w:tc>
          <w:tcPr>
            <w:tcW w:w="484" w:type="pct"/>
            <w:tcBorders>
              <w:top w:val="nil"/>
              <w:left w:val="nil"/>
              <w:bottom w:val="single" w:sz="8" w:space="0" w:color="auto"/>
              <w:right w:val="nil"/>
            </w:tcBorders>
            <w:shd w:val="clear" w:color="auto" w:fill="auto"/>
            <w:vAlign w:val="center"/>
          </w:tcPr>
          <w:p w14:paraId="6DD13BA3" w14:textId="37CEEF84" w:rsidR="00331AF1" w:rsidRPr="00A960E2" w:rsidRDefault="00D123BF" w:rsidP="00331AF1">
            <w:pPr>
              <w:spacing w:after="0" w:line="240" w:lineRule="auto"/>
              <w:jc w:val="right"/>
              <w:rPr>
                <w:rFonts w:ascii="Calibri" w:eastAsia="Times New Roman" w:hAnsi="Calibri" w:cs="Times New Roman"/>
                <w:b/>
                <w:bCs/>
                <w:color w:val="000000"/>
                <w:sz w:val="20"/>
                <w:szCs w:val="20"/>
                <w:lang w:eastAsia="hr-HR"/>
              </w:rPr>
            </w:pPr>
            <w:r>
              <w:rPr>
                <w:rFonts w:ascii="Calibri" w:eastAsia="Times New Roman" w:hAnsi="Calibri" w:cs="Times New Roman"/>
                <w:b/>
                <w:bCs/>
                <w:color w:val="000000"/>
                <w:sz w:val="20"/>
                <w:szCs w:val="20"/>
                <w:lang w:eastAsia="hr-HR"/>
              </w:rPr>
              <w:t>40.881</w:t>
            </w:r>
          </w:p>
        </w:tc>
        <w:tc>
          <w:tcPr>
            <w:tcW w:w="486" w:type="pct"/>
            <w:tcBorders>
              <w:top w:val="nil"/>
              <w:left w:val="nil"/>
              <w:bottom w:val="single" w:sz="8" w:space="0" w:color="auto"/>
              <w:right w:val="nil"/>
            </w:tcBorders>
            <w:shd w:val="clear" w:color="auto" w:fill="auto"/>
            <w:vAlign w:val="center"/>
          </w:tcPr>
          <w:p w14:paraId="0EE9C9FD" w14:textId="37B2D797" w:rsidR="00331AF1" w:rsidRPr="00A960E2" w:rsidRDefault="00D123BF" w:rsidP="00331AF1">
            <w:pPr>
              <w:spacing w:after="0" w:line="240" w:lineRule="auto"/>
              <w:jc w:val="right"/>
              <w:rPr>
                <w:rFonts w:ascii="Calibri" w:eastAsia="Times New Roman" w:hAnsi="Calibri" w:cs="Times New Roman"/>
                <w:b/>
                <w:bCs/>
                <w:color w:val="000000"/>
                <w:sz w:val="20"/>
                <w:szCs w:val="20"/>
                <w:lang w:eastAsia="hr-HR"/>
              </w:rPr>
            </w:pPr>
            <w:r>
              <w:rPr>
                <w:rFonts w:ascii="Calibri" w:eastAsia="Times New Roman" w:hAnsi="Calibri" w:cs="Times New Roman"/>
                <w:b/>
                <w:bCs/>
                <w:color w:val="000000"/>
                <w:sz w:val="20"/>
                <w:szCs w:val="20"/>
                <w:lang w:eastAsia="hr-HR"/>
              </w:rPr>
              <w:t>78.029</w:t>
            </w:r>
          </w:p>
        </w:tc>
        <w:tc>
          <w:tcPr>
            <w:tcW w:w="485" w:type="pct"/>
            <w:tcBorders>
              <w:top w:val="nil"/>
              <w:left w:val="nil"/>
              <w:bottom w:val="single" w:sz="8" w:space="0" w:color="auto"/>
              <w:right w:val="nil"/>
            </w:tcBorders>
            <w:shd w:val="clear" w:color="auto" w:fill="auto"/>
            <w:vAlign w:val="center"/>
            <w:hideMark/>
          </w:tcPr>
          <w:p w14:paraId="39F6A66F" w14:textId="24A5540B" w:rsidR="00331AF1" w:rsidRPr="00A960E2" w:rsidRDefault="00331AF1" w:rsidP="00331AF1">
            <w:pPr>
              <w:spacing w:after="0" w:line="240" w:lineRule="auto"/>
              <w:jc w:val="right"/>
              <w:rPr>
                <w:rFonts w:ascii="Calibri" w:eastAsia="Times New Roman" w:hAnsi="Calibri" w:cs="Times New Roman"/>
                <w:b/>
                <w:bCs/>
                <w:sz w:val="20"/>
                <w:szCs w:val="20"/>
                <w:lang w:eastAsia="hr-HR"/>
              </w:rPr>
            </w:pPr>
            <w:r w:rsidRPr="00A960E2">
              <w:rPr>
                <w:rFonts w:ascii="Calibri" w:eastAsia="Times New Roman" w:hAnsi="Calibri" w:cs="Times New Roman"/>
                <w:b/>
                <w:bCs/>
                <w:color w:val="000000"/>
                <w:sz w:val="20"/>
                <w:szCs w:val="20"/>
                <w:lang w:eastAsia="hr-HR"/>
              </w:rPr>
              <w:t>40.096</w:t>
            </w:r>
          </w:p>
        </w:tc>
        <w:tc>
          <w:tcPr>
            <w:tcW w:w="486" w:type="pct"/>
            <w:tcBorders>
              <w:top w:val="nil"/>
              <w:left w:val="nil"/>
              <w:bottom w:val="single" w:sz="8" w:space="0" w:color="auto"/>
              <w:right w:val="nil"/>
            </w:tcBorders>
            <w:shd w:val="clear" w:color="auto" w:fill="auto"/>
            <w:vAlign w:val="center"/>
            <w:hideMark/>
          </w:tcPr>
          <w:p w14:paraId="465BBAA7" w14:textId="154C4F5E" w:rsidR="00331AF1" w:rsidRPr="00A960E2" w:rsidRDefault="00331AF1" w:rsidP="00331AF1">
            <w:pPr>
              <w:spacing w:after="0" w:line="240" w:lineRule="auto"/>
              <w:jc w:val="right"/>
              <w:rPr>
                <w:rFonts w:ascii="Calibri" w:eastAsia="Times New Roman" w:hAnsi="Calibri" w:cs="Times New Roman"/>
                <w:b/>
                <w:bCs/>
                <w:sz w:val="20"/>
                <w:szCs w:val="20"/>
                <w:lang w:eastAsia="hr-HR"/>
              </w:rPr>
            </w:pPr>
            <w:r w:rsidRPr="00A960E2">
              <w:rPr>
                <w:rFonts w:ascii="Calibri" w:eastAsia="Times New Roman" w:hAnsi="Calibri" w:cs="Times New Roman"/>
                <w:b/>
                <w:bCs/>
                <w:color w:val="000000"/>
                <w:sz w:val="20"/>
                <w:szCs w:val="20"/>
                <w:lang w:eastAsia="hr-HR"/>
              </w:rPr>
              <w:t>81.899</w:t>
            </w:r>
          </w:p>
        </w:tc>
        <w:tc>
          <w:tcPr>
            <w:tcW w:w="484" w:type="pct"/>
            <w:tcBorders>
              <w:top w:val="nil"/>
              <w:left w:val="nil"/>
              <w:bottom w:val="single" w:sz="8" w:space="0" w:color="auto"/>
              <w:right w:val="nil"/>
            </w:tcBorders>
            <w:shd w:val="clear" w:color="auto" w:fill="auto"/>
            <w:vAlign w:val="center"/>
          </w:tcPr>
          <w:p w14:paraId="481479B3" w14:textId="19C8457A" w:rsidR="00331AF1" w:rsidRPr="00A960E2" w:rsidRDefault="00D123BF" w:rsidP="00331AF1">
            <w:pPr>
              <w:spacing w:after="0" w:line="240" w:lineRule="auto"/>
              <w:jc w:val="right"/>
              <w:rPr>
                <w:rFonts w:ascii="Calibri" w:eastAsia="Times New Roman" w:hAnsi="Calibri" w:cs="Times New Roman"/>
                <w:b/>
                <w:bCs/>
                <w:sz w:val="20"/>
                <w:szCs w:val="20"/>
                <w:lang w:eastAsia="hr-HR"/>
              </w:rPr>
            </w:pPr>
            <w:r>
              <w:rPr>
                <w:rFonts w:ascii="Calibri" w:eastAsia="Times New Roman" w:hAnsi="Calibri" w:cs="Times New Roman"/>
                <w:b/>
                <w:bCs/>
                <w:sz w:val="20"/>
                <w:szCs w:val="20"/>
                <w:lang w:eastAsia="hr-HR"/>
              </w:rPr>
              <w:t>38.642</w:t>
            </w:r>
          </w:p>
        </w:tc>
        <w:tc>
          <w:tcPr>
            <w:tcW w:w="486" w:type="pct"/>
            <w:tcBorders>
              <w:top w:val="nil"/>
              <w:left w:val="nil"/>
              <w:bottom w:val="single" w:sz="8" w:space="0" w:color="auto"/>
              <w:right w:val="nil"/>
            </w:tcBorders>
            <w:shd w:val="clear" w:color="auto" w:fill="auto"/>
            <w:vAlign w:val="center"/>
          </w:tcPr>
          <w:p w14:paraId="548DAA7B" w14:textId="331E05D4" w:rsidR="00331AF1" w:rsidRPr="00A960E2" w:rsidRDefault="00D123BF" w:rsidP="00331AF1">
            <w:pPr>
              <w:spacing w:after="0" w:line="240" w:lineRule="auto"/>
              <w:jc w:val="right"/>
              <w:rPr>
                <w:rFonts w:ascii="Calibri" w:eastAsia="Times New Roman" w:hAnsi="Calibri" w:cs="Times New Roman"/>
                <w:b/>
                <w:bCs/>
                <w:sz w:val="20"/>
                <w:szCs w:val="20"/>
                <w:lang w:eastAsia="hr-HR"/>
              </w:rPr>
            </w:pPr>
            <w:r>
              <w:rPr>
                <w:rFonts w:ascii="Calibri" w:eastAsia="Times New Roman" w:hAnsi="Calibri" w:cs="Times New Roman"/>
                <w:b/>
                <w:bCs/>
                <w:sz w:val="20"/>
                <w:szCs w:val="20"/>
                <w:lang w:eastAsia="hr-HR"/>
              </w:rPr>
              <w:t>74.132</w:t>
            </w:r>
          </w:p>
        </w:tc>
        <w:tc>
          <w:tcPr>
            <w:tcW w:w="484" w:type="pct"/>
            <w:tcBorders>
              <w:top w:val="nil"/>
              <w:left w:val="nil"/>
              <w:bottom w:val="single" w:sz="8" w:space="0" w:color="auto"/>
              <w:right w:val="nil"/>
            </w:tcBorders>
            <w:shd w:val="clear" w:color="auto" w:fill="auto"/>
            <w:vAlign w:val="center"/>
            <w:hideMark/>
          </w:tcPr>
          <w:p w14:paraId="59D22472" w14:textId="0AE275DF" w:rsidR="00331AF1" w:rsidRPr="00A960E2" w:rsidRDefault="00331AF1" w:rsidP="00331AF1">
            <w:pPr>
              <w:spacing w:after="0" w:line="240" w:lineRule="auto"/>
              <w:jc w:val="right"/>
              <w:rPr>
                <w:rFonts w:ascii="Calibri" w:eastAsia="Times New Roman" w:hAnsi="Calibri" w:cs="Times New Roman"/>
                <w:b/>
                <w:bCs/>
                <w:sz w:val="20"/>
                <w:szCs w:val="20"/>
                <w:lang w:eastAsia="hr-HR"/>
              </w:rPr>
            </w:pPr>
            <w:r w:rsidRPr="00A960E2">
              <w:rPr>
                <w:rFonts w:ascii="Calibri" w:eastAsia="Times New Roman" w:hAnsi="Calibri" w:cs="Times New Roman"/>
                <w:b/>
                <w:bCs/>
                <w:sz w:val="20"/>
                <w:szCs w:val="20"/>
                <w:lang w:eastAsia="hr-HR"/>
              </w:rPr>
              <w:t>37.507</w:t>
            </w:r>
          </w:p>
        </w:tc>
        <w:tc>
          <w:tcPr>
            <w:tcW w:w="486" w:type="pct"/>
            <w:tcBorders>
              <w:top w:val="nil"/>
              <w:left w:val="nil"/>
              <w:bottom w:val="single" w:sz="8" w:space="0" w:color="auto"/>
              <w:right w:val="nil"/>
            </w:tcBorders>
            <w:shd w:val="clear" w:color="auto" w:fill="auto"/>
            <w:vAlign w:val="center"/>
            <w:hideMark/>
          </w:tcPr>
          <w:p w14:paraId="6DCD1B9A" w14:textId="584A29B0" w:rsidR="00331AF1" w:rsidRPr="00A960E2" w:rsidRDefault="00331AF1" w:rsidP="00331AF1">
            <w:pPr>
              <w:spacing w:after="0" w:line="240" w:lineRule="auto"/>
              <w:jc w:val="right"/>
              <w:rPr>
                <w:rFonts w:ascii="Calibri" w:eastAsia="Times New Roman" w:hAnsi="Calibri" w:cs="Times New Roman"/>
                <w:b/>
                <w:bCs/>
                <w:sz w:val="20"/>
                <w:szCs w:val="20"/>
                <w:lang w:eastAsia="hr-HR"/>
              </w:rPr>
            </w:pPr>
            <w:r w:rsidRPr="00A960E2">
              <w:rPr>
                <w:rFonts w:ascii="Calibri" w:eastAsia="Times New Roman" w:hAnsi="Calibri" w:cs="Times New Roman"/>
                <w:b/>
                <w:bCs/>
                <w:sz w:val="20"/>
                <w:szCs w:val="20"/>
                <w:lang w:eastAsia="hr-HR"/>
              </w:rPr>
              <w:t>77.050</w:t>
            </w:r>
          </w:p>
        </w:tc>
      </w:tr>
    </w:tbl>
    <w:p w14:paraId="2E67D92E" w14:textId="77777777" w:rsidR="007B2C90" w:rsidRDefault="007B2C90" w:rsidP="007B2C90">
      <w:pPr>
        <w:spacing w:after="0" w:line="240" w:lineRule="exact"/>
      </w:pPr>
    </w:p>
    <w:p w14:paraId="2EDBA7DB" w14:textId="77777777" w:rsidR="00ED7F4D" w:rsidRDefault="00ED7F4D" w:rsidP="00ED7F4D">
      <w:pPr>
        <w:spacing w:after="0" w:line="240" w:lineRule="exact"/>
      </w:pPr>
    </w:p>
    <w:p w14:paraId="3BC34E28" w14:textId="77777777" w:rsidR="00ED7F4D" w:rsidRDefault="00ED7F4D" w:rsidP="00ED7F4D">
      <w:pPr>
        <w:spacing w:after="0" w:line="240" w:lineRule="exact"/>
      </w:pPr>
    </w:p>
    <w:p w14:paraId="777AE716" w14:textId="77777777" w:rsidR="004B1314" w:rsidRDefault="004B1314" w:rsidP="00ED7F4D">
      <w:pPr>
        <w:spacing w:after="0" w:line="240" w:lineRule="exact"/>
      </w:pPr>
    </w:p>
    <w:p w14:paraId="4E9A26F4" w14:textId="77777777" w:rsidR="00ED7F4D" w:rsidRDefault="00ED7F4D" w:rsidP="00ED7F4D">
      <w:pPr>
        <w:spacing w:after="0" w:line="240" w:lineRule="exact"/>
      </w:pPr>
    </w:p>
    <w:p w14:paraId="57948338" w14:textId="77777777" w:rsidR="004B1314" w:rsidRDefault="004B1314" w:rsidP="00ED7F4D">
      <w:pPr>
        <w:spacing w:after="0" w:line="240" w:lineRule="exact"/>
        <w:sectPr w:rsidR="004B1314" w:rsidSect="00932654">
          <w:footerReference w:type="first" r:id="rId65"/>
          <w:pgSz w:w="16838" w:h="11906" w:orient="landscape" w:code="9"/>
          <w:pgMar w:top="1418" w:right="595" w:bottom="1134" w:left="1418" w:header="709" w:footer="709" w:gutter="0"/>
          <w:cols w:space="708"/>
          <w:titlePg/>
          <w:docGrid w:linePitch="360"/>
        </w:sectPr>
      </w:pPr>
    </w:p>
    <w:p w14:paraId="6DFD92F1" w14:textId="77777777" w:rsidR="00ED7F4D" w:rsidRDefault="00ED7F4D" w:rsidP="00ED7F4D">
      <w:pPr>
        <w:keepNext/>
        <w:tabs>
          <w:tab w:val="left" w:pos="567"/>
        </w:tabs>
        <w:spacing w:after="0" w:line="240" w:lineRule="auto"/>
        <w:jc w:val="both"/>
        <w:rPr>
          <w:rFonts w:eastAsia="Times New Roman" w:cs="Arial"/>
          <w:b/>
          <w:bCs/>
        </w:rPr>
      </w:pPr>
    </w:p>
    <w:p w14:paraId="0D8D8D69" w14:textId="77777777" w:rsidR="00ED7F4D" w:rsidRPr="00ED7F4D" w:rsidRDefault="00ED7F4D" w:rsidP="00ED7F4D">
      <w:pPr>
        <w:keepNext/>
        <w:tabs>
          <w:tab w:val="left" w:pos="567"/>
        </w:tabs>
        <w:spacing w:after="0" w:line="240" w:lineRule="auto"/>
        <w:jc w:val="both"/>
        <w:rPr>
          <w:rFonts w:eastAsia="Times New Roman" w:cs="Arial"/>
          <w:b/>
          <w:bCs/>
        </w:rPr>
      </w:pPr>
      <w:r w:rsidRPr="00ED7F4D">
        <w:rPr>
          <w:rFonts w:eastAsia="Times New Roman" w:cs="Arial"/>
          <w:b/>
          <w:bCs/>
        </w:rPr>
        <w:t>6.</w:t>
      </w:r>
      <w:r w:rsidRPr="00ED7F4D">
        <w:rPr>
          <w:rFonts w:eastAsia="Times New Roman" w:cs="Arial"/>
          <w:b/>
          <w:bCs/>
        </w:rPr>
        <w:tab/>
        <w:t>Operativni troškovi (nastavak)</w:t>
      </w:r>
    </w:p>
    <w:p w14:paraId="0A76A447" w14:textId="77777777" w:rsidR="00ED7F4D" w:rsidRPr="00ED7F4D" w:rsidRDefault="00ED7F4D" w:rsidP="00ED7F4D">
      <w:pPr>
        <w:spacing w:after="0" w:line="240" w:lineRule="exact"/>
      </w:pPr>
    </w:p>
    <w:p w14:paraId="0488F4F0" w14:textId="0FB30768" w:rsidR="00ED7F4D" w:rsidRPr="00ED7F4D" w:rsidRDefault="00ED7F4D" w:rsidP="00ED7F4D">
      <w:pPr>
        <w:spacing w:after="0" w:line="240" w:lineRule="auto"/>
        <w:rPr>
          <w:rFonts w:cs="Arial"/>
        </w:rPr>
      </w:pPr>
      <w:r w:rsidRPr="00ED7F4D">
        <w:rPr>
          <w:rFonts w:cs="Arial"/>
        </w:rPr>
        <w:t>Iskazani ostali rashodi Grupe sadrže promjene tehničkih pričuva:</w:t>
      </w:r>
    </w:p>
    <w:p w14:paraId="1529570F" w14:textId="77777777" w:rsidR="00ED7F4D" w:rsidRDefault="00ED7F4D" w:rsidP="00ED7F4D">
      <w:pPr>
        <w:spacing w:after="0" w:line="240" w:lineRule="auto"/>
        <w:rPr>
          <w:rFonts w:cs="Arial"/>
        </w:rPr>
      </w:pPr>
    </w:p>
    <w:tbl>
      <w:tblPr>
        <w:tblW w:w="14184" w:type="dxa"/>
        <w:tblLook w:val="04A0" w:firstRow="1" w:lastRow="0" w:firstColumn="1" w:lastColumn="0" w:noHBand="0" w:noVBand="1"/>
      </w:tblPr>
      <w:tblGrid>
        <w:gridCol w:w="3176"/>
        <w:gridCol w:w="1376"/>
        <w:gridCol w:w="1376"/>
        <w:gridCol w:w="1376"/>
        <w:gridCol w:w="1376"/>
        <w:gridCol w:w="1376"/>
        <w:gridCol w:w="1376"/>
        <w:gridCol w:w="1376"/>
        <w:gridCol w:w="1376"/>
      </w:tblGrid>
      <w:tr w:rsidR="009738EC" w:rsidRPr="00A960E2" w14:paraId="7711FC8D" w14:textId="77777777" w:rsidTr="00000EB5">
        <w:trPr>
          <w:trHeight w:val="255"/>
        </w:trPr>
        <w:tc>
          <w:tcPr>
            <w:tcW w:w="3176" w:type="dxa"/>
            <w:tcBorders>
              <w:top w:val="nil"/>
              <w:left w:val="nil"/>
              <w:bottom w:val="nil"/>
              <w:right w:val="nil"/>
            </w:tcBorders>
            <w:shd w:val="clear" w:color="auto" w:fill="auto"/>
            <w:noWrap/>
            <w:vAlign w:val="center"/>
            <w:hideMark/>
          </w:tcPr>
          <w:p w14:paraId="21153EF0" w14:textId="77777777" w:rsidR="009738EC" w:rsidRPr="00A960E2" w:rsidRDefault="009738EC" w:rsidP="00000EB5">
            <w:pPr>
              <w:spacing w:after="0" w:line="240" w:lineRule="auto"/>
              <w:rPr>
                <w:rFonts w:ascii="Times New Roman" w:eastAsia="Times New Roman" w:hAnsi="Times New Roman" w:cs="Times New Roman"/>
                <w:sz w:val="24"/>
                <w:szCs w:val="24"/>
                <w:lang w:eastAsia="hr-HR"/>
              </w:rPr>
            </w:pPr>
          </w:p>
        </w:tc>
        <w:tc>
          <w:tcPr>
            <w:tcW w:w="5504" w:type="dxa"/>
            <w:gridSpan w:val="4"/>
            <w:tcBorders>
              <w:top w:val="nil"/>
              <w:left w:val="nil"/>
              <w:bottom w:val="nil"/>
              <w:right w:val="nil"/>
            </w:tcBorders>
            <w:shd w:val="clear" w:color="auto" w:fill="auto"/>
            <w:noWrap/>
            <w:vAlign w:val="bottom"/>
            <w:hideMark/>
          </w:tcPr>
          <w:p w14:paraId="471C4D83" w14:textId="77777777" w:rsidR="009738EC" w:rsidRPr="00A960E2" w:rsidRDefault="009738EC" w:rsidP="00000EB5">
            <w:pPr>
              <w:spacing w:after="0" w:line="240" w:lineRule="auto"/>
              <w:jc w:val="right"/>
              <w:rPr>
                <w:rFonts w:ascii="Calibri" w:eastAsia="Times New Roman" w:hAnsi="Calibri" w:cs="Times New Roman"/>
                <w:b/>
                <w:bCs/>
                <w:sz w:val="20"/>
                <w:szCs w:val="20"/>
                <w:lang w:eastAsia="hr-HR"/>
              </w:rPr>
            </w:pPr>
            <w:r w:rsidRPr="00A960E2">
              <w:rPr>
                <w:rFonts w:ascii="Calibri" w:eastAsia="Times New Roman" w:hAnsi="Calibri" w:cs="Times New Roman"/>
                <w:b/>
                <w:bCs/>
                <w:sz w:val="20"/>
                <w:szCs w:val="20"/>
                <w:lang w:eastAsia="hr-HR"/>
              </w:rPr>
              <w:t>Grupa</w:t>
            </w:r>
          </w:p>
        </w:tc>
        <w:tc>
          <w:tcPr>
            <w:tcW w:w="5504" w:type="dxa"/>
            <w:gridSpan w:val="4"/>
            <w:tcBorders>
              <w:top w:val="nil"/>
              <w:left w:val="nil"/>
              <w:bottom w:val="nil"/>
              <w:right w:val="nil"/>
            </w:tcBorders>
            <w:shd w:val="clear" w:color="auto" w:fill="auto"/>
            <w:noWrap/>
            <w:vAlign w:val="bottom"/>
            <w:hideMark/>
          </w:tcPr>
          <w:p w14:paraId="23D680A5" w14:textId="77777777" w:rsidR="009738EC" w:rsidRPr="00A960E2" w:rsidRDefault="009738EC" w:rsidP="00000EB5">
            <w:pPr>
              <w:spacing w:after="0" w:line="240" w:lineRule="auto"/>
              <w:jc w:val="right"/>
              <w:rPr>
                <w:rFonts w:ascii="Calibri" w:eastAsia="Times New Roman" w:hAnsi="Calibri" w:cs="Times New Roman"/>
                <w:b/>
                <w:bCs/>
                <w:sz w:val="20"/>
                <w:szCs w:val="20"/>
                <w:lang w:eastAsia="hr-HR"/>
              </w:rPr>
            </w:pPr>
            <w:r w:rsidRPr="00A960E2">
              <w:rPr>
                <w:rFonts w:ascii="Calibri" w:eastAsia="Times New Roman" w:hAnsi="Calibri" w:cs="Times New Roman"/>
                <w:b/>
                <w:bCs/>
                <w:sz w:val="20"/>
                <w:szCs w:val="20"/>
                <w:lang w:eastAsia="hr-HR"/>
              </w:rPr>
              <w:t>Banka</w:t>
            </w:r>
          </w:p>
        </w:tc>
      </w:tr>
      <w:tr w:rsidR="009738EC" w:rsidRPr="00A960E2" w14:paraId="1873A6C5" w14:textId="77777777" w:rsidTr="00000EB5">
        <w:trPr>
          <w:trHeight w:val="255"/>
        </w:trPr>
        <w:tc>
          <w:tcPr>
            <w:tcW w:w="3176" w:type="dxa"/>
            <w:tcBorders>
              <w:top w:val="nil"/>
              <w:left w:val="nil"/>
              <w:bottom w:val="nil"/>
              <w:right w:val="nil"/>
            </w:tcBorders>
            <w:shd w:val="clear" w:color="auto" w:fill="auto"/>
            <w:noWrap/>
            <w:vAlign w:val="bottom"/>
            <w:hideMark/>
          </w:tcPr>
          <w:p w14:paraId="0812996C" w14:textId="77777777" w:rsidR="009738EC" w:rsidRPr="00A960E2" w:rsidRDefault="009738EC" w:rsidP="00000EB5">
            <w:pPr>
              <w:spacing w:after="0" w:line="240" w:lineRule="auto"/>
              <w:jc w:val="right"/>
              <w:rPr>
                <w:rFonts w:ascii="Calibri" w:eastAsia="Times New Roman" w:hAnsi="Calibri" w:cs="Times New Roman"/>
                <w:b/>
                <w:bCs/>
                <w:sz w:val="20"/>
                <w:szCs w:val="20"/>
                <w:lang w:eastAsia="hr-HR"/>
              </w:rPr>
            </w:pPr>
          </w:p>
        </w:tc>
        <w:tc>
          <w:tcPr>
            <w:tcW w:w="2752" w:type="dxa"/>
            <w:gridSpan w:val="2"/>
            <w:tcBorders>
              <w:top w:val="nil"/>
              <w:left w:val="nil"/>
              <w:bottom w:val="nil"/>
              <w:right w:val="nil"/>
            </w:tcBorders>
            <w:shd w:val="clear" w:color="auto" w:fill="auto"/>
            <w:vAlign w:val="bottom"/>
            <w:hideMark/>
          </w:tcPr>
          <w:p w14:paraId="4C9482CD" w14:textId="42C65367" w:rsidR="009738EC" w:rsidRPr="00A960E2" w:rsidRDefault="009738EC">
            <w:pPr>
              <w:spacing w:after="0" w:line="240" w:lineRule="auto"/>
              <w:jc w:val="center"/>
              <w:rPr>
                <w:rFonts w:ascii="Calibri" w:eastAsia="Times New Roman" w:hAnsi="Calibri" w:cs="Times New Roman"/>
                <w:b/>
                <w:bCs/>
                <w:color w:val="000000"/>
                <w:sz w:val="20"/>
                <w:szCs w:val="20"/>
                <w:lang w:eastAsia="hr-HR"/>
              </w:rPr>
            </w:pPr>
            <w:r w:rsidRPr="00A960E2">
              <w:rPr>
                <w:rFonts w:ascii="Calibri" w:eastAsia="Times New Roman" w:hAnsi="Calibri" w:cs="Times New Roman"/>
                <w:b/>
                <w:bCs/>
                <w:color w:val="000000"/>
                <w:sz w:val="20"/>
                <w:szCs w:val="20"/>
                <w:lang w:eastAsia="hr-HR"/>
              </w:rPr>
              <w:t>201</w:t>
            </w:r>
            <w:r>
              <w:rPr>
                <w:rFonts w:ascii="Calibri" w:eastAsia="Times New Roman" w:hAnsi="Calibri" w:cs="Times New Roman"/>
                <w:b/>
                <w:bCs/>
                <w:color w:val="000000"/>
                <w:sz w:val="20"/>
                <w:szCs w:val="20"/>
                <w:lang w:eastAsia="hr-HR"/>
              </w:rPr>
              <w:t>7</w:t>
            </w:r>
            <w:r w:rsidRPr="00A960E2">
              <w:rPr>
                <w:rFonts w:ascii="Calibri" w:eastAsia="Times New Roman" w:hAnsi="Calibri" w:cs="Times New Roman"/>
                <w:b/>
                <w:bCs/>
                <w:color w:val="000000"/>
                <w:sz w:val="20"/>
                <w:szCs w:val="20"/>
                <w:lang w:eastAsia="hr-HR"/>
              </w:rPr>
              <w:t>.</w:t>
            </w:r>
          </w:p>
        </w:tc>
        <w:tc>
          <w:tcPr>
            <w:tcW w:w="2752" w:type="dxa"/>
            <w:gridSpan w:val="2"/>
            <w:tcBorders>
              <w:top w:val="nil"/>
              <w:left w:val="nil"/>
              <w:bottom w:val="nil"/>
              <w:right w:val="nil"/>
            </w:tcBorders>
            <w:shd w:val="clear" w:color="auto" w:fill="auto"/>
            <w:vAlign w:val="bottom"/>
            <w:hideMark/>
          </w:tcPr>
          <w:p w14:paraId="786ABFA5" w14:textId="6E42795C" w:rsidR="009738EC" w:rsidRPr="00A960E2" w:rsidRDefault="009738EC">
            <w:pPr>
              <w:spacing w:after="0" w:line="240" w:lineRule="auto"/>
              <w:jc w:val="center"/>
              <w:rPr>
                <w:rFonts w:ascii="Calibri" w:eastAsia="Times New Roman" w:hAnsi="Calibri" w:cs="Times New Roman"/>
                <w:b/>
                <w:bCs/>
                <w:sz w:val="20"/>
                <w:szCs w:val="20"/>
                <w:lang w:eastAsia="hr-HR"/>
              </w:rPr>
            </w:pPr>
            <w:r w:rsidRPr="00A960E2">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6</w:t>
            </w:r>
            <w:r w:rsidRPr="00A960E2">
              <w:rPr>
                <w:rFonts w:ascii="Calibri" w:eastAsia="Times New Roman" w:hAnsi="Calibri" w:cs="Times New Roman"/>
                <w:b/>
                <w:bCs/>
                <w:sz w:val="20"/>
                <w:szCs w:val="20"/>
                <w:lang w:eastAsia="hr-HR"/>
              </w:rPr>
              <w:t>.</w:t>
            </w:r>
          </w:p>
        </w:tc>
        <w:tc>
          <w:tcPr>
            <w:tcW w:w="2752" w:type="dxa"/>
            <w:gridSpan w:val="2"/>
            <w:tcBorders>
              <w:top w:val="nil"/>
              <w:left w:val="nil"/>
              <w:bottom w:val="nil"/>
              <w:right w:val="nil"/>
            </w:tcBorders>
            <w:shd w:val="clear" w:color="auto" w:fill="auto"/>
            <w:vAlign w:val="bottom"/>
            <w:hideMark/>
          </w:tcPr>
          <w:p w14:paraId="32472097" w14:textId="58FCC027" w:rsidR="009738EC" w:rsidRPr="00A960E2" w:rsidRDefault="009738EC">
            <w:pPr>
              <w:spacing w:after="0" w:line="240" w:lineRule="auto"/>
              <w:jc w:val="center"/>
              <w:rPr>
                <w:rFonts w:ascii="Calibri" w:eastAsia="Times New Roman" w:hAnsi="Calibri" w:cs="Times New Roman"/>
                <w:b/>
                <w:bCs/>
                <w:sz w:val="20"/>
                <w:szCs w:val="20"/>
                <w:lang w:eastAsia="hr-HR"/>
              </w:rPr>
            </w:pPr>
            <w:r w:rsidRPr="00A960E2">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7</w:t>
            </w:r>
            <w:r w:rsidRPr="00A960E2">
              <w:rPr>
                <w:rFonts w:ascii="Calibri" w:eastAsia="Times New Roman" w:hAnsi="Calibri" w:cs="Times New Roman"/>
                <w:b/>
                <w:bCs/>
                <w:sz w:val="20"/>
                <w:szCs w:val="20"/>
                <w:lang w:eastAsia="hr-HR"/>
              </w:rPr>
              <w:t>.</w:t>
            </w:r>
          </w:p>
        </w:tc>
        <w:tc>
          <w:tcPr>
            <w:tcW w:w="2752" w:type="dxa"/>
            <w:gridSpan w:val="2"/>
            <w:tcBorders>
              <w:top w:val="nil"/>
              <w:left w:val="nil"/>
              <w:bottom w:val="nil"/>
              <w:right w:val="nil"/>
            </w:tcBorders>
            <w:shd w:val="clear" w:color="auto" w:fill="auto"/>
            <w:vAlign w:val="bottom"/>
            <w:hideMark/>
          </w:tcPr>
          <w:p w14:paraId="6DBA203D" w14:textId="6EF52E37" w:rsidR="009738EC" w:rsidRPr="00A960E2" w:rsidRDefault="009738EC">
            <w:pPr>
              <w:spacing w:after="0" w:line="240" w:lineRule="auto"/>
              <w:jc w:val="center"/>
              <w:rPr>
                <w:rFonts w:ascii="Calibri" w:eastAsia="Times New Roman" w:hAnsi="Calibri" w:cs="Times New Roman"/>
                <w:b/>
                <w:bCs/>
                <w:sz w:val="20"/>
                <w:szCs w:val="20"/>
                <w:lang w:eastAsia="hr-HR"/>
              </w:rPr>
            </w:pPr>
            <w:r w:rsidRPr="00A960E2">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6</w:t>
            </w:r>
            <w:r w:rsidRPr="00A960E2">
              <w:rPr>
                <w:rFonts w:ascii="Calibri" w:eastAsia="Times New Roman" w:hAnsi="Calibri" w:cs="Times New Roman"/>
                <w:b/>
                <w:bCs/>
                <w:sz w:val="20"/>
                <w:szCs w:val="20"/>
                <w:lang w:eastAsia="hr-HR"/>
              </w:rPr>
              <w:t>.</w:t>
            </w:r>
          </w:p>
        </w:tc>
      </w:tr>
      <w:tr w:rsidR="009738EC" w:rsidRPr="00A960E2" w14:paraId="5D80C6A1" w14:textId="77777777" w:rsidTr="00000EB5">
        <w:trPr>
          <w:trHeight w:val="510"/>
        </w:trPr>
        <w:tc>
          <w:tcPr>
            <w:tcW w:w="3176" w:type="dxa"/>
            <w:tcBorders>
              <w:top w:val="nil"/>
              <w:left w:val="nil"/>
              <w:bottom w:val="nil"/>
              <w:right w:val="nil"/>
            </w:tcBorders>
            <w:shd w:val="clear" w:color="auto" w:fill="auto"/>
            <w:vAlign w:val="center"/>
            <w:hideMark/>
          </w:tcPr>
          <w:p w14:paraId="27D1888B" w14:textId="77777777" w:rsidR="009738EC" w:rsidRPr="00A960E2" w:rsidRDefault="009738EC" w:rsidP="00000EB5">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 xml:space="preserve">         </w:t>
            </w:r>
          </w:p>
        </w:tc>
        <w:tc>
          <w:tcPr>
            <w:tcW w:w="1376" w:type="dxa"/>
            <w:tcBorders>
              <w:top w:val="nil"/>
              <w:left w:val="nil"/>
              <w:bottom w:val="nil"/>
              <w:right w:val="nil"/>
            </w:tcBorders>
            <w:shd w:val="clear" w:color="auto" w:fill="auto"/>
            <w:vAlign w:val="center"/>
            <w:hideMark/>
          </w:tcPr>
          <w:p w14:paraId="2C700015" w14:textId="77777777" w:rsidR="009738EC" w:rsidRPr="00A960E2" w:rsidRDefault="009738EC" w:rsidP="00000EB5">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Tekuće razdoblje</w:t>
            </w:r>
          </w:p>
        </w:tc>
        <w:tc>
          <w:tcPr>
            <w:tcW w:w="1376" w:type="dxa"/>
            <w:tcBorders>
              <w:top w:val="nil"/>
              <w:left w:val="nil"/>
              <w:bottom w:val="nil"/>
              <w:right w:val="nil"/>
            </w:tcBorders>
            <w:shd w:val="clear" w:color="auto" w:fill="auto"/>
            <w:vAlign w:val="center"/>
            <w:hideMark/>
          </w:tcPr>
          <w:p w14:paraId="5FBFF952" w14:textId="77777777" w:rsidR="009738EC" w:rsidRPr="00A960E2" w:rsidRDefault="009738EC" w:rsidP="00000EB5">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Kumulativ</w:t>
            </w:r>
          </w:p>
        </w:tc>
        <w:tc>
          <w:tcPr>
            <w:tcW w:w="1376" w:type="dxa"/>
            <w:tcBorders>
              <w:top w:val="nil"/>
              <w:left w:val="nil"/>
              <w:bottom w:val="nil"/>
              <w:right w:val="nil"/>
            </w:tcBorders>
            <w:shd w:val="clear" w:color="auto" w:fill="auto"/>
            <w:vAlign w:val="center"/>
            <w:hideMark/>
          </w:tcPr>
          <w:p w14:paraId="62CCBADE" w14:textId="77777777" w:rsidR="009738EC" w:rsidRPr="00A960E2" w:rsidRDefault="009738EC" w:rsidP="00000EB5">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Tekuće razdoblje</w:t>
            </w:r>
          </w:p>
        </w:tc>
        <w:tc>
          <w:tcPr>
            <w:tcW w:w="1376" w:type="dxa"/>
            <w:tcBorders>
              <w:top w:val="nil"/>
              <w:left w:val="nil"/>
              <w:bottom w:val="nil"/>
              <w:right w:val="nil"/>
            </w:tcBorders>
            <w:shd w:val="clear" w:color="auto" w:fill="auto"/>
            <w:vAlign w:val="center"/>
            <w:hideMark/>
          </w:tcPr>
          <w:p w14:paraId="6329CF0E" w14:textId="77777777" w:rsidR="009738EC" w:rsidRPr="00A960E2" w:rsidRDefault="009738EC" w:rsidP="00000EB5">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Kumulativ</w:t>
            </w:r>
          </w:p>
        </w:tc>
        <w:tc>
          <w:tcPr>
            <w:tcW w:w="1376" w:type="dxa"/>
            <w:tcBorders>
              <w:top w:val="nil"/>
              <w:left w:val="nil"/>
              <w:bottom w:val="nil"/>
              <w:right w:val="nil"/>
            </w:tcBorders>
            <w:shd w:val="clear" w:color="auto" w:fill="auto"/>
            <w:vAlign w:val="center"/>
            <w:hideMark/>
          </w:tcPr>
          <w:p w14:paraId="55F94851" w14:textId="77777777" w:rsidR="009738EC" w:rsidRPr="00A960E2" w:rsidRDefault="009738EC" w:rsidP="00000EB5">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Tekuće razdoblje</w:t>
            </w:r>
          </w:p>
        </w:tc>
        <w:tc>
          <w:tcPr>
            <w:tcW w:w="1376" w:type="dxa"/>
            <w:tcBorders>
              <w:top w:val="nil"/>
              <w:left w:val="nil"/>
              <w:bottom w:val="nil"/>
              <w:right w:val="nil"/>
            </w:tcBorders>
            <w:shd w:val="clear" w:color="auto" w:fill="auto"/>
            <w:vAlign w:val="center"/>
            <w:hideMark/>
          </w:tcPr>
          <w:p w14:paraId="57582B68" w14:textId="77777777" w:rsidR="009738EC" w:rsidRPr="00A960E2" w:rsidRDefault="009738EC" w:rsidP="00000EB5">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Kumulativ</w:t>
            </w:r>
          </w:p>
        </w:tc>
        <w:tc>
          <w:tcPr>
            <w:tcW w:w="1376" w:type="dxa"/>
            <w:tcBorders>
              <w:top w:val="nil"/>
              <w:left w:val="nil"/>
              <w:bottom w:val="nil"/>
              <w:right w:val="nil"/>
            </w:tcBorders>
            <w:shd w:val="clear" w:color="auto" w:fill="auto"/>
            <w:vAlign w:val="center"/>
            <w:hideMark/>
          </w:tcPr>
          <w:p w14:paraId="6C8628C5" w14:textId="77777777" w:rsidR="009738EC" w:rsidRPr="00A960E2" w:rsidRDefault="009738EC" w:rsidP="00000EB5">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Tekuće razdoblje</w:t>
            </w:r>
          </w:p>
        </w:tc>
        <w:tc>
          <w:tcPr>
            <w:tcW w:w="1376" w:type="dxa"/>
            <w:tcBorders>
              <w:top w:val="nil"/>
              <w:left w:val="nil"/>
              <w:bottom w:val="nil"/>
              <w:right w:val="nil"/>
            </w:tcBorders>
            <w:shd w:val="clear" w:color="auto" w:fill="auto"/>
            <w:vAlign w:val="center"/>
            <w:hideMark/>
          </w:tcPr>
          <w:p w14:paraId="71D6EE4C" w14:textId="77777777" w:rsidR="009738EC" w:rsidRPr="00A960E2" w:rsidRDefault="009738EC" w:rsidP="00000EB5">
            <w:pPr>
              <w:spacing w:after="0" w:line="240" w:lineRule="auto"/>
              <w:jc w:val="right"/>
              <w:rPr>
                <w:rFonts w:ascii="Calibri" w:eastAsia="Times New Roman" w:hAnsi="Calibri" w:cs="Times New Roman"/>
                <w:sz w:val="20"/>
                <w:szCs w:val="20"/>
                <w:lang w:eastAsia="hr-HR"/>
              </w:rPr>
            </w:pPr>
            <w:r w:rsidRPr="00A960E2">
              <w:rPr>
                <w:rFonts w:ascii="Calibri" w:eastAsia="Times New Roman" w:hAnsi="Calibri" w:cs="Times New Roman"/>
                <w:sz w:val="20"/>
                <w:szCs w:val="20"/>
                <w:lang w:eastAsia="hr-HR"/>
              </w:rPr>
              <w:t>Kumulativ</w:t>
            </w:r>
          </w:p>
        </w:tc>
      </w:tr>
      <w:tr w:rsidR="009738EC" w:rsidRPr="00A960E2" w14:paraId="793FDC0D" w14:textId="77777777" w:rsidTr="00000EB5">
        <w:trPr>
          <w:trHeight w:val="255"/>
        </w:trPr>
        <w:tc>
          <w:tcPr>
            <w:tcW w:w="3176" w:type="dxa"/>
            <w:tcBorders>
              <w:top w:val="nil"/>
              <w:left w:val="nil"/>
              <w:bottom w:val="nil"/>
              <w:right w:val="nil"/>
            </w:tcBorders>
            <w:shd w:val="clear" w:color="auto" w:fill="auto"/>
            <w:vAlign w:val="center"/>
            <w:hideMark/>
          </w:tcPr>
          <w:p w14:paraId="3050F36B" w14:textId="77777777" w:rsidR="009738EC" w:rsidRPr="00A960E2" w:rsidRDefault="009738EC" w:rsidP="00000EB5">
            <w:pPr>
              <w:spacing w:after="0" w:line="240" w:lineRule="auto"/>
              <w:jc w:val="center"/>
              <w:rPr>
                <w:rFonts w:ascii="Calibri" w:eastAsia="Times New Roman" w:hAnsi="Calibri" w:cs="Times New Roman"/>
                <w:sz w:val="20"/>
                <w:szCs w:val="20"/>
                <w:lang w:eastAsia="hr-HR"/>
              </w:rPr>
            </w:pPr>
          </w:p>
        </w:tc>
        <w:tc>
          <w:tcPr>
            <w:tcW w:w="1376" w:type="dxa"/>
            <w:tcBorders>
              <w:top w:val="nil"/>
              <w:left w:val="nil"/>
              <w:bottom w:val="nil"/>
              <w:right w:val="nil"/>
            </w:tcBorders>
            <w:shd w:val="clear" w:color="auto" w:fill="auto"/>
            <w:vAlign w:val="center"/>
            <w:hideMark/>
          </w:tcPr>
          <w:p w14:paraId="2C971D0C" w14:textId="77777777" w:rsidR="009738EC" w:rsidRPr="00A960E2" w:rsidRDefault="009738EC" w:rsidP="00000EB5">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1.4. - 30.6.</w:t>
            </w:r>
          </w:p>
        </w:tc>
        <w:tc>
          <w:tcPr>
            <w:tcW w:w="1376" w:type="dxa"/>
            <w:tcBorders>
              <w:top w:val="nil"/>
              <w:left w:val="nil"/>
              <w:bottom w:val="nil"/>
              <w:right w:val="nil"/>
            </w:tcBorders>
            <w:shd w:val="clear" w:color="auto" w:fill="auto"/>
            <w:vAlign w:val="center"/>
            <w:hideMark/>
          </w:tcPr>
          <w:p w14:paraId="3C4232A5" w14:textId="77777777" w:rsidR="009738EC" w:rsidRPr="00A960E2" w:rsidRDefault="009738EC" w:rsidP="00000EB5">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1.1. - 30.6.</w:t>
            </w:r>
          </w:p>
        </w:tc>
        <w:tc>
          <w:tcPr>
            <w:tcW w:w="1376" w:type="dxa"/>
            <w:tcBorders>
              <w:top w:val="nil"/>
              <w:left w:val="nil"/>
              <w:bottom w:val="nil"/>
              <w:right w:val="nil"/>
            </w:tcBorders>
            <w:shd w:val="clear" w:color="auto" w:fill="auto"/>
            <w:vAlign w:val="center"/>
            <w:hideMark/>
          </w:tcPr>
          <w:p w14:paraId="529DC340" w14:textId="77777777" w:rsidR="009738EC" w:rsidRPr="00A960E2" w:rsidRDefault="009738EC" w:rsidP="00000EB5">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1.4. - 30.6.</w:t>
            </w:r>
          </w:p>
        </w:tc>
        <w:tc>
          <w:tcPr>
            <w:tcW w:w="1376" w:type="dxa"/>
            <w:tcBorders>
              <w:top w:val="nil"/>
              <w:left w:val="nil"/>
              <w:bottom w:val="nil"/>
              <w:right w:val="nil"/>
            </w:tcBorders>
            <w:shd w:val="clear" w:color="auto" w:fill="auto"/>
            <w:vAlign w:val="center"/>
            <w:hideMark/>
          </w:tcPr>
          <w:p w14:paraId="095849E4" w14:textId="77777777" w:rsidR="009738EC" w:rsidRPr="00A960E2" w:rsidRDefault="009738EC" w:rsidP="00000EB5">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1.1. - 30.6.</w:t>
            </w:r>
          </w:p>
        </w:tc>
        <w:tc>
          <w:tcPr>
            <w:tcW w:w="1376" w:type="dxa"/>
            <w:tcBorders>
              <w:top w:val="nil"/>
              <w:left w:val="nil"/>
              <w:bottom w:val="nil"/>
              <w:right w:val="nil"/>
            </w:tcBorders>
            <w:shd w:val="clear" w:color="auto" w:fill="auto"/>
            <w:vAlign w:val="center"/>
            <w:hideMark/>
          </w:tcPr>
          <w:p w14:paraId="1B1768ED" w14:textId="77777777" w:rsidR="009738EC" w:rsidRPr="00A960E2" w:rsidRDefault="009738EC" w:rsidP="00000EB5">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1.4. - 30.6.</w:t>
            </w:r>
          </w:p>
        </w:tc>
        <w:tc>
          <w:tcPr>
            <w:tcW w:w="1376" w:type="dxa"/>
            <w:tcBorders>
              <w:top w:val="nil"/>
              <w:left w:val="nil"/>
              <w:bottom w:val="nil"/>
              <w:right w:val="nil"/>
            </w:tcBorders>
            <w:shd w:val="clear" w:color="auto" w:fill="auto"/>
            <w:vAlign w:val="center"/>
            <w:hideMark/>
          </w:tcPr>
          <w:p w14:paraId="6C210F4E" w14:textId="77777777" w:rsidR="009738EC" w:rsidRPr="00A960E2" w:rsidRDefault="009738EC" w:rsidP="00000EB5">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1.1. - 30.6.</w:t>
            </w:r>
          </w:p>
        </w:tc>
        <w:tc>
          <w:tcPr>
            <w:tcW w:w="1376" w:type="dxa"/>
            <w:tcBorders>
              <w:top w:val="nil"/>
              <w:left w:val="nil"/>
              <w:bottom w:val="nil"/>
              <w:right w:val="nil"/>
            </w:tcBorders>
            <w:shd w:val="clear" w:color="auto" w:fill="auto"/>
            <w:vAlign w:val="center"/>
            <w:hideMark/>
          </w:tcPr>
          <w:p w14:paraId="4B5520EA" w14:textId="77777777" w:rsidR="009738EC" w:rsidRPr="00A960E2" w:rsidRDefault="009738EC" w:rsidP="00000EB5">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1.4. - 30.6.</w:t>
            </w:r>
          </w:p>
        </w:tc>
        <w:tc>
          <w:tcPr>
            <w:tcW w:w="1376" w:type="dxa"/>
            <w:tcBorders>
              <w:top w:val="nil"/>
              <w:left w:val="nil"/>
              <w:bottom w:val="nil"/>
              <w:right w:val="nil"/>
            </w:tcBorders>
            <w:shd w:val="clear" w:color="auto" w:fill="auto"/>
            <w:vAlign w:val="center"/>
            <w:hideMark/>
          </w:tcPr>
          <w:p w14:paraId="1BDC9B55" w14:textId="77777777" w:rsidR="009738EC" w:rsidRPr="00A960E2" w:rsidRDefault="009738EC" w:rsidP="00000EB5">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1.1. - 30.6.</w:t>
            </w:r>
          </w:p>
        </w:tc>
      </w:tr>
      <w:tr w:rsidR="009738EC" w:rsidRPr="00A960E2" w14:paraId="52A21AB2" w14:textId="77777777" w:rsidTr="00000EB5">
        <w:trPr>
          <w:trHeight w:val="255"/>
        </w:trPr>
        <w:tc>
          <w:tcPr>
            <w:tcW w:w="3176" w:type="dxa"/>
            <w:tcBorders>
              <w:top w:val="nil"/>
              <w:left w:val="nil"/>
              <w:bottom w:val="nil"/>
              <w:right w:val="nil"/>
            </w:tcBorders>
            <w:shd w:val="clear" w:color="auto" w:fill="auto"/>
            <w:vAlign w:val="center"/>
            <w:hideMark/>
          </w:tcPr>
          <w:p w14:paraId="21E9C633" w14:textId="77777777" w:rsidR="009738EC" w:rsidRPr="00A960E2" w:rsidRDefault="009738EC" w:rsidP="009738EC">
            <w:pPr>
              <w:spacing w:after="0" w:line="240" w:lineRule="auto"/>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Promjena pričuva za štete</w:t>
            </w:r>
          </w:p>
        </w:tc>
        <w:tc>
          <w:tcPr>
            <w:tcW w:w="1376" w:type="dxa"/>
            <w:tcBorders>
              <w:top w:val="nil"/>
              <w:left w:val="nil"/>
              <w:bottom w:val="nil"/>
              <w:right w:val="nil"/>
            </w:tcBorders>
            <w:shd w:val="clear" w:color="auto" w:fill="auto"/>
            <w:vAlign w:val="bottom"/>
            <w:hideMark/>
          </w:tcPr>
          <w:p w14:paraId="20656686" w14:textId="1EA85C4B" w:rsidR="009738EC" w:rsidRPr="00A960E2" w:rsidRDefault="002D2A14" w:rsidP="009738EC">
            <w:pPr>
              <w:spacing w:after="0" w:line="240" w:lineRule="auto"/>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827</w:t>
            </w:r>
          </w:p>
        </w:tc>
        <w:tc>
          <w:tcPr>
            <w:tcW w:w="1376" w:type="dxa"/>
            <w:tcBorders>
              <w:top w:val="nil"/>
              <w:left w:val="nil"/>
              <w:bottom w:val="nil"/>
              <w:right w:val="nil"/>
            </w:tcBorders>
            <w:shd w:val="clear" w:color="auto" w:fill="auto"/>
            <w:vAlign w:val="bottom"/>
            <w:hideMark/>
          </w:tcPr>
          <w:p w14:paraId="6D1AEDE8" w14:textId="3BE97586" w:rsidR="009738EC" w:rsidRPr="00A960E2" w:rsidRDefault="002D2A14" w:rsidP="009738EC">
            <w:pPr>
              <w:spacing w:after="0" w:line="240" w:lineRule="auto"/>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799</w:t>
            </w:r>
          </w:p>
        </w:tc>
        <w:tc>
          <w:tcPr>
            <w:tcW w:w="1376" w:type="dxa"/>
            <w:tcBorders>
              <w:top w:val="nil"/>
              <w:left w:val="nil"/>
              <w:bottom w:val="nil"/>
              <w:right w:val="nil"/>
            </w:tcBorders>
            <w:shd w:val="clear" w:color="auto" w:fill="auto"/>
            <w:vAlign w:val="bottom"/>
            <w:hideMark/>
          </w:tcPr>
          <w:p w14:paraId="3D25C535" w14:textId="5CD83758" w:rsidR="009738EC" w:rsidRPr="00A960E2" w:rsidRDefault="009738EC" w:rsidP="009738EC">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(73</w:t>
            </w:r>
            <w:r>
              <w:rPr>
                <w:rFonts w:ascii="Calibri" w:eastAsia="Times New Roman" w:hAnsi="Calibri" w:cs="Times New Roman"/>
                <w:color w:val="000000"/>
                <w:sz w:val="20"/>
                <w:szCs w:val="20"/>
                <w:lang w:eastAsia="hr-HR"/>
              </w:rPr>
              <w:t>1</w:t>
            </w:r>
            <w:r w:rsidRPr="00A960E2">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vAlign w:val="bottom"/>
            <w:hideMark/>
          </w:tcPr>
          <w:p w14:paraId="6D0B59B1" w14:textId="6277724C" w:rsidR="009738EC" w:rsidRPr="00A960E2" w:rsidRDefault="009738EC" w:rsidP="009738EC">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 xml:space="preserve">537 </w:t>
            </w:r>
          </w:p>
        </w:tc>
        <w:tc>
          <w:tcPr>
            <w:tcW w:w="1376" w:type="dxa"/>
            <w:tcBorders>
              <w:top w:val="nil"/>
              <w:left w:val="nil"/>
              <w:bottom w:val="nil"/>
              <w:right w:val="nil"/>
            </w:tcBorders>
            <w:shd w:val="clear" w:color="auto" w:fill="auto"/>
            <w:noWrap/>
            <w:vAlign w:val="bottom"/>
            <w:hideMark/>
          </w:tcPr>
          <w:p w14:paraId="677CDA87" w14:textId="77777777" w:rsidR="009738EC" w:rsidRPr="00A960E2" w:rsidRDefault="009738EC" w:rsidP="009738EC">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3BD8575E" w14:textId="77777777" w:rsidR="009738EC" w:rsidRPr="00A960E2" w:rsidRDefault="009738EC" w:rsidP="009738EC">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759C8152" w14:textId="77777777" w:rsidR="009738EC" w:rsidRPr="00A960E2" w:rsidRDefault="009738EC" w:rsidP="009738EC">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101A0E45" w14:textId="77777777" w:rsidR="009738EC" w:rsidRPr="00A960E2" w:rsidRDefault="009738EC" w:rsidP="009738EC">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w:t>
            </w:r>
          </w:p>
        </w:tc>
      </w:tr>
      <w:tr w:rsidR="009738EC" w:rsidRPr="00A960E2" w14:paraId="2C4FB95A" w14:textId="77777777" w:rsidTr="00000EB5">
        <w:trPr>
          <w:trHeight w:val="510"/>
        </w:trPr>
        <w:tc>
          <w:tcPr>
            <w:tcW w:w="3176" w:type="dxa"/>
            <w:tcBorders>
              <w:top w:val="nil"/>
              <w:left w:val="nil"/>
              <w:bottom w:val="nil"/>
              <w:right w:val="nil"/>
            </w:tcBorders>
            <w:shd w:val="clear" w:color="auto" w:fill="auto"/>
            <w:vAlign w:val="center"/>
            <w:hideMark/>
          </w:tcPr>
          <w:p w14:paraId="2FE71042" w14:textId="77777777" w:rsidR="009738EC" w:rsidRPr="00A960E2" w:rsidRDefault="009738EC" w:rsidP="009738EC">
            <w:pPr>
              <w:spacing w:after="0" w:line="240" w:lineRule="auto"/>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Promjena pričuva za štete, udio reosiguranje</w:t>
            </w:r>
          </w:p>
        </w:tc>
        <w:tc>
          <w:tcPr>
            <w:tcW w:w="1376" w:type="dxa"/>
            <w:tcBorders>
              <w:top w:val="nil"/>
              <w:left w:val="nil"/>
              <w:bottom w:val="nil"/>
              <w:right w:val="nil"/>
            </w:tcBorders>
            <w:shd w:val="clear" w:color="auto" w:fill="auto"/>
            <w:vAlign w:val="bottom"/>
            <w:hideMark/>
          </w:tcPr>
          <w:p w14:paraId="4E67758A" w14:textId="73154F90" w:rsidR="009738EC" w:rsidRPr="00A960E2" w:rsidRDefault="002D2A14" w:rsidP="009738EC">
            <w:pPr>
              <w:spacing w:after="0" w:line="240" w:lineRule="auto"/>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(314)</w:t>
            </w:r>
          </w:p>
        </w:tc>
        <w:tc>
          <w:tcPr>
            <w:tcW w:w="1376" w:type="dxa"/>
            <w:tcBorders>
              <w:top w:val="nil"/>
              <w:left w:val="nil"/>
              <w:bottom w:val="nil"/>
              <w:right w:val="nil"/>
            </w:tcBorders>
            <w:shd w:val="clear" w:color="auto" w:fill="auto"/>
            <w:vAlign w:val="bottom"/>
            <w:hideMark/>
          </w:tcPr>
          <w:p w14:paraId="7215067F" w14:textId="139A39CE" w:rsidR="009738EC" w:rsidRPr="00A960E2" w:rsidRDefault="002D2A14" w:rsidP="009738EC">
            <w:pPr>
              <w:spacing w:after="0" w:line="240" w:lineRule="auto"/>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(265)</w:t>
            </w:r>
          </w:p>
        </w:tc>
        <w:tc>
          <w:tcPr>
            <w:tcW w:w="1376" w:type="dxa"/>
            <w:tcBorders>
              <w:top w:val="nil"/>
              <w:left w:val="nil"/>
              <w:bottom w:val="nil"/>
              <w:right w:val="nil"/>
            </w:tcBorders>
            <w:shd w:val="clear" w:color="auto" w:fill="auto"/>
            <w:vAlign w:val="bottom"/>
            <w:hideMark/>
          </w:tcPr>
          <w:p w14:paraId="2BA72E66" w14:textId="1C3F922C" w:rsidR="009738EC" w:rsidRPr="00A960E2" w:rsidRDefault="009738EC" w:rsidP="009738EC">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 xml:space="preserve">10 </w:t>
            </w:r>
          </w:p>
        </w:tc>
        <w:tc>
          <w:tcPr>
            <w:tcW w:w="1376" w:type="dxa"/>
            <w:tcBorders>
              <w:top w:val="nil"/>
              <w:left w:val="nil"/>
              <w:bottom w:val="nil"/>
              <w:right w:val="nil"/>
            </w:tcBorders>
            <w:shd w:val="clear" w:color="auto" w:fill="auto"/>
            <w:vAlign w:val="bottom"/>
            <w:hideMark/>
          </w:tcPr>
          <w:p w14:paraId="47ABC710" w14:textId="5A1014DD" w:rsidR="009738EC" w:rsidRPr="00A960E2" w:rsidRDefault="009738EC" w:rsidP="009738EC">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(59</w:t>
            </w:r>
            <w:r>
              <w:rPr>
                <w:rFonts w:ascii="Calibri" w:eastAsia="Times New Roman" w:hAnsi="Calibri" w:cs="Times New Roman"/>
                <w:color w:val="000000"/>
                <w:sz w:val="20"/>
                <w:szCs w:val="20"/>
                <w:lang w:eastAsia="hr-HR"/>
              </w:rPr>
              <w:t>4</w:t>
            </w:r>
            <w:r w:rsidRPr="00A960E2">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240079A5" w14:textId="77777777" w:rsidR="009738EC" w:rsidRPr="00A960E2" w:rsidRDefault="009738EC" w:rsidP="009738EC">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414777B2" w14:textId="77777777" w:rsidR="009738EC" w:rsidRPr="00A960E2" w:rsidRDefault="009738EC" w:rsidP="009738EC">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6DC7CFD0" w14:textId="77777777" w:rsidR="009738EC" w:rsidRPr="00A960E2" w:rsidRDefault="009738EC" w:rsidP="009738EC">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257C4AD6" w14:textId="77777777" w:rsidR="009738EC" w:rsidRPr="00A960E2" w:rsidRDefault="009738EC" w:rsidP="009738EC">
            <w:pPr>
              <w:spacing w:after="0" w:line="240" w:lineRule="auto"/>
              <w:jc w:val="right"/>
              <w:rPr>
                <w:rFonts w:ascii="Calibri" w:eastAsia="Times New Roman" w:hAnsi="Calibri" w:cs="Times New Roman"/>
                <w:color w:val="000000"/>
                <w:sz w:val="20"/>
                <w:szCs w:val="20"/>
                <w:lang w:eastAsia="hr-HR"/>
              </w:rPr>
            </w:pPr>
            <w:r w:rsidRPr="00A960E2">
              <w:rPr>
                <w:rFonts w:ascii="Calibri" w:eastAsia="Times New Roman" w:hAnsi="Calibri" w:cs="Times New Roman"/>
                <w:color w:val="000000"/>
                <w:sz w:val="20"/>
                <w:szCs w:val="20"/>
                <w:lang w:eastAsia="hr-HR"/>
              </w:rPr>
              <w:t>-</w:t>
            </w:r>
          </w:p>
        </w:tc>
      </w:tr>
      <w:tr w:rsidR="009738EC" w:rsidRPr="00A960E2" w14:paraId="4D396F46" w14:textId="77777777" w:rsidTr="00000EB5">
        <w:trPr>
          <w:trHeight w:val="270"/>
        </w:trPr>
        <w:tc>
          <w:tcPr>
            <w:tcW w:w="3176" w:type="dxa"/>
            <w:tcBorders>
              <w:top w:val="nil"/>
              <w:left w:val="nil"/>
              <w:bottom w:val="nil"/>
              <w:right w:val="nil"/>
            </w:tcBorders>
            <w:shd w:val="clear" w:color="auto" w:fill="auto"/>
            <w:vAlign w:val="center"/>
            <w:hideMark/>
          </w:tcPr>
          <w:p w14:paraId="098681B9" w14:textId="77777777" w:rsidR="009738EC" w:rsidRPr="00A960E2" w:rsidRDefault="009738EC" w:rsidP="009738EC">
            <w:pPr>
              <w:spacing w:after="0" w:line="240" w:lineRule="auto"/>
              <w:rPr>
                <w:rFonts w:ascii="Calibri" w:eastAsia="Times New Roman" w:hAnsi="Calibri" w:cs="Times New Roman"/>
                <w:b/>
                <w:bCs/>
                <w:color w:val="000000"/>
                <w:sz w:val="20"/>
                <w:szCs w:val="20"/>
                <w:lang w:eastAsia="hr-HR"/>
              </w:rPr>
            </w:pPr>
            <w:r w:rsidRPr="00A960E2">
              <w:rPr>
                <w:rFonts w:ascii="Calibri" w:eastAsia="Times New Roman" w:hAnsi="Calibri" w:cs="Times New Roman"/>
                <w:b/>
                <w:bCs/>
                <w:color w:val="000000"/>
                <w:sz w:val="20"/>
                <w:szCs w:val="20"/>
                <w:lang w:eastAsia="hr-HR"/>
              </w:rPr>
              <w:t xml:space="preserve">Troškovi </w:t>
            </w:r>
            <w:proofErr w:type="spellStart"/>
            <w:r w:rsidRPr="00A960E2">
              <w:rPr>
                <w:rFonts w:ascii="Calibri" w:eastAsia="Times New Roman" w:hAnsi="Calibri" w:cs="Times New Roman"/>
                <w:b/>
                <w:bCs/>
                <w:color w:val="000000"/>
                <w:sz w:val="20"/>
                <w:szCs w:val="20"/>
                <w:lang w:eastAsia="hr-HR"/>
              </w:rPr>
              <w:t>osiguravateljne</w:t>
            </w:r>
            <w:proofErr w:type="spellEnd"/>
            <w:r w:rsidRPr="00A960E2">
              <w:rPr>
                <w:rFonts w:ascii="Calibri" w:eastAsia="Times New Roman" w:hAnsi="Calibri" w:cs="Times New Roman"/>
                <w:b/>
                <w:bCs/>
                <w:color w:val="000000"/>
                <w:sz w:val="20"/>
                <w:szCs w:val="20"/>
                <w:lang w:eastAsia="hr-HR"/>
              </w:rPr>
              <w:t xml:space="preserve"> djelatnosti</w:t>
            </w:r>
          </w:p>
        </w:tc>
        <w:tc>
          <w:tcPr>
            <w:tcW w:w="1376" w:type="dxa"/>
            <w:tcBorders>
              <w:top w:val="single" w:sz="4" w:space="0" w:color="auto"/>
              <w:left w:val="nil"/>
              <w:bottom w:val="single" w:sz="8" w:space="0" w:color="auto"/>
              <w:right w:val="nil"/>
            </w:tcBorders>
            <w:shd w:val="clear" w:color="auto" w:fill="auto"/>
            <w:vAlign w:val="bottom"/>
            <w:hideMark/>
          </w:tcPr>
          <w:p w14:paraId="082B4963" w14:textId="064E6C13" w:rsidR="009738EC" w:rsidRPr="002B2DDF" w:rsidRDefault="002D2A14">
            <w:pPr>
              <w:spacing w:after="0" w:line="240" w:lineRule="auto"/>
              <w:jc w:val="right"/>
              <w:rPr>
                <w:rFonts w:ascii="Calibri" w:eastAsia="Times New Roman" w:hAnsi="Calibri" w:cs="Times New Roman"/>
                <w:b/>
                <w:color w:val="000000"/>
                <w:sz w:val="20"/>
                <w:szCs w:val="20"/>
                <w:lang w:eastAsia="hr-HR"/>
              </w:rPr>
            </w:pPr>
            <w:r>
              <w:rPr>
                <w:rFonts w:ascii="Calibri" w:eastAsia="Times New Roman" w:hAnsi="Calibri" w:cs="Times New Roman"/>
                <w:b/>
                <w:color w:val="000000"/>
                <w:sz w:val="20"/>
                <w:szCs w:val="20"/>
                <w:lang w:eastAsia="hr-HR"/>
              </w:rPr>
              <w:t>513</w:t>
            </w:r>
            <w:r w:rsidR="009738EC" w:rsidRPr="002B2DDF">
              <w:rPr>
                <w:rFonts w:ascii="Calibri" w:eastAsia="Times New Roman" w:hAnsi="Calibri" w:cs="Times New Roman"/>
                <w:b/>
                <w:color w:val="000000"/>
                <w:sz w:val="20"/>
                <w:szCs w:val="20"/>
                <w:lang w:eastAsia="hr-HR"/>
              </w:rPr>
              <w:t xml:space="preserve">                   </w:t>
            </w:r>
          </w:p>
        </w:tc>
        <w:tc>
          <w:tcPr>
            <w:tcW w:w="1376" w:type="dxa"/>
            <w:tcBorders>
              <w:top w:val="single" w:sz="4" w:space="0" w:color="auto"/>
              <w:left w:val="nil"/>
              <w:bottom w:val="single" w:sz="8" w:space="0" w:color="auto"/>
              <w:right w:val="nil"/>
            </w:tcBorders>
            <w:shd w:val="clear" w:color="auto" w:fill="auto"/>
            <w:vAlign w:val="bottom"/>
            <w:hideMark/>
          </w:tcPr>
          <w:p w14:paraId="7FAB10C3" w14:textId="0994D8F1" w:rsidR="009738EC" w:rsidRPr="002B2DDF" w:rsidRDefault="002D2A14">
            <w:pPr>
              <w:spacing w:after="0" w:line="240" w:lineRule="auto"/>
              <w:jc w:val="right"/>
              <w:rPr>
                <w:rFonts w:ascii="Calibri" w:eastAsia="Times New Roman" w:hAnsi="Calibri" w:cs="Times New Roman"/>
                <w:b/>
                <w:color w:val="000000"/>
                <w:sz w:val="20"/>
                <w:szCs w:val="20"/>
                <w:lang w:eastAsia="hr-HR"/>
              </w:rPr>
            </w:pPr>
            <w:r>
              <w:rPr>
                <w:rFonts w:ascii="Calibri" w:eastAsia="Times New Roman" w:hAnsi="Calibri" w:cs="Times New Roman"/>
                <w:b/>
                <w:color w:val="000000"/>
                <w:sz w:val="20"/>
                <w:szCs w:val="20"/>
                <w:lang w:eastAsia="hr-HR"/>
              </w:rPr>
              <w:t>534</w:t>
            </w:r>
            <w:r w:rsidR="009738EC" w:rsidRPr="002B2DDF">
              <w:rPr>
                <w:rFonts w:ascii="Calibri" w:eastAsia="Times New Roman" w:hAnsi="Calibri" w:cs="Times New Roman"/>
                <w:b/>
                <w:color w:val="000000"/>
                <w:sz w:val="20"/>
                <w:szCs w:val="20"/>
                <w:lang w:eastAsia="hr-HR"/>
              </w:rPr>
              <w:t xml:space="preserve">                     </w:t>
            </w:r>
          </w:p>
        </w:tc>
        <w:tc>
          <w:tcPr>
            <w:tcW w:w="1376" w:type="dxa"/>
            <w:tcBorders>
              <w:top w:val="single" w:sz="4" w:space="0" w:color="auto"/>
              <w:left w:val="nil"/>
              <w:bottom w:val="single" w:sz="8" w:space="0" w:color="auto"/>
              <w:right w:val="nil"/>
            </w:tcBorders>
            <w:shd w:val="clear" w:color="auto" w:fill="auto"/>
            <w:vAlign w:val="bottom"/>
            <w:hideMark/>
          </w:tcPr>
          <w:p w14:paraId="60AEF2B6" w14:textId="519ECAC6" w:rsidR="009738EC" w:rsidRPr="00D504E2" w:rsidRDefault="009738EC" w:rsidP="009738EC">
            <w:pPr>
              <w:spacing w:after="0" w:line="240" w:lineRule="auto"/>
              <w:jc w:val="right"/>
              <w:rPr>
                <w:rFonts w:ascii="Calibri" w:eastAsia="Times New Roman" w:hAnsi="Calibri" w:cs="Times New Roman"/>
                <w:b/>
                <w:bCs/>
                <w:color w:val="000000"/>
                <w:sz w:val="20"/>
                <w:szCs w:val="20"/>
                <w:lang w:eastAsia="hr-HR"/>
              </w:rPr>
            </w:pPr>
            <w:r w:rsidRPr="002B2DDF">
              <w:rPr>
                <w:rFonts w:ascii="Calibri" w:eastAsia="Times New Roman" w:hAnsi="Calibri" w:cs="Times New Roman"/>
                <w:b/>
                <w:color w:val="000000"/>
                <w:sz w:val="20"/>
                <w:szCs w:val="20"/>
                <w:lang w:eastAsia="hr-HR"/>
              </w:rPr>
              <w:t xml:space="preserve">                   (72</w:t>
            </w:r>
            <w:r>
              <w:rPr>
                <w:rFonts w:ascii="Calibri" w:eastAsia="Times New Roman" w:hAnsi="Calibri" w:cs="Times New Roman"/>
                <w:b/>
                <w:color w:val="000000"/>
                <w:sz w:val="20"/>
                <w:szCs w:val="20"/>
                <w:lang w:eastAsia="hr-HR"/>
              </w:rPr>
              <w:t>1</w:t>
            </w:r>
            <w:r w:rsidRPr="002B2DDF">
              <w:rPr>
                <w:rFonts w:ascii="Calibri" w:eastAsia="Times New Roman" w:hAnsi="Calibri" w:cs="Times New Roman"/>
                <w:b/>
                <w:color w:val="000000"/>
                <w:sz w:val="20"/>
                <w:szCs w:val="20"/>
                <w:lang w:eastAsia="hr-HR"/>
              </w:rPr>
              <w:t>)</w:t>
            </w:r>
          </w:p>
        </w:tc>
        <w:tc>
          <w:tcPr>
            <w:tcW w:w="1376" w:type="dxa"/>
            <w:tcBorders>
              <w:top w:val="single" w:sz="4" w:space="0" w:color="auto"/>
              <w:left w:val="nil"/>
              <w:bottom w:val="single" w:sz="8" w:space="0" w:color="auto"/>
              <w:right w:val="nil"/>
            </w:tcBorders>
            <w:shd w:val="clear" w:color="auto" w:fill="auto"/>
            <w:vAlign w:val="bottom"/>
            <w:hideMark/>
          </w:tcPr>
          <w:p w14:paraId="32A22348" w14:textId="53D25814" w:rsidR="009738EC" w:rsidRPr="00A23161" w:rsidRDefault="009738EC" w:rsidP="009738EC">
            <w:pPr>
              <w:spacing w:after="0" w:line="240" w:lineRule="auto"/>
              <w:jc w:val="right"/>
              <w:rPr>
                <w:rFonts w:ascii="Calibri" w:eastAsia="Times New Roman" w:hAnsi="Calibri" w:cs="Times New Roman"/>
                <w:b/>
                <w:bCs/>
                <w:color w:val="000000"/>
                <w:sz w:val="20"/>
                <w:szCs w:val="20"/>
                <w:lang w:eastAsia="hr-HR"/>
              </w:rPr>
            </w:pPr>
            <w:r w:rsidRPr="002B2DDF">
              <w:rPr>
                <w:rFonts w:ascii="Calibri" w:eastAsia="Times New Roman" w:hAnsi="Calibri" w:cs="Times New Roman"/>
                <w:b/>
                <w:color w:val="000000"/>
                <w:sz w:val="20"/>
                <w:szCs w:val="20"/>
                <w:lang w:eastAsia="hr-HR"/>
              </w:rPr>
              <w:t xml:space="preserve">                     (5</w:t>
            </w:r>
            <w:r>
              <w:rPr>
                <w:rFonts w:ascii="Calibri" w:eastAsia="Times New Roman" w:hAnsi="Calibri" w:cs="Times New Roman"/>
                <w:b/>
                <w:color w:val="000000"/>
                <w:sz w:val="20"/>
                <w:szCs w:val="20"/>
                <w:lang w:eastAsia="hr-HR"/>
              </w:rPr>
              <w:t>7</w:t>
            </w:r>
            <w:r w:rsidRPr="002B2DDF">
              <w:rPr>
                <w:rFonts w:ascii="Calibri" w:eastAsia="Times New Roman" w:hAnsi="Calibri" w:cs="Times New Roman"/>
                <w:b/>
                <w:color w:val="000000"/>
                <w:sz w:val="20"/>
                <w:szCs w:val="20"/>
                <w:lang w:eastAsia="hr-HR"/>
              </w:rPr>
              <w:t>)</w:t>
            </w:r>
          </w:p>
        </w:tc>
        <w:tc>
          <w:tcPr>
            <w:tcW w:w="1376" w:type="dxa"/>
            <w:tcBorders>
              <w:top w:val="single" w:sz="4" w:space="0" w:color="auto"/>
              <w:left w:val="nil"/>
              <w:bottom w:val="single" w:sz="8" w:space="0" w:color="auto"/>
              <w:right w:val="nil"/>
            </w:tcBorders>
            <w:shd w:val="clear" w:color="auto" w:fill="auto"/>
            <w:vAlign w:val="bottom"/>
          </w:tcPr>
          <w:p w14:paraId="113061F7" w14:textId="77777777" w:rsidR="009738EC" w:rsidRPr="00A23161" w:rsidRDefault="009738EC" w:rsidP="009738EC">
            <w:pPr>
              <w:spacing w:after="0" w:line="240" w:lineRule="auto"/>
              <w:jc w:val="right"/>
              <w:rPr>
                <w:rFonts w:ascii="Calibri" w:eastAsia="Times New Roman" w:hAnsi="Calibri" w:cs="Times New Roman"/>
                <w:b/>
                <w:bCs/>
                <w:color w:val="000000"/>
                <w:sz w:val="20"/>
                <w:szCs w:val="20"/>
                <w:lang w:eastAsia="hr-HR"/>
              </w:rPr>
            </w:pPr>
            <w:r w:rsidRPr="00A23161">
              <w:rPr>
                <w:rFonts w:ascii="Calibri" w:eastAsia="Times New Roman" w:hAnsi="Calibri" w:cs="Times New Roman"/>
                <w:b/>
                <w:bCs/>
                <w:color w:val="000000"/>
                <w:sz w:val="20"/>
                <w:szCs w:val="20"/>
                <w:lang w:eastAsia="hr-HR"/>
              </w:rPr>
              <w:t>-</w:t>
            </w:r>
          </w:p>
        </w:tc>
        <w:tc>
          <w:tcPr>
            <w:tcW w:w="1376" w:type="dxa"/>
            <w:tcBorders>
              <w:top w:val="single" w:sz="4" w:space="0" w:color="auto"/>
              <w:left w:val="nil"/>
              <w:bottom w:val="single" w:sz="8" w:space="0" w:color="auto"/>
              <w:right w:val="nil"/>
            </w:tcBorders>
            <w:shd w:val="clear" w:color="auto" w:fill="auto"/>
            <w:vAlign w:val="bottom"/>
          </w:tcPr>
          <w:p w14:paraId="082B0E49" w14:textId="77777777" w:rsidR="009738EC" w:rsidRPr="00A23161" w:rsidRDefault="009738EC" w:rsidP="009738EC">
            <w:pPr>
              <w:spacing w:after="0" w:line="240" w:lineRule="auto"/>
              <w:jc w:val="right"/>
              <w:rPr>
                <w:rFonts w:ascii="Calibri" w:eastAsia="Times New Roman" w:hAnsi="Calibri" w:cs="Times New Roman"/>
                <w:b/>
                <w:bCs/>
                <w:color w:val="000000"/>
                <w:sz w:val="20"/>
                <w:szCs w:val="20"/>
                <w:lang w:eastAsia="hr-HR"/>
              </w:rPr>
            </w:pPr>
            <w:r w:rsidRPr="00A23161">
              <w:rPr>
                <w:rFonts w:ascii="Calibri" w:eastAsia="Times New Roman" w:hAnsi="Calibri" w:cs="Times New Roman"/>
                <w:b/>
                <w:bCs/>
                <w:color w:val="000000"/>
                <w:sz w:val="20"/>
                <w:szCs w:val="20"/>
                <w:lang w:eastAsia="hr-HR"/>
              </w:rPr>
              <w:t>-</w:t>
            </w:r>
          </w:p>
        </w:tc>
        <w:tc>
          <w:tcPr>
            <w:tcW w:w="1376" w:type="dxa"/>
            <w:tcBorders>
              <w:top w:val="single" w:sz="4" w:space="0" w:color="auto"/>
              <w:left w:val="nil"/>
              <w:bottom w:val="single" w:sz="8" w:space="0" w:color="auto"/>
              <w:right w:val="nil"/>
            </w:tcBorders>
            <w:shd w:val="clear" w:color="auto" w:fill="auto"/>
            <w:vAlign w:val="bottom"/>
          </w:tcPr>
          <w:p w14:paraId="76CFB9EB" w14:textId="77777777" w:rsidR="009738EC" w:rsidRPr="00A23161" w:rsidRDefault="009738EC" w:rsidP="009738EC">
            <w:pPr>
              <w:spacing w:after="0" w:line="240" w:lineRule="auto"/>
              <w:jc w:val="right"/>
              <w:rPr>
                <w:rFonts w:ascii="Calibri" w:eastAsia="Times New Roman" w:hAnsi="Calibri" w:cs="Times New Roman"/>
                <w:b/>
                <w:bCs/>
                <w:color w:val="000000"/>
                <w:sz w:val="20"/>
                <w:szCs w:val="20"/>
                <w:lang w:eastAsia="hr-HR"/>
              </w:rPr>
            </w:pPr>
            <w:r w:rsidRPr="00A23161">
              <w:rPr>
                <w:rFonts w:ascii="Calibri" w:eastAsia="Times New Roman" w:hAnsi="Calibri" w:cs="Times New Roman"/>
                <w:b/>
                <w:bCs/>
                <w:color w:val="000000"/>
                <w:sz w:val="20"/>
                <w:szCs w:val="20"/>
                <w:lang w:eastAsia="hr-HR"/>
              </w:rPr>
              <w:t>-</w:t>
            </w:r>
          </w:p>
        </w:tc>
        <w:tc>
          <w:tcPr>
            <w:tcW w:w="1376" w:type="dxa"/>
            <w:tcBorders>
              <w:top w:val="single" w:sz="4" w:space="0" w:color="auto"/>
              <w:left w:val="nil"/>
              <w:bottom w:val="single" w:sz="8" w:space="0" w:color="auto"/>
              <w:right w:val="nil"/>
            </w:tcBorders>
            <w:shd w:val="clear" w:color="auto" w:fill="auto"/>
            <w:vAlign w:val="bottom"/>
          </w:tcPr>
          <w:p w14:paraId="1A1C5D71" w14:textId="77777777" w:rsidR="009738EC" w:rsidRPr="00A23161" w:rsidRDefault="009738EC" w:rsidP="009738EC">
            <w:pPr>
              <w:spacing w:after="0" w:line="240" w:lineRule="auto"/>
              <w:jc w:val="right"/>
              <w:rPr>
                <w:rFonts w:ascii="Calibri" w:eastAsia="Times New Roman" w:hAnsi="Calibri" w:cs="Times New Roman"/>
                <w:b/>
                <w:bCs/>
                <w:color w:val="000000"/>
                <w:sz w:val="20"/>
                <w:szCs w:val="20"/>
                <w:lang w:eastAsia="hr-HR"/>
              </w:rPr>
            </w:pPr>
            <w:r w:rsidRPr="00A23161">
              <w:rPr>
                <w:rFonts w:ascii="Calibri" w:eastAsia="Times New Roman" w:hAnsi="Calibri" w:cs="Times New Roman"/>
                <w:b/>
                <w:bCs/>
                <w:color w:val="000000"/>
                <w:sz w:val="20"/>
                <w:szCs w:val="20"/>
                <w:lang w:eastAsia="hr-HR"/>
              </w:rPr>
              <w:t>-</w:t>
            </w:r>
          </w:p>
        </w:tc>
      </w:tr>
    </w:tbl>
    <w:p w14:paraId="06897C28" w14:textId="77777777" w:rsidR="009738EC" w:rsidRDefault="009738EC" w:rsidP="00ED7F4D">
      <w:pPr>
        <w:spacing w:after="0" w:line="240" w:lineRule="auto"/>
        <w:rPr>
          <w:rFonts w:cs="Arial"/>
        </w:rPr>
      </w:pPr>
    </w:p>
    <w:p w14:paraId="636CB490" w14:textId="77777777" w:rsidR="009738EC" w:rsidRDefault="009738EC" w:rsidP="00ED7F4D">
      <w:pPr>
        <w:spacing w:after="0" w:line="240" w:lineRule="auto"/>
        <w:rPr>
          <w:rFonts w:cs="Arial"/>
        </w:rPr>
      </w:pPr>
    </w:p>
    <w:p w14:paraId="7E28DFA4" w14:textId="74ABBC23" w:rsidR="00ED7F4D" w:rsidRPr="00ED7F4D" w:rsidRDefault="00A86ACE" w:rsidP="00312975">
      <w:pPr>
        <w:spacing w:after="0" w:line="240" w:lineRule="auto"/>
        <w:jc w:val="both"/>
        <w:rPr>
          <w:rFonts w:cs="Arial"/>
        </w:rPr>
      </w:pPr>
      <w:r w:rsidRPr="00A86ACE">
        <w:rPr>
          <w:rFonts w:cs="Arial"/>
        </w:rPr>
        <w:t>Najznačajniji udio pričuva šteta odnosi se na pričuvu za nastale neprijavljene štete kod koje je došlo do promjene metode obračuna u odnosu na ist</w:t>
      </w:r>
      <w:r w:rsidR="004B61BF">
        <w:rPr>
          <w:rFonts w:cs="Arial"/>
        </w:rPr>
        <w:t>i</w:t>
      </w:r>
      <w:r w:rsidRPr="00A86ACE">
        <w:rPr>
          <w:rFonts w:cs="Arial"/>
        </w:rPr>
        <w:t xml:space="preserve"> </w:t>
      </w:r>
      <w:r w:rsidR="004B61BF">
        <w:rPr>
          <w:rFonts w:cs="Arial"/>
        </w:rPr>
        <w:t>obračunski datum</w:t>
      </w:r>
      <w:r w:rsidRPr="00A86ACE">
        <w:rPr>
          <w:rFonts w:cs="Arial"/>
        </w:rPr>
        <w:t xml:space="preserve"> prethodne godine. Korištena je </w:t>
      </w:r>
      <w:proofErr w:type="spellStart"/>
      <w:r w:rsidR="004B61BF">
        <w:rPr>
          <w:rFonts w:cs="Arial"/>
        </w:rPr>
        <w:t>Bornhuetter-Ferguson</w:t>
      </w:r>
      <w:proofErr w:type="spellEnd"/>
      <w:r w:rsidR="004B61BF">
        <w:rPr>
          <w:rFonts w:cs="Arial"/>
        </w:rPr>
        <w:t xml:space="preserve"> </w:t>
      </w:r>
      <w:r w:rsidRPr="00A86ACE">
        <w:rPr>
          <w:rFonts w:cs="Arial"/>
        </w:rPr>
        <w:t xml:space="preserve">metoda za bruto iznos </w:t>
      </w:r>
      <w:r w:rsidR="004B61BF">
        <w:rPr>
          <w:rFonts w:cs="Arial"/>
        </w:rPr>
        <w:t>pričuve. U</w:t>
      </w:r>
      <w:r w:rsidRPr="00A86ACE">
        <w:rPr>
          <w:rFonts w:cs="Arial"/>
        </w:rPr>
        <w:t xml:space="preserve">dio reosiguranja </w:t>
      </w:r>
      <w:r w:rsidR="004B61BF">
        <w:rPr>
          <w:rFonts w:cs="Arial"/>
        </w:rPr>
        <w:t>određen je u skladu s važećim uvjetima ugovora o reosiguranju.</w:t>
      </w:r>
      <w:r w:rsidRPr="00A86ACE">
        <w:rPr>
          <w:rFonts w:cs="Arial"/>
        </w:rPr>
        <w:t xml:space="preserve"> Uslijed toga došlo je do </w:t>
      </w:r>
      <w:r w:rsidR="004B61BF">
        <w:rPr>
          <w:rFonts w:cs="Arial"/>
        </w:rPr>
        <w:t>smanjenja ove</w:t>
      </w:r>
      <w:r w:rsidRPr="00A86ACE">
        <w:rPr>
          <w:rFonts w:cs="Arial"/>
        </w:rPr>
        <w:t xml:space="preserve"> pričuve </w:t>
      </w:r>
      <w:r w:rsidR="004B61BF">
        <w:rPr>
          <w:rFonts w:cs="Arial"/>
        </w:rPr>
        <w:t>u bruto iznosu kao i u udjelu reosiguranja</w:t>
      </w:r>
      <w:r w:rsidRPr="00A86ACE">
        <w:rPr>
          <w:rFonts w:cs="Arial"/>
        </w:rPr>
        <w:t xml:space="preserve"> u odnosu na isti </w:t>
      </w:r>
      <w:r w:rsidR="004B61BF">
        <w:rPr>
          <w:rFonts w:cs="Arial"/>
        </w:rPr>
        <w:t xml:space="preserve">obračunski </w:t>
      </w:r>
      <w:r w:rsidRPr="00A86ACE">
        <w:rPr>
          <w:rFonts w:cs="Arial"/>
        </w:rPr>
        <w:t>datum prethodne godine</w:t>
      </w:r>
      <w:r w:rsidR="004B61BF">
        <w:rPr>
          <w:rFonts w:cs="Arial"/>
        </w:rPr>
        <w:t>.</w:t>
      </w:r>
    </w:p>
    <w:p w14:paraId="5C4169F1" w14:textId="62704DBF" w:rsidR="00217802" w:rsidRDefault="00217802">
      <w:pPr>
        <w:pStyle w:val="ListParagraph"/>
        <w:spacing w:after="0" w:line="240" w:lineRule="auto"/>
        <w:ind w:left="0" w:right="508"/>
        <w:jc w:val="both"/>
      </w:pPr>
    </w:p>
    <w:p w14:paraId="548A21B5" w14:textId="77777777" w:rsidR="003B54D4" w:rsidRDefault="003B54D4" w:rsidP="00312975">
      <w:pPr>
        <w:pStyle w:val="ListParagraph"/>
        <w:spacing w:after="0" w:line="240" w:lineRule="auto"/>
        <w:ind w:left="0" w:right="508"/>
        <w:rPr>
          <w:rFonts w:eastAsia="Times New Roman" w:cs="Calibri"/>
          <w:b/>
          <w:lang w:eastAsia="hr-HR"/>
        </w:rPr>
        <w:sectPr w:rsidR="003B54D4" w:rsidSect="00312975">
          <w:footerReference w:type="first" r:id="rId66"/>
          <w:pgSz w:w="16838" w:h="11906" w:orient="landscape" w:code="9"/>
          <w:pgMar w:top="1418" w:right="595" w:bottom="1134" w:left="1418" w:header="709" w:footer="709" w:gutter="0"/>
          <w:cols w:space="708"/>
          <w:titlePg/>
          <w:docGrid w:linePitch="360"/>
        </w:sectPr>
      </w:pPr>
    </w:p>
    <w:p w14:paraId="523C10D1" w14:textId="77777777" w:rsidR="00202F35" w:rsidRDefault="00202F35" w:rsidP="00202F35">
      <w:pPr>
        <w:pStyle w:val="ListParagraph"/>
        <w:spacing w:after="0" w:line="240" w:lineRule="auto"/>
        <w:ind w:left="567"/>
        <w:jc w:val="both"/>
        <w:rPr>
          <w:rFonts w:eastAsia="Times New Roman" w:cs="Calibri"/>
          <w:b/>
          <w:lang w:eastAsia="hr-HR"/>
        </w:rPr>
      </w:pPr>
    </w:p>
    <w:p w14:paraId="655E09A0" w14:textId="2823D1CC" w:rsidR="00AE09B0" w:rsidRPr="0038086E" w:rsidRDefault="0038086E" w:rsidP="0038086E">
      <w:pPr>
        <w:tabs>
          <w:tab w:val="left" w:pos="567"/>
        </w:tabs>
        <w:spacing w:after="0" w:line="240" w:lineRule="auto"/>
        <w:jc w:val="both"/>
        <w:rPr>
          <w:rFonts w:eastAsia="Times New Roman" w:cs="Calibri"/>
          <w:b/>
          <w:lang w:eastAsia="hr-HR"/>
        </w:rPr>
      </w:pPr>
      <w:r>
        <w:rPr>
          <w:rFonts w:eastAsia="Times New Roman" w:cs="Calibri"/>
          <w:b/>
          <w:lang w:eastAsia="hr-HR"/>
        </w:rPr>
        <w:t>7.</w:t>
      </w:r>
      <w:r>
        <w:rPr>
          <w:rFonts w:eastAsia="Times New Roman" w:cs="Calibri"/>
          <w:b/>
          <w:lang w:eastAsia="hr-HR"/>
        </w:rPr>
        <w:tab/>
      </w:r>
      <w:r w:rsidR="00AE09B0" w:rsidRPr="0038086E">
        <w:rPr>
          <w:rFonts w:eastAsia="Times New Roman" w:cs="Calibri"/>
          <w:b/>
          <w:lang w:eastAsia="hr-HR"/>
        </w:rPr>
        <w:t>Gubitak od umanjenja vrijednosti i rezerviranja</w:t>
      </w:r>
      <w:r w:rsidR="00202F35" w:rsidRPr="0038086E">
        <w:rPr>
          <w:rFonts w:eastAsia="Times New Roman" w:cs="Calibri"/>
          <w:b/>
          <w:lang w:eastAsia="hr-HR"/>
        </w:rPr>
        <w:t>:</w:t>
      </w:r>
    </w:p>
    <w:p w14:paraId="63A427F3" w14:textId="77777777" w:rsidR="002E7C23" w:rsidRDefault="002E7C23" w:rsidP="00202F35">
      <w:pPr>
        <w:pStyle w:val="T1"/>
        <w:spacing w:before="0" w:after="0" w:line="240" w:lineRule="auto"/>
        <w:rPr>
          <w:rFonts w:asciiTheme="minorHAnsi" w:hAnsiTheme="minorHAnsi" w:cs="Calibri"/>
          <w:bCs w:val="0"/>
          <w:sz w:val="22"/>
          <w:szCs w:val="22"/>
          <w:lang w:val="hr-HR" w:eastAsia="hr-HR"/>
        </w:rPr>
      </w:pPr>
    </w:p>
    <w:p w14:paraId="2B9D738A" w14:textId="77777777" w:rsidR="009F6466" w:rsidRDefault="00202F35" w:rsidP="009F6466">
      <w:pPr>
        <w:pStyle w:val="T1"/>
        <w:spacing w:before="0" w:after="0" w:line="240" w:lineRule="auto"/>
        <w:rPr>
          <w:rFonts w:asciiTheme="minorHAnsi" w:hAnsiTheme="minorHAnsi" w:cs="Arial"/>
          <w:b w:val="0"/>
          <w:bCs w:val="0"/>
          <w:sz w:val="22"/>
          <w:szCs w:val="22"/>
          <w:lang w:val="hr-HR"/>
        </w:rPr>
      </w:pPr>
      <w:r w:rsidRPr="00007FC2">
        <w:rPr>
          <w:rFonts w:asciiTheme="minorHAnsi" w:hAnsiTheme="minorHAnsi" w:cs="Arial"/>
          <w:b w:val="0"/>
          <w:bCs w:val="0"/>
          <w:sz w:val="22"/>
          <w:szCs w:val="22"/>
          <w:lang w:val="hr-HR"/>
        </w:rPr>
        <w:t>Rezerviranja za moguće gubitke po plasmanima mogu se prikazati kako slijedi:</w:t>
      </w:r>
    </w:p>
    <w:tbl>
      <w:tblPr>
        <w:tblW w:w="14317" w:type="dxa"/>
        <w:tblLayout w:type="fixed"/>
        <w:tblLook w:val="04A0" w:firstRow="1" w:lastRow="0" w:firstColumn="1" w:lastColumn="0" w:noHBand="0" w:noVBand="1"/>
      </w:tblPr>
      <w:tblGrid>
        <w:gridCol w:w="4253"/>
        <w:gridCol w:w="1258"/>
        <w:gridCol w:w="1258"/>
        <w:gridCol w:w="1258"/>
        <w:gridCol w:w="1258"/>
        <w:gridCol w:w="1258"/>
        <w:gridCol w:w="1258"/>
        <w:gridCol w:w="1258"/>
        <w:gridCol w:w="1258"/>
      </w:tblGrid>
      <w:tr w:rsidR="00FA2889" w:rsidRPr="00F112E8" w14:paraId="616AF48E" w14:textId="77777777" w:rsidTr="00060490">
        <w:trPr>
          <w:trHeight w:val="255"/>
        </w:trPr>
        <w:tc>
          <w:tcPr>
            <w:tcW w:w="4253" w:type="dxa"/>
            <w:tcBorders>
              <w:top w:val="nil"/>
              <w:left w:val="nil"/>
              <w:bottom w:val="nil"/>
              <w:right w:val="nil"/>
            </w:tcBorders>
            <w:shd w:val="clear" w:color="auto" w:fill="auto"/>
            <w:noWrap/>
            <w:vAlign w:val="bottom"/>
            <w:hideMark/>
          </w:tcPr>
          <w:p w14:paraId="1B2C4B0D" w14:textId="77777777" w:rsidR="00FA2889" w:rsidRPr="00F112E8" w:rsidRDefault="00FA2889" w:rsidP="00060490">
            <w:pPr>
              <w:spacing w:after="0" w:line="240" w:lineRule="auto"/>
              <w:rPr>
                <w:rFonts w:ascii="Times New Roman" w:eastAsia="Times New Roman" w:hAnsi="Times New Roman" w:cs="Times New Roman"/>
                <w:sz w:val="24"/>
                <w:szCs w:val="24"/>
                <w:lang w:eastAsia="hr-HR"/>
              </w:rPr>
            </w:pPr>
          </w:p>
        </w:tc>
        <w:tc>
          <w:tcPr>
            <w:tcW w:w="5032" w:type="dxa"/>
            <w:gridSpan w:val="4"/>
            <w:tcBorders>
              <w:top w:val="nil"/>
              <w:left w:val="nil"/>
              <w:bottom w:val="nil"/>
              <w:right w:val="nil"/>
            </w:tcBorders>
            <w:shd w:val="clear" w:color="auto" w:fill="auto"/>
            <w:noWrap/>
            <w:vAlign w:val="bottom"/>
            <w:hideMark/>
          </w:tcPr>
          <w:p w14:paraId="0D47E414" w14:textId="77777777" w:rsidR="00FA2889" w:rsidRPr="00F112E8" w:rsidRDefault="00FA2889" w:rsidP="00060490">
            <w:pPr>
              <w:spacing w:after="0" w:line="240" w:lineRule="auto"/>
              <w:jc w:val="right"/>
              <w:rPr>
                <w:rFonts w:ascii="Calibri" w:eastAsia="Times New Roman" w:hAnsi="Calibri" w:cs="Times New Roman"/>
                <w:b/>
                <w:bCs/>
                <w:sz w:val="20"/>
                <w:szCs w:val="20"/>
                <w:lang w:eastAsia="hr-HR"/>
              </w:rPr>
            </w:pPr>
            <w:r w:rsidRPr="00F112E8">
              <w:rPr>
                <w:rFonts w:ascii="Calibri" w:eastAsia="Times New Roman" w:hAnsi="Calibri" w:cs="Times New Roman"/>
                <w:b/>
                <w:bCs/>
                <w:sz w:val="20"/>
                <w:szCs w:val="20"/>
                <w:lang w:eastAsia="hr-HR"/>
              </w:rPr>
              <w:t>Grupa</w:t>
            </w:r>
          </w:p>
        </w:tc>
        <w:tc>
          <w:tcPr>
            <w:tcW w:w="5032" w:type="dxa"/>
            <w:gridSpan w:val="4"/>
            <w:tcBorders>
              <w:top w:val="nil"/>
              <w:left w:val="nil"/>
              <w:bottom w:val="nil"/>
              <w:right w:val="nil"/>
            </w:tcBorders>
            <w:shd w:val="clear" w:color="auto" w:fill="auto"/>
            <w:noWrap/>
            <w:vAlign w:val="bottom"/>
            <w:hideMark/>
          </w:tcPr>
          <w:p w14:paraId="1A058924" w14:textId="77777777" w:rsidR="00FA2889" w:rsidRPr="00F112E8" w:rsidRDefault="00FA2889" w:rsidP="00060490">
            <w:pPr>
              <w:spacing w:after="0" w:line="240" w:lineRule="auto"/>
              <w:jc w:val="right"/>
              <w:rPr>
                <w:rFonts w:ascii="Calibri" w:eastAsia="Times New Roman" w:hAnsi="Calibri" w:cs="Times New Roman"/>
                <w:b/>
                <w:bCs/>
                <w:sz w:val="20"/>
                <w:szCs w:val="20"/>
                <w:lang w:eastAsia="hr-HR"/>
              </w:rPr>
            </w:pPr>
            <w:r w:rsidRPr="00F112E8">
              <w:rPr>
                <w:rFonts w:ascii="Calibri" w:eastAsia="Times New Roman" w:hAnsi="Calibri" w:cs="Times New Roman"/>
                <w:b/>
                <w:bCs/>
                <w:sz w:val="20"/>
                <w:szCs w:val="20"/>
                <w:lang w:eastAsia="hr-HR"/>
              </w:rPr>
              <w:t>Banka</w:t>
            </w:r>
          </w:p>
        </w:tc>
      </w:tr>
      <w:tr w:rsidR="00FA2889" w:rsidRPr="00F112E8" w14:paraId="5FF43A45" w14:textId="77777777" w:rsidTr="00060490">
        <w:trPr>
          <w:trHeight w:val="255"/>
        </w:trPr>
        <w:tc>
          <w:tcPr>
            <w:tcW w:w="4253" w:type="dxa"/>
            <w:tcBorders>
              <w:top w:val="nil"/>
              <w:left w:val="nil"/>
              <w:bottom w:val="nil"/>
              <w:right w:val="nil"/>
            </w:tcBorders>
            <w:shd w:val="clear" w:color="auto" w:fill="auto"/>
            <w:vAlign w:val="center"/>
            <w:hideMark/>
          </w:tcPr>
          <w:p w14:paraId="5F34DA8E" w14:textId="77777777" w:rsidR="00FA2889" w:rsidRPr="00F112E8" w:rsidRDefault="00FA2889" w:rsidP="00060490">
            <w:pPr>
              <w:spacing w:after="0" w:line="240" w:lineRule="auto"/>
              <w:jc w:val="right"/>
              <w:rPr>
                <w:rFonts w:ascii="Calibri" w:eastAsia="Times New Roman" w:hAnsi="Calibri" w:cs="Times New Roman"/>
                <w:b/>
                <w:bCs/>
                <w:sz w:val="20"/>
                <w:szCs w:val="20"/>
                <w:lang w:eastAsia="hr-HR"/>
              </w:rPr>
            </w:pPr>
          </w:p>
        </w:tc>
        <w:tc>
          <w:tcPr>
            <w:tcW w:w="2516" w:type="dxa"/>
            <w:gridSpan w:val="2"/>
            <w:tcBorders>
              <w:top w:val="nil"/>
              <w:left w:val="nil"/>
              <w:bottom w:val="nil"/>
              <w:right w:val="nil"/>
            </w:tcBorders>
            <w:shd w:val="clear" w:color="auto" w:fill="auto"/>
            <w:vAlign w:val="bottom"/>
            <w:hideMark/>
          </w:tcPr>
          <w:p w14:paraId="09B153CE" w14:textId="460C7366" w:rsidR="00FA2889" w:rsidRPr="00F112E8" w:rsidRDefault="00FA2889">
            <w:pPr>
              <w:spacing w:after="0" w:line="240" w:lineRule="auto"/>
              <w:jc w:val="center"/>
              <w:rPr>
                <w:rFonts w:ascii="Calibri" w:eastAsia="Times New Roman" w:hAnsi="Calibri" w:cs="Times New Roman"/>
                <w:b/>
                <w:bCs/>
                <w:color w:val="000000"/>
                <w:sz w:val="20"/>
                <w:szCs w:val="20"/>
                <w:lang w:eastAsia="hr-HR"/>
              </w:rPr>
            </w:pPr>
            <w:r w:rsidRPr="00F112E8">
              <w:rPr>
                <w:rFonts w:ascii="Calibri" w:eastAsia="Times New Roman" w:hAnsi="Calibri" w:cs="Times New Roman"/>
                <w:b/>
                <w:bCs/>
                <w:color w:val="000000"/>
                <w:sz w:val="20"/>
                <w:szCs w:val="20"/>
                <w:lang w:eastAsia="hr-HR"/>
              </w:rPr>
              <w:t>201</w:t>
            </w:r>
            <w:r>
              <w:rPr>
                <w:rFonts w:ascii="Calibri" w:eastAsia="Times New Roman" w:hAnsi="Calibri" w:cs="Times New Roman"/>
                <w:b/>
                <w:bCs/>
                <w:color w:val="000000"/>
                <w:sz w:val="20"/>
                <w:szCs w:val="20"/>
                <w:lang w:eastAsia="hr-HR"/>
              </w:rPr>
              <w:t>7</w:t>
            </w:r>
            <w:r w:rsidRPr="00F112E8">
              <w:rPr>
                <w:rFonts w:ascii="Calibri" w:eastAsia="Times New Roman" w:hAnsi="Calibri" w:cs="Times New Roman"/>
                <w:b/>
                <w:bCs/>
                <w:color w:val="000000"/>
                <w:sz w:val="20"/>
                <w:szCs w:val="20"/>
                <w:lang w:eastAsia="hr-HR"/>
              </w:rPr>
              <w:t>.</w:t>
            </w:r>
          </w:p>
        </w:tc>
        <w:tc>
          <w:tcPr>
            <w:tcW w:w="2516" w:type="dxa"/>
            <w:gridSpan w:val="2"/>
            <w:tcBorders>
              <w:top w:val="nil"/>
              <w:left w:val="nil"/>
              <w:bottom w:val="nil"/>
              <w:right w:val="nil"/>
            </w:tcBorders>
            <w:shd w:val="clear" w:color="auto" w:fill="auto"/>
            <w:vAlign w:val="bottom"/>
            <w:hideMark/>
          </w:tcPr>
          <w:p w14:paraId="72E8AD9F" w14:textId="1D889A3B" w:rsidR="00FA2889" w:rsidRPr="00F112E8" w:rsidRDefault="00FA2889">
            <w:pPr>
              <w:spacing w:after="0" w:line="240" w:lineRule="auto"/>
              <w:jc w:val="center"/>
              <w:rPr>
                <w:rFonts w:ascii="Calibri" w:eastAsia="Times New Roman" w:hAnsi="Calibri" w:cs="Times New Roman"/>
                <w:b/>
                <w:bCs/>
                <w:sz w:val="20"/>
                <w:szCs w:val="20"/>
                <w:lang w:eastAsia="hr-HR"/>
              </w:rPr>
            </w:pPr>
            <w:r w:rsidRPr="00F112E8">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6</w:t>
            </w:r>
            <w:r w:rsidRPr="00F112E8">
              <w:rPr>
                <w:rFonts w:ascii="Calibri" w:eastAsia="Times New Roman" w:hAnsi="Calibri" w:cs="Times New Roman"/>
                <w:b/>
                <w:bCs/>
                <w:sz w:val="20"/>
                <w:szCs w:val="20"/>
                <w:lang w:eastAsia="hr-HR"/>
              </w:rPr>
              <w:t>.</w:t>
            </w:r>
          </w:p>
        </w:tc>
        <w:tc>
          <w:tcPr>
            <w:tcW w:w="2516" w:type="dxa"/>
            <w:gridSpan w:val="2"/>
            <w:tcBorders>
              <w:top w:val="nil"/>
              <w:left w:val="nil"/>
              <w:bottom w:val="nil"/>
              <w:right w:val="nil"/>
            </w:tcBorders>
            <w:shd w:val="clear" w:color="auto" w:fill="auto"/>
            <w:vAlign w:val="bottom"/>
            <w:hideMark/>
          </w:tcPr>
          <w:p w14:paraId="635997E8" w14:textId="15D63848" w:rsidR="00FA2889" w:rsidRPr="00F112E8" w:rsidRDefault="00FA2889">
            <w:pPr>
              <w:spacing w:after="0" w:line="240" w:lineRule="auto"/>
              <w:jc w:val="center"/>
              <w:rPr>
                <w:rFonts w:ascii="Calibri" w:eastAsia="Times New Roman" w:hAnsi="Calibri" w:cs="Times New Roman"/>
                <w:b/>
                <w:bCs/>
                <w:sz w:val="20"/>
                <w:szCs w:val="20"/>
                <w:lang w:eastAsia="hr-HR"/>
              </w:rPr>
            </w:pPr>
            <w:r w:rsidRPr="00F112E8">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7</w:t>
            </w:r>
            <w:r w:rsidRPr="00F112E8">
              <w:rPr>
                <w:rFonts w:ascii="Calibri" w:eastAsia="Times New Roman" w:hAnsi="Calibri" w:cs="Times New Roman"/>
                <w:b/>
                <w:bCs/>
                <w:sz w:val="20"/>
                <w:szCs w:val="20"/>
                <w:lang w:eastAsia="hr-HR"/>
              </w:rPr>
              <w:t>.</w:t>
            </w:r>
          </w:p>
        </w:tc>
        <w:tc>
          <w:tcPr>
            <w:tcW w:w="2516" w:type="dxa"/>
            <w:gridSpan w:val="2"/>
            <w:tcBorders>
              <w:top w:val="nil"/>
              <w:left w:val="nil"/>
              <w:bottom w:val="nil"/>
              <w:right w:val="nil"/>
            </w:tcBorders>
            <w:shd w:val="clear" w:color="auto" w:fill="auto"/>
            <w:vAlign w:val="bottom"/>
            <w:hideMark/>
          </w:tcPr>
          <w:p w14:paraId="7F2595E4" w14:textId="079C8D4C" w:rsidR="00FA2889" w:rsidRPr="00F112E8" w:rsidRDefault="00FA2889">
            <w:pPr>
              <w:spacing w:after="0" w:line="240" w:lineRule="auto"/>
              <w:jc w:val="center"/>
              <w:rPr>
                <w:rFonts w:ascii="Calibri" w:eastAsia="Times New Roman" w:hAnsi="Calibri" w:cs="Times New Roman"/>
                <w:b/>
                <w:bCs/>
                <w:sz w:val="20"/>
                <w:szCs w:val="20"/>
                <w:lang w:eastAsia="hr-HR"/>
              </w:rPr>
            </w:pPr>
            <w:r w:rsidRPr="00F112E8">
              <w:rPr>
                <w:rFonts w:ascii="Calibri" w:eastAsia="Times New Roman" w:hAnsi="Calibri" w:cs="Times New Roman"/>
                <w:b/>
                <w:bCs/>
                <w:sz w:val="20"/>
                <w:szCs w:val="20"/>
                <w:lang w:eastAsia="hr-HR"/>
              </w:rPr>
              <w:t>201</w:t>
            </w:r>
            <w:r>
              <w:rPr>
                <w:rFonts w:ascii="Calibri" w:eastAsia="Times New Roman" w:hAnsi="Calibri" w:cs="Times New Roman"/>
                <w:b/>
                <w:bCs/>
                <w:sz w:val="20"/>
                <w:szCs w:val="20"/>
                <w:lang w:eastAsia="hr-HR"/>
              </w:rPr>
              <w:t>6</w:t>
            </w:r>
            <w:r w:rsidRPr="00F112E8">
              <w:rPr>
                <w:rFonts w:ascii="Calibri" w:eastAsia="Times New Roman" w:hAnsi="Calibri" w:cs="Times New Roman"/>
                <w:b/>
                <w:bCs/>
                <w:sz w:val="20"/>
                <w:szCs w:val="20"/>
                <w:lang w:eastAsia="hr-HR"/>
              </w:rPr>
              <w:t>.</w:t>
            </w:r>
          </w:p>
        </w:tc>
      </w:tr>
      <w:tr w:rsidR="00FA2889" w:rsidRPr="00F112E8" w14:paraId="75F0449C" w14:textId="77777777" w:rsidTr="00060490">
        <w:trPr>
          <w:trHeight w:val="540"/>
        </w:trPr>
        <w:tc>
          <w:tcPr>
            <w:tcW w:w="4253" w:type="dxa"/>
            <w:tcBorders>
              <w:top w:val="nil"/>
              <w:left w:val="nil"/>
              <w:bottom w:val="nil"/>
              <w:right w:val="nil"/>
            </w:tcBorders>
            <w:shd w:val="clear" w:color="auto" w:fill="auto"/>
            <w:vAlign w:val="center"/>
            <w:hideMark/>
          </w:tcPr>
          <w:p w14:paraId="376C5F61" w14:textId="77777777" w:rsidR="00FA2889" w:rsidRPr="00F112E8" w:rsidRDefault="00FA2889" w:rsidP="00060490">
            <w:pPr>
              <w:spacing w:after="0" w:line="240" w:lineRule="auto"/>
              <w:jc w:val="center"/>
              <w:rPr>
                <w:rFonts w:ascii="Calibri" w:eastAsia="Times New Roman" w:hAnsi="Calibri" w:cs="Times New Roman"/>
                <w:b/>
                <w:bCs/>
                <w:sz w:val="20"/>
                <w:szCs w:val="20"/>
                <w:lang w:eastAsia="hr-HR"/>
              </w:rPr>
            </w:pPr>
          </w:p>
        </w:tc>
        <w:tc>
          <w:tcPr>
            <w:tcW w:w="1258" w:type="dxa"/>
            <w:tcBorders>
              <w:top w:val="nil"/>
              <w:left w:val="nil"/>
              <w:bottom w:val="nil"/>
              <w:right w:val="nil"/>
            </w:tcBorders>
            <w:shd w:val="clear" w:color="auto" w:fill="auto"/>
            <w:vAlign w:val="center"/>
            <w:hideMark/>
          </w:tcPr>
          <w:p w14:paraId="5393DECF" w14:textId="77777777" w:rsidR="00FA2889" w:rsidRPr="00F112E8" w:rsidRDefault="00FA2889" w:rsidP="00060490">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Tekuće razdoblje</w:t>
            </w:r>
          </w:p>
        </w:tc>
        <w:tc>
          <w:tcPr>
            <w:tcW w:w="1258" w:type="dxa"/>
            <w:tcBorders>
              <w:top w:val="nil"/>
              <w:left w:val="nil"/>
              <w:bottom w:val="nil"/>
              <w:right w:val="nil"/>
            </w:tcBorders>
            <w:shd w:val="clear" w:color="auto" w:fill="auto"/>
            <w:vAlign w:val="center"/>
            <w:hideMark/>
          </w:tcPr>
          <w:p w14:paraId="6AD78B7B" w14:textId="77777777" w:rsidR="00FA2889" w:rsidRPr="00F112E8" w:rsidRDefault="00FA2889" w:rsidP="00060490">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Kumulativ</w:t>
            </w:r>
          </w:p>
        </w:tc>
        <w:tc>
          <w:tcPr>
            <w:tcW w:w="1258" w:type="dxa"/>
            <w:tcBorders>
              <w:top w:val="nil"/>
              <w:left w:val="nil"/>
              <w:bottom w:val="nil"/>
              <w:right w:val="nil"/>
            </w:tcBorders>
            <w:shd w:val="clear" w:color="auto" w:fill="auto"/>
            <w:vAlign w:val="center"/>
            <w:hideMark/>
          </w:tcPr>
          <w:p w14:paraId="6A0ED72E" w14:textId="77777777" w:rsidR="00FA2889" w:rsidRPr="00F112E8" w:rsidRDefault="00FA2889" w:rsidP="00060490">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Tekuće razdoblje</w:t>
            </w:r>
          </w:p>
        </w:tc>
        <w:tc>
          <w:tcPr>
            <w:tcW w:w="1258" w:type="dxa"/>
            <w:tcBorders>
              <w:top w:val="nil"/>
              <w:left w:val="nil"/>
              <w:bottom w:val="nil"/>
              <w:right w:val="nil"/>
            </w:tcBorders>
            <w:shd w:val="clear" w:color="auto" w:fill="auto"/>
            <w:vAlign w:val="center"/>
            <w:hideMark/>
          </w:tcPr>
          <w:p w14:paraId="5661F652" w14:textId="77777777" w:rsidR="00FA2889" w:rsidRPr="00F112E8" w:rsidRDefault="00FA2889" w:rsidP="00060490">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Kumulativ</w:t>
            </w:r>
          </w:p>
        </w:tc>
        <w:tc>
          <w:tcPr>
            <w:tcW w:w="1258" w:type="dxa"/>
            <w:tcBorders>
              <w:top w:val="nil"/>
              <w:left w:val="nil"/>
              <w:bottom w:val="nil"/>
              <w:right w:val="nil"/>
            </w:tcBorders>
            <w:shd w:val="clear" w:color="auto" w:fill="auto"/>
            <w:vAlign w:val="center"/>
            <w:hideMark/>
          </w:tcPr>
          <w:p w14:paraId="0733963D" w14:textId="77777777" w:rsidR="00FA2889" w:rsidRPr="00F112E8" w:rsidRDefault="00FA2889" w:rsidP="00060490">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Tekuće razdoblje</w:t>
            </w:r>
          </w:p>
        </w:tc>
        <w:tc>
          <w:tcPr>
            <w:tcW w:w="1258" w:type="dxa"/>
            <w:tcBorders>
              <w:top w:val="nil"/>
              <w:left w:val="nil"/>
              <w:bottom w:val="nil"/>
              <w:right w:val="nil"/>
            </w:tcBorders>
            <w:shd w:val="clear" w:color="auto" w:fill="auto"/>
            <w:vAlign w:val="center"/>
            <w:hideMark/>
          </w:tcPr>
          <w:p w14:paraId="61174B98" w14:textId="77777777" w:rsidR="00FA2889" w:rsidRPr="00F112E8" w:rsidRDefault="00FA2889" w:rsidP="00060490">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Kumulativ</w:t>
            </w:r>
          </w:p>
        </w:tc>
        <w:tc>
          <w:tcPr>
            <w:tcW w:w="1258" w:type="dxa"/>
            <w:tcBorders>
              <w:top w:val="nil"/>
              <w:left w:val="nil"/>
              <w:bottom w:val="nil"/>
              <w:right w:val="nil"/>
            </w:tcBorders>
            <w:shd w:val="clear" w:color="auto" w:fill="auto"/>
            <w:vAlign w:val="center"/>
            <w:hideMark/>
          </w:tcPr>
          <w:p w14:paraId="55BBF137" w14:textId="77777777" w:rsidR="00FA2889" w:rsidRPr="00F112E8" w:rsidRDefault="00FA2889" w:rsidP="00060490">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Tekuće razdoblje</w:t>
            </w:r>
          </w:p>
        </w:tc>
        <w:tc>
          <w:tcPr>
            <w:tcW w:w="1258" w:type="dxa"/>
            <w:tcBorders>
              <w:top w:val="nil"/>
              <w:left w:val="nil"/>
              <w:bottom w:val="nil"/>
              <w:right w:val="nil"/>
            </w:tcBorders>
            <w:shd w:val="clear" w:color="auto" w:fill="auto"/>
            <w:vAlign w:val="center"/>
            <w:hideMark/>
          </w:tcPr>
          <w:p w14:paraId="2621B382" w14:textId="77777777" w:rsidR="00FA2889" w:rsidRPr="00F112E8" w:rsidRDefault="00FA2889" w:rsidP="00060490">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Kumulativ</w:t>
            </w:r>
          </w:p>
        </w:tc>
      </w:tr>
      <w:tr w:rsidR="00FA2889" w:rsidRPr="00F112E8" w14:paraId="629693E3" w14:textId="77777777" w:rsidTr="00312975">
        <w:trPr>
          <w:trHeight w:val="345"/>
        </w:trPr>
        <w:tc>
          <w:tcPr>
            <w:tcW w:w="4253" w:type="dxa"/>
            <w:tcBorders>
              <w:top w:val="nil"/>
              <w:left w:val="nil"/>
              <w:bottom w:val="nil"/>
              <w:right w:val="nil"/>
            </w:tcBorders>
            <w:shd w:val="clear" w:color="auto" w:fill="auto"/>
            <w:vAlign w:val="center"/>
            <w:hideMark/>
          </w:tcPr>
          <w:p w14:paraId="1D851254" w14:textId="77777777" w:rsidR="00FA2889" w:rsidRPr="00F112E8" w:rsidRDefault="00FA2889" w:rsidP="00060490">
            <w:pPr>
              <w:spacing w:after="0" w:line="240" w:lineRule="auto"/>
              <w:jc w:val="center"/>
              <w:rPr>
                <w:rFonts w:ascii="Calibri" w:eastAsia="Times New Roman" w:hAnsi="Calibri" w:cs="Times New Roman"/>
                <w:color w:val="000000"/>
                <w:sz w:val="20"/>
                <w:szCs w:val="20"/>
                <w:lang w:eastAsia="hr-HR"/>
              </w:rPr>
            </w:pPr>
          </w:p>
        </w:tc>
        <w:tc>
          <w:tcPr>
            <w:tcW w:w="1258" w:type="dxa"/>
            <w:tcBorders>
              <w:top w:val="nil"/>
              <w:left w:val="nil"/>
              <w:bottom w:val="nil"/>
              <w:right w:val="nil"/>
            </w:tcBorders>
            <w:shd w:val="clear" w:color="auto" w:fill="auto"/>
            <w:vAlign w:val="center"/>
            <w:hideMark/>
          </w:tcPr>
          <w:p w14:paraId="151CEB86" w14:textId="77777777" w:rsidR="00FA2889" w:rsidRPr="00F112E8" w:rsidRDefault="00FA2889" w:rsidP="00060490">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1.4. - 30.6.</w:t>
            </w:r>
          </w:p>
        </w:tc>
        <w:tc>
          <w:tcPr>
            <w:tcW w:w="1258" w:type="dxa"/>
            <w:tcBorders>
              <w:top w:val="nil"/>
              <w:left w:val="nil"/>
              <w:bottom w:val="nil"/>
              <w:right w:val="nil"/>
            </w:tcBorders>
            <w:shd w:val="clear" w:color="auto" w:fill="auto"/>
            <w:vAlign w:val="center"/>
            <w:hideMark/>
          </w:tcPr>
          <w:p w14:paraId="11842057" w14:textId="77777777" w:rsidR="00FA2889" w:rsidRPr="00F112E8" w:rsidRDefault="00FA2889" w:rsidP="00060490">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1.1. - 30.6.</w:t>
            </w:r>
          </w:p>
        </w:tc>
        <w:tc>
          <w:tcPr>
            <w:tcW w:w="1258" w:type="dxa"/>
            <w:tcBorders>
              <w:top w:val="nil"/>
              <w:left w:val="nil"/>
              <w:bottom w:val="nil"/>
              <w:right w:val="nil"/>
            </w:tcBorders>
            <w:shd w:val="clear" w:color="auto" w:fill="auto"/>
            <w:vAlign w:val="center"/>
            <w:hideMark/>
          </w:tcPr>
          <w:p w14:paraId="14D966FA" w14:textId="77777777" w:rsidR="00FA2889" w:rsidRPr="00F112E8" w:rsidRDefault="00FA2889" w:rsidP="00060490">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1.4. - 30.6.</w:t>
            </w:r>
          </w:p>
        </w:tc>
        <w:tc>
          <w:tcPr>
            <w:tcW w:w="1258" w:type="dxa"/>
            <w:tcBorders>
              <w:top w:val="nil"/>
              <w:left w:val="nil"/>
              <w:bottom w:val="nil"/>
              <w:right w:val="nil"/>
            </w:tcBorders>
            <w:shd w:val="clear" w:color="auto" w:fill="auto"/>
            <w:vAlign w:val="center"/>
            <w:hideMark/>
          </w:tcPr>
          <w:p w14:paraId="73502F3A" w14:textId="77777777" w:rsidR="00FA2889" w:rsidRPr="00F112E8" w:rsidRDefault="00FA2889" w:rsidP="00060490">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1.1. - 30.6.</w:t>
            </w:r>
          </w:p>
        </w:tc>
        <w:tc>
          <w:tcPr>
            <w:tcW w:w="1258" w:type="dxa"/>
            <w:tcBorders>
              <w:top w:val="nil"/>
              <w:left w:val="nil"/>
              <w:bottom w:val="nil"/>
              <w:right w:val="nil"/>
            </w:tcBorders>
            <w:shd w:val="clear" w:color="auto" w:fill="auto"/>
            <w:vAlign w:val="center"/>
            <w:hideMark/>
          </w:tcPr>
          <w:p w14:paraId="6630BCED" w14:textId="77777777" w:rsidR="00FA2889" w:rsidRPr="00F112E8" w:rsidRDefault="00FA2889" w:rsidP="00060490">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1.4. - 30.6.</w:t>
            </w:r>
          </w:p>
        </w:tc>
        <w:tc>
          <w:tcPr>
            <w:tcW w:w="1258" w:type="dxa"/>
            <w:tcBorders>
              <w:top w:val="nil"/>
              <w:left w:val="nil"/>
              <w:bottom w:val="nil"/>
              <w:right w:val="nil"/>
            </w:tcBorders>
            <w:shd w:val="clear" w:color="auto" w:fill="auto"/>
            <w:vAlign w:val="center"/>
            <w:hideMark/>
          </w:tcPr>
          <w:p w14:paraId="76CCCFD9" w14:textId="77777777" w:rsidR="00FA2889" w:rsidRPr="00F112E8" w:rsidRDefault="00FA2889" w:rsidP="00060490">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1.1. - 30.6.</w:t>
            </w:r>
          </w:p>
        </w:tc>
        <w:tc>
          <w:tcPr>
            <w:tcW w:w="1258" w:type="dxa"/>
            <w:tcBorders>
              <w:top w:val="nil"/>
              <w:left w:val="nil"/>
              <w:bottom w:val="nil"/>
              <w:right w:val="nil"/>
            </w:tcBorders>
            <w:shd w:val="clear" w:color="auto" w:fill="auto"/>
            <w:vAlign w:val="center"/>
            <w:hideMark/>
          </w:tcPr>
          <w:p w14:paraId="2A4EAC6C" w14:textId="77777777" w:rsidR="00FA2889" w:rsidRPr="00F112E8" w:rsidRDefault="00FA2889" w:rsidP="00060490">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1.4. - 30.6.</w:t>
            </w:r>
          </w:p>
        </w:tc>
        <w:tc>
          <w:tcPr>
            <w:tcW w:w="1258" w:type="dxa"/>
            <w:tcBorders>
              <w:top w:val="nil"/>
              <w:left w:val="nil"/>
              <w:bottom w:val="nil"/>
              <w:right w:val="nil"/>
            </w:tcBorders>
            <w:shd w:val="clear" w:color="auto" w:fill="auto"/>
            <w:vAlign w:val="center"/>
            <w:hideMark/>
          </w:tcPr>
          <w:p w14:paraId="273976FD" w14:textId="77777777" w:rsidR="00FA2889" w:rsidRPr="00F112E8" w:rsidRDefault="00FA2889" w:rsidP="00060490">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1.1. - 30.6.</w:t>
            </w:r>
          </w:p>
        </w:tc>
      </w:tr>
      <w:tr w:rsidR="00745CE4" w:rsidRPr="00F112E8" w14:paraId="3DD99073" w14:textId="77777777" w:rsidTr="00312975">
        <w:trPr>
          <w:trHeight w:val="446"/>
        </w:trPr>
        <w:tc>
          <w:tcPr>
            <w:tcW w:w="4253" w:type="dxa"/>
            <w:tcBorders>
              <w:top w:val="nil"/>
              <w:left w:val="nil"/>
              <w:bottom w:val="nil"/>
              <w:right w:val="nil"/>
            </w:tcBorders>
            <w:shd w:val="clear" w:color="auto" w:fill="auto"/>
            <w:vAlign w:val="bottom"/>
            <w:hideMark/>
          </w:tcPr>
          <w:p w14:paraId="45B44C59" w14:textId="77777777" w:rsidR="00745CE4" w:rsidRPr="00F112E8" w:rsidRDefault="00745CE4" w:rsidP="00745CE4">
            <w:pPr>
              <w:spacing w:after="0" w:line="240" w:lineRule="auto"/>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Rezerviranja za moguće gubitke po računima kod banaka</w:t>
            </w:r>
          </w:p>
        </w:tc>
        <w:tc>
          <w:tcPr>
            <w:tcW w:w="1258" w:type="dxa"/>
            <w:tcBorders>
              <w:top w:val="nil"/>
              <w:left w:val="nil"/>
              <w:bottom w:val="nil"/>
              <w:right w:val="nil"/>
            </w:tcBorders>
            <w:shd w:val="clear" w:color="auto" w:fill="auto"/>
            <w:vAlign w:val="bottom"/>
            <w:hideMark/>
          </w:tcPr>
          <w:p w14:paraId="30E1C6DA" w14:textId="27E34F85"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(14.970)</w:t>
            </w:r>
          </w:p>
        </w:tc>
        <w:tc>
          <w:tcPr>
            <w:tcW w:w="1258" w:type="dxa"/>
            <w:tcBorders>
              <w:top w:val="nil"/>
              <w:left w:val="nil"/>
              <w:bottom w:val="nil"/>
              <w:right w:val="nil"/>
            </w:tcBorders>
            <w:shd w:val="clear" w:color="auto" w:fill="auto"/>
            <w:vAlign w:val="bottom"/>
            <w:hideMark/>
          </w:tcPr>
          <w:p w14:paraId="60966ED6" w14:textId="64B17F25"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(1.212)</w:t>
            </w:r>
          </w:p>
        </w:tc>
        <w:tc>
          <w:tcPr>
            <w:tcW w:w="1258" w:type="dxa"/>
            <w:tcBorders>
              <w:top w:val="nil"/>
              <w:left w:val="nil"/>
              <w:bottom w:val="nil"/>
              <w:right w:val="nil"/>
            </w:tcBorders>
            <w:shd w:val="clear" w:color="auto" w:fill="auto"/>
            <w:vAlign w:val="bottom"/>
            <w:hideMark/>
          </w:tcPr>
          <w:p w14:paraId="0626F930" w14:textId="23DE35F3"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(3.722)</w:t>
            </w:r>
          </w:p>
        </w:tc>
        <w:tc>
          <w:tcPr>
            <w:tcW w:w="1258" w:type="dxa"/>
            <w:tcBorders>
              <w:top w:val="nil"/>
              <w:left w:val="nil"/>
              <w:bottom w:val="nil"/>
              <w:right w:val="nil"/>
            </w:tcBorders>
            <w:shd w:val="clear" w:color="auto" w:fill="auto"/>
            <w:vAlign w:val="bottom"/>
            <w:hideMark/>
          </w:tcPr>
          <w:p w14:paraId="20325A11" w14:textId="07EDA388"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(792)</w:t>
            </w:r>
          </w:p>
        </w:tc>
        <w:tc>
          <w:tcPr>
            <w:tcW w:w="1258" w:type="dxa"/>
            <w:tcBorders>
              <w:top w:val="nil"/>
              <w:left w:val="nil"/>
              <w:bottom w:val="nil"/>
              <w:right w:val="nil"/>
            </w:tcBorders>
            <w:shd w:val="clear" w:color="auto" w:fill="auto"/>
            <w:vAlign w:val="bottom"/>
            <w:hideMark/>
          </w:tcPr>
          <w:p w14:paraId="46B5F76C" w14:textId="2BA0C0FF"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(14.970)</w:t>
            </w:r>
          </w:p>
        </w:tc>
        <w:tc>
          <w:tcPr>
            <w:tcW w:w="1258" w:type="dxa"/>
            <w:tcBorders>
              <w:top w:val="nil"/>
              <w:left w:val="nil"/>
              <w:bottom w:val="nil"/>
              <w:right w:val="nil"/>
            </w:tcBorders>
            <w:shd w:val="clear" w:color="auto" w:fill="auto"/>
            <w:vAlign w:val="bottom"/>
            <w:hideMark/>
          </w:tcPr>
          <w:p w14:paraId="4DE1BB62" w14:textId="3D174B9E"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(1.212)</w:t>
            </w:r>
          </w:p>
        </w:tc>
        <w:tc>
          <w:tcPr>
            <w:tcW w:w="1258" w:type="dxa"/>
            <w:tcBorders>
              <w:top w:val="nil"/>
              <w:left w:val="nil"/>
              <w:bottom w:val="nil"/>
              <w:right w:val="nil"/>
            </w:tcBorders>
            <w:shd w:val="clear" w:color="auto" w:fill="auto"/>
            <w:vAlign w:val="bottom"/>
            <w:hideMark/>
          </w:tcPr>
          <w:p w14:paraId="67DE6D93" w14:textId="47E5E114"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(3.722)</w:t>
            </w:r>
          </w:p>
        </w:tc>
        <w:tc>
          <w:tcPr>
            <w:tcW w:w="1258" w:type="dxa"/>
            <w:tcBorders>
              <w:top w:val="nil"/>
              <w:left w:val="nil"/>
              <w:bottom w:val="nil"/>
              <w:right w:val="nil"/>
            </w:tcBorders>
            <w:shd w:val="clear" w:color="auto" w:fill="auto"/>
            <w:vAlign w:val="bottom"/>
            <w:hideMark/>
          </w:tcPr>
          <w:p w14:paraId="5B1E8B79" w14:textId="551BEA8A"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(792)</w:t>
            </w:r>
          </w:p>
        </w:tc>
      </w:tr>
      <w:tr w:rsidR="00745CE4" w:rsidRPr="00F112E8" w14:paraId="2F1E9EA7" w14:textId="77777777" w:rsidTr="00312975">
        <w:trPr>
          <w:trHeight w:val="510"/>
        </w:trPr>
        <w:tc>
          <w:tcPr>
            <w:tcW w:w="4253" w:type="dxa"/>
            <w:tcBorders>
              <w:top w:val="nil"/>
              <w:left w:val="nil"/>
              <w:bottom w:val="nil"/>
              <w:right w:val="nil"/>
            </w:tcBorders>
            <w:shd w:val="clear" w:color="auto" w:fill="auto"/>
            <w:vAlign w:val="bottom"/>
            <w:hideMark/>
          </w:tcPr>
          <w:p w14:paraId="5E877068" w14:textId="77777777" w:rsidR="00745CE4" w:rsidRPr="00F112E8" w:rsidRDefault="00745CE4" w:rsidP="00745CE4">
            <w:pPr>
              <w:spacing w:after="0" w:line="240" w:lineRule="auto"/>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Rezerviranja za moguće gubitke po depozitima kod drugih banaka</w:t>
            </w:r>
          </w:p>
        </w:tc>
        <w:tc>
          <w:tcPr>
            <w:tcW w:w="1258" w:type="dxa"/>
            <w:tcBorders>
              <w:top w:val="nil"/>
              <w:left w:val="nil"/>
              <w:bottom w:val="nil"/>
              <w:right w:val="nil"/>
            </w:tcBorders>
            <w:shd w:val="clear" w:color="auto" w:fill="auto"/>
            <w:vAlign w:val="bottom"/>
            <w:hideMark/>
          </w:tcPr>
          <w:p w14:paraId="0CF01D73" w14:textId="09E3814D"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(190)</w:t>
            </w:r>
          </w:p>
        </w:tc>
        <w:tc>
          <w:tcPr>
            <w:tcW w:w="1258" w:type="dxa"/>
            <w:tcBorders>
              <w:top w:val="nil"/>
              <w:left w:val="nil"/>
              <w:bottom w:val="nil"/>
              <w:right w:val="nil"/>
            </w:tcBorders>
            <w:shd w:val="clear" w:color="auto" w:fill="auto"/>
            <w:vAlign w:val="bottom"/>
            <w:hideMark/>
          </w:tcPr>
          <w:p w14:paraId="72A68C2E" w14:textId="069ACB26"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(229)</w:t>
            </w:r>
          </w:p>
        </w:tc>
        <w:tc>
          <w:tcPr>
            <w:tcW w:w="1258" w:type="dxa"/>
            <w:tcBorders>
              <w:top w:val="nil"/>
              <w:left w:val="nil"/>
              <w:bottom w:val="nil"/>
              <w:right w:val="nil"/>
            </w:tcBorders>
            <w:shd w:val="clear" w:color="auto" w:fill="auto"/>
            <w:vAlign w:val="bottom"/>
            <w:hideMark/>
          </w:tcPr>
          <w:p w14:paraId="7A5CC4E2" w14:textId="25C97DC7"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100 </w:t>
            </w:r>
          </w:p>
        </w:tc>
        <w:tc>
          <w:tcPr>
            <w:tcW w:w="1258" w:type="dxa"/>
            <w:tcBorders>
              <w:top w:val="nil"/>
              <w:left w:val="nil"/>
              <w:bottom w:val="nil"/>
              <w:right w:val="nil"/>
            </w:tcBorders>
            <w:shd w:val="clear" w:color="auto" w:fill="auto"/>
            <w:vAlign w:val="bottom"/>
            <w:hideMark/>
          </w:tcPr>
          <w:p w14:paraId="53F9FBD3" w14:textId="7B6BEF7D"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(2.042)</w:t>
            </w:r>
          </w:p>
        </w:tc>
        <w:tc>
          <w:tcPr>
            <w:tcW w:w="1258" w:type="dxa"/>
            <w:tcBorders>
              <w:top w:val="nil"/>
              <w:left w:val="nil"/>
              <w:bottom w:val="nil"/>
              <w:right w:val="nil"/>
            </w:tcBorders>
            <w:shd w:val="clear" w:color="auto" w:fill="auto"/>
            <w:vAlign w:val="bottom"/>
            <w:hideMark/>
          </w:tcPr>
          <w:p w14:paraId="383EB2E2" w14:textId="01952945"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(190)</w:t>
            </w:r>
          </w:p>
        </w:tc>
        <w:tc>
          <w:tcPr>
            <w:tcW w:w="1258" w:type="dxa"/>
            <w:tcBorders>
              <w:top w:val="nil"/>
              <w:left w:val="nil"/>
              <w:bottom w:val="nil"/>
              <w:right w:val="nil"/>
            </w:tcBorders>
            <w:shd w:val="clear" w:color="auto" w:fill="auto"/>
            <w:vAlign w:val="bottom"/>
            <w:hideMark/>
          </w:tcPr>
          <w:p w14:paraId="58614AC9" w14:textId="4F7E9A47"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(229)</w:t>
            </w:r>
          </w:p>
        </w:tc>
        <w:tc>
          <w:tcPr>
            <w:tcW w:w="1258" w:type="dxa"/>
            <w:tcBorders>
              <w:top w:val="nil"/>
              <w:left w:val="nil"/>
              <w:bottom w:val="nil"/>
              <w:right w:val="nil"/>
            </w:tcBorders>
            <w:shd w:val="clear" w:color="auto" w:fill="auto"/>
            <w:vAlign w:val="bottom"/>
            <w:hideMark/>
          </w:tcPr>
          <w:p w14:paraId="277EF430" w14:textId="749B4CB0"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100 </w:t>
            </w:r>
          </w:p>
        </w:tc>
        <w:tc>
          <w:tcPr>
            <w:tcW w:w="1258" w:type="dxa"/>
            <w:tcBorders>
              <w:top w:val="nil"/>
              <w:left w:val="nil"/>
              <w:bottom w:val="nil"/>
              <w:right w:val="nil"/>
            </w:tcBorders>
            <w:shd w:val="clear" w:color="auto" w:fill="auto"/>
            <w:vAlign w:val="bottom"/>
            <w:hideMark/>
          </w:tcPr>
          <w:p w14:paraId="4C6A8FE2" w14:textId="3768FCE5"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(2.042)</w:t>
            </w:r>
          </w:p>
        </w:tc>
      </w:tr>
      <w:tr w:rsidR="00745CE4" w:rsidRPr="00F112E8" w14:paraId="14E5A3EF" w14:textId="77777777" w:rsidTr="00312975">
        <w:trPr>
          <w:trHeight w:val="255"/>
        </w:trPr>
        <w:tc>
          <w:tcPr>
            <w:tcW w:w="4253" w:type="dxa"/>
            <w:tcBorders>
              <w:top w:val="nil"/>
              <w:left w:val="nil"/>
              <w:bottom w:val="nil"/>
              <w:right w:val="nil"/>
            </w:tcBorders>
            <w:shd w:val="clear" w:color="auto" w:fill="auto"/>
            <w:vAlign w:val="bottom"/>
            <w:hideMark/>
          </w:tcPr>
          <w:p w14:paraId="44B9466F" w14:textId="77777777" w:rsidR="00745CE4" w:rsidRPr="00F112E8" w:rsidRDefault="00745CE4" w:rsidP="00745CE4">
            <w:pPr>
              <w:spacing w:after="0" w:line="240" w:lineRule="auto"/>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Rezerviranja za moguće gubitke po kreditima </w:t>
            </w:r>
            <w:r>
              <w:rPr>
                <w:rFonts w:ascii="Calibri" w:eastAsia="Times New Roman" w:hAnsi="Calibri" w:cs="Times New Roman"/>
                <w:color w:val="000000"/>
                <w:sz w:val="20"/>
                <w:szCs w:val="20"/>
                <w:lang w:eastAsia="hr-HR"/>
              </w:rPr>
              <w:t>financijskim institucijama</w:t>
            </w:r>
          </w:p>
        </w:tc>
        <w:tc>
          <w:tcPr>
            <w:tcW w:w="1258" w:type="dxa"/>
            <w:tcBorders>
              <w:top w:val="nil"/>
              <w:left w:val="nil"/>
              <w:bottom w:val="nil"/>
              <w:right w:val="nil"/>
            </w:tcBorders>
            <w:shd w:val="clear" w:color="auto" w:fill="auto"/>
            <w:vAlign w:val="bottom"/>
            <w:hideMark/>
          </w:tcPr>
          <w:p w14:paraId="12CFDB08" w14:textId="18E4A78E"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(20.896)</w:t>
            </w:r>
          </w:p>
        </w:tc>
        <w:tc>
          <w:tcPr>
            <w:tcW w:w="1258" w:type="dxa"/>
            <w:tcBorders>
              <w:top w:val="nil"/>
              <w:left w:val="nil"/>
              <w:bottom w:val="nil"/>
              <w:right w:val="nil"/>
            </w:tcBorders>
            <w:shd w:val="clear" w:color="auto" w:fill="auto"/>
            <w:vAlign w:val="bottom"/>
            <w:hideMark/>
          </w:tcPr>
          <w:p w14:paraId="4B12790E" w14:textId="7627FDB9"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(57.354)</w:t>
            </w:r>
          </w:p>
        </w:tc>
        <w:tc>
          <w:tcPr>
            <w:tcW w:w="1258" w:type="dxa"/>
            <w:tcBorders>
              <w:top w:val="nil"/>
              <w:left w:val="nil"/>
              <w:bottom w:val="nil"/>
              <w:right w:val="nil"/>
            </w:tcBorders>
            <w:shd w:val="clear" w:color="auto" w:fill="auto"/>
            <w:vAlign w:val="bottom"/>
            <w:hideMark/>
          </w:tcPr>
          <w:p w14:paraId="1EBADBF0" w14:textId="153CDC29"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(15.622)</w:t>
            </w:r>
          </w:p>
        </w:tc>
        <w:tc>
          <w:tcPr>
            <w:tcW w:w="1258" w:type="dxa"/>
            <w:tcBorders>
              <w:top w:val="nil"/>
              <w:left w:val="nil"/>
              <w:bottom w:val="nil"/>
              <w:right w:val="nil"/>
            </w:tcBorders>
            <w:shd w:val="clear" w:color="auto" w:fill="auto"/>
            <w:vAlign w:val="bottom"/>
            <w:hideMark/>
          </w:tcPr>
          <w:p w14:paraId="01945577" w14:textId="004313A1"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(28.635)</w:t>
            </w:r>
          </w:p>
        </w:tc>
        <w:tc>
          <w:tcPr>
            <w:tcW w:w="1258" w:type="dxa"/>
            <w:tcBorders>
              <w:top w:val="nil"/>
              <w:left w:val="nil"/>
              <w:bottom w:val="nil"/>
              <w:right w:val="nil"/>
            </w:tcBorders>
            <w:shd w:val="clear" w:color="auto" w:fill="auto"/>
            <w:vAlign w:val="bottom"/>
            <w:hideMark/>
          </w:tcPr>
          <w:p w14:paraId="329F7073" w14:textId="361B199F"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(20.896)</w:t>
            </w:r>
          </w:p>
        </w:tc>
        <w:tc>
          <w:tcPr>
            <w:tcW w:w="1258" w:type="dxa"/>
            <w:tcBorders>
              <w:top w:val="nil"/>
              <w:left w:val="nil"/>
              <w:bottom w:val="nil"/>
              <w:right w:val="nil"/>
            </w:tcBorders>
            <w:shd w:val="clear" w:color="auto" w:fill="auto"/>
            <w:vAlign w:val="bottom"/>
            <w:hideMark/>
          </w:tcPr>
          <w:p w14:paraId="29A9CACA" w14:textId="48B2B6FD"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(57.354)</w:t>
            </w:r>
          </w:p>
        </w:tc>
        <w:tc>
          <w:tcPr>
            <w:tcW w:w="1258" w:type="dxa"/>
            <w:tcBorders>
              <w:top w:val="nil"/>
              <w:left w:val="nil"/>
              <w:bottom w:val="nil"/>
              <w:right w:val="nil"/>
            </w:tcBorders>
            <w:shd w:val="clear" w:color="auto" w:fill="auto"/>
            <w:vAlign w:val="bottom"/>
            <w:hideMark/>
          </w:tcPr>
          <w:p w14:paraId="71D572A5" w14:textId="02B92355"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(15.622)</w:t>
            </w:r>
          </w:p>
        </w:tc>
        <w:tc>
          <w:tcPr>
            <w:tcW w:w="1258" w:type="dxa"/>
            <w:tcBorders>
              <w:top w:val="nil"/>
              <w:left w:val="nil"/>
              <w:bottom w:val="nil"/>
              <w:right w:val="nil"/>
            </w:tcBorders>
            <w:shd w:val="clear" w:color="auto" w:fill="auto"/>
            <w:vAlign w:val="bottom"/>
            <w:hideMark/>
          </w:tcPr>
          <w:p w14:paraId="249C2289" w14:textId="29C3F8E1"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(28.635)</w:t>
            </w:r>
          </w:p>
        </w:tc>
      </w:tr>
      <w:tr w:rsidR="00745CE4" w:rsidRPr="00F112E8" w14:paraId="05307409" w14:textId="77777777" w:rsidTr="00312975">
        <w:trPr>
          <w:trHeight w:val="510"/>
        </w:trPr>
        <w:tc>
          <w:tcPr>
            <w:tcW w:w="4253" w:type="dxa"/>
            <w:tcBorders>
              <w:top w:val="nil"/>
              <w:left w:val="nil"/>
              <w:bottom w:val="nil"/>
              <w:right w:val="nil"/>
            </w:tcBorders>
            <w:shd w:val="clear" w:color="auto" w:fill="auto"/>
            <w:vAlign w:val="bottom"/>
            <w:hideMark/>
          </w:tcPr>
          <w:p w14:paraId="48CECA36" w14:textId="77777777" w:rsidR="00745CE4" w:rsidRPr="00F112E8" w:rsidRDefault="00745CE4" w:rsidP="00745CE4">
            <w:pPr>
              <w:spacing w:after="0" w:line="240" w:lineRule="auto"/>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Rezerviranja za moguće gubitke po kreditima ostalim korisnicima i kamatama</w:t>
            </w:r>
          </w:p>
        </w:tc>
        <w:tc>
          <w:tcPr>
            <w:tcW w:w="1258" w:type="dxa"/>
            <w:tcBorders>
              <w:top w:val="nil"/>
              <w:left w:val="nil"/>
              <w:bottom w:val="nil"/>
              <w:right w:val="nil"/>
            </w:tcBorders>
            <w:shd w:val="clear" w:color="auto" w:fill="auto"/>
            <w:vAlign w:val="bottom"/>
            <w:hideMark/>
          </w:tcPr>
          <w:p w14:paraId="403050E9" w14:textId="0FEBC628"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31.617 </w:t>
            </w:r>
          </w:p>
        </w:tc>
        <w:tc>
          <w:tcPr>
            <w:tcW w:w="1258" w:type="dxa"/>
            <w:tcBorders>
              <w:top w:val="nil"/>
              <w:left w:val="nil"/>
              <w:bottom w:val="nil"/>
              <w:right w:val="nil"/>
            </w:tcBorders>
            <w:shd w:val="clear" w:color="auto" w:fill="auto"/>
            <w:vAlign w:val="bottom"/>
            <w:hideMark/>
          </w:tcPr>
          <w:p w14:paraId="189CC593" w14:textId="045669F8"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117.761 </w:t>
            </w:r>
          </w:p>
        </w:tc>
        <w:tc>
          <w:tcPr>
            <w:tcW w:w="1258" w:type="dxa"/>
            <w:tcBorders>
              <w:top w:val="nil"/>
              <w:left w:val="nil"/>
              <w:bottom w:val="nil"/>
              <w:right w:val="nil"/>
            </w:tcBorders>
            <w:shd w:val="clear" w:color="auto" w:fill="auto"/>
            <w:vAlign w:val="bottom"/>
            <w:hideMark/>
          </w:tcPr>
          <w:p w14:paraId="51546474" w14:textId="57671274"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21.538 </w:t>
            </w:r>
          </w:p>
        </w:tc>
        <w:tc>
          <w:tcPr>
            <w:tcW w:w="1258" w:type="dxa"/>
            <w:tcBorders>
              <w:top w:val="nil"/>
              <w:left w:val="nil"/>
              <w:bottom w:val="nil"/>
              <w:right w:val="nil"/>
            </w:tcBorders>
            <w:shd w:val="clear" w:color="auto" w:fill="auto"/>
            <w:vAlign w:val="bottom"/>
            <w:hideMark/>
          </w:tcPr>
          <w:p w14:paraId="2D9E9DFE" w14:textId="17ED8272"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38.424 </w:t>
            </w:r>
          </w:p>
        </w:tc>
        <w:tc>
          <w:tcPr>
            <w:tcW w:w="1258" w:type="dxa"/>
            <w:tcBorders>
              <w:top w:val="nil"/>
              <w:left w:val="nil"/>
              <w:bottom w:val="nil"/>
              <w:right w:val="nil"/>
            </w:tcBorders>
            <w:shd w:val="clear" w:color="auto" w:fill="auto"/>
            <w:vAlign w:val="bottom"/>
            <w:hideMark/>
          </w:tcPr>
          <w:p w14:paraId="391FE9AC" w14:textId="521EECBC"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31.617 </w:t>
            </w:r>
          </w:p>
        </w:tc>
        <w:tc>
          <w:tcPr>
            <w:tcW w:w="1258" w:type="dxa"/>
            <w:tcBorders>
              <w:top w:val="nil"/>
              <w:left w:val="nil"/>
              <w:bottom w:val="nil"/>
              <w:right w:val="nil"/>
            </w:tcBorders>
            <w:shd w:val="clear" w:color="auto" w:fill="auto"/>
            <w:vAlign w:val="bottom"/>
            <w:hideMark/>
          </w:tcPr>
          <w:p w14:paraId="18544181" w14:textId="736EBE3A"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117.761 </w:t>
            </w:r>
          </w:p>
        </w:tc>
        <w:tc>
          <w:tcPr>
            <w:tcW w:w="1258" w:type="dxa"/>
            <w:tcBorders>
              <w:top w:val="nil"/>
              <w:left w:val="nil"/>
              <w:bottom w:val="nil"/>
              <w:right w:val="nil"/>
            </w:tcBorders>
            <w:shd w:val="clear" w:color="auto" w:fill="auto"/>
            <w:vAlign w:val="bottom"/>
            <w:hideMark/>
          </w:tcPr>
          <w:p w14:paraId="7361B96B" w14:textId="64EE2B6B"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21.538 </w:t>
            </w:r>
          </w:p>
        </w:tc>
        <w:tc>
          <w:tcPr>
            <w:tcW w:w="1258" w:type="dxa"/>
            <w:tcBorders>
              <w:top w:val="nil"/>
              <w:left w:val="nil"/>
              <w:bottom w:val="nil"/>
              <w:right w:val="nil"/>
            </w:tcBorders>
            <w:shd w:val="clear" w:color="auto" w:fill="auto"/>
            <w:vAlign w:val="bottom"/>
            <w:hideMark/>
          </w:tcPr>
          <w:p w14:paraId="0713299F" w14:textId="6C7A408A"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38.424 </w:t>
            </w:r>
          </w:p>
        </w:tc>
      </w:tr>
      <w:tr w:rsidR="00745CE4" w:rsidRPr="00F112E8" w14:paraId="4051BFA5" w14:textId="77777777" w:rsidTr="00312975">
        <w:trPr>
          <w:trHeight w:val="300"/>
        </w:trPr>
        <w:tc>
          <w:tcPr>
            <w:tcW w:w="4253" w:type="dxa"/>
            <w:tcBorders>
              <w:top w:val="nil"/>
              <w:left w:val="nil"/>
              <w:bottom w:val="nil"/>
              <w:right w:val="nil"/>
            </w:tcBorders>
            <w:shd w:val="clear" w:color="auto" w:fill="auto"/>
            <w:vAlign w:val="bottom"/>
            <w:hideMark/>
          </w:tcPr>
          <w:p w14:paraId="2EE02462" w14:textId="77777777" w:rsidR="00745CE4" w:rsidRPr="00F112E8" w:rsidRDefault="00745CE4" w:rsidP="00745CE4">
            <w:pPr>
              <w:spacing w:after="0" w:line="240" w:lineRule="auto"/>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Umanjenje vrijednosti dugotrajne imovine namijenjene prodaji</w:t>
            </w:r>
          </w:p>
        </w:tc>
        <w:tc>
          <w:tcPr>
            <w:tcW w:w="1258" w:type="dxa"/>
            <w:tcBorders>
              <w:top w:val="nil"/>
              <w:left w:val="nil"/>
              <w:bottom w:val="nil"/>
              <w:right w:val="nil"/>
            </w:tcBorders>
            <w:shd w:val="clear" w:color="auto" w:fill="auto"/>
            <w:vAlign w:val="bottom"/>
            <w:hideMark/>
          </w:tcPr>
          <w:p w14:paraId="67E09665" w14:textId="6D826BAD"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(2)</w:t>
            </w:r>
          </w:p>
        </w:tc>
        <w:tc>
          <w:tcPr>
            <w:tcW w:w="1258" w:type="dxa"/>
            <w:tcBorders>
              <w:top w:val="nil"/>
              <w:left w:val="nil"/>
              <w:bottom w:val="nil"/>
              <w:right w:val="nil"/>
            </w:tcBorders>
            <w:shd w:val="clear" w:color="auto" w:fill="auto"/>
            <w:vAlign w:val="bottom"/>
            <w:hideMark/>
          </w:tcPr>
          <w:p w14:paraId="2DF695E1" w14:textId="53C3F113"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(12)</w:t>
            </w:r>
          </w:p>
        </w:tc>
        <w:tc>
          <w:tcPr>
            <w:tcW w:w="1258" w:type="dxa"/>
            <w:tcBorders>
              <w:top w:val="nil"/>
              <w:left w:val="nil"/>
              <w:bottom w:val="nil"/>
              <w:right w:val="nil"/>
            </w:tcBorders>
            <w:shd w:val="clear" w:color="auto" w:fill="auto"/>
            <w:vAlign w:val="bottom"/>
            <w:hideMark/>
          </w:tcPr>
          <w:p w14:paraId="67E0B5DF" w14:textId="01EEED74"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(40)</w:t>
            </w:r>
          </w:p>
        </w:tc>
        <w:tc>
          <w:tcPr>
            <w:tcW w:w="1258" w:type="dxa"/>
            <w:tcBorders>
              <w:top w:val="nil"/>
              <w:left w:val="nil"/>
              <w:bottom w:val="nil"/>
              <w:right w:val="nil"/>
            </w:tcBorders>
            <w:shd w:val="clear" w:color="auto" w:fill="auto"/>
            <w:vAlign w:val="bottom"/>
            <w:hideMark/>
          </w:tcPr>
          <w:p w14:paraId="32AE23C0" w14:textId="25B35840"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(52)</w:t>
            </w:r>
          </w:p>
        </w:tc>
        <w:tc>
          <w:tcPr>
            <w:tcW w:w="1258" w:type="dxa"/>
            <w:tcBorders>
              <w:top w:val="nil"/>
              <w:left w:val="nil"/>
              <w:bottom w:val="nil"/>
              <w:right w:val="nil"/>
            </w:tcBorders>
            <w:shd w:val="clear" w:color="auto" w:fill="auto"/>
            <w:vAlign w:val="bottom"/>
            <w:hideMark/>
          </w:tcPr>
          <w:p w14:paraId="5D9E3A44" w14:textId="4FD6D16B"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(2)</w:t>
            </w:r>
          </w:p>
        </w:tc>
        <w:tc>
          <w:tcPr>
            <w:tcW w:w="1258" w:type="dxa"/>
            <w:tcBorders>
              <w:top w:val="nil"/>
              <w:left w:val="nil"/>
              <w:bottom w:val="nil"/>
              <w:right w:val="nil"/>
            </w:tcBorders>
            <w:shd w:val="clear" w:color="auto" w:fill="auto"/>
            <w:vAlign w:val="bottom"/>
            <w:hideMark/>
          </w:tcPr>
          <w:p w14:paraId="1A2E216A" w14:textId="763D3E5F"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(12)</w:t>
            </w:r>
          </w:p>
        </w:tc>
        <w:tc>
          <w:tcPr>
            <w:tcW w:w="1258" w:type="dxa"/>
            <w:tcBorders>
              <w:top w:val="nil"/>
              <w:left w:val="nil"/>
              <w:bottom w:val="nil"/>
              <w:right w:val="nil"/>
            </w:tcBorders>
            <w:shd w:val="clear" w:color="auto" w:fill="auto"/>
            <w:vAlign w:val="bottom"/>
            <w:hideMark/>
          </w:tcPr>
          <w:p w14:paraId="76C4A9C2" w14:textId="210A8626"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(40)</w:t>
            </w:r>
          </w:p>
        </w:tc>
        <w:tc>
          <w:tcPr>
            <w:tcW w:w="1258" w:type="dxa"/>
            <w:tcBorders>
              <w:top w:val="nil"/>
              <w:left w:val="nil"/>
              <w:bottom w:val="nil"/>
              <w:right w:val="nil"/>
            </w:tcBorders>
            <w:shd w:val="clear" w:color="auto" w:fill="auto"/>
            <w:vAlign w:val="bottom"/>
            <w:hideMark/>
          </w:tcPr>
          <w:p w14:paraId="71B177E7" w14:textId="6025B297"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(52)</w:t>
            </w:r>
          </w:p>
        </w:tc>
      </w:tr>
      <w:tr w:rsidR="00745CE4" w:rsidRPr="00F112E8" w14:paraId="165F5BF1" w14:textId="77777777" w:rsidTr="00312975">
        <w:trPr>
          <w:trHeight w:val="253"/>
        </w:trPr>
        <w:tc>
          <w:tcPr>
            <w:tcW w:w="4253" w:type="dxa"/>
            <w:tcBorders>
              <w:top w:val="nil"/>
              <w:left w:val="nil"/>
              <w:bottom w:val="nil"/>
              <w:right w:val="nil"/>
            </w:tcBorders>
            <w:shd w:val="clear" w:color="auto" w:fill="auto"/>
            <w:vAlign w:val="bottom"/>
            <w:hideMark/>
          </w:tcPr>
          <w:p w14:paraId="1B31F7FB" w14:textId="77777777" w:rsidR="00745CE4" w:rsidRPr="00F112E8" w:rsidRDefault="00745CE4" w:rsidP="00745CE4">
            <w:pPr>
              <w:spacing w:after="0" w:line="240" w:lineRule="auto"/>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Rezerviranja po imovini raspoloživoj za prodaju</w:t>
            </w:r>
          </w:p>
        </w:tc>
        <w:tc>
          <w:tcPr>
            <w:tcW w:w="1258" w:type="dxa"/>
            <w:tcBorders>
              <w:top w:val="nil"/>
              <w:left w:val="nil"/>
              <w:bottom w:val="nil"/>
              <w:right w:val="nil"/>
            </w:tcBorders>
            <w:shd w:val="clear" w:color="auto" w:fill="auto"/>
            <w:vAlign w:val="bottom"/>
            <w:hideMark/>
          </w:tcPr>
          <w:p w14:paraId="67032642" w14:textId="1F045925"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 </w:t>
            </w:r>
          </w:p>
        </w:tc>
        <w:tc>
          <w:tcPr>
            <w:tcW w:w="1258" w:type="dxa"/>
            <w:tcBorders>
              <w:top w:val="nil"/>
              <w:left w:val="nil"/>
              <w:bottom w:val="nil"/>
              <w:right w:val="nil"/>
            </w:tcBorders>
            <w:shd w:val="clear" w:color="auto" w:fill="auto"/>
            <w:vAlign w:val="bottom"/>
            <w:hideMark/>
          </w:tcPr>
          <w:p w14:paraId="7EDF9627" w14:textId="04DCA1DC"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 </w:t>
            </w:r>
          </w:p>
        </w:tc>
        <w:tc>
          <w:tcPr>
            <w:tcW w:w="1258" w:type="dxa"/>
            <w:tcBorders>
              <w:top w:val="nil"/>
              <w:left w:val="nil"/>
              <w:bottom w:val="nil"/>
              <w:right w:val="nil"/>
            </w:tcBorders>
            <w:shd w:val="clear" w:color="auto" w:fill="auto"/>
            <w:vAlign w:val="bottom"/>
            <w:hideMark/>
          </w:tcPr>
          <w:p w14:paraId="629050C0" w14:textId="6FA8D5D4"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(3.815)</w:t>
            </w:r>
          </w:p>
        </w:tc>
        <w:tc>
          <w:tcPr>
            <w:tcW w:w="1258" w:type="dxa"/>
            <w:tcBorders>
              <w:top w:val="nil"/>
              <w:left w:val="nil"/>
              <w:bottom w:val="nil"/>
              <w:right w:val="nil"/>
            </w:tcBorders>
            <w:shd w:val="clear" w:color="auto" w:fill="auto"/>
            <w:vAlign w:val="bottom"/>
            <w:hideMark/>
          </w:tcPr>
          <w:p w14:paraId="5576B5E2" w14:textId="593F1CEB"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 </w:t>
            </w:r>
          </w:p>
        </w:tc>
        <w:tc>
          <w:tcPr>
            <w:tcW w:w="1258" w:type="dxa"/>
            <w:tcBorders>
              <w:top w:val="nil"/>
              <w:left w:val="nil"/>
              <w:bottom w:val="nil"/>
              <w:right w:val="nil"/>
            </w:tcBorders>
            <w:shd w:val="clear" w:color="auto" w:fill="auto"/>
            <w:vAlign w:val="bottom"/>
            <w:hideMark/>
          </w:tcPr>
          <w:p w14:paraId="462C7AAA" w14:textId="268EB66D"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 </w:t>
            </w:r>
          </w:p>
        </w:tc>
        <w:tc>
          <w:tcPr>
            <w:tcW w:w="1258" w:type="dxa"/>
            <w:tcBorders>
              <w:top w:val="nil"/>
              <w:left w:val="nil"/>
              <w:bottom w:val="nil"/>
              <w:right w:val="nil"/>
            </w:tcBorders>
            <w:shd w:val="clear" w:color="auto" w:fill="auto"/>
            <w:vAlign w:val="bottom"/>
            <w:hideMark/>
          </w:tcPr>
          <w:p w14:paraId="336AA440" w14:textId="4BF94D70"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 </w:t>
            </w:r>
          </w:p>
        </w:tc>
        <w:tc>
          <w:tcPr>
            <w:tcW w:w="1258" w:type="dxa"/>
            <w:tcBorders>
              <w:top w:val="nil"/>
              <w:left w:val="nil"/>
              <w:bottom w:val="nil"/>
              <w:right w:val="nil"/>
            </w:tcBorders>
            <w:shd w:val="clear" w:color="auto" w:fill="auto"/>
            <w:vAlign w:val="bottom"/>
            <w:hideMark/>
          </w:tcPr>
          <w:p w14:paraId="1D2BF296" w14:textId="5AB3B7A3"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(3.815)</w:t>
            </w:r>
          </w:p>
        </w:tc>
        <w:tc>
          <w:tcPr>
            <w:tcW w:w="1258" w:type="dxa"/>
            <w:tcBorders>
              <w:top w:val="nil"/>
              <w:left w:val="nil"/>
              <w:bottom w:val="nil"/>
              <w:right w:val="nil"/>
            </w:tcBorders>
            <w:shd w:val="clear" w:color="auto" w:fill="auto"/>
            <w:vAlign w:val="bottom"/>
            <w:hideMark/>
          </w:tcPr>
          <w:p w14:paraId="3A0614F9" w14:textId="709B2AC3"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w:t>
            </w:r>
          </w:p>
        </w:tc>
      </w:tr>
      <w:tr w:rsidR="00745CE4" w:rsidRPr="00F112E8" w14:paraId="4C213377" w14:textId="77777777" w:rsidTr="00312975">
        <w:trPr>
          <w:trHeight w:val="258"/>
        </w:trPr>
        <w:tc>
          <w:tcPr>
            <w:tcW w:w="4253" w:type="dxa"/>
            <w:tcBorders>
              <w:top w:val="nil"/>
              <w:left w:val="nil"/>
              <w:bottom w:val="nil"/>
              <w:right w:val="nil"/>
            </w:tcBorders>
            <w:shd w:val="clear" w:color="auto" w:fill="auto"/>
            <w:vAlign w:val="bottom"/>
            <w:hideMark/>
          </w:tcPr>
          <w:p w14:paraId="6356EAF7" w14:textId="77777777" w:rsidR="00745CE4" w:rsidRPr="00F112E8" w:rsidRDefault="00745CE4" w:rsidP="00745CE4">
            <w:pPr>
              <w:spacing w:after="0" w:line="240" w:lineRule="auto"/>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Rezerviranja za moguće gubitke po ostaloj imovini</w:t>
            </w:r>
          </w:p>
        </w:tc>
        <w:tc>
          <w:tcPr>
            <w:tcW w:w="1258" w:type="dxa"/>
            <w:tcBorders>
              <w:top w:val="nil"/>
              <w:left w:val="nil"/>
              <w:bottom w:val="nil"/>
              <w:right w:val="nil"/>
            </w:tcBorders>
            <w:shd w:val="clear" w:color="auto" w:fill="auto"/>
            <w:vAlign w:val="bottom"/>
            <w:hideMark/>
          </w:tcPr>
          <w:p w14:paraId="1880EB56" w14:textId="1F3A17FE" w:rsidR="00745CE4" w:rsidRPr="00312975"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339 </w:t>
            </w:r>
          </w:p>
        </w:tc>
        <w:tc>
          <w:tcPr>
            <w:tcW w:w="1258" w:type="dxa"/>
            <w:tcBorders>
              <w:top w:val="nil"/>
              <w:left w:val="nil"/>
              <w:bottom w:val="nil"/>
              <w:right w:val="nil"/>
            </w:tcBorders>
            <w:shd w:val="clear" w:color="auto" w:fill="auto"/>
            <w:vAlign w:val="bottom"/>
            <w:hideMark/>
          </w:tcPr>
          <w:p w14:paraId="24D10169" w14:textId="12B71F0D" w:rsidR="00745CE4" w:rsidRPr="00312975"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532 </w:t>
            </w:r>
          </w:p>
        </w:tc>
        <w:tc>
          <w:tcPr>
            <w:tcW w:w="1258" w:type="dxa"/>
            <w:tcBorders>
              <w:top w:val="nil"/>
              <w:left w:val="nil"/>
              <w:bottom w:val="nil"/>
              <w:right w:val="nil"/>
            </w:tcBorders>
            <w:shd w:val="clear" w:color="auto" w:fill="auto"/>
            <w:vAlign w:val="bottom"/>
            <w:hideMark/>
          </w:tcPr>
          <w:p w14:paraId="012FD158" w14:textId="30DBFDA8"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sz w:val="20"/>
                <w:szCs w:val="20"/>
                <w:lang w:eastAsia="hr-HR"/>
              </w:rPr>
              <w:t xml:space="preserve">390 </w:t>
            </w:r>
          </w:p>
        </w:tc>
        <w:tc>
          <w:tcPr>
            <w:tcW w:w="1258" w:type="dxa"/>
            <w:tcBorders>
              <w:top w:val="nil"/>
              <w:left w:val="nil"/>
              <w:bottom w:val="nil"/>
              <w:right w:val="nil"/>
            </w:tcBorders>
            <w:shd w:val="clear" w:color="auto" w:fill="auto"/>
            <w:vAlign w:val="bottom"/>
            <w:hideMark/>
          </w:tcPr>
          <w:p w14:paraId="227ED94A" w14:textId="222F202F"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sz w:val="20"/>
                <w:szCs w:val="20"/>
                <w:lang w:eastAsia="hr-HR"/>
              </w:rPr>
              <w:t xml:space="preserve">641 </w:t>
            </w:r>
          </w:p>
        </w:tc>
        <w:tc>
          <w:tcPr>
            <w:tcW w:w="1258" w:type="dxa"/>
            <w:tcBorders>
              <w:top w:val="nil"/>
              <w:left w:val="nil"/>
              <w:bottom w:val="nil"/>
              <w:right w:val="nil"/>
            </w:tcBorders>
            <w:shd w:val="clear" w:color="auto" w:fill="auto"/>
            <w:vAlign w:val="bottom"/>
            <w:hideMark/>
          </w:tcPr>
          <w:p w14:paraId="7762A7D3" w14:textId="361C935C"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321 </w:t>
            </w:r>
          </w:p>
        </w:tc>
        <w:tc>
          <w:tcPr>
            <w:tcW w:w="1258" w:type="dxa"/>
            <w:tcBorders>
              <w:top w:val="nil"/>
              <w:left w:val="nil"/>
              <w:bottom w:val="nil"/>
              <w:right w:val="nil"/>
            </w:tcBorders>
            <w:shd w:val="clear" w:color="auto" w:fill="auto"/>
            <w:vAlign w:val="bottom"/>
            <w:hideMark/>
          </w:tcPr>
          <w:p w14:paraId="1ECD3AFC" w14:textId="014E09D1"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483 </w:t>
            </w:r>
          </w:p>
        </w:tc>
        <w:tc>
          <w:tcPr>
            <w:tcW w:w="1258" w:type="dxa"/>
            <w:tcBorders>
              <w:top w:val="nil"/>
              <w:left w:val="nil"/>
              <w:bottom w:val="nil"/>
              <w:right w:val="nil"/>
            </w:tcBorders>
            <w:shd w:val="clear" w:color="auto" w:fill="auto"/>
            <w:vAlign w:val="bottom"/>
            <w:hideMark/>
          </w:tcPr>
          <w:p w14:paraId="425C9204" w14:textId="0838EEC9"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417 </w:t>
            </w:r>
          </w:p>
        </w:tc>
        <w:tc>
          <w:tcPr>
            <w:tcW w:w="1258" w:type="dxa"/>
            <w:tcBorders>
              <w:top w:val="nil"/>
              <w:left w:val="nil"/>
              <w:bottom w:val="nil"/>
              <w:right w:val="nil"/>
            </w:tcBorders>
            <w:shd w:val="clear" w:color="auto" w:fill="auto"/>
            <w:vAlign w:val="bottom"/>
            <w:hideMark/>
          </w:tcPr>
          <w:p w14:paraId="745A6D54" w14:textId="60A53FF1"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644 </w:t>
            </w:r>
          </w:p>
        </w:tc>
      </w:tr>
      <w:tr w:rsidR="00FA2889" w:rsidRPr="00F112E8" w14:paraId="3FAEB417" w14:textId="77777777" w:rsidTr="00060490">
        <w:trPr>
          <w:trHeight w:val="510"/>
        </w:trPr>
        <w:tc>
          <w:tcPr>
            <w:tcW w:w="4253" w:type="dxa"/>
            <w:tcBorders>
              <w:top w:val="nil"/>
              <w:left w:val="nil"/>
              <w:bottom w:val="nil"/>
              <w:right w:val="nil"/>
            </w:tcBorders>
            <w:shd w:val="clear" w:color="auto" w:fill="auto"/>
            <w:vAlign w:val="bottom"/>
            <w:hideMark/>
          </w:tcPr>
          <w:p w14:paraId="30C03120" w14:textId="77777777" w:rsidR="00FA2889" w:rsidRPr="00F112E8" w:rsidRDefault="00FA2889" w:rsidP="00FA2889">
            <w:pPr>
              <w:spacing w:after="0" w:line="240" w:lineRule="auto"/>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Ukupno povećanje rezerviranja za moguće gubitke po stavkama imovine</w:t>
            </w:r>
          </w:p>
        </w:tc>
        <w:tc>
          <w:tcPr>
            <w:tcW w:w="1258" w:type="dxa"/>
            <w:tcBorders>
              <w:top w:val="single" w:sz="4" w:space="0" w:color="auto"/>
              <w:left w:val="nil"/>
              <w:bottom w:val="single" w:sz="4" w:space="0" w:color="auto"/>
              <w:right w:val="nil"/>
            </w:tcBorders>
            <w:shd w:val="clear" w:color="auto" w:fill="auto"/>
            <w:vAlign w:val="bottom"/>
            <w:hideMark/>
          </w:tcPr>
          <w:p w14:paraId="58296ABF" w14:textId="495DA026" w:rsidR="00FA2889" w:rsidRPr="00F112E8" w:rsidRDefault="00745CE4">
            <w:pPr>
              <w:spacing w:after="0" w:line="240" w:lineRule="auto"/>
              <w:jc w:val="right"/>
              <w:rPr>
                <w:rFonts w:ascii="Calibri" w:eastAsia="Times New Roman" w:hAnsi="Calibri" w:cs="Times New Roman"/>
                <w:color w:val="000000"/>
                <w:sz w:val="20"/>
                <w:szCs w:val="20"/>
                <w:lang w:eastAsia="hr-HR"/>
              </w:rPr>
            </w:pPr>
            <w:r w:rsidRPr="00745CE4">
              <w:rPr>
                <w:rFonts w:ascii="Calibri" w:eastAsia="Times New Roman" w:hAnsi="Calibri" w:cs="Times New Roman"/>
                <w:color w:val="000000"/>
                <w:sz w:val="20"/>
                <w:szCs w:val="20"/>
                <w:lang w:eastAsia="hr-HR"/>
              </w:rPr>
              <w:t>(4.102)</w:t>
            </w:r>
            <w:r w:rsidR="00FA2889" w:rsidRPr="00F112E8">
              <w:rPr>
                <w:rFonts w:ascii="Calibri" w:eastAsia="Times New Roman" w:hAnsi="Calibri" w:cs="Times New Roman"/>
                <w:color w:val="000000"/>
                <w:sz w:val="20"/>
                <w:szCs w:val="20"/>
                <w:lang w:eastAsia="hr-HR"/>
              </w:rPr>
              <w:t xml:space="preserve">                </w:t>
            </w:r>
          </w:p>
        </w:tc>
        <w:tc>
          <w:tcPr>
            <w:tcW w:w="1258" w:type="dxa"/>
            <w:tcBorders>
              <w:top w:val="single" w:sz="4" w:space="0" w:color="auto"/>
              <w:left w:val="nil"/>
              <w:bottom w:val="single" w:sz="4" w:space="0" w:color="auto"/>
              <w:right w:val="nil"/>
            </w:tcBorders>
            <w:shd w:val="clear" w:color="auto" w:fill="auto"/>
            <w:vAlign w:val="bottom"/>
            <w:hideMark/>
          </w:tcPr>
          <w:p w14:paraId="47F0FE39" w14:textId="4926E8D9" w:rsidR="00FA2889" w:rsidRPr="00F112E8" w:rsidRDefault="00745CE4">
            <w:pPr>
              <w:spacing w:after="0" w:line="240" w:lineRule="auto"/>
              <w:jc w:val="right"/>
              <w:rPr>
                <w:rFonts w:ascii="Calibri" w:eastAsia="Times New Roman" w:hAnsi="Calibri" w:cs="Times New Roman"/>
                <w:color w:val="000000"/>
                <w:sz w:val="20"/>
                <w:szCs w:val="20"/>
                <w:lang w:eastAsia="hr-HR"/>
              </w:rPr>
            </w:pPr>
            <w:r w:rsidRPr="00745CE4">
              <w:rPr>
                <w:rFonts w:ascii="Calibri" w:eastAsia="Times New Roman" w:hAnsi="Calibri" w:cs="Times New Roman"/>
                <w:color w:val="000000"/>
                <w:sz w:val="20"/>
                <w:szCs w:val="20"/>
                <w:lang w:eastAsia="hr-HR"/>
              </w:rPr>
              <w:t xml:space="preserve">59.486 </w:t>
            </w:r>
            <w:r w:rsidR="00FA2889" w:rsidRPr="00F112E8">
              <w:rPr>
                <w:rFonts w:ascii="Calibri" w:eastAsia="Times New Roman" w:hAnsi="Calibri" w:cs="Times New Roman"/>
                <w:color w:val="000000"/>
                <w:sz w:val="20"/>
                <w:szCs w:val="20"/>
                <w:lang w:eastAsia="hr-HR"/>
              </w:rPr>
              <w:t xml:space="preserve">                  </w:t>
            </w:r>
          </w:p>
        </w:tc>
        <w:tc>
          <w:tcPr>
            <w:tcW w:w="1258" w:type="dxa"/>
            <w:tcBorders>
              <w:top w:val="single" w:sz="4" w:space="0" w:color="auto"/>
              <w:left w:val="nil"/>
              <w:bottom w:val="single" w:sz="4" w:space="0" w:color="auto"/>
              <w:right w:val="nil"/>
            </w:tcBorders>
            <w:shd w:val="clear" w:color="auto" w:fill="auto"/>
            <w:vAlign w:val="bottom"/>
            <w:hideMark/>
          </w:tcPr>
          <w:p w14:paraId="0355AC93" w14:textId="62B1BDEB" w:rsidR="00FA2889" w:rsidRPr="00F112E8" w:rsidRDefault="00FA2889" w:rsidP="00FA2889">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(1.171)</w:t>
            </w:r>
          </w:p>
        </w:tc>
        <w:tc>
          <w:tcPr>
            <w:tcW w:w="1258" w:type="dxa"/>
            <w:tcBorders>
              <w:top w:val="single" w:sz="4" w:space="0" w:color="auto"/>
              <w:left w:val="nil"/>
              <w:bottom w:val="single" w:sz="4" w:space="0" w:color="auto"/>
              <w:right w:val="nil"/>
            </w:tcBorders>
            <w:shd w:val="clear" w:color="auto" w:fill="auto"/>
            <w:vAlign w:val="bottom"/>
            <w:hideMark/>
          </w:tcPr>
          <w:p w14:paraId="08CA2B0B" w14:textId="5BDEC4F9" w:rsidR="00FA2889" w:rsidRPr="00F112E8" w:rsidRDefault="00FA2889" w:rsidP="00FA2889">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7.544 </w:t>
            </w:r>
          </w:p>
        </w:tc>
        <w:tc>
          <w:tcPr>
            <w:tcW w:w="1258" w:type="dxa"/>
            <w:tcBorders>
              <w:top w:val="single" w:sz="4" w:space="0" w:color="auto"/>
              <w:left w:val="nil"/>
              <w:bottom w:val="single" w:sz="4" w:space="0" w:color="auto"/>
              <w:right w:val="nil"/>
            </w:tcBorders>
            <w:shd w:val="clear" w:color="auto" w:fill="auto"/>
            <w:vAlign w:val="bottom"/>
            <w:hideMark/>
          </w:tcPr>
          <w:p w14:paraId="4EE1FBD8" w14:textId="1678A2B1" w:rsidR="00FA2889" w:rsidRPr="00F112E8" w:rsidRDefault="00745CE4">
            <w:pPr>
              <w:spacing w:after="0" w:line="240" w:lineRule="auto"/>
              <w:jc w:val="right"/>
              <w:rPr>
                <w:rFonts w:ascii="Calibri" w:eastAsia="Times New Roman" w:hAnsi="Calibri" w:cs="Times New Roman"/>
                <w:color w:val="000000"/>
                <w:sz w:val="20"/>
                <w:szCs w:val="20"/>
                <w:lang w:eastAsia="hr-HR"/>
              </w:rPr>
            </w:pPr>
            <w:r w:rsidRPr="00745CE4">
              <w:rPr>
                <w:rFonts w:ascii="Calibri" w:eastAsia="Times New Roman" w:hAnsi="Calibri" w:cs="Times New Roman"/>
                <w:color w:val="000000"/>
                <w:sz w:val="20"/>
                <w:szCs w:val="20"/>
                <w:lang w:eastAsia="hr-HR"/>
              </w:rPr>
              <w:t>(4.120)</w:t>
            </w:r>
            <w:r w:rsidR="00FA2889" w:rsidRPr="00F112E8">
              <w:rPr>
                <w:rFonts w:ascii="Calibri" w:eastAsia="Times New Roman" w:hAnsi="Calibri" w:cs="Times New Roman"/>
                <w:color w:val="000000"/>
                <w:sz w:val="20"/>
                <w:szCs w:val="20"/>
                <w:lang w:eastAsia="hr-HR"/>
              </w:rPr>
              <w:t xml:space="preserve">                </w:t>
            </w:r>
          </w:p>
        </w:tc>
        <w:tc>
          <w:tcPr>
            <w:tcW w:w="1258" w:type="dxa"/>
            <w:tcBorders>
              <w:top w:val="single" w:sz="4" w:space="0" w:color="auto"/>
              <w:left w:val="nil"/>
              <w:bottom w:val="single" w:sz="4" w:space="0" w:color="auto"/>
              <w:right w:val="nil"/>
            </w:tcBorders>
            <w:shd w:val="clear" w:color="auto" w:fill="auto"/>
            <w:vAlign w:val="bottom"/>
            <w:hideMark/>
          </w:tcPr>
          <w:p w14:paraId="4E8765CF" w14:textId="50A1DD35" w:rsidR="00FA2889" w:rsidRPr="00F112E8" w:rsidRDefault="00745CE4">
            <w:pPr>
              <w:spacing w:after="0" w:line="240" w:lineRule="auto"/>
              <w:jc w:val="right"/>
              <w:rPr>
                <w:rFonts w:ascii="Calibri" w:eastAsia="Times New Roman" w:hAnsi="Calibri" w:cs="Times New Roman"/>
                <w:color w:val="000000"/>
                <w:sz w:val="20"/>
                <w:szCs w:val="20"/>
                <w:lang w:eastAsia="hr-HR"/>
              </w:rPr>
            </w:pPr>
            <w:r w:rsidRPr="00745CE4">
              <w:rPr>
                <w:rFonts w:ascii="Calibri" w:eastAsia="Times New Roman" w:hAnsi="Calibri" w:cs="Times New Roman"/>
                <w:color w:val="000000"/>
                <w:sz w:val="20"/>
                <w:szCs w:val="20"/>
                <w:lang w:eastAsia="hr-HR"/>
              </w:rPr>
              <w:t xml:space="preserve">59.437 </w:t>
            </w:r>
            <w:r w:rsidR="00FA2889" w:rsidRPr="00F112E8">
              <w:rPr>
                <w:rFonts w:ascii="Calibri" w:eastAsia="Times New Roman" w:hAnsi="Calibri" w:cs="Times New Roman"/>
                <w:color w:val="000000"/>
                <w:sz w:val="20"/>
                <w:szCs w:val="20"/>
                <w:lang w:eastAsia="hr-HR"/>
              </w:rPr>
              <w:t xml:space="preserve">                  </w:t>
            </w:r>
          </w:p>
        </w:tc>
        <w:tc>
          <w:tcPr>
            <w:tcW w:w="1258" w:type="dxa"/>
            <w:tcBorders>
              <w:top w:val="single" w:sz="4" w:space="0" w:color="auto"/>
              <w:left w:val="nil"/>
              <w:bottom w:val="single" w:sz="4" w:space="0" w:color="auto"/>
              <w:right w:val="nil"/>
            </w:tcBorders>
            <w:shd w:val="clear" w:color="auto" w:fill="auto"/>
            <w:vAlign w:val="bottom"/>
            <w:hideMark/>
          </w:tcPr>
          <w:p w14:paraId="3B5995F5" w14:textId="22EADED7" w:rsidR="00FA2889" w:rsidRPr="00F112E8" w:rsidRDefault="00FA2889" w:rsidP="00FA2889">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(1.144)</w:t>
            </w:r>
          </w:p>
        </w:tc>
        <w:tc>
          <w:tcPr>
            <w:tcW w:w="1258" w:type="dxa"/>
            <w:tcBorders>
              <w:top w:val="single" w:sz="4" w:space="0" w:color="auto"/>
              <w:left w:val="nil"/>
              <w:bottom w:val="single" w:sz="4" w:space="0" w:color="auto"/>
              <w:right w:val="nil"/>
            </w:tcBorders>
            <w:shd w:val="clear" w:color="auto" w:fill="auto"/>
            <w:vAlign w:val="bottom"/>
            <w:hideMark/>
          </w:tcPr>
          <w:p w14:paraId="76DAB716" w14:textId="17C47162" w:rsidR="00FA2889" w:rsidRPr="00F112E8" w:rsidRDefault="00FA2889" w:rsidP="00FA2889">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7.547 </w:t>
            </w:r>
          </w:p>
        </w:tc>
      </w:tr>
      <w:tr w:rsidR="00745CE4" w:rsidRPr="00F112E8" w14:paraId="59F1CBDA" w14:textId="77777777" w:rsidTr="00312975">
        <w:trPr>
          <w:trHeight w:val="510"/>
        </w:trPr>
        <w:tc>
          <w:tcPr>
            <w:tcW w:w="4253" w:type="dxa"/>
            <w:tcBorders>
              <w:top w:val="nil"/>
              <w:left w:val="nil"/>
              <w:bottom w:val="nil"/>
              <w:right w:val="nil"/>
            </w:tcBorders>
            <w:shd w:val="clear" w:color="auto" w:fill="auto"/>
            <w:vAlign w:val="bottom"/>
            <w:hideMark/>
          </w:tcPr>
          <w:p w14:paraId="2C3F9BD1" w14:textId="77777777" w:rsidR="00745CE4" w:rsidRPr="00F112E8" w:rsidRDefault="00745CE4" w:rsidP="00745CE4">
            <w:pPr>
              <w:spacing w:after="0" w:line="240" w:lineRule="auto"/>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Rezerviranja za moguće gubitke po garancijama i preuzetim obvezama</w:t>
            </w:r>
          </w:p>
        </w:tc>
        <w:tc>
          <w:tcPr>
            <w:tcW w:w="1258" w:type="dxa"/>
            <w:tcBorders>
              <w:top w:val="nil"/>
              <w:left w:val="nil"/>
              <w:bottom w:val="nil"/>
              <w:right w:val="nil"/>
            </w:tcBorders>
            <w:shd w:val="clear" w:color="auto" w:fill="auto"/>
            <w:vAlign w:val="bottom"/>
            <w:hideMark/>
          </w:tcPr>
          <w:p w14:paraId="1F496304" w14:textId="2BFF060B"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745CE4">
              <w:rPr>
                <w:rFonts w:ascii="Calibri" w:eastAsia="Times New Roman" w:hAnsi="Calibri" w:cs="Times New Roman"/>
                <w:color w:val="000000"/>
                <w:sz w:val="20"/>
                <w:szCs w:val="20"/>
                <w:lang w:eastAsia="hr-HR"/>
              </w:rPr>
              <w:t>(6.197)</w:t>
            </w:r>
            <w:r w:rsidRPr="00F112E8">
              <w:rPr>
                <w:rFonts w:ascii="Calibri" w:eastAsia="Times New Roman" w:hAnsi="Calibri" w:cs="Times New Roman"/>
                <w:color w:val="000000"/>
                <w:sz w:val="20"/>
                <w:szCs w:val="20"/>
                <w:lang w:eastAsia="hr-HR"/>
              </w:rPr>
              <w:t xml:space="preserve">                  </w:t>
            </w:r>
          </w:p>
        </w:tc>
        <w:tc>
          <w:tcPr>
            <w:tcW w:w="1258" w:type="dxa"/>
            <w:tcBorders>
              <w:top w:val="nil"/>
              <w:left w:val="nil"/>
              <w:bottom w:val="nil"/>
              <w:right w:val="nil"/>
            </w:tcBorders>
            <w:shd w:val="clear" w:color="auto" w:fill="auto"/>
            <w:vAlign w:val="bottom"/>
            <w:hideMark/>
          </w:tcPr>
          <w:p w14:paraId="5D684BDF" w14:textId="49BECC6B"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745CE4">
              <w:rPr>
                <w:rFonts w:ascii="Calibri" w:eastAsia="Times New Roman" w:hAnsi="Calibri" w:cs="Times New Roman"/>
                <w:color w:val="000000"/>
                <w:sz w:val="20"/>
                <w:szCs w:val="20"/>
                <w:lang w:eastAsia="hr-HR"/>
              </w:rPr>
              <w:t>(8.410)</w:t>
            </w:r>
            <w:r w:rsidRPr="00F112E8">
              <w:rPr>
                <w:rFonts w:ascii="Calibri" w:eastAsia="Times New Roman" w:hAnsi="Calibri" w:cs="Times New Roman"/>
                <w:color w:val="000000"/>
                <w:sz w:val="20"/>
                <w:szCs w:val="20"/>
                <w:lang w:eastAsia="hr-HR"/>
              </w:rPr>
              <w:t xml:space="preserve">                </w:t>
            </w:r>
          </w:p>
        </w:tc>
        <w:tc>
          <w:tcPr>
            <w:tcW w:w="1258" w:type="dxa"/>
            <w:tcBorders>
              <w:top w:val="nil"/>
              <w:left w:val="nil"/>
              <w:bottom w:val="nil"/>
              <w:right w:val="nil"/>
            </w:tcBorders>
            <w:shd w:val="clear" w:color="auto" w:fill="auto"/>
            <w:vAlign w:val="bottom"/>
            <w:hideMark/>
          </w:tcPr>
          <w:p w14:paraId="0533856E" w14:textId="426BA3D1"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1.800 </w:t>
            </w:r>
          </w:p>
        </w:tc>
        <w:tc>
          <w:tcPr>
            <w:tcW w:w="1258" w:type="dxa"/>
            <w:tcBorders>
              <w:top w:val="nil"/>
              <w:left w:val="nil"/>
              <w:bottom w:val="nil"/>
              <w:right w:val="nil"/>
            </w:tcBorders>
            <w:shd w:val="clear" w:color="auto" w:fill="auto"/>
            <w:vAlign w:val="bottom"/>
            <w:hideMark/>
          </w:tcPr>
          <w:p w14:paraId="24927127" w14:textId="43E4C5B4"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(2.863)</w:t>
            </w:r>
          </w:p>
        </w:tc>
        <w:tc>
          <w:tcPr>
            <w:tcW w:w="1258" w:type="dxa"/>
            <w:tcBorders>
              <w:top w:val="nil"/>
              <w:left w:val="nil"/>
              <w:bottom w:val="nil"/>
              <w:right w:val="nil"/>
            </w:tcBorders>
            <w:shd w:val="clear" w:color="auto" w:fill="auto"/>
            <w:vAlign w:val="bottom"/>
            <w:hideMark/>
          </w:tcPr>
          <w:p w14:paraId="210BB4BE" w14:textId="154AA2EB"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(6.197)</w:t>
            </w:r>
          </w:p>
        </w:tc>
        <w:tc>
          <w:tcPr>
            <w:tcW w:w="1258" w:type="dxa"/>
            <w:tcBorders>
              <w:top w:val="nil"/>
              <w:left w:val="nil"/>
              <w:bottom w:val="nil"/>
              <w:right w:val="nil"/>
            </w:tcBorders>
            <w:shd w:val="clear" w:color="auto" w:fill="auto"/>
            <w:vAlign w:val="bottom"/>
            <w:hideMark/>
          </w:tcPr>
          <w:p w14:paraId="5921B31D" w14:textId="4B899C34"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(8.410)</w:t>
            </w:r>
          </w:p>
        </w:tc>
        <w:tc>
          <w:tcPr>
            <w:tcW w:w="1258" w:type="dxa"/>
            <w:tcBorders>
              <w:top w:val="nil"/>
              <w:left w:val="nil"/>
              <w:bottom w:val="nil"/>
              <w:right w:val="nil"/>
            </w:tcBorders>
            <w:shd w:val="clear" w:color="auto" w:fill="auto"/>
            <w:vAlign w:val="bottom"/>
            <w:hideMark/>
          </w:tcPr>
          <w:p w14:paraId="7CE1546B" w14:textId="0341EDBF"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1.800 </w:t>
            </w:r>
          </w:p>
        </w:tc>
        <w:tc>
          <w:tcPr>
            <w:tcW w:w="1258" w:type="dxa"/>
            <w:tcBorders>
              <w:top w:val="nil"/>
              <w:left w:val="nil"/>
              <w:bottom w:val="nil"/>
              <w:right w:val="nil"/>
            </w:tcBorders>
            <w:shd w:val="clear" w:color="auto" w:fill="auto"/>
            <w:vAlign w:val="bottom"/>
            <w:hideMark/>
          </w:tcPr>
          <w:p w14:paraId="6B709ADC" w14:textId="26EE07EC"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(2.863)</w:t>
            </w:r>
          </w:p>
        </w:tc>
      </w:tr>
      <w:tr w:rsidR="00745CE4" w:rsidRPr="00F112E8" w14:paraId="0BEC07F6" w14:textId="77777777" w:rsidTr="00312975">
        <w:trPr>
          <w:trHeight w:val="354"/>
        </w:trPr>
        <w:tc>
          <w:tcPr>
            <w:tcW w:w="4253" w:type="dxa"/>
            <w:tcBorders>
              <w:top w:val="nil"/>
              <w:left w:val="nil"/>
              <w:bottom w:val="nil"/>
              <w:right w:val="nil"/>
            </w:tcBorders>
            <w:shd w:val="clear" w:color="auto" w:fill="auto"/>
            <w:vAlign w:val="bottom"/>
            <w:hideMark/>
          </w:tcPr>
          <w:p w14:paraId="2C26539F" w14:textId="77777777" w:rsidR="00745CE4" w:rsidRPr="00F112E8" w:rsidRDefault="00745CE4" w:rsidP="00745CE4">
            <w:pPr>
              <w:spacing w:after="0" w:line="240" w:lineRule="auto"/>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Rezerviranja za ostale obveze</w:t>
            </w:r>
          </w:p>
        </w:tc>
        <w:tc>
          <w:tcPr>
            <w:tcW w:w="1258" w:type="dxa"/>
            <w:tcBorders>
              <w:top w:val="nil"/>
              <w:left w:val="nil"/>
              <w:bottom w:val="nil"/>
              <w:right w:val="nil"/>
            </w:tcBorders>
            <w:shd w:val="clear" w:color="auto" w:fill="auto"/>
            <w:vAlign w:val="bottom"/>
            <w:hideMark/>
          </w:tcPr>
          <w:p w14:paraId="5562C40A" w14:textId="13A5133C" w:rsidR="00745CE4" w:rsidRPr="00F112E8" w:rsidRDefault="00745CE4" w:rsidP="00745CE4">
            <w:pPr>
              <w:spacing w:after="0" w:line="240" w:lineRule="auto"/>
              <w:jc w:val="right"/>
              <w:rPr>
                <w:rFonts w:ascii="Calibri" w:eastAsia="Times New Roman" w:hAnsi="Calibri" w:cs="Times New Roman"/>
                <w:sz w:val="20"/>
                <w:szCs w:val="20"/>
                <w:lang w:eastAsia="hr-HR"/>
              </w:rPr>
            </w:pPr>
            <w:r w:rsidRPr="00745CE4">
              <w:rPr>
                <w:rFonts w:ascii="Calibri" w:eastAsia="Times New Roman" w:hAnsi="Calibri" w:cs="Times New Roman"/>
                <w:sz w:val="20"/>
                <w:szCs w:val="20"/>
                <w:lang w:eastAsia="hr-HR"/>
              </w:rPr>
              <w:t>(6.115)</w:t>
            </w:r>
          </w:p>
        </w:tc>
        <w:tc>
          <w:tcPr>
            <w:tcW w:w="1258" w:type="dxa"/>
            <w:tcBorders>
              <w:top w:val="nil"/>
              <w:left w:val="nil"/>
              <w:bottom w:val="nil"/>
              <w:right w:val="nil"/>
            </w:tcBorders>
            <w:shd w:val="clear" w:color="auto" w:fill="auto"/>
            <w:vAlign w:val="bottom"/>
            <w:hideMark/>
          </w:tcPr>
          <w:p w14:paraId="4907A633" w14:textId="3A262429" w:rsidR="00745CE4" w:rsidRPr="00F112E8" w:rsidRDefault="00745CE4" w:rsidP="00745CE4">
            <w:pPr>
              <w:spacing w:after="0" w:line="240" w:lineRule="auto"/>
              <w:jc w:val="right"/>
              <w:rPr>
                <w:rFonts w:ascii="Calibri" w:eastAsia="Times New Roman" w:hAnsi="Calibri" w:cs="Times New Roman"/>
                <w:sz w:val="20"/>
                <w:szCs w:val="20"/>
                <w:lang w:eastAsia="hr-HR"/>
              </w:rPr>
            </w:pPr>
            <w:r w:rsidRPr="00745CE4">
              <w:rPr>
                <w:rFonts w:ascii="Calibri" w:eastAsia="Times New Roman" w:hAnsi="Calibri" w:cs="Times New Roman"/>
                <w:sz w:val="20"/>
                <w:szCs w:val="20"/>
                <w:lang w:eastAsia="hr-HR"/>
              </w:rPr>
              <w:t>(7.951)</w:t>
            </w:r>
          </w:p>
        </w:tc>
        <w:tc>
          <w:tcPr>
            <w:tcW w:w="1258" w:type="dxa"/>
            <w:tcBorders>
              <w:top w:val="nil"/>
              <w:left w:val="nil"/>
              <w:bottom w:val="nil"/>
              <w:right w:val="nil"/>
            </w:tcBorders>
            <w:shd w:val="clear" w:color="auto" w:fill="auto"/>
            <w:vAlign w:val="bottom"/>
            <w:hideMark/>
          </w:tcPr>
          <w:p w14:paraId="457FC1F4" w14:textId="0F28D18B"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sz w:val="20"/>
                <w:szCs w:val="20"/>
                <w:lang w:eastAsia="hr-HR"/>
              </w:rPr>
              <w:t xml:space="preserve">15.863 </w:t>
            </w:r>
          </w:p>
        </w:tc>
        <w:tc>
          <w:tcPr>
            <w:tcW w:w="1258" w:type="dxa"/>
            <w:tcBorders>
              <w:top w:val="nil"/>
              <w:left w:val="nil"/>
              <w:bottom w:val="nil"/>
              <w:right w:val="nil"/>
            </w:tcBorders>
            <w:shd w:val="clear" w:color="auto" w:fill="auto"/>
            <w:vAlign w:val="bottom"/>
            <w:hideMark/>
          </w:tcPr>
          <w:p w14:paraId="514075CC" w14:textId="6889C8B7"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sz w:val="20"/>
                <w:szCs w:val="20"/>
                <w:lang w:eastAsia="hr-HR"/>
              </w:rPr>
              <w:t xml:space="preserve">16.277 </w:t>
            </w:r>
          </w:p>
        </w:tc>
        <w:tc>
          <w:tcPr>
            <w:tcW w:w="1258" w:type="dxa"/>
            <w:tcBorders>
              <w:top w:val="nil"/>
              <w:left w:val="nil"/>
              <w:bottom w:val="nil"/>
              <w:right w:val="nil"/>
            </w:tcBorders>
            <w:shd w:val="clear" w:color="auto" w:fill="auto"/>
            <w:vAlign w:val="bottom"/>
            <w:hideMark/>
          </w:tcPr>
          <w:p w14:paraId="30F3E9E1" w14:textId="793A651B"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(6.102)</w:t>
            </w:r>
          </w:p>
        </w:tc>
        <w:tc>
          <w:tcPr>
            <w:tcW w:w="1258" w:type="dxa"/>
            <w:tcBorders>
              <w:top w:val="nil"/>
              <w:left w:val="nil"/>
              <w:bottom w:val="nil"/>
              <w:right w:val="nil"/>
            </w:tcBorders>
            <w:shd w:val="clear" w:color="auto" w:fill="auto"/>
            <w:vAlign w:val="bottom"/>
            <w:hideMark/>
          </w:tcPr>
          <w:p w14:paraId="18601D41" w14:textId="5045C46E"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 xml:space="preserve"> (7.877)</w:t>
            </w:r>
          </w:p>
        </w:tc>
        <w:tc>
          <w:tcPr>
            <w:tcW w:w="1258" w:type="dxa"/>
            <w:tcBorders>
              <w:top w:val="nil"/>
              <w:left w:val="nil"/>
              <w:bottom w:val="nil"/>
              <w:right w:val="nil"/>
            </w:tcBorders>
            <w:shd w:val="clear" w:color="auto" w:fill="auto"/>
            <w:vAlign w:val="bottom"/>
            <w:hideMark/>
          </w:tcPr>
          <w:p w14:paraId="3A4F0926" w14:textId="24F70015"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15.894 </w:t>
            </w:r>
          </w:p>
        </w:tc>
        <w:tc>
          <w:tcPr>
            <w:tcW w:w="1258" w:type="dxa"/>
            <w:tcBorders>
              <w:top w:val="nil"/>
              <w:left w:val="nil"/>
              <w:bottom w:val="nil"/>
              <w:right w:val="nil"/>
            </w:tcBorders>
            <w:shd w:val="clear" w:color="auto" w:fill="auto"/>
            <w:vAlign w:val="bottom"/>
            <w:hideMark/>
          </w:tcPr>
          <w:p w14:paraId="051EDC09" w14:textId="2D19D9E9" w:rsidR="00745CE4" w:rsidRPr="00F112E8" w:rsidRDefault="00745CE4" w:rsidP="00745CE4">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16.316 </w:t>
            </w:r>
          </w:p>
        </w:tc>
      </w:tr>
      <w:tr w:rsidR="00FA2889" w:rsidRPr="00F112E8" w14:paraId="008B78B6" w14:textId="77777777" w:rsidTr="00060490">
        <w:trPr>
          <w:trHeight w:val="510"/>
        </w:trPr>
        <w:tc>
          <w:tcPr>
            <w:tcW w:w="4253" w:type="dxa"/>
            <w:tcBorders>
              <w:top w:val="nil"/>
              <w:left w:val="nil"/>
              <w:bottom w:val="nil"/>
              <w:right w:val="nil"/>
            </w:tcBorders>
            <w:shd w:val="clear" w:color="auto" w:fill="auto"/>
            <w:vAlign w:val="bottom"/>
            <w:hideMark/>
          </w:tcPr>
          <w:p w14:paraId="78FA0ECD" w14:textId="77777777" w:rsidR="00FA2889" w:rsidRPr="00F112E8" w:rsidRDefault="00FA2889" w:rsidP="00FA2889">
            <w:pPr>
              <w:spacing w:after="0" w:line="240" w:lineRule="auto"/>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Ukupno povećanje/(smanjenje) rezerviranja za moguće gubitke po garancijama i preuzetim obvezama i ostalim obvezama</w:t>
            </w:r>
          </w:p>
        </w:tc>
        <w:tc>
          <w:tcPr>
            <w:tcW w:w="1258" w:type="dxa"/>
            <w:tcBorders>
              <w:top w:val="single" w:sz="4" w:space="0" w:color="auto"/>
              <w:left w:val="nil"/>
              <w:bottom w:val="single" w:sz="4" w:space="0" w:color="auto"/>
              <w:right w:val="nil"/>
            </w:tcBorders>
            <w:shd w:val="clear" w:color="auto" w:fill="auto"/>
            <w:vAlign w:val="bottom"/>
            <w:hideMark/>
          </w:tcPr>
          <w:p w14:paraId="2C16D5A5" w14:textId="3E4BC0B9" w:rsidR="00FA2889" w:rsidRPr="00F112E8" w:rsidRDefault="00745CE4">
            <w:pPr>
              <w:spacing w:after="0" w:line="240" w:lineRule="auto"/>
              <w:jc w:val="right"/>
              <w:rPr>
                <w:rFonts w:ascii="Calibri" w:eastAsia="Times New Roman" w:hAnsi="Calibri" w:cs="Times New Roman"/>
                <w:color w:val="000000"/>
                <w:sz w:val="20"/>
                <w:szCs w:val="20"/>
                <w:lang w:eastAsia="hr-HR"/>
              </w:rPr>
            </w:pPr>
            <w:r w:rsidRPr="00745CE4">
              <w:rPr>
                <w:rFonts w:ascii="Calibri" w:eastAsia="Times New Roman" w:hAnsi="Calibri" w:cs="Times New Roman"/>
                <w:color w:val="000000"/>
                <w:sz w:val="20"/>
                <w:szCs w:val="20"/>
                <w:lang w:eastAsia="hr-HR"/>
              </w:rPr>
              <w:t>(12.312)</w:t>
            </w:r>
            <w:r w:rsidR="00FA2889" w:rsidRPr="00F112E8">
              <w:rPr>
                <w:rFonts w:ascii="Calibri" w:eastAsia="Times New Roman" w:hAnsi="Calibri" w:cs="Times New Roman"/>
                <w:color w:val="000000"/>
                <w:sz w:val="20"/>
                <w:szCs w:val="20"/>
                <w:lang w:eastAsia="hr-HR"/>
              </w:rPr>
              <w:t xml:space="preserve">               </w:t>
            </w:r>
          </w:p>
        </w:tc>
        <w:tc>
          <w:tcPr>
            <w:tcW w:w="1258" w:type="dxa"/>
            <w:tcBorders>
              <w:top w:val="single" w:sz="4" w:space="0" w:color="auto"/>
              <w:left w:val="nil"/>
              <w:bottom w:val="single" w:sz="4" w:space="0" w:color="auto"/>
              <w:right w:val="nil"/>
            </w:tcBorders>
            <w:shd w:val="clear" w:color="auto" w:fill="auto"/>
            <w:vAlign w:val="bottom"/>
            <w:hideMark/>
          </w:tcPr>
          <w:p w14:paraId="030EE87F" w14:textId="3B8084DF" w:rsidR="00FA2889" w:rsidRPr="00F112E8" w:rsidRDefault="00745CE4">
            <w:pPr>
              <w:spacing w:after="0" w:line="240" w:lineRule="auto"/>
              <w:jc w:val="right"/>
              <w:rPr>
                <w:rFonts w:ascii="Calibri" w:eastAsia="Times New Roman" w:hAnsi="Calibri" w:cs="Times New Roman"/>
                <w:color w:val="000000"/>
                <w:sz w:val="20"/>
                <w:szCs w:val="20"/>
                <w:lang w:eastAsia="hr-HR"/>
              </w:rPr>
            </w:pPr>
            <w:r w:rsidRPr="00745CE4">
              <w:rPr>
                <w:rFonts w:ascii="Calibri" w:eastAsia="Times New Roman" w:hAnsi="Calibri" w:cs="Times New Roman"/>
                <w:color w:val="000000"/>
                <w:sz w:val="20"/>
                <w:szCs w:val="20"/>
                <w:lang w:eastAsia="hr-HR"/>
              </w:rPr>
              <w:t>(16.361)</w:t>
            </w:r>
            <w:r w:rsidR="00FA2889" w:rsidRPr="00F112E8">
              <w:rPr>
                <w:rFonts w:ascii="Calibri" w:eastAsia="Times New Roman" w:hAnsi="Calibri" w:cs="Times New Roman"/>
                <w:color w:val="000000"/>
                <w:sz w:val="20"/>
                <w:szCs w:val="20"/>
                <w:lang w:eastAsia="hr-HR"/>
              </w:rPr>
              <w:t xml:space="preserve">               </w:t>
            </w:r>
          </w:p>
        </w:tc>
        <w:tc>
          <w:tcPr>
            <w:tcW w:w="1258" w:type="dxa"/>
            <w:tcBorders>
              <w:top w:val="single" w:sz="4" w:space="0" w:color="auto"/>
              <w:left w:val="nil"/>
              <w:bottom w:val="single" w:sz="4" w:space="0" w:color="auto"/>
              <w:right w:val="nil"/>
            </w:tcBorders>
            <w:shd w:val="clear" w:color="auto" w:fill="auto"/>
            <w:vAlign w:val="bottom"/>
            <w:hideMark/>
          </w:tcPr>
          <w:p w14:paraId="6DFA0389" w14:textId="78BDC868" w:rsidR="00FA2889" w:rsidRPr="00F112E8" w:rsidRDefault="00FA2889" w:rsidP="00FA2889">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17.663 </w:t>
            </w:r>
          </w:p>
        </w:tc>
        <w:tc>
          <w:tcPr>
            <w:tcW w:w="1258" w:type="dxa"/>
            <w:tcBorders>
              <w:top w:val="single" w:sz="4" w:space="0" w:color="auto"/>
              <w:left w:val="nil"/>
              <w:bottom w:val="single" w:sz="4" w:space="0" w:color="auto"/>
              <w:right w:val="nil"/>
            </w:tcBorders>
            <w:shd w:val="clear" w:color="auto" w:fill="auto"/>
            <w:vAlign w:val="bottom"/>
            <w:hideMark/>
          </w:tcPr>
          <w:p w14:paraId="2B668FD7" w14:textId="514EE178" w:rsidR="00FA2889" w:rsidRPr="00F112E8" w:rsidRDefault="00FA2889" w:rsidP="00FA2889">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13.414 </w:t>
            </w:r>
          </w:p>
        </w:tc>
        <w:tc>
          <w:tcPr>
            <w:tcW w:w="1258" w:type="dxa"/>
            <w:tcBorders>
              <w:top w:val="single" w:sz="4" w:space="0" w:color="auto"/>
              <w:left w:val="nil"/>
              <w:bottom w:val="single" w:sz="4" w:space="0" w:color="auto"/>
              <w:right w:val="nil"/>
            </w:tcBorders>
            <w:shd w:val="clear" w:color="auto" w:fill="auto"/>
            <w:vAlign w:val="bottom"/>
            <w:hideMark/>
          </w:tcPr>
          <w:p w14:paraId="18A8F942" w14:textId="78CB550D" w:rsidR="00FA2889" w:rsidRPr="00F112E8" w:rsidRDefault="00745CE4">
            <w:pPr>
              <w:spacing w:after="0" w:line="240" w:lineRule="auto"/>
              <w:jc w:val="right"/>
              <w:rPr>
                <w:rFonts w:ascii="Calibri" w:eastAsia="Times New Roman" w:hAnsi="Calibri" w:cs="Times New Roman"/>
                <w:color w:val="000000"/>
                <w:sz w:val="20"/>
                <w:szCs w:val="20"/>
                <w:lang w:eastAsia="hr-HR"/>
              </w:rPr>
            </w:pPr>
            <w:r w:rsidRPr="00745CE4">
              <w:rPr>
                <w:rFonts w:ascii="Calibri" w:eastAsia="Times New Roman" w:hAnsi="Calibri" w:cs="Times New Roman"/>
                <w:color w:val="000000"/>
                <w:sz w:val="20"/>
                <w:szCs w:val="20"/>
                <w:lang w:eastAsia="hr-HR"/>
              </w:rPr>
              <w:t>(12.299)</w:t>
            </w:r>
            <w:r w:rsidR="00FA2889" w:rsidRPr="00F112E8">
              <w:rPr>
                <w:rFonts w:ascii="Calibri" w:eastAsia="Times New Roman" w:hAnsi="Calibri" w:cs="Times New Roman"/>
                <w:color w:val="000000"/>
                <w:sz w:val="20"/>
                <w:szCs w:val="20"/>
                <w:lang w:eastAsia="hr-HR"/>
              </w:rPr>
              <w:t xml:space="preserve">               </w:t>
            </w:r>
          </w:p>
        </w:tc>
        <w:tc>
          <w:tcPr>
            <w:tcW w:w="1258" w:type="dxa"/>
            <w:tcBorders>
              <w:top w:val="single" w:sz="4" w:space="0" w:color="auto"/>
              <w:left w:val="nil"/>
              <w:bottom w:val="single" w:sz="4" w:space="0" w:color="auto"/>
              <w:right w:val="nil"/>
            </w:tcBorders>
            <w:shd w:val="clear" w:color="auto" w:fill="auto"/>
            <w:vAlign w:val="bottom"/>
            <w:hideMark/>
          </w:tcPr>
          <w:p w14:paraId="256F1DC3" w14:textId="379FD73F" w:rsidR="00FA2889" w:rsidRPr="00F112E8" w:rsidRDefault="00745CE4">
            <w:pPr>
              <w:spacing w:after="0" w:line="240" w:lineRule="auto"/>
              <w:jc w:val="right"/>
              <w:rPr>
                <w:rFonts w:ascii="Calibri" w:eastAsia="Times New Roman" w:hAnsi="Calibri" w:cs="Times New Roman"/>
                <w:color w:val="000000"/>
                <w:sz w:val="20"/>
                <w:szCs w:val="20"/>
                <w:lang w:eastAsia="hr-HR"/>
              </w:rPr>
            </w:pPr>
            <w:r w:rsidRPr="00745CE4">
              <w:rPr>
                <w:rFonts w:ascii="Calibri" w:eastAsia="Times New Roman" w:hAnsi="Calibri" w:cs="Times New Roman"/>
                <w:color w:val="000000"/>
                <w:sz w:val="20"/>
                <w:szCs w:val="20"/>
                <w:lang w:eastAsia="hr-HR"/>
              </w:rPr>
              <w:t>(16.287)</w:t>
            </w:r>
            <w:r w:rsidR="00FA2889" w:rsidRPr="00F112E8">
              <w:rPr>
                <w:rFonts w:ascii="Calibri" w:eastAsia="Times New Roman" w:hAnsi="Calibri" w:cs="Times New Roman"/>
                <w:color w:val="000000"/>
                <w:sz w:val="20"/>
                <w:szCs w:val="20"/>
                <w:lang w:eastAsia="hr-HR"/>
              </w:rPr>
              <w:t xml:space="preserve">               </w:t>
            </w:r>
          </w:p>
        </w:tc>
        <w:tc>
          <w:tcPr>
            <w:tcW w:w="1258" w:type="dxa"/>
            <w:tcBorders>
              <w:top w:val="single" w:sz="4" w:space="0" w:color="auto"/>
              <w:left w:val="nil"/>
              <w:bottom w:val="single" w:sz="4" w:space="0" w:color="auto"/>
              <w:right w:val="nil"/>
            </w:tcBorders>
            <w:shd w:val="clear" w:color="auto" w:fill="auto"/>
            <w:vAlign w:val="bottom"/>
            <w:hideMark/>
          </w:tcPr>
          <w:p w14:paraId="32D591F0" w14:textId="75A517A6" w:rsidR="00FA2889" w:rsidRPr="00F112E8" w:rsidRDefault="00FA2889" w:rsidP="00FA2889">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17.694 </w:t>
            </w:r>
          </w:p>
        </w:tc>
        <w:tc>
          <w:tcPr>
            <w:tcW w:w="1258" w:type="dxa"/>
            <w:tcBorders>
              <w:top w:val="single" w:sz="4" w:space="0" w:color="auto"/>
              <w:left w:val="nil"/>
              <w:bottom w:val="single" w:sz="4" w:space="0" w:color="auto"/>
              <w:right w:val="nil"/>
            </w:tcBorders>
            <w:shd w:val="clear" w:color="auto" w:fill="auto"/>
            <w:vAlign w:val="bottom"/>
            <w:hideMark/>
          </w:tcPr>
          <w:p w14:paraId="464C84B2" w14:textId="01D66F4E" w:rsidR="00FA2889" w:rsidRPr="00F112E8" w:rsidRDefault="00FA2889" w:rsidP="00FA2889">
            <w:pPr>
              <w:spacing w:after="0" w:line="240" w:lineRule="auto"/>
              <w:jc w:val="right"/>
              <w:rPr>
                <w:rFonts w:ascii="Calibri" w:eastAsia="Times New Roman" w:hAnsi="Calibri" w:cs="Times New Roman"/>
                <w:color w:val="000000"/>
                <w:sz w:val="20"/>
                <w:szCs w:val="20"/>
                <w:lang w:eastAsia="hr-HR"/>
              </w:rPr>
            </w:pPr>
            <w:r w:rsidRPr="00F112E8">
              <w:rPr>
                <w:rFonts w:ascii="Calibri" w:eastAsia="Times New Roman" w:hAnsi="Calibri" w:cs="Times New Roman"/>
                <w:color w:val="000000"/>
                <w:sz w:val="20"/>
                <w:szCs w:val="20"/>
                <w:lang w:eastAsia="hr-HR"/>
              </w:rPr>
              <w:t xml:space="preserve">               13.453 </w:t>
            </w:r>
          </w:p>
        </w:tc>
      </w:tr>
      <w:tr w:rsidR="00FA2889" w:rsidRPr="00F112E8" w14:paraId="2776C4F5" w14:textId="77777777" w:rsidTr="00060490">
        <w:trPr>
          <w:trHeight w:val="314"/>
        </w:trPr>
        <w:tc>
          <w:tcPr>
            <w:tcW w:w="4253" w:type="dxa"/>
            <w:tcBorders>
              <w:top w:val="nil"/>
              <w:left w:val="nil"/>
              <w:bottom w:val="nil"/>
              <w:right w:val="nil"/>
            </w:tcBorders>
            <w:shd w:val="clear" w:color="auto" w:fill="auto"/>
            <w:vAlign w:val="bottom"/>
            <w:hideMark/>
          </w:tcPr>
          <w:p w14:paraId="01A27BA5" w14:textId="77777777" w:rsidR="00FA2889" w:rsidRPr="00F112E8" w:rsidRDefault="00FA2889" w:rsidP="00FA2889">
            <w:pPr>
              <w:spacing w:after="0" w:line="240" w:lineRule="auto"/>
              <w:rPr>
                <w:rFonts w:ascii="Calibri" w:eastAsia="Times New Roman" w:hAnsi="Calibri" w:cs="Times New Roman"/>
                <w:b/>
                <w:bCs/>
                <w:color w:val="000000"/>
                <w:sz w:val="20"/>
                <w:szCs w:val="20"/>
                <w:lang w:eastAsia="hr-HR"/>
              </w:rPr>
            </w:pPr>
            <w:r w:rsidRPr="00F112E8">
              <w:rPr>
                <w:rFonts w:ascii="Calibri" w:eastAsia="Times New Roman" w:hAnsi="Calibri" w:cs="Times New Roman"/>
                <w:b/>
                <w:bCs/>
                <w:color w:val="000000"/>
                <w:sz w:val="20"/>
                <w:szCs w:val="20"/>
                <w:lang w:eastAsia="hr-HR"/>
              </w:rPr>
              <w:t xml:space="preserve">Ukupno povećanje rezerviranja </w:t>
            </w:r>
          </w:p>
        </w:tc>
        <w:tc>
          <w:tcPr>
            <w:tcW w:w="1258" w:type="dxa"/>
            <w:tcBorders>
              <w:top w:val="nil"/>
              <w:left w:val="nil"/>
              <w:bottom w:val="single" w:sz="8" w:space="0" w:color="auto"/>
              <w:right w:val="nil"/>
            </w:tcBorders>
            <w:shd w:val="clear" w:color="auto" w:fill="auto"/>
            <w:vAlign w:val="bottom"/>
            <w:hideMark/>
          </w:tcPr>
          <w:p w14:paraId="516E0BC9" w14:textId="19DC7724" w:rsidR="00FA2889" w:rsidRPr="00F112E8" w:rsidRDefault="00745CE4" w:rsidP="00FA2889">
            <w:pPr>
              <w:spacing w:after="0" w:line="240" w:lineRule="auto"/>
              <w:jc w:val="right"/>
              <w:rPr>
                <w:rFonts w:ascii="Calibri" w:eastAsia="Times New Roman" w:hAnsi="Calibri" w:cs="Times New Roman"/>
                <w:b/>
                <w:bCs/>
                <w:color w:val="000000"/>
                <w:sz w:val="20"/>
                <w:szCs w:val="20"/>
                <w:lang w:eastAsia="hr-HR"/>
              </w:rPr>
            </w:pPr>
            <w:r w:rsidRPr="00745CE4">
              <w:rPr>
                <w:rFonts w:ascii="Calibri" w:eastAsia="Times New Roman" w:hAnsi="Calibri" w:cs="Times New Roman"/>
                <w:b/>
                <w:bCs/>
                <w:color w:val="000000"/>
                <w:sz w:val="20"/>
                <w:szCs w:val="20"/>
                <w:lang w:eastAsia="hr-HR"/>
              </w:rPr>
              <w:t>(16.414)</w:t>
            </w:r>
          </w:p>
        </w:tc>
        <w:tc>
          <w:tcPr>
            <w:tcW w:w="1258" w:type="dxa"/>
            <w:tcBorders>
              <w:top w:val="nil"/>
              <w:left w:val="nil"/>
              <w:bottom w:val="single" w:sz="8" w:space="0" w:color="auto"/>
              <w:right w:val="nil"/>
            </w:tcBorders>
            <w:shd w:val="clear" w:color="auto" w:fill="auto"/>
            <w:vAlign w:val="bottom"/>
            <w:hideMark/>
          </w:tcPr>
          <w:p w14:paraId="05C6EEC2" w14:textId="585EDD70" w:rsidR="00FA2889" w:rsidRPr="00F112E8" w:rsidRDefault="00745CE4" w:rsidP="00FA2889">
            <w:pPr>
              <w:spacing w:after="0" w:line="240" w:lineRule="auto"/>
              <w:jc w:val="right"/>
              <w:rPr>
                <w:rFonts w:ascii="Calibri" w:eastAsia="Times New Roman" w:hAnsi="Calibri" w:cs="Times New Roman"/>
                <w:b/>
                <w:bCs/>
                <w:color w:val="000000"/>
                <w:sz w:val="20"/>
                <w:szCs w:val="20"/>
                <w:lang w:eastAsia="hr-HR"/>
              </w:rPr>
            </w:pPr>
            <w:r w:rsidRPr="00745CE4">
              <w:rPr>
                <w:rFonts w:ascii="Calibri" w:eastAsia="Times New Roman" w:hAnsi="Calibri" w:cs="Times New Roman"/>
                <w:b/>
                <w:bCs/>
                <w:color w:val="000000"/>
                <w:sz w:val="20"/>
                <w:szCs w:val="20"/>
                <w:lang w:eastAsia="hr-HR"/>
              </w:rPr>
              <w:t>43.125</w:t>
            </w:r>
          </w:p>
        </w:tc>
        <w:tc>
          <w:tcPr>
            <w:tcW w:w="1258" w:type="dxa"/>
            <w:tcBorders>
              <w:top w:val="nil"/>
              <w:left w:val="nil"/>
              <w:bottom w:val="single" w:sz="8" w:space="0" w:color="auto"/>
              <w:right w:val="nil"/>
            </w:tcBorders>
            <w:shd w:val="clear" w:color="auto" w:fill="auto"/>
            <w:vAlign w:val="bottom"/>
            <w:hideMark/>
          </w:tcPr>
          <w:p w14:paraId="3BC22D58" w14:textId="7D368442" w:rsidR="00FA2889" w:rsidRPr="00F112E8" w:rsidRDefault="00FA2889" w:rsidP="00FA2889">
            <w:pPr>
              <w:spacing w:after="0" w:line="240" w:lineRule="auto"/>
              <w:jc w:val="right"/>
              <w:rPr>
                <w:rFonts w:ascii="Calibri" w:eastAsia="Times New Roman" w:hAnsi="Calibri" w:cs="Times New Roman"/>
                <w:b/>
                <w:bCs/>
                <w:color w:val="000000"/>
                <w:sz w:val="20"/>
                <w:szCs w:val="20"/>
                <w:lang w:eastAsia="hr-HR"/>
              </w:rPr>
            </w:pPr>
            <w:r w:rsidRPr="00F112E8">
              <w:rPr>
                <w:rFonts w:ascii="Calibri" w:eastAsia="Times New Roman" w:hAnsi="Calibri" w:cs="Times New Roman"/>
                <w:b/>
                <w:bCs/>
                <w:color w:val="000000"/>
                <w:sz w:val="20"/>
                <w:szCs w:val="20"/>
                <w:lang w:eastAsia="hr-HR"/>
              </w:rPr>
              <w:t xml:space="preserve">16.492 </w:t>
            </w:r>
          </w:p>
        </w:tc>
        <w:tc>
          <w:tcPr>
            <w:tcW w:w="1258" w:type="dxa"/>
            <w:tcBorders>
              <w:top w:val="nil"/>
              <w:left w:val="nil"/>
              <w:bottom w:val="single" w:sz="8" w:space="0" w:color="auto"/>
              <w:right w:val="nil"/>
            </w:tcBorders>
            <w:shd w:val="clear" w:color="auto" w:fill="auto"/>
            <w:vAlign w:val="bottom"/>
            <w:hideMark/>
          </w:tcPr>
          <w:p w14:paraId="23524A88" w14:textId="6142281E" w:rsidR="00FA2889" w:rsidRPr="00F112E8" w:rsidRDefault="00FA2889" w:rsidP="00FA2889">
            <w:pPr>
              <w:spacing w:after="0" w:line="240" w:lineRule="auto"/>
              <w:jc w:val="right"/>
              <w:rPr>
                <w:rFonts w:ascii="Calibri" w:eastAsia="Times New Roman" w:hAnsi="Calibri" w:cs="Times New Roman"/>
                <w:b/>
                <w:bCs/>
                <w:color w:val="000000"/>
                <w:sz w:val="20"/>
                <w:szCs w:val="20"/>
                <w:lang w:eastAsia="hr-HR"/>
              </w:rPr>
            </w:pPr>
            <w:r w:rsidRPr="00F112E8">
              <w:rPr>
                <w:rFonts w:ascii="Calibri" w:eastAsia="Times New Roman" w:hAnsi="Calibri" w:cs="Times New Roman"/>
                <w:b/>
                <w:bCs/>
                <w:color w:val="000000"/>
                <w:sz w:val="20"/>
                <w:szCs w:val="20"/>
                <w:lang w:eastAsia="hr-HR"/>
              </w:rPr>
              <w:t xml:space="preserve">20.958 </w:t>
            </w:r>
          </w:p>
        </w:tc>
        <w:tc>
          <w:tcPr>
            <w:tcW w:w="1258" w:type="dxa"/>
            <w:tcBorders>
              <w:top w:val="nil"/>
              <w:left w:val="nil"/>
              <w:bottom w:val="single" w:sz="8" w:space="0" w:color="auto"/>
              <w:right w:val="nil"/>
            </w:tcBorders>
            <w:shd w:val="clear" w:color="auto" w:fill="auto"/>
            <w:vAlign w:val="bottom"/>
            <w:hideMark/>
          </w:tcPr>
          <w:p w14:paraId="27021AC6" w14:textId="0E73970E" w:rsidR="00FA2889" w:rsidRPr="00F112E8" w:rsidRDefault="00745CE4" w:rsidP="00FA2889">
            <w:pPr>
              <w:spacing w:after="0" w:line="240" w:lineRule="auto"/>
              <w:jc w:val="right"/>
              <w:rPr>
                <w:rFonts w:ascii="Calibri" w:eastAsia="Times New Roman" w:hAnsi="Calibri" w:cs="Times New Roman"/>
                <w:b/>
                <w:bCs/>
                <w:color w:val="000000"/>
                <w:sz w:val="20"/>
                <w:szCs w:val="20"/>
                <w:lang w:eastAsia="hr-HR"/>
              </w:rPr>
            </w:pPr>
            <w:r w:rsidRPr="00745CE4">
              <w:rPr>
                <w:rFonts w:ascii="Calibri" w:eastAsia="Times New Roman" w:hAnsi="Calibri" w:cs="Times New Roman"/>
                <w:b/>
                <w:bCs/>
                <w:color w:val="000000"/>
                <w:sz w:val="20"/>
                <w:szCs w:val="20"/>
                <w:lang w:eastAsia="hr-HR"/>
              </w:rPr>
              <w:t>(16.419)</w:t>
            </w:r>
          </w:p>
        </w:tc>
        <w:tc>
          <w:tcPr>
            <w:tcW w:w="1258" w:type="dxa"/>
            <w:tcBorders>
              <w:top w:val="nil"/>
              <w:left w:val="nil"/>
              <w:bottom w:val="single" w:sz="8" w:space="0" w:color="auto"/>
              <w:right w:val="nil"/>
            </w:tcBorders>
            <w:shd w:val="clear" w:color="auto" w:fill="auto"/>
            <w:vAlign w:val="bottom"/>
            <w:hideMark/>
          </w:tcPr>
          <w:p w14:paraId="16C9EFD4" w14:textId="418B1620" w:rsidR="00FA2889" w:rsidRPr="00F112E8" w:rsidRDefault="00745CE4" w:rsidP="00FA2889">
            <w:pPr>
              <w:spacing w:after="0" w:line="240" w:lineRule="auto"/>
              <w:jc w:val="right"/>
              <w:rPr>
                <w:rFonts w:ascii="Calibri" w:eastAsia="Times New Roman" w:hAnsi="Calibri" w:cs="Times New Roman"/>
                <w:b/>
                <w:bCs/>
                <w:color w:val="000000"/>
                <w:sz w:val="20"/>
                <w:szCs w:val="20"/>
                <w:lang w:eastAsia="hr-HR"/>
              </w:rPr>
            </w:pPr>
            <w:r w:rsidRPr="00745CE4">
              <w:rPr>
                <w:rFonts w:ascii="Calibri" w:eastAsia="Times New Roman" w:hAnsi="Calibri" w:cs="Times New Roman"/>
                <w:b/>
                <w:bCs/>
                <w:color w:val="000000"/>
                <w:sz w:val="20"/>
                <w:szCs w:val="20"/>
                <w:lang w:eastAsia="hr-HR"/>
              </w:rPr>
              <w:t>43.150</w:t>
            </w:r>
          </w:p>
        </w:tc>
        <w:tc>
          <w:tcPr>
            <w:tcW w:w="1258" w:type="dxa"/>
            <w:tcBorders>
              <w:top w:val="nil"/>
              <w:left w:val="nil"/>
              <w:bottom w:val="single" w:sz="8" w:space="0" w:color="auto"/>
              <w:right w:val="nil"/>
            </w:tcBorders>
            <w:shd w:val="clear" w:color="auto" w:fill="auto"/>
            <w:vAlign w:val="bottom"/>
            <w:hideMark/>
          </w:tcPr>
          <w:p w14:paraId="5C025FF2" w14:textId="21FC12E8" w:rsidR="00FA2889" w:rsidRPr="00F112E8" w:rsidRDefault="00FA2889" w:rsidP="00FA2889">
            <w:pPr>
              <w:spacing w:after="0" w:line="240" w:lineRule="auto"/>
              <w:jc w:val="right"/>
              <w:rPr>
                <w:rFonts w:ascii="Calibri" w:eastAsia="Times New Roman" w:hAnsi="Calibri" w:cs="Times New Roman"/>
                <w:b/>
                <w:bCs/>
                <w:color w:val="000000"/>
                <w:sz w:val="20"/>
                <w:szCs w:val="20"/>
                <w:lang w:eastAsia="hr-HR"/>
              </w:rPr>
            </w:pPr>
            <w:r w:rsidRPr="00F112E8">
              <w:rPr>
                <w:rFonts w:ascii="Calibri" w:eastAsia="Times New Roman" w:hAnsi="Calibri" w:cs="Times New Roman"/>
                <w:b/>
                <w:bCs/>
                <w:color w:val="000000"/>
                <w:sz w:val="20"/>
                <w:szCs w:val="20"/>
                <w:lang w:eastAsia="hr-HR"/>
              </w:rPr>
              <w:t xml:space="preserve">16.550 </w:t>
            </w:r>
          </w:p>
        </w:tc>
        <w:tc>
          <w:tcPr>
            <w:tcW w:w="1258" w:type="dxa"/>
            <w:tcBorders>
              <w:top w:val="nil"/>
              <w:left w:val="nil"/>
              <w:bottom w:val="single" w:sz="8" w:space="0" w:color="auto"/>
              <w:right w:val="nil"/>
            </w:tcBorders>
            <w:shd w:val="clear" w:color="auto" w:fill="auto"/>
            <w:vAlign w:val="bottom"/>
            <w:hideMark/>
          </w:tcPr>
          <w:p w14:paraId="6227AF23" w14:textId="3EB070DB" w:rsidR="00FA2889" w:rsidRPr="00F112E8" w:rsidRDefault="00FA2889" w:rsidP="00FA2889">
            <w:pPr>
              <w:spacing w:after="0" w:line="240" w:lineRule="auto"/>
              <w:jc w:val="right"/>
              <w:rPr>
                <w:rFonts w:ascii="Calibri" w:eastAsia="Times New Roman" w:hAnsi="Calibri" w:cs="Times New Roman"/>
                <w:b/>
                <w:bCs/>
                <w:color w:val="000000"/>
                <w:sz w:val="20"/>
                <w:szCs w:val="20"/>
                <w:lang w:eastAsia="hr-HR"/>
              </w:rPr>
            </w:pPr>
            <w:r w:rsidRPr="00F112E8">
              <w:rPr>
                <w:rFonts w:ascii="Calibri" w:eastAsia="Times New Roman" w:hAnsi="Calibri" w:cs="Times New Roman"/>
                <w:b/>
                <w:bCs/>
                <w:color w:val="000000"/>
                <w:sz w:val="20"/>
                <w:szCs w:val="20"/>
                <w:lang w:eastAsia="hr-HR"/>
              </w:rPr>
              <w:t xml:space="preserve">21.000 </w:t>
            </w:r>
          </w:p>
        </w:tc>
      </w:tr>
    </w:tbl>
    <w:p w14:paraId="02775D21" w14:textId="1ADCBDD8" w:rsidR="00931C72" w:rsidRDefault="00931C72" w:rsidP="009F6466">
      <w:pPr>
        <w:pStyle w:val="T1"/>
        <w:spacing w:before="0" w:after="0" w:line="240" w:lineRule="auto"/>
        <w:rPr>
          <w:rFonts w:asciiTheme="minorHAnsi" w:hAnsiTheme="minorHAnsi" w:cs="Arial"/>
          <w:b w:val="0"/>
          <w:bCs w:val="0"/>
          <w:sz w:val="22"/>
          <w:szCs w:val="22"/>
          <w:lang w:val="hr-HR"/>
        </w:rPr>
      </w:pPr>
    </w:p>
    <w:p w14:paraId="3524BF16" w14:textId="77777777" w:rsidR="00931C72" w:rsidRDefault="00931C72" w:rsidP="00931C72">
      <w:pPr>
        <w:tabs>
          <w:tab w:val="left" w:pos="-720"/>
        </w:tabs>
        <w:spacing w:after="0" w:line="240" w:lineRule="auto"/>
        <w:jc w:val="both"/>
        <w:rPr>
          <w:rFonts w:eastAsia="Times New Roman" w:cs="Calibri"/>
          <w:sz w:val="24"/>
          <w:szCs w:val="24"/>
          <w:lang w:eastAsia="hr-HR"/>
        </w:rPr>
      </w:pPr>
    </w:p>
    <w:p w14:paraId="5DC36EAE" w14:textId="77777777" w:rsidR="00931C72" w:rsidRDefault="00931C72" w:rsidP="00931C72">
      <w:pPr>
        <w:tabs>
          <w:tab w:val="left" w:pos="-720"/>
        </w:tabs>
        <w:spacing w:after="0" w:line="240" w:lineRule="auto"/>
        <w:jc w:val="both"/>
        <w:rPr>
          <w:rFonts w:eastAsia="Times New Roman" w:cs="Calibri"/>
          <w:sz w:val="24"/>
          <w:szCs w:val="24"/>
          <w:lang w:eastAsia="hr-HR"/>
        </w:rPr>
        <w:sectPr w:rsidR="00931C72" w:rsidSect="00060490">
          <w:footerReference w:type="first" r:id="rId67"/>
          <w:pgSz w:w="16838" w:h="11906" w:orient="landscape" w:code="9"/>
          <w:pgMar w:top="1418" w:right="595" w:bottom="1134" w:left="1418" w:header="709" w:footer="709" w:gutter="0"/>
          <w:cols w:space="708"/>
          <w:titlePg/>
          <w:docGrid w:linePitch="360"/>
        </w:sectPr>
      </w:pPr>
    </w:p>
    <w:p w14:paraId="11F070EB" w14:textId="77777777" w:rsidR="00FA2889" w:rsidRDefault="00FA2889" w:rsidP="009F6466">
      <w:pPr>
        <w:pStyle w:val="T1"/>
        <w:spacing w:before="0" w:after="0" w:line="240" w:lineRule="auto"/>
        <w:rPr>
          <w:rFonts w:asciiTheme="minorHAnsi" w:hAnsiTheme="minorHAnsi" w:cs="Arial"/>
          <w:b w:val="0"/>
          <w:bCs w:val="0"/>
          <w:sz w:val="22"/>
          <w:szCs w:val="22"/>
          <w:lang w:val="hr-HR"/>
        </w:rPr>
      </w:pPr>
    </w:p>
    <w:p w14:paraId="7D30420E" w14:textId="77777777" w:rsidR="00931C72" w:rsidRPr="004F4015" w:rsidRDefault="00931C72" w:rsidP="00931C72">
      <w:pPr>
        <w:spacing w:after="0" w:line="240" w:lineRule="auto"/>
        <w:jc w:val="both"/>
        <w:rPr>
          <w:rFonts w:eastAsia="Times New Roman" w:cs="Calibri"/>
          <w:b/>
          <w:lang w:eastAsia="hr-HR"/>
        </w:rPr>
      </w:pPr>
      <w:r w:rsidRPr="004F4015">
        <w:rPr>
          <w:rFonts w:eastAsia="Times New Roman" w:cs="Calibri"/>
          <w:b/>
          <w:lang w:eastAsia="hr-HR"/>
        </w:rPr>
        <w:t>7.</w:t>
      </w:r>
      <w:r w:rsidRPr="004F4015">
        <w:rPr>
          <w:rFonts w:eastAsia="Times New Roman" w:cs="Calibri"/>
          <w:b/>
          <w:lang w:eastAsia="hr-HR"/>
        </w:rPr>
        <w:tab/>
        <w:t>Gubitak od umanjenja vrijednosti i rezerviranja</w:t>
      </w:r>
      <w:r>
        <w:rPr>
          <w:rFonts w:eastAsia="Times New Roman" w:cs="Calibri"/>
          <w:b/>
          <w:lang w:eastAsia="hr-HR"/>
        </w:rPr>
        <w:t xml:space="preserve"> (nastavak)</w:t>
      </w:r>
      <w:r w:rsidRPr="004F4015">
        <w:rPr>
          <w:rFonts w:eastAsia="Times New Roman" w:cs="Calibri"/>
          <w:b/>
          <w:lang w:eastAsia="hr-HR"/>
        </w:rPr>
        <w:t>:</w:t>
      </w:r>
    </w:p>
    <w:p w14:paraId="263AD7DA" w14:textId="77777777" w:rsidR="00931C72" w:rsidRPr="009F6466" w:rsidRDefault="00931C72" w:rsidP="009F6466">
      <w:pPr>
        <w:pStyle w:val="T1"/>
        <w:spacing w:before="0" w:after="0" w:line="240" w:lineRule="auto"/>
        <w:rPr>
          <w:rFonts w:asciiTheme="minorHAnsi" w:hAnsiTheme="minorHAnsi" w:cs="Arial"/>
          <w:b w:val="0"/>
          <w:bCs w:val="0"/>
          <w:sz w:val="22"/>
          <w:szCs w:val="22"/>
          <w:lang w:val="hr-HR"/>
        </w:rPr>
      </w:pPr>
    </w:p>
    <w:p w14:paraId="0F122114" w14:textId="77777777" w:rsidR="009C511D" w:rsidRDefault="009C511D" w:rsidP="00312E87">
      <w:pPr>
        <w:pStyle w:val="accountingpolicytitle"/>
        <w:ind w:right="-2"/>
        <w:rPr>
          <w:rFonts w:asciiTheme="minorHAnsi" w:hAnsiTheme="minorHAnsi" w:cs="Arial"/>
          <w:b w:val="0"/>
          <w:sz w:val="22"/>
          <w:szCs w:val="22"/>
          <w:lang w:val="hr-HR"/>
        </w:rPr>
      </w:pPr>
      <w:r w:rsidRPr="00DF6823">
        <w:rPr>
          <w:rFonts w:asciiTheme="minorHAnsi" w:hAnsiTheme="minorHAnsi" w:cs="Arial"/>
          <w:b w:val="0"/>
          <w:sz w:val="22"/>
          <w:szCs w:val="22"/>
          <w:lang w:val="hr-HR"/>
        </w:rPr>
        <w:t xml:space="preserve">Banka redovito prati dane kredite i potraživanja kako bi utvrdila potrebno umanjenje vrijednosti imovine. Banka koristi svoje iskustvene prosudbe kako bi procijenila vrijednost gubitka od umanjenja vrijednosti u slučajevima kada je dužnik u financijskim problemima, a postoji nekoliko raspoloživih izvora povijesnih podataka koji se odnose na slične dužnike. </w:t>
      </w:r>
    </w:p>
    <w:p w14:paraId="458BB656" w14:textId="77777777" w:rsidR="00202F35" w:rsidRPr="00DF6823" w:rsidRDefault="00202F35" w:rsidP="00202F35">
      <w:pPr>
        <w:pStyle w:val="accountingpolicytitle"/>
        <w:rPr>
          <w:rFonts w:asciiTheme="minorHAnsi" w:hAnsiTheme="minorHAnsi" w:cs="Arial"/>
          <w:b w:val="0"/>
          <w:sz w:val="22"/>
          <w:szCs w:val="22"/>
          <w:lang w:val="hr-HR"/>
        </w:rPr>
      </w:pPr>
    </w:p>
    <w:p w14:paraId="1BDED251" w14:textId="77777777" w:rsidR="009C511D" w:rsidRDefault="009C511D" w:rsidP="00202F35">
      <w:pPr>
        <w:pStyle w:val="accountingpolicytitle"/>
        <w:rPr>
          <w:rFonts w:asciiTheme="minorHAnsi" w:hAnsiTheme="minorHAnsi" w:cs="Arial"/>
          <w:b w:val="0"/>
          <w:sz w:val="22"/>
          <w:szCs w:val="22"/>
          <w:lang w:val="hr-HR"/>
        </w:rPr>
      </w:pPr>
      <w:r w:rsidRPr="00DF6823">
        <w:rPr>
          <w:rFonts w:asciiTheme="minorHAnsi" w:hAnsiTheme="minorHAnsi" w:cs="Arial"/>
          <w:b w:val="0"/>
          <w:sz w:val="22"/>
          <w:szCs w:val="22"/>
          <w:lang w:val="hr-HR"/>
        </w:rPr>
        <w:t>Slično tome, Banka procjenjuje promjene budućih tokova novca koristeći se podacima koji upućuju na nepovoljne promjene platežne moći dužnika u skupini te nacionalnim ili lokalnim uvjetima koji imaju slične karakteristike kao imovina u skupini.</w:t>
      </w:r>
    </w:p>
    <w:p w14:paraId="4E37356E" w14:textId="77777777" w:rsidR="00202F35" w:rsidRPr="00DF6823" w:rsidRDefault="00202F35" w:rsidP="00202F35">
      <w:pPr>
        <w:pStyle w:val="accountingpolicytitle"/>
        <w:rPr>
          <w:rFonts w:asciiTheme="minorHAnsi" w:hAnsiTheme="minorHAnsi" w:cs="Arial"/>
          <w:b w:val="0"/>
          <w:sz w:val="22"/>
          <w:szCs w:val="22"/>
          <w:lang w:val="hr-HR"/>
        </w:rPr>
      </w:pPr>
    </w:p>
    <w:p w14:paraId="3709AC28" w14:textId="77777777" w:rsidR="00BE573C" w:rsidRDefault="009C511D" w:rsidP="00202F35">
      <w:pPr>
        <w:pStyle w:val="accountingpolicytitle"/>
        <w:rPr>
          <w:rFonts w:asciiTheme="minorHAnsi" w:hAnsiTheme="minorHAnsi" w:cs="Arial"/>
          <w:b w:val="0"/>
          <w:sz w:val="22"/>
          <w:szCs w:val="22"/>
          <w:lang w:val="hr-HR"/>
        </w:rPr>
      </w:pPr>
      <w:r w:rsidRPr="00DF6823">
        <w:rPr>
          <w:rFonts w:asciiTheme="minorHAnsi" w:hAnsiTheme="minorHAnsi" w:cs="Arial"/>
          <w:b w:val="0"/>
          <w:sz w:val="22"/>
          <w:szCs w:val="22"/>
          <w:lang w:val="hr-HR"/>
        </w:rPr>
        <w:t>Uprava koristi procjene temeljene na iskustvu povijesnog gubitka na imovini s obilježjima kreditnog rizika te nepristranim dokazima umanjenja vrijednosti sličnima onima u skupini kredita i potraživanja. Banka koristi iskustvene procjene kako bi prikupljene podatke o skupini kredita i potraživanja prilagodila trenutnim tržišnim uvjetima.</w:t>
      </w:r>
      <w:r w:rsidR="00BE573C">
        <w:rPr>
          <w:rFonts w:asciiTheme="minorHAnsi" w:hAnsiTheme="minorHAnsi" w:cs="Arial"/>
          <w:b w:val="0"/>
          <w:sz w:val="22"/>
          <w:szCs w:val="22"/>
          <w:lang w:val="hr-HR"/>
        </w:rPr>
        <w:t xml:space="preserve"> </w:t>
      </w:r>
    </w:p>
    <w:p w14:paraId="69082FAB" w14:textId="77777777" w:rsidR="009C511D" w:rsidRDefault="009C511D" w:rsidP="002D2D17">
      <w:pPr>
        <w:tabs>
          <w:tab w:val="left" w:pos="-720"/>
        </w:tabs>
        <w:spacing w:after="0" w:line="240" w:lineRule="auto"/>
        <w:jc w:val="both"/>
        <w:rPr>
          <w:rFonts w:eastAsia="Times New Roman" w:cs="Calibri"/>
          <w:sz w:val="24"/>
          <w:szCs w:val="24"/>
          <w:lang w:eastAsia="hr-HR"/>
        </w:rPr>
      </w:pPr>
    </w:p>
    <w:p w14:paraId="4404AB3A" w14:textId="77777777" w:rsidR="00BE573C" w:rsidRDefault="00BE573C" w:rsidP="002D2D17">
      <w:pPr>
        <w:tabs>
          <w:tab w:val="left" w:pos="-720"/>
        </w:tabs>
        <w:spacing w:after="0" w:line="240" w:lineRule="auto"/>
        <w:jc w:val="both"/>
        <w:rPr>
          <w:rFonts w:eastAsia="Times New Roman" w:cs="Calibri"/>
          <w:sz w:val="24"/>
          <w:szCs w:val="24"/>
          <w:lang w:eastAsia="hr-HR"/>
        </w:rPr>
      </w:pPr>
    </w:p>
    <w:p w14:paraId="02299921" w14:textId="77777777" w:rsidR="00BE573C" w:rsidRDefault="00BE573C" w:rsidP="002D2D17">
      <w:pPr>
        <w:tabs>
          <w:tab w:val="left" w:pos="-720"/>
        </w:tabs>
        <w:spacing w:after="0" w:line="240" w:lineRule="auto"/>
        <w:jc w:val="both"/>
        <w:rPr>
          <w:rFonts w:eastAsia="Times New Roman" w:cs="Calibri"/>
          <w:sz w:val="24"/>
          <w:szCs w:val="24"/>
          <w:lang w:eastAsia="hr-HR"/>
        </w:rPr>
        <w:sectPr w:rsidR="00BE573C" w:rsidSect="00312975">
          <w:footerReference w:type="first" r:id="rId68"/>
          <w:pgSz w:w="11906" w:h="16838" w:code="9"/>
          <w:pgMar w:top="595" w:right="1134" w:bottom="1418" w:left="1418" w:header="709" w:footer="709" w:gutter="0"/>
          <w:cols w:space="708"/>
          <w:titlePg/>
          <w:docGrid w:linePitch="360"/>
        </w:sectPr>
      </w:pPr>
    </w:p>
    <w:p w14:paraId="10E43E4A" w14:textId="77777777" w:rsidR="00231BF3" w:rsidRDefault="00231BF3" w:rsidP="00202F35">
      <w:pPr>
        <w:tabs>
          <w:tab w:val="left" w:pos="-720"/>
        </w:tabs>
        <w:spacing w:after="0" w:line="240" w:lineRule="auto"/>
        <w:jc w:val="both"/>
        <w:rPr>
          <w:rFonts w:eastAsia="Times New Roman" w:cs="Calibri"/>
          <w:sz w:val="24"/>
          <w:szCs w:val="24"/>
          <w:lang w:eastAsia="hr-HR"/>
        </w:rPr>
      </w:pPr>
    </w:p>
    <w:p w14:paraId="1F365250" w14:textId="5EE9F955" w:rsidR="006379CB" w:rsidRPr="0038086E" w:rsidRDefault="0038086E" w:rsidP="0038086E">
      <w:pPr>
        <w:keepNext/>
        <w:tabs>
          <w:tab w:val="left" w:pos="567"/>
        </w:tabs>
        <w:spacing w:after="0" w:line="240" w:lineRule="auto"/>
        <w:jc w:val="both"/>
        <w:rPr>
          <w:rFonts w:eastAsia="Times New Roman" w:cs="Arial"/>
          <w:b/>
          <w:bCs/>
        </w:rPr>
      </w:pPr>
      <w:r>
        <w:rPr>
          <w:rFonts w:eastAsia="Times New Roman" w:cs="Arial"/>
          <w:b/>
          <w:bCs/>
        </w:rPr>
        <w:t>8.</w:t>
      </w:r>
      <w:r>
        <w:rPr>
          <w:rFonts w:eastAsia="Times New Roman" w:cs="Arial"/>
          <w:b/>
          <w:bCs/>
        </w:rPr>
        <w:tab/>
      </w:r>
      <w:r w:rsidR="002D2D17" w:rsidRPr="0038086E">
        <w:rPr>
          <w:rFonts w:eastAsia="Times New Roman" w:cs="Arial"/>
          <w:b/>
          <w:bCs/>
        </w:rPr>
        <w:t>Novčana sredstva i računi kod banaka</w:t>
      </w:r>
    </w:p>
    <w:p w14:paraId="02007EBD" w14:textId="77777777" w:rsidR="001C53D5" w:rsidRPr="001C53D5" w:rsidRDefault="001C53D5" w:rsidP="001C53D5">
      <w:pPr>
        <w:pStyle w:val="ListParagraph"/>
        <w:keepNext/>
        <w:tabs>
          <w:tab w:val="left" w:pos="567"/>
        </w:tabs>
        <w:spacing w:after="0" w:line="240" w:lineRule="auto"/>
        <w:jc w:val="both"/>
        <w:rPr>
          <w:rFonts w:eastAsia="Times New Roman" w:cs="Arial"/>
          <w:b/>
          <w:bCs/>
        </w:rPr>
      </w:pPr>
    </w:p>
    <w:tbl>
      <w:tblPr>
        <w:tblW w:w="4945" w:type="pct"/>
        <w:tblLook w:val="0000" w:firstRow="0" w:lastRow="0" w:firstColumn="0" w:lastColumn="0" w:noHBand="0" w:noVBand="0"/>
      </w:tblPr>
      <w:tblGrid>
        <w:gridCol w:w="3965"/>
        <w:gridCol w:w="1288"/>
        <w:gridCol w:w="1288"/>
        <w:gridCol w:w="1428"/>
        <w:gridCol w:w="1282"/>
      </w:tblGrid>
      <w:tr w:rsidR="002D2D17" w:rsidRPr="000C1F7F" w14:paraId="70E77452" w14:textId="77777777" w:rsidTr="00F1130C">
        <w:trPr>
          <w:trHeight w:val="313"/>
        </w:trPr>
        <w:tc>
          <w:tcPr>
            <w:tcW w:w="2143" w:type="pct"/>
          </w:tcPr>
          <w:p w14:paraId="680ACA8F" w14:textId="77777777" w:rsidR="002D2D17" w:rsidRPr="000C1F7F" w:rsidRDefault="002D2D17" w:rsidP="002D2D17">
            <w:pPr>
              <w:tabs>
                <w:tab w:val="left" w:pos="-720"/>
              </w:tabs>
              <w:suppressAutoHyphens/>
              <w:spacing w:after="0" w:line="220" w:lineRule="exact"/>
              <w:rPr>
                <w:rFonts w:eastAsia="Times New Roman" w:cs="Arial"/>
                <w:sz w:val="20"/>
                <w:szCs w:val="20"/>
              </w:rPr>
            </w:pPr>
          </w:p>
        </w:tc>
        <w:tc>
          <w:tcPr>
            <w:tcW w:w="1392" w:type="pct"/>
            <w:gridSpan w:val="2"/>
            <w:vAlign w:val="center"/>
          </w:tcPr>
          <w:p w14:paraId="0109CF1C" w14:textId="77777777" w:rsidR="002D2D17" w:rsidRPr="000C1F7F" w:rsidRDefault="002D2D17" w:rsidP="002E7C23">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Grupa</w:t>
            </w:r>
          </w:p>
        </w:tc>
        <w:tc>
          <w:tcPr>
            <w:tcW w:w="1465" w:type="pct"/>
            <w:gridSpan w:val="2"/>
            <w:vAlign w:val="center"/>
          </w:tcPr>
          <w:p w14:paraId="705B12A7" w14:textId="77777777" w:rsidR="002D2D17" w:rsidRPr="000C1F7F" w:rsidRDefault="002D2D17" w:rsidP="002E7C23">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Banka</w:t>
            </w:r>
          </w:p>
        </w:tc>
      </w:tr>
      <w:tr w:rsidR="000C1F7F" w:rsidRPr="000C1F7F" w14:paraId="398FCA6A" w14:textId="77777777" w:rsidTr="00304596">
        <w:trPr>
          <w:trHeight w:val="387"/>
        </w:trPr>
        <w:tc>
          <w:tcPr>
            <w:tcW w:w="2143" w:type="pct"/>
          </w:tcPr>
          <w:p w14:paraId="7A66697E" w14:textId="77777777" w:rsidR="000C1F7F" w:rsidRPr="000C1F7F" w:rsidRDefault="000C1F7F" w:rsidP="000C1F7F">
            <w:pPr>
              <w:tabs>
                <w:tab w:val="left" w:pos="-720"/>
              </w:tabs>
              <w:suppressAutoHyphens/>
              <w:spacing w:after="0" w:line="220" w:lineRule="exact"/>
              <w:rPr>
                <w:rFonts w:eastAsia="Times New Roman" w:cs="Arial"/>
                <w:sz w:val="20"/>
                <w:szCs w:val="20"/>
              </w:rPr>
            </w:pPr>
          </w:p>
        </w:tc>
        <w:tc>
          <w:tcPr>
            <w:tcW w:w="696" w:type="pct"/>
            <w:vAlign w:val="center"/>
          </w:tcPr>
          <w:p w14:paraId="45EA02C8" w14:textId="4AD8B6E2" w:rsidR="000C1F7F" w:rsidRPr="000C1F7F" w:rsidRDefault="00C30367">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3</w:t>
            </w:r>
            <w:r>
              <w:rPr>
                <w:rFonts w:eastAsia="Times New Roman" w:cs="Arial"/>
                <w:b/>
                <w:sz w:val="20"/>
                <w:szCs w:val="20"/>
              </w:rPr>
              <w:t>0</w:t>
            </w:r>
            <w:r w:rsidR="000C1F7F" w:rsidRPr="000C1F7F">
              <w:rPr>
                <w:rFonts w:eastAsia="Times New Roman" w:cs="Arial"/>
                <w:b/>
                <w:sz w:val="20"/>
                <w:szCs w:val="20"/>
              </w:rPr>
              <w:t>.</w:t>
            </w:r>
            <w:r>
              <w:rPr>
                <w:rFonts w:eastAsia="Times New Roman" w:cs="Arial"/>
                <w:b/>
                <w:sz w:val="20"/>
                <w:szCs w:val="20"/>
              </w:rPr>
              <w:t>6</w:t>
            </w:r>
            <w:r w:rsidR="000C1F7F" w:rsidRPr="000C1F7F">
              <w:rPr>
                <w:rFonts w:eastAsia="Times New Roman" w:cs="Arial"/>
                <w:b/>
                <w:sz w:val="20"/>
                <w:szCs w:val="20"/>
              </w:rPr>
              <w:t>.2017.</w:t>
            </w:r>
          </w:p>
        </w:tc>
        <w:tc>
          <w:tcPr>
            <w:tcW w:w="696" w:type="pct"/>
            <w:vAlign w:val="center"/>
          </w:tcPr>
          <w:p w14:paraId="3D797DCF" w14:textId="1255B0E1" w:rsidR="000C1F7F" w:rsidRPr="000C1F7F" w:rsidRDefault="000C1F7F" w:rsidP="000C1F7F">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31.</w:t>
            </w:r>
            <w:r>
              <w:rPr>
                <w:rFonts w:eastAsia="Times New Roman" w:cs="Arial"/>
                <w:b/>
                <w:sz w:val="20"/>
                <w:szCs w:val="20"/>
              </w:rPr>
              <w:t>12</w:t>
            </w:r>
            <w:r w:rsidRPr="000C1F7F">
              <w:rPr>
                <w:rFonts w:eastAsia="Times New Roman" w:cs="Arial"/>
                <w:b/>
                <w:sz w:val="20"/>
                <w:szCs w:val="20"/>
              </w:rPr>
              <w:t>.2016.</w:t>
            </w:r>
          </w:p>
        </w:tc>
        <w:tc>
          <w:tcPr>
            <w:tcW w:w="772" w:type="pct"/>
            <w:vAlign w:val="center"/>
          </w:tcPr>
          <w:p w14:paraId="78DC4F27" w14:textId="792E3552" w:rsidR="000C1F7F" w:rsidRPr="000C1F7F" w:rsidRDefault="00C30367">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3</w:t>
            </w:r>
            <w:r>
              <w:rPr>
                <w:rFonts w:eastAsia="Times New Roman" w:cs="Arial"/>
                <w:b/>
                <w:sz w:val="20"/>
                <w:szCs w:val="20"/>
              </w:rPr>
              <w:t>0</w:t>
            </w:r>
            <w:r w:rsidR="000C1F7F" w:rsidRPr="000C1F7F">
              <w:rPr>
                <w:rFonts w:eastAsia="Times New Roman" w:cs="Arial"/>
                <w:b/>
                <w:sz w:val="20"/>
                <w:szCs w:val="20"/>
              </w:rPr>
              <w:t>.</w:t>
            </w:r>
            <w:r>
              <w:rPr>
                <w:rFonts w:eastAsia="Times New Roman" w:cs="Arial"/>
                <w:b/>
                <w:sz w:val="20"/>
                <w:szCs w:val="20"/>
              </w:rPr>
              <w:t>6</w:t>
            </w:r>
            <w:r w:rsidR="000C1F7F" w:rsidRPr="000C1F7F">
              <w:rPr>
                <w:rFonts w:eastAsia="Times New Roman" w:cs="Arial"/>
                <w:b/>
                <w:sz w:val="20"/>
                <w:szCs w:val="20"/>
              </w:rPr>
              <w:t>.2017.</w:t>
            </w:r>
          </w:p>
        </w:tc>
        <w:tc>
          <w:tcPr>
            <w:tcW w:w="693" w:type="pct"/>
            <w:vAlign w:val="center"/>
          </w:tcPr>
          <w:p w14:paraId="36D58D05" w14:textId="57027F0A" w:rsidR="000C1F7F" w:rsidRPr="000C1F7F" w:rsidRDefault="000C1F7F" w:rsidP="000C1F7F">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31.</w:t>
            </w:r>
            <w:r>
              <w:rPr>
                <w:rFonts w:eastAsia="Times New Roman" w:cs="Arial"/>
                <w:b/>
                <w:sz w:val="20"/>
                <w:szCs w:val="20"/>
              </w:rPr>
              <w:t>12</w:t>
            </w:r>
            <w:r w:rsidRPr="000C1F7F">
              <w:rPr>
                <w:rFonts w:eastAsia="Times New Roman" w:cs="Arial"/>
                <w:b/>
                <w:sz w:val="20"/>
                <w:szCs w:val="20"/>
              </w:rPr>
              <w:t>.2016.</w:t>
            </w:r>
          </w:p>
        </w:tc>
      </w:tr>
      <w:tr w:rsidR="001571AC" w:rsidRPr="000C1F7F" w14:paraId="146489AA" w14:textId="77777777" w:rsidTr="00312975">
        <w:trPr>
          <w:trHeight w:val="402"/>
        </w:trPr>
        <w:tc>
          <w:tcPr>
            <w:tcW w:w="2143" w:type="pct"/>
            <w:vAlign w:val="bottom"/>
          </w:tcPr>
          <w:p w14:paraId="5C5516ED" w14:textId="77777777" w:rsidR="001571AC" w:rsidRPr="000C1F7F" w:rsidRDefault="001571AC" w:rsidP="001571AC">
            <w:pPr>
              <w:tabs>
                <w:tab w:val="right" w:pos="1202"/>
              </w:tabs>
              <w:spacing w:after="0" w:line="240" w:lineRule="exact"/>
              <w:outlineLvl w:val="0"/>
              <w:rPr>
                <w:rFonts w:eastAsia="Times New Roman" w:cs="Arial"/>
                <w:sz w:val="20"/>
                <w:szCs w:val="20"/>
              </w:rPr>
            </w:pPr>
            <w:r w:rsidRPr="000C1F7F">
              <w:rPr>
                <w:rFonts w:eastAsia="Times New Roman" w:cs="Arial"/>
                <w:sz w:val="20"/>
                <w:szCs w:val="20"/>
              </w:rPr>
              <w:t>Sredstva izdvojena na računu kod Hrvatske narodne banke</w:t>
            </w:r>
          </w:p>
        </w:tc>
        <w:tc>
          <w:tcPr>
            <w:tcW w:w="696" w:type="pct"/>
            <w:tcBorders>
              <w:top w:val="nil"/>
              <w:left w:val="nil"/>
              <w:bottom w:val="nil"/>
              <w:right w:val="nil"/>
            </w:tcBorders>
            <w:shd w:val="clear" w:color="auto" w:fill="auto"/>
            <w:vAlign w:val="bottom"/>
          </w:tcPr>
          <w:p w14:paraId="475D7ACF" w14:textId="7CC07D80" w:rsidR="001571AC" w:rsidRPr="000C1F7F" w:rsidRDefault="00A32C32" w:rsidP="001571AC">
            <w:pPr>
              <w:tabs>
                <w:tab w:val="right" w:pos="1202"/>
              </w:tabs>
              <w:spacing w:after="0" w:line="240" w:lineRule="exact"/>
              <w:jc w:val="right"/>
              <w:outlineLvl w:val="0"/>
              <w:rPr>
                <w:rFonts w:eastAsia="Times New Roman" w:cs="Arial"/>
                <w:sz w:val="20"/>
                <w:szCs w:val="20"/>
              </w:rPr>
            </w:pPr>
            <w:r w:rsidRPr="00A32C32">
              <w:rPr>
                <w:rFonts w:ascii="Calibri" w:hAnsi="Calibri"/>
                <w:color w:val="000000"/>
                <w:sz w:val="20"/>
                <w:szCs w:val="20"/>
              </w:rPr>
              <w:t xml:space="preserve">1.495.644 </w:t>
            </w:r>
          </w:p>
        </w:tc>
        <w:tc>
          <w:tcPr>
            <w:tcW w:w="696" w:type="pct"/>
            <w:tcBorders>
              <w:top w:val="nil"/>
              <w:left w:val="nil"/>
              <w:bottom w:val="nil"/>
              <w:right w:val="nil"/>
            </w:tcBorders>
            <w:shd w:val="clear" w:color="auto" w:fill="auto"/>
            <w:vAlign w:val="bottom"/>
          </w:tcPr>
          <w:p w14:paraId="683D2293" w14:textId="62C374BE" w:rsidR="001571AC" w:rsidRPr="000C1F7F" w:rsidRDefault="001571AC" w:rsidP="001571AC">
            <w:pPr>
              <w:spacing w:after="0" w:line="240" w:lineRule="auto"/>
              <w:jc w:val="right"/>
              <w:rPr>
                <w:rFonts w:ascii="Calibri" w:eastAsia="Times New Roman" w:hAnsi="Calibri" w:cs="Times New Roman"/>
                <w:color w:val="000000"/>
                <w:sz w:val="20"/>
                <w:szCs w:val="20"/>
                <w:lang w:eastAsia="hr-HR"/>
              </w:rPr>
            </w:pPr>
            <w:r w:rsidRPr="000C1F7F">
              <w:rPr>
                <w:rFonts w:ascii="Calibri" w:hAnsi="Calibri"/>
                <w:color w:val="000000"/>
                <w:sz w:val="20"/>
                <w:szCs w:val="20"/>
              </w:rPr>
              <w:t>186.167</w:t>
            </w:r>
          </w:p>
        </w:tc>
        <w:tc>
          <w:tcPr>
            <w:tcW w:w="772" w:type="pct"/>
            <w:tcBorders>
              <w:top w:val="nil"/>
              <w:left w:val="nil"/>
              <w:bottom w:val="nil"/>
              <w:right w:val="nil"/>
            </w:tcBorders>
            <w:shd w:val="clear" w:color="auto" w:fill="auto"/>
            <w:vAlign w:val="bottom"/>
          </w:tcPr>
          <w:p w14:paraId="0C645745" w14:textId="7F9B9B4C" w:rsidR="001571AC" w:rsidRPr="000E5941" w:rsidRDefault="00A32C32" w:rsidP="000E5941">
            <w:pPr>
              <w:spacing w:after="0" w:line="240" w:lineRule="auto"/>
              <w:jc w:val="right"/>
              <w:rPr>
                <w:rFonts w:ascii="Calibri" w:hAnsi="Calibri"/>
                <w:color w:val="000000"/>
                <w:sz w:val="20"/>
                <w:szCs w:val="20"/>
              </w:rPr>
            </w:pPr>
            <w:r w:rsidRPr="00A32C32">
              <w:rPr>
                <w:rFonts w:ascii="Calibri" w:hAnsi="Calibri"/>
                <w:color w:val="000000"/>
                <w:sz w:val="20"/>
                <w:szCs w:val="20"/>
              </w:rPr>
              <w:t xml:space="preserve">1.495.644 </w:t>
            </w:r>
          </w:p>
        </w:tc>
        <w:tc>
          <w:tcPr>
            <w:tcW w:w="693" w:type="pct"/>
            <w:tcBorders>
              <w:top w:val="nil"/>
              <w:left w:val="nil"/>
              <w:bottom w:val="nil"/>
              <w:right w:val="nil"/>
            </w:tcBorders>
            <w:shd w:val="clear" w:color="auto" w:fill="auto"/>
            <w:vAlign w:val="bottom"/>
          </w:tcPr>
          <w:p w14:paraId="00749AD5" w14:textId="53CD54F0" w:rsidR="001571AC" w:rsidRPr="000C1F7F" w:rsidRDefault="001571AC" w:rsidP="001571AC">
            <w:pPr>
              <w:spacing w:after="0" w:line="240" w:lineRule="auto"/>
              <w:jc w:val="right"/>
              <w:rPr>
                <w:rFonts w:ascii="Calibri" w:eastAsia="Times New Roman" w:hAnsi="Calibri" w:cs="Times New Roman"/>
                <w:color w:val="000000"/>
                <w:sz w:val="20"/>
                <w:szCs w:val="20"/>
                <w:lang w:eastAsia="hr-HR"/>
              </w:rPr>
            </w:pPr>
            <w:r w:rsidRPr="000C1F7F">
              <w:rPr>
                <w:rFonts w:ascii="Calibri" w:hAnsi="Calibri"/>
                <w:color w:val="000000"/>
                <w:sz w:val="20"/>
                <w:szCs w:val="20"/>
              </w:rPr>
              <w:t>186.167</w:t>
            </w:r>
          </w:p>
        </w:tc>
      </w:tr>
      <w:tr w:rsidR="001571AC" w:rsidRPr="000C1F7F" w14:paraId="3BB9AA53" w14:textId="77777777" w:rsidTr="00312975">
        <w:trPr>
          <w:trHeight w:val="402"/>
        </w:trPr>
        <w:tc>
          <w:tcPr>
            <w:tcW w:w="2143" w:type="pct"/>
            <w:vAlign w:val="bottom"/>
          </w:tcPr>
          <w:p w14:paraId="7001FFA5" w14:textId="77777777" w:rsidR="001571AC" w:rsidRPr="000C1F7F" w:rsidRDefault="001571AC" w:rsidP="001571AC">
            <w:pPr>
              <w:tabs>
                <w:tab w:val="right" w:pos="1202"/>
              </w:tabs>
              <w:spacing w:after="0" w:line="240" w:lineRule="exact"/>
              <w:outlineLvl w:val="0"/>
              <w:rPr>
                <w:rFonts w:eastAsia="Times New Roman" w:cs="Arial"/>
                <w:sz w:val="20"/>
                <w:szCs w:val="20"/>
              </w:rPr>
            </w:pPr>
            <w:r w:rsidRPr="000C1F7F">
              <w:rPr>
                <w:rFonts w:eastAsia="Times New Roman" w:cs="Arial"/>
                <w:sz w:val="20"/>
                <w:szCs w:val="20"/>
              </w:rPr>
              <w:t>Devizni tekući računi - domaće banke</w:t>
            </w:r>
          </w:p>
        </w:tc>
        <w:tc>
          <w:tcPr>
            <w:tcW w:w="696" w:type="pct"/>
            <w:tcBorders>
              <w:top w:val="nil"/>
              <w:left w:val="nil"/>
              <w:bottom w:val="nil"/>
              <w:right w:val="nil"/>
            </w:tcBorders>
            <w:shd w:val="clear" w:color="auto" w:fill="auto"/>
            <w:vAlign w:val="bottom"/>
          </w:tcPr>
          <w:p w14:paraId="17B94DD3" w14:textId="0FA19FEF" w:rsidR="001571AC" w:rsidRPr="000C1F7F" w:rsidRDefault="00A32C32" w:rsidP="001571AC">
            <w:pPr>
              <w:tabs>
                <w:tab w:val="right" w:pos="1202"/>
              </w:tabs>
              <w:spacing w:after="0" w:line="240" w:lineRule="exact"/>
              <w:jc w:val="right"/>
              <w:outlineLvl w:val="0"/>
              <w:rPr>
                <w:rFonts w:eastAsia="Times New Roman" w:cs="Arial"/>
                <w:sz w:val="20"/>
                <w:szCs w:val="20"/>
              </w:rPr>
            </w:pPr>
            <w:r w:rsidRPr="00A32C32">
              <w:rPr>
                <w:rFonts w:ascii="Calibri" w:hAnsi="Calibri"/>
                <w:color w:val="000000"/>
                <w:sz w:val="20"/>
                <w:szCs w:val="20"/>
              </w:rPr>
              <w:t xml:space="preserve">2.169 </w:t>
            </w:r>
          </w:p>
        </w:tc>
        <w:tc>
          <w:tcPr>
            <w:tcW w:w="696" w:type="pct"/>
            <w:tcBorders>
              <w:top w:val="nil"/>
              <w:left w:val="nil"/>
              <w:bottom w:val="nil"/>
              <w:right w:val="nil"/>
            </w:tcBorders>
            <w:shd w:val="clear" w:color="auto" w:fill="auto"/>
            <w:vAlign w:val="bottom"/>
          </w:tcPr>
          <w:p w14:paraId="3AEB50AC" w14:textId="7F628911" w:rsidR="001571AC" w:rsidRPr="000C1F7F" w:rsidRDefault="001571AC" w:rsidP="001571AC">
            <w:pPr>
              <w:spacing w:after="0" w:line="240" w:lineRule="auto"/>
              <w:jc w:val="right"/>
              <w:rPr>
                <w:rFonts w:ascii="Calibri" w:eastAsia="Times New Roman" w:hAnsi="Calibri" w:cs="Times New Roman"/>
                <w:color w:val="000000"/>
                <w:sz w:val="20"/>
                <w:szCs w:val="20"/>
                <w:lang w:eastAsia="hr-HR"/>
              </w:rPr>
            </w:pPr>
            <w:r w:rsidRPr="000C1F7F">
              <w:rPr>
                <w:rFonts w:ascii="Calibri" w:hAnsi="Calibri"/>
                <w:color w:val="000000"/>
                <w:sz w:val="20"/>
                <w:szCs w:val="20"/>
              </w:rPr>
              <w:t>1.626</w:t>
            </w:r>
          </w:p>
        </w:tc>
        <w:tc>
          <w:tcPr>
            <w:tcW w:w="772" w:type="pct"/>
            <w:tcBorders>
              <w:top w:val="nil"/>
              <w:left w:val="nil"/>
              <w:bottom w:val="nil"/>
              <w:right w:val="nil"/>
            </w:tcBorders>
            <w:shd w:val="clear" w:color="auto" w:fill="auto"/>
            <w:vAlign w:val="bottom"/>
          </w:tcPr>
          <w:p w14:paraId="7082B916" w14:textId="468147E6" w:rsidR="001571AC" w:rsidRPr="000E5941" w:rsidRDefault="00A32C32" w:rsidP="000E5941">
            <w:pPr>
              <w:spacing w:after="0" w:line="240" w:lineRule="auto"/>
              <w:jc w:val="right"/>
              <w:rPr>
                <w:rFonts w:ascii="Calibri" w:hAnsi="Calibri"/>
                <w:color w:val="000000"/>
                <w:sz w:val="20"/>
                <w:szCs w:val="20"/>
              </w:rPr>
            </w:pPr>
            <w:r w:rsidRPr="00A32C32">
              <w:rPr>
                <w:rFonts w:ascii="Calibri" w:hAnsi="Calibri"/>
                <w:color w:val="000000"/>
                <w:sz w:val="20"/>
                <w:szCs w:val="20"/>
              </w:rPr>
              <w:t xml:space="preserve">2.169 </w:t>
            </w:r>
          </w:p>
        </w:tc>
        <w:tc>
          <w:tcPr>
            <w:tcW w:w="693" w:type="pct"/>
            <w:tcBorders>
              <w:top w:val="nil"/>
              <w:left w:val="nil"/>
              <w:bottom w:val="nil"/>
              <w:right w:val="nil"/>
            </w:tcBorders>
            <w:shd w:val="clear" w:color="auto" w:fill="auto"/>
            <w:vAlign w:val="bottom"/>
          </w:tcPr>
          <w:p w14:paraId="620382B1" w14:textId="07405747" w:rsidR="001571AC" w:rsidRPr="000C1F7F" w:rsidRDefault="001571AC" w:rsidP="001571AC">
            <w:pPr>
              <w:spacing w:after="0" w:line="240" w:lineRule="auto"/>
              <w:jc w:val="right"/>
              <w:rPr>
                <w:rFonts w:ascii="Calibri" w:eastAsia="Times New Roman" w:hAnsi="Calibri" w:cs="Times New Roman"/>
                <w:color w:val="000000"/>
                <w:sz w:val="20"/>
                <w:szCs w:val="20"/>
                <w:lang w:eastAsia="hr-HR"/>
              </w:rPr>
            </w:pPr>
            <w:r w:rsidRPr="000C1F7F">
              <w:rPr>
                <w:rFonts w:ascii="Calibri" w:hAnsi="Calibri"/>
                <w:color w:val="000000"/>
                <w:sz w:val="20"/>
                <w:szCs w:val="20"/>
              </w:rPr>
              <w:t>1.626</w:t>
            </w:r>
          </w:p>
        </w:tc>
      </w:tr>
      <w:tr w:rsidR="001571AC" w:rsidRPr="000C1F7F" w14:paraId="6E1F854D" w14:textId="77777777" w:rsidTr="00312975">
        <w:trPr>
          <w:trHeight w:val="402"/>
        </w:trPr>
        <w:tc>
          <w:tcPr>
            <w:tcW w:w="2143" w:type="pct"/>
            <w:vAlign w:val="bottom"/>
          </w:tcPr>
          <w:p w14:paraId="5CC80CD0" w14:textId="77777777" w:rsidR="001571AC" w:rsidRPr="000C1F7F" w:rsidRDefault="001571AC" w:rsidP="001571AC">
            <w:pPr>
              <w:tabs>
                <w:tab w:val="right" w:pos="1202"/>
              </w:tabs>
              <w:spacing w:after="0" w:line="240" w:lineRule="exact"/>
              <w:outlineLvl w:val="0"/>
              <w:rPr>
                <w:rFonts w:eastAsia="Times New Roman" w:cs="Arial"/>
                <w:sz w:val="20"/>
                <w:szCs w:val="20"/>
              </w:rPr>
            </w:pPr>
            <w:r w:rsidRPr="000C1F7F">
              <w:rPr>
                <w:rFonts w:eastAsia="Times New Roman" w:cs="Arial"/>
                <w:sz w:val="20"/>
                <w:szCs w:val="20"/>
              </w:rPr>
              <w:t>Devizni tekući računi - inozemne banke</w:t>
            </w:r>
          </w:p>
        </w:tc>
        <w:tc>
          <w:tcPr>
            <w:tcW w:w="696" w:type="pct"/>
            <w:tcBorders>
              <w:top w:val="nil"/>
              <w:left w:val="nil"/>
              <w:bottom w:val="nil"/>
              <w:right w:val="nil"/>
            </w:tcBorders>
            <w:shd w:val="clear" w:color="auto" w:fill="auto"/>
            <w:vAlign w:val="bottom"/>
          </w:tcPr>
          <w:p w14:paraId="01A07F87" w14:textId="68B0259C" w:rsidR="001571AC" w:rsidRPr="000C1F7F" w:rsidRDefault="00A32C32" w:rsidP="001571AC">
            <w:pPr>
              <w:tabs>
                <w:tab w:val="right" w:pos="1202"/>
              </w:tabs>
              <w:spacing w:after="0" w:line="240" w:lineRule="exact"/>
              <w:jc w:val="right"/>
              <w:outlineLvl w:val="0"/>
              <w:rPr>
                <w:rFonts w:eastAsia="Times New Roman" w:cs="Arial"/>
                <w:sz w:val="20"/>
                <w:szCs w:val="20"/>
              </w:rPr>
            </w:pPr>
            <w:r w:rsidRPr="00A32C32">
              <w:rPr>
                <w:rFonts w:ascii="Calibri" w:hAnsi="Calibri"/>
                <w:color w:val="000000"/>
                <w:sz w:val="20"/>
                <w:szCs w:val="20"/>
              </w:rPr>
              <w:t xml:space="preserve">184.087 </w:t>
            </w:r>
          </w:p>
        </w:tc>
        <w:tc>
          <w:tcPr>
            <w:tcW w:w="696" w:type="pct"/>
            <w:tcBorders>
              <w:top w:val="nil"/>
              <w:left w:val="nil"/>
              <w:bottom w:val="nil"/>
              <w:right w:val="nil"/>
            </w:tcBorders>
            <w:shd w:val="clear" w:color="auto" w:fill="auto"/>
            <w:vAlign w:val="bottom"/>
          </w:tcPr>
          <w:p w14:paraId="05490A1B" w14:textId="328B9F34" w:rsidR="001571AC" w:rsidRPr="000C1F7F" w:rsidRDefault="001571AC" w:rsidP="001571AC">
            <w:pPr>
              <w:spacing w:after="0" w:line="240" w:lineRule="auto"/>
              <w:jc w:val="right"/>
              <w:rPr>
                <w:rFonts w:ascii="Calibri" w:eastAsia="Times New Roman" w:hAnsi="Calibri" w:cs="Times New Roman"/>
                <w:color w:val="000000"/>
                <w:sz w:val="20"/>
                <w:szCs w:val="20"/>
                <w:lang w:eastAsia="hr-HR"/>
              </w:rPr>
            </w:pPr>
            <w:r w:rsidRPr="000C1F7F">
              <w:rPr>
                <w:rFonts w:ascii="Calibri" w:hAnsi="Calibri"/>
                <w:color w:val="000000"/>
                <w:sz w:val="20"/>
                <w:szCs w:val="20"/>
              </w:rPr>
              <w:t>305.981</w:t>
            </w:r>
          </w:p>
        </w:tc>
        <w:tc>
          <w:tcPr>
            <w:tcW w:w="772" w:type="pct"/>
            <w:tcBorders>
              <w:top w:val="nil"/>
              <w:left w:val="nil"/>
              <w:bottom w:val="nil"/>
              <w:right w:val="nil"/>
            </w:tcBorders>
            <w:shd w:val="clear" w:color="auto" w:fill="auto"/>
            <w:vAlign w:val="bottom"/>
          </w:tcPr>
          <w:p w14:paraId="5E1559CB" w14:textId="489FB075" w:rsidR="001571AC" w:rsidRPr="000E5941" w:rsidRDefault="00A32C32" w:rsidP="000E5941">
            <w:pPr>
              <w:spacing w:after="0" w:line="240" w:lineRule="auto"/>
              <w:jc w:val="right"/>
              <w:rPr>
                <w:rFonts w:ascii="Calibri" w:hAnsi="Calibri"/>
                <w:color w:val="000000"/>
                <w:sz w:val="20"/>
                <w:szCs w:val="20"/>
              </w:rPr>
            </w:pPr>
            <w:r w:rsidRPr="00A32C32">
              <w:rPr>
                <w:rFonts w:ascii="Calibri" w:hAnsi="Calibri"/>
                <w:color w:val="000000"/>
                <w:sz w:val="20"/>
                <w:szCs w:val="20"/>
              </w:rPr>
              <w:t xml:space="preserve">184.087 </w:t>
            </w:r>
          </w:p>
        </w:tc>
        <w:tc>
          <w:tcPr>
            <w:tcW w:w="693" w:type="pct"/>
            <w:tcBorders>
              <w:top w:val="nil"/>
              <w:left w:val="nil"/>
              <w:bottom w:val="nil"/>
              <w:right w:val="nil"/>
            </w:tcBorders>
            <w:shd w:val="clear" w:color="auto" w:fill="auto"/>
            <w:vAlign w:val="bottom"/>
          </w:tcPr>
          <w:p w14:paraId="7422979E" w14:textId="4A60FB56" w:rsidR="001571AC" w:rsidRPr="000C1F7F" w:rsidRDefault="001571AC" w:rsidP="001571AC">
            <w:pPr>
              <w:spacing w:after="0" w:line="240" w:lineRule="auto"/>
              <w:jc w:val="right"/>
              <w:rPr>
                <w:rFonts w:ascii="Calibri" w:eastAsia="Times New Roman" w:hAnsi="Calibri" w:cs="Times New Roman"/>
                <w:color w:val="000000"/>
                <w:sz w:val="20"/>
                <w:szCs w:val="20"/>
                <w:lang w:eastAsia="hr-HR"/>
              </w:rPr>
            </w:pPr>
            <w:r w:rsidRPr="000C1F7F">
              <w:rPr>
                <w:rFonts w:ascii="Calibri" w:hAnsi="Calibri"/>
                <w:color w:val="000000"/>
                <w:sz w:val="20"/>
                <w:szCs w:val="20"/>
              </w:rPr>
              <w:t>305.981</w:t>
            </w:r>
          </w:p>
        </w:tc>
      </w:tr>
      <w:tr w:rsidR="000C1F7F" w:rsidRPr="000C1F7F" w14:paraId="635C92C3" w14:textId="77777777" w:rsidTr="00312975">
        <w:trPr>
          <w:trHeight w:val="402"/>
        </w:trPr>
        <w:tc>
          <w:tcPr>
            <w:tcW w:w="2143" w:type="pct"/>
            <w:vAlign w:val="bottom"/>
          </w:tcPr>
          <w:p w14:paraId="4A49D362" w14:textId="77777777" w:rsidR="000C1F7F" w:rsidRPr="000C1F7F" w:rsidRDefault="000C1F7F" w:rsidP="000C1F7F">
            <w:pPr>
              <w:tabs>
                <w:tab w:val="right" w:pos="1202"/>
              </w:tabs>
              <w:spacing w:after="0" w:line="240" w:lineRule="exact"/>
              <w:outlineLvl w:val="0"/>
              <w:rPr>
                <w:rFonts w:eastAsia="Times New Roman" w:cs="Arial"/>
                <w:sz w:val="20"/>
                <w:szCs w:val="20"/>
              </w:rPr>
            </w:pPr>
            <w:r w:rsidRPr="000C1F7F">
              <w:rPr>
                <w:rFonts w:eastAsia="Times New Roman" w:cs="Arial"/>
                <w:sz w:val="20"/>
                <w:szCs w:val="20"/>
              </w:rPr>
              <w:t>Kunski tekući računi – domaće banke</w:t>
            </w:r>
          </w:p>
        </w:tc>
        <w:tc>
          <w:tcPr>
            <w:tcW w:w="696" w:type="pct"/>
            <w:tcBorders>
              <w:top w:val="nil"/>
              <w:left w:val="nil"/>
              <w:bottom w:val="nil"/>
              <w:right w:val="nil"/>
            </w:tcBorders>
            <w:shd w:val="clear" w:color="auto" w:fill="auto"/>
            <w:vAlign w:val="bottom"/>
          </w:tcPr>
          <w:p w14:paraId="0D3F2C8C" w14:textId="314149BA" w:rsidR="000C1F7F" w:rsidRPr="000E5941" w:rsidRDefault="00A32C32" w:rsidP="000E5941">
            <w:pPr>
              <w:spacing w:after="0" w:line="240" w:lineRule="auto"/>
              <w:jc w:val="right"/>
              <w:rPr>
                <w:rFonts w:ascii="Calibri" w:hAnsi="Calibri"/>
                <w:color w:val="000000"/>
                <w:sz w:val="20"/>
                <w:szCs w:val="20"/>
              </w:rPr>
            </w:pPr>
            <w:r w:rsidRPr="00A32C32">
              <w:rPr>
                <w:rFonts w:ascii="Calibri" w:hAnsi="Calibri"/>
                <w:color w:val="000000"/>
                <w:sz w:val="20"/>
                <w:szCs w:val="20"/>
              </w:rPr>
              <w:t xml:space="preserve">1.258 </w:t>
            </w:r>
          </w:p>
        </w:tc>
        <w:tc>
          <w:tcPr>
            <w:tcW w:w="696" w:type="pct"/>
            <w:tcBorders>
              <w:top w:val="nil"/>
              <w:left w:val="nil"/>
              <w:bottom w:val="nil"/>
              <w:right w:val="nil"/>
            </w:tcBorders>
            <w:shd w:val="clear" w:color="auto" w:fill="auto"/>
            <w:vAlign w:val="bottom"/>
          </w:tcPr>
          <w:p w14:paraId="4B9CB772" w14:textId="316749C2" w:rsidR="000C1F7F" w:rsidRPr="000C1F7F" w:rsidRDefault="000C1F7F" w:rsidP="000C1F7F">
            <w:pPr>
              <w:spacing w:after="0" w:line="240" w:lineRule="auto"/>
              <w:jc w:val="right"/>
              <w:rPr>
                <w:rFonts w:ascii="Calibri" w:eastAsia="Times New Roman" w:hAnsi="Calibri" w:cs="Times New Roman"/>
                <w:color w:val="000000"/>
                <w:sz w:val="20"/>
                <w:szCs w:val="20"/>
                <w:lang w:eastAsia="hr-HR"/>
              </w:rPr>
            </w:pPr>
            <w:r w:rsidRPr="000C1F7F">
              <w:rPr>
                <w:rFonts w:ascii="Calibri" w:hAnsi="Calibri"/>
                <w:color w:val="000000"/>
                <w:sz w:val="20"/>
                <w:szCs w:val="20"/>
              </w:rPr>
              <w:t>551</w:t>
            </w:r>
          </w:p>
        </w:tc>
        <w:tc>
          <w:tcPr>
            <w:tcW w:w="772" w:type="pct"/>
            <w:tcBorders>
              <w:top w:val="nil"/>
              <w:left w:val="nil"/>
              <w:bottom w:val="nil"/>
              <w:right w:val="nil"/>
            </w:tcBorders>
            <w:shd w:val="clear" w:color="auto" w:fill="auto"/>
            <w:vAlign w:val="bottom"/>
          </w:tcPr>
          <w:p w14:paraId="56368048" w14:textId="30B63A84" w:rsidR="000C1F7F" w:rsidRPr="000C1F7F" w:rsidRDefault="00A32C32" w:rsidP="000C1F7F">
            <w:pPr>
              <w:tabs>
                <w:tab w:val="right" w:pos="1202"/>
              </w:tabs>
              <w:spacing w:after="0" w:line="240" w:lineRule="exact"/>
              <w:jc w:val="right"/>
              <w:outlineLvl w:val="0"/>
              <w:rPr>
                <w:rFonts w:eastAsia="Times New Roman" w:cs="Arial"/>
                <w:sz w:val="20"/>
                <w:szCs w:val="20"/>
              </w:rPr>
            </w:pPr>
            <w:r>
              <w:rPr>
                <w:rFonts w:eastAsia="Times New Roman" w:cs="Arial"/>
                <w:sz w:val="20"/>
                <w:szCs w:val="20"/>
              </w:rPr>
              <w:t>-</w:t>
            </w:r>
            <w:r w:rsidRPr="00A32C32">
              <w:rPr>
                <w:rFonts w:eastAsia="Times New Roman" w:cs="Arial"/>
                <w:sz w:val="20"/>
                <w:szCs w:val="20"/>
              </w:rPr>
              <w:t xml:space="preserve"> </w:t>
            </w:r>
          </w:p>
        </w:tc>
        <w:tc>
          <w:tcPr>
            <w:tcW w:w="693" w:type="pct"/>
            <w:tcBorders>
              <w:top w:val="nil"/>
              <w:left w:val="nil"/>
              <w:bottom w:val="nil"/>
              <w:right w:val="nil"/>
            </w:tcBorders>
            <w:shd w:val="clear" w:color="auto" w:fill="auto"/>
            <w:vAlign w:val="bottom"/>
          </w:tcPr>
          <w:p w14:paraId="03E42B44" w14:textId="0596E318" w:rsidR="000C1F7F" w:rsidRPr="000C1F7F" w:rsidRDefault="000C1F7F" w:rsidP="000C1F7F">
            <w:pPr>
              <w:spacing w:after="0" w:line="240" w:lineRule="auto"/>
              <w:jc w:val="right"/>
              <w:rPr>
                <w:rFonts w:ascii="Calibri" w:eastAsia="Times New Roman" w:hAnsi="Calibri" w:cs="Times New Roman"/>
                <w:color w:val="000000"/>
                <w:sz w:val="20"/>
                <w:szCs w:val="20"/>
                <w:lang w:eastAsia="hr-HR"/>
              </w:rPr>
            </w:pPr>
            <w:r w:rsidRPr="000C1F7F">
              <w:rPr>
                <w:rFonts w:ascii="Calibri" w:hAnsi="Calibri"/>
                <w:color w:val="000000"/>
                <w:sz w:val="20"/>
                <w:szCs w:val="20"/>
              </w:rPr>
              <w:t>-</w:t>
            </w:r>
          </w:p>
        </w:tc>
      </w:tr>
      <w:tr w:rsidR="000C1F7F" w:rsidRPr="000C1F7F" w14:paraId="5D7FBF12" w14:textId="77777777" w:rsidTr="00433F57">
        <w:trPr>
          <w:trHeight w:val="279"/>
        </w:trPr>
        <w:tc>
          <w:tcPr>
            <w:tcW w:w="2143" w:type="pct"/>
            <w:vAlign w:val="bottom"/>
          </w:tcPr>
          <w:p w14:paraId="7177327B" w14:textId="77777777" w:rsidR="000C1F7F" w:rsidRPr="000C1F7F" w:rsidRDefault="000C1F7F" w:rsidP="000C1F7F">
            <w:pPr>
              <w:tabs>
                <w:tab w:val="right" w:pos="1202"/>
              </w:tabs>
              <w:spacing w:after="0" w:line="280" w:lineRule="exact"/>
              <w:outlineLvl w:val="0"/>
              <w:rPr>
                <w:rFonts w:eastAsia="Times New Roman" w:cs="Arial"/>
                <w:iCs/>
                <w:sz w:val="20"/>
                <w:szCs w:val="20"/>
              </w:rPr>
            </w:pPr>
          </w:p>
        </w:tc>
        <w:tc>
          <w:tcPr>
            <w:tcW w:w="696" w:type="pct"/>
            <w:tcBorders>
              <w:top w:val="single" w:sz="4" w:space="0" w:color="auto"/>
              <w:left w:val="nil"/>
              <w:bottom w:val="single" w:sz="4" w:space="0" w:color="auto"/>
              <w:right w:val="nil"/>
            </w:tcBorders>
            <w:shd w:val="clear" w:color="auto" w:fill="auto"/>
            <w:vAlign w:val="bottom"/>
          </w:tcPr>
          <w:p w14:paraId="04D88B41" w14:textId="59EF9A8A" w:rsidR="000C1F7F" w:rsidRPr="000E5941" w:rsidRDefault="00A32C32" w:rsidP="000E5941">
            <w:pPr>
              <w:spacing w:after="0" w:line="240" w:lineRule="auto"/>
              <w:jc w:val="right"/>
              <w:rPr>
                <w:rFonts w:ascii="Calibri" w:eastAsia="Times New Roman" w:hAnsi="Calibri" w:cs="Times New Roman"/>
                <w:color w:val="000000"/>
                <w:sz w:val="20"/>
                <w:szCs w:val="20"/>
                <w:lang w:eastAsia="hr-HR"/>
              </w:rPr>
            </w:pPr>
            <w:r w:rsidRPr="00A32C32">
              <w:rPr>
                <w:rFonts w:ascii="Calibri" w:eastAsia="Times New Roman" w:hAnsi="Calibri" w:cs="Times New Roman"/>
                <w:color w:val="000000"/>
                <w:sz w:val="20"/>
                <w:szCs w:val="20"/>
                <w:lang w:eastAsia="hr-HR"/>
              </w:rPr>
              <w:t xml:space="preserve">1.683.158 </w:t>
            </w:r>
          </w:p>
        </w:tc>
        <w:tc>
          <w:tcPr>
            <w:tcW w:w="696" w:type="pct"/>
            <w:tcBorders>
              <w:top w:val="single" w:sz="4" w:space="0" w:color="auto"/>
              <w:left w:val="nil"/>
              <w:bottom w:val="single" w:sz="4" w:space="0" w:color="auto"/>
              <w:right w:val="nil"/>
            </w:tcBorders>
            <w:shd w:val="clear" w:color="auto" w:fill="auto"/>
            <w:vAlign w:val="bottom"/>
          </w:tcPr>
          <w:p w14:paraId="0262E5C1" w14:textId="62857656" w:rsidR="000C1F7F" w:rsidRPr="000C1F7F" w:rsidRDefault="000C1F7F" w:rsidP="000C1F7F">
            <w:pPr>
              <w:spacing w:after="0" w:line="240" w:lineRule="auto"/>
              <w:jc w:val="right"/>
              <w:rPr>
                <w:rFonts w:ascii="Calibri" w:eastAsia="Times New Roman" w:hAnsi="Calibri" w:cs="Times New Roman"/>
                <w:color w:val="000000"/>
                <w:sz w:val="20"/>
                <w:szCs w:val="20"/>
                <w:lang w:eastAsia="hr-HR"/>
              </w:rPr>
            </w:pPr>
            <w:r w:rsidRPr="000E5941">
              <w:rPr>
                <w:rFonts w:ascii="Calibri" w:eastAsia="Times New Roman" w:hAnsi="Calibri" w:cs="Times New Roman"/>
                <w:color w:val="000000"/>
                <w:sz w:val="20"/>
                <w:szCs w:val="20"/>
                <w:lang w:eastAsia="hr-HR"/>
              </w:rPr>
              <w:t>494.325</w:t>
            </w:r>
          </w:p>
        </w:tc>
        <w:tc>
          <w:tcPr>
            <w:tcW w:w="772" w:type="pct"/>
            <w:tcBorders>
              <w:top w:val="single" w:sz="4" w:space="0" w:color="auto"/>
              <w:left w:val="nil"/>
              <w:bottom w:val="single" w:sz="4" w:space="0" w:color="auto"/>
              <w:right w:val="nil"/>
            </w:tcBorders>
            <w:shd w:val="clear" w:color="auto" w:fill="auto"/>
            <w:vAlign w:val="bottom"/>
          </w:tcPr>
          <w:p w14:paraId="2714C5E0" w14:textId="58089000" w:rsidR="000C1F7F" w:rsidRPr="000E5941" w:rsidRDefault="00A32C32" w:rsidP="000E5941">
            <w:pPr>
              <w:spacing w:after="0" w:line="240" w:lineRule="auto"/>
              <w:jc w:val="right"/>
              <w:rPr>
                <w:rFonts w:ascii="Calibri" w:eastAsia="Times New Roman" w:hAnsi="Calibri" w:cs="Times New Roman"/>
                <w:color w:val="000000"/>
                <w:sz w:val="20"/>
                <w:szCs w:val="20"/>
                <w:lang w:eastAsia="hr-HR"/>
              </w:rPr>
            </w:pPr>
            <w:r w:rsidRPr="00A32C32">
              <w:rPr>
                <w:rFonts w:ascii="Calibri" w:eastAsia="Times New Roman" w:hAnsi="Calibri" w:cs="Times New Roman"/>
                <w:color w:val="000000"/>
                <w:sz w:val="20"/>
                <w:szCs w:val="20"/>
                <w:lang w:eastAsia="hr-HR"/>
              </w:rPr>
              <w:t xml:space="preserve">1.681.900 </w:t>
            </w:r>
          </w:p>
        </w:tc>
        <w:tc>
          <w:tcPr>
            <w:tcW w:w="693" w:type="pct"/>
            <w:tcBorders>
              <w:top w:val="single" w:sz="4" w:space="0" w:color="auto"/>
              <w:left w:val="nil"/>
              <w:bottom w:val="single" w:sz="4" w:space="0" w:color="auto"/>
              <w:right w:val="nil"/>
            </w:tcBorders>
            <w:shd w:val="clear" w:color="auto" w:fill="auto"/>
            <w:vAlign w:val="bottom"/>
          </w:tcPr>
          <w:p w14:paraId="62F7F505" w14:textId="0DBBF158" w:rsidR="000C1F7F" w:rsidRPr="000C1F7F" w:rsidRDefault="000C1F7F" w:rsidP="000C1F7F">
            <w:pPr>
              <w:spacing w:after="0" w:line="240" w:lineRule="auto"/>
              <w:jc w:val="right"/>
              <w:rPr>
                <w:rFonts w:ascii="Calibri" w:eastAsia="Times New Roman" w:hAnsi="Calibri" w:cs="Times New Roman"/>
                <w:color w:val="000000"/>
                <w:sz w:val="20"/>
                <w:szCs w:val="20"/>
                <w:lang w:eastAsia="hr-HR"/>
              </w:rPr>
            </w:pPr>
            <w:r w:rsidRPr="000C1F7F">
              <w:rPr>
                <w:rFonts w:ascii="Calibri" w:eastAsia="Times New Roman" w:hAnsi="Calibri" w:cs="Times New Roman"/>
                <w:color w:val="000000"/>
                <w:sz w:val="20"/>
                <w:szCs w:val="20"/>
                <w:lang w:eastAsia="hr-HR"/>
              </w:rPr>
              <w:t>493.774</w:t>
            </w:r>
          </w:p>
        </w:tc>
      </w:tr>
      <w:tr w:rsidR="000C1F7F" w:rsidRPr="000C1F7F" w14:paraId="3A2E215F" w14:textId="77777777" w:rsidTr="00433F57">
        <w:trPr>
          <w:trHeight w:val="294"/>
        </w:trPr>
        <w:tc>
          <w:tcPr>
            <w:tcW w:w="2143" w:type="pct"/>
            <w:vAlign w:val="bottom"/>
          </w:tcPr>
          <w:p w14:paraId="08D1F1DB" w14:textId="77777777" w:rsidR="000C1F7F" w:rsidRPr="000C1F7F" w:rsidRDefault="000C1F7F" w:rsidP="000C1F7F">
            <w:pPr>
              <w:tabs>
                <w:tab w:val="right" w:pos="1202"/>
              </w:tabs>
              <w:spacing w:after="0" w:line="240" w:lineRule="exact"/>
              <w:outlineLvl w:val="0"/>
              <w:rPr>
                <w:rFonts w:eastAsia="Times New Roman" w:cs="Arial"/>
                <w:sz w:val="20"/>
                <w:szCs w:val="20"/>
              </w:rPr>
            </w:pPr>
            <w:r w:rsidRPr="000C1F7F">
              <w:rPr>
                <w:rFonts w:eastAsia="Times New Roman" w:cs="Arial"/>
                <w:sz w:val="20"/>
                <w:szCs w:val="20"/>
              </w:rPr>
              <w:t xml:space="preserve">Rezerviranja za moguće gubitke </w:t>
            </w:r>
          </w:p>
        </w:tc>
        <w:tc>
          <w:tcPr>
            <w:tcW w:w="696" w:type="pct"/>
            <w:tcBorders>
              <w:top w:val="nil"/>
              <w:left w:val="nil"/>
              <w:bottom w:val="single" w:sz="4" w:space="0" w:color="auto"/>
              <w:right w:val="nil"/>
            </w:tcBorders>
            <w:shd w:val="clear" w:color="auto" w:fill="auto"/>
            <w:vAlign w:val="bottom"/>
          </w:tcPr>
          <w:p w14:paraId="793809A4" w14:textId="5B89311B" w:rsidR="000C1F7F" w:rsidRPr="000E5941" w:rsidRDefault="00A32C32">
            <w:pPr>
              <w:spacing w:after="0" w:line="240" w:lineRule="auto"/>
              <w:jc w:val="right"/>
              <w:rPr>
                <w:rFonts w:ascii="Calibri" w:eastAsia="Times New Roman" w:hAnsi="Calibri" w:cs="Times New Roman"/>
                <w:color w:val="000000"/>
                <w:sz w:val="20"/>
                <w:szCs w:val="20"/>
                <w:lang w:eastAsia="hr-HR"/>
              </w:rPr>
            </w:pPr>
            <w:r w:rsidRPr="00A32C32">
              <w:rPr>
                <w:rFonts w:ascii="Calibri" w:eastAsia="Times New Roman" w:hAnsi="Calibri" w:cs="Times New Roman"/>
                <w:color w:val="000000"/>
                <w:sz w:val="20"/>
                <w:szCs w:val="20"/>
                <w:lang w:eastAsia="hr-HR"/>
              </w:rPr>
              <w:t>(1.867)</w:t>
            </w:r>
            <w:r w:rsidRPr="00A32C32" w:rsidDel="00C30367">
              <w:rPr>
                <w:rFonts w:ascii="Calibri" w:eastAsia="Times New Roman" w:hAnsi="Calibri" w:cs="Times New Roman"/>
                <w:color w:val="000000"/>
                <w:sz w:val="20"/>
                <w:szCs w:val="20"/>
                <w:lang w:eastAsia="hr-HR"/>
              </w:rPr>
              <w:t xml:space="preserve"> </w:t>
            </w:r>
          </w:p>
        </w:tc>
        <w:tc>
          <w:tcPr>
            <w:tcW w:w="696" w:type="pct"/>
            <w:tcBorders>
              <w:top w:val="nil"/>
              <w:left w:val="nil"/>
              <w:bottom w:val="single" w:sz="4" w:space="0" w:color="auto"/>
              <w:right w:val="nil"/>
            </w:tcBorders>
            <w:shd w:val="clear" w:color="auto" w:fill="auto"/>
            <w:vAlign w:val="bottom"/>
          </w:tcPr>
          <w:p w14:paraId="75D6C36C" w14:textId="3519996F" w:rsidR="000C1F7F" w:rsidRPr="000C1F7F" w:rsidRDefault="000C1F7F" w:rsidP="000C1F7F">
            <w:pPr>
              <w:spacing w:after="0" w:line="240" w:lineRule="auto"/>
              <w:jc w:val="right"/>
              <w:rPr>
                <w:rFonts w:ascii="Calibri" w:eastAsia="Times New Roman" w:hAnsi="Calibri" w:cs="Times New Roman"/>
                <w:color w:val="000000"/>
                <w:sz w:val="20"/>
                <w:szCs w:val="20"/>
                <w:lang w:eastAsia="hr-HR"/>
              </w:rPr>
            </w:pPr>
            <w:r w:rsidRPr="000E5941">
              <w:rPr>
                <w:rFonts w:ascii="Calibri" w:eastAsia="Times New Roman" w:hAnsi="Calibri" w:cs="Times New Roman"/>
                <w:color w:val="000000"/>
                <w:sz w:val="20"/>
                <w:szCs w:val="20"/>
                <w:lang w:eastAsia="hr-HR"/>
              </w:rPr>
              <w:t>(3.079)</w:t>
            </w:r>
          </w:p>
        </w:tc>
        <w:tc>
          <w:tcPr>
            <w:tcW w:w="772" w:type="pct"/>
            <w:tcBorders>
              <w:top w:val="nil"/>
              <w:left w:val="nil"/>
              <w:bottom w:val="single" w:sz="4" w:space="0" w:color="auto"/>
              <w:right w:val="nil"/>
            </w:tcBorders>
            <w:shd w:val="clear" w:color="auto" w:fill="auto"/>
            <w:vAlign w:val="bottom"/>
          </w:tcPr>
          <w:p w14:paraId="4B140756" w14:textId="392DC23C" w:rsidR="000C1F7F" w:rsidRPr="000E5941" w:rsidRDefault="00A32C32">
            <w:pPr>
              <w:spacing w:after="0" w:line="240" w:lineRule="auto"/>
              <w:jc w:val="right"/>
              <w:rPr>
                <w:rFonts w:ascii="Calibri" w:eastAsia="Times New Roman" w:hAnsi="Calibri" w:cs="Times New Roman"/>
                <w:color w:val="000000"/>
                <w:sz w:val="20"/>
                <w:szCs w:val="20"/>
                <w:lang w:eastAsia="hr-HR"/>
              </w:rPr>
            </w:pPr>
            <w:r w:rsidRPr="00A32C32">
              <w:rPr>
                <w:rFonts w:ascii="Calibri" w:eastAsia="Times New Roman" w:hAnsi="Calibri" w:cs="Times New Roman"/>
                <w:color w:val="000000"/>
                <w:sz w:val="20"/>
                <w:szCs w:val="20"/>
                <w:lang w:eastAsia="hr-HR"/>
              </w:rPr>
              <w:t>(1.867)</w:t>
            </w:r>
            <w:r w:rsidRPr="00A32C32" w:rsidDel="00C30367">
              <w:rPr>
                <w:rFonts w:ascii="Calibri" w:eastAsia="Times New Roman" w:hAnsi="Calibri" w:cs="Times New Roman"/>
                <w:color w:val="000000"/>
                <w:sz w:val="20"/>
                <w:szCs w:val="20"/>
                <w:lang w:eastAsia="hr-HR"/>
              </w:rPr>
              <w:t xml:space="preserve"> </w:t>
            </w:r>
          </w:p>
        </w:tc>
        <w:tc>
          <w:tcPr>
            <w:tcW w:w="693" w:type="pct"/>
            <w:tcBorders>
              <w:top w:val="nil"/>
              <w:left w:val="nil"/>
              <w:bottom w:val="single" w:sz="4" w:space="0" w:color="auto"/>
              <w:right w:val="nil"/>
            </w:tcBorders>
            <w:shd w:val="clear" w:color="auto" w:fill="auto"/>
            <w:vAlign w:val="bottom"/>
          </w:tcPr>
          <w:p w14:paraId="5A6A46E2" w14:textId="7B57D7B9" w:rsidR="000C1F7F" w:rsidRPr="000C1F7F" w:rsidRDefault="000C1F7F" w:rsidP="000C1F7F">
            <w:pPr>
              <w:spacing w:after="0" w:line="240" w:lineRule="auto"/>
              <w:jc w:val="right"/>
              <w:rPr>
                <w:rFonts w:ascii="Calibri" w:eastAsia="Times New Roman" w:hAnsi="Calibri" w:cs="Times New Roman"/>
                <w:color w:val="000000"/>
                <w:sz w:val="20"/>
                <w:szCs w:val="20"/>
                <w:lang w:eastAsia="hr-HR"/>
              </w:rPr>
            </w:pPr>
            <w:r w:rsidRPr="000C1F7F">
              <w:rPr>
                <w:rFonts w:ascii="Calibri" w:eastAsia="Times New Roman" w:hAnsi="Calibri" w:cs="Times New Roman"/>
                <w:color w:val="000000"/>
                <w:sz w:val="20"/>
                <w:szCs w:val="20"/>
                <w:lang w:eastAsia="hr-HR"/>
              </w:rPr>
              <w:t>(3.079)</w:t>
            </w:r>
          </w:p>
        </w:tc>
      </w:tr>
      <w:tr w:rsidR="000C1F7F" w:rsidRPr="000C1F7F" w14:paraId="476BC36F" w14:textId="77777777" w:rsidTr="00433F57">
        <w:trPr>
          <w:trHeight w:val="292"/>
        </w:trPr>
        <w:tc>
          <w:tcPr>
            <w:tcW w:w="2143" w:type="pct"/>
            <w:vAlign w:val="bottom"/>
          </w:tcPr>
          <w:p w14:paraId="16C3081D" w14:textId="77777777" w:rsidR="000C1F7F" w:rsidRPr="000C1F7F" w:rsidRDefault="000C1F7F" w:rsidP="000C1F7F">
            <w:pPr>
              <w:tabs>
                <w:tab w:val="right" w:pos="1202"/>
              </w:tabs>
              <w:spacing w:after="0" w:line="280" w:lineRule="exact"/>
              <w:outlineLvl w:val="0"/>
              <w:rPr>
                <w:rFonts w:eastAsia="Times New Roman" w:cs="Arial"/>
                <w:b/>
                <w:bCs/>
                <w:sz w:val="20"/>
                <w:szCs w:val="20"/>
              </w:rPr>
            </w:pPr>
          </w:p>
        </w:tc>
        <w:tc>
          <w:tcPr>
            <w:tcW w:w="696" w:type="pct"/>
            <w:tcBorders>
              <w:top w:val="nil"/>
              <w:left w:val="nil"/>
              <w:bottom w:val="single" w:sz="12" w:space="0" w:color="auto"/>
              <w:right w:val="nil"/>
            </w:tcBorders>
            <w:shd w:val="clear" w:color="auto" w:fill="auto"/>
            <w:vAlign w:val="bottom"/>
          </w:tcPr>
          <w:p w14:paraId="531B08C4" w14:textId="2B814114" w:rsidR="000C1F7F" w:rsidRPr="000E5941" w:rsidRDefault="00A32C32" w:rsidP="000E5941">
            <w:pPr>
              <w:spacing w:after="0" w:line="240" w:lineRule="auto"/>
              <w:jc w:val="right"/>
              <w:rPr>
                <w:rFonts w:ascii="Calibri" w:eastAsia="Times New Roman" w:hAnsi="Calibri" w:cs="Times New Roman"/>
                <w:b/>
                <w:bCs/>
                <w:color w:val="000000"/>
                <w:sz w:val="20"/>
                <w:szCs w:val="20"/>
                <w:lang w:eastAsia="hr-HR"/>
              </w:rPr>
            </w:pPr>
            <w:r w:rsidRPr="00A32C32">
              <w:rPr>
                <w:rFonts w:ascii="Calibri" w:eastAsia="Times New Roman" w:hAnsi="Calibri" w:cs="Times New Roman"/>
                <w:b/>
                <w:bCs/>
                <w:color w:val="000000"/>
                <w:sz w:val="20"/>
                <w:szCs w:val="20"/>
                <w:lang w:eastAsia="hr-HR"/>
              </w:rPr>
              <w:t xml:space="preserve">1.681.291 </w:t>
            </w:r>
          </w:p>
        </w:tc>
        <w:tc>
          <w:tcPr>
            <w:tcW w:w="696" w:type="pct"/>
            <w:tcBorders>
              <w:top w:val="nil"/>
              <w:left w:val="nil"/>
              <w:bottom w:val="single" w:sz="12" w:space="0" w:color="auto"/>
              <w:right w:val="nil"/>
            </w:tcBorders>
            <w:shd w:val="clear" w:color="auto" w:fill="auto"/>
            <w:vAlign w:val="bottom"/>
          </w:tcPr>
          <w:p w14:paraId="4F2C24F0" w14:textId="32200926" w:rsidR="000C1F7F" w:rsidRPr="000C1F7F" w:rsidRDefault="000C1F7F" w:rsidP="000C1F7F">
            <w:pPr>
              <w:spacing w:after="0" w:line="240" w:lineRule="auto"/>
              <w:jc w:val="right"/>
              <w:rPr>
                <w:rFonts w:ascii="Calibri" w:eastAsia="Times New Roman" w:hAnsi="Calibri" w:cs="Times New Roman"/>
                <w:b/>
                <w:bCs/>
                <w:color w:val="000000"/>
                <w:sz w:val="20"/>
                <w:szCs w:val="20"/>
                <w:lang w:eastAsia="hr-HR"/>
              </w:rPr>
            </w:pPr>
            <w:r w:rsidRPr="000E5941">
              <w:rPr>
                <w:rFonts w:ascii="Calibri" w:eastAsia="Times New Roman" w:hAnsi="Calibri" w:cs="Times New Roman"/>
                <w:b/>
                <w:bCs/>
                <w:color w:val="000000"/>
                <w:sz w:val="20"/>
                <w:szCs w:val="20"/>
                <w:lang w:eastAsia="hr-HR"/>
              </w:rPr>
              <w:t>491.246</w:t>
            </w:r>
          </w:p>
        </w:tc>
        <w:tc>
          <w:tcPr>
            <w:tcW w:w="772" w:type="pct"/>
            <w:tcBorders>
              <w:top w:val="nil"/>
              <w:left w:val="nil"/>
              <w:bottom w:val="single" w:sz="12" w:space="0" w:color="auto"/>
              <w:right w:val="nil"/>
            </w:tcBorders>
            <w:shd w:val="clear" w:color="auto" w:fill="auto"/>
            <w:vAlign w:val="bottom"/>
          </w:tcPr>
          <w:p w14:paraId="6B91EDF1" w14:textId="18AA6878" w:rsidR="000C1F7F" w:rsidRPr="000E5941" w:rsidRDefault="00A32C32" w:rsidP="000E5941">
            <w:pPr>
              <w:spacing w:after="0" w:line="240" w:lineRule="auto"/>
              <w:jc w:val="right"/>
              <w:rPr>
                <w:rFonts w:ascii="Calibri" w:eastAsia="Times New Roman" w:hAnsi="Calibri" w:cs="Times New Roman"/>
                <w:b/>
                <w:bCs/>
                <w:color w:val="000000"/>
                <w:sz w:val="20"/>
                <w:szCs w:val="20"/>
                <w:lang w:eastAsia="hr-HR"/>
              </w:rPr>
            </w:pPr>
            <w:r w:rsidRPr="00A32C32">
              <w:rPr>
                <w:rFonts w:ascii="Calibri" w:eastAsia="Times New Roman" w:hAnsi="Calibri" w:cs="Times New Roman"/>
                <w:b/>
                <w:bCs/>
                <w:color w:val="000000"/>
                <w:sz w:val="20"/>
                <w:szCs w:val="20"/>
                <w:lang w:eastAsia="hr-HR"/>
              </w:rPr>
              <w:t xml:space="preserve">1.680.033 </w:t>
            </w:r>
          </w:p>
        </w:tc>
        <w:tc>
          <w:tcPr>
            <w:tcW w:w="693" w:type="pct"/>
            <w:tcBorders>
              <w:top w:val="nil"/>
              <w:left w:val="nil"/>
              <w:bottom w:val="single" w:sz="12" w:space="0" w:color="auto"/>
              <w:right w:val="nil"/>
            </w:tcBorders>
            <w:shd w:val="clear" w:color="auto" w:fill="auto"/>
            <w:vAlign w:val="bottom"/>
          </w:tcPr>
          <w:p w14:paraId="58621FD3" w14:textId="4A71F06A" w:rsidR="000C1F7F" w:rsidRPr="000C1F7F" w:rsidRDefault="000C1F7F" w:rsidP="000C1F7F">
            <w:pPr>
              <w:spacing w:after="0" w:line="240" w:lineRule="auto"/>
              <w:jc w:val="right"/>
              <w:rPr>
                <w:rFonts w:ascii="Calibri" w:eastAsia="Times New Roman" w:hAnsi="Calibri" w:cs="Times New Roman"/>
                <w:b/>
                <w:bCs/>
                <w:color w:val="000000"/>
                <w:sz w:val="20"/>
                <w:szCs w:val="20"/>
                <w:lang w:eastAsia="hr-HR"/>
              </w:rPr>
            </w:pPr>
            <w:r w:rsidRPr="000C1F7F">
              <w:rPr>
                <w:rFonts w:ascii="Calibri" w:eastAsia="Times New Roman" w:hAnsi="Calibri" w:cs="Times New Roman"/>
                <w:b/>
                <w:bCs/>
                <w:color w:val="000000"/>
                <w:sz w:val="20"/>
                <w:szCs w:val="20"/>
                <w:lang w:eastAsia="hr-HR"/>
              </w:rPr>
              <w:t>490.695</w:t>
            </w:r>
          </w:p>
        </w:tc>
      </w:tr>
    </w:tbl>
    <w:p w14:paraId="0C3554BD" w14:textId="77777777" w:rsidR="002D2D17" w:rsidRPr="002D2D17" w:rsidRDefault="002D2D17" w:rsidP="00202F35">
      <w:pPr>
        <w:tabs>
          <w:tab w:val="left" w:pos="-720"/>
        </w:tabs>
        <w:spacing w:after="0" w:line="240" w:lineRule="auto"/>
        <w:jc w:val="both"/>
        <w:rPr>
          <w:rFonts w:eastAsia="Times New Roman" w:cs="Calibri"/>
          <w:sz w:val="24"/>
          <w:szCs w:val="24"/>
          <w:lang w:eastAsia="hr-HR"/>
        </w:rPr>
      </w:pPr>
    </w:p>
    <w:p w14:paraId="7500A136" w14:textId="77777777" w:rsidR="00407CDB" w:rsidRPr="00DF6823" w:rsidRDefault="00407CDB" w:rsidP="00202F35">
      <w:pPr>
        <w:spacing w:after="0" w:line="240" w:lineRule="auto"/>
        <w:jc w:val="both"/>
        <w:rPr>
          <w:rFonts w:cs="Arial"/>
        </w:rPr>
      </w:pPr>
    </w:p>
    <w:p w14:paraId="05113FD5" w14:textId="77777777" w:rsidR="008B72C7" w:rsidRDefault="008B72C7" w:rsidP="00202F35">
      <w:pPr>
        <w:pStyle w:val="T1"/>
        <w:spacing w:before="0" w:after="0" w:line="240" w:lineRule="auto"/>
        <w:rPr>
          <w:rFonts w:asciiTheme="minorHAnsi" w:hAnsiTheme="minorHAnsi" w:cs="Arial"/>
          <w:b w:val="0"/>
          <w:sz w:val="22"/>
          <w:szCs w:val="22"/>
          <w:lang w:val="hr-HR"/>
        </w:rPr>
        <w:sectPr w:rsidR="008B72C7" w:rsidSect="00C30367">
          <w:footerReference w:type="default" r:id="rId69"/>
          <w:footerReference w:type="first" r:id="rId70"/>
          <w:pgSz w:w="11906" w:h="16838" w:code="9"/>
          <w:pgMar w:top="1418" w:right="1418" w:bottom="595" w:left="1134" w:header="709" w:footer="709" w:gutter="0"/>
          <w:cols w:space="708"/>
          <w:titlePg/>
          <w:docGrid w:linePitch="360"/>
        </w:sectPr>
      </w:pPr>
    </w:p>
    <w:p w14:paraId="01CA847B" w14:textId="77777777" w:rsidR="00AE12ED" w:rsidRDefault="00AE12ED" w:rsidP="00861DF8">
      <w:pPr>
        <w:tabs>
          <w:tab w:val="left" w:pos="-720"/>
        </w:tabs>
        <w:spacing w:after="0" w:line="240" w:lineRule="auto"/>
        <w:jc w:val="both"/>
        <w:rPr>
          <w:rFonts w:eastAsia="Times New Roman" w:cs="Calibri"/>
          <w:b/>
          <w:lang w:eastAsia="hr-HR"/>
        </w:rPr>
      </w:pPr>
    </w:p>
    <w:p w14:paraId="51491BB4" w14:textId="77777777" w:rsidR="00035A14" w:rsidRPr="001F4E39" w:rsidRDefault="0039508C" w:rsidP="00D07AE4">
      <w:pPr>
        <w:tabs>
          <w:tab w:val="left" w:pos="-720"/>
          <w:tab w:val="left" w:pos="567"/>
        </w:tabs>
        <w:spacing w:after="0" w:line="240" w:lineRule="auto"/>
        <w:jc w:val="both"/>
        <w:rPr>
          <w:b/>
          <w:lang w:eastAsia="hr-HR"/>
        </w:rPr>
      </w:pPr>
      <w:r w:rsidRPr="001F4E39">
        <w:rPr>
          <w:b/>
          <w:lang w:eastAsia="hr-HR"/>
        </w:rPr>
        <w:t>9</w:t>
      </w:r>
      <w:r w:rsidR="00E23075" w:rsidRPr="001F4E39">
        <w:rPr>
          <w:b/>
          <w:lang w:eastAsia="hr-HR"/>
        </w:rPr>
        <w:t>.</w:t>
      </w:r>
      <w:r w:rsidR="00E23075" w:rsidRPr="001F4E39">
        <w:rPr>
          <w:b/>
          <w:lang w:eastAsia="hr-HR"/>
        </w:rPr>
        <w:tab/>
      </w:r>
      <w:r w:rsidR="00DC0C02" w:rsidRPr="001F4E39">
        <w:rPr>
          <w:b/>
          <w:lang w:eastAsia="hr-HR"/>
        </w:rPr>
        <w:t xml:space="preserve">Krediti </w:t>
      </w:r>
      <w:r w:rsidR="007B0382" w:rsidRPr="001F4E39">
        <w:rPr>
          <w:b/>
          <w:lang w:eastAsia="hr-HR"/>
        </w:rPr>
        <w:t>financijskim institucijama</w:t>
      </w:r>
    </w:p>
    <w:tbl>
      <w:tblPr>
        <w:tblW w:w="4982" w:type="pct"/>
        <w:tblLayout w:type="fixed"/>
        <w:tblCellMar>
          <w:left w:w="119" w:type="dxa"/>
          <w:right w:w="119" w:type="dxa"/>
        </w:tblCellMar>
        <w:tblLook w:val="0000" w:firstRow="0" w:lastRow="0" w:firstColumn="0" w:lastColumn="0" w:noHBand="0" w:noVBand="0"/>
      </w:tblPr>
      <w:tblGrid>
        <w:gridCol w:w="3974"/>
        <w:gridCol w:w="1313"/>
        <w:gridCol w:w="1441"/>
        <w:gridCol w:w="1296"/>
        <w:gridCol w:w="1296"/>
      </w:tblGrid>
      <w:tr w:rsidR="00B35D9E" w:rsidRPr="00EF5864" w14:paraId="3F7EE2A7" w14:textId="77777777" w:rsidTr="00433F57">
        <w:trPr>
          <w:trHeight w:hRule="exact" w:val="336"/>
        </w:trPr>
        <w:tc>
          <w:tcPr>
            <w:tcW w:w="3974" w:type="dxa"/>
            <w:vAlign w:val="center"/>
          </w:tcPr>
          <w:p w14:paraId="7CB8AAFF" w14:textId="77777777" w:rsidR="00B35D9E" w:rsidRPr="00EF5864" w:rsidRDefault="00B35D9E" w:rsidP="009D2ADC">
            <w:pPr>
              <w:tabs>
                <w:tab w:val="left" w:pos="-720"/>
              </w:tabs>
              <w:suppressAutoHyphens/>
              <w:spacing w:after="0" w:line="240" w:lineRule="auto"/>
              <w:jc w:val="right"/>
              <w:rPr>
                <w:rFonts w:eastAsia="Times New Roman" w:cs="Arial"/>
                <w:spacing w:val="-3"/>
                <w:sz w:val="20"/>
                <w:szCs w:val="20"/>
              </w:rPr>
            </w:pPr>
          </w:p>
        </w:tc>
        <w:tc>
          <w:tcPr>
            <w:tcW w:w="2754" w:type="dxa"/>
            <w:gridSpan w:val="2"/>
            <w:vAlign w:val="center"/>
          </w:tcPr>
          <w:p w14:paraId="5384EAFA" w14:textId="77777777" w:rsidR="00B35D9E" w:rsidRPr="00EF5864" w:rsidRDefault="00B35D9E" w:rsidP="009D2ADC">
            <w:pPr>
              <w:tabs>
                <w:tab w:val="right" w:pos="1202"/>
              </w:tabs>
              <w:spacing w:after="0" w:line="220" w:lineRule="exact"/>
              <w:jc w:val="right"/>
              <w:outlineLvl w:val="0"/>
              <w:rPr>
                <w:rFonts w:eastAsia="Times New Roman" w:cs="Arial"/>
                <w:b/>
                <w:sz w:val="20"/>
                <w:szCs w:val="20"/>
              </w:rPr>
            </w:pPr>
            <w:r w:rsidRPr="00EF5864">
              <w:rPr>
                <w:rFonts w:eastAsia="Times New Roman" w:cs="Arial"/>
                <w:b/>
                <w:sz w:val="20"/>
                <w:szCs w:val="20"/>
              </w:rPr>
              <w:t>Grupa</w:t>
            </w:r>
          </w:p>
        </w:tc>
        <w:tc>
          <w:tcPr>
            <w:tcW w:w="2592" w:type="dxa"/>
            <w:gridSpan w:val="2"/>
            <w:vAlign w:val="center"/>
          </w:tcPr>
          <w:p w14:paraId="2D3759DB" w14:textId="77777777" w:rsidR="00B35D9E" w:rsidRPr="00EF5864" w:rsidRDefault="00B35D9E" w:rsidP="00B35D9E">
            <w:pPr>
              <w:tabs>
                <w:tab w:val="right" w:pos="1202"/>
              </w:tabs>
              <w:spacing w:after="0" w:line="220" w:lineRule="exact"/>
              <w:jc w:val="right"/>
              <w:outlineLvl w:val="0"/>
              <w:rPr>
                <w:rFonts w:eastAsia="Times New Roman" w:cs="Arial"/>
                <w:b/>
                <w:sz w:val="20"/>
                <w:szCs w:val="20"/>
              </w:rPr>
            </w:pPr>
            <w:r w:rsidRPr="00EF5864">
              <w:rPr>
                <w:rFonts w:eastAsia="Times New Roman" w:cs="Arial"/>
                <w:b/>
                <w:sz w:val="20"/>
                <w:szCs w:val="20"/>
              </w:rPr>
              <w:t>Banka</w:t>
            </w:r>
          </w:p>
        </w:tc>
      </w:tr>
      <w:tr w:rsidR="000C1F7F" w:rsidRPr="00EF5864" w14:paraId="6BCDF151" w14:textId="77777777" w:rsidTr="0067403D">
        <w:trPr>
          <w:trHeight w:hRule="exact" w:val="336"/>
        </w:trPr>
        <w:tc>
          <w:tcPr>
            <w:tcW w:w="3974" w:type="dxa"/>
            <w:vAlign w:val="center"/>
          </w:tcPr>
          <w:p w14:paraId="01C9EE13" w14:textId="77777777" w:rsidR="000C1F7F" w:rsidRPr="00EF5864" w:rsidRDefault="000C1F7F" w:rsidP="000C1F7F">
            <w:pPr>
              <w:tabs>
                <w:tab w:val="left" w:pos="-720"/>
              </w:tabs>
              <w:suppressAutoHyphens/>
              <w:spacing w:after="0" w:line="240" w:lineRule="auto"/>
              <w:jc w:val="right"/>
              <w:rPr>
                <w:rFonts w:eastAsia="Times New Roman" w:cs="Arial"/>
                <w:spacing w:val="-3"/>
                <w:sz w:val="20"/>
                <w:szCs w:val="20"/>
              </w:rPr>
            </w:pPr>
          </w:p>
        </w:tc>
        <w:tc>
          <w:tcPr>
            <w:tcW w:w="1313" w:type="dxa"/>
            <w:vAlign w:val="center"/>
          </w:tcPr>
          <w:p w14:paraId="3ABEF45E" w14:textId="5C769304" w:rsidR="000C1F7F" w:rsidRPr="00EF5864" w:rsidRDefault="00C30367" w:rsidP="000C1F7F">
            <w:pPr>
              <w:tabs>
                <w:tab w:val="right" w:pos="1202"/>
              </w:tabs>
              <w:spacing w:after="0" w:line="220" w:lineRule="exact"/>
              <w:jc w:val="right"/>
              <w:outlineLvl w:val="0"/>
              <w:rPr>
                <w:rFonts w:eastAsia="Times New Roman" w:cs="Arial"/>
                <w:b/>
                <w:sz w:val="20"/>
                <w:szCs w:val="20"/>
              </w:rPr>
            </w:pPr>
            <w:r w:rsidRPr="00C30367">
              <w:rPr>
                <w:rFonts w:eastAsia="Times New Roman" w:cs="Arial"/>
                <w:b/>
                <w:sz w:val="20"/>
                <w:szCs w:val="20"/>
              </w:rPr>
              <w:t>30.6.2017</w:t>
            </w:r>
            <w:r w:rsidR="000C1F7F" w:rsidRPr="00EF5864">
              <w:rPr>
                <w:rFonts w:eastAsia="Times New Roman" w:cs="Arial"/>
                <w:b/>
                <w:sz w:val="20"/>
                <w:szCs w:val="20"/>
              </w:rPr>
              <w:t>.</w:t>
            </w:r>
          </w:p>
        </w:tc>
        <w:tc>
          <w:tcPr>
            <w:tcW w:w="1441" w:type="dxa"/>
            <w:vAlign w:val="center"/>
          </w:tcPr>
          <w:p w14:paraId="4AB18D19" w14:textId="1D856670" w:rsidR="000C1F7F" w:rsidRPr="00EF5864" w:rsidRDefault="000C1F7F" w:rsidP="000C1F7F">
            <w:pPr>
              <w:tabs>
                <w:tab w:val="right" w:pos="1202"/>
              </w:tabs>
              <w:spacing w:after="0" w:line="220" w:lineRule="exact"/>
              <w:jc w:val="right"/>
              <w:outlineLvl w:val="0"/>
              <w:rPr>
                <w:rFonts w:eastAsia="Times New Roman" w:cs="Arial"/>
                <w:b/>
                <w:sz w:val="20"/>
                <w:szCs w:val="20"/>
              </w:rPr>
            </w:pPr>
            <w:r w:rsidRPr="00EF5864">
              <w:rPr>
                <w:rFonts w:eastAsia="Times New Roman" w:cs="Arial"/>
                <w:b/>
                <w:sz w:val="20"/>
                <w:szCs w:val="20"/>
              </w:rPr>
              <w:t>31.12.2016.</w:t>
            </w:r>
          </w:p>
        </w:tc>
        <w:tc>
          <w:tcPr>
            <w:tcW w:w="1296" w:type="dxa"/>
            <w:vAlign w:val="center"/>
          </w:tcPr>
          <w:p w14:paraId="187EC57C" w14:textId="4BF2EEF9" w:rsidR="000C1F7F" w:rsidRPr="00EF5864" w:rsidRDefault="00C30367" w:rsidP="000C1F7F">
            <w:pPr>
              <w:tabs>
                <w:tab w:val="right" w:pos="1202"/>
              </w:tabs>
              <w:spacing w:after="0" w:line="220" w:lineRule="exact"/>
              <w:jc w:val="right"/>
              <w:outlineLvl w:val="0"/>
              <w:rPr>
                <w:rFonts w:eastAsia="Times New Roman" w:cs="Arial"/>
                <w:b/>
                <w:sz w:val="20"/>
                <w:szCs w:val="20"/>
              </w:rPr>
            </w:pPr>
            <w:r w:rsidRPr="00C30367">
              <w:rPr>
                <w:rFonts w:eastAsia="Times New Roman" w:cs="Arial"/>
                <w:b/>
                <w:sz w:val="20"/>
                <w:szCs w:val="20"/>
              </w:rPr>
              <w:t>30.6.2017</w:t>
            </w:r>
            <w:r w:rsidR="000C1F7F" w:rsidRPr="00EF5864">
              <w:rPr>
                <w:rFonts w:eastAsia="Times New Roman" w:cs="Arial"/>
                <w:b/>
                <w:sz w:val="20"/>
                <w:szCs w:val="20"/>
              </w:rPr>
              <w:t>.</w:t>
            </w:r>
          </w:p>
        </w:tc>
        <w:tc>
          <w:tcPr>
            <w:tcW w:w="1296" w:type="dxa"/>
            <w:vAlign w:val="center"/>
          </w:tcPr>
          <w:p w14:paraId="526AF1E0" w14:textId="5EA2876A" w:rsidR="000C1F7F" w:rsidRPr="00EF5864" w:rsidRDefault="000C1F7F" w:rsidP="000C1F7F">
            <w:pPr>
              <w:tabs>
                <w:tab w:val="right" w:pos="1202"/>
              </w:tabs>
              <w:spacing w:after="0" w:line="220" w:lineRule="exact"/>
              <w:jc w:val="right"/>
              <w:outlineLvl w:val="0"/>
              <w:rPr>
                <w:rFonts w:eastAsia="Times New Roman" w:cs="Arial"/>
                <w:b/>
                <w:sz w:val="20"/>
                <w:szCs w:val="20"/>
              </w:rPr>
            </w:pPr>
            <w:r w:rsidRPr="00EF5864">
              <w:rPr>
                <w:rFonts w:eastAsia="Times New Roman" w:cs="Arial"/>
                <w:b/>
                <w:sz w:val="20"/>
                <w:szCs w:val="20"/>
              </w:rPr>
              <w:t>31.12.2016.</w:t>
            </w:r>
          </w:p>
        </w:tc>
      </w:tr>
      <w:tr w:rsidR="00CD25DA" w:rsidRPr="00EF5864" w14:paraId="26FC9625" w14:textId="77777777" w:rsidTr="00312975">
        <w:trPr>
          <w:trHeight w:val="303"/>
        </w:trPr>
        <w:tc>
          <w:tcPr>
            <w:tcW w:w="3974" w:type="dxa"/>
            <w:vAlign w:val="center"/>
          </w:tcPr>
          <w:p w14:paraId="56AFB38D" w14:textId="3EC9A6E9" w:rsidR="00CD25DA" w:rsidRPr="00EF5864" w:rsidRDefault="00CD25DA" w:rsidP="00CD25DA">
            <w:pPr>
              <w:tabs>
                <w:tab w:val="right" w:pos="1202"/>
              </w:tabs>
              <w:spacing w:after="0" w:line="301" w:lineRule="exact"/>
              <w:outlineLvl w:val="0"/>
              <w:rPr>
                <w:rFonts w:eastAsia="Times New Roman" w:cs="Arial"/>
                <w:sz w:val="20"/>
                <w:szCs w:val="20"/>
              </w:rPr>
            </w:pPr>
            <w:r w:rsidRPr="00EF5864">
              <w:rPr>
                <w:rFonts w:eastAsia="Times New Roman" w:cs="Arial"/>
                <w:sz w:val="20"/>
                <w:szCs w:val="20"/>
              </w:rPr>
              <w:t>Dugoročni krediti po kreditnim programima</w:t>
            </w:r>
          </w:p>
        </w:tc>
        <w:tc>
          <w:tcPr>
            <w:tcW w:w="1313" w:type="dxa"/>
            <w:tcBorders>
              <w:top w:val="nil"/>
              <w:left w:val="nil"/>
              <w:bottom w:val="nil"/>
              <w:right w:val="nil"/>
            </w:tcBorders>
            <w:shd w:val="clear" w:color="auto" w:fill="auto"/>
            <w:vAlign w:val="bottom"/>
          </w:tcPr>
          <w:p w14:paraId="2D87FD45" w14:textId="7B8A7A95" w:rsidR="00CD25DA" w:rsidRPr="00312975" w:rsidRDefault="00CD25DA" w:rsidP="00CD25DA">
            <w:pPr>
              <w:spacing w:after="0" w:line="240" w:lineRule="auto"/>
              <w:jc w:val="right"/>
              <w:rPr>
                <w:sz w:val="20"/>
                <w:szCs w:val="20"/>
              </w:rPr>
            </w:pPr>
            <w:r w:rsidRPr="00312975">
              <w:rPr>
                <w:sz w:val="20"/>
                <w:szCs w:val="20"/>
              </w:rPr>
              <w:t xml:space="preserve"> 11.340.423 </w:t>
            </w:r>
          </w:p>
        </w:tc>
        <w:tc>
          <w:tcPr>
            <w:tcW w:w="1441" w:type="dxa"/>
            <w:tcBorders>
              <w:top w:val="nil"/>
              <w:left w:val="nil"/>
              <w:bottom w:val="nil"/>
              <w:right w:val="nil"/>
            </w:tcBorders>
            <w:shd w:val="clear" w:color="auto" w:fill="auto"/>
            <w:vAlign w:val="bottom"/>
          </w:tcPr>
          <w:p w14:paraId="550BF9C3" w14:textId="7E90809B" w:rsidR="00CD25DA" w:rsidRPr="00EF5864" w:rsidRDefault="00CD25DA" w:rsidP="00CD25DA">
            <w:pPr>
              <w:spacing w:after="0" w:line="240" w:lineRule="auto"/>
              <w:jc w:val="right"/>
              <w:rPr>
                <w:rFonts w:ascii="Calibri" w:eastAsia="Times New Roman" w:hAnsi="Calibri" w:cs="Times New Roman"/>
                <w:color w:val="000000"/>
                <w:sz w:val="20"/>
                <w:szCs w:val="20"/>
                <w:lang w:eastAsia="hr-HR"/>
              </w:rPr>
            </w:pPr>
            <w:r w:rsidRPr="00EF5864">
              <w:rPr>
                <w:sz w:val="20"/>
                <w:szCs w:val="20"/>
              </w:rPr>
              <w:t>11.918.947</w:t>
            </w:r>
          </w:p>
        </w:tc>
        <w:tc>
          <w:tcPr>
            <w:tcW w:w="1296" w:type="dxa"/>
            <w:tcBorders>
              <w:top w:val="nil"/>
              <w:left w:val="nil"/>
              <w:bottom w:val="nil"/>
              <w:right w:val="nil"/>
            </w:tcBorders>
            <w:shd w:val="clear" w:color="auto" w:fill="auto"/>
            <w:vAlign w:val="bottom"/>
          </w:tcPr>
          <w:p w14:paraId="4779826F" w14:textId="73B4E4C5" w:rsidR="00CD25DA" w:rsidRPr="000E5941" w:rsidRDefault="00CD25DA" w:rsidP="00CD25DA">
            <w:pPr>
              <w:spacing w:after="0" w:line="240" w:lineRule="auto"/>
              <w:jc w:val="right"/>
              <w:rPr>
                <w:sz w:val="20"/>
                <w:szCs w:val="20"/>
              </w:rPr>
            </w:pPr>
            <w:r w:rsidRPr="00312975">
              <w:rPr>
                <w:sz w:val="20"/>
                <w:szCs w:val="20"/>
              </w:rPr>
              <w:t xml:space="preserve"> 11.340.423 </w:t>
            </w:r>
          </w:p>
        </w:tc>
        <w:tc>
          <w:tcPr>
            <w:tcW w:w="1296" w:type="dxa"/>
            <w:tcBorders>
              <w:top w:val="nil"/>
              <w:left w:val="nil"/>
              <w:bottom w:val="nil"/>
              <w:right w:val="nil"/>
            </w:tcBorders>
            <w:shd w:val="clear" w:color="auto" w:fill="auto"/>
            <w:vAlign w:val="bottom"/>
          </w:tcPr>
          <w:p w14:paraId="1B8DB8F0" w14:textId="2BBEDF8D" w:rsidR="00CD25DA" w:rsidRPr="00EF5864" w:rsidRDefault="00CD25DA" w:rsidP="00CD25DA">
            <w:pPr>
              <w:spacing w:after="0" w:line="240" w:lineRule="auto"/>
              <w:jc w:val="right"/>
              <w:rPr>
                <w:rFonts w:ascii="Calibri" w:eastAsia="Times New Roman" w:hAnsi="Calibri" w:cs="Times New Roman"/>
                <w:color w:val="000000"/>
                <w:sz w:val="20"/>
                <w:szCs w:val="20"/>
                <w:lang w:eastAsia="hr-HR"/>
              </w:rPr>
            </w:pPr>
            <w:r w:rsidRPr="00EF5864">
              <w:rPr>
                <w:sz w:val="20"/>
                <w:szCs w:val="20"/>
              </w:rPr>
              <w:t>11.918.947</w:t>
            </w:r>
          </w:p>
        </w:tc>
      </w:tr>
      <w:tr w:rsidR="00CD25DA" w:rsidRPr="00EF5864" w14:paraId="000B1303" w14:textId="77777777" w:rsidTr="00312975">
        <w:trPr>
          <w:trHeight w:val="303"/>
        </w:trPr>
        <w:tc>
          <w:tcPr>
            <w:tcW w:w="3974" w:type="dxa"/>
            <w:vAlign w:val="center"/>
          </w:tcPr>
          <w:p w14:paraId="4318E3CE" w14:textId="5914FB68" w:rsidR="00CD25DA" w:rsidRPr="00EF5864" w:rsidRDefault="00CD25DA" w:rsidP="00CD25DA">
            <w:pPr>
              <w:tabs>
                <w:tab w:val="right" w:pos="1202"/>
              </w:tabs>
              <w:spacing w:after="0" w:line="301" w:lineRule="exact"/>
              <w:outlineLvl w:val="0"/>
              <w:rPr>
                <w:rFonts w:eastAsia="Times New Roman" w:cs="Arial"/>
                <w:sz w:val="20"/>
                <w:szCs w:val="20"/>
              </w:rPr>
            </w:pPr>
            <w:r w:rsidRPr="00EF5864">
              <w:rPr>
                <w:rFonts w:eastAsia="Times New Roman" w:cs="Arial"/>
                <w:sz w:val="20"/>
                <w:szCs w:val="20"/>
              </w:rPr>
              <w:t>Kratkoročni plasmani i obrnuti repo poslovi</w:t>
            </w:r>
          </w:p>
        </w:tc>
        <w:tc>
          <w:tcPr>
            <w:tcW w:w="1313" w:type="dxa"/>
            <w:tcBorders>
              <w:top w:val="nil"/>
              <w:left w:val="nil"/>
              <w:bottom w:val="nil"/>
              <w:right w:val="nil"/>
            </w:tcBorders>
            <w:shd w:val="clear" w:color="auto" w:fill="auto"/>
            <w:vAlign w:val="bottom"/>
          </w:tcPr>
          <w:p w14:paraId="2CE831ED" w14:textId="7DB9429D" w:rsidR="00CD25DA" w:rsidRPr="00312975" w:rsidRDefault="00CD25DA" w:rsidP="00CD25DA">
            <w:pPr>
              <w:spacing w:after="0" w:line="240" w:lineRule="auto"/>
              <w:jc w:val="right"/>
              <w:rPr>
                <w:sz w:val="20"/>
                <w:szCs w:val="20"/>
              </w:rPr>
            </w:pPr>
            <w:r w:rsidRPr="00312975">
              <w:rPr>
                <w:sz w:val="20"/>
                <w:szCs w:val="20"/>
              </w:rPr>
              <w:t xml:space="preserve"> 324.789 </w:t>
            </w:r>
          </w:p>
        </w:tc>
        <w:tc>
          <w:tcPr>
            <w:tcW w:w="1441" w:type="dxa"/>
            <w:tcBorders>
              <w:top w:val="nil"/>
              <w:left w:val="nil"/>
              <w:bottom w:val="nil"/>
              <w:right w:val="nil"/>
            </w:tcBorders>
            <w:shd w:val="clear" w:color="auto" w:fill="auto"/>
            <w:vAlign w:val="bottom"/>
          </w:tcPr>
          <w:p w14:paraId="62D00DA3" w14:textId="08A2BD5D" w:rsidR="00CD25DA" w:rsidRPr="00EF5864" w:rsidRDefault="00CD25DA" w:rsidP="00CD25DA">
            <w:pPr>
              <w:spacing w:after="0" w:line="240" w:lineRule="auto"/>
              <w:jc w:val="right"/>
              <w:rPr>
                <w:rFonts w:ascii="Calibri" w:eastAsia="Times New Roman" w:hAnsi="Calibri" w:cs="Times New Roman"/>
                <w:color w:val="000000"/>
                <w:sz w:val="20"/>
                <w:szCs w:val="20"/>
                <w:lang w:eastAsia="hr-HR"/>
              </w:rPr>
            </w:pPr>
            <w:r w:rsidRPr="00EF5864">
              <w:rPr>
                <w:sz w:val="20"/>
                <w:szCs w:val="20"/>
              </w:rPr>
              <w:t>362.489</w:t>
            </w:r>
          </w:p>
        </w:tc>
        <w:tc>
          <w:tcPr>
            <w:tcW w:w="1296" w:type="dxa"/>
            <w:tcBorders>
              <w:top w:val="nil"/>
              <w:left w:val="nil"/>
              <w:bottom w:val="nil"/>
              <w:right w:val="nil"/>
            </w:tcBorders>
            <w:shd w:val="clear" w:color="auto" w:fill="auto"/>
            <w:vAlign w:val="bottom"/>
          </w:tcPr>
          <w:p w14:paraId="62A81D6D" w14:textId="473D745A" w:rsidR="00CD25DA" w:rsidRPr="000E5941" w:rsidRDefault="00CD25DA" w:rsidP="00CD25DA">
            <w:pPr>
              <w:spacing w:after="0" w:line="240" w:lineRule="auto"/>
              <w:jc w:val="right"/>
              <w:rPr>
                <w:sz w:val="20"/>
                <w:szCs w:val="20"/>
              </w:rPr>
            </w:pPr>
            <w:r w:rsidRPr="00312975">
              <w:rPr>
                <w:sz w:val="20"/>
                <w:szCs w:val="20"/>
              </w:rPr>
              <w:t xml:space="preserve"> 324.789 </w:t>
            </w:r>
          </w:p>
        </w:tc>
        <w:tc>
          <w:tcPr>
            <w:tcW w:w="1296" w:type="dxa"/>
            <w:tcBorders>
              <w:top w:val="nil"/>
              <w:left w:val="nil"/>
              <w:bottom w:val="nil"/>
              <w:right w:val="nil"/>
            </w:tcBorders>
            <w:shd w:val="clear" w:color="auto" w:fill="auto"/>
            <w:vAlign w:val="bottom"/>
          </w:tcPr>
          <w:p w14:paraId="667DB80F" w14:textId="5492F6CB" w:rsidR="00CD25DA" w:rsidRPr="00EF5864" w:rsidRDefault="00CD25DA" w:rsidP="00CD25DA">
            <w:pPr>
              <w:spacing w:after="0" w:line="240" w:lineRule="auto"/>
              <w:jc w:val="right"/>
              <w:rPr>
                <w:rFonts w:ascii="Calibri" w:eastAsia="Times New Roman" w:hAnsi="Calibri" w:cs="Times New Roman"/>
                <w:color w:val="000000"/>
                <w:sz w:val="20"/>
                <w:szCs w:val="20"/>
                <w:lang w:eastAsia="hr-HR"/>
              </w:rPr>
            </w:pPr>
            <w:r w:rsidRPr="00EF5864">
              <w:rPr>
                <w:sz w:val="20"/>
                <w:szCs w:val="20"/>
              </w:rPr>
              <w:t>362.489</w:t>
            </w:r>
          </w:p>
        </w:tc>
      </w:tr>
      <w:tr w:rsidR="00CD25DA" w:rsidRPr="00EF5864" w14:paraId="171D8309" w14:textId="77777777" w:rsidTr="00312975">
        <w:trPr>
          <w:trHeight w:val="303"/>
        </w:trPr>
        <w:tc>
          <w:tcPr>
            <w:tcW w:w="3974" w:type="dxa"/>
            <w:vAlign w:val="center"/>
          </w:tcPr>
          <w:p w14:paraId="43E4FB5C" w14:textId="77777777" w:rsidR="00CD25DA" w:rsidRPr="00EF5864" w:rsidRDefault="00CD25DA" w:rsidP="00CD25DA">
            <w:pPr>
              <w:tabs>
                <w:tab w:val="right" w:pos="1202"/>
              </w:tabs>
              <w:spacing w:after="0" w:line="301" w:lineRule="exact"/>
              <w:outlineLvl w:val="0"/>
              <w:rPr>
                <w:rFonts w:eastAsia="Times New Roman" w:cs="Arial"/>
                <w:sz w:val="20"/>
                <w:szCs w:val="20"/>
              </w:rPr>
            </w:pPr>
            <w:r w:rsidRPr="00EF5864">
              <w:rPr>
                <w:rFonts w:eastAsia="Times New Roman" w:cs="Arial"/>
                <w:sz w:val="20"/>
                <w:szCs w:val="20"/>
              </w:rPr>
              <w:t>Obračunata kamata</w:t>
            </w:r>
          </w:p>
        </w:tc>
        <w:tc>
          <w:tcPr>
            <w:tcW w:w="1313" w:type="dxa"/>
            <w:tcBorders>
              <w:top w:val="nil"/>
              <w:left w:val="nil"/>
              <w:bottom w:val="nil"/>
              <w:right w:val="nil"/>
            </w:tcBorders>
            <w:shd w:val="clear" w:color="auto" w:fill="auto"/>
            <w:vAlign w:val="bottom"/>
          </w:tcPr>
          <w:p w14:paraId="428BC4C6" w14:textId="1BA56927" w:rsidR="00CD25DA" w:rsidRPr="00312975" w:rsidRDefault="00CD25DA" w:rsidP="00CD25DA">
            <w:pPr>
              <w:spacing w:after="0" w:line="240" w:lineRule="auto"/>
              <w:jc w:val="right"/>
              <w:rPr>
                <w:sz w:val="20"/>
                <w:szCs w:val="20"/>
              </w:rPr>
            </w:pPr>
            <w:r w:rsidRPr="00312975">
              <w:rPr>
                <w:sz w:val="20"/>
                <w:szCs w:val="20"/>
              </w:rPr>
              <w:t xml:space="preserve"> 14.386 </w:t>
            </w:r>
          </w:p>
        </w:tc>
        <w:tc>
          <w:tcPr>
            <w:tcW w:w="1441" w:type="dxa"/>
            <w:tcBorders>
              <w:top w:val="nil"/>
              <w:left w:val="nil"/>
              <w:bottom w:val="nil"/>
              <w:right w:val="nil"/>
            </w:tcBorders>
            <w:shd w:val="clear" w:color="auto" w:fill="auto"/>
            <w:vAlign w:val="bottom"/>
          </w:tcPr>
          <w:p w14:paraId="0708CAEE" w14:textId="6647406C" w:rsidR="00CD25DA" w:rsidRPr="00EF5864" w:rsidRDefault="00CD25DA" w:rsidP="00CD25DA">
            <w:pPr>
              <w:spacing w:after="0" w:line="240" w:lineRule="auto"/>
              <w:jc w:val="right"/>
              <w:rPr>
                <w:rFonts w:ascii="Calibri" w:eastAsia="Times New Roman" w:hAnsi="Calibri" w:cs="Times New Roman"/>
                <w:color w:val="000000"/>
                <w:sz w:val="20"/>
                <w:szCs w:val="20"/>
                <w:lang w:eastAsia="hr-HR"/>
              </w:rPr>
            </w:pPr>
            <w:r w:rsidRPr="00EF5864">
              <w:rPr>
                <w:sz w:val="20"/>
                <w:szCs w:val="20"/>
              </w:rPr>
              <w:t>37.363</w:t>
            </w:r>
          </w:p>
        </w:tc>
        <w:tc>
          <w:tcPr>
            <w:tcW w:w="1296" w:type="dxa"/>
            <w:tcBorders>
              <w:top w:val="nil"/>
              <w:left w:val="nil"/>
              <w:bottom w:val="nil"/>
              <w:right w:val="nil"/>
            </w:tcBorders>
            <w:shd w:val="clear" w:color="auto" w:fill="auto"/>
            <w:vAlign w:val="bottom"/>
          </w:tcPr>
          <w:p w14:paraId="775DCE9F" w14:textId="33BFC972" w:rsidR="00CD25DA" w:rsidRPr="000E5941" w:rsidRDefault="00CD25DA" w:rsidP="00CD25DA">
            <w:pPr>
              <w:spacing w:after="0" w:line="240" w:lineRule="auto"/>
              <w:jc w:val="right"/>
              <w:rPr>
                <w:sz w:val="20"/>
                <w:szCs w:val="20"/>
              </w:rPr>
            </w:pPr>
            <w:r w:rsidRPr="00312975">
              <w:rPr>
                <w:sz w:val="20"/>
                <w:szCs w:val="20"/>
              </w:rPr>
              <w:t xml:space="preserve"> 14.386 </w:t>
            </w:r>
          </w:p>
        </w:tc>
        <w:tc>
          <w:tcPr>
            <w:tcW w:w="1296" w:type="dxa"/>
            <w:tcBorders>
              <w:top w:val="nil"/>
              <w:left w:val="nil"/>
              <w:bottom w:val="nil"/>
              <w:right w:val="nil"/>
            </w:tcBorders>
            <w:shd w:val="clear" w:color="auto" w:fill="auto"/>
            <w:vAlign w:val="bottom"/>
          </w:tcPr>
          <w:p w14:paraId="64CC9282" w14:textId="2512AA08" w:rsidR="00CD25DA" w:rsidRPr="00EF5864" w:rsidRDefault="00CD25DA" w:rsidP="00CD25DA">
            <w:pPr>
              <w:spacing w:after="0" w:line="240" w:lineRule="auto"/>
              <w:jc w:val="right"/>
              <w:rPr>
                <w:rFonts w:ascii="Calibri" w:eastAsia="Times New Roman" w:hAnsi="Calibri" w:cs="Times New Roman"/>
                <w:color w:val="000000"/>
                <w:sz w:val="20"/>
                <w:szCs w:val="20"/>
                <w:lang w:eastAsia="hr-HR"/>
              </w:rPr>
            </w:pPr>
            <w:r w:rsidRPr="00EF5864">
              <w:rPr>
                <w:sz w:val="20"/>
                <w:szCs w:val="20"/>
              </w:rPr>
              <w:t>37.363</w:t>
            </w:r>
          </w:p>
        </w:tc>
      </w:tr>
      <w:tr w:rsidR="00CD25DA" w:rsidRPr="00EF5864" w14:paraId="01AC6B0D" w14:textId="77777777" w:rsidTr="00312975">
        <w:trPr>
          <w:trHeight w:val="303"/>
        </w:trPr>
        <w:tc>
          <w:tcPr>
            <w:tcW w:w="3974" w:type="dxa"/>
            <w:vAlign w:val="center"/>
          </w:tcPr>
          <w:p w14:paraId="6238A2C5" w14:textId="77777777" w:rsidR="00CD25DA" w:rsidRPr="00EF5864" w:rsidRDefault="00CD25DA" w:rsidP="00CD25DA">
            <w:pPr>
              <w:tabs>
                <w:tab w:val="right" w:pos="1202"/>
              </w:tabs>
              <w:spacing w:after="0" w:line="301" w:lineRule="exact"/>
              <w:outlineLvl w:val="0"/>
              <w:rPr>
                <w:rFonts w:eastAsia="Times New Roman" w:cs="Arial"/>
                <w:sz w:val="20"/>
                <w:szCs w:val="20"/>
              </w:rPr>
            </w:pPr>
            <w:r w:rsidRPr="00EF5864">
              <w:rPr>
                <w:rFonts w:eastAsia="Times New Roman" w:cs="Arial"/>
                <w:sz w:val="20"/>
                <w:szCs w:val="20"/>
              </w:rPr>
              <w:t>Odgođena naknada po kreditima</w:t>
            </w:r>
          </w:p>
        </w:tc>
        <w:tc>
          <w:tcPr>
            <w:tcW w:w="1313" w:type="dxa"/>
            <w:tcBorders>
              <w:top w:val="nil"/>
              <w:left w:val="nil"/>
              <w:bottom w:val="single" w:sz="4" w:space="0" w:color="auto"/>
              <w:right w:val="nil"/>
            </w:tcBorders>
            <w:shd w:val="clear" w:color="auto" w:fill="auto"/>
            <w:vAlign w:val="bottom"/>
          </w:tcPr>
          <w:p w14:paraId="31C949BE" w14:textId="5F9FF0CE" w:rsidR="00CD25DA" w:rsidRPr="00312975" w:rsidRDefault="00CD25DA" w:rsidP="00CD25DA">
            <w:pPr>
              <w:spacing w:after="0" w:line="240" w:lineRule="auto"/>
              <w:jc w:val="right"/>
              <w:rPr>
                <w:sz w:val="20"/>
                <w:szCs w:val="20"/>
              </w:rPr>
            </w:pPr>
            <w:r w:rsidRPr="00312975">
              <w:rPr>
                <w:sz w:val="20"/>
                <w:szCs w:val="20"/>
              </w:rPr>
              <w:t xml:space="preserve"> (62.660)</w:t>
            </w:r>
          </w:p>
        </w:tc>
        <w:tc>
          <w:tcPr>
            <w:tcW w:w="1441" w:type="dxa"/>
            <w:tcBorders>
              <w:top w:val="nil"/>
              <w:left w:val="nil"/>
              <w:bottom w:val="single" w:sz="4" w:space="0" w:color="auto"/>
              <w:right w:val="nil"/>
            </w:tcBorders>
            <w:shd w:val="clear" w:color="auto" w:fill="auto"/>
            <w:vAlign w:val="bottom"/>
          </w:tcPr>
          <w:p w14:paraId="121EC043" w14:textId="567F4C72" w:rsidR="00CD25DA" w:rsidRPr="00EF5864" w:rsidRDefault="00CD25DA" w:rsidP="00CD25DA">
            <w:pPr>
              <w:spacing w:after="0" w:line="240" w:lineRule="auto"/>
              <w:jc w:val="right"/>
              <w:rPr>
                <w:rFonts w:ascii="Calibri" w:eastAsia="Times New Roman" w:hAnsi="Calibri" w:cs="Times New Roman"/>
                <w:color w:val="000000"/>
                <w:sz w:val="20"/>
                <w:szCs w:val="20"/>
                <w:lang w:eastAsia="hr-HR"/>
              </w:rPr>
            </w:pPr>
            <w:r w:rsidRPr="00EF5864">
              <w:rPr>
                <w:sz w:val="20"/>
                <w:szCs w:val="20"/>
              </w:rPr>
              <w:t xml:space="preserve"> (66.371)</w:t>
            </w:r>
          </w:p>
        </w:tc>
        <w:tc>
          <w:tcPr>
            <w:tcW w:w="1296" w:type="dxa"/>
            <w:tcBorders>
              <w:top w:val="nil"/>
              <w:left w:val="nil"/>
              <w:bottom w:val="single" w:sz="4" w:space="0" w:color="auto"/>
              <w:right w:val="nil"/>
            </w:tcBorders>
            <w:shd w:val="clear" w:color="auto" w:fill="auto"/>
            <w:vAlign w:val="bottom"/>
          </w:tcPr>
          <w:p w14:paraId="40C293B2" w14:textId="15E5F93D" w:rsidR="00CD25DA" w:rsidRPr="000E5941" w:rsidRDefault="00CD25DA" w:rsidP="00CD25DA">
            <w:pPr>
              <w:spacing w:after="0" w:line="240" w:lineRule="auto"/>
              <w:jc w:val="right"/>
              <w:rPr>
                <w:sz w:val="20"/>
                <w:szCs w:val="20"/>
              </w:rPr>
            </w:pPr>
            <w:r w:rsidRPr="00312975">
              <w:rPr>
                <w:sz w:val="20"/>
                <w:szCs w:val="20"/>
              </w:rPr>
              <w:t xml:space="preserve"> (62.660)</w:t>
            </w:r>
          </w:p>
        </w:tc>
        <w:tc>
          <w:tcPr>
            <w:tcW w:w="1296" w:type="dxa"/>
            <w:tcBorders>
              <w:top w:val="nil"/>
              <w:left w:val="nil"/>
              <w:bottom w:val="single" w:sz="4" w:space="0" w:color="auto"/>
              <w:right w:val="nil"/>
            </w:tcBorders>
            <w:shd w:val="clear" w:color="auto" w:fill="auto"/>
            <w:vAlign w:val="bottom"/>
          </w:tcPr>
          <w:p w14:paraId="03A8E6D7" w14:textId="5811B80A" w:rsidR="00CD25DA" w:rsidRPr="00EF5864" w:rsidRDefault="00CD25DA" w:rsidP="00CD25DA">
            <w:pPr>
              <w:spacing w:after="0" w:line="240" w:lineRule="auto"/>
              <w:jc w:val="right"/>
              <w:rPr>
                <w:rFonts w:ascii="Calibri" w:eastAsia="Times New Roman" w:hAnsi="Calibri" w:cs="Times New Roman"/>
                <w:color w:val="000000"/>
                <w:sz w:val="20"/>
                <w:szCs w:val="20"/>
                <w:lang w:eastAsia="hr-HR"/>
              </w:rPr>
            </w:pPr>
            <w:r w:rsidRPr="00EF5864">
              <w:rPr>
                <w:sz w:val="20"/>
                <w:szCs w:val="20"/>
              </w:rPr>
              <w:t xml:space="preserve"> (66.371)</w:t>
            </w:r>
          </w:p>
        </w:tc>
      </w:tr>
      <w:tr w:rsidR="00C30367" w:rsidRPr="00EF5864" w14:paraId="0DA78816" w14:textId="77777777" w:rsidTr="00312975">
        <w:trPr>
          <w:trHeight w:val="303"/>
        </w:trPr>
        <w:tc>
          <w:tcPr>
            <w:tcW w:w="3974" w:type="dxa"/>
            <w:vAlign w:val="center"/>
          </w:tcPr>
          <w:p w14:paraId="4E9373E4" w14:textId="77777777" w:rsidR="00C30367" w:rsidRPr="00EF5864" w:rsidRDefault="00C30367" w:rsidP="00C30367">
            <w:pPr>
              <w:tabs>
                <w:tab w:val="left" w:pos="-720"/>
              </w:tabs>
              <w:suppressAutoHyphens/>
              <w:spacing w:after="0" w:line="240" w:lineRule="auto"/>
              <w:rPr>
                <w:rFonts w:eastAsia="Times New Roman" w:cs="Arial"/>
                <w:iCs/>
                <w:spacing w:val="-2"/>
                <w:sz w:val="20"/>
                <w:szCs w:val="20"/>
              </w:rPr>
            </w:pPr>
          </w:p>
        </w:tc>
        <w:tc>
          <w:tcPr>
            <w:tcW w:w="1313" w:type="dxa"/>
            <w:tcBorders>
              <w:top w:val="nil"/>
              <w:left w:val="nil"/>
              <w:bottom w:val="single" w:sz="4" w:space="0" w:color="auto"/>
              <w:right w:val="nil"/>
            </w:tcBorders>
            <w:shd w:val="clear" w:color="auto" w:fill="auto"/>
            <w:vAlign w:val="bottom"/>
          </w:tcPr>
          <w:p w14:paraId="09D1C514" w14:textId="70FC5F8A" w:rsidR="00C30367" w:rsidRPr="00EF5864" w:rsidRDefault="00CD25DA" w:rsidP="00C30367">
            <w:pPr>
              <w:spacing w:after="0" w:line="240" w:lineRule="auto"/>
              <w:jc w:val="right"/>
              <w:rPr>
                <w:rFonts w:ascii="Calibri" w:eastAsia="Times New Roman" w:hAnsi="Calibri" w:cs="Times New Roman"/>
                <w:color w:val="000000"/>
                <w:sz w:val="20"/>
                <w:szCs w:val="20"/>
                <w:lang w:eastAsia="hr-HR"/>
              </w:rPr>
            </w:pPr>
            <w:r w:rsidRPr="00CD25DA">
              <w:rPr>
                <w:sz w:val="20"/>
                <w:szCs w:val="20"/>
              </w:rPr>
              <w:t xml:space="preserve">11.616.938 </w:t>
            </w:r>
          </w:p>
        </w:tc>
        <w:tc>
          <w:tcPr>
            <w:tcW w:w="1441" w:type="dxa"/>
            <w:tcBorders>
              <w:top w:val="nil"/>
              <w:left w:val="nil"/>
              <w:bottom w:val="single" w:sz="4" w:space="0" w:color="auto"/>
              <w:right w:val="nil"/>
            </w:tcBorders>
            <w:shd w:val="clear" w:color="auto" w:fill="auto"/>
            <w:vAlign w:val="bottom"/>
          </w:tcPr>
          <w:p w14:paraId="4F82532D" w14:textId="694C317E" w:rsidR="00C30367" w:rsidRPr="00EF5864" w:rsidRDefault="00C30367" w:rsidP="00C30367">
            <w:pPr>
              <w:spacing w:after="0" w:line="240" w:lineRule="auto"/>
              <w:jc w:val="right"/>
              <w:rPr>
                <w:rFonts w:ascii="Calibri" w:eastAsia="Times New Roman" w:hAnsi="Calibri" w:cs="Times New Roman"/>
                <w:color w:val="000000"/>
                <w:sz w:val="20"/>
                <w:szCs w:val="20"/>
                <w:lang w:eastAsia="hr-HR"/>
              </w:rPr>
            </w:pPr>
            <w:r w:rsidRPr="00EF5864">
              <w:rPr>
                <w:rFonts w:ascii="Calibri" w:eastAsia="Times New Roman" w:hAnsi="Calibri" w:cs="Times New Roman"/>
                <w:color w:val="000000"/>
                <w:sz w:val="20"/>
                <w:szCs w:val="20"/>
                <w:lang w:eastAsia="hr-HR"/>
              </w:rPr>
              <w:t>12.252.428</w:t>
            </w:r>
          </w:p>
        </w:tc>
        <w:tc>
          <w:tcPr>
            <w:tcW w:w="1296" w:type="dxa"/>
            <w:tcBorders>
              <w:top w:val="nil"/>
              <w:left w:val="nil"/>
              <w:bottom w:val="single" w:sz="4" w:space="0" w:color="auto"/>
              <w:right w:val="nil"/>
            </w:tcBorders>
            <w:shd w:val="clear" w:color="auto" w:fill="auto"/>
            <w:vAlign w:val="bottom"/>
          </w:tcPr>
          <w:p w14:paraId="55BDC70E" w14:textId="5E9ECB8F" w:rsidR="00C30367" w:rsidRPr="000E5941" w:rsidRDefault="00CD25DA" w:rsidP="00C30367">
            <w:pPr>
              <w:spacing w:after="0" w:line="240" w:lineRule="auto"/>
              <w:jc w:val="right"/>
              <w:rPr>
                <w:sz w:val="20"/>
                <w:szCs w:val="20"/>
              </w:rPr>
            </w:pPr>
            <w:r w:rsidRPr="00CD25DA">
              <w:rPr>
                <w:sz w:val="20"/>
                <w:szCs w:val="20"/>
              </w:rPr>
              <w:t xml:space="preserve">11.616.938 </w:t>
            </w:r>
          </w:p>
        </w:tc>
        <w:tc>
          <w:tcPr>
            <w:tcW w:w="1296" w:type="dxa"/>
            <w:tcBorders>
              <w:top w:val="nil"/>
              <w:left w:val="nil"/>
              <w:bottom w:val="single" w:sz="4" w:space="0" w:color="auto"/>
              <w:right w:val="nil"/>
            </w:tcBorders>
            <w:shd w:val="clear" w:color="auto" w:fill="auto"/>
            <w:vAlign w:val="bottom"/>
          </w:tcPr>
          <w:p w14:paraId="6C8A3887" w14:textId="4C2BFC17" w:rsidR="00C30367" w:rsidRPr="00EF5864" w:rsidRDefault="00C30367" w:rsidP="00C30367">
            <w:pPr>
              <w:spacing w:after="0" w:line="240" w:lineRule="auto"/>
              <w:jc w:val="right"/>
              <w:rPr>
                <w:rFonts w:ascii="Calibri" w:eastAsia="Times New Roman" w:hAnsi="Calibri" w:cs="Times New Roman"/>
                <w:color w:val="000000"/>
                <w:sz w:val="20"/>
                <w:szCs w:val="20"/>
                <w:lang w:eastAsia="hr-HR"/>
              </w:rPr>
            </w:pPr>
            <w:r w:rsidRPr="00EF5864">
              <w:rPr>
                <w:rFonts w:ascii="Calibri" w:eastAsia="Times New Roman" w:hAnsi="Calibri" w:cs="Times New Roman"/>
                <w:color w:val="000000"/>
                <w:sz w:val="20"/>
                <w:szCs w:val="20"/>
                <w:lang w:eastAsia="hr-HR"/>
              </w:rPr>
              <w:t>12.252.428</w:t>
            </w:r>
          </w:p>
        </w:tc>
      </w:tr>
      <w:tr w:rsidR="00C30367" w:rsidRPr="00EF5864" w14:paraId="50DFE89A" w14:textId="77777777" w:rsidTr="00312975">
        <w:trPr>
          <w:trHeight w:val="303"/>
        </w:trPr>
        <w:tc>
          <w:tcPr>
            <w:tcW w:w="3974" w:type="dxa"/>
            <w:vAlign w:val="center"/>
          </w:tcPr>
          <w:p w14:paraId="6F1C5CFA" w14:textId="77777777" w:rsidR="00C30367" w:rsidRPr="00EF5864" w:rsidRDefault="00C30367" w:rsidP="00C30367">
            <w:pPr>
              <w:tabs>
                <w:tab w:val="right" w:pos="1202"/>
              </w:tabs>
              <w:spacing w:after="0" w:line="280" w:lineRule="exact"/>
              <w:outlineLvl w:val="0"/>
              <w:rPr>
                <w:rFonts w:eastAsia="Times New Roman" w:cs="Arial"/>
                <w:sz w:val="20"/>
                <w:szCs w:val="20"/>
              </w:rPr>
            </w:pPr>
            <w:r w:rsidRPr="00EF5864">
              <w:rPr>
                <w:rFonts w:eastAsia="Times New Roman" w:cs="Arial"/>
                <w:sz w:val="20"/>
                <w:szCs w:val="20"/>
              </w:rPr>
              <w:t>Rezerviranja za moguće gubitke</w:t>
            </w:r>
          </w:p>
        </w:tc>
        <w:tc>
          <w:tcPr>
            <w:tcW w:w="1313" w:type="dxa"/>
            <w:tcBorders>
              <w:top w:val="nil"/>
              <w:left w:val="nil"/>
              <w:bottom w:val="nil"/>
              <w:right w:val="nil"/>
            </w:tcBorders>
            <w:shd w:val="clear" w:color="auto" w:fill="auto"/>
            <w:vAlign w:val="bottom"/>
          </w:tcPr>
          <w:p w14:paraId="2E27CA5F" w14:textId="15EC49EB" w:rsidR="00C30367" w:rsidRPr="00EF5864" w:rsidRDefault="00CD25DA" w:rsidP="00C30367">
            <w:pPr>
              <w:spacing w:after="0" w:line="240" w:lineRule="auto"/>
              <w:jc w:val="right"/>
              <w:rPr>
                <w:rFonts w:ascii="Calibri" w:eastAsia="Times New Roman" w:hAnsi="Calibri" w:cs="Times New Roman"/>
                <w:color w:val="000000"/>
                <w:sz w:val="20"/>
                <w:szCs w:val="20"/>
                <w:lang w:eastAsia="hr-HR"/>
              </w:rPr>
            </w:pPr>
            <w:r w:rsidRPr="00CD25DA">
              <w:rPr>
                <w:rFonts w:ascii="Calibri" w:eastAsia="Times New Roman" w:hAnsi="Calibri" w:cs="Times New Roman"/>
                <w:color w:val="000000"/>
                <w:sz w:val="20"/>
                <w:szCs w:val="20"/>
                <w:lang w:eastAsia="hr-HR"/>
              </w:rPr>
              <w:t>(303.436)</w:t>
            </w:r>
          </w:p>
        </w:tc>
        <w:tc>
          <w:tcPr>
            <w:tcW w:w="1441" w:type="dxa"/>
            <w:tcBorders>
              <w:top w:val="nil"/>
              <w:left w:val="nil"/>
              <w:bottom w:val="nil"/>
              <w:right w:val="nil"/>
            </w:tcBorders>
            <w:shd w:val="clear" w:color="auto" w:fill="auto"/>
            <w:vAlign w:val="bottom"/>
          </w:tcPr>
          <w:p w14:paraId="478B798D" w14:textId="343ADD86" w:rsidR="00C30367" w:rsidRPr="00EF5864" w:rsidRDefault="00C30367" w:rsidP="00C30367">
            <w:pPr>
              <w:spacing w:after="0" w:line="240" w:lineRule="auto"/>
              <w:jc w:val="right"/>
              <w:rPr>
                <w:rFonts w:ascii="Calibri" w:eastAsia="Times New Roman" w:hAnsi="Calibri" w:cs="Times New Roman"/>
                <w:color w:val="000000"/>
                <w:sz w:val="20"/>
                <w:szCs w:val="20"/>
                <w:lang w:eastAsia="hr-HR"/>
              </w:rPr>
            </w:pPr>
            <w:r w:rsidRPr="00EF5864">
              <w:rPr>
                <w:rFonts w:ascii="Calibri" w:eastAsia="Times New Roman" w:hAnsi="Calibri" w:cs="Times New Roman"/>
                <w:color w:val="000000"/>
                <w:sz w:val="20"/>
                <w:szCs w:val="20"/>
                <w:lang w:eastAsia="hr-HR"/>
              </w:rPr>
              <w:t>(363.317)</w:t>
            </w:r>
          </w:p>
        </w:tc>
        <w:tc>
          <w:tcPr>
            <w:tcW w:w="1296" w:type="dxa"/>
            <w:tcBorders>
              <w:top w:val="nil"/>
              <w:left w:val="nil"/>
              <w:bottom w:val="nil"/>
              <w:right w:val="nil"/>
            </w:tcBorders>
            <w:shd w:val="clear" w:color="auto" w:fill="auto"/>
            <w:vAlign w:val="bottom"/>
          </w:tcPr>
          <w:p w14:paraId="4CC2E44C" w14:textId="76560548" w:rsidR="00C30367" w:rsidRPr="000E5941" w:rsidRDefault="00CD25DA" w:rsidP="00C30367">
            <w:pPr>
              <w:spacing w:after="0" w:line="240" w:lineRule="auto"/>
              <w:jc w:val="right"/>
              <w:rPr>
                <w:sz w:val="20"/>
                <w:szCs w:val="20"/>
              </w:rPr>
            </w:pPr>
            <w:r w:rsidRPr="00CD25DA">
              <w:rPr>
                <w:rFonts w:ascii="Calibri" w:eastAsia="Times New Roman" w:hAnsi="Calibri" w:cs="Times New Roman"/>
                <w:color w:val="000000"/>
                <w:sz w:val="20"/>
                <w:szCs w:val="20"/>
                <w:lang w:eastAsia="hr-HR"/>
              </w:rPr>
              <w:t>(303.436)</w:t>
            </w:r>
          </w:p>
        </w:tc>
        <w:tc>
          <w:tcPr>
            <w:tcW w:w="1296" w:type="dxa"/>
            <w:tcBorders>
              <w:top w:val="nil"/>
              <w:left w:val="nil"/>
              <w:bottom w:val="nil"/>
              <w:right w:val="nil"/>
            </w:tcBorders>
            <w:shd w:val="clear" w:color="auto" w:fill="auto"/>
            <w:vAlign w:val="bottom"/>
          </w:tcPr>
          <w:p w14:paraId="6BBD1BC9" w14:textId="610A3F04" w:rsidR="00C30367" w:rsidRPr="00EF5864" w:rsidRDefault="00C30367" w:rsidP="00C30367">
            <w:pPr>
              <w:spacing w:after="0" w:line="240" w:lineRule="auto"/>
              <w:jc w:val="right"/>
              <w:rPr>
                <w:rFonts w:ascii="Calibri" w:eastAsia="Times New Roman" w:hAnsi="Calibri" w:cs="Times New Roman"/>
                <w:color w:val="000000"/>
                <w:sz w:val="20"/>
                <w:szCs w:val="20"/>
                <w:lang w:eastAsia="hr-HR"/>
              </w:rPr>
            </w:pPr>
            <w:r w:rsidRPr="00EF5864">
              <w:rPr>
                <w:rFonts w:ascii="Calibri" w:eastAsia="Times New Roman" w:hAnsi="Calibri" w:cs="Times New Roman"/>
                <w:color w:val="000000"/>
                <w:sz w:val="20"/>
                <w:szCs w:val="20"/>
                <w:lang w:eastAsia="hr-HR"/>
              </w:rPr>
              <w:t>(363.317)</w:t>
            </w:r>
          </w:p>
        </w:tc>
      </w:tr>
      <w:tr w:rsidR="00C30367" w:rsidRPr="00EF5864" w14:paraId="23C8503B" w14:textId="77777777" w:rsidTr="00312975">
        <w:trPr>
          <w:trHeight w:val="303"/>
        </w:trPr>
        <w:tc>
          <w:tcPr>
            <w:tcW w:w="3974" w:type="dxa"/>
          </w:tcPr>
          <w:p w14:paraId="38EB3C14" w14:textId="77777777" w:rsidR="00C30367" w:rsidRPr="00EF5864" w:rsidRDefault="00C30367" w:rsidP="00C30367">
            <w:pPr>
              <w:tabs>
                <w:tab w:val="left" w:pos="-720"/>
              </w:tabs>
              <w:suppressAutoHyphens/>
              <w:spacing w:after="0" w:line="240" w:lineRule="auto"/>
              <w:rPr>
                <w:rFonts w:eastAsia="Times New Roman" w:cs="Arial"/>
                <w:b/>
                <w:bCs/>
                <w:sz w:val="20"/>
                <w:szCs w:val="20"/>
              </w:rPr>
            </w:pPr>
          </w:p>
        </w:tc>
        <w:tc>
          <w:tcPr>
            <w:tcW w:w="1313" w:type="dxa"/>
            <w:tcBorders>
              <w:top w:val="single" w:sz="4" w:space="0" w:color="auto"/>
              <w:left w:val="nil"/>
              <w:bottom w:val="single" w:sz="12" w:space="0" w:color="auto"/>
              <w:right w:val="nil"/>
            </w:tcBorders>
            <w:shd w:val="clear" w:color="auto" w:fill="auto"/>
            <w:vAlign w:val="bottom"/>
          </w:tcPr>
          <w:p w14:paraId="336CA6D4" w14:textId="5D15967D" w:rsidR="00C30367" w:rsidRPr="00EF5864" w:rsidRDefault="00CD25DA" w:rsidP="00C30367">
            <w:pPr>
              <w:spacing w:after="0" w:line="240" w:lineRule="auto"/>
              <w:jc w:val="right"/>
              <w:rPr>
                <w:rFonts w:ascii="Calibri" w:eastAsia="Times New Roman" w:hAnsi="Calibri" w:cs="Times New Roman"/>
                <w:b/>
                <w:bCs/>
                <w:color w:val="000000"/>
                <w:sz w:val="20"/>
                <w:szCs w:val="20"/>
                <w:lang w:eastAsia="hr-HR"/>
              </w:rPr>
            </w:pPr>
            <w:r w:rsidRPr="00CD25DA">
              <w:rPr>
                <w:rFonts w:ascii="Calibri" w:eastAsia="Times New Roman" w:hAnsi="Calibri" w:cs="Times New Roman"/>
                <w:b/>
                <w:bCs/>
                <w:color w:val="000000"/>
                <w:sz w:val="20"/>
                <w:szCs w:val="20"/>
                <w:lang w:eastAsia="hr-HR"/>
              </w:rPr>
              <w:t xml:space="preserve">11.313.502 </w:t>
            </w:r>
          </w:p>
        </w:tc>
        <w:tc>
          <w:tcPr>
            <w:tcW w:w="1441" w:type="dxa"/>
            <w:tcBorders>
              <w:top w:val="single" w:sz="4" w:space="0" w:color="auto"/>
              <w:left w:val="nil"/>
              <w:bottom w:val="single" w:sz="12" w:space="0" w:color="auto"/>
              <w:right w:val="nil"/>
            </w:tcBorders>
            <w:shd w:val="clear" w:color="auto" w:fill="auto"/>
            <w:vAlign w:val="bottom"/>
          </w:tcPr>
          <w:p w14:paraId="6A48EB81" w14:textId="567C71B4" w:rsidR="00C30367" w:rsidRPr="00EF5864" w:rsidRDefault="00C30367" w:rsidP="00C30367">
            <w:pPr>
              <w:spacing w:after="0" w:line="240" w:lineRule="auto"/>
              <w:jc w:val="right"/>
              <w:rPr>
                <w:rFonts w:ascii="Calibri" w:eastAsia="Times New Roman" w:hAnsi="Calibri" w:cs="Times New Roman"/>
                <w:b/>
                <w:bCs/>
                <w:color w:val="000000"/>
                <w:sz w:val="20"/>
                <w:szCs w:val="20"/>
                <w:lang w:eastAsia="hr-HR"/>
              </w:rPr>
            </w:pPr>
            <w:r w:rsidRPr="00EF5864">
              <w:rPr>
                <w:rFonts w:ascii="Calibri" w:eastAsia="Times New Roman" w:hAnsi="Calibri" w:cs="Times New Roman"/>
                <w:b/>
                <w:bCs/>
                <w:color w:val="000000"/>
                <w:sz w:val="20"/>
                <w:szCs w:val="20"/>
                <w:lang w:eastAsia="hr-HR"/>
              </w:rPr>
              <w:t>11.889.111</w:t>
            </w:r>
          </w:p>
        </w:tc>
        <w:tc>
          <w:tcPr>
            <w:tcW w:w="1296" w:type="dxa"/>
            <w:tcBorders>
              <w:top w:val="single" w:sz="4" w:space="0" w:color="auto"/>
              <w:left w:val="nil"/>
              <w:bottom w:val="single" w:sz="12" w:space="0" w:color="auto"/>
              <w:right w:val="nil"/>
            </w:tcBorders>
            <w:shd w:val="clear" w:color="auto" w:fill="auto"/>
            <w:vAlign w:val="bottom"/>
          </w:tcPr>
          <w:p w14:paraId="0A7FA190" w14:textId="203B12A7" w:rsidR="00C30367" w:rsidRPr="00EF5864" w:rsidRDefault="00CD25DA" w:rsidP="00C30367">
            <w:pPr>
              <w:spacing w:after="0" w:line="240" w:lineRule="auto"/>
              <w:jc w:val="right"/>
              <w:rPr>
                <w:rFonts w:ascii="Calibri" w:eastAsia="Times New Roman" w:hAnsi="Calibri" w:cs="Times New Roman"/>
                <w:b/>
                <w:bCs/>
                <w:color w:val="000000"/>
                <w:sz w:val="20"/>
                <w:szCs w:val="20"/>
                <w:lang w:eastAsia="hr-HR"/>
              </w:rPr>
            </w:pPr>
            <w:r w:rsidRPr="00CD25DA">
              <w:rPr>
                <w:rFonts w:ascii="Calibri" w:eastAsia="Times New Roman" w:hAnsi="Calibri" w:cs="Times New Roman"/>
                <w:b/>
                <w:bCs/>
                <w:color w:val="000000"/>
                <w:sz w:val="20"/>
                <w:szCs w:val="20"/>
                <w:lang w:eastAsia="hr-HR"/>
              </w:rPr>
              <w:t xml:space="preserve">11.313.502 </w:t>
            </w:r>
          </w:p>
        </w:tc>
        <w:tc>
          <w:tcPr>
            <w:tcW w:w="1296" w:type="dxa"/>
            <w:tcBorders>
              <w:top w:val="single" w:sz="4" w:space="0" w:color="auto"/>
              <w:left w:val="nil"/>
              <w:bottom w:val="single" w:sz="12" w:space="0" w:color="auto"/>
              <w:right w:val="nil"/>
            </w:tcBorders>
            <w:shd w:val="clear" w:color="auto" w:fill="auto"/>
            <w:vAlign w:val="bottom"/>
          </w:tcPr>
          <w:p w14:paraId="5D65C1CA" w14:textId="2DBFAE90" w:rsidR="00C30367" w:rsidRPr="00EF5864" w:rsidRDefault="00C30367" w:rsidP="00C30367">
            <w:pPr>
              <w:spacing w:after="0" w:line="240" w:lineRule="auto"/>
              <w:jc w:val="right"/>
              <w:rPr>
                <w:rFonts w:ascii="Calibri" w:eastAsia="Times New Roman" w:hAnsi="Calibri" w:cs="Times New Roman"/>
                <w:b/>
                <w:bCs/>
                <w:color w:val="000000"/>
                <w:sz w:val="20"/>
                <w:szCs w:val="20"/>
                <w:lang w:eastAsia="hr-HR"/>
              </w:rPr>
            </w:pPr>
            <w:r w:rsidRPr="00EF5864">
              <w:rPr>
                <w:rFonts w:ascii="Calibri" w:eastAsia="Times New Roman" w:hAnsi="Calibri" w:cs="Times New Roman"/>
                <w:b/>
                <w:bCs/>
                <w:color w:val="000000"/>
                <w:sz w:val="20"/>
                <w:szCs w:val="20"/>
                <w:lang w:eastAsia="hr-HR"/>
              </w:rPr>
              <w:t>11.889.111</w:t>
            </w:r>
          </w:p>
        </w:tc>
      </w:tr>
    </w:tbl>
    <w:p w14:paraId="56BAA5D9" w14:textId="77777777" w:rsidR="002D2D17" w:rsidRDefault="002D2D17" w:rsidP="00861DF8">
      <w:pPr>
        <w:tabs>
          <w:tab w:val="left" w:pos="-720"/>
        </w:tabs>
        <w:spacing w:after="0" w:line="240" w:lineRule="auto"/>
        <w:jc w:val="both"/>
        <w:rPr>
          <w:rFonts w:eastAsia="Times New Roman" w:cs="Calibri"/>
          <w:sz w:val="24"/>
          <w:szCs w:val="24"/>
          <w:lang w:eastAsia="hr-HR"/>
        </w:rPr>
      </w:pPr>
    </w:p>
    <w:p w14:paraId="51795B6F" w14:textId="77777777" w:rsidR="00035A14" w:rsidRPr="00ED4731" w:rsidRDefault="008A7CD9" w:rsidP="00861DF8">
      <w:pPr>
        <w:pStyle w:val="ListParagraph"/>
        <w:tabs>
          <w:tab w:val="left" w:pos="-720"/>
          <w:tab w:val="left" w:pos="567"/>
          <w:tab w:val="left" w:pos="851"/>
        </w:tabs>
        <w:spacing w:after="0" w:line="240" w:lineRule="auto"/>
        <w:ind w:left="0"/>
        <w:rPr>
          <w:rFonts w:eastAsia="Times New Roman" w:cs="Calibri"/>
          <w:lang w:eastAsia="hr-HR"/>
        </w:rPr>
      </w:pPr>
      <w:r w:rsidRPr="00ED4731">
        <w:rPr>
          <w:rFonts w:eastAsia="Times New Roman" w:cs="Calibri"/>
          <w:lang w:eastAsia="hr-HR"/>
        </w:rPr>
        <w:t xml:space="preserve">Krediti </w:t>
      </w:r>
      <w:r w:rsidR="007B0382" w:rsidRPr="007B0382">
        <w:rPr>
          <w:rFonts w:eastAsia="Times New Roman" w:cs="Calibri"/>
          <w:lang w:eastAsia="hr-HR"/>
        </w:rPr>
        <w:t>financijskim institucijama</w:t>
      </w:r>
      <w:r w:rsidRPr="00ED4731">
        <w:rPr>
          <w:rFonts w:eastAsia="Times New Roman" w:cs="Calibri"/>
          <w:lang w:eastAsia="hr-HR"/>
        </w:rPr>
        <w:t xml:space="preserve"> prema namjeni kreditnih programa</w:t>
      </w:r>
      <w:r w:rsidR="00AE12ED">
        <w:rPr>
          <w:rFonts w:eastAsia="Times New Roman" w:cs="Calibri"/>
          <w:lang w:eastAsia="hr-HR"/>
        </w:rPr>
        <w:t>:</w:t>
      </w:r>
    </w:p>
    <w:tbl>
      <w:tblPr>
        <w:tblW w:w="5000" w:type="pct"/>
        <w:tblLayout w:type="fixed"/>
        <w:tblCellMar>
          <w:left w:w="107" w:type="dxa"/>
          <w:right w:w="107" w:type="dxa"/>
        </w:tblCellMar>
        <w:tblLook w:val="0000" w:firstRow="0" w:lastRow="0" w:firstColumn="0" w:lastColumn="0" w:noHBand="0" w:noVBand="0"/>
      </w:tblPr>
      <w:tblGrid>
        <w:gridCol w:w="3969"/>
        <w:gridCol w:w="1346"/>
        <w:gridCol w:w="1348"/>
        <w:gridCol w:w="1344"/>
        <w:gridCol w:w="1347"/>
      </w:tblGrid>
      <w:tr w:rsidR="00B35D9E" w:rsidRPr="00EF5864" w14:paraId="6F90A30D" w14:textId="77777777" w:rsidTr="0065161E">
        <w:trPr>
          <w:trHeight w:hRule="exact" w:val="321"/>
        </w:trPr>
        <w:tc>
          <w:tcPr>
            <w:tcW w:w="3969" w:type="dxa"/>
            <w:vAlign w:val="center"/>
          </w:tcPr>
          <w:p w14:paraId="37B596DA" w14:textId="77777777" w:rsidR="00B35D9E" w:rsidRPr="00EF5864" w:rsidRDefault="00B35D9E" w:rsidP="009D2ADC">
            <w:pPr>
              <w:tabs>
                <w:tab w:val="left" w:pos="-720"/>
              </w:tabs>
              <w:suppressAutoHyphens/>
              <w:spacing w:after="0" w:line="240" w:lineRule="auto"/>
              <w:ind w:firstLine="35"/>
              <w:jc w:val="right"/>
              <w:rPr>
                <w:rFonts w:eastAsia="Times New Roman" w:cs="Arial"/>
                <w:spacing w:val="-3"/>
                <w:sz w:val="20"/>
                <w:szCs w:val="20"/>
              </w:rPr>
            </w:pPr>
          </w:p>
        </w:tc>
        <w:tc>
          <w:tcPr>
            <w:tcW w:w="2694" w:type="dxa"/>
            <w:gridSpan w:val="2"/>
            <w:vAlign w:val="center"/>
          </w:tcPr>
          <w:p w14:paraId="4C6907C1" w14:textId="77777777" w:rsidR="00B35D9E" w:rsidRPr="00EF5864" w:rsidRDefault="00B35D9E" w:rsidP="002B5D43">
            <w:pPr>
              <w:tabs>
                <w:tab w:val="right" w:pos="1202"/>
              </w:tabs>
              <w:spacing w:after="0" w:line="220" w:lineRule="exact"/>
              <w:jc w:val="right"/>
              <w:outlineLvl w:val="0"/>
              <w:rPr>
                <w:rFonts w:eastAsia="Times New Roman" w:cs="Arial"/>
                <w:b/>
                <w:sz w:val="20"/>
                <w:szCs w:val="20"/>
              </w:rPr>
            </w:pPr>
            <w:r w:rsidRPr="00EF5864">
              <w:rPr>
                <w:rFonts w:eastAsia="Times New Roman" w:cs="Arial"/>
                <w:b/>
                <w:sz w:val="20"/>
                <w:szCs w:val="20"/>
              </w:rPr>
              <w:t>Grupa</w:t>
            </w:r>
          </w:p>
        </w:tc>
        <w:tc>
          <w:tcPr>
            <w:tcW w:w="2691" w:type="dxa"/>
            <w:gridSpan w:val="2"/>
            <w:vAlign w:val="center"/>
          </w:tcPr>
          <w:p w14:paraId="745B59CA" w14:textId="77777777" w:rsidR="00B35D9E" w:rsidRPr="00EF5864" w:rsidRDefault="00B35D9E" w:rsidP="002B5D43">
            <w:pPr>
              <w:tabs>
                <w:tab w:val="right" w:pos="1202"/>
              </w:tabs>
              <w:spacing w:after="0" w:line="220" w:lineRule="exact"/>
              <w:jc w:val="right"/>
              <w:outlineLvl w:val="0"/>
              <w:rPr>
                <w:rFonts w:eastAsia="Times New Roman" w:cs="Arial"/>
                <w:b/>
                <w:sz w:val="20"/>
                <w:szCs w:val="20"/>
              </w:rPr>
            </w:pPr>
            <w:r w:rsidRPr="00EF5864">
              <w:rPr>
                <w:rFonts w:eastAsia="Times New Roman" w:cs="Arial"/>
                <w:b/>
                <w:sz w:val="20"/>
                <w:szCs w:val="20"/>
              </w:rPr>
              <w:t>Banka</w:t>
            </w:r>
          </w:p>
        </w:tc>
      </w:tr>
      <w:tr w:rsidR="000C1F7F" w:rsidRPr="00EF5864" w14:paraId="4143A9B8" w14:textId="77777777" w:rsidTr="0065161E">
        <w:trPr>
          <w:trHeight w:hRule="exact" w:val="321"/>
        </w:trPr>
        <w:tc>
          <w:tcPr>
            <w:tcW w:w="3969" w:type="dxa"/>
            <w:vAlign w:val="center"/>
          </w:tcPr>
          <w:p w14:paraId="1ACC0F8E" w14:textId="77777777" w:rsidR="000C1F7F" w:rsidRPr="00EF5864" w:rsidRDefault="000C1F7F" w:rsidP="000C1F7F">
            <w:pPr>
              <w:tabs>
                <w:tab w:val="left" w:pos="-720"/>
              </w:tabs>
              <w:suppressAutoHyphens/>
              <w:spacing w:after="0" w:line="240" w:lineRule="auto"/>
              <w:ind w:firstLine="35"/>
              <w:jc w:val="right"/>
              <w:rPr>
                <w:rFonts w:eastAsia="Times New Roman" w:cs="Arial"/>
                <w:spacing w:val="-3"/>
                <w:sz w:val="20"/>
                <w:szCs w:val="20"/>
              </w:rPr>
            </w:pPr>
          </w:p>
        </w:tc>
        <w:tc>
          <w:tcPr>
            <w:tcW w:w="1346" w:type="dxa"/>
            <w:vAlign w:val="center"/>
          </w:tcPr>
          <w:p w14:paraId="217D685F" w14:textId="154750F6" w:rsidR="000C1F7F" w:rsidRPr="00EF5864" w:rsidRDefault="00C30367" w:rsidP="000C1F7F">
            <w:pPr>
              <w:tabs>
                <w:tab w:val="right" w:pos="1202"/>
              </w:tabs>
              <w:spacing w:after="0" w:line="220" w:lineRule="exact"/>
              <w:jc w:val="right"/>
              <w:outlineLvl w:val="0"/>
              <w:rPr>
                <w:rFonts w:eastAsia="Times New Roman" w:cs="Arial"/>
                <w:b/>
                <w:sz w:val="20"/>
                <w:szCs w:val="20"/>
              </w:rPr>
            </w:pPr>
            <w:r w:rsidRPr="00C30367">
              <w:rPr>
                <w:rFonts w:eastAsia="Times New Roman" w:cs="Arial"/>
                <w:b/>
                <w:sz w:val="20"/>
                <w:szCs w:val="20"/>
              </w:rPr>
              <w:t>30.6.2017</w:t>
            </w:r>
            <w:r w:rsidR="000C1F7F" w:rsidRPr="00EF5864">
              <w:rPr>
                <w:rFonts w:eastAsia="Times New Roman" w:cs="Arial"/>
                <w:b/>
                <w:sz w:val="20"/>
                <w:szCs w:val="20"/>
              </w:rPr>
              <w:t>.</w:t>
            </w:r>
          </w:p>
        </w:tc>
        <w:tc>
          <w:tcPr>
            <w:tcW w:w="1348" w:type="dxa"/>
            <w:vAlign w:val="center"/>
          </w:tcPr>
          <w:p w14:paraId="6319B750" w14:textId="2484B745" w:rsidR="000C1F7F" w:rsidRPr="00EF5864" w:rsidRDefault="000C1F7F" w:rsidP="000C1F7F">
            <w:pPr>
              <w:tabs>
                <w:tab w:val="right" w:pos="1202"/>
              </w:tabs>
              <w:spacing w:after="0" w:line="220" w:lineRule="exact"/>
              <w:jc w:val="right"/>
              <w:outlineLvl w:val="0"/>
              <w:rPr>
                <w:rFonts w:eastAsia="Times New Roman" w:cs="Arial"/>
                <w:b/>
                <w:sz w:val="20"/>
                <w:szCs w:val="20"/>
              </w:rPr>
            </w:pPr>
            <w:r w:rsidRPr="00EF5864">
              <w:rPr>
                <w:rFonts w:eastAsia="Times New Roman" w:cs="Arial"/>
                <w:b/>
                <w:sz w:val="20"/>
                <w:szCs w:val="20"/>
              </w:rPr>
              <w:t>31.12.2016.</w:t>
            </w:r>
          </w:p>
        </w:tc>
        <w:tc>
          <w:tcPr>
            <w:tcW w:w="1344" w:type="dxa"/>
            <w:vAlign w:val="center"/>
          </w:tcPr>
          <w:p w14:paraId="6C9A57BE" w14:textId="6BF99AFF" w:rsidR="000C1F7F" w:rsidRPr="00EF5864" w:rsidRDefault="00C30367" w:rsidP="000C1F7F">
            <w:pPr>
              <w:tabs>
                <w:tab w:val="right" w:pos="1202"/>
              </w:tabs>
              <w:spacing w:after="0" w:line="220" w:lineRule="exact"/>
              <w:jc w:val="right"/>
              <w:outlineLvl w:val="0"/>
              <w:rPr>
                <w:rFonts w:eastAsia="Times New Roman" w:cs="Arial"/>
                <w:b/>
                <w:sz w:val="20"/>
                <w:szCs w:val="20"/>
              </w:rPr>
            </w:pPr>
            <w:r w:rsidRPr="00C30367">
              <w:rPr>
                <w:rFonts w:eastAsia="Times New Roman" w:cs="Arial"/>
                <w:b/>
                <w:sz w:val="20"/>
                <w:szCs w:val="20"/>
              </w:rPr>
              <w:t>30.6.2017</w:t>
            </w:r>
            <w:r w:rsidR="000C1F7F" w:rsidRPr="00EF5864">
              <w:rPr>
                <w:rFonts w:eastAsia="Times New Roman" w:cs="Arial"/>
                <w:b/>
                <w:sz w:val="20"/>
                <w:szCs w:val="20"/>
              </w:rPr>
              <w:t>.</w:t>
            </w:r>
          </w:p>
        </w:tc>
        <w:tc>
          <w:tcPr>
            <w:tcW w:w="1347" w:type="dxa"/>
            <w:vAlign w:val="center"/>
          </w:tcPr>
          <w:p w14:paraId="78251280" w14:textId="0BCED4A5" w:rsidR="000C1F7F" w:rsidRPr="00EF5864" w:rsidRDefault="000C1F7F" w:rsidP="000C1F7F">
            <w:pPr>
              <w:tabs>
                <w:tab w:val="right" w:pos="1202"/>
              </w:tabs>
              <w:spacing w:after="0" w:line="220" w:lineRule="exact"/>
              <w:jc w:val="right"/>
              <w:outlineLvl w:val="0"/>
              <w:rPr>
                <w:rFonts w:eastAsia="Times New Roman" w:cs="Arial"/>
                <w:b/>
                <w:sz w:val="20"/>
                <w:szCs w:val="20"/>
              </w:rPr>
            </w:pPr>
            <w:r w:rsidRPr="00EF5864">
              <w:rPr>
                <w:rFonts w:eastAsia="Times New Roman" w:cs="Arial"/>
                <w:b/>
                <w:sz w:val="20"/>
                <w:szCs w:val="20"/>
              </w:rPr>
              <w:t>31.12.2016.</w:t>
            </w:r>
          </w:p>
        </w:tc>
      </w:tr>
      <w:tr w:rsidR="00656B5C" w:rsidRPr="00EF5864" w14:paraId="173675D7" w14:textId="77777777" w:rsidTr="00312975">
        <w:trPr>
          <w:trHeight w:hRule="exact" w:val="498"/>
        </w:trPr>
        <w:tc>
          <w:tcPr>
            <w:tcW w:w="3969" w:type="dxa"/>
            <w:vAlign w:val="bottom"/>
          </w:tcPr>
          <w:p w14:paraId="5BD2BD00" w14:textId="77777777" w:rsidR="00656B5C" w:rsidRPr="00EF5864" w:rsidRDefault="00656B5C" w:rsidP="00656B5C">
            <w:pPr>
              <w:tabs>
                <w:tab w:val="right" w:pos="1202"/>
              </w:tabs>
              <w:spacing w:after="0" w:line="240" w:lineRule="auto"/>
              <w:outlineLvl w:val="0"/>
              <w:rPr>
                <w:rFonts w:eastAsia="Times New Roman" w:cs="Arial"/>
                <w:sz w:val="20"/>
                <w:szCs w:val="20"/>
              </w:rPr>
            </w:pPr>
            <w:r w:rsidRPr="00EF5864">
              <w:rPr>
                <w:rFonts w:eastAsia="Times New Roman" w:cs="Arial"/>
                <w:sz w:val="20"/>
                <w:szCs w:val="20"/>
              </w:rPr>
              <w:t>Program kreditiranja obnove i razvitka gospodarskih djelatnosti</w:t>
            </w:r>
          </w:p>
        </w:tc>
        <w:tc>
          <w:tcPr>
            <w:tcW w:w="1346" w:type="dxa"/>
            <w:tcBorders>
              <w:top w:val="nil"/>
              <w:left w:val="nil"/>
              <w:bottom w:val="nil"/>
              <w:right w:val="nil"/>
            </w:tcBorders>
            <w:shd w:val="clear" w:color="auto" w:fill="auto"/>
            <w:vAlign w:val="bottom"/>
          </w:tcPr>
          <w:p w14:paraId="3EA99BF1" w14:textId="08470B00" w:rsidR="00656B5C" w:rsidRPr="000E5941" w:rsidRDefault="00656B5C" w:rsidP="00656B5C">
            <w:pPr>
              <w:spacing w:after="0" w:line="240" w:lineRule="auto"/>
              <w:jc w:val="right"/>
              <w:rPr>
                <w:sz w:val="20"/>
                <w:szCs w:val="20"/>
              </w:rPr>
            </w:pPr>
            <w:r w:rsidRPr="00312975">
              <w:rPr>
                <w:sz w:val="20"/>
                <w:szCs w:val="20"/>
              </w:rPr>
              <w:t xml:space="preserve"> 2.397.041 </w:t>
            </w:r>
          </w:p>
        </w:tc>
        <w:tc>
          <w:tcPr>
            <w:tcW w:w="1348" w:type="dxa"/>
            <w:tcBorders>
              <w:top w:val="nil"/>
              <w:left w:val="nil"/>
              <w:bottom w:val="nil"/>
              <w:right w:val="nil"/>
            </w:tcBorders>
            <w:shd w:val="clear" w:color="auto" w:fill="auto"/>
            <w:vAlign w:val="bottom"/>
          </w:tcPr>
          <w:p w14:paraId="0BD03875" w14:textId="1EFF4D14" w:rsidR="00656B5C" w:rsidRPr="000E5941" w:rsidRDefault="00656B5C" w:rsidP="00656B5C">
            <w:pPr>
              <w:spacing w:after="0" w:line="240" w:lineRule="auto"/>
              <w:jc w:val="right"/>
              <w:rPr>
                <w:sz w:val="20"/>
                <w:szCs w:val="20"/>
              </w:rPr>
            </w:pPr>
            <w:r w:rsidRPr="000E5941">
              <w:rPr>
                <w:sz w:val="20"/>
                <w:szCs w:val="20"/>
              </w:rPr>
              <w:t>2.775.682</w:t>
            </w:r>
          </w:p>
        </w:tc>
        <w:tc>
          <w:tcPr>
            <w:tcW w:w="1344" w:type="dxa"/>
            <w:tcBorders>
              <w:top w:val="nil"/>
              <w:left w:val="nil"/>
              <w:bottom w:val="nil"/>
              <w:right w:val="nil"/>
            </w:tcBorders>
            <w:shd w:val="clear" w:color="auto" w:fill="auto"/>
            <w:vAlign w:val="bottom"/>
          </w:tcPr>
          <w:p w14:paraId="4E12940E" w14:textId="287DB001" w:rsidR="00656B5C" w:rsidRPr="000E5941" w:rsidRDefault="00656B5C" w:rsidP="00656B5C">
            <w:pPr>
              <w:spacing w:after="0" w:line="240" w:lineRule="auto"/>
              <w:jc w:val="right"/>
              <w:rPr>
                <w:sz w:val="20"/>
                <w:szCs w:val="20"/>
              </w:rPr>
            </w:pPr>
            <w:r w:rsidRPr="00312975">
              <w:rPr>
                <w:sz w:val="20"/>
                <w:szCs w:val="20"/>
              </w:rPr>
              <w:t xml:space="preserve"> 2.397.041 </w:t>
            </w:r>
          </w:p>
        </w:tc>
        <w:tc>
          <w:tcPr>
            <w:tcW w:w="1347" w:type="dxa"/>
            <w:tcBorders>
              <w:top w:val="nil"/>
              <w:left w:val="nil"/>
              <w:bottom w:val="nil"/>
              <w:right w:val="nil"/>
            </w:tcBorders>
            <w:shd w:val="clear" w:color="auto" w:fill="auto"/>
            <w:vAlign w:val="bottom"/>
          </w:tcPr>
          <w:p w14:paraId="39C6B5BA" w14:textId="3E4B7024" w:rsidR="00656B5C" w:rsidRPr="00EF5864" w:rsidRDefault="00656B5C" w:rsidP="00656B5C">
            <w:pPr>
              <w:spacing w:after="0" w:line="240" w:lineRule="auto"/>
              <w:jc w:val="right"/>
              <w:rPr>
                <w:rFonts w:ascii="Calibri" w:eastAsia="Times New Roman" w:hAnsi="Calibri" w:cs="Times New Roman"/>
                <w:color w:val="000000"/>
                <w:sz w:val="20"/>
                <w:szCs w:val="20"/>
                <w:lang w:eastAsia="hr-HR"/>
              </w:rPr>
            </w:pPr>
            <w:r w:rsidRPr="00EF5864">
              <w:rPr>
                <w:sz w:val="20"/>
                <w:szCs w:val="20"/>
              </w:rPr>
              <w:t>2.775.682</w:t>
            </w:r>
          </w:p>
        </w:tc>
      </w:tr>
      <w:tr w:rsidR="00656B5C" w:rsidRPr="00EF5864" w14:paraId="24358314" w14:textId="77777777" w:rsidTr="00312975">
        <w:trPr>
          <w:trHeight w:hRule="exact" w:val="268"/>
        </w:trPr>
        <w:tc>
          <w:tcPr>
            <w:tcW w:w="3969" w:type="dxa"/>
            <w:vAlign w:val="bottom"/>
          </w:tcPr>
          <w:p w14:paraId="1F5387B5" w14:textId="77777777" w:rsidR="00656B5C" w:rsidRPr="00EF5864" w:rsidRDefault="00656B5C" w:rsidP="00656B5C">
            <w:pPr>
              <w:tabs>
                <w:tab w:val="right" w:pos="1202"/>
              </w:tabs>
              <w:spacing w:after="0" w:line="240" w:lineRule="auto"/>
              <w:outlineLvl w:val="0"/>
              <w:rPr>
                <w:rFonts w:eastAsia="Times New Roman" w:cs="Arial"/>
                <w:sz w:val="20"/>
                <w:szCs w:val="20"/>
              </w:rPr>
            </w:pPr>
            <w:r w:rsidRPr="00EF5864">
              <w:rPr>
                <w:rFonts w:eastAsia="Times New Roman" w:cs="Arial"/>
                <w:sz w:val="20"/>
                <w:szCs w:val="20"/>
              </w:rPr>
              <w:t>Financiranje izvoza</w:t>
            </w:r>
          </w:p>
        </w:tc>
        <w:tc>
          <w:tcPr>
            <w:tcW w:w="1346" w:type="dxa"/>
            <w:tcBorders>
              <w:top w:val="nil"/>
              <w:left w:val="nil"/>
              <w:bottom w:val="nil"/>
              <w:right w:val="nil"/>
            </w:tcBorders>
            <w:shd w:val="clear" w:color="auto" w:fill="auto"/>
            <w:vAlign w:val="bottom"/>
          </w:tcPr>
          <w:p w14:paraId="6289F2FC" w14:textId="78D5E842" w:rsidR="00656B5C" w:rsidRPr="000E5941" w:rsidRDefault="00656B5C" w:rsidP="00656B5C">
            <w:pPr>
              <w:spacing w:after="0" w:line="240" w:lineRule="auto"/>
              <w:jc w:val="right"/>
              <w:rPr>
                <w:sz w:val="20"/>
                <w:szCs w:val="20"/>
              </w:rPr>
            </w:pPr>
            <w:r w:rsidRPr="00312975">
              <w:rPr>
                <w:sz w:val="20"/>
                <w:szCs w:val="20"/>
              </w:rPr>
              <w:t xml:space="preserve"> 3.220.137 </w:t>
            </w:r>
          </w:p>
        </w:tc>
        <w:tc>
          <w:tcPr>
            <w:tcW w:w="1348" w:type="dxa"/>
            <w:tcBorders>
              <w:top w:val="nil"/>
              <w:left w:val="nil"/>
              <w:bottom w:val="nil"/>
              <w:right w:val="nil"/>
            </w:tcBorders>
            <w:shd w:val="clear" w:color="auto" w:fill="auto"/>
            <w:vAlign w:val="bottom"/>
          </w:tcPr>
          <w:p w14:paraId="613B8B48" w14:textId="433CBF99" w:rsidR="00656B5C" w:rsidRPr="000E5941" w:rsidRDefault="00656B5C" w:rsidP="00656B5C">
            <w:pPr>
              <w:spacing w:after="0" w:line="240" w:lineRule="auto"/>
              <w:jc w:val="right"/>
              <w:rPr>
                <w:sz w:val="20"/>
                <w:szCs w:val="20"/>
              </w:rPr>
            </w:pPr>
            <w:r w:rsidRPr="000E5941">
              <w:rPr>
                <w:sz w:val="20"/>
                <w:szCs w:val="20"/>
              </w:rPr>
              <w:t>3.466.148</w:t>
            </w:r>
          </w:p>
        </w:tc>
        <w:tc>
          <w:tcPr>
            <w:tcW w:w="1344" w:type="dxa"/>
            <w:tcBorders>
              <w:top w:val="nil"/>
              <w:left w:val="nil"/>
              <w:bottom w:val="nil"/>
              <w:right w:val="nil"/>
            </w:tcBorders>
            <w:shd w:val="clear" w:color="auto" w:fill="auto"/>
            <w:vAlign w:val="bottom"/>
          </w:tcPr>
          <w:p w14:paraId="445B2BE9" w14:textId="413C1A45" w:rsidR="00656B5C" w:rsidRPr="000E5941" w:rsidRDefault="00656B5C" w:rsidP="00656B5C">
            <w:pPr>
              <w:spacing w:after="0" w:line="240" w:lineRule="auto"/>
              <w:jc w:val="right"/>
              <w:rPr>
                <w:sz w:val="20"/>
                <w:szCs w:val="20"/>
              </w:rPr>
            </w:pPr>
            <w:r w:rsidRPr="00312975">
              <w:rPr>
                <w:sz w:val="20"/>
                <w:szCs w:val="20"/>
              </w:rPr>
              <w:t xml:space="preserve"> 3.220.137 </w:t>
            </w:r>
          </w:p>
        </w:tc>
        <w:tc>
          <w:tcPr>
            <w:tcW w:w="1347" w:type="dxa"/>
            <w:tcBorders>
              <w:top w:val="nil"/>
              <w:left w:val="nil"/>
              <w:bottom w:val="nil"/>
              <w:right w:val="nil"/>
            </w:tcBorders>
            <w:shd w:val="clear" w:color="auto" w:fill="auto"/>
            <w:vAlign w:val="bottom"/>
          </w:tcPr>
          <w:p w14:paraId="78B072EA" w14:textId="6F19EED7" w:rsidR="00656B5C" w:rsidRPr="00EF5864" w:rsidRDefault="00656B5C" w:rsidP="00656B5C">
            <w:pPr>
              <w:spacing w:after="0" w:line="240" w:lineRule="auto"/>
              <w:jc w:val="right"/>
              <w:rPr>
                <w:rFonts w:ascii="Calibri" w:eastAsia="Times New Roman" w:hAnsi="Calibri" w:cs="Times New Roman"/>
                <w:color w:val="000000"/>
                <w:sz w:val="20"/>
                <w:szCs w:val="20"/>
                <w:lang w:eastAsia="hr-HR"/>
              </w:rPr>
            </w:pPr>
            <w:r w:rsidRPr="00EF5864">
              <w:rPr>
                <w:sz w:val="20"/>
                <w:szCs w:val="20"/>
              </w:rPr>
              <w:t>3.466.148</w:t>
            </w:r>
          </w:p>
        </w:tc>
      </w:tr>
      <w:tr w:rsidR="00656B5C" w:rsidRPr="00EF5864" w14:paraId="1DFF2AA1" w14:textId="77777777" w:rsidTr="00312975">
        <w:trPr>
          <w:trHeight w:hRule="exact" w:val="483"/>
        </w:trPr>
        <w:tc>
          <w:tcPr>
            <w:tcW w:w="3969" w:type="dxa"/>
            <w:vAlign w:val="bottom"/>
          </w:tcPr>
          <w:p w14:paraId="33F26AB6" w14:textId="77777777" w:rsidR="00656B5C" w:rsidRPr="00EF5864" w:rsidRDefault="00656B5C" w:rsidP="00656B5C">
            <w:pPr>
              <w:tabs>
                <w:tab w:val="right" w:pos="1202"/>
              </w:tabs>
              <w:spacing w:after="0" w:line="240" w:lineRule="auto"/>
              <w:outlineLvl w:val="0"/>
              <w:rPr>
                <w:rFonts w:eastAsia="Times New Roman" w:cs="Arial"/>
                <w:sz w:val="20"/>
                <w:szCs w:val="20"/>
              </w:rPr>
            </w:pPr>
            <w:r w:rsidRPr="00EF5864">
              <w:rPr>
                <w:rFonts w:eastAsia="Times New Roman" w:cs="Arial"/>
                <w:sz w:val="20"/>
                <w:szCs w:val="20"/>
              </w:rPr>
              <w:t>Program obnove i razvitka infrastrukture u Republici Hrvatskoj</w:t>
            </w:r>
          </w:p>
        </w:tc>
        <w:tc>
          <w:tcPr>
            <w:tcW w:w="1346" w:type="dxa"/>
            <w:tcBorders>
              <w:top w:val="nil"/>
              <w:left w:val="nil"/>
              <w:bottom w:val="nil"/>
              <w:right w:val="nil"/>
            </w:tcBorders>
            <w:shd w:val="clear" w:color="auto" w:fill="auto"/>
            <w:vAlign w:val="bottom"/>
          </w:tcPr>
          <w:p w14:paraId="75F496CA" w14:textId="39C8B14B" w:rsidR="00656B5C" w:rsidRPr="000E5941" w:rsidRDefault="00656B5C" w:rsidP="00656B5C">
            <w:pPr>
              <w:spacing w:after="0" w:line="240" w:lineRule="auto"/>
              <w:jc w:val="right"/>
              <w:rPr>
                <w:sz w:val="20"/>
                <w:szCs w:val="20"/>
              </w:rPr>
            </w:pPr>
            <w:r w:rsidRPr="00312975">
              <w:rPr>
                <w:sz w:val="20"/>
                <w:szCs w:val="20"/>
              </w:rPr>
              <w:t xml:space="preserve"> 1.589.774 </w:t>
            </w:r>
          </w:p>
        </w:tc>
        <w:tc>
          <w:tcPr>
            <w:tcW w:w="1348" w:type="dxa"/>
            <w:tcBorders>
              <w:top w:val="nil"/>
              <w:left w:val="nil"/>
              <w:bottom w:val="nil"/>
              <w:right w:val="nil"/>
            </w:tcBorders>
            <w:shd w:val="clear" w:color="auto" w:fill="auto"/>
            <w:vAlign w:val="bottom"/>
          </w:tcPr>
          <w:p w14:paraId="4349B8F2" w14:textId="0C8F276D" w:rsidR="00656B5C" w:rsidRPr="000E5941" w:rsidRDefault="00656B5C" w:rsidP="00656B5C">
            <w:pPr>
              <w:spacing w:after="0" w:line="240" w:lineRule="auto"/>
              <w:jc w:val="right"/>
              <w:rPr>
                <w:sz w:val="20"/>
                <w:szCs w:val="20"/>
              </w:rPr>
            </w:pPr>
            <w:r w:rsidRPr="000E5941">
              <w:rPr>
                <w:sz w:val="20"/>
                <w:szCs w:val="20"/>
              </w:rPr>
              <w:t>1.602.331</w:t>
            </w:r>
          </w:p>
        </w:tc>
        <w:tc>
          <w:tcPr>
            <w:tcW w:w="1344" w:type="dxa"/>
            <w:tcBorders>
              <w:top w:val="nil"/>
              <w:left w:val="nil"/>
              <w:bottom w:val="nil"/>
              <w:right w:val="nil"/>
            </w:tcBorders>
            <w:shd w:val="clear" w:color="auto" w:fill="auto"/>
            <w:vAlign w:val="bottom"/>
          </w:tcPr>
          <w:p w14:paraId="7E48F59A" w14:textId="6346571F" w:rsidR="00656B5C" w:rsidRPr="000E5941" w:rsidRDefault="00656B5C" w:rsidP="00656B5C">
            <w:pPr>
              <w:spacing w:after="0" w:line="240" w:lineRule="auto"/>
              <w:jc w:val="right"/>
              <w:rPr>
                <w:sz w:val="20"/>
                <w:szCs w:val="20"/>
              </w:rPr>
            </w:pPr>
            <w:r w:rsidRPr="00312975">
              <w:rPr>
                <w:sz w:val="20"/>
                <w:szCs w:val="20"/>
              </w:rPr>
              <w:t xml:space="preserve"> 1.589.774 </w:t>
            </w:r>
          </w:p>
        </w:tc>
        <w:tc>
          <w:tcPr>
            <w:tcW w:w="1347" w:type="dxa"/>
            <w:tcBorders>
              <w:top w:val="nil"/>
              <w:left w:val="nil"/>
              <w:bottom w:val="nil"/>
              <w:right w:val="nil"/>
            </w:tcBorders>
            <w:shd w:val="clear" w:color="auto" w:fill="auto"/>
            <w:vAlign w:val="bottom"/>
          </w:tcPr>
          <w:p w14:paraId="31F6F461" w14:textId="77777777" w:rsidR="00656B5C" w:rsidRDefault="00656B5C" w:rsidP="00656B5C">
            <w:pPr>
              <w:spacing w:after="0" w:line="240" w:lineRule="auto"/>
              <w:jc w:val="right"/>
              <w:rPr>
                <w:sz w:val="20"/>
                <w:szCs w:val="20"/>
              </w:rPr>
            </w:pPr>
          </w:p>
          <w:p w14:paraId="5002FF0B" w14:textId="50EC9F2C" w:rsidR="00656B5C" w:rsidRPr="00EF5864" w:rsidRDefault="00656B5C" w:rsidP="00656B5C">
            <w:pPr>
              <w:spacing w:after="0" w:line="240" w:lineRule="auto"/>
              <w:jc w:val="right"/>
              <w:rPr>
                <w:rFonts w:ascii="Calibri" w:eastAsia="Times New Roman" w:hAnsi="Calibri" w:cs="Times New Roman"/>
                <w:color w:val="000000"/>
                <w:sz w:val="20"/>
                <w:szCs w:val="20"/>
                <w:lang w:eastAsia="hr-HR"/>
              </w:rPr>
            </w:pPr>
            <w:r w:rsidRPr="00EF5864">
              <w:rPr>
                <w:sz w:val="20"/>
                <w:szCs w:val="20"/>
              </w:rPr>
              <w:t>1.602.331</w:t>
            </w:r>
          </w:p>
        </w:tc>
      </w:tr>
      <w:tr w:rsidR="00656B5C" w:rsidRPr="00EF5864" w14:paraId="07A75F36" w14:textId="77777777" w:rsidTr="00312975">
        <w:trPr>
          <w:trHeight w:hRule="exact" w:val="542"/>
        </w:trPr>
        <w:tc>
          <w:tcPr>
            <w:tcW w:w="3969" w:type="dxa"/>
            <w:vAlign w:val="bottom"/>
          </w:tcPr>
          <w:p w14:paraId="61132FF6" w14:textId="77777777" w:rsidR="00656B5C" w:rsidRPr="00EF5864" w:rsidRDefault="00656B5C" w:rsidP="00656B5C">
            <w:pPr>
              <w:tabs>
                <w:tab w:val="right" w:pos="1202"/>
              </w:tabs>
              <w:spacing w:after="0" w:line="240" w:lineRule="auto"/>
              <w:outlineLvl w:val="0"/>
              <w:rPr>
                <w:rFonts w:eastAsia="Times New Roman" w:cs="Arial"/>
                <w:sz w:val="20"/>
                <w:szCs w:val="20"/>
              </w:rPr>
            </w:pPr>
            <w:r w:rsidRPr="00EF5864">
              <w:rPr>
                <w:rFonts w:eastAsia="Times New Roman" w:cs="Arial"/>
                <w:sz w:val="20"/>
                <w:szCs w:val="20"/>
              </w:rPr>
              <w:t>Program kreditiranja malog i srednjeg poduzetništva</w:t>
            </w:r>
          </w:p>
        </w:tc>
        <w:tc>
          <w:tcPr>
            <w:tcW w:w="1346" w:type="dxa"/>
            <w:tcBorders>
              <w:top w:val="nil"/>
              <w:left w:val="nil"/>
              <w:bottom w:val="nil"/>
              <w:right w:val="nil"/>
            </w:tcBorders>
            <w:shd w:val="clear" w:color="auto" w:fill="auto"/>
            <w:vAlign w:val="bottom"/>
          </w:tcPr>
          <w:p w14:paraId="3823E987" w14:textId="1C89280A" w:rsidR="00656B5C" w:rsidRPr="000E5941" w:rsidRDefault="00656B5C" w:rsidP="00656B5C">
            <w:pPr>
              <w:spacing w:after="0" w:line="240" w:lineRule="auto"/>
              <w:jc w:val="right"/>
              <w:rPr>
                <w:sz w:val="20"/>
                <w:szCs w:val="20"/>
              </w:rPr>
            </w:pPr>
            <w:r w:rsidRPr="00312975">
              <w:rPr>
                <w:sz w:val="20"/>
                <w:szCs w:val="20"/>
              </w:rPr>
              <w:t xml:space="preserve"> 4.124.529 </w:t>
            </w:r>
          </w:p>
        </w:tc>
        <w:tc>
          <w:tcPr>
            <w:tcW w:w="1348" w:type="dxa"/>
            <w:tcBorders>
              <w:top w:val="nil"/>
              <w:left w:val="nil"/>
              <w:bottom w:val="nil"/>
              <w:right w:val="nil"/>
            </w:tcBorders>
            <w:shd w:val="clear" w:color="auto" w:fill="auto"/>
            <w:vAlign w:val="bottom"/>
          </w:tcPr>
          <w:p w14:paraId="54C2AEDE" w14:textId="6AE84814" w:rsidR="00656B5C" w:rsidRPr="000E5941" w:rsidRDefault="00656B5C" w:rsidP="00656B5C">
            <w:pPr>
              <w:spacing w:after="0" w:line="240" w:lineRule="auto"/>
              <w:jc w:val="right"/>
              <w:rPr>
                <w:sz w:val="20"/>
                <w:szCs w:val="20"/>
              </w:rPr>
            </w:pPr>
            <w:r w:rsidRPr="000E5941">
              <w:rPr>
                <w:sz w:val="20"/>
                <w:szCs w:val="20"/>
              </w:rPr>
              <w:t>4.064.711</w:t>
            </w:r>
          </w:p>
        </w:tc>
        <w:tc>
          <w:tcPr>
            <w:tcW w:w="1344" w:type="dxa"/>
            <w:tcBorders>
              <w:top w:val="nil"/>
              <w:left w:val="nil"/>
              <w:bottom w:val="nil"/>
              <w:right w:val="nil"/>
            </w:tcBorders>
            <w:shd w:val="clear" w:color="auto" w:fill="auto"/>
            <w:vAlign w:val="bottom"/>
          </w:tcPr>
          <w:p w14:paraId="4BBB57C9" w14:textId="54D1D110" w:rsidR="00656B5C" w:rsidRPr="000E5941" w:rsidRDefault="00656B5C" w:rsidP="00656B5C">
            <w:pPr>
              <w:spacing w:after="0" w:line="240" w:lineRule="auto"/>
              <w:jc w:val="right"/>
              <w:rPr>
                <w:sz w:val="20"/>
                <w:szCs w:val="20"/>
              </w:rPr>
            </w:pPr>
            <w:r w:rsidRPr="00312975">
              <w:rPr>
                <w:sz w:val="20"/>
                <w:szCs w:val="20"/>
              </w:rPr>
              <w:t xml:space="preserve"> 4.124.529 </w:t>
            </w:r>
          </w:p>
        </w:tc>
        <w:tc>
          <w:tcPr>
            <w:tcW w:w="1347" w:type="dxa"/>
            <w:tcBorders>
              <w:top w:val="nil"/>
              <w:left w:val="nil"/>
              <w:bottom w:val="nil"/>
              <w:right w:val="nil"/>
            </w:tcBorders>
            <w:shd w:val="clear" w:color="auto" w:fill="auto"/>
            <w:vAlign w:val="bottom"/>
          </w:tcPr>
          <w:p w14:paraId="1712CA5E" w14:textId="77777777" w:rsidR="00656B5C" w:rsidRDefault="00656B5C" w:rsidP="00656B5C">
            <w:pPr>
              <w:spacing w:after="0" w:line="240" w:lineRule="auto"/>
              <w:jc w:val="right"/>
              <w:rPr>
                <w:sz w:val="20"/>
                <w:szCs w:val="20"/>
              </w:rPr>
            </w:pPr>
          </w:p>
          <w:p w14:paraId="6D238B64" w14:textId="20A33892" w:rsidR="00656B5C" w:rsidRPr="00EF5864" w:rsidRDefault="00656B5C" w:rsidP="00656B5C">
            <w:pPr>
              <w:spacing w:after="0" w:line="240" w:lineRule="auto"/>
              <w:jc w:val="right"/>
              <w:rPr>
                <w:rFonts w:ascii="Calibri" w:eastAsia="Times New Roman" w:hAnsi="Calibri" w:cs="Times New Roman"/>
                <w:color w:val="000000"/>
                <w:sz w:val="20"/>
                <w:szCs w:val="20"/>
                <w:lang w:eastAsia="hr-HR"/>
              </w:rPr>
            </w:pPr>
            <w:r w:rsidRPr="00EF5864">
              <w:rPr>
                <w:sz w:val="20"/>
                <w:szCs w:val="20"/>
              </w:rPr>
              <w:t>4.064.711</w:t>
            </w:r>
          </w:p>
        </w:tc>
      </w:tr>
      <w:tr w:rsidR="00656B5C" w:rsidRPr="00EF5864" w14:paraId="073D8B18" w14:textId="77777777" w:rsidTr="00312975">
        <w:trPr>
          <w:trHeight w:hRule="exact" w:val="514"/>
        </w:trPr>
        <w:tc>
          <w:tcPr>
            <w:tcW w:w="3969" w:type="dxa"/>
            <w:vAlign w:val="bottom"/>
          </w:tcPr>
          <w:p w14:paraId="3AFC530A" w14:textId="77777777" w:rsidR="00656B5C" w:rsidRPr="00EF5864" w:rsidRDefault="00656B5C" w:rsidP="00656B5C">
            <w:pPr>
              <w:tabs>
                <w:tab w:val="right" w:pos="1202"/>
              </w:tabs>
              <w:spacing w:after="0" w:line="240" w:lineRule="auto"/>
              <w:outlineLvl w:val="0"/>
              <w:rPr>
                <w:rFonts w:eastAsia="Times New Roman" w:cs="Arial"/>
                <w:sz w:val="20"/>
                <w:szCs w:val="20"/>
              </w:rPr>
            </w:pPr>
            <w:r w:rsidRPr="00EF5864">
              <w:rPr>
                <w:rFonts w:eastAsia="Times New Roman" w:cs="Arial"/>
                <w:sz w:val="20"/>
                <w:szCs w:val="20"/>
              </w:rPr>
              <w:t>Program kreditiranja ratom oštećenih i razrušenih stambenih i gospodarskih objekata</w:t>
            </w:r>
          </w:p>
        </w:tc>
        <w:tc>
          <w:tcPr>
            <w:tcW w:w="1346" w:type="dxa"/>
            <w:tcBorders>
              <w:top w:val="nil"/>
              <w:left w:val="nil"/>
              <w:bottom w:val="nil"/>
              <w:right w:val="nil"/>
            </w:tcBorders>
            <w:shd w:val="clear" w:color="auto" w:fill="auto"/>
            <w:vAlign w:val="bottom"/>
          </w:tcPr>
          <w:p w14:paraId="7D0A77DA" w14:textId="104E2CF4" w:rsidR="00656B5C" w:rsidRPr="000E5941" w:rsidRDefault="00656B5C" w:rsidP="00656B5C">
            <w:pPr>
              <w:spacing w:after="0" w:line="240" w:lineRule="auto"/>
              <w:jc w:val="right"/>
              <w:rPr>
                <w:sz w:val="20"/>
                <w:szCs w:val="20"/>
              </w:rPr>
            </w:pPr>
            <w:r w:rsidRPr="00312975">
              <w:rPr>
                <w:sz w:val="20"/>
                <w:szCs w:val="20"/>
              </w:rPr>
              <w:t xml:space="preserve"> 8.942 </w:t>
            </w:r>
          </w:p>
        </w:tc>
        <w:tc>
          <w:tcPr>
            <w:tcW w:w="1348" w:type="dxa"/>
            <w:tcBorders>
              <w:top w:val="nil"/>
              <w:left w:val="nil"/>
              <w:bottom w:val="nil"/>
              <w:right w:val="nil"/>
            </w:tcBorders>
            <w:shd w:val="clear" w:color="auto" w:fill="auto"/>
            <w:vAlign w:val="bottom"/>
          </w:tcPr>
          <w:p w14:paraId="15A4E281" w14:textId="6C220C0B" w:rsidR="00656B5C" w:rsidRPr="000E5941" w:rsidRDefault="00656B5C" w:rsidP="00656B5C">
            <w:pPr>
              <w:spacing w:after="0" w:line="240" w:lineRule="auto"/>
              <w:jc w:val="right"/>
              <w:rPr>
                <w:sz w:val="20"/>
                <w:szCs w:val="20"/>
              </w:rPr>
            </w:pPr>
            <w:r w:rsidRPr="000E5941">
              <w:rPr>
                <w:sz w:val="20"/>
                <w:szCs w:val="20"/>
              </w:rPr>
              <w:t>10.075</w:t>
            </w:r>
          </w:p>
        </w:tc>
        <w:tc>
          <w:tcPr>
            <w:tcW w:w="1344" w:type="dxa"/>
            <w:tcBorders>
              <w:top w:val="nil"/>
              <w:left w:val="nil"/>
              <w:bottom w:val="nil"/>
              <w:right w:val="nil"/>
            </w:tcBorders>
            <w:shd w:val="clear" w:color="auto" w:fill="auto"/>
            <w:vAlign w:val="bottom"/>
          </w:tcPr>
          <w:p w14:paraId="71922F86" w14:textId="221F53D3" w:rsidR="00656B5C" w:rsidRPr="000E5941" w:rsidRDefault="00656B5C" w:rsidP="00656B5C">
            <w:pPr>
              <w:spacing w:after="0" w:line="240" w:lineRule="auto"/>
              <w:jc w:val="right"/>
              <w:rPr>
                <w:sz w:val="20"/>
                <w:szCs w:val="20"/>
              </w:rPr>
            </w:pPr>
            <w:r w:rsidRPr="00312975">
              <w:rPr>
                <w:sz w:val="20"/>
                <w:szCs w:val="20"/>
              </w:rPr>
              <w:t xml:space="preserve"> 8.942 </w:t>
            </w:r>
          </w:p>
        </w:tc>
        <w:tc>
          <w:tcPr>
            <w:tcW w:w="1347" w:type="dxa"/>
            <w:tcBorders>
              <w:top w:val="nil"/>
              <w:left w:val="nil"/>
              <w:bottom w:val="nil"/>
              <w:right w:val="nil"/>
            </w:tcBorders>
            <w:shd w:val="clear" w:color="auto" w:fill="auto"/>
            <w:vAlign w:val="bottom"/>
          </w:tcPr>
          <w:p w14:paraId="46EA4374" w14:textId="77777777" w:rsidR="00656B5C" w:rsidRDefault="00656B5C" w:rsidP="00656B5C">
            <w:pPr>
              <w:spacing w:after="0" w:line="240" w:lineRule="auto"/>
              <w:jc w:val="right"/>
              <w:rPr>
                <w:sz w:val="20"/>
                <w:szCs w:val="20"/>
              </w:rPr>
            </w:pPr>
          </w:p>
          <w:p w14:paraId="10361E85" w14:textId="30BE0DDC" w:rsidR="00656B5C" w:rsidRPr="00EF5864" w:rsidRDefault="00656B5C" w:rsidP="00656B5C">
            <w:pPr>
              <w:spacing w:after="0" w:line="240" w:lineRule="auto"/>
              <w:jc w:val="right"/>
              <w:rPr>
                <w:rFonts w:ascii="Calibri" w:eastAsia="Times New Roman" w:hAnsi="Calibri" w:cs="Times New Roman"/>
                <w:color w:val="000000"/>
                <w:sz w:val="20"/>
                <w:szCs w:val="20"/>
                <w:lang w:eastAsia="hr-HR"/>
              </w:rPr>
            </w:pPr>
            <w:r w:rsidRPr="00EF5864">
              <w:rPr>
                <w:sz w:val="20"/>
                <w:szCs w:val="20"/>
              </w:rPr>
              <w:t>10.075</w:t>
            </w:r>
          </w:p>
        </w:tc>
      </w:tr>
      <w:tr w:rsidR="00656B5C" w:rsidRPr="00EF5864" w14:paraId="573241DD" w14:textId="77777777" w:rsidTr="00312975">
        <w:trPr>
          <w:trHeight w:hRule="exact" w:val="268"/>
        </w:trPr>
        <w:tc>
          <w:tcPr>
            <w:tcW w:w="3969" w:type="dxa"/>
            <w:vAlign w:val="bottom"/>
          </w:tcPr>
          <w:p w14:paraId="5F0DC2BA" w14:textId="77777777" w:rsidR="00656B5C" w:rsidRPr="00EF5864" w:rsidRDefault="00656B5C" w:rsidP="00656B5C">
            <w:pPr>
              <w:tabs>
                <w:tab w:val="right" w:pos="1202"/>
              </w:tabs>
              <w:spacing w:after="0" w:line="240" w:lineRule="auto"/>
              <w:outlineLvl w:val="0"/>
              <w:rPr>
                <w:rFonts w:eastAsia="Times New Roman" w:cs="Arial"/>
                <w:sz w:val="20"/>
                <w:szCs w:val="20"/>
              </w:rPr>
            </w:pPr>
            <w:r w:rsidRPr="00EF5864">
              <w:rPr>
                <w:rFonts w:eastAsia="Times New Roman" w:cs="Arial"/>
                <w:sz w:val="20"/>
                <w:szCs w:val="20"/>
              </w:rPr>
              <w:t>Ostalo</w:t>
            </w:r>
          </w:p>
        </w:tc>
        <w:tc>
          <w:tcPr>
            <w:tcW w:w="1346" w:type="dxa"/>
            <w:tcBorders>
              <w:top w:val="nil"/>
              <w:left w:val="nil"/>
              <w:bottom w:val="nil"/>
              <w:right w:val="nil"/>
            </w:tcBorders>
            <w:shd w:val="clear" w:color="auto" w:fill="auto"/>
            <w:vAlign w:val="bottom"/>
          </w:tcPr>
          <w:p w14:paraId="2DF43D73" w14:textId="26DF8E8F" w:rsidR="00656B5C" w:rsidRPr="000E5941" w:rsidRDefault="00656B5C" w:rsidP="00656B5C">
            <w:pPr>
              <w:spacing w:after="0" w:line="240" w:lineRule="auto"/>
              <w:jc w:val="right"/>
              <w:rPr>
                <w:sz w:val="20"/>
                <w:szCs w:val="20"/>
              </w:rPr>
            </w:pPr>
            <w:r w:rsidRPr="00312975">
              <w:rPr>
                <w:sz w:val="20"/>
                <w:szCs w:val="20"/>
              </w:rPr>
              <w:t xml:space="preserve"> 324.789 </w:t>
            </w:r>
          </w:p>
        </w:tc>
        <w:tc>
          <w:tcPr>
            <w:tcW w:w="1348" w:type="dxa"/>
            <w:tcBorders>
              <w:top w:val="nil"/>
              <w:left w:val="nil"/>
              <w:bottom w:val="nil"/>
              <w:right w:val="nil"/>
            </w:tcBorders>
            <w:shd w:val="clear" w:color="auto" w:fill="auto"/>
            <w:vAlign w:val="bottom"/>
          </w:tcPr>
          <w:p w14:paraId="0DE6437D" w14:textId="7134E7AC" w:rsidR="00656B5C" w:rsidRPr="000E5941" w:rsidRDefault="00656B5C" w:rsidP="00656B5C">
            <w:pPr>
              <w:spacing w:after="0" w:line="240" w:lineRule="auto"/>
              <w:jc w:val="right"/>
              <w:rPr>
                <w:sz w:val="20"/>
                <w:szCs w:val="20"/>
              </w:rPr>
            </w:pPr>
            <w:r w:rsidRPr="000E5941">
              <w:rPr>
                <w:sz w:val="20"/>
                <w:szCs w:val="20"/>
              </w:rPr>
              <w:t>362.489</w:t>
            </w:r>
          </w:p>
        </w:tc>
        <w:tc>
          <w:tcPr>
            <w:tcW w:w="1344" w:type="dxa"/>
            <w:tcBorders>
              <w:top w:val="nil"/>
              <w:left w:val="nil"/>
              <w:bottom w:val="nil"/>
              <w:right w:val="nil"/>
            </w:tcBorders>
            <w:shd w:val="clear" w:color="auto" w:fill="auto"/>
            <w:vAlign w:val="bottom"/>
          </w:tcPr>
          <w:p w14:paraId="55B7DCAA" w14:textId="696CD3AC" w:rsidR="00656B5C" w:rsidRPr="000E5941" w:rsidRDefault="00656B5C" w:rsidP="00656B5C">
            <w:pPr>
              <w:spacing w:after="0" w:line="240" w:lineRule="auto"/>
              <w:jc w:val="right"/>
              <w:rPr>
                <w:sz w:val="20"/>
                <w:szCs w:val="20"/>
              </w:rPr>
            </w:pPr>
            <w:r w:rsidRPr="00312975">
              <w:rPr>
                <w:sz w:val="20"/>
                <w:szCs w:val="20"/>
              </w:rPr>
              <w:t xml:space="preserve"> 324.789 </w:t>
            </w:r>
          </w:p>
        </w:tc>
        <w:tc>
          <w:tcPr>
            <w:tcW w:w="1347" w:type="dxa"/>
            <w:tcBorders>
              <w:top w:val="nil"/>
              <w:left w:val="nil"/>
              <w:bottom w:val="nil"/>
              <w:right w:val="nil"/>
            </w:tcBorders>
            <w:shd w:val="clear" w:color="auto" w:fill="auto"/>
            <w:vAlign w:val="bottom"/>
          </w:tcPr>
          <w:p w14:paraId="09993FD3" w14:textId="06267C14" w:rsidR="00656B5C" w:rsidRPr="00A67D80" w:rsidRDefault="00656B5C" w:rsidP="00656B5C">
            <w:pPr>
              <w:spacing w:after="0" w:line="240" w:lineRule="auto"/>
              <w:jc w:val="right"/>
              <w:rPr>
                <w:sz w:val="20"/>
                <w:szCs w:val="20"/>
              </w:rPr>
            </w:pPr>
            <w:r w:rsidRPr="00EF5864">
              <w:rPr>
                <w:sz w:val="20"/>
                <w:szCs w:val="20"/>
              </w:rPr>
              <w:t>362.489</w:t>
            </w:r>
          </w:p>
        </w:tc>
      </w:tr>
      <w:tr w:rsidR="00656B5C" w:rsidRPr="00EF5864" w14:paraId="1CD1A2BA" w14:textId="77777777" w:rsidTr="00312975">
        <w:trPr>
          <w:trHeight w:hRule="exact" w:val="268"/>
        </w:trPr>
        <w:tc>
          <w:tcPr>
            <w:tcW w:w="3969" w:type="dxa"/>
            <w:vAlign w:val="bottom"/>
          </w:tcPr>
          <w:p w14:paraId="3E15AEAD" w14:textId="77777777" w:rsidR="00656B5C" w:rsidRPr="00EF5864" w:rsidRDefault="00656B5C" w:rsidP="00656B5C">
            <w:pPr>
              <w:tabs>
                <w:tab w:val="right" w:pos="1202"/>
              </w:tabs>
              <w:spacing w:after="0" w:line="240" w:lineRule="auto"/>
              <w:outlineLvl w:val="0"/>
              <w:rPr>
                <w:rFonts w:eastAsia="Times New Roman" w:cs="Arial"/>
                <w:sz w:val="20"/>
                <w:szCs w:val="20"/>
              </w:rPr>
            </w:pPr>
            <w:r w:rsidRPr="00EF5864">
              <w:rPr>
                <w:rFonts w:eastAsia="Times New Roman" w:cs="Arial"/>
                <w:sz w:val="20"/>
                <w:szCs w:val="20"/>
              </w:rPr>
              <w:t>Obračunata kamata</w:t>
            </w:r>
          </w:p>
        </w:tc>
        <w:tc>
          <w:tcPr>
            <w:tcW w:w="1346" w:type="dxa"/>
            <w:tcBorders>
              <w:top w:val="nil"/>
              <w:left w:val="nil"/>
              <w:bottom w:val="nil"/>
              <w:right w:val="nil"/>
            </w:tcBorders>
            <w:shd w:val="clear" w:color="auto" w:fill="auto"/>
            <w:vAlign w:val="bottom"/>
          </w:tcPr>
          <w:p w14:paraId="60DAF232" w14:textId="0F015184" w:rsidR="00656B5C" w:rsidRPr="000E5941" w:rsidRDefault="00656B5C" w:rsidP="00656B5C">
            <w:pPr>
              <w:spacing w:after="0" w:line="240" w:lineRule="auto"/>
              <w:jc w:val="right"/>
              <w:rPr>
                <w:sz w:val="20"/>
                <w:szCs w:val="20"/>
              </w:rPr>
            </w:pPr>
            <w:r w:rsidRPr="00312975">
              <w:rPr>
                <w:sz w:val="20"/>
                <w:szCs w:val="20"/>
              </w:rPr>
              <w:t xml:space="preserve"> 14.386 </w:t>
            </w:r>
          </w:p>
        </w:tc>
        <w:tc>
          <w:tcPr>
            <w:tcW w:w="1348" w:type="dxa"/>
            <w:tcBorders>
              <w:top w:val="nil"/>
              <w:left w:val="nil"/>
              <w:bottom w:val="nil"/>
              <w:right w:val="nil"/>
            </w:tcBorders>
            <w:shd w:val="clear" w:color="auto" w:fill="auto"/>
            <w:vAlign w:val="bottom"/>
          </w:tcPr>
          <w:p w14:paraId="4A8A4FB7" w14:textId="15A89E0F" w:rsidR="00656B5C" w:rsidRPr="000E5941" w:rsidRDefault="00656B5C" w:rsidP="00656B5C">
            <w:pPr>
              <w:spacing w:after="0" w:line="240" w:lineRule="auto"/>
              <w:jc w:val="right"/>
              <w:rPr>
                <w:sz w:val="20"/>
                <w:szCs w:val="20"/>
              </w:rPr>
            </w:pPr>
            <w:r w:rsidRPr="000E5941">
              <w:rPr>
                <w:sz w:val="20"/>
                <w:szCs w:val="20"/>
              </w:rPr>
              <w:t>37.363</w:t>
            </w:r>
          </w:p>
        </w:tc>
        <w:tc>
          <w:tcPr>
            <w:tcW w:w="1344" w:type="dxa"/>
            <w:tcBorders>
              <w:top w:val="nil"/>
              <w:left w:val="nil"/>
              <w:bottom w:val="nil"/>
              <w:right w:val="nil"/>
            </w:tcBorders>
            <w:shd w:val="clear" w:color="auto" w:fill="auto"/>
            <w:vAlign w:val="bottom"/>
          </w:tcPr>
          <w:p w14:paraId="3720FA5F" w14:textId="40A0FB3C" w:rsidR="00656B5C" w:rsidRPr="000E5941" w:rsidRDefault="00656B5C" w:rsidP="00656B5C">
            <w:pPr>
              <w:spacing w:after="0" w:line="240" w:lineRule="auto"/>
              <w:jc w:val="right"/>
              <w:rPr>
                <w:sz w:val="20"/>
                <w:szCs w:val="20"/>
              </w:rPr>
            </w:pPr>
            <w:r w:rsidRPr="00312975">
              <w:rPr>
                <w:sz w:val="20"/>
                <w:szCs w:val="20"/>
              </w:rPr>
              <w:t xml:space="preserve"> 14.386 </w:t>
            </w:r>
          </w:p>
        </w:tc>
        <w:tc>
          <w:tcPr>
            <w:tcW w:w="1347" w:type="dxa"/>
            <w:tcBorders>
              <w:top w:val="nil"/>
              <w:left w:val="nil"/>
              <w:bottom w:val="nil"/>
              <w:right w:val="nil"/>
            </w:tcBorders>
            <w:shd w:val="clear" w:color="auto" w:fill="auto"/>
            <w:vAlign w:val="bottom"/>
          </w:tcPr>
          <w:p w14:paraId="0731CEA7" w14:textId="0D72C5DD" w:rsidR="00656B5C" w:rsidRPr="00EF5864" w:rsidRDefault="00656B5C" w:rsidP="00656B5C">
            <w:pPr>
              <w:spacing w:after="0" w:line="240" w:lineRule="auto"/>
              <w:jc w:val="right"/>
              <w:rPr>
                <w:rFonts w:ascii="Calibri" w:eastAsia="Times New Roman" w:hAnsi="Calibri" w:cs="Times New Roman"/>
                <w:color w:val="000000"/>
                <w:sz w:val="20"/>
                <w:szCs w:val="20"/>
                <w:lang w:eastAsia="hr-HR"/>
              </w:rPr>
            </w:pPr>
            <w:r w:rsidRPr="00EF5864">
              <w:rPr>
                <w:sz w:val="20"/>
                <w:szCs w:val="20"/>
              </w:rPr>
              <w:t>37.363</w:t>
            </w:r>
          </w:p>
        </w:tc>
      </w:tr>
      <w:tr w:rsidR="00656B5C" w:rsidRPr="00EF5864" w14:paraId="5CBB5250" w14:textId="77777777" w:rsidTr="00312975">
        <w:trPr>
          <w:trHeight w:hRule="exact" w:val="268"/>
        </w:trPr>
        <w:tc>
          <w:tcPr>
            <w:tcW w:w="3969" w:type="dxa"/>
            <w:vAlign w:val="bottom"/>
          </w:tcPr>
          <w:p w14:paraId="315C8D0B" w14:textId="77777777" w:rsidR="00656B5C" w:rsidRPr="00EF5864" w:rsidRDefault="00656B5C" w:rsidP="00656B5C">
            <w:pPr>
              <w:tabs>
                <w:tab w:val="right" w:pos="1202"/>
              </w:tabs>
              <w:spacing w:after="0" w:line="240" w:lineRule="auto"/>
              <w:outlineLvl w:val="0"/>
              <w:rPr>
                <w:rFonts w:eastAsia="Times New Roman" w:cs="Arial"/>
                <w:sz w:val="20"/>
                <w:szCs w:val="20"/>
              </w:rPr>
            </w:pPr>
            <w:r w:rsidRPr="00EF5864">
              <w:rPr>
                <w:rFonts w:eastAsia="Times New Roman" w:cs="Arial"/>
                <w:sz w:val="20"/>
                <w:szCs w:val="20"/>
              </w:rPr>
              <w:t>Odgođena naknada po kreditima</w:t>
            </w:r>
          </w:p>
        </w:tc>
        <w:tc>
          <w:tcPr>
            <w:tcW w:w="1346" w:type="dxa"/>
            <w:tcBorders>
              <w:top w:val="nil"/>
              <w:left w:val="nil"/>
              <w:bottom w:val="nil"/>
              <w:right w:val="nil"/>
            </w:tcBorders>
            <w:shd w:val="clear" w:color="auto" w:fill="auto"/>
            <w:vAlign w:val="bottom"/>
          </w:tcPr>
          <w:p w14:paraId="469B9FCF" w14:textId="7AD3152B" w:rsidR="00656B5C" w:rsidRPr="000E5941" w:rsidRDefault="00656B5C" w:rsidP="00656B5C">
            <w:pPr>
              <w:spacing w:after="0" w:line="240" w:lineRule="auto"/>
              <w:jc w:val="right"/>
              <w:rPr>
                <w:sz w:val="20"/>
                <w:szCs w:val="20"/>
              </w:rPr>
            </w:pPr>
            <w:r w:rsidRPr="00312975">
              <w:rPr>
                <w:sz w:val="20"/>
                <w:szCs w:val="20"/>
              </w:rPr>
              <w:t xml:space="preserve"> (62.660)</w:t>
            </w:r>
          </w:p>
        </w:tc>
        <w:tc>
          <w:tcPr>
            <w:tcW w:w="1348" w:type="dxa"/>
            <w:tcBorders>
              <w:top w:val="nil"/>
              <w:left w:val="nil"/>
              <w:bottom w:val="nil"/>
              <w:right w:val="nil"/>
            </w:tcBorders>
            <w:shd w:val="clear" w:color="auto" w:fill="auto"/>
            <w:vAlign w:val="bottom"/>
          </w:tcPr>
          <w:p w14:paraId="5B4EA69C" w14:textId="00C46092" w:rsidR="00656B5C" w:rsidRPr="000E5941" w:rsidRDefault="00656B5C" w:rsidP="00656B5C">
            <w:pPr>
              <w:spacing w:after="0" w:line="240" w:lineRule="auto"/>
              <w:jc w:val="right"/>
              <w:rPr>
                <w:sz w:val="20"/>
                <w:szCs w:val="20"/>
              </w:rPr>
            </w:pPr>
            <w:r w:rsidRPr="000E5941">
              <w:rPr>
                <w:sz w:val="20"/>
                <w:szCs w:val="20"/>
              </w:rPr>
              <w:t xml:space="preserve"> (66.371)</w:t>
            </w:r>
          </w:p>
        </w:tc>
        <w:tc>
          <w:tcPr>
            <w:tcW w:w="1344" w:type="dxa"/>
            <w:tcBorders>
              <w:top w:val="nil"/>
              <w:left w:val="nil"/>
              <w:bottom w:val="nil"/>
              <w:right w:val="nil"/>
            </w:tcBorders>
            <w:shd w:val="clear" w:color="auto" w:fill="auto"/>
            <w:vAlign w:val="bottom"/>
          </w:tcPr>
          <w:p w14:paraId="735A836A" w14:textId="0EE013CD" w:rsidR="00656B5C" w:rsidRPr="000E5941" w:rsidRDefault="00656B5C" w:rsidP="00656B5C">
            <w:pPr>
              <w:spacing w:after="0" w:line="240" w:lineRule="auto"/>
              <w:jc w:val="right"/>
              <w:rPr>
                <w:sz w:val="20"/>
                <w:szCs w:val="20"/>
              </w:rPr>
            </w:pPr>
            <w:r w:rsidRPr="00312975">
              <w:rPr>
                <w:sz w:val="20"/>
                <w:szCs w:val="20"/>
              </w:rPr>
              <w:t xml:space="preserve"> (62.660)</w:t>
            </w:r>
          </w:p>
        </w:tc>
        <w:tc>
          <w:tcPr>
            <w:tcW w:w="1347" w:type="dxa"/>
            <w:tcBorders>
              <w:top w:val="nil"/>
              <w:left w:val="nil"/>
              <w:bottom w:val="nil"/>
              <w:right w:val="nil"/>
            </w:tcBorders>
            <w:shd w:val="clear" w:color="auto" w:fill="auto"/>
            <w:vAlign w:val="bottom"/>
          </w:tcPr>
          <w:p w14:paraId="7270640E" w14:textId="071D646A" w:rsidR="00656B5C" w:rsidRPr="00EF5864" w:rsidRDefault="00656B5C" w:rsidP="00656B5C">
            <w:pPr>
              <w:spacing w:after="0" w:line="240" w:lineRule="auto"/>
              <w:jc w:val="right"/>
              <w:rPr>
                <w:rFonts w:ascii="Calibri" w:eastAsia="Times New Roman" w:hAnsi="Calibri" w:cs="Times New Roman"/>
                <w:color w:val="000000"/>
                <w:sz w:val="20"/>
                <w:szCs w:val="20"/>
                <w:lang w:eastAsia="hr-HR"/>
              </w:rPr>
            </w:pPr>
            <w:r w:rsidRPr="00EF5864">
              <w:rPr>
                <w:sz w:val="20"/>
                <w:szCs w:val="20"/>
              </w:rPr>
              <w:t xml:space="preserve">  (66.371)</w:t>
            </w:r>
          </w:p>
        </w:tc>
      </w:tr>
      <w:tr w:rsidR="00C30367" w:rsidRPr="00EF5864" w14:paraId="63DD49AA" w14:textId="77777777" w:rsidTr="0065161E">
        <w:trPr>
          <w:trHeight w:val="365"/>
        </w:trPr>
        <w:tc>
          <w:tcPr>
            <w:tcW w:w="3969" w:type="dxa"/>
            <w:vAlign w:val="bottom"/>
          </w:tcPr>
          <w:p w14:paraId="1951B031" w14:textId="77777777" w:rsidR="00C30367" w:rsidRPr="00EF5864" w:rsidRDefault="00C30367" w:rsidP="00C30367">
            <w:pPr>
              <w:tabs>
                <w:tab w:val="right" w:pos="1202"/>
              </w:tabs>
              <w:spacing w:after="0" w:line="240" w:lineRule="auto"/>
              <w:outlineLvl w:val="0"/>
              <w:rPr>
                <w:rFonts w:eastAsia="Times New Roman" w:cs="Arial"/>
                <w:sz w:val="20"/>
                <w:szCs w:val="20"/>
              </w:rPr>
            </w:pPr>
          </w:p>
        </w:tc>
        <w:tc>
          <w:tcPr>
            <w:tcW w:w="1346" w:type="dxa"/>
            <w:tcBorders>
              <w:top w:val="single" w:sz="4" w:space="0" w:color="auto"/>
              <w:left w:val="nil"/>
              <w:bottom w:val="single" w:sz="4" w:space="0" w:color="auto"/>
              <w:right w:val="nil"/>
            </w:tcBorders>
            <w:shd w:val="clear" w:color="auto" w:fill="auto"/>
            <w:vAlign w:val="bottom"/>
          </w:tcPr>
          <w:p w14:paraId="6DE0F534" w14:textId="456458A5" w:rsidR="00C30367" w:rsidRPr="000E5941" w:rsidRDefault="00C752D2" w:rsidP="00C30367">
            <w:pPr>
              <w:spacing w:after="0" w:line="240" w:lineRule="auto"/>
              <w:jc w:val="right"/>
              <w:rPr>
                <w:sz w:val="20"/>
                <w:szCs w:val="20"/>
              </w:rPr>
            </w:pPr>
            <w:r w:rsidRPr="00C752D2">
              <w:rPr>
                <w:sz w:val="20"/>
                <w:szCs w:val="20"/>
              </w:rPr>
              <w:t xml:space="preserve">11.616.938 </w:t>
            </w:r>
          </w:p>
        </w:tc>
        <w:tc>
          <w:tcPr>
            <w:tcW w:w="1348" w:type="dxa"/>
            <w:tcBorders>
              <w:top w:val="single" w:sz="4" w:space="0" w:color="auto"/>
              <w:left w:val="nil"/>
              <w:bottom w:val="single" w:sz="4" w:space="0" w:color="auto"/>
              <w:right w:val="nil"/>
            </w:tcBorders>
            <w:shd w:val="clear" w:color="auto" w:fill="auto"/>
            <w:vAlign w:val="bottom"/>
          </w:tcPr>
          <w:p w14:paraId="6A2BCEF0" w14:textId="5E0B0725" w:rsidR="00C30367" w:rsidRPr="000E5941" w:rsidRDefault="00C30367" w:rsidP="00C30367">
            <w:pPr>
              <w:spacing w:after="0" w:line="240" w:lineRule="auto"/>
              <w:jc w:val="right"/>
              <w:rPr>
                <w:sz w:val="20"/>
                <w:szCs w:val="20"/>
              </w:rPr>
            </w:pPr>
            <w:r w:rsidRPr="000E5941">
              <w:rPr>
                <w:sz w:val="20"/>
                <w:szCs w:val="20"/>
              </w:rPr>
              <w:t>12.252.428</w:t>
            </w:r>
          </w:p>
        </w:tc>
        <w:tc>
          <w:tcPr>
            <w:tcW w:w="1344" w:type="dxa"/>
            <w:tcBorders>
              <w:top w:val="single" w:sz="4" w:space="0" w:color="auto"/>
              <w:left w:val="nil"/>
              <w:bottom w:val="single" w:sz="4" w:space="0" w:color="auto"/>
              <w:right w:val="nil"/>
            </w:tcBorders>
            <w:shd w:val="clear" w:color="auto" w:fill="auto"/>
            <w:vAlign w:val="bottom"/>
          </w:tcPr>
          <w:p w14:paraId="2DAEC18D" w14:textId="35A97C1F" w:rsidR="00C30367" w:rsidRPr="000E5941" w:rsidRDefault="00C752D2" w:rsidP="00C30367">
            <w:pPr>
              <w:spacing w:after="0" w:line="240" w:lineRule="auto"/>
              <w:jc w:val="right"/>
              <w:rPr>
                <w:sz w:val="20"/>
                <w:szCs w:val="20"/>
              </w:rPr>
            </w:pPr>
            <w:r w:rsidRPr="00C752D2">
              <w:rPr>
                <w:sz w:val="20"/>
                <w:szCs w:val="20"/>
              </w:rPr>
              <w:t xml:space="preserve">11.616.938 </w:t>
            </w:r>
          </w:p>
        </w:tc>
        <w:tc>
          <w:tcPr>
            <w:tcW w:w="1347" w:type="dxa"/>
            <w:tcBorders>
              <w:top w:val="single" w:sz="4" w:space="0" w:color="auto"/>
              <w:left w:val="nil"/>
              <w:bottom w:val="single" w:sz="4" w:space="0" w:color="auto"/>
              <w:right w:val="nil"/>
            </w:tcBorders>
            <w:shd w:val="clear" w:color="auto" w:fill="auto"/>
            <w:vAlign w:val="bottom"/>
          </w:tcPr>
          <w:p w14:paraId="24441B6F" w14:textId="6A9FE859" w:rsidR="00C30367" w:rsidRPr="00EF5864" w:rsidRDefault="00C30367" w:rsidP="00C30367">
            <w:pPr>
              <w:spacing w:after="0" w:line="240" w:lineRule="auto"/>
              <w:jc w:val="right"/>
              <w:rPr>
                <w:rFonts w:ascii="Calibri" w:eastAsia="Times New Roman" w:hAnsi="Calibri" w:cs="Times New Roman"/>
                <w:color w:val="000000"/>
                <w:sz w:val="20"/>
                <w:szCs w:val="20"/>
                <w:lang w:eastAsia="hr-HR"/>
              </w:rPr>
            </w:pPr>
            <w:r w:rsidRPr="00EF5864">
              <w:rPr>
                <w:rFonts w:ascii="Calibri" w:eastAsia="Times New Roman" w:hAnsi="Calibri" w:cs="Times New Roman"/>
                <w:color w:val="000000"/>
                <w:sz w:val="20"/>
                <w:szCs w:val="20"/>
                <w:lang w:eastAsia="hr-HR"/>
              </w:rPr>
              <w:t>12.252.428</w:t>
            </w:r>
          </w:p>
        </w:tc>
      </w:tr>
      <w:tr w:rsidR="00C30367" w:rsidRPr="00EF5864" w14:paraId="20B47C43" w14:textId="77777777" w:rsidTr="0065161E">
        <w:trPr>
          <w:trHeight w:hRule="exact" w:val="298"/>
        </w:trPr>
        <w:tc>
          <w:tcPr>
            <w:tcW w:w="3969" w:type="dxa"/>
            <w:vAlign w:val="bottom"/>
          </w:tcPr>
          <w:p w14:paraId="3B5FDE84" w14:textId="77777777" w:rsidR="00C30367" w:rsidRPr="00EF5864" w:rsidRDefault="00C30367" w:rsidP="00C30367">
            <w:pPr>
              <w:tabs>
                <w:tab w:val="right" w:pos="1202"/>
              </w:tabs>
              <w:spacing w:after="0" w:line="240" w:lineRule="auto"/>
              <w:outlineLvl w:val="0"/>
              <w:rPr>
                <w:rFonts w:eastAsia="Times New Roman" w:cs="Arial"/>
                <w:sz w:val="20"/>
                <w:szCs w:val="20"/>
              </w:rPr>
            </w:pPr>
            <w:r w:rsidRPr="00EF5864">
              <w:rPr>
                <w:rFonts w:eastAsia="Times New Roman" w:cs="Arial"/>
                <w:sz w:val="20"/>
                <w:szCs w:val="20"/>
              </w:rPr>
              <w:t>Rezerviranja za moguće gubitke</w:t>
            </w:r>
          </w:p>
        </w:tc>
        <w:tc>
          <w:tcPr>
            <w:tcW w:w="1346" w:type="dxa"/>
            <w:tcBorders>
              <w:top w:val="nil"/>
              <w:left w:val="nil"/>
              <w:bottom w:val="single" w:sz="4" w:space="0" w:color="auto"/>
              <w:right w:val="nil"/>
            </w:tcBorders>
            <w:shd w:val="clear" w:color="auto" w:fill="auto"/>
            <w:vAlign w:val="bottom"/>
          </w:tcPr>
          <w:p w14:paraId="67E84D09" w14:textId="420B845B" w:rsidR="00C30367" w:rsidRPr="000E5941" w:rsidRDefault="00C752D2" w:rsidP="00C30367">
            <w:pPr>
              <w:spacing w:after="0" w:line="240" w:lineRule="auto"/>
              <w:jc w:val="right"/>
              <w:rPr>
                <w:sz w:val="20"/>
                <w:szCs w:val="20"/>
              </w:rPr>
            </w:pPr>
            <w:r w:rsidRPr="00C752D2">
              <w:rPr>
                <w:sz w:val="20"/>
                <w:szCs w:val="20"/>
              </w:rPr>
              <w:t>(303.436)</w:t>
            </w:r>
            <w:r w:rsidRPr="00C752D2" w:rsidDel="00C30367">
              <w:rPr>
                <w:sz w:val="20"/>
                <w:szCs w:val="20"/>
              </w:rPr>
              <w:t xml:space="preserve"> </w:t>
            </w:r>
          </w:p>
        </w:tc>
        <w:tc>
          <w:tcPr>
            <w:tcW w:w="1348" w:type="dxa"/>
            <w:tcBorders>
              <w:top w:val="nil"/>
              <w:left w:val="nil"/>
              <w:bottom w:val="single" w:sz="4" w:space="0" w:color="auto"/>
              <w:right w:val="nil"/>
            </w:tcBorders>
            <w:shd w:val="clear" w:color="auto" w:fill="auto"/>
            <w:vAlign w:val="bottom"/>
          </w:tcPr>
          <w:p w14:paraId="55E03F5D" w14:textId="2BB21EF5" w:rsidR="00C30367" w:rsidRPr="000E5941" w:rsidRDefault="00C30367" w:rsidP="00C30367">
            <w:pPr>
              <w:spacing w:after="0" w:line="240" w:lineRule="auto"/>
              <w:jc w:val="right"/>
              <w:rPr>
                <w:sz w:val="20"/>
                <w:szCs w:val="20"/>
              </w:rPr>
            </w:pPr>
            <w:r w:rsidRPr="000E5941">
              <w:rPr>
                <w:sz w:val="20"/>
                <w:szCs w:val="20"/>
              </w:rPr>
              <w:t>(363.317)</w:t>
            </w:r>
          </w:p>
        </w:tc>
        <w:tc>
          <w:tcPr>
            <w:tcW w:w="1344" w:type="dxa"/>
            <w:tcBorders>
              <w:top w:val="nil"/>
              <w:left w:val="nil"/>
              <w:bottom w:val="single" w:sz="4" w:space="0" w:color="auto"/>
              <w:right w:val="nil"/>
            </w:tcBorders>
            <w:shd w:val="clear" w:color="auto" w:fill="auto"/>
            <w:vAlign w:val="bottom"/>
          </w:tcPr>
          <w:p w14:paraId="16EBBE9C" w14:textId="4EE181C2" w:rsidR="00C30367" w:rsidRPr="000E5941" w:rsidRDefault="00C752D2" w:rsidP="00C30367">
            <w:pPr>
              <w:spacing w:after="0" w:line="240" w:lineRule="auto"/>
              <w:jc w:val="right"/>
              <w:rPr>
                <w:sz w:val="20"/>
                <w:szCs w:val="20"/>
              </w:rPr>
            </w:pPr>
            <w:r w:rsidRPr="00C752D2">
              <w:rPr>
                <w:sz w:val="20"/>
                <w:szCs w:val="20"/>
              </w:rPr>
              <w:t>(303.436)</w:t>
            </w:r>
            <w:r w:rsidRPr="00C752D2" w:rsidDel="00033B2B">
              <w:rPr>
                <w:sz w:val="20"/>
                <w:szCs w:val="20"/>
              </w:rPr>
              <w:t xml:space="preserve"> </w:t>
            </w:r>
          </w:p>
        </w:tc>
        <w:tc>
          <w:tcPr>
            <w:tcW w:w="1347" w:type="dxa"/>
            <w:tcBorders>
              <w:top w:val="nil"/>
              <w:left w:val="nil"/>
              <w:bottom w:val="single" w:sz="4" w:space="0" w:color="auto"/>
              <w:right w:val="nil"/>
            </w:tcBorders>
            <w:shd w:val="clear" w:color="auto" w:fill="auto"/>
            <w:vAlign w:val="bottom"/>
          </w:tcPr>
          <w:p w14:paraId="6CFC28C2" w14:textId="34DEFFAB" w:rsidR="00C30367" w:rsidRPr="00EF5864" w:rsidRDefault="00C30367" w:rsidP="00C30367">
            <w:pPr>
              <w:spacing w:after="0" w:line="240" w:lineRule="auto"/>
              <w:jc w:val="right"/>
              <w:rPr>
                <w:rFonts w:ascii="Calibri" w:eastAsia="Times New Roman" w:hAnsi="Calibri" w:cs="Times New Roman"/>
                <w:color w:val="000000"/>
                <w:sz w:val="20"/>
                <w:szCs w:val="20"/>
                <w:lang w:eastAsia="hr-HR"/>
              </w:rPr>
            </w:pPr>
            <w:r w:rsidRPr="00EF5864">
              <w:rPr>
                <w:rFonts w:ascii="Calibri" w:eastAsia="Times New Roman" w:hAnsi="Calibri" w:cs="Times New Roman"/>
                <w:color w:val="000000"/>
                <w:sz w:val="20"/>
                <w:szCs w:val="20"/>
                <w:lang w:eastAsia="hr-HR"/>
              </w:rPr>
              <w:t>(363.317)</w:t>
            </w:r>
          </w:p>
        </w:tc>
      </w:tr>
      <w:tr w:rsidR="00C30367" w:rsidRPr="00EF5864" w14:paraId="350CC740" w14:textId="77777777" w:rsidTr="0065161E">
        <w:trPr>
          <w:trHeight w:val="319"/>
        </w:trPr>
        <w:tc>
          <w:tcPr>
            <w:tcW w:w="3969" w:type="dxa"/>
          </w:tcPr>
          <w:p w14:paraId="470FCB77" w14:textId="77777777" w:rsidR="00C30367" w:rsidRPr="00EF5864" w:rsidRDefault="00C30367" w:rsidP="00C30367">
            <w:pPr>
              <w:tabs>
                <w:tab w:val="right" w:pos="1202"/>
              </w:tabs>
              <w:spacing w:after="0" w:line="240" w:lineRule="auto"/>
              <w:outlineLvl w:val="0"/>
              <w:rPr>
                <w:rFonts w:eastAsia="Times New Roman" w:cs="Arial"/>
                <w:b/>
                <w:bCs/>
                <w:sz w:val="20"/>
                <w:szCs w:val="20"/>
              </w:rPr>
            </w:pPr>
          </w:p>
        </w:tc>
        <w:tc>
          <w:tcPr>
            <w:tcW w:w="1346" w:type="dxa"/>
            <w:tcBorders>
              <w:top w:val="nil"/>
              <w:left w:val="nil"/>
              <w:bottom w:val="single" w:sz="8" w:space="0" w:color="auto"/>
              <w:right w:val="nil"/>
            </w:tcBorders>
            <w:shd w:val="clear" w:color="auto" w:fill="auto"/>
            <w:vAlign w:val="bottom"/>
          </w:tcPr>
          <w:p w14:paraId="43FD65C1" w14:textId="3C3BBC21" w:rsidR="00C30367" w:rsidRPr="00EF5864" w:rsidRDefault="00C752D2" w:rsidP="00C30367">
            <w:pPr>
              <w:spacing w:after="0" w:line="240" w:lineRule="auto"/>
              <w:jc w:val="right"/>
              <w:rPr>
                <w:rFonts w:ascii="Calibri" w:eastAsia="Times New Roman" w:hAnsi="Calibri" w:cs="Times New Roman"/>
                <w:b/>
                <w:bCs/>
                <w:color w:val="000000"/>
                <w:sz w:val="20"/>
                <w:szCs w:val="20"/>
                <w:lang w:eastAsia="hr-HR"/>
              </w:rPr>
            </w:pPr>
            <w:r w:rsidRPr="00C752D2">
              <w:rPr>
                <w:rFonts w:ascii="Calibri" w:eastAsia="Times New Roman" w:hAnsi="Calibri" w:cs="Times New Roman"/>
                <w:b/>
                <w:bCs/>
                <w:color w:val="000000"/>
                <w:sz w:val="20"/>
                <w:szCs w:val="20"/>
                <w:lang w:eastAsia="hr-HR"/>
              </w:rPr>
              <w:t xml:space="preserve">11.313.502 </w:t>
            </w:r>
          </w:p>
        </w:tc>
        <w:tc>
          <w:tcPr>
            <w:tcW w:w="1348" w:type="dxa"/>
            <w:tcBorders>
              <w:top w:val="nil"/>
              <w:left w:val="nil"/>
              <w:bottom w:val="single" w:sz="8" w:space="0" w:color="auto"/>
              <w:right w:val="nil"/>
            </w:tcBorders>
            <w:shd w:val="clear" w:color="auto" w:fill="auto"/>
            <w:vAlign w:val="bottom"/>
          </w:tcPr>
          <w:p w14:paraId="6B356890" w14:textId="50A6628A" w:rsidR="00C30367" w:rsidRPr="00EF5864" w:rsidRDefault="00C30367" w:rsidP="00C30367">
            <w:pPr>
              <w:spacing w:after="0" w:line="240" w:lineRule="auto"/>
              <w:jc w:val="right"/>
              <w:rPr>
                <w:rFonts w:ascii="Calibri" w:eastAsia="Times New Roman" w:hAnsi="Calibri" w:cs="Times New Roman"/>
                <w:b/>
                <w:bCs/>
                <w:color w:val="000000"/>
                <w:sz w:val="20"/>
                <w:szCs w:val="20"/>
                <w:lang w:eastAsia="hr-HR"/>
              </w:rPr>
            </w:pPr>
            <w:r w:rsidRPr="00EF5864">
              <w:rPr>
                <w:rFonts w:ascii="Calibri" w:eastAsia="Times New Roman" w:hAnsi="Calibri" w:cs="Times New Roman"/>
                <w:b/>
                <w:bCs/>
                <w:color w:val="000000"/>
                <w:sz w:val="20"/>
                <w:szCs w:val="20"/>
                <w:lang w:eastAsia="hr-HR"/>
              </w:rPr>
              <w:t>11.889.111</w:t>
            </w:r>
          </w:p>
        </w:tc>
        <w:tc>
          <w:tcPr>
            <w:tcW w:w="1344" w:type="dxa"/>
            <w:tcBorders>
              <w:top w:val="nil"/>
              <w:left w:val="nil"/>
              <w:bottom w:val="single" w:sz="8" w:space="0" w:color="auto"/>
              <w:right w:val="nil"/>
            </w:tcBorders>
            <w:shd w:val="clear" w:color="auto" w:fill="auto"/>
            <w:vAlign w:val="bottom"/>
          </w:tcPr>
          <w:p w14:paraId="7AF95924" w14:textId="5AAD10DC" w:rsidR="00C30367" w:rsidRPr="000E5941" w:rsidRDefault="00C752D2" w:rsidP="00C30367">
            <w:pPr>
              <w:spacing w:after="0" w:line="240" w:lineRule="auto"/>
              <w:jc w:val="right"/>
              <w:rPr>
                <w:b/>
                <w:sz w:val="20"/>
                <w:szCs w:val="20"/>
              </w:rPr>
            </w:pPr>
            <w:r w:rsidRPr="00C752D2">
              <w:rPr>
                <w:b/>
                <w:sz w:val="20"/>
                <w:szCs w:val="20"/>
              </w:rPr>
              <w:t xml:space="preserve">11.313.502 </w:t>
            </w:r>
          </w:p>
        </w:tc>
        <w:tc>
          <w:tcPr>
            <w:tcW w:w="1347" w:type="dxa"/>
            <w:tcBorders>
              <w:top w:val="nil"/>
              <w:left w:val="nil"/>
              <w:bottom w:val="single" w:sz="8" w:space="0" w:color="auto"/>
              <w:right w:val="nil"/>
            </w:tcBorders>
            <w:shd w:val="clear" w:color="auto" w:fill="auto"/>
            <w:vAlign w:val="bottom"/>
          </w:tcPr>
          <w:p w14:paraId="4ADDAB98" w14:textId="23E1A069" w:rsidR="00C30367" w:rsidRPr="00EF5864" w:rsidRDefault="00C30367" w:rsidP="00C30367">
            <w:pPr>
              <w:spacing w:after="0" w:line="240" w:lineRule="auto"/>
              <w:jc w:val="right"/>
              <w:rPr>
                <w:rFonts w:ascii="Calibri" w:eastAsia="Times New Roman" w:hAnsi="Calibri" w:cs="Times New Roman"/>
                <w:b/>
                <w:bCs/>
                <w:color w:val="000000"/>
                <w:sz w:val="20"/>
                <w:szCs w:val="20"/>
                <w:lang w:eastAsia="hr-HR"/>
              </w:rPr>
            </w:pPr>
            <w:r w:rsidRPr="00EF5864">
              <w:rPr>
                <w:rFonts w:ascii="Calibri" w:eastAsia="Times New Roman" w:hAnsi="Calibri" w:cs="Times New Roman"/>
                <w:b/>
                <w:bCs/>
                <w:color w:val="000000"/>
                <w:sz w:val="20"/>
                <w:szCs w:val="20"/>
                <w:lang w:eastAsia="hr-HR"/>
              </w:rPr>
              <w:t>11.889.111</w:t>
            </w:r>
          </w:p>
        </w:tc>
      </w:tr>
    </w:tbl>
    <w:p w14:paraId="4644C4B5" w14:textId="77777777" w:rsidR="00301797" w:rsidRDefault="00301797" w:rsidP="00861DF8">
      <w:pPr>
        <w:pStyle w:val="T1"/>
        <w:spacing w:before="0" w:after="0" w:line="240" w:lineRule="auto"/>
        <w:rPr>
          <w:rFonts w:asciiTheme="minorHAnsi" w:hAnsiTheme="minorHAnsi" w:cs="Calibri"/>
          <w:b w:val="0"/>
          <w:bCs w:val="0"/>
          <w:sz w:val="24"/>
          <w:szCs w:val="24"/>
          <w:lang w:val="hr-HR" w:eastAsia="hr-HR"/>
        </w:rPr>
      </w:pPr>
    </w:p>
    <w:p w14:paraId="573B2127" w14:textId="1BF6258F" w:rsidR="00861DF8" w:rsidRPr="000E5941" w:rsidRDefault="00E65032" w:rsidP="00433F57">
      <w:pPr>
        <w:pStyle w:val="T1"/>
        <w:spacing w:before="0" w:after="0" w:line="240" w:lineRule="auto"/>
        <w:rPr>
          <w:rFonts w:asciiTheme="minorHAnsi" w:hAnsiTheme="minorHAnsi" w:cs="Arial"/>
          <w:b w:val="0"/>
          <w:bCs w:val="0"/>
          <w:sz w:val="22"/>
          <w:szCs w:val="22"/>
          <w:lang w:val="hr-HR"/>
        </w:rPr>
      </w:pPr>
      <w:r w:rsidRPr="000E5941">
        <w:rPr>
          <w:rFonts w:asciiTheme="minorHAnsi" w:hAnsiTheme="minorHAnsi" w:cs="Arial"/>
          <w:b w:val="0"/>
          <w:bCs w:val="0"/>
          <w:sz w:val="22"/>
          <w:szCs w:val="22"/>
          <w:lang w:val="hr-HR"/>
        </w:rPr>
        <w:t xml:space="preserve">Prosječne kamatne stope na ukupne kredite </w:t>
      </w:r>
      <w:r w:rsidR="007B0382" w:rsidRPr="000E5941">
        <w:rPr>
          <w:rFonts w:asciiTheme="minorHAnsi" w:hAnsiTheme="minorHAnsi" w:cs="Arial"/>
          <w:b w:val="0"/>
          <w:bCs w:val="0"/>
          <w:sz w:val="22"/>
          <w:szCs w:val="22"/>
          <w:lang w:val="hr-HR"/>
        </w:rPr>
        <w:t>financijskim institucijama</w:t>
      </w:r>
      <w:r w:rsidRPr="000E5941">
        <w:rPr>
          <w:rFonts w:asciiTheme="minorHAnsi" w:hAnsiTheme="minorHAnsi" w:cs="Arial"/>
          <w:b w:val="0"/>
          <w:bCs w:val="0"/>
          <w:sz w:val="22"/>
          <w:szCs w:val="22"/>
          <w:lang w:val="hr-HR"/>
        </w:rPr>
        <w:t xml:space="preserve">, svedene na godišnju razinu, iskazane su u visini od </w:t>
      </w:r>
      <w:r w:rsidR="00D36BA6">
        <w:rPr>
          <w:rFonts w:asciiTheme="minorHAnsi" w:hAnsiTheme="minorHAnsi" w:cs="Arial"/>
          <w:b w:val="0"/>
          <w:bCs w:val="0"/>
          <w:sz w:val="22"/>
          <w:szCs w:val="22"/>
          <w:lang w:val="hr-HR"/>
        </w:rPr>
        <w:t>0,93</w:t>
      </w:r>
      <w:r w:rsidRPr="000E5941">
        <w:rPr>
          <w:rFonts w:asciiTheme="minorHAnsi" w:hAnsiTheme="minorHAnsi" w:cs="Arial"/>
          <w:b w:val="0"/>
          <w:bCs w:val="0"/>
          <w:sz w:val="22"/>
          <w:szCs w:val="22"/>
          <w:lang w:val="hr-HR"/>
        </w:rPr>
        <w:t>% (</w:t>
      </w:r>
      <w:r w:rsidR="00BB3267" w:rsidRPr="000E5941">
        <w:rPr>
          <w:rFonts w:asciiTheme="minorHAnsi" w:hAnsiTheme="minorHAnsi" w:cs="Arial"/>
          <w:b w:val="0"/>
          <w:sz w:val="22"/>
          <w:szCs w:val="22"/>
          <w:lang w:val="hr-HR"/>
        </w:rPr>
        <w:t xml:space="preserve">1.1. do </w:t>
      </w:r>
      <w:r w:rsidR="00C30367" w:rsidRPr="000E5941">
        <w:rPr>
          <w:rFonts w:asciiTheme="minorHAnsi" w:hAnsiTheme="minorHAnsi" w:cs="Arial"/>
          <w:b w:val="0"/>
          <w:sz w:val="22"/>
          <w:szCs w:val="22"/>
          <w:lang w:val="hr-HR"/>
        </w:rPr>
        <w:t>3</w:t>
      </w:r>
      <w:r w:rsidR="00C30367">
        <w:rPr>
          <w:rFonts w:asciiTheme="minorHAnsi" w:hAnsiTheme="minorHAnsi" w:cs="Arial"/>
          <w:b w:val="0"/>
          <w:sz w:val="22"/>
          <w:szCs w:val="22"/>
          <w:lang w:val="hr-HR"/>
        </w:rPr>
        <w:t>0</w:t>
      </w:r>
      <w:r w:rsidR="0065161E" w:rsidRPr="000E5941">
        <w:rPr>
          <w:rFonts w:asciiTheme="minorHAnsi" w:hAnsiTheme="minorHAnsi" w:cs="Arial"/>
          <w:b w:val="0"/>
          <w:sz w:val="22"/>
          <w:szCs w:val="22"/>
          <w:lang w:val="hr-HR"/>
        </w:rPr>
        <w:t>.</w:t>
      </w:r>
      <w:r w:rsidR="00C30367">
        <w:rPr>
          <w:rFonts w:asciiTheme="minorHAnsi" w:hAnsiTheme="minorHAnsi" w:cs="Arial"/>
          <w:b w:val="0"/>
          <w:sz w:val="22"/>
          <w:szCs w:val="22"/>
          <w:lang w:val="hr-HR"/>
        </w:rPr>
        <w:t>6</w:t>
      </w:r>
      <w:r w:rsidR="00BB3267" w:rsidRPr="000E5941">
        <w:rPr>
          <w:rFonts w:asciiTheme="minorHAnsi" w:hAnsiTheme="minorHAnsi" w:cs="Arial"/>
          <w:b w:val="0"/>
          <w:sz w:val="22"/>
          <w:szCs w:val="22"/>
          <w:lang w:val="hr-HR"/>
        </w:rPr>
        <w:t>.</w:t>
      </w:r>
      <w:r w:rsidR="00433F57" w:rsidRPr="000E5941">
        <w:rPr>
          <w:rFonts w:asciiTheme="minorHAnsi" w:hAnsiTheme="minorHAnsi" w:cs="Arial"/>
          <w:b w:val="0"/>
          <w:sz w:val="22"/>
          <w:szCs w:val="22"/>
          <w:lang w:val="hr-HR"/>
        </w:rPr>
        <w:t>201</w:t>
      </w:r>
      <w:r w:rsidR="0065161E" w:rsidRPr="000E5941">
        <w:rPr>
          <w:rFonts w:asciiTheme="minorHAnsi" w:hAnsiTheme="minorHAnsi" w:cs="Arial"/>
          <w:b w:val="0"/>
          <w:sz w:val="22"/>
          <w:szCs w:val="22"/>
          <w:lang w:val="hr-HR"/>
        </w:rPr>
        <w:t>6</w:t>
      </w:r>
      <w:r w:rsidR="00BB3267" w:rsidRPr="000E5941">
        <w:rPr>
          <w:rFonts w:asciiTheme="minorHAnsi" w:hAnsiTheme="minorHAnsi" w:cs="Arial"/>
          <w:b w:val="0"/>
          <w:sz w:val="22"/>
          <w:szCs w:val="22"/>
          <w:lang w:val="hr-HR"/>
        </w:rPr>
        <w:t>. godine</w:t>
      </w:r>
      <w:r w:rsidR="00BB3267" w:rsidRPr="00C30367">
        <w:rPr>
          <w:rFonts w:asciiTheme="minorHAnsi" w:hAnsiTheme="minorHAnsi" w:cs="Arial"/>
          <w:b w:val="0"/>
          <w:sz w:val="22"/>
          <w:szCs w:val="22"/>
          <w:lang w:val="hr-HR"/>
        </w:rPr>
        <w:t xml:space="preserve">: </w:t>
      </w:r>
      <w:r w:rsidR="00463771" w:rsidRPr="00C30367">
        <w:rPr>
          <w:rFonts w:asciiTheme="minorHAnsi" w:hAnsiTheme="minorHAnsi" w:cs="Arial"/>
          <w:b w:val="0"/>
          <w:sz w:val="22"/>
          <w:szCs w:val="22"/>
          <w:lang w:val="hr-HR"/>
        </w:rPr>
        <w:t>1,</w:t>
      </w:r>
      <w:r w:rsidR="00C30367" w:rsidRPr="00C30367">
        <w:rPr>
          <w:rFonts w:asciiTheme="minorHAnsi" w:hAnsiTheme="minorHAnsi" w:cs="Arial"/>
          <w:b w:val="0"/>
          <w:sz w:val="22"/>
          <w:szCs w:val="22"/>
          <w:lang w:val="hr-HR"/>
        </w:rPr>
        <w:t>13</w:t>
      </w:r>
      <w:r w:rsidRPr="00C30367">
        <w:rPr>
          <w:rFonts w:asciiTheme="minorHAnsi" w:hAnsiTheme="minorHAnsi" w:cs="Arial"/>
          <w:b w:val="0"/>
          <w:bCs w:val="0"/>
          <w:sz w:val="22"/>
          <w:szCs w:val="22"/>
          <w:lang w:val="hr-HR"/>
        </w:rPr>
        <w:t>%)</w:t>
      </w:r>
      <w:r w:rsidRPr="000E5941">
        <w:rPr>
          <w:rFonts w:asciiTheme="minorHAnsi" w:hAnsiTheme="minorHAnsi" w:cs="Arial"/>
          <w:b w:val="0"/>
          <w:bCs w:val="0"/>
          <w:sz w:val="22"/>
          <w:szCs w:val="22"/>
          <w:lang w:val="hr-HR"/>
        </w:rPr>
        <w:t xml:space="preserve"> odnosno na kredite po kreditnim programima HBOR-a bez rezerve likvidnosti u visini od </w:t>
      </w:r>
      <w:r w:rsidR="00D36BA6">
        <w:rPr>
          <w:rFonts w:asciiTheme="minorHAnsi" w:hAnsiTheme="minorHAnsi" w:cs="Arial"/>
          <w:b w:val="0"/>
          <w:bCs w:val="0"/>
          <w:sz w:val="22"/>
          <w:szCs w:val="22"/>
          <w:lang w:val="hr-HR"/>
        </w:rPr>
        <w:t>0,93</w:t>
      </w:r>
      <w:r w:rsidRPr="000E5941">
        <w:rPr>
          <w:rFonts w:asciiTheme="minorHAnsi" w:hAnsiTheme="minorHAnsi" w:cs="Arial"/>
          <w:b w:val="0"/>
          <w:bCs w:val="0"/>
          <w:sz w:val="22"/>
          <w:szCs w:val="22"/>
          <w:lang w:val="hr-HR"/>
        </w:rPr>
        <w:t>% (</w:t>
      </w:r>
      <w:r w:rsidR="001962BE" w:rsidRPr="000E5941">
        <w:rPr>
          <w:rFonts w:asciiTheme="minorHAnsi" w:hAnsiTheme="minorHAnsi" w:cs="Arial"/>
          <w:b w:val="0"/>
          <w:sz w:val="22"/>
          <w:szCs w:val="22"/>
          <w:lang w:val="hr-HR"/>
        </w:rPr>
        <w:t xml:space="preserve">1.1. do </w:t>
      </w:r>
      <w:r w:rsidR="00C30367" w:rsidRPr="000E5941">
        <w:rPr>
          <w:rFonts w:asciiTheme="minorHAnsi" w:hAnsiTheme="minorHAnsi" w:cs="Arial"/>
          <w:b w:val="0"/>
          <w:sz w:val="22"/>
          <w:szCs w:val="22"/>
          <w:lang w:val="hr-HR"/>
        </w:rPr>
        <w:t>3</w:t>
      </w:r>
      <w:r w:rsidR="00C30367">
        <w:rPr>
          <w:rFonts w:asciiTheme="minorHAnsi" w:hAnsiTheme="minorHAnsi" w:cs="Arial"/>
          <w:b w:val="0"/>
          <w:sz w:val="22"/>
          <w:szCs w:val="22"/>
          <w:lang w:val="hr-HR"/>
        </w:rPr>
        <w:t>0</w:t>
      </w:r>
      <w:r w:rsidR="0065161E" w:rsidRPr="000E5941">
        <w:rPr>
          <w:rFonts w:asciiTheme="minorHAnsi" w:hAnsiTheme="minorHAnsi" w:cs="Arial"/>
          <w:b w:val="0"/>
          <w:sz w:val="22"/>
          <w:szCs w:val="22"/>
          <w:lang w:val="hr-HR"/>
        </w:rPr>
        <w:t>.</w:t>
      </w:r>
      <w:r w:rsidR="00C30367">
        <w:rPr>
          <w:rFonts w:asciiTheme="minorHAnsi" w:hAnsiTheme="minorHAnsi" w:cs="Arial"/>
          <w:b w:val="0"/>
          <w:sz w:val="22"/>
          <w:szCs w:val="22"/>
          <w:lang w:val="hr-HR"/>
        </w:rPr>
        <w:t>6</w:t>
      </w:r>
      <w:r w:rsidR="00BB3267" w:rsidRPr="000E5941">
        <w:rPr>
          <w:rFonts w:asciiTheme="minorHAnsi" w:hAnsiTheme="minorHAnsi" w:cs="Arial"/>
          <w:b w:val="0"/>
          <w:sz w:val="22"/>
          <w:szCs w:val="22"/>
          <w:lang w:val="hr-HR"/>
        </w:rPr>
        <w:t>.</w:t>
      </w:r>
      <w:r w:rsidR="00A50781" w:rsidRPr="000E5941">
        <w:rPr>
          <w:rFonts w:asciiTheme="minorHAnsi" w:hAnsiTheme="minorHAnsi" w:cs="Arial"/>
          <w:b w:val="0"/>
          <w:sz w:val="22"/>
          <w:szCs w:val="22"/>
          <w:lang w:val="hr-HR"/>
        </w:rPr>
        <w:t>201</w:t>
      </w:r>
      <w:r w:rsidR="0065161E" w:rsidRPr="000E5941">
        <w:rPr>
          <w:rFonts w:asciiTheme="minorHAnsi" w:hAnsiTheme="minorHAnsi" w:cs="Arial"/>
          <w:b w:val="0"/>
          <w:sz w:val="22"/>
          <w:szCs w:val="22"/>
          <w:lang w:val="hr-HR"/>
        </w:rPr>
        <w:t>6</w:t>
      </w:r>
      <w:r w:rsidR="00BB3267" w:rsidRPr="000E5941">
        <w:rPr>
          <w:rFonts w:asciiTheme="minorHAnsi" w:hAnsiTheme="minorHAnsi" w:cs="Arial"/>
          <w:b w:val="0"/>
          <w:sz w:val="22"/>
          <w:szCs w:val="22"/>
          <w:lang w:val="hr-HR"/>
        </w:rPr>
        <w:t xml:space="preserve">. godine: </w:t>
      </w:r>
      <w:r w:rsidR="00D62DAB" w:rsidRPr="000E5941">
        <w:rPr>
          <w:rFonts w:asciiTheme="minorHAnsi" w:hAnsiTheme="minorHAnsi" w:cs="Arial"/>
          <w:b w:val="0"/>
          <w:sz w:val="22"/>
          <w:szCs w:val="22"/>
          <w:lang w:val="hr-HR"/>
        </w:rPr>
        <w:t>1,</w:t>
      </w:r>
      <w:r w:rsidR="00C30367" w:rsidRPr="000E5941">
        <w:rPr>
          <w:rFonts w:asciiTheme="minorHAnsi" w:hAnsiTheme="minorHAnsi" w:cs="Arial"/>
          <w:b w:val="0"/>
          <w:sz w:val="22"/>
          <w:szCs w:val="22"/>
          <w:lang w:val="hr-HR"/>
        </w:rPr>
        <w:t>1</w:t>
      </w:r>
      <w:r w:rsidR="00C30367">
        <w:rPr>
          <w:rFonts w:asciiTheme="minorHAnsi" w:hAnsiTheme="minorHAnsi" w:cs="Arial"/>
          <w:b w:val="0"/>
          <w:sz w:val="22"/>
          <w:szCs w:val="22"/>
          <w:lang w:val="hr-HR"/>
        </w:rPr>
        <w:t>3</w:t>
      </w:r>
      <w:r w:rsidRPr="000E5941">
        <w:rPr>
          <w:rFonts w:asciiTheme="minorHAnsi" w:hAnsiTheme="minorHAnsi" w:cs="Arial"/>
          <w:b w:val="0"/>
          <w:bCs w:val="0"/>
          <w:sz w:val="22"/>
          <w:szCs w:val="22"/>
          <w:lang w:val="hr-HR"/>
        </w:rPr>
        <w:t>%).</w:t>
      </w:r>
    </w:p>
    <w:p w14:paraId="1273C75D" w14:textId="77777777" w:rsidR="00433F57" w:rsidRPr="000E5941" w:rsidRDefault="00433F57" w:rsidP="00433F57">
      <w:pPr>
        <w:pStyle w:val="T1"/>
        <w:spacing w:before="0" w:after="0" w:line="240" w:lineRule="auto"/>
        <w:rPr>
          <w:rFonts w:asciiTheme="minorHAnsi" w:hAnsiTheme="minorHAnsi" w:cs="Arial"/>
          <w:b w:val="0"/>
          <w:bCs w:val="0"/>
          <w:sz w:val="22"/>
          <w:szCs w:val="22"/>
          <w:lang w:val="hr-HR"/>
        </w:rPr>
      </w:pPr>
    </w:p>
    <w:p w14:paraId="7EB3E75D" w14:textId="77777777" w:rsidR="00861DF8" w:rsidRPr="000E5941" w:rsidRDefault="00E65032" w:rsidP="00433F57">
      <w:pPr>
        <w:pStyle w:val="T1"/>
        <w:spacing w:before="0" w:after="0" w:line="240" w:lineRule="auto"/>
        <w:rPr>
          <w:rFonts w:asciiTheme="minorHAnsi" w:hAnsiTheme="minorHAnsi" w:cs="Arial"/>
          <w:b w:val="0"/>
          <w:bCs w:val="0"/>
          <w:sz w:val="22"/>
          <w:szCs w:val="22"/>
          <w:lang w:val="hr-HR"/>
        </w:rPr>
      </w:pPr>
      <w:r w:rsidRPr="000E5941">
        <w:rPr>
          <w:rFonts w:asciiTheme="minorHAnsi" w:hAnsiTheme="minorHAnsi" w:cs="Arial"/>
          <w:b w:val="0"/>
          <w:bCs w:val="0"/>
          <w:sz w:val="22"/>
          <w:szCs w:val="22"/>
          <w:lang w:val="hr-HR"/>
        </w:rPr>
        <w:t>Prosječne kamatne stope odražavaju omjer kamatnih prihoda na navedene plasmane i prosječne imovine.</w:t>
      </w:r>
    </w:p>
    <w:p w14:paraId="56BFDDE9" w14:textId="77777777" w:rsidR="00433F57" w:rsidRPr="000E5941" w:rsidRDefault="00433F57" w:rsidP="00433F57">
      <w:pPr>
        <w:pStyle w:val="T1"/>
        <w:spacing w:before="0" w:after="0" w:line="240" w:lineRule="auto"/>
        <w:rPr>
          <w:rFonts w:asciiTheme="minorHAnsi" w:hAnsiTheme="minorHAnsi" w:cs="Arial"/>
          <w:b w:val="0"/>
          <w:bCs w:val="0"/>
          <w:sz w:val="22"/>
          <w:szCs w:val="22"/>
          <w:lang w:val="hr-HR"/>
        </w:rPr>
      </w:pPr>
    </w:p>
    <w:p w14:paraId="19B108B1" w14:textId="4F78F738" w:rsidR="00E65032" w:rsidRPr="000E5941" w:rsidRDefault="00E65032" w:rsidP="00433F57">
      <w:pPr>
        <w:pStyle w:val="T1"/>
        <w:spacing w:before="0" w:after="0" w:line="240" w:lineRule="auto"/>
        <w:rPr>
          <w:rFonts w:asciiTheme="minorHAnsi" w:hAnsiTheme="minorHAnsi"/>
          <w:b w:val="0"/>
          <w:sz w:val="22"/>
          <w:szCs w:val="22"/>
          <w:lang w:val="hr-HR"/>
        </w:rPr>
      </w:pPr>
      <w:r w:rsidRPr="000E5941">
        <w:rPr>
          <w:rFonts w:asciiTheme="minorHAnsi" w:hAnsiTheme="minorHAnsi" w:cs="Arial"/>
          <w:b w:val="0"/>
          <w:bCs w:val="0"/>
          <w:sz w:val="22"/>
          <w:szCs w:val="22"/>
          <w:lang w:val="hr-HR"/>
        </w:rPr>
        <w:t xml:space="preserve">Stavka „Ostalo“ </w:t>
      </w:r>
      <w:r w:rsidR="004933A3" w:rsidRPr="000E5941">
        <w:rPr>
          <w:rFonts w:asciiTheme="minorHAnsi" w:hAnsiTheme="minorHAnsi" w:cs="Arial"/>
          <w:b w:val="0"/>
          <w:bCs w:val="0"/>
          <w:sz w:val="22"/>
          <w:szCs w:val="22"/>
          <w:lang w:val="hr-HR"/>
        </w:rPr>
        <w:t xml:space="preserve">sadrži </w:t>
      </w:r>
      <w:r w:rsidRPr="000E5941">
        <w:rPr>
          <w:rFonts w:asciiTheme="minorHAnsi" w:hAnsiTheme="minorHAnsi" w:cs="Arial"/>
          <w:b w:val="0"/>
          <w:bCs w:val="0"/>
          <w:sz w:val="22"/>
          <w:szCs w:val="22"/>
          <w:lang w:val="hr-HR"/>
        </w:rPr>
        <w:t>obrnute repo plasmane u ukupnom iznosu</w:t>
      </w:r>
      <w:r w:rsidR="00005608" w:rsidRPr="000E5941">
        <w:rPr>
          <w:rFonts w:asciiTheme="minorHAnsi" w:hAnsiTheme="minorHAnsi" w:cs="Arial"/>
          <w:b w:val="0"/>
          <w:bCs w:val="0"/>
          <w:sz w:val="22"/>
          <w:szCs w:val="22"/>
          <w:lang w:val="hr-HR"/>
        </w:rPr>
        <w:t xml:space="preserve"> </w:t>
      </w:r>
      <w:r w:rsidR="0054389B">
        <w:rPr>
          <w:rFonts w:asciiTheme="minorHAnsi" w:hAnsiTheme="minorHAnsi" w:cs="Arial"/>
          <w:b w:val="0"/>
          <w:bCs w:val="0"/>
          <w:sz w:val="22"/>
          <w:szCs w:val="22"/>
          <w:lang w:val="hr-HR"/>
        </w:rPr>
        <w:t>324.789</w:t>
      </w:r>
      <w:r w:rsidRPr="000E5941">
        <w:rPr>
          <w:rFonts w:asciiTheme="minorHAnsi" w:hAnsiTheme="minorHAnsi" w:cs="Arial"/>
          <w:b w:val="0"/>
          <w:bCs w:val="0"/>
          <w:sz w:val="22"/>
          <w:szCs w:val="22"/>
          <w:lang w:val="hr-HR"/>
        </w:rPr>
        <w:t xml:space="preserve"> tisuća kuna (</w:t>
      </w:r>
      <w:r w:rsidR="00BB3267" w:rsidRPr="000E5941">
        <w:rPr>
          <w:rFonts w:asciiTheme="minorHAnsi" w:hAnsiTheme="minorHAnsi" w:cs="Arial"/>
          <w:b w:val="0"/>
          <w:bCs w:val="0"/>
          <w:sz w:val="22"/>
          <w:szCs w:val="22"/>
          <w:lang w:val="hr-HR"/>
        </w:rPr>
        <w:t>31.</w:t>
      </w:r>
      <w:r w:rsidR="006B35D1" w:rsidRPr="000E5941">
        <w:rPr>
          <w:rFonts w:asciiTheme="minorHAnsi" w:hAnsiTheme="minorHAnsi" w:cs="Arial"/>
          <w:b w:val="0"/>
          <w:bCs w:val="0"/>
          <w:sz w:val="22"/>
          <w:szCs w:val="22"/>
          <w:lang w:val="hr-HR"/>
        </w:rPr>
        <w:t xml:space="preserve"> prosinca </w:t>
      </w:r>
      <w:r w:rsidR="00635981" w:rsidRPr="000E5941">
        <w:rPr>
          <w:rFonts w:asciiTheme="minorHAnsi" w:hAnsiTheme="minorHAnsi" w:cs="Arial"/>
          <w:b w:val="0"/>
          <w:bCs w:val="0"/>
          <w:sz w:val="22"/>
          <w:szCs w:val="22"/>
          <w:lang w:val="hr-HR"/>
        </w:rPr>
        <w:t>201</w:t>
      </w:r>
      <w:r w:rsidR="0065161E" w:rsidRPr="000E5941">
        <w:rPr>
          <w:rFonts w:asciiTheme="minorHAnsi" w:hAnsiTheme="minorHAnsi" w:cs="Arial"/>
          <w:b w:val="0"/>
          <w:bCs w:val="0"/>
          <w:sz w:val="22"/>
          <w:szCs w:val="22"/>
          <w:lang w:val="hr-HR"/>
        </w:rPr>
        <w:t>6.</w:t>
      </w:r>
      <w:r w:rsidRPr="000E5941">
        <w:rPr>
          <w:rFonts w:asciiTheme="minorHAnsi" w:hAnsiTheme="minorHAnsi" w:cs="Arial"/>
          <w:b w:val="0"/>
          <w:bCs w:val="0"/>
          <w:sz w:val="22"/>
          <w:szCs w:val="22"/>
          <w:lang w:val="hr-HR"/>
        </w:rPr>
        <w:t xml:space="preserve"> godine: </w:t>
      </w:r>
      <w:r w:rsidR="00F86B5D" w:rsidRPr="000E5941">
        <w:rPr>
          <w:rFonts w:asciiTheme="minorHAnsi" w:hAnsiTheme="minorHAnsi" w:cs="Arial"/>
          <w:b w:val="0"/>
          <w:bCs w:val="0"/>
          <w:sz w:val="22"/>
          <w:szCs w:val="22"/>
          <w:lang w:val="hr-HR"/>
        </w:rPr>
        <w:t>232.489</w:t>
      </w:r>
      <w:r w:rsidR="00433F57" w:rsidRPr="000E5941">
        <w:rPr>
          <w:rFonts w:asciiTheme="minorHAnsi" w:hAnsiTheme="minorHAnsi" w:cs="Arial"/>
          <w:b w:val="0"/>
          <w:bCs w:val="0"/>
          <w:sz w:val="22"/>
          <w:szCs w:val="22"/>
          <w:lang w:val="hr-HR"/>
        </w:rPr>
        <w:t xml:space="preserve"> </w:t>
      </w:r>
      <w:r w:rsidR="004933A3" w:rsidRPr="000E5941">
        <w:rPr>
          <w:rFonts w:asciiTheme="minorHAnsi" w:hAnsiTheme="minorHAnsi" w:cs="Arial"/>
          <w:b w:val="0"/>
          <w:bCs w:val="0"/>
          <w:sz w:val="22"/>
          <w:szCs w:val="22"/>
          <w:lang w:val="hr-HR"/>
        </w:rPr>
        <w:t xml:space="preserve"> </w:t>
      </w:r>
      <w:r w:rsidRPr="000E5941">
        <w:rPr>
          <w:rFonts w:asciiTheme="minorHAnsi" w:hAnsiTheme="minorHAnsi" w:cs="Arial"/>
          <w:b w:val="0"/>
          <w:bCs w:val="0"/>
          <w:sz w:val="22"/>
          <w:szCs w:val="22"/>
          <w:lang w:val="hr-HR"/>
        </w:rPr>
        <w:t>tisuća kuna). Ovi su plasmani osigurani vrijednosnim papirima u</w:t>
      </w:r>
      <w:r w:rsidRPr="000E5941">
        <w:rPr>
          <w:rFonts w:asciiTheme="minorHAnsi" w:hAnsiTheme="minorHAnsi"/>
          <w:b w:val="0"/>
          <w:sz w:val="22"/>
          <w:szCs w:val="22"/>
          <w:lang w:val="hr-HR"/>
        </w:rPr>
        <w:t xml:space="preserve"> iznosu od </w:t>
      </w:r>
      <w:r w:rsidR="0054389B">
        <w:rPr>
          <w:rFonts w:asciiTheme="minorHAnsi" w:hAnsiTheme="minorHAnsi"/>
          <w:b w:val="0"/>
          <w:sz w:val="22"/>
          <w:szCs w:val="22"/>
          <w:lang w:val="hr-HR"/>
        </w:rPr>
        <w:t>344.702</w:t>
      </w:r>
      <w:r w:rsidR="00222BB6" w:rsidRPr="000E5941">
        <w:rPr>
          <w:rFonts w:asciiTheme="minorHAnsi" w:hAnsiTheme="minorHAnsi"/>
          <w:b w:val="0"/>
          <w:sz w:val="22"/>
          <w:szCs w:val="22"/>
          <w:lang w:val="hr-HR"/>
        </w:rPr>
        <w:t xml:space="preserve"> </w:t>
      </w:r>
      <w:r w:rsidRPr="000E5941">
        <w:rPr>
          <w:rFonts w:asciiTheme="minorHAnsi" w:hAnsiTheme="minorHAnsi"/>
          <w:b w:val="0"/>
          <w:sz w:val="22"/>
          <w:szCs w:val="22"/>
          <w:lang w:val="hr-HR"/>
        </w:rPr>
        <w:t>tisuća kuna (</w:t>
      </w:r>
      <w:r w:rsidR="004933A3" w:rsidRPr="000E5941">
        <w:rPr>
          <w:rFonts w:asciiTheme="minorHAnsi" w:hAnsiTheme="minorHAnsi"/>
          <w:b w:val="0"/>
          <w:sz w:val="22"/>
          <w:szCs w:val="22"/>
          <w:lang w:val="hr-HR"/>
        </w:rPr>
        <w:t>31.</w:t>
      </w:r>
      <w:r w:rsidR="006B35D1" w:rsidRPr="000E5941">
        <w:rPr>
          <w:rFonts w:asciiTheme="minorHAnsi" w:hAnsiTheme="minorHAnsi"/>
          <w:b w:val="0"/>
          <w:sz w:val="22"/>
          <w:szCs w:val="22"/>
          <w:lang w:val="hr-HR"/>
        </w:rPr>
        <w:t xml:space="preserve"> prosinca </w:t>
      </w:r>
      <w:r w:rsidR="00635981" w:rsidRPr="000E5941">
        <w:rPr>
          <w:rFonts w:asciiTheme="minorHAnsi" w:hAnsiTheme="minorHAnsi"/>
          <w:b w:val="0"/>
          <w:sz w:val="22"/>
          <w:szCs w:val="22"/>
          <w:lang w:val="hr-HR"/>
        </w:rPr>
        <w:t>201</w:t>
      </w:r>
      <w:r w:rsidR="00F86B5D" w:rsidRPr="000E5941">
        <w:rPr>
          <w:rFonts w:asciiTheme="minorHAnsi" w:hAnsiTheme="minorHAnsi"/>
          <w:b w:val="0"/>
          <w:sz w:val="22"/>
          <w:szCs w:val="22"/>
          <w:lang w:val="hr-HR"/>
        </w:rPr>
        <w:t>6</w:t>
      </w:r>
      <w:r w:rsidRPr="000E5941">
        <w:rPr>
          <w:rFonts w:asciiTheme="minorHAnsi" w:hAnsiTheme="minorHAnsi"/>
          <w:b w:val="0"/>
          <w:sz w:val="22"/>
          <w:szCs w:val="22"/>
          <w:lang w:val="hr-HR"/>
        </w:rPr>
        <w:t xml:space="preserve">. godine: </w:t>
      </w:r>
      <w:r w:rsidR="00F86B5D" w:rsidRPr="000E5941">
        <w:rPr>
          <w:rFonts w:asciiTheme="minorHAnsi" w:hAnsiTheme="minorHAnsi"/>
          <w:b w:val="0"/>
          <w:sz w:val="22"/>
          <w:szCs w:val="22"/>
          <w:lang w:val="hr-HR"/>
        </w:rPr>
        <w:t>247.026</w:t>
      </w:r>
      <w:r w:rsidR="00635981" w:rsidRPr="000E5941">
        <w:rPr>
          <w:rFonts w:asciiTheme="minorHAnsi" w:hAnsiTheme="minorHAnsi"/>
          <w:b w:val="0"/>
          <w:sz w:val="22"/>
          <w:szCs w:val="22"/>
          <w:lang w:val="hr-HR"/>
        </w:rPr>
        <w:t xml:space="preserve"> </w:t>
      </w:r>
      <w:r w:rsidRPr="000E5941">
        <w:rPr>
          <w:rFonts w:asciiTheme="minorHAnsi" w:hAnsiTheme="minorHAnsi"/>
          <w:b w:val="0"/>
          <w:sz w:val="22"/>
          <w:szCs w:val="22"/>
          <w:lang w:val="hr-HR"/>
        </w:rPr>
        <w:t>tisuća kuna).</w:t>
      </w:r>
    </w:p>
    <w:p w14:paraId="37A727FF" w14:textId="77777777" w:rsidR="00433F57" w:rsidRPr="000E5941" w:rsidRDefault="00433F57" w:rsidP="00433F57">
      <w:pPr>
        <w:pStyle w:val="T1"/>
        <w:spacing w:before="0" w:after="0" w:line="240" w:lineRule="auto"/>
        <w:rPr>
          <w:rFonts w:asciiTheme="minorHAnsi" w:hAnsiTheme="minorHAnsi"/>
          <w:b w:val="0"/>
          <w:sz w:val="22"/>
          <w:szCs w:val="22"/>
          <w:lang w:val="hr-HR"/>
        </w:rPr>
      </w:pPr>
    </w:p>
    <w:p w14:paraId="22B6363C" w14:textId="15ECD668" w:rsidR="00BA7820" w:rsidRPr="005F585F" w:rsidRDefault="00BA7820" w:rsidP="00433F57">
      <w:pPr>
        <w:pStyle w:val="T1"/>
        <w:spacing w:before="0" w:after="0" w:line="240" w:lineRule="auto"/>
        <w:rPr>
          <w:rFonts w:asciiTheme="minorHAnsi" w:hAnsiTheme="minorHAnsi"/>
          <w:b w:val="0"/>
          <w:sz w:val="21"/>
          <w:szCs w:val="21"/>
          <w:lang w:val="hr-HR"/>
        </w:rPr>
      </w:pPr>
      <w:r w:rsidRPr="000E5941">
        <w:rPr>
          <w:rFonts w:asciiTheme="minorHAnsi" w:hAnsiTheme="minorHAnsi"/>
          <w:b w:val="0"/>
          <w:sz w:val="22"/>
          <w:szCs w:val="22"/>
          <w:lang w:val="hr-HR"/>
        </w:rPr>
        <w:t xml:space="preserve">U izvještajnom razdoblju obavljeno je formiranje rezerviranja po kreditima </w:t>
      </w:r>
      <w:r w:rsidR="00DF596A" w:rsidRPr="000E5941">
        <w:rPr>
          <w:rFonts w:asciiTheme="minorHAnsi" w:hAnsiTheme="minorHAnsi"/>
          <w:b w:val="0"/>
          <w:sz w:val="22"/>
          <w:szCs w:val="22"/>
          <w:lang w:val="hr-HR"/>
        </w:rPr>
        <w:t>financijskim institucijama</w:t>
      </w:r>
      <w:r w:rsidRPr="000E5941">
        <w:rPr>
          <w:rFonts w:asciiTheme="minorHAnsi" w:hAnsiTheme="minorHAnsi"/>
          <w:b w:val="0"/>
          <w:sz w:val="22"/>
          <w:szCs w:val="22"/>
          <w:lang w:val="hr-HR"/>
        </w:rPr>
        <w:t xml:space="preserve"> u iznosu od </w:t>
      </w:r>
      <w:r w:rsidR="0054389B">
        <w:rPr>
          <w:rFonts w:asciiTheme="minorHAnsi" w:hAnsiTheme="minorHAnsi"/>
          <w:b w:val="0"/>
          <w:sz w:val="22"/>
          <w:szCs w:val="22"/>
          <w:lang w:val="hr-HR"/>
        </w:rPr>
        <w:t>5.480</w:t>
      </w:r>
      <w:r w:rsidRPr="000E5941">
        <w:rPr>
          <w:rFonts w:asciiTheme="minorHAnsi" w:hAnsiTheme="minorHAnsi"/>
          <w:b w:val="0"/>
          <w:sz w:val="22"/>
          <w:szCs w:val="22"/>
          <w:lang w:val="hr-HR"/>
        </w:rPr>
        <w:t xml:space="preserve"> tisuća kuna te ukidanje rezerviranja u iznosu od </w:t>
      </w:r>
      <w:r w:rsidR="0054389B">
        <w:rPr>
          <w:rFonts w:asciiTheme="minorHAnsi" w:hAnsiTheme="minorHAnsi"/>
          <w:b w:val="0"/>
          <w:sz w:val="22"/>
          <w:szCs w:val="22"/>
          <w:lang w:val="hr-HR"/>
        </w:rPr>
        <w:t>62.834</w:t>
      </w:r>
      <w:r w:rsidRPr="000E5941">
        <w:rPr>
          <w:rFonts w:asciiTheme="minorHAnsi" w:hAnsiTheme="minorHAnsi"/>
          <w:b w:val="0"/>
          <w:sz w:val="22"/>
          <w:szCs w:val="22"/>
          <w:lang w:val="hr-HR"/>
        </w:rPr>
        <w:t xml:space="preserve"> tisuća kuna.</w:t>
      </w:r>
    </w:p>
    <w:p w14:paraId="434B520C" w14:textId="77777777" w:rsidR="00433F57" w:rsidRDefault="00433F57" w:rsidP="00433F57">
      <w:pPr>
        <w:pStyle w:val="T1"/>
        <w:spacing w:before="0" w:after="0" w:line="240" w:lineRule="auto"/>
        <w:rPr>
          <w:rFonts w:asciiTheme="minorHAnsi" w:hAnsiTheme="minorHAnsi"/>
          <w:b w:val="0"/>
          <w:sz w:val="22"/>
          <w:szCs w:val="22"/>
          <w:lang w:val="hr-HR"/>
        </w:rPr>
        <w:sectPr w:rsidR="00433F57" w:rsidSect="00C30367">
          <w:footerReference w:type="default" r:id="rId71"/>
          <w:footerReference w:type="first" r:id="rId72"/>
          <w:pgSz w:w="11906" w:h="16838" w:code="9"/>
          <w:pgMar w:top="1418" w:right="1418" w:bottom="595" w:left="1134" w:header="709" w:footer="578" w:gutter="0"/>
          <w:cols w:space="708"/>
          <w:titlePg/>
          <w:docGrid w:linePitch="360"/>
        </w:sectPr>
      </w:pPr>
    </w:p>
    <w:p w14:paraId="3B975D51" w14:textId="77777777" w:rsidR="00AD06C7" w:rsidRPr="00ED4731" w:rsidRDefault="00AD06C7" w:rsidP="00861DF8">
      <w:pPr>
        <w:pStyle w:val="T1"/>
        <w:spacing w:before="0" w:after="0" w:line="240" w:lineRule="auto"/>
        <w:rPr>
          <w:rFonts w:asciiTheme="minorHAnsi" w:hAnsiTheme="minorHAnsi"/>
          <w:b w:val="0"/>
          <w:sz w:val="22"/>
          <w:szCs w:val="22"/>
          <w:lang w:val="hr-HR"/>
        </w:rPr>
      </w:pPr>
    </w:p>
    <w:p w14:paraId="38E3C6CA" w14:textId="77777777" w:rsidR="00035A14" w:rsidRPr="001F4E39" w:rsidRDefault="0039508C" w:rsidP="00D07AE4">
      <w:pPr>
        <w:tabs>
          <w:tab w:val="left" w:pos="-720"/>
          <w:tab w:val="left" w:pos="567"/>
        </w:tabs>
        <w:spacing w:after="0" w:line="240" w:lineRule="auto"/>
        <w:jc w:val="both"/>
        <w:rPr>
          <w:b/>
          <w:lang w:eastAsia="hr-HR"/>
        </w:rPr>
      </w:pPr>
      <w:r w:rsidRPr="001F4E39">
        <w:rPr>
          <w:b/>
          <w:lang w:eastAsia="hr-HR"/>
        </w:rPr>
        <w:t>10</w:t>
      </w:r>
      <w:r w:rsidR="00E23075" w:rsidRPr="001F4E39">
        <w:rPr>
          <w:b/>
          <w:lang w:eastAsia="hr-HR"/>
        </w:rPr>
        <w:t xml:space="preserve">. </w:t>
      </w:r>
      <w:r w:rsidR="00E23075" w:rsidRPr="001F4E39">
        <w:rPr>
          <w:b/>
          <w:lang w:eastAsia="hr-HR"/>
        </w:rPr>
        <w:tab/>
      </w:r>
      <w:r w:rsidR="008A7CD9" w:rsidRPr="001F4E39">
        <w:rPr>
          <w:b/>
          <w:lang w:eastAsia="hr-HR"/>
        </w:rPr>
        <w:t>Krediti ostalim korisnicima</w:t>
      </w:r>
    </w:p>
    <w:tbl>
      <w:tblPr>
        <w:tblW w:w="5000" w:type="pct"/>
        <w:tblLayout w:type="fixed"/>
        <w:tblCellMar>
          <w:left w:w="119" w:type="dxa"/>
          <w:right w:w="119" w:type="dxa"/>
        </w:tblCellMar>
        <w:tblLook w:val="0000" w:firstRow="0" w:lastRow="0" w:firstColumn="0" w:lastColumn="0" w:noHBand="0" w:noVBand="0"/>
      </w:tblPr>
      <w:tblGrid>
        <w:gridCol w:w="3829"/>
        <w:gridCol w:w="1557"/>
        <w:gridCol w:w="1347"/>
        <w:gridCol w:w="1347"/>
        <w:gridCol w:w="1274"/>
      </w:tblGrid>
      <w:tr w:rsidR="00B35D9E" w:rsidRPr="00861DF8" w14:paraId="2FF46BDF" w14:textId="77777777" w:rsidTr="00312975">
        <w:trPr>
          <w:trHeight w:hRule="exact" w:val="340"/>
        </w:trPr>
        <w:tc>
          <w:tcPr>
            <w:tcW w:w="2047" w:type="pct"/>
            <w:vAlign w:val="center"/>
          </w:tcPr>
          <w:p w14:paraId="154E0F79" w14:textId="77777777" w:rsidR="00B35D9E" w:rsidRPr="00861DF8" w:rsidRDefault="00B35D9E" w:rsidP="0060762F">
            <w:pPr>
              <w:tabs>
                <w:tab w:val="left" w:pos="-720"/>
              </w:tabs>
              <w:suppressAutoHyphens/>
              <w:spacing w:after="0" w:line="200" w:lineRule="exact"/>
              <w:jc w:val="right"/>
              <w:rPr>
                <w:rFonts w:eastAsia="Times New Roman" w:cs="Arial"/>
                <w:spacing w:val="-2"/>
                <w:sz w:val="20"/>
                <w:szCs w:val="20"/>
              </w:rPr>
            </w:pPr>
          </w:p>
        </w:tc>
        <w:tc>
          <w:tcPr>
            <w:tcW w:w="1552" w:type="pct"/>
            <w:gridSpan w:val="2"/>
            <w:vAlign w:val="center"/>
          </w:tcPr>
          <w:p w14:paraId="6EB4517F" w14:textId="77777777" w:rsidR="00B35D9E" w:rsidRPr="00861DF8" w:rsidRDefault="00B35D9E" w:rsidP="0060762F">
            <w:pPr>
              <w:tabs>
                <w:tab w:val="right" w:pos="1202"/>
              </w:tabs>
              <w:spacing w:after="0" w:line="200" w:lineRule="exact"/>
              <w:jc w:val="right"/>
              <w:outlineLvl w:val="0"/>
              <w:rPr>
                <w:rFonts w:eastAsia="Times New Roman" w:cs="Arial"/>
                <w:b/>
                <w:sz w:val="20"/>
                <w:szCs w:val="20"/>
              </w:rPr>
            </w:pPr>
            <w:r w:rsidRPr="00861DF8">
              <w:rPr>
                <w:rFonts w:eastAsia="Times New Roman" w:cs="Arial"/>
                <w:b/>
                <w:sz w:val="20"/>
                <w:szCs w:val="20"/>
              </w:rPr>
              <w:t>Grupa</w:t>
            </w:r>
          </w:p>
        </w:tc>
        <w:tc>
          <w:tcPr>
            <w:tcW w:w="1401" w:type="pct"/>
            <w:gridSpan w:val="2"/>
            <w:vAlign w:val="center"/>
          </w:tcPr>
          <w:p w14:paraId="16A76C5A" w14:textId="77777777" w:rsidR="00B35D9E" w:rsidRPr="00861DF8" w:rsidRDefault="00B35D9E" w:rsidP="0060762F">
            <w:pPr>
              <w:tabs>
                <w:tab w:val="right" w:pos="1202"/>
              </w:tabs>
              <w:spacing w:after="0" w:line="200" w:lineRule="exact"/>
              <w:jc w:val="right"/>
              <w:outlineLvl w:val="0"/>
              <w:rPr>
                <w:rFonts w:eastAsia="Times New Roman" w:cs="Arial"/>
                <w:b/>
                <w:sz w:val="20"/>
                <w:szCs w:val="20"/>
              </w:rPr>
            </w:pPr>
            <w:r w:rsidRPr="00861DF8">
              <w:rPr>
                <w:rFonts w:eastAsia="Times New Roman" w:cs="Arial"/>
                <w:b/>
                <w:sz w:val="20"/>
                <w:szCs w:val="20"/>
              </w:rPr>
              <w:t>Banka</w:t>
            </w:r>
          </w:p>
        </w:tc>
      </w:tr>
      <w:tr w:rsidR="00845ECD" w:rsidRPr="00861DF8" w14:paraId="491E57ED" w14:textId="77777777" w:rsidTr="00845ECD">
        <w:trPr>
          <w:trHeight w:hRule="exact" w:val="347"/>
        </w:trPr>
        <w:tc>
          <w:tcPr>
            <w:tcW w:w="2047" w:type="pct"/>
            <w:vAlign w:val="center"/>
          </w:tcPr>
          <w:p w14:paraId="4EDB262C" w14:textId="77777777" w:rsidR="00532810" w:rsidRPr="00861DF8" w:rsidRDefault="00532810" w:rsidP="00532810">
            <w:pPr>
              <w:tabs>
                <w:tab w:val="left" w:pos="-720"/>
              </w:tabs>
              <w:suppressAutoHyphens/>
              <w:spacing w:after="0" w:line="200" w:lineRule="exact"/>
              <w:jc w:val="right"/>
              <w:rPr>
                <w:rFonts w:eastAsia="Times New Roman" w:cs="Arial"/>
                <w:spacing w:val="-2"/>
                <w:sz w:val="20"/>
                <w:szCs w:val="20"/>
              </w:rPr>
            </w:pPr>
          </w:p>
        </w:tc>
        <w:tc>
          <w:tcPr>
            <w:tcW w:w="832" w:type="pct"/>
            <w:vAlign w:val="center"/>
          </w:tcPr>
          <w:p w14:paraId="48544FDC" w14:textId="615649F5" w:rsidR="00532810" w:rsidRPr="00202F35" w:rsidRDefault="00C30367">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3</w:t>
            </w:r>
            <w:r>
              <w:rPr>
                <w:rFonts w:eastAsia="Times New Roman" w:cs="Arial"/>
                <w:b/>
                <w:sz w:val="20"/>
                <w:szCs w:val="20"/>
              </w:rPr>
              <w:t>0</w:t>
            </w:r>
            <w:r w:rsidR="00532810" w:rsidRPr="000C1F7F">
              <w:rPr>
                <w:rFonts w:eastAsia="Times New Roman" w:cs="Arial"/>
                <w:b/>
                <w:sz w:val="20"/>
                <w:szCs w:val="20"/>
              </w:rPr>
              <w:t>.</w:t>
            </w:r>
            <w:r>
              <w:rPr>
                <w:rFonts w:eastAsia="Times New Roman" w:cs="Arial"/>
                <w:b/>
                <w:sz w:val="20"/>
                <w:szCs w:val="20"/>
              </w:rPr>
              <w:t>6</w:t>
            </w:r>
            <w:r w:rsidR="00532810" w:rsidRPr="000C1F7F">
              <w:rPr>
                <w:rFonts w:eastAsia="Times New Roman" w:cs="Arial"/>
                <w:b/>
                <w:sz w:val="20"/>
                <w:szCs w:val="20"/>
              </w:rPr>
              <w:t>.2017.</w:t>
            </w:r>
          </w:p>
        </w:tc>
        <w:tc>
          <w:tcPr>
            <w:tcW w:w="719" w:type="pct"/>
            <w:vAlign w:val="center"/>
          </w:tcPr>
          <w:p w14:paraId="658877A5" w14:textId="7FA42DF7" w:rsidR="00532810" w:rsidRPr="00202F35" w:rsidRDefault="00532810" w:rsidP="00532810">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31.12.2016.</w:t>
            </w:r>
          </w:p>
        </w:tc>
        <w:tc>
          <w:tcPr>
            <w:tcW w:w="720" w:type="pct"/>
            <w:vAlign w:val="center"/>
          </w:tcPr>
          <w:p w14:paraId="3F62F525" w14:textId="735A614A" w:rsidR="00532810" w:rsidRPr="00202F35" w:rsidRDefault="00060490">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3</w:t>
            </w:r>
            <w:r>
              <w:rPr>
                <w:rFonts w:eastAsia="Times New Roman" w:cs="Arial"/>
                <w:b/>
                <w:sz w:val="20"/>
                <w:szCs w:val="20"/>
              </w:rPr>
              <w:t>0</w:t>
            </w:r>
            <w:r w:rsidR="00532810" w:rsidRPr="000C1F7F">
              <w:rPr>
                <w:rFonts w:eastAsia="Times New Roman" w:cs="Arial"/>
                <w:b/>
                <w:sz w:val="20"/>
                <w:szCs w:val="20"/>
              </w:rPr>
              <w:t>.</w:t>
            </w:r>
            <w:r>
              <w:rPr>
                <w:rFonts w:eastAsia="Times New Roman" w:cs="Arial"/>
                <w:b/>
                <w:sz w:val="20"/>
                <w:szCs w:val="20"/>
              </w:rPr>
              <w:t>6</w:t>
            </w:r>
            <w:r w:rsidR="00532810" w:rsidRPr="000C1F7F">
              <w:rPr>
                <w:rFonts w:eastAsia="Times New Roman" w:cs="Arial"/>
                <w:b/>
                <w:sz w:val="20"/>
                <w:szCs w:val="20"/>
              </w:rPr>
              <w:t>.2017.</w:t>
            </w:r>
          </w:p>
        </w:tc>
        <w:tc>
          <w:tcPr>
            <w:tcW w:w="681" w:type="pct"/>
            <w:vAlign w:val="center"/>
          </w:tcPr>
          <w:p w14:paraId="52635E1D" w14:textId="3C7EA91A" w:rsidR="00532810" w:rsidRPr="00202F35" w:rsidRDefault="00532810" w:rsidP="00532810">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31.12.2016.</w:t>
            </w:r>
          </w:p>
        </w:tc>
      </w:tr>
      <w:tr w:rsidR="00845ECD" w:rsidRPr="00861DF8" w14:paraId="7EFB28B1" w14:textId="77777777" w:rsidTr="00312975">
        <w:trPr>
          <w:trHeight w:hRule="exact" w:val="284"/>
        </w:trPr>
        <w:tc>
          <w:tcPr>
            <w:tcW w:w="2047" w:type="pct"/>
            <w:vAlign w:val="bottom"/>
          </w:tcPr>
          <w:p w14:paraId="2C1FED53" w14:textId="77777777" w:rsidR="00845ECD" w:rsidRPr="00861DF8" w:rsidRDefault="00845ECD" w:rsidP="00845ECD">
            <w:pPr>
              <w:tabs>
                <w:tab w:val="right" w:pos="1202"/>
              </w:tabs>
              <w:spacing w:after="0" w:line="200" w:lineRule="exact"/>
              <w:outlineLvl w:val="0"/>
              <w:rPr>
                <w:rFonts w:eastAsia="Times New Roman" w:cs="Arial"/>
                <w:sz w:val="20"/>
                <w:szCs w:val="20"/>
              </w:rPr>
            </w:pPr>
            <w:r w:rsidRPr="00861DF8">
              <w:rPr>
                <w:rFonts w:eastAsia="Times New Roman" w:cs="Arial"/>
                <w:sz w:val="20"/>
                <w:szCs w:val="20"/>
              </w:rPr>
              <w:t>Domaća trgovačka društva</w:t>
            </w:r>
          </w:p>
        </w:tc>
        <w:tc>
          <w:tcPr>
            <w:tcW w:w="832" w:type="pct"/>
            <w:tcBorders>
              <w:top w:val="nil"/>
              <w:left w:val="nil"/>
              <w:bottom w:val="nil"/>
              <w:right w:val="nil"/>
            </w:tcBorders>
            <w:shd w:val="clear" w:color="auto" w:fill="auto"/>
            <w:vAlign w:val="bottom"/>
          </w:tcPr>
          <w:p w14:paraId="5FE054E7" w14:textId="6D533703" w:rsidR="00845ECD" w:rsidRPr="00312975" w:rsidRDefault="00845ECD" w:rsidP="00845ECD">
            <w:pPr>
              <w:tabs>
                <w:tab w:val="right" w:pos="1202"/>
              </w:tabs>
              <w:spacing w:after="0" w:line="200" w:lineRule="exact"/>
              <w:jc w:val="right"/>
              <w:outlineLvl w:val="0"/>
              <w:rPr>
                <w:rFonts w:ascii="Calibri" w:hAnsi="Calibri"/>
                <w:color w:val="000000"/>
                <w:sz w:val="20"/>
                <w:szCs w:val="20"/>
              </w:rPr>
            </w:pPr>
            <w:r w:rsidRPr="00312975">
              <w:rPr>
                <w:rFonts w:ascii="Calibri" w:hAnsi="Calibri"/>
                <w:color w:val="000000"/>
                <w:sz w:val="20"/>
                <w:szCs w:val="20"/>
              </w:rPr>
              <w:t>10.637.761</w:t>
            </w:r>
          </w:p>
        </w:tc>
        <w:tc>
          <w:tcPr>
            <w:tcW w:w="719" w:type="pct"/>
            <w:tcBorders>
              <w:top w:val="nil"/>
              <w:left w:val="nil"/>
              <w:bottom w:val="nil"/>
              <w:right w:val="nil"/>
            </w:tcBorders>
            <w:shd w:val="clear" w:color="auto" w:fill="auto"/>
            <w:vAlign w:val="bottom"/>
          </w:tcPr>
          <w:p w14:paraId="3C261442" w14:textId="11F1837B" w:rsidR="00845ECD" w:rsidRPr="00D72273" w:rsidRDefault="00845ECD" w:rsidP="00845ECD">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10.463.392</w:t>
            </w:r>
          </w:p>
        </w:tc>
        <w:tc>
          <w:tcPr>
            <w:tcW w:w="720" w:type="pct"/>
            <w:tcBorders>
              <w:top w:val="nil"/>
              <w:left w:val="nil"/>
              <w:bottom w:val="nil"/>
              <w:right w:val="nil"/>
            </w:tcBorders>
            <w:shd w:val="clear" w:color="auto" w:fill="auto"/>
            <w:vAlign w:val="bottom"/>
          </w:tcPr>
          <w:p w14:paraId="1BE408DD" w14:textId="2C7253EB" w:rsidR="00845ECD" w:rsidRPr="00845ECD" w:rsidRDefault="00845ECD">
            <w:pPr>
              <w:tabs>
                <w:tab w:val="right" w:pos="1202"/>
              </w:tabs>
              <w:spacing w:after="0" w:line="200" w:lineRule="exact"/>
              <w:jc w:val="right"/>
              <w:outlineLvl w:val="0"/>
              <w:rPr>
                <w:rFonts w:ascii="Calibri" w:hAnsi="Calibri"/>
                <w:color w:val="000000"/>
                <w:sz w:val="20"/>
                <w:szCs w:val="20"/>
              </w:rPr>
            </w:pPr>
            <w:r w:rsidRPr="00312975">
              <w:rPr>
                <w:rFonts w:ascii="Calibri" w:hAnsi="Calibri"/>
                <w:color w:val="000000"/>
                <w:sz w:val="20"/>
                <w:szCs w:val="20"/>
              </w:rPr>
              <w:t>10.637.761</w:t>
            </w:r>
          </w:p>
        </w:tc>
        <w:tc>
          <w:tcPr>
            <w:tcW w:w="681" w:type="pct"/>
            <w:tcBorders>
              <w:top w:val="nil"/>
              <w:left w:val="nil"/>
              <w:bottom w:val="nil"/>
              <w:right w:val="nil"/>
            </w:tcBorders>
            <w:shd w:val="clear" w:color="auto" w:fill="auto"/>
            <w:vAlign w:val="bottom"/>
          </w:tcPr>
          <w:p w14:paraId="1634B472" w14:textId="4963E657" w:rsidR="00845ECD" w:rsidRPr="00D72273" w:rsidRDefault="00845ECD" w:rsidP="00845ECD">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10.463.392</w:t>
            </w:r>
          </w:p>
        </w:tc>
      </w:tr>
      <w:tr w:rsidR="00845ECD" w:rsidRPr="00861DF8" w14:paraId="49FF5099" w14:textId="77777777" w:rsidTr="00312975">
        <w:trPr>
          <w:trHeight w:hRule="exact" w:val="284"/>
        </w:trPr>
        <w:tc>
          <w:tcPr>
            <w:tcW w:w="2047" w:type="pct"/>
            <w:vAlign w:val="bottom"/>
          </w:tcPr>
          <w:p w14:paraId="0454FFBF" w14:textId="77777777" w:rsidR="00845ECD" w:rsidRPr="00861DF8" w:rsidRDefault="00845ECD" w:rsidP="00845ECD">
            <w:pPr>
              <w:tabs>
                <w:tab w:val="right" w:pos="1202"/>
              </w:tabs>
              <w:spacing w:after="0" w:line="200" w:lineRule="exact"/>
              <w:outlineLvl w:val="0"/>
              <w:rPr>
                <w:rFonts w:eastAsia="Times New Roman" w:cs="Arial"/>
                <w:spacing w:val="-3"/>
                <w:sz w:val="20"/>
                <w:szCs w:val="20"/>
              </w:rPr>
            </w:pPr>
            <w:r w:rsidRPr="00861DF8">
              <w:rPr>
                <w:rFonts w:eastAsia="Times New Roman" w:cs="Arial"/>
                <w:sz w:val="20"/>
                <w:szCs w:val="20"/>
              </w:rPr>
              <w:t>Državna trgovačka društva</w:t>
            </w:r>
          </w:p>
        </w:tc>
        <w:tc>
          <w:tcPr>
            <w:tcW w:w="832" w:type="pct"/>
            <w:tcBorders>
              <w:top w:val="nil"/>
              <w:left w:val="nil"/>
              <w:bottom w:val="nil"/>
              <w:right w:val="nil"/>
            </w:tcBorders>
            <w:shd w:val="clear" w:color="auto" w:fill="auto"/>
            <w:vAlign w:val="bottom"/>
          </w:tcPr>
          <w:p w14:paraId="4BE3F629" w14:textId="390A3284" w:rsidR="00845ECD" w:rsidRPr="00312975" w:rsidRDefault="00845ECD" w:rsidP="00845ECD">
            <w:pPr>
              <w:tabs>
                <w:tab w:val="right" w:pos="1202"/>
              </w:tabs>
              <w:spacing w:after="0" w:line="200" w:lineRule="exact"/>
              <w:jc w:val="right"/>
              <w:outlineLvl w:val="0"/>
              <w:rPr>
                <w:rFonts w:ascii="Calibri" w:hAnsi="Calibri"/>
                <w:color w:val="000000"/>
                <w:sz w:val="20"/>
                <w:szCs w:val="20"/>
              </w:rPr>
            </w:pPr>
            <w:r w:rsidRPr="00312975">
              <w:rPr>
                <w:rFonts w:ascii="Calibri" w:hAnsi="Calibri"/>
                <w:color w:val="000000"/>
                <w:sz w:val="20"/>
                <w:szCs w:val="20"/>
              </w:rPr>
              <w:t>1.261.562</w:t>
            </w:r>
          </w:p>
        </w:tc>
        <w:tc>
          <w:tcPr>
            <w:tcW w:w="719" w:type="pct"/>
            <w:tcBorders>
              <w:top w:val="nil"/>
              <w:left w:val="nil"/>
              <w:bottom w:val="nil"/>
              <w:right w:val="nil"/>
            </w:tcBorders>
            <w:shd w:val="clear" w:color="auto" w:fill="auto"/>
            <w:vAlign w:val="bottom"/>
          </w:tcPr>
          <w:p w14:paraId="03677072" w14:textId="794DCF09" w:rsidR="00845ECD" w:rsidRPr="00D72273" w:rsidRDefault="00845ECD" w:rsidP="00845ECD">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1.183.103</w:t>
            </w:r>
          </w:p>
        </w:tc>
        <w:tc>
          <w:tcPr>
            <w:tcW w:w="720" w:type="pct"/>
            <w:tcBorders>
              <w:top w:val="nil"/>
              <w:left w:val="nil"/>
              <w:bottom w:val="nil"/>
              <w:right w:val="nil"/>
            </w:tcBorders>
            <w:shd w:val="clear" w:color="auto" w:fill="auto"/>
            <w:vAlign w:val="bottom"/>
          </w:tcPr>
          <w:p w14:paraId="325167F5" w14:textId="5740CB1E" w:rsidR="00845ECD" w:rsidRPr="00845ECD" w:rsidRDefault="00845ECD">
            <w:pPr>
              <w:tabs>
                <w:tab w:val="right" w:pos="1202"/>
              </w:tabs>
              <w:spacing w:after="0" w:line="200" w:lineRule="exact"/>
              <w:jc w:val="right"/>
              <w:outlineLvl w:val="0"/>
              <w:rPr>
                <w:rFonts w:ascii="Calibri" w:hAnsi="Calibri"/>
                <w:color w:val="000000"/>
                <w:sz w:val="20"/>
                <w:szCs w:val="20"/>
              </w:rPr>
            </w:pPr>
            <w:r w:rsidRPr="00312975">
              <w:rPr>
                <w:rFonts w:ascii="Calibri" w:hAnsi="Calibri"/>
                <w:color w:val="000000"/>
                <w:sz w:val="20"/>
                <w:szCs w:val="20"/>
              </w:rPr>
              <w:t>1.261.562</w:t>
            </w:r>
          </w:p>
        </w:tc>
        <w:tc>
          <w:tcPr>
            <w:tcW w:w="681" w:type="pct"/>
            <w:tcBorders>
              <w:top w:val="nil"/>
              <w:left w:val="nil"/>
              <w:bottom w:val="nil"/>
              <w:right w:val="nil"/>
            </w:tcBorders>
            <w:shd w:val="clear" w:color="auto" w:fill="auto"/>
            <w:vAlign w:val="bottom"/>
          </w:tcPr>
          <w:p w14:paraId="780DF1B9" w14:textId="1888823B" w:rsidR="00845ECD" w:rsidRPr="00532810" w:rsidRDefault="00845ECD" w:rsidP="00845ECD">
            <w:pPr>
              <w:tabs>
                <w:tab w:val="right" w:pos="1202"/>
              </w:tabs>
              <w:spacing w:after="0" w:line="200" w:lineRule="exact"/>
              <w:jc w:val="right"/>
              <w:outlineLvl w:val="0"/>
              <w:rPr>
                <w:rFonts w:ascii="Calibri" w:eastAsia="Times New Roman" w:hAnsi="Calibri" w:cs="Times New Roman"/>
                <w:color w:val="000000"/>
                <w:sz w:val="20"/>
                <w:szCs w:val="20"/>
                <w:lang w:eastAsia="hr-HR"/>
              </w:rPr>
            </w:pPr>
            <w:r w:rsidRPr="00532810">
              <w:rPr>
                <w:rFonts w:ascii="Calibri" w:hAnsi="Calibri"/>
                <w:color w:val="000000"/>
                <w:sz w:val="20"/>
                <w:szCs w:val="20"/>
              </w:rPr>
              <w:t>1.183.103</w:t>
            </w:r>
          </w:p>
        </w:tc>
      </w:tr>
      <w:tr w:rsidR="00845ECD" w:rsidRPr="00861DF8" w14:paraId="3AEF906A" w14:textId="77777777" w:rsidTr="00312975">
        <w:trPr>
          <w:trHeight w:hRule="exact" w:val="284"/>
        </w:trPr>
        <w:tc>
          <w:tcPr>
            <w:tcW w:w="2047" w:type="pct"/>
            <w:vAlign w:val="bottom"/>
          </w:tcPr>
          <w:p w14:paraId="62C3EA4D" w14:textId="77777777" w:rsidR="00845ECD" w:rsidRPr="00861DF8" w:rsidRDefault="00845ECD" w:rsidP="00845ECD">
            <w:pPr>
              <w:tabs>
                <w:tab w:val="right" w:pos="1202"/>
              </w:tabs>
              <w:spacing w:after="0" w:line="200" w:lineRule="exact"/>
              <w:outlineLvl w:val="0"/>
              <w:rPr>
                <w:rFonts w:eastAsia="Times New Roman" w:cs="Arial"/>
                <w:spacing w:val="-3"/>
                <w:sz w:val="20"/>
                <w:szCs w:val="20"/>
              </w:rPr>
            </w:pPr>
            <w:r w:rsidRPr="00861DF8">
              <w:rPr>
                <w:rFonts w:eastAsia="Times New Roman" w:cs="Arial"/>
                <w:sz w:val="20"/>
                <w:szCs w:val="20"/>
              </w:rPr>
              <w:t>Javni sektor</w:t>
            </w:r>
          </w:p>
        </w:tc>
        <w:tc>
          <w:tcPr>
            <w:tcW w:w="832" w:type="pct"/>
            <w:tcBorders>
              <w:top w:val="nil"/>
              <w:left w:val="nil"/>
              <w:bottom w:val="nil"/>
              <w:right w:val="nil"/>
            </w:tcBorders>
            <w:shd w:val="clear" w:color="auto" w:fill="auto"/>
            <w:vAlign w:val="bottom"/>
          </w:tcPr>
          <w:p w14:paraId="11007B52" w14:textId="6BBD1D94" w:rsidR="00845ECD" w:rsidRPr="00312975" w:rsidRDefault="00845ECD" w:rsidP="00845ECD">
            <w:pPr>
              <w:tabs>
                <w:tab w:val="right" w:pos="1202"/>
              </w:tabs>
              <w:spacing w:after="0" w:line="200" w:lineRule="exact"/>
              <w:jc w:val="right"/>
              <w:outlineLvl w:val="0"/>
              <w:rPr>
                <w:rFonts w:ascii="Calibri" w:hAnsi="Calibri"/>
                <w:color w:val="000000"/>
                <w:sz w:val="20"/>
                <w:szCs w:val="20"/>
              </w:rPr>
            </w:pPr>
            <w:r w:rsidRPr="00312975">
              <w:rPr>
                <w:rFonts w:ascii="Calibri" w:hAnsi="Calibri"/>
                <w:color w:val="000000"/>
                <w:sz w:val="20"/>
                <w:szCs w:val="20"/>
              </w:rPr>
              <w:t>1.572.249</w:t>
            </w:r>
          </w:p>
        </w:tc>
        <w:tc>
          <w:tcPr>
            <w:tcW w:w="719" w:type="pct"/>
            <w:tcBorders>
              <w:top w:val="nil"/>
              <w:left w:val="nil"/>
              <w:bottom w:val="nil"/>
              <w:right w:val="nil"/>
            </w:tcBorders>
            <w:shd w:val="clear" w:color="auto" w:fill="auto"/>
            <w:vAlign w:val="bottom"/>
          </w:tcPr>
          <w:p w14:paraId="5A87A91E" w14:textId="390C85CE" w:rsidR="00845ECD" w:rsidRPr="00D72273" w:rsidRDefault="00845ECD" w:rsidP="00845ECD">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1.528.564</w:t>
            </w:r>
          </w:p>
        </w:tc>
        <w:tc>
          <w:tcPr>
            <w:tcW w:w="720" w:type="pct"/>
            <w:tcBorders>
              <w:top w:val="nil"/>
              <w:left w:val="nil"/>
              <w:bottom w:val="nil"/>
              <w:right w:val="nil"/>
            </w:tcBorders>
            <w:shd w:val="clear" w:color="auto" w:fill="auto"/>
            <w:vAlign w:val="bottom"/>
          </w:tcPr>
          <w:p w14:paraId="216FC3CF" w14:textId="5124B53E" w:rsidR="00845ECD" w:rsidRPr="00845ECD" w:rsidRDefault="00845ECD">
            <w:pPr>
              <w:tabs>
                <w:tab w:val="right" w:pos="1202"/>
              </w:tabs>
              <w:spacing w:after="0" w:line="200" w:lineRule="exact"/>
              <w:jc w:val="right"/>
              <w:outlineLvl w:val="0"/>
              <w:rPr>
                <w:rFonts w:ascii="Calibri" w:hAnsi="Calibri"/>
                <w:color w:val="000000"/>
                <w:sz w:val="20"/>
                <w:szCs w:val="20"/>
              </w:rPr>
            </w:pPr>
            <w:r w:rsidRPr="00312975">
              <w:rPr>
                <w:rFonts w:ascii="Calibri" w:hAnsi="Calibri"/>
                <w:color w:val="000000"/>
                <w:sz w:val="20"/>
                <w:szCs w:val="20"/>
              </w:rPr>
              <w:t>1.572.249</w:t>
            </w:r>
          </w:p>
        </w:tc>
        <w:tc>
          <w:tcPr>
            <w:tcW w:w="681" w:type="pct"/>
            <w:tcBorders>
              <w:top w:val="nil"/>
              <w:left w:val="nil"/>
              <w:bottom w:val="nil"/>
              <w:right w:val="nil"/>
            </w:tcBorders>
            <w:shd w:val="clear" w:color="auto" w:fill="auto"/>
            <w:vAlign w:val="bottom"/>
          </w:tcPr>
          <w:p w14:paraId="57B7A2DB" w14:textId="47F8D71E" w:rsidR="00845ECD" w:rsidRPr="00D72273" w:rsidRDefault="00845ECD" w:rsidP="00845ECD">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1.528.564</w:t>
            </w:r>
          </w:p>
        </w:tc>
      </w:tr>
      <w:tr w:rsidR="00845ECD" w:rsidRPr="00861DF8" w14:paraId="4C8245E9" w14:textId="77777777" w:rsidTr="00312975">
        <w:trPr>
          <w:trHeight w:hRule="exact" w:val="284"/>
        </w:trPr>
        <w:tc>
          <w:tcPr>
            <w:tcW w:w="2047" w:type="pct"/>
            <w:vAlign w:val="bottom"/>
          </w:tcPr>
          <w:p w14:paraId="1383F8B8" w14:textId="77777777" w:rsidR="00845ECD" w:rsidRPr="00861DF8" w:rsidRDefault="00845ECD" w:rsidP="00845ECD">
            <w:pPr>
              <w:tabs>
                <w:tab w:val="right" w:pos="1202"/>
              </w:tabs>
              <w:spacing w:after="0" w:line="200" w:lineRule="exact"/>
              <w:outlineLvl w:val="0"/>
              <w:rPr>
                <w:rFonts w:eastAsia="Times New Roman" w:cs="Arial"/>
                <w:sz w:val="20"/>
                <w:szCs w:val="20"/>
              </w:rPr>
            </w:pPr>
            <w:r w:rsidRPr="00861DF8">
              <w:rPr>
                <w:rFonts w:eastAsia="Times New Roman" w:cs="Arial"/>
                <w:sz w:val="20"/>
                <w:szCs w:val="20"/>
              </w:rPr>
              <w:t>Strane pravne osobe</w:t>
            </w:r>
          </w:p>
        </w:tc>
        <w:tc>
          <w:tcPr>
            <w:tcW w:w="832" w:type="pct"/>
            <w:tcBorders>
              <w:top w:val="nil"/>
              <w:left w:val="nil"/>
              <w:bottom w:val="nil"/>
              <w:right w:val="nil"/>
            </w:tcBorders>
            <w:shd w:val="clear" w:color="auto" w:fill="auto"/>
            <w:vAlign w:val="bottom"/>
          </w:tcPr>
          <w:p w14:paraId="48E965E3" w14:textId="0849FCBE" w:rsidR="00845ECD" w:rsidRPr="00312975" w:rsidRDefault="00845ECD" w:rsidP="00845ECD">
            <w:pPr>
              <w:tabs>
                <w:tab w:val="right" w:pos="1202"/>
              </w:tabs>
              <w:spacing w:after="0" w:line="200" w:lineRule="exact"/>
              <w:jc w:val="right"/>
              <w:outlineLvl w:val="0"/>
              <w:rPr>
                <w:rFonts w:ascii="Calibri" w:hAnsi="Calibri"/>
                <w:color w:val="000000"/>
                <w:sz w:val="20"/>
                <w:szCs w:val="20"/>
              </w:rPr>
            </w:pPr>
            <w:r w:rsidRPr="00312975">
              <w:rPr>
                <w:rFonts w:ascii="Calibri" w:hAnsi="Calibri"/>
                <w:color w:val="000000"/>
                <w:sz w:val="20"/>
                <w:szCs w:val="20"/>
              </w:rPr>
              <w:t>208.172</w:t>
            </w:r>
          </w:p>
        </w:tc>
        <w:tc>
          <w:tcPr>
            <w:tcW w:w="719" w:type="pct"/>
            <w:tcBorders>
              <w:top w:val="nil"/>
              <w:left w:val="nil"/>
              <w:bottom w:val="nil"/>
              <w:right w:val="nil"/>
            </w:tcBorders>
            <w:shd w:val="clear" w:color="auto" w:fill="auto"/>
            <w:vAlign w:val="bottom"/>
          </w:tcPr>
          <w:p w14:paraId="3CF69466" w14:textId="3075FB4A" w:rsidR="00845ECD" w:rsidRPr="00D72273" w:rsidRDefault="00845ECD" w:rsidP="00845ECD">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237.429</w:t>
            </w:r>
          </w:p>
        </w:tc>
        <w:tc>
          <w:tcPr>
            <w:tcW w:w="720" w:type="pct"/>
            <w:tcBorders>
              <w:top w:val="nil"/>
              <w:left w:val="nil"/>
              <w:bottom w:val="nil"/>
              <w:right w:val="nil"/>
            </w:tcBorders>
            <w:shd w:val="clear" w:color="auto" w:fill="auto"/>
            <w:vAlign w:val="bottom"/>
          </w:tcPr>
          <w:p w14:paraId="5AA7EC36" w14:textId="1971CA1C" w:rsidR="00845ECD" w:rsidRPr="00845ECD" w:rsidRDefault="00845ECD">
            <w:pPr>
              <w:tabs>
                <w:tab w:val="right" w:pos="1202"/>
              </w:tabs>
              <w:spacing w:after="0" w:line="200" w:lineRule="exact"/>
              <w:jc w:val="right"/>
              <w:outlineLvl w:val="0"/>
              <w:rPr>
                <w:rFonts w:ascii="Calibri" w:hAnsi="Calibri"/>
                <w:color w:val="000000"/>
                <w:sz w:val="20"/>
                <w:szCs w:val="20"/>
              </w:rPr>
            </w:pPr>
            <w:r w:rsidRPr="00312975">
              <w:rPr>
                <w:rFonts w:ascii="Calibri" w:hAnsi="Calibri"/>
                <w:color w:val="000000"/>
                <w:sz w:val="20"/>
                <w:szCs w:val="20"/>
              </w:rPr>
              <w:t>208.172</w:t>
            </w:r>
          </w:p>
        </w:tc>
        <w:tc>
          <w:tcPr>
            <w:tcW w:w="681" w:type="pct"/>
            <w:tcBorders>
              <w:top w:val="nil"/>
              <w:left w:val="nil"/>
              <w:bottom w:val="nil"/>
              <w:right w:val="nil"/>
            </w:tcBorders>
            <w:shd w:val="clear" w:color="auto" w:fill="auto"/>
            <w:vAlign w:val="bottom"/>
          </w:tcPr>
          <w:p w14:paraId="771DC7AE" w14:textId="306170E4" w:rsidR="00845ECD" w:rsidRPr="00D72273" w:rsidRDefault="00845ECD" w:rsidP="00845ECD">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237.429</w:t>
            </w:r>
          </w:p>
        </w:tc>
      </w:tr>
      <w:tr w:rsidR="00845ECD" w:rsidRPr="00861DF8" w14:paraId="5ED4EE17" w14:textId="77777777" w:rsidTr="00312975">
        <w:trPr>
          <w:trHeight w:hRule="exact" w:val="284"/>
        </w:trPr>
        <w:tc>
          <w:tcPr>
            <w:tcW w:w="2047" w:type="pct"/>
            <w:vAlign w:val="bottom"/>
          </w:tcPr>
          <w:p w14:paraId="3CC0E478" w14:textId="77777777" w:rsidR="00845ECD" w:rsidRPr="00861DF8" w:rsidRDefault="00845ECD" w:rsidP="00845ECD">
            <w:pPr>
              <w:tabs>
                <w:tab w:val="right" w:pos="1202"/>
              </w:tabs>
              <w:spacing w:after="0" w:line="200" w:lineRule="exact"/>
              <w:outlineLvl w:val="0"/>
              <w:rPr>
                <w:rFonts w:eastAsia="Times New Roman" w:cs="Arial"/>
                <w:sz w:val="20"/>
                <w:szCs w:val="20"/>
              </w:rPr>
            </w:pPr>
            <w:r w:rsidRPr="00861DF8">
              <w:rPr>
                <w:rFonts w:eastAsia="Times New Roman" w:cs="Arial"/>
                <w:sz w:val="20"/>
                <w:szCs w:val="20"/>
              </w:rPr>
              <w:t>Neprofitne institucije</w:t>
            </w:r>
          </w:p>
        </w:tc>
        <w:tc>
          <w:tcPr>
            <w:tcW w:w="832" w:type="pct"/>
            <w:tcBorders>
              <w:top w:val="nil"/>
              <w:left w:val="nil"/>
              <w:bottom w:val="nil"/>
              <w:right w:val="nil"/>
            </w:tcBorders>
            <w:shd w:val="clear" w:color="auto" w:fill="auto"/>
            <w:vAlign w:val="bottom"/>
          </w:tcPr>
          <w:p w14:paraId="4F09ADDA" w14:textId="3D6359C8" w:rsidR="00845ECD" w:rsidRPr="00312975" w:rsidRDefault="00845ECD" w:rsidP="00845ECD">
            <w:pPr>
              <w:tabs>
                <w:tab w:val="right" w:pos="1202"/>
              </w:tabs>
              <w:spacing w:after="0" w:line="200" w:lineRule="exact"/>
              <w:jc w:val="right"/>
              <w:outlineLvl w:val="0"/>
              <w:rPr>
                <w:rFonts w:ascii="Calibri" w:hAnsi="Calibri"/>
                <w:color w:val="000000"/>
                <w:sz w:val="20"/>
                <w:szCs w:val="20"/>
              </w:rPr>
            </w:pPr>
            <w:r w:rsidRPr="00312975">
              <w:rPr>
                <w:rFonts w:ascii="Calibri" w:hAnsi="Calibri"/>
                <w:color w:val="000000"/>
                <w:sz w:val="20"/>
                <w:szCs w:val="20"/>
              </w:rPr>
              <w:t>1.712</w:t>
            </w:r>
          </w:p>
        </w:tc>
        <w:tc>
          <w:tcPr>
            <w:tcW w:w="719" w:type="pct"/>
            <w:tcBorders>
              <w:top w:val="nil"/>
              <w:left w:val="nil"/>
              <w:bottom w:val="nil"/>
              <w:right w:val="nil"/>
            </w:tcBorders>
            <w:shd w:val="clear" w:color="auto" w:fill="auto"/>
            <w:vAlign w:val="bottom"/>
          </w:tcPr>
          <w:p w14:paraId="415F715E" w14:textId="39361C5A" w:rsidR="00845ECD" w:rsidRPr="00D72273" w:rsidRDefault="00845ECD" w:rsidP="00845ECD">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1.712</w:t>
            </w:r>
          </w:p>
        </w:tc>
        <w:tc>
          <w:tcPr>
            <w:tcW w:w="720" w:type="pct"/>
            <w:tcBorders>
              <w:top w:val="nil"/>
              <w:left w:val="nil"/>
              <w:bottom w:val="nil"/>
              <w:right w:val="nil"/>
            </w:tcBorders>
            <w:shd w:val="clear" w:color="auto" w:fill="auto"/>
            <w:vAlign w:val="bottom"/>
          </w:tcPr>
          <w:p w14:paraId="058CEF94" w14:textId="27781DAE" w:rsidR="00845ECD" w:rsidRPr="00845ECD" w:rsidRDefault="00845ECD">
            <w:pPr>
              <w:tabs>
                <w:tab w:val="right" w:pos="1202"/>
              </w:tabs>
              <w:spacing w:after="0" w:line="200" w:lineRule="exact"/>
              <w:jc w:val="right"/>
              <w:outlineLvl w:val="0"/>
              <w:rPr>
                <w:rFonts w:ascii="Calibri" w:hAnsi="Calibri"/>
                <w:color w:val="000000"/>
                <w:sz w:val="20"/>
                <w:szCs w:val="20"/>
              </w:rPr>
            </w:pPr>
            <w:r w:rsidRPr="00312975">
              <w:rPr>
                <w:rFonts w:ascii="Calibri" w:hAnsi="Calibri"/>
                <w:color w:val="000000"/>
                <w:sz w:val="20"/>
                <w:szCs w:val="20"/>
              </w:rPr>
              <w:t>1.712</w:t>
            </w:r>
          </w:p>
        </w:tc>
        <w:tc>
          <w:tcPr>
            <w:tcW w:w="681" w:type="pct"/>
            <w:tcBorders>
              <w:top w:val="nil"/>
              <w:left w:val="nil"/>
              <w:bottom w:val="nil"/>
              <w:right w:val="nil"/>
            </w:tcBorders>
            <w:shd w:val="clear" w:color="auto" w:fill="auto"/>
            <w:vAlign w:val="bottom"/>
          </w:tcPr>
          <w:p w14:paraId="0ACFBEBC" w14:textId="2534B040" w:rsidR="00845ECD" w:rsidRPr="00D72273" w:rsidRDefault="00845ECD" w:rsidP="00845ECD">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1.712</w:t>
            </w:r>
          </w:p>
        </w:tc>
      </w:tr>
      <w:tr w:rsidR="00845ECD" w:rsidRPr="00861DF8" w14:paraId="6F2BA9B9" w14:textId="77777777" w:rsidTr="00312975">
        <w:trPr>
          <w:trHeight w:hRule="exact" w:val="284"/>
        </w:trPr>
        <w:tc>
          <w:tcPr>
            <w:tcW w:w="2047" w:type="pct"/>
            <w:vAlign w:val="bottom"/>
          </w:tcPr>
          <w:p w14:paraId="29BEC03F" w14:textId="77777777" w:rsidR="00845ECD" w:rsidRPr="00861DF8" w:rsidRDefault="00845ECD" w:rsidP="00845ECD">
            <w:pPr>
              <w:tabs>
                <w:tab w:val="right" w:pos="1202"/>
              </w:tabs>
              <w:spacing w:after="0" w:line="200" w:lineRule="exact"/>
              <w:outlineLvl w:val="0"/>
              <w:rPr>
                <w:rFonts w:eastAsia="Times New Roman" w:cs="Arial"/>
                <w:sz w:val="20"/>
                <w:szCs w:val="20"/>
              </w:rPr>
            </w:pPr>
            <w:r w:rsidRPr="00861DF8">
              <w:rPr>
                <w:rFonts w:eastAsia="Times New Roman" w:cs="Arial"/>
                <w:sz w:val="20"/>
                <w:szCs w:val="20"/>
              </w:rPr>
              <w:t>Ostali</w:t>
            </w:r>
          </w:p>
        </w:tc>
        <w:tc>
          <w:tcPr>
            <w:tcW w:w="832" w:type="pct"/>
            <w:tcBorders>
              <w:top w:val="nil"/>
              <w:left w:val="nil"/>
              <w:bottom w:val="nil"/>
              <w:right w:val="nil"/>
            </w:tcBorders>
            <w:shd w:val="clear" w:color="auto" w:fill="auto"/>
            <w:vAlign w:val="bottom"/>
          </w:tcPr>
          <w:p w14:paraId="15E20D34" w14:textId="461775C0" w:rsidR="00845ECD" w:rsidRPr="00312975" w:rsidRDefault="00845ECD" w:rsidP="00845ECD">
            <w:pPr>
              <w:tabs>
                <w:tab w:val="right" w:pos="1202"/>
              </w:tabs>
              <w:spacing w:after="0" w:line="200" w:lineRule="exact"/>
              <w:jc w:val="right"/>
              <w:outlineLvl w:val="0"/>
              <w:rPr>
                <w:rFonts w:ascii="Calibri" w:hAnsi="Calibri"/>
                <w:color w:val="000000"/>
                <w:sz w:val="20"/>
                <w:szCs w:val="20"/>
              </w:rPr>
            </w:pPr>
            <w:r w:rsidRPr="00312975">
              <w:rPr>
                <w:rFonts w:ascii="Calibri" w:hAnsi="Calibri"/>
                <w:color w:val="000000"/>
                <w:sz w:val="20"/>
                <w:szCs w:val="20"/>
              </w:rPr>
              <w:t>677.169</w:t>
            </w:r>
          </w:p>
        </w:tc>
        <w:tc>
          <w:tcPr>
            <w:tcW w:w="719" w:type="pct"/>
            <w:tcBorders>
              <w:top w:val="nil"/>
              <w:left w:val="nil"/>
              <w:bottom w:val="nil"/>
              <w:right w:val="nil"/>
            </w:tcBorders>
            <w:shd w:val="clear" w:color="auto" w:fill="auto"/>
            <w:vAlign w:val="bottom"/>
          </w:tcPr>
          <w:p w14:paraId="1C212EFA" w14:textId="6BEA73B2" w:rsidR="00845ECD" w:rsidRPr="00D72273" w:rsidRDefault="00845ECD" w:rsidP="00845ECD">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712.400</w:t>
            </w:r>
          </w:p>
        </w:tc>
        <w:tc>
          <w:tcPr>
            <w:tcW w:w="720" w:type="pct"/>
            <w:tcBorders>
              <w:top w:val="nil"/>
              <w:left w:val="nil"/>
              <w:bottom w:val="nil"/>
              <w:right w:val="nil"/>
            </w:tcBorders>
            <w:shd w:val="clear" w:color="auto" w:fill="auto"/>
            <w:vAlign w:val="bottom"/>
          </w:tcPr>
          <w:p w14:paraId="4013F14E" w14:textId="0D0D22EA" w:rsidR="00845ECD" w:rsidRPr="00845ECD" w:rsidRDefault="00845ECD">
            <w:pPr>
              <w:tabs>
                <w:tab w:val="right" w:pos="1202"/>
              </w:tabs>
              <w:spacing w:after="0" w:line="200" w:lineRule="exact"/>
              <w:jc w:val="right"/>
              <w:outlineLvl w:val="0"/>
              <w:rPr>
                <w:rFonts w:ascii="Calibri" w:hAnsi="Calibri"/>
                <w:color w:val="000000"/>
                <w:sz w:val="20"/>
                <w:szCs w:val="20"/>
              </w:rPr>
            </w:pPr>
            <w:r w:rsidRPr="00312975">
              <w:rPr>
                <w:rFonts w:ascii="Calibri" w:hAnsi="Calibri"/>
                <w:color w:val="000000"/>
                <w:sz w:val="20"/>
                <w:szCs w:val="20"/>
              </w:rPr>
              <w:t>677.169</w:t>
            </w:r>
          </w:p>
        </w:tc>
        <w:tc>
          <w:tcPr>
            <w:tcW w:w="681" w:type="pct"/>
            <w:tcBorders>
              <w:top w:val="nil"/>
              <w:left w:val="nil"/>
              <w:bottom w:val="nil"/>
              <w:right w:val="nil"/>
            </w:tcBorders>
            <w:shd w:val="clear" w:color="auto" w:fill="auto"/>
            <w:vAlign w:val="bottom"/>
          </w:tcPr>
          <w:p w14:paraId="581D17EC" w14:textId="715A3D6C" w:rsidR="00845ECD" w:rsidRPr="00D72273" w:rsidRDefault="00845ECD" w:rsidP="00845ECD">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712.400</w:t>
            </w:r>
          </w:p>
        </w:tc>
      </w:tr>
      <w:tr w:rsidR="00845ECD" w:rsidRPr="00861DF8" w14:paraId="5283DFE6" w14:textId="77777777" w:rsidTr="00312975">
        <w:trPr>
          <w:trHeight w:hRule="exact" w:val="284"/>
        </w:trPr>
        <w:tc>
          <w:tcPr>
            <w:tcW w:w="2047" w:type="pct"/>
            <w:vAlign w:val="bottom"/>
          </w:tcPr>
          <w:p w14:paraId="791B1B1C" w14:textId="77777777" w:rsidR="00845ECD" w:rsidRPr="00861DF8" w:rsidRDefault="00845ECD" w:rsidP="00845ECD">
            <w:pPr>
              <w:tabs>
                <w:tab w:val="right" w:pos="1202"/>
              </w:tabs>
              <w:spacing w:after="0" w:line="200" w:lineRule="exact"/>
              <w:outlineLvl w:val="0"/>
              <w:rPr>
                <w:rFonts w:eastAsia="Times New Roman" w:cs="Arial"/>
                <w:sz w:val="20"/>
                <w:szCs w:val="20"/>
              </w:rPr>
            </w:pPr>
            <w:r w:rsidRPr="00861DF8">
              <w:rPr>
                <w:rFonts w:eastAsia="Times New Roman" w:cs="Arial"/>
                <w:sz w:val="20"/>
                <w:szCs w:val="20"/>
              </w:rPr>
              <w:t>Obračunata kamata</w:t>
            </w:r>
          </w:p>
        </w:tc>
        <w:tc>
          <w:tcPr>
            <w:tcW w:w="832" w:type="pct"/>
            <w:tcBorders>
              <w:top w:val="nil"/>
              <w:left w:val="nil"/>
              <w:bottom w:val="nil"/>
              <w:right w:val="nil"/>
            </w:tcBorders>
            <w:shd w:val="clear" w:color="auto" w:fill="auto"/>
            <w:vAlign w:val="bottom"/>
          </w:tcPr>
          <w:p w14:paraId="1FEBF995" w14:textId="4C012E85" w:rsidR="00845ECD" w:rsidRPr="00312975" w:rsidRDefault="00845ECD" w:rsidP="00845ECD">
            <w:pPr>
              <w:tabs>
                <w:tab w:val="right" w:pos="1202"/>
              </w:tabs>
              <w:spacing w:after="0" w:line="200" w:lineRule="exact"/>
              <w:jc w:val="right"/>
              <w:outlineLvl w:val="0"/>
              <w:rPr>
                <w:rFonts w:ascii="Calibri" w:hAnsi="Calibri"/>
                <w:color w:val="000000"/>
                <w:sz w:val="20"/>
                <w:szCs w:val="20"/>
              </w:rPr>
            </w:pPr>
            <w:r w:rsidRPr="00312975">
              <w:rPr>
                <w:rFonts w:ascii="Calibri" w:hAnsi="Calibri"/>
                <w:color w:val="000000"/>
                <w:sz w:val="20"/>
                <w:szCs w:val="20"/>
              </w:rPr>
              <w:t>85.291</w:t>
            </w:r>
          </w:p>
        </w:tc>
        <w:tc>
          <w:tcPr>
            <w:tcW w:w="719" w:type="pct"/>
            <w:tcBorders>
              <w:top w:val="nil"/>
              <w:left w:val="nil"/>
              <w:bottom w:val="nil"/>
              <w:right w:val="nil"/>
            </w:tcBorders>
            <w:shd w:val="clear" w:color="auto" w:fill="auto"/>
            <w:vAlign w:val="bottom"/>
          </w:tcPr>
          <w:p w14:paraId="3AD29F13" w14:textId="1C656D0D" w:rsidR="00845ECD" w:rsidRPr="00D72273" w:rsidRDefault="00845ECD" w:rsidP="00845ECD">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83.423</w:t>
            </w:r>
          </w:p>
        </w:tc>
        <w:tc>
          <w:tcPr>
            <w:tcW w:w="720" w:type="pct"/>
            <w:tcBorders>
              <w:top w:val="nil"/>
              <w:left w:val="nil"/>
              <w:bottom w:val="nil"/>
              <w:right w:val="nil"/>
            </w:tcBorders>
            <w:shd w:val="clear" w:color="auto" w:fill="auto"/>
            <w:vAlign w:val="bottom"/>
          </w:tcPr>
          <w:p w14:paraId="3D2D5C7E" w14:textId="6462710B" w:rsidR="00845ECD" w:rsidRPr="00845ECD" w:rsidRDefault="00845ECD">
            <w:pPr>
              <w:tabs>
                <w:tab w:val="right" w:pos="1202"/>
              </w:tabs>
              <w:spacing w:after="0" w:line="200" w:lineRule="exact"/>
              <w:jc w:val="right"/>
              <w:outlineLvl w:val="0"/>
              <w:rPr>
                <w:rFonts w:ascii="Calibri" w:hAnsi="Calibri"/>
                <w:color w:val="000000"/>
                <w:sz w:val="20"/>
                <w:szCs w:val="20"/>
              </w:rPr>
            </w:pPr>
            <w:r w:rsidRPr="00312975">
              <w:rPr>
                <w:rFonts w:ascii="Calibri" w:hAnsi="Calibri"/>
                <w:color w:val="000000"/>
                <w:sz w:val="20"/>
                <w:szCs w:val="20"/>
              </w:rPr>
              <w:t>85.291</w:t>
            </w:r>
          </w:p>
        </w:tc>
        <w:tc>
          <w:tcPr>
            <w:tcW w:w="681" w:type="pct"/>
            <w:tcBorders>
              <w:top w:val="nil"/>
              <w:left w:val="nil"/>
              <w:bottom w:val="nil"/>
              <w:right w:val="nil"/>
            </w:tcBorders>
            <w:shd w:val="clear" w:color="auto" w:fill="auto"/>
            <w:vAlign w:val="bottom"/>
          </w:tcPr>
          <w:p w14:paraId="10421748" w14:textId="2DF33E96" w:rsidR="00845ECD" w:rsidRPr="00D72273" w:rsidRDefault="00845ECD" w:rsidP="00845ECD">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83.423</w:t>
            </w:r>
          </w:p>
        </w:tc>
      </w:tr>
      <w:tr w:rsidR="00845ECD" w:rsidRPr="00861DF8" w14:paraId="21BD9F0D" w14:textId="77777777" w:rsidTr="00312975">
        <w:trPr>
          <w:trHeight w:hRule="exact" w:val="284"/>
        </w:trPr>
        <w:tc>
          <w:tcPr>
            <w:tcW w:w="2047" w:type="pct"/>
            <w:vAlign w:val="bottom"/>
          </w:tcPr>
          <w:p w14:paraId="283163FB" w14:textId="77777777" w:rsidR="00845ECD" w:rsidRPr="00861DF8" w:rsidRDefault="00845ECD" w:rsidP="00845ECD">
            <w:pPr>
              <w:tabs>
                <w:tab w:val="right" w:pos="1202"/>
              </w:tabs>
              <w:spacing w:after="0" w:line="200" w:lineRule="exact"/>
              <w:outlineLvl w:val="0"/>
              <w:rPr>
                <w:rFonts w:eastAsia="Times New Roman" w:cs="Arial"/>
                <w:sz w:val="20"/>
                <w:szCs w:val="20"/>
              </w:rPr>
            </w:pPr>
            <w:r w:rsidRPr="00861DF8">
              <w:rPr>
                <w:rFonts w:eastAsia="Times New Roman" w:cs="Arial"/>
                <w:sz w:val="20"/>
                <w:szCs w:val="20"/>
              </w:rPr>
              <w:t>Odgođena naknada po kreditima</w:t>
            </w:r>
          </w:p>
        </w:tc>
        <w:tc>
          <w:tcPr>
            <w:tcW w:w="832" w:type="pct"/>
            <w:tcBorders>
              <w:top w:val="nil"/>
              <w:left w:val="nil"/>
              <w:bottom w:val="nil"/>
              <w:right w:val="nil"/>
            </w:tcBorders>
            <w:shd w:val="clear" w:color="auto" w:fill="auto"/>
            <w:vAlign w:val="bottom"/>
          </w:tcPr>
          <w:p w14:paraId="09D55D78" w14:textId="6402BF6A" w:rsidR="00845ECD" w:rsidRPr="00312975" w:rsidRDefault="00845ECD" w:rsidP="00845ECD">
            <w:pPr>
              <w:tabs>
                <w:tab w:val="right" w:pos="1202"/>
              </w:tabs>
              <w:spacing w:after="0" w:line="200" w:lineRule="exact"/>
              <w:jc w:val="right"/>
              <w:outlineLvl w:val="0"/>
              <w:rPr>
                <w:rFonts w:ascii="Calibri" w:hAnsi="Calibri"/>
                <w:color w:val="000000"/>
                <w:sz w:val="20"/>
                <w:szCs w:val="20"/>
              </w:rPr>
            </w:pPr>
            <w:r w:rsidRPr="00312975">
              <w:rPr>
                <w:rFonts w:ascii="Calibri" w:hAnsi="Calibri"/>
                <w:color w:val="000000"/>
                <w:sz w:val="20"/>
                <w:szCs w:val="20"/>
              </w:rPr>
              <w:t xml:space="preserve"> (114.031)</w:t>
            </w:r>
          </w:p>
        </w:tc>
        <w:tc>
          <w:tcPr>
            <w:tcW w:w="719" w:type="pct"/>
            <w:tcBorders>
              <w:top w:val="nil"/>
              <w:left w:val="nil"/>
              <w:bottom w:val="nil"/>
              <w:right w:val="nil"/>
            </w:tcBorders>
            <w:shd w:val="clear" w:color="auto" w:fill="auto"/>
            <w:vAlign w:val="bottom"/>
          </w:tcPr>
          <w:p w14:paraId="596F6A6E" w14:textId="7A154916" w:rsidR="00845ECD" w:rsidRPr="00D72273" w:rsidRDefault="00845ECD" w:rsidP="00845ECD">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 xml:space="preserve"> (119.328)</w:t>
            </w:r>
          </w:p>
        </w:tc>
        <w:tc>
          <w:tcPr>
            <w:tcW w:w="720" w:type="pct"/>
            <w:tcBorders>
              <w:top w:val="nil"/>
              <w:left w:val="nil"/>
              <w:bottom w:val="nil"/>
              <w:right w:val="nil"/>
            </w:tcBorders>
            <w:shd w:val="clear" w:color="auto" w:fill="auto"/>
            <w:vAlign w:val="bottom"/>
          </w:tcPr>
          <w:p w14:paraId="2252F3C0" w14:textId="58761EE5" w:rsidR="00845ECD" w:rsidRPr="00845ECD" w:rsidRDefault="00845ECD">
            <w:pPr>
              <w:tabs>
                <w:tab w:val="right" w:pos="1202"/>
              </w:tabs>
              <w:spacing w:after="0" w:line="200" w:lineRule="exact"/>
              <w:jc w:val="right"/>
              <w:outlineLvl w:val="0"/>
              <w:rPr>
                <w:rFonts w:ascii="Calibri" w:hAnsi="Calibri"/>
                <w:color w:val="000000"/>
                <w:sz w:val="20"/>
                <w:szCs w:val="20"/>
              </w:rPr>
            </w:pPr>
            <w:r w:rsidRPr="00312975">
              <w:rPr>
                <w:rFonts w:ascii="Calibri" w:hAnsi="Calibri"/>
                <w:color w:val="000000"/>
                <w:sz w:val="20"/>
                <w:szCs w:val="20"/>
              </w:rPr>
              <w:t xml:space="preserve"> (114.031)</w:t>
            </w:r>
          </w:p>
        </w:tc>
        <w:tc>
          <w:tcPr>
            <w:tcW w:w="681" w:type="pct"/>
            <w:tcBorders>
              <w:top w:val="nil"/>
              <w:left w:val="nil"/>
              <w:bottom w:val="nil"/>
              <w:right w:val="nil"/>
            </w:tcBorders>
            <w:shd w:val="clear" w:color="auto" w:fill="auto"/>
            <w:vAlign w:val="bottom"/>
          </w:tcPr>
          <w:p w14:paraId="635DD4E7" w14:textId="67B4DF20" w:rsidR="00845ECD" w:rsidRPr="00D72273" w:rsidRDefault="00845ECD" w:rsidP="00845ECD">
            <w:pPr>
              <w:tabs>
                <w:tab w:val="right" w:pos="1202"/>
              </w:tabs>
              <w:spacing w:after="0" w:line="200" w:lineRule="exact"/>
              <w:jc w:val="right"/>
              <w:outlineLvl w:val="0"/>
              <w:rPr>
                <w:rFonts w:ascii="Calibri" w:hAnsi="Calibri"/>
                <w:color w:val="000000"/>
                <w:sz w:val="20"/>
                <w:szCs w:val="20"/>
              </w:rPr>
            </w:pPr>
            <w:r w:rsidRPr="00532810">
              <w:rPr>
                <w:rFonts w:ascii="Calibri" w:hAnsi="Calibri"/>
                <w:color w:val="000000"/>
                <w:sz w:val="20"/>
                <w:szCs w:val="20"/>
              </w:rPr>
              <w:t xml:space="preserve"> (119.328)</w:t>
            </w:r>
          </w:p>
        </w:tc>
      </w:tr>
      <w:tr w:rsidR="00845ECD" w:rsidRPr="00861DF8" w14:paraId="014A4361" w14:textId="77777777" w:rsidTr="00845ECD">
        <w:trPr>
          <w:trHeight w:val="264"/>
        </w:trPr>
        <w:tc>
          <w:tcPr>
            <w:tcW w:w="2047" w:type="pct"/>
            <w:vAlign w:val="bottom"/>
          </w:tcPr>
          <w:p w14:paraId="028B763D" w14:textId="77777777" w:rsidR="00060490" w:rsidRPr="00861DF8" w:rsidRDefault="00060490" w:rsidP="00060490">
            <w:pPr>
              <w:tabs>
                <w:tab w:val="right" w:pos="1202"/>
              </w:tabs>
              <w:spacing w:after="0" w:line="200" w:lineRule="exact"/>
              <w:outlineLvl w:val="0"/>
              <w:rPr>
                <w:rFonts w:eastAsia="Times New Roman" w:cs="Arial"/>
                <w:spacing w:val="-3"/>
                <w:sz w:val="20"/>
                <w:szCs w:val="20"/>
              </w:rPr>
            </w:pPr>
          </w:p>
        </w:tc>
        <w:tc>
          <w:tcPr>
            <w:tcW w:w="832" w:type="pct"/>
            <w:tcBorders>
              <w:top w:val="single" w:sz="4" w:space="0" w:color="auto"/>
              <w:left w:val="nil"/>
              <w:bottom w:val="single" w:sz="4" w:space="0" w:color="auto"/>
              <w:right w:val="nil"/>
            </w:tcBorders>
            <w:shd w:val="clear" w:color="auto" w:fill="auto"/>
            <w:vAlign w:val="bottom"/>
          </w:tcPr>
          <w:p w14:paraId="3B43C4B2" w14:textId="468C2BC8" w:rsidR="00060490" w:rsidRPr="00312975" w:rsidRDefault="00845ECD" w:rsidP="00312975">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14.329.885</w:t>
            </w:r>
          </w:p>
        </w:tc>
        <w:tc>
          <w:tcPr>
            <w:tcW w:w="719" w:type="pct"/>
            <w:tcBorders>
              <w:top w:val="single" w:sz="4" w:space="0" w:color="auto"/>
              <w:left w:val="nil"/>
              <w:bottom w:val="single" w:sz="4" w:space="0" w:color="auto"/>
              <w:right w:val="nil"/>
            </w:tcBorders>
            <w:shd w:val="clear" w:color="auto" w:fill="auto"/>
            <w:vAlign w:val="bottom"/>
          </w:tcPr>
          <w:p w14:paraId="31DDC5E5" w14:textId="6D26682F" w:rsidR="00060490" w:rsidRPr="00532810" w:rsidRDefault="00060490" w:rsidP="00060490">
            <w:pPr>
              <w:spacing w:after="0" w:line="240" w:lineRule="auto"/>
              <w:jc w:val="right"/>
              <w:rPr>
                <w:rFonts w:ascii="Calibri" w:eastAsia="Times New Roman" w:hAnsi="Calibri" w:cs="Times New Roman"/>
                <w:color w:val="000000"/>
                <w:sz w:val="20"/>
                <w:szCs w:val="20"/>
                <w:lang w:eastAsia="hr-HR"/>
              </w:rPr>
            </w:pPr>
            <w:r w:rsidRPr="00532810">
              <w:rPr>
                <w:rFonts w:ascii="Calibri" w:eastAsia="Times New Roman" w:hAnsi="Calibri" w:cs="Times New Roman"/>
                <w:color w:val="000000"/>
                <w:sz w:val="20"/>
                <w:szCs w:val="20"/>
                <w:lang w:eastAsia="hr-HR"/>
              </w:rPr>
              <w:t>14.090.695</w:t>
            </w:r>
          </w:p>
        </w:tc>
        <w:tc>
          <w:tcPr>
            <w:tcW w:w="720" w:type="pct"/>
            <w:tcBorders>
              <w:top w:val="single" w:sz="4" w:space="0" w:color="auto"/>
              <w:left w:val="nil"/>
              <w:bottom w:val="single" w:sz="4" w:space="0" w:color="auto"/>
              <w:right w:val="nil"/>
            </w:tcBorders>
            <w:shd w:val="clear" w:color="auto" w:fill="auto"/>
            <w:vAlign w:val="bottom"/>
          </w:tcPr>
          <w:p w14:paraId="23FDBBE2" w14:textId="0A78636A" w:rsidR="00060490" w:rsidRPr="000E5941" w:rsidRDefault="00845ECD" w:rsidP="00060490">
            <w:pPr>
              <w:spacing w:after="0" w:line="240" w:lineRule="auto"/>
              <w:jc w:val="right"/>
              <w:rPr>
                <w:rFonts w:ascii="Calibri" w:hAnsi="Calibri"/>
                <w:color w:val="000000"/>
                <w:sz w:val="20"/>
                <w:szCs w:val="20"/>
              </w:rPr>
            </w:pPr>
            <w:r w:rsidRPr="00845ECD">
              <w:rPr>
                <w:rFonts w:ascii="Calibri" w:hAnsi="Calibri"/>
                <w:color w:val="000000"/>
                <w:sz w:val="20"/>
                <w:szCs w:val="20"/>
              </w:rPr>
              <w:t>14.329.885</w:t>
            </w:r>
          </w:p>
        </w:tc>
        <w:tc>
          <w:tcPr>
            <w:tcW w:w="681" w:type="pct"/>
            <w:tcBorders>
              <w:top w:val="single" w:sz="4" w:space="0" w:color="auto"/>
              <w:left w:val="nil"/>
              <w:bottom w:val="single" w:sz="4" w:space="0" w:color="auto"/>
              <w:right w:val="nil"/>
            </w:tcBorders>
            <w:shd w:val="clear" w:color="auto" w:fill="auto"/>
            <w:vAlign w:val="bottom"/>
          </w:tcPr>
          <w:p w14:paraId="581D90D6" w14:textId="3869869B" w:rsidR="00060490" w:rsidRPr="00532810" w:rsidRDefault="00060490" w:rsidP="00060490">
            <w:pPr>
              <w:spacing w:after="0" w:line="240" w:lineRule="auto"/>
              <w:jc w:val="right"/>
              <w:rPr>
                <w:rFonts w:ascii="Calibri" w:eastAsia="Times New Roman" w:hAnsi="Calibri" w:cs="Times New Roman"/>
                <w:color w:val="000000"/>
                <w:sz w:val="20"/>
                <w:szCs w:val="20"/>
                <w:lang w:eastAsia="hr-HR"/>
              </w:rPr>
            </w:pPr>
            <w:r w:rsidRPr="00532810">
              <w:rPr>
                <w:rFonts w:ascii="Calibri" w:eastAsia="Times New Roman" w:hAnsi="Calibri" w:cs="Times New Roman"/>
                <w:color w:val="000000"/>
                <w:sz w:val="20"/>
                <w:szCs w:val="20"/>
                <w:lang w:eastAsia="hr-HR"/>
              </w:rPr>
              <w:t>14.090.695</w:t>
            </w:r>
          </w:p>
        </w:tc>
      </w:tr>
      <w:tr w:rsidR="00845ECD" w:rsidRPr="00861DF8" w14:paraId="5071DC1D" w14:textId="77777777" w:rsidTr="00845ECD">
        <w:trPr>
          <w:trHeight w:hRule="exact" w:val="289"/>
        </w:trPr>
        <w:tc>
          <w:tcPr>
            <w:tcW w:w="2047" w:type="pct"/>
            <w:vAlign w:val="bottom"/>
          </w:tcPr>
          <w:p w14:paraId="1907875B" w14:textId="77777777" w:rsidR="00060490" w:rsidRPr="00861DF8" w:rsidRDefault="00060490" w:rsidP="00060490">
            <w:pPr>
              <w:tabs>
                <w:tab w:val="right" w:pos="1202"/>
              </w:tabs>
              <w:spacing w:after="0" w:line="200" w:lineRule="exact"/>
              <w:outlineLvl w:val="0"/>
              <w:rPr>
                <w:rFonts w:eastAsia="Times New Roman" w:cs="Arial"/>
                <w:sz w:val="20"/>
                <w:szCs w:val="20"/>
              </w:rPr>
            </w:pPr>
            <w:r w:rsidRPr="00861DF8">
              <w:rPr>
                <w:rFonts w:eastAsia="Times New Roman" w:cs="Arial"/>
                <w:sz w:val="20"/>
                <w:szCs w:val="20"/>
              </w:rPr>
              <w:t>Rezerviranja za moguće gubitke</w:t>
            </w:r>
          </w:p>
        </w:tc>
        <w:tc>
          <w:tcPr>
            <w:tcW w:w="832" w:type="pct"/>
            <w:tcBorders>
              <w:top w:val="nil"/>
              <w:left w:val="nil"/>
              <w:bottom w:val="single" w:sz="4" w:space="0" w:color="auto"/>
              <w:right w:val="nil"/>
            </w:tcBorders>
            <w:shd w:val="clear" w:color="auto" w:fill="auto"/>
            <w:vAlign w:val="bottom"/>
          </w:tcPr>
          <w:p w14:paraId="50E05A7E" w14:textId="478A7F1F" w:rsidR="00060490" w:rsidRPr="00312975" w:rsidRDefault="00845ECD" w:rsidP="00312975">
            <w:pPr>
              <w:spacing w:after="0" w:line="240" w:lineRule="auto"/>
              <w:jc w:val="right"/>
              <w:rPr>
                <w:rFonts w:ascii="Calibri" w:eastAsia="Times New Roman" w:hAnsi="Calibri" w:cs="Times New Roman"/>
                <w:color w:val="000000"/>
                <w:sz w:val="20"/>
                <w:szCs w:val="20"/>
                <w:lang w:eastAsia="hr-HR"/>
              </w:rPr>
            </w:pPr>
            <w:r w:rsidRPr="00312975">
              <w:rPr>
                <w:rFonts w:ascii="Calibri" w:eastAsia="Times New Roman" w:hAnsi="Calibri" w:cs="Times New Roman"/>
                <w:color w:val="000000"/>
                <w:sz w:val="20"/>
                <w:szCs w:val="20"/>
                <w:lang w:eastAsia="hr-HR"/>
              </w:rPr>
              <w:t>(2.682.771)</w:t>
            </w:r>
            <w:r w:rsidRPr="00312975" w:rsidDel="00060490">
              <w:rPr>
                <w:rFonts w:ascii="Calibri" w:eastAsia="Times New Roman" w:hAnsi="Calibri" w:cs="Times New Roman"/>
                <w:color w:val="000000"/>
                <w:sz w:val="20"/>
                <w:szCs w:val="20"/>
                <w:lang w:eastAsia="hr-HR"/>
              </w:rPr>
              <w:t xml:space="preserve"> </w:t>
            </w:r>
          </w:p>
        </w:tc>
        <w:tc>
          <w:tcPr>
            <w:tcW w:w="719" w:type="pct"/>
            <w:tcBorders>
              <w:top w:val="nil"/>
              <w:left w:val="nil"/>
              <w:bottom w:val="single" w:sz="4" w:space="0" w:color="auto"/>
              <w:right w:val="nil"/>
            </w:tcBorders>
            <w:shd w:val="clear" w:color="auto" w:fill="auto"/>
            <w:vAlign w:val="bottom"/>
          </w:tcPr>
          <w:p w14:paraId="49FC6E19" w14:textId="460CBC02" w:rsidR="00060490" w:rsidRPr="00532810" w:rsidRDefault="00060490" w:rsidP="00060490">
            <w:pPr>
              <w:spacing w:after="0" w:line="240" w:lineRule="auto"/>
              <w:jc w:val="right"/>
              <w:rPr>
                <w:rFonts w:ascii="Calibri" w:eastAsia="Times New Roman" w:hAnsi="Calibri" w:cs="Times New Roman"/>
                <w:color w:val="000000"/>
                <w:sz w:val="20"/>
                <w:szCs w:val="20"/>
                <w:lang w:eastAsia="hr-HR"/>
              </w:rPr>
            </w:pPr>
            <w:r w:rsidRPr="00532810">
              <w:rPr>
                <w:rFonts w:ascii="Calibri" w:eastAsia="Times New Roman" w:hAnsi="Calibri" w:cs="Times New Roman"/>
                <w:color w:val="000000"/>
                <w:sz w:val="20"/>
                <w:szCs w:val="20"/>
                <w:lang w:eastAsia="hr-HR"/>
              </w:rPr>
              <w:t>(2.579.501)</w:t>
            </w:r>
          </w:p>
        </w:tc>
        <w:tc>
          <w:tcPr>
            <w:tcW w:w="720" w:type="pct"/>
            <w:tcBorders>
              <w:top w:val="nil"/>
              <w:left w:val="nil"/>
              <w:bottom w:val="single" w:sz="4" w:space="0" w:color="auto"/>
              <w:right w:val="nil"/>
            </w:tcBorders>
            <w:shd w:val="clear" w:color="auto" w:fill="auto"/>
            <w:vAlign w:val="bottom"/>
          </w:tcPr>
          <w:p w14:paraId="7418A0D3" w14:textId="273BA925" w:rsidR="00060490" w:rsidRPr="000E5941" w:rsidRDefault="00845ECD" w:rsidP="00060490">
            <w:pPr>
              <w:spacing w:after="0" w:line="240" w:lineRule="auto"/>
              <w:jc w:val="right"/>
              <w:rPr>
                <w:rFonts w:ascii="Calibri" w:hAnsi="Calibri"/>
                <w:color w:val="000000"/>
                <w:sz w:val="20"/>
                <w:szCs w:val="20"/>
              </w:rPr>
            </w:pPr>
            <w:r w:rsidRPr="00845ECD">
              <w:rPr>
                <w:rFonts w:ascii="Calibri" w:hAnsi="Calibri"/>
                <w:color w:val="000000"/>
                <w:sz w:val="20"/>
                <w:szCs w:val="20"/>
              </w:rPr>
              <w:t>(2.682.771)</w:t>
            </w:r>
            <w:r w:rsidRPr="00845ECD" w:rsidDel="00501C05">
              <w:rPr>
                <w:rFonts w:ascii="Calibri" w:hAnsi="Calibri"/>
                <w:color w:val="000000"/>
                <w:sz w:val="20"/>
                <w:szCs w:val="20"/>
              </w:rPr>
              <w:t xml:space="preserve"> </w:t>
            </w:r>
          </w:p>
        </w:tc>
        <w:tc>
          <w:tcPr>
            <w:tcW w:w="681" w:type="pct"/>
            <w:tcBorders>
              <w:top w:val="nil"/>
              <w:left w:val="nil"/>
              <w:bottom w:val="single" w:sz="4" w:space="0" w:color="auto"/>
              <w:right w:val="nil"/>
            </w:tcBorders>
            <w:shd w:val="clear" w:color="auto" w:fill="auto"/>
            <w:vAlign w:val="bottom"/>
          </w:tcPr>
          <w:p w14:paraId="6FDEC67F" w14:textId="310D0C13" w:rsidR="00060490" w:rsidRPr="00532810" w:rsidRDefault="00060490" w:rsidP="00060490">
            <w:pPr>
              <w:spacing w:after="0" w:line="240" w:lineRule="auto"/>
              <w:jc w:val="right"/>
              <w:rPr>
                <w:rFonts w:ascii="Calibri" w:eastAsia="Times New Roman" w:hAnsi="Calibri" w:cs="Times New Roman"/>
                <w:color w:val="000000"/>
                <w:sz w:val="20"/>
                <w:szCs w:val="20"/>
                <w:lang w:eastAsia="hr-HR"/>
              </w:rPr>
            </w:pPr>
            <w:r w:rsidRPr="00532810">
              <w:rPr>
                <w:rFonts w:ascii="Calibri" w:eastAsia="Times New Roman" w:hAnsi="Calibri" w:cs="Times New Roman"/>
                <w:color w:val="000000"/>
                <w:sz w:val="20"/>
                <w:szCs w:val="20"/>
                <w:lang w:eastAsia="hr-HR"/>
              </w:rPr>
              <w:t>(2.579.501)</w:t>
            </w:r>
          </w:p>
        </w:tc>
      </w:tr>
      <w:tr w:rsidR="00845ECD" w:rsidRPr="00861DF8" w14:paraId="705B1354" w14:textId="77777777" w:rsidTr="00845ECD">
        <w:trPr>
          <w:trHeight w:val="372"/>
        </w:trPr>
        <w:tc>
          <w:tcPr>
            <w:tcW w:w="2047" w:type="pct"/>
            <w:vAlign w:val="bottom"/>
          </w:tcPr>
          <w:p w14:paraId="3B16269E" w14:textId="77777777" w:rsidR="00060490" w:rsidRPr="00861DF8" w:rsidRDefault="00060490" w:rsidP="00060490">
            <w:pPr>
              <w:tabs>
                <w:tab w:val="right" w:pos="1202"/>
              </w:tabs>
              <w:spacing w:after="0" w:line="280" w:lineRule="exact"/>
              <w:outlineLvl w:val="0"/>
              <w:rPr>
                <w:rFonts w:eastAsia="Times New Roman" w:cs="Arial"/>
                <w:b/>
                <w:bCs/>
                <w:sz w:val="20"/>
                <w:szCs w:val="20"/>
              </w:rPr>
            </w:pPr>
          </w:p>
        </w:tc>
        <w:tc>
          <w:tcPr>
            <w:tcW w:w="832" w:type="pct"/>
            <w:tcBorders>
              <w:top w:val="single" w:sz="4" w:space="0" w:color="auto"/>
              <w:left w:val="nil"/>
              <w:bottom w:val="single" w:sz="12" w:space="0" w:color="auto"/>
              <w:right w:val="nil"/>
            </w:tcBorders>
            <w:shd w:val="clear" w:color="auto" w:fill="auto"/>
            <w:vAlign w:val="bottom"/>
          </w:tcPr>
          <w:p w14:paraId="5BD44C52" w14:textId="36D4C4F6" w:rsidR="00060490" w:rsidRPr="00312975" w:rsidRDefault="00845ECD" w:rsidP="00312975">
            <w:pPr>
              <w:spacing w:after="0" w:line="240" w:lineRule="auto"/>
              <w:jc w:val="right"/>
              <w:rPr>
                <w:rFonts w:ascii="Calibri" w:eastAsia="Times New Roman" w:hAnsi="Calibri" w:cs="Times New Roman"/>
                <w:b/>
                <w:bCs/>
                <w:color w:val="000000"/>
                <w:sz w:val="20"/>
                <w:szCs w:val="20"/>
                <w:lang w:eastAsia="hr-HR"/>
              </w:rPr>
            </w:pPr>
            <w:r w:rsidRPr="00845ECD">
              <w:rPr>
                <w:rFonts w:ascii="Calibri" w:eastAsia="Times New Roman" w:hAnsi="Calibri" w:cs="Times New Roman"/>
                <w:b/>
                <w:bCs/>
                <w:color w:val="000000"/>
                <w:sz w:val="20"/>
                <w:szCs w:val="20"/>
                <w:lang w:eastAsia="hr-HR"/>
              </w:rPr>
              <w:t>11.647.114</w:t>
            </w:r>
          </w:p>
        </w:tc>
        <w:tc>
          <w:tcPr>
            <w:tcW w:w="719" w:type="pct"/>
            <w:tcBorders>
              <w:top w:val="single" w:sz="4" w:space="0" w:color="auto"/>
              <w:left w:val="nil"/>
              <w:bottom w:val="single" w:sz="12" w:space="0" w:color="auto"/>
              <w:right w:val="nil"/>
            </w:tcBorders>
            <w:shd w:val="clear" w:color="auto" w:fill="auto"/>
            <w:vAlign w:val="bottom"/>
          </w:tcPr>
          <w:p w14:paraId="7A80C638" w14:textId="13EA1FD7" w:rsidR="00060490" w:rsidRPr="00532810" w:rsidRDefault="00060490" w:rsidP="00060490">
            <w:pPr>
              <w:spacing w:after="0" w:line="240" w:lineRule="auto"/>
              <w:jc w:val="right"/>
              <w:rPr>
                <w:rFonts w:ascii="Calibri" w:eastAsia="Times New Roman" w:hAnsi="Calibri" w:cs="Times New Roman"/>
                <w:b/>
                <w:bCs/>
                <w:color w:val="000000"/>
                <w:sz w:val="20"/>
                <w:szCs w:val="20"/>
                <w:lang w:eastAsia="hr-HR"/>
              </w:rPr>
            </w:pPr>
            <w:r w:rsidRPr="00532810">
              <w:rPr>
                <w:rFonts w:ascii="Calibri" w:eastAsia="Times New Roman" w:hAnsi="Calibri" w:cs="Times New Roman"/>
                <w:b/>
                <w:bCs/>
                <w:color w:val="000000"/>
                <w:sz w:val="20"/>
                <w:szCs w:val="20"/>
                <w:lang w:eastAsia="hr-HR"/>
              </w:rPr>
              <w:t>11.511.194</w:t>
            </w:r>
          </w:p>
        </w:tc>
        <w:tc>
          <w:tcPr>
            <w:tcW w:w="720" w:type="pct"/>
            <w:tcBorders>
              <w:top w:val="single" w:sz="4" w:space="0" w:color="auto"/>
              <w:left w:val="nil"/>
              <w:bottom w:val="single" w:sz="12" w:space="0" w:color="auto"/>
              <w:right w:val="nil"/>
            </w:tcBorders>
            <w:shd w:val="clear" w:color="auto" w:fill="auto"/>
            <w:vAlign w:val="bottom"/>
          </w:tcPr>
          <w:p w14:paraId="394149C8" w14:textId="1B94E703" w:rsidR="00060490" w:rsidRPr="000E5941" w:rsidRDefault="00845ECD" w:rsidP="00060490">
            <w:pPr>
              <w:spacing w:after="0" w:line="240" w:lineRule="auto"/>
              <w:jc w:val="right"/>
              <w:rPr>
                <w:rFonts w:ascii="Calibri" w:eastAsia="Times New Roman" w:hAnsi="Calibri" w:cs="Times New Roman"/>
                <w:b/>
                <w:bCs/>
                <w:color w:val="000000"/>
                <w:sz w:val="20"/>
                <w:szCs w:val="20"/>
                <w:lang w:eastAsia="hr-HR"/>
              </w:rPr>
            </w:pPr>
            <w:r w:rsidRPr="00845ECD">
              <w:rPr>
                <w:rFonts w:ascii="Calibri" w:eastAsia="Times New Roman" w:hAnsi="Calibri" w:cs="Times New Roman"/>
                <w:b/>
                <w:bCs/>
                <w:color w:val="000000"/>
                <w:sz w:val="20"/>
                <w:szCs w:val="20"/>
                <w:lang w:eastAsia="hr-HR"/>
              </w:rPr>
              <w:t>11.647.114</w:t>
            </w:r>
          </w:p>
        </w:tc>
        <w:tc>
          <w:tcPr>
            <w:tcW w:w="681" w:type="pct"/>
            <w:tcBorders>
              <w:top w:val="single" w:sz="4" w:space="0" w:color="auto"/>
              <w:left w:val="nil"/>
              <w:bottom w:val="single" w:sz="12" w:space="0" w:color="auto"/>
              <w:right w:val="nil"/>
            </w:tcBorders>
            <w:shd w:val="clear" w:color="auto" w:fill="auto"/>
            <w:vAlign w:val="bottom"/>
          </w:tcPr>
          <w:p w14:paraId="18B845D1" w14:textId="7CE55A48" w:rsidR="00060490" w:rsidRPr="00532810" w:rsidRDefault="00060490" w:rsidP="00060490">
            <w:pPr>
              <w:spacing w:after="0" w:line="240" w:lineRule="auto"/>
              <w:jc w:val="right"/>
              <w:rPr>
                <w:rFonts w:ascii="Calibri" w:eastAsia="Times New Roman" w:hAnsi="Calibri" w:cs="Times New Roman"/>
                <w:b/>
                <w:bCs/>
                <w:color w:val="000000"/>
                <w:sz w:val="20"/>
                <w:szCs w:val="20"/>
                <w:lang w:eastAsia="hr-HR"/>
              </w:rPr>
            </w:pPr>
            <w:r w:rsidRPr="00532810">
              <w:rPr>
                <w:rFonts w:ascii="Calibri" w:eastAsia="Times New Roman" w:hAnsi="Calibri" w:cs="Times New Roman"/>
                <w:b/>
                <w:bCs/>
                <w:color w:val="000000"/>
                <w:sz w:val="20"/>
                <w:szCs w:val="20"/>
                <w:lang w:eastAsia="hr-HR"/>
              </w:rPr>
              <w:t>11.511.194</w:t>
            </w:r>
          </w:p>
        </w:tc>
      </w:tr>
    </w:tbl>
    <w:p w14:paraId="71016464" w14:textId="77777777" w:rsidR="002D2D17" w:rsidRDefault="002D2D17" w:rsidP="00664D88">
      <w:pPr>
        <w:tabs>
          <w:tab w:val="left" w:pos="-720"/>
        </w:tabs>
        <w:spacing w:after="0" w:line="240" w:lineRule="auto"/>
        <w:jc w:val="both"/>
        <w:rPr>
          <w:rFonts w:eastAsia="Times New Roman" w:cs="Calibri"/>
          <w:sz w:val="24"/>
          <w:szCs w:val="24"/>
          <w:lang w:eastAsia="hr-HR"/>
        </w:rPr>
      </w:pPr>
    </w:p>
    <w:p w14:paraId="5D75394D" w14:textId="77777777" w:rsidR="00035A14" w:rsidRPr="00ED4731" w:rsidRDefault="008A7CD9" w:rsidP="00664D88">
      <w:pPr>
        <w:pStyle w:val="ListParagraph"/>
        <w:tabs>
          <w:tab w:val="left" w:pos="-720"/>
          <w:tab w:val="left" w:pos="0"/>
          <w:tab w:val="left" w:pos="851"/>
        </w:tabs>
        <w:spacing w:after="0" w:line="240" w:lineRule="auto"/>
        <w:ind w:left="0"/>
        <w:rPr>
          <w:rFonts w:eastAsia="Times New Roman" w:cs="Calibri"/>
          <w:lang w:eastAsia="hr-HR"/>
        </w:rPr>
      </w:pPr>
      <w:r w:rsidRPr="00ED4731">
        <w:rPr>
          <w:rFonts w:eastAsia="Times New Roman" w:cs="Calibri"/>
          <w:lang w:eastAsia="hr-HR"/>
        </w:rPr>
        <w:t>Krediti ostalim korisnicima prema namjeni kreditnih programa</w:t>
      </w:r>
      <w:r w:rsidR="00AE12ED">
        <w:rPr>
          <w:rFonts w:eastAsia="Times New Roman" w:cs="Calibri"/>
          <w:lang w:eastAsia="hr-HR"/>
        </w:rPr>
        <w:t>:</w:t>
      </w:r>
    </w:p>
    <w:tbl>
      <w:tblPr>
        <w:tblW w:w="5000" w:type="pct"/>
        <w:tblLayout w:type="fixed"/>
        <w:tblCellMar>
          <w:left w:w="107" w:type="dxa"/>
          <w:right w:w="107" w:type="dxa"/>
        </w:tblCellMar>
        <w:tblLook w:val="0000" w:firstRow="0" w:lastRow="0" w:firstColumn="0" w:lastColumn="0" w:noHBand="0" w:noVBand="0"/>
      </w:tblPr>
      <w:tblGrid>
        <w:gridCol w:w="3847"/>
        <w:gridCol w:w="1384"/>
        <w:gridCol w:w="1386"/>
        <w:gridCol w:w="1384"/>
        <w:gridCol w:w="1353"/>
      </w:tblGrid>
      <w:tr w:rsidR="002B5D43" w:rsidRPr="00861DF8" w14:paraId="3209498B" w14:textId="77777777" w:rsidTr="001C53D5">
        <w:trPr>
          <w:trHeight w:hRule="exact" w:val="286"/>
        </w:trPr>
        <w:tc>
          <w:tcPr>
            <w:tcW w:w="2056" w:type="pct"/>
            <w:vAlign w:val="center"/>
          </w:tcPr>
          <w:p w14:paraId="75242B3E" w14:textId="77777777" w:rsidR="002B5D43" w:rsidRPr="00861DF8" w:rsidRDefault="002B5D43" w:rsidP="00664D88">
            <w:pPr>
              <w:tabs>
                <w:tab w:val="left" w:pos="-720"/>
              </w:tabs>
              <w:suppressAutoHyphens/>
              <w:spacing w:after="0" w:line="240" w:lineRule="auto"/>
              <w:rPr>
                <w:rFonts w:eastAsia="Times New Roman" w:cs="Arial"/>
                <w:spacing w:val="-3"/>
                <w:sz w:val="20"/>
                <w:szCs w:val="20"/>
              </w:rPr>
            </w:pPr>
          </w:p>
        </w:tc>
        <w:tc>
          <w:tcPr>
            <w:tcW w:w="1481" w:type="pct"/>
            <w:gridSpan w:val="2"/>
            <w:vAlign w:val="center"/>
          </w:tcPr>
          <w:p w14:paraId="079BD56D" w14:textId="77777777" w:rsidR="002B5D43" w:rsidRPr="00861DF8" w:rsidRDefault="002B5D43" w:rsidP="00664D88">
            <w:pPr>
              <w:tabs>
                <w:tab w:val="right" w:pos="1202"/>
              </w:tabs>
              <w:spacing w:after="0" w:line="220" w:lineRule="exact"/>
              <w:jc w:val="right"/>
              <w:outlineLvl w:val="0"/>
              <w:rPr>
                <w:rFonts w:eastAsia="Times New Roman" w:cs="Arial"/>
                <w:b/>
                <w:sz w:val="20"/>
                <w:szCs w:val="20"/>
              </w:rPr>
            </w:pPr>
            <w:r w:rsidRPr="00861DF8">
              <w:rPr>
                <w:rFonts w:eastAsia="Times New Roman" w:cs="Arial"/>
                <w:b/>
                <w:sz w:val="20"/>
                <w:szCs w:val="20"/>
              </w:rPr>
              <w:t>Grupa</w:t>
            </w:r>
          </w:p>
        </w:tc>
        <w:tc>
          <w:tcPr>
            <w:tcW w:w="1463" w:type="pct"/>
            <w:gridSpan w:val="2"/>
            <w:vAlign w:val="center"/>
          </w:tcPr>
          <w:p w14:paraId="0057594B" w14:textId="77777777" w:rsidR="002B5D43" w:rsidRPr="00861DF8" w:rsidRDefault="002B5D43" w:rsidP="009F4F01">
            <w:pPr>
              <w:tabs>
                <w:tab w:val="right" w:pos="1202"/>
              </w:tabs>
              <w:spacing w:after="0" w:line="220" w:lineRule="exact"/>
              <w:jc w:val="right"/>
              <w:outlineLvl w:val="0"/>
              <w:rPr>
                <w:rFonts w:eastAsia="Times New Roman" w:cs="Arial"/>
                <w:b/>
                <w:sz w:val="20"/>
                <w:szCs w:val="20"/>
              </w:rPr>
            </w:pPr>
            <w:r w:rsidRPr="00861DF8">
              <w:rPr>
                <w:rFonts w:eastAsia="Times New Roman" w:cs="Arial"/>
                <w:b/>
                <w:sz w:val="20"/>
                <w:szCs w:val="20"/>
              </w:rPr>
              <w:t>Banka</w:t>
            </w:r>
          </w:p>
        </w:tc>
      </w:tr>
      <w:tr w:rsidR="00532810" w:rsidRPr="00861DF8" w14:paraId="3A41F60A" w14:textId="77777777" w:rsidTr="002E7C23">
        <w:trPr>
          <w:trHeight w:hRule="exact" w:val="340"/>
        </w:trPr>
        <w:tc>
          <w:tcPr>
            <w:tcW w:w="2056" w:type="pct"/>
            <w:vAlign w:val="center"/>
          </w:tcPr>
          <w:p w14:paraId="29573549" w14:textId="77777777" w:rsidR="00532810" w:rsidRPr="00861DF8" w:rsidRDefault="00532810" w:rsidP="00532810">
            <w:pPr>
              <w:tabs>
                <w:tab w:val="left" w:pos="-720"/>
              </w:tabs>
              <w:suppressAutoHyphens/>
              <w:spacing w:after="0" w:line="240" w:lineRule="auto"/>
              <w:rPr>
                <w:rFonts w:eastAsia="Times New Roman" w:cs="Arial"/>
                <w:spacing w:val="-3"/>
                <w:sz w:val="20"/>
                <w:szCs w:val="20"/>
              </w:rPr>
            </w:pPr>
          </w:p>
        </w:tc>
        <w:tc>
          <w:tcPr>
            <w:tcW w:w="740" w:type="pct"/>
            <w:vAlign w:val="center"/>
          </w:tcPr>
          <w:p w14:paraId="11A406F1" w14:textId="558B309C" w:rsidR="00532810" w:rsidRPr="00202F35" w:rsidRDefault="00060490">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3</w:t>
            </w:r>
            <w:r>
              <w:rPr>
                <w:rFonts w:eastAsia="Times New Roman" w:cs="Arial"/>
                <w:b/>
                <w:sz w:val="20"/>
                <w:szCs w:val="20"/>
              </w:rPr>
              <w:t>0</w:t>
            </w:r>
            <w:r w:rsidR="00532810" w:rsidRPr="000C1F7F">
              <w:rPr>
                <w:rFonts w:eastAsia="Times New Roman" w:cs="Arial"/>
                <w:b/>
                <w:sz w:val="20"/>
                <w:szCs w:val="20"/>
              </w:rPr>
              <w:t>.</w:t>
            </w:r>
            <w:r>
              <w:rPr>
                <w:rFonts w:eastAsia="Times New Roman" w:cs="Arial"/>
                <w:b/>
                <w:sz w:val="20"/>
                <w:szCs w:val="20"/>
              </w:rPr>
              <w:t>6</w:t>
            </w:r>
            <w:r w:rsidR="00532810" w:rsidRPr="000C1F7F">
              <w:rPr>
                <w:rFonts w:eastAsia="Times New Roman" w:cs="Arial"/>
                <w:b/>
                <w:sz w:val="20"/>
                <w:szCs w:val="20"/>
              </w:rPr>
              <w:t>.2017.</w:t>
            </w:r>
          </w:p>
        </w:tc>
        <w:tc>
          <w:tcPr>
            <w:tcW w:w="741" w:type="pct"/>
            <w:vAlign w:val="center"/>
          </w:tcPr>
          <w:p w14:paraId="5CAB01B9" w14:textId="1F5B47C6" w:rsidR="00532810" w:rsidRPr="00202F35" w:rsidRDefault="00532810" w:rsidP="00532810">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31.12.2016.</w:t>
            </w:r>
          </w:p>
        </w:tc>
        <w:tc>
          <w:tcPr>
            <w:tcW w:w="740" w:type="pct"/>
            <w:vAlign w:val="center"/>
          </w:tcPr>
          <w:p w14:paraId="276DFC90" w14:textId="157B8B4E" w:rsidR="00532810" w:rsidRPr="00202F35" w:rsidRDefault="00060490">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3</w:t>
            </w:r>
            <w:r>
              <w:rPr>
                <w:rFonts w:eastAsia="Times New Roman" w:cs="Arial"/>
                <w:b/>
                <w:sz w:val="20"/>
                <w:szCs w:val="20"/>
              </w:rPr>
              <w:t>0</w:t>
            </w:r>
            <w:r w:rsidR="00532810" w:rsidRPr="000C1F7F">
              <w:rPr>
                <w:rFonts w:eastAsia="Times New Roman" w:cs="Arial"/>
                <w:b/>
                <w:sz w:val="20"/>
                <w:szCs w:val="20"/>
              </w:rPr>
              <w:t>.</w:t>
            </w:r>
            <w:r>
              <w:rPr>
                <w:rFonts w:eastAsia="Times New Roman" w:cs="Arial"/>
                <w:b/>
                <w:sz w:val="20"/>
                <w:szCs w:val="20"/>
              </w:rPr>
              <w:t>6</w:t>
            </w:r>
            <w:r w:rsidR="00532810" w:rsidRPr="000C1F7F">
              <w:rPr>
                <w:rFonts w:eastAsia="Times New Roman" w:cs="Arial"/>
                <w:b/>
                <w:sz w:val="20"/>
                <w:szCs w:val="20"/>
              </w:rPr>
              <w:t>.2017.</w:t>
            </w:r>
          </w:p>
        </w:tc>
        <w:tc>
          <w:tcPr>
            <w:tcW w:w="723" w:type="pct"/>
            <w:vAlign w:val="center"/>
          </w:tcPr>
          <w:p w14:paraId="417ED86F" w14:textId="5E655A31" w:rsidR="00532810" w:rsidRPr="00202F35" w:rsidRDefault="00532810" w:rsidP="00532810">
            <w:pPr>
              <w:tabs>
                <w:tab w:val="right" w:pos="1202"/>
              </w:tabs>
              <w:spacing w:after="0" w:line="220" w:lineRule="exact"/>
              <w:jc w:val="right"/>
              <w:outlineLvl w:val="0"/>
              <w:rPr>
                <w:rFonts w:eastAsia="Times New Roman" w:cs="Arial"/>
                <w:b/>
                <w:sz w:val="20"/>
                <w:szCs w:val="20"/>
              </w:rPr>
            </w:pPr>
            <w:r w:rsidRPr="000C1F7F">
              <w:rPr>
                <w:rFonts w:eastAsia="Times New Roman" w:cs="Arial"/>
                <w:b/>
                <w:sz w:val="20"/>
                <w:szCs w:val="20"/>
              </w:rPr>
              <w:t>31.12.2016.</w:t>
            </w:r>
          </w:p>
        </w:tc>
      </w:tr>
      <w:tr w:rsidR="00845ECD" w:rsidRPr="00861DF8" w14:paraId="497EC435" w14:textId="77777777" w:rsidTr="00312975">
        <w:trPr>
          <w:trHeight w:hRule="exact" w:val="542"/>
        </w:trPr>
        <w:tc>
          <w:tcPr>
            <w:tcW w:w="2056" w:type="pct"/>
            <w:vAlign w:val="bottom"/>
          </w:tcPr>
          <w:p w14:paraId="0F889DB3" w14:textId="77777777" w:rsidR="00845ECD" w:rsidRPr="00861DF8" w:rsidRDefault="00845ECD" w:rsidP="00845ECD">
            <w:pPr>
              <w:tabs>
                <w:tab w:val="right" w:pos="1202"/>
              </w:tabs>
              <w:spacing w:after="0" w:line="240" w:lineRule="auto"/>
              <w:outlineLvl w:val="0"/>
              <w:rPr>
                <w:rFonts w:eastAsia="Times New Roman" w:cs="Arial"/>
                <w:sz w:val="20"/>
                <w:szCs w:val="20"/>
              </w:rPr>
            </w:pPr>
            <w:r w:rsidRPr="00861DF8">
              <w:rPr>
                <w:rFonts w:eastAsia="Times New Roman" w:cs="Arial"/>
                <w:sz w:val="20"/>
                <w:szCs w:val="20"/>
              </w:rPr>
              <w:t>Program kreditiranja obnove i razvitka gospodarskih djelatnosti</w:t>
            </w:r>
          </w:p>
        </w:tc>
        <w:tc>
          <w:tcPr>
            <w:tcW w:w="740" w:type="pct"/>
            <w:tcBorders>
              <w:top w:val="nil"/>
              <w:left w:val="nil"/>
              <w:bottom w:val="nil"/>
              <w:right w:val="nil"/>
            </w:tcBorders>
            <w:shd w:val="clear" w:color="auto" w:fill="auto"/>
            <w:vAlign w:val="bottom"/>
          </w:tcPr>
          <w:p w14:paraId="07169B1F" w14:textId="3F9BFE50" w:rsidR="00845ECD" w:rsidRPr="00312975" w:rsidRDefault="00845ECD" w:rsidP="00312975">
            <w:pPr>
              <w:spacing w:after="0" w:line="240" w:lineRule="auto"/>
              <w:jc w:val="right"/>
              <w:rPr>
                <w:rFonts w:ascii="Calibri" w:hAnsi="Calibri"/>
                <w:color w:val="000000"/>
                <w:sz w:val="20"/>
              </w:rPr>
            </w:pPr>
            <w:r w:rsidRPr="00312975">
              <w:rPr>
                <w:rFonts w:ascii="Calibri" w:hAnsi="Calibri"/>
                <w:color w:val="000000"/>
                <w:sz w:val="20"/>
              </w:rPr>
              <w:t>4.160.487</w:t>
            </w:r>
          </w:p>
        </w:tc>
        <w:tc>
          <w:tcPr>
            <w:tcW w:w="741" w:type="pct"/>
            <w:tcBorders>
              <w:top w:val="nil"/>
              <w:left w:val="nil"/>
              <w:bottom w:val="nil"/>
              <w:right w:val="nil"/>
            </w:tcBorders>
            <w:shd w:val="clear" w:color="auto" w:fill="auto"/>
            <w:vAlign w:val="bottom"/>
          </w:tcPr>
          <w:p w14:paraId="0949A57E" w14:textId="55DB4FDB" w:rsidR="00845ECD" w:rsidRPr="001F00C6" w:rsidRDefault="00845ECD" w:rsidP="00845ECD">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4.123.892</w:t>
            </w:r>
          </w:p>
        </w:tc>
        <w:tc>
          <w:tcPr>
            <w:tcW w:w="740" w:type="pct"/>
            <w:tcBorders>
              <w:top w:val="nil"/>
              <w:left w:val="nil"/>
              <w:bottom w:val="nil"/>
              <w:right w:val="nil"/>
            </w:tcBorders>
            <w:shd w:val="clear" w:color="auto" w:fill="auto"/>
            <w:vAlign w:val="bottom"/>
          </w:tcPr>
          <w:p w14:paraId="695E9336" w14:textId="5E7807C5" w:rsidR="00845ECD" w:rsidRPr="00312975" w:rsidRDefault="00845ECD" w:rsidP="00845ECD">
            <w:pPr>
              <w:spacing w:after="0" w:line="240" w:lineRule="auto"/>
              <w:jc w:val="right"/>
              <w:rPr>
                <w:rFonts w:ascii="Calibri" w:hAnsi="Calibri"/>
                <w:color w:val="000000"/>
                <w:sz w:val="20"/>
              </w:rPr>
            </w:pPr>
            <w:r w:rsidRPr="00312975">
              <w:rPr>
                <w:rFonts w:ascii="Calibri" w:hAnsi="Calibri"/>
                <w:color w:val="000000"/>
                <w:sz w:val="20"/>
              </w:rPr>
              <w:t>4.160.487</w:t>
            </w:r>
          </w:p>
        </w:tc>
        <w:tc>
          <w:tcPr>
            <w:tcW w:w="723" w:type="pct"/>
            <w:tcBorders>
              <w:top w:val="nil"/>
              <w:left w:val="nil"/>
              <w:bottom w:val="nil"/>
              <w:right w:val="nil"/>
            </w:tcBorders>
            <w:shd w:val="clear" w:color="auto" w:fill="auto"/>
            <w:vAlign w:val="bottom"/>
          </w:tcPr>
          <w:p w14:paraId="6C42608C" w14:textId="782C1FC9" w:rsidR="00845ECD" w:rsidRPr="001F00C6" w:rsidRDefault="00845ECD" w:rsidP="00845ECD">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4.123.892</w:t>
            </w:r>
          </w:p>
        </w:tc>
      </w:tr>
      <w:tr w:rsidR="00845ECD" w:rsidRPr="00861DF8" w14:paraId="67970382" w14:textId="77777777" w:rsidTr="00312975">
        <w:trPr>
          <w:trHeight w:hRule="exact" w:val="335"/>
        </w:trPr>
        <w:tc>
          <w:tcPr>
            <w:tcW w:w="2056" w:type="pct"/>
            <w:vAlign w:val="bottom"/>
          </w:tcPr>
          <w:p w14:paraId="1F3A0E15" w14:textId="77777777" w:rsidR="00845ECD" w:rsidRPr="00861DF8" w:rsidRDefault="00845ECD" w:rsidP="00845ECD">
            <w:pPr>
              <w:tabs>
                <w:tab w:val="right" w:pos="1202"/>
              </w:tabs>
              <w:spacing w:after="0" w:line="240" w:lineRule="auto"/>
              <w:outlineLvl w:val="0"/>
              <w:rPr>
                <w:rFonts w:eastAsia="Times New Roman" w:cs="Arial"/>
                <w:sz w:val="20"/>
                <w:szCs w:val="20"/>
              </w:rPr>
            </w:pPr>
            <w:r w:rsidRPr="00861DF8">
              <w:rPr>
                <w:rFonts w:eastAsia="Times New Roman" w:cs="Arial"/>
                <w:sz w:val="20"/>
                <w:szCs w:val="20"/>
              </w:rPr>
              <w:t>Financiranje izvoza</w:t>
            </w:r>
          </w:p>
        </w:tc>
        <w:tc>
          <w:tcPr>
            <w:tcW w:w="740" w:type="pct"/>
            <w:tcBorders>
              <w:top w:val="nil"/>
              <w:left w:val="nil"/>
              <w:bottom w:val="nil"/>
              <w:right w:val="nil"/>
            </w:tcBorders>
            <w:shd w:val="clear" w:color="auto" w:fill="auto"/>
            <w:vAlign w:val="bottom"/>
          </w:tcPr>
          <w:p w14:paraId="113AF387" w14:textId="3DCF000F" w:rsidR="00845ECD" w:rsidRPr="00312975" w:rsidRDefault="00845ECD" w:rsidP="00312975">
            <w:pPr>
              <w:spacing w:after="0" w:line="240" w:lineRule="auto"/>
              <w:jc w:val="right"/>
              <w:rPr>
                <w:rFonts w:ascii="Calibri" w:hAnsi="Calibri"/>
                <w:color w:val="000000"/>
                <w:sz w:val="20"/>
              </w:rPr>
            </w:pPr>
            <w:r w:rsidRPr="00312975">
              <w:rPr>
                <w:rFonts w:ascii="Calibri" w:hAnsi="Calibri"/>
                <w:color w:val="000000"/>
                <w:sz w:val="20"/>
              </w:rPr>
              <w:t>4.929.062</w:t>
            </w:r>
          </w:p>
        </w:tc>
        <w:tc>
          <w:tcPr>
            <w:tcW w:w="741" w:type="pct"/>
            <w:tcBorders>
              <w:top w:val="nil"/>
              <w:left w:val="nil"/>
              <w:bottom w:val="nil"/>
              <w:right w:val="nil"/>
            </w:tcBorders>
            <w:shd w:val="clear" w:color="auto" w:fill="auto"/>
            <w:vAlign w:val="bottom"/>
          </w:tcPr>
          <w:p w14:paraId="1D9D48DA" w14:textId="5993619E" w:rsidR="00845ECD" w:rsidRPr="001F00C6" w:rsidRDefault="00845ECD" w:rsidP="00845ECD">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4.687.115</w:t>
            </w:r>
          </w:p>
        </w:tc>
        <w:tc>
          <w:tcPr>
            <w:tcW w:w="740" w:type="pct"/>
            <w:tcBorders>
              <w:top w:val="nil"/>
              <w:left w:val="nil"/>
              <w:bottom w:val="nil"/>
              <w:right w:val="nil"/>
            </w:tcBorders>
            <w:shd w:val="clear" w:color="auto" w:fill="auto"/>
            <w:vAlign w:val="bottom"/>
          </w:tcPr>
          <w:p w14:paraId="36009FA0" w14:textId="49422414" w:rsidR="00845ECD" w:rsidRPr="00312975" w:rsidRDefault="00845ECD" w:rsidP="00845ECD">
            <w:pPr>
              <w:spacing w:after="0" w:line="240" w:lineRule="auto"/>
              <w:jc w:val="right"/>
              <w:rPr>
                <w:rFonts w:ascii="Calibri" w:hAnsi="Calibri"/>
                <w:color w:val="000000"/>
                <w:sz w:val="20"/>
              </w:rPr>
            </w:pPr>
            <w:r w:rsidRPr="00312975">
              <w:rPr>
                <w:rFonts w:ascii="Calibri" w:hAnsi="Calibri"/>
                <w:color w:val="000000"/>
                <w:sz w:val="20"/>
              </w:rPr>
              <w:t>4.929.062</w:t>
            </w:r>
          </w:p>
        </w:tc>
        <w:tc>
          <w:tcPr>
            <w:tcW w:w="723" w:type="pct"/>
            <w:tcBorders>
              <w:top w:val="nil"/>
              <w:left w:val="nil"/>
              <w:bottom w:val="nil"/>
              <w:right w:val="nil"/>
            </w:tcBorders>
            <w:shd w:val="clear" w:color="auto" w:fill="auto"/>
            <w:vAlign w:val="bottom"/>
          </w:tcPr>
          <w:p w14:paraId="50F87B17" w14:textId="4FCC6957" w:rsidR="00845ECD" w:rsidRPr="001F00C6" w:rsidRDefault="00845ECD" w:rsidP="00845ECD">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4.687.115</w:t>
            </w:r>
          </w:p>
        </w:tc>
      </w:tr>
      <w:tr w:rsidR="00845ECD" w:rsidRPr="00861DF8" w14:paraId="2CA38147" w14:textId="77777777" w:rsidTr="00312975">
        <w:trPr>
          <w:trHeight w:hRule="exact" w:val="492"/>
        </w:trPr>
        <w:tc>
          <w:tcPr>
            <w:tcW w:w="2056" w:type="pct"/>
            <w:vAlign w:val="bottom"/>
          </w:tcPr>
          <w:p w14:paraId="276E907C" w14:textId="77777777" w:rsidR="00845ECD" w:rsidRPr="00861DF8" w:rsidRDefault="00845ECD" w:rsidP="00845ECD">
            <w:pPr>
              <w:tabs>
                <w:tab w:val="right" w:pos="1202"/>
              </w:tabs>
              <w:spacing w:after="0" w:line="240" w:lineRule="auto"/>
              <w:outlineLvl w:val="0"/>
              <w:rPr>
                <w:rFonts w:eastAsia="Times New Roman" w:cs="Arial"/>
                <w:sz w:val="20"/>
                <w:szCs w:val="20"/>
              </w:rPr>
            </w:pPr>
            <w:r w:rsidRPr="00861DF8">
              <w:rPr>
                <w:rFonts w:eastAsia="Times New Roman" w:cs="Arial"/>
                <w:sz w:val="20"/>
                <w:szCs w:val="20"/>
              </w:rPr>
              <w:t>Program obnove i razvitka infrastrukture u Republici Hrvatskoj</w:t>
            </w:r>
          </w:p>
        </w:tc>
        <w:tc>
          <w:tcPr>
            <w:tcW w:w="740" w:type="pct"/>
            <w:tcBorders>
              <w:top w:val="nil"/>
              <w:left w:val="nil"/>
              <w:bottom w:val="nil"/>
              <w:right w:val="nil"/>
            </w:tcBorders>
            <w:shd w:val="clear" w:color="auto" w:fill="auto"/>
            <w:vAlign w:val="bottom"/>
          </w:tcPr>
          <w:p w14:paraId="57A99AFE" w14:textId="096EEAEF" w:rsidR="00845ECD" w:rsidRPr="00312975" w:rsidRDefault="00845ECD" w:rsidP="00312975">
            <w:pPr>
              <w:spacing w:after="0" w:line="240" w:lineRule="auto"/>
              <w:jc w:val="right"/>
              <w:rPr>
                <w:rFonts w:ascii="Calibri" w:hAnsi="Calibri"/>
                <w:color w:val="000000"/>
                <w:sz w:val="20"/>
              </w:rPr>
            </w:pPr>
            <w:r w:rsidRPr="00312975">
              <w:rPr>
                <w:rFonts w:ascii="Calibri" w:hAnsi="Calibri"/>
                <w:color w:val="000000"/>
                <w:sz w:val="20"/>
              </w:rPr>
              <w:t>3.161.783</w:t>
            </w:r>
          </w:p>
        </w:tc>
        <w:tc>
          <w:tcPr>
            <w:tcW w:w="741" w:type="pct"/>
            <w:tcBorders>
              <w:top w:val="nil"/>
              <w:left w:val="nil"/>
              <w:bottom w:val="nil"/>
              <w:right w:val="nil"/>
            </w:tcBorders>
            <w:shd w:val="clear" w:color="auto" w:fill="auto"/>
            <w:vAlign w:val="bottom"/>
          </w:tcPr>
          <w:p w14:paraId="20ABFA16" w14:textId="0614DB2B" w:rsidR="00845ECD" w:rsidRPr="001F00C6" w:rsidRDefault="00845ECD" w:rsidP="00845ECD">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3.075.022</w:t>
            </w:r>
          </w:p>
        </w:tc>
        <w:tc>
          <w:tcPr>
            <w:tcW w:w="740" w:type="pct"/>
            <w:tcBorders>
              <w:top w:val="nil"/>
              <w:left w:val="nil"/>
              <w:bottom w:val="nil"/>
              <w:right w:val="nil"/>
            </w:tcBorders>
            <w:shd w:val="clear" w:color="auto" w:fill="auto"/>
            <w:vAlign w:val="bottom"/>
          </w:tcPr>
          <w:p w14:paraId="00A5E27B" w14:textId="7F379A3A" w:rsidR="00845ECD" w:rsidRPr="00312975" w:rsidRDefault="00845ECD" w:rsidP="00845ECD">
            <w:pPr>
              <w:spacing w:after="0" w:line="240" w:lineRule="auto"/>
              <w:jc w:val="right"/>
              <w:rPr>
                <w:rFonts w:ascii="Calibri" w:hAnsi="Calibri"/>
                <w:color w:val="000000"/>
                <w:sz w:val="20"/>
              </w:rPr>
            </w:pPr>
            <w:r w:rsidRPr="00312975">
              <w:rPr>
                <w:rFonts w:ascii="Calibri" w:hAnsi="Calibri"/>
                <w:color w:val="000000"/>
                <w:sz w:val="20"/>
              </w:rPr>
              <w:t>3.161.783</w:t>
            </w:r>
          </w:p>
        </w:tc>
        <w:tc>
          <w:tcPr>
            <w:tcW w:w="723" w:type="pct"/>
            <w:tcBorders>
              <w:top w:val="nil"/>
              <w:left w:val="nil"/>
              <w:bottom w:val="nil"/>
              <w:right w:val="nil"/>
            </w:tcBorders>
            <w:shd w:val="clear" w:color="auto" w:fill="auto"/>
            <w:vAlign w:val="bottom"/>
          </w:tcPr>
          <w:p w14:paraId="76EE3CE8" w14:textId="6FF20A3D" w:rsidR="00845ECD" w:rsidRPr="001F00C6" w:rsidRDefault="00845ECD" w:rsidP="00845ECD">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3.075.022</w:t>
            </w:r>
          </w:p>
        </w:tc>
      </w:tr>
      <w:tr w:rsidR="00845ECD" w:rsidRPr="00861DF8" w14:paraId="2FF32E7C" w14:textId="77777777" w:rsidTr="00312975">
        <w:trPr>
          <w:trHeight w:hRule="exact" w:val="511"/>
        </w:trPr>
        <w:tc>
          <w:tcPr>
            <w:tcW w:w="2056" w:type="pct"/>
            <w:vAlign w:val="bottom"/>
          </w:tcPr>
          <w:p w14:paraId="17A33C83" w14:textId="77777777" w:rsidR="00845ECD" w:rsidRPr="00861DF8" w:rsidRDefault="00845ECD" w:rsidP="00845ECD">
            <w:pPr>
              <w:tabs>
                <w:tab w:val="right" w:pos="1202"/>
              </w:tabs>
              <w:spacing w:after="0" w:line="240" w:lineRule="auto"/>
              <w:outlineLvl w:val="0"/>
              <w:rPr>
                <w:rFonts w:eastAsia="Times New Roman" w:cs="Arial"/>
                <w:sz w:val="20"/>
                <w:szCs w:val="20"/>
              </w:rPr>
            </w:pPr>
            <w:r w:rsidRPr="00861DF8">
              <w:rPr>
                <w:rFonts w:eastAsia="Times New Roman" w:cs="Arial"/>
                <w:sz w:val="20"/>
                <w:szCs w:val="20"/>
              </w:rPr>
              <w:t>Program kreditiranja malog i srednjeg poduzetništva</w:t>
            </w:r>
          </w:p>
        </w:tc>
        <w:tc>
          <w:tcPr>
            <w:tcW w:w="740" w:type="pct"/>
            <w:tcBorders>
              <w:top w:val="nil"/>
              <w:left w:val="nil"/>
              <w:bottom w:val="nil"/>
              <w:right w:val="nil"/>
            </w:tcBorders>
            <w:shd w:val="clear" w:color="auto" w:fill="auto"/>
            <w:vAlign w:val="bottom"/>
          </w:tcPr>
          <w:p w14:paraId="6C553E83" w14:textId="1324A73F" w:rsidR="00845ECD" w:rsidRPr="00312975" w:rsidRDefault="00845ECD" w:rsidP="00312975">
            <w:pPr>
              <w:spacing w:after="0" w:line="240" w:lineRule="auto"/>
              <w:jc w:val="right"/>
              <w:rPr>
                <w:rFonts w:ascii="Calibri" w:hAnsi="Calibri"/>
                <w:color w:val="000000"/>
                <w:sz w:val="20"/>
              </w:rPr>
            </w:pPr>
            <w:r w:rsidRPr="00312975">
              <w:rPr>
                <w:rFonts w:ascii="Calibri" w:hAnsi="Calibri"/>
                <w:color w:val="000000"/>
                <w:sz w:val="20"/>
              </w:rPr>
              <w:t>2.058.175</w:t>
            </w:r>
          </w:p>
        </w:tc>
        <w:tc>
          <w:tcPr>
            <w:tcW w:w="741" w:type="pct"/>
            <w:tcBorders>
              <w:top w:val="nil"/>
              <w:left w:val="nil"/>
              <w:bottom w:val="nil"/>
              <w:right w:val="nil"/>
            </w:tcBorders>
            <w:shd w:val="clear" w:color="auto" w:fill="auto"/>
            <w:vAlign w:val="bottom"/>
          </w:tcPr>
          <w:p w14:paraId="1D4C0806" w14:textId="6928C242" w:rsidR="00845ECD" w:rsidRPr="001F00C6" w:rsidRDefault="00845ECD" w:rsidP="00845ECD">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2.158.612</w:t>
            </w:r>
          </w:p>
        </w:tc>
        <w:tc>
          <w:tcPr>
            <w:tcW w:w="740" w:type="pct"/>
            <w:tcBorders>
              <w:top w:val="nil"/>
              <w:left w:val="nil"/>
              <w:bottom w:val="nil"/>
              <w:right w:val="nil"/>
            </w:tcBorders>
            <w:shd w:val="clear" w:color="auto" w:fill="auto"/>
            <w:vAlign w:val="bottom"/>
          </w:tcPr>
          <w:p w14:paraId="08DC9F55" w14:textId="0030DF40" w:rsidR="00845ECD" w:rsidRPr="00312975" w:rsidRDefault="00845ECD" w:rsidP="00845ECD">
            <w:pPr>
              <w:spacing w:after="0" w:line="240" w:lineRule="auto"/>
              <w:jc w:val="right"/>
              <w:rPr>
                <w:rFonts w:ascii="Calibri" w:hAnsi="Calibri"/>
                <w:color w:val="000000"/>
                <w:sz w:val="20"/>
              </w:rPr>
            </w:pPr>
            <w:r w:rsidRPr="00312975">
              <w:rPr>
                <w:rFonts w:ascii="Calibri" w:hAnsi="Calibri"/>
                <w:color w:val="000000"/>
                <w:sz w:val="20"/>
              </w:rPr>
              <w:t>2.058.175</w:t>
            </w:r>
          </w:p>
        </w:tc>
        <w:tc>
          <w:tcPr>
            <w:tcW w:w="723" w:type="pct"/>
            <w:tcBorders>
              <w:top w:val="nil"/>
              <w:left w:val="nil"/>
              <w:bottom w:val="nil"/>
              <w:right w:val="nil"/>
            </w:tcBorders>
            <w:shd w:val="clear" w:color="auto" w:fill="auto"/>
            <w:vAlign w:val="bottom"/>
          </w:tcPr>
          <w:p w14:paraId="12D9287E" w14:textId="337FCBFC" w:rsidR="00845ECD" w:rsidRPr="001F00C6" w:rsidRDefault="00845ECD" w:rsidP="00845ECD">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2.158.612</w:t>
            </w:r>
          </w:p>
        </w:tc>
      </w:tr>
      <w:tr w:rsidR="00845ECD" w:rsidRPr="00861DF8" w14:paraId="29398706" w14:textId="77777777" w:rsidTr="00312975">
        <w:trPr>
          <w:trHeight w:hRule="exact" w:val="295"/>
        </w:trPr>
        <w:tc>
          <w:tcPr>
            <w:tcW w:w="2056" w:type="pct"/>
            <w:vAlign w:val="bottom"/>
          </w:tcPr>
          <w:p w14:paraId="1F4B142E" w14:textId="77777777" w:rsidR="00845ECD" w:rsidRPr="00861DF8" w:rsidRDefault="00845ECD" w:rsidP="00845ECD">
            <w:pPr>
              <w:tabs>
                <w:tab w:val="right" w:pos="1202"/>
              </w:tabs>
              <w:spacing w:after="0" w:line="240" w:lineRule="auto"/>
              <w:outlineLvl w:val="0"/>
              <w:rPr>
                <w:rFonts w:eastAsia="Times New Roman" w:cs="Arial"/>
                <w:sz w:val="20"/>
                <w:szCs w:val="20"/>
              </w:rPr>
            </w:pPr>
            <w:r w:rsidRPr="00861DF8">
              <w:rPr>
                <w:rFonts w:eastAsia="Times New Roman" w:cs="Arial"/>
                <w:sz w:val="20"/>
                <w:szCs w:val="20"/>
              </w:rPr>
              <w:t>Ostalo</w:t>
            </w:r>
          </w:p>
        </w:tc>
        <w:tc>
          <w:tcPr>
            <w:tcW w:w="740" w:type="pct"/>
            <w:tcBorders>
              <w:top w:val="nil"/>
              <w:left w:val="nil"/>
              <w:bottom w:val="nil"/>
              <w:right w:val="nil"/>
            </w:tcBorders>
            <w:shd w:val="clear" w:color="auto" w:fill="auto"/>
            <w:vAlign w:val="bottom"/>
          </w:tcPr>
          <w:p w14:paraId="1E51E6FB" w14:textId="6DF1590A" w:rsidR="00845ECD" w:rsidRPr="00312975" w:rsidRDefault="00845ECD" w:rsidP="00312975">
            <w:pPr>
              <w:spacing w:after="0" w:line="240" w:lineRule="auto"/>
              <w:jc w:val="right"/>
              <w:rPr>
                <w:rFonts w:ascii="Calibri" w:hAnsi="Calibri"/>
                <w:color w:val="000000"/>
                <w:sz w:val="20"/>
              </w:rPr>
            </w:pPr>
            <w:r w:rsidRPr="00312975">
              <w:rPr>
                <w:rFonts w:ascii="Calibri" w:hAnsi="Calibri"/>
                <w:color w:val="000000"/>
                <w:sz w:val="20"/>
              </w:rPr>
              <w:t>49.118</w:t>
            </w:r>
          </w:p>
        </w:tc>
        <w:tc>
          <w:tcPr>
            <w:tcW w:w="741" w:type="pct"/>
            <w:tcBorders>
              <w:top w:val="nil"/>
              <w:left w:val="nil"/>
              <w:bottom w:val="nil"/>
              <w:right w:val="nil"/>
            </w:tcBorders>
            <w:shd w:val="clear" w:color="auto" w:fill="auto"/>
            <w:vAlign w:val="bottom"/>
          </w:tcPr>
          <w:p w14:paraId="4716DC7C" w14:textId="5BB13C4F" w:rsidR="00845ECD" w:rsidRPr="001F00C6" w:rsidRDefault="00845ECD" w:rsidP="00845ECD">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81.959</w:t>
            </w:r>
          </w:p>
        </w:tc>
        <w:tc>
          <w:tcPr>
            <w:tcW w:w="740" w:type="pct"/>
            <w:tcBorders>
              <w:top w:val="nil"/>
              <w:left w:val="nil"/>
              <w:bottom w:val="nil"/>
              <w:right w:val="nil"/>
            </w:tcBorders>
            <w:shd w:val="clear" w:color="auto" w:fill="auto"/>
            <w:vAlign w:val="bottom"/>
          </w:tcPr>
          <w:p w14:paraId="53156ED1" w14:textId="5EF1B6B7" w:rsidR="00845ECD" w:rsidRPr="00312975" w:rsidRDefault="00845ECD" w:rsidP="00845ECD">
            <w:pPr>
              <w:spacing w:after="0" w:line="240" w:lineRule="auto"/>
              <w:jc w:val="right"/>
              <w:rPr>
                <w:rFonts w:ascii="Calibri" w:hAnsi="Calibri"/>
                <w:color w:val="000000"/>
                <w:sz w:val="20"/>
              </w:rPr>
            </w:pPr>
            <w:r w:rsidRPr="00312975">
              <w:rPr>
                <w:rFonts w:ascii="Calibri" w:hAnsi="Calibri"/>
                <w:color w:val="000000"/>
                <w:sz w:val="20"/>
              </w:rPr>
              <w:t>49.118</w:t>
            </w:r>
          </w:p>
        </w:tc>
        <w:tc>
          <w:tcPr>
            <w:tcW w:w="723" w:type="pct"/>
            <w:tcBorders>
              <w:top w:val="nil"/>
              <w:left w:val="nil"/>
              <w:bottom w:val="nil"/>
              <w:right w:val="nil"/>
            </w:tcBorders>
            <w:shd w:val="clear" w:color="auto" w:fill="auto"/>
            <w:vAlign w:val="bottom"/>
          </w:tcPr>
          <w:p w14:paraId="784925BC" w14:textId="48C145E8" w:rsidR="00845ECD" w:rsidRPr="001F00C6" w:rsidRDefault="00845ECD" w:rsidP="00845ECD">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81.959</w:t>
            </w:r>
          </w:p>
        </w:tc>
      </w:tr>
      <w:tr w:rsidR="00845ECD" w:rsidRPr="00861DF8" w14:paraId="62007E50" w14:textId="77777777" w:rsidTr="00312975">
        <w:trPr>
          <w:trHeight w:hRule="exact" w:val="229"/>
        </w:trPr>
        <w:tc>
          <w:tcPr>
            <w:tcW w:w="2056" w:type="pct"/>
            <w:vAlign w:val="bottom"/>
          </w:tcPr>
          <w:p w14:paraId="1EFDB00C" w14:textId="77777777" w:rsidR="00845ECD" w:rsidRPr="00861DF8" w:rsidRDefault="00845ECD" w:rsidP="00845ECD">
            <w:pPr>
              <w:tabs>
                <w:tab w:val="right" w:pos="1202"/>
              </w:tabs>
              <w:spacing w:after="0" w:line="240" w:lineRule="auto"/>
              <w:outlineLvl w:val="0"/>
              <w:rPr>
                <w:rFonts w:eastAsia="Times New Roman" w:cs="Arial"/>
                <w:sz w:val="20"/>
                <w:szCs w:val="20"/>
              </w:rPr>
            </w:pPr>
            <w:r w:rsidRPr="00861DF8">
              <w:rPr>
                <w:rFonts w:eastAsia="Times New Roman" w:cs="Arial"/>
                <w:sz w:val="20"/>
                <w:szCs w:val="20"/>
              </w:rPr>
              <w:t>Obračunata kamata</w:t>
            </w:r>
          </w:p>
        </w:tc>
        <w:tc>
          <w:tcPr>
            <w:tcW w:w="740" w:type="pct"/>
            <w:tcBorders>
              <w:top w:val="nil"/>
              <w:left w:val="nil"/>
              <w:bottom w:val="nil"/>
              <w:right w:val="nil"/>
            </w:tcBorders>
            <w:shd w:val="clear" w:color="auto" w:fill="auto"/>
            <w:vAlign w:val="bottom"/>
          </w:tcPr>
          <w:p w14:paraId="05577F0D" w14:textId="79FB69DC" w:rsidR="00845ECD" w:rsidRPr="00312975" w:rsidRDefault="00845ECD" w:rsidP="00312975">
            <w:pPr>
              <w:spacing w:after="0" w:line="240" w:lineRule="auto"/>
              <w:jc w:val="right"/>
              <w:rPr>
                <w:rFonts w:ascii="Calibri" w:hAnsi="Calibri"/>
                <w:color w:val="000000"/>
                <w:sz w:val="20"/>
              </w:rPr>
            </w:pPr>
            <w:r w:rsidRPr="00312975">
              <w:rPr>
                <w:rFonts w:ascii="Calibri" w:hAnsi="Calibri"/>
                <w:color w:val="000000"/>
                <w:sz w:val="20"/>
              </w:rPr>
              <w:t>85.291</w:t>
            </w:r>
          </w:p>
        </w:tc>
        <w:tc>
          <w:tcPr>
            <w:tcW w:w="741" w:type="pct"/>
            <w:tcBorders>
              <w:top w:val="nil"/>
              <w:left w:val="nil"/>
              <w:bottom w:val="nil"/>
              <w:right w:val="nil"/>
            </w:tcBorders>
            <w:shd w:val="clear" w:color="auto" w:fill="auto"/>
            <w:vAlign w:val="bottom"/>
          </w:tcPr>
          <w:p w14:paraId="08B1BC2A" w14:textId="396396D7" w:rsidR="00845ECD" w:rsidRPr="001F00C6" w:rsidRDefault="00845ECD" w:rsidP="00845ECD">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83.423</w:t>
            </w:r>
          </w:p>
        </w:tc>
        <w:tc>
          <w:tcPr>
            <w:tcW w:w="740" w:type="pct"/>
            <w:tcBorders>
              <w:top w:val="nil"/>
              <w:left w:val="nil"/>
              <w:bottom w:val="nil"/>
              <w:right w:val="nil"/>
            </w:tcBorders>
            <w:shd w:val="clear" w:color="auto" w:fill="auto"/>
            <w:vAlign w:val="bottom"/>
          </w:tcPr>
          <w:p w14:paraId="258C51B4" w14:textId="3D1925E4" w:rsidR="00845ECD" w:rsidRPr="00312975" w:rsidRDefault="00845ECD" w:rsidP="00845ECD">
            <w:pPr>
              <w:spacing w:after="0" w:line="240" w:lineRule="auto"/>
              <w:jc w:val="right"/>
              <w:rPr>
                <w:rFonts w:ascii="Calibri" w:hAnsi="Calibri"/>
                <w:color w:val="000000"/>
                <w:sz w:val="20"/>
              </w:rPr>
            </w:pPr>
            <w:r w:rsidRPr="00312975">
              <w:rPr>
                <w:rFonts w:ascii="Calibri" w:hAnsi="Calibri"/>
                <w:color w:val="000000"/>
                <w:sz w:val="20"/>
              </w:rPr>
              <w:t>85.291</w:t>
            </w:r>
          </w:p>
        </w:tc>
        <w:tc>
          <w:tcPr>
            <w:tcW w:w="723" w:type="pct"/>
            <w:tcBorders>
              <w:top w:val="nil"/>
              <w:left w:val="nil"/>
              <w:bottom w:val="nil"/>
              <w:right w:val="nil"/>
            </w:tcBorders>
            <w:shd w:val="clear" w:color="auto" w:fill="auto"/>
            <w:vAlign w:val="bottom"/>
          </w:tcPr>
          <w:p w14:paraId="132733F2" w14:textId="39A3BA6F" w:rsidR="00845ECD" w:rsidRPr="001F00C6" w:rsidRDefault="00845ECD" w:rsidP="00845ECD">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83.423</w:t>
            </w:r>
          </w:p>
        </w:tc>
      </w:tr>
      <w:tr w:rsidR="00845ECD" w:rsidRPr="00861DF8" w14:paraId="71B9299E" w14:textId="77777777" w:rsidTr="00312975">
        <w:trPr>
          <w:trHeight w:hRule="exact" w:val="331"/>
        </w:trPr>
        <w:tc>
          <w:tcPr>
            <w:tcW w:w="2056" w:type="pct"/>
            <w:vAlign w:val="bottom"/>
          </w:tcPr>
          <w:p w14:paraId="47FAB421" w14:textId="77777777" w:rsidR="00845ECD" w:rsidRPr="00861DF8" w:rsidRDefault="00845ECD" w:rsidP="00845ECD">
            <w:pPr>
              <w:tabs>
                <w:tab w:val="right" w:pos="1202"/>
              </w:tabs>
              <w:spacing w:after="0" w:line="240" w:lineRule="auto"/>
              <w:outlineLvl w:val="0"/>
              <w:rPr>
                <w:rFonts w:eastAsia="Times New Roman" w:cs="Arial"/>
                <w:sz w:val="20"/>
                <w:szCs w:val="20"/>
              </w:rPr>
            </w:pPr>
            <w:r w:rsidRPr="00861DF8">
              <w:rPr>
                <w:rFonts w:eastAsia="Times New Roman" w:cs="Arial"/>
                <w:sz w:val="20"/>
                <w:szCs w:val="20"/>
              </w:rPr>
              <w:t>Odgođena naknada po kreditima</w:t>
            </w:r>
          </w:p>
        </w:tc>
        <w:tc>
          <w:tcPr>
            <w:tcW w:w="740" w:type="pct"/>
            <w:tcBorders>
              <w:top w:val="nil"/>
              <w:left w:val="nil"/>
              <w:bottom w:val="nil"/>
              <w:right w:val="nil"/>
            </w:tcBorders>
            <w:shd w:val="clear" w:color="auto" w:fill="auto"/>
            <w:vAlign w:val="bottom"/>
          </w:tcPr>
          <w:p w14:paraId="77DD337F" w14:textId="08CF772B" w:rsidR="00845ECD" w:rsidRPr="00312975" w:rsidRDefault="00845ECD" w:rsidP="00312975">
            <w:pPr>
              <w:spacing w:after="0" w:line="240" w:lineRule="auto"/>
              <w:jc w:val="right"/>
              <w:rPr>
                <w:rFonts w:ascii="Calibri" w:hAnsi="Calibri"/>
                <w:color w:val="000000"/>
                <w:sz w:val="20"/>
              </w:rPr>
            </w:pPr>
            <w:r w:rsidRPr="00312975">
              <w:rPr>
                <w:rFonts w:ascii="Calibri" w:hAnsi="Calibri"/>
                <w:color w:val="000000"/>
                <w:sz w:val="20"/>
              </w:rPr>
              <w:t xml:space="preserve"> (114.031)</w:t>
            </w:r>
          </w:p>
        </w:tc>
        <w:tc>
          <w:tcPr>
            <w:tcW w:w="741" w:type="pct"/>
            <w:tcBorders>
              <w:top w:val="nil"/>
              <w:left w:val="nil"/>
              <w:bottom w:val="nil"/>
              <w:right w:val="nil"/>
            </w:tcBorders>
            <w:shd w:val="clear" w:color="auto" w:fill="auto"/>
            <w:vAlign w:val="bottom"/>
          </w:tcPr>
          <w:p w14:paraId="7C0D8359" w14:textId="3C9E7E69" w:rsidR="00845ECD" w:rsidRPr="001F00C6" w:rsidRDefault="00845ECD" w:rsidP="00845ECD">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 xml:space="preserve"> (119.328)</w:t>
            </w:r>
          </w:p>
        </w:tc>
        <w:tc>
          <w:tcPr>
            <w:tcW w:w="740" w:type="pct"/>
            <w:tcBorders>
              <w:top w:val="nil"/>
              <w:left w:val="nil"/>
              <w:bottom w:val="nil"/>
              <w:right w:val="nil"/>
            </w:tcBorders>
            <w:shd w:val="clear" w:color="auto" w:fill="auto"/>
            <w:vAlign w:val="bottom"/>
          </w:tcPr>
          <w:p w14:paraId="2D74E30C" w14:textId="1A1B7036" w:rsidR="00845ECD" w:rsidRPr="00312975" w:rsidRDefault="00845ECD" w:rsidP="00845ECD">
            <w:pPr>
              <w:spacing w:after="0" w:line="240" w:lineRule="auto"/>
              <w:jc w:val="right"/>
              <w:rPr>
                <w:rFonts w:ascii="Calibri" w:hAnsi="Calibri"/>
                <w:color w:val="000000"/>
                <w:sz w:val="20"/>
              </w:rPr>
            </w:pPr>
            <w:r w:rsidRPr="00312975">
              <w:rPr>
                <w:rFonts w:ascii="Calibri" w:hAnsi="Calibri"/>
                <w:color w:val="000000"/>
                <w:sz w:val="20"/>
              </w:rPr>
              <w:t xml:space="preserve"> (114.031)</w:t>
            </w:r>
          </w:p>
        </w:tc>
        <w:tc>
          <w:tcPr>
            <w:tcW w:w="723" w:type="pct"/>
            <w:tcBorders>
              <w:top w:val="nil"/>
              <w:left w:val="nil"/>
              <w:bottom w:val="nil"/>
              <w:right w:val="nil"/>
            </w:tcBorders>
            <w:shd w:val="clear" w:color="auto" w:fill="auto"/>
            <w:vAlign w:val="bottom"/>
          </w:tcPr>
          <w:p w14:paraId="7837049E" w14:textId="59341667" w:rsidR="00845ECD" w:rsidRPr="001F00C6" w:rsidRDefault="00845ECD" w:rsidP="00845ECD">
            <w:pPr>
              <w:spacing w:after="0" w:line="240" w:lineRule="auto"/>
              <w:jc w:val="right"/>
              <w:rPr>
                <w:rFonts w:ascii="Calibri" w:eastAsia="Times New Roman" w:hAnsi="Calibri" w:cs="Times New Roman"/>
                <w:color w:val="000000"/>
                <w:sz w:val="20"/>
                <w:szCs w:val="20"/>
                <w:lang w:eastAsia="hr-HR"/>
              </w:rPr>
            </w:pPr>
            <w:r w:rsidRPr="00CC1164">
              <w:rPr>
                <w:rFonts w:ascii="Calibri" w:hAnsi="Calibri"/>
                <w:color w:val="000000"/>
                <w:sz w:val="20"/>
              </w:rPr>
              <w:t xml:space="preserve"> (119.328)</w:t>
            </w:r>
          </w:p>
        </w:tc>
      </w:tr>
      <w:tr w:rsidR="00060490" w:rsidRPr="00861DF8" w14:paraId="44DCF1C6" w14:textId="77777777" w:rsidTr="00B47C66">
        <w:trPr>
          <w:trHeight w:val="250"/>
        </w:trPr>
        <w:tc>
          <w:tcPr>
            <w:tcW w:w="2056" w:type="pct"/>
            <w:vAlign w:val="bottom"/>
          </w:tcPr>
          <w:p w14:paraId="677E74ED" w14:textId="77777777" w:rsidR="00060490" w:rsidRPr="00861DF8" w:rsidRDefault="00060490" w:rsidP="00060490">
            <w:pPr>
              <w:tabs>
                <w:tab w:val="right" w:pos="1202"/>
              </w:tabs>
              <w:spacing w:after="0" w:line="220" w:lineRule="exact"/>
              <w:outlineLvl w:val="0"/>
              <w:rPr>
                <w:rFonts w:eastAsia="Times New Roman" w:cs="Arial"/>
                <w:spacing w:val="-3"/>
                <w:sz w:val="20"/>
                <w:szCs w:val="20"/>
              </w:rPr>
            </w:pPr>
          </w:p>
        </w:tc>
        <w:tc>
          <w:tcPr>
            <w:tcW w:w="740" w:type="pct"/>
            <w:tcBorders>
              <w:top w:val="single" w:sz="4" w:space="0" w:color="auto"/>
              <w:left w:val="nil"/>
              <w:bottom w:val="single" w:sz="4" w:space="0" w:color="auto"/>
              <w:right w:val="nil"/>
            </w:tcBorders>
            <w:shd w:val="clear" w:color="auto" w:fill="auto"/>
            <w:vAlign w:val="bottom"/>
          </w:tcPr>
          <w:p w14:paraId="7958A2E7" w14:textId="29AC74F3" w:rsidR="00060490" w:rsidRPr="005F585F" w:rsidRDefault="00FB7A34" w:rsidP="00060490">
            <w:pPr>
              <w:tabs>
                <w:tab w:val="right" w:pos="1202"/>
              </w:tabs>
              <w:spacing w:after="0" w:line="220" w:lineRule="exact"/>
              <w:jc w:val="right"/>
              <w:outlineLvl w:val="0"/>
              <w:rPr>
                <w:rFonts w:eastAsia="Times New Roman" w:cs="Arial"/>
                <w:sz w:val="20"/>
                <w:szCs w:val="20"/>
              </w:rPr>
            </w:pPr>
            <w:r w:rsidRPr="00FB7A34">
              <w:rPr>
                <w:rFonts w:ascii="Calibri" w:eastAsia="Times New Roman" w:hAnsi="Calibri" w:cs="Times New Roman"/>
                <w:color w:val="000000"/>
                <w:sz w:val="20"/>
                <w:szCs w:val="20"/>
                <w:lang w:eastAsia="hr-HR"/>
              </w:rPr>
              <w:t>14.329.885</w:t>
            </w:r>
          </w:p>
        </w:tc>
        <w:tc>
          <w:tcPr>
            <w:tcW w:w="741" w:type="pct"/>
            <w:tcBorders>
              <w:top w:val="single" w:sz="4" w:space="0" w:color="auto"/>
              <w:left w:val="nil"/>
              <w:bottom w:val="single" w:sz="4" w:space="0" w:color="auto"/>
              <w:right w:val="nil"/>
            </w:tcBorders>
            <w:shd w:val="clear" w:color="auto" w:fill="auto"/>
            <w:vAlign w:val="bottom"/>
          </w:tcPr>
          <w:p w14:paraId="586E6CF4" w14:textId="5DA795CD" w:rsidR="00060490" w:rsidRPr="001F00C6" w:rsidRDefault="00060490" w:rsidP="00060490">
            <w:pPr>
              <w:tabs>
                <w:tab w:val="right" w:pos="1202"/>
              </w:tabs>
              <w:spacing w:after="0" w:line="220" w:lineRule="exact"/>
              <w:jc w:val="right"/>
              <w:outlineLvl w:val="0"/>
              <w:rPr>
                <w:rFonts w:ascii="Calibri" w:eastAsia="Times New Roman" w:hAnsi="Calibri" w:cs="Times New Roman"/>
                <w:color w:val="000000"/>
                <w:sz w:val="20"/>
                <w:szCs w:val="20"/>
                <w:lang w:eastAsia="hr-HR"/>
              </w:rPr>
            </w:pPr>
            <w:r w:rsidRPr="00532810">
              <w:rPr>
                <w:rFonts w:ascii="Calibri" w:eastAsia="Times New Roman" w:hAnsi="Calibri" w:cs="Times New Roman"/>
                <w:color w:val="000000"/>
                <w:sz w:val="20"/>
                <w:szCs w:val="20"/>
                <w:lang w:eastAsia="hr-HR"/>
              </w:rPr>
              <w:t>14.090.695</w:t>
            </w:r>
          </w:p>
        </w:tc>
        <w:tc>
          <w:tcPr>
            <w:tcW w:w="740" w:type="pct"/>
            <w:tcBorders>
              <w:top w:val="single" w:sz="4" w:space="0" w:color="auto"/>
              <w:left w:val="nil"/>
              <w:bottom w:val="single" w:sz="4" w:space="0" w:color="auto"/>
              <w:right w:val="nil"/>
            </w:tcBorders>
            <w:shd w:val="clear" w:color="auto" w:fill="auto"/>
            <w:vAlign w:val="bottom"/>
          </w:tcPr>
          <w:p w14:paraId="1F56C25B" w14:textId="580F63FF" w:rsidR="00060490" w:rsidRPr="001F00C6" w:rsidRDefault="00FB7A34" w:rsidP="00060490">
            <w:pPr>
              <w:spacing w:after="0" w:line="240" w:lineRule="auto"/>
              <w:jc w:val="right"/>
              <w:rPr>
                <w:rFonts w:ascii="Calibri" w:eastAsia="Times New Roman" w:hAnsi="Calibri" w:cs="Times New Roman"/>
                <w:color w:val="000000"/>
                <w:sz w:val="20"/>
                <w:szCs w:val="20"/>
                <w:lang w:eastAsia="hr-HR"/>
              </w:rPr>
            </w:pPr>
            <w:r w:rsidRPr="00FB7A34">
              <w:rPr>
                <w:rFonts w:ascii="Calibri" w:eastAsia="Times New Roman" w:hAnsi="Calibri" w:cs="Times New Roman"/>
                <w:color w:val="000000"/>
                <w:sz w:val="20"/>
                <w:szCs w:val="20"/>
                <w:lang w:eastAsia="hr-HR"/>
              </w:rPr>
              <w:t>14.329.885</w:t>
            </w:r>
          </w:p>
        </w:tc>
        <w:tc>
          <w:tcPr>
            <w:tcW w:w="723" w:type="pct"/>
            <w:tcBorders>
              <w:top w:val="single" w:sz="4" w:space="0" w:color="auto"/>
              <w:left w:val="nil"/>
              <w:bottom w:val="single" w:sz="4" w:space="0" w:color="auto"/>
              <w:right w:val="nil"/>
            </w:tcBorders>
            <w:shd w:val="clear" w:color="auto" w:fill="auto"/>
            <w:vAlign w:val="bottom"/>
          </w:tcPr>
          <w:p w14:paraId="5E6ADE3F" w14:textId="22B20B7B" w:rsidR="00060490" w:rsidRPr="001F00C6" w:rsidRDefault="00060490" w:rsidP="00060490">
            <w:pPr>
              <w:spacing w:after="0" w:line="240" w:lineRule="auto"/>
              <w:jc w:val="right"/>
              <w:rPr>
                <w:rFonts w:ascii="Calibri" w:eastAsia="Times New Roman" w:hAnsi="Calibri" w:cs="Times New Roman"/>
                <w:color w:val="000000"/>
                <w:sz w:val="20"/>
                <w:szCs w:val="20"/>
                <w:lang w:eastAsia="hr-HR"/>
              </w:rPr>
            </w:pPr>
            <w:r w:rsidRPr="00532810">
              <w:rPr>
                <w:rFonts w:ascii="Calibri" w:eastAsia="Times New Roman" w:hAnsi="Calibri" w:cs="Times New Roman"/>
                <w:color w:val="000000"/>
                <w:sz w:val="20"/>
                <w:szCs w:val="20"/>
                <w:lang w:eastAsia="hr-HR"/>
              </w:rPr>
              <w:t>14.090.695</w:t>
            </w:r>
          </w:p>
        </w:tc>
      </w:tr>
      <w:tr w:rsidR="00060490" w:rsidRPr="00861DF8" w14:paraId="700E7CD9" w14:textId="77777777" w:rsidTr="00B47C66">
        <w:trPr>
          <w:trHeight w:val="328"/>
        </w:trPr>
        <w:tc>
          <w:tcPr>
            <w:tcW w:w="2056" w:type="pct"/>
            <w:vAlign w:val="bottom"/>
          </w:tcPr>
          <w:p w14:paraId="6B341F6E" w14:textId="77777777" w:rsidR="00060490" w:rsidRPr="00861DF8" w:rsidRDefault="00060490" w:rsidP="00060490">
            <w:pPr>
              <w:tabs>
                <w:tab w:val="right" w:pos="1202"/>
              </w:tabs>
              <w:spacing w:after="0" w:line="220" w:lineRule="exact"/>
              <w:outlineLvl w:val="0"/>
              <w:rPr>
                <w:rFonts w:eastAsia="Times New Roman" w:cs="Arial"/>
                <w:sz w:val="20"/>
                <w:szCs w:val="20"/>
              </w:rPr>
            </w:pPr>
            <w:r w:rsidRPr="00861DF8">
              <w:rPr>
                <w:rFonts w:eastAsia="Times New Roman" w:cs="Arial"/>
                <w:sz w:val="20"/>
                <w:szCs w:val="20"/>
              </w:rPr>
              <w:t xml:space="preserve">Rezerviranja za moguće gubitke </w:t>
            </w:r>
          </w:p>
        </w:tc>
        <w:tc>
          <w:tcPr>
            <w:tcW w:w="740" w:type="pct"/>
            <w:tcBorders>
              <w:top w:val="nil"/>
              <w:left w:val="nil"/>
              <w:bottom w:val="single" w:sz="4" w:space="0" w:color="auto"/>
              <w:right w:val="nil"/>
            </w:tcBorders>
            <w:shd w:val="clear" w:color="auto" w:fill="auto"/>
            <w:vAlign w:val="bottom"/>
          </w:tcPr>
          <w:p w14:paraId="49A6AB62" w14:textId="617BFFAE" w:rsidR="00060490" w:rsidRPr="005F585F" w:rsidRDefault="00FB7A34" w:rsidP="00060490">
            <w:pPr>
              <w:tabs>
                <w:tab w:val="right" w:pos="1202"/>
              </w:tabs>
              <w:spacing w:after="0" w:line="220" w:lineRule="exact"/>
              <w:jc w:val="right"/>
              <w:outlineLvl w:val="0"/>
              <w:rPr>
                <w:rFonts w:eastAsia="Times New Roman" w:cs="Arial"/>
                <w:sz w:val="20"/>
                <w:szCs w:val="20"/>
              </w:rPr>
            </w:pPr>
            <w:r w:rsidRPr="00FB7A34">
              <w:rPr>
                <w:rFonts w:ascii="Calibri" w:eastAsia="Times New Roman" w:hAnsi="Calibri" w:cs="Times New Roman"/>
                <w:color w:val="000000"/>
                <w:sz w:val="20"/>
                <w:szCs w:val="20"/>
                <w:lang w:eastAsia="hr-HR"/>
              </w:rPr>
              <w:t>(2.682.771)</w:t>
            </w:r>
            <w:r w:rsidRPr="00FB7A34" w:rsidDel="00060490">
              <w:rPr>
                <w:rFonts w:ascii="Calibri" w:eastAsia="Times New Roman" w:hAnsi="Calibri" w:cs="Times New Roman"/>
                <w:color w:val="000000"/>
                <w:sz w:val="20"/>
                <w:szCs w:val="20"/>
                <w:lang w:eastAsia="hr-HR"/>
              </w:rPr>
              <w:t xml:space="preserve"> </w:t>
            </w:r>
          </w:p>
        </w:tc>
        <w:tc>
          <w:tcPr>
            <w:tcW w:w="741" w:type="pct"/>
            <w:tcBorders>
              <w:top w:val="nil"/>
              <w:left w:val="nil"/>
              <w:bottom w:val="single" w:sz="4" w:space="0" w:color="auto"/>
              <w:right w:val="nil"/>
            </w:tcBorders>
            <w:shd w:val="clear" w:color="auto" w:fill="auto"/>
            <w:vAlign w:val="bottom"/>
          </w:tcPr>
          <w:p w14:paraId="1A09A226" w14:textId="5D0BE93B" w:rsidR="00060490" w:rsidRPr="001F00C6" w:rsidRDefault="00060490" w:rsidP="00060490">
            <w:pPr>
              <w:spacing w:after="0" w:line="240" w:lineRule="auto"/>
              <w:jc w:val="right"/>
              <w:rPr>
                <w:rFonts w:ascii="Calibri" w:eastAsia="Times New Roman" w:hAnsi="Calibri" w:cs="Times New Roman"/>
                <w:color w:val="000000"/>
                <w:sz w:val="20"/>
                <w:szCs w:val="20"/>
                <w:lang w:eastAsia="hr-HR"/>
              </w:rPr>
            </w:pPr>
            <w:r w:rsidRPr="00532810">
              <w:rPr>
                <w:rFonts w:ascii="Calibri" w:eastAsia="Times New Roman" w:hAnsi="Calibri" w:cs="Times New Roman"/>
                <w:color w:val="000000"/>
                <w:sz w:val="20"/>
                <w:szCs w:val="20"/>
                <w:lang w:eastAsia="hr-HR"/>
              </w:rPr>
              <w:t>(2.579.501)</w:t>
            </w:r>
          </w:p>
        </w:tc>
        <w:tc>
          <w:tcPr>
            <w:tcW w:w="740" w:type="pct"/>
            <w:tcBorders>
              <w:top w:val="nil"/>
              <w:left w:val="nil"/>
              <w:bottom w:val="single" w:sz="4" w:space="0" w:color="auto"/>
              <w:right w:val="nil"/>
            </w:tcBorders>
            <w:shd w:val="clear" w:color="auto" w:fill="auto"/>
            <w:vAlign w:val="bottom"/>
          </w:tcPr>
          <w:p w14:paraId="7E9E5395" w14:textId="6D0CB271" w:rsidR="00060490" w:rsidRPr="001F00C6" w:rsidRDefault="00FB7A34" w:rsidP="00060490">
            <w:pPr>
              <w:tabs>
                <w:tab w:val="right" w:pos="1202"/>
              </w:tabs>
              <w:spacing w:after="0" w:line="220" w:lineRule="exact"/>
              <w:jc w:val="right"/>
              <w:outlineLvl w:val="0"/>
              <w:rPr>
                <w:rFonts w:ascii="Calibri" w:eastAsia="Times New Roman" w:hAnsi="Calibri" w:cs="Times New Roman"/>
                <w:color w:val="000000"/>
                <w:sz w:val="20"/>
                <w:szCs w:val="20"/>
                <w:lang w:eastAsia="hr-HR"/>
              </w:rPr>
            </w:pPr>
            <w:r w:rsidRPr="00FB7A34">
              <w:rPr>
                <w:rFonts w:ascii="Calibri" w:eastAsia="Times New Roman" w:hAnsi="Calibri" w:cs="Times New Roman"/>
                <w:color w:val="000000"/>
                <w:sz w:val="20"/>
                <w:szCs w:val="20"/>
                <w:lang w:eastAsia="hr-HR"/>
              </w:rPr>
              <w:t>(2.682.771)</w:t>
            </w:r>
            <w:r w:rsidRPr="00FB7A34" w:rsidDel="0075679C">
              <w:rPr>
                <w:rFonts w:ascii="Calibri" w:eastAsia="Times New Roman" w:hAnsi="Calibri" w:cs="Times New Roman"/>
                <w:color w:val="000000"/>
                <w:sz w:val="20"/>
                <w:szCs w:val="20"/>
                <w:lang w:eastAsia="hr-HR"/>
              </w:rPr>
              <w:t xml:space="preserve"> </w:t>
            </w:r>
          </w:p>
        </w:tc>
        <w:tc>
          <w:tcPr>
            <w:tcW w:w="723" w:type="pct"/>
            <w:tcBorders>
              <w:top w:val="nil"/>
              <w:left w:val="nil"/>
              <w:bottom w:val="single" w:sz="4" w:space="0" w:color="auto"/>
              <w:right w:val="nil"/>
            </w:tcBorders>
            <w:shd w:val="clear" w:color="auto" w:fill="auto"/>
            <w:vAlign w:val="bottom"/>
          </w:tcPr>
          <w:p w14:paraId="1AF97BC9" w14:textId="35EFA6C5" w:rsidR="00060490" w:rsidRPr="001F00C6" w:rsidRDefault="00060490" w:rsidP="00060490">
            <w:pPr>
              <w:tabs>
                <w:tab w:val="right" w:pos="1202"/>
              </w:tabs>
              <w:spacing w:after="0" w:line="220" w:lineRule="exact"/>
              <w:jc w:val="right"/>
              <w:outlineLvl w:val="0"/>
              <w:rPr>
                <w:rFonts w:ascii="Calibri" w:eastAsia="Times New Roman" w:hAnsi="Calibri" w:cs="Times New Roman"/>
                <w:color w:val="000000"/>
                <w:sz w:val="20"/>
                <w:szCs w:val="20"/>
                <w:lang w:eastAsia="hr-HR"/>
              </w:rPr>
            </w:pPr>
            <w:r w:rsidRPr="00532810">
              <w:rPr>
                <w:rFonts w:ascii="Calibri" w:eastAsia="Times New Roman" w:hAnsi="Calibri" w:cs="Times New Roman"/>
                <w:color w:val="000000"/>
                <w:sz w:val="20"/>
                <w:szCs w:val="20"/>
                <w:lang w:eastAsia="hr-HR"/>
              </w:rPr>
              <w:t>(2.579.501)</w:t>
            </w:r>
          </w:p>
        </w:tc>
      </w:tr>
      <w:tr w:rsidR="00060490" w:rsidRPr="00861DF8" w14:paraId="15B5A447" w14:textId="77777777" w:rsidTr="005F1FBF">
        <w:trPr>
          <w:trHeight w:val="386"/>
        </w:trPr>
        <w:tc>
          <w:tcPr>
            <w:tcW w:w="2056" w:type="pct"/>
            <w:vAlign w:val="bottom"/>
          </w:tcPr>
          <w:p w14:paraId="76D87ED3" w14:textId="77777777" w:rsidR="00060490" w:rsidRPr="00861DF8" w:rsidRDefault="00060490" w:rsidP="00060490">
            <w:pPr>
              <w:tabs>
                <w:tab w:val="right" w:pos="1202"/>
              </w:tabs>
              <w:spacing w:after="0" w:line="240" w:lineRule="auto"/>
              <w:outlineLvl w:val="0"/>
              <w:rPr>
                <w:rFonts w:eastAsia="Times New Roman" w:cs="Arial"/>
                <w:b/>
                <w:bCs/>
                <w:sz w:val="20"/>
                <w:szCs w:val="20"/>
              </w:rPr>
            </w:pPr>
          </w:p>
        </w:tc>
        <w:tc>
          <w:tcPr>
            <w:tcW w:w="740" w:type="pct"/>
            <w:tcBorders>
              <w:top w:val="single" w:sz="4" w:space="0" w:color="auto"/>
              <w:left w:val="nil"/>
              <w:bottom w:val="single" w:sz="12" w:space="0" w:color="auto"/>
              <w:right w:val="nil"/>
            </w:tcBorders>
            <w:shd w:val="clear" w:color="auto" w:fill="auto"/>
            <w:vAlign w:val="bottom"/>
          </w:tcPr>
          <w:p w14:paraId="6A86575E" w14:textId="1B267909" w:rsidR="00060490" w:rsidRPr="005F585F" w:rsidRDefault="00FB7A34" w:rsidP="00060490">
            <w:pPr>
              <w:tabs>
                <w:tab w:val="right" w:pos="1202"/>
              </w:tabs>
              <w:spacing w:after="0" w:line="260" w:lineRule="exact"/>
              <w:jc w:val="right"/>
              <w:outlineLvl w:val="0"/>
              <w:rPr>
                <w:rFonts w:eastAsia="Times New Roman" w:cs="Arial"/>
                <w:b/>
                <w:bCs/>
                <w:spacing w:val="-2"/>
                <w:sz w:val="20"/>
                <w:szCs w:val="20"/>
              </w:rPr>
            </w:pPr>
            <w:r w:rsidRPr="00FB7A34">
              <w:rPr>
                <w:rFonts w:ascii="Calibri" w:eastAsia="Times New Roman" w:hAnsi="Calibri" w:cs="Times New Roman"/>
                <w:b/>
                <w:bCs/>
                <w:color w:val="000000"/>
                <w:sz w:val="20"/>
                <w:szCs w:val="20"/>
                <w:lang w:eastAsia="hr-HR"/>
              </w:rPr>
              <w:t>11.647.114</w:t>
            </w:r>
          </w:p>
        </w:tc>
        <w:tc>
          <w:tcPr>
            <w:tcW w:w="741" w:type="pct"/>
            <w:tcBorders>
              <w:top w:val="nil"/>
              <w:left w:val="nil"/>
              <w:bottom w:val="single" w:sz="12" w:space="0" w:color="auto"/>
              <w:right w:val="nil"/>
            </w:tcBorders>
            <w:shd w:val="clear" w:color="auto" w:fill="auto"/>
            <w:vAlign w:val="bottom"/>
          </w:tcPr>
          <w:p w14:paraId="3ED28E96" w14:textId="25CF203E" w:rsidR="00060490" w:rsidRPr="001F00C6" w:rsidRDefault="00060490" w:rsidP="00060490">
            <w:pPr>
              <w:tabs>
                <w:tab w:val="right" w:pos="1202"/>
              </w:tabs>
              <w:spacing w:after="0" w:line="260" w:lineRule="exact"/>
              <w:jc w:val="right"/>
              <w:outlineLvl w:val="0"/>
              <w:rPr>
                <w:rFonts w:ascii="Calibri" w:eastAsia="Times New Roman" w:hAnsi="Calibri" w:cs="Times New Roman"/>
                <w:b/>
                <w:bCs/>
                <w:color w:val="000000"/>
                <w:sz w:val="20"/>
                <w:szCs w:val="20"/>
                <w:lang w:eastAsia="hr-HR"/>
              </w:rPr>
            </w:pPr>
            <w:r w:rsidRPr="00532810">
              <w:rPr>
                <w:rFonts w:ascii="Calibri" w:eastAsia="Times New Roman" w:hAnsi="Calibri" w:cs="Times New Roman"/>
                <w:b/>
                <w:bCs/>
                <w:color w:val="000000"/>
                <w:sz w:val="20"/>
                <w:szCs w:val="20"/>
                <w:lang w:eastAsia="hr-HR"/>
              </w:rPr>
              <w:t>11.511.194</w:t>
            </w:r>
          </w:p>
        </w:tc>
        <w:tc>
          <w:tcPr>
            <w:tcW w:w="740" w:type="pct"/>
            <w:tcBorders>
              <w:top w:val="single" w:sz="4" w:space="0" w:color="auto"/>
              <w:left w:val="nil"/>
              <w:bottom w:val="single" w:sz="12" w:space="0" w:color="auto"/>
              <w:right w:val="nil"/>
            </w:tcBorders>
            <w:shd w:val="clear" w:color="auto" w:fill="auto"/>
            <w:vAlign w:val="bottom"/>
          </w:tcPr>
          <w:p w14:paraId="2EB4D760" w14:textId="2DFE1BF9" w:rsidR="00060490" w:rsidRPr="001F00C6" w:rsidRDefault="00FB7A34" w:rsidP="00060490">
            <w:pPr>
              <w:tabs>
                <w:tab w:val="right" w:pos="1202"/>
              </w:tabs>
              <w:spacing w:after="0" w:line="260" w:lineRule="exact"/>
              <w:jc w:val="right"/>
              <w:outlineLvl w:val="0"/>
              <w:rPr>
                <w:rFonts w:ascii="Calibri" w:eastAsia="Times New Roman" w:hAnsi="Calibri" w:cs="Times New Roman"/>
                <w:b/>
                <w:bCs/>
                <w:color w:val="000000"/>
                <w:sz w:val="20"/>
                <w:szCs w:val="20"/>
                <w:lang w:eastAsia="hr-HR"/>
              </w:rPr>
            </w:pPr>
            <w:r w:rsidRPr="00FB7A34">
              <w:rPr>
                <w:rFonts w:ascii="Calibri" w:eastAsia="Times New Roman" w:hAnsi="Calibri" w:cs="Times New Roman"/>
                <w:b/>
                <w:bCs/>
                <w:color w:val="000000"/>
                <w:sz w:val="20"/>
                <w:szCs w:val="20"/>
                <w:lang w:eastAsia="hr-HR"/>
              </w:rPr>
              <w:t>11.647.114</w:t>
            </w:r>
          </w:p>
        </w:tc>
        <w:tc>
          <w:tcPr>
            <w:tcW w:w="723" w:type="pct"/>
            <w:tcBorders>
              <w:top w:val="nil"/>
              <w:left w:val="nil"/>
              <w:bottom w:val="single" w:sz="12" w:space="0" w:color="auto"/>
              <w:right w:val="nil"/>
            </w:tcBorders>
            <w:shd w:val="clear" w:color="auto" w:fill="auto"/>
            <w:vAlign w:val="bottom"/>
          </w:tcPr>
          <w:p w14:paraId="6AB75145" w14:textId="7ACFBF8E" w:rsidR="00060490" w:rsidRPr="001F00C6" w:rsidRDefault="00060490" w:rsidP="00060490">
            <w:pPr>
              <w:tabs>
                <w:tab w:val="right" w:pos="1202"/>
              </w:tabs>
              <w:spacing w:after="0" w:line="260" w:lineRule="exact"/>
              <w:jc w:val="right"/>
              <w:outlineLvl w:val="0"/>
              <w:rPr>
                <w:rFonts w:ascii="Calibri" w:eastAsia="Times New Roman" w:hAnsi="Calibri" w:cs="Times New Roman"/>
                <w:b/>
                <w:bCs/>
                <w:color w:val="000000"/>
                <w:sz w:val="20"/>
                <w:szCs w:val="20"/>
                <w:lang w:eastAsia="hr-HR"/>
              </w:rPr>
            </w:pPr>
            <w:r w:rsidRPr="00532810">
              <w:rPr>
                <w:rFonts w:ascii="Calibri" w:eastAsia="Times New Roman" w:hAnsi="Calibri" w:cs="Times New Roman"/>
                <w:b/>
                <w:bCs/>
                <w:color w:val="000000"/>
                <w:sz w:val="20"/>
                <w:szCs w:val="20"/>
                <w:lang w:eastAsia="hr-HR"/>
              </w:rPr>
              <w:t>11.511.194</w:t>
            </w:r>
          </w:p>
        </w:tc>
      </w:tr>
    </w:tbl>
    <w:p w14:paraId="746BF3F5" w14:textId="77777777" w:rsidR="00035A14" w:rsidRPr="00664D88" w:rsidRDefault="00035A14" w:rsidP="002B3D50">
      <w:pPr>
        <w:tabs>
          <w:tab w:val="left" w:pos="-720"/>
        </w:tabs>
        <w:spacing w:after="0" w:line="240" w:lineRule="auto"/>
        <w:jc w:val="both"/>
        <w:rPr>
          <w:rFonts w:eastAsia="Times New Roman" w:cs="Calibri"/>
          <w:sz w:val="18"/>
          <w:szCs w:val="18"/>
          <w:lang w:eastAsia="hr-HR"/>
        </w:rPr>
      </w:pPr>
    </w:p>
    <w:p w14:paraId="6C7AF8BC" w14:textId="6EAE07C7" w:rsidR="00B47C66" w:rsidRPr="000E5941" w:rsidRDefault="00E65032" w:rsidP="00B47C66">
      <w:pPr>
        <w:keepNext/>
        <w:spacing w:after="0" w:line="240" w:lineRule="auto"/>
        <w:jc w:val="both"/>
        <w:rPr>
          <w:rFonts w:eastAsia="Times New Roman" w:cs="Arial"/>
        </w:rPr>
      </w:pPr>
      <w:r w:rsidRPr="000E5941">
        <w:rPr>
          <w:rFonts w:eastAsia="Times New Roman" w:cs="Arial"/>
        </w:rPr>
        <w:t xml:space="preserve">Prosječne kamatne stope na kredite ostalim korisnicima, svedene na godišnju razinu, iskazane su u visini od </w:t>
      </w:r>
      <w:r w:rsidR="000F5741">
        <w:rPr>
          <w:rFonts w:eastAsia="Times New Roman" w:cs="Arial"/>
        </w:rPr>
        <w:t>2,19</w:t>
      </w:r>
      <w:r w:rsidRPr="000E5941">
        <w:rPr>
          <w:rFonts w:eastAsia="Times New Roman" w:cs="Arial"/>
        </w:rPr>
        <w:t>% (</w:t>
      </w:r>
      <w:r w:rsidR="001962BE" w:rsidRPr="000E5941">
        <w:rPr>
          <w:rFonts w:eastAsia="Times New Roman" w:cs="Arial"/>
        </w:rPr>
        <w:t>1.</w:t>
      </w:r>
      <w:r w:rsidR="0012207C" w:rsidRPr="000E5941">
        <w:rPr>
          <w:rFonts w:eastAsia="Times New Roman" w:cs="Arial"/>
        </w:rPr>
        <w:t xml:space="preserve">1. do </w:t>
      </w:r>
      <w:r w:rsidR="00060490" w:rsidRPr="000E5941">
        <w:rPr>
          <w:rFonts w:eastAsia="Times New Roman" w:cs="Arial"/>
        </w:rPr>
        <w:t>3</w:t>
      </w:r>
      <w:r w:rsidR="00060490">
        <w:rPr>
          <w:rFonts w:eastAsia="Times New Roman" w:cs="Arial"/>
        </w:rPr>
        <w:t>0</w:t>
      </w:r>
      <w:r w:rsidR="00532810" w:rsidRPr="000E5941">
        <w:rPr>
          <w:rFonts w:eastAsia="Times New Roman" w:cs="Arial"/>
        </w:rPr>
        <w:t>.</w:t>
      </w:r>
      <w:r w:rsidR="00060490">
        <w:rPr>
          <w:rFonts w:eastAsia="Times New Roman" w:cs="Arial"/>
        </w:rPr>
        <w:t>6</w:t>
      </w:r>
      <w:r w:rsidR="001962BE" w:rsidRPr="000E5941">
        <w:rPr>
          <w:rFonts w:eastAsia="Times New Roman" w:cs="Arial"/>
        </w:rPr>
        <w:t>.</w:t>
      </w:r>
      <w:r w:rsidR="00B47C66" w:rsidRPr="000E5941">
        <w:rPr>
          <w:rFonts w:eastAsia="Times New Roman" w:cs="Arial"/>
        </w:rPr>
        <w:t>201</w:t>
      </w:r>
      <w:r w:rsidR="00532810" w:rsidRPr="000E5941">
        <w:rPr>
          <w:rFonts w:eastAsia="Times New Roman" w:cs="Arial"/>
        </w:rPr>
        <w:t>6</w:t>
      </w:r>
      <w:r w:rsidRPr="000E5941">
        <w:rPr>
          <w:rFonts w:eastAsia="Times New Roman" w:cs="Arial"/>
        </w:rPr>
        <w:t xml:space="preserve">. godine: </w:t>
      </w:r>
      <w:r w:rsidR="00532810" w:rsidRPr="000E5941">
        <w:rPr>
          <w:rFonts w:eastAsia="Times New Roman" w:cs="Arial"/>
        </w:rPr>
        <w:t>2,0</w:t>
      </w:r>
      <w:r w:rsidR="00060490">
        <w:rPr>
          <w:rFonts w:eastAsia="Times New Roman" w:cs="Arial"/>
        </w:rPr>
        <w:t>1</w:t>
      </w:r>
      <w:r w:rsidR="001C53D5" w:rsidRPr="000E5941">
        <w:rPr>
          <w:rFonts w:eastAsia="Times New Roman" w:cs="Arial"/>
        </w:rPr>
        <w:t>%).</w:t>
      </w:r>
    </w:p>
    <w:p w14:paraId="44A53284" w14:textId="77777777" w:rsidR="00861DF8" w:rsidRPr="000E5941" w:rsidRDefault="001C53D5" w:rsidP="00B47C66">
      <w:pPr>
        <w:keepNext/>
        <w:spacing w:after="0" w:line="240" w:lineRule="auto"/>
        <w:jc w:val="both"/>
        <w:rPr>
          <w:rFonts w:eastAsia="Times New Roman" w:cs="Arial"/>
        </w:rPr>
      </w:pPr>
      <w:r w:rsidRPr="000E5941">
        <w:rPr>
          <w:rFonts w:eastAsia="Times New Roman" w:cs="Arial"/>
        </w:rPr>
        <w:t xml:space="preserve"> </w:t>
      </w:r>
    </w:p>
    <w:p w14:paraId="108FD34A" w14:textId="77777777" w:rsidR="001C53D5" w:rsidRPr="000E5941" w:rsidRDefault="00E65032" w:rsidP="00B47C66">
      <w:pPr>
        <w:keepNext/>
        <w:spacing w:after="0" w:line="240" w:lineRule="auto"/>
        <w:jc w:val="both"/>
        <w:rPr>
          <w:rFonts w:eastAsia="Times New Roman" w:cs="Arial"/>
        </w:rPr>
      </w:pPr>
      <w:r w:rsidRPr="000E5941">
        <w:rPr>
          <w:rFonts w:eastAsia="Times New Roman" w:cs="Arial"/>
        </w:rPr>
        <w:t xml:space="preserve">Prosječne kamatne stope odražavaju omjer kamatnih prihoda na navedene plasmane i </w:t>
      </w:r>
      <w:r w:rsidR="001C53D5" w:rsidRPr="000E5941">
        <w:rPr>
          <w:rFonts w:eastAsia="Times New Roman" w:cs="Arial"/>
        </w:rPr>
        <w:t>prosječne imovine.</w:t>
      </w:r>
    </w:p>
    <w:p w14:paraId="56473714" w14:textId="77777777" w:rsidR="00121DA5" w:rsidRPr="000E5941" w:rsidRDefault="00121DA5" w:rsidP="00B47C66">
      <w:pPr>
        <w:keepNext/>
        <w:spacing w:after="0" w:line="240" w:lineRule="auto"/>
        <w:jc w:val="both"/>
        <w:rPr>
          <w:rFonts w:eastAsia="Times New Roman" w:cs="Arial"/>
        </w:rPr>
      </w:pPr>
    </w:p>
    <w:p w14:paraId="78A96F7B" w14:textId="5B071E76" w:rsidR="00EF6456" w:rsidRPr="000E5941" w:rsidRDefault="00EF6456" w:rsidP="00B47C66">
      <w:pPr>
        <w:keepNext/>
        <w:spacing w:after="0" w:line="240" w:lineRule="auto"/>
        <w:jc w:val="both"/>
        <w:rPr>
          <w:rFonts w:cs="Arial"/>
        </w:rPr>
      </w:pPr>
      <w:r w:rsidRPr="000E5941">
        <w:t xml:space="preserve">U izvještajnom razdoblju </w:t>
      </w:r>
      <w:r w:rsidR="00491F0E">
        <w:t>provedeno</w:t>
      </w:r>
      <w:r w:rsidRPr="000E5941">
        <w:t xml:space="preserve"> je formiranje rezerviranja po kreditima ostalim korisnicima u iznosu od </w:t>
      </w:r>
      <w:r w:rsidR="000F5741">
        <w:t>249.923</w:t>
      </w:r>
      <w:r w:rsidRPr="000E5941">
        <w:t xml:space="preserve"> tisuća kuna </w:t>
      </w:r>
      <w:r w:rsidR="00B47C66" w:rsidRPr="000E5941">
        <w:t>te</w:t>
      </w:r>
      <w:r w:rsidRPr="000E5941">
        <w:t xml:space="preserve"> ukidanje rezerviranja u iznosu od </w:t>
      </w:r>
      <w:r w:rsidR="000F5741">
        <w:t>132.132</w:t>
      </w:r>
      <w:r w:rsidRPr="000E5941">
        <w:t xml:space="preserve"> tisuća kuna.</w:t>
      </w:r>
      <w:r w:rsidR="001C53D5" w:rsidRPr="000E5941">
        <w:rPr>
          <w:rFonts w:cs="Arial"/>
        </w:rPr>
        <w:t xml:space="preserve"> </w:t>
      </w:r>
    </w:p>
    <w:p w14:paraId="1726CB54" w14:textId="77777777" w:rsidR="00B47C66" w:rsidRPr="000E5941" w:rsidRDefault="00B47C66" w:rsidP="00B47C66">
      <w:pPr>
        <w:keepNext/>
        <w:spacing w:after="0" w:line="240" w:lineRule="auto"/>
        <w:jc w:val="both"/>
        <w:rPr>
          <w:rFonts w:cs="Arial"/>
        </w:rPr>
      </w:pPr>
    </w:p>
    <w:p w14:paraId="088528E1" w14:textId="7D79BEA5" w:rsidR="00D74825" w:rsidRDefault="000F5741" w:rsidP="005F1FBF">
      <w:pPr>
        <w:tabs>
          <w:tab w:val="left" w:pos="-720"/>
        </w:tabs>
        <w:suppressAutoHyphens/>
        <w:spacing w:after="0" w:line="240" w:lineRule="auto"/>
        <w:jc w:val="both"/>
        <w:rPr>
          <w:rFonts w:eastAsia="Times New Roman" w:cs="Arial"/>
        </w:rPr>
        <w:sectPr w:rsidR="00D74825" w:rsidSect="00312975">
          <w:footerReference w:type="first" r:id="rId73"/>
          <w:pgSz w:w="11906" w:h="16838" w:code="9"/>
          <w:pgMar w:top="595" w:right="1134" w:bottom="1418" w:left="1418" w:header="709" w:footer="709" w:gutter="0"/>
          <w:cols w:space="708"/>
          <w:titlePg/>
          <w:docGrid w:linePitch="360"/>
        </w:sectPr>
      </w:pPr>
      <w:r w:rsidRPr="000F5741">
        <w:rPr>
          <w:rFonts w:eastAsia="Times New Roman" w:cs="Arial"/>
        </w:rPr>
        <w:t xml:space="preserve">Ispravak vrijednosti kredita ostalim korisnicima umanjen je za iznos od 263 tisuća kuna što se odnosi na preuzimanje nekretnine u ovršnom postupku. </w:t>
      </w:r>
    </w:p>
    <w:p w14:paraId="1157407A" w14:textId="62022CFF" w:rsidR="00861DF8" w:rsidRDefault="00861DF8" w:rsidP="005F1FBF">
      <w:pPr>
        <w:tabs>
          <w:tab w:val="left" w:pos="-720"/>
        </w:tabs>
        <w:suppressAutoHyphens/>
        <w:spacing w:after="0" w:line="240" w:lineRule="auto"/>
        <w:jc w:val="both"/>
        <w:rPr>
          <w:rFonts w:eastAsia="Times New Roman" w:cs="Arial"/>
          <w:b/>
        </w:rPr>
      </w:pPr>
    </w:p>
    <w:p w14:paraId="246496D0" w14:textId="77777777" w:rsidR="006C2B8B" w:rsidRDefault="006C2B8B" w:rsidP="0039508C">
      <w:pPr>
        <w:tabs>
          <w:tab w:val="left" w:pos="-720"/>
          <w:tab w:val="left" w:pos="567"/>
        </w:tabs>
        <w:spacing w:after="0" w:line="240" w:lineRule="auto"/>
        <w:jc w:val="both"/>
        <w:rPr>
          <w:rFonts w:eastAsia="Times New Roman" w:cs="Arial"/>
          <w:b/>
        </w:rPr>
      </w:pPr>
    </w:p>
    <w:p w14:paraId="5B513ECB" w14:textId="77777777" w:rsidR="00035A14" w:rsidRPr="00ED4731" w:rsidRDefault="00071AD1" w:rsidP="0039508C">
      <w:pPr>
        <w:tabs>
          <w:tab w:val="left" w:pos="-720"/>
          <w:tab w:val="left" w:pos="567"/>
        </w:tabs>
        <w:spacing w:after="0" w:line="240" w:lineRule="auto"/>
        <w:jc w:val="both"/>
        <w:rPr>
          <w:rFonts w:eastAsia="Times New Roman" w:cs="Arial"/>
          <w:b/>
        </w:rPr>
      </w:pPr>
      <w:r w:rsidRPr="00ED4731">
        <w:rPr>
          <w:rFonts w:eastAsia="Times New Roman" w:cs="Arial"/>
          <w:b/>
        </w:rPr>
        <w:t>1</w:t>
      </w:r>
      <w:r w:rsidR="0039508C">
        <w:rPr>
          <w:rFonts w:eastAsia="Times New Roman" w:cs="Arial"/>
          <w:b/>
        </w:rPr>
        <w:t>1</w:t>
      </w:r>
      <w:r w:rsidRPr="00ED4731">
        <w:rPr>
          <w:rFonts w:eastAsia="Times New Roman" w:cs="Arial"/>
          <w:b/>
        </w:rPr>
        <w:t>.</w:t>
      </w:r>
      <w:r w:rsidRPr="00ED4731">
        <w:rPr>
          <w:rFonts w:eastAsia="Times New Roman" w:cs="Arial"/>
          <w:b/>
        </w:rPr>
        <w:tab/>
      </w:r>
      <w:r w:rsidR="00035A14" w:rsidRPr="00ED4731">
        <w:rPr>
          <w:rFonts w:eastAsia="Times New Roman" w:cs="Arial"/>
          <w:b/>
        </w:rPr>
        <w:t>Imovina raspoloživa za prodaju</w:t>
      </w:r>
    </w:p>
    <w:p w14:paraId="56E2CD9B" w14:textId="77777777" w:rsidR="00071AD1" w:rsidRPr="00071AD1" w:rsidRDefault="00071AD1" w:rsidP="009F6ADE">
      <w:pPr>
        <w:tabs>
          <w:tab w:val="left" w:pos="-720"/>
          <w:tab w:val="left" w:pos="993"/>
        </w:tabs>
        <w:spacing w:after="0" w:line="240" w:lineRule="auto"/>
        <w:jc w:val="both"/>
        <w:rPr>
          <w:rFonts w:eastAsia="Times New Roman" w:cs="Arial"/>
          <w:b/>
          <w:sz w:val="24"/>
          <w:szCs w:val="24"/>
        </w:rPr>
      </w:pPr>
    </w:p>
    <w:tbl>
      <w:tblPr>
        <w:tblpPr w:leftFromText="180" w:rightFromText="180" w:vertAnchor="text" w:horzAnchor="margin" w:tblpY="141"/>
        <w:tblW w:w="5118" w:type="pct"/>
        <w:tblLayout w:type="fixed"/>
        <w:tblCellMar>
          <w:left w:w="122" w:type="dxa"/>
          <w:right w:w="122" w:type="dxa"/>
        </w:tblCellMar>
        <w:tblLook w:val="0000" w:firstRow="0" w:lastRow="0" w:firstColumn="0" w:lastColumn="0" w:noHBand="0" w:noVBand="0"/>
      </w:tblPr>
      <w:tblGrid>
        <w:gridCol w:w="4742"/>
        <w:gridCol w:w="1210"/>
        <w:gridCol w:w="1210"/>
        <w:gridCol w:w="1208"/>
        <w:gridCol w:w="1205"/>
      </w:tblGrid>
      <w:tr w:rsidR="00532810" w:rsidRPr="00532810" w14:paraId="6FA077E3" w14:textId="77777777" w:rsidTr="00312975">
        <w:trPr>
          <w:trHeight w:val="63"/>
        </w:trPr>
        <w:tc>
          <w:tcPr>
            <w:tcW w:w="2476" w:type="pct"/>
          </w:tcPr>
          <w:p w14:paraId="100EF6BB" w14:textId="77777777" w:rsidR="00532810" w:rsidRPr="00532810" w:rsidRDefault="00532810" w:rsidP="00532810">
            <w:pPr>
              <w:tabs>
                <w:tab w:val="right" w:pos="1202"/>
              </w:tabs>
              <w:spacing w:after="0" w:line="260" w:lineRule="exact"/>
              <w:outlineLvl w:val="0"/>
              <w:rPr>
                <w:rFonts w:ascii="Calibri" w:eastAsia="Times New Roman" w:hAnsi="Calibri" w:cs="Arial"/>
                <w:sz w:val="18"/>
                <w:szCs w:val="18"/>
              </w:rPr>
            </w:pPr>
          </w:p>
        </w:tc>
        <w:tc>
          <w:tcPr>
            <w:tcW w:w="1264" w:type="pct"/>
            <w:gridSpan w:val="2"/>
          </w:tcPr>
          <w:p w14:paraId="291C2FB0" w14:textId="77777777" w:rsidR="00532810" w:rsidRPr="00532810" w:rsidRDefault="00532810" w:rsidP="00532810">
            <w:pPr>
              <w:tabs>
                <w:tab w:val="right" w:pos="1202"/>
              </w:tabs>
              <w:spacing w:after="0" w:line="240" w:lineRule="atLeast"/>
              <w:jc w:val="right"/>
              <w:outlineLvl w:val="0"/>
              <w:rPr>
                <w:rFonts w:ascii="Calibri" w:eastAsia="Times New Roman" w:hAnsi="Calibri" w:cs="Arial"/>
                <w:b/>
                <w:sz w:val="18"/>
                <w:szCs w:val="18"/>
              </w:rPr>
            </w:pPr>
            <w:r w:rsidRPr="00532810">
              <w:rPr>
                <w:rFonts w:ascii="Calibri" w:eastAsia="Times New Roman" w:hAnsi="Calibri" w:cs="Arial"/>
                <w:b/>
                <w:sz w:val="18"/>
                <w:szCs w:val="18"/>
              </w:rPr>
              <w:t>Grupa</w:t>
            </w:r>
          </w:p>
        </w:tc>
        <w:tc>
          <w:tcPr>
            <w:tcW w:w="1260" w:type="pct"/>
            <w:gridSpan w:val="2"/>
          </w:tcPr>
          <w:p w14:paraId="395E3EEA" w14:textId="77777777" w:rsidR="00532810" w:rsidRPr="00532810" w:rsidRDefault="00532810" w:rsidP="00532810">
            <w:pPr>
              <w:tabs>
                <w:tab w:val="right" w:pos="1202"/>
              </w:tabs>
              <w:spacing w:after="0" w:line="240" w:lineRule="atLeast"/>
              <w:jc w:val="right"/>
              <w:outlineLvl w:val="0"/>
              <w:rPr>
                <w:rFonts w:ascii="Calibri" w:eastAsia="Times New Roman" w:hAnsi="Calibri" w:cs="Arial"/>
                <w:b/>
                <w:sz w:val="18"/>
                <w:szCs w:val="18"/>
              </w:rPr>
            </w:pPr>
            <w:r w:rsidRPr="00532810">
              <w:rPr>
                <w:rFonts w:ascii="Calibri" w:eastAsia="Times New Roman" w:hAnsi="Calibri" w:cs="Arial"/>
                <w:b/>
                <w:sz w:val="18"/>
                <w:szCs w:val="18"/>
              </w:rPr>
              <w:t>Banka</w:t>
            </w:r>
          </w:p>
        </w:tc>
      </w:tr>
      <w:tr w:rsidR="00532810" w:rsidRPr="00532810" w14:paraId="2FD63C29" w14:textId="77777777" w:rsidTr="00312975">
        <w:trPr>
          <w:trHeight w:val="43"/>
        </w:trPr>
        <w:tc>
          <w:tcPr>
            <w:tcW w:w="2476" w:type="pct"/>
          </w:tcPr>
          <w:p w14:paraId="7A243A58" w14:textId="77777777" w:rsidR="00532810" w:rsidRPr="00532810" w:rsidRDefault="00532810" w:rsidP="00532810">
            <w:pPr>
              <w:tabs>
                <w:tab w:val="right" w:pos="1202"/>
              </w:tabs>
              <w:spacing w:after="0" w:line="260" w:lineRule="exact"/>
              <w:outlineLvl w:val="0"/>
              <w:rPr>
                <w:rFonts w:ascii="Calibri" w:eastAsia="Times New Roman" w:hAnsi="Calibri" w:cs="Arial"/>
                <w:sz w:val="18"/>
                <w:szCs w:val="18"/>
              </w:rPr>
            </w:pPr>
          </w:p>
        </w:tc>
        <w:tc>
          <w:tcPr>
            <w:tcW w:w="632" w:type="pct"/>
            <w:vAlign w:val="bottom"/>
          </w:tcPr>
          <w:p w14:paraId="5ADF3DF9" w14:textId="7248784E" w:rsidR="00532810" w:rsidRPr="00532810" w:rsidRDefault="00060490" w:rsidP="00D96540">
            <w:pPr>
              <w:tabs>
                <w:tab w:val="right" w:pos="1202"/>
              </w:tabs>
              <w:spacing w:after="0" w:line="240" w:lineRule="atLeast"/>
              <w:jc w:val="right"/>
              <w:outlineLvl w:val="0"/>
              <w:rPr>
                <w:rFonts w:ascii="Calibri" w:eastAsia="Times New Roman" w:hAnsi="Calibri" w:cs="Arial"/>
                <w:b/>
                <w:sz w:val="18"/>
                <w:szCs w:val="18"/>
              </w:rPr>
            </w:pPr>
            <w:r>
              <w:rPr>
                <w:rFonts w:ascii="Calibri" w:eastAsia="Times New Roman" w:hAnsi="Calibri" w:cs="Arial"/>
                <w:b/>
                <w:sz w:val="18"/>
                <w:szCs w:val="18"/>
              </w:rPr>
              <w:t>30</w:t>
            </w:r>
            <w:r w:rsidR="00532810">
              <w:rPr>
                <w:rFonts w:ascii="Calibri" w:eastAsia="Times New Roman" w:hAnsi="Calibri" w:cs="Arial"/>
                <w:b/>
                <w:sz w:val="18"/>
                <w:szCs w:val="18"/>
              </w:rPr>
              <w:t>.</w:t>
            </w:r>
            <w:r>
              <w:rPr>
                <w:rFonts w:ascii="Calibri" w:eastAsia="Times New Roman" w:hAnsi="Calibri" w:cs="Arial"/>
                <w:b/>
                <w:sz w:val="18"/>
                <w:szCs w:val="18"/>
              </w:rPr>
              <w:t>6</w:t>
            </w:r>
            <w:r w:rsidR="00532810">
              <w:rPr>
                <w:rFonts w:ascii="Calibri" w:eastAsia="Times New Roman" w:hAnsi="Calibri" w:cs="Arial"/>
                <w:b/>
                <w:sz w:val="18"/>
                <w:szCs w:val="18"/>
              </w:rPr>
              <w:t>.2017</w:t>
            </w:r>
            <w:r w:rsidR="00532810" w:rsidRPr="00532810">
              <w:rPr>
                <w:rFonts w:ascii="Calibri" w:eastAsia="Times New Roman" w:hAnsi="Calibri" w:cs="Arial"/>
                <w:b/>
                <w:sz w:val="18"/>
                <w:szCs w:val="18"/>
              </w:rPr>
              <w:t>.</w:t>
            </w:r>
          </w:p>
        </w:tc>
        <w:tc>
          <w:tcPr>
            <w:tcW w:w="632" w:type="pct"/>
            <w:vAlign w:val="bottom"/>
          </w:tcPr>
          <w:p w14:paraId="41596AF9" w14:textId="7BE16BF9" w:rsidR="00532810" w:rsidRPr="00532810" w:rsidRDefault="00532810" w:rsidP="00532810">
            <w:pPr>
              <w:tabs>
                <w:tab w:val="right" w:pos="1202"/>
              </w:tabs>
              <w:spacing w:after="0" w:line="240" w:lineRule="atLeast"/>
              <w:jc w:val="right"/>
              <w:outlineLvl w:val="0"/>
              <w:rPr>
                <w:rFonts w:ascii="Calibri" w:eastAsia="Times New Roman" w:hAnsi="Calibri" w:cs="Arial"/>
                <w:b/>
                <w:sz w:val="18"/>
                <w:szCs w:val="18"/>
              </w:rPr>
            </w:pPr>
            <w:r>
              <w:rPr>
                <w:rFonts w:ascii="Calibri" w:eastAsia="Times New Roman" w:hAnsi="Calibri" w:cs="Arial"/>
                <w:b/>
                <w:sz w:val="18"/>
                <w:szCs w:val="18"/>
              </w:rPr>
              <w:t>31.12.2016.</w:t>
            </w:r>
          </w:p>
        </w:tc>
        <w:tc>
          <w:tcPr>
            <w:tcW w:w="631" w:type="pct"/>
            <w:vAlign w:val="bottom"/>
          </w:tcPr>
          <w:p w14:paraId="1E69B36B" w14:textId="5E7BA18A" w:rsidR="00532810" w:rsidRPr="00532810" w:rsidRDefault="00060490" w:rsidP="00D96540">
            <w:pPr>
              <w:tabs>
                <w:tab w:val="right" w:pos="1202"/>
              </w:tabs>
              <w:spacing w:after="0" w:line="240" w:lineRule="atLeast"/>
              <w:jc w:val="right"/>
              <w:outlineLvl w:val="0"/>
              <w:rPr>
                <w:rFonts w:ascii="Calibri" w:eastAsia="Times New Roman" w:hAnsi="Calibri" w:cs="Arial"/>
                <w:b/>
                <w:sz w:val="18"/>
                <w:szCs w:val="18"/>
              </w:rPr>
            </w:pPr>
            <w:r>
              <w:rPr>
                <w:rFonts w:ascii="Calibri" w:eastAsia="Times New Roman" w:hAnsi="Calibri" w:cs="Arial"/>
                <w:b/>
                <w:sz w:val="18"/>
                <w:szCs w:val="18"/>
              </w:rPr>
              <w:t>30</w:t>
            </w:r>
            <w:r w:rsidR="00532810">
              <w:rPr>
                <w:rFonts w:ascii="Calibri" w:eastAsia="Times New Roman" w:hAnsi="Calibri" w:cs="Arial"/>
                <w:b/>
                <w:sz w:val="18"/>
                <w:szCs w:val="18"/>
              </w:rPr>
              <w:t>.</w:t>
            </w:r>
            <w:r>
              <w:rPr>
                <w:rFonts w:ascii="Calibri" w:eastAsia="Times New Roman" w:hAnsi="Calibri" w:cs="Arial"/>
                <w:b/>
                <w:sz w:val="18"/>
                <w:szCs w:val="18"/>
              </w:rPr>
              <w:t>6</w:t>
            </w:r>
            <w:r w:rsidR="00532810">
              <w:rPr>
                <w:rFonts w:ascii="Calibri" w:eastAsia="Times New Roman" w:hAnsi="Calibri" w:cs="Arial"/>
                <w:b/>
                <w:sz w:val="18"/>
                <w:szCs w:val="18"/>
              </w:rPr>
              <w:t>.201</w:t>
            </w:r>
            <w:r w:rsidR="007D5CBC">
              <w:rPr>
                <w:rFonts w:ascii="Calibri" w:eastAsia="Times New Roman" w:hAnsi="Calibri" w:cs="Arial"/>
                <w:b/>
                <w:sz w:val="18"/>
                <w:szCs w:val="18"/>
              </w:rPr>
              <w:t>7</w:t>
            </w:r>
            <w:r w:rsidR="00532810">
              <w:rPr>
                <w:rFonts w:ascii="Calibri" w:eastAsia="Times New Roman" w:hAnsi="Calibri" w:cs="Arial"/>
                <w:b/>
                <w:sz w:val="18"/>
                <w:szCs w:val="18"/>
              </w:rPr>
              <w:t>.</w:t>
            </w:r>
          </w:p>
        </w:tc>
        <w:tc>
          <w:tcPr>
            <w:tcW w:w="629" w:type="pct"/>
            <w:vAlign w:val="bottom"/>
          </w:tcPr>
          <w:p w14:paraId="5814C4FE" w14:textId="3CBF5B9C" w:rsidR="00532810" w:rsidRPr="00532810" w:rsidRDefault="004C2FFF" w:rsidP="00532810">
            <w:pPr>
              <w:tabs>
                <w:tab w:val="right" w:pos="1202"/>
              </w:tabs>
              <w:spacing w:after="0" w:line="240" w:lineRule="atLeast"/>
              <w:jc w:val="right"/>
              <w:outlineLvl w:val="0"/>
              <w:rPr>
                <w:rFonts w:ascii="Calibri" w:eastAsia="Times New Roman" w:hAnsi="Calibri" w:cs="Arial"/>
                <w:b/>
                <w:sz w:val="18"/>
                <w:szCs w:val="18"/>
              </w:rPr>
            </w:pPr>
            <w:r>
              <w:rPr>
                <w:rFonts w:ascii="Calibri" w:eastAsia="Times New Roman" w:hAnsi="Calibri" w:cs="Arial"/>
                <w:b/>
                <w:sz w:val="18"/>
                <w:szCs w:val="18"/>
              </w:rPr>
              <w:t>31.12.2016</w:t>
            </w:r>
            <w:r w:rsidR="00532810" w:rsidRPr="00532810">
              <w:rPr>
                <w:rFonts w:ascii="Calibri" w:eastAsia="Times New Roman" w:hAnsi="Calibri" w:cs="Arial"/>
                <w:b/>
                <w:sz w:val="18"/>
                <w:szCs w:val="18"/>
              </w:rPr>
              <w:t>.</w:t>
            </w:r>
          </w:p>
        </w:tc>
      </w:tr>
      <w:tr w:rsidR="00D419E2" w:rsidRPr="00532810" w14:paraId="2A49579C" w14:textId="77777777" w:rsidTr="00312975">
        <w:trPr>
          <w:trHeight w:val="54"/>
        </w:trPr>
        <w:tc>
          <w:tcPr>
            <w:tcW w:w="2476" w:type="pct"/>
          </w:tcPr>
          <w:p w14:paraId="20D976F4" w14:textId="77777777" w:rsidR="00D419E2" w:rsidRPr="00532810" w:rsidRDefault="00D419E2" w:rsidP="00D419E2">
            <w:pPr>
              <w:tabs>
                <w:tab w:val="right" w:pos="1202"/>
              </w:tabs>
              <w:spacing w:after="0" w:line="260" w:lineRule="exact"/>
              <w:outlineLvl w:val="0"/>
              <w:rPr>
                <w:rFonts w:ascii="Calibri" w:eastAsia="Times New Roman" w:hAnsi="Calibri" w:cs="Arial"/>
                <w:b/>
                <w:i/>
                <w:spacing w:val="-2"/>
                <w:sz w:val="18"/>
                <w:szCs w:val="18"/>
              </w:rPr>
            </w:pPr>
            <w:r w:rsidRPr="00532810">
              <w:rPr>
                <w:rFonts w:ascii="Calibri" w:eastAsia="Times New Roman" w:hAnsi="Calibri" w:cs="Arial"/>
                <w:b/>
                <w:i/>
                <w:spacing w:val="-2"/>
                <w:sz w:val="18"/>
                <w:szCs w:val="18"/>
              </w:rPr>
              <w:t>Dužnički vrijednosni papiri:</w:t>
            </w:r>
          </w:p>
        </w:tc>
        <w:tc>
          <w:tcPr>
            <w:tcW w:w="632" w:type="pct"/>
          </w:tcPr>
          <w:p w14:paraId="51B52197" w14:textId="77777777" w:rsidR="00D419E2" w:rsidRPr="00532810" w:rsidDel="00561A80" w:rsidRDefault="00D419E2" w:rsidP="00D419E2">
            <w:pPr>
              <w:tabs>
                <w:tab w:val="right" w:pos="1202"/>
              </w:tabs>
              <w:spacing w:after="0" w:line="260" w:lineRule="exact"/>
              <w:jc w:val="right"/>
              <w:outlineLvl w:val="0"/>
              <w:rPr>
                <w:rFonts w:ascii="Calibri" w:eastAsia="Times New Roman" w:hAnsi="Calibri" w:cs="Arial"/>
                <w:spacing w:val="-2"/>
                <w:sz w:val="18"/>
                <w:szCs w:val="18"/>
              </w:rPr>
            </w:pPr>
          </w:p>
        </w:tc>
        <w:tc>
          <w:tcPr>
            <w:tcW w:w="632" w:type="pct"/>
          </w:tcPr>
          <w:p w14:paraId="2CD68B7A" w14:textId="77777777" w:rsidR="00D419E2" w:rsidRPr="00312975" w:rsidDel="00561A80" w:rsidRDefault="00D419E2" w:rsidP="00D419E2">
            <w:pPr>
              <w:tabs>
                <w:tab w:val="right" w:pos="1202"/>
              </w:tabs>
              <w:spacing w:after="0" w:line="260" w:lineRule="exact"/>
              <w:jc w:val="right"/>
              <w:outlineLvl w:val="0"/>
              <w:rPr>
                <w:rFonts w:ascii="Calibri" w:eastAsia="Times New Roman" w:hAnsi="Calibri" w:cs="Times New Roman"/>
                <w:color w:val="000000"/>
                <w:sz w:val="18"/>
                <w:szCs w:val="18"/>
                <w:lang w:val="en-GB"/>
              </w:rPr>
            </w:pPr>
          </w:p>
        </w:tc>
        <w:tc>
          <w:tcPr>
            <w:tcW w:w="631" w:type="pct"/>
          </w:tcPr>
          <w:p w14:paraId="3DB19732" w14:textId="77777777" w:rsidR="00D419E2" w:rsidRPr="00532810" w:rsidDel="00561A80" w:rsidRDefault="00D419E2" w:rsidP="00D419E2">
            <w:pPr>
              <w:tabs>
                <w:tab w:val="right" w:pos="1202"/>
              </w:tabs>
              <w:spacing w:after="0" w:line="260" w:lineRule="exact"/>
              <w:jc w:val="right"/>
              <w:outlineLvl w:val="0"/>
              <w:rPr>
                <w:rFonts w:ascii="Calibri" w:eastAsia="Times New Roman" w:hAnsi="Calibri" w:cs="Arial"/>
                <w:spacing w:val="-2"/>
                <w:sz w:val="18"/>
                <w:szCs w:val="18"/>
              </w:rPr>
            </w:pPr>
          </w:p>
        </w:tc>
        <w:tc>
          <w:tcPr>
            <w:tcW w:w="629" w:type="pct"/>
          </w:tcPr>
          <w:p w14:paraId="610224C4" w14:textId="77777777" w:rsidR="00D419E2" w:rsidRPr="00532810" w:rsidDel="00561A80" w:rsidRDefault="00D419E2" w:rsidP="00D419E2">
            <w:pPr>
              <w:tabs>
                <w:tab w:val="right" w:pos="1202"/>
              </w:tabs>
              <w:spacing w:after="0" w:line="260" w:lineRule="exact"/>
              <w:jc w:val="right"/>
              <w:outlineLvl w:val="0"/>
              <w:rPr>
                <w:rFonts w:ascii="Calibri" w:eastAsia="Times New Roman" w:hAnsi="Calibri" w:cs="Arial"/>
                <w:spacing w:val="-2"/>
                <w:sz w:val="18"/>
                <w:szCs w:val="18"/>
              </w:rPr>
            </w:pPr>
          </w:p>
        </w:tc>
      </w:tr>
      <w:tr w:rsidR="00D419E2" w:rsidRPr="00532810" w14:paraId="70B9542C" w14:textId="77777777" w:rsidTr="00312975">
        <w:trPr>
          <w:trHeight w:val="54"/>
        </w:trPr>
        <w:tc>
          <w:tcPr>
            <w:tcW w:w="2476" w:type="pct"/>
          </w:tcPr>
          <w:p w14:paraId="5AB2BE6F" w14:textId="77777777" w:rsidR="00D419E2" w:rsidRPr="00532810" w:rsidRDefault="00D419E2" w:rsidP="00D419E2">
            <w:pPr>
              <w:tabs>
                <w:tab w:val="right" w:pos="1202"/>
              </w:tabs>
              <w:spacing w:after="0" w:line="260" w:lineRule="exact"/>
              <w:outlineLvl w:val="0"/>
              <w:rPr>
                <w:rFonts w:ascii="Calibri" w:eastAsia="Times New Roman" w:hAnsi="Calibri" w:cs="Arial"/>
                <w:b/>
                <w:spacing w:val="-2"/>
                <w:sz w:val="18"/>
                <w:szCs w:val="18"/>
              </w:rPr>
            </w:pPr>
            <w:r w:rsidRPr="00532810">
              <w:rPr>
                <w:rFonts w:ascii="Calibri" w:eastAsia="Times New Roman" w:hAnsi="Calibri" w:cs="Arial"/>
                <w:b/>
                <w:spacing w:val="-2"/>
                <w:sz w:val="18"/>
                <w:szCs w:val="18"/>
              </w:rPr>
              <w:t>Dužnički vrijednosni papiri koji kotiraju:</w:t>
            </w:r>
          </w:p>
        </w:tc>
        <w:tc>
          <w:tcPr>
            <w:tcW w:w="632" w:type="pct"/>
          </w:tcPr>
          <w:p w14:paraId="16407C19" w14:textId="77777777" w:rsidR="00D419E2" w:rsidRPr="00312975" w:rsidDel="00561A80" w:rsidRDefault="00D419E2" w:rsidP="00D419E2">
            <w:pPr>
              <w:tabs>
                <w:tab w:val="right" w:pos="1202"/>
              </w:tabs>
              <w:spacing w:after="0" w:line="260" w:lineRule="exact"/>
              <w:jc w:val="right"/>
              <w:outlineLvl w:val="0"/>
              <w:rPr>
                <w:rFonts w:ascii="Calibri" w:eastAsia="Times New Roman" w:hAnsi="Calibri" w:cs="Times New Roman"/>
                <w:color w:val="000000"/>
                <w:sz w:val="18"/>
                <w:szCs w:val="18"/>
                <w:lang w:val="en-GB"/>
              </w:rPr>
            </w:pPr>
          </w:p>
        </w:tc>
        <w:tc>
          <w:tcPr>
            <w:tcW w:w="632" w:type="pct"/>
          </w:tcPr>
          <w:p w14:paraId="42E58168" w14:textId="77777777" w:rsidR="00D419E2" w:rsidRPr="00312975" w:rsidDel="00561A80" w:rsidRDefault="00D419E2" w:rsidP="00D419E2">
            <w:pPr>
              <w:tabs>
                <w:tab w:val="right" w:pos="1202"/>
              </w:tabs>
              <w:spacing w:after="0" w:line="260" w:lineRule="exact"/>
              <w:jc w:val="right"/>
              <w:outlineLvl w:val="0"/>
              <w:rPr>
                <w:rFonts w:ascii="Calibri" w:eastAsia="Times New Roman" w:hAnsi="Calibri" w:cs="Times New Roman"/>
                <w:color w:val="000000"/>
                <w:sz w:val="18"/>
                <w:szCs w:val="18"/>
                <w:lang w:val="en-GB"/>
              </w:rPr>
            </w:pPr>
          </w:p>
        </w:tc>
        <w:tc>
          <w:tcPr>
            <w:tcW w:w="631" w:type="pct"/>
          </w:tcPr>
          <w:p w14:paraId="79A240B4" w14:textId="77777777" w:rsidR="00D419E2" w:rsidRPr="00312975" w:rsidDel="00561A80" w:rsidRDefault="00D419E2" w:rsidP="00D419E2">
            <w:pPr>
              <w:tabs>
                <w:tab w:val="right" w:pos="1202"/>
              </w:tabs>
              <w:spacing w:after="0" w:line="260" w:lineRule="exact"/>
              <w:jc w:val="right"/>
              <w:outlineLvl w:val="0"/>
              <w:rPr>
                <w:rFonts w:ascii="Calibri" w:eastAsia="Times New Roman" w:hAnsi="Calibri" w:cs="Times New Roman"/>
                <w:color w:val="000000"/>
                <w:sz w:val="18"/>
                <w:szCs w:val="18"/>
                <w:lang w:val="en-GB"/>
              </w:rPr>
            </w:pPr>
          </w:p>
        </w:tc>
        <w:tc>
          <w:tcPr>
            <w:tcW w:w="629" w:type="pct"/>
          </w:tcPr>
          <w:p w14:paraId="609935FF" w14:textId="77777777" w:rsidR="00D419E2" w:rsidRPr="00312975" w:rsidDel="00561A80" w:rsidRDefault="00D419E2" w:rsidP="00D419E2">
            <w:pPr>
              <w:tabs>
                <w:tab w:val="right" w:pos="1202"/>
              </w:tabs>
              <w:spacing w:after="0" w:line="260" w:lineRule="exact"/>
              <w:jc w:val="right"/>
              <w:outlineLvl w:val="0"/>
              <w:rPr>
                <w:rFonts w:ascii="Calibri" w:eastAsia="Times New Roman" w:hAnsi="Calibri" w:cs="Times New Roman"/>
                <w:color w:val="000000"/>
                <w:sz w:val="18"/>
                <w:szCs w:val="18"/>
                <w:lang w:val="en-GB"/>
              </w:rPr>
            </w:pPr>
          </w:p>
        </w:tc>
      </w:tr>
      <w:tr w:rsidR="008B2A4B" w:rsidRPr="00532810" w14:paraId="28ADD176" w14:textId="77777777" w:rsidTr="00312975">
        <w:trPr>
          <w:trHeight w:hRule="exact" w:val="385"/>
        </w:trPr>
        <w:tc>
          <w:tcPr>
            <w:tcW w:w="2476" w:type="pct"/>
            <w:vAlign w:val="bottom"/>
          </w:tcPr>
          <w:p w14:paraId="10DF0257" w14:textId="77777777" w:rsidR="008B2A4B" w:rsidRPr="00312975" w:rsidRDefault="008B2A4B" w:rsidP="00257CDB">
            <w:pPr>
              <w:tabs>
                <w:tab w:val="right" w:pos="1202"/>
              </w:tabs>
              <w:spacing w:after="0" w:line="260" w:lineRule="exact"/>
              <w:outlineLvl w:val="0"/>
              <w:rPr>
                <w:rFonts w:ascii="Calibri" w:eastAsia="Times New Roman" w:hAnsi="Calibri" w:cs="Times New Roman"/>
                <w:color w:val="000000"/>
                <w:sz w:val="18"/>
                <w:szCs w:val="18"/>
                <w:lang w:val="en-GB"/>
              </w:rPr>
            </w:pPr>
            <w:proofErr w:type="spellStart"/>
            <w:r w:rsidRPr="00312975">
              <w:rPr>
                <w:rFonts w:ascii="Calibri" w:eastAsia="Times New Roman" w:hAnsi="Calibri" w:cs="Times New Roman"/>
                <w:color w:val="000000"/>
                <w:sz w:val="18"/>
                <w:szCs w:val="18"/>
                <w:lang w:val="en-GB"/>
              </w:rPr>
              <w:t>Obveznice</w:t>
            </w:r>
            <w:proofErr w:type="spellEnd"/>
            <w:r w:rsidRPr="00312975">
              <w:rPr>
                <w:rFonts w:ascii="Calibri" w:eastAsia="Times New Roman" w:hAnsi="Calibri" w:cs="Times New Roman"/>
                <w:color w:val="000000"/>
                <w:sz w:val="18"/>
                <w:szCs w:val="18"/>
                <w:lang w:val="en-GB"/>
              </w:rPr>
              <w:t xml:space="preserve"> </w:t>
            </w:r>
            <w:proofErr w:type="spellStart"/>
            <w:r w:rsidRPr="00312975">
              <w:rPr>
                <w:rFonts w:ascii="Calibri" w:eastAsia="Times New Roman" w:hAnsi="Calibri" w:cs="Times New Roman"/>
                <w:color w:val="000000"/>
                <w:sz w:val="18"/>
                <w:szCs w:val="18"/>
                <w:lang w:val="en-GB"/>
              </w:rPr>
              <w:t>Republike</w:t>
            </w:r>
            <w:proofErr w:type="spellEnd"/>
            <w:r w:rsidRPr="00312975">
              <w:rPr>
                <w:rFonts w:ascii="Calibri" w:eastAsia="Times New Roman" w:hAnsi="Calibri" w:cs="Times New Roman"/>
                <w:color w:val="000000"/>
                <w:sz w:val="18"/>
                <w:szCs w:val="18"/>
                <w:lang w:val="en-GB"/>
              </w:rPr>
              <w:t xml:space="preserve"> </w:t>
            </w:r>
            <w:proofErr w:type="spellStart"/>
            <w:r w:rsidRPr="00312975">
              <w:rPr>
                <w:rFonts w:ascii="Calibri" w:eastAsia="Times New Roman" w:hAnsi="Calibri" w:cs="Times New Roman"/>
                <w:color w:val="000000"/>
                <w:sz w:val="18"/>
                <w:szCs w:val="18"/>
                <w:lang w:val="en-GB"/>
              </w:rPr>
              <w:t>Hrvatske</w:t>
            </w:r>
            <w:proofErr w:type="spellEnd"/>
          </w:p>
        </w:tc>
        <w:tc>
          <w:tcPr>
            <w:tcW w:w="632" w:type="pct"/>
            <w:tcBorders>
              <w:top w:val="nil"/>
              <w:left w:val="nil"/>
              <w:bottom w:val="nil"/>
              <w:right w:val="nil"/>
            </w:tcBorders>
            <w:shd w:val="clear" w:color="auto" w:fill="auto"/>
            <w:vAlign w:val="bottom"/>
          </w:tcPr>
          <w:p w14:paraId="56697BE0" w14:textId="47F112FC" w:rsidR="008B2A4B" w:rsidRPr="00312975" w:rsidRDefault="008B2A4B" w:rsidP="008B2A4B">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884.031</w:t>
            </w:r>
          </w:p>
        </w:tc>
        <w:tc>
          <w:tcPr>
            <w:tcW w:w="632" w:type="pct"/>
            <w:tcBorders>
              <w:top w:val="nil"/>
              <w:left w:val="nil"/>
              <w:bottom w:val="nil"/>
              <w:right w:val="nil"/>
            </w:tcBorders>
            <w:shd w:val="clear" w:color="auto" w:fill="auto"/>
            <w:vAlign w:val="bottom"/>
          </w:tcPr>
          <w:p w14:paraId="27C22A07" w14:textId="0B579F7A" w:rsidR="008B2A4B" w:rsidRPr="00312975" w:rsidRDefault="008B2A4B" w:rsidP="008B2A4B">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925.887</w:t>
            </w:r>
          </w:p>
        </w:tc>
        <w:tc>
          <w:tcPr>
            <w:tcW w:w="631" w:type="pct"/>
            <w:tcBorders>
              <w:top w:val="nil"/>
              <w:left w:val="nil"/>
              <w:bottom w:val="nil"/>
              <w:right w:val="nil"/>
            </w:tcBorders>
            <w:shd w:val="clear" w:color="auto" w:fill="auto"/>
            <w:vAlign w:val="bottom"/>
          </w:tcPr>
          <w:p w14:paraId="5ED3065D" w14:textId="06721DF3" w:rsidR="008B2A4B" w:rsidRPr="00312975" w:rsidRDefault="008B2A4B" w:rsidP="008B2A4B">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841.975</w:t>
            </w:r>
          </w:p>
        </w:tc>
        <w:tc>
          <w:tcPr>
            <w:tcW w:w="629" w:type="pct"/>
            <w:tcBorders>
              <w:top w:val="nil"/>
              <w:left w:val="nil"/>
              <w:bottom w:val="nil"/>
              <w:right w:val="nil"/>
            </w:tcBorders>
            <w:shd w:val="clear" w:color="auto" w:fill="auto"/>
            <w:vAlign w:val="bottom"/>
          </w:tcPr>
          <w:p w14:paraId="60A803FC" w14:textId="3FC92C64" w:rsidR="008B2A4B" w:rsidRPr="00312975" w:rsidRDefault="008B2A4B" w:rsidP="008B2A4B">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884.914</w:t>
            </w:r>
          </w:p>
        </w:tc>
      </w:tr>
      <w:tr w:rsidR="008B2A4B" w:rsidRPr="00532810" w14:paraId="6E3C51D7" w14:textId="77777777" w:rsidTr="00312975">
        <w:trPr>
          <w:trHeight w:hRule="exact" w:val="278"/>
        </w:trPr>
        <w:tc>
          <w:tcPr>
            <w:tcW w:w="2476" w:type="pct"/>
            <w:vAlign w:val="bottom"/>
          </w:tcPr>
          <w:p w14:paraId="2F495976" w14:textId="77777777" w:rsidR="008B2A4B" w:rsidRPr="00312975" w:rsidRDefault="008B2A4B" w:rsidP="00257CDB">
            <w:pPr>
              <w:tabs>
                <w:tab w:val="right" w:pos="1202"/>
              </w:tabs>
              <w:spacing w:after="0" w:line="260" w:lineRule="exact"/>
              <w:outlineLvl w:val="0"/>
              <w:rPr>
                <w:rFonts w:ascii="Calibri" w:eastAsia="Times New Roman" w:hAnsi="Calibri" w:cs="Times New Roman"/>
                <w:color w:val="000000"/>
                <w:sz w:val="18"/>
                <w:szCs w:val="18"/>
                <w:lang w:val="en-GB"/>
              </w:rPr>
            </w:pPr>
            <w:proofErr w:type="spellStart"/>
            <w:r w:rsidRPr="00312975">
              <w:rPr>
                <w:rFonts w:ascii="Calibri" w:eastAsia="Times New Roman" w:hAnsi="Calibri" w:cs="Times New Roman"/>
                <w:color w:val="000000"/>
                <w:sz w:val="18"/>
                <w:szCs w:val="18"/>
                <w:lang w:val="en-GB"/>
              </w:rPr>
              <w:t>Obveznice</w:t>
            </w:r>
            <w:proofErr w:type="spellEnd"/>
            <w:r w:rsidRPr="00312975">
              <w:rPr>
                <w:rFonts w:ascii="Calibri" w:eastAsia="Times New Roman" w:hAnsi="Calibri" w:cs="Times New Roman"/>
                <w:color w:val="000000"/>
                <w:sz w:val="18"/>
                <w:szCs w:val="18"/>
                <w:lang w:val="en-GB"/>
              </w:rPr>
              <w:t xml:space="preserve"> </w:t>
            </w:r>
            <w:proofErr w:type="spellStart"/>
            <w:r w:rsidRPr="00312975">
              <w:rPr>
                <w:rFonts w:ascii="Calibri" w:eastAsia="Times New Roman" w:hAnsi="Calibri" w:cs="Times New Roman"/>
                <w:color w:val="000000"/>
                <w:sz w:val="18"/>
                <w:szCs w:val="18"/>
                <w:lang w:val="en-GB"/>
              </w:rPr>
              <w:t>financijskih</w:t>
            </w:r>
            <w:proofErr w:type="spellEnd"/>
            <w:r w:rsidRPr="00312975">
              <w:rPr>
                <w:rFonts w:ascii="Calibri" w:eastAsia="Times New Roman" w:hAnsi="Calibri" w:cs="Times New Roman"/>
                <w:color w:val="000000"/>
                <w:sz w:val="18"/>
                <w:szCs w:val="18"/>
                <w:lang w:val="en-GB"/>
              </w:rPr>
              <w:t xml:space="preserve"> </w:t>
            </w:r>
            <w:proofErr w:type="spellStart"/>
            <w:r w:rsidRPr="00312975">
              <w:rPr>
                <w:rFonts w:ascii="Calibri" w:eastAsia="Times New Roman" w:hAnsi="Calibri" w:cs="Times New Roman"/>
                <w:color w:val="000000"/>
                <w:sz w:val="18"/>
                <w:szCs w:val="18"/>
                <w:lang w:val="en-GB"/>
              </w:rPr>
              <w:t>institucija</w:t>
            </w:r>
            <w:proofErr w:type="spellEnd"/>
          </w:p>
        </w:tc>
        <w:tc>
          <w:tcPr>
            <w:tcW w:w="632" w:type="pct"/>
            <w:tcBorders>
              <w:top w:val="nil"/>
              <w:left w:val="nil"/>
              <w:bottom w:val="nil"/>
              <w:right w:val="nil"/>
            </w:tcBorders>
            <w:shd w:val="clear" w:color="auto" w:fill="auto"/>
            <w:vAlign w:val="bottom"/>
          </w:tcPr>
          <w:p w14:paraId="2BF9C32F" w14:textId="62F3A2EE" w:rsidR="008B2A4B" w:rsidRPr="00312975" w:rsidRDefault="008B2A4B" w:rsidP="008B2A4B">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878</w:t>
            </w:r>
          </w:p>
        </w:tc>
        <w:tc>
          <w:tcPr>
            <w:tcW w:w="632" w:type="pct"/>
            <w:tcBorders>
              <w:top w:val="nil"/>
              <w:left w:val="nil"/>
              <w:bottom w:val="nil"/>
              <w:right w:val="nil"/>
            </w:tcBorders>
            <w:shd w:val="clear" w:color="auto" w:fill="auto"/>
            <w:vAlign w:val="bottom"/>
          </w:tcPr>
          <w:p w14:paraId="27C1A835" w14:textId="48EB9DA0" w:rsidR="008B2A4B" w:rsidRPr="00312975" w:rsidRDefault="008B2A4B" w:rsidP="008B2A4B">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910</w:t>
            </w:r>
          </w:p>
        </w:tc>
        <w:tc>
          <w:tcPr>
            <w:tcW w:w="631" w:type="pct"/>
            <w:tcBorders>
              <w:top w:val="nil"/>
              <w:left w:val="nil"/>
              <w:bottom w:val="nil"/>
              <w:right w:val="nil"/>
            </w:tcBorders>
            <w:shd w:val="clear" w:color="auto" w:fill="auto"/>
            <w:vAlign w:val="bottom"/>
          </w:tcPr>
          <w:p w14:paraId="4B5ED3B1" w14:textId="37BE7262" w:rsidR="008B2A4B" w:rsidRPr="00312975" w:rsidRDefault="008B2A4B" w:rsidP="008B2A4B">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w:t>
            </w:r>
          </w:p>
        </w:tc>
        <w:tc>
          <w:tcPr>
            <w:tcW w:w="629" w:type="pct"/>
            <w:tcBorders>
              <w:top w:val="nil"/>
              <w:left w:val="nil"/>
              <w:bottom w:val="nil"/>
              <w:right w:val="nil"/>
            </w:tcBorders>
            <w:shd w:val="clear" w:color="auto" w:fill="auto"/>
            <w:vAlign w:val="bottom"/>
          </w:tcPr>
          <w:p w14:paraId="0FEC105C" w14:textId="05D93C7C" w:rsidR="008B2A4B" w:rsidRPr="00312975" w:rsidRDefault="008B2A4B" w:rsidP="008B2A4B">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w:t>
            </w:r>
          </w:p>
        </w:tc>
      </w:tr>
      <w:tr w:rsidR="008B2A4B" w:rsidRPr="00532810" w14:paraId="6508F4E6" w14:textId="77777777" w:rsidTr="00312975">
        <w:trPr>
          <w:trHeight w:hRule="exact" w:val="296"/>
        </w:trPr>
        <w:tc>
          <w:tcPr>
            <w:tcW w:w="2476" w:type="pct"/>
            <w:vAlign w:val="bottom"/>
          </w:tcPr>
          <w:p w14:paraId="1B1C9CB2" w14:textId="77777777" w:rsidR="008B2A4B" w:rsidRPr="00312975" w:rsidRDefault="008B2A4B" w:rsidP="00257CDB">
            <w:pPr>
              <w:tabs>
                <w:tab w:val="right" w:pos="1202"/>
              </w:tabs>
              <w:spacing w:after="0" w:line="260" w:lineRule="exact"/>
              <w:outlineLvl w:val="0"/>
              <w:rPr>
                <w:rFonts w:ascii="Calibri" w:eastAsia="Times New Roman" w:hAnsi="Calibri" w:cs="Times New Roman"/>
                <w:color w:val="000000"/>
                <w:sz w:val="18"/>
                <w:szCs w:val="18"/>
                <w:lang w:val="en-GB"/>
              </w:rPr>
            </w:pPr>
            <w:proofErr w:type="spellStart"/>
            <w:r w:rsidRPr="00312975">
              <w:rPr>
                <w:rFonts w:ascii="Calibri" w:eastAsia="Times New Roman" w:hAnsi="Calibri" w:cs="Times New Roman"/>
                <w:color w:val="000000"/>
                <w:sz w:val="18"/>
                <w:szCs w:val="18"/>
                <w:lang w:val="en-GB"/>
              </w:rPr>
              <w:t>Obveznice</w:t>
            </w:r>
            <w:proofErr w:type="spellEnd"/>
            <w:r w:rsidRPr="00312975">
              <w:rPr>
                <w:rFonts w:ascii="Calibri" w:eastAsia="Times New Roman" w:hAnsi="Calibri" w:cs="Times New Roman"/>
                <w:color w:val="000000"/>
                <w:sz w:val="18"/>
                <w:szCs w:val="18"/>
                <w:lang w:val="en-GB"/>
              </w:rPr>
              <w:t xml:space="preserve"> </w:t>
            </w:r>
            <w:proofErr w:type="spellStart"/>
            <w:r w:rsidRPr="00312975">
              <w:rPr>
                <w:rFonts w:ascii="Calibri" w:eastAsia="Times New Roman" w:hAnsi="Calibri" w:cs="Times New Roman"/>
                <w:color w:val="000000"/>
                <w:sz w:val="18"/>
                <w:szCs w:val="18"/>
                <w:lang w:val="en-GB"/>
              </w:rPr>
              <w:t>trgovačkih</w:t>
            </w:r>
            <w:proofErr w:type="spellEnd"/>
            <w:r w:rsidRPr="00312975">
              <w:rPr>
                <w:rFonts w:ascii="Calibri" w:eastAsia="Times New Roman" w:hAnsi="Calibri" w:cs="Times New Roman"/>
                <w:color w:val="000000"/>
                <w:sz w:val="18"/>
                <w:szCs w:val="18"/>
                <w:lang w:val="en-GB"/>
              </w:rPr>
              <w:t xml:space="preserve"> </w:t>
            </w:r>
            <w:proofErr w:type="spellStart"/>
            <w:r w:rsidRPr="00312975">
              <w:rPr>
                <w:rFonts w:ascii="Calibri" w:eastAsia="Times New Roman" w:hAnsi="Calibri" w:cs="Times New Roman"/>
                <w:color w:val="000000"/>
                <w:sz w:val="18"/>
                <w:szCs w:val="18"/>
                <w:lang w:val="en-GB"/>
              </w:rPr>
              <w:t>društava</w:t>
            </w:r>
            <w:proofErr w:type="spellEnd"/>
          </w:p>
        </w:tc>
        <w:tc>
          <w:tcPr>
            <w:tcW w:w="632" w:type="pct"/>
            <w:tcBorders>
              <w:top w:val="nil"/>
              <w:left w:val="nil"/>
              <w:bottom w:val="nil"/>
              <w:right w:val="nil"/>
            </w:tcBorders>
            <w:shd w:val="clear" w:color="auto" w:fill="auto"/>
            <w:vAlign w:val="bottom"/>
          </w:tcPr>
          <w:p w14:paraId="33B4083F" w14:textId="2036DEFD" w:rsidR="008B2A4B" w:rsidRPr="00312975" w:rsidRDefault="008B2A4B" w:rsidP="008B2A4B">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1.143</w:t>
            </w:r>
          </w:p>
        </w:tc>
        <w:tc>
          <w:tcPr>
            <w:tcW w:w="632" w:type="pct"/>
            <w:tcBorders>
              <w:top w:val="nil"/>
              <w:left w:val="nil"/>
              <w:bottom w:val="nil"/>
              <w:right w:val="nil"/>
            </w:tcBorders>
            <w:shd w:val="clear" w:color="auto" w:fill="auto"/>
            <w:vAlign w:val="bottom"/>
          </w:tcPr>
          <w:p w14:paraId="1CAD197A" w14:textId="452AC8A5" w:rsidR="008B2A4B" w:rsidRPr="00312975" w:rsidRDefault="008B2A4B" w:rsidP="008B2A4B">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1.161</w:t>
            </w:r>
          </w:p>
        </w:tc>
        <w:tc>
          <w:tcPr>
            <w:tcW w:w="631" w:type="pct"/>
            <w:tcBorders>
              <w:top w:val="nil"/>
              <w:left w:val="nil"/>
              <w:bottom w:val="nil"/>
              <w:right w:val="nil"/>
            </w:tcBorders>
            <w:shd w:val="clear" w:color="auto" w:fill="auto"/>
            <w:vAlign w:val="bottom"/>
          </w:tcPr>
          <w:p w14:paraId="37B726D3" w14:textId="74154B07" w:rsidR="008B2A4B" w:rsidRPr="00312975" w:rsidRDefault="008B2A4B" w:rsidP="008B2A4B">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w:t>
            </w:r>
          </w:p>
        </w:tc>
        <w:tc>
          <w:tcPr>
            <w:tcW w:w="629" w:type="pct"/>
            <w:tcBorders>
              <w:top w:val="nil"/>
              <w:left w:val="nil"/>
              <w:bottom w:val="nil"/>
              <w:right w:val="nil"/>
            </w:tcBorders>
            <w:shd w:val="clear" w:color="auto" w:fill="auto"/>
            <w:vAlign w:val="bottom"/>
          </w:tcPr>
          <w:p w14:paraId="08594DC3" w14:textId="572CA8CC" w:rsidR="008B2A4B" w:rsidRPr="00312975" w:rsidRDefault="008B2A4B" w:rsidP="008B2A4B">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w:t>
            </w:r>
          </w:p>
        </w:tc>
      </w:tr>
      <w:tr w:rsidR="008B2A4B" w:rsidRPr="00532810" w14:paraId="75AC2991" w14:textId="77777777" w:rsidTr="00312975">
        <w:trPr>
          <w:trHeight w:hRule="exact" w:val="288"/>
        </w:trPr>
        <w:tc>
          <w:tcPr>
            <w:tcW w:w="2476" w:type="pct"/>
            <w:vAlign w:val="bottom"/>
          </w:tcPr>
          <w:p w14:paraId="23A80B33" w14:textId="77777777" w:rsidR="008B2A4B" w:rsidRPr="00312975" w:rsidRDefault="008B2A4B" w:rsidP="00257CDB">
            <w:pPr>
              <w:tabs>
                <w:tab w:val="right" w:pos="1202"/>
              </w:tabs>
              <w:spacing w:after="0" w:line="260" w:lineRule="exact"/>
              <w:outlineLvl w:val="0"/>
              <w:rPr>
                <w:rFonts w:ascii="Calibri" w:eastAsia="Times New Roman" w:hAnsi="Calibri" w:cs="Times New Roman"/>
                <w:color w:val="000000"/>
                <w:sz w:val="18"/>
                <w:szCs w:val="18"/>
                <w:lang w:val="en-GB"/>
              </w:rPr>
            </w:pPr>
            <w:proofErr w:type="spellStart"/>
            <w:r w:rsidRPr="00312975">
              <w:rPr>
                <w:rFonts w:ascii="Calibri" w:eastAsia="Times New Roman" w:hAnsi="Calibri" w:cs="Times New Roman"/>
                <w:color w:val="000000"/>
                <w:sz w:val="18"/>
                <w:szCs w:val="18"/>
                <w:lang w:val="en-GB"/>
              </w:rPr>
              <w:t>Trezorski</w:t>
            </w:r>
            <w:proofErr w:type="spellEnd"/>
            <w:r w:rsidRPr="00312975">
              <w:rPr>
                <w:rFonts w:ascii="Calibri" w:eastAsia="Times New Roman" w:hAnsi="Calibri" w:cs="Times New Roman"/>
                <w:color w:val="000000"/>
                <w:sz w:val="18"/>
                <w:szCs w:val="18"/>
                <w:lang w:val="en-GB"/>
              </w:rPr>
              <w:t xml:space="preserve"> </w:t>
            </w:r>
            <w:proofErr w:type="spellStart"/>
            <w:r w:rsidRPr="00312975">
              <w:rPr>
                <w:rFonts w:ascii="Calibri" w:eastAsia="Times New Roman" w:hAnsi="Calibri" w:cs="Times New Roman"/>
                <w:color w:val="000000"/>
                <w:sz w:val="18"/>
                <w:szCs w:val="18"/>
                <w:lang w:val="en-GB"/>
              </w:rPr>
              <w:t>zapisi</w:t>
            </w:r>
            <w:proofErr w:type="spellEnd"/>
            <w:r w:rsidRPr="00312975">
              <w:rPr>
                <w:rFonts w:ascii="Calibri" w:eastAsia="Times New Roman" w:hAnsi="Calibri" w:cs="Times New Roman"/>
                <w:color w:val="000000"/>
                <w:sz w:val="18"/>
                <w:szCs w:val="18"/>
                <w:lang w:val="en-GB"/>
              </w:rPr>
              <w:t xml:space="preserve"> </w:t>
            </w:r>
            <w:proofErr w:type="spellStart"/>
            <w:r w:rsidRPr="00312975">
              <w:rPr>
                <w:rFonts w:ascii="Calibri" w:eastAsia="Times New Roman" w:hAnsi="Calibri" w:cs="Times New Roman"/>
                <w:color w:val="000000"/>
                <w:sz w:val="18"/>
                <w:szCs w:val="18"/>
                <w:lang w:val="en-GB"/>
              </w:rPr>
              <w:t>Ministarstva</w:t>
            </w:r>
            <w:proofErr w:type="spellEnd"/>
            <w:r w:rsidRPr="00312975">
              <w:rPr>
                <w:rFonts w:ascii="Calibri" w:eastAsia="Times New Roman" w:hAnsi="Calibri" w:cs="Times New Roman"/>
                <w:color w:val="000000"/>
                <w:sz w:val="18"/>
                <w:szCs w:val="18"/>
                <w:lang w:val="en-GB"/>
              </w:rPr>
              <w:t xml:space="preserve"> </w:t>
            </w:r>
            <w:proofErr w:type="spellStart"/>
            <w:r w:rsidRPr="00312975">
              <w:rPr>
                <w:rFonts w:ascii="Calibri" w:eastAsia="Times New Roman" w:hAnsi="Calibri" w:cs="Times New Roman"/>
                <w:color w:val="000000"/>
                <w:sz w:val="18"/>
                <w:szCs w:val="18"/>
                <w:lang w:val="en-GB"/>
              </w:rPr>
              <w:t>financija</w:t>
            </w:r>
            <w:proofErr w:type="spellEnd"/>
          </w:p>
        </w:tc>
        <w:tc>
          <w:tcPr>
            <w:tcW w:w="632" w:type="pct"/>
            <w:tcBorders>
              <w:top w:val="nil"/>
              <w:left w:val="nil"/>
              <w:right w:val="nil"/>
            </w:tcBorders>
            <w:shd w:val="clear" w:color="auto" w:fill="auto"/>
            <w:vAlign w:val="bottom"/>
          </w:tcPr>
          <w:p w14:paraId="00C26FBC" w14:textId="6FEC3171" w:rsidR="008B2A4B" w:rsidRPr="00312975" w:rsidRDefault="008B2A4B" w:rsidP="008B2A4B">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1.293.042</w:t>
            </w:r>
          </w:p>
        </w:tc>
        <w:tc>
          <w:tcPr>
            <w:tcW w:w="632" w:type="pct"/>
            <w:tcBorders>
              <w:top w:val="nil"/>
              <w:left w:val="nil"/>
              <w:right w:val="nil"/>
            </w:tcBorders>
            <w:shd w:val="clear" w:color="auto" w:fill="auto"/>
            <w:vAlign w:val="bottom"/>
          </w:tcPr>
          <w:p w14:paraId="3E45285C" w14:textId="27E7F912" w:rsidR="008B2A4B" w:rsidRPr="00312975" w:rsidRDefault="008B2A4B" w:rsidP="008B2A4B">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1.500.420</w:t>
            </w:r>
          </w:p>
        </w:tc>
        <w:tc>
          <w:tcPr>
            <w:tcW w:w="631" w:type="pct"/>
            <w:tcBorders>
              <w:top w:val="nil"/>
              <w:left w:val="nil"/>
              <w:right w:val="nil"/>
            </w:tcBorders>
            <w:shd w:val="clear" w:color="auto" w:fill="auto"/>
            <w:vAlign w:val="bottom"/>
          </w:tcPr>
          <w:p w14:paraId="7E2A1993" w14:textId="5331BD73" w:rsidR="008B2A4B" w:rsidRPr="00312975" w:rsidRDefault="008B2A4B" w:rsidP="008B2A4B">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1.293.042</w:t>
            </w:r>
          </w:p>
        </w:tc>
        <w:tc>
          <w:tcPr>
            <w:tcW w:w="629" w:type="pct"/>
            <w:tcBorders>
              <w:top w:val="nil"/>
              <w:left w:val="nil"/>
              <w:right w:val="nil"/>
            </w:tcBorders>
            <w:shd w:val="clear" w:color="auto" w:fill="auto"/>
            <w:vAlign w:val="bottom"/>
          </w:tcPr>
          <w:p w14:paraId="302424FF" w14:textId="31FBD465" w:rsidR="008B2A4B" w:rsidRPr="00312975" w:rsidRDefault="008B2A4B" w:rsidP="008B2A4B">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1.500.420</w:t>
            </w:r>
          </w:p>
        </w:tc>
      </w:tr>
      <w:tr w:rsidR="008B2A4B" w:rsidRPr="00532810" w14:paraId="716C7166" w14:textId="77777777" w:rsidTr="00312975">
        <w:trPr>
          <w:trHeight w:hRule="exact" w:val="278"/>
        </w:trPr>
        <w:tc>
          <w:tcPr>
            <w:tcW w:w="2476" w:type="pct"/>
            <w:vAlign w:val="bottom"/>
          </w:tcPr>
          <w:p w14:paraId="68C3A532" w14:textId="77777777" w:rsidR="008B2A4B" w:rsidRPr="00312975" w:rsidRDefault="008B2A4B" w:rsidP="008B2A4B">
            <w:pPr>
              <w:tabs>
                <w:tab w:val="right" w:pos="1202"/>
              </w:tabs>
              <w:spacing w:after="0" w:line="260" w:lineRule="exact"/>
              <w:outlineLvl w:val="0"/>
              <w:rPr>
                <w:rFonts w:ascii="Calibri" w:eastAsia="Times New Roman" w:hAnsi="Calibri" w:cs="Times New Roman"/>
                <w:sz w:val="18"/>
                <w:szCs w:val="18"/>
                <w:lang w:val="en-GB"/>
              </w:rPr>
            </w:pPr>
            <w:proofErr w:type="spellStart"/>
            <w:r w:rsidRPr="00312975">
              <w:rPr>
                <w:rFonts w:ascii="Calibri" w:eastAsia="Times New Roman" w:hAnsi="Calibri" w:cs="Times New Roman"/>
                <w:sz w:val="18"/>
                <w:szCs w:val="18"/>
                <w:lang w:val="en-GB"/>
              </w:rPr>
              <w:t>Obračunata</w:t>
            </w:r>
            <w:proofErr w:type="spellEnd"/>
            <w:r w:rsidRPr="00312975">
              <w:rPr>
                <w:rFonts w:ascii="Calibri" w:eastAsia="Times New Roman" w:hAnsi="Calibri" w:cs="Times New Roman"/>
                <w:sz w:val="18"/>
                <w:szCs w:val="18"/>
                <w:lang w:val="en-GB"/>
              </w:rPr>
              <w:t xml:space="preserve"> </w:t>
            </w:r>
            <w:proofErr w:type="spellStart"/>
            <w:r w:rsidRPr="00312975">
              <w:rPr>
                <w:rFonts w:ascii="Calibri" w:eastAsia="Times New Roman" w:hAnsi="Calibri" w:cs="Times New Roman"/>
                <w:sz w:val="18"/>
                <w:szCs w:val="18"/>
                <w:lang w:val="en-GB"/>
              </w:rPr>
              <w:t>kamata</w:t>
            </w:r>
            <w:proofErr w:type="spellEnd"/>
            <w:r w:rsidRPr="00312975">
              <w:rPr>
                <w:rFonts w:ascii="Calibri" w:eastAsia="Times New Roman" w:hAnsi="Calibri" w:cs="Times New Roman"/>
                <w:sz w:val="18"/>
                <w:szCs w:val="18"/>
                <w:lang w:val="en-GB"/>
              </w:rPr>
              <w:t xml:space="preserve"> </w:t>
            </w:r>
          </w:p>
        </w:tc>
        <w:tc>
          <w:tcPr>
            <w:tcW w:w="632" w:type="pct"/>
            <w:tcBorders>
              <w:top w:val="nil"/>
              <w:left w:val="nil"/>
              <w:right w:val="nil"/>
            </w:tcBorders>
            <w:shd w:val="clear" w:color="auto" w:fill="auto"/>
            <w:vAlign w:val="bottom"/>
          </w:tcPr>
          <w:p w14:paraId="34A56361" w14:textId="363DD94B" w:rsidR="008B2A4B" w:rsidRPr="00312975" w:rsidRDefault="008B2A4B" w:rsidP="008B2A4B">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13.802</w:t>
            </w:r>
          </w:p>
        </w:tc>
        <w:tc>
          <w:tcPr>
            <w:tcW w:w="632" w:type="pct"/>
            <w:tcBorders>
              <w:top w:val="nil"/>
              <w:left w:val="nil"/>
              <w:right w:val="nil"/>
            </w:tcBorders>
            <w:shd w:val="clear" w:color="auto" w:fill="auto"/>
            <w:vAlign w:val="bottom"/>
          </w:tcPr>
          <w:p w14:paraId="47E24F83" w14:textId="1C3346EA" w:rsidR="008B2A4B" w:rsidRPr="00312975" w:rsidRDefault="008B2A4B" w:rsidP="008B2A4B">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1D1CCD">
              <w:rPr>
                <w:rFonts w:ascii="Calibri" w:eastAsia="Times New Roman" w:hAnsi="Calibri" w:cs="Times New Roman"/>
                <w:color w:val="000000"/>
                <w:sz w:val="18"/>
                <w:szCs w:val="18"/>
                <w:lang w:val="en-GB"/>
              </w:rPr>
              <w:t>14.495</w:t>
            </w:r>
          </w:p>
        </w:tc>
        <w:tc>
          <w:tcPr>
            <w:tcW w:w="631" w:type="pct"/>
            <w:tcBorders>
              <w:top w:val="nil"/>
              <w:left w:val="nil"/>
              <w:right w:val="nil"/>
            </w:tcBorders>
            <w:shd w:val="clear" w:color="auto" w:fill="auto"/>
            <w:vAlign w:val="bottom"/>
          </w:tcPr>
          <w:p w14:paraId="5011352C" w14:textId="7DC5D707" w:rsidR="008B2A4B" w:rsidRPr="00312975" w:rsidRDefault="008B2A4B" w:rsidP="008B2A4B">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13.178</w:t>
            </w:r>
          </w:p>
        </w:tc>
        <w:tc>
          <w:tcPr>
            <w:tcW w:w="629" w:type="pct"/>
            <w:tcBorders>
              <w:top w:val="nil"/>
              <w:left w:val="nil"/>
              <w:right w:val="nil"/>
            </w:tcBorders>
            <w:shd w:val="clear" w:color="auto" w:fill="auto"/>
            <w:vAlign w:val="bottom"/>
          </w:tcPr>
          <w:p w14:paraId="3F31B7FE" w14:textId="6E032057" w:rsidR="008B2A4B" w:rsidRPr="00312975" w:rsidRDefault="008B2A4B" w:rsidP="008B2A4B">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1D1CCD">
              <w:rPr>
                <w:rFonts w:ascii="Calibri" w:eastAsia="Times New Roman" w:hAnsi="Calibri" w:cs="Times New Roman"/>
                <w:color w:val="000000"/>
                <w:sz w:val="18"/>
                <w:szCs w:val="18"/>
                <w:lang w:val="en-GB"/>
              </w:rPr>
              <w:t>13.890</w:t>
            </w:r>
          </w:p>
        </w:tc>
      </w:tr>
      <w:tr w:rsidR="00D419E2" w:rsidRPr="00532810" w14:paraId="018CE243" w14:textId="77777777" w:rsidTr="00312975">
        <w:trPr>
          <w:trHeight w:val="28"/>
        </w:trPr>
        <w:tc>
          <w:tcPr>
            <w:tcW w:w="2476" w:type="pct"/>
          </w:tcPr>
          <w:p w14:paraId="755FB90F" w14:textId="77777777" w:rsidR="00D419E2" w:rsidRPr="00532810" w:rsidRDefault="00D419E2" w:rsidP="00D419E2">
            <w:pPr>
              <w:tabs>
                <w:tab w:val="right" w:pos="1202"/>
              </w:tabs>
              <w:spacing w:after="0" w:line="240" w:lineRule="auto"/>
              <w:outlineLvl w:val="0"/>
              <w:rPr>
                <w:rFonts w:ascii="Calibri" w:eastAsia="Times New Roman" w:hAnsi="Calibri" w:cs="Arial"/>
                <w:spacing w:val="-2"/>
                <w:sz w:val="18"/>
                <w:szCs w:val="18"/>
              </w:rPr>
            </w:pPr>
          </w:p>
        </w:tc>
        <w:tc>
          <w:tcPr>
            <w:tcW w:w="632" w:type="pct"/>
            <w:tcBorders>
              <w:top w:val="single" w:sz="4" w:space="0" w:color="auto"/>
              <w:bottom w:val="single" w:sz="4" w:space="0" w:color="auto"/>
            </w:tcBorders>
            <w:vAlign w:val="center"/>
          </w:tcPr>
          <w:p w14:paraId="744B6AAF" w14:textId="29D71E02" w:rsidR="00D419E2" w:rsidRPr="00532810" w:rsidRDefault="008B2A4B" w:rsidP="00D419E2">
            <w:pPr>
              <w:tabs>
                <w:tab w:val="right" w:pos="1202"/>
              </w:tabs>
              <w:spacing w:after="0" w:line="240" w:lineRule="auto"/>
              <w:jc w:val="right"/>
              <w:outlineLvl w:val="0"/>
              <w:rPr>
                <w:rFonts w:ascii="Calibri" w:eastAsia="Times New Roman" w:hAnsi="Calibri" w:cs="Arial"/>
                <w:b/>
                <w:noProof/>
                <w:spacing w:val="-2"/>
                <w:sz w:val="18"/>
                <w:szCs w:val="18"/>
                <w:lang w:eastAsia="hr-HR"/>
              </w:rPr>
            </w:pPr>
            <w:r w:rsidRPr="008B2A4B">
              <w:rPr>
                <w:rFonts w:ascii="Calibri" w:eastAsia="Times New Roman" w:hAnsi="Calibri" w:cs="Arial"/>
                <w:b/>
                <w:noProof/>
                <w:spacing w:val="-2"/>
                <w:sz w:val="18"/>
                <w:szCs w:val="18"/>
                <w:lang w:eastAsia="hr-HR"/>
              </w:rPr>
              <w:t>2.192.896</w:t>
            </w:r>
          </w:p>
        </w:tc>
        <w:tc>
          <w:tcPr>
            <w:tcW w:w="632" w:type="pct"/>
            <w:tcBorders>
              <w:top w:val="single" w:sz="4" w:space="0" w:color="auto"/>
              <w:bottom w:val="single" w:sz="4" w:space="0" w:color="auto"/>
            </w:tcBorders>
            <w:vAlign w:val="center"/>
          </w:tcPr>
          <w:p w14:paraId="0C48ADB2" w14:textId="4F6726A8" w:rsidR="00D419E2" w:rsidRPr="008B2A4B" w:rsidRDefault="00D419E2" w:rsidP="00D96540">
            <w:pPr>
              <w:tabs>
                <w:tab w:val="right" w:pos="1202"/>
              </w:tabs>
              <w:spacing w:after="0" w:line="240" w:lineRule="auto"/>
              <w:jc w:val="right"/>
              <w:outlineLvl w:val="0"/>
              <w:rPr>
                <w:rFonts w:ascii="Calibri" w:eastAsia="Times New Roman" w:hAnsi="Calibri" w:cs="Arial"/>
                <w:b/>
                <w:noProof/>
                <w:spacing w:val="-2"/>
                <w:sz w:val="18"/>
                <w:szCs w:val="18"/>
                <w:lang w:eastAsia="hr-HR"/>
              </w:rPr>
            </w:pPr>
            <w:r w:rsidRPr="008B2A4B">
              <w:rPr>
                <w:rFonts w:ascii="Calibri" w:eastAsia="Times New Roman" w:hAnsi="Calibri" w:cs="Arial"/>
                <w:b/>
                <w:noProof/>
                <w:spacing w:val="-2"/>
                <w:sz w:val="18"/>
                <w:szCs w:val="18"/>
                <w:lang w:eastAsia="hr-HR"/>
              </w:rPr>
              <w:t>2.442.873</w:t>
            </w:r>
          </w:p>
        </w:tc>
        <w:tc>
          <w:tcPr>
            <w:tcW w:w="631" w:type="pct"/>
            <w:tcBorders>
              <w:top w:val="single" w:sz="4" w:space="0" w:color="auto"/>
              <w:bottom w:val="single" w:sz="4" w:space="0" w:color="auto"/>
            </w:tcBorders>
            <w:vAlign w:val="center"/>
          </w:tcPr>
          <w:p w14:paraId="5B3C2B5A" w14:textId="3CA6ECF2" w:rsidR="00D419E2" w:rsidRPr="00532810" w:rsidRDefault="008B2A4B" w:rsidP="00D419E2">
            <w:pPr>
              <w:tabs>
                <w:tab w:val="right" w:pos="1202"/>
              </w:tabs>
              <w:spacing w:after="0" w:line="240" w:lineRule="auto"/>
              <w:jc w:val="right"/>
              <w:outlineLvl w:val="0"/>
              <w:rPr>
                <w:rFonts w:ascii="Calibri" w:eastAsia="Times New Roman" w:hAnsi="Calibri" w:cs="Arial"/>
                <w:b/>
                <w:noProof/>
                <w:spacing w:val="-2"/>
                <w:sz w:val="18"/>
                <w:szCs w:val="18"/>
                <w:lang w:eastAsia="hr-HR"/>
              </w:rPr>
            </w:pPr>
            <w:r w:rsidRPr="008B2A4B">
              <w:rPr>
                <w:rFonts w:ascii="Calibri" w:eastAsia="Times New Roman" w:hAnsi="Calibri" w:cs="Arial"/>
                <w:b/>
                <w:noProof/>
                <w:spacing w:val="-2"/>
                <w:sz w:val="18"/>
                <w:szCs w:val="18"/>
                <w:lang w:eastAsia="hr-HR"/>
              </w:rPr>
              <w:t>2.148.195</w:t>
            </w:r>
          </w:p>
        </w:tc>
        <w:tc>
          <w:tcPr>
            <w:tcW w:w="629" w:type="pct"/>
            <w:tcBorders>
              <w:top w:val="single" w:sz="4" w:space="0" w:color="auto"/>
              <w:bottom w:val="single" w:sz="4" w:space="0" w:color="auto"/>
            </w:tcBorders>
            <w:vAlign w:val="center"/>
          </w:tcPr>
          <w:p w14:paraId="2E58038C" w14:textId="4477438C" w:rsidR="00D419E2" w:rsidRPr="00532810" w:rsidRDefault="00D419E2" w:rsidP="00D419E2">
            <w:pPr>
              <w:tabs>
                <w:tab w:val="right" w:pos="1202"/>
              </w:tabs>
              <w:spacing w:after="0" w:line="240" w:lineRule="auto"/>
              <w:jc w:val="right"/>
              <w:outlineLvl w:val="0"/>
              <w:rPr>
                <w:rFonts w:ascii="Calibri" w:eastAsia="Times New Roman" w:hAnsi="Calibri" w:cs="Arial"/>
                <w:b/>
                <w:noProof/>
                <w:spacing w:val="-2"/>
                <w:sz w:val="18"/>
                <w:szCs w:val="18"/>
                <w:lang w:eastAsia="hr-HR"/>
              </w:rPr>
            </w:pPr>
            <w:r w:rsidRPr="00532810">
              <w:rPr>
                <w:rFonts w:ascii="Calibri" w:eastAsia="Times New Roman" w:hAnsi="Calibri" w:cs="Arial"/>
                <w:b/>
                <w:noProof/>
                <w:spacing w:val="-2"/>
                <w:sz w:val="18"/>
                <w:szCs w:val="18"/>
                <w:lang w:eastAsia="hr-HR"/>
              </w:rPr>
              <w:t>2.399.224</w:t>
            </w:r>
          </w:p>
        </w:tc>
      </w:tr>
      <w:tr w:rsidR="00D419E2" w:rsidRPr="00532810" w14:paraId="10265046" w14:textId="77777777" w:rsidTr="00312975">
        <w:trPr>
          <w:trHeight w:val="18"/>
        </w:trPr>
        <w:tc>
          <w:tcPr>
            <w:tcW w:w="2476" w:type="pct"/>
          </w:tcPr>
          <w:p w14:paraId="14D0D3FF" w14:textId="77777777" w:rsidR="00D419E2" w:rsidRPr="00532810" w:rsidRDefault="00D419E2" w:rsidP="00D419E2">
            <w:pPr>
              <w:tabs>
                <w:tab w:val="decimal" w:pos="1202"/>
              </w:tabs>
              <w:spacing w:after="0" w:line="140" w:lineRule="exact"/>
              <w:rPr>
                <w:rFonts w:ascii="Calibri" w:eastAsia="Times New Roman" w:hAnsi="Calibri" w:cs="Arial"/>
                <w:position w:val="4"/>
                <w:sz w:val="18"/>
                <w:szCs w:val="18"/>
              </w:rPr>
            </w:pPr>
          </w:p>
        </w:tc>
        <w:tc>
          <w:tcPr>
            <w:tcW w:w="632" w:type="pct"/>
            <w:tcBorders>
              <w:top w:val="single" w:sz="4" w:space="0" w:color="auto"/>
            </w:tcBorders>
          </w:tcPr>
          <w:p w14:paraId="2A61A532" w14:textId="22566E26" w:rsidR="00D419E2" w:rsidRPr="00532810" w:rsidRDefault="00D419E2" w:rsidP="00D419E2">
            <w:pPr>
              <w:keepNext/>
              <w:keepLines/>
              <w:tabs>
                <w:tab w:val="decimal" w:pos="1202"/>
              </w:tabs>
              <w:spacing w:after="0" w:line="140" w:lineRule="exact"/>
              <w:jc w:val="right"/>
              <w:rPr>
                <w:rFonts w:ascii="Calibri" w:eastAsia="Times New Roman" w:hAnsi="Calibri" w:cs="Arial"/>
                <w:position w:val="4"/>
                <w:sz w:val="18"/>
                <w:szCs w:val="18"/>
              </w:rPr>
            </w:pPr>
          </w:p>
        </w:tc>
        <w:tc>
          <w:tcPr>
            <w:tcW w:w="632" w:type="pct"/>
            <w:tcBorders>
              <w:top w:val="single" w:sz="4" w:space="0" w:color="auto"/>
            </w:tcBorders>
          </w:tcPr>
          <w:p w14:paraId="7F0B400C" w14:textId="5575F3DA" w:rsidR="00D419E2" w:rsidRPr="00532810" w:rsidRDefault="00D419E2" w:rsidP="00D419E2">
            <w:pPr>
              <w:keepNext/>
              <w:keepLines/>
              <w:tabs>
                <w:tab w:val="decimal" w:pos="1202"/>
              </w:tabs>
              <w:spacing w:after="0" w:line="140" w:lineRule="exact"/>
              <w:jc w:val="right"/>
              <w:rPr>
                <w:rFonts w:ascii="Calibri" w:eastAsia="Times New Roman" w:hAnsi="Calibri" w:cs="Arial"/>
                <w:position w:val="4"/>
                <w:sz w:val="18"/>
                <w:szCs w:val="18"/>
              </w:rPr>
            </w:pPr>
          </w:p>
        </w:tc>
        <w:tc>
          <w:tcPr>
            <w:tcW w:w="631" w:type="pct"/>
            <w:tcBorders>
              <w:top w:val="single" w:sz="4" w:space="0" w:color="auto"/>
            </w:tcBorders>
          </w:tcPr>
          <w:p w14:paraId="6DA4FC7D" w14:textId="12AEE335" w:rsidR="00D419E2" w:rsidRPr="00532810" w:rsidRDefault="00D419E2" w:rsidP="00D419E2">
            <w:pPr>
              <w:keepNext/>
              <w:keepLines/>
              <w:tabs>
                <w:tab w:val="decimal" w:pos="1202"/>
              </w:tabs>
              <w:spacing w:after="0" w:line="140" w:lineRule="exact"/>
              <w:jc w:val="right"/>
              <w:rPr>
                <w:rFonts w:ascii="Calibri" w:eastAsia="Times New Roman" w:hAnsi="Calibri" w:cs="Arial"/>
                <w:position w:val="4"/>
                <w:sz w:val="18"/>
                <w:szCs w:val="18"/>
              </w:rPr>
            </w:pPr>
          </w:p>
        </w:tc>
        <w:tc>
          <w:tcPr>
            <w:tcW w:w="629" w:type="pct"/>
            <w:tcBorders>
              <w:top w:val="single" w:sz="4" w:space="0" w:color="auto"/>
            </w:tcBorders>
          </w:tcPr>
          <w:p w14:paraId="6D772DD6" w14:textId="14C7F104" w:rsidR="00D419E2" w:rsidRPr="00532810" w:rsidRDefault="00D419E2" w:rsidP="00D419E2">
            <w:pPr>
              <w:keepNext/>
              <w:keepLines/>
              <w:tabs>
                <w:tab w:val="decimal" w:pos="1202"/>
              </w:tabs>
              <w:spacing w:after="0" w:line="140" w:lineRule="exact"/>
              <w:jc w:val="right"/>
              <w:rPr>
                <w:rFonts w:ascii="Calibri" w:eastAsia="Times New Roman" w:hAnsi="Calibri" w:cs="Arial"/>
                <w:position w:val="4"/>
                <w:sz w:val="18"/>
                <w:szCs w:val="18"/>
              </w:rPr>
            </w:pPr>
          </w:p>
        </w:tc>
      </w:tr>
      <w:tr w:rsidR="00D419E2" w:rsidRPr="00532810" w14:paraId="7DBD3373" w14:textId="77777777" w:rsidTr="00312975">
        <w:trPr>
          <w:trHeight w:val="54"/>
        </w:trPr>
        <w:tc>
          <w:tcPr>
            <w:tcW w:w="2476" w:type="pct"/>
          </w:tcPr>
          <w:p w14:paraId="28E245B4" w14:textId="77777777" w:rsidR="00D419E2" w:rsidRPr="00532810" w:rsidRDefault="00D419E2" w:rsidP="00D419E2">
            <w:pPr>
              <w:tabs>
                <w:tab w:val="right" w:pos="1202"/>
              </w:tabs>
              <w:spacing w:after="0" w:line="260" w:lineRule="exact"/>
              <w:outlineLvl w:val="0"/>
              <w:rPr>
                <w:rFonts w:ascii="Calibri" w:eastAsia="Times New Roman" w:hAnsi="Calibri" w:cs="Arial"/>
                <w:b/>
                <w:i/>
                <w:spacing w:val="-2"/>
                <w:sz w:val="18"/>
                <w:szCs w:val="18"/>
              </w:rPr>
            </w:pPr>
            <w:r w:rsidRPr="00532810">
              <w:rPr>
                <w:rFonts w:ascii="Calibri" w:eastAsia="Times New Roman" w:hAnsi="Calibri" w:cs="Times New Roman"/>
                <w:b/>
                <w:sz w:val="18"/>
                <w:szCs w:val="18"/>
              </w:rPr>
              <w:t>Dužnički vrijednosni papiri koji ne kotiraju:</w:t>
            </w:r>
          </w:p>
        </w:tc>
        <w:tc>
          <w:tcPr>
            <w:tcW w:w="632" w:type="pct"/>
          </w:tcPr>
          <w:p w14:paraId="0B98CDAE" w14:textId="77777777" w:rsidR="00D419E2" w:rsidRPr="00532810" w:rsidDel="00561A80" w:rsidRDefault="00D419E2" w:rsidP="00D419E2">
            <w:pPr>
              <w:tabs>
                <w:tab w:val="right" w:pos="1202"/>
              </w:tabs>
              <w:spacing w:after="0" w:line="260" w:lineRule="exact"/>
              <w:jc w:val="right"/>
              <w:outlineLvl w:val="0"/>
              <w:rPr>
                <w:rFonts w:ascii="Calibri" w:eastAsia="Times New Roman" w:hAnsi="Calibri" w:cs="Arial"/>
                <w:spacing w:val="-2"/>
                <w:sz w:val="18"/>
                <w:szCs w:val="18"/>
              </w:rPr>
            </w:pPr>
          </w:p>
        </w:tc>
        <w:tc>
          <w:tcPr>
            <w:tcW w:w="632" w:type="pct"/>
          </w:tcPr>
          <w:p w14:paraId="00174409" w14:textId="77777777" w:rsidR="00D419E2" w:rsidRPr="00532810" w:rsidDel="00561A80" w:rsidRDefault="00D419E2" w:rsidP="00D419E2">
            <w:pPr>
              <w:tabs>
                <w:tab w:val="right" w:pos="1202"/>
              </w:tabs>
              <w:spacing w:after="0" w:line="260" w:lineRule="exact"/>
              <w:jc w:val="right"/>
              <w:outlineLvl w:val="0"/>
              <w:rPr>
                <w:rFonts w:ascii="Calibri" w:eastAsia="Times New Roman" w:hAnsi="Calibri" w:cs="Arial"/>
                <w:spacing w:val="-2"/>
                <w:sz w:val="18"/>
                <w:szCs w:val="18"/>
              </w:rPr>
            </w:pPr>
          </w:p>
        </w:tc>
        <w:tc>
          <w:tcPr>
            <w:tcW w:w="631" w:type="pct"/>
          </w:tcPr>
          <w:p w14:paraId="1799CD1C" w14:textId="77777777" w:rsidR="00D419E2" w:rsidRPr="00532810" w:rsidDel="00561A80" w:rsidRDefault="00D419E2" w:rsidP="00D419E2">
            <w:pPr>
              <w:tabs>
                <w:tab w:val="right" w:pos="1202"/>
              </w:tabs>
              <w:spacing w:after="0" w:line="260" w:lineRule="exact"/>
              <w:jc w:val="right"/>
              <w:outlineLvl w:val="0"/>
              <w:rPr>
                <w:rFonts w:ascii="Calibri" w:eastAsia="Times New Roman" w:hAnsi="Calibri" w:cs="Arial"/>
                <w:spacing w:val="-2"/>
                <w:sz w:val="18"/>
                <w:szCs w:val="18"/>
              </w:rPr>
            </w:pPr>
          </w:p>
        </w:tc>
        <w:tc>
          <w:tcPr>
            <w:tcW w:w="629" w:type="pct"/>
          </w:tcPr>
          <w:p w14:paraId="025E7BBA" w14:textId="77777777" w:rsidR="00D419E2" w:rsidRPr="00532810" w:rsidDel="00561A80" w:rsidRDefault="00D419E2" w:rsidP="00D419E2">
            <w:pPr>
              <w:tabs>
                <w:tab w:val="right" w:pos="1202"/>
              </w:tabs>
              <w:spacing w:after="0" w:line="260" w:lineRule="exact"/>
              <w:jc w:val="right"/>
              <w:outlineLvl w:val="0"/>
              <w:rPr>
                <w:rFonts w:ascii="Calibri" w:eastAsia="Times New Roman" w:hAnsi="Calibri" w:cs="Arial"/>
                <w:spacing w:val="-2"/>
                <w:sz w:val="18"/>
                <w:szCs w:val="18"/>
              </w:rPr>
            </w:pPr>
          </w:p>
        </w:tc>
      </w:tr>
      <w:tr w:rsidR="008B2A4B" w:rsidRPr="00532810" w14:paraId="35A6CC84" w14:textId="77777777" w:rsidTr="00312975">
        <w:trPr>
          <w:trHeight w:val="54"/>
        </w:trPr>
        <w:tc>
          <w:tcPr>
            <w:tcW w:w="2476" w:type="pct"/>
          </w:tcPr>
          <w:p w14:paraId="5E6BC938" w14:textId="77777777" w:rsidR="008B2A4B" w:rsidRPr="00532810" w:rsidRDefault="008B2A4B" w:rsidP="008B2A4B">
            <w:pPr>
              <w:tabs>
                <w:tab w:val="right" w:pos="1202"/>
              </w:tabs>
              <w:spacing w:after="0" w:line="260" w:lineRule="exact"/>
              <w:outlineLvl w:val="0"/>
              <w:rPr>
                <w:rFonts w:ascii="Calibri" w:eastAsia="Times New Roman" w:hAnsi="Calibri" w:cs="Arial"/>
                <w:b/>
                <w:i/>
                <w:spacing w:val="-2"/>
                <w:sz w:val="18"/>
                <w:szCs w:val="18"/>
              </w:rPr>
            </w:pPr>
            <w:r w:rsidRPr="00532810">
              <w:rPr>
                <w:rFonts w:ascii="Calibri" w:eastAsia="Times New Roman" w:hAnsi="Calibri" w:cs="Times New Roman"/>
                <w:sz w:val="18"/>
                <w:szCs w:val="18"/>
              </w:rPr>
              <w:t>Obveznice trgovačkih društava</w:t>
            </w:r>
          </w:p>
        </w:tc>
        <w:tc>
          <w:tcPr>
            <w:tcW w:w="632" w:type="pct"/>
            <w:tcBorders>
              <w:top w:val="nil"/>
              <w:left w:val="nil"/>
              <w:bottom w:val="nil"/>
              <w:right w:val="nil"/>
            </w:tcBorders>
            <w:shd w:val="clear" w:color="auto" w:fill="auto"/>
            <w:vAlign w:val="bottom"/>
          </w:tcPr>
          <w:p w14:paraId="68134D39" w14:textId="6ADCDEEC" w:rsidR="008B2A4B" w:rsidRPr="000E5941" w:rsidDel="00561A80" w:rsidRDefault="008B2A4B" w:rsidP="008B2A4B">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496</w:t>
            </w:r>
          </w:p>
        </w:tc>
        <w:tc>
          <w:tcPr>
            <w:tcW w:w="632" w:type="pct"/>
            <w:tcBorders>
              <w:top w:val="nil"/>
              <w:left w:val="nil"/>
              <w:right w:val="nil"/>
            </w:tcBorders>
            <w:shd w:val="clear" w:color="auto" w:fill="auto"/>
            <w:vAlign w:val="bottom"/>
          </w:tcPr>
          <w:p w14:paraId="4786626B" w14:textId="31E1F1F8" w:rsidR="008B2A4B" w:rsidRPr="00532810" w:rsidDel="00561A80" w:rsidRDefault="008B2A4B" w:rsidP="008B2A4B">
            <w:pPr>
              <w:tabs>
                <w:tab w:val="right" w:pos="1202"/>
              </w:tabs>
              <w:spacing w:after="0" w:line="260" w:lineRule="exact"/>
              <w:jc w:val="right"/>
              <w:outlineLvl w:val="0"/>
              <w:rPr>
                <w:rFonts w:ascii="Calibri" w:eastAsia="Times New Roman" w:hAnsi="Calibri" w:cs="Arial"/>
                <w:spacing w:val="-2"/>
                <w:sz w:val="18"/>
                <w:szCs w:val="18"/>
              </w:rPr>
            </w:pPr>
            <w:r w:rsidRPr="00532810">
              <w:rPr>
                <w:rFonts w:ascii="Calibri" w:eastAsia="Times New Roman" w:hAnsi="Calibri" w:cs="Times New Roman"/>
                <w:color w:val="000000"/>
                <w:sz w:val="18"/>
                <w:szCs w:val="18"/>
                <w:lang w:val="en-GB"/>
              </w:rPr>
              <w:t>502</w:t>
            </w:r>
          </w:p>
        </w:tc>
        <w:tc>
          <w:tcPr>
            <w:tcW w:w="631" w:type="pct"/>
            <w:tcBorders>
              <w:top w:val="nil"/>
              <w:left w:val="nil"/>
              <w:right w:val="nil"/>
            </w:tcBorders>
            <w:shd w:val="clear" w:color="auto" w:fill="auto"/>
            <w:vAlign w:val="bottom"/>
          </w:tcPr>
          <w:p w14:paraId="097A6D21" w14:textId="3660E9DD" w:rsidR="008B2A4B" w:rsidRPr="00532810" w:rsidDel="00561A80" w:rsidRDefault="008B2A4B" w:rsidP="008B2A4B">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 xml:space="preserve"> 496 </w:t>
            </w:r>
          </w:p>
        </w:tc>
        <w:tc>
          <w:tcPr>
            <w:tcW w:w="629" w:type="pct"/>
            <w:tcBorders>
              <w:top w:val="nil"/>
              <w:left w:val="nil"/>
              <w:right w:val="nil"/>
            </w:tcBorders>
            <w:shd w:val="clear" w:color="auto" w:fill="auto"/>
            <w:vAlign w:val="bottom"/>
          </w:tcPr>
          <w:p w14:paraId="38B93EB1" w14:textId="6FAA88D7" w:rsidR="008B2A4B" w:rsidRPr="00532810" w:rsidDel="00561A80" w:rsidRDefault="008B2A4B" w:rsidP="008B2A4B">
            <w:pPr>
              <w:tabs>
                <w:tab w:val="right" w:pos="1202"/>
              </w:tabs>
              <w:spacing w:after="0" w:line="260" w:lineRule="exact"/>
              <w:jc w:val="right"/>
              <w:outlineLvl w:val="0"/>
              <w:rPr>
                <w:rFonts w:ascii="Calibri" w:eastAsia="Times New Roman" w:hAnsi="Calibri" w:cs="Arial"/>
                <w:spacing w:val="-2"/>
                <w:sz w:val="18"/>
                <w:szCs w:val="18"/>
              </w:rPr>
            </w:pPr>
            <w:r w:rsidRPr="00532810">
              <w:rPr>
                <w:rFonts w:ascii="Calibri" w:eastAsia="Times New Roman" w:hAnsi="Calibri" w:cs="Times New Roman"/>
                <w:color w:val="000000"/>
                <w:sz w:val="18"/>
                <w:szCs w:val="18"/>
                <w:lang w:val="en-GB"/>
              </w:rPr>
              <w:t xml:space="preserve">502 </w:t>
            </w:r>
          </w:p>
        </w:tc>
      </w:tr>
      <w:tr w:rsidR="008B2A4B" w:rsidRPr="00532810" w14:paraId="57180CF0" w14:textId="77777777" w:rsidTr="00312975">
        <w:trPr>
          <w:trHeight w:val="106"/>
        </w:trPr>
        <w:tc>
          <w:tcPr>
            <w:tcW w:w="2476" w:type="pct"/>
          </w:tcPr>
          <w:p w14:paraId="5B00B0FA" w14:textId="77777777" w:rsidR="008B2A4B" w:rsidRPr="00532810" w:rsidRDefault="008B2A4B" w:rsidP="008B2A4B">
            <w:pPr>
              <w:tabs>
                <w:tab w:val="right" w:pos="1202"/>
              </w:tabs>
              <w:spacing w:after="0" w:line="260" w:lineRule="exact"/>
              <w:outlineLvl w:val="0"/>
              <w:rPr>
                <w:rFonts w:ascii="Calibri" w:eastAsia="Times New Roman" w:hAnsi="Calibri" w:cs="Arial"/>
                <w:b/>
                <w:i/>
                <w:spacing w:val="-2"/>
                <w:sz w:val="18"/>
                <w:szCs w:val="18"/>
              </w:rPr>
            </w:pPr>
            <w:r w:rsidRPr="00532810">
              <w:rPr>
                <w:rFonts w:ascii="Calibri" w:eastAsia="Times New Roman" w:hAnsi="Calibri" w:cs="Times New Roman"/>
                <w:sz w:val="18"/>
                <w:szCs w:val="18"/>
              </w:rPr>
              <w:t xml:space="preserve">Obračunata kamata </w:t>
            </w:r>
          </w:p>
        </w:tc>
        <w:tc>
          <w:tcPr>
            <w:tcW w:w="632" w:type="pct"/>
            <w:tcBorders>
              <w:top w:val="nil"/>
              <w:left w:val="nil"/>
              <w:bottom w:val="nil"/>
              <w:right w:val="nil"/>
            </w:tcBorders>
            <w:shd w:val="clear" w:color="auto" w:fill="auto"/>
            <w:vAlign w:val="bottom"/>
          </w:tcPr>
          <w:p w14:paraId="44925C88" w14:textId="3EF88CF1" w:rsidR="008B2A4B" w:rsidRPr="000E5941" w:rsidDel="00561A80" w:rsidRDefault="008B2A4B" w:rsidP="008B2A4B">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131</w:t>
            </w:r>
          </w:p>
        </w:tc>
        <w:tc>
          <w:tcPr>
            <w:tcW w:w="632" w:type="pct"/>
            <w:tcBorders>
              <w:top w:val="nil"/>
              <w:left w:val="nil"/>
              <w:right w:val="nil"/>
            </w:tcBorders>
            <w:shd w:val="clear" w:color="auto" w:fill="auto"/>
            <w:vAlign w:val="bottom"/>
          </w:tcPr>
          <w:p w14:paraId="3DF4B4F5" w14:textId="2DA8BA76" w:rsidR="008B2A4B" w:rsidRPr="00532810" w:rsidDel="00561A80" w:rsidRDefault="008B2A4B" w:rsidP="008B2A4B">
            <w:pPr>
              <w:tabs>
                <w:tab w:val="right" w:pos="1202"/>
              </w:tabs>
              <w:spacing w:after="0" w:line="260" w:lineRule="exact"/>
              <w:jc w:val="right"/>
              <w:outlineLvl w:val="0"/>
              <w:rPr>
                <w:rFonts w:ascii="Calibri" w:eastAsia="Times New Roman" w:hAnsi="Calibri" w:cs="Arial"/>
                <w:spacing w:val="-2"/>
                <w:sz w:val="18"/>
                <w:szCs w:val="18"/>
              </w:rPr>
            </w:pPr>
            <w:r w:rsidRPr="00532810">
              <w:rPr>
                <w:rFonts w:ascii="Calibri" w:eastAsia="Times New Roman" w:hAnsi="Calibri" w:cs="Times New Roman"/>
                <w:color w:val="000000"/>
                <w:sz w:val="18"/>
                <w:szCs w:val="18"/>
                <w:lang w:val="en-GB"/>
              </w:rPr>
              <w:t>99</w:t>
            </w:r>
          </w:p>
        </w:tc>
        <w:tc>
          <w:tcPr>
            <w:tcW w:w="631" w:type="pct"/>
            <w:tcBorders>
              <w:top w:val="nil"/>
              <w:left w:val="nil"/>
              <w:right w:val="nil"/>
            </w:tcBorders>
            <w:shd w:val="clear" w:color="auto" w:fill="auto"/>
            <w:vAlign w:val="bottom"/>
          </w:tcPr>
          <w:p w14:paraId="6FCEF5E4" w14:textId="6043C23B" w:rsidR="008B2A4B" w:rsidRPr="00532810" w:rsidDel="00561A80" w:rsidRDefault="008B2A4B" w:rsidP="008B2A4B">
            <w:pPr>
              <w:tabs>
                <w:tab w:val="right" w:pos="1202"/>
              </w:tabs>
              <w:spacing w:after="0" w:line="26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 xml:space="preserve"> 131 </w:t>
            </w:r>
          </w:p>
        </w:tc>
        <w:tc>
          <w:tcPr>
            <w:tcW w:w="629" w:type="pct"/>
            <w:tcBorders>
              <w:top w:val="nil"/>
              <w:left w:val="nil"/>
              <w:right w:val="nil"/>
            </w:tcBorders>
            <w:shd w:val="clear" w:color="auto" w:fill="auto"/>
            <w:vAlign w:val="bottom"/>
          </w:tcPr>
          <w:p w14:paraId="71BC1254" w14:textId="3ACCB7C3" w:rsidR="008B2A4B" w:rsidRPr="00532810" w:rsidDel="00561A80" w:rsidRDefault="008B2A4B" w:rsidP="008B2A4B">
            <w:pPr>
              <w:tabs>
                <w:tab w:val="right" w:pos="1202"/>
              </w:tabs>
              <w:spacing w:after="0" w:line="260" w:lineRule="exact"/>
              <w:jc w:val="right"/>
              <w:outlineLvl w:val="0"/>
              <w:rPr>
                <w:rFonts w:ascii="Calibri" w:eastAsia="Times New Roman" w:hAnsi="Calibri" w:cs="Arial"/>
                <w:spacing w:val="-2"/>
                <w:sz w:val="18"/>
                <w:szCs w:val="18"/>
              </w:rPr>
            </w:pPr>
            <w:r w:rsidRPr="00532810">
              <w:rPr>
                <w:rFonts w:ascii="Calibri" w:eastAsia="Times New Roman" w:hAnsi="Calibri" w:cs="Times New Roman"/>
                <w:color w:val="000000"/>
                <w:sz w:val="18"/>
                <w:szCs w:val="18"/>
                <w:lang w:val="en-GB"/>
              </w:rPr>
              <w:t xml:space="preserve">99 </w:t>
            </w:r>
          </w:p>
        </w:tc>
      </w:tr>
      <w:tr w:rsidR="00D419E2" w:rsidRPr="00532810" w14:paraId="033E2B22" w14:textId="77777777" w:rsidTr="00312975">
        <w:trPr>
          <w:trHeight w:val="136"/>
        </w:trPr>
        <w:tc>
          <w:tcPr>
            <w:tcW w:w="2476" w:type="pct"/>
          </w:tcPr>
          <w:p w14:paraId="5B608940" w14:textId="77777777" w:rsidR="00D419E2" w:rsidRPr="00532810" w:rsidRDefault="00D419E2" w:rsidP="00D419E2">
            <w:pPr>
              <w:tabs>
                <w:tab w:val="right" w:pos="1202"/>
              </w:tabs>
              <w:spacing w:after="0" w:line="260" w:lineRule="exact"/>
              <w:outlineLvl w:val="0"/>
              <w:rPr>
                <w:rFonts w:ascii="Calibri" w:eastAsia="Times New Roman" w:hAnsi="Calibri" w:cs="Times New Roman"/>
                <w:sz w:val="18"/>
                <w:szCs w:val="18"/>
              </w:rPr>
            </w:pPr>
          </w:p>
        </w:tc>
        <w:tc>
          <w:tcPr>
            <w:tcW w:w="632" w:type="pct"/>
            <w:tcBorders>
              <w:top w:val="single" w:sz="4" w:space="0" w:color="auto"/>
              <w:bottom w:val="single" w:sz="4" w:space="0" w:color="auto"/>
            </w:tcBorders>
          </w:tcPr>
          <w:p w14:paraId="217E46E0" w14:textId="227F329E" w:rsidR="00D419E2" w:rsidRPr="00532810" w:rsidDel="00561A80" w:rsidRDefault="008B2A4B" w:rsidP="00D419E2">
            <w:pPr>
              <w:tabs>
                <w:tab w:val="right" w:pos="1202"/>
              </w:tabs>
              <w:spacing w:after="0" w:line="260" w:lineRule="exact"/>
              <w:jc w:val="right"/>
              <w:outlineLvl w:val="0"/>
              <w:rPr>
                <w:rFonts w:ascii="Calibri" w:eastAsia="Times New Roman" w:hAnsi="Calibri" w:cs="Arial"/>
                <w:b/>
                <w:spacing w:val="-2"/>
                <w:sz w:val="18"/>
                <w:szCs w:val="18"/>
              </w:rPr>
            </w:pPr>
            <w:r>
              <w:rPr>
                <w:rFonts w:ascii="Calibri" w:eastAsia="Times New Roman" w:hAnsi="Calibri" w:cs="Arial"/>
                <w:b/>
                <w:spacing w:val="-2"/>
                <w:sz w:val="18"/>
                <w:szCs w:val="18"/>
              </w:rPr>
              <w:t>627</w:t>
            </w:r>
          </w:p>
        </w:tc>
        <w:tc>
          <w:tcPr>
            <w:tcW w:w="632" w:type="pct"/>
            <w:tcBorders>
              <w:top w:val="single" w:sz="4" w:space="0" w:color="auto"/>
              <w:bottom w:val="single" w:sz="4" w:space="0" w:color="auto"/>
            </w:tcBorders>
          </w:tcPr>
          <w:p w14:paraId="0471C510" w14:textId="6570E42D" w:rsidR="00D419E2" w:rsidRPr="00532810" w:rsidDel="00561A80" w:rsidRDefault="00D419E2" w:rsidP="00D419E2">
            <w:pPr>
              <w:tabs>
                <w:tab w:val="right" w:pos="1202"/>
              </w:tabs>
              <w:spacing w:after="0" w:line="260" w:lineRule="exact"/>
              <w:jc w:val="right"/>
              <w:outlineLvl w:val="0"/>
              <w:rPr>
                <w:rFonts w:ascii="Calibri" w:eastAsia="Times New Roman" w:hAnsi="Calibri" w:cs="Arial"/>
                <w:b/>
                <w:spacing w:val="-2"/>
                <w:sz w:val="18"/>
                <w:szCs w:val="18"/>
              </w:rPr>
            </w:pPr>
            <w:r w:rsidRPr="00532810">
              <w:rPr>
                <w:rFonts w:ascii="Calibri" w:eastAsia="Times New Roman" w:hAnsi="Calibri" w:cs="Arial"/>
                <w:b/>
                <w:spacing w:val="-2"/>
                <w:sz w:val="18"/>
                <w:szCs w:val="18"/>
              </w:rPr>
              <w:t>601</w:t>
            </w:r>
          </w:p>
        </w:tc>
        <w:tc>
          <w:tcPr>
            <w:tcW w:w="631" w:type="pct"/>
            <w:tcBorders>
              <w:top w:val="single" w:sz="4" w:space="0" w:color="auto"/>
              <w:bottom w:val="single" w:sz="4" w:space="0" w:color="auto"/>
            </w:tcBorders>
          </w:tcPr>
          <w:p w14:paraId="1BA1A772" w14:textId="04C5A16E" w:rsidR="00D419E2" w:rsidRPr="00532810" w:rsidDel="00561A80" w:rsidRDefault="008B2A4B" w:rsidP="00D419E2">
            <w:pPr>
              <w:tabs>
                <w:tab w:val="right" w:pos="1202"/>
              </w:tabs>
              <w:spacing w:after="0" w:line="260" w:lineRule="exact"/>
              <w:jc w:val="right"/>
              <w:outlineLvl w:val="0"/>
              <w:rPr>
                <w:rFonts w:ascii="Calibri" w:eastAsia="Times New Roman" w:hAnsi="Calibri" w:cs="Arial"/>
                <w:b/>
                <w:spacing w:val="-2"/>
                <w:sz w:val="18"/>
                <w:szCs w:val="18"/>
              </w:rPr>
            </w:pPr>
            <w:r>
              <w:rPr>
                <w:rFonts w:ascii="Calibri" w:eastAsia="Times New Roman" w:hAnsi="Calibri" w:cs="Arial"/>
                <w:b/>
                <w:spacing w:val="-2"/>
                <w:sz w:val="18"/>
                <w:szCs w:val="18"/>
              </w:rPr>
              <w:t>627</w:t>
            </w:r>
          </w:p>
        </w:tc>
        <w:tc>
          <w:tcPr>
            <w:tcW w:w="629" w:type="pct"/>
            <w:tcBorders>
              <w:top w:val="single" w:sz="4" w:space="0" w:color="auto"/>
              <w:bottom w:val="single" w:sz="4" w:space="0" w:color="auto"/>
            </w:tcBorders>
          </w:tcPr>
          <w:p w14:paraId="23A16F79" w14:textId="0A2F987B" w:rsidR="00D419E2" w:rsidRPr="00532810" w:rsidDel="00561A80" w:rsidRDefault="00D419E2" w:rsidP="00D419E2">
            <w:pPr>
              <w:tabs>
                <w:tab w:val="right" w:pos="1202"/>
              </w:tabs>
              <w:spacing w:after="0" w:line="260" w:lineRule="exact"/>
              <w:jc w:val="right"/>
              <w:outlineLvl w:val="0"/>
              <w:rPr>
                <w:rFonts w:ascii="Calibri" w:eastAsia="Times New Roman" w:hAnsi="Calibri" w:cs="Arial"/>
                <w:b/>
                <w:spacing w:val="-2"/>
                <w:sz w:val="18"/>
                <w:szCs w:val="18"/>
              </w:rPr>
            </w:pPr>
            <w:r w:rsidRPr="00532810">
              <w:rPr>
                <w:rFonts w:ascii="Calibri" w:eastAsia="Times New Roman" w:hAnsi="Calibri" w:cs="Arial"/>
                <w:b/>
                <w:spacing w:val="-2"/>
                <w:sz w:val="18"/>
                <w:szCs w:val="18"/>
              </w:rPr>
              <w:t>601</w:t>
            </w:r>
          </w:p>
        </w:tc>
      </w:tr>
      <w:tr w:rsidR="00D419E2" w:rsidRPr="00532810" w14:paraId="39F76607" w14:textId="77777777" w:rsidTr="00312975">
        <w:trPr>
          <w:trHeight w:hRule="exact" w:val="138"/>
        </w:trPr>
        <w:tc>
          <w:tcPr>
            <w:tcW w:w="2476" w:type="pct"/>
            <w:vAlign w:val="bottom"/>
          </w:tcPr>
          <w:p w14:paraId="03097758" w14:textId="77777777" w:rsidR="00D419E2" w:rsidRPr="00532810" w:rsidRDefault="00D419E2" w:rsidP="00D419E2">
            <w:pPr>
              <w:tabs>
                <w:tab w:val="right" w:pos="1202"/>
              </w:tabs>
              <w:spacing w:after="0" w:line="260" w:lineRule="exact"/>
              <w:jc w:val="right"/>
              <w:outlineLvl w:val="0"/>
              <w:rPr>
                <w:rFonts w:ascii="Calibri" w:eastAsia="Times New Roman" w:hAnsi="Calibri" w:cs="Times New Roman"/>
                <w:sz w:val="18"/>
                <w:szCs w:val="18"/>
              </w:rPr>
            </w:pPr>
          </w:p>
        </w:tc>
        <w:tc>
          <w:tcPr>
            <w:tcW w:w="632" w:type="pct"/>
            <w:tcBorders>
              <w:top w:val="single" w:sz="4" w:space="0" w:color="auto"/>
            </w:tcBorders>
          </w:tcPr>
          <w:p w14:paraId="1D342318" w14:textId="708C75CD" w:rsidR="00D419E2" w:rsidRPr="00532810" w:rsidRDefault="00D419E2" w:rsidP="00D419E2">
            <w:pPr>
              <w:keepNext/>
              <w:keepLines/>
              <w:tabs>
                <w:tab w:val="decimal" w:pos="1202"/>
              </w:tabs>
              <w:spacing w:after="0" w:line="140" w:lineRule="exact"/>
              <w:jc w:val="right"/>
              <w:rPr>
                <w:rFonts w:ascii="Calibri" w:eastAsia="Times New Roman" w:hAnsi="Calibri" w:cs="Arial"/>
                <w:position w:val="4"/>
                <w:sz w:val="18"/>
                <w:szCs w:val="18"/>
              </w:rPr>
            </w:pPr>
          </w:p>
        </w:tc>
        <w:tc>
          <w:tcPr>
            <w:tcW w:w="632" w:type="pct"/>
            <w:tcBorders>
              <w:top w:val="single" w:sz="4" w:space="0" w:color="auto"/>
            </w:tcBorders>
          </w:tcPr>
          <w:p w14:paraId="74331C10" w14:textId="4A5D11AD" w:rsidR="00D419E2" w:rsidRPr="00532810" w:rsidRDefault="00D419E2" w:rsidP="00D419E2">
            <w:pPr>
              <w:keepNext/>
              <w:keepLines/>
              <w:tabs>
                <w:tab w:val="decimal" w:pos="1202"/>
              </w:tabs>
              <w:spacing w:after="0" w:line="140" w:lineRule="exact"/>
              <w:jc w:val="right"/>
              <w:rPr>
                <w:rFonts w:ascii="Calibri" w:eastAsia="Times New Roman" w:hAnsi="Calibri" w:cs="Arial"/>
                <w:position w:val="4"/>
                <w:sz w:val="18"/>
                <w:szCs w:val="18"/>
              </w:rPr>
            </w:pPr>
          </w:p>
        </w:tc>
        <w:tc>
          <w:tcPr>
            <w:tcW w:w="631" w:type="pct"/>
            <w:tcBorders>
              <w:top w:val="single" w:sz="4" w:space="0" w:color="auto"/>
            </w:tcBorders>
          </w:tcPr>
          <w:p w14:paraId="67C88DE4" w14:textId="4EAB6475" w:rsidR="00D419E2" w:rsidRPr="00532810" w:rsidRDefault="00D419E2" w:rsidP="00D419E2">
            <w:pPr>
              <w:keepNext/>
              <w:keepLines/>
              <w:tabs>
                <w:tab w:val="decimal" w:pos="1202"/>
              </w:tabs>
              <w:spacing w:after="0" w:line="140" w:lineRule="exact"/>
              <w:jc w:val="right"/>
              <w:rPr>
                <w:rFonts w:ascii="Calibri" w:eastAsia="Times New Roman" w:hAnsi="Calibri" w:cs="Arial"/>
                <w:position w:val="4"/>
                <w:sz w:val="18"/>
                <w:szCs w:val="18"/>
              </w:rPr>
            </w:pPr>
          </w:p>
        </w:tc>
        <w:tc>
          <w:tcPr>
            <w:tcW w:w="629" w:type="pct"/>
            <w:tcBorders>
              <w:top w:val="single" w:sz="4" w:space="0" w:color="auto"/>
            </w:tcBorders>
          </w:tcPr>
          <w:p w14:paraId="13F85C3E" w14:textId="500AD368" w:rsidR="00D419E2" w:rsidRPr="00532810" w:rsidRDefault="00D419E2" w:rsidP="00D419E2">
            <w:pPr>
              <w:keepNext/>
              <w:keepLines/>
              <w:tabs>
                <w:tab w:val="decimal" w:pos="1202"/>
              </w:tabs>
              <w:spacing w:after="0" w:line="140" w:lineRule="exact"/>
              <w:jc w:val="right"/>
              <w:rPr>
                <w:rFonts w:ascii="Calibri" w:eastAsia="Times New Roman" w:hAnsi="Calibri" w:cs="Arial"/>
                <w:position w:val="4"/>
                <w:sz w:val="18"/>
                <w:szCs w:val="18"/>
              </w:rPr>
            </w:pPr>
          </w:p>
        </w:tc>
      </w:tr>
      <w:tr w:rsidR="00D419E2" w:rsidRPr="00532810" w14:paraId="71D659CC" w14:textId="77777777" w:rsidTr="00312975">
        <w:trPr>
          <w:trHeight w:hRule="exact" w:val="235"/>
        </w:trPr>
        <w:tc>
          <w:tcPr>
            <w:tcW w:w="2476" w:type="pct"/>
            <w:tcBorders>
              <w:top w:val="nil"/>
              <w:left w:val="nil"/>
              <w:bottom w:val="nil"/>
              <w:right w:val="nil"/>
            </w:tcBorders>
            <w:shd w:val="clear" w:color="auto" w:fill="auto"/>
            <w:vAlign w:val="center"/>
          </w:tcPr>
          <w:p w14:paraId="6311FA86" w14:textId="77777777" w:rsidR="00D419E2" w:rsidRPr="00532810" w:rsidRDefault="00D419E2" w:rsidP="00D419E2">
            <w:pPr>
              <w:tabs>
                <w:tab w:val="right" w:pos="1202"/>
              </w:tabs>
              <w:spacing w:after="0" w:line="260" w:lineRule="exact"/>
              <w:outlineLvl w:val="0"/>
              <w:rPr>
                <w:rFonts w:ascii="Calibri" w:eastAsia="Times New Roman" w:hAnsi="Calibri" w:cs="Times New Roman"/>
                <w:sz w:val="18"/>
                <w:szCs w:val="18"/>
              </w:rPr>
            </w:pPr>
            <w:proofErr w:type="spellStart"/>
            <w:r w:rsidRPr="00532810">
              <w:rPr>
                <w:rFonts w:ascii="Calibri" w:eastAsia="Times New Roman" w:hAnsi="Calibri" w:cs="Times New Roman"/>
                <w:b/>
                <w:bCs/>
                <w:i/>
                <w:iCs/>
                <w:color w:val="000000"/>
                <w:sz w:val="18"/>
                <w:szCs w:val="18"/>
                <w:lang w:val="en-GB"/>
              </w:rPr>
              <w:t>Vlasnički</w:t>
            </w:r>
            <w:proofErr w:type="spellEnd"/>
            <w:r w:rsidRPr="00532810">
              <w:rPr>
                <w:rFonts w:ascii="Calibri" w:eastAsia="Times New Roman" w:hAnsi="Calibri" w:cs="Times New Roman"/>
                <w:b/>
                <w:bCs/>
                <w:i/>
                <w:iCs/>
                <w:color w:val="000000"/>
                <w:sz w:val="18"/>
                <w:szCs w:val="18"/>
                <w:lang w:val="en-GB"/>
              </w:rPr>
              <w:t xml:space="preserve"> </w:t>
            </w:r>
            <w:proofErr w:type="spellStart"/>
            <w:r w:rsidRPr="00532810">
              <w:rPr>
                <w:rFonts w:ascii="Calibri" w:eastAsia="Times New Roman" w:hAnsi="Calibri" w:cs="Times New Roman"/>
                <w:b/>
                <w:bCs/>
                <w:i/>
                <w:iCs/>
                <w:color w:val="000000"/>
                <w:sz w:val="18"/>
                <w:szCs w:val="18"/>
                <w:lang w:val="en-GB"/>
              </w:rPr>
              <w:t>vrijednosni</w:t>
            </w:r>
            <w:proofErr w:type="spellEnd"/>
            <w:r w:rsidRPr="00532810">
              <w:rPr>
                <w:rFonts w:ascii="Calibri" w:eastAsia="Times New Roman" w:hAnsi="Calibri" w:cs="Times New Roman"/>
                <w:b/>
                <w:bCs/>
                <w:i/>
                <w:iCs/>
                <w:color w:val="000000"/>
                <w:sz w:val="18"/>
                <w:szCs w:val="18"/>
                <w:lang w:val="en-GB"/>
              </w:rPr>
              <w:t xml:space="preserve"> </w:t>
            </w:r>
            <w:proofErr w:type="spellStart"/>
            <w:r w:rsidRPr="00532810">
              <w:rPr>
                <w:rFonts w:ascii="Calibri" w:eastAsia="Times New Roman" w:hAnsi="Calibri" w:cs="Times New Roman"/>
                <w:b/>
                <w:bCs/>
                <w:i/>
                <w:iCs/>
                <w:color w:val="000000"/>
                <w:sz w:val="18"/>
                <w:szCs w:val="18"/>
                <w:lang w:val="en-GB"/>
              </w:rPr>
              <w:t>papiri</w:t>
            </w:r>
            <w:proofErr w:type="spellEnd"/>
            <w:r w:rsidRPr="00532810">
              <w:rPr>
                <w:rFonts w:ascii="Calibri" w:eastAsia="Times New Roman" w:hAnsi="Calibri" w:cs="Times New Roman"/>
                <w:b/>
                <w:bCs/>
                <w:i/>
                <w:iCs/>
                <w:color w:val="000000"/>
                <w:sz w:val="18"/>
                <w:szCs w:val="18"/>
                <w:lang w:val="en-GB"/>
              </w:rPr>
              <w:t>:</w:t>
            </w:r>
          </w:p>
        </w:tc>
        <w:tc>
          <w:tcPr>
            <w:tcW w:w="632" w:type="pct"/>
          </w:tcPr>
          <w:p w14:paraId="43C4DAAB" w14:textId="77777777" w:rsidR="00D419E2" w:rsidRPr="00532810" w:rsidRDefault="00D419E2" w:rsidP="00D419E2">
            <w:pPr>
              <w:keepNext/>
              <w:keepLines/>
              <w:tabs>
                <w:tab w:val="decimal" w:pos="1202"/>
              </w:tabs>
              <w:spacing w:after="0" w:line="140" w:lineRule="exact"/>
              <w:jc w:val="right"/>
              <w:rPr>
                <w:rFonts w:ascii="Calibri" w:eastAsia="Times New Roman" w:hAnsi="Calibri" w:cs="Arial"/>
                <w:position w:val="4"/>
                <w:sz w:val="18"/>
                <w:szCs w:val="18"/>
              </w:rPr>
            </w:pPr>
          </w:p>
        </w:tc>
        <w:tc>
          <w:tcPr>
            <w:tcW w:w="632" w:type="pct"/>
          </w:tcPr>
          <w:p w14:paraId="7205B2DA" w14:textId="77777777" w:rsidR="00D419E2" w:rsidRPr="00532810" w:rsidRDefault="00D419E2" w:rsidP="00D419E2">
            <w:pPr>
              <w:keepNext/>
              <w:keepLines/>
              <w:tabs>
                <w:tab w:val="decimal" w:pos="1202"/>
              </w:tabs>
              <w:spacing w:after="0" w:line="140" w:lineRule="exact"/>
              <w:jc w:val="right"/>
              <w:rPr>
                <w:rFonts w:ascii="Calibri" w:eastAsia="Times New Roman" w:hAnsi="Calibri" w:cs="Arial"/>
                <w:position w:val="4"/>
                <w:sz w:val="18"/>
                <w:szCs w:val="18"/>
              </w:rPr>
            </w:pPr>
          </w:p>
        </w:tc>
        <w:tc>
          <w:tcPr>
            <w:tcW w:w="631" w:type="pct"/>
          </w:tcPr>
          <w:p w14:paraId="5FAB4224" w14:textId="77777777" w:rsidR="00D419E2" w:rsidRPr="00532810" w:rsidRDefault="00D419E2" w:rsidP="00D419E2">
            <w:pPr>
              <w:keepNext/>
              <w:keepLines/>
              <w:tabs>
                <w:tab w:val="decimal" w:pos="1202"/>
              </w:tabs>
              <w:spacing w:after="0" w:line="140" w:lineRule="exact"/>
              <w:jc w:val="right"/>
              <w:rPr>
                <w:rFonts w:ascii="Calibri" w:eastAsia="Times New Roman" w:hAnsi="Calibri" w:cs="Arial"/>
                <w:position w:val="4"/>
                <w:sz w:val="18"/>
                <w:szCs w:val="18"/>
              </w:rPr>
            </w:pPr>
          </w:p>
        </w:tc>
        <w:tc>
          <w:tcPr>
            <w:tcW w:w="629" w:type="pct"/>
          </w:tcPr>
          <w:p w14:paraId="48153D1D" w14:textId="77777777" w:rsidR="00D419E2" w:rsidRPr="00532810" w:rsidRDefault="00D419E2" w:rsidP="00D419E2">
            <w:pPr>
              <w:keepNext/>
              <w:keepLines/>
              <w:tabs>
                <w:tab w:val="decimal" w:pos="1202"/>
              </w:tabs>
              <w:spacing w:after="0" w:line="140" w:lineRule="exact"/>
              <w:jc w:val="right"/>
              <w:rPr>
                <w:rFonts w:ascii="Calibri" w:eastAsia="Times New Roman" w:hAnsi="Calibri" w:cs="Arial"/>
                <w:position w:val="4"/>
                <w:sz w:val="18"/>
                <w:szCs w:val="18"/>
              </w:rPr>
            </w:pPr>
          </w:p>
        </w:tc>
      </w:tr>
      <w:tr w:rsidR="00D419E2" w:rsidRPr="00532810" w14:paraId="5ACD08BF" w14:textId="77777777" w:rsidTr="00312975">
        <w:trPr>
          <w:trHeight w:hRule="exact" w:val="238"/>
        </w:trPr>
        <w:tc>
          <w:tcPr>
            <w:tcW w:w="2476" w:type="pct"/>
            <w:tcBorders>
              <w:top w:val="nil"/>
              <w:left w:val="nil"/>
              <w:bottom w:val="nil"/>
              <w:right w:val="nil"/>
            </w:tcBorders>
            <w:shd w:val="clear" w:color="auto" w:fill="auto"/>
            <w:vAlign w:val="center"/>
          </w:tcPr>
          <w:p w14:paraId="473FE643" w14:textId="77777777" w:rsidR="00D419E2" w:rsidRPr="00532810" w:rsidRDefault="00D419E2" w:rsidP="00D419E2">
            <w:pPr>
              <w:tabs>
                <w:tab w:val="right" w:pos="1202"/>
              </w:tabs>
              <w:spacing w:after="0" w:line="260" w:lineRule="exact"/>
              <w:outlineLvl w:val="0"/>
              <w:rPr>
                <w:rFonts w:ascii="Calibri" w:eastAsia="Times New Roman" w:hAnsi="Calibri" w:cs="Times New Roman"/>
                <w:sz w:val="18"/>
                <w:szCs w:val="18"/>
              </w:rPr>
            </w:pPr>
            <w:r w:rsidRPr="000141E9">
              <w:rPr>
                <w:rFonts w:ascii="Calibri" w:eastAsia="Times New Roman" w:hAnsi="Calibri" w:cs="Times New Roman"/>
                <w:b/>
                <w:bCs/>
                <w:sz w:val="18"/>
                <w:szCs w:val="18"/>
              </w:rPr>
              <w:t>Vlasnički vrijednosni papiri koji kotiraju:</w:t>
            </w:r>
          </w:p>
        </w:tc>
        <w:tc>
          <w:tcPr>
            <w:tcW w:w="632" w:type="pct"/>
          </w:tcPr>
          <w:p w14:paraId="79717B9E" w14:textId="77777777" w:rsidR="00D419E2" w:rsidRPr="00532810" w:rsidRDefault="00D419E2" w:rsidP="00D419E2">
            <w:pPr>
              <w:keepNext/>
              <w:keepLines/>
              <w:tabs>
                <w:tab w:val="decimal" w:pos="1202"/>
              </w:tabs>
              <w:spacing w:after="0" w:line="140" w:lineRule="exact"/>
              <w:jc w:val="right"/>
              <w:rPr>
                <w:rFonts w:ascii="Calibri" w:eastAsia="Times New Roman" w:hAnsi="Calibri" w:cs="Arial"/>
                <w:position w:val="4"/>
                <w:sz w:val="18"/>
                <w:szCs w:val="18"/>
              </w:rPr>
            </w:pPr>
          </w:p>
        </w:tc>
        <w:tc>
          <w:tcPr>
            <w:tcW w:w="632" w:type="pct"/>
          </w:tcPr>
          <w:p w14:paraId="11A05017" w14:textId="77777777" w:rsidR="00D419E2" w:rsidRPr="00532810" w:rsidRDefault="00D419E2" w:rsidP="00D419E2">
            <w:pPr>
              <w:keepNext/>
              <w:keepLines/>
              <w:tabs>
                <w:tab w:val="decimal" w:pos="1202"/>
              </w:tabs>
              <w:spacing w:after="0" w:line="140" w:lineRule="exact"/>
              <w:jc w:val="right"/>
              <w:rPr>
                <w:rFonts w:ascii="Calibri" w:eastAsia="Times New Roman" w:hAnsi="Calibri" w:cs="Arial"/>
                <w:position w:val="4"/>
                <w:sz w:val="18"/>
                <w:szCs w:val="18"/>
              </w:rPr>
            </w:pPr>
          </w:p>
        </w:tc>
        <w:tc>
          <w:tcPr>
            <w:tcW w:w="631" w:type="pct"/>
          </w:tcPr>
          <w:p w14:paraId="4E2D4737" w14:textId="77777777" w:rsidR="00D419E2" w:rsidRPr="00532810" w:rsidRDefault="00D419E2" w:rsidP="00D419E2">
            <w:pPr>
              <w:keepNext/>
              <w:keepLines/>
              <w:tabs>
                <w:tab w:val="decimal" w:pos="1202"/>
              </w:tabs>
              <w:spacing w:after="0" w:line="140" w:lineRule="exact"/>
              <w:jc w:val="right"/>
              <w:rPr>
                <w:rFonts w:ascii="Calibri" w:eastAsia="Times New Roman" w:hAnsi="Calibri" w:cs="Arial"/>
                <w:position w:val="4"/>
                <w:sz w:val="18"/>
                <w:szCs w:val="18"/>
              </w:rPr>
            </w:pPr>
          </w:p>
        </w:tc>
        <w:tc>
          <w:tcPr>
            <w:tcW w:w="629" w:type="pct"/>
          </w:tcPr>
          <w:p w14:paraId="3A11E00C" w14:textId="77777777" w:rsidR="00D419E2" w:rsidRPr="00532810" w:rsidRDefault="00D419E2" w:rsidP="00D419E2">
            <w:pPr>
              <w:keepNext/>
              <w:keepLines/>
              <w:tabs>
                <w:tab w:val="decimal" w:pos="1202"/>
              </w:tabs>
              <w:spacing w:after="0" w:line="140" w:lineRule="exact"/>
              <w:jc w:val="right"/>
              <w:rPr>
                <w:rFonts w:ascii="Calibri" w:eastAsia="Times New Roman" w:hAnsi="Calibri" w:cs="Arial"/>
                <w:position w:val="4"/>
                <w:sz w:val="18"/>
                <w:szCs w:val="18"/>
              </w:rPr>
            </w:pPr>
          </w:p>
        </w:tc>
      </w:tr>
      <w:tr w:rsidR="00D419E2" w:rsidRPr="00532810" w14:paraId="5422987A" w14:textId="77777777" w:rsidTr="00312975">
        <w:trPr>
          <w:trHeight w:hRule="exact" w:val="242"/>
        </w:trPr>
        <w:tc>
          <w:tcPr>
            <w:tcW w:w="2476" w:type="pct"/>
            <w:tcBorders>
              <w:top w:val="nil"/>
              <w:left w:val="nil"/>
              <w:bottom w:val="nil"/>
              <w:right w:val="nil"/>
            </w:tcBorders>
            <w:shd w:val="clear" w:color="auto" w:fill="auto"/>
            <w:vAlign w:val="center"/>
          </w:tcPr>
          <w:p w14:paraId="06D55FCE" w14:textId="77777777" w:rsidR="00D419E2" w:rsidRPr="00532810" w:rsidRDefault="00D419E2" w:rsidP="00D419E2">
            <w:pPr>
              <w:tabs>
                <w:tab w:val="right" w:pos="1202"/>
              </w:tabs>
              <w:spacing w:after="0" w:line="260" w:lineRule="exact"/>
              <w:outlineLvl w:val="0"/>
              <w:rPr>
                <w:rFonts w:ascii="Calibri" w:eastAsia="Times New Roman" w:hAnsi="Calibri" w:cs="Times New Roman"/>
                <w:sz w:val="18"/>
                <w:szCs w:val="18"/>
              </w:rPr>
            </w:pPr>
            <w:proofErr w:type="spellStart"/>
            <w:r w:rsidRPr="00532810">
              <w:rPr>
                <w:rFonts w:ascii="Calibri" w:eastAsia="Times New Roman" w:hAnsi="Calibri" w:cs="Times New Roman"/>
                <w:sz w:val="18"/>
                <w:szCs w:val="18"/>
                <w:lang w:val="en-GB"/>
              </w:rPr>
              <w:t>Dionice</w:t>
            </w:r>
            <w:proofErr w:type="spellEnd"/>
            <w:r w:rsidRPr="00532810">
              <w:rPr>
                <w:rFonts w:ascii="Calibri" w:eastAsia="Times New Roman" w:hAnsi="Calibri" w:cs="Times New Roman"/>
                <w:sz w:val="18"/>
                <w:szCs w:val="18"/>
                <w:lang w:val="en-GB"/>
              </w:rPr>
              <w:t xml:space="preserve"> </w:t>
            </w:r>
            <w:proofErr w:type="spellStart"/>
            <w:r w:rsidRPr="00532810">
              <w:rPr>
                <w:rFonts w:ascii="Calibri" w:eastAsia="Times New Roman" w:hAnsi="Calibri" w:cs="Times New Roman"/>
                <w:sz w:val="18"/>
                <w:szCs w:val="18"/>
                <w:lang w:val="en-GB"/>
              </w:rPr>
              <w:t>trgovačkih</w:t>
            </w:r>
            <w:proofErr w:type="spellEnd"/>
            <w:r w:rsidRPr="00532810">
              <w:rPr>
                <w:rFonts w:ascii="Calibri" w:eastAsia="Times New Roman" w:hAnsi="Calibri" w:cs="Times New Roman"/>
                <w:sz w:val="18"/>
                <w:szCs w:val="18"/>
                <w:lang w:val="en-GB"/>
              </w:rPr>
              <w:t xml:space="preserve"> </w:t>
            </w:r>
            <w:proofErr w:type="spellStart"/>
            <w:r w:rsidRPr="00532810">
              <w:rPr>
                <w:rFonts w:ascii="Calibri" w:eastAsia="Times New Roman" w:hAnsi="Calibri" w:cs="Times New Roman"/>
                <w:sz w:val="18"/>
                <w:szCs w:val="18"/>
                <w:lang w:val="en-GB"/>
              </w:rPr>
              <w:t>društava</w:t>
            </w:r>
            <w:proofErr w:type="spellEnd"/>
          </w:p>
        </w:tc>
        <w:tc>
          <w:tcPr>
            <w:tcW w:w="632" w:type="pct"/>
            <w:tcBorders>
              <w:top w:val="nil"/>
              <w:left w:val="nil"/>
              <w:right w:val="nil"/>
            </w:tcBorders>
            <w:shd w:val="clear" w:color="auto" w:fill="auto"/>
            <w:vAlign w:val="center"/>
          </w:tcPr>
          <w:p w14:paraId="42C92233" w14:textId="2CCEBE1F" w:rsidR="00D419E2" w:rsidRPr="00532810" w:rsidRDefault="00FA25D0" w:rsidP="00D419E2">
            <w:pPr>
              <w:tabs>
                <w:tab w:val="right" w:pos="1202"/>
              </w:tabs>
              <w:spacing w:after="0" w:line="260" w:lineRule="exact"/>
              <w:jc w:val="right"/>
              <w:outlineLvl w:val="0"/>
              <w:rPr>
                <w:rFonts w:ascii="Calibri" w:eastAsia="Times New Roman" w:hAnsi="Calibri" w:cs="Arial"/>
                <w:spacing w:val="-2"/>
                <w:sz w:val="18"/>
                <w:szCs w:val="18"/>
              </w:rPr>
            </w:pPr>
            <w:r>
              <w:rPr>
                <w:rFonts w:ascii="Calibri" w:eastAsia="Times New Roman" w:hAnsi="Calibri" w:cs="Arial"/>
                <w:spacing w:val="-2"/>
                <w:sz w:val="18"/>
                <w:szCs w:val="18"/>
              </w:rPr>
              <w:t>10.938</w:t>
            </w:r>
          </w:p>
        </w:tc>
        <w:tc>
          <w:tcPr>
            <w:tcW w:w="632" w:type="pct"/>
            <w:tcBorders>
              <w:top w:val="nil"/>
              <w:left w:val="nil"/>
              <w:right w:val="nil"/>
            </w:tcBorders>
            <w:shd w:val="clear" w:color="auto" w:fill="auto"/>
            <w:vAlign w:val="center"/>
          </w:tcPr>
          <w:p w14:paraId="3931D97E" w14:textId="3A8632A0" w:rsidR="00D419E2" w:rsidRPr="00532810" w:rsidRDefault="00D419E2" w:rsidP="00D419E2">
            <w:pPr>
              <w:tabs>
                <w:tab w:val="right" w:pos="1202"/>
              </w:tabs>
              <w:spacing w:after="0" w:line="260" w:lineRule="exact"/>
              <w:jc w:val="right"/>
              <w:outlineLvl w:val="0"/>
              <w:rPr>
                <w:rFonts w:ascii="Calibri" w:eastAsia="Times New Roman" w:hAnsi="Calibri" w:cs="Arial"/>
                <w:spacing w:val="-2"/>
                <w:sz w:val="18"/>
                <w:szCs w:val="18"/>
              </w:rPr>
            </w:pPr>
            <w:r w:rsidRPr="00532810">
              <w:rPr>
                <w:rFonts w:ascii="Calibri" w:eastAsia="Times New Roman" w:hAnsi="Calibri" w:cs="Arial"/>
                <w:spacing w:val="-2"/>
                <w:sz w:val="18"/>
                <w:szCs w:val="18"/>
              </w:rPr>
              <w:t>10.938</w:t>
            </w:r>
          </w:p>
        </w:tc>
        <w:tc>
          <w:tcPr>
            <w:tcW w:w="631" w:type="pct"/>
            <w:tcBorders>
              <w:top w:val="nil"/>
              <w:left w:val="nil"/>
              <w:right w:val="nil"/>
            </w:tcBorders>
            <w:shd w:val="clear" w:color="auto" w:fill="auto"/>
            <w:vAlign w:val="center"/>
          </w:tcPr>
          <w:p w14:paraId="48717DE1" w14:textId="126077D7" w:rsidR="00D419E2" w:rsidRPr="00532810" w:rsidRDefault="00FA25D0" w:rsidP="00D419E2">
            <w:pPr>
              <w:tabs>
                <w:tab w:val="right" w:pos="1202"/>
              </w:tabs>
              <w:spacing w:after="0" w:line="260" w:lineRule="exact"/>
              <w:jc w:val="right"/>
              <w:outlineLvl w:val="0"/>
              <w:rPr>
                <w:rFonts w:ascii="Calibri" w:eastAsia="Times New Roman" w:hAnsi="Calibri" w:cs="Arial"/>
                <w:spacing w:val="-2"/>
                <w:sz w:val="18"/>
                <w:szCs w:val="18"/>
              </w:rPr>
            </w:pPr>
            <w:r>
              <w:rPr>
                <w:rFonts w:ascii="Calibri" w:eastAsia="Times New Roman" w:hAnsi="Calibri" w:cs="Arial"/>
                <w:spacing w:val="-2"/>
                <w:sz w:val="18"/>
                <w:szCs w:val="18"/>
              </w:rPr>
              <w:t>10.938</w:t>
            </w:r>
          </w:p>
        </w:tc>
        <w:tc>
          <w:tcPr>
            <w:tcW w:w="629" w:type="pct"/>
            <w:tcBorders>
              <w:top w:val="nil"/>
              <w:left w:val="nil"/>
              <w:right w:val="nil"/>
            </w:tcBorders>
            <w:shd w:val="clear" w:color="auto" w:fill="auto"/>
            <w:vAlign w:val="center"/>
          </w:tcPr>
          <w:p w14:paraId="44F7090A" w14:textId="356B31E2" w:rsidR="00D419E2" w:rsidRPr="00532810" w:rsidRDefault="00D419E2" w:rsidP="00D419E2">
            <w:pPr>
              <w:tabs>
                <w:tab w:val="right" w:pos="1202"/>
              </w:tabs>
              <w:spacing w:after="0" w:line="260" w:lineRule="exact"/>
              <w:jc w:val="right"/>
              <w:outlineLvl w:val="0"/>
              <w:rPr>
                <w:rFonts w:ascii="Calibri" w:eastAsia="Times New Roman" w:hAnsi="Calibri" w:cs="Arial"/>
                <w:spacing w:val="-2"/>
                <w:sz w:val="18"/>
                <w:szCs w:val="18"/>
              </w:rPr>
            </w:pPr>
            <w:r w:rsidRPr="00532810">
              <w:rPr>
                <w:rFonts w:ascii="Calibri" w:eastAsia="Times New Roman" w:hAnsi="Calibri" w:cs="Arial"/>
                <w:spacing w:val="-2"/>
                <w:sz w:val="18"/>
                <w:szCs w:val="18"/>
              </w:rPr>
              <w:t>10.938</w:t>
            </w:r>
          </w:p>
        </w:tc>
      </w:tr>
      <w:tr w:rsidR="00D419E2" w:rsidRPr="00532810" w14:paraId="641FF5BE" w14:textId="77777777" w:rsidTr="00312975">
        <w:trPr>
          <w:trHeight w:hRule="exact" w:val="265"/>
        </w:trPr>
        <w:tc>
          <w:tcPr>
            <w:tcW w:w="2476" w:type="pct"/>
            <w:tcBorders>
              <w:top w:val="nil"/>
              <w:left w:val="nil"/>
              <w:bottom w:val="nil"/>
              <w:right w:val="nil"/>
            </w:tcBorders>
            <w:shd w:val="clear" w:color="auto" w:fill="auto"/>
            <w:vAlign w:val="center"/>
          </w:tcPr>
          <w:p w14:paraId="18487A90" w14:textId="77777777" w:rsidR="00D419E2" w:rsidRPr="00532810" w:rsidRDefault="00D419E2" w:rsidP="00D419E2">
            <w:pPr>
              <w:tabs>
                <w:tab w:val="right" w:pos="1202"/>
              </w:tabs>
              <w:spacing w:after="0" w:line="260" w:lineRule="exact"/>
              <w:outlineLvl w:val="0"/>
              <w:rPr>
                <w:rFonts w:ascii="Calibri" w:eastAsia="Times New Roman" w:hAnsi="Calibri" w:cs="Times New Roman"/>
                <w:sz w:val="18"/>
                <w:szCs w:val="18"/>
              </w:rPr>
            </w:pPr>
          </w:p>
        </w:tc>
        <w:tc>
          <w:tcPr>
            <w:tcW w:w="632" w:type="pct"/>
            <w:tcBorders>
              <w:top w:val="single" w:sz="4" w:space="0" w:color="auto"/>
              <w:left w:val="nil"/>
              <w:bottom w:val="single" w:sz="4" w:space="0" w:color="auto"/>
              <w:right w:val="nil"/>
            </w:tcBorders>
            <w:shd w:val="clear" w:color="auto" w:fill="auto"/>
            <w:vAlign w:val="center"/>
          </w:tcPr>
          <w:p w14:paraId="2F929691" w14:textId="19E23F03" w:rsidR="00D419E2" w:rsidRPr="00532810" w:rsidRDefault="00FA25D0" w:rsidP="00257CDB">
            <w:pPr>
              <w:tabs>
                <w:tab w:val="right" w:pos="1202"/>
              </w:tabs>
              <w:spacing w:after="0" w:line="260" w:lineRule="exact"/>
              <w:jc w:val="right"/>
              <w:outlineLvl w:val="0"/>
              <w:rPr>
                <w:rFonts w:ascii="Calibri" w:eastAsia="Times New Roman" w:hAnsi="Calibri" w:cs="Times New Roman"/>
                <w:b/>
                <w:color w:val="000000"/>
                <w:sz w:val="18"/>
                <w:szCs w:val="18"/>
                <w:lang w:val="en-GB"/>
              </w:rPr>
            </w:pPr>
            <w:r>
              <w:rPr>
                <w:rFonts w:ascii="Calibri" w:eastAsia="Times New Roman" w:hAnsi="Calibri" w:cs="Times New Roman"/>
                <w:b/>
                <w:color w:val="000000"/>
                <w:sz w:val="18"/>
                <w:szCs w:val="18"/>
                <w:lang w:val="en-GB"/>
              </w:rPr>
              <w:t>10</w:t>
            </w:r>
            <w:r w:rsidR="00224AAD">
              <w:rPr>
                <w:rFonts w:ascii="Calibri" w:eastAsia="Times New Roman" w:hAnsi="Calibri" w:cs="Times New Roman"/>
                <w:b/>
                <w:color w:val="000000"/>
                <w:sz w:val="18"/>
                <w:szCs w:val="18"/>
                <w:lang w:val="en-GB"/>
              </w:rPr>
              <w:t>.</w:t>
            </w:r>
            <w:r>
              <w:rPr>
                <w:rFonts w:ascii="Calibri" w:eastAsia="Times New Roman" w:hAnsi="Calibri" w:cs="Times New Roman"/>
                <w:b/>
                <w:color w:val="000000"/>
                <w:sz w:val="18"/>
                <w:szCs w:val="18"/>
                <w:lang w:val="en-GB"/>
              </w:rPr>
              <w:t>938</w:t>
            </w:r>
          </w:p>
        </w:tc>
        <w:tc>
          <w:tcPr>
            <w:tcW w:w="632" w:type="pct"/>
            <w:tcBorders>
              <w:top w:val="single" w:sz="4" w:space="0" w:color="auto"/>
              <w:left w:val="nil"/>
              <w:bottom w:val="single" w:sz="4" w:space="0" w:color="auto"/>
              <w:right w:val="nil"/>
            </w:tcBorders>
            <w:shd w:val="clear" w:color="auto" w:fill="auto"/>
            <w:vAlign w:val="center"/>
          </w:tcPr>
          <w:p w14:paraId="25A7119E" w14:textId="2223A551" w:rsidR="00D419E2" w:rsidRPr="00532810" w:rsidRDefault="00D419E2" w:rsidP="00D419E2">
            <w:pPr>
              <w:tabs>
                <w:tab w:val="right" w:pos="1202"/>
              </w:tabs>
              <w:spacing w:after="0" w:line="260" w:lineRule="exact"/>
              <w:jc w:val="right"/>
              <w:outlineLvl w:val="0"/>
              <w:rPr>
                <w:rFonts w:ascii="Calibri" w:eastAsia="Times New Roman" w:hAnsi="Calibri" w:cs="Times New Roman"/>
                <w:b/>
                <w:color w:val="000000"/>
                <w:sz w:val="18"/>
                <w:szCs w:val="18"/>
                <w:lang w:val="en-GB"/>
              </w:rPr>
            </w:pPr>
            <w:r w:rsidRPr="00532810">
              <w:rPr>
                <w:rFonts w:ascii="Calibri" w:eastAsia="Times New Roman" w:hAnsi="Calibri" w:cs="Times New Roman"/>
                <w:b/>
                <w:color w:val="000000"/>
                <w:sz w:val="18"/>
                <w:szCs w:val="18"/>
                <w:lang w:val="en-GB"/>
              </w:rPr>
              <w:t>10.938</w:t>
            </w:r>
          </w:p>
        </w:tc>
        <w:tc>
          <w:tcPr>
            <w:tcW w:w="631" w:type="pct"/>
            <w:tcBorders>
              <w:top w:val="single" w:sz="4" w:space="0" w:color="auto"/>
              <w:left w:val="nil"/>
              <w:bottom w:val="single" w:sz="4" w:space="0" w:color="auto"/>
              <w:right w:val="nil"/>
            </w:tcBorders>
            <w:shd w:val="clear" w:color="auto" w:fill="auto"/>
            <w:vAlign w:val="center"/>
          </w:tcPr>
          <w:p w14:paraId="155BA52E" w14:textId="179809A5" w:rsidR="00D419E2" w:rsidRPr="00532810" w:rsidRDefault="00FA25D0" w:rsidP="00D419E2">
            <w:pPr>
              <w:tabs>
                <w:tab w:val="right" w:pos="1202"/>
              </w:tabs>
              <w:spacing w:after="0" w:line="260" w:lineRule="exact"/>
              <w:jc w:val="right"/>
              <w:outlineLvl w:val="0"/>
              <w:rPr>
                <w:rFonts w:ascii="Calibri" w:eastAsia="Times New Roman" w:hAnsi="Calibri" w:cs="Times New Roman"/>
                <w:b/>
                <w:color w:val="000000"/>
                <w:sz w:val="18"/>
                <w:szCs w:val="18"/>
                <w:lang w:val="en-GB"/>
              </w:rPr>
            </w:pPr>
            <w:r>
              <w:rPr>
                <w:rFonts w:ascii="Calibri" w:eastAsia="Times New Roman" w:hAnsi="Calibri" w:cs="Times New Roman"/>
                <w:b/>
                <w:color w:val="000000"/>
                <w:sz w:val="18"/>
                <w:szCs w:val="18"/>
                <w:lang w:val="en-GB"/>
              </w:rPr>
              <w:t>10.938</w:t>
            </w:r>
          </w:p>
        </w:tc>
        <w:tc>
          <w:tcPr>
            <w:tcW w:w="629" w:type="pct"/>
            <w:tcBorders>
              <w:top w:val="single" w:sz="4" w:space="0" w:color="auto"/>
              <w:left w:val="nil"/>
              <w:bottom w:val="single" w:sz="4" w:space="0" w:color="auto"/>
              <w:right w:val="nil"/>
            </w:tcBorders>
            <w:shd w:val="clear" w:color="auto" w:fill="auto"/>
            <w:vAlign w:val="center"/>
          </w:tcPr>
          <w:p w14:paraId="77DC93D3" w14:textId="1E4974D3" w:rsidR="00D419E2" w:rsidRPr="00532810" w:rsidRDefault="00D419E2" w:rsidP="00D419E2">
            <w:pPr>
              <w:tabs>
                <w:tab w:val="right" w:pos="1202"/>
              </w:tabs>
              <w:spacing w:after="0" w:line="260" w:lineRule="exact"/>
              <w:jc w:val="right"/>
              <w:outlineLvl w:val="0"/>
              <w:rPr>
                <w:rFonts w:ascii="Calibri" w:eastAsia="Times New Roman" w:hAnsi="Calibri" w:cs="Times New Roman"/>
                <w:b/>
                <w:color w:val="000000"/>
                <w:sz w:val="18"/>
                <w:szCs w:val="18"/>
                <w:lang w:val="en-GB"/>
              </w:rPr>
            </w:pPr>
            <w:r w:rsidRPr="00532810">
              <w:rPr>
                <w:rFonts w:ascii="Calibri" w:eastAsia="Times New Roman" w:hAnsi="Calibri" w:cs="Times New Roman"/>
                <w:b/>
                <w:color w:val="000000"/>
                <w:sz w:val="18"/>
                <w:szCs w:val="18"/>
                <w:lang w:val="en-GB"/>
              </w:rPr>
              <w:t>10.938</w:t>
            </w:r>
          </w:p>
        </w:tc>
      </w:tr>
      <w:tr w:rsidR="00D419E2" w:rsidRPr="00532810" w14:paraId="280F296D" w14:textId="77777777" w:rsidTr="00312975">
        <w:trPr>
          <w:trHeight w:val="13"/>
        </w:trPr>
        <w:tc>
          <w:tcPr>
            <w:tcW w:w="2476" w:type="pct"/>
            <w:vAlign w:val="bottom"/>
          </w:tcPr>
          <w:p w14:paraId="39237009" w14:textId="77777777" w:rsidR="00D419E2" w:rsidRPr="00532810" w:rsidRDefault="00D419E2" w:rsidP="00D419E2">
            <w:pPr>
              <w:keepNext/>
              <w:keepLines/>
              <w:tabs>
                <w:tab w:val="decimal" w:pos="1202"/>
              </w:tabs>
              <w:spacing w:after="0" w:line="140" w:lineRule="exact"/>
              <w:jc w:val="right"/>
              <w:rPr>
                <w:rFonts w:ascii="Calibri" w:eastAsia="Times New Roman" w:hAnsi="Calibri" w:cs="Arial"/>
                <w:b/>
                <w:bCs/>
                <w:spacing w:val="-2"/>
                <w:position w:val="4"/>
                <w:sz w:val="18"/>
                <w:szCs w:val="18"/>
              </w:rPr>
            </w:pPr>
          </w:p>
        </w:tc>
        <w:tc>
          <w:tcPr>
            <w:tcW w:w="632" w:type="pct"/>
            <w:tcBorders>
              <w:top w:val="single" w:sz="4" w:space="0" w:color="auto"/>
            </w:tcBorders>
          </w:tcPr>
          <w:p w14:paraId="1F8DE655" w14:textId="62501AF2" w:rsidR="00D419E2" w:rsidRPr="00532810" w:rsidRDefault="00D419E2" w:rsidP="00D419E2">
            <w:pPr>
              <w:keepNext/>
              <w:keepLines/>
              <w:tabs>
                <w:tab w:val="decimal" w:pos="1202"/>
              </w:tabs>
              <w:spacing w:after="0" w:line="140" w:lineRule="exact"/>
              <w:jc w:val="right"/>
              <w:rPr>
                <w:rFonts w:ascii="Calibri" w:eastAsia="Times New Roman" w:hAnsi="Calibri" w:cs="Arial"/>
                <w:b/>
                <w:bCs/>
                <w:position w:val="4"/>
                <w:sz w:val="18"/>
                <w:szCs w:val="18"/>
              </w:rPr>
            </w:pPr>
          </w:p>
        </w:tc>
        <w:tc>
          <w:tcPr>
            <w:tcW w:w="632" w:type="pct"/>
            <w:tcBorders>
              <w:top w:val="single" w:sz="4" w:space="0" w:color="auto"/>
            </w:tcBorders>
          </w:tcPr>
          <w:p w14:paraId="21CA1549" w14:textId="20591907" w:rsidR="00D419E2" w:rsidRPr="00532810" w:rsidRDefault="00D419E2" w:rsidP="00D419E2">
            <w:pPr>
              <w:keepNext/>
              <w:keepLines/>
              <w:tabs>
                <w:tab w:val="decimal" w:pos="1202"/>
              </w:tabs>
              <w:spacing w:after="0" w:line="140" w:lineRule="exact"/>
              <w:jc w:val="right"/>
              <w:rPr>
                <w:rFonts w:ascii="Calibri" w:eastAsia="Times New Roman" w:hAnsi="Calibri" w:cs="Arial"/>
                <w:b/>
                <w:bCs/>
                <w:position w:val="4"/>
                <w:sz w:val="18"/>
                <w:szCs w:val="18"/>
              </w:rPr>
            </w:pPr>
          </w:p>
        </w:tc>
        <w:tc>
          <w:tcPr>
            <w:tcW w:w="631" w:type="pct"/>
            <w:tcBorders>
              <w:top w:val="single" w:sz="4" w:space="0" w:color="auto"/>
            </w:tcBorders>
          </w:tcPr>
          <w:p w14:paraId="609F5328" w14:textId="3AE10748" w:rsidR="00D419E2" w:rsidRPr="00532810" w:rsidRDefault="00D419E2" w:rsidP="00D419E2">
            <w:pPr>
              <w:keepNext/>
              <w:keepLines/>
              <w:tabs>
                <w:tab w:val="decimal" w:pos="1202"/>
              </w:tabs>
              <w:spacing w:after="0" w:line="140" w:lineRule="exact"/>
              <w:jc w:val="right"/>
              <w:rPr>
                <w:rFonts w:ascii="Calibri" w:eastAsia="Times New Roman" w:hAnsi="Calibri" w:cs="Arial"/>
                <w:b/>
                <w:bCs/>
                <w:position w:val="4"/>
                <w:sz w:val="18"/>
                <w:szCs w:val="18"/>
              </w:rPr>
            </w:pPr>
          </w:p>
        </w:tc>
        <w:tc>
          <w:tcPr>
            <w:tcW w:w="629" w:type="pct"/>
            <w:tcBorders>
              <w:top w:val="single" w:sz="4" w:space="0" w:color="auto"/>
            </w:tcBorders>
          </w:tcPr>
          <w:p w14:paraId="5B4603DD" w14:textId="430B3766" w:rsidR="00D419E2" w:rsidRPr="00532810" w:rsidRDefault="00D419E2" w:rsidP="00D419E2">
            <w:pPr>
              <w:keepNext/>
              <w:keepLines/>
              <w:tabs>
                <w:tab w:val="decimal" w:pos="1202"/>
              </w:tabs>
              <w:spacing w:after="0" w:line="140" w:lineRule="exact"/>
              <w:jc w:val="right"/>
              <w:rPr>
                <w:rFonts w:ascii="Calibri" w:eastAsia="Times New Roman" w:hAnsi="Calibri" w:cs="Arial"/>
                <w:b/>
                <w:bCs/>
                <w:position w:val="4"/>
                <w:sz w:val="18"/>
                <w:szCs w:val="18"/>
              </w:rPr>
            </w:pPr>
          </w:p>
        </w:tc>
      </w:tr>
      <w:tr w:rsidR="00D419E2" w:rsidRPr="00532810" w14:paraId="721B70E1" w14:textId="77777777" w:rsidTr="00312975">
        <w:trPr>
          <w:trHeight w:val="50"/>
        </w:trPr>
        <w:tc>
          <w:tcPr>
            <w:tcW w:w="2476" w:type="pct"/>
          </w:tcPr>
          <w:p w14:paraId="68B502E7" w14:textId="77777777" w:rsidR="00D419E2" w:rsidRPr="00532810" w:rsidRDefault="00D419E2" w:rsidP="00D419E2">
            <w:pPr>
              <w:tabs>
                <w:tab w:val="right" w:pos="1202"/>
              </w:tabs>
              <w:spacing w:after="0" w:line="260" w:lineRule="exact"/>
              <w:outlineLvl w:val="0"/>
              <w:rPr>
                <w:rFonts w:ascii="Calibri" w:eastAsia="Times New Roman" w:hAnsi="Calibri" w:cs="Arial"/>
                <w:sz w:val="18"/>
                <w:szCs w:val="18"/>
              </w:rPr>
            </w:pPr>
            <w:r w:rsidRPr="00532810">
              <w:rPr>
                <w:rFonts w:ascii="Calibri" w:eastAsia="Times New Roman" w:hAnsi="Calibri" w:cs="Arial"/>
                <w:b/>
                <w:spacing w:val="-2"/>
                <w:sz w:val="18"/>
                <w:szCs w:val="18"/>
              </w:rPr>
              <w:t>Vlasnički vrijednosni papiri koji ne kotiraju:</w:t>
            </w:r>
          </w:p>
        </w:tc>
        <w:tc>
          <w:tcPr>
            <w:tcW w:w="632" w:type="pct"/>
          </w:tcPr>
          <w:p w14:paraId="033D3CA0" w14:textId="77777777" w:rsidR="00D419E2" w:rsidRPr="00532810" w:rsidRDefault="00D419E2" w:rsidP="00D419E2">
            <w:pPr>
              <w:tabs>
                <w:tab w:val="right" w:pos="1202"/>
              </w:tabs>
              <w:spacing w:after="0" w:line="260" w:lineRule="exact"/>
              <w:jc w:val="right"/>
              <w:outlineLvl w:val="0"/>
              <w:rPr>
                <w:rFonts w:ascii="Calibri" w:eastAsia="Times New Roman" w:hAnsi="Calibri" w:cs="Arial"/>
                <w:sz w:val="18"/>
                <w:szCs w:val="18"/>
              </w:rPr>
            </w:pPr>
          </w:p>
        </w:tc>
        <w:tc>
          <w:tcPr>
            <w:tcW w:w="632" w:type="pct"/>
          </w:tcPr>
          <w:p w14:paraId="5F4B7E65" w14:textId="77777777" w:rsidR="00D419E2" w:rsidRPr="00532810" w:rsidRDefault="00D419E2" w:rsidP="00D419E2">
            <w:pPr>
              <w:tabs>
                <w:tab w:val="right" w:pos="1202"/>
              </w:tabs>
              <w:spacing w:after="0" w:line="260" w:lineRule="exact"/>
              <w:jc w:val="right"/>
              <w:outlineLvl w:val="0"/>
              <w:rPr>
                <w:rFonts w:ascii="Calibri" w:eastAsia="Times New Roman" w:hAnsi="Calibri" w:cs="Arial"/>
                <w:sz w:val="18"/>
                <w:szCs w:val="18"/>
              </w:rPr>
            </w:pPr>
          </w:p>
        </w:tc>
        <w:tc>
          <w:tcPr>
            <w:tcW w:w="631" w:type="pct"/>
          </w:tcPr>
          <w:p w14:paraId="6E3CD257" w14:textId="77777777" w:rsidR="00D419E2" w:rsidRPr="00532810" w:rsidRDefault="00D419E2" w:rsidP="00D419E2">
            <w:pPr>
              <w:tabs>
                <w:tab w:val="right" w:pos="1202"/>
              </w:tabs>
              <w:spacing w:after="0" w:line="260" w:lineRule="exact"/>
              <w:jc w:val="right"/>
              <w:outlineLvl w:val="0"/>
              <w:rPr>
                <w:rFonts w:ascii="Calibri" w:eastAsia="Times New Roman" w:hAnsi="Calibri" w:cs="Arial"/>
                <w:sz w:val="18"/>
                <w:szCs w:val="18"/>
              </w:rPr>
            </w:pPr>
          </w:p>
        </w:tc>
        <w:tc>
          <w:tcPr>
            <w:tcW w:w="629" w:type="pct"/>
            <w:vAlign w:val="bottom"/>
          </w:tcPr>
          <w:p w14:paraId="2E5E48CB" w14:textId="77777777" w:rsidR="00D419E2" w:rsidRPr="00532810" w:rsidRDefault="00D419E2" w:rsidP="00D419E2">
            <w:pPr>
              <w:tabs>
                <w:tab w:val="right" w:pos="1202"/>
              </w:tabs>
              <w:spacing w:after="0" w:line="260" w:lineRule="exact"/>
              <w:jc w:val="right"/>
              <w:outlineLvl w:val="0"/>
              <w:rPr>
                <w:rFonts w:ascii="Calibri" w:eastAsia="Times New Roman" w:hAnsi="Calibri" w:cs="Arial"/>
                <w:sz w:val="18"/>
                <w:szCs w:val="18"/>
              </w:rPr>
            </w:pPr>
          </w:p>
        </w:tc>
      </w:tr>
      <w:tr w:rsidR="00FA25D0" w:rsidRPr="00532810" w14:paraId="454B516E" w14:textId="77777777" w:rsidTr="00312975">
        <w:trPr>
          <w:trHeight w:hRule="exact" w:val="210"/>
        </w:trPr>
        <w:tc>
          <w:tcPr>
            <w:tcW w:w="2476" w:type="pct"/>
          </w:tcPr>
          <w:p w14:paraId="21C65F7A" w14:textId="77777777" w:rsidR="00FA25D0" w:rsidRPr="00532810" w:rsidRDefault="00FA25D0" w:rsidP="00FA25D0">
            <w:pPr>
              <w:tabs>
                <w:tab w:val="right" w:pos="1202"/>
              </w:tabs>
              <w:spacing w:after="0" w:line="240" w:lineRule="exact"/>
              <w:outlineLvl w:val="0"/>
              <w:rPr>
                <w:rFonts w:ascii="Calibri" w:eastAsia="Times New Roman" w:hAnsi="Calibri" w:cs="Arial"/>
                <w:sz w:val="18"/>
                <w:szCs w:val="18"/>
              </w:rPr>
            </w:pPr>
            <w:r w:rsidRPr="00532810">
              <w:rPr>
                <w:rFonts w:ascii="Calibri" w:eastAsia="Times New Roman" w:hAnsi="Calibri" w:cs="Arial"/>
                <w:sz w:val="18"/>
                <w:szCs w:val="18"/>
              </w:rPr>
              <w:t>Dionice inozemnih pravnih osoba</w:t>
            </w:r>
          </w:p>
        </w:tc>
        <w:tc>
          <w:tcPr>
            <w:tcW w:w="632" w:type="pct"/>
            <w:tcBorders>
              <w:top w:val="nil"/>
              <w:left w:val="nil"/>
              <w:bottom w:val="nil"/>
              <w:right w:val="nil"/>
            </w:tcBorders>
            <w:shd w:val="clear" w:color="auto" w:fill="auto"/>
            <w:vAlign w:val="center"/>
          </w:tcPr>
          <w:p w14:paraId="524988FC" w14:textId="3EB6B138" w:rsidR="00FA25D0" w:rsidRPr="000E5941" w:rsidRDefault="00FA25D0" w:rsidP="00FA25D0">
            <w:pPr>
              <w:tabs>
                <w:tab w:val="right" w:pos="1202"/>
              </w:tabs>
              <w:spacing w:after="0" w:line="24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32</w:t>
            </w:r>
          </w:p>
        </w:tc>
        <w:tc>
          <w:tcPr>
            <w:tcW w:w="632" w:type="pct"/>
            <w:tcBorders>
              <w:top w:val="nil"/>
              <w:left w:val="nil"/>
              <w:bottom w:val="nil"/>
              <w:right w:val="nil"/>
            </w:tcBorders>
            <w:shd w:val="clear" w:color="auto" w:fill="auto"/>
            <w:vAlign w:val="center"/>
          </w:tcPr>
          <w:p w14:paraId="6A191831" w14:textId="0BB7A26F" w:rsidR="00FA25D0" w:rsidRPr="00532810" w:rsidRDefault="00FA25D0" w:rsidP="00FA25D0">
            <w:pPr>
              <w:tabs>
                <w:tab w:val="right" w:pos="1202"/>
              </w:tabs>
              <w:spacing w:after="0" w:line="240" w:lineRule="exact"/>
              <w:jc w:val="right"/>
              <w:outlineLvl w:val="0"/>
              <w:rPr>
                <w:rFonts w:ascii="Calibri" w:eastAsia="Times New Roman" w:hAnsi="Calibri" w:cs="Arial"/>
                <w:sz w:val="18"/>
                <w:szCs w:val="18"/>
              </w:rPr>
            </w:pPr>
            <w:r w:rsidRPr="00532810">
              <w:rPr>
                <w:rFonts w:ascii="Calibri" w:eastAsia="Times New Roman" w:hAnsi="Calibri" w:cs="Times New Roman"/>
                <w:color w:val="000000"/>
                <w:sz w:val="18"/>
                <w:szCs w:val="18"/>
                <w:lang w:val="en-GB"/>
              </w:rPr>
              <w:t>32</w:t>
            </w:r>
          </w:p>
        </w:tc>
        <w:tc>
          <w:tcPr>
            <w:tcW w:w="631" w:type="pct"/>
            <w:tcBorders>
              <w:top w:val="nil"/>
              <w:left w:val="nil"/>
              <w:bottom w:val="nil"/>
              <w:right w:val="nil"/>
            </w:tcBorders>
            <w:shd w:val="clear" w:color="auto" w:fill="auto"/>
            <w:vAlign w:val="center"/>
          </w:tcPr>
          <w:p w14:paraId="5FC1F82D" w14:textId="01B9869E" w:rsidR="00FA25D0" w:rsidRPr="000E5941" w:rsidRDefault="00FA25D0" w:rsidP="00FA25D0">
            <w:pPr>
              <w:tabs>
                <w:tab w:val="right" w:pos="1202"/>
              </w:tabs>
              <w:spacing w:after="0" w:line="24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32</w:t>
            </w:r>
          </w:p>
        </w:tc>
        <w:tc>
          <w:tcPr>
            <w:tcW w:w="629" w:type="pct"/>
            <w:tcBorders>
              <w:top w:val="nil"/>
              <w:left w:val="nil"/>
              <w:bottom w:val="nil"/>
              <w:right w:val="nil"/>
            </w:tcBorders>
            <w:shd w:val="clear" w:color="auto" w:fill="auto"/>
            <w:vAlign w:val="center"/>
          </w:tcPr>
          <w:p w14:paraId="2F5AB129" w14:textId="60796613" w:rsidR="00FA25D0" w:rsidRPr="00532810" w:rsidRDefault="00FA25D0" w:rsidP="00FA25D0">
            <w:pPr>
              <w:tabs>
                <w:tab w:val="right" w:pos="1202"/>
              </w:tabs>
              <w:spacing w:after="0" w:line="240" w:lineRule="exact"/>
              <w:jc w:val="right"/>
              <w:outlineLvl w:val="0"/>
              <w:rPr>
                <w:rFonts w:ascii="Calibri" w:eastAsia="Times New Roman" w:hAnsi="Calibri" w:cs="Arial"/>
                <w:sz w:val="18"/>
                <w:szCs w:val="18"/>
              </w:rPr>
            </w:pPr>
            <w:r w:rsidRPr="00532810">
              <w:rPr>
                <w:rFonts w:ascii="Calibri" w:eastAsia="Times New Roman" w:hAnsi="Calibri" w:cs="Times New Roman"/>
                <w:color w:val="000000"/>
                <w:sz w:val="18"/>
                <w:szCs w:val="18"/>
                <w:lang w:val="en-GB"/>
              </w:rPr>
              <w:t>32</w:t>
            </w:r>
          </w:p>
        </w:tc>
      </w:tr>
      <w:tr w:rsidR="00FA25D0" w:rsidRPr="00532810" w14:paraId="53D7899F" w14:textId="77777777" w:rsidTr="00312975">
        <w:trPr>
          <w:trHeight w:hRule="exact" w:val="210"/>
        </w:trPr>
        <w:tc>
          <w:tcPr>
            <w:tcW w:w="2476" w:type="pct"/>
          </w:tcPr>
          <w:p w14:paraId="757FB323" w14:textId="77777777" w:rsidR="00FA25D0" w:rsidRPr="00532810" w:rsidRDefault="00FA25D0" w:rsidP="00FA25D0">
            <w:pPr>
              <w:tabs>
                <w:tab w:val="right" w:pos="1202"/>
              </w:tabs>
              <w:spacing w:after="0" w:line="240" w:lineRule="exact"/>
              <w:outlineLvl w:val="0"/>
              <w:rPr>
                <w:rFonts w:ascii="Calibri" w:eastAsia="Times New Roman" w:hAnsi="Calibri" w:cs="Arial"/>
                <w:sz w:val="18"/>
                <w:szCs w:val="18"/>
              </w:rPr>
            </w:pPr>
            <w:r w:rsidRPr="00532810">
              <w:rPr>
                <w:rFonts w:ascii="Calibri" w:eastAsia="Times New Roman" w:hAnsi="Calibri" w:cs="Arial"/>
                <w:sz w:val="18"/>
                <w:szCs w:val="18"/>
              </w:rPr>
              <w:t xml:space="preserve">Dionice financijskih institucija </w:t>
            </w:r>
          </w:p>
        </w:tc>
        <w:tc>
          <w:tcPr>
            <w:tcW w:w="632" w:type="pct"/>
            <w:tcBorders>
              <w:top w:val="nil"/>
              <w:left w:val="nil"/>
              <w:bottom w:val="nil"/>
              <w:right w:val="nil"/>
            </w:tcBorders>
            <w:shd w:val="clear" w:color="auto" w:fill="auto"/>
            <w:vAlign w:val="center"/>
          </w:tcPr>
          <w:p w14:paraId="3F083F2D" w14:textId="456E03A3" w:rsidR="00FA25D0" w:rsidRPr="000E5941" w:rsidRDefault="00FA25D0" w:rsidP="00FA25D0">
            <w:pPr>
              <w:tabs>
                <w:tab w:val="right" w:pos="1202"/>
              </w:tabs>
              <w:spacing w:after="0" w:line="24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161</w:t>
            </w:r>
          </w:p>
        </w:tc>
        <w:tc>
          <w:tcPr>
            <w:tcW w:w="632" w:type="pct"/>
            <w:tcBorders>
              <w:top w:val="nil"/>
              <w:left w:val="nil"/>
              <w:bottom w:val="nil"/>
              <w:right w:val="nil"/>
            </w:tcBorders>
            <w:shd w:val="clear" w:color="auto" w:fill="auto"/>
            <w:vAlign w:val="center"/>
          </w:tcPr>
          <w:p w14:paraId="3A6C65C2" w14:textId="73A9B819" w:rsidR="00FA25D0" w:rsidRPr="00532810" w:rsidRDefault="00FA25D0" w:rsidP="00FA25D0">
            <w:pPr>
              <w:tabs>
                <w:tab w:val="right" w:pos="1202"/>
              </w:tabs>
              <w:spacing w:after="0" w:line="240" w:lineRule="exact"/>
              <w:jc w:val="right"/>
              <w:outlineLvl w:val="0"/>
              <w:rPr>
                <w:rFonts w:ascii="Calibri" w:eastAsia="Times New Roman" w:hAnsi="Calibri" w:cs="Arial"/>
                <w:sz w:val="18"/>
                <w:szCs w:val="18"/>
              </w:rPr>
            </w:pPr>
            <w:r w:rsidRPr="00532810">
              <w:rPr>
                <w:rFonts w:ascii="Calibri" w:eastAsia="Times New Roman" w:hAnsi="Calibri" w:cs="Times New Roman"/>
                <w:color w:val="000000"/>
                <w:sz w:val="18"/>
                <w:szCs w:val="18"/>
                <w:lang w:val="en-GB"/>
              </w:rPr>
              <w:t>161</w:t>
            </w:r>
          </w:p>
        </w:tc>
        <w:tc>
          <w:tcPr>
            <w:tcW w:w="631" w:type="pct"/>
            <w:tcBorders>
              <w:top w:val="nil"/>
              <w:left w:val="nil"/>
              <w:bottom w:val="nil"/>
              <w:right w:val="nil"/>
            </w:tcBorders>
            <w:shd w:val="clear" w:color="auto" w:fill="auto"/>
            <w:vAlign w:val="center"/>
          </w:tcPr>
          <w:p w14:paraId="6B889718" w14:textId="288E4C73" w:rsidR="00FA25D0" w:rsidRPr="000E5941" w:rsidRDefault="00FA25D0" w:rsidP="00FA25D0">
            <w:pPr>
              <w:tabs>
                <w:tab w:val="right" w:pos="1202"/>
              </w:tabs>
              <w:spacing w:after="0" w:line="24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161</w:t>
            </w:r>
          </w:p>
        </w:tc>
        <w:tc>
          <w:tcPr>
            <w:tcW w:w="629" w:type="pct"/>
            <w:tcBorders>
              <w:top w:val="nil"/>
              <w:left w:val="nil"/>
              <w:bottom w:val="nil"/>
              <w:right w:val="nil"/>
            </w:tcBorders>
            <w:shd w:val="clear" w:color="auto" w:fill="auto"/>
            <w:vAlign w:val="center"/>
          </w:tcPr>
          <w:p w14:paraId="721968D4" w14:textId="42D5F1EC" w:rsidR="00FA25D0" w:rsidRPr="00532810" w:rsidRDefault="00FA25D0" w:rsidP="00FA25D0">
            <w:pPr>
              <w:tabs>
                <w:tab w:val="right" w:pos="1202"/>
              </w:tabs>
              <w:spacing w:after="0" w:line="240" w:lineRule="exact"/>
              <w:jc w:val="right"/>
              <w:outlineLvl w:val="0"/>
              <w:rPr>
                <w:rFonts w:ascii="Calibri" w:eastAsia="Times New Roman" w:hAnsi="Calibri" w:cs="Arial"/>
                <w:sz w:val="18"/>
                <w:szCs w:val="18"/>
              </w:rPr>
            </w:pPr>
            <w:r w:rsidRPr="00532810">
              <w:rPr>
                <w:rFonts w:ascii="Calibri" w:eastAsia="Times New Roman" w:hAnsi="Calibri" w:cs="Times New Roman"/>
                <w:color w:val="000000"/>
                <w:sz w:val="18"/>
                <w:szCs w:val="18"/>
                <w:lang w:val="en-GB"/>
              </w:rPr>
              <w:t>161</w:t>
            </w:r>
          </w:p>
        </w:tc>
      </w:tr>
      <w:tr w:rsidR="00FA25D0" w:rsidRPr="00532810" w14:paraId="31378E35" w14:textId="77777777" w:rsidTr="00312975">
        <w:trPr>
          <w:trHeight w:hRule="exact" w:val="210"/>
        </w:trPr>
        <w:tc>
          <w:tcPr>
            <w:tcW w:w="2476" w:type="pct"/>
          </w:tcPr>
          <w:p w14:paraId="0EC7754D" w14:textId="1ECBA8B4" w:rsidR="00FA25D0" w:rsidRPr="00532810" w:rsidRDefault="00FA25D0" w:rsidP="00FA25D0">
            <w:pPr>
              <w:tabs>
                <w:tab w:val="right" w:pos="1202"/>
              </w:tabs>
              <w:spacing w:after="0" w:line="240" w:lineRule="exact"/>
              <w:outlineLvl w:val="0"/>
              <w:rPr>
                <w:rFonts w:ascii="Calibri" w:eastAsia="Times New Roman" w:hAnsi="Calibri" w:cs="Arial"/>
                <w:sz w:val="18"/>
                <w:szCs w:val="18"/>
              </w:rPr>
            </w:pPr>
            <w:r w:rsidRPr="00532810">
              <w:rPr>
                <w:rFonts w:ascii="Calibri" w:eastAsia="Times New Roman" w:hAnsi="Calibri" w:cs="Arial"/>
                <w:sz w:val="18"/>
                <w:szCs w:val="18"/>
              </w:rPr>
              <w:t xml:space="preserve">Dionice inozemnih financijskih institucija – EIF </w:t>
            </w:r>
          </w:p>
        </w:tc>
        <w:tc>
          <w:tcPr>
            <w:tcW w:w="632" w:type="pct"/>
            <w:tcBorders>
              <w:top w:val="nil"/>
              <w:left w:val="nil"/>
              <w:right w:val="nil"/>
            </w:tcBorders>
            <w:shd w:val="clear" w:color="auto" w:fill="auto"/>
            <w:vAlign w:val="center"/>
          </w:tcPr>
          <w:p w14:paraId="14EBCAF7" w14:textId="7617A626" w:rsidR="00FA25D0" w:rsidRPr="000E5941" w:rsidRDefault="00FA25D0" w:rsidP="00FA25D0">
            <w:pPr>
              <w:tabs>
                <w:tab w:val="right" w:pos="1202"/>
              </w:tabs>
              <w:spacing w:after="0" w:line="24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25.065</w:t>
            </w:r>
          </w:p>
        </w:tc>
        <w:tc>
          <w:tcPr>
            <w:tcW w:w="632" w:type="pct"/>
            <w:tcBorders>
              <w:top w:val="nil"/>
              <w:left w:val="nil"/>
              <w:right w:val="nil"/>
            </w:tcBorders>
            <w:shd w:val="clear" w:color="auto" w:fill="auto"/>
            <w:vAlign w:val="center"/>
          </w:tcPr>
          <w:p w14:paraId="34D61DDA" w14:textId="50788A83" w:rsidR="00FA25D0" w:rsidRPr="00532810" w:rsidRDefault="00FA25D0" w:rsidP="00FA25D0">
            <w:pPr>
              <w:tabs>
                <w:tab w:val="right" w:pos="1202"/>
              </w:tabs>
              <w:spacing w:after="0" w:line="240" w:lineRule="exact"/>
              <w:jc w:val="right"/>
              <w:outlineLvl w:val="0"/>
              <w:rPr>
                <w:rFonts w:ascii="Calibri" w:eastAsia="Times New Roman" w:hAnsi="Calibri" w:cs="Arial"/>
                <w:sz w:val="18"/>
                <w:szCs w:val="18"/>
              </w:rPr>
            </w:pPr>
            <w:r w:rsidRPr="00532810">
              <w:rPr>
                <w:rFonts w:ascii="Calibri" w:eastAsia="Times New Roman" w:hAnsi="Calibri" w:cs="Times New Roman"/>
                <w:color w:val="000000"/>
                <w:sz w:val="18"/>
                <w:szCs w:val="18"/>
                <w:lang w:val="en-GB"/>
              </w:rPr>
              <w:t>25.815</w:t>
            </w:r>
          </w:p>
        </w:tc>
        <w:tc>
          <w:tcPr>
            <w:tcW w:w="631" w:type="pct"/>
            <w:tcBorders>
              <w:top w:val="nil"/>
              <w:left w:val="nil"/>
              <w:right w:val="nil"/>
            </w:tcBorders>
            <w:shd w:val="clear" w:color="auto" w:fill="auto"/>
            <w:vAlign w:val="center"/>
          </w:tcPr>
          <w:p w14:paraId="15440FE9" w14:textId="044DFFDC" w:rsidR="00FA25D0" w:rsidRPr="000E5941" w:rsidDel="00561A80" w:rsidRDefault="00FA25D0" w:rsidP="00FA25D0">
            <w:pPr>
              <w:tabs>
                <w:tab w:val="right" w:pos="1202"/>
              </w:tabs>
              <w:spacing w:after="0" w:line="24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25.065</w:t>
            </w:r>
          </w:p>
        </w:tc>
        <w:tc>
          <w:tcPr>
            <w:tcW w:w="629" w:type="pct"/>
            <w:tcBorders>
              <w:top w:val="nil"/>
              <w:left w:val="nil"/>
              <w:right w:val="nil"/>
            </w:tcBorders>
            <w:shd w:val="clear" w:color="auto" w:fill="auto"/>
            <w:vAlign w:val="center"/>
          </w:tcPr>
          <w:p w14:paraId="6F231DB5" w14:textId="5EBDF853" w:rsidR="00FA25D0" w:rsidRPr="00532810" w:rsidDel="00561A80" w:rsidRDefault="00FA25D0" w:rsidP="00FA25D0">
            <w:pPr>
              <w:tabs>
                <w:tab w:val="right" w:pos="1202"/>
              </w:tabs>
              <w:spacing w:after="0" w:line="240" w:lineRule="exact"/>
              <w:jc w:val="right"/>
              <w:outlineLvl w:val="0"/>
              <w:rPr>
                <w:rFonts w:ascii="Calibri" w:eastAsia="Times New Roman" w:hAnsi="Calibri" w:cs="Arial"/>
                <w:sz w:val="18"/>
                <w:szCs w:val="18"/>
              </w:rPr>
            </w:pPr>
            <w:r w:rsidRPr="00532810">
              <w:rPr>
                <w:rFonts w:ascii="Calibri" w:eastAsia="Times New Roman" w:hAnsi="Calibri" w:cs="Times New Roman"/>
                <w:color w:val="000000"/>
                <w:sz w:val="18"/>
                <w:szCs w:val="18"/>
                <w:lang w:val="en-GB"/>
              </w:rPr>
              <w:t>25.815</w:t>
            </w:r>
          </w:p>
        </w:tc>
      </w:tr>
      <w:tr w:rsidR="00FA25D0" w:rsidRPr="00532810" w14:paraId="23AF26D8" w14:textId="77777777" w:rsidTr="00312975">
        <w:trPr>
          <w:trHeight w:hRule="exact" w:val="210"/>
        </w:trPr>
        <w:tc>
          <w:tcPr>
            <w:tcW w:w="2476" w:type="pct"/>
          </w:tcPr>
          <w:p w14:paraId="3B575EFF" w14:textId="77777777" w:rsidR="00FA25D0" w:rsidRPr="00532810" w:rsidRDefault="00FA25D0" w:rsidP="00FA25D0">
            <w:pPr>
              <w:tabs>
                <w:tab w:val="right" w:pos="1202"/>
              </w:tabs>
              <w:spacing w:after="0" w:line="240" w:lineRule="exact"/>
              <w:outlineLvl w:val="0"/>
              <w:rPr>
                <w:rFonts w:ascii="Calibri" w:eastAsia="Times New Roman" w:hAnsi="Calibri" w:cs="Arial"/>
                <w:spacing w:val="-2"/>
                <w:sz w:val="18"/>
                <w:szCs w:val="18"/>
              </w:rPr>
            </w:pPr>
            <w:r w:rsidRPr="00532810">
              <w:rPr>
                <w:rFonts w:ascii="Calibri" w:eastAsia="Times New Roman" w:hAnsi="Calibri" w:cs="Arial"/>
                <w:spacing w:val="-2"/>
                <w:sz w:val="18"/>
                <w:szCs w:val="18"/>
              </w:rPr>
              <w:t>Dionice trgovačkih društava</w:t>
            </w:r>
          </w:p>
        </w:tc>
        <w:tc>
          <w:tcPr>
            <w:tcW w:w="632" w:type="pct"/>
            <w:tcBorders>
              <w:top w:val="nil"/>
              <w:left w:val="nil"/>
              <w:right w:val="nil"/>
            </w:tcBorders>
            <w:shd w:val="clear" w:color="auto" w:fill="auto"/>
            <w:vAlign w:val="center"/>
          </w:tcPr>
          <w:p w14:paraId="21E42B04" w14:textId="3F5D5EBB" w:rsidR="00FA25D0" w:rsidRPr="000E5941" w:rsidRDefault="00FA25D0" w:rsidP="00FA25D0">
            <w:pPr>
              <w:tabs>
                <w:tab w:val="right" w:pos="1202"/>
              </w:tabs>
              <w:spacing w:after="0" w:line="24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16.725</w:t>
            </w:r>
          </w:p>
        </w:tc>
        <w:tc>
          <w:tcPr>
            <w:tcW w:w="632" w:type="pct"/>
            <w:tcBorders>
              <w:top w:val="nil"/>
              <w:left w:val="nil"/>
              <w:right w:val="nil"/>
            </w:tcBorders>
            <w:shd w:val="clear" w:color="auto" w:fill="auto"/>
            <w:vAlign w:val="center"/>
          </w:tcPr>
          <w:p w14:paraId="4952EBC7" w14:textId="6AFFF324" w:rsidR="00FA25D0" w:rsidRPr="00532810" w:rsidRDefault="00FA25D0" w:rsidP="00FA25D0">
            <w:pPr>
              <w:tabs>
                <w:tab w:val="right" w:pos="1202"/>
              </w:tabs>
              <w:spacing w:after="0" w:line="240" w:lineRule="exact"/>
              <w:jc w:val="right"/>
              <w:outlineLvl w:val="0"/>
              <w:rPr>
                <w:rFonts w:ascii="Calibri" w:eastAsia="Times New Roman" w:hAnsi="Calibri" w:cs="Arial"/>
                <w:sz w:val="18"/>
                <w:szCs w:val="18"/>
              </w:rPr>
            </w:pPr>
            <w:r w:rsidRPr="00532810">
              <w:rPr>
                <w:rFonts w:ascii="Calibri" w:eastAsia="Times New Roman" w:hAnsi="Calibri" w:cs="Times New Roman"/>
                <w:color w:val="000000"/>
                <w:sz w:val="18"/>
                <w:szCs w:val="18"/>
                <w:lang w:val="en-GB"/>
              </w:rPr>
              <w:t>16.725</w:t>
            </w:r>
          </w:p>
        </w:tc>
        <w:tc>
          <w:tcPr>
            <w:tcW w:w="631" w:type="pct"/>
            <w:tcBorders>
              <w:top w:val="nil"/>
              <w:left w:val="nil"/>
              <w:right w:val="nil"/>
            </w:tcBorders>
            <w:shd w:val="clear" w:color="auto" w:fill="auto"/>
            <w:vAlign w:val="center"/>
          </w:tcPr>
          <w:p w14:paraId="0D2C1B65" w14:textId="7C081488" w:rsidR="00FA25D0" w:rsidRPr="000E5941" w:rsidRDefault="00FA25D0" w:rsidP="00FA25D0">
            <w:pPr>
              <w:tabs>
                <w:tab w:val="right" w:pos="1202"/>
              </w:tabs>
              <w:spacing w:after="0" w:line="240" w:lineRule="exact"/>
              <w:jc w:val="right"/>
              <w:outlineLvl w:val="0"/>
              <w:rPr>
                <w:rFonts w:ascii="Calibri" w:eastAsia="Times New Roman" w:hAnsi="Calibri" w:cs="Times New Roman"/>
                <w:color w:val="000000"/>
                <w:sz w:val="18"/>
                <w:szCs w:val="18"/>
                <w:lang w:val="en-GB"/>
              </w:rPr>
            </w:pPr>
            <w:r w:rsidRPr="00312975">
              <w:rPr>
                <w:rFonts w:ascii="Calibri" w:eastAsia="Times New Roman" w:hAnsi="Calibri" w:cs="Times New Roman"/>
                <w:color w:val="000000"/>
                <w:sz w:val="18"/>
                <w:szCs w:val="18"/>
                <w:lang w:val="en-GB"/>
              </w:rPr>
              <w:t>16.725</w:t>
            </w:r>
          </w:p>
        </w:tc>
        <w:tc>
          <w:tcPr>
            <w:tcW w:w="629" w:type="pct"/>
            <w:tcBorders>
              <w:top w:val="nil"/>
              <w:left w:val="nil"/>
              <w:right w:val="nil"/>
            </w:tcBorders>
            <w:shd w:val="clear" w:color="auto" w:fill="auto"/>
            <w:vAlign w:val="center"/>
          </w:tcPr>
          <w:p w14:paraId="7023ACF5" w14:textId="6163A8D4" w:rsidR="00FA25D0" w:rsidRPr="00532810" w:rsidRDefault="00FA25D0" w:rsidP="00FA25D0">
            <w:pPr>
              <w:tabs>
                <w:tab w:val="right" w:pos="1202"/>
              </w:tabs>
              <w:spacing w:after="0" w:line="240" w:lineRule="exact"/>
              <w:jc w:val="right"/>
              <w:outlineLvl w:val="0"/>
              <w:rPr>
                <w:rFonts w:ascii="Calibri" w:eastAsia="Times New Roman" w:hAnsi="Calibri" w:cs="Arial"/>
                <w:sz w:val="18"/>
                <w:szCs w:val="18"/>
              </w:rPr>
            </w:pPr>
            <w:r w:rsidRPr="00532810">
              <w:rPr>
                <w:rFonts w:ascii="Calibri" w:eastAsia="Times New Roman" w:hAnsi="Calibri" w:cs="Times New Roman"/>
                <w:color w:val="000000"/>
                <w:sz w:val="18"/>
                <w:szCs w:val="18"/>
                <w:lang w:val="en-GB"/>
              </w:rPr>
              <w:t>16.725</w:t>
            </w:r>
          </w:p>
        </w:tc>
      </w:tr>
      <w:tr w:rsidR="00D419E2" w:rsidRPr="00532810" w14:paraId="147FC4D4" w14:textId="77777777" w:rsidTr="00312975">
        <w:trPr>
          <w:trHeight w:hRule="exact" w:val="41"/>
        </w:trPr>
        <w:tc>
          <w:tcPr>
            <w:tcW w:w="2476" w:type="pct"/>
            <w:vAlign w:val="bottom"/>
          </w:tcPr>
          <w:p w14:paraId="1171FF6B" w14:textId="77777777" w:rsidR="00D419E2" w:rsidRPr="00532810" w:rsidRDefault="00D419E2" w:rsidP="00D419E2">
            <w:pPr>
              <w:keepNext/>
              <w:keepLines/>
              <w:tabs>
                <w:tab w:val="decimal" w:pos="1202"/>
              </w:tabs>
              <w:spacing w:after="0" w:line="140" w:lineRule="exact"/>
              <w:jc w:val="right"/>
              <w:rPr>
                <w:rFonts w:ascii="Calibri" w:eastAsia="Times New Roman" w:hAnsi="Calibri" w:cs="Arial"/>
                <w:b/>
                <w:bCs/>
                <w:spacing w:val="-2"/>
                <w:position w:val="4"/>
                <w:sz w:val="18"/>
                <w:szCs w:val="18"/>
              </w:rPr>
            </w:pPr>
          </w:p>
        </w:tc>
        <w:tc>
          <w:tcPr>
            <w:tcW w:w="632" w:type="pct"/>
            <w:tcBorders>
              <w:bottom w:val="single" w:sz="4" w:space="0" w:color="auto"/>
            </w:tcBorders>
          </w:tcPr>
          <w:p w14:paraId="5D606244" w14:textId="3E7AFAC0" w:rsidR="00D419E2" w:rsidRPr="000E5941" w:rsidRDefault="00D419E2" w:rsidP="00D419E2">
            <w:pPr>
              <w:tabs>
                <w:tab w:val="right" w:pos="1202"/>
              </w:tabs>
              <w:spacing w:after="0" w:line="240" w:lineRule="exact"/>
              <w:jc w:val="right"/>
              <w:outlineLvl w:val="0"/>
              <w:rPr>
                <w:rFonts w:ascii="Calibri" w:eastAsia="Times New Roman" w:hAnsi="Calibri" w:cs="Times New Roman"/>
                <w:color w:val="000000"/>
                <w:sz w:val="18"/>
                <w:szCs w:val="18"/>
                <w:lang w:val="en-GB"/>
              </w:rPr>
            </w:pPr>
          </w:p>
        </w:tc>
        <w:tc>
          <w:tcPr>
            <w:tcW w:w="632" w:type="pct"/>
            <w:tcBorders>
              <w:bottom w:val="single" w:sz="4" w:space="0" w:color="auto"/>
            </w:tcBorders>
          </w:tcPr>
          <w:p w14:paraId="55A6C5F6" w14:textId="4FE45C3E" w:rsidR="00D419E2" w:rsidRPr="00532810" w:rsidRDefault="00D419E2" w:rsidP="00D419E2">
            <w:pPr>
              <w:keepNext/>
              <w:keepLines/>
              <w:tabs>
                <w:tab w:val="decimal" w:pos="1202"/>
              </w:tabs>
              <w:spacing w:after="0" w:line="140" w:lineRule="exact"/>
              <w:jc w:val="right"/>
              <w:rPr>
                <w:rFonts w:ascii="Calibri" w:eastAsia="Times New Roman" w:hAnsi="Calibri" w:cs="Arial"/>
                <w:b/>
                <w:bCs/>
                <w:position w:val="4"/>
                <w:sz w:val="18"/>
                <w:szCs w:val="18"/>
              </w:rPr>
            </w:pPr>
          </w:p>
        </w:tc>
        <w:tc>
          <w:tcPr>
            <w:tcW w:w="631" w:type="pct"/>
            <w:tcBorders>
              <w:bottom w:val="single" w:sz="4" w:space="0" w:color="auto"/>
            </w:tcBorders>
          </w:tcPr>
          <w:p w14:paraId="7A05407C" w14:textId="14D27F36" w:rsidR="00D419E2" w:rsidRPr="00532810" w:rsidRDefault="00D419E2" w:rsidP="00D419E2">
            <w:pPr>
              <w:keepNext/>
              <w:keepLines/>
              <w:tabs>
                <w:tab w:val="decimal" w:pos="1202"/>
              </w:tabs>
              <w:spacing w:after="0" w:line="140" w:lineRule="exact"/>
              <w:jc w:val="right"/>
              <w:rPr>
                <w:rFonts w:ascii="Calibri" w:eastAsia="Times New Roman" w:hAnsi="Calibri" w:cs="Arial"/>
                <w:b/>
                <w:bCs/>
                <w:position w:val="4"/>
                <w:sz w:val="18"/>
                <w:szCs w:val="18"/>
              </w:rPr>
            </w:pPr>
          </w:p>
        </w:tc>
        <w:tc>
          <w:tcPr>
            <w:tcW w:w="629" w:type="pct"/>
            <w:tcBorders>
              <w:bottom w:val="single" w:sz="4" w:space="0" w:color="auto"/>
            </w:tcBorders>
          </w:tcPr>
          <w:p w14:paraId="3687D83F" w14:textId="1521E1E9" w:rsidR="00D419E2" w:rsidRPr="00532810" w:rsidRDefault="00D419E2" w:rsidP="00D419E2">
            <w:pPr>
              <w:keepNext/>
              <w:keepLines/>
              <w:tabs>
                <w:tab w:val="decimal" w:pos="1202"/>
              </w:tabs>
              <w:spacing w:after="0" w:line="140" w:lineRule="exact"/>
              <w:jc w:val="right"/>
              <w:rPr>
                <w:rFonts w:ascii="Calibri" w:eastAsia="Times New Roman" w:hAnsi="Calibri" w:cs="Arial"/>
                <w:b/>
                <w:bCs/>
                <w:position w:val="4"/>
                <w:sz w:val="18"/>
                <w:szCs w:val="18"/>
              </w:rPr>
            </w:pPr>
          </w:p>
        </w:tc>
      </w:tr>
      <w:tr w:rsidR="00D419E2" w:rsidRPr="00532810" w14:paraId="536B30BC" w14:textId="77777777" w:rsidTr="00312975">
        <w:trPr>
          <w:trHeight w:val="49"/>
        </w:trPr>
        <w:tc>
          <w:tcPr>
            <w:tcW w:w="2476" w:type="pct"/>
          </w:tcPr>
          <w:p w14:paraId="04AEA7A0" w14:textId="77777777" w:rsidR="00D419E2" w:rsidRPr="00532810" w:rsidRDefault="00D419E2" w:rsidP="00D419E2">
            <w:pPr>
              <w:tabs>
                <w:tab w:val="right" w:pos="1202"/>
              </w:tabs>
              <w:spacing w:after="0" w:line="240" w:lineRule="exact"/>
              <w:outlineLvl w:val="0"/>
              <w:rPr>
                <w:rFonts w:ascii="Calibri" w:eastAsia="Times New Roman" w:hAnsi="Calibri" w:cs="Arial"/>
                <w:spacing w:val="-2"/>
                <w:sz w:val="18"/>
                <w:szCs w:val="18"/>
              </w:rPr>
            </w:pPr>
            <w:r w:rsidRPr="00532810">
              <w:rPr>
                <w:rFonts w:ascii="Calibri" w:eastAsia="Times New Roman" w:hAnsi="Calibri" w:cs="Times New Roman"/>
                <w:sz w:val="18"/>
                <w:szCs w:val="18"/>
              </w:rPr>
              <w:t>Rezerviranja za moguće gubitke</w:t>
            </w:r>
          </w:p>
        </w:tc>
        <w:tc>
          <w:tcPr>
            <w:tcW w:w="632" w:type="pct"/>
            <w:tcBorders>
              <w:top w:val="single" w:sz="4" w:space="0" w:color="auto"/>
              <w:bottom w:val="single" w:sz="4" w:space="0" w:color="auto"/>
            </w:tcBorders>
          </w:tcPr>
          <w:p w14:paraId="3B6157DA" w14:textId="5D08951F" w:rsidR="00D419E2" w:rsidRPr="000E5941" w:rsidRDefault="00FA25D0" w:rsidP="00D419E2">
            <w:pPr>
              <w:tabs>
                <w:tab w:val="right" w:pos="1202"/>
              </w:tabs>
              <w:spacing w:after="0" w:line="240" w:lineRule="exact"/>
              <w:jc w:val="right"/>
              <w:outlineLvl w:val="0"/>
              <w:rPr>
                <w:rFonts w:ascii="Calibri" w:eastAsia="Times New Roman" w:hAnsi="Calibri" w:cs="Times New Roman"/>
                <w:color w:val="000000"/>
                <w:sz w:val="18"/>
                <w:szCs w:val="18"/>
                <w:lang w:val="en-GB"/>
              </w:rPr>
            </w:pPr>
            <w:r w:rsidRPr="00FA25D0">
              <w:rPr>
                <w:rFonts w:ascii="Calibri" w:eastAsia="Times New Roman" w:hAnsi="Calibri" w:cs="Times New Roman"/>
                <w:color w:val="000000"/>
                <w:sz w:val="18"/>
                <w:szCs w:val="18"/>
                <w:lang w:val="en-GB"/>
              </w:rPr>
              <w:t>(16.725)</w:t>
            </w:r>
            <w:r w:rsidRPr="00FA25D0" w:rsidDel="00060490">
              <w:rPr>
                <w:rFonts w:ascii="Calibri" w:eastAsia="Times New Roman" w:hAnsi="Calibri" w:cs="Times New Roman"/>
                <w:color w:val="000000"/>
                <w:sz w:val="18"/>
                <w:szCs w:val="18"/>
                <w:lang w:val="en-GB"/>
              </w:rPr>
              <w:t xml:space="preserve"> </w:t>
            </w:r>
          </w:p>
        </w:tc>
        <w:tc>
          <w:tcPr>
            <w:tcW w:w="632" w:type="pct"/>
            <w:tcBorders>
              <w:top w:val="single" w:sz="4" w:space="0" w:color="auto"/>
              <w:bottom w:val="single" w:sz="4" w:space="0" w:color="auto"/>
            </w:tcBorders>
            <w:vAlign w:val="bottom"/>
          </w:tcPr>
          <w:p w14:paraId="20741EEA" w14:textId="48886A43" w:rsidR="00D419E2" w:rsidRPr="00532810" w:rsidRDefault="00D419E2" w:rsidP="00D419E2">
            <w:pPr>
              <w:tabs>
                <w:tab w:val="right" w:pos="1202"/>
              </w:tabs>
              <w:spacing w:after="0" w:line="240" w:lineRule="exact"/>
              <w:jc w:val="right"/>
              <w:outlineLvl w:val="0"/>
              <w:rPr>
                <w:rFonts w:ascii="Calibri" w:eastAsia="Times New Roman" w:hAnsi="Calibri" w:cs="Times New Roman"/>
                <w:sz w:val="18"/>
                <w:szCs w:val="18"/>
              </w:rPr>
            </w:pPr>
            <w:r w:rsidRPr="00532810">
              <w:rPr>
                <w:rFonts w:ascii="Calibri" w:eastAsia="Times New Roman" w:hAnsi="Calibri" w:cs="Times New Roman"/>
                <w:sz w:val="18"/>
                <w:szCs w:val="18"/>
              </w:rPr>
              <w:t>(16.725)</w:t>
            </w:r>
          </w:p>
        </w:tc>
        <w:tc>
          <w:tcPr>
            <w:tcW w:w="631" w:type="pct"/>
            <w:tcBorders>
              <w:top w:val="single" w:sz="4" w:space="0" w:color="auto"/>
              <w:bottom w:val="single" w:sz="4" w:space="0" w:color="auto"/>
            </w:tcBorders>
          </w:tcPr>
          <w:p w14:paraId="21D2ACE2" w14:textId="2D4DBFDF" w:rsidR="00D419E2" w:rsidRPr="00532810" w:rsidRDefault="00FA25D0" w:rsidP="00D419E2">
            <w:pPr>
              <w:tabs>
                <w:tab w:val="right" w:pos="1202"/>
              </w:tabs>
              <w:spacing w:after="0" w:line="240" w:lineRule="exact"/>
              <w:jc w:val="right"/>
              <w:outlineLvl w:val="0"/>
              <w:rPr>
                <w:rFonts w:ascii="Calibri" w:eastAsia="Times New Roman" w:hAnsi="Calibri" w:cs="Arial"/>
                <w:sz w:val="18"/>
                <w:szCs w:val="18"/>
              </w:rPr>
            </w:pPr>
            <w:r w:rsidRPr="00FA25D0">
              <w:rPr>
                <w:rFonts w:ascii="Calibri" w:eastAsia="Times New Roman" w:hAnsi="Calibri" w:cs="Arial"/>
                <w:sz w:val="18"/>
                <w:szCs w:val="18"/>
              </w:rPr>
              <w:t>(16.725)</w:t>
            </w:r>
            <w:r w:rsidRPr="00FA25D0" w:rsidDel="000C1284">
              <w:rPr>
                <w:rFonts w:ascii="Calibri" w:eastAsia="Times New Roman" w:hAnsi="Calibri" w:cs="Arial"/>
                <w:sz w:val="18"/>
                <w:szCs w:val="18"/>
              </w:rPr>
              <w:t xml:space="preserve"> </w:t>
            </w:r>
          </w:p>
        </w:tc>
        <w:tc>
          <w:tcPr>
            <w:tcW w:w="629" w:type="pct"/>
            <w:tcBorders>
              <w:top w:val="single" w:sz="4" w:space="0" w:color="auto"/>
              <w:bottom w:val="single" w:sz="4" w:space="0" w:color="auto"/>
            </w:tcBorders>
            <w:vAlign w:val="bottom"/>
          </w:tcPr>
          <w:p w14:paraId="2A3F2495" w14:textId="1D1BE64F" w:rsidR="00D419E2" w:rsidRPr="00532810" w:rsidRDefault="00D419E2" w:rsidP="00D419E2">
            <w:pPr>
              <w:tabs>
                <w:tab w:val="right" w:pos="1202"/>
              </w:tabs>
              <w:spacing w:after="0" w:line="240" w:lineRule="exact"/>
              <w:jc w:val="right"/>
              <w:outlineLvl w:val="0"/>
              <w:rPr>
                <w:rFonts w:ascii="Calibri" w:eastAsia="Times New Roman" w:hAnsi="Calibri" w:cs="Arial"/>
                <w:sz w:val="18"/>
                <w:szCs w:val="18"/>
              </w:rPr>
            </w:pPr>
            <w:r w:rsidRPr="00532810">
              <w:rPr>
                <w:rFonts w:ascii="Calibri" w:eastAsia="Times New Roman" w:hAnsi="Calibri" w:cs="Arial"/>
                <w:sz w:val="18"/>
                <w:szCs w:val="18"/>
              </w:rPr>
              <w:t>(16.725)</w:t>
            </w:r>
          </w:p>
        </w:tc>
      </w:tr>
      <w:tr w:rsidR="00D419E2" w:rsidRPr="00532810" w14:paraId="46128987" w14:textId="77777777" w:rsidTr="00312975">
        <w:trPr>
          <w:trHeight w:val="54"/>
        </w:trPr>
        <w:tc>
          <w:tcPr>
            <w:tcW w:w="2476" w:type="pct"/>
          </w:tcPr>
          <w:p w14:paraId="77180BB4" w14:textId="77777777" w:rsidR="00D419E2" w:rsidRPr="00532810" w:rsidRDefault="00D419E2" w:rsidP="00D419E2">
            <w:pPr>
              <w:tabs>
                <w:tab w:val="right" w:pos="1202"/>
              </w:tabs>
              <w:spacing w:after="0" w:line="260" w:lineRule="exact"/>
              <w:outlineLvl w:val="0"/>
              <w:rPr>
                <w:rFonts w:ascii="Calibri" w:eastAsia="Times New Roman" w:hAnsi="Calibri" w:cs="Arial"/>
                <w:spacing w:val="-2"/>
                <w:sz w:val="18"/>
                <w:szCs w:val="18"/>
              </w:rPr>
            </w:pPr>
          </w:p>
        </w:tc>
        <w:tc>
          <w:tcPr>
            <w:tcW w:w="632" w:type="pct"/>
            <w:tcBorders>
              <w:top w:val="single" w:sz="4" w:space="0" w:color="auto"/>
              <w:bottom w:val="single" w:sz="4" w:space="0" w:color="auto"/>
            </w:tcBorders>
          </w:tcPr>
          <w:p w14:paraId="7085FAEA" w14:textId="1AC6A049" w:rsidR="00D419E2" w:rsidRPr="00D65341" w:rsidRDefault="0065627F" w:rsidP="00D419E2">
            <w:pPr>
              <w:tabs>
                <w:tab w:val="right" w:pos="1202"/>
              </w:tabs>
              <w:spacing w:after="0" w:line="260" w:lineRule="exact"/>
              <w:jc w:val="right"/>
              <w:outlineLvl w:val="0"/>
              <w:rPr>
                <w:rFonts w:ascii="Calibri" w:eastAsia="Times New Roman" w:hAnsi="Calibri" w:cs="Arial"/>
                <w:b/>
                <w:sz w:val="18"/>
                <w:szCs w:val="18"/>
              </w:rPr>
            </w:pPr>
            <w:r>
              <w:rPr>
                <w:rFonts w:ascii="Calibri" w:eastAsia="Times New Roman" w:hAnsi="Calibri" w:cs="Arial"/>
                <w:b/>
                <w:sz w:val="18"/>
                <w:szCs w:val="18"/>
              </w:rPr>
              <w:t>25.258</w:t>
            </w:r>
          </w:p>
        </w:tc>
        <w:tc>
          <w:tcPr>
            <w:tcW w:w="632" w:type="pct"/>
            <w:tcBorders>
              <w:top w:val="single" w:sz="4" w:space="0" w:color="auto"/>
              <w:bottom w:val="single" w:sz="4" w:space="0" w:color="auto"/>
            </w:tcBorders>
          </w:tcPr>
          <w:p w14:paraId="5EF7CD08" w14:textId="08222E81" w:rsidR="00D419E2" w:rsidRPr="00532810" w:rsidRDefault="00D419E2" w:rsidP="00D419E2">
            <w:pPr>
              <w:tabs>
                <w:tab w:val="right" w:pos="1202"/>
              </w:tabs>
              <w:spacing w:after="0" w:line="260" w:lineRule="exact"/>
              <w:jc w:val="right"/>
              <w:outlineLvl w:val="0"/>
              <w:rPr>
                <w:rFonts w:ascii="Calibri" w:eastAsia="Times New Roman" w:hAnsi="Calibri" w:cs="Times New Roman"/>
                <w:b/>
                <w:sz w:val="18"/>
                <w:szCs w:val="18"/>
              </w:rPr>
            </w:pPr>
            <w:r w:rsidRPr="00532810">
              <w:rPr>
                <w:rFonts w:ascii="Calibri" w:eastAsia="Times New Roman" w:hAnsi="Calibri" w:cs="Times New Roman"/>
                <w:b/>
                <w:sz w:val="18"/>
                <w:szCs w:val="18"/>
              </w:rPr>
              <w:t>26.008</w:t>
            </w:r>
          </w:p>
        </w:tc>
        <w:tc>
          <w:tcPr>
            <w:tcW w:w="631" w:type="pct"/>
            <w:tcBorders>
              <w:top w:val="single" w:sz="4" w:space="0" w:color="auto"/>
              <w:bottom w:val="single" w:sz="4" w:space="0" w:color="auto"/>
            </w:tcBorders>
          </w:tcPr>
          <w:p w14:paraId="638186A4" w14:textId="50FFD4EE" w:rsidR="00D419E2" w:rsidRPr="00532810" w:rsidRDefault="0065627F" w:rsidP="00D419E2">
            <w:pPr>
              <w:tabs>
                <w:tab w:val="right" w:pos="1202"/>
              </w:tabs>
              <w:spacing w:after="0" w:line="260" w:lineRule="exact"/>
              <w:jc w:val="right"/>
              <w:outlineLvl w:val="0"/>
              <w:rPr>
                <w:rFonts w:ascii="Calibri" w:eastAsia="Times New Roman" w:hAnsi="Calibri" w:cs="Arial"/>
                <w:b/>
                <w:sz w:val="18"/>
                <w:szCs w:val="18"/>
              </w:rPr>
            </w:pPr>
            <w:r>
              <w:rPr>
                <w:rFonts w:ascii="Calibri" w:eastAsia="Times New Roman" w:hAnsi="Calibri" w:cs="Arial"/>
                <w:b/>
                <w:sz w:val="18"/>
                <w:szCs w:val="18"/>
              </w:rPr>
              <w:t>25.258</w:t>
            </w:r>
          </w:p>
        </w:tc>
        <w:tc>
          <w:tcPr>
            <w:tcW w:w="629" w:type="pct"/>
            <w:tcBorders>
              <w:top w:val="single" w:sz="4" w:space="0" w:color="auto"/>
              <w:bottom w:val="single" w:sz="4" w:space="0" w:color="auto"/>
            </w:tcBorders>
          </w:tcPr>
          <w:p w14:paraId="7B174081" w14:textId="173641BC" w:rsidR="00D419E2" w:rsidRPr="00532810" w:rsidRDefault="00D419E2" w:rsidP="00D419E2">
            <w:pPr>
              <w:tabs>
                <w:tab w:val="right" w:pos="1202"/>
              </w:tabs>
              <w:spacing w:after="0" w:line="260" w:lineRule="exact"/>
              <w:jc w:val="right"/>
              <w:outlineLvl w:val="0"/>
              <w:rPr>
                <w:rFonts w:ascii="Calibri" w:eastAsia="Times New Roman" w:hAnsi="Calibri" w:cs="Arial"/>
                <w:b/>
                <w:sz w:val="18"/>
                <w:szCs w:val="18"/>
              </w:rPr>
            </w:pPr>
            <w:r w:rsidRPr="00532810">
              <w:rPr>
                <w:rFonts w:ascii="Calibri" w:eastAsia="Times New Roman" w:hAnsi="Calibri" w:cs="Arial"/>
                <w:b/>
                <w:sz w:val="18"/>
                <w:szCs w:val="18"/>
              </w:rPr>
              <w:t>26.008</w:t>
            </w:r>
          </w:p>
        </w:tc>
      </w:tr>
      <w:tr w:rsidR="00D419E2" w:rsidRPr="00532810" w14:paraId="58811206" w14:textId="77777777" w:rsidTr="00312975">
        <w:trPr>
          <w:trHeight w:val="13"/>
        </w:trPr>
        <w:tc>
          <w:tcPr>
            <w:tcW w:w="2476" w:type="pct"/>
          </w:tcPr>
          <w:p w14:paraId="5032D2D7" w14:textId="77777777" w:rsidR="00D419E2" w:rsidRPr="00532810" w:rsidRDefault="00D419E2" w:rsidP="00D419E2">
            <w:pPr>
              <w:keepNext/>
              <w:keepLines/>
              <w:tabs>
                <w:tab w:val="decimal" w:pos="1202"/>
              </w:tabs>
              <w:spacing w:after="0" w:line="140" w:lineRule="exact"/>
              <w:rPr>
                <w:rFonts w:ascii="Calibri" w:eastAsia="Times New Roman" w:hAnsi="Calibri" w:cs="Arial"/>
                <w:b/>
                <w:bCs/>
                <w:spacing w:val="-2"/>
                <w:position w:val="4"/>
                <w:sz w:val="18"/>
                <w:szCs w:val="18"/>
              </w:rPr>
            </w:pPr>
          </w:p>
        </w:tc>
        <w:tc>
          <w:tcPr>
            <w:tcW w:w="632" w:type="pct"/>
            <w:tcBorders>
              <w:top w:val="single" w:sz="4" w:space="0" w:color="auto"/>
            </w:tcBorders>
          </w:tcPr>
          <w:p w14:paraId="48CF50EE" w14:textId="253AC990" w:rsidR="00D419E2" w:rsidRPr="00532810" w:rsidRDefault="00D419E2" w:rsidP="00D419E2">
            <w:pPr>
              <w:keepNext/>
              <w:keepLines/>
              <w:tabs>
                <w:tab w:val="decimal" w:pos="1202"/>
              </w:tabs>
              <w:spacing w:after="0" w:line="140" w:lineRule="exact"/>
              <w:jc w:val="right"/>
              <w:rPr>
                <w:rFonts w:ascii="Calibri" w:eastAsia="Times New Roman" w:hAnsi="Calibri" w:cs="Arial"/>
                <w:position w:val="4"/>
                <w:sz w:val="18"/>
                <w:szCs w:val="18"/>
              </w:rPr>
            </w:pPr>
          </w:p>
        </w:tc>
        <w:tc>
          <w:tcPr>
            <w:tcW w:w="632" w:type="pct"/>
            <w:tcBorders>
              <w:top w:val="single" w:sz="4" w:space="0" w:color="auto"/>
            </w:tcBorders>
          </w:tcPr>
          <w:p w14:paraId="54609799" w14:textId="7938CA8A" w:rsidR="00D419E2" w:rsidRPr="00532810" w:rsidRDefault="00D419E2" w:rsidP="00D419E2">
            <w:pPr>
              <w:keepNext/>
              <w:keepLines/>
              <w:tabs>
                <w:tab w:val="decimal" w:pos="1202"/>
              </w:tabs>
              <w:spacing w:after="0" w:line="140" w:lineRule="exact"/>
              <w:jc w:val="right"/>
              <w:rPr>
                <w:rFonts w:ascii="Calibri" w:eastAsia="Times New Roman" w:hAnsi="Calibri" w:cs="Arial"/>
                <w:position w:val="4"/>
                <w:sz w:val="18"/>
                <w:szCs w:val="18"/>
              </w:rPr>
            </w:pPr>
          </w:p>
        </w:tc>
        <w:tc>
          <w:tcPr>
            <w:tcW w:w="631" w:type="pct"/>
            <w:tcBorders>
              <w:top w:val="single" w:sz="4" w:space="0" w:color="auto"/>
            </w:tcBorders>
          </w:tcPr>
          <w:p w14:paraId="18A499F5" w14:textId="609C0427" w:rsidR="00D419E2" w:rsidRPr="00532810" w:rsidRDefault="00D419E2" w:rsidP="00D419E2">
            <w:pPr>
              <w:keepNext/>
              <w:keepLines/>
              <w:tabs>
                <w:tab w:val="decimal" w:pos="1202"/>
              </w:tabs>
              <w:spacing w:after="0" w:line="140" w:lineRule="exact"/>
              <w:jc w:val="right"/>
              <w:rPr>
                <w:rFonts w:ascii="Calibri" w:eastAsia="Times New Roman" w:hAnsi="Calibri" w:cs="Arial"/>
                <w:position w:val="4"/>
                <w:sz w:val="18"/>
                <w:szCs w:val="18"/>
              </w:rPr>
            </w:pPr>
          </w:p>
        </w:tc>
        <w:tc>
          <w:tcPr>
            <w:tcW w:w="629" w:type="pct"/>
            <w:tcBorders>
              <w:top w:val="single" w:sz="4" w:space="0" w:color="auto"/>
            </w:tcBorders>
          </w:tcPr>
          <w:p w14:paraId="7DB30984" w14:textId="0CD8EE40" w:rsidR="00D419E2" w:rsidRPr="00532810" w:rsidRDefault="00D419E2" w:rsidP="00D419E2">
            <w:pPr>
              <w:keepNext/>
              <w:keepLines/>
              <w:tabs>
                <w:tab w:val="decimal" w:pos="1202"/>
              </w:tabs>
              <w:spacing w:after="0" w:line="140" w:lineRule="exact"/>
              <w:jc w:val="right"/>
              <w:rPr>
                <w:rFonts w:ascii="Calibri" w:eastAsia="Times New Roman" w:hAnsi="Calibri" w:cs="Arial"/>
                <w:position w:val="4"/>
                <w:sz w:val="18"/>
                <w:szCs w:val="18"/>
              </w:rPr>
            </w:pPr>
          </w:p>
        </w:tc>
      </w:tr>
      <w:tr w:rsidR="00D419E2" w:rsidRPr="00532810" w14:paraId="212A9B45" w14:textId="77777777" w:rsidTr="00312975">
        <w:trPr>
          <w:trHeight w:val="54"/>
        </w:trPr>
        <w:tc>
          <w:tcPr>
            <w:tcW w:w="2476" w:type="pct"/>
          </w:tcPr>
          <w:p w14:paraId="6A9D60CB" w14:textId="77777777" w:rsidR="00D419E2" w:rsidRPr="00532810" w:rsidRDefault="00D419E2" w:rsidP="00D419E2">
            <w:pPr>
              <w:tabs>
                <w:tab w:val="right" w:pos="1202"/>
              </w:tabs>
              <w:spacing w:after="0" w:line="260" w:lineRule="exact"/>
              <w:outlineLvl w:val="0"/>
              <w:rPr>
                <w:rFonts w:ascii="Calibri" w:eastAsia="Times New Roman" w:hAnsi="Calibri" w:cs="Arial"/>
                <w:b/>
                <w:i/>
                <w:spacing w:val="-2"/>
                <w:sz w:val="18"/>
                <w:szCs w:val="18"/>
              </w:rPr>
            </w:pPr>
            <w:r w:rsidRPr="00532810">
              <w:rPr>
                <w:rFonts w:ascii="Calibri" w:eastAsia="Times New Roman" w:hAnsi="Calibri" w:cs="Arial"/>
                <w:b/>
                <w:i/>
                <w:spacing w:val="-2"/>
                <w:sz w:val="18"/>
                <w:szCs w:val="18"/>
              </w:rPr>
              <w:t>Ulaganja u investicijske fondove:</w:t>
            </w:r>
          </w:p>
        </w:tc>
        <w:tc>
          <w:tcPr>
            <w:tcW w:w="632" w:type="pct"/>
          </w:tcPr>
          <w:p w14:paraId="32974C2D" w14:textId="77777777" w:rsidR="00D419E2" w:rsidRPr="00532810" w:rsidRDefault="00D419E2" w:rsidP="00D419E2">
            <w:pPr>
              <w:tabs>
                <w:tab w:val="right" w:pos="1202"/>
              </w:tabs>
              <w:spacing w:after="0" w:line="260" w:lineRule="exact"/>
              <w:jc w:val="right"/>
              <w:outlineLvl w:val="0"/>
              <w:rPr>
                <w:rFonts w:ascii="Calibri" w:eastAsia="Times New Roman" w:hAnsi="Calibri" w:cs="Arial"/>
                <w:sz w:val="18"/>
                <w:szCs w:val="18"/>
              </w:rPr>
            </w:pPr>
          </w:p>
        </w:tc>
        <w:tc>
          <w:tcPr>
            <w:tcW w:w="632" w:type="pct"/>
          </w:tcPr>
          <w:p w14:paraId="71521A8F" w14:textId="77777777" w:rsidR="00D419E2" w:rsidRPr="00532810" w:rsidRDefault="00D419E2" w:rsidP="00D419E2">
            <w:pPr>
              <w:tabs>
                <w:tab w:val="right" w:pos="1202"/>
              </w:tabs>
              <w:spacing w:after="0" w:line="260" w:lineRule="exact"/>
              <w:jc w:val="right"/>
              <w:outlineLvl w:val="0"/>
              <w:rPr>
                <w:rFonts w:ascii="Calibri" w:eastAsia="Times New Roman" w:hAnsi="Calibri" w:cs="Arial"/>
                <w:sz w:val="18"/>
                <w:szCs w:val="18"/>
              </w:rPr>
            </w:pPr>
          </w:p>
        </w:tc>
        <w:tc>
          <w:tcPr>
            <w:tcW w:w="631" w:type="pct"/>
          </w:tcPr>
          <w:p w14:paraId="75D1D356" w14:textId="77777777" w:rsidR="00D419E2" w:rsidRPr="00532810" w:rsidRDefault="00D419E2" w:rsidP="00D419E2">
            <w:pPr>
              <w:tabs>
                <w:tab w:val="right" w:pos="1202"/>
              </w:tabs>
              <w:spacing w:after="0" w:line="260" w:lineRule="exact"/>
              <w:jc w:val="right"/>
              <w:outlineLvl w:val="0"/>
              <w:rPr>
                <w:rFonts w:ascii="Calibri" w:eastAsia="Times New Roman" w:hAnsi="Calibri" w:cs="Arial"/>
                <w:sz w:val="18"/>
                <w:szCs w:val="18"/>
              </w:rPr>
            </w:pPr>
          </w:p>
        </w:tc>
        <w:tc>
          <w:tcPr>
            <w:tcW w:w="629" w:type="pct"/>
            <w:vAlign w:val="bottom"/>
          </w:tcPr>
          <w:p w14:paraId="0DA57FF5" w14:textId="77777777" w:rsidR="00D419E2" w:rsidRPr="00532810" w:rsidRDefault="00D419E2" w:rsidP="00D419E2">
            <w:pPr>
              <w:tabs>
                <w:tab w:val="right" w:pos="1202"/>
              </w:tabs>
              <w:spacing w:after="0" w:line="260" w:lineRule="exact"/>
              <w:jc w:val="right"/>
              <w:outlineLvl w:val="0"/>
              <w:rPr>
                <w:rFonts w:ascii="Calibri" w:eastAsia="Times New Roman" w:hAnsi="Calibri" w:cs="Arial"/>
                <w:sz w:val="18"/>
                <w:szCs w:val="18"/>
              </w:rPr>
            </w:pPr>
          </w:p>
        </w:tc>
      </w:tr>
      <w:tr w:rsidR="00D419E2" w:rsidRPr="00532810" w14:paraId="7E818E0B" w14:textId="77777777" w:rsidTr="00312975">
        <w:trPr>
          <w:trHeight w:val="31"/>
        </w:trPr>
        <w:tc>
          <w:tcPr>
            <w:tcW w:w="2476" w:type="pct"/>
          </w:tcPr>
          <w:p w14:paraId="7A93618E" w14:textId="77777777" w:rsidR="00D419E2" w:rsidRPr="00532810" w:rsidRDefault="00D419E2" w:rsidP="00D419E2">
            <w:pPr>
              <w:tabs>
                <w:tab w:val="right" w:pos="1202"/>
              </w:tabs>
              <w:spacing w:after="0" w:line="260" w:lineRule="exact"/>
              <w:outlineLvl w:val="0"/>
              <w:rPr>
                <w:rFonts w:ascii="Calibri" w:eastAsia="Times New Roman" w:hAnsi="Calibri" w:cs="Arial"/>
                <w:spacing w:val="-2"/>
                <w:sz w:val="18"/>
                <w:szCs w:val="18"/>
              </w:rPr>
            </w:pPr>
            <w:r w:rsidRPr="00532810">
              <w:rPr>
                <w:rFonts w:ascii="Calibri" w:eastAsia="Times New Roman" w:hAnsi="Calibri" w:cs="Arial"/>
                <w:spacing w:val="-2"/>
                <w:sz w:val="18"/>
                <w:szCs w:val="18"/>
              </w:rPr>
              <w:t>Udjeli raspoređeni u imovinu raspoloživu za prodaju</w:t>
            </w:r>
          </w:p>
        </w:tc>
        <w:tc>
          <w:tcPr>
            <w:tcW w:w="632" w:type="pct"/>
            <w:tcBorders>
              <w:bottom w:val="single" w:sz="4" w:space="0" w:color="auto"/>
            </w:tcBorders>
            <w:vAlign w:val="bottom"/>
          </w:tcPr>
          <w:p w14:paraId="03128D56" w14:textId="01988216" w:rsidR="00D419E2" w:rsidRPr="00532810" w:rsidRDefault="00FA25D0" w:rsidP="00D419E2">
            <w:pPr>
              <w:tabs>
                <w:tab w:val="right" w:pos="1202"/>
              </w:tabs>
              <w:spacing w:after="0" w:line="260" w:lineRule="exact"/>
              <w:jc w:val="right"/>
              <w:outlineLvl w:val="0"/>
              <w:rPr>
                <w:rFonts w:ascii="Calibri" w:eastAsia="Times New Roman" w:hAnsi="Calibri" w:cs="Times New Roman"/>
                <w:sz w:val="18"/>
                <w:szCs w:val="18"/>
              </w:rPr>
            </w:pPr>
            <w:r w:rsidRPr="00FA25D0">
              <w:rPr>
                <w:rFonts w:ascii="Calibri" w:eastAsia="Times New Roman" w:hAnsi="Calibri" w:cs="Times New Roman"/>
                <w:sz w:val="18"/>
                <w:szCs w:val="18"/>
              </w:rPr>
              <w:t>867.430</w:t>
            </w:r>
          </w:p>
        </w:tc>
        <w:tc>
          <w:tcPr>
            <w:tcW w:w="632" w:type="pct"/>
            <w:tcBorders>
              <w:bottom w:val="single" w:sz="4" w:space="0" w:color="auto"/>
            </w:tcBorders>
            <w:vAlign w:val="bottom"/>
          </w:tcPr>
          <w:p w14:paraId="79C4BC62" w14:textId="092C2CDF" w:rsidR="00D419E2" w:rsidRPr="00532810" w:rsidRDefault="00D419E2" w:rsidP="00D419E2">
            <w:pPr>
              <w:tabs>
                <w:tab w:val="right" w:pos="1202"/>
              </w:tabs>
              <w:spacing w:after="0" w:line="260" w:lineRule="exact"/>
              <w:jc w:val="right"/>
              <w:outlineLvl w:val="0"/>
              <w:rPr>
                <w:rFonts w:ascii="Calibri" w:eastAsia="Times New Roman" w:hAnsi="Calibri" w:cs="Times New Roman"/>
                <w:sz w:val="18"/>
                <w:szCs w:val="18"/>
              </w:rPr>
            </w:pPr>
            <w:r w:rsidRPr="00532810">
              <w:rPr>
                <w:rFonts w:ascii="Calibri" w:eastAsia="Times New Roman" w:hAnsi="Calibri" w:cs="Times New Roman"/>
                <w:sz w:val="18"/>
                <w:szCs w:val="18"/>
              </w:rPr>
              <w:t>909.614</w:t>
            </w:r>
          </w:p>
        </w:tc>
        <w:tc>
          <w:tcPr>
            <w:tcW w:w="631" w:type="pct"/>
            <w:tcBorders>
              <w:bottom w:val="single" w:sz="4" w:space="0" w:color="auto"/>
            </w:tcBorders>
            <w:vAlign w:val="bottom"/>
          </w:tcPr>
          <w:p w14:paraId="0B7BF8E3" w14:textId="52C32E61" w:rsidR="00D419E2" w:rsidRPr="00532810" w:rsidRDefault="00FA25D0" w:rsidP="00D419E2">
            <w:pPr>
              <w:tabs>
                <w:tab w:val="right" w:pos="1202"/>
              </w:tabs>
              <w:spacing w:after="0" w:line="260" w:lineRule="exact"/>
              <w:jc w:val="right"/>
              <w:outlineLvl w:val="0"/>
              <w:rPr>
                <w:rFonts w:ascii="Calibri" w:eastAsia="Times New Roman" w:hAnsi="Calibri" w:cs="Arial"/>
                <w:sz w:val="18"/>
                <w:szCs w:val="18"/>
              </w:rPr>
            </w:pPr>
            <w:r w:rsidRPr="00FA25D0">
              <w:rPr>
                <w:rFonts w:ascii="Calibri" w:eastAsia="Times New Roman" w:hAnsi="Calibri" w:cs="Arial"/>
                <w:sz w:val="18"/>
                <w:szCs w:val="18"/>
              </w:rPr>
              <w:t>862.906</w:t>
            </w:r>
          </w:p>
        </w:tc>
        <w:tc>
          <w:tcPr>
            <w:tcW w:w="629" w:type="pct"/>
            <w:tcBorders>
              <w:bottom w:val="single" w:sz="4" w:space="0" w:color="auto"/>
            </w:tcBorders>
            <w:vAlign w:val="bottom"/>
          </w:tcPr>
          <w:p w14:paraId="2E07DBA1" w14:textId="35743F2C" w:rsidR="00D419E2" w:rsidRPr="00532810" w:rsidRDefault="00D419E2" w:rsidP="00D419E2">
            <w:pPr>
              <w:tabs>
                <w:tab w:val="right" w:pos="1202"/>
              </w:tabs>
              <w:spacing w:after="0" w:line="260" w:lineRule="exact"/>
              <w:jc w:val="right"/>
              <w:outlineLvl w:val="0"/>
              <w:rPr>
                <w:rFonts w:ascii="Calibri" w:eastAsia="Times New Roman" w:hAnsi="Calibri" w:cs="Arial"/>
                <w:sz w:val="18"/>
                <w:szCs w:val="18"/>
              </w:rPr>
            </w:pPr>
            <w:r w:rsidRPr="00532810">
              <w:rPr>
                <w:rFonts w:ascii="Calibri" w:eastAsia="Times New Roman" w:hAnsi="Calibri" w:cs="Arial"/>
                <w:sz w:val="18"/>
                <w:szCs w:val="18"/>
              </w:rPr>
              <w:t>906.803</w:t>
            </w:r>
          </w:p>
        </w:tc>
      </w:tr>
      <w:tr w:rsidR="00D419E2" w:rsidRPr="00532810" w14:paraId="04A99F59" w14:textId="77777777" w:rsidTr="00312975">
        <w:trPr>
          <w:trHeight w:val="54"/>
        </w:trPr>
        <w:tc>
          <w:tcPr>
            <w:tcW w:w="2476" w:type="pct"/>
          </w:tcPr>
          <w:p w14:paraId="01799841" w14:textId="77777777" w:rsidR="00D419E2" w:rsidRPr="00532810" w:rsidRDefault="00D419E2" w:rsidP="00D419E2">
            <w:pPr>
              <w:tabs>
                <w:tab w:val="right" w:pos="1202"/>
              </w:tabs>
              <w:spacing w:after="0" w:line="260" w:lineRule="exact"/>
              <w:outlineLvl w:val="0"/>
              <w:rPr>
                <w:rFonts w:ascii="Calibri" w:eastAsia="Times New Roman" w:hAnsi="Calibri" w:cs="Arial"/>
                <w:sz w:val="18"/>
                <w:szCs w:val="18"/>
              </w:rPr>
            </w:pPr>
          </w:p>
        </w:tc>
        <w:tc>
          <w:tcPr>
            <w:tcW w:w="632" w:type="pct"/>
            <w:tcBorders>
              <w:top w:val="single" w:sz="4" w:space="0" w:color="auto"/>
              <w:bottom w:val="single" w:sz="4" w:space="0" w:color="auto"/>
            </w:tcBorders>
          </w:tcPr>
          <w:p w14:paraId="30D29FE0" w14:textId="24D71569" w:rsidR="00D419E2" w:rsidRPr="00532810" w:rsidRDefault="00FA25D0" w:rsidP="00D419E2">
            <w:pPr>
              <w:tabs>
                <w:tab w:val="right" w:pos="1202"/>
              </w:tabs>
              <w:spacing w:after="0" w:line="260" w:lineRule="exact"/>
              <w:jc w:val="right"/>
              <w:outlineLvl w:val="0"/>
              <w:rPr>
                <w:rFonts w:ascii="Calibri" w:eastAsia="Times New Roman" w:hAnsi="Calibri" w:cs="Arial"/>
                <w:b/>
                <w:sz w:val="18"/>
                <w:szCs w:val="18"/>
              </w:rPr>
            </w:pPr>
            <w:r w:rsidRPr="00FA25D0">
              <w:rPr>
                <w:rFonts w:ascii="Calibri" w:eastAsia="Times New Roman" w:hAnsi="Calibri" w:cs="Arial"/>
                <w:b/>
                <w:sz w:val="18"/>
                <w:szCs w:val="18"/>
              </w:rPr>
              <w:t>867.430</w:t>
            </w:r>
          </w:p>
        </w:tc>
        <w:tc>
          <w:tcPr>
            <w:tcW w:w="632" w:type="pct"/>
            <w:tcBorders>
              <w:top w:val="single" w:sz="4" w:space="0" w:color="auto"/>
              <w:bottom w:val="single" w:sz="4" w:space="0" w:color="auto"/>
            </w:tcBorders>
          </w:tcPr>
          <w:p w14:paraId="1B4C18F0" w14:textId="5DEFD419" w:rsidR="00D419E2" w:rsidRPr="00532810" w:rsidRDefault="00D419E2" w:rsidP="00D419E2">
            <w:pPr>
              <w:tabs>
                <w:tab w:val="right" w:pos="1202"/>
              </w:tabs>
              <w:spacing w:after="0" w:line="260" w:lineRule="exact"/>
              <w:jc w:val="right"/>
              <w:outlineLvl w:val="0"/>
              <w:rPr>
                <w:rFonts w:ascii="Calibri" w:eastAsia="Times New Roman" w:hAnsi="Calibri" w:cs="Arial"/>
                <w:b/>
                <w:sz w:val="18"/>
                <w:szCs w:val="18"/>
              </w:rPr>
            </w:pPr>
            <w:r w:rsidRPr="00532810">
              <w:rPr>
                <w:rFonts w:ascii="Calibri" w:eastAsia="Times New Roman" w:hAnsi="Calibri" w:cs="Arial"/>
                <w:b/>
                <w:sz w:val="18"/>
                <w:szCs w:val="18"/>
              </w:rPr>
              <w:t>909.614</w:t>
            </w:r>
          </w:p>
        </w:tc>
        <w:tc>
          <w:tcPr>
            <w:tcW w:w="631" w:type="pct"/>
            <w:tcBorders>
              <w:top w:val="single" w:sz="4" w:space="0" w:color="auto"/>
              <w:bottom w:val="single" w:sz="4" w:space="0" w:color="auto"/>
            </w:tcBorders>
          </w:tcPr>
          <w:p w14:paraId="516575E2" w14:textId="6A5D17BC" w:rsidR="00D419E2" w:rsidRPr="00532810" w:rsidDel="00561A80" w:rsidRDefault="00FA25D0" w:rsidP="00D419E2">
            <w:pPr>
              <w:tabs>
                <w:tab w:val="right" w:pos="1202"/>
              </w:tabs>
              <w:spacing w:after="0" w:line="260" w:lineRule="exact"/>
              <w:jc w:val="right"/>
              <w:outlineLvl w:val="0"/>
              <w:rPr>
                <w:rFonts w:ascii="Calibri" w:eastAsia="Times New Roman" w:hAnsi="Calibri" w:cs="Arial"/>
                <w:b/>
                <w:sz w:val="18"/>
                <w:szCs w:val="18"/>
              </w:rPr>
            </w:pPr>
            <w:r w:rsidRPr="00FA25D0">
              <w:rPr>
                <w:rFonts w:ascii="Calibri" w:eastAsia="Times New Roman" w:hAnsi="Calibri" w:cs="Arial"/>
                <w:b/>
                <w:sz w:val="18"/>
                <w:szCs w:val="18"/>
              </w:rPr>
              <w:t>862.906</w:t>
            </w:r>
          </w:p>
        </w:tc>
        <w:tc>
          <w:tcPr>
            <w:tcW w:w="629" w:type="pct"/>
            <w:tcBorders>
              <w:top w:val="single" w:sz="4" w:space="0" w:color="auto"/>
              <w:bottom w:val="single" w:sz="4" w:space="0" w:color="auto"/>
            </w:tcBorders>
            <w:vAlign w:val="bottom"/>
          </w:tcPr>
          <w:p w14:paraId="3C683442" w14:textId="0B39133F" w:rsidR="00D419E2" w:rsidRPr="00532810" w:rsidDel="00561A80" w:rsidRDefault="00D419E2" w:rsidP="00D419E2">
            <w:pPr>
              <w:tabs>
                <w:tab w:val="right" w:pos="1202"/>
              </w:tabs>
              <w:spacing w:after="0" w:line="260" w:lineRule="exact"/>
              <w:jc w:val="right"/>
              <w:outlineLvl w:val="0"/>
              <w:rPr>
                <w:rFonts w:ascii="Calibri" w:eastAsia="Times New Roman" w:hAnsi="Calibri" w:cs="Arial"/>
                <w:b/>
                <w:sz w:val="18"/>
                <w:szCs w:val="18"/>
              </w:rPr>
            </w:pPr>
            <w:r w:rsidRPr="00532810">
              <w:rPr>
                <w:rFonts w:ascii="Calibri" w:eastAsia="Times New Roman" w:hAnsi="Calibri" w:cs="Arial"/>
                <w:b/>
                <w:sz w:val="18"/>
                <w:szCs w:val="18"/>
              </w:rPr>
              <w:t>906.803</w:t>
            </w:r>
          </w:p>
        </w:tc>
      </w:tr>
      <w:tr w:rsidR="00D419E2" w:rsidRPr="00532810" w14:paraId="1408AEA4" w14:textId="77777777" w:rsidTr="00312975">
        <w:trPr>
          <w:trHeight w:val="34"/>
        </w:trPr>
        <w:tc>
          <w:tcPr>
            <w:tcW w:w="2476" w:type="pct"/>
          </w:tcPr>
          <w:p w14:paraId="4944A816" w14:textId="142A4039" w:rsidR="00D419E2" w:rsidRPr="00532810" w:rsidRDefault="00D419E2" w:rsidP="00D419E2">
            <w:pPr>
              <w:tabs>
                <w:tab w:val="right" w:pos="1202"/>
              </w:tabs>
              <w:spacing w:after="0" w:line="260" w:lineRule="exact"/>
              <w:outlineLvl w:val="0"/>
              <w:rPr>
                <w:rFonts w:ascii="Calibri" w:eastAsia="Times New Roman" w:hAnsi="Calibri" w:cs="Arial"/>
                <w:sz w:val="18"/>
                <w:szCs w:val="18"/>
              </w:rPr>
            </w:pPr>
            <w:r w:rsidRPr="00532810">
              <w:rPr>
                <w:rFonts w:ascii="Calibri" w:eastAsia="Times New Roman" w:hAnsi="Calibri" w:cs="Arial"/>
                <w:b/>
                <w:bCs/>
                <w:sz w:val="18"/>
                <w:szCs w:val="18"/>
              </w:rPr>
              <w:t xml:space="preserve">Stanje </w:t>
            </w:r>
          </w:p>
        </w:tc>
        <w:tc>
          <w:tcPr>
            <w:tcW w:w="632" w:type="pct"/>
            <w:tcBorders>
              <w:top w:val="single" w:sz="4" w:space="0" w:color="auto"/>
              <w:bottom w:val="single" w:sz="12" w:space="0" w:color="auto"/>
            </w:tcBorders>
            <w:vAlign w:val="bottom"/>
          </w:tcPr>
          <w:p w14:paraId="69F14189" w14:textId="10648927" w:rsidR="00D419E2" w:rsidRPr="00532810" w:rsidRDefault="00FA25D0" w:rsidP="00D419E2">
            <w:pPr>
              <w:tabs>
                <w:tab w:val="right" w:pos="1202"/>
              </w:tabs>
              <w:spacing w:after="0" w:line="260" w:lineRule="exact"/>
              <w:jc w:val="right"/>
              <w:outlineLvl w:val="0"/>
              <w:rPr>
                <w:rFonts w:ascii="Calibri" w:eastAsia="Times New Roman" w:hAnsi="Calibri" w:cs="Arial"/>
                <w:b/>
                <w:sz w:val="18"/>
                <w:szCs w:val="18"/>
              </w:rPr>
            </w:pPr>
            <w:r w:rsidRPr="00FA25D0">
              <w:rPr>
                <w:rFonts w:ascii="Calibri" w:eastAsia="Times New Roman" w:hAnsi="Calibri" w:cs="Arial"/>
                <w:b/>
                <w:sz w:val="18"/>
                <w:szCs w:val="18"/>
              </w:rPr>
              <w:t>3.097.149</w:t>
            </w:r>
          </w:p>
        </w:tc>
        <w:tc>
          <w:tcPr>
            <w:tcW w:w="632" w:type="pct"/>
            <w:tcBorders>
              <w:top w:val="single" w:sz="4" w:space="0" w:color="auto"/>
              <w:bottom w:val="single" w:sz="12" w:space="0" w:color="auto"/>
            </w:tcBorders>
            <w:vAlign w:val="bottom"/>
          </w:tcPr>
          <w:p w14:paraId="676C1409" w14:textId="52B9778C" w:rsidR="00D419E2" w:rsidRPr="00532810" w:rsidRDefault="00D419E2" w:rsidP="00D419E2">
            <w:pPr>
              <w:tabs>
                <w:tab w:val="right" w:pos="1202"/>
              </w:tabs>
              <w:spacing w:after="0" w:line="260" w:lineRule="exact"/>
              <w:jc w:val="right"/>
              <w:outlineLvl w:val="0"/>
              <w:rPr>
                <w:rFonts w:ascii="Calibri" w:eastAsia="Times New Roman" w:hAnsi="Calibri" w:cs="Arial"/>
                <w:b/>
                <w:sz w:val="18"/>
                <w:szCs w:val="18"/>
              </w:rPr>
            </w:pPr>
            <w:r w:rsidRPr="00532810">
              <w:rPr>
                <w:rFonts w:ascii="Calibri" w:eastAsia="Times New Roman" w:hAnsi="Calibri" w:cs="Arial"/>
                <w:b/>
                <w:sz w:val="18"/>
                <w:szCs w:val="18"/>
              </w:rPr>
              <w:t>3.390.034</w:t>
            </w:r>
          </w:p>
        </w:tc>
        <w:tc>
          <w:tcPr>
            <w:tcW w:w="631" w:type="pct"/>
            <w:tcBorders>
              <w:top w:val="single" w:sz="4" w:space="0" w:color="auto"/>
              <w:bottom w:val="single" w:sz="12" w:space="0" w:color="auto"/>
            </w:tcBorders>
            <w:vAlign w:val="bottom"/>
          </w:tcPr>
          <w:p w14:paraId="3849935B" w14:textId="7BEE4853" w:rsidR="00D419E2" w:rsidRPr="00532810" w:rsidRDefault="00FA25D0" w:rsidP="00D419E2">
            <w:pPr>
              <w:tabs>
                <w:tab w:val="right" w:pos="1202"/>
              </w:tabs>
              <w:spacing w:after="0" w:line="260" w:lineRule="exact"/>
              <w:jc w:val="right"/>
              <w:outlineLvl w:val="0"/>
              <w:rPr>
                <w:rFonts w:ascii="Calibri" w:eastAsia="Times New Roman" w:hAnsi="Calibri" w:cs="Arial"/>
                <w:b/>
                <w:sz w:val="18"/>
                <w:szCs w:val="18"/>
              </w:rPr>
            </w:pPr>
            <w:r w:rsidRPr="00FA25D0">
              <w:rPr>
                <w:rFonts w:ascii="Calibri" w:eastAsia="Times New Roman" w:hAnsi="Calibri" w:cs="Arial"/>
                <w:b/>
                <w:sz w:val="18"/>
                <w:szCs w:val="18"/>
              </w:rPr>
              <w:t>3.047.924</w:t>
            </w:r>
          </w:p>
        </w:tc>
        <w:tc>
          <w:tcPr>
            <w:tcW w:w="629" w:type="pct"/>
            <w:tcBorders>
              <w:top w:val="single" w:sz="4" w:space="0" w:color="auto"/>
              <w:bottom w:val="single" w:sz="12" w:space="0" w:color="auto"/>
            </w:tcBorders>
            <w:vAlign w:val="bottom"/>
          </w:tcPr>
          <w:p w14:paraId="79A6EE16" w14:textId="64869ACB" w:rsidR="00D419E2" w:rsidRPr="00532810" w:rsidRDefault="00D419E2" w:rsidP="00D419E2">
            <w:pPr>
              <w:tabs>
                <w:tab w:val="right" w:pos="1202"/>
              </w:tabs>
              <w:spacing w:after="0" w:line="260" w:lineRule="exact"/>
              <w:jc w:val="right"/>
              <w:outlineLvl w:val="0"/>
              <w:rPr>
                <w:rFonts w:ascii="Calibri" w:eastAsia="Times New Roman" w:hAnsi="Calibri" w:cs="Arial"/>
                <w:b/>
                <w:sz w:val="18"/>
                <w:szCs w:val="18"/>
              </w:rPr>
            </w:pPr>
            <w:r w:rsidRPr="00532810">
              <w:rPr>
                <w:rFonts w:ascii="Calibri" w:eastAsia="Times New Roman" w:hAnsi="Calibri" w:cs="Arial"/>
                <w:b/>
                <w:sz w:val="18"/>
                <w:szCs w:val="18"/>
              </w:rPr>
              <w:t>3.343.574</w:t>
            </w:r>
          </w:p>
        </w:tc>
      </w:tr>
    </w:tbl>
    <w:p w14:paraId="42FA2D2D" w14:textId="77777777" w:rsidR="00071AD1" w:rsidRDefault="00071AD1" w:rsidP="006F009D">
      <w:pPr>
        <w:tabs>
          <w:tab w:val="left" w:pos="-720"/>
        </w:tabs>
        <w:spacing w:after="0" w:line="240" w:lineRule="auto"/>
        <w:jc w:val="both"/>
        <w:rPr>
          <w:rFonts w:eastAsia="Times New Roman" w:cs="Calibri"/>
          <w:sz w:val="24"/>
          <w:szCs w:val="24"/>
          <w:lang w:eastAsia="hr-HR"/>
        </w:rPr>
      </w:pPr>
    </w:p>
    <w:p w14:paraId="12A3F89C" w14:textId="77777777" w:rsidR="00D0278F" w:rsidRDefault="00D0278F" w:rsidP="006F009D">
      <w:pPr>
        <w:tabs>
          <w:tab w:val="left" w:pos="-720"/>
        </w:tabs>
        <w:spacing w:after="0" w:line="240" w:lineRule="auto"/>
        <w:jc w:val="both"/>
        <w:rPr>
          <w:rFonts w:eastAsia="Times New Roman" w:cs="Calibri"/>
          <w:sz w:val="24"/>
          <w:szCs w:val="24"/>
          <w:lang w:eastAsia="hr-HR"/>
        </w:rPr>
      </w:pPr>
    </w:p>
    <w:p w14:paraId="3785234F" w14:textId="77777777" w:rsidR="001C53D5" w:rsidRDefault="001C53D5" w:rsidP="006F009D">
      <w:pPr>
        <w:tabs>
          <w:tab w:val="left" w:pos="-720"/>
        </w:tabs>
        <w:spacing w:after="0" w:line="240" w:lineRule="auto"/>
        <w:jc w:val="both"/>
        <w:rPr>
          <w:rFonts w:eastAsia="Times New Roman" w:cs="Calibri"/>
          <w:sz w:val="24"/>
          <w:szCs w:val="24"/>
          <w:lang w:eastAsia="hr-HR"/>
        </w:rPr>
      </w:pPr>
    </w:p>
    <w:p w14:paraId="09A84EBE" w14:textId="77777777" w:rsidR="001C53D5" w:rsidRDefault="001C53D5" w:rsidP="006F009D">
      <w:pPr>
        <w:tabs>
          <w:tab w:val="left" w:pos="-720"/>
        </w:tabs>
        <w:spacing w:after="0" w:line="240" w:lineRule="auto"/>
        <w:jc w:val="both"/>
        <w:rPr>
          <w:rFonts w:eastAsia="Times New Roman" w:cs="Calibri"/>
          <w:sz w:val="24"/>
          <w:szCs w:val="24"/>
          <w:lang w:eastAsia="hr-HR"/>
        </w:rPr>
      </w:pPr>
    </w:p>
    <w:p w14:paraId="18E1759D" w14:textId="77777777" w:rsidR="001C53D5" w:rsidRDefault="001C53D5" w:rsidP="006F009D">
      <w:pPr>
        <w:tabs>
          <w:tab w:val="left" w:pos="-720"/>
        </w:tabs>
        <w:spacing w:after="0" w:line="240" w:lineRule="auto"/>
        <w:jc w:val="both"/>
        <w:rPr>
          <w:rFonts w:eastAsia="Times New Roman" w:cs="Calibri"/>
          <w:sz w:val="24"/>
          <w:szCs w:val="24"/>
          <w:lang w:eastAsia="hr-HR"/>
        </w:rPr>
      </w:pPr>
    </w:p>
    <w:p w14:paraId="1C69D06B" w14:textId="77777777" w:rsidR="001C53D5" w:rsidRDefault="001C53D5" w:rsidP="006F009D">
      <w:pPr>
        <w:tabs>
          <w:tab w:val="left" w:pos="-720"/>
        </w:tabs>
        <w:spacing w:after="0" w:line="240" w:lineRule="auto"/>
        <w:jc w:val="both"/>
        <w:rPr>
          <w:rFonts w:eastAsia="Times New Roman" w:cs="Calibri"/>
          <w:sz w:val="24"/>
          <w:szCs w:val="24"/>
          <w:lang w:eastAsia="hr-HR"/>
        </w:rPr>
      </w:pPr>
    </w:p>
    <w:p w14:paraId="226D5E2F" w14:textId="77777777" w:rsidR="001C53D5" w:rsidRDefault="001C53D5" w:rsidP="006F009D">
      <w:pPr>
        <w:tabs>
          <w:tab w:val="left" w:pos="-720"/>
        </w:tabs>
        <w:spacing w:after="0" w:line="240" w:lineRule="auto"/>
        <w:jc w:val="both"/>
        <w:rPr>
          <w:rFonts w:eastAsia="Times New Roman" w:cs="Calibri"/>
          <w:sz w:val="24"/>
          <w:szCs w:val="24"/>
          <w:lang w:eastAsia="hr-HR"/>
        </w:rPr>
        <w:sectPr w:rsidR="001C53D5" w:rsidSect="00312975">
          <w:footerReference w:type="first" r:id="rId74"/>
          <w:pgSz w:w="11906" w:h="16838" w:code="9"/>
          <w:pgMar w:top="595" w:right="1134" w:bottom="1418" w:left="1418" w:header="709" w:footer="709" w:gutter="0"/>
          <w:cols w:space="708"/>
          <w:titlePg/>
          <w:docGrid w:linePitch="360"/>
        </w:sectPr>
      </w:pPr>
    </w:p>
    <w:p w14:paraId="58C2E539" w14:textId="77777777" w:rsidR="002255D9" w:rsidRDefault="002255D9" w:rsidP="00A02FC0">
      <w:pPr>
        <w:tabs>
          <w:tab w:val="left" w:pos="-720"/>
          <w:tab w:val="left" w:pos="993"/>
        </w:tabs>
        <w:spacing w:after="0" w:line="240" w:lineRule="auto"/>
        <w:jc w:val="both"/>
        <w:rPr>
          <w:rFonts w:eastAsia="Times New Roman" w:cs="Arial"/>
          <w:b/>
        </w:rPr>
      </w:pPr>
    </w:p>
    <w:p w14:paraId="47E0A5BB" w14:textId="77777777" w:rsidR="0026089C" w:rsidRDefault="00F417B5" w:rsidP="0088252B">
      <w:pPr>
        <w:tabs>
          <w:tab w:val="left" w:pos="-720"/>
          <w:tab w:val="left" w:pos="567"/>
        </w:tabs>
        <w:spacing w:after="0" w:line="240" w:lineRule="auto"/>
        <w:jc w:val="both"/>
        <w:rPr>
          <w:rFonts w:eastAsia="Times New Roman" w:cs="Arial"/>
          <w:b/>
        </w:rPr>
      </w:pPr>
      <w:r>
        <w:rPr>
          <w:rFonts w:eastAsia="Times New Roman" w:cs="Arial"/>
          <w:b/>
        </w:rPr>
        <w:t>11</w:t>
      </w:r>
      <w:r w:rsidR="0026089C" w:rsidRPr="00ED4731">
        <w:rPr>
          <w:rFonts w:eastAsia="Times New Roman" w:cs="Arial"/>
          <w:b/>
        </w:rPr>
        <w:t>.</w:t>
      </w:r>
      <w:r w:rsidR="0026089C" w:rsidRPr="00ED4731">
        <w:rPr>
          <w:rFonts w:eastAsia="Times New Roman" w:cs="Arial"/>
          <w:b/>
        </w:rPr>
        <w:tab/>
        <w:t>Imovina raspoloživa za prodaju (nastavak)</w:t>
      </w:r>
    </w:p>
    <w:p w14:paraId="7F858EAF" w14:textId="77777777" w:rsidR="0088252B" w:rsidRPr="00ED4731" w:rsidRDefault="0088252B" w:rsidP="0088252B">
      <w:pPr>
        <w:tabs>
          <w:tab w:val="left" w:pos="-720"/>
          <w:tab w:val="left" w:pos="567"/>
        </w:tabs>
        <w:spacing w:after="0" w:line="240" w:lineRule="auto"/>
        <w:jc w:val="both"/>
        <w:rPr>
          <w:rFonts w:eastAsia="Times New Roman" w:cs="Arial"/>
          <w:b/>
        </w:rPr>
      </w:pPr>
    </w:p>
    <w:p w14:paraId="1042D19A" w14:textId="77777777" w:rsidR="000F410E" w:rsidRPr="00D85283" w:rsidRDefault="00071AD1" w:rsidP="0088252B">
      <w:pPr>
        <w:pStyle w:val="ListParagraph"/>
        <w:tabs>
          <w:tab w:val="left" w:pos="-720"/>
        </w:tabs>
        <w:suppressAutoHyphens/>
        <w:spacing w:after="0" w:line="240" w:lineRule="auto"/>
        <w:ind w:left="851" w:hanging="284"/>
        <w:rPr>
          <w:rFonts w:eastAsia="Times New Roman" w:cs="Calibri"/>
          <w:b/>
          <w:spacing w:val="-3"/>
          <w:lang w:eastAsia="hr-HR"/>
        </w:rPr>
      </w:pPr>
      <w:r w:rsidRPr="00ED4731">
        <w:rPr>
          <w:rFonts w:eastAsia="Times New Roman" w:cs="Calibri"/>
          <w:spacing w:val="-3"/>
          <w:lang w:eastAsia="hr-HR"/>
        </w:rPr>
        <w:t>U nastavku se daje p</w:t>
      </w:r>
      <w:r w:rsidR="001458AC" w:rsidRPr="00ED4731">
        <w:rPr>
          <w:rFonts w:eastAsia="Times New Roman" w:cs="Calibri"/>
          <w:spacing w:val="-3"/>
          <w:lang w:eastAsia="hr-HR"/>
        </w:rPr>
        <w:t>regled ulaganja</w:t>
      </w:r>
      <w:r w:rsidR="00035A14" w:rsidRPr="00ED4731">
        <w:rPr>
          <w:rFonts w:eastAsia="Times New Roman" w:cs="Calibri"/>
          <w:spacing w:val="-3"/>
          <w:lang w:eastAsia="hr-HR"/>
        </w:rPr>
        <w:t>:</w:t>
      </w:r>
    </w:p>
    <w:p w14:paraId="578D1C6D" w14:textId="77777777" w:rsidR="009F6ADE" w:rsidRDefault="009F6ADE" w:rsidP="0088252B">
      <w:pPr>
        <w:spacing w:after="0" w:line="240" w:lineRule="auto"/>
      </w:pPr>
    </w:p>
    <w:tbl>
      <w:tblPr>
        <w:tblW w:w="10633" w:type="dxa"/>
        <w:tblInd w:w="-426" w:type="dxa"/>
        <w:tblLayout w:type="fixed"/>
        <w:tblLook w:val="04A0" w:firstRow="1" w:lastRow="0" w:firstColumn="1" w:lastColumn="0" w:noHBand="0" w:noVBand="1"/>
      </w:tblPr>
      <w:tblGrid>
        <w:gridCol w:w="2419"/>
        <w:gridCol w:w="1142"/>
        <w:gridCol w:w="1142"/>
        <w:gridCol w:w="1221"/>
        <w:gridCol w:w="1177"/>
        <w:gridCol w:w="1177"/>
        <w:gridCol w:w="1177"/>
        <w:gridCol w:w="1178"/>
      </w:tblGrid>
      <w:tr w:rsidR="009F6ADE" w:rsidRPr="009F6ADE" w14:paraId="73DC287E" w14:textId="77777777" w:rsidTr="009F6ADE">
        <w:trPr>
          <w:trHeight w:val="199"/>
        </w:trPr>
        <w:tc>
          <w:tcPr>
            <w:tcW w:w="2419" w:type="dxa"/>
            <w:tcBorders>
              <w:top w:val="nil"/>
              <w:left w:val="nil"/>
              <w:bottom w:val="nil"/>
              <w:right w:val="nil"/>
            </w:tcBorders>
            <w:shd w:val="clear" w:color="auto" w:fill="auto"/>
            <w:noWrap/>
            <w:vAlign w:val="bottom"/>
            <w:hideMark/>
          </w:tcPr>
          <w:p w14:paraId="251DBC9C" w14:textId="77777777" w:rsidR="009F6ADE" w:rsidRPr="009F6ADE" w:rsidRDefault="009F6ADE" w:rsidP="009F6ADE">
            <w:pPr>
              <w:spacing w:after="0" w:line="240" w:lineRule="auto"/>
              <w:rPr>
                <w:rFonts w:ascii="Calibri" w:eastAsia="Times New Roman" w:hAnsi="Calibri" w:cs="Times New Roman"/>
                <w:sz w:val="18"/>
                <w:szCs w:val="18"/>
              </w:rPr>
            </w:pPr>
          </w:p>
        </w:tc>
        <w:tc>
          <w:tcPr>
            <w:tcW w:w="1142" w:type="dxa"/>
            <w:tcBorders>
              <w:top w:val="nil"/>
              <w:left w:val="nil"/>
              <w:bottom w:val="nil"/>
              <w:right w:val="nil"/>
            </w:tcBorders>
            <w:shd w:val="clear" w:color="auto" w:fill="auto"/>
            <w:vAlign w:val="center"/>
            <w:hideMark/>
          </w:tcPr>
          <w:p w14:paraId="00D960D3" w14:textId="77777777" w:rsidR="009F6ADE" w:rsidRPr="009F6ADE" w:rsidRDefault="009F6ADE" w:rsidP="009F6ADE">
            <w:pPr>
              <w:spacing w:after="0" w:line="240" w:lineRule="auto"/>
              <w:rPr>
                <w:rFonts w:ascii="Calibri" w:eastAsia="Times New Roman" w:hAnsi="Calibri" w:cs="Times New Roman"/>
                <w:sz w:val="18"/>
                <w:szCs w:val="18"/>
              </w:rPr>
            </w:pPr>
          </w:p>
        </w:tc>
        <w:tc>
          <w:tcPr>
            <w:tcW w:w="1142" w:type="dxa"/>
            <w:tcBorders>
              <w:top w:val="nil"/>
              <w:left w:val="nil"/>
              <w:bottom w:val="nil"/>
              <w:right w:val="nil"/>
            </w:tcBorders>
            <w:shd w:val="clear" w:color="auto" w:fill="auto"/>
            <w:vAlign w:val="center"/>
            <w:hideMark/>
          </w:tcPr>
          <w:p w14:paraId="2E644250" w14:textId="77777777" w:rsidR="009F6ADE" w:rsidRPr="009F6ADE" w:rsidRDefault="009F6ADE" w:rsidP="009F6ADE">
            <w:pPr>
              <w:spacing w:after="0" w:line="240" w:lineRule="auto"/>
              <w:jc w:val="center"/>
              <w:rPr>
                <w:rFonts w:ascii="Calibri" w:eastAsia="Times New Roman" w:hAnsi="Calibri" w:cs="Times New Roman"/>
                <w:sz w:val="18"/>
                <w:szCs w:val="18"/>
              </w:rPr>
            </w:pPr>
          </w:p>
        </w:tc>
        <w:tc>
          <w:tcPr>
            <w:tcW w:w="1221" w:type="dxa"/>
            <w:tcBorders>
              <w:top w:val="nil"/>
              <w:left w:val="nil"/>
              <w:bottom w:val="nil"/>
              <w:right w:val="nil"/>
            </w:tcBorders>
            <w:shd w:val="clear" w:color="auto" w:fill="auto"/>
            <w:vAlign w:val="center"/>
            <w:hideMark/>
          </w:tcPr>
          <w:p w14:paraId="5750D1BA" w14:textId="77777777" w:rsidR="009F6ADE" w:rsidRPr="009F6ADE" w:rsidRDefault="009F6ADE" w:rsidP="009F6ADE">
            <w:pPr>
              <w:spacing w:after="0" w:line="240" w:lineRule="auto"/>
              <w:jc w:val="center"/>
              <w:rPr>
                <w:rFonts w:ascii="Calibri" w:eastAsia="Times New Roman" w:hAnsi="Calibri" w:cs="Times New Roman"/>
                <w:sz w:val="18"/>
                <w:szCs w:val="18"/>
              </w:rPr>
            </w:pPr>
          </w:p>
        </w:tc>
        <w:tc>
          <w:tcPr>
            <w:tcW w:w="2354" w:type="dxa"/>
            <w:gridSpan w:val="2"/>
            <w:tcBorders>
              <w:top w:val="nil"/>
              <w:left w:val="nil"/>
              <w:bottom w:val="nil"/>
              <w:right w:val="nil"/>
            </w:tcBorders>
            <w:shd w:val="clear" w:color="auto" w:fill="auto"/>
            <w:vAlign w:val="center"/>
            <w:hideMark/>
          </w:tcPr>
          <w:p w14:paraId="528AA9AB" w14:textId="77777777" w:rsidR="009F6ADE" w:rsidRPr="009F6ADE" w:rsidRDefault="009F6ADE" w:rsidP="009F6ADE">
            <w:pPr>
              <w:spacing w:after="0" w:line="240" w:lineRule="auto"/>
              <w:jc w:val="right"/>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Grupa</w:t>
            </w:r>
          </w:p>
        </w:tc>
        <w:tc>
          <w:tcPr>
            <w:tcW w:w="2355" w:type="dxa"/>
            <w:gridSpan w:val="2"/>
            <w:tcBorders>
              <w:top w:val="nil"/>
              <w:left w:val="nil"/>
              <w:bottom w:val="nil"/>
              <w:right w:val="nil"/>
            </w:tcBorders>
            <w:shd w:val="clear" w:color="auto" w:fill="auto"/>
            <w:vAlign w:val="center"/>
            <w:hideMark/>
          </w:tcPr>
          <w:p w14:paraId="2C9BE63B" w14:textId="77777777" w:rsidR="009F6ADE" w:rsidRPr="009F6ADE" w:rsidRDefault="009F6ADE" w:rsidP="009F6ADE">
            <w:pPr>
              <w:spacing w:after="0" w:line="240" w:lineRule="auto"/>
              <w:jc w:val="right"/>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Banka</w:t>
            </w:r>
          </w:p>
        </w:tc>
      </w:tr>
      <w:tr w:rsidR="009F6ADE" w:rsidRPr="009F6ADE" w14:paraId="49DF12EB" w14:textId="77777777" w:rsidTr="009F6ADE">
        <w:trPr>
          <w:trHeight w:val="364"/>
        </w:trPr>
        <w:tc>
          <w:tcPr>
            <w:tcW w:w="2419" w:type="dxa"/>
            <w:tcBorders>
              <w:top w:val="nil"/>
              <w:left w:val="nil"/>
              <w:bottom w:val="nil"/>
              <w:right w:val="nil"/>
            </w:tcBorders>
            <w:shd w:val="clear" w:color="auto" w:fill="auto"/>
            <w:noWrap/>
            <w:vAlign w:val="center"/>
            <w:hideMark/>
          </w:tcPr>
          <w:p w14:paraId="600A596A" w14:textId="77777777" w:rsidR="009F6ADE" w:rsidRPr="009F6ADE" w:rsidRDefault="009F6ADE" w:rsidP="009F6ADE">
            <w:pPr>
              <w:spacing w:after="0" w:line="240" w:lineRule="auto"/>
              <w:jc w:val="right"/>
              <w:rPr>
                <w:rFonts w:ascii="Calibri" w:eastAsia="Times New Roman" w:hAnsi="Calibri" w:cs="Arial"/>
                <w:b/>
                <w:bCs/>
                <w:color w:val="000000"/>
                <w:sz w:val="18"/>
                <w:szCs w:val="18"/>
              </w:rPr>
            </w:pPr>
          </w:p>
        </w:tc>
        <w:tc>
          <w:tcPr>
            <w:tcW w:w="1142" w:type="dxa"/>
            <w:tcBorders>
              <w:top w:val="nil"/>
              <w:left w:val="nil"/>
              <w:bottom w:val="nil"/>
              <w:right w:val="nil"/>
            </w:tcBorders>
            <w:shd w:val="clear" w:color="auto" w:fill="auto"/>
            <w:vAlign w:val="center"/>
            <w:hideMark/>
          </w:tcPr>
          <w:p w14:paraId="08152A3A" w14:textId="77777777" w:rsidR="009F6ADE" w:rsidRPr="009F6ADE" w:rsidRDefault="009F6ADE" w:rsidP="009F6ADE">
            <w:pPr>
              <w:spacing w:after="0" w:line="240" w:lineRule="auto"/>
              <w:jc w:val="center"/>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Datum izdanja</w:t>
            </w:r>
          </w:p>
        </w:tc>
        <w:tc>
          <w:tcPr>
            <w:tcW w:w="1142" w:type="dxa"/>
            <w:tcBorders>
              <w:top w:val="nil"/>
              <w:left w:val="nil"/>
              <w:bottom w:val="nil"/>
              <w:right w:val="nil"/>
            </w:tcBorders>
            <w:shd w:val="clear" w:color="auto" w:fill="auto"/>
            <w:vAlign w:val="center"/>
            <w:hideMark/>
          </w:tcPr>
          <w:p w14:paraId="2F01AA12" w14:textId="77777777" w:rsidR="009F6ADE" w:rsidRPr="009F6ADE" w:rsidRDefault="009F6ADE" w:rsidP="009F6ADE">
            <w:pPr>
              <w:spacing w:after="0" w:line="240" w:lineRule="auto"/>
              <w:jc w:val="center"/>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Datum dospijeća</w:t>
            </w:r>
          </w:p>
        </w:tc>
        <w:tc>
          <w:tcPr>
            <w:tcW w:w="1221" w:type="dxa"/>
            <w:tcBorders>
              <w:top w:val="nil"/>
              <w:left w:val="nil"/>
              <w:bottom w:val="nil"/>
              <w:right w:val="nil"/>
            </w:tcBorders>
            <w:shd w:val="clear" w:color="auto" w:fill="auto"/>
            <w:vAlign w:val="center"/>
            <w:hideMark/>
          </w:tcPr>
          <w:p w14:paraId="6DE63473" w14:textId="77777777" w:rsidR="009F6ADE" w:rsidRPr="009F6ADE" w:rsidRDefault="009F6ADE" w:rsidP="009F6ADE">
            <w:pPr>
              <w:spacing w:after="0" w:line="240" w:lineRule="auto"/>
              <w:jc w:val="center"/>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Kamatna stopa</w:t>
            </w:r>
            <w:r w:rsidRPr="009F6ADE">
              <w:rPr>
                <w:rFonts w:ascii="Calibri" w:eastAsia="Times New Roman" w:hAnsi="Calibri" w:cs="Arial"/>
                <w:b/>
                <w:bCs/>
                <w:color w:val="000000"/>
                <w:sz w:val="18"/>
                <w:szCs w:val="18"/>
              </w:rPr>
              <w:br/>
              <w:t>(%)</w:t>
            </w:r>
          </w:p>
        </w:tc>
        <w:tc>
          <w:tcPr>
            <w:tcW w:w="1177" w:type="dxa"/>
            <w:tcBorders>
              <w:top w:val="nil"/>
              <w:left w:val="nil"/>
              <w:bottom w:val="nil"/>
              <w:right w:val="nil"/>
            </w:tcBorders>
            <w:shd w:val="clear" w:color="auto" w:fill="auto"/>
            <w:vAlign w:val="center"/>
            <w:hideMark/>
          </w:tcPr>
          <w:p w14:paraId="33771DA8" w14:textId="290EC5A3" w:rsidR="009F6ADE" w:rsidRPr="009F6ADE" w:rsidRDefault="00F33730">
            <w:pPr>
              <w:spacing w:after="0" w:line="240" w:lineRule="auto"/>
              <w:jc w:val="right"/>
              <w:rPr>
                <w:rFonts w:ascii="Calibri" w:eastAsia="Times New Roman" w:hAnsi="Calibri" w:cs="Arial"/>
                <w:b/>
                <w:bCs/>
                <w:color w:val="000000"/>
                <w:sz w:val="18"/>
                <w:szCs w:val="18"/>
              </w:rPr>
            </w:pPr>
            <w:r>
              <w:rPr>
                <w:rFonts w:ascii="Calibri" w:eastAsia="Times New Roman" w:hAnsi="Calibri" w:cs="Arial"/>
                <w:b/>
                <w:bCs/>
                <w:color w:val="000000"/>
                <w:sz w:val="18"/>
                <w:szCs w:val="18"/>
              </w:rPr>
              <w:t>30</w:t>
            </w:r>
            <w:r w:rsidR="009F6ADE">
              <w:rPr>
                <w:rFonts w:ascii="Calibri" w:eastAsia="Times New Roman" w:hAnsi="Calibri" w:cs="Arial"/>
                <w:b/>
                <w:bCs/>
                <w:color w:val="000000"/>
                <w:sz w:val="18"/>
                <w:szCs w:val="18"/>
              </w:rPr>
              <w:t>.</w:t>
            </w:r>
            <w:r>
              <w:rPr>
                <w:rFonts w:ascii="Calibri" w:eastAsia="Times New Roman" w:hAnsi="Calibri" w:cs="Arial"/>
                <w:b/>
                <w:bCs/>
                <w:color w:val="000000"/>
                <w:sz w:val="18"/>
                <w:szCs w:val="18"/>
              </w:rPr>
              <w:t>6</w:t>
            </w:r>
            <w:r w:rsidR="009F6ADE">
              <w:rPr>
                <w:rFonts w:ascii="Calibri" w:eastAsia="Times New Roman" w:hAnsi="Calibri" w:cs="Arial"/>
                <w:b/>
                <w:bCs/>
                <w:color w:val="000000"/>
                <w:sz w:val="18"/>
                <w:szCs w:val="18"/>
              </w:rPr>
              <w:t>.2017</w:t>
            </w:r>
            <w:r w:rsidR="009F6ADE" w:rsidRPr="009F6ADE">
              <w:rPr>
                <w:rFonts w:ascii="Calibri" w:eastAsia="Times New Roman" w:hAnsi="Calibri" w:cs="Arial"/>
                <w:b/>
                <w:bCs/>
                <w:color w:val="000000"/>
                <w:sz w:val="18"/>
                <w:szCs w:val="18"/>
              </w:rPr>
              <w:t>.</w:t>
            </w:r>
          </w:p>
        </w:tc>
        <w:tc>
          <w:tcPr>
            <w:tcW w:w="1177" w:type="dxa"/>
            <w:tcBorders>
              <w:top w:val="nil"/>
              <w:left w:val="nil"/>
              <w:bottom w:val="nil"/>
              <w:right w:val="nil"/>
            </w:tcBorders>
            <w:shd w:val="clear" w:color="auto" w:fill="auto"/>
            <w:vAlign w:val="center"/>
            <w:hideMark/>
          </w:tcPr>
          <w:p w14:paraId="7BB995DC" w14:textId="0E945EA0" w:rsidR="009F6ADE" w:rsidRPr="009F6ADE" w:rsidRDefault="009F6ADE" w:rsidP="009F6ADE">
            <w:pPr>
              <w:spacing w:after="0" w:line="240" w:lineRule="auto"/>
              <w:jc w:val="right"/>
              <w:rPr>
                <w:rFonts w:ascii="Calibri" w:eastAsia="Times New Roman" w:hAnsi="Calibri" w:cs="Arial"/>
                <w:b/>
                <w:bCs/>
                <w:color w:val="000000"/>
                <w:sz w:val="18"/>
                <w:szCs w:val="18"/>
              </w:rPr>
            </w:pPr>
            <w:r>
              <w:rPr>
                <w:rFonts w:ascii="Calibri" w:eastAsia="Times New Roman" w:hAnsi="Calibri" w:cs="Arial"/>
                <w:b/>
                <w:bCs/>
                <w:color w:val="000000"/>
                <w:sz w:val="18"/>
                <w:szCs w:val="18"/>
              </w:rPr>
              <w:t>31.12.2016</w:t>
            </w:r>
            <w:r w:rsidRPr="009F6ADE">
              <w:rPr>
                <w:rFonts w:ascii="Calibri" w:eastAsia="Times New Roman" w:hAnsi="Calibri" w:cs="Arial"/>
                <w:b/>
                <w:bCs/>
                <w:color w:val="000000"/>
                <w:sz w:val="18"/>
                <w:szCs w:val="18"/>
              </w:rPr>
              <w:t>.</w:t>
            </w:r>
          </w:p>
        </w:tc>
        <w:tc>
          <w:tcPr>
            <w:tcW w:w="1177" w:type="dxa"/>
            <w:tcBorders>
              <w:top w:val="nil"/>
              <w:left w:val="nil"/>
              <w:bottom w:val="nil"/>
              <w:right w:val="nil"/>
            </w:tcBorders>
            <w:shd w:val="clear" w:color="auto" w:fill="auto"/>
            <w:vAlign w:val="center"/>
            <w:hideMark/>
          </w:tcPr>
          <w:p w14:paraId="19B72557" w14:textId="1E027036" w:rsidR="009F6ADE" w:rsidRPr="009F6ADE" w:rsidRDefault="00151A86">
            <w:pPr>
              <w:spacing w:after="0" w:line="240" w:lineRule="auto"/>
              <w:jc w:val="right"/>
              <w:rPr>
                <w:rFonts w:ascii="Calibri" w:eastAsia="Times New Roman" w:hAnsi="Calibri" w:cs="Arial"/>
                <w:b/>
                <w:bCs/>
                <w:color w:val="000000"/>
                <w:sz w:val="18"/>
                <w:szCs w:val="18"/>
              </w:rPr>
            </w:pPr>
            <w:r>
              <w:rPr>
                <w:rFonts w:ascii="Calibri" w:eastAsia="Times New Roman" w:hAnsi="Calibri" w:cs="Arial"/>
                <w:b/>
                <w:bCs/>
                <w:color w:val="000000"/>
                <w:sz w:val="18"/>
                <w:szCs w:val="18"/>
              </w:rPr>
              <w:t>30</w:t>
            </w:r>
            <w:r w:rsidR="009F6ADE">
              <w:rPr>
                <w:rFonts w:ascii="Calibri" w:eastAsia="Times New Roman" w:hAnsi="Calibri" w:cs="Arial"/>
                <w:b/>
                <w:bCs/>
                <w:color w:val="000000"/>
                <w:sz w:val="18"/>
                <w:szCs w:val="18"/>
              </w:rPr>
              <w:t>.</w:t>
            </w:r>
            <w:r>
              <w:rPr>
                <w:rFonts w:ascii="Calibri" w:eastAsia="Times New Roman" w:hAnsi="Calibri" w:cs="Arial"/>
                <w:b/>
                <w:bCs/>
                <w:color w:val="000000"/>
                <w:sz w:val="18"/>
                <w:szCs w:val="18"/>
              </w:rPr>
              <w:t>6</w:t>
            </w:r>
            <w:r w:rsidR="009F6ADE">
              <w:rPr>
                <w:rFonts w:ascii="Calibri" w:eastAsia="Times New Roman" w:hAnsi="Calibri" w:cs="Arial"/>
                <w:b/>
                <w:bCs/>
                <w:color w:val="000000"/>
                <w:sz w:val="18"/>
                <w:szCs w:val="18"/>
              </w:rPr>
              <w:t>.2017</w:t>
            </w:r>
            <w:r w:rsidR="009F6ADE" w:rsidRPr="009F6ADE">
              <w:rPr>
                <w:rFonts w:ascii="Calibri" w:eastAsia="Times New Roman" w:hAnsi="Calibri" w:cs="Arial"/>
                <w:b/>
                <w:bCs/>
                <w:color w:val="000000"/>
                <w:sz w:val="18"/>
                <w:szCs w:val="18"/>
              </w:rPr>
              <w:t>.</w:t>
            </w:r>
          </w:p>
        </w:tc>
        <w:tc>
          <w:tcPr>
            <w:tcW w:w="1178" w:type="dxa"/>
            <w:tcBorders>
              <w:top w:val="nil"/>
              <w:left w:val="nil"/>
              <w:bottom w:val="nil"/>
              <w:right w:val="nil"/>
            </w:tcBorders>
            <w:shd w:val="clear" w:color="auto" w:fill="auto"/>
            <w:vAlign w:val="center"/>
            <w:hideMark/>
          </w:tcPr>
          <w:p w14:paraId="22203D5E" w14:textId="69E3E8ED" w:rsidR="009F6ADE" w:rsidRPr="009F6ADE" w:rsidRDefault="009F6ADE" w:rsidP="009F6ADE">
            <w:pPr>
              <w:spacing w:after="0" w:line="240" w:lineRule="auto"/>
              <w:jc w:val="right"/>
              <w:rPr>
                <w:rFonts w:ascii="Calibri" w:eastAsia="Times New Roman" w:hAnsi="Calibri" w:cs="Arial"/>
                <w:b/>
                <w:bCs/>
                <w:color w:val="000000"/>
                <w:sz w:val="18"/>
                <w:szCs w:val="18"/>
              </w:rPr>
            </w:pPr>
            <w:r>
              <w:rPr>
                <w:rFonts w:ascii="Calibri" w:eastAsia="Times New Roman" w:hAnsi="Calibri" w:cs="Arial"/>
                <w:b/>
                <w:bCs/>
                <w:color w:val="000000"/>
                <w:sz w:val="18"/>
                <w:szCs w:val="18"/>
              </w:rPr>
              <w:t>31.12.2016</w:t>
            </w:r>
            <w:r w:rsidRPr="009F6ADE">
              <w:rPr>
                <w:rFonts w:ascii="Calibri" w:eastAsia="Times New Roman" w:hAnsi="Calibri" w:cs="Arial"/>
                <w:b/>
                <w:bCs/>
                <w:color w:val="000000"/>
                <w:sz w:val="18"/>
                <w:szCs w:val="18"/>
              </w:rPr>
              <w:t>.</w:t>
            </w:r>
          </w:p>
        </w:tc>
      </w:tr>
      <w:tr w:rsidR="009F6ADE" w:rsidRPr="009F6ADE" w14:paraId="14850CA5" w14:textId="77777777" w:rsidTr="009F6ADE">
        <w:trPr>
          <w:trHeight w:val="235"/>
        </w:trPr>
        <w:tc>
          <w:tcPr>
            <w:tcW w:w="2419" w:type="dxa"/>
            <w:tcBorders>
              <w:top w:val="nil"/>
              <w:left w:val="nil"/>
              <w:bottom w:val="nil"/>
              <w:right w:val="nil"/>
            </w:tcBorders>
            <w:shd w:val="clear" w:color="auto" w:fill="auto"/>
            <w:noWrap/>
            <w:vAlign w:val="center"/>
            <w:hideMark/>
          </w:tcPr>
          <w:p w14:paraId="0DE59E10" w14:textId="77777777" w:rsidR="009F6ADE" w:rsidRPr="009F6ADE" w:rsidRDefault="009F6ADE" w:rsidP="009F6ADE">
            <w:pPr>
              <w:spacing w:after="0" w:line="240" w:lineRule="auto"/>
              <w:jc w:val="both"/>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Dužnički vrijednosni papiri:</w:t>
            </w:r>
          </w:p>
        </w:tc>
        <w:tc>
          <w:tcPr>
            <w:tcW w:w="1142" w:type="dxa"/>
            <w:tcBorders>
              <w:top w:val="nil"/>
              <w:left w:val="nil"/>
              <w:bottom w:val="nil"/>
              <w:right w:val="nil"/>
            </w:tcBorders>
            <w:shd w:val="clear" w:color="auto" w:fill="auto"/>
            <w:noWrap/>
            <w:vAlign w:val="bottom"/>
            <w:hideMark/>
          </w:tcPr>
          <w:p w14:paraId="3CED7360" w14:textId="77777777" w:rsidR="009F6ADE" w:rsidRPr="009F6ADE" w:rsidRDefault="009F6ADE" w:rsidP="009F6ADE">
            <w:pPr>
              <w:spacing w:after="0" w:line="240" w:lineRule="auto"/>
              <w:jc w:val="both"/>
              <w:rPr>
                <w:rFonts w:ascii="Calibri" w:eastAsia="Times New Roman" w:hAnsi="Calibri" w:cs="Arial"/>
                <w:b/>
                <w:bCs/>
                <w:color w:val="000000"/>
                <w:sz w:val="18"/>
                <w:szCs w:val="18"/>
              </w:rPr>
            </w:pPr>
          </w:p>
        </w:tc>
        <w:tc>
          <w:tcPr>
            <w:tcW w:w="1142" w:type="dxa"/>
            <w:tcBorders>
              <w:top w:val="nil"/>
              <w:left w:val="nil"/>
              <w:bottom w:val="nil"/>
              <w:right w:val="nil"/>
            </w:tcBorders>
            <w:shd w:val="clear" w:color="auto" w:fill="auto"/>
            <w:noWrap/>
            <w:vAlign w:val="bottom"/>
            <w:hideMark/>
          </w:tcPr>
          <w:p w14:paraId="7C70001D" w14:textId="77777777" w:rsidR="009F6ADE" w:rsidRPr="009F6ADE" w:rsidRDefault="009F6ADE" w:rsidP="009F6ADE">
            <w:pPr>
              <w:spacing w:after="0" w:line="240" w:lineRule="auto"/>
              <w:rPr>
                <w:rFonts w:ascii="Calibri" w:eastAsia="Times New Roman" w:hAnsi="Calibri" w:cs="Times New Roman"/>
                <w:sz w:val="18"/>
                <w:szCs w:val="18"/>
              </w:rPr>
            </w:pPr>
          </w:p>
        </w:tc>
        <w:tc>
          <w:tcPr>
            <w:tcW w:w="1221" w:type="dxa"/>
            <w:tcBorders>
              <w:top w:val="nil"/>
              <w:left w:val="nil"/>
              <w:bottom w:val="nil"/>
              <w:right w:val="nil"/>
            </w:tcBorders>
            <w:shd w:val="clear" w:color="auto" w:fill="auto"/>
            <w:vAlign w:val="bottom"/>
            <w:hideMark/>
          </w:tcPr>
          <w:p w14:paraId="6FC15B5B" w14:textId="77777777" w:rsidR="009F6ADE" w:rsidRPr="009F6ADE" w:rsidRDefault="009F6ADE" w:rsidP="009F6ADE">
            <w:pPr>
              <w:spacing w:after="0" w:line="240" w:lineRule="auto"/>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67DAB7F4" w14:textId="77777777" w:rsidR="009F6ADE" w:rsidRPr="009F6ADE" w:rsidRDefault="009F6ADE" w:rsidP="009F6ADE">
            <w:pPr>
              <w:spacing w:after="0" w:line="240" w:lineRule="auto"/>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4CCFFC42" w14:textId="77777777" w:rsidR="009F6ADE" w:rsidRPr="009F6ADE" w:rsidRDefault="009F6ADE" w:rsidP="009F6ADE">
            <w:pPr>
              <w:spacing w:after="0" w:line="240" w:lineRule="auto"/>
              <w:jc w:val="both"/>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bottom"/>
            <w:hideMark/>
          </w:tcPr>
          <w:p w14:paraId="620D4A0A" w14:textId="77777777" w:rsidR="009F6ADE" w:rsidRPr="009F6ADE" w:rsidRDefault="009F6ADE" w:rsidP="009F6ADE">
            <w:pPr>
              <w:spacing w:after="0" w:line="240" w:lineRule="auto"/>
              <w:jc w:val="both"/>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hideMark/>
          </w:tcPr>
          <w:p w14:paraId="32DE4836" w14:textId="77777777" w:rsidR="009F6ADE" w:rsidRPr="009F6ADE" w:rsidRDefault="009F6ADE" w:rsidP="009F6ADE">
            <w:pPr>
              <w:spacing w:after="0" w:line="240" w:lineRule="auto"/>
              <w:rPr>
                <w:rFonts w:ascii="Calibri" w:eastAsia="Times New Roman" w:hAnsi="Calibri" w:cs="Times New Roman"/>
                <w:sz w:val="18"/>
                <w:szCs w:val="18"/>
              </w:rPr>
            </w:pPr>
          </w:p>
        </w:tc>
      </w:tr>
      <w:tr w:rsidR="009F6ADE" w:rsidRPr="009F6ADE" w14:paraId="61D9FF93" w14:textId="77777777" w:rsidTr="009F6ADE">
        <w:trPr>
          <w:trHeight w:val="199"/>
        </w:trPr>
        <w:tc>
          <w:tcPr>
            <w:tcW w:w="3561" w:type="dxa"/>
            <w:gridSpan w:val="2"/>
            <w:tcBorders>
              <w:top w:val="nil"/>
              <w:left w:val="nil"/>
              <w:bottom w:val="nil"/>
              <w:right w:val="nil"/>
            </w:tcBorders>
            <w:shd w:val="clear" w:color="auto" w:fill="auto"/>
            <w:noWrap/>
            <w:vAlign w:val="center"/>
            <w:hideMark/>
          </w:tcPr>
          <w:p w14:paraId="4F42E54A" w14:textId="77777777" w:rsidR="009F6ADE" w:rsidRPr="009F6ADE" w:rsidRDefault="009F6ADE" w:rsidP="009F6ADE">
            <w:pPr>
              <w:spacing w:after="0" w:line="240" w:lineRule="auto"/>
              <w:jc w:val="both"/>
              <w:rPr>
                <w:rFonts w:ascii="Calibri" w:eastAsia="Times New Roman" w:hAnsi="Calibri" w:cs="Arial"/>
                <w:color w:val="000000"/>
                <w:sz w:val="18"/>
                <w:szCs w:val="18"/>
              </w:rPr>
            </w:pPr>
            <w:r w:rsidRPr="009F6ADE">
              <w:rPr>
                <w:rFonts w:ascii="Calibri" w:eastAsia="Times New Roman" w:hAnsi="Calibri" w:cs="Arial"/>
                <w:color w:val="000000"/>
                <w:sz w:val="18"/>
                <w:szCs w:val="18"/>
              </w:rPr>
              <w:t>Dužnički vrijednosni papiri koji kotiraju:</w:t>
            </w:r>
          </w:p>
        </w:tc>
        <w:tc>
          <w:tcPr>
            <w:tcW w:w="1142" w:type="dxa"/>
            <w:tcBorders>
              <w:top w:val="nil"/>
              <w:left w:val="nil"/>
              <w:bottom w:val="nil"/>
              <w:right w:val="nil"/>
            </w:tcBorders>
            <w:shd w:val="clear" w:color="auto" w:fill="auto"/>
            <w:noWrap/>
            <w:vAlign w:val="center"/>
            <w:hideMark/>
          </w:tcPr>
          <w:p w14:paraId="54632F6F" w14:textId="77777777" w:rsidR="009F6ADE" w:rsidRPr="009F6ADE" w:rsidRDefault="009F6ADE" w:rsidP="009F6ADE">
            <w:pPr>
              <w:spacing w:after="0" w:line="240" w:lineRule="auto"/>
              <w:jc w:val="center"/>
              <w:rPr>
                <w:rFonts w:ascii="Calibri" w:eastAsia="Times New Roman" w:hAnsi="Calibri" w:cs="Times New Roman"/>
                <w:sz w:val="18"/>
                <w:szCs w:val="18"/>
              </w:rPr>
            </w:pPr>
          </w:p>
        </w:tc>
        <w:tc>
          <w:tcPr>
            <w:tcW w:w="1221" w:type="dxa"/>
            <w:tcBorders>
              <w:top w:val="nil"/>
              <w:left w:val="nil"/>
              <w:bottom w:val="nil"/>
              <w:right w:val="nil"/>
            </w:tcBorders>
            <w:shd w:val="clear" w:color="auto" w:fill="auto"/>
            <w:vAlign w:val="center"/>
            <w:hideMark/>
          </w:tcPr>
          <w:p w14:paraId="7C1F9035" w14:textId="77777777" w:rsidR="009F6ADE" w:rsidRPr="009F6ADE" w:rsidRDefault="009F6ADE" w:rsidP="009F6ADE">
            <w:pPr>
              <w:spacing w:after="0" w:line="240" w:lineRule="auto"/>
              <w:jc w:val="both"/>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61EC4E1E" w14:textId="77777777" w:rsidR="009F6ADE" w:rsidRPr="009F6ADE" w:rsidRDefault="009F6ADE" w:rsidP="009F6ADE">
            <w:pPr>
              <w:spacing w:after="0" w:line="240" w:lineRule="auto"/>
              <w:jc w:val="both"/>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417DC152" w14:textId="77777777" w:rsidR="009F6ADE" w:rsidRPr="009F6ADE" w:rsidRDefault="009F6ADE" w:rsidP="009F6ADE">
            <w:pPr>
              <w:spacing w:after="0" w:line="240" w:lineRule="auto"/>
              <w:jc w:val="both"/>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106E3A43" w14:textId="77777777" w:rsidR="009F6ADE" w:rsidRPr="009F6ADE" w:rsidRDefault="009F6ADE" w:rsidP="009F6ADE">
            <w:pPr>
              <w:spacing w:after="0" w:line="240" w:lineRule="auto"/>
              <w:jc w:val="both"/>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hideMark/>
          </w:tcPr>
          <w:p w14:paraId="6FBDDD26" w14:textId="77777777" w:rsidR="009F6ADE" w:rsidRPr="009F6ADE" w:rsidRDefault="009F6ADE" w:rsidP="009F6ADE">
            <w:pPr>
              <w:spacing w:after="0" w:line="240" w:lineRule="auto"/>
              <w:jc w:val="both"/>
              <w:rPr>
                <w:rFonts w:ascii="Calibri" w:eastAsia="Times New Roman" w:hAnsi="Calibri" w:cs="Times New Roman"/>
                <w:sz w:val="18"/>
                <w:szCs w:val="18"/>
              </w:rPr>
            </w:pPr>
          </w:p>
        </w:tc>
      </w:tr>
      <w:tr w:rsidR="009F6ADE" w:rsidRPr="009F6ADE" w14:paraId="4F87C521" w14:textId="77777777" w:rsidTr="009F6ADE">
        <w:trPr>
          <w:trHeight w:val="235"/>
        </w:trPr>
        <w:tc>
          <w:tcPr>
            <w:tcW w:w="4703" w:type="dxa"/>
            <w:gridSpan w:val="3"/>
            <w:tcBorders>
              <w:top w:val="nil"/>
              <w:left w:val="nil"/>
              <w:bottom w:val="nil"/>
              <w:right w:val="nil"/>
            </w:tcBorders>
            <w:shd w:val="clear" w:color="auto" w:fill="auto"/>
            <w:noWrap/>
            <w:vAlign w:val="center"/>
            <w:hideMark/>
          </w:tcPr>
          <w:p w14:paraId="032EA583" w14:textId="77777777" w:rsidR="009F6ADE" w:rsidRPr="009F6ADE" w:rsidRDefault="009F6ADE" w:rsidP="009F6ADE">
            <w:pPr>
              <w:spacing w:after="0" w:line="240" w:lineRule="auto"/>
              <w:jc w:val="both"/>
              <w:rPr>
                <w:rFonts w:ascii="Calibri" w:eastAsia="Times New Roman" w:hAnsi="Calibri" w:cs="Arial"/>
                <w:i/>
                <w:iCs/>
                <w:color w:val="000000"/>
                <w:sz w:val="18"/>
                <w:szCs w:val="18"/>
              </w:rPr>
            </w:pPr>
            <w:r w:rsidRPr="009F6ADE">
              <w:rPr>
                <w:rFonts w:ascii="Calibri" w:eastAsia="Times New Roman" w:hAnsi="Calibri" w:cs="Arial"/>
                <w:i/>
                <w:iCs/>
                <w:color w:val="000000"/>
                <w:sz w:val="18"/>
                <w:szCs w:val="18"/>
              </w:rPr>
              <w:t>Obveznice Republike Hrvatske s valutnom klauzulom:</w:t>
            </w:r>
          </w:p>
        </w:tc>
        <w:tc>
          <w:tcPr>
            <w:tcW w:w="1221" w:type="dxa"/>
            <w:tcBorders>
              <w:top w:val="nil"/>
              <w:left w:val="nil"/>
              <w:bottom w:val="nil"/>
              <w:right w:val="nil"/>
            </w:tcBorders>
            <w:shd w:val="clear" w:color="auto" w:fill="auto"/>
            <w:noWrap/>
            <w:vAlign w:val="center"/>
            <w:hideMark/>
          </w:tcPr>
          <w:p w14:paraId="2F9056C7" w14:textId="77777777" w:rsidR="009F6ADE" w:rsidRPr="009F6ADE" w:rsidRDefault="009F6ADE" w:rsidP="009F6ADE">
            <w:pPr>
              <w:spacing w:after="0" w:line="240" w:lineRule="auto"/>
              <w:jc w:val="both"/>
              <w:rPr>
                <w:rFonts w:ascii="Calibri" w:eastAsia="Times New Roman" w:hAnsi="Calibri" w:cs="Arial"/>
                <w:i/>
                <w:iCs/>
                <w:color w:val="000000"/>
                <w:sz w:val="18"/>
                <w:szCs w:val="18"/>
              </w:rPr>
            </w:pPr>
          </w:p>
        </w:tc>
        <w:tc>
          <w:tcPr>
            <w:tcW w:w="1177" w:type="dxa"/>
            <w:tcBorders>
              <w:top w:val="nil"/>
              <w:left w:val="nil"/>
              <w:bottom w:val="nil"/>
              <w:right w:val="nil"/>
            </w:tcBorders>
            <w:shd w:val="clear" w:color="auto" w:fill="auto"/>
            <w:vAlign w:val="center"/>
            <w:hideMark/>
          </w:tcPr>
          <w:p w14:paraId="4F5DCF02" w14:textId="77777777" w:rsidR="009F6ADE" w:rsidRPr="009F6ADE" w:rsidRDefault="009F6ADE" w:rsidP="009F6ADE">
            <w:pPr>
              <w:spacing w:after="0" w:line="240" w:lineRule="auto"/>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5CDB71D7" w14:textId="77777777" w:rsidR="009F6ADE" w:rsidRPr="009F6ADE" w:rsidRDefault="009F6ADE" w:rsidP="009F6ADE">
            <w:pPr>
              <w:spacing w:after="0" w:line="240" w:lineRule="auto"/>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noWrap/>
            <w:vAlign w:val="center"/>
            <w:hideMark/>
          </w:tcPr>
          <w:p w14:paraId="69AB3772" w14:textId="77777777" w:rsidR="009F6ADE" w:rsidRPr="009F6ADE" w:rsidRDefault="009F6ADE" w:rsidP="009F6ADE">
            <w:pPr>
              <w:spacing w:after="0" w:line="240" w:lineRule="auto"/>
              <w:jc w:val="right"/>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hideMark/>
          </w:tcPr>
          <w:p w14:paraId="687AF14B" w14:textId="77777777" w:rsidR="009F6ADE" w:rsidRPr="009F6ADE" w:rsidRDefault="009F6ADE" w:rsidP="009F6ADE">
            <w:pPr>
              <w:spacing w:after="0" w:line="240" w:lineRule="auto"/>
              <w:jc w:val="right"/>
              <w:rPr>
                <w:rFonts w:ascii="Calibri" w:eastAsia="Times New Roman" w:hAnsi="Calibri" w:cs="Times New Roman"/>
                <w:sz w:val="18"/>
                <w:szCs w:val="18"/>
              </w:rPr>
            </w:pPr>
          </w:p>
        </w:tc>
      </w:tr>
      <w:tr w:rsidR="00E56218" w:rsidRPr="009F6ADE" w14:paraId="326B74BA" w14:textId="77777777" w:rsidTr="00312975">
        <w:trPr>
          <w:trHeight w:val="199"/>
        </w:trPr>
        <w:tc>
          <w:tcPr>
            <w:tcW w:w="2419" w:type="dxa"/>
            <w:tcBorders>
              <w:top w:val="nil"/>
              <w:left w:val="nil"/>
              <w:bottom w:val="nil"/>
              <w:right w:val="nil"/>
            </w:tcBorders>
            <w:shd w:val="clear" w:color="auto" w:fill="auto"/>
            <w:noWrap/>
            <w:vAlign w:val="center"/>
            <w:hideMark/>
          </w:tcPr>
          <w:p w14:paraId="26A258A2" w14:textId="77777777" w:rsidR="00E56218" w:rsidRPr="009F6ADE" w:rsidRDefault="00E56218" w:rsidP="00E56218">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RHMF-O-19BA</w:t>
            </w:r>
          </w:p>
        </w:tc>
        <w:tc>
          <w:tcPr>
            <w:tcW w:w="1142" w:type="dxa"/>
            <w:tcBorders>
              <w:top w:val="nil"/>
              <w:left w:val="nil"/>
              <w:bottom w:val="nil"/>
              <w:right w:val="nil"/>
            </w:tcBorders>
            <w:shd w:val="clear" w:color="auto" w:fill="auto"/>
            <w:noWrap/>
            <w:vAlign w:val="center"/>
            <w:hideMark/>
          </w:tcPr>
          <w:p w14:paraId="3D2F09EE" w14:textId="77777777" w:rsidR="00E56218" w:rsidRPr="009F6ADE" w:rsidRDefault="00E56218" w:rsidP="00E56218">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29.11.2004.</w:t>
            </w:r>
          </w:p>
        </w:tc>
        <w:tc>
          <w:tcPr>
            <w:tcW w:w="1142" w:type="dxa"/>
            <w:tcBorders>
              <w:top w:val="nil"/>
              <w:left w:val="nil"/>
              <w:bottom w:val="nil"/>
              <w:right w:val="nil"/>
            </w:tcBorders>
            <w:shd w:val="clear" w:color="auto" w:fill="auto"/>
            <w:noWrap/>
            <w:vAlign w:val="center"/>
            <w:hideMark/>
          </w:tcPr>
          <w:p w14:paraId="509CC973" w14:textId="77777777" w:rsidR="00E56218" w:rsidRPr="009F6ADE" w:rsidRDefault="00E56218" w:rsidP="00E56218">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29.11.2019.</w:t>
            </w:r>
          </w:p>
        </w:tc>
        <w:tc>
          <w:tcPr>
            <w:tcW w:w="1221" w:type="dxa"/>
            <w:tcBorders>
              <w:top w:val="nil"/>
              <w:left w:val="nil"/>
              <w:bottom w:val="nil"/>
              <w:right w:val="nil"/>
            </w:tcBorders>
            <w:shd w:val="clear" w:color="auto" w:fill="auto"/>
            <w:noWrap/>
            <w:vAlign w:val="center"/>
            <w:hideMark/>
          </w:tcPr>
          <w:p w14:paraId="29E92063" w14:textId="77777777" w:rsidR="00E56218" w:rsidRPr="009F6ADE" w:rsidRDefault="00E56218" w:rsidP="00E56218">
            <w:pPr>
              <w:spacing w:after="0" w:line="240" w:lineRule="auto"/>
              <w:jc w:val="center"/>
              <w:rPr>
                <w:rFonts w:ascii="Calibri" w:eastAsia="Times New Roman" w:hAnsi="Calibri" w:cs="Arial"/>
                <w:color w:val="000000"/>
                <w:sz w:val="18"/>
                <w:szCs w:val="18"/>
              </w:rPr>
            </w:pPr>
            <w:r w:rsidRPr="009F6ADE">
              <w:rPr>
                <w:rFonts w:ascii="Calibri" w:eastAsia="Times New Roman" w:hAnsi="Calibri" w:cs="Arial"/>
                <w:color w:val="000000"/>
                <w:sz w:val="18"/>
                <w:szCs w:val="18"/>
              </w:rPr>
              <w:t>5,375</w:t>
            </w:r>
          </w:p>
        </w:tc>
        <w:tc>
          <w:tcPr>
            <w:tcW w:w="1177" w:type="dxa"/>
            <w:tcBorders>
              <w:top w:val="nil"/>
              <w:left w:val="nil"/>
              <w:bottom w:val="nil"/>
              <w:right w:val="nil"/>
            </w:tcBorders>
            <w:shd w:val="clear" w:color="auto" w:fill="auto"/>
          </w:tcPr>
          <w:p w14:paraId="6F8C471C" w14:textId="5E97813C"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46.880</w:t>
            </w:r>
          </w:p>
        </w:tc>
        <w:tc>
          <w:tcPr>
            <w:tcW w:w="1177" w:type="dxa"/>
            <w:tcBorders>
              <w:top w:val="nil"/>
              <w:left w:val="nil"/>
              <w:bottom w:val="nil"/>
              <w:right w:val="nil"/>
            </w:tcBorders>
            <w:shd w:val="clear" w:color="auto" w:fill="auto"/>
            <w:vAlign w:val="center"/>
            <w:hideMark/>
          </w:tcPr>
          <w:p w14:paraId="7390F282" w14:textId="0B34C1BA"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48.602</w:t>
            </w:r>
          </w:p>
        </w:tc>
        <w:tc>
          <w:tcPr>
            <w:tcW w:w="1177" w:type="dxa"/>
            <w:tcBorders>
              <w:top w:val="nil"/>
              <w:left w:val="nil"/>
              <w:bottom w:val="nil"/>
              <w:right w:val="nil"/>
            </w:tcBorders>
            <w:shd w:val="clear" w:color="auto" w:fill="auto"/>
          </w:tcPr>
          <w:p w14:paraId="1AB45074" w14:textId="7545CEC8"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45.899</w:t>
            </w:r>
          </w:p>
        </w:tc>
        <w:tc>
          <w:tcPr>
            <w:tcW w:w="1178" w:type="dxa"/>
            <w:tcBorders>
              <w:top w:val="nil"/>
              <w:left w:val="nil"/>
              <w:bottom w:val="nil"/>
              <w:right w:val="nil"/>
            </w:tcBorders>
            <w:shd w:val="clear" w:color="auto" w:fill="auto"/>
            <w:vAlign w:val="center"/>
            <w:hideMark/>
          </w:tcPr>
          <w:p w14:paraId="127F22EC" w14:textId="4AD8724F"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47.588</w:t>
            </w:r>
          </w:p>
        </w:tc>
      </w:tr>
      <w:tr w:rsidR="00E56218" w:rsidRPr="009F6ADE" w14:paraId="1EC2DB38" w14:textId="77777777" w:rsidTr="00312975">
        <w:trPr>
          <w:trHeight w:val="199"/>
        </w:trPr>
        <w:tc>
          <w:tcPr>
            <w:tcW w:w="2419" w:type="dxa"/>
            <w:tcBorders>
              <w:top w:val="nil"/>
              <w:left w:val="nil"/>
              <w:bottom w:val="nil"/>
              <w:right w:val="nil"/>
            </w:tcBorders>
            <w:shd w:val="clear" w:color="auto" w:fill="auto"/>
            <w:noWrap/>
            <w:vAlign w:val="center"/>
            <w:hideMark/>
          </w:tcPr>
          <w:p w14:paraId="5F69D7DD" w14:textId="77777777" w:rsidR="00E56218" w:rsidRPr="009F6ADE" w:rsidRDefault="00E56218" w:rsidP="00E56218">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RHMF-O-227E</w:t>
            </w:r>
          </w:p>
        </w:tc>
        <w:tc>
          <w:tcPr>
            <w:tcW w:w="1142" w:type="dxa"/>
            <w:tcBorders>
              <w:top w:val="nil"/>
              <w:left w:val="nil"/>
              <w:bottom w:val="nil"/>
              <w:right w:val="nil"/>
            </w:tcBorders>
            <w:shd w:val="clear" w:color="auto" w:fill="auto"/>
            <w:noWrap/>
            <w:vAlign w:val="center"/>
            <w:hideMark/>
          </w:tcPr>
          <w:p w14:paraId="7A8B2062" w14:textId="77777777" w:rsidR="00E56218" w:rsidRPr="009F6ADE" w:rsidRDefault="00E56218" w:rsidP="00E56218">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22.7.2011.</w:t>
            </w:r>
          </w:p>
        </w:tc>
        <w:tc>
          <w:tcPr>
            <w:tcW w:w="1142" w:type="dxa"/>
            <w:tcBorders>
              <w:top w:val="nil"/>
              <w:left w:val="nil"/>
              <w:bottom w:val="nil"/>
              <w:right w:val="nil"/>
            </w:tcBorders>
            <w:shd w:val="clear" w:color="auto" w:fill="auto"/>
            <w:noWrap/>
            <w:vAlign w:val="center"/>
            <w:hideMark/>
          </w:tcPr>
          <w:p w14:paraId="46664D68" w14:textId="77777777" w:rsidR="00E56218" w:rsidRPr="009F6ADE" w:rsidRDefault="00E56218" w:rsidP="00E56218">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22.7.2022.</w:t>
            </w:r>
          </w:p>
        </w:tc>
        <w:tc>
          <w:tcPr>
            <w:tcW w:w="1221" w:type="dxa"/>
            <w:tcBorders>
              <w:top w:val="nil"/>
              <w:left w:val="nil"/>
              <w:bottom w:val="nil"/>
              <w:right w:val="nil"/>
            </w:tcBorders>
            <w:shd w:val="clear" w:color="auto" w:fill="auto"/>
            <w:noWrap/>
            <w:vAlign w:val="center"/>
            <w:hideMark/>
          </w:tcPr>
          <w:p w14:paraId="5DB467B8" w14:textId="77777777" w:rsidR="00E56218" w:rsidRPr="009F6ADE" w:rsidRDefault="00E56218" w:rsidP="00E56218">
            <w:pPr>
              <w:spacing w:after="0" w:line="240" w:lineRule="auto"/>
              <w:jc w:val="center"/>
              <w:rPr>
                <w:rFonts w:ascii="Calibri" w:eastAsia="Times New Roman" w:hAnsi="Calibri" w:cs="Arial"/>
                <w:color w:val="000000"/>
                <w:sz w:val="18"/>
                <w:szCs w:val="18"/>
              </w:rPr>
            </w:pPr>
            <w:r w:rsidRPr="009F6ADE">
              <w:rPr>
                <w:rFonts w:ascii="Calibri" w:eastAsia="Times New Roman" w:hAnsi="Calibri" w:cs="Arial"/>
                <w:color w:val="000000"/>
                <w:sz w:val="18"/>
                <w:szCs w:val="18"/>
              </w:rPr>
              <w:t>6,5</w:t>
            </w:r>
          </w:p>
        </w:tc>
        <w:tc>
          <w:tcPr>
            <w:tcW w:w="1177" w:type="dxa"/>
            <w:tcBorders>
              <w:top w:val="nil"/>
              <w:left w:val="nil"/>
              <w:bottom w:val="nil"/>
              <w:right w:val="nil"/>
            </w:tcBorders>
            <w:shd w:val="clear" w:color="auto" w:fill="auto"/>
          </w:tcPr>
          <w:p w14:paraId="6CFBEEFC" w14:textId="121AD5C1"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170.867</w:t>
            </w:r>
          </w:p>
        </w:tc>
        <w:tc>
          <w:tcPr>
            <w:tcW w:w="1177" w:type="dxa"/>
            <w:tcBorders>
              <w:top w:val="nil"/>
              <w:left w:val="nil"/>
              <w:bottom w:val="nil"/>
              <w:right w:val="nil"/>
            </w:tcBorders>
            <w:shd w:val="clear" w:color="auto" w:fill="auto"/>
            <w:vAlign w:val="center"/>
            <w:hideMark/>
          </w:tcPr>
          <w:p w14:paraId="180C1E07" w14:textId="3F0D50EF"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172.432</w:t>
            </w:r>
          </w:p>
        </w:tc>
        <w:tc>
          <w:tcPr>
            <w:tcW w:w="1177" w:type="dxa"/>
            <w:tcBorders>
              <w:top w:val="nil"/>
              <w:left w:val="nil"/>
              <w:bottom w:val="nil"/>
              <w:right w:val="nil"/>
            </w:tcBorders>
            <w:shd w:val="clear" w:color="auto" w:fill="auto"/>
          </w:tcPr>
          <w:p w14:paraId="23E8BC59" w14:textId="2A8713C6"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170.867</w:t>
            </w:r>
          </w:p>
        </w:tc>
        <w:tc>
          <w:tcPr>
            <w:tcW w:w="1178" w:type="dxa"/>
            <w:tcBorders>
              <w:top w:val="nil"/>
              <w:left w:val="nil"/>
              <w:bottom w:val="nil"/>
              <w:right w:val="nil"/>
            </w:tcBorders>
            <w:shd w:val="clear" w:color="auto" w:fill="auto"/>
            <w:vAlign w:val="center"/>
            <w:hideMark/>
          </w:tcPr>
          <w:p w14:paraId="328E78F3" w14:textId="3D2C5C99"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172.432</w:t>
            </w:r>
          </w:p>
        </w:tc>
      </w:tr>
      <w:tr w:rsidR="00E56218" w:rsidRPr="009F6ADE" w14:paraId="7172099E" w14:textId="77777777" w:rsidTr="00312975">
        <w:trPr>
          <w:trHeight w:val="199"/>
        </w:trPr>
        <w:tc>
          <w:tcPr>
            <w:tcW w:w="2419" w:type="dxa"/>
            <w:tcBorders>
              <w:top w:val="nil"/>
              <w:left w:val="nil"/>
              <w:bottom w:val="nil"/>
              <w:right w:val="nil"/>
            </w:tcBorders>
            <w:shd w:val="clear" w:color="auto" w:fill="auto"/>
            <w:noWrap/>
            <w:vAlign w:val="center"/>
            <w:hideMark/>
          </w:tcPr>
          <w:p w14:paraId="3460BE20" w14:textId="77777777" w:rsidR="00E56218" w:rsidRPr="009F6ADE" w:rsidRDefault="00E56218" w:rsidP="00E56218">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RHMF-O-247E</w:t>
            </w:r>
          </w:p>
        </w:tc>
        <w:tc>
          <w:tcPr>
            <w:tcW w:w="1142" w:type="dxa"/>
            <w:tcBorders>
              <w:top w:val="nil"/>
              <w:left w:val="nil"/>
              <w:bottom w:val="nil"/>
              <w:right w:val="nil"/>
            </w:tcBorders>
            <w:shd w:val="clear" w:color="auto" w:fill="auto"/>
            <w:noWrap/>
            <w:vAlign w:val="center"/>
            <w:hideMark/>
          </w:tcPr>
          <w:p w14:paraId="7E6A8FBD" w14:textId="77777777" w:rsidR="00E56218" w:rsidRPr="009F6ADE" w:rsidRDefault="00E56218" w:rsidP="00E56218">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10.7.2013.</w:t>
            </w:r>
          </w:p>
        </w:tc>
        <w:tc>
          <w:tcPr>
            <w:tcW w:w="1142" w:type="dxa"/>
            <w:tcBorders>
              <w:top w:val="nil"/>
              <w:left w:val="nil"/>
              <w:bottom w:val="nil"/>
              <w:right w:val="nil"/>
            </w:tcBorders>
            <w:shd w:val="clear" w:color="auto" w:fill="auto"/>
            <w:noWrap/>
            <w:vAlign w:val="center"/>
            <w:hideMark/>
          </w:tcPr>
          <w:p w14:paraId="591935C0" w14:textId="77777777" w:rsidR="00E56218" w:rsidRPr="009F6ADE" w:rsidRDefault="00E56218" w:rsidP="00E56218">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10.7.2024.</w:t>
            </w:r>
          </w:p>
        </w:tc>
        <w:tc>
          <w:tcPr>
            <w:tcW w:w="1221" w:type="dxa"/>
            <w:tcBorders>
              <w:top w:val="nil"/>
              <w:left w:val="nil"/>
              <w:bottom w:val="nil"/>
              <w:right w:val="nil"/>
            </w:tcBorders>
            <w:shd w:val="clear" w:color="auto" w:fill="auto"/>
            <w:noWrap/>
            <w:vAlign w:val="center"/>
            <w:hideMark/>
          </w:tcPr>
          <w:p w14:paraId="372FFCC3" w14:textId="77777777" w:rsidR="00E56218" w:rsidRPr="009F6ADE" w:rsidRDefault="00E56218" w:rsidP="00E56218">
            <w:pPr>
              <w:spacing w:after="0" w:line="240" w:lineRule="auto"/>
              <w:jc w:val="center"/>
              <w:rPr>
                <w:rFonts w:ascii="Calibri" w:eastAsia="Times New Roman" w:hAnsi="Calibri" w:cs="Arial"/>
                <w:color w:val="000000"/>
                <w:sz w:val="18"/>
                <w:szCs w:val="18"/>
              </w:rPr>
            </w:pPr>
            <w:r w:rsidRPr="009F6ADE">
              <w:rPr>
                <w:rFonts w:ascii="Calibri" w:eastAsia="Times New Roman" w:hAnsi="Calibri" w:cs="Arial"/>
                <w:color w:val="000000"/>
                <w:sz w:val="18"/>
                <w:szCs w:val="18"/>
              </w:rPr>
              <w:t>5,75</w:t>
            </w:r>
          </w:p>
        </w:tc>
        <w:tc>
          <w:tcPr>
            <w:tcW w:w="1177" w:type="dxa"/>
            <w:tcBorders>
              <w:top w:val="nil"/>
              <w:left w:val="nil"/>
              <w:bottom w:val="nil"/>
              <w:right w:val="nil"/>
            </w:tcBorders>
            <w:shd w:val="clear" w:color="auto" w:fill="auto"/>
          </w:tcPr>
          <w:p w14:paraId="4700A1E7" w14:textId="1B0E516C"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17.612</w:t>
            </w:r>
          </w:p>
        </w:tc>
        <w:tc>
          <w:tcPr>
            <w:tcW w:w="1177" w:type="dxa"/>
            <w:tcBorders>
              <w:top w:val="nil"/>
              <w:left w:val="nil"/>
              <w:bottom w:val="nil"/>
              <w:right w:val="nil"/>
            </w:tcBorders>
            <w:shd w:val="clear" w:color="auto" w:fill="auto"/>
            <w:vAlign w:val="center"/>
            <w:hideMark/>
          </w:tcPr>
          <w:p w14:paraId="7E4FE551" w14:textId="3988A076"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17.802</w:t>
            </w:r>
          </w:p>
        </w:tc>
        <w:tc>
          <w:tcPr>
            <w:tcW w:w="1177" w:type="dxa"/>
            <w:tcBorders>
              <w:top w:val="nil"/>
              <w:left w:val="nil"/>
              <w:bottom w:val="nil"/>
              <w:right w:val="nil"/>
            </w:tcBorders>
            <w:shd w:val="clear" w:color="auto" w:fill="auto"/>
          </w:tcPr>
          <w:p w14:paraId="5A1D62CA" w14:textId="0F566272"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12.427</w:t>
            </w:r>
          </w:p>
        </w:tc>
        <w:tc>
          <w:tcPr>
            <w:tcW w:w="1178" w:type="dxa"/>
            <w:tcBorders>
              <w:top w:val="nil"/>
              <w:left w:val="nil"/>
              <w:bottom w:val="nil"/>
              <w:right w:val="nil"/>
            </w:tcBorders>
            <w:shd w:val="clear" w:color="auto" w:fill="auto"/>
            <w:vAlign w:val="center"/>
            <w:hideMark/>
          </w:tcPr>
          <w:p w14:paraId="3463BDB8" w14:textId="2ECEB14B"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12.558</w:t>
            </w:r>
          </w:p>
        </w:tc>
      </w:tr>
      <w:tr w:rsidR="00E56218" w:rsidRPr="009F6ADE" w14:paraId="364BE782" w14:textId="77777777" w:rsidTr="00312975">
        <w:trPr>
          <w:trHeight w:val="199"/>
        </w:trPr>
        <w:tc>
          <w:tcPr>
            <w:tcW w:w="2419" w:type="dxa"/>
            <w:tcBorders>
              <w:top w:val="nil"/>
              <w:left w:val="nil"/>
              <w:bottom w:val="nil"/>
              <w:right w:val="nil"/>
            </w:tcBorders>
            <w:shd w:val="clear" w:color="auto" w:fill="auto"/>
            <w:noWrap/>
            <w:vAlign w:val="center"/>
            <w:hideMark/>
          </w:tcPr>
          <w:p w14:paraId="3EE7E111"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RHMF-O-203E</w:t>
            </w:r>
          </w:p>
        </w:tc>
        <w:tc>
          <w:tcPr>
            <w:tcW w:w="1142" w:type="dxa"/>
            <w:tcBorders>
              <w:top w:val="nil"/>
              <w:left w:val="nil"/>
              <w:bottom w:val="nil"/>
              <w:right w:val="nil"/>
            </w:tcBorders>
            <w:shd w:val="clear" w:color="auto" w:fill="auto"/>
            <w:noWrap/>
            <w:vAlign w:val="center"/>
            <w:hideMark/>
          </w:tcPr>
          <w:p w14:paraId="60B22DF4"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5.3.2010.</w:t>
            </w:r>
          </w:p>
        </w:tc>
        <w:tc>
          <w:tcPr>
            <w:tcW w:w="1142" w:type="dxa"/>
            <w:tcBorders>
              <w:top w:val="nil"/>
              <w:left w:val="nil"/>
              <w:bottom w:val="nil"/>
              <w:right w:val="nil"/>
            </w:tcBorders>
            <w:shd w:val="clear" w:color="auto" w:fill="auto"/>
            <w:noWrap/>
            <w:vAlign w:val="center"/>
            <w:hideMark/>
          </w:tcPr>
          <w:p w14:paraId="2E99CF3F"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5.3.2020.</w:t>
            </w:r>
          </w:p>
        </w:tc>
        <w:tc>
          <w:tcPr>
            <w:tcW w:w="1221" w:type="dxa"/>
            <w:tcBorders>
              <w:top w:val="nil"/>
              <w:left w:val="nil"/>
              <w:bottom w:val="nil"/>
              <w:right w:val="nil"/>
            </w:tcBorders>
            <w:shd w:val="clear" w:color="auto" w:fill="auto"/>
            <w:noWrap/>
            <w:vAlign w:val="bottom"/>
            <w:hideMark/>
          </w:tcPr>
          <w:p w14:paraId="5DB0630D" w14:textId="77777777" w:rsidR="00E56218" w:rsidRPr="009F6ADE" w:rsidRDefault="00E56218" w:rsidP="00E56218">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6,5</w:t>
            </w:r>
          </w:p>
        </w:tc>
        <w:tc>
          <w:tcPr>
            <w:tcW w:w="1177" w:type="dxa"/>
            <w:tcBorders>
              <w:top w:val="nil"/>
              <w:left w:val="nil"/>
              <w:bottom w:val="nil"/>
              <w:right w:val="nil"/>
            </w:tcBorders>
            <w:shd w:val="clear" w:color="auto" w:fill="auto"/>
          </w:tcPr>
          <w:p w14:paraId="52D4C848" w14:textId="000B6A76"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845</w:t>
            </w:r>
          </w:p>
        </w:tc>
        <w:tc>
          <w:tcPr>
            <w:tcW w:w="1177" w:type="dxa"/>
            <w:tcBorders>
              <w:top w:val="nil"/>
              <w:left w:val="nil"/>
              <w:bottom w:val="nil"/>
              <w:right w:val="nil"/>
            </w:tcBorders>
            <w:shd w:val="clear" w:color="auto" w:fill="auto"/>
            <w:vAlign w:val="center"/>
            <w:hideMark/>
          </w:tcPr>
          <w:p w14:paraId="481454D6" w14:textId="66598A7F"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875</w:t>
            </w:r>
          </w:p>
        </w:tc>
        <w:tc>
          <w:tcPr>
            <w:tcW w:w="1177" w:type="dxa"/>
            <w:tcBorders>
              <w:top w:val="nil"/>
              <w:left w:val="nil"/>
              <w:bottom w:val="nil"/>
              <w:right w:val="nil"/>
            </w:tcBorders>
            <w:shd w:val="clear" w:color="auto" w:fill="auto"/>
          </w:tcPr>
          <w:p w14:paraId="4F07780C" w14:textId="50FFE970"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w:t>
            </w:r>
          </w:p>
        </w:tc>
        <w:tc>
          <w:tcPr>
            <w:tcW w:w="1178" w:type="dxa"/>
            <w:tcBorders>
              <w:top w:val="nil"/>
              <w:left w:val="nil"/>
              <w:bottom w:val="nil"/>
              <w:right w:val="nil"/>
            </w:tcBorders>
            <w:shd w:val="clear" w:color="auto" w:fill="auto"/>
            <w:vAlign w:val="center"/>
            <w:hideMark/>
          </w:tcPr>
          <w:p w14:paraId="6C954A2F" w14:textId="6A875BD2"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w:t>
            </w:r>
          </w:p>
        </w:tc>
      </w:tr>
      <w:tr w:rsidR="00E56218" w:rsidRPr="009F6ADE" w14:paraId="6B256B40" w14:textId="77777777" w:rsidTr="00312975">
        <w:trPr>
          <w:trHeight w:val="199"/>
        </w:trPr>
        <w:tc>
          <w:tcPr>
            <w:tcW w:w="3561" w:type="dxa"/>
            <w:gridSpan w:val="2"/>
            <w:tcBorders>
              <w:top w:val="nil"/>
              <w:left w:val="nil"/>
              <w:bottom w:val="nil"/>
              <w:right w:val="nil"/>
            </w:tcBorders>
            <w:shd w:val="clear" w:color="auto" w:fill="auto"/>
            <w:noWrap/>
            <w:vAlign w:val="center"/>
            <w:hideMark/>
          </w:tcPr>
          <w:p w14:paraId="18FD3893" w14:textId="77777777" w:rsidR="00E56218" w:rsidRPr="009F6ADE" w:rsidRDefault="00E56218" w:rsidP="00E56218">
            <w:pPr>
              <w:spacing w:after="0" w:line="240" w:lineRule="auto"/>
              <w:rPr>
                <w:rFonts w:ascii="Calibri" w:eastAsia="Times New Roman" w:hAnsi="Calibri" w:cs="Arial"/>
                <w:i/>
                <w:iCs/>
                <w:sz w:val="18"/>
                <w:szCs w:val="18"/>
              </w:rPr>
            </w:pPr>
            <w:r w:rsidRPr="009F6ADE">
              <w:rPr>
                <w:rFonts w:ascii="Calibri" w:eastAsia="Times New Roman" w:hAnsi="Calibri" w:cs="Arial"/>
                <w:i/>
                <w:iCs/>
                <w:sz w:val="18"/>
                <w:szCs w:val="18"/>
              </w:rPr>
              <w:t>Obveznice Republike Hrvatske u valuti:</w:t>
            </w:r>
          </w:p>
        </w:tc>
        <w:tc>
          <w:tcPr>
            <w:tcW w:w="1142" w:type="dxa"/>
            <w:tcBorders>
              <w:top w:val="nil"/>
              <w:left w:val="nil"/>
              <w:bottom w:val="nil"/>
              <w:right w:val="nil"/>
            </w:tcBorders>
            <w:shd w:val="clear" w:color="auto" w:fill="auto"/>
            <w:noWrap/>
            <w:vAlign w:val="bottom"/>
            <w:hideMark/>
          </w:tcPr>
          <w:p w14:paraId="45702AC8" w14:textId="77777777" w:rsidR="00E56218" w:rsidRPr="009F6ADE" w:rsidRDefault="00E56218" w:rsidP="00E56218">
            <w:pPr>
              <w:spacing w:after="0" w:line="240" w:lineRule="auto"/>
              <w:rPr>
                <w:rFonts w:ascii="Calibri" w:eastAsia="Times New Roman" w:hAnsi="Calibri" w:cs="Arial"/>
                <w:i/>
                <w:iCs/>
                <w:sz w:val="18"/>
                <w:szCs w:val="18"/>
              </w:rPr>
            </w:pPr>
          </w:p>
        </w:tc>
        <w:tc>
          <w:tcPr>
            <w:tcW w:w="1221" w:type="dxa"/>
            <w:tcBorders>
              <w:top w:val="nil"/>
              <w:left w:val="nil"/>
              <w:bottom w:val="nil"/>
              <w:right w:val="nil"/>
            </w:tcBorders>
            <w:shd w:val="clear" w:color="auto" w:fill="auto"/>
            <w:noWrap/>
            <w:vAlign w:val="center"/>
            <w:hideMark/>
          </w:tcPr>
          <w:p w14:paraId="7B260A27" w14:textId="77777777" w:rsidR="00E56218" w:rsidRPr="009F6ADE" w:rsidRDefault="00E56218" w:rsidP="00E56218">
            <w:pPr>
              <w:spacing w:after="0" w:line="240" w:lineRule="auto"/>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7D606FA7" w14:textId="77777777" w:rsidR="00E56218" w:rsidRPr="009F6ADE" w:rsidRDefault="00E56218" w:rsidP="00E56218">
            <w:pPr>
              <w:spacing w:after="0" w:line="240" w:lineRule="auto"/>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77A852AD" w14:textId="77777777" w:rsidR="00E56218" w:rsidRPr="009F6ADE" w:rsidRDefault="00E56218" w:rsidP="00E56218">
            <w:pPr>
              <w:spacing w:after="0" w:line="240" w:lineRule="auto"/>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0F789E2D" w14:textId="77777777" w:rsidR="00E56218" w:rsidRPr="00312975" w:rsidRDefault="00E56218" w:rsidP="00312975">
            <w:pPr>
              <w:spacing w:after="0" w:line="240" w:lineRule="auto"/>
              <w:jc w:val="right"/>
              <w:rPr>
                <w:rFonts w:ascii="Calibri" w:eastAsia="Times New Roman" w:hAnsi="Calibri" w:cs="Times New Roman"/>
                <w:sz w:val="18"/>
                <w:szCs w:val="18"/>
                <w:lang w:val="en-US"/>
              </w:rPr>
            </w:pPr>
          </w:p>
        </w:tc>
        <w:tc>
          <w:tcPr>
            <w:tcW w:w="1178" w:type="dxa"/>
            <w:tcBorders>
              <w:top w:val="nil"/>
              <w:left w:val="nil"/>
              <w:bottom w:val="nil"/>
              <w:right w:val="nil"/>
            </w:tcBorders>
            <w:shd w:val="clear" w:color="auto" w:fill="auto"/>
          </w:tcPr>
          <w:p w14:paraId="2158EA68" w14:textId="77777777" w:rsidR="00E56218" w:rsidRPr="009F6ADE" w:rsidRDefault="00E56218" w:rsidP="00E56218">
            <w:pPr>
              <w:spacing w:after="0" w:line="240" w:lineRule="auto"/>
              <w:jc w:val="right"/>
              <w:rPr>
                <w:rFonts w:ascii="Calibri" w:eastAsia="Times New Roman" w:hAnsi="Calibri" w:cs="Times New Roman"/>
                <w:sz w:val="18"/>
                <w:szCs w:val="18"/>
              </w:rPr>
            </w:pPr>
          </w:p>
        </w:tc>
      </w:tr>
      <w:tr w:rsidR="00E56218" w:rsidRPr="009F6ADE" w14:paraId="1E06FFD4" w14:textId="77777777" w:rsidTr="00312975">
        <w:trPr>
          <w:trHeight w:val="199"/>
        </w:trPr>
        <w:tc>
          <w:tcPr>
            <w:tcW w:w="2419" w:type="dxa"/>
            <w:tcBorders>
              <w:top w:val="nil"/>
              <w:left w:val="nil"/>
              <w:bottom w:val="nil"/>
              <w:right w:val="nil"/>
            </w:tcBorders>
            <w:shd w:val="clear" w:color="auto" w:fill="auto"/>
            <w:noWrap/>
            <w:vAlign w:val="center"/>
            <w:hideMark/>
          </w:tcPr>
          <w:p w14:paraId="15905D6E"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XS0645940288</w:t>
            </w:r>
          </w:p>
        </w:tc>
        <w:tc>
          <w:tcPr>
            <w:tcW w:w="1142" w:type="dxa"/>
            <w:tcBorders>
              <w:top w:val="nil"/>
              <w:left w:val="nil"/>
              <w:bottom w:val="nil"/>
              <w:right w:val="nil"/>
            </w:tcBorders>
            <w:shd w:val="clear" w:color="auto" w:fill="auto"/>
            <w:noWrap/>
            <w:vAlign w:val="center"/>
            <w:hideMark/>
          </w:tcPr>
          <w:p w14:paraId="5E5CFD15"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8.7.2011.</w:t>
            </w:r>
          </w:p>
        </w:tc>
        <w:tc>
          <w:tcPr>
            <w:tcW w:w="1142" w:type="dxa"/>
            <w:tcBorders>
              <w:top w:val="nil"/>
              <w:left w:val="nil"/>
              <w:bottom w:val="nil"/>
              <w:right w:val="nil"/>
            </w:tcBorders>
            <w:shd w:val="clear" w:color="auto" w:fill="auto"/>
            <w:noWrap/>
            <w:vAlign w:val="center"/>
            <w:hideMark/>
          </w:tcPr>
          <w:p w14:paraId="3065EA58"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9.7.2018.</w:t>
            </w:r>
          </w:p>
        </w:tc>
        <w:tc>
          <w:tcPr>
            <w:tcW w:w="1221" w:type="dxa"/>
            <w:tcBorders>
              <w:top w:val="nil"/>
              <w:left w:val="nil"/>
              <w:bottom w:val="nil"/>
              <w:right w:val="nil"/>
            </w:tcBorders>
            <w:shd w:val="clear" w:color="auto" w:fill="auto"/>
            <w:noWrap/>
            <w:vAlign w:val="center"/>
            <w:hideMark/>
          </w:tcPr>
          <w:p w14:paraId="50DBF208" w14:textId="77777777" w:rsidR="00E56218" w:rsidRPr="009F6ADE" w:rsidRDefault="00E56218" w:rsidP="00E56218">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5,875</w:t>
            </w:r>
          </w:p>
        </w:tc>
        <w:tc>
          <w:tcPr>
            <w:tcW w:w="1177" w:type="dxa"/>
            <w:tcBorders>
              <w:top w:val="nil"/>
              <w:left w:val="nil"/>
              <w:bottom w:val="nil"/>
              <w:right w:val="nil"/>
            </w:tcBorders>
            <w:shd w:val="clear" w:color="auto" w:fill="auto"/>
          </w:tcPr>
          <w:p w14:paraId="20E1025D" w14:textId="04AB4CDA"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54.721</w:t>
            </w:r>
          </w:p>
        </w:tc>
        <w:tc>
          <w:tcPr>
            <w:tcW w:w="1177" w:type="dxa"/>
            <w:tcBorders>
              <w:top w:val="nil"/>
              <w:left w:val="nil"/>
              <w:bottom w:val="nil"/>
              <w:right w:val="nil"/>
            </w:tcBorders>
            <w:shd w:val="clear" w:color="auto" w:fill="auto"/>
            <w:vAlign w:val="center"/>
            <w:hideMark/>
          </w:tcPr>
          <w:p w14:paraId="73245B03" w14:textId="1F53945F"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57.370</w:t>
            </w:r>
          </w:p>
        </w:tc>
        <w:tc>
          <w:tcPr>
            <w:tcW w:w="1177" w:type="dxa"/>
            <w:tcBorders>
              <w:top w:val="nil"/>
              <w:left w:val="nil"/>
              <w:bottom w:val="nil"/>
              <w:right w:val="nil"/>
            </w:tcBorders>
            <w:shd w:val="clear" w:color="auto" w:fill="auto"/>
          </w:tcPr>
          <w:p w14:paraId="54C468E4" w14:textId="3AAFFC2C"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54.721</w:t>
            </w:r>
          </w:p>
        </w:tc>
        <w:tc>
          <w:tcPr>
            <w:tcW w:w="1178" w:type="dxa"/>
            <w:tcBorders>
              <w:top w:val="nil"/>
              <w:left w:val="nil"/>
              <w:bottom w:val="nil"/>
              <w:right w:val="nil"/>
            </w:tcBorders>
            <w:shd w:val="clear" w:color="auto" w:fill="auto"/>
            <w:vAlign w:val="center"/>
            <w:hideMark/>
          </w:tcPr>
          <w:p w14:paraId="0DF8D4C3" w14:textId="0B983DEE"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57.370</w:t>
            </w:r>
          </w:p>
        </w:tc>
      </w:tr>
      <w:tr w:rsidR="00E56218" w:rsidRPr="009F6ADE" w14:paraId="0E271AA4" w14:textId="77777777" w:rsidTr="00312975">
        <w:trPr>
          <w:trHeight w:val="199"/>
        </w:trPr>
        <w:tc>
          <w:tcPr>
            <w:tcW w:w="2419" w:type="dxa"/>
            <w:tcBorders>
              <w:top w:val="nil"/>
              <w:left w:val="nil"/>
              <w:bottom w:val="nil"/>
              <w:right w:val="nil"/>
            </w:tcBorders>
            <w:shd w:val="clear" w:color="auto" w:fill="auto"/>
            <w:noWrap/>
            <w:vAlign w:val="center"/>
            <w:hideMark/>
          </w:tcPr>
          <w:p w14:paraId="0D912A55"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XS0776179656</w:t>
            </w:r>
          </w:p>
        </w:tc>
        <w:tc>
          <w:tcPr>
            <w:tcW w:w="1142" w:type="dxa"/>
            <w:tcBorders>
              <w:top w:val="nil"/>
              <w:left w:val="nil"/>
              <w:bottom w:val="nil"/>
              <w:right w:val="nil"/>
            </w:tcBorders>
            <w:shd w:val="clear" w:color="auto" w:fill="auto"/>
            <w:noWrap/>
            <w:vAlign w:val="center"/>
            <w:hideMark/>
          </w:tcPr>
          <w:p w14:paraId="1511A8D7"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27.4.2012.</w:t>
            </w:r>
          </w:p>
        </w:tc>
        <w:tc>
          <w:tcPr>
            <w:tcW w:w="1142" w:type="dxa"/>
            <w:tcBorders>
              <w:top w:val="nil"/>
              <w:left w:val="nil"/>
              <w:bottom w:val="nil"/>
              <w:right w:val="nil"/>
            </w:tcBorders>
            <w:shd w:val="clear" w:color="auto" w:fill="auto"/>
            <w:noWrap/>
            <w:vAlign w:val="center"/>
            <w:hideMark/>
          </w:tcPr>
          <w:p w14:paraId="61870F27"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27.4.2017.</w:t>
            </w:r>
          </w:p>
        </w:tc>
        <w:tc>
          <w:tcPr>
            <w:tcW w:w="1221" w:type="dxa"/>
            <w:tcBorders>
              <w:top w:val="nil"/>
              <w:left w:val="nil"/>
              <w:bottom w:val="nil"/>
              <w:right w:val="nil"/>
            </w:tcBorders>
            <w:shd w:val="clear" w:color="auto" w:fill="auto"/>
            <w:noWrap/>
            <w:vAlign w:val="center"/>
            <w:hideMark/>
          </w:tcPr>
          <w:p w14:paraId="155D3D36" w14:textId="77777777" w:rsidR="00E56218" w:rsidRPr="009F6ADE" w:rsidRDefault="00E56218" w:rsidP="00E56218">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6,25</w:t>
            </w:r>
          </w:p>
        </w:tc>
        <w:tc>
          <w:tcPr>
            <w:tcW w:w="1177" w:type="dxa"/>
            <w:tcBorders>
              <w:top w:val="nil"/>
              <w:left w:val="nil"/>
              <w:bottom w:val="nil"/>
              <w:right w:val="nil"/>
            </w:tcBorders>
            <w:shd w:val="clear" w:color="auto" w:fill="auto"/>
          </w:tcPr>
          <w:p w14:paraId="350205A1" w14:textId="0C69E793"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w:t>
            </w:r>
          </w:p>
        </w:tc>
        <w:tc>
          <w:tcPr>
            <w:tcW w:w="1177" w:type="dxa"/>
            <w:tcBorders>
              <w:top w:val="nil"/>
              <w:left w:val="nil"/>
              <w:bottom w:val="nil"/>
              <w:right w:val="nil"/>
            </w:tcBorders>
            <w:shd w:val="clear" w:color="auto" w:fill="auto"/>
            <w:vAlign w:val="center"/>
            <w:hideMark/>
          </w:tcPr>
          <w:p w14:paraId="299EB021" w14:textId="30A890EC"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14.529</w:t>
            </w:r>
          </w:p>
        </w:tc>
        <w:tc>
          <w:tcPr>
            <w:tcW w:w="1177" w:type="dxa"/>
            <w:tcBorders>
              <w:top w:val="nil"/>
              <w:left w:val="nil"/>
              <w:bottom w:val="nil"/>
              <w:right w:val="nil"/>
            </w:tcBorders>
            <w:shd w:val="clear" w:color="auto" w:fill="auto"/>
          </w:tcPr>
          <w:p w14:paraId="47D7B622" w14:textId="55E59FBC"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w:t>
            </w:r>
          </w:p>
        </w:tc>
        <w:tc>
          <w:tcPr>
            <w:tcW w:w="1178" w:type="dxa"/>
            <w:tcBorders>
              <w:top w:val="nil"/>
              <w:left w:val="nil"/>
              <w:bottom w:val="nil"/>
              <w:right w:val="nil"/>
            </w:tcBorders>
            <w:shd w:val="clear" w:color="auto" w:fill="auto"/>
            <w:vAlign w:val="center"/>
            <w:hideMark/>
          </w:tcPr>
          <w:p w14:paraId="39730F84" w14:textId="2F5791E0"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14.529</w:t>
            </w:r>
          </w:p>
        </w:tc>
      </w:tr>
      <w:tr w:rsidR="00E56218" w:rsidRPr="009F6ADE" w14:paraId="687D50E0" w14:textId="77777777" w:rsidTr="00312975">
        <w:trPr>
          <w:trHeight w:val="199"/>
        </w:trPr>
        <w:tc>
          <w:tcPr>
            <w:tcW w:w="2419" w:type="dxa"/>
            <w:tcBorders>
              <w:top w:val="nil"/>
              <w:left w:val="nil"/>
              <w:bottom w:val="nil"/>
              <w:right w:val="nil"/>
            </w:tcBorders>
            <w:shd w:val="clear" w:color="auto" w:fill="auto"/>
            <w:noWrap/>
            <w:vAlign w:val="center"/>
            <w:hideMark/>
          </w:tcPr>
          <w:p w14:paraId="0D35B755"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XS1117298916</w:t>
            </w:r>
          </w:p>
        </w:tc>
        <w:tc>
          <w:tcPr>
            <w:tcW w:w="1142" w:type="dxa"/>
            <w:tcBorders>
              <w:top w:val="nil"/>
              <w:left w:val="nil"/>
              <w:bottom w:val="nil"/>
              <w:right w:val="nil"/>
            </w:tcBorders>
            <w:shd w:val="clear" w:color="auto" w:fill="auto"/>
            <w:noWrap/>
            <w:vAlign w:val="center"/>
            <w:hideMark/>
          </w:tcPr>
          <w:p w14:paraId="60C702BB"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11.3.2015.</w:t>
            </w:r>
          </w:p>
        </w:tc>
        <w:tc>
          <w:tcPr>
            <w:tcW w:w="1142" w:type="dxa"/>
            <w:tcBorders>
              <w:top w:val="nil"/>
              <w:left w:val="nil"/>
              <w:bottom w:val="nil"/>
              <w:right w:val="nil"/>
            </w:tcBorders>
            <w:shd w:val="clear" w:color="auto" w:fill="auto"/>
            <w:noWrap/>
            <w:vAlign w:val="center"/>
            <w:hideMark/>
          </w:tcPr>
          <w:p w14:paraId="4DC0AB61"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11.3.2025.</w:t>
            </w:r>
          </w:p>
        </w:tc>
        <w:tc>
          <w:tcPr>
            <w:tcW w:w="1221" w:type="dxa"/>
            <w:tcBorders>
              <w:top w:val="nil"/>
              <w:left w:val="nil"/>
              <w:bottom w:val="nil"/>
              <w:right w:val="nil"/>
            </w:tcBorders>
            <w:shd w:val="clear" w:color="auto" w:fill="auto"/>
            <w:noWrap/>
            <w:vAlign w:val="center"/>
            <w:hideMark/>
          </w:tcPr>
          <w:p w14:paraId="737B9435" w14:textId="77777777" w:rsidR="00E56218" w:rsidRPr="009F6ADE" w:rsidRDefault="00E56218" w:rsidP="00E56218">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3,0</w:t>
            </w:r>
          </w:p>
        </w:tc>
        <w:tc>
          <w:tcPr>
            <w:tcW w:w="1177" w:type="dxa"/>
            <w:tcBorders>
              <w:top w:val="nil"/>
              <w:left w:val="nil"/>
              <w:bottom w:val="nil"/>
              <w:right w:val="nil"/>
            </w:tcBorders>
            <w:shd w:val="clear" w:color="auto" w:fill="auto"/>
          </w:tcPr>
          <w:p w14:paraId="66F1ABA3" w14:textId="652DC503"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53.687</w:t>
            </w:r>
          </w:p>
        </w:tc>
        <w:tc>
          <w:tcPr>
            <w:tcW w:w="1177" w:type="dxa"/>
            <w:tcBorders>
              <w:top w:val="nil"/>
              <w:left w:val="nil"/>
              <w:bottom w:val="nil"/>
              <w:right w:val="nil"/>
            </w:tcBorders>
            <w:shd w:val="clear" w:color="auto" w:fill="auto"/>
            <w:vAlign w:val="center"/>
            <w:hideMark/>
          </w:tcPr>
          <w:p w14:paraId="60528C1E" w14:textId="38F8B568"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53.248</w:t>
            </w:r>
          </w:p>
        </w:tc>
        <w:tc>
          <w:tcPr>
            <w:tcW w:w="1177" w:type="dxa"/>
            <w:tcBorders>
              <w:top w:val="nil"/>
              <w:left w:val="nil"/>
              <w:bottom w:val="nil"/>
              <w:right w:val="nil"/>
            </w:tcBorders>
            <w:shd w:val="clear" w:color="auto" w:fill="auto"/>
          </w:tcPr>
          <w:p w14:paraId="59D6370F" w14:textId="27EBFC80"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53.687</w:t>
            </w:r>
          </w:p>
        </w:tc>
        <w:tc>
          <w:tcPr>
            <w:tcW w:w="1178" w:type="dxa"/>
            <w:tcBorders>
              <w:top w:val="nil"/>
              <w:left w:val="nil"/>
              <w:bottom w:val="nil"/>
              <w:right w:val="nil"/>
            </w:tcBorders>
            <w:shd w:val="clear" w:color="auto" w:fill="auto"/>
            <w:vAlign w:val="center"/>
            <w:hideMark/>
          </w:tcPr>
          <w:p w14:paraId="0A0B2454" w14:textId="5B68F84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53.248</w:t>
            </w:r>
          </w:p>
        </w:tc>
      </w:tr>
      <w:tr w:rsidR="00E56218" w:rsidRPr="009F6ADE" w14:paraId="33FE1A8C" w14:textId="77777777" w:rsidTr="00312975">
        <w:trPr>
          <w:trHeight w:val="199"/>
        </w:trPr>
        <w:tc>
          <w:tcPr>
            <w:tcW w:w="3561" w:type="dxa"/>
            <w:gridSpan w:val="2"/>
            <w:tcBorders>
              <w:top w:val="nil"/>
              <w:left w:val="nil"/>
              <w:bottom w:val="nil"/>
              <w:right w:val="nil"/>
            </w:tcBorders>
            <w:shd w:val="clear" w:color="auto" w:fill="auto"/>
            <w:noWrap/>
            <w:vAlign w:val="center"/>
            <w:hideMark/>
          </w:tcPr>
          <w:p w14:paraId="2A94A194" w14:textId="77777777" w:rsidR="00E56218" w:rsidRPr="009F6ADE" w:rsidRDefault="00E56218" w:rsidP="00E56218">
            <w:pPr>
              <w:spacing w:after="0" w:line="240" w:lineRule="auto"/>
              <w:rPr>
                <w:rFonts w:ascii="Calibri" w:eastAsia="Times New Roman" w:hAnsi="Calibri" w:cs="Arial"/>
                <w:i/>
                <w:iCs/>
                <w:sz w:val="18"/>
                <w:szCs w:val="18"/>
              </w:rPr>
            </w:pPr>
            <w:r w:rsidRPr="009F6ADE">
              <w:rPr>
                <w:rFonts w:ascii="Calibri" w:eastAsia="Times New Roman" w:hAnsi="Calibri" w:cs="Arial"/>
                <w:i/>
                <w:iCs/>
                <w:sz w:val="18"/>
                <w:szCs w:val="18"/>
              </w:rPr>
              <w:t>Obveznice Republike Hrvatske u kunama:</w:t>
            </w:r>
          </w:p>
        </w:tc>
        <w:tc>
          <w:tcPr>
            <w:tcW w:w="1142" w:type="dxa"/>
            <w:tcBorders>
              <w:top w:val="nil"/>
              <w:left w:val="nil"/>
              <w:bottom w:val="nil"/>
              <w:right w:val="nil"/>
            </w:tcBorders>
            <w:shd w:val="clear" w:color="auto" w:fill="auto"/>
            <w:noWrap/>
            <w:vAlign w:val="bottom"/>
            <w:hideMark/>
          </w:tcPr>
          <w:p w14:paraId="23077C71" w14:textId="77777777" w:rsidR="00E56218" w:rsidRPr="009F6ADE" w:rsidRDefault="00E56218" w:rsidP="00E56218">
            <w:pPr>
              <w:spacing w:after="0" w:line="240" w:lineRule="auto"/>
              <w:rPr>
                <w:rFonts w:ascii="Calibri" w:eastAsia="Times New Roman" w:hAnsi="Calibri" w:cs="Arial"/>
                <w:i/>
                <w:iCs/>
                <w:sz w:val="18"/>
                <w:szCs w:val="18"/>
              </w:rPr>
            </w:pPr>
          </w:p>
        </w:tc>
        <w:tc>
          <w:tcPr>
            <w:tcW w:w="1221" w:type="dxa"/>
            <w:tcBorders>
              <w:top w:val="nil"/>
              <w:left w:val="nil"/>
              <w:bottom w:val="nil"/>
              <w:right w:val="nil"/>
            </w:tcBorders>
            <w:shd w:val="clear" w:color="auto" w:fill="auto"/>
            <w:noWrap/>
            <w:vAlign w:val="center"/>
            <w:hideMark/>
          </w:tcPr>
          <w:p w14:paraId="713DAE13" w14:textId="77777777" w:rsidR="00E56218" w:rsidRPr="009F6ADE" w:rsidRDefault="00E56218" w:rsidP="00E56218">
            <w:pPr>
              <w:spacing w:after="0" w:line="240" w:lineRule="auto"/>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664C037D" w14:textId="77777777" w:rsidR="00E56218" w:rsidRPr="00312975" w:rsidRDefault="00E56218" w:rsidP="00312975">
            <w:pPr>
              <w:spacing w:after="0" w:line="240" w:lineRule="auto"/>
              <w:jc w:val="right"/>
              <w:rPr>
                <w:rFonts w:ascii="Calibri" w:eastAsia="Times New Roman" w:hAnsi="Calibri" w:cs="Times New Roman"/>
                <w:sz w:val="18"/>
                <w:szCs w:val="18"/>
                <w:lang w:val="en-US"/>
              </w:rPr>
            </w:pPr>
          </w:p>
        </w:tc>
        <w:tc>
          <w:tcPr>
            <w:tcW w:w="1177" w:type="dxa"/>
            <w:tcBorders>
              <w:top w:val="nil"/>
              <w:left w:val="nil"/>
              <w:bottom w:val="nil"/>
              <w:right w:val="nil"/>
            </w:tcBorders>
            <w:shd w:val="clear" w:color="auto" w:fill="auto"/>
            <w:vAlign w:val="center"/>
          </w:tcPr>
          <w:p w14:paraId="0D2EC488" w14:textId="77777777" w:rsidR="00E56218" w:rsidRPr="009F6ADE" w:rsidRDefault="00E56218" w:rsidP="00E56218">
            <w:pPr>
              <w:spacing w:after="0" w:line="240" w:lineRule="auto"/>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56363B05" w14:textId="77777777" w:rsidR="00E56218" w:rsidRPr="00312975" w:rsidRDefault="00E56218" w:rsidP="00312975">
            <w:pPr>
              <w:spacing w:after="0" w:line="240" w:lineRule="auto"/>
              <w:jc w:val="right"/>
              <w:rPr>
                <w:rFonts w:ascii="Calibri" w:eastAsia="Times New Roman" w:hAnsi="Calibri" w:cs="Times New Roman"/>
                <w:sz w:val="18"/>
                <w:szCs w:val="18"/>
                <w:lang w:val="en-US"/>
              </w:rPr>
            </w:pPr>
          </w:p>
        </w:tc>
        <w:tc>
          <w:tcPr>
            <w:tcW w:w="1178" w:type="dxa"/>
            <w:tcBorders>
              <w:top w:val="nil"/>
              <w:left w:val="nil"/>
              <w:bottom w:val="nil"/>
              <w:right w:val="nil"/>
            </w:tcBorders>
            <w:shd w:val="clear" w:color="auto" w:fill="auto"/>
          </w:tcPr>
          <w:p w14:paraId="79830FB2" w14:textId="77777777" w:rsidR="00E56218" w:rsidRPr="009F6ADE" w:rsidRDefault="00E56218" w:rsidP="00E56218">
            <w:pPr>
              <w:spacing w:after="0" w:line="240" w:lineRule="auto"/>
              <w:jc w:val="right"/>
              <w:rPr>
                <w:rFonts w:ascii="Calibri" w:eastAsia="Times New Roman" w:hAnsi="Calibri" w:cs="Times New Roman"/>
                <w:sz w:val="18"/>
                <w:szCs w:val="18"/>
              </w:rPr>
            </w:pPr>
          </w:p>
        </w:tc>
      </w:tr>
      <w:tr w:rsidR="00E56218" w:rsidRPr="009F6ADE" w14:paraId="1190028B" w14:textId="77777777" w:rsidTr="00312975">
        <w:trPr>
          <w:trHeight w:val="199"/>
        </w:trPr>
        <w:tc>
          <w:tcPr>
            <w:tcW w:w="2419" w:type="dxa"/>
            <w:tcBorders>
              <w:top w:val="nil"/>
              <w:left w:val="nil"/>
              <w:bottom w:val="nil"/>
              <w:right w:val="nil"/>
            </w:tcBorders>
            <w:shd w:val="clear" w:color="auto" w:fill="auto"/>
            <w:noWrap/>
            <w:vAlign w:val="center"/>
            <w:hideMark/>
          </w:tcPr>
          <w:p w14:paraId="26B06775"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RHMF-O-172A</w:t>
            </w:r>
          </w:p>
        </w:tc>
        <w:tc>
          <w:tcPr>
            <w:tcW w:w="1142" w:type="dxa"/>
            <w:tcBorders>
              <w:top w:val="nil"/>
              <w:left w:val="nil"/>
              <w:bottom w:val="nil"/>
              <w:right w:val="nil"/>
            </w:tcBorders>
            <w:shd w:val="clear" w:color="auto" w:fill="auto"/>
            <w:noWrap/>
            <w:vAlign w:val="center"/>
            <w:hideMark/>
          </w:tcPr>
          <w:p w14:paraId="587DBAE9"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8.2.2007.</w:t>
            </w:r>
          </w:p>
        </w:tc>
        <w:tc>
          <w:tcPr>
            <w:tcW w:w="1142" w:type="dxa"/>
            <w:tcBorders>
              <w:top w:val="nil"/>
              <w:left w:val="nil"/>
              <w:bottom w:val="nil"/>
              <w:right w:val="nil"/>
            </w:tcBorders>
            <w:shd w:val="clear" w:color="auto" w:fill="auto"/>
            <w:noWrap/>
            <w:vAlign w:val="center"/>
            <w:hideMark/>
          </w:tcPr>
          <w:p w14:paraId="6A785A74"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8.2.2017.</w:t>
            </w:r>
          </w:p>
        </w:tc>
        <w:tc>
          <w:tcPr>
            <w:tcW w:w="1221" w:type="dxa"/>
            <w:tcBorders>
              <w:top w:val="nil"/>
              <w:left w:val="nil"/>
              <w:bottom w:val="nil"/>
              <w:right w:val="nil"/>
            </w:tcBorders>
            <w:shd w:val="clear" w:color="auto" w:fill="auto"/>
            <w:noWrap/>
            <w:vAlign w:val="center"/>
            <w:hideMark/>
          </w:tcPr>
          <w:p w14:paraId="2632FDDE" w14:textId="77777777" w:rsidR="00E56218" w:rsidRPr="009F6ADE" w:rsidRDefault="00E56218" w:rsidP="00E56218">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4,75</w:t>
            </w:r>
          </w:p>
        </w:tc>
        <w:tc>
          <w:tcPr>
            <w:tcW w:w="1177" w:type="dxa"/>
            <w:tcBorders>
              <w:top w:val="nil"/>
              <w:left w:val="nil"/>
              <w:bottom w:val="nil"/>
              <w:right w:val="nil"/>
            </w:tcBorders>
            <w:shd w:val="clear" w:color="auto" w:fill="auto"/>
          </w:tcPr>
          <w:p w14:paraId="0D41EC71" w14:textId="2342905F"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w:t>
            </w:r>
          </w:p>
        </w:tc>
        <w:tc>
          <w:tcPr>
            <w:tcW w:w="1177" w:type="dxa"/>
            <w:tcBorders>
              <w:top w:val="nil"/>
              <w:left w:val="nil"/>
              <w:bottom w:val="nil"/>
              <w:right w:val="nil"/>
            </w:tcBorders>
            <w:shd w:val="clear" w:color="auto" w:fill="auto"/>
            <w:vAlign w:val="center"/>
            <w:hideMark/>
          </w:tcPr>
          <w:p w14:paraId="351866C5" w14:textId="2AA866A2"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100.995</w:t>
            </w:r>
          </w:p>
        </w:tc>
        <w:tc>
          <w:tcPr>
            <w:tcW w:w="1177" w:type="dxa"/>
            <w:tcBorders>
              <w:top w:val="nil"/>
              <w:left w:val="nil"/>
              <w:bottom w:val="nil"/>
              <w:right w:val="nil"/>
            </w:tcBorders>
            <w:shd w:val="clear" w:color="auto" w:fill="auto"/>
          </w:tcPr>
          <w:p w14:paraId="042B647E" w14:textId="4BA94622"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w:t>
            </w:r>
          </w:p>
        </w:tc>
        <w:tc>
          <w:tcPr>
            <w:tcW w:w="1178" w:type="dxa"/>
            <w:tcBorders>
              <w:top w:val="nil"/>
              <w:left w:val="nil"/>
              <w:bottom w:val="nil"/>
              <w:right w:val="nil"/>
            </w:tcBorders>
            <w:shd w:val="clear" w:color="auto" w:fill="auto"/>
            <w:vAlign w:val="center"/>
            <w:hideMark/>
          </w:tcPr>
          <w:p w14:paraId="0FBAEFD9" w14:textId="389E7F1A"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100.410</w:t>
            </w:r>
          </w:p>
        </w:tc>
      </w:tr>
      <w:tr w:rsidR="00E56218" w:rsidRPr="009F6ADE" w14:paraId="735E2E7F" w14:textId="77777777" w:rsidTr="00312975">
        <w:trPr>
          <w:trHeight w:val="199"/>
        </w:trPr>
        <w:tc>
          <w:tcPr>
            <w:tcW w:w="2419" w:type="dxa"/>
            <w:tcBorders>
              <w:top w:val="nil"/>
              <w:left w:val="nil"/>
              <w:bottom w:val="nil"/>
              <w:right w:val="nil"/>
            </w:tcBorders>
            <w:shd w:val="clear" w:color="auto" w:fill="auto"/>
            <w:noWrap/>
            <w:vAlign w:val="center"/>
            <w:hideMark/>
          </w:tcPr>
          <w:p w14:paraId="5CBE5680"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RHMF-O-187A</w:t>
            </w:r>
          </w:p>
        </w:tc>
        <w:tc>
          <w:tcPr>
            <w:tcW w:w="1142" w:type="dxa"/>
            <w:tcBorders>
              <w:top w:val="nil"/>
              <w:left w:val="nil"/>
              <w:bottom w:val="nil"/>
              <w:right w:val="nil"/>
            </w:tcBorders>
            <w:shd w:val="clear" w:color="auto" w:fill="auto"/>
            <w:noWrap/>
            <w:vAlign w:val="center"/>
            <w:hideMark/>
          </w:tcPr>
          <w:p w14:paraId="0D095BB2"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10.7.2013.</w:t>
            </w:r>
          </w:p>
        </w:tc>
        <w:tc>
          <w:tcPr>
            <w:tcW w:w="1142" w:type="dxa"/>
            <w:tcBorders>
              <w:top w:val="nil"/>
              <w:left w:val="nil"/>
              <w:bottom w:val="nil"/>
              <w:right w:val="nil"/>
            </w:tcBorders>
            <w:shd w:val="clear" w:color="auto" w:fill="auto"/>
            <w:noWrap/>
            <w:vAlign w:val="center"/>
            <w:hideMark/>
          </w:tcPr>
          <w:p w14:paraId="3B0F846C"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10.7.2018.</w:t>
            </w:r>
          </w:p>
        </w:tc>
        <w:tc>
          <w:tcPr>
            <w:tcW w:w="1221" w:type="dxa"/>
            <w:tcBorders>
              <w:top w:val="nil"/>
              <w:left w:val="nil"/>
              <w:bottom w:val="nil"/>
              <w:right w:val="nil"/>
            </w:tcBorders>
            <w:shd w:val="clear" w:color="auto" w:fill="auto"/>
            <w:noWrap/>
            <w:vAlign w:val="center"/>
            <w:hideMark/>
          </w:tcPr>
          <w:p w14:paraId="5D57E505" w14:textId="77777777" w:rsidR="00E56218" w:rsidRPr="009F6ADE" w:rsidRDefault="00E56218" w:rsidP="00E56218">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5,25</w:t>
            </w:r>
          </w:p>
        </w:tc>
        <w:tc>
          <w:tcPr>
            <w:tcW w:w="1177" w:type="dxa"/>
            <w:tcBorders>
              <w:top w:val="nil"/>
              <w:left w:val="nil"/>
              <w:bottom w:val="nil"/>
              <w:right w:val="nil"/>
            </w:tcBorders>
            <w:shd w:val="clear" w:color="auto" w:fill="auto"/>
          </w:tcPr>
          <w:p w14:paraId="0FF9DD17" w14:textId="37F453FA"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41.949</w:t>
            </w:r>
          </w:p>
        </w:tc>
        <w:tc>
          <w:tcPr>
            <w:tcW w:w="1177" w:type="dxa"/>
            <w:tcBorders>
              <w:top w:val="nil"/>
              <w:left w:val="nil"/>
              <w:bottom w:val="nil"/>
              <w:right w:val="nil"/>
            </w:tcBorders>
            <w:shd w:val="clear" w:color="auto" w:fill="auto"/>
            <w:vAlign w:val="center"/>
            <w:hideMark/>
          </w:tcPr>
          <w:p w14:paraId="7FA380E3" w14:textId="63D925C4"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42.406</w:t>
            </w:r>
          </w:p>
        </w:tc>
        <w:tc>
          <w:tcPr>
            <w:tcW w:w="1177" w:type="dxa"/>
            <w:tcBorders>
              <w:top w:val="nil"/>
              <w:left w:val="nil"/>
              <w:bottom w:val="nil"/>
              <w:right w:val="nil"/>
            </w:tcBorders>
            <w:shd w:val="clear" w:color="auto" w:fill="auto"/>
          </w:tcPr>
          <w:p w14:paraId="3E9473E2" w14:textId="33467E8E"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36.691</w:t>
            </w:r>
          </w:p>
        </w:tc>
        <w:tc>
          <w:tcPr>
            <w:tcW w:w="1178" w:type="dxa"/>
            <w:tcBorders>
              <w:top w:val="nil"/>
              <w:left w:val="nil"/>
              <w:bottom w:val="nil"/>
              <w:right w:val="nil"/>
            </w:tcBorders>
            <w:shd w:val="clear" w:color="auto" w:fill="auto"/>
            <w:vAlign w:val="center"/>
            <w:hideMark/>
          </w:tcPr>
          <w:p w14:paraId="602E82D6" w14:textId="24B927D5"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37.094</w:t>
            </w:r>
          </w:p>
        </w:tc>
      </w:tr>
      <w:tr w:rsidR="00E56218" w:rsidRPr="009F6ADE" w14:paraId="54E17FF3" w14:textId="77777777" w:rsidTr="00312975">
        <w:trPr>
          <w:trHeight w:val="212"/>
        </w:trPr>
        <w:tc>
          <w:tcPr>
            <w:tcW w:w="2419" w:type="dxa"/>
            <w:tcBorders>
              <w:top w:val="nil"/>
              <w:left w:val="nil"/>
              <w:bottom w:val="nil"/>
              <w:right w:val="nil"/>
            </w:tcBorders>
            <w:shd w:val="clear" w:color="auto" w:fill="auto"/>
            <w:noWrap/>
            <w:vAlign w:val="center"/>
            <w:hideMark/>
          </w:tcPr>
          <w:p w14:paraId="7F2AA768"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RHMF-O-17BA</w:t>
            </w:r>
          </w:p>
        </w:tc>
        <w:tc>
          <w:tcPr>
            <w:tcW w:w="1142" w:type="dxa"/>
            <w:tcBorders>
              <w:top w:val="nil"/>
              <w:left w:val="nil"/>
              <w:bottom w:val="nil"/>
              <w:right w:val="nil"/>
            </w:tcBorders>
            <w:shd w:val="clear" w:color="auto" w:fill="auto"/>
            <w:noWrap/>
            <w:vAlign w:val="center"/>
            <w:hideMark/>
          </w:tcPr>
          <w:p w14:paraId="226548EE"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25.11.2010.</w:t>
            </w:r>
          </w:p>
        </w:tc>
        <w:tc>
          <w:tcPr>
            <w:tcW w:w="1142" w:type="dxa"/>
            <w:tcBorders>
              <w:top w:val="nil"/>
              <w:left w:val="nil"/>
              <w:bottom w:val="nil"/>
              <w:right w:val="nil"/>
            </w:tcBorders>
            <w:shd w:val="clear" w:color="auto" w:fill="auto"/>
            <w:noWrap/>
            <w:vAlign w:val="center"/>
            <w:hideMark/>
          </w:tcPr>
          <w:p w14:paraId="22AB8796"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25.11.2017.</w:t>
            </w:r>
          </w:p>
        </w:tc>
        <w:tc>
          <w:tcPr>
            <w:tcW w:w="1221" w:type="dxa"/>
            <w:tcBorders>
              <w:top w:val="nil"/>
              <w:left w:val="nil"/>
              <w:bottom w:val="nil"/>
              <w:right w:val="nil"/>
            </w:tcBorders>
            <w:shd w:val="clear" w:color="auto" w:fill="auto"/>
            <w:noWrap/>
            <w:vAlign w:val="center"/>
            <w:hideMark/>
          </w:tcPr>
          <w:p w14:paraId="297D5704" w14:textId="77777777" w:rsidR="00E56218" w:rsidRPr="009F6ADE" w:rsidRDefault="00E56218" w:rsidP="00E56218">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6,25</w:t>
            </w:r>
          </w:p>
        </w:tc>
        <w:tc>
          <w:tcPr>
            <w:tcW w:w="1177" w:type="dxa"/>
            <w:tcBorders>
              <w:top w:val="nil"/>
              <w:left w:val="nil"/>
              <w:bottom w:val="nil"/>
              <w:right w:val="nil"/>
            </w:tcBorders>
            <w:shd w:val="clear" w:color="auto" w:fill="auto"/>
          </w:tcPr>
          <w:p w14:paraId="487FFFE8" w14:textId="3271D42B"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158.046</w:t>
            </w:r>
          </w:p>
        </w:tc>
        <w:tc>
          <w:tcPr>
            <w:tcW w:w="1177" w:type="dxa"/>
            <w:tcBorders>
              <w:top w:val="nil"/>
              <w:left w:val="nil"/>
              <w:bottom w:val="nil"/>
              <w:right w:val="nil"/>
            </w:tcBorders>
            <w:shd w:val="clear" w:color="auto" w:fill="auto"/>
            <w:vAlign w:val="center"/>
            <w:hideMark/>
          </w:tcPr>
          <w:p w14:paraId="71893DBF" w14:textId="12FFC7C0"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161.910</w:t>
            </w:r>
          </w:p>
        </w:tc>
        <w:tc>
          <w:tcPr>
            <w:tcW w:w="1177" w:type="dxa"/>
            <w:tcBorders>
              <w:top w:val="nil"/>
              <w:left w:val="nil"/>
              <w:bottom w:val="nil"/>
              <w:right w:val="nil"/>
            </w:tcBorders>
            <w:shd w:val="clear" w:color="auto" w:fill="auto"/>
          </w:tcPr>
          <w:p w14:paraId="3912B9C1" w14:textId="53E55381"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153.438</w:t>
            </w:r>
          </w:p>
        </w:tc>
        <w:tc>
          <w:tcPr>
            <w:tcW w:w="1178" w:type="dxa"/>
            <w:tcBorders>
              <w:top w:val="nil"/>
              <w:left w:val="nil"/>
              <w:bottom w:val="nil"/>
              <w:right w:val="nil"/>
            </w:tcBorders>
            <w:shd w:val="clear" w:color="auto" w:fill="auto"/>
            <w:vAlign w:val="center"/>
            <w:hideMark/>
          </w:tcPr>
          <w:p w14:paraId="1E6CF436" w14:textId="3DC77CC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157.185</w:t>
            </w:r>
          </w:p>
        </w:tc>
      </w:tr>
      <w:tr w:rsidR="00E56218" w:rsidRPr="009F6ADE" w14:paraId="6E5E8A5C" w14:textId="77777777" w:rsidTr="00312975">
        <w:trPr>
          <w:trHeight w:val="199"/>
        </w:trPr>
        <w:tc>
          <w:tcPr>
            <w:tcW w:w="2419" w:type="dxa"/>
            <w:tcBorders>
              <w:top w:val="nil"/>
              <w:left w:val="nil"/>
              <w:bottom w:val="nil"/>
              <w:right w:val="nil"/>
            </w:tcBorders>
            <w:shd w:val="clear" w:color="auto" w:fill="auto"/>
            <w:noWrap/>
            <w:vAlign w:val="center"/>
            <w:hideMark/>
          </w:tcPr>
          <w:p w14:paraId="69F6804A"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RHMF-O-203A</w:t>
            </w:r>
          </w:p>
        </w:tc>
        <w:tc>
          <w:tcPr>
            <w:tcW w:w="1142" w:type="dxa"/>
            <w:tcBorders>
              <w:top w:val="nil"/>
              <w:left w:val="nil"/>
              <w:bottom w:val="nil"/>
              <w:right w:val="nil"/>
            </w:tcBorders>
            <w:shd w:val="clear" w:color="auto" w:fill="auto"/>
            <w:noWrap/>
            <w:vAlign w:val="center"/>
            <w:hideMark/>
          </w:tcPr>
          <w:p w14:paraId="30A4901E"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5.3.2010.</w:t>
            </w:r>
          </w:p>
        </w:tc>
        <w:tc>
          <w:tcPr>
            <w:tcW w:w="1142" w:type="dxa"/>
            <w:tcBorders>
              <w:top w:val="nil"/>
              <w:left w:val="nil"/>
              <w:bottom w:val="nil"/>
              <w:right w:val="nil"/>
            </w:tcBorders>
            <w:shd w:val="clear" w:color="auto" w:fill="auto"/>
            <w:noWrap/>
            <w:vAlign w:val="center"/>
            <w:hideMark/>
          </w:tcPr>
          <w:p w14:paraId="3439A4B1"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5.3.2020.</w:t>
            </w:r>
          </w:p>
        </w:tc>
        <w:tc>
          <w:tcPr>
            <w:tcW w:w="1221" w:type="dxa"/>
            <w:tcBorders>
              <w:top w:val="nil"/>
              <w:left w:val="nil"/>
              <w:bottom w:val="nil"/>
              <w:right w:val="nil"/>
            </w:tcBorders>
            <w:shd w:val="clear" w:color="auto" w:fill="auto"/>
            <w:noWrap/>
            <w:vAlign w:val="center"/>
            <w:hideMark/>
          </w:tcPr>
          <w:p w14:paraId="226FF351" w14:textId="77777777" w:rsidR="00E56218" w:rsidRPr="009F6ADE" w:rsidRDefault="00E56218" w:rsidP="00E56218">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6,75</w:t>
            </w:r>
          </w:p>
        </w:tc>
        <w:tc>
          <w:tcPr>
            <w:tcW w:w="1177" w:type="dxa"/>
            <w:tcBorders>
              <w:top w:val="nil"/>
              <w:left w:val="nil"/>
              <w:bottom w:val="nil"/>
              <w:right w:val="nil"/>
            </w:tcBorders>
            <w:shd w:val="clear" w:color="auto" w:fill="auto"/>
          </w:tcPr>
          <w:p w14:paraId="3BD63C2C" w14:textId="1FC16C8F"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2.982</w:t>
            </w:r>
          </w:p>
        </w:tc>
        <w:tc>
          <w:tcPr>
            <w:tcW w:w="1177" w:type="dxa"/>
            <w:tcBorders>
              <w:top w:val="nil"/>
              <w:left w:val="nil"/>
              <w:bottom w:val="nil"/>
              <w:right w:val="nil"/>
            </w:tcBorders>
            <w:shd w:val="clear" w:color="auto" w:fill="auto"/>
            <w:vAlign w:val="center"/>
            <w:hideMark/>
          </w:tcPr>
          <w:p w14:paraId="24CF4458" w14:textId="5DDD1415"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3.003</w:t>
            </w:r>
          </w:p>
        </w:tc>
        <w:tc>
          <w:tcPr>
            <w:tcW w:w="1177" w:type="dxa"/>
            <w:tcBorders>
              <w:top w:val="nil"/>
              <w:left w:val="nil"/>
              <w:bottom w:val="nil"/>
              <w:right w:val="nil"/>
            </w:tcBorders>
            <w:shd w:val="clear" w:color="auto" w:fill="auto"/>
          </w:tcPr>
          <w:p w14:paraId="3E7DAE13" w14:textId="5A6E649E"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w:t>
            </w:r>
          </w:p>
        </w:tc>
        <w:tc>
          <w:tcPr>
            <w:tcW w:w="1178" w:type="dxa"/>
            <w:tcBorders>
              <w:top w:val="nil"/>
              <w:left w:val="nil"/>
              <w:bottom w:val="nil"/>
              <w:right w:val="nil"/>
            </w:tcBorders>
            <w:shd w:val="clear" w:color="auto" w:fill="auto"/>
            <w:vAlign w:val="center"/>
          </w:tcPr>
          <w:p w14:paraId="768BDB07" w14:textId="1AB148C0"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w:t>
            </w:r>
          </w:p>
        </w:tc>
      </w:tr>
      <w:tr w:rsidR="00E56218" w:rsidRPr="009F6ADE" w14:paraId="2A7A0D5D" w14:textId="77777777" w:rsidTr="00312975">
        <w:trPr>
          <w:trHeight w:val="199"/>
        </w:trPr>
        <w:tc>
          <w:tcPr>
            <w:tcW w:w="2419" w:type="dxa"/>
            <w:tcBorders>
              <w:top w:val="nil"/>
              <w:left w:val="nil"/>
              <w:bottom w:val="nil"/>
              <w:right w:val="nil"/>
            </w:tcBorders>
            <w:shd w:val="clear" w:color="auto" w:fill="auto"/>
            <w:noWrap/>
            <w:vAlign w:val="center"/>
            <w:hideMark/>
          </w:tcPr>
          <w:p w14:paraId="3BEEDE23"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RHMF-O-257A</w:t>
            </w:r>
          </w:p>
        </w:tc>
        <w:tc>
          <w:tcPr>
            <w:tcW w:w="1142" w:type="dxa"/>
            <w:tcBorders>
              <w:top w:val="nil"/>
              <w:left w:val="nil"/>
              <w:bottom w:val="nil"/>
              <w:right w:val="nil"/>
            </w:tcBorders>
            <w:shd w:val="clear" w:color="auto" w:fill="auto"/>
            <w:noWrap/>
            <w:vAlign w:val="center"/>
            <w:hideMark/>
          </w:tcPr>
          <w:p w14:paraId="55CCC226"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9.7.2015.</w:t>
            </w:r>
          </w:p>
        </w:tc>
        <w:tc>
          <w:tcPr>
            <w:tcW w:w="1142" w:type="dxa"/>
            <w:tcBorders>
              <w:top w:val="nil"/>
              <w:left w:val="nil"/>
              <w:bottom w:val="nil"/>
              <w:right w:val="nil"/>
            </w:tcBorders>
            <w:shd w:val="clear" w:color="auto" w:fill="auto"/>
            <w:noWrap/>
            <w:vAlign w:val="center"/>
            <w:hideMark/>
          </w:tcPr>
          <w:p w14:paraId="2B41190D"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9.7.2025.</w:t>
            </w:r>
          </w:p>
        </w:tc>
        <w:tc>
          <w:tcPr>
            <w:tcW w:w="1221" w:type="dxa"/>
            <w:tcBorders>
              <w:top w:val="nil"/>
              <w:left w:val="nil"/>
              <w:bottom w:val="nil"/>
              <w:right w:val="nil"/>
            </w:tcBorders>
            <w:shd w:val="clear" w:color="auto" w:fill="auto"/>
            <w:noWrap/>
            <w:vAlign w:val="bottom"/>
            <w:hideMark/>
          </w:tcPr>
          <w:p w14:paraId="7B6ADB1D" w14:textId="77777777" w:rsidR="00E56218" w:rsidRPr="009F6ADE" w:rsidRDefault="00E56218" w:rsidP="00E56218">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4,5</w:t>
            </w:r>
          </w:p>
        </w:tc>
        <w:tc>
          <w:tcPr>
            <w:tcW w:w="1177" w:type="dxa"/>
            <w:tcBorders>
              <w:top w:val="nil"/>
              <w:left w:val="nil"/>
              <w:bottom w:val="nil"/>
              <w:right w:val="nil"/>
            </w:tcBorders>
            <w:shd w:val="clear" w:color="auto" w:fill="auto"/>
          </w:tcPr>
          <w:p w14:paraId="4D64EE1B" w14:textId="5816E3DA"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9.444</w:t>
            </w:r>
          </w:p>
        </w:tc>
        <w:tc>
          <w:tcPr>
            <w:tcW w:w="1177" w:type="dxa"/>
            <w:tcBorders>
              <w:top w:val="nil"/>
              <w:left w:val="nil"/>
              <w:bottom w:val="nil"/>
              <w:right w:val="nil"/>
            </w:tcBorders>
            <w:shd w:val="clear" w:color="auto" w:fill="auto"/>
            <w:vAlign w:val="center"/>
            <w:hideMark/>
          </w:tcPr>
          <w:p w14:paraId="340F6457" w14:textId="274C16D1"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9.335</w:t>
            </w:r>
          </w:p>
        </w:tc>
        <w:tc>
          <w:tcPr>
            <w:tcW w:w="1177" w:type="dxa"/>
            <w:tcBorders>
              <w:top w:val="nil"/>
              <w:left w:val="nil"/>
              <w:bottom w:val="nil"/>
              <w:right w:val="nil"/>
            </w:tcBorders>
            <w:shd w:val="clear" w:color="auto" w:fill="auto"/>
          </w:tcPr>
          <w:p w14:paraId="4D8931F9" w14:textId="013015F7"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w:t>
            </w:r>
          </w:p>
        </w:tc>
        <w:tc>
          <w:tcPr>
            <w:tcW w:w="1178" w:type="dxa"/>
            <w:tcBorders>
              <w:top w:val="nil"/>
              <w:left w:val="nil"/>
              <w:bottom w:val="nil"/>
              <w:right w:val="nil"/>
            </w:tcBorders>
            <w:shd w:val="clear" w:color="auto" w:fill="auto"/>
            <w:vAlign w:val="center"/>
          </w:tcPr>
          <w:p w14:paraId="234F0B87" w14:textId="33C319B9"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w:t>
            </w:r>
          </w:p>
        </w:tc>
      </w:tr>
      <w:tr w:rsidR="00E56218" w:rsidRPr="009F6ADE" w14:paraId="4E0BBCAB" w14:textId="77777777" w:rsidTr="00312975">
        <w:trPr>
          <w:trHeight w:val="199"/>
        </w:trPr>
        <w:tc>
          <w:tcPr>
            <w:tcW w:w="2419" w:type="dxa"/>
            <w:tcBorders>
              <w:top w:val="nil"/>
              <w:left w:val="nil"/>
              <w:bottom w:val="nil"/>
              <w:right w:val="nil"/>
            </w:tcBorders>
            <w:shd w:val="clear" w:color="auto" w:fill="auto"/>
            <w:noWrap/>
            <w:vAlign w:val="center"/>
            <w:hideMark/>
          </w:tcPr>
          <w:p w14:paraId="275F8207"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RHMF-O-26CA</w:t>
            </w:r>
          </w:p>
        </w:tc>
        <w:tc>
          <w:tcPr>
            <w:tcW w:w="1142" w:type="dxa"/>
            <w:tcBorders>
              <w:top w:val="nil"/>
              <w:left w:val="nil"/>
              <w:bottom w:val="nil"/>
              <w:right w:val="nil"/>
            </w:tcBorders>
            <w:shd w:val="clear" w:color="auto" w:fill="auto"/>
            <w:noWrap/>
            <w:vAlign w:val="center"/>
            <w:hideMark/>
          </w:tcPr>
          <w:p w14:paraId="160C06D6"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14.12.2015.</w:t>
            </w:r>
          </w:p>
        </w:tc>
        <w:tc>
          <w:tcPr>
            <w:tcW w:w="1142" w:type="dxa"/>
            <w:tcBorders>
              <w:top w:val="nil"/>
              <w:left w:val="nil"/>
              <w:bottom w:val="nil"/>
              <w:right w:val="nil"/>
            </w:tcBorders>
            <w:shd w:val="clear" w:color="auto" w:fill="auto"/>
            <w:noWrap/>
            <w:vAlign w:val="center"/>
            <w:hideMark/>
          </w:tcPr>
          <w:p w14:paraId="666EED5F"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14.12.2026.</w:t>
            </w:r>
          </w:p>
        </w:tc>
        <w:tc>
          <w:tcPr>
            <w:tcW w:w="1221" w:type="dxa"/>
            <w:tcBorders>
              <w:top w:val="nil"/>
              <w:left w:val="nil"/>
              <w:bottom w:val="nil"/>
              <w:right w:val="nil"/>
            </w:tcBorders>
            <w:shd w:val="clear" w:color="auto" w:fill="auto"/>
            <w:noWrap/>
            <w:vAlign w:val="bottom"/>
            <w:hideMark/>
          </w:tcPr>
          <w:p w14:paraId="4895471A" w14:textId="77777777" w:rsidR="00E56218" w:rsidRPr="009F6ADE" w:rsidRDefault="00E56218" w:rsidP="00E56218">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4,25</w:t>
            </w:r>
          </w:p>
        </w:tc>
        <w:tc>
          <w:tcPr>
            <w:tcW w:w="1177" w:type="dxa"/>
            <w:tcBorders>
              <w:top w:val="nil"/>
              <w:left w:val="nil"/>
              <w:bottom w:val="nil"/>
              <w:right w:val="nil"/>
            </w:tcBorders>
            <w:shd w:val="clear" w:color="auto" w:fill="auto"/>
          </w:tcPr>
          <w:p w14:paraId="21D5985F" w14:textId="2CC74A32"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42.202</w:t>
            </w:r>
          </w:p>
        </w:tc>
        <w:tc>
          <w:tcPr>
            <w:tcW w:w="1177" w:type="dxa"/>
            <w:tcBorders>
              <w:top w:val="nil"/>
              <w:left w:val="nil"/>
              <w:bottom w:val="nil"/>
              <w:right w:val="nil"/>
            </w:tcBorders>
            <w:shd w:val="clear" w:color="auto" w:fill="auto"/>
            <w:vAlign w:val="center"/>
            <w:hideMark/>
          </w:tcPr>
          <w:p w14:paraId="1A434BE1" w14:textId="7884E20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41.909</w:t>
            </w:r>
          </w:p>
        </w:tc>
        <w:tc>
          <w:tcPr>
            <w:tcW w:w="1177" w:type="dxa"/>
            <w:tcBorders>
              <w:top w:val="nil"/>
              <w:left w:val="nil"/>
              <w:bottom w:val="nil"/>
              <w:right w:val="nil"/>
            </w:tcBorders>
            <w:shd w:val="clear" w:color="auto" w:fill="auto"/>
          </w:tcPr>
          <w:p w14:paraId="22C2C8A3" w14:textId="7476331C"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33.370</w:t>
            </w:r>
          </w:p>
        </w:tc>
        <w:tc>
          <w:tcPr>
            <w:tcW w:w="1178" w:type="dxa"/>
            <w:tcBorders>
              <w:top w:val="nil"/>
              <w:left w:val="nil"/>
              <w:bottom w:val="nil"/>
              <w:right w:val="nil"/>
            </w:tcBorders>
            <w:shd w:val="clear" w:color="auto" w:fill="auto"/>
            <w:vAlign w:val="center"/>
            <w:hideMark/>
          </w:tcPr>
          <w:p w14:paraId="2597DD26" w14:textId="4FD7CD58"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33.089</w:t>
            </w:r>
          </w:p>
        </w:tc>
      </w:tr>
      <w:tr w:rsidR="00E56218" w:rsidRPr="009F6ADE" w14:paraId="5FDF607A" w14:textId="77777777" w:rsidTr="00312975">
        <w:trPr>
          <w:trHeight w:val="199"/>
        </w:trPr>
        <w:tc>
          <w:tcPr>
            <w:tcW w:w="2419" w:type="dxa"/>
            <w:tcBorders>
              <w:top w:val="nil"/>
              <w:left w:val="nil"/>
              <w:bottom w:val="nil"/>
              <w:right w:val="nil"/>
            </w:tcBorders>
            <w:shd w:val="clear" w:color="auto" w:fill="auto"/>
            <w:noWrap/>
            <w:vAlign w:val="center"/>
          </w:tcPr>
          <w:p w14:paraId="3351B900"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RHMF-O-217A</w:t>
            </w:r>
          </w:p>
        </w:tc>
        <w:tc>
          <w:tcPr>
            <w:tcW w:w="1142" w:type="dxa"/>
            <w:tcBorders>
              <w:top w:val="nil"/>
              <w:left w:val="nil"/>
              <w:bottom w:val="nil"/>
              <w:right w:val="nil"/>
            </w:tcBorders>
            <w:shd w:val="clear" w:color="auto" w:fill="auto"/>
            <w:noWrap/>
            <w:vAlign w:val="center"/>
          </w:tcPr>
          <w:p w14:paraId="6132F669"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8.7.2016.</w:t>
            </w:r>
          </w:p>
        </w:tc>
        <w:tc>
          <w:tcPr>
            <w:tcW w:w="1142" w:type="dxa"/>
            <w:tcBorders>
              <w:top w:val="nil"/>
              <w:left w:val="nil"/>
              <w:bottom w:val="nil"/>
              <w:right w:val="nil"/>
            </w:tcBorders>
            <w:shd w:val="clear" w:color="auto" w:fill="auto"/>
            <w:noWrap/>
            <w:vAlign w:val="center"/>
          </w:tcPr>
          <w:p w14:paraId="7B2409EF" w14:textId="77777777"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8.7.2021.</w:t>
            </w:r>
          </w:p>
        </w:tc>
        <w:tc>
          <w:tcPr>
            <w:tcW w:w="1221" w:type="dxa"/>
            <w:tcBorders>
              <w:top w:val="nil"/>
              <w:left w:val="nil"/>
              <w:bottom w:val="nil"/>
              <w:right w:val="nil"/>
            </w:tcBorders>
            <w:shd w:val="clear" w:color="auto" w:fill="auto"/>
            <w:noWrap/>
            <w:vAlign w:val="bottom"/>
          </w:tcPr>
          <w:p w14:paraId="309E1654" w14:textId="77777777" w:rsidR="00E56218" w:rsidRPr="009F6ADE" w:rsidRDefault="00E56218" w:rsidP="00E56218">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2,75</w:t>
            </w:r>
          </w:p>
        </w:tc>
        <w:tc>
          <w:tcPr>
            <w:tcW w:w="1177" w:type="dxa"/>
            <w:tcBorders>
              <w:top w:val="nil"/>
              <w:left w:val="nil"/>
              <w:bottom w:val="nil"/>
              <w:right w:val="nil"/>
            </w:tcBorders>
            <w:shd w:val="clear" w:color="auto" w:fill="auto"/>
          </w:tcPr>
          <w:p w14:paraId="3BCB5BC6" w14:textId="7593A16F"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202.930</w:t>
            </w:r>
          </w:p>
        </w:tc>
        <w:tc>
          <w:tcPr>
            <w:tcW w:w="1177" w:type="dxa"/>
            <w:tcBorders>
              <w:top w:val="nil"/>
              <w:left w:val="nil"/>
              <w:bottom w:val="nil"/>
              <w:right w:val="nil"/>
            </w:tcBorders>
            <w:shd w:val="clear" w:color="auto" w:fill="auto"/>
            <w:vAlign w:val="center"/>
          </w:tcPr>
          <w:p w14:paraId="038C8ACF" w14:textId="5EB9B971"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201.471</w:t>
            </w:r>
          </w:p>
        </w:tc>
        <w:tc>
          <w:tcPr>
            <w:tcW w:w="1177" w:type="dxa"/>
            <w:tcBorders>
              <w:top w:val="nil"/>
              <w:left w:val="nil"/>
              <w:bottom w:val="nil"/>
              <w:right w:val="nil"/>
            </w:tcBorders>
            <w:shd w:val="clear" w:color="auto" w:fill="auto"/>
          </w:tcPr>
          <w:p w14:paraId="41B5CC70" w14:textId="3BA502E8"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200.863</w:t>
            </w:r>
          </w:p>
        </w:tc>
        <w:tc>
          <w:tcPr>
            <w:tcW w:w="1178" w:type="dxa"/>
            <w:tcBorders>
              <w:top w:val="nil"/>
              <w:left w:val="nil"/>
              <w:bottom w:val="nil"/>
              <w:right w:val="nil"/>
            </w:tcBorders>
            <w:shd w:val="clear" w:color="auto" w:fill="auto"/>
            <w:vAlign w:val="center"/>
          </w:tcPr>
          <w:p w14:paraId="7670C917" w14:textId="4A74A631"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199.411</w:t>
            </w:r>
          </w:p>
        </w:tc>
      </w:tr>
      <w:tr w:rsidR="00E56218" w:rsidRPr="009F6ADE" w14:paraId="4C3A6938" w14:textId="77777777" w:rsidTr="00312975">
        <w:trPr>
          <w:trHeight w:val="199"/>
        </w:trPr>
        <w:tc>
          <w:tcPr>
            <w:tcW w:w="2419" w:type="dxa"/>
            <w:tcBorders>
              <w:top w:val="nil"/>
              <w:left w:val="nil"/>
              <w:bottom w:val="nil"/>
              <w:right w:val="nil"/>
            </w:tcBorders>
            <w:shd w:val="clear" w:color="auto" w:fill="auto"/>
            <w:noWrap/>
            <w:vAlign w:val="center"/>
          </w:tcPr>
          <w:p w14:paraId="27B9B26D" w14:textId="782019EE"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RHMF-O-2</w:t>
            </w:r>
            <w:r>
              <w:rPr>
                <w:rFonts w:ascii="Calibri" w:eastAsia="Times New Roman" w:hAnsi="Calibri" w:cs="Arial"/>
                <w:sz w:val="18"/>
                <w:szCs w:val="18"/>
              </w:rPr>
              <w:t>22</w:t>
            </w:r>
            <w:r w:rsidRPr="009F6ADE">
              <w:rPr>
                <w:rFonts w:ascii="Calibri" w:eastAsia="Times New Roman" w:hAnsi="Calibri" w:cs="Arial"/>
                <w:sz w:val="18"/>
                <w:szCs w:val="18"/>
              </w:rPr>
              <w:t>A</w:t>
            </w:r>
          </w:p>
        </w:tc>
        <w:tc>
          <w:tcPr>
            <w:tcW w:w="1142" w:type="dxa"/>
            <w:tcBorders>
              <w:top w:val="nil"/>
              <w:left w:val="nil"/>
              <w:bottom w:val="nil"/>
              <w:right w:val="nil"/>
            </w:tcBorders>
            <w:shd w:val="clear" w:color="auto" w:fill="auto"/>
            <w:noWrap/>
            <w:vAlign w:val="center"/>
          </w:tcPr>
          <w:p w14:paraId="19FED6AB" w14:textId="1306062E" w:rsidR="00E56218" w:rsidRPr="009F6ADE" w:rsidRDefault="00E56218" w:rsidP="00E56218">
            <w:pPr>
              <w:spacing w:after="0" w:line="240" w:lineRule="auto"/>
              <w:jc w:val="right"/>
              <w:rPr>
                <w:rFonts w:ascii="Calibri" w:eastAsia="Times New Roman" w:hAnsi="Calibri" w:cs="Arial"/>
                <w:sz w:val="18"/>
                <w:szCs w:val="18"/>
              </w:rPr>
            </w:pPr>
            <w:r>
              <w:rPr>
                <w:rFonts w:ascii="Calibri" w:eastAsia="Times New Roman" w:hAnsi="Calibri" w:cs="Arial"/>
                <w:sz w:val="18"/>
                <w:szCs w:val="18"/>
              </w:rPr>
              <w:t>7.2.2017.</w:t>
            </w:r>
          </w:p>
        </w:tc>
        <w:tc>
          <w:tcPr>
            <w:tcW w:w="1142" w:type="dxa"/>
            <w:tcBorders>
              <w:top w:val="nil"/>
              <w:left w:val="nil"/>
              <w:bottom w:val="nil"/>
              <w:right w:val="nil"/>
            </w:tcBorders>
            <w:shd w:val="clear" w:color="auto" w:fill="auto"/>
            <w:noWrap/>
            <w:vAlign w:val="center"/>
          </w:tcPr>
          <w:p w14:paraId="607E1425" w14:textId="35ABB3F5" w:rsidR="00E56218" w:rsidRPr="009F6ADE" w:rsidRDefault="00E56218" w:rsidP="00E56218">
            <w:pPr>
              <w:spacing w:after="0" w:line="240" w:lineRule="auto"/>
              <w:jc w:val="right"/>
              <w:rPr>
                <w:rFonts w:ascii="Calibri" w:eastAsia="Times New Roman" w:hAnsi="Calibri" w:cs="Arial"/>
                <w:sz w:val="18"/>
                <w:szCs w:val="18"/>
              </w:rPr>
            </w:pPr>
            <w:r>
              <w:rPr>
                <w:rFonts w:ascii="Calibri" w:eastAsia="Times New Roman" w:hAnsi="Calibri" w:cs="Arial"/>
                <w:sz w:val="18"/>
                <w:szCs w:val="18"/>
              </w:rPr>
              <w:t>7.2.2022.</w:t>
            </w:r>
          </w:p>
        </w:tc>
        <w:tc>
          <w:tcPr>
            <w:tcW w:w="1221" w:type="dxa"/>
            <w:tcBorders>
              <w:top w:val="nil"/>
              <w:left w:val="nil"/>
              <w:bottom w:val="nil"/>
              <w:right w:val="nil"/>
            </w:tcBorders>
            <w:shd w:val="clear" w:color="auto" w:fill="auto"/>
            <w:noWrap/>
            <w:vAlign w:val="bottom"/>
          </w:tcPr>
          <w:p w14:paraId="5FD7A7DB" w14:textId="23AE39A5" w:rsidR="00E56218" w:rsidRPr="009F6ADE" w:rsidRDefault="00E56218" w:rsidP="00E56218">
            <w:pPr>
              <w:spacing w:after="0" w:line="240" w:lineRule="auto"/>
              <w:jc w:val="center"/>
              <w:rPr>
                <w:rFonts w:ascii="Calibri" w:eastAsia="Times New Roman" w:hAnsi="Calibri" w:cs="Arial"/>
                <w:sz w:val="18"/>
                <w:szCs w:val="18"/>
              </w:rPr>
            </w:pPr>
            <w:r>
              <w:rPr>
                <w:rFonts w:ascii="Calibri" w:eastAsia="Times New Roman" w:hAnsi="Calibri" w:cs="Arial"/>
                <w:sz w:val="18"/>
                <w:szCs w:val="18"/>
              </w:rPr>
              <w:t>2,25</w:t>
            </w:r>
          </w:p>
        </w:tc>
        <w:tc>
          <w:tcPr>
            <w:tcW w:w="1177" w:type="dxa"/>
            <w:tcBorders>
              <w:top w:val="nil"/>
              <w:left w:val="nil"/>
              <w:bottom w:val="nil"/>
              <w:right w:val="nil"/>
            </w:tcBorders>
            <w:shd w:val="clear" w:color="auto" w:fill="auto"/>
          </w:tcPr>
          <w:p w14:paraId="6F4F6348" w14:textId="446D4131"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70.220</w:t>
            </w:r>
          </w:p>
        </w:tc>
        <w:tc>
          <w:tcPr>
            <w:tcW w:w="1177" w:type="dxa"/>
            <w:tcBorders>
              <w:top w:val="nil"/>
              <w:left w:val="nil"/>
              <w:bottom w:val="nil"/>
              <w:right w:val="nil"/>
            </w:tcBorders>
            <w:shd w:val="clear" w:color="auto" w:fill="auto"/>
            <w:vAlign w:val="center"/>
          </w:tcPr>
          <w:p w14:paraId="53A0C27B" w14:textId="30F41258" w:rsidR="00E56218" w:rsidRPr="009F6ADE" w:rsidRDefault="00E56218" w:rsidP="00E56218">
            <w:pPr>
              <w:spacing w:after="0" w:line="240" w:lineRule="auto"/>
              <w:jc w:val="right"/>
              <w:rPr>
                <w:rFonts w:ascii="Calibri" w:eastAsia="Times New Roman" w:hAnsi="Calibri" w:cs="Times New Roman"/>
                <w:sz w:val="18"/>
                <w:szCs w:val="18"/>
                <w:lang w:val="en-US"/>
              </w:rPr>
            </w:pPr>
            <w:r>
              <w:rPr>
                <w:rFonts w:ascii="Calibri" w:eastAsia="Times New Roman" w:hAnsi="Calibri" w:cs="Times New Roman"/>
                <w:sz w:val="18"/>
                <w:szCs w:val="18"/>
                <w:lang w:val="en-US"/>
              </w:rPr>
              <w:t>-</w:t>
            </w:r>
          </w:p>
        </w:tc>
        <w:tc>
          <w:tcPr>
            <w:tcW w:w="1177" w:type="dxa"/>
            <w:tcBorders>
              <w:top w:val="nil"/>
              <w:left w:val="nil"/>
              <w:bottom w:val="nil"/>
              <w:right w:val="nil"/>
            </w:tcBorders>
            <w:shd w:val="clear" w:color="auto" w:fill="auto"/>
          </w:tcPr>
          <w:p w14:paraId="5951D64D" w14:textId="2E6AD682"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70.220</w:t>
            </w:r>
          </w:p>
        </w:tc>
        <w:tc>
          <w:tcPr>
            <w:tcW w:w="1178" w:type="dxa"/>
            <w:tcBorders>
              <w:top w:val="nil"/>
              <w:left w:val="nil"/>
              <w:bottom w:val="nil"/>
              <w:right w:val="nil"/>
            </w:tcBorders>
            <w:shd w:val="clear" w:color="auto" w:fill="auto"/>
            <w:vAlign w:val="center"/>
          </w:tcPr>
          <w:p w14:paraId="33973E36" w14:textId="60D4B302" w:rsidR="00E56218" w:rsidRPr="009F6ADE" w:rsidRDefault="00E56218" w:rsidP="00E56218">
            <w:pPr>
              <w:spacing w:after="0" w:line="240" w:lineRule="auto"/>
              <w:jc w:val="right"/>
              <w:rPr>
                <w:rFonts w:ascii="Calibri" w:eastAsia="Times New Roman" w:hAnsi="Calibri" w:cs="Times New Roman"/>
                <w:sz w:val="18"/>
                <w:szCs w:val="18"/>
                <w:lang w:val="en-US"/>
              </w:rPr>
            </w:pPr>
            <w:r>
              <w:rPr>
                <w:rFonts w:ascii="Calibri" w:eastAsia="Times New Roman" w:hAnsi="Calibri" w:cs="Times New Roman"/>
                <w:sz w:val="18"/>
                <w:szCs w:val="18"/>
                <w:lang w:val="en-US"/>
              </w:rPr>
              <w:t>-</w:t>
            </w:r>
          </w:p>
        </w:tc>
      </w:tr>
      <w:tr w:rsidR="00E56218" w:rsidRPr="009F6ADE" w14:paraId="4E8E35AA" w14:textId="77777777" w:rsidTr="00312975">
        <w:trPr>
          <w:trHeight w:val="199"/>
        </w:trPr>
        <w:tc>
          <w:tcPr>
            <w:tcW w:w="2419" w:type="dxa"/>
            <w:tcBorders>
              <w:top w:val="nil"/>
              <w:left w:val="nil"/>
              <w:bottom w:val="nil"/>
              <w:right w:val="nil"/>
            </w:tcBorders>
            <w:shd w:val="clear" w:color="auto" w:fill="auto"/>
            <w:noWrap/>
            <w:vAlign w:val="center"/>
          </w:tcPr>
          <w:p w14:paraId="1CDD7F92" w14:textId="27E87766" w:rsidR="00E56218" w:rsidRPr="009F6ADE" w:rsidRDefault="00E56218" w:rsidP="00E56218">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RHMF-O-2</w:t>
            </w:r>
            <w:r>
              <w:rPr>
                <w:rFonts w:ascii="Calibri" w:eastAsia="Times New Roman" w:hAnsi="Calibri" w:cs="Arial"/>
                <w:sz w:val="18"/>
                <w:szCs w:val="18"/>
              </w:rPr>
              <w:t>82</w:t>
            </w:r>
            <w:r w:rsidRPr="009F6ADE">
              <w:rPr>
                <w:rFonts w:ascii="Calibri" w:eastAsia="Times New Roman" w:hAnsi="Calibri" w:cs="Arial"/>
                <w:sz w:val="18"/>
                <w:szCs w:val="18"/>
              </w:rPr>
              <w:t>A</w:t>
            </w:r>
          </w:p>
        </w:tc>
        <w:tc>
          <w:tcPr>
            <w:tcW w:w="1142" w:type="dxa"/>
            <w:tcBorders>
              <w:top w:val="nil"/>
              <w:left w:val="nil"/>
              <w:bottom w:val="nil"/>
              <w:right w:val="nil"/>
            </w:tcBorders>
            <w:shd w:val="clear" w:color="auto" w:fill="auto"/>
            <w:noWrap/>
            <w:vAlign w:val="center"/>
          </w:tcPr>
          <w:p w14:paraId="7873BACF" w14:textId="6927C489" w:rsidR="00E56218" w:rsidRDefault="00E56218" w:rsidP="00E56218">
            <w:pPr>
              <w:spacing w:after="0" w:line="240" w:lineRule="auto"/>
              <w:jc w:val="right"/>
              <w:rPr>
                <w:rFonts w:ascii="Calibri" w:eastAsia="Times New Roman" w:hAnsi="Calibri" w:cs="Arial"/>
                <w:sz w:val="18"/>
                <w:szCs w:val="18"/>
              </w:rPr>
            </w:pPr>
            <w:r>
              <w:rPr>
                <w:rFonts w:ascii="Calibri" w:eastAsia="Times New Roman" w:hAnsi="Calibri" w:cs="Arial"/>
                <w:sz w:val="18"/>
                <w:szCs w:val="18"/>
              </w:rPr>
              <w:t>7.2.2017.</w:t>
            </w:r>
          </w:p>
        </w:tc>
        <w:tc>
          <w:tcPr>
            <w:tcW w:w="1142" w:type="dxa"/>
            <w:tcBorders>
              <w:top w:val="nil"/>
              <w:left w:val="nil"/>
              <w:bottom w:val="nil"/>
              <w:right w:val="nil"/>
            </w:tcBorders>
            <w:shd w:val="clear" w:color="auto" w:fill="auto"/>
            <w:noWrap/>
            <w:vAlign w:val="center"/>
          </w:tcPr>
          <w:p w14:paraId="0AD28EF0" w14:textId="17237EF8" w:rsidR="00E56218" w:rsidRDefault="00E56218" w:rsidP="00E56218">
            <w:pPr>
              <w:spacing w:after="0" w:line="240" w:lineRule="auto"/>
              <w:jc w:val="right"/>
              <w:rPr>
                <w:rFonts w:ascii="Calibri" w:eastAsia="Times New Roman" w:hAnsi="Calibri" w:cs="Arial"/>
                <w:sz w:val="18"/>
                <w:szCs w:val="18"/>
              </w:rPr>
            </w:pPr>
            <w:r>
              <w:rPr>
                <w:rFonts w:ascii="Calibri" w:eastAsia="Times New Roman" w:hAnsi="Calibri" w:cs="Arial"/>
                <w:sz w:val="18"/>
                <w:szCs w:val="18"/>
              </w:rPr>
              <w:t>7.2.2028.</w:t>
            </w:r>
          </w:p>
        </w:tc>
        <w:tc>
          <w:tcPr>
            <w:tcW w:w="1221" w:type="dxa"/>
            <w:tcBorders>
              <w:top w:val="nil"/>
              <w:left w:val="nil"/>
              <w:bottom w:val="nil"/>
              <w:right w:val="nil"/>
            </w:tcBorders>
            <w:shd w:val="clear" w:color="auto" w:fill="auto"/>
            <w:noWrap/>
            <w:vAlign w:val="bottom"/>
          </w:tcPr>
          <w:p w14:paraId="4AC24ADA" w14:textId="2305C9E1" w:rsidR="00E56218" w:rsidRDefault="00E56218" w:rsidP="00E56218">
            <w:pPr>
              <w:spacing w:after="0" w:line="240" w:lineRule="auto"/>
              <w:jc w:val="center"/>
              <w:rPr>
                <w:rFonts w:ascii="Calibri" w:eastAsia="Times New Roman" w:hAnsi="Calibri" w:cs="Arial"/>
                <w:sz w:val="18"/>
                <w:szCs w:val="18"/>
              </w:rPr>
            </w:pPr>
            <w:r>
              <w:rPr>
                <w:rFonts w:ascii="Calibri" w:eastAsia="Times New Roman" w:hAnsi="Calibri" w:cs="Arial"/>
                <w:sz w:val="18"/>
                <w:szCs w:val="18"/>
              </w:rPr>
              <w:t>2,875</w:t>
            </w:r>
          </w:p>
        </w:tc>
        <w:tc>
          <w:tcPr>
            <w:tcW w:w="1177" w:type="dxa"/>
            <w:tcBorders>
              <w:top w:val="nil"/>
              <w:left w:val="nil"/>
              <w:bottom w:val="nil"/>
              <w:right w:val="nil"/>
            </w:tcBorders>
            <w:shd w:val="clear" w:color="auto" w:fill="auto"/>
          </w:tcPr>
          <w:p w14:paraId="1ABE79D8" w14:textId="53B40DAB"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11.646</w:t>
            </w:r>
          </w:p>
        </w:tc>
        <w:tc>
          <w:tcPr>
            <w:tcW w:w="1177" w:type="dxa"/>
            <w:tcBorders>
              <w:top w:val="nil"/>
              <w:left w:val="nil"/>
              <w:bottom w:val="nil"/>
              <w:right w:val="nil"/>
            </w:tcBorders>
            <w:shd w:val="clear" w:color="auto" w:fill="auto"/>
            <w:vAlign w:val="center"/>
          </w:tcPr>
          <w:p w14:paraId="1855157C" w14:textId="1E27D899" w:rsidR="00E56218" w:rsidRDefault="00E56218" w:rsidP="00E56218">
            <w:pPr>
              <w:spacing w:after="0" w:line="240" w:lineRule="auto"/>
              <w:jc w:val="right"/>
              <w:rPr>
                <w:rFonts w:ascii="Calibri" w:eastAsia="Times New Roman" w:hAnsi="Calibri" w:cs="Times New Roman"/>
                <w:sz w:val="18"/>
                <w:szCs w:val="18"/>
                <w:lang w:val="en-US"/>
              </w:rPr>
            </w:pPr>
            <w:r>
              <w:rPr>
                <w:rFonts w:ascii="Calibri" w:eastAsia="Times New Roman" w:hAnsi="Calibri" w:cs="Times New Roman"/>
                <w:sz w:val="18"/>
                <w:szCs w:val="18"/>
                <w:lang w:val="en-US"/>
              </w:rPr>
              <w:t>-</w:t>
            </w:r>
          </w:p>
        </w:tc>
        <w:tc>
          <w:tcPr>
            <w:tcW w:w="1177" w:type="dxa"/>
            <w:tcBorders>
              <w:top w:val="nil"/>
              <w:left w:val="nil"/>
              <w:bottom w:val="nil"/>
              <w:right w:val="nil"/>
            </w:tcBorders>
            <w:shd w:val="clear" w:color="auto" w:fill="auto"/>
          </w:tcPr>
          <w:p w14:paraId="1325EA80" w14:textId="3D7D4E29" w:rsidR="00E56218" w:rsidRPr="00312975" w:rsidRDefault="00E56218" w:rsidP="00E56218">
            <w:pPr>
              <w:spacing w:after="0" w:line="240" w:lineRule="auto"/>
              <w:jc w:val="right"/>
              <w:rPr>
                <w:rFonts w:ascii="Calibri" w:eastAsia="Times New Roman" w:hAnsi="Calibri" w:cs="Times New Roman"/>
                <w:sz w:val="18"/>
                <w:szCs w:val="18"/>
                <w:lang w:val="en-US"/>
              </w:rPr>
            </w:pPr>
            <w:r w:rsidRPr="00312975">
              <w:rPr>
                <w:rFonts w:ascii="Calibri" w:eastAsia="Times New Roman" w:hAnsi="Calibri" w:cs="Times New Roman"/>
                <w:sz w:val="18"/>
                <w:szCs w:val="18"/>
                <w:lang w:val="en-US"/>
              </w:rPr>
              <w:t>9.792</w:t>
            </w:r>
          </w:p>
        </w:tc>
        <w:tc>
          <w:tcPr>
            <w:tcW w:w="1178" w:type="dxa"/>
            <w:tcBorders>
              <w:top w:val="nil"/>
              <w:left w:val="nil"/>
              <w:bottom w:val="nil"/>
              <w:right w:val="nil"/>
            </w:tcBorders>
            <w:shd w:val="clear" w:color="auto" w:fill="auto"/>
            <w:vAlign w:val="center"/>
          </w:tcPr>
          <w:p w14:paraId="30A1E9AC" w14:textId="2EA6FA1A" w:rsidR="00E56218" w:rsidRDefault="00E56218" w:rsidP="00E56218">
            <w:pPr>
              <w:spacing w:after="0" w:line="240" w:lineRule="auto"/>
              <w:jc w:val="right"/>
              <w:rPr>
                <w:rFonts w:ascii="Calibri" w:eastAsia="Times New Roman" w:hAnsi="Calibri" w:cs="Times New Roman"/>
                <w:sz w:val="18"/>
                <w:szCs w:val="18"/>
                <w:lang w:val="en-US"/>
              </w:rPr>
            </w:pPr>
            <w:r>
              <w:rPr>
                <w:rFonts w:ascii="Calibri" w:eastAsia="Times New Roman" w:hAnsi="Calibri" w:cs="Times New Roman"/>
                <w:sz w:val="18"/>
                <w:szCs w:val="18"/>
                <w:lang w:val="en-US"/>
              </w:rPr>
              <w:t>-</w:t>
            </w:r>
          </w:p>
        </w:tc>
      </w:tr>
      <w:tr w:rsidR="00F33730" w:rsidRPr="009F6ADE" w14:paraId="468DA573" w14:textId="77777777" w:rsidTr="009F6ADE">
        <w:trPr>
          <w:trHeight w:val="199"/>
        </w:trPr>
        <w:tc>
          <w:tcPr>
            <w:tcW w:w="3561" w:type="dxa"/>
            <w:gridSpan w:val="2"/>
            <w:tcBorders>
              <w:top w:val="nil"/>
              <w:left w:val="nil"/>
              <w:bottom w:val="nil"/>
              <w:right w:val="nil"/>
            </w:tcBorders>
            <w:shd w:val="clear" w:color="auto" w:fill="auto"/>
            <w:noWrap/>
            <w:vAlign w:val="center"/>
            <w:hideMark/>
          </w:tcPr>
          <w:p w14:paraId="17852288" w14:textId="77777777" w:rsidR="00F33730" w:rsidRPr="009F6ADE" w:rsidRDefault="00F33730" w:rsidP="00F33730">
            <w:pPr>
              <w:spacing w:after="0" w:line="240" w:lineRule="auto"/>
              <w:rPr>
                <w:rFonts w:ascii="Calibri" w:eastAsia="Times New Roman" w:hAnsi="Calibri" w:cs="Arial"/>
                <w:i/>
                <w:iCs/>
                <w:sz w:val="18"/>
                <w:szCs w:val="18"/>
              </w:rPr>
            </w:pPr>
            <w:r w:rsidRPr="009F6ADE">
              <w:rPr>
                <w:rFonts w:ascii="Calibri" w:eastAsia="Times New Roman" w:hAnsi="Calibri" w:cs="Arial"/>
                <w:i/>
                <w:iCs/>
                <w:sz w:val="18"/>
                <w:szCs w:val="18"/>
              </w:rPr>
              <w:t>Obveznice financijskih institucija u kunama:</w:t>
            </w:r>
          </w:p>
        </w:tc>
        <w:tc>
          <w:tcPr>
            <w:tcW w:w="1142" w:type="dxa"/>
            <w:tcBorders>
              <w:top w:val="nil"/>
              <w:left w:val="nil"/>
              <w:bottom w:val="nil"/>
              <w:right w:val="nil"/>
            </w:tcBorders>
            <w:shd w:val="clear" w:color="auto" w:fill="auto"/>
            <w:noWrap/>
            <w:vAlign w:val="center"/>
            <w:hideMark/>
          </w:tcPr>
          <w:p w14:paraId="698A78B2" w14:textId="77777777" w:rsidR="00F33730" w:rsidRPr="009F6ADE" w:rsidRDefault="00F33730" w:rsidP="00F33730">
            <w:pPr>
              <w:spacing w:after="0" w:line="240" w:lineRule="auto"/>
              <w:rPr>
                <w:rFonts w:ascii="Calibri" w:eastAsia="Times New Roman" w:hAnsi="Calibri" w:cs="Arial"/>
                <w:i/>
                <w:iCs/>
                <w:sz w:val="18"/>
                <w:szCs w:val="18"/>
              </w:rPr>
            </w:pPr>
          </w:p>
        </w:tc>
        <w:tc>
          <w:tcPr>
            <w:tcW w:w="1221" w:type="dxa"/>
            <w:tcBorders>
              <w:top w:val="nil"/>
              <w:left w:val="nil"/>
              <w:bottom w:val="nil"/>
              <w:right w:val="nil"/>
            </w:tcBorders>
            <w:shd w:val="clear" w:color="auto" w:fill="auto"/>
            <w:noWrap/>
            <w:vAlign w:val="center"/>
            <w:hideMark/>
          </w:tcPr>
          <w:p w14:paraId="004534D6" w14:textId="77777777" w:rsidR="00F33730" w:rsidRPr="009F6ADE" w:rsidRDefault="00F33730" w:rsidP="00F33730">
            <w:pPr>
              <w:spacing w:after="0" w:line="240" w:lineRule="auto"/>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7A08A5FE" w14:textId="77777777" w:rsidR="00F33730" w:rsidRPr="009F6ADE" w:rsidRDefault="00F33730" w:rsidP="00F33730">
            <w:pPr>
              <w:spacing w:after="0" w:line="240" w:lineRule="auto"/>
              <w:jc w:val="center"/>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38D50094" w14:textId="77777777" w:rsidR="00F33730" w:rsidRPr="009F6ADE" w:rsidRDefault="00F33730" w:rsidP="00F33730">
            <w:pPr>
              <w:spacing w:after="0" w:line="240" w:lineRule="auto"/>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5E840701" w14:textId="77777777" w:rsidR="00F33730" w:rsidRPr="00312975" w:rsidRDefault="00F33730" w:rsidP="00312975">
            <w:pPr>
              <w:spacing w:after="0" w:line="240" w:lineRule="auto"/>
              <w:jc w:val="right"/>
              <w:rPr>
                <w:rFonts w:ascii="Calibri" w:eastAsia="Times New Roman" w:hAnsi="Calibri" w:cs="Times New Roman"/>
                <w:sz w:val="18"/>
                <w:szCs w:val="18"/>
                <w:lang w:val="en-US"/>
              </w:rPr>
            </w:pPr>
          </w:p>
        </w:tc>
        <w:tc>
          <w:tcPr>
            <w:tcW w:w="1178" w:type="dxa"/>
            <w:tcBorders>
              <w:top w:val="nil"/>
              <w:left w:val="nil"/>
              <w:bottom w:val="nil"/>
              <w:right w:val="nil"/>
            </w:tcBorders>
            <w:shd w:val="clear" w:color="auto" w:fill="auto"/>
            <w:vAlign w:val="center"/>
            <w:hideMark/>
          </w:tcPr>
          <w:p w14:paraId="0A0D9805" w14:textId="77777777" w:rsidR="00F33730" w:rsidRPr="009F6ADE" w:rsidRDefault="00F33730" w:rsidP="00F33730">
            <w:pPr>
              <w:spacing w:after="0" w:line="240" w:lineRule="auto"/>
              <w:jc w:val="right"/>
              <w:rPr>
                <w:rFonts w:ascii="Calibri" w:eastAsia="Times New Roman" w:hAnsi="Calibri" w:cs="Times New Roman"/>
                <w:sz w:val="18"/>
                <w:szCs w:val="18"/>
              </w:rPr>
            </w:pPr>
          </w:p>
        </w:tc>
      </w:tr>
      <w:tr w:rsidR="00F33730" w:rsidRPr="009F6ADE" w14:paraId="6A4CB907" w14:textId="77777777" w:rsidTr="009F6ADE">
        <w:trPr>
          <w:trHeight w:val="199"/>
        </w:trPr>
        <w:tc>
          <w:tcPr>
            <w:tcW w:w="2419" w:type="dxa"/>
            <w:tcBorders>
              <w:top w:val="nil"/>
              <w:left w:val="nil"/>
              <w:bottom w:val="nil"/>
              <w:right w:val="nil"/>
            </w:tcBorders>
            <w:shd w:val="clear" w:color="auto" w:fill="auto"/>
            <w:noWrap/>
            <w:vAlign w:val="center"/>
            <w:hideMark/>
          </w:tcPr>
          <w:p w14:paraId="4310F801" w14:textId="77777777" w:rsidR="00F33730" w:rsidRPr="009F6ADE" w:rsidRDefault="00F33730" w:rsidP="00F33730">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RIBA-O-17BA</w:t>
            </w:r>
          </w:p>
        </w:tc>
        <w:tc>
          <w:tcPr>
            <w:tcW w:w="1142" w:type="dxa"/>
            <w:tcBorders>
              <w:top w:val="nil"/>
              <w:left w:val="nil"/>
              <w:bottom w:val="nil"/>
              <w:right w:val="nil"/>
            </w:tcBorders>
            <w:shd w:val="clear" w:color="auto" w:fill="auto"/>
            <w:noWrap/>
            <w:vAlign w:val="center"/>
            <w:hideMark/>
          </w:tcPr>
          <w:p w14:paraId="7D072649" w14:textId="77777777" w:rsidR="00F33730" w:rsidRPr="009F6ADE" w:rsidRDefault="00F33730" w:rsidP="00F33730">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23.11.2012.</w:t>
            </w:r>
          </w:p>
        </w:tc>
        <w:tc>
          <w:tcPr>
            <w:tcW w:w="1142" w:type="dxa"/>
            <w:tcBorders>
              <w:top w:val="nil"/>
              <w:left w:val="nil"/>
              <w:bottom w:val="nil"/>
              <w:right w:val="nil"/>
            </w:tcBorders>
            <w:shd w:val="clear" w:color="auto" w:fill="auto"/>
            <w:noWrap/>
            <w:vAlign w:val="center"/>
            <w:hideMark/>
          </w:tcPr>
          <w:p w14:paraId="1654BC41" w14:textId="77777777" w:rsidR="00F33730" w:rsidRPr="009F6ADE" w:rsidRDefault="00F33730" w:rsidP="00F33730">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23.11.2017.</w:t>
            </w:r>
          </w:p>
        </w:tc>
        <w:tc>
          <w:tcPr>
            <w:tcW w:w="1221" w:type="dxa"/>
            <w:tcBorders>
              <w:top w:val="nil"/>
              <w:left w:val="nil"/>
              <w:bottom w:val="nil"/>
              <w:right w:val="nil"/>
            </w:tcBorders>
            <w:shd w:val="clear" w:color="auto" w:fill="auto"/>
            <w:noWrap/>
            <w:vAlign w:val="center"/>
            <w:hideMark/>
          </w:tcPr>
          <w:p w14:paraId="4BC6B54C" w14:textId="77777777" w:rsidR="00F33730" w:rsidRPr="009F6ADE" w:rsidRDefault="00F33730" w:rsidP="00F33730">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5,88</w:t>
            </w:r>
          </w:p>
        </w:tc>
        <w:tc>
          <w:tcPr>
            <w:tcW w:w="1177" w:type="dxa"/>
            <w:tcBorders>
              <w:top w:val="nil"/>
              <w:left w:val="nil"/>
              <w:bottom w:val="nil"/>
              <w:right w:val="nil"/>
            </w:tcBorders>
            <w:shd w:val="clear" w:color="auto" w:fill="auto"/>
            <w:vAlign w:val="center"/>
          </w:tcPr>
          <w:p w14:paraId="2125FA7B" w14:textId="0B2C4A19" w:rsidR="00F33730" w:rsidRPr="009F6ADE" w:rsidRDefault="00E56218" w:rsidP="00F33730">
            <w:pPr>
              <w:spacing w:after="0" w:line="240" w:lineRule="auto"/>
              <w:jc w:val="right"/>
              <w:rPr>
                <w:rFonts w:ascii="Calibri" w:eastAsia="Times New Roman" w:hAnsi="Calibri" w:cs="Arial"/>
                <w:sz w:val="18"/>
                <w:szCs w:val="18"/>
              </w:rPr>
            </w:pPr>
            <w:r w:rsidRPr="00E56218">
              <w:rPr>
                <w:rFonts w:ascii="Calibri" w:eastAsia="Times New Roman" w:hAnsi="Calibri" w:cs="Arial"/>
                <w:sz w:val="18"/>
                <w:szCs w:val="18"/>
              </w:rPr>
              <w:t>511</w:t>
            </w:r>
          </w:p>
        </w:tc>
        <w:tc>
          <w:tcPr>
            <w:tcW w:w="1177" w:type="dxa"/>
            <w:tcBorders>
              <w:top w:val="nil"/>
              <w:left w:val="nil"/>
              <w:bottom w:val="nil"/>
              <w:right w:val="nil"/>
            </w:tcBorders>
            <w:shd w:val="clear" w:color="auto" w:fill="auto"/>
            <w:vAlign w:val="center"/>
            <w:hideMark/>
          </w:tcPr>
          <w:p w14:paraId="4906FA4E" w14:textId="67A46824" w:rsidR="00F33730" w:rsidRPr="009F6ADE" w:rsidRDefault="00F33730" w:rsidP="00F33730">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522</w:t>
            </w:r>
          </w:p>
        </w:tc>
        <w:tc>
          <w:tcPr>
            <w:tcW w:w="1177" w:type="dxa"/>
            <w:tcBorders>
              <w:top w:val="nil"/>
              <w:left w:val="nil"/>
              <w:bottom w:val="nil"/>
              <w:right w:val="nil"/>
            </w:tcBorders>
            <w:shd w:val="clear" w:color="auto" w:fill="auto"/>
            <w:vAlign w:val="center"/>
          </w:tcPr>
          <w:p w14:paraId="2BBD4FF7" w14:textId="3D235455" w:rsidR="00F33730" w:rsidRPr="009F6ADE" w:rsidRDefault="00E56218" w:rsidP="00F33730">
            <w:pPr>
              <w:spacing w:after="0" w:line="240" w:lineRule="auto"/>
              <w:jc w:val="right"/>
              <w:rPr>
                <w:rFonts w:ascii="Calibri" w:eastAsia="Times New Roman" w:hAnsi="Calibri" w:cs="Arial"/>
                <w:sz w:val="18"/>
                <w:szCs w:val="18"/>
              </w:rPr>
            </w:pPr>
            <w:r>
              <w:rPr>
                <w:rFonts w:ascii="Calibri" w:eastAsia="Times New Roman" w:hAnsi="Calibri" w:cs="Arial"/>
                <w:sz w:val="18"/>
                <w:szCs w:val="18"/>
              </w:rPr>
              <w:t>-</w:t>
            </w:r>
          </w:p>
        </w:tc>
        <w:tc>
          <w:tcPr>
            <w:tcW w:w="1178" w:type="dxa"/>
            <w:tcBorders>
              <w:top w:val="nil"/>
              <w:left w:val="nil"/>
              <w:bottom w:val="nil"/>
              <w:right w:val="nil"/>
            </w:tcBorders>
            <w:shd w:val="clear" w:color="auto" w:fill="auto"/>
            <w:vAlign w:val="center"/>
            <w:hideMark/>
          </w:tcPr>
          <w:p w14:paraId="18B1711A" w14:textId="61FEE48E" w:rsidR="00F33730" w:rsidRPr="009F6ADE" w:rsidRDefault="00F33730" w:rsidP="00F33730">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w:t>
            </w:r>
          </w:p>
        </w:tc>
      </w:tr>
      <w:tr w:rsidR="00F33730" w:rsidRPr="009F6ADE" w14:paraId="400ADD28" w14:textId="77777777" w:rsidTr="009F6ADE">
        <w:trPr>
          <w:trHeight w:val="199"/>
        </w:trPr>
        <w:tc>
          <w:tcPr>
            <w:tcW w:w="4703" w:type="dxa"/>
            <w:gridSpan w:val="3"/>
            <w:tcBorders>
              <w:top w:val="nil"/>
              <w:left w:val="nil"/>
              <w:bottom w:val="nil"/>
              <w:right w:val="nil"/>
            </w:tcBorders>
            <w:shd w:val="clear" w:color="auto" w:fill="auto"/>
            <w:noWrap/>
            <w:vAlign w:val="center"/>
            <w:hideMark/>
          </w:tcPr>
          <w:p w14:paraId="1C631F6E" w14:textId="77777777" w:rsidR="00F33730" w:rsidRPr="009F6ADE" w:rsidRDefault="00F33730" w:rsidP="00F33730">
            <w:pPr>
              <w:spacing w:after="0" w:line="240" w:lineRule="auto"/>
              <w:rPr>
                <w:rFonts w:ascii="Calibri" w:eastAsia="Times New Roman" w:hAnsi="Calibri" w:cs="Arial"/>
                <w:i/>
                <w:iCs/>
                <w:sz w:val="18"/>
                <w:szCs w:val="18"/>
              </w:rPr>
            </w:pPr>
            <w:r w:rsidRPr="009F6ADE">
              <w:rPr>
                <w:rFonts w:ascii="Calibri" w:eastAsia="Times New Roman" w:hAnsi="Calibri" w:cs="Arial"/>
                <w:i/>
                <w:iCs/>
                <w:sz w:val="18"/>
                <w:szCs w:val="18"/>
              </w:rPr>
              <w:t>Obveznice financijskih institucija  s valutnom klauzulom:</w:t>
            </w:r>
          </w:p>
        </w:tc>
        <w:tc>
          <w:tcPr>
            <w:tcW w:w="1221" w:type="dxa"/>
            <w:tcBorders>
              <w:top w:val="nil"/>
              <w:left w:val="nil"/>
              <w:bottom w:val="nil"/>
              <w:right w:val="nil"/>
            </w:tcBorders>
            <w:shd w:val="clear" w:color="auto" w:fill="auto"/>
            <w:noWrap/>
            <w:vAlign w:val="center"/>
            <w:hideMark/>
          </w:tcPr>
          <w:p w14:paraId="21B9894B" w14:textId="77777777" w:rsidR="00F33730" w:rsidRPr="009F6ADE" w:rsidRDefault="00F33730" w:rsidP="00F33730">
            <w:pPr>
              <w:spacing w:after="0" w:line="240" w:lineRule="auto"/>
              <w:rPr>
                <w:rFonts w:ascii="Calibri" w:eastAsia="Times New Roman" w:hAnsi="Calibri" w:cs="Arial"/>
                <w:i/>
                <w:iCs/>
                <w:sz w:val="18"/>
                <w:szCs w:val="18"/>
              </w:rPr>
            </w:pPr>
          </w:p>
        </w:tc>
        <w:tc>
          <w:tcPr>
            <w:tcW w:w="1177" w:type="dxa"/>
            <w:tcBorders>
              <w:top w:val="nil"/>
              <w:left w:val="nil"/>
              <w:bottom w:val="nil"/>
              <w:right w:val="nil"/>
            </w:tcBorders>
            <w:shd w:val="clear" w:color="auto" w:fill="auto"/>
            <w:vAlign w:val="center"/>
          </w:tcPr>
          <w:p w14:paraId="65D4BCEA" w14:textId="77777777" w:rsidR="00F33730" w:rsidRPr="009F6ADE" w:rsidRDefault="00F33730" w:rsidP="00F33730">
            <w:pPr>
              <w:spacing w:after="0" w:line="240" w:lineRule="auto"/>
              <w:jc w:val="center"/>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2D603F77" w14:textId="77777777" w:rsidR="00F33730" w:rsidRPr="009F6ADE" w:rsidRDefault="00F33730" w:rsidP="00F33730">
            <w:pPr>
              <w:spacing w:after="0" w:line="240" w:lineRule="auto"/>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606F85A1" w14:textId="77777777" w:rsidR="00F33730" w:rsidRPr="009F6ADE" w:rsidRDefault="00F33730" w:rsidP="00F33730">
            <w:pPr>
              <w:spacing w:after="0" w:line="240" w:lineRule="auto"/>
              <w:jc w:val="right"/>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hideMark/>
          </w:tcPr>
          <w:p w14:paraId="316663AE" w14:textId="77777777" w:rsidR="00F33730" w:rsidRPr="009F6ADE" w:rsidRDefault="00F33730" w:rsidP="00F33730">
            <w:pPr>
              <w:spacing w:after="0" w:line="240" w:lineRule="auto"/>
              <w:jc w:val="center"/>
              <w:rPr>
                <w:rFonts w:ascii="Calibri" w:eastAsia="Times New Roman" w:hAnsi="Calibri" w:cs="Times New Roman"/>
                <w:sz w:val="18"/>
                <w:szCs w:val="18"/>
              </w:rPr>
            </w:pPr>
          </w:p>
        </w:tc>
      </w:tr>
      <w:tr w:rsidR="00F33730" w:rsidRPr="009F6ADE" w14:paraId="0D44C5B8" w14:textId="77777777" w:rsidTr="009F6ADE">
        <w:trPr>
          <w:trHeight w:val="199"/>
        </w:trPr>
        <w:tc>
          <w:tcPr>
            <w:tcW w:w="2419" w:type="dxa"/>
            <w:tcBorders>
              <w:top w:val="nil"/>
              <w:left w:val="nil"/>
              <w:bottom w:val="nil"/>
              <w:right w:val="nil"/>
            </w:tcBorders>
            <w:shd w:val="clear" w:color="auto" w:fill="auto"/>
            <w:noWrap/>
            <w:vAlign w:val="center"/>
            <w:hideMark/>
          </w:tcPr>
          <w:p w14:paraId="7BD3244A" w14:textId="77777777" w:rsidR="00F33730" w:rsidRPr="009F6ADE" w:rsidRDefault="00F33730" w:rsidP="00F33730">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RIBA-O-177A</w:t>
            </w:r>
          </w:p>
        </w:tc>
        <w:tc>
          <w:tcPr>
            <w:tcW w:w="1142" w:type="dxa"/>
            <w:tcBorders>
              <w:top w:val="nil"/>
              <w:left w:val="nil"/>
              <w:bottom w:val="nil"/>
              <w:right w:val="nil"/>
            </w:tcBorders>
            <w:shd w:val="clear" w:color="auto" w:fill="auto"/>
            <w:noWrap/>
            <w:vAlign w:val="center"/>
            <w:hideMark/>
          </w:tcPr>
          <w:p w14:paraId="6E242623" w14:textId="77777777" w:rsidR="00F33730" w:rsidRPr="009F6ADE" w:rsidRDefault="00F33730" w:rsidP="00F33730">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18.7.2011.</w:t>
            </w:r>
          </w:p>
        </w:tc>
        <w:tc>
          <w:tcPr>
            <w:tcW w:w="1142" w:type="dxa"/>
            <w:tcBorders>
              <w:top w:val="nil"/>
              <w:left w:val="nil"/>
              <w:bottom w:val="nil"/>
              <w:right w:val="nil"/>
            </w:tcBorders>
            <w:shd w:val="clear" w:color="auto" w:fill="auto"/>
            <w:noWrap/>
            <w:vAlign w:val="center"/>
            <w:hideMark/>
          </w:tcPr>
          <w:p w14:paraId="7BD80545" w14:textId="77777777" w:rsidR="00F33730" w:rsidRPr="009F6ADE" w:rsidRDefault="00F33730" w:rsidP="00F33730">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18.7.2017.</w:t>
            </w:r>
          </w:p>
        </w:tc>
        <w:tc>
          <w:tcPr>
            <w:tcW w:w="1221" w:type="dxa"/>
            <w:tcBorders>
              <w:top w:val="nil"/>
              <w:left w:val="nil"/>
              <w:bottom w:val="nil"/>
              <w:right w:val="nil"/>
            </w:tcBorders>
            <w:shd w:val="clear" w:color="auto" w:fill="auto"/>
            <w:noWrap/>
            <w:vAlign w:val="center"/>
            <w:hideMark/>
          </w:tcPr>
          <w:p w14:paraId="294F3250" w14:textId="77777777" w:rsidR="00F33730" w:rsidRPr="009F6ADE" w:rsidRDefault="00F33730" w:rsidP="00F33730">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6,5</w:t>
            </w:r>
          </w:p>
        </w:tc>
        <w:tc>
          <w:tcPr>
            <w:tcW w:w="1177" w:type="dxa"/>
            <w:tcBorders>
              <w:top w:val="nil"/>
              <w:left w:val="nil"/>
              <w:bottom w:val="nil"/>
              <w:right w:val="nil"/>
            </w:tcBorders>
            <w:shd w:val="clear" w:color="auto" w:fill="auto"/>
            <w:vAlign w:val="center"/>
          </w:tcPr>
          <w:p w14:paraId="5E49DF7B" w14:textId="0F672403" w:rsidR="00F33730" w:rsidRPr="009F6ADE" w:rsidRDefault="00E56218" w:rsidP="00F33730">
            <w:pPr>
              <w:spacing w:after="0" w:line="240" w:lineRule="auto"/>
              <w:jc w:val="right"/>
              <w:rPr>
                <w:rFonts w:ascii="Calibri" w:eastAsia="Times New Roman" w:hAnsi="Calibri" w:cs="Arial"/>
                <w:sz w:val="18"/>
                <w:szCs w:val="18"/>
              </w:rPr>
            </w:pPr>
            <w:r w:rsidRPr="00E56218">
              <w:rPr>
                <w:rFonts w:ascii="Calibri" w:eastAsia="Times New Roman" w:hAnsi="Calibri" w:cs="Arial"/>
                <w:sz w:val="18"/>
                <w:szCs w:val="18"/>
              </w:rPr>
              <w:t>367</w:t>
            </w:r>
          </w:p>
        </w:tc>
        <w:tc>
          <w:tcPr>
            <w:tcW w:w="1177" w:type="dxa"/>
            <w:tcBorders>
              <w:top w:val="nil"/>
              <w:left w:val="nil"/>
              <w:bottom w:val="nil"/>
              <w:right w:val="nil"/>
            </w:tcBorders>
            <w:shd w:val="clear" w:color="auto" w:fill="auto"/>
            <w:vAlign w:val="center"/>
            <w:hideMark/>
          </w:tcPr>
          <w:p w14:paraId="530F6945" w14:textId="025A6F16" w:rsidR="00F33730" w:rsidRPr="009F6ADE" w:rsidRDefault="00F33730" w:rsidP="00F33730">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388</w:t>
            </w:r>
          </w:p>
        </w:tc>
        <w:tc>
          <w:tcPr>
            <w:tcW w:w="1177" w:type="dxa"/>
            <w:tcBorders>
              <w:top w:val="nil"/>
              <w:left w:val="nil"/>
              <w:bottom w:val="nil"/>
              <w:right w:val="nil"/>
            </w:tcBorders>
            <w:shd w:val="clear" w:color="auto" w:fill="auto"/>
            <w:vAlign w:val="center"/>
          </w:tcPr>
          <w:p w14:paraId="11465203" w14:textId="02DD467C" w:rsidR="00F33730" w:rsidRPr="009F6ADE" w:rsidRDefault="00E56218" w:rsidP="00F33730">
            <w:pPr>
              <w:spacing w:after="0" w:line="240" w:lineRule="auto"/>
              <w:jc w:val="right"/>
              <w:rPr>
                <w:rFonts w:ascii="Calibri" w:eastAsia="Times New Roman" w:hAnsi="Calibri" w:cs="Arial"/>
                <w:sz w:val="18"/>
                <w:szCs w:val="18"/>
              </w:rPr>
            </w:pPr>
            <w:r>
              <w:rPr>
                <w:rFonts w:ascii="Calibri" w:eastAsia="Times New Roman" w:hAnsi="Calibri" w:cs="Arial"/>
                <w:sz w:val="18"/>
                <w:szCs w:val="18"/>
              </w:rPr>
              <w:t>-</w:t>
            </w:r>
          </w:p>
        </w:tc>
        <w:tc>
          <w:tcPr>
            <w:tcW w:w="1178" w:type="dxa"/>
            <w:tcBorders>
              <w:top w:val="nil"/>
              <w:left w:val="nil"/>
              <w:bottom w:val="nil"/>
              <w:right w:val="nil"/>
            </w:tcBorders>
            <w:shd w:val="clear" w:color="auto" w:fill="auto"/>
            <w:vAlign w:val="center"/>
            <w:hideMark/>
          </w:tcPr>
          <w:p w14:paraId="51C4FDAD" w14:textId="44D81182" w:rsidR="00F33730" w:rsidRPr="009F6ADE" w:rsidRDefault="00F33730" w:rsidP="00F33730">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w:t>
            </w:r>
          </w:p>
        </w:tc>
      </w:tr>
      <w:tr w:rsidR="00F33730" w:rsidRPr="009F6ADE" w14:paraId="5ECA953D" w14:textId="77777777" w:rsidTr="009F6ADE">
        <w:trPr>
          <w:trHeight w:val="199"/>
        </w:trPr>
        <w:tc>
          <w:tcPr>
            <w:tcW w:w="4703" w:type="dxa"/>
            <w:gridSpan w:val="3"/>
            <w:tcBorders>
              <w:top w:val="nil"/>
              <w:left w:val="nil"/>
              <w:bottom w:val="nil"/>
              <w:right w:val="nil"/>
            </w:tcBorders>
            <w:shd w:val="clear" w:color="auto" w:fill="auto"/>
            <w:noWrap/>
            <w:vAlign w:val="center"/>
          </w:tcPr>
          <w:p w14:paraId="2261DE97" w14:textId="77777777" w:rsidR="00F33730" w:rsidRPr="009F6ADE" w:rsidRDefault="00F33730" w:rsidP="00F33730">
            <w:pPr>
              <w:spacing w:after="0" w:line="240" w:lineRule="auto"/>
              <w:rPr>
                <w:rFonts w:ascii="Calibri" w:eastAsia="Times New Roman" w:hAnsi="Calibri" w:cs="Arial"/>
                <w:sz w:val="18"/>
                <w:szCs w:val="18"/>
              </w:rPr>
            </w:pPr>
            <w:r w:rsidRPr="009F6ADE">
              <w:rPr>
                <w:rFonts w:ascii="Calibri" w:eastAsia="Times New Roman" w:hAnsi="Calibri" w:cs="Arial"/>
                <w:sz w:val="18"/>
                <w:szCs w:val="18"/>
              </w:rPr>
              <w:t>Obveznice trgovačkih društava u kunama:</w:t>
            </w:r>
          </w:p>
        </w:tc>
        <w:tc>
          <w:tcPr>
            <w:tcW w:w="1221" w:type="dxa"/>
            <w:tcBorders>
              <w:top w:val="nil"/>
              <w:left w:val="nil"/>
              <w:bottom w:val="nil"/>
              <w:right w:val="nil"/>
            </w:tcBorders>
            <w:shd w:val="clear" w:color="auto" w:fill="auto"/>
            <w:noWrap/>
            <w:vAlign w:val="center"/>
          </w:tcPr>
          <w:p w14:paraId="1FA509EB" w14:textId="77777777" w:rsidR="00F33730" w:rsidRPr="009F6ADE" w:rsidRDefault="00F33730" w:rsidP="00F33730">
            <w:pPr>
              <w:spacing w:after="0" w:line="240" w:lineRule="auto"/>
              <w:jc w:val="center"/>
              <w:rPr>
                <w:rFonts w:ascii="Calibri" w:eastAsia="Times New Roman" w:hAnsi="Calibri" w:cs="Arial"/>
                <w:sz w:val="18"/>
                <w:szCs w:val="18"/>
              </w:rPr>
            </w:pPr>
          </w:p>
        </w:tc>
        <w:tc>
          <w:tcPr>
            <w:tcW w:w="1177" w:type="dxa"/>
            <w:tcBorders>
              <w:top w:val="nil"/>
              <w:left w:val="nil"/>
              <w:bottom w:val="nil"/>
              <w:right w:val="nil"/>
            </w:tcBorders>
            <w:shd w:val="clear" w:color="auto" w:fill="auto"/>
            <w:vAlign w:val="center"/>
          </w:tcPr>
          <w:p w14:paraId="197A45A7" w14:textId="77777777" w:rsidR="00F33730" w:rsidRPr="009F6ADE" w:rsidRDefault="00F33730" w:rsidP="00F33730">
            <w:pPr>
              <w:spacing w:after="0" w:line="240" w:lineRule="auto"/>
              <w:jc w:val="right"/>
              <w:rPr>
                <w:rFonts w:ascii="Calibri" w:eastAsia="Times New Roman" w:hAnsi="Calibri" w:cs="Arial"/>
                <w:sz w:val="18"/>
                <w:szCs w:val="18"/>
              </w:rPr>
            </w:pPr>
          </w:p>
        </w:tc>
        <w:tc>
          <w:tcPr>
            <w:tcW w:w="1177" w:type="dxa"/>
            <w:tcBorders>
              <w:top w:val="nil"/>
              <w:left w:val="nil"/>
              <w:bottom w:val="nil"/>
              <w:right w:val="nil"/>
            </w:tcBorders>
            <w:shd w:val="clear" w:color="auto" w:fill="auto"/>
            <w:vAlign w:val="center"/>
          </w:tcPr>
          <w:p w14:paraId="02CEE3E0" w14:textId="77777777" w:rsidR="00F33730" w:rsidRPr="009F6ADE" w:rsidRDefault="00F33730" w:rsidP="00F33730">
            <w:pPr>
              <w:spacing w:after="0" w:line="240" w:lineRule="auto"/>
              <w:jc w:val="right"/>
              <w:rPr>
                <w:rFonts w:ascii="Calibri" w:eastAsia="Times New Roman" w:hAnsi="Calibri" w:cs="Arial"/>
                <w:sz w:val="18"/>
                <w:szCs w:val="18"/>
              </w:rPr>
            </w:pPr>
          </w:p>
        </w:tc>
        <w:tc>
          <w:tcPr>
            <w:tcW w:w="1177" w:type="dxa"/>
            <w:tcBorders>
              <w:top w:val="nil"/>
              <w:left w:val="nil"/>
              <w:bottom w:val="nil"/>
              <w:right w:val="nil"/>
            </w:tcBorders>
            <w:shd w:val="clear" w:color="auto" w:fill="auto"/>
            <w:vAlign w:val="center"/>
          </w:tcPr>
          <w:p w14:paraId="5608B16F" w14:textId="77777777" w:rsidR="00F33730" w:rsidRPr="009F6ADE" w:rsidRDefault="00F33730" w:rsidP="00F33730">
            <w:pPr>
              <w:spacing w:after="0" w:line="240" w:lineRule="auto"/>
              <w:jc w:val="right"/>
              <w:rPr>
                <w:rFonts w:ascii="Calibri" w:eastAsia="Times New Roman" w:hAnsi="Calibri" w:cs="Arial"/>
                <w:sz w:val="18"/>
                <w:szCs w:val="18"/>
              </w:rPr>
            </w:pPr>
          </w:p>
        </w:tc>
        <w:tc>
          <w:tcPr>
            <w:tcW w:w="1178" w:type="dxa"/>
            <w:tcBorders>
              <w:top w:val="nil"/>
              <w:left w:val="nil"/>
              <w:bottom w:val="nil"/>
              <w:right w:val="nil"/>
            </w:tcBorders>
            <w:shd w:val="clear" w:color="auto" w:fill="auto"/>
            <w:vAlign w:val="center"/>
          </w:tcPr>
          <w:p w14:paraId="268BDDD9" w14:textId="77777777" w:rsidR="00F33730" w:rsidRPr="009F6ADE" w:rsidRDefault="00F33730" w:rsidP="00F33730">
            <w:pPr>
              <w:spacing w:after="0" w:line="240" w:lineRule="auto"/>
              <w:jc w:val="right"/>
              <w:rPr>
                <w:rFonts w:ascii="Calibri" w:eastAsia="Times New Roman" w:hAnsi="Calibri" w:cs="Arial"/>
                <w:sz w:val="18"/>
                <w:szCs w:val="18"/>
              </w:rPr>
            </w:pPr>
          </w:p>
        </w:tc>
      </w:tr>
      <w:tr w:rsidR="00F33730" w:rsidRPr="009F6ADE" w14:paraId="1A432EF4" w14:textId="77777777" w:rsidTr="009F6ADE">
        <w:trPr>
          <w:trHeight w:val="199"/>
        </w:trPr>
        <w:tc>
          <w:tcPr>
            <w:tcW w:w="2419" w:type="dxa"/>
            <w:tcBorders>
              <w:top w:val="nil"/>
              <w:left w:val="nil"/>
              <w:bottom w:val="nil"/>
              <w:right w:val="nil"/>
            </w:tcBorders>
            <w:shd w:val="clear" w:color="auto" w:fill="auto"/>
            <w:noWrap/>
            <w:vAlign w:val="center"/>
          </w:tcPr>
          <w:p w14:paraId="1CCC22F9" w14:textId="77777777" w:rsidR="00F33730" w:rsidRPr="009F6ADE" w:rsidRDefault="00F33730" w:rsidP="00F33730">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eastAsia="hr-HR"/>
              </w:rPr>
              <w:t>JDGL-O-20CA</w:t>
            </w:r>
          </w:p>
        </w:tc>
        <w:tc>
          <w:tcPr>
            <w:tcW w:w="1142" w:type="dxa"/>
            <w:tcBorders>
              <w:top w:val="nil"/>
              <w:left w:val="nil"/>
              <w:bottom w:val="nil"/>
              <w:right w:val="nil"/>
            </w:tcBorders>
            <w:shd w:val="clear" w:color="auto" w:fill="auto"/>
            <w:noWrap/>
            <w:vAlign w:val="center"/>
          </w:tcPr>
          <w:p w14:paraId="5E666DD1" w14:textId="77777777" w:rsidR="00F33730" w:rsidRPr="009F6ADE" w:rsidRDefault="00F33730" w:rsidP="00F33730">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eastAsia="hr-HR"/>
              </w:rPr>
              <w:t>21.12.2015.</w:t>
            </w:r>
          </w:p>
        </w:tc>
        <w:tc>
          <w:tcPr>
            <w:tcW w:w="1142" w:type="dxa"/>
            <w:tcBorders>
              <w:top w:val="nil"/>
              <w:left w:val="nil"/>
              <w:bottom w:val="nil"/>
              <w:right w:val="nil"/>
            </w:tcBorders>
            <w:shd w:val="clear" w:color="auto" w:fill="auto"/>
            <w:noWrap/>
            <w:vAlign w:val="center"/>
          </w:tcPr>
          <w:p w14:paraId="1A8FD015" w14:textId="77777777" w:rsidR="00F33730" w:rsidRPr="009F6ADE" w:rsidRDefault="00F33730" w:rsidP="00F33730">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eastAsia="hr-HR"/>
              </w:rPr>
              <w:t>21.12.2020.</w:t>
            </w:r>
          </w:p>
        </w:tc>
        <w:tc>
          <w:tcPr>
            <w:tcW w:w="1221" w:type="dxa"/>
            <w:tcBorders>
              <w:top w:val="nil"/>
              <w:left w:val="nil"/>
              <w:bottom w:val="nil"/>
              <w:right w:val="nil"/>
            </w:tcBorders>
            <w:shd w:val="clear" w:color="auto" w:fill="auto"/>
            <w:noWrap/>
            <w:vAlign w:val="center"/>
          </w:tcPr>
          <w:p w14:paraId="1A2E7159" w14:textId="77777777" w:rsidR="00F33730" w:rsidRPr="009F6ADE" w:rsidRDefault="00F33730" w:rsidP="00F33730">
            <w:pPr>
              <w:spacing w:after="0" w:line="240" w:lineRule="auto"/>
              <w:jc w:val="center"/>
              <w:rPr>
                <w:rFonts w:ascii="Calibri" w:eastAsia="Times New Roman" w:hAnsi="Calibri" w:cs="Arial"/>
                <w:sz w:val="18"/>
                <w:szCs w:val="18"/>
              </w:rPr>
            </w:pPr>
            <w:r w:rsidRPr="009F6ADE">
              <w:rPr>
                <w:rFonts w:ascii="Calibri" w:eastAsia="Times New Roman" w:hAnsi="Calibri" w:cs="Times New Roman"/>
                <w:sz w:val="18"/>
                <w:szCs w:val="18"/>
                <w:lang w:val="en-US" w:eastAsia="hr-HR"/>
              </w:rPr>
              <w:t>5,81</w:t>
            </w:r>
          </w:p>
        </w:tc>
        <w:tc>
          <w:tcPr>
            <w:tcW w:w="1177" w:type="dxa"/>
            <w:tcBorders>
              <w:top w:val="nil"/>
              <w:left w:val="nil"/>
              <w:bottom w:val="nil"/>
              <w:right w:val="nil"/>
            </w:tcBorders>
            <w:shd w:val="clear" w:color="auto" w:fill="auto"/>
            <w:vAlign w:val="center"/>
          </w:tcPr>
          <w:p w14:paraId="02BF3442" w14:textId="7DE5A9C8" w:rsidR="00F33730" w:rsidRPr="009F6ADE" w:rsidRDefault="00E56218" w:rsidP="00F33730">
            <w:pPr>
              <w:spacing w:after="0" w:line="240" w:lineRule="auto"/>
              <w:jc w:val="right"/>
              <w:rPr>
                <w:rFonts w:ascii="Calibri" w:eastAsia="Times New Roman" w:hAnsi="Calibri" w:cs="Arial"/>
                <w:sz w:val="18"/>
                <w:szCs w:val="18"/>
              </w:rPr>
            </w:pPr>
            <w:r w:rsidRPr="00E56218">
              <w:rPr>
                <w:rFonts w:ascii="Calibri" w:eastAsia="Times New Roman" w:hAnsi="Calibri" w:cs="Arial"/>
                <w:sz w:val="18"/>
                <w:szCs w:val="18"/>
              </w:rPr>
              <w:t>766</w:t>
            </w:r>
          </w:p>
        </w:tc>
        <w:tc>
          <w:tcPr>
            <w:tcW w:w="1177" w:type="dxa"/>
            <w:tcBorders>
              <w:top w:val="nil"/>
              <w:left w:val="nil"/>
              <w:bottom w:val="nil"/>
              <w:right w:val="nil"/>
            </w:tcBorders>
            <w:shd w:val="clear" w:color="auto" w:fill="auto"/>
            <w:vAlign w:val="center"/>
          </w:tcPr>
          <w:p w14:paraId="7C44820B" w14:textId="3C8EC4D9" w:rsidR="00F33730" w:rsidRPr="009F6ADE" w:rsidRDefault="00F33730" w:rsidP="00F33730">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770</w:t>
            </w:r>
          </w:p>
        </w:tc>
        <w:tc>
          <w:tcPr>
            <w:tcW w:w="1177" w:type="dxa"/>
            <w:tcBorders>
              <w:top w:val="nil"/>
              <w:left w:val="nil"/>
              <w:bottom w:val="nil"/>
              <w:right w:val="nil"/>
            </w:tcBorders>
            <w:shd w:val="clear" w:color="auto" w:fill="auto"/>
            <w:vAlign w:val="center"/>
          </w:tcPr>
          <w:p w14:paraId="6B3DD76F" w14:textId="6EAF5A56" w:rsidR="00F33730" w:rsidRPr="009F6ADE" w:rsidRDefault="00E56218" w:rsidP="00F33730">
            <w:pPr>
              <w:spacing w:after="0" w:line="240" w:lineRule="auto"/>
              <w:jc w:val="right"/>
              <w:rPr>
                <w:rFonts w:ascii="Calibri" w:eastAsia="Times New Roman" w:hAnsi="Calibri" w:cs="Arial"/>
                <w:sz w:val="18"/>
                <w:szCs w:val="18"/>
              </w:rPr>
            </w:pPr>
            <w:r>
              <w:rPr>
                <w:rFonts w:ascii="Calibri" w:eastAsia="Times New Roman" w:hAnsi="Calibri" w:cs="Arial"/>
                <w:sz w:val="18"/>
                <w:szCs w:val="18"/>
              </w:rPr>
              <w:t>-</w:t>
            </w:r>
          </w:p>
        </w:tc>
        <w:tc>
          <w:tcPr>
            <w:tcW w:w="1178" w:type="dxa"/>
            <w:tcBorders>
              <w:top w:val="nil"/>
              <w:left w:val="nil"/>
              <w:bottom w:val="nil"/>
              <w:right w:val="nil"/>
            </w:tcBorders>
            <w:shd w:val="clear" w:color="auto" w:fill="auto"/>
            <w:vAlign w:val="center"/>
          </w:tcPr>
          <w:p w14:paraId="3E7E9C69" w14:textId="0417526B" w:rsidR="00F33730" w:rsidRPr="009F6ADE" w:rsidRDefault="00F33730" w:rsidP="00F33730">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w:t>
            </w:r>
          </w:p>
        </w:tc>
      </w:tr>
      <w:tr w:rsidR="00F33730" w:rsidRPr="009F6ADE" w14:paraId="5B56929F" w14:textId="77777777" w:rsidTr="009F6ADE">
        <w:trPr>
          <w:trHeight w:val="199"/>
        </w:trPr>
        <w:tc>
          <w:tcPr>
            <w:tcW w:w="5924" w:type="dxa"/>
            <w:gridSpan w:val="4"/>
            <w:tcBorders>
              <w:top w:val="nil"/>
              <w:left w:val="nil"/>
              <w:bottom w:val="nil"/>
              <w:right w:val="nil"/>
            </w:tcBorders>
            <w:shd w:val="clear" w:color="auto" w:fill="auto"/>
            <w:vAlign w:val="center"/>
            <w:hideMark/>
          </w:tcPr>
          <w:p w14:paraId="1E6D1312" w14:textId="77777777" w:rsidR="00F33730" w:rsidRPr="009F6ADE" w:rsidRDefault="00F33730" w:rsidP="00F33730">
            <w:pPr>
              <w:spacing w:after="0" w:line="240" w:lineRule="auto"/>
              <w:rPr>
                <w:rFonts w:ascii="Calibri" w:eastAsia="Times New Roman" w:hAnsi="Calibri" w:cs="Times New Roman"/>
                <w:sz w:val="18"/>
                <w:szCs w:val="18"/>
              </w:rPr>
            </w:pPr>
            <w:r w:rsidRPr="009F6ADE">
              <w:rPr>
                <w:rFonts w:ascii="Calibri" w:eastAsia="Times New Roman" w:hAnsi="Calibri" w:cs="Arial"/>
                <w:i/>
                <w:iCs/>
                <w:sz w:val="18"/>
                <w:szCs w:val="18"/>
              </w:rPr>
              <w:t>Obveznice trgovačkih društava  s valutnom klauzulom:</w:t>
            </w:r>
          </w:p>
        </w:tc>
        <w:tc>
          <w:tcPr>
            <w:tcW w:w="1177" w:type="dxa"/>
            <w:tcBorders>
              <w:top w:val="nil"/>
              <w:left w:val="nil"/>
              <w:bottom w:val="nil"/>
              <w:right w:val="nil"/>
            </w:tcBorders>
            <w:shd w:val="clear" w:color="auto" w:fill="auto"/>
            <w:vAlign w:val="center"/>
          </w:tcPr>
          <w:p w14:paraId="59815781" w14:textId="77777777" w:rsidR="00F33730" w:rsidRPr="009F6ADE" w:rsidRDefault="00F33730" w:rsidP="00F33730">
            <w:pPr>
              <w:spacing w:after="0" w:line="240" w:lineRule="auto"/>
              <w:jc w:val="center"/>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5206D205" w14:textId="77777777" w:rsidR="00F33730" w:rsidRPr="009F6ADE" w:rsidRDefault="00F33730" w:rsidP="00F33730">
            <w:pPr>
              <w:spacing w:after="0" w:line="240" w:lineRule="auto"/>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6AB3E1B4" w14:textId="77777777" w:rsidR="00F33730" w:rsidRPr="009F6ADE" w:rsidRDefault="00F33730" w:rsidP="00F33730">
            <w:pPr>
              <w:spacing w:after="0" w:line="240" w:lineRule="auto"/>
              <w:jc w:val="right"/>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hideMark/>
          </w:tcPr>
          <w:p w14:paraId="11E6B912" w14:textId="77777777" w:rsidR="00F33730" w:rsidRPr="009F6ADE" w:rsidRDefault="00F33730" w:rsidP="00F33730">
            <w:pPr>
              <w:spacing w:after="0" w:line="240" w:lineRule="auto"/>
              <w:jc w:val="right"/>
              <w:rPr>
                <w:rFonts w:ascii="Calibri" w:eastAsia="Times New Roman" w:hAnsi="Calibri" w:cs="Times New Roman"/>
                <w:sz w:val="18"/>
                <w:szCs w:val="18"/>
              </w:rPr>
            </w:pPr>
          </w:p>
        </w:tc>
      </w:tr>
      <w:tr w:rsidR="00F33730" w:rsidRPr="009F6ADE" w14:paraId="5374F062" w14:textId="77777777" w:rsidTr="009F6ADE">
        <w:trPr>
          <w:trHeight w:val="199"/>
        </w:trPr>
        <w:tc>
          <w:tcPr>
            <w:tcW w:w="2419" w:type="dxa"/>
            <w:tcBorders>
              <w:top w:val="nil"/>
              <w:left w:val="nil"/>
              <w:bottom w:val="nil"/>
              <w:right w:val="nil"/>
            </w:tcBorders>
            <w:shd w:val="clear" w:color="auto" w:fill="auto"/>
            <w:noWrap/>
            <w:vAlign w:val="center"/>
            <w:hideMark/>
          </w:tcPr>
          <w:p w14:paraId="2343C89D" w14:textId="77777777" w:rsidR="00F33730" w:rsidRPr="009F6ADE" w:rsidRDefault="00F33730" w:rsidP="00F33730">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JRLN-O-17AA</w:t>
            </w:r>
          </w:p>
        </w:tc>
        <w:tc>
          <w:tcPr>
            <w:tcW w:w="1142" w:type="dxa"/>
            <w:tcBorders>
              <w:top w:val="nil"/>
              <w:left w:val="nil"/>
              <w:bottom w:val="nil"/>
              <w:right w:val="nil"/>
            </w:tcBorders>
            <w:shd w:val="clear" w:color="auto" w:fill="auto"/>
            <w:noWrap/>
            <w:vAlign w:val="center"/>
            <w:hideMark/>
          </w:tcPr>
          <w:p w14:paraId="7A73E342" w14:textId="77777777" w:rsidR="00F33730" w:rsidRPr="009F6ADE" w:rsidRDefault="00F33730" w:rsidP="00F33730">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24.10.2012.</w:t>
            </w:r>
          </w:p>
        </w:tc>
        <w:tc>
          <w:tcPr>
            <w:tcW w:w="1142" w:type="dxa"/>
            <w:tcBorders>
              <w:top w:val="nil"/>
              <w:left w:val="nil"/>
              <w:bottom w:val="nil"/>
              <w:right w:val="nil"/>
            </w:tcBorders>
            <w:shd w:val="clear" w:color="auto" w:fill="auto"/>
            <w:noWrap/>
            <w:vAlign w:val="center"/>
            <w:hideMark/>
          </w:tcPr>
          <w:p w14:paraId="4AE24BF8" w14:textId="77777777" w:rsidR="00F33730" w:rsidRPr="009F6ADE" w:rsidRDefault="00F33730" w:rsidP="00F33730">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24.10.2017.</w:t>
            </w:r>
          </w:p>
        </w:tc>
        <w:tc>
          <w:tcPr>
            <w:tcW w:w="1221" w:type="dxa"/>
            <w:tcBorders>
              <w:top w:val="nil"/>
              <w:left w:val="nil"/>
              <w:bottom w:val="nil"/>
              <w:right w:val="nil"/>
            </w:tcBorders>
            <w:shd w:val="clear" w:color="auto" w:fill="auto"/>
            <w:noWrap/>
            <w:vAlign w:val="center"/>
            <w:hideMark/>
          </w:tcPr>
          <w:p w14:paraId="66893FA2" w14:textId="77777777" w:rsidR="00F33730" w:rsidRPr="009F6ADE" w:rsidRDefault="00F33730" w:rsidP="00F33730">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6,5</w:t>
            </w:r>
          </w:p>
        </w:tc>
        <w:tc>
          <w:tcPr>
            <w:tcW w:w="1177" w:type="dxa"/>
            <w:tcBorders>
              <w:top w:val="nil"/>
              <w:left w:val="nil"/>
              <w:bottom w:val="nil"/>
              <w:right w:val="nil"/>
            </w:tcBorders>
            <w:shd w:val="clear" w:color="auto" w:fill="auto"/>
            <w:vAlign w:val="center"/>
          </w:tcPr>
          <w:p w14:paraId="3A5B2230" w14:textId="58298FC0" w:rsidR="00F33730" w:rsidRPr="009F6ADE" w:rsidRDefault="00E56218" w:rsidP="00F33730">
            <w:pPr>
              <w:spacing w:after="0" w:line="240" w:lineRule="auto"/>
              <w:jc w:val="right"/>
              <w:rPr>
                <w:rFonts w:ascii="Calibri" w:eastAsia="Times New Roman" w:hAnsi="Calibri" w:cs="Arial"/>
                <w:sz w:val="18"/>
                <w:szCs w:val="18"/>
              </w:rPr>
            </w:pPr>
            <w:r w:rsidRPr="00E56218">
              <w:rPr>
                <w:rFonts w:ascii="Calibri" w:eastAsia="Times New Roman" w:hAnsi="Calibri" w:cs="Arial"/>
                <w:sz w:val="18"/>
                <w:szCs w:val="18"/>
              </w:rPr>
              <w:t>377</w:t>
            </w:r>
          </w:p>
        </w:tc>
        <w:tc>
          <w:tcPr>
            <w:tcW w:w="1177" w:type="dxa"/>
            <w:tcBorders>
              <w:top w:val="nil"/>
              <w:left w:val="nil"/>
              <w:bottom w:val="nil"/>
              <w:right w:val="nil"/>
            </w:tcBorders>
            <w:shd w:val="clear" w:color="auto" w:fill="auto"/>
            <w:vAlign w:val="center"/>
            <w:hideMark/>
          </w:tcPr>
          <w:p w14:paraId="553B5A56" w14:textId="649E2AF3" w:rsidR="00F33730" w:rsidRPr="009F6ADE" w:rsidRDefault="00F33730" w:rsidP="00F33730">
            <w:pPr>
              <w:spacing w:after="0" w:line="240" w:lineRule="auto"/>
              <w:jc w:val="right"/>
              <w:rPr>
                <w:rFonts w:ascii="Calibri" w:eastAsia="Times New Roman" w:hAnsi="Calibri" w:cs="Arial"/>
                <w:sz w:val="18"/>
                <w:szCs w:val="18"/>
              </w:rPr>
            </w:pPr>
            <w:r w:rsidRPr="009F6ADE">
              <w:rPr>
                <w:rFonts w:ascii="Calibri" w:eastAsia="Times New Roman" w:hAnsi="Calibri" w:cs="Times New Roman"/>
                <w:sz w:val="18"/>
                <w:szCs w:val="18"/>
                <w:lang w:val="en-US"/>
              </w:rPr>
              <w:t>391</w:t>
            </w:r>
          </w:p>
        </w:tc>
        <w:tc>
          <w:tcPr>
            <w:tcW w:w="1177" w:type="dxa"/>
            <w:tcBorders>
              <w:top w:val="nil"/>
              <w:left w:val="nil"/>
              <w:bottom w:val="nil"/>
              <w:right w:val="nil"/>
            </w:tcBorders>
            <w:shd w:val="clear" w:color="auto" w:fill="auto"/>
            <w:vAlign w:val="center"/>
          </w:tcPr>
          <w:p w14:paraId="61057958" w14:textId="4D7C91FD" w:rsidR="00F33730" w:rsidRPr="009F6ADE" w:rsidRDefault="00E56218" w:rsidP="00F33730">
            <w:pPr>
              <w:spacing w:after="0" w:line="240" w:lineRule="auto"/>
              <w:jc w:val="right"/>
              <w:rPr>
                <w:rFonts w:ascii="Calibri" w:eastAsia="Times New Roman" w:hAnsi="Calibri" w:cs="Arial"/>
                <w:sz w:val="18"/>
                <w:szCs w:val="18"/>
              </w:rPr>
            </w:pPr>
            <w:r>
              <w:rPr>
                <w:rFonts w:ascii="Calibri" w:eastAsia="Times New Roman" w:hAnsi="Calibri" w:cs="Arial"/>
                <w:sz w:val="18"/>
                <w:szCs w:val="18"/>
              </w:rPr>
              <w:t>-</w:t>
            </w:r>
          </w:p>
        </w:tc>
        <w:tc>
          <w:tcPr>
            <w:tcW w:w="1178" w:type="dxa"/>
            <w:tcBorders>
              <w:top w:val="nil"/>
              <w:left w:val="nil"/>
              <w:bottom w:val="nil"/>
              <w:right w:val="nil"/>
            </w:tcBorders>
            <w:shd w:val="clear" w:color="auto" w:fill="auto"/>
            <w:vAlign w:val="center"/>
            <w:hideMark/>
          </w:tcPr>
          <w:p w14:paraId="2A0D1896" w14:textId="57093673" w:rsidR="00F33730" w:rsidRPr="009F6ADE" w:rsidRDefault="00F33730" w:rsidP="00F33730">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w:t>
            </w:r>
          </w:p>
        </w:tc>
      </w:tr>
      <w:tr w:rsidR="00E56218" w:rsidRPr="009F6ADE" w14:paraId="1D28BE67" w14:textId="77777777" w:rsidTr="00312975">
        <w:trPr>
          <w:trHeight w:val="199"/>
        </w:trPr>
        <w:tc>
          <w:tcPr>
            <w:tcW w:w="3561" w:type="dxa"/>
            <w:gridSpan w:val="2"/>
            <w:tcBorders>
              <w:top w:val="nil"/>
              <w:left w:val="nil"/>
              <w:bottom w:val="nil"/>
              <w:right w:val="nil"/>
            </w:tcBorders>
            <w:shd w:val="clear" w:color="auto" w:fill="auto"/>
            <w:noWrap/>
            <w:vAlign w:val="center"/>
          </w:tcPr>
          <w:p w14:paraId="4878A5D5" w14:textId="0F942B48" w:rsidR="00E56218" w:rsidRPr="009F6ADE" w:rsidRDefault="00E56218" w:rsidP="00E56218">
            <w:pPr>
              <w:spacing w:after="0" w:line="240" w:lineRule="auto"/>
              <w:rPr>
                <w:rFonts w:ascii="Calibri" w:eastAsia="Times New Roman" w:hAnsi="Calibri" w:cs="Arial"/>
                <w:color w:val="000000"/>
                <w:sz w:val="18"/>
                <w:szCs w:val="18"/>
              </w:rPr>
            </w:pPr>
            <w:r>
              <w:rPr>
                <w:rFonts w:ascii="Calibri" w:eastAsia="Times New Roman" w:hAnsi="Calibri" w:cs="Arial"/>
                <w:color w:val="000000"/>
                <w:sz w:val="18"/>
                <w:szCs w:val="18"/>
              </w:rPr>
              <w:t>Trezorski zapisi, kunski do 182 dana</w:t>
            </w:r>
          </w:p>
        </w:tc>
        <w:tc>
          <w:tcPr>
            <w:tcW w:w="1142" w:type="dxa"/>
            <w:tcBorders>
              <w:top w:val="nil"/>
              <w:left w:val="nil"/>
              <w:bottom w:val="nil"/>
              <w:right w:val="nil"/>
            </w:tcBorders>
            <w:shd w:val="clear" w:color="auto" w:fill="auto"/>
            <w:noWrap/>
            <w:vAlign w:val="center"/>
          </w:tcPr>
          <w:p w14:paraId="577EABE0" w14:textId="77777777" w:rsidR="00E56218" w:rsidRPr="009F6ADE" w:rsidRDefault="00E56218" w:rsidP="00E56218">
            <w:pPr>
              <w:spacing w:after="0" w:line="240" w:lineRule="auto"/>
              <w:jc w:val="right"/>
              <w:rPr>
                <w:rFonts w:ascii="Calibri" w:eastAsia="Times New Roman" w:hAnsi="Calibri" w:cs="Times New Roman"/>
                <w:sz w:val="18"/>
                <w:szCs w:val="18"/>
              </w:rPr>
            </w:pPr>
          </w:p>
        </w:tc>
        <w:tc>
          <w:tcPr>
            <w:tcW w:w="1221" w:type="dxa"/>
            <w:tcBorders>
              <w:top w:val="nil"/>
              <w:left w:val="nil"/>
              <w:bottom w:val="nil"/>
              <w:right w:val="nil"/>
            </w:tcBorders>
            <w:shd w:val="clear" w:color="auto" w:fill="auto"/>
            <w:noWrap/>
            <w:vAlign w:val="center"/>
          </w:tcPr>
          <w:p w14:paraId="3194A5DD" w14:textId="3EF97D90" w:rsidR="00E56218" w:rsidRPr="000E5941" w:rsidRDefault="00E56218">
            <w:pPr>
              <w:spacing w:after="0" w:line="240" w:lineRule="auto"/>
              <w:jc w:val="center"/>
              <w:rPr>
                <w:rFonts w:ascii="Calibri" w:eastAsia="Times New Roman" w:hAnsi="Calibri" w:cs="Arial"/>
                <w:color w:val="000000"/>
                <w:sz w:val="18"/>
                <w:szCs w:val="18"/>
              </w:rPr>
            </w:pPr>
            <w:r w:rsidRPr="000E5941">
              <w:rPr>
                <w:rFonts w:ascii="Calibri" w:eastAsia="Times New Roman" w:hAnsi="Calibri" w:cs="Arial"/>
                <w:color w:val="000000"/>
                <w:sz w:val="18"/>
                <w:szCs w:val="18"/>
              </w:rPr>
              <w:t>0,</w:t>
            </w:r>
            <w:r>
              <w:rPr>
                <w:rFonts w:ascii="Calibri" w:eastAsia="Times New Roman" w:hAnsi="Calibri" w:cs="Arial"/>
                <w:color w:val="000000"/>
                <w:sz w:val="18"/>
                <w:szCs w:val="18"/>
              </w:rPr>
              <w:t>611</w:t>
            </w:r>
          </w:p>
        </w:tc>
        <w:tc>
          <w:tcPr>
            <w:tcW w:w="1177" w:type="dxa"/>
            <w:tcBorders>
              <w:top w:val="nil"/>
              <w:left w:val="nil"/>
              <w:bottom w:val="nil"/>
              <w:right w:val="nil"/>
            </w:tcBorders>
            <w:shd w:val="clear" w:color="auto" w:fill="auto"/>
          </w:tcPr>
          <w:p w14:paraId="2EABE1EF" w14:textId="0452D150" w:rsidR="00E56218" w:rsidRPr="00312975" w:rsidRDefault="00E56218" w:rsidP="00E56218">
            <w:pPr>
              <w:spacing w:after="0" w:line="240" w:lineRule="auto"/>
              <w:jc w:val="right"/>
              <w:rPr>
                <w:rFonts w:ascii="Calibri" w:eastAsia="Times New Roman" w:hAnsi="Calibri" w:cs="Times New Roman"/>
                <w:color w:val="000000"/>
                <w:sz w:val="18"/>
                <w:szCs w:val="18"/>
                <w:lang w:val="en-US"/>
              </w:rPr>
            </w:pPr>
            <w:r w:rsidRPr="00312975">
              <w:rPr>
                <w:rFonts w:ascii="Calibri" w:eastAsia="Times New Roman" w:hAnsi="Calibri" w:cs="Times New Roman"/>
                <w:color w:val="000000"/>
                <w:sz w:val="18"/>
                <w:szCs w:val="18"/>
                <w:lang w:val="en-US"/>
              </w:rPr>
              <w:t>49.999</w:t>
            </w:r>
          </w:p>
        </w:tc>
        <w:tc>
          <w:tcPr>
            <w:tcW w:w="1177" w:type="dxa"/>
            <w:tcBorders>
              <w:top w:val="nil"/>
              <w:left w:val="nil"/>
              <w:bottom w:val="nil"/>
              <w:right w:val="nil"/>
            </w:tcBorders>
            <w:shd w:val="clear" w:color="auto" w:fill="auto"/>
            <w:vAlign w:val="center"/>
          </w:tcPr>
          <w:p w14:paraId="13074EB7" w14:textId="123D0F6C" w:rsidR="00E56218" w:rsidRPr="009F6ADE" w:rsidRDefault="00E56218" w:rsidP="00E56218">
            <w:pPr>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w:t>
            </w:r>
          </w:p>
        </w:tc>
        <w:tc>
          <w:tcPr>
            <w:tcW w:w="1177" w:type="dxa"/>
            <w:tcBorders>
              <w:top w:val="nil"/>
              <w:left w:val="nil"/>
              <w:bottom w:val="nil"/>
              <w:right w:val="nil"/>
            </w:tcBorders>
            <w:shd w:val="clear" w:color="auto" w:fill="auto"/>
          </w:tcPr>
          <w:p w14:paraId="1A63817F" w14:textId="78348EED" w:rsidR="00E56218" w:rsidRPr="00312975" w:rsidRDefault="00E56218" w:rsidP="00E56218">
            <w:pPr>
              <w:spacing w:after="0" w:line="240" w:lineRule="auto"/>
              <w:jc w:val="right"/>
              <w:rPr>
                <w:rFonts w:ascii="Calibri" w:eastAsia="Times New Roman" w:hAnsi="Calibri" w:cs="Times New Roman"/>
                <w:color w:val="000000"/>
                <w:sz w:val="18"/>
                <w:szCs w:val="18"/>
                <w:lang w:val="en-US"/>
              </w:rPr>
            </w:pPr>
            <w:r w:rsidRPr="00312975">
              <w:rPr>
                <w:rFonts w:ascii="Calibri" w:eastAsia="Times New Roman" w:hAnsi="Calibri" w:cs="Times New Roman"/>
                <w:color w:val="000000"/>
                <w:sz w:val="18"/>
                <w:szCs w:val="18"/>
                <w:lang w:val="en-US"/>
              </w:rPr>
              <w:t>49.999</w:t>
            </w:r>
          </w:p>
        </w:tc>
        <w:tc>
          <w:tcPr>
            <w:tcW w:w="1178" w:type="dxa"/>
            <w:tcBorders>
              <w:top w:val="nil"/>
              <w:left w:val="nil"/>
              <w:bottom w:val="nil"/>
              <w:right w:val="nil"/>
            </w:tcBorders>
            <w:shd w:val="clear" w:color="auto" w:fill="auto"/>
            <w:vAlign w:val="center"/>
          </w:tcPr>
          <w:p w14:paraId="766BB5C2" w14:textId="135C0207" w:rsidR="00E56218" w:rsidRPr="009F6ADE" w:rsidRDefault="004F15AD" w:rsidP="00E56218">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w:t>
            </w:r>
          </w:p>
        </w:tc>
      </w:tr>
      <w:tr w:rsidR="00E56218" w:rsidRPr="009F6ADE" w14:paraId="6DADF851" w14:textId="77777777" w:rsidTr="00312975">
        <w:trPr>
          <w:trHeight w:val="199"/>
        </w:trPr>
        <w:tc>
          <w:tcPr>
            <w:tcW w:w="3561" w:type="dxa"/>
            <w:gridSpan w:val="2"/>
            <w:tcBorders>
              <w:top w:val="nil"/>
              <w:left w:val="nil"/>
              <w:bottom w:val="nil"/>
              <w:right w:val="nil"/>
            </w:tcBorders>
            <w:shd w:val="clear" w:color="auto" w:fill="auto"/>
            <w:noWrap/>
            <w:vAlign w:val="center"/>
          </w:tcPr>
          <w:p w14:paraId="5A593F81" w14:textId="05AC70B0" w:rsidR="00E56218" w:rsidRPr="009F6ADE" w:rsidRDefault="00E56218" w:rsidP="00E56218">
            <w:pPr>
              <w:spacing w:after="0" w:line="240" w:lineRule="auto"/>
              <w:rPr>
                <w:rFonts w:ascii="Calibri" w:eastAsia="Times New Roman" w:hAnsi="Calibri" w:cs="Arial"/>
                <w:color w:val="000000"/>
                <w:sz w:val="18"/>
                <w:szCs w:val="18"/>
              </w:rPr>
            </w:pPr>
            <w:r>
              <w:rPr>
                <w:rFonts w:ascii="Calibri" w:eastAsia="Times New Roman" w:hAnsi="Calibri" w:cs="Arial"/>
                <w:color w:val="000000"/>
                <w:sz w:val="18"/>
                <w:szCs w:val="18"/>
              </w:rPr>
              <w:t>Trezorski zapisi, kunski do 281 dana</w:t>
            </w:r>
          </w:p>
        </w:tc>
        <w:tc>
          <w:tcPr>
            <w:tcW w:w="1142" w:type="dxa"/>
            <w:tcBorders>
              <w:top w:val="nil"/>
              <w:left w:val="nil"/>
              <w:bottom w:val="nil"/>
              <w:right w:val="nil"/>
            </w:tcBorders>
            <w:shd w:val="clear" w:color="auto" w:fill="auto"/>
            <w:noWrap/>
            <w:vAlign w:val="center"/>
          </w:tcPr>
          <w:p w14:paraId="2CE60C9C" w14:textId="77777777" w:rsidR="00E56218" w:rsidRPr="009F6ADE" w:rsidRDefault="00E56218" w:rsidP="00E56218">
            <w:pPr>
              <w:spacing w:after="0" w:line="240" w:lineRule="auto"/>
              <w:jc w:val="right"/>
              <w:rPr>
                <w:rFonts w:ascii="Calibri" w:eastAsia="Times New Roman" w:hAnsi="Calibri" w:cs="Times New Roman"/>
                <w:sz w:val="18"/>
                <w:szCs w:val="18"/>
              </w:rPr>
            </w:pPr>
          </w:p>
        </w:tc>
        <w:tc>
          <w:tcPr>
            <w:tcW w:w="1221" w:type="dxa"/>
            <w:tcBorders>
              <w:top w:val="nil"/>
              <w:left w:val="nil"/>
              <w:bottom w:val="nil"/>
              <w:right w:val="nil"/>
            </w:tcBorders>
            <w:shd w:val="clear" w:color="auto" w:fill="auto"/>
            <w:noWrap/>
            <w:vAlign w:val="center"/>
          </w:tcPr>
          <w:p w14:paraId="107E80DC" w14:textId="4BC6779F" w:rsidR="00E56218" w:rsidRPr="000E5941" w:rsidRDefault="00E56218">
            <w:pPr>
              <w:spacing w:after="0" w:line="240" w:lineRule="auto"/>
              <w:jc w:val="center"/>
              <w:rPr>
                <w:rFonts w:ascii="Calibri" w:eastAsia="Times New Roman" w:hAnsi="Calibri" w:cs="Arial"/>
                <w:color w:val="000000"/>
                <w:sz w:val="18"/>
                <w:szCs w:val="18"/>
              </w:rPr>
            </w:pPr>
            <w:r w:rsidRPr="000E5941">
              <w:rPr>
                <w:rFonts w:ascii="Calibri" w:eastAsia="Times New Roman" w:hAnsi="Calibri" w:cs="Arial"/>
                <w:color w:val="000000"/>
                <w:sz w:val="18"/>
                <w:szCs w:val="18"/>
              </w:rPr>
              <w:t>0,7</w:t>
            </w:r>
            <w:r>
              <w:rPr>
                <w:rFonts w:ascii="Calibri" w:eastAsia="Times New Roman" w:hAnsi="Calibri" w:cs="Arial"/>
                <w:color w:val="000000"/>
                <w:sz w:val="18"/>
                <w:szCs w:val="18"/>
              </w:rPr>
              <w:t>28</w:t>
            </w:r>
          </w:p>
        </w:tc>
        <w:tc>
          <w:tcPr>
            <w:tcW w:w="1177" w:type="dxa"/>
            <w:tcBorders>
              <w:top w:val="nil"/>
              <w:left w:val="nil"/>
              <w:bottom w:val="nil"/>
              <w:right w:val="nil"/>
            </w:tcBorders>
            <w:shd w:val="clear" w:color="auto" w:fill="auto"/>
          </w:tcPr>
          <w:p w14:paraId="602236A3" w14:textId="17E7E7A1" w:rsidR="00E56218" w:rsidRPr="00312975" w:rsidRDefault="00E56218" w:rsidP="00E56218">
            <w:pPr>
              <w:spacing w:after="0" w:line="240" w:lineRule="auto"/>
              <w:jc w:val="right"/>
              <w:rPr>
                <w:rFonts w:ascii="Calibri" w:eastAsia="Times New Roman" w:hAnsi="Calibri" w:cs="Times New Roman"/>
                <w:color w:val="000000"/>
                <w:sz w:val="18"/>
                <w:szCs w:val="18"/>
                <w:lang w:val="en-US"/>
              </w:rPr>
            </w:pPr>
            <w:r w:rsidRPr="00312975">
              <w:rPr>
                <w:rFonts w:ascii="Calibri" w:eastAsia="Times New Roman" w:hAnsi="Calibri" w:cs="Times New Roman"/>
                <w:color w:val="000000"/>
                <w:sz w:val="18"/>
                <w:szCs w:val="18"/>
                <w:lang w:val="en-US"/>
              </w:rPr>
              <w:t>29.926</w:t>
            </w:r>
          </w:p>
        </w:tc>
        <w:tc>
          <w:tcPr>
            <w:tcW w:w="1177" w:type="dxa"/>
            <w:tcBorders>
              <w:top w:val="nil"/>
              <w:left w:val="nil"/>
              <w:bottom w:val="nil"/>
              <w:right w:val="nil"/>
            </w:tcBorders>
            <w:shd w:val="clear" w:color="auto" w:fill="auto"/>
            <w:vAlign w:val="center"/>
          </w:tcPr>
          <w:p w14:paraId="1B96E655" w14:textId="7DBE97E0" w:rsidR="00E56218" w:rsidRPr="009F6ADE" w:rsidRDefault="00E56218" w:rsidP="00E56218">
            <w:pPr>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w:t>
            </w:r>
          </w:p>
        </w:tc>
        <w:tc>
          <w:tcPr>
            <w:tcW w:w="1177" w:type="dxa"/>
            <w:tcBorders>
              <w:top w:val="nil"/>
              <w:left w:val="nil"/>
              <w:bottom w:val="nil"/>
              <w:right w:val="nil"/>
            </w:tcBorders>
            <w:shd w:val="clear" w:color="auto" w:fill="auto"/>
          </w:tcPr>
          <w:p w14:paraId="070EF990" w14:textId="36ADCF4D" w:rsidR="00E56218" w:rsidRPr="00312975" w:rsidRDefault="00E56218" w:rsidP="00E56218">
            <w:pPr>
              <w:spacing w:after="0" w:line="240" w:lineRule="auto"/>
              <w:jc w:val="right"/>
              <w:rPr>
                <w:rFonts w:ascii="Calibri" w:eastAsia="Times New Roman" w:hAnsi="Calibri" w:cs="Times New Roman"/>
                <w:color w:val="000000"/>
                <w:sz w:val="18"/>
                <w:szCs w:val="18"/>
                <w:lang w:val="en-US"/>
              </w:rPr>
            </w:pPr>
            <w:r w:rsidRPr="00312975">
              <w:rPr>
                <w:rFonts w:ascii="Calibri" w:eastAsia="Times New Roman" w:hAnsi="Calibri" w:cs="Times New Roman"/>
                <w:color w:val="000000"/>
                <w:sz w:val="18"/>
                <w:szCs w:val="18"/>
                <w:lang w:val="en-US"/>
              </w:rPr>
              <w:t>29.926</w:t>
            </w:r>
          </w:p>
        </w:tc>
        <w:tc>
          <w:tcPr>
            <w:tcW w:w="1178" w:type="dxa"/>
            <w:tcBorders>
              <w:top w:val="nil"/>
              <w:left w:val="nil"/>
              <w:bottom w:val="nil"/>
              <w:right w:val="nil"/>
            </w:tcBorders>
            <w:shd w:val="clear" w:color="auto" w:fill="auto"/>
            <w:vAlign w:val="center"/>
          </w:tcPr>
          <w:p w14:paraId="6488C301" w14:textId="54A35BEA" w:rsidR="00E56218" w:rsidRPr="009F6ADE" w:rsidRDefault="004F15AD" w:rsidP="00E56218">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w:t>
            </w:r>
          </w:p>
        </w:tc>
      </w:tr>
      <w:tr w:rsidR="00E56218" w:rsidRPr="009F6ADE" w14:paraId="48E242A9" w14:textId="77777777" w:rsidTr="00312975">
        <w:trPr>
          <w:trHeight w:val="199"/>
        </w:trPr>
        <w:tc>
          <w:tcPr>
            <w:tcW w:w="3561" w:type="dxa"/>
            <w:gridSpan w:val="2"/>
            <w:tcBorders>
              <w:top w:val="nil"/>
              <w:left w:val="nil"/>
              <w:bottom w:val="nil"/>
              <w:right w:val="nil"/>
            </w:tcBorders>
            <w:shd w:val="clear" w:color="auto" w:fill="auto"/>
            <w:noWrap/>
            <w:vAlign w:val="center"/>
            <w:hideMark/>
          </w:tcPr>
          <w:p w14:paraId="4836BACA" w14:textId="77777777" w:rsidR="00E56218" w:rsidRPr="009F6ADE" w:rsidRDefault="00E56218" w:rsidP="00E56218">
            <w:pPr>
              <w:spacing w:after="0" w:line="240" w:lineRule="auto"/>
              <w:rPr>
                <w:rFonts w:ascii="Calibri" w:eastAsia="Times New Roman" w:hAnsi="Calibri" w:cs="Arial"/>
                <w:color w:val="000000"/>
                <w:sz w:val="18"/>
                <w:szCs w:val="18"/>
              </w:rPr>
            </w:pPr>
            <w:r w:rsidRPr="009F6ADE">
              <w:rPr>
                <w:rFonts w:ascii="Calibri" w:eastAsia="Times New Roman" w:hAnsi="Calibri" w:cs="Arial"/>
                <w:color w:val="000000"/>
                <w:sz w:val="18"/>
                <w:szCs w:val="18"/>
              </w:rPr>
              <w:t>Trezorski zapisi, kunski do 364 dana</w:t>
            </w:r>
          </w:p>
        </w:tc>
        <w:tc>
          <w:tcPr>
            <w:tcW w:w="1142" w:type="dxa"/>
            <w:tcBorders>
              <w:top w:val="nil"/>
              <w:left w:val="nil"/>
              <w:bottom w:val="nil"/>
              <w:right w:val="nil"/>
            </w:tcBorders>
            <w:shd w:val="clear" w:color="auto" w:fill="auto"/>
            <w:noWrap/>
            <w:vAlign w:val="center"/>
            <w:hideMark/>
          </w:tcPr>
          <w:p w14:paraId="76A8B364" w14:textId="77777777" w:rsidR="00E56218" w:rsidRPr="009F6ADE" w:rsidRDefault="00E56218" w:rsidP="00E56218">
            <w:pPr>
              <w:spacing w:after="0" w:line="240" w:lineRule="auto"/>
              <w:jc w:val="right"/>
              <w:rPr>
                <w:rFonts w:ascii="Calibri" w:eastAsia="Times New Roman" w:hAnsi="Calibri" w:cs="Times New Roman"/>
                <w:sz w:val="18"/>
                <w:szCs w:val="18"/>
              </w:rPr>
            </w:pPr>
          </w:p>
        </w:tc>
        <w:tc>
          <w:tcPr>
            <w:tcW w:w="1221" w:type="dxa"/>
            <w:tcBorders>
              <w:top w:val="nil"/>
              <w:left w:val="nil"/>
              <w:bottom w:val="nil"/>
              <w:right w:val="nil"/>
            </w:tcBorders>
            <w:shd w:val="clear" w:color="auto" w:fill="auto"/>
            <w:noWrap/>
            <w:vAlign w:val="center"/>
          </w:tcPr>
          <w:p w14:paraId="40F705A1" w14:textId="3F7B03F9" w:rsidR="00E56218" w:rsidRPr="000E5941" w:rsidRDefault="00E56218">
            <w:pPr>
              <w:spacing w:after="0" w:line="240" w:lineRule="auto"/>
              <w:jc w:val="center"/>
              <w:rPr>
                <w:rFonts w:ascii="Calibri" w:eastAsia="Times New Roman" w:hAnsi="Calibri" w:cs="Arial"/>
                <w:color w:val="000000"/>
                <w:sz w:val="18"/>
                <w:szCs w:val="18"/>
              </w:rPr>
            </w:pPr>
            <w:r w:rsidRPr="000E5941">
              <w:rPr>
                <w:rFonts w:ascii="Calibri" w:eastAsia="Times New Roman" w:hAnsi="Calibri" w:cs="Arial"/>
                <w:color w:val="000000"/>
                <w:sz w:val="18"/>
                <w:szCs w:val="18"/>
              </w:rPr>
              <w:t>0</w:t>
            </w:r>
            <w:r>
              <w:rPr>
                <w:rFonts w:ascii="Calibri" w:eastAsia="Times New Roman" w:hAnsi="Calibri" w:cs="Arial"/>
                <w:color w:val="000000"/>
                <w:sz w:val="18"/>
                <w:szCs w:val="18"/>
              </w:rPr>
              <w:t>,690</w:t>
            </w:r>
            <w:r w:rsidRPr="000E5941">
              <w:rPr>
                <w:rFonts w:ascii="Calibri" w:eastAsia="Times New Roman" w:hAnsi="Calibri" w:cs="Arial"/>
                <w:color w:val="000000"/>
                <w:sz w:val="18"/>
                <w:szCs w:val="18"/>
              </w:rPr>
              <w:t xml:space="preserve"> - 0,</w:t>
            </w:r>
            <w:r>
              <w:rPr>
                <w:rFonts w:ascii="Calibri" w:eastAsia="Times New Roman" w:hAnsi="Calibri" w:cs="Arial"/>
                <w:color w:val="000000"/>
                <w:sz w:val="18"/>
                <w:szCs w:val="18"/>
              </w:rPr>
              <w:t>856</w:t>
            </w:r>
          </w:p>
        </w:tc>
        <w:tc>
          <w:tcPr>
            <w:tcW w:w="1177" w:type="dxa"/>
            <w:tcBorders>
              <w:top w:val="nil"/>
              <w:left w:val="nil"/>
              <w:bottom w:val="nil"/>
              <w:right w:val="nil"/>
            </w:tcBorders>
            <w:shd w:val="clear" w:color="auto" w:fill="auto"/>
          </w:tcPr>
          <w:p w14:paraId="5F9FC688" w14:textId="6D543AA0" w:rsidR="00E56218" w:rsidRPr="00312975" w:rsidRDefault="00E56218" w:rsidP="00E56218">
            <w:pPr>
              <w:spacing w:after="0" w:line="240" w:lineRule="auto"/>
              <w:jc w:val="right"/>
              <w:rPr>
                <w:rFonts w:ascii="Calibri" w:eastAsia="Times New Roman" w:hAnsi="Calibri" w:cs="Times New Roman"/>
                <w:color w:val="000000"/>
                <w:sz w:val="18"/>
                <w:szCs w:val="18"/>
                <w:lang w:val="en-US"/>
              </w:rPr>
            </w:pPr>
            <w:r w:rsidRPr="00312975">
              <w:rPr>
                <w:rFonts w:ascii="Calibri" w:eastAsia="Times New Roman" w:hAnsi="Calibri" w:cs="Times New Roman"/>
                <w:color w:val="000000"/>
                <w:sz w:val="18"/>
                <w:szCs w:val="18"/>
                <w:lang w:val="en-US"/>
              </w:rPr>
              <w:t>806.208</w:t>
            </w:r>
          </w:p>
        </w:tc>
        <w:tc>
          <w:tcPr>
            <w:tcW w:w="1177" w:type="dxa"/>
            <w:tcBorders>
              <w:top w:val="nil"/>
              <w:left w:val="nil"/>
              <w:bottom w:val="nil"/>
              <w:right w:val="nil"/>
            </w:tcBorders>
            <w:shd w:val="clear" w:color="auto" w:fill="auto"/>
            <w:vAlign w:val="center"/>
            <w:hideMark/>
          </w:tcPr>
          <w:p w14:paraId="0F902F78" w14:textId="66712A04" w:rsidR="00E56218" w:rsidRPr="009F6ADE" w:rsidRDefault="00E56218" w:rsidP="00E56218">
            <w:pPr>
              <w:spacing w:after="0" w:line="240" w:lineRule="auto"/>
              <w:jc w:val="right"/>
              <w:rPr>
                <w:rFonts w:ascii="Calibri" w:eastAsia="Times New Roman" w:hAnsi="Calibri" w:cs="Arial"/>
                <w:color w:val="000000"/>
                <w:sz w:val="18"/>
                <w:szCs w:val="18"/>
              </w:rPr>
            </w:pPr>
            <w:r>
              <w:rPr>
                <w:rFonts w:ascii="Calibri" w:eastAsia="Times New Roman" w:hAnsi="Calibri" w:cs="Times New Roman"/>
                <w:color w:val="000000"/>
                <w:sz w:val="18"/>
                <w:szCs w:val="18"/>
                <w:lang w:val="en-US"/>
              </w:rPr>
              <w:t>1.087.406</w:t>
            </w:r>
          </w:p>
        </w:tc>
        <w:tc>
          <w:tcPr>
            <w:tcW w:w="1177" w:type="dxa"/>
            <w:tcBorders>
              <w:top w:val="nil"/>
              <w:left w:val="nil"/>
              <w:bottom w:val="nil"/>
              <w:right w:val="nil"/>
            </w:tcBorders>
            <w:shd w:val="clear" w:color="auto" w:fill="auto"/>
            <w:vAlign w:val="center"/>
          </w:tcPr>
          <w:p w14:paraId="2979BCD4" w14:textId="5359FDCA" w:rsidR="00E56218" w:rsidRPr="009F6ADE" w:rsidRDefault="00E56218" w:rsidP="00E56218">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806.208</w:t>
            </w:r>
          </w:p>
        </w:tc>
        <w:tc>
          <w:tcPr>
            <w:tcW w:w="1178" w:type="dxa"/>
            <w:tcBorders>
              <w:top w:val="nil"/>
              <w:left w:val="nil"/>
              <w:bottom w:val="nil"/>
              <w:right w:val="nil"/>
            </w:tcBorders>
            <w:shd w:val="clear" w:color="auto" w:fill="auto"/>
            <w:hideMark/>
          </w:tcPr>
          <w:p w14:paraId="3E4DC744" w14:textId="3E6A1D5A" w:rsidR="00E56218" w:rsidRPr="00312975" w:rsidRDefault="00E56218" w:rsidP="00E56218">
            <w:pPr>
              <w:spacing w:after="0" w:line="240" w:lineRule="auto"/>
              <w:jc w:val="right"/>
              <w:rPr>
                <w:rFonts w:ascii="Calibri" w:eastAsia="Times New Roman" w:hAnsi="Calibri" w:cs="Times New Roman"/>
                <w:color w:val="000000"/>
                <w:sz w:val="18"/>
                <w:szCs w:val="18"/>
                <w:lang w:val="en-US"/>
              </w:rPr>
            </w:pPr>
            <w:r w:rsidRPr="00312975">
              <w:rPr>
                <w:rFonts w:ascii="Calibri" w:eastAsia="Times New Roman" w:hAnsi="Calibri" w:cs="Times New Roman"/>
                <w:color w:val="000000"/>
                <w:sz w:val="18"/>
                <w:szCs w:val="18"/>
                <w:lang w:val="en-US"/>
              </w:rPr>
              <w:t>1.087.406</w:t>
            </w:r>
          </w:p>
        </w:tc>
      </w:tr>
      <w:tr w:rsidR="00E56218" w:rsidRPr="009F6ADE" w14:paraId="16DE7657" w14:textId="77777777" w:rsidTr="00312975">
        <w:trPr>
          <w:trHeight w:val="199"/>
        </w:trPr>
        <w:tc>
          <w:tcPr>
            <w:tcW w:w="3561" w:type="dxa"/>
            <w:gridSpan w:val="2"/>
            <w:tcBorders>
              <w:top w:val="nil"/>
              <w:left w:val="nil"/>
              <w:bottom w:val="nil"/>
              <w:right w:val="nil"/>
            </w:tcBorders>
            <w:shd w:val="clear" w:color="auto" w:fill="auto"/>
            <w:noWrap/>
            <w:vAlign w:val="center"/>
            <w:hideMark/>
          </w:tcPr>
          <w:p w14:paraId="234859BF" w14:textId="77777777" w:rsidR="00E56218" w:rsidRPr="009F6ADE" w:rsidRDefault="00E56218" w:rsidP="00E56218">
            <w:pPr>
              <w:spacing w:after="0" w:line="240" w:lineRule="auto"/>
              <w:rPr>
                <w:rFonts w:ascii="Calibri" w:eastAsia="Times New Roman" w:hAnsi="Calibri" w:cs="Arial"/>
                <w:color w:val="000000"/>
                <w:sz w:val="18"/>
                <w:szCs w:val="18"/>
              </w:rPr>
            </w:pPr>
            <w:r w:rsidRPr="009F6ADE">
              <w:rPr>
                <w:rFonts w:ascii="Calibri" w:eastAsia="Times New Roman" w:hAnsi="Calibri" w:cs="Arial"/>
                <w:color w:val="000000"/>
                <w:sz w:val="18"/>
                <w:szCs w:val="18"/>
              </w:rPr>
              <w:t>Trezorski zapisi, devizni do 455 dana</w:t>
            </w:r>
          </w:p>
        </w:tc>
        <w:tc>
          <w:tcPr>
            <w:tcW w:w="1142" w:type="dxa"/>
            <w:tcBorders>
              <w:top w:val="nil"/>
              <w:left w:val="nil"/>
              <w:bottom w:val="nil"/>
              <w:right w:val="nil"/>
            </w:tcBorders>
            <w:shd w:val="clear" w:color="auto" w:fill="auto"/>
            <w:noWrap/>
            <w:vAlign w:val="center"/>
            <w:hideMark/>
          </w:tcPr>
          <w:p w14:paraId="29A7B44D" w14:textId="77777777" w:rsidR="00E56218" w:rsidRPr="009F6ADE" w:rsidRDefault="00E56218" w:rsidP="00E56218">
            <w:pPr>
              <w:spacing w:after="0" w:line="240" w:lineRule="auto"/>
              <w:jc w:val="right"/>
              <w:rPr>
                <w:rFonts w:ascii="Calibri" w:eastAsia="Times New Roman" w:hAnsi="Calibri" w:cs="Times New Roman"/>
                <w:sz w:val="18"/>
                <w:szCs w:val="18"/>
              </w:rPr>
            </w:pPr>
          </w:p>
        </w:tc>
        <w:tc>
          <w:tcPr>
            <w:tcW w:w="1221" w:type="dxa"/>
            <w:tcBorders>
              <w:top w:val="nil"/>
              <w:left w:val="nil"/>
              <w:bottom w:val="nil"/>
              <w:right w:val="nil"/>
            </w:tcBorders>
            <w:shd w:val="clear" w:color="auto" w:fill="auto"/>
            <w:noWrap/>
            <w:vAlign w:val="center"/>
          </w:tcPr>
          <w:p w14:paraId="21BCC57E" w14:textId="07F4DFEA" w:rsidR="00E56218" w:rsidRPr="009F6ADE" w:rsidRDefault="00E56218">
            <w:pPr>
              <w:spacing w:after="0" w:line="240" w:lineRule="auto"/>
              <w:jc w:val="center"/>
              <w:rPr>
                <w:rFonts w:ascii="Calibri" w:eastAsia="Times New Roman" w:hAnsi="Calibri" w:cs="Arial"/>
                <w:color w:val="000000"/>
                <w:sz w:val="18"/>
                <w:szCs w:val="18"/>
                <w:highlight w:val="yellow"/>
              </w:rPr>
            </w:pPr>
            <w:r w:rsidRPr="000E5941">
              <w:rPr>
                <w:rFonts w:ascii="Calibri" w:eastAsia="Times New Roman" w:hAnsi="Calibri" w:cs="Arial"/>
                <w:color w:val="000000"/>
                <w:sz w:val="18"/>
                <w:szCs w:val="18"/>
              </w:rPr>
              <w:t>0,</w:t>
            </w:r>
            <w:r>
              <w:rPr>
                <w:rFonts w:ascii="Calibri" w:eastAsia="Times New Roman" w:hAnsi="Calibri" w:cs="Arial"/>
                <w:color w:val="000000"/>
                <w:sz w:val="18"/>
                <w:szCs w:val="18"/>
              </w:rPr>
              <w:t>267</w:t>
            </w:r>
          </w:p>
        </w:tc>
        <w:tc>
          <w:tcPr>
            <w:tcW w:w="1177" w:type="dxa"/>
            <w:tcBorders>
              <w:top w:val="nil"/>
              <w:left w:val="nil"/>
              <w:bottom w:val="nil"/>
              <w:right w:val="nil"/>
            </w:tcBorders>
            <w:shd w:val="clear" w:color="auto" w:fill="auto"/>
          </w:tcPr>
          <w:p w14:paraId="61F12C3E" w14:textId="583EBBCB" w:rsidR="00E56218" w:rsidRPr="00312975" w:rsidRDefault="00E56218" w:rsidP="00E56218">
            <w:pPr>
              <w:spacing w:after="0" w:line="240" w:lineRule="auto"/>
              <w:jc w:val="right"/>
              <w:rPr>
                <w:rFonts w:ascii="Calibri" w:eastAsia="Times New Roman" w:hAnsi="Calibri" w:cs="Times New Roman"/>
                <w:color w:val="000000"/>
                <w:sz w:val="18"/>
                <w:szCs w:val="18"/>
                <w:lang w:val="en-US"/>
              </w:rPr>
            </w:pPr>
            <w:r w:rsidRPr="00312975">
              <w:rPr>
                <w:rFonts w:ascii="Calibri" w:eastAsia="Times New Roman" w:hAnsi="Calibri" w:cs="Times New Roman"/>
                <w:color w:val="000000"/>
                <w:sz w:val="18"/>
                <w:szCs w:val="18"/>
                <w:lang w:val="en-US"/>
              </w:rPr>
              <w:t>406.909</w:t>
            </w:r>
          </w:p>
        </w:tc>
        <w:tc>
          <w:tcPr>
            <w:tcW w:w="1177" w:type="dxa"/>
            <w:tcBorders>
              <w:top w:val="nil"/>
              <w:left w:val="nil"/>
              <w:bottom w:val="nil"/>
              <w:right w:val="nil"/>
            </w:tcBorders>
            <w:shd w:val="clear" w:color="auto" w:fill="auto"/>
            <w:vAlign w:val="center"/>
            <w:hideMark/>
          </w:tcPr>
          <w:p w14:paraId="7C3B2C93" w14:textId="76B092E2" w:rsidR="00E56218" w:rsidRPr="009F6ADE" w:rsidRDefault="00E56218" w:rsidP="00E56218">
            <w:pPr>
              <w:spacing w:after="0" w:line="240" w:lineRule="auto"/>
              <w:jc w:val="right"/>
              <w:rPr>
                <w:rFonts w:ascii="Calibri" w:eastAsia="Times New Roman" w:hAnsi="Calibri" w:cs="Arial"/>
                <w:color w:val="000000"/>
                <w:sz w:val="18"/>
                <w:szCs w:val="18"/>
              </w:rPr>
            </w:pPr>
            <w:r>
              <w:rPr>
                <w:rFonts w:ascii="Calibri" w:eastAsia="Times New Roman" w:hAnsi="Calibri" w:cs="Times New Roman"/>
                <w:color w:val="000000"/>
                <w:sz w:val="18"/>
                <w:szCs w:val="18"/>
                <w:lang w:val="en-US"/>
              </w:rPr>
              <w:t>413.014</w:t>
            </w:r>
          </w:p>
        </w:tc>
        <w:tc>
          <w:tcPr>
            <w:tcW w:w="1177" w:type="dxa"/>
            <w:tcBorders>
              <w:top w:val="nil"/>
              <w:left w:val="nil"/>
              <w:bottom w:val="nil"/>
              <w:right w:val="nil"/>
            </w:tcBorders>
            <w:shd w:val="clear" w:color="auto" w:fill="auto"/>
            <w:vAlign w:val="center"/>
          </w:tcPr>
          <w:p w14:paraId="0529EC61" w14:textId="79B745E4" w:rsidR="00E56218" w:rsidRPr="009F6ADE" w:rsidRDefault="00E56218" w:rsidP="00E56218">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406.909</w:t>
            </w:r>
          </w:p>
        </w:tc>
        <w:tc>
          <w:tcPr>
            <w:tcW w:w="1178" w:type="dxa"/>
            <w:tcBorders>
              <w:top w:val="nil"/>
              <w:left w:val="nil"/>
              <w:bottom w:val="nil"/>
              <w:right w:val="nil"/>
            </w:tcBorders>
            <w:shd w:val="clear" w:color="auto" w:fill="auto"/>
            <w:hideMark/>
          </w:tcPr>
          <w:p w14:paraId="345E0B26" w14:textId="0701324B" w:rsidR="00E56218" w:rsidRPr="00312975" w:rsidRDefault="00E56218" w:rsidP="00E56218">
            <w:pPr>
              <w:spacing w:after="0" w:line="240" w:lineRule="auto"/>
              <w:jc w:val="right"/>
              <w:rPr>
                <w:rFonts w:ascii="Calibri" w:eastAsia="Times New Roman" w:hAnsi="Calibri" w:cs="Times New Roman"/>
                <w:color w:val="000000"/>
                <w:sz w:val="18"/>
                <w:szCs w:val="18"/>
                <w:lang w:val="en-US"/>
              </w:rPr>
            </w:pPr>
            <w:r w:rsidRPr="00312975">
              <w:rPr>
                <w:rFonts w:ascii="Calibri" w:eastAsia="Times New Roman" w:hAnsi="Calibri" w:cs="Times New Roman"/>
                <w:color w:val="000000"/>
                <w:sz w:val="18"/>
                <w:szCs w:val="18"/>
                <w:lang w:val="en-US"/>
              </w:rPr>
              <w:t>413.014</w:t>
            </w:r>
          </w:p>
        </w:tc>
      </w:tr>
      <w:tr w:rsidR="00E56218" w:rsidRPr="009F6ADE" w14:paraId="2CB95AEB" w14:textId="77777777" w:rsidTr="00312975">
        <w:trPr>
          <w:trHeight w:val="199"/>
        </w:trPr>
        <w:tc>
          <w:tcPr>
            <w:tcW w:w="2419" w:type="dxa"/>
            <w:tcBorders>
              <w:top w:val="nil"/>
              <w:left w:val="nil"/>
              <w:bottom w:val="nil"/>
              <w:right w:val="nil"/>
            </w:tcBorders>
            <w:shd w:val="clear" w:color="auto" w:fill="auto"/>
            <w:noWrap/>
            <w:vAlign w:val="center"/>
            <w:hideMark/>
          </w:tcPr>
          <w:p w14:paraId="6F6EB0A8" w14:textId="77777777" w:rsidR="00E56218" w:rsidRPr="009F6ADE" w:rsidRDefault="00E56218" w:rsidP="00E56218">
            <w:pPr>
              <w:spacing w:after="0" w:line="240" w:lineRule="auto"/>
              <w:rPr>
                <w:rFonts w:ascii="Calibri" w:eastAsia="Times New Roman" w:hAnsi="Calibri" w:cs="Arial"/>
                <w:color w:val="000000"/>
                <w:sz w:val="18"/>
                <w:szCs w:val="18"/>
              </w:rPr>
            </w:pPr>
            <w:r w:rsidRPr="009F6ADE">
              <w:rPr>
                <w:rFonts w:ascii="Calibri" w:eastAsia="Times New Roman" w:hAnsi="Calibri" w:cs="Arial"/>
                <w:color w:val="000000"/>
                <w:sz w:val="18"/>
                <w:szCs w:val="18"/>
              </w:rPr>
              <w:t xml:space="preserve">Obračunata kamata </w:t>
            </w:r>
          </w:p>
        </w:tc>
        <w:tc>
          <w:tcPr>
            <w:tcW w:w="1142" w:type="dxa"/>
            <w:tcBorders>
              <w:top w:val="nil"/>
              <w:left w:val="nil"/>
              <w:bottom w:val="nil"/>
              <w:right w:val="nil"/>
            </w:tcBorders>
            <w:shd w:val="clear" w:color="auto" w:fill="auto"/>
            <w:noWrap/>
            <w:vAlign w:val="bottom"/>
            <w:hideMark/>
          </w:tcPr>
          <w:p w14:paraId="047C210F" w14:textId="77777777" w:rsidR="00E56218" w:rsidRPr="009F6ADE" w:rsidRDefault="00E56218" w:rsidP="00E56218">
            <w:pPr>
              <w:spacing w:after="0" w:line="240" w:lineRule="auto"/>
              <w:rPr>
                <w:rFonts w:ascii="Calibri" w:eastAsia="Times New Roman" w:hAnsi="Calibri" w:cs="Arial"/>
                <w:color w:val="000000"/>
                <w:sz w:val="18"/>
                <w:szCs w:val="18"/>
              </w:rPr>
            </w:pPr>
          </w:p>
        </w:tc>
        <w:tc>
          <w:tcPr>
            <w:tcW w:w="1142" w:type="dxa"/>
            <w:tcBorders>
              <w:top w:val="nil"/>
              <w:left w:val="nil"/>
              <w:bottom w:val="nil"/>
              <w:right w:val="nil"/>
            </w:tcBorders>
            <w:shd w:val="clear" w:color="auto" w:fill="auto"/>
            <w:noWrap/>
            <w:vAlign w:val="bottom"/>
            <w:hideMark/>
          </w:tcPr>
          <w:p w14:paraId="290CF206" w14:textId="77777777" w:rsidR="00E56218" w:rsidRPr="009F6ADE" w:rsidRDefault="00E56218" w:rsidP="00E56218">
            <w:pPr>
              <w:spacing w:after="0" w:line="240" w:lineRule="auto"/>
              <w:rPr>
                <w:rFonts w:ascii="Calibri" w:eastAsia="Times New Roman" w:hAnsi="Calibri" w:cs="Times New Roman"/>
                <w:sz w:val="18"/>
                <w:szCs w:val="18"/>
              </w:rPr>
            </w:pPr>
          </w:p>
        </w:tc>
        <w:tc>
          <w:tcPr>
            <w:tcW w:w="1221" w:type="dxa"/>
            <w:tcBorders>
              <w:top w:val="nil"/>
              <w:left w:val="nil"/>
              <w:bottom w:val="nil"/>
              <w:right w:val="nil"/>
            </w:tcBorders>
            <w:shd w:val="clear" w:color="auto" w:fill="auto"/>
            <w:noWrap/>
            <w:hideMark/>
          </w:tcPr>
          <w:p w14:paraId="70ADA525" w14:textId="657744F3" w:rsidR="00E56218" w:rsidRPr="009F6ADE" w:rsidRDefault="00E56218" w:rsidP="00312975">
            <w:pPr>
              <w:spacing w:after="0" w:line="240" w:lineRule="auto"/>
              <w:jc w:val="center"/>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50A57BE5" w14:textId="53F32177" w:rsidR="00E56218" w:rsidRPr="00312975" w:rsidRDefault="00E56218" w:rsidP="00E56218">
            <w:pPr>
              <w:spacing w:after="0" w:line="240" w:lineRule="auto"/>
              <w:jc w:val="right"/>
              <w:rPr>
                <w:rFonts w:ascii="Calibri" w:eastAsia="Times New Roman" w:hAnsi="Calibri" w:cs="Times New Roman"/>
                <w:color w:val="000000"/>
                <w:sz w:val="18"/>
                <w:szCs w:val="18"/>
                <w:lang w:val="en-US"/>
              </w:rPr>
            </w:pPr>
            <w:r w:rsidRPr="00E56218">
              <w:rPr>
                <w:rFonts w:ascii="Calibri" w:eastAsia="Times New Roman" w:hAnsi="Calibri" w:cs="Times New Roman"/>
                <w:color w:val="000000"/>
                <w:sz w:val="18"/>
                <w:szCs w:val="18"/>
                <w:lang w:val="en-US"/>
              </w:rPr>
              <w:t>13.802</w:t>
            </w:r>
          </w:p>
        </w:tc>
        <w:tc>
          <w:tcPr>
            <w:tcW w:w="1177" w:type="dxa"/>
            <w:tcBorders>
              <w:top w:val="nil"/>
              <w:left w:val="nil"/>
              <w:bottom w:val="nil"/>
              <w:right w:val="nil"/>
            </w:tcBorders>
            <w:shd w:val="clear" w:color="auto" w:fill="auto"/>
            <w:vAlign w:val="center"/>
            <w:hideMark/>
          </w:tcPr>
          <w:p w14:paraId="778ED8FA" w14:textId="7617C254" w:rsidR="00E56218" w:rsidRPr="009F6ADE" w:rsidRDefault="00E56218" w:rsidP="00E56218">
            <w:pPr>
              <w:spacing w:after="0" w:line="240" w:lineRule="auto"/>
              <w:jc w:val="right"/>
              <w:rPr>
                <w:rFonts w:ascii="Calibri" w:eastAsia="Times New Roman" w:hAnsi="Calibri" w:cs="Arial"/>
                <w:color w:val="000000"/>
                <w:sz w:val="18"/>
                <w:szCs w:val="18"/>
              </w:rPr>
            </w:pPr>
            <w:r w:rsidRPr="009F6ADE">
              <w:rPr>
                <w:rFonts w:ascii="Calibri" w:eastAsia="Times New Roman" w:hAnsi="Calibri" w:cs="Times New Roman"/>
                <w:color w:val="000000"/>
                <w:sz w:val="18"/>
                <w:szCs w:val="18"/>
                <w:lang w:val="en-US"/>
              </w:rPr>
              <w:t>14.495</w:t>
            </w:r>
          </w:p>
        </w:tc>
        <w:tc>
          <w:tcPr>
            <w:tcW w:w="1177" w:type="dxa"/>
            <w:tcBorders>
              <w:top w:val="nil"/>
              <w:left w:val="nil"/>
              <w:bottom w:val="nil"/>
              <w:right w:val="nil"/>
            </w:tcBorders>
            <w:shd w:val="clear" w:color="auto" w:fill="auto"/>
            <w:vAlign w:val="center"/>
          </w:tcPr>
          <w:p w14:paraId="3E26F864" w14:textId="3157B13E" w:rsidR="00E56218" w:rsidRPr="009F6ADE" w:rsidRDefault="00E56218" w:rsidP="00E56218">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13.178</w:t>
            </w:r>
          </w:p>
        </w:tc>
        <w:tc>
          <w:tcPr>
            <w:tcW w:w="1178" w:type="dxa"/>
            <w:tcBorders>
              <w:top w:val="nil"/>
              <w:left w:val="nil"/>
              <w:bottom w:val="nil"/>
              <w:right w:val="nil"/>
            </w:tcBorders>
            <w:shd w:val="clear" w:color="auto" w:fill="auto"/>
            <w:vAlign w:val="center"/>
            <w:hideMark/>
          </w:tcPr>
          <w:p w14:paraId="7813DAAF" w14:textId="5801D4D0" w:rsidR="00E56218" w:rsidRPr="00312975" w:rsidRDefault="00E56218" w:rsidP="00E56218">
            <w:pPr>
              <w:spacing w:after="0" w:line="240" w:lineRule="auto"/>
              <w:jc w:val="right"/>
              <w:rPr>
                <w:rFonts w:ascii="Calibri" w:eastAsia="Times New Roman" w:hAnsi="Calibri" w:cs="Times New Roman"/>
                <w:color w:val="000000"/>
                <w:sz w:val="18"/>
                <w:szCs w:val="18"/>
                <w:lang w:val="en-US"/>
              </w:rPr>
            </w:pPr>
            <w:r w:rsidRPr="00312975">
              <w:rPr>
                <w:rFonts w:ascii="Calibri" w:eastAsia="Times New Roman" w:hAnsi="Calibri" w:cs="Times New Roman"/>
                <w:color w:val="000000"/>
                <w:sz w:val="18"/>
                <w:szCs w:val="18"/>
                <w:lang w:val="en-US"/>
              </w:rPr>
              <w:t>13.890</w:t>
            </w:r>
          </w:p>
        </w:tc>
      </w:tr>
      <w:tr w:rsidR="00F33730" w:rsidRPr="009F6ADE" w14:paraId="124A81C1" w14:textId="77777777" w:rsidTr="009F6ADE">
        <w:trPr>
          <w:trHeight w:val="212"/>
        </w:trPr>
        <w:tc>
          <w:tcPr>
            <w:tcW w:w="2419" w:type="dxa"/>
            <w:tcBorders>
              <w:top w:val="single" w:sz="4" w:space="0" w:color="auto"/>
              <w:left w:val="nil"/>
              <w:bottom w:val="single" w:sz="8" w:space="0" w:color="auto"/>
              <w:right w:val="nil"/>
            </w:tcBorders>
            <w:shd w:val="clear" w:color="auto" w:fill="auto"/>
            <w:noWrap/>
            <w:vAlign w:val="center"/>
            <w:hideMark/>
          </w:tcPr>
          <w:p w14:paraId="5DE1C036" w14:textId="77777777" w:rsidR="00F33730" w:rsidRPr="009F6ADE" w:rsidRDefault="00F33730" w:rsidP="00F33730">
            <w:pPr>
              <w:spacing w:after="0" w:line="240" w:lineRule="auto"/>
              <w:jc w:val="both"/>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 </w:t>
            </w:r>
          </w:p>
        </w:tc>
        <w:tc>
          <w:tcPr>
            <w:tcW w:w="1142" w:type="dxa"/>
            <w:tcBorders>
              <w:top w:val="single" w:sz="4" w:space="0" w:color="auto"/>
              <w:left w:val="nil"/>
              <w:bottom w:val="single" w:sz="8" w:space="0" w:color="auto"/>
              <w:right w:val="nil"/>
            </w:tcBorders>
            <w:shd w:val="clear" w:color="auto" w:fill="auto"/>
            <w:noWrap/>
            <w:vAlign w:val="center"/>
            <w:hideMark/>
          </w:tcPr>
          <w:p w14:paraId="3897C576" w14:textId="77777777" w:rsidR="00F33730" w:rsidRPr="009F6ADE" w:rsidRDefault="00F33730" w:rsidP="00F33730">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 </w:t>
            </w:r>
          </w:p>
        </w:tc>
        <w:tc>
          <w:tcPr>
            <w:tcW w:w="1142" w:type="dxa"/>
            <w:tcBorders>
              <w:top w:val="single" w:sz="4" w:space="0" w:color="auto"/>
              <w:left w:val="nil"/>
              <w:bottom w:val="single" w:sz="8" w:space="0" w:color="auto"/>
              <w:right w:val="nil"/>
            </w:tcBorders>
            <w:shd w:val="clear" w:color="auto" w:fill="auto"/>
            <w:noWrap/>
            <w:vAlign w:val="center"/>
            <w:hideMark/>
          </w:tcPr>
          <w:p w14:paraId="317F24A6" w14:textId="77777777" w:rsidR="00F33730" w:rsidRPr="009F6ADE" w:rsidRDefault="00F33730" w:rsidP="00F33730">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 </w:t>
            </w:r>
          </w:p>
        </w:tc>
        <w:tc>
          <w:tcPr>
            <w:tcW w:w="1221" w:type="dxa"/>
            <w:tcBorders>
              <w:top w:val="single" w:sz="4" w:space="0" w:color="auto"/>
              <w:left w:val="nil"/>
              <w:bottom w:val="single" w:sz="8" w:space="0" w:color="auto"/>
              <w:right w:val="nil"/>
            </w:tcBorders>
            <w:shd w:val="clear" w:color="auto" w:fill="auto"/>
            <w:noWrap/>
            <w:vAlign w:val="center"/>
            <w:hideMark/>
          </w:tcPr>
          <w:p w14:paraId="75ADB38B" w14:textId="77777777" w:rsidR="00F33730" w:rsidRPr="009F6ADE" w:rsidRDefault="00F33730" w:rsidP="00F33730">
            <w:pPr>
              <w:spacing w:after="0" w:line="240" w:lineRule="auto"/>
              <w:jc w:val="both"/>
              <w:rPr>
                <w:rFonts w:ascii="Calibri" w:eastAsia="Times New Roman" w:hAnsi="Calibri" w:cs="Arial"/>
                <w:color w:val="000000"/>
                <w:sz w:val="18"/>
                <w:szCs w:val="18"/>
              </w:rPr>
            </w:pPr>
            <w:r w:rsidRPr="009F6ADE">
              <w:rPr>
                <w:rFonts w:ascii="Calibri" w:eastAsia="Times New Roman" w:hAnsi="Calibri" w:cs="Arial"/>
                <w:color w:val="000000"/>
                <w:sz w:val="18"/>
                <w:szCs w:val="18"/>
              </w:rPr>
              <w:t> </w:t>
            </w:r>
          </w:p>
        </w:tc>
        <w:tc>
          <w:tcPr>
            <w:tcW w:w="1177" w:type="dxa"/>
            <w:tcBorders>
              <w:top w:val="single" w:sz="4" w:space="0" w:color="auto"/>
              <w:left w:val="nil"/>
              <w:bottom w:val="single" w:sz="8" w:space="0" w:color="auto"/>
              <w:right w:val="nil"/>
            </w:tcBorders>
            <w:shd w:val="clear" w:color="auto" w:fill="auto"/>
            <w:vAlign w:val="center"/>
          </w:tcPr>
          <w:p w14:paraId="23CDC107" w14:textId="0C37574A" w:rsidR="00F33730" w:rsidRPr="009F6ADE" w:rsidRDefault="00E56218" w:rsidP="00F33730">
            <w:pPr>
              <w:spacing w:after="0" w:line="240" w:lineRule="auto"/>
              <w:jc w:val="right"/>
              <w:rPr>
                <w:rFonts w:ascii="Calibri" w:eastAsia="Times New Roman" w:hAnsi="Calibri" w:cs="Arial"/>
                <w:b/>
                <w:bCs/>
                <w:color w:val="000000"/>
                <w:sz w:val="18"/>
                <w:szCs w:val="18"/>
              </w:rPr>
            </w:pPr>
            <w:r>
              <w:rPr>
                <w:rFonts w:ascii="Calibri" w:eastAsia="Times New Roman" w:hAnsi="Calibri" w:cs="Arial"/>
                <w:b/>
                <w:bCs/>
                <w:color w:val="000000"/>
                <w:sz w:val="18"/>
                <w:szCs w:val="18"/>
              </w:rPr>
              <w:t>2.192.896</w:t>
            </w:r>
          </w:p>
        </w:tc>
        <w:tc>
          <w:tcPr>
            <w:tcW w:w="1177" w:type="dxa"/>
            <w:tcBorders>
              <w:top w:val="single" w:sz="4" w:space="0" w:color="auto"/>
              <w:left w:val="nil"/>
              <w:bottom w:val="single" w:sz="8" w:space="0" w:color="auto"/>
              <w:right w:val="nil"/>
            </w:tcBorders>
            <w:shd w:val="clear" w:color="auto" w:fill="auto"/>
            <w:vAlign w:val="center"/>
            <w:hideMark/>
          </w:tcPr>
          <w:p w14:paraId="2772E1D1" w14:textId="40EF70B6" w:rsidR="00F33730" w:rsidRPr="009F6ADE" w:rsidRDefault="00F33730" w:rsidP="00F33730">
            <w:pPr>
              <w:spacing w:after="0" w:line="240" w:lineRule="auto"/>
              <w:jc w:val="right"/>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2.442.873</w:t>
            </w:r>
          </w:p>
        </w:tc>
        <w:tc>
          <w:tcPr>
            <w:tcW w:w="1177" w:type="dxa"/>
            <w:tcBorders>
              <w:top w:val="single" w:sz="4" w:space="0" w:color="auto"/>
              <w:left w:val="nil"/>
              <w:bottom w:val="single" w:sz="8" w:space="0" w:color="auto"/>
              <w:right w:val="nil"/>
            </w:tcBorders>
            <w:shd w:val="clear" w:color="auto" w:fill="auto"/>
            <w:vAlign w:val="center"/>
          </w:tcPr>
          <w:p w14:paraId="7D4DD235" w14:textId="421C7B76" w:rsidR="00F33730" w:rsidRPr="009F6ADE" w:rsidRDefault="00E56218" w:rsidP="00F33730">
            <w:pPr>
              <w:spacing w:after="0" w:line="240" w:lineRule="auto"/>
              <w:jc w:val="right"/>
              <w:rPr>
                <w:rFonts w:ascii="Calibri" w:eastAsia="Times New Roman" w:hAnsi="Calibri" w:cs="Arial"/>
                <w:b/>
                <w:bCs/>
                <w:color w:val="000000"/>
                <w:sz w:val="18"/>
                <w:szCs w:val="18"/>
              </w:rPr>
            </w:pPr>
            <w:r>
              <w:rPr>
                <w:rFonts w:ascii="Calibri" w:eastAsia="Times New Roman" w:hAnsi="Calibri" w:cs="Arial"/>
                <w:b/>
                <w:bCs/>
                <w:color w:val="000000"/>
                <w:sz w:val="18"/>
                <w:szCs w:val="18"/>
              </w:rPr>
              <w:t>2.148.195</w:t>
            </w:r>
          </w:p>
        </w:tc>
        <w:tc>
          <w:tcPr>
            <w:tcW w:w="1178" w:type="dxa"/>
            <w:tcBorders>
              <w:top w:val="single" w:sz="4" w:space="0" w:color="auto"/>
              <w:left w:val="nil"/>
              <w:bottom w:val="single" w:sz="8" w:space="0" w:color="auto"/>
              <w:right w:val="nil"/>
            </w:tcBorders>
            <w:shd w:val="clear" w:color="auto" w:fill="auto"/>
            <w:vAlign w:val="center"/>
            <w:hideMark/>
          </w:tcPr>
          <w:p w14:paraId="2D863FCE" w14:textId="23247693" w:rsidR="00F33730" w:rsidRPr="009F6ADE" w:rsidRDefault="00F33730" w:rsidP="00F33730">
            <w:pPr>
              <w:spacing w:after="0" w:line="240" w:lineRule="auto"/>
              <w:jc w:val="right"/>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2.399.224</w:t>
            </w:r>
          </w:p>
        </w:tc>
      </w:tr>
      <w:tr w:rsidR="00F33730" w:rsidRPr="009F6ADE" w14:paraId="6FBB6AE5" w14:textId="77777777" w:rsidTr="009F6ADE">
        <w:trPr>
          <w:trHeight w:hRule="exact" w:val="108"/>
        </w:trPr>
        <w:tc>
          <w:tcPr>
            <w:tcW w:w="2419" w:type="dxa"/>
            <w:tcBorders>
              <w:top w:val="nil"/>
              <w:left w:val="nil"/>
              <w:bottom w:val="nil"/>
              <w:right w:val="nil"/>
            </w:tcBorders>
            <w:shd w:val="clear" w:color="auto" w:fill="auto"/>
            <w:vAlign w:val="center"/>
            <w:hideMark/>
          </w:tcPr>
          <w:p w14:paraId="4F607A44" w14:textId="77777777" w:rsidR="00F33730" w:rsidRPr="009F6ADE" w:rsidRDefault="00F33730" w:rsidP="00F33730">
            <w:pPr>
              <w:spacing w:after="0" w:line="240" w:lineRule="auto"/>
              <w:jc w:val="right"/>
              <w:rPr>
                <w:rFonts w:ascii="Calibri" w:eastAsia="Times New Roman" w:hAnsi="Calibri" w:cs="Times New Roman"/>
                <w:sz w:val="18"/>
                <w:szCs w:val="18"/>
              </w:rPr>
            </w:pPr>
          </w:p>
        </w:tc>
        <w:tc>
          <w:tcPr>
            <w:tcW w:w="1142" w:type="dxa"/>
            <w:tcBorders>
              <w:top w:val="nil"/>
              <w:left w:val="nil"/>
              <w:bottom w:val="nil"/>
              <w:right w:val="nil"/>
            </w:tcBorders>
            <w:shd w:val="clear" w:color="auto" w:fill="auto"/>
            <w:vAlign w:val="center"/>
            <w:hideMark/>
          </w:tcPr>
          <w:p w14:paraId="433F6289" w14:textId="77777777" w:rsidR="00F33730" w:rsidRPr="009F6ADE" w:rsidRDefault="00F33730" w:rsidP="00F33730">
            <w:pPr>
              <w:spacing w:after="0" w:line="240" w:lineRule="auto"/>
              <w:jc w:val="both"/>
              <w:rPr>
                <w:rFonts w:ascii="Calibri" w:eastAsia="Times New Roman" w:hAnsi="Calibri" w:cs="Times New Roman"/>
                <w:sz w:val="18"/>
                <w:szCs w:val="18"/>
              </w:rPr>
            </w:pPr>
          </w:p>
        </w:tc>
        <w:tc>
          <w:tcPr>
            <w:tcW w:w="1142" w:type="dxa"/>
            <w:tcBorders>
              <w:top w:val="nil"/>
              <w:left w:val="nil"/>
              <w:bottom w:val="nil"/>
              <w:right w:val="nil"/>
            </w:tcBorders>
            <w:shd w:val="clear" w:color="auto" w:fill="auto"/>
            <w:noWrap/>
            <w:vAlign w:val="center"/>
            <w:hideMark/>
          </w:tcPr>
          <w:p w14:paraId="71B407D2" w14:textId="77777777" w:rsidR="00F33730" w:rsidRPr="009F6ADE" w:rsidRDefault="00F33730" w:rsidP="00F33730">
            <w:pPr>
              <w:spacing w:after="0" w:line="240" w:lineRule="auto"/>
              <w:rPr>
                <w:rFonts w:ascii="Calibri" w:eastAsia="Times New Roman" w:hAnsi="Calibri" w:cs="Times New Roman"/>
                <w:sz w:val="18"/>
                <w:szCs w:val="18"/>
              </w:rPr>
            </w:pPr>
          </w:p>
        </w:tc>
        <w:tc>
          <w:tcPr>
            <w:tcW w:w="1221" w:type="dxa"/>
            <w:tcBorders>
              <w:top w:val="nil"/>
              <w:left w:val="nil"/>
              <w:bottom w:val="nil"/>
              <w:right w:val="nil"/>
            </w:tcBorders>
            <w:shd w:val="clear" w:color="auto" w:fill="auto"/>
            <w:noWrap/>
            <w:vAlign w:val="center"/>
            <w:hideMark/>
          </w:tcPr>
          <w:p w14:paraId="229CEC44" w14:textId="77777777" w:rsidR="00F33730" w:rsidRPr="009F6ADE" w:rsidRDefault="00F33730" w:rsidP="00F33730">
            <w:pPr>
              <w:spacing w:after="0" w:line="240" w:lineRule="auto"/>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7920B29C" w14:textId="77777777" w:rsidR="00F33730" w:rsidRPr="009F6ADE" w:rsidRDefault="00F33730" w:rsidP="00F33730">
            <w:pPr>
              <w:spacing w:after="0" w:line="240" w:lineRule="auto"/>
              <w:jc w:val="both"/>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7670F691" w14:textId="77777777" w:rsidR="00F33730" w:rsidRPr="009F6ADE" w:rsidRDefault="00F33730" w:rsidP="00F33730">
            <w:pPr>
              <w:spacing w:after="0" w:line="240" w:lineRule="auto"/>
              <w:jc w:val="both"/>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66B00818" w14:textId="77777777" w:rsidR="00F33730" w:rsidRPr="009F6ADE" w:rsidRDefault="00F33730" w:rsidP="00F33730">
            <w:pPr>
              <w:spacing w:after="0" w:line="240" w:lineRule="auto"/>
              <w:jc w:val="right"/>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hideMark/>
          </w:tcPr>
          <w:p w14:paraId="0A335E75" w14:textId="77777777" w:rsidR="00F33730" w:rsidRPr="009F6ADE" w:rsidRDefault="00F33730" w:rsidP="00F33730">
            <w:pPr>
              <w:spacing w:after="0" w:line="240" w:lineRule="auto"/>
              <w:jc w:val="right"/>
              <w:rPr>
                <w:rFonts w:ascii="Calibri" w:eastAsia="Times New Roman" w:hAnsi="Calibri" w:cs="Times New Roman"/>
                <w:sz w:val="18"/>
                <w:szCs w:val="18"/>
              </w:rPr>
            </w:pPr>
          </w:p>
        </w:tc>
      </w:tr>
      <w:tr w:rsidR="00F33730" w:rsidRPr="009F6ADE" w14:paraId="14620DA8" w14:textId="77777777" w:rsidTr="009F6ADE">
        <w:trPr>
          <w:trHeight w:val="66"/>
        </w:trPr>
        <w:tc>
          <w:tcPr>
            <w:tcW w:w="3561" w:type="dxa"/>
            <w:gridSpan w:val="2"/>
            <w:tcBorders>
              <w:top w:val="nil"/>
              <w:left w:val="nil"/>
              <w:bottom w:val="nil"/>
              <w:right w:val="nil"/>
            </w:tcBorders>
            <w:shd w:val="clear" w:color="auto" w:fill="auto"/>
            <w:noWrap/>
            <w:vAlign w:val="center"/>
            <w:hideMark/>
          </w:tcPr>
          <w:p w14:paraId="0400BC78" w14:textId="77777777" w:rsidR="00F33730" w:rsidRPr="009F6ADE" w:rsidRDefault="00F33730" w:rsidP="00F33730">
            <w:pPr>
              <w:spacing w:after="0" w:line="240" w:lineRule="auto"/>
              <w:rPr>
                <w:rFonts w:ascii="Calibri" w:eastAsia="Times New Roman" w:hAnsi="Calibri" w:cs="Arial"/>
                <w:color w:val="000000"/>
                <w:sz w:val="18"/>
                <w:szCs w:val="18"/>
              </w:rPr>
            </w:pPr>
            <w:r w:rsidRPr="009F6ADE">
              <w:rPr>
                <w:rFonts w:ascii="Calibri" w:eastAsia="Times New Roman" w:hAnsi="Calibri" w:cs="Arial"/>
                <w:color w:val="000000"/>
                <w:sz w:val="18"/>
                <w:szCs w:val="18"/>
              </w:rPr>
              <w:t>Dužnički vrijednosni papiri koji ne kotiraju:</w:t>
            </w:r>
          </w:p>
        </w:tc>
        <w:tc>
          <w:tcPr>
            <w:tcW w:w="1142" w:type="dxa"/>
            <w:tcBorders>
              <w:top w:val="nil"/>
              <w:left w:val="nil"/>
              <w:bottom w:val="nil"/>
              <w:right w:val="nil"/>
            </w:tcBorders>
            <w:shd w:val="clear" w:color="auto" w:fill="auto"/>
            <w:noWrap/>
            <w:vAlign w:val="bottom"/>
            <w:hideMark/>
          </w:tcPr>
          <w:p w14:paraId="2B4B0303" w14:textId="77777777" w:rsidR="00F33730" w:rsidRPr="009F6ADE" w:rsidRDefault="00F33730" w:rsidP="00F33730">
            <w:pPr>
              <w:spacing w:after="0" w:line="240" w:lineRule="auto"/>
              <w:rPr>
                <w:rFonts w:ascii="Calibri" w:eastAsia="Times New Roman" w:hAnsi="Calibri" w:cs="Arial"/>
                <w:color w:val="000000"/>
                <w:sz w:val="18"/>
                <w:szCs w:val="18"/>
              </w:rPr>
            </w:pPr>
          </w:p>
        </w:tc>
        <w:tc>
          <w:tcPr>
            <w:tcW w:w="1221" w:type="dxa"/>
            <w:tcBorders>
              <w:top w:val="nil"/>
              <w:left w:val="nil"/>
              <w:bottom w:val="nil"/>
              <w:right w:val="nil"/>
            </w:tcBorders>
            <w:shd w:val="clear" w:color="auto" w:fill="auto"/>
            <w:noWrap/>
            <w:vAlign w:val="bottom"/>
            <w:hideMark/>
          </w:tcPr>
          <w:p w14:paraId="77BF6580" w14:textId="77777777" w:rsidR="00F33730" w:rsidRPr="009F6ADE" w:rsidRDefault="00F33730" w:rsidP="00F33730">
            <w:pPr>
              <w:spacing w:after="0" w:line="240" w:lineRule="auto"/>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04A5D06C" w14:textId="77777777" w:rsidR="00F33730" w:rsidRPr="009F6ADE" w:rsidRDefault="00F33730" w:rsidP="00F33730">
            <w:pPr>
              <w:spacing w:after="0" w:line="240" w:lineRule="auto"/>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68396885" w14:textId="77777777" w:rsidR="00F33730" w:rsidRPr="009F6ADE" w:rsidRDefault="00F33730" w:rsidP="00F33730">
            <w:pPr>
              <w:spacing w:after="0" w:line="240" w:lineRule="auto"/>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7D6B9360" w14:textId="77777777" w:rsidR="00F33730" w:rsidRPr="009F6ADE" w:rsidRDefault="00F33730" w:rsidP="00F33730">
            <w:pPr>
              <w:spacing w:after="0" w:line="240" w:lineRule="auto"/>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hideMark/>
          </w:tcPr>
          <w:p w14:paraId="2301BAA5" w14:textId="77777777" w:rsidR="00F33730" w:rsidRPr="009F6ADE" w:rsidRDefault="00F33730" w:rsidP="00F33730">
            <w:pPr>
              <w:spacing w:after="0" w:line="240" w:lineRule="auto"/>
              <w:jc w:val="right"/>
              <w:rPr>
                <w:rFonts w:ascii="Calibri" w:eastAsia="Times New Roman" w:hAnsi="Calibri" w:cs="Times New Roman"/>
                <w:sz w:val="18"/>
                <w:szCs w:val="18"/>
              </w:rPr>
            </w:pPr>
          </w:p>
        </w:tc>
      </w:tr>
      <w:tr w:rsidR="00F33730" w:rsidRPr="009F6ADE" w14:paraId="51EE7D92" w14:textId="77777777" w:rsidTr="009F6ADE">
        <w:trPr>
          <w:trHeight w:val="199"/>
        </w:trPr>
        <w:tc>
          <w:tcPr>
            <w:tcW w:w="4703" w:type="dxa"/>
            <w:gridSpan w:val="3"/>
            <w:tcBorders>
              <w:top w:val="nil"/>
              <w:left w:val="nil"/>
              <w:bottom w:val="nil"/>
              <w:right w:val="nil"/>
            </w:tcBorders>
            <w:shd w:val="clear" w:color="auto" w:fill="auto"/>
            <w:vAlign w:val="center"/>
            <w:hideMark/>
          </w:tcPr>
          <w:p w14:paraId="10B2A4F9" w14:textId="77777777" w:rsidR="00F33730" w:rsidRPr="009F6ADE" w:rsidRDefault="00F33730" w:rsidP="00F33730">
            <w:pPr>
              <w:spacing w:after="0" w:line="240" w:lineRule="auto"/>
              <w:jc w:val="both"/>
              <w:rPr>
                <w:rFonts w:ascii="Calibri" w:eastAsia="Times New Roman" w:hAnsi="Calibri" w:cs="Arial"/>
                <w:i/>
                <w:iCs/>
                <w:color w:val="000000"/>
                <w:sz w:val="18"/>
                <w:szCs w:val="18"/>
              </w:rPr>
            </w:pPr>
            <w:r w:rsidRPr="009F6ADE">
              <w:rPr>
                <w:rFonts w:ascii="Calibri" w:eastAsia="Times New Roman" w:hAnsi="Calibri" w:cs="Arial"/>
                <w:i/>
                <w:iCs/>
                <w:color w:val="000000"/>
                <w:sz w:val="18"/>
                <w:szCs w:val="18"/>
              </w:rPr>
              <w:t>Obveznice trgovačkih društava  s valutnom klauzulom:</w:t>
            </w:r>
          </w:p>
        </w:tc>
        <w:tc>
          <w:tcPr>
            <w:tcW w:w="1221" w:type="dxa"/>
            <w:tcBorders>
              <w:top w:val="nil"/>
              <w:left w:val="nil"/>
              <w:bottom w:val="nil"/>
              <w:right w:val="nil"/>
            </w:tcBorders>
            <w:shd w:val="clear" w:color="auto" w:fill="auto"/>
            <w:noWrap/>
            <w:vAlign w:val="bottom"/>
            <w:hideMark/>
          </w:tcPr>
          <w:p w14:paraId="306FAE1D" w14:textId="77777777" w:rsidR="00F33730" w:rsidRPr="009F6ADE" w:rsidRDefault="00F33730" w:rsidP="00F33730">
            <w:pPr>
              <w:spacing w:after="0" w:line="240" w:lineRule="auto"/>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47775737" w14:textId="77777777" w:rsidR="00F33730" w:rsidRPr="009F6ADE" w:rsidRDefault="00F33730" w:rsidP="00F33730">
            <w:pPr>
              <w:spacing w:after="0" w:line="240" w:lineRule="auto"/>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hideMark/>
          </w:tcPr>
          <w:p w14:paraId="4859BA2A" w14:textId="77777777" w:rsidR="00F33730" w:rsidRPr="009F6ADE" w:rsidRDefault="00F33730" w:rsidP="00F33730">
            <w:pPr>
              <w:spacing w:after="0" w:line="240" w:lineRule="auto"/>
              <w:jc w:val="right"/>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3547A74A" w14:textId="77777777" w:rsidR="00F33730" w:rsidRPr="009F6ADE" w:rsidRDefault="00F33730" w:rsidP="00F33730">
            <w:pPr>
              <w:spacing w:after="0" w:line="240" w:lineRule="auto"/>
              <w:jc w:val="right"/>
              <w:rPr>
                <w:rFonts w:ascii="Calibri" w:eastAsia="Times New Roman" w:hAnsi="Calibri" w:cs="Times New Roman"/>
                <w:sz w:val="18"/>
                <w:szCs w:val="18"/>
              </w:rPr>
            </w:pPr>
          </w:p>
        </w:tc>
        <w:tc>
          <w:tcPr>
            <w:tcW w:w="1178" w:type="dxa"/>
            <w:tcBorders>
              <w:top w:val="nil"/>
              <w:left w:val="nil"/>
              <w:bottom w:val="nil"/>
              <w:right w:val="nil"/>
            </w:tcBorders>
            <w:shd w:val="clear" w:color="auto" w:fill="auto"/>
            <w:vAlign w:val="center"/>
            <w:hideMark/>
          </w:tcPr>
          <w:p w14:paraId="18E9870B" w14:textId="77777777" w:rsidR="00F33730" w:rsidRPr="009F6ADE" w:rsidRDefault="00F33730" w:rsidP="00F33730">
            <w:pPr>
              <w:spacing w:after="0" w:line="240" w:lineRule="auto"/>
              <w:rPr>
                <w:rFonts w:ascii="Calibri" w:eastAsia="Times New Roman" w:hAnsi="Calibri" w:cs="Times New Roman"/>
                <w:sz w:val="18"/>
                <w:szCs w:val="18"/>
              </w:rPr>
            </w:pPr>
          </w:p>
        </w:tc>
      </w:tr>
      <w:tr w:rsidR="00F33730" w:rsidRPr="009F6ADE" w14:paraId="52027DC2" w14:textId="77777777" w:rsidTr="009F6ADE">
        <w:trPr>
          <w:trHeight w:val="199"/>
        </w:trPr>
        <w:tc>
          <w:tcPr>
            <w:tcW w:w="2419" w:type="dxa"/>
            <w:tcBorders>
              <w:top w:val="nil"/>
              <w:left w:val="nil"/>
              <w:bottom w:val="nil"/>
              <w:right w:val="nil"/>
            </w:tcBorders>
            <w:shd w:val="clear" w:color="auto" w:fill="auto"/>
            <w:noWrap/>
            <w:vAlign w:val="center"/>
            <w:hideMark/>
          </w:tcPr>
          <w:p w14:paraId="45543C4E" w14:textId="77777777" w:rsidR="00F33730" w:rsidRPr="009F6ADE" w:rsidRDefault="00F33730" w:rsidP="00F33730">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LNGU-O-31AE</w:t>
            </w:r>
          </w:p>
        </w:tc>
        <w:tc>
          <w:tcPr>
            <w:tcW w:w="1142" w:type="dxa"/>
            <w:tcBorders>
              <w:top w:val="nil"/>
              <w:left w:val="nil"/>
              <w:bottom w:val="nil"/>
              <w:right w:val="nil"/>
            </w:tcBorders>
            <w:shd w:val="clear" w:color="auto" w:fill="auto"/>
            <w:noWrap/>
            <w:vAlign w:val="center"/>
            <w:hideMark/>
          </w:tcPr>
          <w:p w14:paraId="4B9A5640" w14:textId="77777777" w:rsidR="00F33730" w:rsidRPr="009F6ADE" w:rsidRDefault="00F33730" w:rsidP="00F33730">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24.7.2015.</w:t>
            </w:r>
          </w:p>
        </w:tc>
        <w:tc>
          <w:tcPr>
            <w:tcW w:w="1142" w:type="dxa"/>
            <w:tcBorders>
              <w:top w:val="nil"/>
              <w:left w:val="nil"/>
              <w:bottom w:val="nil"/>
              <w:right w:val="nil"/>
            </w:tcBorders>
            <w:shd w:val="clear" w:color="auto" w:fill="auto"/>
            <w:noWrap/>
            <w:vAlign w:val="center"/>
            <w:hideMark/>
          </w:tcPr>
          <w:p w14:paraId="7AEBADE3" w14:textId="77777777" w:rsidR="00F33730" w:rsidRPr="009F6ADE" w:rsidRDefault="00F33730" w:rsidP="00F33730">
            <w:pPr>
              <w:spacing w:after="0" w:line="240" w:lineRule="auto"/>
              <w:jc w:val="right"/>
              <w:rPr>
                <w:rFonts w:ascii="Calibri" w:eastAsia="Times New Roman" w:hAnsi="Calibri" w:cs="Arial"/>
                <w:sz w:val="18"/>
                <w:szCs w:val="18"/>
              </w:rPr>
            </w:pPr>
            <w:r w:rsidRPr="009F6ADE">
              <w:rPr>
                <w:rFonts w:ascii="Calibri" w:eastAsia="Times New Roman" w:hAnsi="Calibri" w:cs="Arial"/>
                <w:sz w:val="18"/>
                <w:szCs w:val="18"/>
              </w:rPr>
              <w:t>15.10.2031.</w:t>
            </w:r>
          </w:p>
        </w:tc>
        <w:tc>
          <w:tcPr>
            <w:tcW w:w="1221" w:type="dxa"/>
            <w:tcBorders>
              <w:top w:val="nil"/>
              <w:left w:val="nil"/>
              <w:bottom w:val="nil"/>
              <w:right w:val="nil"/>
            </w:tcBorders>
            <w:shd w:val="clear" w:color="auto" w:fill="auto"/>
            <w:noWrap/>
            <w:vAlign w:val="center"/>
            <w:hideMark/>
          </w:tcPr>
          <w:p w14:paraId="3E7AD919" w14:textId="77777777" w:rsidR="00F33730" w:rsidRPr="009F6ADE" w:rsidRDefault="00F33730" w:rsidP="00F33730">
            <w:pPr>
              <w:spacing w:after="0" w:line="240" w:lineRule="auto"/>
              <w:jc w:val="center"/>
              <w:rPr>
                <w:rFonts w:ascii="Calibri" w:eastAsia="Times New Roman" w:hAnsi="Calibri" w:cs="Arial"/>
                <w:sz w:val="18"/>
                <w:szCs w:val="18"/>
              </w:rPr>
            </w:pPr>
            <w:r w:rsidRPr="009F6ADE">
              <w:rPr>
                <w:rFonts w:ascii="Calibri" w:eastAsia="Times New Roman" w:hAnsi="Calibri" w:cs="Arial"/>
                <w:sz w:val="18"/>
                <w:szCs w:val="18"/>
              </w:rPr>
              <w:t>4,5</w:t>
            </w:r>
          </w:p>
        </w:tc>
        <w:tc>
          <w:tcPr>
            <w:tcW w:w="1177" w:type="dxa"/>
            <w:tcBorders>
              <w:top w:val="nil"/>
              <w:left w:val="nil"/>
              <w:bottom w:val="nil"/>
              <w:right w:val="nil"/>
            </w:tcBorders>
            <w:shd w:val="clear" w:color="auto" w:fill="auto"/>
            <w:vAlign w:val="center"/>
          </w:tcPr>
          <w:p w14:paraId="09E762D6" w14:textId="59B945F1" w:rsidR="00F33730" w:rsidRPr="009F6ADE" w:rsidRDefault="00E56218" w:rsidP="00F33730">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496</w:t>
            </w:r>
          </w:p>
        </w:tc>
        <w:tc>
          <w:tcPr>
            <w:tcW w:w="1177" w:type="dxa"/>
            <w:tcBorders>
              <w:top w:val="nil"/>
              <w:left w:val="nil"/>
              <w:bottom w:val="nil"/>
              <w:right w:val="nil"/>
            </w:tcBorders>
            <w:shd w:val="clear" w:color="auto" w:fill="auto"/>
            <w:vAlign w:val="center"/>
            <w:hideMark/>
          </w:tcPr>
          <w:p w14:paraId="0CC75B8D" w14:textId="3EC01F2B" w:rsidR="00F33730" w:rsidRPr="009F6ADE" w:rsidRDefault="00F33730" w:rsidP="00F33730">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502</w:t>
            </w:r>
          </w:p>
        </w:tc>
        <w:tc>
          <w:tcPr>
            <w:tcW w:w="1177" w:type="dxa"/>
            <w:tcBorders>
              <w:top w:val="nil"/>
              <w:left w:val="nil"/>
              <w:bottom w:val="nil"/>
              <w:right w:val="nil"/>
            </w:tcBorders>
            <w:shd w:val="clear" w:color="auto" w:fill="auto"/>
            <w:vAlign w:val="center"/>
          </w:tcPr>
          <w:p w14:paraId="570FDF5A" w14:textId="33BD13DB" w:rsidR="00F33730" w:rsidRPr="009F6ADE" w:rsidRDefault="00E56218" w:rsidP="00F33730">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496</w:t>
            </w:r>
          </w:p>
        </w:tc>
        <w:tc>
          <w:tcPr>
            <w:tcW w:w="1178" w:type="dxa"/>
            <w:tcBorders>
              <w:top w:val="nil"/>
              <w:left w:val="nil"/>
              <w:bottom w:val="nil"/>
              <w:right w:val="nil"/>
            </w:tcBorders>
            <w:shd w:val="clear" w:color="auto" w:fill="auto"/>
            <w:vAlign w:val="center"/>
            <w:hideMark/>
          </w:tcPr>
          <w:p w14:paraId="16F86334" w14:textId="2BB67AF2" w:rsidR="00F33730" w:rsidRPr="009F6ADE" w:rsidRDefault="00F33730" w:rsidP="00F33730">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502</w:t>
            </w:r>
          </w:p>
        </w:tc>
      </w:tr>
      <w:tr w:rsidR="00F33730" w:rsidRPr="009F6ADE" w14:paraId="701D9C33" w14:textId="77777777" w:rsidTr="009F6ADE">
        <w:trPr>
          <w:trHeight w:val="199"/>
        </w:trPr>
        <w:tc>
          <w:tcPr>
            <w:tcW w:w="2419" w:type="dxa"/>
            <w:tcBorders>
              <w:top w:val="nil"/>
              <w:left w:val="nil"/>
              <w:bottom w:val="nil"/>
              <w:right w:val="nil"/>
            </w:tcBorders>
            <w:shd w:val="clear" w:color="auto" w:fill="auto"/>
            <w:noWrap/>
            <w:vAlign w:val="center"/>
            <w:hideMark/>
          </w:tcPr>
          <w:p w14:paraId="5A00ADCA" w14:textId="77777777" w:rsidR="00F33730" w:rsidRPr="009F6ADE" w:rsidRDefault="00F33730" w:rsidP="00F33730">
            <w:pPr>
              <w:spacing w:after="0" w:line="240" w:lineRule="auto"/>
              <w:rPr>
                <w:rFonts w:ascii="Calibri" w:eastAsia="Times New Roman" w:hAnsi="Calibri" w:cs="Arial"/>
                <w:color w:val="000000"/>
                <w:sz w:val="18"/>
                <w:szCs w:val="18"/>
              </w:rPr>
            </w:pPr>
            <w:r w:rsidRPr="009F6ADE">
              <w:rPr>
                <w:rFonts w:ascii="Calibri" w:eastAsia="Times New Roman" w:hAnsi="Calibri" w:cs="Arial"/>
                <w:color w:val="000000"/>
                <w:sz w:val="18"/>
                <w:szCs w:val="18"/>
              </w:rPr>
              <w:t xml:space="preserve">Obračunata kamata </w:t>
            </w:r>
          </w:p>
        </w:tc>
        <w:tc>
          <w:tcPr>
            <w:tcW w:w="1142" w:type="dxa"/>
            <w:tcBorders>
              <w:top w:val="nil"/>
              <w:left w:val="nil"/>
              <w:bottom w:val="nil"/>
              <w:right w:val="nil"/>
            </w:tcBorders>
            <w:shd w:val="clear" w:color="auto" w:fill="auto"/>
            <w:noWrap/>
            <w:vAlign w:val="bottom"/>
            <w:hideMark/>
          </w:tcPr>
          <w:p w14:paraId="6717F320" w14:textId="77777777" w:rsidR="00F33730" w:rsidRPr="009F6ADE" w:rsidRDefault="00F33730" w:rsidP="00F33730">
            <w:pPr>
              <w:spacing w:after="0" w:line="240" w:lineRule="auto"/>
              <w:rPr>
                <w:rFonts w:ascii="Calibri" w:eastAsia="Times New Roman" w:hAnsi="Calibri" w:cs="Arial"/>
                <w:color w:val="000000"/>
                <w:sz w:val="18"/>
                <w:szCs w:val="18"/>
              </w:rPr>
            </w:pPr>
          </w:p>
        </w:tc>
        <w:tc>
          <w:tcPr>
            <w:tcW w:w="1142" w:type="dxa"/>
            <w:tcBorders>
              <w:top w:val="nil"/>
              <w:left w:val="nil"/>
              <w:bottom w:val="nil"/>
              <w:right w:val="nil"/>
            </w:tcBorders>
            <w:shd w:val="clear" w:color="auto" w:fill="auto"/>
            <w:noWrap/>
            <w:vAlign w:val="bottom"/>
            <w:hideMark/>
          </w:tcPr>
          <w:p w14:paraId="1CD6FD2D" w14:textId="77777777" w:rsidR="00F33730" w:rsidRPr="009F6ADE" w:rsidRDefault="00F33730" w:rsidP="00F33730">
            <w:pPr>
              <w:spacing w:after="0" w:line="240" w:lineRule="auto"/>
              <w:rPr>
                <w:rFonts w:ascii="Calibri" w:eastAsia="Times New Roman" w:hAnsi="Calibri" w:cs="Times New Roman"/>
                <w:sz w:val="18"/>
                <w:szCs w:val="18"/>
              </w:rPr>
            </w:pPr>
          </w:p>
        </w:tc>
        <w:tc>
          <w:tcPr>
            <w:tcW w:w="1221" w:type="dxa"/>
            <w:tcBorders>
              <w:top w:val="nil"/>
              <w:left w:val="nil"/>
              <w:bottom w:val="nil"/>
              <w:right w:val="nil"/>
            </w:tcBorders>
            <w:shd w:val="clear" w:color="auto" w:fill="auto"/>
            <w:noWrap/>
            <w:vAlign w:val="bottom"/>
            <w:hideMark/>
          </w:tcPr>
          <w:p w14:paraId="7EBB660F" w14:textId="77777777" w:rsidR="00F33730" w:rsidRPr="009F6ADE" w:rsidRDefault="00F33730" w:rsidP="00F33730">
            <w:pPr>
              <w:spacing w:after="0" w:line="240" w:lineRule="auto"/>
              <w:rPr>
                <w:rFonts w:ascii="Calibri" w:eastAsia="Times New Roman" w:hAnsi="Calibri" w:cs="Times New Roman"/>
                <w:sz w:val="18"/>
                <w:szCs w:val="18"/>
              </w:rPr>
            </w:pPr>
          </w:p>
        </w:tc>
        <w:tc>
          <w:tcPr>
            <w:tcW w:w="1177" w:type="dxa"/>
            <w:tcBorders>
              <w:top w:val="nil"/>
              <w:left w:val="nil"/>
              <w:bottom w:val="nil"/>
              <w:right w:val="nil"/>
            </w:tcBorders>
            <w:shd w:val="clear" w:color="auto" w:fill="auto"/>
            <w:vAlign w:val="center"/>
          </w:tcPr>
          <w:p w14:paraId="76474EEC" w14:textId="77AF8236" w:rsidR="00F33730" w:rsidRPr="009F6ADE" w:rsidRDefault="00E56218" w:rsidP="00F33730">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131</w:t>
            </w:r>
          </w:p>
        </w:tc>
        <w:tc>
          <w:tcPr>
            <w:tcW w:w="1177" w:type="dxa"/>
            <w:tcBorders>
              <w:top w:val="nil"/>
              <w:left w:val="nil"/>
              <w:bottom w:val="nil"/>
              <w:right w:val="nil"/>
            </w:tcBorders>
            <w:shd w:val="clear" w:color="auto" w:fill="auto"/>
            <w:vAlign w:val="center"/>
            <w:hideMark/>
          </w:tcPr>
          <w:p w14:paraId="28ABAF25" w14:textId="561B3837" w:rsidR="00F33730" w:rsidRPr="009F6ADE" w:rsidRDefault="00F33730" w:rsidP="00F33730">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99</w:t>
            </w:r>
          </w:p>
        </w:tc>
        <w:tc>
          <w:tcPr>
            <w:tcW w:w="1177" w:type="dxa"/>
            <w:tcBorders>
              <w:top w:val="nil"/>
              <w:left w:val="nil"/>
              <w:bottom w:val="nil"/>
              <w:right w:val="nil"/>
            </w:tcBorders>
            <w:shd w:val="clear" w:color="auto" w:fill="auto"/>
            <w:vAlign w:val="center"/>
          </w:tcPr>
          <w:p w14:paraId="5D6AD836" w14:textId="232340AA" w:rsidR="00F33730" w:rsidRPr="009F6ADE" w:rsidRDefault="00E56218" w:rsidP="00F33730">
            <w:pPr>
              <w:spacing w:after="0" w:line="240" w:lineRule="auto"/>
              <w:jc w:val="right"/>
              <w:rPr>
                <w:rFonts w:ascii="Calibri" w:eastAsia="Times New Roman" w:hAnsi="Calibri" w:cs="Arial"/>
                <w:color w:val="000000"/>
                <w:sz w:val="18"/>
                <w:szCs w:val="18"/>
              </w:rPr>
            </w:pPr>
            <w:r>
              <w:rPr>
                <w:rFonts w:ascii="Calibri" w:eastAsia="Times New Roman" w:hAnsi="Calibri" w:cs="Arial"/>
                <w:color w:val="000000"/>
                <w:sz w:val="18"/>
                <w:szCs w:val="18"/>
              </w:rPr>
              <w:t>131</w:t>
            </w:r>
          </w:p>
        </w:tc>
        <w:tc>
          <w:tcPr>
            <w:tcW w:w="1178" w:type="dxa"/>
            <w:tcBorders>
              <w:top w:val="nil"/>
              <w:left w:val="nil"/>
              <w:bottom w:val="nil"/>
              <w:right w:val="nil"/>
            </w:tcBorders>
            <w:shd w:val="clear" w:color="auto" w:fill="auto"/>
            <w:vAlign w:val="center"/>
            <w:hideMark/>
          </w:tcPr>
          <w:p w14:paraId="66F56B2D" w14:textId="2416CAA1" w:rsidR="00F33730" w:rsidRPr="009F6ADE" w:rsidRDefault="00F33730" w:rsidP="00F33730">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99</w:t>
            </w:r>
          </w:p>
        </w:tc>
      </w:tr>
      <w:tr w:rsidR="00F33730" w:rsidRPr="009F6ADE" w14:paraId="507A99F7" w14:textId="77777777" w:rsidTr="009F6ADE">
        <w:trPr>
          <w:trHeight w:val="212"/>
        </w:trPr>
        <w:tc>
          <w:tcPr>
            <w:tcW w:w="2419" w:type="dxa"/>
            <w:tcBorders>
              <w:top w:val="single" w:sz="4" w:space="0" w:color="auto"/>
              <w:left w:val="nil"/>
              <w:bottom w:val="single" w:sz="8" w:space="0" w:color="auto"/>
              <w:right w:val="nil"/>
            </w:tcBorders>
            <w:shd w:val="clear" w:color="auto" w:fill="auto"/>
            <w:noWrap/>
            <w:vAlign w:val="center"/>
            <w:hideMark/>
          </w:tcPr>
          <w:p w14:paraId="3AFE3E39" w14:textId="77777777" w:rsidR="00F33730" w:rsidRPr="009F6ADE" w:rsidRDefault="00F33730" w:rsidP="00F33730">
            <w:pPr>
              <w:spacing w:after="0" w:line="240" w:lineRule="auto"/>
              <w:jc w:val="both"/>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 </w:t>
            </w:r>
          </w:p>
        </w:tc>
        <w:tc>
          <w:tcPr>
            <w:tcW w:w="1142" w:type="dxa"/>
            <w:tcBorders>
              <w:top w:val="single" w:sz="4" w:space="0" w:color="auto"/>
              <w:left w:val="nil"/>
              <w:bottom w:val="single" w:sz="8" w:space="0" w:color="auto"/>
              <w:right w:val="nil"/>
            </w:tcBorders>
            <w:shd w:val="clear" w:color="auto" w:fill="auto"/>
            <w:noWrap/>
            <w:vAlign w:val="center"/>
            <w:hideMark/>
          </w:tcPr>
          <w:p w14:paraId="46A5E78D" w14:textId="77777777" w:rsidR="00F33730" w:rsidRPr="009F6ADE" w:rsidRDefault="00F33730" w:rsidP="00F33730">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 </w:t>
            </w:r>
          </w:p>
        </w:tc>
        <w:tc>
          <w:tcPr>
            <w:tcW w:w="1142" w:type="dxa"/>
            <w:tcBorders>
              <w:top w:val="single" w:sz="4" w:space="0" w:color="auto"/>
              <w:left w:val="nil"/>
              <w:bottom w:val="single" w:sz="8" w:space="0" w:color="auto"/>
              <w:right w:val="nil"/>
            </w:tcBorders>
            <w:shd w:val="clear" w:color="auto" w:fill="auto"/>
            <w:noWrap/>
            <w:vAlign w:val="center"/>
            <w:hideMark/>
          </w:tcPr>
          <w:p w14:paraId="65B0D3B4" w14:textId="77777777" w:rsidR="00F33730" w:rsidRPr="009F6ADE" w:rsidRDefault="00F33730" w:rsidP="00F33730">
            <w:pPr>
              <w:spacing w:after="0" w:line="240" w:lineRule="auto"/>
              <w:jc w:val="right"/>
              <w:rPr>
                <w:rFonts w:ascii="Calibri" w:eastAsia="Times New Roman" w:hAnsi="Calibri" w:cs="Arial"/>
                <w:color w:val="000000"/>
                <w:sz w:val="18"/>
                <w:szCs w:val="18"/>
              </w:rPr>
            </w:pPr>
            <w:r w:rsidRPr="009F6ADE">
              <w:rPr>
                <w:rFonts w:ascii="Calibri" w:eastAsia="Times New Roman" w:hAnsi="Calibri" w:cs="Arial"/>
                <w:color w:val="000000"/>
                <w:sz w:val="18"/>
                <w:szCs w:val="18"/>
              </w:rPr>
              <w:t> </w:t>
            </w:r>
          </w:p>
        </w:tc>
        <w:tc>
          <w:tcPr>
            <w:tcW w:w="1221" w:type="dxa"/>
            <w:tcBorders>
              <w:top w:val="single" w:sz="4" w:space="0" w:color="auto"/>
              <w:left w:val="nil"/>
              <w:bottom w:val="single" w:sz="8" w:space="0" w:color="auto"/>
              <w:right w:val="nil"/>
            </w:tcBorders>
            <w:shd w:val="clear" w:color="auto" w:fill="auto"/>
            <w:noWrap/>
            <w:vAlign w:val="center"/>
            <w:hideMark/>
          </w:tcPr>
          <w:p w14:paraId="4BB6852B" w14:textId="77777777" w:rsidR="00F33730" w:rsidRPr="009F6ADE" w:rsidRDefault="00F33730" w:rsidP="00F33730">
            <w:pPr>
              <w:spacing w:after="0" w:line="240" w:lineRule="auto"/>
              <w:jc w:val="both"/>
              <w:rPr>
                <w:rFonts w:ascii="Calibri" w:eastAsia="Times New Roman" w:hAnsi="Calibri" w:cs="Arial"/>
                <w:color w:val="000000"/>
                <w:sz w:val="18"/>
                <w:szCs w:val="18"/>
              </w:rPr>
            </w:pPr>
            <w:r w:rsidRPr="009F6ADE">
              <w:rPr>
                <w:rFonts w:ascii="Calibri" w:eastAsia="Times New Roman" w:hAnsi="Calibri" w:cs="Arial"/>
                <w:color w:val="000000"/>
                <w:sz w:val="18"/>
                <w:szCs w:val="18"/>
              </w:rPr>
              <w:t> </w:t>
            </w:r>
          </w:p>
        </w:tc>
        <w:tc>
          <w:tcPr>
            <w:tcW w:w="1177" w:type="dxa"/>
            <w:tcBorders>
              <w:top w:val="single" w:sz="4" w:space="0" w:color="auto"/>
              <w:left w:val="nil"/>
              <w:bottom w:val="single" w:sz="8" w:space="0" w:color="auto"/>
              <w:right w:val="nil"/>
            </w:tcBorders>
            <w:shd w:val="clear" w:color="auto" w:fill="auto"/>
            <w:vAlign w:val="center"/>
          </w:tcPr>
          <w:p w14:paraId="341FA83A" w14:textId="1A7474BB" w:rsidR="00F33730" w:rsidRPr="009F6ADE" w:rsidRDefault="00E56218" w:rsidP="00F33730">
            <w:pPr>
              <w:spacing w:after="0" w:line="240" w:lineRule="auto"/>
              <w:jc w:val="right"/>
              <w:rPr>
                <w:rFonts w:ascii="Calibri" w:eastAsia="Times New Roman" w:hAnsi="Calibri" w:cs="Arial"/>
                <w:b/>
                <w:bCs/>
                <w:color w:val="000000"/>
                <w:sz w:val="18"/>
                <w:szCs w:val="18"/>
              </w:rPr>
            </w:pPr>
            <w:r>
              <w:rPr>
                <w:rFonts w:ascii="Calibri" w:eastAsia="Times New Roman" w:hAnsi="Calibri" w:cs="Arial"/>
                <w:b/>
                <w:bCs/>
                <w:color w:val="000000"/>
                <w:sz w:val="18"/>
                <w:szCs w:val="18"/>
              </w:rPr>
              <w:t>627</w:t>
            </w:r>
          </w:p>
        </w:tc>
        <w:tc>
          <w:tcPr>
            <w:tcW w:w="1177" w:type="dxa"/>
            <w:tcBorders>
              <w:top w:val="single" w:sz="4" w:space="0" w:color="auto"/>
              <w:left w:val="nil"/>
              <w:bottom w:val="single" w:sz="8" w:space="0" w:color="auto"/>
              <w:right w:val="nil"/>
            </w:tcBorders>
            <w:shd w:val="clear" w:color="auto" w:fill="auto"/>
            <w:vAlign w:val="center"/>
            <w:hideMark/>
          </w:tcPr>
          <w:p w14:paraId="3D85783C" w14:textId="1351EAC9" w:rsidR="00F33730" w:rsidRPr="009F6ADE" w:rsidRDefault="00F33730" w:rsidP="00F33730">
            <w:pPr>
              <w:spacing w:after="0" w:line="240" w:lineRule="auto"/>
              <w:jc w:val="right"/>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601</w:t>
            </w:r>
          </w:p>
        </w:tc>
        <w:tc>
          <w:tcPr>
            <w:tcW w:w="1177" w:type="dxa"/>
            <w:tcBorders>
              <w:top w:val="single" w:sz="4" w:space="0" w:color="auto"/>
              <w:left w:val="nil"/>
              <w:bottom w:val="single" w:sz="8" w:space="0" w:color="auto"/>
              <w:right w:val="nil"/>
            </w:tcBorders>
            <w:shd w:val="clear" w:color="auto" w:fill="auto"/>
            <w:vAlign w:val="center"/>
          </w:tcPr>
          <w:p w14:paraId="4462745B" w14:textId="00AEDB8A" w:rsidR="00F33730" w:rsidRPr="009F6ADE" w:rsidRDefault="00E56218" w:rsidP="00F33730">
            <w:pPr>
              <w:spacing w:after="0" w:line="240" w:lineRule="auto"/>
              <w:jc w:val="right"/>
              <w:rPr>
                <w:rFonts w:ascii="Calibri" w:eastAsia="Times New Roman" w:hAnsi="Calibri" w:cs="Arial"/>
                <w:b/>
                <w:bCs/>
                <w:color w:val="000000"/>
                <w:sz w:val="18"/>
                <w:szCs w:val="18"/>
              </w:rPr>
            </w:pPr>
            <w:r>
              <w:rPr>
                <w:rFonts w:ascii="Calibri" w:eastAsia="Times New Roman" w:hAnsi="Calibri" w:cs="Arial"/>
                <w:b/>
                <w:bCs/>
                <w:color w:val="000000"/>
                <w:sz w:val="18"/>
                <w:szCs w:val="18"/>
              </w:rPr>
              <w:t>627</w:t>
            </w:r>
          </w:p>
        </w:tc>
        <w:tc>
          <w:tcPr>
            <w:tcW w:w="1178" w:type="dxa"/>
            <w:tcBorders>
              <w:top w:val="single" w:sz="4" w:space="0" w:color="auto"/>
              <w:left w:val="nil"/>
              <w:bottom w:val="single" w:sz="8" w:space="0" w:color="auto"/>
              <w:right w:val="nil"/>
            </w:tcBorders>
            <w:shd w:val="clear" w:color="auto" w:fill="auto"/>
            <w:vAlign w:val="center"/>
            <w:hideMark/>
          </w:tcPr>
          <w:p w14:paraId="1016A9BE" w14:textId="5182ED04" w:rsidR="00F33730" w:rsidRPr="009F6ADE" w:rsidRDefault="00F33730" w:rsidP="00F33730">
            <w:pPr>
              <w:spacing w:after="0" w:line="240" w:lineRule="auto"/>
              <w:jc w:val="right"/>
              <w:rPr>
                <w:rFonts w:ascii="Calibri" w:eastAsia="Times New Roman" w:hAnsi="Calibri" w:cs="Arial"/>
                <w:b/>
                <w:bCs/>
                <w:color w:val="000000"/>
                <w:sz w:val="18"/>
                <w:szCs w:val="18"/>
              </w:rPr>
            </w:pPr>
            <w:r w:rsidRPr="009F6ADE">
              <w:rPr>
                <w:rFonts w:ascii="Calibri" w:eastAsia="Times New Roman" w:hAnsi="Calibri" w:cs="Arial"/>
                <w:b/>
                <w:bCs/>
                <w:color w:val="000000"/>
                <w:sz w:val="18"/>
                <w:szCs w:val="18"/>
              </w:rPr>
              <w:t>601</w:t>
            </w:r>
          </w:p>
        </w:tc>
      </w:tr>
    </w:tbl>
    <w:p w14:paraId="49FB2615" w14:textId="77777777" w:rsidR="000F410E" w:rsidRPr="002C12B4" w:rsidRDefault="000F410E" w:rsidP="002C12B4">
      <w:pPr>
        <w:sectPr w:rsidR="000F410E" w:rsidRPr="002C12B4" w:rsidSect="00F33730">
          <w:footerReference w:type="first" r:id="rId75"/>
          <w:pgSz w:w="11906" w:h="16838" w:code="9"/>
          <w:pgMar w:top="1418" w:right="1418" w:bottom="595" w:left="1134" w:header="709" w:footer="709" w:gutter="0"/>
          <w:cols w:space="708"/>
          <w:titlePg/>
          <w:docGrid w:linePitch="360"/>
        </w:sectPr>
      </w:pPr>
    </w:p>
    <w:p w14:paraId="42F0E080" w14:textId="77777777" w:rsidR="002255D9" w:rsidRDefault="002255D9" w:rsidP="002255D9">
      <w:pPr>
        <w:tabs>
          <w:tab w:val="left" w:pos="-720"/>
          <w:tab w:val="left" w:pos="993"/>
        </w:tabs>
        <w:spacing w:after="0" w:line="240" w:lineRule="auto"/>
        <w:jc w:val="both"/>
        <w:rPr>
          <w:rFonts w:eastAsia="Times New Roman" w:cs="Arial"/>
          <w:b/>
        </w:rPr>
      </w:pPr>
    </w:p>
    <w:p w14:paraId="2DE1656B" w14:textId="77777777" w:rsidR="002255D9" w:rsidRPr="00ED4731" w:rsidRDefault="00F417B5" w:rsidP="00F417B5">
      <w:pPr>
        <w:tabs>
          <w:tab w:val="left" w:pos="-720"/>
          <w:tab w:val="left" w:pos="567"/>
        </w:tabs>
        <w:spacing w:after="0" w:line="240" w:lineRule="auto"/>
        <w:jc w:val="both"/>
        <w:rPr>
          <w:rFonts w:eastAsia="Times New Roman" w:cs="Arial"/>
          <w:b/>
        </w:rPr>
      </w:pPr>
      <w:r>
        <w:rPr>
          <w:rFonts w:eastAsia="Times New Roman" w:cs="Arial"/>
          <w:b/>
        </w:rPr>
        <w:t>11</w:t>
      </w:r>
      <w:r w:rsidR="002255D9" w:rsidRPr="00ED4731">
        <w:rPr>
          <w:rFonts w:eastAsia="Times New Roman" w:cs="Arial"/>
          <w:b/>
        </w:rPr>
        <w:t>.</w:t>
      </w:r>
      <w:r w:rsidR="002255D9" w:rsidRPr="00ED4731">
        <w:rPr>
          <w:rFonts w:eastAsia="Times New Roman" w:cs="Arial"/>
          <w:b/>
        </w:rPr>
        <w:tab/>
        <w:t>Imovina raspoloživa za prodaju (nastavak)</w:t>
      </w:r>
    </w:p>
    <w:p w14:paraId="3AFC8852" w14:textId="77777777" w:rsidR="002255D9" w:rsidRPr="00ED4731" w:rsidRDefault="002255D9" w:rsidP="002255D9">
      <w:pPr>
        <w:tabs>
          <w:tab w:val="left" w:pos="-720"/>
          <w:tab w:val="left" w:pos="993"/>
        </w:tabs>
        <w:spacing w:after="0" w:line="240" w:lineRule="auto"/>
        <w:jc w:val="both"/>
        <w:rPr>
          <w:rFonts w:eastAsia="Times New Roman" w:cs="Arial"/>
          <w:b/>
        </w:rPr>
      </w:pPr>
    </w:p>
    <w:p w14:paraId="05069273" w14:textId="77777777" w:rsidR="002255D9" w:rsidRPr="00ED4731" w:rsidRDefault="002255D9" w:rsidP="0088252B">
      <w:pPr>
        <w:pStyle w:val="ListParagraph"/>
        <w:tabs>
          <w:tab w:val="left" w:pos="-720"/>
        </w:tabs>
        <w:suppressAutoHyphens/>
        <w:spacing w:after="0" w:line="240" w:lineRule="auto"/>
        <w:ind w:left="851" w:hanging="284"/>
        <w:rPr>
          <w:rFonts w:eastAsia="Times New Roman" w:cs="Calibri"/>
          <w:b/>
          <w:spacing w:val="-3"/>
          <w:lang w:eastAsia="hr-HR"/>
        </w:rPr>
      </w:pPr>
      <w:r w:rsidRPr="00ED4731">
        <w:rPr>
          <w:rFonts w:eastAsia="Times New Roman" w:cs="Calibri"/>
          <w:spacing w:val="-3"/>
          <w:lang w:eastAsia="hr-HR"/>
        </w:rPr>
        <w:t>U nastavku se daje pregled ulaganja</w:t>
      </w:r>
      <w:r>
        <w:rPr>
          <w:rFonts w:eastAsia="Times New Roman" w:cs="Calibri"/>
          <w:spacing w:val="-3"/>
          <w:lang w:eastAsia="hr-HR"/>
        </w:rPr>
        <w:t xml:space="preserve"> (nastavak)</w:t>
      </w:r>
      <w:r w:rsidRPr="00ED4731">
        <w:rPr>
          <w:rFonts w:eastAsia="Times New Roman" w:cs="Calibri"/>
          <w:spacing w:val="-3"/>
          <w:lang w:eastAsia="hr-HR"/>
        </w:rPr>
        <w:t>:</w:t>
      </w:r>
    </w:p>
    <w:p w14:paraId="682D0564" w14:textId="77777777" w:rsidR="003B2137" w:rsidRDefault="003B2137" w:rsidP="006F009D">
      <w:pPr>
        <w:tabs>
          <w:tab w:val="left" w:pos="-720"/>
        </w:tabs>
        <w:spacing w:after="0" w:line="240" w:lineRule="auto"/>
        <w:jc w:val="both"/>
        <w:rPr>
          <w:rFonts w:eastAsia="Times New Roman" w:cs="Calibri"/>
          <w:sz w:val="24"/>
          <w:szCs w:val="24"/>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9"/>
        <w:gridCol w:w="1686"/>
        <w:gridCol w:w="1386"/>
        <w:gridCol w:w="1519"/>
        <w:gridCol w:w="1274"/>
      </w:tblGrid>
      <w:tr w:rsidR="004F15ED" w14:paraId="2A734540" w14:textId="59409CCA" w:rsidTr="00312975">
        <w:tc>
          <w:tcPr>
            <w:tcW w:w="3489" w:type="dxa"/>
          </w:tcPr>
          <w:p w14:paraId="510F351C" w14:textId="77777777" w:rsidR="004F15ED" w:rsidRPr="009170A3" w:rsidRDefault="004F15ED" w:rsidP="004F15ED">
            <w:pPr>
              <w:tabs>
                <w:tab w:val="left" w:pos="-720"/>
              </w:tabs>
              <w:jc w:val="both"/>
              <w:rPr>
                <w:rFonts w:cs="Calibri"/>
                <w:sz w:val="24"/>
                <w:szCs w:val="24"/>
                <w:lang w:val="hr-HR" w:eastAsia="hr-HR"/>
              </w:rPr>
            </w:pPr>
          </w:p>
        </w:tc>
        <w:tc>
          <w:tcPr>
            <w:tcW w:w="3072" w:type="dxa"/>
            <w:gridSpan w:val="2"/>
            <w:shd w:val="clear" w:color="auto" w:fill="auto"/>
            <w:vAlign w:val="center"/>
          </w:tcPr>
          <w:p w14:paraId="613DC797" w14:textId="589348F4" w:rsidR="004F15ED" w:rsidRDefault="004F15ED" w:rsidP="004F15ED">
            <w:pPr>
              <w:tabs>
                <w:tab w:val="left" w:pos="-720"/>
              </w:tabs>
              <w:jc w:val="right"/>
              <w:rPr>
                <w:rFonts w:cs="Calibri"/>
                <w:sz w:val="24"/>
                <w:szCs w:val="24"/>
                <w:lang w:eastAsia="hr-HR"/>
              </w:rPr>
            </w:pPr>
            <w:proofErr w:type="spellStart"/>
            <w:r w:rsidRPr="000063A9">
              <w:rPr>
                <w:rFonts w:ascii="Calibri" w:hAnsi="Calibri"/>
                <w:b/>
                <w:bCs/>
                <w:sz w:val="18"/>
                <w:szCs w:val="18"/>
                <w:lang w:eastAsia="hr-HR"/>
              </w:rPr>
              <w:t>Grupa</w:t>
            </w:r>
            <w:proofErr w:type="spellEnd"/>
          </w:p>
        </w:tc>
        <w:tc>
          <w:tcPr>
            <w:tcW w:w="2793" w:type="dxa"/>
            <w:gridSpan w:val="2"/>
            <w:shd w:val="clear" w:color="auto" w:fill="auto"/>
            <w:vAlign w:val="center"/>
          </w:tcPr>
          <w:p w14:paraId="1ECBDC62" w14:textId="3A6C0BDC" w:rsidR="004F15ED" w:rsidRDefault="004F15ED" w:rsidP="004F15ED">
            <w:pPr>
              <w:tabs>
                <w:tab w:val="left" w:pos="-720"/>
              </w:tabs>
              <w:jc w:val="right"/>
              <w:rPr>
                <w:rFonts w:cs="Calibri"/>
                <w:sz w:val="24"/>
                <w:szCs w:val="24"/>
                <w:lang w:eastAsia="hr-HR"/>
              </w:rPr>
            </w:pPr>
            <w:r w:rsidRPr="000063A9">
              <w:rPr>
                <w:rFonts w:ascii="Calibri" w:hAnsi="Calibri"/>
                <w:b/>
                <w:bCs/>
                <w:sz w:val="18"/>
                <w:szCs w:val="18"/>
                <w:lang w:eastAsia="hr-HR"/>
              </w:rPr>
              <w:t>Banka</w:t>
            </w:r>
          </w:p>
        </w:tc>
      </w:tr>
      <w:tr w:rsidR="004F15ED" w14:paraId="474182AD" w14:textId="0DD25DC4" w:rsidTr="00312975">
        <w:trPr>
          <w:trHeight w:val="551"/>
        </w:trPr>
        <w:tc>
          <w:tcPr>
            <w:tcW w:w="3489" w:type="dxa"/>
          </w:tcPr>
          <w:p w14:paraId="2334731B" w14:textId="77777777" w:rsidR="004F15ED" w:rsidRDefault="004F15ED" w:rsidP="004F15ED">
            <w:pPr>
              <w:tabs>
                <w:tab w:val="left" w:pos="-720"/>
              </w:tabs>
              <w:jc w:val="both"/>
              <w:rPr>
                <w:rFonts w:cs="Calibri"/>
                <w:sz w:val="24"/>
                <w:szCs w:val="24"/>
                <w:lang w:eastAsia="hr-HR"/>
              </w:rPr>
            </w:pPr>
          </w:p>
        </w:tc>
        <w:tc>
          <w:tcPr>
            <w:tcW w:w="1686" w:type="dxa"/>
            <w:shd w:val="clear" w:color="auto" w:fill="auto"/>
            <w:vAlign w:val="center"/>
          </w:tcPr>
          <w:p w14:paraId="2E3097E5" w14:textId="720D920C" w:rsidR="004F15ED" w:rsidRDefault="00F33730">
            <w:pPr>
              <w:tabs>
                <w:tab w:val="left" w:pos="-720"/>
              </w:tabs>
              <w:jc w:val="right"/>
              <w:rPr>
                <w:rFonts w:cs="Calibri"/>
                <w:sz w:val="24"/>
                <w:szCs w:val="24"/>
                <w:lang w:eastAsia="hr-HR"/>
              </w:rPr>
            </w:pPr>
            <w:r>
              <w:rPr>
                <w:rFonts w:ascii="Calibri" w:hAnsi="Calibri" w:cs="Arial"/>
                <w:b/>
                <w:bCs/>
                <w:color w:val="000000"/>
                <w:sz w:val="18"/>
                <w:szCs w:val="18"/>
              </w:rPr>
              <w:t>30</w:t>
            </w:r>
            <w:r w:rsidR="004F15ED">
              <w:rPr>
                <w:rFonts w:ascii="Calibri" w:hAnsi="Calibri" w:cs="Arial"/>
                <w:b/>
                <w:bCs/>
                <w:color w:val="000000"/>
                <w:sz w:val="18"/>
                <w:szCs w:val="18"/>
              </w:rPr>
              <w:t>.</w:t>
            </w:r>
            <w:r>
              <w:rPr>
                <w:rFonts w:ascii="Calibri" w:hAnsi="Calibri" w:cs="Arial"/>
                <w:b/>
                <w:bCs/>
                <w:color w:val="000000"/>
                <w:sz w:val="18"/>
                <w:szCs w:val="18"/>
              </w:rPr>
              <w:t>6</w:t>
            </w:r>
            <w:r w:rsidR="004F15ED">
              <w:rPr>
                <w:rFonts w:ascii="Calibri" w:hAnsi="Calibri" w:cs="Arial"/>
                <w:b/>
                <w:bCs/>
                <w:color w:val="000000"/>
                <w:sz w:val="18"/>
                <w:szCs w:val="18"/>
              </w:rPr>
              <w:t>.2017</w:t>
            </w:r>
            <w:r w:rsidR="004F15ED" w:rsidRPr="009F6ADE">
              <w:rPr>
                <w:rFonts w:ascii="Calibri" w:hAnsi="Calibri" w:cs="Arial"/>
                <w:b/>
                <w:bCs/>
                <w:color w:val="000000"/>
                <w:sz w:val="18"/>
                <w:szCs w:val="18"/>
              </w:rPr>
              <w:t>.</w:t>
            </w:r>
          </w:p>
        </w:tc>
        <w:tc>
          <w:tcPr>
            <w:tcW w:w="1386" w:type="dxa"/>
            <w:shd w:val="clear" w:color="auto" w:fill="auto"/>
            <w:vAlign w:val="center"/>
          </w:tcPr>
          <w:p w14:paraId="193FF1CD" w14:textId="34482219" w:rsidR="004F15ED" w:rsidRDefault="004F15ED" w:rsidP="004F15ED">
            <w:pPr>
              <w:tabs>
                <w:tab w:val="left" w:pos="-720"/>
              </w:tabs>
              <w:jc w:val="right"/>
              <w:rPr>
                <w:rFonts w:cs="Calibri"/>
                <w:sz w:val="24"/>
                <w:szCs w:val="24"/>
                <w:lang w:eastAsia="hr-HR"/>
              </w:rPr>
            </w:pPr>
            <w:r>
              <w:rPr>
                <w:rFonts w:ascii="Calibri" w:hAnsi="Calibri" w:cs="Arial"/>
                <w:b/>
                <w:bCs/>
                <w:color w:val="000000"/>
                <w:sz w:val="18"/>
                <w:szCs w:val="18"/>
              </w:rPr>
              <w:t>31.12.2016</w:t>
            </w:r>
            <w:r w:rsidRPr="009F6ADE">
              <w:rPr>
                <w:rFonts w:ascii="Calibri" w:hAnsi="Calibri" w:cs="Arial"/>
                <w:b/>
                <w:bCs/>
                <w:color w:val="000000"/>
                <w:sz w:val="18"/>
                <w:szCs w:val="18"/>
              </w:rPr>
              <w:t>.</w:t>
            </w:r>
          </w:p>
        </w:tc>
        <w:tc>
          <w:tcPr>
            <w:tcW w:w="1519" w:type="dxa"/>
            <w:shd w:val="clear" w:color="auto" w:fill="auto"/>
            <w:vAlign w:val="center"/>
          </w:tcPr>
          <w:p w14:paraId="452C157F" w14:textId="1FCF1469" w:rsidR="004F15ED" w:rsidRDefault="00F33730">
            <w:pPr>
              <w:tabs>
                <w:tab w:val="left" w:pos="-720"/>
              </w:tabs>
              <w:jc w:val="right"/>
              <w:rPr>
                <w:rFonts w:cs="Calibri"/>
                <w:sz w:val="24"/>
                <w:szCs w:val="24"/>
                <w:lang w:eastAsia="hr-HR"/>
              </w:rPr>
            </w:pPr>
            <w:r>
              <w:rPr>
                <w:rFonts w:ascii="Calibri" w:hAnsi="Calibri" w:cs="Arial"/>
                <w:b/>
                <w:bCs/>
                <w:color w:val="000000"/>
                <w:sz w:val="18"/>
                <w:szCs w:val="18"/>
              </w:rPr>
              <w:t>30</w:t>
            </w:r>
            <w:r w:rsidR="004F15ED">
              <w:rPr>
                <w:rFonts w:ascii="Calibri" w:hAnsi="Calibri" w:cs="Arial"/>
                <w:b/>
                <w:bCs/>
                <w:color w:val="000000"/>
                <w:sz w:val="18"/>
                <w:szCs w:val="18"/>
              </w:rPr>
              <w:t>.</w:t>
            </w:r>
            <w:r>
              <w:rPr>
                <w:rFonts w:ascii="Calibri" w:hAnsi="Calibri" w:cs="Arial"/>
                <w:b/>
                <w:bCs/>
                <w:color w:val="000000"/>
                <w:sz w:val="18"/>
                <w:szCs w:val="18"/>
              </w:rPr>
              <w:t>6</w:t>
            </w:r>
            <w:r w:rsidR="004F15ED">
              <w:rPr>
                <w:rFonts w:ascii="Calibri" w:hAnsi="Calibri" w:cs="Arial"/>
                <w:b/>
                <w:bCs/>
                <w:color w:val="000000"/>
                <w:sz w:val="18"/>
                <w:szCs w:val="18"/>
              </w:rPr>
              <w:t>.2017</w:t>
            </w:r>
            <w:r w:rsidR="004F15ED" w:rsidRPr="009F6ADE">
              <w:rPr>
                <w:rFonts w:ascii="Calibri" w:hAnsi="Calibri" w:cs="Arial"/>
                <w:b/>
                <w:bCs/>
                <w:color w:val="000000"/>
                <w:sz w:val="18"/>
                <w:szCs w:val="18"/>
              </w:rPr>
              <w:t>.</w:t>
            </w:r>
          </w:p>
        </w:tc>
        <w:tc>
          <w:tcPr>
            <w:tcW w:w="1274" w:type="dxa"/>
            <w:shd w:val="clear" w:color="auto" w:fill="auto"/>
            <w:vAlign w:val="center"/>
          </w:tcPr>
          <w:p w14:paraId="5A63EA97" w14:textId="0E2BAB75" w:rsidR="004F15ED" w:rsidRDefault="004F15ED" w:rsidP="004F15ED">
            <w:pPr>
              <w:tabs>
                <w:tab w:val="left" w:pos="-720"/>
              </w:tabs>
              <w:jc w:val="right"/>
              <w:rPr>
                <w:rFonts w:cs="Calibri"/>
                <w:sz w:val="24"/>
                <w:szCs w:val="24"/>
                <w:lang w:eastAsia="hr-HR"/>
              </w:rPr>
            </w:pPr>
            <w:r>
              <w:rPr>
                <w:rFonts w:ascii="Calibri" w:hAnsi="Calibri" w:cs="Arial"/>
                <w:b/>
                <w:bCs/>
                <w:color w:val="000000"/>
                <w:sz w:val="18"/>
                <w:szCs w:val="18"/>
              </w:rPr>
              <w:t>31.12.2016</w:t>
            </w:r>
            <w:r w:rsidRPr="009F6ADE">
              <w:rPr>
                <w:rFonts w:ascii="Calibri" w:hAnsi="Calibri" w:cs="Arial"/>
                <w:b/>
                <w:bCs/>
                <w:color w:val="000000"/>
                <w:sz w:val="18"/>
                <w:szCs w:val="18"/>
              </w:rPr>
              <w:t>.</w:t>
            </w:r>
          </w:p>
        </w:tc>
      </w:tr>
      <w:tr w:rsidR="00F33730" w14:paraId="37ED94BA" w14:textId="77777777" w:rsidTr="00312975">
        <w:trPr>
          <w:trHeight w:val="133"/>
        </w:trPr>
        <w:tc>
          <w:tcPr>
            <w:tcW w:w="3489" w:type="dxa"/>
          </w:tcPr>
          <w:p w14:paraId="3368CEC6" w14:textId="77777777" w:rsidR="00F33730" w:rsidRDefault="00F33730" w:rsidP="00F33730">
            <w:pPr>
              <w:tabs>
                <w:tab w:val="left" w:pos="-720"/>
              </w:tabs>
              <w:jc w:val="both"/>
              <w:rPr>
                <w:rFonts w:cs="Calibri"/>
                <w:sz w:val="24"/>
                <w:szCs w:val="24"/>
                <w:lang w:eastAsia="hr-HR"/>
              </w:rPr>
            </w:pPr>
          </w:p>
        </w:tc>
        <w:tc>
          <w:tcPr>
            <w:tcW w:w="1686" w:type="dxa"/>
            <w:shd w:val="clear" w:color="auto" w:fill="auto"/>
            <w:vAlign w:val="center"/>
          </w:tcPr>
          <w:p w14:paraId="56D14510" w14:textId="77777777" w:rsidR="00F33730" w:rsidRDefault="00F33730" w:rsidP="00F33730">
            <w:pPr>
              <w:tabs>
                <w:tab w:val="left" w:pos="-720"/>
              </w:tabs>
              <w:jc w:val="right"/>
              <w:rPr>
                <w:rFonts w:ascii="Calibri" w:hAnsi="Calibri" w:cs="Arial"/>
                <w:b/>
                <w:bCs/>
                <w:color w:val="000000"/>
                <w:sz w:val="18"/>
                <w:szCs w:val="18"/>
              </w:rPr>
            </w:pPr>
          </w:p>
        </w:tc>
        <w:tc>
          <w:tcPr>
            <w:tcW w:w="1386" w:type="dxa"/>
            <w:shd w:val="clear" w:color="auto" w:fill="auto"/>
            <w:vAlign w:val="center"/>
          </w:tcPr>
          <w:p w14:paraId="35536D6D" w14:textId="77777777" w:rsidR="00F33730" w:rsidRDefault="00F33730" w:rsidP="00F33730">
            <w:pPr>
              <w:tabs>
                <w:tab w:val="left" w:pos="-720"/>
              </w:tabs>
              <w:jc w:val="right"/>
              <w:rPr>
                <w:rFonts w:ascii="Calibri" w:hAnsi="Calibri" w:cs="Arial"/>
                <w:b/>
                <w:bCs/>
                <w:color w:val="000000"/>
                <w:sz w:val="18"/>
                <w:szCs w:val="18"/>
              </w:rPr>
            </w:pPr>
          </w:p>
        </w:tc>
        <w:tc>
          <w:tcPr>
            <w:tcW w:w="1519" w:type="dxa"/>
            <w:shd w:val="clear" w:color="auto" w:fill="auto"/>
            <w:vAlign w:val="center"/>
          </w:tcPr>
          <w:p w14:paraId="5C99B6AD" w14:textId="77777777" w:rsidR="00F33730" w:rsidRDefault="00F33730" w:rsidP="00F33730">
            <w:pPr>
              <w:tabs>
                <w:tab w:val="left" w:pos="-720"/>
              </w:tabs>
              <w:jc w:val="right"/>
              <w:rPr>
                <w:rFonts w:ascii="Calibri" w:hAnsi="Calibri" w:cs="Arial"/>
                <w:b/>
                <w:bCs/>
                <w:color w:val="000000"/>
                <w:sz w:val="18"/>
                <w:szCs w:val="18"/>
              </w:rPr>
            </w:pPr>
          </w:p>
        </w:tc>
        <w:tc>
          <w:tcPr>
            <w:tcW w:w="1274" w:type="dxa"/>
            <w:shd w:val="clear" w:color="auto" w:fill="auto"/>
            <w:vAlign w:val="center"/>
          </w:tcPr>
          <w:p w14:paraId="10020103" w14:textId="77777777" w:rsidR="00F33730" w:rsidRDefault="00F33730" w:rsidP="00F33730">
            <w:pPr>
              <w:tabs>
                <w:tab w:val="left" w:pos="-720"/>
              </w:tabs>
              <w:jc w:val="right"/>
              <w:rPr>
                <w:rFonts w:ascii="Calibri" w:hAnsi="Calibri" w:cs="Arial"/>
                <w:b/>
                <w:bCs/>
                <w:color w:val="000000"/>
                <w:sz w:val="18"/>
                <w:szCs w:val="18"/>
              </w:rPr>
            </w:pPr>
          </w:p>
        </w:tc>
      </w:tr>
      <w:tr w:rsidR="00F33730" w14:paraId="4F84C2D3" w14:textId="462B7A26" w:rsidTr="00312975">
        <w:tc>
          <w:tcPr>
            <w:tcW w:w="3489" w:type="dxa"/>
            <w:shd w:val="clear" w:color="auto" w:fill="auto"/>
            <w:vAlign w:val="center"/>
          </w:tcPr>
          <w:p w14:paraId="373F0303" w14:textId="39DFA67E" w:rsidR="00F33730" w:rsidRDefault="00F33730" w:rsidP="00F33730">
            <w:pPr>
              <w:tabs>
                <w:tab w:val="left" w:pos="-720"/>
              </w:tabs>
              <w:jc w:val="both"/>
              <w:rPr>
                <w:rFonts w:cs="Calibri"/>
                <w:sz w:val="24"/>
                <w:szCs w:val="24"/>
                <w:lang w:eastAsia="hr-HR"/>
              </w:rPr>
            </w:pPr>
            <w:proofErr w:type="spellStart"/>
            <w:r w:rsidRPr="000063A9">
              <w:rPr>
                <w:rFonts w:ascii="Calibri" w:hAnsi="Calibri"/>
                <w:b/>
                <w:bCs/>
                <w:sz w:val="18"/>
                <w:szCs w:val="18"/>
                <w:lang w:eastAsia="hr-HR"/>
              </w:rPr>
              <w:t>Vlasnički</w:t>
            </w:r>
            <w:proofErr w:type="spellEnd"/>
            <w:r w:rsidRPr="000063A9">
              <w:rPr>
                <w:rFonts w:ascii="Calibri" w:hAnsi="Calibri"/>
                <w:b/>
                <w:bCs/>
                <w:sz w:val="18"/>
                <w:szCs w:val="18"/>
                <w:lang w:eastAsia="hr-HR"/>
              </w:rPr>
              <w:t xml:space="preserve"> </w:t>
            </w:r>
            <w:proofErr w:type="spellStart"/>
            <w:r w:rsidRPr="000063A9">
              <w:rPr>
                <w:rFonts w:ascii="Calibri" w:hAnsi="Calibri"/>
                <w:b/>
                <w:bCs/>
                <w:sz w:val="18"/>
                <w:szCs w:val="18"/>
                <w:lang w:eastAsia="hr-HR"/>
              </w:rPr>
              <w:t>vrijednosni</w:t>
            </w:r>
            <w:proofErr w:type="spellEnd"/>
            <w:r w:rsidRPr="000063A9">
              <w:rPr>
                <w:rFonts w:ascii="Calibri" w:hAnsi="Calibri"/>
                <w:b/>
                <w:bCs/>
                <w:sz w:val="18"/>
                <w:szCs w:val="18"/>
                <w:lang w:eastAsia="hr-HR"/>
              </w:rPr>
              <w:t xml:space="preserve"> </w:t>
            </w:r>
            <w:proofErr w:type="spellStart"/>
            <w:r w:rsidRPr="000063A9">
              <w:rPr>
                <w:rFonts w:ascii="Calibri" w:hAnsi="Calibri"/>
                <w:b/>
                <w:bCs/>
                <w:sz w:val="18"/>
                <w:szCs w:val="18"/>
                <w:lang w:eastAsia="hr-HR"/>
              </w:rPr>
              <w:t>papiri</w:t>
            </w:r>
            <w:proofErr w:type="spellEnd"/>
            <w:r w:rsidRPr="000063A9">
              <w:rPr>
                <w:rFonts w:ascii="Calibri" w:hAnsi="Calibri"/>
                <w:b/>
                <w:bCs/>
                <w:sz w:val="18"/>
                <w:szCs w:val="18"/>
                <w:lang w:eastAsia="hr-HR"/>
              </w:rPr>
              <w:t>:</w:t>
            </w:r>
          </w:p>
        </w:tc>
        <w:tc>
          <w:tcPr>
            <w:tcW w:w="1686" w:type="dxa"/>
            <w:vAlign w:val="bottom"/>
          </w:tcPr>
          <w:p w14:paraId="07634D9B" w14:textId="77777777" w:rsidR="00F33730" w:rsidRDefault="00F33730" w:rsidP="00F33730">
            <w:pPr>
              <w:tabs>
                <w:tab w:val="left" w:pos="-720"/>
              </w:tabs>
              <w:jc w:val="right"/>
              <w:rPr>
                <w:rFonts w:cs="Calibri"/>
                <w:sz w:val="24"/>
                <w:szCs w:val="24"/>
                <w:lang w:eastAsia="hr-HR"/>
              </w:rPr>
            </w:pPr>
          </w:p>
        </w:tc>
        <w:tc>
          <w:tcPr>
            <w:tcW w:w="1386" w:type="dxa"/>
            <w:vAlign w:val="bottom"/>
          </w:tcPr>
          <w:p w14:paraId="07A4D9AD" w14:textId="77777777" w:rsidR="00F33730" w:rsidRDefault="00F33730" w:rsidP="00F33730">
            <w:pPr>
              <w:tabs>
                <w:tab w:val="left" w:pos="-720"/>
              </w:tabs>
              <w:jc w:val="right"/>
              <w:rPr>
                <w:rFonts w:cs="Calibri"/>
                <w:sz w:val="24"/>
                <w:szCs w:val="24"/>
                <w:lang w:eastAsia="hr-HR"/>
              </w:rPr>
            </w:pPr>
          </w:p>
        </w:tc>
        <w:tc>
          <w:tcPr>
            <w:tcW w:w="1519" w:type="dxa"/>
            <w:vAlign w:val="bottom"/>
          </w:tcPr>
          <w:p w14:paraId="5A3F7552" w14:textId="77777777" w:rsidR="00F33730" w:rsidRDefault="00F33730" w:rsidP="00F33730">
            <w:pPr>
              <w:tabs>
                <w:tab w:val="left" w:pos="-720"/>
              </w:tabs>
              <w:jc w:val="right"/>
              <w:rPr>
                <w:rFonts w:cs="Calibri"/>
                <w:sz w:val="24"/>
                <w:szCs w:val="24"/>
                <w:lang w:eastAsia="hr-HR"/>
              </w:rPr>
            </w:pPr>
          </w:p>
        </w:tc>
        <w:tc>
          <w:tcPr>
            <w:tcW w:w="1274" w:type="dxa"/>
            <w:vAlign w:val="bottom"/>
          </w:tcPr>
          <w:p w14:paraId="0CF9CEBD" w14:textId="77777777" w:rsidR="00F33730" w:rsidRDefault="00F33730" w:rsidP="00F33730">
            <w:pPr>
              <w:tabs>
                <w:tab w:val="left" w:pos="-720"/>
              </w:tabs>
              <w:jc w:val="right"/>
              <w:rPr>
                <w:rFonts w:cs="Calibri"/>
                <w:sz w:val="24"/>
                <w:szCs w:val="24"/>
                <w:lang w:eastAsia="hr-HR"/>
              </w:rPr>
            </w:pPr>
          </w:p>
        </w:tc>
      </w:tr>
      <w:tr w:rsidR="00F33730" w14:paraId="2377ED81" w14:textId="667CCE59" w:rsidTr="00312975">
        <w:tc>
          <w:tcPr>
            <w:tcW w:w="3489" w:type="dxa"/>
            <w:shd w:val="clear" w:color="auto" w:fill="auto"/>
            <w:vAlign w:val="center"/>
          </w:tcPr>
          <w:p w14:paraId="3332F20B" w14:textId="5402F5D5" w:rsidR="00F33730" w:rsidRPr="004F15ED" w:rsidRDefault="00F33730" w:rsidP="00F33730">
            <w:pPr>
              <w:tabs>
                <w:tab w:val="left" w:pos="-720"/>
              </w:tabs>
              <w:jc w:val="both"/>
              <w:rPr>
                <w:rFonts w:cs="Calibri"/>
                <w:sz w:val="24"/>
                <w:szCs w:val="24"/>
                <w:lang w:val="hr-HR" w:eastAsia="hr-HR"/>
              </w:rPr>
            </w:pPr>
            <w:r w:rsidRPr="004F15ED">
              <w:rPr>
                <w:rFonts w:ascii="Calibri" w:hAnsi="Calibri"/>
                <w:sz w:val="18"/>
                <w:szCs w:val="18"/>
                <w:lang w:val="hr-HR" w:eastAsia="hr-HR"/>
              </w:rPr>
              <w:t>Vlasnički vrijednosni papiri koji kotiraju:</w:t>
            </w:r>
          </w:p>
        </w:tc>
        <w:tc>
          <w:tcPr>
            <w:tcW w:w="1686" w:type="dxa"/>
            <w:vAlign w:val="bottom"/>
          </w:tcPr>
          <w:p w14:paraId="447C5E39" w14:textId="77777777" w:rsidR="00F33730" w:rsidRPr="004F15ED" w:rsidRDefault="00F33730" w:rsidP="00F33730">
            <w:pPr>
              <w:tabs>
                <w:tab w:val="left" w:pos="-720"/>
              </w:tabs>
              <w:jc w:val="right"/>
              <w:rPr>
                <w:rFonts w:cs="Calibri"/>
                <w:sz w:val="24"/>
                <w:szCs w:val="24"/>
                <w:lang w:val="hr-HR" w:eastAsia="hr-HR"/>
              </w:rPr>
            </w:pPr>
          </w:p>
        </w:tc>
        <w:tc>
          <w:tcPr>
            <w:tcW w:w="1386" w:type="dxa"/>
            <w:shd w:val="clear" w:color="auto" w:fill="auto"/>
            <w:vAlign w:val="bottom"/>
          </w:tcPr>
          <w:p w14:paraId="72377C75" w14:textId="38B31874" w:rsidR="00F33730" w:rsidRPr="004F15ED" w:rsidRDefault="00F33730" w:rsidP="00F33730">
            <w:pPr>
              <w:tabs>
                <w:tab w:val="left" w:pos="-720"/>
              </w:tabs>
              <w:jc w:val="right"/>
              <w:rPr>
                <w:rFonts w:cs="Calibri"/>
                <w:sz w:val="24"/>
                <w:szCs w:val="24"/>
                <w:lang w:val="hr-HR" w:eastAsia="hr-HR"/>
              </w:rPr>
            </w:pPr>
          </w:p>
        </w:tc>
        <w:tc>
          <w:tcPr>
            <w:tcW w:w="1519" w:type="dxa"/>
            <w:shd w:val="clear" w:color="auto" w:fill="auto"/>
            <w:vAlign w:val="bottom"/>
          </w:tcPr>
          <w:p w14:paraId="55AE86D8" w14:textId="77777777" w:rsidR="00F33730" w:rsidRPr="004F15ED" w:rsidRDefault="00F33730" w:rsidP="00F33730">
            <w:pPr>
              <w:tabs>
                <w:tab w:val="left" w:pos="-720"/>
              </w:tabs>
              <w:jc w:val="right"/>
              <w:rPr>
                <w:rFonts w:cs="Calibri"/>
                <w:sz w:val="24"/>
                <w:szCs w:val="24"/>
                <w:lang w:val="hr-HR" w:eastAsia="hr-HR"/>
              </w:rPr>
            </w:pPr>
          </w:p>
        </w:tc>
        <w:tc>
          <w:tcPr>
            <w:tcW w:w="1274" w:type="dxa"/>
            <w:shd w:val="clear" w:color="auto" w:fill="auto"/>
            <w:vAlign w:val="bottom"/>
          </w:tcPr>
          <w:p w14:paraId="5D05142E" w14:textId="7FFA198C" w:rsidR="00F33730" w:rsidRPr="004F15ED" w:rsidRDefault="00F33730" w:rsidP="00F33730">
            <w:pPr>
              <w:tabs>
                <w:tab w:val="left" w:pos="-720"/>
              </w:tabs>
              <w:jc w:val="right"/>
              <w:rPr>
                <w:rFonts w:cs="Calibri"/>
                <w:sz w:val="24"/>
                <w:szCs w:val="24"/>
                <w:lang w:val="hr-HR" w:eastAsia="hr-HR"/>
              </w:rPr>
            </w:pPr>
          </w:p>
        </w:tc>
      </w:tr>
      <w:tr w:rsidR="00F33730" w14:paraId="7F89473B" w14:textId="26E41F79" w:rsidTr="00312975">
        <w:tc>
          <w:tcPr>
            <w:tcW w:w="3489" w:type="dxa"/>
            <w:tcBorders>
              <w:bottom w:val="single" w:sz="4" w:space="0" w:color="auto"/>
            </w:tcBorders>
            <w:shd w:val="clear" w:color="auto" w:fill="auto"/>
            <w:vAlign w:val="center"/>
          </w:tcPr>
          <w:p w14:paraId="4ADF29F5" w14:textId="109DBFDA" w:rsidR="00F33730" w:rsidRDefault="00F33730" w:rsidP="00F33730">
            <w:pPr>
              <w:tabs>
                <w:tab w:val="left" w:pos="-720"/>
              </w:tabs>
              <w:jc w:val="both"/>
              <w:rPr>
                <w:rFonts w:cs="Calibri"/>
                <w:sz w:val="24"/>
                <w:szCs w:val="24"/>
                <w:lang w:eastAsia="hr-HR"/>
              </w:rPr>
            </w:pPr>
            <w:proofErr w:type="spellStart"/>
            <w:r w:rsidRPr="000063A9">
              <w:rPr>
                <w:rFonts w:ascii="Calibri" w:hAnsi="Calibri"/>
                <w:sz w:val="18"/>
                <w:szCs w:val="18"/>
                <w:lang w:eastAsia="hr-HR"/>
              </w:rPr>
              <w:t>Dionice</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trgovačkih</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društava</w:t>
            </w:r>
            <w:proofErr w:type="spellEnd"/>
          </w:p>
        </w:tc>
        <w:tc>
          <w:tcPr>
            <w:tcW w:w="1686" w:type="dxa"/>
            <w:tcBorders>
              <w:bottom w:val="single" w:sz="4" w:space="0" w:color="auto"/>
            </w:tcBorders>
            <w:vAlign w:val="bottom"/>
          </w:tcPr>
          <w:p w14:paraId="6E596967" w14:textId="664ECBD2" w:rsidR="00F33730" w:rsidRPr="000E5941" w:rsidRDefault="007E02E9" w:rsidP="00F33730">
            <w:pPr>
              <w:tabs>
                <w:tab w:val="left" w:pos="-720"/>
              </w:tabs>
              <w:jc w:val="right"/>
              <w:rPr>
                <w:rFonts w:ascii="Calibri" w:hAnsi="Calibri"/>
                <w:sz w:val="18"/>
                <w:szCs w:val="18"/>
                <w:lang w:eastAsia="hr-HR"/>
              </w:rPr>
            </w:pPr>
            <w:r>
              <w:rPr>
                <w:rFonts w:ascii="Calibri" w:hAnsi="Calibri" w:cstheme="minorBidi"/>
                <w:sz w:val="18"/>
                <w:szCs w:val="18"/>
                <w:lang w:eastAsia="hr-HR"/>
              </w:rPr>
              <w:t>10.938</w:t>
            </w:r>
          </w:p>
        </w:tc>
        <w:tc>
          <w:tcPr>
            <w:tcW w:w="1386" w:type="dxa"/>
            <w:tcBorders>
              <w:bottom w:val="single" w:sz="4" w:space="0" w:color="auto"/>
            </w:tcBorders>
            <w:shd w:val="clear" w:color="auto" w:fill="auto"/>
            <w:vAlign w:val="bottom"/>
          </w:tcPr>
          <w:p w14:paraId="772D869B" w14:textId="0174E6CC" w:rsidR="00F33730" w:rsidRDefault="00F33730" w:rsidP="00F33730">
            <w:pPr>
              <w:tabs>
                <w:tab w:val="left" w:pos="-720"/>
              </w:tabs>
              <w:jc w:val="right"/>
              <w:rPr>
                <w:rFonts w:cs="Calibri"/>
                <w:sz w:val="24"/>
                <w:szCs w:val="24"/>
                <w:lang w:eastAsia="hr-HR"/>
              </w:rPr>
            </w:pPr>
            <w:r w:rsidRPr="000063A9">
              <w:rPr>
                <w:rFonts w:ascii="Calibri" w:hAnsi="Calibri"/>
                <w:sz w:val="18"/>
                <w:szCs w:val="18"/>
                <w:lang w:eastAsia="hr-HR"/>
              </w:rPr>
              <w:t>10.938</w:t>
            </w:r>
          </w:p>
        </w:tc>
        <w:tc>
          <w:tcPr>
            <w:tcW w:w="1519" w:type="dxa"/>
            <w:tcBorders>
              <w:bottom w:val="single" w:sz="4" w:space="0" w:color="auto"/>
            </w:tcBorders>
            <w:shd w:val="clear" w:color="auto" w:fill="auto"/>
            <w:vAlign w:val="bottom"/>
          </w:tcPr>
          <w:p w14:paraId="2891E19F" w14:textId="77EE22A9" w:rsidR="00F33730" w:rsidRPr="000E5941" w:rsidRDefault="007E02E9" w:rsidP="00F33730">
            <w:pPr>
              <w:tabs>
                <w:tab w:val="left" w:pos="-720"/>
              </w:tabs>
              <w:jc w:val="right"/>
              <w:rPr>
                <w:rFonts w:ascii="Calibri" w:hAnsi="Calibri"/>
                <w:sz w:val="18"/>
                <w:szCs w:val="18"/>
                <w:lang w:eastAsia="hr-HR"/>
              </w:rPr>
            </w:pPr>
            <w:r>
              <w:rPr>
                <w:rFonts w:ascii="Calibri" w:hAnsi="Calibri" w:cstheme="minorBidi"/>
                <w:sz w:val="18"/>
                <w:szCs w:val="18"/>
                <w:lang w:eastAsia="hr-HR"/>
              </w:rPr>
              <w:t>10.938</w:t>
            </w:r>
          </w:p>
        </w:tc>
        <w:tc>
          <w:tcPr>
            <w:tcW w:w="1274" w:type="dxa"/>
            <w:tcBorders>
              <w:bottom w:val="single" w:sz="4" w:space="0" w:color="auto"/>
            </w:tcBorders>
            <w:shd w:val="clear" w:color="auto" w:fill="auto"/>
            <w:vAlign w:val="bottom"/>
          </w:tcPr>
          <w:p w14:paraId="18983AFA" w14:textId="71935FF7" w:rsidR="00F33730" w:rsidRDefault="00F33730" w:rsidP="00F33730">
            <w:pPr>
              <w:tabs>
                <w:tab w:val="left" w:pos="-720"/>
              </w:tabs>
              <w:jc w:val="right"/>
              <w:rPr>
                <w:rFonts w:cs="Calibri"/>
                <w:sz w:val="24"/>
                <w:szCs w:val="24"/>
                <w:lang w:eastAsia="hr-HR"/>
              </w:rPr>
            </w:pPr>
            <w:r w:rsidRPr="000063A9">
              <w:rPr>
                <w:rFonts w:ascii="Calibri" w:hAnsi="Calibri"/>
                <w:sz w:val="18"/>
                <w:szCs w:val="18"/>
                <w:lang w:eastAsia="hr-HR"/>
              </w:rPr>
              <w:t>10.938</w:t>
            </w:r>
          </w:p>
        </w:tc>
      </w:tr>
      <w:tr w:rsidR="00F33730" w14:paraId="72960223" w14:textId="231B5061" w:rsidTr="00312975">
        <w:tc>
          <w:tcPr>
            <w:tcW w:w="3489" w:type="dxa"/>
            <w:tcBorders>
              <w:top w:val="single" w:sz="4" w:space="0" w:color="auto"/>
              <w:bottom w:val="single" w:sz="4" w:space="0" w:color="auto"/>
            </w:tcBorders>
          </w:tcPr>
          <w:p w14:paraId="507EA4A9" w14:textId="77777777" w:rsidR="00F33730" w:rsidRDefault="00F33730" w:rsidP="00F33730">
            <w:pPr>
              <w:tabs>
                <w:tab w:val="left" w:pos="-720"/>
              </w:tabs>
              <w:jc w:val="both"/>
              <w:rPr>
                <w:rFonts w:cs="Calibri"/>
                <w:sz w:val="24"/>
                <w:szCs w:val="24"/>
                <w:lang w:eastAsia="hr-HR"/>
              </w:rPr>
            </w:pPr>
          </w:p>
        </w:tc>
        <w:tc>
          <w:tcPr>
            <w:tcW w:w="1686" w:type="dxa"/>
            <w:tcBorders>
              <w:top w:val="single" w:sz="4" w:space="0" w:color="auto"/>
              <w:bottom w:val="single" w:sz="4" w:space="0" w:color="auto"/>
            </w:tcBorders>
            <w:vAlign w:val="bottom"/>
          </w:tcPr>
          <w:p w14:paraId="257FB58C" w14:textId="05B49267" w:rsidR="00F33730" w:rsidRPr="000E5941" w:rsidRDefault="007E02E9" w:rsidP="00F33730">
            <w:pPr>
              <w:tabs>
                <w:tab w:val="left" w:pos="-720"/>
              </w:tabs>
              <w:jc w:val="right"/>
              <w:rPr>
                <w:rFonts w:ascii="Calibri" w:hAnsi="Calibri"/>
                <w:b/>
                <w:sz w:val="18"/>
                <w:szCs w:val="18"/>
                <w:lang w:eastAsia="hr-HR"/>
              </w:rPr>
            </w:pPr>
            <w:r w:rsidRPr="007E02E9">
              <w:rPr>
                <w:rFonts w:ascii="Calibri" w:hAnsi="Calibri"/>
                <w:b/>
                <w:sz w:val="18"/>
                <w:szCs w:val="18"/>
                <w:lang w:eastAsia="hr-HR"/>
              </w:rPr>
              <w:t>10.938</w:t>
            </w:r>
          </w:p>
        </w:tc>
        <w:tc>
          <w:tcPr>
            <w:tcW w:w="1386" w:type="dxa"/>
            <w:tcBorders>
              <w:top w:val="single" w:sz="4" w:space="0" w:color="auto"/>
              <w:bottom w:val="single" w:sz="4" w:space="0" w:color="auto"/>
            </w:tcBorders>
            <w:shd w:val="clear" w:color="auto" w:fill="auto"/>
            <w:vAlign w:val="bottom"/>
          </w:tcPr>
          <w:p w14:paraId="2F6480A5" w14:textId="3DD58416" w:rsidR="00F33730" w:rsidRDefault="00F33730" w:rsidP="00F33730">
            <w:pPr>
              <w:tabs>
                <w:tab w:val="left" w:pos="-720"/>
              </w:tabs>
              <w:jc w:val="right"/>
              <w:rPr>
                <w:rFonts w:cs="Calibri"/>
                <w:sz w:val="24"/>
                <w:szCs w:val="24"/>
                <w:lang w:eastAsia="hr-HR"/>
              </w:rPr>
            </w:pPr>
            <w:r w:rsidRPr="000063A9">
              <w:rPr>
                <w:rFonts w:ascii="Calibri" w:hAnsi="Calibri"/>
                <w:b/>
                <w:bCs/>
                <w:sz w:val="18"/>
                <w:szCs w:val="18"/>
                <w:lang w:eastAsia="hr-HR"/>
              </w:rPr>
              <w:t>10.938</w:t>
            </w:r>
          </w:p>
        </w:tc>
        <w:tc>
          <w:tcPr>
            <w:tcW w:w="1519" w:type="dxa"/>
            <w:tcBorders>
              <w:top w:val="single" w:sz="4" w:space="0" w:color="auto"/>
              <w:bottom w:val="single" w:sz="4" w:space="0" w:color="auto"/>
            </w:tcBorders>
            <w:shd w:val="clear" w:color="auto" w:fill="auto"/>
            <w:vAlign w:val="bottom"/>
          </w:tcPr>
          <w:p w14:paraId="3DA80A0A" w14:textId="7B612732" w:rsidR="00F33730" w:rsidRPr="000E5941" w:rsidRDefault="007E02E9" w:rsidP="00F33730">
            <w:pPr>
              <w:tabs>
                <w:tab w:val="left" w:pos="-720"/>
              </w:tabs>
              <w:jc w:val="right"/>
              <w:rPr>
                <w:rFonts w:ascii="Calibri" w:hAnsi="Calibri"/>
                <w:b/>
                <w:sz w:val="18"/>
                <w:szCs w:val="18"/>
                <w:lang w:eastAsia="hr-HR"/>
              </w:rPr>
            </w:pPr>
            <w:r w:rsidRPr="007E02E9">
              <w:rPr>
                <w:rFonts w:ascii="Calibri" w:hAnsi="Calibri"/>
                <w:b/>
                <w:sz w:val="18"/>
                <w:szCs w:val="18"/>
                <w:lang w:eastAsia="hr-HR"/>
              </w:rPr>
              <w:t>10.938</w:t>
            </w:r>
          </w:p>
        </w:tc>
        <w:tc>
          <w:tcPr>
            <w:tcW w:w="1274" w:type="dxa"/>
            <w:tcBorders>
              <w:top w:val="single" w:sz="4" w:space="0" w:color="auto"/>
              <w:bottom w:val="single" w:sz="4" w:space="0" w:color="auto"/>
            </w:tcBorders>
            <w:shd w:val="clear" w:color="auto" w:fill="auto"/>
            <w:vAlign w:val="bottom"/>
          </w:tcPr>
          <w:p w14:paraId="69E75E9F" w14:textId="4339157C" w:rsidR="00F33730" w:rsidRDefault="00F33730" w:rsidP="00F33730">
            <w:pPr>
              <w:tabs>
                <w:tab w:val="left" w:pos="-720"/>
              </w:tabs>
              <w:jc w:val="right"/>
              <w:rPr>
                <w:rFonts w:cs="Calibri"/>
                <w:sz w:val="24"/>
                <w:szCs w:val="24"/>
                <w:lang w:eastAsia="hr-HR"/>
              </w:rPr>
            </w:pPr>
            <w:r w:rsidRPr="000063A9">
              <w:rPr>
                <w:rFonts w:ascii="Calibri" w:hAnsi="Calibri"/>
                <w:b/>
                <w:bCs/>
                <w:sz w:val="18"/>
                <w:szCs w:val="18"/>
                <w:lang w:eastAsia="hr-HR"/>
              </w:rPr>
              <w:t>10.938</w:t>
            </w:r>
          </w:p>
        </w:tc>
      </w:tr>
      <w:tr w:rsidR="00F33730" w14:paraId="1F297738" w14:textId="77777777" w:rsidTr="00312975">
        <w:tc>
          <w:tcPr>
            <w:tcW w:w="3489" w:type="dxa"/>
            <w:tcBorders>
              <w:top w:val="single" w:sz="4" w:space="0" w:color="auto"/>
            </w:tcBorders>
          </w:tcPr>
          <w:p w14:paraId="00CED733" w14:textId="77777777" w:rsidR="00F33730" w:rsidRDefault="00F33730" w:rsidP="00F33730">
            <w:pPr>
              <w:tabs>
                <w:tab w:val="left" w:pos="-720"/>
              </w:tabs>
              <w:jc w:val="both"/>
              <w:rPr>
                <w:rFonts w:cs="Calibri"/>
                <w:sz w:val="24"/>
                <w:szCs w:val="24"/>
                <w:lang w:eastAsia="hr-HR"/>
              </w:rPr>
            </w:pPr>
          </w:p>
        </w:tc>
        <w:tc>
          <w:tcPr>
            <w:tcW w:w="1686" w:type="dxa"/>
            <w:tcBorders>
              <w:top w:val="single" w:sz="4" w:space="0" w:color="auto"/>
            </w:tcBorders>
            <w:vAlign w:val="bottom"/>
          </w:tcPr>
          <w:p w14:paraId="1A226F42" w14:textId="77777777" w:rsidR="00F33730" w:rsidRDefault="00F33730" w:rsidP="00F33730">
            <w:pPr>
              <w:tabs>
                <w:tab w:val="left" w:pos="-720"/>
              </w:tabs>
              <w:jc w:val="right"/>
              <w:rPr>
                <w:rFonts w:cs="Calibri"/>
                <w:sz w:val="24"/>
                <w:szCs w:val="24"/>
                <w:lang w:eastAsia="hr-HR"/>
              </w:rPr>
            </w:pPr>
          </w:p>
        </w:tc>
        <w:tc>
          <w:tcPr>
            <w:tcW w:w="1386" w:type="dxa"/>
            <w:tcBorders>
              <w:top w:val="single" w:sz="4" w:space="0" w:color="auto"/>
            </w:tcBorders>
            <w:shd w:val="clear" w:color="auto" w:fill="auto"/>
            <w:vAlign w:val="bottom"/>
          </w:tcPr>
          <w:p w14:paraId="36130581" w14:textId="77777777" w:rsidR="00F33730" w:rsidRPr="000063A9" w:rsidRDefault="00F33730" w:rsidP="00F33730">
            <w:pPr>
              <w:tabs>
                <w:tab w:val="left" w:pos="-720"/>
              </w:tabs>
              <w:jc w:val="right"/>
              <w:rPr>
                <w:rFonts w:ascii="Calibri" w:hAnsi="Calibri"/>
                <w:b/>
                <w:bCs/>
                <w:sz w:val="18"/>
                <w:szCs w:val="18"/>
                <w:lang w:eastAsia="hr-HR"/>
              </w:rPr>
            </w:pPr>
          </w:p>
        </w:tc>
        <w:tc>
          <w:tcPr>
            <w:tcW w:w="1519" w:type="dxa"/>
            <w:tcBorders>
              <w:top w:val="single" w:sz="4" w:space="0" w:color="auto"/>
            </w:tcBorders>
            <w:shd w:val="clear" w:color="auto" w:fill="auto"/>
            <w:vAlign w:val="bottom"/>
          </w:tcPr>
          <w:p w14:paraId="12C6F2A1" w14:textId="77777777" w:rsidR="00F33730" w:rsidRDefault="00F33730" w:rsidP="00F33730">
            <w:pPr>
              <w:tabs>
                <w:tab w:val="left" w:pos="-720"/>
              </w:tabs>
              <w:jc w:val="right"/>
              <w:rPr>
                <w:rFonts w:cs="Calibri"/>
                <w:sz w:val="24"/>
                <w:szCs w:val="24"/>
                <w:lang w:eastAsia="hr-HR"/>
              </w:rPr>
            </w:pPr>
          </w:p>
        </w:tc>
        <w:tc>
          <w:tcPr>
            <w:tcW w:w="1274" w:type="dxa"/>
            <w:tcBorders>
              <w:top w:val="single" w:sz="4" w:space="0" w:color="auto"/>
            </w:tcBorders>
            <w:shd w:val="clear" w:color="auto" w:fill="auto"/>
            <w:vAlign w:val="bottom"/>
          </w:tcPr>
          <w:p w14:paraId="7556D4AA" w14:textId="77777777" w:rsidR="00F33730" w:rsidRPr="000063A9" w:rsidRDefault="00F33730" w:rsidP="00F33730">
            <w:pPr>
              <w:tabs>
                <w:tab w:val="left" w:pos="-720"/>
              </w:tabs>
              <w:jc w:val="right"/>
              <w:rPr>
                <w:rFonts w:ascii="Calibri" w:hAnsi="Calibri"/>
                <w:b/>
                <w:bCs/>
                <w:sz w:val="18"/>
                <w:szCs w:val="18"/>
                <w:lang w:eastAsia="hr-HR"/>
              </w:rPr>
            </w:pPr>
          </w:p>
        </w:tc>
      </w:tr>
      <w:tr w:rsidR="007E02E9" w14:paraId="6B65F148" w14:textId="77777777" w:rsidTr="00312975">
        <w:tc>
          <w:tcPr>
            <w:tcW w:w="3489" w:type="dxa"/>
            <w:shd w:val="clear" w:color="auto" w:fill="auto"/>
            <w:vAlign w:val="center"/>
          </w:tcPr>
          <w:p w14:paraId="6F27AABE" w14:textId="219545ED" w:rsidR="007E02E9" w:rsidRPr="004F15ED" w:rsidRDefault="007E02E9" w:rsidP="007E02E9">
            <w:pPr>
              <w:tabs>
                <w:tab w:val="left" w:pos="-720"/>
              </w:tabs>
              <w:jc w:val="both"/>
              <w:rPr>
                <w:rFonts w:cs="Calibri"/>
                <w:sz w:val="24"/>
                <w:szCs w:val="24"/>
                <w:lang w:val="hr-HR" w:eastAsia="hr-HR"/>
              </w:rPr>
            </w:pPr>
            <w:r w:rsidRPr="004F15ED">
              <w:rPr>
                <w:rFonts w:ascii="Calibri" w:hAnsi="Calibri"/>
                <w:sz w:val="18"/>
                <w:szCs w:val="18"/>
                <w:lang w:val="hr-HR" w:eastAsia="hr-HR"/>
              </w:rPr>
              <w:t>Vlasnički vrijednosni papiri koji ne kotiraju:</w:t>
            </w:r>
          </w:p>
        </w:tc>
        <w:tc>
          <w:tcPr>
            <w:tcW w:w="1686" w:type="dxa"/>
          </w:tcPr>
          <w:p w14:paraId="5FCE317C" w14:textId="65B0B92B" w:rsidR="007E02E9" w:rsidRPr="00312975" w:rsidRDefault="007E02E9" w:rsidP="007E02E9">
            <w:pPr>
              <w:tabs>
                <w:tab w:val="left" w:pos="-720"/>
              </w:tabs>
              <w:jc w:val="right"/>
              <w:rPr>
                <w:rFonts w:ascii="Calibri" w:hAnsi="Calibri"/>
                <w:sz w:val="18"/>
                <w:szCs w:val="18"/>
                <w:lang w:eastAsia="hr-HR"/>
              </w:rPr>
            </w:pPr>
          </w:p>
        </w:tc>
        <w:tc>
          <w:tcPr>
            <w:tcW w:w="1386" w:type="dxa"/>
          </w:tcPr>
          <w:p w14:paraId="044D42A2" w14:textId="47BCA447" w:rsidR="007E02E9" w:rsidRPr="00312975" w:rsidRDefault="007E02E9" w:rsidP="007E02E9">
            <w:pPr>
              <w:tabs>
                <w:tab w:val="left" w:pos="-720"/>
              </w:tabs>
              <w:jc w:val="right"/>
              <w:rPr>
                <w:rFonts w:ascii="Calibri" w:hAnsi="Calibri"/>
                <w:sz w:val="18"/>
                <w:szCs w:val="18"/>
                <w:lang w:eastAsia="hr-HR"/>
              </w:rPr>
            </w:pPr>
          </w:p>
        </w:tc>
        <w:tc>
          <w:tcPr>
            <w:tcW w:w="1519" w:type="dxa"/>
            <w:tcBorders>
              <w:top w:val="nil"/>
              <w:left w:val="nil"/>
              <w:bottom w:val="nil"/>
              <w:right w:val="nil"/>
            </w:tcBorders>
            <w:shd w:val="clear" w:color="auto" w:fill="auto"/>
            <w:vAlign w:val="center"/>
          </w:tcPr>
          <w:p w14:paraId="2301F980" w14:textId="2AF702B9" w:rsidR="007E02E9" w:rsidRPr="00312975" w:rsidRDefault="007E02E9" w:rsidP="007E02E9">
            <w:pPr>
              <w:tabs>
                <w:tab w:val="left" w:pos="-720"/>
              </w:tabs>
              <w:jc w:val="right"/>
              <w:rPr>
                <w:rFonts w:ascii="Calibri" w:hAnsi="Calibri"/>
                <w:sz w:val="18"/>
                <w:szCs w:val="18"/>
                <w:lang w:eastAsia="hr-HR"/>
              </w:rPr>
            </w:pPr>
          </w:p>
        </w:tc>
        <w:tc>
          <w:tcPr>
            <w:tcW w:w="1274" w:type="dxa"/>
          </w:tcPr>
          <w:p w14:paraId="1DCD6344" w14:textId="61303F42" w:rsidR="007E02E9" w:rsidRPr="00312975" w:rsidRDefault="007E02E9" w:rsidP="007E02E9">
            <w:pPr>
              <w:tabs>
                <w:tab w:val="left" w:pos="-720"/>
              </w:tabs>
              <w:jc w:val="right"/>
              <w:rPr>
                <w:rFonts w:ascii="Calibri" w:hAnsi="Calibri"/>
                <w:sz w:val="18"/>
                <w:szCs w:val="18"/>
                <w:lang w:eastAsia="hr-HR"/>
              </w:rPr>
            </w:pPr>
          </w:p>
        </w:tc>
      </w:tr>
      <w:tr w:rsidR="000B59D9" w14:paraId="573E3E13" w14:textId="77777777" w:rsidTr="00312975">
        <w:tc>
          <w:tcPr>
            <w:tcW w:w="3489" w:type="dxa"/>
            <w:shd w:val="clear" w:color="auto" w:fill="auto"/>
            <w:vAlign w:val="center"/>
          </w:tcPr>
          <w:p w14:paraId="52CE436C" w14:textId="76A85A41" w:rsidR="000B59D9" w:rsidRDefault="000B59D9" w:rsidP="000B59D9">
            <w:pPr>
              <w:tabs>
                <w:tab w:val="left" w:pos="-720"/>
              </w:tabs>
              <w:jc w:val="both"/>
              <w:rPr>
                <w:rFonts w:cs="Calibri"/>
                <w:sz w:val="24"/>
                <w:szCs w:val="24"/>
                <w:lang w:eastAsia="hr-HR"/>
              </w:rPr>
            </w:pPr>
            <w:proofErr w:type="spellStart"/>
            <w:r w:rsidRPr="000063A9">
              <w:rPr>
                <w:rFonts w:ascii="Calibri" w:hAnsi="Calibri"/>
                <w:sz w:val="18"/>
                <w:szCs w:val="18"/>
                <w:lang w:eastAsia="hr-HR"/>
              </w:rPr>
              <w:t>Dionice</w:t>
            </w:r>
            <w:proofErr w:type="spellEnd"/>
            <w:r w:rsidRPr="000063A9">
              <w:rPr>
                <w:rFonts w:ascii="Calibri" w:hAnsi="Calibri"/>
                <w:sz w:val="18"/>
                <w:szCs w:val="18"/>
                <w:lang w:eastAsia="hr-HR"/>
              </w:rPr>
              <w:t xml:space="preserve"> u </w:t>
            </w:r>
            <w:proofErr w:type="spellStart"/>
            <w:r w:rsidRPr="000063A9">
              <w:rPr>
                <w:rFonts w:ascii="Calibri" w:hAnsi="Calibri"/>
                <w:sz w:val="18"/>
                <w:szCs w:val="18"/>
                <w:lang w:eastAsia="hr-HR"/>
              </w:rPr>
              <w:t>devizama</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inozemnih</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pravnih</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osoba</w:t>
            </w:r>
            <w:proofErr w:type="spellEnd"/>
          </w:p>
        </w:tc>
        <w:tc>
          <w:tcPr>
            <w:tcW w:w="1686" w:type="dxa"/>
          </w:tcPr>
          <w:p w14:paraId="4DFD5548" w14:textId="5929A8B1" w:rsidR="000B59D9" w:rsidRPr="00257CDB" w:rsidRDefault="000B59D9" w:rsidP="000B59D9">
            <w:pPr>
              <w:tabs>
                <w:tab w:val="left" w:pos="-720"/>
              </w:tabs>
              <w:jc w:val="right"/>
              <w:rPr>
                <w:rFonts w:ascii="Calibri" w:hAnsi="Calibri" w:cstheme="minorBidi"/>
                <w:sz w:val="18"/>
                <w:szCs w:val="18"/>
                <w:lang w:eastAsia="hr-HR"/>
              </w:rPr>
            </w:pPr>
            <w:r w:rsidRPr="00312975">
              <w:rPr>
                <w:rFonts w:ascii="Calibri" w:hAnsi="Calibri"/>
                <w:sz w:val="18"/>
                <w:szCs w:val="18"/>
                <w:lang w:eastAsia="hr-HR"/>
              </w:rPr>
              <w:t>32</w:t>
            </w:r>
          </w:p>
        </w:tc>
        <w:tc>
          <w:tcPr>
            <w:tcW w:w="1386" w:type="dxa"/>
            <w:tcBorders>
              <w:top w:val="nil"/>
              <w:left w:val="nil"/>
              <w:bottom w:val="nil"/>
              <w:right w:val="nil"/>
            </w:tcBorders>
            <w:shd w:val="clear" w:color="auto" w:fill="auto"/>
          </w:tcPr>
          <w:p w14:paraId="0ABD9D33" w14:textId="2E396E23" w:rsidR="000B59D9" w:rsidRPr="00312975" w:rsidRDefault="000B59D9" w:rsidP="000B59D9">
            <w:pPr>
              <w:tabs>
                <w:tab w:val="left" w:pos="-720"/>
              </w:tabs>
              <w:jc w:val="right"/>
              <w:rPr>
                <w:rFonts w:ascii="Calibri" w:hAnsi="Calibri" w:cstheme="minorBidi"/>
                <w:sz w:val="18"/>
                <w:szCs w:val="18"/>
                <w:lang w:eastAsia="hr-HR"/>
              </w:rPr>
            </w:pPr>
            <w:r w:rsidRPr="00312975">
              <w:rPr>
                <w:rFonts w:ascii="Calibri" w:hAnsi="Calibri"/>
                <w:sz w:val="18"/>
                <w:szCs w:val="18"/>
                <w:lang w:eastAsia="hr-HR"/>
              </w:rPr>
              <w:t>32</w:t>
            </w:r>
          </w:p>
        </w:tc>
        <w:tc>
          <w:tcPr>
            <w:tcW w:w="1519" w:type="dxa"/>
            <w:tcBorders>
              <w:top w:val="nil"/>
              <w:left w:val="nil"/>
              <w:bottom w:val="nil"/>
              <w:right w:val="nil"/>
            </w:tcBorders>
            <w:shd w:val="clear" w:color="auto" w:fill="auto"/>
          </w:tcPr>
          <w:p w14:paraId="2744728A" w14:textId="6C42F467" w:rsidR="000B59D9" w:rsidRPr="00257CDB" w:rsidRDefault="000B59D9" w:rsidP="000B59D9">
            <w:pPr>
              <w:tabs>
                <w:tab w:val="left" w:pos="-720"/>
              </w:tabs>
              <w:jc w:val="right"/>
              <w:rPr>
                <w:rFonts w:ascii="Calibri" w:hAnsi="Calibri" w:cstheme="minorBidi"/>
                <w:sz w:val="18"/>
                <w:szCs w:val="18"/>
                <w:lang w:eastAsia="hr-HR"/>
              </w:rPr>
            </w:pPr>
            <w:r w:rsidRPr="00312975">
              <w:rPr>
                <w:rFonts w:ascii="Calibri" w:hAnsi="Calibri"/>
                <w:sz w:val="18"/>
                <w:szCs w:val="18"/>
                <w:lang w:eastAsia="hr-HR"/>
              </w:rPr>
              <w:t>32</w:t>
            </w:r>
          </w:p>
        </w:tc>
        <w:tc>
          <w:tcPr>
            <w:tcW w:w="1274" w:type="dxa"/>
            <w:tcBorders>
              <w:top w:val="nil"/>
              <w:left w:val="nil"/>
              <w:bottom w:val="nil"/>
              <w:right w:val="nil"/>
            </w:tcBorders>
            <w:shd w:val="clear" w:color="auto" w:fill="auto"/>
          </w:tcPr>
          <w:p w14:paraId="07EAD6C7" w14:textId="5FA6FC64" w:rsidR="000B59D9" w:rsidRPr="00312975" w:rsidRDefault="000B59D9" w:rsidP="000B59D9">
            <w:pPr>
              <w:tabs>
                <w:tab w:val="left" w:pos="-720"/>
              </w:tabs>
              <w:jc w:val="right"/>
              <w:rPr>
                <w:rFonts w:ascii="Calibri" w:hAnsi="Calibri" w:cstheme="minorBidi"/>
                <w:sz w:val="18"/>
                <w:szCs w:val="18"/>
                <w:lang w:eastAsia="hr-HR"/>
              </w:rPr>
            </w:pPr>
            <w:r w:rsidRPr="00312975">
              <w:rPr>
                <w:rFonts w:ascii="Calibri" w:hAnsi="Calibri"/>
                <w:sz w:val="18"/>
                <w:szCs w:val="18"/>
                <w:lang w:eastAsia="hr-HR"/>
              </w:rPr>
              <w:t>32</w:t>
            </w:r>
          </w:p>
        </w:tc>
      </w:tr>
      <w:tr w:rsidR="000B59D9" w14:paraId="3ED8E1CA" w14:textId="77777777" w:rsidTr="00312975">
        <w:tc>
          <w:tcPr>
            <w:tcW w:w="3489" w:type="dxa"/>
            <w:shd w:val="clear" w:color="auto" w:fill="auto"/>
            <w:vAlign w:val="center"/>
          </w:tcPr>
          <w:p w14:paraId="2E0F4251" w14:textId="339B628E" w:rsidR="000B59D9" w:rsidRDefault="000B59D9" w:rsidP="000B59D9">
            <w:pPr>
              <w:tabs>
                <w:tab w:val="left" w:pos="-720"/>
              </w:tabs>
              <w:jc w:val="both"/>
              <w:rPr>
                <w:rFonts w:cs="Calibri"/>
                <w:sz w:val="24"/>
                <w:szCs w:val="24"/>
                <w:lang w:eastAsia="hr-HR"/>
              </w:rPr>
            </w:pPr>
            <w:proofErr w:type="spellStart"/>
            <w:r w:rsidRPr="000063A9">
              <w:rPr>
                <w:rFonts w:ascii="Calibri" w:hAnsi="Calibri"/>
                <w:sz w:val="18"/>
                <w:szCs w:val="18"/>
                <w:lang w:eastAsia="hr-HR"/>
              </w:rPr>
              <w:t>Dionice</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financijskih</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institucija</w:t>
            </w:r>
            <w:proofErr w:type="spellEnd"/>
          </w:p>
        </w:tc>
        <w:tc>
          <w:tcPr>
            <w:tcW w:w="1686" w:type="dxa"/>
          </w:tcPr>
          <w:p w14:paraId="1A6FE61C" w14:textId="242D749A" w:rsidR="000B59D9" w:rsidRPr="00257CDB" w:rsidRDefault="000B59D9" w:rsidP="000B59D9">
            <w:pPr>
              <w:tabs>
                <w:tab w:val="left" w:pos="-720"/>
              </w:tabs>
              <w:jc w:val="right"/>
              <w:rPr>
                <w:rFonts w:ascii="Calibri" w:hAnsi="Calibri" w:cstheme="minorBidi"/>
                <w:sz w:val="18"/>
                <w:szCs w:val="18"/>
                <w:lang w:eastAsia="hr-HR"/>
              </w:rPr>
            </w:pPr>
            <w:r w:rsidRPr="00312975">
              <w:rPr>
                <w:rFonts w:ascii="Calibri" w:hAnsi="Calibri"/>
                <w:sz w:val="18"/>
                <w:szCs w:val="18"/>
                <w:lang w:eastAsia="hr-HR"/>
              </w:rPr>
              <w:t>161</w:t>
            </w:r>
          </w:p>
        </w:tc>
        <w:tc>
          <w:tcPr>
            <w:tcW w:w="1386" w:type="dxa"/>
            <w:tcBorders>
              <w:top w:val="nil"/>
              <w:left w:val="nil"/>
              <w:bottom w:val="nil"/>
              <w:right w:val="nil"/>
            </w:tcBorders>
            <w:shd w:val="clear" w:color="auto" w:fill="auto"/>
          </w:tcPr>
          <w:p w14:paraId="51DB7AFD" w14:textId="7EDEFD7A" w:rsidR="000B59D9" w:rsidRPr="00312975" w:rsidRDefault="000B59D9" w:rsidP="000B59D9">
            <w:pPr>
              <w:tabs>
                <w:tab w:val="left" w:pos="-720"/>
              </w:tabs>
              <w:jc w:val="right"/>
              <w:rPr>
                <w:rFonts w:ascii="Calibri" w:hAnsi="Calibri" w:cstheme="minorBidi"/>
                <w:sz w:val="18"/>
                <w:szCs w:val="18"/>
                <w:lang w:eastAsia="hr-HR"/>
              </w:rPr>
            </w:pPr>
            <w:r w:rsidRPr="00312975">
              <w:rPr>
                <w:rFonts w:ascii="Calibri" w:hAnsi="Calibri"/>
                <w:sz w:val="18"/>
                <w:szCs w:val="18"/>
                <w:lang w:eastAsia="hr-HR"/>
              </w:rPr>
              <w:t>161</w:t>
            </w:r>
          </w:p>
        </w:tc>
        <w:tc>
          <w:tcPr>
            <w:tcW w:w="1519" w:type="dxa"/>
            <w:tcBorders>
              <w:top w:val="nil"/>
              <w:left w:val="nil"/>
              <w:bottom w:val="nil"/>
              <w:right w:val="nil"/>
            </w:tcBorders>
            <w:shd w:val="clear" w:color="auto" w:fill="auto"/>
          </w:tcPr>
          <w:p w14:paraId="6C0A2C4D" w14:textId="4BAF20BD" w:rsidR="000B59D9" w:rsidRPr="00257CDB" w:rsidRDefault="000B59D9" w:rsidP="000B59D9">
            <w:pPr>
              <w:tabs>
                <w:tab w:val="left" w:pos="-720"/>
              </w:tabs>
              <w:jc w:val="right"/>
              <w:rPr>
                <w:rFonts w:ascii="Calibri" w:hAnsi="Calibri" w:cstheme="minorBidi"/>
                <w:sz w:val="18"/>
                <w:szCs w:val="18"/>
                <w:lang w:eastAsia="hr-HR"/>
              </w:rPr>
            </w:pPr>
            <w:r w:rsidRPr="00312975">
              <w:rPr>
                <w:rFonts w:ascii="Calibri" w:hAnsi="Calibri"/>
                <w:sz w:val="18"/>
                <w:szCs w:val="18"/>
                <w:lang w:eastAsia="hr-HR"/>
              </w:rPr>
              <w:t>161</w:t>
            </w:r>
          </w:p>
        </w:tc>
        <w:tc>
          <w:tcPr>
            <w:tcW w:w="1274" w:type="dxa"/>
            <w:tcBorders>
              <w:top w:val="nil"/>
              <w:left w:val="nil"/>
              <w:bottom w:val="nil"/>
              <w:right w:val="nil"/>
            </w:tcBorders>
            <w:shd w:val="clear" w:color="auto" w:fill="auto"/>
          </w:tcPr>
          <w:p w14:paraId="5D52717E" w14:textId="1887D066" w:rsidR="000B59D9" w:rsidRPr="00312975" w:rsidRDefault="000B59D9" w:rsidP="000B59D9">
            <w:pPr>
              <w:tabs>
                <w:tab w:val="left" w:pos="-720"/>
              </w:tabs>
              <w:jc w:val="right"/>
              <w:rPr>
                <w:rFonts w:ascii="Calibri" w:hAnsi="Calibri" w:cstheme="minorBidi"/>
                <w:sz w:val="18"/>
                <w:szCs w:val="18"/>
                <w:lang w:eastAsia="hr-HR"/>
              </w:rPr>
            </w:pPr>
            <w:r w:rsidRPr="00312975">
              <w:rPr>
                <w:rFonts w:ascii="Calibri" w:hAnsi="Calibri"/>
                <w:sz w:val="18"/>
                <w:szCs w:val="18"/>
                <w:lang w:eastAsia="hr-HR"/>
              </w:rPr>
              <w:t>161</w:t>
            </w:r>
          </w:p>
        </w:tc>
      </w:tr>
      <w:tr w:rsidR="000B59D9" w14:paraId="73552CB1" w14:textId="77777777" w:rsidTr="00312975">
        <w:tc>
          <w:tcPr>
            <w:tcW w:w="3489" w:type="dxa"/>
            <w:shd w:val="clear" w:color="auto" w:fill="auto"/>
            <w:vAlign w:val="center"/>
          </w:tcPr>
          <w:p w14:paraId="22257E4F" w14:textId="6B20ADA3" w:rsidR="000B59D9" w:rsidRDefault="000B59D9" w:rsidP="000B59D9">
            <w:pPr>
              <w:tabs>
                <w:tab w:val="left" w:pos="-720"/>
              </w:tabs>
              <w:jc w:val="both"/>
              <w:rPr>
                <w:rFonts w:cs="Calibri"/>
                <w:sz w:val="24"/>
                <w:szCs w:val="24"/>
                <w:lang w:eastAsia="hr-HR"/>
              </w:rPr>
            </w:pPr>
            <w:proofErr w:type="spellStart"/>
            <w:r w:rsidRPr="000063A9">
              <w:rPr>
                <w:rFonts w:ascii="Calibri" w:hAnsi="Calibri"/>
                <w:sz w:val="18"/>
                <w:szCs w:val="18"/>
                <w:lang w:eastAsia="hr-HR"/>
              </w:rPr>
              <w:t>Dionice</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inozemnih</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financijskih</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institucija</w:t>
            </w:r>
            <w:proofErr w:type="spellEnd"/>
            <w:r w:rsidRPr="000063A9">
              <w:rPr>
                <w:rFonts w:ascii="Calibri" w:hAnsi="Calibri"/>
                <w:sz w:val="18"/>
                <w:szCs w:val="18"/>
                <w:lang w:eastAsia="hr-HR"/>
              </w:rPr>
              <w:t xml:space="preserve"> - EIF</w:t>
            </w:r>
          </w:p>
        </w:tc>
        <w:tc>
          <w:tcPr>
            <w:tcW w:w="1686" w:type="dxa"/>
          </w:tcPr>
          <w:p w14:paraId="136B6455" w14:textId="2D529573" w:rsidR="000B59D9" w:rsidRPr="00257CDB" w:rsidRDefault="000B59D9" w:rsidP="000B59D9">
            <w:pPr>
              <w:tabs>
                <w:tab w:val="left" w:pos="-720"/>
              </w:tabs>
              <w:jc w:val="right"/>
              <w:rPr>
                <w:rFonts w:ascii="Calibri" w:hAnsi="Calibri" w:cstheme="minorBidi"/>
                <w:sz w:val="18"/>
                <w:szCs w:val="18"/>
                <w:lang w:eastAsia="hr-HR"/>
              </w:rPr>
            </w:pPr>
            <w:r w:rsidRPr="00312975">
              <w:rPr>
                <w:rFonts w:ascii="Calibri" w:hAnsi="Calibri"/>
                <w:sz w:val="18"/>
                <w:szCs w:val="18"/>
                <w:lang w:eastAsia="hr-HR"/>
              </w:rPr>
              <w:t>25.065</w:t>
            </w:r>
          </w:p>
        </w:tc>
        <w:tc>
          <w:tcPr>
            <w:tcW w:w="1386" w:type="dxa"/>
            <w:tcBorders>
              <w:top w:val="nil"/>
              <w:left w:val="nil"/>
              <w:right w:val="nil"/>
            </w:tcBorders>
            <w:shd w:val="clear" w:color="auto" w:fill="auto"/>
          </w:tcPr>
          <w:p w14:paraId="19F4DD3C" w14:textId="543C1FB0" w:rsidR="000B59D9" w:rsidRPr="00312975" w:rsidRDefault="000B59D9" w:rsidP="000B59D9">
            <w:pPr>
              <w:tabs>
                <w:tab w:val="left" w:pos="-720"/>
              </w:tabs>
              <w:jc w:val="right"/>
              <w:rPr>
                <w:rFonts w:ascii="Calibri" w:hAnsi="Calibri" w:cstheme="minorBidi"/>
                <w:sz w:val="18"/>
                <w:szCs w:val="18"/>
                <w:lang w:eastAsia="hr-HR"/>
              </w:rPr>
            </w:pPr>
            <w:r w:rsidRPr="00312975">
              <w:rPr>
                <w:rFonts w:ascii="Calibri" w:hAnsi="Calibri"/>
                <w:sz w:val="18"/>
                <w:szCs w:val="18"/>
                <w:lang w:eastAsia="hr-HR"/>
              </w:rPr>
              <w:t>25.815</w:t>
            </w:r>
          </w:p>
        </w:tc>
        <w:tc>
          <w:tcPr>
            <w:tcW w:w="1519" w:type="dxa"/>
            <w:tcBorders>
              <w:top w:val="nil"/>
              <w:left w:val="nil"/>
              <w:bottom w:val="nil"/>
              <w:right w:val="nil"/>
            </w:tcBorders>
            <w:shd w:val="clear" w:color="auto" w:fill="auto"/>
          </w:tcPr>
          <w:p w14:paraId="61D7FDCB" w14:textId="219884A5" w:rsidR="000B59D9" w:rsidRPr="00257CDB" w:rsidRDefault="000B59D9" w:rsidP="000B59D9">
            <w:pPr>
              <w:tabs>
                <w:tab w:val="left" w:pos="-720"/>
              </w:tabs>
              <w:jc w:val="right"/>
              <w:rPr>
                <w:rFonts w:ascii="Calibri" w:hAnsi="Calibri" w:cstheme="minorBidi"/>
                <w:sz w:val="18"/>
                <w:szCs w:val="18"/>
                <w:lang w:eastAsia="hr-HR"/>
              </w:rPr>
            </w:pPr>
            <w:r w:rsidRPr="00312975">
              <w:rPr>
                <w:rFonts w:ascii="Calibri" w:hAnsi="Calibri"/>
                <w:sz w:val="18"/>
                <w:szCs w:val="18"/>
                <w:lang w:eastAsia="hr-HR"/>
              </w:rPr>
              <w:t>25.065</w:t>
            </w:r>
          </w:p>
        </w:tc>
        <w:tc>
          <w:tcPr>
            <w:tcW w:w="1274" w:type="dxa"/>
            <w:tcBorders>
              <w:top w:val="nil"/>
              <w:left w:val="nil"/>
              <w:right w:val="nil"/>
            </w:tcBorders>
            <w:shd w:val="clear" w:color="auto" w:fill="auto"/>
          </w:tcPr>
          <w:p w14:paraId="36303B06" w14:textId="73258262" w:rsidR="000B59D9" w:rsidRPr="00312975" w:rsidRDefault="000B59D9" w:rsidP="000B59D9">
            <w:pPr>
              <w:tabs>
                <w:tab w:val="left" w:pos="-720"/>
              </w:tabs>
              <w:jc w:val="right"/>
              <w:rPr>
                <w:rFonts w:ascii="Calibri" w:hAnsi="Calibri" w:cstheme="minorBidi"/>
                <w:sz w:val="18"/>
                <w:szCs w:val="18"/>
                <w:lang w:eastAsia="hr-HR"/>
              </w:rPr>
            </w:pPr>
            <w:r w:rsidRPr="00312975">
              <w:rPr>
                <w:rFonts w:ascii="Calibri" w:hAnsi="Calibri"/>
                <w:sz w:val="18"/>
                <w:szCs w:val="18"/>
                <w:lang w:eastAsia="hr-HR"/>
              </w:rPr>
              <w:t>25.815</w:t>
            </w:r>
          </w:p>
        </w:tc>
      </w:tr>
      <w:tr w:rsidR="000B59D9" w14:paraId="0CF9E17B" w14:textId="77777777" w:rsidTr="00312975">
        <w:tc>
          <w:tcPr>
            <w:tcW w:w="3489" w:type="dxa"/>
            <w:tcBorders>
              <w:bottom w:val="single" w:sz="4" w:space="0" w:color="auto"/>
            </w:tcBorders>
            <w:shd w:val="clear" w:color="auto" w:fill="auto"/>
            <w:vAlign w:val="center"/>
          </w:tcPr>
          <w:p w14:paraId="397D1696" w14:textId="5FB22E10" w:rsidR="000B59D9" w:rsidRDefault="000B59D9" w:rsidP="000B59D9">
            <w:pPr>
              <w:tabs>
                <w:tab w:val="left" w:pos="-720"/>
              </w:tabs>
              <w:jc w:val="both"/>
              <w:rPr>
                <w:rFonts w:cs="Calibri"/>
                <w:sz w:val="24"/>
                <w:szCs w:val="24"/>
                <w:lang w:eastAsia="hr-HR"/>
              </w:rPr>
            </w:pPr>
            <w:proofErr w:type="spellStart"/>
            <w:r w:rsidRPr="000063A9">
              <w:rPr>
                <w:rFonts w:ascii="Calibri" w:hAnsi="Calibri"/>
                <w:sz w:val="18"/>
                <w:szCs w:val="18"/>
                <w:lang w:eastAsia="hr-HR"/>
              </w:rPr>
              <w:t>Dionice</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trgovačkih</w:t>
            </w:r>
            <w:proofErr w:type="spellEnd"/>
            <w:r w:rsidRPr="000063A9">
              <w:rPr>
                <w:rFonts w:ascii="Calibri" w:hAnsi="Calibri"/>
                <w:sz w:val="18"/>
                <w:szCs w:val="18"/>
                <w:lang w:eastAsia="hr-HR"/>
              </w:rPr>
              <w:t xml:space="preserve"> </w:t>
            </w:r>
            <w:proofErr w:type="spellStart"/>
            <w:r w:rsidRPr="000063A9">
              <w:rPr>
                <w:rFonts w:ascii="Calibri" w:hAnsi="Calibri"/>
                <w:sz w:val="18"/>
                <w:szCs w:val="18"/>
                <w:lang w:eastAsia="hr-HR"/>
              </w:rPr>
              <w:t>društava</w:t>
            </w:r>
            <w:proofErr w:type="spellEnd"/>
          </w:p>
        </w:tc>
        <w:tc>
          <w:tcPr>
            <w:tcW w:w="1686" w:type="dxa"/>
            <w:tcBorders>
              <w:bottom w:val="single" w:sz="4" w:space="0" w:color="auto"/>
            </w:tcBorders>
          </w:tcPr>
          <w:p w14:paraId="0ED84D8A" w14:textId="0107DEA5" w:rsidR="000B59D9" w:rsidRPr="00257CDB" w:rsidRDefault="000B59D9" w:rsidP="000B59D9">
            <w:pPr>
              <w:tabs>
                <w:tab w:val="left" w:pos="-720"/>
              </w:tabs>
              <w:jc w:val="right"/>
              <w:rPr>
                <w:rFonts w:ascii="Calibri" w:hAnsi="Calibri" w:cstheme="minorBidi"/>
                <w:sz w:val="18"/>
                <w:szCs w:val="18"/>
                <w:lang w:eastAsia="hr-HR"/>
              </w:rPr>
            </w:pPr>
            <w:r w:rsidRPr="00312975">
              <w:rPr>
                <w:rFonts w:ascii="Calibri" w:hAnsi="Calibri"/>
                <w:sz w:val="18"/>
                <w:szCs w:val="18"/>
                <w:lang w:eastAsia="hr-HR"/>
              </w:rPr>
              <w:t>16.725</w:t>
            </w:r>
          </w:p>
        </w:tc>
        <w:tc>
          <w:tcPr>
            <w:tcW w:w="1386" w:type="dxa"/>
            <w:tcBorders>
              <w:top w:val="nil"/>
              <w:left w:val="nil"/>
              <w:bottom w:val="single" w:sz="4" w:space="0" w:color="auto"/>
              <w:right w:val="nil"/>
            </w:tcBorders>
            <w:shd w:val="clear" w:color="auto" w:fill="auto"/>
          </w:tcPr>
          <w:p w14:paraId="1B2360D5" w14:textId="25F508EE" w:rsidR="000B59D9" w:rsidRPr="00312975" w:rsidRDefault="000B59D9" w:rsidP="000B59D9">
            <w:pPr>
              <w:tabs>
                <w:tab w:val="left" w:pos="-720"/>
              </w:tabs>
              <w:jc w:val="right"/>
              <w:rPr>
                <w:rFonts w:ascii="Calibri" w:hAnsi="Calibri" w:cstheme="minorBidi"/>
                <w:sz w:val="18"/>
                <w:szCs w:val="18"/>
                <w:lang w:eastAsia="hr-HR"/>
              </w:rPr>
            </w:pPr>
            <w:r w:rsidRPr="00312975">
              <w:rPr>
                <w:rFonts w:ascii="Calibri" w:hAnsi="Calibri"/>
                <w:sz w:val="18"/>
                <w:szCs w:val="18"/>
                <w:lang w:eastAsia="hr-HR"/>
              </w:rPr>
              <w:t>16.725</w:t>
            </w:r>
          </w:p>
        </w:tc>
        <w:tc>
          <w:tcPr>
            <w:tcW w:w="1519" w:type="dxa"/>
            <w:tcBorders>
              <w:top w:val="nil"/>
              <w:left w:val="nil"/>
              <w:bottom w:val="single" w:sz="4" w:space="0" w:color="auto"/>
              <w:right w:val="nil"/>
            </w:tcBorders>
            <w:shd w:val="clear" w:color="auto" w:fill="auto"/>
          </w:tcPr>
          <w:p w14:paraId="3746799C" w14:textId="446453A6" w:rsidR="000B59D9" w:rsidRPr="00257CDB" w:rsidRDefault="000B59D9" w:rsidP="000B59D9">
            <w:pPr>
              <w:tabs>
                <w:tab w:val="left" w:pos="-720"/>
              </w:tabs>
              <w:jc w:val="right"/>
              <w:rPr>
                <w:rFonts w:ascii="Calibri" w:hAnsi="Calibri" w:cstheme="minorBidi"/>
                <w:sz w:val="18"/>
                <w:szCs w:val="18"/>
                <w:lang w:eastAsia="hr-HR"/>
              </w:rPr>
            </w:pPr>
            <w:r w:rsidRPr="00312975">
              <w:rPr>
                <w:rFonts w:ascii="Calibri" w:hAnsi="Calibri"/>
                <w:sz w:val="18"/>
                <w:szCs w:val="18"/>
                <w:lang w:eastAsia="hr-HR"/>
              </w:rPr>
              <w:t>16.725</w:t>
            </w:r>
          </w:p>
        </w:tc>
        <w:tc>
          <w:tcPr>
            <w:tcW w:w="1274" w:type="dxa"/>
            <w:tcBorders>
              <w:top w:val="nil"/>
              <w:left w:val="nil"/>
              <w:bottom w:val="single" w:sz="4" w:space="0" w:color="auto"/>
              <w:right w:val="nil"/>
            </w:tcBorders>
            <w:shd w:val="clear" w:color="auto" w:fill="auto"/>
          </w:tcPr>
          <w:p w14:paraId="25B43249" w14:textId="57E9EDB1" w:rsidR="000B59D9" w:rsidRPr="00312975" w:rsidRDefault="000B59D9" w:rsidP="000B59D9">
            <w:pPr>
              <w:tabs>
                <w:tab w:val="left" w:pos="-720"/>
              </w:tabs>
              <w:jc w:val="right"/>
              <w:rPr>
                <w:rFonts w:ascii="Calibri" w:hAnsi="Calibri" w:cstheme="minorBidi"/>
                <w:sz w:val="18"/>
                <w:szCs w:val="18"/>
                <w:lang w:eastAsia="hr-HR"/>
              </w:rPr>
            </w:pPr>
            <w:r w:rsidRPr="00312975">
              <w:rPr>
                <w:rFonts w:ascii="Calibri" w:hAnsi="Calibri"/>
                <w:sz w:val="18"/>
                <w:szCs w:val="18"/>
                <w:lang w:eastAsia="hr-HR"/>
              </w:rPr>
              <w:t>16.725</w:t>
            </w:r>
          </w:p>
        </w:tc>
      </w:tr>
      <w:tr w:rsidR="000B59D9" w14:paraId="0B4E35E0" w14:textId="77777777" w:rsidTr="00312975">
        <w:tc>
          <w:tcPr>
            <w:tcW w:w="3489" w:type="dxa"/>
            <w:tcBorders>
              <w:top w:val="single" w:sz="4" w:space="0" w:color="auto"/>
              <w:bottom w:val="single" w:sz="4" w:space="0" w:color="auto"/>
            </w:tcBorders>
            <w:shd w:val="clear" w:color="auto" w:fill="auto"/>
            <w:vAlign w:val="center"/>
          </w:tcPr>
          <w:p w14:paraId="25A957AE" w14:textId="421DD197" w:rsidR="000B59D9" w:rsidRPr="000063A9" w:rsidRDefault="000B59D9" w:rsidP="000B59D9">
            <w:pPr>
              <w:tabs>
                <w:tab w:val="left" w:pos="-720"/>
              </w:tabs>
              <w:jc w:val="both"/>
              <w:rPr>
                <w:rFonts w:ascii="Calibri" w:hAnsi="Calibri"/>
                <w:sz w:val="18"/>
                <w:szCs w:val="18"/>
                <w:lang w:eastAsia="hr-HR"/>
              </w:rPr>
            </w:pPr>
            <w:proofErr w:type="spellStart"/>
            <w:r w:rsidRPr="004F15ED">
              <w:rPr>
                <w:rFonts w:ascii="Calibri" w:hAnsi="Calibri"/>
                <w:sz w:val="18"/>
                <w:szCs w:val="18"/>
                <w:lang w:eastAsia="hr-HR"/>
              </w:rPr>
              <w:t>Rezerviranja</w:t>
            </w:r>
            <w:proofErr w:type="spellEnd"/>
            <w:r w:rsidRPr="004F15ED">
              <w:rPr>
                <w:rFonts w:ascii="Calibri" w:hAnsi="Calibri"/>
                <w:sz w:val="18"/>
                <w:szCs w:val="18"/>
                <w:lang w:eastAsia="hr-HR"/>
              </w:rPr>
              <w:t xml:space="preserve"> </w:t>
            </w:r>
            <w:proofErr w:type="spellStart"/>
            <w:r w:rsidRPr="004F15ED">
              <w:rPr>
                <w:rFonts w:ascii="Calibri" w:hAnsi="Calibri"/>
                <w:sz w:val="18"/>
                <w:szCs w:val="18"/>
                <w:lang w:eastAsia="hr-HR"/>
              </w:rPr>
              <w:t>za</w:t>
            </w:r>
            <w:proofErr w:type="spellEnd"/>
            <w:r w:rsidRPr="004F15ED">
              <w:rPr>
                <w:rFonts w:ascii="Calibri" w:hAnsi="Calibri"/>
                <w:sz w:val="18"/>
                <w:szCs w:val="18"/>
                <w:lang w:eastAsia="hr-HR"/>
              </w:rPr>
              <w:t xml:space="preserve"> </w:t>
            </w:r>
            <w:proofErr w:type="spellStart"/>
            <w:r w:rsidRPr="004F15ED">
              <w:rPr>
                <w:rFonts w:ascii="Calibri" w:hAnsi="Calibri"/>
                <w:sz w:val="18"/>
                <w:szCs w:val="18"/>
                <w:lang w:eastAsia="hr-HR"/>
              </w:rPr>
              <w:t>moguće</w:t>
            </w:r>
            <w:proofErr w:type="spellEnd"/>
            <w:r w:rsidRPr="004F15ED">
              <w:rPr>
                <w:rFonts w:ascii="Calibri" w:hAnsi="Calibri"/>
                <w:sz w:val="18"/>
                <w:szCs w:val="18"/>
                <w:lang w:eastAsia="hr-HR"/>
              </w:rPr>
              <w:t xml:space="preserve"> </w:t>
            </w:r>
            <w:proofErr w:type="spellStart"/>
            <w:r w:rsidRPr="004F15ED">
              <w:rPr>
                <w:rFonts w:ascii="Calibri" w:hAnsi="Calibri"/>
                <w:sz w:val="18"/>
                <w:szCs w:val="18"/>
                <w:lang w:eastAsia="hr-HR"/>
              </w:rPr>
              <w:t>gubitke</w:t>
            </w:r>
            <w:proofErr w:type="spellEnd"/>
          </w:p>
        </w:tc>
        <w:tc>
          <w:tcPr>
            <w:tcW w:w="1686" w:type="dxa"/>
            <w:tcBorders>
              <w:top w:val="single" w:sz="4" w:space="0" w:color="auto"/>
              <w:bottom w:val="single" w:sz="4" w:space="0" w:color="auto"/>
            </w:tcBorders>
          </w:tcPr>
          <w:p w14:paraId="6C9577B7" w14:textId="4450947D" w:rsidR="000B59D9" w:rsidRPr="00257CDB" w:rsidRDefault="000B59D9" w:rsidP="000B59D9">
            <w:pPr>
              <w:tabs>
                <w:tab w:val="left" w:pos="-720"/>
              </w:tabs>
              <w:jc w:val="right"/>
              <w:rPr>
                <w:rFonts w:ascii="Calibri" w:hAnsi="Calibri" w:cstheme="minorBidi"/>
                <w:sz w:val="18"/>
                <w:szCs w:val="18"/>
                <w:lang w:eastAsia="hr-HR"/>
              </w:rPr>
            </w:pPr>
            <w:r w:rsidRPr="00312975">
              <w:rPr>
                <w:rFonts w:ascii="Calibri" w:hAnsi="Calibri"/>
                <w:sz w:val="18"/>
                <w:szCs w:val="18"/>
                <w:lang w:eastAsia="hr-HR"/>
              </w:rPr>
              <w:t xml:space="preserve"> (16.725)</w:t>
            </w:r>
          </w:p>
        </w:tc>
        <w:tc>
          <w:tcPr>
            <w:tcW w:w="1386" w:type="dxa"/>
            <w:tcBorders>
              <w:top w:val="single" w:sz="4" w:space="0" w:color="auto"/>
              <w:left w:val="nil"/>
              <w:bottom w:val="single" w:sz="4" w:space="0" w:color="auto"/>
              <w:right w:val="nil"/>
            </w:tcBorders>
            <w:shd w:val="clear" w:color="auto" w:fill="auto"/>
          </w:tcPr>
          <w:p w14:paraId="3D1E8897" w14:textId="625D5C8B" w:rsidR="000B59D9" w:rsidRPr="00312975" w:rsidRDefault="000B59D9" w:rsidP="000B59D9">
            <w:pPr>
              <w:tabs>
                <w:tab w:val="left" w:pos="-720"/>
              </w:tabs>
              <w:jc w:val="right"/>
              <w:rPr>
                <w:rFonts w:ascii="Calibri" w:hAnsi="Calibri" w:cstheme="minorBidi"/>
                <w:sz w:val="18"/>
                <w:szCs w:val="18"/>
                <w:lang w:eastAsia="hr-HR"/>
              </w:rPr>
            </w:pPr>
            <w:r w:rsidRPr="00312975">
              <w:rPr>
                <w:rFonts w:ascii="Calibri" w:hAnsi="Calibri"/>
                <w:sz w:val="18"/>
                <w:szCs w:val="18"/>
                <w:lang w:eastAsia="hr-HR"/>
              </w:rPr>
              <w:t>(16.725)</w:t>
            </w:r>
          </w:p>
        </w:tc>
        <w:tc>
          <w:tcPr>
            <w:tcW w:w="1519" w:type="dxa"/>
            <w:tcBorders>
              <w:top w:val="single" w:sz="4" w:space="0" w:color="auto"/>
              <w:bottom w:val="single" w:sz="4" w:space="0" w:color="auto"/>
            </w:tcBorders>
          </w:tcPr>
          <w:p w14:paraId="576ACBEA" w14:textId="32B4383C" w:rsidR="000B59D9" w:rsidRPr="00257CDB" w:rsidRDefault="000B59D9" w:rsidP="000B59D9">
            <w:pPr>
              <w:tabs>
                <w:tab w:val="left" w:pos="-720"/>
              </w:tabs>
              <w:jc w:val="right"/>
              <w:rPr>
                <w:rFonts w:ascii="Calibri" w:hAnsi="Calibri" w:cstheme="minorBidi"/>
                <w:sz w:val="18"/>
                <w:szCs w:val="18"/>
                <w:lang w:eastAsia="hr-HR"/>
              </w:rPr>
            </w:pPr>
            <w:r w:rsidRPr="00312975">
              <w:rPr>
                <w:rFonts w:ascii="Calibri" w:hAnsi="Calibri"/>
                <w:sz w:val="18"/>
                <w:szCs w:val="18"/>
                <w:lang w:eastAsia="hr-HR"/>
              </w:rPr>
              <w:t xml:space="preserve">         (16.725)</w:t>
            </w:r>
          </w:p>
        </w:tc>
        <w:tc>
          <w:tcPr>
            <w:tcW w:w="1274" w:type="dxa"/>
            <w:tcBorders>
              <w:top w:val="single" w:sz="4" w:space="0" w:color="auto"/>
              <w:left w:val="nil"/>
              <w:bottom w:val="single" w:sz="4" w:space="0" w:color="auto"/>
              <w:right w:val="nil"/>
            </w:tcBorders>
            <w:shd w:val="clear" w:color="auto" w:fill="auto"/>
          </w:tcPr>
          <w:p w14:paraId="371DBFA7" w14:textId="46DE1350" w:rsidR="000B59D9" w:rsidRPr="00312975" w:rsidRDefault="000B59D9" w:rsidP="000B59D9">
            <w:pPr>
              <w:tabs>
                <w:tab w:val="left" w:pos="-720"/>
              </w:tabs>
              <w:jc w:val="right"/>
              <w:rPr>
                <w:rFonts w:ascii="Calibri" w:hAnsi="Calibri" w:cstheme="minorBidi"/>
                <w:sz w:val="18"/>
                <w:szCs w:val="18"/>
                <w:lang w:eastAsia="hr-HR"/>
              </w:rPr>
            </w:pPr>
            <w:r w:rsidRPr="00312975">
              <w:rPr>
                <w:rFonts w:ascii="Calibri" w:hAnsi="Calibri"/>
                <w:sz w:val="18"/>
                <w:szCs w:val="18"/>
                <w:lang w:eastAsia="hr-HR"/>
              </w:rPr>
              <w:t>(16.725)</w:t>
            </w:r>
          </w:p>
        </w:tc>
      </w:tr>
      <w:tr w:rsidR="000B59D9" w:rsidRPr="000B59D9" w14:paraId="6E3A754D" w14:textId="77777777" w:rsidTr="00312975">
        <w:tc>
          <w:tcPr>
            <w:tcW w:w="3489" w:type="dxa"/>
            <w:tcBorders>
              <w:top w:val="single" w:sz="4" w:space="0" w:color="auto"/>
              <w:bottom w:val="single" w:sz="4" w:space="0" w:color="auto"/>
            </w:tcBorders>
            <w:shd w:val="clear" w:color="auto" w:fill="auto"/>
            <w:vAlign w:val="center"/>
          </w:tcPr>
          <w:p w14:paraId="5C4785A4" w14:textId="77777777" w:rsidR="000B59D9" w:rsidRPr="004F15ED" w:rsidRDefault="000B59D9" w:rsidP="000B59D9">
            <w:pPr>
              <w:tabs>
                <w:tab w:val="left" w:pos="-720"/>
              </w:tabs>
              <w:jc w:val="both"/>
              <w:rPr>
                <w:rFonts w:ascii="Calibri" w:hAnsi="Calibri"/>
                <w:sz w:val="18"/>
                <w:szCs w:val="18"/>
                <w:lang w:eastAsia="hr-HR"/>
              </w:rPr>
            </w:pPr>
          </w:p>
        </w:tc>
        <w:tc>
          <w:tcPr>
            <w:tcW w:w="1686" w:type="dxa"/>
            <w:tcBorders>
              <w:top w:val="single" w:sz="4" w:space="0" w:color="auto"/>
              <w:bottom w:val="single" w:sz="4" w:space="0" w:color="auto"/>
            </w:tcBorders>
            <w:vAlign w:val="bottom"/>
          </w:tcPr>
          <w:p w14:paraId="3EDEDF29" w14:textId="5097C2C5" w:rsidR="000B59D9" w:rsidRPr="000B59D9" w:rsidRDefault="000B59D9" w:rsidP="000B59D9">
            <w:pPr>
              <w:tabs>
                <w:tab w:val="left" w:pos="-720"/>
              </w:tabs>
              <w:jc w:val="right"/>
              <w:rPr>
                <w:rFonts w:ascii="Calibri" w:hAnsi="Calibri"/>
                <w:b/>
                <w:bCs/>
                <w:sz w:val="18"/>
                <w:szCs w:val="18"/>
                <w:lang w:eastAsia="hr-HR"/>
              </w:rPr>
            </w:pPr>
            <w:r w:rsidRPr="00312975">
              <w:rPr>
                <w:rFonts w:ascii="Calibri" w:hAnsi="Calibri"/>
                <w:b/>
                <w:bCs/>
                <w:sz w:val="18"/>
                <w:szCs w:val="18"/>
                <w:lang w:eastAsia="hr-HR"/>
              </w:rPr>
              <w:t xml:space="preserve">25.258 </w:t>
            </w:r>
          </w:p>
        </w:tc>
        <w:tc>
          <w:tcPr>
            <w:tcW w:w="1386" w:type="dxa"/>
            <w:tcBorders>
              <w:top w:val="single" w:sz="4" w:space="0" w:color="auto"/>
              <w:left w:val="nil"/>
              <w:bottom w:val="single" w:sz="4" w:space="0" w:color="auto"/>
              <w:right w:val="nil"/>
            </w:tcBorders>
            <w:shd w:val="clear" w:color="auto" w:fill="auto"/>
            <w:vAlign w:val="bottom"/>
          </w:tcPr>
          <w:p w14:paraId="07240808" w14:textId="6917F02E" w:rsidR="000B59D9" w:rsidRPr="00312975" w:rsidRDefault="000B59D9" w:rsidP="000B59D9">
            <w:pPr>
              <w:tabs>
                <w:tab w:val="left" w:pos="-720"/>
              </w:tabs>
              <w:jc w:val="right"/>
              <w:rPr>
                <w:rFonts w:ascii="Calibri" w:hAnsi="Calibri"/>
                <w:b/>
                <w:bCs/>
                <w:sz w:val="18"/>
                <w:szCs w:val="18"/>
                <w:lang w:eastAsia="hr-HR"/>
              </w:rPr>
            </w:pPr>
            <w:r w:rsidRPr="00312975">
              <w:rPr>
                <w:rFonts w:ascii="Calibri" w:hAnsi="Calibri"/>
                <w:b/>
                <w:bCs/>
                <w:sz w:val="18"/>
                <w:szCs w:val="18"/>
                <w:lang w:eastAsia="hr-HR"/>
              </w:rPr>
              <w:t>26.008</w:t>
            </w:r>
          </w:p>
        </w:tc>
        <w:tc>
          <w:tcPr>
            <w:tcW w:w="1519" w:type="dxa"/>
            <w:tcBorders>
              <w:top w:val="single" w:sz="4" w:space="0" w:color="auto"/>
              <w:bottom w:val="single" w:sz="4" w:space="0" w:color="auto"/>
            </w:tcBorders>
            <w:vAlign w:val="bottom"/>
          </w:tcPr>
          <w:p w14:paraId="0C54D01C" w14:textId="56661523" w:rsidR="000B59D9" w:rsidRPr="00AE31A1" w:rsidRDefault="000B59D9" w:rsidP="000B59D9">
            <w:pPr>
              <w:tabs>
                <w:tab w:val="left" w:pos="-720"/>
              </w:tabs>
              <w:jc w:val="right"/>
              <w:rPr>
                <w:rFonts w:ascii="Calibri" w:hAnsi="Calibri"/>
                <w:b/>
                <w:bCs/>
                <w:sz w:val="18"/>
                <w:szCs w:val="18"/>
                <w:lang w:eastAsia="hr-HR"/>
              </w:rPr>
            </w:pPr>
            <w:r w:rsidRPr="00312975">
              <w:rPr>
                <w:rFonts w:ascii="Calibri" w:hAnsi="Calibri"/>
                <w:b/>
                <w:bCs/>
                <w:sz w:val="18"/>
                <w:szCs w:val="18"/>
                <w:lang w:eastAsia="hr-HR"/>
              </w:rPr>
              <w:t xml:space="preserve">25.258 </w:t>
            </w:r>
          </w:p>
        </w:tc>
        <w:tc>
          <w:tcPr>
            <w:tcW w:w="1274" w:type="dxa"/>
            <w:tcBorders>
              <w:top w:val="single" w:sz="4" w:space="0" w:color="auto"/>
              <w:left w:val="nil"/>
              <w:bottom w:val="single" w:sz="4" w:space="0" w:color="auto"/>
              <w:right w:val="nil"/>
            </w:tcBorders>
            <w:shd w:val="clear" w:color="auto" w:fill="auto"/>
            <w:vAlign w:val="bottom"/>
          </w:tcPr>
          <w:p w14:paraId="2CC0744D" w14:textId="2545C64B" w:rsidR="000B59D9" w:rsidRPr="00312975" w:rsidRDefault="000B59D9" w:rsidP="000B59D9">
            <w:pPr>
              <w:tabs>
                <w:tab w:val="left" w:pos="-720"/>
              </w:tabs>
              <w:jc w:val="right"/>
              <w:rPr>
                <w:rFonts w:ascii="Calibri" w:hAnsi="Calibri"/>
                <w:b/>
                <w:bCs/>
                <w:sz w:val="18"/>
                <w:szCs w:val="18"/>
                <w:lang w:eastAsia="hr-HR"/>
              </w:rPr>
            </w:pPr>
            <w:r w:rsidRPr="00312975">
              <w:rPr>
                <w:rFonts w:ascii="Calibri" w:hAnsi="Calibri"/>
                <w:b/>
                <w:bCs/>
                <w:sz w:val="18"/>
                <w:szCs w:val="18"/>
                <w:lang w:eastAsia="hr-HR"/>
              </w:rPr>
              <w:t>26.008</w:t>
            </w:r>
          </w:p>
        </w:tc>
      </w:tr>
      <w:tr w:rsidR="00F33730" w14:paraId="3C03CED1" w14:textId="77777777" w:rsidTr="00312975">
        <w:tc>
          <w:tcPr>
            <w:tcW w:w="3489" w:type="dxa"/>
            <w:tcBorders>
              <w:top w:val="single" w:sz="4" w:space="0" w:color="auto"/>
              <w:bottom w:val="single" w:sz="4" w:space="0" w:color="auto"/>
            </w:tcBorders>
            <w:shd w:val="clear" w:color="auto" w:fill="auto"/>
            <w:vAlign w:val="center"/>
          </w:tcPr>
          <w:p w14:paraId="4D2F627D" w14:textId="33A80936" w:rsidR="00F33730" w:rsidRPr="004F15ED" w:rsidRDefault="00F33730" w:rsidP="00F33730">
            <w:pPr>
              <w:tabs>
                <w:tab w:val="left" w:pos="-720"/>
              </w:tabs>
              <w:jc w:val="both"/>
              <w:rPr>
                <w:rFonts w:ascii="Calibri" w:hAnsi="Calibri"/>
                <w:b/>
                <w:sz w:val="18"/>
                <w:szCs w:val="18"/>
                <w:lang w:eastAsia="hr-HR"/>
              </w:rPr>
            </w:pPr>
            <w:proofErr w:type="spellStart"/>
            <w:r w:rsidRPr="004F15ED">
              <w:rPr>
                <w:rFonts w:ascii="Calibri" w:hAnsi="Calibri"/>
                <w:b/>
                <w:sz w:val="18"/>
                <w:szCs w:val="18"/>
                <w:lang w:eastAsia="hr-HR"/>
              </w:rPr>
              <w:t>Ulaganja</w:t>
            </w:r>
            <w:proofErr w:type="spellEnd"/>
            <w:r w:rsidRPr="004F15ED">
              <w:rPr>
                <w:rFonts w:ascii="Calibri" w:hAnsi="Calibri"/>
                <w:b/>
                <w:sz w:val="18"/>
                <w:szCs w:val="18"/>
                <w:lang w:eastAsia="hr-HR"/>
              </w:rPr>
              <w:t xml:space="preserve"> u </w:t>
            </w:r>
            <w:proofErr w:type="spellStart"/>
            <w:r w:rsidRPr="004F15ED">
              <w:rPr>
                <w:rFonts w:ascii="Calibri" w:hAnsi="Calibri"/>
                <w:b/>
                <w:sz w:val="18"/>
                <w:szCs w:val="18"/>
                <w:lang w:eastAsia="hr-HR"/>
              </w:rPr>
              <w:t>investicijske</w:t>
            </w:r>
            <w:proofErr w:type="spellEnd"/>
            <w:r w:rsidRPr="004F15ED">
              <w:rPr>
                <w:rFonts w:ascii="Calibri" w:hAnsi="Calibri"/>
                <w:b/>
                <w:sz w:val="18"/>
                <w:szCs w:val="18"/>
                <w:lang w:eastAsia="hr-HR"/>
              </w:rPr>
              <w:t xml:space="preserve"> </w:t>
            </w:r>
            <w:proofErr w:type="spellStart"/>
            <w:r w:rsidRPr="004F15ED">
              <w:rPr>
                <w:rFonts w:ascii="Calibri" w:hAnsi="Calibri"/>
                <w:b/>
                <w:sz w:val="18"/>
                <w:szCs w:val="18"/>
                <w:lang w:eastAsia="hr-HR"/>
              </w:rPr>
              <w:t>fondove</w:t>
            </w:r>
            <w:proofErr w:type="spellEnd"/>
            <w:r w:rsidRPr="004F15ED">
              <w:rPr>
                <w:rFonts w:ascii="Calibri" w:hAnsi="Calibri"/>
                <w:b/>
                <w:sz w:val="18"/>
                <w:szCs w:val="18"/>
                <w:lang w:eastAsia="hr-HR"/>
              </w:rPr>
              <w:t xml:space="preserve"> u </w:t>
            </w:r>
            <w:proofErr w:type="spellStart"/>
            <w:r w:rsidRPr="004F15ED">
              <w:rPr>
                <w:rFonts w:ascii="Calibri" w:hAnsi="Calibri"/>
                <w:b/>
                <w:sz w:val="18"/>
                <w:szCs w:val="18"/>
                <w:lang w:eastAsia="hr-HR"/>
              </w:rPr>
              <w:t>Republici</w:t>
            </w:r>
            <w:proofErr w:type="spellEnd"/>
            <w:r w:rsidRPr="004F15ED">
              <w:rPr>
                <w:rFonts w:ascii="Calibri" w:hAnsi="Calibri"/>
                <w:b/>
                <w:sz w:val="18"/>
                <w:szCs w:val="18"/>
                <w:lang w:eastAsia="hr-HR"/>
              </w:rPr>
              <w:t xml:space="preserve"> </w:t>
            </w:r>
            <w:proofErr w:type="spellStart"/>
            <w:r w:rsidRPr="004F15ED">
              <w:rPr>
                <w:rFonts w:ascii="Calibri" w:hAnsi="Calibri"/>
                <w:b/>
                <w:sz w:val="18"/>
                <w:szCs w:val="18"/>
                <w:lang w:eastAsia="hr-HR"/>
              </w:rPr>
              <w:t>Hrvatskoj</w:t>
            </w:r>
            <w:proofErr w:type="spellEnd"/>
          </w:p>
        </w:tc>
        <w:tc>
          <w:tcPr>
            <w:tcW w:w="1686" w:type="dxa"/>
            <w:tcBorders>
              <w:top w:val="single" w:sz="4" w:space="0" w:color="auto"/>
              <w:bottom w:val="single" w:sz="4" w:space="0" w:color="auto"/>
            </w:tcBorders>
            <w:vAlign w:val="bottom"/>
          </w:tcPr>
          <w:p w14:paraId="2DE23279" w14:textId="00D4F847" w:rsidR="00F33730" w:rsidRPr="000B59D9" w:rsidRDefault="00FC41A8" w:rsidP="00F33730">
            <w:pPr>
              <w:tabs>
                <w:tab w:val="left" w:pos="-720"/>
              </w:tabs>
              <w:jc w:val="right"/>
              <w:rPr>
                <w:rFonts w:ascii="Calibri" w:hAnsi="Calibri"/>
                <w:b/>
                <w:bCs/>
                <w:sz w:val="18"/>
                <w:szCs w:val="18"/>
                <w:lang w:eastAsia="hr-HR"/>
              </w:rPr>
            </w:pPr>
            <w:r w:rsidRPr="000B59D9">
              <w:rPr>
                <w:rFonts w:ascii="Calibri" w:hAnsi="Calibri"/>
                <w:b/>
                <w:bCs/>
                <w:sz w:val="18"/>
                <w:szCs w:val="18"/>
                <w:lang w:eastAsia="hr-HR"/>
              </w:rPr>
              <w:t>867.430</w:t>
            </w:r>
          </w:p>
        </w:tc>
        <w:tc>
          <w:tcPr>
            <w:tcW w:w="1386" w:type="dxa"/>
            <w:tcBorders>
              <w:top w:val="single" w:sz="4" w:space="0" w:color="auto"/>
              <w:left w:val="nil"/>
              <w:bottom w:val="single" w:sz="4" w:space="0" w:color="auto"/>
              <w:right w:val="nil"/>
            </w:tcBorders>
            <w:shd w:val="clear" w:color="auto" w:fill="auto"/>
            <w:vAlign w:val="bottom"/>
          </w:tcPr>
          <w:p w14:paraId="59B7165C" w14:textId="2E8F71AE" w:rsidR="00F33730" w:rsidRPr="00312975" w:rsidRDefault="00F33730" w:rsidP="00F33730">
            <w:pPr>
              <w:tabs>
                <w:tab w:val="left" w:pos="-720"/>
              </w:tabs>
              <w:jc w:val="right"/>
              <w:rPr>
                <w:rFonts w:cs="Calibri"/>
                <w:b/>
                <w:sz w:val="24"/>
                <w:szCs w:val="24"/>
                <w:lang w:eastAsia="hr-HR"/>
              </w:rPr>
            </w:pPr>
            <w:r w:rsidRPr="000B59D9">
              <w:rPr>
                <w:rFonts w:ascii="Calibri" w:hAnsi="Calibri"/>
                <w:b/>
                <w:bCs/>
                <w:sz w:val="18"/>
                <w:szCs w:val="18"/>
                <w:lang w:eastAsia="hr-HR"/>
              </w:rPr>
              <w:t>909.614</w:t>
            </w:r>
          </w:p>
        </w:tc>
        <w:tc>
          <w:tcPr>
            <w:tcW w:w="1519" w:type="dxa"/>
            <w:tcBorders>
              <w:top w:val="single" w:sz="4" w:space="0" w:color="auto"/>
              <w:bottom w:val="single" w:sz="4" w:space="0" w:color="auto"/>
            </w:tcBorders>
            <w:vAlign w:val="bottom"/>
          </w:tcPr>
          <w:p w14:paraId="5FE1AF6C" w14:textId="054564C8" w:rsidR="00F33730" w:rsidRPr="000B59D9" w:rsidRDefault="00FC41A8" w:rsidP="00F33730">
            <w:pPr>
              <w:tabs>
                <w:tab w:val="left" w:pos="-720"/>
              </w:tabs>
              <w:jc w:val="right"/>
              <w:rPr>
                <w:rFonts w:ascii="Calibri" w:hAnsi="Calibri"/>
                <w:b/>
                <w:bCs/>
                <w:sz w:val="18"/>
                <w:szCs w:val="18"/>
                <w:lang w:eastAsia="hr-HR"/>
              </w:rPr>
            </w:pPr>
            <w:r w:rsidRPr="000B59D9">
              <w:rPr>
                <w:rFonts w:ascii="Calibri" w:hAnsi="Calibri"/>
                <w:b/>
                <w:bCs/>
                <w:sz w:val="18"/>
                <w:szCs w:val="18"/>
                <w:lang w:eastAsia="hr-HR"/>
              </w:rPr>
              <w:t>862.906</w:t>
            </w:r>
          </w:p>
        </w:tc>
        <w:tc>
          <w:tcPr>
            <w:tcW w:w="1274" w:type="dxa"/>
            <w:tcBorders>
              <w:top w:val="single" w:sz="4" w:space="0" w:color="auto"/>
              <w:left w:val="nil"/>
              <w:bottom w:val="single" w:sz="4" w:space="0" w:color="auto"/>
              <w:right w:val="nil"/>
            </w:tcBorders>
            <w:shd w:val="clear" w:color="auto" w:fill="auto"/>
            <w:vAlign w:val="bottom"/>
          </w:tcPr>
          <w:p w14:paraId="7013A091" w14:textId="03483814" w:rsidR="00F33730" w:rsidRPr="00312975" w:rsidRDefault="00F33730" w:rsidP="00F33730">
            <w:pPr>
              <w:tabs>
                <w:tab w:val="left" w:pos="-720"/>
              </w:tabs>
              <w:jc w:val="right"/>
              <w:rPr>
                <w:rFonts w:cs="Calibri"/>
                <w:b/>
                <w:sz w:val="24"/>
                <w:szCs w:val="24"/>
                <w:lang w:eastAsia="hr-HR"/>
              </w:rPr>
            </w:pPr>
            <w:r w:rsidRPr="000B59D9">
              <w:rPr>
                <w:rFonts w:ascii="Calibri" w:hAnsi="Calibri"/>
                <w:b/>
                <w:bCs/>
                <w:sz w:val="18"/>
                <w:szCs w:val="18"/>
                <w:lang w:eastAsia="hr-HR"/>
              </w:rPr>
              <w:t>906.803</w:t>
            </w:r>
          </w:p>
        </w:tc>
      </w:tr>
      <w:tr w:rsidR="00F33730" w14:paraId="67056A21" w14:textId="77777777" w:rsidTr="00312975">
        <w:tc>
          <w:tcPr>
            <w:tcW w:w="3489" w:type="dxa"/>
            <w:tcBorders>
              <w:top w:val="single" w:sz="4" w:space="0" w:color="auto"/>
              <w:bottom w:val="single" w:sz="12" w:space="0" w:color="auto"/>
            </w:tcBorders>
            <w:shd w:val="clear" w:color="auto" w:fill="auto"/>
            <w:vAlign w:val="center"/>
          </w:tcPr>
          <w:p w14:paraId="27BEFEE0" w14:textId="57F059B6" w:rsidR="00F33730" w:rsidRPr="004F15ED" w:rsidRDefault="00F33730" w:rsidP="00F33730">
            <w:pPr>
              <w:tabs>
                <w:tab w:val="left" w:pos="-720"/>
              </w:tabs>
              <w:jc w:val="both"/>
              <w:rPr>
                <w:rFonts w:ascii="Calibri" w:hAnsi="Calibri"/>
                <w:b/>
                <w:sz w:val="18"/>
                <w:szCs w:val="18"/>
                <w:lang w:eastAsia="hr-HR"/>
              </w:rPr>
            </w:pPr>
            <w:proofErr w:type="spellStart"/>
            <w:r w:rsidRPr="004F15ED">
              <w:rPr>
                <w:rFonts w:ascii="Calibri" w:hAnsi="Calibri"/>
                <w:b/>
                <w:sz w:val="18"/>
                <w:szCs w:val="18"/>
                <w:lang w:eastAsia="hr-HR"/>
              </w:rPr>
              <w:t>Ukupno</w:t>
            </w:r>
            <w:proofErr w:type="spellEnd"/>
          </w:p>
        </w:tc>
        <w:tc>
          <w:tcPr>
            <w:tcW w:w="1686" w:type="dxa"/>
            <w:tcBorders>
              <w:top w:val="single" w:sz="4" w:space="0" w:color="auto"/>
              <w:bottom w:val="single" w:sz="12" w:space="0" w:color="auto"/>
            </w:tcBorders>
            <w:vAlign w:val="bottom"/>
          </w:tcPr>
          <w:p w14:paraId="6544A453" w14:textId="52380DD8" w:rsidR="00F33730" w:rsidRPr="000E5941" w:rsidRDefault="00FC41A8" w:rsidP="00F33730">
            <w:pPr>
              <w:tabs>
                <w:tab w:val="left" w:pos="-720"/>
              </w:tabs>
              <w:jc w:val="right"/>
              <w:rPr>
                <w:rFonts w:ascii="Calibri" w:hAnsi="Calibri"/>
                <w:b/>
                <w:bCs/>
                <w:sz w:val="18"/>
                <w:szCs w:val="18"/>
                <w:lang w:eastAsia="hr-HR"/>
              </w:rPr>
            </w:pPr>
            <w:r w:rsidRPr="00FC41A8">
              <w:rPr>
                <w:rFonts w:ascii="Calibri" w:hAnsi="Calibri"/>
                <w:b/>
                <w:bCs/>
                <w:sz w:val="18"/>
                <w:szCs w:val="18"/>
                <w:lang w:eastAsia="hr-HR"/>
              </w:rPr>
              <w:t>3.097.149</w:t>
            </w:r>
          </w:p>
        </w:tc>
        <w:tc>
          <w:tcPr>
            <w:tcW w:w="1386" w:type="dxa"/>
            <w:tcBorders>
              <w:top w:val="single" w:sz="4" w:space="0" w:color="auto"/>
              <w:left w:val="nil"/>
              <w:bottom w:val="single" w:sz="12" w:space="0" w:color="auto"/>
              <w:right w:val="nil"/>
            </w:tcBorders>
            <w:shd w:val="clear" w:color="auto" w:fill="auto"/>
            <w:vAlign w:val="bottom"/>
          </w:tcPr>
          <w:p w14:paraId="1560F2E6" w14:textId="05EDF5FB" w:rsidR="00F33730" w:rsidRDefault="00F33730" w:rsidP="00F33730">
            <w:pPr>
              <w:tabs>
                <w:tab w:val="left" w:pos="-720"/>
              </w:tabs>
              <w:jc w:val="right"/>
              <w:rPr>
                <w:rFonts w:cs="Calibri"/>
                <w:sz w:val="24"/>
                <w:szCs w:val="24"/>
                <w:lang w:eastAsia="hr-HR"/>
              </w:rPr>
            </w:pPr>
            <w:r w:rsidRPr="000063A9">
              <w:rPr>
                <w:rFonts w:ascii="Calibri" w:hAnsi="Calibri"/>
                <w:b/>
                <w:bCs/>
                <w:sz w:val="18"/>
                <w:szCs w:val="18"/>
                <w:lang w:eastAsia="hr-HR"/>
              </w:rPr>
              <w:t>3.390.034</w:t>
            </w:r>
          </w:p>
        </w:tc>
        <w:tc>
          <w:tcPr>
            <w:tcW w:w="1519" w:type="dxa"/>
            <w:tcBorders>
              <w:top w:val="single" w:sz="4" w:space="0" w:color="auto"/>
              <w:bottom w:val="single" w:sz="12" w:space="0" w:color="auto"/>
            </w:tcBorders>
            <w:vAlign w:val="bottom"/>
          </w:tcPr>
          <w:p w14:paraId="435326DD" w14:textId="4B77FDDA" w:rsidR="00F33730" w:rsidRPr="000E5941" w:rsidRDefault="00FC41A8" w:rsidP="00F33730">
            <w:pPr>
              <w:tabs>
                <w:tab w:val="left" w:pos="-720"/>
              </w:tabs>
              <w:jc w:val="right"/>
              <w:rPr>
                <w:rFonts w:ascii="Calibri" w:hAnsi="Calibri"/>
                <w:b/>
                <w:bCs/>
                <w:sz w:val="18"/>
                <w:szCs w:val="18"/>
                <w:lang w:eastAsia="hr-HR"/>
              </w:rPr>
            </w:pPr>
            <w:r w:rsidRPr="00FC41A8">
              <w:rPr>
                <w:rFonts w:ascii="Calibri" w:hAnsi="Calibri"/>
                <w:b/>
                <w:bCs/>
                <w:sz w:val="18"/>
                <w:szCs w:val="18"/>
                <w:lang w:eastAsia="hr-HR"/>
              </w:rPr>
              <w:t>3.047.924</w:t>
            </w:r>
          </w:p>
        </w:tc>
        <w:tc>
          <w:tcPr>
            <w:tcW w:w="1274" w:type="dxa"/>
            <w:tcBorders>
              <w:top w:val="single" w:sz="4" w:space="0" w:color="auto"/>
              <w:left w:val="nil"/>
              <w:bottom w:val="single" w:sz="12" w:space="0" w:color="auto"/>
              <w:right w:val="nil"/>
            </w:tcBorders>
            <w:shd w:val="clear" w:color="auto" w:fill="auto"/>
            <w:vAlign w:val="bottom"/>
          </w:tcPr>
          <w:p w14:paraId="6806C6CC" w14:textId="7FE0F041" w:rsidR="00F33730" w:rsidRDefault="00F33730" w:rsidP="00F33730">
            <w:pPr>
              <w:tabs>
                <w:tab w:val="left" w:pos="-720"/>
              </w:tabs>
              <w:jc w:val="right"/>
              <w:rPr>
                <w:rFonts w:cs="Calibri"/>
                <w:sz w:val="24"/>
                <w:szCs w:val="24"/>
                <w:lang w:eastAsia="hr-HR"/>
              </w:rPr>
            </w:pPr>
            <w:r w:rsidRPr="000063A9">
              <w:rPr>
                <w:rFonts w:ascii="Calibri" w:hAnsi="Calibri"/>
                <w:b/>
                <w:bCs/>
                <w:sz w:val="18"/>
                <w:szCs w:val="18"/>
                <w:lang w:eastAsia="hr-HR"/>
              </w:rPr>
              <w:t>3.343.574</w:t>
            </w:r>
          </w:p>
        </w:tc>
      </w:tr>
    </w:tbl>
    <w:p w14:paraId="6443CFE3" w14:textId="77777777" w:rsidR="004F15ED" w:rsidRDefault="004F15ED" w:rsidP="006F009D">
      <w:pPr>
        <w:tabs>
          <w:tab w:val="left" w:pos="-720"/>
        </w:tabs>
        <w:spacing w:after="0" w:line="240" w:lineRule="auto"/>
        <w:jc w:val="both"/>
        <w:rPr>
          <w:rFonts w:eastAsia="Times New Roman" w:cs="Calibri"/>
          <w:sz w:val="24"/>
          <w:szCs w:val="24"/>
          <w:lang w:eastAsia="hr-HR"/>
        </w:rPr>
      </w:pPr>
    </w:p>
    <w:p w14:paraId="188B2B88" w14:textId="77777777" w:rsidR="004F15ED" w:rsidRDefault="004F15ED" w:rsidP="006F009D">
      <w:pPr>
        <w:tabs>
          <w:tab w:val="left" w:pos="-720"/>
        </w:tabs>
        <w:spacing w:after="0" w:line="240" w:lineRule="auto"/>
        <w:jc w:val="both"/>
        <w:rPr>
          <w:rFonts w:eastAsia="Times New Roman" w:cs="Calibri"/>
          <w:sz w:val="24"/>
          <w:szCs w:val="24"/>
          <w:lang w:eastAsia="hr-HR"/>
        </w:rPr>
      </w:pPr>
    </w:p>
    <w:p w14:paraId="2E11C1BF" w14:textId="77777777" w:rsidR="004F15ED" w:rsidRDefault="004F15ED" w:rsidP="006F009D">
      <w:pPr>
        <w:tabs>
          <w:tab w:val="left" w:pos="-720"/>
        </w:tabs>
        <w:spacing w:after="0" w:line="240" w:lineRule="auto"/>
        <w:jc w:val="both"/>
        <w:rPr>
          <w:rFonts w:eastAsia="Times New Roman" w:cs="Calibri"/>
          <w:sz w:val="24"/>
          <w:szCs w:val="24"/>
          <w:lang w:eastAsia="hr-HR"/>
        </w:rPr>
      </w:pPr>
    </w:p>
    <w:p w14:paraId="7A427ED8" w14:textId="77777777" w:rsidR="004F15ED" w:rsidRDefault="004F15ED" w:rsidP="006F009D">
      <w:pPr>
        <w:tabs>
          <w:tab w:val="left" w:pos="-720"/>
        </w:tabs>
        <w:spacing w:after="0" w:line="240" w:lineRule="auto"/>
        <w:jc w:val="both"/>
        <w:rPr>
          <w:rFonts w:eastAsia="Times New Roman" w:cs="Calibri"/>
          <w:sz w:val="24"/>
          <w:szCs w:val="24"/>
          <w:lang w:eastAsia="hr-HR"/>
        </w:rPr>
      </w:pPr>
    </w:p>
    <w:p w14:paraId="1CEF78D2" w14:textId="77777777" w:rsidR="003B2137" w:rsidRDefault="003B2137" w:rsidP="000063A9">
      <w:pPr>
        <w:rPr>
          <w:rFonts w:eastAsia="Times New Roman" w:cs="Calibri"/>
          <w:sz w:val="24"/>
          <w:szCs w:val="24"/>
          <w:lang w:eastAsia="hr-HR"/>
        </w:rPr>
      </w:pPr>
    </w:p>
    <w:p w14:paraId="29FAD60D" w14:textId="77777777" w:rsidR="003B2137" w:rsidRDefault="003B2137" w:rsidP="003B2137">
      <w:pPr>
        <w:rPr>
          <w:rFonts w:eastAsia="Times New Roman" w:cs="Calibri"/>
          <w:sz w:val="24"/>
          <w:szCs w:val="24"/>
          <w:lang w:eastAsia="hr-HR"/>
        </w:rPr>
      </w:pPr>
    </w:p>
    <w:p w14:paraId="16F26853" w14:textId="77777777" w:rsidR="0026089C" w:rsidRPr="002C12B4" w:rsidRDefault="0026089C" w:rsidP="00F1130C">
      <w:pPr>
        <w:rPr>
          <w:rFonts w:eastAsia="Times New Roman" w:cs="Calibri"/>
          <w:sz w:val="24"/>
          <w:szCs w:val="24"/>
          <w:lang w:eastAsia="hr-HR"/>
        </w:rPr>
        <w:sectPr w:rsidR="0026089C" w:rsidRPr="002C12B4" w:rsidSect="00F33730">
          <w:footerReference w:type="first" r:id="rId76"/>
          <w:pgSz w:w="11906" w:h="16838" w:code="9"/>
          <w:pgMar w:top="1418" w:right="1418" w:bottom="595" w:left="1134" w:header="709" w:footer="709" w:gutter="0"/>
          <w:cols w:space="708"/>
          <w:titlePg/>
          <w:docGrid w:linePitch="360"/>
        </w:sectPr>
      </w:pPr>
    </w:p>
    <w:p w14:paraId="6C98E315" w14:textId="77777777" w:rsidR="002255D9" w:rsidRDefault="002255D9" w:rsidP="002255D9">
      <w:pPr>
        <w:tabs>
          <w:tab w:val="left" w:pos="-720"/>
        </w:tabs>
        <w:spacing w:after="0" w:line="240" w:lineRule="auto"/>
        <w:jc w:val="both"/>
        <w:rPr>
          <w:rFonts w:eastAsia="Times New Roman" w:cs="Calibri"/>
          <w:b/>
          <w:lang w:eastAsia="hr-HR"/>
        </w:rPr>
      </w:pPr>
    </w:p>
    <w:p w14:paraId="404C9FE7" w14:textId="77777777" w:rsidR="002E1695" w:rsidRDefault="0026089C" w:rsidP="002255D9">
      <w:pPr>
        <w:tabs>
          <w:tab w:val="left" w:pos="-720"/>
        </w:tabs>
        <w:spacing w:after="0" w:line="240" w:lineRule="auto"/>
        <w:jc w:val="both"/>
        <w:rPr>
          <w:rFonts w:eastAsia="Times New Roman" w:cs="Calibri"/>
          <w:b/>
          <w:lang w:eastAsia="hr-HR"/>
        </w:rPr>
      </w:pPr>
      <w:r w:rsidRPr="00ED4731">
        <w:rPr>
          <w:rFonts w:eastAsia="Times New Roman" w:cs="Calibri"/>
          <w:b/>
          <w:lang w:eastAsia="hr-HR"/>
        </w:rPr>
        <w:t>1</w:t>
      </w:r>
      <w:r w:rsidR="00803DA8">
        <w:rPr>
          <w:rFonts w:eastAsia="Times New Roman" w:cs="Calibri"/>
          <w:b/>
          <w:lang w:eastAsia="hr-HR"/>
        </w:rPr>
        <w:t>2</w:t>
      </w:r>
      <w:r w:rsidRPr="00ED4731">
        <w:rPr>
          <w:rFonts w:eastAsia="Times New Roman" w:cs="Calibri"/>
          <w:b/>
          <w:lang w:eastAsia="hr-HR"/>
        </w:rPr>
        <w:t xml:space="preserve">. </w:t>
      </w:r>
      <w:r w:rsidRPr="00ED4731">
        <w:rPr>
          <w:rFonts w:eastAsia="Times New Roman" w:cs="Calibri"/>
          <w:b/>
          <w:lang w:eastAsia="hr-HR"/>
        </w:rPr>
        <w:tab/>
      </w:r>
      <w:r w:rsidR="002E1695" w:rsidRPr="00ED4731">
        <w:rPr>
          <w:rFonts w:eastAsia="Times New Roman" w:cs="Calibri"/>
          <w:b/>
          <w:lang w:eastAsia="hr-HR"/>
        </w:rPr>
        <w:t>Obveze po kreditima</w:t>
      </w:r>
    </w:p>
    <w:p w14:paraId="569F43BF" w14:textId="77777777" w:rsidR="002255D9" w:rsidRPr="00312975" w:rsidRDefault="002255D9" w:rsidP="002255D9">
      <w:pPr>
        <w:tabs>
          <w:tab w:val="left" w:pos="-720"/>
        </w:tabs>
        <w:spacing w:after="0" w:line="240" w:lineRule="auto"/>
        <w:jc w:val="both"/>
        <w:rPr>
          <w:rFonts w:eastAsia="Times New Roman" w:cs="Calibri"/>
          <w:b/>
          <w:sz w:val="18"/>
          <w:szCs w:val="18"/>
          <w:lang w:eastAsia="hr-HR"/>
        </w:rPr>
      </w:pPr>
    </w:p>
    <w:tbl>
      <w:tblPr>
        <w:tblW w:w="5000" w:type="pct"/>
        <w:tblLayout w:type="fixed"/>
        <w:tblCellMar>
          <w:left w:w="119" w:type="dxa"/>
          <w:right w:w="119" w:type="dxa"/>
        </w:tblCellMar>
        <w:tblLook w:val="0000" w:firstRow="0" w:lastRow="0" w:firstColumn="0" w:lastColumn="0" w:noHBand="0" w:noVBand="0"/>
      </w:tblPr>
      <w:tblGrid>
        <w:gridCol w:w="3854"/>
        <w:gridCol w:w="1375"/>
        <w:gridCol w:w="1377"/>
        <w:gridCol w:w="1377"/>
        <w:gridCol w:w="1371"/>
      </w:tblGrid>
      <w:tr w:rsidR="002B5D43" w:rsidRPr="0098489B" w14:paraId="6D9C495C" w14:textId="77777777" w:rsidTr="00312975">
        <w:trPr>
          <w:trHeight w:hRule="exact" w:val="298"/>
        </w:trPr>
        <w:tc>
          <w:tcPr>
            <w:tcW w:w="2060" w:type="pct"/>
            <w:vAlign w:val="center"/>
          </w:tcPr>
          <w:p w14:paraId="36F6E6A1" w14:textId="77777777" w:rsidR="002B5D43" w:rsidRPr="00312975" w:rsidRDefault="002B5D43" w:rsidP="002B5D43">
            <w:pPr>
              <w:tabs>
                <w:tab w:val="left" w:pos="-1963"/>
              </w:tabs>
              <w:suppressAutoHyphens/>
              <w:spacing w:after="0" w:line="240" w:lineRule="auto"/>
              <w:jc w:val="center"/>
              <w:rPr>
                <w:rFonts w:eastAsia="Times New Roman" w:cs="Arial"/>
                <w:spacing w:val="-3"/>
                <w:sz w:val="18"/>
                <w:szCs w:val="18"/>
              </w:rPr>
            </w:pPr>
          </w:p>
        </w:tc>
        <w:tc>
          <w:tcPr>
            <w:tcW w:w="1471" w:type="pct"/>
            <w:gridSpan w:val="2"/>
            <w:vAlign w:val="center"/>
          </w:tcPr>
          <w:p w14:paraId="38FA8C13" w14:textId="77777777" w:rsidR="002B5D43" w:rsidRPr="00312975" w:rsidRDefault="002B5D43" w:rsidP="002B5D43">
            <w:pPr>
              <w:tabs>
                <w:tab w:val="right" w:pos="1202"/>
              </w:tabs>
              <w:spacing w:after="0" w:line="220" w:lineRule="exact"/>
              <w:jc w:val="right"/>
              <w:outlineLvl w:val="0"/>
              <w:rPr>
                <w:rFonts w:eastAsia="Times New Roman" w:cs="Arial"/>
                <w:b/>
                <w:sz w:val="18"/>
                <w:szCs w:val="18"/>
              </w:rPr>
            </w:pPr>
            <w:r w:rsidRPr="00312975">
              <w:rPr>
                <w:rFonts w:eastAsia="Times New Roman" w:cs="Arial"/>
                <w:b/>
                <w:sz w:val="18"/>
                <w:szCs w:val="18"/>
              </w:rPr>
              <w:t>Grupa</w:t>
            </w:r>
          </w:p>
        </w:tc>
        <w:tc>
          <w:tcPr>
            <w:tcW w:w="1469" w:type="pct"/>
            <w:gridSpan w:val="2"/>
            <w:vAlign w:val="center"/>
          </w:tcPr>
          <w:p w14:paraId="7EDC89B8" w14:textId="77777777" w:rsidR="002B5D43" w:rsidRPr="00312975" w:rsidRDefault="002B5D43" w:rsidP="002B5D43">
            <w:pPr>
              <w:tabs>
                <w:tab w:val="right" w:pos="1202"/>
              </w:tabs>
              <w:spacing w:after="0" w:line="220" w:lineRule="exact"/>
              <w:jc w:val="right"/>
              <w:outlineLvl w:val="0"/>
              <w:rPr>
                <w:rFonts w:eastAsia="Times New Roman" w:cs="Arial"/>
                <w:b/>
                <w:sz w:val="18"/>
                <w:szCs w:val="18"/>
              </w:rPr>
            </w:pPr>
            <w:r w:rsidRPr="00312975">
              <w:rPr>
                <w:rFonts w:eastAsia="Times New Roman" w:cs="Arial"/>
                <w:b/>
                <w:sz w:val="18"/>
                <w:szCs w:val="18"/>
              </w:rPr>
              <w:t>Banka</w:t>
            </w:r>
          </w:p>
        </w:tc>
      </w:tr>
      <w:tr w:rsidR="0088252B" w:rsidRPr="0098489B" w14:paraId="49015D6B" w14:textId="77777777" w:rsidTr="00312975">
        <w:trPr>
          <w:trHeight w:hRule="exact" w:val="231"/>
        </w:trPr>
        <w:tc>
          <w:tcPr>
            <w:tcW w:w="2060" w:type="pct"/>
            <w:vAlign w:val="center"/>
          </w:tcPr>
          <w:p w14:paraId="1FB72F75" w14:textId="77777777" w:rsidR="0088252B" w:rsidRPr="00312975" w:rsidRDefault="0088252B" w:rsidP="0088252B">
            <w:pPr>
              <w:tabs>
                <w:tab w:val="left" w:pos="-1963"/>
              </w:tabs>
              <w:suppressAutoHyphens/>
              <w:spacing w:after="0" w:line="240" w:lineRule="auto"/>
              <w:jc w:val="center"/>
              <w:rPr>
                <w:rFonts w:eastAsia="Times New Roman" w:cs="Arial"/>
                <w:spacing w:val="-3"/>
                <w:sz w:val="18"/>
                <w:szCs w:val="18"/>
              </w:rPr>
            </w:pPr>
          </w:p>
        </w:tc>
        <w:tc>
          <w:tcPr>
            <w:tcW w:w="735" w:type="pct"/>
            <w:tcBorders>
              <w:top w:val="nil"/>
              <w:left w:val="nil"/>
              <w:bottom w:val="nil"/>
              <w:right w:val="nil"/>
            </w:tcBorders>
            <w:shd w:val="clear" w:color="auto" w:fill="auto"/>
            <w:vAlign w:val="center"/>
          </w:tcPr>
          <w:p w14:paraId="51A457AC" w14:textId="59481EED" w:rsidR="0088252B" w:rsidRPr="00312975" w:rsidRDefault="000D2918">
            <w:pPr>
              <w:spacing w:after="0" w:line="240" w:lineRule="auto"/>
              <w:jc w:val="right"/>
              <w:rPr>
                <w:rFonts w:eastAsia="Times New Roman" w:cs="Times New Roman"/>
                <w:b/>
                <w:bCs/>
                <w:color w:val="000000"/>
                <w:sz w:val="18"/>
                <w:szCs w:val="18"/>
                <w:lang w:eastAsia="hr-HR"/>
              </w:rPr>
            </w:pPr>
            <w:r w:rsidRPr="00312975">
              <w:rPr>
                <w:rFonts w:ascii="Calibri" w:eastAsia="Times New Roman" w:hAnsi="Calibri" w:cs="Arial"/>
                <w:b/>
                <w:bCs/>
                <w:color w:val="000000"/>
                <w:sz w:val="18"/>
                <w:szCs w:val="18"/>
              </w:rPr>
              <w:t>30</w:t>
            </w:r>
            <w:r w:rsidR="0088252B" w:rsidRPr="00312975">
              <w:rPr>
                <w:rFonts w:ascii="Calibri" w:eastAsia="Times New Roman" w:hAnsi="Calibri" w:cs="Arial"/>
                <w:b/>
                <w:bCs/>
                <w:color w:val="000000"/>
                <w:sz w:val="18"/>
                <w:szCs w:val="18"/>
              </w:rPr>
              <w:t>.</w:t>
            </w:r>
            <w:r w:rsidRPr="00312975">
              <w:rPr>
                <w:rFonts w:ascii="Calibri" w:eastAsia="Times New Roman" w:hAnsi="Calibri" w:cs="Arial"/>
                <w:b/>
                <w:bCs/>
                <w:color w:val="000000"/>
                <w:sz w:val="18"/>
                <w:szCs w:val="18"/>
              </w:rPr>
              <w:t>6</w:t>
            </w:r>
            <w:r w:rsidR="0088252B" w:rsidRPr="00312975">
              <w:rPr>
                <w:rFonts w:ascii="Calibri" w:eastAsia="Times New Roman" w:hAnsi="Calibri" w:cs="Arial"/>
                <w:b/>
                <w:bCs/>
                <w:color w:val="000000"/>
                <w:sz w:val="18"/>
                <w:szCs w:val="18"/>
              </w:rPr>
              <w:t>.2017.</w:t>
            </w:r>
          </w:p>
        </w:tc>
        <w:tc>
          <w:tcPr>
            <w:tcW w:w="736" w:type="pct"/>
            <w:tcBorders>
              <w:top w:val="nil"/>
              <w:left w:val="nil"/>
              <w:bottom w:val="nil"/>
              <w:right w:val="nil"/>
            </w:tcBorders>
            <w:shd w:val="clear" w:color="auto" w:fill="auto"/>
            <w:vAlign w:val="center"/>
          </w:tcPr>
          <w:p w14:paraId="28C435DB" w14:textId="4A66DD8E" w:rsidR="0088252B" w:rsidRPr="00312975" w:rsidRDefault="0088252B" w:rsidP="0088252B">
            <w:pPr>
              <w:spacing w:after="0" w:line="240" w:lineRule="auto"/>
              <w:jc w:val="right"/>
              <w:rPr>
                <w:rFonts w:eastAsia="Times New Roman" w:cs="Times New Roman"/>
                <w:b/>
                <w:bCs/>
                <w:color w:val="000000"/>
                <w:sz w:val="18"/>
                <w:szCs w:val="18"/>
                <w:lang w:eastAsia="hr-HR"/>
              </w:rPr>
            </w:pPr>
            <w:r w:rsidRPr="00312975">
              <w:rPr>
                <w:rFonts w:ascii="Calibri" w:eastAsia="Times New Roman" w:hAnsi="Calibri" w:cs="Arial"/>
                <w:b/>
                <w:bCs/>
                <w:color w:val="000000"/>
                <w:sz w:val="18"/>
                <w:szCs w:val="18"/>
              </w:rPr>
              <w:t>31.12.2016.</w:t>
            </w:r>
          </w:p>
        </w:tc>
        <w:tc>
          <w:tcPr>
            <w:tcW w:w="736" w:type="pct"/>
            <w:tcBorders>
              <w:top w:val="nil"/>
              <w:left w:val="nil"/>
              <w:bottom w:val="nil"/>
              <w:right w:val="nil"/>
            </w:tcBorders>
            <w:shd w:val="clear" w:color="auto" w:fill="auto"/>
            <w:vAlign w:val="center"/>
          </w:tcPr>
          <w:p w14:paraId="0A52DA45" w14:textId="6791CF1A" w:rsidR="0088252B" w:rsidRPr="00312975" w:rsidRDefault="000D2918">
            <w:pPr>
              <w:spacing w:after="0" w:line="240" w:lineRule="auto"/>
              <w:jc w:val="right"/>
              <w:rPr>
                <w:rFonts w:eastAsia="Times New Roman" w:cs="Times New Roman"/>
                <w:b/>
                <w:bCs/>
                <w:color w:val="000000"/>
                <w:sz w:val="18"/>
                <w:szCs w:val="18"/>
                <w:lang w:eastAsia="hr-HR"/>
              </w:rPr>
            </w:pPr>
            <w:r w:rsidRPr="00312975">
              <w:rPr>
                <w:rFonts w:ascii="Calibri" w:eastAsia="Times New Roman" w:hAnsi="Calibri" w:cs="Arial"/>
                <w:b/>
                <w:bCs/>
                <w:color w:val="000000"/>
                <w:sz w:val="18"/>
                <w:szCs w:val="18"/>
              </w:rPr>
              <w:t>30</w:t>
            </w:r>
            <w:r w:rsidR="0088252B" w:rsidRPr="00312975">
              <w:rPr>
                <w:rFonts w:ascii="Calibri" w:eastAsia="Times New Roman" w:hAnsi="Calibri" w:cs="Arial"/>
                <w:b/>
                <w:bCs/>
                <w:color w:val="000000"/>
                <w:sz w:val="18"/>
                <w:szCs w:val="18"/>
              </w:rPr>
              <w:t>.</w:t>
            </w:r>
            <w:r w:rsidRPr="00312975">
              <w:rPr>
                <w:rFonts w:ascii="Calibri" w:eastAsia="Times New Roman" w:hAnsi="Calibri" w:cs="Arial"/>
                <w:b/>
                <w:bCs/>
                <w:color w:val="000000"/>
                <w:sz w:val="18"/>
                <w:szCs w:val="18"/>
              </w:rPr>
              <w:t>6</w:t>
            </w:r>
            <w:r w:rsidR="0088252B" w:rsidRPr="00312975">
              <w:rPr>
                <w:rFonts w:ascii="Calibri" w:eastAsia="Times New Roman" w:hAnsi="Calibri" w:cs="Arial"/>
                <w:b/>
                <w:bCs/>
                <w:color w:val="000000"/>
                <w:sz w:val="18"/>
                <w:szCs w:val="18"/>
              </w:rPr>
              <w:t>.2017.</w:t>
            </w:r>
          </w:p>
        </w:tc>
        <w:tc>
          <w:tcPr>
            <w:tcW w:w="733" w:type="pct"/>
            <w:tcBorders>
              <w:top w:val="nil"/>
              <w:left w:val="nil"/>
              <w:bottom w:val="nil"/>
              <w:right w:val="nil"/>
            </w:tcBorders>
            <w:shd w:val="clear" w:color="auto" w:fill="auto"/>
            <w:vAlign w:val="center"/>
          </w:tcPr>
          <w:p w14:paraId="278C3606" w14:textId="6133E6B7" w:rsidR="0088252B" w:rsidRPr="00312975" w:rsidRDefault="0088252B" w:rsidP="0088252B">
            <w:pPr>
              <w:spacing w:after="0" w:line="240" w:lineRule="auto"/>
              <w:jc w:val="right"/>
              <w:rPr>
                <w:rFonts w:eastAsia="Times New Roman" w:cs="Times New Roman"/>
                <w:b/>
                <w:bCs/>
                <w:color w:val="000000"/>
                <w:sz w:val="18"/>
                <w:szCs w:val="18"/>
                <w:lang w:eastAsia="hr-HR"/>
              </w:rPr>
            </w:pPr>
            <w:r w:rsidRPr="00312975">
              <w:rPr>
                <w:rFonts w:ascii="Calibri" w:eastAsia="Times New Roman" w:hAnsi="Calibri" w:cs="Arial"/>
                <w:b/>
                <w:bCs/>
                <w:color w:val="000000"/>
                <w:sz w:val="18"/>
                <w:szCs w:val="18"/>
              </w:rPr>
              <w:t>31.12.2016.</w:t>
            </w:r>
          </w:p>
        </w:tc>
      </w:tr>
      <w:tr w:rsidR="00DE4C8C" w:rsidRPr="0098489B" w14:paraId="654F255E" w14:textId="77777777" w:rsidTr="00312975">
        <w:trPr>
          <w:trHeight w:val="170"/>
        </w:trPr>
        <w:tc>
          <w:tcPr>
            <w:tcW w:w="2060" w:type="pct"/>
          </w:tcPr>
          <w:p w14:paraId="5469B886" w14:textId="510295D6" w:rsidR="00DE4C8C" w:rsidRPr="00312975" w:rsidRDefault="00DE4C8C" w:rsidP="00DE4C8C">
            <w:pPr>
              <w:tabs>
                <w:tab w:val="right" w:pos="1202"/>
              </w:tabs>
              <w:spacing w:after="0" w:line="301" w:lineRule="exact"/>
              <w:outlineLvl w:val="0"/>
              <w:rPr>
                <w:rFonts w:eastAsia="Times New Roman" w:cs="Arial"/>
                <w:sz w:val="18"/>
                <w:szCs w:val="18"/>
              </w:rPr>
            </w:pPr>
            <w:r w:rsidRPr="00312975">
              <w:rPr>
                <w:rFonts w:eastAsia="Times New Roman" w:cs="Arial"/>
                <w:sz w:val="18"/>
                <w:szCs w:val="18"/>
              </w:rPr>
              <w:t xml:space="preserve">Stanje 1. siječnja </w:t>
            </w:r>
          </w:p>
        </w:tc>
        <w:tc>
          <w:tcPr>
            <w:tcW w:w="735" w:type="pct"/>
            <w:tcBorders>
              <w:top w:val="nil"/>
              <w:left w:val="nil"/>
              <w:right w:val="nil"/>
            </w:tcBorders>
            <w:shd w:val="clear" w:color="auto" w:fill="auto"/>
          </w:tcPr>
          <w:p w14:paraId="76D8C0AC" w14:textId="5FC30517" w:rsidR="00DE4C8C" w:rsidRPr="00312975" w:rsidRDefault="00DE4C8C" w:rsidP="00DE4C8C">
            <w:pPr>
              <w:tabs>
                <w:tab w:val="right" w:pos="1202"/>
              </w:tabs>
              <w:spacing w:after="0" w:line="301" w:lineRule="exact"/>
              <w:jc w:val="right"/>
              <w:outlineLvl w:val="0"/>
              <w:rPr>
                <w:rFonts w:ascii="Calibri" w:hAnsi="Calibri"/>
                <w:color w:val="000000"/>
                <w:sz w:val="18"/>
                <w:szCs w:val="18"/>
              </w:rPr>
            </w:pPr>
            <w:r w:rsidRPr="00312975">
              <w:rPr>
                <w:rFonts w:ascii="Calibri" w:hAnsi="Calibri"/>
                <w:color w:val="000000"/>
                <w:sz w:val="18"/>
                <w:szCs w:val="18"/>
              </w:rPr>
              <w:t>13.378.057</w:t>
            </w:r>
          </w:p>
        </w:tc>
        <w:tc>
          <w:tcPr>
            <w:tcW w:w="736" w:type="pct"/>
          </w:tcPr>
          <w:p w14:paraId="74647813" w14:textId="3347F640" w:rsidR="00DE4C8C" w:rsidRPr="00312975" w:rsidRDefault="00DE4C8C" w:rsidP="00DE4C8C">
            <w:pPr>
              <w:tabs>
                <w:tab w:val="right" w:pos="1202"/>
              </w:tabs>
              <w:spacing w:after="0" w:line="301" w:lineRule="exact"/>
              <w:jc w:val="right"/>
              <w:outlineLvl w:val="0"/>
              <w:rPr>
                <w:rFonts w:ascii="Calibri" w:hAnsi="Calibri"/>
                <w:color w:val="000000"/>
                <w:sz w:val="18"/>
                <w:szCs w:val="18"/>
              </w:rPr>
            </w:pPr>
            <w:r w:rsidRPr="00312975">
              <w:rPr>
                <w:rFonts w:ascii="Calibri" w:hAnsi="Calibri"/>
                <w:color w:val="000000"/>
                <w:sz w:val="18"/>
                <w:szCs w:val="18"/>
              </w:rPr>
              <w:t>11.453.796</w:t>
            </w:r>
          </w:p>
        </w:tc>
        <w:tc>
          <w:tcPr>
            <w:tcW w:w="736" w:type="pct"/>
            <w:tcBorders>
              <w:top w:val="nil"/>
              <w:left w:val="nil"/>
              <w:right w:val="nil"/>
            </w:tcBorders>
            <w:shd w:val="clear" w:color="auto" w:fill="auto"/>
          </w:tcPr>
          <w:p w14:paraId="4D5F58D4" w14:textId="57A72BBB" w:rsidR="00DE4C8C" w:rsidRPr="00312975" w:rsidRDefault="00DE4C8C" w:rsidP="00DE4C8C">
            <w:pPr>
              <w:tabs>
                <w:tab w:val="right" w:pos="1202"/>
              </w:tabs>
              <w:spacing w:after="0" w:line="301" w:lineRule="exact"/>
              <w:jc w:val="right"/>
              <w:outlineLvl w:val="0"/>
              <w:rPr>
                <w:rFonts w:ascii="Calibri" w:hAnsi="Calibri"/>
                <w:color w:val="000000"/>
                <w:sz w:val="18"/>
                <w:szCs w:val="18"/>
              </w:rPr>
            </w:pPr>
            <w:r w:rsidRPr="00312975">
              <w:rPr>
                <w:rFonts w:ascii="Calibri" w:hAnsi="Calibri"/>
                <w:color w:val="000000"/>
                <w:sz w:val="18"/>
                <w:szCs w:val="18"/>
              </w:rPr>
              <w:t>13.378.057</w:t>
            </w:r>
          </w:p>
        </w:tc>
        <w:tc>
          <w:tcPr>
            <w:tcW w:w="733" w:type="pct"/>
            <w:tcBorders>
              <w:top w:val="nil"/>
              <w:left w:val="nil"/>
              <w:bottom w:val="nil"/>
              <w:right w:val="nil"/>
            </w:tcBorders>
            <w:shd w:val="clear" w:color="auto" w:fill="auto"/>
            <w:vAlign w:val="bottom"/>
          </w:tcPr>
          <w:p w14:paraId="5DDF9475" w14:textId="4C1750B2" w:rsidR="00DE4C8C" w:rsidRPr="00312975" w:rsidRDefault="00DE4C8C" w:rsidP="00DE4C8C">
            <w:pPr>
              <w:tabs>
                <w:tab w:val="right" w:pos="1202"/>
              </w:tabs>
              <w:spacing w:after="0" w:line="301" w:lineRule="exact"/>
              <w:jc w:val="right"/>
              <w:outlineLvl w:val="0"/>
              <w:rPr>
                <w:rFonts w:eastAsia="Times New Roman" w:cs="Arial"/>
                <w:sz w:val="18"/>
                <w:szCs w:val="18"/>
              </w:rPr>
            </w:pPr>
            <w:r w:rsidRPr="00312975">
              <w:rPr>
                <w:rFonts w:ascii="Calibri" w:hAnsi="Calibri"/>
                <w:color w:val="000000"/>
                <w:sz w:val="18"/>
                <w:szCs w:val="18"/>
              </w:rPr>
              <w:t>11.453.796</w:t>
            </w:r>
          </w:p>
        </w:tc>
      </w:tr>
      <w:tr w:rsidR="00DE4C8C" w:rsidRPr="0098489B" w14:paraId="2B5F84D5" w14:textId="77777777" w:rsidTr="00312975">
        <w:trPr>
          <w:trHeight w:val="170"/>
        </w:trPr>
        <w:tc>
          <w:tcPr>
            <w:tcW w:w="2060" w:type="pct"/>
          </w:tcPr>
          <w:p w14:paraId="28597153" w14:textId="77777777" w:rsidR="00DE4C8C" w:rsidRPr="00312975" w:rsidRDefault="00DE4C8C" w:rsidP="00DE4C8C">
            <w:pPr>
              <w:tabs>
                <w:tab w:val="right" w:pos="1202"/>
              </w:tabs>
              <w:spacing w:after="0" w:line="301" w:lineRule="exact"/>
              <w:outlineLvl w:val="0"/>
              <w:rPr>
                <w:rFonts w:eastAsia="Times New Roman" w:cs="Arial"/>
                <w:sz w:val="18"/>
                <w:szCs w:val="18"/>
              </w:rPr>
            </w:pPr>
            <w:r w:rsidRPr="00312975">
              <w:rPr>
                <w:rFonts w:eastAsia="Times New Roman" w:cs="Arial"/>
                <w:sz w:val="18"/>
                <w:szCs w:val="18"/>
              </w:rPr>
              <w:t>Novi krediti</w:t>
            </w:r>
          </w:p>
        </w:tc>
        <w:tc>
          <w:tcPr>
            <w:tcW w:w="735" w:type="pct"/>
            <w:tcBorders>
              <w:top w:val="nil"/>
              <w:left w:val="nil"/>
              <w:bottom w:val="nil"/>
              <w:right w:val="nil"/>
            </w:tcBorders>
            <w:shd w:val="clear" w:color="000000" w:fill="auto"/>
          </w:tcPr>
          <w:p w14:paraId="0A5D3F64" w14:textId="43457FBF" w:rsidR="00DE4C8C" w:rsidRPr="00312975" w:rsidRDefault="00DE4C8C" w:rsidP="00DE4C8C">
            <w:pPr>
              <w:tabs>
                <w:tab w:val="right" w:pos="1202"/>
              </w:tabs>
              <w:spacing w:after="0" w:line="301" w:lineRule="exact"/>
              <w:jc w:val="right"/>
              <w:outlineLvl w:val="0"/>
              <w:rPr>
                <w:rFonts w:ascii="Calibri" w:hAnsi="Calibri"/>
                <w:color w:val="000000"/>
                <w:sz w:val="18"/>
                <w:szCs w:val="18"/>
              </w:rPr>
            </w:pPr>
            <w:r w:rsidRPr="00312975">
              <w:rPr>
                <w:rFonts w:ascii="Calibri" w:hAnsi="Calibri"/>
                <w:color w:val="000000"/>
                <w:sz w:val="18"/>
                <w:szCs w:val="18"/>
              </w:rPr>
              <w:t>3.154.491</w:t>
            </w:r>
          </w:p>
        </w:tc>
        <w:tc>
          <w:tcPr>
            <w:tcW w:w="736" w:type="pct"/>
          </w:tcPr>
          <w:p w14:paraId="3655A8AF" w14:textId="6ABEBE27" w:rsidR="00DE4C8C" w:rsidRPr="00312975" w:rsidRDefault="00DE4C8C" w:rsidP="00DE4C8C">
            <w:pPr>
              <w:tabs>
                <w:tab w:val="right" w:pos="1202"/>
              </w:tabs>
              <w:spacing w:after="0" w:line="301" w:lineRule="exact"/>
              <w:jc w:val="right"/>
              <w:outlineLvl w:val="0"/>
              <w:rPr>
                <w:rFonts w:ascii="Calibri" w:hAnsi="Calibri"/>
                <w:color w:val="000000"/>
                <w:sz w:val="18"/>
                <w:szCs w:val="18"/>
              </w:rPr>
            </w:pPr>
            <w:r w:rsidRPr="00312975">
              <w:rPr>
                <w:rFonts w:ascii="Calibri" w:hAnsi="Calibri"/>
                <w:color w:val="000000"/>
                <w:sz w:val="18"/>
                <w:szCs w:val="18"/>
              </w:rPr>
              <w:t>3.730.867</w:t>
            </w:r>
          </w:p>
        </w:tc>
        <w:tc>
          <w:tcPr>
            <w:tcW w:w="736" w:type="pct"/>
            <w:tcBorders>
              <w:top w:val="nil"/>
              <w:left w:val="nil"/>
              <w:bottom w:val="nil"/>
              <w:right w:val="nil"/>
            </w:tcBorders>
            <w:shd w:val="clear" w:color="000000" w:fill="auto"/>
          </w:tcPr>
          <w:p w14:paraId="0F3514BF" w14:textId="5C42A1EB" w:rsidR="00DE4C8C" w:rsidRPr="00312975" w:rsidRDefault="00DE4C8C" w:rsidP="00DE4C8C">
            <w:pPr>
              <w:tabs>
                <w:tab w:val="right" w:pos="1202"/>
              </w:tabs>
              <w:spacing w:after="0" w:line="301" w:lineRule="exact"/>
              <w:jc w:val="right"/>
              <w:outlineLvl w:val="0"/>
              <w:rPr>
                <w:rFonts w:ascii="Calibri" w:hAnsi="Calibri"/>
                <w:color w:val="000000"/>
                <w:sz w:val="18"/>
                <w:szCs w:val="18"/>
              </w:rPr>
            </w:pPr>
            <w:r w:rsidRPr="00312975">
              <w:rPr>
                <w:rFonts w:ascii="Calibri" w:hAnsi="Calibri"/>
                <w:color w:val="000000"/>
                <w:sz w:val="18"/>
                <w:szCs w:val="18"/>
              </w:rPr>
              <w:t>3.154.491</w:t>
            </w:r>
          </w:p>
        </w:tc>
        <w:tc>
          <w:tcPr>
            <w:tcW w:w="733" w:type="pct"/>
            <w:tcBorders>
              <w:top w:val="nil"/>
              <w:left w:val="nil"/>
              <w:bottom w:val="nil"/>
              <w:right w:val="nil"/>
            </w:tcBorders>
            <w:shd w:val="clear" w:color="auto" w:fill="auto"/>
            <w:vAlign w:val="bottom"/>
          </w:tcPr>
          <w:p w14:paraId="0269AEB2" w14:textId="357F8831" w:rsidR="00DE4C8C" w:rsidRPr="00312975" w:rsidRDefault="00DE4C8C" w:rsidP="00DE4C8C">
            <w:pPr>
              <w:tabs>
                <w:tab w:val="right" w:pos="1202"/>
              </w:tabs>
              <w:spacing w:after="0" w:line="301" w:lineRule="exact"/>
              <w:jc w:val="right"/>
              <w:outlineLvl w:val="0"/>
              <w:rPr>
                <w:rFonts w:eastAsia="Times New Roman" w:cs="Arial"/>
                <w:sz w:val="18"/>
                <w:szCs w:val="18"/>
              </w:rPr>
            </w:pPr>
            <w:r w:rsidRPr="00312975">
              <w:rPr>
                <w:rFonts w:ascii="Calibri" w:hAnsi="Calibri"/>
                <w:color w:val="000000"/>
                <w:sz w:val="18"/>
                <w:szCs w:val="18"/>
              </w:rPr>
              <w:t>3.730.867</w:t>
            </w:r>
          </w:p>
        </w:tc>
      </w:tr>
      <w:tr w:rsidR="00DE4C8C" w:rsidRPr="0098489B" w14:paraId="2602D484" w14:textId="77777777" w:rsidTr="00312975">
        <w:trPr>
          <w:trHeight w:val="170"/>
        </w:trPr>
        <w:tc>
          <w:tcPr>
            <w:tcW w:w="2060" w:type="pct"/>
          </w:tcPr>
          <w:p w14:paraId="0A77B2A1" w14:textId="77777777" w:rsidR="00DE4C8C" w:rsidRPr="00312975" w:rsidRDefault="00DE4C8C" w:rsidP="00DE4C8C">
            <w:pPr>
              <w:tabs>
                <w:tab w:val="right" w:pos="1202"/>
              </w:tabs>
              <w:spacing w:after="0" w:line="301" w:lineRule="exact"/>
              <w:outlineLvl w:val="0"/>
              <w:rPr>
                <w:rFonts w:eastAsia="Times New Roman" w:cs="Arial"/>
                <w:sz w:val="18"/>
                <w:szCs w:val="18"/>
              </w:rPr>
            </w:pPr>
            <w:r w:rsidRPr="00312975">
              <w:rPr>
                <w:rFonts w:eastAsia="Times New Roman" w:cs="Arial"/>
                <w:sz w:val="18"/>
                <w:szCs w:val="18"/>
              </w:rPr>
              <w:t>Povrat kredita</w:t>
            </w:r>
          </w:p>
        </w:tc>
        <w:tc>
          <w:tcPr>
            <w:tcW w:w="735" w:type="pct"/>
            <w:tcBorders>
              <w:top w:val="nil"/>
              <w:left w:val="nil"/>
              <w:bottom w:val="nil"/>
              <w:right w:val="nil"/>
            </w:tcBorders>
            <w:shd w:val="clear" w:color="000000" w:fill="auto"/>
          </w:tcPr>
          <w:p w14:paraId="2D0C8D67" w14:textId="61A5781A" w:rsidR="00DE4C8C" w:rsidRPr="00312975" w:rsidRDefault="00DE4C8C" w:rsidP="00DE4C8C">
            <w:pPr>
              <w:tabs>
                <w:tab w:val="right" w:pos="1202"/>
              </w:tabs>
              <w:spacing w:after="0" w:line="301" w:lineRule="exact"/>
              <w:jc w:val="right"/>
              <w:outlineLvl w:val="0"/>
              <w:rPr>
                <w:rFonts w:ascii="Calibri" w:hAnsi="Calibri"/>
                <w:color w:val="000000"/>
                <w:sz w:val="18"/>
                <w:szCs w:val="18"/>
              </w:rPr>
            </w:pPr>
            <w:r w:rsidRPr="00312975">
              <w:rPr>
                <w:rFonts w:ascii="Calibri" w:hAnsi="Calibri"/>
                <w:color w:val="000000"/>
                <w:sz w:val="18"/>
                <w:szCs w:val="18"/>
              </w:rPr>
              <w:t xml:space="preserve"> (823.167)</w:t>
            </w:r>
          </w:p>
        </w:tc>
        <w:tc>
          <w:tcPr>
            <w:tcW w:w="736" w:type="pct"/>
          </w:tcPr>
          <w:p w14:paraId="559963C3" w14:textId="3291D442" w:rsidR="00DE4C8C" w:rsidRPr="00312975" w:rsidRDefault="00DE4C8C" w:rsidP="00DE4C8C">
            <w:pPr>
              <w:tabs>
                <w:tab w:val="right" w:pos="1202"/>
              </w:tabs>
              <w:spacing w:after="0" w:line="301" w:lineRule="exact"/>
              <w:jc w:val="right"/>
              <w:outlineLvl w:val="0"/>
              <w:rPr>
                <w:rFonts w:ascii="Calibri" w:hAnsi="Calibri"/>
                <w:color w:val="000000"/>
                <w:sz w:val="18"/>
                <w:szCs w:val="18"/>
              </w:rPr>
            </w:pPr>
            <w:r w:rsidRPr="00312975">
              <w:rPr>
                <w:rFonts w:ascii="Calibri" w:hAnsi="Calibri"/>
                <w:color w:val="000000"/>
                <w:sz w:val="18"/>
                <w:szCs w:val="18"/>
              </w:rPr>
              <w:t xml:space="preserve"> (1.730.849)</w:t>
            </w:r>
          </w:p>
        </w:tc>
        <w:tc>
          <w:tcPr>
            <w:tcW w:w="736" w:type="pct"/>
            <w:tcBorders>
              <w:top w:val="nil"/>
              <w:left w:val="nil"/>
              <w:bottom w:val="nil"/>
              <w:right w:val="nil"/>
            </w:tcBorders>
            <w:shd w:val="clear" w:color="000000" w:fill="auto"/>
          </w:tcPr>
          <w:p w14:paraId="78950448" w14:textId="23FD6826" w:rsidR="00DE4C8C" w:rsidRPr="00312975" w:rsidRDefault="00DE4C8C" w:rsidP="00DE4C8C">
            <w:pPr>
              <w:tabs>
                <w:tab w:val="right" w:pos="1202"/>
              </w:tabs>
              <w:spacing w:after="0" w:line="301" w:lineRule="exact"/>
              <w:jc w:val="right"/>
              <w:outlineLvl w:val="0"/>
              <w:rPr>
                <w:rFonts w:ascii="Calibri" w:hAnsi="Calibri"/>
                <w:color w:val="000000"/>
                <w:sz w:val="18"/>
                <w:szCs w:val="18"/>
              </w:rPr>
            </w:pPr>
            <w:r w:rsidRPr="00312975">
              <w:rPr>
                <w:rFonts w:ascii="Calibri" w:hAnsi="Calibri"/>
                <w:color w:val="000000"/>
                <w:sz w:val="18"/>
                <w:szCs w:val="18"/>
              </w:rPr>
              <w:t xml:space="preserve"> (823.167)</w:t>
            </w:r>
          </w:p>
        </w:tc>
        <w:tc>
          <w:tcPr>
            <w:tcW w:w="733" w:type="pct"/>
            <w:tcBorders>
              <w:top w:val="nil"/>
              <w:left w:val="nil"/>
              <w:bottom w:val="nil"/>
              <w:right w:val="nil"/>
            </w:tcBorders>
            <w:shd w:val="clear" w:color="auto" w:fill="auto"/>
            <w:vAlign w:val="bottom"/>
          </w:tcPr>
          <w:p w14:paraId="07D23333" w14:textId="78989D3C" w:rsidR="00DE4C8C" w:rsidRPr="00312975" w:rsidRDefault="00DE4C8C" w:rsidP="00DE4C8C">
            <w:pPr>
              <w:tabs>
                <w:tab w:val="right" w:pos="1202"/>
              </w:tabs>
              <w:spacing w:after="0" w:line="301" w:lineRule="exact"/>
              <w:jc w:val="right"/>
              <w:outlineLvl w:val="0"/>
              <w:rPr>
                <w:rFonts w:eastAsia="Times New Roman" w:cs="Arial"/>
                <w:sz w:val="18"/>
                <w:szCs w:val="18"/>
              </w:rPr>
            </w:pPr>
            <w:r w:rsidRPr="00312975">
              <w:rPr>
                <w:rFonts w:ascii="Calibri" w:hAnsi="Calibri"/>
                <w:color w:val="000000"/>
                <w:sz w:val="18"/>
                <w:szCs w:val="18"/>
              </w:rPr>
              <w:t xml:space="preserve"> (1.730.849)</w:t>
            </w:r>
          </w:p>
        </w:tc>
      </w:tr>
      <w:tr w:rsidR="00DE4C8C" w:rsidRPr="0098489B" w14:paraId="0F7789B9" w14:textId="77777777" w:rsidTr="00312975">
        <w:trPr>
          <w:trHeight w:val="170"/>
        </w:trPr>
        <w:tc>
          <w:tcPr>
            <w:tcW w:w="2060" w:type="pct"/>
          </w:tcPr>
          <w:p w14:paraId="559F8D24" w14:textId="77777777" w:rsidR="00DE4C8C" w:rsidRPr="00312975" w:rsidRDefault="00DE4C8C" w:rsidP="00DE4C8C">
            <w:pPr>
              <w:tabs>
                <w:tab w:val="right" w:pos="1202"/>
              </w:tabs>
              <w:spacing w:after="0" w:line="301" w:lineRule="exact"/>
              <w:outlineLvl w:val="0"/>
              <w:rPr>
                <w:rFonts w:eastAsia="Times New Roman" w:cs="Arial"/>
                <w:sz w:val="18"/>
                <w:szCs w:val="18"/>
              </w:rPr>
            </w:pPr>
            <w:r w:rsidRPr="00312975">
              <w:rPr>
                <w:rFonts w:eastAsia="Times New Roman" w:cs="Arial"/>
                <w:sz w:val="18"/>
                <w:szCs w:val="18"/>
              </w:rPr>
              <w:t>Neto dobit/(gubitak) od tečajnih razlika</w:t>
            </w:r>
          </w:p>
        </w:tc>
        <w:tc>
          <w:tcPr>
            <w:tcW w:w="735" w:type="pct"/>
            <w:tcBorders>
              <w:top w:val="nil"/>
              <w:left w:val="nil"/>
              <w:bottom w:val="single" w:sz="4" w:space="0" w:color="auto"/>
              <w:right w:val="nil"/>
            </w:tcBorders>
            <w:shd w:val="clear" w:color="auto" w:fill="auto"/>
          </w:tcPr>
          <w:p w14:paraId="64F678F7" w14:textId="4B913718" w:rsidR="00DE4C8C" w:rsidRPr="00312975" w:rsidRDefault="00DE4C8C" w:rsidP="00DE4C8C">
            <w:pPr>
              <w:tabs>
                <w:tab w:val="right" w:pos="1202"/>
              </w:tabs>
              <w:spacing w:after="0" w:line="301" w:lineRule="exact"/>
              <w:jc w:val="right"/>
              <w:outlineLvl w:val="0"/>
              <w:rPr>
                <w:rFonts w:ascii="Calibri" w:hAnsi="Calibri"/>
                <w:color w:val="000000"/>
                <w:sz w:val="18"/>
                <w:szCs w:val="18"/>
              </w:rPr>
            </w:pPr>
            <w:r w:rsidRPr="00312975">
              <w:rPr>
                <w:rFonts w:ascii="Calibri" w:hAnsi="Calibri"/>
                <w:color w:val="000000"/>
                <w:sz w:val="18"/>
                <w:szCs w:val="18"/>
              </w:rPr>
              <w:t xml:space="preserve"> (301.102)</w:t>
            </w:r>
          </w:p>
        </w:tc>
        <w:tc>
          <w:tcPr>
            <w:tcW w:w="736" w:type="pct"/>
          </w:tcPr>
          <w:p w14:paraId="5E8B823B" w14:textId="1F88A5A5" w:rsidR="00DE4C8C" w:rsidRPr="00312975" w:rsidRDefault="00DE4C8C" w:rsidP="00DE4C8C">
            <w:pPr>
              <w:tabs>
                <w:tab w:val="right" w:pos="1202"/>
              </w:tabs>
              <w:spacing w:after="0" w:line="301" w:lineRule="exact"/>
              <w:jc w:val="right"/>
              <w:outlineLvl w:val="0"/>
              <w:rPr>
                <w:rFonts w:ascii="Calibri" w:hAnsi="Calibri"/>
                <w:color w:val="000000"/>
                <w:sz w:val="18"/>
                <w:szCs w:val="18"/>
              </w:rPr>
            </w:pPr>
            <w:r w:rsidRPr="00312975">
              <w:rPr>
                <w:rFonts w:ascii="Calibri" w:hAnsi="Calibri"/>
                <w:color w:val="000000"/>
                <w:sz w:val="18"/>
                <w:szCs w:val="18"/>
              </w:rPr>
              <w:t xml:space="preserve"> (75.757)</w:t>
            </w:r>
          </w:p>
        </w:tc>
        <w:tc>
          <w:tcPr>
            <w:tcW w:w="736" w:type="pct"/>
            <w:tcBorders>
              <w:top w:val="nil"/>
              <w:left w:val="nil"/>
              <w:bottom w:val="single" w:sz="4" w:space="0" w:color="auto"/>
              <w:right w:val="nil"/>
            </w:tcBorders>
            <w:shd w:val="clear" w:color="auto" w:fill="auto"/>
          </w:tcPr>
          <w:p w14:paraId="290FFDDB" w14:textId="1CFB83E4" w:rsidR="00DE4C8C" w:rsidRPr="00312975" w:rsidRDefault="00DE4C8C" w:rsidP="00DE4C8C">
            <w:pPr>
              <w:tabs>
                <w:tab w:val="right" w:pos="1202"/>
              </w:tabs>
              <w:spacing w:after="0" w:line="301" w:lineRule="exact"/>
              <w:jc w:val="right"/>
              <w:outlineLvl w:val="0"/>
              <w:rPr>
                <w:rFonts w:ascii="Calibri" w:hAnsi="Calibri"/>
                <w:color w:val="000000"/>
                <w:sz w:val="18"/>
                <w:szCs w:val="18"/>
              </w:rPr>
            </w:pPr>
            <w:r w:rsidRPr="00312975">
              <w:rPr>
                <w:rFonts w:ascii="Calibri" w:hAnsi="Calibri"/>
                <w:color w:val="000000"/>
                <w:sz w:val="18"/>
                <w:szCs w:val="18"/>
              </w:rPr>
              <w:t xml:space="preserve"> (301.102)</w:t>
            </w:r>
          </w:p>
        </w:tc>
        <w:tc>
          <w:tcPr>
            <w:tcW w:w="733" w:type="pct"/>
            <w:tcBorders>
              <w:top w:val="nil"/>
              <w:left w:val="nil"/>
              <w:bottom w:val="nil"/>
              <w:right w:val="nil"/>
            </w:tcBorders>
            <w:shd w:val="clear" w:color="auto" w:fill="auto"/>
            <w:vAlign w:val="bottom"/>
          </w:tcPr>
          <w:p w14:paraId="658A8E07" w14:textId="11D4F40C" w:rsidR="00DE4C8C" w:rsidRPr="00312975" w:rsidRDefault="00DE4C8C" w:rsidP="00DE4C8C">
            <w:pPr>
              <w:tabs>
                <w:tab w:val="right" w:pos="1202"/>
              </w:tabs>
              <w:spacing w:after="0" w:line="301" w:lineRule="exact"/>
              <w:jc w:val="right"/>
              <w:outlineLvl w:val="0"/>
              <w:rPr>
                <w:rFonts w:eastAsia="Times New Roman" w:cs="Arial"/>
                <w:sz w:val="18"/>
                <w:szCs w:val="18"/>
              </w:rPr>
            </w:pPr>
            <w:r w:rsidRPr="00312975">
              <w:rPr>
                <w:rFonts w:ascii="Calibri" w:hAnsi="Calibri"/>
                <w:color w:val="000000"/>
                <w:sz w:val="18"/>
                <w:szCs w:val="18"/>
              </w:rPr>
              <w:t xml:space="preserve"> (75.757)</w:t>
            </w:r>
          </w:p>
        </w:tc>
      </w:tr>
      <w:tr w:rsidR="000D2918" w:rsidRPr="0098489B" w14:paraId="1231B984" w14:textId="77777777" w:rsidTr="00312975">
        <w:trPr>
          <w:trHeight w:val="170"/>
        </w:trPr>
        <w:tc>
          <w:tcPr>
            <w:tcW w:w="2060" w:type="pct"/>
          </w:tcPr>
          <w:p w14:paraId="77EB3640" w14:textId="77777777" w:rsidR="000D2918" w:rsidRPr="00312975" w:rsidRDefault="000D2918" w:rsidP="000D2918">
            <w:pPr>
              <w:tabs>
                <w:tab w:val="right" w:pos="1202"/>
              </w:tabs>
              <w:spacing w:after="0" w:line="301" w:lineRule="exact"/>
              <w:outlineLvl w:val="0"/>
              <w:rPr>
                <w:rFonts w:eastAsia="Times New Roman" w:cs="Arial"/>
                <w:i/>
                <w:sz w:val="18"/>
                <w:szCs w:val="18"/>
              </w:rPr>
            </w:pPr>
          </w:p>
        </w:tc>
        <w:tc>
          <w:tcPr>
            <w:tcW w:w="735" w:type="pct"/>
            <w:tcBorders>
              <w:top w:val="nil"/>
              <w:left w:val="nil"/>
              <w:bottom w:val="single" w:sz="4" w:space="0" w:color="auto"/>
              <w:right w:val="nil"/>
            </w:tcBorders>
            <w:shd w:val="clear" w:color="auto" w:fill="auto"/>
          </w:tcPr>
          <w:p w14:paraId="158D305C" w14:textId="77FF7214" w:rsidR="000D2918" w:rsidRPr="00312975" w:rsidRDefault="00DE4C8C" w:rsidP="000D2918">
            <w:pPr>
              <w:tabs>
                <w:tab w:val="right" w:pos="1202"/>
              </w:tabs>
              <w:spacing w:after="0" w:line="301" w:lineRule="exact"/>
              <w:jc w:val="right"/>
              <w:outlineLvl w:val="0"/>
              <w:rPr>
                <w:rFonts w:ascii="Calibri" w:hAnsi="Calibri"/>
                <w:color w:val="000000"/>
                <w:sz w:val="18"/>
                <w:szCs w:val="18"/>
              </w:rPr>
            </w:pPr>
            <w:r w:rsidRPr="00312975">
              <w:rPr>
                <w:rFonts w:ascii="Calibri" w:hAnsi="Calibri"/>
                <w:color w:val="000000"/>
                <w:sz w:val="18"/>
                <w:szCs w:val="18"/>
              </w:rPr>
              <w:t>15.408.279</w:t>
            </w:r>
          </w:p>
        </w:tc>
        <w:tc>
          <w:tcPr>
            <w:tcW w:w="736" w:type="pct"/>
            <w:tcBorders>
              <w:top w:val="single" w:sz="4" w:space="0" w:color="auto"/>
              <w:bottom w:val="single" w:sz="4" w:space="0" w:color="auto"/>
            </w:tcBorders>
            <w:vAlign w:val="center"/>
          </w:tcPr>
          <w:p w14:paraId="6484FDAE" w14:textId="390D6820" w:rsidR="000D2918" w:rsidRPr="00312975" w:rsidRDefault="000D2918" w:rsidP="000D2918">
            <w:pPr>
              <w:tabs>
                <w:tab w:val="right" w:pos="1202"/>
              </w:tabs>
              <w:spacing w:after="0" w:line="301" w:lineRule="exact"/>
              <w:jc w:val="right"/>
              <w:outlineLvl w:val="0"/>
              <w:rPr>
                <w:rFonts w:ascii="Calibri" w:hAnsi="Calibri"/>
                <w:color w:val="000000"/>
                <w:sz w:val="18"/>
                <w:szCs w:val="18"/>
              </w:rPr>
            </w:pPr>
            <w:r w:rsidRPr="00312975">
              <w:rPr>
                <w:rFonts w:ascii="Calibri" w:hAnsi="Calibri"/>
                <w:color w:val="000000"/>
                <w:sz w:val="18"/>
                <w:szCs w:val="18"/>
              </w:rPr>
              <w:t>13.378.057</w:t>
            </w:r>
          </w:p>
        </w:tc>
        <w:tc>
          <w:tcPr>
            <w:tcW w:w="736" w:type="pct"/>
            <w:tcBorders>
              <w:top w:val="nil"/>
              <w:left w:val="nil"/>
              <w:bottom w:val="single" w:sz="4" w:space="0" w:color="auto"/>
              <w:right w:val="nil"/>
            </w:tcBorders>
            <w:shd w:val="clear" w:color="auto" w:fill="auto"/>
          </w:tcPr>
          <w:p w14:paraId="5D04E842" w14:textId="1DC86892" w:rsidR="000D2918" w:rsidRPr="00312975" w:rsidRDefault="00DE4C8C" w:rsidP="000D2918">
            <w:pPr>
              <w:tabs>
                <w:tab w:val="right" w:pos="1202"/>
              </w:tabs>
              <w:spacing w:after="0" w:line="301" w:lineRule="exact"/>
              <w:jc w:val="right"/>
              <w:outlineLvl w:val="0"/>
              <w:rPr>
                <w:rFonts w:ascii="Calibri" w:hAnsi="Calibri"/>
                <w:color w:val="000000"/>
                <w:sz w:val="18"/>
                <w:szCs w:val="18"/>
              </w:rPr>
            </w:pPr>
            <w:r w:rsidRPr="00312975">
              <w:rPr>
                <w:rFonts w:ascii="Calibri" w:hAnsi="Calibri"/>
                <w:color w:val="000000"/>
                <w:sz w:val="18"/>
                <w:szCs w:val="18"/>
              </w:rPr>
              <w:t>15.408.279</w:t>
            </w:r>
          </w:p>
        </w:tc>
        <w:tc>
          <w:tcPr>
            <w:tcW w:w="733" w:type="pct"/>
            <w:tcBorders>
              <w:top w:val="single" w:sz="4" w:space="0" w:color="auto"/>
              <w:bottom w:val="single" w:sz="4" w:space="0" w:color="auto"/>
            </w:tcBorders>
            <w:vAlign w:val="center"/>
          </w:tcPr>
          <w:p w14:paraId="204F02F8" w14:textId="2CCB76FE" w:rsidR="000D2918" w:rsidRPr="00312975" w:rsidRDefault="000D2918" w:rsidP="000D2918">
            <w:pPr>
              <w:tabs>
                <w:tab w:val="right" w:pos="1202"/>
              </w:tabs>
              <w:spacing w:after="0" w:line="301" w:lineRule="exact"/>
              <w:jc w:val="right"/>
              <w:outlineLvl w:val="0"/>
              <w:rPr>
                <w:rFonts w:eastAsia="Times New Roman" w:cs="Arial"/>
                <w:sz w:val="18"/>
                <w:szCs w:val="18"/>
              </w:rPr>
            </w:pPr>
            <w:r w:rsidRPr="00312975">
              <w:rPr>
                <w:rFonts w:eastAsia="Times New Roman" w:cs="Arial"/>
                <w:sz w:val="18"/>
                <w:szCs w:val="18"/>
              </w:rPr>
              <w:t>13.378.057</w:t>
            </w:r>
          </w:p>
        </w:tc>
      </w:tr>
      <w:tr w:rsidR="000D2918" w:rsidRPr="0098489B" w14:paraId="20637B7A" w14:textId="77777777" w:rsidTr="00312975">
        <w:trPr>
          <w:trHeight w:val="219"/>
        </w:trPr>
        <w:tc>
          <w:tcPr>
            <w:tcW w:w="2060" w:type="pct"/>
          </w:tcPr>
          <w:p w14:paraId="18A6B321" w14:textId="77777777" w:rsidR="000D2918" w:rsidRPr="00312975" w:rsidRDefault="000D2918" w:rsidP="000D2918">
            <w:pPr>
              <w:tabs>
                <w:tab w:val="right" w:pos="1202"/>
              </w:tabs>
              <w:spacing w:after="0" w:line="301" w:lineRule="exact"/>
              <w:outlineLvl w:val="0"/>
              <w:rPr>
                <w:rFonts w:eastAsia="Times New Roman" w:cs="Arial"/>
                <w:sz w:val="18"/>
                <w:szCs w:val="18"/>
              </w:rPr>
            </w:pPr>
            <w:r w:rsidRPr="00312975">
              <w:rPr>
                <w:rFonts w:eastAsia="Times New Roman" w:cs="Arial"/>
                <w:sz w:val="18"/>
                <w:szCs w:val="18"/>
              </w:rPr>
              <w:t>Obračunata kamata</w:t>
            </w:r>
          </w:p>
        </w:tc>
        <w:tc>
          <w:tcPr>
            <w:tcW w:w="735" w:type="pct"/>
            <w:tcBorders>
              <w:top w:val="nil"/>
              <w:left w:val="nil"/>
              <w:bottom w:val="nil"/>
              <w:right w:val="nil"/>
            </w:tcBorders>
            <w:shd w:val="clear" w:color="auto" w:fill="auto"/>
          </w:tcPr>
          <w:p w14:paraId="4E32B8FA" w14:textId="2C6073E5" w:rsidR="000D2918" w:rsidRPr="00312975" w:rsidRDefault="00DE4C8C" w:rsidP="000D2918">
            <w:pPr>
              <w:tabs>
                <w:tab w:val="right" w:pos="1202"/>
              </w:tabs>
              <w:spacing w:after="0" w:line="301" w:lineRule="exact"/>
              <w:jc w:val="right"/>
              <w:outlineLvl w:val="0"/>
              <w:rPr>
                <w:rFonts w:ascii="Calibri" w:hAnsi="Calibri"/>
                <w:color w:val="000000"/>
                <w:sz w:val="18"/>
                <w:szCs w:val="18"/>
              </w:rPr>
            </w:pPr>
            <w:r w:rsidRPr="00312975">
              <w:rPr>
                <w:rFonts w:ascii="Calibri" w:hAnsi="Calibri"/>
                <w:color w:val="000000"/>
                <w:sz w:val="18"/>
                <w:szCs w:val="18"/>
              </w:rPr>
              <w:t>64.403</w:t>
            </w:r>
          </w:p>
        </w:tc>
        <w:tc>
          <w:tcPr>
            <w:tcW w:w="736" w:type="pct"/>
          </w:tcPr>
          <w:p w14:paraId="0AEF2D4F" w14:textId="7E3617BA" w:rsidR="000D2918" w:rsidRPr="00312975" w:rsidRDefault="000D2918" w:rsidP="000D2918">
            <w:pPr>
              <w:tabs>
                <w:tab w:val="right" w:pos="1202"/>
              </w:tabs>
              <w:spacing w:after="0" w:line="301" w:lineRule="exact"/>
              <w:jc w:val="right"/>
              <w:outlineLvl w:val="0"/>
              <w:rPr>
                <w:rFonts w:ascii="Calibri" w:hAnsi="Calibri"/>
                <w:color w:val="000000"/>
                <w:sz w:val="18"/>
                <w:szCs w:val="18"/>
              </w:rPr>
            </w:pPr>
            <w:r w:rsidRPr="00312975">
              <w:rPr>
                <w:rFonts w:ascii="Calibri" w:hAnsi="Calibri"/>
                <w:color w:val="000000"/>
                <w:sz w:val="18"/>
                <w:szCs w:val="18"/>
              </w:rPr>
              <w:t>64.018</w:t>
            </w:r>
          </w:p>
        </w:tc>
        <w:tc>
          <w:tcPr>
            <w:tcW w:w="736" w:type="pct"/>
            <w:tcBorders>
              <w:top w:val="nil"/>
              <w:left w:val="nil"/>
              <w:bottom w:val="nil"/>
              <w:right w:val="nil"/>
            </w:tcBorders>
            <w:shd w:val="clear" w:color="auto" w:fill="auto"/>
          </w:tcPr>
          <w:p w14:paraId="14A9E50D" w14:textId="0B4ADD47" w:rsidR="000D2918" w:rsidRPr="00312975" w:rsidRDefault="00DE4C8C" w:rsidP="000D2918">
            <w:pPr>
              <w:tabs>
                <w:tab w:val="right" w:pos="1202"/>
              </w:tabs>
              <w:spacing w:after="0" w:line="301" w:lineRule="exact"/>
              <w:jc w:val="right"/>
              <w:outlineLvl w:val="0"/>
              <w:rPr>
                <w:rFonts w:ascii="Calibri" w:hAnsi="Calibri"/>
                <w:color w:val="000000"/>
                <w:sz w:val="18"/>
                <w:szCs w:val="18"/>
              </w:rPr>
            </w:pPr>
            <w:r w:rsidRPr="00312975">
              <w:rPr>
                <w:rFonts w:ascii="Calibri" w:hAnsi="Calibri"/>
                <w:color w:val="000000"/>
                <w:sz w:val="18"/>
                <w:szCs w:val="18"/>
              </w:rPr>
              <w:t>64.403</w:t>
            </w:r>
          </w:p>
        </w:tc>
        <w:tc>
          <w:tcPr>
            <w:tcW w:w="733" w:type="pct"/>
          </w:tcPr>
          <w:p w14:paraId="54C4E3C9" w14:textId="1622AA97" w:rsidR="000D2918" w:rsidRPr="00312975" w:rsidRDefault="000D2918" w:rsidP="000D2918">
            <w:pPr>
              <w:tabs>
                <w:tab w:val="right" w:pos="1202"/>
              </w:tabs>
              <w:spacing w:after="0" w:line="301" w:lineRule="exact"/>
              <w:jc w:val="right"/>
              <w:outlineLvl w:val="0"/>
              <w:rPr>
                <w:rFonts w:eastAsia="Times New Roman" w:cs="Arial"/>
                <w:sz w:val="18"/>
                <w:szCs w:val="18"/>
              </w:rPr>
            </w:pPr>
            <w:r w:rsidRPr="00312975">
              <w:rPr>
                <w:sz w:val="18"/>
                <w:szCs w:val="18"/>
              </w:rPr>
              <w:t>64.018</w:t>
            </w:r>
          </w:p>
        </w:tc>
      </w:tr>
      <w:tr w:rsidR="000D2918" w:rsidRPr="0098489B" w14:paraId="13480CAD" w14:textId="77777777" w:rsidTr="00312975">
        <w:trPr>
          <w:trHeight w:val="63"/>
        </w:trPr>
        <w:tc>
          <w:tcPr>
            <w:tcW w:w="2060" w:type="pct"/>
          </w:tcPr>
          <w:p w14:paraId="2384A88D" w14:textId="77777777" w:rsidR="000D2918" w:rsidRPr="00312975" w:rsidRDefault="000D2918" w:rsidP="000D2918">
            <w:pPr>
              <w:tabs>
                <w:tab w:val="right" w:pos="1202"/>
              </w:tabs>
              <w:spacing w:after="0" w:line="301" w:lineRule="exact"/>
              <w:outlineLvl w:val="0"/>
              <w:rPr>
                <w:rFonts w:eastAsia="Times New Roman" w:cs="Arial"/>
                <w:sz w:val="18"/>
                <w:szCs w:val="18"/>
              </w:rPr>
            </w:pPr>
            <w:r w:rsidRPr="00312975">
              <w:rPr>
                <w:rFonts w:eastAsia="Times New Roman" w:cs="Arial"/>
                <w:sz w:val="18"/>
                <w:szCs w:val="18"/>
              </w:rPr>
              <w:t>Odgođena naknada</w:t>
            </w:r>
          </w:p>
        </w:tc>
        <w:tc>
          <w:tcPr>
            <w:tcW w:w="735" w:type="pct"/>
            <w:tcBorders>
              <w:top w:val="nil"/>
              <w:left w:val="nil"/>
              <w:bottom w:val="single" w:sz="4" w:space="0" w:color="auto"/>
              <w:right w:val="nil"/>
            </w:tcBorders>
            <w:shd w:val="clear" w:color="auto" w:fill="auto"/>
          </w:tcPr>
          <w:p w14:paraId="3342E9A9" w14:textId="5217B267" w:rsidR="000D2918" w:rsidRPr="00312975" w:rsidRDefault="00DE4C8C" w:rsidP="000D2918">
            <w:pPr>
              <w:tabs>
                <w:tab w:val="right" w:pos="1202"/>
              </w:tabs>
              <w:spacing w:after="0" w:line="301" w:lineRule="exact"/>
              <w:jc w:val="right"/>
              <w:outlineLvl w:val="0"/>
              <w:rPr>
                <w:rFonts w:ascii="Calibri" w:hAnsi="Calibri"/>
                <w:color w:val="000000"/>
                <w:sz w:val="18"/>
                <w:szCs w:val="18"/>
              </w:rPr>
            </w:pPr>
            <w:r w:rsidRPr="00312975">
              <w:rPr>
                <w:rFonts w:ascii="Calibri" w:hAnsi="Calibri"/>
                <w:color w:val="000000"/>
                <w:sz w:val="18"/>
                <w:szCs w:val="18"/>
              </w:rPr>
              <w:t>(49.101)</w:t>
            </w:r>
            <w:r w:rsidRPr="00312975" w:rsidDel="000D2918">
              <w:rPr>
                <w:rFonts w:ascii="Calibri" w:hAnsi="Calibri"/>
                <w:color w:val="000000"/>
                <w:sz w:val="18"/>
                <w:szCs w:val="18"/>
              </w:rPr>
              <w:t xml:space="preserve"> </w:t>
            </w:r>
          </w:p>
        </w:tc>
        <w:tc>
          <w:tcPr>
            <w:tcW w:w="736" w:type="pct"/>
            <w:tcBorders>
              <w:bottom w:val="single" w:sz="4" w:space="0" w:color="auto"/>
            </w:tcBorders>
          </w:tcPr>
          <w:p w14:paraId="290ADA54" w14:textId="7C394795" w:rsidR="000D2918" w:rsidRPr="00312975" w:rsidRDefault="000D2918" w:rsidP="000D2918">
            <w:pPr>
              <w:tabs>
                <w:tab w:val="right" w:pos="1202"/>
              </w:tabs>
              <w:spacing w:after="0" w:line="301" w:lineRule="exact"/>
              <w:jc w:val="right"/>
              <w:outlineLvl w:val="0"/>
              <w:rPr>
                <w:rFonts w:ascii="Calibri" w:hAnsi="Calibri"/>
                <w:color w:val="000000"/>
                <w:sz w:val="18"/>
                <w:szCs w:val="18"/>
              </w:rPr>
            </w:pPr>
            <w:r w:rsidRPr="00312975">
              <w:rPr>
                <w:rFonts w:ascii="Calibri" w:hAnsi="Calibri"/>
                <w:color w:val="000000"/>
                <w:sz w:val="18"/>
                <w:szCs w:val="18"/>
              </w:rPr>
              <w:t xml:space="preserve"> (50.326)</w:t>
            </w:r>
          </w:p>
        </w:tc>
        <w:tc>
          <w:tcPr>
            <w:tcW w:w="736" w:type="pct"/>
            <w:tcBorders>
              <w:top w:val="nil"/>
              <w:left w:val="nil"/>
              <w:bottom w:val="single" w:sz="4" w:space="0" w:color="auto"/>
              <w:right w:val="nil"/>
            </w:tcBorders>
            <w:shd w:val="clear" w:color="auto" w:fill="auto"/>
          </w:tcPr>
          <w:p w14:paraId="20668B81" w14:textId="7223E970" w:rsidR="000D2918" w:rsidRPr="00312975" w:rsidRDefault="00DE4C8C" w:rsidP="000D2918">
            <w:pPr>
              <w:tabs>
                <w:tab w:val="right" w:pos="1202"/>
              </w:tabs>
              <w:spacing w:after="0" w:line="301" w:lineRule="exact"/>
              <w:jc w:val="right"/>
              <w:outlineLvl w:val="0"/>
              <w:rPr>
                <w:rFonts w:ascii="Calibri" w:hAnsi="Calibri"/>
                <w:color w:val="000000"/>
                <w:sz w:val="18"/>
                <w:szCs w:val="18"/>
              </w:rPr>
            </w:pPr>
            <w:r w:rsidRPr="00312975">
              <w:rPr>
                <w:rFonts w:ascii="Calibri" w:hAnsi="Calibri"/>
                <w:color w:val="000000"/>
                <w:sz w:val="18"/>
                <w:szCs w:val="18"/>
              </w:rPr>
              <w:t>(49.101)</w:t>
            </w:r>
            <w:r w:rsidRPr="00312975" w:rsidDel="00196F54">
              <w:rPr>
                <w:rFonts w:ascii="Calibri" w:hAnsi="Calibri"/>
                <w:color w:val="000000"/>
                <w:sz w:val="18"/>
                <w:szCs w:val="18"/>
              </w:rPr>
              <w:t xml:space="preserve"> </w:t>
            </w:r>
          </w:p>
        </w:tc>
        <w:tc>
          <w:tcPr>
            <w:tcW w:w="733" w:type="pct"/>
            <w:tcBorders>
              <w:bottom w:val="single" w:sz="4" w:space="0" w:color="auto"/>
            </w:tcBorders>
          </w:tcPr>
          <w:p w14:paraId="1902962D" w14:textId="4AF72A90" w:rsidR="000D2918" w:rsidRPr="00312975" w:rsidRDefault="000D2918" w:rsidP="000D2918">
            <w:pPr>
              <w:tabs>
                <w:tab w:val="right" w:pos="1202"/>
              </w:tabs>
              <w:spacing w:after="0" w:line="301" w:lineRule="exact"/>
              <w:jc w:val="right"/>
              <w:outlineLvl w:val="0"/>
              <w:rPr>
                <w:rFonts w:eastAsia="Times New Roman" w:cs="Arial"/>
                <w:sz w:val="18"/>
                <w:szCs w:val="18"/>
              </w:rPr>
            </w:pPr>
            <w:r w:rsidRPr="00312975">
              <w:rPr>
                <w:sz w:val="18"/>
                <w:szCs w:val="18"/>
              </w:rPr>
              <w:t xml:space="preserve"> (50.326)</w:t>
            </w:r>
          </w:p>
        </w:tc>
      </w:tr>
      <w:tr w:rsidR="000D2918" w:rsidRPr="0098489B" w14:paraId="45D22927" w14:textId="77777777" w:rsidTr="00312975">
        <w:trPr>
          <w:trHeight w:val="171"/>
        </w:trPr>
        <w:tc>
          <w:tcPr>
            <w:tcW w:w="2060" w:type="pct"/>
          </w:tcPr>
          <w:p w14:paraId="4E1AF188" w14:textId="77777777" w:rsidR="000D2918" w:rsidRPr="00312975" w:rsidRDefault="000D2918" w:rsidP="000D2918">
            <w:pPr>
              <w:tabs>
                <w:tab w:val="right" w:pos="1202"/>
              </w:tabs>
              <w:spacing w:after="0" w:line="340" w:lineRule="exact"/>
              <w:outlineLvl w:val="0"/>
              <w:rPr>
                <w:rFonts w:eastAsia="Times New Roman" w:cs="Arial"/>
                <w:b/>
                <w:bCs/>
                <w:sz w:val="18"/>
                <w:szCs w:val="18"/>
              </w:rPr>
            </w:pPr>
            <w:r w:rsidRPr="00312975">
              <w:rPr>
                <w:rFonts w:eastAsia="Times New Roman" w:cs="Arial"/>
                <w:b/>
                <w:bCs/>
                <w:sz w:val="18"/>
                <w:szCs w:val="18"/>
              </w:rPr>
              <w:t xml:space="preserve">Stanje </w:t>
            </w:r>
          </w:p>
        </w:tc>
        <w:tc>
          <w:tcPr>
            <w:tcW w:w="735" w:type="pct"/>
            <w:tcBorders>
              <w:top w:val="single" w:sz="4" w:space="0" w:color="auto"/>
              <w:left w:val="nil"/>
              <w:bottom w:val="single" w:sz="12" w:space="0" w:color="auto"/>
              <w:right w:val="nil"/>
            </w:tcBorders>
            <w:shd w:val="clear" w:color="auto" w:fill="auto"/>
            <w:vAlign w:val="bottom"/>
          </w:tcPr>
          <w:p w14:paraId="7AB0E072" w14:textId="66BF6D97" w:rsidR="000D2918" w:rsidRPr="00312975" w:rsidRDefault="00DE4C8C" w:rsidP="000D2918">
            <w:pPr>
              <w:tabs>
                <w:tab w:val="right" w:pos="1202"/>
              </w:tabs>
              <w:spacing w:after="0" w:line="301" w:lineRule="exact"/>
              <w:jc w:val="right"/>
              <w:outlineLvl w:val="0"/>
              <w:rPr>
                <w:rFonts w:ascii="Calibri" w:hAnsi="Calibri"/>
                <w:b/>
                <w:color w:val="000000"/>
                <w:sz w:val="18"/>
                <w:szCs w:val="18"/>
              </w:rPr>
            </w:pPr>
            <w:r w:rsidRPr="00312975">
              <w:rPr>
                <w:rFonts w:ascii="Calibri" w:hAnsi="Calibri"/>
                <w:b/>
                <w:color w:val="000000"/>
                <w:sz w:val="18"/>
                <w:szCs w:val="18"/>
              </w:rPr>
              <w:t>15.423.581</w:t>
            </w:r>
          </w:p>
        </w:tc>
        <w:tc>
          <w:tcPr>
            <w:tcW w:w="736" w:type="pct"/>
            <w:tcBorders>
              <w:top w:val="single" w:sz="4" w:space="0" w:color="auto"/>
              <w:bottom w:val="single" w:sz="12" w:space="0" w:color="auto"/>
            </w:tcBorders>
            <w:vAlign w:val="bottom"/>
          </w:tcPr>
          <w:p w14:paraId="6E9F60C9" w14:textId="025F2AFD" w:rsidR="000D2918" w:rsidRPr="00312975" w:rsidRDefault="000D2918" w:rsidP="000D2918">
            <w:pPr>
              <w:tabs>
                <w:tab w:val="right" w:pos="1202"/>
              </w:tabs>
              <w:spacing w:after="0" w:line="301" w:lineRule="exact"/>
              <w:jc w:val="right"/>
              <w:outlineLvl w:val="0"/>
              <w:rPr>
                <w:rFonts w:ascii="Calibri" w:hAnsi="Calibri"/>
                <w:b/>
                <w:color w:val="000000"/>
                <w:sz w:val="18"/>
                <w:szCs w:val="18"/>
              </w:rPr>
            </w:pPr>
            <w:r w:rsidRPr="00312975">
              <w:rPr>
                <w:rFonts w:ascii="Calibri" w:hAnsi="Calibri"/>
                <w:b/>
                <w:color w:val="000000"/>
                <w:sz w:val="18"/>
                <w:szCs w:val="18"/>
              </w:rPr>
              <w:t>13.391.749</w:t>
            </w:r>
          </w:p>
        </w:tc>
        <w:tc>
          <w:tcPr>
            <w:tcW w:w="736" w:type="pct"/>
            <w:tcBorders>
              <w:top w:val="single" w:sz="4" w:space="0" w:color="auto"/>
              <w:left w:val="nil"/>
              <w:bottom w:val="single" w:sz="12" w:space="0" w:color="auto"/>
              <w:right w:val="nil"/>
            </w:tcBorders>
            <w:shd w:val="clear" w:color="auto" w:fill="auto"/>
            <w:vAlign w:val="bottom"/>
          </w:tcPr>
          <w:p w14:paraId="7350E418" w14:textId="58DC1617" w:rsidR="000D2918" w:rsidRPr="00312975" w:rsidRDefault="00DE4C8C" w:rsidP="000D2918">
            <w:pPr>
              <w:tabs>
                <w:tab w:val="right" w:pos="1202"/>
              </w:tabs>
              <w:spacing w:after="0" w:line="301" w:lineRule="exact"/>
              <w:jc w:val="right"/>
              <w:outlineLvl w:val="0"/>
              <w:rPr>
                <w:rFonts w:eastAsia="Times New Roman" w:cs="Arial"/>
                <w:b/>
                <w:sz w:val="18"/>
                <w:szCs w:val="18"/>
              </w:rPr>
            </w:pPr>
            <w:r w:rsidRPr="00312975">
              <w:rPr>
                <w:rFonts w:eastAsia="Times New Roman" w:cs="Arial"/>
                <w:b/>
                <w:sz w:val="18"/>
                <w:szCs w:val="18"/>
              </w:rPr>
              <w:t>15.423.581</w:t>
            </w:r>
          </w:p>
        </w:tc>
        <w:tc>
          <w:tcPr>
            <w:tcW w:w="733" w:type="pct"/>
            <w:tcBorders>
              <w:top w:val="single" w:sz="4" w:space="0" w:color="auto"/>
              <w:bottom w:val="single" w:sz="12" w:space="0" w:color="auto"/>
            </w:tcBorders>
            <w:vAlign w:val="bottom"/>
          </w:tcPr>
          <w:p w14:paraId="014B6E46" w14:textId="723F5C8A" w:rsidR="000D2918" w:rsidRPr="00312975" w:rsidRDefault="000D2918" w:rsidP="000D2918">
            <w:pPr>
              <w:tabs>
                <w:tab w:val="right" w:pos="1202"/>
              </w:tabs>
              <w:spacing w:after="0" w:line="301" w:lineRule="exact"/>
              <w:jc w:val="right"/>
              <w:outlineLvl w:val="0"/>
              <w:rPr>
                <w:rFonts w:eastAsia="Times New Roman" w:cs="Arial"/>
                <w:b/>
                <w:sz w:val="18"/>
                <w:szCs w:val="18"/>
              </w:rPr>
            </w:pPr>
            <w:r w:rsidRPr="00312975">
              <w:rPr>
                <w:rFonts w:eastAsia="Times New Roman" w:cs="Arial"/>
                <w:b/>
                <w:sz w:val="18"/>
                <w:szCs w:val="18"/>
              </w:rPr>
              <w:t>13.391.749</w:t>
            </w:r>
          </w:p>
        </w:tc>
      </w:tr>
    </w:tbl>
    <w:p w14:paraId="2A81A013" w14:textId="77777777" w:rsidR="00FA4D98" w:rsidRPr="00312975" w:rsidRDefault="00FA4D98" w:rsidP="002255D9">
      <w:pPr>
        <w:tabs>
          <w:tab w:val="left" w:pos="-720"/>
        </w:tabs>
        <w:spacing w:after="0" w:line="240" w:lineRule="auto"/>
        <w:jc w:val="both"/>
        <w:rPr>
          <w:rFonts w:eastAsia="Times New Roman" w:cs="Calibri"/>
          <w:b/>
          <w:sz w:val="18"/>
          <w:szCs w:val="18"/>
          <w:lang w:eastAsia="hr-HR"/>
        </w:rPr>
      </w:pPr>
    </w:p>
    <w:p w14:paraId="49E6D537" w14:textId="7F1CB490" w:rsidR="006D17B8" w:rsidRDefault="00B47C66">
      <w:pPr>
        <w:tabs>
          <w:tab w:val="left" w:pos="-720"/>
        </w:tabs>
        <w:spacing w:after="0" w:line="240" w:lineRule="auto"/>
        <w:jc w:val="both"/>
        <w:rPr>
          <w:rFonts w:eastAsia="Times New Roman" w:cs="Calibri"/>
          <w:lang w:eastAsia="hr-HR"/>
        </w:rPr>
      </w:pPr>
      <w:r w:rsidRPr="00B47C66">
        <w:rPr>
          <w:rFonts w:eastAsia="Times New Roman" w:cs="Calibri"/>
          <w:lang w:eastAsia="hr-HR"/>
        </w:rPr>
        <w:t xml:space="preserve">Banka je podložna raznim financijskim klauzulama iz Ugovora. Na dan </w:t>
      </w:r>
      <w:r w:rsidR="006903C5">
        <w:rPr>
          <w:rFonts w:eastAsia="Times New Roman" w:cs="Calibri"/>
          <w:lang w:eastAsia="hr-HR"/>
        </w:rPr>
        <w:t>30</w:t>
      </w:r>
      <w:r w:rsidR="006E6971">
        <w:rPr>
          <w:rFonts w:eastAsia="Times New Roman" w:cs="Calibri"/>
          <w:lang w:eastAsia="hr-HR"/>
        </w:rPr>
        <w:t xml:space="preserve">. </w:t>
      </w:r>
      <w:r w:rsidR="006903C5">
        <w:rPr>
          <w:rFonts w:eastAsia="Times New Roman" w:cs="Calibri"/>
          <w:lang w:eastAsia="hr-HR"/>
        </w:rPr>
        <w:t>lipnja</w:t>
      </w:r>
      <w:r w:rsidR="006903C5" w:rsidRPr="00B47C66">
        <w:rPr>
          <w:rFonts w:eastAsia="Times New Roman" w:cs="Calibri"/>
          <w:lang w:eastAsia="hr-HR"/>
        </w:rPr>
        <w:t xml:space="preserve"> </w:t>
      </w:r>
      <w:r w:rsidR="006E6971">
        <w:rPr>
          <w:rFonts w:eastAsia="Times New Roman" w:cs="Calibri"/>
          <w:lang w:eastAsia="hr-HR"/>
        </w:rPr>
        <w:t>2017</w:t>
      </w:r>
      <w:r w:rsidRPr="00B47C66">
        <w:rPr>
          <w:rFonts w:eastAsia="Times New Roman" w:cs="Calibri"/>
          <w:lang w:eastAsia="hr-HR"/>
        </w:rPr>
        <w:t>. godine Banka je bila u skladu sa svim zahtijevanim financijskim klauzulama iz Ugovora.</w:t>
      </w:r>
    </w:p>
    <w:p w14:paraId="37C7DF57" w14:textId="77777777" w:rsidR="00933C8A" w:rsidRPr="00312975" w:rsidRDefault="00933C8A">
      <w:pPr>
        <w:tabs>
          <w:tab w:val="left" w:pos="-720"/>
        </w:tabs>
        <w:spacing w:after="0" w:line="240" w:lineRule="auto"/>
        <w:jc w:val="both"/>
        <w:rPr>
          <w:rFonts w:eastAsia="Times New Roman" w:cs="Calibri"/>
          <w:sz w:val="18"/>
          <w:szCs w:val="18"/>
          <w:lang w:eastAsia="hr-HR"/>
        </w:rPr>
      </w:pPr>
    </w:p>
    <w:p w14:paraId="6C90F584" w14:textId="5967B2A3" w:rsidR="00933C8A" w:rsidRDefault="00933C8A">
      <w:pPr>
        <w:pStyle w:val="T1"/>
        <w:spacing w:before="0" w:after="0" w:line="240" w:lineRule="auto"/>
        <w:rPr>
          <w:rFonts w:asciiTheme="minorHAnsi" w:hAnsiTheme="minorHAnsi" w:cs="Arial"/>
          <w:b w:val="0"/>
          <w:bCs w:val="0"/>
          <w:sz w:val="22"/>
          <w:szCs w:val="22"/>
          <w:lang w:val="hr-HR"/>
        </w:rPr>
      </w:pPr>
      <w:r w:rsidRPr="00F771B7">
        <w:rPr>
          <w:rFonts w:asciiTheme="minorHAnsi" w:hAnsiTheme="minorHAnsi" w:cs="Arial"/>
          <w:b w:val="0"/>
          <w:bCs w:val="0"/>
          <w:sz w:val="22"/>
          <w:szCs w:val="22"/>
          <w:lang w:val="hr-HR"/>
        </w:rPr>
        <w:t>Prosječne kamatne stope na obveze po kreditima</w:t>
      </w:r>
      <w:r w:rsidR="00A910CB">
        <w:rPr>
          <w:rFonts w:asciiTheme="minorHAnsi" w:hAnsiTheme="minorHAnsi" w:cs="Arial"/>
          <w:b w:val="0"/>
          <w:bCs w:val="0"/>
          <w:sz w:val="22"/>
          <w:szCs w:val="22"/>
          <w:lang w:val="hr-HR"/>
        </w:rPr>
        <w:t>, svedene na godišnju razinu,</w:t>
      </w:r>
      <w:r w:rsidRPr="00F771B7">
        <w:rPr>
          <w:rFonts w:asciiTheme="minorHAnsi" w:hAnsiTheme="minorHAnsi" w:cs="Arial"/>
          <w:b w:val="0"/>
          <w:bCs w:val="0"/>
          <w:sz w:val="22"/>
          <w:szCs w:val="22"/>
          <w:lang w:val="hr-HR"/>
        </w:rPr>
        <w:t xml:space="preserve"> iskazane su u visini od 1,</w:t>
      </w:r>
      <w:r w:rsidR="000D2957">
        <w:rPr>
          <w:rFonts w:asciiTheme="minorHAnsi" w:hAnsiTheme="minorHAnsi" w:cs="Arial"/>
          <w:b w:val="0"/>
          <w:bCs w:val="0"/>
          <w:sz w:val="22"/>
          <w:szCs w:val="22"/>
          <w:lang w:val="hr-HR"/>
        </w:rPr>
        <w:t>57</w:t>
      </w:r>
      <w:r w:rsidRPr="00F771B7">
        <w:rPr>
          <w:rFonts w:asciiTheme="minorHAnsi" w:hAnsiTheme="minorHAnsi" w:cs="Arial"/>
          <w:b w:val="0"/>
          <w:bCs w:val="0"/>
          <w:sz w:val="22"/>
          <w:szCs w:val="22"/>
          <w:lang w:val="hr-HR"/>
        </w:rPr>
        <w:t>%</w:t>
      </w:r>
      <w:r w:rsidRPr="005D12B5">
        <w:rPr>
          <w:rFonts w:asciiTheme="minorHAnsi" w:hAnsiTheme="minorHAnsi" w:cs="Arial"/>
          <w:b w:val="0"/>
          <w:bCs w:val="0"/>
          <w:sz w:val="22"/>
          <w:szCs w:val="22"/>
          <w:lang w:val="hr-HR"/>
        </w:rPr>
        <w:t xml:space="preserve"> </w:t>
      </w:r>
      <w:r w:rsidR="00A910CB" w:rsidRPr="00A910CB">
        <w:rPr>
          <w:rFonts w:asciiTheme="minorHAnsi" w:hAnsiTheme="minorHAnsi" w:cs="Arial"/>
          <w:b w:val="0"/>
          <w:bCs w:val="0"/>
          <w:sz w:val="22"/>
          <w:szCs w:val="22"/>
          <w:lang w:val="hr-HR"/>
        </w:rPr>
        <w:t>(1.</w:t>
      </w:r>
      <w:r w:rsidR="00A910CB">
        <w:rPr>
          <w:rFonts w:asciiTheme="minorHAnsi" w:hAnsiTheme="minorHAnsi" w:cs="Arial"/>
          <w:b w:val="0"/>
          <w:bCs w:val="0"/>
          <w:sz w:val="22"/>
          <w:szCs w:val="22"/>
          <w:lang w:val="hr-HR"/>
        </w:rPr>
        <w:t>1. do 30.6.2016. godine: 1,</w:t>
      </w:r>
      <w:r w:rsidR="000D2957">
        <w:rPr>
          <w:rFonts w:asciiTheme="minorHAnsi" w:hAnsiTheme="minorHAnsi" w:cs="Arial"/>
          <w:b w:val="0"/>
          <w:bCs w:val="0"/>
          <w:sz w:val="22"/>
          <w:szCs w:val="22"/>
          <w:lang w:val="hr-HR"/>
        </w:rPr>
        <w:t>74</w:t>
      </w:r>
      <w:r w:rsidR="00A910CB">
        <w:rPr>
          <w:rFonts w:asciiTheme="minorHAnsi" w:hAnsiTheme="minorHAnsi" w:cs="Arial"/>
          <w:b w:val="0"/>
          <w:bCs w:val="0"/>
          <w:sz w:val="22"/>
          <w:szCs w:val="22"/>
          <w:lang w:val="hr-HR"/>
        </w:rPr>
        <w:t>%)</w:t>
      </w:r>
      <w:r w:rsidRPr="005D12B5">
        <w:rPr>
          <w:rFonts w:asciiTheme="minorHAnsi" w:hAnsiTheme="minorHAnsi" w:cs="Arial"/>
          <w:b w:val="0"/>
          <w:bCs w:val="0"/>
          <w:sz w:val="22"/>
          <w:szCs w:val="22"/>
          <w:lang w:val="hr-HR"/>
        </w:rPr>
        <w:t xml:space="preserve">. </w:t>
      </w:r>
    </w:p>
    <w:p w14:paraId="08415752" w14:textId="7A3CF5EC" w:rsidR="00EC2837" w:rsidRDefault="00933C8A">
      <w:pPr>
        <w:tabs>
          <w:tab w:val="left" w:pos="-720"/>
        </w:tabs>
        <w:spacing w:after="0" w:line="240" w:lineRule="auto"/>
        <w:jc w:val="both"/>
        <w:rPr>
          <w:rFonts w:cs="Arial"/>
          <w:bCs/>
        </w:rPr>
      </w:pPr>
      <w:r w:rsidRPr="005D12B5">
        <w:rPr>
          <w:rFonts w:cs="Arial"/>
          <w:bCs/>
        </w:rPr>
        <w:t xml:space="preserve">Prosječne kamatne stope odražavaju omjer kamatnih rashoda po navedenim obvezama i prosječnih </w:t>
      </w:r>
      <w:r w:rsidR="000D2957">
        <w:rPr>
          <w:rFonts w:cs="Arial"/>
          <w:bCs/>
        </w:rPr>
        <w:t xml:space="preserve">ukupnih </w:t>
      </w:r>
      <w:r w:rsidRPr="005D12B5">
        <w:rPr>
          <w:rFonts w:cs="Arial"/>
          <w:bCs/>
        </w:rPr>
        <w:t>obveza.</w:t>
      </w:r>
    </w:p>
    <w:p w14:paraId="0FB34F5B" w14:textId="77777777" w:rsidR="004B42E3" w:rsidRDefault="004B42E3">
      <w:pPr>
        <w:tabs>
          <w:tab w:val="left" w:pos="-720"/>
        </w:tabs>
        <w:spacing w:after="0" w:line="240" w:lineRule="auto"/>
        <w:jc w:val="both"/>
        <w:rPr>
          <w:rFonts w:eastAsia="Times New Roman" w:cs="Calibri"/>
          <w:b/>
          <w:lang w:eastAsia="hr-HR"/>
        </w:rPr>
      </w:pPr>
    </w:p>
    <w:p w14:paraId="6E7BF071" w14:textId="77777777" w:rsidR="00E243F6" w:rsidRPr="004B42E3" w:rsidRDefault="00E243F6" w:rsidP="002255D9">
      <w:pPr>
        <w:tabs>
          <w:tab w:val="left" w:pos="-720"/>
        </w:tabs>
        <w:spacing w:after="0" w:line="240" w:lineRule="auto"/>
        <w:jc w:val="both"/>
        <w:rPr>
          <w:rFonts w:eastAsia="Times New Roman" w:cs="Calibri"/>
          <w:b/>
          <w:sz w:val="16"/>
          <w:szCs w:val="16"/>
          <w:lang w:eastAsia="hr-HR"/>
        </w:rPr>
      </w:pPr>
    </w:p>
    <w:p w14:paraId="23C42001" w14:textId="77777777" w:rsidR="00035A14" w:rsidRDefault="0026089C" w:rsidP="002255D9">
      <w:pPr>
        <w:tabs>
          <w:tab w:val="left" w:pos="-720"/>
        </w:tabs>
        <w:spacing w:after="0" w:line="240" w:lineRule="auto"/>
        <w:jc w:val="both"/>
        <w:rPr>
          <w:rFonts w:eastAsia="Times New Roman" w:cs="Calibri"/>
          <w:b/>
          <w:lang w:eastAsia="hr-HR"/>
        </w:rPr>
      </w:pPr>
      <w:r w:rsidRPr="00ED4731">
        <w:rPr>
          <w:rFonts w:eastAsia="Times New Roman" w:cs="Calibri"/>
          <w:b/>
          <w:lang w:eastAsia="hr-HR"/>
        </w:rPr>
        <w:t>1</w:t>
      </w:r>
      <w:r w:rsidR="00803DA8">
        <w:rPr>
          <w:rFonts w:eastAsia="Times New Roman" w:cs="Calibri"/>
          <w:b/>
          <w:lang w:eastAsia="hr-HR"/>
        </w:rPr>
        <w:t>3</w:t>
      </w:r>
      <w:r w:rsidRPr="00ED4731">
        <w:rPr>
          <w:rFonts w:eastAsia="Times New Roman" w:cs="Calibri"/>
          <w:b/>
          <w:lang w:eastAsia="hr-HR"/>
        </w:rPr>
        <w:t xml:space="preserve">. </w:t>
      </w:r>
      <w:r w:rsidRPr="00ED4731">
        <w:rPr>
          <w:rFonts w:eastAsia="Times New Roman" w:cs="Calibri"/>
          <w:b/>
          <w:lang w:eastAsia="hr-HR"/>
        </w:rPr>
        <w:tab/>
      </w:r>
      <w:r w:rsidR="002E1695" w:rsidRPr="00ED4731">
        <w:rPr>
          <w:rFonts w:eastAsia="Times New Roman" w:cs="Calibri"/>
          <w:b/>
          <w:lang w:eastAsia="hr-HR"/>
        </w:rPr>
        <w:t>Obveze za izdane dugoročne vrijednosne papire</w:t>
      </w:r>
    </w:p>
    <w:p w14:paraId="360C9111" w14:textId="77777777" w:rsidR="00803DA8" w:rsidRPr="004B42E3" w:rsidRDefault="00803DA8" w:rsidP="002255D9">
      <w:pPr>
        <w:tabs>
          <w:tab w:val="left" w:pos="-720"/>
        </w:tabs>
        <w:spacing w:after="0" w:line="240" w:lineRule="auto"/>
        <w:jc w:val="both"/>
        <w:rPr>
          <w:rFonts w:eastAsia="Times New Roman" w:cs="Calibri"/>
          <w:b/>
          <w:sz w:val="14"/>
          <w:szCs w:val="14"/>
          <w:lang w:eastAsia="hr-HR"/>
        </w:rPr>
      </w:pPr>
    </w:p>
    <w:p w14:paraId="1B2616B0" w14:textId="77777777" w:rsidR="00803DA8" w:rsidRPr="00803DA8" w:rsidRDefault="00803DA8" w:rsidP="002255D9">
      <w:pPr>
        <w:tabs>
          <w:tab w:val="left" w:pos="-720"/>
        </w:tabs>
        <w:spacing w:after="0" w:line="240" w:lineRule="auto"/>
        <w:jc w:val="both"/>
        <w:rPr>
          <w:rFonts w:eastAsia="Times New Roman" w:cs="Calibri"/>
          <w:lang w:eastAsia="hr-HR"/>
        </w:rPr>
      </w:pPr>
      <w:r w:rsidRPr="00803DA8">
        <w:rPr>
          <w:rFonts w:eastAsia="Times New Roman" w:cs="Calibri"/>
          <w:lang w:eastAsia="hr-HR"/>
        </w:rPr>
        <w:t xml:space="preserve">Knjigovodstvena vrijednost </w:t>
      </w:r>
      <w:r w:rsidR="00EC64CD">
        <w:rPr>
          <w:rFonts w:eastAsia="Times New Roman" w:cs="Calibri"/>
          <w:lang w:eastAsia="hr-HR"/>
        </w:rPr>
        <w:t xml:space="preserve">obveznica </w:t>
      </w:r>
      <w:r w:rsidRPr="00803DA8">
        <w:rPr>
          <w:rFonts w:eastAsia="Times New Roman" w:cs="Calibri"/>
          <w:lang w:eastAsia="hr-HR"/>
        </w:rPr>
        <w:t>uključuje kam</w:t>
      </w:r>
      <w:r>
        <w:rPr>
          <w:rFonts w:eastAsia="Times New Roman" w:cs="Calibri"/>
          <w:lang w:eastAsia="hr-HR"/>
        </w:rPr>
        <w:t>a</w:t>
      </w:r>
      <w:r w:rsidRPr="00803DA8">
        <w:rPr>
          <w:rFonts w:eastAsia="Times New Roman" w:cs="Calibri"/>
          <w:lang w:eastAsia="hr-HR"/>
        </w:rPr>
        <w:t>te</w:t>
      </w:r>
      <w:r w:rsidR="00EF27CE">
        <w:rPr>
          <w:rFonts w:eastAsia="Times New Roman" w:cs="Calibri"/>
          <w:lang w:eastAsia="hr-HR"/>
        </w:rPr>
        <w:t>.</w:t>
      </w:r>
    </w:p>
    <w:p w14:paraId="1F412BCA" w14:textId="77777777" w:rsidR="002255D9" w:rsidRPr="00312975" w:rsidRDefault="002255D9" w:rsidP="002255D9">
      <w:pPr>
        <w:tabs>
          <w:tab w:val="left" w:pos="-720"/>
        </w:tabs>
        <w:spacing w:after="0" w:line="240" w:lineRule="auto"/>
        <w:jc w:val="both"/>
        <w:rPr>
          <w:rFonts w:eastAsia="Times New Roman" w:cs="Calibri"/>
          <w:b/>
          <w:sz w:val="18"/>
          <w:szCs w:val="18"/>
          <w:lang w:eastAsia="hr-HR"/>
        </w:rPr>
      </w:pPr>
    </w:p>
    <w:tbl>
      <w:tblPr>
        <w:tblpPr w:leftFromText="181" w:rightFromText="181" w:vertAnchor="text" w:horzAnchor="margin" w:tblpXSpec="center" w:tblpY="1"/>
        <w:tblW w:w="5018" w:type="pct"/>
        <w:jc w:val="center"/>
        <w:tblLayout w:type="fixed"/>
        <w:tblLook w:val="0000" w:firstRow="0" w:lastRow="0" w:firstColumn="0" w:lastColumn="0" w:noHBand="0" w:noVBand="0"/>
      </w:tblPr>
      <w:tblGrid>
        <w:gridCol w:w="2735"/>
        <w:gridCol w:w="1112"/>
        <w:gridCol w:w="1247"/>
        <w:gridCol w:w="1526"/>
        <w:gridCol w:w="1245"/>
        <w:gridCol w:w="1523"/>
      </w:tblGrid>
      <w:tr w:rsidR="00EF27CE" w:rsidRPr="0098489B" w14:paraId="4A81ECC7" w14:textId="77777777" w:rsidTr="00312975">
        <w:trPr>
          <w:trHeight w:val="567"/>
          <w:jc w:val="center"/>
        </w:trPr>
        <w:tc>
          <w:tcPr>
            <w:tcW w:w="1457" w:type="pct"/>
            <w:vAlign w:val="center"/>
          </w:tcPr>
          <w:p w14:paraId="2239B3A9" w14:textId="77777777" w:rsidR="002E1695" w:rsidRPr="00312975" w:rsidRDefault="002E1695" w:rsidP="00CA2C67">
            <w:pPr>
              <w:tabs>
                <w:tab w:val="left" w:pos="-1843"/>
              </w:tabs>
              <w:suppressAutoHyphens/>
              <w:spacing w:after="0" w:line="240" w:lineRule="auto"/>
              <w:rPr>
                <w:rFonts w:eastAsia="Times New Roman" w:cs="Arial"/>
                <w:b/>
                <w:spacing w:val="-3"/>
                <w:sz w:val="18"/>
                <w:szCs w:val="18"/>
              </w:rPr>
            </w:pPr>
            <w:r w:rsidRPr="00312975">
              <w:rPr>
                <w:rFonts w:eastAsia="Times New Roman" w:cs="Arial"/>
                <w:b/>
                <w:spacing w:val="-3"/>
                <w:sz w:val="18"/>
                <w:szCs w:val="18"/>
              </w:rPr>
              <w:t>Grupa i Banka</w:t>
            </w:r>
          </w:p>
        </w:tc>
        <w:tc>
          <w:tcPr>
            <w:tcW w:w="592" w:type="pct"/>
            <w:vAlign w:val="bottom"/>
          </w:tcPr>
          <w:p w14:paraId="1AAE149E" w14:textId="77777777" w:rsidR="002E1695" w:rsidRPr="00312975" w:rsidRDefault="002E1695" w:rsidP="00CA2C67">
            <w:pPr>
              <w:tabs>
                <w:tab w:val="right" w:pos="1202"/>
              </w:tabs>
              <w:spacing w:after="0" w:line="240" w:lineRule="atLeast"/>
              <w:jc w:val="center"/>
              <w:outlineLvl w:val="0"/>
              <w:rPr>
                <w:rFonts w:eastAsia="Times New Roman" w:cs="Arial"/>
                <w:b/>
                <w:sz w:val="18"/>
                <w:szCs w:val="18"/>
              </w:rPr>
            </w:pPr>
            <w:r w:rsidRPr="00312975">
              <w:rPr>
                <w:rFonts w:eastAsia="Times New Roman" w:cs="Arial"/>
                <w:b/>
                <w:sz w:val="18"/>
                <w:szCs w:val="18"/>
              </w:rPr>
              <w:t>Efektivna kamatna stopa</w:t>
            </w:r>
          </w:p>
        </w:tc>
        <w:tc>
          <w:tcPr>
            <w:tcW w:w="664" w:type="pct"/>
            <w:vAlign w:val="bottom"/>
          </w:tcPr>
          <w:p w14:paraId="2359AA0C" w14:textId="1D8CEC14" w:rsidR="002E1695" w:rsidRPr="00312975" w:rsidRDefault="002E1695" w:rsidP="00257CDB">
            <w:pPr>
              <w:tabs>
                <w:tab w:val="right" w:pos="1202"/>
              </w:tabs>
              <w:spacing w:after="0" w:line="240" w:lineRule="atLeast"/>
              <w:jc w:val="right"/>
              <w:outlineLvl w:val="0"/>
              <w:rPr>
                <w:rFonts w:eastAsia="Times New Roman" w:cs="Arial"/>
                <w:b/>
                <w:sz w:val="18"/>
                <w:szCs w:val="18"/>
              </w:rPr>
            </w:pPr>
            <w:r w:rsidRPr="00312975">
              <w:rPr>
                <w:rFonts w:eastAsia="Times New Roman" w:cs="Arial"/>
                <w:b/>
                <w:sz w:val="18"/>
                <w:szCs w:val="18"/>
              </w:rPr>
              <w:t xml:space="preserve">Fer vrijednost </w:t>
            </w:r>
            <w:r w:rsidR="000D2918" w:rsidRPr="00312975">
              <w:rPr>
                <w:rFonts w:eastAsia="Times New Roman" w:cs="Arial"/>
                <w:b/>
                <w:sz w:val="18"/>
                <w:szCs w:val="18"/>
              </w:rPr>
              <w:t>30</w:t>
            </w:r>
            <w:r w:rsidR="0088252B" w:rsidRPr="00312975">
              <w:rPr>
                <w:rFonts w:eastAsia="Times New Roman" w:cs="Arial"/>
                <w:b/>
                <w:sz w:val="18"/>
                <w:szCs w:val="18"/>
              </w:rPr>
              <w:t>.</w:t>
            </w:r>
            <w:r w:rsidR="000D2918" w:rsidRPr="00312975">
              <w:rPr>
                <w:rFonts w:eastAsia="Times New Roman" w:cs="Arial"/>
                <w:b/>
                <w:sz w:val="18"/>
                <w:szCs w:val="18"/>
              </w:rPr>
              <w:t>6</w:t>
            </w:r>
            <w:r w:rsidR="00E93161" w:rsidRPr="00312975">
              <w:rPr>
                <w:rFonts w:eastAsia="Times New Roman" w:cs="Arial"/>
                <w:b/>
                <w:sz w:val="18"/>
                <w:szCs w:val="18"/>
              </w:rPr>
              <w:t>.201</w:t>
            </w:r>
            <w:r w:rsidR="0088252B" w:rsidRPr="00312975">
              <w:rPr>
                <w:rFonts w:eastAsia="Times New Roman" w:cs="Arial"/>
                <w:b/>
                <w:sz w:val="18"/>
                <w:szCs w:val="18"/>
              </w:rPr>
              <w:t>7</w:t>
            </w:r>
            <w:r w:rsidR="00E93161" w:rsidRPr="00312975">
              <w:rPr>
                <w:rFonts w:eastAsia="Times New Roman" w:cs="Arial"/>
                <w:b/>
                <w:sz w:val="18"/>
                <w:szCs w:val="18"/>
              </w:rPr>
              <w:t>.</w:t>
            </w:r>
          </w:p>
        </w:tc>
        <w:tc>
          <w:tcPr>
            <w:tcW w:w="813" w:type="pct"/>
            <w:vAlign w:val="bottom"/>
          </w:tcPr>
          <w:p w14:paraId="41DD4E20" w14:textId="77777777" w:rsidR="002E1695" w:rsidRPr="00312975" w:rsidRDefault="002E1695" w:rsidP="00CA2C67">
            <w:pPr>
              <w:tabs>
                <w:tab w:val="right" w:pos="1202"/>
              </w:tabs>
              <w:spacing w:after="0" w:line="240" w:lineRule="atLeast"/>
              <w:ind w:left="-152"/>
              <w:jc w:val="right"/>
              <w:outlineLvl w:val="0"/>
              <w:rPr>
                <w:rFonts w:eastAsia="Times New Roman" w:cs="Arial"/>
                <w:b/>
                <w:sz w:val="18"/>
                <w:szCs w:val="18"/>
              </w:rPr>
            </w:pPr>
            <w:r w:rsidRPr="00312975">
              <w:rPr>
                <w:rFonts w:eastAsia="Times New Roman" w:cs="Arial"/>
                <w:b/>
                <w:sz w:val="18"/>
                <w:szCs w:val="18"/>
              </w:rPr>
              <w:t>Knjigovodstvena vrijednost</w:t>
            </w:r>
          </w:p>
          <w:p w14:paraId="620AEB34" w14:textId="1774D1D3" w:rsidR="002E1695" w:rsidRPr="00312975" w:rsidRDefault="000D2918" w:rsidP="00257CDB">
            <w:pPr>
              <w:tabs>
                <w:tab w:val="right" w:pos="1202"/>
              </w:tabs>
              <w:spacing w:after="0" w:line="240" w:lineRule="atLeast"/>
              <w:ind w:left="-152"/>
              <w:jc w:val="right"/>
              <w:outlineLvl w:val="0"/>
              <w:rPr>
                <w:rFonts w:eastAsia="Times New Roman" w:cs="Arial"/>
                <w:b/>
                <w:sz w:val="18"/>
                <w:szCs w:val="18"/>
              </w:rPr>
            </w:pPr>
            <w:r w:rsidRPr="00312975">
              <w:rPr>
                <w:rFonts w:eastAsia="Times New Roman" w:cs="Arial"/>
                <w:b/>
                <w:sz w:val="18"/>
                <w:szCs w:val="18"/>
              </w:rPr>
              <w:t>30</w:t>
            </w:r>
            <w:r w:rsidR="00C513C6" w:rsidRPr="00312975">
              <w:rPr>
                <w:rFonts w:eastAsia="Times New Roman" w:cs="Arial"/>
                <w:b/>
                <w:sz w:val="18"/>
                <w:szCs w:val="18"/>
              </w:rPr>
              <w:t>.</w:t>
            </w:r>
            <w:r w:rsidRPr="00312975">
              <w:rPr>
                <w:rFonts w:eastAsia="Times New Roman" w:cs="Arial"/>
                <w:b/>
                <w:sz w:val="18"/>
                <w:szCs w:val="18"/>
              </w:rPr>
              <w:t>6</w:t>
            </w:r>
            <w:r w:rsidR="00E93161" w:rsidRPr="00312975">
              <w:rPr>
                <w:rFonts w:eastAsia="Times New Roman" w:cs="Arial"/>
                <w:b/>
                <w:sz w:val="18"/>
                <w:szCs w:val="18"/>
              </w:rPr>
              <w:t>.201</w:t>
            </w:r>
            <w:r w:rsidR="00C513C6" w:rsidRPr="00312975">
              <w:rPr>
                <w:rFonts w:eastAsia="Times New Roman" w:cs="Arial"/>
                <w:b/>
                <w:sz w:val="18"/>
                <w:szCs w:val="18"/>
              </w:rPr>
              <w:t>7</w:t>
            </w:r>
            <w:r w:rsidR="00E93161" w:rsidRPr="00312975">
              <w:rPr>
                <w:rFonts w:eastAsia="Times New Roman" w:cs="Arial"/>
                <w:b/>
                <w:sz w:val="18"/>
                <w:szCs w:val="18"/>
              </w:rPr>
              <w:t>.</w:t>
            </w:r>
          </w:p>
        </w:tc>
        <w:tc>
          <w:tcPr>
            <w:tcW w:w="663" w:type="pct"/>
            <w:vAlign w:val="bottom"/>
          </w:tcPr>
          <w:p w14:paraId="57EE11F7" w14:textId="31784D78" w:rsidR="002E1695" w:rsidRPr="00312975" w:rsidRDefault="002E1695" w:rsidP="00C513C6">
            <w:pPr>
              <w:tabs>
                <w:tab w:val="right" w:pos="1202"/>
              </w:tabs>
              <w:spacing w:after="0" w:line="240" w:lineRule="atLeast"/>
              <w:jc w:val="right"/>
              <w:outlineLvl w:val="0"/>
              <w:rPr>
                <w:rFonts w:eastAsia="Times New Roman" w:cs="Arial"/>
                <w:b/>
                <w:sz w:val="18"/>
                <w:szCs w:val="18"/>
              </w:rPr>
            </w:pPr>
            <w:r w:rsidRPr="00312975">
              <w:rPr>
                <w:rFonts w:eastAsia="Times New Roman" w:cs="Arial"/>
                <w:b/>
                <w:sz w:val="18"/>
                <w:szCs w:val="18"/>
              </w:rPr>
              <w:t xml:space="preserve">Fer vrijednost </w:t>
            </w:r>
            <w:r w:rsidR="006F6C32" w:rsidRPr="00312975">
              <w:rPr>
                <w:rFonts w:eastAsia="Times New Roman" w:cs="Arial"/>
                <w:b/>
                <w:sz w:val="18"/>
                <w:szCs w:val="18"/>
              </w:rPr>
              <w:t>31.12.</w:t>
            </w:r>
            <w:r w:rsidRPr="00312975">
              <w:rPr>
                <w:rFonts w:eastAsia="Times New Roman" w:cs="Arial"/>
                <w:b/>
                <w:sz w:val="18"/>
                <w:szCs w:val="18"/>
              </w:rPr>
              <w:t>201</w:t>
            </w:r>
            <w:r w:rsidR="00C513C6" w:rsidRPr="00312975">
              <w:rPr>
                <w:rFonts w:eastAsia="Times New Roman" w:cs="Arial"/>
                <w:b/>
                <w:sz w:val="18"/>
                <w:szCs w:val="18"/>
              </w:rPr>
              <w:t>6</w:t>
            </w:r>
            <w:r w:rsidRPr="00312975">
              <w:rPr>
                <w:rFonts w:eastAsia="Times New Roman" w:cs="Arial"/>
                <w:b/>
                <w:sz w:val="18"/>
                <w:szCs w:val="18"/>
              </w:rPr>
              <w:t>.</w:t>
            </w:r>
          </w:p>
        </w:tc>
        <w:tc>
          <w:tcPr>
            <w:tcW w:w="811" w:type="pct"/>
            <w:vAlign w:val="bottom"/>
          </w:tcPr>
          <w:p w14:paraId="63341608" w14:textId="77777777" w:rsidR="002E1695" w:rsidRPr="00312975" w:rsidRDefault="002E1695" w:rsidP="00CA2C67">
            <w:pPr>
              <w:tabs>
                <w:tab w:val="right" w:pos="1202"/>
              </w:tabs>
              <w:spacing w:after="0" w:line="240" w:lineRule="atLeast"/>
              <w:ind w:left="-152"/>
              <w:jc w:val="right"/>
              <w:outlineLvl w:val="0"/>
              <w:rPr>
                <w:rFonts w:eastAsia="Times New Roman" w:cs="Arial"/>
                <w:b/>
                <w:sz w:val="18"/>
                <w:szCs w:val="18"/>
              </w:rPr>
            </w:pPr>
            <w:r w:rsidRPr="00312975">
              <w:rPr>
                <w:rFonts w:eastAsia="Times New Roman" w:cs="Arial"/>
                <w:b/>
                <w:sz w:val="18"/>
                <w:szCs w:val="18"/>
              </w:rPr>
              <w:t>Knjigovodstvena vrijednost</w:t>
            </w:r>
          </w:p>
          <w:p w14:paraId="603E20EC" w14:textId="213CCC87" w:rsidR="002E1695" w:rsidRPr="00312975" w:rsidRDefault="006F6C32" w:rsidP="00C513C6">
            <w:pPr>
              <w:tabs>
                <w:tab w:val="right" w:pos="1202"/>
              </w:tabs>
              <w:spacing w:after="0" w:line="240" w:lineRule="atLeast"/>
              <w:ind w:left="-152"/>
              <w:jc w:val="right"/>
              <w:outlineLvl w:val="0"/>
              <w:rPr>
                <w:rFonts w:eastAsia="Times New Roman" w:cs="Arial"/>
                <w:b/>
                <w:sz w:val="18"/>
                <w:szCs w:val="18"/>
              </w:rPr>
            </w:pPr>
            <w:r w:rsidRPr="00312975">
              <w:rPr>
                <w:rFonts w:eastAsia="Times New Roman" w:cs="Arial"/>
                <w:b/>
                <w:sz w:val="18"/>
                <w:szCs w:val="18"/>
              </w:rPr>
              <w:t>31.12.</w:t>
            </w:r>
            <w:r w:rsidR="002E1695" w:rsidRPr="00312975">
              <w:rPr>
                <w:rFonts w:eastAsia="Times New Roman" w:cs="Arial"/>
                <w:b/>
                <w:sz w:val="18"/>
                <w:szCs w:val="18"/>
              </w:rPr>
              <w:t>201</w:t>
            </w:r>
            <w:r w:rsidR="00C513C6" w:rsidRPr="00312975">
              <w:rPr>
                <w:rFonts w:eastAsia="Times New Roman" w:cs="Arial"/>
                <w:b/>
                <w:sz w:val="18"/>
                <w:szCs w:val="18"/>
              </w:rPr>
              <w:t>6</w:t>
            </w:r>
            <w:r w:rsidR="002E1695" w:rsidRPr="00312975">
              <w:rPr>
                <w:rFonts w:eastAsia="Times New Roman" w:cs="Arial"/>
                <w:b/>
                <w:sz w:val="18"/>
                <w:szCs w:val="18"/>
              </w:rPr>
              <w:t>.</w:t>
            </w:r>
          </w:p>
        </w:tc>
      </w:tr>
      <w:tr w:rsidR="00C513C6" w:rsidRPr="0098489B" w:rsidDel="00CC32A8" w14:paraId="02CE728A" w14:textId="77777777" w:rsidTr="00312975">
        <w:trPr>
          <w:trHeight w:val="138"/>
          <w:jc w:val="center"/>
        </w:trPr>
        <w:tc>
          <w:tcPr>
            <w:tcW w:w="1457" w:type="pct"/>
          </w:tcPr>
          <w:p w14:paraId="0BFD0911" w14:textId="77777777" w:rsidR="00C513C6" w:rsidRPr="00312975" w:rsidRDefault="00C513C6" w:rsidP="00C513C6">
            <w:pPr>
              <w:tabs>
                <w:tab w:val="right" w:pos="1202"/>
              </w:tabs>
              <w:spacing w:after="0" w:line="301" w:lineRule="exact"/>
              <w:outlineLvl w:val="0"/>
              <w:rPr>
                <w:rFonts w:eastAsia="Times New Roman" w:cs="Arial"/>
                <w:sz w:val="18"/>
                <w:szCs w:val="18"/>
              </w:rPr>
            </w:pPr>
            <w:r w:rsidRPr="00312975">
              <w:rPr>
                <w:rFonts w:eastAsia="Times New Roman" w:cs="Arial"/>
                <w:sz w:val="18"/>
                <w:szCs w:val="18"/>
              </w:rPr>
              <w:t>Obveznice 250,0 milijuna eura</w:t>
            </w:r>
          </w:p>
        </w:tc>
        <w:tc>
          <w:tcPr>
            <w:tcW w:w="592" w:type="pct"/>
            <w:vAlign w:val="bottom"/>
          </w:tcPr>
          <w:p w14:paraId="055198BC" w14:textId="77777777" w:rsidR="00C513C6" w:rsidRPr="00312975" w:rsidRDefault="00C513C6" w:rsidP="00C513C6">
            <w:pPr>
              <w:tabs>
                <w:tab w:val="right" w:pos="1202"/>
              </w:tabs>
              <w:spacing w:after="0" w:line="301" w:lineRule="exact"/>
              <w:jc w:val="center"/>
              <w:outlineLvl w:val="0"/>
              <w:rPr>
                <w:rFonts w:eastAsia="Times New Roman" w:cs="Arial"/>
                <w:sz w:val="18"/>
                <w:szCs w:val="18"/>
              </w:rPr>
            </w:pPr>
            <w:r w:rsidRPr="00312975">
              <w:rPr>
                <w:rFonts w:eastAsia="Times New Roman" w:cs="Arial"/>
                <w:sz w:val="18"/>
                <w:szCs w:val="18"/>
              </w:rPr>
              <w:t>5,076</w:t>
            </w:r>
          </w:p>
        </w:tc>
        <w:tc>
          <w:tcPr>
            <w:tcW w:w="664" w:type="pct"/>
            <w:tcBorders>
              <w:top w:val="nil"/>
              <w:left w:val="nil"/>
              <w:bottom w:val="nil"/>
              <w:right w:val="nil"/>
            </w:tcBorders>
            <w:shd w:val="clear" w:color="auto" w:fill="auto"/>
            <w:vAlign w:val="bottom"/>
          </w:tcPr>
          <w:p w14:paraId="265D29AF" w14:textId="77A2577A" w:rsidR="00C513C6" w:rsidRPr="00312975" w:rsidRDefault="00604754" w:rsidP="000E5941">
            <w:pPr>
              <w:tabs>
                <w:tab w:val="right" w:pos="1202"/>
              </w:tabs>
              <w:spacing w:after="0" w:line="240" w:lineRule="auto"/>
              <w:jc w:val="right"/>
              <w:outlineLvl w:val="0"/>
              <w:rPr>
                <w:rFonts w:ascii="Calibri" w:hAnsi="Calibri"/>
                <w:color w:val="000000"/>
                <w:sz w:val="18"/>
                <w:szCs w:val="18"/>
              </w:rPr>
            </w:pPr>
            <w:r w:rsidRPr="00312975">
              <w:rPr>
                <w:rFonts w:ascii="Calibri" w:hAnsi="Calibri"/>
                <w:color w:val="000000"/>
                <w:sz w:val="18"/>
                <w:szCs w:val="18"/>
              </w:rPr>
              <w:t>-</w:t>
            </w:r>
          </w:p>
        </w:tc>
        <w:tc>
          <w:tcPr>
            <w:tcW w:w="813" w:type="pct"/>
            <w:tcBorders>
              <w:top w:val="nil"/>
              <w:left w:val="nil"/>
              <w:bottom w:val="nil"/>
              <w:right w:val="nil"/>
            </w:tcBorders>
            <w:shd w:val="clear" w:color="auto" w:fill="auto"/>
            <w:vAlign w:val="bottom"/>
          </w:tcPr>
          <w:p w14:paraId="5F14D9B1" w14:textId="2A02DCA2" w:rsidR="00C513C6" w:rsidRPr="00312975" w:rsidDel="00CC32A8" w:rsidRDefault="00604754" w:rsidP="000E5941">
            <w:pPr>
              <w:tabs>
                <w:tab w:val="right" w:pos="1202"/>
              </w:tabs>
              <w:spacing w:after="0" w:line="240" w:lineRule="auto"/>
              <w:jc w:val="right"/>
              <w:outlineLvl w:val="0"/>
              <w:rPr>
                <w:rFonts w:ascii="Calibri" w:hAnsi="Calibri"/>
                <w:color w:val="000000"/>
                <w:sz w:val="18"/>
                <w:szCs w:val="18"/>
              </w:rPr>
            </w:pPr>
            <w:r w:rsidRPr="00312975">
              <w:rPr>
                <w:rFonts w:ascii="Calibri" w:hAnsi="Calibri"/>
                <w:color w:val="000000"/>
                <w:sz w:val="18"/>
                <w:szCs w:val="18"/>
              </w:rPr>
              <w:t>-</w:t>
            </w:r>
          </w:p>
        </w:tc>
        <w:tc>
          <w:tcPr>
            <w:tcW w:w="663" w:type="pct"/>
            <w:tcBorders>
              <w:top w:val="nil"/>
              <w:left w:val="nil"/>
              <w:bottom w:val="nil"/>
              <w:right w:val="nil"/>
            </w:tcBorders>
            <w:shd w:val="clear" w:color="auto" w:fill="auto"/>
            <w:vAlign w:val="bottom"/>
          </w:tcPr>
          <w:p w14:paraId="3DF04134" w14:textId="2D489129" w:rsidR="00C513C6" w:rsidRPr="00312975" w:rsidRDefault="00C513C6" w:rsidP="00C513C6">
            <w:pPr>
              <w:tabs>
                <w:tab w:val="right" w:pos="1202"/>
              </w:tabs>
              <w:spacing w:after="0" w:line="240" w:lineRule="auto"/>
              <w:jc w:val="right"/>
              <w:outlineLvl w:val="0"/>
              <w:rPr>
                <w:rFonts w:eastAsia="Times New Roman" w:cs="Arial"/>
                <w:sz w:val="18"/>
                <w:szCs w:val="18"/>
              </w:rPr>
            </w:pPr>
            <w:r w:rsidRPr="00312975">
              <w:rPr>
                <w:rFonts w:ascii="Calibri" w:hAnsi="Calibri"/>
                <w:color w:val="000000"/>
                <w:sz w:val="18"/>
                <w:szCs w:val="18"/>
              </w:rPr>
              <w:t>1.915.899</w:t>
            </w:r>
          </w:p>
        </w:tc>
        <w:tc>
          <w:tcPr>
            <w:tcW w:w="811" w:type="pct"/>
            <w:tcBorders>
              <w:top w:val="nil"/>
              <w:left w:val="nil"/>
              <w:bottom w:val="nil"/>
              <w:right w:val="nil"/>
            </w:tcBorders>
            <w:shd w:val="clear" w:color="auto" w:fill="auto"/>
            <w:vAlign w:val="bottom"/>
          </w:tcPr>
          <w:p w14:paraId="450242EE" w14:textId="53F5AF67" w:rsidR="00C513C6" w:rsidRPr="00312975" w:rsidRDefault="00C513C6" w:rsidP="00C513C6">
            <w:pPr>
              <w:tabs>
                <w:tab w:val="right" w:pos="1202"/>
              </w:tabs>
              <w:spacing w:after="0" w:line="240" w:lineRule="auto"/>
              <w:jc w:val="right"/>
              <w:outlineLvl w:val="0"/>
              <w:rPr>
                <w:rFonts w:eastAsia="Times New Roman" w:cs="Arial"/>
                <w:sz w:val="18"/>
                <w:szCs w:val="18"/>
              </w:rPr>
            </w:pPr>
            <w:r w:rsidRPr="00312975">
              <w:rPr>
                <w:rFonts w:ascii="Calibri" w:hAnsi="Calibri"/>
                <w:color w:val="000000"/>
                <w:sz w:val="18"/>
                <w:szCs w:val="18"/>
              </w:rPr>
              <w:t>1.888.837</w:t>
            </w:r>
          </w:p>
        </w:tc>
      </w:tr>
      <w:tr w:rsidR="00DE4C8C" w:rsidRPr="0098489B" w14:paraId="339F8614" w14:textId="77777777" w:rsidTr="00312975">
        <w:trPr>
          <w:trHeight w:val="114"/>
          <w:jc w:val="center"/>
        </w:trPr>
        <w:tc>
          <w:tcPr>
            <w:tcW w:w="1457" w:type="pct"/>
          </w:tcPr>
          <w:p w14:paraId="450CD5F3" w14:textId="77777777" w:rsidR="00DE4C8C" w:rsidRPr="00312975" w:rsidRDefault="00DE4C8C" w:rsidP="00DE4C8C">
            <w:pPr>
              <w:tabs>
                <w:tab w:val="right" w:pos="1202"/>
              </w:tabs>
              <w:spacing w:after="0" w:line="301" w:lineRule="exact"/>
              <w:outlineLvl w:val="0"/>
              <w:rPr>
                <w:rFonts w:eastAsia="Times New Roman" w:cs="Arial"/>
                <w:sz w:val="18"/>
                <w:szCs w:val="18"/>
              </w:rPr>
            </w:pPr>
            <w:r w:rsidRPr="00312975">
              <w:rPr>
                <w:rFonts w:eastAsia="Times New Roman" w:cs="Arial"/>
                <w:sz w:val="18"/>
                <w:szCs w:val="18"/>
              </w:rPr>
              <w:t>Obveznice 150,0 milijuna eura</w:t>
            </w:r>
          </w:p>
        </w:tc>
        <w:tc>
          <w:tcPr>
            <w:tcW w:w="592" w:type="pct"/>
            <w:vAlign w:val="bottom"/>
          </w:tcPr>
          <w:p w14:paraId="18789F80" w14:textId="77777777" w:rsidR="00DE4C8C" w:rsidRPr="00312975" w:rsidRDefault="00DE4C8C" w:rsidP="00DE4C8C">
            <w:pPr>
              <w:tabs>
                <w:tab w:val="right" w:pos="1202"/>
              </w:tabs>
              <w:spacing w:after="0" w:line="301" w:lineRule="exact"/>
              <w:jc w:val="center"/>
              <w:outlineLvl w:val="0"/>
              <w:rPr>
                <w:rFonts w:eastAsia="Times New Roman" w:cs="Arial"/>
                <w:sz w:val="18"/>
                <w:szCs w:val="18"/>
              </w:rPr>
            </w:pPr>
            <w:r w:rsidRPr="00312975">
              <w:rPr>
                <w:rFonts w:eastAsia="Times New Roman" w:cs="Arial"/>
                <w:sz w:val="18"/>
                <w:szCs w:val="18"/>
              </w:rPr>
              <w:t>6,37</w:t>
            </w:r>
          </w:p>
        </w:tc>
        <w:tc>
          <w:tcPr>
            <w:tcW w:w="664" w:type="pct"/>
            <w:tcBorders>
              <w:top w:val="nil"/>
              <w:left w:val="nil"/>
              <w:bottom w:val="nil"/>
              <w:right w:val="nil"/>
            </w:tcBorders>
            <w:shd w:val="clear" w:color="auto" w:fill="auto"/>
            <w:vAlign w:val="bottom"/>
          </w:tcPr>
          <w:p w14:paraId="668BC245" w14:textId="4AD6E953" w:rsidR="00DE4C8C" w:rsidRPr="00312975" w:rsidRDefault="00DE4C8C" w:rsidP="00DE4C8C">
            <w:pPr>
              <w:tabs>
                <w:tab w:val="right" w:pos="1202"/>
              </w:tabs>
              <w:spacing w:after="0" w:line="240" w:lineRule="auto"/>
              <w:jc w:val="right"/>
              <w:outlineLvl w:val="0"/>
              <w:rPr>
                <w:rFonts w:ascii="Calibri" w:hAnsi="Calibri"/>
                <w:color w:val="000000"/>
                <w:sz w:val="18"/>
                <w:szCs w:val="18"/>
              </w:rPr>
            </w:pPr>
            <w:r w:rsidRPr="00312975">
              <w:rPr>
                <w:rFonts w:ascii="Calibri" w:hAnsi="Calibri"/>
                <w:color w:val="000000"/>
                <w:sz w:val="18"/>
                <w:szCs w:val="18"/>
              </w:rPr>
              <w:t>1.236.873</w:t>
            </w:r>
          </w:p>
        </w:tc>
        <w:tc>
          <w:tcPr>
            <w:tcW w:w="813" w:type="pct"/>
            <w:tcBorders>
              <w:top w:val="nil"/>
              <w:left w:val="nil"/>
              <w:bottom w:val="nil"/>
              <w:right w:val="nil"/>
            </w:tcBorders>
            <w:shd w:val="clear" w:color="auto" w:fill="auto"/>
            <w:vAlign w:val="bottom"/>
          </w:tcPr>
          <w:p w14:paraId="1AA8C9EE" w14:textId="31C1F104" w:rsidR="00DE4C8C" w:rsidRPr="00312975" w:rsidRDefault="00DE4C8C" w:rsidP="00DE4C8C">
            <w:pPr>
              <w:tabs>
                <w:tab w:val="right" w:pos="1202"/>
              </w:tabs>
              <w:spacing w:after="0" w:line="240" w:lineRule="auto"/>
              <w:jc w:val="right"/>
              <w:outlineLvl w:val="0"/>
              <w:rPr>
                <w:rFonts w:ascii="Calibri" w:hAnsi="Calibri"/>
                <w:color w:val="000000"/>
                <w:sz w:val="18"/>
                <w:szCs w:val="18"/>
              </w:rPr>
            </w:pPr>
            <w:r w:rsidRPr="00312975">
              <w:rPr>
                <w:rFonts w:ascii="Calibri" w:hAnsi="Calibri"/>
                <w:color w:val="000000"/>
                <w:sz w:val="18"/>
                <w:szCs w:val="18"/>
              </w:rPr>
              <w:t>1.100.478</w:t>
            </w:r>
          </w:p>
        </w:tc>
        <w:tc>
          <w:tcPr>
            <w:tcW w:w="663" w:type="pct"/>
            <w:tcBorders>
              <w:top w:val="nil"/>
              <w:left w:val="nil"/>
              <w:bottom w:val="nil"/>
              <w:right w:val="nil"/>
            </w:tcBorders>
            <w:shd w:val="clear" w:color="auto" w:fill="auto"/>
            <w:vAlign w:val="bottom"/>
          </w:tcPr>
          <w:p w14:paraId="58576269" w14:textId="1356F6A3" w:rsidR="00DE4C8C" w:rsidRPr="00312975" w:rsidRDefault="00DE4C8C" w:rsidP="00DE4C8C">
            <w:pPr>
              <w:tabs>
                <w:tab w:val="right" w:pos="1202"/>
              </w:tabs>
              <w:spacing w:after="0" w:line="240" w:lineRule="auto"/>
              <w:jc w:val="right"/>
              <w:outlineLvl w:val="0"/>
              <w:rPr>
                <w:rFonts w:eastAsia="Times New Roman" w:cs="Arial"/>
                <w:sz w:val="18"/>
                <w:szCs w:val="18"/>
              </w:rPr>
            </w:pPr>
            <w:r w:rsidRPr="00312975">
              <w:rPr>
                <w:rFonts w:ascii="Calibri" w:hAnsi="Calibri"/>
                <w:color w:val="000000"/>
                <w:sz w:val="18"/>
                <w:szCs w:val="18"/>
              </w:rPr>
              <w:t>1.270.695</w:t>
            </w:r>
          </w:p>
        </w:tc>
        <w:tc>
          <w:tcPr>
            <w:tcW w:w="811" w:type="pct"/>
            <w:tcBorders>
              <w:top w:val="nil"/>
              <w:left w:val="nil"/>
              <w:bottom w:val="nil"/>
              <w:right w:val="nil"/>
            </w:tcBorders>
            <w:shd w:val="clear" w:color="auto" w:fill="auto"/>
            <w:vAlign w:val="bottom"/>
          </w:tcPr>
          <w:p w14:paraId="2B6743C4" w14:textId="0A407421" w:rsidR="00DE4C8C" w:rsidRPr="00312975" w:rsidRDefault="00DE4C8C" w:rsidP="00DE4C8C">
            <w:pPr>
              <w:tabs>
                <w:tab w:val="right" w:pos="1202"/>
              </w:tabs>
              <w:spacing w:after="0" w:line="240" w:lineRule="auto"/>
              <w:jc w:val="right"/>
              <w:outlineLvl w:val="0"/>
              <w:rPr>
                <w:rFonts w:eastAsia="Times New Roman" w:cs="Arial"/>
                <w:sz w:val="18"/>
                <w:szCs w:val="18"/>
              </w:rPr>
            </w:pPr>
            <w:r w:rsidRPr="00312975">
              <w:rPr>
                <w:rFonts w:ascii="Calibri" w:hAnsi="Calibri"/>
                <w:color w:val="000000"/>
                <w:sz w:val="18"/>
                <w:szCs w:val="18"/>
              </w:rPr>
              <w:t>1.121.261</w:t>
            </w:r>
          </w:p>
        </w:tc>
      </w:tr>
      <w:tr w:rsidR="00DE4C8C" w:rsidRPr="0098489B" w14:paraId="1CD58C8A" w14:textId="77777777" w:rsidTr="00312975">
        <w:trPr>
          <w:trHeight w:val="170"/>
          <w:jc w:val="center"/>
        </w:trPr>
        <w:tc>
          <w:tcPr>
            <w:tcW w:w="1457" w:type="pct"/>
          </w:tcPr>
          <w:p w14:paraId="09E778DF" w14:textId="77777777" w:rsidR="00DE4C8C" w:rsidRPr="00312975" w:rsidRDefault="00DE4C8C" w:rsidP="00DE4C8C">
            <w:pPr>
              <w:tabs>
                <w:tab w:val="right" w:pos="1202"/>
              </w:tabs>
              <w:spacing w:after="0" w:line="301" w:lineRule="exact"/>
              <w:outlineLvl w:val="0"/>
              <w:rPr>
                <w:rFonts w:eastAsia="Times New Roman" w:cs="Arial"/>
                <w:sz w:val="18"/>
                <w:szCs w:val="18"/>
              </w:rPr>
            </w:pPr>
            <w:r w:rsidRPr="00312975">
              <w:rPr>
                <w:rFonts w:eastAsia="Times New Roman" w:cs="Arial"/>
                <w:sz w:val="18"/>
                <w:szCs w:val="18"/>
              </w:rPr>
              <w:t>Obračunata kamata</w:t>
            </w:r>
          </w:p>
        </w:tc>
        <w:tc>
          <w:tcPr>
            <w:tcW w:w="592" w:type="pct"/>
            <w:vAlign w:val="bottom"/>
          </w:tcPr>
          <w:p w14:paraId="1014C10E" w14:textId="77777777" w:rsidR="00DE4C8C" w:rsidRPr="00312975" w:rsidRDefault="00DE4C8C" w:rsidP="00DE4C8C">
            <w:pPr>
              <w:tabs>
                <w:tab w:val="right" w:pos="1202"/>
              </w:tabs>
              <w:spacing w:after="0" w:line="301" w:lineRule="exact"/>
              <w:jc w:val="center"/>
              <w:outlineLvl w:val="0"/>
              <w:rPr>
                <w:rFonts w:eastAsia="Times New Roman" w:cs="Arial"/>
                <w:sz w:val="18"/>
                <w:szCs w:val="18"/>
                <w:highlight w:val="yellow"/>
              </w:rPr>
            </w:pPr>
          </w:p>
        </w:tc>
        <w:tc>
          <w:tcPr>
            <w:tcW w:w="664" w:type="pct"/>
            <w:tcBorders>
              <w:top w:val="nil"/>
              <w:left w:val="nil"/>
              <w:bottom w:val="nil"/>
              <w:right w:val="nil"/>
            </w:tcBorders>
            <w:shd w:val="clear" w:color="auto" w:fill="auto"/>
            <w:vAlign w:val="bottom"/>
          </w:tcPr>
          <w:p w14:paraId="073EF8DA" w14:textId="7847F473" w:rsidR="00DE4C8C" w:rsidRPr="00312975" w:rsidRDefault="00DE4C8C" w:rsidP="00DE4C8C">
            <w:pPr>
              <w:tabs>
                <w:tab w:val="right" w:pos="1202"/>
              </w:tabs>
              <w:spacing w:after="0" w:line="240" w:lineRule="auto"/>
              <w:jc w:val="right"/>
              <w:outlineLvl w:val="0"/>
              <w:rPr>
                <w:rFonts w:ascii="Calibri" w:hAnsi="Calibri"/>
                <w:color w:val="000000"/>
                <w:sz w:val="18"/>
                <w:szCs w:val="18"/>
              </w:rPr>
            </w:pPr>
            <w:r w:rsidRPr="00312975">
              <w:rPr>
                <w:rFonts w:ascii="Calibri" w:hAnsi="Calibri"/>
                <w:color w:val="000000"/>
                <w:sz w:val="18"/>
                <w:szCs w:val="18"/>
              </w:rPr>
              <w:t>-</w:t>
            </w:r>
          </w:p>
        </w:tc>
        <w:tc>
          <w:tcPr>
            <w:tcW w:w="813" w:type="pct"/>
            <w:tcBorders>
              <w:top w:val="nil"/>
              <w:left w:val="nil"/>
              <w:bottom w:val="nil"/>
              <w:right w:val="nil"/>
            </w:tcBorders>
            <w:shd w:val="clear" w:color="auto" w:fill="auto"/>
            <w:vAlign w:val="bottom"/>
          </w:tcPr>
          <w:p w14:paraId="15DD709B" w14:textId="7B79E359" w:rsidR="00DE4C8C" w:rsidRPr="00312975" w:rsidRDefault="00DE4C8C" w:rsidP="00DE4C8C">
            <w:pPr>
              <w:tabs>
                <w:tab w:val="right" w:pos="1202"/>
              </w:tabs>
              <w:spacing w:after="0" w:line="240" w:lineRule="auto"/>
              <w:jc w:val="right"/>
              <w:outlineLvl w:val="0"/>
              <w:rPr>
                <w:rFonts w:ascii="Calibri" w:hAnsi="Calibri"/>
                <w:color w:val="000000"/>
                <w:sz w:val="18"/>
                <w:szCs w:val="18"/>
              </w:rPr>
            </w:pPr>
            <w:r w:rsidRPr="00312975">
              <w:rPr>
                <w:rFonts w:ascii="Calibri" w:hAnsi="Calibri"/>
                <w:color w:val="000000"/>
                <w:sz w:val="18"/>
                <w:szCs w:val="18"/>
              </w:rPr>
              <w:t>9.679</w:t>
            </w:r>
          </w:p>
        </w:tc>
        <w:tc>
          <w:tcPr>
            <w:tcW w:w="663" w:type="pct"/>
            <w:tcBorders>
              <w:top w:val="nil"/>
              <w:left w:val="nil"/>
              <w:bottom w:val="nil"/>
              <w:right w:val="nil"/>
            </w:tcBorders>
            <w:shd w:val="clear" w:color="auto" w:fill="auto"/>
            <w:vAlign w:val="bottom"/>
          </w:tcPr>
          <w:p w14:paraId="6B35A0A1" w14:textId="65B3D035" w:rsidR="00DE4C8C" w:rsidRPr="00312975" w:rsidRDefault="00DE4C8C" w:rsidP="00DE4C8C">
            <w:pPr>
              <w:tabs>
                <w:tab w:val="right" w:pos="1202"/>
              </w:tabs>
              <w:spacing w:after="0" w:line="240" w:lineRule="auto"/>
              <w:jc w:val="right"/>
              <w:outlineLvl w:val="0"/>
              <w:rPr>
                <w:rFonts w:eastAsia="Times New Roman" w:cs="Arial"/>
                <w:sz w:val="18"/>
                <w:szCs w:val="18"/>
              </w:rPr>
            </w:pPr>
            <w:r w:rsidRPr="00312975">
              <w:rPr>
                <w:rFonts w:ascii="Calibri" w:hAnsi="Calibri"/>
                <w:color w:val="000000"/>
                <w:sz w:val="18"/>
                <w:szCs w:val="18"/>
              </w:rPr>
              <w:t xml:space="preserve"> - </w:t>
            </w:r>
          </w:p>
        </w:tc>
        <w:tc>
          <w:tcPr>
            <w:tcW w:w="811" w:type="pct"/>
            <w:tcBorders>
              <w:top w:val="nil"/>
              <w:left w:val="nil"/>
              <w:bottom w:val="nil"/>
              <w:right w:val="nil"/>
            </w:tcBorders>
            <w:shd w:val="clear" w:color="auto" w:fill="auto"/>
            <w:vAlign w:val="bottom"/>
          </w:tcPr>
          <w:p w14:paraId="036034C8" w14:textId="3E476043" w:rsidR="00DE4C8C" w:rsidRPr="00312975" w:rsidRDefault="00DE4C8C" w:rsidP="00DE4C8C">
            <w:pPr>
              <w:tabs>
                <w:tab w:val="right" w:pos="1202"/>
              </w:tabs>
              <w:spacing w:after="0" w:line="240" w:lineRule="auto"/>
              <w:jc w:val="right"/>
              <w:outlineLvl w:val="0"/>
              <w:rPr>
                <w:rFonts w:eastAsia="Times New Roman" w:cs="Arial"/>
                <w:sz w:val="18"/>
                <w:szCs w:val="18"/>
              </w:rPr>
            </w:pPr>
            <w:r w:rsidRPr="00312975">
              <w:rPr>
                <w:rFonts w:ascii="Calibri" w:hAnsi="Calibri"/>
                <w:color w:val="000000"/>
                <w:sz w:val="18"/>
                <w:szCs w:val="18"/>
              </w:rPr>
              <w:t>95.932</w:t>
            </w:r>
          </w:p>
        </w:tc>
      </w:tr>
      <w:tr w:rsidR="00DE4C8C" w:rsidRPr="0098489B" w14:paraId="0EFF11F7" w14:textId="77777777" w:rsidTr="00312975">
        <w:trPr>
          <w:trHeight w:val="221"/>
          <w:jc w:val="center"/>
        </w:trPr>
        <w:tc>
          <w:tcPr>
            <w:tcW w:w="1457" w:type="pct"/>
          </w:tcPr>
          <w:p w14:paraId="477D403B" w14:textId="77777777" w:rsidR="00DE4C8C" w:rsidRPr="00312975" w:rsidRDefault="00DE4C8C" w:rsidP="00DE4C8C">
            <w:pPr>
              <w:tabs>
                <w:tab w:val="right" w:pos="1202"/>
              </w:tabs>
              <w:spacing w:after="0" w:line="301" w:lineRule="exact"/>
              <w:outlineLvl w:val="0"/>
              <w:rPr>
                <w:rFonts w:eastAsia="Times New Roman" w:cs="Arial"/>
                <w:sz w:val="18"/>
                <w:szCs w:val="18"/>
              </w:rPr>
            </w:pPr>
            <w:r w:rsidRPr="00312975">
              <w:rPr>
                <w:rFonts w:eastAsia="Times New Roman" w:cs="Arial"/>
                <w:sz w:val="18"/>
                <w:szCs w:val="18"/>
              </w:rPr>
              <w:t>Odgođena naknada</w:t>
            </w:r>
          </w:p>
        </w:tc>
        <w:tc>
          <w:tcPr>
            <w:tcW w:w="592" w:type="pct"/>
            <w:vAlign w:val="bottom"/>
          </w:tcPr>
          <w:p w14:paraId="2B15F6D2" w14:textId="77777777" w:rsidR="00DE4C8C" w:rsidRPr="00312975" w:rsidRDefault="00DE4C8C" w:rsidP="00DE4C8C">
            <w:pPr>
              <w:tabs>
                <w:tab w:val="right" w:pos="1202"/>
              </w:tabs>
              <w:spacing w:after="0" w:line="301" w:lineRule="exact"/>
              <w:jc w:val="center"/>
              <w:outlineLvl w:val="0"/>
              <w:rPr>
                <w:rFonts w:eastAsia="Times New Roman" w:cs="Arial"/>
                <w:sz w:val="18"/>
                <w:szCs w:val="18"/>
                <w:highlight w:val="yellow"/>
              </w:rPr>
            </w:pPr>
          </w:p>
        </w:tc>
        <w:tc>
          <w:tcPr>
            <w:tcW w:w="664" w:type="pct"/>
            <w:tcBorders>
              <w:top w:val="nil"/>
              <w:left w:val="nil"/>
              <w:bottom w:val="single" w:sz="4" w:space="0" w:color="auto"/>
              <w:right w:val="nil"/>
            </w:tcBorders>
            <w:shd w:val="clear" w:color="auto" w:fill="auto"/>
            <w:vAlign w:val="bottom"/>
          </w:tcPr>
          <w:p w14:paraId="04AA9289" w14:textId="0E13CC0A" w:rsidR="00DE4C8C" w:rsidRPr="00312975" w:rsidRDefault="00DE4C8C" w:rsidP="00DE4C8C">
            <w:pPr>
              <w:tabs>
                <w:tab w:val="right" w:pos="1202"/>
              </w:tabs>
              <w:spacing w:after="0" w:line="240" w:lineRule="auto"/>
              <w:jc w:val="right"/>
              <w:outlineLvl w:val="0"/>
              <w:rPr>
                <w:rFonts w:ascii="Calibri" w:hAnsi="Calibri"/>
                <w:color w:val="000000"/>
                <w:sz w:val="18"/>
                <w:szCs w:val="18"/>
              </w:rPr>
            </w:pPr>
            <w:r w:rsidRPr="00312975">
              <w:rPr>
                <w:rFonts w:ascii="Calibri" w:hAnsi="Calibri"/>
                <w:color w:val="000000"/>
                <w:sz w:val="18"/>
                <w:szCs w:val="18"/>
              </w:rPr>
              <w:t xml:space="preserve"> - </w:t>
            </w:r>
          </w:p>
        </w:tc>
        <w:tc>
          <w:tcPr>
            <w:tcW w:w="813" w:type="pct"/>
            <w:tcBorders>
              <w:top w:val="nil"/>
              <w:left w:val="nil"/>
              <w:bottom w:val="single" w:sz="4" w:space="0" w:color="auto"/>
              <w:right w:val="nil"/>
            </w:tcBorders>
            <w:shd w:val="clear" w:color="auto" w:fill="auto"/>
            <w:vAlign w:val="bottom"/>
          </w:tcPr>
          <w:p w14:paraId="1EC446BF" w14:textId="2887551B" w:rsidR="00DE4C8C" w:rsidRPr="00312975" w:rsidRDefault="00DE4C8C" w:rsidP="00DE4C8C">
            <w:pPr>
              <w:tabs>
                <w:tab w:val="right" w:pos="1202"/>
              </w:tabs>
              <w:spacing w:after="0" w:line="240" w:lineRule="auto"/>
              <w:jc w:val="right"/>
              <w:outlineLvl w:val="0"/>
              <w:rPr>
                <w:rFonts w:ascii="Calibri" w:hAnsi="Calibri"/>
                <w:color w:val="000000"/>
                <w:sz w:val="18"/>
                <w:szCs w:val="18"/>
              </w:rPr>
            </w:pPr>
            <w:r w:rsidRPr="00312975">
              <w:rPr>
                <w:rFonts w:ascii="Calibri" w:hAnsi="Calibri"/>
                <w:color w:val="000000"/>
                <w:sz w:val="18"/>
                <w:szCs w:val="18"/>
              </w:rPr>
              <w:t xml:space="preserve"> (393)</w:t>
            </w:r>
          </w:p>
        </w:tc>
        <w:tc>
          <w:tcPr>
            <w:tcW w:w="663" w:type="pct"/>
            <w:tcBorders>
              <w:top w:val="nil"/>
              <w:left w:val="nil"/>
              <w:bottom w:val="single" w:sz="4" w:space="0" w:color="auto"/>
              <w:right w:val="nil"/>
            </w:tcBorders>
            <w:shd w:val="clear" w:color="auto" w:fill="auto"/>
            <w:vAlign w:val="bottom"/>
          </w:tcPr>
          <w:p w14:paraId="6ADAD0F8" w14:textId="5344D077" w:rsidR="00DE4C8C" w:rsidRPr="00312975" w:rsidRDefault="00DE4C8C" w:rsidP="00DE4C8C">
            <w:pPr>
              <w:tabs>
                <w:tab w:val="right" w:pos="1202"/>
              </w:tabs>
              <w:spacing w:after="0" w:line="240" w:lineRule="auto"/>
              <w:jc w:val="right"/>
              <w:outlineLvl w:val="0"/>
              <w:rPr>
                <w:rFonts w:eastAsia="Times New Roman" w:cs="Arial"/>
                <w:sz w:val="18"/>
                <w:szCs w:val="18"/>
              </w:rPr>
            </w:pPr>
            <w:r w:rsidRPr="00312975">
              <w:rPr>
                <w:rFonts w:ascii="Calibri" w:hAnsi="Calibri"/>
                <w:color w:val="000000"/>
                <w:sz w:val="18"/>
                <w:szCs w:val="18"/>
              </w:rPr>
              <w:t xml:space="preserve"> - </w:t>
            </w:r>
          </w:p>
        </w:tc>
        <w:tc>
          <w:tcPr>
            <w:tcW w:w="811" w:type="pct"/>
            <w:tcBorders>
              <w:top w:val="nil"/>
              <w:left w:val="nil"/>
              <w:bottom w:val="single" w:sz="4" w:space="0" w:color="auto"/>
              <w:right w:val="nil"/>
            </w:tcBorders>
            <w:shd w:val="clear" w:color="auto" w:fill="auto"/>
            <w:vAlign w:val="bottom"/>
          </w:tcPr>
          <w:p w14:paraId="678FB426" w14:textId="11FE552D" w:rsidR="00DE4C8C" w:rsidRPr="00312975" w:rsidRDefault="00DE4C8C" w:rsidP="00DE4C8C">
            <w:pPr>
              <w:tabs>
                <w:tab w:val="right" w:pos="1202"/>
              </w:tabs>
              <w:spacing w:after="0" w:line="240" w:lineRule="auto"/>
              <w:jc w:val="right"/>
              <w:outlineLvl w:val="0"/>
              <w:rPr>
                <w:rFonts w:eastAsia="Times New Roman" w:cs="Arial"/>
                <w:sz w:val="18"/>
                <w:szCs w:val="18"/>
              </w:rPr>
            </w:pPr>
            <w:r w:rsidRPr="00312975">
              <w:rPr>
                <w:rFonts w:ascii="Calibri" w:hAnsi="Calibri"/>
                <w:color w:val="000000"/>
                <w:sz w:val="18"/>
                <w:szCs w:val="18"/>
              </w:rPr>
              <w:t xml:space="preserve"> (461)</w:t>
            </w:r>
          </w:p>
        </w:tc>
      </w:tr>
      <w:tr w:rsidR="00C513C6" w:rsidRPr="0098489B" w14:paraId="389F899D" w14:textId="77777777" w:rsidTr="00312975">
        <w:trPr>
          <w:trHeight w:val="188"/>
          <w:jc w:val="center"/>
        </w:trPr>
        <w:tc>
          <w:tcPr>
            <w:tcW w:w="1457" w:type="pct"/>
          </w:tcPr>
          <w:p w14:paraId="6A60E361" w14:textId="77777777" w:rsidR="00C513C6" w:rsidRPr="00312975" w:rsidRDefault="00C513C6" w:rsidP="00C513C6">
            <w:pPr>
              <w:tabs>
                <w:tab w:val="left" w:pos="-1843"/>
              </w:tabs>
              <w:suppressAutoHyphens/>
              <w:spacing w:after="0" w:line="240" w:lineRule="auto"/>
              <w:rPr>
                <w:rFonts w:eastAsia="Times New Roman" w:cs="Arial"/>
                <w:b/>
                <w:bCs/>
                <w:spacing w:val="-3"/>
                <w:sz w:val="18"/>
                <w:szCs w:val="18"/>
                <w:u w:val="single"/>
              </w:rPr>
            </w:pPr>
          </w:p>
        </w:tc>
        <w:tc>
          <w:tcPr>
            <w:tcW w:w="592" w:type="pct"/>
            <w:vAlign w:val="bottom"/>
          </w:tcPr>
          <w:p w14:paraId="21FFF85A" w14:textId="77777777" w:rsidR="00C513C6" w:rsidRPr="00312975" w:rsidRDefault="00C513C6" w:rsidP="00C513C6">
            <w:pPr>
              <w:tabs>
                <w:tab w:val="right" w:pos="1202"/>
              </w:tabs>
              <w:spacing w:after="0" w:line="340" w:lineRule="exact"/>
              <w:jc w:val="right"/>
              <w:outlineLvl w:val="0"/>
              <w:rPr>
                <w:rFonts w:eastAsia="Times New Roman" w:cs="Arial"/>
                <w:b/>
                <w:bCs/>
                <w:sz w:val="18"/>
                <w:szCs w:val="18"/>
                <w:highlight w:val="yellow"/>
              </w:rPr>
            </w:pPr>
          </w:p>
        </w:tc>
        <w:tc>
          <w:tcPr>
            <w:tcW w:w="664" w:type="pct"/>
            <w:tcBorders>
              <w:top w:val="single" w:sz="4" w:space="0" w:color="auto"/>
              <w:left w:val="nil"/>
              <w:bottom w:val="single" w:sz="12" w:space="0" w:color="auto"/>
              <w:right w:val="nil"/>
            </w:tcBorders>
            <w:shd w:val="clear" w:color="auto" w:fill="auto"/>
            <w:vAlign w:val="center"/>
          </w:tcPr>
          <w:p w14:paraId="73E74EB0" w14:textId="6AD8AC7F" w:rsidR="00C513C6" w:rsidRPr="00312975" w:rsidRDefault="00DE4C8C" w:rsidP="000E5941">
            <w:pPr>
              <w:tabs>
                <w:tab w:val="right" w:pos="1202"/>
              </w:tabs>
              <w:spacing w:after="0" w:line="240" w:lineRule="auto"/>
              <w:jc w:val="right"/>
              <w:outlineLvl w:val="0"/>
              <w:rPr>
                <w:rFonts w:ascii="Calibri" w:hAnsi="Calibri"/>
                <w:b/>
                <w:color w:val="000000"/>
                <w:sz w:val="18"/>
                <w:szCs w:val="18"/>
              </w:rPr>
            </w:pPr>
            <w:r w:rsidRPr="00312975">
              <w:rPr>
                <w:rFonts w:ascii="Calibri" w:hAnsi="Calibri"/>
                <w:b/>
                <w:color w:val="000000"/>
                <w:sz w:val="18"/>
                <w:szCs w:val="18"/>
              </w:rPr>
              <w:t>1.236.873</w:t>
            </w:r>
          </w:p>
        </w:tc>
        <w:tc>
          <w:tcPr>
            <w:tcW w:w="813" w:type="pct"/>
            <w:tcBorders>
              <w:top w:val="single" w:sz="4" w:space="0" w:color="auto"/>
              <w:left w:val="nil"/>
              <w:bottom w:val="single" w:sz="12" w:space="0" w:color="auto"/>
              <w:right w:val="nil"/>
            </w:tcBorders>
            <w:shd w:val="clear" w:color="auto" w:fill="auto"/>
            <w:vAlign w:val="center"/>
          </w:tcPr>
          <w:p w14:paraId="0BC2A669" w14:textId="155E6D1D" w:rsidR="00C513C6" w:rsidRPr="00312975" w:rsidRDefault="00DE4C8C" w:rsidP="000E5941">
            <w:pPr>
              <w:tabs>
                <w:tab w:val="right" w:pos="1202"/>
              </w:tabs>
              <w:spacing w:after="0" w:line="240" w:lineRule="auto"/>
              <w:jc w:val="right"/>
              <w:outlineLvl w:val="0"/>
              <w:rPr>
                <w:rFonts w:ascii="Calibri" w:hAnsi="Calibri"/>
                <w:b/>
                <w:color w:val="000000"/>
                <w:sz w:val="18"/>
                <w:szCs w:val="18"/>
              </w:rPr>
            </w:pPr>
            <w:r w:rsidRPr="00312975">
              <w:rPr>
                <w:rFonts w:ascii="Calibri" w:hAnsi="Calibri"/>
                <w:b/>
                <w:color w:val="000000"/>
                <w:sz w:val="18"/>
                <w:szCs w:val="18"/>
              </w:rPr>
              <w:t>1.109.764</w:t>
            </w:r>
          </w:p>
        </w:tc>
        <w:tc>
          <w:tcPr>
            <w:tcW w:w="663" w:type="pct"/>
            <w:tcBorders>
              <w:top w:val="single" w:sz="4" w:space="0" w:color="auto"/>
              <w:left w:val="nil"/>
              <w:bottom w:val="single" w:sz="12" w:space="0" w:color="auto"/>
              <w:right w:val="nil"/>
            </w:tcBorders>
            <w:shd w:val="clear" w:color="auto" w:fill="auto"/>
            <w:vAlign w:val="center"/>
          </w:tcPr>
          <w:p w14:paraId="4576AFFC" w14:textId="5188FF52" w:rsidR="00C513C6" w:rsidRPr="00312975" w:rsidRDefault="00C513C6" w:rsidP="00C513C6">
            <w:pPr>
              <w:tabs>
                <w:tab w:val="right" w:pos="1202"/>
              </w:tabs>
              <w:spacing w:after="0" w:line="240" w:lineRule="auto"/>
              <w:jc w:val="right"/>
              <w:outlineLvl w:val="0"/>
              <w:rPr>
                <w:rFonts w:eastAsia="Times New Roman" w:cs="Arial"/>
                <w:b/>
                <w:bCs/>
                <w:sz w:val="18"/>
                <w:szCs w:val="18"/>
              </w:rPr>
            </w:pPr>
            <w:r w:rsidRPr="00312975">
              <w:rPr>
                <w:rFonts w:ascii="Calibri" w:hAnsi="Calibri"/>
                <w:b/>
                <w:bCs/>
                <w:color w:val="000000"/>
                <w:sz w:val="18"/>
                <w:szCs w:val="18"/>
              </w:rPr>
              <w:t>3.186.594</w:t>
            </w:r>
          </w:p>
        </w:tc>
        <w:tc>
          <w:tcPr>
            <w:tcW w:w="811" w:type="pct"/>
            <w:tcBorders>
              <w:top w:val="single" w:sz="4" w:space="0" w:color="auto"/>
              <w:left w:val="nil"/>
              <w:bottom w:val="single" w:sz="12" w:space="0" w:color="auto"/>
              <w:right w:val="nil"/>
            </w:tcBorders>
            <w:shd w:val="clear" w:color="auto" w:fill="auto"/>
            <w:vAlign w:val="center"/>
          </w:tcPr>
          <w:p w14:paraId="754A25F8" w14:textId="0FB7BFBD" w:rsidR="00C513C6" w:rsidRPr="00312975" w:rsidRDefault="00C513C6" w:rsidP="00C513C6">
            <w:pPr>
              <w:tabs>
                <w:tab w:val="right" w:pos="1202"/>
              </w:tabs>
              <w:spacing w:after="0" w:line="240" w:lineRule="auto"/>
              <w:jc w:val="right"/>
              <w:outlineLvl w:val="0"/>
              <w:rPr>
                <w:rFonts w:eastAsia="Times New Roman" w:cs="Arial"/>
                <w:b/>
                <w:bCs/>
                <w:sz w:val="18"/>
                <w:szCs w:val="18"/>
              </w:rPr>
            </w:pPr>
            <w:r w:rsidRPr="00312975">
              <w:rPr>
                <w:rFonts w:ascii="Calibri" w:hAnsi="Calibri"/>
                <w:b/>
                <w:bCs/>
                <w:color w:val="000000"/>
                <w:sz w:val="18"/>
                <w:szCs w:val="18"/>
              </w:rPr>
              <w:t>3.105.569</w:t>
            </w:r>
          </w:p>
        </w:tc>
      </w:tr>
    </w:tbl>
    <w:p w14:paraId="30025899" w14:textId="77777777" w:rsidR="00961B31" w:rsidRPr="004B42E3" w:rsidRDefault="00961B31" w:rsidP="00961B31">
      <w:pPr>
        <w:spacing w:after="0" w:line="240" w:lineRule="auto"/>
        <w:jc w:val="both"/>
        <w:rPr>
          <w:rFonts w:cs="Arial"/>
          <w:sz w:val="14"/>
          <w:szCs w:val="14"/>
        </w:rPr>
      </w:pPr>
    </w:p>
    <w:p w14:paraId="41F9B823" w14:textId="4FD3B8EC" w:rsidR="00DD68E4" w:rsidRDefault="0026089C" w:rsidP="00961B31">
      <w:pPr>
        <w:spacing w:after="0" w:line="240" w:lineRule="auto"/>
        <w:jc w:val="both"/>
        <w:rPr>
          <w:rFonts w:cs="Arial"/>
        </w:rPr>
      </w:pPr>
      <w:r w:rsidRPr="00ED4731">
        <w:rPr>
          <w:rFonts w:cs="Arial"/>
        </w:rPr>
        <w:t xml:space="preserve">Fer vrijednost obveznica izdanih od strane HBOR-a prezentira se korištenjem ulaznih podataka 2. razine u vidu tržišno potkrijepljenih podataka vidljivih na </w:t>
      </w:r>
      <w:proofErr w:type="spellStart"/>
      <w:r w:rsidRPr="00ED4731">
        <w:rPr>
          <w:rFonts w:cs="Arial"/>
        </w:rPr>
        <w:t>Bloomberg</w:t>
      </w:r>
      <w:proofErr w:type="spellEnd"/>
      <w:r w:rsidRPr="00ED4731">
        <w:rPr>
          <w:rFonts w:cs="Arial"/>
        </w:rPr>
        <w:t xml:space="preserve"> servisu, korištenjem „</w:t>
      </w:r>
      <w:proofErr w:type="spellStart"/>
      <w:r w:rsidRPr="00ED4731">
        <w:rPr>
          <w:rFonts w:cs="Arial"/>
        </w:rPr>
        <w:t>Bloomberg</w:t>
      </w:r>
      <w:proofErr w:type="spellEnd"/>
      <w:r w:rsidRPr="00ED4731">
        <w:rPr>
          <w:rFonts w:cs="Arial"/>
        </w:rPr>
        <w:t xml:space="preserve"> </w:t>
      </w:r>
      <w:proofErr w:type="spellStart"/>
      <w:r w:rsidRPr="00ED4731">
        <w:rPr>
          <w:rFonts w:cs="Arial"/>
        </w:rPr>
        <w:t>Generic</w:t>
      </w:r>
      <w:proofErr w:type="spellEnd"/>
      <w:r w:rsidRPr="00ED4731">
        <w:rPr>
          <w:rFonts w:cs="Arial"/>
        </w:rPr>
        <w:t xml:space="preserve"> </w:t>
      </w:r>
      <w:proofErr w:type="spellStart"/>
      <w:r w:rsidRPr="00ED4731">
        <w:rPr>
          <w:rFonts w:cs="Arial"/>
        </w:rPr>
        <w:t>prices</w:t>
      </w:r>
      <w:proofErr w:type="spellEnd"/>
      <w:r w:rsidRPr="00ED4731">
        <w:rPr>
          <w:rFonts w:cs="Arial"/>
        </w:rPr>
        <w:t xml:space="preserve">“ (BGN) </w:t>
      </w:r>
      <w:proofErr w:type="spellStart"/>
      <w:r w:rsidRPr="00ED4731">
        <w:rPr>
          <w:rFonts w:cs="Arial"/>
        </w:rPr>
        <w:t>mid</w:t>
      </w:r>
      <w:proofErr w:type="spellEnd"/>
      <w:r w:rsidRPr="00ED4731">
        <w:rPr>
          <w:rFonts w:cs="Arial"/>
        </w:rPr>
        <w:t xml:space="preserve"> cijene.</w:t>
      </w:r>
    </w:p>
    <w:p w14:paraId="654E2B80" w14:textId="77777777" w:rsidR="00933C8A" w:rsidRPr="004B42E3" w:rsidRDefault="00933C8A" w:rsidP="00961B31">
      <w:pPr>
        <w:spacing w:after="0" w:line="240" w:lineRule="auto"/>
        <w:jc w:val="both"/>
        <w:rPr>
          <w:rFonts w:cs="Arial"/>
          <w:sz w:val="14"/>
          <w:szCs w:val="14"/>
        </w:rPr>
      </w:pPr>
    </w:p>
    <w:p w14:paraId="02E7B13C" w14:textId="06EED628" w:rsidR="00933C8A" w:rsidRDefault="00933C8A" w:rsidP="00933C8A">
      <w:pPr>
        <w:pStyle w:val="T1"/>
        <w:spacing w:before="0" w:after="0" w:line="240" w:lineRule="auto"/>
        <w:rPr>
          <w:rFonts w:asciiTheme="minorHAnsi" w:hAnsiTheme="minorHAnsi"/>
          <w:b w:val="0"/>
          <w:bCs w:val="0"/>
          <w:sz w:val="22"/>
          <w:szCs w:val="22"/>
          <w:lang w:val="hr-HR"/>
        </w:rPr>
      </w:pPr>
      <w:r w:rsidRPr="005D12B5">
        <w:rPr>
          <w:rFonts w:asciiTheme="minorHAnsi" w:hAnsiTheme="minorHAnsi"/>
          <w:b w:val="0"/>
          <w:bCs w:val="0"/>
          <w:sz w:val="22"/>
          <w:szCs w:val="22"/>
          <w:lang w:val="hr-HR"/>
        </w:rPr>
        <w:t>Prosječne kamatne stope na obveze za izdane dugoročne vrijednosne papire</w:t>
      </w:r>
      <w:r w:rsidR="00A910CB" w:rsidRPr="00A910CB">
        <w:rPr>
          <w:rFonts w:asciiTheme="minorHAnsi" w:hAnsiTheme="minorHAnsi"/>
          <w:b w:val="0"/>
          <w:bCs w:val="0"/>
          <w:sz w:val="22"/>
          <w:szCs w:val="22"/>
          <w:lang w:val="hr-HR"/>
        </w:rPr>
        <w:t xml:space="preserve">, svedene na godišnju razinu, </w:t>
      </w:r>
      <w:r w:rsidRPr="005D12B5">
        <w:rPr>
          <w:rFonts w:asciiTheme="minorHAnsi" w:hAnsiTheme="minorHAnsi"/>
          <w:b w:val="0"/>
          <w:bCs w:val="0"/>
          <w:sz w:val="22"/>
          <w:szCs w:val="22"/>
          <w:lang w:val="hr-HR"/>
        </w:rPr>
        <w:t xml:space="preserve">iskazane su u visini od </w:t>
      </w:r>
      <w:r w:rsidRPr="00447AB8">
        <w:rPr>
          <w:rFonts w:asciiTheme="minorHAnsi" w:hAnsiTheme="minorHAnsi"/>
          <w:b w:val="0"/>
          <w:bCs w:val="0"/>
          <w:sz w:val="22"/>
          <w:szCs w:val="22"/>
          <w:lang w:val="hr-HR"/>
        </w:rPr>
        <w:t>0,</w:t>
      </w:r>
      <w:r w:rsidR="001A5D78">
        <w:rPr>
          <w:rFonts w:asciiTheme="minorHAnsi" w:hAnsiTheme="minorHAnsi"/>
          <w:b w:val="0"/>
          <w:bCs w:val="0"/>
          <w:sz w:val="22"/>
          <w:szCs w:val="22"/>
          <w:lang w:val="hr-HR"/>
        </w:rPr>
        <w:t>89</w:t>
      </w:r>
      <w:r w:rsidRPr="005D12B5">
        <w:rPr>
          <w:rFonts w:asciiTheme="minorHAnsi" w:hAnsiTheme="minorHAnsi"/>
          <w:b w:val="0"/>
          <w:bCs w:val="0"/>
          <w:sz w:val="22"/>
          <w:szCs w:val="22"/>
          <w:lang w:val="hr-HR"/>
        </w:rPr>
        <w:t>% (</w:t>
      </w:r>
      <w:r w:rsidR="00A910CB" w:rsidRPr="00A910CB">
        <w:rPr>
          <w:rFonts w:asciiTheme="minorHAnsi" w:hAnsiTheme="minorHAnsi"/>
          <w:b w:val="0"/>
          <w:bCs w:val="0"/>
          <w:sz w:val="22"/>
          <w:szCs w:val="22"/>
          <w:lang w:val="hr-HR"/>
        </w:rPr>
        <w:t xml:space="preserve">1.1. do 30.6.2016. godine: </w:t>
      </w:r>
      <w:r w:rsidR="001A5D78">
        <w:rPr>
          <w:rFonts w:asciiTheme="minorHAnsi" w:hAnsiTheme="minorHAnsi"/>
          <w:b w:val="0"/>
          <w:bCs w:val="0"/>
          <w:sz w:val="22"/>
          <w:szCs w:val="22"/>
          <w:lang w:val="hr-HR"/>
        </w:rPr>
        <w:t>1</w:t>
      </w:r>
      <w:r w:rsidRPr="005D12B5">
        <w:rPr>
          <w:rFonts w:asciiTheme="minorHAnsi" w:hAnsiTheme="minorHAnsi"/>
          <w:b w:val="0"/>
          <w:bCs w:val="0"/>
          <w:sz w:val="22"/>
          <w:szCs w:val="22"/>
          <w:lang w:val="hr-HR"/>
        </w:rPr>
        <w:t>,</w:t>
      </w:r>
      <w:r w:rsidR="001A5D78">
        <w:rPr>
          <w:rFonts w:asciiTheme="minorHAnsi" w:hAnsiTheme="minorHAnsi"/>
          <w:b w:val="0"/>
          <w:bCs w:val="0"/>
          <w:sz w:val="22"/>
          <w:szCs w:val="22"/>
          <w:lang w:val="hr-HR"/>
        </w:rPr>
        <w:t>10</w:t>
      </w:r>
      <w:r w:rsidRPr="005D12B5">
        <w:rPr>
          <w:rFonts w:asciiTheme="minorHAnsi" w:hAnsiTheme="minorHAnsi"/>
          <w:b w:val="0"/>
          <w:bCs w:val="0"/>
          <w:sz w:val="22"/>
          <w:szCs w:val="22"/>
          <w:lang w:val="hr-HR"/>
        </w:rPr>
        <w:t>%).</w:t>
      </w:r>
    </w:p>
    <w:p w14:paraId="0D79C4C1" w14:textId="139A73D5" w:rsidR="00933C8A" w:rsidRDefault="00933C8A" w:rsidP="00933C8A">
      <w:pPr>
        <w:pStyle w:val="T1"/>
        <w:spacing w:before="0" w:after="0" w:line="240" w:lineRule="auto"/>
        <w:rPr>
          <w:rFonts w:asciiTheme="minorHAnsi" w:hAnsiTheme="minorHAnsi" w:cs="Arial"/>
          <w:b w:val="0"/>
          <w:bCs w:val="0"/>
          <w:sz w:val="22"/>
          <w:szCs w:val="22"/>
          <w:lang w:val="hr-HR"/>
        </w:rPr>
      </w:pPr>
      <w:r w:rsidRPr="005D12B5">
        <w:rPr>
          <w:rFonts w:asciiTheme="minorHAnsi" w:hAnsiTheme="minorHAnsi" w:cs="Arial"/>
          <w:b w:val="0"/>
          <w:bCs w:val="0"/>
          <w:sz w:val="22"/>
          <w:szCs w:val="22"/>
          <w:lang w:val="hr-HR"/>
        </w:rPr>
        <w:t xml:space="preserve">Prosječne kamatne stope odražavaju omjer kamatnih rashoda po navedenim obvezama i prosječnih </w:t>
      </w:r>
      <w:r w:rsidR="004036C0">
        <w:rPr>
          <w:rFonts w:asciiTheme="minorHAnsi" w:hAnsiTheme="minorHAnsi" w:cs="Arial"/>
          <w:b w:val="0"/>
          <w:bCs w:val="0"/>
          <w:sz w:val="22"/>
          <w:szCs w:val="22"/>
          <w:lang w:val="hr-HR"/>
        </w:rPr>
        <w:t xml:space="preserve">ukupnih </w:t>
      </w:r>
      <w:r w:rsidRPr="005D12B5">
        <w:rPr>
          <w:rFonts w:asciiTheme="minorHAnsi" w:hAnsiTheme="minorHAnsi" w:cs="Arial"/>
          <w:b w:val="0"/>
          <w:bCs w:val="0"/>
          <w:sz w:val="22"/>
          <w:szCs w:val="22"/>
          <w:lang w:val="hr-HR"/>
        </w:rPr>
        <w:t>obveza.</w:t>
      </w:r>
    </w:p>
    <w:p w14:paraId="118CF722" w14:textId="77777777" w:rsidR="00AF556C" w:rsidRPr="004B42E3" w:rsidRDefault="00AF556C" w:rsidP="00961B31">
      <w:pPr>
        <w:spacing w:after="0" w:line="240" w:lineRule="auto"/>
        <w:jc w:val="both"/>
        <w:rPr>
          <w:rFonts w:cs="Arial"/>
          <w:sz w:val="14"/>
          <w:szCs w:val="14"/>
        </w:rPr>
      </w:pPr>
    </w:p>
    <w:p w14:paraId="3639790C" w14:textId="702968F0" w:rsidR="00AF556C" w:rsidRDefault="00AF556C" w:rsidP="00961B31">
      <w:pPr>
        <w:spacing w:after="0" w:line="240" w:lineRule="auto"/>
        <w:jc w:val="both"/>
        <w:rPr>
          <w:rFonts w:cs="Arial"/>
        </w:rPr>
      </w:pPr>
      <w:r w:rsidRPr="00312975">
        <w:rPr>
          <w:rFonts w:cs="Arial"/>
        </w:rPr>
        <w:t>Banka je 13. lipnja 2017. godine obavila jednokratnu isplatu po izdanim dugoročnim vrijednos</w:t>
      </w:r>
      <w:r w:rsidR="002467CB">
        <w:rPr>
          <w:rFonts w:cs="Arial"/>
        </w:rPr>
        <w:t>nim papirima u iznosu od 1.852.051</w:t>
      </w:r>
      <w:r w:rsidRPr="00312975">
        <w:rPr>
          <w:rFonts w:cs="Arial"/>
        </w:rPr>
        <w:t xml:space="preserve"> </w:t>
      </w:r>
      <w:r w:rsidR="002467CB">
        <w:rPr>
          <w:rFonts w:cs="Arial"/>
        </w:rPr>
        <w:t>tisuća</w:t>
      </w:r>
      <w:r w:rsidRPr="00312975">
        <w:rPr>
          <w:rFonts w:cs="Arial"/>
        </w:rPr>
        <w:t xml:space="preserve"> kuna, zajedno s kamatama od 92</w:t>
      </w:r>
      <w:r w:rsidR="002467CB">
        <w:rPr>
          <w:rFonts w:cs="Arial"/>
        </w:rPr>
        <w:t>.603 tisuća kuna</w:t>
      </w:r>
      <w:r>
        <w:rPr>
          <w:rFonts w:cs="Arial"/>
        </w:rPr>
        <w:t>.</w:t>
      </w:r>
      <w:r w:rsidRPr="00312975">
        <w:rPr>
          <w:rFonts w:cs="Arial"/>
        </w:rPr>
        <w:t xml:space="preserve"> </w:t>
      </w:r>
    </w:p>
    <w:p w14:paraId="63CD8D37" w14:textId="77777777" w:rsidR="00AF556C" w:rsidRPr="004B42E3" w:rsidRDefault="00AF556C" w:rsidP="00961B31">
      <w:pPr>
        <w:spacing w:after="0" w:line="240" w:lineRule="auto"/>
        <w:jc w:val="both"/>
        <w:rPr>
          <w:rFonts w:cs="Arial"/>
          <w:sz w:val="14"/>
          <w:szCs w:val="14"/>
        </w:rPr>
      </w:pPr>
    </w:p>
    <w:p w14:paraId="2BCDE42C" w14:textId="654484BE" w:rsidR="00933C8A" w:rsidRDefault="00AF556C" w:rsidP="00961B31">
      <w:pPr>
        <w:spacing w:after="0" w:line="240" w:lineRule="auto"/>
        <w:jc w:val="both"/>
        <w:rPr>
          <w:rFonts w:cs="Arial"/>
        </w:rPr>
      </w:pPr>
      <w:r>
        <w:rPr>
          <w:rFonts w:cs="Arial"/>
        </w:rPr>
        <w:t>S</w:t>
      </w:r>
      <w:r w:rsidRPr="00312975">
        <w:rPr>
          <w:rFonts w:cs="Arial"/>
        </w:rPr>
        <w:t xml:space="preserve">ukladno sporazumu između HBOR-a </w:t>
      </w:r>
      <w:r w:rsidR="004036C0">
        <w:rPr>
          <w:rFonts w:cs="Arial"/>
        </w:rPr>
        <w:t xml:space="preserve">te </w:t>
      </w:r>
      <w:r w:rsidRPr="00312975">
        <w:rPr>
          <w:rFonts w:cs="Arial"/>
        </w:rPr>
        <w:t xml:space="preserve">Deutsche Bank AG London </w:t>
      </w:r>
      <w:proofErr w:type="spellStart"/>
      <w:r w:rsidR="004036C0">
        <w:rPr>
          <w:rFonts w:cs="Arial"/>
        </w:rPr>
        <w:t>Branch</w:t>
      </w:r>
      <w:proofErr w:type="spellEnd"/>
      <w:r w:rsidR="004036C0">
        <w:rPr>
          <w:rFonts w:cs="Arial"/>
        </w:rPr>
        <w:t xml:space="preserve"> i J.P. Morgan </w:t>
      </w:r>
      <w:proofErr w:type="spellStart"/>
      <w:r w:rsidR="004036C0">
        <w:rPr>
          <w:rFonts w:cs="Arial"/>
        </w:rPr>
        <w:t>Securities</w:t>
      </w:r>
      <w:proofErr w:type="spellEnd"/>
      <w:r w:rsidR="004036C0">
        <w:rPr>
          <w:rFonts w:cs="Arial"/>
        </w:rPr>
        <w:t xml:space="preserve"> PLC </w:t>
      </w:r>
      <w:r w:rsidRPr="00312975">
        <w:rPr>
          <w:rFonts w:cs="Arial"/>
        </w:rPr>
        <w:t>(glavni organizatori),</w:t>
      </w:r>
      <w:r>
        <w:rPr>
          <w:rFonts w:cs="Arial"/>
        </w:rPr>
        <w:t xml:space="preserve"> HBOR je dana </w:t>
      </w:r>
      <w:r w:rsidRPr="00F712BD">
        <w:rPr>
          <w:rFonts w:cs="Arial"/>
        </w:rPr>
        <w:t>1</w:t>
      </w:r>
      <w:r w:rsidR="004036C0">
        <w:rPr>
          <w:rFonts w:cs="Arial"/>
        </w:rPr>
        <w:t>3</w:t>
      </w:r>
      <w:r w:rsidRPr="00F712BD">
        <w:rPr>
          <w:rFonts w:cs="Arial"/>
        </w:rPr>
        <w:t xml:space="preserve">. </w:t>
      </w:r>
      <w:r w:rsidR="004036C0">
        <w:rPr>
          <w:rFonts w:cs="Arial"/>
        </w:rPr>
        <w:t>kolovoza</w:t>
      </w:r>
      <w:r w:rsidRPr="00F712BD">
        <w:rPr>
          <w:rFonts w:cs="Arial"/>
        </w:rPr>
        <w:t xml:space="preserve"> 20</w:t>
      </w:r>
      <w:r w:rsidR="004036C0">
        <w:rPr>
          <w:rFonts w:cs="Arial"/>
        </w:rPr>
        <w:t>13</w:t>
      </w:r>
      <w:r w:rsidRPr="00F712BD">
        <w:rPr>
          <w:rFonts w:cs="Arial"/>
        </w:rPr>
        <w:t xml:space="preserve">. godine </w:t>
      </w:r>
      <w:r>
        <w:rPr>
          <w:rFonts w:cs="Arial"/>
        </w:rPr>
        <w:t>izdao obvezn</w:t>
      </w:r>
      <w:r w:rsidR="002467CB">
        <w:rPr>
          <w:rFonts w:cs="Arial"/>
        </w:rPr>
        <w:t>i</w:t>
      </w:r>
      <w:r>
        <w:rPr>
          <w:rFonts w:cs="Arial"/>
        </w:rPr>
        <w:t xml:space="preserve">ce </w:t>
      </w:r>
      <w:r w:rsidRPr="00312975">
        <w:rPr>
          <w:rFonts w:cs="Arial"/>
        </w:rPr>
        <w:t>u</w:t>
      </w:r>
      <w:r>
        <w:rPr>
          <w:rFonts w:cs="Arial"/>
        </w:rPr>
        <w:t xml:space="preserve"> iz</w:t>
      </w:r>
      <w:r w:rsidRPr="00312975">
        <w:rPr>
          <w:rFonts w:cs="Arial"/>
        </w:rPr>
        <w:t xml:space="preserve">nosu od </w:t>
      </w:r>
      <w:r w:rsidR="004036C0">
        <w:rPr>
          <w:rFonts w:cs="Arial"/>
        </w:rPr>
        <w:t>1</w:t>
      </w:r>
      <w:r w:rsidRPr="00312975">
        <w:rPr>
          <w:rFonts w:cs="Arial"/>
        </w:rPr>
        <w:t>50</w:t>
      </w:r>
      <w:r>
        <w:rPr>
          <w:rFonts w:cs="Arial"/>
        </w:rPr>
        <w:t>.</w:t>
      </w:r>
      <w:r w:rsidRPr="00312975">
        <w:rPr>
          <w:rFonts w:cs="Arial"/>
        </w:rPr>
        <w:t>0</w:t>
      </w:r>
      <w:r>
        <w:rPr>
          <w:rFonts w:cs="Arial"/>
        </w:rPr>
        <w:t xml:space="preserve">00 tisuća </w:t>
      </w:r>
      <w:r w:rsidRPr="00312975">
        <w:rPr>
          <w:rFonts w:cs="Arial"/>
        </w:rPr>
        <w:lastRenderedPageBreak/>
        <w:t xml:space="preserve">eura </w:t>
      </w:r>
      <w:r w:rsidR="004036C0">
        <w:rPr>
          <w:rFonts w:cs="Arial"/>
        </w:rPr>
        <w:t>(1.100.478 tisuća kuna na dan 30. lipnja 2017. godine</w:t>
      </w:r>
      <w:r w:rsidR="001701FF">
        <w:rPr>
          <w:rFonts w:cs="Arial"/>
        </w:rPr>
        <w:t>, odnosno 1.270.695 tisuća kuna na dan 31. prosinca 2016. godine</w:t>
      </w:r>
      <w:r w:rsidR="004036C0">
        <w:rPr>
          <w:rFonts w:cs="Arial"/>
        </w:rPr>
        <w:t xml:space="preserve">) </w:t>
      </w:r>
      <w:r w:rsidRPr="00312975">
        <w:rPr>
          <w:rFonts w:cs="Arial"/>
        </w:rPr>
        <w:t xml:space="preserve">na rok od </w:t>
      </w:r>
      <w:r w:rsidR="004036C0">
        <w:rPr>
          <w:rFonts w:cs="Arial"/>
        </w:rPr>
        <w:t>6</w:t>
      </w:r>
      <w:r w:rsidRPr="00312975">
        <w:rPr>
          <w:rFonts w:cs="Arial"/>
        </w:rPr>
        <w:t xml:space="preserve"> godina </w:t>
      </w:r>
      <w:r w:rsidR="004036C0">
        <w:rPr>
          <w:rFonts w:cs="Arial"/>
        </w:rPr>
        <w:t xml:space="preserve">i 9 mjeseci </w:t>
      </w:r>
      <w:r w:rsidRPr="00312975">
        <w:rPr>
          <w:rFonts w:cs="Arial"/>
        </w:rPr>
        <w:t xml:space="preserve">uz fiksnu kamatnu stopu od </w:t>
      </w:r>
      <w:r w:rsidR="004036C0">
        <w:rPr>
          <w:rFonts w:cs="Arial"/>
        </w:rPr>
        <w:t>6</w:t>
      </w:r>
      <w:r w:rsidRPr="00312975">
        <w:rPr>
          <w:rFonts w:cs="Arial"/>
        </w:rPr>
        <w:t>,0%.</w:t>
      </w:r>
    </w:p>
    <w:p w14:paraId="212DB3D1" w14:textId="77777777" w:rsidR="0020027D" w:rsidRPr="00312975" w:rsidRDefault="0020027D" w:rsidP="00312975">
      <w:pPr>
        <w:spacing w:after="0" w:line="240" w:lineRule="auto"/>
        <w:jc w:val="both"/>
        <w:rPr>
          <w:rFonts w:cs="Arial"/>
        </w:rPr>
        <w:sectPr w:rsidR="0020027D" w:rsidRPr="00312975" w:rsidSect="00F33730">
          <w:footerReference w:type="first" r:id="rId77"/>
          <w:pgSz w:w="11906" w:h="16838" w:code="9"/>
          <w:pgMar w:top="1418" w:right="1418" w:bottom="595" w:left="1134" w:header="709" w:footer="709" w:gutter="0"/>
          <w:cols w:space="708"/>
          <w:titlePg/>
          <w:docGrid w:linePitch="360"/>
        </w:sectPr>
      </w:pPr>
    </w:p>
    <w:p w14:paraId="7158111F" w14:textId="77777777" w:rsidR="005F316D" w:rsidRDefault="005F316D" w:rsidP="002255D9">
      <w:pPr>
        <w:spacing w:after="0" w:line="240" w:lineRule="auto"/>
        <w:jc w:val="both"/>
        <w:rPr>
          <w:rFonts w:eastAsia="Times New Roman" w:cs="Calibri"/>
          <w:sz w:val="24"/>
          <w:szCs w:val="24"/>
          <w:lang w:eastAsia="hr-HR"/>
        </w:rPr>
      </w:pPr>
    </w:p>
    <w:p w14:paraId="5A95B4F1" w14:textId="77777777" w:rsidR="00FA4D98" w:rsidRDefault="0026089C" w:rsidP="00803DA8">
      <w:pPr>
        <w:tabs>
          <w:tab w:val="left" w:pos="-720"/>
          <w:tab w:val="left" w:pos="567"/>
        </w:tabs>
        <w:suppressAutoHyphens/>
        <w:spacing w:after="0" w:line="240" w:lineRule="auto"/>
        <w:jc w:val="both"/>
        <w:rPr>
          <w:rFonts w:eastAsia="Times New Roman" w:cs="Calibri"/>
          <w:b/>
          <w:spacing w:val="-3"/>
          <w:lang w:eastAsia="hr-HR"/>
        </w:rPr>
      </w:pPr>
      <w:r w:rsidRPr="00ED4731">
        <w:rPr>
          <w:rFonts w:eastAsia="Times New Roman" w:cs="Calibri"/>
          <w:b/>
          <w:spacing w:val="-3"/>
          <w:lang w:eastAsia="hr-HR"/>
        </w:rPr>
        <w:t>1</w:t>
      </w:r>
      <w:r w:rsidR="00803DA8">
        <w:rPr>
          <w:rFonts w:eastAsia="Times New Roman" w:cs="Calibri"/>
          <w:b/>
          <w:spacing w:val="-3"/>
          <w:lang w:eastAsia="hr-HR"/>
        </w:rPr>
        <w:t>4</w:t>
      </w:r>
      <w:r w:rsidRPr="00ED4731">
        <w:rPr>
          <w:rFonts w:eastAsia="Times New Roman" w:cs="Calibri"/>
          <w:b/>
          <w:spacing w:val="-3"/>
          <w:lang w:eastAsia="hr-HR"/>
        </w:rPr>
        <w:t xml:space="preserve">. </w:t>
      </w:r>
      <w:r w:rsidRPr="00ED4731">
        <w:rPr>
          <w:rFonts w:eastAsia="Times New Roman" w:cs="Calibri"/>
          <w:b/>
          <w:spacing w:val="-3"/>
          <w:lang w:eastAsia="hr-HR"/>
        </w:rPr>
        <w:tab/>
      </w:r>
      <w:r w:rsidRPr="00ED4731">
        <w:rPr>
          <w:rFonts w:eastAsia="Times New Roman" w:cs="Calibri"/>
          <w:b/>
          <w:spacing w:val="-3"/>
          <w:lang w:eastAsia="hr-HR"/>
        </w:rPr>
        <w:tab/>
      </w:r>
      <w:r w:rsidR="000901BA" w:rsidRPr="00ED4731">
        <w:rPr>
          <w:rFonts w:eastAsia="Times New Roman" w:cs="Calibri"/>
          <w:b/>
          <w:spacing w:val="-3"/>
          <w:lang w:eastAsia="hr-HR"/>
        </w:rPr>
        <w:t>Garancije i preuzete obveze</w:t>
      </w:r>
    </w:p>
    <w:p w14:paraId="3C4B63EF" w14:textId="77777777" w:rsidR="002255D9" w:rsidRDefault="002255D9" w:rsidP="002255D9">
      <w:pPr>
        <w:tabs>
          <w:tab w:val="left" w:pos="-720"/>
          <w:tab w:val="left" w:pos="426"/>
        </w:tabs>
        <w:suppressAutoHyphens/>
        <w:spacing w:after="0" w:line="240" w:lineRule="auto"/>
        <w:jc w:val="both"/>
        <w:rPr>
          <w:rFonts w:eastAsia="Times New Roman" w:cs="Calibri"/>
          <w:b/>
          <w:spacing w:val="-3"/>
          <w:lang w:eastAsia="hr-HR"/>
        </w:rPr>
      </w:pPr>
    </w:p>
    <w:p w14:paraId="33458E42" w14:textId="77777777" w:rsidR="000901BA" w:rsidRPr="002C12B4" w:rsidRDefault="000901BA" w:rsidP="002255D9">
      <w:pPr>
        <w:tabs>
          <w:tab w:val="left" w:pos="-720"/>
          <w:tab w:val="left" w:pos="426"/>
        </w:tabs>
        <w:suppressAutoHyphens/>
        <w:spacing w:after="0" w:line="240" w:lineRule="auto"/>
        <w:jc w:val="both"/>
        <w:rPr>
          <w:rFonts w:eastAsia="Times New Roman" w:cs="Calibri"/>
          <w:spacing w:val="-3"/>
          <w:lang w:eastAsia="hr-HR"/>
        </w:rPr>
      </w:pPr>
      <w:r w:rsidRPr="002C12B4">
        <w:rPr>
          <w:rFonts w:eastAsia="Times New Roman" w:cs="Calibri"/>
          <w:spacing w:val="-3"/>
          <w:lang w:eastAsia="hr-HR"/>
        </w:rPr>
        <w:t xml:space="preserve">U okviru svog redovnog poslovanja </w:t>
      </w:r>
      <w:r w:rsidR="00C1772D" w:rsidRPr="002C12B4">
        <w:rPr>
          <w:rFonts w:eastAsia="Times New Roman" w:cs="Calibri"/>
          <w:spacing w:val="-3"/>
          <w:lang w:eastAsia="hr-HR"/>
        </w:rPr>
        <w:t xml:space="preserve">Grupa </w:t>
      </w:r>
      <w:r w:rsidRPr="002C12B4">
        <w:rPr>
          <w:rFonts w:eastAsia="Times New Roman" w:cs="Calibri"/>
          <w:spacing w:val="-3"/>
          <w:lang w:eastAsia="hr-HR"/>
        </w:rPr>
        <w:t>HBOR zaključuje ugovore o garancijama i preuzetim obvezama. Svrha ovih instrumenata je osigurati raspoloživost sredstava s obzirom na potrebe klijenta.</w:t>
      </w:r>
    </w:p>
    <w:p w14:paraId="0E6F49EE" w14:textId="77777777" w:rsidR="002255D9" w:rsidRPr="002C12B4" w:rsidRDefault="002255D9" w:rsidP="002255D9">
      <w:pPr>
        <w:tabs>
          <w:tab w:val="left" w:pos="-720"/>
          <w:tab w:val="left" w:pos="426"/>
        </w:tabs>
        <w:suppressAutoHyphens/>
        <w:spacing w:after="0" w:line="240" w:lineRule="auto"/>
        <w:jc w:val="both"/>
        <w:rPr>
          <w:rFonts w:eastAsia="Times New Roman" w:cs="Calibri"/>
          <w:spacing w:val="-3"/>
          <w:lang w:eastAsia="hr-HR"/>
        </w:rPr>
      </w:pPr>
    </w:p>
    <w:p w14:paraId="5E73DBAB" w14:textId="4B03A7E1" w:rsidR="00B80E06" w:rsidRPr="002C12B4" w:rsidRDefault="000901BA" w:rsidP="002255D9">
      <w:pPr>
        <w:tabs>
          <w:tab w:val="left" w:pos="-720"/>
          <w:tab w:val="left" w:pos="426"/>
        </w:tabs>
        <w:suppressAutoHyphens/>
        <w:spacing w:after="0" w:line="240" w:lineRule="auto"/>
        <w:jc w:val="both"/>
        <w:rPr>
          <w:rFonts w:eastAsia="Times New Roman" w:cs="Calibri"/>
          <w:spacing w:val="-3"/>
          <w:lang w:eastAsia="hr-HR"/>
        </w:rPr>
      </w:pPr>
      <w:r w:rsidRPr="00263122">
        <w:rPr>
          <w:rFonts w:eastAsia="Times New Roman" w:cs="Calibri"/>
          <w:spacing w:val="-3"/>
          <w:lang w:eastAsia="hr-HR"/>
        </w:rPr>
        <w:t>Stanje ukupnih brut</w:t>
      </w:r>
      <w:r w:rsidR="00E93161" w:rsidRPr="00263122">
        <w:rPr>
          <w:rFonts w:eastAsia="Times New Roman" w:cs="Calibri"/>
          <w:spacing w:val="-3"/>
          <w:lang w:eastAsia="hr-HR"/>
        </w:rPr>
        <w:t xml:space="preserve">o potencijalnih obveza na dan </w:t>
      </w:r>
      <w:r w:rsidR="006903C5">
        <w:rPr>
          <w:rFonts w:eastAsia="Times New Roman" w:cs="Calibri"/>
          <w:spacing w:val="-3"/>
          <w:lang w:eastAsia="hr-HR"/>
        </w:rPr>
        <w:t>30</w:t>
      </w:r>
      <w:r w:rsidR="00682116">
        <w:rPr>
          <w:rFonts w:eastAsia="Times New Roman" w:cs="Calibri"/>
          <w:spacing w:val="-3"/>
          <w:lang w:eastAsia="hr-HR"/>
        </w:rPr>
        <w:t xml:space="preserve">. </w:t>
      </w:r>
      <w:r w:rsidR="006903C5">
        <w:rPr>
          <w:rFonts w:eastAsia="Times New Roman" w:cs="Calibri"/>
          <w:spacing w:val="-3"/>
          <w:lang w:eastAsia="hr-HR"/>
        </w:rPr>
        <w:t xml:space="preserve">lipnja </w:t>
      </w:r>
      <w:r w:rsidRPr="00263122">
        <w:rPr>
          <w:rFonts w:eastAsia="Times New Roman" w:cs="Calibri"/>
          <w:spacing w:val="-3"/>
          <w:lang w:eastAsia="hr-HR"/>
        </w:rPr>
        <w:t>201</w:t>
      </w:r>
      <w:r w:rsidR="00682116">
        <w:rPr>
          <w:rFonts w:eastAsia="Times New Roman" w:cs="Calibri"/>
          <w:spacing w:val="-3"/>
          <w:lang w:eastAsia="hr-HR"/>
        </w:rPr>
        <w:t>7</w:t>
      </w:r>
      <w:r w:rsidRPr="00263122">
        <w:rPr>
          <w:rFonts w:eastAsia="Times New Roman" w:cs="Calibri"/>
          <w:spacing w:val="-3"/>
          <w:lang w:eastAsia="hr-HR"/>
        </w:rPr>
        <w:t xml:space="preserve">. godine iznosi </w:t>
      </w:r>
      <w:r w:rsidR="00D53A0F">
        <w:rPr>
          <w:rFonts w:eastAsia="Times New Roman" w:cs="Calibri"/>
          <w:spacing w:val="-3"/>
          <w:lang w:eastAsia="hr-HR"/>
        </w:rPr>
        <w:t>5.588.394</w:t>
      </w:r>
      <w:r w:rsidR="00D71E84" w:rsidRPr="00263122">
        <w:rPr>
          <w:rFonts w:eastAsia="Times New Roman" w:cs="Calibri"/>
          <w:spacing w:val="-3"/>
          <w:lang w:eastAsia="hr-HR"/>
        </w:rPr>
        <w:t xml:space="preserve"> </w:t>
      </w:r>
      <w:r w:rsidR="00E243F6" w:rsidRPr="00263122">
        <w:rPr>
          <w:rFonts w:eastAsia="Times New Roman" w:cs="Calibri"/>
          <w:spacing w:val="-3"/>
          <w:lang w:eastAsia="hr-HR"/>
        </w:rPr>
        <w:t>tisuća</w:t>
      </w:r>
      <w:r w:rsidRPr="00263122">
        <w:rPr>
          <w:rFonts w:eastAsia="Times New Roman" w:cs="Calibri"/>
          <w:spacing w:val="-3"/>
          <w:lang w:eastAsia="hr-HR"/>
        </w:rPr>
        <w:t xml:space="preserve"> kuna i bilježi  </w:t>
      </w:r>
      <w:r w:rsidR="00D53A0F">
        <w:rPr>
          <w:rFonts w:eastAsia="Times New Roman" w:cs="Calibri"/>
          <w:spacing w:val="-3"/>
          <w:lang w:eastAsia="hr-HR"/>
        </w:rPr>
        <w:t xml:space="preserve">smanjenje od </w:t>
      </w:r>
      <w:r w:rsidR="00F1720F">
        <w:rPr>
          <w:rFonts w:eastAsia="Times New Roman" w:cs="Calibri"/>
          <w:spacing w:val="-3"/>
          <w:lang w:eastAsia="hr-HR"/>
        </w:rPr>
        <w:t>8</w:t>
      </w:r>
      <w:r w:rsidRPr="000E5941">
        <w:rPr>
          <w:rFonts w:eastAsia="Times New Roman" w:cs="Calibri"/>
          <w:spacing w:val="-3"/>
          <w:lang w:eastAsia="hr-HR"/>
        </w:rPr>
        <w:t>%</w:t>
      </w:r>
      <w:r w:rsidRPr="0093087C">
        <w:rPr>
          <w:rFonts w:eastAsia="Times New Roman" w:cs="Calibri"/>
          <w:spacing w:val="-3"/>
          <w:lang w:eastAsia="hr-HR"/>
        </w:rPr>
        <w:t xml:space="preserve"> u odnosu</w:t>
      </w:r>
      <w:r w:rsidRPr="00263122">
        <w:rPr>
          <w:rFonts w:eastAsia="Times New Roman" w:cs="Calibri"/>
          <w:spacing w:val="-3"/>
          <w:lang w:eastAsia="hr-HR"/>
        </w:rPr>
        <w:t xml:space="preserve"> na početak godine</w:t>
      </w:r>
      <w:r w:rsidR="005C10F2">
        <w:rPr>
          <w:rFonts w:eastAsia="Times New Roman" w:cs="Calibri"/>
          <w:spacing w:val="-3"/>
          <w:lang w:eastAsia="hr-HR"/>
        </w:rPr>
        <w:t>.</w:t>
      </w:r>
      <w:r w:rsidR="00011922" w:rsidRPr="00263122">
        <w:rPr>
          <w:rFonts w:eastAsia="Times New Roman" w:cs="Calibri"/>
          <w:spacing w:val="-3"/>
          <w:lang w:eastAsia="hr-HR"/>
        </w:rPr>
        <w:t xml:space="preserve"> </w:t>
      </w:r>
      <w:r w:rsidRPr="00263122">
        <w:rPr>
          <w:rFonts w:eastAsia="Times New Roman" w:cs="Calibri"/>
          <w:spacing w:val="-3"/>
          <w:lang w:eastAsia="hr-HR"/>
        </w:rPr>
        <w:t>U nastavku se daje pregled gar</w:t>
      </w:r>
      <w:r w:rsidR="002B2E6A" w:rsidRPr="00263122">
        <w:rPr>
          <w:rFonts w:eastAsia="Times New Roman" w:cs="Calibri"/>
          <w:spacing w:val="-3"/>
          <w:lang w:eastAsia="hr-HR"/>
        </w:rPr>
        <w:t>ancija i preuzetih obveza:</w:t>
      </w:r>
    </w:p>
    <w:p w14:paraId="1DBF0F68" w14:textId="77777777" w:rsidR="00EE25AE" w:rsidRPr="00007FC2" w:rsidRDefault="00EE25AE" w:rsidP="002255D9">
      <w:pPr>
        <w:tabs>
          <w:tab w:val="left" w:pos="-720"/>
          <w:tab w:val="left" w:pos="426"/>
        </w:tabs>
        <w:suppressAutoHyphens/>
        <w:spacing w:after="0" w:line="240" w:lineRule="auto"/>
        <w:jc w:val="both"/>
        <w:rPr>
          <w:rFonts w:eastAsia="Times New Roman" w:cs="Calibri"/>
          <w:spacing w:val="-3"/>
          <w:sz w:val="20"/>
          <w:szCs w:val="20"/>
          <w:lang w:eastAsia="hr-HR"/>
        </w:rPr>
      </w:pPr>
    </w:p>
    <w:tbl>
      <w:tblPr>
        <w:tblW w:w="9306" w:type="dxa"/>
        <w:tblLook w:val="04A0" w:firstRow="1" w:lastRow="0" w:firstColumn="1" w:lastColumn="0" w:noHBand="0" w:noVBand="1"/>
      </w:tblPr>
      <w:tblGrid>
        <w:gridCol w:w="5771"/>
        <w:gridCol w:w="1766"/>
        <w:gridCol w:w="1769"/>
      </w:tblGrid>
      <w:tr w:rsidR="00B47C66" w:rsidRPr="00647AB5" w14:paraId="43A1C69F" w14:textId="77777777" w:rsidTr="00B47C66">
        <w:trPr>
          <w:trHeight w:val="321"/>
        </w:trPr>
        <w:tc>
          <w:tcPr>
            <w:tcW w:w="9306" w:type="dxa"/>
            <w:gridSpan w:val="3"/>
            <w:tcBorders>
              <w:top w:val="nil"/>
              <w:left w:val="nil"/>
              <w:bottom w:val="nil"/>
              <w:right w:val="nil"/>
            </w:tcBorders>
            <w:shd w:val="clear" w:color="auto" w:fill="auto"/>
            <w:vAlign w:val="center"/>
            <w:hideMark/>
          </w:tcPr>
          <w:p w14:paraId="45BECBEB" w14:textId="77777777" w:rsidR="00B47C66" w:rsidRPr="002C12B4" w:rsidRDefault="00B47C66" w:rsidP="00B47C66">
            <w:pPr>
              <w:spacing w:after="0" w:line="240" w:lineRule="auto"/>
              <w:rPr>
                <w:rFonts w:ascii="Calibri" w:eastAsia="Times New Roman" w:hAnsi="Calibri" w:cs="Times New Roman"/>
                <w:b/>
                <w:bCs/>
                <w:color w:val="000000"/>
                <w:sz w:val="20"/>
                <w:szCs w:val="20"/>
                <w:lang w:eastAsia="hr-HR"/>
              </w:rPr>
            </w:pPr>
            <w:r w:rsidRPr="002C12B4">
              <w:rPr>
                <w:rFonts w:ascii="Calibri" w:eastAsia="Times New Roman" w:hAnsi="Calibri" w:cs="Times New Roman"/>
                <w:b/>
                <w:bCs/>
                <w:color w:val="000000"/>
                <w:sz w:val="20"/>
                <w:szCs w:val="20"/>
                <w:lang w:eastAsia="hr-HR"/>
              </w:rPr>
              <w:t>Grupa</w:t>
            </w:r>
            <w:r>
              <w:rPr>
                <w:rFonts w:ascii="Calibri" w:eastAsia="Times New Roman" w:hAnsi="Calibri" w:cs="Times New Roman"/>
                <w:b/>
                <w:bCs/>
                <w:color w:val="000000"/>
                <w:sz w:val="20"/>
                <w:szCs w:val="20"/>
                <w:lang w:eastAsia="hr-HR"/>
              </w:rPr>
              <w:t xml:space="preserve"> i Banka</w:t>
            </w:r>
          </w:p>
        </w:tc>
      </w:tr>
      <w:tr w:rsidR="00B47C66" w:rsidRPr="00647AB5" w14:paraId="5389558D" w14:textId="77777777" w:rsidTr="00405AA6">
        <w:trPr>
          <w:trHeight w:val="321"/>
        </w:trPr>
        <w:tc>
          <w:tcPr>
            <w:tcW w:w="5771" w:type="dxa"/>
            <w:tcBorders>
              <w:top w:val="nil"/>
              <w:left w:val="nil"/>
              <w:bottom w:val="nil"/>
              <w:right w:val="nil"/>
            </w:tcBorders>
            <w:shd w:val="clear" w:color="auto" w:fill="auto"/>
            <w:vAlign w:val="center"/>
            <w:hideMark/>
          </w:tcPr>
          <w:p w14:paraId="304D89D8" w14:textId="77777777" w:rsidR="00B47C66" w:rsidRPr="002C12B4" w:rsidRDefault="00B47C66" w:rsidP="00B47C66">
            <w:pPr>
              <w:spacing w:after="0" w:line="240" w:lineRule="auto"/>
              <w:jc w:val="right"/>
              <w:rPr>
                <w:rFonts w:ascii="Calibri" w:eastAsia="Times New Roman" w:hAnsi="Calibri" w:cs="Times New Roman"/>
                <w:color w:val="000000"/>
                <w:sz w:val="20"/>
                <w:szCs w:val="20"/>
                <w:lang w:eastAsia="hr-HR"/>
              </w:rPr>
            </w:pPr>
          </w:p>
        </w:tc>
        <w:tc>
          <w:tcPr>
            <w:tcW w:w="1766" w:type="dxa"/>
            <w:vAlign w:val="center"/>
            <w:hideMark/>
          </w:tcPr>
          <w:p w14:paraId="29ADF345" w14:textId="1366E657" w:rsidR="00B47C66" w:rsidRPr="002C12B4" w:rsidRDefault="00822EBA">
            <w:pPr>
              <w:spacing w:after="0" w:line="240" w:lineRule="auto"/>
              <w:jc w:val="right"/>
              <w:rPr>
                <w:rFonts w:ascii="Calibri" w:eastAsia="Times New Roman" w:hAnsi="Calibri" w:cs="Times New Roman"/>
                <w:b/>
                <w:bCs/>
                <w:color w:val="000000"/>
                <w:sz w:val="20"/>
                <w:szCs w:val="20"/>
                <w:lang w:eastAsia="hr-HR"/>
              </w:rPr>
            </w:pPr>
            <w:r>
              <w:rPr>
                <w:rFonts w:eastAsia="Times New Roman" w:cs="Arial"/>
                <w:b/>
                <w:sz w:val="20"/>
                <w:szCs w:val="20"/>
              </w:rPr>
              <w:t>30</w:t>
            </w:r>
            <w:r w:rsidR="00682116">
              <w:rPr>
                <w:rFonts w:eastAsia="Times New Roman" w:cs="Arial"/>
                <w:b/>
                <w:sz w:val="20"/>
                <w:szCs w:val="20"/>
              </w:rPr>
              <w:t>.</w:t>
            </w:r>
            <w:r>
              <w:rPr>
                <w:rFonts w:eastAsia="Times New Roman" w:cs="Arial"/>
                <w:b/>
                <w:sz w:val="20"/>
                <w:szCs w:val="20"/>
              </w:rPr>
              <w:t>6</w:t>
            </w:r>
            <w:r w:rsidR="00B47C66" w:rsidRPr="002C12B4">
              <w:rPr>
                <w:rFonts w:eastAsia="Times New Roman" w:cs="Arial"/>
                <w:b/>
                <w:sz w:val="20"/>
                <w:szCs w:val="20"/>
              </w:rPr>
              <w:t>.201</w:t>
            </w:r>
            <w:r w:rsidR="00682116">
              <w:rPr>
                <w:rFonts w:eastAsia="Times New Roman" w:cs="Arial"/>
                <w:b/>
                <w:sz w:val="20"/>
                <w:szCs w:val="20"/>
              </w:rPr>
              <w:t>7</w:t>
            </w:r>
            <w:r w:rsidR="00B47C66" w:rsidRPr="002C12B4">
              <w:rPr>
                <w:rFonts w:eastAsia="Times New Roman" w:cs="Arial"/>
                <w:b/>
                <w:sz w:val="20"/>
                <w:szCs w:val="20"/>
              </w:rPr>
              <w:t>.</w:t>
            </w:r>
          </w:p>
        </w:tc>
        <w:tc>
          <w:tcPr>
            <w:tcW w:w="1769" w:type="dxa"/>
            <w:vAlign w:val="center"/>
            <w:hideMark/>
          </w:tcPr>
          <w:p w14:paraId="115A62B4" w14:textId="1240454C" w:rsidR="00B47C66" w:rsidRPr="002C12B4" w:rsidRDefault="00B47C66" w:rsidP="00B47C66">
            <w:pPr>
              <w:spacing w:after="0" w:line="240" w:lineRule="auto"/>
              <w:jc w:val="right"/>
              <w:rPr>
                <w:rFonts w:ascii="Calibri" w:eastAsia="Times New Roman" w:hAnsi="Calibri" w:cs="Times New Roman"/>
                <w:b/>
                <w:bCs/>
                <w:color w:val="000000"/>
                <w:sz w:val="20"/>
                <w:szCs w:val="20"/>
                <w:lang w:eastAsia="hr-HR"/>
              </w:rPr>
            </w:pPr>
            <w:r w:rsidRPr="002C12B4">
              <w:rPr>
                <w:rFonts w:eastAsia="Times New Roman" w:cs="Arial"/>
                <w:b/>
                <w:sz w:val="20"/>
                <w:szCs w:val="20"/>
              </w:rPr>
              <w:t>31.12.201</w:t>
            </w:r>
            <w:r w:rsidR="00682116">
              <w:rPr>
                <w:rFonts w:eastAsia="Times New Roman" w:cs="Arial"/>
                <w:b/>
                <w:sz w:val="20"/>
                <w:szCs w:val="20"/>
              </w:rPr>
              <w:t>6</w:t>
            </w:r>
            <w:r w:rsidRPr="002C12B4">
              <w:rPr>
                <w:rFonts w:eastAsia="Times New Roman" w:cs="Arial"/>
                <w:b/>
                <w:sz w:val="20"/>
                <w:szCs w:val="20"/>
              </w:rPr>
              <w:t>.</w:t>
            </w:r>
          </w:p>
        </w:tc>
      </w:tr>
      <w:tr w:rsidR="002C5A40" w:rsidRPr="00647AB5" w14:paraId="3CCF6044" w14:textId="77777777" w:rsidTr="00312975">
        <w:trPr>
          <w:trHeight w:hRule="exact" w:val="241"/>
        </w:trPr>
        <w:tc>
          <w:tcPr>
            <w:tcW w:w="5771" w:type="dxa"/>
            <w:tcBorders>
              <w:top w:val="nil"/>
              <w:left w:val="nil"/>
              <w:bottom w:val="nil"/>
              <w:right w:val="nil"/>
            </w:tcBorders>
            <w:shd w:val="clear" w:color="auto" w:fill="auto"/>
            <w:vAlign w:val="bottom"/>
            <w:hideMark/>
          </w:tcPr>
          <w:p w14:paraId="56A3EAF9" w14:textId="77777777" w:rsidR="002C5A40" w:rsidRPr="002C12B4" w:rsidRDefault="002C5A40" w:rsidP="002C5A40">
            <w:pPr>
              <w:spacing w:after="0" w:line="240" w:lineRule="auto"/>
              <w:rPr>
                <w:rFonts w:ascii="Calibri" w:eastAsia="Times New Roman" w:hAnsi="Calibri" w:cs="Times New Roman"/>
                <w:color w:val="000000"/>
                <w:sz w:val="20"/>
                <w:szCs w:val="20"/>
                <w:lang w:eastAsia="hr-HR"/>
              </w:rPr>
            </w:pPr>
            <w:r w:rsidRPr="002C12B4">
              <w:rPr>
                <w:rFonts w:ascii="Calibri" w:eastAsia="Times New Roman" w:hAnsi="Calibri" w:cs="Times New Roman"/>
                <w:color w:val="000000"/>
                <w:sz w:val="20"/>
                <w:szCs w:val="20"/>
                <w:lang w:eastAsia="hr-HR"/>
              </w:rPr>
              <w:t>Izdane garancije u kunama</w:t>
            </w:r>
          </w:p>
        </w:tc>
        <w:tc>
          <w:tcPr>
            <w:tcW w:w="1766" w:type="dxa"/>
            <w:tcBorders>
              <w:top w:val="nil"/>
              <w:left w:val="nil"/>
              <w:bottom w:val="nil"/>
              <w:right w:val="nil"/>
            </w:tcBorders>
            <w:shd w:val="clear" w:color="auto" w:fill="auto"/>
          </w:tcPr>
          <w:p w14:paraId="697A29BF" w14:textId="6D9F57D1" w:rsidR="002C5A40" w:rsidRPr="000E5941" w:rsidRDefault="002C5A40" w:rsidP="002C5A40">
            <w:pPr>
              <w:spacing w:after="0" w:line="240" w:lineRule="auto"/>
              <w:jc w:val="right"/>
              <w:rPr>
                <w:rFonts w:ascii="Calibri" w:hAnsi="Calibri"/>
                <w:color w:val="000000"/>
                <w:sz w:val="20"/>
                <w:szCs w:val="20"/>
              </w:rPr>
            </w:pPr>
            <w:r w:rsidRPr="00312975">
              <w:rPr>
                <w:rFonts w:ascii="Calibri" w:hAnsi="Calibri"/>
                <w:color w:val="000000"/>
                <w:sz w:val="20"/>
                <w:szCs w:val="20"/>
              </w:rPr>
              <w:t>27.932</w:t>
            </w:r>
          </w:p>
        </w:tc>
        <w:tc>
          <w:tcPr>
            <w:tcW w:w="1769" w:type="dxa"/>
            <w:tcBorders>
              <w:top w:val="nil"/>
              <w:left w:val="nil"/>
              <w:bottom w:val="nil"/>
              <w:right w:val="nil"/>
            </w:tcBorders>
            <w:shd w:val="clear" w:color="auto" w:fill="auto"/>
            <w:vAlign w:val="center"/>
          </w:tcPr>
          <w:p w14:paraId="0EA075AE" w14:textId="2B2251C7" w:rsidR="002C5A40" w:rsidRPr="00682116" w:rsidRDefault="002C5A40" w:rsidP="002C5A40">
            <w:pPr>
              <w:spacing w:after="0" w:line="240" w:lineRule="auto"/>
              <w:jc w:val="right"/>
              <w:rPr>
                <w:rFonts w:eastAsia="Times New Roman" w:cs="Arial"/>
                <w:color w:val="000000"/>
                <w:sz w:val="20"/>
                <w:szCs w:val="20"/>
                <w:lang w:eastAsia="hr-HR"/>
              </w:rPr>
            </w:pPr>
            <w:r w:rsidRPr="00682116">
              <w:rPr>
                <w:rFonts w:ascii="Calibri" w:hAnsi="Calibri"/>
                <w:color w:val="000000"/>
                <w:sz w:val="20"/>
                <w:szCs w:val="20"/>
              </w:rPr>
              <w:t>32.409</w:t>
            </w:r>
          </w:p>
        </w:tc>
      </w:tr>
      <w:tr w:rsidR="002C5A40" w:rsidRPr="00647AB5" w14:paraId="777C7649" w14:textId="77777777" w:rsidTr="00312975">
        <w:trPr>
          <w:trHeight w:hRule="exact" w:val="241"/>
        </w:trPr>
        <w:tc>
          <w:tcPr>
            <w:tcW w:w="5771" w:type="dxa"/>
            <w:tcBorders>
              <w:top w:val="nil"/>
              <w:left w:val="nil"/>
              <w:bottom w:val="nil"/>
              <w:right w:val="nil"/>
            </w:tcBorders>
            <w:shd w:val="clear" w:color="auto" w:fill="auto"/>
            <w:vAlign w:val="bottom"/>
            <w:hideMark/>
          </w:tcPr>
          <w:p w14:paraId="7AACD230" w14:textId="77777777" w:rsidR="002C5A40" w:rsidRPr="002C12B4" w:rsidRDefault="002C5A40" w:rsidP="002C5A40">
            <w:pPr>
              <w:spacing w:after="0" w:line="240" w:lineRule="auto"/>
              <w:rPr>
                <w:rFonts w:ascii="Calibri" w:eastAsia="Times New Roman" w:hAnsi="Calibri" w:cs="Times New Roman"/>
                <w:color w:val="000000"/>
                <w:sz w:val="20"/>
                <w:szCs w:val="20"/>
                <w:lang w:eastAsia="hr-HR"/>
              </w:rPr>
            </w:pPr>
            <w:r w:rsidRPr="002C12B4">
              <w:rPr>
                <w:rFonts w:ascii="Calibri" w:eastAsia="Times New Roman" w:hAnsi="Calibri" w:cs="Times New Roman"/>
                <w:color w:val="000000"/>
                <w:sz w:val="20"/>
                <w:szCs w:val="20"/>
                <w:lang w:eastAsia="hr-HR"/>
              </w:rPr>
              <w:t>Izdane garancije u devizama</w:t>
            </w:r>
            <w:r w:rsidRPr="002C12B4">
              <w:rPr>
                <w:rFonts w:ascii="Calibri" w:eastAsia="Times New Roman" w:hAnsi="Calibri" w:cs="Times New Roman"/>
                <w:strike/>
                <w:color w:val="000000"/>
                <w:sz w:val="20"/>
                <w:szCs w:val="20"/>
                <w:lang w:eastAsia="hr-HR"/>
              </w:rPr>
              <w:t xml:space="preserve"> </w:t>
            </w:r>
          </w:p>
        </w:tc>
        <w:tc>
          <w:tcPr>
            <w:tcW w:w="1766" w:type="dxa"/>
            <w:tcBorders>
              <w:top w:val="nil"/>
              <w:left w:val="nil"/>
              <w:bottom w:val="nil"/>
              <w:right w:val="nil"/>
            </w:tcBorders>
            <w:shd w:val="clear" w:color="auto" w:fill="auto"/>
          </w:tcPr>
          <w:p w14:paraId="53087233" w14:textId="14F8E051" w:rsidR="002C5A40" w:rsidRPr="000E5941" w:rsidRDefault="002C5A40" w:rsidP="002C5A40">
            <w:pPr>
              <w:spacing w:after="0" w:line="240" w:lineRule="auto"/>
              <w:jc w:val="right"/>
              <w:rPr>
                <w:rFonts w:ascii="Calibri" w:hAnsi="Calibri"/>
                <w:color w:val="000000"/>
                <w:sz w:val="20"/>
                <w:szCs w:val="20"/>
              </w:rPr>
            </w:pPr>
            <w:r w:rsidRPr="00312975">
              <w:rPr>
                <w:rFonts w:ascii="Calibri" w:hAnsi="Calibri"/>
                <w:color w:val="000000"/>
                <w:sz w:val="20"/>
                <w:szCs w:val="20"/>
              </w:rPr>
              <w:t>1.921.352</w:t>
            </w:r>
          </w:p>
        </w:tc>
        <w:tc>
          <w:tcPr>
            <w:tcW w:w="1769" w:type="dxa"/>
            <w:tcBorders>
              <w:top w:val="nil"/>
              <w:left w:val="nil"/>
              <w:bottom w:val="nil"/>
              <w:right w:val="nil"/>
            </w:tcBorders>
            <w:shd w:val="clear" w:color="auto" w:fill="auto"/>
            <w:vAlign w:val="center"/>
          </w:tcPr>
          <w:p w14:paraId="0611E4A0" w14:textId="6DC2AE18" w:rsidR="002C5A40" w:rsidRPr="00682116" w:rsidRDefault="002C5A40" w:rsidP="002C5A40">
            <w:pPr>
              <w:spacing w:after="0" w:line="240" w:lineRule="auto"/>
              <w:jc w:val="right"/>
              <w:rPr>
                <w:rFonts w:eastAsia="Times New Roman" w:cs="Arial"/>
                <w:color w:val="000000"/>
                <w:sz w:val="20"/>
                <w:szCs w:val="20"/>
                <w:lang w:eastAsia="hr-HR"/>
              </w:rPr>
            </w:pPr>
            <w:r w:rsidRPr="00682116">
              <w:rPr>
                <w:rFonts w:ascii="Calibri" w:hAnsi="Calibri"/>
                <w:color w:val="000000"/>
                <w:sz w:val="20"/>
                <w:szCs w:val="20"/>
              </w:rPr>
              <w:t>2.007.578</w:t>
            </w:r>
          </w:p>
        </w:tc>
      </w:tr>
      <w:tr w:rsidR="002C5A40" w:rsidRPr="00647AB5" w14:paraId="3AC95478" w14:textId="77777777" w:rsidTr="00312975">
        <w:trPr>
          <w:trHeight w:hRule="exact" w:val="241"/>
        </w:trPr>
        <w:tc>
          <w:tcPr>
            <w:tcW w:w="5771" w:type="dxa"/>
            <w:tcBorders>
              <w:top w:val="nil"/>
              <w:left w:val="nil"/>
              <w:bottom w:val="nil"/>
              <w:right w:val="nil"/>
            </w:tcBorders>
            <w:shd w:val="clear" w:color="auto" w:fill="auto"/>
            <w:vAlign w:val="bottom"/>
            <w:hideMark/>
          </w:tcPr>
          <w:p w14:paraId="7CD2B624" w14:textId="77777777" w:rsidR="002C5A40" w:rsidRPr="002C12B4" w:rsidRDefault="002C5A40" w:rsidP="002C5A40">
            <w:pPr>
              <w:spacing w:after="0" w:line="240" w:lineRule="auto"/>
              <w:rPr>
                <w:rFonts w:ascii="Calibri" w:eastAsia="Times New Roman" w:hAnsi="Calibri" w:cs="Times New Roman"/>
                <w:color w:val="000000"/>
                <w:sz w:val="20"/>
                <w:szCs w:val="20"/>
                <w:lang w:eastAsia="hr-HR"/>
              </w:rPr>
            </w:pPr>
            <w:r w:rsidRPr="002C12B4">
              <w:rPr>
                <w:rFonts w:ascii="Calibri" w:eastAsia="Times New Roman" w:hAnsi="Calibri" w:cs="Times New Roman"/>
                <w:color w:val="000000"/>
                <w:sz w:val="20"/>
                <w:szCs w:val="20"/>
                <w:lang w:eastAsia="hr-HR"/>
              </w:rPr>
              <w:t>Preuzete obveze po kreditima</w:t>
            </w:r>
          </w:p>
        </w:tc>
        <w:tc>
          <w:tcPr>
            <w:tcW w:w="1766" w:type="dxa"/>
            <w:tcBorders>
              <w:top w:val="nil"/>
              <w:left w:val="nil"/>
              <w:bottom w:val="nil"/>
              <w:right w:val="nil"/>
            </w:tcBorders>
            <w:shd w:val="clear" w:color="auto" w:fill="auto"/>
          </w:tcPr>
          <w:p w14:paraId="3AA28B60" w14:textId="2AC252C7" w:rsidR="002C5A40" w:rsidRPr="000E5941" w:rsidRDefault="008E7E9C" w:rsidP="002C5A40">
            <w:pPr>
              <w:spacing w:after="0" w:line="240" w:lineRule="auto"/>
              <w:jc w:val="right"/>
              <w:rPr>
                <w:rFonts w:ascii="Calibri" w:hAnsi="Calibri"/>
                <w:color w:val="000000"/>
                <w:sz w:val="20"/>
                <w:szCs w:val="20"/>
              </w:rPr>
            </w:pPr>
            <w:r w:rsidRPr="008E7E9C">
              <w:rPr>
                <w:rFonts w:ascii="Calibri" w:hAnsi="Calibri"/>
                <w:color w:val="000000"/>
                <w:sz w:val="20"/>
                <w:szCs w:val="20"/>
              </w:rPr>
              <w:t>3.589.127</w:t>
            </w:r>
          </w:p>
        </w:tc>
        <w:tc>
          <w:tcPr>
            <w:tcW w:w="1769" w:type="dxa"/>
            <w:tcBorders>
              <w:top w:val="nil"/>
              <w:left w:val="nil"/>
              <w:bottom w:val="nil"/>
              <w:right w:val="nil"/>
            </w:tcBorders>
            <w:shd w:val="clear" w:color="auto" w:fill="auto"/>
            <w:vAlign w:val="center"/>
          </w:tcPr>
          <w:p w14:paraId="08C9A4F1" w14:textId="219C3F89" w:rsidR="002C5A40" w:rsidRPr="00682116" w:rsidRDefault="002C5A40" w:rsidP="002C5A40">
            <w:pPr>
              <w:spacing w:after="0" w:line="240" w:lineRule="auto"/>
              <w:jc w:val="right"/>
              <w:rPr>
                <w:rFonts w:eastAsia="Times New Roman" w:cs="Arial"/>
                <w:color w:val="000000"/>
                <w:sz w:val="20"/>
                <w:szCs w:val="20"/>
                <w:lang w:eastAsia="hr-HR"/>
              </w:rPr>
            </w:pPr>
            <w:r w:rsidRPr="00682116">
              <w:rPr>
                <w:rFonts w:ascii="Calibri" w:hAnsi="Calibri"/>
                <w:color w:val="000000"/>
                <w:sz w:val="20"/>
                <w:szCs w:val="20"/>
              </w:rPr>
              <w:t xml:space="preserve">    3.978.340 </w:t>
            </w:r>
          </w:p>
        </w:tc>
      </w:tr>
      <w:tr w:rsidR="002C5A40" w:rsidRPr="00647AB5" w14:paraId="39EBADF1" w14:textId="77777777" w:rsidTr="00312975">
        <w:trPr>
          <w:trHeight w:hRule="exact" w:val="241"/>
        </w:trPr>
        <w:tc>
          <w:tcPr>
            <w:tcW w:w="5771" w:type="dxa"/>
            <w:tcBorders>
              <w:top w:val="nil"/>
              <w:left w:val="nil"/>
              <w:bottom w:val="nil"/>
              <w:right w:val="nil"/>
            </w:tcBorders>
            <w:shd w:val="clear" w:color="auto" w:fill="auto"/>
            <w:vAlign w:val="bottom"/>
            <w:hideMark/>
          </w:tcPr>
          <w:p w14:paraId="58BA4BCB" w14:textId="77777777" w:rsidR="002C5A40" w:rsidRPr="002C12B4" w:rsidRDefault="002C5A40" w:rsidP="002C5A40">
            <w:pPr>
              <w:spacing w:after="0" w:line="240" w:lineRule="auto"/>
              <w:rPr>
                <w:rFonts w:ascii="Calibri" w:eastAsia="Times New Roman" w:hAnsi="Calibri" w:cs="Times New Roman"/>
                <w:color w:val="000000"/>
                <w:sz w:val="20"/>
                <w:szCs w:val="20"/>
                <w:lang w:eastAsia="hr-HR"/>
              </w:rPr>
            </w:pPr>
            <w:r w:rsidRPr="002C12B4">
              <w:rPr>
                <w:rFonts w:ascii="Calibri" w:eastAsia="Times New Roman" w:hAnsi="Calibri" w:cs="Times New Roman"/>
                <w:color w:val="000000"/>
                <w:sz w:val="20"/>
                <w:szCs w:val="20"/>
                <w:lang w:eastAsia="hr-HR"/>
              </w:rPr>
              <w:t xml:space="preserve">Upisani a neuplaćeni kapital EIF-a </w:t>
            </w:r>
          </w:p>
        </w:tc>
        <w:tc>
          <w:tcPr>
            <w:tcW w:w="1766" w:type="dxa"/>
            <w:tcBorders>
              <w:top w:val="nil"/>
              <w:left w:val="nil"/>
              <w:bottom w:val="nil"/>
              <w:right w:val="nil"/>
            </w:tcBorders>
            <w:shd w:val="clear" w:color="auto" w:fill="auto"/>
          </w:tcPr>
          <w:p w14:paraId="7DFAA088" w14:textId="7BEE5D7A" w:rsidR="002C5A40" w:rsidRPr="000E5941" w:rsidRDefault="008E7E9C" w:rsidP="002C5A40">
            <w:pPr>
              <w:spacing w:after="0" w:line="240" w:lineRule="auto"/>
              <w:jc w:val="right"/>
              <w:rPr>
                <w:rFonts w:ascii="Calibri" w:hAnsi="Calibri"/>
                <w:color w:val="000000"/>
                <w:sz w:val="20"/>
                <w:szCs w:val="20"/>
              </w:rPr>
            </w:pPr>
            <w:r w:rsidRPr="008E7E9C">
              <w:rPr>
                <w:rFonts w:ascii="Calibri" w:hAnsi="Calibri"/>
                <w:color w:val="000000"/>
                <w:sz w:val="20"/>
                <w:szCs w:val="20"/>
              </w:rPr>
              <w:t>47.403</w:t>
            </w:r>
          </w:p>
        </w:tc>
        <w:tc>
          <w:tcPr>
            <w:tcW w:w="1769" w:type="dxa"/>
            <w:tcBorders>
              <w:top w:val="nil"/>
              <w:left w:val="nil"/>
              <w:bottom w:val="nil"/>
              <w:right w:val="nil"/>
            </w:tcBorders>
            <w:shd w:val="clear" w:color="auto" w:fill="auto"/>
            <w:vAlign w:val="center"/>
          </w:tcPr>
          <w:p w14:paraId="12ED6FEE" w14:textId="256B796E" w:rsidR="002C5A40" w:rsidRPr="00682116" w:rsidRDefault="002C5A40" w:rsidP="002C5A40">
            <w:pPr>
              <w:spacing w:after="0" w:line="240" w:lineRule="auto"/>
              <w:jc w:val="right"/>
              <w:rPr>
                <w:rFonts w:eastAsia="Times New Roman" w:cs="Arial"/>
                <w:color w:val="000000"/>
                <w:sz w:val="20"/>
                <w:szCs w:val="20"/>
                <w:lang w:eastAsia="hr-HR"/>
              </w:rPr>
            </w:pPr>
            <w:r w:rsidRPr="00682116">
              <w:rPr>
                <w:rFonts w:ascii="Calibri" w:hAnsi="Calibri"/>
                <w:color w:val="000000"/>
                <w:sz w:val="20"/>
                <w:szCs w:val="20"/>
              </w:rPr>
              <w:t xml:space="preserve">        48.370 </w:t>
            </w:r>
          </w:p>
        </w:tc>
      </w:tr>
      <w:tr w:rsidR="002C5A40" w:rsidRPr="00647AB5" w14:paraId="1108F4CD" w14:textId="77777777" w:rsidTr="00312975">
        <w:trPr>
          <w:trHeight w:hRule="exact" w:val="241"/>
        </w:trPr>
        <w:tc>
          <w:tcPr>
            <w:tcW w:w="5771" w:type="dxa"/>
            <w:tcBorders>
              <w:top w:val="nil"/>
              <w:left w:val="nil"/>
              <w:bottom w:val="nil"/>
              <w:right w:val="nil"/>
            </w:tcBorders>
            <w:shd w:val="clear" w:color="auto" w:fill="auto"/>
            <w:vAlign w:val="bottom"/>
          </w:tcPr>
          <w:p w14:paraId="400AB56B" w14:textId="1FA427EE" w:rsidR="002C5A40" w:rsidRPr="002C12B4" w:rsidRDefault="002C5A40" w:rsidP="002C5A40">
            <w:pPr>
              <w:spacing w:after="0" w:line="240" w:lineRule="auto"/>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Otvoreni akreditivi u devizama</w:t>
            </w:r>
          </w:p>
        </w:tc>
        <w:tc>
          <w:tcPr>
            <w:tcW w:w="1766" w:type="dxa"/>
            <w:tcBorders>
              <w:top w:val="nil"/>
              <w:left w:val="nil"/>
              <w:bottom w:val="nil"/>
              <w:right w:val="nil"/>
            </w:tcBorders>
            <w:shd w:val="clear" w:color="auto" w:fill="auto"/>
          </w:tcPr>
          <w:p w14:paraId="75DE9B77" w14:textId="02851293" w:rsidR="002C5A40" w:rsidRPr="000E5941" w:rsidRDefault="008E7E9C" w:rsidP="002C5A40">
            <w:pPr>
              <w:spacing w:after="0" w:line="240" w:lineRule="auto"/>
              <w:jc w:val="right"/>
              <w:rPr>
                <w:rFonts w:ascii="Calibri" w:hAnsi="Calibri"/>
                <w:color w:val="000000"/>
                <w:sz w:val="20"/>
                <w:szCs w:val="20"/>
              </w:rPr>
            </w:pPr>
            <w:r w:rsidRPr="008E7E9C">
              <w:rPr>
                <w:rFonts w:ascii="Calibri" w:hAnsi="Calibri"/>
                <w:color w:val="000000"/>
                <w:sz w:val="20"/>
                <w:szCs w:val="20"/>
              </w:rPr>
              <w:t>2.241</w:t>
            </w:r>
          </w:p>
        </w:tc>
        <w:tc>
          <w:tcPr>
            <w:tcW w:w="1769" w:type="dxa"/>
            <w:tcBorders>
              <w:top w:val="nil"/>
              <w:left w:val="nil"/>
              <w:bottom w:val="nil"/>
              <w:right w:val="nil"/>
            </w:tcBorders>
            <w:shd w:val="clear" w:color="auto" w:fill="auto"/>
            <w:vAlign w:val="center"/>
          </w:tcPr>
          <w:p w14:paraId="77FF1D03" w14:textId="5CF6B38A" w:rsidR="002C5A40" w:rsidRPr="00682116" w:rsidRDefault="002C5A40" w:rsidP="002C5A40">
            <w:pPr>
              <w:spacing w:after="0" w:line="240" w:lineRule="auto"/>
              <w:jc w:val="right"/>
              <w:rPr>
                <w:rFonts w:ascii="Calibri" w:hAnsi="Calibri"/>
                <w:color w:val="000000"/>
                <w:sz w:val="20"/>
                <w:szCs w:val="20"/>
              </w:rPr>
            </w:pPr>
            <w:r>
              <w:rPr>
                <w:rFonts w:ascii="Calibri" w:hAnsi="Calibri"/>
                <w:color w:val="000000"/>
                <w:sz w:val="20"/>
                <w:szCs w:val="20"/>
              </w:rPr>
              <w:t>-</w:t>
            </w:r>
          </w:p>
        </w:tc>
      </w:tr>
      <w:tr w:rsidR="002C5A40" w:rsidRPr="00647AB5" w14:paraId="7D7E8351" w14:textId="77777777" w:rsidTr="00312975">
        <w:trPr>
          <w:trHeight w:val="267"/>
        </w:trPr>
        <w:tc>
          <w:tcPr>
            <w:tcW w:w="5771" w:type="dxa"/>
            <w:tcBorders>
              <w:top w:val="nil"/>
              <w:left w:val="nil"/>
              <w:bottom w:val="nil"/>
              <w:right w:val="nil"/>
            </w:tcBorders>
            <w:shd w:val="clear" w:color="auto" w:fill="auto"/>
            <w:vAlign w:val="bottom"/>
            <w:hideMark/>
          </w:tcPr>
          <w:p w14:paraId="75A48EEE" w14:textId="77777777" w:rsidR="002C5A40" w:rsidRPr="002C12B4" w:rsidRDefault="002C5A40" w:rsidP="002C5A40">
            <w:pPr>
              <w:spacing w:after="0" w:line="240" w:lineRule="auto"/>
              <w:rPr>
                <w:rFonts w:ascii="Calibri" w:eastAsia="Times New Roman" w:hAnsi="Calibri" w:cs="Times New Roman"/>
                <w:color w:val="000000"/>
                <w:sz w:val="20"/>
                <w:szCs w:val="20"/>
                <w:lang w:eastAsia="hr-HR"/>
              </w:rPr>
            </w:pPr>
            <w:r w:rsidRPr="002C12B4">
              <w:rPr>
                <w:rFonts w:ascii="Calibri" w:eastAsia="Times New Roman" w:hAnsi="Calibri" w:cs="Times New Roman"/>
                <w:color w:val="000000"/>
                <w:sz w:val="20"/>
                <w:szCs w:val="20"/>
                <w:lang w:eastAsia="hr-HR"/>
              </w:rPr>
              <w:t>Ostale nespomenute neopozive potencijalne obveze</w:t>
            </w:r>
          </w:p>
        </w:tc>
        <w:tc>
          <w:tcPr>
            <w:tcW w:w="1766" w:type="dxa"/>
            <w:tcBorders>
              <w:top w:val="nil"/>
              <w:left w:val="nil"/>
              <w:bottom w:val="single" w:sz="6" w:space="0" w:color="auto"/>
              <w:right w:val="nil"/>
            </w:tcBorders>
            <w:shd w:val="clear" w:color="auto" w:fill="auto"/>
          </w:tcPr>
          <w:p w14:paraId="450C4981" w14:textId="4626519E" w:rsidR="002C5A40" w:rsidRPr="000E5941" w:rsidRDefault="008E7E9C" w:rsidP="002C5A40">
            <w:pPr>
              <w:spacing w:after="0" w:line="240" w:lineRule="auto"/>
              <w:jc w:val="right"/>
              <w:rPr>
                <w:rFonts w:ascii="Calibri" w:hAnsi="Calibri"/>
                <w:color w:val="000000"/>
                <w:sz w:val="20"/>
                <w:szCs w:val="20"/>
              </w:rPr>
            </w:pPr>
            <w:r w:rsidRPr="008E7E9C">
              <w:rPr>
                <w:rFonts w:ascii="Calibri" w:hAnsi="Calibri"/>
                <w:color w:val="000000"/>
                <w:sz w:val="20"/>
                <w:szCs w:val="20"/>
              </w:rPr>
              <w:t xml:space="preserve">           339 </w:t>
            </w:r>
          </w:p>
        </w:tc>
        <w:tc>
          <w:tcPr>
            <w:tcW w:w="1769" w:type="dxa"/>
            <w:tcBorders>
              <w:top w:val="nil"/>
              <w:left w:val="nil"/>
              <w:bottom w:val="nil"/>
              <w:right w:val="nil"/>
            </w:tcBorders>
            <w:shd w:val="clear" w:color="auto" w:fill="auto"/>
            <w:vAlign w:val="center"/>
          </w:tcPr>
          <w:p w14:paraId="036CBC40" w14:textId="4CD2C98F" w:rsidR="002C5A40" w:rsidRPr="00682116" w:rsidRDefault="002C5A40" w:rsidP="002C5A40">
            <w:pPr>
              <w:spacing w:after="0" w:line="240" w:lineRule="auto"/>
              <w:jc w:val="right"/>
              <w:rPr>
                <w:rFonts w:eastAsia="Times New Roman" w:cs="Arial"/>
                <w:color w:val="000000"/>
                <w:sz w:val="20"/>
                <w:szCs w:val="20"/>
                <w:lang w:eastAsia="hr-HR"/>
              </w:rPr>
            </w:pPr>
            <w:r w:rsidRPr="00682116">
              <w:rPr>
                <w:rFonts w:ascii="Calibri" w:hAnsi="Calibri"/>
                <w:color w:val="000000"/>
                <w:sz w:val="20"/>
                <w:szCs w:val="20"/>
              </w:rPr>
              <w:t xml:space="preserve">           339 </w:t>
            </w:r>
          </w:p>
        </w:tc>
      </w:tr>
      <w:tr w:rsidR="00B47C66" w:rsidRPr="00647AB5" w14:paraId="612197BD" w14:textId="77777777" w:rsidTr="00405AA6">
        <w:trPr>
          <w:trHeight w:val="319"/>
        </w:trPr>
        <w:tc>
          <w:tcPr>
            <w:tcW w:w="5771" w:type="dxa"/>
            <w:tcBorders>
              <w:top w:val="nil"/>
              <w:left w:val="nil"/>
              <w:bottom w:val="nil"/>
              <w:right w:val="nil"/>
            </w:tcBorders>
            <w:shd w:val="clear" w:color="auto" w:fill="auto"/>
            <w:vAlign w:val="bottom"/>
            <w:hideMark/>
          </w:tcPr>
          <w:p w14:paraId="7980B0BC" w14:textId="77777777" w:rsidR="00B47C66" w:rsidRPr="002C12B4" w:rsidRDefault="00B47C66" w:rsidP="00B47C66">
            <w:pPr>
              <w:spacing w:after="0" w:line="240" w:lineRule="auto"/>
              <w:rPr>
                <w:rFonts w:ascii="Calibri" w:eastAsia="Times New Roman" w:hAnsi="Calibri" w:cs="Times New Roman"/>
                <w:color w:val="000000"/>
                <w:sz w:val="20"/>
                <w:szCs w:val="20"/>
                <w:lang w:eastAsia="hr-HR"/>
              </w:rPr>
            </w:pPr>
          </w:p>
        </w:tc>
        <w:tc>
          <w:tcPr>
            <w:tcW w:w="1766" w:type="dxa"/>
            <w:tcBorders>
              <w:top w:val="single" w:sz="6" w:space="0" w:color="auto"/>
              <w:left w:val="nil"/>
              <w:bottom w:val="single" w:sz="6" w:space="0" w:color="auto"/>
              <w:right w:val="nil"/>
            </w:tcBorders>
            <w:shd w:val="clear" w:color="auto" w:fill="auto"/>
            <w:vAlign w:val="center"/>
          </w:tcPr>
          <w:p w14:paraId="5909154E" w14:textId="4715E76D" w:rsidR="00B47C66" w:rsidRPr="000E5941" w:rsidRDefault="002C5A40">
            <w:pPr>
              <w:spacing w:after="0" w:line="240" w:lineRule="auto"/>
              <w:jc w:val="right"/>
              <w:rPr>
                <w:rFonts w:ascii="Calibri" w:hAnsi="Calibri"/>
                <w:color w:val="000000"/>
                <w:sz w:val="20"/>
                <w:szCs w:val="20"/>
              </w:rPr>
            </w:pPr>
            <w:r w:rsidRPr="002C5A40">
              <w:rPr>
                <w:rFonts w:ascii="Calibri" w:hAnsi="Calibri"/>
                <w:color w:val="000000"/>
                <w:sz w:val="20"/>
                <w:szCs w:val="20"/>
              </w:rPr>
              <w:t>5.588.394</w:t>
            </w:r>
          </w:p>
        </w:tc>
        <w:tc>
          <w:tcPr>
            <w:tcW w:w="1769" w:type="dxa"/>
            <w:tcBorders>
              <w:top w:val="single" w:sz="6" w:space="0" w:color="auto"/>
              <w:left w:val="nil"/>
              <w:bottom w:val="single" w:sz="6" w:space="0" w:color="auto"/>
            </w:tcBorders>
            <w:vAlign w:val="center"/>
          </w:tcPr>
          <w:p w14:paraId="4C8338A9" w14:textId="3B4732B3" w:rsidR="00B47C66" w:rsidRPr="00682116" w:rsidRDefault="00682116" w:rsidP="00B47C66">
            <w:pPr>
              <w:spacing w:after="0" w:line="240" w:lineRule="auto"/>
              <w:jc w:val="right"/>
              <w:rPr>
                <w:rFonts w:eastAsia="Times New Roman" w:cs="Arial"/>
                <w:color w:val="000000"/>
                <w:sz w:val="20"/>
                <w:szCs w:val="20"/>
                <w:lang w:eastAsia="hr-HR"/>
              </w:rPr>
            </w:pPr>
            <w:r w:rsidRPr="00682116">
              <w:rPr>
                <w:rFonts w:eastAsia="Times New Roman" w:cs="Arial"/>
                <w:color w:val="000000"/>
                <w:sz w:val="20"/>
                <w:szCs w:val="20"/>
                <w:lang w:eastAsia="hr-HR"/>
              </w:rPr>
              <w:t>6.067.036</w:t>
            </w:r>
          </w:p>
        </w:tc>
      </w:tr>
      <w:tr w:rsidR="00B47C66" w:rsidRPr="00647AB5" w14:paraId="33FD04D3" w14:textId="77777777" w:rsidTr="00405AA6">
        <w:trPr>
          <w:trHeight w:val="319"/>
        </w:trPr>
        <w:tc>
          <w:tcPr>
            <w:tcW w:w="5771" w:type="dxa"/>
            <w:tcBorders>
              <w:top w:val="nil"/>
              <w:left w:val="nil"/>
              <w:bottom w:val="nil"/>
              <w:right w:val="nil"/>
            </w:tcBorders>
            <w:shd w:val="clear" w:color="auto" w:fill="auto"/>
            <w:vAlign w:val="bottom"/>
            <w:hideMark/>
          </w:tcPr>
          <w:p w14:paraId="60C72086" w14:textId="77777777" w:rsidR="00B47C66" w:rsidRPr="002C12B4" w:rsidRDefault="00B47C66" w:rsidP="00B47C66">
            <w:pPr>
              <w:spacing w:after="0" w:line="240" w:lineRule="auto"/>
              <w:rPr>
                <w:rFonts w:ascii="Calibri" w:eastAsia="Times New Roman" w:hAnsi="Calibri" w:cs="Times New Roman"/>
                <w:color w:val="000000"/>
                <w:sz w:val="20"/>
                <w:szCs w:val="20"/>
                <w:lang w:eastAsia="hr-HR"/>
              </w:rPr>
            </w:pPr>
            <w:r w:rsidRPr="002C12B4">
              <w:rPr>
                <w:rFonts w:ascii="Calibri" w:eastAsia="Times New Roman" w:hAnsi="Calibri" w:cs="Times New Roman"/>
                <w:color w:val="000000"/>
                <w:sz w:val="20"/>
                <w:szCs w:val="20"/>
                <w:lang w:eastAsia="hr-HR"/>
              </w:rPr>
              <w:t>Rezerviranja za garancije i preuzete obveze</w:t>
            </w:r>
          </w:p>
        </w:tc>
        <w:tc>
          <w:tcPr>
            <w:tcW w:w="1766" w:type="dxa"/>
            <w:tcBorders>
              <w:top w:val="single" w:sz="6" w:space="0" w:color="auto"/>
              <w:left w:val="nil"/>
              <w:bottom w:val="single" w:sz="6" w:space="0" w:color="auto"/>
              <w:right w:val="nil"/>
            </w:tcBorders>
            <w:shd w:val="clear" w:color="auto" w:fill="auto"/>
            <w:vAlign w:val="center"/>
          </w:tcPr>
          <w:p w14:paraId="52379FFA" w14:textId="2E5C26F3" w:rsidR="00B47C66" w:rsidRPr="000E5941" w:rsidRDefault="002C5A40" w:rsidP="00B47C66">
            <w:pPr>
              <w:spacing w:after="0" w:line="240" w:lineRule="auto"/>
              <w:jc w:val="right"/>
              <w:rPr>
                <w:rFonts w:ascii="Calibri" w:hAnsi="Calibri"/>
                <w:color w:val="000000"/>
                <w:sz w:val="20"/>
                <w:szCs w:val="20"/>
              </w:rPr>
            </w:pPr>
            <w:r w:rsidRPr="002C5A40">
              <w:rPr>
                <w:rFonts w:ascii="Calibri" w:hAnsi="Calibri"/>
                <w:color w:val="000000"/>
                <w:sz w:val="20"/>
                <w:szCs w:val="20"/>
              </w:rPr>
              <w:t>(66.457)</w:t>
            </w:r>
            <w:r w:rsidRPr="002C5A40" w:rsidDel="00822EBA">
              <w:rPr>
                <w:rFonts w:ascii="Calibri" w:hAnsi="Calibri"/>
                <w:color w:val="000000"/>
                <w:sz w:val="20"/>
                <w:szCs w:val="20"/>
              </w:rPr>
              <w:t xml:space="preserve"> </w:t>
            </w:r>
          </w:p>
        </w:tc>
        <w:tc>
          <w:tcPr>
            <w:tcW w:w="1769" w:type="dxa"/>
            <w:tcBorders>
              <w:top w:val="single" w:sz="6" w:space="0" w:color="auto"/>
              <w:left w:val="nil"/>
              <w:bottom w:val="single" w:sz="6" w:space="0" w:color="auto"/>
            </w:tcBorders>
            <w:vAlign w:val="center"/>
          </w:tcPr>
          <w:p w14:paraId="3B0117DB" w14:textId="765A0443" w:rsidR="00B47C66" w:rsidRPr="00682116" w:rsidRDefault="00682116" w:rsidP="00B47C66">
            <w:pPr>
              <w:spacing w:after="0" w:line="240" w:lineRule="auto"/>
              <w:jc w:val="right"/>
              <w:rPr>
                <w:rFonts w:eastAsia="Times New Roman" w:cs="Arial"/>
                <w:color w:val="000000"/>
                <w:sz w:val="20"/>
                <w:szCs w:val="20"/>
                <w:lang w:eastAsia="hr-HR"/>
              </w:rPr>
            </w:pPr>
            <w:r w:rsidRPr="00682116">
              <w:rPr>
                <w:rFonts w:eastAsia="Times New Roman" w:cs="Arial"/>
                <w:color w:val="000000"/>
                <w:sz w:val="20"/>
                <w:szCs w:val="20"/>
                <w:lang w:eastAsia="hr-HR"/>
              </w:rPr>
              <w:t>(75.103)</w:t>
            </w:r>
          </w:p>
        </w:tc>
      </w:tr>
      <w:tr w:rsidR="00B47C66" w:rsidRPr="00647AB5" w14:paraId="6407E738" w14:textId="77777777" w:rsidTr="00405AA6">
        <w:trPr>
          <w:trHeight w:val="319"/>
        </w:trPr>
        <w:tc>
          <w:tcPr>
            <w:tcW w:w="5771" w:type="dxa"/>
            <w:tcBorders>
              <w:top w:val="nil"/>
              <w:left w:val="nil"/>
              <w:bottom w:val="nil"/>
              <w:right w:val="nil"/>
            </w:tcBorders>
            <w:shd w:val="clear" w:color="auto" w:fill="auto"/>
            <w:vAlign w:val="center"/>
            <w:hideMark/>
          </w:tcPr>
          <w:p w14:paraId="0CAEEB72" w14:textId="77777777" w:rsidR="00B47C66" w:rsidRPr="002C12B4" w:rsidRDefault="00B47C66" w:rsidP="00B47C66">
            <w:pPr>
              <w:spacing w:after="0" w:line="240" w:lineRule="auto"/>
              <w:rPr>
                <w:rFonts w:ascii="Calibri" w:eastAsia="Times New Roman" w:hAnsi="Calibri" w:cs="Times New Roman"/>
                <w:b/>
                <w:bCs/>
                <w:color w:val="000000"/>
                <w:sz w:val="20"/>
                <w:szCs w:val="20"/>
                <w:lang w:eastAsia="hr-HR"/>
              </w:rPr>
            </w:pPr>
          </w:p>
        </w:tc>
        <w:tc>
          <w:tcPr>
            <w:tcW w:w="1766" w:type="dxa"/>
            <w:tcBorders>
              <w:top w:val="single" w:sz="6" w:space="0" w:color="auto"/>
              <w:left w:val="nil"/>
              <w:bottom w:val="single" w:sz="12" w:space="0" w:color="auto"/>
              <w:right w:val="nil"/>
            </w:tcBorders>
            <w:shd w:val="clear" w:color="auto" w:fill="auto"/>
            <w:vAlign w:val="center"/>
          </w:tcPr>
          <w:p w14:paraId="2D8B3142" w14:textId="204F16C4" w:rsidR="00B47C66" w:rsidRPr="000E5941" w:rsidRDefault="002C5A40" w:rsidP="00B47C66">
            <w:pPr>
              <w:spacing w:after="0" w:line="240" w:lineRule="auto"/>
              <w:jc w:val="right"/>
              <w:rPr>
                <w:rFonts w:ascii="Calibri" w:hAnsi="Calibri"/>
                <w:b/>
                <w:color w:val="000000"/>
                <w:sz w:val="20"/>
                <w:szCs w:val="20"/>
              </w:rPr>
            </w:pPr>
            <w:r w:rsidRPr="002C5A40">
              <w:rPr>
                <w:rFonts w:ascii="Calibri" w:hAnsi="Calibri"/>
                <w:b/>
                <w:color w:val="000000"/>
                <w:sz w:val="20"/>
                <w:szCs w:val="20"/>
              </w:rPr>
              <w:t>5.521.937</w:t>
            </w:r>
          </w:p>
        </w:tc>
        <w:tc>
          <w:tcPr>
            <w:tcW w:w="1769" w:type="dxa"/>
            <w:tcBorders>
              <w:top w:val="single" w:sz="6" w:space="0" w:color="auto"/>
              <w:left w:val="nil"/>
              <w:bottom w:val="single" w:sz="12" w:space="0" w:color="auto"/>
            </w:tcBorders>
            <w:vAlign w:val="center"/>
          </w:tcPr>
          <w:p w14:paraId="4FED7755" w14:textId="79E1DEB6" w:rsidR="00B47C66" w:rsidRPr="00682116" w:rsidRDefault="00682116" w:rsidP="00B47C66">
            <w:pPr>
              <w:spacing w:after="0" w:line="240" w:lineRule="auto"/>
              <w:jc w:val="right"/>
              <w:rPr>
                <w:rFonts w:eastAsia="Times New Roman" w:cs="Arial"/>
                <w:b/>
                <w:color w:val="000000"/>
                <w:sz w:val="20"/>
                <w:szCs w:val="20"/>
                <w:lang w:eastAsia="hr-HR"/>
              </w:rPr>
            </w:pPr>
            <w:r w:rsidRPr="00682116">
              <w:rPr>
                <w:rFonts w:eastAsia="Times New Roman" w:cs="Arial"/>
                <w:b/>
                <w:color w:val="000000"/>
                <w:sz w:val="20"/>
                <w:szCs w:val="20"/>
                <w:lang w:eastAsia="hr-HR"/>
              </w:rPr>
              <w:t>5.991.933</w:t>
            </w:r>
          </w:p>
        </w:tc>
      </w:tr>
    </w:tbl>
    <w:p w14:paraId="1E3E4C67" w14:textId="77777777" w:rsidR="004448D6" w:rsidRDefault="004448D6" w:rsidP="00682ABB">
      <w:pPr>
        <w:pStyle w:val="T1"/>
        <w:keepNext w:val="0"/>
        <w:spacing w:line="240" w:lineRule="auto"/>
        <w:rPr>
          <w:rFonts w:asciiTheme="minorHAnsi" w:hAnsiTheme="minorHAnsi" w:cs="Arial"/>
          <w:b w:val="0"/>
          <w:bCs w:val="0"/>
          <w:sz w:val="22"/>
          <w:szCs w:val="22"/>
          <w:lang w:val="hr-HR"/>
        </w:rPr>
      </w:pPr>
      <w:r w:rsidRPr="004448D6">
        <w:rPr>
          <w:rFonts w:asciiTheme="minorHAnsi" w:hAnsiTheme="minorHAnsi" w:cs="Arial"/>
          <w:b w:val="0"/>
          <w:bCs w:val="0"/>
          <w:sz w:val="22"/>
          <w:szCs w:val="22"/>
          <w:lang w:val="hr-HR"/>
        </w:rPr>
        <w:t>Garancije</w:t>
      </w:r>
    </w:p>
    <w:p w14:paraId="5705C4F6" w14:textId="77777777" w:rsidR="004448D6" w:rsidRDefault="004448D6" w:rsidP="00682ABB">
      <w:pPr>
        <w:pStyle w:val="T1"/>
        <w:keepNext w:val="0"/>
        <w:spacing w:before="120" w:line="240" w:lineRule="auto"/>
        <w:rPr>
          <w:rFonts w:asciiTheme="minorHAnsi" w:hAnsiTheme="minorHAnsi" w:cs="Arial"/>
          <w:b w:val="0"/>
          <w:bCs w:val="0"/>
          <w:sz w:val="22"/>
          <w:szCs w:val="22"/>
          <w:lang w:val="hr-HR"/>
        </w:rPr>
      </w:pPr>
      <w:r w:rsidRPr="004448D6">
        <w:rPr>
          <w:rFonts w:asciiTheme="minorHAnsi" w:hAnsiTheme="minorHAnsi" w:cs="Arial"/>
          <w:b w:val="0"/>
          <w:bCs w:val="0"/>
          <w:sz w:val="22"/>
          <w:szCs w:val="22"/>
          <w:lang w:val="hr-HR"/>
        </w:rPr>
        <w:t xml:space="preserve">Garancije i akreditivi predstavljaju obvezu Banke da izvrši plaćanja u ime klijenta u slučaju nemogućnosti klijenta da podmiri svoje obveze prema trećim stranama ili u slučaju nastanka određenih događaja, obično vezanih za izvoz i/ili uvoz dobara te za ostale ugovorene svrhe. Garancije i akreditivi nose isti kreditni rizik kao i krediti. </w:t>
      </w:r>
    </w:p>
    <w:p w14:paraId="1361FE64" w14:textId="611572C2" w:rsidR="004448D6" w:rsidRPr="003740CC" w:rsidRDefault="00E30952" w:rsidP="00682ABB">
      <w:pPr>
        <w:pStyle w:val="T1"/>
        <w:spacing w:before="120" w:line="240" w:lineRule="auto"/>
        <w:rPr>
          <w:rFonts w:asciiTheme="minorHAnsi" w:hAnsiTheme="minorHAnsi" w:cs="Arial"/>
          <w:b w:val="0"/>
          <w:bCs w:val="0"/>
          <w:sz w:val="22"/>
          <w:szCs w:val="22"/>
          <w:lang w:val="hr-HR"/>
        </w:rPr>
      </w:pPr>
      <w:r>
        <w:rPr>
          <w:rFonts w:asciiTheme="minorHAnsi" w:hAnsiTheme="minorHAnsi" w:cs="Arial"/>
          <w:b w:val="0"/>
          <w:bCs w:val="0"/>
          <w:sz w:val="22"/>
          <w:szCs w:val="22"/>
          <w:lang w:val="hr-HR"/>
        </w:rPr>
        <w:t xml:space="preserve">Garancije </w:t>
      </w:r>
      <w:r w:rsidRPr="00F43AB6">
        <w:rPr>
          <w:rFonts w:asciiTheme="minorHAnsi" w:hAnsiTheme="minorHAnsi" w:cs="Arial"/>
          <w:b w:val="0"/>
          <w:bCs w:val="0"/>
          <w:sz w:val="22"/>
          <w:szCs w:val="22"/>
          <w:lang w:val="hr-HR"/>
        </w:rPr>
        <w:t xml:space="preserve">Banke </w:t>
      </w:r>
      <w:r w:rsidRPr="0093087C">
        <w:rPr>
          <w:rFonts w:asciiTheme="minorHAnsi" w:hAnsiTheme="minorHAnsi" w:cs="Arial"/>
          <w:b w:val="0"/>
          <w:bCs w:val="0"/>
          <w:sz w:val="22"/>
          <w:szCs w:val="22"/>
          <w:lang w:val="hr-HR"/>
        </w:rPr>
        <w:t xml:space="preserve">su </w:t>
      </w:r>
      <w:r w:rsidR="00D53A0F">
        <w:rPr>
          <w:rFonts w:asciiTheme="minorHAnsi" w:hAnsiTheme="minorHAnsi" w:cs="Arial"/>
          <w:b w:val="0"/>
          <w:bCs w:val="0"/>
          <w:sz w:val="22"/>
          <w:szCs w:val="22"/>
          <w:lang w:val="hr-HR"/>
        </w:rPr>
        <w:t>84</w:t>
      </w:r>
      <w:r w:rsidRPr="000E5941">
        <w:rPr>
          <w:rFonts w:asciiTheme="minorHAnsi" w:hAnsiTheme="minorHAnsi" w:cs="Arial"/>
          <w:b w:val="0"/>
          <w:bCs w:val="0"/>
          <w:sz w:val="22"/>
          <w:szCs w:val="22"/>
          <w:lang w:val="hr-HR"/>
        </w:rPr>
        <w:t>%</w:t>
      </w:r>
      <w:r w:rsidRPr="00F43AB6">
        <w:rPr>
          <w:rFonts w:asciiTheme="minorHAnsi" w:hAnsiTheme="minorHAnsi" w:cs="Arial"/>
          <w:b w:val="0"/>
          <w:bCs w:val="0"/>
          <w:sz w:val="22"/>
          <w:szCs w:val="22"/>
          <w:lang w:val="hr-HR"/>
        </w:rPr>
        <w:t xml:space="preserve"> pokrivene</w:t>
      </w:r>
      <w:r>
        <w:rPr>
          <w:rFonts w:asciiTheme="minorHAnsi" w:hAnsiTheme="minorHAnsi" w:cs="Arial"/>
          <w:b w:val="0"/>
          <w:bCs w:val="0"/>
          <w:sz w:val="22"/>
          <w:szCs w:val="22"/>
          <w:lang w:val="hr-HR"/>
        </w:rPr>
        <w:t xml:space="preserve"> </w:t>
      </w:r>
      <w:r w:rsidR="004448D6" w:rsidRPr="003740CC">
        <w:rPr>
          <w:rFonts w:asciiTheme="minorHAnsi" w:hAnsiTheme="minorHAnsi" w:cs="Arial"/>
          <w:b w:val="0"/>
          <w:bCs w:val="0"/>
          <w:sz w:val="22"/>
          <w:szCs w:val="22"/>
          <w:lang w:val="hr-HR"/>
        </w:rPr>
        <w:t>jamstvima</w:t>
      </w:r>
      <w:r w:rsidR="009C3C12">
        <w:rPr>
          <w:rFonts w:asciiTheme="minorHAnsi" w:hAnsiTheme="minorHAnsi" w:cs="Arial"/>
          <w:b w:val="0"/>
          <w:bCs w:val="0"/>
          <w:sz w:val="22"/>
          <w:szCs w:val="22"/>
          <w:lang w:val="hr-HR"/>
        </w:rPr>
        <w:t xml:space="preserve">, </w:t>
      </w:r>
      <w:r w:rsidR="004448D6" w:rsidRPr="003740CC">
        <w:rPr>
          <w:rFonts w:asciiTheme="minorHAnsi" w:hAnsiTheme="minorHAnsi" w:cs="Arial"/>
          <w:b w:val="0"/>
          <w:bCs w:val="0"/>
          <w:sz w:val="22"/>
          <w:szCs w:val="22"/>
          <w:lang w:val="hr-HR"/>
        </w:rPr>
        <w:t xml:space="preserve">depozitima </w:t>
      </w:r>
      <w:r w:rsidR="009C3C12">
        <w:rPr>
          <w:rFonts w:asciiTheme="minorHAnsi" w:hAnsiTheme="minorHAnsi" w:cs="Arial"/>
          <w:b w:val="0"/>
          <w:bCs w:val="0"/>
          <w:sz w:val="22"/>
          <w:szCs w:val="22"/>
          <w:lang w:val="hr-HR"/>
        </w:rPr>
        <w:t>i bankarskim garancijama</w:t>
      </w:r>
      <w:r w:rsidR="00425975">
        <w:rPr>
          <w:rFonts w:asciiTheme="minorHAnsi" w:hAnsiTheme="minorHAnsi" w:cs="Arial"/>
          <w:b w:val="0"/>
          <w:bCs w:val="0"/>
          <w:sz w:val="22"/>
          <w:szCs w:val="22"/>
          <w:lang w:val="hr-HR"/>
        </w:rPr>
        <w:t>.</w:t>
      </w:r>
      <w:r w:rsidR="009C3C12">
        <w:rPr>
          <w:rFonts w:asciiTheme="minorHAnsi" w:hAnsiTheme="minorHAnsi" w:cs="Arial"/>
          <w:b w:val="0"/>
          <w:bCs w:val="0"/>
          <w:sz w:val="22"/>
          <w:szCs w:val="22"/>
          <w:lang w:val="hr-HR"/>
        </w:rPr>
        <w:t xml:space="preserve"> </w:t>
      </w:r>
      <w:proofErr w:type="spellStart"/>
      <w:r w:rsidR="00CB56D1">
        <w:rPr>
          <w:rFonts w:asciiTheme="minorHAnsi" w:hAnsiTheme="minorHAnsi" w:cs="Arial"/>
          <w:b w:val="0"/>
          <w:bCs w:val="0"/>
          <w:sz w:val="22"/>
          <w:szCs w:val="22"/>
          <w:lang w:val="hr-HR"/>
        </w:rPr>
        <w:t>Akrediti</w:t>
      </w:r>
      <w:proofErr w:type="spellEnd"/>
      <w:r w:rsidR="00CB56D1">
        <w:rPr>
          <w:rFonts w:asciiTheme="minorHAnsi" w:hAnsiTheme="minorHAnsi" w:cs="Arial"/>
          <w:b w:val="0"/>
          <w:bCs w:val="0"/>
          <w:sz w:val="22"/>
          <w:szCs w:val="22"/>
          <w:lang w:val="hr-HR"/>
        </w:rPr>
        <w:t xml:space="preserve"> su u cijelosti pokriveni depozitima.</w:t>
      </w:r>
    </w:p>
    <w:p w14:paraId="316900D2" w14:textId="77777777" w:rsidR="004448D6" w:rsidRDefault="004448D6" w:rsidP="00682ABB">
      <w:pPr>
        <w:pStyle w:val="T1"/>
        <w:keepNext w:val="0"/>
        <w:spacing w:before="120" w:line="240" w:lineRule="auto"/>
        <w:rPr>
          <w:rFonts w:asciiTheme="minorHAnsi" w:hAnsiTheme="minorHAnsi" w:cs="Arial"/>
          <w:b w:val="0"/>
          <w:bCs w:val="0"/>
          <w:sz w:val="22"/>
          <w:szCs w:val="22"/>
          <w:lang w:val="hr-HR"/>
        </w:rPr>
      </w:pPr>
      <w:r w:rsidRPr="003740CC">
        <w:rPr>
          <w:rFonts w:asciiTheme="minorHAnsi" w:hAnsiTheme="minorHAnsi" w:cs="Arial"/>
          <w:b w:val="0"/>
          <w:bCs w:val="0"/>
          <w:sz w:val="22"/>
          <w:szCs w:val="22"/>
          <w:lang w:val="hr-HR"/>
        </w:rPr>
        <w:t>Preuzete obveze</w:t>
      </w:r>
      <w:r w:rsidRPr="004448D6">
        <w:rPr>
          <w:rFonts w:asciiTheme="minorHAnsi" w:hAnsiTheme="minorHAnsi" w:cs="Arial"/>
          <w:b w:val="0"/>
          <w:bCs w:val="0"/>
          <w:sz w:val="22"/>
          <w:szCs w:val="22"/>
          <w:lang w:val="hr-HR"/>
        </w:rPr>
        <w:t xml:space="preserve"> po kreditima</w:t>
      </w:r>
    </w:p>
    <w:p w14:paraId="24513E80" w14:textId="77777777" w:rsidR="004448D6" w:rsidRDefault="004448D6" w:rsidP="00682ABB">
      <w:pPr>
        <w:pStyle w:val="T1"/>
        <w:keepNext w:val="0"/>
        <w:spacing w:before="120" w:line="240" w:lineRule="auto"/>
        <w:rPr>
          <w:rFonts w:asciiTheme="minorHAnsi" w:hAnsiTheme="minorHAnsi" w:cs="Arial"/>
          <w:b w:val="0"/>
          <w:bCs w:val="0"/>
          <w:sz w:val="22"/>
          <w:szCs w:val="22"/>
          <w:lang w:val="hr-HR"/>
        </w:rPr>
      </w:pPr>
      <w:r w:rsidRPr="004448D6">
        <w:rPr>
          <w:rFonts w:asciiTheme="minorHAnsi" w:hAnsiTheme="minorHAnsi" w:cs="Arial"/>
          <w:b w:val="0"/>
          <w:bCs w:val="0"/>
          <w:sz w:val="22"/>
          <w:szCs w:val="22"/>
          <w:lang w:val="hr-HR"/>
        </w:rPr>
        <w:t xml:space="preserve">Po ugovorenim neiskorištenim kreditima, Banka je preuzela ugovornu obvezu za isplatom sredstava kredita i </w:t>
      </w:r>
      <w:proofErr w:type="spellStart"/>
      <w:r w:rsidRPr="004448D6">
        <w:rPr>
          <w:rFonts w:asciiTheme="minorHAnsi" w:hAnsiTheme="minorHAnsi" w:cs="Arial"/>
          <w:b w:val="0"/>
          <w:bCs w:val="0"/>
          <w:sz w:val="22"/>
          <w:szCs w:val="22"/>
          <w:lang w:val="hr-HR"/>
        </w:rPr>
        <w:t>revolving</w:t>
      </w:r>
      <w:proofErr w:type="spellEnd"/>
      <w:r w:rsidRPr="004448D6">
        <w:rPr>
          <w:rFonts w:asciiTheme="minorHAnsi" w:hAnsiTheme="minorHAnsi" w:cs="Arial"/>
          <w:b w:val="0"/>
          <w:bCs w:val="0"/>
          <w:sz w:val="22"/>
          <w:szCs w:val="22"/>
          <w:lang w:val="hr-HR"/>
        </w:rPr>
        <w:t xml:space="preserve"> kredita. Ugovorom je najčešće definiran krajnji datum korištenja kredita ili je navedena druga klauzula prestanka obveze. Korištenje ugovorenih sredstava obavlja se u nekoliko povlačenja u ovisnosti o namjeni korištenja, fazi projekta ili isplatnoj dokumentaciji. Ukupni ugovoreni iznos kredita ne mora biti povučen zbog čega ukupan ugovoreni iznos ne predstavlja nužno buduće zahtjeve za isplatom.</w:t>
      </w:r>
    </w:p>
    <w:p w14:paraId="5BD76F8B" w14:textId="77777777" w:rsidR="004448D6" w:rsidRDefault="004448D6" w:rsidP="00682ABB">
      <w:pPr>
        <w:pStyle w:val="T1"/>
        <w:spacing w:before="120" w:line="240" w:lineRule="auto"/>
        <w:rPr>
          <w:lang w:eastAsia="hr-HR"/>
        </w:rPr>
      </w:pPr>
      <w:r w:rsidRPr="004448D6">
        <w:rPr>
          <w:rFonts w:asciiTheme="minorHAnsi" w:hAnsiTheme="minorHAnsi" w:cs="Arial"/>
          <w:b w:val="0"/>
          <w:bCs w:val="0"/>
          <w:sz w:val="22"/>
          <w:szCs w:val="22"/>
          <w:lang w:val="hr-HR"/>
        </w:rPr>
        <w:t xml:space="preserve">Ugovoreni neiskorišteni krediti sadrže manji potencijalni kreditni rizik jer većina preuzetih obveza po kreditima ovisi o udovoljavanju posebnih kreditnih uvjeta za povlačenje sredstava od strane korisnika. Banka prati rokove dospijeća ugovorenih preuzetih obveza.  </w:t>
      </w:r>
    </w:p>
    <w:p w14:paraId="72DF066D" w14:textId="77777777" w:rsidR="004448D6" w:rsidRPr="004448D6" w:rsidRDefault="004448D6" w:rsidP="00682ABB">
      <w:pPr>
        <w:spacing w:before="120" w:after="120" w:line="240" w:lineRule="auto"/>
        <w:jc w:val="both"/>
        <w:rPr>
          <w:rFonts w:eastAsia="Times New Roman" w:cs="Calibri"/>
          <w:lang w:eastAsia="hr-HR"/>
        </w:rPr>
      </w:pPr>
      <w:r w:rsidRPr="004448D6">
        <w:rPr>
          <w:rFonts w:eastAsia="Times New Roman" w:cs="Calibri"/>
          <w:lang w:eastAsia="hr-HR"/>
        </w:rPr>
        <w:t>Ostale nespomenute neopozive potencijalne obveze</w:t>
      </w:r>
    </w:p>
    <w:p w14:paraId="7106891E" w14:textId="77777777" w:rsidR="004448D6" w:rsidRDefault="004448D6" w:rsidP="00682ABB">
      <w:pPr>
        <w:spacing w:before="120" w:after="120" w:line="240" w:lineRule="auto"/>
        <w:jc w:val="both"/>
        <w:rPr>
          <w:rFonts w:eastAsia="Times New Roman" w:cs="Calibri"/>
          <w:lang w:eastAsia="hr-HR"/>
        </w:rPr>
      </w:pPr>
      <w:r>
        <w:rPr>
          <w:rFonts w:eastAsia="Times New Roman" w:cs="Calibri"/>
          <w:lang w:eastAsia="hr-HR"/>
        </w:rPr>
        <w:t>Ostale nespomenute neopozive potencijalne obveze odnose se na obvezu HBOR-a</w:t>
      </w:r>
      <w:r w:rsidR="00B1432E">
        <w:rPr>
          <w:rFonts w:eastAsia="Times New Roman" w:cs="Calibri"/>
          <w:lang w:eastAsia="hr-HR"/>
        </w:rPr>
        <w:t xml:space="preserve"> temeljem Sporazuma zaključenog 24. siječnja 2014. godine sa HBOR – Osiguranjem izvoza</w:t>
      </w:r>
      <w:r w:rsidR="00452A47">
        <w:rPr>
          <w:rFonts w:eastAsia="Times New Roman" w:cs="Calibri"/>
          <w:lang w:eastAsia="hr-HR"/>
        </w:rPr>
        <w:t>,</w:t>
      </w:r>
      <w:r w:rsidR="00B1432E">
        <w:rPr>
          <w:rFonts w:eastAsia="Times New Roman" w:cs="Calibri"/>
          <w:lang w:eastAsia="hr-HR"/>
        </w:rPr>
        <w:t xml:space="preserve"> koji obavlja poslove u ime i za račun Republike Hrvatske. HBOR će temeljem ovog Sporazuma u slučaju </w:t>
      </w:r>
      <w:r w:rsidR="00907DAC">
        <w:rPr>
          <w:rFonts w:eastAsia="Times New Roman" w:cs="Calibri"/>
          <w:lang w:eastAsia="hr-HR"/>
        </w:rPr>
        <w:t>unovčenj</w:t>
      </w:r>
      <w:r w:rsidR="00B1432E">
        <w:rPr>
          <w:rFonts w:eastAsia="Times New Roman" w:cs="Calibri"/>
          <w:lang w:eastAsia="hr-HR"/>
        </w:rPr>
        <w:t>a</w:t>
      </w:r>
      <w:r w:rsidR="00452A47">
        <w:rPr>
          <w:rFonts w:eastAsia="Times New Roman" w:cs="Calibri"/>
          <w:lang w:eastAsia="hr-HR"/>
        </w:rPr>
        <w:t xml:space="preserve"> preuzete</w:t>
      </w:r>
      <w:r w:rsidR="00907DAC">
        <w:rPr>
          <w:rFonts w:eastAsia="Times New Roman" w:cs="Calibri"/>
          <w:lang w:eastAsia="hr-HR"/>
        </w:rPr>
        <w:t xml:space="preserve"> nekretnine</w:t>
      </w:r>
      <w:r w:rsidR="00452A47">
        <w:rPr>
          <w:rFonts w:eastAsia="Times New Roman" w:cs="Calibri"/>
          <w:lang w:eastAsia="hr-HR"/>
        </w:rPr>
        <w:t xml:space="preserve"> </w:t>
      </w:r>
      <w:r w:rsidR="00907DAC">
        <w:rPr>
          <w:rFonts w:eastAsia="Times New Roman" w:cs="Calibri"/>
          <w:lang w:eastAsia="hr-HR"/>
        </w:rPr>
        <w:t xml:space="preserve">te po </w:t>
      </w:r>
      <w:r w:rsidR="00B1432E">
        <w:rPr>
          <w:rFonts w:eastAsia="Times New Roman" w:cs="Calibri"/>
          <w:lang w:eastAsia="hr-HR"/>
        </w:rPr>
        <w:t xml:space="preserve">regresnoj </w:t>
      </w:r>
      <w:r w:rsidR="00907DAC">
        <w:rPr>
          <w:rFonts w:eastAsia="Times New Roman" w:cs="Calibri"/>
          <w:lang w:eastAsia="hr-HR"/>
        </w:rPr>
        <w:t>naplati</w:t>
      </w:r>
      <w:r w:rsidR="005B2E27" w:rsidRPr="005B2E27">
        <w:rPr>
          <w:rFonts w:eastAsia="Times New Roman" w:cs="Calibri"/>
          <w:lang w:eastAsia="hr-HR"/>
        </w:rPr>
        <w:t xml:space="preserve"> </w:t>
      </w:r>
      <w:r w:rsidR="005B2E27">
        <w:rPr>
          <w:rFonts w:eastAsia="Times New Roman" w:cs="Calibri"/>
          <w:lang w:eastAsia="hr-HR"/>
        </w:rPr>
        <w:t xml:space="preserve">dužnika u </w:t>
      </w:r>
      <w:proofErr w:type="spellStart"/>
      <w:r w:rsidR="005B2E27">
        <w:rPr>
          <w:rFonts w:eastAsia="Times New Roman" w:cs="Calibri"/>
          <w:lang w:eastAsia="hr-HR"/>
        </w:rPr>
        <w:t>predstečajnoj</w:t>
      </w:r>
      <w:proofErr w:type="spellEnd"/>
      <w:r w:rsidR="005B2E27">
        <w:rPr>
          <w:rFonts w:eastAsia="Times New Roman" w:cs="Calibri"/>
          <w:lang w:eastAsia="hr-HR"/>
        </w:rPr>
        <w:t xml:space="preserve"> nagodbi</w:t>
      </w:r>
      <w:r w:rsidR="00B1432E">
        <w:rPr>
          <w:rFonts w:eastAsia="Times New Roman" w:cs="Calibri"/>
          <w:lang w:eastAsia="hr-HR"/>
        </w:rPr>
        <w:t>, uz ispunjenje određenih uvjeta,</w:t>
      </w:r>
      <w:r w:rsidR="00907DAC">
        <w:rPr>
          <w:rFonts w:eastAsia="Times New Roman" w:cs="Calibri"/>
          <w:lang w:eastAsia="hr-HR"/>
        </w:rPr>
        <w:t xml:space="preserve"> uplati</w:t>
      </w:r>
      <w:r w:rsidR="00B1432E">
        <w:rPr>
          <w:rFonts w:eastAsia="Times New Roman" w:cs="Calibri"/>
          <w:lang w:eastAsia="hr-HR"/>
        </w:rPr>
        <w:t>ti</w:t>
      </w:r>
      <w:r w:rsidR="00907DAC">
        <w:rPr>
          <w:rFonts w:eastAsia="Times New Roman" w:cs="Calibri"/>
          <w:lang w:eastAsia="hr-HR"/>
        </w:rPr>
        <w:t xml:space="preserve"> </w:t>
      </w:r>
      <w:r w:rsidR="00B1432E">
        <w:rPr>
          <w:rFonts w:eastAsia="Times New Roman" w:cs="Calibri"/>
          <w:lang w:eastAsia="hr-HR"/>
        </w:rPr>
        <w:t>naplaćena sr</w:t>
      </w:r>
      <w:r w:rsidR="00907DAC">
        <w:rPr>
          <w:rFonts w:eastAsia="Times New Roman" w:cs="Calibri"/>
          <w:lang w:eastAsia="hr-HR"/>
        </w:rPr>
        <w:t xml:space="preserve">edstva u Garantni fond </w:t>
      </w:r>
      <w:r w:rsidR="00B1432E">
        <w:rPr>
          <w:rFonts w:eastAsia="Times New Roman" w:cs="Calibri"/>
          <w:lang w:eastAsia="hr-HR"/>
        </w:rPr>
        <w:t>Osiguranja izvoza.</w:t>
      </w:r>
    </w:p>
    <w:p w14:paraId="22C7381D" w14:textId="77777777" w:rsidR="004448D6" w:rsidRPr="004448D6" w:rsidRDefault="004448D6" w:rsidP="00682ABB">
      <w:pPr>
        <w:spacing w:before="120" w:after="120" w:line="240" w:lineRule="auto"/>
        <w:jc w:val="both"/>
        <w:rPr>
          <w:rFonts w:eastAsia="Times New Roman" w:cs="Calibri"/>
          <w:lang w:eastAsia="hr-HR"/>
        </w:rPr>
        <w:sectPr w:rsidR="004448D6" w:rsidRPr="004448D6" w:rsidSect="00000EB5">
          <w:footerReference w:type="default" r:id="rId78"/>
          <w:footerReference w:type="first" r:id="rId79"/>
          <w:pgSz w:w="11906" w:h="16838" w:code="9"/>
          <w:pgMar w:top="1418" w:right="1418" w:bottom="595" w:left="1134" w:header="709" w:footer="709" w:gutter="0"/>
          <w:cols w:space="708"/>
          <w:titlePg/>
          <w:docGrid w:linePitch="360"/>
        </w:sectPr>
      </w:pPr>
    </w:p>
    <w:p w14:paraId="4FC07FE2" w14:textId="77777777" w:rsidR="00B75A03" w:rsidRDefault="00B75A03" w:rsidP="003A63DB">
      <w:pPr>
        <w:tabs>
          <w:tab w:val="left" w:pos="567"/>
          <w:tab w:val="left" w:pos="709"/>
        </w:tabs>
        <w:spacing w:after="0" w:line="240" w:lineRule="auto"/>
        <w:jc w:val="both"/>
        <w:rPr>
          <w:rFonts w:eastAsia="Times New Roman" w:cs="Arial"/>
          <w:b/>
        </w:rPr>
      </w:pPr>
    </w:p>
    <w:p w14:paraId="26F6E8A8" w14:textId="77777777" w:rsidR="003A63DB" w:rsidRPr="003A63DB" w:rsidRDefault="003A63DB" w:rsidP="00803DA8">
      <w:pPr>
        <w:tabs>
          <w:tab w:val="left" w:pos="567"/>
          <w:tab w:val="left" w:pos="709"/>
        </w:tabs>
        <w:spacing w:after="0" w:line="240" w:lineRule="auto"/>
        <w:jc w:val="both"/>
        <w:rPr>
          <w:rFonts w:eastAsia="Times New Roman" w:cs="Arial"/>
          <w:b/>
        </w:rPr>
      </w:pPr>
      <w:r w:rsidRPr="003A63DB">
        <w:rPr>
          <w:rFonts w:eastAsia="Times New Roman" w:cs="Arial"/>
          <w:b/>
        </w:rPr>
        <w:t>1</w:t>
      </w:r>
      <w:r w:rsidR="00803DA8">
        <w:rPr>
          <w:rFonts w:eastAsia="Times New Roman" w:cs="Arial"/>
          <w:b/>
        </w:rPr>
        <w:t>5</w:t>
      </w:r>
      <w:r w:rsidRPr="003A63DB">
        <w:rPr>
          <w:rFonts w:eastAsia="Times New Roman" w:cs="Arial"/>
          <w:b/>
        </w:rPr>
        <w:t xml:space="preserve">. </w:t>
      </w:r>
      <w:r w:rsidRPr="003A63DB">
        <w:rPr>
          <w:rFonts w:eastAsia="Times New Roman" w:cs="Arial"/>
          <w:b/>
        </w:rPr>
        <w:tab/>
        <w:t>Transakcije s povezanim stranama</w:t>
      </w:r>
    </w:p>
    <w:p w14:paraId="6948298E" w14:textId="77777777" w:rsidR="003A63DB" w:rsidRPr="003A63DB" w:rsidRDefault="003A63DB" w:rsidP="003A63DB">
      <w:pPr>
        <w:tabs>
          <w:tab w:val="left" w:pos="567"/>
          <w:tab w:val="left" w:pos="709"/>
        </w:tabs>
        <w:spacing w:after="0" w:line="240" w:lineRule="auto"/>
        <w:jc w:val="both"/>
        <w:rPr>
          <w:rFonts w:eastAsia="Times New Roman" w:cs="Arial"/>
          <w:b/>
        </w:rPr>
      </w:pPr>
    </w:p>
    <w:p w14:paraId="106F1317" w14:textId="77777777" w:rsidR="003A63DB" w:rsidRPr="003A63DB" w:rsidRDefault="003A63DB" w:rsidP="003A63DB">
      <w:pPr>
        <w:tabs>
          <w:tab w:val="left" w:pos="426"/>
        </w:tabs>
        <w:spacing w:after="0" w:line="240" w:lineRule="auto"/>
        <w:jc w:val="both"/>
        <w:rPr>
          <w:rFonts w:eastAsia="Times New Roman" w:cs="Arial"/>
          <w:bCs/>
        </w:rPr>
      </w:pPr>
      <w:r w:rsidRPr="003A63DB">
        <w:rPr>
          <w:rFonts w:eastAsia="Times New Roman" w:cs="Arial"/>
          <w:bCs/>
        </w:rPr>
        <w:t>Povezane strane su društva koja izravno ili neizravno putem jednog ili više posrednika kontroliraju izvještajno društvo ili su pod njegovom kontrolom.</w:t>
      </w:r>
    </w:p>
    <w:p w14:paraId="103C1F6B" w14:textId="77777777" w:rsidR="003A63DB" w:rsidRPr="003A63DB" w:rsidRDefault="003A63DB" w:rsidP="003A63DB">
      <w:pPr>
        <w:tabs>
          <w:tab w:val="left" w:pos="426"/>
        </w:tabs>
        <w:spacing w:after="0" w:line="240" w:lineRule="auto"/>
        <w:jc w:val="both"/>
        <w:rPr>
          <w:rFonts w:eastAsia="Times New Roman" w:cs="Arial"/>
          <w:b/>
        </w:rPr>
      </w:pPr>
    </w:p>
    <w:p w14:paraId="6D8DF8FA" w14:textId="77777777" w:rsidR="003A63DB" w:rsidRPr="003A63DB" w:rsidRDefault="003A63DB" w:rsidP="003A63DB">
      <w:pPr>
        <w:keepNext/>
        <w:spacing w:after="0" w:line="240" w:lineRule="auto"/>
        <w:jc w:val="both"/>
        <w:rPr>
          <w:rFonts w:eastAsia="Times New Roman" w:cs="Arial"/>
          <w:bCs/>
        </w:rPr>
      </w:pPr>
      <w:r w:rsidRPr="003A63DB">
        <w:rPr>
          <w:rFonts w:eastAsia="Times New Roman" w:cs="Arial"/>
          <w:bCs/>
        </w:rPr>
        <w:t>Najveći dio transakcija s povezanim stranama čine transakcije s Republikom Hrvatskom, 100%-</w:t>
      </w:r>
      <w:proofErr w:type="spellStart"/>
      <w:r w:rsidRPr="003A63DB">
        <w:rPr>
          <w:rFonts w:eastAsia="Times New Roman" w:cs="Arial"/>
          <w:bCs/>
        </w:rPr>
        <w:t>tnim</w:t>
      </w:r>
      <w:proofErr w:type="spellEnd"/>
      <w:r w:rsidRPr="003A63DB">
        <w:rPr>
          <w:rFonts w:eastAsia="Times New Roman" w:cs="Arial"/>
          <w:bCs/>
        </w:rPr>
        <w:t xml:space="preserve"> vlasnikom Banke i državnim trgovačkim društvima </w:t>
      </w:r>
      <w:r w:rsidR="006E4A01">
        <w:rPr>
          <w:rFonts w:eastAsia="Times New Roman" w:cs="Arial"/>
          <w:bCs/>
        </w:rPr>
        <w:t>nad kojima</w:t>
      </w:r>
      <w:r w:rsidRPr="003A63DB">
        <w:rPr>
          <w:rFonts w:eastAsia="Times New Roman" w:cs="Arial"/>
          <w:bCs/>
        </w:rPr>
        <w:t xml:space="preserve"> </w:t>
      </w:r>
      <w:r w:rsidR="006E4A01" w:rsidRPr="003A63DB">
        <w:rPr>
          <w:rFonts w:eastAsia="Times New Roman" w:cs="Arial"/>
          <w:bCs/>
        </w:rPr>
        <w:t>Republik</w:t>
      </w:r>
      <w:r w:rsidR="006E4A01">
        <w:rPr>
          <w:rFonts w:eastAsia="Times New Roman" w:cs="Arial"/>
          <w:bCs/>
        </w:rPr>
        <w:t>a</w:t>
      </w:r>
      <w:r w:rsidR="006E4A01" w:rsidRPr="003A63DB">
        <w:rPr>
          <w:rFonts w:eastAsia="Times New Roman" w:cs="Arial"/>
          <w:bCs/>
        </w:rPr>
        <w:t xml:space="preserve"> Hrvatsk</w:t>
      </w:r>
      <w:r w:rsidR="006E4A01">
        <w:rPr>
          <w:rFonts w:eastAsia="Times New Roman" w:cs="Arial"/>
          <w:bCs/>
        </w:rPr>
        <w:t>a</w:t>
      </w:r>
      <w:r w:rsidR="006E4A01" w:rsidRPr="003A63DB">
        <w:rPr>
          <w:rFonts w:eastAsia="Times New Roman" w:cs="Arial"/>
          <w:bCs/>
        </w:rPr>
        <w:t xml:space="preserve"> </w:t>
      </w:r>
      <w:r w:rsidR="006E4A01">
        <w:rPr>
          <w:rFonts w:eastAsia="Times New Roman" w:cs="Arial"/>
          <w:bCs/>
        </w:rPr>
        <w:t>ima kontrolni utjecaj.</w:t>
      </w:r>
    </w:p>
    <w:p w14:paraId="7A9575FE" w14:textId="77777777" w:rsidR="003A63DB" w:rsidRPr="003A63DB" w:rsidRDefault="003A63DB" w:rsidP="003A63DB">
      <w:pPr>
        <w:keepNext/>
        <w:spacing w:after="0" w:line="240" w:lineRule="auto"/>
        <w:jc w:val="both"/>
        <w:rPr>
          <w:rFonts w:eastAsia="Times New Roman" w:cs="Arial"/>
          <w:bCs/>
        </w:rPr>
      </w:pPr>
    </w:p>
    <w:p w14:paraId="52DC961F" w14:textId="77777777" w:rsidR="003A63DB" w:rsidRPr="003A63DB" w:rsidRDefault="003A63DB" w:rsidP="003A63DB">
      <w:pPr>
        <w:keepNext/>
        <w:spacing w:after="0" w:line="240" w:lineRule="auto"/>
        <w:jc w:val="both"/>
        <w:rPr>
          <w:rFonts w:eastAsia="Times New Roman" w:cs="Arial"/>
          <w:bCs/>
        </w:rPr>
      </w:pPr>
      <w:r w:rsidRPr="003A63DB">
        <w:rPr>
          <w:rFonts w:eastAsia="Times New Roman" w:cs="Arial"/>
          <w:bCs/>
        </w:rPr>
        <w:t xml:space="preserve">Sve iskazane transakcije obavljene su po uobičajenim/redovnim uvjetima Banke. </w:t>
      </w:r>
    </w:p>
    <w:p w14:paraId="7377FF0C" w14:textId="77777777" w:rsidR="003A63DB" w:rsidRPr="003A63DB" w:rsidRDefault="003A63DB" w:rsidP="003A63DB">
      <w:pPr>
        <w:keepNext/>
        <w:spacing w:after="0" w:line="240" w:lineRule="auto"/>
        <w:jc w:val="both"/>
        <w:rPr>
          <w:rFonts w:eastAsia="Times New Roman" w:cs="Arial"/>
          <w:bCs/>
        </w:rPr>
      </w:pPr>
    </w:p>
    <w:p w14:paraId="5D805CC1" w14:textId="10EA6740" w:rsidR="003A63DB" w:rsidRPr="003A63DB" w:rsidRDefault="003A63DB" w:rsidP="0012207C">
      <w:pPr>
        <w:keepNext/>
        <w:tabs>
          <w:tab w:val="left" w:pos="567"/>
        </w:tabs>
        <w:spacing w:after="0" w:line="240" w:lineRule="auto"/>
        <w:jc w:val="both"/>
        <w:rPr>
          <w:rFonts w:eastAsia="Times New Roman" w:cs="Arial"/>
          <w:bCs/>
        </w:rPr>
      </w:pPr>
      <w:r w:rsidRPr="003A63DB">
        <w:rPr>
          <w:rFonts w:eastAsia="Times New Roman" w:cs="Arial"/>
          <w:bCs/>
        </w:rPr>
        <w:t xml:space="preserve">Na dan </w:t>
      </w:r>
      <w:r w:rsidR="00806686">
        <w:rPr>
          <w:rFonts w:eastAsia="Times New Roman" w:cs="Arial"/>
          <w:bCs/>
        </w:rPr>
        <w:t>30</w:t>
      </w:r>
      <w:r w:rsidR="00682116">
        <w:rPr>
          <w:rFonts w:eastAsia="Times New Roman" w:cs="Arial"/>
          <w:bCs/>
        </w:rPr>
        <w:t xml:space="preserve">. </w:t>
      </w:r>
      <w:r w:rsidR="00806686">
        <w:rPr>
          <w:rFonts w:eastAsia="Times New Roman" w:cs="Arial"/>
          <w:bCs/>
        </w:rPr>
        <w:t>lipnja</w:t>
      </w:r>
      <w:r w:rsidR="00806686" w:rsidRPr="003A63DB">
        <w:rPr>
          <w:rFonts w:eastAsia="Times New Roman" w:cs="Arial"/>
          <w:bCs/>
        </w:rPr>
        <w:t xml:space="preserve"> </w:t>
      </w:r>
      <w:r w:rsidR="00A96C84" w:rsidRPr="003A63DB">
        <w:rPr>
          <w:rFonts w:eastAsia="Times New Roman" w:cs="Arial"/>
          <w:bCs/>
        </w:rPr>
        <w:t>201</w:t>
      </w:r>
      <w:r w:rsidR="00682116">
        <w:rPr>
          <w:rFonts w:eastAsia="Times New Roman" w:cs="Arial"/>
          <w:bCs/>
        </w:rPr>
        <w:t>7</w:t>
      </w:r>
      <w:r w:rsidRPr="003A63DB">
        <w:rPr>
          <w:rFonts w:eastAsia="Times New Roman" w:cs="Arial"/>
          <w:bCs/>
        </w:rPr>
        <w:t xml:space="preserve">. i 31. prosinca </w:t>
      </w:r>
      <w:r w:rsidR="00A96C84" w:rsidRPr="003A63DB">
        <w:rPr>
          <w:rFonts w:eastAsia="Times New Roman" w:cs="Arial"/>
          <w:bCs/>
        </w:rPr>
        <w:t>201</w:t>
      </w:r>
      <w:r w:rsidR="00682116">
        <w:rPr>
          <w:rFonts w:eastAsia="Times New Roman" w:cs="Arial"/>
          <w:bCs/>
        </w:rPr>
        <w:t>6</w:t>
      </w:r>
      <w:r w:rsidRPr="003A63DB">
        <w:rPr>
          <w:rFonts w:eastAsia="Times New Roman" w:cs="Arial"/>
          <w:bCs/>
        </w:rPr>
        <w:t>. godine, izloženost i obveze te prihodi i</w:t>
      </w:r>
      <w:r w:rsidR="001962BE">
        <w:rPr>
          <w:rFonts w:eastAsia="Times New Roman" w:cs="Arial"/>
          <w:bCs/>
        </w:rPr>
        <w:t xml:space="preserve"> rashodi za razdoblje od 1.</w:t>
      </w:r>
      <w:r w:rsidR="0012207C">
        <w:rPr>
          <w:rFonts w:eastAsia="Times New Roman" w:cs="Arial"/>
          <w:bCs/>
        </w:rPr>
        <w:t xml:space="preserve">1. do </w:t>
      </w:r>
      <w:r w:rsidR="00806686">
        <w:rPr>
          <w:rFonts w:eastAsia="Times New Roman" w:cs="Arial"/>
          <w:bCs/>
        </w:rPr>
        <w:t>30</w:t>
      </w:r>
      <w:r w:rsidR="00682116">
        <w:rPr>
          <w:rFonts w:eastAsia="Times New Roman" w:cs="Arial"/>
          <w:bCs/>
        </w:rPr>
        <w:t>.</w:t>
      </w:r>
      <w:r w:rsidR="00806686">
        <w:rPr>
          <w:rFonts w:eastAsia="Times New Roman" w:cs="Arial"/>
          <w:bCs/>
        </w:rPr>
        <w:t>6</w:t>
      </w:r>
      <w:r w:rsidR="0012207C">
        <w:rPr>
          <w:rFonts w:eastAsia="Times New Roman" w:cs="Arial"/>
          <w:bCs/>
        </w:rPr>
        <w:t>.</w:t>
      </w:r>
      <w:r w:rsidR="00A96C84">
        <w:rPr>
          <w:rFonts w:eastAsia="Times New Roman" w:cs="Arial"/>
          <w:bCs/>
        </w:rPr>
        <w:t>201</w:t>
      </w:r>
      <w:r w:rsidR="00682116">
        <w:rPr>
          <w:rFonts w:eastAsia="Times New Roman" w:cs="Arial"/>
          <w:bCs/>
        </w:rPr>
        <w:t>7</w:t>
      </w:r>
      <w:r w:rsidR="0012207C">
        <w:rPr>
          <w:rFonts w:eastAsia="Times New Roman" w:cs="Arial"/>
          <w:bCs/>
        </w:rPr>
        <w:t xml:space="preserve">. i od </w:t>
      </w:r>
      <w:r w:rsidR="001962BE">
        <w:rPr>
          <w:rFonts w:eastAsia="Times New Roman" w:cs="Arial"/>
          <w:bCs/>
        </w:rPr>
        <w:t xml:space="preserve">1.1. do </w:t>
      </w:r>
      <w:r w:rsidR="00682116" w:rsidRPr="00682116">
        <w:rPr>
          <w:rFonts w:eastAsia="Times New Roman" w:cs="Arial"/>
          <w:bCs/>
        </w:rPr>
        <w:t>3</w:t>
      </w:r>
      <w:r w:rsidR="00806686">
        <w:rPr>
          <w:rFonts w:eastAsia="Times New Roman" w:cs="Arial"/>
          <w:bCs/>
        </w:rPr>
        <w:t>0</w:t>
      </w:r>
      <w:r w:rsidR="00682116" w:rsidRPr="00682116">
        <w:rPr>
          <w:rFonts w:eastAsia="Times New Roman" w:cs="Arial"/>
          <w:bCs/>
        </w:rPr>
        <w:t>.</w:t>
      </w:r>
      <w:r w:rsidR="00806686">
        <w:rPr>
          <w:rFonts w:eastAsia="Times New Roman" w:cs="Arial"/>
          <w:bCs/>
        </w:rPr>
        <w:t>6</w:t>
      </w:r>
      <w:r w:rsidRPr="003A63DB">
        <w:rPr>
          <w:rFonts w:eastAsia="Times New Roman" w:cs="Arial"/>
          <w:bCs/>
        </w:rPr>
        <w:t>.</w:t>
      </w:r>
      <w:r w:rsidR="00A96C84" w:rsidRPr="003A63DB">
        <w:rPr>
          <w:rFonts w:eastAsia="Times New Roman" w:cs="Arial"/>
          <w:bCs/>
        </w:rPr>
        <w:t>201</w:t>
      </w:r>
      <w:r w:rsidR="00682116">
        <w:rPr>
          <w:rFonts w:eastAsia="Times New Roman" w:cs="Arial"/>
          <w:bCs/>
        </w:rPr>
        <w:t>6</w:t>
      </w:r>
      <w:r w:rsidRPr="003A63DB">
        <w:rPr>
          <w:rFonts w:eastAsia="Times New Roman" w:cs="Arial"/>
          <w:bCs/>
        </w:rPr>
        <w:t xml:space="preserve">. godine koji proizlaze iz transakcija s povezanim stranama, uključujući ključne članove rukovodstva, obuhvaćaju sljedeće: </w:t>
      </w:r>
    </w:p>
    <w:p w14:paraId="20733973" w14:textId="77777777" w:rsidR="003A63DB" w:rsidRPr="003A63DB" w:rsidRDefault="003A63DB" w:rsidP="003A63DB">
      <w:pPr>
        <w:keepNext/>
        <w:spacing w:after="0" w:line="240" w:lineRule="auto"/>
        <w:jc w:val="both"/>
        <w:rPr>
          <w:rFonts w:eastAsia="Times New Roman" w:cs="Arial"/>
          <w:bCs/>
        </w:rPr>
      </w:pPr>
    </w:p>
    <w:p w14:paraId="7F6FA260" w14:textId="77777777" w:rsidR="003A63DB" w:rsidRPr="003A63DB" w:rsidRDefault="003A63DB" w:rsidP="00961B31">
      <w:pPr>
        <w:keepNext/>
        <w:numPr>
          <w:ilvl w:val="0"/>
          <w:numId w:val="3"/>
        </w:numPr>
        <w:spacing w:after="0" w:line="240" w:lineRule="auto"/>
        <w:ind w:left="567" w:hanging="567"/>
        <w:jc w:val="both"/>
        <w:rPr>
          <w:rFonts w:eastAsia="Times New Roman" w:cs="Arial"/>
          <w:bCs/>
        </w:rPr>
      </w:pPr>
      <w:r w:rsidRPr="003A63DB">
        <w:rPr>
          <w:rFonts w:eastAsia="Times New Roman" w:cs="Arial"/>
          <w:bCs/>
        </w:rPr>
        <w:t>Transakcije s povezanim stranama</w:t>
      </w:r>
    </w:p>
    <w:p w14:paraId="78B54684" w14:textId="77777777" w:rsidR="003A63DB" w:rsidRPr="003A63DB" w:rsidRDefault="003A63DB" w:rsidP="003A63DB">
      <w:pPr>
        <w:keepNext/>
        <w:spacing w:after="0" w:line="240" w:lineRule="auto"/>
        <w:ind w:left="357"/>
        <w:jc w:val="both"/>
        <w:rPr>
          <w:rFonts w:eastAsia="Times New Roman" w:cs="Arial"/>
          <w:bCs/>
          <w:sz w:val="24"/>
          <w:szCs w:val="24"/>
        </w:rPr>
      </w:pPr>
    </w:p>
    <w:tbl>
      <w:tblPr>
        <w:tblW w:w="4886" w:type="pct"/>
        <w:jc w:val="center"/>
        <w:tblLayout w:type="fixed"/>
        <w:tblCellMar>
          <w:left w:w="113" w:type="dxa"/>
          <w:right w:w="85" w:type="dxa"/>
        </w:tblCellMar>
        <w:tblLook w:val="00A0" w:firstRow="1" w:lastRow="0" w:firstColumn="1" w:lastColumn="0" w:noHBand="0" w:noVBand="0"/>
      </w:tblPr>
      <w:tblGrid>
        <w:gridCol w:w="3764"/>
        <w:gridCol w:w="1342"/>
        <w:gridCol w:w="1342"/>
        <w:gridCol w:w="1340"/>
        <w:gridCol w:w="6"/>
        <w:gridCol w:w="1347"/>
      </w:tblGrid>
      <w:tr w:rsidR="003A63DB" w:rsidRPr="003A63DB" w14:paraId="45C7ECF0" w14:textId="77777777" w:rsidTr="00682116">
        <w:trPr>
          <w:trHeight w:hRule="exact" w:val="284"/>
          <w:jc w:val="center"/>
        </w:trPr>
        <w:tc>
          <w:tcPr>
            <w:tcW w:w="3764" w:type="dxa"/>
            <w:vAlign w:val="bottom"/>
          </w:tcPr>
          <w:p w14:paraId="5D5F29B7" w14:textId="77777777" w:rsidR="003A63DB" w:rsidRPr="003A63DB" w:rsidRDefault="003A63DB" w:rsidP="003A63DB">
            <w:pPr>
              <w:tabs>
                <w:tab w:val="right" w:pos="1202"/>
              </w:tabs>
              <w:spacing w:after="0" w:line="240" w:lineRule="auto"/>
              <w:outlineLvl w:val="0"/>
              <w:rPr>
                <w:rFonts w:eastAsia="Times New Roman" w:cs="Arial"/>
                <w:sz w:val="20"/>
                <w:szCs w:val="20"/>
              </w:rPr>
            </w:pPr>
            <w:r w:rsidRPr="003A63DB">
              <w:rPr>
                <w:rFonts w:eastAsia="Times New Roman" w:cs="Arial"/>
                <w:b/>
                <w:sz w:val="20"/>
                <w:szCs w:val="20"/>
              </w:rPr>
              <w:t>Grupa</w:t>
            </w:r>
          </w:p>
        </w:tc>
        <w:tc>
          <w:tcPr>
            <w:tcW w:w="1342" w:type="dxa"/>
            <w:vAlign w:val="center"/>
          </w:tcPr>
          <w:p w14:paraId="26D043BF" w14:textId="77777777" w:rsidR="003A63DB" w:rsidRPr="003A63DB" w:rsidRDefault="003A63DB"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Izloženost</w:t>
            </w:r>
          </w:p>
        </w:tc>
        <w:tc>
          <w:tcPr>
            <w:tcW w:w="1342" w:type="dxa"/>
            <w:vAlign w:val="center"/>
          </w:tcPr>
          <w:p w14:paraId="1EC3D04E" w14:textId="77777777" w:rsidR="003A63DB" w:rsidRPr="003A63DB" w:rsidRDefault="003A63DB"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Obveze</w:t>
            </w:r>
          </w:p>
        </w:tc>
        <w:tc>
          <w:tcPr>
            <w:tcW w:w="1346" w:type="dxa"/>
            <w:gridSpan w:val="2"/>
            <w:vAlign w:val="center"/>
          </w:tcPr>
          <w:p w14:paraId="591AF29D" w14:textId="77777777" w:rsidR="003A63DB" w:rsidRPr="003A63DB" w:rsidRDefault="003A63DB"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Izloženost</w:t>
            </w:r>
          </w:p>
        </w:tc>
        <w:tc>
          <w:tcPr>
            <w:tcW w:w="1347" w:type="dxa"/>
            <w:vAlign w:val="center"/>
          </w:tcPr>
          <w:p w14:paraId="79DA464D" w14:textId="77777777" w:rsidR="003A63DB" w:rsidRPr="003A63DB" w:rsidRDefault="003A63DB"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Obveze</w:t>
            </w:r>
          </w:p>
        </w:tc>
      </w:tr>
      <w:tr w:rsidR="003A63DB" w:rsidRPr="003A63DB" w14:paraId="6B9D8061" w14:textId="77777777" w:rsidTr="00682116">
        <w:trPr>
          <w:trHeight w:hRule="exact" w:val="284"/>
          <w:jc w:val="center"/>
        </w:trPr>
        <w:tc>
          <w:tcPr>
            <w:tcW w:w="3764" w:type="dxa"/>
            <w:vAlign w:val="bottom"/>
          </w:tcPr>
          <w:p w14:paraId="21D97B7F" w14:textId="77777777" w:rsidR="003A63DB" w:rsidRPr="003A63DB" w:rsidRDefault="003A63DB" w:rsidP="003A63DB">
            <w:pPr>
              <w:tabs>
                <w:tab w:val="right" w:pos="1202"/>
              </w:tabs>
              <w:spacing w:after="0" w:line="240" w:lineRule="auto"/>
              <w:outlineLvl w:val="0"/>
              <w:rPr>
                <w:rFonts w:eastAsia="Times New Roman" w:cs="Arial"/>
                <w:sz w:val="20"/>
                <w:szCs w:val="20"/>
              </w:rPr>
            </w:pPr>
          </w:p>
        </w:tc>
        <w:tc>
          <w:tcPr>
            <w:tcW w:w="1342" w:type="dxa"/>
            <w:vAlign w:val="bottom"/>
          </w:tcPr>
          <w:p w14:paraId="2F63757A" w14:textId="73027355" w:rsidR="003A63DB" w:rsidRPr="003A63DB" w:rsidRDefault="00806686">
            <w:pPr>
              <w:tabs>
                <w:tab w:val="right" w:pos="1202"/>
              </w:tabs>
              <w:spacing w:after="0" w:line="240" w:lineRule="auto"/>
              <w:jc w:val="right"/>
              <w:outlineLvl w:val="0"/>
              <w:rPr>
                <w:rFonts w:eastAsia="Times New Roman" w:cs="Arial"/>
                <w:b/>
                <w:bCs/>
                <w:iCs/>
                <w:sz w:val="20"/>
                <w:szCs w:val="20"/>
              </w:rPr>
            </w:pPr>
            <w:r>
              <w:rPr>
                <w:rFonts w:eastAsia="Times New Roman" w:cs="Arial"/>
                <w:b/>
                <w:bCs/>
                <w:iCs/>
                <w:sz w:val="20"/>
                <w:szCs w:val="20"/>
              </w:rPr>
              <w:t>30</w:t>
            </w:r>
            <w:r w:rsidR="00682116">
              <w:rPr>
                <w:rFonts w:eastAsia="Times New Roman" w:cs="Arial"/>
                <w:b/>
                <w:bCs/>
                <w:iCs/>
                <w:sz w:val="20"/>
                <w:szCs w:val="20"/>
              </w:rPr>
              <w:t>.</w:t>
            </w:r>
            <w:r>
              <w:rPr>
                <w:rFonts w:eastAsia="Times New Roman" w:cs="Arial"/>
                <w:b/>
                <w:bCs/>
                <w:iCs/>
                <w:sz w:val="20"/>
                <w:szCs w:val="20"/>
              </w:rPr>
              <w:t>6</w:t>
            </w:r>
            <w:r w:rsidR="00682116">
              <w:rPr>
                <w:rFonts w:eastAsia="Times New Roman" w:cs="Arial"/>
                <w:b/>
                <w:bCs/>
                <w:iCs/>
                <w:sz w:val="20"/>
                <w:szCs w:val="20"/>
              </w:rPr>
              <w:t>.</w:t>
            </w:r>
            <w:r w:rsidR="003A63DB" w:rsidRPr="003A63DB">
              <w:rPr>
                <w:rFonts w:eastAsia="Times New Roman" w:cs="Arial"/>
                <w:b/>
                <w:bCs/>
                <w:iCs/>
                <w:sz w:val="20"/>
                <w:szCs w:val="20"/>
              </w:rPr>
              <w:t>201</w:t>
            </w:r>
            <w:r w:rsidR="00682116">
              <w:rPr>
                <w:rFonts w:eastAsia="Times New Roman" w:cs="Arial"/>
                <w:b/>
                <w:bCs/>
                <w:iCs/>
                <w:sz w:val="20"/>
                <w:szCs w:val="20"/>
              </w:rPr>
              <w:t>7</w:t>
            </w:r>
            <w:r w:rsidR="003A63DB" w:rsidRPr="003A63DB">
              <w:rPr>
                <w:rFonts w:eastAsia="Times New Roman" w:cs="Arial"/>
                <w:b/>
                <w:bCs/>
                <w:iCs/>
                <w:sz w:val="20"/>
                <w:szCs w:val="20"/>
              </w:rPr>
              <w:t>.</w:t>
            </w:r>
          </w:p>
        </w:tc>
        <w:tc>
          <w:tcPr>
            <w:tcW w:w="1342" w:type="dxa"/>
            <w:vAlign w:val="bottom"/>
          </w:tcPr>
          <w:p w14:paraId="159EA7F5" w14:textId="58A692BD" w:rsidR="003A63DB" w:rsidRPr="003A63DB" w:rsidRDefault="00806686">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3</w:t>
            </w:r>
            <w:r>
              <w:rPr>
                <w:rFonts w:eastAsia="Times New Roman" w:cs="Arial"/>
                <w:b/>
                <w:bCs/>
                <w:iCs/>
                <w:sz w:val="20"/>
                <w:szCs w:val="20"/>
              </w:rPr>
              <w:t>0</w:t>
            </w:r>
            <w:r w:rsidR="00682116">
              <w:rPr>
                <w:rFonts w:eastAsia="Times New Roman" w:cs="Arial"/>
                <w:b/>
                <w:bCs/>
                <w:iCs/>
                <w:sz w:val="20"/>
                <w:szCs w:val="20"/>
              </w:rPr>
              <w:t>.</w:t>
            </w:r>
            <w:r>
              <w:rPr>
                <w:rFonts w:eastAsia="Times New Roman" w:cs="Arial"/>
                <w:b/>
                <w:bCs/>
                <w:iCs/>
                <w:sz w:val="20"/>
                <w:szCs w:val="20"/>
              </w:rPr>
              <w:t>6</w:t>
            </w:r>
            <w:r w:rsidR="003A63DB" w:rsidRPr="003A63DB">
              <w:rPr>
                <w:rFonts w:eastAsia="Times New Roman" w:cs="Arial"/>
                <w:b/>
                <w:bCs/>
                <w:iCs/>
                <w:sz w:val="20"/>
                <w:szCs w:val="20"/>
              </w:rPr>
              <w:t>.201</w:t>
            </w:r>
            <w:r w:rsidR="00682116">
              <w:rPr>
                <w:rFonts w:eastAsia="Times New Roman" w:cs="Arial"/>
                <w:b/>
                <w:bCs/>
                <w:iCs/>
                <w:sz w:val="20"/>
                <w:szCs w:val="20"/>
              </w:rPr>
              <w:t>7</w:t>
            </w:r>
            <w:r w:rsidR="003A63DB" w:rsidRPr="003A63DB">
              <w:rPr>
                <w:rFonts w:eastAsia="Times New Roman" w:cs="Arial"/>
                <w:b/>
                <w:bCs/>
                <w:iCs/>
                <w:sz w:val="20"/>
                <w:szCs w:val="20"/>
              </w:rPr>
              <w:t>.</w:t>
            </w:r>
          </w:p>
        </w:tc>
        <w:tc>
          <w:tcPr>
            <w:tcW w:w="1340" w:type="dxa"/>
            <w:vAlign w:val="bottom"/>
          </w:tcPr>
          <w:p w14:paraId="029E254B" w14:textId="1B13302F" w:rsidR="003A63DB" w:rsidRPr="003A63DB" w:rsidRDefault="003A63DB" w:rsidP="00B47C66">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31.12.201</w:t>
            </w:r>
            <w:r w:rsidR="00682116">
              <w:rPr>
                <w:rFonts w:eastAsia="Times New Roman" w:cs="Arial"/>
                <w:b/>
                <w:bCs/>
                <w:iCs/>
                <w:sz w:val="20"/>
                <w:szCs w:val="20"/>
              </w:rPr>
              <w:t>6</w:t>
            </w:r>
            <w:r w:rsidRPr="003A63DB">
              <w:rPr>
                <w:rFonts w:eastAsia="Times New Roman" w:cs="Arial"/>
                <w:b/>
                <w:bCs/>
                <w:iCs/>
                <w:sz w:val="20"/>
                <w:szCs w:val="20"/>
              </w:rPr>
              <w:t>.</w:t>
            </w:r>
          </w:p>
        </w:tc>
        <w:tc>
          <w:tcPr>
            <w:tcW w:w="1353" w:type="dxa"/>
            <w:gridSpan w:val="2"/>
            <w:vAlign w:val="bottom"/>
          </w:tcPr>
          <w:p w14:paraId="08096612" w14:textId="1F35E40A" w:rsidR="003A63DB" w:rsidRPr="003A63DB" w:rsidRDefault="003A63DB" w:rsidP="00B47C66">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31.12.201</w:t>
            </w:r>
            <w:r w:rsidR="00682116">
              <w:rPr>
                <w:rFonts w:eastAsia="Times New Roman" w:cs="Arial"/>
                <w:b/>
                <w:bCs/>
                <w:iCs/>
                <w:sz w:val="20"/>
                <w:szCs w:val="20"/>
              </w:rPr>
              <w:t>6</w:t>
            </w:r>
            <w:r w:rsidRPr="003A63DB">
              <w:rPr>
                <w:rFonts w:eastAsia="Times New Roman" w:cs="Arial"/>
                <w:b/>
                <w:bCs/>
                <w:iCs/>
                <w:sz w:val="20"/>
                <w:szCs w:val="20"/>
              </w:rPr>
              <w:t>.</w:t>
            </w:r>
          </w:p>
        </w:tc>
      </w:tr>
      <w:tr w:rsidR="00DF44F2" w:rsidRPr="003A63DB" w14:paraId="7B454802" w14:textId="77777777" w:rsidTr="00312975">
        <w:trPr>
          <w:trHeight w:hRule="exact" w:val="284"/>
          <w:jc w:val="center"/>
        </w:trPr>
        <w:tc>
          <w:tcPr>
            <w:tcW w:w="3764" w:type="dxa"/>
            <w:vAlign w:val="bottom"/>
          </w:tcPr>
          <w:p w14:paraId="1452F0C8" w14:textId="77777777" w:rsidR="00DF44F2" w:rsidRPr="003A63DB" w:rsidRDefault="00DF44F2" w:rsidP="00DF44F2">
            <w:pPr>
              <w:tabs>
                <w:tab w:val="right" w:pos="1202"/>
              </w:tabs>
              <w:spacing w:after="0" w:line="240" w:lineRule="auto"/>
              <w:outlineLvl w:val="0"/>
              <w:rPr>
                <w:rFonts w:eastAsia="Times New Roman" w:cs="Arial"/>
                <w:sz w:val="20"/>
                <w:szCs w:val="20"/>
              </w:rPr>
            </w:pPr>
            <w:r w:rsidRPr="003A63DB">
              <w:rPr>
                <w:rFonts w:eastAsia="Times New Roman" w:cs="Arial"/>
                <w:sz w:val="20"/>
                <w:szCs w:val="20"/>
              </w:rPr>
              <w:t>Vlasnik</w:t>
            </w:r>
          </w:p>
        </w:tc>
        <w:tc>
          <w:tcPr>
            <w:tcW w:w="1342" w:type="dxa"/>
            <w:tcBorders>
              <w:top w:val="nil"/>
              <w:bottom w:val="nil"/>
              <w:right w:val="nil"/>
            </w:tcBorders>
            <w:shd w:val="clear" w:color="000000" w:fill="auto"/>
          </w:tcPr>
          <w:p w14:paraId="4CEBF469" w14:textId="095840D8" w:rsidR="00DF44F2" w:rsidRPr="000E5941" w:rsidRDefault="00760BBB" w:rsidP="00DF44F2">
            <w:pPr>
              <w:pStyle w:val="TT"/>
              <w:spacing w:line="280" w:lineRule="exact"/>
              <w:jc w:val="right"/>
              <w:rPr>
                <w:rFonts w:asciiTheme="minorHAnsi" w:hAnsiTheme="minorHAnsi"/>
                <w:sz w:val="20"/>
              </w:rPr>
            </w:pPr>
            <w:r>
              <w:rPr>
                <w:rFonts w:asciiTheme="minorHAnsi" w:hAnsiTheme="minorHAnsi"/>
                <w:sz w:val="20"/>
              </w:rPr>
              <w:t>2.750.783</w:t>
            </w:r>
          </w:p>
        </w:tc>
        <w:tc>
          <w:tcPr>
            <w:tcW w:w="1342" w:type="dxa"/>
            <w:tcBorders>
              <w:top w:val="nil"/>
              <w:bottom w:val="nil"/>
              <w:right w:val="nil"/>
            </w:tcBorders>
            <w:shd w:val="clear" w:color="000000" w:fill="auto"/>
          </w:tcPr>
          <w:p w14:paraId="130C2C20" w14:textId="19BC4C54" w:rsidR="00DF44F2" w:rsidRPr="000E5941" w:rsidRDefault="00760BBB" w:rsidP="00DF44F2">
            <w:pPr>
              <w:pStyle w:val="TT"/>
              <w:spacing w:line="280" w:lineRule="exact"/>
              <w:jc w:val="right"/>
              <w:rPr>
                <w:rFonts w:asciiTheme="minorHAnsi" w:hAnsiTheme="minorHAnsi"/>
                <w:sz w:val="20"/>
              </w:rPr>
            </w:pPr>
            <w:r>
              <w:rPr>
                <w:rFonts w:asciiTheme="minorHAnsi" w:hAnsiTheme="minorHAnsi"/>
                <w:sz w:val="20"/>
              </w:rPr>
              <w:t>178.153</w:t>
            </w:r>
          </w:p>
        </w:tc>
        <w:tc>
          <w:tcPr>
            <w:tcW w:w="1340" w:type="dxa"/>
            <w:tcBorders>
              <w:top w:val="nil"/>
              <w:bottom w:val="nil"/>
              <w:right w:val="nil"/>
            </w:tcBorders>
            <w:shd w:val="clear" w:color="auto" w:fill="auto"/>
            <w:vAlign w:val="bottom"/>
          </w:tcPr>
          <w:p w14:paraId="55058225" w14:textId="01F9D769" w:rsidR="00DF44F2" w:rsidRPr="00682116" w:rsidRDefault="00DF44F2" w:rsidP="00DF44F2">
            <w:pPr>
              <w:pStyle w:val="TT"/>
              <w:spacing w:line="280" w:lineRule="exact"/>
              <w:jc w:val="right"/>
              <w:rPr>
                <w:rFonts w:asciiTheme="minorHAnsi" w:hAnsiTheme="minorHAnsi" w:cs="Arial"/>
                <w:bCs/>
                <w:iCs/>
                <w:sz w:val="20"/>
                <w:lang w:val="hr-HR"/>
              </w:rPr>
            </w:pPr>
            <w:r w:rsidRPr="00682116">
              <w:rPr>
                <w:rFonts w:asciiTheme="minorHAnsi" w:hAnsiTheme="minorHAnsi"/>
                <w:sz w:val="20"/>
              </w:rPr>
              <w:t>3.193.565</w:t>
            </w:r>
          </w:p>
        </w:tc>
        <w:tc>
          <w:tcPr>
            <w:tcW w:w="1353" w:type="dxa"/>
            <w:gridSpan w:val="2"/>
            <w:tcBorders>
              <w:top w:val="nil"/>
              <w:left w:val="nil"/>
              <w:bottom w:val="nil"/>
              <w:right w:val="nil"/>
            </w:tcBorders>
            <w:shd w:val="clear" w:color="auto" w:fill="auto"/>
            <w:vAlign w:val="bottom"/>
          </w:tcPr>
          <w:p w14:paraId="4F5E99F6" w14:textId="68C97F87" w:rsidR="00DF44F2" w:rsidRPr="00682116" w:rsidRDefault="00DF44F2" w:rsidP="00DF44F2">
            <w:pPr>
              <w:pStyle w:val="TT"/>
              <w:spacing w:line="280" w:lineRule="exact"/>
              <w:jc w:val="right"/>
              <w:rPr>
                <w:rFonts w:asciiTheme="minorHAnsi" w:hAnsiTheme="minorHAnsi" w:cs="Arial"/>
                <w:bCs/>
                <w:iCs/>
                <w:sz w:val="20"/>
                <w:lang w:val="hr-HR"/>
              </w:rPr>
            </w:pPr>
            <w:r w:rsidRPr="00682116">
              <w:rPr>
                <w:rFonts w:asciiTheme="minorHAnsi" w:hAnsiTheme="minorHAnsi"/>
                <w:sz w:val="20"/>
              </w:rPr>
              <w:t>153.374</w:t>
            </w:r>
          </w:p>
        </w:tc>
      </w:tr>
      <w:tr w:rsidR="00DF44F2" w:rsidRPr="003A63DB" w14:paraId="77C60F61" w14:textId="77777777" w:rsidTr="00312975">
        <w:trPr>
          <w:trHeight w:hRule="exact" w:val="284"/>
          <w:jc w:val="center"/>
        </w:trPr>
        <w:tc>
          <w:tcPr>
            <w:tcW w:w="3764" w:type="dxa"/>
            <w:vAlign w:val="bottom"/>
          </w:tcPr>
          <w:p w14:paraId="2BE8662B" w14:textId="77777777" w:rsidR="00DF44F2" w:rsidRPr="003A63DB" w:rsidRDefault="00DF44F2" w:rsidP="00DF44F2">
            <w:pPr>
              <w:tabs>
                <w:tab w:val="right" w:pos="1202"/>
              </w:tabs>
              <w:spacing w:after="0" w:line="240" w:lineRule="auto"/>
              <w:outlineLvl w:val="0"/>
              <w:rPr>
                <w:rFonts w:eastAsia="Times New Roman" w:cs="Arial"/>
                <w:sz w:val="20"/>
                <w:szCs w:val="20"/>
              </w:rPr>
            </w:pPr>
            <w:r w:rsidRPr="003A63DB">
              <w:rPr>
                <w:rFonts w:eastAsia="Times New Roman" w:cs="Arial"/>
                <w:sz w:val="20"/>
                <w:szCs w:val="20"/>
              </w:rPr>
              <w:t>Državni fondovi, izvršna tijela i agencije</w:t>
            </w:r>
          </w:p>
        </w:tc>
        <w:tc>
          <w:tcPr>
            <w:tcW w:w="1342" w:type="dxa"/>
            <w:tcBorders>
              <w:top w:val="nil"/>
              <w:bottom w:val="nil"/>
              <w:right w:val="nil"/>
            </w:tcBorders>
            <w:shd w:val="clear" w:color="auto" w:fill="auto"/>
          </w:tcPr>
          <w:p w14:paraId="0DA459C3" w14:textId="67C8EC49" w:rsidR="00DF44F2" w:rsidRPr="000E5941" w:rsidRDefault="00760BBB" w:rsidP="00DF44F2">
            <w:pPr>
              <w:pStyle w:val="TT"/>
              <w:spacing w:line="280" w:lineRule="exact"/>
              <w:jc w:val="right"/>
              <w:rPr>
                <w:rFonts w:asciiTheme="minorHAnsi" w:hAnsiTheme="minorHAnsi"/>
                <w:sz w:val="20"/>
              </w:rPr>
            </w:pPr>
            <w:r>
              <w:rPr>
                <w:rFonts w:asciiTheme="minorHAnsi" w:hAnsiTheme="minorHAnsi"/>
                <w:sz w:val="20"/>
              </w:rPr>
              <w:t>998.378</w:t>
            </w:r>
          </w:p>
        </w:tc>
        <w:tc>
          <w:tcPr>
            <w:tcW w:w="1342" w:type="dxa"/>
            <w:tcBorders>
              <w:top w:val="nil"/>
              <w:bottom w:val="nil"/>
              <w:right w:val="nil"/>
            </w:tcBorders>
            <w:shd w:val="clear" w:color="auto" w:fill="auto"/>
          </w:tcPr>
          <w:p w14:paraId="75145505" w14:textId="221D8816" w:rsidR="00DF44F2" w:rsidRPr="000E5941" w:rsidRDefault="00760BBB" w:rsidP="00DF44F2">
            <w:pPr>
              <w:pStyle w:val="TT"/>
              <w:spacing w:line="280" w:lineRule="exact"/>
              <w:jc w:val="right"/>
              <w:rPr>
                <w:rFonts w:asciiTheme="minorHAnsi" w:hAnsiTheme="minorHAnsi"/>
                <w:sz w:val="20"/>
              </w:rPr>
            </w:pPr>
            <w:r>
              <w:rPr>
                <w:rFonts w:asciiTheme="minorHAnsi" w:hAnsiTheme="minorHAnsi"/>
                <w:sz w:val="20"/>
              </w:rPr>
              <w:t>176.206</w:t>
            </w:r>
          </w:p>
        </w:tc>
        <w:tc>
          <w:tcPr>
            <w:tcW w:w="1340" w:type="dxa"/>
            <w:tcBorders>
              <w:top w:val="nil"/>
              <w:bottom w:val="nil"/>
              <w:right w:val="nil"/>
            </w:tcBorders>
            <w:shd w:val="clear" w:color="auto" w:fill="auto"/>
            <w:vAlign w:val="bottom"/>
          </w:tcPr>
          <w:p w14:paraId="280E9016" w14:textId="152E5A94" w:rsidR="00DF44F2" w:rsidRPr="00682116" w:rsidRDefault="00DF44F2" w:rsidP="00DF44F2">
            <w:pPr>
              <w:pStyle w:val="TT"/>
              <w:spacing w:line="280" w:lineRule="exact"/>
              <w:jc w:val="right"/>
              <w:rPr>
                <w:rFonts w:asciiTheme="minorHAnsi" w:hAnsiTheme="minorHAnsi" w:cs="Arial"/>
                <w:bCs/>
                <w:iCs/>
                <w:sz w:val="20"/>
                <w:lang w:val="hr-HR"/>
              </w:rPr>
            </w:pPr>
            <w:r w:rsidRPr="00682116">
              <w:rPr>
                <w:rFonts w:asciiTheme="minorHAnsi" w:hAnsiTheme="minorHAnsi"/>
                <w:sz w:val="20"/>
              </w:rPr>
              <w:t>1.087.460</w:t>
            </w:r>
          </w:p>
        </w:tc>
        <w:tc>
          <w:tcPr>
            <w:tcW w:w="1353" w:type="dxa"/>
            <w:gridSpan w:val="2"/>
            <w:tcBorders>
              <w:top w:val="nil"/>
              <w:left w:val="nil"/>
              <w:bottom w:val="nil"/>
              <w:right w:val="nil"/>
            </w:tcBorders>
            <w:shd w:val="clear" w:color="auto" w:fill="auto"/>
            <w:vAlign w:val="bottom"/>
          </w:tcPr>
          <w:p w14:paraId="51BA6BCA" w14:textId="2E55A5E6" w:rsidR="00DF44F2" w:rsidRPr="00682116" w:rsidRDefault="00DF44F2" w:rsidP="00DF44F2">
            <w:pPr>
              <w:pStyle w:val="TT"/>
              <w:spacing w:line="280" w:lineRule="exact"/>
              <w:jc w:val="right"/>
              <w:rPr>
                <w:rFonts w:asciiTheme="minorHAnsi" w:hAnsiTheme="minorHAnsi" w:cs="Arial"/>
                <w:bCs/>
                <w:iCs/>
                <w:sz w:val="20"/>
                <w:lang w:val="hr-HR"/>
              </w:rPr>
            </w:pPr>
            <w:r w:rsidRPr="00682116">
              <w:rPr>
                <w:rFonts w:asciiTheme="minorHAnsi" w:hAnsiTheme="minorHAnsi"/>
                <w:sz w:val="20"/>
              </w:rPr>
              <w:t>14.214</w:t>
            </w:r>
          </w:p>
        </w:tc>
      </w:tr>
      <w:tr w:rsidR="00DF44F2" w:rsidRPr="003A63DB" w14:paraId="3911BA55" w14:textId="77777777" w:rsidTr="00312975">
        <w:trPr>
          <w:trHeight w:hRule="exact" w:val="284"/>
          <w:jc w:val="center"/>
        </w:trPr>
        <w:tc>
          <w:tcPr>
            <w:tcW w:w="3764" w:type="dxa"/>
            <w:vAlign w:val="bottom"/>
          </w:tcPr>
          <w:p w14:paraId="0448E4C4" w14:textId="77777777" w:rsidR="00DF44F2" w:rsidRPr="003A63DB" w:rsidRDefault="00DF44F2" w:rsidP="00DF44F2">
            <w:pPr>
              <w:tabs>
                <w:tab w:val="right" w:pos="1202"/>
              </w:tabs>
              <w:spacing w:after="0" w:line="240" w:lineRule="auto"/>
              <w:outlineLvl w:val="0"/>
              <w:rPr>
                <w:rFonts w:eastAsia="Times New Roman" w:cs="Arial"/>
                <w:sz w:val="20"/>
                <w:szCs w:val="20"/>
              </w:rPr>
            </w:pPr>
            <w:r w:rsidRPr="003A63DB">
              <w:rPr>
                <w:rFonts w:eastAsia="Times New Roman" w:cs="Arial"/>
                <w:sz w:val="20"/>
                <w:szCs w:val="20"/>
              </w:rPr>
              <w:t>Državna trgovačka društva</w:t>
            </w:r>
          </w:p>
        </w:tc>
        <w:tc>
          <w:tcPr>
            <w:tcW w:w="1342" w:type="dxa"/>
            <w:tcBorders>
              <w:top w:val="nil"/>
              <w:right w:val="nil"/>
            </w:tcBorders>
            <w:shd w:val="clear" w:color="auto" w:fill="auto"/>
          </w:tcPr>
          <w:p w14:paraId="7B7CF5A9" w14:textId="61FA661E" w:rsidR="00DF44F2" w:rsidRPr="000E5941" w:rsidRDefault="00760BBB" w:rsidP="00DF44F2">
            <w:pPr>
              <w:pStyle w:val="TT"/>
              <w:spacing w:line="280" w:lineRule="exact"/>
              <w:jc w:val="right"/>
              <w:rPr>
                <w:rFonts w:asciiTheme="minorHAnsi" w:hAnsiTheme="minorHAnsi"/>
                <w:sz w:val="20"/>
              </w:rPr>
            </w:pPr>
            <w:r>
              <w:rPr>
                <w:rFonts w:asciiTheme="minorHAnsi" w:hAnsiTheme="minorHAnsi"/>
                <w:sz w:val="20"/>
              </w:rPr>
              <w:t>1.292.586</w:t>
            </w:r>
          </w:p>
        </w:tc>
        <w:tc>
          <w:tcPr>
            <w:tcW w:w="1342" w:type="dxa"/>
            <w:tcBorders>
              <w:top w:val="nil"/>
              <w:right w:val="nil"/>
            </w:tcBorders>
            <w:shd w:val="clear" w:color="auto" w:fill="auto"/>
          </w:tcPr>
          <w:p w14:paraId="03E95906" w14:textId="5E2C7A98" w:rsidR="00DF44F2" w:rsidRPr="000E5941" w:rsidRDefault="00760BBB" w:rsidP="00DF44F2">
            <w:pPr>
              <w:pStyle w:val="TT"/>
              <w:spacing w:line="280" w:lineRule="exact"/>
              <w:jc w:val="right"/>
              <w:rPr>
                <w:rFonts w:asciiTheme="minorHAnsi" w:hAnsiTheme="minorHAnsi"/>
                <w:sz w:val="20"/>
              </w:rPr>
            </w:pPr>
            <w:r>
              <w:rPr>
                <w:rFonts w:asciiTheme="minorHAnsi" w:hAnsiTheme="minorHAnsi"/>
                <w:sz w:val="20"/>
              </w:rPr>
              <w:t>-</w:t>
            </w:r>
          </w:p>
        </w:tc>
        <w:tc>
          <w:tcPr>
            <w:tcW w:w="1340" w:type="dxa"/>
            <w:tcBorders>
              <w:top w:val="nil"/>
              <w:bottom w:val="nil"/>
              <w:right w:val="nil"/>
            </w:tcBorders>
            <w:shd w:val="clear" w:color="auto" w:fill="auto"/>
            <w:vAlign w:val="bottom"/>
          </w:tcPr>
          <w:p w14:paraId="2A08DBC6" w14:textId="26CA42FF" w:rsidR="00DF44F2" w:rsidRPr="00682116" w:rsidRDefault="00DF44F2" w:rsidP="00DF44F2">
            <w:pPr>
              <w:pStyle w:val="TT"/>
              <w:spacing w:line="280" w:lineRule="exact"/>
              <w:jc w:val="right"/>
              <w:rPr>
                <w:rFonts w:asciiTheme="minorHAnsi" w:hAnsiTheme="minorHAnsi" w:cs="Arial"/>
                <w:bCs/>
                <w:iCs/>
                <w:sz w:val="20"/>
                <w:lang w:val="hr-HR"/>
              </w:rPr>
            </w:pPr>
            <w:r w:rsidRPr="00682116">
              <w:rPr>
                <w:rFonts w:asciiTheme="minorHAnsi" w:hAnsiTheme="minorHAnsi"/>
                <w:sz w:val="20"/>
              </w:rPr>
              <w:t>1.193.668</w:t>
            </w:r>
          </w:p>
        </w:tc>
        <w:tc>
          <w:tcPr>
            <w:tcW w:w="1353" w:type="dxa"/>
            <w:gridSpan w:val="2"/>
            <w:tcBorders>
              <w:top w:val="nil"/>
              <w:left w:val="nil"/>
              <w:bottom w:val="nil"/>
              <w:right w:val="nil"/>
            </w:tcBorders>
            <w:shd w:val="clear" w:color="auto" w:fill="auto"/>
            <w:vAlign w:val="bottom"/>
          </w:tcPr>
          <w:p w14:paraId="30E4154B" w14:textId="3878ED54" w:rsidR="00DF44F2" w:rsidRPr="00682116" w:rsidRDefault="00DF44F2" w:rsidP="00DF44F2">
            <w:pPr>
              <w:pStyle w:val="TT"/>
              <w:spacing w:line="280" w:lineRule="exact"/>
              <w:jc w:val="right"/>
              <w:rPr>
                <w:rFonts w:asciiTheme="minorHAnsi" w:hAnsiTheme="minorHAnsi" w:cs="Arial"/>
                <w:bCs/>
                <w:iCs/>
                <w:sz w:val="20"/>
                <w:lang w:val="hr-HR"/>
              </w:rPr>
            </w:pPr>
            <w:r w:rsidRPr="00682116">
              <w:rPr>
                <w:rFonts w:asciiTheme="minorHAnsi" w:hAnsiTheme="minorHAnsi"/>
                <w:sz w:val="20"/>
              </w:rPr>
              <w:t>2</w:t>
            </w:r>
          </w:p>
        </w:tc>
      </w:tr>
      <w:tr w:rsidR="00DF44F2" w:rsidRPr="003A63DB" w14:paraId="2D9200FE" w14:textId="77777777" w:rsidTr="00312975">
        <w:trPr>
          <w:trHeight w:hRule="exact" w:val="284"/>
          <w:jc w:val="center"/>
        </w:trPr>
        <w:tc>
          <w:tcPr>
            <w:tcW w:w="3764" w:type="dxa"/>
            <w:vAlign w:val="bottom"/>
          </w:tcPr>
          <w:p w14:paraId="782631C8" w14:textId="77777777" w:rsidR="00DF44F2" w:rsidRPr="003A63DB" w:rsidRDefault="00DF44F2" w:rsidP="00DF44F2">
            <w:pPr>
              <w:tabs>
                <w:tab w:val="right" w:pos="1202"/>
              </w:tabs>
              <w:spacing w:after="0" w:line="240" w:lineRule="auto"/>
              <w:outlineLvl w:val="0"/>
              <w:rPr>
                <w:rFonts w:eastAsia="Times New Roman" w:cs="Arial"/>
                <w:bCs/>
                <w:sz w:val="20"/>
                <w:szCs w:val="20"/>
              </w:rPr>
            </w:pPr>
            <w:r w:rsidRPr="003A63DB">
              <w:rPr>
                <w:rFonts w:eastAsia="Times New Roman" w:cs="Arial"/>
                <w:sz w:val="20"/>
                <w:szCs w:val="20"/>
              </w:rPr>
              <w:t>Pridružena društva</w:t>
            </w:r>
          </w:p>
        </w:tc>
        <w:tc>
          <w:tcPr>
            <w:tcW w:w="1342" w:type="dxa"/>
            <w:tcBorders>
              <w:top w:val="nil"/>
              <w:bottom w:val="nil"/>
              <w:right w:val="nil"/>
            </w:tcBorders>
            <w:shd w:val="clear" w:color="000000" w:fill="auto"/>
          </w:tcPr>
          <w:p w14:paraId="6C50BCDD" w14:textId="6B67F00F" w:rsidR="00DF44F2" w:rsidRPr="000E5941" w:rsidRDefault="00760BBB" w:rsidP="00DF44F2">
            <w:pPr>
              <w:pStyle w:val="TT"/>
              <w:spacing w:line="280" w:lineRule="exact"/>
              <w:jc w:val="right"/>
              <w:rPr>
                <w:rFonts w:asciiTheme="minorHAnsi" w:hAnsiTheme="minorHAnsi"/>
                <w:sz w:val="20"/>
              </w:rPr>
            </w:pPr>
            <w:r>
              <w:rPr>
                <w:rFonts w:asciiTheme="minorHAnsi" w:hAnsiTheme="minorHAnsi"/>
                <w:sz w:val="20"/>
              </w:rPr>
              <w:t>4</w:t>
            </w:r>
          </w:p>
        </w:tc>
        <w:tc>
          <w:tcPr>
            <w:tcW w:w="1342" w:type="dxa"/>
            <w:tcBorders>
              <w:top w:val="nil"/>
              <w:bottom w:val="nil"/>
              <w:right w:val="nil"/>
            </w:tcBorders>
            <w:shd w:val="clear" w:color="000000" w:fill="auto"/>
          </w:tcPr>
          <w:p w14:paraId="706A6A2F" w14:textId="0D715D4C" w:rsidR="00DF44F2" w:rsidRPr="000E5941" w:rsidRDefault="00760BBB" w:rsidP="00DF44F2">
            <w:pPr>
              <w:pStyle w:val="TT"/>
              <w:spacing w:line="280" w:lineRule="exact"/>
              <w:jc w:val="right"/>
              <w:rPr>
                <w:rFonts w:asciiTheme="minorHAnsi" w:hAnsiTheme="minorHAnsi"/>
                <w:sz w:val="20"/>
              </w:rPr>
            </w:pPr>
            <w:r>
              <w:rPr>
                <w:rFonts w:asciiTheme="minorHAnsi" w:hAnsiTheme="minorHAnsi"/>
                <w:sz w:val="20"/>
              </w:rPr>
              <w:t>-</w:t>
            </w:r>
          </w:p>
        </w:tc>
        <w:tc>
          <w:tcPr>
            <w:tcW w:w="1340" w:type="dxa"/>
            <w:tcBorders>
              <w:top w:val="nil"/>
              <w:bottom w:val="nil"/>
              <w:right w:val="nil"/>
            </w:tcBorders>
            <w:shd w:val="clear" w:color="auto" w:fill="auto"/>
            <w:vAlign w:val="bottom"/>
          </w:tcPr>
          <w:p w14:paraId="3D788FAD" w14:textId="12358E4E" w:rsidR="00DF44F2" w:rsidRPr="00682116" w:rsidRDefault="00DF44F2" w:rsidP="00DF44F2">
            <w:pPr>
              <w:pStyle w:val="TT"/>
              <w:spacing w:line="280" w:lineRule="exact"/>
              <w:jc w:val="right"/>
              <w:rPr>
                <w:rFonts w:asciiTheme="minorHAnsi" w:hAnsiTheme="minorHAnsi" w:cs="Arial"/>
                <w:bCs/>
                <w:iCs/>
                <w:sz w:val="20"/>
                <w:lang w:val="hr-HR"/>
              </w:rPr>
            </w:pPr>
            <w:r w:rsidRPr="00682116">
              <w:rPr>
                <w:rFonts w:asciiTheme="minorHAnsi" w:hAnsiTheme="minorHAnsi"/>
                <w:sz w:val="20"/>
              </w:rPr>
              <w:t>6</w:t>
            </w:r>
          </w:p>
        </w:tc>
        <w:tc>
          <w:tcPr>
            <w:tcW w:w="1353" w:type="dxa"/>
            <w:gridSpan w:val="2"/>
            <w:tcBorders>
              <w:top w:val="nil"/>
              <w:left w:val="nil"/>
              <w:bottom w:val="nil"/>
              <w:right w:val="nil"/>
            </w:tcBorders>
            <w:shd w:val="clear" w:color="auto" w:fill="auto"/>
            <w:vAlign w:val="bottom"/>
          </w:tcPr>
          <w:p w14:paraId="552CAA66" w14:textId="2BA0F132" w:rsidR="00DF44F2" w:rsidRPr="00682116" w:rsidRDefault="00DF44F2" w:rsidP="00DF44F2">
            <w:pPr>
              <w:pStyle w:val="TT"/>
              <w:spacing w:line="280" w:lineRule="exact"/>
              <w:jc w:val="right"/>
              <w:rPr>
                <w:rFonts w:asciiTheme="minorHAnsi" w:hAnsiTheme="minorHAnsi" w:cs="Arial"/>
                <w:bCs/>
                <w:iCs/>
                <w:sz w:val="20"/>
                <w:lang w:val="hr-HR"/>
              </w:rPr>
            </w:pPr>
            <w:r w:rsidRPr="00682116">
              <w:rPr>
                <w:rFonts w:asciiTheme="minorHAnsi" w:hAnsiTheme="minorHAnsi"/>
                <w:sz w:val="20"/>
              </w:rPr>
              <w:t>-</w:t>
            </w:r>
          </w:p>
        </w:tc>
      </w:tr>
      <w:tr w:rsidR="00DF44F2" w:rsidRPr="003A63DB" w14:paraId="5B70AC45" w14:textId="77777777" w:rsidTr="00312975">
        <w:trPr>
          <w:trHeight w:hRule="exact" w:val="284"/>
          <w:jc w:val="center"/>
        </w:trPr>
        <w:tc>
          <w:tcPr>
            <w:tcW w:w="3764" w:type="dxa"/>
            <w:vAlign w:val="bottom"/>
          </w:tcPr>
          <w:p w14:paraId="553CE65D" w14:textId="77777777" w:rsidR="00DF44F2" w:rsidRPr="003A63DB" w:rsidRDefault="00DF44F2" w:rsidP="00DF44F2">
            <w:pPr>
              <w:tabs>
                <w:tab w:val="right" w:pos="1202"/>
              </w:tabs>
              <w:spacing w:after="0" w:line="240" w:lineRule="auto"/>
              <w:outlineLvl w:val="0"/>
              <w:rPr>
                <w:rFonts w:eastAsia="Times New Roman" w:cs="Arial"/>
                <w:bCs/>
                <w:sz w:val="20"/>
                <w:szCs w:val="20"/>
              </w:rPr>
            </w:pPr>
            <w:r w:rsidRPr="003A63DB">
              <w:rPr>
                <w:rFonts w:eastAsia="Times New Roman" w:cs="Arial"/>
                <w:bCs/>
                <w:sz w:val="20"/>
                <w:szCs w:val="20"/>
              </w:rPr>
              <w:t>Ostali odnosi unutar Grupe</w:t>
            </w:r>
          </w:p>
        </w:tc>
        <w:tc>
          <w:tcPr>
            <w:tcW w:w="1342" w:type="dxa"/>
            <w:tcBorders>
              <w:top w:val="nil"/>
              <w:right w:val="nil"/>
            </w:tcBorders>
            <w:shd w:val="clear" w:color="auto" w:fill="auto"/>
            <w:vAlign w:val="bottom"/>
          </w:tcPr>
          <w:p w14:paraId="1C5E72AD" w14:textId="2644AF79" w:rsidR="00DF44F2" w:rsidRPr="000E5941" w:rsidRDefault="00DF44F2" w:rsidP="00DF44F2">
            <w:pPr>
              <w:pStyle w:val="TT"/>
              <w:spacing w:line="280" w:lineRule="exact"/>
              <w:jc w:val="right"/>
              <w:rPr>
                <w:rFonts w:asciiTheme="minorHAnsi" w:hAnsiTheme="minorHAnsi"/>
                <w:sz w:val="20"/>
              </w:rPr>
            </w:pPr>
            <w:r w:rsidRPr="000E5941">
              <w:rPr>
                <w:rFonts w:asciiTheme="minorHAnsi" w:hAnsiTheme="minorHAnsi"/>
                <w:sz w:val="20"/>
              </w:rPr>
              <w:t>-</w:t>
            </w:r>
          </w:p>
        </w:tc>
        <w:tc>
          <w:tcPr>
            <w:tcW w:w="1342" w:type="dxa"/>
            <w:tcBorders>
              <w:top w:val="nil"/>
              <w:right w:val="nil"/>
            </w:tcBorders>
            <w:shd w:val="clear" w:color="auto" w:fill="auto"/>
            <w:vAlign w:val="bottom"/>
          </w:tcPr>
          <w:p w14:paraId="6E62181C" w14:textId="5114EB2C" w:rsidR="00DF44F2" w:rsidRPr="000E5941" w:rsidRDefault="00DF44F2" w:rsidP="00DF44F2">
            <w:pPr>
              <w:pStyle w:val="TT"/>
              <w:spacing w:line="280" w:lineRule="exact"/>
              <w:jc w:val="right"/>
              <w:rPr>
                <w:rFonts w:asciiTheme="minorHAnsi" w:hAnsiTheme="minorHAnsi"/>
                <w:sz w:val="20"/>
              </w:rPr>
            </w:pPr>
            <w:r w:rsidRPr="000E5941">
              <w:rPr>
                <w:rFonts w:asciiTheme="minorHAnsi" w:hAnsiTheme="minorHAnsi"/>
                <w:sz w:val="20"/>
              </w:rPr>
              <w:t>-</w:t>
            </w:r>
          </w:p>
        </w:tc>
        <w:tc>
          <w:tcPr>
            <w:tcW w:w="1340" w:type="dxa"/>
            <w:vAlign w:val="bottom"/>
          </w:tcPr>
          <w:p w14:paraId="4443CC07" w14:textId="5851E11B" w:rsidR="00DF44F2" w:rsidRPr="00682116" w:rsidRDefault="00DF44F2" w:rsidP="00DF44F2">
            <w:pPr>
              <w:pStyle w:val="TT"/>
              <w:spacing w:line="280" w:lineRule="exact"/>
              <w:jc w:val="right"/>
              <w:rPr>
                <w:rFonts w:asciiTheme="minorHAnsi" w:hAnsiTheme="minorHAnsi" w:cs="Arial"/>
                <w:bCs/>
                <w:iCs/>
                <w:sz w:val="20"/>
                <w:lang w:val="hr-HR"/>
              </w:rPr>
            </w:pPr>
            <w:r w:rsidRPr="00682116">
              <w:rPr>
                <w:rFonts w:asciiTheme="minorHAnsi" w:hAnsiTheme="minorHAnsi"/>
                <w:sz w:val="20"/>
              </w:rPr>
              <w:t>-</w:t>
            </w:r>
          </w:p>
        </w:tc>
        <w:tc>
          <w:tcPr>
            <w:tcW w:w="1353" w:type="dxa"/>
            <w:gridSpan w:val="2"/>
            <w:vAlign w:val="bottom"/>
          </w:tcPr>
          <w:p w14:paraId="77F70B12" w14:textId="5835AFC2" w:rsidR="00DF44F2" w:rsidRPr="00682116" w:rsidRDefault="00DF44F2" w:rsidP="00DF44F2">
            <w:pPr>
              <w:pStyle w:val="TT"/>
              <w:spacing w:line="280" w:lineRule="exact"/>
              <w:jc w:val="right"/>
              <w:rPr>
                <w:rFonts w:asciiTheme="minorHAnsi" w:hAnsiTheme="minorHAnsi" w:cs="Arial"/>
                <w:bCs/>
                <w:iCs/>
                <w:sz w:val="20"/>
                <w:lang w:val="hr-HR"/>
              </w:rPr>
            </w:pPr>
            <w:r w:rsidRPr="00682116">
              <w:rPr>
                <w:rFonts w:asciiTheme="minorHAnsi" w:hAnsiTheme="minorHAnsi"/>
                <w:sz w:val="20"/>
              </w:rPr>
              <w:t>-</w:t>
            </w:r>
          </w:p>
        </w:tc>
      </w:tr>
      <w:tr w:rsidR="00DF44F2" w:rsidRPr="003A63DB" w14:paraId="61D67E56" w14:textId="77777777" w:rsidTr="00312975">
        <w:trPr>
          <w:trHeight w:hRule="exact" w:val="284"/>
          <w:jc w:val="center"/>
        </w:trPr>
        <w:tc>
          <w:tcPr>
            <w:tcW w:w="3764" w:type="dxa"/>
            <w:vAlign w:val="bottom"/>
          </w:tcPr>
          <w:p w14:paraId="0C8DC14A" w14:textId="77777777" w:rsidR="00DF44F2" w:rsidRPr="003A63DB" w:rsidRDefault="00DF44F2" w:rsidP="00DF44F2">
            <w:pPr>
              <w:tabs>
                <w:tab w:val="right" w:pos="1202"/>
              </w:tabs>
              <w:spacing w:after="0" w:line="240" w:lineRule="auto"/>
              <w:outlineLvl w:val="0"/>
              <w:rPr>
                <w:rFonts w:eastAsia="Times New Roman" w:cs="Arial"/>
                <w:bCs/>
                <w:sz w:val="20"/>
                <w:szCs w:val="20"/>
              </w:rPr>
            </w:pPr>
            <w:r w:rsidRPr="003A63DB">
              <w:rPr>
                <w:rFonts w:eastAsia="Times New Roman" w:cs="Arial"/>
                <w:bCs/>
                <w:sz w:val="20"/>
                <w:szCs w:val="20"/>
              </w:rPr>
              <w:t>Ključni članovi rukovodstva</w:t>
            </w:r>
          </w:p>
        </w:tc>
        <w:tc>
          <w:tcPr>
            <w:tcW w:w="1342" w:type="dxa"/>
            <w:tcBorders>
              <w:top w:val="nil"/>
              <w:bottom w:val="single" w:sz="4" w:space="0" w:color="auto"/>
              <w:right w:val="nil"/>
            </w:tcBorders>
            <w:shd w:val="clear" w:color="auto" w:fill="auto"/>
            <w:vAlign w:val="bottom"/>
          </w:tcPr>
          <w:p w14:paraId="353CEEC7" w14:textId="2A8EEA87" w:rsidR="00DF44F2" w:rsidRPr="000E5941" w:rsidRDefault="00760BBB" w:rsidP="00DF44F2">
            <w:pPr>
              <w:pStyle w:val="TT"/>
              <w:spacing w:line="280" w:lineRule="exact"/>
              <w:jc w:val="right"/>
              <w:rPr>
                <w:rFonts w:asciiTheme="minorHAnsi" w:hAnsiTheme="minorHAnsi"/>
                <w:sz w:val="20"/>
              </w:rPr>
            </w:pPr>
            <w:r>
              <w:rPr>
                <w:rFonts w:asciiTheme="minorHAnsi" w:hAnsiTheme="minorHAnsi"/>
                <w:sz w:val="20"/>
              </w:rPr>
              <w:t>4.091</w:t>
            </w:r>
          </w:p>
        </w:tc>
        <w:tc>
          <w:tcPr>
            <w:tcW w:w="1342" w:type="dxa"/>
            <w:tcBorders>
              <w:top w:val="nil"/>
              <w:bottom w:val="single" w:sz="4" w:space="0" w:color="auto"/>
              <w:right w:val="nil"/>
            </w:tcBorders>
            <w:shd w:val="clear" w:color="auto" w:fill="auto"/>
            <w:vAlign w:val="bottom"/>
          </w:tcPr>
          <w:p w14:paraId="7DA11949" w14:textId="47C7F3F7" w:rsidR="00DF44F2" w:rsidRPr="000E5941" w:rsidRDefault="00760BBB" w:rsidP="00DF44F2">
            <w:pPr>
              <w:pStyle w:val="TT"/>
              <w:spacing w:line="280" w:lineRule="exact"/>
              <w:jc w:val="right"/>
              <w:rPr>
                <w:rFonts w:asciiTheme="minorHAnsi" w:hAnsiTheme="minorHAnsi"/>
                <w:sz w:val="20"/>
              </w:rPr>
            </w:pPr>
            <w:r>
              <w:rPr>
                <w:rFonts w:asciiTheme="minorHAnsi" w:hAnsiTheme="minorHAnsi"/>
                <w:sz w:val="20"/>
              </w:rPr>
              <w:t>-</w:t>
            </w:r>
          </w:p>
        </w:tc>
        <w:tc>
          <w:tcPr>
            <w:tcW w:w="1340" w:type="dxa"/>
            <w:tcBorders>
              <w:top w:val="nil"/>
              <w:bottom w:val="single" w:sz="4" w:space="0" w:color="auto"/>
              <w:right w:val="nil"/>
            </w:tcBorders>
            <w:shd w:val="clear" w:color="auto" w:fill="auto"/>
            <w:vAlign w:val="bottom"/>
          </w:tcPr>
          <w:p w14:paraId="28541349" w14:textId="1EA49559" w:rsidR="00DF44F2" w:rsidRPr="00682116" w:rsidRDefault="00DF44F2" w:rsidP="00DF44F2">
            <w:pPr>
              <w:pStyle w:val="TT"/>
              <w:spacing w:line="280" w:lineRule="exact"/>
              <w:jc w:val="right"/>
              <w:rPr>
                <w:rFonts w:asciiTheme="minorHAnsi" w:hAnsiTheme="minorHAnsi" w:cs="Arial"/>
                <w:bCs/>
                <w:iCs/>
                <w:sz w:val="20"/>
                <w:lang w:val="hr-HR"/>
              </w:rPr>
            </w:pPr>
            <w:r w:rsidRPr="00682116">
              <w:rPr>
                <w:rFonts w:asciiTheme="minorHAnsi" w:hAnsiTheme="minorHAnsi"/>
                <w:sz w:val="20"/>
              </w:rPr>
              <w:t>4.289</w:t>
            </w:r>
          </w:p>
        </w:tc>
        <w:tc>
          <w:tcPr>
            <w:tcW w:w="1353" w:type="dxa"/>
            <w:gridSpan w:val="2"/>
            <w:tcBorders>
              <w:top w:val="nil"/>
              <w:left w:val="nil"/>
              <w:bottom w:val="single" w:sz="4" w:space="0" w:color="auto"/>
              <w:right w:val="nil"/>
            </w:tcBorders>
            <w:shd w:val="clear" w:color="auto" w:fill="auto"/>
            <w:vAlign w:val="bottom"/>
          </w:tcPr>
          <w:p w14:paraId="3C74A479" w14:textId="2B023214" w:rsidR="00DF44F2" w:rsidRPr="00682116" w:rsidRDefault="00DF44F2" w:rsidP="00DF44F2">
            <w:pPr>
              <w:pStyle w:val="TT"/>
              <w:spacing w:line="280" w:lineRule="exact"/>
              <w:jc w:val="right"/>
              <w:rPr>
                <w:rFonts w:asciiTheme="minorHAnsi" w:hAnsiTheme="minorHAnsi" w:cs="Arial"/>
                <w:bCs/>
                <w:iCs/>
                <w:sz w:val="20"/>
                <w:lang w:val="hr-HR"/>
              </w:rPr>
            </w:pPr>
            <w:r w:rsidRPr="00682116">
              <w:rPr>
                <w:rFonts w:asciiTheme="minorHAnsi" w:hAnsiTheme="minorHAnsi"/>
                <w:sz w:val="20"/>
              </w:rPr>
              <w:t>-</w:t>
            </w:r>
          </w:p>
        </w:tc>
      </w:tr>
      <w:tr w:rsidR="00DF44F2" w:rsidRPr="003A63DB" w14:paraId="3BFF38F1" w14:textId="77777777" w:rsidTr="00312975">
        <w:trPr>
          <w:trHeight w:val="329"/>
          <w:jc w:val="center"/>
        </w:trPr>
        <w:tc>
          <w:tcPr>
            <w:tcW w:w="3764" w:type="dxa"/>
            <w:vAlign w:val="bottom"/>
          </w:tcPr>
          <w:p w14:paraId="7CB994E9" w14:textId="77777777" w:rsidR="00DF44F2" w:rsidRPr="003A63DB" w:rsidRDefault="00DF44F2" w:rsidP="00DF44F2">
            <w:pPr>
              <w:tabs>
                <w:tab w:val="right" w:pos="1202"/>
              </w:tabs>
              <w:spacing w:after="0" w:line="240" w:lineRule="auto"/>
              <w:outlineLvl w:val="0"/>
              <w:rPr>
                <w:rFonts w:eastAsia="Times New Roman" w:cs="Arial"/>
                <w:b/>
                <w:sz w:val="20"/>
                <w:szCs w:val="20"/>
              </w:rPr>
            </w:pPr>
            <w:r w:rsidRPr="003A63DB">
              <w:rPr>
                <w:rFonts w:eastAsia="Times New Roman" w:cs="Arial"/>
                <w:b/>
                <w:sz w:val="20"/>
                <w:szCs w:val="20"/>
              </w:rPr>
              <w:t>Ukupno</w:t>
            </w:r>
          </w:p>
        </w:tc>
        <w:tc>
          <w:tcPr>
            <w:tcW w:w="1342" w:type="dxa"/>
            <w:tcBorders>
              <w:top w:val="single" w:sz="4" w:space="0" w:color="auto"/>
              <w:bottom w:val="single" w:sz="12" w:space="0" w:color="auto"/>
              <w:right w:val="nil"/>
            </w:tcBorders>
            <w:shd w:val="clear" w:color="auto" w:fill="auto"/>
            <w:vAlign w:val="bottom"/>
          </w:tcPr>
          <w:p w14:paraId="7692AF85" w14:textId="5CE72A0A" w:rsidR="00DF44F2" w:rsidRPr="00682116" w:rsidRDefault="00760BBB" w:rsidP="00DF44F2">
            <w:pPr>
              <w:tabs>
                <w:tab w:val="right" w:pos="1202"/>
              </w:tabs>
              <w:spacing w:after="0" w:line="240" w:lineRule="auto"/>
              <w:jc w:val="right"/>
              <w:outlineLvl w:val="0"/>
              <w:rPr>
                <w:b/>
                <w:sz w:val="20"/>
                <w:szCs w:val="20"/>
              </w:rPr>
            </w:pPr>
            <w:r>
              <w:rPr>
                <w:b/>
                <w:sz w:val="20"/>
                <w:szCs w:val="20"/>
              </w:rPr>
              <w:t>5.045.842</w:t>
            </w:r>
          </w:p>
        </w:tc>
        <w:tc>
          <w:tcPr>
            <w:tcW w:w="1342" w:type="dxa"/>
            <w:tcBorders>
              <w:top w:val="single" w:sz="4" w:space="0" w:color="auto"/>
              <w:bottom w:val="single" w:sz="12" w:space="0" w:color="auto"/>
              <w:right w:val="nil"/>
            </w:tcBorders>
            <w:shd w:val="clear" w:color="auto" w:fill="auto"/>
            <w:vAlign w:val="bottom"/>
          </w:tcPr>
          <w:p w14:paraId="74646B56" w14:textId="2B449D46" w:rsidR="00DF44F2" w:rsidRPr="00682116" w:rsidRDefault="00760BBB" w:rsidP="00DF44F2">
            <w:pPr>
              <w:tabs>
                <w:tab w:val="right" w:pos="1202"/>
              </w:tabs>
              <w:spacing w:after="0" w:line="240" w:lineRule="auto"/>
              <w:jc w:val="right"/>
              <w:outlineLvl w:val="0"/>
              <w:rPr>
                <w:b/>
                <w:sz w:val="20"/>
                <w:szCs w:val="20"/>
              </w:rPr>
            </w:pPr>
            <w:r>
              <w:rPr>
                <w:b/>
                <w:sz w:val="20"/>
                <w:szCs w:val="20"/>
              </w:rPr>
              <w:t>354.359</w:t>
            </w:r>
          </w:p>
        </w:tc>
        <w:tc>
          <w:tcPr>
            <w:tcW w:w="1340" w:type="dxa"/>
            <w:tcBorders>
              <w:top w:val="single" w:sz="4" w:space="0" w:color="auto"/>
              <w:bottom w:val="single" w:sz="12" w:space="0" w:color="auto"/>
            </w:tcBorders>
            <w:shd w:val="clear" w:color="auto" w:fill="auto"/>
            <w:vAlign w:val="bottom"/>
          </w:tcPr>
          <w:p w14:paraId="4B76C358" w14:textId="0E47EC54" w:rsidR="00DF44F2" w:rsidRPr="00682116" w:rsidRDefault="00DF44F2" w:rsidP="00DF44F2">
            <w:pPr>
              <w:tabs>
                <w:tab w:val="right" w:pos="1202"/>
              </w:tabs>
              <w:spacing w:after="0" w:line="240" w:lineRule="auto"/>
              <w:jc w:val="right"/>
              <w:outlineLvl w:val="0"/>
              <w:rPr>
                <w:rFonts w:cs="Arial"/>
                <w:b/>
                <w:bCs/>
                <w:sz w:val="20"/>
                <w:szCs w:val="20"/>
              </w:rPr>
            </w:pPr>
            <w:r w:rsidRPr="00682116">
              <w:rPr>
                <w:b/>
                <w:sz w:val="20"/>
                <w:szCs w:val="20"/>
              </w:rPr>
              <w:t>5.478.988</w:t>
            </w:r>
          </w:p>
        </w:tc>
        <w:tc>
          <w:tcPr>
            <w:tcW w:w="1353" w:type="dxa"/>
            <w:gridSpan w:val="2"/>
            <w:tcBorders>
              <w:top w:val="single" w:sz="4" w:space="0" w:color="auto"/>
              <w:bottom w:val="single" w:sz="12" w:space="0" w:color="auto"/>
            </w:tcBorders>
            <w:shd w:val="clear" w:color="auto" w:fill="auto"/>
            <w:vAlign w:val="bottom"/>
          </w:tcPr>
          <w:p w14:paraId="2630DF9C" w14:textId="78421BCB" w:rsidR="00DF44F2" w:rsidRPr="00682116" w:rsidRDefault="00DF44F2" w:rsidP="00DF44F2">
            <w:pPr>
              <w:tabs>
                <w:tab w:val="right" w:pos="1202"/>
              </w:tabs>
              <w:spacing w:after="0" w:line="240" w:lineRule="auto"/>
              <w:jc w:val="right"/>
              <w:outlineLvl w:val="0"/>
              <w:rPr>
                <w:rFonts w:cs="Arial"/>
                <w:b/>
                <w:bCs/>
                <w:sz w:val="20"/>
                <w:szCs w:val="20"/>
              </w:rPr>
            </w:pPr>
            <w:r w:rsidRPr="00682116">
              <w:rPr>
                <w:b/>
                <w:sz w:val="20"/>
                <w:szCs w:val="20"/>
              </w:rPr>
              <w:t>167.590</w:t>
            </w:r>
          </w:p>
        </w:tc>
      </w:tr>
    </w:tbl>
    <w:p w14:paraId="49384426" w14:textId="77777777" w:rsidR="003A63DB" w:rsidRDefault="003A63DB" w:rsidP="003A63DB">
      <w:pPr>
        <w:spacing w:after="0" w:line="240" w:lineRule="auto"/>
        <w:jc w:val="both"/>
        <w:rPr>
          <w:rFonts w:eastAsia="Times New Roman" w:cs="Arial"/>
          <w:bCs/>
          <w:sz w:val="24"/>
          <w:szCs w:val="24"/>
          <w:highlight w:val="yellow"/>
        </w:rPr>
      </w:pPr>
    </w:p>
    <w:p w14:paraId="0E9B5467" w14:textId="77777777" w:rsidR="00305343" w:rsidRDefault="00305343" w:rsidP="003A63DB">
      <w:pPr>
        <w:spacing w:after="0" w:line="240" w:lineRule="auto"/>
        <w:jc w:val="both"/>
        <w:rPr>
          <w:rFonts w:eastAsia="Times New Roman" w:cs="Arial"/>
          <w:bCs/>
          <w:sz w:val="24"/>
          <w:szCs w:val="24"/>
          <w:highlight w:val="yellow"/>
        </w:rPr>
      </w:pPr>
    </w:p>
    <w:tbl>
      <w:tblPr>
        <w:tblW w:w="4839" w:type="pct"/>
        <w:jc w:val="center"/>
        <w:tblLayout w:type="fixed"/>
        <w:tblCellMar>
          <w:left w:w="113" w:type="dxa"/>
          <w:right w:w="85" w:type="dxa"/>
        </w:tblCellMar>
        <w:tblLook w:val="00A0" w:firstRow="1" w:lastRow="0" w:firstColumn="1" w:lastColumn="0" w:noHBand="0" w:noVBand="0"/>
      </w:tblPr>
      <w:tblGrid>
        <w:gridCol w:w="3688"/>
        <w:gridCol w:w="1389"/>
        <w:gridCol w:w="1390"/>
        <w:gridCol w:w="1250"/>
        <w:gridCol w:w="1336"/>
      </w:tblGrid>
      <w:tr w:rsidR="0012207C" w:rsidRPr="003A63DB" w14:paraId="6BBE4496" w14:textId="77777777" w:rsidTr="00682116">
        <w:trPr>
          <w:cantSplit/>
          <w:trHeight w:val="14"/>
          <w:jc w:val="center"/>
        </w:trPr>
        <w:tc>
          <w:tcPr>
            <w:tcW w:w="3688" w:type="dxa"/>
            <w:vAlign w:val="bottom"/>
          </w:tcPr>
          <w:p w14:paraId="7801AAC9" w14:textId="77777777" w:rsidR="0012207C" w:rsidRPr="003A63DB" w:rsidRDefault="0012207C" w:rsidP="00882293">
            <w:pPr>
              <w:tabs>
                <w:tab w:val="right" w:pos="1202"/>
              </w:tabs>
              <w:spacing w:after="0" w:line="240" w:lineRule="auto"/>
              <w:outlineLvl w:val="0"/>
              <w:rPr>
                <w:rFonts w:eastAsia="Times New Roman" w:cs="Arial"/>
                <w:sz w:val="20"/>
                <w:szCs w:val="20"/>
              </w:rPr>
            </w:pPr>
            <w:r w:rsidRPr="003A63DB">
              <w:rPr>
                <w:rFonts w:eastAsia="Times New Roman" w:cs="Arial"/>
                <w:b/>
                <w:sz w:val="20"/>
                <w:szCs w:val="20"/>
              </w:rPr>
              <w:t>Grupa</w:t>
            </w:r>
          </w:p>
        </w:tc>
        <w:tc>
          <w:tcPr>
            <w:tcW w:w="1389" w:type="dxa"/>
            <w:vAlign w:val="center"/>
          </w:tcPr>
          <w:p w14:paraId="7301EA23" w14:textId="77777777" w:rsidR="0012207C" w:rsidRPr="003A63DB" w:rsidRDefault="0012207C"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Prihodi</w:t>
            </w:r>
          </w:p>
        </w:tc>
        <w:tc>
          <w:tcPr>
            <w:tcW w:w="1390" w:type="dxa"/>
            <w:vAlign w:val="center"/>
          </w:tcPr>
          <w:p w14:paraId="2B802A24" w14:textId="77777777" w:rsidR="0012207C" w:rsidRPr="003A63DB" w:rsidRDefault="0012207C"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Rashodi</w:t>
            </w:r>
          </w:p>
        </w:tc>
        <w:tc>
          <w:tcPr>
            <w:tcW w:w="1250" w:type="dxa"/>
            <w:vAlign w:val="center"/>
          </w:tcPr>
          <w:p w14:paraId="6EDD706E" w14:textId="77777777" w:rsidR="0012207C" w:rsidRPr="003A63DB" w:rsidRDefault="0012207C"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Prihodi</w:t>
            </w:r>
          </w:p>
        </w:tc>
        <w:tc>
          <w:tcPr>
            <w:tcW w:w="1336" w:type="dxa"/>
            <w:vAlign w:val="center"/>
          </w:tcPr>
          <w:p w14:paraId="402F257F" w14:textId="77777777" w:rsidR="0012207C" w:rsidRPr="003A63DB" w:rsidRDefault="0012207C"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Rashodi</w:t>
            </w:r>
          </w:p>
        </w:tc>
      </w:tr>
      <w:tr w:rsidR="00682116" w:rsidRPr="003A63DB" w14:paraId="69B423F1" w14:textId="77777777" w:rsidTr="004B42E3">
        <w:trPr>
          <w:cantSplit/>
          <w:trHeight w:hRule="exact" w:val="500"/>
          <w:jc w:val="center"/>
        </w:trPr>
        <w:tc>
          <w:tcPr>
            <w:tcW w:w="3688" w:type="dxa"/>
            <w:vAlign w:val="bottom"/>
          </w:tcPr>
          <w:p w14:paraId="7D5A2B52" w14:textId="77777777" w:rsidR="00682116" w:rsidRPr="003A63DB" w:rsidRDefault="00682116" w:rsidP="00682116">
            <w:pPr>
              <w:tabs>
                <w:tab w:val="right" w:pos="1202"/>
              </w:tabs>
              <w:spacing w:after="0" w:line="240" w:lineRule="auto"/>
              <w:outlineLvl w:val="0"/>
              <w:rPr>
                <w:rFonts w:eastAsia="Times New Roman" w:cs="Arial"/>
                <w:b/>
                <w:sz w:val="20"/>
                <w:szCs w:val="20"/>
              </w:rPr>
            </w:pPr>
          </w:p>
        </w:tc>
        <w:tc>
          <w:tcPr>
            <w:tcW w:w="1389" w:type="dxa"/>
            <w:vAlign w:val="bottom"/>
          </w:tcPr>
          <w:p w14:paraId="073CDA4F" w14:textId="6A3C8035" w:rsidR="00682116" w:rsidRPr="003A63DB" w:rsidRDefault="00491F0E">
            <w:pPr>
              <w:tabs>
                <w:tab w:val="right" w:pos="1202"/>
              </w:tabs>
              <w:spacing w:after="0" w:line="240" w:lineRule="auto"/>
              <w:jc w:val="right"/>
              <w:outlineLvl w:val="0"/>
              <w:rPr>
                <w:rFonts w:eastAsia="Times New Roman" w:cs="Arial"/>
                <w:b/>
                <w:bCs/>
                <w:iCs/>
                <w:sz w:val="20"/>
                <w:szCs w:val="20"/>
              </w:rPr>
            </w:pPr>
            <w:r>
              <w:rPr>
                <w:rFonts w:eastAsia="Times New Roman" w:cs="Arial"/>
                <w:b/>
                <w:bCs/>
                <w:iCs/>
                <w:sz w:val="20"/>
                <w:szCs w:val="20"/>
              </w:rPr>
              <w:t xml:space="preserve">1.1. - </w:t>
            </w:r>
            <w:r w:rsidR="00DF44F2">
              <w:rPr>
                <w:rFonts w:eastAsia="Times New Roman" w:cs="Arial"/>
                <w:b/>
                <w:bCs/>
                <w:iCs/>
                <w:sz w:val="20"/>
                <w:szCs w:val="20"/>
              </w:rPr>
              <w:t>30</w:t>
            </w:r>
            <w:r w:rsidR="00682116">
              <w:rPr>
                <w:rFonts w:eastAsia="Times New Roman" w:cs="Arial"/>
                <w:b/>
                <w:bCs/>
                <w:iCs/>
                <w:sz w:val="20"/>
                <w:szCs w:val="20"/>
              </w:rPr>
              <w:t>.</w:t>
            </w:r>
            <w:r w:rsidR="00DF44F2">
              <w:rPr>
                <w:rFonts w:eastAsia="Times New Roman" w:cs="Arial"/>
                <w:b/>
                <w:bCs/>
                <w:iCs/>
                <w:sz w:val="20"/>
                <w:szCs w:val="20"/>
              </w:rPr>
              <w:t>6</w:t>
            </w:r>
            <w:r w:rsidR="00682116">
              <w:rPr>
                <w:rFonts w:eastAsia="Times New Roman" w:cs="Arial"/>
                <w:b/>
                <w:bCs/>
                <w:iCs/>
                <w:sz w:val="20"/>
                <w:szCs w:val="20"/>
              </w:rPr>
              <w:t>.</w:t>
            </w:r>
            <w:r w:rsidR="00682116" w:rsidRPr="003A63DB">
              <w:rPr>
                <w:rFonts w:eastAsia="Times New Roman" w:cs="Arial"/>
                <w:b/>
                <w:bCs/>
                <w:iCs/>
                <w:sz w:val="20"/>
                <w:szCs w:val="20"/>
              </w:rPr>
              <w:t>201</w:t>
            </w:r>
            <w:r w:rsidR="00682116">
              <w:rPr>
                <w:rFonts w:eastAsia="Times New Roman" w:cs="Arial"/>
                <w:b/>
                <w:bCs/>
                <w:iCs/>
                <w:sz w:val="20"/>
                <w:szCs w:val="20"/>
              </w:rPr>
              <w:t>7</w:t>
            </w:r>
            <w:r w:rsidR="00682116" w:rsidRPr="003A63DB">
              <w:rPr>
                <w:rFonts w:eastAsia="Times New Roman" w:cs="Arial"/>
                <w:b/>
                <w:bCs/>
                <w:iCs/>
                <w:sz w:val="20"/>
                <w:szCs w:val="20"/>
              </w:rPr>
              <w:t>.</w:t>
            </w:r>
          </w:p>
        </w:tc>
        <w:tc>
          <w:tcPr>
            <w:tcW w:w="1390" w:type="dxa"/>
            <w:vAlign w:val="bottom"/>
          </w:tcPr>
          <w:p w14:paraId="448FC35E" w14:textId="1E9E2C33" w:rsidR="00682116" w:rsidRPr="003A63DB" w:rsidRDefault="00491F0E">
            <w:pPr>
              <w:tabs>
                <w:tab w:val="right" w:pos="1202"/>
              </w:tabs>
              <w:spacing w:after="0" w:line="240" w:lineRule="auto"/>
              <w:jc w:val="right"/>
              <w:outlineLvl w:val="0"/>
              <w:rPr>
                <w:rFonts w:eastAsia="Times New Roman" w:cs="Arial"/>
                <w:b/>
                <w:bCs/>
                <w:iCs/>
                <w:sz w:val="20"/>
                <w:szCs w:val="20"/>
              </w:rPr>
            </w:pPr>
            <w:r>
              <w:rPr>
                <w:rFonts w:eastAsia="Times New Roman" w:cs="Arial"/>
                <w:b/>
                <w:bCs/>
                <w:iCs/>
                <w:sz w:val="20"/>
                <w:szCs w:val="20"/>
              </w:rPr>
              <w:t xml:space="preserve">1.1. - </w:t>
            </w:r>
            <w:r w:rsidR="00DF44F2" w:rsidRPr="003A63DB">
              <w:rPr>
                <w:rFonts w:eastAsia="Times New Roman" w:cs="Arial"/>
                <w:b/>
                <w:bCs/>
                <w:iCs/>
                <w:sz w:val="20"/>
                <w:szCs w:val="20"/>
              </w:rPr>
              <w:t>3</w:t>
            </w:r>
            <w:r w:rsidR="00DF44F2">
              <w:rPr>
                <w:rFonts w:eastAsia="Times New Roman" w:cs="Arial"/>
                <w:b/>
                <w:bCs/>
                <w:iCs/>
                <w:sz w:val="20"/>
                <w:szCs w:val="20"/>
              </w:rPr>
              <w:t>0</w:t>
            </w:r>
            <w:r w:rsidR="00682116">
              <w:rPr>
                <w:rFonts w:eastAsia="Times New Roman" w:cs="Arial"/>
                <w:b/>
                <w:bCs/>
                <w:iCs/>
                <w:sz w:val="20"/>
                <w:szCs w:val="20"/>
              </w:rPr>
              <w:t>.</w:t>
            </w:r>
            <w:r w:rsidR="00DF44F2">
              <w:rPr>
                <w:rFonts w:eastAsia="Times New Roman" w:cs="Arial"/>
                <w:b/>
                <w:bCs/>
                <w:iCs/>
                <w:sz w:val="20"/>
                <w:szCs w:val="20"/>
              </w:rPr>
              <w:t>6</w:t>
            </w:r>
            <w:r w:rsidR="00682116" w:rsidRPr="003A63DB">
              <w:rPr>
                <w:rFonts w:eastAsia="Times New Roman" w:cs="Arial"/>
                <w:b/>
                <w:bCs/>
                <w:iCs/>
                <w:sz w:val="20"/>
                <w:szCs w:val="20"/>
              </w:rPr>
              <w:t>.201</w:t>
            </w:r>
            <w:r w:rsidR="00682116">
              <w:rPr>
                <w:rFonts w:eastAsia="Times New Roman" w:cs="Arial"/>
                <w:b/>
                <w:bCs/>
                <w:iCs/>
                <w:sz w:val="20"/>
                <w:szCs w:val="20"/>
              </w:rPr>
              <w:t>7</w:t>
            </w:r>
            <w:r w:rsidR="00682116" w:rsidRPr="003A63DB">
              <w:rPr>
                <w:rFonts w:eastAsia="Times New Roman" w:cs="Arial"/>
                <w:b/>
                <w:bCs/>
                <w:iCs/>
                <w:sz w:val="20"/>
                <w:szCs w:val="20"/>
              </w:rPr>
              <w:t>.</w:t>
            </w:r>
          </w:p>
        </w:tc>
        <w:tc>
          <w:tcPr>
            <w:tcW w:w="1250" w:type="dxa"/>
            <w:vAlign w:val="bottom"/>
          </w:tcPr>
          <w:p w14:paraId="5A46CF9A" w14:textId="351275B9" w:rsidR="00682116" w:rsidRPr="003A63DB" w:rsidRDefault="00491F0E">
            <w:pPr>
              <w:tabs>
                <w:tab w:val="right" w:pos="1202"/>
              </w:tabs>
              <w:spacing w:after="0" w:line="240" w:lineRule="auto"/>
              <w:jc w:val="right"/>
              <w:outlineLvl w:val="0"/>
              <w:rPr>
                <w:rFonts w:eastAsia="Times New Roman" w:cs="Arial"/>
                <w:b/>
                <w:bCs/>
                <w:iCs/>
                <w:sz w:val="20"/>
                <w:szCs w:val="20"/>
              </w:rPr>
            </w:pPr>
            <w:r>
              <w:rPr>
                <w:rFonts w:eastAsia="Times New Roman" w:cs="Arial"/>
                <w:b/>
                <w:bCs/>
                <w:iCs/>
                <w:sz w:val="20"/>
                <w:szCs w:val="20"/>
              </w:rPr>
              <w:t>1.1. -</w:t>
            </w:r>
            <w:r w:rsidR="00DF44F2">
              <w:rPr>
                <w:rFonts w:eastAsia="Times New Roman" w:cs="Arial"/>
                <w:b/>
                <w:bCs/>
                <w:iCs/>
                <w:sz w:val="20"/>
                <w:szCs w:val="20"/>
              </w:rPr>
              <w:t>30</w:t>
            </w:r>
            <w:r w:rsidR="00682116">
              <w:rPr>
                <w:rFonts w:eastAsia="Times New Roman" w:cs="Arial"/>
                <w:b/>
                <w:bCs/>
                <w:iCs/>
                <w:sz w:val="20"/>
                <w:szCs w:val="20"/>
              </w:rPr>
              <w:t>.</w:t>
            </w:r>
            <w:r w:rsidR="00DF44F2">
              <w:rPr>
                <w:rFonts w:eastAsia="Times New Roman" w:cs="Arial"/>
                <w:b/>
                <w:bCs/>
                <w:iCs/>
                <w:sz w:val="20"/>
                <w:szCs w:val="20"/>
              </w:rPr>
              <w:t>6</w:t>
            </w:r>
            <w:r w:rsidR="00682116">
              <w:rPr>
                <w:rFonts w:eastAsia="Times New Roman" w:cs="Arial"/>
                <w:b/>
                <w:bCs/>
                <w:iCs/>
                <w:sz w:val="20"/>
                <w:szCs w:val="20"/>
              </w:rPr>
              <w:t>.</w:t>
            </w:r>
            <w:r w:rsidR="00682116" w:rsidRPr="003A63DB">
              <w:rPr>
                <w:rFonts w:eastAsia="Times New Roman" w:cs="Arial"/>
                <w:b/>
                <w:bCs/>
                <w:iCs/>
                <w:sz w:val="20"/>
                <w:szCs w:val="20"/>
              </w:rPr>
              <w:t>201</w:t>
            </w:r>
            <w:r w:rsidR="00682116">
              <w:rPr>
                <w:rFonts w:eastAsia="Times New Roman" w:cs="Arial"/>
                <w:b/>
                <w:bCs/>
                <w:iCs/>
                <w:sz w:val="20"/>
                <w:szCs w:val="20"/>
              </w:rPr>
              <w:t>6</w:t>
            </w:r>
            <w:r w:rsidR="00682116" w:rsidRPr="003A63DB">
              <w:rPr>
                <w:rFonts w:eastAsia="Times New Roman" w:cs="Arial"/>
                <w:b/>
                <w:bCs/>
                <w:iCs/>
                <w:sz w:val="20"/>
                <w:szCs w:val="20"/>
              </w:rPr>
              <w:t>.</w:t>
            </w:r>
          </w:p>
        </w:tc>
        <w:tc>
          <w:tcPr>
            <w:tcW w:w="1336" w:type="dxa"/>
            <w:vAlign w:val="bottom"/>
          </w:tcPr>
          <w:p w14:paraId="69973AB5" w14:textId="203B01D7" w:rsidR="00682116" w:rsidRPr="003A63DB" w:rsidRDefault="00491F0E">
            <w:pPr>
              <w:tabs>
                <w:tab w:val="right" w:pos="1202"/>
              </w:tabs>
              <w:spacing w:after="0" w:line="240" w:lineRule="auto"/>
              <w:jc w:val="right"/>
              <w:outlineLvl w:val="0"/>
              <w:rPr>
                <w:rFonts w:eastAsia="Times New Roman" w:cs="Arial"/>
                <w:b/>
                <w:bCs/>
                <w:iCs/>
                <w:sz w:val="20"/>
                <w:szCs w:val="20"/>
              </w:rPr>
            </w:pPr>
            <w:r>
              <w:rPr>
                <w:rFonts w:eastAsia="Times New Roman" w:cs="Arial"/>
                <w:b/>
                <w:bCs/>
                <w:iCs/>
                <w:sz w:val="20"/>
                <w:szCs w:val="20"/>
              </w:rPr>
              <w:t xml:space="preserve">1.1.- </w:t>
            </w:r>
            <w:r w:rsidR="00DF44F2" w:rsidRPr="003A63DB">
              <w:rPr>
                <w:rFonts w:eastAsia="Times New Roman" w:cs="Arial"/>
                <w:b/>
                <w:bCs/>
                <w:iCs/>
                <w:sz w:val="20"/>
                <w:szCs w:val="20"/>
              </w:rPr>
              <w:t>3</w:t>
            </w:r>
            <w:r w:rsidR="00DF44F2">
              <w:rPr>
                <w:rFonts w:eastAsia="Times New Roman" w:cs="Arial"/>
                <w:b/>
                <w:bCs/>
                <w:iCs/>
                <w:sz w:val="20"/>
                <w:szCs w:val="20"/>
              </w:rPr>
              <w:t>0</w:t>
            </w:r>
            <w:r w:rsidR="00682116">
              <w:rPr>
                <w:rFonts w:eastAsia="Times New Roman" w:cs="Arial"/>
                <w:b/>
                <w:bCs/>
                <w:iCs/>
                <w:sz w:val="20"/>
                <w:szCs w:val="20"/>
              </w:rPr>
              <w:t>.</w:t>
            </w:r>
            <w:r w:rsidR="00DF44F2">
              <w:rPr>
                <w:rFonts w:eastAsia="Times New Roman" w:cs="Arial"/>
                <w:b/>
                <w:bCs/>
                <w:iCs/>
                <w:sz w:val="20"/>
                <w:szCs w:val="20"/>
              </w:rPr>
              <w:t>6</w:t>
            </w:r>
            <w:r w:rsidR="00682116" w:rsidRPr="003A63DB">
              <w:rPr>
                <w:rFonts w:eastAsia="Times New Roman" w:cs="Arial"/>
                <w:b/>
                <w:bCs/>
                <w:iCs/>
                <w:sz w:val="20"/>
                <w:szCs w:val="20"/>
              </w:rPr>
              <w:t>.201</w:t>
            </w:r>
            <w:r w:rsidR="00682116">
              <w:rPr>
                <w:rFonts w:eastAsia="Times New Roman" w:cs="Arial"/>
                <w:b/>
                <w:bCs/>
                <w:iCs/>
                <w:sz w:val="20"/>
                <w:szCs w:val="20"/>
              </w:rPr>
              <w:t>6</w:t>
            </w:r>
            <w:r w:rsidR="00682116" w:rsidRPr="003A63DB">
              <w:rPr>
                <w:rFonts w:eastAsia="Times New Roman" w:cs="Arial"/>
                <w:b/>
                <w:bCs/>
                <w:iCs/>
                <w:sz w:val="20"/>
                <w:szCs w:val="20"/>
              </w:rPr>
              <w:t>.</w:t>
            </w:r>
          </w:p>
        </w:tc>
      </w:tr>
      <w:tr w:rsidR="00DF44F2" w:rsidRPr="003A63DB" w14:paraId="2F239C4A" w14:textId="77777777" w:rsidTr="00312975">
        <w:trPr>
          <w:cantSplit/>
          <w:trHeight w:hRule="exact" w:val="284"/>
          <w:jc w:val="center"/>
        </w:trPr>
        <w:tc>
          <w:tcPr>
            <w:tcW w:w="3688" w:type="dxa"/>
            <w:vAlign w:val="bottom"/>
          </w:tcPr>
          <w:p w14:paraId="3ED3CDDC" w14:textId="77777777" w:rsidR="00DF44F2" w:rsidRPr="003A63DB" w:rsidRDefault="00DF44F2" w:rsidP="00DF44F2">
            <w:pPr>
              <w:tabs>
                <w:tab w:val="right" w:pos="1202"/>
              </w:tabs>
              <w:spacing w:after="0" w:line="240" w:lineRule="auto"/>
              <w:outlineLvl w:val="0"/>
              <w:rPr>
                <w:rFonts w:eastAsia="Times New Roman" w:cs="Arial"/>
                <w:sz w:val="20"/>
                <w:szCs w:val="20"/>
              </w:rPr>
            </w:pPr>
            <w:r w:rsidRPr="003A63DB">
              <w:rPr>
                <w:rFonts w:eastAsia="Times New Roman" w:cs="Arial"/>
                <w:sz w:val="20"/>
                <w:szCs w:val="20"/>
              </w:rPr>
              <w:t>Vlasnik</w:t>
            </w:r>
          </w:p>
        </w:tc>
        <w:tc>
          <w:tcPr>
            <w:tcW w:w="1389" w:type="dxa"/>
            <w:tcBorders>
              <w:top w:val="nil"/>
              <w:left w:val="nil"/>
              <w:bottom w:val="nil"/>
              <w:right w:val="nil"/>
            </w:tcBorders>
            <w:shd w:val="clear" w:color="000000" w:fill="auto"/>
            <w:vAlign w:val="bottom"/>
          </w:tcPr>
          <w:p w14:paraId="5E8D4DAE" w14:textId="102ABCBA" w:rsidR="00DF44F2" w:rsidRPr="002C12B4" w:rsidRDefault="00760BBB" w:rsidP="00DF44F2">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39.347</w:t>
            </w:r>
          </w:p>
        </w:tc>
        <w:tc>
          <w:tcPr>
            <w:tcW w:w="1390" w:type="dxa"/>
            <w:tcBorders>
              <w:top w:val="nil"/>
              <w:left w:val="nil"/>
              <w:bottom w:val="nil"/>
              <w:right w:val="nil"/>
            </w:tcBorders>
            <w:shd w:val="clear" w:color="000000" w:fill="auto"/>
            <w:vAlign w:val="bottom"/>
          </w:tcPr>
          <w:p w14:paraId="6DEA0777" w14:textId="5296E138" w:rsidR="00DF44F2" w:rsidRPr="002C12B4" w:rsidRDefault="00760BBB" w:rsidP="00DF44F2">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136</w:t>
            </w:r>
          </w:p>
        </w:tc>
        <w:tc>
          <w:tcPr>
            <w:tcW w:w="1250" w:type="dxa"/>
            <w:tcBorders>
              <w:top w:val="nil"/>
              <w:left w:val="nil"/>
              <w:bottom w:val="nil"/>
              <w:right w:val="nil"/>
            </w:tcBorders>
            <w:shd w:val="clear" w:color="000000" w:fill="auto"/>
            <w:vAlign w:val="bottom"/>
          </w:tcPr>
          <w:p w14:paraId="462D58B7" w14:textId="014AFD49" w:rsidR="00DF44F2" w:rsidRPr="00257CDB" w:rsidRDefault="00DF44F2" w:rsidP="00312975">
            <w:pPr>
              <w:pStyle w:val="TT"/>
              <w:spacing w:line="280" w:lineRule="exact"/>
              <w:jc w:val="right"/>
              <w:rPr>
                <w:sz w:val="20"/>
              </w:rPr>
            </w:pPr>
            <w:r w:rsidRPr="00312975">
              <w:rPr>
                <w:rFonts w:asciiTheme="minorHAnsi" w:hAnsiTheme="minorHAnsi"/>
                <w:sz w:val="20"/>
              </w:rPr>
              <w:t>51.904</w:t>
            </w:r>
          </w:p>
        </w:tc>
        <w:tc>
          <w:tcPr>
            <w:tcW w:w="1336" w:type="dxa"/>
            <w:tcBorders>
              <w:top w:val="nil"/>
              <w:left w:val="nil"/>
              <w:bottom w:val="nil"/>
            </w:tcBorders>
            <w:shd w:val="clear" w:color="000000" w:fill="auto"/>
            <w:vAlign w:val="bottom"/>
          </w:tcPr>
          <w:p w14:paraId="54B14151" w14:textId="34E38820" w:rsidR="00DF44F2" w:rsidRPr="00257CDB" w:rsidRDefault="00DF44F2" w:rsidP="00312975">
            <w:pPr>
              <w:pStyle w:val="TT"/>
              <w:spacing w:line="280" w:lineRule="exact"/>
              <w:jc w:val="right"/>
              <w:rPr>
                <w:sz w:val="20"/>
              </w:rPr>
            </w:pPr>
            <w:r w:rsidRPr="00312975">
              <w:rPr>
                <w:rFonts w:asciiTheme="minorHAnsi" w:hAnsiTheme="minorHAnsi"/>
                <w:sz w:val="20"/>
              </w:rPr>
              <w:t>5.177</w:t>
            </w:r>
          </w:p>
        </w:tc>
      </w:tr>
      <w:tr w:rsidR="00DF44F2" w:rsidRPr="003A63DB" w14:paraId="04289D23" w14:textId="77777777" w:rsidTr="00312975">
        <w:trPr>
          <w:cantSplit/>
          <w:trHeight w:hRule="exact" w:val="284"/>
          <w:jc w:val="center"/>
        </w:trPr>
        <w:tc>
          <w:tcPr>
            <w:tcW w:w="3688" w:type="dxa"/>
            <w:vAlign w:val="bottom"/>
          </w:tcPr>
          <w:p w14:paraId="042F90E3" w14:textId="77777777" w:rsidR="00DF44F2" w:rsidRPr="003A63DB" w:rsidRDefault="00DF44F2" w:rsidP="00DF44F2">
            <w:pPr>
              <w:tabs>
                <w:tab w:val="right" w:pos="1202"/>
              </w:tabs>
              <w:spacing w:after="0" w:line="240" w:lineRule="auto"/>
              <w:outlineLvl w:val="0"/>
              <w:rPr>
                <w:rFonts w:eastAsia="Times New Roman" w:cs="Arial"/>
                <w:sz w:val="20"/>
                <w:szCs w:val="20"/>
              </w:rPr>
            </w:pPr>
            <w:r w:rsidRPr="003A63DB">
              <w:rPr>
                <w:rFonts w:eastAsia="Times New Roman" w:cs="Arial"/>
                <w:sz w:val="20"/>
                <w:szCs w:val="20"/>
              </w:rPr>
              <w:t>Državni fondovi, izvršna tijela i agencije</w:t>
            </w:r>
          </w:p>
        </w:tc>
        <w:tc>
          <w:tcPr>
            <w:tcW w:w="1389" w:type="dxa"/>
            <w:tcBorders>
              <w:top w:val="nil"/>
              <w:left w:val="nil"/>
              <w:bottom w:val="nil"/>
              <w:right w:val="nil"/>
            </w:tcBorders>
            <w:shd w:val="clear" w:color="auto" w:fill="auto"/>
            <w:vAlign w:val="bottom"/>
          </w:tcPr>
          <w:p w14:paraId="2FD60B50" w14:textId="17EA0CB8" w:rsidR="00DF44F2" w:rsidRPr="002C12B4" w:rsidRDefault="00257453" w:rsidP="00DF44F2">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11.717</w:t>
            </w:r>
          </w:p>
        </w:tc>
        <w:tc>
          <w:tcPr>
            <w:tcW w:w="1390" w:type="dxa"/>
            <w:tcBorders>
              <w:top w:val="nil"/>
              <w:left w:val="nil"/>
              <w:bottom w:val="nil"/>
              <w:right w:val="nil"/>
            </w:tcBorders>
            <w:shd w:val="clear" w:color="auto" w:fill="auto"/>
            <w:vAlign w:val="bottom"/>
          </w:tcPr>
          <w:p w14:paraId="417CD467" w14:textId="08F6ACB3" w:rsidR="00DF44F2" w:rsidRPr="002C12B4" w:rsidRDefault="00760BBB" w:rsidP="00DF44F2">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160</w:t>
            </w:r>
          </w:p>
        </w:tc>
        <w:tc>
          <w:tcPr>
            <w:tcW w:w="1250" w:type="dxa"/>
            <w:tcBorders>
              <w:top w:val="nil"/>
              <w:left w:val="nil"/>
              <w:bottom w:val="nil"/>
              <w:right w:val="nil"/>
            </w:tcBorders>
            <w:shd w:val="clear" w:color="auto" w:fill="auto"/>
            <w:vAlign w:val="bottom"/>
          </w:tcPr>
          <w:p w14:paraId="6CED532D" w14:textId="7A4C138C" w:rsidR="00DF44F2" w:rsidRPr="00257CDB" w:rsidRDefault="00DF44F2" w:rsidP="00312975">
            <w:pPr>
              <w:pStyle w:val="TT"/>
              <w:spacing w:line="280" w:lineRule="exact"/>
              <w:jc w:val="right"/>
              <w:rPr>
                <w:sz w:val="20"/>
              </w:rPr>
            </w:pPr>
            <w:r w:rsidRPr="00312975">
              <w:rPr>
                <w:rFonts w:asciiTheme="minorHAnsi" w:hAnsiTheme="minorHAnsi"/>
                <w:sz w:val="20"/>
              </w:rPr>
              <w:t>9.776</w:t>
            </w:r>
          </w:p>
        </w:tc>
        <w:tc>
          <w:tcPr>
            <w:tcW w:w="1336" w:type="dxa"/>
            <w:tcBorders>
              <w:top w:val="nil"/>
              <w:left w:val="nil"/>
              <w:bottom w:val="nil"/>
            </w:tcBorders>
            <w:shd w:val="clear" w:color="auto" w:fill="auto"/>
            <w:vAlign w:val="bottom"/>
          </w:tcPr>
          <w:p w14:paraId="679CC46E" w14:textId="5396D31D" w:rsidR="00DF44F2" w:rsidRPr="00257CDB" w:rsidRDefault="00DF44F2" w:rsidP="00312975">
            <w:pPr>
              <w:pStyle w:val="TT"/>
              <w:spacing w:line="280" w:lineRule="exact"/>
              <w:jc w:val="right"/>
              <w:rPr>
                <w:sz w:val="20"/>
              </w:rPr>
            </w:pPr>
            <w:r w:rsidRPr="00312975">
              <w:rPr>
                <w:rFonts w:asciiTheme="minorHAnsi" w:hAnsiTheme="minorHAnsi"/>
                <w:sz w:val="20"/>
              </w:rPr>
              <w:t>494</w:t>
            </w:r>
          </w:p>
        </w:tc>
      </w:tr>
      <w:tr w:rsidR="00DF44F2" w:rsidRPr="003A63DB" w14:paraId="5EB688E5" w14:textId="77777777" w:rsidTr="00312975">
        <w:trPr>
          <w:cantSplit/>
          <w:trHeight w:hRule="exact" w:val="284"/>
          <w:jc w:val="center"/>
        </w:trPr>
        <w:tc>
          <w:tcPr>
            <w:tcW w:w="3688" w:type="dxa"/>
            <w:vAlign w:val="bottom"/>
          </w:tcPr>
          <w:p w14:paraId="2520EDC8" w14:textId="77777777" w:rsidR="00DF44F2" w:rsidRPr="003A63DB" w:rsidRDefault="00DF44F2" w:rsidP="00DF44F2">
            <w:pPr>
              <w:tabs>
                <w:tab w:val="right" w:pos="1202"/>
              </w:tabs>
              <w:spacing w:after="0" w:line="240" w:lineRule="auto"/>
              <w:outlineLvl w:val="0"/>
              <w:rPr>
                <w:rFonts w:eastAsia="Times New Roman" w:cs="Arial"/>
                <w:sz w:val="20"/>
                <w:szCs w:val="20"/>
              </w:rPr>
            </w:pPr>
            <w:r w:rsidRPr="003A63DB">
              <w:rPr>
                <w:rFonts w:eastAsia="Times New Roman" w:cs="Arial"/>
                <w:sz w:val="20"/>
                <w:szCs w:val="20"/>
              </w:rPr>
              <w:t>Državna trgovačka društva</w:t>
            </w:r>
          </w:p>
        </w:tc>
        <w:tc>
          <w:tcPr>
            <w:tcW w:w="1389" w:type="dxa"/>
            <w:tcBorders>
              <w:top w:val="nil"/>
              <w:left w:val="nil"/>
              <w:right w:val="nil"/>
            </w:tcBorders>
            <w:shd w:val="clear" w:color="auto" w:fill="auto"/>
            <w:vAlign w:val="bottom"/>
          </w:tcPr>
          <w:p w14:paraId="7B4ECF9E" w14:textId="5C2DDB52" w:rsidR="00DF44F2" w:rsidRPr="002C12B4" w:rsidRDefault="00760BBB" w:rsidP="00DF44F2">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30.535</w:t>
            </w:r>
          </w:p>
        </w:tc>
        <w:tc>
          <w:tcPr>
            <w:tcW w:w="1390" w:type="dxa"/>
            <w:tcBorders>
              <w:top w:val="nil"/>
              <w:left w:val="nil"/>
              <w:right w:val="nil"/>
            </w:tcBorders>
            <w:shd w:val="clear" w:color="auto" w:fill="auto"/>
            <w:vAlign w:val="bottom"/>
          </w:tcPr>
          <w:p w14:paraId="197FE8EC" w14:textId="6643C62F" w:rsidR="00DF44F2" w:rsidRPr="002C12B4" w:rsidRDefault="00760BBB" w:rsidP="00DF44F2">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2.322</w:t>
            </w:r>
          </w:p>
        </w:tc>
        <w:tc>
          <w:tcPr>
            <w:tcW w:w="1250" w:type="dxa"/>
            <w:tcBorders>
              <w:top w:val="nil"/>
              <w:left w:val="nil"/>
              <w:right w:val="nil"/>
            </w:tcBorders>
            <w:shd w:val="clear" w:color="auto" w:fill="auto"/>
            <w:vAlign w:val="bottom"/>
          </w:tcPr>
          <w:p w14:paraId="5B175769" w14:textId="5116DA68" w:rsidR="00DF44F2" w:rsidRPr="00257CDB" w:rsidRDefault="00DF44F2" w:rsidP="00312975">
            <w:pPr>
              <w:pStyle w:val="TT"/>
              <w:spacing w:line="280" w:lineRule="exact"/>
              <w:jc w:val="right"/>
              <w:rPr>
                <w:sz w:val="20"/>
              </w:rPr>
            </w:pPr>
            <w:r w:rsidRPr="00312975">
              <w:rPr>
                <w:rFonts w:asciiTheme="minorHAnsi" w:hAnsiTheme="minorHAnsi"/>
                <w:sz w:val="20"/>
              </w:rPr>
              <w:t>25.214</w:t>
            </w:r>
          </w:p>
        </w:tc>
        <w:tc>
          <w:tcPr>
            <w:tcW w:w="1336" w:type="dxa"/>
            <w:tcBorders>
              <w:top w:val="nil"/>
              <w:left w:val="nil"/>
            </w:tcBorders>
            <w:shd w:val="clear" w:color="auto" w:fill="auto"/>
            <w:vAlign w:val="bottom"/>
          </w:tcPr>
          <w:p w14:paraId="29814165" w14:textId="74C59FBF" w:rsidR="00DF44F2" w:rsidRPr="00257CDB" w:rsidRDefault="00DF44F2" w:rsidP="00312975">
            <w:pPr>
              <w:pStyle w:val="TT"/>
              <w:spacing w:line="280" w:lineRule="exact"/>
              <w:jc w:val="right"/>
              <w:rPr>
                <w:sz w:val="20"/>
              </w:rPr>
            </w:pPr>
            <w:r w:rsidRPr="00312975">
              <w:rPr>
                <w:rFonts w:asciiTheme="minorHAnsi" w:hAnsiTheme="minorHAnsi"/>
                <w:sz w:val="20"/>
              </w:rPr>
              <w:t>7.487</w:t>
            </w:r>
          </w:p>
        </w:tc>
      </w:tr>
      <w:tr w:rsidR="00DF44F2" w:rsidRPr="003A63DB" w14:paraId="300FE43D" w14:textId="77777777" w:rsidTr="00312975">
        <w:trPr>
          <w:cantSplit/>
          <w:trHeight w:hRule="exact" w:val="284"/>
          <w:jc w:val="center"/>
        </w:trPr>
        <w:tc>
          <w:tcPr>
            <w:tcW w:w="3688" w:type="dxa"/>
            <w:vAlign w:val="bottom"/>
          </w:tcPr>
          <w:p w14:paraId="1BAEA4CA" w14:textId="77777777" w:rsidR="00DF44F2" w:rsidRPr="003A63DB" w:rsidRDefault="00DF44F2" w:rsidP="00DF44F2">
            <w:pPr>
              <w:tabs>
                <w:tab w:val="right" w:pos="1202"/>
              </w:tabs>
              <w:spacing w:after="0" w:line="240" w:lineRule="auto"/>
              <w:outlineLvl w:val="0"/>
              <w:rPr>
                <w:rFonts w:eastAsia="Times New Roman" w:cs="Arial"/>
                <w:bCs/>
                <w:sz w:val="20"/>
                <w:szCs w:val="20"/>
              </w:rPr>
            </w:pPr>
            <w:r w:rsidRPr="003A63DB">
              <w:rPr>
                <w:rFonts w:eastAsia="Times New Roman" w:cs="Arial"/>
                <w:sz w:val="20"/>
                <w:szCs w:val="20"/>
              </w:rPr>
              <w:t>Pridružena društva</w:t>
            </w:r>
          </w:p>
        </w:tc>
        <w:tc>
          <w:tcPr>
            <w:tcW w:w="1389" w:type="dxa"/>
            <w:tcBorders>
              <w:top w:val="nil"/>
              <w:left w:val="nil"/>
              <w:bottom w:val="nil"/>
              <w:right w:val="nil"/>
            </w:tcBorders>
            <w:shd w:val="clear" w:color="000000" w:fill="auto"/>
            <w:vAlign w:val="bottom"/>
          </w:tcPr>
          <w:p w14:paraId="15F4ACEE" w14:textId="5C8E45AA" w:rsidR="00DF44F2" w:rsidRPr="002C12B4" w:rsidRDefault="00760BBB" w:rsidP="00DF44F2">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3.668</w:t>
            </w:r>
          </w:p>
        </w:tc>
        <w:tc>
          <w:tcPr>
            <w:tcW w:w="1390" w:type="dxa"/>
            <w:tcBorders>
              <w:top w:val="nil"/>
              <w:left w:val="nil"/>
              <w:bottom w:val="nil"/>
              <w:right w:val="nil"/>
            </w:tcBorders>
            <w:shd w:val="clear" w:color="000000" w:fill="auto"/>
            <w:vAlign w:val="bottom"/>
          </w:tcPr>
          <w:p w14:paraId="669AEE3D" w14:textId="59137E85" w:rsidR="00DF44F2" w:rsidRPr="002C12B4" w:rsidRDefault="00760BBB" w:rsidP="00DF44F2">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250" w:type="dxa"/>
            <w:tcBorders>
              <w:top w:val="nil"/>
              <w:left w:val="nil"/>
              <w:bottom w:val="nil"/>
              <w:right w:val="nil"/>
            </w:tcBorders>
            <w:shd w:val="clear" w:color="000000" w:fill="auto"/>
            <w:vAlign w:val="bottom"/>
          </w:tcPr>
          <w:p w14:paraId="60B29ACF" w14:textId="5BE9A681" w:rsidR="00DF44F2" w:rsidRPr="00257CDB" w:rsidRDefault="00DF44F2" w:rsidP="00312975">
            <w:pPr>
              <w:pStyle w:val="TT"/>
              <w:spacing w:line="280" w:lineRule="exact"/>
              <w:jc w:val="right"/>
              <w:rPr>
                <w:sz w:val="20"/>
              </w:rPr>
            </w:pPr>
            <w:r w:rsidRPr="00312975">
              <w:rPr>
                <w:rFonts w:asciiTheme="minorHAnsi" w:hAnsiTheme="minorHAnsi"/>
                <w:sz w:val="20"/>
              </w:rPr>
              <w:t>515</w:t>
            </w:r>
          </w:p>
        </w:tc>
        <w:tc>
          <w:tcPr>
            <w:tcW w:w="1336" w:type="dxa"/>
            <w:tcBorders>
              <w:top w:val="nil"/>
              <w:left w:val="nil"/>
              <w:bottom w:val="nil"/>
            </w:tcBorders>
            <w:shd w:val="clear" w:color="000000" w:fill="auto"/>
            <w:vAlign w:val="bottom"/>
          </w:tcPr>
          <w:p w14:paraId="3EE9F2AE" w14:textId="2DA59C2C" w:rsidR="00DF44F2" w:rsidRPr="00257CDB" w:rsidRDefault="00DF44F2" w:rsidP="00312975">
            <w:pPr>
              <w:pStyle w:val="TT"/>
              <w:spacing w:line="280" w:lineRule="exact"/>
              <w:jc w:val="right"/>
              <w:rPr>
                <w:sz w:val="20"/>
              </w:rPr>
            </w:pPr>
            <w:r w:rsidRPr="00312975">
              <w:rPr>
                <w:rFonts w:asciiTheme="minorHAnsi" w:hAnsiTheme="minorHAnsi"/>
                <w:sz w:val="20"/>
              </w:rPr>
              <w:t>-</w:t>
            </w:r>
          </w:p>
        </w:tc>
      </w:tr>
      <w:tr w:rsidR="00DF44F2" w:rsidRPr="003A63DB" w14:paraId="736B03F9" w14:textId="77777777" w:rsidTr="00312975">
        <w:trPr>
          <w:cantSplit/>
          <w:trHeight w:hRule="exact" w:val="284"/>
          <w:jc w:val="center"/>
        </w:trPr>
        <w:tc>
          <w:tcPr>
            <w:tcW w:w="3688" w:type="dxa"/>
            <w:vAlign w:val="bottom"/>
          </w:tcPr>
          <w:p w14:paraId="6CB3C8A1" w14:textId="77777777" w:rsidR="00DF44F2" w:rsidRPr="003A63DB" w:rsidRDefault="00DF44F2" w:rsidP="00DF44F2">
            <w:pPr>
              <w:tabs>
                <w:tab w:val="right" w:pos="1202"/>
              </w:tabs>
              <w:spacing w:after="0" w:line="240" w:lineRule="auto"/>
              <w:outlineLvl w:val="0"/>
              <w:rPr>
                <w:rFonts w:eastAsia="Times New Roman" w:cs="Arial"/>
                <w:bCs/>
                <w:sz w:val="20"/>
                <w:szCs w:val="20"/>
              </w:rPr>
            </w:pPr>
            <w:r w:rsidRPr="003A63DB">
              <w:rPr>
                <w:rFonts w:eastAsia="Times New Roman" w:cs="Arial"/>
                <w:bCs/>
                <w:sz w:val="20"/>
                <w:szCs w:val="20"/>
              </w:rPr>
              <w:t>Ostali odnosi unutar Grupe</w:t>
            </w:r>
          </w:p>
        </w:tc>
        <w:tc>
          <w:tcPr>
            <w:tcW w:w="1389" w:type="dxa"/>
            <w:tcBorders>
              <w:top w:val="nil"/>
              <w:left w:val="nil"/>
              <w:right w:val="nil"/>
            </w:tcBorders>
            <w:shd w:val="clear" w:color="auto" w:fill="auto"/>
            <w:vAlign w:val="bottom"/>
          </w:tcPr>
          <w:p w14:paraId="4824CBD6" w14:textId="456520BF" w:rsidR="00DF44F2" w:rsidRPr="002C12B4" w:rsidRDefault="00760BBB" w:rsidP="00DF44F2">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90" w:type="dxa"/>
            <w:tcBorders>
              <w:top w:val="nil"/>
              <w:left w:val="nil"/>
              <w:right w:val="nil"/>
            </w:tcBorders>
            <w:shd w:val="clear" w:color="auto" w:fill="auto"/>
            <w:vAlign w:val="bottom"/>
          </w:tcPr>
          <w:p w14:paraId="46ACBA9E" w14:textId="53A61448" w:rsidR="00DF44F2" w:rsidRPr="002C12B4" w:rsidRDefault="00760BBB" w:rsidP="00DF44F2">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250" w:type="dxa"/>
            <w:tcBorders>
              <w:top w:val="nil"/>
              <w:left w:val="nil"/>
              <w:right w:val="nil"/>
            </w:tcBorders>
            <w:shd w:val="clear" w:color="auto" w:fill="auto"/>
            <w:vAlign w:val="bottom"/>
          </w:tcPr>
          <w:p w14:paraId="6B800C1F" w14:textId="2564E048" w:rsidR="00DF44F2" w:rsidRPr="00257CDB" w:rsidRDefault="00DF44F2" w:rsidP="00312975">
            <w:pPr>
              <w:pStyle w:val="TT"/>
              <w:spacing w:line="280" w:lineRule="exact"/>
              <w:jc w:val="right"/>
              <w:rPr>
                <w:sz w:val="20"/>
              </w:rPr>
            </w:pPr>
            <w:r w:rsidRPr="00312975">
              <w:rPr>
                <w:rFonts w:asciiTheme="minorHAnsi" w:hAnsiTheme="minorHAnsi"/>
                <w:sz w:val="20"/>
              </w:rPr>
              <w:t>-</w:t>
            </w:r>
          </w:p>
        </w:tc>
        <w:tc>
          <w:tcPr>
            <w:tcW w:w="1336" w:type="dxa"/>
            <w:tcBorders>
              <w:top w:val="nil"/>
              <w:left w:val="nil"/>
            </w:tcBorders>
            <w:shd w:val="clear" w:color="auto" w:fill="auto"/>
            <w:vAlign w:val="bottom"/>
          </w:tcPr>
          <w:p w14:paraId="2A5E0177" w14:textId="29FCE0A1" w:rsidR="00DF44F2" w:rsidRPr="00257CDB" w:rsidRDefault="00DF44F2" w:rsidP="00312975">
            <w:pPr>
              <w:pStyle w:val="TT"/>
              <w:spacing w:line="280" w:lineRule="exact"/>
              <w:jc w:val="right"/>
              <w:rPr>
                <w:sz w:val="20"/>
              </w:rPr>
            </w:pPr>
            <w:r w:rsidRPr="00312975">
              <w:rPr>
                <w:rFonts w:asciiTheme="minorHAnsi" w:hAnsiTheme="minorHAnsi"/>
                <w:sz w:val="20"/>
              </w:rPr>
              <w:t>37</w:t>
            </w:r>
          </w:p>
        </w:tc>
      </w:tr>
      <w:tr w:rsidR="00DF44F2" w:rsidRPr="003A63DB" w14:paraId="2C3CC444" w14:textId="77777777" w:rsidTr="00312975">
        <w:trPr>
          <w:cantSplit/>
          <w:trHeight w:hRule="exact" w:val="284"/>
          <w:jc w:val="center"/>
        </w:trPr>
        <w:tc>
          <w:tcPr>
            <w:tcW w:w="3688" w:type="dxa"/>
            <w:vAlign w:val="bottom"/>
          </w:tcPr>
          <w:p w14:paraId="6B846E2D" w14:textId="77777777" w:rsidR="00DF44F2" w:rsidRPr="003A63DB" w:rsidRDefault="00DF44F2" w:rsidP="00DF44F2">
            <w:pPr>
              <w:tabs>
                <w:tab w:val="right" w:pos="1202"/>
              </w:tabs>
              <w:spacing w:after="0" w:line="240" w:lineRule="auto"/>
              <w:outlineLvl w:val="0"/>
              <w:rPr>
                <w:rFonts w:eastAsia="Times New Roman" w:cs="Arial"/>
                <w:bCs/>
                <w:sz w:val="20"/>
                <w:szCs w:val="20"/>
              </w:rPr>
            </w:pPr>
            <w:r w:rsidRPr="003A63DB">
              <w:rPr>
                <w:rFonts w:eastAsia="Times New Roman" w:cs="Arial"/>
                <w:bCs/>
                <w:sz w:val="20"/>
                <w:szCs w:val="20"/>
              </w:rPr>
              <w:t>Ključni članovi rukovodstva</w:t>
            </w:r>
          </w:p>
        </w:tc>
        <w:tc>
          <w:tcPr>
            <w:tcW w:w="1389" w:type="dxa"/>
            <w:tcBorders>
              <w:top w:val="nil"/>
              <w:left w:val="nil"/>
              <w:bottom w:val="single" w:sz="4" w:space="0" w:color="auto"/>
              <w:right w:val="nil"/>
            </w:tcBorders>
            <w:shd w:val="clear" w:color="auto" w:fill="auto"/>
            <w:vAlign w:val="bottom"/>
          </w:tcPr>
          <w:p w14:paraId="5283A4F7" w14:textId="65425C59" w:rsidR="00DF44F2" w:rsidRPr="002C12B4" w:rsidRDefault="00760BBB" w:rsidP="00DF44F2">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66</w:t>
            </w:r>
          </w:p>
        </w:tc>
        <w:tc>
          <w:tcPr>
            <w:tcW w:w="1390" w:type="dxa"/>
            <w:tcBorders>
              <w:top w:val="nil"/>
              <w:left w:val="nil"/>
              <w:bottom w:val="single" w:sz="4" w:space="0" w:color="auto"/>
              <w:right w:val="nil"/>
            </w:tcBorders>
            <w:shd w:val="clear" w:color="auto" w:fill="auto"/>
            <w:vAlign w:val="bottom"/>
          </w:tcPr>
          <w:p w14:paraId="1F5C71DF" w14:textId="3DDDB6B2" w:rsidR="00DF44F2" w:rsidRPr="002C12B4" w:rsidRDefault="00760BBB" w:rsidP="00DF44F2">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250" w:type="dxa"/>
            <w:tcBorders>
              <w:top w:val="nil"/>
              <w:left w:val="nil"/>
              <w:bottom w:val="single" w:sz="4" w:space="0" w:color="auto"/>
              <w:right w:val="nil"/>
            </w:tcBorders>
            <w:shd w:val="clear" w:color="auto" w:fill="auto"/>
            <w:vAlign w:val="bottom"/>
          </w:tcPr>
          <w:p w14:paraId="38893F32" w14:textId="7DB6A7DF" w:rsidR="00DF44F2" w:rsidRPr="00257CDB" w:rsidRDefault="00DF44F2" w:rsidP="00312975">
            <w:pPr>
              <w:pStyle w:val="TT"/>
              <w:spacing w:line="280" w:lineRule="exact"/>
              <w:jc w:val="right"/>
              <w:rPr>
                <w:sz w:val="20"/>
              </w:rPr>
            </w:pPr>
            <w:r w:rsidRPr="00312975">
              <w:rPr>
                <w:rFonts w:asciiTheme="minorHAnsi" w:hAnsiTheme="minorHAnsi"/>
                <w:sz w:val="20"/>
              </w:rPr>
              <w:t>79</w:t>
            </w:r>
          </w:p>
        </w:tc>
        <w:tc>
          <w:tcPr>
            <w:tcW w:w="1336" w:type="dxa"/>
            <w:tcBorders>
              <w:top w:val="nil"/>
              <w:left w:val="nil"/>
              <w:bottom w:val="single" w:sz="4" w:space="0" w:color="auto"/>
            </w:tcBorders>
            <w:shd w:val="clear" w:color="000000" w:fill="auto"/>
            <w:vAlign w:val="bottom"/>
          </w:tcPr>
          <w:p w14:paraId="044A2A13" w14:textId="635314B7" w:rsidR="00DF44F2" w:rsidRPr="00257CDB" w:rsidRDefault="00DF44F2" w:rsidP="00312975">
            <w:pPr>
              <w:pStyle w:val="TT"/>
              <w:spacing w:line="280" w:lineRule="exact"/>
              <w:jc w:val="right"/>
              <w:rPr>
                <w:sz w:val="20"/>
              </w:rPr>
            </w:pPr>
            <w:r w:rsidRPr="00312975">
              <w:rPr>
                <w:rFonts w:asciiTheme="minorHAnsi" w:hAnsiTheme="minorHAnsi"/>
                <w:sz w:val="20"/>
              </w:rPr>
              <w:t>-</w:t>
            </w:r>
          </w:p>
        </w:tc>
      </w:tr>
      <w:tr w:rsidR="00DF44F2" w:rsidRPr="003A63DB" w14:paraId="01E5AADF" w14:textId="77777777" w:rsidTr="00312975">
        <w:trPr>
          <w:cantSplit/>
          <w:trHeight w:val="323"/>
          <w:jc w:val="center"/>
        </w:trPr>
        <w:tc>
          <w:tcPr>
            <w:tcW w:w="3688" w:type="dxa"/>
            <w:vAlign w:val="bottom"/>
          </w:tcPr>
          <w:p w14:paraId="3242225F" w14:textId="77777777" w:rsidR="00DF44F2" w:rsidRPr="003A63DB" w:rsidRDefault="00DF44F2" w:rsidP="00DF44F2">
            <w:pPr>
              <w:tabs>
                <w:tab w:val="right" w:pos="1202"/>
              </w:tabs>
              <w:spacing w:after="0" w:line="240" w:lineRule="auto"/>
              <w:outlineLvl w:val="0"/>
              <w:rPr>
                <w:rFonts w:eastAsia="Times New Roman" w:cs="Arial"/>
                <w:b/>
                <w:sz w:val="20"/>
                <w:szCs w:val="20"/>
              </w:rPr>
            </w:pPr>
            <w:r w:rsidRPr="003A63DB">
              <w:rPr>
                <w:rFonts w:eastAsia="Times New Roman" w:cs="Arial"/>
                <w:b/>
                <w:sz w:val="20"/>
                <w:szCs w:val="20"/>
              </w:rPr>
              <w:t>Ukupno</w:t>
            </w:r>
          </w:p>
        </w:tc>
        <w:tc>
          <w:tcPr>
            <w:tcW w:w="1389" w:type="dxa"/>
            <w:tcBorders>
              <w:top w:val="single" w:sz="4" w:space="0" w:color="auto"/>
              <w:left w:val="nil"/>
              <w:bottom w:val="single" w:sz="12" w:space="0" w:color="auto"/>
              <w:right w:val="nil"/>
            </w:tcBorders>
            <w:shd w:val="clear" w:color="auto" w:fill="auto"/>
            <w:vAlign w:val="bottom"/>
          </w:tcPr>
          <w:p w14:paraId="2E2D5CCC" w14:textId="054E9051" w:rsidR="00DF44F2" w:rsidRPr="002C12B4" w:rsidRDefault="00760BBB" w:rsidP="00DF44F2">
            <w:pPr>
              <w:tabs>
                <w:tab w:val="right" w:pos="1202"/>
              </w:tabs>
              <w:spacing w:after="0" w:line="240" w:lineRule="auto"/>
              <w:jc w:val="right"/>
              <w:outlineLvl w:val="0"/>
              <w:rPr>
                <w:rFonts w:eastAsia="Times New Roman" w:cs="Arial"/>
                <w:b/>
                <w:iCs/>
                <w:sz w:val="20"/>
                <w:szCs w:val="20"/>
              </w:rPr>
            </w:pPr>
            <w:r>
              <w:rPr>
                <w:rFonts w:eastAsia="Times New Roman" w:cs="Arial"/>
                <w:b/>
                <w:iCs/>
                <w:sz w:val="20"/>
                <w:szCs w:val="20"/>
              </w:rPr>
              <w:t>85.333</w:t>
            </w:r>
          </w:p>
        </w:tc>
        <w:tc>
          <w:tcPr>
            <w:tcW w:w="1390" w:type="dxa"/>
            <w:tcBorders>
              <w:top w:val="single" w:sz="4" w:space="0" w:color="auto"/>
              <w:left w:val="nil"/>
              <w:bottom w:val="single" w:sz="12" w:space="0" w:color="auto"/>
              <w:right w:val="nil"/>
            </w:tcBorders>
            <w:shd w:val="clear" w:color="auto" w:fill="auto"/>
            <w:vAlign w:val="bottom"/>
          </w:tcPr>
          <w:p w14:paraId="1D4DC020" w14:textId="3203331E" w:rsidR="00DF44F2" w:rsidRPr="002C12B4" w:rsidRDefault="00760BBB" w:rsidP="00DF44F2">
            <w:pPr>
              <w:tabs>
                <w:tab w:val="right" w:pos="1202"/>
              </w:tabs>
              <w:spacing w:after="0" w:line="240" w:lineRule="auto"/>
              <w:jc w:val="right"/>
              <w:outlineLvl w:val="0"/>
              <w:rPr>
                <w:rFonts w:eastAsia="Times New Roman" w:cs="Arial"/>
                <w:b/>
                <w:iCs/>
                <w:sz w:val="20"/>
                <w:szCs w:val="20"/>
              </w:rPr>
            </w:pPr>
            <w:r>
              <w:rPr>
                <w:rFonts w:eastAsia="Times New Roman" w:cs="Arial"/>
                <w:b/>
                <w:iCs/>
                <w:sz w:val="20"/>
                <w:szCs w:val="20"/>
              </w:rPr>
              <w:t>2.618</w:t>
            </w:r>
          </w:p>
        </w:tc>
        <w:tc>
          <w:tcPr>
            <w:tcW w:w="1250" w:type="dxa"/>
            <w:tcBorders>
              <w:top w:val="single" w:sz="4" w:space="0" w:color="auto"/>
              <w:left w:val="nil"/>
              <w:bottom w:val="single" w:sz="12" w:space="0" w:color="auto"/>
              <w:right w:val="nil"/>
            </w:tcBorders>
            <w:shd w:val="clear" w:color="auto" w:fill="auto"/>
            <w:vAlign w:val="bottom"/>
          </w:tcPr>
          <w:p w14:paraId="4AD04013" w14:textId="3FCCC883" w:rsidR="00DF44F2" w:rsidRPr="00257CDB" w:rsidRDefault="00DF44F2" w:rsidP="00312975">
            <w:pPr>
              <w:pStyle w:val="TT"/>
              <w:spacing w:line="280" w:lineRule="exact"/>
              <w:jc w:val="right"/>
              <w:rPr>
                <w:b/>
                <w:sz w:val="20"/>
              </w:rPr>
            </w:pPr>
            <w:r w:rsidRPr="00312975">
              <w:rPr>
                <w:rFonts w:asciiTheme="minorHAnsi" w:hAnsiTheme="minorHAnsi"/>
                <w:b/>
                <w:sz w:val="20"/>
              </w:rPr>
              <w:t>87.488</w:t>
            </w:r>
          </w:p>
        </w:tc>
        <w:tc>
          <w:tcPr>
            <w:tcW w:w="1336" w:type="dxa"/>
            <w:tcBorders>
              <w:top w:val="single" w:sz="4" w:space="0" w:color="auto"/>
              <w:left w:val="nil"/>
              <w:bottom w:val="single" w:sz="12" w:space="0" w:color="auto"/>
            </w:tcBorders>
            <w:shd w:val="clear" w:color="auto" w:fill="auto"/>
            <w:vAlign w:val="bottom"/>
          </w:tcPr>
          <w:p w14:paraId="3236F870" w14:textId="2E350F6D" w:rsidR="00DF44F2" w:rsidRPr="00257CDB" w:rsidRDefault="00DF44F2" w:rsidP="00312975">
            <w:pPr>
              <w:pStyle w:val="TT"/>
              <w:spacing w:line="280" w:lineRule="exact"/>
              <w:jc w:val="right"/>
              <w:rPr>
                <w:b/>
                <w:sz w:val="20"/>
              </w:rPr>
            </w:pPr>
            <w:r w:rsidRPr="00312975">
              <w:rPr>
                <w:rFonts w:asciiTheme="minorHAnsi" w:hAnsiTheme="minorHAnsi"/>
                <w:b/>
                <w:sz w:val="20"/>
              </w:rPr>
              <w:t>13.195</w:t>
            </w:r>
          </w:p>
        </w:tc>
      </w:tr>
    </w:tbl>
    <w:p w14:paraId="62D8D9BE" w14:textId="77777777" w:rsidR="0012207C" w:rsidRDefault="0012207C" w:rsidP="003A63DB">
      <w:pPr>
        <w:spacing w:after="0" w:line="240" w:lineRule="auto"/>
        <w:jc w:val="both"/>
        <w:rPr>
          <w:rFonts w:eastAsia="Times New Roman" w:cs="Arial"/>
          <w:bCs/>
          <w:sz w:val="24"/>
          <w:szCs w:val="24"/>
          <w:highlight w:val="yellow"/>
        </w:rPr>
      </w:pPr>
    </w:p>
    <w:p w14:paraId="342638BA" w14:textId="77777777" w:rsidR="0012207C" w:rsidRDefault="0012207C" w:rsidP="003A63DB">
      <w:pPr>
        <w:spacing w:after="0" w:line="240" w:lineRule="auto"/>
        <w:jc w:val="both"/>
        <w:rPr>
          <w:rFonts w:eastAsia="Times New Roman" w:cs="Arial"/>
          <w:bCs/>
          <w:sz w:val="24"/>
          <w:szCs w:val="24"/>
          <w:highlight w:val="yellow"/>
        </w:rPr>
      </w:pPr>
    </w:p>
    <w:p w14:paraId="395AF4DD" w14:textId="77777777" w:rsidR="0012207C" w:rsidRDefault="0012207C" w:rsidP="003A63DB">
      <w:pPr>
        <w:spacing w:after="0" w:line="240" w:lineRule="auto"/>
        <w:jc w:val="both"/>
        <w:rPr>
          <w:rFonts w:eastAsia="Times New Roman" w:cs="Arial"/>
          <w:bCs/>
          <w:sz w:val="24"/>
          <w:szCs w:val="24"/>
          <w:highlight w:val="yellow"/>
        </w:rPr>
      </w:pPr>
    </w:p>
    <w:p w14:paraId="71708C16" w14:textId="77777777" w:rsidR="0012207C" w:rsidRDefault="0012207C" w:rsidP="003A63DB">
      <w:pPr>
        <w:spacing w:after="0" w:line="240" w:lineRule="auto"/>
        <w:jc w:val="both"/>
        <w:rPr>
          <w:rFonts w:eastAsia="Times New Roman" w:cs="Arial"/>
          <w:bCs/>
          <w:sz w:val="24"/>
          <w:szCs w:val="24"/>
          <w:highlight w:val="yellow"/>
        </w:rPr>
      </w:pPr>
    </w:p>
    <w:p w14:paraId="05BB24FA" w14:textId="77777777" w:rsidR="0012207C" w:rsidRDefault="0012207C" w:rsidP="003A63DB">
      <w:pPr>
        <w:spacing w:after="0" w:line="240" w:lineRule="auto"/>
        <w:jc w:val="both"/>
        <w:rPr>
          <w:rFonts w:eastAsia="Times New Roman" w:cs="Arial"/>
          <w:bCs/>
          <w:sz w:val="24"/>
          <w:szCs w:val="24"/>
          <w:highlight w:val="yellow"/>
        </w:rPr>
      </w:pPr>
    </w:p>
    <w:p w14:paraId="77863D65" w14:textId="77777777" w:rsidR="0012207C" w:rsidRDefault="0012207C" w:rsidP="003A63DB">
      <w:pPr>
        <w:spacing w:after="0" w:line="240" w:lineRule="auto"/>
        <w:jc w:val="both"/>
        <w:rPr>
          <w:rFonts w:eastAsia="Times New Roman" w:cs="Arial"/>
          <w:bCs/>
          <w:sz w:val="24"/>
          <w:szCs w:val="24"/>
          <w:highlight w:val="yellow"/>
        </w:rPr>
      </w:pPr>
    </w:p>
    <w:p w14:paraId="73EE3CD5" w14:textId="77777777" w:rsidR="0012207C" w:rsidRDefault="0012207C" w:rsidP="003A63DB">
      <w:pPr>
        <w:spacing w:after="0" w:line="240" w:lineRule="auto"/>
        <w:jc w:val="both"/>
        <w:rPr>
          <w:rFonts w:eastAsia="Times New Roman" w:cs="Arial"/>
          <w:bCs/>
          <w:sz w:val="24"/>
          <w:szCs w:val="24"/>
          <w:highlight w:val="yellow"/>
        </w:rPr>
      </w:pPr>
    </w:p>
    <w:p w14:paraId="15A09C03" w14:textId="77777777" w:rsidR="0012207C" w:rsidRDefault="0012207C" w:rsidP="003A63DB">
      <w:pPr>
        <w:spacing w:after="0" w:line="240" w:lineRule="auto"/>
        <w:jc w:val="both"/>
        <w:rPr>
          <w:rFonts w:eastAsia="Times New Roman" w:cs="Arial"/>
          <w:bCs/>
          <w:sz w:val="24"/>
          <w:szCs w:val="24"/>
          <w:highlight w:val="yellow"/>
        </w:rPr>
      </w:pPr>
    </w:p>
    <w:p w14:paraId="4D8DD078" w14:textId="77777777" w:rsidR="0012207C" w:rsidRPr="003A63DB" w:rsidRDefault="0012207C" w:rsidP="003A63DB">
      <w:pPr>
        <w:spacing w:after="0" w:line="240" w:lineRule="auto"/>
        <w:jc w:val="both"/>
        <w:rPr>
          <w:rFonts w:eastAsia="Times New Roman" w:cs="Arial"/>
          <w:bCs/>
          <w:sz w:val="24"/>
          <w:szCs w:val="24"/>
          <w:highlight w:val="yellow"/>
        </w:rPr>
        <w:sectPr w:rsidR="0012207C" w:rsidRPr="003A63DB" w:rsidSect="00806686">
          <w:footerReference w:type="first" r:id="rId80"/>
          <w:pgSz w:w="11906" w:h="16838" w:code="9"/>
          <w:pgMar w:top="1418" w:right="1418" w:bottom="595" w:left="1134" w:header="709" w:footer="709" w:gutter="0"/>
          <w:cols w:space="708"/>
          <w:titlePg/>
          <w:docGrid w:linePitch="360"/>
        </w:sectPr>
      </w:pPr>
    </w:p>
    <w:p w14:paraId="548359F8" w14:textId="77777777" w:rsidR="003A63DB" w:rsidRPr="003A63DB" w:rsidRDefault="003A63DB" w:rsidP="003A63DB">
      <w:pPr>
        <w:spacing w:after="0" w:line="240" w:lineRule="auto"/>
        <w:jc w:val="both"/>
        <w:rPr>
          <w:rFonts w:eastAsia="Times New Roman" w:cs="Arial"/>
          <w:bCs/>
          <w:highlight w:val="yellow"/>
        </w:rPr>
      </w:pPr>
    </w:p>
    <w:p w14:paraId="4E1F58C8" w14:textId="77777777" w:rsidR="003A63DB" w:rsidRPr="003A63DB" w:rsidRDefault="003A63DB" w:rsidP="00803DA8">
      <w:pPr>
        <w:keepNext/>
        <w:tabs>
          <w:tab w:val="left" w:pos="567"/>
        </w:tabs>
        <w:spacing w:after="0" w:line="240" w:lineRule="auto"/>
        <w:jc w:val="both"/>
        <w:rPr>
          <w:rFonts w:eastAsia="Times New Roman" w:cs="Arial"/>
          <w:b/>
          <w:bCs/>
        </w:rPr>
      </w:pPr>
      <w:r w:rsidRPr="003A63DB">
        <w:rPr>
          <w:rFonts w:eastAsia="Times New Roman" w:cs="Arial"/>
          <w:b/>
          <w:bCs/>
        </w:rPr>
        <w:t>1</w:t>
      </w:r>
      <w:r w:rsidR="00803DA8">
        <w:rPr>
          <w:rFonts w:eastAsia="Times New Roman" w:cs="Arial"/>
          <w:b/>
          <w:bCs/>
        </w:rPr>
        <w:t>5</w:t>
      </w:r>
      <w:r w:rsidRPr="003A63DB">
        <w:rPr>
          <w:rFonts w:eastAsia="Times New Roman" w:cs="Arial"/>
          <w:b/>
          <w:bCs/>
        </w:rPr>
        <w:t>.</w:t>
      </w:r>
      <w:r w:rsidRPr="003A63DB">
        <w:rPr>
          <w:rFonts w:eastAsia="Times New Roman" w:cs="Arial"/>
          <w:b/>
          <w:bCs/>
        </w:rPr>
        <w:tab/>
        <w:t>Transakcije s povezanim stranama (nastavak)</w:t>
      </w:r>
    </w:p>
    <w:p w14:paraId="239DDAC2" w14:textId="77777777" w:rsidR="003A63DB" w:rsidRPr="003A63DB" w:rsidRDefault="003A63DB" w:rsidP="003A63DB">
      <w:pPr>
        <w:keepNext/>
        <w:spacing w:after="0" w:line="240" w:lineRule="auto"/>
        <w:jc w:val="both"/>
        <w:rPr>
          <w:rFonts w:eastAsia="Times New Roman" w:cs="Arial"/>
          <w:b/>
          <w:bCs/>
          <w:highlight w:val="yellow"/>
        </w:rPr>
      </w:pPr>
    </w:p>
    <w:p w14:paraId="79DDFFBE" w14:textId="77777777" w:rsidR="003A63DB" w:rsidRPr="003A63DB" w:rsidRDefault="003A63DB" w:rsidP="00803DA8">
      <w:pPr>
        <w:keepNext/>
        <w:tabs>
          <w:tab w:val="left" w:pos="567"/>
        </w:tabs>
        <w:spacing w:after="0" w:line="240" w:lineRule="auto"/>
        <w:jc w:val="both"/>
        <w:rPr>
          <w:rFonts w:eastAsia="Times New Roman" w:cs="Arial"/>
          <w:bCs/>
          <w:highlight w:val="yellow"/>
        </w:rPr>
      </w:pPr>
      <w:r w:rsidRPr="003A63DB">
        <w:rPr>
          <w:rFonts w:eastAsia="Times New Roman" w:cs="Arial"/>
          <w:bCs/>
        </w:rPr>
        <w:t>a)</w:t>
      </w:r>
      <w:r w:rsidRPr="003A63DB">
        <w:rPr>
          <w:rFonts w:eastAsia="Times New Roman" w:cs="Arial"/>
          <w:bCs/>
        </w:rPr>
        <w:tab/>
        <w:t>Transakcije s povezanim stranama (nastavak)</w:t>
      </w:r>
    </w:p>
    <w:p w14:paraId="54A90FDD" w14:textId="77777777" w:rsidR="003A63DB" w:rsidRPr="003A63DB" w:rsidRDefault="003A63DB" w:rsidP="003A63DB">
      <w:pPr>
        <w:keepNext/>
        <w:spacing w:after="0" w:line="240" w:lineRule="auto"/>
        <w:jc w:val="both"/>
        <w:rPr>
          <w:rFonts w:eastAsia="Times New Roman" w:cs="Arial"/>
          <w:bCs/>
          <w:highlight w:val="yellow"/>
        </w:rPr>
      </w:pPr>
    </w:p>
    <w:p w14:paraId="74D2643A" w14:textId="77777777" w:rsidR="003A63DB" w:rsidRPr="003A63DB" w:rsidRDefault="003A63DB" w:rsidP="003A63DB">
      <w:pPr>
        <w:tabs>
          <w:tab w:val="left" w:pos="426"/>
        </w:tabs>
        <w:spacing w:after="0" w:line="240" w:lineRule="auto"/>
        <w:jc w:val="both"/>
        <w:rPr>
          <w:rFonts w:eastAsia="Times New Roman" w:cs="Arial"/>
          <w:sz w:val="24"/>
          <w:szCs w:val="24"/>
        </w:rPr>
      </w:pPr>
    </w:p>
    <w:tbl>
      <w:tblPr>
        <w:tblW w:w="4886" w:type="pct"/>
        <w:jc w:val="center"/>
        <w:tblLayout w:type="fixed"/>
        <w:tblCellMar>
          <w:left w:w="113" w:type="dxa"/>
          <w:right w:w="85" w:type="dxa"/>
        </w:tblCellMar>
        <w:tblLook w:val="00A0" w:firstRow="1" w:lastRow="0" w:firstColumn="1" w:lastColumn="0" w:noHBand="0" w:noVBand="0"/>
      </w:tblPr>
      <w:tblGrid>
        <w:gridCol w:w="3732"/>
        <w:gridCol w:w="1358"/>
        <w:gridCol w:w="16"/>
        <w:gridCol w:w="1342"/>
        <w:gridCol w:w="1340"/>
        <w:gridCol w:w="6"/>
        <w:gridCol w:w="1347"/>
      </w:tblGrid>
      <w:tr w:rsidR="003A63DB" w:rsidRPr="003A63DB" w14:paraId="04D61EE7" w14:textId="77777777" w:rsidTr="00682116">
        <w:trPr>
          <w:trHeight w:val="19"/>
          <w:jc w:val="center"/>
        </w:trPr>
        <w:tc>
          <w:tcPr>
            <w:tcW w:w="3732" w:type="dxa"/>
            <w:vAlign w:val="bottom"/>
          </w:tcPr>
          <w:p w14:paraId="465C0832" w14:textId="77777777" w:rsidR="003A63DB" w:rsidRPr="003A63DB" w:rsidRDefault="003A63DB" w:rsidP="003A63DB">
            <w:pPr>
              <w:tabs>
                <w:tab w:val="right" w:pos="1202"/>
              </w:tabs>
              <w:spacing w:after="0" w:line="240" w:lineRule="auto"/>
              <w:outlineLvl w:val="0"/>
              <w:rPr>
                <w:rFonts w:eastAsia="Times New Roman" w:cs="Arial"/>
                <w:sz w:val="20"/>
                <w:szCs w:val="20"/>
              </w:rPr>
            </w:pPr>
            <w:r w:rsidRPr="003A63DB">
              <w:rPr>
                <w:rFonts w:eastAsia="Times New Roman" w:cs="Arial"/>
                <w:b/>
                <w:sz w:val="20"/>
                <w:szCs w:val="20"/>
              </w:rPr>
              <w:t>Banka</w:t>
            </w:r>
          </w:p>
        </w:tc>
        <w:tc>
          <w:tcPr>
            <w:tcW w:w="1358" w:type="dxa"/>
            <w:vAlign w:val="center"/>
          </w:tcPr>
          <w:p w14:paraId="53B33B35" w14:textId="77777777" w:rsidR="003A63DB" w:rsidRPr="003A63DB" w:rsidRDefault="003A63DB"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Izloženost</w:t>
            </w:r>
          </w:p>
        </w:tc>
        <w:tc>
          <w:tcPr>
            <w:tcW w:w="1358" w:type="dxa"/>
            <w:gridSpan w:val="2"/>
            <w:vAlign w:val="center"/>
          </w:tcPr>
          <w:p w14:paraId="1DF34050" w14:textId="77777777" w:rsidR="003A63DB" w:rsidRPr="003A63DB" w:rsidRDefault="003A63DB"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Obveze</w:t>
            </w:r>
          </w:p>
        </w:tc>
        <w:tc>
          <w:tcPr>
            <w:tcW w:w="1346" w:type="dxa"/>
            <w:gridSpan w:val="2"/>
            <w:vAlign w:val="center"/>
          </w:tcPr>
          <w:p w14:paraId="17F711A9" w14:textId="77777777" w:rsidR="003A63DB" w:rsidRPr="003A63DB" w:rsidRDefault="003A63DB"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Izloženost</w:t>
            </w:r>
          </w:p>
        </w:tc>
        <w:tc>
          <w:tcPr>
            <w:tcW w:w="1347" w:type="dxa"/>
            <w:vAlign w:val="center"/>
          </w:tcPr>
          <w:p w14:paraId="7C6D36A4" w14:textId="77777777" w:rsidR="003A63DB" w:rsidRPr="003A63DB" w:rsidRDefault="003A63DB"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Obveze</w:t>
            </w:r>
          </w:p>
        </w:tc>
      </w:tr>
      <w:tr w:rsidR="00682116" w:rsidRPr="003A63DB" w14:paraId="0A1180C4" w14:textId="77777777" w:rsidTr="00682116">
        <w:trPr>
          <w:trHeight w:val="19"/>
          <w:jc w:val="center"/>
        </w:trPr>
        <w:tc>
          <w:tcPr>
            <w:tcW w:w="3732" w:type="dxa"/>
            <w:vAlign w:val="bottom"/>
          </w:tcPr>
          <w:p w14:paraId="256C37FF" w14:textId="77777777" w:rsidR="00682116" w:rsidRPr="003A63DB" w:rsidRDefault="00682116" w:rsidP="00682116">
            <w:pPr>
              <w:tabs>
                <w:tab w:val="right" w:pos="1202"/>
              </w:tabs>
              <w:spacing w:after="0" w:line="240" w:lineRule="auto"/>
              <w:outlineLvl w:val="0"/>
              <w:rPr>
                <w:rFonts w:eastAsia="Times New Roman" w:cs="Arial"/>
                <w:sz w:val="20"/>
                <w:szCs w:val="20"/>
              </w:rPr>
            </w:pPr>
          </w:p>
        </w:tc>
        <w:tc>
          <w:tcPr>
            <w:tcW w:w="1374" w:type="dxa"/>
            <w:gridSpan w:val="2"/>
            <w:vAlign w:val="bottom"/>
          </w:tcPr>
          <w:p w14:paraId="43ACEE54" w14:textId="6A57236F" w:rsidR="00682116" w:rsidRPr="003A63DB" w:rsidRDefault="00DF44F2">
            <w:pPr>
              <w:tabs>
                <w:tab w:val="right" w:pos="1202"/>
              </w:tabs>
              <w:spacing w:after="0" w:line="240" w:lineRule="auto"/>
              <w:jc w:val="right"/>
              <w:outlineLvl w:val="0"/>
              <w:rPr>
                <w:rFonts w:eastAsia="Times New Roman" w:cs="Arial"/>
                <w:b/>
                <w:bCs/>
                <w:iCs/>
                <w:sz w:val="20"/>
                <w:szCs w:val="20"/>
              </w:rPr>
            </w:pPr>
            <w:r>
              <w:rPr>
                <w:rFonts w:eastAsia="Times New Roman" w:cs="Arial"/>
                <w:b/>
                <w:bCs/>
                <w:iCs/>
                <w:sz w:val="20"/>
                <w:szCs w:val="20"/>
              </w:rPr>
              <w:t>30</w:t>
            </w:r>
            <w:r w:rsidR="00682116">
              <w:rPr>
                <w:rFonts w:eastAsia="Times New Roman" w:cs="Arial"/>
                <w:b/>
                <w:bCs/>
                <w:iCs/>
                <w:sz w:val="20"/>
                <w:szCs w:val="20"/>
              </w:rPr>
              <w:t>.</w:t>
            </w:r>
            <w:r>
              <w:rPr>
                <w:rFonts w:eastAsia="Times New Roman" w:cs="Arial"/>
                <w:b/>
                <w:bCs/>
                <w:iCs/>
                <w:sz w:val="20"/>
                <w:szCs w:val="20"/>
              </w:rPr>
              <w:t>6</w:t>
            </w:r>
            <w:r w:rsidR="00682116">
              <w:rPr>
                <w:rFonts w:eastAsia="Times New Roman" w:cs="Arial"/>
                <w:b/>
                <w:bCs/>
                <w:iCs/>
                <w:sz w:val="20"/>
                <w:szCs w:val="20"/>
              </w:rPr>
              <w:t>.</w:t>
            </w:r>
            <w:r w:rsidR="00682116" w:rsidRPr="003A63DB">
              <w:rPr>
                <w:rFonts w:eastAsia="Times New Roman" w:cs="Arial"/>
                <w:b/>
                <w:bCs/>
                <w:iCs/>
                <w:sz w:val="20"/>
                <w:szCs w:val="20"/>
              </w:rPr>
              <w:t>201</w:t>
            </w:r>
            <w:r w:rsidR="00682116">
              <w:rPr>
                <w:rFonts w:eastAsia="Times New Roman" w:cs="Arial"/>
                <w:b/>
                <w:bCs/>
                <w:iCs/>
                <w:sz w:val="20"/>
                <w:szCs w:val="20"/>
              </w:rPr>
              <w:t>7</w:t>
            </w:r>
            <w:r w:rsidR="00682116" w:rsidRPr="003A63DB">
              <w:rPr>
                <w:rFonts w:eastAsia="Times New Roman" w:cs="Arial"/>
                <w:b/>
                <w:bCs/>
                <w:iCs/>
                <w:sz w:val="20"/>
                <w:szCs w:val="20"/>
              </w:rPr>
              <w:t>.</w:t>
            </w:r>
          </w:p>
        </w:tc>
        <w:tc>
          <w:tcPr>
            <w:tcW w:w="1342" w:type="dxa"/>
            <w:vAlign w:val="bottom"/>
          </w:tcPr>
          <w:p w14:paraId="5C3FEB4C" w14:textId="2AAEC1D3" w:rsidR="00682116" w:rsidRPr="003A63DB" w:rsidRDefault="00DF44F2">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3</w:t>
            </w:r>
            <w:r>
              <w:rPr>
                <w:rFonts w:eastAsia="Times New Roman" w:cs="Arial"/>
                <w:b/>
                <w:bCs/>
                <w:iCs/>
                <w:sz w:val="20"/>
                <w:szCs w:val="20"/>
              </w:rPr>
              <w:t>0</w:t>
            </w:r>
            <w:r w:rsidR="00682116">
              <w:rPr>
                <w:rFonts w:eastAsia="Times New Roman" w:cs="Arial"/>
                <w:b/>
                <w:bCs/>
                <w:iCs/>
                <w:sz w:val="20"/>
                <w:szCs w:val="20"/>
              </w:rPr>
              <w:t>.</w:t>
            </w:r>
            <w:r>
              <w:rPr>
                <w:rFonts w:eastAsia="Times New Roman" w:cs="Arial"/>
                <w:b/>
                <w:bCs/>
                <w:iCs/>
                <w:sz w:val="20"/>
                <w:szCs w:val="20"/>
              </w:rPr>
              <w:t>6</w:t>
            </w:r>
            <w:r w:rsidR="00682116" w:rsidRPr="003A63DB">
              <w:rPr>
                <w:rFonts w:eastAsia="Times New Roman" w:cs="Arial"/>
                <w:b/>
                <w:bCs/>
                <w:iCs/>
                <w:sz w:val="20"/>
                <w:szCs w:val="20"/>
              </w:rPr>
              <w:t>.201</w:t>
            </w:r>
            <w:r w:rsidR="00682116">
              <w:rPr>
                <w:rFonts w:eastAsia="Times New Roman" w:cs="Arial"/>
                <w:b/>
                <w:bCs/>
                <w:iCs/>
                <w:sz w:val="20"/>
                <w:szCs w:val="20"/>
              </w:rPr>
              <w:t>7</w:t>
            </w:r>
            <w:r w:rsidR="00682116" w:rsidRPr="003A63DB">
              <w:rPr>
                <w:rFonts w:eastAsia="Times New Roman" w:cs="Arial"/>
                <w:b/>
                <w:bCs/>
                <w:iCs/>
                <w:sz w:val="20"/>
                <w:szCs w:val="20"/>
              </w:rPr>
              <w:t>.</w:t>
            </w:r>
          </w:p>
        </w:tc>
        <w:tc>
          <w:tcPr>
            <w:tcW w:w="1340" w:type="dxa"/>
            <w:vAlign w:val="bottom"/>
          </w:tcPr>
          <w:p w14:paraId="1B32BA33" w14:textId="64939C50" w:rsidR="00682116" w:rsidRPr="003A63DB" w:rsidRDefault="00682116" w:rsidP="00682116">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31.12.201</w:t>
            </w:r>
            <w:r>
              <w:rPr>
                <w:rFonts w:eastAsia="Times New Roman" w:cs="Arial"/>
                <w:b/>
                <w:bCs/>
                <w:iCs/>
                <w:sz w:val="20"/>
                <w:szCs w:val="20"/>
              </w:rPr>
              <w:t>6</w:t>
            </w:r>
            <w:r w:rsidRPr="003A63DB">
              <w:rPr>
                <w:rFonts w:eastAsia="Times New Roman" w:cs="Arial"/>
                <w:b/>
                <w:bCs/>
                <w:iCs/>
                <w:sz w:val="20"/>
                <w:szCs w:val="20"/>
              </w:rPr>
              <w:t>.</w:t>
            </w:r>
          </w:p>
        </w:tc>
        <w:tc>
          <w:tcPr>
            <w:tcW w:w="1353" w:type="dxa"/>
            <w:gridSpan w:val="2"/>
            <w:vAlign w:val="bottom"/>
          </w:tcPr>
          <w:p w14:paraId="041DE61C" w14:textId="7AB41672" w:rsidR="00682116" w:rsidRPr="003A63DB" w:rsidRDefault="00682116" w:rsidP="00682116">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31.12.201</w:t>
            </w:r>
            <w:r>
              <w:rPr>
                <w:rFonts w:eastAsia="Times New Roman" w:cs="Arial"/>
                <w:b/>
                <w:bCs/>
                <w:iCs/>
                <w:sz w:val="20"/>
                <w:szCs w:val="20"/>
              </w:rPr>
              <w:t>6</w:t>
            </w:r>
            <w:r w:rsidRPr="003A63DB">
              <w:rPr>
                <w:rFonts w:eastAsia="Times New Roman" w:cs="Arial"/>
                <w:b/>
                <w:bCs/>
                <w:iCs/>
                <w:sz w:val="20"/>
                <w:szCs w:val="20"/>
              </w:rPr>
              <w:t>.</w:t>
            </w:r>
          </w:p>
        </w:tc>
      </w:tr>
      <w:tr w:rsidR="00DF44F2" w:rsidRPr="003A63DB" w14:paraId="55EB8E7C" w14:textId="77777777" w:rsidTr="00312975">
        <w:trPr>
          <w:trHeight w:hRule="exact" w:val="284"/>
          <w:jc w:val="center"/>
        </w:trPr>
        <w:tc>
          <w:tcPr>
            <w:tcW w:w="3732" w:type="dxa"/>
            <w:vAlign w:val="bottom"/>
          </w:tcPr>
          <w:p w14:paraId="5C858258" w14:textId="77777777" w:rsidR="00DF44F2" w:rsidRPr="003A63DB" w:rsidRDefault="00DF44F2" w:rsidP="00DF44F2">
            <w:pPr>
              <w:tabs>
                <w:tab w:val="right" w:pos="1202"/>
              </w:tabs>
              <w:spacing w:after="0" w:line="240" w:lineRule="auto"/>
              <w:outlineLvl w:val="0"/>
              <w:rPr>
                <w:rFonts w:eastAsia="Times New Roman" w:cs="Arial"/>
                <w:sz w:val="20"/>
                <w:szCs w:val="20"/>
              </w:rPr>
            </w:pPr>
            <w:r w:rsidRPr="003A63DB">
              <w:rPr>
                <w:rFonts w:eastAsia="Times New Roman" w:cs="Arial"/>
                <w:sz w:val="20"/>
                <w:szCs w:val="20"/>
              </w:rPr>
              <w:t>Vlasnik</w:t>
            </w:r>
          </w:p>
        </w:tc>
        <w:tc>
          <w:tcPr>
            <w:tcW w:w="1374" w:type="dxa"/>
            <w:gridSpan w:val="2"/>
            <w:tcBorders>
              <w:top w:val="nil"/>
              <w:bottom w:val="nil"/>
              <w:right w:val="nil"/>
            </w:tcBorders>
            <w:shd w:val="clear" w:color="auto" w:fill="auto"/>
            <w:vAlign w:val="bottom"/>
          </w:tcPr>
          <w:p w14:paraId="08E64B14" w14:textId="0D4E74C0" w:rsidR="00DF44F2" w:rsidRPr="000E5941" w:rsidRDefault="00AE3FF4" w:rsidP="00DF44F2">
            <w:pPr>
              <w:pStyle w:val="TT"/>
              <w:spacing w:line="280" w:lineRule="exact"/>
              <w:jc w:val="right"/>
              <w:rPr>
                <w:rFonts w:asciiTheme="minorHAnsi" w:hAnsiTheme="minorHAnsi"/>
                <w:sz w:val="20"/>
              </w:rPr>
            </w:pPr>
            <w:r>
              <w:rPr>
                <w:rFonts w:asciiTheme="minorHAnsi" w:hAnsiTheme="minorHAnsi"/>
                <w:sz w:val="20"/>
              </w:rPr>
              <w:t>2.750.783</w:t>
            </w:r>
          </w:p>
        </w:tc>
        <w:tc>
          <w:tcPr>
            <w:tcW w:w="1342" w:type="dxa"/>
            <w:tcBorders>
              <w:top w:val="nil"/>
              <w:bottom w:val="nil"/>
              <w:right w:val="nil"/>
            </w:tcBorders>
            <w:shd w:val="clear" w:color="auto" w:fill="auto"/>
            <w:vAlign w:val="bottom"/>
          </w:tcPr>
          <w:p w14:paraId="05DB0155" w14:textId="15E1ACF7" w:rsidR="00DF44F2" w:rsidRPr="000E5941" w:rsidRDefault="00AE3FF4" w:rsidP="00DF44F2">
            <w:pPr>
              <w:pStyle w:val="TT"/>
              <w:spacing w:line="280" w:lineRule="exact"/>
              <w:jc w:val="right"/>
              <w:rPr>
                <w:rFonts w:asciiTheme="minorHAnsi" w:hAnsiTheme="minorHAnsi"/>
                <w:sz w:val="20"/>
              </w:rPr>
            </w:pPr>
            <w:r>
              <w:rPr>
                <w:rFonts w:asciiTheme="minorHAnsi" w:hAnsiTheme="minorHAnsi"/>
                <w:sz w:val="20"/>
              </w:rPr>
              <w:t>178.153</w:t>
            </w:r>
          </w:p>
        </w:tc>
        <w:tc>
          <w:tcPr>
            <w:tcW w:w="1340" w:type="dxa"/>
            <w:tcBorders>
              <w:top w:val="nil"/>
              <w:bottom w:val="nil"/>
              <w:right w:val="nil"/>
            </w:tcBorders>
            <w:shd w:val="clear" w:color="auto" w:fill="auto"/>
            <w:vAlign w:val="bottom"/>
          </w:tcPr>
          <w:p w14:paraId="3DCEBCCC" w14:textId="0CD4A97D" w:rsidR="00DF44F2" w:rsidRPr="002A6FA6" w:rsidRDefault="00DF44F2" w:rsidP="00DF44F2">
            <w:pPr>
              <w:pStyle w:val="TT"/>
              <w:spacing w:line="280" w:lineRule="exact"/>
              <w:jc w:val="right"/>
              <w:rPr>
                <w:rFonts w:asciiTheme="minorHAnsi" w:hAnsiTheme="minorHAnsi" w:cs="Arial"/>
                <w:bCs/>
                <w:iCs/>
                <w:sz w:val="20"/>
                <w:lang w:val="hr-HR"/>
              </w:rPr>
            </w:pPr>
            <w:r w:rsidRPr="002A6FA6">
              <w:rPr>
                <w:rFonts w:asciiTheme="minorHAnsi" w:hAnsiTheme="minorHAnsi"/>
                <w:sz w:val="20"/>
              </w:rPr>
              <w:t>3.193.565</w:t>
            </w:r>
          </w:p>
        </w:tc>
        <w:tc>
          <w:tcPr>
            <w:tcW w:w="1353" w:type="dxa"/>
            <w:gridSpan w:val="2"/>
            <w:tcBorders>
              <w:top w:val="nil"/>
              <w:left w:val="nil"/>
              <w:bottom w:val="nil"/>
              <w:right w:val="nil"/>
            </w:tcBorders>
            <w:shd w:val="clear" w:color="auto" w:fill="auto"/>
            <w:vAlign w:val="bottom"/>
          </w:tcPr>
          <w:p w14:paraId="3F2DAA50" w14:textId="5576E7BE" w:rsidR="00DF44F2" w:rsidRPr="002A6FA6" w:rsidRDefault="00DF44F2" w:rsidP="00DF44F2">
            <w:pPr>
              <w:pStyle w:val="TT"/>
              <w:spacing w:line="280" w:lineRule="exact"/>
              <w:jc w:val="right"/>
              <w:rPr>
                <w:rFonts w:asciiTheme="minorHAnsi" w:hAnsiTheme="minorHAnsi" w:cs="Arial"/>
                <w:bCs/>
                <w:iCs/>
                <w:sz w:val="20"/>
                <w:lang w:val="hr-HR"/>
              </w:rPr>
            </w:pPr>
            <w:r w:rsidRPr="002A6FA6">
              <w:rPr>
                <w:rFonts w:asciiTheme="minorHAnsi" w:hAnsiTheme="minorHAnsi"/>
                <w:sz w:val="20"/>
              </w:rPr>
              <w:t>153.374</w:t>
            </w:r>
          </w:p>
        </w:tc>
      </w:tr>
      <w:tr w:rsidR="00DF44F2" w:rsidRPr="003A63DB" w14:paraId="1A15BB3A" w14:textId="77777777" w:rsidTr="00312975">
        <w:trPr>
          <w:trHeight w:hRule="exact" w:val="284"/>
          <w:jc w:val="center"/>
        </w:trPr>
        <w:tc>
          <w:tcPr>
            <w:tcW w:w="3732" w:type="dxa"/>
            <w:vAlign w:val="bottom"/>
          </w:tcPr>
          <w:p w14:paraId="48C61991" w14:textId="77777777" w:rsidR="00DF44F2" w:rsidRPr="003A63DB" w:rsidRDefault="00DF44F2" w:rsidP="00DF44F2">
            <w:pPr>
              <w:tabs>
                <w:tab w:val="right" w:pos="1202"/>
              </w:tabs>
              <w:spacing w:after="0" w:line="240" w:lineRule="auto"/>
              <w:outlineLvl w:val="0"/>
              <w:rPr>
                <w:rFonts w:eastAsia="Times New Roman" w:cs="Arial"/>
                <w:sz w:val="20"/>
                <w:szCs w:val="20"/>
              </w:rPr>
            </w:pPr>
            <w:r w:rsidRPr="003A63DB">
              <w:rPr>
                <w:rFonts w:eastAsia="Times New Roman" w:cs="Arial"/>
                <w:sz w:val="20"/>
                <w:szCs w:val="20"/>
              </w:rPr>
              <w:t>Državni fondovi, izvršna tijela i agencije</w:t>
            </w:r>
          </w:p>
        </w:tc>
        <w:tc>
          <w:tcPr>
            <w:tcW w:w="1374" w:type="dxa"/>
            <w:gridSpan w:val="2"/>
            <w:tcBorders>
              <w:top w:val="nil"/>
              <w:bottom w:val="nil"/>
              <w:right w:val="nil"/>
            </w:tcBorders>
            <w:shd w:val="clear" w:color="auto" w:fill="auto"/>
            <w:vAlign w:val="bottom"/>
          </w:tcPr>
          <w:p w14:paraId="72CFA671" w14:textId="0DB53096" w:rsidR="00DF44F2" w:rsidRPr="000E5941" w:rsidRDefault="007F0E9F" w:rsidP="00DF44F2">
            <w:pPr>
              <w:pStyle w:val="TT"/>
              <w:spacing w:line="280" w:lineRule="exact"/>
              <w:jc w:val="right"/>
              <w:rPr>
                <w:rFonts w:asciiTheme="minorHAnsi" w:hAnsiTheme="minorHAnsi"/>
                <w:sz w:val="20"/>
              </w:rPr>
            </w:pPr>
            <w:r>
              <w:rPr>
                <w:rFonts w:asciiTheme="minorHAnsi" w:hAnsiTheme="minorHAnsi"/>
                <w:sz w:val="20"/>
              </w:rPr>
              <w:t>954.287</w:t>
            </w:r>
          </w:p>
        </w:tc>
        <w:tc>
          <w:tcPr>
            <w:tcW w:w="1342" w:type="dxa"/>
            <w:tcBorders>
              <w:top w:val="nil"/>
              <w:bottom w:val="nil"/>
              <w:right w:val="nil"/>
            </w:tcBorders>
            <w:shd w:val="clear" w:color="auto" w:fill="auto"/>
            <w:vAlign w:val="bottom"/>
          </w:tcPr>
          <w:p w14:paraId="233123EE" w14:textId="7B15AE73" w:rsidR="00DF44F2" w:rsidRPr="000E5941" w:rsidRDefault="00AE3FF4" w:rsidP="00DF44F2">
            <w:pPr>
              <w:pStyle w:val="TT"/>
              <w:spacing w:line="280" w:lineRule="exact"/>
              <w:jc w:val="right"/>
              <w:rPr>
                <w:rFonts w:asciiTheme="minorHAnsi" w:hAnsiTheme="minorHAnsi"/>
                <w:sz w:val="20"/>
              </w:rPr>
            </w:pPr>
            <w:r>
              <w:rPr>
                <w:rFonts w:asciiTheme="minorHAnsi" w:hAnsiTheme="minorHAnsi"/>
                <w:sz w:val="20"/>
              </w:rPr>
              <w:t>176.065</w:t>
            </w:r>
          </w:p>
        </w:tc>
        <w:tc>
          <w:tcPr>
            <w:tcW w:w="1340" w:type="dxa"/>
            <w:tcBorders>
              <w:top w:val="nil"/>
              <w:bottom w:val="nil"/>
              <w:right w:val="nil"/>
            </w:tcBorders>
            <w:shd w:val="clear" w:color="auto" w:fill="auto"/>
            <w:vAlign w:val="bottom"/>
          </w:tcPr>
          <w:p w14:paraId="2F3C2413" w14:textId="4DA53ADD" w:rsidR="00DF44F2" w:rsidRPr="002A6FA6" w:rsidRDefault="00DF44F2" w:rsidP="00DF44F2">
            <w:pPr>
              <w:pStyle w:val="TT"/>
              <w:spacing w:line="280" w:lineRule="exact"/>
              <w:jc w:val="right"/>
              <w:rPr>
                <w:rFonts w:asciiTheme="minorHAnsi" w:hAnsiTheme="minorHAnsi" w:cs="Arial"/>
                <w:bCs/>
                <w:iCs/>
                <w:sz w:val="20"/>
                <w:lang w:val="hr-HR"/>
              </w:rPr>
            </w:pPr>
            <w:r w:rsidRPr="002A6FA6">
              <w:rPr>
                <w:rFonts w:asciiTheme="minorHAnsi" w:hAnsiTheme="minorHAnsi"/>
                <w:sz w:val="20"/>
              </w:rPr>
              <w:t>1.044.382</w:t>
            </w:r>
          </w:p>
        </w:tc>
        <w:tc>
          <w:tcPr>
            <w:tcW w:w="1353" w:type="dxa"/>
            <w:gridSpan w:val="2"/>
            <w:tcBorders>
              <w:top w:val="nil"/>
              <w:left w:val="nil"/>
              <w:bottom w:val="nil"/>
              <w:right w:val="nil"/>
            </w:tcBorders>
            <w:shd w:val="clear" w:color="auto" w:fill="auto"/>
            <w:vAlign w:val="bottom"/>
          </w:tcPr>
          <w:p w14:paraId="3140B2BD" w14:textId="56D01E21" w:rsidR="00DF44F2" w:rsidRPr="002A6FA6" w:rsidRDefault="00DF44F2" w:rsidP="00DF44F2">
            <w:pPr>
              <w:pStyle w:val="TT"/>
              <w:spacing w:line="280" w:lineRule="exact"/>
              <w:jc w:val="right"/>
              <w:rPr>
                <w:rFonts w:asciiTheme="minorHAnsi" w:hAnsiTheme="minorHAnsi" w:cs="Arial"/>
                <w:bCs/>
                <w:iCs/>
                <w:sz w:val="20"/>
                <w:lang w:val="hr-HR"/>
              </w:rPr>
            </w:pPr>
            <w:r w:rsidRPr="002A6FA6">
              <w:rPr>
                <w:rFonts w:asciiTheme="minorHAnsi" w:hAnsiTheme="minorHAnsi"/>
                <w:sz w:val="20"/>
              </w:rPr>
              <w:t>14.079</w:t>
            </w:r>
          </w:p>
        </w:tc>
      </w:tr>
      <w:tr w:rsidR="00DF44F2" w:rsidRPr="003A63DB" w14:paraId="653BD986" w14:textId="77777777" w:rsidTr="00312975">
        <w:trPr>
          <w:trHeight w:hRule="exact" w:val="284"/>
          <w:jc w:val="center"/>
        </w:trPr>
        <w:tc>
          <w:tcPr>
            <w:tcW w:w="3732" w:type="dxa"/>
            <w:vAlign w:val="bottom"/>
          </w:tcPr>
          <w:p w14:paraId="4EBC6D3F" w14:textId="77777777" w:rsidR="00DF44F2" w:rsidRPr="003A63DB" w:rsidRDefault="00DF44F2" w:rsidP="00DF44F2">
            <w:pPr>
              <w:tabs>
                <w:tab w:val="right" w:pos="1202"/>
              </w:tabs>
              <w:spacing w:after="0" w:line="240" w:lineRule="auto"/>
              <w:outlineLvl w:val="0"/>
              <w:rPr>
                <w:rFonts w:eastAsia="Times New Roman" w:cs="Arial"/>
                <w:sz w:val="20"/>
                <w:szCs w:val="20"/>
              </w:rPr>
            </w:pPr>
            <w:r w:rsidRPr="003A63DB">
              <w:rPr>
                <w:rFonts w:eastAsia="Times New Roman" w:cs="Arial"/>
                <w:sz w:val="20"/>
                <w:szCs w:val="20"/>
              </w:rPr>
              <w:t>Državna trgovačka društva</w:t>
            </w:r>
          </w:p>
        </w:tc>
        <w:tc>
          <w:tcPr>
            <w:tcW w:w="1374" w:type="dxa"/>
            <w:gridSpan w:val="2"/>
            <w:tcBorders>
              <w:top w:val="nil"/>
              <w:bottom w:val="nil"/>
              <w:right w:val="nil"/>
            </w:tcBorders>
            <w:shd w:val="clear" w:color="auto" w:fill="auto"/>
            <w:vAlign w:val="bottom"/>
          </w:tcPr>
          <w:p w14:paraId="2DB7E72D" w14:textId="09D26851" w:rsidR="00DF44F2" w:rsidRPr="000E5941" w:rsidRDefault="007F0E9F" w:rsidP="00DF44F2">
            <w:pPr>
              <w:pStyle w:val="TT"/>
              <w:spacing w:line="280" w:lineRule="exact"/>
              <w:jc w:val="right"/>
              <w:rPr>
                <w:rFonts w:asciiTheme="minorHAnsi" w:hAnsiTheme="minorHAnsi"/>
                <w:sz w:val="20"/>
              </w:rPr>
            </w:pPr>
            <w:r>
              <w:rPr>
                <w:rFonts w:asciiTheme="minorHAnsi" w:hAnsiTheme="minorHAnsi"/>
                <w:sz w:val="20"/>
              </w:rPr>
              <w:t>1.292.191</w:t>
            </w:r>
          </w:p>
        </w:tc>
        <w:tc>
          <w:tcPr>
            <w:tcW w:w="1342" w:type="dxa"/>
            <w:tcBorders>
              <w:top w:val="nil"/>
              <w:bottom w:val="nil"/>
              <w:right w:val="nil"/>
            </w:tcBorders>
            <w:shd w:val="clear" w:color="auto" w:fill="auto"/>
            <w:vAlign w:val="bottom"/>
          </w:tcPr>
          <w:p w14:paraId="032C624C" w14:textId="4A05BDCB" w:rsidR="00DF44F2" w:rsidRPr="000E5941" w:rsidRDefault="00AE3FF4" w:rsidP="00DF44F2">
            <w:pPr>
              <w:pStyle w:val="TT"/>
              <w:spacing w:line="280" w:lineRule="exact"/>
              <w:jc w:val="right"/>
              <w:rPr>
                <w:rFonts w:asciiTheme="minorHAnsi" w:hAnsiTheme="minorHAnsi"/>
                <w:sz w:val="20"/>
              </w:rPr>
            </w:pPr>
            <w:r>
              <w:rPr>
                <w:rFonts w:asciiTheme="minorHAnsi" w:hAnsiTheme="minorHAnsi"/>
                <w:sz w:val="20"/>
              </w:rPr>
              <w:t>-</w:t>
            </w:r>
          </w:p>
        </w:tc>
        <w:tc>
          <w:tcPr>
            <w:tcW w:w="1340" w:type="dxa"/>
            <w:tcBorders>
              <w:top w:val="nil"/>
              <w:bottom w:val="nil"/>
              <w:right w:val="nil"/>
            </w:tcBorders>
            <w:shd w:val="clear" w:color="auto" w:fill="auto"/>
            <w:vAlign w:val="bottom"/>
          </w:tcPr>
          <w:p w14:paraId="58C3B2E2" w14:textId="0920BCC5" w:rsidR="00DF44F2" w:rsidRPr="002A6FA6" w:rsidRDefault="00DF44F2" w:rsidP="00DF44F2">
            <w:pPr>
              <w:pStyle w:val="TT"/>
              <w:spacing w:line="280" w:lineRule="exact"/>
              <w:jc w:val="right"/>
              <w:rPr>
                <w:rFonts w:asciiTheme="minorHAnsi" w:hAnsiTheme="minorHAnsi" w:cs="Arial"/>
                <w:bCs/>
                <w:iCs/>
                <w:sz w:val="20"/>
                <w:lang w:val="hr-HR"/>
              </w:rPr>
            </w:pPr>
            <w:r w:rsidRPr="002A6FA6">
              <w:rPr>
                <w:rFonts w:asciiTheme="minorHAnsi" w:hAnsiTheme="minorHAnsi"/>
                <w:sz w:val="20"/>
              </w:rPr>
              <w:t>1.193.271</w:t>
            </w:r>
          </w:p>
        </w:tc>
        <w:tc>
          <w:tcPr>
            <w:tcW w:w="1353" w:type="dxa"/>
            <w:gridSpan w:val="2"/>
            <w:tcBorders>
              <w:top w:val="nil"/>
              <w:left w:val="nil"/>
              <w:bottom w:val="nil"/>
              <w:right w:val="nil"/>
            </w:tcBorders>
            <w:shd w:val="clear" w:color="auto" w:fill="auto"/>
            <w:vAlign w:val="bottom"/>
          </w:tcPr>
          <w:p w14:paraId="66B2678F" w14:textId="47F690CE" w:rsidR="00DF44F2" w:rsidRPr="002A6FA6" w:rsidRDefault="00DF44F2" w:rsidP="00DF44F2">
            <w:pPr>
              <w:pStyle w:val="TT"/>
              <w:spacing w:line="280" w:lineRule="exact"/>
              <w:jc w:val="right"/>
              <w:rPr>
                <w:rFonts w:asciiTheme="minorHAnsi" w:hAnsiTheme="minorHAnsi" w:cs="Arial"/>
                <w:bCs/>
                <w:iCs/>
                <w:sz w:val="20"/>
                <w:lang w:val="hr-HR"/>
              </w:rPr>
            </w:pPr>
            <w:r w:rsidRPr="002A6FA6">
              <w:rPr>
                <w:rFonts w:asciiTheme="minorHAnsi" w:hAnsiTheme="minorHAnsi"/>
                <w:sz w:val="20"/>
              </w:rPr>
              <w:t>-</w:t>
            </w:r>
          </w:p>
        </w:tc>
      </w:tr>
      <w:tr w:rsidR="00DF44F2" w:rsidRPr="003A63DB" w14:paraId="6A0EF796" w14:textId="77777777" w:rsidTr="00312975">
        <w:trPr>
          <w:trHeight w:hRule="exact" w:val="284"/>
          <w:jc w:val="center"/>
        </w:trPr>
        <w:tc>
          <w:tcPr>
            <w:tcW w:w="3732" w:type="dxa"/>
            <w:vAlign w:val="bottom"/>
          </w:tcPr>
          <w:p w14:paraId="4414DE31" w14:textId="78DD743B" w:rsidR="00DF44F2" w:rsidRPr="003A63DB" w:rsidRDefault="00DF44F2" w:rsidP="00DF44F2">
            <w:pPr>
              <w:tabs>
                <w:tab w:val="right" w:pos="1202"/>
              </w:tabs>
              <w:spacing w:after="0" w:line="240" w:lineRule="auto"/>
              <w:outlineLvl w:val="0"/>
              <w:rPr>
                <w:rFonts w:eastAsia="Times New Roman" w:cs="Arial"/>
                <w:sz w:val="20"/>
                <w:szCs w:val="20"/>
              </w:rPr>
            </w:pPr>
            <w:r>
              <w:rPr>
                <w:rFonts w:eastAsia="Times New Roman" w:cs="Arial"/>
                <w:sz w:val="20"/>
                <w:szCs w:val="20"/>
              </w:rPr>
              <w:t>Ovisna društva</w:t>
            </w:r>
          </w:p>
        </w:tc>
        <w:tc>
          <w:tcPr>
            <w:tcW w:w="1374" w:type="dxa"/>
            <w:gridSpan w:val="2"/>
            <w:tcBorders>
              <w:top w:val="nil"/>
              <w:bottom w:val="nil"/>
              <w:right w:val="nil"/>
            </w:tcBorders>
            <w:shd w:val="clear" w:color="auto" w:fill="auto"/>
            <w:vAlign w:val="bottom"/>
          </w:tcPr>
          <w:p w14:paraId="6F9CE8F2" w14:textId="594EF720" w:rsidR="00DF44F2" w:rsidRPr="000E5941" w:rsidRDefault="00AE3FF4" w:rsidP="00DF44F2">
            <w:pPr>
              <w:pStyle w:val="TT"/>
              <w:spacing w:line="280" w:lineRule="exact"/>
              <w:jc w:val="right"/>
              <w:rPr>
                <w:rFonts w:asciiTheme="minorHAnsi" w:hAnsiTheme="minorHAnsi"/>
                <w:sz w:val="20"/>
              </w:rPr>
            </w:pPr>
            <w:r>
              <w:rPr>
                <w:rFonts w:asciiTheme="minorHAnsi" w:hAnsiTheme="minorHAnsi"/>
                <w:sz w:val="20"/>
              </w:rPr>
              <w:t>36.124</w:t>
            </w:r>
          </w:p>
        </w:tc>
        <w:tc>
          <w:tcPr>
            <w:tcW w:w="1342" w:type="dxa"/>
            <w:tcBorders>
              <w:top w:val="nil"/>
              <w:bottom w:val="nil"/>
              <w:right w:val="nil"/>
            </w:tcBorders>
            <w:shd w:val="clear" w:color="auto" w:fill="auto"/>
            <w:vAlign w:val="bottom"/>
          </w:tcPr>
          <w:p w14:paraId="71A1825F" w14:textId="3EA77299" w:rsidR="00DF44F2" w:rsidRPr="000E5941" w:rsidRDefault="00AE3FF4">
            <w:pPr>
              <w:pStyle w:val="TT"/>
              <w:spacing w:line="280" w:lineRule="exact"/>
              <w:jc w:val="right"/>
              <w:rPr>
                <w:rFonts w:asciiTheme="minorHAnsi" w:hAnsiTheme="minorHAnsi"/>
                <w:sz w:val="20"/>
              </w:rPr>
            </w:pPr>
            <w:r>
              <w:rPr>
                <w:rFonts w:asciiTheme="minorHAnsi" w:hAnsiTheme="minorHAnsi"/>
                <w:sz w:val="20"/>
              </w:rPr>
              <w:t>-</w:t>
            </w:r>
          </w:p>
        </w:tc>
        <w:tc>
          <w:tcPr>
            <w:tcW w:w="1340" w:type="dxa"/>
            <w:tcBorders>
              <w:top w:val="nil"/>
              <w:bottom w:val="nil"/>
              <w:right w:val="nil"/>
            </w:tcBorders>
            <w:shd w:val="clear" w:color="auto" w:fill="auto"/>
            <w:vAlign w:val="bottom"/>
          </w:tcPr>
          <w:p w14:paraId="5C137D75" w14:textId="591E145D" w:rsidR="00DF44F2" w:rsidRPr="002A6FA6" w:rsidRDefault="00DF44F2" w:rsidP="00DF44F2">
            <w:pPr>
              <w:pStyle w:val="TT"/>
              <w:spacing w:line="280" w:lineRule="exact"/>
              <w:jc w:val="right"/>
              <w:rPr>
                <w:rFonts w:asciiTheme="minorHAnsi" w:hAnsiTheme="minorHAnsi" w:cs="Arial"/>
                <w:bCs/>
                <w:iCs/>
                <w:sz w:val="20"/>
                <w:lang w:val="hr-HR"/>
              </w:rPr>
            </w:pPr>
            <w:r w:rsidRPr="002A6FA6">
              <w:rPr>
                <w:rFonts w:asciiTheme="minorHAnsi" w:hAnsiTheme="minorHAnsi"/>
                <w:sz w:val="20"/>
              </w:rPr>
              <w:t>36.124</w:t>
            </w:r>
          </w:p>
        </w:tc>
        <w:tc>
          <w:tcPr>
            <w:tcW w:w="1353" w:type="dxa"/>
            <w:gridSpan w:val="2"/>
            <w:tcBorders>
              <w:top w:val="nil"/>
              <w:left w:val="nil"/>
              <w:bottom w:val="nil"/>
              <w:right w:val="nil"/>
            </w:tcBorders>
            <w:shd w:val="clear" w:color="auto" w:fill="auto"/>
            <w:vAlign w:val="bottom"/>
          </w:tcPr>
          <w:p w14:paraId="72C0D096" w14:textId="72001258" w:rsidR="00DF44F2" w:rsidRPr="002A6FA6" w:rsidRDefault="00DF44F2" w:rsidP="00DF44F2">
            <w:pPr>
              <w:pStyle w:val="TT"/>
              <w:spacing w:line="280" w:lineRule="exact"/>
              <w:jc w:val="right"/>
              <w:rPr>
                <w:rFonts w:asciiTheme="minorHAnsi" w:hAnsiTheme="minorHAnsi" w:cs="Arial"/>
                <w:bCs/>
                <w:iCs/>
                <w:sz w:val="20"/>
                <w:lang w:val="hr-HR"/>
              </w:rPr>
            </w:pPr>
            <w:r w:rsidRPr="002A6FA6">
              <w:rPr>
                <w:rFonts w:asciiTheme="minorHAnsi" w:hAnsiTheme="minorHAnsi"/>
                <w:sz w:val="20"/>
              </w:rPr>
              <w:t>-</w:t>
            </w:r>
          </w:p>
        </w:tc>
      </w:tr>
      <w:tr w:rsidR="00DF44F2" w:rsidRPr="003A63DB" w14:paraId="0CCA4C3F" w14:textId="77777777" w:rsidTr="00312975">
        <w:trPr>
          <w:trHeight w:hRule="exact" w:val="284"/>
          <w:jc w:val="center"/>
        </w:trPr>
        <w:tc>
          <w:tcPr>
            <w:tcW w:w="3732" w:type="dxa"/>
            <w:vAlign w:val="bottom"/>
          </w:tcPr>
          <w:p w14:paraId="5B3D2150" w14:textId="77777777" w:rsidR="00DF44F2" w:rsidRPr="003A63DB" w:rsidRDefault="00DF44F2" w:rsidP="00DF44F2">
            <w:pPr>
              <w:tabs>
                <w:tab w:val="right" w:pos="1202"/>
              </w:tabs>
              <w:spacing w:after="0" w:line="240" w:lineRule="auto"/>
              <w:outlineLvl w:val="0"/>
              <w:rPr>
                <w:rFonts w:eastAsia="Times New Roman" w:cs="Arial"/>
                <w:bCs/>
                <w:sz w:val="20"/>
                <w:szCs w:val="20"/>
              </w:rPr>
            </w:pPr>
            <w:r w:rsidRPr="003A63DB">
              <w:rPr>
                <w:rFonts w:eastAsia="Times New Roman" w:cs="Arial"/>
                <w:sz w:val="20"/>
                <w:szCs w:val="20"/>
              </w:rPr>
              <w:t>Pridružena društva</w:t>
            </w:r>
          </w:p>
        </w:tc>
        <w:tc>
          <w:tcPr>
            <w:tcW w:w="1374" w:type="dxa"/>
            <w:gridSpan w:val="2"/>
            <w:tcBorders>
              <w:top w:val="nil"/>
              <w:right w:val="nil"/>
            </w:tcBorders>
            <w:shd w:val="clear" w:color="auto" w:fill="auto"/>
            <w:vAlign w:val="bottom"/>
          </w:tcPr>
          <w:p w14:paraId="5333E283" w14:textId="456B736C" w:rsidR="00DF44F2" w:rsidRPr="000E5941" w:rsidRDefault="00AE3FF4" w:rsidP="00DF44F2">
            <w:pPr>
              <w:pStyle w:val="TT"/>
              <w:spacing w:line="280" w:lineRule="exact"/>
              <w:jc w:val="right"/>
              <w:rPr>
                <w:rFonts w:asciiTheme="minorHAnsi" w:hAnsiTheme="minorHAnsi"/>
                <w:sz w:val="20"/>
              </w:rPr>
            </w:pPr>
            <w:r>
              <w:rPr>
                <w:rFonts w:asciiTheme="minorHAnsi" w:hAnsiTheme="minorHAnsi"/>
                <w:sz w:val="20"/>
              </w:rPr>
              <w:t>4</w:t>
            </w:r>
          </w:p>
        </w:tc>
        <w:tc>
          <w:tcPr>
            <w:tcW w:w="1342" w:type="dxa"/>
            <w:tcBorders>
              <w:top w:val="nil"/>
              <w:right w:val="nil"/>
            </w:tcBorders>
            <w:shd w:val="clear" w:color="auto" w:fill="auto"/>
            <w:vAlign w:val="bottom"/>
          </w:tcPr>
          <w:p w14:paraId="08859D60" w14:textId="4637C62F" w:rsidR="00DF44F2" w:rsidRPr="000E5941" w:rsidRDefault="00AE3FF4" w:rsidP="00DF44F2">
            <w:pPr>
              <w:pStyle w:val="TT"/>
              <w:spacing w:line="280" w:lineRule="exact"/>
              <w:jc w:val="right"/>
              <w:rPr>
                <w:rFonts w:asciiTheme="minorHAnsi" w:hAnsiTheme="minorHAnsi"/>
                <w:sz w:val="20"/>
              </w:rPr>
            </w:pPr>
            <w:r>
              <w:rPr>
                <w:rFonts w:asciiTheme="minorHAnsi" w:hAnsiTheme="minorHAnsi"/>
                <w:sz w:val="20"/>
              </w:rPr>
              <w:t>-</w:t>
            </w:r>
          </w:p>
        </w:tc>
        <w:tc>
          <w:tcPr>
            <w:tcW w:w="1340" w:type="dxa"/>
            <w:tcBorders>
              <w:top w:val="nil"/>
              <w:bottom w:val="nil"/>
              <w:right w:val="nil"/>
            </w:tcBorders>
            <w:shd w:val="clear" w:color="auto" w:fill="auto"/>
            <w:vAlign w:val="bottom"/>
          </w:tcPr>
          <w:p w14:paraId="08F320EE" w14:textId="07CC9CA7" w:rsidR="00DF44F2" w:rsidRPr="002A6FA6" w:rsidRDefault="00DF44F2" w:rsidP="00DF44F2">
            <w:pPr>
              <w:pStyle w:val="TT"/>
              <w:spacing w:line="280" w:lineRule="exact"/>
              <w:jc w:val="right"/>
              <w:rPr>
                <w:rFonts w:asciiTheme="minorHAnsi" w:hAnsiTheme="minorHAnsi" w:cs="Arial"/>
                <w:bCs/>
                <w:iCs/>
                <w:sz w:val="20"/>
                <w:lang w:val="hr-HR"/>
              </w:rPr>
            </w:pPr>
            <w:r w:rsidRPr="002A6FA6">
              <w:rPr>
                <w:rFonts w:asciiTheme="minorHAnsi" w:hAnsiTheme="minorHAnsi"/>
                <w:sz w:val="20"/>
              </w:rPr>
              <w:t>6</w:t>
            </w:r>
          </w:p>
        </w:tc>
        <w:tc>
          <w:tcPr>
            <w:tcW w:w="1353" w:type="dxa"/>
            <w:gridSpan w:val="2"/>
            <w:tcBorders>
              <w:top w:val="nil"/>
              <w:left w:val="nil"/>
              <w:bottom w:val="nil"/>
              <w:right w:val="nil"/>
            </w:tcBorders>
            <w:shd w:val="clear" w:color="auto" w:fill="auto"/>
            <w:vAlign w:val="bottom"/>
          </w:tcPr>
          <w:p w14:paraId="7242EEA6" w14:textId="4FA26EAF" w:rsidR="00DF44F2" w:rsidRPr="002A6FA6" w:rsidRDefault="00DF44F2" w:rsidP="00DF44F2">
            <w:pPr>
              <w:pStyle w:val="TT"/>
              <w:spacing w:line="280" w:lineRule="exact"/>
              <w:jc w:val="right"/>
              <w:rPr>
                <w:rFonts w:asciiTheme="minorHAnsi" w:hAnsiTheme="minorHAnsi" w:cs="Arial"/>
                <w:bCs/>
                <w:iCs/>
                <w:sz w:val="20"/>
                <w:lang w:val="hr-HR"/>
              </w:rPr>
            </w:pPr>
            <w:r w:rsidRPr="002A6FA6">
              <w:rPr>
                <w:rFonts w:asciiTheme="minorHAnsi" w:hAnsiTheme="minorHAnsi"/>
                <w:sz w:val="20"/>
              </w:rPr>
              <w:t>-</w:t>
            </w:r>
          </w:p>
        </w:tc>
      </w:tr>
      <w:tr w:rsidR="00DF44F2" w:rsidRPr="003A63DB" w14:paraId="0E1ACB99" w14:textId="77777777" w:rsidTr="00312975">
        <w:trPr>
          <w:trHeight w:hRule="exact" w:val="284"/>
          <w:jc w:val="center"/>
        </w:trPr>
        <w:tc>
          <w:tcPr>
            <w:tcW w:w="3732" w:type="dxa"/>
            <w:vAlign w:val="bottom"/>
          </w:tcPr>
          <w:p w14:paraId="47DBBCC4" w14:textId="77777777" w:rsidR="00DF44F2" w:rsidRPr="003A63DB" w:rsidRDefault="00DF44F2" w:rsidP="00DF44F2">
            <w:pPr>
              <w:tabs>
                <w:tab w:val="right" w:pos="1202"/>
              </w:tabs>
              <w:spacing w:after="0" w:line="240" w:lineRule="auto"/>
              <w:outlineLvl w:val="0"/>
              <w:rPr>
                <w:rFonts w:eastAsia="Times New Roman" w:cs="Arial"/>
                <w:bCs/>
                <w:sz w:val="20"/>
                <w:szCs w:val="20"/>
              </w:rPr>
            </w:pPr>
            <w:r w:rsidRPr="003A63DB">
              <w:rPr>
                <w:rFonts w:eastAsia="Times New Roman" w:cs="Arial"/>
                <w:bCs/>
                <w:sz w:val="20"/>
                <w:szCs w:val="20"/>
              </w:rPr>
              <w:t>Ključni članovi rukovodstva</w:t>
            </w:r>
          </w:p>
        </w:tc>
        <w:tc>
          <w:tcPr>
            <w:tcW w:w="1374" w:type="dxa"/>
            <w:gridSpan w:val="2"/>
            <w:tcBorders>
              <w:top w:val="nil"/>
              <w:bottom w:val="single" w:sz="4" w:space="0" w:color="auto"/>
              <w:right w:val="nil"/>
            </w:tcBorders>
            <w:shd w:val="clear" w:color="auto" w:fill="auto"/>
            <w:vAlign w:val="bottom"/>
          </w:tcPr>
          <w:p w14:paraId="53E587AA" w14:textId="64BACBA5" w:rsidR="00DF44F2" w:rsidRPr="000E5941" w:rsidRDefault="00AE3FF4" w:rsidP="00DF44F2">
            <w:pPr>
              <w:pStyle w:val="TT"/>
              <w:spacing w:line="280" w:lineRule="exact"/>
              <w:jc w:val="right"/>
              <w:rPr>
                <w:rFonts w:asciiTheme="minorHAnsi" w:hAnsiTheme="minorHAnsi"/>
                <w:sz w:val="20"/>
              </w:rPr>
            </w:pPr>
            <w:r>
              <w:rPr>
                <w:rFonts w:asciiTheme="minorHAnsi" w:hAnsiTheme="minorHAnsi"/>
                <w:sz w:val="20"/>
              </w:rPr>
              <w:t>3.832</w:t>
            </w:r>
          </w:p>
        </w:tc>
        <w:tc>
          <w:tcPr>
            <w:tcW w:w="1342" w:type="dxa"/>
            <w:tcBorders>
              <w:top w:val="nil"/>
              <w:bottom w:val="single" w:sz="4" w:space="0" w:color="auto"/>
              <w:right w:val="nil"/>
            </w:tcBorders>
            <w:shd w:val="clear" w:color="auto" w:fill="auto"/>
            <w:vAlign w:val="bottom"/>
          </w:tcPr>
          <w:p w14:paraId="27926425" w14:textId="6D235939" w:rsidR="00DF44F2" w:rsidRPr="000E5941" w:rsidRDefault="00AE3FF4" w:rsidP="00DF44F2">
            <w:pPr>
              <w:pStyle w:val="TT"/>
              <w:spacing w:line="280" w:lineRule="exact"/>
              <w:jc w:val="right"/>
              <w:rPr>
                <w:rFonts w:asciiTheme="minorHAnsi" w:hAnsiTheme="minorHAnsi"/>
                <w:sz w:val="20"/>
              </w:rPr>
            </w:pPr>
            <w:r>
              <w:rPr>
                <w:rFonts w:asciiTheme="minorHAnsi" w:hAnsiTheme="minorHAnsi"/>
                <w:sz w:val="20"/>
              </w:rPr>
              <w:t>-</w:t>
            </w:r>
          </w:p>
        </w:tc>
        <w:tc>
          <w:tcPr>
            <w:tcW w:w="1340" w:type="dxa"/>
            <w:tcBorders>
              <w:top w:val="nil"/>
              <w:bottom w:val="single" w:sz="4" w:space="0" w:color="auto"/>
              <w:right w:val="nil"/>
            </w:tcBorders>
            <w:shd w:val="clear" w:color="auto" w:fill="auto"/>
            <w:vAlign w:val="bottom"/>
          </w:tcPr>
          <w:p w14:paraId="36189BAF" w14:textId="257D1C5F" w:rsidR="00DF44F2" w:rsidRPr="002A6FA6" w:rsidRDefault="00DF44F2" w:rsidP="00DF44F2">
            <w:pPr>
              <w:pStyle w:val="TT"/>
              <w:spacing w:line="280" w:lineRule="exact"/>
              <w:jc w:val="right"/>
              <w:rPr>
                <w:rFonts w:asciiTheme="minorHAnsi" w:hAnsiTheme="minorHAnsi" w:cs="Arial"/>
                <w:bCs/>
                <w:iCs/>
                <w:sz w:val="20"/>
                <w:lang w:val="hr-HR"/>
              </w:rPr>
            </w:pPr>
            <w:r w:rsidRPr="002A6FA6">
              <w:rPr>
                <w:rFonts w:asciiTheme="minorHAnsi" w:hAnsiTheme="minorHAnsi"/>
                <w:sz w:val="20"/>
              </w:rPr>
              <w:t>4.000</w:t>
            </w:r>
          </w:p>
        </w:tc>
        <w:tc>
          <w:tcPr>
            <w:tcW w:w="1353" w:type="dxa"/>
            <w:gridSpan w:val="2"/>
            <w:tcBorders>
              <w:top w:val="nil"/>
              <w:left w:val="nil"/>
              <w:bottom w:val="single" w:sz="4" w:space="0" w:color="auto"/>
              <w:right w:val="nil"/>
            </w:tcBorders>
            <w:shd w:val="clear" w:color="auto" w:fill="auto"/>
            <w:vAlign w:val="bottom"/>
          </w:tcPr>
          <w:p w14:paraId="691963E9" w14:textId="4BB63876" w:rsidR="00DF44F2" w:rsidRPr="002A6FA6" w:rsidRDefault="00DF44F2" w:rsidP="00DF44F2">
            <w:pPr>
              <w:pStyle w:val="TT"/>
              <w:spacing w:line="280" w:lineRule="exact"/>
              <w:jc w:val="right"/>
              <w:rPr>
                <w:rFonts w:asciiTheme="minorHAnsi" w:hAnsiTheme="minorHAnsi" w:cs="Arial"/>
                <w:bCs/>
                <w:iCs/>
                <w:sz w:val="20"/>
                <w:lang w:val="hr-HR"/>
              </w:rPr>
            </w:pPr>
            <w:r w:rsidRPr="002A6FA6">
              <w:rPr>
                <w:rFonts w:asciiTheme="minorHAnsi" w:hAnsiTheme="minorHAnsi"/>
                <w:sz w:val="20"/>
              </w:rPr>
              <w:t>-</w:t>
            </w:r>
          </w:p>
        </w:tc>
      </w:tr>
      <w:tr w:rsidR="00DF44F2" w:rsidRPr="003A63DB" w14:paraId="5A9D7890" w14:textId="77777777" w:rsidTr="00312975">
        <w:trPr>
          <w:trHeight w:val="213"/>
          <w:jc w:val="center"/>
        </w:trPr>
        <w:tc>
          <w:tcPr>
            <w:tcW w:w="3732" w:type="dxa"/>
            <w:vAlign w:val="bottom"/>
          </w:tcPr>
          <w:p w14:paraId="350159EA" w14:textId="77777777" w:rsidR="00DF44F2" w:rsidRPr="003A63DB" w:rsidRDefault="00DF44F2" w:rsidP="00DF44F2">
            <w:pPr>
              <w:tabs>
                <w:tab w:val="right" w:pos="1202"/>
              </w:tabs>
              <w:spacing w:after="0" w:line="240" w:lineRule="auto"/>
              <w:outlineLvl w:val="0"/>
              <w:rPr>
                <w:rFonts w:eastAsia="Times New Roman" w:cs="Arial"/>
                <w:b/>
                <w:sz w:val="20"/>
                <w:szCs w:val="20"/>
              </w:rPr>
            </w:pPr>
            <w:r w:rsidRPr="003A63DB">
              <w:rPr>
                <w:rFonts w:eastAsia="Times New Roman" w:cs="Arial"/>
                <w:b/>
                <w:sz w:val="20"/>
                <w:szCs w:val="20"/>
              </w:rPr>
              <w:t>Ukupno</w:t>
            </w:r>
          </w:p>
        </w:tc>
        <w:tc>
          <w:tcPr>
            <w:tcW w:w="1374" w:type="dxa"/>
            <w:gridSpan w:val="2"/>
            <w:tcBorders>
              <w:top w:val="single" w:sz="4" w:space="0" w:color="auto"/>
              <w:bottom w:val="single" w:sz="12" w:space="0" w:color="auto"/>
              <w:right w:val="nil"/>
            </w:tcBorders>
            <w:shd w:val="clear" w:color="auto" w:fill="auto"/>
            <w:vAlign w:val="bottom"/>
          </w:tcPr>
          <w:p w14:paraId="0FE33BBB" w14:textId="0022C936" w:rsidR="00DF44F2" w:rsidRPr="00173968" w:rsidRDefault="007F0E9F" w:rsidP="00DF44F2">
            <w:pPr>
              <w:pStyle w:val="TT"/>
              <w:spacing w:line="280" w:lineRule="exact"/>
              <w:jc w:val="right"/>
              <w:rPr>
                <w:b/>
                <w:sz w:val="20"/>
              </w:rPr>
            </w:pPr>
            <w:r>
              <w:rPr>
                <w:rFonts w:asciiTheme="minorHAnsi" w:hAnsiTheme="minorHAnsi"/>
                <w:b/>
                <w:sz w:val="20"/>
              </w:rPr>
              <w:t>5.037.221</w:t>
            </w:r>
          </w:p>
        </w:tc>
        <w:tc>
          <w:tcPr>
            <w:tcW w:w="1342" w:type="dxa"/>
            <w:tcBorders>
              <w:top w:val="single" w:sz="4" w:space="0" w:color="auto"/>
              <w:bottom w:val="single" w:sz="12" w:space="0" w:color="auto"/>
              <w:right w:val="nil"/>
            </w:tcBorders>
            <w:shd w:val="clear" w:color="auto" w:fill="auto"/>
            <w:vAlign w:val="bottom"/>
          </w:tcPr>
          <w:p w14:paraId="1B77209F" w14:textId="518DC680" w:rsidR="00DF44F2" w:rsidRPr="00173968" w:rsidRDefault="00AE3FF4" w:rsidP="00DF44F2">
            <w:pPr>
              <w:pStyle w:val="TT"/>
              <w:spacing w:line="280" w:lineRule="exact"/>
              <w:jc w:val="right"/>
              <w:rPr>
                <w:b/>
                <w:sz w:val="20"/>
              </w:rPr>
            </w:pPr>
            <w:r>
              <w:rPr>
                <w:rFonts w:asciiTheme="minorHAnsi" w:hAnsiTheme="minorHAnsi"/>
                <w:b/>
                <w:sz w:val="20"/>
              </w:rPr>
              <w:t>354.218</w:t>
            </w:r>
          </w:p>
        </w:tc>
        <w:tc>
          <w:tcPr>
            <w:tcW w:w="1340" w:type="dxa"/>
            <w:tcBorders>
              <w:top w:val="single" w:sz="4" w:space="0" w:color="auto"/>
              <w:bottom w:val="single" w:sz="12" w:space="0" w:color="auto"/>
              <w:right w:val="nil"/>
            </w:tcBorders>
            <w:shd w:val="clear" w:color="auto" w:fill="auto"/>
            <w:vAlign w:val="bottom"/>
          </w:tcPr>
          <w:p w14:paraId="442B2344" w14:textId="28A0D971" w:rsidR="00DF44F2" w:rsidRPr="002A6FA6" w:rsidRDefault="00DF44F2" w:rsidP="00DF44F2">
            <w:pPr>
              <w:tabs>
                <w:tab w:val="right" w:pos="1202"/>
              </w:tabs>
              <w:spacing w:after="0" w:line="240" w:lineRule="auto"/>
              <w:jc w:val="right"/>
              <w:outlineLvl w:val="0"/>
              <w:rPr>
                <w:rFonts w:cs="Arial"/>
                <w:b/>
                <w:iCs/>
                <w:sz w:val="20"/>
                <w:szCs w:val="20"/>
              </w:rPr>
            </w:pPr>
            <w:r w:rsidRPr="002A6FA6">
              <w:rPr>
                <w:b/>
                <w:sz w:val="20"/>
                <w:szCs w:val="20"/>
              </w:rPr>
              <w:t>5.471.348</w:t>
            </w:r>
          </w:p>
        </w:tc>
        <w:tc>
          <w:tcPr>
            <w:tcW w:w="1353" w:type="dxa"/>
            <w:gridSpan w:val="2"/>
            <w:tcBorders>
              <w:top w:val="single" w:sz="4" w:space="0" w:color="auto"/>
              <w:left w:val="nil"/>
              <w:bottom w:val="single" w:sz="12" w:space="0" w:color="auto"/>
              <w:right w:val="nil"/>
            </w:tcBorders>
            <w:shd w:val="clear" w:color="auto" w:fill="auto"/>
            <w:vAlign w:val="bottom"/>
          </w:tcPr>
          <w:p w14:paraId="45F4C7B0" w14:textId="3DC27DF9" w:rsidR="00DF44F2" w:rsidRPr="002A6FA6" w:rsidRDefault="00DF44F2" w:rsidP="00DF44F2">
            <w:pPr>
              <w:tabs>
                <w:tab w:val="right" w:pos="1202"/>
              </w:tabs>
              <w:spacing w:after="0" w:line="240" w:lineRule="auto"/>
              <w:jc w:val="right"/>
              <w:outlineLvl w:val="0"/>
              <w:rPr>
                <w:rFonts w:cs="Arial"/>
                <w:b/>
                <w:iCs/>
                <w:sz w:val="20"/>
                <w:szCs w:val="20"/>
              </w:rPr>
            </w:pPr>
            <w:r w:rsidRPr="002A6FA6">
              <w:rPr>
                <w:b/>
                <w:sz w:val="20"/>
                <w:szCs w:val="20"/>
              </w:rPr>
              <w:t>167.453</w:t>
            </w:r>
          </w:p>
        </w:tc>
      </w:tr>
    </w:tbl>
    <w:p w14:paraId="66270D0B" w14:textId="77777777" w:rsidR="003A63DB" w:rsidRDefault="003A63DB" w:rsidP="003A63DB">
      <w:pPr>
        <w:spacing w:after="0" w:line="240" w:lineRule="auto"/>
        <w:jc w:val="both"/>
        <w:rPr>
          <w:rFonts w:eastAsia="Times New Roman" w:cs="Arial"/>
          <w:b/>
          <w:sz w:val="24"/>
          <w:szCs w:val="24"/>
        </w:rPr>
      </w:pPr>
    </w:p>
    <w:p w14:paraId="032C4BF2" w14:textId="77777777" w:rsidR="00EB35E7" w:rsidRPr="003A63DB" w:rsidRDefault="00EB35E7" w:rsidP="003A63DB">
      <w:pPr>
        <w:spacing w:after="0" w:line="240" w:lineRule="auto"/>
        <w:jc w:val="both"/>
        <w:rPr>
          <w:rFonts w:eastAsia="Times New Roman" w:cs="Arial"/>
          <w:b/>
          <w:sz w:val="24"/>
          <w:szCs w:val="24"/>
        </w:rPr>
      </w:pPr>
    </w:p>
    <w:tbl>
      <w:tblPr>
        <w:tblW w:w="4885" w:type="pct"/>
        <w:jc w:val="center"/>
        <w:tblLayout w:type="fixed"/>
        <w:tblCellMar>
          <w:left w:w="113" w:type="dxa"/>
          <w:right w:w="85" w:type="dxa"/>
        </w:tblCellMar>
        <w:tblLook w:val="00A0" w:firstRow="1" w:lastRow="0" w:firstColumn="1" w:lastColumn="0" w:noHBand="0" w:noVBand="0"/>
      </w:tblPr>
      <w:tblGrid>
        <w:gridCol w:w="3713"/>
        <w:gridCol w:w="1381"/>
        <w:gridCol w:w="16"/>
        <w:gridCol w:w="1365"/>
        <w:gridCol w:w="1285"/>
        <w:gridCol w:w="1379"/>
      </w:tblGrid>
      <w:tr w:rsidR="003A63DB" w:rsidRPr="003A63DB" w14:paraId="06B00AC9" w14:textId="77777777" w:rsidTr="00682116">
        <w:trPr>
          <w:trHeight w:val="14"/>
          <w:jc w:val="center"/>
        </w:trPr>
        <w:tc>
          <w:tcPr>
            <w:tcW w:w="3713" w:type="dxa"/>
            <w:vAlign w:val="bottom"/>
          </w:tcPr>
          <w:p w14:paraId="556A3A6F" w14:textId="77777777" w:rsidR="003A63DB" w:rsidRPr="003A63DB" w:rsidRDefault="003A63DB" w:rsidP="003A63DB">
            <w:pPr>
              <w:tabs>
                <w:tab w:val="right" w:pos="1202"/>
              </w:tabs>
              <w:spacing w:after="0" w:line="240" w:lineRule="auto"/>
              <w:outlineLvl w:val="0"/>
              <w:rPr>
                <w:rFonts w:eastAsia="Times New Roman" w:cs="Arial"/>
                <w:sz w:val="20"/>
                <w:szCs w:val="20"/>
              </w:rPr>
            </w:pPr>
            <w:r w:rsidRPr="003A63DB">
              <w:rPr>
                <w:rFonts w:eastAsia="Times New Roman" w:cs="Arial"/>
                <w:b/>
                <w:sz w:val="20"/>
                <w:szCs w:val="20"/>
              </w:rPr>
              <w:t>Banka</w:t>
            </w:r>
          </w:p>
        </w:tc>
        <w:tc>
          <w:tcPr>
            <w:tcW w:w="1381" w:type="dxa"/>
            <w:vAlign w:val="center"/>
          </w:tcPr>
          <w:p w14:paraId="6750A504" w14:textId="77777777" w:rsidR="003A63DB" w:rsidRPr="003A63DB" w:rsidRDefault="003A63DB"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Prihodi</w:t>
            </w:r>
          </w:p>
        </w:tc>
        <w:tc>
          <w:tcPr>
            <w:tcW w:w="1381" w:type="dxa"/>
            <w:gridSpan w:val="2"/>
            <w:vAlign w:val="center"/>
          </w:tcPr>
          <w:p w14:paraId="1BD7827E" w14:textId="77777777" w:rsidR="003A63DB" w:rsidRPr="003A63DB" w:rsidRDefault="003A63DB"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Rashodi</w:t>
            </w:r>
          </w:p>
        </w:tc>
        <w:tc>
          <w:tcPr>
            <w:tcW w:w="1285" w:type="dxa"/>
            <w:vAlign w:val="center"/>
          </w:tcPr>
          <w:p w14:paraId="35B5CECD" w14:textId="77777777" w:rsidR="003A63DB" w:rsidRPr="003A63DB" w:rsidRDefault="003A63DB"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Prihodi</w:t>
            </w:r>
          </w:p>
        </w:tc>
        <w:tc>
          <w:tcPr>
            <w:tcW w:w="1379" w:type="dxa"/>
            <w:vAlign w:val="center"/>
          </w:tcPr>
          <w:p w14:paraId="1ACB5CB3" w14:textId="77777777" w:rsidR="003A63DB" w:rsidRPr="003A63DB" w:rsidRDefault="003A63DB" w:rsidP="00F1130C">
            <w:pPr>
              <w:tabs>
                <w:tab w:val="right" w:pos="1202"/>
              </w:tabs>
              <w:spacing w:after="0" w:line="240" w:lineRule="auto"/>
              <w:jc w:val="right"/>
              <w:outlineLvl w:val="0"/>
              <w:rPr>
                <w:rFonts w:eastAsia="Times New Roman" w:cs="Arial"/>
                <w:b/>
                <w:bCs/>
                <w:iCs/>
                <w:sz w:val="20"/>
                <w:szCs w:val="20"/>
              </w:rPr>
            </w:pPr>
            <w:r w:rsidRPr="003A63DB">
              <w:rPr>
                <w:rFonts w:eastAsia="Times New Roman" w:cs="Arial"/>
                <w:b/>
                <w:bCs/>
                <w:iCs/>
                <w:sz w:val="20"/>
                <w:szCs w:val="20"/>
              </w:rPr>
              <w:t>Rashodi</w:t>
            </w:r>
          </w:p>
        </w:tc>
      </w:tr>
      <w:tr w:rsidR="00682116" w:rsidRPr="003A63DB" w14:paraId="597A1630" w14:textId="77777777" w:rsidTr="004B42E3">
        <w:trPr>
          <w:trHeight w:hRule="exact" w:val="457"/>
          <w:jc w:val="center"/>
        </w:trPr>
        <w:tc>
          <w:tcPr>
            <w:tcW w:w="3713" w:type="dxa"/>
            <w:vAlign w:val="bottom"/>
          </w:tcPr>
          <w:p w14:paraId="2A9A66A3" w14:textId="77777777" w:rsidR="00682116" w:rsidRPr="003A63DB" w:rsidRDefault="00682116" w:rsidP="00682116">
            <w:pPr>
              <w:tabs>
                <w:tab w:val="right" w:pos="1202"/>
              </w:tabs>
              <w:spacing w:after="0" w:line="240" w:lineRule="auto"/>
              <w:outlineLvl w:val="0"/>
              <w:rPr>
                <w:rFonts w:eastAsia="Times New Roman" w:cs="Arial"/>
                <w:b/>
                <w:sz w:val="20"/>
                <w:szCs w:val="20"/>
              </w:rPr>
            </w:pPr>
          </w:p>
        </w:tc>
        <w:tc>
          <w:tcPr>
            <w:tcW w:w="1397" w:type="dxa"/>
            <w:gridSpan w:val="2"/>
            <w:vAlign w:val="bottom"/>
          </w:tcPr>
          <w:p w14:paraId="006035BD" w14:textId="12C26176" w:rsidR="00682116" w:rsidRPr="003A63DB" w:rsidRDefault="00491F0E">
            <w:pPr>
              <w:tabs>
                <w:tab w:val="right" w:pos="1202"/>
              </w:tabs>
              <w:spacing w:after="0" w:line="240" w:lineRule="auto"/>
              <w:jc w:val="right"/>
              <w:outlineLvl w:val="0"/>
              <w:rPr>
                <w:rFonts w:eastAsia="Times New Roman" w:cs="Arial"/>
                <w:b/>
                <w:bCs/>
                <w:iCs/>
                <w:sz w:val="20"/>
                <w:szCs w:val="20"/>
              </w:rPr>
            </w:pPr>
            <w:r>
              <w:rPr>
                <w:rFonts w:eastAsia="Times New Roman" w:cs="Arial"/>
                <w:b/>
                <w:bCs/>
                <w:iCs/>
                <w:sz w:val="20"/>
                <w:szCs w:val="20"/>
              </w:rPr>
              <w:t>1.1. -</w:t>
            </w:r>
            <w:r w:rsidR="00DF44F2">
              <w:rPr>
                <w:rFonts w:eastAsia="Times New Roman" w:cs="Arial"/>
                <w:b/>
                <w:bCs/>
                <w:iCs/>
                <w:sz w:val="20"/>
                <w:szCs w:val="20"/>
              </w:rPr>
              <w:t>30</w:t>
            </w:r>
            <w:r w:rsidR="00682116">
              <w:rPr>
                <w:rFonts w:eastAsia="Times New Roman" w:cs="Arial"/>
                <w:b/>
                <w:bCs/>
                <w:iCs/>
                <w:sz w:val="20"/>
                <w:szCs w:val="20"/>
              </w:rPr>
              <w:t>.</w:t>
            </w:r>
            <w:r w:rsidR="00DF44F2">
              <w:rPr>
                <w:rFonts w:eastAsia="Times New Roman" w:cs="Arial"/>
                <w:b/>
                <w:bCs/>
                <w:iCs/>
                <w:sz w:val="20"/>
                <w:szCs w:val="20"/>
              </w:rPr>
              <w:t>6</w:t>
            </w:r>
            <w:r w:rsidR="00682116">
              <w:rPr>
                <w:rFonts w:eastAsia="Times New Roman" w:cs="Arial"/>
                <w:b/>
                <w:bCs/>
                <w:iCs/>
                <w:sz w:val="20"/>
                <w:szCs w:val="20"/>
              </w:rPr>
              <w:t>.</w:t>
            </w:r>
            <w:r w:rsidR="00682116" w:rsidRPr="003A63DB">
              <w:rPr>
                <w:rFonts w:eastAsia="Times New Roman" w:cs="Arial"/>
                <w:b/>
                <w:bCs/>
                <w:iCs/>
                <w:sz w:val="20"/>
                <w:szCs w:val="20"/>
              </w:rPr>
              <w:t>201</w:t>
            </w:r>
            <w:r w:rsidR="00682116">
              <w:rPr>
                <w:rFonts w:eastAsia="Times New Roman" w:cs="Arial"/>
                <w:b/>
                <w:bCs/>
                <w:iCs/>
                <w:sz w:val="20"/>
                <w:szCs w:val="20"/>
              </w:rPr>
              <w:t>7</w:t>
            </w:r>
            <w:r w:rsidR="00682116" w:rsidRPr="003A63DB">
              <w:rPr>
                <w:rFonts w:eastAsia="Times New Roman" w:cs="Arial"/>
                <w:b/>
                <w:bCs/>
                <w:iCs/>
                <w:sz w:val="20"/>
                <w:szCs w:val="20"/>
              </w:rPr>
              <w:t>.</w:t>
            </w:r>
          </w:p>
        </w:tc>
        <w:tc>
          <w:tcPr>
            <w:tcW w:w="1365" w:type="dxa"/>
            <w:vAlign w:val="bottom"/>
          </w:tcPr>
          <w:p w14:paraId="05FA41D2" w14:textId="5C91B507" w:rsidR="00682116" w:rsidRPr="003A63DB" w:rsidRDefault="00491F0E">
            <w:pPr>
              <w:tabs>
                <w:tab w:val="right" w:pos="1202"/>
              </w:tabs>
              <w:spacing w:after="0" w:line="240" w:lineRule="auto"/>
              <w:jc w:val="right"/>
              <w:outlineLvl w:val="0"/>
              <w:rPr>
                <w:rFonts w:eastAsia="Times New Roman" w:cs="Arial"/>
                <w:b/>
                <w:bCs/>
                <w:iCs/>
                <w:sz w:val="20"/>
                <w:szCs w:val="20"/>
              </w:rPr>
            </w:pPr>
            <w:r>
              <w:rPr>
                <w:rFonts w:eastAsia="Times New Roman" w:cs="Arial"/>
                <w:b/>
                <w:bCs/>
                <w:iCs/>
                <w:sz w:val="20"/>
                <w:szCs w:val="20"/>
              </w:rPr>
              <w:t>1.1. -</w:t>
            </w:r>
            <w:r w:rsidR="00DF44F2" w:rsidRPr="003A63DB">
              <w:rPr>
                <w:rFonts w:eastAsia="Times New Roman" w:cs="Arial"/>
                <w:b/>
                <w:bCs/>
                <w:iCs/>
                <w:sz w:val="20"/>
                <w:szCs w:val="20"/>
              </w:rPr>
              <w:t>3</w:t>
            </w:r>
            <w:r w:rsidR="00DF44F2">
              <w:rPr>
                <w:rFonts w:eastAsia="Times New Roman" w:cs="Arial"/>
                <w:b/>
                <w:bCs/>
                <w:iCs/>
                <w:sz w:val="20"/>
                <w:szCs w:val="20"/>
              </w:rPr>
              <w:t>0</w:t>
            </w:r>
            <w:r w:rsidR="00682116">
              <w:rPr>
                <w:rFonts w:eastAsia="Times New Roman" w:cs="Arial"/>
                <w:b/>
                <w:bCs/>
                <w:iCs/>
                <w:sz w:val="20"/>
                <w:szCs w:val="20"/>
              </w:rPr>
              <w:t>.</w:t>
            </w:r>
            <w:r w:rsidR="00DF44F2">
              <w:rPr>
                <w:rFonts w:eastAsia="Times New Roman" w:cs="Arial"/>
                <w:b/>
                <w:bCs/>
                <w:iCs/>
                <w:sz w:val="20"/>
                <w:szCs w:val="20"/>
              </w:rPr>
              <w:t>6</w:t>
            </w:r>
            <w:r w:rsidR="00682116" w:rsidRPr="003A63DB">
              <w:rPr>
                <w:rFonts w:eastAsia="Times New Roman" w:cs="Arial"/>
                <w:b/>
                <w:bCs/>
                <w:iCs/>
                <w:sz w:val="20"/>
                <w:szCs w:val="20"/>
              </w:rPr>
              <w:t>.201</w:t>
            </w:r>
            <w:r w:rsidR="00682116">
              <w:rPr>
                <w:rFonts w:eastAsia="Times New Roman" w:cs="Arial"/>
                <w:b/>
                <w:bCs/>
                <w:iCs/>
                <w:sz w:val="20"/>
                <w:szCs w:val="20"/>
              </w:rPr>
              <w:t>7</w:t>
            </w:r>
            <w:r w:rsidR="00682116" w:rsidRPr="003A63DB">
              <w:rPr>
                <w:rFonts w:eastAsia="Times New Roman" w:cs="Arial"/>
                <w:b/>
                <w:bCs/>
                <w:iCs/>
                <w:sz w:val="20"/>
                <w:szCs w:val="20"/>
              </w:rPr>
              <w:t>.</w:t>
            </w:r>
          </w:p>
        </w:tc>
        <w:tc>
          <w:tcPr>
            <w:tcW w:w="1285" w:type="dxa"/>
            <w:vAlign w:val="bottom"/>
          </w:tcPr>
          <w:p w14:paraId="6CBBC491" w14:textId="5CDAA715" w:rsidR="00682116" w:rsidRPr="003A63DB" w:rsidRDefault="00491F0E">
            <w:pPr>
              <w:tabs>
                <w:tab w:val="right" w:pos="1202"/>
              </w:tabs>
              <w:spacing w:after="0" w:line="240" w:lineRule="auto"/>
              <w:jc w:val="right"/>
              <w:outlineLvl w:val="0"/>
              <w:rPr>
                <w:rFonts w:eastAsia="Times New Roman" w:cs="Arial"/>
                <w:b/>
                <w:bCs/>
                <w:iCs/>
                <w:sz w:val="20"/>
                <w:szCs w:val="20"/>
              </w:rPr>
            </w:pPr>
            <w:r>
              <w:rPr>
                <w:rFonts w:eastAsia="Times New Roman" w:cs="Arial"/>
                <w:b/>
                <w:bCs/>
                <w:iCs/>
                <w:sz w:val="20"/>
                <w:szCs w:val="20"/>
              </w:rPr>
              <w:t>1.1. -</w:t>
            </w:r>
            <w:r w:rsidR="00DF44F2">
              <w:rPr>
                <w:rFonts w:eastAsia="Times New Roman" w:cs="Arial"/>
                <w:b/>
                <w:bCs/>
                <w:iCs/>
                <w:sz w:val="20"/>
                <w:szCs w:val="20"/>
              </w:rPr>
              <w:t>30</w:t>
            </w:r>
            <w:r w:rsidR="00682116">
              <w:rPr>
                <w:rFonts w:eastAsia="Times New Roman" w:cs="Arial"/>
                <w:b/>
                <w:bCs/>
                <w:iCs/>
                <w:sz w:val="20"/>
                <w:szCs w:val="20"/>
              </w:rPr>
              <w:t>.</w:t>
            </w:r>
            <w:r w:rsidR="00DF44F2">
              <w:rPr>
                <w:rFonts w:eastAsia="Times New Roman" w:cs="Arial"/>
                <w:b/>
                <w:bCs/>
                <w:iCs/>
                <w:sz w:val="20"/>
                <w:szCs w:val="20"/>
              </w:rPr>
              <w:t>6</w:t>
            </w:r>
            <w:r w:rsidR="00682116">
              <w:rPr>
                <w:rFonts w:eastAsia="Times New Roman" w:cs="Arial"/>
                <w:b/>
                <w:bCs/>
                <w:iCs/>
                <w:sz w:val="20"/>
                <w:szCs w:val="20"/>
              </w:rPr>
              <w:t>.</w:t>
            </w:r>
            <w:r w:rsidR="00682116" w:rsidRPr="003A63DB">
              <w:rPr>
                <w:rFonts w:eastAsia="Times New Roman" w:cs="Arial"/>
                <w:b/>
                <w:bCs/>
                <w:iCs/>
                <w:sz w:val="20"/>
                <w:szCs w:val="20"/>
              </w:rPr>
              <w:t>201</w:t>
            </w:r>
            <w:r w:rsidR="00682116">
              <w:rPr>
                <w:rFonts w:eastAsia="Times New Roman" w:cs="Arial"/>
                <w:b/>
                <w:bCs/>
                <w:iCs/>
                <w:sz w:val="20"/>
                <w:szCs w:val="20"/>
              </w:rPr>
              <w:t>6</w:t>
            </w:r>
            <w:r w:rsidR="00682116" w:rsidRPr="003A63DB">
              <w:rPr>
                <w:rFonts w:eastAsia="Times New Roman" w:cs="Arial"/>
                <w:b/>
                <w:bCs/>
                <w:iCs/>
                <w:sz w:val="20"/>
                <w:szCs w:val="20"/>
              </w:rPr>
              <w:t>.</w:t>
            </w:r>
          </w:p>
        </w:tc>
        <w:tc>
          <w:tcPr>
            <w:tcW w:w="1379" w:type="dxa"/>
            <w:vAlign w:val="bottom"/>
          </w:tcPr>
          <w:p w14:paraId="7A70EE7C" w14:textId="4B48ACCA" w:rsidR="00682116" w:rsidRPr="003A63DB" w:rsidRDefault="00491F0E" w:rsidP="00682116">
            <w:pPr>
              <w:tabs>
                <w:tab w:val="right" w:pos="1202"/>
              </w:tabs>
              <w:spacing w:after="0" w:line="240" w:lineRule="auto"/>
              <w:jc w:val="right"/>
              <w:outlineLvl w:val="0"/>
              <w:rPr>
                <w:rFonts w:eastAsia="Times New Roman" w:cs="Arial"/>
                <w:b/>
                <w:bCs/>
                <w:iCs/>
                <w:sz w:val="20"/>
                <w:szCs w:val="20"/>
              </w:rPr>
            </w:pPr>
            <w:r>
              <w:rPr>
                <w:rFonts w:eastAsia="Times New Roman" w:cs="Arial"/>
                <w:b/>
                <w:bCs/>
                <w:iCs/>
                <w:sz w:val="20"/>
                <w:szCs w:val="20"/>
              </w:rPr>
              <w:t>1.1. -</w:t>
            </w:r>
            <w:r w:rsidR="00DF44F2">
              <w:rPr>
                <w:rFonts w:eastAsia="Times New Roman" w:cs="Arial"/>
                <w:b/>
                <w:bCs/>
                <w:iCs/>
                <w:sz w:val="20"/>
                <w:szCs w:val="20"/>
              </w:rPr>
              <w:t>30.6.</w:t>
            </w:r>
            <w:r w:rsidR="00DF44F2" w:rsidRPr="003A63DB">
              <w:rPr>
                <w:rFonts w:eastAsia="Times New Roman" w:cs="Arial"/>
                <w:b/>
                <w:bCs/>
                <w:iCs/>
                <w:sz w:val="20"/>
                <w:szCs w:val="20"/>
              </w:rPr>
              <w:t>201</w:t>
            </w:r>
            <w:r w:rsidR="00DF44F2">
              <w:rPr>
                <w:rFonts w:eastAsia="Times New Roman" w:cs="Arial"/>
                <w:b/>
                <w:bCs/>
                <w:iCs/>
                <w:sz w:val="20"/>
                <w:szCs w:val="20"/>
              </w:rPr>
              <w:t>6</w:t>
            </w:r>
            <w:r w:rsidR="00682116" w:rsidRPr="003A63DB">
              <w:rPr>
                <w:rFonts w:eastAsia="Times New Roman" w:cs="Arial"/>
                <w:b/>
                <w:bCs/>
                <w:iCs/>
                <w:sz w:val="20"/>
                <w:szCs w:val="20"/>
              </w:rPr>
              <w:t>.</w:t>
            </w:r>
          </w:p>
        </w:tc>
      </w:tr>
      <w:tr w:rsidR="00DF44F2" w:rsidRPr="003A63DB" w14:paraId="645DFAF3" w14:textId="77777777" w:rsidTr="00682116">
        <w:trPr>
          <w:trHeight w:hRule="exact" w:val="284"/>
          <w:jc w:val="center"/>
        </w:trPr>
        <w:tc>
          <w:tcPr>
            <w:tcW w:w="3713" w:type="dxa"/>
            <w:vAlign w:val="bottom"/>
          </w:tcPr>
          <w:p w14:paraId="3BB2151E" w14:textId="77777777" w:rsidR="00DF44F2" w:rsidRPr="003A63DB" w:rsidRDefault="00DF44F2" w:rsidP="00DF44F2">
            <w:pPr>
              <w:tabs>
                <w:tab w:val="right" w:pos="1202"/>
              </w:tabs>
              <w:spacing w:after="0" w:line="240" w:lineRule="auto"/>
              <w:outlineLvl w:val="0"/>
              <w:rPr>
                <w:rFonts w:eastAsia="Times New Roman" w:cs="Arial"/>
                <w:sz w:val="20"/>
                <w:szCs w:val="20"/>
              </w:rPr>
            </w:pPr>
            <w:r w:rsidRPr="003A63DB">
              <w:rPr>
                <w:rFonts w:eastAsia="Times New Roman" w:cs="Arial"/>
                <w:sz w:val="20"/>
                <w:szCs w:val="20"/>
              </w:rPr>
              <w:t>Vlasnik</w:t>
            </w:r>
          </w:p>
        </w:tc>
        <w:tc>
          <w:tcPr>
            <w:tcW w:w="1397" w:type="dxa"/>
            <w:gridSpan w:val="2"/>
            <w:tcBorders>
              <w:top w:val="nil"/>
              <w:left w:val="nil"/>
              <w:bottom w:val="nil"/>
              <w:right w:val="nil"/>
            </w:tcBorders>
            <w:shd w:val="clear" w:color="auto" w:fill="auto"/>
            <w:vAlign w:val="bottom"/>
          </w:tcPr>
          <w:p w14:paraId="39E0E608" w14:textId="668F1EDD" w:rsidR="00DF44F2" w:rsidRPr="00F3766F" w:rsidRDefault="00AE3FF4" w:rsidP="00DF44F2">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39.347</w:t>
            </w:r>
          </w:p>
        </w:tc>
        <w:tc>
          <w:tcPr>
            <w:tcW w:w="1365" w:type="dxa"/>
            <w:tcBorders>
              <w:top w:val="nil"/>
              <w:left w:val="nil"/>
              <w:bottom w:val="nil"/>
              <w:right w:val="nil"/>
            </w:tcBorders>
            <w:shd w:val="clear" w:color="auto" w:fill="auto"/>
            <w:vAlign w:val="bottom"/>
          </w:tcPr>
          <w:p w14:paraId="03E59B59" w14:textId="1B9FEADD" w:rsidR="00DF44F2" w:rsidRPr="00F3766F" w:rsidRDefault="00AE3FF4" w:rsidP="00DF44F2">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1</w:t>
            </w:r>
            <w:r w:rsidR="007F0E9F">
              <w:rPr>
                <w:rFonts w:eastAsia="Times New Roman" w:cs="Arial"/>
                <w:bCs/>
                <w:iCs/>
                <w:sz w:val="20"/>
                <w:szCs w:val="20"/>
              </w:rPr>
              <w:t>3</w:t>
            </w:r>
            <w:r>
              <w:rPr>
                <w:rFonts w:eastAsia="Times New Roman" w:cs="Arial"/>
                <w:bCs/>
                <w:iCs/>
                <w:sz w:val="20"/>
                <w:szCs w:val="20"/>
              </w:rPr>
              <w:t>6</w:t>
            </w:r>
          </w:p>
        </w:tc>
        <w:tc>
          <w:tcPr>
            <w:tcW w:w="1285" w:type="dxa"/>
            <w:tcBorders>
              <w:top w:val="nil"/>
              <w:left w:val="nil"/>
              <w:bottom w:val="nil"/>
              <w:right w:val="nil"/>
            </w:tcBorders>
            <w:shd w:val="clear" w:color="auto" w:fill="auto"/>
            <w:vAlign w:val="bottom"/>
          </w:tcPr>
          <w:p w14:paraId="1A856207" w14:textId="6101ED4F" w:rsidR="00DF44F2" w:rsidRPr="00257CDB" w:rsidRDefault="00DF44F2" w:rsidP="00312975">
            <w:pPr>
              <w:pStyle w:val="TT"/>
              <w:spacing w:line="280" w:lineRule="exact"/>
              <w:jc w:val="right"/>
              <w:rPr>
                <w:sz w:val="20"/>
              </w:rPr>
            </w:pPr>
            <w:r w:rsidRPr="00312975">
              <w:rPr>
                <w:rFonts w:asciiTheme="minorHAnsi" w:hAnsiTheme="minorHAnsi"/>
                <w:sz w:val="20"/>
              </w:rPr>
              <w:t>51.904</w:t>
            </w:r>
          </w:p>
        </w:tc>
        <w:tc>
          <w:tcPr>
            <w:tcW w:w="1379" w:type="dxa"/>
            <w:tcBorders>
              <w:top w:val="nil"/>
              <w:left w:val="nil"/>
              <w:bottom w:val="nil"/>
              <w:right w:val="nil"/>
            </w:tcBorders>
            <w:shd w:val="clear" w:color="auto" w:fill="auto"/>
            <w:vAlign w:val="bottom"/>
          </w:tcPr>
          <w:p w14:paraId="0A0E5EF8" w14:textId="21F9E56A" w:rsidR="00DF44F2" w:rsidRPr="00257CDB" w:rsidRDefault="00DF44F2" w:rsidP="00312975">
            <w:pPr>
              <w:pStyle w:val="TT"/>
              <w:spacing w:line="280" w:lineRule="exact"/>
              <w:jc w:val="right"/>
              <w:rPr>
                <w:sz w:val="20"/>
              </w:rPr>
            </w:pPr>
            <w:r w:rsidRPr="00312975">
              <w:rPr>
                <w:rFonts w:asciiTheme="minorHAnsi" w:hAnsiTheme="minorHAnsi"/>
                <w:sz w:val="20"/>
              </w:rPr>
              <w:t>5.177</w:t>
            </w:r>
          </w:p>
        </w:tc>
      </w:tr>
      <w:tr w:rsidR="00DF44F2" w:rsidRPr="003A63DB" w14:paraId="446FAFBE" w14:textId="77777777" w:rsidTr="00682116">
        <w:trPr>
          <w:trHeight w:hRule="exact" w:val="284"/>
          <w:jc w:val="center"/>
        </w:trPr>
        <w:tc>
          <w:tcPr>
            <w:tcW w:w="3713" w:type="dxa"/>
            <w:vAlign w:val="bottom"/>
          </w:tcPr>
          <w:p w14:paraId="04713896" w14:textId="77777777" w:rsidR="00DF44F2" w:rsidRPr="003A63DB" w:rsidRDefault="00DF44F2" w:rsidP="00DF44F2">
            <w:pPr>
              <w:tabs>
                <w:tab w:val="right" w:pos="1202"/>
              </w:tabs>
              <w:spacing w:after="0" w:line="240" w:lineRule="auto"/>
              <w:outlineLvl w:val="0"/>
              <w:rPr>
                <w:rFonts w:eastAsia="Times New Roman" w:cs="Arial"/>
                <w:sz w:val="20"/>
                <w:szCs w:val="20"/>
              </w:rPr>
            </w:pPr>
            <w:r w:rsidRPr="003A63DB">
              <w:rPr>
                <w:rFonts w:eastAsia="Times New Roman" w:cs="Arial"/>
                <w:sz w:val="20"/>
                <w:szCs w:val="20"/>
              </w:rPr>
              <w:t>Državni fondovi, izvršna tijela i agencije</w:t>
            </w:r>
          </w:p>
        </w:tc>
        <w:tc>
          <w:tcPr>
            <w:tcW w:w="1397" w:type="dxa"/>
            <w:gridSpan w:val="2"/>
            <w:tcBorders>
              <w:top w:val="nil"/>
              <w:left w:val="nil"/>
              <w:bottom w:val="nil"/>
              <w:right w:val="nil"/>
            </w:tcBorders>
            <w:shd w:val="clear" w:color="auto" w:fill="auto"/>
            <w:vAlign w:val="bottom"/>
          </w:tcPr>
          <w:p w14:paraId="06949316" w14:textId="0AE2D4B3" w:rsidR="00DF44F2" w:rsidRPr="00F3766F" w:rsidRDefault="00AE3FF4" w:rsidP="00DF44F2">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11.561</w:t>
            </w:r>
          </w:p>
        </w:tc>
        <w:tc>
          <w:tcPr>
            <w:tcW w:w="1365" w:type="dxa"/>
            <w:tcBorders>
              <w:top w:val="nil"/>
              <w:left w:val="nil"/>
              <w:bottom w:val="nil"/>
              <w:right w:val="nil"/>
            </w:tcBorders>
            <w:shd w:val="clear" w:color="auto" w:fill="auto"/>
            <w:vAlign w:val="bottom"/>
          </w:tcPr>
          <w:p w14:paraId="0CDB5623" w14:textId="3B068B8D" w:rsidR="00DF44F2" w:rsidRPr="00F3766F" w:rsidRDefault="00AE3FF4" w:rsidP="00DF44F2">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25</w:t>
            </w:r>
          </w:p>
        </w:tc>
        <w:tc>
          <w:tcPr>
            <w:tcW w:w="1285" w:type="dxa"/>
            <w:tcBorders>
              <w:top w:val="nil"/>
              <w:left w:val="nil"/>
              <w:bottom w:val="nil"/>
              <w:right w:val="nil"/>
            </w:tcBorders>
            <w:shd w:val="clear" w:color="auto" w:fill="auto"/>
            <w:vAlign w:val="bottom"/>
          </w:tcPr>
          <w:p w14:paraId="55843775" w14:textId="052486BA" w:rsidR="00DF44F2" w:rsidRPr="00257CDB" w:rsidRDefault="00DF44F2" w:rsidP="00312975">
            <w:pPr>
              <w:pStyle w:val="TT"/>
              <w:spacing w:line="280" w:lineRule="exact"/>
              <w:jc w:val="right"/>
              <w:rPr>
                <w:sz w:val="20"/>
              </w:rPr>
            </w:pPr>
            <w:r w:rsidRPr="00312975">
              <w:rPr>
                <w:rFonts w:asciiTheme="minorHAnsi" w:hAnsiTheme="minorHAnsi"/>
                <w:sz w:val="20"/>
              </w:rPr>
              <w:t>8.837</w:t>
            </w:r>
          </w:p>
        </w:tc>
        <w:tc>
          <w:tcPr>
            <w:tcW w:w="1379" w:type="dxa"/>
            <w:tcBorders>
              <w:top w:val="nil"/>
              <w:left w:val="nil"/>
              <w:bottom w:val="nil"/>
              <w:right w:val="nil"/>
            </w:tcBorders>
            <w:shd w:val="clear" w:color="auto" w:fill="auto"/>
            <w:vAlign w:val="bottom"/>
          </w:tcPr>
          <w:p w14:paraId="4C506CED" w14:textId="655153A0" w:rsidR="00DF44F2" w:rsidRPr="00257CDB" w:rsidRDefault="00DF44F2" w:rsidP="00312975">
            <w:pPr>
              <w:pStyle w:val="TT"/>
              <w:spacing w:line="280" w:lineRule="exact"/>
              <w:jc w:val="right"/>
              <w:rPr>
                <w:sz w:val="20"/>
              </w:rPr>
            </w:pPr>
            <w:r w:rsidRPr="00312975">
              <w:rPr>
                <w:rFonts w:asciiTheme="minorHAnsi" w:hAnsiTheme="minorHAnsi"/>
                <w:sz w:val="20"/>
              </w:rPr>
              <w:t>221</w:t>
            </w:r>
          </w:p>
        </w:tc>
      </w:tr>
      <w:tr w:rsidR="00DF44F2" w:rsidRPr="003A63DB" w14:paraId="2A127DA2" w14:textId="77777777" w:rsidTr="00682116">
        <w:trPr>
          <w:trHeight w:hRule="exact" w:val="284"/>
          <w:jc w:val="center"/>
        </w:trPr>
        <w:tc>
          <w:tcPr>
            <w:tcW w:w="3713" w:type="dxa"/>
            <w:vAlign w:val="bottom"/>
          </w:tcPr>
          <w:p w14:paraId="0BB5D83B" w14:textId="77777777" w:rsidR="00DF44F2" w:rsidRPr="003A63DB" w:rsidRDefault="00DF44F2" w:rsidP="00DF44F2">
            <w:pPr>
              <w:tabs>
                <w:tab w:val="right" w:pos="1202"/>
              </w:tabs>
              <w:spacing w:after="0" w:line="240" w:lineRule="auto"/>
              <w:outlineLvl w:val="0"/>
              <w:rPr>
                <w:rFonts w:eastAsia="Times New Roman" w:cs="Arial"/>
                <w:sz w:val="20"/>
                <w:szCs w:val="20"/>
              </w:rPr>
            </w:pPr>
            <w:r w:rsidRPr="003A63DB">
              <w:rPr>
                <w:rFonts w:eastAsia="Times New Roman" w:cs="Arial"/>
                <w:sz w:val="20"/>
                <w:szCs w:val="20"/>
              </w:rPr>
              <w:t>Državna trgovačka društva</w:t>
            </w:r>
          </w:p>
        </w:tc>
        <w:tc>
          <w:tcPr>
            <w:tcW w:w="1397" w:type="dxa"/>
            <w:gridSpan w:val="2"/>
            <w:tcBorders>
              <w:top w:val="nil"/>
              <w:left w:val="nil"/>
              <w:bottom w:val="nil"/>
              <w:right w:val="nil"/>
            </w:tcBorders>
            <w:shd w:val="clear" w:color="auto" w:fill="auto"/>
            <w:vAlign w:val="bottom"/>
          </w:tcPr>
          <w:p w14:paraId="5A34F87E" w14:textId="7C021AF4" w:rsidR="00DF44F2" w:rsidRPr="00F3766F" w:rsidRDefault="00AE3FF4" w:rsidP="00DF44F2">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30.524</w:t>
            </w:r>
          </w:p>
        </w:tc>
        <w:tc>
          <w:tcPr>
            <w:tcW w:w="1365" w:type="dxa"/>
            <w:tcBorders>
              <w:top w:val="nil"/>
              <w:left w:val="nil"/>
              <w:bottom w:val="nil"/>
              <w:right w:val="nil"/>
            </w:tcBorders>
            <w:shd w:val="clear" w:color="auto" w:fill="auto"/>
            <w:vAlign w:val="bottom"/>
          </w:tcPr>
          <w:p w14:paraId="3D2DE84B" w14:textId="77D1102D" w:rsidR="00DF44F2" w:rsidRPr="00F3766F" w:rsidRDefault="00AE3FF4" w:rsidP="00DF44F2">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2.281</w:t>
            </w:r>
          </w:p>
        </w:tc>
        <w:tc>
          <w:tcPr>
            <w:tcW w:w="1285" w:type="dxa"/>
            <w:tcBorders>
              <w:top w:val="nil"/>
              <w:left w:val="nil"/>
              <w:bottom w:val="nil"/>
              <w:right w:val="nil"/>
            </w:tcBorders>
            <w:shd w:val="clear" w:color="auto" w:fill="auto"/>
            <w:vAlign w:val="bottom"/>
          </w:tcPr>
          <w:p w14:paraId="25355C04" w14:textId="2A669332" w:rsidR="00DF44F2" w:rsidRPr="00257CDB" w:rsidRDefault="00DF44F2" w:rsidP="00312975">
            <w:pPr>
              <w:pStyle w:val="TT"/>
              <w:spacing w:line="280" w:lineRule="exact"/>
              <w:jc w:val="right"/>
              <w:rPr>
                <w:sz w:val="20"/>
              </w:rPr>
            </w:pPr>
            <w:r w:rsidRPr="00312975">
              <w:rPr>
                <w:rFonts w:asciiTheme="minorHAnsi" w:hAnsiTheme="minorHAnsi"/>
                <w:sz w:val="20"/>
              </w:rPr>
              <w:t>25.205</w:t>
            </w:r>
          </w:p>
        </w:tc>
        <w:tc>
          <w:tcPr>
            <w:tcW w:w="1379" w:type="dxa"/>
            <w:tcBorders>
              <w:top w:val="nil"/>
              <w:left w:val="nil"/>
              <w:bottom w:val="nil"/>
              <w:right w:val="nil"/>
            </w:tcBorders>
            <w:shd w:val="clear" w:color="auto" w:fill="auto"/>
            <w:vAlign w:val="bottom"/>
          </w:tcPr>
          <w:p w14:paraId="0B17C5F8" w14:textId="3C29C0F4" w:rsidR="00DF44F2" w:rsidRPr="00257CDB" w:rsidRDefault="00DF44F2" w:rsidP="00312975">
            <w:pPr>
              <w:pStyle w:val="TT"/>
              <w:spacing w:line="280" w:lineRule="exact"/>
              <w:jc w:val="right"/>
              <w:rPr>
                <w:sz w:val="20"/>
              </w:rPr>
            </w:pPr>
            <w:r w:rsidRPr="00312975">
              <w:rPr>
                <w:rFonts w:asciiTheme="minorHAnsi" w:hAnsiTheme="minorHAnsi"/>
                <w:sz w:val="20"/>
              </w:rPr>
              <w:t>7.455</w:t>
            </w:r>
          </w:p>
        </w:tc>
      </w:tr>
      <w:tr w:rsidR="00DF44F2" w:rsidRPr="003A63DB" w14:paraId="2E9B538D" w14:textId="77777777" w:rsidTr="00682116">
        <w:trPr>
          <w:trHeight w:hRule="exact" w:val="284"/>
          <w:jc w:val="center"/>
        </w:trPr>
        <w:tc>
          <w:tcPr>
            <w:tcW w:w="3713" w:type="dxa"/>
            <w:vAlign w:val="bottom"/>
          </w:tcPr>
          <w:p w14:paraId="226A6EB8" w14:textId="77777777" w:rsidR="00DF44F2" w:rsidRPr="003A63DB" w:rsidRDefault="00DF44F2" w:rsidP="00DF44F2">
            <w:pPr>
              <w:tabs>
                <w:tab w:val="right" w:pos="1202"/>
              </w:tabs>
              <w:spacing w:after="0" w:line="240" w:lineRule="auto"/>
              <w:outlineLvl w:val="0"/>
              <w:rPr>
                <w:rFonts w:eastAsia="Times New Roman" w:cs="Arial"/>
                <w:sz w:val="20"/>
                <w:szCs w:val="20"/>
              </w:rPr>
            </w:pPr>
            <w:r w:rsidRPr="00651E38">
              <w:rPr>
                <w:rFonts w:eastAsia="Times New Roman" w:cs="Arial"/>
                <w:sz w:val="20"/>
                <w:szCs w:val="20"/>
              </w:rPr>
              <w:t>Ovisna društva</w:t>
            </w:r>
          </w:p>
        </w:tc>
        <w:tc>
          <w:tcPr>
            <w:tcW w:w="1397" w:type="dxa"/>
            <w:gridSpan w:val="2"/>
            <w:tcBorders>
              <w:top w:val="nil"/>
              <w:left w:val="nil"/>
              <w:bottom w:val="nil"/>
              <w:right w:val="nil"/>
            </w:tcBorders>
            <w:shd w:val="clear" w:color="auto" w:fill="auto"/>
            <w:vAlign w:val="bottom"/>
          </w:tcPr>
          <w:p w14:paraId="68264B87" w14:textId="28DC17AD" w:rsidR="00DF44F2" w:rsidRPr="00F3766F" w:rsidRDefault="00AE3FF4" w:rsidP="00DF44F2">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65" w:type="dxa"/>
            <w:tcBorders>
              <w:top w:val="nil"/>
              <w:left w:val="nil"/>
              <w:bottom w:val="nil"/>
              <w:right w:val="nil"/>
            </w:tcBorders>
            <w:shd w:val="clear" w:color="auto" w:fill="auto"/>
            <w:vAlign w:val="bottom"/>
          </w:tcPr>
          <w:p w14:paraId="202C6D36" w14:textId="1E8502D2" w:rsidR="00DF44F2" w:rsidRPr="00F3766F" w:rsidRDefault="00AE3FF4" w:rsidP="00DF44F2">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285" w:type="dxa"/>
            <w:tcBorders>
              <w:top w:val="nil"/>
              <w:left w:val="nil"/>
              <w:bottom w:val="nil"/>
              <w:right w:val="nil"/>
            </w:tcBorders>
            <w:shd w:val="clear" w:color="auto" w:fill="auto"/>
            <w:vAlign w:val="bottom"/>
          </w:tcPr>
          <w:p w14:paraId="63666B0F" w14:textId="6FC9E3E4" w:rsidR="00DF44F2" w:rsidRPr="00257CDB" w:rsidRDefault="00DF44F2" w:rsidP="00312975">
            <w:pPr>
              <w:pStyle w:val="TT"/>
              <w:spacing w:line="280" w:lineRule="exact"/>
              <w:jc w:val="right"/>
              <w:rPr>
                <w:sz w:val="20"/>
              </w:rPr>
            </w:pPr>
            <w:r w:rsidRPr="00312975">
              <w:rPr>
                <w:rFonts w:asciiTheme="minorHAnsi" w:hAnsiTheme="minorHAnsi"/>
                <w:sz w:val="20"/>
              </w:rPr>
              <w:t>-</w:t>
            </w:r>
          </w:p>
        </w:tc>
        <w:tc>
          <w:tcPr>
            <w:tcW w:w="1379" w:type="dxa"/>
            <w:tcBorders>
              <w:top w:val="nil"/>
              <w:left w:val="nil"/>
              <w:bottom w:val="nil"/>
              <w:right w:val="nil"/>
            </w:tcBorders>
            <w:shd w:val="clear" w:color="auto" w:fill="auto"/>
            <w:vAlign w:val="bottom"/>
          </w:tcPr>
          <w:p w14:paraId="6B26125C" w14:textId="2F38851C" w:rsidR="00DF44F2" w:rsidRPr="00257CDB" w:rsidRDefault="00DF44F2" w:rsidP="00312975">
            <w:pPr>
              <w:pStyle w:val="TT"/>
              <w:spacing w:line="280" w:lineRule="exact"/>
              <w:jc w:val="right"/>
              <w:rPr>
                <w:sz w:val="20"/>
              </w:rPr>
            </w:pPr>
            <w:r w:rsidRPr="00312975">
              <w:rPr>
                <w:rFonts w:asciiTheme="minorHAnsi" w:hAnsiTheme="minorHAnsi"/>
                <w:sz w:val="20"/>
              </w:rPr>
              <w:t>-</w:t>
            </w:r>
          </w:p>
        </w:tc>
      </w:tr>
      <w:tr w:rsidR="00DF44F2" w:rsidRPr="003A63DB" w14:paraId="74C7F89A" w14:textId="77777777" w:rsidTr="00312975">
        <w:trPr>
          <w:trHeight w:hRule="exact" w:val="284"/>
          <w:jc w:val="center"/>
        </w:trPr>
        <w:tc>
          <w:tcPr>
            <w:tcW w:w="3713" w:type="dxa"/>
            <w:vAlign w:val="bottom"/>
          </w:tcPr>
          <w:p w14:paraId="17E11314" w14:textId="77777777" w:rsidR="00DF44F2" w:rsidRPr="003A63DB" w:rsidRDefault="00DF44F2" w:rsidP="00DF44F2">
            <w:pPr>
              <w:tabs>
                <w:tab w:val="right" w:pos="1202"/>
              </w:tabs>
              <w:spacing w:after="0" w:line="240" w:lineRule="auto"/>
              <w:outlineLvl w:val="0"/>
              <w:rPr>
                <w:rFonts w:eastAsia="Times New Roman" w:cs="Arial"/>
                <w:bCs/>
                <w:sz w:val="20"/>
                <w:szCs w:val="20"/>
              </w:rPr>
            </w:pPr>
            <w:r w:rsidRPr="003A63DB">
              <w:rPr>
                <w:rFonts w:eastAsia="Times New Roman" w:cs="Arial"/>
                <w:sz w:val="20"/>
                <w:szCs w:val="20"/>
              </w:rPr>
              <w:t>Pridružena društva</w:t>
            </w:r>
          </w:p>
        </w:tc>
        <w:tc>
          <w:tcPr>
            <w:tcW w:w="1397" w:type="dxa"/>
            <w:gridSpan w:val="2"/>
            <w:tcBorders>
              <w:top w:val="nil"/>
              <w:left w:val="nil"/>
              <w:right w:val="nil"/>
            </w:tcBorders>
            <w:shd w:val="clear" w:color="auto" w:fill="auto"/>
            <w:vAlign w:val="bottom"/>
          </w:tcPr>
          <w:p w14:paraId="30A5AB5A" w14:textId="26575093" w:rsidR="00DF44F2" w:rsidRPr="00F3766F" w:rsidRDefault="00AE3FF4" w:rsidP="00DF44F2">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3.668</w:t>
            </w:r>
          </w:p>
        </w:tc>
        <w:tc>
          <w:tcPr>
            <w:tcW w:w="1365" w:type="dxa"/>
            <w:tcBorders>
              <w:top w:val="nil"/>
              <w:left w:val="nil"/>
              <w:right w:val="nil"/>
            </w:tcBorders>
            <w:shd w:val="clear" w:color="auto" w:fill="auto"/>
            <w:vAlign w:val="bottom"/>
          </w:tcPr>
          <w:p w14:paraId="5EAB614D" w14:textId="7EBAE33A" w:rsidR="00DF44F2" w:rsidRPr="00F3766F" w:rsidRDefault="00AE3FF4" w:rsidP="00DF44F2">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285" w:type="dxa"/>
            <w:tcBorders>
              <w:top w:val="nil"/>
              <w:left w:val="nil"/>
              <w:bottom w:val="nil"/>
              <w:right w:val="nil"/>
            </w:tcBorders>
            <w:shd w:val="clear" w:color="auto" w:fill="auto"/>
            <w:vAlign w:val="bottom"/>
          </w:tcPr>
          <w:p w14:paraId="6FC0BD5B" w14:textId="62AC2161" w:rsidR="00DF44F2" w:rsidRPr="00257CDB" w:rsidRDefault="00DF44F2" w:rsidP="00312975">
            <w:pPr>
              <w:pStyle w:val="TT"/>
              <w:spacing w:line="280" w:lineRule="exact"/>
              <w:jc w:val="right"/>
              <w:rPr>
                <w:sz w:val="20"/>
              </w:rPr>
            </w:pPr>
            <w:r w:rsidRPr="00312975">
              <w:rPr>
                <w:rFonts w:asciiTheme="minorHAnsi" w:hAnsiTheme="minorHAnsi"/>
                <w:sz w:val="20"/>
              </w:rPr>
              <w:t>515</w:t>
            </w:r>
          </w:p>
        </w:tc>
        <w:tc>
          <w:tcPr>
            <w:tcW w:w="1379" w:type="dxa"/>
            <w:tcBorders>
              <w:top w:val="nil"/>
              <w:left w:val="nil"/>
              <w:right w:val="nil"/>
            </w:tcBorders>
            <w:shd w:val="clear" w:color="auto" w:fill="auto"/>
            <w:vAlign w:val="bottom"/>
          </w:tcPr>
          <w:p w14:paraId="502D4BF6" w14:textId="00896314" w:rsidR="00DF44F2" w:rsidRPr="00257CDB" w:rsidRDefault="00DF44F2" w:rsidP="00312975">
            <w:pPr>
              <w:pStyle w:val="TT"/>
              <w:spacing w:line="280" w:lineRule="exact"/>
              <w:jc w:val="right"/>
              <w:rPr>
                <w:sz w:val="20"/>
              </w:rPr>
            </w:pPr>
            <w:r w:rsidRPr="00312975">
              <w:rPr>
                <w:rFonts w:asciiTheme="minorHAnsi" w:hAnsiTheme="minorHAnsi"/>
                <w:sz w:val="20"/>
              </w:rPr>
              <w:t>-</w:t>
            </w:r>
          </w:p>
        </w:tc>
      </w:tr>
      <w:tr w:rsidR="00DF44F2" w:rsidRPr="003A63DB" w14:paraId="20C7D71B" w14:textId="77777777" w:rsidTr="00312975">
        <w:trPr>
          <w:trHeight w:hRule="exact" w:val="284"/>
          <w:jc w:val="center"/>
        </w:trPr>
        <w:tc>
          <w:tcPr>
            <w:tcW w:w="3713" w:type="dxa"/>
            <w:vAlign w:val="bottom"/>
          </w:tcPr>
          <w:p w14:paraId="36991CCA" w14:textId="77777777" w:rsidR="00DF44F2" w:rsidRPr="003A63DB" w:rsidRDefault="00DF44F2" w:rsidP="00DF44F2">
            <w:pPr>
              <w:tabs>
                <w:tab w:val="right" w:pos="1202"/>
              </w:tabs>
              <w:spacing w:after="0" w:line="240" w:lineRule="auto"/>
              <w:outlineLvl w:val="0"/>
              <w:rPr>
                <w:rFonts w:eastAsia="Times New Roman" w:cs="Arial"/>
                <w:bCs/>
                <w:sz w:val="20"/>
                <w:szCs w:val="20"/>
              </w:rPr>
            </w:pPr>
            <w:r w:rsidRPr="003A63DB">
              <w:rPr>
                <w:rFonts w:eastAsia="Times New Roman" w:cs="Arial"/>
                <w:bCs/>
                <w:sz w:val="20"/>
                <w:szCs w:val="20"/>
              </w:rPr>
              <w:t>Ključni članovi rukovodstva</w:t>
            </w:r>
          </w:p>
        </w:tc>
        <w:tc>
          <w:tcPr>
            <w:tcW w:w="1397" w:type="dxa"/>
            <w:gridSpan w:val="2"/>
            <w:tcBorders>
              <w:top w:val="nil"/>
              <w:left w:val="nil"/>
              <w:bottom w:val="single" w:sz="4" w:space="0" w:color="auto"/>
              <w:right w:val="nil"/>
            </w:tcBorders>
            <w:shd w:val="clear" w:color="auto" w:fill="auto"/>
            <w:vAlign w:val="bottom"/>
          </w:tcPr>
          <w:p w14:paraId="2AF23A24" w14:textId="31AAABC4" w:rsidR="00DF44F2" w:rsidRPr="00F3766F" w:rsidRDefault="00AE3FF4" w:rsidP="00DF44F2">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62</w:t>
            </w:r>
          </w:p>
        </w:tc>
        <w:tc>
          <w:tcPr>
            <w:tcW w:w="1365" w:type="dxa"/>
            <w:tcBorders>
              <w:top w:val="nil"/>
              <w:left w:val="nil"/>
              <w:bottom w:val="single" w:sz="4" w:space="0" w:color="auto"/>
              <w:right w:val="nil"/>
            </w:tcBorders>
            <w:shd w:val="clear" w:color="auto" w:fill="auto"/>
            <w:vAlign w:val="bottom"/>
          </w:tcPr>
          <w:p w14:paraId="29AD38DE" w14:textId="7B8C4C34" w:rsidR="00DF44F2" w:rsidRPr="00F3766F" w:rsidRDefault="00AE3FF4" w:rsidP="00DF44F2">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285" w:type="dxa"/>
            <w:tcBorders>
              <w:top w:val="nil"/>
              <w:left w:val="nil"/>
              <w:bottom w:val="nil"/>
              <w:right w:val="nil"/>
            </w:tcBorders>
            <w:shd w:val="clear" w:color="auto" w:fill="auto"/>
            <w:vAlign w:val="bottom"/>
          </w:tcPr>
          <w:p w14:paraId="756B628E" w14:textId="50544F9A" w:rsidR="00DF44F2" w:rsidRPr="00257CDB" w:rsidRDefault="00DF44F2" w:rsidP="00312975">
            <w:pPr>
              <w:pStyle w:val="TT"/>
              <w:spacing w:line="280" w:lineRule="exact"/>
              <w:jc w:val="right"/>
              <w:rPr>
                <w:sz w:val="20"/>
              </w:rPr>
            </w:pPr>
            <w:r w:rsidRPr="00312975">
              <w:rPr>
                <w:rFonts w:asciiTheme="minorHAnsi" w:hAnsiTheme="minorHAnsi"/>
                <w:sz w:val="20"/>
              </w:rPr>
              <w:t>76</w:t>
            </w:r>
          </w:p>
        </w:tc>
        <w:tc>
          <w:tcPr>
            <w:tcW w:w="1379" w:type="dxa"/>
            <w:tcBorders>
              <w:top w:val="nil"/>
              <w:left w:val="nil"/>
              <w:bottom w:val="single" w:sz="4" w:space="0" w:color="auto"/>
              <w:right w:val="nil"/>
            </w:tcBorders>
            <w:shd w:val="clear" w:color="auto" w:fill="auto"/>
            <w:vAlign w:val="bottom"/>
          </w:tcPr>
          <w:p w14:paraId="33B0CD7C" w14:textId="4D7EADF9" w:rsidR="00DF44F2" w:rsidRPr="00257CDB" w:rsidRDefault="00DF44F2" w:rsidP="00312975">
            <w:pPr>
              <w:pStyle w:val="TT"/>
              <w:spacing w:line="280" w:lineRule="exact"/>
              <w:jc w:val="right"/>
              <w:rPr>
                <w:sz w:val="20"/>
              </w:rPr>
            </w:pPr>
            <w:r w:rsidRPr="00312975">
              <w:rPr>
                <w:rFonts w:asciiTheme="minorHAnsi" w:hAnsiTheme="minorHAnsi"/>
                <w:sz w:val="20"/>
              </w:rPr>
              <w:t>-</w:t>
            </w:r>
          </w:p>
        </w:tc>
      </w:tr>
      <w:tr w:rsidR="00DF44F2" w:rsidRPr="003A63DB" w14:paraId="7687FAD0" w14:textId="77777777" w:rsidTr="00682116">
        <w:trPr>
          <w:trHeight w:val="258"/>
          <w:jc w:val="center"/>
        </w:trPr>
        <w:tc>
          <w:tcPr>
            <w:tcW w:w="3713" w:type="dxa"/>
            <w:vAlign w:val="bottom"/>
          </w:tcPr>
          <w:p w14:paraId="2D93DE1B" w14:textId="77777777" w:rsidR="00DF44F2" w:rsidRPr="003A63DB" w:rsidRDefault="00DF44F2" w:rsidP="00DF44F2">
            <w:pPr>
              <w:tabs>
                <w:tab w:val="right" w:pos="1202"/>
              </w:tabs>
              <w:spacing w:after="0" w:line="240" w:lineRule="auto"/>
              <w:outlineLvl w:val="0"/>
              <w:rPr>
                <w:rFonts w:eastAsia="Times New Roman" w:cs="Arial"/>
                <w:b/>
                <w:sz w:val="20"/>
                <w:szCs w:val="20"/>
              </w:rPr>
            </w:pPr>
            <w:r w:rsidRPr="003A63DB">
              <w:rPr>
                <w:rFonts w:eastAsia="Times New Roman" w:cs="Arial"/>
                <w:b/>
                <w:sz w:val="20"/>
                <w:szCs w:val="20"/>
              </w:rPr>
              <w:t>Ukupno</w:t>
            </w:r>
          </w:p>
        </w:tc>
        <w:tc>
          <w:tcPr>
            <w:tcW w:w="1397" w:type="dxa"/>
            <w:gridSpan w:val="2"/>
            <w:tcBorders>
              <w:top w:val="single" w:sz="4" w:space="0" w:color="auto"/>
              <w:left w:val="nil"/>
              <w:bottom w:val="single" w:sz="12" w:space="0" w:color="auto"/>
              <w:right w:val="nil"/>
            </w:tcBorders>
            <w:shd w:val="clear" w:color="auto" w:fill="auto"/>
            <w:vAlign w:val="bottom"/>
          </w:tcPr>
          <w:p w14:paraId="1CBC8D99" w14:textId="0FE4F9EF" w:rsidR="00DF44F2" w:rsidRPr="00AE3FF4" w:rsidRDefault="00AE3FF4" w:rsidP="00DF44F2">
            <w:pPr>
              <w:tabs>
                <w:tab w:val="right" w:pos="1202"/>
              </w:tabs>
              <w:spacing w:after="0" w:line="240" w:lineRule="auto"/>
              <w:jc w:val="right"/>
              <w:outlineLvl w:val="0"/>
              <w:rPr>
                <w:rFonts w:ascii="Calibri" w:hAnsi="Calibri"/>
                <w:b/>
                <w:bCs/>
                <w:sz w:val="20"/>
                <w:szCs w:val="20"/>
              </w:rPr>
            </w:pPr>
            <w:r w:rsidRPr="00AE3FF4">
              <w:rPr>
                <w:rFonts w:ascii="Calibri" w:hAnsi="Calibri"/>
                <w:b/>
                <w:bCs/>
                <w:sz w:val="20"/>
                <w:szCs w:val="20"/>
              </w:rPr>
              <w:t>85.162</w:t>
            </w:r>
          </w:p>
        </w:tc>
        <w:tc>
          <w:tcPr>
            <w:tcW w:w="1365" w:type="dxa"/>
            <w:tcBorders>
              <w:top w:val="single" w:sz="4" w:space="0" w:color="auto"/>
              <w:left w:val="nil"/>
              <w:bottom w:val="single" w:sz="12" w:space="0" w:color="auto"/>
              <w:right w:val="nil"/>
            </w:tcBorders>
            <w:shd w:val="clear" w:color="auto" w:fill="auto"/>
            <w:vAlign w:val="bottom"/>
          </w:tcPr>
          <w:p w14:paraId="0890ED9E" w14:textId="5E54FC72" w:rsidR="00DF44F2" w:rsidRPr="00AE3FF4" w:rsidRDefault="00AE3FF4" w:rsidP="00DF44F2">
            <w:pPr>
              <w:tabs>
                <w:tab w:val="right" w:pos="1202"/>
              </w:tabs>
              <w:spacing w:after="0" w:line="240" w:lineRule="auto"/>
              <w:jc w:val="right"/>
              <w:outlineLvl w:val="0"/>
              <w:rPr>
                <w:rFonts w:ascii="Calibri" w:hAnsi="Calibri"/>
                <w:b/>
                <w:bCs/>
                <w:sz w:val="20"/>
                <w:szCs w:val="20"/>
              </w:rPr>
            </w:pPr>
            <w:r>
              <w:rPr>
                <w:rFonts w:ascii="Calibri" w:hAnsi="Calibri"/>
                <w:b/>
                <w:bCs/>
                <w:sz w:val="20"/>
                <w:szCs w:val="20"/>
              </w:rPr>
              <w:t>2.442</w:t>
            </w:r>
          </w:p>
        </w:tc>
        <w:tc>
          <w:tcPr>
            <w:tcW w:w="1285" w:type="dxa"/>
            <w:tcBorders>
              <w:top w:val="single" w:sz="4" w:space="0" w:color="auto"/>
              <w:left w:val="nil"/>
              <w:bottom w:val="single" w:sz="12" w:space="0" w:color="auto"/>
              <w:right w:val="nil"/>
            </w:tcBorders>
            <w:shd w:val="clear" w:color="auto" w:fill="auto"/>
            <w:vAlign w:val="bottom"/>
          </w:tcPr>
          <w:p w14:paraId="3AF8815E" w14:textId="7D658B36" w:rsidR="00DF44F2" w:rsidRPr="00312975" w:rsidRDefault="00DF44F2" w:rsidP="00312975">
            <w:pPr>
              <w:pStyle w:val="TT"/>
              <w:spacing w:line="280" w:lineRule="exact"/>
              <w:jc w:val="right"/>
              <w:rPr>
                <w:rFonts w:asciiTheme="minorHAnsi" w:hAnsiTheme="minorHAnsi"/>
                <w:b/>
                <w:sz w:val="20"/>
              </w:rPr>
            </w:pPr>
            <w:r w:rsidRPr="00312975">
              <w:rPr>
                <w:rFonts w:asciiTheme="minorHAnsi" w:hAnsiTheme="minorHAnsi"/>
                <w:b/>
                <w:sz w:val="20"/>
              </w:rPr>
              <w:t>86.537</w:t>
            </w:r>
          </w:p>
        </w:tc>
        <w:tc>
          <w:tcPr>
            <w:tcW w:w="1379" w:type="dxa"/>
            <w:tcBorders>
              <w:top w:val="single" w:sz="4" w:space="0" w:color="auto"/>
              <w:left w:val="nil"/>
              <w:bottom w:val="single" w:sz="12" w:space="0" w:color="auto"/>
              <w:right w:val="nil"/>
            </w:tcBorders>
            <w:shd w:val="clear" w:color="auto" w:fill="auto"/>
            <w:vAlign w:val="bottom"/>
          </w:tcPr>
          <w:p w14:paraId="6A87CB1D" w14:textId="3B9A82BD" w:rsidR="00DF44F2" w:rsidRPr="00312975" w:rsidRDefault="00DF44F2" w:rsidP="00312975">
            <w:pPr>
              <w:pStyle w:val="TT"/>
              <w:spacing w:line="280" w:lineRule="exact"/>
              <w:jc w:val="right"/>
              <w:rPr>
                <w:rFonts w:asciiTheme="minorHAnsi" w:hAnsiTheme="minorHAnsi"/>
                <w:b/>
                <w:sz w:val="20"/>
              </w:rPr>
            </w:pPr>
            <w:r w:rsidRPr="00312975">
              <w:rPr>
                <w:rFonts w:asciiTheme="minorHAnsi" w:hAnsiTheme="minorHAnsi"/>
                <w:b/>
                <w:sz w:val="20"/>
              </w:rPr>
              <w:t>12.853</w:t>
            </w:r>
          </w:p>
        </w:tc>
      </w:tr>
    </w:tbl>
    <w:p w14:paraId="59ADF140" w14:textId="77777777" w:rsidR="003A63DB" w:rsidRPr="003A63DB" w:rsidRDefault="003A63DB" w:rsidP="003A63DB">
      <w:pPr>
        <w:spacing w:after="0" w:line="240" w:lineRule="auto"/>
        <w:jc w:val="both"/>
        <w:rPr>
          <w:rFonts w:eastAsia="Times New Roman" w:cs="Arial"/>
          <w:b/>
          <w:sz w:val="24"/>
          <w:szCs w:val="24"/>
        </w:rPr>
      </w:pPr>
    </w:p>
    <w:p w14:paraId="010D0F7A" w14:textId="77777777" w:rsidR="003A63DB" w:rsidRPr="003A63DB" w:rsidRDefault="003A63DB" w:rsidP="003A63DB">
      <w:pPr>
        <w:tabs>
          <w:tab w:val="right" w:pos="1202"/>
          <w:tab w:val="left" w:pos="9180"/>
        </w:tabs>
        <w:spacing w:after="0" w:line="240" w:lineRule="auto"/>
        <w:jc w:val="both"/>
        <w:outlineLvl w:val="0"/>
        <w:rPr>
          <w:rFonts w:eastAsia="Times New Roman" w:cs="Arial"/>
        </w:rPr>
      </w:pPr>
      <w:r w:rsidRPr="003A63DB">
        <w:rPr>
          <w:rFonts w:eastAsia="Times New Roman" w:cs="Arial"/>
        </w:rPr>
        <w:t xml:space="preserve">Izloženost sadrži kredite ostalim korisnicima, imovinu koja se drži do dospijeća, imovinu raspoloživu za prodaju, ostalu imovinu i </w:t>
      </w:r>
      <w:proofErr w:type="spellStart"/>
      <w:r w:rsidRPr="003A63DB">
        <w:rPr>
          <w:rFonts w:eastAsia="Times New Roman" w:cs="Arial"/>
        </w:rPr>
        <w:t>izvanbilačnu</w:t>
      </w:r>
      <w:proofErr w:type="spellEnd"/>
      <w:r w:rsidRPr="003A63DB">
        <w:rPr>
          <w:rFonts w:eastAsia="Times New Roman" w:cs="Arial"/>
        </w:rPr>
        <w:t xml:space="preserve"> izloženost koja se odnosi na izdane garancije, akreditive i preuzete obveze.</w:t>
      </w:r>
    </w:p>
    <w:p w14:paraId="6D176C05" w14:textId="77777777" w:rsidR="003A63DB" w:rsidRPr="003A63DB" w:rsidRDefault="003A63DB" w:rsidP="003A63DB">
      <w:pPr>
        <w:tabs>
          <w:tab w:val="right" w:pos="1202"/>
          <w:tab w:val="left" w:pos="9180"/>
        </w:tabs>
        <w:spacing w:after="0" w:line="240" w:lineRule="auto"/>
        <w:jc w:val="both"/>
        <w:outlineLvl w:val="0"/>
        <w:rPr>
          <w:rFonts w:eastAsia="Times New Roman" w:cs="Arial"/>
        </w:rPr>
      </w:pPr>
    </w:p>
    <w:p w14:paraId="3697FE91" w14:textId="77777777" w:rsidR="003A63DB" w:rsidRPr="003A63DB" w:rsidRDefault="003A63DB" w:rsidP="003A63DB">
      <w:pPr>
        <w:tabs>
          <w:tab w:val="right" w:pos="1202"/>
          <w:tab w:val="left" w:pos="9180"/>
        </w:tabs>
        <w:spacing w:after="0" w:line="240" w:lineRule="auto"/>
        <w:jc w:val="both"/>
        <w:outlineLvl w:val="0"/>
        <w:rPr>
          <w:rFonts w:eastAsia="Times New Roman" w:cs="Arial"/>
        </w:rPr>
      </w:pPr>
      <w:r w:rsidRPr="003A63DB">
        <w:rPr>
          <w:rFonts w:eastAsia="Times New Roman" w:cs="Arial"/>
        </w:rPr>
        <w:t>Obveze sadrže obveze po depozitima te ostale obveze.</w:t>
      </w:r>
    </w:p>
    <w:p w14:paraId="000DE4B6" w14:textId="77777777" w:rsidR="003A63DB" w:rsidRPr="003A63DB" w:rsidRDefault="003A63DB" w:rsidP="003A63DB">
      <w:pPr>
        <w:tabs>
          <w:tab w:val="right" w:pos="1202"/>
          <w:tab w:val="left" w:pos="9180"/>
        </w:tabs>
        <w:spacing w:after="0" w:line="240" w:lineRule="auto"/>
        <w:jc w:val="both"/>
        <w:outlineLvl w:val="0"/>
        <w:rPr>
          <w:rFonts w:eastAsia="Times New Roman" w:cs="Arial"/>
        </w:rPr>
      </w:pPr>
    </w:p>
    <w:p w14:paraId="300BBA0A" w14:textId="77777777" w:rsidR="003A63DB" w:rsidRPr="003A63DB" w:rsidRDefault="003A63DB" w:rsidP="003A63DB">
      <w:pPr>
        <w:tabs>
          <w:tab w:val="right" w:pos="1202"/>
          <w:tab w:val="left" w:pos="9180"/>
        </w:tabs>
        <w:spacing w:after="0" w:line="240" w:lineRule="auto"/>
        <w:jc w:val="both"/>
        <w:outlineLvl w:val="0"/>
        <w:rPr>
          <w:rFonts w:eastAsia="Times New Roman" w:cs="Arial"/>
        </w:rPr>
      </w:pPr>
      <w:r w:rsidRPr="003A63DB">
        <w:rPr>
          <w:rFonts w:eastAsia="Times New Roman" w:cs="Arial"/>
        </w:rPr>
        <w:t>Prihodi sadrže prihode od kamata, naknada te prihode od ukidanja umanjenja vrijednosti i rezerviranja.</w:t>
      </w:r>
    </w:p>
    <w:p w14:paraId="4CECD3A5" w14:textId="77777777" w:rsidR="003A63DB" w:rsidRPr="003A63DB" w:rsidRDefault="003A63DB" w:rsidP="003A63DB">
      <w:pPr>
        <w:tabs>
          <w:tab w:val="right" w:pos="1202"/>
          <w:tab w:val="left" w:pos="9180"/>
        </w:tabs>
        <w:spacing w:after="0" w:line="240" w:lineRule="auto"/>
        <w:jc w:val="both"/>
        <w:outlineLvl w:val="0"/>
        <w:rPr>
          <w:rFonts w:eastAsia="Times New Roman" w:cs="Arial"/>
        </w:rPr>
      </w:pPr>
      <w:r w:rsidRPr="003A63DB">
        <w:rPr>
          <w:rFonts w:eastAsia="Times New Roman" w:cs="Arial"/>
        </w:rPr>
        <w:t>Rashodi sadrže gubitak od umanjenja vrijednosti i rezerviranja.</w:t>
      </w:r>
    </w:p>
    <w:p w14:paraId="34804964" w14:textId="77777777" w:rsidR="003A63DB" w:rsidRPr="003A63DB" w:rsidRDefault="003A63DB" w:rsidP="003A63DB">
      <w:pPr>
        <w:tabs>
          <w:tab w:val="right" w:pos="1202"/>
          <w:tab w:val="left" w:pos="9180"/>
        </w:tabs>
        <w:spacing w:after="0" w:line="240" w:lineRule="auto"/>
        <w:jc w:val="both"/>
        <w:outlineLvl w:val="0"/>
        <w:rPr>
          <w:rFonts w:eastAsia="Times New Roman" w:cs="Arial"/>
        </w:rPr>
        <w:sectPr w:rsidR="003A63DB" w:rsidRPr="003A63DB" w:rsidSect="00DF44F2">
          <w:footerReference w:type="first" r:id="rId81"/>
          <w:pgSz w:w="11906" w:h="16838" w:code="9"/>
          <w:pgMar w:top="1418" w:right="1418" w:bottom="595" w:left="1134" w:header="709" w:footer="709" w:gutter="0"/>
          <w:cols w:space="708"/>
          <w:titlePg/>
          <w:docGrid w:linePitch="360"/>
        </w:sectPr>
      </w:pPr>
    </w:p>
    <w:p w14:paraId="388C631C" w14:textId="77777777" w:rsidR="003A63DB" w:rsidRPr="003A63DB" w:rsidRDefault="003A63DB" w:rsidP="003A63DB">
      <w:pPr>
        <w:tabs>
          <w:tab w:val="right" w:pos="1202"/>
          <w:tab w:val="left" w:pos="9180"/>
        </w:tabs>
        <w:spacing w:after="0" w:line="240" w:lineRule="auto"/>
        <w:jc w:val="both"/>
        <w:outlineLvl w:val="0"/>
        <w:rPr>
          <w:rFonts w:eastAsia="Times New Roman" w:cs="Arial"/>
          <w:sz w:val="24"/>
          <w:szCs w:val="24"/>
        </w:rPr>
      </w:pPr>
    </w:p>
    <w:p w14:paraId="7CC30495" w14:textId="77777777" w:rsidR="003A63DB" w:rsidRPr="003A63DB" w:rsidRDefault="003A63DB" w:rsidP="00803DA8">
      <w:pPr>
        <w:tabs>
          <w:tab w:val="left" w:pos="567"/>
        </w:tabs>
        <w:spacing w:after="0" w:line="240" w:lineRule="auto"/>
        <w:jc w:val="both"/>
        <w:rPr>
          <w:rFonts w:eastAsia="Times New Roman" w:cs="Arial"/>
          <w:b/>
        </w:rPr>
      </w:pPr>
      <w:r w:rsidRPr="003A63DB">
        <w:rPr>
          <w:rFonts w:eastAsia="Times New Roman" w:cs="Arial"/>
          <w:b/>
        </w:rPr>
        <w:t>1</w:t>
      </w:r>
      <w:r w:rsidR="00803DA8">
        <w:rPr>
          <w:rFonts w:eastAsia="Times New Roman" w:cs="Arial"/>
          <w:b/>
        </w:rPr>
        <w:t>5</w:t>
      </w:r>
      <w:r w:rsidRPr="003A63DB">
        <w:rPr>
          <w:rFonts w:eastAsia="Times New Roman" w:cs="Arial"/>
          <w:b/>
        </w:rPr>
        <w:t>.</w:t>
      </w:r>
      <w:r w:rsidRPr="003A63DB">
        <w:rPr>
          <w:rFonts w:eastAsia="Times New Roman" w:cs="Arial"/>
          <w:b/>
        </w:rPr>
        <w:tab/>
        <w:t>Transakcije s povezanim stranama (nastavak)</w:t>
      </w:r>
    </w:p>
    <w:p w14:paraId="6093B90B" w14:textId="77777777" w:rsidR="003A63DB" w:rsidRPr="003A63DB" w:rsidRDefault="003A63DB" w:rsidP="003A63DB">
      <w:pPr>
        <w:tabs>
          <w:tab w:val="left" w:pos="567"/>
        </w:tabs>
        <w:spacing w:after="0" w:line="240" w:lineRule="auto"/>
        <w:jc w:val="both"/>
        <w:rPr>
          <w:rFonts w:eastAsia="Times New Roman" w:cs="Arial"/>
          <w:b/>
        </w:rPr>
      </w:pPr>
    </w:p>
    <w:p w14:paraId="1E2ED103" w14:textId="77777777" w:rsidR="003A63DB" w:rsidRPr="003A63DB" w:rsidRDefault="003A63DB" w:rsidP="00961B31">
      <w:pPr>
        <w:numPr>
          <w:ilvl w:val="0"/>
          <w:numId w:val="3"/>
        </w:numPr>
        <w:tabs>
          <w:tab w:val="left" w:pos="709"/>
          <w:tab w:val="right" w:pos="1202"/>
        </w:tabs>
        <w:spacing w:after="0" w:line="240" w:lineRule="auto"/>
        <w:ind w:left="426" w:hanging="426"/>
        <w:contextualSpacing/>
        <w:outlineLvl w:val="0"/>
        <w:rPr>
          <w:rFonts w:eastAsia="Times New Roman" w:cs="Arial"/>
        </w:rPr>
      </w:pPr>
      <w:r w:rsidRPr="003A63DB">
        <w:rPr>
          <w:rFonts w:eastAsia="Times New Roman" w:cs="Arial"/>
        </w:rPr>
        <w:t>Primljeni instrumenti osiguranja</w:t>
      </w:r>
    </w:p>
    <w:p w14:paraId="051516CB" w14:textId="77777777" w:rsidR="003A63DB" w:rsidRPr="003A63DB" w:rsidRDefault="003A63DB" w:rsidP="003A63DB">
      <w:pPr>
        <w:tabs>
          <w:tab w:val="right" w:pos="1202"/>
        </w:tabs>
        <w:spacing w:after="0" w:line="240" w:lineRule="auto"/>
        <w:ind w:left="360"/>
        <w:contextualSpacing/>
        <w:outlineLvl w:val="0"/>
        <w:rPr>
          <w:rFonts w:eastAsia="Times New Roman" w:cs="Arial"/>
          <w:sz w:val="24"/>
          <w:szCs w:val="24"/>
        </w:rPr>
      </w:pPr>
    </w:p>
    <w:tbl>
      <w:tblPr>
        <w:tblW w:w="5000" w:type="pct"/>
        <w:tblLayout w:type="fixed"/>
        <w:tblCellMar>
          <w:left w:w="56" w:type="dxa"/>
          <w:right w:w="56" w:type="dxa"/>
        </w:tblCellMar>
        <w:tblLook w:val="00A0" w:firstRow="1" w:lastRow="0" w:firstColumn="1" w:lastColumn="0" w:noHBand="0" w:noVBand="0"/>
      </w:tblPr>
      <w:tblGrid>
        <w:gridCol w:w="3981"/>
        <w:gridCol w:w="1405"/>
        <w:gridCol w:w="1401"/>
        <w:gridCol w:w="1259"/>
        <w:gridCol w:w="1308"/>
      </w:tblGrid>
      <w:tr w:rsidR="003A63DB" w:rsidRPr="003A63DB" w14:paraId="310CCBF2" w14:textId="77777777" w:rsidTr="00B47C66">
        <w:trPr>
          <w:trHeight w:val="208"/>
        </w:trPr>
        <w:tc>
          <w:tcPr>
            <w:tcW w:w="2128" w:type="pct"/>
            <w:vAlign w:val="bottom"/>
          </w:tcPr>
          <w:p w14:paraId="15180DCA" w14:textId="77777777" w:rsidR="003A63DB" w:rsidRPr="003A63DB" w:rsidRDefault="003A63DB" w:rsidP="003A63DB">
            <w:pPr>
              <w:tabs>
                <w:tab w:val="right" w:pos="1202"/>
              </w:tabs>
              <w:spacing w:after="0" w:line="240" w:lineRule="auto"/>
              <w:jc w:val="right"/>
              <w:outlineLvl w:val="0"/>
              <w:rPr>
                <w:rFonts w:eastAsia="Times New Roman" w:cs="Arial"/>
                <w:sz w:val="20"/>
                <w:szCs w:val="20"/>
              </w:rPr>
            </w:pPr>
          </w:p>
        </w:tc>
        <w:tc>
          <w:tcPr>
            <w:tcW w:w="1500" w:type="pct"/>
            <w:gridSpan w:val="2"/>
          </w:tcPr>
          <w:p w14:paraId="56D5C005" w14:textId="77777777" w:rsidR="003A63DB" w:rsidRPr="003A63DB" w:rsidRDefault="003A63DB" w:rsidP="003A63DB">
            <w:pPr>
              <w:tabs>
                <w:tab w:val="right" w:pos="1202"/>
              </w:tabs>
              <w:spacing w:after="0" w:line="240" w:lineRule="auto"/>
              <w:jc w:val="right"/>
              <w:outlineLvl w:val="0"/>
              <w:rPr>
                <w:rFonts w:eastAsia="Times New Roman" w:cs="Arial"/>
                <w:b/>
                <w:sz w:val="20"/>
                <w:szCs w:val="20"/>
              </w:rPr>
            </w:pPr>
            <w:r w:rsidRPr="003A63DB">
              <w:rPr>
                <w:rFonts w:eastAsia="Times New Roman" w:cs="Arial"/>
                <w:b/>
                <w:sz w:val="20"/>
                <w:szCs w:val="20"/>
              </w:rPr>
              <w:t>Grupa</w:t>
            </w:r>
          </w:p>
        </w:tc>
        <w:tc>
          <w:tcPr>
            <w:tcW w:w="1372" w:type="pct"/>
            <w:gridSpan w:val="2"/>
          </w:tcPr>
          <w:p w14:paraId="61345E26" w14:textId="77777777" w:rsidR="003A63DB" w:rsidRPr="003A63DB" w:rsidRDefault="003A63DB" w:rsidP="003A63DB">
            <w:pPr>
              <w:tabs>
                <w:tab w:val="right" w:pos="1202"/>
              </w:tabs>
              <w:spacing w:after="0" w:line="240" w:lineRule="auto"/>
              <w:jc w:val="right"/>
              <w:outlineLvl w:val="0"/>
              <w:rPr>
                <w:rFonts w:eastAsia="Times New Roman" w:cs="Arial"/>
                <w:b/>
                <w:sz w:val="20"/>
                <w:szCs w:val="20"/>
              </w:rPr>
            </w:pPr>
            <w:r w:rsidRPr="003A63DB">
              <w:rPr>
                <w:rFonts w:eastAsia="Times New Roman" w:cs="Arial"/>
                <w:b/>
                <w:sz w:val="20"/>
                <w:szCs w:val="20"/>
              </w:rPr>
              <w:t>Banka</w:t>
            </w:r>
          </w:p>
        </w:tc>
      </w:tr>
      <w:tr w:rsidR="002A6FA6" w:rsidRPr="003A63DB" w14:paraId="4E92E793" w14:textId="77777777" w:rsidTr="00B47C66">
        <w:trPr>
          <w:trHeight w:val="182"/>
        </w:trPr>
        <w:tc>
          <w:tcPr>
            <w:tcW w:w="2128" w:type="pct"/>
            <w:vAlign w:val="bottom"/>
          </w:tcPr>
          <w:p w14:paraId="52F8CB38" w14:textId="77777777" w:rsidR="002A6FA6" w:rsidRPr="003A63DB" w:rsidRDefault="002A6FA6" w:rsidP="002A6FA6">
            <w:pPr>
              <w:tabs>
                <w:tab w:val="right" w:pos="1202"/>
              </w:tabs>
              <w:spacing w:after="0" w:line="240" w:lineRule="auto"/>
              <w:jc w:val="right"/>
              <w:outlineLvl w:val="0"/>
              <w:rPr>
                <w:rFonts w:eastAsia="Times New Roman" w:cs="Arial"/>
                <w:sz w:val="20"/>
                <w:szCs w:val="20"/>
              </w:rPr>
            </w:pPr>
          </w:p>
        </w:tc>
        <w:tc>
          <w:tcPr>
            <w:tcW w:w="751" w:type="pct"/>
            <w:vAlign w:val="bottom"/>
          </w:tcPr>
          <w:p w14:paraId="2D99080C" w14:textId="677EB140" w:rsidR="002A6FA6" w:rsidRPr="003A63DB" w:rsidRDefault="00AB0A61">
            <w:pPr>
              <w:tabs>
                <w:tab w:val="right" w:pos="1202"/>
              </w:tabs>
              <w:spacing w:after="0" w:line="240" w:lineRule="auto"/>
              <w:jc w:val="right"/>
              <w:outlineLvl w:val="0"/>
              <w:rPr>
                <w:rFonts w:eastAsia="Times New Roman" w:cs="Arial"/>
                <w:b/>
                <w:sz w:val="20"/>
                <w:szCs w:val="20"/>
              </w:rPr>
            </w:pPr>
            <w:r w:rsidRPr="003A63DB">
              <w:rPr>
                <w:rFonts w:eastAsia="Times New Roman" w:cs="Arial"/>
                <w:b/>
                <w:bCs/>
                <w:iCs/>
                <w:sz w:val="20"/>
                <w:szCs w:val="20"/>
              </w:rPr>
              <w:t>3</w:t>
            </w:r>
            <w:r>
              <w:rPr>
                <w:rFonts w:eastAsia="Times New Roman" w:cs="Arial"/>
                <w:b/>
                <w:bCs/>
                <w:iCs/>
                <w:sz w:val="20"/>
                <w:szCs w:val="20"/>
              </w:rPr>
              <w:t>0</w:t>
            </w:r>
            <w:r w:rsidR="002A6FA6">
              <w:rPr>
                <w:rFonts w:eastAsia="Times New Roman" w:cs="Arial"/>
                <w:b/>
                <w:bCs/>
                <w:iCs/>
                <w:sz w:val="20"/>
                <w:szCs w:val="20"/>
              </w:rPr>
              <w:t>.</w:t>
            </w:r>
            <w:r>
              <w:rPr>
                <w:rFonts w:eastAsia="Times New Roman" w:cs="Arial"/>
                <w:b/>
                <w:bCs/>
                <w:iCs/>
                <w:sz w:val="20"/>
                <w:szCs w:val="20"/>
              </w:rPr>
              <w:t>6</w:t>
            </w:r>
            <w:r w:rsidR="002A6FA6" w:rsidRPr="003A63DB">
              <w:rPr>
                <w:rFonts w:eastAsia="Times New Roman" w:cs="Arial"/>
                <w:b/>
                <w:bCs/>
                <w:iCs/>
                <w:sz w:val="20"/>
                <w:szCs w:val="20"/>
              </w:rPr>
              <w:t>.201</w:t>
            </w:r>
            <w:r w:rsidR="002A6FA6">
              <w:rPr>
                <w:rFonts w:eastAsia="Times New Roman" w:cs="Arial"/>
                <w:b/>
                <w:bCs/>
                <w:iCs/>
                <w:sz w:val="20"/>
                <w:szCs w:val="20"/>
              </w:rPr>
              <w:t>7</w:t>
            </w:r>
            <w:r w:rsidR="002A6FA6" w:rsidRPr="003A63DB">
              <w:rPr>
                <w:rFonts w:eastAsia="Times New Roman" w:cs="Arial"/>
                <w:b/>
                <w:bCs/>
                <w:iCs/>
                <w:sz w:val="20"/>
                <w:szCs w:val="20"/>
              </w:rPr>
              <w:t>.</w:t>
            </w:r>
          </w:p>
        </w:tc>
        <w:tc>
          <w:tcPr>
            <w:tcW w:w="749" w:type="pct"/>
            <w:vAlign w:val="bottom"/>
          </w:tcPr>
          <w:p w14:paraId="62D692FE" w14:textId="1D3A8A96" w:rsidR="002A6FA6" w:rsidRPr="003A63DB" w:rsidRDefault="002A6FA6" w:rsidP="002A6FA6">
            <w:pPr>
              <w:tabs>
                <w:tab w:val="right" w:pos="1202"/>
              </w:tabs>
              <w:spacing w:after="0" w:line="240" w:lineRule="auto"/>
              <w:jc w:val="right"/>
              <w:outlineLvl w:val="0"/>
              <w:rPr>
                <w:rFonts w:eastAsia="Times New Roman" w:cs="Arial"/>
                <w:b/>
                <w:sz w:val="20"/>
                <w:szCs w:val="20"/>
              </w:rPr>
            </w:pPr>
            <w:r w:rsidRPr="003A63DB">
              <w:rPr>
                <w:rFonts w:eastAsia="Times New Roman" w:cs="Arial"/>
                <w:b/>
                <w:bCs/>
                <w:iCs/>
                <w:sz w:val="20"/>
                <w:szCs w:val="20"/>
              </w:rPr>
              <w:t>31.12.201</w:t>
            </w:r>
            <w:r>
              <w:rPr>
                <w:rFonts w:eastAsia="Times New Roman" w:cs="Arial"/>
                <w:b/>
                <w:bCs/>
                <w:iCs/>
                <w:sz w:val="20"/>
                <w:szCs w:val="20"/>
              </w:rPr>
              <w:t>6</w:t>
            </w:r>
            <w:r w:rsidRPr="003A63DB">
              <w:rPr>
                <w:rFonts w:eastAsia="Times New Roman" w:cs="Arial"/>
                <w:b/>
                <w:bCs/>
                <w:iCs/>
                <w:sz w:val="20"/>
                <w:szCs w:val="20"/>
              </w:rPr>
              <w:t>.</w:t>
            </w:r>
          </w:p>
        </w:tc>
        <w:tc>
          <w:tcPr>
            <w:tcW w:w="673" w:type="pct"/>
            <w:vAlign w:val="bottom"/>
          </w:tcPr>
          <w:p w14:paraId="5CD203EC" w14:textId="2883E629" w:rsidR="002A6FA6" w:rsidRPr="003A63DB" w:rsidRDefault="00AB0A61">
            <w:pPr>
              <w:tabs>
                <w:tab w:val="right" w:pos="1202"/>
              </w:tabs>
              <w:spacing w:after="0" w:line="240" w:lineRule="auto"/>
              <w:jc w:val="right"/>
              <w:outlineLvl w:val="0"/>
              <w:rPr>
                <w:rFonts w:eastAsia="Times New Roman" w:cs="Arial"/>
                <w:b/>
                <w:sz w:val="20"/>
                <w:szCs w:val="20"/>
              </w:rPr>
            </w:pPr>
            <w:r w:rsidRPr="003A63DB">
              <w:rPr>
                <w:rFonts w:eastAsia="Times New Roman" w:cs="Arial"/>
                <w:b/>
                <w:bCs/>
                <w:iCs/>
                <w:sz w:val="20"/>
                <w:szCs w:val="20"/>
              </w:rPr>
              <w:t>3</w:t>
            </w:r>
            <w:r>
              <w:rPr>
                <w:rFonts w:eastAsia="Times New Roman" w:cs="Arial"/>
                <w:b/>
                <w:bCs/>
                <w:iCs/>
                <w:sz w:val="20"/>
                <w:szCs w:val="20"/>
              </w:rPr>
              <w:t>0</w:t>
            </w:r>
            <w:r w:rsidR="002A6FA6">
              <w:rPr>
                <w:rFonts w:eastAsia="Times New Roman" w:cs="Arial"/>
                <w:b/>
                <w:bCs/>
                <w:iCs/>
                <w:sz w:val="20"/>
                <w:szCs w:val="20"/>
              </w:rPr>
              <w:t>.</w:t>
            </w:r>
            <w:r>
              <w:rPr>
                <w:rFonts w:eastAsia="Times New Roman" w:cs="Arial"/>
                <w:b/>
                <w:bCs/>
                <w:iCs/>
                <w:sz w:val="20"/>
                <w:szCs w:val="20"/>
              </w:rPr>
              <w:t>6</w:t>
            </w:r>
            <w:r w:rsidR="002A6FA6" w:rsidRPr="003A63DB">
              <w:rPr>
                <w:rFonts w:eastAsia="Times New Roman" w:cs="Arial"/>
                <w:b/>
                <w:bCs/>
                <w:iCs/>
                <w:sz w:val="20"/>
                <w:szCs w:val="20"/>
              </w:rPr>
              <w:t>.201</w:t>
            </w:r>
            <w:r w:rsidR="002A6FA6">
              <w:rPr>
                <w:rFonts w:eastAsia="Times New Roman" w:cs="Arial"/>
                <w:b/>
                <w:bCs/>
                <w:iCs/>
                <w:sz w:val="20"/>
                <w:szCs w:val="20"/>
              </w:rPr>
              <w:t>7</w:t>
            </w:r>
            <w:r w:rsidR="002A6FA6" w:rsidRPr="003A63DB">
              <w:rPr>
                <w:rFonts w:eastAsia="Times New Roman" w:cs="Arial"/>
                <w:b/>
                <w:bCs/>
                <w:iCs/>
                <w:sz w:val="20"/>
                <w:szCs w:val="20"/>
              </w:rPr>
              <w:t>.</w:t>
            </w:r>
          </w:p>
        </w:tc>
        <w:tc>
          <w:tcPr>
            <w:tcW w:w="699" w:type="pct"/>
            <w:vAlign w:val="bottom"/>
          </w:tcPr>
          <w:p w14:paraId="7FED52EA" w14:textId="1AA934C1" w:rsidR="002A6FA6" w:rsidRPr="003A63DB" w:rsidRDefault="002A6FA6" w:rsidP="002A6FA6">
            <w:pPr>
              <w:tabs>
                <w:tab w:val="right" w:pos="1202"/>
              </w:tabs>
              <w:spacing w:after="0" w:line="240" w:lineRule="auto"/>
              <w:jc w:val="right"/>
              <w:outlineLvl w:val="0"/>
              <w:rPr>
                <w:rFonts w:eastAsia="Times New Roman" w:cs="Arial"/>
                <w:b/>
                <w:sz w:val="20"/>
                <w:szCs w:val="20"/>
              </w:rPr>
            </w:pPr>
            <w:r w:rsidRPr="003A63DB">
              <w:rPr>
                <w:rFonts w:eastAsia="Times New Roman" w:cs="Arial"/>
                <w:b/>
                <w:bCs/>
                <w:iCs/>
                <w:sz w:val="20"/>
                <w:szCs w:val="20"/>
              </w:rPr>
              <w:t>31.12.201</w:t>
            </w:r>
            <w:r>
              <w:rPr>
                <w:rFonts w:eastAsia="Times New Roman" w:cs="Arial"/>
                <w:b/>
                <w:bCs/>
                <w:iCs/>
                <w:sz w:val="20"/>
                <w:szCs w:val="20"/>
              </w:rPr>
              <w:t>6</w:t>
            </w:r>
            <w:r w:rsidRPr="003A63DB">
              <w:rPr>
                <w:rFonts w:eastAsia="Times New Roman" w:cs="Arial"/>
                <w:b/>
                <w:bCs/>
                <w:iCs/>
                <w:sz w:val="20"/>
                <w:szCs w:val="20"/>
              </w:rPr>
              <w:t>.</w:t>
            </w:r>
          </w:p>
        </w:tc>
      </w:tr>
      <w:tr w:rsidR="00AB0A61" w:rsidRPr="003A63DB" w14:paraId="70528A26" w14:textId="77777777" w:rsidTr="00312975">
        <w:trPr>
          <w:trHeight w:val="190"/>
        </w:trPr>
        <w:tc>
          <w:tcPr>
            <w:tcW w:w="2128" w:type="pct"/>
            <w:vAlign w:val="bottom"/>
          </w:tcPr>
          <w:p w14:paraId="74CAC2F3" w14:textId="77777777" w:rsidR="00AB0A61" w:rsidRPr="003A63DB" w:rsidRDefault="00AB0A61" w:rsidP="00AB0A61">
            <w:pPr>
              <w:tabs>
                <w:tab w:val="right" w:pos="1202"/>
              </w:tabs>
              <w:spacing w:after="0" w:line="240" w:lineRule="auto"/>
              <w:outlineLvl w:val="0"/>
              <w:rPr>
                <w:rFonts w:eastAsia="Times New Roman" w:cs="Arial"/>
                <w:b/>
                <w:sz w:val="20"/>
                <w:szCs w:val="20"/>
              </w:rPr>
            </w:pPr>
          </w:p>
        </w:tc>
        <w:tc>
          <w:tcPr>
            <w:tcW w:w="751" w:type="pct"/>
          </w:tcPr>
          <w:p w14:paraId="21A5C83C" w14:textId="77777777" w:rsidR="00AB0A61" w:rsidRPr="003A63DB" w:rsidRDefault="00AB0A61" w:rsidP="00AB0A61">
            <w:pPr>
              <w:tabs>
                <w:tab w:val="right" w:pos="1202"/>
              </w:tabs>
              <w:spacing w:after="0" w:line="240" w:lineRule="auto"/>
              <w:jc w:val="right"/>
              <w:outlineLvl w:val="0"/>
              <w:rPr>
                <w:rFonts w:eastAsia="Times New Roman" w:cs="Arial"/>
                <w:bCs/>
                <w:sz w:val="20"/>
                <w:szCs w:val="20"/>
              </w:rPr>
            </w:pPr>
          </w:p>
        </w:tc>
        <w:tc>
          <w:tcPr>
            <w:tcW w:w="749" w:type="pct"/>
          </w:tcPr>
          <w:p w14:paraId="6FFF6542" w14:textId="77777777" w:rsidR="00AB0A61" w:rsidRPr="003A63DB" w:rsidRDefault="00AB0A61" w:rsidP="00AB0A61">
            <w:pPr>
              <w:tabs>
                <w:tab w:val="right" w:pos="1202"/>
              </w:tabs>
              <w:spacing w:after="0" w:line="240" w:lineRule="auto"/>
              <w:jc w:val="right"/>
              <w:outlineLvl w:val="0"/>
              <w:rPr>
                <w:rFonts w:eastAsia="Times New Roman" w:cs="Arial"/>
                <w:bCs/>
                <w:sz w:val="20"/>
                <w:szCs w:val="20"/>
              </w:rPr>
            </w:pPr>
          </w:p>
        </w:tc>
        <w:tc>
          <w:tcPr>
            <w:tcW w:w="673" w:type="pct"/>
          </w:tcPr>
          <w:p w14:paraId="33DC8F69" w14:textId="77777777" w:rsidR="00AB0A61" w:rsidRPr="003A63DB" w:rsidRDefault="00AB0A61" w:rsidP="00AB0A61">
            <w:pPr>
              <w:tabs>
                <w:tab w:val="right" w:pos="1202"/>
              </w:tabs>
              <w:spacing w:after="0" w:line="240" w:lineRule="auto"/>
              <w:jc w:val="right"/>
              <w:outlineLvl w:val="0"/>
              <w:rPr>
                <w:rFonts w:eastAsia="Times New Roman" w:cs="Arial"/>
                <w:bCs/>
                <w:sz w:val="20"/>
                <w:szCs w:val="20"/>
              </w:rPr>
            </w:pPr>
          </w:p>
        </w:tc>
        <w:tc>
          <w:tcPr>
            <w:tcW w:w="699" w:type="pct"/>
            <w:vAlign w:val="bottom"/>
          </w:tcPr>
          <w:p w14:paraId="2F76817E" w14:textId="77777777" w:rsidR="00AB0A61" w:rsidRPr="003A63DB" w:rsidRDefault="00AB0A61" w:rsidP="00AB0A61">
            <w:pPr>
              <w:tabs>
                <w:tab w:val="right" w:pos="1202"/>
              </w:tabs>
              <w:spacing w:after="0" w:line="240" w:lineRule="auto"/>
              <w:jc w:val="right"/>
              <w:outlineLvl w:val="0"/>
              <w:rPr>
                <w:rFonts w:eastAsia="Times New Roman" w:cs="Arial"/>
                <w:bCs/>
                <w:sz w:val="20"/>
                <w:szCs w:val="20"/>
              </w:rPr>
            </w:pPr>
          </w:p>
        </w:tc>
      </w:tr>
      <w:tr w:rsidR="00AB0A61" w:rsidRPr="003A63DB" w14:paraId="61707922" w14:textId="77777777" w:rsidTr="00312975">
        <w:trPr>
          <w:trHeight w:val="370"/>
        </w:trPr>
        <w:tc>
          <w:tcPr>
            <w:tcW w:w="2128" w:type="pct"/>
            <w:vAlign w:val="center"/>
          </w:tcPr>
          <w:p w14:paraId="298AC9AB" w14:textId="77777777" w:rsidR="00AB0A61" w:rsidRPr="003A63DB" w:rsidRDefault="00AB0A61" w:rsidP="00AB0A61">
            <w:pPr>
              <w:tabs>
                <w:tab w:val="right" w:pos="1202"/>
              </w:tabs>
              <w:spacing w:after="0" w:line="240" w:lineRule="auto"/>
              <w:outlineLvl w:val="0"/>
              <w:rPr>
                <w:rFonts w:eastAsia="Times New Roman" w:cs="Arial"/>
                <w:sz w:val="20"/>
                <w:szCs w:val="20"/>
              </w:rPr>
            </w:pPr>
            <w:r w:rsidRPr="003A63DB">
              <w:rPr>
                <w:rFonts w:eastAsia="Times New Roman" w:cs="Arial"/>
                <w:sz w:val="20"/>
                <w:szCs w:val="20"/>
              </w:rPr>
              <w:t>Republika Hrvatska</w:t>
            </w:r>
          </w:p>
        </w:tc>
        <w:tc>
          <w:tcPr>
            <w:tcW w:w="751" w:type="pct"/>
          </w:tcPr>
          <w:p w14:paraId="4C677452" w14:textId="67217A99" w:rsidR="00AB0A61" w:rsidRPr="002A6FA6" w:rsidRDefault="000E113C" w:rsidP="00AB0A61">
            <w:pPr>
              <w:pStyle w:val="TT"/>
              <w:jc w:val="right"/>
              <w:rPr>
                <w:rFonts w:asciiTheme="minorHAnsi" w:hAnsiTheme="minorHAnsi"/>
                <w:sz w:val="20"/>
                <w:lang w:val="de-DE"/>
              </w:rPr>
            </w:pPr>
            <w:r>
              <w:rPr>
                <w:rFonts w:asciiTheme="minorHAnsi" w:hAnsiTheme="minorHAnsi"/>
                <w:sz w:val="20"/>
                <w:lang w:val="de-DE"/>
              </w:rPr>
              <w:t>3.174.397</w:t>
            </w:r>
          </w:p>
        </w:tc>
        <w:tc>
          <w:tcPr>
            <w:tcW w:w="749" w:type="pct"/>
          </w:tcPr>
          <w:p w14:paraId="37E64767" w14:textId="3CF57F17" w:rsidR="00AB0A61" w:rsidRPr="002A6FA6" w:rsidRDefault="00AB0A61" w:rsidP="00AB0A61">
            <w:pPr>
              <w:pStyle w:val="TT"/>
              <w:jc w:val="right"/>
              <w:rPr>
                <w:rFonts w:asciiTheme="minorHAnsi" w:hAnsiTheme="minorHAnsi"/>
                <w:sz w:val="20"/>
                <w:lang w:val="de-DE"/>
              </w:rPr>
            </w:pPr>
            <w:r w:rsidRPr="002A6FA6">
              <w:rPr>
                <w:rFonts w:asciiTheme="minorHAnsi" w:hAnsiTheme="minorHAnsi"/>
                <w:sz w:val="20"/>
              </w:rPr>
              <w:t>3.092.258</w:t>
            </w:r>
          </w:p>
        </w:tc>
        <w:tc>
          <w:tcPr>
            <w:tcW w:w="673" w:type="pct"/>
          </w:tcPr>
          <w:p w14:paraId="184E1D8D" w14:textId="0A693945" w:rsidR="00AB0A61" w:rsidRPr="002A6FA6" w:rsidRDefault="000E113C" w:rsidP="00AB0A61">
            <w:pPr>
              <w:pStyle w:val="TT"/>
              <w:jc w:val="right"/>
              <w:rPr>
                <w:rFonts w:asciiTheme="minorHAnsi" w:hAnsiTheme="minorHAnsi"/>
                <w:sz w:val="20"/>
                <w:lang w:val="de-DE"/>
              </w:rPr>
            </w:pPr>
            <w:r>
              <w:rPr>
                <w:rFonts w:asciiTheme="minorHAnsi" w:hAnsiTheme="minorHAnsi"/>
                <w:sz w:val="20"/>
                <w:lang w:val="de-DE"/>
              </w:rPr>
              <w:t>3.079.668</w:t>
            </w:r>
          </w:p>
        </w:tc>
        <w:tc>
          <w:tcPr>
            <w:tcW w:w="699" w:type="pct"/>
          </w:tcPr>
          <w:p w14:paraId="07D0699E" w14:textId="11063A5C" w:rsidR="00AB0A61" w:rsidRPr="002A6FA6" w:rsidRDefault="00AB0A61" w:rsidP="00AB0A61">
            <w:pPr>
              <w:pStyle w:val="TT"/>
              <w:jc w:val="right"/>
              <w:rPr>
                <w:rFonts w:asciiTheme="minorHAnsi" w:hAnsiTheme="minorHAnsi"/>
                <w:sz w:val="20"/>
                <w:lang w:val="de-DE"/>
              </w:rPr>
            </w:pPr>
            <w:r w:rsidRPr="002A6FA6">
              <w:rPr>
                <w:rFonts w:asciiTheme="minorHAnsi" w:hAnsiTheme="minorHAnsi"/>
                <w:sz w:val="20"/>
              </w:rPr>
              <w:t>3.007.698</w:t>
            </w:r>
          </w:p>
        </w:tc>
      </w:tr>
      <w:tr w:rsidR="00AB0A61" w:rsidRPr="003A63DB" w14:paraId="4ABB54A5" w14:textId="77777777" w:rsidTr="00312975">
        <w:trPr>
          <w:trHeight w:val="370"/>
        </w:trPr>
        <w:tc>
          <w:tcPr>
            <w:tcW w:w="2128" w:type="pct"/>
            <w:vAlign w:val="center"/>
          </w:tcPr>
          <w:p w14:paraId="32E40A09" w14:textId="77777777" w:rsidR="00AB0A61" w:rsidRPr="003A63DB" w:rsidRDefault="00AB0A61" w:rsidP="00AB0A61">
            <w:pPr>
              <w:tabs>
                <w:tab w:val="right" w:pos="1202"/>
              </w:tabs>
              <w:spacing w:after="0" w:line="240" w:lineRule="auto"/>
              <w:outlineLvl w:val="0"/>
              <w:rPr>
                <w:rFonts w:eastAsia="Times New Roman" w:cs="Arial"/>
                <w:sz w:val="20"/>
                <w:szCs w:val="20"/>
              </w:rPr>
            </w:pPr>
            <w:r w:rsidRPr="003A63DB">
              <w:rPr>
                <w:rFonts w:eastAsia="Times New Roman" w:cs="Arial"/>
                <w:sz w:val="20"/>
                <w:szCs w:val="20"/>
              </w:rPr>
              <w:t>Državne agencije</w:t>
            </w:r>
          </w:p>
        </w:tc>
        <w:tc>
          <w:tcPr>
            <w:tcW w:w="751" w:type="pct"/>
            <w:tcBorders>
              <w:bottom w:val="single" w:sz="4" w:space="0" w:color="auto"/>
            </w:tcBorders>
          </w:tcPr>
          <w:p w14:paraId="7161B855" w14:textId="01C6BEF2" w:rsidR="00AB0A61" w:rsidRPr="002A6FA6" w:rsidRDefault="000E113C" w:rsidP="00AB0A61">
            <w:pPr>
              <w:pStyle w:val="TT"/>
              <w:jc w:val="right"/>
              <w:rPr>
                <w:rFonts w:asciiTheme="minorHAnsi" w:hAnsiTheme="minorHAnsi"/>
                <w:sz w:val="20"/>
                <w:lang w:val="de-DE"/>
              </w:rPr>
            </w:pPr>
            <w:r>
              <w:rPr>
                <w:rFonts w:asciiTheme="minorHAnsi" w:hAnsiTheme="minorHAnsi"/>
                <w:sz w:val="20"/>
                <w:lang w:val="de-DE"/>
              </w:rPr>
              <w:t>584.454</w:t>
            </w:r>
          </w:p>
        </w:tc>
        <w:tc>
          <w:tcPr>
            <w:tcW w:w="749" w:type="pct"/>
            <w:tcBorders>
              <w:bottom w:val="single" w:sz="4" w:space="0" w:color="auto"/>
            </w:tcBorders>
          </w:tcPr>
          <w:p w14:paraId="4CE99681" w14:textId="39A30DA1" w:rsidR="00AB0A61" w:rsidRPr="002A6FA6" w:rsidRDefault="00AB0A61" w:rsidP="00AB0A61">
            <w:pPr>
              <w:pStyle w:val="TT"/>
              <w:jc w:val="right"/>
              <w:rPr>
                <w:rFonts w:asciiTheme="minorHAnsi" w:hAnsiTheme="minorHAnsi"/>
                <w:sz w:val="20"/>
                <w:lang w:val="de-DE"/>
              </w:rPr>
            </w:pPr>
            <w:r w:rsidRPr="002A6FA6">
              <w:rPr>
                <w:rFonts w:asciiTheme="minorHAnsi" w:hAnsiTheme="minorHAnsi"/>
                <w:sz w:val="20"/>
              </w:rPr>
              <w:t>603.215</w:t>
            </w:r>
          </w:p>
        </w:tc>
        <w:tc>
          <w:tcPr>
            <w:tcW w:w="673" w:type="pct"/>
            <w:tcBorders>
              <w:bottom w:val="single" w:sz="4" w:space="0" w:color="auto"/>
            </w:tcBorders>
          </w:tcPr>
          <w:p w14:paraId="383FB5FF" w14:textId="40980A34" w:rsidR="00AB0A61" w:rsidRPr="002A6FA6" w:rsidRDefault="000E113C" w:rsidP="00AB0A61">
            <w:pPr>
              <w:pStyle w:val="TT"/>
              <w:jc w:val="right"/>
              <w:rPr>
                <w:rFonts w:asciiTheme="minorHAnsi" w:hAnsiTheme="minorHAnsi"/>
                <w:sz w:val="20"/>
                <w:lang w:val="de-DE"/>
              </w:rPr>
            </w:pPr>
            <w:r>
              <w:rPr>
                <w:rFonts w:asciiTheme="minorHAnsi" w:hAnsiTheme="minorHAnsi"/>
                <w:sz w:val="20"/>
                <w:lang w:val="de-DE"/>
              </w:rPr>
              <w:t>584.454</w:t>
            </w:r>
          </w:p>
        </w:tc>
        <w:tc>
          <w:tcPr>
            <w:tcW w:w="699" w:type="pct"/>
            <w:tcBorders>
              <w:bottom w:val="single" w:sz="4" w:space="0" w:color="auto"/>
            </w:tcBorders>
          </w:tcPr>
          <w:p w14:paraId="7F35B706" w14:textId="36F9A873" w:rsidR="00AB0A61" w:rsidRPr="002A6FA6" w:rsidRDefault="00AB0A61" w:rsidP="00AB0A61">
            <w:pPr>
              <w:pStyle w:val="TT"/>
              <w:jc w:val="right"/>
              <w:rPr>
                <w:rFonts w:asciiTheme="minorHAnsi" w:hAnsiTheme="minorHAnsi"/>
                <w:sz w:val="20"/>
                <w:lang w:val="de-DE"/>
              </w:rPr>
            </w:pPr>
            <w:r w:rsidRPr="002A6FA6">
              <w:rPr>
                <w:rFonts w:asciiTheme="minorHAnsi" w:hAnsiTheme="minorHAnsi"/>
                <w:sz w:val="20"/>
              </w:rPr>
              <w:t>603.215</w:t>
            </w:r>
          </w:p>
        </w:tc>
      </w:tr>
      <w:tr w:rsidR="00AB0A61" w:rsidRPr="003A63DB" w14:paraId="73C7D376" w14:textId="77777777" w:rsidTr="00312975">
        <w:trPr>
          <w:trHeight w:val="326"/>
        </w:trPr>
        <w:tc>
          <w:tcPr>
            <w:tcW w:w="2128" w:type="pct"/>
            <w:vAlign w:val="bottom"/>
          </w:tcPr>
          <w:p w14:paraId="0FAB1456" w14:textId="77777777" w:rsidR="00AB0A61" w:rsidRPr="003A63DB" w:rsidRDefault="00AB0A61" w:rsidP="00AB0A61">
            <w:pPr>
              <w:tabs>
                <w:tab w:val="right" w:pos="1202"/>
              </w:tabs>
              <w:spacing w:after="0" w:line="240" w:lineRule="auto"/>
              <w:outlineLvl w:val="0"/>
              <w:rPr>
                <w:rFonts w:eastAsia="Times New Roman" w:cs="Arial"/>
                <w:b/>
                <w:sz w:val="20"/>
                <w:szCs w:val="20"/>
              </w:rPr>
            </w:pPr>
            <w:r w:rsidRPr="003A63DB">
              <w:rPr>
                <w:rFonts w:eastAsia="Times New Roman" w:cs="Arial"/>
                <w:b/>
                <w:sz w:val="20"/>
                <w:szCs w:val="20"/>
              </w:rPr>
              <w:t>Ukupno</w:t>
            </w:r>
          </w:p>
        </w:tc>
        <w:tc>
          <w:tcPr>
            <w:tcW w:w="751" w:type="pct"/>
            <w:tcBorders>
              <w:top w:val="single" w:sz="4" w:space="0" w:color="auto"/>
              <w:bottom w:val="single" w:sz="12" w:space="0" w:color="auto"/>
            </w:tcBorders>
            <w:vAlign w:val="bottom"/>
          </w:tcPr>
          <w:p w14:paraId="3137EB47" w14:textId="23CC40E4" w:rsidR="00AB0A61" w:rsidRPr="000E5941" w:rsidRDefault="000E113C" w:rsidP="00AB0A61">
            <w:pPr>
              <w:pStyle w:val="TT"/>
              <w:jc w:val="right"/>
              <w:rPr>
                <w:rFonts w:asciiTheme="minorHAnsi" w:hAnsiTheme="minorHAnsi" w:cs="Arial"/>
                <w:b/>
                <w:bCs/>
                <w:sz w:val="20"/>
                <w:lang w:val="hr-HR"/>
              </w:rPr>
            </w:pPr>
            <w:r>
              <w:rPr>
                <w:rFonts w:asciiTheme="minorHAnsi" w:hAnsiTheme="minorHAnsi" w:cs="Arial"/>
                <w:b/>
                <w:bCs/>
                <w:sz w:val="20"/>
                <w:lang w:val="hr-HR"/>
              </w:rPr>
              <w:t>3.758.851</w:t>
            </w:r>
          </w:p>
        </w:tc>
        <w:tc>
          <w:tcPr>
            <w:tcW w:w="749" w:type="pct"/>
            <w:tcBorders>
              <w:top w:val="single" w:sz="4" w:space="0" w:color="auto"/>
              <w:bottom w:val="single" w:sz="12" w:space="0" w:color="auto"/>
            </w:tcBorders>
            <w:vAlign w:val="bottom"/>
          </w:tcPr>
          <w:p w14:paraId="4949D9EF" w14:textId="45A4D8D5" w:rsidR="00AB0A61" w:rsidRPr="002A6FA6" w:rsidRDefault="00AB0A61" w:rsidP="00AB0A61">
            <w:pPr>
              <w:pStyle w:val="TT"/>
              <w:jc w:val="right"/>
              <w:rPr>
                <w:b/>
                <w:sz w:val="20"/>
                <w:lang w:val="de-DE"/>
              </w:rPr>
            </w:pPr>
            <w:r w:rsidRPr="002A6FA6">
              <w:rPr>
                <w:rFonts w:asciiTheme="minorHAnsi" w:hAnsiTheme="minorHAnsi" w:cs="Arial"/>
                <w:b/>
                <w:bCs/>
                <w:sz w:val="20"/>
                <w:lang w:val="hr-HR"/>
              </w:rPr>
              <w:t>3.695.473</w:t>
            </w:r>
          </w:p>
        </w:tc>
        <w:tc>
          <w:tcPr>
            <w:tcW w:w="673" w:type="pct"/>
            <w:tcBorders>
              <w:top w:val="single" w:sz="4" w:space="0" w:color="auto"/>
              <w:bottom w:val="single" w:sz="12" w:space="0" w:color="auto"/>
            </w:tcBorders>
            <w:vAlign w:val="bottom"/>
          </w:tcPr>
          <w:p w14:paraId="313A892E" w14:textId="6DE226B1" w:rsidR="00AB0A61" w:rsidRPr="000E5941" w:rsidRDefault="000E113C" w:rsidP="00AB0A61">
            <w:pPr>
              <w:pStyle w:val="TT"/>
              <w:jc w:val="right"/>
              <w:rPr>
                <w:rFonts w:asciiTheme="minorHAnsi" w:hAnsiTheme="minorHAnsi" w:cs="Arial"/>
                <w:b/>
                <w:bCs/>
                <w:sz w:val="20"/>
                <w:lang w:val="hr-HR"/>
              </w:rPr>
            </w:pPr>
            <w:r>
              <w:rPr>
                <w:rFonts w:asciiTheme="minorHAnsi" w:hAnsiTheme="minorHAnsi" w:cs="Arial"/>
                <w:b/>
                <w:bCs/>
                <w:sz w:val="20"/>
                <w:lang w:val="hr-HR"/>
              </w:rPr>
              <w:t>3.664.122</w:t>
            </w:r>
          </w:p>
        </w:tc>
        <w:tc>
          <w:tcPr>
            <w:tcW w:w="699" w:type="pct"/>
            <w:tcBorders>
              <w:top w:val="single" w:sz="4" w:space="0" w:color="auto"/>
              <w:bottom w:val="single" w:sz="12" w:space="0" w:color="auto"/>
            </w:tcBorders>
            <w:vAlign w:val="bottom"/>
          </w:tcPr>
          <w:p w14:paraId="2DAD7E02" w14:textId="22C01321" w:rsidR="00AB0A61" w:rsidRPr="002A6FA6" w:rsidRDefault="00AB0A61" w:rsidP="00AB0A61">
            <w:pPr>
              <w:pStyle w:val="TT"/>
              <w:jc w:val="right"/>
              <w:rPr>
                <w:rFonts w:asciiTheme="minorHAnsi" w:hAnsiTheme="minorHAnsi"/>
                <w:b/>
                <w:sz w:val="20"/>
                <w:lang w:val="de-DE"/>
              </w:rPr>
            </w:pPr>
            <w:r w:rsidRPr="002A6FA6">
              <w:rPr>
                <w:rFonts w:asciiTheme="minorHAnsi" w:hAnsiTheme="minorHAnsi" w:cs="Arial"/>
                <w:b/>
                <w:bCs/>
                <w:sz w:val="20"/>
                <w:lang w:val="hr-HR"/>
              </w:rPr>
              <w:t>3.610.913</w:t>
            </w:r>
          </w:p>
        </w:tc>
      </w:tr>
    </w:tbl>
    <w:p w14:paraId="540853AC" w14:textId="77777777" w:rsidR="003A63DB" w:rsidRPr="003A63DB" w:rsidRDefault="003A63DB" w:rsidP="003A63DB">
      <w:pPr>
        <w:spacing w:after="0" w:line="240" w:lineRule="auto"/>
        <w:jc w:val="both"/>
        <w:rPr>
          <w:rFonts w:eastAsia="Times New Roman" w:cs="Arial"/>
          <w:b/>
          <w:sz w:val="24"/>
          <w:szCs w:val="24"/>
          <w:highlight w:val="yellow"/>
        </w:rPr>
      </w:pPr>
    </w:p>
    <w:p w14:paraId="5E7EC66C" w14:textId="77777777" w:rsidR="003A63DB" w:rsidRPr="003A63DB" w:rsidRDefault="003A63DB" w:rsidP="003A63DB">
      <w:pPr>
        <w:keepNext/>
        <w:spacing w:after="0" w:line="240" w:lineRule="auto"/>
        <w:jc w:val="both"/>
        <w:rPr>
          <w:rFonts w:eastAsia="Times New Roman" w:cs="Arial"/>
          <w:bCs/>
        </w:rPr>
      </w:pPr>
      <w:r w:rsidRPr="003A63DB">
        <w:rPr>
          <w:rFonts w:eastAsia="Times New Roman" w:cs="Arial"/>
          <w:bCs/>
        </w:rPr>
        <w:t xml:space="preserve">Primljeni instrumenti osiguranja odnose se na prvorazredne instrumente osiguranja zaprimljene u svrhu osiguranja plasmana Banke, a čine ih: jamstvo Republike Hrvatske, jamstvo </w:t>
      </w:r>
      <w:r w:rsidR="004505E8">
        <w:rPr>
          <w:rFonts w:eastAsia="Times New Roman" w:cs="Arial"/>
          <w:bCs/>
        </w:rPr>
        <w:t>HAMAG-BICRO</w:t>
      </w:r>
      <w:r w:rsidRPr="003A63DB">
        <w:rPr>
          <w:rFonts w:eastAsia="Times New Roman" w:cs="Arial"/>
          <w:bCs/>
        </w:rPr>
        <w:t>-a, polica osiguranja od političkih i/ili komercijalnih rizika te zakonska jamstva u slučaju kada za obveze klijenta zakonskim aktima jamči Republika Hrvatska ili druga državna tijela.</w:t>
      </w:r>
    </w:p>
    <w:p w14:paraId="408F0E60" w14:textId="77777777" w:rsidR="003A63DB" w:rsidRPr="003A63DB" w:rsidRDefault="003A63DB" w:rsidP="003A63DB">
      <w:pPr>
        <w:keepNext/>
        <w:spacing w:after="0" w:line="240" w:lineRule="auto"/>
        <w:jc w:val="both"/>
        <w:rPr>
          <w:rFonts w:eastAsia="Times New Roman" w:cs="Arial"/>
          <w:bCs/>
        </w:rPr>
      </w:pPr>
    </w:p>
    <w:p w14:paraId="4B275D5A" w14:textId="77777777" w:rsidR="003A63DB" w:rsidRPr="003A63DB" w:rsidRDefault="003A63DB" w:rsidP="003A63DB">
      <w:pPr>
        <w:keepNext/>
        <w:spacing w:after="0" w:line="240" w:lineRule="auto"/>
        <w:jc w:val="both"/>
        <w:rPr>
          <w:rFonts w:eastAsia="Times New Roman" w:cs="Times New Roman"/>
        </w:rPr>
      </w:pPr>
      <w:r w:rsidRPr="003A63DB">
        <w:rPr>
          <w:rFonts w:eastAsia="Times New Roman" w:cs="Arial"/>
          <w:bCs/>
        </w:rPr>
        <w:t>HBOR u ime i za račun Republike Hrvatske izdaje police reosiguranja odnosno pokriva razmjerni dio (</w:t>
      </w:r>
      <w:proofErr w:type="spellStart"/>
      <w:r w:rsidRPr="003A63DB">
        <w:rPr>
          <w:rFonts w:eastAsia="Times New Roman" w:cs="Arial"/>
          <w:bCs/>
        </w:rPr>
        <w:t>kvotno</w:t>
      </w:r>
      <w:proofErr w:type="spellEnd"/>
      <w:r w:rsidRPr="003A63DB">
        <w:rPr>
          <w:rFonts w:eastAsia="Times New Roman" w:cs="Arial"/>
          <w:bCs/>
        </w:rPr>
        <w:t xml:space="preserve"> reosiguranje) političkih i komercijalnih rizika kod izvoznih kredita i potraživanja nastalih prilikom izvoza roba i usluga. Reosiguratelj pokriva sve </w:t>
      </w:r>
      <w:proofErr w:type="spellStart"/>
      <w:r w:rsidRPr="003A63DB">
        <w:rPr>
          <w:rFonts w:eastAsia="Times New Roman" w:cs="Arial"/>
          <w:bCs/>
        </w:rPr>
        <w:t>neutržive</w:t>
      </w:r>
      <w:proofErr w:type="spellEnd"/>
      <w:r w:rsidRPr="003A63DB">
        <w:rPr>
          <w:rFonts w:eastAsia="Times New Roman" w:cs="Arial"/>
          <w:bCs/>
        </w:rPr>
        <w:t xml:space="preserve"> (netržišne) rizike koje je preuzeo Osiguratelj odnosno Hrvatsko kreditno osiguranje, dioničko društvo za osiguranje u rasponu od </w:t>
      </w:r>
      <w:r w:rsidR="00B47C66">
        <w:rPr>
          <w:rFonts w:eastAsia="Times New Roman" w:cs="Arial"/>
          <w:bCs/>
        </w:rPr>
        <w:t>3</w:t>
      </w:r>
      <w:r w:rsidRPr="003A63DB">
        <w:rPr>
          <w:rFonts w:eastAsia="Times New Roman" w:cs="Arial"/>
          <w:bCs/>
        </w:rPr>
        <w:t>0% do 90% osigurane svote.</w:t>
      </w:r>
      <w:r w:rsidRPr="003A63DB" w:rsidDel="00F947BE">
        <w:rPr>
          <w:rFonts w:eastAsia="Times New Roman" w:cs="Times New Roman"/>
        </w:rPr>
        <w:t xml:space="preserve"> </w:t>
      </w:r>
    </w:p>
    <w:p w14:paraId="403535CA" w14:textId="77777777" w:rsidR="003A63DB" w:rsidRPr="003A63DB" w:rsidRDefault="003A63DB" w:rsidP="003A63DB">
      <w:pPr>
        <w:keepNext/>
        <w:spacing w:after="0" w:line="240" w:lineRule="auto"/>
        <w:jc w:val="both"/>
        <w:rPr>
          <w:rFonts w:eastAsia="Times New Roman" w:cs="Times New Roman"/>
        </w:rPr>
      </w:pPr>
    </w:p>
    <w:p w14:paraId="545D5608" w14:textId="77777777" w:rsidR="003A63DB" w:rsidRPr="00BC67DE" w:rsidRDefault="003A63DB" w:rsidP="00961B31">
      <w:pPr>
        <w:pStyle w:val="ListParagraph"/>
        <w:numPr>
          <w:ilvl w:val="0"/>
          <w:numId w:val="3"/>
        </w:numPr>
        <w:spacing w:after="0" w:line="240" w:lineRule="auto"/>
        <w:rPr>
          <w:rFonts w:eastAsia="Times New Roman" w:cs="Arial"/>
        </w:rPr>
      </w:pPr>
      <w:r w:rsidRPr="00BC67DE">
        <w:rPr>
          <w:rFonts w:eastAsia="Times New Roman" w:cs="Arial"/>
        </w:rPr>
        <w:t xml:space="preserve">Plaće ključnih članova rukovodstva  </w:t>
      </w:r>
    </w:p>
    <w:p w14:paraId="1BBA4DF8" w14:textId="77777777" w:rsidR="003A63DB" w:rsidRPr="003A63DB" w:rsidRDefault="003A63DB" w:rsidP="003A63DB">
      <w:pPr>
        <w:spacing w:after="0" w:line="240" w:lineRule="auto"/>
        <w:rPr>
          <w:rFonts w:eastAsia="Times New Roman" w:cs="Arial"/>
        </w:rPr>
      </w:pPr>
    </w:p>
    <w:p w14:paraId="554DED7F" w14:textId="1ECFFF93" w:rsidR="00651E38" w:rsidRDefault="00651E38" w:rsidP="00651E38">
      <w:pPr>
        <w:spacing w:after="0" w:line="240" w:lineRule="auto"/>
        <w:jc w:val="both"/>
        <w:rPr>
          <w:rFonts w:eastAsia="Times New Roman" w:cs="Arial"/>
          <w:bCs/>
        </w:rPr>
      </w:pPr>
      <w:r w:rsidRPr="00064A88">
        <w:rPr>
          <w:rFonts w:eastAsia="Times New Roman" w:cs="Arial"/>
          <w:bCs/>
        </w:rPr>
        <w:t xml:space="preserve">Plaće uključuju redovan rad, godišnji odmor, državni praznik, plaćeni dopust, naknadu plaće za vrijeme </w:t>
      </w:r>
      <w:r w:rsidRPr="00BE2AB4">
        <w:rPr>
          <w:rFonts w:eastAsia="Times New Roman" w:cs="Arial"/>
          <w:bCs/>
        </w:rPr>
        <w:t>bolovanja, minuli rad</w:t>
      </w:r>
      <w:r w:rsidR="00735568" w:rsidRPr="00BE2AB4">
        <w:rPr>
          <w:rFonts w:eastAsia="Times New Roman" w:cs="Arial"/>
          <w:bCs/>
        </w:rPr>
        <w:t xml:space="preserve"> te isplate prema ugovorima</w:t>
      </w:r>
      <w:r w:rsidRPr="00BE2AB4">
        <w:rPr>
          <w:rFonts w:eastAsia="Times New Roman" w:cs="Arial"/>
          <w:bCs/>
        </w:rPr>
        <w:t xml:space="preserve">. Iznos plaće za Grupu u izvještajnom razdoblju iznosi </w:t>
      </w:r>
      <w:r w:rsidR="00760BBB">
        <w:rPr>
          <w:rFonts w:eastAsia="Times New Roman" w:cs="Arial"/>
          <w:bCs/>
        </w:rPr>
        <w:t>4.300</w:t>
      </w:r>
      <w:r w:rsidR="00064A88" w:rsidRPr="00BE2AB4">
        <w:rPr>
          <w:rFonts w:eastAsia="Times New Roman" w:cs="Arial"/>
          <w:bCs/>
        </w:rPr>
        <w:t xml:space="preserve"> </w:t>
      </w:r>
      <w:r w:rsidRPr="00BE2AB4">
        <w:rPr>
          <w:rFonts w:eastAsia="Times New Roman" w:cs="Arial"/>
          <w:bCs/>
        </w:rPr>
        <w:t>tisuća kuna (</w:t>
      </w:r>
      <w:r w:rsidR="001962BE" w:rsidRPr="00BE2AB4">
        <w:rPr>
          <w:rFonts w:eastAsia="Times New Roman" w:cs="Arial"/>
          <w:bCs/>
        </w:rPr>
        <w:t>1.</w:t>
      </w:r>
      <w:r w:rsidR="0012207C" w:rsidRPr="00BE2AB4">
        <w:rPr>
          <w:rFonts w:eastAsia="Times New Roman" w:cs="Arial"/>
          <w:bCs/>
        </w:rPr>
        <w:t xml:space="preserve">1. do </w:t>
      </w:r>
      <w:r w:rsidR="00AB0A61">
        <w:rPr>
          <w:rFonts w:eastAsia="Times New Roman" w:cs="Arial"/>
          <w:bCs/>
        </w:rPr>
        <w:t>30</w:t>
      </w:r>
      <w:r w:rsidR="002A6FA6">
        <w:rPr>
          <w:rFonts w:eastAsia="Times New Roman" w:cs="Arial"/>
          <w:bCs/>
        </w:rPr>
        <w:t>.</w:t>
      </w:r>
      <w:r w:rsidR="00AB0A61">
        <w:rPr>
          <w:rFonts w:eastAsia="Times New Roman" w:cs="Arial"/>
          <w:bCs/>
        </w:rPr>
        <w:t>6</w:t>
      </w:r>
      <w:r w:rsidRPr="00BE2AB4">
        <w:rPr>
          <w:rFonts w:eastAsia="Times New Roman" w:cs="Arial"/>
          <w:bCs/>
        </w:rPr>
        <w:t>.</w:t>
      </w:r>
      <w:r w:rsidR="00735568" w:rsidRPr="00BE2AB4">
        <w:rPr>
          <w:rFonts w:eastAsia="Times New Roman" w:cs="Arial"/>
          <w:bCs/>
        </w:rPr>
        <w:t>201</w:t>
      </w:r>
      <w:r w:rsidR="002A6FA6">
        <w:rPr>
          <w:rFonts w:eastAsia="Times New Roman" w:cs="Arial"/>
          <w:bCs/>
        </w:rPr>
        <w:t>6</w:t>
      </w:r>
      <w:r w:rsidRPr="00BE2AB4">
        <w:rPr>
          <w:rFonts w:eastAsia="Times New Roman" w:cs="Arial"/>
          <w:bCs/>
        </w:rPr>
        <w:t xml:space="preserve">. godine: </w:t>
      </w:r>
      <w:r w:rsidR="00AB0A61" w:rsidRPr="00AB0A61">
        <w:rPr>
          <w:rFonts w:eastAsia="Times New Roman" w:cs="Arial"/>
          <w:bCs/>
        </w:rPr>
        <w:t xml:space="preserve">4.136 </w:t>
      </w:r>
      <w:r w:rsidRPr="00BE2AB4">
        <w:rPr>
          <w:rFonts w:eastAsia="Times New Roman" w:cs="Arial"/>
          <w:bCs/>
        </w:rPr>
        <w:t xml:space="preserve">tisuća kuna), a za Banku iznosi </w:t>
      </w:r>
      <w:r w:rsidR="00760BBB">
        <w:rPr>
          <w:rFonts w:eastAsia="Times New Roman" w:cs="Arial"/>
          <w:bCs/>
        </w:rPr>
        <w:t>4.010</w:t>
      </w:r>
      <w:r w:rsidR="00A334F4" w:rsidRPr="00BE2AB4">
        <w:rPr>
          <w:rFonts w:eastAsia="Times New Roman" w:cs="Arial"/>
          <w:bCs/>
        </w:rPr>
        <w:t xml:space="preserve"> </w:t>
      </w:r>
      <w:r w:rsidRPr="00BE2AB4">
        <w:rPr>
          <w:rFonts w:eastAsia="Times New Roman" w:cs="Arial"/>
          <w:bCs/>
        </w:rPr>
        <w:t>tisuća kuna (</w:t>
      </w:r>
      <w:r w:rsidR="001962BE" w:rsidRPr="00BE2AB4">
        <w:rPr>
          <w:rFonts w:eastAsia="Times New Roman" w:cs="Arial"/>
          <w:bCs/>
        </w:rPr>
        <w:t>1.</w:t>
      </w:r>
      <w:r w:rsidR="0012207C" w:rsidRPr="00BE2AB4">
        <w:rPr>
          <w:rFonts w:eastAsia="Times New Roman" w:cs="Arial"/>
          <w:bCs/>
        </w:rPr>
        <w:t xml:space="preserve">1. do </w:t>
      </w:r>
      <w:r w:rsidR="00AB0A61" w:rsidRPr="002A6FA6">
        <w:rPr>
          <w:rFonts w:eastAsia="Times New Roman" w:cs="Arial"/>
          <w:bCs/>
        </w:rPr>
        <w:t>3</w:t>
      </w:r>
      <w:r w:rsidR="00AB0A61">
        <w:rPr>
          <w:rFonts w:eastAsia="Times New Roman" w:cs="Arial"/>
          <w:bCs/>
        </w:rPr>
        <w:t>0</w:t>
      </w:r>
      <w:r w:rsidR="002A6FA6" w:rsidRPr="002A6FA6">
        <w:rPr>
          <w:rFonts w:eastAsia="Times New Roman" w:cs="Arial"/>
          <w:bCs/>
        </w:rPr>
        <w:t>.</w:t>
      </w:r>
      <w:r w:rsidR="00AB0A61">
        <w:rPr>
          <w:rFonts w:eastAsia="Times New Roman" w:cs="Arial"/>
          <w:bCs/>
        </w:rPr>
        <w:t>6</w:t>
      </w:r>
      <w:r w:rsidRPr="00BE2AB4">
        <w:rPr>
          <w:rFonts w:eastAsia="Times New Roman" w:cs="Arial"/>
          <w:bCs/>
        </w:rPr>
        <w:t>.</w:t>
      </w:r>
      <w:r w:rsidR="0098410A" w:rsidRPr="00BE2AB4">
        <w:rPr>
          <w:rFonts w:eastAsia="Times New Roman" w:cs="Arial"/>
          <w:bCs/>
        </w:rPr>
        <w:t>201</w:t>
      </w:r>
      <w:r w:rsidR="002A6FA6">
        <w:rPr>
          <w:rFonts w:eastAsia="Times New Roman" w:cs="Arial"/>
          <w:bCs/>
        </w:rPr>
        <w:t>6</w:t>
      </w:r>
      <w:r w:rsidRPr="00BE2AB4">
        <w:rPr>
          <w:rFonts w:eastAsia="Times New Roman" w:cs="Arial"/>
          <w:bCs/>
        </w:rPr>
        <w:t xml:space="preserve">. godine: </w:t>
      </w:r>
      <w:r w:rsidR="00AB0A61" w:rsidRPr="00AB0A61">
        <w:rPr>
          <w:rFonts w:eastAsia="Times New Roman" w:cs="Arial"/>
          <w:bCs/>
        </w:rPr>
        <w:t xml:space="preserve">3.500 </w:t>
      </w:r>
      <w:r w:rsidRPr="00BE2AB4">
        <w:rPr>
          <w:rFonts w:eastAsia="Times New Roman" w:cs="Arial"/>
          <w:bCs/>
        </w:rPr>
        <w:t>tisuća kuna).</w:t>
      </w:r>
    </w:p>
    <w:p w14:paraId="3DAA9A2D" w14:textId="77777777" w:rsidR="002A6FA6" w:rsidRPr="00BE2AB4" w:rsidRDefault="002A6FA6" w:rsidP="00651E38">
      <w:pPr>
        <w:spacing w:after="0" w:line="240" w:lineRule="auto"/>
        <w:jc w:val="both"/>
        <w:rPr>
          <w:rFonts w:eastAsia="Times New Roman" w:cs="Arial"/>
          <w:bCs/>
        </w:rPr>
      </w:pPr>
    </w:p>
    <w:p w14:paraId="299D0924" w14:textId="7A3F0FEB" w:rsidR="003A63DB" w:rsidRDefault="00651E38" w:rsidP="00651E38">
      <w:pPr>
        <w:spacing w:after="0" w:line="240" w:lineRule="auto"/>
        <w:jc w:val="both"/>
        <w:rPr>
          <w:rFonts w:eastAsia="Times New Roman" w:cs="Arial"/>
          <w:bCs/>
        </w:rPr>
      </w:pPr>
      <w:r w:rsidRPr="00BE2AB4">
        <w:rPr>
          <w:rFonts w:eastAsia="Times New Roman" w:cs="Arial"/>
          <w:bCs/>
        </w:rPr>
        <w:t>Nagrade za rad članovima Nadzornog odbora za Grupu</w:t>
      </w:r>
      <w:r w:rsidR="0014299A" w:rsidRPr="00BE2AB4">
        <w:t xml:space="preserve"> </w:t>
      </w:r>
      <w:r w:rsidR="0014299A" w:rsidRPr="00BE2AB4">
        <w:rPr>
          <w:rFonts w:eastAsia="Times New Roman" w:cs="Arial"/>
          <w:bCs/>
        </w:rPr>
        <w:t>u izvještajnom razdoblju</w:t>
      </w:r>
      <w:r w:rsidR="0014299A" w:rsidRPr="00BE2AB4">
        <w:t xml:space="preserve"> </w:t>
      </w:r>
      <w:r w:rsidR="0014299A" w:rsidRPr="00BE2AB4">
        <w:rPr>
          <w:rFonts w:eastAsia="Times New Roman" w:cs="Arial"/>
          <w:bCs/>
        </w:rPr>
        <w:t>iznos</w:t>
      </w:r>
      <w:r w:rsidR="00D36D24" w:rsidRPr="00BE2AB4">
        <w:rPr>
          <w:rFonts w:eastAsia="Times New Roman" w:cs="Arial"/>
          <w:bCs/>
        </w:rPr>
        <w:t>e</w:t>
      </w:r>
      <w:r w:rsidR="0014299A" w:rsidRPr="00BE2AB4">
        <w:rPr>
          <w:rFonts w:eastAsia="Times New Roman" w:cs="Arial"/>
          <w:bCs/>
        </w:rPr>
        <w:t xml:space="preserve"> </w:t>
      </w:r>
      <w:r w:rsidR="00760BBB">
        <w:rPr>
          <w:rFonts w:eastAsia="Times New Roman" w:cs="Arial"/>
          <w:bCs/>
        </w:rPr>
        <w:t>209</w:t>
      </w:r>
      <w:r w:rsidR="00760BBB" w:rsidRPr="00BE2AB4">
        <w:rPr>
          <w:rFonts w:eastAsia="Times New Roman" w:cs="Arial"/>
          <w:bCs/>
        </w:rPr>
        <w:t xml:space="preserve"> </w:t>
      </w:r>
      <w:r w:rsidR="0014299A" w:rsidRPr="00BE2AB4">
        <w:rPr>
          <w:rFonts w:eastAsia="Times New Roman" w:cs="Arial"/>
          <w:bCs/>
        </w:rPr>
        <w:t>tisuća kuna</w:t>
      </w:r>
      <w:r w:rsidRPr="00BE2AB4">
        <w:rPr>
          <w:rFonts w:eastAsia="Times New Roman" w:cs="Arial"/>
          <w:bCs/>
        </w:rPr>
        <w:t xml:space="preserve"> </w:t>
      </w:r>
      <w:r w:rsidR="0014299A" w:rsidRPr="00BE2AB4">
        <w:rPr>
          <w:rFonts w:eastAsia="Times New Roman" w:cs="Arial"/>
          <w:bCs/>
        </w:rPr>
        <w:t xml:space="preserve">(1.1. do </w:t>
      </w:r>
      <w:r w:rsidR="00AB0A61" w:rsidRPr="00BE2AB4">
        <w:rPr>
          <w:rFonts w:eastAsia="Times New Roman" w:cs="Arial"/>
          <w:bCs/>
        </w:rPr>
        <w:t>3</w:t>
      </w:r>
      <w:r w:rsidR="00AB0A61">
        <w:rPr>
          <w:rFonts w:eastAsia="Times New Roman" w:cs="Arial"/>
          <w:bCs/>
        </w:rPr>
        <w:t>0</w:t>
      </w:r>
      <w:r w:rsidR="0014299A" w:rsidRPr="00BE2AB4">
        <w:rPr>
          <w:rFonts w:eastAsia="Times New Roman" w:cs="Arial"/>
          <w:bCs/>
        </w:rPr>
        <w:t>.</w:t>
      </w:r>
      <w:r w:rsidR="00AB0A61">
        <w:rPr>
          <w:rFonts w:eastAsia="Times New Roman" w:cs="Arial"/>
          <w:bCs/>
        </w:rPr>
        <w:t>6</w:t>
      </w:r>
      <w:r w:rsidR="0014299A" w:rsidRPr="00BE2AB4">
        <w:rPr>
          <w:rFonts w:eastAsia="Times New Roman" w:cs="Arial"/>
          <w:bCs/>
        </w:rPr>
        <w:t>.201</w:t>
      </w:r>
      <w:r w:rsidR="002A6FA6">
        <w:rPr>
          <w:rFonts w:eastAsia="Times New Roman" w:cs="Arial"/>
          <w:bCs/>
        </w:rPr>
        <w:t>6</w:t>
      </w:r>
      <w:r w:rsidR="0014299A" w:rsidRPr="00BE2AB4">
        <w:rPr>
          <w:rFonts w:eastAsia="Times New Roman" w:cs="Arial"/>
          <w:bCs/>
        </w:rPr>
        <w:t xml:space="preserve">. godine: </w:t>
      </w:r>
      <w:r w:rsidR="00AB0A61" w:rsidRPr="00AB0A61">
        <w:rPr>
          <w:rFonts w:eastAsia="Times New Roman" w:cs="Arial"/>
          <w:bCs/>
        </w:rPr>
        <w:t>165</w:t>
      </w:r>
      <w:r w:rsidR="0014299A" w:rsidRPr="00BE2AB4">
        <w:rPr>
          <w:rFonts w:eastAsia="Times New Roman" w:cs="Arial"/>
          <w:bCs/>
        </w:rPr>
        <w:t xml:space="preserve"> tisuća kuna), a </w:t>
      </w:r>
      <w:r w:rsidRPr="00BE2AB4">
        <w:rPr>
          <w:rFonts w:eastAsia="Times New Roman" w:cs="Arial"/>
          <w:bCs/>
        </w:rPr>
        <w:t>za Banku</w:t>
      </w:r>
      <w:r w:rsidR="0014299A" w:rsidRPr="00BE2AB4">
        <w:rPr>
          <w:rFonts w:eastAsia="Times New Roman" w:cs="Arial"/>
          <w:bCs/>
        </w:rPr>
        <w:t xml:space="preserve"> iznos</w:t>
      </w:r>
      <w:r w:rsidR="00D36D24" w:rsidRPr="00BE2AB4">
        <w:rPr>
          <w:rFonts w:eastAsia="Times New Roman" w:cs="Arial"/>
          <w:bCs/>
        </w:rPr>
        <w:t>e</w:t>
      </w:r>
      <w:r w:rsidRPr="00BE2AB4">
        <w:rPr>
          <w:rFonts w:eastAsia="Times New Roman" w:cs="Arial"/>
          <w:bCs/>
        </w:rPr>
        <w:t xml:space="preserve"> </w:t>
      </w:r>
      <w:r w:rsidR="00760BBB">
        <w:rPr>
          <w:rFonts w:eastAsia="Times New Roman" w:cs="Arial"/>
          <w:bCs/>
        </w:rPr>
        <w:t>80</w:t>
      </w:r>
      <w:r w:rsidR="00760BBB" w:rsidRPr="00BE2AB4">
        <w:rPr>
          <w:rFonts w:eastAsia="Times New Roman" w:cs="Arial"/>
          <w:bCs/>
        </w:rPr>
        <w:t xml:space="preserve"> </w:t>
      </w:r>
      <w:r w:rsidRPr="00BE2AB4">
        <w:rPr>
          <w:rFonts w:eastAsia="Times New Roman" w:cs="Arial"/>
          <w:bCs/>
        </w:rPr>
        <w:t xml:space="preserve">tisuća kuna </w:t>
      </w:r>
      <w:r w:rsidR="0014299A" w:rsidRPr="00BE2AB4">
        <w:rPr>
          <w:rFonts w:eastAsia="Times New Roman" w:cs="Arial"/>
          <w:bCs/>
        </w:rPr>
        <w:t xml:space="preserve">(1.1. do </w:t>
      </w:r>
      <w:r w:rsidR="00AB0A61" w:rsidRPr="00FD7170">
        <w:rPr>
          <w:rFonts w:eastAsia="Times New Roman" w:cs="Arial"/>
          <w:bCs/>
        </w:rPr>
        <w:t>3</w:t>
      </w:r>
      <w:r w:rsidR="00AB0A61">
        <w:rPr>
          <w:rFonts w:eastAsia="Times New Roman" w:cs="Arial"/>
          <w:bCs/>
        </w:rPr>
        <w:t>0</w:t>
      </w:r>
      <w:r w:rsidR="00FD7170" w:rsidRPr="00FD7170">
        <w:rPr>
          <w:rFonts w:eastAsia="Times New Roman" w:cs="Arial"/>
          <w:bCs/>
        </w:rPr>
        <w:t>.</w:t>
      </w:r>
      <w:r w:rsidR="00AB0A61">
        <w:rPr>
          <w:rFonts w:eastAsia="Times New Roman" w:cs="Arial"/>
          <w:bCs/>
        </w:rPr>
        <w:t>6</w:t>
      </w:r>
      <w:r w:rsidR="0014299A" w:rsidRPr="00BE2AB4">
        <w:rPr>
          <w:rFonts w:eastAsia="Times New Roman" w:cs="Arial"/>
          <w:bCs/>
        </w:rPr>
        <w:t>.201</w:t>
      </w:r>
      <w:r w:rsidR="00FD7170">
        <w:rPr>
          <w:rFonts w:eastAsia="Times New Roman" w:cs="Arial"/>
          <w:bCs/>
        </w:rPr>
        <w:t>6</w:t>
      </w:r>
      <w:r w:rsidR="0014299A" w:rsidRPr="0014299A">
        <w:rPr>
          <w:rFonts w:eastAsia="Times New Roman" w:cs="Arial"/>
          <w:bCs/>
        </w:rPr>
        <w:t xml:space="preserve">. godine: </w:t>
      </w:r>
      <w:r w:rsidR="00AB0A61">
        <w:rPr>
          <w:rFonts w:eastAsia="Times New Roman" w:cs="Arial"/>
          <w:bCs/>
        </w:rPr>
        <w:t xml:space="preserve">98 </w:t>
      </w:r>
      <w:r w:rsidR="0014299A" w:rsidRPr="0014299A">
        <w:rPr>
          <w:rFonts w:eastAsia="Times New Roman" w:cs="Arial"/>
          <w:bCs/>
        </w:rPr>
        <w:t xml:space="preserve">tisuća kuna) </w:t>
      </w:r>
      <w:r w:rsidRPr="00064A88">
        <w:rPr>
          <w:rFonts w:eastAsia="Times New Roman" w:cs="Arial"/>
          <w:bCs/>
        </w:rPr>
        <w:t>i odnos</w:t>
      </w:r>
      <w:r w:rsidR="00D36D24">
        <w:rPr>
          <w:rFonts w:eastAsia="Times New Roman" w:cs="Arial"/>
          <w:bCs/>
        </w:rPr>
        <w:t>e</w:t>
      </w:r>
      <w:r w:rsidRPr="00064A88">
        <w:rPr>
          <w:rFonts w:eastAsia="Times New Roman" w:cs="Arial"/>
          <w:bCs/>
        </w:rPr>
        <w:t xml:space="preserve"> se na članove nadzornih odbora u pridruženim društvima i ovisnom društvu koje imenuje HBOR.</w:t>
      </w:r>
      <w:r w:rsidR="0098410A">
        <w:rPr>
          <w:rFonts w:eastAsia="Times New Roman" w:cs="Arial"/>
          <w:bCs/>
        </w:rPr>
        <w:t xml:space="preserve"> </w:t>
      </w:r>
    </w:p>
    <w:p w14:paraId="0874620E" w14:textId="77777777" w:rsidR="00B47C66" w:rsidRDefault="00B47C66" w:rsidP="003A63DB">
      <w:pPr>
        <w:spacing w:after="0" w:line="240" w:lineRule="auto"/>
        <w:jc w:val="both"/>
        <w:rPr>
          <w:rFonts w:eastAsia="Times New Roman" w:cs="Arial"/>
          <w:bCs/>
        </w:rPr>
        <w:sectPr w:rsidR="00B47C66" w:rsidSect="00312975">
          <w:footerReference w:type="default" r:id="rId82"/>
          <w:footerReference w:type="first" r:id="rId83"/>
          <w:pgSz w:w="11906" w:h="16838" w:code="9"/>
          <w:pgMar w:top="595" w:right="1134" w:bottom="1418" w:left="1418" w:header="709" w:footer="709" w:gutter="0"/>
          <w:cols w:space="708"/>
          <w:titlePg/>
          <w:docGrid w:linePitch="360"/>
        </w:sectPr>
      </w:pPr>
    </w:p>
    <w:p w14:paraId="73E25A7F" w14:textId="77777777" w:rsidR="00017A2F" w:rsidRDefault="00017A2F" w:rsidP="007F2C8B">
      <w:pPr>
        <w:pStyle w:val="T1"/>
        <w:tabs>
          <w:tab w:val="left" w:pos="426"/>
        </w:tabs>
        <w:spacing w:before="0" w:after="0" w:line="240" w:lineRule="auto"/>
        <w:rPr>
          <w:rFonts w:asciiTheme="minorHAnsi" w:hAnsiTheme="minorHAnsi" w:cs="Calibri"/>
          <w:sz w:val="22"/>
          <w:szCs w:val="22"/>
          <w:lang w:val="hr-HR" w:eastAsia="hr-HR"/>
        </w:rPr>
      </w:pPr>
    </w:p>
    <w:p w14:paraId="4DB6A8CE" w14:textId="77777777" w:rsidR="002F4C78" w:rsidRPr="007F2C8B" w:rsidRDefault="009167D7" w:rsidP="007F2C8B">
      <w:pPr>
        <w:pStyle w:val="T1"/>
        <w:tabs>
          <w:tab w:val="left" w:pos="426"/>
        </w:tabs>
        <w:spacing w:before="0" w:after="0" w:line="240" w:lineRule="auto"/>
        <w:rPr>
          <w:rFonts w:asciiTheme="minorHAnsi" w:hAnsiTheme="minorHAnsi" w:cs="Arial"/>
          <w:sz w:val="22"/>
          <w:szCs w:val="22"/>
          <w:lang w:val="hr-HR"/>
        </w:rPr>
      </w:pPr>
      <w:r w:rsidRPr="007F2C8B">
        <w:rPr>
          <w:rFonts w:asciiTheme="minorHAnsi" w:hAnsiTheme="minorHAnsi" w:cs="Calibri"/>
          <w:sz w:val="22"/>
          <w:szCs w:val="22"/>
          <w:lang w:val="hr-HR" w:eastAsia="hr-HR"/>
        </w:rPr>
        <w:t>1</w:t>
      </w:r>
      <w:r w:rsidR="00803DA8">
        <w:rPr>
          <w:rFonts w:asciiTheme="minorHAnsi" w:hAnsiTheme="minorHAnsi" w:cs="Calibri"/>
          <w:sz w:val="22"/>
          <w:szCs w:val="22"/>
          <w:lang w:val="hr-HR" w:eastAsia="hr-HR"/>
        </w:rPr>
        <w:t>6</w:t>
      </w:r>
      <w:r w:rsidR="00615238" w:rsidRPr="007F2C8B">
        <w:rPr>
          <w:rFonts w:asciiTheme="minorHAnsi" w:hAnsiTheme="minorHAnsi" w:cs="Calibri"/>
          <w:sz w:val="22"/>
          <w:szCs w:val="22"/>
          <w:lang w:val="hr-HR" w:eastAsia="hr-HR"/>
        </w:rPr>
        <w:t>.</w:t>
      </w:r>
      <w:r w:rsidR="00615238" w:rsidRPr="007F2C8B">
        <w:rPr>
          <w:rFonts w:asciiTheme="minorHAnsi" w:hAnsiTheme="minorHAnsi" w:cs="Arial"/>
          <w:sz w:val="22"/>
          <w:szCs w:val="22"/>
          <w:lang w:val="hr-HR"/>
        </w:rPr>
        <w:tab/>
        <w:t xml:space="preserve">Upravljanje rizicima </w:t>
      </w:r>
    </w:p>
    <w:p w14:paraId="7376CB9D" w14:textId="77777777" w:rsidR="00117564" w:rsidRDefault="00117564" w:rsidP="007F2C8B">
      <w:pPr>
        <w:spacing w:after="0" w:line="240" w:lineRule="auto"/>
        <w:jc w:val="both"/>
        <w:rPr>
          <w:rFonts w:cstheme="minorHAnsi"/>
          <w:bCs/>
          <w:spacing w:val="-3"/>
        </w:rPr>
      </w:pPr>
    </w:p>
    <w:p w14:paraId="2F6E2BA4" w14:textId="77777777" w:rsidR="007F2C8B" w:rsidRDefault="007F2C8B" w:rsidP="007F2C8B">
      <w:pPr>
        <w:spacing w:after="0" w:line="240" w:lineRule="auto"/>
        <w:jc w:val="both"/>
        <w:rPr>
          <w:rFonts w:cstheme="minorHAnsi"/>
          <w:b/>
          <w:bCs/>
          <w:spacing w:val="-3"/>
        </w:rPr>
      </w:pPr>
      <w:r w:rsidRPr="007F2C8B">
        <w:rPr>
          <w:rFonts w:cstheme="minorHAnsi"/>
          <w:b/>
          <w:bCs/>
          <w:spacing w:val="-3"/>
        </w:rPr>
        <w:t>1</w:t>
      </w:r>
      <w:r w:rsidR="00803DA8">
        <w:rPr>
          <w:rFonts w:cstheme="minorHAnsi"/>
          <w:b/>
          <w:bCs/>
          <w:spacing w:val="-3"/>
        </w:rPr>
        <w:t>6</w:t>
      </w:r>
      <w:r w:rsidRPr="007F2C8B">
        <w:rPr>
          <w:rFonts w:cstheme="minorHAnsi"/>
          <w:b/>
          <w:bCs/>
          <w:spacing w:val="-3"/>
        </w:rPr>
        <w:t xml:space="preserve">.1. </w:t>
      </w:r>
      <w:r>
        <w:rPr>
          <w:rFonts w:cstheme="minorHAnsi"/>
          <w:b/>
          <w:bCs/>
          <w:spacing w:val="-3"/>
        </w:rPr>
        <w:tab/>
      </w:r>
      <w:r w:rsidRPr="007F2C8B">
        <w:rPr>
          <w:rFonts w:cstheme="minorHAnsi"/>
          <w:b/>
          <w:bCs/>
          <w:spacing w:val="-3"/>
        </w:rPr>
        <w:t>Uvod</w:t>
      </w:r>
    </w:p>
    <w:p w14:paraId="308CF1BE" w14:textId="77777777" w:rsidR="007F2C8B" w:rsidRPr="007F2C8B" w:rsidRDefault="007F2C8B" w:rsidP="007F2C8B">
      <w:pPr>
        <w:spacing w:after="0" w:line="240" w:lineRule="auto"/>
        <w:jc w:val="both"/>
        <w:rPr>
          <w:rFonts w:cstheme="minorHAnsi"/>
          <w:b/>
          <w:bCs/>
          <w:spacing w:val="-3"/>
        </w:rPr>
      </w:pPr>
    </w:p>
    <w:p w14:paraId="2A22E496" w14:textId="7EAD39A9" w:rsidR="007F2C8B" w:rsidRPr="007F2C8B" w:rsidRDefault="00117564" w:rsidP="00F1130C">
      <w:pPr>
        <w:spacing w:line="240" w:lineRule="auto"/>
        <w:jc w:val="both"/>
        <w:rPr>
          <w:rFonts w:cstheme="minorHAnsi"/>
          <w:bCs/>
          <w:spacing w:val="-3"/>
        </w:rPr>
      </w:pPr>
      <w:r w:rsidRPr="007F2C8B">
        <w:rPr>
          <w:rFonts w:cstheme="minorHAnsi"/>
          <w:bCs/>
          <w:spacing w:val="-3"/>
        </w:rPr>
        <w:t xml:space="preserve">Temeljem Zakona o HBOR-u, Banka je dužna rizike u poslovanju svoditi na najmanju mjeru rukovodeći se načelima bankarskog poslovanja. Banka u procesu upravljanja rizicima kontinuirano </w:t>
      </w:r>
      <w:r w:rsidR="00C616B4">
        <w:rPr>
          <w:rFonts w:cstheme="minorHAnsi"/>
          <w:bCs/>
          <w:spacing w:val="-3"/>
        </w:rPr>
        <w:t>utvrđuje, procjenjuje, odnosno mjeri, prati, ovladava i kontrolira rizike</w:t>
      </w:r>
      <w:r w:rsidRPr="007F2C8B">
        <w:rPr>
          <w:rFonts w:cstheme="minorHAnsi"/>
          <w:bCs/>
          <w:spacing w:val="-3"/>
        </w:rPr>
        <w:t xml:space="preserve"> kojima je u poslovanju izložena ili bi mogla biti izložena</w:t>
      </w:r>
      <w:r w:rsidR="0093087C">
        <w:rPr>
          <w:rFonts w:cstheme="minorHAnsi"/>
          <w:bCs/>
          <w:spacing w:val="-3"/>
        </w:rPr>
        <w:t xml:space="preserve"> te o njima izvještava nadležna tijela</w:t>
      </w:r>
      <w:r w:rsidRPr="007F2C8B">
        <w:rPr>
          <w:rFonts w:cstheme="minorHAnsi"/>
          <w:bCs/>
          <w:spacing w:val="-3"/>
        </w:rPr>
        <w:t>. Način, postupci i učestalost procjene, odnosno mjerenja rizika propisani su internim aktima Banke. U svakodnevnom poslovanju Banka upravlja kreditnim rizikom, rizikom likvidnosti, kamatnim rizikom u knjizi banke, valutnim rizikom, operativnim rizikom i rizikom eksternalizacije</w:t>
      </w:r>
      <w:r w:rsidR="0093087C">
        <w:rPr>
          <w:rFonts w:cstheme="minorHAnsi"/>
          <w:bCs/>
          <w:spacing w:val="-3"/>
        </w:rPr>
        <w:t>. Navedenim rizicima se upravlja temeljem</w:t>
      </w:r>
      <w:r w:rsidRPr="007F2C8B">
        <w:rPr>
          <w:rFonts w:cstheme="minorHAnsi"/>
          <w:bCs/>
          <w:spacing w:val="-3"/>
        </w:rPr>
        <w:t xml:space="preserve"> politika, procedura, metodologija, pravilnika</w:t>
      </w:r>
      <w:r w:rsidR="0093087C">
        <w:rPr>
          <w:rFonts w:cstheme="minorHAnsi"/>
          <w:bCs/>
          <w:spacing w:val="-3"/>
        </w:rPr>
        <w:t xml:space="preserve"> i sustava,</w:t>
      </w:r>
      <w:r w:rsidRPr="007F2C8B">
        <w:rPr>
          <w:rFonts w:cstheme="minorHAnsi"/>
          <w:bCs/>
          <w:spacing w:val="-3"/>
        </w:rPr>
        <w:t xml:space="preserve"> limita te </w:t>
      </w:r>
      <w:r w:rsidR="0093087C">
        <w:rPr>
          <w:rFonts w:cstheme="minorHAnsi"/>
          <w:bCs/>
          <w:spacing w:val="-3"/>
        </w:rPr>
        <w:t>odluka/zaključaka Nadzornog odbora, Uprave i Odbora za upravljanje rizicima</w:t>
      </w:r>
      <w:r w:rsidRPr="007F2C8B">
        <w:rPr>
          <w:rFonts w:cstheme="minorHAnsi"/>
          <w:bCs/>
          <w:spacing w:val="-3"/>
        </w:rPr>
        <w:t>.</w:t>
      </w:r>
    </w:p>
    <w:p w14:paraId="17A80AD0" w14:textId="1EF51AF1" w:rsidR="00117564" w:rsidRPr="007F2C8B" w:rsidRDefault="00117564" w:rsidP="00F1130C">
      <w:pPr>
        <w:spacing w:line="240" w:lineRule="auto"/>
        <w:jc w:val="both"/>
        <w:rPr>
          <w:rFonts w:cstheme="minorHAnsi"/>
          <w:bCs/>
          <w:spacing w:val="-3"/>
        </w:rPr>
      </w:pPr>
      <w:r w:rsidRPr="007F2C8B">
        <w:rPr>
          <w:rFonts w:cstheme="minorHAnsi"/>
          <w:bCs/>
          <w:spacing w:val="-3"/>
        </w:rPr>
        <w:t xml:space="preserve">Banka ima funkcionalno i organizacijski odvojenu i neovisnu organizacijsku jedinicu za kontrolu rizika u poslovanju koja je neposredno odgovorna Upravi. Ova organizacijska jedinica odgovorna je za utvrđivanje, procjenu, odnosno mjerenje i </w:t>
      </w:r>
      <w:proofErr w:type="spellStart"/>
      <w:r w:rsidR="0093087C">
        <w:rPr>
          <w:rFonts w:cstheme="minorHAnsi"/>
          <w:bCs/>
          <w:spacing w:val="-3"/>
        </w:rPr>
        <w:t>kontolu</w:t>
      </w:r>
      <w:proofErr w:type="spellEnd"/>
      <w:r w:rsidR="0093087C">
        <w:rPr>
          <w:rFonts w:cstheme="minorHAnsi"/>
          <w:bCs/>
          <w:spacing w:val="-3"/>
        </w:rPr>
        <w:t xml:space="preserve"> </w:t>
      </w:r>
      <w:r w:rsidRPr="007F2C8B">
        <w:rPr>
          <w:rFonts w:cstheme="minorHAnsi"/>
          <w:bCs/>
          <w:spacing w:val="-3"/>
        </w:rPr>
        <w:t>rizika kojima je Banka u svom poslovanju izložena ili bi mogla biti izložena. Svoju funkciju ostvaruje analizom,</w:t>
      </w:r>
      <w:r w:rsidR="0093087C">
        <w:rPr>
          <w:rFonts w:cstheme="minorHAnsi"/>
          <w:bCs/>
          <w:spacing w:val="-3"/>
        </w:rPr>
        <w:t xml:space="preserve"> procjenom i mjerenjem rizika,</w:t>
      </w:r>
      <w:r w:rsidRPr="007F2C8B">
        <w:rPr>
          <w:rFonts w:cstheme="minorHAnsi"/>
          <w:bCs/>
          <w:spacing w:val="-3"/>
        </w:rPr>
        <w:t xml:space="preserve"> razvojem politika, procedura</w:t>
      </w:r>
      <w:r w:rsidR="00322AAA">
        <w:rPr>
          <w:rFonts w:cstheme="minorHAnsi"/>
          <w:bCs/>
          <w:spacing w:val="-3"/>
        </w:rPr>
        <w:t>, pravilnika</w:t>
      </w:r>
      <w:r w:rsidRPr="007F2C8B">
        <w:rPr>
          <w:rFonts w:cstheme="minorHAnsi"/>
          <w:bCs/>
          <w:spacing w:val="-3"/>
        </w:rPr>
        <w:t xml:space="preserve"> i metodologija vezanih za rizike, </w:t>
      </w:r>
      <w:r w:rsidR="0093087C">
        <w:rPr>
          <w:rFonts w:cstheme="minorHAnsi"/>
          <w:bCs/>
          <w:spacing w:val="-3"/>
        </w:rPr>
        <w:t xml:space="preserve">nadzorom i praćenjem njihove primjene, </w:t>
      </w:r>
      <w:r w:rsidRPr="007F2C8B">
        <w:rPr>
          <w:rFonts w:cstheme="minorHAnsi"/>
          <w:bCs/>
          <w:spacing w:val="-3"/>
        </w:rPr>
        <w:t xml:space="preserve">predlaganjem i </w:t>
      </w:r>
      <w:r w:rsidR="0093087C">
        <w:rPr>
          <w:rFonts w:cstheme="minorHAnsi"/>
          <w:bCs/>
          <w:spacing w:val="-3"/>
        </w:rPr>
        <w:t xml:space="preserve">kontrolom </w:t>
      </w:r>
      <w:r w:rsidRPr="007F2C8B">
        <w:rPr>
          <w:rFonts w:cstheme="minorHAnsi"/>
          <w:bCs/>
          <w:spacing w:val="-3"/>
        </w:rPr>
        <w:t xml:space="preserve">poštivanja usvojenih limita izloženosti, </w:t>
      </w:r>
      <w:r w:rsidR="0093087C">
        <w:rPr>
          <w:rFonts w:cstheme="minorHAnsi"/>
          <w:bCs/>
          <w:spacing w:val="-3"/>
        </w:rPr>
        <w:t xml:space="preserve">davanjem prijedloga i preporuka za primjereno upravljanje izloženošću kreditnim i </w:t>
      </w:r>
      <w:proofErr w:type="spellStart"/>
      <w:r w:rsidR="0093087C">
        <w:rPr>
          <w:rFonts w:cstheme="minorHAnsi"/>
          <w:bCs/>
          <w:spacing w:val="-3"/>
        </w:rPr>
        <w:t>nekreditnim</w:t>
      </w:r>
      <w:proofErr w:type="spellEnd"/>
      <w:r w:rsidR="0093087C">
        <w:rPr>
          <w:rFonts w:cstheme="minorHAnsi"/>
          <w:bCs/>
          <w:spacing w:val="-3"/>
        </w:rPr>
        <w:t xml:space="preserve"> rizicima te </w:t>
      </w:r>
      <w:r w:rsidRPr="007F2C8B">
        <w:rPr>
          <w:rFonts w:cstheme="minorHAnsi"/>
          <w:bCs/>
          <w:spacing w:val="-3"/>
        </w:rPr>
        <w:t>izvješćivanjem Uprave i nadležnih odbora o rizicima i sl.</w:t>
      </w:r>
    </w:p>
    <w:p w14:paraId="24B38982" w14:textId="417CABE7" w:rsidR="00117564" w:rsidRDefault="00117564" w:rsidP="007F2C8B">
      <w:pPr>
        <w:pStyle w:val="accountingpolicytitle"/>
        <w:rPr>
          <w:rFonts w:asciiTheme="minorHAnsi" w:hAnsiTheme="minorHAnsi" w:cstheme="minorHAnsi"/>
          <w:b w:val="0"/>
          <w:bCs/>
          <w:spacing w:val="-3"/>
          <w:sz w:val="22"/>
          <w:szCs w:val="22"/>
          <w:lang w:val="hr-HR" w:eastAsia="hr-HR"/>
        </w:rPr>
      </w:pPr>
      <w:r w:rsidRPr="007F2C8B">
        <w:rPr>
          <w:rFonts w:asciiTheme="minorHAnsi" w:hAnsiTheme="minorHAnsi" w:cstheme="minorHAnsi"/>
          <w:b w:val="0"/>
          <w:bCs/>
          <w:spacing w:val="-3"/>
          <w:sz w:val="22"/>
          <w:szCs w:val="22"/>
          <w:lang w:val="hr-HR" w:eastAsia="hr-HR"/>
        </w:rPr>
        <w:t xml:space="preserve">Pri procjeni, odnosno mjerenju rizika Banka uvažava povijesne podatke, planove poslovanja, trenutne i očekivane tržišne uvjete te specifičnosti Banke kao posebne financijske institucije. </w:t>
      </w:r>
      <w:r w:rsidR="0093087C">
        <w:rPr>
          <w:rFonts w:asciiTheme="minorHAnsi" w:hAnsiTheme="minorHAnsi" w:cstheme="minorHAnsi"/>
          <w:b w:val="0"/>
          <w:bCs/>
          <w:spacing w:val="-3"/>
          <w:sz w:val="22"/>
          <w:szCs w:val="22"/>
          <w:lang w:val="hr-HR" w:eastAsia="hr-HR"/>
        </w:rPr>
        <w:t>R</w:t>
      </w:r>
      <w:r w:rsidRPr="007F2C8B">
        <w:rPr>
          <w:rFonts w:asciiTheme="minorHAnsi" w:hAnsiTheme="minorHAnsi" w:cstheme="minorHAnsi"/>
          <w:b w:val="0"/>
          <w:bCs/>
          <w:spacing w:val="-3"/>
          <w:sz w:val="22"/>
          <w:szCs w:val="22"/>
          <w:lang w:val="hr-HR" w:eastAsia="hr-HR"/>
        </w:rPr>
        <w:t>ezultat</w:t>
      </w:r>
      <w:r w:rsidR="0093087C">
        <w:rPr>
          <w:rFonts w:asciiTheme="minorHAnsi" w:hAnsiTheme="minorHAnsi" w:cstheme="minorHAnsi"/>
          <w:b w:val="0"/>
          <w:bCs/>
          <w:spacing w:val="-3"/>
          <w:sz w:val="22"/>
          <w:szCs w:val="22"/>
          <w:lang w:val="hr-HR" w:eastAsia="hr-HR"/>
        </w:rPr>
        <w:t xml:space="preserve">i procjene odnosno </w:t>
      </w:r>
      <w:r w:rsidRPr="007F2C8B">
        <w:rPr>
          <w:rFonts w:asciiTheme="minorHAnsi" w:hAnsiTheme="minorHAnsi" w:cstheme="minorHAnsi"/>
          <w:b w:val="0"/>
          <w:bCs/>
          <w:spacing w:val="-3"/>
          <w:sz w:val="22"/>
          <w:szCs w:val="22"/>
          <w:lang w:val="hr-HR" w:eastAsia="hr-HR"/>
        </w:rPr>
        <w:t xml:space="preserve"> mjerenja</w:t>
      </w:r>
      <w:r w:rsidR="0093087C">
        <w:rPr>
          <w:rFonts w:asciiTheme="minorHAnsi" w:hAnsiTheme="minorHAnsi" w:cstheme="minorHAnsi"/>
          <w:b w:val="0"/>
          <w:bCs/>
          <w:spacing w:val="-3"/>
          <w:sz w:val="22"/>
          <w:szCs w:val="22"/>
          <w:lang w:val="hr-HR" w:eastAsia="hr-HR"/>
        </w:rPr>
        <w:t xml:space="preserve">, provedenih analiza te testiranja otpornosti na stres izlažu se na sjednicama </w:t>
      </w:r>
      <w:r w:rsidR="00BB2F36">
        <w:rPr>
          <w:rFonts w:asciiTheme="minorHAnsi" w:hAnsiTheme="minorHAnsi" w:cstheme="minorHAnsi"/>
          <w:b w:val="0"/>
          <w:bCs/>
          <w:spacing w:val="-3"/>
          <w:sz w:val="22"/>
          <w:szCs w:val="22"/>
          <w:lang w:val="hr-HR" w:eastAsia="hr-HR"/>
        </w:rPr>
        <w:t>o</w:t>
      </w:r>
      <w:r w:rsidR="0093087C">
        <w:rPr>
          <w:rFonts w:asciiTheme="minorHAnsi" w:hAnsiTheme="minorHAnsi" w:cstheme="minorHAnsi"/>
          <w:b w:val="0"/>
          <w:bCs/>
          <w:spacing w:val="-3"/>
          <w:sz w:val="22"/>
          <w:szCs w:val="22"/>
          <w:lang w:val="hr-HR" w:eastAsia="hr-HR"/>
        </w:rPr>
        <w:t>dbora za upravljanje rizicima</w:t>
      </w:r>
      <w:r w:rsidR="00BB2F36">
        <w:rPr>
          <w:rFonts w:asciiTheme="minorHAnsi" w:hAnsiTheme="minorHAnsi" w:cstheme="minorHAnsi"/>
          <w:b w:val="0"/>
          <w:bCs/>
          <w:spacing w:val="-3"/>
          <w:sz w:val="22"/>
          <w:szCs w:val="22"/>
          <w:lang w:val="hr-HR" w:eastAsia="hr-HR"/>
        </w:rPr>
        <w:t>, Uprave i Nadzornog odbora.</w:t>
      </w:r>
      <w:r w:rsidRPr="007F2C8B">
        <w:rPr>
          <w:rFonts w:asciiTheme="minorHAnsi" w:hAnsiTheme="minorHAnsi" w:cstheme="minorHAnsi"/>
          <w:b w:val="0"/>
          <w:bCs/>
          <w:spacing w:val="-3"/>
          <w:sz w:val="22"/>
          <w:szCs w:val="22"/>
          <w:lang w:val="hr-HR" w:eastAsia="hr-HR"/>
        </w:rPr>
        <w:t xml:space="preserve"> </w:t>
      </w:r>
      <w:r w:rsidR="00BB2F36">
        <w:rPr>
          <w:rFonts w:asciiTheme="minorHAnsi" w:hAnsiTheme="minorHAnsi" w:cstheme="minorHAnsi"/>
          <w:b w:val="0"/>
          <w:bCs/>
          <w:spacing w:val="-3"/>
          <w:sz w:val="22"/>
          <w:szCs w:val="22"/>
          <w:lang w:val="hr-HR" w:eastAsia="hr-HR"/>
        </w:rPr>
        <w:t xml:space="preserve">U svrhu praćenja i kontrole rizika utvrđeni su </w:t>
      </w:r>
      <w:r w:rsidRPr="007F2C8B">
        <w:rPr>
          <w:rFonts w:asciiTheme="minorHAnsi" w:hAnsiTheme="minorHAnsi" w:cstheme="minorHAnsi"/>
          <w:b w:val="0"/>
          <w:bCs/>
          <w:spacing w:val="-3"/>
          <w:sz w:val="22"/>
          <w:szCs w:val="22"/>
          <w:lang w:val="hr-HR" w:eastAsia="hr-HR"/>
        </w:rPr>
        <w:t>sustav</w:t>
      </w:r>
      <w:r w:rsidR="00BB2F36">
        <w:rPr>
          <w:rFonts w:asciiTheme="minorHAnsi" w:hAnsiTheme="minorHAnsi" w:cstheme="minorHAnsi"/>
          <w:b w:val="0"/>
          <w:bCs/>
          <w:spacing w:val="-3"/>
          <w:sz w:val="22"/>
          <w:szCs w:val="22"/>
          <w:lang w:val="hr-HR" w:eastAsia="hr-HR"/>
        </w:rPr>
        <w:t>i</w:t>
      </w:r>
      <w:r w:rsidRPr="007F2C8B">
        <w:rPr>
          <w:rFonts w:asciiTheme="minorHAnsi" w:hAnsiTheme="minorHAnsi" w:cstheme="minorHAnsi"/>
          <w:b w:val="0"/>
          <w:bCs/>
          <w:spacing w:val="-3"/>
          <w:sz w:val="22"/>
          <w:szCs w:val="22"/>
          <w:lang w:val="hr-HR" w:eastAsia="hr-HR"/>
        </w:rPr>
        <w:t xml:space="preserve"> limita za upravljanje kreditn</w:t>
      </w:r>
      <w:r w:rsidR="00BB2F36">
        <w:rPr>
          <w:rFonts w:asciiTheme="minorHAnsi" w:hAnsiTheme="minorHAnsi" w:cstheme="minorHAnsi"/>
          <w:b w:val="0"/>
          <w:bCs/>
          <w:spacing w:val="-3"/>
          <w:sz w:val="22"/>
          <w:szCs w:val="22"/>
          <w:lang w:val="hr-HR" w:eastAsia="hr-HR"/>
        </w:rPr>
        <w:t>im</w:t>
      </w:r>
      <w:r w:rsidRPr="007F2C8B">
        <w:rPr>
          <w:rFonts w:asciiTheme="minorHAnsi" w:hAnsiTheme="minorHAnsi" w:cstheme="minorHAnsi"/>
          <w:b w:val="0"/>
          <w:bCs/>
          <w:spacing w:val="-3"/>
          <w:sz w:val="22"/>
          <w:szCs w:val="22"/>
          <w:lang w:val="hr-HR" w:eastAsia="hr-HR"/>
        </w:rPr>
        <w:t xml:space="preserve"> rizik</w:t>
      </w:r>
      <w:r w:rsidR="00BB2F36">
        <w:rPr>
          <w:rFonts w:asciiTheme="minorHAnsi" w:hAnsiTheme="minorHAnsi" w:cstheme="minorHAnsi"/>
          <w:b w:val="0"/>
          <w:bCs/>
          <w:spacing w:val="-3"/>
          <w:sz w:val="22"/>
          <w:szCs w:val="22"/>
          <w:lang w:val="hr-HR" w:eastAsia="hr-HR"/>
        </w:rPr>
        <w:t>om</w:t>
      </w:r>
      <w:r w:rsidRPr="007F2C8B">
        <w:rPr>
          <w:rFonts w:asciiTheme="minorHAnsi" w:hAnsiTheme="minorHAnsi" w:cstheme="minorHAnsi"/>
          <w:b w:val="0"/>
          <w:bCs/>
          <w:spacing w:val="-3"/>
          <w:sz w:val="22"/>
          <w:szCs w:val="22"/>
          <w:lang w:val="hr-HR" w:eastAsia="hr-HR"/>
        </w:rPr>
        <w:t>, rizik</w:t>
      </w:r>
      <w:r w:rsidR="00BB2F36">
        <w:rPr>
          <w:rFonts w:asciiTheme="minorHAnsi" w:hAnsiTheme="minorHAnsi" w:cstheme="minorHAnsi"/>
          <w:b w:val="0"/>
          <w:bCs/>
          <w:spacing w:val="-3"/>
          <w:sz w:val="22"/>
          <w:szCs w:val="22"/>
          <w:lang w:val="hr-HR" w:eastAsia="hr-HR"/>
        </w:rPr>
        <w:t>om</w:t>
      </w:r>
      <w:r w:rsidRPr="007F2C8B">
        <w:rPr>
          <w:rFonts w:asciiTheme="minorHAnsi" w:hAnsiTheme="minorHAnsi" w:cstheme="minorHAnsi"/>
          <w:b w:val="0"/>
          <w:bCs/>
          <w:spacing w:val="-3"/>
          <w:sz w:val="22"/>
          <w:szCs w:val="22"/>
          <w:lang w:val="hr-HR" w:eastAsia="hr-HR"/>
        </w:rPr>
        <w:t xml:space="preserve"> likvidnosti, </w:t>
      </w:r>
      <w:r w:rsidR="00BB2F36" w:rsidRPr="007F2C8B">
        <w:rPr>
          <w:rFonts w:asciiTheme="minorHAnsi" w:hAnsiTheme="minorHAnsi" w:cstheme="minorHAnsi"/>
          <w:b w:val="0"/>
          <w:bCs/>
          <w:spacing w:val="-3"/>
          <w:sz w:val="22"/>
          <w:szCs w:val="22"/>
          <w:lang w:val="hr-HR" w:eastAsia="hr-HR"/>
        </w:rPr>
        <w:t>kamatn</w:t>
      </w:r>
      <w:r w:rsidR="00BB2F36">
        <w:rPr>
          <w:rFonts w:asciiTheme="minorHAnsi" w:hAnsiTheme="minorHAnsi" w:cstheme="minorHAnsi"/>
          <w:b w:val="0"/>
          <w:bCs/>
          <w:spacing w:val="-3"/>
          <w:sz w:val="22"/>
          <w:szCs w:val="22"/>
          <w:lang w:val="hr-HR" w:eastAsia="hr-HR"/>
        </w:rPr>
        <w:t>im</w:t>
      </w:r>
      <w:r w:rsidR="00BB2F36" w:rsidRPr="007F2C8B">
        <w:rPr>
          <w:rFonts w:asciiTheme="minorHAnsi" w:hAnsiTheme="minorHAnsi" w:cstheme="minorHAnsi"/>
          <w:b w:val="0"/>
          <w:bCs/>
          <w:spacing w:val="-3"/>
          <w:sz w:val="22"/>
          <w:szCs w:val="22"/>
          <w:lang w:val="hr-HR" w:eastAsia="hr-HR"/>
        </w:rPr>
        <w:t xml:space="preserve"> </w:t>
      </w:r>
      <w:r w:rsidRPr="007F2C8B">
        <w:rPr>
          <w:rFonts w:asciiTheme="minorHAnsi" w:hAnsiTheme="minorHAnsi" w:cstheme="minorHAnsi"/>
          <w:b w:val="0"/>
          <w:bCs/>
          <w:spacing w:val="-3"/>
          <w:sz w:val="22"/>
          <w:szCs w:val="22"/>
          <w:lang w:val="hr-HR" w:eastAsia="hr-HR"/>
        </w:rPr>
        <w:t>rizik</w:t>
      </w:r>
      <w:r w:rsidR="00BB2F36">
        <w:rPr>
          <w:rFonts w:asciiTheme="minorHAnsi" w:hAnsiTheme="minorHAnsi" w:cstheme="minorHAnsi"/>
          <w:b w:val="0"/>
          <w:bCs/>
          <w:spacing w:val="-3"/>
          <w:sz w:val="22"/>
          <w:szCs w:val="22"/>
          <w:lang w:val="hr-HR" w:eastAsia="hr-HR"/>
        </w:rPr>
        <w:t>om</w:t>
      </w:r>
      <w:r w:rsidRPr="007F2C8B">
        <w:rPr>
          <w:rFonts w:asciiTheme="minorHAnsi" w:hAnsiTheme="minorHAnsi" w:cstheme="minorHAnsi"/>
          <w:b w:val="0"/>
          <w:bCs/>
          <w:spacing w:val="-3"/>
          <w:sz w:val="22"/>
          <w:szCs w:val="22"/>
          <w:lang w:val="hr-HR" w:eastAsia="hr-HR"/>
        </w:rPr>
        <w:t xml:space="preserve"> u knjizi banke i valutn</w:t>
      </w:r>
      <w:r w:rsidR="00BB2F36">
        <w:rPr>
          <w:rFonts w:asciiTheme="minorHAnsi" w:hAnsiTheme="minorHAnsi" w:cstheme="minorHAnsi"/>
          <w:b w:val="0"/>
          <w:bCs/>
          <w:spacing w:val="-3"/>
          <w:sz w:val="22"/>
          <w:szCs w:val="22"/>
          <w:lang w:val="hr-HR" w:eastAsia="hr-HR"/>
        </w:rPr>
        <w:t>im</w:t>
      </w:r>
      <w:r w:rsidRPr="007F2C8B">
        <w:rPr>
          <w:rFonts w:asciiTheme="minorHAnsi" w:hAnsiTheme="minorHAnsi" w:cstheme="minorHAnsi"/>
          <w:b w:val="0"/>
          <w:bCs/>
          <w:spacing w:val="-3"/>
          <w:sz w:val="22"/>
          <w:szCs w:val="22"/>
          <w:lang w:val="hr-HR" w:eastAsia="hr-HR"/>
        </w:rPr>
        <w:t xml:space="preserve"> rizik</w:t>
      </w:r>
      <w:r w:rsidR="00BB2F36">
        <w:rPr>
          <w:rFonts w:asciiTheme="minorHAnsi" w:hAnsiTheme="minorHAnsi" w:cstheme="minorHAnsi"/>
          <w:b w:val="0"/>
          <w:bCs/>
          <w:spacing w:val="-3"/>
          <w:sz w:val="22"/>
          <w:szCs w:val="22"/>
          <w:lang w:val="hr-HR" w:eastAsia="hr-HR"/>
        </w:rPr>
        <w:t>om</w:t>
      </w:r>
      <w:r w:rsidRPr="007F2C8B">
        <w:rPr>
          <w:rFonts w:asciiTheme="minorHAnsi" w:hAnsiTheme="minorHAnsi" w:cstheme="minorHAnsi"/>
          <w:b w:val="0"/>
          <w:bCs/>
          <w:spacing w:val="-3"/>
          <w:sz w:val="22"/>
          <w:szCs w:val="22"/>
          <w:lang w:val="hr-HR" w:eastAsia="hr-HR"/>
        </w:rPr>
        <w:t xml:space="preserve">. Banka provodi analize osjetljivosti i analize scenarija pod pretpostavkom promjene jednoga, odnosno više faktora rizika u redovnim i stresnim okolnostima te se o </w:t>
      </w:r>
      <w:r w:rsidR="00BB2F36">
        <w:rPr>
          <w:rFonts w:asciiTheme="minorHAnsi" w:hAnsiTheme="minorHAnsi" w:cstheme="minorHAnsi"/>
          <w:b w:val="0"/>
          <w:bCs/>
          <w:spacing w:val="-3"/>
          <w:sz w:val="22"/>
          <w:szCs w:val="22"/>
          <w:lang w:val="hr-HR" w:eastAsia="hr-HR"/>
        </w:rPr>
        <w:t xml:space="preserve">njihovim </w:t>
      </w:r>
      <w:r w:rsidRPr="007F2C8B">
        <w:rPr>
          <w:rFonts w:asciiTheme="minorHAnsi" w:hAnsiTheme="minorHAnsi" w:cstheme="minorHAnsi"/>
          <w:b w:val="0"/>
          <w:bCs/>
          <w:spacing w:val="-3"/>
          <w:sz w:val="22"/>
          <w:szCs w:val="22"/>
          <w:lang w:val="hr-HR" w:eastAsia="hr-HR"/>
        </w:rPr>
        <w:t>rezultatima izvještavaju nadležna tijela HBOR-a. Kontinuirano se razvijaju sustavi pro-aktivnog upravljanja rizicima radi smanjenja potencijalnih budućih rizika.</w:t>
      </w:r>
    </w:p>
    <w:p w14:paraId="16AEFFB2" w14:textId="77777777" w:rsidR="007F2C8B" w:rsidRPr="007F2C8B" w:rsidRDefault="007F2C8B" w:rsidP="007F2C8B">
      <w:pPr>
        <w:pStyle w:val="accountingpolicytitle"/>
        <w:rPr>
          <w:rFonts w:asciiTheme="minorHAnsi" w:hAnsiTheme="minorHAnsi" w:cstheme="minorHAnsi"/>
          <w:b w:val="0"/>
          <w:bCs/>
          <w:spacing w:val="-3"/>
          <w:sz w:val="22"/>
          <w:szCs w:val="22"/>
          <w:lang w:val="hr-HR" w:eastAsia="hr-HR"/>
        </w:rPr>
      </w:pPr>
    </w:p>
    <w:p w14:paraId="5293FD5F" w14:textId="77777777" w:rsidR="00117564" w:rsidRDefault="00117564" w:rsidP="007F2C8B">
      <w:pPr>
        <w:spacing w:after="0" w:line="240" w:lineRule="auto"/>
        <w:jc w:val="both"/>
        <w:rPr>
          <w:rFonts w:cstheme="minorHAnsi"/>
          <w:bCs/>
          <w:spacing w:val="-3"/>
        </w:rPr>
      </w:pPr>
      <w:r w:rsidRPr="007F2C8B">
        <w:rPr>
          <w:rFonts w:cstheme="minorHAnsi"/>
          <w:bCs/>
          <w:spacing w:val="-3"/>
        </w:rPr>
        <w:t xml:space="preserve">Uprava HBOR-a odgovorna je za provođenje strategije upravljanja rizicima te uspostavljanje i provođenje učinkovitog i pouzdanog sustava upravljanja svim rizicima. Za ostvarenje svoje funkcije Uprava je svoja ovlaštenja delegirala na </w:t>
      </w:r>
      <w:r w:rsidR="00C616B4">
        <w:rPr>
          <w:rFonts w:cstheme="minorHAnsi"/>
          <w:bCs/>
          <w:spacing w:val="-3"/>
        </w:rPr>
        <w:t>četiri</w:t>
      </w:r>
      <w:r w:rsidR="00C616B4" w:rsidRPr="007F2C8B">
        <w:rPr>
          <w:rFonts w:cstheme="minorHAnsi"/>
          <w:bCs/>
          <w:spacing w:val="-3"/>
        </w:rPr>
        <w:t xml:space="preserve"> </w:t>
      </w:r>
      <w:r w:rsidRPr="007F2C8B">
        <w:rPr>
          <w:rFonts w:cstheme="minorHAnsi"/>
          <w:bCs/>
          <w:spacing w:val="-3"/>
        </w:rPr>
        <w:t>odbora za upravljanje rizicima:</w:t>
      </w:r>
    </w:p>
    <w:p w14:paraId="126BF7B6" w14:textId="77777777" w:rsidR="007F2C8B" w:rsidRPr="007F2C8B" w:rsidRDefault="007F2C8B" w:rsidP="007F2C8B">
      <w:pPr>
        <w:spacing w:after="0" w:line="240" w:lineRule="auto"/>
        <w:jc w:val="both"/>
        <w:rPr>
          <w:rFonts w:cstheme="minorHAnsi"/>
          <w:bCs/>
          <w:spacing w:val="-3"/>
        </w:rPr>
      </w:pPr>
    </w:p>
    <w:p w14:paraId="530ABE8F" w14:textId="54876919" w:rsidR="00117564" w:rsidRPr="007F2C8B" w:rsidRDefault="00117564" w:rsidP="00961B31">
      <w:pPr>
        <w:pStyle w:val="ListParagraph"/>
        <w:numPr>
          <w:ilvl w:val="0"/>
          <w:numId w:val="6"/>
        </w:numPr>
        <w:tabs>
          <w:tab w:val="num" w:pos="1701"/>
        </w:tabs>
        <w:spacing w:after="0" w:line="240" w:lineRule="auto"/>
        <w:ind w:left="1134" w:hanging="425"/>
        <w:contextualSpacing w:val="0"/>
        <w:jc w:val="both"/>
        <w:rPr>
          <w:rFonts w:cstheme="minorHAnsi"/>
          <w:bCs/>
          <w:spacing w:val="-3"/>
        </w:rPr>
      </w:pPr>
      <w:r w:rsidRPr="007F2C8B">
        <w:rPr>
          <w:rFonts w:cstheme="minorHAnsi"/>
          <w:bCs/>
          <w:spacing w:val="-3"/>
        </w:rPr>
        <w:t>Odbor za upravljanje aktivom i pasivom - upravlja rizikom likvidnosti, kamatnim rizikom u knjizi banke i valutnim rizikom u okviru propisanih politika</w:t>
      </w:r>
      <w:r w:rsidR="00BB2F36">
        <w:rPr>
          <w:rFonts w:cstheme="minorHAnsi"/>
          <w:bCs/>
          <w:spacing w:val="-3"/>
        </w:rPr>
        <w:t>, pravilnika</w:t>
      </w:r>
      <w:r w:rsidRPr="007F2C8B">
        <w:rPr>
          <w:rFonts w:cstheme="minorHAnsi"/>
          <w:bCs/>
          <w:spacing w:val="-3"/>
        </w:rPr>
        <w:t xml:space="preserve"> i procedura kojima je regulirano ovo područje</w:t>
      </w:r>
      <w:r w:rsidR="00A11340">
        <w:rPr>
          <w:rFonts w:cstheme="minorHAnsi"/>
          <w:bCs/>
          <w:spacing w:val="-3"/>
        </w:rPr>
        <w:t>,</w:t>
      </w:r>
      <w:r w:rsidRPr="007F2C8B">
        <w:rPr>
          <w:rFonts w:cstheme="minorHAnsi"/>
          <w:bCs/>
          <w:spacing w:val="-3"/>
        </w:rPr>
        <w:t xml:space="preserve"> </w:t>
      </w:r>
    </w:p>
    <w:p w14:paraId="5E3D4BB0" w14:textId="69D7D2E6" w:rsidR="00117564" w:rsidRPr="007F2C8B" w:rsidRDefault="00117564" w:rsidP="00961B31">
      <w:pPr>
        <w:pStyle w:val="ListParagraph"/>
        <w:numPr>
          <w:ilvl w:val="0"/>
          <w:numId w:val="6"/>
        </w:numPr>
        <w:tabs>
          <w:tab w:val="num" w:pos="2127"/>
        </w:tabs>
        <w:spacing w:after="0" w:line="240" w:lineRule="auto"/>
        <w:ind w:left="1134" w:hanging="425"/>
        <w:contextualSpacing w:val="0"/>
        <w:jc w:val="both"/>
        <w:rPr>
          <w:rFonts w:cstheme="minorHAnsi"/>
          <w:bCs/>
          <w:spacing w:val="-3"/>
        </w:rPr>
      </w:pPr>
      <w:r w:rsidRPr="007F2C8B">
        <w:rPr>
          <w:rFonts w:cstheme="minorHAnsi"/>
          <w:bCs/>
          <w:spacing w:val="-3"/>
        </w:rPr>
        <w:t xml:space="preserve">Odbor za procjenu i mjerenje kreditnog rizika - upravlja kreditnim rizikom u okviru propisanih politika, </w:t>
      </w:r>
      <w:r w:rsidR="00BB2F36">
        <w:rPr>
          <w:rFonts w:cstheme="minorHAnsi"/>
          <w:bCs/>
          <w:spacing w:val="-3"/>
        </w:rPr>
        <w:t xml:space="preserve">pravilnika, </w:t>
      </w:r>
      <w:r w:rsidRPr="007F2C8B">
        <w:rPr>
          <w:rFonts w:cstheme="minorHAnsi"/>
          <w:bCs/>
          <w:spacing w:val="-3"/>
        </w:rPr>
        <w:t>procedura i ostalih internih akata vezanih uz kreditni rizik</w:t>
      </w:r>
      <w:r w:rsidR="00A11340">
        <w:rPr>
          <w:rFonts w:cstheme="minorHAnsi"/>
          <w:bCs/>
          <w:spacing w:val="-3"/>
        </w:rPr>
        <w:t>,</w:t>
      </w:r>
    </w:p>
    <w:p w14:paraId="708D93AC" w14:textId="77777777" w:rsidR="00C616B4" w:rsidRDefault="00117564" w:rsidP="00961B31">
      <w:pPr>
        <w:pStyle w:val="ListParagraph"/>
        <w:numPr>
          <w:ilvl w:val="0"/>
          <w:numId w:val="6"/>
        </w:numPr>
        <w:tabs>
          <w:tab w:val="num" w:pos="1560"/>
        </w:tabs>
        <w:spacing w:after="0" w:line="240" w:lineRule="auto"/>
        <w:ind w:left="1134" w:hanging="425"/>
        <w:contextualSpacing w:val="0"/>
        <w:jc w:val="both"/>
        <w:rPr>
          <w:rFonts w:cstheme="minorHAnsi"/>
          <w:bCs/>
          <w:spacing w:val="-3"/>
        </w:rPr>
      </w:pPr>
      <w:r w:rsidRPr="007F2C8B">
        <w:rPr>
          <w:rFonts w:cstheme="minorHAnsi"/>
          <w:bCs/>
          <w:spacing w:val="-3"/>
        </w:rPr>
        <w:t>Odbor za upravljanje informacijskim sustavom HBOR-a - upravlja resursima informacijskog sustava uz primjereno upravljanje rizicima koji proizlaze iz korištenja informacijske tehnologije</w:t>
      </w:r>
      <w:r w:rsidR="00A11340">
        <w:rPr>
          <w:rFonts w:cstheme="minorHAnsi"/>
          <w:bCs/>
          <w:spacing w:val="-3"/>
        </w:rPr>
        <w:t>,</w:t>
      </w:r>
    </w:p>
    <w:p w14:paraId="02672D8A" w14:textId="66DB945B" w:rsidR="00117564" w:rsidRPr="00F1130C" w:rsidRDefault="00C616B4" w:rsidP="00961B31">
      <w:pPr>
        <w:pStyle w:val="ListParagraph"/>
        <w:numPr>
          <w:ilvl w:val="0"/>
          <w:numId w:val="6"/>
        </w:numPr>
        <w:tabs>
          <w:tab w:val="left" w:pos="1276"/>
        </w:tabs>
        <w:spacing w:after="0" w:line="240" w:lineRule="auto"/>
        <w:ind w:left="1134" w:hanging="425"/>
        <w:contextualSpacing w:val="0"/>
        <w:jc w:val="both"/>
        <w:rPr>
          <w:rFonts w:cstheme="minorHAnsi"/>
          <w:bCs/>
          <w:spacing w:val="-3"/>
        </w:rPr>
      </w:pPr>
      <w:r>
        <w:rPr>
          <w:rFonts w:cstheme="minorHAnsi"/>
          <w:bCs/>
          <w:spacing w:val="-3"/>
        </w:rPr>
        <w:t xml:space="preserve">Odbor za </w:t>
      </w:r>
      <w:r w:rsidR="00011922">
        <w:rPr>
          <w:rFonts w:cstheme="minorHAnsi"/>
          <w:bCs/>
          <w:spacing w:val="-3"/>
        </w:rPr>
        <w:t xml:space="preserve">upravljanje poslovnim promjenama </w:t>
      </w:r>
      <w:r>
        <w:rPr>
          <w:rFonts w:cstheme="minorHAnsi"/>
          <w:bCs/>
          <w:spacing w:val="-3"/>
        </w:rPr>
        <w:t>– upravlja poslovnim promjenama (koordinacija postupka predlaganja, odobravanja, praćenja i uvođenja poslovnih promjena) s ciljem smanjenja rizika pri uvođenju poslovnih promjen</w:t>
      </w:r>
      <w:r w:rsidR="00A11340">
        <w:rPr>
          <w:rFonts w:cstheme="minorHAnsi"/>
          <w:bCs/>
          <w:spacing w:val="-3"/>
        </w:rPr>
        <w:t>a.</w:t>
      </w:r>
    </w:p>
    <w:p w14:paraId="4B4ACAF1" w14:textId="77777777" w:rsidR="007F2C8B" w:rsidRPr="007F2C8B" w:rsidRDefault="007F2C8B" w:rsidP="007F2C8B">
      <w:pPr>
        <w:pStyle w:val="ListParagraph"/>
        <w:spacing w:after="0" w:line="240" w:lineRule="auto"/>
        <w:ind w:left="1800"/>
        <w:contextualSpacing w:val="0"/>
        <w:jc w:val="both"/>
        <w:rPr>
          <w:rFonts w:cstheme="minorHAnsi"/>
          <w:bCs/>
          <w:spacing w:val="-3"/>
        </w:rPr>
      </w:pPr>
    </w:p>
    <w:p w14:paraId="0F586828" w14:textId="77777777" w:rsidR="00117564" w:rsidRDefault="00117564" w:rsidP="007F2C8B">
      <w:pPr>
        <w:spacing w:after="0" w:line="240" w:lineRule="auto"/>
        <w:jc w:val="both"/>
        <w:rPr>
          <w:rFonts w:cstheme="minorHAnsi"/>
          <w:bCs/>
          <w:spacing w:val="-3"/>
        </w:rPr>
      </w:pPr>
      <w:r w:rsidRPr="007F2C8B">
        <w:rPr>
          <w:rFonts w:cstheme="minorHAnsi"/>
          <w:bCs/>
          <w:spacing w:val="-3"/>
        </w:rPr>
        <w:t>Strategija upravljanja rizicima usmjerena je prema postizanju i održavanju kvalitetnog i efikasnog sustava upravljanja rizicima usklađenog s domaćim i stranim bankarskim praksama te preporukama Hrvatske</w:t>
      </w:r>
      <w:r w:rsidRPr="003851E1">
        <w:rPr>
          <w:rFonts w:cstheme="minorHAnsi"/>
          <w:bCs/>
          <w:spacing w:val="-3"/>
        </w:rPr>
        <w:t xml:space="preserve"> </w:t>
      </w:r>
      <w:r w:rsidRPr="007F2C8B">
        <w:rPr>
          <w:rFonts w:cstheme="minorHAnsi"/>
          <w:bCs/>
          <w:spacing w:val="-3"/>
        </w:rPr>
        <w:t xml:space="preserve">narodne banke, europske regulative i </w:t>
      </w:r>
      <w:proofErr w:type="spellStart"/>
      <w:r w:rsidRPr="007F2C8B">
        <w:rPr>
          <w:rFonts w:cstheme="minorHAnsi"/>
          <w:bCs/>
          <w:spacing w:val="-3"/>
        </w:rPr>
        <w:t>Baselskog</w:t>
      </w:r>
      <w:proofErr w:type="spellEnd"/>
      <w:r w:rsidRPr="007F2C8B">
        <w:rPr>
          <w:rFonts w:cstheme="minorHAnsi"/>
          <w:bCs/>
          <w:spacing w:val="-3"/>
        </w:rPr>
        <w:t xml:space="preserve"> odbora primjenjivim na HBOR kao posebnu financijsku instituciju.</w:t>
      </w:r>
    </w:p>
    <w:p w14:paraId="4DA08086" w14:textId="77777777" w:rsidR="007F2C8B" w:rsidRDefault="007F2C8B" w:rsidP="007F2C8B">
      <w:pPr>
        <w:spacing w:after="0" w:line="240" w:lineRule="auto"/>
        <w:jc w:val="both"/>
        <w:rPr>
          <w:rFonts w:cstheme="minorHAnsi"/>
          <w:bCs/>
          <w:spacing w:val="-3"/>
        </w:rPr>
        <w:sectPr w:rsidR="007F2C8B" w:rsidSect="00FE4B91">
          <w:footerReference w:type="first" r:id="rId84"/>
          <w:pgSz w:w="11906" w:h="16838" w:code="9"/>
          <w:pgMar w:top="1418" w:right="1418" w:bottom="595" w:left="1134" w:header="709" w:footer="709" w:gutter="0"/>
          <w:cols w:space="708"/>
          <w:titlePg/>
          <w:docGrid w:linePitch="360"/>
        </w:sectPr>
      </w:pPr>
    </w:p>
    <w:p w14:paraId="216F8526" w14:textId="77777777" w:rsidR="007F2C8B" w:rsidRPr="007F2C8B" w:rsidRDefault="007F2C8B" w:rsidP="007F2C8B">
      <w:pPr>
        <w:spacing w:after="0" w:line="240" w:lineRule="auto"/>
        <w:jc w:val="both"/>
        <w:rPr>
          <w:rFonts w:cstheme="minorHAnsi"/>
          <w:bCs/>
          <w:spacing w:val="-3"/>
        </w:rPr>
      </w:pPr>
    </w:p>
    <w:p w14:paraId="4E53CEEE" w14:textId="77777777" w:rsidR="007F2C8B" w:rsidRPr="007F2C8B" w:rsidRDefault="007F2C8B" w:rsidP="007F2C8B">
      <w:pPr>
        <w:pStyle w:val="T1"/>
        <w:tabs>
          <w:tab w:val="left" w:pos="426"/>
        </w:tabs>
        <w:spacing w:before="0" w:after="0" w:line="240" w:lineRule="auto"/>
        <w:rPr>
          <w:rFonts w:asciiTheme="minorHAnsi" w:hAnsiTheme="minorHAnsi" w:cs="Arial"/>
          <w:sz w:val="22"/>
          <w:szCs w:val="22"/>
          <w:lang w:val="hr-HR"/>
        </w:rPr>
      </w:pPr>
      <w:r w:rsidRPr="007F2C8B">
        <w:rPr>
          <w:rFonts w:asciiTheme="minorHAnsi" w:hAnsiTheme="minorHAnsi" w:cs="Calibri"/>
          <w:sz w:val="22"/>
          <w:szCs w:val="22"/>
          <w:lang w:val="hr-HR" w:eastAsia="hr-HR"/>
        </w:rPr>
        <w:t>1</w:t>
      </w:r>
      <w:r w:rsidR="00803DA8">
        <w:rPr>
          <w:rFonts w:asciiTheme="minorHAnsi" w:hAnsiTheme="minorHAnsi" w:cs="Calibri"/>
          <w:sz w:val="22"/>
          <w:szCs w:val="22"/>
          <w:lang w:val="hr-HR" w:eastAsia="hr-HR"/>
        </w:rPr>
        <w:t>6</w:t>
      </w:r>
      <w:r w:rsidRPr="007F2C8B">
        <w:rPr>
          <w:rFonts w:asciiTheme="minorHAnsi" w:hAnsiTheme="minorHAnsi" w:cs="Calibri"/>
          <w:sz w:val="22"/>
          <w:szCs w:val="22"/>
          <w:lang w:val="hr-HR" w:eastAsia="hr-HR"/>
        </w:rPr>
        <w:t>.</w:t>
      </w:r>
      <w:r w:rsidRPr="007F2C8B">
        <w:rPr>
          <w:rFonts w:asciiTheme="minorHAnsi" w:hAnsiTheme="minorHAnsi" w:cs="Arial"/>
          <w:sz w:val="22"/>
          <w:szCs w:val="22"/>
          <w:lang w:val="hr-HR"/>
        </w:rPr>
        <w:tab/>
        <w:t xml:space="preserve">Upravljanje rizicima </w:t>
      </w:r>
      <w:r>
        <w:rPr>
          <w:rFonts w:asciiTheme="minorHAnsi" w:hAnsiTheme="minorHAnsi" w:cs="Arial"/>
          <w:sz w:val="22"/>
          <w:szCs w:val="22"/>
          <w:lang w:val="hr-HR"/>
        </w:rPr>
        <w:t>(nastavak)</w:t>
      </w:r>
    </w:p>
    <w:p w14:paraId="00366F49" w14:textId="77777777" w:rsidR="007F2C8B" w:rsidRDefault="007F2C8B" w:rsidP="007F2C8B">
      <w:pPr>
        <w:pStyle w:val="accountingpolicytitle"/>
        <w:rPr>
          <w:rFonts w:asciiTheme="minorHAnsi" w:hAnsiTheme="minorHAnsi" w:cstheme="minorHAnsi"/>
          <w:sz w:val="22"/>
          <w:szCs w:val="22"/>
          <w:lang w:val="hr-HR"/>
        </w:rPr>
      </w:pPr>
    </w:p>
    <w:p w14:paraId="4357E96F" w14:textId="77777777" w:rsidR="00117564" w:rsidRDefault="007F2C8B" w:rsidP="007F2C8B">
      <w:pPr>
        <w:pStyle w:val="accountingpolicytitle"/>
        <w:rPr>
          <w:rFonts w:asciiTheme="minorHAnsi" w:hAnsiTheme="minorHAnsi" w:cstheme="minorHAnsi"/>
          <w:sz w:val="22"/>
          <w:szCs w:val="22"/>
          <w:lang w:val="hr-HR"/>
        </w:rPr>
      </w:pPr>
      <w:r>
        <w:rPr>
          <w:rFonts w:asciiTheme="minorHAnsi" w:hAnsiTheme="minorHAnsi" w:cstheme="minorHAnsi"/>
          <w:sz w:val="22"/>
          <w:szCs w:val="22"/>
          <w:lang w:val="hr-HR"/>
        </w:rPr>
        <w:t>1</w:t>
      </w:r>
      <w:r w:rsidR="00803DA8">
        <w:rPr>
          <w:rFonts w:asciiTheme="minorHAnsi" w:hAnsiTheme="minorHAnsi" w:cstheme="minorHAnsi"/>
          <w:sz w:val="22"/>
          <w:szCs w:val="22"/>
          <w:lang w:val="hr-HR"/>
        </w:rPr>
        <w:t>6</w:t>
      </w:r>
      <w:r>
        <w:rPr>
          <w:rFonts w:asciiTheme="minorHAnsi" w:hAnsiTheme="minorHAnsi" w:cstheme="minorHAnsi"/>
          <w:sz w:val="22"/>
          <w:szCs w:val="22"/>
          <w:lang w:val="hr-HR"/>
        </w:rPr>
        <w:t xml:space="preserve">.2. </w:t>
      </w:r>
      <w:r>
        <w:rPr>
          <w:rFonts w:asciiTheme="minorHAnsi" w:hAnsiTheme="minorHAnsi" w:cstheme="minorHAnsi"/>
          <w:sz w:val="22"/>
          <w:szCs w:val="22"/>
          <w:lang w:val="hr-HR"/>
        </w:rPr>
        <w:tab/>
      </w:r>
      <w:r w:rsidR="00117564" w:rsidRPr="007F2C8B">
        <w:rPr>
          <w:rFonts w:asciiTheme="minorHAnsi" w:hAnsiTheme="minorHAnsi" w:cstheme="minorHAnsi"/>
          <w:sz w:val="22"/>
          <w:szCs w:val="22"/>
          <w:lang w:val="hr-HR"/>
        </w:rPr>
        <w:t xml:space="preserve">Kreditni rizik </w:t>
      </w:r>
    </w:p>
    <w:p w14:paraId="1EA31DB8" w14:textId="77777777" w:rsidR="007F2C8B" w:rsidRPr="007F2C8B" w:rsidRDefault="007F2C8B" w:rsidP="007F2C8B">
      <w:pPr>
        <w:pStyle w:val="accountingpolicytitle"/>
        <w:rPr>
          <w:rFonts w:asciiTheme="minorHAnsi" w:hAnsiTheme="minorHAnsi" w:cstheme="minorHAnsi"/>
          <w:sz w:val="22"/>
          <w:szCs w:val="22"/>
          <w:lang w:val="hr-HR"/>
        </w:rPr>
      </w:pPr>
    </w:p>
    <w:p w14:paraId="72B7EE43" w14:textId="10D7664A" w:rsidR="00117564" w:rsidRDefault="00117564" w:rsidP="007F2C8B">
      <w:pPr>
        <w:spacing w:after="0" w:line="240" w:lineRule="auto"/>
        <w:jc w:val="both"/>
        <w:rPr>
          <w:rFonts w:cstheme="minorHAnsi"/>
          <w:bCs/>
          <w:spacing w:val="-3"/>
        </w:rPr>
      </w:pPr>
      <w:r w:rsidRPr="003851E1">
        <w:rPr>
          <w:rFonts w:cstheme="minorHAnsi"/>
          <w:bCs/>
          <w:spacing w:val="-3"/>
        </w:rPr>
        <w:t xml:space="preserve">Banka kontrolira kreditni rizik putem kreditnih politika, pravilnika i propisanih procedura </w:t>
      </w:r>
      <w:r w:rsidR="00BB2F36">
        <w:rPr>
          <w:rFonts w:cstheme="minorHAnsi"/>
          <w:bCs/>
          <w:spacing w:val="-3"/>
        </w:rPr>
        <w:t xml:space="preserve">za upravljanje ovim rizikom </w:t>
      </w:r>
      <w:r w:rsidRPr="003851E1">
        <w:rPr>
          <w:rFonts w:cstheme="minorHAnsi"/>
          <w:bCs/>
          <w:spacing w:val="-3"/>
        </w:rPr>
        <w:t>u kojima su utvrđeni sustavi unutarnjih kontrola s ciljem preventivnog djelovanja na rizik.</w:t>
      </w:r>
    </w:p>
    <w:p w14:paraId="153C790D" w14:textId="77777777" w:rsidR="007F2C8B" w:rsidRPr="003851E1" w:rsidRDefault="007F2C8B" w:rsidP="007F2C8B">
      <w:pPr>
        <w:spacing w:after="0" w:line="240" w:lineRule="auto"/>
        <w:jc w:val="both"/>
        <w:rPr>
          <w:rFonts w:cstheme="minorHAnsi"/>
          <w:bCs/>
          <w:spacing w:val="-3"/>
        </w:rPr>
      </w:pPr>
    </w:p>
    <w:p w14:paraId="4BFCB32D" w14:textId="327BE8B2" w:rsidR="00117564" w:rsidRPr="003851E1" w:rsidRDefault="00117564" w:rsidP="007F2C8B">
      <w:pPr>
        <w:spacing w:after="0" w:line="240" w:lineRule="auto"/>
        <w:jc w:val="both"/>
        <w:rPr>
          <w:rFonts w:cstheme="minorHAnsi"/>
          <w:bCs/>
          <w:spacing w:val="-3"/>
        </w:rPr>
      </w:pPr>
      <w:r w:rsidRPr="003851E1">
        <w:rPr>
          <w:rFonts w:cstheme="minorHAnsi"/>
          <w:bCs/>
          <w:spacing w:val="-3"/>
        </w:rPr>
        <w:t xml:space="preserve">Sustav upravljanja kreditnim rizikom čini najvažniji dio poslovne politike HBOR-a i bitan je činitelj njezine strategije poslovanja zbog čega je ovo područje regulirano posebnim aktom - Procedurama upravljanja kreditnim rizikom, koji se primjenjuje na sve faze kreditnog procesa (od razvoja novih bankarskih proizvoda, zahtjeva za kredit, praćenja poslovanja klijenta do konačne otplate kredita). Procedure upravljanja kreditnim rizikom su sveobuhvatan dokument koji obuhvaća </w:t>
      </w:r>
      <w:r w:rsidR="00BB2F36">
        <w:rPr>
          <w:rFonts w:cstheme="minorHAnsi"/>
          <w:bCs/>
          <w:spacing w:val="-3"/>
        </w:rPr>
        <w:t>i</w:t>
      </w:r>
      <w:r w:rsidR="00BB2F36" w:rsidRPr="003851E1">
        <w:rPr>
          <w:rFonts w:cstheme="minorHAnsi"/>
          <w:bCs/>
          <w:spacing w:val="-3"/>
        </w:rPr>
        <w:t xml:space="preserve"> </w:t>
      </w:r>
      <w:r w:rsidRPr="003851E1">
        <w:rPr>
          <w:rFonts w:cstheme="minorHAnsi"/>
          <w:bCs/>
          <w:spacing w:val="-3"/>
        </w:rPr>
        <w:t>metodologije namijenjene ocjeni različitih ciljnih skupina klijenata.</w:t>
      </w:r>
    </w:p>
    <w:p w14:paraId="38729BD1" w14:textId="77777777" w:rsidR="00117564" w:rsidRPr="003851E1" w:rsidRDefault="00117564" w:rsidP="007F2C8B">
      <w:pPr>
        <w:spacing w:after="0" w:line="240" w:lineRule="auto"/>
        <w:jc w:val="both"/>
        <w:rPr>
          <w:rFonts w:cstheme="minorHAnsi"/>
          <w:bCs/>
          <w:spacing w:val="-3"/>
        </w:rPr>
      </w:pPr>
    </w:p>
    <w:p w14:paraId="1FD06BEE" w14:textId="638CC809" w:rsidR="00117564" w:rsidRDefault="00117564" w:rsidP="007F2C8B">
      <w:pPr>
        <w:spacing w:after="0" w:line="240" w:lineRule="auto"/>
        <w:jc w:val="both"/>
        <w:rPr>
          <w:rFonts w:cstheme="minorHAnsi"/>
          <w:bCs/>
          <w:spacing w:val="-3"/>
        </w:rPr>
      </w:pPr>
      <w:r w:rsidRPr="003851E1">
        <w:rPr>
          <w:rFonts w:cstheme="minorHAnsi"/>
          <w:bCs/>
          <w:spacing w:val="-3"/>
        </w:rPr>
        <w:t xml:space="preserve">U svrhu ublažavanja kreditnog rizika i smanjenja troškova poslovanja, a sukladno Zakonu o HBOR-u, dio svojih plasmana Banka odobrava putem poslovnih banaka koje snose rizik povrata plasmana krajnjeg korisnika. Svi izravni plasmani uglavnom su osigurani hipotekom na nekretninama te, ako je to moguće, kao osiguranje od kreditnog rizika Banka pribavlja jamstvo </w:t>
      </w:r>
      <w:r w:rsidR="004505E8">
        <w:rPr>
          <w:rFonts w:cstheme="minorHAnsi"/>
          <w:bCs/>
          <w:spacing w:val="-3"/>
        </w:rPr>
        <w:t>HAMAG-BICRO</w:t>
      </w:r>
      <w:r w:rsidRPr="003851E1">
        <w:rPr>
          <w:rFonts w:cstheme="minorHAnsi"/>
          <w:bCs/>
          <w:spacing w:val="-3"/>
        </w:rPr>
        <w:t xml:space="preserve">-a te ostale vrste jamstava i garancija. Ovisno o vrsti instrumenta osiguranja, kreditnom programu, općim uvjetima osiguranja ili odluci nadležnog tijela, Banka je odredila potreban omjer </w:t>
      </w:r>
      <w:r w:rsidR="00BB2F36">
        <w:rPr>
          <w:rFonts w:cstheme="minorHAnsi"/>
          <w:bCs/>
          <w:spacing w:val="-3"/>
        </w:rPr>
        <w:t xml:space="preserve">iznosa </w:t>
      </w:r>
      <w:r w:rsidRPr="003851E1">
        <w:rPr>
          <w:rFonts w:cstheme="minorHAnsi"/>
          <w:bCs/>
          <w:spacing w:val="-3"/>
        </w:rPr>
        <w:t xml:space="preserve">plasmana i </w:t>
      </w:r>
      <w:r w:rsidR="00BB2F36">
        <w:rPr>
          <w:rFonts w:cstheme="minorHAnsi"/>
          <w:bCs/>
          <w:spacing w:val="-3"/>
        </w:rPr>
        <w:t xml:space="preserve">visine </w:t>
      </w:r>
      <w:r w:rsidRPr="003851E1">
        <w:rPr>
          <w:rFonts w:cstheme="minorHAnsi"/>
          <w:bCs/>
          <w:spacing w:val="-3"/>
        </w:rPr>
        <w:t xml:space="preserve">osiguranja. </w:t>
      </w:r>
    </w:p>
    <w:p w14:paraId="19C95C7C" w14:textId="77777777" w:rsidR="007F2C8B" w:rsidRPr="003851E1" w:rsidRDefault="007F2C8B" w:rsidP="007F2C8B">
      <w:pPr>
        <w:spacing w:after="0" w:line="240" w:lineRule="auto"/>
        <w:jc w:val="both"/>
        <w:rPr>
          <w:rFonts w:cstheme="minorHAnsi"/>
          <w:bCs/>
          <w:spacing w:val="-3"/>
        </w:rPr>
      </w:pPr>
    </w:p>
    <w:p w14:paraId="5CEDBE69" w14:textId="77777777" w:rsidR="00117564" w:rsidRDefault="00117564" w:rsidP="007F2C8B">
      <w:pPr>
        <w:spacing w:after="0" w:line="240" w:lineRule="auto"/>
        <w:jc w:val="both"/>
        <w:rPr>
          <w:rFonts w:cstheme="minorHAnsi"/>
          <w:bCs/>
          <w:spacing w:val="-3"/>
        </w:rPr>
      </w:pPr>
      <w:r w:rsidRPr="003851E1">
        <w:rPr>
          <w:rFonts w:cstheme="minorHAnsi"/>
          <w:bCs/>
          <w:spacing w:val="-3"/>
        </w:rPr>
        <w:t xml:space="preserve">Banka kroz razvojne programe kreditiranja obuhvaća područje cijele Republike Hrvatske s naglaskom na područja posebne državne skrbi. Kreditni rizik je rasprostranjen po geografskim područjima, djelatnostima, sektorima te kreditnim programima. Banka nastoji izbjeći pretjeranu koncentraciju kreditnog rizika te povoljnijim uvjetima i novim kreditnim programima (proizvodima) potaknuti razvoj slabije razvijenih područja Republike Hrvatske u skladu s državnom strategijom razvoja pojedinih djelatnosti. </w:t>
      </w:r>
    </w:p>
    <w:p w14:paraId="27AEB948" w14:textId="77777777" w:rsidR="00581360" w:rsidRDefault="00581360" w:rsidP="007F2C8B">
      <w:pPr>
        <w:spacing w:after="0" w:line="240" w:lineRule="auto"/>
        <w:jc w:val="both"/>
        <w:rPr>
          <w:rFonts w:cstheme="minorHAnsi"/>
          <w:bCs/>
          <w:spacing w:val="-3"/>
        </w:rPr>
      </w:pPr>
    </w:p>
    <w:p w14:paraId="7506D1A6" w14:textId="3E19AB42" w:rsidR="00581360" w:rsidRPr="00A17353" w:rsidRDefault="00581360" w:rsidP="00581360">
      <w:pPr>
        <w:pStyle w:val="accountingpolicytitle"/>
        <w:rPr>
          <w:rFonts w:asciiTheme="minorHAnsi" w:hAnsiTheme="minorHAnsi" w:cs="Arial"/>
          <w:b w:val="0"/>
          <w:sz w:val="22"/>
          <w:szCs w:val="22"/>
          <w:lang w:val="hr-HR"/>
        </w:rPr>
      </w:pPr>
      <w:r w:rsidRPr="00B20705">
        <w:rPr>
          <w:rFonts w:asciiTheme="minorHAnsi" w:hAnsiTheme="minorHAnsi"/>
          <w:b w:val="0"/>
          <w:sz w:val="22"/>
          <w:szCs w:val="22"/>
          <w:lang w:val="hr-HR"/>
        </w:rPr>
        <w:t xml:space="preserve">Najveća kreditna izloženost prema jednom dužniku </w:t>
      </w:r>
      <w:r w:rsidR="00F447E9" w:rsidRPr="00B20705">
        <w:rPr>
          <w:rFonts w:asciiTheme="minorHAnsi" w:hAnsiTheme="minorHAnsi"/>
          <w:b w:val="0"/>
          <w:sz w:val="22"/>
          <w:szCs w:val="22"/>
          <w:lang w:val="hr-HR"/>
        </w:rPr>
        <w:t>Grupe</w:t>
      </w:r>
      <w:r w:rsidR="00EA30BB">
        <w:rPr>
          <w:rFonts w:asciiTheme="minorHAnsi" w:hAnsiTheme="minorHAnsi"/>
          <w:b w:val="0"/>
          <w:sz w:val="22"/>
          <w:szCs w:val="22"/>
          <w:lang w:val="hr-HR"/>
        </w:rPr>
        <w:t xml:space="preserve"> i Banke</w:t>
      </w:r>
      <w:r w:rsidR="00F447E9" w:rsidRPr="00B20705">
        <w:rPr>
          <w:rFonts w:asciiTheme="minorHAnsi" w:hAnsiTheme="minorHAnsi"/>
          <w:b w:val="0"/>
          <w:sz w:val="22"/>
          <w:szCs w:val="22"/>
          <w:lang w:val="hr-HR"/>
        </w:rPr>
        <w:t xml:space="preserve"> na </w:t>
      </w:r>
      <w:r w:rsidR="00FE4B91">
        <w:rPr>
          <w:rFonts w:asciiTheme="minorHAnsi" w:hAnsiTheme="minorHAnsi"/>
          <w:b w:val="0"/>
          <w:sz w:val="22"/>
          <w:szCs w:val="22"/>
          <w:lang w:val="hr-HR"/>
        </w:rPr>
        <w:t>30</w:t>
      </w:r>
      <w:r w:rsidR="00FD7170">
        <w:rPr>
          <w:rFonts w:asciiTheme="minorHAnsi" w:hAnsiTheme="minorHAnsi"/>
          <w:b w:val="0"/>
          <w:sz w:val="22"/>
          <w:szCs w:val="22"/>
          <w:lang w:val="hr-HR"/>
        </w:rPr>
        <w:t xml:space="preserve">. </w:t>
      </w:r>
      <w:r w:rsidR="00FE4B91">
        <w:rPr>
          <w:rFonts w:asciiTheme="minorHAnsi" w:hAnsiTheme="minorHAnsi"/>
          <w:b w:val="0"/>
          <w:sz w:val="22"/>
          <w:szCs w:val="22"/>
          <w:lang w:val="hr-HR"/>
        </w:rPr>
        <w:t>li</w:t>
      </w:r>
      <w:r w:rsidR="008B67C4">
        <w:rPr>
          <w:rFonts w:asciiTheme="minorHAnsi" w:hAnsiTheme="minorHAnsi"/>
          <w:b w:val="0"/>
          <w:sz w:val="22"/>
          <w:szCs w:val="22"/>
          <w:lang w:val="hr-HR"/>
        </w:rPr>
        <w:t>p</w:t>
      </w:r>
      <w:r w:rsidR="00FE4B91">
        <w:rPr>
          <w:rFonts w:asciiTheme="minorHAnsi" w:hAnsiTheme="minorHAnsi"/>
          <w:b w:val="0"/>
          <w:sz w:val="22"/>
          <w:szCs w:val="22"/>
          <w:lang w:val="hr-HR"/>
        </w:rPr>
        <w:t>nja</w:t>
      </w:r>
      <w:r w:rsidR="00FE4B91" w:rsidRPr="0049023C">
        <w:rPr>
          <w:rFonts w:asciiTheme="minorHAnsi" w:hAnsiTheme="minorHAnsi"/>
          <w:b w:val="0"/>
          <w:sz w:val="22"/>
          <w:szCs w:val="22"/>
          <w:lang w:val="hr-HR"/>
        </w:rPr>
        <w:t xml:space="preserve"> </w:t>
      </w:r>
      <w:r w:rsidR="00C616B4" w:rsidRPr="007F5F8E">
        <w:rPr>
          <w:rFonts w:asciiTheme="minorHAnsi" w:hAnsiTheme="minorHAnsi"/>
          <w:b w:val="0"/>
          <w:sz w:val="22"/>
          <w:szCs w:val="22"/>
          <w:lang w:val="hr-HR"/>
        </w:rPr>
        <w:t>201</w:t>
      </w:r>
      <w:r w:rsidR="00FD7170">
        <w:rPr>
          <w:rFonts w:asciiTheme="minorHAnsi" w:hAnsiTheme="minorHAnsi"/>
          <w:b w:val="0"/>
          <w:sz w:val="22"/>
          <w:szCs w:val="22"/>
          <w:lang w:val="hr-HR"/>
        </w:rPr>
        <w:t>7</w:t>
      </w:r>
      <w:r w:rsidRPr="00B20705">
        <w:rPr>
          <w:rFonts w:asciiTheme="minorHAnsi" w:hAnsiTheme="minorHAnsi"/>
          <w:b w:val="0"/>
          <w:sz w:val="22"/>
          <w:szCs w:val="22"/>
          <w:lang w:val="hr-HR"/>
        </w:rPr>
        <w:t xml:space="preserve">. godine iznosi </w:t>
      </w:r>
      <w:r w:rsidR="008B67C4" w:rsidRPr="008B67C4">
        <w:rPr>
          <w:rFonts w:asciiTheme="minorHAnsi" w:hAnsiTheme="minorHAnsi"/>
          <w:b w:val="0"/>
          <w:sz w:val="22"/>
          <w:szCs w:val="22"/>
          <w:lang w:val="hr-HR"/>
        </w:rPr>
        <w:t>2.783.986</w:t>
      </w:r>
      <w:r w:rsidR="008B67C4">
        <w:rPr>
          <w:rFonts w:asciiTheme="minorHAnsi" w:hAnsiTheme="minorHAnsi"/>
          <w:b w:val="0"/>
          <w:sz w:val="22"/>
          <w:szCs w:val="22"/>
          <w:lang w:val="hr-HR"/>
        </w:rPr>
        <w:t xml:space="preserve"> </w:t>
      </w:r>
      <w:r w:rsidRPr="00B20705">
        <w:rPr>
          <w:rFonts w:asciiTheme="minorHAnsi" w:hAnsiTheme="minorHAnsi"/>
          <w:b w:val="0"/>
          <w:sz w:val="22"/>
          <w:szCs w:val="22"/>
          <w:lang w:val="hr-HR"/>
        </w:rPr>
        <w:t>tisuća kuna (</w:t>
      </w:r>
      <w:r w:rsidR="00A17353" w:rsidRPr="00B20705">
        <w:rPr>
          <w:rFonts w:asciiTheme="minorHAnsi" w:hAnsiTheme="minorHAnsi"/>
          <w:b w:val="0"/>
          <w:sz w:val="22"/>
          <w:szCs w:val="22"/>
          <w:lang w:val="hr-HR"/>
        </w:rPr>
        <w:t xml:space="preserve">31. prosinca </w:t>
      </w:r>
      <w:r w:rsidR="00C616B4" w:rsidRPr="00B20705">
        <w:rPr>
          <w:rFonts w:asciiTheme="minorHAnsi" w:hAnsiTheme="minorHAnsi"/>
          <w:b w:val="0"/>
          <w:sz w:val="22"/>
          <w:szCs w:val="22"/>
          <w:lang w:val="hr-HR"/>
        </w:rPr>
        <w:t>201</w:t>
      </w:r>
      <w:r w:rsidR="00FD7170">
        <w:rPr>
          <w:rFonts w:asciiTheme="minorHAnsi" w:hAnsiTheme="minorHAnsi"/>
          <w:b w:val="0"/>
          <w:sz w:val="22"/>
          <w:szCs w:val="22"/>
          <w:lang w:val="hr-HR"/>
        </w:rPr>
        <w:t>6</w:t>
      </w:r>
      <w:r w:rsidR="00A17353" w:rsidRPr="007F5F8E">
        <w:rPr>
          <w:rFonts w:asciiTheme="minorHAnsi" w:hAnsiTheme="minorHAnsi"/>
          <w:b w:val="0"/>
          <w:sz w:val="22"/>
          <w:szCs w:val="22"/>
          <w:lang w:val="hr-HR"/>
        </w:rPr>
        <w:t xml:space="preserve">. godine iznosi </w:t>
      </w:r>
      <w:r w:rsidR="00FD7170" w:rsidRPr="00FD7170">
        <w:rPr>
          <w:rFonts w:asciiTheme="minorHAnsi" w:hAnsiTheme="minorHAnsi"/>
          <w:b w:val="0"/>
          <w:sz w:val="22"/>
          <w:szCs w:val="22"/>
          <w:lang w:val="hr-HR"/>
        </w:rPr>
        <w:t>3.147.235</w:t>
      </w:r>
      <w:r w:rsidR="00A17353" w:rsidRPr="00B20705">
        <w:rPr>
          <w:rFonts w:asciiTheme="minorHAnsi" w:hAnsiTheme="minorHAnsi"/>
          <w:b w:val="0"/>
          <w:sz w:val="22"/>
          <w:szCs w:val="22"/>
          <w:lang w:val="hr-HR"/>
        </w:rPr>
        <w:t xml:space="preserve"> tisuća kuna</w:t>
      </w:r>
      <w:r w:rsidR="00491F0E">
        <w:rPr>
          <w:rFonts w:asciiTheme="minorHAnsi" w:hAnsiTheme="minorHAnsi"/>
          <w:b w:val="0"/>
          <w:sz w:val="22"/>
          <w:szCs w:val="22"/>
          <w:lang w:val="hr-HR"/>
        </w:rPr>
        <w:t>)</w:t>
      </w:r>
      <w:r w:rsidRPr="00B20705">
        <w:rPr>
          <w:rFonts w:asciiTheme="minorHAnsi" w:hAnsiTheme="minorHAnsi"/>
          <w:b w:val="0"/>
          <w:sz w:val="22"/>
          <w:szCs w:val="22"/>
          <w:lang w:val="hr-HR"/>
        </w:rPr>
        <w:t xml:space="preserve">, </w:t>
      </w:r>
      <w:r w:rsidR="004A2884" w:rsidRPr="00B20705">
        <w:rPr>
          <w:rFonts w:asciiTheme="minorHAnsi" w:hAnsiTheme="minorHAnsi"/>
          <w:b w:val="0"/>
          <w:sz w:val="22"/>
          <w:szCs w:val="22"/>
          <w:lang w:val="hr-HR"/>
        </w:rPr>
        <w:t>bez</w:t>
      </w:r>
      <w:r w:rsidRPr="00B20705">
        <w:rPr>
          <w:rFonts w:asciiTheme="minorHAnsi" w:hAnsiTheme="minorHAnsi"/>
          <w:b w:val="0"/>
          <w:sz w:val="22"/>
          <w:szCs w:val="22"/>
          <w:lang w:val="hr-HR"/>
        </w:rPr>
        <w:t xml:space="preserve"> uzimanja u obzir primljenih instrumenata osiguranja.</w:t>
      </w:r>
      <w:r w:rsidRPr="00A17353">
        <w:rPr>
          <w:rFonts w:asciiTheme="minorHAnsi" w:hAnsiTheme="minorHAnsi"/>
          <w:b w:val="0"/>
          <w:sz w:val="22"/>
          <w:szCs w:val="22"/>
          <w:lang w:val="hr-HR"/>
        </w:rPr>
        <w:t xml:space="preserve"> </w:t>
      </w:r>
    </w:p>
    <w:p w14:paraId="21A5CCFC" w14:textId="77777777" w:rsidR="007F2C8B" w:rsidRDefault="007F2C8B" w:rsidP="007F2C8B">
      <w:pPr>
        <w:spacing w:after="0" w:line="240" w:lineRule="auto"/>
        <w:jc w:val="both"/>
        <w:rPr>
          <w:rFonts w:cstheme="minorHAnsi"/>
          <w:bCs/>
          <w:spacing w:val="-3"/>
        </w:rPr>
      </w:pPr>
    </w:p>
    <w:p w14:paraId="70B5A6CD" w14:textId="77777777" w:rsidR="00581360" w:rsidRDefault="00581360" w:rsidP="007F2C8B">
      <w:pPr>
        <w:pStyle w:val="accountingpolicytitle"/>
        <w:rPr>
          <w:rFonts w:asciiTheme="minorHAnsi" w:hAnsiTheme="minorHAnsi" w:cstheme="minorHAnsi"/>
          <w:sz w:val="24"/>
          <w:szCs w:val="24"/>
          <w:lang w:val="hr-HR"/>
        </w:rPr>
        <w:sectPr w:rsidR="00581360" w:rsidSect="00FE4B91">
          <w:footerReference w:type="first" r:id="rId85"/>
          <w:pgSz w:w="11906" w:h="16838" w:code="9"/>
          <w:pgMar w:top="1418" w:right="1418" w:bottom="595" w:left="1134" w:header="709" w:footer="709" w:gutter="0"/>
          <w:cols w:space="708"/>
          <w:titlePg/>
          <w:docGrid w:linePitch="360"/>
        </w:sectPr>
      </w:pPr>
    </w:p>
    <w:p w14:paraId="03CCFCB7" w14:textId="77777777" w:rsidR="00581360" w:rsidRDefault="00581360" w:rsidP="00581360">
      <w:pPr>
        <w:pStyle w:val="T1"/>
        <w:spacing w:before="0" w:after="0" w:line="240" w:lineRule="auto"/>
        <w:rPr>
          <w:rFonts w:asciiTheme="minorHAnsi" w:hAnsiTheme="minorHAnsi" w:cs="Arial"/>
          <w:sz w:val="22"/>
          <w:szCs w:val="22"/>
          <w:lang w:val="hr-HR"/>
        </w:rPr>
      </w:pPr>
    </w:p>
    <w:p w14:paraId="6A079DDE" w14:textId="77777777" w:rsidR="00581360" w:rsidRDefault="00581360" w:rsidP="00581360">
      <w:pPr>
        <w:pStyle w:val="T1"/>
        <w:spacing w:before="0" w:after="0" w:line="240" w:lineRule="auto"/>
        <w:rPr>
          <w:rFonts w:asciiTheme="minorHAnsi" w:hAnsiTheme="minorHAnsi" w:cs="Arial"/>
          <w:sz w:val="22"/>
          <w:szCs w:val="22"/>
          <w:lang w:val="hr-HR"/>
        </w:rPr>
      </w:pPr>
      <w:r w:rsidRPr="00581360">
        <w:rPr>
          <w:rFonts w:asciiTheme="minorHAnsi" w:hAnsiTheme="minorHAnsi" w:cs="Arial"/>
          <w:sz w:val="22"/>
          <w:szCs w:val="22"/>
          <w:lang w:val="hr-HR"/>
        </w:rPr>
        <w:t>1</w:t>
      </w:r>
      <w:r w:rsidR="00803DA8">
        <w:rPr>
          <w:rFonts w:asciiTheme="minorHAnsi" w:hAnsiTheme="minorHAnsi" w:cs="Arial"/>
          <w:sz w:val="22"/>
          <w:szCs w:val="22"/>
          <w:lang w:val="hr-HR"/>
        </w:rPr>
        <w:t>6</w:t>
      </w:r>
      <w:r w:rsidRPr="00581360">
        <w:rPr>
          <w:rFonts w:asciiTheme="minorHAnsi" w:hAnsiTheme="minorHAnsi" w:cs="Arial"/>
          <w:sz w:val="22"/>
          <w:szCs w:val="22"/>
          <w:lang w:val="hr-HR"/>
        </w:rPr>
        <w:t>.</w:t>
      </w:r>
      <w:r w:rsidRPr="00581360">
        <w:rPr>
          <w:rFonts w:asciiTheme="minorHAnsi" w:hAnsiTheme="minorHAnsi" w:cs="Arial"/>
          <w:sz w:val="22"/>
          <w:szCs w:val="22"/>
          <w:lang w:val="hr-HR"/>
        </w:rPr>
        <w:tab/>
        <w:t>Upravljanje rizicima (nastavak)</w:t>
      </w:r>
    </w:p>
    <w:p w14:paraId="41403FFD" w14:textId="77777777" w:rsidR="00581360" w:rsidRPr="00581360" w:rsidRDefault="00581360" w:rsidP="00581360">
      <w:pPr>
        <w:pStyle w:val="T1"/>
        <w:spacing w:before="0" w:after="0" w:line="240" w:lineRule="auto"/>
        <w:rPr>
          <w:rFonts w:asciiTheme="minorHAnsi" w:hAnsiTheme="minorHAnsi" w:cs="Arial"/>
          <w:sz w:val="22"/>
          <w:szCs w:val="22"/>
          <w:lang w:val="hr-HR"/>
        </w:rPr>
      </w:pPr>
    </w:p>
    <w:p w14:paraId="58E3ADCB" w14:textId="77777777" w:rsidR="00581360" w:rsidRDefault="00581360" w:rsidP="00581360">
      <w:pPr>
        <w:pStyle w:val="T1"/>
        <w:spacing w:before="0" w:after="0" w:line="240" w:lineRule="auto"/>
        <w:rPr>
          <w:rFonts w:asciiTheme="minorHAnsi" w:hAnsiTheme="minorHAnsi" w:cs="Arial"/>
          <w:sz w:val="22"/>
          <w:szCs w:val="22"/>
          <w:lang w:val="hr-HR"/>
        </w:rPr>
      </w:pPr>
      <w:r w:rsidRPr="00581360">
        <w:rPr>
          <w:rFonts w:asciiTheme="minorHAnsi" w:hAnsiTheme="minorHAnsi" w:cs="Arial"/>
          <w:sz w:val="22"/>
          <w:szCs w:val="22"/>
          <w:lang w:val="hr-HR"/>
        </w:rPr>
        <w:t>1</w:t>
      </w:r>
      <w:r w:rsidR="00803DA8">
        <w:rPr>
          <w:rFonts w:asciiTheme="minorHAnsi" w:hAnsiTheme="minorHAnsi" w:cs="Arial"/>
          <w:sz w:val="22"/>
          <w:szCs w:val="22"/>
          <w:lang w:val="hr-HR"/>
        </w:rPr>
        <w:t>6</w:t>
      </w:r>
      <w:r w:rsidRPr="00581360">
        <w:rPr>
          <w:rFonts w:asciiTheme="minorHAnsi" w:hAnsiTheme="minorHAnsi" w:cs="Arial"/>
          <w:sz w:val="22"/>
          <w:szCs w:val="22"/>
          <w:lang w:val="hr-HR"/>
        </w:rPr>
        <w:t xml:space="preserve">.2. </w:t>
      </w:r>
      <w:r w:rsidRPr="00581360">
        <w:rPr>
          <w:rFonts w:asciiTheme="minorHAnsi" w:hAnsiTheme="minorHAnsi" w:cs="Arial"/>
          <w:sz w:val="22"/>
          <w:szCs w:val="22"/>
          <w:lang w:val="hr-HR"/>
        </w:rPr>
        <w:tab/>
        <w:t>Kreditni rizik (nastavak)</w:t>
      </w:r>
    </w:p>
    <w:p w14:paraId="318F1944" w14:textId="77777777" w:rsidR="00581360" w:rsidRPr="00581360" w:rsidRDefault="00581360" w:rsidP="00581360">
      <w:pPr>
        <w:pStyle w:val="T1"/>
        <w:spacing w:before="0" w:after="0" w:line="240" w:lineRule="auto"/>
        <w:rPr>
          <w:rFonts w:asciiTheme="minorHAnsi" w:hAnsiTheme="minorHAnsi" w:cs="Arial"/>
          <w:sz w:val="22"/>
          <w:szCs w:val="22"/>
          <w:lang w:val="hr-HR"/>
        </w:rPr>
      </w:pPr>
    </w:p>
    <w:p w14:paraId="59C91B58" w14:textId="77777777" w:rsidR="00581360" w:rsidRDefault="00581360" w:rsidP="00581360">
      <w:pPr>
        <w:pStyle w:val="T1"/>
        <w:spacing w:before="0" w:after="0" w:line="240" w:lineRule="auto"/>
        <w:rPr>
          <w:rFonts w:asciiTheme="minorHAnsi" w:hAnsiTheme="minorHAnsi" w:cs="Arial"/>
          <w:sz w:val="22"/>
          <w:szCs w:val="22"/>
          <w:lang w:val="hr-HR"/>
        </w:rPr>
      </w:pPr>
      <w:r w:rsidRPr="00581360">
        <w:rPr>
          <w:rFonts w:asciiTheme="minorHAnsi" w:hAnsiTheme="minorHAnsi" w:cs="Arial"/>
          <w:sz w:val="22"/>
          <w:szCs w:val="22"/>
          <w:lang w:val="hr-HR"/>
        </w:rPr>
        <w:t xml:space="preserve">Koncentracija rizika i </w:t>
      </w:r>
      <w:r w:rsidR="00640198">
        <w:rPr>
          <w:rFonts w:asciiTheme="minorHAnsi" w:hAnsiTheme="minorHAnsi" w:cs="Arial"/>
          <w:sz w:val="22"/>
          <w:szCs w:val="22"/>
          <w:lang w:val="hr-HR"/>
        </w:rPr>
        <w:t>maksimalna</w:t>
      </w:r>
      <w:r w:rsidRPr="00581360">
        <w:rPr>
          <w:rFonts w:asciiTheme="minorHAnsi" w:hAnsiTheme="minorHAnsi" w:cs="Arial"/>
          <w:sz w:val="22"/>
          <w:szCs w:val="22"/>
          <w:lang w:val="hr-HR"/>
        </w:rPr>
        <w:t xml:space="preserve"> izloženost kreditnom riziku</w:t>
      </w:r>
    </w:p>
    <w:p w14:paraId="132AF06A" w14:textId="77777777" w:rsidR="00581360" w:rsidRPr="00581360" w:rsidRDefault="00581360" w:rsidP="00581360">
      <w:pPr>
        <w:pStyle w:val="T1"/>
        <w:spacing w:before="0" w:after="0" w:line="240" w:lineRule="auto"/>
        <w:rPr>
          <w:rFonts w:asciiTheme="minorHAnsi" w:hAnsiTheme="minorHAnsi" w:cs="Arial"/>
          <w:sz w:val="22"/>
          <w:szCs w:val="22"/>
          <w:lang w:val="hr-HR"/>
        </w:rPr>
      </w:pPr>
    </w:p>
    <w:p w14:paraId="7155C621" w14:textId="77777777" w:rsidR="00581360" w:rsidRDefault="00581360" w:rsidP="00581360">
      <w:pPr>
        <w:pStyle w:val="accountingpolicytitle"/>
        <w:rPr>
          <w:rFonts w:asciiTheme="minorHAnsi" w:hAnsiTheme="minorHAnsi" w:cs="Arial"/>
          <w:b w:val="0"/>
          <w:sz w:val="22"/>
          <w:szCs w:val="22"/>
          <w:lang w:val="hr-HR"/>
        </w:rPr>
      </w:pPr>
      <w:r w:rsidRPr="00581360">
        <w:rPr>
          <w:rFonts w:asciiTheme="minorHAnsi" w:hAnsiTheme="minorHAnsi" w:cs="Arial"/>
          <w:b w:val="0"/>
          <w:sz w:val="22"/>
          <w:szCs w:val="22"/>
          <w:lang w:val="hr-HR"/>
        </w:rPr>
        <w:t>Tabela u nastavku prikazuje najveću izloženost kreditnom riziku u bruto iznosu prema pozicijama izvještaja o financijskom položaju i garancija i preuzetih obveza na dan izvještavanja, bez umanjenja za vrijednost sredstava osiguranja naplate:</w:t>
      </w:r>
    </w:p>
    <w:p w14:paraId="029EE5F7" w14:textId="77777777" w:rsidR="00970E2A" w:rsidRPr="00581360" w:rsidRDefault="00970E2A" w:rsidP="00581360">
      <w:pPr>
        <w:pStyle w:val="accountingpolicytitle"/>
        <w:rPr>
          <w:rFonts w:asciiTheme="minorHAnsi" w:hAnsiTheme="minorHAnsi" w:cs="Arial"/>
          <w:b w:val="0"/>
          <w:sz w:val="22"/>
          <w:szCs w:val="22"/>
          <w:lang w:val="hr-HR"/>
        </w:rPr>
      </w:pPr>
    </w:p>
    <w:tbl>
      <w:tblPr>
        <w:tblW w:w="4944" w:type="pct"/>
        <w:tblLayout w:type="fixed"/>
        <w:tblLook w:val="0000" w:firstRow="0" w:lastRow="0" w:firstColumn="0" w:lastColumn="0" w:noHBand="0" w:noVBand="0"/>
      </w:tblPr>
      <w:tblGrid>
        <w:gridCol w:w="4259"/>
        <w:gridCol w:w="1249"/>
        <w:gridCol w:w="1247"/>
        <w:gridCol w:w="1249"/>
        <w:gridCol w:w="1245"/>
      </w:tblGrid>
      <w:tr w:rsidR="00CB2F3E" w:rsidRPr="00C5513D" w14:paraId="68B04D69" w14:textId="77777777" w:rsidTr="00FD7170">
        <w:trPr>
          <w:trHeight w:val="218"/>
        </w:trPr>
        <w:tc>
          <w:tcPr>
            <w:tcW w:w="2302" w:type="pct"/>
          </w:tcPr>
          <w:p w14:paraId="24E8DF84" w14:textId="77777777" w:rsidR="00CB2F3E" w:rsidRPr="00D12EBA" w:rsidRDefault="00CB2F3E" w:rsidP="003579C1">
            <w:pPr>
              <w:pStyle w:val="accountingpolicytitle"/>
              <w:spacing w:line="360" w:lineRule="auto"/>
              <w:rPr>
                <w:rFonts w:asciiTheme="minorHAnsi" w:hAnsiTheme="minorHAnsi" w:cs="Arial"/>
                <w:b w:val="0"/>
                <w:bCs/>
                <w:sz w:val="18"/>
                <w:szCs w:val="18"/>
                <w:lang w:val="hr-HR"/>
              </w:rPr>
            </w:pPr>
          </w:p>
        </w:tc>
        <w:tc>
          <w:tcPr>
            <w:tcW w:w="1349" w:type="pct"/>
            <w:gridSpan w:val="2"/>
            <w:vAlign w:val="center"/>
          </w:tcPr>
          <w:p w14:paraId="14D399EF" w14:textId="77777777" w:rsidR="00CB2F3E" w:rsidRPr="00D12EBA" w:rsidRDefault="00CB2F3E" w:rsidP="003579C1">
            <w:pPr>
              <w:pStyle w:val="accountingpolicytitle"/>
              <w:spacing w:line="360" w:lineRule="auto"/>
              <w:jc w:val="right"/>
              <w:rPr>
                <w:rFonts w:asciiTheme="minorHAnsi" w:hAnsiTheme="minorHAnsi" w:cs="Arial"/>
                <w:sz w:val="18"/>
                <w:szCs w:val="18"/>
                <w:lang w:val="hr-HR"/>
              </w:rPr>
            </w:pPr>
            <w:r w:rsidRPr="00D12EBA">
              <w:rPr>
                <w:rFonts w:asciiTheme="minorHAnsi" w:hAnsiTheme="minorHAnsi" w:cs="Arial"/>
                <w:sz w:val="18"/>
                <w:szCs w:val="18"/>
                <w:lang w:val="hr-HR"/>
              </w:rPr>
              <w:t>Grupa</w:t>
            </w:r>
          </w:p>
        </w:tc>
        <w:tc>
          <w:tcPr>
            <w:tcW w:w="1348" w:type="pct"/>
            <w:gridSpan w:val="2"/>
            <w:vAlign w:val="center"/>
          </w:tcPr>
          <w:p w14:paraId="14C51B2D" w14:textId="77777777" w:rsidR="00CB2F3E" w:rsidRPr="00D12EBA" w:rsidRDefault="00CB2F3E" w:rsidP="003579C1">
            <w:pPr>
              <w:pStyle w:val="accountingpolicytitle"/>
              <w:spacing w:line="360" w:lineRule="auto"/>
              <w:jc w:val="right"/>
              <w:rPr>
                <w:rFonts w:asciiTheme="minorHAnsi" w:hAnsiTheme="minorHAnsi" w:cs="Arial"/>
                <w:sz w:val="18"/>
                <w:szCs w:val="18"/>
                <w:lang w:val="hr-HR"/>
              </w:rPr>
            </w:pPr>
            <w:r w:rsidRPr="00D12EBA">
              <w:rPr>
                <w:rFonts w:asciiTheme="minorHAnsi" w:hAnsiTheme="minorHAnsi" w:cs="Arial"/>
                <w:sz w:val="18"/>
                <w:szCs w:val="18"/>
                <w:lang w:val="hr-HR"/>
              </w:rPr>
              <w:t>Banka</w:t>
            </w:r>
          </w:p>
        </w:tc>
      </w:tr>
      <w:tr w:rsidR="00CB2F3E" w:rsidRPr="00C5513D" w14:paraId="01894723" w14:textId="77777777" w:rsidTr="00FD7170">
        <w:trPr>
          <w:trHeight w:val="1030"/>
        </w:trPr>
        <w:tc>
          <w:tcPr>
            <w:tcW w:w="2302" w:type="pct"/>
          </w:tcPr>
          <w:p w14:paraId="4E969A99" w14:textId="77777777" w:rsidR="00CB2F3E" w:rsidRPr="00D12EBA" w:rsidRDefault="00CB2F3E" w:rsidP="003579C1">
            <w:pPr>
              <w:rPr>
                <w:rFonts w:cs="Arial"/>
                <w:sz w:val="18"/>
                <w:szCs w:val="18"/>
              </w:rPr>
            </w:pPr>
            <w:r w:rsidRPr="00D12EBA">
              <w:rPr>
                <w:rFonts w:cs="Arial"/>
                <w:b/>
                <w:bCs/>
                <w:sz w:val="18"/>
                <w:szCs w:val="18"/>
              </w:rPr>
              <w:br w:type="page"/>
            </w:r>
          </w:p>
        </w:tc>
        <w:tc>
          <w:tcPr>
            <w:tcW w:w="675" w:type="pct"/>
            <w:vAlign w:val="bottom"/>
          </w:tcPr>
          <w:p w14:paraId="02B5B72D" w14:textId="77777777" w:rsidR="00CB2F3E" w:rsidRDefault="00CB2F3E" w:rsidP="003579C1">
            <w:pPr>
              <w:spacing w:after="0" w:line="240" w:lineRule="auto"/>
              <w:jc w:val="right"/>
              <w:rPr>
                <w:rFonts w:cs="Arial"/>
                <w:b/>
                <w:sz w:val="18"/>
                <w:szCs w:val="18"/>
              </w:rPr>
            </w:pPr>
            <w:r w:rsidRPr="00D12EBA">
              <w:rPr>
                <w:rFonts w:cs="Arial"/>
                <w:b/>
                <w:sz w:val="18"/>
                <w:szCs w:val="18"/>
              </w:rPr>
              <w:t>Bruto</w:t>
            </w:r>
          </w:p>
          <w:p w14:paraId="1040F9CA" w14:textId="77777777" w:rsidR="00CB2F3E" w:rsidRDefault="00CB2F3E" w:rsidP="003579C1">
            <w:pPr>
              <w:spacing w:after="0" w:line="240" w:lineRule="auto"/>
              <w:jc w:val="right"/>
              <w:rPr>
                <w:rFonts w:cs="Arial"/>
                <w:b/>
                <w:sz w:val="18"/>
                <w:szCs w:val="18"/>
              </w:rPr>
            </w:pPr>
            <w:r w:rsidRPr="00D12EBA">
              <w:rPr>
                <w:rFonts w:cs="Arial"/>
                <w:b/>
                <w:sz w:val="18"/>
                <w:szCs w:val="18"/>
              </w:rPr>
              <w:t>najveća izloženost</w:t>
            </w:r>
          </w:p>
          <w:p w14:paraId="27BB75F4" w14:textId="77777777" w:rsidR="00CB2F3E" w:rsidRPr="00D12EBA" w:rsidRDefault="00CB2F3E" w:rsidP="003579C1">
            <w:pPr>
              <w:spacing w:after="0" w:line="240" w:lineRule="auto"/>
              <w:jc w:val="right"/>
              <w:rPr>
                <w:rFonts w:cs="Arial"/>
                <w:b/>
                <w:sz w:val="18"/>
                <w:szCs w:val="18"/>
              </w:rPr>
            </w:pPr>
          </w:p>
          <w:p w14:paraId="5DA8EBA1" w14:textId="54B9C06C" w:rsidR="00CB2F3E" w:rsidRPr="00D12EBA" w:rsidRDefault="00EC2CE1">
            <w:pPr>
              <w:spacing w:after="0" w:line="240" w:lineRule="auto"/>
              <w:jc w:val="right"/>
              <w:rPr>
                <w:rFonts w:cs="Arial"/>
                <w:b/>
                <w:sz w:val="18"/>
                <w:szCs w:val="18"/>
              </w:rPr>
            </w:pPr>
            <w:r>
              <w:rPr>
                <w:rFonts w:cs="Arial"/>
                <w:b/>
                <w:sz w:val="18"/>
                <w:szCs w:val="18"/>
              </w:rPr>
              <w:t>30</w:t>
            </w:r>
            <w:r w:rsidR="00FD7170">
              <w:rPr>
                <w:rFonts w:cs="Arial"/>
                <w:b/>
                <w:sz w:val="18"/>
                <w:szCs w:val="18"/>
              </w:rPr>
              <w:t>.</w:t>
            </w:r>
            <w:r>
              <w:rPr>
                <w:rFonts w:cs="Arial"/>
                <w:b/>
                <w:sz w:val="18"/>
                <w:szCs w:val="18"/>
              </w:rPr>
              <w:t>6</w:t>
            </w:r>
            <w:r w:rsidR="00FD7170">
              <w:rPr>
                <w:rFonts w:cs="Arial"/>
                <w:b/>
                <w:sz w:val="18"/>
                <w:szCs w:val="18"/>
              </w:rPr>
              <w:t>.2017</w:t>
            </w:r>
            <w:r w:rsidR="00CB2F3E" w:rsidRPr="00D12EBA">
              <w:rPr>
                <w:rFonts w:cs="Arial"/>
                <w:b/>
                <w:sz w:val="18"/>
                <w:szCs w:val="18"/>
              </w:rPr>
              <w:t>.</w:t>
            </w:r>
          </w:p>
        </w:tc>
        <w:tc>
          <w:tcPr>
            <w:tcW w:w="674" w:type="pct"/>
            <w:vAlign w:val="bottom"/>
          </w:tcPr>
          <w:p w14:paraId="34645F19" w14:textId="77777777" w:rsidR="00CB2F3E" w:rsidRDefault="00CB2F3E" w:rsidP="003579C1">
            <w:pPr>
              <w:spacing w:after="0" w:line="240" w:lineRule="auto"/>
              <w:jc w:val="right"/>
              <w:rPr>
                <w:rFonts w:cs="Arial"/>
                <w:b/>
                <w:sz w:val="18"/>
                <w:szCs w:val="18"/>
              </w:rPr>
            </w:pPr>
            <w:r w:rsidRPr="00D12EBA">
              <w:rPr>
                <w:rFonts w:cs="Arial"/>
                <w:b/>
                <w:sz w:val="18"/>
                <w:szCs w:val="18"/>
              </w:rPr>
              <w:t>Bruto najveća izloženost</w:t>
            </w:r>
          </w:p>
          <w:p w14:paraId="09A1133C" w14:textId="77777777" w:rsidR="00CB2F3E" w:rsidRPr="00D12EBA" w:rsidRDefault="00CB2F3E" w:rsidP="003579C1">
            <w:pPr>
              <w:spacing w:after="0" w:line="240" w:lineRule="auto"/>
              <w:jc w:val="right"/>
              <w:rPr>
                <w:rFonts w:cs="Arial"/>
                <w:b/>
                <w:sz w:val="18"/>
                <w:szCs w:val="18"/>
              </w:rPr>
            </w:pPr>
          </w:p>
          <w:p w14:paraId="036B8D69" w14:textId="509FE57B" w:rsidR="00CB2F3E" w:rsidRPr="00D12EBA" w:rsidRDefault="00CB2F3E" w:rsidP="00FD7170">
            <w:pPr>
              <w:spacing w:after="0" w:line="240" w:lineRule="auto"/>
              <w:jc w:val="right"/>
              <w:rPr>
                <w:rFonts w:cs="Arial"/>
                <w:b/>
                <w:sz w:val="18"/>
                <w:szCs w:val="18"/>
              </w:rPr>
            </w:pPr>
            <w:r w:rsidRPr="00D12EBA">
              <w:rPr>
                <w:rFonts w:cs="Arial"/>
                <w:b/>
                <w:sz w:val="18"/>
                <w:szCs w:val="18"/>
              </w:rPr>
              <w:t>31.12.201</w:t>
            </w:r>
            <w:r w:rsidR="00FD7170">
              <w:rPr>
                <w:rFonts w:cs="Arial"/>
                <w:b/>
                <w:sz w:val="18"/>
                <w:szCs w:val="18"/>
              </w:rPr>
              <w:t>6</w:t>
            </w:r>
            <w:r w:rsidRPr="00D12EBA">
              <w:rPr>
                <w:rFonts w:cs="Arial"/>
                <w:b/>
                <w:sz w:val="18"/>
                <w:szCs w:val="18"/>
              </w:rPr>
              <w:t>.</w:t>
            </w:r>
          </w:p>
        </w:tc>
        <w:tc>
          <w:tcPr>
            <w:tcW w:w="675" w:type="pct"/>
            <w:vAlign w:val="bottom"/>
          </w:tcPr>
          <w:p w14:paraId="501CB9DA" w14:textId="77777777" w:rsidR="00CB2F3E" w:rsidRDefault="00CB2F3E" w:rsidP="003579C1">
            <w:pPr>
              <w:spacing w:after="0" w:line="240" w:lineRule="auto"/>
              <w:jc w:val="right"/>
              <w:rPr>
                <w:rFonts w:cs="Arial"/>
                <w:b/>
                <w:sz w:val="18"/>
                <w:szCs w:val="18"/>
              </w:rPr>
            </w:pPr>
            <w:r w:rsidRPr="00D12EBA">
              <w:rPr>
                <w:rFonts w:cs="Arial"/>
                <w:b/>
                <w:sz w:val="18"/>
                <w:szCs w:val="18"/>
              </w:rPr>
              <w:t xml:space="preserve">Bruto </w:t>
            </w:r>
          </w:p>
          <w:p w14:paraId="7912CFAF" w14:textId="77777777" w:rsidR="00CB2F3E" w:rsidRDefault="00CB2F3E" w:rsidP="003579C1">
            <w:pPr>
              <w:spacing w:after="0" w:line="240" w:lineRule="auto"/>
              <w:jc w:val="right"/>
              <w:rPr>
                <w:rFonts w:cs="Arial"/>
                <w:b/>
                <w:sz w:val="18"/>
                <w:szCs w:val="18"/>
              </w:rPr>
            </w:pPr>
            <w:r w:rsidRPr="00D12EBA">
              <w:rPr>
                <w:rFonts w:cs="Arial"/>
                <w:b/>
                <w:sz w:val="18"/>
                <w:szCs w:val="18"/>
              </w:rPr>
              <w:t>najveća izloženost</w:t>
            </w:r>
          </w:p>
          <w:p w14:paraId="61B67791" w14:textId="77777777" w:rsidR="00CB2F3E" w:rsidRPr="00D12EBA" w:rsidRDefault="00CB2F3E" w:rsidP="003579C1">
            <w:pPr>
              <w:spacing w:after="0" w:line="240" w:lineRule="auto"/>
              <w:jc w:val="right"/>
              <w:rPr>
                <w:rFonts w:cs="Arial"/>
                <w:b/>
                <w:sz w:val="18"/>
                <w:szCs w:val="18"/>
              </w:rPr>
            </w:pPr>
          </w:p>
          <w:p w14:paraId="3015CD6B" w14:textId="2F443026" w:rsidR="00CB2F3E" w:rsidRPr="00D12EBA" w:rsidRDefault="00EC2CE1">
            <w:pPr>
              <w:spacing w:after="0" w:line="240" w:lineRule="auto"/>
              <w:jc w:val="right"/>
              <w:rPr>
                <w:rFonts w:cs="Arial"/>
                <w:b/>
                <w:sz w:val="18"/>
                <w:szCs w:val="18"/>
              </w:rPr>
            </w:pPr>
            <w:r>
              <w:rPr>
                <w:rFonts w:cs="Arial"/>
                <w:b/>
                <w:sz w:val="18"/>
                <w:szCs w:val="18"/>
              </w:rPr>
              <w:t>30</w:t>
            </w:r>
            <w:r w:rsidR="00FD7170">
              <w:rPr>
                <w:rFonts w:cs="Arial"/>
                <w:b/>
                <w:sz w:val="18"/>
                <w:szCs w:val="18"/>
              </w:rPr>
              <w:t>.</w:t>
            </w:r>
            <w:r>
              <w:rPr>
                <w:rFonts w:cs="Arial"/>
                <w:b/>
                <w:sz w:val="18"/>
                <w:szCs w:val="18"/>
              </w:rPr>
              <w:t>6</w:t>
            </w:r>
            <w:r w:rsidR="00FD7170">
              <w:rPr>
                <w:rFonts w:cs="Arial"/>
                <w:b/>
                <w:sz w:val="18"/>
                <w:szCs w:val="18"/>
              </w:rPr>
              <w:t>.2017</w:t>
            </w:r>
            <w:r w:rsidR="00CB2F3E" w:rsidRPr="00D12EBA">
              <w:rPr>
                <w:rFonts w:cs="Arial"/>
                <w:b/>
                <w:sz w:val="18"/>
                <w:szCs w:val="18"/>
              </w:rPr>
              <w:t>.</w:t>
            </w:r>
          </w:p>
        </w:tc>
        <w:tc>
          <w:tcPr>
            <w:tcW w:w="673" w:type="pct"/>
            <w:vAlign w:val="bottom"/>
          </w:tcPr>
          <w:p w14:paraId="4F76503F" w14:textId="77777777" w:rsidR="00CB2F3E" w:rsidRDefault="00CB2F3E" w:rsidP="003579C1">
            <w:pPr>
              <w:spacing w:after="0" w:line="240" w:lineRule="auto"/>
              <w:jc w:val="right"/>
              <w:rPr>
                <w:rFonts w:cs="Arial"/>
                <w:b/>
                <w:sz w:val="18"/>
                <w:szCs w:val="18"/>
              </w:rPr>
            </w:pPr>
            <w:r w:rsidRPr="00D12EBA">
              <w:rPr>
                <w:rFonts w:cs="Arial"/>
                <w:b/>
                <w:sz w:val="18"/>
                <w:szCs w:val="18"/>
              </w:rPr>
              <w:t>Bruto najveća izloženost</w:t>
            </w:r>
          </w:p>
          <w:p w14:paraId="08F15A94" w14:textId="77777777" w:rsidR="00CB2F3E" w:rsidRPr="00D12EBA" w:rsidRDefault="00CB2F3E" w:rsidP="003579C1">
            <w:pPr>
              <w:spacing w:after="0" w:line="240" w:lineRule="auto"/>
              <w:jc w:val="right"/>
              <w:rPr>
                <w:rFonts w:cs="Arial"/>
                <w:b/>
                <w:sz w:val="18"/>
                <w:szCs w:val="18"/>
              </w:rPr>
            </w:pPr>
          </w:p>
          <w:p w14:paraId="2E2CA381" w14:textId="6DC8C8F4" w:rsidR="00CB2F3E" w:rsidRPr="00D12EBA" w:rsidRDefault="00FD7170" w:rsidP="003579C1">
            <w:pPr>
              <w:spacing w:after="0" w:line="240" w:lineRule="auto"/>
              <w:jc w:val="right"/>
              <w:rPr>
                <w:rFonts w:cs="Arial"/>
                <w:b/>
                <w:sz w:val="18"/>
                <w:szCs w:val="18"/>
              </w:rPr>
            </w:pPr>
            <w:r>
              <w:rPr>
                <w:rFonts w:cs="Arial"/>
                <w:b/>
                <w:sz w:val="18"/>
                <w:szCs w:val="18"/>
              </w:rPr>
              <w:t>31.12.2016</w:t>
            </w:r>
            <w:r w:rsidR="00CB2F3E" w:rsidRPr="00D12EBA">
              <w:rPr>
                <w:rFonts w:cs="Arial"/>
                <w:b/>
                <w:sz w:val="18"/>
                <w:szCs w:val="18"/>
              </w:rPr>
              <w:t>.</w:t>
            </w:r>
          </w:p>
        </w:tc>
      </w:tr>
      <w:tr w:rsidR="00CB2F3E" w:rsidRPr="00C5513D" w14:paraId="4C957EDD" w14:textId="77777777" w:rsidTr="00FD7170">
        <w:tc>
          <w:tcPr>
            <w:tcW w:w="2302" w:type="pct"/>
          </w:tcPr>
          <w:p w14:paraId="0A7AB0D5" w14:textId="77777777" w:rsidR="00CB2F3E" w:rsidRPr="00D12EBA" w:rsidRDefault="00CB2F3E" w:rsidP="003579C1">
            <w:pPr>
              <w:pStyle w:val="TT"/>
              <w:spacing w:line="300" w:lineRule="exact"/>
              <w:rPr>
                <w:rFonts w:asciiTheme="minorHAnsi" w:hAnsiTheme="minorHAnsi" w:cs="Arial"/>
                <w:b/>
                <w:bCs/>
                <w:sz w:val="18"/>
                <w:szCs w:val="18"/>
                <w:lang w:val="hr-HR"/>
              </w:rPr>
            </w:pPr>
            <w:r w:rsidRPr="00D12EBA">
              <w:rPr>
                <w:rFonts w:asciiTheme="minorHAnsi" w:hAnsiTheme="minorHAnsi" w:cs="Arial"/>
                <w:b/>
                <w:bCs/>
                <w:sz w:val="18"/>
                <w:szCs w:val="18"/>
                <w:lang w:val="hr-HR"/>
              </w:rPr>
              <w:t>Imovina</w:t>
            </w:r>
          </w:p>
        </w:tc>
        <w:tc>
          <w:tcPr>
            <w:tcW w:w="675" w:type="pct"/>
          </w:tcPr>
          <w:p w14:paraId="1FDE87D1" w14:textId="77777777" w:rsidR="00CB2F3E" w:rsidRPr="00D12EBA" w:rsidRDefault="00CB2F3E" w:rsidP="003579C1">
            <w:pPr>
              <w:pStyle w:val="TT"/>
              <w:spacing w:line="300" w:lineRule="exact"/>
              <w:rPr>
                <w:rFonts w:asciiTheme="minorHAnsi" w:hAnsiTheme="minorHAnsi" w:cs="Arial"/>
                <w:b/>
                <w:bCs/>
                <w:sz w:val="18"/>
                <w:szCs w:val="18"/>
                <w:lang w:val="hr-HR"/>
              </w:rPr>
            </w:pPr>
          </w:p>
        </w:tc>
        <w:tc>
          <w:tcPr>
            <w:tcW w:w="674" w:type="pct"/>
          </w:tcPr>
          <w:p w14:paraId="370D10E4" w14:textId="77777777" w:rsidR="00CB2F3E" w:rsidRPr="00D12EBA" w:rsidRDefault="00CB2F3E" w:rsidP="003579C1">
            <w:pPr>
              <w:pStyle w:val="TT"/>
              <w:spacing w:line="300" w:lineRule="exact"/>
              <w:rPr>
                <w:rFonts w:asciiTheme="minorHAnsi" w:hAnsiTheme="minorHAnsi" w:cs="Arial"/>
                <w:b/>
                <w:bCs/>
                <w:sz w:val="18"/>
                <w:szCs w:val="18"/>
                <w:lang w:val="hr-HR"/>
              </w:rPr>
            </w:pPr>
          </w:p>
        </w:tc>
        <w:tc>
          <w:tcPr>
            <w:tcW w:w="675" w:type="pct"/>
          </w:tcPr>
          <w:p w14:paraId="0B4DC041" w14:textId="77777777" w:rsidR="00CB2F3E" w:rsidRPr="00D12EBA" w:rsidRDefault="00CB2F3E" w:rsidP="003579C1">
            <w:pPr>
              <w:pStyle w:val="TT"/>
              <w:spacing w:line="300" w:lineRule="exact"/>
              <w:rPr>
                <w:rFonts w:asciiTheme="minorHAnsi" w:hAnsiTheme="minorHAnsi" w:cs="Arial"/>
                <w:b/>
                <w:bCs/>
                <w:sz w:val="18"/>
                <w:szCs w:val="18"/>
                <w:lang w:val="hr-HR"/>
              </w:rPr>
            </w:pPr>
          </w:p>
        </w:tc>
        <w:tc>
          <w:tcPr>
            <w:tcW w:w="673" w:type="pct"/>
          </w:tcPr>
          <w:p w14:paraId="40D52912" w14:textId="77777777" w:rsidR="00CB2F3E" w:rsidRPr="00D12EBA" w:rsidRDefault="00CB2F3E" w:rsidP="003579C1">
            <w:pPr>
              <w:pStyle w:val="TT"/>
              <w:spacing w:line="300" w:lineRule="exact"/>
              <w:rPr>
                <w:rFonts w:asciiTheme="minorHAnsi" w:hAnsiTheme="minorHAnsi" w:cs="Arial"/>
                <w:b/>
                <w:bCs/>
                <w:sz w:val="18"/>
                <w:szCs w:val="18"/>
                <w:lang w:val="hr-HR"/>
              </w:rPr>
            </w:pPr>
          </w:p>
        </w:tc>
      </w:tr>
      <w:tr w:rsidR="00D96540" w:rsidRPr="00C5513D" w14:paraId="50860685" w14:textId="77777777" w:rsidTr="00312975">
        <w:tc>
          <w:tcPr>
            <w:tcW w:w="2302" w:type="pct"/>
          </w:tcPr>
          <w:p w14:paraId="1E30D0A2" w14:textId="77777777" w:rsidR="00D96540" w:rsidRPr="00D12EBA" w:rsidRDefault="00D96540" w:rsidP="00D96540">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Novčana sredstva i računi kod banaka</w:t>
            </w:r>
          </w:p>
        </w:tc>
        <w:tc>
          <w:tcPr>
            <w:tcW w:w="675" w:type="pct"/>
            <w:tcBorders>
              <w:top w:val="nil"/>
              <w:left w:val="nil"/>
              <w:bottom w:val="nil"/>
              <w:right w:val="nil"/>
            </w:tcBorders>
            <w:shd w:val="clear" w:color="auto" w:fill="auto"/>
            <w:vAlign w:val="center"/>
          </w:tcPr>
          <w:p w14:paraId="51C0A35A" w14:textId="65F7F74C" w:rsidR="00D96540" w:rsidRPr="000E5941" w:rsidRDefault="00D96540" w:rsidP="00D96540">
            <w:pPr>
              <w:spacing w:after="0" w:line="280" w:lineRule="exact"/>
              <w:jc w:val="right"/>
              <w:rPr>
                <w:rFonts w:ascii="Calibri" w:hAnsi="Calibri" w:cs="Arial"/>
                <w:sz w:val="18"/>
                <w:szCs w:val="18"/>
              </w:rPr>
            </w:pPr>
            <w:r w:rsidRPr="00312975">
              <w:rPr>
                <w:rFonts w:ascii="Calibri" w:hAnsi="Calibri" w:cs="Arial"/>
                <w:sz w:val="18"/>
                <w:szCs w:val="18"/>
              </w:rPr>
              <w:t>1.681.276</w:t>
            </w:r>
          </w:p>
        </w:tc>
        <w:tc>
          <w:tcPr>
            <w:tcW w:w="674" w:type="pct"/>
            <w:tcBorders>
              <w:top w:val="nil"/>
              <w:left w:val="nil"/>
              <w:bottom w:val="nil"/>
              <w:right w:val="nil"/>
            </w:tcBorders>
            <w:shd w:val="clear" w:color="auto" w:fill="auto"/>
            <w:vAlign w:val="bottom"/>
          </w:tcPr>
          <w:p w14:paraId="66479EFE" w14:textId="6FB5E529" w:rsidR="00D96540" w:rsidRPr="00FD7170" w:rsidRDefault="00D96540" w:rsidP="00D96540">
            <w:pPr>
              <w:spacing w:after="0" w:line="280" w:lineRule="exact"/>
              <w:jc w:val="right"/>
              <w:rPr>
                <w:rFonts w:cs="Arial"/>
                <w:sz w:val="18"/>
                <w:szCs w:val="18"/>
              </w:rPr>
            </w:pPr>
            <w:r w:rsidRPr="00FD7170">
              <w:rPr>
                <w:rFonts w:ascii="Calibri" w:hAnsi="Calibri" w:cs="Arial"/>
                <w:sz w:val="18"/>
                <w:szCs w:val="18"/>
              </w:rPr>
              <w:t>491.243</w:t>
            </w:r>
          </w:p>
        </w:tc>
        <w:tc>
          <w:tcPr>
            <w:tcW w:w="675" w:type="pct"/>
            <w:tcBorders>
              <w:top w:val="nil"/>
              <w:left w:val="nil"/>
              <w:bottom w:val="nil"/>
              <w:right w:val="nil"/>
            </w:tcBorders>
            <w:shd w:val="clear" w:color="auto" w:fill="auto"/>
            <w:vAlign w:val="center"/>
          </w:tcPr>
          <w:p w14:paraId="64AB544E" w14:textId="74D7021C" w:rsidR="00D96540" w:rsidRPr="000E5941" w:rsidRDefault="00D96540" w:rsidP="00D96540">
            <w:pPr>
              <w:spacing w:after="0" w:line="280" w:lineRule="exact"/>
              <w:jc w:val="right"/>
              <w:rPr>
                <w:rFonts w:ascii="Calibri" w:hAnsi="Calibri" w:cs="Arial"/>
                <w:sz w:val="18"/>
                <w:szCs w:val="18"/>
              </w:rPr>
            </w:pPr>
            <w:r w:rsidRPr="00312975">
              <w:rPr>
                <w:rFonts w:ascii="Calibri" w:hAnsi="Calibri" w:cs="Arial"/>
                <w:sz w:val="18"/>
                <w:szCs w:val="18"/>
              </w:rPr>
              <w:t>1.680.018</w:t>
            </w:r>
          </w:p>
        </w:tc>
        <w:tc>
          <w:tcPr>
            <w:tcW w:w="673" w:type="pct"/>
            <w:tcBorders>
              <w:top w:val="nil"/>
              <w:left w:val="nil"/>
              <w:bottom w:val="nil"/>
              <w:right w:val="nil"/>
            </w:tcBorders>
            <w:shd w:val="clear" w:color="auto" w:fill="auto"/>
            <w:vAlign w:val="bottom"/>
          </w:tcPr>
          <w:p w14:paraId="1BCE32F8" w14:textId="17BF5033" w:rsidR="00D96540" w:rsidRPr="00FD7170" w:rsidRDefault="00D96540" w:rsidP="00D96540">
            <w:pPr>
              <w:spacing w:after="0" w:line="280" w:lineRule="exact"/>
              <w:jc w:val="right"/>
              <w:rPr>
                <w:rFonts w:cs="Arial"/>
                <w:sz w:val="18"/>
                <w:szCs w:val="18"/>
              </w:rPr>
            </w:pPr>
            <w:r w:rsidRPr="00FD7170">
              <w:rPr>
                <w:rFonts w:ascii="Calibri" w:hAnsi="Calibri" w:cs="Arial"/>
                <w:sz w:val="18"/>
                <w:szCs w:val="18"/>
              </w:rPr>
              <w:t>490.692</w:t>
            </w:r>
          </w:p>
        </w:tc>
      </w:tr>
      <w:tr w:rsidR="00D96540" w:rsidRPr="00C5513D" w14:paraId="5754B71F" w14:textId="77777777" w:rsidTr="00312975">
        <w:tc>
          <w:tcPr>
            <w:tcW w:w="2302" w:type="pct"/>
          </w:tcPr>
          <w:p w14:paraId="40B4FF86" w14:textId="77777777" w:rsidR="00D96540" w:rsidRPr="00D12EBA" w:rsidRDefault="00D96540" w:rsidP="00D96540">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Depoziti kod drugih banaka</w:t>
            </w:r>
          </w:p>
        </w:tc>
        <w:tc>
          <w:tcPr>
            <w:tcW w:w="675" w:type="pct"/>
            <w:tcBorders>
              <w:top w:val="nil"/>
              <w:left w:val="nil"/>
              <w:bottom w:val="nil"/>
              <w:right w:val="nil"/>
            </w:tcBorders>
            <w:shd w:val="clear" w:color="auto" w:fill="auto"/>
            <w:vAlign w:val="center"/>
          </w:tcPr>
          <w:p w14:paraId="7ABB7E09" w14:textId="7778F4C3" w:rsidR="00D96540" w:rsidRPr="000E5941" w:rsidRDefault="00D96540" w:rsidP="00D96540">
            <w:pPr>
              <w:spacing w:after="0" w:line="280" w:lineRule="exact"/>
              <w:jc w:val="right"/>
              <w:rPr>
                <w:rFonts w:ascii="Calibri" w:hAnsi="Calibri" w:cs="Arial"/>
                <w:sz w:val="18"/>
                <w:szCs w:val="18"/>
              </w:rPr>
            </w:pPr>
            <w:r w:rsidRPr="00312975">
              <w:rPr>
                <w:rFonts w:ascii="Calibri" w:hAnsi="Calibri" w:cs="Arial"/>
                <w:sz w:val="18"/>
                <w:szCs w:val="18"/>
              </w:rPr>
              <w:t>1.548</w:t>
            </w:r>
          </w:p>
        </w:tc>
        <w:tc>
          <w:tcPr>
            <w:tcW w:w="674" w:type="pct"/>
            <w:tcBorders>
              <w:top w:val="nil"/>
              <w:left w:val="nil"/>
              <w:bottom w:val="nil"/>
              <w:right w:val="nil"/>
            </w:tcBorders>
            <w:shd w:val="clear" w:color="auto" w:fill="auto"/>
            <w:vAlign w:val="bottom"/>
          </w:tcPr>
          <w:p w14:paraId="05DF0E9E" w14:textId="302540BE" w:rsidR="00D96540" w:rsidRPr="00FD7170" w:rsidRDefault="00D96540" w:rsidP="00D96540">
            <w:pPr>
              <w:spacing w:after="0" w:line="280" w:lineRule="exact"/>
              <w:jc w:val="right"/>
              <w:rPr>
                <w:rFonts w:cs="Arial"/>
                <w:sz w:val="18"/>
                <w:szCs w:val="18"/>
              </w:rPr>
            </w:pPr>
            <w:r w:rsidRPr="00FD7170">
              <w:rPr>
                <w:rFonts w:ascii="Calibri" w:hAnsi="Calibri" w:cs="Arial"/>
                <w:sz w:val="18"/>
                <w:szCs w:val="18"/>
              </w:rPr>
              <w:t>23.872</w:t>
            </w:r>
          </w:p>
        </w:tc>
        <w:tc>
          <w:tcPr>
            <w:tcW w:w="675" w:type="pct"/>
            <w:tcBorders>
              <w:top w:val="nil"/>
              <w:left w:val="nil"/>
              <w:bottom w:val="nil"/>
              <w:right w:val="nil"/>
            </w:tcBorders>
            <w:shd w:val="clear" w:color="auto" w:fill="auto"/>
            <w:vAlign w:val="center"/>
          </w:tcPr>
          <w:p w14:paraId="594073E0" w14:textId="7652E222" w:rsidR="00D96540" w:rsidRPr="000E5941" w:rsidRDefault="00D96540" w:rsidP="00D96540">
            <w:pPr>
              <w:spacing w:after="0" w:line="280" w:lineRule="exact"/>
              <w:jc w:val="right"/>
              <w:rPr>
                <w:rFonts w:ascii="Calibri" w:hAnsi="Calibri" w:cs="Arial"/>
                <w:sz w:val="18"/>
                <w:szCs w:val="18"/>
              </w:rPr>
            </w:pPr>
            <w:r w:rsidRPr="00312975">
              <w:rPr>
                <w:rFonts w:ascii="Calibri" w:hAnsi="Calibri" w:cs="Arial"/>
                <w:sz w:val="18"/>
                <w:szCs w:val="18"/>
              </w:rPr>
              <w:t>1.548</w:t>
            </w:r>
          </w:p>
        </w:tc>
        <w:tc>
          <w:tcPr>
            <w:tcW w:w="673" w:type="pct"/>
            <w:tcBorders>
              <w:top w:val="nil"/>
              <w:left w:val="nil"/>
              <w:bottom w:val="nil"/>
              <w:right w:val="nil"/>
            </w:tcBorders>
            <w:shd w:val="clear" w:color="auto" w:fill="auto"/>
            <w:vAlign w:val="bottom"/>
          </w:tcPr>
          <w:p w14:paraId="18AA4639" w14:textId="2174720C" w:rsidR="00D96540" w:rsidRPr="00FD7170" w:rsidRDefault="00D96540" w:rsidP="00D96540">
            <w:pPr>
              <w:spacing w:after="0" w:line="280" w:lineRule="exact"/>
              <w:jc w:val="right"/>
              <w:rPr>
                <w:rFonts w:cs="Arial"/>
                <w:sz w:val="18"/>
                <w:szCs w:val="18"/>
              </w:rPr>
            </w:pPr>
            <w:r w:rsidRPr="00FD7170">
              <w:rPr>
                <w:rFonts w:ascii="Calibri" w:hAnsi="Calibri" w:cs="Arial"/>
                <w:sz w:val="18"/>
                <w:szCs w:val="18"/>
              </w:rPr>
              <w:t>23.872</w:t>
            </w:r>
          </w:p>
        </w:tc>
      </w:tr>
      <w:tr w:rsidR="00D96540" w:rsidRPr="00C5513D" w14:paraId="193E9F64" w14:textId="77777777" w:rsidTr="00312975">
        <w:tc>
          <w:tcPr>
            <w:tcW w:w="2302" w:type="pct"/>
          </w:tcPr>
          <w:p w14:paraId="680205DD" w14:textId="77777777" w:rsidR="00D96540" w:rsidRPr="00D12EBA" w:rsidRDefault="00D96540" w:rsidP="00D96540">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Krediti financijskim institucijama</w:t>
            </w:r>
          </w:p>
        </w:tc>
        <w:tc>
          <w:tcPr>
            <w:tcW w:w="675" w:type="pct"/>
            <w:tcBorders>
              <w:top w:val="nil"/>
              <w:left w:val="nil"/>
              <w:bottom w:val="nil"/>
              <w:right w:val="nil"/>
            </w:tcBorders>
            <w:shd w:val="clear" w:color="auto" w:fill="auto"/>
            <w:vAlign w:val="center"/>
          </w:tcPr>
          <w:p w14:paraId="30A7D4D0" w14:textId="64BA37F2" w:rsidR="00D96540" w:rsidRPr="000E5941" w:rsidRDefault="00D96540" w:rsidP="00D96540">
            <w:pPr>
              <w:spacing w:after="0" w:line="280" w:lineRule="exact"/>
              <w:jc w:val="right"/>
              <w:rPr>
                <w:rFonts w:ascii="Calibri" w:hAnsi="Calibri" w:cs="Arial"/>
                <w:sz w:val="18"/>
                <w:szCs w:val="18"/>
              </w:rPr>
            </w:pPr>
            <w:r w:rsidRPr="00312975">
              <w:rPr>
                <w:rFonts w:ascii="Calibri" w:hAnsi="Calibri" w:cs="Arial"/>
                <w:sz w:val="18"/>
                <w:szCs w:val="18"/>
              </w:rPr>
              <w:t>11.313.502</w:t>
            </w:r>
          </w:p>
        </w:tc>
        <w:tc>
          <w:tcPr>
            <w:tcW w:w="674" w:type="pct"/>
            <w:tcBorders>
              <w:top w:val="nil"/>
              <w:left w:val="nil"/>
              <w:bottom w:val="nil"/>
              <w:right w:val="nil"/>
            </w:tcBorders>
            <w:shd w:val="clear" w:color="auto" w:fill="auto"/>
            <w:vAlign w:val="bottom"/>
          </w:tcPr>
          <w:p w14:paraId="319C0E20" w14:textId="203193C4" w:rsidR="00D96540" w:rsidRPr="00FD7170" w:rsidRDefault="00D96540" w:rsidP="00D96540">
            <w:pPr>
              <w:spacing w:after="0" w:line="280" w:lineRule="exact"/>
              <w:jc w:val="right"/>
              <w:rPr>
                <w:rFonts w:cs="Arial"/>
                <w:sz w:val="18"/>
                <w:szCs w:val="18"/>
              </w:rPr>
            </w:pPr>
            <w:r w:rsidRPr="00FD7170">
              <w:rPr>
                <w:rFonts w:ascii="Calibri" w:hAnsi="Calibri" w:cs="Arial"/>
                <w:sz w:val="18"/>
                <w:szCs w:val="18"/>
              </w:rPr>
              <w:t>11.889.111</w:t>
            </w:r>
          </w:p>
        </w:tc>
        <w:tc>
          <w:tcPr>
            <w:tcW w:w="675" w:type="pct"/>
            <w:tcBorders>
              <w:top w:val="nil"/>
              <w:left w:val="nil"/>
              <w:bottom w:val="nil"/>
              <w:right w:val="nil"/>
            </w:tcBorders>
            <w:shd w:val="clear" w:color="auto" w:fill="auto"/>
            <w:vAlign w:val="center"/>
          </w:tcPr>
          <w:p w14:paraId="4AD69DF1" w14:textId="57013A05" w:rsidR="00D96540" w:rsidRPr="000E5941" w:rsidRDefault="00D96540" w:rsidP="00D96540">
            <w:pPr>
              <w:spacing w:after="0" w:line="280" w:lineRule="exact"/>
              <w:jc w:val="right"/>
              <w:rPr>
                <w:rFonts w:ascii="Calibri" w:hAnsi="Calibri" w:cs="Arial"/>
                <w:sz w:val="18"/>
                <w:szCs w:val="18"/>
              </w:rPr>
            </w:pPr>
            <w:r w:rsidRPr="00312975">
              <w:rPr>
                <w:rFonts w:ascii="Calibri" w:hAnsi="Calibri" w:cs="Arial"/>
                <w:sz w:val="18"/>
                <w:szCs w:val="18"/>
              </w:rPr>
              <w:t>11.313.502</w:t>
            </w:r>
          </w:p>
        </w:tc>
        <w:tc>
          <w:tcPr>
            <w:tcW w:w="673" w:type="pct"/>
            <w:tcBorders>
              <w:top w:val="nil"/>
              <w:left w:val="nil"/>
              <w:bottom w:val="nil"/>
              <w:right w:val="nil"/>
            </w:tcBorders>
            <w:shd w:val="clear" w:color="auto" w:fill="auto"/>
            <w:vAlign w:val="bottom"/>
          </w:tcPr>
          <w:p w14:paraId="267608DC" w14:textId="0B47EEB6" w:rsidR="00D96540" w:rsidRPr="00FD7170" w:rsidRDefault="00D96540" w:rsidP="00D96540">
            <w:pPr>
              <w:spacing w:after="0" w:line="280" w:lineRule="exact"/>
              <w:jc w:val="right"/>
              <w:rPr>
                <w:rFonts w:cs="Arial"/>
                <w:sz w:val="18"/>
                <w:szCs w:val="18"/>
              </w:rPr>
            </w:pPr>
            <w:r w:rsidRPr="00FD7170">
              <w:rPr>
                <w:rFonts w:ascii="Calibri" w:hAnsi="Calibri" w:cs="Arial"/>
                <w:sz w:val="18"/>
                <w:szCs w:val="18"/>
              </w:rPr>
              <w:t>11.889.111</w:t>
            </w:r>
          </w:p>
        </w:tc>
      </w:tr>
      <w:tr w:rsidR="00D96540" w:rsidRPr="00C5513D" w14:paraId="43A865EB" w14:textId="77777777" w:rsidTr="00312975">
        <w:tc>
          <w:tcPr>
            <w:tcW w:w="2302" w:type="pct"/>
          </w:tcPr>
          <w:p w14:paraId="12756D0A" w14:textId="77777777" w:rsidR="00D96540" w:rsidRPr="00D12EBA" w:rsidRDefault="00D96540" w:rsidP="00D96540">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Krediti ostalim korisnicima</w:t>
            </w:r>
          </w:p>
        </w:tc>
        <w:tc>
          <w:tcPr>
            <w:tcW w:w="675" w:type="pct"/>
            <w:tcBorders>
              <w:top w:val="nil"/>
              <w:left w:val="nil"/>
              <w:bottom w:val="nil"/>
              <w:right w:val="nil"/>
            </w:tcBorders>
            <w:shd w:val="clear" w:color="auto" w:fill="auto"/>
            <w:vAlign w:val="center"/>
          </w:tcPr>
          <w:p w14:paraId="3DE4C477" w14:textId="651BBC5D" w:rsidR="00D96540" w:rsidRPr="000E5941" w:rsidRDefault="00D96540" w:rsidP="00D96540">
            <w:pPr>
              <w:spacing w:after="0" w:line="280" w:lineRule="exact"/>
              <w:jc w:val="right"/>
              <w:rPr>
                <w:rFonts w:ascii="Calibri" w:hAnsi="Calibri" w:cs="Arial"/>
                <w:sz w:val="18"/>
                <w:szCs w:val="18"/>
              </w:rPr>
            </w:pPr>
            <w:r w:rsidRPr="00312975">
              <w:rPr>
                <w:rFonts w:ascii="Calibri" w:hAnsi="Calibri" w:cs="Arial"/>
                <w:sz w:val="18"/>
                <w:szCs w:val="18"/>
              </w:rPr>
              <w:t>11.647.114</w:t>
            </w:r>
          </w:p>
        </w:tc>
        <w:tc>
          <w:tcPr>
            <w:tcW w:w="674" w:type="pct"/>
            <w:tcBorders>
              <w:top w:val="nil"/>
              <w:left w:val="nil"/>
              <w:bottom w:val="nil"/>
              <w:right w:val="nil"/>
            </w:tcBorders>
            <w:shd w:val="clear" w:color="auto" w:fill="auto"/>
            <w:vAlign w:val="bottom"/>
          </w:tcPr>
          <w:p w14:paraId="0C51ED0A" w14:textId="28FE7868" w:rsidR="00D96540" w:rsidRPr="00FD7170" w:rsidRDefault="00D96540" w:rsidP="00D96540">
            <w:pPr>
              <w:spacing w:after="0" w:line="280" w:lineRule="exact"/>
              <w:jc w:val="right"/>
              <w:rPr>
                <w:rFonts w:cs="Arial"/>
                <w:sz w:val="18"/>
                <w:szCs w:val="18"/>
              </w:rPr>
            </w:pPr>
            <w:r w:rsidRPr="00FD7170">
              <w:rPr>
                <w:rFonts w:ascii="Calibri" w:hAnsi="Calibri" w:cs="Arial"/>
                <w:sz w:val="18"/>
                <w:szCs w:val="18"/>
              </w:rPr>
              <w:t>11.511.194</w:t>
            </w:r>
          </w:p>
        </w:tc>
        <w:tc>
          <w:tcPr>
            <w:tcW w:w="675" w:type="pct"/>
            <w:tcBorders>
              <w:top w:val="nil"/>
              <w:left w:val="nil"/>
              <w:bottom w:val="nil"/>
              <w:right w:val="nil"/>
            </w:tcBorders>
            <w:shd w:val="clear" w:color="auto" w:fill="auto"/>
            <w:vAlign w:val="center"/>
          </w:tcPr>
          <w:p w14:paraId="3DFF4A03" w14:textId="741620DC" w:rsidR="00D96540" w:rsidRPr="000E5941" w:rsidRDefault="00D96540" w:rsidP="00D96540">
            <w:pPr>
              <w:spacing w:after="0" w:line="280" w:lineRule="exact"/>
              <w:jc w:val="right"/>
              <w:rPr>
                <w:rFonts w:ascii="Calibri" w:hAnsi="Calibri" w:cs="Arial"/>
                <w:sz w:val="18"/>
                <w:szCs w:val="18"/>
              </w:rPr>
            </w:pPr>
            <w:r w:rsidRPr="00312975">
              <w:rPr>
                <w:rFonts w:ascii="Calibri" w:hAnsi="Calibri" w:cs="Arial"/>
                <w:sz w:val="18"/>
                <w:szCs w:val="18"/>
              </w:rPr>
              <w:t>11.647.114</w:t>
            </w:r>
          </w:p>
        </w:tc>
        <w:tc>
          <w:tcPr>
            <w:tcW w:w="673" w:type="pct"/>
            <w:tcBorders>
              <w:top w:val="nil"/>
              <w:left w:val="nil"/>
              <w:bottom w:val="nil"/>
              <w:right w:val="nil"/>
            </w:tcBorders>
            <w:shd w:val="clear" w:color="auto" w:fill="auto"/>
            <w:vAlign w:val="bottom"/>
          </w:tcPr>
          <w:p w14:paraId="05C72378" w14:textId="619D6002" w:rsidR="00D96540" w:rsidRPr="00FD7170" w:rsidRDefault="00D96540" w:rsidP="00D96540">
            <w:pPr>
              <w:spacing w:after="0" w:line="280" w:lineRule="exact"/>
              <w:jc w:val="right"/>
              <w:rPr>
                <w:rFonts w:cs="Arial"/>
                <w:sz w:val="18"/>
                <w:szCs w:val="18"/>
              </w:rPr>
            </w:pPr>
            <w:r w:rsidRPr="00FD7170">
              <w:rPr>
                <w:rFonts w:ascii="Calibri" w:hAnsi="Calibri" w:cs="Arial"/>
                <w:sz w:val="18"/>
                <w:szCs w:val="18"/>
              </w:rPr>
              <w:t>11.511.194</w:t>
            </w:r>
          </w:p>
        </w:tc>
      </w:tr>
      <w:tr w:rsidR="00D96540" w:rsidRPr="00C5513D" w14:paraId="5FF0F379" w14:textId="77777777" w:rsidTr="00312975">
        <w:tc>
          <w:tcPr>
            <w:tcW w:w="2302" w:type="pct"/>
          </w:tcPr>
          <w:p w14:paraId="2E5AD279" w14:textId="77777777" w:rsidR="00D96540" w:rsidRPr="00D12EBA" w:rsidRDefault="00D96540" w:rsidP="00D96540">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 xml:space="preserve">Financijska imovina po fer vrijednosti kroz izvještaj o dobiti i gubitku </w:t>
            </w:r>
          </w:p>
        </w:tc>
        <w:tc>
          <w:tcPr>
            <w:tcW w:w="675" w:type="pct"/>
            <w:tcBorders>
              <w:top w:val="nil"/>
              <w:left w:val="nil"/>
              <w:bottom w:val="nil"/>
              <w:right w:val="nil"/>
            </w:tcBorders>
            <w:shd w:val="clear" w:color="auto" w:fill="auto"/>
            <w:vAlign w:val="bottom"/>
          </w:tcPr>
          <w:p w14:paraId="6D492739" w14:textId="0FF79967" w:rsidR="00D96540" w:rsidRPr="000E5941" w:rsidRDefault="00D96540" w:rsidP="00D96540">
            <w:pPr>
              <w:spacing w:after="0" w:line="280" w:lineRule="exact"/>
              <w:jc w:val="right"/>
              <w:rPr>
                <w:rFonts w:ascii="Calibri" w:hAnsi="Calibri" w:cs="Arial"/>
                <w:sz w:val="18"/>
                <w:szCs w:val="18"/>
              </w:rPr>
            </w:pPr>
            <w:r w:rsidRPr="00312975">
              <w:rPr>
                <w:rFonts w:ascii="Calibri" w:hAnsi="Calibri" w:cs="Arial"/>
                <w:sz w:val="18"/>
                <w:szCs w:val="18"/>
              </w:rPr>
              <w:t>284</w:t>
            </w:r>
          </w:p>
        </w:tc>
        <w:tc>
          <w:tcPr>
            <w:tcW w:w="674" w:type="pct"/>
            <w:tcBorders>
              <w:top w:val="nil"/>
              <w:left w:val="nil"/>
              <w:bottom w:val="nil"/>
              <w:right w:val="nil"/>
            </w:tcBorders>
            <w:shd w:val="clear" w:color="auto" w:fill="auto"/>
            <w:vAlign w:val="bottom"/>
          </w:tcPr>
          <w:p w14:paraId="2A72A98C" w14:textId="455DFC15" w:rsidR="00D96540" w:rsidRPr="00FD7170" w:rsidRDefault="00D96540" w:rsidP="00D96540">
            <w:pPr>
              <w:spacing w:after="0" w:line="280" w:lineRule="exact"/>
              <w:jc w:val="right"/>
              <w:rPr>
                <w:rFonts w:cs="Arial"/>
                <w:sz w:val="18"/>
                <w:szCs w:val="18"/>
              </w:rPr>
            </w:pPr>
            <w:r w:rsidRPr="00FD7170">
              <w:rPr>
                <w:rFonts w:ascii="Calibri" w:hAnsi="Calibri" w:cs="Arial"/>
                <w:sz w:val="18"/>
                <w:szCs w:val="18"/>
              </w:rPr>
              <w:t>286</w:t>
            </w:r>
          </w:p>
        </w:tc>
        <w:tc>
          <w:tcPr>
            <w:tcW w:w="675" w:type="pct"/>
            <w:tcBorders>
              <w:top w:val="nil"/>
              <w:left w:val="nil"/>
              <w:bottom w:val="nil"/>
              <w:right w:val="nil"/>
            </w:tcBorders>
            <w:shd w:val="clear" w:color="auto" w:fill="auto"/>
            <w:vAlign w:val="bottom"/>
          </w:tcPr>
          <w:p w14:paraId="0BDF32CF" w14:textId="28C4B31A" w:rsidR="00D96540" w:rsidRPr="000E5941" w:rsidRDefault="00D96540" w:rsidP="00D96540">
            <w:pPr>
              <w:spacing w:after="0" w:line="280" w:lineRule="exact"/>
              <w:jc w:val="right"/>
              <w:rPr>
                <w:rFonts w:ascii="Calibri" w:hAnsi="Calibri" w:cs="Arial"/>
                <w:sz w:val="18"/>
                <w:szCs w:val="18"/>
              </w:rPr>
            </w:pPr>
            <w:r w:rsidRPr="00312975">
              <w:rPr>
                <w:rFonts w:ascii="Calibri" w:hAnsi="Calibri" w:cs="Arial"/>
                <w:sz w:val="18"/>
                <w:szCs w:val="18"/>
              </w:rPr>
              <w:t>-</w:t>
            </w:r>
          </w:p>
        </w:tc>
        <w:tc>
          <w:tcPr>
            <w:tcW w:w="673" w:type="pct"/>
            <w:tcBorders>
              <w:top w:val="nil"/>
              <w:left w:val="nil"/>
              <w:bottom w:val="nil"/>
              <w:right w:val="nil"/>
            </w:tcBorders>
            <w:shd w:val="clear" w:color="auto" w:fill="auto"/>
            <w:vAlign w:val="bottom"/>
          </w:tcPr>
          <w:p w14:paraId="0CACE59A" w14:textId="6D7906CA" w:rsidR="00D96540" w:rsidRPr="00FD7170" w:rsidRDefault="00D96540" w:rsidP="00D96540">
            <w:pPr>
              <w:spacing w:after="0" w:line="280" w:lineRule="exact"/>
              <w:jc w:val="right"/>
              <w:rPr>
                <w:rFonts w:cs="Arial"/>
                <w:sz w:val="18"/>
                <w:szCs w:val="18"/>
              </w:rPr>
            </w:pPr>
            <w:r w:rsidRPr="00FD7170">
              <w:rPr>
                <w:rFonts w:ascii="Calibri" w:hAnsi="Calibri" w:cs="Arial"/>
                <w:sz w:val="18"/>
                <w:szCs w:val="18"/>
              </w:rPr>
              <w:t>-</w:t>
            </w:r>
          </w:p>
        </w:tc>
      </w:tr>
      <w:tr w:rsidR="00D96540" w:rsidRPr="00C5513D" w14:paraId="38F86078" w14:textId="77777777" w:rsidTr="00312975">
        <w:tc>
          <w:tcPr>
            <w:tcW w:w="2302" w:type="pct"/>
          </w:tcPr>
          <w:p w14:paraId="39B96171" w14:textId="77777777" w:rsidR="00D96540" w:rsidRPr="00D12EBA" w:rsidRDefault="00D96540" w:rsidP="00D96540">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Imovina raspoloživa za prodaju</w:t>
            </w:r>
          </w:p>
        </w:tc>
        <w:tc>
          <w:tcPr>
            <w:tcW w:w="675" w:type="pct"/>
            <w:tcBorders>
              <w:top w:val="nil"/>
              <w:left w:val="nil"/>
              <w:bottom w:val="nil"/>
              <w:right w:val="nil"/>
            </w:tcBorders>
            <w:shd w:val="clear" w:color="auto" w:fill="auto"/>
            <w:vAlign w:val="bottom"/>
          </w:tcPr>
          <w:p w14:paraId="17DC08E4" w14:textId="1D17A624" w:rsidR="00D96540" w:rsidRPr="000E5941" w:rsidRDefault="00D96540" w:rsidP="00D96540">
            <w:pPr>
              <w:spacing w:after="0" w:line="280" w:lineRule="exact"/>
              <w:jc w:val="right"/>
              <w:rPr>
                <w:rFonts w:ascii="Calibri" w:hAnsi="Calibri" w:cs="Arial"/>
                <w:sz w:val="18"/>
                <w:szCs w:val="18"/>
              </w:rPr>
            </w:pPr>
            <w:r w:rsidRPr="00312975">
              <w:rPr>
                <w:rFonts w:ascii="Calibri" w:hAnsi="Calibri" w:cs="Arial"/>
                <w:sz w:val="18"/>
                <w:szCs w:val="18"/>
              </w:rPr>
              <w:t>3.060.953</w:t>
            </w:r>
          </w:p>
        </w:tc>
        <w:tc>
          <w:tcPr>
            <w:tcW w:w="674" w:type="pct"/>
            <w:tcBorders>
              <w:top w:val="nil"/>
              <w:left w:val="nil"/>
              <w:bottom w:val="nil"/>
              <w:right w:val="nil"/>
            </w:tcBorders>
            <w:shd w:val="clear" w:color="auto" w:fill="auto"/>
            <w:vAlign w:val="bottom"/>
          </w:tcPr>
          <w:p w14:paraId="6F4DC853" w14:textId="419C845A" w:rsidR="00D96540" w:rsidRPr="00FD7170" w:rsidRDefault="00D96540" w:rsidP="00D96540">
            <w:pPr>
              <w:spacing w:after="0" w:line="280" w:lineRule="exact"/>
              <w:jc w:val="right"/>
              <w:rPr>
                <w:rFonts w:cs="Arial"/>
                <w:sz w:val="18"/>
                <w:szCs w:val="18"/>
              </w:rPr>
            </w:pPr>
            <w:r w:rsidRPr="00FD7170">
              <w:rPr>
                <w:rFonts w:ascii="Calibri" w:hAnsi="Calibri" w:cs="Arial"/>
                <w:sz w:val="18"/>
                <w:szCs w:val="18"/>
              </w:rPr>
              <w:t>3.353.086</w:t>
            </w:r>
          </w:p>
        </w:tc>
        <w:tc>
          <w:tcPr>
            <w:tcW w:w="675" w:type="pct"/>
            <w:tcBorders>
              <w:top w:val="nil"/>
              <w:left w:val="nil"/>
              <w:bottom w:val="nil"/>
              <w:right w:val="nil"/>
            </w:tcBorders>
            <w:shd w:val="clear" w:color="auto" w:fill="auto"/>
            <w:vAlign w:val="center"/>
          </w:tcPr>
          <w:p w14:paraId="160B0C85" w14:textId="2F4D87AC" w:rsidR="00D96540" w:rsidRPr="000E5941" w:rsidRDefault="00D96540" w:rsidP="00D96540">
            <w:pPr>
              <w:spacing w:after="0" w:line="280" w:lineRule="exact"/>
              <w:jc w:val="right"/>
              <w:rPr>
                <w:rFonts w:ascii="Calibri" w:hAnsi="Calibri" w:cs="Arial"/>
                <w:sz w:val="18"/>
                <w:szCs w:val="18"/>
              </w:rPr>
            </w:pPr>
            <w:r w:rsidRPr="00312975">
              <w:rPr>
                <w:rFonts w:ascii="Calibri" w:hAnsi="Calibri" w:cs="Arial"/>
                <w:sz w:val="18"/>
                <w:szCs w:val="18"/>
              </w:rPr>
              <w:t>3.011.728</w:t>
            </w:r>
          </w:p>
        </w:tc>
        <w:tc>
          <w:tcPr>
            <w:tcW w:w="673" w:type="pct"/>
            <w:tcBorders>
              <w:top w:val="nil"/>
              <w:left w:val="nil"/>
              <w:bottom w:val="nil"/>
              <w:right w:val="nil"/>
            </w:tcBorders>
            <w:shd w:val="clear" w:color="auto" w:fill="auto"/>
            <w:vAlign w:val="bottom"/>
          </w:tcPr>
          <w:p w14:paraId="40EC013D" w14:textId="570659F5" w:rsidR="00D96540" w:rsidRPr="00FD7170" w:rsidRDefault="00D96540" w:rsidP="00D96540">
            <w:pPr>
              <w:spacing w:after="0" w:line="280" w:lineRule="exact"/>
              <w:jc w:val="right"/>
              <w:rPr>
                <w:rFonts w:cs="Arial"/>
                <w:sz w:val="18"/>
                <w:szCs w:val="18"/>
              </w:rPr>
            </w:pPr>
            <w:r w:rsidRPr="00FD7170">
              <w:rPr>
                <w:rFonts w:ascii="Calibri" w:hAnsi="Calibri" w:cs="Arial"/>
                <w:sz w:val="18"/>
                <w:szCs w:val="18"/>
              </w:rPr>
              <w:t>3.306.628</w:t>
            </w:r>
          </w:p>
        </w:tc>
      </w:tr>
      <w:tr w:rsidR="00D96540" w:rsidRPr="00C5513D" w14:paraId="65EEB685" w14:textId="77777777" w:rsidTr="00312975">
        <w:tc>
          <w:tcPr>
            <w:tcW w:w="2302" w:type="pct"/>
          </w:tcPr>
          <w:p w14:paraId="2B99B73C" w14:textId="77777777" w:rsidR="00D96540" w:rsidRPr="00D12EBA" w:rsidRDefault="00D96540" w:rsidP="00D96540">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Imovina koja se drži do dospijeća</w:t>
            </w:r>
          </w:p>
        </w:tc>
        <w:tc>
          <w:tcPr>
            <w:tcW w:w="675" w:type="pct"/>
            <w:tcBorders>
              <w:top w:val="nil"/>
              <w:left w:val="nil"/>
              <w:right w:val="nil"/>
            </w:tcBorders>
            <w:shd w:val="clear" w:color="auto" w:fill="auto"/>
            <w:vAlign w:val="center"/>
          </w:tcPr>
          <w:p w14:paraId="431731E4" w14:textId="4C5AAE18" w:rsidR="00D96540" w:rsidRPr="000E5941" w:rsidRDefault="00D96540" w:rsidP="00D96540">
            <w:pPr>
              <w:spacing w:after="0" w:line="280" w:lineRule="exact"/>
              <w:jc w:val="right"/>
              <w:rPr>
                <w:rFonts w:ascii="Calibri" w:hAnsi="Calibri" w:cs="Arial"/>
                <w:sz w:val="18"/>
                <w:szCs w:val="18"/>
              </w:rPr>
            </w:pPr>
            <w:r w:rsidRPr="00312975">
              <w:rPr>
                <w:rFonts w:ascii="Calibri" w:hAnsi="Calibri" w:cs="Arial"/>
                <w:sz w:val="18"/>
                <w:szCs w:val="18"/>
              </w:rPr>
              <w:t>1.390</w:t>
            </w:r>
          </w:p>
        </w:tc>
        <w:tc>
          <w:tcPr>
            <w:tcW w:w="674" w:type="pct"/>
            <w:tcBorders>
              <w:top w:val="nil"/>
              <w:left w:val="nil"/>
              <w:right w:val="nil"/>
            </w:tcBorders>
            <w:shd w:val="clear" w:color="auto" w:fill="auto"/>
            <w:vAlign w:val="bottom"/>
          </w:tcPr>
          <w:p w14:paraId="6BE1E166" w14:textId="2C8E388E" w:rsidR="00D96540" w:rsidRPr="00FD7170" w:rsidRDefault="00D96540" w:rsidP="00D96540">
            <w:pPr>
              <w:spacing w:after="0" w:line="280" w:lineRule="exact"/>
              <w:jc w:val="right"/>
              <w:rPr>
                <w:rFonts w:cs="Arial"/>
                <w:sz w:val="18"/>
                <w:szCs w:val="18"/>
              </w:rPr>
            </w:pPr>
            <w:r w:rsidRPr="00FD7170">
              <w:rPr>
                <w:rFonts w:ascii="Calibri" w:hAnsi="Calibri" w:cs="Arial"/>
                <w:sz w:val="18"/>
                <w:szCs w:val="18"/>
              </w:rPr>
              <w:t>1.422</w:t>
            </w:r>
          </w:p>
        </w:tc>
        <w:tc>
          <w:tcPr>
            <w:tcW w:w="675" w:type="pct"/>
            <w:tcBorders>
              <w:top w:val="nil"/>
              <w:left w:val="nil"/>
              <w:right w:val="nil"/>
            </w:tcBorders>
            <w:shd w:val="clear" w:color="auto" w:fill="auto"/>
            <w:vAlign w:val="center"/>
          </w:tcPr>
          <w:p w14:paraId="539103A2" w14:textId="4DD5BC0A" w:rsidR="00D96540" w:rsidRPr="000E5941" w:rsidRDefault="00D96540" w:rsidP="00D96540">
            <w:pPr>
              <w:spacing w:after="0" w:line="280" w:lineRule="exact"/>
              <w:jc w:val="right"/>
              <w:rPr>
                <w:rFonts w:ascii="Calibri" w:hAnsi="Calibri" w:cs="Arial"/>
                <w:sz w:val="18"/>
                <w:szCs w:val="18"/>
              </w:rPr>
            </w:pPr>
            <w:r w:rsidRPr="00312975">
              <w:rPr>
                <w:rFonts w:ascii="Calibri" w:hAnsi="Calibri" w:cs="Arial"/>
                <w:sz w:val="18"/>
                <w:szCs w:val="18"/>
              </w:rPr>
              <w:t>-</w:t>
            </w:r>
          </w:p>
        </w:tc>
        <w:tc>
          <w:tcPr>
            <w:tcW w:w="673" w:type="pct"/>
            <w:tcBorders>
              <w:top w:val="nil"/>
              <w:left w:val="nil"/>
              <w:right w:val="nil"/>
            </w:tcBorders>
            <w:shd w:val="clear" w:color="auto" w:fill="auto"/>
            <w:vAlign w:val="bottom"/>
          </w:tcPr>
          <w:p w14:paraId="7D45482C" w14:textId="29B5FF78" w:rsidR="00D96540" w:rsidRPr="00FD7170" w:rsidRDefault="00D96540" w:rsidP="00D96540">
            <w:pPr>
              <w:spacing w:after="0" w:line="280" w:lineRule="exact"/>
              <w:jc w:val="right"/>
              <w:rPr>
                <w:rFonts w:cs="Arial"/>
                <w:sz w:val="18"/>
                <w:szCs w:val="18"/>
              </w:rPr>
            </w:pPr>
            <w:r w:rsidRPr="00FD7170">
              <w:rPr>
                <w:rFonts w:ascii="Calibri" w:hAnsi="Calibri" w:cs="Arial"/>
                <w:sz w:val="18"/>
                <w:szCs w:val="18"/>
              </w:rPr>
              <w:t>-</w:t>
            </w:r>
          </w:p>
        </w:tc>
      </w:tr>
      <w:tr w:rsidR="00D96540" w:rsidRPr="00C5513D" w14:paraId="40927ED2" w14:textId="77777777" w:rsidTr="00312975">
        <w:tc>
          <w:tcPr>
            <w:tcW w:w="2302" w:type="pct"/>
          </w:tcPr>
          <w:p w14:paraId="11DCF3F2" w14:textId="77777777" w:rsidR="00D96540" w:rsidRPr="00D12EBA" w:rsidRDefault="00D96540" w:rsidP="00D96540">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Ostala imovina</w:t>
            </w:r>
          </w:p>
        </w:tc>
        <w:tc>
          <w:tcPr>
            <w:tcW w:w="675" w:type="pct"/>
            <w:tcBorders>
              <w:top w:val="nil"/>
              <w:left w:val="nil"/>
              <w:bottom w:val="single" w:sz="4" w:space="0" w:color="auto"/>
              <w:right w:val="nil"/>
            </w:tcBorders>
            <w:shd w:val="clear" w:color="auto" w:fill="auto"/>
            <w:vAlign w:val="center"/>
          </w:tcPr>
          <w:p w14:paraId="64874668" w14:textId="1B9BA600" w:rsidR="00D96540" w:rsidRPr="000E5941" w:rsidRDefault="00D96540" w:rsidP="00D96540">
            <w:pPr>
              <w:spacing w:after="0" w:line="280" w:lineRule="exact"/>
              <w:jc w:val="right"/>
              <w:rPr>
                <w:rFonts w:ascii="Calibri" w:hAnsi="Calibri" w:cs="Arial"/>
                <w:sz w:val="18"/>
                <w:szCs w:val="18"/>
              </w:rPr>
            </w:pPr>
            <w:r w:rsidRPr="00312975">
              <w:rPr>
                <w:rFonts w:ascii="Calibri" w:hAnsi="Calibri" w:cs="Arial"/>
                <w:sz w:val="18"/>
                <w:szCs w:val="18"/>
              </w:rPr>
              <w:t>5.001</w:t>
            </w:r>
          </w:p>
        </w:tc>
        <w:tc>
          <w:tcPr>
            <w:tcW w:w="674" w:type="pct"/>
            <w:tcBorders>
              <w:top w:val="nil"/>
              <w:left w:val="nil"/>
              <w:bottom w:val="single" w:sz="4" w:space="0" w:color="auto"/>
              <w:right w:val="nil"/>
            </w:tcBorders>
            <w:shd w:val="clear" w:color="auto" w:fill="auto"/>
            <w:vAlign w:val="bottom"/>
          </w:tcPr>
          <w:p w14:paraId="34A4E62A" w14:textId="671C5A7A" w:rsidR="00D96540" w:rsidRPr="00312975" w:rsidRDefault="00D96540" w:rsidP="00D96540">
            <w:pPr>
              <w:spacing w:after="0" w:line="280" w:lineRule="exact"/>
              <w:jc w:val="right"/>
              <w:rPr>
                <w:rFonts w:ascii="Calibri" w:hAnsi="Calibri" w:cs="Arial"/>
                <w:sz w:val="18"/>
                <w:szCs w:val="18"/>
              </w:rPr>
            </w:pPr>
            <w:r w:rsidRPr="00FD7170">
              <w:rPr>
                <w:rFonts w:ascii="Calibri" w:hAnsi="Calibri" w:cs="Arial"/>
                <w:sz w:val="18"/>
                <w:szCs w:val="18"/>
              </w:rPr>
              <w:t>6.249</w:t>
            </w:r>
          </w:p>
        </w:tc>
        <w:tc>
          <w:tcPr>
            <w:tcW w:w="675" w:type="pct"/>
            <w:tcBorders>
              <w:top w:val="nil"/>
              <w:left w:val="nil"/>
              <w:bottom w:val="single" w:sz="4" w:space="0" w:color="auto"/>
              <w:right w:val="nil"/>
            </w:tcBorders>
            <w:shd w:val="clear" w:color="auto" w:fill="auto"/>
            <w:vAlign w:val="center"/>
          </w:tcPr>
          <w:p w14:paraId="351E9FB1" w14:textId="3D3C03B9" w:rsidR="00D96540" w:rsidRPr="000E5941" w:rsidRDefault="00D96540" w:rsidP="00D96540">
            <w:pPr>
              <w:spacing w:after="0" w:line="280" w:lineRule="exact"/>
              <w:jc w:val="right"/>
              <w:rPr>
                <w:rFonts w:ascii="Calibri" w:hAnsi="Calibri" w:cs="Arial"/>
                <w:sz w:val="18"/>
                <w:szCs w:val="18"/>
              </w:rPr>
            </w:pPr>
            <w:r w:rsidRPr="00312975">
              <w:rPr>
                <w:rFonts w:ascii="Calibri" w:hAnsi="Calibri" w:cs="Arial"/>
                <w:sz w:val="18"/>
                <w:szCs w:val="18"/>
              </w:rPr>
              <w:t>3.482</w:t>
            </w:r>
          </w:p>
        </w:tc>
        <w:tc>
          <w:tcPr>
            <w:tcW w:w="673" w:type="pct"/>
            <w:tcBorders>
              <w:top w:val="nil"/>
              <w:left w:val="nil"/>
              <w:bottom w:val="single" w:sz="4" w:space="0" w:color="auto"/>
              <w:right w:val="nil"/>
            </w:tcBorders>
            <w:shd w:val="clear" w:color="auto" w:fill="auto"/>
            <w:vAlign w:val="bottom"/>
          </w:tcPr>
          <w:p w14:paraId="72E1193F" w14:textId="461674E9" w:rsidR="00D96540" w:rsidRPr="00FD7170" w:rsidRDefault="00D96540" w:rsidP="00D96540">
            <w:pPr>
              <w:spacing w:after="0" w:line="280" w:lineRule="exact"/>
              <w:jc w:val="right"/>
              <w:rPr>
                <w:rFonts w:cs="Arial"/>
                <w:sz w:val="18"/>
                <w:szCs w:val="18"/>
              </w:rPr>
            </w:pPr>
            <w:r w:rsidRPr="00FD7170">
              <w:rPr>
                <w:rFonts w:ascii="Calibri" w:hAnsi="Calibri" w:cs="Arial"/>
                <w:sz w:val="18"/>
                <w:szCs w:val="18"/>
              </w:rPr>
              <w:t>3.079</w:t>
            </w:r>
          </w:p>
        </w:tc>
      </w:tr>
      <w:tr w:rsidR="00D96540" w:rsidRPr="00C5513D" w14:paraId="613DF136" w14:textId="77777777" w:rsidTr="00312975">
        <w:tc>
          <w:tcPr>
            <w:tcW w:w="2302" w:type="pct"/>
          </w:tcPr>
          <w:p w14:paraId="4F181EB9" w14:textId="77777777" w:rsidR="00D96540" w:rsidRPr="00D12EBA" w:rsidRDefault="00D96540" w:rsidP="00D96540">
            <w:pPr>
              <w:pStyle w:val="Tot"/>
              <w:spacing w:line="300" w:lineRule="exact"/>
              <w:rPr>
                <w:rFonts w:asciiTheme="minorHAnsi" w:hAnsiTheme="minorHAnsi" w:cs="Arial"/>
                <w:b/>
                <w:bCs/>
                <w:sz w:val="18"/>
                <w:szCs w:val="18"/>
                <w:lang w:val="hr-HR"/>
              </w:rPr>
            </w:pPr>
            <w:r w:rsidRPr="00D12EBA">
              <w:rPr>
                <w:rFonts w:asciiTheme="minorHAnsi" w:hAnsiTheme="minorHAnsi" w:cs="Arial"/>
                <w:b/>
                <w:bCs/>
                <w:sz w:val="18"/>
                <w:szCs w:val="18"/>
                <w:lang w:val="hr-HR"/>
              </w:rPr>
              <w:t>Ukupno</w:t>
            </w:r>
          </w:p>
        </w:tc>
        <w:tc>
          <w:tcPr>
            <w:tcW w:w="675" w:type="pct"/>
            <w:tcBorders>
              <w:top w:val="single" w:sz="4" w:space="0" w:color="auto"/>
              <w:left w:val="nil"/>
              <w:bottom w:val="single" w:sz="12" w:space="0" w:color="auto"/>
              <w:right w:val="nil"/>
            </w:tcBorders>
            <w:shd w:val="clear" w:color="auto" w:fill="auto"/>
            <w:vAlign w:val="center"/>
          </w:tcPr>
          <w:p w14:paraId="6B5F7047" w14:textId="4267B31D" w:rsidR="00D96540" w:rsidRPr="00312975" w:rsidRDefault="00D96540" w:rsidP="00D96540">
            <w:pPr>
              <w:spacing w:after="0" w:line="280" w:lineRule="exact"/>
              <w:jc w:val="right"/>
              <w:rPr>
                <w:rFonts w:ascii="Calibri" w:hAnsi="Calibri" w:cs="Arial"/>
                <w:b/>
                <w:sz w:val="18"/>
                <w:szCs w:val="18"/>
              </w:rPr>
            </w:pPr>
            <w:r w:rsidRPr="00312975">
              <w:rPr>
                <w:rFonts w:ascii="Calibri" w:hAnsi="Calibri" w:cs="Arial"/>
                <w:b/>
                <w:sz w:val="18"/>
                <w:szCs w:val="18"/>
              </w:rPr>
              <w:t>27.711.068</w:t>
            </w:r>
          </w:p>
        </w:tc>
        <w:tc>
          <w:tcPr>
            <w:tcW w:w="674" w:type="pct"/>
            <w:tcBorders>
              <w:top w:val="single" w:sz="4" w:space="0" w:color="auto"/>
              <w:bottom w:val="single" w:sz="12" w:space="0" w:color="auto"/>
            </w:tcBorders>
            <w:vAlign w:val="bottom"/>
          </w:tcPr>
          <w:p w14:paraId="4763422A" w14:textId="45C7F1AE" w:rsidR="00D96540" w:rsidRPr="00FD7170" w:rsidRDefault="00D96540" w:rsidP="00D96540">
            <w:pPr>
              <w:spacing w:after="0" w:line="280" w:lineRule="exact"/>
              <w:jc w:val="right"/>
              <w:rPr>
                <w:rFonts w:cs="Arial"/>
                <w:b/>
                <w:sz w:val="18"/>
                <w:szCs w:val="18"/>
              </w:rPr>
            </w:pPr>
            <w:r w:rsidRPr="00FD7170">
              <w:rPr>
                <w:rFonts w:cs="Arial"/>
                <w:b/>
                <w:bCs/>
                <w:sz w:val="18"/>
                <w:szCs w:val="18"/>
              </w:rPr>
              <w:t>27.276.463</w:t>
            </w:r>
          </w:p>
        </w:tc>
        <w:tc>
          <w:tcPr>
            <w:tcW w:w="675" w:type="pct"/>
            <w:tcBorders>
              <w:top w:val="single" w:sz="4" w:space="0" w:color="auto"/>
              <w:left w:val="nil"/>
              <w:bottom w:val="single" w:sz="12" w:space="0" w:color="auto"/>
              <w:right w:val="nil"/>
            </w:tcBorders>
            <w:shd w:val="clear" w:color="auto" w:fill="auto"/>
            <w:vAlign w:val="center"/>
          </w:tcPr>
          <w:p w14:paraId="45EE0E2A" w14:textId="1F4F3063" w:rsidR="00D96540" w:rsidRPr="00312975" w:rsidRDefault="00D96540" w:rsidP="00D96540">
            <w:pPr>
              <w:spacing w:after="0" w:line="280" w:lineRule="exact"/>
              <w:jc w:val="right"/>
              <w:rPr>
                <w:rFonts w:ascii="Calibri" w:hAnsi="Calibri" w:cs="Arial"/>
                <w:b/>
                <w:sz w:val="18"/>
                <w:szCs w:val="18"/>
              </w:rPr>
            </w:pPr>
            <w:r w:rsidRPr="00312975">
              <w:rPr>
                <w:rFonts w:ascii="Calibri" w:hAnsi="Calibri" w:cs="Arial"/>
                <w:b/>
                <w:sz w:val="18"/>
                <w:szCs w:val="18"/>
              </w:rPr>
              <w:t>27.657.392</w:t>
            </w:r>
          </w:p>
        </w:tc>
        <w:tc>
          <w:tcPr>
            <w:tcW w:w="673" w:type="pct"/>
            <w:tcBorders>
              <w:top w:val="single" w:sz="4" w:space="0" w:color="auto"/>
              <w:bottom w:val="single" w:sz="12" w:space="0" w:color="auto"/>
            </w:tcBorders>
            <w:vAlign w:val="bottom"/>
          </w:tcPr>
          <w:p w14:paraId="58A230FB" w14:textId="668FF213" w:rsidR="00D96540" w:rsidRPr="00FD7170" w:rsidRDefault="00D96540" w:rsidP="00D96540">
            <w:pPr>
              <w:spacing w:after="0" w:line="280" w:lineRule="exact"/>
              <w:jc w:val="right"/>
              <w:rPr>
                <w:rFonts w:cs="Arial"/>
                <w:b/>
                <w:sz w:val="18"/>
                <w:szCs w:val="18"/>
              </w:rPr>
            </w:pPr>
            <w:r w:rsidRPr="00FD7170">
              <w:rPr>
                <w:rFonts w:cs="Arial"/>
                <w:b/>
                <w:bCs/>
                <w:sz w:val="18"/>
                <w:szCs w:val="18"/>
              </w:rPr>
              <w:t>27.224.576</w:t>
            </w:r>
          </w:p>
        </w:tc>
      </w:tr>
      <w:tr w:rsidR="00EC2CE1" w:rsidRPr="00C5513D" w14:paraId="27B78CD7" w14:textId="77777777" w:rsidTr="00FD7170">
        <w:trPr>
          <w:trHeight w:val="109"/>
        </w:trPr>
        <w:tc>
          <w:tcPr>
            <w:tcW w:w="2302" w:type="pct"/>
          </w:tcPr>
          <w:p w14:paraId="205B9144" w14:textId="77777777" w:rsidR="00EC2CE1" w:rsidRPr="00D12EBA" w:rsidRDefault="00EC2CE1" w:rsidP="00EC2CE1">
            <w:pPr>
              <w:pStyle w:val="Thick"/>
              <w:spacing w:line="140" w:lineRule="exact"/>
              <w:rPr>
                <w:rFonts w:asciiTheme="minorHAnsi" w:hAnsiTheme="minorHAnsi" w:cs="Arial"/>
                <w:sz w:val="18"/>
                <w:szCs w:val="18"/>
                <w:lang w:val="hr-HR"/>
              </w:rPr>
            </w:pPr>
          </w:p>
        </w:tc>
        <w:tc>
          <w:tcPr>
            <w:tcW w:w="675" w:type="pct"/>
            <w:tcBorders>
              <w:top w:val="single" w:sz="12" w:space="0" w:color="auto"/>
            </w:tcBorders>
            <w:vAlign w:val="bottom"/>
          </w:tcPr>
          <w:p w14:paraId="73E09FB6" w14:textId="77777777" w:rsidR="00EC2CE1" w:rsidRPr="00FD7170" w:rsidRDefault="00EC2CE1" w:rsidP="00EC2CE1">
            <w:pPr>
              <w:pStyle w:val="Thick"/>
              <w:spacing w:line="140" w:lineRule="exact"/>
              <w:jc w:val="right"/>
              <w:rPr>
                <w:rFonts w:asciiTheme="minorHAnsi" w:hAnsiTheme="minorHAnsi" w:cs="Arial"/>
                <w:snapToGrid w:val="0"/>
                <w:sz w:val="18"/>
                <w:szCs w:val="18"/>
                <w:lang w:val="hr-HR"/>
              </w:rPr>
            </w:pPr>
          </w:p>
        </w:tc>
        <w:tc>
          <w:tcPr>
            <w:tcW w:w="674" w:type="pct"/>
            <w:tcBorders>
              <w:top w:val="single" w:sz="12" w:space="0" w:color="auto"/>
            </w:tcBorders>
            <w:vAlign w:val="bottom"/>
          </w:tcPr>
          <w:p w14:paraId="0B5C0A4C" w14:textId="77777777" w:rsidR="00EC2CE1" w:rsidRPr="00FD7170" w:rsidRDefault="00EC2CE1" w:rsidP="00EC2CE1">
            <w:pPr>
              <w:spacing w:after="0" w:line="280" w:lineRule="exact"/>
              <w:jc w:val="right"/>
              <w:rPr>
                <w:rFonts w:cs="Arial"/>
                <w:sz w:val="18"/>
                <w:szCs w:val="18"/>
              </w:rPr>
            </w:pPr>
          </w:p>
        </w:tc>
        <w:tc>
          <w:tcPr>
            <w:tcW w:w="675" w:type="pct"/>
            <w:tcBorders>
              <w:top w:val="single" w:sz="12" w:space="0" w:color="auto"/>
            </w:tcBorders>
            <w:vAlign w:val="bottom"/>
          </w:tcPr>
          <w:p w14:paraId="6503BEC7" w14:textId="77777777" w:rsidR="00EC2CE1" w:rsidRPr="00FD7170" w:rsidRDefault="00EC2CE1" w:rsidP="00EC2CE1">
            <w:pPr>
              <w:pStyle w:val="Thick"/>
              <w:spacing w:line="140" w:lineRule="exact"/>
              <w:jc w:val="right"/>
              <w:rPr>
                <w:rFonts w:asciiTheme="minorHAnsi" w:hAnsiTheme="minorHAnsi" w:cs="Arial"/>
                <w:snapToGrid w:val="0"/>
                <w:sz w:val="18"/>
                <w:szCs w:val="18"/>
                <w:lang w:val="hr-HR"/>
              </w:rPr>
            </w:pPr>
          </w:p>
        </w:tc>
        <w:tc>
          <w:tcPr>
            <w:tcW w:w="673" w:type="pct"/>
            <w:tcBorders>
              <w:top w:val="single" w:sz="12" w:space="0" w:color="auto"/>
            </w:tcBorders>
            <w:vAlign w:val="bottom"/>
          </w:tcPr>
          <w:p w14:paraId="5BBAC8D5" w14:textId="77777777" w:rsidR="00EC2CE1" w:rsidRPr="00FD7170" w:rsidRDefault="00EC2CE1" w:rsidP="00EC2CE1">
            <w:pPr>
              <w:pStyle w:val="Thick"/>
              <w:spacing w:line="140" w:lineRule="exact"/>
              <w:jc w:val="right"/>
              <w:rPr>
                <w:rFonts w:asciiTheme="minorHAnsi" w:hAnsiTheme="minorHAnsi" w:cs="Arial"/>
                <w:snapToGrid w:val="0"/>
                <w:sz w:val="18"/>
                <w:szCs w:val="18"/>
                <w:lang w:val="hr-HR"/>
              </w:rPr>
            </w:pPr>
          </w:p>
        </w:tc>
      </w:tr>
      <w:tr w:rsidR="00EC2CE1" w:rsidRPr="00C5513D" w14:paraId="57C9D3C4" w14:textId="77777777" w:rsidTr="000E5941">
        <w:tc>
          <w:tcPr>
            <w:tcW w:w="2302" w:type="pct"/>
          </w:tcPr>
          <w:p w14:paraId="47A2D871" w14:textId="77777777" w:rsidR="00EC2CE1" w:rsidRPr="00D12EBA" w:rsidRDefault="00EC2CE1" w:rsidP="00EC2CE1">
            <w:pPr>
              <w:pStyle w:val="TT"/>
              <w:spacing w:line="300" w:lineRule="exact"/>
              <w:rPr>
                <w:rFonts w:asciiTheme="minorHAnsi" w:hAnsiTheme="minorHAnsi" w:cs="Arial"/>
                <w:b/>
                <w:bCs/>
                <w:sz w:val="18"/>
                <w:szCs w:val="18"/>
                <w:lang w:val="hr-HR"/>
              </w:rPr>
            </w:pPr>
            <w:r w:rsidRPr="00D12EBA">
              <w:rPr>
                <w:rFonts w:asciiTheme="minorHAnsi" w:hAnsiTheme="minorHAnsi" w:cs="Arial"/>
                <w:b/>
                <w:bCs/>
                <w:sz w:val="18"/>
                <w:szCs w:val="18"/>
                <w:lang w:val="hr-HR"/>
              </w:rPr>
              <w:t>Garancije i preuzete obveze</w:t>
            </w:r>
          </w:p>
        </w:tc>
        <w:tc>
          <w:tcPr>
            <w:tcW w:w="675" w:type="pct"/>
          </w:tcPr>
          <w:p w14:paraId="4D5633B4" w14:textId="778BD31E" w:rsidR="00EC2CE1" w:rsidRPr="000E5941" w:rsidRDefault="00EC2CE1" w:rsidP="00EC2CE1">
            <w:pPr>
              <w:spacing w:after="0" w:line="280" w:lineRule="exact"/>
              <w:jc w:val="right"/>
              <w:rPr>
                <w:rFonts w:ascii="Calibri" w:hAnsi="Calibri" w:cs="Arial"/>
                <w:sz w:val="18"/>
                <w:szCs w:val="18"/>
              </w:rPr>
            </w:pPr>
          </w:p>
        </w:tc>
        <w:tc>
          <w:tcPr>
            <w:tcW w:w="674" w:type="pct"/>
            <w:tcBorders>
              <w:top w:val="nil"/>
              <w:left w:val="nil"/>
              <w:bottom w:val="nil"/>
              <w:right w:val="nil"/>
            </w:tcBorders>
            <w:shd w:val="clear" w:color="auto" w:fill="auto"/>
            <w:vAlign w:val="bottom"/>
          </w:tcPr>
          <w:p w14:paraId="7F0A5342" w14:textId="41096A5D" w:rsidR="00EC2CE1" w:rsidRPr="00FD7170" w:rsidRDefault="00EC2CE1" w:rsidP="00EC2CE1">
            <w:pPr>
              <w:spacing w:after="0" w:line="280" w:lineRule="exact"/>
              <w:jc w:val="right"/>
              <w:rPr>
                <w:rFonts w:cs="Arial"/>
                <w:sz w:val="18"/>
                <w:szCs w:val="18"/>
              </w:rPr>
            </w:pPr>
          </w:p>
        </w:tc>
        <w:tc>
          <w:tcPr>
            <w:tcW w:w="675" w:type="pct"/>
          </w:tcPr>
          <w:p w14:paraId="4A290722" w14:textId="0C895192" w:rsidR="00EC2CE1" w:rsidRPr="00FD7170" w:rsidRDefault="00EC2CE1" w:rsidP="00EC2CE1">
            <w:pPr>
              <w:spacing w:after="0" w:line="280" w:lineRule="exact"/>
              <w:jc w:val="right"/>
              <w:rPr>
                <w:rFonts w:cs="Arial"/>
                <w:sz w:val="18"/>
                <w:szCs w:val="18"/>
              </w:rPr>
            </w:pPr>
          </w:p>
        </w:tc>
        <w:tc>
          <w:tcPr>
            <w:tcW w:w="673" w:type="pct"/>
            <w:tcBorders>
              <w:top w:val="nil"/>
              <w:left w:val="nil"/>
              <w:bottom w:val="nil"/>
              <w:right w:val="nil"/>
            </w:tcBorders>
            <w:shd w:val="clear" w:color="auto" w:fill="auto"/>
            <w:vAlign w:val="bottom"/>
          </w:tcPr>
          <w:p w14:paraId="23037C72" w14:textId="2142446F" w:rsidR="00EC2CE1" w:rsidRPr="00FD7170" w:rsidRDefault="00EC2CE1" w:rsidP="00EC2CE1">
            <w:pPr>
              <w:spacing w:after="0" w:line="280" w:lineRule="exact"/>
              <w:jc w:val="right"/>
              <w:rPr>
                <w:rFonts w:cs="Arial"/>
                <w:sz w:val="18"/>
                <w:szCs w:val="18"/>
              </w:rPr>
            </w:pPr>
          </w:p>
        </w:tc>
      </w:tr>
      <w:tr w:rsidR="00D96540" w:rsidRPr="00C5513D" w14:paraId="56577099" w14:textId="77777777" w:rsidTr="00312975">
        <w:tc>
          <w:tcPr>
            <w:tcW w:w="2302" w:type="pct"/>
          </w:tcPr>
          <w:p w14:paraId="74CDE270" w14:textId="77777777" w:rsidR="00D96540" w:rsidRPr="00D12EBA" w:rsidRDefault="00D96540" w:rsidP="00D96540">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Izdane garancije u kunama</w:t>
            </w:r>
          </w:p>
        </w:tc>
        <w:tc>
          <w:tcPr>
            <w:tcW w:w="675" w:type="pct"/>
            <w:tcBorders>
              <w:top w:val="nil"/>
              <w:left w:val="nil"/>
              <w:bottom w:val="nil"/>
              <w:right w:val="nil"/>
            </w:tcBorders>
            <w:shd w:val="clear" w:color="auto" w:fill="auto"/>
            <w:vAlign w:val="center"/>
          </w:tcPr>
          <w:p w14:paraId="1974D388" w14:textId="3BFFF911" w:rsidR="00D96540" w:rsidRPr="000E5941" w:rsidRDefault="00D96540" w:rsidP="00D96540">
            <w:pPr>
              <w:spacing w:after="0" w:line="280" w:lineRule="exact"/>
              <w:jc w:val="right"/>
              <w:rPr>
                <w:rFonts w:ascii="Calibri" w:hAnsi="Calibri" w:cs="Arial"/>
                <w:sz w:val="18"/>
                <w:szCs w:val="18"/>
              </w:rPr>
            </w:pPr>
            <w:r w:rsidRPr="00CA20DB">
              <w:rPr>
                <w:rFonts w:ascii="Calibri" w:hAnsi="Calibri" w:cs="Arial"/>
                <w:sz w:val="18"/>
                <w:szCs w:val="18"/>
              </w:rPr>
              <w:t>27.653</w:t>
            </w:r>
          </w:p>
        </w:tc>
        <w:tc>
          <w:tcPr>
            <w:tcW w:w="674" w:type="pct"/>
            <w:tcBorders>
              <w:top w:val="nil"/>
              <w:left w:val="nil"/>
              <w:bottom w:val="nil"/>
              <w:right w:val="nil"/>
            </w:tcBorders>
            <w:shd w:val="clear" w:color="auto" w:fill="auto"/>
            <w:vAlign w:val="bottom"/>
          </w:tcPr>
          <w:p w14:paraId="31E3D12A" w14:textId="06481737" w:rsidR="00D96540" w:rsidRPr="00FD7170" w:rsidRDefault="00D96540" w:rsidP="00D96540">
            <w:pPr>
              <w:spacing w:after="0" w:line="280" w:lineRule="exact"/>
              <w:jc w:val="right"/>
              <w:rPr>
                <w:rFonts w:cs="Arial"/>
                <w:sz w:val="18"/>
                <w:szCs w:val="18"/>
              </w:rPr>
            </w:pPr>
            <w:r w:rsidRPr="00A74BAA">
              <w:rPr>
                <w:rFonts w:ascii="Calibri" w:hAnsi="Calibri" w:cs="Arial"/>
                <w:sz w:val="18"/>
                <w:szCs w:val="18"/>
              </w:rPr>
              <w:t>32.082</w:t>
            </w:r>
          </w:p>
        </w:tc>
        <w:tc>
          <w:tcPr>
            <w:tcW w:w="675" w:type="pct"/>
            <w:tcBorders>
              <w:top w:val="nil"/>
              <w:left w:val="nil"/>
              <w:bottom w:val="nil"/>
              <w:right w:val="nil"/>
            </w:tcBorders>
            <w:shd w:val="clear" w:color="auto" w:fill="auto"/>
            <w:vAlign w:val="center"/>
          </w:tcPr>
          <w:p w14:paraId="0BDBFA0C" w14:textId="6602D65E" w:rsidR="00D96540" w:rsidRPr="00312975" w:rsidRDefault="00D96540" w:rsidP="00D96540">
            <w:pPr>
              <w:spacing w:after="0" w:line="280" w:lineRule="exact"/>
              <w:jc w:val="right"/>
              <w:rPr>
                <w:rFonts w:ascii="Calibri" w:hAnsi="Calibri" w:cs="Arial"/>
                <w:sz w:val="18"/>
                <w:szCs w:val="18"/>
              </w:rPr>
            </w:pPr>
            <w:r w:rsidRPr="00312975">
              <w:rPr>
                <w:rFonts w:ascii="Calibri" w:hAnsi="Calibri" w:cs="Arial"/>
                <w:sz w:val="18"/>
                <w:szCs w:val="18"/>
              </w:rPr>
              <w:t>27.653</w:t>
            </w:r>
          </w:p>
        </w:tc>
        <w:tc>
          <w:tcPr>
            <w:tcW w:w="673" w:type="pct"/>
            <w:tcBorders>
              <w:top w:val="nil"/>
              <w:left w:val="nil"/>
              <w:bottom w:val="nil"/>
              <w:right w:val="nil"/>
            </w:tcBorders>
            <w:shd w:val="clear" w:color="auto" w:fill="auto"/>
            <w:vAlign w:val="bottom"/>
          </w:tcPr>
          <w:p w14:paraId="11146445" w14:textId="16AF57FF" w:rsidR="00D96540" w:rsidRPr="00FD7170" w:rsidRDefault="00D96540" w:rsidP="00D96540">
            <w:pPr>
              <w:spacing w:after="0" w:line="280" w:lineRule="exact"/>
              <w:jc w:val="right"/>
              <w:rPr>
                <w:rFonts w:cs="Arial"/>
                <w:sz w:val="18"/>
                <w:szCs w:val="18"/>
              </w:rPr>
            </w:pPr>
            <w:r w:rsidRPr="00A74BAA">
              <w:rPr>
                <w:rFonts w:ascii="Calibri" w:hAnsi="Calibri" w:cs="Arial"/>
                <w:sz w:val="18"/>
                <w:szCs w:val="18"/>
              </w:rPr>
              <w:t>32.082</w:t>
            </w:r>
          </w:p>
        </w:tc>
      </w:tr>
      <w:tr w:rsidR="00D96540" w:rsidRPr="00C5513D" w14:paraId="5E84B973" w14:textId="77777777" w:rsidTr="00312975">
        <w:tc>
          <w:tcPr>
            <w:tcW w:w="2302" w:type="pct"/>
          </w:tcPr>
          <w:p w14:paraId="73878CFF" w14:textId="77777777" w:rsidR="00D96540" w:rsidRPr="00D12EBA" w:rsidRDefault="00D96540" w:rsidP="00D96540">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Izdane garancije u devizama</w:t>
            </w:r>
          </w:p>
        </w:tc>
        <w:tc>
          <w:tcPr>
            <w:tcW w:w="675" w:type="pct"/>
            <w:tcBorders>
              <w:top w:val="nil"/>
              <w:left w:val="nil"/>
              <w:bottom w:val="nil"/>
              <w:right w:val="nil"/>
            </w:tcBorders>
            <w:shd w:val="clear" w:color="auto" w:fill="auto"/>
            <w:vAlign w:val="center"/>
          </w:tcPr>
          <w:p w14:paraId="323916A9" w14:textId="15E6C225" w:rsidR="00D96540" w:rsidRPr="000E5941" w:rsidRDefault="00D96540" w:rsidP="00D96540">
            <w:pPr>
              <w:spacing w:after="0" w:line="280" w:lineRule="exact"/>
              <w:jc w:val="right"/>
              <w:rPr>
                <w:rFonts w:ascii="Calibri" w:hAnsi="Calibri" w:cs="Arial"/>
                <w:sz w:val="18"/>
                <w:szCs w:val="18"/>
              </w:rPr>
            </w:pPr>
            <w:r w:rsidRPr="00CA20DB">
              <w:rPr>
                <w:rFonts w:ascii="Calibri" w:hAnsi="Calibri" w:cs="Arial"/>
                <w:sz w:val="18"/>
                <w:szCs w:val="18"/>
              </w:rPr>
              <w:t>1.897.841</w:t>
            </w:r>
          </w:p>
        </w:tc>
        <w:tc>
          <w:tcPr>
            <w:tcW w:w="674" w:type="pct"/>
            <w:tcBorders>
              <w:top w:val="nil"/>
              <w:left w:val="nil"/>
              <w:bottom w:val="nil"/>
              <w:right w:val="nil"/>
            </w:tcBorders>
            <w:shd w:val="clear" w:color="auto" w:fill="auto"/>
            <w:vAlign w:val="bottom"/>
          </w:tcPr>
          <w:p w14:paraId="53272D55" w14:textId="5FCFA242" w:rsidR="00D96540" w:rsidRPr="00FD7170" w:rsidRDefault="00D96540" w:rsidP="00D96540">
            <w:pPr>
              <w:spacing w:after="0" w:line="280" w:lineRule="exact"/>
              <w:jc w:val="right"/>
              <w:rPr>
                <w:rFonts w:cs="Arial"/>
                <w:sz w:val="18"/>
                <w:szCs w:val="18"/>
              </w:rPr>
            </w:pPr>
            <w:r w:rsidRPr="00A74BAA">
              <w:rPr>
                <w:rFonts w:ascii="Calibri" w:hAnsi="Calibri" w:cs="Arial"/>
                <w:sz w:val="18"/>
                <w:szCs w:val="18"/>
              </w:rPr>
              <w:t>1.982.969</w:t>
            </w:r>
          </w:p>
        </w:tc>
        <w:tc>
          <w:tcPr>
            <w:tcW w:w="675" w:type="pct"/>
            <w:tcBorders>
              <w:top w:val="nil"/>
              <w:left w:val="nil"/>
              <w:bottom w:val="nil"/>
              <w:right w:val="nil"/>
            </w:tcBorders>
            <w:shd w:val="clear" w:color="auto" w:fill="auto"/>
            <w:vAlign w:val="center"/>
          </w:tcPr>
          <w:p w14:paraId="2102EADA" w14:textId="50B2D1CB" w:rsidR="00D96540" w:rsidRPr="00312975" w:rsidRDefault="00D96540" w:rsidP="00D96540">
            <w:pPr>
              <w:spacing w:after="0" w:line="280" w:lineRule="exact"/>
              <w:jc w:val="right"/>
              <w:rPr>
                <w:rFonts w:ascii="Calibri" w:hAnsi="Calibri" w:cs="Arial"/>
                <w:sz w:val="18"/>
                <w:szCs w:val="18"/>
              </w:rPr>
            </w:pPr>
            <w:r w:rsidRPr="00312975">
              <w:rPr>
                <w:rFonts w:ascii="Calibri" w:hAnsi="Calibri" w:cs="Arial"/>
                <w:sz w:val="18"/>
                <w:szCs w:val="18"/>
              </w:rPr>
              <w:t>1.897.841</w:t>
            </w:r>
          </w:p>
        </w:tc>
        <w:tc>
          <w:tcPr>
            <w:tcW w:w="673" w:type="pct"/>
            <w:tcBorders>
              <w:top w:val="nil"/>
              <w:left w:val="nil"/>
              <w:bottom w:val="nil"/>
              <w:right w:val="nil"/>
            </w:tcBorders>
            <w:shd w:val="clear" w:color="auto" w:fill="auto"/>
            <w:vAlign w:val="bottom"/>
          </w:tcPr>
          <w:p w14:paraId="07F85FED" w14:textId="3B90A8E6" w:rsidR="00D96540" w:rsidRPr="00FD7170" w:rsidRDefault="00D96540" w:rsidP="00D96540">
            <w:pPr>
              <w:spacing w:after="0" w:line="280" w:lineRule="exact"/>
              <w:jc w:val="right"/>
              <w:rPr>
                <w:rFonts w:cs="Arial"/>
                <w:sz w:val="18"/>
                <w:szCs w:val="18"/>
              </w:rPr>
            </w:pPr>
            <w:r w:rsidRPr="00A74BAA">
              <w:rPr>
                <w:rFonts w:ascii="Calibri" w:hAnsi="Calibri" w:cs="Arial"/>
                <w:sz w:val="18"/>
                <w:szCs w:val="18"/>
              </w:rPr>
              <w:t>1.982.969</w:t>
            </w:r>
          </w:p>
        </w:tc>
      </w:tr>
      <w:tr w:rsidR="00D96540" w:rsidRPr="00C5513D" w14:paraId="4AC72DBA" w14:textId="77777777" w:rsidTr="00312975">
        <w:tc>
          <w:tcPr>
            <w:tcW w:w="2302" w:type="pct"/>
          </w:tcPr>
          <w:p w14:paraId="559E35CA" w14:textId="0C026657" w:rsidR="00D96540" w:rsidRPr="00D12EBA" w:rsidRDefault="00D96540" w:rsidP="00D96540">
            <w:pPr>
              <w:pStyle w:val="TT"/>
              <w:spacing w:line="300" w:lineRule="exact"/>
              <w:rPr>
                <w:rFonts w:asciiTheme="minorHAnsi" w:hAnsiTheme="minorHAnsi" w:cs="Arial"/>
                <w:sz w:val="18"/>
                <w:szCs w:val="18"/>
                <w:lang w:val="hr-HR"/>
              </w:rPr>
            </w:pPr>
            <w:r w:rsidRPr="007236FE">
              <w:rPr>
                <w:rFonts w:asciiTheme="minorHAnsi" w:hAnsiTheme="minorHAnsi" w:cs="Arial"/>
                <w:sz w:val="18"/>
                <w:szCs w:val="18"/>
                <w:lang w:val="hr-HR"/>
              </w:rPr>
              <w:t>Otvoreni akreditivi u devizama</w:t>
            </w:r>
          </w:p>
        </w:tc>
        <w:tc>
          <w:tcPr>
            <w:tcW w:w="675" w:type="pct"/>
            <w:tcBorders>
              <w:top w:val="nil"/>
              <w:left w:val="nil"/>
              <w:bottom w:val="nil"/>
              <w:right w:val="nil"/>
            </w:tcBorders>
            <w:shd w:val="clear" w:color="auto" w:fill="auto"/>
            <w:vAlign w:val="center"/>
          </w:tcPr>
          <w:p w14:paraId="3182586E" w14:textId="7727361B" w:rsidR="00D96540" w:rsidRPr="000E5941" w:rsidRDefault="00D96540" w:rsidP="00D96540">
            <w:pPr>
              <w:spacing w:after="0" w:line="280" w:lineRule="exact"/>
              <w:jc w:val="right"/>
              <w:rPr>
                <w:rFonts w:ascii="Calibri" w:hAnsi="Calibri" w:cs="Arial"/>
                <w:sz w:val="18"/>
                <w:szCs w:val="18"/>
              </w:rPr>
            </w:pPr>
            <w:r w:rsidRPr="00CA20DB">
              <w:rPr>
                <w:rFonts w:ascii="Calibri" w:hAnsi="Calibri" w:cs="Arial"/>
                <w:sz w:val="18"/>
                <w:szCs w:val="18"/>
              </w:rPr>
              <w:t>2.218</w:t>
            </w:r>
          </w:p>
        </w:tc>
        <w:tc>
          <w:tcPr>
            <w:tcW w:w="674" w:type="pct"/>
            <w:tcBorders>
              <w:top w:val="nil"/>
              <w:left w:val="nil"/>
              <w:bottom w:val="nil"/>
              <w:right w:val="nil"/>
            </w:tcBorders>
            <w:shd w:val="clear" w:color="auto" w:fill="auto"/>
            <w:vAlign w:val="bottom"/>
          </w:tcPr>
          <w:p w14:paraId="708749D3" w14:textId="25A078B1" w:rsidR="00D96540" w:rsidRPr="00FD7170" w:rsidRDefault="00D96540" w:rsidP="00D96540">
            <w:pPr>
              <w:spacing w:after="0" w:line="280" w:lineRule="exact"/>
              <w:jc w:val="right"/>
              <w:rPr>
                <w:rFonts w:ascii="Calibri" w:hAnsi="Calibri" w:cs="Arial"/>
                <w:sz w:val="18"/>
                <w:szCs w:val="18"/>
              </w:rPr>
            </w:pPr>
            <w:r>
              <w:rPr>
                <w:rFonts w:ascii="Calibri" w:hAnsi="Calibri" w:cs="Arial"/>
                <w:sz w:val="18"/>
                <w:szCs w:val="18"/>
              </w:rPr>
              <w:t>-</w:t>
            </w:r>
          </w:p>
        </w:tc>
        <w:tc>
          <w:tcPr>
            <w:tcW w:w="675" w:type="pct"/>
            <w:tcBorders>
              <w:top w:val="nil"/>
              <w:left w:val="nil"/>
              <w:bottom w:val="nil"/>
              <w:right w:val="nil"/>
            </w:tcBorders>
            <w:shd w:val="clear" w:color="auto" w:fill="auto"/>
            <w:vAlign w:val="center"/>
          </w:tcPr>
          <w:p w14:paraId="11282A01" w14:textId="36539016" w:rsidR="00D96540" w:rsidRPr="00312975" w:rsidRDefault="00D96540" w:rsidP="00D96540">
            <w:pPr>
              <w:spacing w:after="0" w:line="280" w:lineRule="exact"/>
              <w:jc w:val="right"/>
              <w:rPr>
                <w:rFonts w:ascii="Calibri" w:hAnsi="Calibri" w:cs="Arial"/>
                <w:sz w:val="18"/>
                <w:szCs w:val="18"/>
              </w:rPr>
            </w:pPr>
            <w:r w:rsidRPr="00312975">
              <w:rPr>
                <w:rFonts w:ascii="Calibri" w:hAnsi="Calibri" w:cs="Arial"/>
                <w:sz w:val="18"/>
                <w:szCs w:val="18"/>
              </w:rPr>
              <w:t>2.218</w:t>
            </w:r>
          </w:p>
        </w:tc>
        <w:tc>
          <w:tcPr>
            <w:tcW w:w="673" w:type="pct"/>
            <w:tcBorders>
              <w:top w:val="nil"/>
              <w:left w:val="nil"/>
              <w:bottom w:val="nil"/>
              <w:right w:val="nil"/>
            </w:tcBorders>
            <w:shd w:val="clear" w:color="auto" w:fill="auto"/>
            <w:vAlign w:val="bottom"/>
          </w:tcPr>
          <w:p w14:paraId="4CE00FB3" w14:textId="1842EB41" w:rsidR="00D96540" w:rsidRPr="00FD7170" w:rsidRDefault="00D96540" w:rsidP="00D96540">
            <w:pPr>
              <w:spacing w:after="0" w:line="280" w:lineRule="exact"/>
              <w:jc w:val="right"/>
              <w:rPr>
                <w:rFonts w:ascii="Calibri" w:hAnsi="Calibri" w:cs="Arial"/>
                <w:sz w:val="18"/>
                <w:szCs w:val="18"/>
              </w:rPr>
            </w:pPr>
            <w:r>
              <w:rPr>
                <w:rFonts w:ascii="Calibri" w:hAnsi="Calibri" w:cs="Arial"/>
                <w:sz w:val="18"/>
                <w:szCs w:val="18"/>
              </w:rPr>
              <w:t>-</w:t>
            </w:r>
          </w:p>
        </w:tc>
      </w:tr>
      <w:tr w:rsidR="00D96540" w:rsidRPr="00C5513D" w14:paraId="1A886E49" w14:textId="77777777" w:rsidTr="00312975">
        <w:tc>
          <w:tcPr>
            <w:tcW w:w="2302" w:type="pct"/>
          </w:tcPr>
          <w:p w14:paraId="24CB4D04" w14:textId="77777777" w:rsidR="00D96540" w:rsidRPr="00D12EBA" w:rsidRDefault="00D96540" w:rsidP="00D96540">
            <w:pPr>
              <w:pStyle w:val="TT"/>
              <w:spacing w:line="300" w:lineRule="exact"/>
              <w:rPr>
                <w:rFonts w:asciiTheme="minorHAnsi" w:hAnsiTheme="minorHAnsi" w:cs="Arial"/>
                <w:sz w:val="18"/>
                <w:szCs w:val="18"/>
                <w:lang w:val="hr-HR"/>
              </w:rPr>
            </w:pPr>
            <w:r w:rsidRPr="00D12EBA">
              <w:rPr>
                <w:rFonts w:asciiTheme="minorHAnsi" w:hAnsiTheme="minorHAnsi" w:cs="Arial"/>
                <w:sz w:val="18"/>
                <w:szCs w:val="18"/>
                <w:lang w:val="hr-HR"/>
              </w:rPr>
              <w:t>Preuzete obveze po kreditima</w:t>
            </w:r>
          </w:p>
        </w:tc>
        <w:tc>
          <w:tcPr>
            <w:tcW w:w="675" w:type="pct"/>
            <w:tcBorders>
              <w:top w:val="nil"/>
              <w:left w:val="nil"/>
              <w:bottom w:val="nil"/>
              <w:right w:val="nil"/>
            </w:tcBorders>
            <w:shd w:val="clear" w:color="auto" w:fill="auto"/>
            <w:vAlign w:val="center"/>
          </w:tcPr>
          <w:p w14:paraId="26565CEF" w14:textId="3ECB7395" w:rsidR="00D96540" w:rsidRPr="000E5941" w:rsidRDefault="00D96540" w:rsidP="00D96540">
            <w:pPr>
              <w:spacing w:after="0" w:line="280" w:lineRule="exact"/>
              <w:jc w:val="right"/>
              <w:rPr>
                <w:rFonts w:ascii="Calibri" w:hAnsi="Calibri" w:cs="Arial"/>
                <w:sz w:val="18"/>
                <w:szCs w:val="18"/>
              </w:rPr>
            </w:pPr>
            <w:r w:rsidRPr="00CA20DB">
              <w:rPr>
                <w:rFonts w:ascii="Calibri" w:hAnsi="Calibri" w:cs="Arial"/>
                <w:sz w:val="18"/>
                <w:szCs w:val="18"/>
              </w:rPr>
              <w:t>3.546.487</w:t>
            </w:r>
          </w:p>
        </w:tc>
        <w:tc>
          <w:tcPr>
            <w:tcW w:w="674" w:type="pct"/>
            <w:tcBorders>
              <w:top w:val="nil"/>
              <w:left w:val="nil"/>
              <w:bottom w:val="nil"/>
              <w:right w:val="nil"/>
            </w:tcBorders>
            <w:shd w:val="clear" w:color="auto" w:fill="auto"/>
            <w:vAlign w:val="bottom"/>
          </w:tcPr>
          <w:p w14:paraId="5A38056E" w14:textId="37AC611D" w:rsidR="00D96540" w:rsidRPr="00FD7170" w:rsidRDefault="00D96540" w:rsidP="00D96540">
            <w:pPr>
              <w:spacing w:after="0" w:line="280" w:lineRule="exact"/>
              <w:jc w:val="right"/>
              <w:rPr>
                <w:rFonts w:cs="Arial"/>
                <w:sz w:val="18"/>
                <w:szCs w:val="18"/>
              </w:rPr>
            </w:pPr>
            <w:r w:rsidRPr="00FD7170">
              <w:rPr>
                <w:rFonts w:ascii="Calibri" w:hAnsi="Calibri" w:cs="Arial"/>
                <w:sz w:val="18"/>
                <w:szCs w:val="18"/>
              </w:rPr>
              <w:t>3.928.177</w:t>
            </w:r>
          </w:p>
        </w:tc>
        <w:tc>
          <w:tcPr>
            <w:tcW w:w="675" w:type="pct"/>
            <w:tcBorders>
              <w:top w:val="nil"/>
              <w:left w:val="nil"/>
              <w:bottom w:val="nil"/>
              <w:right w:val="nil"/>
            </w:tcBorders>
            <w:shd w:val="clear" w:color="auto" w:fill="auto"/>
            <w:vAlign w:val="center"/>
          </w:tcPr>
          <w:p w14:paraId="3235272D" w14:textId="1E1E01EF" w:rsidR="00D96540" w:rsidRPr="00312975" w:rsidRDefault="00D96540" w:rsidP="00D96540">
            <w:pPr>
              <w:spacing w:after="0" w:line="280" w:lineRule="exact"/>
              <w:jc w:val="right"/>
              <w:rPr>
                <w:rFonts w:ascii="Calibri" w:hAnsi="Calibri" w:cs="Arial"/>
                <w:sz w:val="18"/>
                <w:szCs w:val="18"/>
              </w:rPr>
            </w:pPr>
            <w:r w:rsidRPr="00312975">
              <w:rPr>
                <w:rFonts w:ascii="Calibri" w:hAnsi="Calibri" w:cs="Arial"/>
                <w:sz w:val="18"/>
                <w:szCs w:val="18"/>
              </w:rPr>
              <w:t>3.546.487</w:t>
            </w:r>
          </w:p>
        </w:tc>
        <w:tc>
          <w:tcPr>
            <w:tcW w:w="673" w:type="pct"/>
            <w:tcBorders>
              <w:top w:val="nil"/>
              <w:left w:val="nil"/>
              <w:right w:val="nil"/>
            </w:tcBorders>
            <w:shd w:val="clear" w:color="auto" w:fill="auto"/>
            <w:vAlign w:val="bottom"/>
          </w:tcPr>
          <w:p w14:paraId="3C2CB780" w14:textId="6B165C0A" w:rsidR="00D96540" w:rsidRPr="00FD7170" w:rsidRDefault="00D96540" w:rsidP="00D96540">
            <w:pPr>
              <w:spacing w:after="0" w:line="280" w:lineRule="exact"/>
              <w:jc w:val="right"/>
              <w:rPr>
                <w:rFonts w:cs="Arial"/>
                <w:sz w:val="18"/>
                <w:szCs w:val="18"/>
              </w:rPr>
            </w:pPr>
            <w:r w:rsidRPr="00A74BAA">
              <w:rPr>
                <w:rFonts w:ascii="Calibri" w:hAnsi="Calibri" w:cs="Arial"/>
                <w:sz w:val="18"/>
                <w:szCs w:val="18"/>
              </w:rPr>
              <w:t>3.928.177</w:t>
            </w:r>
          </w:p>
        </w:tc>
      </w:tr>
      <w:tr w:rsidR="00D96540" w:rsidRPr="00C5513D" w14:paraId="18B79DA5" w14:textId="77777777" w:rsidTr="000E5941">
        <w:tc>
          <w:tcPr>
            <w:tcW w:w="2302" w:type="pct"/>
            <w:vAlign w:val="center"/>
          </w:tcPr>
          <w:p w14:paraId="7B13D159" w14:textId="77777777" w:rsidR="00D96540" w:rsidRPr="00D12EBA" w:rsidRDefault="00D96540" w:rsidP="00D96540">
            <w:pPr>
              <w:spacing w:after="0" w:line="280" w:lineRule="exact"/>
              <w:rPr>
                <w:rFonts w:cs="Arial"/>
                <w:bCs/>
                <w:sz w:val="18"/>
                <w:szCs w:val="18"/>
              </w:rPr>
            </w:pPr>
            <w:r w:rsidRPr="00D12EBA">
              <w:rPr>
                <w:rFonts w:cs="Arial"/>
                <w:bCs/>
                <w:sz w:val="18"/>
                <w:szCs w:val="18"/>
              </w:rPr>
              <w:t>Ostale nespomenute neopozive potencijalne obveze</w:t>
            </w:r>
          </w:p>
        </w:tc>
        <w:tc>
          <w:tcPr>
            <w:tcW w:w="675" w:type="pct"/>
            <w:tcBorders>
              <w:top w:val="nil"/>
              <w:left w:val="nil"/>
              <w:bottom w:val="single" w:sz="4" w:space="0" w:color="auto"/>
              <w:right w:val="nil"/>
            </w:tcBorders>
            <w:shd w:val="clear" w:color="auto" w:fill="auto"/>
          </w:tcPr>
          <w:p w14:paraId="42532FFA" w14:textId="003CE965" w:rsidR="00D96540" w:rsidRPr="000E5941" w:rsidRDefault="00D96540" w:rsidP="00D96540">
            <w:pPr>
              <w:spacing w:after="0" w:line="280" w:lineRule="exact"/>
              <w:jc w:val="right"/>
              <w:rPr>
                <w:rFonts w:ascii="Calibri" w:hAnsi="Calibri" w:cs="Arial"/>
                <w:sz w:val="18"/>
                <w:szCs w:val="18"/>
              </w:rPr>
            </w:pPr>
            <w:r>
              <w:rPr>
                <w:rFonts w:ascii="Calibri" w:hAnsi="Calibri" w:cs="Arial"/>
                <w:sz w:val="18"/>
                <w:szCs w:val="18"/>
              </w:rPr>
              <w:t>335</w:t>
            </w:r>
          </w:p>
        </w:tc>
        <w:tc>
          <w:tcPr>
            <w:tcW w:w="674" w:type="pct"/>
            <w:tcBorders>
              <w:top w:val="nil"/>
              <w:left w:val="nil"/>
              <w:bottom w:val="single" w:sz="4" w:space="0" w:color="auto"/>
              <w:right w:val="nil"/>
            </w:tcBorders>
            <w:shd w:val="clear" w:color="auto" w:fill="auto"/>
            <w:vAlign w:val="bottom"/>
          </w:tcPr>
          <w:p w14:paraId="0C647259" w14:textId="417033D7" w:rsidR="00D96540" w:rsidRPr="00FD7170" w:rsidRDefault="00D96540" w:rsidP="00D96540">
            <w:pPr>
              <w:spacing w:after="0" w:line="280" w:lineRule="exact"/>
              <w:jc w:val="right"/>
              <w:rPr>
                <w:rFonts w:cs="Arial"/>
                <w:sz w:val="18"/>
                <w:szCs w:val="18"/>
              </w:rPr>
            </w:pPr>
            <w:r w:rsidRPr="00FD7170">
              <w:rPr>
                <w:rFonts w:ascii="Calibri" w:hAnsi="Calibri" w:cs="Arial"/>
                <w:sz w:val="18"/>
                <w:szCs w:val="18"/>
              </w:rPr>
              <w:t>335</w:t>
            </w:r>
          </w:p>
        </w:tc>
        <w:tc>
          <w:tcPr>
            <w:tcW w:w="675" w:type="pct"/>
            <w:tcBorders>
              <w:top w:val="nil"/>
              <w:left w:val="nil"/>
              <w:bottom w:val="single" w:sz="4" w:space="0" w:color="auto"/>
              <w:right w:val="nil"/>
            </w:tcBorders>
            <w:shd w:val="clear" w:color="auto" w:fill="auto"/>
          </w:tcPr>
          <w:p w14:paraId="048382B9" w14:textId="3BD28AAE" w:rsidR="00D96540" w:rsidRPr="00312975" w:rsidRDefault="00D96540" w:rsidP="00D96540">
            <w:pPr>
              <w:spacing w:after="0" w:line="280" w:lineRule="exact"/>
              <w:jc w:val="right"/>
              <w:rPr>
                <w:rFonts w:ascii="Calibri" w:hAnsi="Calibri" w:cs="Arial"/>
                <w:sz w:val="18"/>
                <w:szCs w:val="18"/>
              </w:rPr>
            </w:pPr>
            <w:r>
              <w:rPr>
                <w:rFonts w:ascii="Calibri" w:hAnsi="Calibri" w:cs="Arial"/>
                <w:sz w:val="18"/>
                <w:szCs w:val="18"/>
              </w:rPr>
              <w:t>335</w:t>
            </w:r>
          </w:p>
        </w:tc>
        <w:tc>
          <w:tcPr>
            <w:tcW w:w="673" w:type="pct"/>
            <w:tcBorders>
              <w:top w:val="nil"/>
              <w:left w:val="nil"/>
              <w:bottom w:val="single" w:sz="4" w:space="0" w:color="auto"/>
              <w:right w:val="nil"/>
            </w:tcBorders>
            <w:shd w:val="clear" w:color="auto" w:fill="auto"/>
            <w:vAlign w:val="bottom"/>
          </w:tcPr>
          <w:p w14:paraId="443AA423" w14:textId="32BAB3D4" w:rsidR="00D96540" w:rsidRPr="00FD7170" w:rsidRDefault="00D96540" w:rsidP="00D96540">
            <w:pPr>
              <w:spacing w:after="0" w:line="280" w:lineRule="exact"/>
              <w:jc w:val="right"/>
              <w:rPr>
                <w:rFonts w:cs="Arial"/>
                <w:sz w:val="18"/>
                <w:szCs w:val="18"/>
              </w:rPr>
            </w:pPr>
            <w:r w:rsidRPr="00FD7170">
              <w:rPr>
                <w:rFonts w:ascii="Calibri" w:hAnsi="Calibri" w:cs="Arial"/>
                <w:sz w:val="18"/>
                <w:szCs w:val="18"/>
              </w:rPr>
              <w:t>335</w:t>
            </w:r>
          </w:p>
        </w:tc>
      </w:tr>
      <w:tr w:rsidR="00D96540" w:rsidRPr="00C5513D" w14:paraId="729AE35F" w14:textId="77777777" w:rsidTr="00312975">
        <w:tc>
          <w:tcPr>
            <w:tcW w:w="2302" w:type="pct"/>
          </w:tcPr>
          <w:p w14:paraId="57278EFE" w14:textId="77777777" w:rsidR="00D96540" w:rsidRPr="00D12EBA" w:rsidRDefault="00D96540" w:rsidP="00D96540">
            <w:pPr>
              <w:pStyle w:val="Tot"/>
              <w:spacing w:line="300" w:lineRule="exact"/>
              <w:rPr>
                <w:rFonts w:asciiTheme="minorHAnsi" w:hAnsiTheme="minorHAnsi" w:cs="Arial"/>
                <w:b/>
                <w:bCs/>
                <w:sz w:val="18"/>
                <w:szCs w:val="18"/>
                <w:lang w:val="hr-HR"/>
              </w:rPr>
            </w:pPr>
            <w:r w:rsidRPr="00D12EBA">
              <w:rPr>
                <w:rFonts w:asciiTheme="minorHAnsi" w:hAnsiTheme="minorHAnsi" w:cs="Arial"/>
                <w:b/>
                <w:bCs/>
                <w:sz w:val="18"/>
                <w:szCs w:val="18"/>
                <w:lang w:val="hr-HR"/>
              </w:rPr>
              <w:t>Ukupno</w:t>
            </w:r>
          </w:p>
        </w:tc>
        <w:tc>
          <w:tcPr>
            <w:tcW w:w="675" w:type="pct"/>
            <w:tcBorders>
              <w:top w:val="nil"/>
              <w:left w:val="nil"/>
              <w:bottom w:val="single" w:sz="12" w:space="0" w:color="auto"/>
              <w:right w:val="nil"/>
            </w:tcBorders>
            <w:shd w:val="clear" w:color="auto" w:fill="auto"/>
            <w:vAlign w:val="center"/>
          </w:tcPr>
          <w:p w14:paraId="23A58E20" w14:textId="171EF787" w:rsidR="00D96540" w:rsidRPr="00D96540" w:rsidRDefault="00D96540" w:rsidP="00D96540">
            <w:pPr>
              <w:spacing w:after="0" w:line="280" w:lineRule="exact"/>
              <w:jc w:val="right"/>
              <w:rPr>
                <w:rFonts w:cs="Arial"/>
                <w:b/>
                <w:bCs/>
                <w:sz w:val="18"/>
                <w:szCs w:val="18"/>
              </w:rPr>
            </w:pPr>
            <w:r w:rsidRPr="00312975">
              <w:rPr>
                <w:rFonts w:ascii="Calibri" w:hAnsi="Calibri" w:cs="Arial"/>
                <w:b/>
                <w:sz w:val="18"/>
                <w:szCs w:val="18"/>
              </w:rPr>
              <w:t>5.474.534</w:t>
            </w:r>
          </w:p>
        </w:tc>
        <w:tc>
          <w:tcPr>
            <w:tcW w:w="674" w:type="pct"/>
            <w:tcBorders>
              <w:top w:val="single" w:sz="4" w:space="0" w:color="auto"/>
              <w:bottom w:val="single" w:sz="12" w:space="0" w:color="auto"/>
            </w:tcBorders>
            <w:vAlign w:val="bottom"/>
          </w:tcPr>
          <w:p w14:paraId="214A3206" w14:textId="0881A0E4" w:rsidR="00D96540" w:rsidRPr="00D96540" w:rsidRDefault="00D96540" w:rsidP="00D96540">
            <w:pPr>
              <w:spacing w:after="0" w:line="280" w:lineRule="exact"/>
              <w:jc w:val="right"/>
              <w:rPr>
                <w:rFonts w:cs="Arial"/>
                <w:b/>
                <w:sz w:val="18"/>
                <w:szCs w:val="18"/>
              </w:rPr>
            </w:pPr>
            <w:r w:rsidRPr="00D96540">
              <w:rPr>
                <w:rFonts w:cs="Arial"/>
                <w:b/>
                <w:bCs/>
                <w:sz w:val="18"/>
                <w:szCs w:val="18"/>
              </w:rPr>
              <w:t>5.943.563</w:t>
            </w:r>
          </w:p>
        </w:tc>
        <w:tc>
          <w:tcPr>
            <w:tcW w:w="675" w:type="pct"/>
            <w:tcBorders>
              <w:top w:val="nil"/>
              <w:left w:val="nil"/>
              <w:bottom w:val="single" w:sz="12" w:space="0" w:color="auto"/>
              <w:right w:val="nil"/>
            </w:tcBorders>
            <w:shd w:val="clear" w:color="auto" w:fill="auto"/>
            <w:vAlign w:val="center"/>
          </w:tcPr>
          <w:p w14:paraId="366DE633" w14:textId="1A0AAE64" w:rsidR="00D96540" w:rsidRPr="00312975" w:rsidRDefault="00D96540" w:rsidP="00D96540">
            <w:pPr>
              <w:spacing w:after="0" w:line="280" w:lineRule="exact"/>
              <w:jc w:val="right"/>
              <w:rPr>
                <w:rFonts w:ascii="Calibri" w:hAnsi="Calibri" w:cs="Arial"/>
                <w:b/>
                <w:sz w:val="18"/>
                <w:szCs w:val="18"/>
              </w:rPr>
            </w:pPr>
            <w:r w:rsidRPr="00312975">
              <w:rPr>
                <w:rFonts w:ascii="Calibri" w:hAnsi="Calibri" w:cs="Arial"/>
                <w:b/>
                <w:sz w:val="18"/>
                <w:szCs w:val="18"/>
              </w:rPr>
              <w:t>5.474.534</w:t>
            </w:r>
          </w:p>
        </w:tc>
        <w:tc>
          <w:tcPr>
            <w:tcW w:w="673" w:type="pct"/>
            <w:tcBorders>
              <w:top w:val="single" w:sz="4" w:space="0" w:color="auto"/>
              <w:bottom w:val="single" w:sz="12" w:space="0" w:color="auto"/>
            </w:tcBorders>
            <w:vAlign w:val="bottom"/>
          </w:tcPr>
          <w:p w14:paraId="3124FA16" w14:textId="3F919021" w:rsidR="00D96540" w:rsidRPr="00D96540" w:rsidRDefault="00D96540" w:rsidP="00D96540">
            <w:pPr>
              <w:spacing w:after="0" w:line="280" w:lineRule="exact"/>
              <w:jc w:val="right"/>
              <w:rPr>
                <w:rFonts w:cs="Arial"/>
                <w:b/>
                <w:sz w:val="18"/>
                <w:szCs w:val="18"/>
              </w:rPr>
            </w:pPr>
            <w:r w:rsidRPr="00D96540">
              <w:rPr>
                <w:rFonts w:cs="Arial"/>
                <w:b/>
                <w:bCs/>
                <w:sz w:val="18"/>
                <w:szCs w:val="18"/>
              </w:rPr>
              <w:t>5.943.563</w:t>
            </w:r>
          </w:p>
        </w:tc>
      </w:tr>
      <w:tr w:rsidR="00D96540" w:rsidRPr="00C5513D" w14:paraId="097B3941" w14:textId="77777777" w:rsidTr="00312975">
        <w:tc>
          <w:tcPr>
            <w:tcW w:w="2302" w:type="pct"/>
          </w:tcPr>
          <w:p w14:paraId="3B11BB5B" w14:textId="77777777" w:rsidR="00D96540" w:rsidRPr="00D12EBA" w:rsidRDefault="00D96540" w:rsidP="00D96540">
            <w:pPr>
              <w:pStyle w:val="Tot"/>
              <w:spacing w:line="300" w:lineRule="exact"/>
              <w:rPr>
                <w:rFonts w:asciiTheme="minorHAnsi" w:hAnsiTheme="minorHAnsi" w:cs="Arial"/>
                <w:b/>
                <w:bCs/>
                <w:sz w:val="18"/>
                <w:szCs w:val="18"/>
                <w:lang w:val="hr-HR"/>
              </w:rPr>
            </w:pPr>
            <w:r w:rsidRPr="00D12EBA">
              <w:rPr>
                <w:rFonts w:asciiTheme="minorHAnsi" w:hAnsiTheme="minorHAnsi" w:cs="Arial"/>
                <w:b/>
                <w:bCs/>
                <w:sz w:val="18"/>
                <w:szCs w:val="18"/>
                <w:lang w:val="hr-HR"/>
              </w:rPr>
              <w:t>Ukupna izloženost kreditnom riziku</w:t>
            </w:r>
          </w:p>
        </w:tc>
        <w:tc>
          <w:tcPr>
            <w:tcW w:w="675" w:type="pct"/>
            <w:tcBorders>
              <w:top w:val="nil"/>
              <w:left w:val="nil"/>
              <w:bottom w:val="single" w:sz="12" w:space="0" w:color="auto"/>
              <w:right w:val="nil"/>
            </w:tcBorders>
            <w:shd w:val="clear" w:color="auto" w:fill="auto"/>
            <w:vAlign w:val="center"/>
          </w:tcPr>
          <w:p w14:paraId="324D780A" w14:textId="26D0FC95" w:rsidR="00D96540" w:rsidRPr="00D96540" w:rsidRDefault="00D96540" w:rsidP="00D96540">
            <w:pPr>
              <w:spacing w:after="0" w:line="280" w:lineRule="exact"/>
              <w:jc w:val="right"/>
              <w:rPr>
                <w:rFonts w:cs="Arial"/>
                <w:b/>
                <w:bCs/>
                <w:sz w:val="18"/>
                <w:szCs w:val="18"/>
              </w:rPr>
            </w:pPr>
            <w:r w:rsidRPr="00D96540">
              <w:rPr>
                <w:rFonts w:cs="Arial"/>
                <w:b/>
                <w:bCs/>
                <w:sz w:val="18"/>
                <w:szCs w:val="18"/>
              </w:rPr>
              <w:t>33.185.602</w:t>
            </w:r>
          </w:p>
        </w:tc>
        <w:tc>
          <w:tcPr>
            <w:tcW w:w="674" w:type="pct"/>
            <w:tcBorders>
              <w:top w:val="single" w:sz="12" w:space="0" w:color="auto"/>
              <w:bottom w:val="single" w:sz="12" w:space="0" w:color="auto"/>
            </w:tcBorders>
            <w:vAlign w:val="bottom"/>
          </w:tcPr>
          <w:p w14:paraId="6102D346" w14:textId="7005FFE0" w:rsidR="00D96540" w:rsidRPr="00D96540" w:rsidRDefault="00D96540" w:rsidP="00D96540">
            <w:pPr>
              <w:spacing w:after="0" w:line="280" w:lineRule="exact"/>
              <w:jc w:val="right"/>
              <w:rPr>
                <w:rFonts w:cs="Arial"/>
                <w:b/>
                <w:sz w:val="18"/>
                <w:szCs w:val="18"/>
              </w:rPr>
            </w:pPr>
            <w:r w:rsidRPr="00D96540">
              <w:rPr>
                <w:rFonts w:cs="Arial"/>
                <w:b/>
                <w:bCs/>
                <w:sz w:val="18"/>
                <w:szCs w:val="18"/>
              </w:rPr>
              <w:t>33.220.026</w:t>
            </w:r>
          </w:p>
        </w:tc>
        <w:tc>
          <w:tcPr>
            <w:tcW w:w="675" w:type="pct"/>
            <w:tcBorders>
              <w:top w:val="nil"/>
              <w:left w:val="nil"/>
              <w:bottom w:val="single" w:sz="12" w:space="0" w:color="auto"/>
              <w:right w:val="nil"/>
            </w:tcBorders>
            <w:shd w:val="clear" w:color="auto" w:fill="auto"/>
            <w:vAlign w:val="center"/>
          </w:tcPr>
          <w:p w14:paraId="447014BF" w14:textId="3A76BA32" w:rsidR="00D96540" w:rsidRPr="00312975" w:rsidRDefault="00D96540" w:rsidP="00D96540">
            <w:pPr>
              <w:spacing w:after="0" w:line="280" w:lineRule="exact"/>
              <w:jc w:val="right"/>
              <w:rPr>
                <w:rFonts w:ascii="Calibri" w:hAnsi="Calibri" w:cs="Arial"/>
                <w:b/>
                <w:sz w:val="18"/>
                <w:szCs w:val="18"/>
              </w:rPr>
            </w:pPr>
            <w:r w:rsidRPr="00312975">
              <w:rPr>
                <w:rFonts w:ascii="Calibri" w:hAnsi="Calibri" w:cs="Arial"/>
                <w:b/>
                <w:sz w:val="18"/>
                <w:szCs w:val="18"/>
              </w:rPr>
              <w:t>33.131.926</w:t>
            </w:r>
          </w:p>
        </w:tc>
        <w:tc>
          <w:tcPr>
            <w:tcW w:w="673" w:type="pct"/>
            <w:tcBorders>
              <w:top w:val="single" w:sz="12" w:space="0" w:color="auto"/>
              <w:bottom w:val="single" w:sz="12" w:space="0" w:color="auto"/>
            </w:tcBorders>
            <w:vAlign w:val="bottom"/>
          </w:tcPr>
          <w:p w14:paraId="1AD8C7F1" w14:textId="4E53081F" w:rsidR="00D96540" w:rsidRPr="00D96540" w:rsidRDefault="00D96540" w:rsidP="00D96540">
            <w:pPr>
              <w:spacing w:after="0" w:line="280" w:lineRule="exact"/>
              <w:jc w:val="right"/>
              <w:rPr>
                <w:rFonts w:cs="Arial"/>
                <w:b/>
                <w:sz w:val="18"/>
                <w:szCs w:val="18"/>
              </w:rPr>
            </w:pPr>
            <w:r w:rsidRPr="00D96540">
              <w:rPr>
                <w:rFonts w:cs="Arial"/>
                <w:b/>
                <w:bCs/>
                <w:sz w:val="18"/>
                <w:szCs w:val="18"/>
              </w:rPr>
              <w:t>33.168.139</w:t>
            </w:r>
          </w:p>
        </w:tc>
      </w:tr>
      <w:tr w:rsidR="00A74BAA" w:rsidRPr="00C5513D" w14:paraId="44DE312B" w14:textId="77777777" w:rsidTr="00FD7170">
        <w:trPr>
          <w:trHeight w:val="68"/>
        </w:trPr>
        <w:tc>
          <w:tcPr>
            <w:tcW w:w="2302" w:type="pct"/>
          </w:tcPr>
          <w:p w14:paraId="575017C7" w14:textId="77777777" w:rsidR="00A74BAA" w:rsidRPr="00D12EBA" w:rsidRDefault="00A74BAA" w:rsidP="00A74BAA">
            <w:pPr>
              <w:pStyle w:val="Thick"/>
              <w:spacing w:line="140" w:lineRule="exact"/>
              <w:rPr>
                <w:rFonts w:asciiTheme="minorHAnsi" w:hAnsiTheme="minorHAnsi" w:cs="Arial"/>
                <w:sz w:val="18"/>
                <w:szCs w:val="18"/>
                <w:lang w:val="hr-HR"/>
              </w:rPr>
            </w:pPr>
          </w:p>
        </w:tc>
        <w:tc>
          <w:tcPr>
            <w:tcW w:w="675" w:type="pct"/>
            <w:tcBorders>
              <w:top w:val="single" w:sz="12" w:space="0" w:color="auto"/>
            </w:tcBorders>
            <w:vAlign w:val="bottom"/>
          </w:tcPr>
          <w:p w14:paraId="36AD0ABB" w14:textId="77777777" w:rsidR="00A74BAA" w:rsidRPr="00D12EBA" w:rsidRDefault="00A74BAA" w:rsidP="00A74BAA">
            <w:pPr>
              <w:pStyle w:val="Thick"/>
              <w:spacing w:line="140" w:lineRule="exact"/>
              <w:jc w:val="right"/>
              <w:rPr>
                <w:rFonts w:asciiTheme="minorHAnsi" w:hAnsiTheme="minorHAnsi" w:cs="Arial"/>
                <w:snapToGrid w:val="0"/>
                <w:sz w:val="18"/>
                <w:szCs w:val="18"/>
                <w:lang w:val="hr-HR"/>
              </w:rPr>
            </w:pPr>
          </w:p>
        </w:tc>
        <w:tc>
          <w:tcPr>
            <w:tcW w:w="674" w:type="pct"/>
            <w:tcBorders>
              <w:top w:val="single" w:sz="12" w:space="0" w:color="auto"/>
            </w:tcBorders>
            <w:vAlign w:val="bottom"/>
          </w:tcPr>
          <w:p w14:paraId="27816ED1" w14:textId="77777777" w:rsidR="00A74BAA" w:rsidRPr="00D12EBA" w:rsidRDefault="00A74BAA" w:rsidP="00A74BAA">
            <w:pPr>
              <w:pStyle w:val="Thick"/>
              <w:spacing w:line="140" w:lineRule="exact"/>
              <w:jc w:val="right"/>
              <w:rPr>
                <w:rFonts w:asciiTheme="minorHAnsi" w:hAnsiTheme="minorHAnsi" w:cs="Arial"/>
                <w:snapToGrid w:val="0"/>
                <w:sz w:val="18"/>
                <w:szCs w:val="18"/>
                <w:lang w:val="hr-HR"/>
              </w:rPr>
            </w:pPr>
          </w:p>
        </w:tc>
        <w:tc>
          <w:tcPr>
            <w:tcW w:w="675" w:type="pct"/>
            <w:tcBorders>
              <w:top w:val="single" w:sz="12" w:space="0" w:color="auto"/>
            </w:tcBorders>
            <w:vAlign w:val="bottom"/>
          </w:tcPr>
          <w:p w14:paraId="2B851B53" w14:textId="77777777" w:rsidR="00A74BAA" w:rsidRPr="00D12EBA" w:rsidRDefault="00A74BAA" w:rsidP="00A74BAA">
            <w:pPr>
              <w:spacing w:after="0" w:line="280" w:lineRule="exact"/>
              <w:jc w:val="right"/>
              <w:rPr>
                <w:rFonts w:cs="Arial"/>
                <w:bCs/>
                <w:sz w:val="18"/>
                <w:szCs w:val="18"/>
              </w:rPr>
            </w:pPr>
          </w:p>
        </w:tc>
        <w:tc>
          <w:tcPr>
            <w:tcW w:w="673" w:type="pct"/>
            <w:tcBorders>
              <w:top w:val="single" w:sz="12" w:space="0" w:color="auto"/>
            </w:tcBorders>
            <w:vAlign w:val="bottom"/>
          </w:tcPr>
          <w:p w14:paraId="2C75F900" w14:textId="77777777" w:rsidR="00A74BAA" w:rsidRPr="00D12EBA" w:rsidRDefault="00A74BAA" w:rsidP="00A74BAA">
            <w:pPr>
              <w:pStyle w:val="Thick"/>
              <w:spacing w:line="140" w:lineRule="exact"/>
              <w:jc w:val="right"/>
              <w:rPr>
                <w:rFonts w:asciiTheme="minorHAnsi" w:hAnsiTheme="minorHAnsi" w:cs="Arial"/>
                <w:snapToGrid w:val="0"/>
                <w:sz w:val="18"/>
                <w:szCs w:val="18"/>
                <w:lang w:val="hr-HR"/>
              </w:rPr>
            </w:pPr>
          </w:p>
        </w:tc>
      </w:tr>
    </w:tbl>
    <w:p w14:paraId="1B1112FE" w14:textId="77777777" w:rsidR="00581360" w:rsidRPr="00581360" w:rsidRDefault="00581360" w:rsidP="00581360">
      <w:pPr>
        <w:pStyle w:val="accountingpolicytitle"/>
        <w:spacing w:line="300" w:lineRule="exact"/>
        <w:rPr>
          <w:rFonts w:asciiTheme="minorHAnsi" w:hAnsiTheme="minorHAnsi" w:cs="Arial"/>
          <w:szCs w:val="19"/>
          <w:highlight w:val="yellow"/>
          <w:lang w:val="hr-HR"/>
        </w:rPr>
      </w:pPr>
    </w:p>
    <w:p w14:paraId="791261FA" w14:textId="77777777" w:rsidR="00581360" w:rsidRPr="00581360" w:rsidRDefault="00581360" w:rsidP="00581360">
      <w:pPr>
        <w:pStyle w:val="accountingpolicytitle"/>
        <w:spacing w:line="360" w:lineRule="auto"/>
        <w:rPr>
          <w:rFonts w:asciiTheme="minorHAnsi" w:hAnsiTheme="minorHAnsi" w:cs="Arial"/>
          <w:szCs w:val="19"/>
          <w:highlight w:val="yellow"/>
          <w:lang w:val="hr-HR"/>
        </w:rPr>
      </w:pPr>
    </w:p>
    <w:p w14:paraId="5145AD81" w14:textId="77777777" w:rsidR="00581360" w:rsidRPr="00581360" w:rsidRDefault="00581360" w:rsidP="00581360">
      <w:pPr>
        <w:pStyle w:val="accountingpolicytitle"/>
        <w:spacing w:line="360" w:lineRule="auto"/>
        <w:rPr>
          <w:rFonts w:asciiTheme="minorHAnsi" w:hAnsiTheme="minorHAnsi" w:cs="Arial"/>
          <w:szCs w:val="19"/>
          <w:highlight w:val="yellow"/>
          <w:lang w:val="hr-HR"/>
        </w:rPr>
        <w:sectPr w:rsidR="00581360" w:rsidRPr="00581360" w:rsidSect="00312975">
          <w:headerReference w:type="default" r:id="rId86"/>
          <w:footerReference w:type="default" r:id="rId87"/>
          <w:pgSz w:w="11906" w:h="16838" w:code="9"/>
          <w:pgMar w:top="1418" w:right="1418" w:bottom="595" w:left="1134" w:header="851" w:footer="851" w:gutter="0"/>
          <w:cols w:space="720"/>
          <w:noEndnote/>
          <w:docGrid w:linePitch="299"/>
        </w:sectPr>
      </w:pPr>
    </w:p>
    <w:p w14:paraId="791E071A" w14:textId="77777777" w:rsidR="00581360" w:rsidRDefault="00581360" w:rsidP="00581360">
      <w:pPr>
        <w:pStyle w:val="T1"/>
        <w:spacing w:before="0" w:after="0" w:line="240" w:lineRule="auto"/>
        <w:rPr>
          <w:rFonts w:asciiTheme="minorHAnsi" w:hAnsiTheme="minorHAnsi" w:cs="Arial"/>
          <w:sz w:val="22"/>
          <w:szCs w:val="22"/>
          <w:lang w:val="hr-HR"/>
        </w:rPr>
      </w:pPr>
    </w:p>
    <w:p w14:paraId="1003571A" w14:textId="77777777" w:rsidR="00581360" w:rsidRPr="00581360" w:rsidRDefault="00581360" w:rsidP="00581360">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B01DFE">
        <w:rPr>
          <w:rFonts w:asciiTheme="minorHAnsi" w:hAnsiTheme="minorHAnsi" w:cs="Arial"/>
          <w:sz w:val="22"/>
          <w:szCs w:val="22"/>
          <w:lang w:val="hr-HR"/>
        </w:rPr>
        <w:t>6</w:t>
      </w:r>
      <w:r w:rsidRPr="00581360">
        <w:rPr>
          <w:rFonts w:asciiTheme="minorHAnsi" w:hAnsiTheme="minorHAnsi" w:cs="Arial"/>
          <w:sz w:val="22"/>
          <w:szCs w:val="22"/>
          <w:lang w:val="hr-HR"/>
        </w:rPr>
        <w:t>.</w:t>
      </w:r>
      <w:r w:rsidRPr="00581360">
        <w:rPr>
          <w:rFonts w:asciiTheme="minorHAnsi" w:hAnsiTheme="minorHAnsi" w:cs="Arial"/>
          <w:sz w:val="22"/>
          <w:szCs w:val="22"/>
          <w:lang w:val="hr-HR"/>
        </w:rPr>
        <w:tab/>
        <w:t>Upravljanje rizicima (nastavak)</w:t>
      </w:r>
    </w:p>
    <w:p w14:paraId="6B312E39" w14:textId="77777777" w:rsidR="00581360" w:rsidRDefault="00581360" w:rsidP="00581360">
      <w:pPr>
        <w:pStyle w:val="accountingpolicytitle"/>
        <w:rPr>
          <w:rFonts w:asciiTheme="minorHAnsi" w:hAnsiTheme="minorHAnsi"/>
          <w:sz w:val="22"/>
          <w:szCs w:val="22"/>
          <w:lang w:val="hr-HR"/>
        </w:rPr>
      </w:pPr>
    </w:p>
    <w:p w14:paraId="58C7403C" w14:textId="77777777" w:rsidR="00581360" w:rsidRPr="00581360" w:rsidRDefault="00581360" w:rsidP="00581360">
      <w:pPr>
        <w:pStyle w:val="accountingpolicytitle"/>
        <w:rPr>
          <w:rFonts w:asciiTheme="minorHAnsi" w:hAnsiTheme="minorHAnsi"/>
          <w:sz w:val="22"/>
          <w:szCs w:val="22"/>
          <w:lang w:val="hr-HR"/>
        </w:rPr>
      </w:pPr>
      <w:r>
        <w:rPr>
          <w:rFonts w:asciiTheme="minorHAnsi" w:hAnsiTheme="minorHAnsi"/>
          <w:sz w:val="22"/>
          <w:szCs w:val="22"/>
          <w:lang w:val="hr-HR"/>
        </w:rPr>
        <w:t>1</w:t>
      </w:r>
      <w:r w:rsidR="00B01DFE">
        <w:rPr>
          <w:rFonts w:asciiTheme="minorHAnsi" w:hAnsiTheme="minorHAnsi"/>
          <w:sz w:val="22"/>
          <w:szCs w:val="22"/>
          <w:lang w:val="hr-HR"/>
        </w:rPr>
        <w:t>6</w:t>
      </w:r>
      <w:r w:rsidRPr="00581360">
        <w:rPr>
          <w:rFonts w:asciiTheme="minorHAnsi" w:hAnsiTheme="minorHAnsi"/>
          <w:sz w:val="22"/>
          <w:szCs w:val="22"/>
          <w:lang w:val="hr-HR"/>
        </w:rPr>
        <w:t xml:space="preserve">.2. </w:t>
      </w:r>
      <w:r w:rsidRPr="00581360">
        <w:rPr>
          <w:rFonts w:asciiTheme="minorHAnsi" w:hAnsiTheme="minorHAnsi"/>
          <w:sz w:val="22"/>
          <w:szCs w:val="22"/>
          <w:lang w:val="hr-HR"/>
        </w:rPr>
        <w:tab/>
        <w:t>Kreditni rizik (nastavak)</w:t>
      </w:r>
    </w:p>
    <w:p w14:paraId="6EF81DA1" w14:textId="77777777" w:rsidR="00581360" w:rsidRDefault="00581360" w:rsidP="00581360">
      <w:pPr>
        <w:pStyle w:val="accountingpolicytitle"/>
        <w:rPr>
          <w:rFonts w:asciiTheme="minorHAnsi" w:hAnsiTheme="minorHAnsi" w:cs="Arial"/>
          <w:sz w:val="22"/>
          <w:szCs w:val="22"/>
          <w:lang w:val="hr-HR"/>
        </w:rPr>
      </w:pPr>
    </w:p>
    <w:p w14:paraId="3F958F8A" w14:textId="77777777" w:rsidR="00581360" w:rsidRPr="00581360" w:rsidRDefault="00581360" w:rsidP="00581360">
      <w:pPr>
        <w:pStyle w:val="accountingpolicytitle"/>
        <w:rPr>
          <w:rFonts w:asciiTheme="minorHAnsi" w:hAnsiTheme="minorHAnsi" w:cs="Arial"/>
          <w:sz w:val="22"/>
          <w:szCs w:val="22"/>
          <w:lang w:val="hr-HR"/>
        </w:rPr>
      </w:pPr>
      <w:r w:rsidRPr="00581360">
        <w:rPr>
          <w:rFonts w:asciiTheme="minorHAnsi" w:hAnsiTheme="minorHAnsi" w:cs="Arial"/>
          <w:sz w:val="22"/>
          <w:szCs w:val="22"/>
          <w:lang w:val="hr-HR"/>
        </w:rPr>
        <w:t xml:space="preserve">Koncentracija rizika i </w:t>
      </w:r>
      <w:r w:rsidR="00640198">
        <w:rPr>
          <w:rFonts w:asciiTheme="minorHAnsi" w:hAnsiTheme="minorHAnsi" w:cs="Arial"/>
          <w:sz w:val="22"/>
          <w:szCs w:val="22"/>
          <w:lang w:val="hr-HR"/>
        </w:rPr>
        <w:t>maksimalna</w:t>
      </w:r>
      <w:r w:rsidRPr="00581360">
        <w:rPr>
          <w:rFonts w:asciiTheme="minorHAnsi" w:hAnsiTheme="minorHAnsi" w:cs="Arial"/>
          <w:sz w:val="22"/>
          <w:szCs w:val="22"/>
          <w:lang w:val="hr-HR"/>
        </w:rPr>
        <w:t xml:space="preserve"> izloženost kreditnom riziku (nastavak)</w:t>
      </w:r>
    </w:p>
    <w:p w14:paraId="67B08A41" w14:textId="77777777" w:rsidR="00581360" w:rsidRDefault="00581360" w:rsidP="00581360">
      <w:pPr>
        <w:pStyle w:val="T1"/>
        <w:spacing w:before="0" w:after="0" w:line="240" w:lineRule="auto"/>
        <w:rPr>
          <w:rFonts w:asciiTheme="minorHAnsi" w:hAnsiTheme="minorHAnsi" w:cs="Arial"/>
          <w:b w:val="0"/>
          <w:bCs w:val="0"/>
          <w:sz w:val="22"/>
          <w:szCs w:val="22"/>
          <w:lang w:val="hr-HR"/>
        </w:rPr>
      </w:pPr>
    </w:p>
    <w:p w14:paraId="7AB4D9BE" w14:textId="77777777" w:rsidR="00581360" w:rsidRPr="00581360" w:rsidRDefault="00581360" w:rsidP="00581360">
      <w:pPr>
        <w:pStyle w:val="T1"/>
        <w:spacing w:before="0" w:after="0" w:line="240" w:lineRule="auto"/>
        <w:rPr>
          <w:rFonts w:asciiTheme="minorHAnsi" w:hAnsiTheme="minorHAnsi" w:cs="Arial"/>
          <w:b w:val="0"/>
          <w:bCs w:val="0"/>
          <w:sz w:val="22"/>
          <w:szCs w:val="22"/>
          <w:lang w:val="hr-HR"/>
        </w:rPr>
      </w:pPr>
      <w:r w:rsidRPr="00581360">
        <w:rPr>
          <w:rFonts w:asciiTheme="minorHAnsi" w:hAnsiTheme="minorHAnsi" w:cs="Arial"/>
          <w:b w:val="0"/>
          <w:bCs w:val="0"/>
          <w:sz w:val="22"/>
          <w:szCs w:val="22"/>
          <w:lang w:val="hr-HR"/>
        </w:rPr>
        <w:t xml:space="preserve">Koncentracija imovine i garancija i preuzetih obveza prema zemljopisnim segmentima, </w:t>
      </w:r>
      <w:r w:rsidRPr="00581360">
        <w:rPr>
          <w:rFonts w:asciiTheme="minorHAnsi" w:hAnsiTheme="minorHAnsi" w:cs="Arial"/>
          <w:b w:val="0"/>
          <w:sz w:val="22"/>
          <w:szCs w:val="22"/>
          <w:lang w:val="hr-HR"/>
        </w:rPr>
        <w:t>bez umanjenja za vrijednost sredstava osiguranja naplate</w:t>
      </w:r>
      <w:r w:rsidRPr="00581360">
        <w:rPr>
          <w:rFonts w:asciiTheme="minorHAnsi" w:hAnsiTheme="minorHAnsi" w:cs="Arial"/>
          <w:b w:val="0"/>
          <w:bCs w:val="0"/>
          <w:sz w:val="22"/>
          <w:szCs w:val="22"/>
          <w:lang w:val="hr-HR"/>
        </w:rPr>
        <w:t xml:space="preserve">: </w:t>
      </w:r>
    </w:p>
    <w:p w14:paraId="07125114" w14:textId="77777777" w:rsidR="00581360" w:rsidRPr="00581360" w:rsidRDefault="00581360" w:rsidP="00581360">
      <w:pPr>
        <w:pStyle w:val="T1"/>
        <w:spacing w:before="0" w:after="0" w:line="240" w:lineRule="auto"/>
        <w:rPr>
          <w:rFonts w:asciiTheme="minorHAnsi" w:hAnsiTheme="minorHAnsi" w:cs="Arial"/>
          <w:b w:val="0"/>
          <w:bCs w:val="0"/>
          <w:sz w:val="22"/>
          <w:szCs w:val="22"/>
          <w:lang w:val="hr-HR"/>
        </w:rPr>
      </w:pPr>
    </w:p>
    <w:tbl>
      <w:tblPr>
        <w:tblW w:w="5000" w:type="pct"/>
        <w:tblLayout w:type="fixed"/>
        <w:tblCellMar>
          <w:left w:w="30" w:type="dxa"/>
          <w:right w:w="30" w:type="dxa"/>
        </w:tblCellMar>
        <w:tblLook w:val="0000" w:firstRow="0" w:lastRow="0" w:firstColumn="0" w:lastColumn="0" w:noHBand="0" w:noVBand="0"/>
      </w:tblPr>
      <w:tblGrid>
        <w:gridCol w:w="4678"/>
        <w:gridCol w:w="1280"/>
        <w:gridCol w:w="1136"/>
        <w:gridCol w:w="993"/>
        <w:gridCol w:w="1267"/>
      </w:tblGrid>
      <w:tr w:rsidR="007828B1" w:rsidRPr="00581360" w14:paraId="7392B023" w14:textId="77777777" w:rsidTr="007828B1">
        <w:trPr>
          <w:cantSplit/>
          <w:trHeight w:val="802"/>
          <w:tblHeader/>
        </w:trPr>
        <w:tc>
          <w:tcPr>
            <w:tcW w:w="2501" w:type="pct"/>
            <w:vAlign w:val="center"/>
          </w:tcPr>
          <w:p w14:paraId="64BD13E7" w14:textId="77777777" w:rsidR="00B01DFE" w:rsidRDefault="00B01DFE" w:rsidP="00B01DFE">
            <w:pPr>
              <w:tabs>
                <w:tab w:val="right" w:pos="1202"/>
              </w:tabs>
              <w:spacing w:after="0" w:line="240" w:lineRule="atLeast"/>
              <w:outlineLvl w:val="0"/>
              <w:rPr>
                <w:rFonts w:cs="Arial"/>
                <w:b/>
                <w:sz w:val="19"/>
                <w:szCs w:val="19"/>
              </w:rPr>
            </w:pPr>
            <w:r>
              <w:rPr>
                <w:rFonts w:cs="Arial"/>
                <w:b/>
                <w:sz w:val="19"/>
                <w:szCs w:val="19"/>
              </w:rPr>
              <w:t>Grupa</w:t>
            </w:r>
          </w:p>
          <w:p w14:paraId="44B16221" w14:textId="4733E644" w:rsidR="00581360" w:rsidRPr="00581360" w:rsidRDefault="00256A5F">
            <w:pPr>
              <w:tabs>
                <w:tab w:val="right" w:pos="1202"/>
              </w:tabs>
              <w:spacing w:after="0" w:line="240" w:lineRule="atLeast"/>
              <w:outlineLvl w:val="0"/>
              <w:rPr>
                <w:rFonts w:cs="Arial"/>
                <w:b/>
                <w:sz w:val="19"/>
                <w:szCs w:val="19"/>
              </w:rPr>
            </w:pPr>
            <w:r>
              <w:rPr>
                <w:rFonts w:cs="Arial"/>
                <w:b/>
                <w:sz w:val="19"/>
                <w:szCs w:val="19"/>
              </w:rPr>
              <w:t>30</w:t>
            </w:r>
            <w:r w:rsidR="00FD7170">
              <w:rPr>
                <w:rFonts w:cs="Arial"/>
                <w:b/>
                <w:sz w:val="19"/>
                <w:szCs w:val="19"/>
              </w:rPr>
              <w:t>.</w:t>
            </w:r>
            <w:r>
              <w:rPr>
                <w:rFonts w:cs="Arial"/>
                <w:b/>
                <w:sz w:val="19"/>
                <w:szCs w:val="19"/>
              </w:rPr>
              <w:t>6</w:t>
            </w:r>
            <w:r w:rsidR="00F4789E">
              <w:rPr>
                <w:rFonts w:cs="Arial"/>
                <w:b/>
                <w:sz w:val="19"/>
                <w:szCs w:val="19"/>
              </w:rPr>
              <w:t>.</w:t>
            </w:r>
            <w:r w:rsidR="00581360" w:rsidRPr="00581360">
              <w:rPr>
                <w:rFonts w:cs="Arial"/>
                <w:b/>
                <w:sz w:val="19"/>
                <w:szCs w:val="19"/>
              </w:rPr>
              <w:t>201</w:t>
            </w:r>
            <w:r w:rsidR="00FD7170">
              <w:rPr>
                <w:rFonts w:cs="Arial"/>
                <w:b/>
                <w:sz w:val="19"/>
                <w:szCs w:val="19"/>
              </w:rPr>
              <w:t>7</w:t>
            </w:r>
            <w:r w:rsidR="00581360" w:rsidRPr="00581360">
              <w:rPr>
                <w:rFonts w:cs="Arial"/>
                <w:b/>
                <w:sz w:val="19"/>
                <w:szCs w:val="19"/>
              </w:rPr>
              <w:t xml:space="preserve">. </w:t>
            </w:r>
          </w:p>
        </w:tc>
        <w:tc>
          <w:tcPr>
            <w:tcW w:w="684" w:type="pct"/>
            <w:vAlign w:val="center"/>
          </w:tcPr>
          <w:p w14:paraId="640E6454" w14:textId="77777777" w:rsidR="00581360" w:rsidRPr="00581360" w:rsidRDefault="00581360">
            <w:pPr>
              <w:tabs>
                <w:tab w:val="right" w:pos="1202"/>
              </w:tabs>
              <w:spacing w:line="240" w:lineRule="atLeast"/>
              <w:jc w:val="right"/>
              <w:outlineLvl w:val="0"/>
              <w:rPr>
                <w:rFonts w:cs="Arial"/>
                <w:b/>
                <w:sz w:val="19"/>
                <w:szCs w:val="19"/>
              </w:rPr>
            </w:pPr>
            <w:r w:rsidRPr="00581360">
              <w:rPr>
                <w:rFonts w:cs="Arial"/>
                <w:b/>
                <w:sz w:val="19"/>
                <w:szCs w:val="19"/>
              </w:rPr>
              <w:t>Republika Hrvatska</w:t>
            </w:r>
          </w:p>
        </w:tc>
        <w:tc>
          <w:tcPr>
            <w:tcW w:w="607" w:type="pct"/>
            <w:vAlign w:val="center"/>
          </w:tcPr>
          <w:p w14:paraId="172BCA47" w14:textId="77777777" w:rsidR="00581360" w:rsidRPr="00581360" w:rsidRDefault="00581360">
            <w:pPr>
              <w:tabs>
                <w:tab w:val="right" w:pos="1202"/>
              </w:tabs>
              <w:spacing w:line="240" w:lineRule="atLeast"/>
              <w:jc w:val="right"/>
              <w:outlineLvl w:val="0"/>
              <w:rPr>
                <w:rFonts w:cs="Arial"/>
                <w:b/>
                <w:sz w:val="19"/>
                <w:szCs w:val="19"/>
              </w:rPr>
            </w:pPr>
            <w:r w:rsidRPr="00581360">
              <w:rPr>
                <w:rFonts w:cs="Arial"/>
                <w:b/>
                <w:sz w:val="19"/>
                <w:szCs w:val="19"/>
              </w:rPr>
              <w:t>Zemlje Europske unije</w:t>
            </w:r>
          </w:p>
        </w:tc>
        <w:tc>
          <w:tcPr>
            <w:tcW w:w="531" w:type="pct"/>
            <w:vAlign w:val="center"/>
          </w:tcPr>
          <w:p w14:paraId="05FBBE84" w14:textId="77777777" w:rsidR="00B01DFE" w:rsidRDefault="00581360">
            <w:pPr>
              <w:tabs>
                <w:tab w:val="right" w:pos="1202"/>
              </w:tabs>
              <w:spacing w:after="0" w:line="240" w:lineRule="atLeast"/>
              <w:jc w:val="right"/>
              <w:outlineLvl w:val="0"/>
              <w:rPr>
                <w:rFonts w:cs="Arial"/>
                <w:b/>
                <w:sz w:val="19"/>
                <w:szCs w:val="19"/>
              </w:rPr>
            </w:pPr>
            <w:r w:rsidRPr="00581360">
              <w:rPr>
                <w:rFonts w:cs="Arial"/>
                <w:b/>
                <w:sz w:val="19"/>
                <w:szCs w:val="19"/>
              </w:rPr>
              <w:t xml:space="preserve">Ostale </w:t>
            </w:r>
          </w:p>
          <w:p w14:paraId="25C894B0" w14:textId="77777777" w:rsidR="00581360" w:rsidRPr="00581360" w:rsidRDefault="00581360">
            <w:pPr>
              <w:tabs>
                <w:tab w:val="right" w:pos="1202"/>
              </w:tabs>
              <w:spacing w:after="0" w:line="240" w:lineRule="atLeast"/>
              <w:jc w:val="right"/>
              <w:outlineLvl w:val="0"/>
              <w:rPr>
                <w:rFonts w:cs="Arial"/>
                <w:b/>
                <w:sz w:val="19"/>
                <w:szCs w:val="19"/>
              </w:rPr>
            </w:pPr>
            <w:r w:rsidRPr="00581360">
              <w:rPr>
                <w:rFonts w:cs="Arial"/>
                <w:b/>
                <w:sz w:val="19"/>
                <w:szCs w:val="19"/>
              </w:rPr>
              <w:t xml:space="preserve">zemlje </w:t>
            </w:r>
          </w:p>
        </w:tc>
        <w:tc>
          <w:tcPr>
            <w:tcW w:w="677" w:type="pct"/>
            <w:vAlign w:val="center"/>
          </w:tcPr>
          <w:p w14:paraId="1AFCE966" w14:textId="77777777" w:rsidR="00581360" w:rsidRPr="00581360" w:rsidRDefault="00581360">
            <w:pPr>
              <w:tabs>
                <w:tab w:val="right" w:pos="1202"/>
              </w:tabs>
              <w:spacing w:line="240" w:lineRule="atLeast"/>
              <w:jc w:val="right"/>
              <w:outlineLvl w:val="0"/>
              <w:rPr>
                <w:rFonts w:cs="Arial"/>
                <w:b/>
                <w:sz w:val="19"/>
                <w:szCs w:val="19"/>
              </w:rPr>
            </w:pPr>
            <w:r w:rsidRPr="00581360">
              <w:rPr>
                <w:rFonts w:cs="Arial"/>
                <w:b/>
                <w:sz w:val="19"/>
                <w:szCs w:val="19"/>
              </w:rPr>
              <w:t>Ukupno</w:t>
            </w:r>
          </w:p>
        </w:tc>
      </w:tr>
      <w:tr w:rsidR="007828B1" w:rsidRPr="00581360" w14:paraId="2D33C02A" w14:textId="77777777" w:rsidTr="007828B1">
        <w:trPr>
          <w:cantSplit/>
          <w:trHeight w:val="250"/>
          <w:tblHeader/>
        </w:trPr>
        <w:tc>
          <w:tcPr>
            <w:tcW w:w="2501" w:type="pct"/>
          </w:tcPr>
          <w:p w14:paraId="5D7C36DC" w14:textId="77777777" w:rsidR="00256A5F" w:rsidRPr="00581360" w:rsidRDefault="00256A5F" w:rsidP="00256A5F">
            <w:pPr>
              <w:tabs>
                <w:tab w:val="right" w:pos="1202"/>
              </w:tabs>
              <w:spacing w:after="0" w:line="280" w:lineRule="exact"/>
              <w:outlineLvl w:val="0"/>
              <w:rPr>
                <w:rFonts w:cs="Arial"/>
                <w:b/>
                <w:bCs/>
                <w:sz w:val="19"/>
                <w:szCs w:val="19"/>
              </w:rPr>
            </w:pPr>
            <w:r w:rsidRPr="00581360">
              <w:rPr>
                <w:rFonts w:cs="Arial"/>
                <w:b/>
                <w:bCs/>
                <w:sz w:val="19"/>
                <w:szCs w:val="19"/>
              </w:rPr>
              <w:t>Imovina</w:t>
            </w:r>
          </w:p>
        </w:tc>
        <w:tc>
          <w:tcPr>
            <w:tcW w:w="684" w:type="pct"/>
          </w:tcPr>
          <w:p w14:paraId="0151716A" w14:textId="77777777" w:rsidR="00256A5F" w:rsidRPr="00581360" w:rsidRDefault="00256A5F" w:rsidP="00256A5F">
            <w:pPr>
              <w:spacing w:after="0" w:line="280" w:lineRule="exact"/>
              <w:jc w:val="right"/>
              <w:rPr>
                <w:rFonts w:cs="Arial"/>
                <w:sz w:val="19"/>
                <w:szCs w:val="19"/>
              </w:rPr>
            </w:pPr>
          </w:p>
        </w:tc>
        <w:tc>
          <w:tcPr>
            <w:tcW w:w="607" w:type="pct"/>
          </w:tcPr>
          <w:p w14:paraId="2C789AAB" w14:textId="77777777" w:rsidR="00256A5F" w:rsidRPr="00581360" w:rsidRDefault="00256A5F" w:rsidP="00256A5F">
            <w:pPr>
              <w:spacing w:after="0" w:line="280" w:lineRule="exact"/>
              <w:jc w:val="right"/>
              <w:rPr>
                <w:rFonts w:cs="Arial"/>
                <w:sz w:val="19"/>
                <w:szCs w:val="19"/>
              </w:rPr>
            </w:pPr>
          </w:p>
        </w:tc>
        <w:tc>
          <w:tcPr>
            <w:tcW w:w="531" w:type="pct"/>
          </w:tcPr>
          <w:p w14:paraId="29D25D94" w14:textId="77777777" w:rsidR="00256A5F" w:rsidRPr="00581360" w:rsidRDefault="00256A5F" w:rsidP="00256A5F">
            <w:pPr>
              <w:spacing w:after="0" w:line="280" w:lineRule="exact"/>
              <w:jc w:val="right"/>
              <w:rPr>
                <w:rFonts w:cs="Arial"/>
                <w:sz w:val="19"/>
                <w:szCs w:val="19"/>
              </w:rPr>
            </w:pPr>
          </w:p>
        </w:tc>
        <w:tc>
          <w:tcPr>
            <w:tcW w:w="677" w:type="pct"/>
          </w:tcPr>
          <w:p w14:paraId="065CB260" w14:textId="77777777" w:rsidR="00256A5F" w:rsidRPr="00581360" w:rsidRDefault="00256A5F" w:rsidP="00256A5F">
            <w:pPr>
              <w:spacing w:after="0" w:line="280" w:lineRule="exact"/>
              <w:jc w:val="center"/>
              <w:rPr>
                <w:rFonts w:cs="Arial"/>
                <w:sz w:val="19"/>
                <w:szCs w:val="19"/>
              </w:rPr>
            </w:pPr>
          </w:p>
        </w:tc>
      </w:tr>
      <w:tr w:rsidR="007828B1" w:rsidRPr="00581360" w14:paraId="5E14DBC7" w14:textId="77777777" w:rsidTr="00312975">
        <w:trPr>
          <w:cantSplit/>
          <w:trHeight w:val="250"/>
          <w:tblHeader/>
        </w:trPr>
        <w:tc>
          <w:tcPr>
            <w:tcW w:w="2501" w:type="pct"/>
            <w:vAlign w:val="bottom"/>
          </w:tcPr>
          <w:p w14:paraId="355FDEB1" w14:textId="77777777" w:rsidR="007828B1" w:rsidRPr="00581360" w:rsidRDefault="007828B1" w:rsidP="007828B1">
            <w:pPr>
              <w:tabs>
                <w:tab w:val="right" w:pos="1202"/>
              </w:tabs>
              <w:spacing w:after="0" w:line="280" w:lineRule="exact"/>
              <w:outlineLvl w:val="0"/>
              <w:rPr>
                <w:sz w:val="19"/>
                <w:szCs w:val="19"/>
              </w:rPr>
            </w:pPr>
            <w:r w:rsidRPr="00581360">
              <w:rPr>
                <w:sz w:val="19"/>
                <w:szCs w:val="19"/>
              </w:rPr>
              <w:t>Novčana sredstva i računi kod banaka</w:t>
            </w:r>
          </w:p>
        </w:tc>
        <w:tc>
          <w:tcPr>
            <w:tcW w:w="684" w:type="pct"/>
            <w:tcBorders>
              <w:top w:val="nil"/>
              <w:left w:val="nil"/>
              <w:bottom w:val="nil"/>
              <w:right w:val="nil"/>
            </w:tcBorders>
            <w:shd w:val="clear" w:color="auto" w:fill="auto"/>
            <w:vAlign w:val="bottom"/>
          </w:tcPr>
          <w:p w14:paraId="39EEFCD0" w14:textId="2D158E0E"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1.499.030</w:t>
            </w:r>
          </w:p>
        </w:tc>
        <w:tc>
          <w:tcPr>
            <w:tcW w:w="607" w:type="pct"/>
            <w:tcBorders>
              <w:top w:val="nil"/>
              <w:left w:val="nil"/>
              <w:bottom w:val="nil"/>
              <w:right w:val="nil"/>
            </w:tcBorders>
            <w:shd w:val="clear" w:color="auto" w:fill="auto"/>
            <w:vAlign w:val="bottom"/>
          </w:tcPr>
          <w:p w14:paraId="206584DA" w14:textId="2EF77046"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173.838</w:t>
            </w:r>
          </w:p>
        </w:tc>
        <w:tc>
          <w:tcPr>
            <w:tcW w:w="531" w:type="pct"/>
            <w:tcBorders>
              <w:top w:val="nil"/>
              <w:left w:val="nil"/>
              <w:bottom w:val="nil"/>
              <w:right w:val="nil"/>
            </w:tcBorders>
            <w:shd w:val="clear" w:color="auto" w:fill="auto"/>
            <w:vAlign w:val="bottom"/>
          </w:tcPr>
          <w:p w14:paraId="71A673B6" w14:textId="659B0851"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8.408</w:t>
            </w:r>
          </w:p>
        </w:tc>
        <w:tc>
          <w:tcPr>
            <w:tcW w:w="677" w:type="pct"/>
            <w:tcBorders>
              <w:top w:val="nil"/>
              <w:left w:val="nil"/>
              <w:bottom w:val="nil"/>
              <w:right w:val="nil"/>
            </w:tcBorders>
            <w:shd w:val="clear" w:color="auto" w:fill="auto"/>
            <w:vAlign w:val="bottom"/>
          </w:tcPr>
          <w:p w14:paraId="19B20920" w14:textId="079AF1EE"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1.681.276</w:t>
            </w:r>
          </w:p>
        </w:tc>
      </w:tr>
      <w:tr w:rsidR="007828B1" w:rsidRPr="00581360" w14:paraId="424E7FBE" w14:textId="77777777" w:rsidTr="00312975">
        <w:trPr>
          <w:cantSplit/>
          <w:trHeight w:val="250"/>
          <w:tblHeader/>
        </w:trPr>
        <w:tc>
          <w:tcPr>
            <w:tcW w:w="2501" w:type="pct"/>
            <w:vAlign w:val="bottom"/>
          </w:tcPr>
          <w:p w14:paraId="61404240" w14:textId="77777777" w:rsidR="007828B1" w:rsidRPr="00581360" w:rsidRDefault="007828B1" w:rsidP="007828B1">
            <w:pPr>
              <w:tabs>
                <w:tab w:val="right" w:pos="1202"/>
              </w:tabs>
              <w:spacing w:after="0" w:line="280" w:lineRule="exact"/>
              <w:outlineLvl w:val="0"/>
              <w:rPr>
                <w:sz w:val="19"/>
                <w:szCs w:val="19"/>
              </w:rPr>
            </w:pPr>
            <w:r w:rsidRPr="00581360">
              <w:rPr>
                <w:sz w:val="19"/>
                <w:szCs w:val="19"/>
              </w:rPr>
              <w:t>Depoziti kod drugih banaka</w:t>
            </w:r>
          </w:p>
        </w:tc>
        <w:tc>
          <w:tcPr>
            <w:tcW w:w="684" w:type="pct"/>
            <w:tcBorders>
              <w:top w:val="nil"/>
              <w:left w:val="nil"/>
              <w:bottom w:val="nil"/>
              <w:right w:val="nil"/>
            </w:tcBorders>
            <w:shd w:val="clear" w:color="auto" w:fill="auto"/>
            <w:vAlign w:val="bottom"/>
          </w:tcPr>
          <w:p w14:paraId="793A6CBC" w14:textId="5E3FFD84"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1.530</w:t>
            </w:r>
          </w:p>
        </w:tc>
        <w:tc>
          <w:tcPr>
            <w:tcW w:w="607" w:type="pct"/>
            <w:tcBorders>
              <w:top w:val="nil"/>
              <w:left w:val="nil"/>
              <w:bottom w:val="nil"/>
              <w:right w:val="nil"/>
            </w:tcBorders>
            <w:shd w:val="clear" w:color="auto" w:fill="auto"/>
            <w:vAlign w:val="bottom"/>
          </w:tcPr>
          <w:p w14:paraId="516A602E" w14:textId="57EDAAC9"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18</w:t>
            </w:r>
          </w:p>
        </w:tc>
        <w:tc>
          <w:tcPr>
            <w:tcW w:w="531" w:type="pct"/>
            <w:tcBorders>
              <w:top w:val="nil"/>
              <w:left w:val="nil"/>
              <w:bottom w:val="nil"/>
              <w:right w:val="nil"/>
            </w:tcBorders>
            <w:shd w:val="clear" w:color="auto" w:fill="auto"/>
            <w:vAlign w:val="bottom"/>
          </w:tcPr>
          <w:p w14:paraId="78F8B686" w14:textId="53BDC832"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eastAsia="Times New Roman" w:hAnsi="Calibri" w:cs="Arial"/>
                <w:sz w:val="19"/>
                <w:szCs w:val="19"/>
                <w:lang w:val="en-US"/>
              </w:rPr>
              <w:t>-</w:t>
            </w:r>
          </w:p>
        </w:tc>
        <w:tc>
          <w:tcPr>
            <w:tcW w:w="677" w:type="pct"/>
            <w:tcBorders>
              <w:top w:val="nil"/>
              <w:left w:val="nil"/>
              <w:bottom w:val="nil"/>
              <w:right w:val="nil"/>
            </w:tcBorders>
            <w:shd w:val="clear" w:color="auto" w:fill="auto"/>
            <w:vAlign w:val="bottom"/>
          </w:tcPr>
          <w:p w14:paraId="787F2F82" w14:textId="32B60493"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1.548</w:t>
            </w:r>
          </w:p>
        </w:tc>
      </w:tr>
      <w:tr w:rsidR="007828B1" w:rsidRPr="00581360" w14:paraId="2CE1759F" w14:textId="77777777" w:rsidTr="00312975">
        <w:trPr>
          <w:cantSplit/>
          <w:trHeight w:val="250"/>
          <w:tblHeader/>
        </w:trPr>
        <w:tc>
          <w:tcPr>
            <w:tcW w:w="2501" w:type="pct"/>
            <w:vAlign w:val="bottom"/>
          </w:tcPr>
          <w:p w14:paraId="58877D0E" w14:textId="77777777" w:rsidR="007828B1" w:rsidRPr="00581360" w:rsidRDefault="007828B1" w:rsidP="007828B1">
            <w:pPr>
              <w:tabs>
                <w:tab w:val="right" w:pos="1202"/>
              </w:tabs>
              <w:spacing w:after="0" w:line="280" w:lineRule="exact"/>
              <w:outlineLvl w:val="0"/>
              <w:rPr>
                <w:sz w:val="19"/>
                <w:szCs w:val="19"/>
              </w:rPr>
            </w:pPr>
            <w:r w:rsidRPr="00581360">
              <w:rPr>
                <w:sz w:val="19"/>
                <w:szCs w:val="19"/>
              </w:rPr>
              <w:t xml:space="preserve">Krediti </w:t>
            </w:r>
            <w:r w:rsidRPr="007B0382">
              <w:rPr>
                <w:sz w:val="19"/>
                <w:szCs w:val="19"/>
              </w:rPr>
              <w:t>financijskim institucijama</w:t>
            </w:r>
          </w:p>
        </w:tc>
        <w:tc>
          <w:tcPr>
            <w:tcW w:w="684" w:type="pct"/>
            <w:tcBorders>
              <w:top w:val="nil"/>
              <w:left w:val="nil"/>
              <w:bottom w:val="nil"/>
              <w:right w:val="nil"/>
            </w:tcBorders>
            <w:shd w:val="clear" w:color="auto" w:fill="auto"/>
            <w:vAlign w:val="bottom"/>
          </w:tcPr>
          <w:p w14:paraId="60D5648A" w14:textId="0BDA5026"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11.313.502</w:t>
            </w:r>
          </w:p>
        </w:tc>
        <w:tc>
          <w:tcPr>
            <w:tcW w:w="607" w:type="pct"/>
            <w:tcBorders>
              <w:top w:val="nil"/>
              <w:left w:val="nil"/>
              <w:bottom w:val="nil"/>
              <w:right w:val="nil"/>
            </w:tcBorders>
            <w:shd w:val="clear" w:color="auto" w:fill="auto"/>
            <w:vAlign w:val="bottom"/>
          </w:tcPr>
          <w:p w14:paraId="757EF5E5" w14:textId="514185FD"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w:t>
            </w:r>
          </w:p>
        </w:tc>
        <w:tc>
          <w:tcPr>
            <w:tcW w:w="531" w:type="pct"/>
            <w:tcBorders>
              <w:top w:val="nil"/>
              <w:left w:val="nil"/>
              <w:bottom w:val="nil"/>
              <w:right w:val="nil"/>
            </w:tcBorders>
            <w:shd w:val="clear" w:color="auto" w:fill="auto"/>
            <w:vAlign w:val="bottom"/>
          </w:tcPr>
          <w:p w14:paraId="22AC4462" w14:textId="59BE1FFD"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w:t>
            </w:r>
          </w:p>
        </w:tc>
        <w:tc>
          <w:tcPr>
            <w:tcW w:w="677" w:type="pct"/>
            <w:tcBorders>
              <w:top w:val="nil"/>
              <w:left w:val="nil"/>
              <w:bottom w:val="nil"/>
              <w:right w:val="nil"/>
            </w:tcBorders>
            <w:shd w:val="clear" w:color="auto" w:fill="auto"/>
            <w:vAlign w:val="bottom"/>
          </w:tcPr>
          <w:p w14:paraId="45C8368C" w14:textId="6DDE0805"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11.313.502</w:t>
            </w:r>
          </w:p>
        </w:tc>
      </w:tr>
      <w:tr w:rsidR="007828B1" w:rsidRPr="00581360" w14:paraId="3630F1D3" w14:textId="77777777" w:rsidTr="00312975">
        <w:trPr>
          <w:cantSplit/>
          <w:trHeight w:val="250"/>
          <w:tblHeader/>
        </w:trPr>
        <w:tc>
          <w:tcPr>
            <w:tcW w:w="2501" w:type="pct"/>
            <w:vAlign w:val="bottom"/>
          </w:tcPr>
          <w:p w14:paraId="606A29A7" w14:textId="77777777" w:rsidR="007828B1" w:rsidRPr="00581360" w:rsidRDefault="007828B1" w:rsidP="007828B1">
            <w:pPr>
              <w:tabs>
                <w:tab w:val="right" w:pos="1202"/>
              </w:tabs>
              <w:spacing w:after="0" w:line="280" w:lineRule="exact"/>
              <w:outlineLvl w:val="0"/>
              <w:rPr>
                <w:sz w:val="19"/>
                <w:szCs w:val="19"/>
              </w:rPr>
            </w:pPr>
            <w:r w:rsidRPr="00581360">
              <w:rPr>
                <w:sz w:val="19"/>
                <w:szCs w:val="19"/>
              </w:rPr>
              <w:t>Krediti ostalim korisnicima</w:t>
            </w:r>
          </w:p>
        </w:tc>
        <w:tc>
          <w:tcPr>
            <w:tcW w:w="684" w:type="pct"/>
            <w:tcBorders>
              <w:top w:val="nil"/>
              <w:left w:val="nil"/>
              <w:bottom w:val="nil"/>
              <w:right w:val="nil"/>
            </w:tcBorders>
            <w:shd w:val="clear" w:color="auto" w:fill="auto"/>
            <w:vAlign w:val="bottom"/>
          </w:tcPr>
          <w:p w14:paraId="63CCE427" w14:textId="391D90BE" w:rsidR="007828B1" w:rsidRPr="000E5941" w:rsidRDefault="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11.44</w:t>
            </w:r>
            <w:r w:rsidR="00B916CD">
              <w:rPr>
                <w:rFonts w:ascii="Calibri" w:hAnsi="Calibri" w:cs="Arial"/>
                <w:sz w:val="19"/>
                <w:szCs w:val="19"/>
              </w:rPr>
              <w:t>5</w:t>
            </w:r>
            <w:r>
              <w:rPr>
                <w:rFonts w:ascii="Calibri" w:hAnsi="Calibri" w:cs="Arial"/>
                <w:sz w:val="19"/>
                <w:szCs w:val="19"/>
              </w:rPr>
              <w:t>.</w:t>
            </w:r>
            <w:r w:rsidR="00B916CD">
              <w:rPr>
                <w:rFonts w:ascii="Calibri" w:hAnsi="Calibri" w:cs="Arial"/>
                <w:sz w:val="19"/>
                <w:szCs w:val="19"/>
              </w:rPr>
              <w:t>972</w:t>
            </w:r>
          </w:p>
        </w:tc>
        <w:tc>
          <w:tcPr>
            <w:tcW w:w="607" w:type="pct"/>
            <w:tcBorders>
              <w:top w:val="nil"/>
              <w:left w:val="nil"/>
              <w:bottom w:val="nil"/>
              <w:right w:val="nil"/>
            </w:tcBorders>
            <w:shd w:val="clear" w:color="auto" w:fill="auto"/>
            <w:vAlign w:val="bottom"/>
          </w:tcPr>
          <w:p w14:paraId="46598901" w14:textId="3E46A87C"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w:t>
            </w:r>
          </w:p>
        </w:tc>
        <w:tc>
          <w:tcPr>
            <w:tcW w:w="531" w:type="pct"/>
            <w:tcBorders>
              <w:top w:val="nil"/>
              <w:left w:val="nil"/>
              <w:bottom w:val="nil"/>
              <w:right w:val="nil"/>
            </w:tcBorders>
            <w:shd w:val="clear" w:color="auto" w:fill="auto"/>
            <w:vAlign w:val="bottom"/>
          </w:tcPr>
          <w:p w14:paraId="73E9C739" w14:textId="040B9B32" w:rsidR="007828B1" w:rsidRPr="000E5941" w:rsidRDefault="00B916CD"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201.142</w:t>
            </w:r>
          </w:p>
        </w:tc>
        <w:tc>
          <w:tcPr>
            <w:tcW w:w="677" w:type="pct"/>
            <w:tcBorders>
              <w:top w:val="nil"/>
              <w:left w:val="nil"/>
              <w:bottom w:val="nil"/>
              <w:right w:val="nil"/>
            </w:tcBorders>
            <w:shd w:val="clear" w:color="auto" w:fill="auto"/>
            <w:vAlign w:val="bottom"/>
          </w:tcPr>
          <w:p w14:paraId="6A8CCA12" w14:textId="4C4D9120"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11.647.114</w:t>
            </w:r>
          </w:p>
        </w:tc>
      </w:tr>
      <w:tr w:rsidR="007828B1" w:rsidRPr="00581360" w14:paraId="7A68A6D2" w14:textId="77777777" w:rsidTr="00312975">
        <w:trPr>
          <w:cantSplit/>
          <w:trHeight w:val="324"/>
          <w:tblHeader/>
        </w:trPr>
        <w:tc>
          <w:tcPr>
            <w:tcW w:w="2501" w:type="pct"/>
            <w:vAlign w:val="bottom"/>
          </w:tcPr>
          <w:p w14:paraId="0EBA0AF7" w14:textId="77777777" w:rsidR="007828B1" w:rsidRPr="00581360" w:rsidRDefault="007828B1" w:rsidP="007828B1">
            <w:pPr>
              <w:tabs>
                <w:tab w:val="right" w:pos="1202"/>
              </w:tabs>
              <w:spacing w:after="0" w:line="280" w:lineRule="exact"/>
              <w:outlineLvl w:val="0"/>
              <w:rPr>
                <w:sz w:val="19"/>
                <w:szCs w:val="19"/>
              </w:rPr>
            </w:pPr>
            <w:r w:rsidRPr="00581360">
              <w:rPr>
                <w:sz w:val="19"/>
                <w:szCs w:val="19"/>
              </w:rPr>
              <w:t>Financijska imovina po fer vrijednosti kroz izvještaj o dobiti i gubitku</w:t>
            </w:r>
          </w:p>
        </w:tc>
        <w:tc>
          <w:tcPr>
            <w:tcW w:w="684" w:type="pct"/>
            <w:tcBorders>
              <w:top w:val="nil"/>
              <w:left w:val="nil"/>
              <w:bottom w:val="nil"/>
              <w:right w:val="nil"/>
            </w:tcBorders>
            <w:shd w:val="clear" w:color="auto" w:fill="auto"/>
            <w:vAlign w:val="bottom"/>
          </w:tcPr>
          <w:p w14:paraId="12435B02" w14:textId="56C548CC"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284</w:t>
            </w:r>
          </w:p>
        </w:tc>
        <w:tc>
          <w:tcPr>
            <w:tcW w:w="607" w:type="pct"/>
            <w:tcBorders>
              <w:top w:val="nil"/>
              <w:left w:val="nil"/>
              <w:bottom w:val="nil"/>
              <w:right w:val="nil"/>
            </w:tcBorders>
            <w:shd w:val="clear" w:color="auto" w:fill="auto"/>
            <w:vAlign w:val="bottom"/>
          </w:tcPr>
          <w:p w14:paraId="3D0714D3" w14:textId="6986A195"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eastAsia="Times New Roman" w:hAnsi="Calibri" w:cs="Arial"/>
                <w:sz w:val="19"/>
                <w:szCs w:val="19"/>
                <w:lang w:val="en-US"/>
              </w:rPr>
              <w:t>-</w:t>
            </w:r>
          </w:p>
        </w:tc>
        <w:tc>
          <w:tcPr>
            <w:tcW w:w="531" w:type="pct"/>
            <w:tcBorders>
              <w:top w:val="nil"/>
              <w:left w:val="nil"/>
              <w:bottom w:val="nil"/>
              <w:right w:val="nil"/>
            </w:tcBorders>
            <w:shd w:val="clear" w:color="auto" w:fill="auto"/>
            <w:vAlign w:val="bottom"/>
          </w:tcPr>
          <w:p w14:paraId="53B6A5DD" w14:textId="6CF1CB69"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eastAsia="Times New Roman" w:hAnsi="Calibri" w:cs="Arial"/>
                <w:sz w:val="19"/>
                <w:szCs w:val="19"/>
                <w:lang w:val="en-US"/>
              </w:rPr>
              <w:t>-</w:t>
            </w:r>
          </w:p>
        </w:tc>
        <w:tc>
          <w:tcPr>
            <w:tcW w:w="677" w:type="pct"/>
            <w:tcBorders>
              <w:top w:val="nil"/>
              <w:left w:val="nil"/>
              <w:bottom w:val="nil"/>
              <w:right w:val="nil"/>
            </w:tcBorders>
            <w:shd w:val="clear" w:color="auto" w:fill="auto"/>
            <w:vAlign w:val="bottom"/>
          </w:tcPr>
          <w:p w14:paraId="2105E681" w14:textId="131565C5"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284</w:t>
            </w:r>
          </w:p>
        </w:tc>
      </w:tr>
      <w:tr w:rsidR="007828B1" w:rsidRPr="00581360" w14:paraId="5C7A3775" w14:textId="77777777" w:rsidTr="00312975">
        <w:trPr>
          <w:cantSplit/>
          <w:trHeight w:val="250"/>
          <w:tblHeader/>
        </w:trPr>
        <w:tc>
          <w:tcPr>
            <w:tcW w:w="2501" w:type="pct"/>
            <w:vAlign w:val="bottom"/>
          </w:tcPr>
          <w:p w14:paraId="1BD4BCD4" w14:textId="77777777" w:rsidR="007828B1" w:rsidRPr="00581360" w:rsidRDefault="007828B1" w:rsidP="007828B1">
            <w:pPr>
              <w:tabs>
                <w:tab w:val="right" w:pos="1202"/>
              </w:tabs>
              <w:spacing w:after="0" w:line="280" w:lineRule="exact"/>
              <w:outlineLvl w:val="0"/>
              <w:rPr>
                <w:sz w:val="19"/>
                <w:szCs w:val="19"/>
              </w:rPr>
            </w:pPr>
            <w:r w:rsidRPr="00581360">
              <w:rPr>
                <w:sz w:val="19"/>
                <w:szCs w:val="19"/>
              </w:rPr>
              <w:t>Imovina raspoloživa za prodaju</w:t>
            </w:r>
          </w:p>
        </w:tc>
        <w:tc>
          <w:tcPr>
            <w:tcW w:w="684" w:type="pct"/>
            <w:tcBorders>
              <w:top w:val="nil"/>
              <w:left w:val="nil"/>
              <w:bottom w:val="nil"/>
              <w:right w:val="nil"/>
            </w:tcBorders>
            <w:shd w:val="clear" w:color="auto" w:fill="auto"/>
            <w:vAlign w:val="bottom"/>
          </w:tcPr>
          <w:p w14:paraId="4B5CD247" w14:textId="36EDFC53"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3.060.953</w:t>
            </w:r>
          </w:p>
        </w:tc>
        <w:tc>
          <w:tcPr>
            <w:tcW w:w="607" w:type="pct"/>
            <w:tcBorders>
              <w:top w:val="nil"/>
              <w:left w:val="nil"/>
              <w:bottom w:val="nil"/>
              <w:right w:val="nil"/>
            </w:tcBorders>
            <w:shd w:val="clear" w:color="auto" w:fill="auto"/>
            <w:vAlign w:val="bottom"/>
          </w:tcPr>
          <w:p w14:paraId="42FBCFA6" w14:textId="62F5DA1C"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eastAsia="Times New Roman" w:hAnsi="Calibri" w:cs="Arial"/>
                <w:sz w:val="19"/>
                <w:szCs w:val="19"/>
                <w:lang w:val="en-US"/>
              </w:rPr>
              <w:t>-</w:t>
            </w:r>
          </w:p>
        </w:tc>
        <w:tc>
          <w:tcPr>
            <w:tcW w:w="531" w:type="pct"/>
            <w:tcBorders>
              <w:top w:val="nil"/>
              <w:left w:val="nil"/>
              <w:bottom w:val="nil"/>
              <w:right w:val="nil"/>
            </w:tcBorders>
            <w:shd w:val="clear" w:color="auto" w:fill="auto"/>
            <w:vAlign w:val="bottom"/>
          </w:tcPr>
          <w:p w14:paraId="5159F5AF" w14:textId="0CBD5BD6"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p>
        </w:tc>
        <w:tc>
          <w:tcPr>
            <w:tcW w:w="677" w:type="pct"/>
            <w:tcBorders>
              <w:top w:val="nil"/>
              <w:left w:val="nil"/>
              <w:bottom w:val="nil"/>
              <w:right w:val="nil"/>
            </w:tcBorders>
            <w:shd w:val="clear" w:color="auto" w:fill="auto"/>
            <w:vAlign w:val="bottom"/>
          </w:tcPr>
          <w:p w14:paraId="03332760" w14:textId="5778D74A"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3.060.953</w:t>
            </w:r>
          </w:p>
        </w:tc>
      </w:tr>
      <w:tr w:rsidR="007828B1" w:rsidRPr="00581360" w14:paraId="30CDBC01" w14:textId="77777777" w:rsidTr="00312975">
        <w:trPr>
          <w:cantSplit/>
          <w:trHeight w:val="250"/>
          <w:tblHeader/>
        </w:trPr>
        <w:tc>
          <w:tcPr>
            <w:tcW w:w="2501" w:type="pct"/>
            <w:vAlign w:val="bottom"/>
          </w:tcPr>
          <w:p w14:paraId="57AE7C70" w14:textId="77777777" w:rsidR="007828B1" w:rsidRPr="00581360" w:rsidRDefault="007828B1" w:rsidP="007828B1">
            <w:pPr>
              <w:tabs>
                <w:tab w:val="right" w:pos="1202"/>
              </w:tabs>
              <w:spacing w:after="0" w:line="280" w:lineRule="exact"/>
              <w:outlineLvl w:val="0"/>
              <w:rPr>
                <w:sz w:val="19"/>
                <w:szCs w:val="19"/>
              </w:rPr>
            </w:pPr>
            <w:r w:rsidRPr="00581360">
              <w:rPr>
                <w:sz w:val="19"/>
                <w:szCs w:val="19"/>
              </w:rPr>
              <w:t>Imovina koja se drži do dospijeća</w:t>
            </w:r>
          </w:p>
        </w:tc>
        <w:tc>
          <w:tcPr>
            <w:tcW w:w="684" w:type="pct"/>
            <w:tcBorders>
              <w:top w:val="nil"/>
              <w:left w:val="nil"/>
              <w:bottom w:val="nil"/>
              <w:right w:val="nil"/>
            </w:tcBorders>
            <w:shd w:val="clear" w:color="auto" w:fill="auto"/>
            <w:vAlign w:val="bottom"/>
          </w:tcPr>
          <w:p w14:paraId="5BE8CBF9" w14:textId="51E814B6"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1.390</w:t>
            </w:r>
          </w:p>
        </w:tc>
        <w:tc>
          <w:tcPr>
            <w:tcW w:w="607" w:type="pct"/>
            <w:tcBorders>
              <w:top w:val="nil"/>
              <w:left w:val="nil"/>
              <w:bottom w:val="nil"/>
              <w:right w:val="nil"/>
            </w:tcBorders>
            <w:shd w:val="clear" w:color="auto" w:fill="auto"/>
            <w:vAlign w:val="bottom"/>
          </w:tcPr>
          <w:p w14:paraId="0CE5EFE5" w14:textId="4F6F7A5C"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eastAsia="Times New Roman" w:hAnsi="Calibri" w:cs="Arial"/>
                <w:sz w:val="19"/>
                <w:szCs w:val="19"/>
                <w:lang w:val="en-US"/>
              </w:rPr>
              <w:t>-</w:t>
            </w:r>
          </w:p>
        </w:tc>
        <w:tc>
          <w:tcPr>
            <w:tcW w:w="531" w:type="pct"/>
            <w:tcBorders>
              <w:top w:val="nil"/>
              <w:left w:val="nil"/>
              <w:bottom w:val="nil"/>
              <w:right w:val="nil"/>
            </w:tcBorders>
            <w:shd w:val="clear" w:color="auto" w:fill="auto"/>
            <w:vAlign w:val="bottom"/>
          </w:tcPr>
          <w:p w14:paraId="6C30CEE6" w14:textId="02B5F903"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eastAsia="Times New Roman" w:hAnsi="Calibri" w:cs="Arial"/>
                <w:sz w:val="19"/>
                <w:szCs w:val="19"/>
                <w:lang w:val="en-US"/>
              </w:rPr>
              <w:t>-</w:t>
            </w:r>
          </w:p>
        </w:tc>
        <w:tc>
          <w:tcPr>
            <w:tcW w:w="677" w:type="pct"/>
            <w:tcBorders>
              <w:top w:val="nil"/>
              <w:left w:val="nil"/>
              <w:bottom w:val="nil"/>
              <w:right w:val="nil"/>
            </w:tcBorders>
            <w:shd w:val="clear" w:color="auto" w:fill="auto"/>
            <w:vAlign w:val="bottom"/>
          </w:tcPr>
          <w:p w14:paraId="277E3BED" w14:textId="1A1E968C"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1.390</w:t>
            </w:r>
          </w:p>
        </w:tc>
      </w:tr>
      <w:tr w:rsidR="007828B1" w:rsidRPr="00581360" w14:paraId="36CD68C7" w14:textId="77777777" w:rsidTr="00312975">
        <w:trPr>
          <w:cantSplit/>
          <w:trHeight w:val="250"/>
          <w:tblHeader/>
        </w:trPr>
        <w:tc>
          <w:tcPr>
            <w:tcW w:w="2501" w:type="pct"/>
            <w:vAlign w:val="bottom"/>
          </w:tcPr>
          <w:p w14:paraId="5FB24216" w14:textId="77777777" w:rsidR="007828B1" w:rsidRPr="00581360" w:rsidRDefault="007828B1" w:rsidP="007828B1">
            <w:pPr>
              <w:tabs>
                <w:tab w:val="right" w:pos="1202"/>
              </w:tabs>
              <w:spacing w:after="0" w:line="280" w:lineRule="exact"/>
              <w:outlineLvl w:val="0"/>
              <w:rPr>
                <w:sz w:val="19"/>
                <w:szCs w:val="19"/>
              </w:rPr>
            </w:pPr>
            <w:r w:rsidRPr="00581360">
              <w:rPr>
                <w:sz w:val="19"/>
                <w:szCs w:val="19"/>
              </w:rPr>
              <w:t>Ostala imovina</w:t>
            </w:r>
          </w:p>
        </w:tc>
        <w:tc>
          <w:tcPr>
            <w:tcW w:w="684" w:type="pct"/>
            <w:tcBorders>
              <w:top w:val="nil"/>
              <w:left w:val="nil"/>
              <w:bottom w:val="single" w:sz="4" w:space="0" w:color="auto"/>
              <w:right w:val="nil"/>
            </w:tcBorders>
            <w:shd w:val="clear" w:color="auto" w:fill="auto"/>
            <w:vAlign w:val="bottom"/>
          </w:tcPr>
          <w:p w14:paraId="549E2A05" w14:textId="22824404"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4.332</w:t>
            </w:r>
          </w:p>
        </w:tc>
        <w:tc>
          <w:tcPr>
            <w:tcW w:w="607" w:type="pct"/>
            <w:tcBorders>
              <w:top w:val="nil"/>
              <w:left w:val="nil"/>
              <w:bottom w:val="single" w:sz="4" w:space="0" w:color="auto"/>
              <w:right w:val="nil"/>
            </w:tcBorders>
            <w:shd w:val="clear" w:color="auto" w:fill="auto"/>
            <w:vAlign w:val="bottom"/>
          </w:tcPr>
          <w:p w14:paraId="52BEEE76" w14:textId="7A781F0C"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669</w:t>
            </w:r>
          </w:p>
        </w:tc>
        <w:tc>
          <w:tcPr>
            <w:tcW w:w="531" w:type="pct"/>
            <w:tcBorders>
              <w:top w:val="nil"/>
              <w:left w:val="nil"/>
              <w:bottom w:val="single" w:sz="4" w:space="0" w:color="auto"/>
              <w:right w:val="nil"/>
            </w:tcBorders>
            <w:shd w:val="clear" w:color="auto" w:fill="auto"/>
            <w:vAlign w:val="bottom"/>
          </w:tcPr>
          <w:p w14:paraId="01CF0D3F" w14:textId="6D4C0824" w:rsidR="007828B1" w:rsidRPr="000E5941" w:rsidRDefault="00230906"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w:t>
            </w:r>
          </w:p>
        </w:tc>
        <w:tc>
          <w:tcPr>
            <w:tcW w:w="677" w:type="pct"/>
            <w:tcBorders>
              <w:top w:val="nil"/>
              <w:left w:val="nil"/>
              <w:bottom w:val="single" w:sz="4" w:space="0" w:color="auto"/>
              <w:right w:val="nil"/>
            </w:tcBorders>
            <w:shd w:val="clear" w:color="auto" w:fill="auto"/>
            <w:vAlign w:val="bottom"/>
          </w:tcPr>
          <w:p w14:paraId="7F3BDE55" w14:textId="18E145CA"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5.001</w:t>
            </w:r>
          </w:p>
        </w:tc>
      </w:tr>
      <w:tr w:rsidR="007828B1" w:rsidRPr="00581360" w14:paraId="184E1B99" w14:textId="77777777" w:rsidTr="00312975">
        <w:trPr>
          <w:cantSplit/>
          <w:trHeight w:val="334"/>
          <w:tblHeader/>
        </w:trPr>
        <w:tc>
          <w:tcPr>
            <w:tcW w:w="2501" w:type="pct"/>
            <w:vAlign w:val="bottom"/>
          </w:tcPr>
          <w:p w14:paraId="01397B7B" w14:textId="77777777" w:rsidR="007828B1" w:rsidRPr="00581360" w:rsidRDefault="007828B1" w:rsidP="007828B1">
            <w:pPr>
              <w:tabs>
                <w:tab w:val="right" w:pos="1202"/>
              </w:tabs>
              <w:spacing w:after="0" w:line="280" w:lineRule="exact"/>
              <w:outlineLvl w:val="0"/>
              <w:rPr>
                <w:b/>
                <w:bCs/>
                <w:sz w:val="19"/>
                <w:szCs w:val="19"/>
              </w:rPr>
            </w:pPr>
            <w:r w:rsidRPr="00581360">
              <w:rPr>
                <w:b/>
                <w:bCs/>
                <w:sz w:val="19"/>
                <w:szCs w:val="19"/>
              </w:rPr>
              <w:t xml:space="preserve">Ukupno </w:t>
            </w:r>
          </w:p>
        </w:tc>
        <w:tc>
          <w:tcPr>
            <w:tcW w:w="684" w:type="pct"/>
            <w:tcBorders>
              <w:top w:val="nil"/>
              <w:left w:val="nil"/>
              <w:bottom w:val="single" w:sz="8" w:space="0" w:color="auto"/>
              <w:right w:val="nil"/>
            </w:tcBorders>
            <w:shd w:val="clear" w:color="auto" w:fill="auto"/>
            <w:vAlign w:val="center"/>
          </w:tcPr>
          <w:p w14:paraId="1542C15A" w14:textId="3201E536" w:rsidR="007828B1" w:rsidRPr="000E5941" w:rsidRDefault="007828B1">
            <w:pPr>
              <w:tabs>
                <w:tab w:val="right" w:pos="1202"/>
              </w:tabs>
              <w:spacing w:after="0" w:line="301" w:lineRule="exact"/>
              <w:jc w:val="right"/>
              <w:outlineLvl w:val="0"/>
              <w:rPr>
                <w:rFonts w:ascii="Calibri" w:eastAsia="Times New Roman" w:hAnsi="Calibri" w:cs="Arial"/>
                <w:b/>
                <w:bCs/>
                <w:sz w:val="19"/>
                <w:szCs w:val="19"/>
                <w:lang w:val="en-US"/>
              </w:rPr>
            </w:pPr>
            <w:r>
              <w:rPr>
                <w:rFonts w:ascii="Calibri" w:hAnsi="Calibri" w:cs="Arial"/>
                <w:b/>
                <w:bCs/>
                <w:sz w:val="19"/>
                <w:szCs w:val="19"/>
              </w:rPr>
              <w:t>27.</w:t>
            </w:r>
            <w:r w:rsidR="00B916CD">
              <w:rPr>
                <w:rFonts w:ascii="Calibri" w:hAnsi="Calibri" w:cs="Arial"/>
                <w:b/>
                <w:bCs/>
                <w:sz w:val="19"/>
                <w:szCs w:val="19"/>
              </w:rPr>
              <w:t>326.993</w:t>
            </w:r>
          </w:p>
        </w:tc>
        <w:tc>
          <w:tcPr>
            <w:tcW w:w="607" w:type="pct"/>
            <w:tcBorders>
              <w:top w:val="nil"/>
              <w:left w:val="nil"/>
              <w:bottom w:val="single" w:sz="8" w:space="0" w:color="auto"/>
              <w:right w:val="nil"/>
            </w:tcBorders>
            <w:shd w:val="clear" w:color="auto" w:fill="auto"/>
            <w:vAlign w:val="center"/>
          </w:tcPr>
          <w:p w14:paraId="3D005EDB" w14:textId="0DC313A0" w:rsidR="007828B1" w:rsidRPr="000E5941" w:rsidRDefault="007828B1" w:rsidP="007828B1">
            <w:pPr>
              <w:tabs>
                <w:tab w:val="right" w:pos="1202"/>
              </w:tabs>
              <w:spacing w:after="0" w:line="301" w:lineRule="exact"/>
              <w:jc w:val="right"/>
              <w:outlineLvl w:val="0"/>
              <w:rPr>
                <w:rFonts w:ascii="Calibri" w:eastAsia="Times New Roman" w:hAnsi="Calibri" w:cs="Arial"/>
                <w:b/>
                <w:bCs/>
                <w:sz w:val="19"/>
                <w:szCs w:val="19"/>
                <w:lang w:val="en-US"/>
              </w:rPr>
            </w:pPr>
            <w:r>
              <w:rPr>
                <w:rFonts w:ascii="Calibri" w:hAnsi="Calibri" w:cs="Arial"/>
                <w:b/>
                <w:bCs/>
                <w:sz w:val="19"/>
                <w:szCs w:val="19"/>
              </w:rPr>
              <w:t>174.525</w:t>
            </w:r>
          </w:p>
        </w:tc>
        <w:tc>
          <w:tcPr>
            <w:tcW w:w="531" w:type="pct"/>
            <w:tcBorders>
              <w:top w:val="nil"/>
              <w:left w:val="nil"/>
              <w:bottom w:val="single" w:sz="8" w:space="0" w:color="auto"/>
              <w:right w:val="nil"/>
            </w:tcBorders>
            <w:shd w:val="clear" w:color="auto" w:fill="auto"/>
            <w:vAlign w:val="center"/>
          </w:tcPr>
          <w:p w14:paraId="5243CFA3" w14:textId="68501562" w:rsidR="007828B1" w:rsidRPr="000E5941" w:rsidRDefault="007828B1">
            <w:pPr>
              <w:tabs>
                <w:tab w:val="right" w:pos="1202"/>
              </w:tabs>
              <w:spacing w:after="0" w:line="301" w:lineRule="exact"/>
              <w:jc w:val="right"/>
              <w:outlineLvl w:val="0"/>
              <w:rPr>
                <w:rFonts w:ascii="Calibri" w:eastAsia="Times New Roman" w:hAnsi="Calibri" w:cs="Arial"/>
                <w:b/>
                <w:bCs/>
                <w:sz w:val="19"/>
                <w:szCs w:val="19"/>
                <w:lang w:val="en-US"/>
              </w:rPr>
            </w:pPr>
            <w:r>
              <w:rPr>
                <w:rFonts w:ascii="Calibri" w:hAnsi="Calibri" w:cs="Arial"/>
                <w:b/>
                <w:bCs/>
                <w:sz w:val="19"/>
                <w:szCs w:val="19"/>
              </w:rPr>
              <w:t>209</w:t>
            </w:r>
            <w:r w:rsidR="00B916CD">
              <w:rPr>
                <w:rFonts w:ascii="Calibri" w:hAnsi="Calibri" w:cs="Arial"/>
                <w:b/>
                <w:bCs/>
                <w:sz w:val="19"/>
                <w:szCs w:val="19"/>
              </w:rPr>
              <w:t>.550</w:t>
            </w:r>
          </w:p>
        </w:tc>
        <w:tc>
          <w:tcPr>
            <w:tcW w:w="677" w:type="pct"/>
            <w:tcBorders>
              <w:top w:val="nil"/>
              <w:left w:val="nil"/>
              <w:bottom w:val="single" w:sz="8" w:space="0" w:color="auto"/>
              <w:right w:val="nil"/>
            </w:tcBorders>
            <w:shd w:val="clear" w:color="auto" w:fill="auto"/>
            <w:vAlign w:val="center"/>
          </w:tcPr>
          <w:p w14:paraId="0E817ABB" w14:textId="635147BC" w:rsidR="007828B1" w:rsidRPr="000E5941" w:rsidRDefault="007828B1" w:rsidP="007828B1">
            <w:pPr>
              <w:tabs>
                <w:tab w:val="right" w:pos="1202"/>
              </w:tabs>
              <w:spacing w:after="0" w:line="301" w:lineRule="exact"/>
              <w:jc w:val="right"/>
              <w:outlineLvl w:val="0"/>
              <w:rPr>
                <w:rFonts w:ascii="Calibri" w:eastAsia="Times New Roman" w:hAnsi="Calibri" w:cs="Arial"/>
                <w:b/>
                <w:bCs/>
                <w:sz w:val="19"/>
                <w:szCs w:val="19"/>
                <w:lang w:val="en-US"/>
              </w:rPr>
            </w:pPr>
            <w:r>
              <w:rPr>
                <w:rFonts w:ascii="Calibri" w:hAnsi="Calibri" w:cs="Arial"/>
                <w:b/>
                <w:bCs/>
                <w:sz w:val="19"/>
                <w:szCs w:val="19"/>
              </w:rPr>
              <w:t>27.711.068</w:t>
            </w:r>
          </w:p>
        </w:tc>
      </w:tr>
      <w:tr w:rsidR="007828B1" w:rsidRPr="00581360" w14:paraId="67C69703" w14:textId="77777777" w:rsidTr="007828B1">
        <w:tblPrEx>
          <w:tblCellMar>
            <w:left w:w="31" w:type="dxa"/>
            <w:right w:w="31" w:type="dxa"/>
          </w:tblCellMar>
        </w:tblPrEx>
        <w:trPr>
          <w:cantSplit/>
          <w:trHeight w:val="250"/>
          <w:tblHeader/>
        </w:trPr>
        <w:tc>
          <w:tcPr>
            <w:tcW w:w="2501" w:type="pct"/>
            <w:vAlign w:val="bottom"/>
          </w:tcPr>
          <w:p w14:paraId="078570E3" w14:textId="77777777" w:rsidR="00E0785E" w:rsidRPr="00581360" w:rsidRDefault="00E0785E" w:rsidP="00E0785E">
            <w:pPr>
              <w:tabs>
                <w:tab w:val="right" w:pos="1202"/>
              </w:tabs>
              <w:spacing w:after="0" w:line="280" w:lineRule="exact"/>
              <w:outlineLvl w:val="0"/>
              <w:rPr>
                <w:b/>
                <w:bCs/>
                <w:sz w:val="19"/>
                <w:szCs w:val="19"/>
              </w:rPr>
            </w:pPr>
          </w:p>
        </w:tc>
        <w:tc>
          <w:tcPr>
            <w:tcW w:w="684" w:type="pct"/>
            <w:tcBorders>
              <w:top w:val="single" w:sz="12" w:space="0" w:color="auto"/>
            </w:tcBorders>
            <w:shd w:val="clear" w:color="auto" w:fill="auto"/>
            <w:vAlign w:val="bottom"/>
          </w:tcPr>
          <w:p w14:paraId="25485FB3" w14:textId="77777777" w:rsidR="00E0785E" w:rsidRPr="00AE57F7" w:rsidRDefault="00E0785E" w:rsidP="00E0785E">
            <w:pPr>
              <w:tabs>
                <w:tab w:val="right" w:pos="1202"/>
              </w:tabs>
              <w:spacing w:after="0" w:line="280" w:lineRule="exact"/>
              <w:jc w:val="right"/>
              <w:outlineLvl w:val="0"/>
              <w:rPr>
                <w:sz w:val="19"/>
                <w:szCs w:val="19"/>
              </w:rPr>
            </w:pPr>
          </w:p>
        </w:tc>
        <w:tc>
          <w:tcPr>
            <w:tcW w:w="607" w:type="pct"/>
            <w:tcBorders>
              <w:top w:val="single" w:sz="12" w:space="0" w:color="auto"/>
            </w:tcBorders>
            <w:shd w:val="clear" w:color="auto" w:fill="auto"/>
            <w:vAlign w:val="bottom"/>
          </w:tcPr>
          <w:p w14:paraId="648C2872" w14:textId="77777777" w:rsidR="00E0785E" w:rsidRPr="00AE57F7" w:rsidRDefault="00E0785E" w:rsidP="00E0785E">
            <w:pPr>
              <w:tabs>
                <w:tab w:val="right" w:pos="1202"/>
              </w:tabs>
              <w:spacing w:after="0" w:line="280" w:lineRule="exact"/>
              <w:jc w:val="right"/>
              <w:outlineLvl w:val="0"/>
              <w:rPr>
                <w:sz w:val="19"/>
                <w:szCs w:val="19"/>
              </w:rPr>
            </w:pPr>
          </w:p>
        </w:tc>
        <w:tc>
          <w:tcPr>
            <w:tcW w:w="531" w:type="pct"/>
            <w:tcBorders>
              <w:top w:val="single" w:sz="12" w:space="0" w:color="auto"/>
            </w:tcBorders>
            <w:shd w:val="clear" w:color="auto" w:fill="auto"/>
            <w:vAlign w:val="bottom"/>
          </w:tcPr>
          <w:p w14:paraId="6FF8961F" w14:textId="77777777" w:rsidR="00E0785E" w:rsidRPr="00AE57F7" w:rsidRDefault="00E0785E" w:rsidP="00E0785E">
            <w:pPr>
              <w:tabs>
                <w:tab w:val="right" w:pos="1202"/>
              </w:tabs>
              <w:spacing w:after="0" w:line="280" w:lineRule="exact"/>
              <w:jc w:val="right"/>
              <w:outlineLvl w:val="0"/>
              <w:rPr>
                <w:sz w:val="19"/>
                <w:szCs w:val="19"/>
              </w:rPr>
            </w:pPr>
          </w:p>
        </w:tc>
        <w:tc>
          <w:tcPr>
            <w:tcW w:w="677" w:type="pct"/>
            <w:tcBorders>
              <w:top w:val="single" w:sz="12" w:space="0" w:color="auto"/>
            </w:tcBorders>
            <w:shd w:val="clear" w:color="auto" w:fill="auto"/>
            <w:vAlign w:val="bottom"/>
          </w:tcPr>
          <w:p w14:paraId="2EA41501" w14:textId="77777777" w:rsidR="00E0785E" w:rsidRPr="00AE57F7" w:rsidRDefault="00E0785E" w:rsidP="00E0785E">
            <w:pPr>
              <w:tabs>
                <w:tab w:val="right" w:pos="1202"/>
              </w:tabs>
              <w:spacing w:after="0" w:line="280" w:lineRule="exact"/>
              <w:jc w:val="right"/>
              <w:outlineLvl w:val="0"/>
              <w:rPr>
                <w:sz w:val="19"/>
                <w:szCs w:val="19"/>
              </w:rPr>
            </w:pPr>
          </w:p>
        </w:tc>
      </w:tr>
      <w:tr w:rsidR="007828B1" w:rsidRPr="00581360" w14:paraId="7E30F150" w14:textId="77777777" w:rsidTr="007828B1">
        <w:tblPrEx>
          <w:tblCellMar>
            <w:left w:w="31" w:type="dxa"/>
            <w:right w:w="31" w:type="dxa"/>
          </w:tblCellMar>
        </w:tblPrEx>
        <w:trPr>
          <w:cantSplit/>
          <w:trHeight w:val="250"/>
          <w:tblHeader/>
        </w:trPr>
        <w:tc>
          <w:tcPr>
            <w:tcW w:w="2501" w:type="pct"/>
          </w:tcPr>
          <w:p w14:paraId="489C2B27" w14:textId="77777777" w:rsidR="00E0785E" w:rsidRPr="00581360" w:rsidRDefault="00E0785E" w:rsidP="00E0785E">
            <w:pPr>
              <w:tabs>
                <w:tab w:val="right" w:pos="1202"/>
              </w:tabs>
              <w:spacing w:after="0" w:line="280" w:lineRule="exact"/>
              <w:outlineLvl w:val="0"/>
              <w:rPr>
                <w:b/>
                <w:bCs/>
                <w:sz w:val="19"/>
                <w:szCs w:val="19"/>
              </w:rPr>
            </w:pPr>
            <w:r w:rsidRPr="00581360">
              <w:rPr>
                <w:rFonts w:cs="Arial"/>
                <w:b/>
                <w:bCs/>
                <w:sz w:val="19"/>
                <w:szCs w:val="19"/>
              </w:rPr>
              <w:t>Garancije i preuzete obveze</w:t>
            </w:r>
          </w:p>
        </w:tc>
        <w:tc>
          <w:tcPr>
            <w:tcW w:w="684" w:type="pct"/>
            <w:shd w:val="clear" w:color="auto" w:fill="auto"/>
          </w:tcPr>
          <w:p w14:paraId="2A304193" w14:textId="7D644A87" w:rsidR="00E0785E" w:rsidRPr="000E5941" w:rsidRDefault="00E0785E" w:rsidP="00E0785E">
            <w:pPr>
              <w:tabs>
                <w:tab w:val="right" w:pos="1202"/>
              </w:tabs>
              <w:spacing w:after="0" w:line="301" w:lineRule="exact"/>
              <w:jc w:val="right"/>
              <w:outlineLvl w:val="0"/>
              <w:rPr>
                <w:rFonts w:ascii="Calibri" w:eastAsia="Times New Roman" w:hAnsi="Calibri" w:cs="Arial"/>
                <w:sz w:val="19"/>
                <w:szCs w:val="19"/>
                <w:lang w:val="en-US"/>
              </w:rPr>
            </w:pPr>
          </w:p>
        </w:tc>
        <w:tc>
          <w:tcPr>
            <w:tcW w:w="607" w:type="pct"/>
            <w:shd w:val="clear" w:color="auto" w:fill="auto"/>
          </w:tcPr>
          <w:p w14:paraId="1850660B" w14:textId="5A11F156" w:rsidR="00E0785E" w:rsidRPr="000E5941" w:rsidRDefault="00E0785E" w:rsidP="00E0785E">
            <w:pPr>
              <w:tabs>
                <w:tab w:val="right" w:pos="1202"/>
              </w:tabs>
              <w:spacing w:after="0" w:line="301" w:lineRule="exact"/>
              <w:jc w:val="right"/>
              <w:outlineLvl w:val="0"/>
              <w:rPr>
                <w:rFonts w:ascii="Calibri" w:eastAsia="Times New Roman" w:hAnsi="Calibri" w:cs="Arial"/>
                <w:sz w:val="19"/>
                <w:szCs w:val="19"/>
                <w:lang w:val="en-US"/>
              </w:rPr>
            </w:pPr>
          </w:p>
        </w:tc>
        <w:tc>
          <w:tcPr>
            <w:tcW w:w="531" w:type="pct"/>
            <w:shd w:val="clear" w:color="auto" w:fill="auto"/>
          </w:tcPr>
          <w:p w14:paraId="5F676BF7" w14:textId="549E5AE5" w:rsidR="00E0785E" w:rsidRPr="000E5941" w:rsidRDefault="00E0785E" w:rsidP="00E0785E">
            <w:pPr>
              <w:tabs>
                <w:tab w:val="right" w:pos="1202"/>
              </w:tabs>
              <w:spacing w:after="0" w:line="301" w:lineRule="exact"/>
              <w:jc w:val="right"/>
              <w:outlineLvl w:val="0"/>
              <w:rPr>
                <w:rFonts w:ascii="Calibri" w:eastAsia="Times New Roman" w:hAnsi="Calibri" w:cs="Arial"/>
                <w:sz w:val="19"/>
                <w:szCs w:val="19"/>
                <w:lang w:val="en-US"/>
              </w:rPr>
            </w:pPr>
          </w:p>
        </w:tc>
        <w:tc>
          <w:tcPr>
            <w:tcW w:w="677" w:type="pct"/>
            <w:shd w:val="clear" w:color="auto" w:fill="auto"/>
          </w:tcPr>
          <w:p w14:paraId="1DA5D6DF" w14:textId="5E393B21" w:rsidR="00E0785E" w:rsidRPr="000E5941" w:rsidRDefault="00E0785E" w:rsidP="00E0785E">
            <w:pPr>
              <w:tabs>
                <w:tab w:val="right" w:pos="1202"/>
              </w:tabs>
              <w:spacing w:after="0" w:line="301" w:lineRule="exact"/>
              <w:jc w:val="right"/>
              <w:outlineLvl w:val="0"/>
              <w:rPr>
                <w:rFonts w:ascii="Calibri" w:eastAsia="Times New Roman" w:hAnsi="Calibri" w:cs="Arial"/>
                <w:sz w:val="19"/>
                <w:szCs w:val="19"/>
                <w:lang w:val="en-US"/>
              </w:rPr>
            </w:pPr>
          </w:p>
        </w:tc>
      </w:tr>
      <w:tr w:rsidR="007828B1" w:rsidRPr="00581360" w14:paraId="0337CB65" w14:textId="77777777" w:rsidTr="00312975">
        <w:tblPrEx>
          <w:tblCellMar>
            <w:left w:w="31" w:type="dxa"/>
            <w:right w:w="31" w:type="dxa"/>
          </w:tblCellMar>
        </w:tblPrEx>
        <w:trPr>
          <w:cantSplit/>
          <w:trHeight w:val="250"/>
          <w:tblHeader/>
        </w:trPr>
        <w:tc>
          <w:tcPr>
            <w:tcW w:w="2501" w:type="pct"/>
            <w:vAlign w:val="bottom"/>
          </w:tcPr>
          <w:p w14:paraId="36A69521" w14:textId="77777777" w:rsidR="007828B1" w:rsidRPr="00581360" w:rsidRDefault="007828B1" w:rsidP="007828B1">
            <w:pPr>
              <w:tabs>
                <w:tab w:val="right" w:pos="1202"/>
              </w:tabs>
              <w:spacing w:after="0" w:line="280" w:lineRule="exact"/>
              <w:outlineLvl w:val="0"/>
              <w:rPr>
                <w:sz w:val="19"/>
                <w:szCs w:val="19"/>
              </w:rPr>
            </w:pPr>
            <w:r w:rsidRPr="006118AF">
              <w:rPr>
                <w:sz w:val="19"/>
                <w:szCs w:val="19"/>
              </w:rPr>
              <w:t>Izdane garancije u kunama</w:t>
            </w:r>
          </w:p>
        </w:tc>
        <w:tc>
          <w:tcPr>
            <w:tcW w:w="684" w:type="pct"/>
            <w:tcBorders>
              <w:top w:val="nil"/>
              <w:left w:val="nil"/>
              <w:bottom w:val="nil"/>
              <w:right w:val="nil"/>
            </w:tcBorders>
            <w:shd w:val="clear" w:color="auto" w:fill="auto"/>
            <w:vAlign w:val="center"/>
          </w:tcPr>
          <w:p w14:paraId="2FB3F1A0" w14:textId="4039F028"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27.051</w:t>
            </w:r>
          </w:p>
        </w:tc>
        <w:tc>
          <w:tcPr>
            <w:tcW w:w="607" w:type="pct"/>
            <w:tcBorders>
              <w:top w:val="nil"/>
              <w:left w:val="nil"/>
              <w:bottom w:val="nil"/>
              <w:right w:val="nil"/>
            </w:tcBorders>
            <w:shd w:val="clear" w:color="auto" w:fill="auto"/>
            <w:vAlign w:val="center"/>
          </w:tcPr>
          <w:p w14:paraId="25494A6A" w14:textId="09BF07D9"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602</w:t>
            </w:r>
          </w:p>
        </w:tc>
        <w:tc>
          <w:tcPr>
            <w:tcW w:w="531" w:type="pct"/>
            <w:tcBorders>
              <w:top w:val="nil"/>
              <w:left w:val="nil"/>
              <w:bottom w:val="nil"/>
              <w:right w:val="nil"/>
            </w:tcBorders>
            <w:shd w:val="clear" w:color="auto" w:fill="auto"/>
            <w:vAlign w:val="center"/>
          </w:tcPr>
          <w:p w14:paraId="07B87C55" w14:textId="009CD718"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w:t>
            </w:r>
          </w:p>
        </w:tc>
        <w:tc>
          <w:tcPr>
            <w:tcW w:w="677" w:type="pct"/>
            <w:tcBorders>
              <w:top w:val="nil"/>
              <w:left w:val="nil"/>
              <w:bottom w:val="nil"/>
              <w:right w:val="nil"/>
            </w:tcBorders>
            <w:shd w:val="clear" w:color="auto" w:fill="auto"/>
            <w:vAlign w:val="center"/>
          </w:tcPr>
          <w:p w14:paraId="4B8688B8" w14:textId="1BF45D3B"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27.653</w:t>
            </w:r>
          </w:p>
        </w:tc>
      </w:tr>
      <w:tr w:rsidR="007828B1" w:rsidRPr="00581360" w14:paraId="227CD82D" w14:textId="77777777" w:rsidTr="00312975">
        <w:tblPrEx>
          <w:tblCellMar>
            <w:left w:w="31" w:type="dxa"/>
            <w:right w:w="31" w:type="dxa"/>
          </w:tblCellMar>
        </w:tblPrEx>
        <w:trPr>
          <w:cantSplit/>
          <w:trHeight w:val="250"/>
          <w:tblHeader/>
        </w:trPr>
        <w:tc>
          <w:tcPr>
            <w:tcW w:w="2501" w:type="pct"/>
            <w:vAlign w:val="bottom"/>
          </w:tcPr>
          <w:p w14:paraId="0E829F49" w14:textId="77777777" w:rsidR="007828B1" w:rsidRPr="00581360" w:rsidRDefault="007828B1" w:rsidP="007828B1">
            <w:pPr>
              <w:tabs>
                <w:tab w:val="right" w:pos="1202"/>
              </w:tabs>
              <w:spacing w:after="0" w:line="280" w:lineRule="exact"/>
              <w:outlineLvl w:val="0"/>
              <w:rPr>
                <w:sz w:val="19"/>
                <w:szCs w:val="19"/>
              </w:rPr>
            </w:pPr>
            <w:r w:rsidRPr="00581360">
              <w:rPr>
                <w:sz w:val="19"/>
                <w:szCs w:val="19"/>
              </w:rPr>
              <w:t>Izdane garancije u devizama</w:t>
            </w:r>
          </w:p>
        </w:tc>
        <w:tc>
          <w:tcPr>
            <w:tcW w:w="684" w:type="pct"/>
            <w:tcBorders>
              <w:top w:val="nil"/>
              <w:left w:val="nil"/>
              <w:bottom w:val="nil"/>
              <w:right w:val="nil"/>
            </w:tcBorders>
            <w:shd w:val="clear" w:color="auto" w:fill="auto"/>
            <w:vAlign w:val="center"/>
          </w:tcPr>
          <w:p w14:paraId="442572D6" w14:textId="08A96C0B"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1.897.841</w:t>
            </w:r>
          </w:p>
        </w:tc>
        <w:tc>
          <w:tcPr>
            <w:tcW w:w="607" w:type="pct"/>
            <w:tcBorders>
              <w:top w:val="nil"/>
              <w:left w:val="nil"/>
              <w:bottom w:val="nil"/>
              <w:right w:val="nil"/>
            </w:tcBorders>
            <w:shd w:val="clear" w:color="auto" w:fill="auto"/>
            <w:vAlign w:val="center"/>
          </w:tcPr>
          <w:p w14:paraId="6BB358E0" w14:textId="66A2852C"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w:t>
            </w:r>
          </w:p>
        </w:tc>
        <w:tc>
          <w:tcPr>
            <w:tcW w:w="531" w:type="pct"/>
            <w:tcBorders>
              <w:top w:val="nil"/>
              <w:left w:val="nil"/>
              <w:bottom w:val="nil"/>
              <w:right w:val="nil"/>
            </w:tcBorders>
            <w:shd w:val="clear" w:color="auto" w:fill="auto"/>
            <w:vAlign w:val="center"/>
          </w:tcPr>
          <w:p w14:paraId="5A65811C" w14:textId="03DBE0C3"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w:t>
            </w:r>
          </w:p>
        </w:tc>
        <w:tc>
          <w:tcPr>
            <w:tcW w:w="677" w:type="pct"/>
            <w:tcBorders>
              <w:top w:val="nil"/>
              <w:left w:val="nil"/>
              <w:bottom w:val="nil"/>
              <w:right w:val="nil"/>
            </w:tcBorders>
            <w:shd w:val="clear" w:color="auto" w:fill="auto"/>
            <w:vAlign w:val="center"/>
          </w:tcPr>
          <w:p w14:paraId="0316F335" w14:textId="254A46B3"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1.897.841</w:t>
            </w:r>
          </w:p>
        </w:tc>
      </w:tr>
      <w:tr w:rsidR="007828B1" w:rsidRPr="00581360" w14:paraId="0C4CB784" w14:textId="77777777" w:rsidTr="00312975">
        <w:tblPrEx>
          <w:tblCellMar>
            <w:left w:w="31" w:type="dxa"/>
            <w:right w:w="31" w:type="dxa"/>
          </w:tblCellMar>
        </w:tblPrEx>
        <w:trPr>
          <w:cantSplit/>
          <w:trHeight w:val="250"/>
          <w:tblHeader/>
        </w:trPr>
        <w:tc>
          <w:tcPr>
            <w:tcW w:w="2501" w:type="pct"/>
            <w:vAlign w:val="bottom"/>
          </w:tcPr>
          <w:p w14:paraId="31BB4B6D" w14:textId="6D5D0BF4" w:rsidR="007828B1" w:rsidRPr="00581360" w:rsidRDefault="007828B1" w:rsidP="007828B1">
            <w:pPr>
              <w:tabs>
                <w:tab w:val="right" w:pos="1202"/>
              </w:tabs>
              <w:spacing w:after="0" w:line="280" w:lineRule="exact"/>
              <w:outlineLvl w:val="0"/>
              <w:rPr>
                <w:sz w:val="19"/>
                <w:szCs w:val="19"/>
              </w:rPr>
            </w:pPr>
            <w:r w:rsidRPr="007236FE">
              <w:rPr>
                <w:sz w:val="19"/>
                <w:szCs w:val="19"/>
              </w:rPr>
              <w:t>Otvoreni akreditivi u devizama</w:t>
            </w:r>
          </w:p>
        </w:tc>
        <w:tc>
          <w:tcPr>
            <w:tcW w:w="684" w:type="pct"/>
            <w:tcBorders>
              <w:top w:val="nil"/>
              <w:left w:val="nil"/>
              <w:bottom w:val="nil"/>
              <w:right w:val="nil"/>
            </w:tcBorders>
            <w:shd w:val="clear" w:color="auto" w:fill="auto"/>
            <w:vAlign w:val="center"/>
          </w:tcPr>
          <w:p w14:paraId="794953E9" w14:textId="2D86FACC"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2.218</w:t>
            </w:r>
          </w:p>
        </w:tc>
        <w:tc>
          <w:tcPr>
            <w:tcW w:w="607" w:type="pct"/>
            <w:tcBorders>
              <w:top w:val="nil"/>
              <w:left w:val="nil"/>
              <w:bottom w:val="nil"/>
              <w:right w:val="nil"/>
            </w:tcBorders>
            <w:shd w:val="clear" w:color="auto" w:fill="auto"/>
            <w:vAlign w:val="center"/>
          </w:tcPr>
          <w:p w14:paraId="0D24FE25" w14:textId="2E503FAC"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w:t>
            </w:r>
          </w:p>
        </w:tc>
        <w:tc>
          <w:tcPr>
            <w:tcW w:w="531" w:type="pct"/>
            <w:tcBorders>
              <w:top w:val="nil"/>
              <w:left w:val="nil"/>
              <w:bottom w:val="nil"/>
              <w:right w:val="nil"/>
            </w:tcBorders>
            <w:shd w:val="clear" w:color="auto" w:fill="auto"/>
            <w:vAlign w:val="center"/>
          </w:tcPr>
          <w:p w14:paraId="5F368584" w14:textId="57A781F9"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w:t>
            </w:r>
          </w:p>
        </w:tc>
        <w:tc>
          <w:tcPr>
            <w:tcW w:w="677" w:type="pct"/>
            <w:tcBorders>
              <w:top w:val="nil"/>
              <w:left w:val="nil"/>
              <w:bottom w:val="nil"/>
              <w:right w:val="nil"/>
            </w:tcBorders>
            <w:shd w:val="clear" w:color="auto" w:fill="auto"/>
            <w:vAlign w:val="center"/>
          </w:tcPr>
          <w:p w14:paraId="49ACFC02" w14:textId="50321B27"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2.218</w:t>
            </w:r>
          </w:p>
        </w:tc>
      </w:tr>
      <w:tr w:rsidR="007828B1" w:rsidRPr="00581360" w14:paraId="7C6F5B79" w14:textId="77777777" w:rsidTr="00312975">
        <w:tblPrEx>
          <w:tblCellMar>
            <w:left w:w="31" w:type="dxa"/>
            <w:right w:w="31" w:type="dxa"/>
          </w:tblCellMar>
        </w:tblPrEx>
        <w:trPr>
          <w:cantSplit/>
          <w:trHeight w:val="250"/>
          <w:tblHeader/>
        </w:trPr>
        <w:tc>
          <w:tcPr>
            <w:tcW w:w="2501" w:type="pct"/>
            <w:vAlign w:val="bottom"/>
          </w:tcPr>
          <w:p w14:paraId="2A7DF85D" w14:textId="77777777" w:rsidR="007828B1" w:rsidRPr="00581360" w:rsidRDefault="007828B1" w:rsidP="007828B1">
            <w:pPr>
              <w:tabs>
                <w:tab w:val="right" w:pos="1202"/>
              </w:tabs>
              <w:spacing w:after="0" w:line="280" w:lineRule="exact"/>
              <w:outlineLvl w:val="0"/>
              <w:rPr>
                <w:sz w:val="19"/>
                <w:szCs w:val="19"/>
              </w:rPr>
            </w:pPr>
            <w:r w:rsidRPr="00581360">
              <w:rPr>
                <w:sz w:val="19"/>
                <w:szCs w:val="19"/>
              </w:rPr>
              <w:t>Preuzete obveze po kreditima</w:t>
            </w:r>
          </w:p>
        </w:tc>
        <w:tc>
          <w:tcPr>
            <w:tcW w:w="684" w:type="pct"/>
            <w:tcBorders>
              <w:top w:val="nil"/>
              <w:left w:val="nil"/>
              <w:bottom w:val="nil"/>
              <w:right w:val="nil"/>
            </w:tcBorders>
            <w:shd w:val="clear" w:color="auto" w:fill="auto"/>
            <w:vAlign w:val="center"/>
          </w:tcPr>
          <w:p w14:paraId="3DADD33D" w14:textId="2D487E03"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3.546.487</w:t>
            </w:r>
          </w:p>
        </w:tc>
        <w:tc>
          <w:tcPr>
            <w:tcW w:w="607" w:type="pct"/>
            <w:tcBorders>
              <w:top w:val="nil"/>
              <w:left w:val="nil"/>
              <w:bottom w:val="nil"/>
              <w:right w:val="nil"/>
            </w:tcBorders>
            <w:shd w:val="clear" w:color="auto" w:fill="auto"/>
            <w:vAlign w:val="center"/>
          </w:tcPr>
          <w:p w14:paraId="508DA1A0" w14:textId="51170092"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w:t>
            </w:r>
          </w:p>
        </w:tc>
        <w:tc>
          <w:tcPr>
            <w:tcW w:w="531" w:type="pct"/>
            <w:tcBorders>
              <w:top w:val="nil"/>
              <w:left w:val="nil"/>
              <w:bottom w:val="nil"/>
              <w:right w:val="nil"/>
            </w:tcBorders>
            <w:shd w:val="clear" w:color="auto" w:fill="auto"/>
            <w:vAlign w:val="center"/>
          </w:tcPr>
          <w:p w14:paraId="647E687D" w14:textId="7A7DC5D0"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w:t>
            </w:r>
          </w:p>
        </w:tc>
        <w:tc>
          <w:tcPr>
            <w:tcW w:w="677" w:type="pct"/>
            <w:tcBorders>
              <w:top w:val="nil"/>
              <w:left w:val="nil"/>
              <w:bottom w:val="nil"/>
              <w:right w:val="nil"/>
            </w:tcBorders>
            <w:shd w:val="clear" w:color="auto" w:fill="auto"/>
            <w:vAlign w:val="center"/>
          </w:tcPr>
          <w:p w14:paraId="607B7CCB" w14:textId="461AC887"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3.546.487</w:t>
            </w:r>
          </w:p>
        </w:tc>
      </w:tr>
      <w:tr w:rsidR="007828B1" w:rsidRPr="00581360" w14:paraId="4699BC1A" w14:textId="77777777" w:rsidTr="00312975">
        <w:tblPrEx>
          <w:tblCellMar>
            <w:left w:w="31" w:type="dxa"/>
            <w:right w:w="31" w:type="dxa"/>
          </w:tblCellMar>
        </w:tblPrEx>
        <w:trPr>
          <w:cantSplit/>
          <w:trHeight w:val="203"/>
          <w:tblHeader/>
        </w:trPr>
        <w:tc>
          <w:tcPr>
            <w:tcW w:w="2501" w:type="pct"/>
            <w:vAlign w:val="bottom"/>
          </w:tcPr>
          <w:p w14:paraId="7F20D85F" w14:textId="77777777" w:rsidR="007828B1" w:rsidRPr="008514D1" w:rsidRDefault="007828B1" w:rsidP="007828B1">
            <w:pPr>
              <w:tabs>
                <w:tab w:val="right" w:pos="1202"/>
              </w:tabs>
              <w:spacing w:after="0" w:line="280" w:lineRule="exact"/>
              <w:outlineLvl w:val="0"/>
              <w:rPr>
                <w:bCs/>
                <w:sz w:val="19"/>
                <w:szCs w:val="19"/>
              </w:rPr>
            </w:pPr>
            <w:r w:rsidRPr="008514D1">
              <w:rPr>
                <w:bCs/>
                <w:sz w:val="19"/>
                <w:szCs w:val="19"/>
              </w:rPr>
              <w:t>Ostale nespomenute neopozive potencijalne obveze</w:t>
            </w:r>
          </w:p>
        </w:tc>
        <w:tc>
          <w:tcPr>
            <w:tcW w:w="684" w:type="pct"/>
            <w:tcBorders>
              <w:top w:val="nil"/>
              <w:left w:val="nil"/>
              <w:bottom w:val="single" w:sz="4" w:space="0" w:color="000000" w:themeColor="text1"/>
              <w:right w:val="nil"/>
            </w:tcBorders>
            <w:shd w:val="clear" w:color="auto" w:fill="auto"/>
            <w:vAlign w:val="center"/>
          </w:tcPr>
          <w:p w14:paraId="2A19A162" w14:textId="699A6799" w:rsidR="007828B1" w:rsidRPr="000E5941" w:rsidRDefault="00D96540"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335</w:t>
            </w:r>
          </w:p>
        </w:tc>
        <w:tc>
          <w:tcPr>
            <w:tcW w:w="607" w:type="pct"/>
            <w:tcBorders>
              <w:top w:val="nil"/>
              <w:left w:val="nil"/>
              <w:bottom w:val="single" w:sz="4" w:space="0" w:color="000000" w:themeColor="text1"/>
              <w:right w:val="nil"/>
            </w:tcBorders>
            <w:shd w:val="clear" w:color="auto" w:fill="auto"/>
            <w:vAlign w:val="center"/>
          </w:tcPr>
          <w:p w14:paraId="34510398" w14:textId="63853B43"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w:t>
            </w:r>
          </w:p>
        </w:tc>
        <w:tc>
          <w:tcPr>
            <w:tcW w:w="531" w:type="pct"/>
            <w:tcBorders>
              <w:top w:val="nil"/>
              <w:left w:val="nil"/>
              <w:bottom w:val="single" w:sz="4" w:space="0" w:color="000000" w:themeColor="text1"/>
              <w:right w:val="nil"/>
            </w:tcBorders>
            <w:shd w:val="clear" w:color="auto" w:fill="auto"/>
            <w:vAlign w:val="center"/>
          </w:tcPr>
          <w:p w14:paraId="2303B3A4" w14:textId="093F5BA6" w:rsidR="007828B1" w:rsidRPr="000E5941" w:rsidRDefault="007828B1"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w:t>
            </w:r>
          </w:p>
        </w:tc>
        <w:tc>
          <w:tcPr>
            <w:tcW w:w="677" w:type="pct"/>
            <w:tcBorders>
              <w:top w:val="nil"/>
              <w:left w:val="nil"/>
              <w:bottom w:val="single" w:sz="4" w:space="0" w:color="000000" w:themeColor="text1"/>
              <w:right w:val="nil"/>
            </w:tcBorders>
            <w:shd w:val="clear" w:color="auto" w:fill="auto"/>
            <w:vAlign w:val="center"/>
          </w:tcPr>
          <w:p w14:paraId="600F50C0" w14:textId="7B5C8FA2" w:rsidR="007828B1" w:rsidRPr="000E5941" w:rsidRDefault="00E0653A" w:rsidP="007828B1">
            <w:pPr>
              <w:tabs>
                <w:tab w:val="right" w:pos="1202"/>
              </w:tabs>
              <w:spacing w:after="0" w:line="301" w:lineRule="exact"/>
              <w:jc w:val="right"/>
              <w:outlineLvl w:val="0"/>
              <w:rPr>
                <w:rFonts w:ascii="Calibri" w:eastAsia="Times New Roman" w:hAnsi="Calibri" w:cs="Arial"/>
                <w:sz w:val="19"/>
                <w:szCs w:val="19"/>
                <w:lang w:val="en-US"/>
              </w:rPr>
            </w:pPr>
            <w:r>
              <w:rPr>
                <w:rFonts w:ascii="Calibri" w:hAnsi="Calibri" w:cs="Arial"/>
                <w:sz w:val="19"/>
                <w:szCs w:val="19"/>
              </w:rPr>
              <w:t>335</w:t>
            </w:r>
          </w:p>
        </w:tc>
      </w:tr>
      <w:tr w:rsidR="007828B1" w:rsidRPr="00581360" w14:paraId="477C37C9" w14:textId="77777777" w:rsidTr="00312975">
        <w:tblPrEx>
          <w:tblCellMar>
            <w:left w:w="31" w:type="dxa"/>
            <w:right w:w="31" w:type="dxa"/>
          </w:tblCellMar>
        </w:tblPrEx>
        <w:trPr>
          <w:cantSplit/>
          <w:trHeight w:val="203"/>
          <w:tblHeader/>
        </w:trPr>
        <w:tc>
          <w:tcPr>
            <w:tcW w:w="2501" w:type="pct"/>
            <w:vAlign w:val="bottom"/>
          </w:tcPr>
          <w:p w14:paraId="12D20FEF" w14:textId="77777777" w:rsidR="007828B1" w:rsidRPr="00581360" w:rsidRDefault="007828B1" w:rsidP="007828B1">
            <w:pPr>
              <w:tabs>
                <w:tab w:val="right" w:pos="1202"/>
              </w:tabs>
              <w:spacing w:after="0" w:line="280" w:lineRule="exact"/>
              <w:outlineLvl w:val="0"/>
              <w:rPr>
                <w:b/>
                <w:bCs/>
                <w:sz w:val="19"/>
                <w:szCs w:val="19"/>
              </w:rPr>
            </w:pPr>
            <w:r w:rsidRPr="00581360">
              <w:rPr>
                <w:b/>
                <w:bCs/>
                <w:sz w:val="19"/>
                <w:szCs w:val="19"/>
              </w:rPr>
              <w:t>Ukupno</w:t>
            </w:r>
          </w:p>
        </w:tc>
        <w:tc>
          <w:tcPr>
            <w:tcW w:w="684" w:type="pct"/>
            <w:tcBorders>
              <w:top w:val="single" w:sz="4" w:space="0" w:color="000000" w:themeColor="text1"/>
              <w:left w:val="nil"/>
              <w:bottom w:val="single" w:sz="12" w:space="0" w:color="auto"/>
              <w:right w:val="nil"/>
            </w:tcBorders>
            <w:shd w:val="clear" w:color="auto" w:fill="auto"/>
            <w:vAlign w:val="center"/>
          </w:tcPr>
          <w:p w14:paraId="1FB9F92D" w14:textId="28FF326A" w:rsidR="007828B1" w:rsidRPr="000E5941" w:rsidRDefault="007828B1" w:rsidP="007828B1">
            <w:pPr>
              <w:tabs>
                <w:tab w:val="right" w:pos="1202"/>
              </w:tabs>
              <w:spacing w:after="0" w:line="301" w:lineRule="exact"/>
              <w:jc w:val="right"/>
              <w:outlineLvl w:val="0"/>
              <w:rPr>
                <w:rFonts w:ascii="Calibri" w:eastAsia="Times New Roman" w:hAnsi="Calibri" w:cs="Arial"/>
                <w:b/>
                <w:bCs/>
                <w:sz w:val="19"/>
                <w:szCs w:val="19"/>
                <w:lang w:val="en-US"/>
              </w:rPr>
            </w:pPr>
            <w:r>
              <w:rPr>
                <w:rFonts w:ascii="Calibri" w:hAnsi="Calibri" w:cs="Arial"/>
                <w:b/>
                <w:bCs/>
                <w:sz w:val="19"/>
                <w:szCs w:val="19"/>
              </w:rPr>
              <w:t>5.473.932</w:t>
            </w:r>
          </w:p>
        </w:tc>
        <w:tc>
          <w:tcPr>
            <w:tcW w:w="607" w:type="pct"/>
            <w:tcBorders>
              <w:top w:val="single" w:sz="4" w:space="0" w:color="000000" w:themeColor="text1"/>
              <w:left w:val="nil"/>
              <w:bottom w:val="single" w:sz="12" w:space="0" w:color="auto"/>
              <w:right w:val="nil"/>
            </w:tcBorders>
            <w:shd w:val="clear" w:color="auto" w:fill="auto"/>
            <w:vAlign w:val="center"/>
          </w:tcPr>
          <w:p w14:paraId="3C98F369" w14:textId="613DCA06" w:rsidR="007828B1" w:rsidRPr="000E5941" w:rsidRDefault="007828B1" w:rsidP="007828B1">
            <w:pPr>
              <w:tabs>
                <w:tab w:val="right" w:pos="1202"/>
              </w:tabs>
              <w:spacing w:after="0" w:line="301" w:lineRule="exact"/>
              <w:jc w:val="right"/>
              <w:outlineLvl w:val="0"/>
              <w:rPr>
                <w:rFonts w:ascii="Calibri" w:eastAsia="Times New Roman" w:hAnsi="Calibri" w:cs="Arial"/>
                <w:b/>
                <w:bCs/>
                <w:sz w:val="19"/>
                <w:szCs w:val="19"/>
                <w:lang w:val="en-US"/>
              </w:rPr>
            </w:pPr>
            <w:r>
              <w:rPr>
                <w:rFonts w:ascii="Calibri" w:hAnsi="Calibri" w:cs="Arial"/>
                <w:b/>
                <w:bCs/>
                <w:sz w:val="19"/>
                <w:szCs w:val="19"/>
              </w:rPr>
              <w:t>602</w:t>
            </w:r>
          </w:p>
        </w:tc>
        <w:tc>
          <w:tcPr>
            <w:tcW w:w="531" w:type="pct"/>
            <w:tcBorders>
              <w:top w:val="single" w:sz="4" w:space="0" w:color="000000" w:themeColor="text1"/>
              <w:left w:val="nil"/>
              <w:bottom w:val="single" w:sz="12" w:space="0" w:color="auto"/>
              <w:right w:val="nil"/>
            </w:tcBorders>
            <w:shd w:val="clear" w:color="auto" w:fill="auto"/>
            <w:vAlign w:val="center"/>
          </w:tcPr>
          <w:p w14:paraId="52BEE899" w14:textId="1A7C26E4" w:rsidR="007828B1" w:rsidRPr="000E5941" w:rsidRDefault="00230906" w:rsidP="007828B1">
            <w:pPr>
              <w:tabs>
                <w:tab w:val="right" w:pos="1202"/>
              </w:tabs>
              <w:spacing w:after="0" w:line="301" w:lineRule="exact"/>
              <w:jc w:val="right"/>
              <w:outlineLvl w:val="0"/>
              <w:rPr>
                <w:rFonts w:ascii="Calibri" w:eastAsia="Times New Roman" w:hAnsi="Calibri" w:cs="Arial"/>
                <w:b/>
                <w:bCs/>
                <w:sz w:val="19"/>
                <w:szCs w:val="19"/>
                <w:lang w:val="en-US"/>
              </w:rPr>
            </w:pPr>
            <w:r>
              <w:rPr>
                <w:rFonts w:ascii="Calibri" w:hAnsi="Calibri" w:cs="Arial"/>
                <w:b/>
                <w:bCs/>
                <w:sz w:val="19"/>
                <w:szCs w:val="19"/>
              </w:rPr>
              <w:t>-</w:t>
            </w:r>
          </w:p>
        </w:tc>
        <w:tc>
          <w:tcPr>
            <w:tcW w:w="677" w:type="pct"/>
            <w:tcBorders>
              <w:top w:val="single" w:sz="4" w:space="0" w:color="000000" w:themeColor="text1"/>
              <w:left w:val="nil"/>
              <w:bottom w:val="single" w:sz="12" w:space="0" w:color="auto"/>
              <w:right w:val="nil"/>
            </w:tcBorders>
            <w:shd w:val="clear" w:color="auto" w:fill="auto"/>
            <w:vAlign w:val="center"/>
          </w:tcPr>
          <w:p w14:paraId="00EE0D2D" w14:textId="27ECC315" w:rsidR="007828B1" w:rsidRPr="000E5941" w:rsidRDefault="007828B1" w:rsidP="007828B1">
            <w:pPr>
              <w:tabs>
                <w:tab w:val="right" w:pos="1202"/>
              </w:tabs>
              <w:spacing w:after="0" w:line="301" w:lineRule="exact"/>
              <w:jc w:val="right"/>
              <w:outlineLvl w:val="0"/>
              <w:rPr>
                <w:rFonts w:ascii="Calibri" w:eastAsia="Times New Roman" w:hAnsi="Calibri" w:cs="Arial"/>
                <w:b/>
                <w:bCs/>
                <w:sz w:val="19"/>
                <w:szCs w:val="19"/>
                <w:lang w:val="en-US"/>
              </w:rPr>
            </w:pPr>
            <w:r>
              <w:rPr>
                <w:rFonts w:ascii="Calibri" w:hAnsi="Calibri" w:cs="Arial"/>
                <w:b/>
                <w:bCs/>
                <w:sz w:val="19"/>
                <w:szCs w:val="19"/>
              </w:rPr>
              <w:t>5.474.534</w:t>
            </w:r>
          </w:p>
        </w:tc>
      </w:tr>
      <w:tr w:rsidR="007828B1" w:rsidRPr="00581360" w14:paraId="10843908" w14:textId="77777777" w:rsidTr="00312975">
        <w:tblPrEx>
          <w:tblCellMar>
            <w:left w:w="31" w:type="dxa"/>
            <w:right w:w="31" w:type="dxa"/>
          </w:tblCellMar>
        </w:tblPrEx>
        <w:trPr>
          <w:cantSplit/>
          <w:trHeight w:val="250"/>
          <w:tblHeader/>
        </w:trPr>
        <w:tc>
          <w:tcPr>
            <w:tcW w:w="2501" w:type="pct"/>
            <w:vAlign w:val="bottom"/>
          </w:tcPr>
          <w:p w14:paraId="0374FBF5" w14:textId="77777777" w:rsidR="007828B1" w:rsidRPr="00581360" w:rsidRDefault="007828B1" w:rsidP="007828B1">
            <w:pPr>
              <w:tabs>
                <w:tab w:val="right" w:pos="1202"/>
              </w:tabs>
              <w:spacing w:after="0" w:line="280" w:lineRule="exact"/>
              <w:outlineLvl w:val="0"/>
              <w:rPr>
                <w:b/>
                <w:bCs/>
                <w:sz w:val="19"/>
                <w:szCs w:val="19"/>
              </w:rPr>
            </w:pPr>
            <w:r w:rsidRPr="00581360">
              <w:rPr>
                <w:rFonts w:cs="Arial"/>
                <w:b/>
                <w:bCs/>
                <w:sz w:val="19"/>
                <w:szCs w:val="19"/>
              </w:rPr>
              <w:t>Ukupna izloženost kreditnom riziku</w:t>
            </w:r>
          </w:p>
        </w:tc>
        <w:tc>
          <w:tcPr>
            <w:tcW w:w="684" w:type="pct"/>
            <w:tcBorders>
              <w:top w:val="nil"/>
              <w:left w:val="nil"/>
              <w:bottom w:val="single" w:sz="12" w:space="0" w:color="auto"/>
              <w:right w:val="nil"/>
            </w:tcBorders>
            <w:shd w:val="clear" w:color="auto" w:fill="auto"/>
            <w:vAlign w:val="center"/>
          </w:tcPr>
          <w:p w14:paraId="39F28E17" w14:textId="51A01C8D" w:rsidR="007828B1" w:rsidRPr="000E5941" w:rsidRDefault="007828B1">
            <w:pPr>
              <w:tabs>
                <w:tab w:val="right" w:pos="1202"/>
              </w:tabs>
              <w:spacing w:after="0" w:line="301" w:lineRule="exact"/>
              <w:jc w:val="right"/>
              <w:outlineLvl w:val="0"/>
              <w:rPr>
                <w:rFonts w:ascii="Calibri" w:eastAsia="Times New Roman" w:hAnsi="Calibri" w:cs="Arial"/>
                <w:b/>
                <w:bCs/>
                <w:sz w:val="19"/>
                <w:szCs w:val="19"/>
                <w:lang w:val="en-US"/>
              </w:rPr>
            </w:pPr>
            <w:r>
              <w:rPr>
                <w:rFonts w:ascii="Calibri" w:hAnsi="Calibri" w:cs="Arial"/>
                <w:b/>
                <w:bCs/>
                <w:sz w:val="19"/>
                <w:szCs w:val="19"/>
              </w:rPr>
              <w:t>32.80</w:t>
            </w:r>
            <w:r w:rsidR="00B916CD">
              <w:rPr>
                <w:rFonts w:ascii="Calibri" w:hAnsi="Calibri" w:cs="Arial"/>
                <w:b/>
                <w:bCs/>
                <w:sz w:val="19"/>
                <w:szCs w:val="19"/>
              </w:rPr>
              <w:t>0</w:t>
            </w:r>
            <w:r>
              <w:rPr>
                <w:rFonts w:ascii="Calibri" w:hAnsi="Calibri" w:cs="Arial"/>
                <w:b/>
                <w:bCs/>
                <w:sz w:val="19"/>
                <w:szCs w:val="19"/>
              </w:rPr>
              <w:t>.</w:t>
            </w:r>
            <w:r w:rsidR="00B916CD">
              <w:rPr>
                <w:rFonts w:ascii="Calibri" w:hAnsi="Calibri" w:cs="Arial"/>
                <w:b/>
                <w:bCs/>
                <w:sz w:val="19"/>
                <w:szCs w:val="19"/>
              </w:rPr>
              <w:t>925</w:t>
            </w:r>
          </w:p>
        </w:tc>
        <w:tc>
          <w:tcPr>
            <w:tcW w:w="607" w:type="pct"/>
            <w:tcBorders>
              <w:top w:val="nil"/>
              <w:left w:val="nil"/>
              <w:bottom w:val="single" w:sz="12" w:space="0" w:color="auto"/>
              <w:right w:val="nil"/>
            </w:tcBorders>
            <w:shd w:val="clear" w:color="auto" w:fill="auto"/>
            <w:vAlign w:val="center"/>
          </w:tcPr>
          <w:p w14:paraId="2941E904" w14:textId="067434C7" w:rsidR="007828B1" w:rsidRPr="000E5941" w:rsidRDefault="007828B1" w:rsidP="007828B1">
            <w:pPr>
              <w:tabs>
                <w:tab w:val="right" w:pos="1202"/>
              </w:tabs>
              <w:spacing w:after="0" w:line="301" w:lineRule="exact"/>
              <w:jc w:val="right"/>
              <w:outlineLvl w:val="0"/>
              <w:rPr>
                <w:rFonts w:ascii="Calibri" w:eastAsia="Times New Roman" w:hAnsi="Calibri" w:cs="Arial"/>
                <w:b/>
                <w:bCs/>
                <w:sz w:val="19"/>
                <w:szCs w:val="19"/>
                <w:lang w:val="en-US"/>
              </w:rPr>
            </w:pPr>
            <w:r>
              <w:rPr>
                <w:rFonts w:ascii="Calibri" w:hAnsi="Calibri" w:cs="Arial"/>
                <w:b/>
                <w:bCs/>
                <w:sz w:val="19"/>
                <w:szCs w:val="19"/>
              </w:rPr>
              <w:t>175.127</w:t>
            </w:r>
          </w:p>
        </w:tc>
        <w:tc>
          <w:tcPr>
            <w:tcW w:w="531" w:type="pct"/>
            <w:tcBorders>
              <w:top w:val="nil"/>
              <w:left w:val="nil"/>
              <w:bottom w:val="single" w:sz="12" w:space="0" w:color="auto"/>
              <w:right w:val="nil"/>
            </w:tcBorders>
            <w:shd w:val="clear" w:color="auto" w:fill="auto"/>
            <w:vAlign w:val="center"/>
          </w:tcPr>
          <w:p w14:paraId="6094FE11" w14:textId="02B3D406" w:rsidR="007828B1" w:rsidRPr="000E5941" w:rsidRDefault="007828B1">
            <w:pPr>
              <w:tabs>
                <w:tab w:val="right" w:pos="1202"/>
              </w:tabs>
              <w:spacing w:after="0" w:line="301" w:lineRule="exact"/>
              <w:jc w:val="right"/>
              <w:outlineLvl w:val="0"/>
              <w:rPr>
                <w:rFonts w:ascii="Calibri" w:eastAsia="Times New Roman" w:hAnsi="Calibri" w:cs="Arial"/>
                <w:b/>
                <w:bCs/>
                <w:sz w:val="19"/>
                <w:szCs w:val="19"/>
                <w:lang w:val="en-US"/>
              </w:rPr>
            </w:pPr>
            <w:r>
              <w:rPr>
                <w:rFonts w:ascii="Calibri" w:hAnsi="Calibri" w:cs="Arial"/>
                <w:b/>
                <w:bCs/>
                <w:sz w:val="19"/>
                <w:szCs w:val="19"/>
              </w:rPr>
              <w:t>209.</w:t>
            </w:r>
            <w:r w:rsidR="00B916CD">
              <w:rPr>
                <w:rFonts w:ascii="Calibri" w:hAnsi="Calibri" w:cs="Arial"/>
                <w:b/>
                <w:bCs/>
                <w:sz w:val="19"/>
                <w:szCs w:val="19"/>
              </w:rPr>
              <w:t>550</w:t>
            </w:r>
          </w:p>
        </w:tc>
        <w:tc>
          <w:tcPr>
            <w:tcW w:w="677" w:type="pct"/>
            <w:tcBorders>
              <w:top w:val="nil"/>
              <w:left w:val="nil"/>
              <w:bottom w:val="single" w:sz="12" w:space="0" w:color="auto"/>
              <w:right w:val="nil"/>
            </w:tcBorders>
            <w:shd w:val="clear" w:color="auto" w:fill="auto"/>
            <w:vAlign w:val="center"/>
          </w:tcPr>
          <w:p w14:paraId="4EE3B42E" w14:textId="47D9975C" w:rsidR="007828B1" w:rsidRPr="000E5941" w:rsidRDefault="007828B1" w:rsidP="007828B1">
            <w:pPr>
              <w:tabs>
                <w:tab w:val="right" w:pos="1202"/>
              </w:tabs>
              <w:spacing w:after="0" w:line="301" w:lineRule="exact"/>
              <w:jc w:val="right"/>
              <w:outlineLvl w:val="0"/>
              <w:rPr>
                <w:rFonts w:ascii="Calibri" w:eastAsia="Times New Roman" w:hAnsi="Calibri" w:cs="Arial"/>
                <w:b/>
                <w:bCs/>
                <w:sz w:val="19"/>
                <w:szCs w:val="19"/>
                <w:lang w:val="en-US"/>
              </w:rPr>
            </w:pPr>
            <w:r>
              <w:rPr>
                <w:rFonts w:ascii="Calibri" w:hAnsi="Calibri" w:cs="Arial"/>
                <w:b/>
                <w:bCs/>
                <w:sz w:val="19"/>
                <w:szCs w:val="19"/>
              </w:rPr>
              <w:t>33.185.602</w:t>
            </w:r>
          </w:p>
        </w:tc>
      </w:tr>
    </w:tbl>
    <w:p w14:paraId="3B8CA619" w14:textId="6FC0C735" w:rsidR="00581360" w:rsidRDefault="00581360" w:rsidP="00581360">
      <w:pPr>
        <w:rPr>
          <w:rFonts w:cs="Arial"/>
          <w:b/>
          <w:bCs/>
          <w:highlight w:val="yellow"/>
        </w:rPr>
      </w:pPr>
    </w:p>
    <w:p w14:paraId="1DCCDDC8" w14:textId="77777777" w:rsidR="00581360" w:rsidRPr="00581360" w:rsidRDefault="00581360" w:rsidP="00581360">
      <w:pPr>
        <w:rPr>
          <w:rFonts w:cs="Arial"/>
          <w:b/>
          <w:bCs/>
          <w:highlight w:val="yellow"/>
        </w:rPr>
      </w:pPr>
    </w:p>
    <w:p w14:paraId="57650D2F" w14:textId="77777777" w:rsidR="00F4789E" w:rsidRDefault="00F4789E" w:rsidP="007F2C8B">
      <w:pPr>
        <w:pStyle w:val="accountingpolicytitle"/>
        <w:rPr>
          <w:rFonts w:asciiTheme="minorHAnsi" w:hAnsiTheme="minorHAnsi" w:cstheme="minorHAnsi"/>
          <w:sz w:val="24"/>
          <w:szCs w:val="24"/>
          <w:lang w:val="hr-HR"/>
        </w:rPr>
        <w:sectPr w:rsidR="00F4789E" w:rsidSect="00256A5F">
          <w:footerReference w:type="first" r:id="rId88"/>
          <w:pgSz w:w="11906" w:h="16838" w:code="9"/>
          <w:pgMar w:top="1418" w:right="1418" w:bottom="595" w:left="1134" w:header="709" w:footer="709" w:gutter="0"/>
          <w:cols w:space="708"/>
          <w:titlePg/>
          <w:docGrid w:linePitch="360"/>
        </w:sectPr>
      </w:pPr>
    </w:p>
    <w:p w14:paraId="5AB7A182" w14:textId="77777777" w:rsidR="00F4789E" w:rsidRPr="00F4789E" w:rsidRDefault="00F4789E" w:rsidP="00F4789E">
      <w:pPr>
        <w:pStyle w:val="T1"/>
        <w:spacing w:before="0" w:after="0" w:line="240" w:lineRule="auto"/>
        <w:rPr>
          <w:rFonts w:cs="Arial"/>
          <w:sz w:val="22"/>
          <w:szCs w:val="22"/>
          <w:lang w:val="hr-HR"/>
        </w:rPr>
      </w:pPr>
    </w:p>
    <w:p w14:paraId="51BBE579" w14:textId="77777777" w:rsidR="00F4789E" w:rsidRPr="00F4789E" w:rsidRDefault="00F4789E" w:rsidP="00F4789E">
      <w:pPr>
        <w:pStyle w:val="T1"/>
        <w:spacing w:before="0" w:after="0" w:line="240" w:lineRule="auto"/>
        <w:rPr>
          <w:rFonts w:asciiTheme="minorHAnsi" w:hAnsiTheme="minorHAnsi" w:cs="Arial"/>
          <w:sz w:val="22"/>
          <w:szCs w:val="22"/>
          <w:lang w:val="hr-HR"/>
        </w:rPr>
      </w:pPr>
      <w:r w:rsidRPr="00F4789E">
        <w:rPr>
          <w:rFonts w:asciiTheme="minorHAnsi" w:hAnsiTheme="minorHAnsi" w:cs="Arial"/>
          <w:sz w:val="22"/>
          <w:szCs w:val="22"/>
          <w:lang w:val="hr-HR"/>
        </w:rPr>
        <w:t>1</w:t>
      </w:r>
      <w:r w:rsidR="00B01DFE">
        <w:rPr>
          <w:rFonts w:asciiTheme="minorHAnsi" w:hAnsiTheme="minorHAnsi" w:cs="Arial"/>
          <w:sz w:val="22"/>
          <w:szCs w:val="22"/>
          <w:lang w:val="hr-HR"/>
        </w:rPr>
        <w:t>6</w:t>
      </w:r>
      <w:r w:rsidRPr="00F4789E">
        <w:rPr>
          <w:rFonts w:asciiTheme="minorHAnsi" w:hAnsiTheme="minorHAnsi" w:cs="Arial"/>
          <w:sz w:val="22"/>
          <w:szCs w:val="22"/>
          <w:lang w:val="hr-HR"/>
        </w:rPr>
        <w:t>.</w:t>
      </w:r>
      <w:r w:rsidRPr="00F4789E">
        <w:rPr>
          <w:rFonts w:asciiTheme="minorHAnsi" w:hAnsiTheme="minorHAnsi" w:cs="Arial"/>
          <w:sz w:val="22"/>
          <w:szCs w:val="22"/>
          <w:lang w:val="hr-HR"/>
        </w:rPr>
        <w:tab/>
        <w:t>Upravljanje rizicima (nastavak)</w:t>
      </w:r>
    </w:p>
    <w:p w14:paraId="305F265A" w14:textId="77777777" w:rsidR="00F4789E" w:rsidRPr="00F4789E" w:rsidRDefault="00F4789E" w:rsidP="00F4789E">
      <w:pPr>
        <w:pStyle w:val="T1"/>
        <w:spacing w:before="0" w:after="0" w:line="240" w:lineRule="auto"/>
        <w:rPr>
          <w:rFonts w:asciiTheme="minorHAnsi" w:hAnsiTheme="minorHAnsi" w:cs="Arial"/>
          <w:sz w:val="22"/>
          <w:szCs w:val="22"/>
          <w:lang w:val="hr-HR"/>
        </w:rPr>
      </w:pPr>
    </w:p>
    <w:p w14:paraId="4D4F2AE7" w14:textId="77777777" w:rsidR="00F4789E" w:rsidRPr="00F4789E" w:rsidRDefault="00F4789E" w:rsidP="00F4789E">
      <w:pPr>
        <w:pStyle w:val="T1"/>
        <w:spacing w:before="0" w:after="0" w:line="240" w:lineRule="auto"/>
        <w:rPr>
          <w:rFonts w:asciiTheme="minorHAnsi" w:hAnsiTheme="minorHAnsi" w:cs="Arial"/>
          <w:sz w:val="22"/>
          <w:szCs w:val="22"/>
          <w:lang w:val="hr-HR"/>
        </w:rPr>
      </w:pPr>
      <w:r w:rsidRPr="00F4789E">
        <w:rPr>
          <w:rFonts w:asciiTheme="minorHAnsi" w:hAnsiTheme="minorHAnsi" w:cs="Arial"/>
          <w:sz w:val="22"/>
          <w:szCs w:val="22"/>
          <w:lang w:val="hr-HR"/>
        </w:rPr>
        <w:t>1</w:t>
      </w:r>
      <w:r w:rsidR="00B01DFE">
        <w:rPr>
          <w:rFonts w:asciiTheme="minorHAnsi" w:hAnsiTheme="minorHAnsi" w:cs="Arial"/>
          <w:sz w:val="22"/>
          <w:szCs w:val="22"/>
          <w:lang w:val="hr-HR"/>
        </w:rPr>
        <w:t>6</w:t>
      </w:r>
      <w:r w:rsidRPr="00F4789E">
        <w:rPr>
          <w:rFonts w:asciiTheme="minorHAnsi" w:hAnsiTheme="minorHAnsi" w:cs="Arial"/>
          <w:sz w:val="22"/>
          <w:szCs w:val="22"/>
          <w:lang w:val="hr-HR"/>
        </w:rPr>
        <w:t xml:space="preserve">.2. </w:t>
      </w:r>
      <w:r w:rsidRPr="00F4789E">
        <w:rPr>
          <w:rFonts w:asciiTheme="minorHAnsi" w:hAnsiTheme="minorHAnsi" w:cs="Arial"/>
          <w:sz w:val="22"/>
          <w:szCs w:val="22"/>
          <w:lang w:val="hr-HR"/>
        </w:rPr>
        <w:tab/>
        <w:t>Kreditni rizik (nastavak)</w:t>
      </w:r>
    </w:p>
    <w:p w14:paraId="712DC272" w14:textId="77777777" w:rsidR="00F4789E" w:rsidRPr="00F4789E" w:rsidRDefault="00F4789E" w:rsidP="00F4789E">
      <w:pPr>
        <w:pStyle w:val="T1"/>
        <w:spacing w:before="0" w:after="0" w:line="240" w:lineRule="auto"/>
        <w:rPr>
          <w:rFonts w:asciiTheme="minorHAnsi" w:hAnsiTheme="minorHAnsi" w:cs="Arial"/>
          <w:sz w:val="22"/>
          <w:szCs w:val="22"/>
          <w:lang w:val="hr-HR"/>
        </w:rPr>
      </w:pPr>
    </w:p>
    <w:p w14:paraId="03898A27" w14:textId="77777777" w:rsidR="00F4789E" w:rsidRPr="00F4789E" w:rsidRDefault="00F4789E" w:rsidP="00F4789E">
      <w:pPr>
        <w:pStyle w:val="T1"/>
        <w:spacing w:before="0" w:after="0" w:line="240" w:lineRule="auto"/>
        <w:rPr>
          <w:rFonts w:asciiTheme="minorHAnsi" w:hAnsiTheme="minorHAnsi" w:cs="Arial"/>
          <w:sz w:val="22"/>
          <w:szCs w:val="22"/>
          <w:lang w:val="hr-HR"/>
        </w:rPr>
      </w:pPr>
      <w:r w:rsidRPr="00F4789E">
        <w:rPr>
          <w:rFonts w:asciiTheme="minorHAnsi" w:hAnsiTheme="minorHAnsi" w:cs="Arial"/>
          <w:sz w:val="22"/>
          <w:szCs w:val="22"/>
          <w:lang w:val="hr-HR"/>
        </w:rPr>
        <w:t xml:space="preserve">Koncentracija rizika i </w:t>
      </w:r>
      <w:r w:rsidR="00640198">
        <w:rPr>
          <w:rFonts w:asciiTheme="minorHAnsi" w:hAnsiTheme="minorHAnsi" w:cs="Arial"/>
          <w:sz w:val="22"/>
          <w:szCs w:val="22"/>
          <w:lang w:val="hr-HR"/>
        </w:rPr>
        <w:t>maksimalna</w:t>
      </w:r>
      <w:r w:rsidRPr="00F4789E">
        <w:rPr>
          <w:rFonts w:asciiTheme="minorHAnsi" w:hAnsiTheme="minorHAnsi" w:cs="Arial"/>
          <w:sz w:val="22"/>
          <w:szCs w:val="22"/>
          <w:lang w:val="hr-HR"/>
        </w:rPr>
        <w:t xml:space="preserve"> izloženost kreditnom riziku (nastavak)</w:t>
      </w:r>
    </w:p>
    <w:p w14:paraId="4E859BA9" w14:textId="77777777" w:rsidR="00F4789E" w:rsidRPr="00F4789E" w:rsidRDefault="00F4789E" w:rsidP="00F4789E">
      <w:pPr>
        <w:pStyle w:val="T1"/>
        <w:spacing w:before="0" w:after="0" w:line="240" w:lineRule="auto"/>
        <w:rPr>
          <w:rFonts w:asciiTheme="minorHAnsi" w:hAnsiTheme="minorHAnsi" w:cs="Arial"/>
          <w:sz w:val="22"/>
          <w:szCs w:val="22"/>
          <w:lang w:val="hr-HR"/>
        </w:rPr>
      </w:pPr>
    </w:p>
    <w:p w14:paraId="76B183A6" w14:textId="77777777" w:rsidR="00F4789E" w:rsidRDefault="00F4789E" w:rsidP="00F4789E">
      <w:pPr>
        <w:pStyle w:val="T1"/>
        <w:spacing w:before="0" w:after="0" w:line="240" w:lineRule="auto"/>
        <w:rPr>
          <w:rFonts w:asciiTheme="minorHAnsi" w:hAnsiTheme="minorHAnsi" w:cs="Arial"/>
          <w:b w:val="0"/>
          <w:bCs w:val="0"/>
          <w:sz w:val="22"/>
          <w:szCs w:val="22"/>
          <w:lang w:val="hr-HR"/>
        </w:rPr>
      </w:pPr>
      <w:r w:rsidRPr="00F4789E">
        <w:rPr>
          <w:rFonts w:asciiTheme="minorHAnsi" w:hAnsiTheme="minorHAnsi" w:cs="Arial"/>
          <w:b w:val="0"/>
          <w:bCs w:val="0"/>
          <w:sz w:val="22"/>
          <w:szCs w:val="22"/>
          <w:lang w:val="hr-HR"/>
        </w:rPr>
        <w:t xml:space="preserve">Koncentracija imovine i garancija i preuzetih obveza prema zemljopisnim segmentima, </w:t>
      </w:r>
      <w:r w:rsidRPr="00F4789E">
        <w:rPr>
          <w:rFonts w:asciiTheme="minorHAnsi" w:hAnsiTheme="minorHAnsi" w:cs="Arial"/>
          <w:b w:val="0"/>
          <w:sz w:val="22"/>
          <w:szCs w:val="22"/>
          <w:lang w:val="hr-HR"/>
        </w:rPr>
        <w:t>bez umanjenja za vrijednost sredstava osiguranja naplate</w:t>
      </w:r>
      <w:r w:rsidRPr="00F4789E">
        <w:rPr>
          <w:rFonts w:asciiTheme="minorHAnsi" w:hAnsiTheme="minorHAnsi" w:cs="Arial"/>
          <w:b w:val="0"/>
          <w:bCs w:val="0"/>
          <w:sz w:val="22"/>
          <w:szCs w:val="22"/>
          <w:lang w:val="hr-HR"/>
        </w:rPr>
        <w:t xml:space="preserve"> (nastavak): </w:t>
      </w:r>
    </w:p>
    <w:p w14:paraId="13146EAB" w14:textId="77777777" w:rsidR="00F4789E" w:rsidRPr="00F4789E" w:rsidRDefault="00F4789E" w:rsidP="00F4789E">
      <w:pPr>
        <w:pStyle w:val="T1"/>
        <w:spacing w:before="0" w:after="0" w:line="240" w:lineRule="auto"/>
        <w:rPr>
          <w:rFonts w:asciiTheme="minorHAnsi" w:hAnsiTheme="minorHAnsi" w:cs="Arial"/>
          <w:b w:val="0"/>
          <w:bCs w:val="0"/>
          <w:sz w:val="22"/>
          <w:szCs w:val="22"/>
          <w:lang w:val="hr-HR"/>
        </w:rPr>
      </w:pPr>
    </w:p>
    <w:tbl>
      <w:tblPr>
        <w:tblW w:w="4985" w:type="pct"/>
        <w:tblLayout w:type="fixed"/>
        <w:tblCellMar>
          <w:left w:w="30" w:type="dxa"/>
          <w:right w:w="30" w:type="dxa"/>
        </w:tblCellMar>
        <w:tblLook w:val="0000" w:firstRow="0" w:lastRow="0" w:firstColumn="0" w:lastColumn="0" w:noHBand="0" w:noVBand="0"/>
      </w:tblPr>
      <w:tblGrid>
        <w:gridCol w:w="4761"/>
        <w:gridCol w:w="1141"/>
        <w:gridCol w:w="1142"/>
        <w:gridCol w:w="1142"/>
        <w:gridCol w:w="1140"/>
      </w:tblGrid>
      <w:tr w:rsidR="00FD7170" w:rsidRPr="00815091" w14:paraId="10225869" w14:textId="77777777" w:rsidTr="00815091">
        <w:trPr>
          <w:cantSplit/>
          <w:trHeight w:val="265"/>
          <w:tblHeader/>
        </w:trPr>
        <w:tc>
          <w:tcPr>
            <w:tcW w:w="2553" w:type="pct"/>
          </w:tcPr>
          <w:p w14:paraId="356CF436" w14:textId="77777777" w:rsidR="00FD7170" w:rsidRPr="00815091" w:rsidRDefault="00FD7170" w:rsidP="00FD7170">
            <w:pPr>
              <w:tabs>
                <w:tab w:val="right" w:pos="1202"/>
              </w:tabs>
              <w:spacing w:after="0" w:line="240" w:lineRule="atLeast"/>
              <w:outlineLvl w:val="0"/>
              <w:rPr>
                <w:rFonts w:ascii="Calibri" w:eastAsia="Times New Roman" w:hAnsi="Calibri" w:cs="Arial"/>
                <w:b/>
                <w:sz w:val="19"/>
                <w:szCs w:val="19"/>
              </w:rPr>
            </w:pPr>
            <w:r w:rsidRPr="00815091">
              <w:rPr>
                <w:rFonts w:ascii="Calibri" w:eastAsia="Times New Roman" w:hAnsi="Calibri" w:cs="Arial"/>
                <w:b/>
                <w:sz w:val="19"/>
                <w:szCs w:val="19"/>
              </w:rPr>
              <w:t>Grupa</w:t>
            </w:r>
          </w:p>
          <w:p w14:paraId="2FE181D4" w14:textId="77777777" w:rsidR="00FD7170" w:rsidRPr="00815091" w:rsidRDefault="00FD7170" w:rsidP="00FD7170">
            <w:pPr>
              <w:tabs>
                <w:tab w:val="right" w:pos="1202"/>
              </w:tabs>
              <w:spacing w:after="0" w:line="240" w:lineRule="atLeast"/>
              <w:outlineLvl w:val="0"/>
              <w:rPr>
                <w:rFonts w:ascii="Calibri" w:eastAsia="Times New Roman" w:hAnsi="Calibri" w:cs="Arial"/>
                <w:b/>
                <w:sz w:val="19"/>
                <w:szCs w:val="19"/>
              </w:rPr>
            </w:pPr>
          </w:p>
          <w:p w14:paraId="793E5D0E" w14:textId="2920CB7A" w:rsidR="00FD7170" w:rsidRPr="00815091" w:rsidRDefault="00815091" w:rsidP="00815091">
            <w:pPr>
              <w:tabs>
                <w:tab w:val="right" w:pos="1202"/>
              </w:tabs>
              <w:spacing w:after="0" w:line="240" w:lineRule="atLeast"/>
              <w:outlineLvl w:val="0"/>
              <w:rPr>
                <w:rFonts w:ascii="Calibri" w:eastAsia="Times New Roman" w:hAnsi="Calibri" w:cs="Arial"/>
                <w:b/>
                <w:sz w:val="19"/>
                <w:szCs w:val="19"/>
              </w:rPr>
            </w:pPr>
            <w:r>
              <w:rPr>
                <w:rFonts w:ascii="Calibri" w:eastAsia="Times New Roman" w:hAnsi="Calibri" w:cs="Arial"/>
                <w:b/>
                <w:sz w:val="19"/>
                <w:szCs w:val="19"/>
              </w:rPr>
              <w:t>31.12.</w:t>
            </w:r>
            <w:r w:rsidR="00FD7170" w:rsidRPr="00815091">
              <w:rPr>
                <w:rFonts w:ascii="Calibri" w:eastAsia="Times New Roman" w:hAnsi="Calibri" w:cs="Arial"/>
                <w:b/>
                <w:sz w:val="19"/>
                <w:szCs w:val="19"/>
              </w:rPr>
              <w:t xml:space="preserve">2016. </w:t>
            </w:r>
          </w:p>
        </w:tc>
        <w:tc>
          <w:tcPr>
            <w:tcW w:w="612" w:type="pct"/>
            <w:vAlign w:val="bottom"/>
          </w:tcPr>
          <w:p w14:paraId="6884E762" w14:textId="77777777" w:rsidR="00FD7170" w:rsidRPr="00815091" w:rsidRDefault="00FD7170" w:rsidP="00FD7170">
            <w:pPr>
              <w:tabs>
                <w:tab w:val="right" w:pos="1202"/>
              </w:tabs>
              <w:spacing w:after="0" w:line="240" w:lineRule="atLeast"/>
              <w:jc w:val="right"/>
              <w:outlineLvl w:val="0"/>
              <w:rPr>
                <w:rFonts w:ascii="Calibri" w:eastAsia="Times New Roman" w:hAnsi="Calibri" w:cs="Arial"/>
                <w:b/>
                <w:sz w:val="19"/>
                <w:szCs w:val="19"/>
              </w:rPr>
            </w:pPr>
            <w:r w:rsidRPr="00815091">
              <w:rPr>
                <w:rFonts w:ascii="Calibri" w:eastAsia="Times New Roman" w:hAnsi="Calibri" w:cs="Arial"/>
                <w:b/>
                <w:sz w:val="19"/>
                <w:szCs w:val="19"/>
              </w:rPr>
              <w:t>Republika Hrvatska</w:t>
            </w:r>
          </w:p>
        </w:tc>
        <w:tc>
          <w:tcPr>
            <w:tcW w:w="612" w:type="pct"/>
            <w:vAlign w:val="bottom"/>
          </w:tcPr>
          <w:p w14:paraId="4DAD79D6" w14:textId="77777777" w:rsidR="00FD7170" w:rsidRPr="00815091" w:rsidRDefault="00FD7170" w:rsidP="00FD7170">
            <w:pPr>
              <w:tabs>
                <w:tab w:val="right" w:pos="1202"/>
              </w:tabs>
              <w:spacing w:after="0" w:line="240" w:lineRule="atLeast"/>
              <w:jc w:val="right"/>
              <w:outlineLvl w:val="0"/>
              <w:rPr>
                <w:rFonts w:ascii="Calibri" w:eastAsia="Times New Roman" w:hAnsi="Calibri" w:cs="Arial"/>
                <w:b/>
                <w:sz w:val="19"/>
                <w:szCs w:val="19"/>
              </w:rPr>
            </w:pPr>
            <w:r w:rsidRPr="00815091">
              <w:rPr>
                <w:rFonts w:ascii="Calibri" w:eastAsia="Times New Roman" w:hAnsi="Calibri" w:cs="Arial"/>
                <w:b/>
                <w:sz w:val="19"/>
                <w:szCs w:val="19"/>
              </w:rPr>
              <w:t>Zemlje Europske unije</w:t>
            </w:r>
          </w:p>
        </w:tc>
        <w:tc>
          <w:tcPr>
            <w:tcW w:w="612" w:type="pct"/>
            <w:vAlign w:val="bottom"/>
          </w:tcPr>
          <w:p w14:paraId="1608F501" w14:textId="77777777" w:rsidR="00815091" w:rsidRDefault="00FD7170" w:rsidP="00FD7170">
            <w:pPr>
              <w:tabs>
                <w:tab w:val="right" w:pos="1202"/>
              </w:tabs>
              <w:spacing w:after="0" w:line="240" w:lineRule="atLeast"/>
              <w:jc w:val="right"/>
              <w:outlineLvl w:val="0"/>
              <w:rPr>
                <w:rFonts w:ascii="Calibri" w:eastAsia="Times New Roman" w:hAnsi="Calibri" w:cs="Arial"/>
                <w:b/>
                <w:sz w:val="19"/>
                <w:szCs w:val="19"/>
              </w:rPr>
            </w:pPr>
            <w:r w:rsidRPr="00815091">
              <w:rPr>
                <w:rFonts w:ascii="Calibri" w:eastAsia="Times New Roman" w:hAnsi="Calibri" w:cs="Arial"/>
                <w:b/>
                <w:sz w:val="19"/>
                <w:szCs w:val="19"/>
              </w:rPr>
              <w:t xml:space="preserve">Ostale </w:t>
            </w:r>
          </w:p>
          <w:p w14:paraId="1327DB6A" w14:textId="70ABED92" w:rsidR="00FD7170" w:rsidRPr="00815091" w:rsidRDefault="00FD7170" w:rsidP="00FD7170">
            <w:pPr>
              <w:tabs>
                <w:tab w:val="right" w:pos="1202"/>
              </w:tabs>
              <w:spacing w:after="0" w:line="240" w:lineRule="atLeast"/>
              <w:jc w:val="right"/>
              <w:outlineLvl w:val="0"/>
              <w:rPr>
                <w:rFonts w:ascii="Calibri" w:eastAsia="Times New Roman" w:hAnsi="Calibri" w:cs="Arial"/>
                <w:b/>
                <w:sz w:val="19"/>
                <w:szCs w:val="19"/>
              </w:rPr>
            </w:pPr>
            <w:r w:rsidRPr="00815091">
              <w:rPr>
                <w:rFonts w:ascii="Calibri" w:eastAsia="Times New Roman" w:hAnsi="Calibri" w:cs="Arial"/>
                <w:b/>
                <w:sz w:val="19"/>
                <w:szCs w:val="19"/>
              </w:rPr>
              <w:t xml:space="preserve">zemlje </w:t>
            </w:r>
          </w:p>
        </w:tc>
        <w:tc>
          <w:tcPr>
            <w:tcW w:w="611" w:type="pct"/>
            <w:vAlign w:val="bottom"/>
          </w:tcPr>
          <w:p w14:paraId="7B192EB9" w14:textId="77777777" w:rsidR="00FD7170" w:rsidRPr="00815091" w:rsidRDefault="00FD7170" w:rsidP="00FD7170">
            <w:pPr>
              <w:tabs>
                <w:tab w:val="right" w:pos="1202"/>
              </w:tabs>
              <w:spacing w:after="0" w:line="240" w:lineRule="atLeast"/>
              <w:jc w:val="right"/>
              <w:outlineLvl w:val="0"/>
              <w:rPr>
                <w:rFonts w:ascii="Calibri" w:eastAsia="Times New Roman" w:hAnsi="Calibri" w:cs="Arial"/>
                <w:b/>
                <w:sz w:val="19"/>
                <w:szCs w:val="19"/>
              </w:rPr>
            </w:pPr>
            <w:r w:rsidRPr="00815091">
              <w:rPr>
                <w:rFonts w:ascii="Calibri" w:eastAsia="Times New Roman" w:hAnsi="Calibri" w:cs="Arial"/>
                <w:b/>
                <w:sz w:val="19"/>
                <w:szCs w:val="19"/>
              </w:rPr>
              <w:t>Ukupno</w:t>
            </w:r>
          </w:p>
        </w:tc>
      </w:tr>
      <w:tr w:rsidR="00FD7170" w:rsidRPr="00815091" w14:paraId="1BAF7A24" w14:textId="77777777" w:rsidTr="00815091">
        <w:trPr>
          <w:cantSplit/>
          <w:trHeight w:val="265"/>
          <w:tblHeader/>
        </w:trPr>
        <w:tc>
          <w:tcPr>
            <w:tcW w:w="2553" w:type="pct"/>
          </w:tcPr>
          <w:p w14:paraId="4ED858A0" w14:textId="77777777" w:rsidR="00FD7170" w:rsidRPr="00815091" w:rsidRDefault="00FD7170" w:rsidP="00FD7170">
            <w:pPr>
              <w:spacing w:after="0" w:line="240" w:lineRule="auto"/>
              <w:ind w:left="113" w:hanging="113"/>
              <w:rPr>
                <w:rFonts w:ascii="Calibri" w:eastAsia="Times New Roman" w:hAnsi="Calibri" w:cs="Arial"/>
                <w:sz w:val="19"/>
                <w:szCs w:val="19"/>
              </w:rPr>
            </w:pPr>
          </w:p>
        </w:tc>
        <w:tc>
          <w:tcPr>
            <w:tcW w:w="612" w:type="pct"/>
          </w:tcPr>
          <w:p w14:paraId="5CCCD986" w14:textId="77777777" w:rsidR="00FD7170" w:rsidRPr="00815091" w:rsidRDefault="00FD7170" w:rsidP="00FD7170">
            <w:pPr>
              <w:spacing w:after="0" w:line="240" w:lineRule="auto"/>
              <w:jc w:val="right"/>
              <w:rPr>
                <w:rFonts w:ascii="Calibri" w:eastAsia="Times New Roman" w:hAnsi="Calibri" w:cs="Arial"/>
                <w:sz w:val="19"/>
                <w:szCs w:val="19"/>
              </w:rPr>
            </w:pPr>
          </w:p>
        </w:tc>
        <w:tc>
          <w:tcPr>
            <w:tcW w:w="612" w:type="pct"/>
          </w:tcPr>
          <w:p w14:paraId="39C1DCFF" w14:textId="77777777" w:rsidR="00FD7170" w:rsidRPr="00815091" w:rsidRDefault="00FD7170" w:rsidP="00FD7170">
            <w:pPr>
              <w:spacing w:after="0" w:line="240" w:lineRule="auto"/>
              <w:jc w:val="right"/>
              <w:rPr>
                <w:rFonts w:ascii="Calibri" w:eastAsia="Times New Roman" w:hAnsi="Calibri" w:cs="Arial"/>
                <w:sz w:val="19"/>
                <w:szCs w:val="19"/>
              </w:rPr>
            </w:pPr>
          </w:p>
        </w:tc>
        <w:tc>
          <w:tcPr>
            <w:tcW w:w="612" w:type="pct"/>
          </w:tcPr>
          <w:p w14:paraId="5D47EB04" w14:textId="77777777" w:rsidR="00FD7170" w:rsidRPr="00815091" w:rsidRDefault="00FD7170" w:rsidP="00FD7170">
            <w:pPr>
              <w:spacing w:after="0" w:line="240" w:lineRule="auto"/>
              <w:jc w:val="right"/>
              <w:rPr>
                <w:rFonts w:ascii="Calibri" w:eastAsia="Times New Roman" w:hAnsi="Calibri" w:cs="Arial"/>
                <w:sz w:val="19"/>
                <w:szCs w:val="19"/>
              </w:rPr>
            </w:pPr>
          </w:p>
        </w:tc>
        <w:tc>
          <w:tcPr>
            <w:tcW w:w="611" w:type="pct"/>
          </w:tcPr>
          <w:p w14:paraId="2B0FE420" w14:textId="77777777" w:rsidR="00FD7170" w:rsidRPr="00815091" w:rsidRDefault="00FD7170" w:rsidP="00FD7170">
            <w:pPr>
              <w:spacing w:after="0" w:line="240" w:lineRule="auto"/>
              <w:jc w:val="center"/>
              <w:rPr>
                <w:rFonts w:ascii="Calibri" w:eastAsia="Times New Roman" w:hAnsi="Calibri" w:cs="Arial"/>
                <w:sz w:val="19"/>
                <w:szCs w:val="19"/>
              </w:rPr>
            </w:pPr>
          </w:p>
        </w:tc>
      </w:tr>
      <w:tr w:rsidR="00FD7170" w:rsidRPr="00815091" w14:paraId="237AC026" w14:textId="77777777" w:rsidTr="00815091">
        <w:trPr>
          <w:cantSplit/>
          <w:trHeight w:val="265"/>
          <w:tblHeader/>
        </w:trPr>
        <w:tc>
          <w:tcPr>
            <w:tcW w:w="2553" w:type="pct"/>
          </w:tcPr>
          <w:p w14:paraId="35ED7ABD" w14:textId="77777777" w:rsidR="00FD7170" w:rsidRPr="00815091" w:rsidRDefault="00FD7170" w:rsidP="00FD7170">
            <w:pPr>
              <w:tabs>
                <w:tab w:val="right" w:pos="1202"/>
              </w:tabs>
              <w:spacing w:after="0" w:line="301" w:lineRule="exact"/>
              <w:outlineLvl w:val="0"/>
              <w:rPr>
                <w:rFonts w:ascii="Calibri" w:eastAsia="Times New Roman" w:hAnsi="Calibri" w:cs="Arial"/>
                <w:b/>
                <w:bCs/>
                <w:sz w:val="19"/>
                <w:szCs w:val="19"/>
              </w:rPr>
            </w:pPr>
            <w:r w:rsidRPr="00815091">
              <w:rPr>
                <w:rFonts w:ascii="Calibri" w:eastAsia="Times New Roman" w:hAnsi="Calibri" w:cs="Arial"/>
                <w:b/>
                <w:bCs/>
                <w:sz w:val="19"/>
                <w:szCs w:val="19"/>
              </w:rPr>
              <w:t>Imovina</w:t>
            </w:r>
          </w:p>
        </w:tc>
        <w:tc>
          <w:tcPr>
            <w:tcW w:w="612" w:type="pct"/>
          </w:tcPr>
          <w:p w14:paraId="728A7F52" w14:textId="77777777" w:rsidR="00FD7170" w:rsidRPr="00815091" w:rsidRDefault="00FD7170" w:rsidP="00FD7170">
            <w:pPr>
              <w:spacing w:after="0" w:line="240" w:lineRule="auto"/>
              <w:jc w:val="right"/>
              <w:rPr>
                <w:rFonts w:ascii="Calibri" w:eastAsia="Times New Roman" w:hAnsi="Calibri" w:cs="Arial"/>
                <w:sz w:val="19"/>
                <w:szCs w:val="19"/>
              </w:rPr>
            </w:pPr>
          </w:p>
        </w:tc>
        <w:tc>
          <w:tcPr>
            <w:tcW w:w="612" w:type="pct"/>
          </w:tcPr>
          <w:p w14:paraId="464364C0" w14:textId="77777777" w:rsidR="00FD7170" w:rsidRPr="00815091" w:rsidRDefault="00FD7170" w:rsidP="00FD7170">
            <w:pPr>
              <w:spacing w:after="0" w:line="240" w:lineRule="auto"/>
              <w:jc w:val="right"/>
              <w:rPr>
                <w:rFonts w:ascii="Calibri" w:eastAsia="Times New Roman" w:hAnsi="Calibri" w:cs="Arial"/>
                <w:sz w:val="19"/>
                <w:szCs w:val="19"/>
              </w:rPr>
            </w:pPr>
          </w:p>
        </w:tc>
        <w:tc>
          <w:tcPr>
            <w:tcW w:w="612" w:type="pct"/>
          </w:tcPr>
          <w:p w14:paraId="227CEC40" w14:textId="77777777" w:rsidR="00FD7170" w:rsidRPr="00815091" w:rsidRDefault="00FD7170" w:rsidP="00FD7170">
            <w:pPr>
              <w:spacing w:after="0" w:line="240" w:lineRule="auto"/>
              <w:jc w:val="right"/>
              <w:rPr>
                <w:rFonts w:ascii="Calibri" w:eastAsia="Times New Roman" w:hAnsi="Calibri" w:cs="Arial"/>
                <w:sz w:val="19"/>
                <w:szCs w:val="19"/>
              </w:rPr>
            </w:pPr>
          </w:p>
        </w:tc>
        <w:tc>
          <w:tcPr>
            <w:tcW w:w="611" w:type="pct"/>
          </w:tcPr>
          <w:p w14:paraId="2D800634" w14:textId="77777777" w:rsidR="00FD7170" w:rsidRPr="00815091" w:rsidRDefault="00FD7170" w:rsidP="00FD7170">
            <w:pPr>
              <w:spacing w:after="0" w:line="240" w:lineRule="auto"/>
              <w:jc w:val="center"/>
              <w:rPr>
                <w:rFonts w:ascii="Calibri" w:eastAsia="Times New Roman" w:hAnsi="Calibri" w:cs="Arial"/>
                <w:sz w:val="19"/>
                <w:szCs w:val="19"/>
              </w:rPr>
            </w:pPr>
          </w:p>
        </w:tc>
      </w:tr>
      <w:tr w:rsidR="00FD7170" w:rsidRPr="00815091" w14:paraId="31166634" w14:textId="77777777" w:rsidTr="00815091">
        <w:trPr>
          <w:cantSplit/>
          <w:trHeight w:val="265"/>
          <w:tblHeader/>
        </w:trPr>
        <w:tc>
          <w:tcPr>
            <w:tcW w:w="2553" w:type="pct"/>
            <w:vAlign w:val="bottom"/>
          </w:tcPr>
          <w:p w14:paraId="372A41AE"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Novčana sredstva i računi kod banaka</w:t>
            </w:r>
          </w:p>
        </w:tc>
        <w:tc>
          <w:tcPr>
            <w:tcW w:w="612" w:type="pct"/>
            <w:tcBorders>
              <w:top w:val="nil"/>
              <w:left w:val="nil"/>
              <w:bottom w:val="nil"/>
              <w:right w:val="nil"/>
            </w:tcBorders>
            <w:shd w:val="clear" w:color="auto" w:fill="auto"/>
            <w:vAlign w:val="center"/>
          </w:tcPr>
          <w:p w14:paraId="6B267BD0"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188.322</w:t>
            </w:r>
          </w:p>
        </w:tc>
        <w:tc>
          <w:tcPr>
            <w:tcW w:w="612" w:type="pct"/>
            <w:tcBorders>
              <w:top w:val="nil"/>
              <w:left w:val="nil"/>
              <w:bottom w:val="nil"/>
              <w:right w:val="nil"/>
            </w:tcBorders>
            <w:shd w:val="clear" w:color="auto" w:fill="auto"/>
            <w:vAlign w:val="center"/>
          </w:tcPr>
          <w:p w14:paraId="3E68BEF8"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301.354</w:t>
            </w:r>
          </w:p>
        </w:tc>
        <w:tc>
          <w:tcPr>
            <w:tcW w:w="612" w:type="pct"/>
            <w:tcBorders>
              <w:top w:val="nil"/>
              <w:left w:val="nil"/>
              <w:bottom w:val="nil"/>
              <w:right w:val="nil"/>
            </w:tcBorders>
            <w:shd w:val="clear" w:color="auto" w:fill="auto"/>
            <w:vAlign w:val="center"/>
          </w:tcPr>
          <w:p w14:paraId="5372F2DB"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1.567</w:t>
            </w:r>
          </w:p>
        </w:tc>
        <w:tc>
          <w:tcPr>
            <w:tcW w:w="611" w:type="pct"/>
            <w:tcBorders>
              <w:top w:val="nil"/>
              <w:left w:val="nil"/>
              <w:bottom w:val="nil"/>
              <w:right w:val="nil"/>
            </w:tcBorders>
            <w:shd w:val="clear" w:color="auto" w:fill="auto"/>
            <w:vAlign w:val="center"/>
          </w:tcPr>
          <w:p w14:paraId="7BDB8F53"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491.243</w:t>
            </w:r>
          </w:p>
        </w:tc>
      </w:tr>
      <w:tr w:rsidR="00FD7170" w:rsidRPr="00815091" w14:paraId="577E74E8" w14:textId="77777777" w:rsidTr="00815091">
        <w:trPr>
          <w:cantSplit/>
          <w:trHeight w:val="265"/>
          <w:tblHeader/>
        </w:trPr>
        <w:tc>
          <w:tcPr>
            <w:tcW w:w="2553" w:type="pct"/>
            <w:vAlign w:val="bottom"/>
          </w:tcPr>
          <w:p w14:paraId="435BA6E4"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Depoziti kod drugih banaka</w:t>
            </w:r>
          </w:p>
        </w:tc>
        <w:tc>
          <w:tcPr>
            <w:tcW w:w="612" w:type="pct"/>
            <w:tcBorders>
              <w:top w:val="nil"/>
              <w:left w:val="nil"/>
              <w:bottom w:val="nil"/>
              <w:right w:val="nil"/>
            </w:tcBorders>
            <w:shd w:val="clear" w:color="auto" w:fill="auto"/>
            <w:vAlign w:val="center"/>
          </w:tcPr>
          <w:p w14:paraId="2E1E560A"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3.291</w:t>
            </w:r>
          </w:p>
        </w:tc>
        <w:tc>
          <w:tcPr>
            <w:tcW w:w="612" w:type="pct"/>
            <w:tcBorders>
              <w:top w:val="nil"/>
              <w:left w:val="nil"/>
              <w:bottom w:val="nil"/>
              <w:right w:val="nil"/>
            </w:tcBorders>
            <w:shd w:val="clear" w:color="auto" w:fill="auto"/>
            <w:vAlign w:val="center"/>
          </w:tcPr>
          <w:p w14:paraId="5CD795F9"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20.581</w:t>
            </w:r>
          </w:p>
        </w:tc>
        <w:tc>
          <w:tcPr>
            <w:tcW w:w="612" w:type="pct"/>
            <w:tcBorders>
              <w:top w:val="nil"/>
              <w:left w:val="nil"/>
              <w:bottom w:val="nil"/>
              <w:right w:val="nil"/>
            </w:tcBorders>
            <w:shd w:val="clear" w:color="auto" w:fill="auto"/>
            <w:vAlign w:val="center"/>
          </w:tcPr>
          <w:p w14:paraId="55A15137"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nil"/>
              <w:right w:val="nil"/>
            </w:tcBorders>
            <w:shd w:val="clear" w:color="auto" w:fill="auto"/>
            <w:vAlign w:val="center"/>
          </w:tcPr>
          <w:p w14:paraId="28B58A11"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23.872</w:t>
            </w:r>
          </w:p>
        </w:tc>
      </w:tr>
      <w:tr w:rsidR="00FD7170" w:rsidRPr="00815091" w14:paraId="461A2940" w14:textId="77777777" w:rsidTr="00815091">
        <w:trPr>
          <w:cantSplit/>
          <w:trHeight w:val="265"/>
          <w:tblHeader/>
        </w:trPr>
        <w:tc>
          <w:tcPr>
            <w:tcW w:w="2553" w:type="pct"/>
            <w:vAlign w:val="bottom"/>
          </w:tcPr>
          <w:p w14:paraId="2957D41B"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Krediti financijskim institucijama</w:t>
            </w:r>
          </w:p>
        </w:tc>
        <w:tc>
          <w:tcPr>
            <w:tcW w:w="612" w:type="pct"/>
            <w:tcBorders>
              <w:top w:val="nil"/>
              <w:left w:val="nil"/>
              <w:bottom w:val="nil"/>
              <w:right w:val="nil"/>
            </w:tcBorders>
            <w:shd w:val="clear" w:color="auto" w:fill="auto"/>
            <w:vAlign w:val="center"/>
          </w:tcPr>
          <w:p w14:paraId="2970D1E6"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11.889.111</w:t>
            </w:r>
          </w:p>
        </w:tc>
        <w:tc>
          <w:tcPr>
            <w:tcW w:w="612" w:type="pct"/>
            <w:tcBorders>
              <w:top w:val="nil"/>
              <w:left w:val="nil"/>
              <w:bottom w:val="nil"/>
              <w:right w:val="nil"/>
            </w:tcBorders>
            <w:shd w:val="clear" w:color="auto" w:fill="auto"/>
            <w:vAlign w:val="center"/>
          </w:tcPr>
          <w:p w14:paraId="68311FF8"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2" w:type="pct"/>
            <w:tcBorders>
              <w:top w:val="nil"/>
              <w:left w:val="nil"/>
              <w:bottom w:val="nil"/>
              <w:right w:val="nil"/>
            </w:tcBorders>
            <w:shd w:val="clear" w:color="auto" w:fill="auto"/>
            <w:vAlign w:val="center"/>
          </w:tcPr>
          <w:p w14:paraId="3FA46EDF"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nil"/>
              <w:right w:val="nil"/>
            </w:tcBorders>
            <w:shd w:val="clear" w:color="auto" w:fill="auto"/>
            <w:vAlign w:val="center"/>
          </w:tcPr>
          <w:p w14:paraId="223E2B91"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11.889.111</w:t>
            </w:r>
          </w:p>
        </w:tc>
      </w:tr>
      <w:tr w:rsidR="00FD7170" w:rsidRPr="00815091" w14:paraId="63B67B0C" w14:textId="77777777" w:rsidTr="00815091">
        <w:trPr>
          <w:cantSplit/>
          <w:trHeight w:val="265"/>
          <w:tblHeader/>
        </w:trPr>
        <w:tc>
          <w:tcPr>
            <w:tcW w:w="2553" w:type="pct"/>
            <w:vAlign w:val="bottom"/>
          </w:tcPr>
          <w:p w14:paraId="74AD5257"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Krediti ostalim korisnicima</w:t>
            </w:r>
          </w:p>
        </w:tc>
        <w:tc>
          <w:tcPr>
            <w:tcW w:w="612" w:type="pct"/>
            <w:tcBorders>
              <w:top w:val="nil"/>
              <w:left w:val="nil"/>
              <w:bottom w:val="nil"/>
              <w:right w:val="nil"/>
            </w:tcBorders>
            <w:shd w:val="clear" w:color="auto" w:fill="auto"/>
            <w:vAlign w:val="center"/>
          </w:tcPr>
          <w:p w14:paraId="383CC87F"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11.281.848</w:t>
            </w:r>
          </w:p>
        </w:tc>
        <w:tc>
          <w:tcPr>
            <w:tcW w:w="612" w:type="pct"/>
            <w:tcBorders>
              <w:top w:val="nil"/>
              <w:left w:val="nil"/>
              <w:bottom w:val="nil"/>
              <w:right w:val="nil"/>
            </w:tcBorders>
            <w:shd w:val="clear" w:color="auto" w:fill="auto"/>
            <w:vAlign w:val="center"/>
          </w:tcPr>
          <w:p w14:paraId="0EE47167"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2" w:type="pct"/>
            <w:tcBorders>
              <w:top w:val="nil"/>
              <w:left w:val="nil"/>
              <w:bottom w:val="nil"/>
              <w:right w:val="nil"/>
            </w:tcBorders>
            <w:shd w:val="clear" w:color="auto" w:fill="auto"/>
            <w:vAlign w:val="center"/>
          </w:tcPr>
          <w:p w14:paraId="6CDF37E9"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229.346</w:t>
            </w:r>
          </w:p>
        </w:tc>
        <w:tc>
          <w:tcPr>
            <w:tcW w:w="611" w:type="pct"/>
            <w:tcBorders>
              <w:top w:val="nil"/>
              <w:left w:val="nil"/>
              <w:bottom w:val="nil"/>
              <w:right w:val="nil"/>
            </w:tcBorders>
            <w:shd w:val="clear" w:color="auto" w:fill="auto"/>
            <w:vAlign w:val="center"/>
          </w:tcPr>
          <w:p w14:paraId="4A70C806"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11.511.194</w:t>
            </w:r>
          </w:p>
        </w:tc>
      </w:tr>
      <w:tr w:rsidR="00FD7170" w:rsidRPr="00815091" w14:paraId="4256E7F7" w14:textId="77777777" w:rsidTr="00815091">
        <w:trPr>
          <w:cantSplit/>
          <w:trHeight w:val="265"/>
          <w:tblHeader/>
        </w:trPr>
        <w:tc>
          <w:tcPr>
            <w:tcW w:w="2553" w:type="pct"/>
            <w:vAlign w:val="bottom"/>
          </w:tcPr>
          <w:p w14:paraId="6A9B78A3"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Financijska imovina po fer vrijednosti kroz izvještaj o dobiti i gubitku</w:t>
            </w:r>
          </w:p>
        </w:tc>
        <w:tc>
          <w:tcPr>
            <w:tcW w:w="612" w:type="pct"/>
            <w:tcBorders>
              <w:top w:val="nil"/>
              <w:left w:val="nil"/>
              <w:bottom w:val="nil"/>
              <w:right w:val="nil"/>
            </w:tcBorders>
            <w:shd w:val="clear" w:color="auto" w:fill="auto"/>
            <w:vAlign w:val="center"/>
          </w:tcPr>
          <w:p w14:paraId="696FFA07"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286</w:t>
            </w:r>
          </w:p>
        </w:tc>
        <w:tc>
          <w:tcPr>
            <w:tcW w:w="612" w:type="pct"/>
            <w:tcBorders>
              <w:top w:val="nil"/>
              <w:left w:val="nil"/>
              <w:bottom w:val="nil"/>
              <w:right w:val="nil"/>
            </w:tcBorders>
            <w:shd w:val="clear" w:color="auto" w:fill="auto"/>
            <w:vAlign w:val="center"/>
          </w:tcPr>
          <w:p w14:paraId="07D7BF34"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2" w:type="pct"/>
            <w:tcBorders>
              <w:top w:val="nil"/>
              <w:left w:val="nil"/>
              <w:bottom w:val="nil"/>
              <w:right w:val="nil"/>
            </w:tcBorders>
            <w:shd w:val="clear" w:color="auto" w:fill="auto"/>
            <w:vAlign w:val="center"/>
          </w:tcPr>
          <w:p w14:paraId="7ACEED80"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nil"/>
              <w:right w:val="nil"/>
            </w:tcBorders>
            <w:shd w:val="clear" w:color="auto" w:fill="auto"/>
            <w:vAlign w:val="center"/>
          </w:tcPr>
          <w:p w14:paraId="6F7A4FDE"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286</w:t>
            </w:r>
          </w:p>
        </w:tc>
      </w:tr>
      <w:tr w:rsidR="00FD7170" w:rsidRPr="00815091" w14:paraId="1571E897" w14:textId="77777777" w:rsidTr="00815091">
        <w:trPr>
          <w:cantSplit/>
          <w:trHeight w:val="265"/>
          <w:tblHeader/>
        </w:trPr>
        <w:tc>
          <w:tcPr>
            <w:tcW w:w="2553" w:type="pct"/>
            <w:vAlign w:val="bottom"/>
          </w:tcPr>
          <w:p w14:paraId="1B0DD35D"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Imovina raspoloživa za prodaju</w:t>
            </w:r>
          </w:p>
        </w:tc>
        <w:tc>
          <w:tcPr>
            <w:tcW w:w="612" w:type="pct"/>
            <w:tcBorders>
              <w:top w:val="nil"/>
              <w:left w:val="nil"/>
              <w:bottom w:val="nil"/>
              <w:right w:val="nil"/>
            </w:tcBorders>
            <w:shd w:val="clear" w:color="auto" w:fill="auto"/>
            <w:vAlign w:val="center"/>
          </w:tcPr>
          <w:p w14:paraId="7C724816"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3.353.086</w:t>
            </w:r>
          </w:p>
        </w:tc>
        <w:tc>
          <w:tcPr>
            <w:tcW w:w="612" w:type="pct"/>
            <w:tcBorders>
              <w:top w:val="nil"/>
              <w:left w:val="nil"/>
              <w:bottom w:val="nil"/>
              <w:right w:val="nil"/>
            </w:tcBorders>
            <w:shd w:val="clear" w:color="auto" w:fill="auto"/>
            <w:vAlign w:val="center"/>
          </w:tcPr>
          <w:p w14:paraId="474461C3"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2" w:type="pct"/>
            <w:tcBorders>
              <w:top w:val="nil"/>
              <w:left w:val="nil"/>
              <w:bottom w:val="nil"/>
              <w:right w:val="nil"/>
            </w:tcBorders>
            <w:shd w:val="clear" w:color="auto" w:fill="auto"/>
            <w:vAlign w:val="center"/>
          </w:tcPr>
          <w:p w14:paraId="256753BA"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nil"/>
              <w:right w:val="nil"/>
            </w:tcBorders>
            <w:shd w:val="clear" w:color="auto" w:fill="auto"/>
            <w:vAlign w:val="center"/>
          </w:tcPr>
          <w:p w14:paraId="0803D0E7"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3.353.086</w:t>
            </w:r>
          </w:p>
        </w:tc>
      </w:tr>
      <w:tr w:rsidR="00FD7170" w:rsidRPr="00815091" w14:paraId="085809D0" w14:textId="77777777" w:rsidTr="00815091">
        <w:trPr>
          <w:cantSplit/>
          <w:trHeight w:val="265"/>
          <w:tblHeader/>
        </w:trPr>
        <w:tc>
          <w:tcPr>
            <w:tcW w:w="2553" w:type="pct"/>
            <w:vAlign w:val="bottom"/>
          </w:tcPr>
          <w:p w14:paraId="4DF4A4F3"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Imovina koja se drži do dospijeća</w:t>
            </w:r>
          </w:p>
        </w:tc>
        <w:tc>
          <w:tcPr>
            <w:tcW w:w="612" w:type="pct"/>
            <w:tcBorders>
              <w:top w:val="nil"/>
              <w:left w:val="nil"/>
              <w:bottom w:val="nil"/>
              <w:right w:val="nil"/>
            </w:tcBorders>
            <w:shd w:val="clear" w:color="auto" w:fill="auto"/>
            <w:vAlign w:val="center"/>
          </w:tcPr>
          <w:p w14:paraId="3D68CBAE"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1.422</w:t>
            </w:r>
          </w:p>
        </w:tc>
        <w:tc>
          <w:tcPr>
            <w:tcW w:w="612" w:type="pct"/>
            <w:tcBorders>
              <w:top w:val="nil"/>
              <w:left w:val="nil"/>
              <w:bottom w:val="nil"/>
              <w:right w:val="nil"/>
            </w:tcBorders>
            <w:shd w:val="clear" w:color="auto" w:fill="auto"/>
            <w:vAlign w:val="center"/>
          </w:tcPr>
          <w:p w14:paraId="785A9E09"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2" w:type="pct"/>
            <w:tcBorders>
              <w:top w:val="nil"/>
              <w:left w:val="nil"/>
              <w:bottom w:val="nil"/>
              <w:right w:val="nil"/>
            </w:tcBorders>
            <w:shd w:val="clear" w:color="auto" w:fill="auto"/>
            <w:vAlign w:val="center"/>
          </w:tcPr>
          <w:p w14:paraId="476DB894"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nil"/>
              <w:right w:val="nil"/>
            </w:tcBorders>
            <w:shd w:val="clear" w:color="auto" w:fill="auto"/>
            <w:vAlign w:val="center"/>
          </w:tcPr>
          <w:p w14:paraId="574EE29A"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1.422</w:t>
            </w:r>
          </w:p>
        </w:tc>
      </w:tr>
      <w:tr w:rsidR="00FD7170" w:rsidRPr="00815091" w14:paraId="35621ECA" w14:textId="77777777" w:rsidTr="00815091">
        <w:trPr>
          <w:cantSplit/>
          <w:trHeight w:val="265"/>
          <w:tblHeader/>
        </w:trPr>
        <w:tc>
          <w:tcPr>
            <w:tcW w:w="2553" w:type="pct"/>
            <w:vAlign w:val="bottom"/>
          </w:tcPr>
          <w:p w14:paraId="347D1833"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Ostala imovina</w:t>
            </w:r>
          </w:p>
        </w:tc>
        <w:tc>
          <w:tcPr>
            <w:tcW w:w="612" w:type="pct"/>
            <w:tcBorders>
              <w:top w:val="nil"/>
              <w:left w:val="nil"/>
              <w:bottom w:val="single" w:sz="4" w:space="0" w:color="auto"/>
              <w:right w:val="nil"/>
            </w:tcBorders>
            <w:shd w:val="clear" w:color="auto" w:fill="auto"/>
            <w:vAlign w:val="center"/>
          </w:tcPr>
          <w:p w14:paraId="3E1639BD"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5.644</w:t>
            </w:r>
          </w:p>
        </w:tc>
        <w:tc>
          <w:tcPr>
            <w:tcW w:w="612" w:type="pct"/>
            <w:tcBorders>
              <w:top w:val="nil"/>
              <w:left w:val="nil"/>
              <w:bottom w:val="single" w:sz="4" w:space="0" w:color="auto"/>
              <w:right w:val="nil"/>
            </w:tcBorders>
            <w:shd w:val="clear" w:color="auto" w:fill="auto"/>
            <w:vAlign w:val="center"/>
          </w:tcPr>
          <w:p w14:paraId="75B1DFFF"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605</w:t>
            </w:r>
          </w:p>
        </w:tc>
        <w:tc>
          <w:tcPr>
            <w:tcW w:w="612" w:type="pct"/>
            <w:tcBorders>
              <w:top w:val="nil"/>
              <w:left w:val="nil"/>
              <w:bottom w:val="single" w:sz="4" w:space="0" w:color="auto"/>
              <w:right w:val="nil"/>
            </w:tcBorders>
            <w:shd w:val="clear" w:color="auto" w:fill="auto"/>
            <w:vAlign w:val="center"/>
          </w:tcPr>
          <w:p w14:paraId="43EB3FC2"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single" w:sz="4" w:space="0" w:color="auto"/>
              <w:right w:val="nil"/>
            </w:tcBorders>
            <w:shd w:val="clear" w:color="auto" w:fill="auto"/>
            <w:vAlign w:val="center"/>
          </w:tcPr>
          <w:p w14:paraId="32F9D4B6"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6.249</w:t>
            </w:r>
          </w:p>
        </w:tc>
      </w:tr>
      <w:tr w:rsidR="00FD7170" w:rsidRPr="00815091" w14:paraId="5D50D083" w14:textId="77777777" w:rsidTr="00815091">
        <w:trPr>
          <w:cantSplit/>
          <w:trHeight w:val="315"/>
          <w:tblHeader/>
        </w:trPr>
        <w:tc>
          <w:tcPr>
            <w:tcW w:w="2553" w:type="pct"/>
            <w:vAlign w:val="bottom"/>
          </w:tcPr>
          <w:p w14:paraId="1043E89A" w14:textId="77777777" w:rsidR="00FD7170" w:rsidRPr="00815091" w:rsidRDefault="00FD7170" w:rsidP="00FD7170">
            <w:pPr>
              <w:tabs>
                <w:tab w:val="right" w:pos="1202"/>
              </w:tabs>
              <w:spacing w:after="0" w:line="301" w:lineRule="exact"/>
              <w:outlineLvl w:val="0"/>
              <w:rPr>
                <w:rFonts w:ascii="Calibri" w:eastAsia="Times New Roman" w:hAnsi="Calibri" w:cs="Times New Roman"/>
                <w:b/>
                <w:bCs/>
                <w:sz w:val="19"/>
                <w:szCs w:val="19"/>
              </w:rPr>
            </w:pPr>
            <w:r w:rsidRPr="00815091">
              <w:rPr>
                <w:rFonts w:ascii="Calibri" w:eastAsia="Times New Roman" w:hAnsi="Calibri" w:cs="Times New Roman"/>
                <w:b/>
                <w:bCs/>
                <w:sz w:val="19"/>
                <w:szCs w:val="19"/>
              </w:rPr>
              <w:t xml:space="preserve">Ukupno </w:t>
            </w:r>
          </w:p>
        </w:tc>
        <w:tc>
          <w:tcPr>
            <w:tcW w:w="612" w:type="pct"/>
            <w:tcBorders>
              <w:top w:val="nil"/>
              <w:left w:val="nil"/>
              <w:bottom w:val="single" w:sz="8" w:space="0" w:color="auto"/>
              <w:right w:val="nil"/>
            </w:tcBorders>
            <w:shd w:val="clear" w:color="auto" w:fill="auto"/>
            <w:vAlign w:val="center"/>
          </w:tcPr>
          <w:p w14:paraId="183F1EC9" w14:textId="77777777" w:rsidR="00FD7170" w:rsidRPr="00815091" w:rsidRDefault="00FD7170" w:rsidP="00FD7170">
            <w:pPr>
              <w:tabs>
                <w:tab w:val="right" w:pos="1202"/>
              </w:tabs>
              <w:spacing w:after="0" w:line="301" w:lineRule="exact"/>
              <w:jc w:val="right"/>
              <w:outlineLvl w:val="0"/>
              <w:rPr>
                <w:rFonts w:ascii="Calibri" w:eastAsia="Times New Roman" w:hAnsi="Calibri" w:cs="Arial"/>
                <w:b/>
                <w:sz w:val="19"/>
                <w:szCs w:val="19"/>
              </w:rPr>
            </w:pPr>
            <w:r w:rsidRPr="00815091">
              <w:rPr>
                <w:rFonts w:ascii="Calibri" w:eastAsia="Times New Roman" w:hAnsi="Calibri" w:cs="Arial"/>
                <w:b/>
                <w:bCs/>
                <w:sz w:val="19"/>
                <w:szCs w:val="19"/>
                <w:lang w:val="en-US"/>
              </w:rPr>
              <w:t>26.723.010</w:t>
            </w:r>
          </w:p>
        </w:tc>
        <w:tc>
          <w:tcPr>
            <w:tcW w:w="612" w:type="pct"/>
            <w:tcBorders>
              <w:top w:val="nil"/>
              <w:left w:val="nil"/>
              <w:bottom w:val="single" w:sz="8" w:space="0" w:color="auto"/>
              <w:right w:val="nil"/>
            </w:tcBorders>
            <w:shd w:val="clear" w:color="auto" w:fill="auto"/>
            <w:vAlign w:val="center"/>
          </w:tcPr>
          <w:p w14:paraId="488CB965" w14:textId="77777777" w:rsidR="00FD7170" w:rsidRPr="00815091" w:rsidRDefault="00FD7170" w:rsidP="00FD7170">
            <w:pPr>
              <w:tabs>
                <w:tab w:val="right" w:pos="1202"/>
              </w:tabs>
              <w:spacing w:after="0" w:line="301" w:lineRule="exact"/>
              <w:jc w:val="right"/>
              <w:outlineLvl w:val="0"/>
              <w:rPr>
                <w:rFonts w:ascii="Calibri" w:eastAsia="Times New Roman" w:hAnsi="Calibri" w:cs="Arial"/>
                <w:b/>
                <w:sz w:val="19"/>
                <w:szCs w:val="19"/>
              </w:rPr>
            </w:pPr>
            <w:r w:rsidRPr="00815091">
              <w:rPr>
                <w:rFonts w:ascii="Calibri" w:eastAsia="Times New Roman" w:hAnsi="Calibri" w:cs="Arial"/>
                <w:b/>
                <w:bCs/>
                <w:sz w:val="19"/>
                <w:szCs w:val="19"/>
                <w:lang w:val="en-US"/>
              </w:rPr>
              <w:t>322.540</w:t>
            </w:r>
          </w:p>
        </w:tc>
        <w:tc>
          <w:tcPr>
            <w:tcW w:w="612" w:type="pct"/>
            <w:tcBorders>
              <w:top w:val="nil"/>
              <w:left w:val="nil"/>
              <w:bottom w:val="single" w:sz="8" w:space="0" w:color="auto"/>
              <w:right w:val="nil"/>
            </w:tcBorders>
            <w:shd w:val="clear" w:color="auto" w:fill="auto"/>
            <w:vAlign w:val="center"/>
          </w:tcPr>
          <w:p w14:paraId="59B13041" w14:textId="77777777" w:rsidR="00FD7170" w:rsidRPr="00815091" w:rsidRDefault="00FD7170" w:rsidP="00FD7170">
            <w:pPr>
              <w:tabs>
                <w:tab w:val="right" w:pos="1202"/>
              </w:tabs>
              <w:spacing w:after="0" w:line="301" w:lineRule="exact"/>
              <w:jc w:val="right"/>
              <w:outlineLvl w:val="0"/>
              <w:rPr>
                <w:rFonts w:ascii="Calibri" w:eastAsia="Times New Roman" w:hAnsi="Calibri" w:cs="Arial"/>
                <w:b/>
                <w:sz w:val="19"/>
                <w:szCs w:val="19"/>
              </w:rPr>
            </w:pPr>
            <w:r w:rsidRPr="00815091">
              <w:rPr>
                <w:rFonts w:ascii="Calibri" w:eastAsia="Times New Roman" w:hAnsi="Calibri" w:cs="Arial"/>
                <w:b/>
                <w:bCs/>
                <w:sz w:val="19"/>
                <w:szCs w:val="19"/>
                <w:lang w:val="en-US"/>
              </w:rPr>
              <w:t>230.913</w:t>
            </w:r>
          </w:p>
        </w:tc>
        <w:tc>
          <w:tcPr>
            <w:tcW w:w="611" w:type="pct"/>
            <w:tcBorders>
              <w:top w:val="nil"/>
              <w:left w:val="nil"/>
              <w:bottom w:val="single" w:sz="8" w:space="0" w:color="auto"/>
              <w:right w:val="nil"/>
            </w:tcBorders>
            <w:shd w:val="clear" w:color="auto" w:fill="auto"/>
            <w:vAlign w:val="center"/>
          </w:tcPr>
          <w:p w14:paraId="7D952246" w14:textId="77777777" w:rsidR="00FD7170" w:rsidRPr="00815091" w:rsidRDefault="00FD7170" w:rsidP="00FD7170">
            <w:pPr>
              <w:tabs>
                <w:tab w:val="right" w:pos="1202"/>
              </w:tabs>
              <w:spacing w:after="0" w:line="301" w:lineRule="exact"/>
              <w:jc w:val="right"/>
              <w:outlineLvl w:val="0"/>
              <w:rPr>
                <w:rFonts w:ascii="Calibri" w:eastAsia="Times New Roman" w:hAnsi="Calibri" w:cs="Arial"/>
                <w:b/>
                <w:sz w:val="19"/>
                <w:szCs w:val="19"/>
              </w:rPr>
            </w:pPr>
            <w:r w:rsidRPr="00815091">
              <w:rPr>
                <w:rFonts w:ascii="Calibri" w:eastAsia="Times New Roman" w:hAnsi="Calibri" w:cs="Arial"/>
                <w:b/>
                <w:bCs/>
                <w:sz w:val="19"/>
                <w:szCs w:val="19"/>
                <w:lang w:val="en-US"/>
              </w:rPr>
              <w:t>27.276.463</w:t>
            </w:r>
          </w:p>
        </w:tc>
      </w:tr>
      <w:tr w:rsidR="00FD7170" w:rsidRPr="00815091" w14:paraId="1F31D367" w14:textId="77777777" w:rsidTr="00815091">
        <w:tblPrEx>
          <w:tblCellMar>
            <w:left w:w="31" w:type="dxa"/>
            <w:right w:w="31" w:type="dxa"/>
          </w:tblCellMar>
        </w:tblPrEx>
        <w:trPr>
          <w:cantSplit/>
          <w:trHeight w:val="265"/>
          <w:tblHeader/>
        </w:trPr>
        <w:tc>
          <w:tcPr>
            <w:tcW w:w="2553" w:type="pct"/>
            <w:vAlign w:val="bottom"/>
          </w:tcPr>
          <w:p w14:paraId="005C1FD0" w14:textId="77777777" w:rsidR="00FD7170" w:rsidRPr="00815091" w:rsidRDefault="00FD7170" w:rsidP="00FD7170">
            <w:pPr>
              <w:tabs>
                <w:tab w:val="right" w:pos="1202"/>
              </w:tabs>
              <w:spacing w:after="0" w:line="301" w:lineRule="exact"/>
              <w:outlineLvl w:val="0"/>
              <w:rPr>
                <w:rFonts w:ascii="Calibri" w:eastAsia="Times New Roman" w:hAnsi="Calibri" w:cs="Times New Roman"/>
                <w:b/>
                <w:bCs/>
                <w:sz w:val="19"/>
                <w:szCs w:val="19"/>
              </w:rPr>
            </w:pPr>
          </w:p>
        </w:tc>
        <w:tc>
          <w:tcPr>
            <w:tcW w:w="612" w:type="pct"/>
            <w:tcBorders>
              <w:top w:val="single" w:sz="12" w:space="0" w:color="auto"/>
            </w:tcBorders>
            <w:vAlign w:val="bottom"/>
          </w:tcPr>
          <w:p w14:paraId="693D2974"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p>
        </w:tc>
        <w:tc>
          <w:tcPr>
            <w:tcW w:w="612" w:type="pct"/>
            <w:tcBorders>
              <w:top w:val="single" w:sz="12" w:space="0" w:color="auto"/>
            </w:tcBorders>
            <w:vAlign w:val="bottom"/>
          </w:tcPr>
          <w:p w14:paraId="6A6C3E80"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p>
        </w:tc>
        <w:tc>
          <w:tcPr>
            <w:tcW w:w="612" w:type="pct"/>
            <w:tcBorders>
              <w:top w:val="single" w:sz="12" w:space="0" w:color="auto"/>
            </w:tcBorders>
            <w:vAlign w:val="bottom"/>
          </w:tcPr>
          <w:p w14:paraId="55A6AA49"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p>
        </w:tc>
        <w:tc>
          <w:tcPr>
            <w:tcW w:w="611" w:type="pct"/>
            <w:tcBorders>
              <w:top w:val="single" w:sz="12" w:space="0" w:color="auto"/>
            </w:tcBorders>
            <w:vAlign w:val="bottom"/>
          </w:tcPr>
          <w:p w14:paraId="75DFA109"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p>
        </w:tc>
      </w:tr>
      <w:tr w:rsidR="00FD7170" w:rsidRPr="00815091" w14:paraId="694A099D" w14:textId="77777777" w:rsidTr="00815091">
        <w:tblPrEx>
          <w:tblCellMar>
            <w:left w:w="31" w:type="dxa"/>
            <w:right w:w="31" w:type="dxa"/>
          </w:tblCellMar>
        </w:tblPrEx>
        <w:trPr>
          <w:cantSplit/>
          <w:trHeight w:val="265"/>
          <w:tblHeader/>
        </w:trPr>
        <w:tc>
          <w:tcPr>
            <w:tcW w:w="2553" w:type="pct"/>
          </w:tcPr>
          <w:p w14:paraId="5587D715" w14:textId="77777777" w:rsidR="00FD7170" w:rsidRPr="00815091" w:rsidRDefault="00FD7170" w:rsidP="00FD7170">
            <w:pPr>
              <w:tabs>
                <w:tab w:val="right" w:pos="1202"/>
              </w:tabs>
              <w:spacing w:after="0" w:line="301" w:lineRule="exact"/>
              <w:outlineLvl w:val="0"/>
              <w:rPr>
                <w:rFonts w:ascii="Calibri" w:eastAsia="Times New Roman" w:hAnsi="Calibri" w:cs="Times New Roman"/>
                <w:b/>
                <w:bCs/>
                <w:sz w:val="19"/>
                <w:szCs w:val="19"/>
              </w:rPr>
            </w:pPr>
            <w:r w:rsidRPr="00815091">
              <w:rPr>
                <w:rFonts w:ascii="Calibri" w:eastAsia="Times New Roman" w:hAnsi="Calibri" w:cs="Arial"/>
                <w:b/>
                <w:bCs/>
                <w:sz w:val="19"/>
                <w:szCs w:val="19"/>
              </w:rPr>
              <w:t>Garancije i preuzete obveze</w:t>
            </w:r>
          </w:p>
        </w:tc>
        <w:tc>
          <w:tcPr>
            <w:tcW w:w="612" w:type="pct"/>
            <w:vAlign w:val="bottom"/>
          </w:tcPr>
          <w:p w14:paraId="5753111A"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p>
        </w:tc>
        <w:tc>
          <w:tcPr>
            <w:tcW w:w="612" w:type="pct"/>
            <w:vAlign w:val="bottom"/>
          </w:tcPr>
          <w:p w14:paraId="28C3EF6F"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p>
        </w:tc>
        <w:tc>
          <w:tcPr>
            <w:tcW w:w="612" w:type="pct"/>
            <w:vAlign w:val="bottom"/>
          </w:tcPr>
          <w:p w14:paraId="7FC538C2"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p>
        </w:tc>
        <w:tc>
          <w:tcPr>
            <w:tcW w:w="611" w:type="pct"/>
            <w:vAlign w:val="bottom"/>
          </w:tcPr>
          <w:p w14:paraId="4C1F5699"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p>
        </w:tc>
      </w:tr>
      <w:tr w:rsidR="00FD7170" w:rsidRPr="00815091" w14:paraId="661E3850" w14:textId="77777777" w:rsidTr="00815091">
        <w:tblPrEx>
          <w:tblCellMar>
            <w:left w:w="31" w:type="dxa"/>
            <w:right w:w="31" w:type="dxa"/>
          </w:tblCellMar>
        </w:tblPrEx>
        <w:trPr>
          <w:cantSplit/>
          <w:trHeight w:val="265"/>
          <w:tblHeader/>
        </w:trPr>
        <w:tc>
          <w:tcPr>
            <w:tcW w:w="2553" w:type="pct"/>
          </w:tcPr>
          <w:p w14:paraId="585FCAAA" w14:textId="77777777" w:rsidR="00FD7170" w:rsidRPr="00815091" w:rsidRDefault="00FD7170" w:rsidP="00FD7170">
            <w:pPr>
              <w:tabs>
                <w:tab w:val="right" w:pos="1202"/>
              </w:tabs>
              <w:spacing w:after="0" w:line="301" w:lineRule="exact"/>
              <w:outlineLvl w:val="0"/>
              <w:rPr>
                <w:rFonts w:ascii="Calibri" w:eastAsia="Times New Roman" w:hAnsi="Calibri" w:cs="Arial"/>
                <w:b/>
                <w:bCs/>
                <w:sz w:val="19"/>
                <w:szCs w:val="19"/>
              </w:rPr>
            </w:pPr>
            <w:r w:rsidRPr="00815091">
              <w:rPr>
                <w:rFonts w:ascii="Calibri" w:eastAsia="Times New Roman" w:hAnsi="Calibri" w:cs="Arial"/>
                <w:sz w:val="19"/>
                <w:szCs w:val="19"/>
              </w:rPr>
              <w:t>Izdane garancije u kunama</w:t>
            </w:r>
          </w:p>
        </w:tc>
        <w:tc>
          <w:tcPr>
            <w:tcW w:w="612" w:type="pct"/>
            <w:tcBorders>
              <w:top w:val="nil"/>
              <w:left w:val="nil"/>
              <w:bottom w:val="nil"/>
              <w:right w:val="nil"/>
            </w:tcBorders>
            <w:shd w:val="clear" w:color="auto" w:fill="auto"/>
            <w:vAlign w:val="center"/>
          </w:tcPr>
          <w:p w14:paraId="6DEEB48C"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31.480</w:t>
            </w:r>
          </w:p>
        </w:tc>
        <w:tc>
          <w:tcPr>
            <w:tcW w:w="612" w:type="pct"/>
            <w:tcBorders>
              <w:top w:val="nil"/>
              <w:left w:val="nil"/>
              <w:bottom w:val="nil"/>
              <w:right w:val="nil"/>
            </w:tcBorders>
            <w:shd w:val="clear" w:color="auto" w:fill="auto"/>
            <w:vAlign w:val="center"/>
          </w:tcPr>
          <w:p w14:paraId="79914210"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602</w:t>
            </w:r>
          </w:p>
        </w:tc>
        <w:tc>
          <w:tcPr>
            <w:tcW w:w="612" w:type="pct"/>
            <w:tcBorders>
              <w:top w:val="nil"/>
              <w:left w:val="nil"/>
              <w:bottom w:val="nil"/>
              <w:right w:val="nil"/>
            </w:tcBorders>
            <w:shd w:val="clear" w:color="auto" w:fill="auto"/>
            <w:vAlign w:val="center"/>
          </w:tcPr>
          <w:p w14:paraId="54A04C88"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nil"/>
              <w:right w:val="nil"/>
            </w:tcBorders>
            <w:shd w:val="clear" w:color="auto" w:fill="auto"/>
            <w:vAlign w:val="center"/>
          </w:tcPr>
          <w:p w14:paraId="24A4ECD4"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32.082</w:t>
            </w:r>
          </w:p>
        </w:tc>
      </w:tr>
      <w:tr w:rsidR="00FD7170" w:rsidRPr="00815091" w14:paraId="6204D06D" w14:textId="77777777" w:rsidTr="00815091">
        <w:tblPrEx>
          <w:tblCellMar>
            <w:left w:w="31" w:type="dxa"/>
            <w:right w:w="31" w:type="dxa"/>
          </w:tblCellMar>
        </w:tblPrEx>
        <w:trPr>
          <w:cantSplit/>
          <w:trHeight w:val="265"/>
          <w:tblHeader/>
        </w:trPr>
        <w:tc>
          <w:tcPr>
            <w:tcW w:w="2553" w:type="pct"/>
            <w:vAlign w:val="bottom"/>
          </w:tcPr>
          <w:p w14:paraId="306330DA"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Izdane garancije u devizama</w:t>
            </w:r>
          </w:p>
        </w:tc>
        <w:tc>
          <w:tcPr>
            <w:tcW w:w="612" w:type="pct"/>
            <w:tcBorders>
              <w:top w:val="nil"/>
              <w:left w:val="nil"/>
              <w:bottom w:val="nil"/>
              <w:right w:val="nil"/>
            </w:tcBorders>
            <w:shd w:val="clear" w:color="auto" w:fill="auto"/>
            <w:vAlign w:val="center"/>
          </w:tcPr>
          <w:p w14:paraId="6855E23A"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1.982.969</w:t>
            </w:r>
          </w:p>
        </w:tc>
        <w:tc>
          <w:tcPr>
            <w:tcW w:w="612" w:type="pct"/>
            <w:tcBorders>
              <w:top w:val="nil"/>
              <w:left w:val="nil"/>
              <w:bottom w:val="nil"/>
              <w:right w:val="nil"/>
            </w:tcBorders>
            <w:shd w:val="clear" w:color="auto" w:fill="auto"/>
            <w:vAlign w:val="center"/>
          </w:tcPr>
          <w:p w14:paraId="41D4AC67"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2" w:type="pct"/>
            <w:tcBorders>
              <w:top w:val="nil"/>
              <w:left w:val="nil"/>
              <w:bottom w:val="nil"/>
              <w:right w:val="nil"/>
            </w:tcBorders>
            <w:shd w:val="clear" w:color="auto" w:fill="auto"/>
            <w:vAlign w:val="center"/>
          </w:tcPr>
          <w:p w14:paraId="16E6C363"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nil"/>
              <w:right w:val="nil"/>
            </w:tcBorders>
            <w:shd w:val="clear" w:color="auto" w:fill="auto"/>
            <w:vAlign w:val="center"/>
          </w:tcPr>
          <w:p w14:paraId="2DE269E2"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1.982.969</w:t>
            </w:r>
          </w:p>
        </w:tc>
      </w:tr>
      <w:tr w:rsidR="00FD7170" w:rsidRPr="00815091" w14:paraId="315B1C6F" w14:textId="77777777" w:rsidTr="00815091">
        <w:tblPrEx>
          <w:tblCellMar>
            <w:left w:w="31" w:type="dxa"/>
            <w:right w:w="31" w:type="dxa"/>
          </w:tblCellMar>
        </w:tblPrEx>
        <w:trPr>
          <w:cantSplit/>
          <w:trHeight w:val="265"/>
          <w:tblHeader/>
        </w:trPr>
        <w:tc>
          <w:tcPr>
            <w:tcW w:w="2553" w:type="pct"/>
            <w:vAlign w:val="bottom"/>
          </w:tcPr>
          <w:p w14:paraId="6DBCD0D1"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Preuzete obveze po kreditima</w:t>
            </w:r>
          </w:p>
        </w:tc>
        <w:tc>
          <w:tcPr>
            <w:tcW w:w="612" w:type="pct"/>
            <w:tcBorders>
              <w:top w:val="nil"/>
              <w:left w:val="nil"/>
              <w:bottom w:val="nil"/>
              <w:right w:val="nil"/>
            </w:tcBorders>
            <w:shd w:val="clear" w:color="auto" w:fill="auto"/>
            <w:vAlign w:val="center"/>
          </w:tcPr>
          <w:p w14:paraId="7FA3DF5A"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3.928.177</w:t>
            </w:r>
          </w:p>
        </w:tc>
        <w:tc>
          <w:tcPr>
            <w:tcW w:w="612" w:type="pct"/>
            <w:tcBorders>
              <w:top w:val="nil"/>
              <w:left w:val="nil"/>
              <w:bottom w:val="nil"/>
              <w:right w:val="nil"/>
            </w:tcBorders>
            <w:shd w:val="clear" w:color="auto" w:fill="auto"/>
            <w:vAlign w:val="center"/>
          </w:tcPr>
          <w:p w14:paraId="4CBC8298"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2" w:type="pct"/>
            <w:tcBorders>
              <w:top w:val="nil"/>
              <w:left w:val="nil"/>
              <w:bottom w:val="nil"/>
              <w:right w:val="nil"/>
            </w:tcBorders>
            <w:shd w:val="clear" w:color="auto" w:fill="auto"/>
            <w:vAlign w:val="center"/>
          </w:tcPr>
          <w:p w14:paraId="76EAE7A5"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nil"/>
              <w:right w:val="nil"/>
            </w:tcBorders>
            <w:shd w:val="clear" w:color="auto" w:fill="auto"/>
            <w:vAlign w:val="center"/>
          </w:tcPr>
          <w:p w14:paraId="2CC58A65"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3.928.177</w:t>
            </w:r>
          </w:p>
        </w:tc>
      </w:tr>
      <w:tr w:rsidR="00FD7170" w:rsidRPr="00815091" w14:paraId="4CEA7F34" w14:textId="77777777" w:rsidTr="00815091">
        <w:tblPrEx>
          <w:tblCellMar>
            <w:left w:w="31" w:type="dxa"/>
            <w:right w:w="31" w:type="dxa"/>
          </w:tblCellMar>
        </w:tblPrEx>
        <w:trPr>
          <w:cantSplit/>
          <w:trHeight w:val="265"/>
          <w:tblHeader/>
        </w:trPr>
        <w:tc>
          <w:tcPr>
            <w:tcW w:w="2553" w:type="pct"/>
            <w:vAlign w:val="bottom"/>
          </w:tcPr>
          <w:p w14:paraId="0F5E9CB4"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r w:rsidRPr="00815091">
              <w:rPr>
                <w:rFonts w:ascii="Calibri" w:eastAsia="Times New Roman" w:hAnsi="Calibri" w:cs="Times New Roman"/>
                <w:sz w:val="19"/>
                <w:szCs w:val="19"/>
              </w:rPr>
              <w:t>Ostale nespomenute neopozive potencijalne obveze</w:t>
            </w:r>
          </w:p>
        </w:tc>
        <w:tc>
          <w:tcPr>
            <w:tcW w:w="612" w:type="pct"/>
            <w:tcBorders>
              <w:top w:val="nil"/>
              <w:left w:val="nil"/>
              <w:bottom w:val="single" w:sz="4" w:space="0" w:color="auto"/>
              <w:right w:val="nil"/>
            </w:tcBorders>
            <w:shd w:val="clear" w:color="auto" w:fill="auto"/>
            <w:vAlign w:val="center"/>
          </w:tcPr>
          <w:p w14:paraId="3BAE58B8"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335</w:t>
            </w:r>
          </w:p>
        </w:tc>
        <w:tc>
          <w:tcPr>
            <w:tcW w:w="612" w:type="pct"/>
            <w:tcBorders>
              <w:top w:val="nil"/>
              <w:left w:val="nil"/>
              <w:bottom w:val="single" w:sz="4" w:space="0" w:color="auto"/>
              <w:right w:val="nil"/>
            </w:tcBorders>
            <w:shd w:val="clear" w:color="auto" w:fill="auto"/>
            <w:vAlign w:val="center"/>
          </w:tcPr>
          <w:p w14:paraId="2A8E4E95"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2" w:type="pct"/>
            <w:tcBorders>
              <w:top w:val="nil"/>
              <w:left w:val="nil"/>
              <w:bottom w:val="single" w:sz="4" w:space="0" w:color="auto"/>
              <w:right w:val="nil"/>
            </w:tcBorders>
            <w:shd w:val="clear" w:color="auto" w:fill="auto"/>
            <w:vAlign w:val="center"/>
          </w:tcPr>
          <w:p w14:paraId="30696566"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w:t>
            </w:r>
          </w:p>
        </w:tc>
        <w:tc>
          <w:tcPr>
            <w:tcW w:w="611" w:type="pct"/>
            <w:tcBorders>
              <w:top w:val="nil"/>
              <w:left w:val="nil"/>
              <w:bottom w:val="single" w:sz="4" w:space="0" w:color="auto"/>
              <w:right w:val="nil"/>
            </w:tcBorders>
            <w:shd w:val="clear" w:color="auto" w:fill="auto"/>
            <w:vAlign w:val="center"/>
          </w:tcPr>
          <w:p w14:paraId="5663C788"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sz w:val="19"/>
                <w:szCs w:val="19"/>
                <w:lang w:val="en-US"/>
              </w:rPr>
              <w:t>335</w:t>
            </w:r>
          </w:p>
        </w:tc>
      </w:tr>
      <w:tr w:rsidR="00FD7170" w:rsidRPr="00815091" w14:paraId="7CECA5BF" w14:textId="77777777" w:rsidTr="00815091">
        <w:tblPrEx>
          <w:tblCellMar>
            <w:left w:w="31" w:type="dxa"/>
            <w:right w:w="31" w:type="dxa"/>
          </w:tblCellMar>
        </w:tblPrEx>
        <w:trPr>
          <w:cantSplit/>
          <w:trHeight w:val="393"/>
          <w:tblHeader/>
        </w:trPr>
        <w:tc>
          <w:tcPr>
            <w:tcW w:w="2553" w:type="pct"/>
            <w:vAlign w:val="bottom"/>
          </w:tcPr>
          <w:p w14:paraId="5B1EBCB7"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r w:rsidRPr="00815091">
              <w:rPr>
                <w:rFonts w:ascii="Calibri" w:eastAsia="Times New Roman" w:hAnsi="Calibri" w:cs="Times New Roman"/>
                <w:b/>
                <w:bCs/>
                <w:sz w:val="19"/>
                <w:szCs w:val="19"/>
              </w:rPr>
              <w:t>Ukupno</w:t>
            </w:r>
          </w:p>
        </w:tc>
        <w:tc>
          <w:tcPr>
            <w:tcW w:w="612" w:type="pct"/>
            <w:tcBorders>
              <w:top w:val="single" w:sz="4" w:space="0" w:color="auto"/>
              <w:left w:val="nil"/>
              <w:bottom w:val="single" w:sz="12" w:space="0" w:color="auto"/>
              <w:right w:val="nil"/>
            </w:tcBorders>
            <w:shd w:val="clear" w:color="auto" w:fill="auto"/>
            <w:vAlign w:val="center"/>
          </w:tcPr>
          <w:p w14:paraId="453A959E"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b/>
                <w:bCs/>
                <w:sz w:val="19"/>
                <w:szCs w:val="19"/>
                <w:lang w:val="en-US"/>
              </w:rPr>
              <w:t>5.942.961</w:t>
            </w:r>
          </w:p>
        </w:tc>
        <w:tc>
          <w:tcPr>
            <w:tcW w:w="612" w:type="pct"/>
            <w:tcBorders>
              <w:top w:val="single" w:sz="4" w:space="0" w:color="auto"/>
              <w:left w:val="nil"/>
              <w:bottom w:val="single" w:sz="12" w:space="0" w:color="auto"/>
              <w:right w:val="nil"/>
            </w:tcBorders>
            <w:shd w:val="clear" w:color="auto" w:fill="auto"/>
            <w:vAlign w:val="center"/>
          </w:tcPr>
          <w:p w14:paraId="738A9FC5"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b/>
                <w:bCs/>
                <w:sz w:val="19"/>
                <w:szCs w:val="19"/>
                <w:lang w:val="en-US"/>
              </w:rPr>
              <w:t>602</w:t>
            </w:r>
          </w:p>
        </w:tc>
        <w:tc>
          <w:tcPr>
            <w:tcW w:w="612" w:type="pct"/>
            <w:tcBorders>
              <w:top w:val="single" w:sz="4" w:space="0" w:color="auto"/>
              <w:left w:val="nil"/>
              <w:bottom w:val="single" w:sz="12" w:space="0" w:color="auto"/>
              <w:right w:val="nil"/>
            </w:tcBorders>
            <w:shd w:val="clear" w:color="auto" w:fill="auto"/>
            <w:vAlign w:val="center"/>
          </w:tcPr>
          <w:p w14:paraId="28202C73"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b/>
                <w:bCs/>
                <w:sz w:val="19"/>
                <w:szCs w:val="19"/>
                <w:lang w:val="en-US"/>
              </w:rPr>
              <w:t>-</w:t>
            </w:r>
          </w:p>
        </w:tc>
        <w:tc>
          <w:tcPr>
            <w:tcW w:w="611" w:type="pct"/>
            <w:tcBorders>
              <w:top w:val="single" w:sz="4" w:space="0" w:color="auto"/>
              <w:left w:val="nil"/>
              <w:bottom w:val="single" w:sz="12" w:space="0" w:color="auto"/>
              <w:right w:val="nil"/>
            </w:tcBorders>
            <w:shd w:val="clear" w:color="auto" w:fill="auto"/>
            <w:vAlign w:val="center"/>
          </w:tcPr>
          <w:p w14:paraId="7555F032"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r w:rsidRPr="00815091">
              <w:rPr>
                <w:rFonts w:ascii="Calibri" w:eastAsia="Times New Roman" w:hAnsi="Calibri" w:cs="Arial"/>
                <w:b/>
                <w:bCs/>
                <w:sz w:val="19"/>
                <w:szCs w:val="19"/>
                <w:lang w:val="en-US"/>
              </w:rPr>
              <w:t>5.943.563</w:t>
            </w:r>
          </w:p>
        </w:tc>
      </w:tr>
      <w:tr w:rsidR="00FD7170" w:rsidRPr="00815091" w14:paraId="67C0F508" w14:textId="77777777" w:rsidTr="00815091">
        <w:tblPrEx>
          <w:tblCellMar>
            <w:left w:w="31" w:type="dxa"/>
            <w:right w:w="31" w:type="dxa"/>
          </w:tblCellMar>
        </w:tblPrEx>
        <w:trPr>
          <w:cantSplit/>
          <w:trHeight w:hRule="exact" w:val="120"/>
          <w:tblHeader/>
        </w:trPr>
        <w:tc>
          <w:tcPr>
            <w:tcW w:w="2553" w:type="pct"/>
            <w:vAlign w:val="bottom"/>
          </w:tcPr>
          <w:p w14:paraId="1D9F8CB2" w14:textId="77777777" w:rsidR="00FD7170" w:rsidRPr="00815091" w:rsidRDefault="00FD7170" w:rsidP="00FD7170">
            <w:pPr>
              <w:tabs>
                <w:tab w:val="right" w:pos="1202"/>
              </w:tabs>
              <w:spacing w:after="0" w:line="301" w:lineRule="exact"/>
              <w:outlineLvl w:val="0"/>
              <w:rPr>
                <w:rFonts w:ascii="Calibri" w:eastAsia="Times New Roman" w:hAnsi="Calibri" w:cs="Times New Roman"/>
                <w:sz w:val="19"/>
                <w:szCs w:val="19"/>
              </w:rPr>
            </w:pPr>
          </w:p>
        </w:tc>
        <w:tc>
          <w:tcPr>
            <w:tcW w:w="612" w:type="pct"/>
            <w:tcBorders>
              <w:top w:val="single" w:sz="12" w:space="0" w:color="auto"/>
            </w:tcBorders>
            <w:vAlign w:val="bottom"/>
          </w:tcPr>
          <w:p w14:paraId="0CE54955"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p>
        </w:tc>
        <w:tc>
          <w:tcPr>
            <w:tcW w:w="612" w:type="pct"/>
            <w:tcBorders>
              <w:top w:val="single" w:sz="12" w:space="0" w:color="auto"/>
            </w:tcBorders>
            <w:vAlign w:val="bottom"/>
          </w:tcPr>
          <w:p w14:paraId="533AEBFD"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p>
        </w:tc>
        <w:tc>
          <w:tcPr>
            <w:tcW w:w="612" w:type="pct"/>
            <w:tcBorders>
              <w:top w:val="single" w:sz="12" w:space="0" w:color="auto"/>
            </w:tcBorders>
            <w:vAlign w:val="bottom"/>
          </w:tcPr>
          <w:p w14:paraId="167C25E6"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p>
        </w:tc>
        <w:tc>
          <w:tcPr>
            <w:tcW w:w="611" w:type="pct"/>
            <w:tcBorders>
              <w:top w:val="single" w:sz="12" w:space="0" w:color="auto"/>
            </w:tcBorders>
            <w:vAlign w:val="bottom"/>
          </w:tcPr>
          <w:p w14:paraId="33C6ABFE" w14:textId="77777777" w:rsidR="00FD7170" w:rsidRPr="00815091" w:rsidRDefault="00FD7170" w:rsidP="00FD7170">
            <w:pPr>
              <w:tabs>
                <w:tab w:val="right" w:pos="1202"/>
              </w:tabs>
              <w:spacing w:after="0" w:line="301" w:lineRule="exact"/>
              <w:jc w:val="right"/>
              <w:outlineLvl w:val="0"/>
              <w:rPr>
                <w:rFonts w:ascii="Calibri" w:eastAsia="Times New Roman" w:hAnsi="Calibri" w:cs="Arial"/>
                <w:sz w:val="19"/>
                <w:szCs w:val="19"/>
              </w:rPr>
            </w:pPr>
          </w:p>
        </w:tc>
      </w:tr>
      <w:tr w:rsidR="00FD7170" w:rsidRPr="00815091" w14:paraId="26B8A2F6" w14:textId="77777777" w:rsidTr="00815091">
        <w:tblPrEx>
          <w:tblCellMar>
            <w:left w:w="31" w:type="dxa"/>
            <w:right w:w="31" w:type="dxa"/>
          </w:tblCellMar>
        </w:tblPrEx>
        <w:trPr>
          <w:cantSplit/>
          <w:trHeight w:val="375"/>
          <w:tblHeader/>
        </w:trPr>
        <w:tc>
          <w:tcPr>
            <w:tcW w:w="2553" w:type="pct"/>
            <w:vAlign w:val="bottom"/>
          </w:tcPr>
          <w:p w14:paraId="708511DD" w14:textId="77777777" w:rsidR="00FD7170" w:rsidRPr="00815091" w:rsidRDefault="00FD7170" w:rsidP="00FD7170">
            <w:pPr>
              <w:tabs>
                <w:tab w:val="right" w:pos="1202"/>
              </w:tabs>
              <w:spacing w:after="0" w:line="301" w:lineRule="exact"/>
              <w:outlineLvl w:val="0"/>
              <w:rPr>
                <w:rFonts w:ascii="Calibri" w:eastAsia="Times New Roman" w:hAnsi="Calibri" w:cs="Times New Roman"/>
                <w:b/>
                <w:bCs/>
                <w:sz w:val="19"/>
                <w:szCs w:val="19"/>
              </w:rPr>
            </w:pPr>
            <w:r w:rsidRPr="00815091">
              <w:rPr>
                <w:rFonts w:ascii="Calibri" w:eastAsia="Times New Roman" w:hAnsi="Calibri" w:cs="Arial"/>
                <w:b/>
                <w:bCs/>
                <w:sz w:val="19"/>
                <w:szCs w:val="19"/>
              </w:rPr>
              <w:t>Ukupna izloženost kreditnom riziku</w:t>
            </w:r>
          </w:p>
        </w:tc>
        <w:tc>
          <w:tcPr>
            <w:tcW w:w="612" w:type="pct"/>
            <w:tcBorders>
              <w:top w:val="nil"/>
              <w:left w:val="nil"/>
              <w:bottom w:val="single" w:sz="12" w:space="0" w:color="auto"/>
              <w:right w:val="nil"/>
            </w:tcBorders>
            <w:shd w:val="clear" w:color="auto" w:fill="auto"/>
            <w:vAlign w:val="center"/>
          </w:tcPr>
          <w:p w14:paraId="3C0B42F2" w14:textId="77777777" w:rsidR="00FD7170" w:rsidRPr="00815091" w:rsidRDefault="00FD7170" w:rsidP="00FD7170">
            <w:pPr>
              <w:tabs>
                <w:tab w:val="right" w:pos="1202"/>
              </w:tabs>
              <w:spacing w:after="0" w:line="301" w:lineRule="exact"/>
              <w:jc w:val="right"/>
              <w:outlineLvl w:val="0"/>
              <w:rPr>
                <w:rFonts w:ascii="Calibri" w:eastAsia="Times New Roman" w:hAnsi="Calibri" w:cs="Arial"/>
                <w:b/>
                <w:sz w:val="19"/>
                <w:szCs w:val="19"/>
              </w:rPr>
            </w:pPr>
            <w:r w:rsidRPr="00815091">
              <w:rPr>
                <w:rFonts w:ascii="Calibri" w:eastAsia="Times New Roman" w:hAnsi="Calibri" w:cs="Arial"/>
                <w:b/>
                <w:bCs/>
                <w:sz w:val="19"/>
                <w:szCs w:val="19"/>
                <w:lang w:val="en-US"/>
              </w:rPr>
              <w:t>32.665.971</w:t>
            </w:r>
          </w:p>
        </w:tc>
        <w:tc>
          <w:tcPr>
            <w:tcW w:w="612" w:type="pct"/>
            <w:tcBorders>
              <w:top w:val="nil"/>
              <w:left w:val="nil"/>
              <w:bottom w:val="single" w:sz="12" w:space="0" w:color="auto"/>
              <w:right w:val="nil"/>
            </w:tcBorders>
            <w:shd w:val="clear" w:color="auto" w:fill="auto"/>
            <w:vAlign w:val="center"/>
          </w:tcPr>
          <w:p w14:paraId="17141AE7" w14:textId="77777777" w:rsidR="00FD7170" w:rsidRPr="00815091" w:rsidRDefault="00FD7170" w:rsidP="00FD7170">
            <w:pPr>
              <w:tabs>
                <w:tab w:val="right" w:pos="1202"/>
              </w:tabs>
              <w:spacing w:after="0" w:line="301" w:lineRule="exact"/>
              <w:jc w:val="right"/>
              <w:outlineLvl w:val="0"/>
              <w:rPr>
                <w:rFonts w:ascii="Calibri" w:eastAsia="Times New Roman" w:hAnsi="Calibri" w:cs="Arial"/>
                <w:b/>
                <w:sz w:val="19"/>
                <w:szCs w:val="19"/>
              </w:rPr>
            </w:pPr>
            <w:r w:rsidRPr="00815091">
              <w:rPr>
                <w:rFonts w:ascii="Calibri" w:eastAsia="Times New Roman" w:hAnsi="Calibri" w:cs="Arial"/>
                <w:b/>
                <w:bCs/>
                <w:sz w:val="19"/>
                <w:szCs w:val="19"/>
                <w:lang w:val="en-US"/>
              </w:rPr>
              <w:t>323.142</w:t>
            </w:r>
          </w:p>
        </w:tc>
        <w:tc>
          <w:tcPr>
            <w:tcW w:w="612" w:type="pct"/>
            <w:tcBorders>
              <w:top w:val="nil"/>
              <w:left w:val="nil"/>
              <w:bottom w:val="single" w:sz="12" w:space="0" w:color="auto"/>
              <w:right w:val="nil"/>
            </w:tcBorders>
            <w:shd w:val="clear" w:color="auto" w:fill="auto"/>
            <w:vAlign w:val="center"/>
          </w:tcPr>
          <w:p w14:paraId="7958D35A" w14:textId="77777777" w:rsidR="00FD7170" w:rsidRPr="00815091" w:rsidRDefault="00FD7170" w:rsidP="00FD7170">
            <w:pPr>
              <w:tabs>
                <w:tab w:val="right" w:pos="1202"/>
              </w:tabs>
              <w:spacing w:after="0" w:line="301" w:lineRule="exact"/>
              <w:jc w:val="right"/>
              <w:outlineLvl w:val="0"/>
              <w:rPr>
                <w:rFonts w:ascii="Calibri" w:eastAsia="Times New Roman" w:hAnsi="Calibri" w:cs="Arial"/>
                <w:b/>
                <w:sz w:val="19"/>
                <w:szCs w:val="19"/>
              </w:rPr>
            </w:pPr>
            <w:r w:rsidRPr="00815091">
              <w:rPr>
                <w:rFonts w:ascii="Calibri" w:eastAsia="Times New Roman" w:hAnsi="Calibri" w:cs="Arial"/>
                <w:b/>
                <w:bCs/>
                <w:sz w:val="19"/>
                <w:szCs w:val="19"/>
                <w:lang w:val="en-US"/>
              </w:rPr>
              <w:t>230.913</w:t>
            </w:r>
          </w:p>
        </w:tc>
        <w:tc>
          <w:tcPr>
            <w:tcW w:w="611" w:type="pct"/>
            <w:tcBorders>
              <w:top w:val="nil"/>
              <w:left w:val="nil"/>
              <w:bottom w:val="single" w:sz="12" w:space="0" w:color="auto"/>
              <w:right w:val="nil"/>
            </w:tcBorders>
            <w:shd w:val="clear" w:color="auto" w:fill="auto"/>
            <w:vAlign w:val="center"/>
          </w:tcPr>
          <w:p w14:paraId="5FB10FD1" w14:textId="77777777" w:rsidR="00FD7170" w:rsidRPr="00815091" w:rsidRDefault="00FD7170" w:rsidP="00FD7170">
            <w:pPr>
              <w:tabs>
                <w:tab w:val="right" w:pos="1202"/>
              </w:tabs>
              <w:spacing w:after="0" w:line="301" w:lineRule="exact"/>
              <w:jc w:val="right"/>
              <w:outlineLvl w:val="0"/>
              <w:rPr>
                <w:rFonts w:ascii="Calibri" w:eastAsia="Times New Roman" w:hAnsi="Calibri" w:cs="Arial"/>
                <w:b/>
                <w:sz w:val="19"/>
                <w:szCs w:val="19"/>
              </w:rPr>
            </w:pPr>
            <w:r w:rsidRPr="00815091">
              <w:rPr>
                <w:rFonts w:ascii="Calibri" w:eastAsia="Times New Roman" w:hAnsi="Calibri" w:cs="Arial"/>
                <w:b/>
                <w:bCs/>
                <w:sz w:val="19"/>
                <w:szCs w:val="19"/>
                <w:lang w:val="en-US"/>
              </w:rPr>
              <w:t>33.220.026</w:t>
            </w:r>
          </w:p>
        </w:tc>
      </w:tr>
      <w:tr w:rsidR="00FD7170" w:rsidRPr="00815091" w14:paraId="0D37D20A" w14:textId="77777777" w:rsidTr="00815091">
        <w:tblPrEx>
          <w:tblCellMar>
            <w:left w:w="31" w:type="dxa"/>
            <w:right w:w="31" w:type="dxa"/>
          </w:tblCellMar>
        </w:tblPrEx>
        <w:trPr>
          <w:cantSplit/>
          <w:trHeight w:hRule="exact" w:val="149"/>
          <w:tblHeader/>
        </w:trPr>
        <w:tc>
          <w:tcPr>
            <w:tcW w:w="2553" w:type="pct"/>
            <w:vAlign w:val="bottom"/>
          </w:tcPr>
          <w:p w14:paraId="14508FA3" w14:textId="77777777" w:rsidR="00FD7170" w:rsidRPr="00815091" w:rsidRDefault="00FD7170" w:rsidP="00FD7170">
            <w:pPr>
              <w:tabs>
                <w:tab w:val="right" w:pos="1202"/>
              </w:tabs>
              <w:spacing w:after="0" w:line="240" w:lineRule="auto"/>
              <w:outlineLvl w:val="0"/>
              <w:rPr>
                <w:rFonts w:ascii="Calibri" w:eastAsia="Times New Roman" w:hAnsi="Calibri" w:cs="Times New Roman"/>
                <w:b/>
                <w:bCs/>
                <w:sz w:val="19"/>
                <w:szCs w:val="19"/>
              </w:rPr>
            </w:pPr>
          </w:p>
        </w:tc>
        <w:tc>
          <w:tcPr>
            <w:tcW w:w="612" w:type="pct"/>
            <w:tcBorders>
              <w:top w:val="single" w:sz="12" w:space="0" w:color="auto"/>
            </w:tcBorders>
            <w:vAlign w:val="bottom"/>
          </w:tcPr>
          <w:p w14:paraId="71A312A4" w14:textId="77777777" w:rsidR="00FD7170" w:rsidRPr="00815091" w:rsidRDefault="00FD7170" w:rsidP="00FD7170">
            <w:pPr>
              <w:tabs>
                <w:tab w:val="right" w:pos="1202"/>
              </w:tabs>
              <w:spacing w:after="0" w:line="240" w:lineRule="auto"/>
              <w:jc w:val="right"/>
              <w:outlineLvl w:val="0"/>
              <w:rPr>
                <w:rFonts w:ascii="Calibri" w:eastAsia="Times New Roman" w:hAnsi="Calibri" w:cs="Arial"/>
                <w:b/>
                <w:sz w:val="19"/>
                <w:szCs w:val="19"/>
              </w:rPr>
            </w:pPr>
          </w:p>
        </w:tc>
        <w:tc>
          <w:tcPr>
            <w:tcW w:w="612" w:type="pct"/>
            <w:tcBorders>
              <w:top w:val="single" w:sz="12" w:space="0" w:color="auto"/>
            </w:tcBorders>
            <w:vAlign w:val="bottom"/>
          </w:tcPr>
          <w:p w14:paraId="180F00C9" w14:textId="77777777" w:rsidR="00FD7170" w:rsidRPr="00815091" w:rsidRDefault="00FD7170" w:rsidP="00FD7170">
            <w:pPr>
              <w:tabs>
                <w:tab w:val="right" w:pos="1202"/>
              </w:tabs>
              <w:spacing w:after="0" w:line="240" w:lineRule="auto"/>
              <w:jc w:val="right"/>
              <w:outlineLvl w:val="0"/>
              <w:rPr>
                <w:rFonts w:ascii="Calibri" w:eastAsia="Times New Roman" w:hAnsi="Calibri" w:cs="Arial"/>
                <w:b/>
                <w:sz w:val="19"/>
                <w:szCs w:val="19"/>
              </w:rPr>
            </w:pPr>
          </w:p>
        </w:tc>
        <w:tc>
          <w:tcPr>
            <w:tcW w:w="612" w:type="pct"/>
            <w:tcBorders>
              <w:top w:val="single" w:sz="12" w:space="0" w:color="auto"/>
            </w:tcBorders>
            <w:vAlign w:val="bottom"/>
          </w:tcPr>
          <w:p w14:paraId="129DE561" w14:textId="77777777" w:rsidR="00FD7170" w:rsidRPr="00815091" w:rsidRDefault="00FD7170" w:rsidP="00FD7170">
            <w:pPr>
              <w:tabs>
                <w:tab w:val="right" w:pos="1202"/>
              </w:tabs>
              <w:spacing w:after="0" w:line="240" w:lineRule="auto"/>
              <w:jc w:val="right"/>
              <w:outlineLvl w:val="0"/>
              <w:rPr>
                <w:rFonts w:ascii="Calibri" w:eastAsia="Times New Roman" w:hAnsi="Calibri" w:cs="Arial"/>
                <w:b/>
                <w:sz w:val="19"/>
                <w:szCs w:val="19"/>
              </w:rPr>
            </w:pPr>
          </w:p>
        </w:tc>
        <w:tc>
          <w:tcPr>
            <w:tcW w:w="611" w:type="pct"/>
            <w:tcBorders>
              <w:top w:val="single" w:sz="12" w:space="0" w:color="auto"/>
            </w:tcBorders>
            <w:vAlign w:val="bottom"/>
          </w:tcPr>
          <w:p w14:paraId="4E758338" w14:textId="77777777" w:rsidR="00FD7170" w:rsidRPr="00815091" w:rsidRDefault="00FD7170" w:rsidP="00FD7170">
            <w:pPr>
              <w:tabs>
                <w:tab w:val="right" w:pos="1202"/>
              </w:tabs>
              <w:spacing w:after="0" w:line="240" w:lineRule="auto"/>
              <w:jc w:val="right"/>
              <w:outlineLvl w:val="0"/>
              <w:rPr>
                <w:rFonts w:ascii="Calibri" w:eastAsia="Times New Roman" w:hAnsi="Calibri" w:cs="Arial"/>
                <w:b/>
                <w:sz w:val="19"/>
                <w:szCs w:val="19"/>
              </w:rPr>
            </w:pPr>
          </w:p>
        </w:tc>
      </w:tr>
    </w:tbl>
    <w:p w14:paraId="3B1FDAD9" w14:textId="77777777" w:rsidR="00F4789E" w:rsidRPr="00F4789E" w:rsidRDefault="00F4789E" w:rsidP="00F4789E">
      <w:pPr>
        <w:spacing w:after="0" w:line="240" w:lineRule="auto"/>
        <w:rPr>
          <w:rFonts w:cs="Arial"/>
          <w:sz w:val="19"/>
          <w:szCs w:val="20"/>
        </w:rPr>
      </w:pPr>
    </w:p>
    <w:p w14:paraId="501B837C" w14:textId="77777777" w:rsidR="00F4789E" w:rsidRPr="00F4789E" w:rsidRDefault="00F4789E" w:rsidP="00F4789E">
      <w:pPr>
        <w:pStyle w:val="T1"/>
        <w:spacing w:before="0" w:after="0" w:line="280" w:lineRule="exact"/>
        <w:rPr>
          <w:rFonts w:asciiTheme="minorHAnsi" w:hAnsiTheme="minorHAnsi" w:cs="Arial"/>
          <w:b w:val="0"/>
          <w:bCs w:val="0"/>
          <w:highlight w:val="yellow"/>
          <w:lang w:val="hr-HR"/>
        </w:rPr>
      </w:pPr>
    </w:p>
    <w:p w14:paraId="4A8FFEEB" w14:textId="77777777" w:rsidR="00F4789E" w:rsidRPr="00F4789E" w:rsidRDefault="00F4789E" w:rsidP="00F4789E">
      <w:pPr>
        <w:pStyle w:val="T1"/>
        <w:spacing w:before="120" w:after="0"/>
        <w:rPr>
          <w:rFonts w:asciiTheme="minorHAnsi" w:hAnsiTheme="minorHAnsi" w:cs="Arial"/>
          <w:b w:val="0"/>
          <w:bCs w:val="0"/>
          <w:highlight w:val="yellow"/>
          <w:lang w:val="hr-HR"/>
        </w:rPr>
      </w:pPr>
    </w:p>
    <w:p w14:paraId="1133532B" w14:textId="77777777" w:rsidR="00F4789E" w:rsidRDefault="00F4789E" w:rsidP="007F2C8B">
      <w:pPr>
        <w:pStyle w:val="accountingpolicytitle"/>
        <w:rPr>
          <w:rFonts w:asciiTheme="minorHAnsi" w:hAnsiTheme="minorHAnsi" w:cstheme="minorHAnsi"/>
          <w:sz w:val="24"/>
          <w:szCs w:val="24"/>
          <w:lang w:val="hr-HR"/>
        </w:rPr>
        <w:sectPr w:rsidR="00F4789E" w:rsidSect="000C2D10">
          <w:footerReference w:type="first" r:id="rId89"/>
          <w:pgSz w:w="11906" w:h="16838" w:code="9"/>
          <w:pgMar w:top="1418" w:right="1418" w:bottom="595" w:left="1134" w:header="709" w:footer="709" w:gutter="0"/>
          <w:cols w:space="708"/>
          <w:titlePg/>
          <w:docGrid w:linePitch="360"/>
        </w:sectPr>
      </w:pPr>
    </w:p>
    <w:p w14:paraId="790A4B45" w14:textId="77777777" w:rsidR="00633BA0" w:rsidRDefault="00633BA0" w:rsidP="00921DC5">
      <w:pPr>
        <w:pStyle w:val="T1"/>
        <w:spacing w:before="0" w:after="0" w:line="240" w:lineRule="auto"/>
        <w:rPr>
          <w:rFonts w:asciiTheme="minorHAnsi" w:hAnsiTheme="minorHAnsi" w:cs="Arial"/>
          <w:sz w:val="22"/>
          <w:szCs w:val="22"/>
          <w:lang w:val="hr-HR"/>
        </w:rPr>
      </w:pPr>
    </w:p>
    <w:p w14:paraId="1AF68E2E" w14:textId="77777777" w:rsidR="00921DC5" w:rsidRPr="00581360" w:rsidRDefault="00921DC5" w:rsidP="00921DC5">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B01DFE">
        <w:rPr>
          <w:rFonts w:asciiTheme="minorHAnsi" w:hAnsiTheme="minorHAnsi" w:cs="Arial"/>
          <w:sz w:val="22"/>
          <w:szCs w:val="22"/>
          <w:lang w:val="hr-HR"/>
        </w:rPr>
        <w:t>6</w:t>
      </w:r>
      <w:r w:rsidRPr="00581360">
        <w:rPr>
          <w:rFonts w:asciiTheme="minorHAnsi" w:hAnsiTheme="minorHAnsi" w:cs="Arial"/>
          <w:sz w:val="22"/>
          <w:szCs w:val="22"/>
          <w:lang w:val="hr-HR"/>
        </w:rPr>
        <w:t>.</w:t>
      </w:r>
      <w:r w:rsidRPr="00581360">
        <w:rPr>
          <w:rFonts w:asciiTheme="minorHAnsi" w:hAnsiTheme="minorHAnsi" w:cs="Arial"/>
          <w:sz w:val="22"/>
          <w:szCs w:val="22"/>
          <w:lang w:val="hr-HR"/>
        </w:rPr>
        <w:tab/>
        <w:t>Upravljanje rizicima (nastavak)</w:t>
      </w:r>
    </w:p>
    <w:p w14:paraId="7FB934C7" w14:textId="77777777" w:rsidR="00921DC5" w:rsidRDefault="00921DC5" w:rsidP="00921DC5">
      <w:pPr>
        <w:pStyle w:val="accountingpolicytitle"/>
        <w:rPr>
          <w:rFonts w:asciiTheme="minorHAnsi" w:hAnsiTheme="minorHAnsi"/>
          <w:sz w:val="22"/>
          <w:szCs w:val="22"/>
          <w:lang w:val="hr-HR"/>
        </w:rPr>
      </w:pPr>
    </w:p>
    <w:p w14:paraId="7F2AADBA" w14:textId="77777777" w:rsidR="00921DC5" w:rsidRPr="00581360" w:rsidRDefault="00921DC5" w:rsidP="00921DC5">
      <w:pPr>
        <w:pStyle w:val="accountingpolicytitle"/>
        <w:rPr>
          <w:rFonts w:asciiTheme="minorHAnsi" w:hAnsiTheme="minorHAnsi"/>
          <w:sz w:val="22"/>
          <w:szCs w:val="22"/>
          <w:lang w:val="hr-HR"/>
        </w:rPr>
      </w:pPr>
      <w:r>
        <w:rPr>
          <w:rFonts w:asciiTheme="minorHAnsi" w:hAnsiTheme="minorHAnsi"/>
          <w:sz w:val="22"/>
          <w:szCs w:val="22"/>
          <w:lang w:val="hr-HR"/>
        </w:rPr>
        <w:t>1</w:t>
      </w:r>
      <w:r w:rsidR="00B01DFE">
        <w:rPr>
          <w:rFonts w:asciiTheme="minorHAnsi" w:hAnsiTheme="minorHAnsi"/>
          <w:sz w:val="22"/>
          <w:szCs w:val="22"/>
          <w:lang w:val="hr-HR"/>
        </w:rPr>
        <w:t>6</w:t>
      </w:r>
      <w:r w:rsidRPr="00581360">
        <w:rPr>
          <w:rFonts w:asciiTheme="minorHAnsi" w:hAnsiTheme="minorHAnsi"/>
          <w:sz w:val="22"/>
          <w:szCs w:val="22"/>
          <w:lang w:val="hr-HR"/>
        </w:rPr>
        <w:t xml:space="preserve">.2. </w:t>
      </w:r>
      <w:r w:rsidRPr="00581360">
        <w:rPr>
          <w:rFonts w:asciiTheme="minorHAnsi" w:hAnsiTheme="minorHAnsi"/>
          <w:sz w:val="22"/>
          <w:szCs w:val="22"/>
          <w:lang w:val="hr-HR"/>
        </w:rPr>
        <w:tab/>
        <w:t>Kreditni rizik (nastavak)</w:t>
      </w:r>
    </w:p>
    <w:p w14:paraId="2357A717" w14:textId="77777777" w:rsidR="00921DC5" w:rsidRDefault="00921DC5" w:rsidP="00921DC5">
      <w:pPr>
        <w:pStyle w:val="accountingpolicytitle"/>
        <w:rPr>
          <w:rFonts w:asciiTheme="minorHAnsi" w:hAnsiTheme="minorHAnsi" w:cs="Arial"/>
          <w:sz w:val="22"/>
          <w:szCs w:val="22"/>
          <w:lang w:val="hr-HR"/>
        </w:rPr>
      </w:pPr>
    </w:p>
    <w:p w14:paraId="74B1F432" w14:textId="77777777" w:rsidR="00921DC5" w:rsidRPr="00581360" w:rsidRDefault="00921DC5" w:rsidP="00921DC5">
      <w:pPr>
        <w:pStyle w:val="accountingpolicytitle"/>
        <w:rPr>
          <w:rFonts w:asciiTheme="minorHAnsi" w:hAnsiTheme="minorHAnsi" w:cs="Arial"/>
          <w:sz w:val="22"/>
          <w:szCs w:val="22"/>
          <w:lang w:val="hr-HR"/>
        </w:rPr>
      </w:pPr>
      <w:r w:rsidRPr="00581360">
        <w:rPr>
          <w:rFonts w:asciiTheme="minorHAnsi" w:hAnsiTheme="minorHAnsi" w:cs="Arial"/>
          <w:sz w:val="22"/>
          <w:szCs w:val="22"/>
          <w:lang w:val="hr-HR"/>
        </w:rPr>
        <w:t xml:space="preserve">Koncentracija rizika i </w:t>
      </w:r>
      <w:r w:rsidR="00640198">
        <w:rPr>
          <w:rFonts w:asciiTheme="minorHAnsi" w:hAnsiTheme="minorHAnsi" w:cs="Arial"/>
          <w:sz w:val="22"/>
          <w:szCs w:val="22"/>
          <w:lang w:val="hr-HR"/>
        </w:rPr>
        <w:t>maksimalna</w:t>
      </w:r>
      <w:r w:rsidRPr="00581360">
        <w:rPr>
          <w:rFonts w:asciiTheme="minorHAnsi" w:hAnsiTheme="minorHAnsi" w:cs="Arial"/>
          <w:sz w:val="22"/>
          <w:szCs w:val="22"/>
          <w:lang w:val="hr-HR"/>
        </w:rPr>
        <w:t xml:space="preserve"> izloženost kreditnom riziku (nastavak)</w:t>
      </w:r>
    </w:p>
    <w:p w14:paraId="69F21002" w14:textId="77777777" w:rsidR="00921DC5" w:rsidRDefault="00921DC5" w:rsidP="00921DC5">
      <w:pPr>
        <w:pStyle w:val="T1"/>
        <w:spacing w:before="0" w:after="0" w:line="240" w:lineRule="auto"/>
        <w:rPr>
          <w:rFonts w:asciiTheme="minorHAnsi" w:hAnsiTheme="minorHAnsi" w:cs="Arial"/>
          <w:b w:val="0"/>
          <w:bCs w:val="0"/>
          <w:sz w:val="22"/>
          <w:szCs w:val="22"/>
          <w:lang w:val="hr-HR"/>
        </w:rPr>
      </w:pPr>
    </w:p>
    <w:p w14:paraId="065D01A9" w14:textId="77777777" w:rsidR="00921DC5" w:rsidRPr="00581360" w:rsidRDefault="00921DC5" w:rsidP="00921DC5">
      <w:pPr>
        <w:pStyle w:val="T1"/>
        <w:spacing w:before="0" w:after="0" w:line="240" w:lineRule="auto"/>
        <w:rPr>
          <w:rFonts w:asciiTheme="minorHAnsi" w:hAnsiTheme="minorHAnsi" w:cs="Arial"/>
          <w:b w:val="0"/>
          <w:bCs w:val="0"/>
          <w:sz w:val="22"/>
          <w:szCs w:val="22"/>
          <w:lang w:val="hr-HR"/>
        </w:rPr>
      </w:pPr>
      <w:r w:rsidRPr="00581360">
        <w:rPr>
          <w:rFonts w:asciiTheme="minorHAnsi" w:hAnsiTheme="minorHAnsi" w:cs="Arial"/>
          <w:b w:val="0"/>
          <w:bCs w:val="0"/>
          <w:sz w:val="22"/>
          <w:szCs w:val="22"/>
          <w:lang w:val="hr-HR"/>
        </w:rPr>
        <w:t xml:space="preserve">Koncentracija imovine i garancija i preuzetih obveza prema zemljopisnim segmentima, </w:t>
      </w:r>
      <w:r w:rsidRPr="00581360">
        <w:rPr>
          <w:rFonts w:asciiTheme="minorHAnsi" w:hAnsiTheme="minorHAnsi" w:cs="Arial"/>
          <w:b w:val="0"/>
          <w:sz w:val="22"/>
          <w:szCs w:val="22"/>
          <w:lang w:val="hr-HR"/>
        </w:rPr>
        <w:t>bez umanjenja za vrijednost sredstava osiguranja naplate</w:t>
      </w:r>
      <w:r w:rsidRPr="00581360">
        <w:rPr>
          <w:rFonts w:asciiTheme="minorHAnsi" w:hAnsiTheme="minorHAnsi" w:cs="Arial"/>
          <w:b w:val="0"/>
          <w:bCs w:val="0"/>
          <w:sz w:val="22"/>
          <w:szCs w:val="22"/>
          <w:lang w:val="hr-HR"/>
        </w:rPr>
        <w:t xml:space="preserve">: </w:t>
      </w:r>
    </w:p>
    <w:p w14:paraId="39155735" w14:textId="77777777" w:rsidR="00921DC5" w:rsidRPr="00581360" w:rsidRDefault="00921DC5" w:rsidP="00921DC5">
      <w:pPr>
        <w:pStyle w:val="T1"/>
        <w:spacing w:before="0" w:after="0" w:line="240" w:lineRule="auto"/>
        <w:rPr>
          <w:rFonts w:asciiTheme="minorHAnsi" w:hAnsiTheme="minorHAnsi" w:cs="Arial"/>
          <w:b w:val="0"/>
          <w:bCs w:val="0"/>
          <w:sz w:val="22"/>
          <w:szCs w:val="22"/>
          <w:lang w:val="hr-HR"/>
        </w:rPr>
      </w:pPr>
    </w:p>
    <w:tbl>
      <w:tblPr>
        <w:tblW w:w="5000" w:type="pct"/>
        <w:tblLayout w:type="fixed"/>
        <w:tblCellMar>
          <w:left w:w="30" w:type="dxa"/>
          <w:right w:w="30" w:type="dxa"/>
        </w:tblCellMar>
        <w:tblLook w:val="0000" w:firstRow="0" w:lastRow="0" w:firstColumn="0" w:lastColumn="0" w:noHBand="0" w:noVBand="0"/>
      </w:tblPr>
      <w:tblGrid>
        <w:gridCol w:w="4394"/>
        <w:gridCol w:w="1134"/>
        <w:gridCol w:w="1136"/>
        <w:gridCol w:w="1276"/>
        <w:gridCol w:w="1414"/>
      </w:tblGrid>
      <w:tr w:rsidR="00CD602F" w:rsidRPr="0037153F" w14:paraId="25C79520" w14:textId="77777777" w:rsidTr="00CD602F">
        <w:trPr>
          <w:cantSplit/>
          <w:trHeight w:val="944"/>
          <w:tblHeader/>
        </w:trPr>
        <w:tc>
          <w:tcPr>
            <w:tcW w:w="2349" w:type="pct"/>
            <w:vAlign w:val="center"/>
          </w:tcPr>
          <w:p w14:paraId="02BF698B" w14:textId="77777777" w:rsidR="00921DC5" w:rsidRPr="002C12B4" w:rsidRDefault="00921DC5" w:rsidP="00B01DFE">
            <w:pPr>
              <w:tabs>
                <w:tab w:val="right" w:pos="1202"/>
              </w:tabs>
              <w:spacing w:after="0" w:line="240" w:lineRule="atLeast"/>
              <w:outlineLvl w:val="0"/>
              <w:rPr>
                <w:rFonts w:cs="Arial"/>
                <w:b/>
                <w:sz w:val="19"/>
                <w:szCs w:val="19"/>
              </w:rPr>
            </w:pPr>
            <w:r w:rsidRPr="002C12B4">
              <w:rPr>
                <w:rFonts w:cs="Arial"/>
                <w:b/>
                <w:sz w:val="19"/>
                <w:szCs w:val="19"/>
              </w:rPr>
              <w:t>Banka</w:t>
            </w:r>
          </w:p>
          <w:p w14:paraId="0440B272" w14:textId="0078B727" w:rsidR="00921DC5" w:rsidRPr="002C12B4" w:rsidRDefault="000C2D10">
            <w:pPr>
              <w:tabs>
                <w:tab w:val="right" w:pos="1202"/>
              </w:tabs>
              <w:spacing w:after="0" w:line="240" w:lineRule="atLeast"/>
              <w:outlineLvl w:val="0"/>
              <w:rPr>
                <w:rFonts w:cs="Arial"/>
                <w:b/>
                <w:sz w:val="19"/>
                <w:szCs w:val="19"/>
              </w:rPr>
            </w:pPr>
            <w:r>
              <w:rPr>
                <w:rFonts w:cs="Arial"/>
                <w:b/>
                <w:sz w:val="19"/>
                <w:szCs w:val="19"/>
              </w:rPr>
              <w:t>30</w:t>
            </w:r>
            <w:r w:rsidR="00815091">
              <w:rPr>
                <w:rFonts w:cs="Arial"/>
                <w:b/>
                <w:sz w:val="19"/>
                <w:szCs w:val="19"/>
              </w:rPr>
              <w:t>.</w:t>
            </w:r>
            <w:r>
              <w:rPr>
                <w:rFonts w:cs="Arial"/>
                <w:b/>
                <w:sz w:val="19"/>
                <w:szCs w:val="19"/>
              </w:rPr>
              <w:t>6</w:t>
            </w:r>
            <w:r w:rsidR="00815091">
              <w:rPr>
                <w:rFonts w:cs="Arial"/>
                <w:b/>
                <w:sz w:val="19"/>
                <w:szCs w:val="19"/>
              </w:rPr>
              <w:t>.2017.</w:t>
            </w:r>
            <w:r w:rsidR="00921DC5" w:rsidRPr="002C12B4">
              <w:rPr>
                <w:rFonts w:cs="Arial"/>
                <w:b/>
                <w:sz w:val="19"/>
                <w:szCs w:val="19"/>
              </w:rPr>
              <w:t xml:space="preserve"> </w:t>
            </w:r>
          </w:p>
        </w:tc>
        <w:tc>
          <w:tcPr>
            <w:tcW w:w="606" w:type="pct"/>
            <w:vAlign w:val="center"/>
          </w:tcPr>
          <w:p w14:paraId="410A74B1" w14:textId="77777777" w:rsidR="00921DC5" w:rsidRPr="002C12B4" w:rsidRDefault="00921DC5" w:rsidP="00B01DFE">
            <w:pPr>
              <w:tabs>
                <w:tab w:val="right" w:pos="1202"/>
              </w:tabs>
              <w:spacing w:after="0" w:line="240" w:lineRule="atLeast"/>
              <w:jc w:val="right"/>
              <w:outlineLvl w:val="0"/>
              <w:rPr>
                <w:rFonts w:cs="Arial"/>
                <w:b/>
                <w:sz w:val="19"/>
                <w:szCs w:val="19"/>
              </w:rPr>
            </w:pPr>
            <w:r w:rsidRPr="002C12B4">
              <w:rPr>
                <w:rFonts w:cs="Arial"/>
                <w:b/>
                <w:sz w:val="19"/>
                <w:szCs w:val="19"/>
              </w:rPr>
              <w:t>Republika Hrvatska</w:t>
            </w:r>
          </w:p>
        </w:tc>
        <w:tc>
          <w:tcPr>
            <w:tcW w:w="607" w:type="pct"/>
            <w:vAlign w:val="center"/>
          </w:tcPr>
          <w:p w14:paraId="492B7A64" w14:textId="77777777" w:rsidR="00921DC5" w:rsidRPr="002C12B4" w:rsidRDefault="00921DC5" w:rsidP="00B01DFE">
            <w:pPr>
              <w:tabs>
                <w:tab w:val="right" w:pos="1202"/>
              </w:tabs>
              <w:spacing w:after="0" w:line="240" w:lineRule="atLeast"/>
              <w:jc w:val="right"/>
              <w:outlineLvl w:val="0"/>
              <w:rPr>
                <w:rFonts w:cs="Arial"/>
                <w:b/>
                <w:sz w:val="19"/>
                <w:szCs w:val="19"/>
              </w:rPr>
            </w:pPr>
            <w:r w:rsidRPr="002C12B4">
              <w:rPr>
                <w:rFonts w:cs="Arial"/>
                <w:b/>
                <w:sz w:val="19"/>
                <w:szCs w:val="19"/>
              </w:rPr>
              <w:t>Zemlje Europske unije</w:t>
            </w:r>
          </w:p>
        </w:tc>
        <w:tc>
          <w:tcPr>
            <w:tcW w:w="682" w:type="pct"/>
            <w:vAlign w:val="center"/>
          </w:tcPr>
          <w:p w14:paraId="24031F8D" w14:textId="77777777" w:rsidR="00B01DFE" w:rsidRPr="002C12B4" w:rsidRDefault="00921DC5" w:rsidP="00B01DFE">
            <w:pPr>
              <w:tabs>
                <w:tab w:val="right" w:pos="1202"/>
              </w:tabs>
              <w:spacing w:after="0" w:line="240" w:lineRule="atLeast"/>
              <w:jc w:val="right"/>
              <w:outlineLvl w:val="0"/>
              <w:rPr>
                <w:rFonts w:cs="Arial"/>
                <w:b/>
                <w:sz w:val="19"/>
                <w:szCs w:val="19"/>
              </w:rPr>
            </w:pPr>
            <w:r w:rsidRPr="002C12B4">
              <w:rPr>
                <w:rFonts w:cs="Arial"/>
                <w:b/>
                <w:sz w:val="19"/>
                <w:szCs w:val="19"/>
              </w:rPr>
              <w:t xml:space="preserve">Ostale </w:t>
            </w:r>
          </w:p>
          <w:p w14:paraId="26DE3A2B" w14:textId="77777777" w:rsidR="00921DC5" w:rsidRPr="002C12B4" w:rsidRDefault="00921DC5" w:rsidP="00B01DFE">
            <w:pPr>
              <w:tabs>
                <w:tab w:val="right" w:pos="1202"/>
              </w:tabs>
              <w:spacing w:after="0" w:line="240" w:lineRule="atLeast"/>
              <w:jc w:val="right"/>
              <w:outlineLvl w:val="0"/>
              <w:rPr>
                <w:rFonts w:cs="Arial"/>
                <w:b/>
                <w:sz w:val="19"/>
                <w:szCs w:val="19"/>
              </w:rPr>
            </w:pPr>
            <w:r w:rsidRPr="002C12B4">
              <w:rPr>
                <w:rFonts w:cs="Arial"/>
                <w:b/>
                <w:sz w:val="19"/>
                <w:szCs w:val="19"/>
              </w:rPr>
              <w:t xml:space="preserve">zemlje </w:t>
            </w:r>
          </w:p>
        </w:tc>
        <w:tc>
          <w:tcPr>
            <w:tcW w:w="756" w:type="pct"/>
            <w:vAlign w:val="center"/>
          </w:tcPr>
          <w:p w14:paraId="366A4436" w14:textId="77777777" w:rsidR="00921DC5" w:rsidRPr="002C12B4" w:rsidRDefault="00921DC5" w:rsidP="00B01DFE">
            <w:pPr>
              <w:tabs>
                <w:tab w:val="right" w:pos="1202"/>
              </w:tabs>
              <w:spacing w:after="0" w:line="240" w:lineRule="atLeast"/>
              <w:jc w:val="right"/>
              <w:outlineLvl w:val="0"/>
              <w:rPr>
                <w:rFonts w:cs="Arial"/>
                <w:b/>
                <w:sz w:val="19"/>
                <w:szCs w:val="19"/>
              </w:rPr>
            </w:pPr>
            <w:r w:rsidRPr="002C12B4">
              <w:rPr>
                <w:rFonts w:cs="Arial"/>
                <w:b/>
                <w:sz w:val="19"/>
                <w:szCs w:val="19"/>
              </w:rPr>
              <w:t>Ukupno</w:t>
            </w:r>
          </w:p>
        </w:tc>
      </w:tr>
      <w:tr w:rsidR="00CD602F" w:rsidRPr="0037153F" w14:paraId="782AEF33" w14:textId="77777777" w:rsidTr="00CD602F">
        <w:trPr>
          <w:cantSplit/>
          <w:trHeight w:val="148"/>
          <w:tblHeader/>
        </w:trPr>
        <w:tc>
          <w:tcPr>
            <w:tcW w:w="2349" w:type="pct"/>
          </w:tcPr>
          <w:p w14:paraId="74B0A75E" w14:textId="77777777" w:rsidR="000C2D10" w:rsidRPr="002C12B4" w:rsidRDefault="000C2D10" w:rsidP="000C2D10">
            <w:pPr>
              <w:tabs>
                <w:tab w:val="right" w:pos="1202"/>
              </w:tabs>
              <w:spacing w:after="0" w:line="280" w:lineRule="exact"/>
              <w:outlineLvl w:val="0"/>
              <w:rPr>
                <w:rFonts w:cs="Arial"/>
                <w:b/>
                <w:bCs/>
                <w:sz w:val="19"/>
                <w:szCs w:val="19"/>
              </w:rPr>
            </w:pPr>
            <w:r w:rsidRPr="002C12B4">
              <w:rPr>
                <w:rFonts w:cs="Arial"/>
                <w:b/>
                <w:bCs/>
                <w:sz w:val="19"/>
                <w:szCs w:val="19"/>
              </w:rPr>
              <w:t>Imovina</w:t>
            </w:r>
          </w:p>
        </w:tc>
        <w:tc>
          <w:tcPr>
            <w:tcW w:w="606" w:type="pct"/>
          </w:tcPr>
          <w:p w14:paraId="3811AA93" w14:textId="77777777" w:rsidR="000C2D10" w:rsidRPr="002C12B4" w:rsidRDefault="000C2D10" w:rsidP="000C2D10">
            <w:pPr>
              <w:spacing w:after="0" w:line="280" w:lineRule="exact"/>
              <w:jc w:val="right"/>
              <w:rPr>
                <w:rFonts w:cs="Arial"/>
                <w:sz w:val="19"/>
                <w:szCs w:val="19"/>
              </w:rPr>
            </w:pPr>
          </w:p>
        </w:tc>
        <w:tc>
          <w:tcPr>
            <w:tcW w:w="607" w:type="pct"/>
          </w:tcPr>
          <w:p w14:paraId="18C992C3" w14:textId="77777777" w:rsidR="000C2D10" w:rsidRPr="002C12B4" w:rsidRDefault="000C2D10" w:rsidP="000C2D10">
            <w:pPr>
              <w:spacing w:after="0" w:line="280" w:lineRule="exact"/>
              <w:jc w:val="right"/>
              <w:rPr>
                <w:rFonts w:cs="Arial"/>
                <w:sz w:val="19"/>
                <w:szCs w:val="19"/>
              </w:rPr>
            </w:pPr>
          </w:p>
        </w:tc>
        <w:tc>
          <w:tcPr>
            <w:tcW w:w="682" w:type="pct"/>
          </w:tcPr>
          <w:p w14:paraId="080FEFA7" w14:textId="77777777" w:rsidR="000C2D10" w:rsidRPr="002C12B4" w:rsidRDefault="000C2D10" w:rsidP="000C2D10">
            <w:pPr>
              <w:spacing w:after="0" w:line="280" w:lineRule="exact"/>
              <w:jc w:val="right"/>
              <w:rPr>
                <w:rFonts w:cs="Arial"/>
                <w:sz w:val="19"/>
                <w:szCs w:val="19"/>
              </w:rPr>
            </w:pPr>
          </w:p>
        </w:tc>
        <w:tc>
          <w:tcPr>
            <w:tcW w:w="756" w:type="pct"/>
          </w:tcPr>
          <w:p w14:paraId="66697E9B" w14:textId="77777777" w:rsidR="000C2D10" w:rsidRPr="002C12B4" w:rsidRDefault="000C2D10" w:rsidP="000C2D10">
            <w:pPr>
              <w:spacing w:after="0" w:line="280" w:lineRule="exact"/>
              <w:jc w:val="center"/>
              <w:rPr>
                <w:rFonts w:cs="Arial"/>
                <w:sz w:val="19"/>
                <w:szCs w:val="19"/>
              </w:rPr>
            </w:pPr>
          </w:p>
        </w:tc>
      </w:tr>
      <w:tr w:rsidR="00CD602F" w:rsidRPr="0037153F" w14:paraId="7766F8BA" w14:textId="77777777" w:rsidTr="00312975">
        <w:trPr>
          <w:cantSplit/>
          <w:trHeight w:val="250"/>
          <w:tblHeader/>
        </w:trPr>
        <w:tc>
          <w:tcPr>
            <w:tcW w:w="2349" w:type="pct"/>
            <w:vAlign w:val="bottom"/>
          </w:tcPr>
          <w:p w14:paraId="22277123" w14:textId="77777777" w:rsidR="00CD602F" w:rsidRPr="002C12B4" w:rsidRDefault="00CD602F" w:rsidP="00CD602F">
            <w:pPr>
              <w:tabs>
                <w:tab w:val="right" w:pos="1202"/>
              </w:tabs>
              <w:spacing w:after="0" w:line="280" w:lineRule="exact"/>
              <w:outlineLvl w:val="0"/>
              <w:rPr>
                <w:sz w:val="19"/>
                <w:szCs w:val="19"/>
              </w:rPr>
            </w:pPr>
            <w:r w:rsidRPr="002C12B4">
              <w:rPr>
                <w:sz w:val="19"/>
                <w:szCs w:val="19"/>
              </w:rPr>
              <w:t>Novčana sredstva i računi kod banaka</w:t>
            </w:r>
          </w:p>
        </w:tc>
        <w:tc>
          <w:tcPr>
            <w:tcW w:w="606" w:type="pct"/>
            <w:tcBorders>
              <w:top w:val="nil"/>
              <w:left w:val="nil"/>
              <w:bottom w:val="nil"/>
              <w:right w:val="nil"/>
            </w:tcBorders>
            <w:shd w:val="clear" w:color="auto" w:fill="auto"/>
            <w:vAlign w:val="center"/>
          </w:tcPr>
          <w:p w14:paraId="5E2C1E0F" w14:textId="3216F9CB" w:rsidR="00CD602F" w:rsidRPr="001D67D6" w:rsidRDefault="00CD602F" w:rsidP="00CD602F">
            <w:pPr>
              <w:spacing w:after="0" w:line="280" w:lineRule="exact"/>
              <w:jc w:val="right"/>
              <w:rPr>
                <w:rFonts w:cs="Arial"/>
                <w:sz w:val="19"/>
                <w:szCs w:val="19"/>
              </w:rPr>
            </w:pPr>
            <w:r>
              <w:rPr>
                <w:rFonts w:ascii="Calibri" w:hAnsi="Calibri" w:cs="Arial"/>
                <w:sz w:val="19"/>
                <w:szCs w:val="19"/>
              </w:rPr>
              <w:t>1.497.772</w:t>
            </w:r>
          </w:p>
        </w:tc>
        <w:tc>
          <w:tcPr>
            <w:tcW w:w="607" w:type="pct"/>
            <w:tcBorders>
              <w:top w:val="nil"/>
              <w:left w:val="nil"/>
              <w:bottom w:val="nil"/>
              <w:right w:val="nil"/>
            </w:tcBorders>
            <w:shd w:val="clear" w:color="auto" w:fill="auto"/>
            <w:vAlign w:val="center"/>
          </w:tcPr>
          <w:p w14:paraId="5D8A1730" w14:textId="3679BFCB" w:rsidR="00CD602F" w:rsidRPr="001D67D6" w:rsidRDefault="00CD602F" w:rsidP="00CD602F">
            <w:pPr>
              <w:tabs>
                <w:tab w:val="right" w:pos="1202"/>
              </w:tabs>
              <w:spacing w:after="0" w:line="280" w:lineRule="exact"/>
              <w:jc w:val="right"/>
              <w:outlineLvl w:val="0"/>
              <w:rPr>
                <w:sz w:val="19"/>
                <w:szCs w:val="19"/>
                <w:lang w:val="pl-PL"/>
              </w:rPr>
            </w:pPr>
            <w:r>
              <w:rPr>
                <w:rFonts w:ascii="Calibri" w:hAnsi="Calibri" w:cs="Arial"/>
                <w:sz w:val="19"/>
                <w:szCs w:val="19"/>
              </w:rPr>
              <w:t>173.838</w:t>
            </w:r>
          </w:p>
        </w:tc>
        <w:tc>
          <w:tcPr>
            <w:tcW w:w="682" w:type="pct"/>
            <w:tcBorders>
              <w:top w:val="nil"/>
              <w:left w:val="nil"/>
              <w:bottom w:val="nil"/>
              <w:right w:val="nil"/>
            </w:tcBorders>
            <w:shd w:val="clear" w:color="auto" w:fill="auto"/>
            <w:vAlign w:val="center"/>
          </w:tcPr>
          <w:p w14:paraId="15A8824D" w14:textId="77BFB0AD" w:rsidR="00CD602F" w:rsidRPr="001D67D6" w:rsidRDefault="00CD602F" w:rsidP="00CD602F">
            <w:pPr>
              <w:tabs>
                <w:tab w:val="right" w:pos="1202"/>
              </w:tabs>
              <w:spacing w:after="0" w:line="280" w:lineRule="exact"/>
              <w:jc w:val="right"/>
              <w:outlineLvl w:val="0"/>
              <w:rPr>
                <w:sz w:val="19"/>
                <w:szCs w:val="19"/>
                <w:lang w:val="pl-PL"/>
              </w:rPr>
            </w:pPr>
            <w:r>
              <w:rPr>
                <w:rFonts w:ascii="Calibri" w:hAnsi="Calibri" w:cs="Arial"/>
                <w:sz w:val="19"/>
                <w:szCs w:val="19"/>
              </w:rPr>
              <w:t>8.408</w:t>
            </w:r>
          </w:p>
        </w:tc>
        <w:tc>
          <w:tcPr>
            <w:tcW w:w="756" w:type="pct"/>
            <w:tcBorders>
              <w:top w:val="nil"/>
              <w:left w:val="nil"/>
              <w:bottom w:val="nil"/>
              <w:right w:val="nil"/>
            </w:tcBorders>
            <w:shd w:val="clear" w:color="auto" w:fill="auto"/>
            <w:vAlign w:val="center"/>
          </w:tcPr>
          <w:p w14:paraId="7C9B9318" w14:textId="0FE9C633" w:rsidR="00CD602F" w:rsidRPr="001D67D6" w:rsidRDefault="00CD602F" w:rsidP="00CD602F">
            <w:pPr>
              <w:tabs>
                <w:tab w:val="right" w:pos="1202"/>
              </w:tabs>
              <w:spacing w:after="0" w:line="280" w:lineRule="exact"/>
              <w:jc w:val="right"/>
              <w:outlineLvl w:val="0"/>
              <w:rPr>
                <w:sz w:val="19"/>
                <w:szCs w:val="19"/>
                <w:lang w:val="pl-PL"/>
              </w:rPr>
            </w:pPr>
            <w:r>
              <w:rPr>
                <w:rFonts w:ascii="Calibri" w:hAnsi="Calibri" w:cs="Arial"/>
                <w:sz w:val="19"/>
                <w:szCs w:val="19"/>
              </w:rPr>
              <w:t>1.680.018</w:t>
            </w:r>
          </w:p>
        </w:tc>
      </w:tr>
      <w:tr w:rsidR="00CD602F" w:rsidRPr="0037153F" w14:paraId="31ACD1BE" w14:textId="77777777" w:rsidTr="00312975">
        <w:trPr>
          <w:cantSplit/>
          <w:trHeight w:val="250"/>
          <w:tblHeader/>
        </w:trPr>
        <w:tc>
          <w:tcPr>
            <w:tcW w:w="2349" w:type="pct"/>
            <w:vAlign w:val="bottom"/>
          </w:tcPr>
          <w:p w14:paraId="4460DEE6" w14:textId="77777777" w:rsidR="00CD602F" w:rsidRPr="002C12B4" w:rsidRDefault="00CD602F" w:rsidP="00CD602F">
            <w:pPr>
              <w:tabs>
                <w:tab w:val="right" w:pos="1202"/>
              </w:tabs>
              <w:spacing w:after="0" w:line="280" w:lineRule="exact"/>
              <w:outlineLvl w:val="0"/>
              <w:rPr>
                <w:sz w:val="19"/>
                <w:szCs w:val="19"/>
              </w:rPr>
            </w:pPr>
            <w:r w:rsidRPr="002C12B4">
              <w:rPr>
                <w:sz w:val="19"/>
                <w:szCs w:val="19"/>
              </w:rPr>
              <w:t>Depoziti kod drugih banaka</w:t>
            </w:r>
          </w:p>
        </w:tc>
        <w:tc>
          <w:tcPr>
            <w:tcW w:w="606" w:type="pct"/>
            <w:tcBorders>
              <w:top w:val="nil"/>
              <w:left w:val="nil"/>
              <w:bottom w:val="nil"/>
              <w:right w:val="nil"/>
            </w:tcBorders>
            <w:shd w:val="clear" w:color="auto" w:fill="auto"/>
            <w:vAlign w:val="center"/>
          </w:tcPr>
          <w:p w14:paraId="5353E39D" w14:textId="166554FE"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1.530</w:t>
            </w:r>
          </w:p>
        </w:tc>
        <w:tc>
          <w:tcPr>
            <w:tcW w:w="607" w:type="pct"/>
            <w:tcBorders>
              <w:top w:val="nil"/>
              <w:left w:val="nil"/>
              <w:bottom w:val="nil"/>
              <w:right w:val="nil"/>
            </w:tcBorders>
            <w:shd w:val="clear" w:color="auto" w:fill="auto"/>
            <w:vAlign w:val="center"/>
          </w:tcPr>
          <w:p w14:paraId="544FD181" w14:textId="487A4C2B"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18</w:t>
            </w:r>
          </w:p>
        </w:tc>
        <w:tc>
          <w:tcPr>
            <w:tcW w:w="682" w:type="pct"/>
            <w:tcBorders>
              <w:top w:val="nil"/>
              <w:left w:val="nil"/>
              <w:bottom w:val="nil"/>
              <w:right w:val="nil"/>
            </w:tcBorders>
            <w:shd w:val="clear" w:color="auto" w:fill="auto"/>
            <w:vAlign w:val="center"/>
          </w:tcPr>
          <w:p w14:paraId="1525290B" w14:textId="16C8FACB"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w:t>
            </w:r>
          </w:p>
        </w:tc>
        <w:tc>
          <w:tcPr>
            <w:tcW w:w="756" w:type="pct"/>
            <w:tcBorders>
              <w:top w:val="nil"/>
              <w:left w:val="nil"/>
              <w:bottom w:val="nil"/>
              <w:right w:val="nil"/>
            </w:tcBorders>
            <w:shd w:val="clear" w:color="auto" w:fill="auto"/>
            <w:vAlign w:val="center"/>
          </w:tcPr>
          <w:p w14:paraId="4DA4430B" w14:textId="374A0A2C"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1.548</w:t>
            </w:r>
          </w:p>
        </w:tc>
      </w:tr>
      <w:tr w:rsidR="00CD602F" w:rsidRPr="0037153F" w14:paraId="67ECD8A4" w14:textId="77777777" w:rsidTr="00312975">
        <w:trPr>
          <w:cantSplit/>
          <w:trHeight w:val="250"/>
          <w:tblHeader/>
        </w:trPr>
        <w:tc>
          <w:tcPr>
            <w:tcW w:w="2349" w:type="pct"/>
            <w:vAlign w:val="bottom"/>
          </w:tcPr>
          <w:p w14:paraId="4DF72A35" w14:textId="77777777" w:rsidR="00CD602F" w:rsidRPr="002C12B4" w:rsidRDefault="00CD602F" w:rsidP="00CD602F">
            <w:pPr>
              <w:tabs>
                <w:tab w:val="right" w:pos="1202"/>
              </w:tabs>
              <w:spacing w:after="0" w:line="280" w:lineRule="exact"/>
              <w:outlineLvl w:val="0"/>
              <w:rPr>
                <w:sz w:val="19"/>
                <w:szCs w:val="19"/>
              </w:rPr>
            </w:pPr>
            <w:r w:rsidRPr="002C12B4">
              <w:rPr>
                <w:sz w:val="19"/>
                <w:szCs w:val="19"/>
              </w:rPr>
              <w:t>Krediti financijskim institucijama</w:t>
            </w:r>
          </w:p>
        </w:tc>
        <w:tc>
          <w:tcPr>
            <w:tcW w:w="606" w:type="pct"/>
            <w:tcBorders>
              <w:top w:val="nil"/>
              <w:left w:val="nil"/>
              <w:bottom w:val="nil"/>
              <w:right w:val="nil"/>
            </w:tcBorders>
            <w:shd w:val="clear" w:color="auto" w:fill="auto"/>
            <w:vAlign w:val="center"/>
          </w:tcPr>
          <w:p w14:paraId="1E1B1856" w14:textId="2E751E51"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11.313.502</w:t>
            </w:r>
          </w:p>
        </w:tc>
        <w:tc>
          <w:tcPr>
            <w:tcW w:w="607" w:type="pct"/>
            <w:tcBorders>
              <w:top w:val="nil"/>
              <w:left w:val="nil"/>
              <w:bottom w:val="nil"/>
              <w:right w:val="nil"/>
            </w:tcBorders>
            <w:shd w:val="clear" w:color="auto" w:fill="auto"/>
            <w:vAlign w:val="center"/>
          </w:tcPr>
          <w:p w14:paraId="10814FFF" w14:textId="5E18C538"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w:t>
            </w:r>
          </w:p>
        </w:tc>
        <w:tc>
          <w:tcPr>
            <w:tcW w:w="682" w:type="pct"/>
            <w:tcBorders>
              <w:top w:val="nil"/>
              <w:left w:val="nil"/>
              <w:bottom w:val="nil"/>
              <w:right w:val="nil"/>
            </w:tcBorders>
            <w:shd w:val="clear" w:color="auto" w:fill="auto"/>
            <w:vAlign w:val="center"/>
          </w:tcPr>
          <w:p w14:paraId="4BE69851" w14:textId="7752CD3B"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w:t>
            </w:r>
          </w:p>
        </w:tc>
        <w:tc>
          <w:tcPr>
            <w:tcW w:w="756" w:type="pct"/>
            <w:tcBorders>
              <w:top w:val="nil"/>
              <w:left w:val="nil"/>
              <w:bottom w:val="nil"/>
              <w:right w:val="nil"/>
            </w:tcBorders>
            <w:shd w:val="clear" w:color="auto" w:fill="auto"/>
            <w:vAlign w:val="center"/>
          </w:tcPr>
          <w:p w14:paraId="686E3B7B" w14:textId="3E98531C"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11.313.502</w:t>
            </w:r>
          </w:p>
        </w:tc>
      </w:tr>
      <w:tr w:rsidR="00CD602F" w:rsidRPr="0037153F" w14:paraId="497F989A" w14:textId="77777777" w:rsidTr="00312975">
        <w:trPr>
          <w:cantSplit/>
          <w:trHeight w:val="250"/>
          <w:tblHeader/>
        </w:trPr>
        <w:tc>
          <w:tcPr>
            <w:tcW w:w="2349" w:type="pct"/>
            <w:vAlign w:val="bottom"/>
          </w:tcPr>
          <w:p w14:paraId="043FE832" w14:textId="77777777" w:rsidR="00CD602F" w:rsidRPr="002C12B4" w:rsidRDefault="00CD602F" w:rsidP="00CD602F">
            <w:pPr>
              <w:tabs>
                <w:tab w:val="right" w:pos="1202"/>
              </w:tabs>
              <w:spacing w:after="0" w:line="280" w:lineRule="exact"/>
              <w:outlineLvl w:val="0"/>
              <w:rPr>
                <w:sz w:val="19"/>
                <w:szCs w:val="19"/>
              </w:rPr>
            </w:pPr>
            <w:r w:rsidRPr="002C12B4">
              <w:rPr>
                <w:sz w:val="19"/>
                <w:szCs w:val="19"/>
              </w:rPr>
              <w:t>Krediti ostalim korisnicima</w:t>
            </w:r>
          </w:p>
        </w:tc>
        <w:tc>
          <w:tcPr>
            <w:tcW w:w="606" w:type="pct"/>
            <w:tcBorders>
              <w:top w:val="nil"/>
              <w:left w:val="nil"/>
              <w:bottom w:val="nil"/>
              <w:right w:val="nil"/>
            </w:tcBorders>
            <w:shd w:val="clear" w:color="auto" w:fill="auto"/>
            <w:vAlign w:val="center"/>
          </w:tcPr>
          <w:p w14:paraId="22BB66C3" w14:textId="7EA4DA3E" w:rsidR="00CD602F" w:rsidRPr="001D67D6" w:rsidRDefault="00CD602F">
            <w:pPr>
              <w:tabs>
                <w:tab w:val="right" w:pos="1202"/>
              </w:tabs>
              <w:spacing w:after="0" w:line="280" w:lineRule="exact"/>
              <w:jc w:val="right"/>
              <w:outlineLvl w:val="0"/>
              <w:rPr>
                <w:sz w:val="19"/>
                <w:szCs w:val="19"/>
              </w:rPr>
            </w:pPr>
            <w:r>
              <w:rPr>
                <w:rFonts w:ascii="Calibri" w:hAnsi="Calibri" w:cs="Arial"/>
                <w:sz w:val="19"/>
                <w:szCs w:val="19"/>
              </w:rPr>
              <w:t>11.</w:t>
            </w:r>
            <w:r w:rsidR="00B916CD">
              <w:rPr>
                <w:rFonts w:ascii="Calibri" w:hAnsi="Calibri" w:cs="Arial"/>
                <w:sz w:val="19"/>
                <w:szCs w:val="19"/>
              </w:rPr>
              <w:t>445.972</w:t>
            </w:r>
          </w:p>
        </w:tc>
        <w:tc>
          <w:tcPr>
            <w:tcW w:w="607" w:type="pct"/>
            <w:tcBorders>
              <w:top w:val="nil"/>
              <w:left w:val="nil"/>
              <w:bottom w:val="nil"/>
              <w:right w:val="nil"/>
            </w:tcBorders>
            <w:shd w:val="clear" w:color="auto" w:fill="auto"/>
            <w:vAlign w:val="center"/>
          </w:tcPr>
          <w:p w14:paraId="0A61FAD8" w14:textId="15557DA1"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w:t>
            </w:r>
          </w:p>
        </w:tc>
        <w:tc>
          <w:tcPr>
            <w:tcW w:w="682" w:type="pct"/>
            <w:tcBorders>
              <w:top w:val="nil"/>
              <w:left w:val="nil"/>
              <w:bottom w:val="nil"/>
              <w:right w:val="nil"/>
            </w:tcBorders>
            <w:shd w:val="clear" w:color="auto" w:fill="auto"/>
            <w:vAlign w:val="center"/>
          </w:tcPr>
          <w:p w14:paraId="6BE0E631" w14:textId="0F1EA37A" w:rsidR="00CD602F" w:rsidRPr="001D67D6" w:rsidRDefault="00B916CD" w:rsidP="00CD602F">
            <w:pPr>
              <w:tabs>
                <w:tab w:val="right" w:pos="1202"/>
              </w:tabs>
              <w:spacing w:after="0" w:line="280" w:lineRule="exact"/>
              <w:jc w:val="right"/>
              <w:outlineLvl w:val="0"/>
              <w:rPr>
                <w:sz w:val="19"/>
                <w:szCs w:val="19"/>
              </w:rPr>
            </w:pPr>
            <w:r>
              <w:rPr>
                <w:rFonts w:ascii="Calibri" w:hAnsi="Calibri" w:cs="Arial"/>
                <w:sz w:val="19"/>
                <w:szCs w:val="19"/>
              </w:rPr>
              <w:t>201.142</w:t>
            </w:r>
          </w:p>
        </w:tc>
        <w:tc>
          <w:tcPr>
            <w:tcW w:w="756" w:type="pct"/>
            <w:tcBorders>
              <w:top w:val="nil"/>
              <w:left w:val="nil"/>
              <w:bottom w:val="nil"/>
              <w:right w:val="nil"/>
            </w:tcBorders>
            <w:shd w:val="clear" w:color="auto" w:fill="auto"/>
            <w:vAlign w:val="center"/>
          </w:tcPr>
          <w:p w14:paraId="2DEBC8B5" w14:textId="2572278F"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11.647.114</w:t>
            </w:r>
          </w:p>
        </w:tc>
      </w:tr>
      <w:tr w:rsidR="00CD602F" w:rsidRPr="0037153F" w14:paraId="6ED33D8D" w14:textId="77777777" w:rsidTr="00312975">
        <w:trPr>
          <w:cantSplit/>
          <w:trHeight w:val="250"/>
          <w:tblHeader/>
        </w:trPr>
        <w:tc>
          <w:tcPr>
            <w:tcW w:w="2349" w:type="pct"/>
            <w:vAlign w:val="bottom"/>
          </w:tcPr>
          <w:p w14:paraId="3F0E2569" w14:textId="77777777" w:rsidR="00CD602F" w:rsidRPr="002C12B4" w:rsidRDefault="00CD602F" w:rsidP="00CD602F">
            <w:pPr>
              <w:tabs>
                <w:tab w:val="right" w:pos="1202"/>
              </w:tabs>
              <w:spacing w:after="0" w:line="280" w:lineRule="exact"/>
              <w:outlineLvl w:val="0"/>
              <w:rPr>
                <w:sz w:val="19"/>
                <w:szCs w:val="19"/>
              </w:rPr>
            </w:pPr>
            <w:r w:rsidRPr="002C12B4">
              <w:rPr>
                <w:sz w:val="19"/>
                <w:szCs w:val="19"/>
              </w:rPr>
              <w:t>Imovina raspoloživa za prodaju</w:t>
            </w:r>
          </w:p>
        </w:tc>
        <w:tc>
          <w:tcPr>
            <w:tcW w:w="606" w:type="pct"/>
            <w:tcBorders>
              <w:top w:val="nil"/>
              <w:left w:val="nil"/>
              <w:bottom w:val="nil"/>
              <w:right w:val="nil"/>
            </w:tcBorders>
            <w:shd w:val="clear" w:color="auto" w:fill="auto"/>
            <w:vAlign w:val="center"/>
          </w:tcPr>
          <w:p w14:paraId="1CBE0257" w14:textId="2764612F"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3.011.728</w:t>
            </w:r>
          </w:p>
        </w:tc>
        <w:tc>
          <w:tcPr>
            <w:tcW w:w="607" w:type="pct"/>
            <w:tcBorders>
              <w:top w:val="nil"/>
              <w:left w:val="nil"/>
              <w:bottom w:val="nil"/>
              <w:right w:val="nil"/>
            </w:tcBorders>
            <w:shd w:val="clear" w:color="auto" w:fill="auto"/>
            <w:vAlign w:val="center"/>
          </w:tcPr>
          <w:p w14:paraId="406C8B3D" w14:textId="50F0FF72"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w:t>
            </w:r>
          </w:p>
        </w:tc>
        <w:tc>
          <w:tcPr>
            <w:tcW w:w="682" w:type="pct"/>
            <w:tcBorders>
              <w:top w:val="nil"/>
              <w:left w:val="nil"/>
              <w:bottom w:val="nil"/>
              <w:right w:val="nil"/>
            </w:tcBorders>
            <w:shd w:val="clear" w:color="auto" w:fill="auto"/>
            <w:vAlign w:val="center"/>
          </w:tcPr>
          <w:p w14:paraId="1F266F84" w14:textId="48849B2B"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w:t>
            </w:r>
          </w:p>
        </w:tc>
        <w:tc>
          <w:tcPr>
            <w:tcW w:w="756" w:type="pct"/>
            <w:tcBorders>
              <w:top w:val="nil"/>
              <w:left w:val="nil"/>
              <w:bottom w:val="nil"/>
              <w:right w:val="nil"/>
            </w:tcBorders>
            <w:shd w:val="clear" w:color="auto" w:fill="auto"/>
            <w:vAlign w:val="center"/>
          </w:tcPr>
          <w:p w14:paraId="2090D1F4" w14:textId="2241A9E6"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3.011.728</w:t>
            </w:r>
          </w:p>
        </w:tc>
      </w:tr>
      <w:tr w:rsidR="00CD602F" w:rsidRPr="0037153F" w14:paraId="55D7EA19" w14:textId="77777777" w:rsidTr="00312975">
        <w:trPr>
          <w:cantSplit/>
          <w:trHeight w:val="250"/>
          <w:tblHeader/>
        </w:trPr>
        <w:tc>
          <w:tcPr>
            <w:tcW w:w="2349" w:type="pct"/>
            <w:vAlign w:val="bottom"/>
          </w:tcPr>
          <w:p w14:paraId="38ED481A" w14:textId="77777777" w:rsidR="00CD602F" w:rsidRPr="002C12B4" w:rsidRDefault="00CD602F" w:rsidP="00CD602F">
            <w:pPr>
              <w:tabs>
                <w:tab w:val="right" w:pos="1202"/>
              </w:tabs>
              <w:spacing w:after="0" w:line="280" w:lineRule="exact"/>
              <w:outlineLvl w:val="0"/>
              <w:rPr>
                <w:sz w:val="19"/>
                <w:szCs w:val="19"/>
              </w:rPr>
            </w:pPr>
            <w:r w:rsidRPr="002C12B4">
              <w:rPr>
                <w:sz w:val="19"/>
                <w:szCs w:val="19"/>
              </w:rPr>
              <w:t>Ostala imovina</w:t>
            </w:r>
          </w:p>
        </w:tc>
        <w:tc>
          <w:tcPr>
            <w:tcW w:w="606" w:type="pct"/>
            <w:tcBorders>
              <w:top w:val="nil"/>
              <w:left w:val="nil"/>
              <w:bottom w:val="nil"/>
              <w:right w:val="nil"/>
            </w:tcBorders>
            <w:shd w:val="clear" w:color="auto" w:fill="auto"/>
            <w:vAlign w:val="center"/>
          </w:tcPr>
          <w:p w14:paraId="01F3ED48" w14:textId="4C1F97E6"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3.249</w:t>
            </w:r>
          </w:p>
        </w:tc>
        <w:tc>
          <w:tcPr>
            <w:tcW w:w="607" w:type="pct"/>
            <w:tcBorders>
              <w:top w:val="nil"/>
              <w:left w:val="nil"/>
              <w:bottom w:val="nil"/>
              <w:right w:val="nil"/>
            </w:tcBorders>
            <w:shd w:val="clear" w:color="auto" w:fill="auto"/>
            <w:vAlign w:val="center"/>
          </w:tcPr>
          <w:p w14:paraId="05E2A2D9" w14:textId="731326FF"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233</w:t>
            </w:r>
          </w:p>
        </w:tc>
        <w:tc>
          <w:tcPr>
            <w:tcW w:w="682" w:type="pct"/>
            <w:tcBorders>
              <w:top w:val="nil"/>
              <w:left w:val="nil"/>
              <w:bottom w:val="nil"/>
              <w:right w:val="nil"/>
            </w:tcBorders>
            <w:shd w:val="clear" w:color="auto" w:fill="auto"/>
            <w:vAlign w:val="center"/>
          </w:tcPr>
          <w:p w14:paraId="628E2172" w14:textId="40CBF9AD"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w:t>
            </w:r>
          </w:p>
        </w:tc>
        <w:tc>
          <w:tcPr>
            <w:tcW w:w="756" w:type="pct"/>
            <w:tcBorders>
              <w:top w:val="nil"/>
              <w:left w:val="nil"/>
              <w:bottom w:val="nil"/>
              <w:right w:val="nil"/>
            </w:tcBorders>
            <w:shd w:val="clear" w:color="auto" w:fill="auto"/>
            <w:vAlign w:val="center"/>
          </w:tcPr>
          <w:p w14:paraId="01A5EF3F" w14:textId="6C363132"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3.482</w:t>
            </w:r>
          </w:p>
        </w:tc>
      </w:tr>
      <w:tr w:rsidR="00CD602F" w:rsidRPr="0037153F" w14:paraId="02FE9C73" w14:textId="77777777" w:rsidTr="00312975">
        <w:trPr>
          <w:cantSplit/>
          <w:trHeight w:val="294"/>
          <w:tblHeader/>
        </w:trPr>
        <w:tc>
          <w:tcPr>
            <w:tcW w:w="2349" w:type="pct"/>
            <w:vAlign w:val="bottom"/>
          </w:tcPr>
          <w:p w14:paraId="573CB359" w14:textId="77777777" w:rsidR="00CD602F" w:rsidRPr="002C12B4" w:rsidRDefault="00CD602F" w:rsidP="00CD602F">
            <w:pPr>
              <w:tabs>
                <w:tab w:val="right" w:pos="1202"/>
              </w:tabs>
              <w:spacing w:after="0" w:line="280" w:lineRule="exact"/>
              <w:outlineLvl w:val="0"/>
              <w:rPr>
                <w:b/>
                <w:bCs/>
                <w:sz w:val="19"/>
                <w:szCs w:val="19"/>
              </w:rPr>
            </w:pPr>
            <w:r w:rsidRPr="002C12B4">
              <w:rPr>
                <w:b/>
                <w:bCs/>
                <w:sz w:val="19"/>
                <w:szCs w:val="19"/>
              </w:rPr>
              <w:t xml:space="preserve">Ukupno </w:t>
            </w:r>
          </w:p>
        </w:tc>
        <w:tc>
          <w:tcPr>
            <w:tcW w:w="606" w:type="pct"/>
            <w:tcBorders>
              <w:top w:val="single" w:sz="8" w:space="0" w:color="auto"/>
              <w:left w:val="nil"/>
              <w:bottom w:val="single" w:sz="8" w:space="0" w:color="auto"/>
              <w:right w:val="nil"/>
            </w:tcBorders>
            <w:shd w:val="clear" w:color="auto" w:fill="auto"/>
            <w:vAlign w:val="center"/>
          </w:tcPr>
          <w:p w14:paraId="4EB942B6" w14:textId="00487186" w:rsidR="00CD602F" w:rsidRPr="001D67D6" w:rsidRDefault="00CD602F">
            <w:pPr>
              <w:tabs>
                <w:tab w:val="right" w:pos="1202"/>
              </w:tabs>
              <w:spacing w:after="0" w:line="280" w:lineRule="exact"/>
              <w:jc w:val="right"/>
              <w:outlineLvl w:val="0"/>
              <w:rPr>
                <w:b/>
                <w:sz w:val="19"/>
                <w:szCs w:val="19"/>
              </w:rPr>
            </w:pPr>
            <w:r>
              <w:rPr>
                <w:rFonts w:ascii="Calibri" w:hAnsi="Calibri" w:cs="Arial"/>
                <w:b/>
                <w:bCs/>
                <w:sz w:val="19"/>
                <w:szCs w:val="19"/>
              </w:rPr>
              <w:t>27.</w:t>
            </w:r>
            <w:r w:rsidR="00B916CD">
              <w:rPr>
                <w:rFonts w:ascii="Calibri" w:hAnsi="Calibri" w:cs="Arial"/>
                <w:b/>
                <w:bCs/>
                <w:sz w:val="19"/>
                <w:szCs w:val="19"/>
              </w:rPr>
              <w:t>273.753</w:t>
            </w:r>
          </w:p>
        </w:tc>
        <w:tc>
          <w:tcPr>
            <w:tcW w:w="607" w:type="pct"/>
            <w:tcBorders>
              <w:top w:val="single" w:sz="8" w:space="0" w:color="auto"/>
              <w:left w:val="nil"/>
              <w:bottom w:val="single" w:sz="8" w:space="0" w:color="auto"/>
              <w:right w:val="nil"/>
            </w:tcBorders>
            <w:shd w:val="clear" w:color="auto" w:fill="auto"/>
            <w:vAlign w:val="center"/>
          </w:tcPr>
          <w:p w14:paraId="344110BE" w14:textId="7637C977" w:rsidR="00CD602F" w:rsidRPr="001D67D6" w:rsidRDefault="00CD602F" w:rsidP="00CD602F">
            <w:pPr>
              <w:tabs>
                <w:tab w:val="right" w:pos="1202"/>
              </w:tabs>
              <w:spacing w:after="0" w:line="280" w:lineRule="exact"/>
              <w:jc w:val="right"/>
              <w:outlineLvl w:val="0"/>
              <w:rPr>
                <w:b/>
                <w:sz w:val="19"/>
                <w:szCs w:val="19"/>
              </w:rPr>
            </w:pPr>
            <w:r>
              <w:rPr>
                <w:rFonts w:ascii="Calibri" w:hAnsi="Calibri" w:cs="Arial"/>
                <w:b/>
                <w:bCs/>
                <w:sz w:val="19"/>
                <w:szCs w:val="19"/>
              </w:rPr>
              <w:t>174.089</w:t>
            </w:r>
          </w:p>
        </w:tc>
        <w:tc>
          <w:tcPr>
            <w:tcW w:w="682" w:type="pct"/>
            <w:tcBorders>
              <w:top w:val="single" w:sz="8" w:space="0" w:color="auto"/>
              <w:left w:val="nil"/>
              <w:bottom w:val="single" w:sz="8" w:space="0" w:color="auto"/>
              <w:right w:val="nil"/>
            </w:tcBorders>
            <w:shd w:val="clear" w:color="auto" w:fill="auto"/>
            <w:vAlign w:val="center"/>
          </w:tcPr>
          <w:p w14:paraId="3F2C0D95" w14:textId="7DF8F8B8" w:rsidR="00CD602F" w:rsidRPr="001D67D6" w:rsidRDefault="00CD602F">
            <w:pPr>
              <w:tabs>
                <w:tab w:val="right" w:pos="1202"/>
              </w:tabs>
              <w:spacing w:after="0" w:line="280" w:lineRule="exact"/>
              <w:jc w:val="right"/>
              <w:outlineLvl w:val="0"/>
              <w:rPr>
                <w:b/>
                <w:sz w:val="19"/>
                <w:szCs w:val="19"/>
              </w:rPr>
            </w:pPr>
            <w:r>
              <w:rPr>
                <w:rFonts w:ascii="Calibri" w:hAnsi="Calibri" w:cs="Arial"/>
                <w:b/>
                <w:bCs/>
                <w:sz w:val="19"/>
                <w:szCs w:val="19"/>
              </w:rPr>
              <w:t>209</w:t>
            </w:r>
            <w:r w:rsidR="00B916CD">
              <w:rPr>
                <w:rFonts w:ascii="Calibri" w:hAnsi="Calibri" w:cs="Arial"/>
                <w:b/>
                <w:bCs/>
                <w:sz w:val="19"/>
                <w:szCs w:val="19"/>
              </w:rPr>
              <w:t>.550</w:t>
            </w:r>
          </w:p>
        </w:tc>
        <w:tc>
          <w:tcPr>
            <w:tcW w:w="756" w:type="pct"/>
            <w:tcBorders>
              <w:top w:val="single" w:sz="8" w:space="0" w:color="auto"/>
              <w:left w:val="nil"/>
              <w:bottom w:val="single" w:sz="8" w:space="0" w:color="auto"/>
              <w:right w:val="nil"/>
            </w:tcBorders>
            <w:shd w:val="clear" w:color="auto" w:fill="auto"/>
            <w:vAlign w:val="center"/>
          </w:tcPr>
          <w:p w14:paraId="1811EEB0" w14:textId="536AACEB" w:rsidR="00CD602F" w:rsidRPr="001D67D6" w:rsidRDefault="00CD602F" w:rsidP="00CD602F">
            <w:pPr>
              <w:tabs>
                <w:tab w:val="right" w:pos="1202"/>
              </w:tabs>
              <w:spacing w:after="0" w:line="280" w:lineRule="exact"/>
              <w:jc w:val="right"/>
              <w:outlineLvl w:val="0"/>
              <w:rPr>
                <w:b/>
                <w:sz w:val="19"/>
                <w:szCs w:val="19"/>
              </w:rPr>
            </w:pPr>
            <w:r>
              <w:rPr>
                <w:rFonts w:ascii="Calibri" w:hAnsi="Calibri" w:cs="Arial"/>
                <w:b/>
                <w:bCs/>
                <w:sz w:val="19"/>
                <w:szCs w:val="19"/>
              </w:rPr>
              <w:t>27.657.392</w:t>
            </w:r>
          </w:p>
        </w:tc>
      </w:tr>
      <w:tr w:rsidR="00CD602F" w:rsidRPr="0037153F" w14:paraId="35816914" w14:textId="77777777" w:rsidTr="00CD602F">
        <w:tblPrEx>
          <w:tblCellMar>
            <w:left w:w="31" w:type="dxa"/>
            <w:right w:w="31" w:type="dxa"/>
          </w:tblCellMar>
        </w:tblPrEx>
        <w:trPr>
          <w:cantSplit/>
          <w:trHeight w:val="250"/>
          <w:tblHeader/>
        </w:trPr>
        <w:tc>
          <w:tcPr>
            <w:tcW w:w="2349" w:type="pct"/>
            <w:vAlign w:val="bottom"/>
          </w:tcPr>
          <w:p w14:paraId="7CC49854" w14:textId="77777777" w:rsidR="00526E61" w:rsidRPr="002C12B4" w:rsidRDefault="00526E61" w:rsidP="00526E61">
            <w:pPr>
              <w:tabs>
                <w:tab w:val="right" w:pos="1202"/>
              </w:tabs>
              <w:spacing w:after="0" w:line="280" w:lineRule="exact"/>
              <w:outlineLvl w:val="0"/>
              <w:rPr>
                <w:b/>
                <w:bCs/>
                <w:sz w:val="19"/>
                <w:szCs w:val="19"/>
              </w:rPr>
            </w:pPr>
          </w:p>
        </w:tc>
        <w:tc>
          <w:tcPr>
            <w:tcW w:w="606" w:type="pct"/>
            <w:tcBorders>
              <w:top w:val="single" w:sz="12" w:space="0" w:color="auto"/>
            </w:tcBorders>
            <w:vAlign w:val="bottom"/>
          </w:tcPr>
          <w:p w14:paraId="1D14C355" w14:textId="77777777" w:rsidR="00526E61" w:rsidRPr="001D67D6" w:rsidRDefault="00526E61" w:rsidP="00526E61">
            <w:pPr>
              <w:tabs>
                <w:tab w:val="right" w:pos="1202"/>
              </w:tabs>
              <w:spacing w:after="0" w:line="280" w:lineRule="exact"/>
              <w:jc w:val="right"/>
              <w:outlineLvl w:val="0"/>
              <w:rPr>
                <w:sz w:val="19"/>
                <w:szCs w:val="19"/>
              </w:rPr>
            </w:pPr>
          </w:p>
        </w:tc>
        <w:tc>
          <w:tcPr>
            <w:tcW w:w="607" w:type="pct"/>
            <w:tcBorders>
              <w:top w:val="single" w:sz="12" w:space="0" w:color="auto"/>
            </w:tcBorders>
            <w:vAlign w:val="bottom"/>
          </w:tcPr>
          <w:p w14:paraId="4096652D" w14:textId="77777777" w:rsidR="00526E61" w:rsidRPr="001D67D6" w:rsidRDefault="00526E61" w:rsidP="00526E61">
            <w:pPr>
              <w:tabs>
                <w:tab w:val="right" w:pos="1202"/>
              </w:tabs>
              <w:spacing w:after="0" w:line="280" w:lineRule="exact"/>
              <w:jc w:val="right"/>
              <w:outlineLvl w:val="0"/>
              <w:rPr>
                <w:sz w:val="19"/>
                <w:szCs w:val="19"/>
              </w:rPr>
            </w:pPr>
          </w:p>
        </w:tc>
        <w:tc>
          <w:tcPr>
            <w:tcW w:w="682" w:type="pct"/>
            <w:tcBorders>
              <w:top w:val="single" w:sz="12" w:space="0" w:color="auto"/>
            </w:tcBorders>
            <w:vAlign w:val="bottom"/>
          </w:tcPr>
          <w:p w14:paraId="64B44C42" w14:textId="77777777" w:rsidR="00526E61" w:rsidRPr="001D67D6" w:rsidRDefault="00526E61" w:rsidP="00526E61">
            <w:pPr>
              <w:tabs>
                <w:tab w:val="right" w:pos="1202"/>
              </w:tabs>
              <w:spacing w:after="0" w:line="280" w:lineRule="exact"/>
              <w:jc w:val="right"/>
              <w:outlineLvl w:val="0"/>
              <w:rPr>
                <w:sz w:val="19"/>
                <w:szCs w:val="19"/>
              </w:rPr>
            </w:pPr>
          </w:p>
        </w:tc>
        <w:tc>
          <w:tcPr>
            <w:tcW w:w="756" w:type="pct"/>
            <w:tcBorders>
              <w:top w:val="single" w:sz="12" w:space="0" w:color="auto"/>
            </w:tcBorders>
            <w:vAlign w:val="bottom"/>
          </w:tcPr>
          <w:p w14:paraId="73DE62CE" w14:textId="77777777" w:rsidR="00526E61" w:rsidRPr="001D67D6" w:rsidRDefault="00526E61" w:rsidP="00526E61">
            <w:pPr>
              <w:tabs>
                <w:tab w:val="right" w:pos="1202"/>
              </w:tabs>
              <w:spacing w:after="0" w:line="280" w:lineRule="exact"/>
              <w:jc w:val="right"/>
              <w:outlineLvl w:val="0"/>
              <w:rPr>
                <w:sz w:val="19"/>
                <w:szCs w:val="19"/>
              </w:rPr>
            </w:pPr>
          </w:p>
        </w:tc>
      </w:tr>
      <w:tr w:rsidR="00CD602F" w:rsidRPr="0037153F" w14:paraId="1A8A9F37" w14:textId="77777777" w:rsidTr="00CD602F">
        <w:tblPrEx>
          <w:tblCellMar>
            <w:left w:w="31" w:type="dxa"/>
            <w:right w:w="31" w:type="dxa"/>
          </w:tblCellMar>
        </w:tblPrEx>
        <w:trPr>
          <w:cantSplit/>
          <w:trHeight w:val="250"/>
          <w:tblHeader/>
        </w:trPr>
        <w:tc>
          <w:tcPr>
            <w:tcW w:w="2349" w:type="pct"/>
          </w:tcPr>
          <w:p w14:paraId="40A90200" w14:textId="77777777" w:rsidR="00526E61" w:rsidRPr="002C12B4" w:rsidRDefault="00526E61" w:rsidP="00526E61">
            <w:pPr>
              <w:tabs>
                <w:tab w:val="right" w:pos="1202"/>
              </w:tabs>
              <w:spacing w:after="0" w:line="280" w:lineRule="exact"/>
              <w:outlineLvl w:val="0"/>
              <w:rPr>
                <w:b/>
                <w:bCs/>
                <w:sz w:val="19"/>
                <w:szCs w:val="19"/>
              </w:rPr>
            </w:pPr>
            <w:r w:rsidRPr="002C12B4">
              <w:rPr>
                <w:rFonts w:cs="Arial"/>
                <w:b/>
                <w:bCs/>
                <w:sz w:val="19"/>
                <w:szCs w:val="19"/>
              </w:rPr>
              <w:t>Garancije i preuzete obveze</w:t>
            </w:r>
          </w:p>
        </w:tc>
        <w:tc>
          <w:tcPr>
            <w:tcW w:w="606" w:type="pct"/>
            <w:vAlign w:val="bottom"/>
          </w:tcPr>
          <w:p w14:paraId="2EBE9CC2" w14:textId="77777777" w:rsidR="00526E61" w:rsidRPr="001D67D6" w:rsidRDefault="00526E61" w:rsidP="00526E61">
            <w:pPr>
              <w:tabs>
                <w:tab w:val="right" w:pos="1202"/>
              </w:tabs>
              <w:spacing w:after="0" w:line="280" w:lineRule="exact"/>
              <w:jc w:val="right"/>
              <w:outlineLvl w:val="0"/>
              <w:rPr>
                <w:sz w:val="19"/>
                <w:szCs w:val="19"/>
              </w:rPr>
            </w:pPr>
          </w:p>
        </w:tc>
        <w:tc>
          <w:tcPr>
            <w:tcW w:w="607" w:type="pct"/>
            <w:vAlign w:val="bottom"/>
          </w:tcPr>
          <w:p w14:paraId="61908163" w14:textId="77777777" w:rsidR="00526E61" w:rsidRPr="001D67D6" w:rsidRDefault="00526E61" w:rsidP="00526E61">
            <w:pPr>
              <w:tabs>
                <w:tab w:val="right" w:pos="1202"/>
              </w:tabs>
              <w:spacing w:after="0" w:line="280" w:lineRule="exact"/>
              <w:jc w:val="right"/>
              <w:outlineLvl w:val="0"/>
              <w:rPr>
                <w:sz w:val="19"/>
                <w:szCs w:val="19"/>
              </w:rPr>
            </w:pPr>
          </w:p>
        </w:tc>
        <w:tc>
          <w:tcPr>
            <w:tcW w:w="682" w:type="pct"/>
            <w:vAlign w:val="bottom"/>
          </w:tcPr>
          <w:p w14:paraId="7FC094AB" w14:textId="77777777" w:rsidR="00526E61" w:rsidRPr="001D67D6" w:rsidRDefault="00526E61" w:rsidP="00526E61">
            <w:pPr>
              <w:tabs>
                <w:tab w:val="right" w:pos="1202"/>
              </w:tabs>
              <w:spacing w:after="0" w:line="280" w:lineRule="exact"/>
              <w:jc w:val="right"/>
              <w:outlineLvl w:val="0"/>
              <w:rPr>
                <w:sz w:val="19"/>
                <w:szCs w:val="19"/>
              </w:rPr>
            </w:pPr>
          </w:p>
        </w:tc>
        <w:tc>
          <w:tcPr>
            <w:tcW w:w="756" w:type="pct"/>
            <w:vAlign w:val="bottom"/>
          </w:tcPr>
          <w:p w14:paraId="1A145EEE" w14:textId="77777777" w:rsidR="00526E61" w:rsidRPr="001D67D6" w:rsidRDefault="00526E61" w:rsidP="00526E61">
            <w:pPr>
              <w:tabs>
                <w:tab w:val="right" w:pos="1202"/>
              </w:tabs>
              <w:spacing w:after="0" w:line="280" w:lineRule="exact"/>
              <w:jc w:val="right"/>
              <w:outlineLvl w:val="0"/>
              <w:rPr>
                <w:sz w:val="19"/>
                <w:szCs w:val="19"/>
              </w:rPr>
            </w:pPr>
          </w:p>
        </w:tc>
      </w:tr>
      <w:tr w:rsidR="00CD602F" w:rsidRPr="0037153F" w14:paraId="1BBE22E8" w14:textId="77777777" w:rsidTr="00312975">
        <w:tblPrEx>
          <w:tblCellMar>
            <w:left w:w="31" w:type="dxa"/>
            <w:right w:w="31" w:type="dxa"/>
          </w:tblCellMar>
        </w:tblPrEx>
        <w:trPr>
          <w:cantSplit/>
          <w:trHeight w:val="250"/>
          <w:tblHeader/>
        </w:trPr>
        <w:tc>
          <w:tcPr>
            <w:tcW w:w="2349" w:type="pct"/>
            <w:vAlign w:val="bottom"/>
          </w:tcPr>
          <w:p w14:paraId="530AB0C9" w14:textId="77777777" w:rsidR="00CD602F" w:rsidRPr="002C12B4" w:rsidRDefault="00CD602F" w:rsidP="00CD602F">
            <w:pPr>
              <w:tabs>
                <w:tab w:val="right" w:pos="1202"/>
              </w:tabs>
              <w:spacing w:after="0" w:line="280" w:lineRule="exact"/>
              <w:outlineLvl w:val="0"/>
              <w:rPr>
                <w:sz w:val="19"/>
                <w:szCs w:val="19"/>
              </w:rPr>
            </w:pPr>
            <w:r w:rsidRPr="002C12B4">
              <w:rPr>
                <w:sz w:val="19"/>
                <w:szCs w:val="19"/>
              </w:rPr>
              <w:t>Izdane garancije u kunama</w:t>
            </w:r>
          </w:p>
        </w:tc>
        <w:tc>
          <w:tcPr>
            <w:tcW w:w="606" w:type="pct"/>
            <w:tcBorders>
              <w:top w:val="nil"/>
              <w:left w:val="nil"/>
              <w:bottom w:val="nil"/>
              <w:right w:val="nil"/>
            </w:tcBorders>
            <w:shd w:val="clear" w:color="auto" w:fill="auto"/>
            <w:vAlign w:val="center"/>
          </w:tcPr>
          <w:p w14:paraId="5C2CE483" w14:textId="3E7899CC"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27.051</w:t>
            </w:r>
          </w:p>
        </w:tc>
        <w:tc>
          <w:tcPr>
            <w:tcW w:w="607" w:type="pct"/>
            <w:tcBorders>
              <w:top w:val="nil"/>
              <w:left w:val="nil"/>
              <w:bottom w:val="nil"/>
              <w:right w:val="nil"/>
            </w:tcBorders>
            <w:shd w:val="clear" w:color="auto" w:fill="auto"/>
            <w:vAlign w:val="center"/>
          </w:tcPr>
          <w:p w14:paraId="41475918" w14:textId="33B10C90"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602</w:t>
            </w:r>
          </w:p>
        </w:tc>
        <w:tc>
          <w:tcPr>
            <w:tcW w:w="682" w:type="pct"/>
            <w:tcBorders>
              <w:top w:val="nil"/>
              <w:left w:val="nil"/>
              <w:bottom w:val="nil"/>
              <w:right w:val="nil"/>
            </w:tcBorders>
            <w:shd w:val="clear" w:color="auto" w:fill="auto"/>
            <w:vAlign w:val="center"/>
          </w:tcPr>
          <w:p w14:paraId="6931CFF3" w14:textId="2A3BC7E8"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w:t>
            </w:r>
          </w:p>
        </w:tc>
        <w:tc>
          <w:tcPr>
            <w:tcW w:w="756" w:type="pct"/>
            <w:tcBorders>
              <w:top w:val="nil"/>
              <w:left w:val="nil"/>
              <w:bottom w:val="nil"/>
              <w:right w:val="nil"/>
            </w:tcBorders>
            <w:shd w:val="clear" w:color="auto" w:fill="auto"/>
            <w:vAlign w:val="center"/>
          </w:tcPr>
          <w:p w14:paraId="37037C23" w14:textId="5270CFB8"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27.653</w:t>
            </w:r>
          </w:p>
        </w:tc>
      </w:tr>
      <w:tr w:rsidR="00CD602F" w:rsidRPr="0037153F" w14:paraId="71185695" w14:textId="77777777" w:rsidTr="00312975">
        <w:tblPrEx>
          <w:tblCellMar>
            <w:left w:w="31" w:type="dxa"/>
            <w:right w:w="31" w:type="dxa"/>
          </w:tblCellMar>
        </w:tblPrEx>
        <w:trPr>
          <w:cantSplit/>
          <w:trHeight w:val="250"/>
          <w:tblHeader/>
        </w:trPr>
        <w:tc>
          <w:tcPr>
            <w:tcW w:w="2349" w:type="pct"/>
            <w:vAlign w:val="bottom"/>
          </w:tcPr>
          <w:p w14:paraId="684DF01A" w14:textId="77777777" w:rsidR="00CD602F" w:rsidRPr="002C12B4" w:rsidRDefault="00CD602F" w:rsidP="00CD602F">
            <w:pPr>
              <w:tabs>
                <w:tab w:val="right" w:pos="1202"/>
              </w:tabs>
              <w:spacing w:after="0" w:line="280" w:lineRule="exact"/>
              <w:outlineLvl w:val="0"/>
              <w:rPr>
                <w:sz w:val="19"/>
                <w:szCs w:val="19"/>
              </w:rPr>
            </w:pPr>
            <w:r w:rsidRPr="002C12B4">
              <w:rPr>
                <w:sz w:val="19"/>
                <w:szCs w:val="19"/>
              </w:rPr>
              <w:t>Izdane garancije u devizama</w:t>
            </w:r>
          </w:p>
        </w:tc>
        <w:tc>
          <w:tcPr>
            <w:tcW w:w="606" w:type="pct"/>
            <w:tcBorders>
              <w:top w:val="nil"/>
              <w:left w:val="nil"/>
              <w:bottom w:val="nil"/>
              <w:right w:val="nil"/>
            </w:tcBorders>
            <w:shd w:val="clear" w:color="auto" w:fill="auto"/>
            <w:vAlign w:val="center"/>
          </w:tcPr>
          <w:p w14:paraId="1100FCC6" w14:textId="4CDDA7C6"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1.897.841</w:t>
            </w:r>
          </w:p>
        </w:tc>
        <w:tc>
          <w:tcPr>
            <w:tcW w:w="607" w:type="pct"/>
            <w:tcBorders>
              <w:top w:val="nil"/>
              <w:left w:val="nil"/>
              <w:bottom w:val="nil"/>
              <w:right w:val="nil"/>
            </w:tcBorders>
            <w:shd w:val="clear" w:color="auto" w:fill="auto"/>
            <w:vAlign w:val="center"/>
          </w:tcPr>
          <w:p w14:paraId="6DEDFDE9" w14:textId="6E7A4047"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w:t>
            </w:r>
          </w:p>
        </w:tc>
        <w:tc>
          <w:tcPr>
            <w:tcW w:w="682" w:type="pct"/>
            <w:tcBorders>
              <w:top w:val="nil"/>
              <w:left w:val="nil"/>
              <w:bottom w:val="nil"/>
              <w:right w:val="nil"/>
            </w:tcBorders>
            <w:shd w:val="clear" w:color="auto" w:fill="auto"/>
            <w:vAlign w:val="center"/>
          </w:tcPr>
          <w:p w14:paraId="5E32C682" w14:textId="6300CC77"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w:t>
            </w:r>
          </w:p>
        </w:tc>
        <w:tc>
          <w:tcPr>
            <w:tcW w:w="756" w:type="pct"/>
            <w:tcBorders>
              <w:top w:val="nil"/>
              <w:left w:val="nil"/>
              <w:bottom w:val="nil"/>
              <w:right w:val="nil"/>
            </w:tcBorders>
            <w:shd w:val="clear" w:color="auto" w:fill="auto"/>
            <w:vAlign w:val="center"/>
          </w:tcPr>
          <w:p w14:paraId="5CF65499" w14:textId="30B0E7FE"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1.897.841</w:t>
            </w:r>
          </w:p>
        </w:tc>
      </w:tr>
      <w:tr w:rsidR="00CD602F" w:rsidRPr="0037153F" w14:paraId="108B9485" w14:textId="77777777" w:rsidTr="00312975">
        <w:tblPrEx>
          <w:tblCellMar>
            <w:left w:w="31" w:type="dxa"/>
            <w:right w:w="31" w:type="dxa"/>
          </w:tblCellMar>
        </w:tblPrEx>
        <w:trPr>
          <w:cantSplit/>
          <w:trHeight w:val="250"/>
          <w:tblHeader/>
        </w:trPr>
        <w:tc>
          <w:tcPr>
            <w:tcW w:w="2349" w:type="pct"/>
            <w:vAlign w:val="bottom"/>
          </w:tcPr>
          <w:p w14:paraId="1134C740" w14:textId="7DB1794E" w:rsidR="00CD602F" w:rsidRPr="002C12B4" w:rsidRDefault="00CD602F" w:rsidP="00CD602F">
            <w:pPr>
              <w:tabs>
                <w:tab w:val="right" w:pos="1202"/>
              </w:tabs>
              <w:spacing w:after="0" w:line="280" w:lineRule="exact"/>
              <w:outlineLvl w:val="0"/>
              <w:rPr>
                <w:sz w:val="19"/>
                <w:szCs w:val="19"/>
              </w:rPr>
            </w:pPr>
            <w:r w:rsidRPr="001D67D6">
              <w:rPr>
                <w:rFonts w:ascii="Calibri" w:eastAsia="Times New Roman" w:hAnsi="Calibri" w:cs="Times New Roman"/>
                <w:sz w:val="19"/>
                <w:szCs w:val="19"/>
              </w:rPr>
              <w:t>Otvoreni akreditivi u devizama</w:t>
            </w:r>
          </w:p>
        </w:tc>
        <w:tc>
          <w:tcPr>
            <w:tcW w:w="606" w:type="pct"/>
            <w:tcBorders>
              <w:top w:val="nil"/>
              <w:left w:val="nil"/>
              <w:bottom w:val="nil"/>
              <w:right w:val="nil"/>
            </w:tcBorders>
            <w:shd w:val="clear" w:color="auto" w:fill="auto"/>
            <w:vAlign w:val="center"/>
          </w:tcPr>
          <w:p w14:paraId="30CC8C83" w14:textId="0DC0D14B"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2.218</w:t>
            </w:r>
          </w:p>
        </w:tc>
        <w:tc>
          <w:tcPr>
            <w:tcW w:w="607" w:type="pct"/>
            <w:tcBorders>
              <w:top w:val="nil"/>
              <w:left w:val="nil"/>
              <w:bottom w:val="nil"/>
              <w:right w:val="nil"/>
            </w:tcBorders>
            <w:shd w:val="clear" w:color="auto" w:fill="auto"/>
            <w:vAlign w:val="center"/>
          </w:tcPr>
          <w:p w14:paraId="32375085" w14:textId="3929F1CE"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w:t>
            </w:r>
          </w:p>
        </w:tc>
        <w:tc>
          <w:tcPr>
            <w:tcW w:w="682" w:type="pct"/>
            <w:tcBorders>
              <w:top w:val="nil"/>
              <w:left w:val="nil"/>
              <w:bottom w:val="nil"/>
              <w:right w:val="nil"/>
            </w:tcBorders>
            <w:shd w:val="clear" w:color="auto" w:fill="auto"/>
            <w:vAlign w:val="center"/>
          </w:tcPr>
          <w:p w14:paraId="0F18BC96" w14:textId="192E3139"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w:t>
            </w:r>
          </w:p>
        </w:tc>
        <w:tc>
          <w:tcPr>
            <w:tcW w:w="756" w:type="pct"/>
            <w:tcBorders>
              <w:top w:val="nil"/>
              <w:left w:val="nil"/>
              <w:bottom w:val="nil"/>
              <w:right w:val="nil"/>
            </w:tcBorders>
            <w:shd w:val="clear" w:color="auto" w:fill="auto"/>
            <w:vAlign w:val="center"/>
          </w:tcPr>
          <w:p w14:paraId="430777CC" w14:textId="1C2312D4"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2.218</w:t>
            </w:r>
          </w:p>
        </w:tc>
      </w:tr>
      <w:tr w:rsidR="00CD602F" w:rsidRPr="0037153F" w14:paraId="5D4AD42D" w14:textId="77777777" w:rsidTr="00312975">
        <w:tblPrEx>
          <w:tblCellMar>
            <w:left w:w="31" w:type="dxa"/>
            <w:right w:w="31" w:type="dxa"/>
          </w:tblCellMar>
        </w:tblPrEx>
        <w:trPr>
          <w:cantSplit/>
          <w:trHeight w:val="250"/>
          <w:tblHeader/>
        </w:trPr>
        <w:tc>
          <w:tcPr>
            <w:tcW w:w="2349" w:type="pct"/>
            <w:vAlign w:val="bottom"/>
          </w:tcPr>
          <w:p w14:paraId="4DBE8CA3" w14:textId="77777777" w:rsidR="00CD602F" w:rsidRPr="002C12B4" w:rsidRDefault="00CD602F" w:rsidP="00CD602F">
            <w:pPr>
              <w:tabs>
                <w:tab w:val="right" w:pos="1202"/>
              </w:tabs>
              <w:spacing w:after="0" w:line="280" w:lineRule="exact"/>
              <w:outlineLvl w:val="0"/>
              <w:rPr>
                <w:sz w:val="19"/>
                <w:szCs w:val="19"/>
              </w:rPr>
            </w:pPr>
            <w:r w:rsidRPr="002C12B4">
              <w:rPr>
                <w:sz w:val="19"/>
                <w:szCs w:val="19"/>
              </w:rPr>
              <w:t>Preuzete obveze po kreditima</w:t>
            </w:r>
          </w:p>
        </w:tc>
        <w:tc>
          <w:tcPr>
            <w:tcW w:w="606" w:type="pct"/>
            <w:tcBorders>
              <w:top w:val="nil"/>
              <w:left w:val="nil"/>
              <w:bottom w:val="nil"/>
              <w:right w:val="nil"/>
            </w:tcBorders>
            <w:shd w:val="clear" w:color="auto" w:fill="auto"/>
            <w:vAlign w:val="center"/>
          </w:tcPr>
          <w:p w14:paraId="22262275" w14:textId="08960E8F"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3.546.487</w:t>
            </w:r>
          </w:p>
        </w:tc>
        <w:tc>
          <w:tcPr>
            <w:tcW w:w="607" w:type="pct"/>
            <w:tcBorders>
              <w:top w:val="nil"/>
              <w:left w:val="nil"/>
              <w:bottom w:val="nil"/>
              <w:right w:val="nil"/>
            </w:tcBorders>
            <w:shd w:val="clear" w:color="auto" w:fill="auto"/>
            <w:vAlign w:val="center"/>
          </w:tcPr>
          <w:p w14:paraId="2C04A2CB" w14:textId="7FB9389F"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w:t>
            </w:r>
          </w:p>
        </w:tc>
        <w:tc>
          <w:tcPr>
            <w:tcW w:w="682" w:type="pct"/>
            <w:tcBorders>
              <w:top w:val="nil"/>
              <w:left w:val="nil"/>
              <w:bottom w:val="nil"/>
              <w:right w:val="nil"/>
            </w:tcBorders>
            <w:shd w:val="clear" w:color="auto" w:fill="auto"/>
            <w:vAlign w:val="center"/>
          </w:tcPr>
          <w:p w14:paraId="48E619BE" w14:textId="7FBE2032"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w:t>
            </w:r>
          </w:p>
        </w:tc>
        <w:tc>
          <w:tcPr>
            <w:tcW w:w="756" w:type="pct"/>
            <w:tcBorders>
              <w:top w:val="nil"/>
              <w:left w:val="nil"/>
              <w:bottom w:val="nil"/>
              <w:right w:val="nil"/>
            </w:tcBorders>
            <w:shd w:val="clear" w:color="auto" w:fill="auto"/>
            <w:vAlign w:val="center"/>
          </w:tcPr>
          <w:p w14:paraId="3E765940" w14:textId="3BE628DB"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3.546.487</w:t>
            </w:r>
          </w:p>
        </w:tc>
      </w:tr>
      <w:tr w:rsidR="00CD602F" w:rsidRPr="0037153F" w14:paraId="50648B18" w14:textId="77777777" w:rsidTr="00312975">
        <w:tblPrEx>
          <w:tblCellMar>
            <w:left w:w="31" w:type="dxa"/>
            <w:right w:w="31" w:type="dxa"/>
          </w:tblCellMar>
        </w:tblPrEx>
        <w:trPr>
          <w:cantSplit/>
          <w:trHeight w:val="203"/>
          <w:tblHeader/>
        </w:trPr>
        <w:tc>
          <w:tcPr>
            <w:tcW w:w="2349" w:type="pct"/>
            <w:vAlign w:val="bottom"/>
          </w:tcPr>
          <w:p w14:paraId="6E3683D5" w14:textId="77777777" w:rsidR="00CD602F" w:rsidRPr="002C12B4" w:rsidRDefault="00CD602F" w:rsidP="00CD602F">
            <w:pPr>
              <w:tabs>
                <w:tab w:val="right" w:pos="1202"/>
              </w:tabs>
              <w:spacing w:after="0" w:line="280" w:lineRule="exact"/>
              <w:outlineLvl w:val="0"/>
              <w:rPr>
                <w:bCs/>
                <w:sz w:val="19"/>
                <w:szCs w:val="19"/>
              </w:rPr>
            </w:pPr>
            <w:r w:rsidRPr="002C12B4">
              <w:rPr>
                <w:bCs/>
                <w:sz w:val="19"/>
                <w:szCs w:val="19"/>
              </w:rPr>
              <w:t>Ostale nespomenute neopozive potencijalne obveze</w:t>
            </w:r>
          </w:p>
        </w:tc>
        <w:tc>
          <w:tcPr>
            <w:tcW w:w="606" w:type="pct"/>
            <w:tcBorders>
              <w:top w:val="nil"/>
              <w:left w:val="nil"/>
              <w:bottom w:val="nil"/>
              <w:right w:val="nil"/>
            </w:tcBorders>
            <w:shd w:val="clear" w:color="auto" w:fill="auto"/>
            <w:vAlign w:val="center"/>
          </w:tcPr>
          <w:p w14:paraId="3C6C82E2" w14:textId="0E94933F" w:rsidR="00CD602F" w:rsidRPr="001D67D6" w:rsidRDefault="00E0653A" w:rsidP="00CD602F">
            <w:pPr>
              <w:tabs>
                <w:tab w:val="right" w:pos="1202"/>
              </w:tabs>
              <w:spacing w:after="0" w:line="280" w:lineRule="exact"/>
              <w:jc w:val="right"/>
              <w:outlineLvl w:val="0"/>
              <w:rPr>
                <w:sz w:val="19"/>
                <w:szCs w:val="19"/>
              </w:rPr>
            </w:pPr>
            <w:r>
              <w:rPr>
                <w:rFonts w:ascii="Calibri" w:hAnsi="Calibri" w:cs="Arial"/>
                <w:sz w:val="19"/>
                <w:szCs w:val="19"/>
              </w:rPr>
              <w:t>335</w:t>
            </w:r>
          </w:p>
        </w:tc>
        <w:tc>
          <w:tcPr>
            <w:tcW w:w="607" w:type="pct"/>
            <w:tcBorders>
              <w:top w:val="nil"/>
              <w:left w:val="nil"/>
              <w:bottom w:val="nil"/>
              <w:right w:val="nil"/>
            </w:tcBorders>
            <w:shd w:val="clear" w:color="auto" w:fill="auto"/>
            <w:vAlign w:val="center"/>
          </w:tcPr>
          <w:p w14:paraId="29E5DF5C" w14:textId="74E189B6"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w:t>
            </w:r>
          </w:p>
        </w:tc>
        <w:tc>
          <w:tcPr>
            <w:tcW w:w="682" w:type="pct"/>
            <w:tcBorders>
              <w:top w:val="nil"/>
              <w:left w:val="nil"/>
              <w:bottom w:val="nil"/>
              <w:right w:val="nil"/>
            </w:tcBorders>
            <w:shd w:val="clear" w:color="auto" w:fill="auto"/>
            <w:vAlign w:val="center"/>
          </w:tcPr>
          <w:p w14:paraId="72B69C4B" w14:textId="0B6D034E" w:rsidR="00CD602F" w:rsidRPr="001D67D6" w:rsidRDefault="00CD602F" w:rsidP="00CD602F">
            <w:pPr>
              <w:tabs>
                <w:tab w:val="right" w:pos="1202"/>
              </w:tabs>
              <w:spacing w:after="0" w:line="280" w:lineRule="exact"/>
              <w:jc w:val="right"/>
              <w:outlineLvl w:val="0"/>
              <w:rPr>
                <w:sz w:val="19"/>
                <w:szCs w:val="19"/>
              </w:rPr>
            </w:pPr>
            <w:r>
              <w:rPr>
                <w:rFonts w:ascii="Calibri" w:hAnsi="Calibri" w:cs="Arial"/>
                <w:sz w:val="19"/>
                <w:szCs w:val="19"/>
              </w:rPr>
              <w:t>-</w:t>
            </w:r>
          </w:p>
        </w:tc>
        <w:tc>
          <w:tcPr>
            <w:tcW w:w="756" w:type="pct"/>
            <w:tcBorders>
              <w:top w:val="nil"/>
              <w:left w:val="nil"/>
              <w:bottom w:val="nil"/>
              <w:right w:val="nil"/>
            </w:tcBorders>
            <w:shd w:val="clear" w:color="auto" w:fill="auto"/>
            <w:vAlign w:val="center"/>
          </w:tcPr>
          <w:p w14:paraId="6296DB36" w14:textId="448DB7F5" w:rsidR="00CD602F" w:rsidRPr="001D67D6" w:rsidRDefault="00E0653A" w:rsidP="00CD602F">
            <w:pPr>
              <w:tabs>
                <w:tab w:val="right" w:pos="1202"/>
              </w:tabs>
              <w:spacing w:after="0" w:line="280" w:lineRule="exact"/>
              <w:jc w:val="right"/>
              <w:outlineLvl w:val="0"/>
              <w:rPr>
                <w:sz w:val="19"/>
                <w:szCs w:val="19"/>
              </w:rPr>
            </w:pPr>
            <w:r>
              <w:rPr>
                <w:rFonts w:ascii="Calibri" w:hAnsi="Calibri" w:cs="Arial"/>
                <w:sz w:val="19"/>
                <w:szCs w:val="19"/>
              </w:rPr>
              <w:t>335</w:t>
            </w:r>
          </w:p>
        </w:tc>
      </w:tr>
      <w:tr w:rsidR="00CD602F" w:rsidRPr="0037153F" w14:paraId="48DB0D63" w14:textId="77777777" w:rsidTr="00312975">
        <w:tblPrEx>
          <w:tblCellMar>
            <w:left w:w="31" w:type="dxa"/>
            <w:right w:w="31" w:type="dxa"/>
          </w:tblCellMar>
        </w:tblPrEx>
        <w:trPr>
          <w:cantSplit/>
          <w:trHeight w:val="203"/>
          <w:tblHeader/>
        </w:trPr>
        <w:tc>
          <w:tcPr>
            <w:tcW w:w="2349" w:type="pct"/>
            <w:vAlign w:val="bottom"/>
          </w:tcPr>
          <w:p w14:paraId="3C3907D0" w14:textId="77777777" w:rsidR="00CD602F" w:rsidRPr="002C12B4" w:rsidRDefault="00CD602F" w:rsidP="00CD602F">
            <w:pPr>
              <w:tabs>
                <w:tab w:val="right" w:pos="1202"/>
              </w:tabs>
              <w:spacing w:after="0" w:line="280" w:lineRule="exact"/>
              <w:outlineLvl w:val="0"/>
              <w:rPr>
                <w:b/>
                <w:bCs/>
                <w:sz w:val="19"/>
                <w:szCs w:val="19"/>
              </w:rPr>
            </w:pPr>
            <w:r w:rsidRPr="002C12B4">
              <w:rPr>
                <w:b/>
                <w:bCs/>
                <w:sz w:val="19"/>
                <w:szCs w:val="19"/>
              </w:rPr>
              <w:t>Ukupno</w:t>
            </w:r>
          </w:p>
        </w:tc>
        <w:tc>
          <w:tcPr>
            <w:tcW w:w="606" w:type="pct"/>
            <w:tcBorders>
              <w:top w:val="single" w:sz="8" w:space="0" w:color="auto"/>
              <w:left w:val="nil"/>
              <w:bottom w:val="single" w:sz="12" w:space="0" w:color="auto"/>
              <w:right w:val="nil"/>
            </w:tcBorders>
            <w:shd w:val="clear" w:color="auto" w:fill="auto"/>
            <w:vAlign w:val="center"/>
          </w:tcPr>
          <w:p w14:paraId="72ED8635" w14:textId="0BD6FEA9" w:rsidR="00CD602F" w:rsidRPr="001D67D6" w:rsidRDefault="00CD602F" w:rsidP="00CD602F">
            <w:pPr>
              <w:tabs>
                <w:tab w:val="right" w:pos="1202"/>
              </w:tabs>
              <w:spacing w:after="0" w:line="280" w:lineRule="exact"/>
              <w:jc w:val="right"/>
              <w:outlineLvl w:val="0"/>
              <w:rPr>
                <w:b/>
                <w:sz w:val="19"/>
                <w:szCs w:val="19"/>
              </w:rPr>
            </w:pPr>
            <w:r>
              <w:rPr>
                <w:rFonts w:ascii="Calibri" w:hAnsi="Calibri" w:cs="Arial"/>
                <w:b/>
                <w:bCs/>
                <w:sz w:val="19"/>
                <w:szCs w:val="19"/>
              </w:rPr>
              <w:t>5.473.932</w:t>
            </w:r>
          </w:p>
        </w:tc>
        <w:tc>
          <w:tcPr>
            <w:tcW w:w="607" w:type="pct"/>
            <w:tcBorders>
              <w:top w:val="single" w:sz="8" w:space="0" w:color="auto"/>
              <w:left w:val="nil"/>
              <w:bottom w:val="single" w:sz="12" w:space="0" w:color="auto"/>
              <w:right w:val="nil"/>
            </w:tcBorders>
            <w:shd w:val="clear" w:color="auto" w:fill="auto"/>
            <w:vAlign w:val="center"/>
          </w:tcPr>
          <w:p w14:paraId="1D42A2AE" w14:textId="51F445E7" w:rsidR="00CD602F" w:rsidRPr="001D67D6" w:rsidRDefault="00CD602F" w:rsidP="00CD602F">
            <w:pPr>
              <w:tabs>
                <w:tab w:val="right" w:pos="1202"/>
              </w:tabs>
              <w:spacing w:after="0" w:line="280" w:lineRule="exact"/>
              <w:jc w:val="right"/>
              <w:outlineLvl w:val="0"/>
              <w:rPr>
                <w:b/>
                <w:sz w:val="19"/>
                <w:szCs w:val="19"/>
              </w:rPr>
            </w:pPr>
            <w:r>
              <w:rPr>
                <w:rFonts w:ascii="Calibri" w:hAnsi="Calibri" w:cs="Arial"/>
                <w:b/>
                <w:bCs/>
                <w:sz w:val="19"/>
                <w:szCs w:val="19"/>
              </w:rPr>
              <w:t>602</w:t>
            </w:r>
          </w:p>
        </w:tc>
        <w:tc>
          <w:tcPr>
            <w:tcW w:w="682" w:type="pct"/>
            <w:tcBorders>
              <w:top w:val="single" w:sz="8" w:space="0" w:color="auto"/>
              <w:left w:val="nil"/>
              <w:bottom w:val="single" w:sz="12" w:space="0" w:color="auto"/>
              <w:right w:val="nil"/>
            </w:tcBorders>
            <w:shd w:val="clear" w:color="auto" w:fill="auto"/>
            <w:vAlign w:val="center"/>
          </w:tcPr>
          <w:p w14:paraId="2067B7C4" w14:textId="232A84B7" w:rsidR="00CD602F" w:rsidRPr="001D67D6" w:rsidRDefault="00CD602F" w:rsidP="00CD602F">
            <w:pPr>
              <w:tabs>
                <w:tab w:val="right" w:pos="1202"/>
              </w:tabs>
              <w:spacing w:after="0" w:line="280" w:lineRule="exact"/>
              <w:jc w:val="right"/>
              <w:outlineLvl w:val="0"/>
              <w:rPr>
                <w:b/>
                <w:sz w:val="19"/>
                <w:szCs w:val="19"/>
              </w:rPr>
            </w:pPr>
            <w:r>
              <w:rPr>
                <w:rFonts w:ascii="Calibri" w:hAnsi="Calibri" w:cs="Arial"/>
                <w:b/>
                <w:bCs/>
                <w:sz w:val="19"/>
                <w:szCs w:val="19"/>
              </w:rPr>
              <w:t>-</w:t>
            </w:r>
          </w:p>
        </w:tc>
        <w:tc>
          <w:tcPr>
            <w:tcW w:w="756" w:type="pct"/>
            <w:tcBorders>
              <w:top w:val="single" w:sz="8" w:space="0" w:color="auto"/>
              <w:left w:val="nil"/>
              <w:bottom w:val="single" w:sz="12" w:space="0" w:color="auto"/>
              <w:right w:val="nil"/>
            </w:tcBorders>
            <w:shd w:val="clear" w:color="auto" w:fill="auto"/>
            <w:vAlign w:val="center"/>
          </w:tcPr>
          <w:p w14:paraId="4601A9C7" w14:textId="31321322" w:rsidR="00CD602F" w:rsidRPr="001D67D6" w:rsidRDefault="00CD602F" w:rsidP="00CD602F">
            <w:pPr>
              <w:tabs>
                <w:tab w:val="right" w:pos="1202"/>
              </w:tabs>
              <w:spacing w:after="0" w:line="280" w:lineRule="exact"/>
              <w:jc w:val="right"/>
              <w:outlineLvl w:val="0"/>
              <w:rPr>
                <w:b/>
                <w:sz w:val="19"/>
                <w:szCs w:val="19"/>
              </w:rPr>
            </w:pPr>
            <w:r>
              <w:rPr>
                <w:rFonts w:ascii="Calibri" w:hAnsi="Calibri" w:cs="Arial"/>
                <w:b/>
                <w:bCs/>
                <w:sz w:val="19"/>
                <w:szCs w:val="19"/>
              </w:rPr>
              <w:t>5.474.534</w:t>
            </w:r>
          </w:p>
        </w:tc>
      </w:tr>
      <w:tr w:rsidR="00CD602F" w:rsidRPr="0037153F" w14:paraId="3BC2ACB7" w14:textId="77777777" w:rsidTr="00312975">
        <w:tblPrEx>
          <w:tblCellMar>
            <w:left w:w="31" w:type="dxa"/>
            <w:right w:w="31" w:type="dxa"/>
          </w:tblCellMar>
        </w:tblPrEx>
        <w:trPr>
          <w:cantSplit/>
          <w:trHeight w:val="250"/>
          <w:tblHeader/>
        </w:trPr>
        <w:tc>
          <w:tcPr>
            <w:tcW w:w="2349" w:type="pct"/>
            <w:vAlign w:val="bottom"/>
          </w:tcPr>
          <w:p w14:paraId="169D5D7E" w14:textId="77777777" w:rsidR="00CD602F" w:rsidRPr="002C12B4" w:rsidRDefault="00CD602F" w:rsidP="00CD602F">
            <w:pPr>
              <w:tabs>
                <w:tab w:val="right" w:pos="1202"/>
              </w:tabs>
              <w:spacing w:after="0" w:line="280" w:lineRule="exact"/>
              <w:outlineLvl w:val="0"/>
              <w:rPr>
                <w:b/>
                <w:bCs/>
                <w:sz w:val="19"/>
                <w:szCs w:val="19"/>
              </w:rPr>
            </w:pPr>
            <w:r w:rsidRPr="002C12B4">
              <w:rPr>
                <w:rFonts w:cs="Arial"/>
                <w:b/>
                <w:bCs/>
                <w:sz w:val="19"/>
                <w:szCs w:val="19"/>
              </w:rPr>
              <w:t>Ukupna izloženost kreditnom riziku</w:t>
            </w:r>
          </w:p>
        </w:tc>
        <w:tc>
          <w:tcPr>
            <w:tcW w:w="606" w:type="pct"/>
            <w:tcBorders>
              <w:top w:val="nil"/>
              <w:left w:val="nil"/>
              <w:bottom w:val="single" w:sz="12" w:space="0" w:color="auto"/>
              <w:right w:val="nil"/>
            </w:tcBorders>
            <w:shd w:val="clear" w:color="auto" w:fill="auto"/>
            <w:vAlign w:val="center"/>
          </w:tcPr>
          <w:p w14:paraId="2E186C0A" w14:textId="36669528" w:rsidR="00CD602F" w:rsidRPr="001D67D6" w:rsidRDefault="00CD602F">
            <w:pPr>
              <w:tabs>
                <w:tab w:val="right" w:pos="1202"/>
              </w:tabs>
              <w:spacing w:after="0" w:line="280" w:lineRule="exact"/>
              <w:jc w:val="right"/>
              <w:outlineLvl w:val="0"/>
              <w:rPr>
                <w:b/>
                <w:sz w:val="19"/>
                <w:szCs w:val="19"/>
              </w:rPr>
            </w:pPr>
            <w:r>
              <w:rPr>
                <w:rFonts w:ascii="Calibri" w:hAnsi="Calibri" w:cs="Arial"/>
                <w:b/>
                <w:bCs/>
                <w:sz w:val="19"/>
                <w:szCs w:val="19"/>
              </w:rPr>
              <w:t>32.74</w:t>
            </w:r>
            <w:r w:rsidR="00B916CD">
              <w:rPr>
                <w:rFonts w:ascii="Calibri" w:hAnsi="Calibri" w:cs="Arial"/>
                <w:b/>
                <w:bCs/>
                <w:sz w:val="19"/>
                <w:szCs w:val="19"/>
              </w:rPr>
              <w:t>7</w:t>
            </w:r>
            <w:r w:rsidR="00C30A6E">
              <w:rPr>
                <w:rFonts w:ascii="Calibri" w:hAnsi="Calibri" w:cs="Arial"/>
                <w:b/>
                <w:bCs/>
                <w:sz w:val="19"/>
                <w:szCs w:val="19"/>
              </w:rPr>
              <w:t>.</w:t>
            </w:r>
            <w:r w:rsidR="00B916CD">
              <w:rPr>
                <w:rFonts w:ascii="Calibri" w:hAnsi="Calibri" w:cs="Arial"/>
                <w:b/>
                <w:bCs/>
                <w:sz w:val="19"/>
                <w:szCs w:val="19"/>
              </w:rPr>
              <w:t>685</w:t>
            </w:r>
          </w:p>
        </w:tc>
        <w:tc>
          <w:tcPr>
            <w:tcW w:w="607" w:type="pct"/>
            <w:tcBorders>
              <w:top w:val="nil"/>
              <w:left w:val="nil"/>
              <w:bottom w:val="single" w:sz="12" w:space="0" w:color="auto"/>
              <w:right w:val="nil"/>
            </w:tcBorders>
            <w:shd w:val="clear" w:color="auto" w:fill="auto"/>
            <w:vAlign w:val="center"/>
          </w:tcPr>
          <w:p w14:paraId="79F5771F" w14:textId="1874EBA9" w:rsidR="00CD602F" w:rsidRPr="001D67D6" w:rsidRDefault="00CD602F" w:rsidP="00CD602F">
            <w:pPr>
              <w:tabs>
                <w:tab w:val="right" w:pos="1202"/>
              </w:tabs>
              <w:spacing w:after="0" w:line="280" w:lineRule="exact"/>
              <w:jc w:val="right"/>
              <w:outlineLvl w:val="0"/>
              <w:rPr>
                <w:b/>
                <w:sz w:val="19"/>
                <w:szCs w:val="19"/>
              </w:rPr>
            </w:pPr>
            <w:r>
              <w:rPr>
                <w:rFonts w:ascii="Calibri" w:hAnsi="Calibri" w:cs="Arial"/>
                <w:b/>
                <w:bCs/>
                <w:sz w:val="19"/>
                <w:szCs w:val="19"/>
              </w:rPr>
              <w:t>174.691</w:t>
            </w:r>
          </w:p>
        </w:tc>
        <w:tc>
          <w:tcPr>
            <w:tcW w:w="682" w:type="pct"/>
            <w:tcBorders>
              <w:top w:val="nil"/>
              <w:left w:val="nil"/>
              <w:bottom w:val="single" w:sz="12" w:space="0" w:color="auto"/>
              <w:right w:val="nil"/>
            </w:tcBorders>
            <w:shd w:val="clear" w:color="auto" w:fill="auto"/>
            <w:vAlign w:val="center"/>
          </w:tcPr>
          <w:p w14:paraId="58E7E901" w14:textId="5507FD59" w:rsidR="00CD602F" w:rsidRPr="001D67D6" w:rsidRDefault="00CD602F">
            <w:pPr>
              <w:tabs>
                <w:tab w:val="right" w:pos="1202"/>
              </w:tabs>
              <w:spacing w:after="0" w:line="280" w:lineRule="exact"/>
              <w:jc w:val="right"/>
              <w:outlineLvl w:val="0"/>
              <w:rPr>
                <w:b/>
                <w:sz w:val="19"/>
                <w:szCs w:val="19"/>
              </w:rPr>
            </w:pPr>
            <w:r>
              <w:rPr>
                <w:rFonts w:ascii="Calibri" w:hAnsi="Calibri" w:cs="Arial"/>
                <w:b/>
                <w:bCs/>
                <w:sz w:val="19"/>
                <w:szCs w:val="19"/>
              </w:rPr>
              <w:t>209.</w:t>
            </w:r>
            <w:r w:rsidR="00B916CD">
              <w:rPr>
                <w:rFonts w:ascii="Calibri" w:hAnsi="Calibri" w:cs="Arial"/>
                <w:b/>
                <w:bCs/>
                <w:sz w:val="19"/>
                <w:szCs w:val="19"/>
              </w:rPr>
              <w:t>550</w:t>
            </w:r>
          </w:p>
        </w:tc>
        <w:tc>
          <w:tcPr>
            <w:tcW w:w="756" w:type="pct"/>
            <w:tcBorders>
              <w:top w:val="nil"/>
              <w:left w:val="nil"/>
              <w:bottom w:val="single" w:sz="12" w:space="0" w:color="auto"/>
              <w:right w:val="nil"/>
            </w:tcBorders>
            <w:shd w:val="clear" w:color="auto" w:fill="auto"/>
            <w:vAlign w:val="center"/>
          </w:tcPr>
          <w:p w14:paraId="53E2B83C" w14:textId="2E8F29CE" w:rsidR="00CD602F" w:rsidRPr="001D67D6" w:rsidRDefault="00CD602F" w:rsidP="00CD602F">
            <w:pPr>
              <w:tabs>
                <w:tab w:val="right" w:pos="1202"/>
              </w:tabs>
              <w:spacing w:after="0" w:line="280" w:lineRule="exact"/>
              <w:jc w:val="right"/>
              <w:outlineLvl w:val="0"/>
              <w:rPr>
                <w:b/>
                <w:sz w:val="19"/>
                <w:szCs w:val="19"/>
              </w:rPr>
            </w:pPr>
            <w:r>
              <w:rPr>
                <w:rFonts w:ascii="Calibri" w:hAnsi="Calibri" w:cs="Arial"/>
                <w:b/>
                <w:bCs/>
                <w:sz w:val="19"/>
                <w:szCs w:val="19"/>
              </w:rPr>
              <w:t>33.131.926</w:t>
            </w:r>
          </w:p>
        </w:tc>
      </w:tr>
    </w:tbl>
    <w:p w14:paraId="3668B6EE" w14:textId="77777777" w:rsidR="00921DC5" w:rsidRPr="00581360" w:rsidRDefault="00921DC5" w:rsidP="00921DC5">
      <w:pPr>
        <w:rPr>
          <w:rFonts w:cs="Arial"/>
          <w:b/>
          <w:bCs/>
          <w:highlight w:val="yellow"/>
        </w:rPr>
      </w:pPr>
    </w:p>
    <w:p w14:paraId="6A3EA91E" w14:textId="77777777" w:rsidR="00921DC5" w:rsidRPr="00581360" w:rsidRDefault="00921DC5" w:rsidP="00921DC5">
      <w:pPr>
        <w:rPr>
          <w:rFonts w:cs="Arial"/>
          <w:b/>
          <w:bCs/>
          <w:highlight w:val="yellow"/>
        </w:rPr>
      </w:pPr>
    </w:p>
    <w:p w14:paraId="4A4F7862" w14:textId="77777777" w:rsidR="00921DC5" w:rsidRPr="00F4789E" w:rsidRDefault="00921DC5" w:rsidP="00921DC5">
      <w:pPr>
        <w:pStyle w:val="T1"/>
        <w:spacing w:before="0" w:after="0" w:line="240" w:lineRule="auto"/>
        <w:rPr>
          <w:rFonts w:cs="Arial"/>
          <w:sz w:val="22"/>
          <w:szCs w:val="22"/>
          <w:lang w:val="hr-HR"/>
        </w:rPr>
      </w:pPr>
    </w:p>
    <w:p w14:paraId="65CA118E" w14:textId="77777777" w:rsidR="00921DC5" w:rsidRPr="00F4789E" w:rsidRDefault="00921DC5" w:rsidP="00921DC5">
      <w:pPr>
        <w:pStyle w:val="T1"/>
        <w:spacing w:before="0" w:after="0" w:line="240" w:lineRule="auto"/>
        <w:rPr>
          <w:rFonts w:asciiTheme="minorHAnsi" w:hAnsiTheme="minorHAnsi" w:cs="Arial"/>
          <w:sz w:val="22"/>
          <w:szCs w:val="22"/>
          <w:lang w:val="hr-HR"/>
        </w:rPr>
      </w:pPr>
      <w:r w:rsidRPr="00F4789E">
        <w:rPr>
          <w:rFonts w:asciiTheme="minorHAnsi" w:hAnsiTheme="minorHAnsi" w:cs="Arial"/>
          <w:sz w:val="22"/>
          <w:szCs w:val="22"/>
          <w:lang w:val="hr-HR"/>
        </w:rPr>
        <w:t>1</w:t>
      </w:r>
      <w:r w:rsidR="00B01DFE">
        <w:rPr>
          <w:rFonts w:asciiTheme="minorHAnsi" w:hAnsiTheme="minorHAnsi" w:cs="Arial"/>
          <w:sz w:val="22"/>
          <w:szCs w:val="22"/>
          <w:lang w:val="hr-HR"/>
        </w:rPr>
        <w:t>6</w:t>
      </w:r>
      <w:r w:rsidRPr="00F4789E">
        <w:rPr>
          <w:rFonts w:asciiTheme="minorHAnsi" w:hAnsiTheme="minorHAnsi" w:cs="Arial"/>
          <w:sz w:val="22"/>
          <w:szCs w:val="22"/>
          <w:lang w:val="hr-HR"/>
        </w:rPr>
        <w:t>.</w:t>
      </w:r>
      <w:r w:rsidRPr="00F4789E">
        <w:rPr>
          <w:rFonts w:asciiTheme="minorHAnsi" w:hAnsiTheme="minorHAnsi" w:cs="Arial"/>
          <w:sz w:val="22"/>
          <w:szCs w:val="22"/>
          <w:lang w:val="hr-HR"/>
        </w:rPr>
        <w:tab/>
        <w:t>Upravljanje rizicima (nastavak)</w:t>
      </w:r>
    </w:p>
    <w:p w14:paraId="1410649B" w14:textId="77777777" w:rsidR="00921DC5" w:rsidRPr="00F4789E" w:rsidRDefault="00921DC5" w:rsidP="00921DC5">
      <w:pPr>
        <w:pStyle w:val="T1"/>
        <w:spacing w:before="0" w:after="0" w:line="240" w:lineRule="auto"/>
        <w:rPr>
          <w:rFonts w:asciiTheme="minorHAnsi" w:hAnsiTheme="minorHAnsi" w:cs="Arial"/>
          <w:sz w:val="22"/>
          <w:szCs w:val="22"/>
          <w:lang w:val="hr-HR"/>
        </w:rPr>
      </w:pPr>
    </w:p>
    <w:p w14:paraId="53F056FD" w14:textId="77777777" w:rsidR="00921DC5" w:rsidRPr="00F4789E" w:rsidRDefault="00921DC5" w:rsidP="00921DC5">
      <w:pPr>
        <w:pStyle w:val="T1"/>
        <w:spacing w:before="0" w:after="0" w:line="240" w:lineRule="auto"/>
        <w:rPr>
          <w:rFonts w:asciiTheme="minorHAnsi" w:hAnsiTheme="minorHAnsi" w:cs="Arial"/>
          <w:sz w:val="22"/>
          <w:szCs w:val="22"/>
          <w:lang w:val="hr-HR"/>
        </w:rPr>
      </w:pPr>
      <w:r w:rsidRPr="00F4789E">
        <w:rPr>
          <w:rFonts w:asciiTheme="minorHAnsi" w:hAnsiTheme="minorHAnsi" w:cs="Arial"/>
          <w:sz w:val="22"/>
          <w:szCs w:val="22"/>
          <w:lang w:val="hr-HR"/>
        </w:rPr>
        <w:t>1</w:t>
      </w:r>
      <w:r w:rsidR="00B01DFE">
        <w:rPr>
          <w:rFonts w:asciiTheme="minorHAnsi" w:hAnsiTheme="minorHAnsi" w:cs="Arial"/>
          <w:sz w:val="22"/>
          <w:szCs w:val="22"/>
          <w:lang w:val="hr-HR"/>
        </w:rPr>
        <w:t>6</w:t>
      </w:r>
      <w:r w:rsidRPr="00F4789E">
        <w:rPr>
          <w:rFonts w:asciiTheme="minorHAnsi" w:hAnsiTheme="minorHAnsi" w:cs="Arial"/>
          <w:sz w:val="22"/>
          <w:szCs w:val="22"/>
          <w:lang w:val="hr-HR"/>
        </w:rPr>
        <w:t xml:space="preserve">.2. </w:t>
      </w:r>
      <w:r w:rsidRPr="00F4789E">
        <w:rPr>
          <w:rFonts w:asciiTheme="minorHAnsi" w:hAnsiTheme="minorHAnsi" w:cs="Arial"/>
          <w:sz w:val="22"/>
          <w:szCs w:val="22"/>
          <w:lang w:val="hr-HR"/>
        </w:rPr>
        <w:tab/>
        <w:t>Kreditni rizik (nastavak)</w:t>
      </w:r>
    </w:p>
    <w:p w14:paraId="46460918" w14:textId="77777777" w:rsidR="00921DC5" w:rsidRPr="00F4789E" w:rsidRDefault="00921DC5" w:rsidP="00921DC5">
      <w:pPr>
        <w:pStyle w:val="T1"/>
        <w:spacing w:before="0" w:after="0" w:line="240" w:lineRule="auto"/>
        <w:rPr>
          <w:rFonts w:asciiTheme="minorHAnsi" w:hAnsiTheme="minorHAnsi" w:cs="Arial"/>
          <w:sz w:val="22"/>
          <w:szCs w:val="22"/>
          <w:lang w:val="hr-HR"/>
        </w:rPr>
      </w:pPr>
    </w:p>
    <w:p w14:paraId="07D7A7C0" w14:textId="77777777" w:rsidR="00921DC5" w:rsidRPr="00F4789E" w:rsidRDefault="00921DC5" w:rsidP="00921DC5">
      <w:pPr>
        <w:pStyle w:val="T1"/>
        <w:spacing w:before="0" w:after="0" w:line="240" w:lineRule="auto"/>
        <w:rPr>
          <w:rFonts w:asciiTheme="minorHAnsi" w:hAnsiTheme="minorHAnsi" w:cs="Arial"/>
          <w:sz w:val="22"/>
          <w:szCs w:val="22"/>
          <w:lang w:val="hr-HR"/>
        </w:rPr>
      </w:pPr>
      <w:r w:rsidRPr="00F4789E">
        <w:rPr>
          <w:rFonts w:asciiTheme="minorHAnsi" w:hAnsiTheme="minorHAnsi" w:cs="Arial"/>
          <w:sz w:val="22"/>
          <w:szCs w:val="22"/>
          <w:lang w:val="hr-HR"/>
        </w:rPr>
        <w:t xml:space="preserve">Koncentracija rizika i </w:t>
      </w:r>
      <w:r w:rsidR="00640198">
        <w:rPr>
          <w:rFonts w:asciiTheme="minorHAnsi" w:hAnsiTheme="minorHAnsi" w:cs="Arial"/>
          <w:sz w:val="22"/>
          <w:szCs w:val="22"/>
          <w:lang w:val="hr-HR"/>
        </w:rPr>
        <w:t>maksimalna</w:t>
      </w:r>
      <w:r w:rsidRPr="00F4789E">
        <w:rPr>
          <w:rFonts w:asciiTheme="minorHAnsi" w:hAnsiTheme="minorHAnsi" w:cs="Arial"/>
          <w:sz w:val="22"/>
          <w:szCs w:val="22"/>
          <w:lang w:val="hr-HR"/>
        </w:rPr>
        <w:t xml:space="preserve"> izloženost kreditnom riziku (nastavak)</w:t>
      </w:r>
    </w:p>
    <w:p w14:paraId="774B35E8" w14:textId="77777777" w:rsidR="00921DC5" w:rsidRPr="00F4789E" w:rsidRDefault="00921DC5" w:rsidP="00921DC5">
      <w:pPr>
        <w:pStyle w:val="T1"/>
        <w:spacing w:before="0" w:after="0" w:line="240" w:lineRule="auto"/>
        <w:rPr>
          <w:rFonts w:asciiTheme="minorHAnsi" w:hAnsiTheme="minorHAnsi" w:cs="Arial"/>
          <w:sz w:val="22"/>
          <w:szCs w:val="22"/>
          <w:lang w:val="hr-HR"/>
        </w:rPr>
      </w:pPr>
    </w:p>
    <w:p w14:paraId="1B5FF839" w14:textId="77777777" w:rsidR="00921DC5" w:rsidRDefault="00921DC5" w:rsidP="00921DC5">
      <w:pPr>
        <w:pStyle w:val="T1"/>
        <w:spacing w:before="0" w:after="0" w:line="240" w:lineRule="auto"/>
        <w:rPr>
          <w:rFonts w:asciiTheme="minorHAnsi" w:hAnsiTheme="minorHAnsi" w:cs="Arial"/>
          <w:b w:val="0"/>
          <w:bCs w:val="0"/>
          <w:sz w:val="22"/>
          <w:szCs w:val="22"/>
          <w:lang w:val="hr-HR"/>
        </w:rPr>
      </w:pPr>
      <w:r w:rsidRPr="00F4789E">
        <w:rPr>
          <w:rFonts w:asciiTheme="minorHAnsi" w:hAnsiTheme="minorHAnsi" w:cs="Arial"/>
          <w:b w:val="0"/>
          <w:bCs w:val="0"/>
          <w:sz w:val="22"/>
          <w:szCs w:val="22"/>
          <w:lang w:val="hr-HR"/>
        </w:rPr>
        <w:t xml:space="preserve">Koncentracija imovine i garancija i preuzetih obveza prema zemljopisnim segmentima, </w:t>
      </w:r>
      <w:r w:rsidRPr="00F4789E">
        <w:rPr>
          <w:rFonts w:asciiTheme="minorHAnsi" w:hAnsiTheme="minorHAnsi" w:cs="Arial"/>
          <w:b w:val="0"/>
          <w:sz w:val="22"/>
          <w:szCs w:val="22"/>
          <w:lang w:val="hr-HR"/>
        </w:rPr>
        <w:t>bez umanjenja za vrijednost sredstava osiguranja naplate</w:t>
      </w:r>
      <w:r w:rsidRPr="00F4789E">
        <w:rPr>
          <w:rFonts w:asciiTheme="minorHAnsi" w:hAnsiTheme="minorHAnsi" w:cs="Arial"/>
          <w:b w:val="0"/>
          <w:bCs w:val="0"/>
          <w:sz w:val="22"/>
          <w:szCs w:val="22"/>
          <w:lang w:val="hr-HR"/>
        </w:rPr>
        <w:t xml:space="preserve"> (nastavak): </w:t>
      </w:r>
    </w:p>
    <w:p w14:paraId="32565D9B" w14:textId="77777777" w:rsidR="00815091" w:rsidRDefault="00815091" w:rsidP="00921DC5">
      <w:pPr>
        <w:pStyle w:val="T1"/>
        <w:spacing w:before="0" w:after="0" w:line="240" w:lineRule="auto"/>
        <w:rPr>
          <w:rFonts w:asciiTheme="minorHAnsi" w:hAnsiTheme="minorHAnsi" w:cs="Arial"/>
          <w:b w:val="0"/>
          <w:bCs w:val="0"/>
          <w:sz w:val="22"/>
          <w:szCs w:val="22"/>
          <w:lang w:val="hr-HR"/>
        </w:rPr>
      </w:pPr>
    </w:p>
    <w:tbl>
      <w:tblPr>
        <w:tblW w:w="4972" w:type="pct"/>
        <w:tblCellMar>
          <w:left w:w="30" w:type="dxa"/>
          <w:right w:w="30" w:type="dxa"/>
        </w:tblCellMar>
        <w:tblLook w:val="0000" w:firstRow="0" w:lastRow="0" w:firstColumn="0" w:lastColumn="0" w:noHBand="0" w:noVBand="0"/>
      </w:tblPr>
      <w:tblGrid>
        <w:gridCol w:w="4758"/>
        <w:gridCol w:w="1176"/>
        <w:gridCol w:w="1059"/>
        <w:gridCol w:w="1178"/>
        <w:gridCol w:w="1131"/>
      </w:tblGrid>
      <w:tr w:rsidR="00815091" w:rsidRPr="00EB4107" w14:paraId="6D32C5F6" w14:textId="77777777" w:rsidTr="00815091">
        <w:trPr>
          <w:cantSplit/>
          <w:trHeight w:val="449"/>
          <w:tblHeader/>
        </w:trPr>
        <w:tc>
          <w:tcPr>
            <w:tcW w:w="2558" w:type="pct"/>
          </w:tcPr>
          <w:p w14:paraId="319ABFC3" w14:textId="77777777" w:rsidR="00815091" w:rsidRPr="00D30D9B" w:rsidRDefault="00815091" w:rsidP="009557C4">
            <w:pPr>
              <w:pStyle w:val="TH"/>
              <w:rPr>
                <w:rFonts w:asciiTheme="minorHAnsi" w:hAnsiTheme="minorHAnsi" w:cs="Arial"/>
                <w:szCs w:val="19"/>
                <w:lang w:val="hr-HR"/>
              </w:rPr>
            </w:pPr>
            <w:r w:rsidRPr="00D30D9B">
              <w:rPr>
                <w:rFonts w:asciiTheme="minorHAnsi" w:hAnsiTheme="minorHAnsi" w:cs="Arial"/>
                <w:szCs w:val="19"/>
                <w:lang w:val="hr-HR"/>
              </w:rPr>
              <w:t>Banka</w:t>
            </w:r>
          </w:p>
          <w:p w14:paraId="18BB6427" w14:textId="77777777" w:rsidR="00815091" w:rsidRPr="00D30D9B" w:rsidRDefault="00815091" w:rsidP="009557C4">
            <w:pPr>
              <w:pStyle w:val="TH"/>
              <w:rPr>
                <w:rFonts w:asciiTheme="minorHAnsi" w:hAnsiTheme="minorHAnsi" w:cs="Arial"/>
                <w:szCs w:val="19"/>
                <w:lang w:val="hr-HR"/>
              </w:rPr>
            </w:pPr>
          </w:p>
          <w:p w14:paraId="67FDDB25" w14:textId="45FD7F96" w:rsidR="00815091" w:rsidRPr="00D30D9B" w:rsidRDefault="003A42A5" w:rsidP="009557C4">
            <w:pPr>
              <w:pStyle w:val="TH"/>
              <w:rPr>
                <w:rFonts w:asciiTheme="minorHAnsi" w:hAnsiTheme="minorHAnsi" w:cs="Arial"/>
                <w:szCs w:val="19"/>
                <w:lang w:val="hr-HR"/>
              </w:rPr>
            </w:pPr>
            <w:r>
              <w:rPr>
                <w:rFonts w:asciiTheme="minorHAnsi" w:hAnsiTheme="minorHAnsi" w:cs="Arial"/>
                <w:szCs w:val="19"/>
                <w:lang w:val="hr-HR"/>
              </w:rPr>
              <w:t>31.12.</w:t>
            </w:r>
            <w:r w:rsidR="00815091" w:rsidRPr="00D30D9B">
              <w:rPr>
                <w:rFonts w:asciiTheme="minorHAnsi" w:hAnsiTheme="minorHAnsi" w:cs="Arial"/>
                <w:szCs w:val="19"/>
                <w:lang w:val="hr-HR"/>
              </w:rPr>
              <w:t>2016</w:t>
            </w:r>
            <w:r>
              <w:rPr>
                <w:rFonts w:asciiTheme="minorHAnsi" w:hAnsiTheme="minorHAnsi" w:cs="Arial"/>
                <w:szCs w:val="19"/>
                <w:lang w:val="hr-HR"/>
              </w:rPr>
              <w:t>.</w:t>
            </w:r>
          </w:p>
        </w:tc>
        <w:tc>
          <w:tcPr>
            <w:tcW w:w="632" w:type="pct"/>
            <w:vAlign w:val="bottom"/>
          </w:tcPr>
          <w:p w14:paraId="10CD1660" w14:textId="77777777" w:rsidR="00815091" w:rsidRPr="00D30D9B" w:rsidRDefault="00815091" w:rsidP="009557C4">
            <w:pPr>
              <w:pStyle w:val="TH"/>
              <w:jc w:val="right"/>
              <w:rPr>
                <w:rFonts w:asciiTheme="minorHAnsi" w:hAnsiTheme="minorHAnsi" w:cs="Arial"/>
                <w:szCs w:val="19"/>
                <w:lang w:val="hr-HR"/>
              </w:rPr>
            </w:pPr>
            <w:r w:rsidRPr="00D30D9B">
              <w:rPr>
                <w:rFonts w:asciiTheme="minorHAnsi" w:hAnsiTheme="minorHAnsi" w:cs="Arial"/>
                <w:szCs w:val="19"/>
                <w:lang w:val="hr-HR"/>
              </w:rPr>
              <w:t>Republika Hrvatska</w:t>
            </w:r>
          </w:p>
        </w:tc>
        <w:tc>
          <w:tcPr>
            <w:tcW w:w="569" w:type="pct"/>
            <w:vAlign w:val="bottom"/>
          </w:tcPr>
          <w:p w14:paraId="26E024FD" w14:textId="77777777" w:rsidR="00815091" w:rsidRPr="00D30D9B" w:rsidRDefault="00815091" w:rsidP="009557C4">
            <w:pPr>
              <w:pStyle w:val="TH"/>
              <w:jc w:val="right"/>
              <w:rPr>
                <w:rFonts w:asciiTheme="minorHAnsi" w:hAnsiTheme="minorHAnsi" w:cs="Arial"/>
                <w:szCs w:val="19"/>
                <w:lang w:val="hr-HR"/>
              </w:rPr>
            </w:pPr>
            <w:r w:rsidRPr="00D30D9B">
              <w:rPr>
                <w:rFonts w:asciiTheme="minorHAnsi" w:hAnsiTheme="minorHAnsi" w:cs="Arial"/>
                <w:szCs w:val="19"/>
                <w:lang w:val="hr-HR"/>
              </w:rPr>
              <w:t>Zemlje Europske unije</w:t>
            </w:r>
          </w:p>
        </w:tc>
        <w:tc>
          <w:tcPr>
            <w:tcW w:w="633" w:type="pct"/>
            <w:vAlign w:val="bottom"/>
          </w:tcPr>
          <w:p w14:paraId="7FF7B5A7" w14:textId="77777777" w:rsidR="00815091" w:rsidRPr="00D30D9B" w:rsidRDefault="00815091" w:rsidP="009557C4">
            <w:pPr>
              <w:pStyle w:val="TH"/>
              <w:jc w:val="right"/>
              <w:rPr>
                <w:rFonts w:asciiTheme="minorHAnsi" w:hAnsiTheme="minorHAnsi" w:cs="Arial"/>
                <w:szCs w:val="19"/>
                <w:lang w:val="hr-HR"/>
              </w:rPr>
            </w:pPr>
            <w:r w:rsidRPr="00D30D9B">
              <w:rPr>
                <w:rFonts w:asciiTheme="minorHAnsi" w:hAnsiTheme="minorHAnsi" w:cs="Arial"/>
                <w:szCs w:val="19"/>
                <w:lang w:val="hr-HR"/>
              </w:rPr>
              <w:t xml:space="preserve">Ostale </w:t>
            </w:r>
          </w:p>
          <w:p w14:paraId="5D00CD43" w14:textId="77777777" w:rsidR="00815091" w:rsidRPr="00D30D9B" w:rsidRDefault="00815091" w:rsidP="009557C4">
            <w:pPr>
              <w:pStyle w:val="TH"/>
              <w:jc w:val="right"/>
              <w:rPr>
                <w:rFonts w:asciiTheme="minorHAnsi" w:hAnsiTheme="minorHAnsi" w:cs="Arial"/>
                <w:szCs w:val="19"/>
                <w:lang w:val="hr-HR"/>
              </w:rPr>
            </w:pPr>
            <w:r w:rsidRPr="00D30D9B">
              <w:rPr>
                <w:rFonts w:asciiTheme="minorHAnsi" w:hAnsiTheme="minorHAnsi" w:cs="Arial"/>
                <w:szCs w:val="19"/>
                <w:lang w:val="hr-HR"/>
              </w:rPr>
              <w:t xml:space="preserve">zemlje </w:t>
            </w:r>
          </w:p>
        </w:tc>
        <w:tc>
          <w:tcPr>
            <w:tcW w:w="608" w:type="pct"/>
            <w:vAlign w:val="bottom"/>
          </w:tcPr>
          <w:p w14:paraId="02CF7E73" w14:textId="77777777" w:rsidR="00815091" w:rsidRPr="00D30D9B" w:rsidRDefault="00815091" w:rsidP="009557C4">
            <w:pPr>
              <w:pStyle w:val="TH"/>
              <w:jc w:val="right"/>
              <w:rPr>
                <w:rFonts w:asciiTheme="minorHAnsi" w:hAnsiTheme="minorHAnsi" w:cs="Arial"/>
                <w:szCs w:val="19"/>
                <w:lang w:val="hr-HR"/>
              </w:rPr>
            </w:pPr>
            <w:r w:rsidRPr="00D30D9B">
              <w:rPr>
                <w:rFonts w:asciiTheme="minorHAnsi" w:hAnsiTheme="minorHAnsi" w:cs="Arial"/>
                <w:szCs w:val="19"/>
                <w:lang w:val="hr-HR"/>
              </w:rPr>
              <w:t>Ukupno</w:t>
            </w:r>
          </w:p>
        </w:tc>
      </w:tr>
      <w:tr w:rsidR="00815091" w:rsidRPr="00EB4107" w14:paraId="368A0765" w14:textId="77777777" w:rsidTr="00815091">
        <w:trPr>
          <w:cantSplit/>
          <w:trHeight w:hRule="exact" w:val="284"/>
          <w:tblHeader/>
        </w:trPr>
        <w:tc>
          <w:tcPr>
            <w:tcW w:w="2558" w:type="pct"/>
          </w:tcPr>
          <w:p w14:paraId="33D1F8F1" w14:textId="77777777" w:rsidR="00815091" w:rsidRPr="00D30D9B" w:rsidRDefault="00815091" w:rsidP="009557C4">
            <w:pPr>
              <w:ind w:left="113" w:hanging="113"/>
              <w:rPr>
                <w:rFonts w:cs="Arial"/>
                <w:sz w:val="19"/>
                <w:szCs w:val="19"/>
              </w:rPr>
            </w:pPr>
          </w:p>
        </w:tc>
        <w:tc>
          <w:tcPr>
            <w:tcW w:w="632" w:type="pct"/>
          </w:tcPr>
          <w:p w14:paraId="19481683" w14:textId="77777777" w:rsidR="00815091" w:rsidRPr="00D30D9B" w:rsidRDefault="00815091" w:rsidP="009557C4">
            <w:pPr>
              <w:jc w:val="right"/>
              <w:rPr>
                <w:rFonts w:cs="Arial"/>
                <w:sz w:val="19"/>
                <w:szCs w:val="19"/>
              </w:rPr>
            </w:pPr>
          </w:p>
        </w:tc>
        <w:tc>
          <w:tcPr>
            <w:tcW w:w="569" w:type="pct"/>
          </w:tcPr>
          <w:p w14:paraId="7D9454B6" w14:textId="77777777" w:rsidR="00815091" w:rsidRPr="00D30D9B" w:rsidRDefault="00815091" w:rsidP="009557C4">
            <w:pPr>
              <w:jc w:val="right"/>
              <w:rPr>
                <w:rFonts w:cs="Arial"/>
                <w:sz w:val="19"/>
                <w:szCs w:val="19"/>
              </w:rPr>
            </w:pPr>
          </w:p>
        </w:tc>
        <w:tc>
          <w:tcPr>
            <w:tcW w:w="633" w:type="pct"/>
          </w:tcPr>
          <w:p w14:paraId="3E82C201" w14:textId="77777777" w:rsidR="00815091" w:rsidRPr="00D30D9B" w:rsidRDefault="00815091" w:rsidP="009557C4">
            <w:pPr>
              <w:jc w:val="right"/>
              <w:rPr>
                <w:rFonts w:cs="Arial"/>
                <w:sz w:val="19"/>
                <w:szCs w:val="19"/>
              </w:rPr>
            </w:pPr>
          </w:p>
        </w:tc>
        <w:tc>
          <w:tcPr>
            <w:tcW w:w="608" w:type="pct"/>
          </w:tcPr>
          <w:p w14:paraId="39596BD1" w14:textId="77777777" w:rsidR="00815091" w:rsidRPr="00D30D9B" w:rsidRDefault="00815091" w:rsidP="009557C4">
            <w:pPr>
              <w:jc w:val="center"/>
              <w:rPr>
                <w:rFonts w:cs="Arial"/>
                <w:sz w:val="19"/>
                <w:szCs w:val="19"/>
              </w:rPr>
            </w:pPr>
          </w:p>
        </w:tc>
      </w:tr>
      <w:tr w:rsidR="00815091" w:rsidRPr="00EB4107" w14:paraId="4D3B8E6F" w14:textId="77777777" w:rsidTr="00815091">
        <w:trPr>
          <w:cantSplit/>
          <w:trHeight w:hRule="exact" w:val="284"/>
          <w:tblHeader/>
        </w:trPr>
        <w:tc>
          <w:tcPr>
            <w:tcW w:w="2558" w:type="pct"/>
          </w:tcPr>
          <w:p w14:paraId="684A78B1" w14:textId="77777777" w:rsidR="00815091" w:rsidRPr="00D30D9B" w:rsidRDefault="00815091" w:rsidP="009557C4">
            <w:pPr>
              <w:pStyle w:val="TT"/>
              <w:rPr>
                <w:rFonts w:asciiTheme="minorHAnsi" w:hAnsiTheme="minorHAnsi" w:cs="Arial"/>
                <w:b/>
                <w:bCs/>
                <w:szCs w:val="19"/>
                <w:lang w:val="hr-HR"/>
              </w:rPr>
            </w:pPr>
            <w:r w:rsidRPr="00D30D9B">
              <w:rPr>
                <w:rFonts w:asciiTheme="minorHAnsi" w:hAnsiTheme="minorHAnsi" w:cs="Arial"/>
                <w:b/>
                <w:bCs/>
                <w:szCs w:val="19"/>
                <w:lang w:val="hr-HR"/>
              </w:rPr>
              <w:t>Imovina</w:t>
            </w:r>
          </w:p>
        </w:tc>
        <w:tc>
          <w:tcPr>
            <w:tcW w:w="632" w:type="pct"/>
          </w:tcPr>
          <w:p w14:paraId="0C0517B0" w14:textId="77777777" w:rsidR="00815091" w:rsidRPr="00D30D9B" w:rsidRDefault="00815091" w:rsidP="009557C4">
            <w:pPr>
              <w:jc w:val="right"/>
              <w:rPr>
                <w:rFonts w:cs="Arial"/>
                <w:sz w:val="19"/>
                <w:szCs w:val="19"/>
              </w:rPr>
            </w:pPr>
          </w:p>
        </w:tc>
        <w:tc>
          <w:tcPr>
            <w:tcW w:w="569" w:type="pct"/>
          </w:tcPr>
          <w:p w14:paraId="3A6A784E" w14:textId="77777777" w:rsidR="00815091" w:rsidRPr="00D30D9B" w:rsidRDefault="00815091" w:rsidP="009557C4">
            <w:pPr>
              <w:jc w:val="right"/>
              <w:rPr>
                <w:rFonts w:cs="Arial"/>
                <w:sz w:val="19"/>
                <w:szCs w:val="19"/>
              </w:rPr>
            </w:pPr>
          </w:p>
        </w:tc>
        <w:tc>
          <w:tcPr>
            <w:tcW w:w="633" w:type="pct"/>
          </w:tcPr>
          <w:p w14:paraId="2196191C" w14:textId="77777777" w:rsidR="00815091" w:rsidRPr="00D30D9B" w:rsidRDefault="00815091" w:rsidP="009557C4">
            <w:pPr>
              <w:jc w:val="right"/>
              <w:rPr>
                <w:rFonts w:cs="Arial"/>
                <w:sz w:val="19"/>
                <w:szCs w:val="19"/>
              </w:rPr>
            </w:pPr>
          </w:p>
        </w:tc>
        <w:tc>
          <w:tcPr>
            <w:tcW w:w="608" w:type="pct"/>
          </w:tcPr>
          <w:p w14:paraId="164E19AC" w14:textId="77777777" w:rsidR="00815091" w:rsidRPr="00D30D9B" w:rsidRDefault="00815091" w:rsidP="009557C4">
            <w:pPr>
              <w:jc w:val="center"/>
              <w:rPr>
                <w:rFonts w:cs="Arial"/>
                <w:sz w:val="19"/>
                <w:szCs w:val="19"/>
              </w:rPr>
            </w:pPr>
          </w:p>
        </w:tc>
      </w:tr>
      <w:tr w:rsidR="00815091" w:rsidRPr="00EB4107" w14:paraId="731DE675" w14:textId="77777777" w:rsidTr="00815091">
        <w:trPr>
          <w:cantSplit/>
          <w:trHeight w:hRule="exact" w:val="284"/>
          <w:tblHeader/>
        </w:trPr>
        <w:tc>
          <w:tcPr>
            <w:tcW w:w="2558" w:type="pct"/>
            <w:vAlign w:val="bottom"/>
          </w:tcPr>
          <w:p w14:paraId="00D425F3" w14:textId="77777777" w:rsidR="00815091" w:rsidRPr="00D30D9B" w:rsidRDefault="00815091" w:rsidP="009557C4">
            <w:pPr>
              <w:pStyle w:val="TT"/>
              <w:rPr>
                <w:rFonts w:asciiTheme="minorHAnsi" w:hAnsiTheme="minorHAnsi"/>
                <w:szCs w:val="19"/>
                <w:lang w:val="hr-HR"/>
              </w:rPr>
            </w:pPr>
            <w:r w:rsidRPr="00D30D9B">
              <w:rPr>
                <w:rFonts w:asciiTheme="minorHAnsi" w:hAnsiTheme="minorHAnsi"/>
                <w:szCs w:val="19"/>
                <w:lang w:val="hr-HR"/>
              </w:rPr>
              <w:t>Novčana sredstva i računi kod banaka</w:t>
            </w:r>
          </w:p>
        </w:tc>
        <w:tc>
          <w:tcPr>
            <w:tcW w:w="632" w:type="pct"/>
            <w:tcBorders>
              <w:top w:val="nil"/>
              <w:left w:val="nil"/>
              <w:bottom w:val="nil"/>
              <w:right w:val="nil"/>
            </w:tcBorders>
            <w:shd w:val="clear" w:color="auto" w:fill="auto"/>
            <w:vAlign w:val="bottom"/>
          </w:tcPr>
          <w:p w14:paraId="65C084C9"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187.771</w:t>
            </w:r>
          </w:p>
        </w:tc>
        <w:tc>
          <w:tcPr>
            <w:tcW w:w="569" w:type="pct"/>
            <w:tcBorders>
              <w:top w:val="nil"/>
              <w:left w:val="nil"/>
              <w:bottom w:val="nil"/>
              <w:right w:val="nil"/>
            </w:tcBorders>
            <w:shd w:val="clear" w:color="auto" w:fill="auto"/>
            <w:vAlign w:val="bottom"/>
          </w:tcPr>
          <w:p w14:paraId="25B304FD"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301.354</w:t>
            </w:r>
          </w:p>
        </w:tc>
        <w:tc>
          <w:tcPr>
            <w:tcW w:w="633" w:type="pct"/>
            <w:tcBorders>
              <w:top w:val="nil"/>
              <w:left w:val="nil"/>
              <w:bottom w:val="nil"/>
              <w:right w:val="nil"/>
            </w:tcBorders>
            <w:shd w:val="clear" w:color="auto" w:fill="auto"/>
            <w:vAlign w:val="bottom"/>
          </w:tcPr>
          <w:p w14:paraId="5FD3276A"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1.567</w:t>
            </w:r>
          </w:p>
        </w:tc>
        <w:tc>
          <w:tcPr>
            <w:tcW w:w="608" w:type="pct"/>
            <w:tcBorders>
              <w:top w:val="nil"/>
              <w:left w:val="nil"/>
              <w:bottom w:val="nil"/>
              <w:right w:val="nil"/>
            </w:tcBorders>
            <w:shd w:val="clear" w:color="auto" w:fill="auto"/>
            <w:vAlign w:val="bottom"/>
          </w:tcPr>
          <w:p w14:paraId="429BEE9D"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490.692</w:t>
            </w:r>
          </w:p>
        </w:tc>
      </w:tr>
      <w:tr w:rsidR="00815091" w:rsidRPr="00EB4107" w14:paraId="58D0D2FC" w14:textId="77777777" w:rsidTr="00815091">
        <w:trPr>
          <w:cantSplit/>
          <w:trHeight w:hRule="exact" w:val="284"/>
          <w:tblHeader/>
        </w:trPr>
        <w:tc>
          <w:tcPr>
            <w:tcW w:w="2558" w:type="pct"/>
            <w:vAlign w:val="bottom"/>
          </w:tcPr>
          <w:p w14:paraId="5D1F0625" w14:textId="77777777" w:rsidR="00815091" w:rsidRPr="00D30D9B" w:rsidRDefault="00815091" w:rsidP="009557C4">
            <w:pPr>
              <w:pStyle w:val="TT"/>
              <w:rPr>
                <w:rFonts w:asciiTheme="minorHAnsi" w:hAnsiTheme="minorHAnsi"/>
                <w:szCs w:val="19"/>
                <w:lang w:val="hr-HR"/>
              </w:rPr>
            </w:pPr>
            <w:r w:rsidRPr="00D30D9B">
              <w:rPr>
                <w:rFonts w:asciiTheme="minorHAnsi" w:hAnsiTheme="minorHAnsi"/>
                <w:szCs w:val="19"/>
                <w:lang w:val="hr-HR"/>
              </w:rPr>
              <w:t>Depoziti kod drugih banaka</w:t>
            </w:r>
          </w:p>
        </w:tc>
        <w:tc>
          <w:tcPr>
            <w:tcW w:w="632" w:type="pct"/>
            <w:tcBorders>
              <w:top w:val="nil"/>
              <w:left w:val="nil"/>
              <w:bottom w:val="nil"/>
              <w:right w:val="nil"/>
            </w:tcBorders>
            <w:shd w:val="clear" w:color="auto" w:fill="auto"/>
            <w:vAlign w:val="bottom"/>
          </w:tcPr>
          <w:p w14:paraId="0A3BAC29"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3.291</w:t>
            </w:r>
          </w:p>
        </w:tc>
        <w:tc>
          <w:tcPr>
            <w:tcW w:w="569" w:type="pct"/>
            <w:tcBorders>
              <w:top w:val="nil"/>
              <w:left w:val="nil"/>
              <w:bottom w:val="nil"/>
              <w:right w:val="nil"/>
            </w:tcBorders>
            <w:shd w:val="clear" w:color="auto" w:fill="auto"/>
            <w:vAlign w:val="bottom"/>
          </w:tcPr>
          <w:p w14:paraId="2E4857E5"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20.581</w:t>
            </w:r>
          </w:p>
        </w:tc>
        <w:tc>
          <w:tcPr>
            <w:tcW w:w="633" w:type="pct"/>
            <w:tcBorders>
              <w:top w:val="nil"/>
              <w:left w:val="nil"/>
              <w:bottom w:val="nil"/>
              <w:right w:val="nil"/>
            </w:tcBorders>
            <w:shd w:val="clear" w:color="auto" w:fill="auto"/>
            <w:vAlign w:val="bottom"/>
          </w:tcPr>
          <w:p w14:paraId="2860AC1B"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08" w:type="pct"/>
            <w:tcBorders>
              <w:top w:val="nil"/>
              <w:left w:val="nil"/>
              <w:bottom w:val="nil"/>
              <w:right w:val="nil"/>
            </w:tcBorders>
            <w:shd w:val="clear" w:color="auto" w:fill="auto"/>
            <w:vAlign w:val="bottom"/>
          </w:tcPr>
          <w:p w14:paraId="1FB75F54"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23.872</w:t>
            </w:r>
          </w:p>
        </w:tc>
      </w:tr>
      <w:tr w:rsidR="00815091" w:rsidRPr="00EB4107" w14:paraId="5D377968" w14:textId="77777777" w:rsidTr="00815091">
        <w:trPr>
          <w:cantSplit/>
          <w:trHeight w:hRule="exact" w:val="284"/>
          <w:tblHeader/>
        </w:trPr>
        <w:tc>
          <w:tcPr>
            <w:tcW w:w="2558" w:type="pct"/>
            <w:vAlign w:val="bottom"/>
          </w:tcPr>
          <w:p w14:paraId="5E3AF399" w14:textId="77777777" w:rsidR="00815091" w:rsidRPr="00D30D9B" w:rsidRDefault="00815091" w:rsidP="009557C4">
            <w:pPr>
              <w:pStyle w:val="TT"/>
              <w:rPr>
                <w:rFonts w:asciiTheme="minorHAnsi" w:hAnsiTheme="minorHAnsi"/>
                <w:szCs w:val="19"/>
                <w:lang w:val="hr-HR"/>
              </w:rPr>
            </w:pPr>
            <w:r w:rsidRPr="00D30D9B">
              <w:rPr>
                <w:rFonts w:asciiTheme="minorHAnsi" w:hAnsiTheme="minorHAnsi"/>
                <w:szCs w:val="19"/>
                <w:lang w:val="hr-HR"/>
              </w:rPr>
              <w:t>Krediti financijskim institucijama</w:t>
            </w:r>
          </w:p>
        </w:tc>
        <w:tc>
          <w:tcPr>
            <w:tcW w:w="632" w:type="pct"/>
            <w:tcBorders>
              <w:top w:val="nil"/>
              <w:left w:val="nil"/>
              <w:bottom w:val="nil"/>
              <w:right w:val="nil"/>
            </w:tcBorders>
            <w:shd w:val="clear" w:color="auto" w:fill="auto"/>
            <w:vAlign w:val="bottom"/>
          </w:tcPr>
          <w:p w14:paraId="16A01D8F"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11.889.111</w:t>
            </w:r>
          </w:p>
        </w:tc>
        <w:tc>
          <w:tcPr>
            <w:tcW w:w="569" w:type="pct"/>
            <w:tcBorders>
              <w:top w:val="nil"/>
              <w:left w:val="nil"/>
              <w:bottom w:val="nil"/>
              <w:right w:val="nil"/>
            </w:tcBorders>
            <w:shd w:val="clear" w:color="auto" w:fill="auto"/>
            <w:vAlign w:val="bottom"/>
          </w:tcPr>
          <w:p w14:paraId="179ABCC9"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33" w:type="pct"/>
            <w:tcBorders>
              <w:top w:val="nil"/>
              <w:left w:val="nil"/>
              <w:bottom w:val="nil"/>
              <w:right w:val="nil"/>
            </w:tcBorders>
            <w:shd w:val="clear" w:color="auto" w:fill="auto"/>
            <w:vAlign w:val="bottom"/>
          </w:tcPr>
          <w:p w14:paraId="26492996"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08" w:type="pct"/>
            <w:tcBorders>
              <w:top w:val="nil"/>
              <w:left w:val="nil"/>
              <w:bottom w:val="nil"/>
              <w:right w:val="nil"/>
            </w:tcBorders>
            <w:shd w:val="clear" w:color="auto" w:fill="auto"/>
            <w:vAlign w:val="bottom"/>
          </w:tcPr>
          <w:p w14:paraId="5FCD2CAB"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11.889.111</w:t>
            </w:r>
          </w:p>
        </w:tc>
      </w:tr>
      <w:tr w:rsidR="00815091" w:rsidRPr="00EB4107" w14:paraId="449DF460" w14:textId="77777777" w:rsidTr="00815091">
        <w:trPr>
          <w:cantSplit/>
          <w:trHeight w:hRule="exact" w:val="284"/>
          <w:tblHeader/>
        </w:trPr>
        <w:tc>
          <w:tcPr>
            <w:tcW w:w="2558" w:type="pct"/>
            <w:vAlign w:val="bottom"/>
          </w:tcPr>
          <w:p w14:paraId="34396A17" w14:textId="77777777" w:rsidR="00815091" w:rsidRPr="00D30D9B" w:rsidRDefault="00815091" w:rsidP="009557C4">
            <w:pPr>
              <w:pStyle w:val="TT"/>
              <w:rPr>
                <w:rFonts w:asciiTheme="minorHAnsi" w:hAnsiTheme="minorHAnsi"/>
                <w:szCs w:val="19"/>
                <w:lang w:val="hr-HR"/>
              </w:rPr>
            </w:pPr>
            <w:r w:rsidRPr="00D30D9B">
              <w:rPr>
                <w:rFonts w:asciiTheme="minorHAnsi" w:hAnsiTheme="minorHAnsi"/>
                <w:szCs w:val="19"/>
                <w:lang w:val="hr-HR"/>
              </w:rPr>
              <w:t>Krediti ostalim korisnicima</w:t>
            </w:r>
          </w:p>
        </w:tc>
        <w:tc>
          <w:tcPr>
            <w:tcW w:w="632" w:type="pct"/>
            <w:tcBorders>
              <w:top w:val="nil"/>
              <w:left w:val="nil"/>
              <w:bottom w:val="nil"/>
              <w:right w:val="nil"/>
            </w:tcBorders>
            <w:shd w:val="clear" w:color="auto" w:fill="auto"/>
            <w:vAlign w:val="bottom"/>
          </w:tcPr>
          <w:p w14:paraId="19A7CFFF"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11.281.848</w:t>
            </w:r>
          </w:p>
        </w:tc>
        <w:tc>
          <w:tcPr>
            <w:tcW w:w="569" w:type="pct"/>
            <w:tcBorders>
              <w:top w:val="nil"/>
              <w:left w:val="nil"/>
              <w:bottom w:val="nil"/>
              <w:right w:val="nil"/>
            </w:tcBorders>
            <w:shd w:val="clear" w:color="auto" w:fill="auto"/>
            <w:vAlign w:val="bottom"/>
          </w:tcPr>
          <w:p w14:paraId="55E322BB"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33" w:type="pct"/>
            <w:tcBorders>
              <w:top w:val="nil"/>
              <w:left w:val="nil"/>
              <w:bottom w:val="nil"/>
              <w:right w:val="nil"/>
            </w:tcBorders>
            <w:shd w:val="clear" w:color="auto" w:fill="auto"/>
            <w:vAlign w:val="bottom"/>
          </w:tcPr>
          <w:p w14:paraId="05B84983"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229.346</w:t>
            </w:r>
          </w:p>
        </w:tc>
        <w:tc>
          <w:tcPr>
            <w:tcW w:w="608" w:type="pct"/>
            <w:tcBorders>
              <w:top w:val="nil"/>
              <w:left w:val="nil"/>
              <w:bottom w:val="nil"/>
              <w:right w:val="nil"/>
            </w:tcBorders>
            <w:shd w:val="clear" w:color="auto" w:fill="auto"/>
            <w:vAlign w:val="bottom"/>
          </w:tcPr>
          <w:p w14:paraId="09E8D772"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11.511.194</w:t>
            </w:r>
          </w:p>
        </w:tc>
      </w:tr>
      <w:tr w:rsidR="00815091" w:rsidRPr="00EB4107" w14:paraId="06FCFBB3" w14:textId="77777777" w:rsidTr="00815091">
        <w:trPr>
          <w:cantSplit/>
          <w:trHeight w:hRule="exact" w:val="284"/>
          <w:tblHeader/>
        </w:trPr>
        <w:tc>
          <w:tcPr>
            <w:tcW w:w="2558" w:type="pct"/>
            <w:vAlign w:val="bottom"/>
          </w:tcPr>
          <w:p w14:paraId="7AB4D70C" w14:textId="77777777" w:rsidR="00815091" w:rsidRPr="00D30D9B" w:rsidRDefault="00815091" w:rsidP="009557C4">
            <w:pPr>
              <w:pStyle w:val="TT"/>
              <w:rPr>
                <w:rFonts w:asciiTheme="minorHAnsi" w:hAnsiTheme="minorHAnsi"/>
                <w:szCs w:val="19"/>
                <w:lang w:val="hr-HR"/>
              </w:rPr>
            </w:pPr>
            <w:r w:rsidRPr="00D30D9B">
              <w:rPr>
                <w:rFonts w:asciiTheme="minorHAnsi" w:hAnsiTheme="minorHAnsi"/>
                <w:szCs w:val="19"/>
                <w:lang w:val="hr-HR"/>
              </w:rPr>
              <w:t>Imovina raspoloživa za prodaju</w:t>
            </w:r>
          </w:p>
        </w:tc>
        <w:tc>
          <w:tcPr>
            <w:tcW w:w="632" w:type="pct"/>
            <w:tcBorders>
              <w:top w:val="nil"/>
              <w:left w:val="nil"/>
              <w:bottom w:val="nil"/>
              <w:right w:val="nil"/>
            </w:tcBorders>
            <w:shd w:val="clear" w:color="auto" w:fill="auto"/>
            <w:vAlign w:val="bottom"/>
          </w:tcPr>
          <w:p w14:paraId="06AACED7"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3.306.628</w:t>
            </w:r>
          </w:p>
        </w:tc>
        <w:tc>
          <w:tcPr>
            <w:tcW w:w="569" w:type="pct"/>
            <w:tcBorders>
              <w:top w:val="nil"/>
              <w:left w:val="nil"/>
              <w:bottom w:val="nil"/>
              <w:right w:val="nil"/>
            </w:tcBorders>
            <w:shd w:val="clear" w:color="auto" w:fill="auto"/>
            <w:vAlign w:val="bottom"/>
          </w:tcPr>
          <w:p w14:paraId="61CDBBBC"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33" w:type="pct"/>
            <w:tcBorders>
              <w:top w:val="nil"/>
              <w:left w:val="nil"/>
              <w:bottom w:val="nil"/>
              <w:right w:val="nil"/>
            </w:tcBorders>
            <w:shd w:val="clear" w:color="auto" w:fill="auto"/>
            <w:vAlign w:val="bottom"/>
          </w:tcPr>
          <w:p w14:paraId="2CA80CE4"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08" w:type="pct"/>
            <w:tcBorders>
              <w:top w:val="nil"/>
              <w:left w:val="nil"/>
              <w:bottom w:val="nil"/>
              <w:right w:val="nil"/>
            </w:tcBorders>
            <w:shd w:val="clear" w:color="auto" w:fill="auto"/>
            <w:vAlign w:val="bottom"/>
          </w:tcPr>
          <w:p w14:paraId="46034864"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3.306.628</w:t>
            </w:r>
          </w:p>
        </w:tc>
      </w:tr>
      <w:tr w:rsidR="00815091" w:rsidRPr="00EB4107" w14:paraId="5BB50559" w14:textId="77777777" w:rsidTr="00815091">
        <w:trPr>
          <w:cantSplit/>
          <w:trHeight w:hRule="exact" w:val="284"/>
          <w:tblHeader/>
        </w:trPr>
        <w:tc>
          <w:tcPr>
            <w:tcW w:w="2558" w:type="pct"/>
            <w:vAlign w:val="bottom"/>
          </w:tcPr>
          <w:p w14:paraId="3250AD90" w14:textId="77777777" w:rsidR="00815091" w:rsidRPr="00D30D9B" w:rsidRDefault="00815091" w:rsidP="009557C4">
            <w:pPr>
              <w:pStyle w:val="TT"/>
              <w:rPr>
                <w:rFonts w:asciiTheme="minorHAnsi" w:hAnsiTheme="minorHAnsi"/>
                <w:szCs w:val="19"/>
                <w:lang w:val="hr-HR"/>
              </w:rPr>
            </w:pPr>
            <w:r w:rsidRPr="00D30D9B">
              <w:rPr>
                <w:rFonts w:asciiTheme="minorHAnsi" w:hAnsiTheme="minorHAnsi"/>
                <w:szCs w:val="19"/>
                <w:lang w:val="hr-HR"/>
              </w:rPr>
              <w:t>Ostala imovina</w:t>
            </w:r>
          </w:p>
        </w:tc>
        <w:tc>
          <w:tcPr>
            <w:tcW w:w="632" w:type="pct"/>
            <w:tcBorders>
              <w:top w:val="nil"/>
              <w:left w:val="nil"/>
              <w:bottom w:val="nil"/>
              <w:right w:val="nil"/>
            </w:tcBorders>
            <w:shd w:val="clear" w:color="auto" w:fill="auto"/>
            <w:vAlign w:val="bottom"/>
          </w:tcPr>
          <w:p w14:paraId="5C1F353E"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2.844</w:t>
            </w:r>
          </w:p>
        </w:tc>
        <w:tc>
          <w:tcPr>
            <w:tcW w:w="569" w:type="pct"/>
            <w:tcBorders>
              <w:top w:val="nil"/>
              <w:left w:val="nil"/>
              <w:bottom w:val="nil"/>
              <w:right w:val="nil"/>
            </w:tcBorders>
            <w:shd w:val="clear" w:color="auto" w:fill="auto"/>
            <w:vAlign w:val="bottom"/>
          </w:tcPr>
          <w:p w14:paraId="344A73C0"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235</w:t>
            </w:r>
          </w:p>
        </w:tc>
        <w:tc>
          <w:tcPr>
            <w:tcW w:w="633" w:type="pct"/>
            <w:tcBorders>
              <w:top w:val="nil"/>
              <w:left w:val="nil"/>
              <w:bottom w:val="nil"/>
              <w:right w:val="nil"/>
            </w:tcBorders>
            <w:shd w:val="clear" w:color="auto" w:fill="auto"/>
            <w:vAlign w:val="bottom"/>
          </w:tcPr>
          <w:p w14:paraId="274759A1" w14:textId="77777777" w:rsidR="00815091" w:rsidRPr="00D30D9B" w:rsidRDefault="00815091" w:rsidP="009557C4">
            <w:pPr>
              <w:tabs>
                <w:tab w:val="right" w:pos="1202"/>
              </w:tabs>
              <w:spacing w:line="301" w:lineRule="exact"/>
              <w:jc w:val="right"/>
              <w:outlineLvl w:val="0"/>
              <w:rPr>
                <w:rFonts w:cs="Arial"/>
                <w:sz w:val="19"/>
                <w:szCs w:val="19"/>
              </w:rPr>
            </w:pPr>
            <w:r w:rsidRPr="00D30D9B">
              <w:rPr>
                <w:rFonts w:ascii="Calibri" w:hAnsi="Calibri" w:cs="Arial"/>
                <w:sz w:val="19"/>
                <w:szCs w:val="19"/>
              </w:rPr>
              <w:t>-</w:t>
            </w:r>
          </w:p>
        </w:tc>
        <w:tc>
          <w:tcPr>
            <w:tcW w:w="608" w:type="pct"/>
            <w:tcBorders>
              <w:top w:val="nil"/>
              <w:left w:val="nil"/>
              <w:bottom w:val="nil"/>
              <w:right w:val="nil"/>
            </w:tcBorders>
            <w:shd w:val="clear" w:color="auto" w:fill="auto"/>
            <w:vAlign w:val="bottom"/>
          </w:tcPr>
          <w:p w14:paraId="774636E6"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3.079</w:t>
            </w:r>
          </w:p>
        </w:tc>
      </w:tr>
      <w:tr w:rsidR="00815091" w:rsidRPr="00EB4107" w14:paraId="5D396670" w14:textId="77777777" w:rsidTr="00815091">
        <w:trPr>
          <w:cantSplit/>
          <w:trHeight w:hRule="exact" w:val="359"/>
          <w:tblHeader/>
        </w:trPr>
        <w:tc>
          <w:tcPr>
            <w:tcW w:w="2558" w:type="pct"/>
            <w:vAlign w:val="bottom"/>
          </w:tcPr>
          <w:p w14:paraId="4A9B0178" w14:textId="77777777" w:rsidR="00815091" w:rsidRPr="00D30D9B" w:rsidRDefault="00815091" w:rsidP="009557C4">
            <w:pPr>
              <w:pStyle w:val="TT"/>
              <w:rPr>
                <w:rFonts w:asciiTheme="minorHAnsi" w:hAnsiTheme="minorHAnsi"/>
                <w:b/>
                <w:bCs/>
                <w:szCs w:val="19"/>
                <w:lang w:val="hr-HR"/>
              </w:rPr>
            </w:pPr>
            <w:r w:rsidRPr="00D30D9B">
              <w:rPr>
                <w:rFonts w:asciiTheme="minorHAnsi" w:hAnsiTheme="minorHAnsi"/>
                <w:b/>
                <w:bCs/>
                <w:szCs w:val="19"/>
                <w:lang w:val="hr-HR"/>
              </w:rPr>
              <w:t xml:space="preserve">Ukupno </w:t>
            </w:r>
          </w:p>
        </w:tc>
        <w:tc>
          <w:tcPr>
            <w:tcW w:w="632" w:type="pct"/>
            <w:tcBorders>
              <w:top w:val="single" w:sz="8" w:space="0" w:color="auto"/>
              <w:left w:val="nil"/>
              <w:bottom w:val="single" w:sz="8" w:space="0" w:color="auto"/>
              <w:right w:val="nil"/>
            </w:tcBorders>
            <w:shd w:val="clear" w:color="auto" w:fill="auto"/>
            <w:vAlign w:val="bottom"/>
          </w:tcPr>
          <w:p w14:paraId="37944624" w14:textId="77777777" w:rsidR="00815091" w:rsidRPr="00815091" w:rsidRDefault="00815091" w:rsidP="00815091">
            <w:pPr>
              <w:tabs>
                <w:tab w:val="right" w:pos="1202"/>
              </w:tabs>
              <w:spacing w:after="0" w:line="280" w:lineRule="exact"/>
              <w:jc w:val="right"/>
              <w:outlineLvl w:val="0"/>
              <w:rPr>
                <w:b/>
                <w:sz w:val="19"/>
                <w:szCs w:val="19"/>
              </w:rPr>
            </w:pPr>
            <w:r w:rsidRPr="00815091">
              <w:rPr>
                <w:b/>
                <w:sz w:val="19"/>
                <w:szCs w:val="19"/>
              </w:rPr>
              <w:t>26.671.493</w:t>
            </w:r>
          </w:p>
        </w:tc>
        <w:tc>
          <w:tcPr>
            <w:tcW w:w="569" w:type="pct"/>
            <w:tcBorders>
              <w:top w:val="single" w:sz="8" w:space="0" w:color="auto"/>
              <w:left w:val="nil"/>
              <w:bottom w:val="single" w:sz="8" w:space="0" w:color="auto"/>
              <w:right w:val="nil"/>
            </w:tcBorders>
            <w:shd w:val="clear" w:color="auto" w:fill="auto"/>
            <w:vAlign w:val="bottom"/>
          </w:tcPr>
          <w:p w14:paraId="4E539BFC" w14:textId="77777777" w:rsidR="00815091" w:rsidRPr="00815091" w:rsidRDefault="00815091" w:rsidP="00815091">
            <w:pPr>
              <w:tabs>
                <w:tab w:val="right" w:pos="1202"/>
              </w:tabs>
              <w:spacing w:after="0" w:line="280" w:lineRule="exact"/>
              <w:jc w:val="right"/>
              <w:outlineLvl w:val="0"/>
              <w:rPr>
                <w:b/>
                <w:sz w:val="19"/>
                <w:szCs w:val="19"/>
              </w:rPr>
            </w:pPr>
            <w:r w:rsidRPr="00815091">
              <w:rPr>
                <w:b/>
                <w:sz w:val="19"/>
                <w:szCs w:val="19"/>
              </w:rPr>
              <w:t>322.170</w:t>
            </w:r>
          </w:p>
        </w:tc>
        <w:tc>
          <w:tcPr>
            <w:tcW w:w="633" w:type="pct"/>
            <w:tcBorders>
              <w:top w:val="single" w:sz="8" w:space="0" w:color="auto"/>
              <w:left w:val="nil"/>
              <w:bottom w:val="single" w:sz="8" w:space="0" w:color="auto"/>
              <w:right w:val="nil"/>
            </w:tcBorders>
            <w:shd w:val="clear" w:color="auto" w:fill="auto"/>
            <w:vAlign w:val="bottom"/>
          </w:tcPr>
          <w:p w14:paraId="7893E244" w14:textId="77777777" w:rsidR="00815091" w:rsidRPr="00815091" w:rsidRDefault="00815091" w:rsidP="00815091">
            <w:pPr>
              <w:tabs>
                <w:tab w:val="right" w:pos="1202"/>
              </w:tabs>
              <w:spacing w:after="0" w:line="280" w:lineRule="exact"/>
              <w:jc w:val="right"/>
              <w:outlineLvl w:val="0"/>
              <w:rPr>
                <w:b/>
                <w:sz w:val="19"/>
                <w:szCs w:val="19"/>
              </w:rPr>
            </w:pPr>
            <w:r w:rsidRPr="00815091">
              <w:rPr>
                <w:b/>
                <w:sz w:val="19"/>
                <w:szCs w:val="19"/>
              </w:rPr>
              <w:t>230.913</w:t>
            </w:r>
          </w:p>
        </w:tc>
        <w:tc>
          <w:tcPr>
            <w:tcW w:w="608" w:type="pct"/>
            <w:tcBorders>
              <w:top w:val="single" w:sz="8" w:space="0" w:color="auto"/>
              <w:left w:val="nil"/>
              <w:bottom w:val="single" w:sz="8" w:space="0" w:color="auto"/>
              <w:right w:val="nil"/>
            </w:tcBorders>
            <w:shd w:val="clear" w:color="auto" w:fill="auto"/>
            <w:vAlign w:val="bottom"/>
          </w:tcPr>
          <w:p w14:paraId="5C5C5518" w14:textId="77777777" w:rsidR="00815091" w:rsidRPr="00815091" w:rsidRDefault="00815091" w:rsidP="00815091">
            <w:pPr>
              <w:tabs>
                <w:tab w:val="right" w:pos="1202"/>
              </w:tabs>
              <w:spacing w:after="0" w:line="280" w:lineRule="exact"/>
              <w:jc w:val="right"/>
              <w:outlineLvl w:val="0"/>
              <w:rPr>
                <w:b/>
                <w:sz w:val="19"/>
                <w:szCs w:val="19"/>
              </w:rPr>
            </w:pPr>
            <w:r w:rsidRPr="00815091">
              <w:rPr>
                <w:b/>
                <w:sz w:val="19"/>
                <w:szCs w:val="19"/>
              </w:rPr>
              <w:t>27.224.576</w:t>
            </w:r>
          </w:p>
        </w:tc>
      </w:tr>
      <w:tr w:rsidR="00815091" w:rsidRPr="00EB4107" w14:paraId="6354D869" w14:textId="77777777" w:rsidTr="00815091">
        <w:tblPrEx>
          <w:tblCellMar>
            <w:left w:w="31" w:type="dxa"/>
            <w:right w:w="31" w:type="dxa"/>
          </w:tblCellMar>
        </w:tblPrEx>
        <w:trPr>
          <w:cantSplit/>
          <w:trHeight w:hRule="exact" w:val="284"/>
          <w:tblHeader/>
        </w:trPr>
        <w:tc>
          <w:tcPr>
            <w:tcW w:w="2558" w:type="pct"/>
            <w:vAlign w:val="bottom"/>
          </w:tcPr>
          <w:p w14:paraId="7E1BC607" w14:textId="77777777" w:rsidR="00815091" w:rsidRPr="00D30D9B" w:rsidRDefault="00815091" w:rsidP="009557C4">
            <w:pPr>
              <w:pStyle w:val="TT"/>
              <w:rPr>
                <w:rFonts w:asciiTheme="minorHAnsi" w:hAnsiTheme="minorHAnsi"/>
                <w:b/>
                <w:bCs/>
                <w:szCs w:val="19"/>
                <w:lang w:val="hr-HR"/>
              </w:rPr>
            </w:pPr>
          </w:p>
        </w:tc>
        <w:tc>
          <w:tcPr>
            <w:tcW w:w="632" w:type="pct"/>
            <w:tcBorders>
              <w:top w:val="single" w:sz="12" w:space="0" w:color="auto"/>
            </w:tcBorders>
            <w:vAlign w:val="bottom"/>
          </w:tcPr>
          <w:p w14:paraId="0A88F79A" w14:textId="77777777" w:rsidR="00815091" w:rsidRPr="00D30D9B" w:rsidRDefault="00815091" w:rsidP="009557C4">
            <w:pPr>
              <w:pStyle w:val="TT"/>
              <w:jc w:val="right"/>
              <w:rPr>
                <w:rFonts w:asciiTheme="minorHAnsi" w:hAnsiTheme="minorHAnsi" w:cs="Arial"/>
                <w:szCs w:val="19"/>
                <w:lang w:val="hr-HR"/>
              </w:rPr>
            </w:pPr>
          </w:p>
        </w:tc>
        <w:tc>
          <w:tcPr>
            <w:tcW w:w="569" w:type="pct"/>
            <w:tcBorders>
              <w:top w:val="single" w:sz="12" w:space="0" w:color="auto"/>
            </w:tcBorders>
            <w:vAlign w:val="bottom"/>
          </w:tcPr>
          <w:p w14:paraId="438F8891" w14:textId="77777777" w:rsidR="00815091" w:rsidRPr="00D30D9B" w:rsidRDefault="00815091" w:rsidP="009557C4">
            <w:pPr>
              <w:pStyle w:val="TT"/>
              <w:jc w:val="right"/>
              <w:rPr>
                <w:rFonts w:asciiTheme="minorHAnsi" w:hAnsiTheme="minorHAnsi" w:cs="Arial"/>
                <w:szCs w:val="19"/>
                <w:lang w:val="hr-HR"/>
              </w:rPr>
            </w:pPr>
          </w:p>
        </w:tc>
        <w:tc>
          <w:tcPr>
            <w:tcW w:w="633" w:type="pct"/>
            <w:tcBorders>
              <w:top w:val="single" w:sz="12" w:space="0" w:color="auto"/>
            </w:tcBorders>
            <w:vAlign w:val="bottom"/>
          </w:tcPr>
          <w:p w14:paraId="7476F04C" w14:textId="77777777" w:rsidR="00815091" w:rsidRPr="00D30D9B" w:rsidRDefault="00815091" w:rsidP="009557C4">
            <w:pPr>
              <w:pStyle w:val="TT"/>
              <w:jc w:val="right"/>
              <w:rPr>
                <w:rFonts w:asciiTheme="minorHAnsi" w:hAnsiTheme="minorHAnsi" w:cs="Arial"/>
                <w:szCs w:val="19"/>
                <w:lang w:val="hr-HR"/>
              </w:rPr>
            </w:pPr>
          </w:p>
        </w:tc>
        <w:tc>
          <w:tcPr>
            <w:tcW w:w="608" w:type="pct"/>
            <w:tcBorders>
              <w:top w:val="single" w:sz="12" w:space="0" w:color="auto"/>
            </w:tcBorders>
            <w:vAlign w:val="bottom"/>
          </w:tcPr>
          <w:p w14:paraId="11ED9AB5" w14:textId="77777777" w:rsidR="00815091" w:rsidRPr="00D30D9B" w:rsidRDefault="00815091" w:rsidP="009557C4">
            <w:pPr>
              <w:pStyle w:val="TT"/>
              <w:jc w:val="right"/>
              <w:rPr>
                <w:rFonts w:asciiTheme="minorHAnsi" w:hAnsiTheme="minorHAnsi" w:cs="Arial"/>
                <w:szCs w:val="19"/>
                <w:lang w:val="hr-HR"/>
              </w:rPr>
            </w:pPr>
          </w:p>
        </w:tc>
      </w:tr>
      <w:tr w:rsidR="00815091" w:rsidRPr="00EB4107" w14:paraId="4FC1628C" w14:textId="77777777" w:rsidTr="00815091">
        <w:tblPrEx>
          <w:tblCellMar>
            <w:left w:w="31" w:type="dxa"/>
            <w:right w:w="31" w:type="dxa"/>
          </w:tblCellMar>
        </w:tblPrEx>
        <w:trPr>
          <w:cantSplit/>
          <w:trHeight w:hRule="exact" w:val="284"/>
          <w:tblHeader/>
        </w:trPr>
        <w:tc>
          <w:tcPr>
            <w:tcW w:w="2558" w:type="pct"/>
          </w:tcPr>
          <w:p w14:paraId="48FF18FF" w14:textId="77777777" w:rsidR="00815091" w:rsidRPr="00D30D9B" w:rsidRDefault="00815091" w:rsidP="009557C4">
            <w:pPr>
              <w:pStyle w:val="TT"/>
              <w:rPr>
                <w:rFonts w:asciiTheme="minorHAnsi" w:hAnsiTheme="minorHAnsi"/>
                <w:b/>
                <w:bCs/>
                <w:szCs w:val="19"/>
                <w:lang w:val="hr-HR"/>
              </w:rPr>
            </w:pPr>
            <w:r w:rsidRPr="00D30D9B">
              <w:rPr>
                <w:rFonts w:asciiTheme="minorHAnsi" w:hAnsiTheme="minorHAnsi" w:cs="Arial"/>
                <w:b/>
                <w:bCs/>
                <w:szCs w:val="19"/>
                <w:lang w:val="hr-HR"/>
              </w:rPr>
              <w:t>Garancije i preuzete obveze</w:t>
            </w:r>
          </w:p>
        </w:tc>
        <w:tc>
          <w:tcPr>
            <w:tcW w:w="632" w:type="pct"/>
            <w:vAlign w:val="bottom"/>
          </w:tcPr>
          <w:p w14:paraId="7D6EDB34" w14:textId="77777777" w:rsidR="00815091" w:rsidRPr="00D30D9B" w:rsidRDefault="00815091" w:rsidP="009557C4">
            <w:pPr>
              <w:pStyle w:val="TT"/>
              <w:jc w:val="right"/>
              <w:rPr>
                <w:rFonts w:asciiTheme="minorHAnsi" w:hAnsiTheme="minorHAnsi" w:cs="Arial"/>
                <w:szCs w:val="19"/>
                <w:lang w:val="hr-HR"/>
              </w:rPr>
            </w:pPr>
          </w:p>
        </w:tc>
        <w:tc>
          <w:tcPr>
            <w:tcW w:w="569" w:type="pct"/>
            <w:vAlign w:val="bottom"/>
          </w:tcPr>
          <w:p w14:paraId="20DC61AA" w14:textId="77777777" w:rsidR="00815091" w:rsidRPr="00D30D9B" w:rsidRDefault="00815091" w:rsidP="009557C4">
            <w:pPr>
              <w:pStyle w:val="TT"/>
              <w:jc w:val="right"/>
              <w:rPr>
                <w:rFonts w:asciiTheme="minorHAnsi" w:hAnsiTheme="minorHAnsi" w:cs="Arial"/>
                <w:szCs w:val="19"/>
                <w:lang w:val="hr-HR"/>
              </w:rPr>
            </w:pPr>
          </w:p>
        </w:tc>
        <w:tc>
          <w:tcPr>
            <w:tcW w:w="633" w:type="pct"/>
            <w:vAlign w:val="bottom"/>
          </w:tcPr>
          <w:p w14:paraId="419B6F54" w14:textId="77777777" w:rsidR="00815091" w:rsidRPr="00D30D9B" w:rsidRDefault="00815091" w:rsidP="009557C4">
            <w:pPr>
              <w:pStyle w:val="TT"/>
              <w:jc w:val="right"/>
              <w:rPr>
                <w:rFonts w:asciiTheme="minorHAnsi" w:hAnsiTheme="minorHAnsi" w:cs="Arial"/>
                <w:szCs w:val="19"/>
                <w:lang w:val="hr-HR"/>
              </w:rPr>
            </w:pPr>
          </w:p>
        </w:tc>
        <w:tc>
          <w:tcPr>
            <w:tcW w:w="608" w:type="pct"/>
            <w:vAlign w:val="bottom"/>
          </w:tcPr>
          <w:p w14:paraId="030AC8AE" w14:textId="77777777" w:rsidR="00815091" w:rsidRPr="00D30D9B" w:rsidRDefault="00815091" w:rsidP="009557C4">
            <w:pPr>
              <w:pStyle w:val="TT"/>
              <w:jc w:val="right"/>
              <w:rPr>
                <w:rFonts w:asciiTheme="minorHAnsi" w:hAnsiTheme="minorHAnsi" w:cs="Arial"/>
                <w:szCs w:val="19"/>
                <w:lang w:val="hr-HR"/>
              </w:rPr>
            </w:pPr>
          </w:p>
        </w:tc>
      </w:tr>
      <w:tr w:rsidR="00815091" w:rsidRPr="00EB4107" w14:paraId="72FE6BDC" w14:textId="77777777" w:rsidTr="00815091">
        <w:tblPrEx>
          <w:tblCellMar>
            <w:left w:w="31" w:type="dxa"/>
            <w:right w:w="31" w:type="dxa"/>
          </w:tblCellMar>
        </w:tblPrEx>
        <w:trPr>
          <w:cantSplit/>
          <w:trHeight w:hRule="exact" w:val="284"/>
          <w:tblHeader/>
        </w:trPr>
        <w:tc>
          <w:tcPr>
            <w:tcW w:w="2558" w:type="pct"/>
          </w:tcPr>
          <w:p w14:paraId="48EE7C90" w14:textId="77777777" w:rsidR="00815091" w:rsidRPr="00D30D9B" w:rsidRDefault="00815091" w:rsidP="009557C4">
            <w:pPr>
              <w:tabs>
                <w:tab w:val="right" w:pos="1202"/>
              </w:tabs>
              <w:spacing w:line="301" w:lineRule="exact"/>
              <w:outlineLvl w:val="0"/>
              <w:rPr>
                <w:rFonts w:cs="Arial"/>
                <w:b/>
                <w:bCs/>
                <w:sz w:val="19"/>
                <w:szCs w:val="19"/>
              </w:rPr>
            </w:pPr>
            <w:r w:rsidRPr="00D30D9B">
              <w:rPr>
                <w:rFonts w:cs="Arial"/>
                <w:sz w:val="19"/>
                <w:szCs w:val="19"/>
              </w:rPr>
              <w:t>Izdane garancije u kunama</w:t>
            </w:r>
          </w:p>
        </w:tc>
        <w:tc>
          <w:tcPr>
            <w:tcW w:w="632" w:type="pct"/>
            <w:tcBorders>
              <w:top w:val="nil"/>
              <w:left w:val="nil"/>
              <w:bottom w:val="nil"/>
              <w:right w:val="nil"/>
            </w:tcBorders>
            <w:shd w:val="clear" w:color="auto" w:fill="auto"/>
            <w:vAlign w:val="bottom"/>
          </w:tcPr>
          <w:p w14:paraId="002D79C8" w14:textId="77777777" w:rsidR="00815091" w:rsidRPr="00D30D9B" w:rsidRDefault="00815091" w:rsidP="009557C4">
            <w:pPr>
              <w:pStyle w:val="TT"/>
              <w:jc w:val="right"/>
              <w:rPr>
                <w:rFonts w:asciiTheme="minorHAnsi" w:hAnsiTheme="minorHAnsi" w:cs="Arial"/>
                <w:szCs w:val="19"/>
                <w:lang w:val="hr-HR"/>
              </w:rPr>
            </w:pPr>
            <w:r w:rsidRPr="00EB4107">
              <w:rPr>
                <w:rFonts w:ascii="Calibri" w:hAnsi="Calibri" w:cs="Arial"/>
                <w:szCs w:val="19"/>
              </w:rPr>
              <w:t>31.480</w:t>
            </w:r>
          </w:p>
        </w:tc>
        <w:tc>
          <w:tcPr>
            <w:tcW w:w="569" w:type="pct"/>
            <w:tcBorders>
              <w:top w:val="nil"/>
              <w:left w:val="nil"/>
              <w:bottom w:val="nil"/>
              <w:right w:val="nil"/>
            </w:tcBorders>
            <w:shd w:val="clear" w:color="auto" w:fill="auto"/>
            <w:vAlign w:val="bottom"/>
          </w:tcPr>
          <w:p w14:paraId="6BA59C7C" w14:textId="77777777" w:rsidR="00815091" w:rsidRPr="00D30D9B" w:rsidRDefault="00815091" w:rsidP="009557C4">
            <w:pPr>
              <w:pStyle w:val="TT"/>
              <w:jc w:val="right"/>
              <w:rPr>
                <w:rFonts w:asciiTheme="minorHAnsi" w:hAnsiTheme="minorHAnsi" w:cs="Arial"/>
                <w:szCs w:val="19"/>
                <w:lang w:val="hr-HR"/>
              </w:rPr>
            </w:pPr>
            <w:r w:rsidRPr="00EB4107">
              <w:rPr>
                <w:rFonts w:ascii="Calibri" w:hAnsi="Calibri" w:cs="Arial"/>
                <w:szCs w:val="19"/>
              </w:rPr>
              <w:t>602</w:t>
            </w:r>
          </w:p>
        </w:tc>
        <w:tc>
          <w:tcPr>
            <w:tcW w:w="633" w:type="pct"/>
            <w:tcBorders>
              <w:top w:val="nil"/>
              <w:left w:val="nil"/>
              <w:bottom w:val="nil"/>
              <w:right w:val="nil"/>
            </w:tcBorders>
            <w:shd w:val="clear" w:color="auto" w:fill="auto"/>
            <w:vAlign w:val="bottom"/>
          </w:tcPr>
          <w:p w14:paraId="4B712F0B" w14:textId="77777777" w:rsidR="00815091" w:rsidRPr="00D30D9B" w:rsidRDefault="00815091" w:rsidP="009557C4">
            <w:pPr>
              <w:pStyle w:val="TT"/>
              <w:jc w:val="right"/>
              <w:rPr>
                <w:rFonts w:asciiTheme="minorHAnsi" w:hAnsiTheme="minorHAnsi" w:cs="Arial"/>
                <w:szCs w:val="19"/>
                <w:lang w:val="hr-HR"/>
              </w:rPr>
            </w:pPr>
            <w:r w:rsidRPr="00EB4107">
              <w:rPr>
                <w:rFonts w:ascii="Calibri" w:hAnsi="Calibri" w:cs="Arial"/>
                <w:szCs w:val="19"/>
              </w:rPr>
              <w:t>-</w:t>
            </w:r>
          </w:p>
        </w:tc>
        <w:tc>
          <w:tcPr>
            <w:tcW w:w="608" w:type="pct"/>
            <w:tcBorders>
              <w:top w:val="nil"/>
              <w:left w:val="nil"/>
              <w:bottom w:val="nil"/>
              <w:right w:val="nil"/>
            </w:tcBorders>
            <w:shd w:val="clear" w:color="auto" w:fill="auto"/>
            <w:vAlign w:val="bottom"/>
          </w:tcPr>
          <w:p w14:paraId="502693BC" w14:textId="77777777" w:rsidR="00815091" w:rsidRPr="00D30D9B" w:rsidRDefault="00815091" w:rsidP="009557C4">
            <w:pPr>
              <w:pStyle w:val="TT"/>
              <w:jc w:val="right"/>
              <w:rPr>
                <w:rFonts w:asciiTheme="minorHAnsi" w:hAnsiTheme="minorHAnsi" w:cs="Arial"/>
                <w:szCs w:val="19"/>
                <w:lang w:val="hr-HR"/>
              </w:rPr>
            </w:pPr>
            <w:r w:rsidRPr="00EB4107">
              <w:rPr>
                <w:rFonts w:ascii="Calibri" w:hAnsi="Calibri" w:cs="Arial"/>
                <w:szCs w:val="19"/>
              </w:rPr>
              <w:t>32.082</w:t>
            </w:r>
          </w:p>
        </w:tc>
      </w:tr>
      <w:tr w:rsidR="00815091" w:rsidRPr="00EB4107" w14:paraId="10C73569" w14:textId="77777777" w:rsidTr="00815091">
        <w:tblPrEx>
          <w:tblCellMar>
            <w:left w:w="31" w:type="dxa"/>
            <w:right w:w="31" w:type="dxa"/>
          </w:tblCellMar>
        </w:tblPrEx>
        <w:trPr>
          <w:cantSplit/>
          <w:trHeight w:hRule="exact" w:val="284"/>
          <w:tblHeader/>
        </w:trPr>
        <w:tc>
          <w:tcPr>
            <w:tcW w:w="2558" w:type="pct"/>
            <w:vAlign w:val="bottom"/>
          </w:tcPr>
          <w:p w14:paraId="257CCB96" w14:textId="77777777" w:rsidR="00815091" w:rsidRPr="00D30D9B" w:rsidRDefault="00815091" w:rsidP="009557C4">
            <w:pPr>
              <w:tabs>
                <w:tab w:val="right" w:pos="1202"/>
              </w:tabs>
              <w:spacing w:line="301" w:lineRule="exact"/>
              <w:outlineLvl w:val="0"/>
              <w:rPr>
                <w:sz w:val="19"/>
                <w:szCs w:val="19"/>
              </w:rPr>
            </w:pPr>
            <w:r w:rsidRPr="00D30D9B">
              <w:rPr>
                <w:sz w:val="19"/>
                <w:szCs w:val="19"/>
              </w:rPr>
              <w:t>Izdane garancije u devizama</w:t>
            </w:r>
          </w:p>
        </w:tc>
        <w:tc>
          <w:tcPr>
            <w:tcW w:w="632" w:type="pct"/>
            <w:tcBorders>
              <w:top w:val="nil"/>
              <w:left w:val="nil"/>
              <w:bottom w:val="nil"/>
              <w:right w:val="nil"/>
            </w:tcBorders>
            <w:shd w:val="clear" w:color="auto" w:fill="auto"/>
            <w:vAlign w:val="bottom"/>
          </w:tcPr>
          <w:p w14:paraId="3F9B0C4A"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1.982.969</w:t>
            </w:r>
          </w:p>
        </w:tc>
        <w:tc>
          <w:tcPr>
            <w:tcW w:w="569" w:type="pct"/>
            <w:tcBorders>
              <w:top w:val="nil"/>
              <w:left w:val="nil"/>
              <w:bottom w:val="nil"/>
              <w:right w:val="nil"/>
            </w:tcBorders>
            <w:shd w:val="clear" w:color="auto" w:fill="auto"/>
            <w:vAlign w:val="bottom"/>
          </w:tcPr>
          <w:p w14:paraId="3A3341B5"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33" w:type="pct"/>
            <w:tcBorders>
              <w:top w:val="nil"/>
              <w:left w:val="nil"/>
              <w:bottom w:val="nil"/>
              <w:right w:val="nil"/>
            </w:tcBorders>
            <w:shd w:val="clear" w:color="auto" w:fill="auto"/>
            <w:vAlign w:val="bottom"/>
          </w:tcPr>
          <w:p w14:paraId="5B6C99E3"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08" w:type="pct"/>
            <w:tcBorders>
              <w:top w:val="nil"/>
              <w:left w:val="nil"/>
              <w:bottom w:val="nil"/>
              <w:right w:val="nil"/>
            </w:tcBorders>
            <w:shd w:val="clear" w:color="auto" w:fill="auto"/>
            <w:vAlign w:val="bottom"/>
          </w:tcPr>
          <w:p w14:paraId="70589133"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1.982.969</w:t>
            </w:r>
          </w:p>
        </w:tc>
      </w:tr>
      <w:tr w:rsidR="00815091" w:rsidRPr="00EB4107" w14:paraId="35E1E5EC" w14:textId="77777777" w:rsidTr="00815091">
        <w:tblPrEx>
          <w:tblCellMar>
            <w:left w:w="31" w:type="dxa"/>
            <w:right w:w="31" w:type="dxa"/>
          </w:tblCellMar>
        </w:tblPrEx>
        <w:trPr>
          <w:cantSplit/>
          <w:trHeight w:hRule="exact" w:val="284"/>
          <w:tblHeader/>
        </w:trPr>
        <w:tc>
          <w:tcPr>
            <w:tcW w:w="2558" w:type="pct"/>
            <w:vAlign w:val="bottom"/>
          </w:tcPr>
          <w:p w14:paraId="4558B591" w14:textId="77777777" w:rsidR="00815091" w:rsidRPr="00D30D9B" w:rsidRDefault="00815091" w:rsidP="009557C4">
            <w:pPr>
              <w:tabs>
                <w:tab w:val="right" w:pos="1202"/>
              </w:tabs>
              <w:spacing w:line="301" w:lineRule="exact"/>
              <w:outlineLvl w:val="0"/>
              <w:rPr>
                <w:sz w:val="19"/>
                <w:szCs w:val="19"/>
              </w:rPr>
            </w:pPr>
            <w:r w:rsidRPr="00D30D9B">
              <w:rPr>
                <w:sz w:val="19"/>
                <w:szCs w:val="19"/>
              </w:rPr>
              <w:t>Preuzete obveze po kreditima</w:t>
            </w:r>
          </w:p>
        </w:tc>
        <w:tc>
          <w:tcPr>
            <w:tcW w:w="632" w:type="pct"/>
            <w:tcBorders>
              <w:top w:val="nil"/>
              <w:left w:val="nil"/>
              <w:bottom w:val="nil"/>
              <w:right w:val="nil"/>
            </w:tcBorders>
            <w:shd w:val="clear" w:color="auto" w:fill="auto"/>
            <w:vAlign w:val="bottom"/>
          </w:tcPr>
          <w:p w14:paraId="773A4CE5"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3.928.177</w:t>
            </w:r>
          </w:p>
        </w:tc>
        <w:tc>
          <w:tcPr>
            <w:tcW w:w="569" w:type="pct"/>
            <w:tcBorders>
              <w:top w:val="nil"/>
              <w:left w:val="nil"/>
              <w:bottom w:val="nil"/>
              <w:right w:val="nil"/>
            </w:tcBorders>
            <w:shd w:val="clear" w:color="auto" w:fill="auto"/>
            <w:vAlign w:val="bottom"/>
          </w:tcPr>
          <w:p w14:paraId="12A4E980"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33" w:type="pct"/>
            <w:tcBorders>
              <w:top w:val="nil"/>
              <w:left w:val="nil"/>
              <w:bottom w:val="nil"/>
              <w:right w:val="nil"/>
            </w:tcBorders>
            <w:shd w:val="clear" w:color="auto" w:fill="auto"/>
            <w:vAlign w:val="bottom"/>
          </w:tcPr>
          <w:p w14:paraId="5B9E9429"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08" w:type="pct"/>
            <w:tcBorders>
              <w:top w:val="nil"/>
              <w:left w:val="nil"/>
              <w:bottom w:val="nil"/>
              <w:right w:val="nil"/>
            </w:tcBorders>
            <w:shd w:val="clear" w:color="auto" w:fill="auto"/>
            <w:vAlign w:val="bottom"/>
          </w:tcPr>
          <w:p w14:paraId="6DA6DFBA"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3.928.177</w:t>
            </w:r>
          </w:p>
        </w:tc>
      </w:tr>
      <w:tr w:rsidR="00815091" w:rsidRPr="00EB4107" w14:paraId="09CED6FB" w14:textId="77777777" w:rsidTr="00815091">
        <w:tblPrEx>
          <w:tblCellMar>
            <w:left w:w="31" w:type="dxa"/>
            <w:right w:w="31" w:type="dxa"/>
          </w:tblCellMar>
        </w:tblPrEx>
        <w:trPr>
          <w:cantSplit/>
          <w:trHeight w:hRule="exact" w:val="284"/>
          <w:tblHeader/>
        </w:trPr>
        <w:tc>
          <w:tcPr>
            <w:tcW w:w="2558" w:type="pct"/>
            <w:vAlign w:val="bottom"/>
          </w:tcPr>
          <w:p w14:paraId="363E523F" w14:textId="77777777" w:rsidR="00815091" w:rsidRPr="00D30D9B" w:rsidRDefault="00815091" w:rsidP="009557C4">
            <w:pPr>
              <w:tabs>
                <w:tab w:val="right" w:pos="1202"/>
              </w:tabs>
              <w:spacing w:line="301" w:lineRule="exact"/>
              <w:outlineLvl w:val="0"/>
              <w:rPr>
                <w:sz w:val="19"/>
                <w:szCs w:val="19"/>
              </w:rPr>
            </w:pPr>
            <w:r w:rsidRPr="00D30D9B">
              <w:rPr>
                <w:sz w:val="19"/>
                <w:szCs w:val="19"/>
              </w:rPr>
              <w:t>Ostale nespomenute neopozive potencijalne obveze</w:t>
            </w:r>
          </w:p>
        </w:tc>
        <w:tc>
          <w:tcPr>
            <w:tcW w:w="632" w:type="pct"/>
            <w:tcBorders>
              <w:top w:val="nil"/>
              <w:left w:val="nil"/>
              <w:bottom w:val="nil"/>
              <w:right w:val="nil"/>
            </w:tcBorders>
            <w:shd w:val="clear" w:color="auto" w:fill="auto"/>
            <w:vAlign w:val="bottom"/>
          </w:tcPr>
          <w:p w14:paraId="0FE6079E"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335</w:t>
            </w:r>
          </w:p>
        </w:tc>
        <w:tc>
          <w:tcPr>
            <w:tcW w:w="569" w:type="pct"/>
            <w:tcBorders>
              <w:top w:val="nil"/>
              <w:left w:val="nil"/>
              <w:bottom w:val="nil"/>
              <w:right w:val="nil"/>
            </w:tcBorders>
            <w:shd w:val="clear" w:color="auto" w:fill="auto"/>
            <w:vAlign w:val="bottom"/>
          </w:tcPr>
          <w:p w14:paraId="06BEEBE1"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33" w:type="pct"/>
            <w:tcBorders>
              <w:top w:val="nil"/>
              <w:left w:val="nil"/>
              <w:bottom w:val="nil"/>
              <w:right w:val="nil"/>
            </w:tcBorders>
            <w:shd w:val="clear" w:color="auto" w:fill="auto"/>
            <w:vAlign w:val="bottom"/>
          </w:tcPr>
          <w:p w14:paraId="656BC20B"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w:t>
            </w:r>
          </w:p>
        </w:tc>
        <w:tc>
          <w:tcPr>
            <w:tcW w:w="608" w:type="pct"/>
            <w:tcBorders>
              <w:top w:val="nil"/>
              <w:left w:val="nil"/>
              <w:bottom w:val="nil"/>
              <w:right w:val="nil"/>
            </w:tcBorders>
            <w:shd w:val="clear" w:color="auto" w:fill="auto"/>
            <w:vAlign w:val="bottom"/>
          </w:tcPr>
          <w:p w14:paraId="72001FBF" w14:textId="77777777" w:rsidR="00815091" w:rsidRPr="00D30D9B" w:rsidRDefault="00815091" w:rsidP="009557C4">
            <w:pPr>
              <w:tabs>
                <w:tab w:val="right" w:pos="1202"/>
              </w:tabs>
              <w:spacing w:line="301" w:lineRule="exact"/>
              <w:jc w:val="right"/>
              <w:outlineLvl w:val="0"/>
              <w:rPr>
                <w:rFonts w:cs="Arial"/>
                <w:sz w:val="19"/>
                <w:szCs w:val="19"/>
              </w:rPr>
            </w:pPr>
            <w:r w:rsidRPr="00EB4107">
              <w:rPr>
                <w:rFonts w:ascii="Calibri" w:hAnsi="Calibri" w:cs="Arial"/>
                <w:sz w:val="19"/>
                <w:szCs w:val="19"/>
              </w:rPr>
              <w:t>335</w:t>
            </w:r>
          </w:p>
        </w:tc>
      </w:tr>
      <w:tr w:rsidR="00815091" w:rsidRPr="00EB4107" w14:paraId="4004810D" w14:textId="77777777" w:rsidTr="00815091">
        <w:tblPrEx>
          <w:tblCellMar>
            <w:left w:w="31" w:type="dxa"/>
            <w:right w:w="31" w:type="dxa"/>
          </w:tblCellMar>
        </w:tblPrEx>
        <w:trPr>
          <w:cantSplit/>
          <w:trHeight w:hRule="exact" w:val="417"/>
          <w:tblHeader/>
        </w:trPr>
        <w:tc>
          <w:tcPr>
            <w:tcW w:w="2558" w:type="pct"/>
            <w:vAlign w:val="bottom"/>
          </w:tcPr>
          <w:p w14:paraId="5F1A0092" w14:textId="77777777" w:rsidR="00815091" w:rsidRPr="00D30D9B" w:rsidRDefault="00815091" w:rsidP="009557C4">
            <w:pPr>
              <w:pStyle w:val="TT"/>
              <w:rPr>
                <w:rFonts w:asciiTheme="minorHAnsi" w:hAnsiTheme="minorHAnsi"/>
                <w:b/>
                <w:bCs/>
                <w:szCs w:val="19"/>
                <w:lang w:val="hr-HR"/>
              </w:rPr>
            </w:pPr>
            <w:r w:rsidRPr="00D30D9B">
              <w:rPr>
                <w:rFonts w:asciiTheme="minorHAnsi" w:hAnsiTheme="minorHAnsi"/>
                <w:b/>
                <w:bCs/>
                <w:szCs w:val="19"/>
                <w:lang w:val="hr-HR"/>
              </w:rPr>
              <w:t>Ukupno</w:t>
            </w:r>
          </w:p>
        </w:tc>
        <w:tc>
          <w:tcPr>
            <w:tcW w:w="632" w:type="pct"/>
            <w:tcBorders>
              <w:top w:val="single" w:sz="8" w:space="0" w:color="auto"/>
              <w:left w:val="nil"/>
              <w:bottom w:val="single" w:sz="12" w:space="0" w:color="auto"/>
              <w:right w:val="nil"/>
            </w:tcBorders>
            <w:shd w:val="clear" w:color="auto" w:fill="auto"/>
            <w:vAlign w:val="bottom"/>
          </w:tcPr>
          <w:p w14:paraId="0394D362" w14:textId="77777777" w:rsidR="00815091" w:rsidRPr="00815091" w:rsidRDefault="00815091" w:rsidP="00815091">
            <w:pPr>
              <w:tabs>
                <w:tab w:val="right" w:pos="1202"/>
              </w:tabs>
              <w:spacing w:after="0" w:line="280" w:lineRule="exact"/>
              <w:jc w:val="right"/>
              <w:outlineLvl w:val="0"/>
              <w:rPr>
                <w:b/>
                <w:sz w:val="19"/>
                <w:szCs w:val="19"/>
              </w:rPr>
            </w:pPr>
            <w:r w:rsidRPr="00815091">
              <w:rPr>
                <w:b/>
                <w:sz w:val="19"/>
                <w:szCs w:val="19"/>
              </w:rPr>
              <w:t>5.942.961</w:t>
            </w:r>
          </w:p>
        </w:tc>
        <w:tc>
          <w:tcPr>
            <w:tcW w:w="569" w:type="pct"/>
            <w:tcBorders>
              <w:top w:val="single" w:sz="8" w:space="0" w:color="auto"/>
              <w:left w:val="nil"/>
              <w:bottom w:val="single" w:sz="12" w:space="0" w:color="auto"/>
              <w:right w:val="nil"/>
            </w:tcBorders>
            <w:shd w:val="clear" w:color="auto" w:fill="auto"/>
            <w:vAlign w:val="bottom"/>
          </w:tcPr>
          <w:p w14:paraId="7F7E111E" w14:textId="77777777" w:rsidR="00815091" w:rsidRPr="00815091" w:rsidRDefault="00815091" w:rsidP="00815091">
            <w:pPr>
              <w:tabs>
                <w:tab w:val="right" w:pos="1202"/>
              </w:tabs>
              <w:spacing w:after="0" w:line="280" w:lineRule="exact"/>
              <w:jc w:val="right"/>
              <w:outlineLvl w:val="0"/>
              <w:rPr>
                <w:b/>
                <w:sz w:val="19"/>
                <w:szCs w:val="19"/>
              </w:rPr>
            </w:pPr>
            <w:r w:rsidRPr="00815091">
              <w:rPr>
                <w:b/>
                <w:sz w:val="19"/>
                <w:szCs w:val="19"/>
              </w:rPr>
              <w:t>602</w:t>
            </w:r>
          </w:p>
        </w:tc>
        <w:tc>
          <w:tcPr>
            <w:tcW w:w="633" w:type="pct"/>
            <w:tcBorders>
              <w:top w:val="single" w:sz="8" w:space="0" w:color="auto"/>
              <w:left w:val="nil"/>
              <w:bottom w:val="single" w:sz="12" w:space="0" w:color="auto"/>
              <w:right w:val="nil"/>
            </w:tcBorders>
            <w:shd w:val="clear" w:color="auto" w:fill="auto"/>
            <w:vAlign w:val="bottom"/>
          </w:tcPr>
          <w:p w14:paraId="2263A6C8" w14:textId="77777777" w:rsidR="00815091" w:rsidRPr="00815091" w:rsidRDefault="00815091" w:rsidP="00815091">
            <w:pPr>
              <w:tabs>
                <w:tab w:val="right" w:pos="1202"/>
              </w:tabs>
              <w:spacing w:after="0" w:line="280" w:lineRule="exact"/>
              <w:jc w:val="right"/>
              <w:outlineLvl w:val="0"/>
              <w:rPr>
                <w:b/>
                <w:sz w:val="19"/>
                <w:szCs w:val="19"/>
              </w:rPr>
            </w:pPr>
            <w:r w:rsidRPr="00815091">
              <w:rPr>
                <w:b/>
                <w:sz w:val="19"/>
                <w:szCs w:val="19"/>
              </w:rPr>
              <w:t>-</w:t>
            </w:r>
          </w:p>
        </w:tc>
        <w:tc>
          <w:tcPr>
            <w:tcW w:w="608" w:type="pct"/>
            <w:tcBorders>
              <w:top w:val="single" w:sz="8" w:space="0" w:color="auto"/>
              <w:left w:val="nil"/>
              <w:bottom w:val="single" w:sz="12" w:space="0" w:color="auto"/>
              <w:right w:val="nil"/>
            </w:tcBorders>
            <w:shd w:val="clear" w:color="auto" w:fill="auto"/>
            <w:vAlign w:val="bottom"/>
          </w:tcPr>
          <w:p w14:paraId="64021C4C" w14:textId="77777777" w:rsidR="00815091" w:rsidRPr="00815091" w:rsidRDefault="00815091" w:rsidP="00815091">
            <w:pPr>
              <w:tabs>
                <w:tab w:val="right" w:pos="1202"/>
              </w:tabs>
              <w:spacing w:after="0" w:line="280" w:lineRule="exact"/>
              <w:jc w:val="right"/>
              <w:outlineLvl w:val="0"/>
              <w:rPr>
                <w:b/>
                <w:sz w:val="19"/>
                <w:szCs w:val="19"/>
              </w:rPr>
            </w:pPr>
            <w:r w:rsidRPr="00815091">
              <w:rPr>
                <w:b/>
                <w:sz w:val="19"/>
                <w:szCs w:val="19"/>
              </w:rPr>
              <w:t>5.943.563</w:t>
            </w:r>
          </w:p>
        </w:tc>
      </w:tr>
      <w:tr w:rsidR="00815091" w:rsidRPr="00EB4107" w14:paraId="4F7C9F06" w14:textId="77777777" w:rsidTr="003A42A5">
        <w:tblPrEx>
          <w:tblCellMar>
            <w:left w:w="31" w:type="dxa"/>
            <w:right w:w="31" w:type="dxa"/>
          </w:tblCellMar>
        </w:tblPrEx>
        <w:trPr>
          <w:cantSplit/>
          <w:trHeight w:hRule="exact" w:val="113"/>
          <w:tblHeader/>
        </w:trPr>
        <w:tc>
          <w:tcPr>
            <w:tcW w:w="2558" w:type="pct"/>
            <w:vAlign w:val="bottom"/>
          </w:tcPr>
          <w:p w14:paraId="07D7A9B7" w14:textId="77777777" w:rsidR="00815091" w:rsidRPr="00D30D9B" w:rsidRDefault="00815091" w:rsidP="009557C4">
            <w:pPr>
              <w:pStyle w:val="TT"/>
              <w:spacing w:line="240" w:lineRule="auto"/>
              <w:rPr>
                <w:rFonts w:asciiTheme="minorHAnsi" w:hAnsiTheme="minorHAnsi"/>
                <w:b/>
                <w:bCs/>
                <w:szCs w:val="19"/>
                <w:lang w:val="hr-HR"/>
              </w:rPr>
            </w:pPr>
          </w:p>
        </w:tc>
        <w:tc>
          <w:tcPr>
            <w:tcW w:w="632" w:type="pct"/>
            <w:tcBorders>
              <w:top w:val="single" w:sz="12" w:space="0" w:color="auto"/>
            </w:tcBorders>
            <w:vAlign w:val="bottom"/>
          </w:tcPr>
          <w:p w14:paraId="77968AB9" w14:textId="77777777" w:rsidR="00815091" w:rsidRPr="00D30D9B" w:rsidRDefault="00815091" w:rsidP="009557C4">
            <w:pPr>
              <w:tabs>
                <w:tab w:val="right" w:pos="1202"/>
              </w:tabs>
              <w:jc w:val="right"/>
              <w:outlineLvl w:val="0"/>
              <w:rPr>
                <w:rFonts w:cs="Arial"/>
                <w:b/>
                <w:sz w:val="19"/>
                <w:szCs w:val="19"/>
              </w:rPr>
            </w:pPr>
          </w:p>
        </w:tc>
        <w:tc>
          <w:tcPr>
            <w:tcW w:w="569" w:type="pct"/>
            <w:tcBorders>
              <w:top w:val="single" w:sz="12" w:space="0" w:color="auto"/>
            </w:tcBorders>
            <w:vAlign w:val="bottom"/>
          </w:tcPr>
          <w:p w14:paraId="6554D2B7" w14:textId="77777777" w:rsidR="00815091" w:rsidRPr="00D30D9B" w:rsidRDefault="00815091" w:rsidP="009557C4">
            <w:pPr>
              <w:tabs>
                <w:tab w:val="right" w:pos="1202"/>
              </w:tabs>
              <w:jc w:val="right"/>
              <w:outlineLvl w:val="0"/>
              <w:rPr>
                <w:rFonts w:cs="Arial"/>
                <w:b/>
                <w:sz w:val="19"/>
                <w:szCs w:val="19"/>
              </w:rPr>
            </w:pPr>
          </w:p>
        </w:tc>
        <w:tc>
          <w:tcPr>
            <w:tcW w:w="633" w:type="pct"/>
            <w:tcBorders>
              <w:top w:val="single" w:sz="12" w:space="0" w:color="auto"/>
            </w:tcBorders>
            <w:vAlign w:val="bottom"/>
          </w:tcPr>
          <w:p w14:paraId="0224ABE6" w14:textId="77777777" w:rsidR="00815091" w:rsidRPr="00D30D9B" w:rsidRDefault="00815091" w:rsidP="009557C4">
            <w:pPr>
              <w:tabs>
                <w:tab w:val="right" w:pos="1202"/>
              </w:tabs>
              <w:jc w:val="right"/>
              <w:outlineLvl w:val="0"/>
              <w:rPr>
                <w:rFonts w:cs="Arial"/>
                <w:b/>
                <w:sz w:val="19"/>
                <w:szCs w:val="19"/>
              </w:rPr>
            </w:pPr>
          </w:p>
        </w:tc>
        <w:tc>
          <w:tcPr>
            <w:tcW w:w="608" w:type="pct"/>
            <w:tcBorders>
              <w:top w:val="single" w:sz="12" w:space="0" w:color="auto"/>
            </w:tcBorders>
            <w:vAlign w:val="bottom"/>
          </w:tcPr>
          <w:p w14:paraId="53E33BDE" w14:textId="77777777" w:rsidR="00815091" w:rsidRPr="00D30D9B" w:rsidRDefault="00815091" w:rsidP="009557C4">
            <w:pPr>
              <w:tabs>
                <w:tab w:val="right" w:pos="1202"/>
              </w:tabs>
              <w:jc w:val="right"/>
              <w:outlineLvl w:val="0"/>
              <w:rPr>
                <w:rFonts w:cs="Arial"/>
                <w:b/>
                <w:sz w:val="19"/>
                <w:szCs w:val="19"/>
              </w:rPr>
            </w:pPr>
          </w:p>
        </w:tc>
      </w:tr>
      <w:tr w:rsidR="00815091" w:rsidRPr="00EB4107" w14:paraId="1A1BAA06" w14:textId="77777777" w:rsidTr="00815091">
        <w:tblPrEx>
          <w:tblCellMar>
            <w:left w:w="31" w:type="dxa"/>
            <w:right w:w="31" w:type="dxa"/>
          </w:tblCellMar>
        </w:tblPrEx>
        <w:trPr>
          <w:cantSplit/>
          <w:trHeight w:hRule="exact" w:val="407"/>
          <w:tblHeader/>
        </w:trPr>
        <w:tc>
          <w:tcPr>
            <w:tcW w:w="2558" w:type="pct"/>
            <w:vAlign w:val="bottom"/>
          </w:tcPr>
          <w:p w14:paraId="7AED7ED2" w14:textId="77777777" w:rsidR="00815091" w:rsidRPr="00D30D9B" w:rsidRDefault="00815091" w:rsidP="009557C4">
            <w:pPr>
              <w:pStyle w:val="TT"/>
              <w:spacing w:before="120" w:line="300" w:lineRule="exact"/>
              <w:jc w:val="both"/>
              <w:outlineLvl w:val="9"/>
              <w:rPr>
                <w:rFonts w:asciiTheme="minorHAnsi" w:hAnsiTheme="minorHAnsi"/>
                <w:b/>
                <w:bCs/>
                <w:szCs w:val="19"/>
                <w:lang w:val="hr-HR"/>
              </w:rPr>
            </w:pPr>
            <w:r w:rsidRPr="00D30D9B">
              <w:rPr>
                <w:rFonts w:asciiTheme="minorHAnsi" w:hAnsiTheme="minorHAnsi" w:cs="Arial"/>
                <w:b/>
                <w:bCs/>
                <w:szCs w:val="19"/>
                <w:lang w:val="hr-HR"/>
              </w:rPr>
              <w:t>Ukupna izloženost kreditnom riziku</w:t>
            </w:r>
          </w:p>
        </w:tc>
        <w:tc>
          <w:tcPr>
            <w:tcW w:w="632" w:type="pct"/>
            <w:tcBorders>
              <w:top w:val="nil"/>
              <w:left w:val="nil"/>
              <w:bottom w:val="single" w:sz="12" w:space="0" w:color="auto"/>
              <w:right w:val="nil"/>
            </w:tcBorders>
            <w:shd w:val="clear" w:color="auto" w:fill="auto"/>
            <w:vAlign w:val="bottom"/>
          </w:tcPr>
          <w:p w14:paraId="04272FBC" w14:textId="77777777" w:rsidR="00815091" w:rsidRPr="00815091" w:rsidRDefault="00815091" w:rsidP="00815091">
            <w:pPr>
              <w:tabs>
                <w:tab w:val="right" w:pos="1202"/>
              </w:tabs>
              <w:spacing w:after="0" w:line="280" w:lineRule="exact"/>
              <w:jc w:val="right"/>
              <w:outlineLvl w:val="0"/>
              <w:rPr>
                <w:b/>
                <w:sz w:val="19"/>
                <w:szCs w:val="19"/>
              </w:rPr>
            </w:pPr>
            <w:r w:rsidRPr="00815091">
              <w:rPr>
                <w:b/>
                <w:sz w:val="19"/>
                <w:szCs w:val="19"/>
              </w:rPr>
              <w:t>32.614.454</w:t>
            </w:r>
          </w:p>
        </w:tc>
        <w:tc>
          <w:tcPr>
            <w:tcW w:w="569" w:type="pct"/>
            <w:tcBorders>
              <w:top w:val="nil"/>
              <w:left w:val="nil"/>
              <w:bottom w:val="single" w:sz="12" w:space="0" w:color="auto"/>
              <w:right w:val="nil"/>
            </w:tcBorders>
            <w:shd w:val="clear" w:color="auto" w:fill="auto"/>
            <w:vAlign w:val="bottom"/>
          </w:tcPr>
          <w:p w14:paraId="6E5EF312" w14:textId="77777777" w:rsidR="00815091" w:rsidRPr="00815091" w:rsidRDefault="00815091" w:rsidP="00815091">
            <w:pPr>
              <w:tabs>
                <w:tab w:val="right" w:pos="1202"/>
              </w:tabs>
              <w:spacing w:after="0" w:line="280" w:lineRule="exact"/>
              <w:jc w:val="right"/>
              <w:outlineLvl w:val="0"/>
              <w:rPr>
                <w:b/>
                <w:sz w:val="19"/>
                <w:szCs w:val="19"/>
              </w:rPr>
            </w:pPr>
            <w:r w:rsidRPr="00815091">
              <w:rPr>
                <w:b/>
                <w:sz w:val="19"/>
                <w:szCs w:val="19"/>
              </w:rPr>
              <w:t>322.772</w:t>
            </w:r>
          </w:p>
        </w:tc>
        <w:tc>
          <w:tcPr>
            <w:tcW w:w="633" w:type="pct"/>
            <w:tcBorders>
              <w:top w:val="nil"/>
              <w:left w:val="nil"/>
              <w:bottom w:val="single" w:sz="12" w:space="0" w:color="auto"/>
              <w:right w:val="nil"/>
            </w:tcBorders>
            <w:shd w:val="clear" w:color="auto" w:fill="auto"/>
            <w:vAlign w:val="bottom"/>
          </w:tcPr>
          <w:p w14:paraId="4B9FE715" w14:textId="77777777" w:rsidR="00815091" w:rsidRPr="00815091" w:rsidRDefault="00815091" w:rsidP="00815091">
            <w:pPr>
              <w:tabs>
                <w:tab w:val="right" w:pos="1202"/>
              </w:tabs>
              <w:spacing w:after="0" w:line="280" w:lineRule="exact"/>
              <w:jc w:val="right"/>
              <w:outlineLvl w:val="0"/>
              <w:rPr>
                <w:b/>
                <w:sz w:val="19"/>
                <w:szCs w:val="19"/>
              </w:rPr>
            </w:pPr>
            <w:r w:rsidRPr="00815091">
              <w:rPr>
                <w:b/>
                <w:sz w:val="19"/>
                <w:szCs w:val="19"/>
              </w:rPr>
              <w:t>230.913</w:t>
            </w:r>
          </w:p>
        </w:tc>
        <w:tc>
          <w:tcPr>
            <w:tcW w:w="608" w:type="pct"/>
            <w:tcBorders>
              <w:top w:val="nil"/>
              <w:left w:val="nil"/>
              <w:bottom w:val="single" w:sz="12" w:space="0" w:color="auto"/>
              <w:right w:val="nil"/>
            </w:tcBorders>
            <w:shd w:val="clear" w:color="auto" w:fill="auto"/>
            <w:vAlign w:val="bottom"/>
          </w:tcPr>
          <w:p w14:paraId="5071000C" w14:textId="77777777" w:rsidR="00815091" w:rsidRPr="00815091" w:rsidRDefault="00815091" w:rsidP="00815091">
            <w:pPr>
              <w:tabs>
                <w:tab w:val="right" w:pos="1202"/>
              </w:tabs>
              <w:spacing w:after="0" w:line="280" w:lineRule="exact"/>
              <w:jc w:val="right"/>
              <w:outlineLvl w:val="0"/>
              <w:rPr>
                <w:b/>
                <w:sz w:val="19"/>
                <w:szCs w:val="19"/>
              </w:rPr>
            </w:pPr>
            <w:r w:rsidRPr="00815091">
              <w:rPr>
                <w:b/>
                <w:sz w:val="19"/>
                <w:szCs w:val="19"/>
              </w:rPr>
              <w:t>33.168.139</w:t>
            </w:r>
          </w:p>
        </w:tc>
      </w:tr>
    </w:tbl>
    <w:p w14:paraId="4BC26EC2" w14:textId="77777777" w:rsidR="00921DC5" w:rsidRDefault="00921DC5" w:rsidP="00921DC5">
      <w:pPr>
        <w:pStyle w:val="T1"/>
        <w:spacing w:before="0" w:after="0" w:line="240" w:lineRule="auto"/>
        <w:rPr>
          <w:rFonts w:asciiTheme="minorHAnsi" w:hAnsiTheme="minorHAnsi" w:cs="Arial"/>
          <w:b w:val="0"/>
          <w:bCs w:val="0"/>
          <w:sz w:val="22"/>
          <w:szCs w:val="22"/>
          <w:lang w:val="hr-HR"/>
        </w:rPr>
      </w:pPr>
    </w:p>
    <w:p w14:paraId="04187BE0" w14:textId="77777777" w:rsidR="00815091" w:rsidRDefault="00815091" w:rsidP="00921DC5">
      <w:pPr>
        <w:pStyle w:val="T1"/>
        <w:spacing w:before="0" w:after="0" w:line="240" w:lineRule="auto"/>
        <w:rPr>
          <w:rFonts w:asciiTheme="minorHAnsi" w:hAnsiTheme="minorHAnsi" w:cs="Arial"/>
          <w:b w:val="0"/>
          <w:bCs w:val="0"/>
          <w:sz w:val="22"/>
          <w:szCs w:val="22"/>
          <w:lang w:val="hr-HR"/>
        </w:rPr>
      </w:pPr>
    </w:p>
    <w:p w14:paraId="3A5500BD" w14:textId="77777777" w:rsidR="00815091" w:rsidRDefault="00815091" w:rsidP="00921DC5">
      <w:pPr>
        <w:pStyle w:val="T1"/>
        <w:spacing w:before="0" w:after="0" w:line="240" w:lineRule="auto"/>
        <w:rPr>
          <w:rFonts w:asciiTheme="minorHAnsi" w:hAnsiTheme="minorHAnsi" w:cs="Arial"/>
          <w:b w:val="0"/>
          <w:bCs w:val="0"/>
          <w:sz w:val="22"/>
          <w:szCs w:val="22"/>
          <w:lang w:val="hr-HR"/>
        </w:rPr>
      </w:pPr>
    </w:p>
    <w:p w14:paraId="6A0A2D9F" w14:textId="77777777" w:rsidR="00815091" w:rsidRPr="00F4789E" w:rsidRDefault="00815091" w:rsidP="00921DC5">
      <w:pPr>
        <w:pStyle w:val="T1"/>
        <w:spacing w:before="0" w:after="0" w:line="240" w:lineRule="auto"/>
        <w:rPr>
          <w:rFonts w:asciiTheme="minorHAnsi" w:hAnsiTheme="minorHAnsi" w:cs="Arial"/>
          <w:b w:val="0"/>
          <w:bCs w:val="0"/>
          <w:sz w:val="22"/>
          <w:szCs w:val="22"/>
          <w:lang w:val="hr-HR"/>
        </w:rPr>
      </w:pPr>
    </w:p>
    <w:p w14:paraId="71753B38" w14:textId="77777777" w:rsidR="00921DC5" w:rsidRPr="00F4789E" w:rsidRDefault="00921DC5" w:rsidP="00921DC5">
      <w:pPr>
        <w:spacing w:after="0" w:line="240" w:lineRule="auto"/>
        <w:rPr>
          <w:rFonts w:cs="Arial"/>
          <w:sz w:val="19"/>
          <w:szCs w:val="20"/>
        </w:rPr>
      </w:pPr>
    </w:p>
    <w:p w14:paraId="396DD8DE" w14:textId="77777777" w:rsidR="00921DC5" w:rsidRPr="00F4789E" w:rsidRDefault="00921DC5" w:rsidP="00921DC5">
      <w:pPr>
        <w:pStyle w:val="T1"/>
        <w:spacing w:before="0" w:after="0" w:line="280" w:lineRule="exact"/>
        <w:rPr>
          <w:rFonts w:asciiTheme="minorHAnsi" w:hAnsiTheme="minorHAnsi" w:cs="Arial"/>
          <w:b w:val="0"/>
          <w:bCs w:val="0"/>
          <w:highlight w:val="yellow"/>
          <w:lang w:val="hr-HR"/>
        </w:rPr>
      </w:pPr>
    </w:p>
    <w:p w14:paraId="46258A80" w14:textId="77777777" w:rsidR="00921DC5" w:rsidRDefault="00921DC5" w:rsidP="00921DC5">
      <w:pPr>
        <w:pStyle w:val="accountingpolicytitle"/>
        <w:rPr>
          <w:rFonts w:asciiTheme="minorHAnsi" w:hAnsiTheme="minorHAnsi" w:cstheme="minorHAnsi"/>
          <w:sz w:val="24"/>
          <w:szCs w:val="24"/>
          <w:lang w:val="hr-HR"/>
        </w:rPr>
        <w:sectPr w:rsidR="00921DC5" w:rsidSect="0079311E">
          <w:footerReference w:type="first" r:id="rId90"/>
          <w:pgSz w:w="11906" w:h="16838" w:code="9"/>
          <w:pgMar w:top="1418" w:right="1418" w:bottom="595" w:left="1134" w:header="709" w:footer="709" w:gutter="0"/>
          <w:cols w:space="708"/>
          <w:titlePg/>
          <w:docGrid w:linePitch="360"/>
        </w:sectPr>
      </w:pPr>
    </w:p>
    <w:p w14:paraId="293F1FC7" w14:textId="77777777" w:rsidR="00921DC5" w:rsidRPr="00F4789E" w:rsidRDefault="00921DC5" w:rsidP="00F4789E">
      <w:pPr>
        <w:pStyle w:val="accountingpolicytitle"/>
        <w:rPr>
          <w:rFonts w:asciiTheme="minorHAnsi" w:hAnsiTheme="minorHAnsi" w:cstheme="minorHAnsi"/>
          <w:sz w:val="22"/>
          <w:szCs w:val="22"/>
          <w:lang w:val="hr-HR"/>
        </w:rPr>
      </w:pPr>
    </w:p>
    <w:p w14:paraId="75B2CF82" w14:textId="77777777" w:rsidR="00F4789E" w:rsidRDefault="00F4789E" w:rsidP="00F4789E">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B01DFE">
        <w:rPr>
          <w:rFonts w:asciiTheme="minorHAnsi" w:hAnsiTheme="minorHAnsi" w:cs="Arial"/>
          <w:sz w:val="22"/>
          <w:szCs w:val="22"/>
          <w:lang w:val="hr-HR"/>
        </w:rPr>
        <w:t>6</w:t>
      </w:r>
      <w:r w:rsidRPr="00F4789E">
        <w:rPr>
          <w:rFonts w:asciiTheme="minorHAnsi" w:hAnsiTheme="minorHAnsi" w:cs="Arial"/>
          <w:sz w:val="22"/>
          <w:szCs w:val="22"/>
          <w:lang w:val="hr-HR"/>
        </w:rPr>
        <w:t>.</w:t>
      </w:r>
      <w:r w:rsidRPr="00F4789E">
        <w:rPr>
          <w:rFonts w:asciiTheme="minorHAnsi" w:hAnsiTheme="minorHAnsi" w:cs="Arial"/>
          <w:sz w:val="22"/>
          <w:szCs w:val="22"/>
          <w:lang w:val="hr-HR"/>
        </w:rPr>
        <w:tab/>
        <w:t>Upravljanje rizicima (nastavak)</w:t>
      </w:r>
    </w:p>
    <w:p w14:paraId="67CFB399" w14:textId="77777777" w:rsidR="00F4789E" w:rsidRPr="00F4789E" w:rsidRDefault="00F4789E" w:rsidP="00F4789E">
      <w:pPr>
        <w:pStyle w:val="T1"/>
        <w:spacing w:before="0" w:after="0" w:line="240" w:lineRule="auto"/>
        <w:rPr>
          <w:rFonts w:asciiTheme="minorHAnsi" w:hAnsiTheme="minorHAnsi" w:cs="Arial"/>
          <w:sz w:val="22"/>
          <w:szCs w:val="22"/>
          <w:lang w:val="hr-HR"/>
        </w:rPr>
      </w:pPr>
    </w:p>
    <w:p w14:paraId="2629DAB6" w14:textId="77777777" w:rsidR="00F4789E" w:rsidRDefault="00F4789E" w:rsidP="00F4789E">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B01DFE">
        <w:rPr>
          <w:rFonts w:asciiTheme="minorHAnsi" w:hAnsiTheme="minorHAnsi" w:cs="Arial"/>
          <w:sz w:val="22"/>
          <w:szCs w:val="22"/>
          <w:lang w:val="hr-HR"/>
        </w:rPr>
        <w:t>6</w:t>
      </w:r>
      <w:r w:rsidRPr="00F4789E">
        <w:rPr>
          <w:rFonts w:asciiTheme="minorHAnsi" w:hAnsiTheme="minorHAnsi" w:cs="Arial"/>
          <w:sz w:val="22"/>
          <w:szCs w:val="22"/>
          <w:lang w:val="hr-HR"/>
        </w:rPr>
        <w:t xml:space="preserve">.2. </w:t>
      </w:r>
      <w:r w:rsidRPr="00F4789E">
        <w:rPr>
          <w:rFonts w:asciiTheme="minorHAnsi" w:hAnsiTheme="minorHAnsi" w:cs="Arial"/>
          <w:sz w:val="22"/>
          <w:szCs w:val="22"/>
          <w:lang w:val="hr-HR"/>
        </w:rPr>
        <w:tab/>
        <w:t>Kreditni rizik (nastavak)</w:t>
      </w:r>
    </w:p>
    <w:p w14:paraId="2EB841B3" w14:textId="77777777" w:rsidR="00F4789E" w:rsidRPr="00F4789E" w:rsidRDefault="00F4789E" w:rsidP="00F4789E">
      <w:pPr>
        <w:pStyle w:val="T1"/>
        <w:spacing w:before="0" w:after="0" w:line="240" w:lineRule="auto"/>
        <w:rPr>
          <w:rFonts w:asciiTheme="minorHAnsi" w:hAnsiTheme="minorHAnsi" w:cs="Arial"/>
          <w:sz w:val="22"/>
          <w:szCs w:val="22"/>
          <w:lang w:val="hr-HR"/>
        </w:rPr>
      </w:pPr>
    </w:p>
    <w:p w14:paraId="6DBD31BD" w14:textId="77777777" w:rsidR="00F4789E" w:rsidRDefault="00F4789E" w:rsidP="00F4789E">
      <w:pPr>
        <w:pStyle w:val="T1"/>
        <w:spacing w:before="0" w:after="0" w:line="240" w:lineRule="auto"/>
        <w:rPr>
          <w:rFonts w:asciiTheme="minorHAnsi" w:hAnsiTheme="minorHAnsi" w:cs="Arial"/>
          <w:sz w:val="22"/>
          <w:szCs w:val="22"/>
          <w:lang w:val="hr-HR"/>
        </w:rPr>
      </w:pPr>
      <w:r w:rsidRPr="00F4789E">
        <w:rPr>
          <w:rFonts w:asciiTheme="minorHAnsi" w:hAnsiTheme="minorHAnsi" w:cs="Arial"/>
          <w:sz w:val="22"/>
          <w:szCs w:val="22"/>
          <w:lang w:val="hr-HR"/>
        </w:rPr>
        <w:t xml:space="preserve">Koncentracija rizika i </w:t>
      </w:r>
      <w:r w:rsidR="00640198">
        <w:rPr>
          <w:rFonts w:asciiTheme="minorHAnsi" w:hAnsiTheme="minorHAnsi" w:cs="Arial"/>
          <w:sz w:val="22"/>
          <w:szCs w:val="22"/>
          <w:lang w:val="hr-HR"/>
        </w:rPr>
        <w:t>maksimalna</w:t>
      </w:r>
      <w:r w:rsidRPr="00F4789E">
        <w:rPr>
          <w:rFonts w:asciiTheme="minorHAnsi" w:hAnsiTheme="minorHAnsi" w:cs="Arial"/>
          <w:sz w:val="22"/>
          <w:szCs w:val="22"/>
          <w:lang w:val="hr-HR"/>
        </w:rPr>
        <w:t xml:space="preserve"> izloženost kreditnom riziku (nastavak)</w:t>
      </w:r>
    </w:p>
    <w:p w14:paraId="0E2A04F7" w14:textId="77777777" w:rsidR="00F4789E" w:rsidRPr="00F4789E" w:rsidRDefault="00F4789E" w:rsidP="00F4789E">
      <w:pPr>
        <w:pStyle w:val="T1"/>
        <w:spacing w:before="0" w:after="0" w:line="240" w:lineRule="auto"/>
        <w:rPr>
          <w:rFonts w:asciiTheme="minorHAnsi" w:hAnsiTheme="minorHAnsi" w:cs="Arial"/>
          <w:sz w:val="22"/>
          <w:szCs w:val="22"/>
          <w:lang w:val="hr-HR"/>
        </w:rPr>
      </w:pPr>
    </w:p>
    <w:p w14:paraId="7D0D4162" w14:textId="77777777" w:rsidR="00F4789E" w:rsidRPr="00F4789E" w:rsidRDefault="00F4789E" w:rsidP="00F4789E">
      <w:pPr>
        <w:pStyle w:val="TH"/>
        <w:spacing w:line="240" w:lineRule="auto"/>
        <w:rPr>
          <w:rFonts w:asciiTheme="minorHAnsi" w:hAnsiTheme="minorHAnsi"/>
          <w:b w:val="0"/>
          <w:sz w:val="22"/>
          <w:szCs w:val="22"/>
          <w:lang w:val="hr-HR"/>
        </w:rPr>
      </w:pPr>
      <w:r w:rsidRPr="00F4789E">
        <w:rPr>
          <w:rFonts w:asciiTheme="minorHAnsi" w:hAnsiTheme="minorHAnsi"/>
          <w:b w:val="0"/>
          <w:sz w:val="22"/>
          <w:szCs w:val="22"/>
          <w:lang w:val="hr-HR"/>
        </w:rPr>
        <w:t xml:space="preserve">Koncentracija imovine i garancija i preuzetih obveza prema industrijskim granama, </w:t>
      </w:r>
      <w:r w:rsidRPr="00F4789E">
        <w:rPr>
          <w:rFonts w:asciiTheme="minorHAnsi" w:hAnsiTheme="minorHAnsi" w:cs="Arial"/>
          <w:b w:val="0"/>
          <w:sz w:val="22"/>
          <w:szCs w:val="22"/>
          <w:lang w:val="hr-HR"/>
        </w:rPr>
        <w:t>bez i sa umanjenjem za vrijednost sredstava osiguranja</w:t>
      </w:r>
      <w:r w:rsidRPr="00F4789E">
        <w:rPr>
          <w:rFonts w:asciiTheme="minorHAnsi" w:hAnsiTheme="minorHAnsi"/>
          <w:b w:val="0"/>
          <w:sz w:val="22"/>
          <w:szCs w:val="22"/>
          <w:lang w:val="hr-HR"/>
        </w:rPr>
        <w:t>:</w:t>
      </w:r>
    </w:p>
    <w:p w14:paraId="00923BA6" w14:textId="77777777" w:rsidR="00F4789E" w:rsidRPr="00F4789E" w:rsidRDefault="00F4789E" w:rsidP="00F4789E">
      <w:pPr>
        <w:pStyle w:val="TH"/>
        <w:spacing w:line="240" w:lineRule="auto"/>
        <w:rPr>
          <w:rFonts w:asciiTheme="minorHAnsi" w:hAnsiTheme="minorHAnsi" w:cs="Arial"/>
          <w:b w:val="0"/>
          <w:sz w:val="22"/>
          <w:szCs w:val="22"/>
          <w:lang w:val="hr-HR"/>
        </w:rPr>
      </w:pPr>
    </w:p>
    <w:tbl>
      <w:tblPr>
        <w:tblpPr w:leftFromText="181" w:rightFromText="181" w:vertAnchor="text" w:tblpY="1"/>
        <w:tblOverlap w:val="never"/>
        <w:tblW w:w="5234" w:type="pct"/>
        <w:tblLayout w:type="fixed"/>
        <w:tblCellMar>
          <w:left w:w="30" w:type="dxa"/>
          <w:right w:w="30" w:type="dxa"/>
        </w:tblCellMar>
        <w:tblLook w:val="0000" w:firstRow="0" w:lastRow="0" w:firstColumn="0" w:lastColumn="0" w:noHBand="0" w:noVBand="0"/>
      </w:tblPr>
      <w:tblGrid>
        <w:gridCol w:w="5529"/>
        <w:gridCol w:w="1089"/>
        <w:gridCol w:w="337"/>
        <w:gridCol w:w="701"/>
        <w:gridCol w:w="221"/>
        <w:gridCol w:w="913"/>
        <w:gridCol w:w="119"/>
        <w:gridCol w:w="871"/>
        <w:gridCol w:w="12"/>
      </w:tblGrid>
      <w:tr w:rsidR="00BC6330" w:rsidRPr="00FC717E" w14:paraId="019047E7" w14:textId="77777777" w:rsidTr="00312975">
        <w:trPr>
          <w:gridAfter w:val="1"/>
          <w:wAfter w:w="6" w:type="pct"/>
          <w:cantSplit/>
          <w:trHeight w:val="250"/>
          <w:tblHeader/>
        </w:trPr>
        <w:tc>
          <w:tcPr>
            <w:tcW w:w="2823" w:type="pct"/>
            <w:vAlign w:val="bottom"/>
          </w:tcPr>
          <w:p w14:paraId="05070A47" w14:textId="77777777" w:rsidR="00F4789E" w:rsidRPr="00FC717E" w:rsidRDefault="00F4789E" w:rsidP="00F4789E">
            <w:pPr>
              <w:tabs>
                <w:tab w:val="right" w:pos="1202"/>
              </w:tabs>
              <w:spacing w:line="240" w:lineRule="atLeast"/>
              <w:outlineLvl w:val="0"/>
              <w:rPr>
                <w:rFonts w:cs="Arial"/>
                <w:b/>
                <w:sz w:val="19"/>
                <w:szCs w:val="19"/>
              </w:rPr>
            </w:pPr>
            <w:r w:rsidRPr="00FC717E">
              <w:rPr>
                <w:rFonts w:cs="Arial"/>
                <w:b/>
                <w:sz w:val="19"/>
                <w:szCs w:val="19"/>
              </w:rPr>
              <w:t>Grupa</w:t>
            </w:r>
          </w:p>
        </w:tc>
        <w:tc>
          <w:tcPr>
            <w:tcW w:w="556" w:type="pct"/>
            <w:vAlign w:val="bottom"/>
          </w:tcPr>
          <w:p w14:paraId="7A21F765" w14:textId="77777777" w:rsidR="00F4789E" w:rsidRPr="00FC717E" w:rsidRDefault="00F4789E" w:rsidP="00F4789E">
            <w:pPr>
              <w:tabs>
                <w:tab w:val="right" w:pos="1202"/>
              </w:tabs>
              <w:spacing w:line="240" w:lineRule="atLeast"/>
              <w:jc w:val="right"/>
              <w:outlineLvl w:val="0"/>
              <w:rPr>
                <w:rFonts w:cs="Arial"/>
                <w:b/>
                <w:sz w:val="19"/>
                <w:szCs w:val="19"/>
              </w:rPr>
            </w:pPr>
            <w:r w:rsidRPr="00FC717E">
              <w:rPr>
                <w:rFonts w:cs="Arial"/>
                <w:b/>
                <w:sz w:val="19"/>
                <w:szCs w:val="19"/>
              </w:rPr>
              <w:t>Bruto najveća izloženost</w:t>
            </w:r>
          </w:p>
        </w:tc>
        <w:tc>
          <w:tcPr>
            <w:tcW w:w="530" w:type="pct"/>
            <w:gridSpan w:val="2"/>
            <w:vAlign w:val="bottom"/>
          </w:tcPr>
          <w:p w14:paraId="041CCC79" w14:textId="77777777" w:rsidR="00F4789E" w:rsidRPr="00FC717E" w:rsidRDefault="00F4789E" w:rsidP="00F4789E">
            <w:pPr>
              <w:tabs>
                <w:tab w:val="right" w:pos="1202"/>
              </w:tabs>
              <w:spacing w:line="240" w:lineRule="atLeast"/>
              <w:jc w:val="right"/>
              <w:outlineLvl w:val="0"/>
              <w:rPr>
                <w:rFonts w:cs="Arial"/>
                <w:b/>
                <w:sz w:val="19"/>
                <w:szCs w:val="19"/>
              </w:rPr>
            </w:pPr>
            <w:r w:rsidRPr="00FC717E">
              <w:rPr>
                <w:rFonts w:cs="Arial"/>
                <w:b/>
                <w:sz w:val="19"/>
                <w:szCs w:val="19"/>
              </w:rPr>
              <w:t>Neto najveća izloženost</w:t>
            </w:r>
          </w:p>
        </w:tc>
        <w:tc>
          <w:tcPr>
            <w:tcW w:w="579" w:type="pct"/>
            <w:gridSpan w:val="2"/>
            <w:vAlign w:val="bottom"/>
          </w:tcPr>
          <w:p w14:paraId="5FDCEC09" w14:textId="77777777" w:rsidR="00F4789E" w:rsidRPr="00FC717E" w:rsidRDefault="00F4789E" w:rsidP="00F4789E">
            <w:pPr>
              <w:tabs>
                <w:tab w:val="right" w:pos="1202"/>
              </w:tabs>
              <w:spacing w:line="240" w:lineRule="atLeast"/>
              <w:jc w:val="right"/>
              <w:outlineLvl w:val="0"/>
              <w:rPr>
                <w:rFonts w:cs="Arial"/>
                <w:b/>
                <w:sz w:val="19"/>
                <w:szCs w:val="19"/>
              </w:rPr>
            </w:pPr>
            <w:r w:rsidRPr="00FC717E">
              <w:rPr>
                <w:rFonts w:cs="Arial"/>
                <w:b/>
                <w:sz w:val="19"/>
                <w:szCs w:val="19"/>
              </w:rPr>
              <w:t>Bruto najveća izloženost</w:t>
            </w:r>
          </w:p>
        </w:tc>
        <w:tc>
          <w:tcPr>
            <w:tcW w:w="506" w:type="pct"/>
            <w:gridSpan w:val="2"/>
            <w:vAlign w:val="bottom"/>
          </w:tcPr>
          <w:p w14:paraId="39580A4F" w14:textId="77777777" w:rsidR="00F4789E" w:rsidRPr="00FC717E" w:rsidRDefault="00F4789E" w:rsidP="00F4789E">
            <w:pPr>
              <w:tabs>
                <w:tab w:val="right" w:pos="1202"/>
              </w:tabs>
              <w:spacing w:line="240" w:lineRule="atLeast"/>
              <w:jc w:val="right"/>
              <w:outlineLvl w:val="0"/>
              <w:rPr>
                <w:rFonts w:cs="Arial"/>
                <w:b/>
                <w:sz w:val="19"/>
                <w:szCs w:val="19"/>
              </w:rPr>
            </w:pPr>
            <w:r w:rsidRPr="00FC717E">
              <w:rPr>
                <w:rFonts w:cs="Arial"/>
                <w:b/>
                <w:sz w:val="19"/>
                <w:szCs w:val="19"/>
              </w:rPr>
              <w:t>Neto najveća izloženost</w:t>
            </w:r>
          </w:p>
        </w:tc>
      </w:tr>
      <w:tr w:rsidR="00BC6330" w:rsidRPr="00FC717E" w14:paraId="2D4983F8" w14:textId="77777777" w:rsidTr="00312975">
        <w:trPr>
          <w:gridAfter w:val="1"/>
          <w:wAfter w:w="6" w:type="pct"/>
          <w:cantSplit/>
          <w:trHeight w:val="250"/>
          <w:tblHeader/>
        </w:trPr>
        <w:tc>
          <w:tcPr>
            <w:tcW w:w="2823" w:type="pct"/>
          </w:tcPr>
          <w:p w14:paraId="17231C2C" w14:textId="77777777" w:rsidR="00CB2F3E" w:rsidRPr="00FC717E" w:rsidRDefault="00CB2F3E" w:rsidP="00CB2F3E">
            <w:pPr>
              <w:spacing w:after="0" w:line="280" w:lineRule="exact"/>
              <w:ind w:left="113" w:hanging="113"/>
              <w:rPr>
                <w:rFonts w:cs="Arial"/>
                <w:sz w:val="19"/>
                <w:szCs w:val="19"/>
              </w:rPr>
            </w:pPr>
          </w:p>
        </w:tc>
        <w:tc>
          <w:tcPr>
            <w:tcW w:w="556" w:type="pct"/>
            <w:vAlign w:val="bottom"/>
          </w:tcPr>
          <w:p w14:paraId="38FC80C1" w14:textId="4EA8A026" w:rsidR="00CB2F3E" w:rsidRPr="00FC717E" w:rsidRDefault="0079311E" w:rsidP="00257CDB">
            <w:pPr>
              <w:tabs>
                <w:tab w:val="right" w:pos="1202"/>
              </w:tabs>
              <w:spacing w:after="0" w:line="280" w:lineRule="exact"/>
              <w:jc w:val="right"/>
              <w:outlineLvl w:val="0"/>
              <w:rPr>
                <w:rFonts w:cs="Arial"/>
                <w:b/>
                <w:sz w:val="19"/>
                <w:szCs w:val="19"/>
              </w:rPr>
            </w:pPr>
            <w:r>
              <w:rPr>
                <w:rFonts w:cs="Arial"/>
                <w:b/>
                <w:sz w:val="19"/>
                <w:szCs w:val="19"/>
              </w:rPr>
              <w:t>30</w:t>
            </w:r>
            <w:r w:rsidR="003A42A5">
              <w:rPr>
                <w:rFonts w:cs="Arial"/>
                <w:b/>
                <w:sz w:val="19"/>
                <w:szCs w:val="19"/>
              </w:rPr>
              <w:t>.</w:t>
            </w:r>
            <w:r>
              <w:rPr>
                <w:rFonts w:cs="Arial"/>
                <w:b/>
                <w:sz w:val="19"/>
                <w:szCs w:val="19"/>
              </w:rPr>
              <w:t>6</w:t>
            </w:r>
            <w:r w:rsidR="003A42A5">
              <w:rPr>
                <w:rFonts w:cs="Arial"/>
                <w:b/>
                <w:sz w:val="19"/>
                <w:szCs w:val="19"/>
              </w:rPr>
              <w:t>.2017.</w:t>
            </w:r>
          </w:p>
        </w:tc>
        <w:tc>
          <w:tcPr>
            <w:tcW w:w="530" w:type="pct"/>
            <w:gridSpan w:val="2"/>
            <w:vAlign w:val="bottom"/>
          </w:tcPr>
          <w:p w14:paraId="49E43701" w14:textId="51435389" w:rsidR="00CB2F3E" w:rsidRPr="00FC717E" w:rsidRDefault="00BC6330" w:rsidP="00257CDB">
            <w:pPr>
              <w:tabs>
                <w:tab w:val="right" w:pos="1202"/>
              </w:tabs>
              <w:spacing w:after="0" w:line="280" w:lineRule="exact"/>
              <w:jc w:val="right"/>
              <w:outlineLvl w:val="0"/>
              <w:rPr>
                <w:rFonts w:cs="Arial"/>
                <w:b/>
                <w:sz w:val="19"/>
                <w:szCs w:val="19"/>
              </w:rPr>
            </w:pPr>
            <w:r>
              <w:rPr>
                <w:rFonts w:cs="Arial"/>
                <w:b/>
                <w:sz w:val="19"/>
                <w:szCs w:val="19"/>
              </w:rPr>
              <w:t>30</w:t>
            </w:r>
            <w:r w:rsidR="003A42A5">
              <w:rPr>
                <w:rFonts w:cs="Arial"/>
                <w:b/>
                <w:sz w:val="19"/>
                <w:szCs w:val="19"/>
              </w:rPr>
              <w:t>.</w:t>
            </w:r>
            <w:r>
              <w:rPr>
                <w:rFonts w:cs="Arial"/>
                <w:b/>
                <w:sz w:val="19"/>
                <w:szCs w:val="19"/>
              </w:rPr>
              <w:t>6</w:t>
            </w:r>
            <w:r w:rsidR="003A42A5">
              <w:rPr>
                <w:rFonts w:cs="Arial"/>
                <w:b/>
                <w:sz w:val="19"/>
                <w:szCs w:val="19"/>
              </w:rPr>
              <w:t>.2017.</w:t>
            </w:r>
          </w:p>
        </w:tc>
        <w:tc>
          <w:tcPr>
            <w:tcW w:w="579" w:type="pct"/>
            <w:gridSpan w:val="2"/>
            <w:vAlign w:val="bottom"/>
          </w:tcPr>
          <w:p w14:paraId="531EFD13" w14:textId="66245B83" w:rsidR="00CB2F3E" w:rsidRPr="00F561C9" w:rsidRDefault="003A42A5" w:rsidP="00CB2F3E">
            <w:pPr>
              <w:tabs>
                <w:tab w:val="right" w:pos="1202"/>
              </w:tabs>
              <w:spacing w:after="0" w:line="280" w:lineRule="exact"/>
              <w:jc w:val="right"/>
              <w:outlineLvl w:val="0"/>
              <w:rPr>
                <w:rFonts w:cs="Arial"/>
                <w:b/>
                <w:sz w:val="19"/>
                <w:szCs w:val="19"/>
              </w:rPr>
            </w:pPr>
            <w:r>
              <w:rPr>
                <w:rFonts w:cs="Arial"/>
                <w:b/>
                <w:sz w:val="19"/>
                <w:szCs w:val="19"/>
              </w:rPr>
              <w:t>31.12.2016</w:t>
            </w:r>
            <w:r w:rsidR="00CB2F3E" w:rsidRPr="00F561C9">
              <w:rPr>
                <w:rFonts w:cs="Arial"/>
                <w:b/>
                <w:sz w:val="19"/>
                <w:szCs w:val="19"/>
              </w:rPr>
              <w:t>.</w:t>
            </w:r>
          </w:p>
        </w:tc>
        <w:tc>
          <w:tcPr>
            <w:tcW w:w="506" w:type="pct"/>
            <w:gridSpan w:val="2"/>
            <w:vAlign w:val="bottom"/>
          </w:tcPr>
          <w:p w14:paraId="66DFA854" w14:textId="3A64676A" w:rsidR="00CB2F3E" w:rsidRPr="00F561C9" w:rsidRDefault="003A42A5" w:rsidP="00CB2F3E">
            <w:pPr>
              <w:tabs>
                <w:tab w:val="right" w:pos="1202"/>
              </w:tabs>
              <w:spacing w:after="0" w:line="280" w:lineRule="exact"/>
              <w:jc w:val="right"/>
              <w:outlineLvl w:val="0"/>
              <w:rPr>
                <w:rFonts w:cs="Arial"/>
                <w:b/>
                <w:sz w:val="19"/>
                <w:szCs w:val="19"/>
              </w:rPr>
            </w:pPr>
            <w:r>
              <w:rPr>
                <w:rFonts w:cs="Arial"/>
                <w:b/>
                <w:sz w:val="19"/>
                <w:szCs w:val="19"/>
              </w:rPr>
              <w:t>31.12.2016</w:t>
            </w:r>
            <w:r w:rsidR="00CB2F3E" w:rsidRPr="00F561C9">
              <w:rPr>
                <w:rFonts w:cs="Arial"/>
                <w:b/>
                <w:sz w:val="19"/>
                <w:szCs w:val="19"/>
              </w:rPr>
              <w:t>.</w:t>
            </w:r>
          </w:p>
        </w:tc>
      </w:tr>
      <w:tr w:rsidR="00BC6330" w:rsidRPr="00FC717E" w14:paraId="48E77B1D" w14:textId="77777777" w:rsidTr="00312975">
        <w:trPr>
          <w:gridAfter w:val="1"/>
          <w:wAfter w:w="6" w:type="pct"/>
          <w:cantSplit/>
          <w:trHeight w:hRule="exact" w:val="170"/>
          <w:tblHeader/>
        </w:trPr>
        <w:tc>
          <w:tcPr>
            <w:tcW w:w="2823" w:type="pct"/>
            <w:vAlign w:val="bottom"/>
          </w:tcPr>
          <w:p w14:paraId="785898AF" w14:textId="77777777" w:rsidR="00BC6330" w:rsidRPr="00FC717E" w:rsidRDefault="00BC6330" w:rsidP="00BC6330">
            <w:pPr>
              <w:spacing w:after="0" w:line="280" w:lineRule="exact"/>
              <w:rPr>
                <w:rFonts w:cs="Arial"/>
                <w:bCs/>
                <w:sz w:val="19"/>
                <w:szCs w:val="19"/>
              </w:rPr>
            </w:pPr>
          </w:p>
        </w:tc>
        <w:tc>
          <w:tcPr>
            <w:tcW w:w="556" w:type="pct"/>
            <w:vAlign w:val="bottom"/>
          </w:tcPr>
          <w:p w14:paraId="79E6585F" w14:textId="77777777" w:rsidR="00BC6330" w:rsidRPr="00FC717E" w:rsidRDefault="00BC6330" w:rsidP="00BC6330">
            <w:pPr>
              <w:tabs>
                <w:tab w:val="right" w:pos="1202"/>
              </w:tabs>
              <w:spacing w:after="0" w:line="280" w:lineRule="exact"/>
              <w:jc w:val="right"/>
              <w:outlineLvl w:val="0"/>
              <w:rPr>
                <w:rFonts w:cs="Arial"/>
                <w:bCs/>
                <w:sz w:val="19"/>
                <w:szCs w:val="19"/>
              </w:rPr>
            </w:pPr>
          </w:p>
        </w:tc>
        <w:tc>
          <w:tcPr>
            <w:tcW w:w="530" w:type="pct"/>
            <w:gridSpan w:val="2"/>
            <w:vAlign w:val="bottom"/>
          </w:tcPr>
          <w:p w14:paraId="14D93CCF" w14:textId="77777777" w:rsidR="00BC6330" w:rsidRPr="00FC717E" w:rsidRDefault="00BC6330" w:rsidP="00BC6330">
            <w:pPr>
              <w:tabs>
                <w:tab w:val="right" w:pos="1202"/>
              </w:tabs>
              <w:spacing w:after="0" w:line="280" w:lineRule="exact"/>
              <w:jc w:val="right"/>
              <w:outlineLvl w:val="0"/>
              <w:rPr>
                <w:rFonts w:cs="Arial"/>
                <w:bCs/>
                <w:sz w:val="19"/>
                <w:szCs w:val="19"/>
              </w:rPr>
            </w:pPr>
          </w:p>
        </w:tc>
        <w:tc>
          <w:tcPr>
            <w:tcW w:w="579" w:type="pct"/>
            <w:gridSpan w:val="2"/>
            <w:shd w:val="clear" w:color="auto" w:fill="auto"/>
            <w:vAlign w:val="bottom"/>
          </w:tcPr>
          <w:p w14:paraId="6CFE9442" w14:textId="77777777" w:rsidR="00BC6330" w:rsidRPr="00F561C9" w:rsidRDefault="00BC6330" w:rsidP="00BC6330">
            <w:pPr>
              <w:tabs>
                <w:tab w:val="right" w:pos="1202"/>
              </w:tabs>
              <w:spacing w:after="0" w:line="280" w:lineRule="exact"/>
              <w:jc w:val="right"/>
              <w:outlineLvl w:val="0"/>
              <w:rPr>
                <w:rFonts w:cs="Arial"/>
                <w:bCs/>
                <w:sz w:val="19"/>
                <w:szCs w:val="19"/>
              </w:rPr>
            </w:pPr>
          </w:p>
        </w:tc>
        <w:tc>
          <w:tcPr>
            <w:tcW w:w="506" w:type="pct"/>
            <w:gridSpan w:val="2"/>
            <w:shd w:val="clear" w:color="auto" w:fill="auto"/>
          </w:tcPr>
          <w:p w14:paraId="7D8A979E" w14:textId="77777777" w:rsidR="00BC6330" w:rsidRPr="00F561C9" w:rsidRDefault="00BC6330" w:rsidP="00BC6330">
            <w:pPr>
              <w:tabs>
                <w:tab w:val="right" w:pos="1202"/>
              </w:tabs>
              <w:spacing w:after="0" w:line="280" w:lineRule="exact"/>
              <w:jc w:val="right"/>
              <w:outlineLvl w:val="0"/>
              <w:rPr>
                <w:rFonts w:cs="Arial"/>
                <w:bCs/>
                <w:sz w:val="19"/>
                <w:szCs w:val="19"/>
              </w:rPr>
            </w:pPr>
          </w:p>
        </w:tc>
      </w:tr>
      <w:tr w:rsidR="00EA6C29" w:rsidRPr="00FC717E" w14:paraId="5DD646DE" w14:textId="77777777" w:rsidTr="00312975">
        <w:trPr>
          <w:gridAfter w:val="1"/>
          <w:wAfter w:w="6" w:type="pct"/>
          <w:cantSplit/>
          <w:trHeight w:val="250"/>
          <w:tblHeader/>
        </w:trPr>
        <w:tc>
          <w:tcPr>
            <w:tcW w:w="2823" w:type="pct"/>
            <w:vAlign w:val="bottom"/>
          </w:tcPr>
          <w:p w14:paraId="736AE4F8" w14:textId="77777777" w:rsidR="00EA6C29" w:rsidRPr="00FC717E" w:rsidRDefault="00EA6C29" w:rsidP="00EA6C29">
            <w:pPr>
              <w:spacing w:after="0" w:line="280" w:lineRule="exact"/>
              <w:rPr>
                <w:rFonts w:cs="Arial"/>
                <w:bCs/>
                <w:sz w:val="19"/>
                <w:szCs w:val="19"/>
              </w:rPr>
            </w:pPr>
            <w:r w:rsidRPr="00FC717E">
              <w:rPr>
                <w:rFonts w:cs="Arial"/>
                <w:bCs/>
                <w:sz w:val="19"/>
                <w:szCs w:val="19"/>
              </w:rPr>
              <w:t>Financijske djelatnosti i djelatnosti osiguranja</w:t>
            </w:r>
          </w:p>
        </w:tc>
        <w:tc>
          <w:tcPr>
            <w:tcW w:w="556" w:type="pct"/>
            <w:tcBorders>
              <w:top w:val="nil"/>
              <w:left w:val="nil"/>
              <w:bottom w:val="nil"/>
              <w:right w:val="nil"/>
            </w:tcBorders>
            <w:shd w:val="clear" w:color="000000" w:fill="auto"/>
            <w:vAlign w:val="bottom"/>
          </w:tcPr>
          <w:p w14:paraId="66DEEB56" w14:textId="1EE897F9" w:rsidR="00EA6C29" w:rsidRPr="003A42A5" w:rsidRDefault="00EA6C29" w:rsidP="00EA6C29">
            <w:pPr>
              <w:tabs>
                <w:tab w:val="right" w:pos="1202"/>
              </w:tabs>
              <w:spacing w:after="0" w:line="301" w:lineRule="exact"/>
              <w:jc w:val="right"/>
              <w:outlineLvl w:val="0"/>
              <w:rPr>
                <w:sz w:val="19"/>
                <w:szCs w:val="19"/>
              </w:rPr>
            </w:pPr>
            <w:r w:rsidRPr="00312975">
              <w:rPr>
                <w:sz w:val="19"/>
                <w:szCs w:val="19"/>
              </w:rPr>
              <w:t>16.037.015</w:t>
            </w:r>
          </w:p>
        </w:tc>
        <w:tc>
          <w:tcPr>
            <w:tcW w:w="530" w:type="pct"/>
            <w:gridSpan w:val="2"/>
            <w:tcBorders>
              <w:top w:val="nil"/>
              <w:left w:val="nil"/>
              <w:bottom w:val="nil"/>
              <w:right w:val="nil"/>
            </w:tcBorders>
            <w:shd w:val="clear" w:color="000000" w:fill="auto"/>
            <w:vAlign w:val="bottom"/>
          </w:tcPr>
          <w:p w14:paraId="10F73C27" w14:textId="5C1ADFD5" w:rsidR="00EA6C29" w:rsidRPr="003A42A5" w:rsidRDefault="00EA6C29" w:rsidP="00EA6C29">
            <w:pPr>
              <w:tabs>
                <w:tab w:val="right" w:pos="1202"/>
              </w:tabs>
              <w:spacing w:after="0" w:line="301" w:lineRule="exact"/>
              <w:jc w:val="right"/>
              <w:outlineLvl w:val="0"/>
              <w:rPr>
                <w:sz w:val="19"/>
                <w:szCs w:val="19"/>
              </w:rPr>
            </w:pPr>
            <w:r w:rsidRPr="00312975">
              <w:rPr>
                <w:sz w:val="19"/>
                <w:szCs w:val="19"/>
              </w:rPr>
              <w:t>-</w:t>
            </w:r>
          </w:p>
        </w:tc>
        <w:tc>
          <w:tcPr>
            <w:tcW w:w="579" w:type="pct"/>
            <w:gridSpan w:val="2"/>
            <w:vAlign w:val="bottom"/>
          </w:tcPr>
          <w:p w14:paraId="77CB6BF2" w14:textId="68D21524"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15.359.154</w:t>
            </w:r>
          </w:p>
        </w:tc>
        <w:tc>
          <w:tcPr>
            <w:tcW w:w="506" w:type="pct"/>
            <w:gridSpan w:val="2"/>
            <w:vAlign w:val="bottom"/>
          </w:tcPr>
          <w:p w14:paraId="51F92391" w14:textId="5E81F160"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w:t>
            </w:r>
          </w:p>
        </w:tc>
      </w:tr>
      <w:tr w:rsidR="00EA6C29" w:rsidRPr="00FC717E" w14:paraId="44788991" w14:textId="77777777" w:rsidTr="00312975">
        <w:trPr>
          <w:gridAfter w:val="1"/>
          <w:wAfter w:w="6" w:type="pct"/>
          <w:cantSplit/>
          <w:trHeight w:val="250"/>
          <w:tblHeader/>
        </w:trPr>
        <w:tc>
          <w:tcPr>
            <w:tcW w:w="2823" w:type="pct"/>
            <w:vAlign w:val="bottom"/>
          </w:tcPr>
          <w:p w14:paraId="0069A0A6" w14:textId="77777777" w:rsidR="00EA6C29" w:rsidRPr="00FC717E" w:rsidRDefault="00EA6C29" w:rsidP="00EA6C29">
            <w:pPr>
              <w:spacing w:after="0" w:line="280" w:lineRule="exact"/>
              <w:rPr>
                <w:rFonts w:cs="Arial"/>
                <w:bCs/>
                <w:sz w:val="19"/>
                <w:szCs w:val="19"/>
              </w:rPr>
            </w:pPr>
            <w:r w:rsidRPr="00FC717E">
              <w:rPr>
                <w:rFonts w:cs="Arial"/>
                <w:bCs/>
                <w:sz w:val="19"/>
                <w:szCs w:val="19"/>
              </w:rPr>
              <w:t>Vodoopskrba, opskrba električnom energijom i ostala infrastruktura</w:t>
            </w:r>
          </w:p>
        </w:tc>
        <w:tc>
          <w:tcPr>
            <w:tcW w:w="556" w:type="pct"/>
            <w:tcBorders>
              <w:top w:val="nil"/>
              <w:left w:val="nil"/>
              <w:bottom w:val="nil"/>
              <w:right w:val="nil"/>
            </w:tcBorders>
            <w:shd w:val="clear" w:color="000000" w:fill="auto"/>
            <w:vAlign w:val="bottom"/>
          </w:tcPr>
          <w:p w14:paraId="6F44A64A" w14:textId="28220037" w:rsidR="00EA6C29" w:rsidRPr="000E5941" w:rsidRDefault="00EA6C29" w:rsidP="00177C3A">
            <w:pPr>
              <w:tabs>
                <w:tab w:val="right" w:pos="1202"/>
              </w:tabs>
              <w:spacing w:after="0" w:line="301" w:lineRule="exact"/>
              <w:jc w:val="right"/>
              <w:outlineLvl w:val="0"/>
              <w:rPr>
                <w:sz w:val="19"/>
                <w:szCs w:val="19"/>
              </w:rPr>
            </w:pPr>
            <w:r w:rsidRPr="00312975">
              <w:rPr>
                <w:sz w:val="19"/>
                <w:szCs w:val="19"/>
              </w:rPr>
              <w:t>1.</w:t>
            </w:r>
            <w:r w:rsidR="002E0C1C">
              <w:rPr>
                <w:sz w:val="19"/>
                <w:szCs w:val="19"/>
              </w:rPr>
              <w:t>265.618</w:t>
            </w:r>
          </w:p>
        </w:tc>
        <w:tc>
          <w:tcPr>
            <w:tcW w:w="530" w:type="pct"/>
            <w:gridSpan w:val="2"/>
            <w:tcBorders>
              <w:top w:val="nil"/>
              <w:left w:val="nil"/>
              <w:bottom w:val="nil"/>
              <w:right w:val="nil"/>
            </w:tcBorders>
            <w:shd w:val="clear" w:color="000000" w:fill="auto"/>
            <w:vAlign w:val="bottom"/>
          </w:tcPr>
          <w:p w14:paraId="37AC689C" w14:textId="2EE09140" w:rsidR="00EA6C29" w:rsidRPr="000E5941" w:rsidRDefault="002E0C1C" w:rsidP="00EA6C29">
            <w:pPr>
              <w:tabs>
                <w:tab w:val="right" w:pos="1202"/>
              </w:tabs>
              <w:spacing w:after="0" w:line="301" w:lineRule="exact"/>
              <w:jc w:val="right"/>
              <w:outlineLvl w:val="0"/>
              <w:rPr>
                <w:sz w:val="19"/>
                <w:szCs w:val="19"/>
              </w:rPr>
            </w:pPr>
            <w:r>
              <w:rPr>
                <w:sz w:val="19"/>
                <w:szCs w:val="19"/>
              </w:rPr>
              <w:t>964.969</w:t>
            </w:r>
          </w:p>
        </w:tc>
        <w:tc>
          <w:tcPr>
            <w:tcW w:w="579" w:type="pct"/>
            <w:gridSpan w:val="2"/>
            <w:vAlign w:val="bottom"/>
          </w:tcPr>
          <w:p w14:paraId="6C35F6F8" w14:textId="3A15CDE9"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1.322.277</w:t>
            </w:r>
          </w:p>
        </w:tc>
        <w:tc>
          <w:tcPr>
            <w:tcW w:w="506" w:type="pct"/>
            <w:gridSpan w:val="2"/>
            <w:vAlign w:val="bottom"/>
          </w:tcPr>
          <w:p w14:paraId="6D50812D" w14:textId="71893BE8"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959.881</w:t>
            </w:r>
          </w:p>
        </w:tc>
      </w:tr>
      <w:tr w:rsidR="00EA6C29" w:rsidRPr="00FC717E" w14:paraId="6B2FE6D9" w14:textId="77777777" w:rsidTr="00312975">
        <w:trPr>
          <w:gridAfter w:val="1"/>
          <w:wAfter w:w="6" w:type="pct"/>
          <w:cantSplit/>
          <w:trHeight w:val="250"/>
          <w:tblHeader/>
        </w:trPr>
        <w:tc>
          <w:tcPr>
            <w:tcW w:w="2823" w:type="pct"/>
            <w:vAlign w:val="bottom"/>
          </w:tcPr>
          <w:p w14:paraId="5F426102" w14:textId="77777777" w:rsidR="00EA6C29" w:rsidRPr="00FC717E" w:rsidRDefault="00EA6C29" w:rsidP="00EA6C29">
            <w:pPr>
              <w:spacing w:after="0" w:line="280" w:lineRule="exact"/>
              <w:rPr>
                <w:rFonts w:cs="Arial"/>
                <w:bCs/>
                <w:sz w:val="19"/>
                <w:szCs w:val="19"/>
              </w:rPr>
            </w:pPr>
            <w:r w:rsidRPr="00FC717E">
              <w:rPr>
                <w:rFonts w:cs="Arial"/>
                <w:bCs/>
                <w:sz w:val="19"/>
                <w:szCs w:val="19"/>
              </w:rPr>
              <w:t>Turizam</w:t>
            </w:r>
          </w:p>
        </w:tc>
        <w:tc>
          <w:tcPr>
            <w:tcW w:w="556" w:type="pct"/>
            <w:tcBorders>
              <w:top w:val="nil"/>
              <w:left w:val="nil"/>
              <w:bottom w:val="nil"/>
              <w:right w:val="nil"/>
            </w:tcBorders>
            <w:shd w:val="clear" w:color="000000" w:fill="auto"/>
            <w:vAlign w:val="bottom"/>
          </w:tcPr>
          <w:p w14:paraId="109061B2" w14:textId="7830FF24" w:rsidR="00EA6C29" w:rsidRPr="003A42A5" w:rsidRDefault="00EA6C29" w:rsidP="00EA6C29">
            <w:pPr>
              <w:tabs>
                <w:tab w:val="right" w:pos="1202"/>
              </w:tabs>
              <w:spacing w:after="0" w:line="301" w:lineRule="exact"/>
              <w:jc w:val="right"/>
              <w:outlineLvl w:val="0"/>
              <w:rPr>
                <w:sz w:val="19"/>
                <w:szCs w:val="19"/>
              </w:rPr>
            </w:pPr>
            <w:r w:rsidRPr="00312975">
              <w:rPr>
                <w:sz w:val="19"/>
                <w:szCs w:val="19"/>
              </w:rPr>
              <w:t>3.601.662</w:t>
            </w:r>
          </w:p>
        </w:tc>
        <w:tc>
          <w:tcPr>
            <w:tcW w:w="530" w:type="pct"/>
            <w:gridSpan w:val="2"/>
            <w:tcBorders>
              <w:top w:val="nil"/>
              <w:left w:val="nil"/>
              <w:bottom w:val="nil"/>
              <w:right w:val="nil"/>
            </w:tcBorders>
            <w:shd w:val="clear" w:color="000000" w:fill="auto"/>
            <w:vAlign w:val="bottom"/>
          </w:tcPr>
          <w:p w14:paraId="0E00A696" w14:textId="0AB8FF71" w:rsidR="00EA6C29" w:rsidRPr="003A42A5" w:rsidRDefault="00EA6C29" w:rsidP="00EA6C29">
            <w:pPr>
              <w:tabs>
                <w:tab w:val="right" w:pos="1202"/>
              </w:tabs>
              <w:spacing w:after="0" w:line="301" w:lineRule="exact"/>
              <w:jc w:val="right"/>
              <w:outlineLvl w:val="0"/>
              <w:rPr>
                <w:sz w:val="19"/>
                <w:szCs w:val="19"/>
              </w:rPr>
            </w:pPr>
            <w:r w:rsidRPr="00312975">
              <w:rPr>
                <w:sz w:val="19"/>
                <w:szCs w:val="19"/>
              </w:rPr>
              <w:t>326.747</w:t>
            </w:r>
          </w:p>
        </w:tc>
        <w:tc>
          <w:tcPr>
            <w:tcW w:w="579" w:type="pct"/>
            <w:gridSpan w:val="2"/>
            <w:vAlign w:val="bottom"/>
          </w:tcPr>
          <w:p w14:paraId="4A036F74" w14:textId="38CC326F"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3.630.150</w:t>
            </w:r>
          </w:p>
        </w:tc>
        <w:tc>
          <w:tcPr>
            <w:tcW w:w="506" w:type="pct"/>
            <w:gridSpan w:val="2"/>
            <w:vAlign w:val="bottom"/>
          </w:tcPr>
          <w:p w14:paraId="00D7A05E" w14:textId="0CB7AF9C"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363.739</w:t>
            </w:r>
          </w:p>
        </w:tc>
      </w:tr>
      <w:tr w:rsidR="00EA6C29" w:rsidRPr="00FC717E" w14:paraId="2AD85939" w14:textId="77777777" w:rsidTr="00312975">
        <w:trPr>
          <w:gridAfter w:val="1"/>
          <w:wAfter w:w="6" w:type="pct"/>
          <w:cantSplit/>
          <w:trHeight w:val="250"/>
          <w:tblHeader/>
        </w:trPr>
        <w:tc>
          <w:tcPr>
            <w:tcW w:w="2823" w:type="pct"/>
            <w:vAlign w:val="bottom"/>
          </w:tcPr>
          <w:p w14:paraId="27B81596" w14:textId="77777777" w:rsidR="00EA6C29" w:rsidRPr="00FC717E" w:rsidRDefault="00EA6C29" w:rsidP="00EA6C29">
            <w:pPr>
              <w:spacing w:after="0" w:line="280" w:lineRule="exact"/>
              <w:rPr>
                <w:rFonts w:cs="Arial"/>
                <w:bCs/>
                <w:sz w:val="19"/>
                <w:szCs w:val="19"/>
              </w:rPr>
            </w:pPr>
            <w:r w:rsidRPr="00FC717E">
              <w:rPr>
                <w:rFonts w:cs="Arial"/>
                <w:bCs/>
                <w:sz w:val="19"/>
                <w:szCs w:val="19"/>
              </w:rPr>
              <w:t>Prijevoz, skladištenje i veze</w:t>
            </w:r>
          </w:p>
        </w:tc>
        <w:tc>
          <w:tcPr>
            <w:tcW w:w="556" w:type="pct"/>
            <w:tcBorders>
              <w:top w:val="nil"/>
              <w:left w:val="nil"/>
              <w:bottom w:val="nil"/>
              <w:right w:val="nil"/>
            </w:tcBorders>
            <w:shd w:val="clear" w:color="000000" w:fill="auto"/>
            <w:vAlign w:val="bottom"/>
          </w:tcPr>
          <w:p w14:paraId="5C20D928" w14:textId="762C5329" w:rsidR="00EA6C29" w:rsidRPr="003A42A5" w:rsidRDefault="00EA6C29" w:rsidP="00EA6C29">
            <w:pPr>
              <w:tabs>
                <w:tab w:val="right" w:pos="1202"/>
              </w:tabs>
              <w:spacing w:after="0" w:line="301" w:lineRule="exact"/>
              <w:jc w:val="right"/>
              <w:outlineLvl w:val="0"/>
              <w:rPr>
                <w:sz w:val="19"/>
                <w:szCs w:val="19"/>
              </w:rPr>
            </w:pPr>
            <w:r w:rsidRPr="00312975">
              <w:rPr>
                <w:sz w:val="19"/>
                <w:szCs w:val="19"/>
              </w:rPr>
              <w:t>1.605.237</w:t>
            </w:r>
          </w:p>
        </w:tc>
        <w:tc>
          <w:tcPr>
            <w:tcW w:w="530" w:type="pct"/>
            <w:gridSpan w:val="2"/>
            <w:tcBorders>
              <w:top w:val="nil"/>
              <w:left w:val="nil"/>
              <w:bottom w:val="nil"/>
              <w:right w:val="nil"/>
            </w:tcBorders>
            <w:shd w:val="clear" w:color="000000" w:fill="auto"/>
            <w:vAlign w:val="bottom"/>
          </w:tcPr>
          <w:p w14:paraId="7337C02D" w14:textId="1D7F462E" w:rsidR="00EA6C29" w:rsidRPr="003A42A5" w:rsidRDefault="00EA6C29" w:rsidP="00EA6C29">
            <w:pPr>
              <w:tabs>
                <w:tab w:val="right" w:pos="1202"/>
              </w:tabs>
              <w:spacing w:after="0" w:line="301" w:lineRule="exact"/>
              <w:jc w:val="right"/>
              <w:outlineLvl w:val="0"/>
              <w:rPr>
                <w:sz w:val="19"/>
                <w:szCs w:val="19"/>
              </w:rPr>
            </w:pPr>
            <w:r w:rsidRPr="00312975">
              <w:rPr>
                <w:sz w:val="19"/>
                <w:szCs w:val="19"/>
              </w:rPr>
              <w:t>794.838</w:t>
            </w:r>
          </w:p>
        </w:tc>
        <w:tc>
          <w:tcPr>
            <w:tcW w:w="579" w:type="pct"/>
            <w:gridSpan w:val="2"/>
            <w:vAlign w:val="bottom"/>
          </w:tcPr>
          <w:p w14:paraId="3CD466B9" w14:textId="7DD89AA2"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1.714.718</w:t>
            </w:r>
          </w:p>
        </w:tc>
        <w:tc>
          <w:tcPr>
            <w:tcW w:w="506" w:type="pct"/>
            <w:gridSpan w:val="2"/>
            <w:vAlign w:val="bottom"/>
          </w:tcPr>
          <w:p w14:paraId="3B75A218" w14:textId="79B12412"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836.069</w:t>
            </w:r>
          </w:p>
        </w:tc>
      </w:tr>
      <w:tr w:rsidR="00EA6C29" w:rsidRPr="00FC717E" w14:paraId="14248C51" w14:textId="77777777" w:rsidTr="00312975">
        <w:trPr>
          <w:gridAfter w:val="1"/>
          <w:wAfter w:w="6" w:type="pct"/>
          <w:cantSplit/>
          <w:trHeight w:val="250"/>
          <w:tblHeader/>
        </w:trPr>
        <w:tc>
          <w:tcPr>
            <w:tcW w:w="2823" w:type="pct"/>
            <w:vAlign w:val="bottom"/>
          </w:tcPr>
          <w:p w14:paraId="48E3A5C4" w14:textId="77777777" w:rsidR="00EA6C29" w:rsidRPr="00FC717E" w:rsidRDefault="00EA6C29" w:rsidP="00EA6C29">
            <w:pPr>
              <w:spacing w:after="0" w:line="280" w:lineRule="exact"/>
              <w:rPr>
                <w:rFonts w:cs="Arial"/>
                <w:bCs/>
                <w:sz w:val="19"/>
                <w:szCs w:val="19"/>
              </w:rPr>
            </w:pPr>
            <w:r w:rsidRPr="00FC717E">
              <w:rPr>
                <w:rFonts w:cs="Arial"/>
                <w:bCs/>
                <w:sz w:val="19"/>
                <w:szCs w:val="19"/>
              </w:rPr>
              <w:t>Brodogradnja</w:t>
            </w:r>
          </w:p>
        </w:tc>
        <w:tc>
          <w:tcPr>
            <w:tcW w:w="556" w:type="pct"/>
            <w:tcBorders>
              <w:top w:val="nil"/>
              <w:left w:val="nil"/>
              <w:bottom w:val="nil"/>
              <w:right w:val="nil"/>
            </w:tcBorders>
            <w:shd w:val="clear" w:color="000000" w:fill="auto"/>
            <w:vAlign w:val="bottom"/>
          </w:tcPr>
          <w:p w14:paraId="605B23AC" w14:textId="36B416F9" w:rsidR="00EA6C29" w:rsidRPr="003A42A5" w:rsidRDefault="00EA6C29" w:rsidP="00EA6C29">
            <w:pPr>
              <w:tabs>
                <w:tab w:val="right" w:pos="1202"/>
              </w:tabs>
              <w:spacing w:after="0" w:line="301" w:lineRule="exact"/>
              <w:jc w:val="right"/>
              <w:outlineLvl w:val="0"/>
              <w:rPr>
                <w:sz w:val="19"/>
                <w:szCs w:val="19"/>
              </w:rPr>
            </w:pPr>
            <w:r w:rsidRPr="00312975">
              <w:rPr>
                <w:sz w:val="19"/>
                <w:szCs w:val="19"/>
              </w:rPr>
              <w:t>2.189.766</w:t>
            </w:r>
          </w:p>
        </w:tc>
        <w:tc>
          <w:tcPr>
            <w:tcW w:w="530" w:type="pct"/>
            <w:gridSpan w:val="2"/>
            <w:tcBorders>
              <w:top w:val="nil"/>
              <w:left w:val="nil"/>
              <w:bottom w:val="nil"/>
              <w:right w:val="nil"/>
            </w:tcBorders>
            <w:shd w:val="clear" w:color="000000" w:fill="auto"/>
            <w:vAlign w:val="bottom"/>
          </w:tcPr>
          <w:p w14:paraId="237464AA" w14:textId="35E21424" w:rsidR="00EA6C29" w:rsidRPr="003A42A5" w:rsidRDefault="00EA6C29" w:rsidP="00EA6C29">
            <w:pPr>
              <w:tabs>
                <w:tab w:val="right" w:pos="1202"/>
              </w:tabs>
              <w:spacing w:after="0" w:line="301" w:lineRule="exact"/>
              <w:jc w:val="right"/>
              <w:outlineLvl w:val="0"/>
              <w:rPr>
                <w:sz w:val="19"/>
                <w:szCs w:val="19"/>
              </w:rPr>
            </w:pPr>
            <w:r w:rsidRPr="00312975">
              <w:rPr>
                <w:sz w:val="19"/>
                <w:szCs w:val="19"/>
              </w:rPr>
              <w:t>322.917</w:t>
            </w:r>
          </w:p>
        </w:tc>
        <w:tc>
          <w:tcPr>
            <w:tcW w:w="579" w:type="pct"/>
            <w:gridSpan w:val="2"/>
            <w:vAlign w:val="bottom"/>
          </w:tcPr>
          <w:p w14:paraId="434685CE" w14:textId="1BC1C40C"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2.257.050</w:t>
            </w:r>
          </w:p>
        </w:tc>
        <w:tc>
          <w:tcPr>
            <w:tcW w:w="506" w:type="pct"/>
            <w:gridSpan w:val="2"/>
            <w:vAlign w:val="bottom"/>
          </w:tcPr>
          <w:p w14:paraId="03880495" w14:textId="738ABD6C"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572.383</w:t>
            </w:r>
          </w:p>
        </w:tc>
      </w:tr>
      <w:tr w:rsidR="00EA6C29" w:rsidRPr="00FC717E" w14:paraId="3A6B6CD4" w14:textId="77777777" w:rsidTr="00312975">
        <w:trPr>
          <w:gridAfter w:val="1"/>
          <w:wAfter w:w="6" w:type="pct"/>
          <w:cantSplit/>
          <w:trHeight w:val="250"/>
          <w:tblHeader/>
        </w:trPr>
        <w:tc>
          <w:tcPr>
            <w:tcW w:w="2823" w:type="pct"/>
            <w:vAlign w:val="bottom"/>
          </w:tcPr>
          <w:p w14:paraId="5927BE24" w14:textId="77777777" w:rsidR="00EA6C29" w:rsidRPr="00FC717E" w:rsidDel="00FF5490" w:rsidRDefault="00EA6C29" w:rsidP="00EA6C29">
            <w:pPr>
              <w:spacing w:after="0" w:line="280" w:lineRule="exact"/>
              <w:rPr>
                <w:rFonts w:cs="Arial"/>
                <w:sz w:val="19"/>
                <w:szCs w:val="19"/>
              </w:rPr>
            </w:pPr>
            <w:r w:rsidRPr="00FC717E">
              <w:rPr>
                <w:rFonts w:cs="Arial"/>
                <w:bCs/>
                <w:sz w:val="19"/>
                <w:szCs w:val="19"/>
              </w:rPr>
              <w:t>Poljoprivreda i ribarstvo</w:t>
            </w:r>
          </w:p>
        </w:tc>
        <w:tc>
          <w:tcPr>
            <w:tcW w:w="556" w:type="pct"/>
            <w:tcBorders>
              <w:top w:val="nil"/>
              <w:left w:val="nil"/>
              <w:bottom w:val="nil"/>
              <w:right w:val="nil"/>
            </w:tcBorders>
            <w:shd w:val="clear" w:color="000000" w:fill="auto"/>
            <w:vAlign w:val="bottom"/>
          </w:tcPr>
          <w:p w14:paraId="64B64630" w14:textId="3D2B8012" w:rsidR="00EA6C29" w:rsidRPr="003A42A5" w:rsidRDefault="00EA6C29" w:rsidP="00EA6C29">
            <w:pPr>
              <w:tabs>
                <w:tab w:val="right" w:pos="1202"/>
              </w:tabs>
              <w:spacing w:after="0" w:line="301" w:lineRule="exact"/>
              <w:jc w:val="right"/>
              <w:outlineLvl w:val="0"/>
              <w:rPr>
                <w:sz w:val="19"/>
                <w:szCs w:val="19"/>
              </w:rPr>
            </w:pPr>
            <w:r w:rsidRPr="00312975">
              <w:rPr>
                <w:sz w:val="19"/>
                <w:szCs w:val="19"/>
              </w:rPr>
              <w:t>486.715</w:t>
            </w:r>
          </w:p>
        </w:tc>
        <w:tc>
          <w:tcPr>
            <w:tcW w:w="530" w:type="pct"/>
            <w:gridSpan w:val="2"/>
            <w:tcBorders>
              <w:top w:val="nil"/>
              <w:left w:val="nil"/>
              <w:bottom w:val="nil"/>
              <w:right w:val="nil"/>
            </w:tcBorders>
            <w:shd w:val="clear" w:color="000000" w:fill="auto"/>
            <w:vAlign w:val="bottom"/>
          </w:tcPr>
          <w:p w14:paraId="3FAF9AD8" w14:textId="62871E8A" w:rsidR="00EA6C29" w:rsidRPr="003A42A5" w:rsidRDefault="00EA6C29" w:rsidP="00177C3A">
            <w:pPr>
              <w:tabs>
                <w:tab w:val="right" w:pos="1202"/>
              </w:tabs>
              <w:spacing w:after="0" w:line="301" w:lineRule="exact"/>
              <w:jc w:val="right"/>
              <w:outlineLvl w:val="0"/>
              <w:rPr>
                <w:sz w:val="19"/>
                <w:szCs w:val="19"/>
              </w:rPr>
            </w:pPr>
            <w:r w:rsidRPr="00312975">
              <w:rPr>
                <w:sz w:val="19"/>
                <w:szCs w:val="19"/>
              </w:rPr>
              <w:t>70.38</w:t>
            </w:r>
            <w:r w:rsidR="00C74CD5">
              <w:rPr>
                <w:sz w:val="19"/>
                <w:szCs w:val="19"/>
              </w:rPr>
              <w:t>7</w:t>
            </w:r>
          </w:p>
        </w:tc>
        <w:tc>
          <w:tcPr>
            <w:tcW w:w="579" w:type="pct"/>
            <w:gridSpan w:val="2"/>
            <w:vAlign w:val="bottom"/>
          </w:tcPr>
          <w:p w14:paraId="4ED43087" w14:textId="2C91D9DD"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515.711</w:t>
            </w:r>
          </w:p>
        </w:tc>
        <w:tc>
          <w:tcPr>
            <w:tcW w:w="506" w:type="pct"/>
            <w:gridSpan w:val="2"/>
            <w:vAlign w:val="bottom"/>
          </w:tcPr>
          <w:p w14:paraId="3D567FA3" w14:textId="725FB00D"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68.982</w:t>
            </w:r>
          </w:p>
        </w:tc>
      </w:tr>
      <w:tr w:rsidR="00EA6C29" w:rsidRPr="00FC717E" w14:paraId="31C18954" w14:textId="77777777" w:rsidTr="00312975">
        <w:trPr>
          <w:gridAfter w:val="1"/>
          <w:wAfter w:w="6" w:type="pct"/>
          <w:cantSplit/>
          <w:trHeight w:val="250"/>
          <w:tblHeader/>
        </w:trPr>
        <w:tc>
          <w:tcPr>
            <w:tcW w:w="2823" w:type="pct"/>
            <w:vAlign w:val="bottom"/>
          </w:tcPr>
          <w:p w14:paraId="463AC7F9" w14:textId="77777777" w:rsidR="00EA6C29" w:rsidRPr="00FC717E" w:rsidDel="00FF5490" w:rsidRDefault="00EA6C29" w:rsidP="00EA6C29">
            <w:pPr>
              <w:spacing w:after="0" w:line="280" w:lineRule="exact"/>
              <w:rPr>
                <w:rFonts w:cs="Arial"/>
                <w:sz w:val="19"/>
                <w:szCs w:val="19"/>
              </w:rPr>
            </w:pPr>
            <w:r w:rsidRPr="00FC717E">
              <w:rPr>
                <w:rFonts w:cs="Arial"/>
                <w:bCs/>
                <w:sz w:val="19"/>
                <w:szCs w:val="19"/>
              </w:rPr>
              <w:t>Proizvodnja prehrambenih proizvoda</w:t>
            </w:r>
          </w:p>
        </w:tc>
        <w:tc>
          <w:tcPr>
            <w:tcW w:w="556" w:type="pct"/>
            <w:tcBorders>
              <w:top w:val="nil"/>
              <w:left w:val="nil"/>
              <w:bottom w:val="nil"/>
              <w:right w:val="nil"/>
            </w:tcBorders>
            <w:shd w:val="clear" w:color="000000" w:fill="auto"/>
            <w:vAlign w:val="bottom"/>
          </w:tcPr>
          <w:p w14:paraId="581675D2" w14:textId="74AB7A7B" w:rsidR="00EA6C29" w:rsidRPr="003A42A5" w:rsidRDefault="00EA6C29" w:rsidP="00EA6C29">
            <w:pPr>
              <w:tabs>
                <w:tab w:val="right" w:pos="1202"/>
              </w:tabs>
              <w:spacing w:after="0" w:line="301" w:lineRule="exact"/>
              <w:jc w:val="right"/>
              <w:outlineLvl w:val="0"/>
              <w:rPr>
                <w:sz w:val="19"/>
                <w:szCs w:val="19"/>
              </w:rPr>
            </w:pPr>
            <w:r w:rsidRPr="00312975">
              <w:rPr>
                <w:sz w:val="19"/>
                <w:szCs w:val="19"/>
              </w:rPr>
              <w:t>963.468</w:t>
            </w:r>
          </w:p>
        </w:tc>
        <w:tc>
          <w:tcPr>
            <w:tcW w:w="530" w:type="pct"/>
            <w:gridSpan w:val="2"/>
            <w:tcBorders>
              <w:top w:val="nil"/>
              <w:left w:val="nil"/>
              <w:bottom w:val="nil"/>
              <w:right w:val="nil"/>
            </w:tcBorders>
            <w:shd w:val="clear" w:color="000000" w:fill="auto"/>
            <w:vAlign w:val="bottom"/>
          </w:tcPr>
          <w:p w14:paraId="70B2D560" w14:textId="5A54CE31" w:rsidR="00EA6C29" w:rsidRPr="003A42A5" w:rsidRDefault="00EA6C29" w:rsidP="00177C3A">
            <w:pPr>
              <w:tabs>
                <w:tab w:val="right" w:pos="1202"/>
              </w:tabs>
              <w:spacing w:after="0" w:line="301" w:lineRule="exact"/>
              <w:jc w:val="right"/>
              <w:outlineLvl w:val="0"/>
              <w:rPr>
                <w:sz w:val="19"/>
                <w:szCs w:val="19"/>
              </w:rPr>
            </w:pPr>
            <w:r w:rsidRPr="00312975">
              <w:rPr>
                <w:sz w:val="19"/>
                <w:szCs w:val="19"/>
              </w:rPr>
              <w:t>179</w:t>
            </w:r>
            <w:r w:rsidR="009517F4">
              <w:rPr>
                <w:sz w:val="19"/>
                <w:szCs w:val="19"/>
              </w:rPr>
              <w:t>.990</w:t>
            </w:r>
          </w:p>
        </w:tc>
        <w:tc>
          <w:tcPr>
            <w:tcW w:w="579" w:type="pct"/>
            <w:gridSpan w:val="2"/>
            <w:vAlign w:val="bottom"/>
          </w:tcPr>
          <w:p w14:paraId="17B0A6C8" w14:textId="5BF1C879"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1.159.546</w:t>
            </w:r>
          </w:p>
        </w:tc>
        <w:tc>
          <w:tcPr>
            <w:tcW w:w="506" w:type="pct"/>
            <w:gridSpan w:val="2"/>
            <w:vAlign w:val="bottom"/>
          </w:tcPr>
          <w:p w14:paraId="6EFB1780" w14:textId="65A4BD92"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205.632</w:t>
            </w:r>
          </w:p>
        </w:tc>
      </w:tr>
      <w:tr w:rsidR="00EA6C29" w:rsidRPr="00FC717E" w14:paraId="6B847FF0" w14:textId="77777777" w:rsidTr="00312975">
        <w:trPr>
          <w:gridAfter w:val="1"/>
          <w:wAfter w:w="6" w:type="pct"/>
          <w:cantSplit/>
          <w:trHeight w:val="250"/>
          <w:tblHeader/>
        </w:trPr>
        <w:tc>
          <w:tcPr>
            <w:tcW w:w="2823" w:type="pct"/>
            <w:vAlign w:val="bottom"/>
          </w:tcPr>
          <w:p w14:paraId="68BE30DB" w14:textId="77777777" w:rsidR="00EA6C29" w:rsidRPr="00FC717E" w:rsidDel="00FF5490" w:rsidRDefault="00EA6C29" w:rsidP="00EA6C29">
            <w:pPr>
              <w:spacing w:after="0" w:line="280" w:lineRule="exact"/>
              <w:rPr>
                <w:rFonts w:cs="Arial"/>
                <w:sz w:val="19"/>
                <w:szCs w:val="19"/>
              </w:rPr>
            </w:pPr>
            <w:r w:rsidRPr="00FC717E">
              <w:rPr>
                <w:rFonts w:cs="Arial"/>
                <w:sz w:val="19"/>
                <w:szCs w:val="19"/>
              </w:rPr>
              <w:t>Građevinarstvo</w:t>
            </w:r>
          </w:p>
        </w:tc>
        <w:tc>
          <w:tcPr>
            <w:tcW w:w="556" w:type="pct"/>
            <w:tcBorders>
              <w:top w:val="nil"/>
              <w:left w:val="nil"/>
              <w:bottom w:val="nil"/>
              <w:right w:val="nil"/>
            </w:tcBorders>
            <w:shd w:val="clear" w:color="000000" w:fill="auto"/>
            <w:vAlign w:val="bottom"/>
          </w:tcPr>
          <w:p w14:paraId="63653D7D" w14:textId="2E5E0E5E" w:rsidR="00EA6C29" w:rsidRPr="003A42A5" w:rsidRDefault="00EA6C29" w:rsidP="00177C3A">
            <w:pPr>
              <w:tabs>
                <w:tab w:val="right" w:pos="1202"/>
              </w:tabs>
              <w:spacing w:after="0" w:line="301" w:lineRule="exact"/>
              <w:jc w:val="right"/>
              <w:outlineLvl w:val="0"/>
              <w:rPr>
                <w:sz w:val="19"/>
                <w:szCs w:val="19"/>
              </w:rPr>
            </w:pPr>
            <w:r w:rsidRPr="00312975">
              <w:rPr>
                <w:sz w:val="19"/>
                <w:szCs w:val="19"/>
              </w:rPr>
              <w:t>1.135.8</w:t>
            </w:r>
            <w:r w:rsidR="003E2E75">
              <w:rPr>
                <w:sz w:val="19"/>
                <w:szCs w:val="19"/>
              </w:rPr>
              <w:t>60</w:t>
            </w:r>
          </w:p>
        </w:tc>
        <w:tc>
          <w:tcPr>
            <w:tcW w:w="530" w:type="pct"/>
            <w:gridSpan w:val="2"/>
            <w:tcBorders>
              <w:top w:val="nil"/>
              <w:left w:val="nil"/>
              <w:bottom w:val="nil"/>
              <w:right w:val="nil"/>
            </w:tcBorders>
            <w:shd w:val="clear" w:color="000000" w:fill="auto"/>
            <w:vAlign w:val="bottom"/>
          </w:tcPr>
          <w:p w14:paraId="3DF4CEE2" w14:textId="3CBEADEE" w:rsidR="00EA6C29" w:rsidRPr="003A42A5" w:rsidRDefault="00EA6C29" w:rsidP="00177C3A">
            <w:pPr>
              <w:tabs>
                <w:tab w:val="right" w:pos="1202"/>
              </w:tabs>
              <w:spacing w:after="0" w:line="301" w:lineRule="exact"/>
              <w:jc w:val="right"/>
              <w:outlineLvl w:val="0"/>
              <w:rPr>
                <w:sz w:val="19"/>
                <w:szCs w:val="19"/>
              </w:rPr>
            </w:pPr>
            <w:r w:rsidRPr="00312975">
              <w:rPr>
                <w:sz w:val="19"/>
                <w:szCs w:val="19"/>
              </w:rPr>
              <w:t>25.</w:t>
            </w:r>
            <w:r w:rsidR="009517F4">
              <w:rPr>
                <w:sz w:val="19"/>
                <w:szCs w:val="19"/>
              </w:rPr>
              <w:t>597</w:t>
            </w:r>
          </w:p>
        </w:tc>
        <w:tc>
          <w:tcPr>
            <w:tcW w:w="579" w:type="pct"/>
            <w:gridSpan w:val="2"/>
            <w:vAlign w:val="bottom"/>
          </w:tcPr>
          <w:p w14:paraId="73B19235" w14:textId="7C096E4A"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1.225.887</w:t>
            </w:r>
          </w:p>
        </w:tc>
        <w:tc>
          <w:tcPr>
            <w:tcW w:w="506" w:type="pct"/>
            <w:gridSpan w:val="2"/>
            <w:vAlign w:val="bottom"/>
          </w:tcPr>
          <w:p w14:paraId="7E4300D9" w14:textId="10D90E70"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53.900</w:t>
            </w:r>
          </w:p>
        </w:tc>
      </w:tr>
      <w:tr w:rsidR="00EA6C29" w:rsidRPr="00FC717E" w14:paraId="3F0C65E6" w14:textId="77777777" w:rsidTr="00312975">
        <w:trPr>
          <w:gridAfter w:val="1"/>
          <w:wAfter w:w="6" w:type="pct"/>
          <w:cantSplit/>
          <w:trHeight w:val="250"/>
          <w:tblHeader/>
        </w:trPr>
        <w:tc>
          <w:tcPr>
            <w:tcW w:w="2823" w:type="pct"/>
            <w:vAlign w:val="bottom"/>
          </w:tcPr>
          <w:p w14:paraId="552D04CF" w14:textId="77777777" w:rsidR="00EA6C29" w:rsidRPr="00FC717E" w:rsidDel="00FF5490" w:rsidRDefault="00EA6C29" w:rsidP="00EA6C29">
            <w:pPr>
              <w:spacing w:after="0" w:line="280" w:lineRule="exact"/>
              <w:rPr>
                <w:rFonts w:cs="Arial"/>
                <w:sz w:val="19"/>
                <w:szCs w:val="19"/>
              </w:rPr>
            </w:pPr>
            <w:r w:rsidRPr="00FC717E">
              <w:rPr>
                <w:rFonts w:cs="Arial"/>
                <w:sz w:val="19"/>
                <w:szCs w:val="19"/>
              </w:rPr>
              <w:t>Ostala industrija</w:t>
            </w:r>
          </w:p>
        </w:tc>
        <w:tc>
          <w:tcPr>
            <w:tcW w:w="556" w:type="pct"/>
            <w:tcBorders>
              <w:top w:val="nil"/>
              <w:left w:val="nil"/>
              <w:bottom w:val="nil"/>
              <w:right w:val="nil"/>
            </w:tcBorders>
            <w:shd w:val="clear" w:color="000000" w:fill="auto"/>
            <w:vAlign w:val="bottom"/>
          </w:tcPr>
          <w:p w14:paraId="3B1E6552" w14:textId="3BBBEDC1" w:rsidR="00EA6C29" w:rsidRPr="003A42A5" w:rsidRDefault="00EA6C29" w:rsidP="00177C3A">
            <w:pPr>
              <w:tabs>
                <w:tab w:val="right" w:pos="1202"/>
              </w:tabs>
              <w:spacing w:after="0" w:line="301" w:lineRule="exact"/>
              <w:jc w:val="right"/>
              <w:outlineLvl w:val="0"/>
              <w:rPr>
                <w:sz w:val="19"/>
                <w:szCs w:val="19"/>
              </w:rPr>
            </w:pPr>
            <w:r w:rsidRPr="00312975">
              <w:rPr>
                <w:sz w:val="19"/>
                <w:szCs w:val="19"/>
              </w:rPr>
              <w:t>480.49</w:t>
            </w:r>
            <w:r w:rsidR="003E2E75">
              <w:rPr>
                <w:sz w:val="19"/>
                <w:szCs w:val="19"/>
              </w:rPr>
              <w:t>7</w:t>
            </w:r>
          </w:p>
        </w:tc>
        <w:tc>
          <w:tcPr>
            <w:tcW w:w="530" w:type="pct"/>
            <w:gridSpan w:val="2"/>
            <w:tcBorders>
              <w:top w:val="nil"/>
              <w:left w:val="nil"/>
              <w:bottom w:val="nil"/>
              <w:right w:val="nil"/>
            </w:tcBorders>
            <w:shd w:val="clear" w:color="000000" w:fill="auto"/>
            <w:vAlign w:val="bottom"/>
          </w:tcPr>
          <w:p w14:paraId="1821D8C0" w14:textId="339CDE0E" w:rsidR="00EA6C29" w:rsidRPr="003A42A5" w:rsidRDefault="00EA6C29" w:rsidP="00EA6C29">
            <w:pPr>
              <w:tabs>
                <w:tab w:val="right" w:pos="1202"/>
              </w:tabs>
              <w:spacing w:after="0" w:line="301" w:lineRule="exact"/>
              <w:jc w:val="right"/>
              <w:outlineLvl w:val="0"/>
              <w:rPr>
                <w:sz w:val="19"/>
                <w:szCs w:val="19"/>
              </w:rPr>
            </w:pPr>
            <w:r w:rsidRPr="00312975">
              <w:rPr>
                <w:sz w:val="19"/>
                <w:szCs w:val="19"/>
              </w:rPr>
              <w:t>126.823</w:t>
            </w:r>
          </w:p>
        </w:tc>
        <w:tc>
          <w:tcPr>
            <w:tcW w:w="579" w:type="pct"/>
            <w:gridSpan w:val="2"/>
            <w:vAlign w:val="bottom"/>
          </w:tcPr>
          <w:p w14:paraId="65850F0C" w14:textId="720B9469"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527.352</w:t>
            </w:r>
          </w:p>
        </w:tc>
        <w:tc>
          <w:tcPr>
            <w:tcW w:w="506" w:type="pct"/>
            <w:gridSpan w:val="2"/>
            <w:vAlign w:val="bottom"/>
          </w:tcPr>
          <w:p w14:paraId="3C9F1C45" w14:textId="4149630D"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138.850</w:t>
            </w:r>
          </w:p>
        </w:tc>
      </w:tr>
      <w:tr w:rsidR="00EA6C29" w:rsidRPr="00FC717E" w14:paraId="377E79BA" w14:textId="77777777" w:rsidTr="00312975">
        <w:trPr>
          <w:gridAfter w:val="1"/>
          <w:wAfter w:w="6" w:type="pct"/>
          <w:cantSplit/>
          <w:trHeight w:val="250"/>
          <w:tblHeader/>
        </w:trPr>
        <w:tc>
          <w:tcPr>
            <w:tcW w:w="2823" w:type="pct"/>
            <w:vAlign w:val="bottom"/>
          </w:tcPr>
          <w:p w14:paraId="59ADF26F" w14:textId="77777777" w:rsidR="00EA6C29" w:rsidRPr="00FC717E" w:rsidDel="00FF5490" w:rsidRDefault="00EA6C29" w:rsidP="00EA6C29">
            <w:pPr>
              <w:spacing w:after="0" w:line="280" w:lineRule="exact"/>
              <w:rPr>
                <w:rFonts w:cs="Arial"/>
                <w:sz w:val="19"/>
                <w:szCs w:val="19"/>
              </w:rPr>
            </w:pPr>
            <w:r w:rsidRPr="00FC717E">
              <w:rPr>
                <w:rFonts w:cs="Arial"/>
                <w:bCs/>
                <w:sz w:val="19"/>
                <w:szCs w:val="19"/>
              </w:rPr>
              <w:t>Javna uprava</w:t>
            </w:r>
          </w:p>
        </w:tc>
        <w:tc>
          <w:tcPr>
            <w:tcW w:w="556" w:type="pct"/>
            <w:tcBorders>
              <w:top w:val="nil"/>
              <w:left w:val="nil"/>
              <w:bottom w:val="nil"/>
              <w:right w:val="nil"/>
            </w:tcBorders>
            <w:shd w:val="clear" w:color="000000" w:fill="auto"/>
            <w:vAlign w:val="bottom"/>
          </w:tcPr>
          <w:p w14:paraId="013A69EA" w14:textId="23FF89DE" w:rsidR="00EA6C29" w:rsidRPr="003A42A5" w:rsidRDefault="00EA6C29" w:rsidP="00EA6C29">
            <w:pPr>
              <w:tabs>
                <w:tab w:val="right" w:pos="1202"/>
              </w:tabs>
              <w:spacing w:after="0" w:line="301" w:lineRule="exact"/>
              <w:jc w:val="right"/>
              <w:outlineLvl w:val="0"/>
              <w:rPr>
                <w:sz w:val="19"/>
                <w:szCs w:val="19"/>
              </w:rPr>
            </w:pPr>
            <w:r w:rsidRPr="00312975">
              <w:rPr>
                <w:sz w:val="19"/>
                <w:szCs w:val="19"/>
              </w:rPr>
              <w:t>2.178.524</w:t>
            </w:r>
          </w:p>
        </w:tc>
        <w:tc>
          <w:tcPr>
            <w:tcW w:w="530" w:type="pct"/>
            <w:gridSpan w:val="2"/>
            <w:tcBorders>
              <w:top w:val="nil"/>
              <w:left w:val="nil"/>
              <w:bottom w:val="nil"/>
              <w:right w:val="nil"/>
            </w:tcBorders>
            <w:shd w:val="clear" w:color="000000" w:fill="auto"/>
            <w:vAlign w:val="bottom"/>
          </w:tcPr>
          <w:p w14:paraId="38FDE477" w14:textId="1D58C7C4" w:rsidR="00EA6C29" w:rsidRPr="003A42A5" w:rsidRDefault="00EA6C29" w:rsidP="00EA6C29">
            <w:pPr>
              <w:tabs>
                <w:tab w:val="right" w:pos="1202"/>
              </w:tabs>
              <w:spacing w:after="0" w:line="301" w:lineRule="exact"/>
              <w:jc w:val="right"/>
              <w:outlineLvl w:val="0"/>
              <w:rPr>
                <w:sz w:val="19"/>
                <w:szCs w:val="19"/>
              </w:rPr>
            </w:pPr>
            <w:r w:rsidRPr="00312975">
              <w:rPr>
                <w:sz w:val="19"/>
                <w:szCs w:val="19"/>
              </w:rPr>
              <w:t>2.178.524</w:t>
            </w:r>
          </w:p>
        </w:tc>
        <w:tc>
          <w:tcPr>
            <w:tcW w:w="579" w:type="pct"/>
            <w:gridSpan w:val="2"/>
            <w:vAlign w:val="bottom"/>
          </w:tcPr>
          <w:p w14:paraId="7F327462" w14:textId="3769BA92"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2.426.716</w:t>
            </w:r>
          </w:p>
        </w:tc>
        <w:tc>
          <w:tcPr>
            <w:tcW w:w="506" w:type="pct"/>
            <w:gridSpan w:val="2"/>
            <w:vAlign w:val="bottom"/>
          </w:tcPr>
          <w:p w14:paraId="4DA7C006" w14:textId="6E274C80"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2.426.716</w:t>
            </w:r>
          </w:p>
        </w:tc>
      </w:tr>
      <w:tr w:rsidR="00EA6C29" w:rsidRPr="00FC717E" w14:paraId="7AFB8BC2" w14:textId="77777777" w:rsidTr="00312975">
        <w:trPr>
          <w:gridAfter w:val="1"/>
          <w:wAfter w:w="6" w:type="pct"/>
          <w:cantSplit/>
          <w:trHeight w:val="250"/>
          <w:tblHeader/>
        </w:trPr>
        <w:tc>
          <w:tcPr>
            <w:tcW w:w="2823" w:type="pct"/>
            <w:vAlign w:val="bottom"/>
          </w:tcPr>
          <w:p w14:paraId="0A109C5B" w14:textId="77777777" w:rsidR="00EA6C29" w:rsidRPr="00FC717E" w:rsidDel="00FF5490" w:rsidRDefault="00EA6C29" w:rsidP="00EA6C29">
            <w:pPr>
              <w:spacing w:after="0" w:line="280" w:lineRule="exact"/>
              <w:rPr>
                <w:rFonts w:cs="Arial"/>
                <w:sz w:val="19"/>
                <w:szCs w:val="19"/>
              </w:rPr>
            </w:pPr>
            <w:r w:rsidRPr="00FC717E">
              <w:rPr>
                <w:rFonts w:cs="Arial"/>
                <w:bCs/>
                <w:sz w:val="19"/>
                <w:szCs w:val="19"/>
              </w:rPr>
              <w:t>Obrazovanje</w:t>
            </w:r>
          </w:p>
        </w:tc>
        <w:tc>
          <w:tcPr>
            <w:tcW w:w="556" w:type="pct"/>
            <w:tcBorders>
              <w:top w:val="nil"/>
              <w:left w:val="nil"/>
              <w:bottom w:val="nil"/>
              <w:right w:val="nil"/>
            </w:tcBorders>
            <w:shd w:val="clear" w:color="000000" w:fill="auto"/>
            <w:vAlign w:val="bottom"/>
          </w:tcPr>
          <w:p w14:paraId="3A4B02FC" w14:textId="4A106779" w:rsidR="00EA6C29" w:rsidRPr="003A42A5" w:rsidRDefault="009517F4" w:rsidP="00EA6C29">
            <w:pPr>
              <w:tabs>
                <w:tab w:val="right" w:pos="1202"/>
              </w:tabs>
              <w:spacing w:after="0" w:line="301" w:lineRule="exact"/>
              <w:jc w:val="right"/>
              <w:outlineLvl w:val="0"/>
              <w:rPr>
                <w:sz w:val="19"/>
                <w:szCs w:val="19"/>
              </w:rPr>
            </w:pPr>
            <w:r>
              <w:rPr>
                <w:sz w:val="19"/>
                <w:szCs w:val="19"/>
              </w:rPr>
              <w:t>46.541</w:t>
            </w:r>
          </w:p>
        </w:tc>
        <w:tc>
          <w:tcPr>
            <w:tcW w:w="530" w:type="pct"/>
            <w:gridSpan w:val="2"/>
            <w:tcBorders>
              <w:top w:val="nil"/>
              <w:left w:val="nil"/>
              <w:bottom w:val="nil"/>
              <w:right w:val="nil"/>
            </w:tcBorders>
            <w:shd w:val="clear" w:color="000000" w:fill="auto"/>
            <w:vAlign w:val="bottom"/>
          </w:tcPr>
          <w:p w14:paraId="6ABE52AA" w14:textId="2B18EC18" w:rsidR="00EA6C29" w:rsidRPr="003A42A5" w:rsidRDefault="009517F4" w:rsidP="00EA6C29">
            <w:pPr>
              <w:tabs>
                <w:tab w:val="right" w:pos="1202"/>
              </w:tabs>
              <w:spacing w:after="0" w:line="301" w:lineRule="exact"/>
              <w:jc w:val="right"/>
              <w:outlineLvl w:val="0"/>
              <w:rPr>
                <w:sz w:val="19"/>
                <w:szCs w:val="19"/>
              </w:rPr>
            </w:pPr>
            <w:r>
              <w:rPr>
                <w:sz w:val="19"/>
                <w:szCs w:val="19"/>
              </w:rPr>
              <w:t>40.986</w:t>
            </w:r>
          </w:p>
        </w:tc>
        <w:tc>
          <w:tcPr>
            <w:tcW w:w="579" w:type="pct"/>
            <w:gridSpan w:val="2"/>
            <w:vAlign w:val="bottom"/>
          </w:tcPr>
          <w:p w14:paraId="22762AC9" w14:textId="74AEC60E"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47.020</w:t>
            </w:r>
          </w:p>
        </w:tc>
        <w:tc>
          <w:tcPr>
            <w:tcW w:w="506" w:type="pct"/>
            <w:gridSpan w:val="2"/>
            <w:vAlign w:val="bottom"/>
          </w:tcPr>
          <w:p w14:paraId="2A54317F" w14:textId="6FF0F527"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40.956</w:t>
            </w:r>
          </w:p>
        </w:tc>
      </w:tr>
      <w:tr w:rsidR="00EA6C29" w:rsidRPr="00FC717E" w14:paraId="545B7610" w14:textId="77777777" w:rsidTr="00312975">
        <w:trPr>
          <w:gridAfter w:val="1"/>
          <w:wAfter w:w="6" w:type="pct"/>
          <w:cantSplit/>
          <w:trHeight w:val="250"/>
          <w:tblHeader/>
        </w:trPr>
        <w:tc>
          <w:tcPr>
            <w:tcW w:w="2823" w:type="pct"/>
            <w:vAlign w:val="bottom"/>
          </w:tcPr>
          <w:p w14:paraId="1F2D7B47" w14:textId="77777777" w:rsidR="00EA6C29" w:rsidRPr="00FC717E" w:rsidRDefault="00EA6C29" w:rsidP="00EA6C29">
            <w:pPr>
              <w:spacing w:after="0" w:line="280" w:lineRule="exact"/>
              <w:rPr>
                <w:rFonts w:cs="Arial"/>
                <w:sz w:val="19"/>
                <w:szCs w:val="19"/>
              </w:rPr>
            </w:pPr>
            <w:r w:rsidRPr="00FC717E">
              <w:rPr>
                <w:rFonts w:cs="Arial"/>
                <w:bCs/>
                <w:sz w:val="19"/>
                <w:szCs w:val="19"/>
              </w:rPr>
              <w:t xml:space="preserve">Proizvodnja metala i gotovih metalnih proizvoda, osim strojeva i opreme </w:t>
            </w:r>
          </w:p>
        </w:tc>
        <w:tc>
          <w:tcPr>
            <w:tcW w:w="556" w:type="pct"/>
            <w:tcBorders>
              <w:top w:val="nil"/>
              <w:left w:val="nil"/>
              <w:bottom w:val="nil"/>
              <w:right w:val="nil"/>
            </w:tcBorders>
            <w:shd w:val="clear" w:color="000000" w:fill="auto"/>
            <w:vAlign w:val="bottom"/>
          </w:tcPr>
          <w:p w14:paraId="2EDF188D" w14:textId="76261262" w:rsidR="00EA6C29" w:rsidRPr="000E5941" w:rsidRDefault="00EA6C29" w:rsidP="00EA6C29">
            <w:pPr>
              <w:tabs>
                <w:tab w:val="right" w:pos="1202"/>
              </w:tabs>
              <w:spacing w:after="0" w:line="301" w:lineRule="exact"/>
              <w:jc w:val="right"/>
              <w:outlineLvl w:val="0"/>
              <w:rPr>
                <w:sz w:val="19"/>
                <w:szCs w:val="19"/>
              </w:rPr>
            </w:pPr>
            <w:r w:rsidRPr="00312975">
              <w:rPr>
                <w:sz w:val="19"/>
                <w:szCs w:val="19"/>
              </w:rPr>
              <w:t>367.997</w:t>
            </w:r>
          </w:p>
        </w:tc>
        <w:tc>
          <w:tcPr>
            <w:tcW w:w="530" w:type="pct"/>
            <w:gridSpan w:val="2"/>
            <w:tcBorders>
              <w:top w:val="nil"/>
              <w:left w:val="nil"/>
              <w:bottom w:val="nil"/>
              <w:right w:val="nil"/>
            </w:tcBorders>
            <w:shd w:val="clear" w:color="000000" w:fill="auto"/>
            <w:vAlign w:val="bottom"/>
          </w:tcPr>
          <w:p w14:paraId="3FBDB72F" w14:textId="5A742769" w:rsidR="00EA6C29" w:rsidRPr="000E5941" w:rsidRDefault="00EA6C29" w:rsidP="00177C3A">
            <w:pPr>
              <w:tabs>
                <w:tab w:val="right" w:pos="1202"/>
              </w:tabs>
              <w:spacing w:after="0" w:line="301" w:lineRule="exact"/>
              <w:jc w:val="right"/>
              <w:outlineLvl w:val="0"/>
              <w:rPr>
                <w:sz w:val="19"/>
                <w:szCs w:val="19"/>
              </w:rPr>
            </w:pPr>
            <w:r w:rsidRPr="00312975">
              <w:rPr>
                <w:sz w:val="19"/>
                <w:szCs w:val="19"/>
              </w:rPr>
              <w:t>53.36</w:t>
            </w:r>
            <w:r w:rsidR="009517F4">
              <w:rPr>
                <w:sz w:val="19"/>
                <w:szCs w:val="19"/>
              </w:rPr>
              <w:t>5</w:t>
            </w:r>
          </w:p>
        </w:tc>
        <w:tc>
          <w:tcPr>
            <w:tcW w:w="579" w:type="pct"/>
            <w:gridSpan w:val="2"/>
            <w:vAlign w:val="bottom"/>
          </w:tcPr>
          <w:p w14:paraId="6C29575E" w14:textId="09F9D2EE"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407.254</w:t>
            </w:r>
          </w:p>
        </w:tc>
        <w:tc>
          <w:tcPr>
            <w:tcW w:w="506" w:type="pct"/>
            <w:gridSpan w:val="2"/>
            <w:vAlign w:val="bottom"/>
          </w:tcPr>
          <w:p w14:paraId="0909B46D" w14:textId="501DAE61"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62.818</w:t>
            </w:r>
          </w:p>
        </w:tc>
      </w:tr>
      <w:tr w:rsidR="00EA6C29" w:rsidRPr="00FC717E" w14:paraId="356BA9EF" w14:textId="77777777" w:rsidTr="00312975">
        <w:trPr>
          <w:gridAfter w:val="1"/>
          <w:wAfter w:w="6" w:type="pct"/>
          <w:cantSplit/>
          <w:trHeight w:val="250"/>
          <w:tblHeader/>
        </w:trPr>
        <w:tc>
          <w:tcPr>
            <w:tcW w:w="2823" w:type="pct"/>
            <w:vAlign w:val="bottom"/>
          </w:tcPr>
          <w:p w14:paraId="53CD340E" w14:textId="77777777" w:rsidR="00EA6C29" w:rsidRPr="00FC717E" w:rsidRDefault="00EA6C29" w:rsidP="00EA6C29">
            <w:pPr>
              <w:spacing w:after="0" w:line="280" w:lineRule="exact"/>
              <w:rPr>
                <w:rFonts w:cs="Arial"/>
                <w:bCs/>
                <w:sz w:val="19"/>
                <w:szCs w:val="19"/>
              </w:rPr>
            </w:pPr>
            <w:r w:rsidRPr="00FC717E">
              <w:rPr>
                <w:rFonts w:cs="Arial"/>
                <w:bCs/>
                <w:sz w:val="19"/>
                <w:szCs w:val="19"/>
              </w:rPr>
              <w:t>Proizvodnja kemikalija i kemijskih proizvoda</w:t>
            </w:r>
          </w:p>
        </w:tc>
        <w:tc>
          <w:tcPr>
            <w:tcW w:w="556" w:type="pct"/>
            <w:tcBorders>
              <w:top w:val="nil"/>
              <w:left w:val="nil"/>
              <w:bottom w:val="nil"/>
              <w:right w:val="nil"/>
            </w:tcBorders>
            <w:shd w:val="clear" w:color="000000" w:fill="auto"/>
            <w:vAlign w:val="bottom"/>
          </w:tcPr>
          <w:p w14:paraId="0252DAAD" w14:textId="3518CFE5" w:rsidR="00EA6C29" w:rsidRPr="000E5941" w:rsidRDefault="00EA6C29" w:rsidP="00EA6C29">
            <w:pPr>
              <w:tabs>
                <w:tab w:val="right" w:pos="1202"/>
              </w:tabs>
              <w:spacing w:after="0" w:line="301" w:lineRule="exact"/>
              <w:jc w:val="right"/>
              <w:outlineLvl w:val="0"/>
              <w:rPr>
                <w:sz w:val="19"/>
                <w:szCs w:val="19"/>
              </w:rPr>
            </w:pPr>
            <w:r w:rsidRPr="00312975">
              <w:rPr>
                <w:sz w:val="19"/>
                <w:szCs w:val="19"/>
              </w:rPr>
              <w:t>413.527</w:t>
            </w:r>
          </w:p>
        </w:tc>
        <w:tc>
          <w:tcPr>
            <w:tcW w:w="530" w:type="pct"/>
            <w:gridSpan w:val="2"/>
            <w:tcBorders>
              <w:top w:val="nil"/>
              <w:left w:val="nil"/>
              <w:bottom w:val="nil"/>
              <w:right w:val="nil"/>
            </w:tcBorders>
            <w:shd w:val="clear" w:color="000000" w:fill="auto"/>
            <w:vAlign w:val="bottom"/>
          </w:tcPr>
          <w:p w14:paraId="3F9BCD4E" w14:textId="6D7E6EF9" w:rsidR="00EA6C29" w:rsidRPr="000E5941" w:rsidRDefault="009517F4" w:rsidP="00EA6C29">
            <w:pPr>
              <w:tabs>
                <w:tab w:val="right" w:pos="1202"/>
              </w:tabs>
              <w:spacing w:after="0" w:line="301" w:lineRule="exact"/>
              <w:jc w:val="right"/>
              <w:outlineLvl w:val="0"/>
              <w:rPr>
                <w:sz w:val="19"/>
                <w:szCs w:val="19"/>
              </w:rPr>
            </w:pPr>
            <w:r>
              <w:rPr>
                <w:sz w:val="19"/>
                <w:szCs w:val="19"/>
              </w:rPr>
              <w:t>94.418</w:t>
            </w:r>
          </w:p>
        </w:tc>
        <w:tc>
          <w:tcPr>
            <w:tcW w:w="579" w:type="pct"/>
            <w:gridSpan w:val="2"/>
            <w:vAlign w:val="bottom"/>
          </w:tcPr>
          <w:p w14:paraId="571FF47E" w14:textId="1DB7A8BD"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255.576</w:t>
            </w:r>
          </w:p>
        </w:tc>
        <w:tc>
          <w:tcPr>
            <w:tcW w:w="506" w:type="pct"/>
            <w:gridSpan w:val="2"/>
            <w:vAlign w:val="bottom"/>
          </w:tcPr>
          <w:p w14:paraId="7FF3575E" w14:textId="29D12AE9"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16.761</w:t>
            </w:r>
          </w:p>
        </w:tc>
      </w:tr>
      <w:tr w:rsidR="00EA6C29" w:rsidRPr="00FC717E" w14:paraId="2CC4CB27" w14:textId="77777777" w:rsidTr="00312975">
        <w:trPr>
          <w:gridAfter w:val="1"/>
          <w:wAfter w:w="6" w:type="pct"/>
          <w:cantSplit/>
          <w:trHeight w:val="250"/>
          <w:tblHeader/>
        </w:trPr>
        <w:tc>
          <w:tcPr>
            <w:tcW w:w="2823" w:type="pct"/>
            <w:vAlign w:val="bottom"/>
          </w:tcPr>
          <w:p w14:paraId="7E63082B" w14:textId="77777777" w:rsidR="00EA6C29" w:rsidRPr="00FC717E" w:rsidRDefault="00EA6C29" w:rsidP="00EA6C29">
            <w:pPr>
              <w:spacing w:after="0" w:line="280" w:lineRule="exact"/>
              <w:rPr>
                <w:rFonts w:cs="Arial"/>
                <w:sz w:val="19"/>
                <w:szCs w:val="19"/>
              </w:rPr>
            </w:pPr>
            <w:r w:rsidRPr="00FC717E">
              <w:rPr>
                <w:rFonts w:cs="Arial"/>
                <w:bCs/>
                <w:sz w:val="19"/>
                <w:szCs w:val="19"/>
              </w:rPr>
              <w:t xml:space="preserve">Proizvodnja ostalih nemetalnih mineralnih proizvoda </w:t>
            </w:r>
          </w:p>
        </w:tc>
        <w:tc>
          <w:tcPr>
            <w:tcW w:w="556" w:type="pct"/>
            <w:tcBorders>
              <w:top w:val="nil"/>
              <w:left w:val="nil"/>
              <w:bottom w:val="nil"/>
              <w:right w:val="nil"/>
            </w:tcBorders>
            <w:shd w:val="clear" w:color="000000" w:fill="auto"/>
            <w:vAlign w:val="bottom"/>
          </w:tcPr>
          <w:p w14:paraId="383D4B5D" w14:textId="267438E0" w:rsidR="00EA6C29" w:rsidRPr="000E5941" w:rsidRDefault="00EA6C29" w:rsidP="00EA6C29">
            <w:pPr>
              <w:tabs>
                <w:tab w:val="right" w:pos="1202"/>
              </w:tabs>
              <w:spacing w:after="0" w:line="301" w:lineRule="exact"/>
              <w:jc w:val="right"/>
              <w:outlineLvl w:val="0"/>
              <w:rPr>
                <w:sz w:val="19"/>
                <w:szCs w:val="19"/>
              </w:rPr>
            </w:pPr>
            <w:r w:rsidRPr="00312975">
              <w:rPr>
                <w:sz w:val="19"/>
                <w:szCs w:val="19"/>
              </w:rPr>
              <w:t>256.949</w:t>
            </w:r>
          </w:p>
        </w:tc>
        <w:tc>
          <w:tcPr>
            <w:tcW w:w="530" w:type="pct"/>
            <w:gridSpan w:val="2"/>
            <w:tcBorders>
              <w:top w:val="nil"/>
              <w:left w:val="nil"/>
              <w:bottom w:val="nil"/>
              <w:right w:val="nil"/>
            </w:tcBorders>
            <w:shd w:val="clear" w:color="000000" w:fill="auto"/>
            <w:vAlign w:val="bottom"/>
          </w:tcPr>
          <w:p w14:paraId="2280FE70" w14:textId="53B6AAF0" w:rsidR="00EA6C29" w:rsidRPr="000E5941" w:rsidRDefault="00EA6C29" w:rsidP="00EA6C29">
            <w:pPr>
              <w:tabs>
                <w:tab w:val="right" w:pos="1202"/>
              </w:tabs>
              <w:spacing w:after="0" w:line="301" w:lineRule="exact"/>
              <w:jc w:val="right"/>
              <w:outlineLvl w:val="0"/>
              <w:rPr>
                <w:sz w:val="19"/>
                <w:szCs w:val="19"/>
              </w:rPr>
            </w:pPr>
            <w:r w:rsidRPr="00312975">
              <w:rPr>
                <w:sz w:val="19"/>
                <w:szCs w:val="19"/>
              </w:rPr>
              <w:t>3.518</w:t>
            </w:r>
          </w:p>
        </w:tc>
        <w:tc>
          <w:tcPr>
            <w:tcW w:w="579" w:type="pct"/>
            <w:gridSpan w:val="2"/>
            <w:vAlign w:val="bottom"/>
          </w:tcPr>
          <w:p w14:paraId="49ADC563" w14:textId="5867F4B9"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273.959</w:t>
            </w:r>
          </w:p>
        </w:tc>
        <w:tc>
          <w:tcPr>
            <w:tcW w:w="506" w:type="pct"/>
            <w:gridSpan w:val="2"/>
            <w:vAlign w:val="bottom"/>
          </w:tcPr>
          <w:p w14:paraId="2A7A315F" w14:textId="2724535F"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4.399</w:t>
            </w:r>
          </w:p>
        </w:tc>
      </w:tr>
      <w:tr w:rsidR="00EA6C29" w:rsidRPr="00FC717E" w14:paraId="0E59EA26" w14:textId="77777777" w:rsidTr="00312975">
        <w:trPr>
          <w:gridAfter w:val="1"/>
          <w:wAfter w:w="6" w:type="pct"/>
          <w:cantSplit/>
          <w:trHeight w:val="250"/>
          <w:tblHeader/>
        </w:trPr>
        <w:tc>
          <w:tcPr>
            <w:tcW w:w="2823" w:type="pct"/>
            <w:vAlign w:val="bottom"/>
          </w:tcPr>
          <w:p w14:paraId="14B24F24" w14:textId="77777777" w:rsidR="00EA6C29" w:rsidRPr="00FC717E" w:rsidRDefault="00EA6C29" w:rsidP="00EA6C29">
            <w:pPr>
              <w:spacing w:after="0" w:line="280" w:lineRule="exact"/>
              <w:rPr>
                <w:rFonts w:cs="Arial"/>
                <w:bCs/>
                <w:sz w:val="19"/>
                <w:szCs w:val="19"/>
              </w:rPr>
            </w:pPr>
            <w:r w:rsidRPr="00FC717E">
              <w:rPr>
                <w:rFonts w:cs="Arial"/>
                <w:bCs/>
                <w:sz w:val="19"/>
                <w:szCs w:val="19"/>
              </w:rPr>
              <w:t>Proizvodnja farmaceutskih pripravaka</w:t>
            </w:r>
          </w:p>
        </w:tc>
        <w:tc>
          <w:tcPr>
            <w:tcW w:w="556" w:type="pct"/>
            <w:tcBorders>
              <w:top w:val="nil"/>
              <w:left w:val="nil"/>
              <w:right w:val="nil"/>
            </w:tcBorders>
            <w:shd w:val="clear" w:color="000000" w:fill="auto"/>
            <w:vAlign w:val="bottom"/>
          </w:tcPr>
          <w:p w14:paraId="1792E5DB" w14:textId="21C8908E" w:rsidR="00EA6C29" w:rsidRPr="003A42A5" w:rsidRDefault="00EA6C29" w:rsidP="00EA6C29">
            <w:pPr>
              <w:tabs>
                <w:tab w:val="right" w:pos="1202"/>
              </w:tabs>
              <w:spacing w:after="0" w:line="301" w:lineRule="exact"/>
              <w:jc w:val="right"/>
              <w:outlineLvl w:val="0"/>
              <w:rPr>
                <w:sz w:val="19"/>
                <w:szCs w:val="19"/>
              </w:rPr>
            </w:pPr>
            <w:r w:rsidRPr="00312975">
              <w:rPr>
                <w:sz w:val="19"/>
                <w:szCs w:val="19"/>
              </w:rPr>
              <w:t>543.038</w:t>
            </w:r>
          </w:p>
        </w:tc>
        <w:tc>
          <w:tcPr>
            <w:tcW w:w="530" w:type="pct"/>
            <w:gridSpan w:val="2"/>
            <w:tcBorders>
              <w:top w:val="nil"/>
              <w:left w:val="nil"/>
              <w:right w:val="nil"/>
            </w:tcBorders>
            <w:shd w:val="clear" w:color="000000" w:fill="auto"/>
            <w:vAlign w:val="bottom"/>
          </w:tcPr>
          <w:p w14:paraId="7988CADC" w14:textId="265E697C" w:rsidR="00EA6C29" w:rsidRPr="003A42A5" w:rsidRDefault="00EA6C29" w:rsidP="00EA6C29">
            <w:pPr>
              <w:tabs>
                <w:tab w:val="right" w:pos="1202"/>
              </w:tabs>
              <w:spacing w:after="0" w:line="301" w:lineRule="exact"/>
              <w:jc w:val="right"/>
              <w:outlineLvl w:val="0"/>
              <w:rPr>
                <w:sz w:val="19"/>
                <w:szCs w:val="19"/>
              </w:rPr>
            </w:pPr>
            <w:r w:rsidRPr="00312975">
              <w:rPr>
                <w:sz w:val="19"/>
                <w:szCs w:val="19"/>
              </w:rPr>
              <w:t>842</w:t>
            </w:r>
          </w:p>
        </w:tc>
        <w:tc>
          <w:tcPr>
            <w:tcW w:w="579" w:type="pct"/>
            <w:gridSpan w:val="2"/>
            <w:vAlign w:val="bottom"/>
          </w:tcPr>
          <w:p w14:paraId="0FDB64FE" w14:textId="379F2826"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572.470</w:t>
            </w:r>
          </w:p>
        </w:tc>
        <w:tc>
          <w:tcPr>
            <w:tcW w:w="506" w:type="pct"/>
            <w:gridSpan w:val="2"/>
            <w:vAlign w:val="bottom"/>
          </w:tcPr>
          <w:p w14:paraId="6EBE1C8B" w14:textId="6FD3FBF7"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809</w:t>
            </w:r>
          </w:p>
        </w:tc>
      </w:tr>
      <w:tr w:rsidR="002C7775" w:rsidRPr="00FC717E" w14:paraId="0D94210D" w14:textId="77777777" w:rsidTr="002C7775">
        <w:trPr>
          <w:gridAfter w:val="1"/>
          <w:wAfter w:w="6" w:type="pct"/>
          <w:cantSplit/>
          <w:trHeight w:val="250"/>
          <w:tblHeader/>
        </w:trPr>
        <w:tc>
          <w:tcPr>
            <w:tcW w:w="2823" w:type="pct"/>
            <w:vAlign w:val="bottom"/>
          </w:tcPr>
          <w:p w14:paraId="2A786BC7" w14:textId="77777777" w:rsidR="00EA6C29" w:rsidRPr="00FC717E" w:rsidRDefault="00EA6C29" w:rsidP="00EA6C29">
            <w:pPr>
              <w:spacing w:after="0" w:line="280" w:lineRule="exact"/>
              <w:rPr>
                <w:rFonts w:cs="Arial"/>
                <w:bCs/>
                <w:sz w:val="19"/>
                <w:szCs w:val="19"/>
              </w:rPr>
            </w:pPr>
            <w:r w:rsidRPr="00FC717E">
              <w:rPr>
                <w:rFonts w:cs="Arial"/>
                <w:bCs/>
                <w:sz w:val="19"/>
                <w:szCs w:val="19"/>
              </w:rPr>
              <w:t>Ostalo</w:t>
            </w:r>
          </w:p>
        </w:tc>
        <w:tc>
          <w:tcPr>
            <w:tcW w:w="556" w:type="pct"/>
            <w:tcBorders>
              <w:top w:val="nil"/>
              <w:left w:val="nil"/>
              <w:bottom w:val="single" w:sz="4" w:space="0" w:color="auto"/>
              <w:right w:val="nil"/>
            </w:tcBorders>
            <w:shd w:val="clear" w:color="000000" w:fill="auto"/>
            <w:vAlign w:val="bottom"/>
          </w:tcPr>
          <w:p w14:paraId="68CB7F11" w14:textId="47E43C0C" w:rsidR="00EA6C29" w:rsidRPr="003A42A5" w:rsidRDefault="00EA6C29" w:rsidP="00177C3A">
            <w:pPr>
              <w:tabs>
                <w:tab w:val="right" w:pos="1202"/>
              </w:tabs>
              <w:spacing w:after="0" w:line="301" w:lineRule="exact"/>
              <w:jc w:val="right"/>
              <w:outlineLvl w:val="0"/>
              <w:rPr>
                <w:sz w:val="19"/>
                <w:szCs w:val="19"/>
              </w:rPr>
            </w:pPr>
            <w:r w:rsidRPr="00312975">
              <w:rPr>
                <w:sz w:val="19"/>
                <w:szCs w:val="19"/>
              </w:rPr>
              <w:t>1</w:t>
            </w:r>
            <w:r w:rsidR="009517F4">
              <w:rPr>
                <w:sz w:val="19"/>
                <w:szCs w:val="19"/>
              </w:rPr>
              <w:t>.613.</w:t>
            </w:r>
            <w:r w:rsidR="00C74CD5">
              <w:rPr>
                <w:sz w:val="19"/>
                <w:szCs w:val="19"/>
              </w:rPr>
              <w:t>188</w:t>
            </w:r>
          </w:p>
        </w:tc>
        <w:tc>
          <w:tcPr>
            <w:tcW w:w="530" w:type="pct"/>
            <w:gridSpan w:val="2"/>
            <w:tcBorders>
              <w:top w:val="nil"/>
              <w:left w:val="nil"/>
              <w:bottom w:val="single" w:sz="4" w:space="0" w:color="auto"/>
              <w:right w:val="nil"/>
            </w:tcBorders>
            <w:shd w:val="clear" w:color="000000" w:fill="auto"/>
            <w:vAlign w:val="bottom"/>
          </w:tcPr>
          <w:p w14:paraId="61D69DD8" w14:textId="50989692" w:rsidR="00EA6C29" w:rsidRPr="003A42A5" w:rsidRDefault="00C74CD5" w:rsidP="00EA6C29">
            <w:pPr>
              <w:tabs>
                <w:tab w:val="right" w:pos="1202"/>
              </w:tabs>
              <w:spacing w:after="0" w:line="301" w:lineRule="exact"/>
              <w:jc w:val="right"/>
              <w:outlineLvl w:val="0"/>
              <w:rPr>
                <w:sz w:val="19"/>
                <w:szCs w:val="19"/>
              </w:rPr>
            </w:pPr>
            <w:r>
              <w:rPr>
                <w:sz w:val="19"/>
                <w:szCs w:val="19"/>
              </w:rPr>
              <w:t>458.861</w:t>
            </w:r>
          </w:p>
        </w:tc>
        <w:tc>
          <w:tcPr>
            <w:tcW w:w="579" w:type="pct"/>
            <w:gridSpan w:val="2"/>
            <w:tcBorders>
              <w:bottom w:val="single" w:sz="4" w:space="0" w:color="auto"/>
            </w:tcBorders>
            <w:vAlign w:val="bottom"/>
          </w:tcPr>
          <w:p w14:paraId="01724C2D" w14:textId="32761B7B"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1.525.185</w:t>
            </w:r>
          </w:p>
        </w:tc>
        <w:tc>
          <w:tcPr>
            <w:tcW w:w="506" w:type="pct"/>
            <w:gridSpan w:val="2"/>
            <w:tcBorders>
              <w:bottom w:val="single" w:sz="4" w:space="0" w:color="auto"/>
            </w:tcBorders>
            <w:vAlign w:val="bottom"/>
          </w:tcPr>
          <w:p w14:paraId="18E1129F" w14:textId="7809151F" w:rsidR="00EA6C29" w:rsidRPr="003A42A5" w:rsidRDefault="00EA6C29" w:rsidP="00EA6C29">
            <w:pPr>
              <w:tabs>
                <w:tab w:val="right" w:pos="1202"/>
              </w:tabs>
              <w:spacing w:after="0" w:line="301" w:lineRule="exact"/>
              <w:jc w:val="right"/>
              <w:outlineLvl w:val="0"/>
              <w:rPr>
                <w:rFonts w:eastAsia="Times New Roman" w:cs="Times New Roman"/>
                <w:sz w:val="19"/>
                <w:szCs w:val="19"/>
              </w:rPr>
            </w:pPr>
            <w:r w:rsidRPr="003A42A5">
              <w:rPr>
                <w:sz w:val="19"/>
                <w:szCs w:val="19"/>
              </w:rPr>
              <w:t>311.092</w:t>
            </w:r>
          </w:p>
        </w:tc>
      </w:tr>
      <w:tr w:rsidR="002C7775" w:rsidRPr="00FC717E" w14:paraId="7089FAF3" w14:textId="77777777" w:rsidTr="002C7775">
        <w:tblPrEx>
          <w:tblCellMar>
            <w:left w:w="31" w:type="dxa"/>
            <w:right w:w="31" w:type="dxa"/>
          </w:tblCellMar>
        </w:tblPrEx>
        <w:trPr>
          <w:gridAfter w:val="1"/>
          <w:wAfter w:w="6" w:type="pct"/>
          <w:cantSplit/>
          <w:trHeight w:val="250"/>
          <w:tblHeader/>
        </w:trPr>
        <w:tc>
          <w:tcPr>
            <w:tcW w:w="2823" w:type="pct"/>
            <w:vAlign w:val="bottom"/>
          </w:tcPr>
          <w:p w14:paraId="06C4B30D" w14:textId="77777777" w:rsidR="00EA6C29" w:rsidRPr="00FC717E" w:rsidRDefault="00EA6C29" w:rsidP="00EA6C29">
            <w:pPr>
              <w:spacing w:after="0" w:line="280" w:lineRule="exact"/>
              <w:rPr>
                <w:rFonts w:cs="Arial"/>
                <w:b/>
                <w:bCs/>
                <w:sz w:val="19"/>
                <w:szCs w:val="19"/>
              </w:rPr>
            </w:pPr>
            <w:r w:rsidRPr="00FC717E">
              <w:rPr>
                <w:rFonts w:cs="Arial"/>
                <w:b/>
                <w:bCs/>
                <w:sz w:val="19"/>
                <w:szCs w:val="19"/>
              </w:rPr>
              <w:t>Ukupna izloženost kreditnom riziku</w:t>
            </w:r>
          </w:p>
        </w:tc>
        <w:tc>
          <w:tcPr>
            <w:tcW w:w="556" w:type="pct"/>
            <w:tcBorders>
              <w:top w:val="single" w:sz="4" w:space="0" w:color="auto"/>
              <w:left w:val="nil"/>
              <w:bottom w:val="single" w:sz="12" w:space="0" w:color="auto"/>
              <w:right w:val="nil"/>
            </w:tcBorders>
            <w:shd w:val="clear" w:color="000000" w:fill="auto"/>
            <w:vAlign w:val="bottom"/>
          </w:tcPr>
          <w:p w14:paraId="4315A1D9" w14:textId="3BB28480" w:rsidR="00EA6C29" w:rsidRPr="000E5941" w:rsidRDefault="00EA6C29" w:rsidP="00EA6C29">
            <w:pPr>
              <w:tabs>
                <w:tab w:val="right" w:pos="1202"/>
              </w:tabs>
              <w:spacing w:after="0" w:line="220" w:lineRule="exact"/>
              <w:jc w:val="right"/>
              <w:outlineLvl w:val="0"/>
              <w:rPr>
                <w:b/>
                <w:sz w:val="19"/>
                <w:szCs w:val="19"/>
              </w:rPr>
            </w:pPr>
            <w:r w:rsidRPr="00312975">
              <w:rPr>
                <w:b/>
                <w:sz w:val="19"/>
                <w:szCs w:val="19"/>
              </w:rPr>
              <w:t>33.185.602</w:t>
            </w:r>
          </w:p>
        </w:tc>
        <w:tc>
          <w:tcPr>
            <w:tcW w:w="530" w:type="pct"/>
            <w:gridSpan w:val="2"/>
            <w:tcBorders>
              <w:top w:val="single" w:sz="4" w:space="0" w:color="auto"/>
              <w:left w:val="nil"/>
              <w:bottom w:val="single" w:sz="12" w:space="0" w:color="auto"/>
              <w:right w:val="nil"/>
            </w:tcBorders>
            <w:shd w:val="clear" w:color="000000" w:fill="auto"/>
            <w:vAlign w:val="bottom"/>
          </w:tcPr>
          <w:p w14:paraId="2FEED2CB" w14:textId="5B06843F" w:rsidR="00EA6C29" w:rsidRPr="0060564D" w:rsidRDefault="00C74CD5" w:rsidP="00EA6C29">
            <w:pPr>
              <w:tabs>
                <w:tab w:val="right" w:pos="1202"/>
              </w:tabs>
              <w:spacing w:after="0" w:line="220" w:lineRule="exact"/>
              <w:jc w:val="right"/>
              <w:outlineLvl w:val="0"/>
              <w:rPr>
                <w:b/>
                <w:sz w:val="19"/>
                <w:szCs w:val="19"/>
              </w:rPr>
            </w:pPr>
            <w:r>
              <w:rPr>
                <w:b/>
                <w:sz w:val="19"/>
                <w:szCs w:val="19"/>
              </w:rPr>
              <w:t>5.642.782</w:t>
            </w:r>
          </w:p>
        </w:tc>
        <w:tc>
          <w:tcPr>
            <w:tcW w:w="579" w:type="pct"/>
            <w:gridSpan w:val="2"/>
            <w:tcBorders>
              <w:top w:val="single" w:sz="4" w:space="0" w:color="auto"/>
              <w:bottom w:val="single" w:sz="12" w:space="0" w:color="auto"/>
            </w:tcBorders>
            <w:vAlign w:val="bottom"/>
          </w:tcPr>
          <w:p w14:paraId="78198684" w14:textId="7FD671CC" w:rsidR="00EA6C29" w:rsidRPr="003A42A5" w:rsidRDefault="00EA6C29" w:rsidP="00EA6C29">
            <w:pPr>
              <w:tabs>
                <w:tab w:val="right" w:pos="1202"/>
              </w:tabs>
              <w:spacing w:after="0" w:line="220" w:lineRule="exact"/>
              <w:jc w:val="right"/>
              <w:outlineLvl w:val="0"/>
              <w:rPr>
                <w:rFonts w:eastAsia="Times New Roman" w:cs="Times New Roman"/>
                <w:b/>
                <w:noProof/>
                <w:sz w:val="19"/>
                <w:szCs w:val="19"/>
                <w:lang w:eastAsia="hr-HR"/>
              </w:rPr>
            </w:pPr>
            <w:r w:rsidRPr="003A42A5">
              <w:rPr>
                <w:b/>
                <w:sz w:val="19"/>
                <w:szCs w:val="19"/>
              </w:rPr>
              <w:t>33.220.026</w:t>
            </w:r>
          </w:p>
        </w:tc>
        <w:tc>
          <w:tcPr>
            <w:tcW w:w="506" w:type="pct"/>
            <w:gridSpan w:val="2"/>
            <w:tcBorders>
              <w:top w:val="single" w:sz="4" w:space="0" w:color="auto"/>
              <w:bottom w:val="single" w:sz="12" w:space="0" w:color="auto"/>
            </w:tcBorders>
            <w:vAlign w:val="bottom"/>
          </w:tcPr>
          <w:p w14:paraId="064A6ED1" w14:textId="60D89C8A" w:rsidR="00EA6C29" w:rsidRPr="003A42A5" w:rsidRDefault="00EA6C29" w:rsidP="00EA6C29">
            <w:pPr>
              <w:tabs>
                <w:tab w:val="right" w:pos="1202"/>
              </w:tabs>
              <w:spacing w:after="0" w:line="220" w:lineRule="exact"/>
              <w:jc w:val="right"/>
              <w:outlineLvl w:val="0"/>
              <w:rPr>
                <w:rFonts w:eastAsia="Times New Roman" w:cs="Arial"/>
                <w:b/>
                <w:sz w:val="19"/>
                <w:szCs w:val="19"/>
              </w:rPr>
            </w:pPr>
            <w:r w:rsidRPr="003A42A5">
              <w:rPr>
                <w:b/>
                <w:sz w:val="19"/>
                <w:szCs w:val="19"/>
              </w:rPr>
              <w:t>6.062.987</w:t>
            </w:r>
          </w:p>
        </w:tc>
      </w:tr>
      <w:tr w:rsidR="00BC6330" w:rsidRPr="00FC717E" w14:paraId="16E31495" w14:textId="77777777" w:rsidTr="00312975">
        <w:tblPrEx>
          <w:tblCellMar>
            <w:left w:w="31" w:type="dxa"/>
            <w:right w:w="31" w:type="dxa"/>
          </w:tblCellMar>
        </w:tblPrEx>
        <w:trPr>
          <w:cantSplit/>
          <w:trHeight w:val="250"/>
          <w:tblHeader/>
        </w:trPr>
        <w:tc>
          <w:tcPr>
            <w:tcW w:w="2823" w:type="pct"/>
            <w:vAlign w:val="bottom"/>
          </w:tcPr>
          <w:p w14:paraId="786D30DD" w14:textId="77777777" w:rsidR="00FC717E" w:rsidRPr="00FC717E" w:rsidRDefault="00FC717E" w:rsidP="00FC717E">
            <w:pPr>
              <w:spacing w:after="0" w:line="280" w:lineRule="exact"/>
              <w:rPr>
                <w:rFonts w:cs="Arial"/>
                <w:bCs/>
                <w:sz w:val="19"/>
                <w:szCs w:val="19"/>
              </w:rPr>
            </w:pPr>
          </w:p>
        </w:tc>
        <w:tc>
          <w:tcPr>
            <w:tcW w:w="728" w:type="pct"/>
            <w:gridSpan w:val="2"/>
            <w:tcBorders>
              <w:top w:val="single" w:sz="12" w:space="0" w:color="auto"/>
            </w:tcBorders>
          </w:tcPr>
          <w:p w14:paraId="0FF88067" w14:textId="77777777" w:rsidR="00FC717E" w:rsidRPr="00FC717E" w:rsidRDefault="00FC717E" w:rsidP="00FC717E">
            <w:pPr>
              <w:tabs>
                <w:tab w:val="right" w:pos="1202"/>
              </w:tabs>
              <w:spacing w:after="0" w:line="280" w:lineRule="exact"/>
              <w:jc w:val="right"/>
              <w:outlineLvl w:val="0"/>
              <w:rPr>
                <w:rFonts w:cs="Arial"/>
                <w:b/>
                <w:sz w:val="19"/>
                <w:szCs w:val="19"/>
              </w:rPr>
            </w:pPr>
          </w:p>
        </w:tc>
        <w:tc>
          <w:tcPr>
            <w:tcW w:w="471" w:type="pct"/>
            <w:gridSpan w:val="2"/>
            <w:tcBorders>
              <w:top w:val="single" w:sz="12" w:space="0" w:color="auto"/>
            </w:tcBorders>
          </w:tcPr>
          <w:p w14:paraId="4B62BB78" w14:textId="77777777" w:rsidR="00FC717E" w:rsidRPr="00FC717E" w:rsidRDefault="00FC717E" w:rsidP="00FC717E">
            <w:pPr>
              <w:tabs>
                <w:tab w:val="right" w:pos="1202"/>
              </w:tabs>
              <w:spacing w:after="0" w:line="280" w:lineRule="exact"/>
              <w:jc w:val="right"/>
              <w:outlineLvl w:val="0"/>
              <w:rPr>
                <w:rFonts w:cs="Arial"/>
                <w:b/>
                <w:sz w:val="19"/>
                <w:szCs w:val="19"/>
              </w:rPr>
            </w:pPr>
          </w:p>
        </w:tc>
        <w:tc>
          <w:tcPr>
            <w:tcW w:w="527" w:type="pct"/>
            <w:gridSpan w:val="2"/>
            <w:tcBorders>
              <w:top w:val="single" w:sz="12" w:space="0" w:color="auto"/>
            </w:tcBorders>
            <w:vAlign w:val="bottom"/>
          </w:tcPr>
          <w:p w14:paraId="25BED272" w14:textId="77777777" w:rsidR="00FC717E" w:rsidRPr="00FC717E" w:rsidRDefault="00FC717E" w:rsidP="00FC717E">
            <w:pPr>
              <w:tabs>
                <w:tab w:val="right" w:pos="1202"/>
              </w:tabs>
              <w:spacing w:after="0" w:line="280" w:lineRule="exact"/>
              <w:jc w:val="right"/>
              <w:outlineLvl w:val="0"/>
              <w:rPr>
                <w:rFonts w:cs="Arial"/>
                <w:b/>
                <w:sz w:val="19"/>
                <w:szCs w:val="19"/>
              </w:rPr>
            </w:pPr>
          </w:p>
        </w:tc>
        <w:tc>
          <w:tcPr>
            <w:tcW w:w="451" w:type="pct"/>
            <w:gridSpan w:val="2"/>
            <w:tcBorders>
              <w:top w:val="single" w:sz="12" w:space="0" w:color="auto"/>
            </w:tcBorders>
            <w:vAlign w:val="bottom"/>
          </w:tcPr>
          <w:p w14:paraId="249C2FD0" w14:textId="77777777" w:rsidR="00FC717E" w:rsidRPr="00FC717E" w:rsidRDefault="00FC717E" w:rsidP="00FC717E">
            <w:pPr>
              <w:tabs>
                <w:tab w:val="right" w:pos="1202"/>
              </w:tabs>
              <w:spacing w:after="0" w:line="280" w:lineRule="exact"/>
              <w:jc w:val="right"/>
              <w:outlineLvl w:val="0"/>
              <w:rPr>
                <w:rFonts w:cs="Arial"/>
                <w:b/>
                <w:sz w:val="19"/>
                <w:szCs w:val="19"/>
              </w:rPr>
            </w:pPr>
          </w:p>
        </w:tc>
      </w:tr>
    </w:tbl>
    <w:p w14:paraId="20995FB0" w14:textId="77777777" w:rsidR="00F4789E" w:rsidRPr="00142EDC" w:rsidRDefault="00F4789E" w:rsidP="00F4789E">
      <w:pPr>
        <w:pStyle w:val="TH"/>
        <w:spacing w:line="280" w:lineRule="exact"/>
        <w:rPr>
          <w:b w:val="0"/>
          <w:lang w:val="hr-HR"/>
        </w:rPr>
      </w:pPr>
    </w:p>
    <w:p w14:paraId="36F8A852" w14:textId="77777777" w:rsidR="00F4789E" w:rsidRDefault="00F4789E" w:rsidP="00F4789E">
      <w:pPr>
        <w:pStyle w:val="TH"/>
        <w:spacing w:line="280" w:lineRule="exact"/>
        <w:rPr>
          <w:b w:val="0"/>
          <w:lang w:val="hr-HR"/>
        </w:rPr>
        <w:sectPr w:rsidR="00F4789E" w:rsidSect="00BC6330">
          <w:footerReference w:type="first" r:id="rId91"/>
          <w:pgSz w:w="11906" w:h="16838" w:code="9"/>
          <w:pgMar w:top="1418" w:right="1418" w:bottom="595" w:left="1134" w:header="709" w:footer="709" w:gutter="0"/>
          <w:cols w:space="708"/>
          <w:titlePg/>
          <w:docGrid w:linePitch="360"/>
        </w:sectPr>
      </w:pPr>
    </w:p>
    <w:p w14:paraId="7C5E3344" w14:textId="77777777" w:rsidR="00F4789E" w:rsidRPr="00905C27" w:rsidRDefault="00F4789E" w:rsidP="00905C27">
      <w:pPr>
        <w:pStyle w:val="TH"/>
        <w:spacing w:line="240" w:lineRule="auto"/>
        <w:rPr>
          <w:rFonts w:asciiTheme="minorHAnsi" w:hAnsiTheme="minorHAnsi"/>
          <w:b w:val="0"/>
          <w:sz w:val="22"/>
          <w:szCs w:val="22"/>
          <w:lang w:val="hr-HR"/>
        </w:rPr>
      </w:pPr>
    </w:p>
    <w:p w14:paraId="44E1C3F8" w14:textId="77777777" w:rsidR="00905C27" w:rsidRDefault="007B2E93" w:rsidP="00905C27">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B01DFE">
        <w:rPr>
          <w:rFonts w:asciiTheme="minorHAnsi" w:hAnsiTheme="minorHAnsi" w:cs="Arial"/>
          <w:sz w:val="22"/>
          <w:szCs w:val="22"/>
          <w:lang w:val="hr-HR"/>
        </w:rPr>
        <w:t>6</w:t>
      </w:r>
      <w:r w:rsidR="00905C27" w:rsidRPr="00905C27">
        <w:rPr>
          <w:rFonts w:asciiTheme="minorHAnsi" w:hAnsiTheme="minorHAnsi" w:cs="Arial"/>
          <w:sz w:val="22"/>
          <w:szCs w:val="22"/>
          <w:lang w:val="hr-HR"/>
        </w:rPr>
        <w:t>.</w:t>
      </w:r>
      <w:r w:rsidR="00905C27" w:rsidRPr="00905C27">
        <w:rPr>
          <w:rFonts w:asciiTheme="minorHAnsi" w:hAnsiTheme="minorHAnsi" w:cs="Arial"/>
          <w:sz w:val="22"/>
          <w:szCs w:val="22"/>
          <w:lang w:val="hr-HR"/>
        </w:rPr>
        <w:tab/>
        <w:t>Upravljanje rizicima (nastavak)</w:t>
      </w:r>
    </w:p>
    <w:p w14:paraId="2427DC22" w14:textId="77777777" w:rsidR="007B2E93" w:rsidRPr="00905C27" w:rsidRDefault="007B2E93" w:rsidP="00905C27">
      <w:pPr>
        <w:pStyle w:val="T1"/>
        <w:spacing w:before="0" w:after="0" w:line="240" w:lineRule="auto"/>
        <w:rPr>
          <w:rFonts w:asciiTheme="minorHAnsi" w:hAnsiTheme="minorHAnsi" w:cs="Arial"/>
          <w:sz w:val="22"/>
          <w:szCs w:val="22"/>
          <w:lang w:val="hr-HR"/>
        </w:rPr>
      </w:pPr>
    </w:p>
    <w:p w14:paraId="2834D26E" w14:textId="77777777" w:rsidR="00905C27" w:rsidRDefault="007B2E93" w:rsidP="00905C27">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B01DFE">
        <w:rPr>
          <w:rFonts w:asciiTheme="minorHAnsi" w:hAnsiTheme="minorHAnsi" w:cs="Arial"/>
          <w:sz w:val="22"/>
          <w:szCs w:val="22"/>
          <w:lang w:val="hr-HR"/>
        </w:rPr>
        <w:t>6</w:t>
      </w:r>
      <w:r w:rsidR="00905C27" w:rsidRPr="00905C27">
        <w:rPr>
          <w:rFonts w:asciiTheme="minorHAnsi" w:hAnsiTheme="minorHAnsi" w:cs="Arial"/>
          <w:sz w:val="22"/>
          <w:szCs w:val="22"/>
          <w:lang w:val="hr-HR"/>
        </w:rPr>
        <w:t xml:space="preserve">.2. </w:t>
      </w:r>
      <w:r w:rsidR="00905C27" w:rsidRPr="00905C27">
        <w:rPr>
          <w:rFonts w:asciiTheme="minorHAnsi" w:hAnsiTheme="minorHAnsi" w:cs="Arial"/>
          <w:sz w:val="22"/>
          <w:szCs w:val="22"/>
          <w:lang w:val="hr-HR"/>
        </w:rPr>
        <w:tab/>
        <w:t>Kreditni rizik (nastavak)</w:t>
      </w:r>
    </w:p>
    <w:p w14:paraId="0D7983C8" w14:textId="77777777" w:rsidR="007B2E93" w:rsidRPr="00905C27" w:rsidRDefault="007B2E93" w:rsidP="00905C27">
      <w:pPr>
        <w:pStyle w:val="T1"/>
        <w:spacing w:before="0" w:after="0" w:line="240" w:lineRule="auto"/>
        <w:rPr>
          <w:rFonts w:asciiTheme="minorHAnsi" w:hAnsiTheme="minorHAnsi" w:cs="Arial"/>
          <w:sz w:val="22"/>
          <w:szCs w:val="22"/>
          <w:lang w:val="hr-HR"/>
        </w:rPr>
      </w:pPr>
    </w:p>
    <w:p w14:paraId="09C13D84" w14:textId="77777777" w:rsidR="00905C27" w:rsidRDefault="00905C27" w:rsidP="00905C27">
      <w:pPr>
        <w:pStyle w:val="T1"/>
        <w:spacing w:before="0" w:after="0" w:line="240" w:lineRule="auto"/>
        <w:rPr>
          <w:rFonts w:asciiTheme="minorHAnsi" w:hAnsiTheme="minorHAnsi" w:cs="Arial"/>
          <w:sz w:val="22"/>
          <w:szCs w:val="22"/>
          <w:lang w:val="hr-HR"/>
        </w:rPr>
      </w:pPr>
      <w:r w:rsidRPr="00905C27">
        <w:rPr>
          <w:rFonts w:asciiTheme="minorHAnsi" w:hAnsiTheme="minorHAnsi" w:cs="Arial"/>
          <w:sz w:val="22"/>
          <w:szCs w:val="22"/>
          <w:lang w:val="hr-HR"/>
        </w:rPr>
        <w:t xml:space="preserve">Koncentracija rizika i </w:t>
      </w:r>
      <w:r w:rsidR="00640198">
        <w:rPr>
          <w:rFonts w:asciiTheme="minorHAnsi" w:hAnsiTheme="minorHAnsi" w:cs="Arial"/>
          <w:sz w:val="22"/>
          <w:szCs w:val="22"/>
          <w:lang w:val="hr-HR"/>
        </w:rPr>
        <w:t>maksimalna</w:t>
      </w:r>
      <w:r w:rsidRPr="00905C27">
        <w:rPr>
          <w:rFonts w:asciiTheme="minorHAnsi" w:hAnsiTheme="minorHAnsi" w:cs="Arial"/>
          <w:sz w:val="22"/>
          <w:szCs w:val="22"/>
          <w:lang w:val="hr-HR"/>
        </w:rPr>
        <w:t xml:space="preserve"> izloženost kreditnom riziku (nastavak)</w:t>
      </w:r>
    </w:p>
    <w:p w14:paraId="5561AAB9" w14:textId="77777777" w:rsidR="007B2E93" w:rsidRPr="00905C27" w:rsidRDefault="007B2E93" w:rsidP="00905C27">
      <w:pPr>
        <w:pStyle w:val="T1"/>
        <w:spacing w:before="0" w:after="0" w:line="240" w:lineRule="auto"/>
        <w:rPr>
          <w:rFonts w:asciiTheme="minorHAnsi" w:hAnsiTheme="minorHAnsi" w:cs="Arial"/>
          <w:sz w:val="22"/>
          <w:szCs w:val="22"/>
          <w:lang w:val="hr-HR"/>
        </w:rPr>
      </w:pPr>
    </w:p>
    <w:p w14:paraId="1EDF56C6" w14:textId="77777777" w:rsidR="00905C27" w:rsidRPr="00905C27" w:rsidRDefault="00905C27" w:rsidP="00905C27">
      <w:pPr>
        <w:pStyle w:val="TH"/>
        <w:spacing w:line="240" w:lineRule="auto"/>
        <w:rPr>
          <w:rFonts w:asciiTheme="minorHAnsi" w:hAnsiTheme="minorHAnsi"/>
          <w:b w:val="0"/>
          <w:sz w:val="22"/>
          <w:szCs w:val="22"/>
          <w:lang w:val="hr-HR"/>
        </w:rPr>
      </w:pPr>
      <w:r w:rsidRPr="00905C27">
        <w:rPr>
          <w:rFonts w:asciiTheme="minorHAnsi" w:hAnsiTheme="minorHAnsi"/>
          <w:b w:val="0"/>
          <w:sz w:val="22"/>
          <w:szCs w:val="22"/>
          <w:lang w:val="hr-HR"/>
        </w:rPr>
        <w:t xml:space="preserve">Koncentracija imovine i garancija i preuzetih obveza prema industrijskim granama, </w:t>
      </w:r>
      <w:r w:rsidRPr="00905C27">
        <w:rPr>
          <w:rFonts w:asciiTheme="minorHAnsi" w:hAnsiTheme="minorHAnsi" w:cs="Arial"/>
          <w:b w:val="0"/>
          <w:sz w:val="22"/>
          <w:szCs w:val="22"/>
          <w:lang w:val="hr-HR"/>
        </w:rPr>
        <w:t>bez i sa umanjenjem za vrijednost sredstava osiguranja</w:t>
      </w:r>
      <w:r w:rsidRPr="00905C27">
        <w:rPr>
          <w:rFonts w:asciiTheme="minorHAnsi" w:hAnsiTheme="minorHAnsi"/>
          <w:b w:val="0"/>
          <w:sz w:val="22"/>
          <w:szCs w:val="22"/>
          <w:lang w:val="hr-HR"/>
        </w:rPr>
        <w:t>:</w:t>
      </w:r>
    </w:p>
    <w:tbl>
      <w:tblPr>
        <w:tblpPr w:leftFromText="180" w:rightFromText="180" w:vertAnchor="text" w:horzAnchor="margin" w:tblpY="290"/>
        <w:tblOverlap w:val="never"/>
        <w:tblW w:w="5113" w:type="pct"/>
        <w:tblLayout w:type="fixed"/>
        <w:tblCellMar>
          <w:left w:w="30" w:type="dxa"/>
          <w:right w:w="30" w:type="dxa"/>
        </w:tblCellMar>
        <w:tblLook w:val="0000" w:firstRow="0" w:lastRow="0" w:firstColumn="0" w:lastColumn="0" w:noHBand="0" w:noVBand="0"/>
      </w:tblPr>
      <w:tblGrid>
        <w:gridCol w:w="5360"/>
        <w:gridCol w:w="1154"/>
        <w:gridCol w:w="1008"/>
        <w:gridCol w:w="1008"/>
        <w:gridCol w:w="1035"/>
      </w:tblGrid>
      <w:tr w:rsidR="00905C27" w:rsidRPr="00FC717E" w14:paraId="7DE9649E" w14:textId="77777777" w:rsidTr="003579C1">
        <w:trPr>
          <w:cantSplit/>
          <w:trHeight w:val="995"/>
          <w:tblHeader/>
        </w:trPr>
        <w:tc>
          <w:tcPr>
            <w:tcW w:w="2802" w:type="pct"/>
            <w:vAlign w:val="center"/>
          </w:tcPr>
          <w:p w14:paraId="79109C0E" w14:textId="77777777" w:rsidR="00905C27" w:rsidRPr="00FC717E" w:rsidRDefault="00905C27" w:rsidP="00A11340">
            <w:pPr>
              <w:pStyle w:val="TH"/>
              <w:rPr>
                <w:rFonts w:asciiTheme="minorHAnsi" w:hAnsiTheme="minorHAnsi" w:cs="Arial"/>
                <w:szCs w:val="19"/>
                <w:lang w:val="hr-HR"/>
              </w:rPr>
            </w:pPr>
            <w:r w:rsidRPr="00FC717E">
              <w:rPr>
                <w:rFonts w:asciiTheme="minorHAnsi" w:hAnsiTheme="minorHAnsi" w:cs="Arial"/>
                <w:szCs w:val="19"/>
                <w:lang w:val="hr-HR"/>
              </w:rPr>
              <w:t>Banka</w:t>
            </w:r>
          </w:p>
        </w:tc>
        <w:tc>
          <w:tcPr>
            <w:tcW w:w="603" w:type="pct"/>
          </w:tcPr>
          <w:p w14:paraId="0D3FB2C9" w14:textId="77777777" w:rsidR="0018332A" w:rsidRDefault="00905C27" w:rsidP="00682ABB">
            <w:pPr>
              <w:pStyle w:val="TH"/>
              <w:jc w:val="right"/>
              <w:rPr>
                <w:rFonts w:asciiTheme="minorHAnsi" w:hAnsiTheme="minorHAnsi" w:cs="Arial"/>
                <w:szCs w:val="19"/>
                <w:lang w:val="hr-HR"/>
              </w:rPr>
            </w:pPr>
            <w:r w:rsidRPr="00FC717E">
              <w:rPr>
                <w:rFonts w:asciiTheme="minorHAnsi" w:hAnsiTheme="minorHAnsi" w:cs="Arial"/>
                <w:szCs w:val="19"/>
                <w:lang w:val="hr-HR"/>
              </w:rPr>
              <w:t xml:space="preserve">Bruto </w:t>
            </w:r>
          </w:p>
          <w:p w14:paraId="5FBA797F" w14:textId="77777777" w:rsidR="00905C27" w:rsidRPr="00FC717E" w:rsidRDefault="00905C27" w:rsidP="00682ABB">
            <w:pPr>
              <w:pStyle w:val="TH"/>
              <w:jc w:val="right"/>
              <w:rPr>
                <w:rFonts w:asciiTheme="minorHAnsi" w:hAnsiTheme="minorHAnsi" w:cs="Arial"/>
                <w:szCs w:val="19"/>
                <w:lang w:val="hr-HR"/>
              </w:rPr>
            </w:pPr>
            <w:r w:rsidRPr="00FC717E">
              <w:rPr>
                <w:rFonts w:asciiTheme="minorHAnsi" w:hAnsiTheme="minorHAnsi" w:cs="Arial"/>
                <w:szCs w:val="19"/>
                <w:lang w:val="hr-HR"/>
              </w:rPr>
              <w:t>najveća izloženost</w:t>
            </w:r>
          </w:p>
        </w:tc>
        <w:tc>
          <w:tcPr>
            <w:tcW w:w="527" w:type="pct"/>
          </w:tcPr>
          <w:p w14:paraId="0FD3EAFC" w14:textId="77777777" w:rsidR="00905C27" w:rsidRPr="00FC717E" w:rsidRDefault="00905C27" w:rsidP="00682ABB">
            <w:pPr>
              <w:pStyle w:val="TH"/>
              <w:jc w:val="right"/>
              <w:rPr>
                <w:rFonts w:asciiTheme="minorHAnsi" w:hAnsiTheme="minorHAnsi" w:cs="Arial"/>
                <w:szCs w:val="19"/>
                <w:lang w:val="hr-HR"/>
              </w:rPr>
            </w:pPr>
            <w:r w:rsidRPr="00FC717E">
              <w:rPr>
                <w:rFonts w:asciiTheme="minorHAnsi" w:hAnsiTheme="minorHAnsi" w:cs="Arial"/>
                <w:szCs w:val="19"/>
                <w:lang w:val="hr-HR"/>
              </w:rPr>
              <w:t>Neto najveća izloženost</w:t>
            </w:r>
          </w:p>
        </w:tc>
        <w:tc>
          <w:tcPr>
            <w:tcW w:w="527" w:type="pct"/>
          </w:tcPr>
          <w:p w14:paraId="4FEA83F6" w14:textId="77777777" w:rsidR="00905C27" w:rsidRPr="00FC717E" w:rsidRDefault="00905C27" w:rsidP="00682ABB">
            <w:pPr>
              <w:pStyle w:val="TH"/>
              <w:jc w:val="right"/>
              <w:rPr>
                <w:rFonts w:asciiTheme="minorHAnsi" w:hAnsiTheme="minorHAnsi" w:cs="Arial"/>
                <w:szCs w:val="19"/>
                <w:lang w:val="hr-HR"/>
              </w:rPr>
            </w:pPr>
            <w:r w:rsidRPr="00FC717E">
              <w:rPr>
                <w:rFonts w:asciiTheme="minorHAnsi" w:hAnsiTheme="minorHAnsi" w:cs="Arial"/>
                <w:szCs w:val="19"/>
                <w:lang w:val="hr-HR"/>
              </w:rPr>
              <w:t xml:space="preserve">Bruto najveća izloženost  </w:t>
            </w:r>
          </w:p>
        </w:tc>
        <w:tc>
          <w:tcPr>
            <w:tcW w:w="541" w:type="pct"/>
          </w:tcPr>
          <w:p w14:paraId="72D559F8" w14:textId="77777777" w:rsidR="00905C27" w:rsidRPr="00FC717E" w:rsidRDefault="00905C27" w:rsidP="00682ABB">
            <w:pPr>
              <w:pStyle w:val="TH"/>
              <w:jc w:val="right"/>
              <w:rPr>
                <w:rFonts w:asciiTheme="minorHAnsi" w:hAnsiTheme="minorHAnsi" w:cs="Arial"/>
                <w:szCs w:val="19"/>
                <w:lang w:val="hr-HR"/>
              </w:rPr>
            </w:pPr>
            <w:r w:rsidRPr="00FC717E">
              <w:rPr>
                <w:rFonts w:asciiTheme="minorHAnsi" w:hAnsiTheme="minorHAnsi" w:cs="Arial"/>
                <w:szCs w:val="19"/>
                <w:lang w:val="hr-HR"/>
              </w:rPr>
              <w:t xml:space="preserve">Neto najveća izloženost </w:t>
            </w:r>
          </w:p>
        </w:tc>
      </w:tr>
      <w:tr w:rsidR="003A42A5" w:rsidRPr="00FC717E" w14:paraId="0B026A2A" w14:textId="77777777" w:rsidTr="003579C1">
        <w:trPr>
          <w:cantSplit/>
          <w:trHeight w:val="249"/>
          <w:tblHeader/>
        </w:trPr>
        <w:tc>
          <w:tcPr>
            <w:tcW w:w="2802" w:type="pct"/>
          </w:tcPr>
          <w:p w14:paraId="7DC60665" w14:textId="77777777" w:rsidR="003A42A5" w:rsidRPr="00FC717E" w:rsidRDefault="003A42A5" w:rsidP="003A42A5">
            <w:pPr>
              <w:spacing w:after="0" w:line="280" w:lineRule="exact"/>
              <w:ind w:left="113" w:hanging="113"/>
              <w:rPr>
                <w:rFonts w:cs="Arial"/>
                <w:sz w:val="19"/>
                <w:szCs w:val="19"/>
              </w:rPr>
            </w:pPr>
          </w:p>
        </w:tc>
        <w:tc>
          <w:tcPr>
            <w:tcW w:w="603" w:type="pct"/>
            <w:vAlign w:val="bottom"/>
          </w:tcPr>
          <w:p w14:paraId="30F03A6B" w14:textId="0519F3E2" w:rsidR="003A42A5" w:rsidRPr="00FC717E" w:rsidRDefault="00781AD8" w:rsidP="00257CDB">
            <w:pPr>
              <w:tabs>
                <w:tab w:val="right" w:pos="1202"/>
              </w:tabs>
              <w:spacing w:after="0" w:line="280" w:lineRule="exact"/>
              <w:jc w:val="right"/>
              <w:outlineLvl w:val="0"/>
              <w:rPr>
                <w:rFonts w:cs="Arial"/>
                <w:b/>
                <w:sz w:val="19"/>
                <w:szCs w:val="19"/>
              </w:rPr>
            </w:pPr>
            <w:r>
              <w:rPr>
                <w:rFonts w:cs="Arial"/>
                <w:b/>
                <w:sz w:val="19"/>
                <w:szCs w:val="19"/>
              </w:rPr>
              <w:t>30</w:t>
            </w:r>
            <w:r w:rsidR="003A42A5">
              <w:rPr>
                <w:rFonts w:cs="Arial"/>
                <w:b/>
                <w:sz w:val="19"/>
                <w:szCs w:val="19"/>
              </w:rPr>
              <w:t>.</w:t>
            </w:r>
            <w:r>
              <w:rPr>
                <w:rFonts w:cs="Arial"/>
                <w:b/>
                <w:sz w:val="19"/>
                <w:szCs w:val="19"/>
              </w:rPr>
              <w:t>6</w:t>
            </w:r>
            <w:r w:rsidR="003A42A5">
              <w:rPr>
                <w:rFonts w:cs="Arial"/>
                <w:b/>
                <w:sz w:val="19"/>
                <w:szCs w:val="19"/>
              </w:rPr>
              <w:t>.2017.</w:t>
            </w:r>
          </w:p>
        </w:tc>
        <w:tc>
          <w:tcPr>
            <w:tcW w:w="527" w:type="pct"/>
            <w:vAlign w:val="bottom"/>
          </w:tcPr>
          <w:p w14:paraId="0AFDD9BD" w14:textId="5C79EA81" w:rsidR="003A42A5" w:rsidRPr="00FC717E" w:rsidRDefault="00781AD8" w:rsidP="00257CDB">
            <w:pPr>
              <w:tabs>
                <w:tab w:val="right" w:pos="1202"/>
              </w:tabs>
              <w:spacing w:after="0" w:line="280" w:lineRule="exact"/>
              <w:jc w:val="right"/>
              <w:outlineLvl w:val="0"/>
              <w:rPr>
                <w:rFonts w:cs="Arial"/>
                <w:b/>
                <w:sz w:val="19"/>
                <w:szCs w:val="19"/>
              </w:rPr>
            </w:pPr>
            <w:r>
              <w:rPr>
                <w:rFonts w:cs="Arial"/>
                <w:b/>
                <w:sz w:val="19"/>
                <w:szCs w:val="19"/>
              </w:rPr>
              <w:t>30</w:t>
            </w:r>
            <w:r w:rsidR="003A42A5">
              <w:rPr>
                <w:rFonts w:cs="Arial"/>
                <w:b/>
                <w:sz w:val="19"/>
                <w:szCs w:val="19"/>
              </w:rPr>
              <w:t>.</w:t>
            </w:r>
            <w:r>
              <w:rPr>
                <w:rFonts w:cs="Arial"/>
                <w:b/>
                <w:sz w:val="19"/>
                <w:szCs w:val="19"/>
              </w:rPr>
              <w:t>6</w:t>
            </w:r>
            <w:r w:rsidR="003A42A5">
              <w:rPr>
                <w:rFonts w:cs="Arial"/>
                <w:b/>
                <w:sz w:val="19"/>
                <w:szCs w:val="19"/>
              </w:rPr>
              <w:t>.2017.</w:t>
            </w:r>
          </w:p>
        </w:tc>
        <w:tc>
          <w:tcPr>
            <w:tcW w:w="527" w:type="pct"/>
            <w:vAlign w:val="bottom"/>
          </w:tcPr>
          <w:p w14:paraId="4796EA59" w14:textId="7AC5B68D" w:rsidR="003A42A5" w:rsidRPr="00F561C9" w:rsidRDefault="003A42A5" w:rsidP="003A42A5">
            <w:pPr>
              <w:tabs>
                <w:tab w:val="right" w:pos="1202"/>
              </w:tabs>
              <w:spacing w:after="0" w:line="280" w:lineRule="exact"/>
              <w:jc w:val="right"/>
              <w:outlineLvl w:val="0"/>
              <w:rPr>
                <w:rFonts w:cs="Arial"/>
                <w:b/>
                <w:sz w:val="19"/>
                <w:szCs w:val="19"/>
              </w:rPr>
            </w:pPr>
            <w:r>
              <w:rPr>
                <w:rFonts w:cs="Arial"/>
                <w:b/>
                <w:sz w:val="19"/>
                <w:szCs w:val="19"/>
              </w:rPr>
              <w:t>31.12.2016</w:t>
            </w:r>
            <w:r w:rsidRPr="00F561C9">
              <w:rPr>
                <w:rFonts w:cs="Arial"/>
                <w:b/>
                <w:sz w:val="19"/>
                <w:szCs w:val="19"/>
              </w:rPr>
              <w:t>.</w:t>
            </w:r>
          </w:p>
        </w:tc>
        <w:tc>
          <w:tcPr>
            <w:tcW w:w="541" w:type="pct"/>
            <w:vAlign w:val="bottom"/>
          </w:tcPr>
          <w:p w14:paraId="03A92523" w14:textId="2EF75F47" w:rsidR="003A42A5" w:rsidRPr="00F561C9" w:rsidRDefault="003A42A5" w:rsidP="003A42A5">
            <w:pPr>
              <w:tabs>
                <w:tab w:val="right" w:pos="1202"/>
              </w:tabs>
              <w:spacing w:after="0" w:line="280" w:lineRule="exact"/>
              <w:jc w:val="right"/>
              <w:outlineLvl w:val="0"/>
              <w:rPr>
                <w:rFonts w:cs="Arial"/>
                <w:b/>
                <w:sz w:val="19"/>
                <w:szCs w:val="19"/>
              </w:rPr>
            </w:pPr>
            <w:r>
              <w:rPr>
                <w:rFonts w:cs="Arial"/>
                <w:b/>
                <w:sz w:val="19"/>
                <w:szCs w:val="19"/>
              </w:rPr>
              <w:t>31.12.2016</w:t>
            </w:r>
            <w:r w:rsidRPr="00F561C9">
              <w:rPr>
                <w:rFonts w:cs="Arial"/>
                <w:b/>
                <w:sz w:val="19"/>
                <w:szCs w:val="19"/>
              </w:rPr>
              <w:t>.</w:t>
            </w:r>
          </w:p>
        </w:tc>
      </w:tr>
      <w:tr w:rsidR="00781AD8" w:rsidRPr="00FC717E" w14:paraId="013DF6CE" w14:textId="77777777" w:rsidTr="00312975">
        <w:trPr>
          <w:cantSplit/>
          <w:trHeight w:hRule="exact" w:val="288"/>
          <w:tblHeader/>
        </w:trPr>
        <w:tc>
          <w:tcPr>
            <w:tcW w:w="2802" w:type="pct"/>
            <w:vAlign w:val="bottom"/>
          </w:tcPr>
          <w:p w14:paraId="76AF7471" w14:textId="77777777" w:rsidR="00781AD8" w:rsidRPr="00FC717E" w:rsidRDefault="00781AD8" w:rsidP="00781AD8">
            <w:pPr>
              <w:spacing w:after="0" w:line="280" w:lineRule="exact"/>
              <w:rPr>
                <w:rFonts w:cs="Arial"/>
                <w:bCs/>
                <w:sz w:val="19"/>
                <w:szCs w:val="19"/>
              </w:rPr>
            </w:pPr>
          </w:p>
        </w:tc>
        <w:tc>
          <w:tcPr>
            <w:tcW w:w="603" w:type="pct"/>
            <w:shd w:val="clear" w:color="auto" w:fill="auto"/>
            <w:vAlign w:val="bottom"/>
          </w:tcPr>
          <w:p w14:paraId="4413132E" w14:textId="77777777" w:rsidR="00781AD8" w:rsidRPr="00FC717E" w:rsidRDefault="00781AD8" w:rsidP="00781AD8">
            <w:pPr>
              <w:tabs>
                <w:tab w:val="right" w:pos="1202"/>
              </w:tabs>
              <w:spacing w:after="0" w:line="280" w:lineRule="exact"/>
              <w:jc w:val="right"/>
              <w:outlineLvl w:val="0"/>
              <w:rPr>
                <w:sz w:val="19"/>
                <w:szCs w:val="19"/>
              </w:rPr>
            </w:pPr>
          </w:p>
        </w:tc>
        <w:tc>
          <w:tcPr>
            <w:tcW w:w="527" w:type="pct"/>
            <w:shd w:val="clear" w:color="auto" w:fill="auto"/>
            <w:vAlign w:val="bottom"/>
          </w:tcPr>
          <w:p w14:paraId="2AD39691" w14:textId="77777777" w:rsidR="00781AD8" w:rsidRPr="00FC717E" w:rsidRDefault="00781AD8" w:rsidP="00781AD8">
            <w:pPr>
              <w:tabs>
                <w:tab w:val="right" w:pos="1202"/>
              </w:tabs>
              <w:spacing w:after="0" w:line="280" w:lineRule="exact"/>
              <w:jc w:val="right"/>
              <w:outlineLvl w:val="0"/>
              <w:rPr>
                <w:sz w:val="19"/>
                <w:szCs w:val="19"/>
              </w:rPr>
            </w:pPr>
          </w:p>
        </w:tc>
        <w:tc>
          <w:tcPr>
            <w:tcW w:w="527" w:type="pct"/>
            <w:shd w:val="clear" w:color="auto" w:fill="auto"/>
            <w:vAlign w:val="bottom"/>
          </w:tcPr>
          <w:p w14:paraId="1243FDC3" w14:textId="77777777" w:rsidR="00781AD8" w:rsidRPr="00F561C9" w:rsidRDefault="00781AD8" w:rsidP="00781AD8">
            <w:pPr>
              <w:tabs>
                <w:tab w:val="right" w:pos="1202"/>
              </w:tabs>
              <w:spacing w:after="0" w:line="280" w:lineRule="exact"/>
              <w:jc w:val="right"/>
              <w:outlineLvl w:val="0"/>
              <w:rPr>
                <w:sz w:val="19"/>
                <w:szCs w:val="19"/>
              </w:rPr>
            </w:pPr>
          </w:p>
        </w:tc>
        <w:tc>
          <w:tcPr>
            <w:tcW w:w="541" w:type="pct"/>
            <w:vAlign w:val="bottom"/>
          </w:tcPr>
          <w:p w14:paraId="556AE772" w14:textId="77777777" w:rsidR="00781AD8" w:rsidRPr="00F561C9" w:rsidRDefault="00781AD8" w:rsidP="00781AD8">
            <w:pPr>
              <w:tabs>
                <w:tab w:val="right" w:pos="1202"/>
              </w:tabs>
              <w:spacing w:after="0" w:line="280" w:lineRule="exact"/>
              <w:jc w:val="right"/>
              <w:outlineLvl w:val="0"/>
              <w:rPr>
                <w:sz w:val="19"/>
                <w:szCs w:val="19"/>
              </w:rPr>
            </w:pPr>
          </w:p>
        </w:tc>
      </w:tr>
      <w:tr w:rsidR="00E70904" w:rsidRPr="00FC717E" w14:paraId="62751276" w14:textId="77777777" w:rsidTr="00312975">
        <w:trPr>
          <w:cantSplit/>
          <w:trHeight w:val="249"/>
          <w:tblHeader/>
        </w:trPr>
        <w:tc>
          <w:tcPr>
            <w:tcW w:w="2802" w:type="pct"/>
            <w:vAlign w:val="bottom"/>
          </w:tcPr>
          <w:p w14:paraId="4131F003" w14:textId="77777777" w:rsidR="00E70904" w:rsidRPr="00FC717E" w:rsidRDefault="00E70904" w:rsidP="00E70904">
            <w:pPr>
              <w:spacing w:after="0" w:line="280" w:lineRule="exact"/>
              <w:rPr>
                <w:rFonts w:cs="Arial"/>
                <w:bCs/>
                <w:sz w:val="19"/>
                <w:szCs w:val="19"/>
              </w:rPr>
            </w:pPr>
            <w:r w:rsidRPr="00FC717E">
              <w:rPr>
                <w:rFonts w:cs="Arial"/>
                <w:bCs/>
                <w:sz w:val="19"/>
                <w:szCs w:val="19"/>
              </w:rPr>
              <w:t>Financijske djelatnosti i djelatnosti osiguranja</w:t>
            </w:r>
          </w:p>
        </w:tc>
        <w:tc>
          <w:tcPr>
            <w:tcW w:w="603" w:type="pct"/>
            <w:tcBorders>
              <w:top w:val="nil"/>
              <w:left w:val="nil"/>
              <w:bottom w:val="nil"/>
              <w:right w:val="nil"/>
            </w:tcBorders>
            <w:shd w:val="clear" w:color="auto" w:fill="auto"/>
            <w:vAlign w:val="bottom"/>
          </w:tcPr>
          <w:p w14:paraId="33D17F41" w14:textId="4C263A25" w:rsidR="00E70904" w:rsidRPr="00E70904" w:rsidRDefault="00E70904" w:rsidP="00E70904">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16.029.455</w:t>
            </w:r>
          </w:p>
        </w:tc>
        <w:tc>
          <w:tcPr>
            <w:tcW w:w="527" w:type="pct"/>
            <w:tcBorders>
              <w:top w:val="nil"/>
              <w:left w:val="nil"/>
              <w:bottom w:val="nil"/>
              <w:right w:val="nil"/>
            </w:tcBorders>
            <w:shd w:val="clear" w:color="auto" w:fill="auto"/>
            <w:vAlign w:val="bottom"/>
          </w:tcPr>
          <w:p w14:paraId="070BAF97" w14:textId="71916AC4" w:rsidR="00E70904" w:rsidRPr="00E70904" w:rsidRDefault="00E70904" w:rsidP="00E70904">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w:t>
            </w:r>
          </w:p>
        </w:tc>
        <w:tc>
          <w:tcPr>
            <w:tcW w:w="527" w:type="pct"/>
            <w:tcBorders>
              <w:top w:val="nil"/>
              <w:left w:val="nil"/>
              <w:bottom w:val="nil"/>
              <w:right w:val="nil"/>
            </w:tcBorders>
            <w:shd w:val="clear" w:color="auto" w:fill="auto"/>
            <w:vAlign w:val="bottom"/>
          </w:tcPr>
          <w:p w14:paraId="665BF890" w14:textId="2267F958"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15.352.325</w:t>
            </w:r>
          </w:p>
        </w:tc>
        <w:tc>
          <w:tcPr>
            <w:tcW w:w="541" w:type="pct"/>
            <w:tcBorders>
              <w:top w:val="nil"/>
              <w:left w:val="nil"/>
              <w:bottom w:val="nil"/>
              <w:right w:val="nil"/>
            </w:tcBorders>
            <w:shd w:val="clear" w:color="auto" w:fill="auto"/>
            <w:vAlign w:val="bottom"/>
          </w:tcPr>
          <w:p w14:paraId="715B9BCE" w14:textId="09D57452"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w:t>
            </w:r>
          </w:p>
        </w:tc>
      </w:tr>
      <w:tr w:rsidR="00E70904" w:rsidRPr="00FC717E" w14:paraId="3C70B14A" w14:textId="77777777" w:rsidTr="00312975">
        <w:trPr>
          <w:cantSplit/>
          <w:trHeight w:val="249"/>
          <w:tblHeader/>
        </w:trPr>
        <w:tc>
          <w:tcPr>
            <w:tcW w:w="2802" w:type="pct"/>
            <w:vAlign w:val="bottom"/>
          </w:tcPr>
          <w:p w14:paraId="405236F9" w14:textId="77777777" w:rsidR="00E70904" w:rsidRPr="00FC717E" w:rsidRDefault="00E70904" w:rsidP="00E70904">
            <w:pPr>
              <w:spacing w:after="0" w:line="280" w:lineRule="exact"/>
              <w:rPr>
                <w:rFonts w:cs="Arial"/>
                <w:bCs/>
                <w:sz w:val="19"/>
                <w:szCs w:val="19"/>
              </w:rPr>
            </w:pPr>
            <w:r w:rsidRPr="00FC717E">
              <w:rPr>
                <w:rFonts w:cs="Arial"/>
                <w:bCs/>
                <w:sz w:val="19"/>
                <w:szCs w:val="19"/>
              </w:rPr>
              <w:t>Vodoopskrba, opskrba električnom energijom i ostala infrastruktura</w:t>
            </w:r>
          </w:p>
        </w:tc>
        <w:tc>
          <w:tcPr>
            <w:tcW w:w="603" w:type="pct"/>
            <w:tcBorders>
              <w:top w:val="nil"/>
              <w:left w:val="nil"/>
              <w:bottom w:val="nil"/>
              <w:right w:val="nil"/>
            </w:tcBorders>
            <w:shd w:val="clear" w:color="auto" w:fill="auto"/>
            <w:vAlign w:val="bottom"/>
          </w:tcPr>
          <w:p w14:paraId="2D13BCD5" w14:textId="3CC75E17" w:rsidR="00E70904" w:rsidRPr="00E70904" w:rsidRDefault="00E70904" w:rsidP="00177C3A">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1</w:t>
            </w:r>
            <w:r w:rsidR="00F52E8F">
              <w:rPr>
                <w:rFonts w:ascii="Calibri" w:hAnsi="Calibri" w:cs="Arial"/>
                <w:sz w:val="19"/>
                <w:szCs w:val="19"/>
              </w:rPr>
              <w:t>.265.618</w:t>
            </w:r>
            <w:r w:rsidR="00F52E8F" w:rsidRPr="00E70904" w:rsidDel="00F52E8F">
              <w:rPr>
                <w:rFonts w:ascii="Calibri" w:hAnsi="Calibri" w:cs="Arial"/>
                <w:sz w:val="19"/>
                <w:szCs w:val="19"/>
              </w:rPr>
              <w:t xml:space="preserve"> </w:t>
            </w:r>
          </w:p>
        </w:tc>
        <w:tc>
          <w:tcPr>
            <w:tcW w:w="527" w:type="pct"/>
            <w:tcBorders>
              <w:top w:val="nil"/>
              <w:left w:val="nil"/>
              <w:bottom w:val="nil"/>
              <w:right w:val="nil"/>
            </w:tcBorders>
            <w:shd w:val="clear" w:color="auto" w:fill="auto"/>
            <w:vAlign w:val="bottom"/>
          </w:tcPr>
          <w:p w14:paraId="69401111" w14:textId="666D5760" w:rsidR="00E70904" w:rsidRPr="00E70904" w:rsidRDefault="00F52E8F" w:rsidP="00E70904">
            <w:pPr>
              <w:tabs>
                <w:tab w:val="right" w:pos="1202"/>
              </w:tabs>
              <w:spacing w:after="0" w:line="301" w:lineRule="exact"/>
              <w:jc w:val="right"/>
              <w:outlineLvl w:val="0"/>
              <w:rPr>
                <w:rFonts w:ascii="Calibri" w:hAnsi="Calibri" w:cs="Arial"/>
                <w:sz w:val="19"/>
                <w:szCs w:val="19"/>
              </w:rPr>
            </w:pPr>
            <w:r>
              <w:rPr>
                <w:rFonts w:ascii="Calibri" w:hAnsi="Calibri" w:cs="Arial"/>
                <w:sz w:val="19"/>
                <w:szCs w:val="19"/>
              </w:rPr>
              <w:t>964.969</w:t>
            </w:r>
          </w:p>
        </w:tc>
        <w:tc>
          <w:tcPr>
            <w:tcW w:w="527" w:type="pct"/>
            <w:tcBorders>
              <w:top w:val="nil"/>
              <w:left w:val="nil"/>
              <w:bottom w:val="nil"/>
              <w:right w:val="nil"/>
            </w:tcBorders>
            <w:shd w:val="clear" w:color="auto" w:fill="auto"/>
            <w:vAlign w:val="bottom"/>
          </w:tcPr>
          <w:p w14:paraId="59DBA346" w14:textId="5CDC2EFA"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1.322.277</w:t>
            </w:r>
          </w:p>
        </w:tc>
        <w:tc>
          <w:tcPr>
            <w:tcW w:w="541" w:type="pct"/>
            <w:tcBorders>
              <w:top w:val="nil"/>
              <w:left w:val="nil"/>
              <w:bottom w:val="nil"/>
              <w:right w:val="nil"/>
            </w:tcBorders>
            <w:shd w:val="clear" w:color="auto" w:fill="auto"/>
            <w:vAlign w:val="bottom"/>
          </w:tcPr>
          <w:p w14:paraId="5A13960F" w14:textId="060307B6"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959.881</w:t>
            </w:r>
          </w:p>
        </w:tc>
      </w:tr>
      <w:tr w:rsidR="00E70904" w:rsidRPr="00FC717E" w14:paraId="74506411" w14:textId="77777777" w:rsidTr="00312975">
        <w:trPr>
          <w:cantSplit/>
          <w:trHeight w:val="249"/>
          <w:tblHeader/>
        </w:trPr>
        <w:tc>
          <w:tcPr>
            <w:tcW w:w="2802" w:type="pct"/>
            <w:vAlign w:val="bottom"/>
          </w:tcPr>
          <w:p w14:paraId="4A4E36AE" w14:textId="77777777" w:rsidR="00E70904" w:rsidRPr="00FC717E" w:rsidRDefault="00E70904" w:rsidP="00E70904">
            <w:pPr>
              <w:spacing w:after="0" w:line="280" w:lineRule="exact"/>
              <w:rPr>
                <w:rFonts w:cs="Arial"/>
                <w:bCs/>
                <w:sz w:val="19"/>
                <w:szCs w:val="19"/>
              </w:rPr>
            </w:pPr>
            <w:r w:rsidRPr="00FC717E">
              <w:rPr>
                <w:rFonts w:cs="Arial"/>
                <w:bCs/>
                <w:sz w:val="19"/>
                <w:szCs w:val="19"/>
              </w:rPr>
              <w:t>Turizam</w:t>
            </w:r>
          </w:p>
        </w:tc>
        <w:tc>
          <w:tcPr>
            <w:tcW w:w="603" w:type="pct"/>
            <w:tcBorders>
              <w:top w:val="nil"/>
              <w:left w:val="nil"/>
              <w:bottom w:val="nil"/>
              <w:right w:val="nil"/>
            </w:tcBorders>
            <w:shd w:val="clear" w:color="auto" w:fill="auto"/>
            <w:vAlign w:val="bottom"/>
          </w:tcPr>
          <w:p w14:paraId="35948009" w14:textId="0BBDFC0F" w:rsidR="00E70904" w:rsidRPr="00E70904" w:rsidRDefault="00E70904" w:rsidP="00E70904">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3.601.662</w:t>
            </w:r>
          </w:p>
        </w:tc>
        <w:tc>
          <w:tcPr>
            <w:tcW w:w="527" w:type="pct"/>
            <w:tcBorders>
              <w:top w:val="nil"/>
              <w:left w:val="nil"/>
              <w:bottom w:val="nil"/>
              <w:right w:val="nil"/>
            </w:tcBorders>
            <w:shd w:val="clear" w:color="auto" w:fill="auto"/>
            <w:vAlign w:val="bottom"/>
          </w:tcPr>
          <w:p w14:paraId="1D00B668" w14:textId="127B7A6F" w:rsidR="00E70904" w:rsidRPr="00E70904" w:rsidRDefault="00E70904" w:rsidP="00E70904">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326.747</w:t>
            </w:r>
          </w:p>
        </w:tc>
        <w:tc>
          <w:tcPr>
            <w:tcW w:w="527" w:type="pct"/>
            <w:tcBorders>
              <w:top w:val="nil"/>
              <w:left w:val="nil"/>
              <w:bottom w:val="nil"/>
              <w:right w:val="nil"/>
            </w:tcBorders>
            <w:shd w:val="clear" w:color="auto" w:fill="auto"/>
            <w:vAlign w:val="center"/>
          </w:tcPr>
          <w:p w14:paraId="3F628527" w14:textId="3D4B9142"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3.630.150</w:t>
            </w:r>
          </w:p>
        </w:tc>
        <w:tc>
          <w:tcPr>
            <w:tcW w:w="541" w:type="pct"/>
            <w:tcBorders>
              <w:top w:val="nil"/>
              <w:left w:val="nil"/>
              <w:bottom w:val="nil"/>
              <w:right w:val="nil"/>
            </w:tcBorders>
            <w:shd w:val="clear" w:color="auto" w:fill="auto"/>
            <w:vAlign w:val="center"/>
          </w:tcPr>
          <w:p w14:paraId="419B0D0C" w14:textId="1710570A"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363.739</w:t>
            </w:r>
          </w:p>
        </w:tc>
      </w:tr>
      <w:tr w:rsidR="00E70904" w:rsidRPr="00FC717E" w14:paraId="356A65A3" w14:textId="77777777" w:rsidTr="00312975">
        <w:trPr>
          <w:cantSplit/>
          <w:trHeight w:val="249"/>
          <w:tblHeader/>
        </w:trPr>
        <w:tc>
          <w:tcPr>
            <w:tcW w:w="2802" w:type="pct"/>
            <w:vAlign w:val="bottom"/>
          </w:tcPr>
          <w:p w14:paraId="4B1BD0CB" w14:textId="77777777" w:rsidR="00E70904" w:rsidRPr="00FC717E" w:rsidRDefault="00E70904" w:rsidP="00E70904">
            <w:pPr>
              <w:spacing w:after="0" w:line="280" w:lineRule="exact"/>
              <w:rPr>
                <w:rFonts w:cs="Arial"/>
                <w:bCs/>
                <w:sz w:val="19"/>
                <w:szCs w:val="19"/>
              </w:rPr>
            </w:pPr>
            <w:r w:rsidRPr="00FC717E">
              <w:rPr>
                <w:rFonts w:cs="Arial"/>
                <w:bCs/>
                <w:sz w:val="19"/>
                <w:szCs w:val="19"/>
              </w:rPr>
              <w:t>Prijevoz, skladištenje i veze</w:t>
            </w:r>
          </w:p>
        </w:tc>
        <w:tc>
          <w:tcPr>
            <w:tcW w:w="603" w:type="pct"/>
            <w:tcBorders>
              <w:top w:val="nil"/>
              <w:left w:val="nil"/>
              <w:bottom w:val="nil"/>
              <w:right w:val="nil"/>
            </w:tcBorders>
            <w:shd w:val="clear" w:color="auto" w:fill="auto"/>
            <w:vAlign w:val="bottom"/>
          </w:tcPr>
          <w:p w14:paraId="0525D5E4" w14:textId="2614A388" w:rsidR="00E70904" w:rsidRPr="00E70904" w:rsidRDefault="00E70904" w:rsidP="00E70904">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1.604.709</w:t>
            </w:r>
          </w:p>
        </w:tc>
        <w:tc>
          <w:tcPr>
            <w:tcW w:w="527" w:type="pct"/>
            <w:tcBorders>
              <w:top w:val="nil"/>
              <w:left w:val="nil"/>
              <w:bottom w:val="nil"/>
              <w:right w:val="nil"/>
            </w:tcBorders>
            <w:shd w:val="clear" w:color="auto" w:fill="auto"/>
            <w:vAlign w:val="bottom"/>
          </w:tcPr>
          <w:p w14:paraId="178B2CA6" w14:textId="00D25C85" w:rsidR="00E70904" w:rsidRPr="00E70904" w:rsidRDefault="00E70904" w:rsidP="00E70904">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794.310</w:t>
            </w:r>
          </w:p>
        </w:tc>
        <w:tc>
          <w:tcPr>
            <w:tcW w:w="527" w:type="pct"/>
            <w:tcBorders>
              <w:top w:val="nil"/>
              <w:left w:val="nil"/>
              <w:bottom w:val="nil"/>
              <w:right w:val="nil"/>
            </w:tcBorders>
            <w:shd w:val="clear" w:color="auto" w:fill="auto"/>
            <w:vAlign w:val="center"/>
          </w:tcPr>
          <w:p w14:paraId="513CA536" w14:textId="68E7C7BD"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1.714.322</w:t>
            </w:r>
          </w:p>
        </w:tc>
        <w:tc>
          <w:tcPr>
            <w:tcW w:w="541" w:type="pct"/>
            <w:tcBorders>
              <w:top w:val="nil"/>
              <w:left w:val="nil"/>
              <w:bottom w:val="nil"/>
              <w:right w:val="nil"/>
            </w:tcBorders>
            <w:shd w:val="clear" w:color="auto" w:fill="auto"/>
            <w:vAlign w:val="center"/>
          </w:tcPr>
          <w:p w14:paraId="1E9AD858" w14:textId="1EE684D7"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835.673</w:t>
            </w:r>
          </w:p>
        </w:tc>
      </w:tr>
      <w:tr w:rsidR="00E70904" w:rsidRPr="00FC717E" w14:paraId="0AC58B42" w14:textId="77777777" w:rsidTr="00312975">
        <w:trPr>
          <w:cantSplit/>
          <w:trHeight w:val="249"/>
          <w:tblHeader/>
        </w:trPr>
        <w:tc>
          <w:tcPr>
            <w:tcW w:w="2802" w:type="pct"/>
            <w:vAlign w:val="bottom"/>
          </w:tcPr>
          <w:p w14:paraId="4DC9E47F" w14:textId="77777777" w:rsidR="00E70904" w:rsidRPr="00FC717E" w:rsidDel="00FF5490" w:rsidRDefault="00E70904" w:rsidP="00E70904">
            <w:pPr>
              <w:spacing w:after="0" w:line="280" w:lineRule="exact"/>
              <w:rPr>
                <w:rFonts w:cs="Arial"/>
                <w:bCs/>
                <w:sz w:val="19"/>
                <w:szCs w:val="19"/>
              </w:rPr>
            </w:pPr>
            <w:r w:rsidRPr="00FC717E">
              <w:rPr>
                <w:rFonts w:cs="Arial"/>
                <w:bCs/>
                <w:sz w:val="19"/>
                <w:szCs w:val="19"/>
              </w:rPr>
              <w:t>Brodogradnja</w:t>
            </w:r>
          </w:p>
        </w:tc>
        <w:tc>
          <w:tcPr>
            <w:tcW w:w="603" w:type="pct"/>
            <w:tcBorders>
              <w:top w:val="nil"/>
              <w:left w:val="nil"/>
              <w:bottom w:val="nil"/>
              <w:right w:val="nil"/>
            </w:tcBorders>
            <w:shd w:val="clear" w:color="auto" w:fill="auto"/>
            <w:vAlign w:val="bottom"/>
          </w:tcPr>
          <w:p w14:paraId="554FC483" w14:textId="21341211" w:rsidR="00E70904" w:rsidRPr="00E70904" w:rsidRDefault="00E70904" w:rsidP="00E70904">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2.189.766</w:t>
            </w:r>
          </w:p>
        </w:tc>
        <w:tc>
          <w:tcPr>
            <w:tcW w:w="527" w:type="pct"/>
            <w:tcBorders>
              <w:top w:val="nil"/>
              <w:left w:val="nil"/>
              <w:bottom w:val="nil"/>
              <w:right w:val="nil"/>
            </w:tcBorders>
            <w:shd w:val="clear" w:color="auto" w:fill="auto"/>
            <w:vAlign w:val="bottom"/>
          </w:tcPr>
          <w:p w14:paraId="7032B066" w14:textId="65A5CF0C" w:rsidR="00E70904" w:rsidRPr="00E70904" w:rsidRDefault="00E70904" w:rsidP="00E70904">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322.917</w:t>
            </w:r>
          </w:p>
        </w:tc>
        <w:tc>
          <w:tcPr>
            <w:tcW w:w="527" w:type="pct"/>
            <w:tcBorders>
              <w:top w:val="nil"/>
              <w:left w:val="nil"/>
              <w:bottom w:val="nil"/>
              <w:right w:val="nil"/>
            </w:tcBorders>
            <w:shd w:val="clear" w:color="auto" w:fill="auto"/>
            <w:vAlign w:val="center"/>
          </w:tcPr>
          <w:p w14:paraId="63A63EF3" w14:textId="0C82E428"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2.257.050</w:t>
            </w:r>
          </w:p>
        </w:tc>
        <w:tc>
          <w:tcPr>
            <w:tcW w:w="541" w:type="pct"/>
            <w:tcBorders>
              <w:top w:val="nil"/>
              <w:left w:val="nil"/>
              <w:bottom w:val="nil"/>
              <w:right w:val="nil"/>
            </w:tcBorders>
            <w:shd w:val="clear" w:color="auto" w:fill="auto"/>
            <w:vAlign w:val="center"/>
          </w:tcPr>
          <w:p w14:paraId="7BC9E0E4" w14:textId="147780EA"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572.383</w:t>
            </w:r>
          </w:p>
        </w:tc>
      </w:tr>
      <w:tr w:rsidR="00E70904" w:rsidRPr="00FC717E" w14:paraId="5746E24D" w14:textId="77777777" w:rsidTr="00312975">
        <w:trPr>
          <w:cantSplit/>
          <w:trHeight w:val="249"/>
          <w:tblHeader/>
        </w:trPr>
        <w:tc>
          <w:tcPr>
            <w:tcW w:w="2802" w:type="pct"/>
            <w:vAlign w:val="bottom"/>
          </w:tcPr>
          <w:p w14:paraId="577C2357" w14:textId="77777777" w:rsidR="00E70904" w:rsidRPr="00FC717E" w:rsidDel="00FF5490" w:rsidRDefault="00E70904" w:rsidP="00E70904">
            <w:pPr>
              <w:spacing w:after="0" w:line="280" w:lineRule="exact"/>
              <w:rPr>
                <w:rFonts w:cs="Arial"/>
                <w:bCs/>
                <w:sz w:val="19"/>
                <w:szCs w:val="19"/>
              </w:rPr>
            </w:pPr>
            <w:r w:rsidRPr="00FC717E">
              <w:rPr>
                <w:rFonts w:cs="Arial"/>
                <w:bCs/>
                <w:sz w:val="19"/>
                <w:szCs w:val="19"/>
              </w:rPr>
              <w:t>Poljoprivreda i ribarstvo</w:t>
            </w:r>
          </w:p>
        </w:tc>
        <w:tc>
          <w:tcPr>
            <w:tcW w:w="603" w:type="pct"/>
            <w:tcBorders>
              <w:top w:val="nil"/>
              <w:left w:val="nil"/>
              <w:bottom w:val="nil"/>
              <w:right w:val="nil"/>
            </w:tcBorders>
            <w:shd w:val="clear" w:color="auto" w:fill="auto"/>
            <w:vAlign w:val="bottom"/>
          </w:tcPr>
          <w:p w14:paraId="50649B91" w14:textId="2504DF88" w:rsidR="00E70904" w:rsidRPr="00E70904" w:rsidRDefault="00E70904" w:rsidP="00E70904">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486.696</w:t>
            </w:r>
          </w:p>
        </w:tc>
        <w:tc>
          <w:tcPr>
            <w:tcW w:w="527" w:type="pct"/>
            <w:tcBorders>
              <w:top w:val="nil"/>
              <w:left w:val="nil"/>
              <w:bottom w:val="nil"/>
              <w:right w:val="nil"/>
            </w:tcBorders>
            <w:shd w:val="clear" w:color="auto" w:fill="auto"/>
            <w:vAlign w:val="bottom"/>
          </w:tcPr>
          <w:p w14:paraId="3EB0F725" w14:textId="4700303C" w:rsidR="00E70904" w:rsidRPr="00E70904" w:rsidRDefault="00E70904" w:rsidP="00E70904">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70.367</w:t>
            </w:r>
          </w:p>
        </w:tc>
        <w:tc>
          <w:tcPr>
            <w:tcW w:w="527" w:type="pct"/>
            <w:tcBorders>
              <w:top w:val="nil"/>
              <w:left w:val="nil"/>
              <w:bottom w:val="nil"/>
              <w:right w:val="nil"/>
            </w:tcBorders>
            <w:shd w:val="clear" w:color="auto" w:fill="auto"/>
            <w:vAlign w:val="center"/>
          </w:tcPr>
          <w:p w14:paraId="26062EBE" w14:textId="47995531"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515.702</w:t>
            </w:r>
          </w:p>
        </w:tc>
        <w:tc>
          <w:tcPr>
            <w:tcW w:w="541" w:type="pct"/>
            <w:tcBorders>
              <w:top w:val="nil"/>
              <w:left w:val="nil"/>
              <w:bottom w:val="nil"/>
              <w:right w:val="nil"/>
            </w:tcBorders>
            <w:shd w:val="clear" w:color="auto" w:fill="auto"/>
            <w:vAlign w:val="center"/>
          </w:tcPr>
          <w:p w14:paraId="563C02DE" w14:textId="60661DE1"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68.974</w:t>
            </w:r>
          </w:p>
        </w:tc>
      </w:tr>
      <w:tr w:rsidR="00E70904" w:rsidRPr="00FC717E" w14:paraId="523310B0" w14:textId="77777777" w:rsidTr="00312975">
        <w:trPr>
          <w:cantSplit/>
          <w:trHeight w:val="249"/>
          <w:tblHeader/>
        </w:trPr>
        <w:tc>
          <w:tcPr>
            <w:tcW w:w="2802" w:type="pct"/>
            <w:vAlign w:val="bottom"/>
          </w:tcPr>
          <w:p w14:paraId="55649424" w14:textId="77777777" w:rsidR="00E70904" w:rsidRPr="00FC717E" w:rsidDel="00FF5490" w:rsidRDefault="00E70904" w:rsidP="00E70904">
            <w:pPr>
              <w:spacing w:after="0" w:line="280" w:lineRule="exact"/>
              <w:rPr>
                <w:rFonts w:cs="Arial"/>
                <w:bCs/>
                <w:sz w:val="19"/>
                <w:szCs w:val="19"/>
              </w:rPr>
            </w:pPr>
            <w:r w:rsidRPr="00FC717E">
              <w:rPr>
                <w:rFonts w:cs="Arial"/>
                <w:bCs/>
                <w:sz w:val="19"/>
                <w:szCs w:val="19"/>
              </w:rPr>
              <w:t>Proizvodnja prehrambenih proizvoda</w:t>
            </w:r>
          </w:p>
        </w:tc>
        <w:tc>
          <w:tcPr>
            <w:tcW w:w="603" w:type="pct"/>
            <w:tcBorders>
              <w:top w:val="nil"/>
              <w:left w:val="nil"/>
              <w:bottom w:val="nil"/>
              <w:right w:val="nil"/>
            </w:tcBorders>
            <w:shd w:val="clear" w:color="auto" w:fill="auto"/>
            <w:vAlign w:val="bottom"/>
          </w:tcPr>
          <w:p w14:paraId="0E93FFB3" w14:textId="6D4740BD" w:rsidR="00E70904" w:rsidRPr="00E70904" w:rsidRDefault="00E70904" w:rsidP="00E70904">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963.403</w:t>
            </w:r>
          </w:p>
        </w:tc>
        <w:tc>
          <w:tcPr>
            <w:tcW w:w="527" w:type="pct"/>
            <w:tcBorders>
              <w:top w:val="nil"/>
              <w:left w:val="nil"/>
              <w:bottom w:val="nil"/>
              <w:right w:val="nil"/>
            </w:tcBorders>
            <w:shd w:val="clear" w:color="auto" w:fill="auto"/>
            <w:vAlign w:val="bottom"/>
          </w:tcPr>
          <w:p w14:paraId="5EC5289A" w14:textId="618B95C8" w:rsidR="00E70904" w:rsidRPr="00E70904" w:rsidRDefault="00E70904" w:rsidP="00E70904">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179.926</w:t>
            </w:r>
          </w:p>
        </w:tc>
        <w:tc>
          <w:tcPr>
            <w:tcW w:w="527" w:type="pct"/>
            <w:tcBorders>
              <w:top w:val="nil"/>
              <w:left w:val="nil"/>
              <w:bottom w:val="nil"/>
              <w:right w:val="nil"/>
            </w:tcBorders>
            <w:shd w:val="clear" w:color="auto" w:fill="auto"/>
            <w:vAlign w:val="center"/>
          </w:tcPr>
          <w:p w14:paraId="4CB38D16" w14:textId="48951BDA"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1.159.491</w:t>
            </w:r>
          </w:p>
        </w:tc>
        <w:tc>
          <w:tcPr>
            <w:tcW w:w="541" w:type="pct"/>
            <w:tcBorders>
              <w:top w:val="nil"/>
              <w:left w:val="nil"/>
              <w:bottom w:val="nil"/>
              <w:right w:val="nil"/>
            </w:tcBorders>
            <w:shd w:val="clear" w:color="auto" w:fill="auto"/>
            <w:vAlign w:val="center"/>
          </w:tcPr>
          <w:p w14:paraId="1F386979" w14:textId="1B5A4F3E"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205.577</w:t>
            </w:r>
          </w:p>
        </w:tc>
      </w:tr>
      <w:tr w:rsidR="00E70904" w:rsidRPr="00FC717E" w14:paraId="674C04D9" w14:textId="77777777" w:rsidTr="00312975">
        <w:trPr>
          <w:cantSplit/>
          <w:trHeight w:val="249"/>
          <w:tblHeader/>
        </w:trPr>
        <w:tc>
          <w:tcPr>
            <w:tcW w:w="2802" w:type="pct"/>
            <w:vAlign w:val="bottom"/>
          </w:tcPr>
          <w:p w14:paraId="0C13FF97" w14:textId="77777777" w:rsidR="00E70904" w:rsidRPr="00FC717E" w:rsidDel="00FF5490" w:rsidRDefault="00E70904" w:rsidP="00E70904">
            <w:pPr>
              <w:spacing w:after="0" w:line="280" w:lineRule="exact"/>
              <w:rPr>
                <w:rFonts w:cs="Arial"/>
                <w:bCs/>
                <w:sz w:val="19"/>
                <w:szCs w:val="19"/>
              </w:rPr>
            </w:pPr>
            <w:r w:rsidRPr="00FC717E">
              <w:rPr>
                <w:rFonts w:cs="Arial"/>
                <w:sz w:val="19"/>
                <w:szCs w:val="19"/>
              </w:rPr>
              <w:t>Građevinarstvo</w:t>
            </w:r>
          </w:p>
        </w:tc>
        <w:tc>
          <w:tcPr>
            <w:tcW w:w="603" w:type="pct"/>
            <w:tcBorders>
              <w:top w:val="nil"/>
              <w:left w:val="nil"/>
              <w:bottom w:val="nil"/>
              <w:right w:val="nil"/>
            </w:tcBorders>
            <w:shd w:val="clear" w:color="auto" w:fill="auto"/>
            <w:vAlign w:val="bottom"/>
          </w:tcPr>
          <w:p w14:paraId="7640FA8D" w14:textId="42FE1510" w:rsidR="00E70904" w:rsidRPr="00E70904" w:rsidRDefault="00E70904" w:rsidP="00E70904">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1.135.792</w:t>
            </w:r>
          </w:p>
        </w:tc>
        <w:tc>
          <w:tcPr>
            <w:tcW w:w="527" w:type="pct"/>
            <w:tcBorders>
              <w:top w:val="nil"/>
              <w:left w:val="nil"/>
              <w:bottom w:val="nil"/>
              <w:right w:val="nil"/>
            </w:tcBorders>
            <w:shd w:val="clear" w:color="auto" w:fill="auto"/>
            <w:vAlign w:val="bottom"/>
          </w:tcPr>
          <w:p w14:paraId="35D8E3FE" w14:textId="287AE6DF" w:rsidR="00E70904" w:rsidRPr="00E70904" w:rsidRDefault="00E70904" w:rsidP="00E70904">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25.529</w:t>
            </w:r>
          </w:p>
        </w:tc>
        <w:tc>
          <w:tcPr>
            <w:tcW w:w="527" w:type="pct"/>
            <w:tcBorders>
              <w:top w:val="nil"/>
              <w:left w:val="nil"/>
              <w:bottom w:val="nil"/>
              <w:right w:val="nil"/>
            </w:tcBorders>
            <w:shd w:val="clear" w:color="auto" w:fill="auto"/>
            <w:vAlign w:val="center"/>
          </w:tcPr>
          <w:p w14:paraId="5CAF48FC" w14:textId="729EB737"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1.225.813</w:t>
            </w:r>
          </w:p>
        </w:tc>
        <w:tc>
          <w:tcPr>
            <w:tcW w:w="541" w:type="pct"/>
            <w:tcBorders>
              <w:top w:val="nil"/>
              <w:left w:val="nil"/>
              <w:bottom w:val="nil"/>
              <w:right w:val="nil"/>
            </w:tcBorders>
            <w:shd w:val="clear" w:color="auto" w:fill="auto"/>
            <w:vAlign w:val="center"/>
          </w:tcPr>
          <w:p w14:paraId="4B8FD0D9" w14:textId="4DE7B3F0"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53.826</w:t>
            </w:r>
          </w:p>
        </w:tc>
      </w:tr>
      <w:tr w:rsidR="00E70904" w:rsidRPr="00FC717E" w14:paraId="538344E9" w14:textId="77777777" w:rsidTr="00312975">
        <w:trPr>
          <w:cantSplit/>
          <w:trHeight w:val="249"/>
          <w:tblHeader/>
        </w:trPr>
        <w:tc>
          <w:tcPr>
            <w:tcW w:w="2802" w:type="pct"/>
            <w:vAlign w:val="bottom"/>
          </w:tcPr>
          <w:p w14:paraId="6A62E7E0" w14:textId="77777777" w:rsidR="00E70904" w:rsidRPr="00FC717E" w:rsidDel="00FF5490" w:rsidRDefault="00E70904" w:rsidP="00E70904">
            <w:pPr>
              <w:spacing w:after="0" w:line="280" w:lineRule="exact"/>
              <w:rPr>
                <w:rFonts w:cs="Arial"/>
                <w:bCs/>
                <w:sz w:val="19"/>
                <w:szCs w:val="19"/>
              </w:rPr>
            </w:pPr>
            <w:r w:rsidRPr="00FC717E">
              <w:rPr>
                <w:rFonts w:cs="Arial"/>
                <w:sz w:val="19"/>
                <w:szCs w:val="19"/>
              </w:rPr>
              <w:t>Ostala industrija</w:t>
            </w:r>
          </w:p>
        </w:tc>
        <w:tc>
          <w:tcPr>
            <w:tcW w:w="603" w:type="pct"/>
            <w:tcBorders>
              <w:top w:val="nil"/>
              <w:left w:val="nil"/>
              <w:bottom w:val="nil"/>
              <w:right w:val="nil"/>
            </w:tcBorders>
            <w:shd w:val="clear" w:color="auto" w:fill="auto"/>
            <w:vAlign w:val="bottom"/>
          </w:tcPr>
          <w:p w14:paraId="6F665D8E" w14:textId="0DF7CD9C" w:rsidR="00E70904" w:rsidRPr="00E70904" w:rsidRDefault="00E70904" w:rsidP="00E70904">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480.265</w:t>
            </w:r>
          </w:p>
        </w:tc>
        <w:tc>
          <w:tcPr>
            <w:tcW w:w="527" w:type="pct"/>
            <w:tcBorders>
              <w:top w:val="nil"/>
              <w:left w:val="nil"/>
              <w:bottom w:val="nil"/>
              <w:right w:val="nil"/>
            </w:tcBorders>
            <w:shd w:val="clear" w:color="auto" w:fill="auto"/>
            <w:vAlign w:val="bottom"/>
          </w:tcPr>
          <w:p w14:paraId="452000FA" w14:textId="76978FEB" w:rsidR="00E70904" w:rsidRPr="00E70904" w:rsidRDefault="00E70904" w:rsidP="00E70904">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126.591</w:t>
            </w:r>
          </w:p>
        </w:tc>
        <w:tc>
          <w:tcPr>
            <w:tcW w:w="527" w:type="pct"/>
            <w:tcBorders>
              <w:top w:val="nil"/>
              <w:left w:val="nil"/>
              <w:bottom w:val="nil"/>
              <w:right w:val="nil"/>
            </w:tcBorders>
            <w:shd w:val="clear" w:color="auto" w:fill="auto"/>
            <w:vAlign w:val="center"/>
          </w:tcPr>
          <w:p w14:paraId="77D26257" w14:textId="4CEEDAE0"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527.143</w:t>
            </w:r>
          </w:p>
        </w:tc>
        <w:tc>
          <w:tcPr>
            <w:tcW w:w="541" w:type="pct"/>
            <w:tcBorders>
              <w:top w:val="nil"/>
              <w:left w:val="nil"/>
              <w:bottom w:val="nil"/>
              <w:right w:val="nil"/>
            </w:tcBorders>
            <w:shd w:val="clear" w:color="auto" w:fill="auto"/>
            <w:vAlign w:val="center"/>
          </w:tcPr>
          <w:p w14:paraId="5D13968B" w14:textId="024F914E"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138.641</w:t>
            </w:r>
          </w:p>
        </w:tc>
      </w:tr>
      <w:tr w:rsidR="00E70904" w:rsidRPr="00FC717E" w14:paraId="2E38BF83" w14:textId="77777777" w:rsidTr="00312975">
        <w:trPr>
          <w:cantSplit/>
          <w:trHeight w:val="249"/>
          <w:tblHeader/>
        </w:trPr>
        <w:tc>
          <w:tcPr>
            <w:tcW w:w="2802" w:type="pct"/>
            <w:vAlign w:val="bottom"/>
          </w:tcPr>
          <w:p w14:paraId="6DF7867E" w14:textId="77777777" w:rsidR="00E70904" w:rsidRPr="00FC717E" w:rsidDel="00FF5490" w:rsidRDefault="00E70904" w:rsidP="00E70904">
            <w:pPr>
              <w:spacing w:after="0" w:line="280" w:lineRule="exact"/>
              <w:rPr>
                <w:rFonts w:cs="Arial"/>
                <w:bCs/>
                <w:sz w:val="19"/>
                <w:szCs w:val="19"/>
              </w:rPr>
            </w:pPr>
            <w:r w:rsidRPr="00FC717E">
              <w:rPr>
                <w:rFonts w:cs="Arial"/>
                <w:bCs/>
                <w:sz w:val="19"/>
                <w:szCs w:val="19"/>
              </w:rPr>
              <w:t>Javna uprava</w:t>
            </w:r>
          </w:p>
        </w:tc>
        <w:tc>
          <w:tcPr>
            <w:tcW w:w="603" w:type="pct"/>
            <w:tcBorders>
              <w:top w:val="nil"/>
              <w:left w:val="nil"/>
              <w:bottom w:val="nil"/>
              <w:right w:val="nil"/>
            </w:tcBorders>
            <w:shd w:val="clear" w:color="auto" w:fill="auto"/>
            <w:vAlign w:val="bottom"/>
          </w:tcPr>
          <w:p w14:paraId="4BEF8689" w14:textId="2F7917B1" w:rsidR="00E70904" w:rsidRPr="00E70904" w:rsidRDefault="00E70904" w:rsidP="00E70904">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2.134.460</w:t>
            </w:r>
          </w:p>
        </w:tc>
        <w:tc>
          <w:tcPr>
            <w:tcW w:w="527" w:type="pct"/>
            <w:tcBorders>
              <w:top w:val="nil"/>
              <w:left w:val="nil"/>
              <w:bottom w:val="nil"/>
              <w:right w:val="nil"/>
            </w:tcBorders>
            <w:shd w:val="clear" w:color="auto" w:fill="auto"/>
            <w:vAlign w:val="bottom"/>
          </w:tcPr>
          <w:p w14:paraId="3F090BDD" w14:textId="538EBBBD" w:rsidR="00E70904" w:rsidRPr="00E70904" w:rsidRDefault="00E70904" w:rsidP="00E70904">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2.134.460</w:t>
            </w:r>
          </w:p>
        </w:tc>
        <w:tc>
          <w:tcPr>
            <w:tcW w:w="527" w:type="pct"/>
            <w:tcBorders>
              <w:top w:val="nil"/>
              <w:left w:val="nil"/>
              <w:bottom w:val="nil"/>
              <w:right w:val="nil"/>
            </w:tcBorders>
            <w:shd w:val="clear" w:color="auto" w:fill="auto"/>
            <w:vAlign w:val="center"/>
          </w:tcPr>
          <w:p w14:paraId="5918EBCF" w14:textId="41860D37"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2.383.635</w:t>
            </w:r>
          </w:p>
        </w:tc>
        <w:tc>
          <w:tcPr>
            <w:tcW w:w="541" w:type="pct"/>
            <w:tcBorders>
              <w:top w:val="nil"/>
              <w:left w:val="nil"/>
              <w:bottom w:val="nil"/>
              <w:right w:val="nil"/>
            </w:tcBorders>
            <w:shd w:val="clear" w:color="auto" w:fill="auto"/>
            <w:vAlign w:val="center"/>
          </w:tcPr>
          <w:p w14:paraId="2C1B4BD4" w14:textId="4EB5D372"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2.383.635</w:t>
            </w:r>
          </w:p>
        </w:tc>
      </w:tr>
      <w:tr w:rsidR="00E70904" w:rsidRPr="00FC717E" w14:paraId="60DC0E1E" w14:textId="77777777" w:rsidTr="00312975">
        <w:trPr>
          <w:cantSplit/>
          <w:trHeight w:val="249"/>
          <w:tblHeader/>
        </w:trPr>
        <w:tc>
          <w:tcPr>
            <w:tcW w:w="2802" w:type="pct"/>
            <w:vAlign w:val="bottom"/>
          </w:tcPr>
          <w:p w14:paraId="5217C09B" w14:textId="77777777" w:rsidR="00E70904" w:rsidRPr="00FC717E" w:rsidDel="00FF5490" w:rsidRDefault="00E70904" w:rsidP="00E70904">
            <w:pPr>
              <w:spacing w:after="0" w:line="280" w:lineRule="exact"/>
              <w:rPr>
                <w:rFonts w:cs="Arial"/>
                <w:bCs/>
                <w:sz w:val="19"/>
                <w:szCs w:val="19"/>
              </w:rPr>
            </w:pPr>
            <w:r w:rsidRPr="00FC717E">
              <w:rPr>
                <w:rFonts w:cs="Arial"/>
                <w:bCs/>
                <w:sz w:val="19"/>
                <w:szCs w:val="19"/>
              </w:rPr>
              <w:t>Obrazovanje</w:t>
            </w:r>
          </w:p>
        </w:tc>
        <w:tc>
          <w:tcPr>
            <w:tcW w:w="603" w:type="pct"/>
            <w:tcBorders>
              <w:top w:val="nil"/>
              <w:left w:val="nil"/>
              <w:bottom w:val="nil"/>
              <w:right w:val="nil"/>
            </w:tcBorders>
            <w:shd w:val="clear" w:color="auto" w:fill="auto"/>
            <w:vAlign w:val="bottom"/>
          </w:tcPr>
          <w:p w14:paraId="7444E71A" w14:textId="171E5F45" w:rsidR="00E70904" w:rsidRPr="00E70904" w:rsidRDefault="00F52E8F" w:rsidP="00E70904">
            <w:pPr>
              <w:tabs>
                <w:tab w:val="right" w:pos="1202"/>
              </w:tabs>
              <w:spacing w:after="0" w:line="301" w:lineRule="exact"/>
              <w:jc w:val="right"/>
              <w:outlineLvl w:val="0"/>
              <w:rPr>
                <w:rFonts w:ascii="Calibri" w:hAnsi="Calibri" w:cs="Arial"/>
                <w:sz w:val="19"/>
                <w:szCs w:val="19"/>
              </w:rPr>
            </w:pPr>
            <w:r>
              <w:rPr>
                <w:rFonts w:ascii="Calibri" w:hAnsi="Calibri" w:cs="Arial"/>
                <w:sz w:val="19"/>
                <w:szCs w:val="19"/>
              </w:rPr>
              <w:t>46.541</w:t>
            </w:r>
          </w:p>
        </w:tc>
        <w:tc>
          <w:tcPr>
            <w:tcW w:w="527" w:type="pct"/>
            <w:tcBorders>
              <w:top w:val="nil"/>
              <w:left w:val="nil"/>
              <w:bottom w:val="nil"/>
              <w:right w:val="nil"/>
            </w:tcBorders>
            <w:shd w:val="clear" w:color="auto" w:fill="auto"/>
            <w:vAlign w:val="bottom"/>
          </w:tcPr>
          <w:p w14:paraId="1262C6C3" w14:textId="50AD4E0A" w:rsidR="00E70904" w:rsidRPr="00E70904" w:rsidRDefault="00F52E8F" w:rsidP="00E70904">
            <w:pPr>
              <w:tabs>
                <w:tab w:val="right" w:pos="1202"/>
              </w:tabs>
              <w:spacing w:after="0" w:line="301" w:lineRule="exact"/>
              <w:jc w:val="right"/>
              <w:outlineLvl w:val="0"/>
              <w:rPr>
                <w:rFonts w:ascii="Calibri" w:hAnsi="Calibri" w:cs="Arial"/>
                <w:sz w:val="19"/>
                <w:szCs w:val="19"/>
              </w:rPr>
            </w:pPr>
            <w:r>
              <w:rPr>
                <w:rFonts w:ascii="Calibri" w:hAnsi="Calibri" w:cs="Arial"/>
                <w:sz w:val="19"/>
                <w:szCs w:val="19"/>
              </w:rPr>
              <w:t>40.986</w:t>
            </w:r>
          </w:p>
        </w:tc>
        <w:tc>
          <w:tcPr>
            <w:tcW w:w="527" w:type="pct"/>
            <w:tcBorders>
              <w:top w:val="nil"/>
              <w:left w:val="nil"/>
              <w:bottom w:val="nil"/>
              <w:right w:val="nil"/>
            </w:tcBorders>
            <w:shd w:val="clear" w:color="auto" w:fill="auto"/>
            <w:vAlign w:val="center"/>
          </w:tcPr>
          <w:p w14:paraId="726FD31F" w14:textId="307D8C70"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47.020</w:t>
            </w:r>
          </w:p>
        </w:tc>
        <w:tc>
          <w:tcPr>
            <w:tcW w:w="541" w:type="pct"/>
            <w:tcBorders>
              <w:top w:val="nil"/>
              <w:left w:val="nil"/>
              <w:bottom w:val="nil"/>
              <w:right w:val="nil"/>
            </w:tcBorders>
            <w:shd w:val="clear" w:color="auto" w:fill="auto"/>
            <w:vAlign w:val="center"/>
          </w:tcPr>
          <w:p w14:paraId="47033383" w14:textId="5B817E3A"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40.956</w:t>
            </w:r>
          </w:p>
        </w:tc>
      </w:tr>
      <w:tr w:rsidR="00E70904" w:rsidRPr="00FC717E" w14:paraId="40A6772D" w14:textId="77777777" w:rsidTr="00312975">
        <w:trPr>
          <w:cantSplit/>
          <w:trHeight w:val="463"/>
          <w:tblHeader/>
        </w:trPr>
        <w:tc>
          <w:tcPr>
            <w:tcW w:w="2802" w:type="pct"/>
            <w:vAlign w:val="bottom"/>
          </w:tcPr>
          <w:p w14:paraId="75167374" w14:textId="77777777" w:rsidR="00E70904" w:rsidRPr="00FC717E" w:rsidRDefault="00E70904" w:rsidP="00E70904">
            <w:pPr>
              <w:spacing w:after="0" w:line="280" w:lineRule="exact"/>
              <w:rPr>
                <w:rFonts w:cs="Arial"/>
                <w:bCs/>
                <w:sz w:val="19"/>
                <w:szCs w:val="19"/>
              </w:rPr>
            </w:pPr>
            <w:r w:rsidRPr="00FC717E">
              <w:rPr>
                <w:rFonts w:cs="Arial"/>
                <w:bCs/>
                <w:sz w:val="19"/>
                <w:szCs w:val="19"/>
              </w:rPr>
              <w:t xml:space="preserve">Proizvodnja metala i gotovih metalnih proizvoda, osim strojeva i opreme </w:t>
            </w:r>
          </w:p>
        </w:tc>
        <w:tc>
          <w:tcPr>
            <w:tcW w:w="603" w:type="pct"/>
            <w:tcBorders>
              <w:top w:val="nil"/>
              <w:left w:val="nil"/>
              <w:bottom w:val="nil"/>
              <w:right w:val="nil"/>
            </w:tcBorders>
            <w:shd w:val="clear" w:color="auto" w:fill="auto"/>
            <w:vAlign w:val="bottom"/>
          </w:tcPr>
          <w:p w14:paraId="7958322E" w14:textId="2397BC97" w:rsidR="00E70904" w:rsidRPr="00E70904" w:rsidRDefault="00E70904" w:rsidP="00E70904">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367.925</w:t>
            </w:r>
          </w:p>
        </w:tc>
        <w:tc>
          <w:tcPr>
            <w:tcW w:w="527" w:type="pct"/>
            <w:tcBorders>
              <w:top w:val="nil"/>
              <w:left w:val="nil"/>
              <w:bottom w:val="nil"/>
              <w:right w:val="nil"/>
            </w:tcBorders>
            <w:shd w:val="clear" w:color="auto" w:fill="auto"/>
            <w:vAlign w:val="bottom"/>
          </w:tcPr>
          <w:p w14:paraId="478A1774" w14:textId="0F2AA701" w:rsidR="00E70904" w:rsidRPr="00E70904" w:rsidRDefault="00E70904" w:rsidP="00E70904">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53.294</w:t>
            </w:r>
          </w:p>
        </w:tc>
        <w:tc>
          <w:tcPr>
            <w:tcW w:w="527" w:type="pct"/>
            <w:tcBorders>
              <w:top w:val="nil"/>
              <w:left w:val="nil"/>
              <w:bottom w:val="nil"/>
              <w:right w:val="nil"/>
            </w:tcBorders>
            <w:shd w:val="clear" w:color="auto" w:fill="auto"/>
            <w:vAlign w:val="bottom"/>
          </w:tcPr>
          <w:p w14:paraId="17B2AA04" w14:textId="11D4533C"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407.200</w:t>
            </w:r>
          </w:p>
        </w:tc>
        <w:tc>
          <w:tcPr>
            <w:tcW w:w="541" w:type="pct"/>
            <w:tcBorders>
              <w:top w:val="nil"/>
              <w:left w:val="nil"/>
              <w:bottom w:val="nil"/>
              <w:right w:val="nil"/>
            </w:tcBorders>
            <w:shd w:val="clear" w:color="auto" w:fill="auto"/>
            <w:vAlign w:val="bottom"/>
          </w:tcPr>
          <w:p w14:paraId="3C310C02" w14:textId="1989E84F"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62.764</w:t>
            </w:r>
          </w:p>
        </w:tc>
      </w:tr>
      <w:tr w:rsidR="00E70904" w:rsidRPr="00FC717E" w14:paraId="132E80EE" w14:textId="77777777" w:rsidTr="00312975">
        <w:trPr>
          <w:cantSplit/>
          <w:trHeight w:val="249"/>
          <w:tblHeader/>
        </w:trPr>
        <w:tc>
          <w:tcPr>
            <w:tcW w:w="2802" w:type="pct"/>
            <w:vAlign w:val="bottom"/>
          </w:tcPr>
          <w:p w14:paraId="4D36DA01" w14:textId="77777777" w:rsidR="00E70904" w:rsidRPr="00FC717E" w:rsidRDefault="00E70904" w:rsidP="00E70904">
            <w:pPr>
              <w:spacing w:after="0" w:line="280" w:lineRule="exact"/>
              <w:rPr>
                <w:rFonts w:cs="Arial"/>
                <w:sz w:val="19"/>
                <w:szCs w:val="19"/>
              </w:rPr>
            </w:pPr>
            <w:r w:rsidRPr="00FC717E">
              <w:rPr>
                <w:rFonts w:cs="Arial"/>
                <w:bCs/>
                <w:sz w:val="19"/>
                <w:szCs w:val="19"/>
              </w:rPr>
              <w:t>Proizvodnja kemikalija i kemijskih proizvoda</w:t>
            </w:r>
          </w:p>
        </w:tc>
        <w:tc>
          <w:tcPr>
            <w:tcW w:w="603" w:type="pct"/>
            <w:tcBorders>
              <w:top w:val="nil"/>
              <w:left w:val="nil"/>
              <w:bottom w:val="nil"/>
              <w:right w:val="nil"/>
            </w:tcBorders>
            <w:shd w:val="clear" w:color="auto" w:fill="auto"/>
            <w:vAlign w:val="bottom"/>
          </w:tcPr>
          <w:p w14:paraId="4C563E57" w14:textId="7255830A" w:rsidR="00E70904" w:rsidRPr="00E70904" w:rsidRDefault="00E70904" w:rsidP="00E70904">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413.505</w:t>
            </w:r>
          </w:p>
        </w:tc>
        <w:tc>
          <w:tcPr>
            <w:tcW w:w="527" w:type="pct"/>
            <w:tcBorders>
              <w:top w:val="nil"/>
              <w:left w:val="nil"/>
              <w:bottom w:val="nil"/>
              <w:right w:val="nil"/>
            </w:tcBorders>
            <w:shd w:val="clear" w:color="auto" w:fill="auto"/>
            <w:vAlign w:val="bottom"/>
          </w:tcPr>
          <w:p w14:paraId="23A2719D" w14:textId="23B406AD" w:rsidR="00E70904" w:rsidRPr="00E70904" w:rsidRDefault="00F52E8F" w:rsidP="00E70904">
            <w:pPr>
              <w:tabs>
                <w:tab w:val="right" w:pos="1202"/>
              </w:tabs>
              <w:spacing w:after="0" w:line="301" w:lineRule="exact"/>
              <w:jc w:val="right"/>
              <w:outlineLvl w:val="0"/>
              <w:rPr>
                <w:rFonts w:ascii="Calibri" w:hAnsi="Calibri" w:cs="Arial"/>
                <w:sz w:val="19"/>
                <w:szCs w:val="19"/>
              </w:rPr>
            </w:pPr>
            <w:r>
              <w:rPr>
                <w:rFonts w:ascii="Calibri" w:hAnsi="Calibri" w:cs="Arial"/>
                <w:sz w:val="19"/>
                <w:szCs w:val="19"/>
              </w:rPr>
              <w:t>94.396</w:t>
            </w:r>
          </w:p>
        </w:tc>
        <w:tc>
          <w:tcPr>
            <w:tcW w:w="527" w:type="pct"/>
            <w:tcBorders>
              <w:top w:val="nil"/>
              <w:left w:val="nil"/>
              <w:bottom w:val="nil"/>
              <w:right w:val="nil"/>
            </w:tcBorders>
            <w:shd w:val="clear" w:color="auto" w:fill="auto"/>
            <w:vAlign w:val="center"/>
          </w:tcPr>
          <w:p w14:paraId="29ED5DFE" w14:textId="5AA1EB6D"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255.537</w:t>
            </w:r>
          </w:p>
        </w:tc>
        <w:tc>
          <w:tcPr>
            <w:tcW w:w="541" w:type="pct"/>
            <w:tcBorders>
              <w:top w:val="nil"/>
              <w:left w:val="nil"/>
              <w:bottom w:val="nil"/>
              <w:right w:val="nil"/>
            </w:tcBorders>
            <w:shd w:val="clear" w:color="auto" w:fill="auto"/>
            <w:vAlign w:val="center"/>
          </w:tcPr>
          <w:p w14:paraId="123B9778" w14:textId="10D18E71"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16.721</w:t>
            </w:r>
          </w:p>
        </w:tc>
      </w:tr>
      <w:tr w:rsidR="00E70904" w:rsidRPr="00FC717E" w14:paraId="4A4FE15D" w14:textId="77777777" w:rsidTr="00312975">
        <w:trPr>
          <w:cantSplit/>
          <w:trHeight w:val="249"/>
          <w:tblHeader/>
        </w:trPr>
        <w:tc>
          <w:tcPr>
            <w:tcW w:w="2802" w:type="pct"/>
            <w:vAlign w:val="bottom"/>
          </w:tcPr>
          <w:p w14:paraId="7A14F5FC" w14:textId="77777777" w:rsidR="00E70904" w:rsidRPr="00FC717E" w:rsidRDefault="00E70904" w:rsidP="00E70904">
            <w:pPr>
              <w:spacing w:after="0" w:line="280" w:lineRule="exact"/>
              <w:rPr>
                <w:rFonts w:cs="Arial"/>
                <w:bCs/>
                <w:sz w:val="19"/>
                <w:szCs w:val="19"/>
              </w:rPr>
            </w:pPr>
            <w:r w:rsidRPr="00FC717E">
              <w:rPr>
                <w:rFonts w:cs="Arial"/>
                <w:bCs/>
                <w:sz w:val="19"/>
                <w:szCs w:val="19"/>
              </w:rPr>
              <w:t xml:space="preserve">Proizvodnja ostalih nemetalnih mineralnih proizvoda </w:t>
            </w:r>
          </w:p>
        </w:tc>
        <w:tc>
          <w:tcPr>
            <w:tcW w:w="603" w:type="pct"/>
            <w:tcBorders>
              <w:top w:val="nil"/>
              <w:left w:val="nil"/>
              <w:bottom w:val="nil"/>
              <w:right w:val="nil"/>
            </w:tcBorders>
            <w:shd w:val="clear" w:color="auto" w:fill="auto"/>
            <w:vAlign w:val="bottom"/>
          </w:tcPr>
          <w:p w14:paraId="112DC859" w14:textId="4C70E626" w:rsidR="00E70904" w:rsidRPr="00E70904" w:rsidRDefault="00E70904" w:rsidP="00E70904">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256.935</w:t>
            </w:r>
          </w:p>
        </w:tc>
        <w:tc>
          <w:tcPr>
            <w:tcW w:w="527" w:type="pct"/>
            <w:tcBorders>
              <w:top w:val="nil"/>
              <w:left w:val="nil"/>
              <w:bottom w:val="nil"/>
              <w:right w:val="nil"/>
            </w:tcBorders>
            <w:shd w:val="clear" w:color="auto" w:fill="auto"/>
            <w:vAlign w:val="bottom"/>
          </w:tcPr>
          <w:p w14:paraId="246BC54B" w14:textId="223A2EB3" w:rsidR="00E70904" w:rsidRPr="00E70904" w:rsidRDefault="00E70904" w:rsidP="00E70904">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3.504</w:t>
            </w:r>
          </w:p>
        </w:tc>
        <w:tc>
          <w:tcPr>
            <w:tcW w:w="527" w:type="pct"/>
            <w:tcBorders>
              <w:top w:val="nil"/>
              <w:left w:val="nil"/>
              <w:bottom w:val="nil"/>
              <w:right w:val="nil"/>
            </w:tcBorders>
            <w:shd w:val="clear" w:color="auto" w:fill="auto"/>
            <w:vAlign w:val="center"/>
          </w:tcPr>
          <w:p w14:paraId="557C823F" w14:textId="5252305C"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273.896</w:t>
            </w:r>
          </w:p>
        </w:tc>
        <w:tc>
          <w:tcPr>
            <w:tcW w:w="541" w:type="pct"/>
            <w:tcBorders>
              <w:top w:val="nil"/>
              <w:left w:val="nil"/>
              <w:bottom w:val="nil"/>
              <w:right w:val="nil"/>
            </w:tcBorders>
            <w:shd w:val="clear" w:color="auto" w:fill="auto"/>
            <w:vAlign w:val="center"/>
          </w:tcPr>
          <w:p w14:paraId="249D86FA" w14:textId="361612D0"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4.336</w:t>
            </w:r>
          </w:p>
        </w:tc>
      </w:tr>
      <w:tr w:rsidR="00E70904" w:rsidRPr="00FC717E" w14:paraId="70405AC2" w14:textId="77777777" w:rsidTr="00312975">
        <w:trPr>
          <w:cantSplit/>
          <w:trHeight w:val="249"/>
          <w:tblHeader/>
        </w:trPr>
        <w:tc>
          <w:tcPr>
            <w:tcW w:w="2802" w:type="pct"/>
            <w:vAlign w:val="bottom"/>
          </w:tcPr>
          <w:p w14:paraId="75857DA1" w14:textId="77777777" w:rsidR="00E70904" w:rsidRPr="00FC717E" w:rsidRDefault="00E70904" w:rsidP="00E70904">
            <w:pPr>
              <w:spacing w:after="0" w:line="280" w:lineRule="exact"/>
              <w:rPr>
                <w:rFonts w:cs="Arial"/>
                <w:bCs/>
                <w:sz w:val="19"/>
                <w:szCs w:val="19"/>
              </w:rPr>
            </w:pPr>
            <w:r w:rsidRPr="00FC717E">
              <w:rPr>
                <w:rFonts w:cs="Arial"/>
                <w:bCs/>
                <w:sz w:val="19"/>
                <w:szCs w:val="19"/>
              </w:rPr>
              <w:t>Proizvodnja farmaceutskih pripravaka</w:t>
            </w:r>
          </w:p>
        </w:tc>
        <w:tc>
          <w:tcPr>
            <w:tcW w:w="603" w:type="pct"/>
            <w:tcBorders>
              <w:top w:val="nil"/>
              <w:left w:val="nil"/>
              <w:bottom w:val="nil"/>
              <w:right w:val="nil"/>
            </w:tcBorders>
            <w:shd w:val="clear" w:color="auto" w:fill="auto"/>
            <w:vAlign w:val="bottom"/>
          </w:tcPr>
          <w:p w14:paraId="1D318952" w14:textId="2D1E5C46" w:rsidR="00E70904" w:rsidRPr="00E70904" w:rsidRDefault="00E70904" w:rsidP="00E70904">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542.197</w:t>
            </w:r>
          </w:p>
        </w:tc>
        <w:tc>
          <w:tcPr>
            <w:tcW w:w="527" w:type="pct"/>
            <w:tcBorders>
              <w:top w:val="nil"/>
              <w:left w:val="nil"/>
              <w:bottom w:val="nil"/>
              <w:right w:val="nil"/>
            </w:tcBorders>
            <w:shd w:val="clear" w:color="auto" w:fill="auto"/>
            <w:vAlign w:val="bottom"/>
          </w:tcPr>
          <w:p w14:paraId="106DBDC6" w14:textId="631BACCC" w:rsidR="00E70904" w:rsidRPr="00E70904" w:rsidRDefault="00B916CD" w:rsidP="00E70904">
            <w:pPr>
              <w:tabs>
                <w:tab w:val="right" w:pos="1202"/>
              </w:tabs>
              <w:spacing w:after="0" w:line="301" w:lineRule="exact"/>
              <w:jc w:val="right"/>
              <w:outlineLvl w:val="0"/>
              <w:rPr>
                <w:rFonts w:ascii="Calibri" w:hAnsi="Calibri" w:cs="Arial"/>
                <w:sz w:val="19"/>
                <w:szCs w:val="19"/>
              </w:rPr>
            </w:pPr>
            <w:r>
              <w:rPr>
                <w:rFonts w:ascii="Calibri" w:hAnsi="Calibri" w:cs="Arial"/>
                <w:sz w:val="19"/>
                <w:szCs w:val="19"/>
              </w:rPr>
              <w:t>-</w:t>
            </w:r>
          </w:p>
        </w:tc>
        <w:tc>
          <w:tcPr>
            <w:tcW w:w="527" w:type="pct"/>
            <w:tcBorders>
              <w:top w:val="nil"/>
              <w:left w:val="nil"/>
              <w:right w:val="nil"/>
            </w:tcBorders>
            <w:shd w:val="clear" w:color="auto" w:fill="auto"/>
            <w:vAlign w:val="center"/>
          </w:tcPr>
          <w:p w14:paraId="5D160422" w14:textId="07DC83CB"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571.663</w:t>
            </w:r>
          </w:p>
        </w:tc>
        <w:tc>
          <w:tcPr>
            <w:tcW w:w="541" w:type="pct"/>
            <w:tcBorders>
              <w:top w:val="nil"/>
              <w:left w:val="nil"/>
              <w:right w:val="nil"/>
            </w:tcBorders>
            <w:shd w:val="clear" w:color="auto" w:fill="auto"/>
            <w:vAlign w:val="center"/>
          </w:tcPr>
          <w:p w14:paraId="30A976D3" w14:textId="31B8A823"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w:t>
            </w:r>
          </w:p>
        </w:tc>
      </w:tr>
      <w:tr w:rsidR="00E70904" w:rsidRPr="00FC717E" w14:paraId="3163CB01" w14:textId="77777777" w:rsidTr="00312975">
        <w:trPr>
          <w:cantSplit/>
          <w:trHeight w:val="249"/>
          <w:tblHeader/>
        </w:trPr>
        <w:tc>
          <w:tcPr>
            <w:tcW w:w="2802" w:type="pct"/>
            <w:vAlign w:val="bottom"/>
          </w:tcPr>
          <w:p w14:paraId="6FE6CA12" w14:textId="77777777" w:rsidR="00E70904" w:rsidRPr="00FC717E" w:rsidRDefault="00E70904" w:rsidP="00E70904">
            <w:pPr>
              <w:spacing w:after="0" w:line="280" w:lineRule="exact"/>
              <w:rPr>
                <w:rFonts w:cs="Arial"/>
                <w:sz w:val="19"/>
                <w:szCs w:val="19"/>
              </w:rPr>
            </w:pPr>
            <w:r w:rsidRPr="00FC717E">
              <w:rPr>
                <w:rFonts w:cs="Arial"/>
                <w:bCs/>
                <w:sz w:val="19"/>
                <w:szCs w:val="19"/>
              </w:rPr>
              <w:t>Ostalo</w:t>
            </w:r>
          </w:p>
        </w:tc>
        <w:tc>
          <w:tcPr>
            <w:tcW w:w="603" w:type="pct"/>
            <w:tcBorders>
              <w:top w:val="nil"/>
              <w:left w:val="nil"/>
              <w:bottom w:val="nil"/>
              <w:right w:val="nil"/>
            </w:tcBorders>
            <w:shd w:val="clear" w:color="auto" w:fill="auto"/>
            <w:vAlign w:val="bottom"/>
          </w:tcPr>
          <w:p w14:paraId="03E30FA6" w14:textId="03605AF0" w:rsidR="00E70904" w:rsidRPr="00E70904" w:rsidRDefault="00E70904" w:rsidP="00177C3A">
            <w:pPr>
              <w:tabs>
                <w:tab w:val="right" w:pos="1202"/>
              </w:tabs>
              <w:spacing w:after="0" w:line="301" w:lineRule="exact"/>
              <w:jc w:val="right"/>
              <w:outlineLvl w:val="0"/>
              <w:rPr>
                <w:rFonts w:ascii="Calibri" w:hAnsi="Calibri" w:cs="Arial"/>
                <w:sz w:val="19"/>
                <w:szCs w:val="19"/>
              </w:rPr>
            </w:pPr>
            <w:r w:rsidRPr="00312975">
              <w:rPr>
                <w:rFonts w:ascii="Calibri" w:hAnsi="Calibri" w:cs="Arial"/>
                <w:sz w:val="19"/>
                <w:szCs w:val="19"/>
              </w:rPr>
              <w:t>1</w:t>
            </w:r>
            <w:r w:rsidR="00F52E8F">
              <w:rPr>
                <w:rFonts w:ascii="Calibri" w:hAnsi="Calibri" w:cs="Arial"/>
                <w:sz w:val="19"/>
                <w:szCs w:val="19"/>
              </w:rPr>
              <w:t>.612.997</w:t>
            </w:r>
          </w:p>
        </w:tc>
        <w:tc>
          <w:tcPr>
            <w:tcW w:w="527" w:type="pct"/>
            <w:tcBorders>
              <w:top w:val="nil"/>
              <w:left w:val="nil"/>
              <w:bottom w:val="nil"/>
              <w:right w:val="nil"/>
            </w:tcBorders>
            <w:shd w:val="clear" w:color="auto" w:fill="auto"/>
            <w:vAlign w:val="bottom"/>
          </w:tcPr>
          <w:p w14:paraId="38DC1791" w14:textId="22684B9B" w:rsidR="00E70904" w:rsidRPr="00E70904" w:rsidRDefault="00F52E8F" w:rsidP="00E70904">
            <w:pPr>
              <w:tabs>
                <w:tab w:val="right" w:pos="1202"/>
              </w:tabs>
              <w:spacing w:after="0" w:line="301" w:lineRule="exact"/>
              <w:jc w:val="right"/>
              <w:outlineLvl w:val="0"/>
              <w:rPr>
                <w:rFonts w:ascii="Calibri" w:hAnsi="Calibri" w:cs="Arial"/>
                <w:sz w:val="19"/>
                <w:szCs w:val="19"/>
              </w:rPr>
            </w:pPr>
            <w:r>
              <w:rPr>
                <w:rFonts w:ascii="Calibri" w:hAnsi="Calibri" w:cs="Arial"/>
                <w:sz w:val="19"/>
                <w:szCs w:val="19"/>
              </w:rPr>
              <w:t>458.670</w:t>
            </w:r>
          </w:p>
        </w:tc>
        <w:tc>
          <w:tcPr>
            <w:tcW w:w="527" w:type="pct"/>
            <w:tcBorders>
              <w:top w:val="nil"/>
              <w:left w:val="nil"/>
              <w:bottom w:val="single" w:sz="4" w:space="0" w:color="auto"/>
              <w:right w:val="nil"/>
            </w:tcBorders>
            <w:shd w:val="clear" w:color="auto" w:fill="auto"/>
            <w:vAlign w:val="center"/>
          </w:tcPr>
          <w:p w14:paraId="6E80DB5B" w14:textId="141712B2"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1.524.915</w:t>
            </w:r>
          </w:p>
        </w:tc>
        <w:tc>
          <w:tcPr>
            <w:tcW w:w="541" w:type="pct"/>
            <w:tcBorders>
              <w:top w:val="nil"/>
              <w:left w:val="nil"/>
              <w:bottom w:val="single" w:sz="4" w:space="0" w:color="auto"/>
              <w:right w:val="nil"/>
            </w:tcBorders>
            <w:shd w:val="clear" w:color="auto" w:fill="auto"/>
            <w:vAlign w:val="center"/>
          </w:tcPr>
          <w:p w14:paraId="606C2F69" w14:textId="5434F12F" w:rsidR="00E70904" w:rsidRPr="00A32151" w:rsidRDefault="00E70904" w:rsidP="00E70904">
            <w:pPr>
              <w:tabs>
                <w:tab w:val="right" w:pos="1202"/>
              </w:tabs>
              <w:spacing w:after="0" w:line="301" w:lineRule="exact"/>
              <w:jc w:val="right"/>
              <w:outlineLvl w:val="0"/>
              <w:rPr>
                <w:rFonts w:eastAsia="Times New Roman" w:cs="Times New Roman"/>
                <w:sz w:val="19"/>
                <w:szCs w:val="19"/>
              </w:rPr>
            </w:pPr>
            <w:r w:rsidRPr="00A32151">
              <w:rPr>
                <w:rFonts w:ascii="Calibri" w:hAnsi="Calibri" w:cs="Arial"/>
                <w:sz w:val="19"/>
                <w:szCs w:val="19"/>
              </w:rPr>
              <w:t>310.823</w:t>
            </w:r>
          </w:p>
        </w:tc>
      </w:tr>
      <w:tr w:rsidR="00E70904" w:rsidRPr="00FC717E" w14:paraId="59940EFA" w14:textId="77777777" w:rsidTr="00312975">
        <w:tblPrEx>
          <w:tblCellMar>
            <w:left w:w="31" w:type="dxa"/>
            <w:right w:w="31" w:type="dxa"/>
          </w:tblCellMar>
        </w:tblPrEx>
        <w:trPr>
          <w:cantSplit/>
          <w:trHeight w:val="249"/>
          <w:tblHeader/>
        </w:trPr>
        <w:tc>
          <w:tcPr>
            <w:tcW w:w="2802" w:type="pct"/>
            <w:vAlign w:val="bottom"/>
          </w:tcPr>
          <w:p w14:paraId="5C6FA281" w14:textId="77777777" w:rsidR="00E70904" w:rsidRPr="00FC717E" w:rsidRDefault="00E70904" w:rsidP="00E70904">
            <w:pPr>
              <w:spacing w:after="0" w:line="280" w:lineRule="exact"/>
              <w:rPr>
                <w:rFonts w:cs="Arial"/>
                <w:b/>
                <w:bCs/>
                <w:sz w:val="19"/>
                <w:szCs w:val="19"/>
              </w:rPr>
            </w:pPr>
            <w:r w:rsidRPr="00FC717E">
              <w:rPr>
                <w:rFonts w:cs="Arial"/>
                <w:b/>
                <w:bCs/>
                <w:sz w:val="19"/>
                <w:szCs w:val="19"/>
              </w:rPr>
              <w:t>Ukupna izloženost kreditnom riziku</w:t>
            </w:r>
          </w:p>
        </w:tc>
        <w:tc>
          <w:tcPr>
            <w:tcW w:w="603" w:type="pct"/>
            <w:tcBorders>
              <w:top w:val="single" w:sz="4" w:space="0" w:color="auto"/>
              <w:left w:val="nil"/>
              <w:bottom w:val="single" w:sz="12" w:space="0" w:color="auto"/>
              <w:right w:val="nil"/>
            </w:tcBorders>
            <w:shd w:val="clear" w:color="000000" w:fill="auto"/>
            <w:vAlign w:val="center"/>
          </w:tcPr>
          <w:p w14:paraId="41BA1118" w14:textId="16294969" w:rsidR="00E70904" w:rsidRPr="00A32151" w:rsidRDefault="00E70904" w:rsidP="00E70904">
            <w:pPr>
              <w:tabs>
                <w:tab w:val="right" w:pos="1202"/>
              </w:tabs>
              <w:spacing w:after="0" w:line="220" w:lineRule="exact"/>
              <w:jc w:val="right"/>
              <w:outlineLvl w:val="0"/>
              <w:rPr>
                <w:rFonts w:ascii="Calibri" w:hAnsi="Calibri" w:cs="Arial"/>
                <w:b/>
                <w:bCs/>
                <w:sz w:val="19"/>
                <w:szCs w:val="19"/>
              </w:rPr>
            </w:pPr>
            <w:r w:rsidRPr="00312975">
              <w:rPr>
                <w:rFonts w:ascii="Calibri" w:hAnsi="Calibri" w:cs="Arial"/>
                <w:b/>
                <w:bCs/>
                <w:sz w:val="19"/>
                <w:szCs w:val="19"/>
              </w:rPr>
              <w:t>33.131.926</w:t>
            </w:r>
          </w:p>
        </w:tc>
        <w:tc>
          <w:tcPr>
            <w:tcW w:w="527" w:type="pct"/>
            <w:tcBorders>
              <w:top w:val="single" w:sz="4" w:space="0" w:color="auto"/>
              <w:left w:val="nil"/>
              <w:bottom w:val="single" w:sz="12" w:space="0" w:color="auto"/>
              <w:right w:val="nil"/>
            </w:tcBorders>
            <w:shd w:val="clear" w:color="000000" w:fill="auto"/>
            <w:vAlign w:val="center"/>
          </w:tcPr>
          <w:p w14:paraId="1A2EA495" w14:textId="06421DED" w:rsidR="00E70904" w:rsidRPr="00A32151" w:rsidRDefault="00E70904" w:rsidP="00177C3A">
            <w:pPr>
              <w:tabs>
                <w:tab w:val="right" w:pos="1202"/>
              </w:tabs>
              <w:spacing w:after="0" w:line="220" w:lineRule="exact"/>
              <w:jc w:val="right"/>
              <w:outlineLvl w:val="0"/>
              <w:rPr>
                <w:rFonts w:ascii="Calibri" w:hAnsi="Calibri" w:cs="Arial"/>
                <w:b/>
                <w:bCs/>
                <w:sz w:val="19"/>
                <w:szCs w:val="19"/>
              </w:rPr>
            </w:pPr>
            <w:r w:rsidRPr="00312975">
              <w:rPr>
                <w:rFonts w:ascii="Calibri" w:hAnsi="Calibri" w:cs="Arial"/>
                <w:b/>
                <w:bCs/>
                <w:sz w:val="19"/>
                <w:szCs w:val="19"/>
              </w:rPr>
              <w:t>5</w:t>
            </w:r>
            <w:r w:rsidR="00F52E8F">
              <w:rPr>
                <w:rFonts w:ascii="Calibri" w:hAnsi="Calibri" w:cs="Arial"/>
                <w:b/>
                <w:bCs/>
                <w:sz w:val="19"/>
                <w:szCs w:val="19"/>
              </w:rPr>
              <w:t>.596.666</w:t>
            </w:r>
          </w:p>
        </w:tc>
        <w:tc>
          <w:tcPr>
            <w:tcW w:w="527" w:type="pct"/>
            <w:tcBorders>
              <w:top w:val="single" w:sz="4" w:space="0" w:color="auto"/>
              <w:left w:val="nil"/>
              <w:bottom w:val="single" w:sz="12" w:space="0" w:color="auto"/>
              <w:right w:val="nil"/>
            </w:tcBorders>
            <w:shd w:val="clear" w:color="auto" w:fill="auto"/>
            <w:vAlign w:val="center"/>
          </w:tcPr>
          <w:p w14:paraId="0A6C99F6" w14:textId="103B1D05" w:rsidR="00E70904" w:rsidRPr="00A32151" w:rsidRDefault="00E70904" w:rsidP="00E70904">
            <w:pPr>
              <w:tabs>
                <w:tab w:val="right" w:pos="1202"/>
              </w:tabs>
              <w:spacing w:after="0" w:line="220" w:lineRule="exact"/>
              <w:jc w:val="right"/>
              <w:outlineLvl w:val="0"/>
              <w:rPr>
                <w:rFonts w:eastAsia="Times New Roman" w:cs="Times New Roman"/>
                <w:b/>
                <w:noProof/>
                <w:sz w:val="19"/>
                <w:szCs w:val="19"/>
                <w:lang w:eastAsia="hr-HR"/>
              </w:rPr>
            </w:pPr>
            <w:r w:rsidRPr="00A32151">
              <w:rPr>
                <w:rFonts w:ascii="Calibri" w:hAnsi="Calibri" w:cs="Arial"/>
                <w:b/>
                <w:bCs/>
                <w:sz w:val="19"/>
                <w:szCs w:val="19"/>
              </w:rPr>
              <w:t>33.168.139</w:t>
            </w:r>
          </w:p>
        </w:tc>
        <w:tc>
          <w:tcPr>
            <w:tcW w:w="541" w:type="pct"/>
            <w:tcBorders>
              <w:top w:val="single" w:sz="4" w:space="0" w:color="auto"/>
              <w:left w:val="nil"/>
              <w:bottom w:val="single" w:sz="12" w:space="0" w:color="auto"/>
              <w:right w:val="nil"/>
            </w:tcBorders>
            <w:shd w:val="clear" w:color="auto" w:fill="auto"/>
            <w:vAlign w:val="center"/>
          </w:tcPr>
          <w:p w14:paraId="035B1DD4" w14:textId="46D50E0D" w:rsidR="00E70904" w:rsidRPr="00A32151" w:rsidRDefault="00E70904" w:rsidP="00E70904">
            <w:pPr>
              <w:tabs>
                <w:tab w:val="right" w:pos="1202"/>
              </w:tabs>
              <w:spacing w:after="0" w:line="220" w:lineRule="exact"/>
              <w:jc w:val="right"/>
              <w:outlineLvl w:val="0"/>
              <w:rPr>
                <w:rFonts w:eastAsia="Times New Roman" w:cs="Arial"/>
                <w:b/>
                <w:sz w:val="19"/>
                <w:szCs w:val="19"/>
              </w:rPr>
            </w:pPr>
            <w:r w:rsidRPr="00A32151">
              <w:rPr>
                <w:rFonts w:ascii="Calibri" w:hAnsi="Calibri" w:cs="Arial"/>
                <w:b/>
                <w:bCs/>
                <w:sz w:val="19"/>
                <w:szCs w:val="19"/>
              </w:rPr>
              <w:t>6.017.929</w:t>
            </w:r>
          </w:p>
        </w:tc>
      </w:tr>
      <w:tr w:rsidR="00FC717E" w:rsidRPr="00FC717E" w14:paraId="658AA95A" w14:textId="77777777" w:rsidTr="003579C1">
        <w:tblPrEx>
          <w:tblCellMar>
            <w:left w:w="31" w:type="dxa"/>
            <w:right w:w="31" w:type="dxa"/>
          </w:tblCellMar>
        </w:tblPrEx>
        <w:trPr>
          <w:cantSplit/>
          <w:trHeight w:val="29"/>
          <w:tblHeader/>
        </w:trPr>
        <w:tc>
          <w:tcPr>
            <w:tcW w:w="2802" w:type="pct"/>
            <w:vAlign w:val="bottom"/>
          </w:tcPr>
          <w:p w14:paraId="200F792B" w14:textId="77777777" w:rsidR="00FC717E" w:rsidRPr="00FC717E" w:rsidRDefault="00FC717E" w:rsidP="00FC717E">
            <w:pPr>
              <w:spacing w:after="0" w:line="280" w:lineRule="exact"/>
              <w:rPr>
                <w:rFonts w:cs="Arial"/>
                <w:bCs/>
                <w:sz w:val="19"/>
                <w:szCs w:val="19"/>
              </w:rPr>
            </w:pPr>
          </w:p>
        </w:tc>
        <w:tc>
          <w:tcPr>
            <w:tcW w:w="603" w:type="pct"/>
            <w:tcBorders>
              <w:top w:val="single" w:sz="12" w:space="0" w:color="auto"/>
            </w:tcBorders>
            <w:vAlign w:val="bottom"/>
          </w:tcPr>
          <w:p w14:paraId="0CA83320" w14:textId="77777777" w:rsidR="00FC717E" w:rsidRPr="00FC717E" w:rsidRDefault="00FC717E" w:rsidP="00FC717E">
            <w:pPr>
              <w:pStyle w:val="TT"/>
              <w:spacing w:line="280" w:lineRule="exact"/>
              <w:jc w:val="right"/>
              <w:rPr>
                <w:rFonts w:asciiTheme="minorHAnsi" w:hAnsiTheme="minorHAnsi" w:cs="Arial"/>
                <w:b/>
                <w:szCs w:val="19"/>
                <w:lang w:val="hr-HR"/>
              </w:rPr>
            </w:pPr>
          </w:p>
        </w:tc>
        <w:tc>
          <w:tcPr>
            <w:tcW w:w="527" w:type="pct"/>
            <w:tcBorders>
              <w:top w:val="single" w:sz="12" w:space="0" w:color="auto"/>
            </w:tcBorders>
            <w:vAlign w:val="bottom"/>
          </w:tcPr>
          <w:p w14:paraId="2BBE1790" w14:textId="77777777" w:rsidR="00FC717E" w:rsidRPr="00FC717E" w:rsidRDefault="00FC717E" w:rsidP="00FC717E">
            <w:pPr>
              <w:pStyle w:val="TT"/>
              <w:spacing w:line="280" w:lineRule="exact"/>
              <w:jc w:val="right"/>
              <w:rPr>
                <w:rFonts w:asciiTheme="minorHAnsi" w:hAnsiTheme="minorHAnsi" w:cs="Arial"/>
                <w:b/>
                <w:szCs w:val="19"/>
                <w:lang w:val="hr-HR"/>
              </w:rPr>
            </w:pPr>
          </w:p>
        </w:tc>
        <w:tc>
          <w:tcPr>
            <w:tcW w:w="527" w:type="pct"/>
            <w:tcBorders>
              <w:top w:val="single" w:sz="12" w:space="0" w:color="auto"/>
            </w:tcBorders>
            <w:vAlign w:val="bottom"/>
          </w:tcPr>
          <w:p w14:paraId="369AA6FC" w14:textId="77777777" w:rsidR="00FC717E" w:rsidRPr="00FC717E" w:rsidRDefault="00FC717E" w:rsidP="00FC717E">
            <w:pPr>
              <w:pStyle w:val="TT"/>
              <w:spacing w:line="280" w:lineRule="exact"/>
              <w:jc w:val="right"/>
              <w:rPr>
                <w:rFonts w:asciiTheme="minorHAnsi" w:hAnsiTheme="minorHAnsi" w:cs="Arial"/>
                <w:b/>
                <w:szCs w:val="19"/>
                <w:lang w:val="hr-HR"/>
              </w:rPr>
            </w:pPr>
          </w:p>
        </w:tc>
        <w:tc>
          <w:tcPr>
            <w:tcW w:w="541" w:type="pct"/>
            <w:tcBorders>
              <w:top w:val="single" w:sz="12" w:space="0" w:color="auto"/>
            </w:tcBorders>
            <w:vAlign w:val="bottom"/>
          </w:tcPr>
          <w:p w14:paraId="6604E9CF" w14:textId="77777777" w:rsidR="00FC717E" w:rsidRPr="00FC717E" w:rsidRDefault="00FC717E" w:rsidP="00FC717E">
            <w:pPr>
              <w:pStyle w:val="TT"/>
              <w:spacing w:line="280" w:lineRule="exact"/>
              <w:jc w:val="right"/>
              <w:rPr>
                <w:rFonts w:asciiTheme="minorHAnsi" w:hAnsiTheme="minorHAnsi" w:cs="Arial"/>
                <w:b/>
                <w:szCs w:val="19"/>
                <w:lang w:val="hr-HR"/>
              </w:rPr>
            </w:pPr>
          </w:p>
        </w:tc>
      </w:tr>
    </w:tbl>
    <w:p w14:paraId="138FC4E7" w14:textId="77777777" w:rsidR="00905C27" w:rsidRDefault="00905C27" w:rsidP="00905C27">
      <w:pPr>
        <w:pStyle w:val="T1"/>
        <w:spacing w:before="0" w:after="0" w:line="240" w:lineRule="auto"/>
        <w:rPr>
          <w:rFonts w:asciiTheme="minorHAnsi" w:hAnsiTheme="minorHAnsi" w:cs="Arial"/>
          <w:b w:val="0"/>
          <w:sz w:val="22"/>
          <w:szCs w:val="22"/>
          <w:lang w:val="hr-HR"/>
        </w:rPr>
      </w:pPr>
    </w:p>
    <w:p w14:paraId="0D819847" w14:textId="77777777" w:rsidR="00905C27" w:rsidRDefault="00905C27" w:rsidP="00905C27">
      <w:pPr>
        <w:pStyle w:val="T1"/>
        <w:spacing w:before="0" w:after="0" w:line="240" w:lineRule="auto"/>
        <w:rPr>
          <w:rFonts w:asciiTheme="minorHAnsi" w:hAnsiTheme="minorHAnsi" w:cs="Arial"/>
          <w:b w:val="0"/>
          <w:sz w:val="22"/>
          <w:szCs w:val="22"/>
          <w:lang w:val="hr-HR"/>
        </w:rPr>
      </w:pPr>
    </w:p>
    <w:p w14:paraId="3FBBA4C6" w14:textId="77777777" w:rsidR="00905C27" w:rsidRDefault="00905C27" w:rsidP="00905C27">
      <w:pPr>
        <w:pStyle w:val="T1"/>
        <w:spacing w:before="0" w:after="0" w:line="240" w:lineRule="auto"/>
        <w:rPr>
          <w:rFonts w:asciiTheme="minorHAnsi" w:hAnsiTheme="minorHAnsi" w:cs="Arial"/>
          <w:b w:val="0"/>
          <w:sz w:val="22"/>
          <w:szCs w:val="22"/>
          <w:lang w:val="hr-HR"/>
        </w:rPr>
      </w:pPr>
      <w:r w:rsidRPr="00905C27">
        <w:rPr>
          <w:rFonts w:asciiTheme="minorHAnsi" w:hAnsiTheme="minorHAnsi" w:cs="Arial"/>
          <w:b w:val="0"/>
          <w:sz w:val="22"/>
          <w:szCs w:val="22"/>
          <w:lang w:val="hr-HR"/>
        </w:rPr>
        <w:t>Koncentracija imovine i garancija i preuzetih obveza prema industrijskim granama za obje godine sastavljena je sukladno Nacionalnoj klasifikac</w:t>
      </w:r>
      <w:r w:rsidR="0042708F">
        <w:rPr>
          <w:rFonts w:asciiTheme="minorHAnsi" w:hAnsiTheme="minorHAnsi" w:cs="Arial"/>
          <w:b w:val="0"/>
          <w:sz w:val="22"/>
          <w:szCs w:val="22"/>
          <w:lang w:val="hr-HR"/>
        </w:rPr>
        <w:t>i</w:t>
      </w:r>
      <w:r w:rsidRPr="00905C27">
        <w:rPr>
          <w:rFonts w:asciiTheme="minorHAnsi" w:hAnsiTheme="minorHAnsi" w:cs="Arial"/>
          <w:b w:val="0"/>
          <w:sz w:val="22"/>
          <w:szCs w:val="22"/>
          <w:lang w:val="hr-HR"/>
        </w:rPr>
        <w:t xml:space="preserve">ji djelatnosti iz 2007. godine („NKD 2007.“). </w:t>
      </w:r>
      <w:r w:rsidR="001A57D8">
        <w:rPr>
          <w:rFonts w:asciiTheme="minorHAnsi" w:hAnsiTheme="minorHAnsi" w:cs="Arial"/>
          <w:b w:val="0"/>
          <w:sz w:val="22"/>
          <w:szCs w:val="22"/>
          <w:lang w:val="hr-HR"/>
        </w:rPr>
        <w:t xml:space="preserve"> </w:t>
      </w:r>
    </w:p>
    <w:p w14:paraId="1CAD16A0" w14:textId="77777777" w:rsidR="00905C27" w:rsidRPr="00905C27" w:rsidRDefault="00905C27" w:rsidP="00905C27">
      <w:pPr>
        <w:pStyle w:val="T1"/>
        <w:spacing w:before="0" w:after="0" w:line="240" w:lineRule="auto"/>
        <w:rPr>
          <w:rFonts w:asciiTheme="minorHAnsi" w:hAnsiTheme="minorHAnsi" w:cs="Arial"/>
          <w:sz w:val="22"/>
          <w:szCs w:val="22"/>
          <w:lang w:val="hr-HR"/>
        </w:rPr>
      </w:pPr>
    </w:p>
    <w:p w14:paraId="3749B1AC" w14:textId="77777777" w:rsidR="00905C27" w:rsidRPr="00905C27" w:rsidRDefault="00905C27" w:rsidP="00905C27">
      <w:pPr>
        <w:spacing w:after="0" w:line="240" w:lineRule="auto"/>
        <w:jc w:val="both"/>
        <w:rPr>
          <w:rFonts w:cs="Arial"/>
        </w:rPr>
      </w:pPr>
      <w:r w:rsidRPr="00905C27">
        <w:rPr>
          <w:rFonts w:cs="Arial"/>
        </w:rPr>
        <w:t xml:space="preserve">Pri sastavljanju bilješke primjenjuje </w:t>
      </w:r>
      <w:r w:rsidRPr="00087E03">
        <w:rPr>
          <w:rFonts w:cs="Arial"/>
        </w:rPr>
        <w:t>se kombinirani pristup</w:t>
      </w:r>
      <w:r w:rsidRPr="00905C27">
        <w:rPr>
          <w:rFonts w:cs="Arial"/>
        </w:rPr>
        <w:t xml:space="preserve"> koji uvažava djelatnosti dužnika, zadržava nazive djelatnosti </w:t>
      </w:r>
      <w:r w:rsidR="00087E03">
        <w:rPr>
          <w:rFonts w:cs="Arial"/>
        </w:rPr>
        <w:t>drugačije od onih u Nacionalnoj</w:t>
      </w:r>
      <w:r w:rsidR="0073484A">
        <w:rPr>
          <w:rFonts w:cs="Arial"/>
        </w:rPr>
        <w:t xml:space="preserve"> </w:t>
      </w:r>
      <w:r w:rsidRPr="00905C27">
        <w:rPr>
          <w:rFonts w:cs="Arial"/>
        </w:rPr>
        <w:t>klasifikaciji djelatnosti te objedinjuje slične djelatnosti.</w:t>
      </w:r>
    </w:p>
    <w:p w14:paraId="2131DA25" w14:textId="77777777" w:rsidR="00905C27" w:rsidRDefault="00905C27" w:rsidP="00905C27">
      <w:pPr>
        <w:pStyle w:val="T1"/>
        <w:spacing w:before="0" w:after="0" w:line="240" w:lineRule="auto"/>
        <w:rPr>
          <w:rFonts w:asciiTheme="minorHAnsi" w:hAnsiTheme="minorHAnsi" w:cs="Arial"/>
          <w:sz w:val="22"/>
          <w:szCs w:val="22"/>
          <w:highlight w:val="yellow"/>
          <w:lang w:val="hr-HR"/>
        </w:rPr>
      </w:pPr>
    </w:p>
    <w:p w14:paraId="5F1F75D9" w14:textId="77777777" w:rsidR="00000EB5" w:rsidRPr="00905C27" w:rsidRDefault="00000EB5" w:rsidP="00905C27">
      <w:pPr>
        <w:pStyle w:val="T1"/>
        <w:spacing w:before="0" w:after="0" w:line="240" w:lineRule="auto"/>
        <w:rPr>
          <w:rFonts w:asciiTheme="minorHAnsi" w:hAnsiTheme="minorHAnsi" w:cs="Arial"/>
          <w:sz w:val="22"/>
          <w:szCs w:val="22"/>
          <w:highlight w:val="yellow"/>
          <w:lang w:val="hr-HR"/>
        </w:rPr>
        <w:sectPr w:rsidR="00000EB5" w:rsidRPr="00905C27" w:rsidSect="00312975">
          <w:footerReference w:type="default" r:id="rId92"/>
          <w:pgSz w:w="11906" w:h="16838" w:code="9"/>
          <w:pgMar w:top="1418" w:right="1418" w:bottom="595" w:left="1134" w:header="851" w:footer="851" w:gutter="0"/>
          <w:cols w:space="720"/>
          <w:noEndnote/>
          <w:docGrid w:linePitch="299"/>
        </w:sectPr>
      </w:pPr>
    </w:p>
    <w:p w14:paraId="108A7BEF" w14:textId="77777777" w:rsidR="007B2E93" w:rsidRDefault="007B2E93" w:rsidP="00905C27">
      <w:pPr>
        <w:pStyle w:val="T1"/>
        <w:spacing w:before="0" w:after="0" w:line="240" w:lineRule="auto"/>
        <w:rPr>
          <w:rFonts w:asciiTheme="minorHAnsi" w:hAnsiTheme="minorHAnsi" w:cs="Arial"/>
          <w:sz w:val="22"/>
          <w:szCs w:val="22"/>
          <w:lang w:val="hr-HR"/>
        </w:rPr>
      </w:pPr>
    </w:p>
    <w:p w14:paraId="2BC14609" w14:textId="77777777" w:rsidR="00905C27" w:rsidRDefault="00905C27" w:rsidP="00905C27">
      <w:pPr>
        <w:pStyle w:val="T1"/>
        <w:spacing w:before="0" w:after="0" w:line="240" w:lineRule="auto"/>
        <w:rPr>
          <w:rFonts w:asciiTheme="minorHAnsi" w:hAnsiTheme="minorHAnsi" w:cs="Arial"/>
          <w:sz w:val="22"/>
          <w:szCs w:val="22"/>
          <w:lang w:val="hr-HR"/>
        </w:rPr>
      </w:pPr>
      <w:r w:rsidRPr="00905C27">
        <w:rPr>
          <w:rFonts w:asciiTheme="minorHAnsi" w:hAnsiTheme="minorHAnsi" w:cs="Arial"/>
          <w:sz w:val="22"/>
          <w:szCs w:val="22"/>
          <w:lang w:val="hr-HR"/>
        </w:rPr>
        <w:t>1</w:t>
      </w:r>
      <w:r w:rsidR="00B01DFE">
        <w:rPr>
          <w:rFonts w:asciiTheme="minorHAnsi" w:hAnsiTheme="minorHAnsi" w:cs="Arial"/>
          <w:sz w:val="22"/>
          <w:szCs w:val="22"/>
          <w:lang w:val="hr-HR"/>
        </w:rPr>
        <w:t>6</w:t>
      </w:r>
      <w:r w:rsidRPr="00905C27">
        <w:rPr>
          <w:rFonts w:asciiTheme="minorHAnsi" w:hAnsiTheme="minorHAnsi" w:cs="Arial"/>
          <w:sz w:val="22"/>
          <w:szCs w:val="22"/>
          <w:lang w:val="hr-HR"/>
        </w:rPr>
        <w:t>.</w:t>
      </w:r>
      <w:r w:rsidRPr="00905C27">
        <w:rPr>
          <w:rFonts w:asciiTheme="minorHAnsi" w:hAnsiTheme="minorHAnsi" w:cs="Arial"/>
          <w:sz w:val="22"/>
          <w:szCs w:val="22"/>
          <w:lang w:val="hr-HR"/>
        </w:rPr>
        <w:tab/>
        <w:t>Upravljanje rizicima (nastavak)</w:t>
      </w:r>
    </w:p>
    <w:p w14:paraId="30A88250" w14:textId="77777777" w:rsidR="007B2E93" w:rsidRPr="00905C27" w:rsidRDefault="007B2E93" w:rsidP="00905C27">
      <w:pPr>
        <w:pStyle w:val="T1"/>
        <w:spacing w:before="0" w:after="0" w:line="240" w:lineRule="auto"/>
        <w:rPr>
          <w:rFonts w:asciiTheme="minorHAnsi" w:hAnsiTheme="minorHAnsi" w:cs="Arial"/>
          <w:sz w:val="22"/>
          <w:szCs w:val="22"/>
          <w:lang w:val="hr-HR"/>
        </w:rPr>
      </w:pPr>
    </w:p>
    <w:p w14:paraId="4B9C15FF" w14:textId="77777777" w:rsidR="00905C27" w:rsidRDefault="00905C27" w:rsidP="00905C27">
      <w:pPr>
        <w:pStyle w:val="T1"/>
        <w:spacing w:before="0" w:after="0" w:line="240" w:lineRule="auto"/>
        <w:rPr>
          <w:rFonts w:asciiTheme="minorHAnsi" w:hAnsiTheme="minorHAnsi" w:cs="Arial"/>
          <w:sz w:val="22"/>
          <w:szCs w:val="22"/>
          <w:lang w:val="hr-HR"/>
        </w:rPr>
      </w:pPr>
      <w:r w:rsidRPr="00905C27">
        <w:rPr>
          <w:rFonts w:asciiTheme="minorHAnsi" w:hAnsiTheme="minorHAnsi" w:cs="Arial"/>
          <w:sz w:val="22"/>
          <w:szCs w:val="22"/>
          <w:lang w:val="hr-HR"/>
        </w:rPr>
        <w:t>1</w:t>
      </w:r>
      <w:r w:rsidR="00B01DFE">
        <w:rPr>
          <w:rFonts w:asciiTheme="minorHAnsi" w:hAnsiTheme="minorHAnsi" w:cs="Arial"/>
          <w:sz w:val="22"/>
          <w:szCs w:val="22"/>
          <w:lang w:val="hr-HR"/>
        </w:rPr>
        <w:t>6</w:t>
      </w:r>
      <w:r w:rsidRPr="00905C27">
        <w:rPr>
          <w:rFonts w:asciiTheme="minorHAnsi" w:hAnsiTheme="minorHAnsi" w:cs="Arial"/>
          <w:sz w:val="22"/>
          <w:szCs w:val="22"/>
          <w:lang w:val="hr-HR"/>
        </w:rPr>
        <w:t xml:space="preserve">.2. </w:t>
      </w:r>
      <w:r w:rsidRPr="00905C27">
        <w:rPr>
          <w:rFonts w:asciiTheme="minorHAnsi" w:hAnsiTheme="minorHAnsi" w:cs="Arial"/>
          <w:sz w:val="22"/>
          <w:szCs w:val="22"/>
          <w:lang w:val="hr-HR"/>
        </w:rPr>
        <w:tab/>
        <w:t>Kreditni rizik (nastavak)</w:t>
      </w:r>
    </w:p>
    <w:p w14:paraId="3E04B6CC" w14:textId="77777777" w:rsidR="007B2E93" w:rsidRPr="00905C27" w:rsidRDefault="007B2E93" w:rsidP="00905C27">
      <w:pPr>
        <w:pStyle w:val="T1"/>
        <w:spacing w:before="0" w:after="0" w:line="240" w:lineRule="auto"/>
        <w:rPr>
          <w:rFonts w:asciiTheme="minorHAnsi" w:hAnsiTheme="minorHAnsi" w:cs="Arial"/>
          <w:sz w:val="22"/>
          <w:szCs w:val="22"/>
          <w:lang w:val="hr-HR"/>
        </w:rPr>
      </w:pPr>
    </w:p>
    <w:p w14:paraId="55E57DCF" w14:textId="77777777" w:rsidR="00905C27" w:rsidRDefault="00905C27" w:rsidP="00905C27">
      <w:pPr>
        <w:pStyle w:val="T1"/>
        <w:spacing w:before="0" w:after="0" w:line="240" w:lineRule="auto"/>
        <w:rPr>
          <w:rFonts w:asciiTheme="minorHAnsi" w:hAnsiTheme="minorHAnsi" w:cs="Arial"/>
          <w:sz w:val="22"/>
          <w:szCs w:val="22"/>
          <w:lang w:val="hr-HR"/>
        </w:rPr>
      </w:pPr>
      <w:r w:rsidRPr="00905C27">
        <w:rPr>
          <w:rFonts w:asciiTheme="minorHAnsi" w:hAnsiTheme="minorHAnsi" w:cs="Arial"/>
          <w:sz w:val="22"/>
          <w:szCs w:val="22"/>
          <w:lang w:val="hr-HR"/>
        </w:rPr>
        <w:t xml:space="preserve">Koncentracija rizika i </w:t>
      </w:r>
      <w:r w:rsidR="00640198">
        <w:rPr>
          <w:rFonts w:asciiTheme="minorHAnsi" w:hAnsiTheme="minorHAnsi" w:cs="Arial"/>
          <w:sz w:val="22"/>
          <w:szCs w:val="22"/>
          <w:lang w:val="hr-HR"/>
        </w:rPr>
        <w:t>maksimalna</w:t>
      </w:r>
      <w:r w:rsidRPr="00905C27">
        <w:rPr>
          <w:rFonts w:asciiTheme="minorHAnsi" w:hAnsiTheme="minorHAnsi" w:cs="Arial"/>
          <w:sz w:val="22"/>
          <w:szCs w:val="22"/>
          <w:lang w:val="hr-HR"/>
        </w:rPr>
        <w:t xml:space="preserve"> izloženost kreditnom riziku (nastavak)</w:t>
      </w:r>
    </w:p>
    <w:p w14:paraId="601855E6" w14:textId="77777777" w:rsidR="007B2E93" w:rsidRPr="00905C27" w:rsidRDefault="007B2E93" w:rsidP="00905C27">
      <w:pPr>
        <w:pStyle w:val="T1"/>
        <w:spacing w:before="0" w:after="0" w:line="240" w:lineRule="auto"/>
        <w:rPr>
          <w:rFonts w:asciiTheme="minorHAnsi" w:hAnsiTheme="minorHAnsi" w:cs="Arial"/>
          <w:sz w:val="22"/>
          <w:szCs w:val="22"/>
          <w:lang w:val="hr-HR"/>
        </w:rPr>
      </w:pPr>
    </w:p>
    <w:p w14:paraId="20A44162" w14:textId="779FA4DC" w:rsidR="003579C1" w:rsidRPr="00D72AC0" w:rsidRDefault="003579C1" w:rsidP="003579C1">
      <w:pPr>
        <w:tabs>
          <w:tab w:val="right" w:pos="9129"/>
        </w:tabs>
        <w:spacing w:after="0" w:line="240" w:lineRule="auto"/>
        <w:jc w:val="both"/>
        <w:rPr>
          <w:rFonts w:cs="Arial"/>
          <w:bCs/>
        </w:rPr>
      </w:pPr>
      <w:r w:rsidRPr="00D72AC0">
        <w:rPr>
          <w:rFonts w:cs="Arial"/>
          <w:bCs/>
        </w:rPr>
        <w:t xml:space="preserve">Fer vrijednost instrumenata osiguranja na dan </w:t>
      </w:r>
      <w:r w:rsidR="004E2EBC">
        <w:rPr>
          <w:rFonts w:cs="Arial"/>
          <w:bCs/>
        </w:rPr>
        <w:t>30</w:t>
      </w:r>
      <w:r w:rsidR="003A42A5">
        <w:rPr>
          <w:rFonts w:cs="Arial"/>
          <w:bCs/>
        </w:rPr>
        <w:t xml:space="preserve">. </w:t>
      </w:r>
      <w:r w:rsidR="004E2EBC">
        <w:rPr>
          <w:rFonts w:cs="Arial"/>
          <w:bCs/>
        </w:rPr>
        <w:t>lipnja</w:t>
      </w:r>
      <w:r w:rsidR="004E2EBC" w:rsidRPr="00D72AC0">
        <w:rPr>
          <w:rFonts w:cs="Arial"/>
          <w:bCs/>
        </w:rPr>
        <w:t xml:space="preserve"> </w:t>
      </w:r>
      <w:r w:rsidRPr="00D72AC0">
        <w:rPr>
          <w:rFonts w:cs="Arial"/>
          <w:bCs/>
        </w:rPr>
        <w:t>201</w:t>
      </w:r>
      <w:r w:rsidR="003A42A5">
        <w:rPr>
          <w:rFonts w:cs="Arial"/>
          <w:bCs/>
        </w:rPr>
        <w:t>7</w:t>
      </w:r>
      <w:r w:rsidRPr="00D72AC0">
        <w:rPr>
          <w:rFonts w:cs="Arial"/>
          <w:bCs/>
        </w:rPr>
        <w:t xml:space="preserve">. godini za Grupu iznosi </w:t>
      </w:r>
      <w:r w:rsidR="00951A9A">
        <w:rPr>
          <w:rFonts w:cs="Arial"/>
          <w:bCs/>
        </w:rPr>
        <w:t>27.</w:t>
      </w:r>
      <w:r w:rsidR="005A792B">
        <w:rPr>
          <w:rFonts w:cs="Arial"/>
          <w:bCs/>
        </w:rPr>
        <w:t>542.820</w:t>
      </w:r>
      <w:r w:rsidR="0060564D">
        <w:rPr>
          <w:rFonts w:cs="Arial"/>
          <w:bCs/>
        </w:rPr>
        <w:t xml:space="preserve"> </w:t>
      </w:r>
      <w:r w:rsidRPr="00D72AC0">
        <w:rPr>
          <w:rFonts w:cs="Arial"/>
          <w:bCs/>
        </w:rPr>
        <w:t>tisuća kuna (31. prosinca 201</w:t>
      </w:r>
      <w:r w:rsidR="003A42A5">
        <w:rPr>
          <w:rFonts w:cs="Arial"/>
          <w:bCs/>
        </w:rPr>
        <w:t>6</w:t>
      </w:r>
      <w:r w:rsidRPr="00D72AC0">
        <w:rPr>
          <w:rFonts w:cs="Arial"/>
          <w:bCs/>
        </w:rPr>
        <w:t xml:space="preserve">. godine: </w:t>
      </w:r>
      <w:r w:rsidR="003A42A5" w:rsidRPr="003A42A5">
        <w:rPr>
          <w:rFonts w:cs="Arial"/>
          <w:bCs/>
        </w:rPr>
        <w:t>27.157.039</w:t>
      </w:r>
      <w:r w:rsidRPr="00D72AC0">
        <w:rPr>
          <w:rFonts w:cs="Arial"/>
          <w:bCs/>
        </w:rPr>
        <w:t xml:space="preserve"> tisuća kuna), a za Banku iznosi </w:t>
      </w:r>
      <w:r w:rsidR="00951A9A">
        <w:rPr>
          <w:rFonts w:cs="Arial"/>
          <w:bCs/>
        </w:rPr>
        <w:t>27.</w:t>
      </w:r>
      <w:r w:rsidR="005A792B">
        <w:rPr>
          <w:rFonts w:cs="Arial"/>
          <w:bCs/>
        </w:rPr>
        <w:t>535.260</w:t>
      </w:r>
      <w:r w:rsidRPr="00D72AC0">
        <w:rPr>
          <w:rFonts w:cs="Arial"/>
          <w:bCs/>
        </w:rPr>
        <w:t xml:space="preserve"> tisuća kuna (31. prosinca 201</w:t>
      </w:r>
      <w:r w:rsidR="003A42A5">
        <w:rPr>
          <w:rFonts w:cs="Arial"/>
          <w:bCs/>
        </w:rPr>
        <w:t>6</w:t>
      </w:r>
      <w:r w:rsidRPr="00D72AC0">
        <w:rPr>
          <w:rFonts w:cs="Arial"/>
          <w:bCs/>
        </w:rPr>
        <w:t xml:space="preserve">. godine: </w:t>
      </w:r>
      <w:r w:rsidR="003A42A5" w:rsidRPr="003A42A5">
        <w:rPr>
          <w:rFonts w:cs="Arial"/>
          <w:bCs/>
        </w:rPr>
        <w:t>27.150.210</w:t>
      </w:r>
      <w:r w:rsidRPr="00D72AC0">
        <w:rPr>
          <w:rFonts w:cs="Arial"/>
          <w:bCs/>
        </w:rPr>
        <w:t xml:space="preserve"> tisuća kuna).</w:t>
      </w:r>
    </w:p>
    <w:p w14:paraId="586D047F" w14:textId="77777777" w:rsidR="003579C1" w:rsidRPr="00D72AC0" w:rsidRDefault="003579C1" w:rsidP="003579C1">
      <w:pPr>
        <w:tabs>
          <w:tab w:val="right" w:pos="9129"/>
        </w:tabs>
        <w:spacing w:after="0" w:line="240" w:lineRule="auto"/>
        <w:jc w:val="both"/>
        <w:rPr>
          <w:rFonts w:cs="Arial"/>
          <w:bCs/>
        </w:rPr>
      </w:pPr>
    </w:p>
    <w:p w14:paraId="6952694E" w14:textId="630B5296" w:rsidR="003579C1" w:rsidRPr="00D72AC0" w:rsidRDefault="003579C1" w:rsidP="003579C1">
      <w:pPr>
        <w:tabs>
          <w:tab w:val="right" w:pos="9129"/>
        </w:tabs>
        <w:spacing w:after="0" w:line="240" w:lineRule="auto"/>
        <w:jc w:val="both"/>
        <w:rPr>
          <w:rFonts w:cs="Arial"/>
          <w:bCs/>
        </w:rPr>
      </w:pPr>
      <w:r w:rsidRPr="00D72AC0">
        <w:rPr>
          <w:rFonts w:cs="Arial"/>
          <w:bCs/>
        </w:rPr>
        <w:t xml:space="preserve">U ukupnoj neto najvećoj izloženosti Banke na dan </w:t>
      </w:r>
      <w:r w:rsidR="004E2EBC" w:rsidRPr="003A42A5">
        <w:rPr>
          <w:rFonts w:cs="Arial"/>
          <w:bCs/>
        </w:rPr>
        <w:t>3</w:t>
      </w:r>
      <w:r w:rsidR="004E2EBC">
        <w:rPr>
          <w:rFonts w:cs="Arial"/>
          <w:bCs/>
        </w:rPr>
        <w:t>0</w:t>
      </w:r>
      <w:r w:rsidR="003A42A5" w:rsidRPr="003A42A5">
        <w:rPr>
          <w:rFonts w:cs="Arial"/>
          <w:bCs/>
        </w:rPr>
        <w:t xml:space="preserve">. </w:t>
      </w:r>
      <w:r w:rsidR="004E2EBC">
        <w:rPr>
          <w:rFonts w:cs="Arial"/>
          <w:bCs/>
        </w:rPr>
        <w:t xml:space="preserve">lipnja </w:t>
      </w:r>
      <w:r w:rsidR="00FA64FA">
        <w:rPr>
          <w:rFonts w:cs="Arial"/>
          <w:bCs/>
        </w:rPr>
        <w:t>2017</w:t>
      </w:r>
      <w:r>
        <w:rPr>
          <w:rFonts w:cs="Arial"/>
          <w:bCs/>
        </w:rPr>
        <w:t>.</w:t>
      </w:r>
      <w:r w:rsidRPr="00D72AC0">
        <w:rPr>
          <w:rFonts w:cs="Arial"/>
          <w:bCs/>
        </w:rPr>
        <w:t xml:space="preserve"> godine iznos kreditnog rizika od </w:t>
      </w:r>
      <w:r w:rsidR="0024506F">
        <w:rPr>
          <w:rFonts w:cs="Arial"/>
          <w:bCs/>
        </w:rPr>
        <w:t>3.686.316</w:t>
      </w:r>
      <w:r w:rsidRPr="00D72AC0">
        <w:rPr>
          <w:rFonts w:cs="Arial"/>
          <w:bCs/>
        </w:rPr>
        <w:t xml:space="preserve"> tisuća kuna (31. prosinca 201</w:t>
      </w:r>
      <w:r w:rsidR="003A42A5">
        <w:rPr>
          <w:rFonts w:cs="Arial"/>
          <w:bCs/>
        </w:rPr>
        <w:t>6</w:t>
      </w:r>
      <w:r w:rsidRPr="00D72AC0">
        <w:rPr>
          <w:rFonts w:cs="Arial"/>
          <w:bCs/>
        </w:rPr>
        <w:t xml:space="preserve">. godine: </w:t>
      </w:r>
      <w:r w:rsidR="003A42A5" w:rsidRPr="003A42A5">
        <w:rPr>
          <w:rFonts w:cs="Arial"/>
          <w:bCs/>
        </w:rPr>
        <w:t>4.136.125</w:t>
      </w:r>
      <w:r w:rsidRPr="00D72AC0">
        <w:rPr>
          <w:rFonts w:cs="Arial"/>
          <w:bCs/>
        </w:rPr>
        <w:t xml:space="preserve"> tisuća kuna) nije pokriven uobičajenim instrumentima osiguranja, ali se odnosi na potraživanja i primljena sredstva od Republike Hrvatske u iznosu od</w:t>
      </w:r>
      <w:r w:rsidR="0060564D" w:rsidRPr="0060564D">
        <w:rPr>
          <w:rFonts w:cs="Arial"/>
          <w:bCs/>
        </w:rPr>
        <w:t xml:space="preserve"> </w:t>
      </w:r>
      <w:r w:rsidR="0024506F">
        <w:rPr>
          <w:rFonts w:cs="Arial"/>
          <w:bCs/>
        </w:rPr>
        <w:t>606.412</w:t>
      </w:r>
      <w:r>
        <w:rPr>
          <w:rFonts w:cs="Arial"/>
          <w:bCs/>
        </w:rPr>
        <w:t xml:space="preserve"> </w:t>
      </w:r>
      <w:r w:rsidRPr="00D72AC0">
        <w:rPr>
          <w:rFonts w:cs="Arial"/>
          <w:bCs/>
        </w:rPr>
        <w:t>tisuća kuna (31. prosinca 201</w:t>
      </w:r>
      <w:r w:rsidR="003A42A5">
        <w:rPr>
          <w:rFonts w:cs="Arial"/>
          <w:bCs/>
        </w:rPr>
        <w:t>6</w:t>
      </w:r>
      <w:r w:rsidRPr="00D72AC0">
        <w:rPr>
          <w:rFonts w:cs="Arial"/>
          <w:bCs/>
        </w:rPr>
        <w:t xml:space="preserve">. godine: </w:t>
      </w:r>
      <w:r w:rsidR="003A42A5" w:rsidRPr="003A42A5">
        <w:rPr>
          <w:rFonts w:cs="Arial"/>
          <w:bCs/>
        </w:rPr>
        <w:t>867.410</w:t>
      </w:r>
      <w:r w:rsidRPr="00D72AC0">
        <w:rPr>
          <w:rFonts w:cs="Arial"/>
          <w:bCs/>
        </w:rPr>
        <w:t xml:space="preserve"> tisuća kuna), jedinica lokalne i područne (regionalne) samouprave u iznosu od </w:t>
      </w:r>
      <w:r w:rsidR="0024506F">
        <w:rPr>
          <w:rFonts w:cs="Arial"/>
          <w:bCs/>
        </w:rPr>
        <w:t>501.210</w:t>
      </w:r>
      <w:r w:rsidRPr="00D12EBA">
        <w:rPr>
          <w:rFonts w:cs="Arial"/>
          <w:bCs/>
        </w:rPr>
        <w:t xml:space="preserve"> </w:t>
      </w:r>
      <w:r w:rsidRPr="00EB454A">
        <w:rPr>
          <w:rFonts w:cs="Arial"/>
          <w:bCs/>
        </w:rPr>
        <w:t>t</w:t>
      </w:r>
      <w:r w:rsidRPr="00D72AC0">
        <w:rPr>
          <w:rFonts w:cs="Arial"/>
          <w:bCs/>
        </w:rPr>
        <w:t>isuća kuna (31. prosinca 201</w:t>
      </w:r>
      <w:r w:rsidR="003A42A5">
        <w:rPr>
          <w:rFonts w:cs="Arial"/>
          <w:bCs/>
        </w:rPr>
        <w:t>6</w:t>
      </w:r>
      <w:r w:rsidRPr="00D72AC0">
        <w:rPr>
          <w:rFonts w:cs="Arial"/>
          <w:bCs/>
        </w:rPr>
        <w:t xml:space="preserve">. godine: </w:t>
      </w:r>
      <w:r w:rsidR="003A42A5" w:rsidRPr="003A42A5">
        <w:rPr>
          <w:rFonts w:cs="Arial"/>
          <w:bCs/>
        </w:rPr>
        <w:t>395.629</w:t>
      </w:r>
      <w:r w:rsidRPr="00D72AC0">
        <w:rPr>
          <w:rFonts w:cs="Arial"/>
          <w:bCs/>
        </w:rPr>
        <w:t xml:space="preserve"> tisuća kuna), državnih trgovačkih društava za čije obveze Republika Hrvatska odgovara solidarno i neograničeno u iznosu od </w:t>
      </w:r>
      <w:r w:rsidR="0024506F">
        <w:rPr>
          <w:rFonts w:cs="Arial"/>
          <w:bCs/>
        </w:rPr>
        <w:t>241.368</w:t>
      </w:r>
      <w:r>
        <w:rPr>
          <w:rFonts w:cs="Arial"/>
          <w:bCs/>
        </w:rPr>
        <w:t xml:space="preserve"> </w:t>
      </w:r>
      <w:r w:rsidRPr="00D72AC0">
        <w:rPr>
          <w:rFonts w:cs="Arial"/>
          <w:bCs/>
        </w:rPr>
        <w:t>tisuća kuna (31. prosinca 201</w:t>
      </w:r>
      <w:r w:rsidR="003A42A5">
        <w:rPr>
          <w:rFonts w:cs="Arial"/>
          <w:bCs/>
        </w:rPr>
        <w:t>6</w:t>
      </w:r>
      <w:r w:rsidRPr="00D72AC0">
        <w:rPr>
          <w:rFonts w:cs="Arial"/>
          <w:bCs/>
        </w:rPr>
        <w:t xml:space="preserve">. godine: </w:t>
      </w:r>
      <w:r w:rsidR="003A42A5" w:rsidRPr="003A42A5">
        <w:rPr>
          <w:rFonts w:cs="Arial"/>
          <w:bCs/>
        </w:rPr>
        <w:t>242.735</w:t>
      </w:r>
      <w:r w:rsidRPr="00D72AC0">
        <w:rPr>
          <w:rFonts w:cs="Arial"/>
          <w:bCs/>
        </w:rPr>
        <w:t xml:space="preserve"> tisuća kuna), republičkih fondova u iznosu od </w:t>
      </w:r>
      <w:r w:rsidR="0024506F">
        <w:rPr>
          <w:rFonts w:cs="Arial"/>
          <w:bCs/>
        </w:rPr>
        <w:t>501</w:t>
      </w:r>
      <w:r w:rsidR="0024506F" w:rsidRPr="00D12EBA">
        <w:rPr>
          <w:rFonts w:cs="Arial"/>
          <w:bCs/>
        </w:rPr>
        <w:t xml:space="preserve"> </w:t>
      </w:r>
      <w:r w:rsidRPr="00D72AC0">
        <w:rPr>
          <w:rFonts w:cs="Arial"/>
          <w:bCs/>
        </w:rPr>
        <w:t>tisuća kuna (31. prosinca 201</w:t>
      </w:r>
      <w:r w:rsidR="003A42A5">
        <w:rPr>
          <w:rFonts w:cs="Arial"/>
          <w:bCs/>
        </w:rPr>
        <w:t>6</w:t>
      </w:r>
      <w:r w:rsidRPr="00D72AC0">
        <w:rPr>
          <w:rFonts w:cs="Arial"/>
          <w:bCs/>
        </w:rPr>
        <w:t xml:space="preserve">. godine: </w:t>
      </w:r>
      <w:r w:rsidR="003A42A5">
        <w:rPr>
          <w:rFonts w:cs="Arial"/>
          <w:bCs/>
        </w:rPr>
        <w:t>1.250</w:t>
      </w:r>
      <w:r w:rsidRPr="00D72AC0">
        <w:rPr>
          <w:rFonts w:cs="Arial"/>
          <w:bCs/>
        </w:rPr>
        <w:t xml:space="preserve"> tisuća kuna), obveznica RH i trezorskih zapisa Ministarstva financija u iznosu od </w:t>
      </w:r>
      <w:r w:rsidR="0024506F">
        <w:rPr>
          <w:rFonts w:cs="Arial"/>
          <w:bCs/>
        </w:rPr>
        <w:t>2.148.195</w:t>
      </w:r>
      <w:r w:rsidRPr="00D72AC0">
        <w:rPr>
          <w:rFonts w:cs="Arial"/>
          <w:bCs/>
        </w:rPr>
        <w:t xml:space="preserve"> tisuća kuna (31. prosinca 201</w:t>
      </w:r>
      <w:r w:rsidR="009557C4">
        <w:rPr>
          <w:rFonts w:cs="Arial"/>
          <w:bCs/>
        </w:rPr>
        <w:t>6</w:t>
      </w:r>
      <w:r w:rsidRPr="00D72AC0">
        <w:rPr>
          <w:rFonts w:cs="Arial"/>
          <w:bCs/>
        </w:rPr>
        <w:t xml:space="preserve">. godine: </w:t>
      </w:r>
      <w:r w:rsidR="009557C4" w:rsidRPr="009557C4">
        <w:rPr>
          <w:rFonts w:cs="Arial"/>
          <w:bCs/>
        </w:rPr>
        <w:t>2.399.224</w:t>
      </w:r>
      <w:r w:rsidRPr="00D72AC0">
        <w:rPr>
          <w:rFonts w:cs="Arial"/>
          <w:bCs/>
        </w:rPr>
        <w:t xml:space="preserve"> tisuća kuna). Osim toga, iznos od </w:t>
      </w:r>
      <w:r w:rsidR="0024506F">
        <w:rPr>
          <w:rFonts w:cs="Arial"/>
          <w:bCs/>
        </w:rPr>
        <w:t>188.630</w:t>
      </w:r>
      <w:r>
        <w:rPr>
          <w:rFonts w:cs="Arial"/>
          <w:bCs/>
        </w:rPr>
        <w:t xml:space="preserve"> </w:t>
      </w:r>
      <w:r w:rsidRPr="00D72AC0">
        <w:rPr>
          <w:rFonts w:cs="Arial"/>
          <w:bCs/>
        </w:rPr>
        <w:t>tisuća kuna (31. prosinca 201</w:t>
      </w:r>
      <w:r w:rsidR="009557C4">
        <w:rPr>
          <w:rFonts w:cs="Arial"/>
          <w:bCs/>
        </w:rPr>
        <w:t>6</w:t>
      </w:r>
      <w:r w:rsidRPr="00D72AC0">
        <w:rPr>
          <w:rFonts w:cs="Arial"/>
          <w:bCs/>
        </w:rPr>
        <w:t xml:space="preserve">. godine: </w:t>
      </w:r>
      <w:r w:rsidR="009557C4" w:rsidRPr="009557C4">
        <w:rPr>
          <w:rFonts w:cs="Arial"/>
          <w:bCs/>
        </w:rPr>
        <w:t>229.877</w:t>
      </w:r>
      <w:r w:rsidRPr="00D72AC0">
        <w:rPr>
          <w:rFonts w:cs="Arial"/>
          <w:bCs/>
        </w:rPr>
        <w:t xml:space="preserve"> tisuća kuna) odnosi se na potraživanja od trgovačkog društva u većinskom državnom vlasništvu (kontrolni utjecaj).</w:t>
      </w:r>
    </w:p>
    <w:p w14:paraId="199EC821" w14:textId="77777777" w:rsidR="00905C27" w:rsidRPr="00B90EC1" w:rsidRDefault="00905C27" w:rsidP="00905C27">
      <w:pPr>
        <w:tabs>
          <w:tab w:val="right" w:pos="9129"/>
        </w:tabs>
        <w:spacing w:after="0" w:line="240" w:lineRule="auto"/>
        <w:jc w:val="both"/>
        <w:rPr>
          <w:rFonts w:cs="Arial"/>
          <w:bCs/>
        </w:rPr>
      </w:pPr>
    </w:p>
    <w:p w14:paraId="7B7057F3" w14:textId="77777777" w:rsidR="00905C27" w:rsidRPr="00743655" w:rsidRDefault="00905C27" w:rsidP="00905C27">
      <w:pPr>
        <w:tabs>
          <w:tab w:val="right" w:pos="9129"/>
        </w:tabs>
        <w:spacing w:after="0" w:line="240" w:lineRule="auto"/>
        <w:jc w:val="both"/>
        <w:rPr>
          <w:rFonts w:cs="Arial"/>
          <w:bCs/>
        </w:rPr>
      </w:pPr>
      <w:r w:rsidRPr="00B90EC1">
        <w:rPr>
          <w:rFonts w:cs="Arial"/>
          <w:bCs/>
        </w:rPr>
        <w:t>Dio plasmana koji imaju iskazanu neto izloženost odnosi se na plasmane koji</w:t>
      </w:r>
      <w:r w:rsidRPr="00743655">
        <w:rPr>
          <w:rFonts w:cs="Arial"/>
          <w:bCs/>
        </w:rPr>
        <w:t xml:space="preserve"> su privremeno djelomično pokriveni instrumentima osiguranja te je daljnje plasiranje po odobrenom plasmanu obustavljeno sve do pribavljanja instrumenata osiguranja potrebnih za udovoljavanje potrebnog omjera vrijednosti predmeta osiguranja i plasmana. </w:t>
      </w:r>
    </w:p>
    <w:p w14:paraId="1FEB0DCD" w14:textId="77777777" w:rsidR="00905C27" w:rsidRPr="00743655" w:rsidRDefault="00905C27" w:rsidP="00905C27">
      <w:pPr>
        <w:tabs>
          <w:tab w:val="right" w:pos="9129"/>
        </w:tabs>
        <w:spacing w:after="0" w:line="240" w:lineRule="auto"/>
        <w:jc w:val="both"/>
        <w:rPr>
          <w:rFonts w:cs="Arial"/>
          <w:bCs/>
        </w:rPr>
      </w:pPr>
    </w:p>
    <w:p w14:paraId="177D2327" w14:textId="77777777" w:rsidR="00905C27" w:rsidRPr="00905C27" w:rsidRDefault="00905C27" w:rsidP="00905C27">
      <w:pPr>
        <w:tabs>
          <w:tab w:val="right" w:pos="9129"/>
        </w:tabs>
        <w:spacing w:after="0" w:line="240" w:lineRule="auto"/>
        <w:jc w:val="both"/>
        <w:rPr>
          <w:rFonts w:cs="Arial"/>
          <w:bCs/>
        </w:rPr>
      </w:pPr>
      <w:r w:rsidRPr="00743655">
        <w:rPr>
          <w:rFonts w:cs="Arial"/>
          <w:bCs/>
        </w:rPr>
        <w:t>Djelatnost financijskog posredovanja najvećim dijelom uključuje poslovne banke</w:t>
      </w:r>
      <w:r w:rsidR="007B2E93" w:rsidRPr="00743655">
        <w:rPr>
          <w:rFonts w:cs="Arial"/>
          <w:bCs/>
        </w:rPr>
        <w:t>.</w:t>
      </w:r>
    </w:p>
    <w:p w14:paraId="36BA530E" w14:textId="77777777" w:rsidR="003579C1" w:rsidRDefault="003579C1" w:rsidP="003579C1">
      <w:pPr>
        <w:pStyle w:val="T1"/>
        <w:spacing w:before="0" w:after="0" w:line="240" w:lineRule="auto"/>
        <w:rPr>
          <w:rFonts w:asciiTheme="minorHAnsi" w:hAnsiTheme="minorHAnsi" w:cs="Arial"/>
          <w:b w:val="0"/>
          <w:bCs w:val="0"/>
          <w:sz w:val="22"/>
          <w:szCs w:val="22"/>
          <w:lang w:val="hr-HR"/>
        </w:rPr>
      </w:pPr>
    </w:p>
    <w:p w14:paraId="2511094B" w14:textId="77777777" w:rsidR="003579C1" w:rsidRPr="00905C27" w:rsidRDefault="003579C1" w:rsidP="003579C1">
      <w:pPr>
        <w:pStyle w:val="T1"/>
        <w:spacing w:before="0" w:after="0" w:line="240" w:lineRule="auto"/>
        <w:rPr>
          <w:rFonts w:asciiTheme="minorHAnsi" w:hAnsiTheme="minorHAnsi" w:cs="Arial"/>
          <w:b w:val="0"/>
          <w:bCs w:val="0"/>
          <w:sz w:val="22"/>
          <w:szCs w:val="22"/>
          <w:lang w:val="hr-HR"/>
        </w:rPr>
      </w:pPr>
      <w:r w:rsidRPr="00905C27">
        <w:rPr>
          <w:rFonts w:asciiTheme="minorHAnsi" w:hAnsiTheme="minorHAnsi" w:cs="Arial"/>
          <w:b w:val="0"/>
          <w:bCs w:val="0"/>
          <w:sz w:val="22"/>
          <w:szCs w:val="22"/>
          <w:lang w:val="hr-HR"/>
        </w:rPr>
        <w:t>Izloženost kreditnom riziku prema rizičnim skupinama:</w:t>
      </w:r>
    </w:p>
    <w:p w14:paraId="199E477C" w14:textId="77777777" w:rsidR="003579C1" w:rsidRPr="00905C27" w:rsidRDefault="003579C1" w:rsidP="003579C1">
      <w:pPr>
        <w:pStyle w:val="T1"/>
        <w:spacing w:before="0" w:after="0" w:line="240" w:lineRule="auto"/>
        <w:rPr>
          <w:rFonts w:asciiTheme="minorHAnsi" w:hAnsiTheme="minorHAnsi" w:cs="Arial"/>
          <w:b w:val="0"/>
          <w:bCs w:val="0"/>
          <w:sz w:val="22"/>
          <w:szCs w:val="22"/>
          <w:lang w:val="hr-HR"/>
        </w:rPr>
      </w:pPr>
    </w:p>
    <w:tbl>
      <w:tblPr>
        <w:tblW w:w="5304" w:type="pct"/>
        <w:jc w:val="center"/>
        <w:tblLayout w:type="fixed"/>
        <w:tblCellMar>
          <w:left w:w="119" w:type="dxa"/>
          <w:right w:w="119" w:type="dxa"/>
        </w:tblCellMar>
        <w:tblLook w:val="0000" w:firstRow="0" w:lastRow="0" w:firstColumn="0" w:lastColumn="0" w:noHBand="0" w:noVBand="0"/>
      </w:tblPr>
      <w:tblGrid>
        <w:gridCol w:w="870"/>
        <w:gridCol w:w="1374"/>
        <w:gridCol w:w="1177"/>
        <w:gridCol w:w="1625"/>
        <w:gridCol w:w="449"/>
        <w:gridCol w:w="1177"/>
        <w:gridCol w:w="1625"/>
        <w:gridCol w:w="449"/>
        <w:gridCol w:w="1177"/>
      </w:tblGrid>
      <w:tr w:rsidR="0024506F" w:rsidRPr="00905C27" w14:paraId="59C61554" w14:textId="77777777" w:rsidTr="0024506F">
        <w:trPr>
          <w:trHeight w:val="1140"/>
          <w:jc w:val="center"/>
        </w:trPr>
        <w:tc>
          <w:tcPr>
            <w:tcW w:w="438" w:type="pct"/>
            <w:vAlign w:val="center"/>
          </w:tcPr>
          <w:p w14:paraId="68290D3A" w14:textId="77777777" w:rsidR="003579C1" w:rsidRPr="00007FC2" w:rsidRDefault="003579C1" w:rsidP="003579C1">
            <w:pPr>
              <w:pStyle w:val="TT"/>
              <w:jc w:val="center"/>
              <w:rPr>
                <w:rFonts w:asciiTheme="minorHAnsi" w:hAnsiTheme="minorHAnsi" w:cs="Arial"/>
                <w:b/>
                <w:spacing w:val="-2"/>
                <w:sz w:val="20"/>
                <w:lang w:val="hr-HR"/>
              </w:rPr>
            </w:pPr>
            <w:r w:rsidRPr="00007FC2">
              <w:rPr>
                <w:rFonts w:asciiTheme="minorHAnsi" w:hAnsiTheme="minorHAnsi" w:cs="Arial"/>
                <w:b/>
                <w:spacing w:val="-2"/>
                <w:sz w:val="20"/>
                <w:lang w:val="hr-HR"/>
              </w:rPr>
              <w:t>Rizična</w:t>
            </w:r>
          </w:p>
          <w:p w14:paraId="09ED5838" w14:textId="77777777" w:rsidR="003579C1" w:rsidRPr="00905C27" w:rsidRDefault="003579C1" w:rsidP="003579C1">
            <w:pPr>
              <w:pStyle w:val="TT"/>
              <w:jc w:val="center"/>
              <w:rPr>
                <w:rFonts w:asciiTheme="minorHAnsi" w:hAnsiTheme="minorHAnsi" w:cs="Arial"/>
                <w:b/>
                <w:spacing w:val="-2"/>
                <w:sz w:val="20"/>
                <w:lang w:val="hr-HR"/>
              </w:rPr>
            </w:pPr>
            <w:r w:rsidRPr="00007FC2">
              <w:rPr>
                <w:rFonts w:asciiTheme="minorHAnsi" w:hAnsiTheme="minorHAnsi" w:cs="Arial"/>
                <w:b/>
                <w:spacing w:val="-2"/>
                <w:sz w:val="20"/>
                <w:lang w:val="hr-HR"/>
              </w:rPr>
              <w:t>skupina</w:t>
            </w:r>
          </w:p>
        </w:tc>
        <w:tc>
          <w:tcPr>
            <w:tcW w:w="692" w:type="pct"/>
            <w:vAlign w:val="center"/>
          </w:tcPr>
          <w:p w14:paraId="715E1044" w14:textId="77777777" w:rsidR="003579C1" w:rsidRPr="00905C27" w:rsidRDefault="003579C1" w:rsidP="003579C1">
            <w:pPr>
              <w:pStyle w:val="Tot"/>
              <w:jc w:val="right"/>
              <w:rPr>
                <w:rFonts w:asciiTheme="minorHAnsi" w:hAnsiTheme="minorHAnsi" w:cs="Arial"/>
                <w:b/>
                <w:spacing w:val="-2"/>
                <w:sz w:val="20"/>
                <w:lang w:val="hr-HR"/>
              </w:rPr>
            </w:pPr>
            <w:r w:rsidRPr="00905C27">
              <w:rPr>
                <w:rFonts w:asciiTheme="minorHAnsi" w:hAnsiTheme="minorHAnsi" w:cs="Arial"/>
                <w:b/>
                <w:spacing w:val="-2"/>
                <w:sz w:val="20"/>
                <w:lang w:val="hr-HR"/>
              </w:rPr>
              <w:t xml:space="preserve">Stopa  </w:t>
            </w:r>
          </w:p>
          <w:p w14:paraId="40A2FC2F" w14:textId="77777777" w:rsidR="003579C1" w:rsidRPr="00905C27" w:rsidRDefault="003579C1" w:rsidP="003579C1">
            <w:pPr>
              <w:pStyle w:val="Tot"/>
              <w:jc w:val="right"/>
              <w:rPr>
                <w:rFonts w:asciiTheme="minorHAnsi" w:hAnsiTheme="minorHAnsi" w:cs="Arial"/>
                <w:b/>
                <w:spacing w:val="-2"/>
                <w:sz w:val="20"/>
                <w:lang w:val="hr-HR"/>
              </w:rPr>
            </w:pPr>
            <w:r w:rsidRPr="00905C27">
              <w:rPr>
                <w:rFonts w:asciiTheme="minorHAnsi" w:hAnsiTheme="minorHAnsi" w:cs="Arial"/>
                <w:b/>
                <w:spacing w:val="-2"/>
                <w:sz w:val="20"/>
                <w:lang w:val="hr-HR"/>
              </w:rPr>
              <w:t xml:space="preserve">povijesnog </w:t>
            </w:r>
          </w:p>
          <w:p w14:paraId="47B17E1A" w14:textId="77777777" w:rsidR="003579C1" w:rsidRPr="00905C27" w:rsidRDefault="003579C1" w:rsidP="003579C1">
            <w:pPr>
              <w:pStyle w:val="TT"/>
              <w:jc w:val="right"/>
              <w:rPr>
                <w:rFonts w:asciiTheme="minorHAnsi" w:hAnsiTheme="minorHAnsi" w:cs="Arial"/>
                <w:b/>
                <w:spacing w:val="-2"/>
                <w:sz w:val="20"/>
                <w:lang w:val="hr-HR"/>
              </w:rPr>
            </w:pPr>
            <w:r w:rsidRPr="00905C27">
              <w:rPr>
                <w:rFonts w:asciiTheme="minorHAnsi" w:hAnsiTheme="minorHAnsi" w:cs="Arial"/>
                <w:b/>
                <w:spacing w:val="-2"/>
                <w:sz w:val="20"/>
                <w:lang w:val="hr-HR"/>
              </w:rPr>
              <w:t>kašnjenja (%)</w:t>
            </w:r>
          </w:p>
        </w:tc>
        <w:tc>
          <w:tcPr>
            <w:tcW w:w="593" w:type="pct"/>
            <w:vAlign w:val="center"/>
          </w:tcPr>
          <w:p w14:paraId="7F3F7BEA" w14:textId="77777777" w:rsidR="003579C1" w:rsidRPr="00905C27" w:rsidRDefault="003579C1" w:rsidP="003579C1">
            <w:pPr>
              <w:pStyle w:val="Tot"/>
              <w:jc w:val="right"/>
              <w:rPr>
                <w:rFonts w:asciiTheme="minorHAnsi" w:hAnsiTheme="minorHAnsi" w:cs="Arial"/>
                <w:b/>
                <w:spacing w:val="-2"/>
                <w:sz w:val="20"/>
                <w:lang w:val="hr-HR"/>
              </w:rPr>
            </w:pPr>
            <w:r w:rsidRPr="00905C27">
              <w:rPr>
                <w:rFonts w:asciiTheme="minorHAnsi" w:hAnsiTheme="minorHAnsi" w:cs="Arial"/>
                <w:b/>
                <w:spacing w:val="-2"/>
                <w:sz w:val="20"/>
                <w:lang w:val="hr-HR"/>
              </w:rPr>
              <w:t xml:space="preserve">Stopa  </w:t>
            </w:r>
          </w:p>
          <w:p w14:paraId="4181C35B" w14:textId="77777777" w:rsidR="003579C1" w:rsidRPr="00905C27" w:rsidRDefault="003579C1" w:rsidP="003579C1">
            <w:pPr>
              <w:pStyle w:val="Tot"/>
              <w:jc w:val="right"/>
              <w:rPr>
                <w:rFonts w:asciiTheme="minorHAnsi" w:hAnsiTheme="minorHAnsi" w:cs="Arial"/>
                <w:b/>
                <w:spacing w:val="-2"/>
                <w:sz w:val="20"/>
                <w:lang w:val="hr-HR"/>
              </w:rPr>
            </w:pPr>
            <w:r w:rsidRPr="00905C27">
              <w:rPr>
                <w:rFonts w:asciiTheme="minorHAnsi" w:hAnsiTheme="minorHAnsi" w:cs="Arial"/>
                <w:b/>
                <w:spacing w:val="-2"/>
                <w:sz w:val="20"/>
                <w:lang w:val="hr-HR"/>
              </w:rPr>
              <w:t xml:space="preserve">povijesnog </w:t>
            </w:r>
          </w:p>
          <w:p w14:paraId="2A3063EF" w14:textId="77777777" w:rsidR="003579C1" w:rsidRPr="00905C27" w:rsidRDefault="003579C1" w:rsidP="003579C1">
            <w:pPr>
              <w:pStyle w:val="TT"/>
              <w:jc w:val="right"/>
              <w:rPr>
                <w:rFonts w:asciiTheme="minorHAnsi" w:hAnsiTheme="minorHAnsi" w:cs="Arial"/>
                <w:b/>
                <w:spacing w:val="-3"/>
                <w:sz w:val="20"/>
                <w:lang w:val="hr-HR"/>
              </w:rPr>
            </w:pPr>
            <w:r w:rsidRPr="00905C27">
              <w:rPr>
                <w:rFonts w:asciiTheme="minorHAnsi" w:hAnsiTheme="minorHAnsi" w:cs="Arial"/>
                <w:b/>
                <w:spacing w:val="-2"/>
                <w:sz w:val="20"/>
                <w:lang w:val="hr-HR"/>
              </w:rPr>
              <w:t>kašnjenja (%)</w:t>
            </w:r>
          </w:p>
        </w:tc>
        <w:tc>
          <w:tcPr>
            <w:tcW w:w="819" w:type="pct"/>
            <w:vAlign w:val="center"/>
          </w:tcPr>
          <w:p w14:paraId="1D76948E" w14:textId="77777777" w:rsidR="003579C1" w:rsidRPr="00905C27" w:rsidRDefault="003579C1" w:rsidP="003579C1">
            <w:pPr>
              <w:pStyle w:val="TT"/>
              <w:jc w:val="right"/>
              <w:rPr>
                <w:rFonts w:asciiTheme="minorHAnsi" w:hAnsiTheme="minorHAnsi" w:cs="Arial"/>
                <w:b/>
                <w:spacing w:val="-3"/>
                <w:sz w:val="20"/>
                <w:lang w:val="hr-HR"/>
              </w:rPr>
            </w:pPr>
          </w:p>
          <w:p w14:paraId="692DBF0F" w14:textId="77777777" w:rsidR="003579C1" w:rsidRPr="00905C27" w:rsidRDefault="003579C1" w:rsidP="003579C1">
            <w:pPr>
              <w:pStyle w:val="TT"/>
              <w:jc w:val="right"/>
              <w:rPr>
                <w:rFonts w:asciiTheme="minorHAnsi" w:hAnsiTheme="minorHAnsi" w:cs="Arial"/>
                <w:b/>
                <w:spacing w:val="-3"/>
                <w:sz w:val="20"/>
                <w:lang w:val="hr-HR"/>
              </w:rPr>
            </w:pPr>
          </w:p>
          <w:p w14:paraId="1B079A7D" w14:textId="77777777" w:rsidR="003579C1" w:rsidRPr="00905C27" w:rsidRDefault="003579C1" w:rsidP="003579C1">
            <w:pPr>
              <w:pStyle w:val="TT"/>
              <w:jc w:val="right"/>
              <w:rPr>
                <w:rFonts w:asciiTheme="minorHAnsi" w:hAnsiTheme="minorHAnsi" w:cs="Arial"/>
                <w:b/>
                <w:spacing w:val="-3"/>
                <w:sz w:val="20"/>
                <w:lang w:val="hr-HR"/>
              </w:rPr>
            </w:pPr>
          </w:p>
          <w:p w14:paraId="0DBE6071" w14:textId="77777777" w:rsidR="003579C1" w:rsidRPr="00905C27" w:rsidRDefault="003579C1" w:rsidP="003579C1">
            <w:pPr>
              <w:pStyle w:val="TT"/>
              <w:jc w:val="right"/>
              <w:rPr>
                <w:rFonts w:asciiTheme="minorHAnsi" w:hAnsiTheme="minorHAnsi" w:cs="Arial"/>
                <w:b/>
                <w:spacing w:val="-3"/>
                <w:sz w:val="20"/>
                <w:lang w:val="hr-HR"/>
              </w:rPr>
            </w:pPr>
          </w:p>
        </w:tc>
        <w:tc>
          <w:tcPr>
            <w:tcW w:w="819" w:type="pct"/>
            <w:gridSpan w:val="2"/>
            <w:vAlign w:val="center"/>
          </w:tcPr>
          <w:p w14:paraId="5B8676E9" w14:textId="77777777" w:rsidR="003579C1" w:rsidRPr="00905C27" w:rsidRDefault="003579C1" w:rsidP="003579C1">
            <w:pPr>
              <w:pStyle w:val="TT"/>
              <w:jc w:val="right"/>
              <w:rPr>
                <w:rFonts w:asciiTheme="minorHAnsi" w:hAnsiTheme="minorHAnsi" w:cs="Arial"/>
                <w:b/>
                <w:spacing w:val="-3"/>
                <w:sz w:val="20"/>
                <w:lang w:val="hr-HR"/>
              </w:rPr>
            </w:pPr>
          </w:p>
          <w:p w14:paraId="508CBAC2" w14:textId="77777777" w:rsidR="003579C1" w:rsidRPr="00905C27" w:rsidRDefault="003579C1" w:rsidP="003579C1">
            <w:pPr>
              <w:pStyle w:val="TT"/>
              <w:jc w:val="right"/>
              <w:rPr>
                <w:rFonts w:asciiTheme="minorHAnsi" w:hAnsiTheme="minorHAnsi" w:cs="Arial"/>
                <w:b/>
                <w:spacing w:val="-3"/>
                <w:sz w:val="20"/>
                <w:lang w:val="hr-HR"/>
              </w:rPr>
            </w:pPr>
          </w:p>
          <w:p w14:paraId="41E596D1" w14:textId="77777777" w:rsidR="003579C1" w:rsidRPr="00905C27" w:rsidDel="002F5FA1" w:rsidRDefault="003579C1" w:rsidP="003579C1">
            <w:pPr>
              <w:pStyle w:val="TT"/>
              <w:jc w:val="right"/>
              <w:rPr>
                <w:rFonts w:asciiTheme="minorHAnsi" w:hAnsiTheme="minorHAnsi" w:cs="Arial"/>
                <w:b/>
                <w:spacing w:val="-3"/>
                <w:sz w:val="20"/>
                <w:lang w:val="hr-HR"/>
              </w:rPr>
            </w:pPr>
            <w:r w:rsidRPr="00905C27">
              <w:rPr>
                <w:rFonts w:asciiTheme="minorHAnsi" w:hAnsiTheme="minorHAnsi" w:cs="Arial"/>
                <w:b/>
                <w:spacing w:val="-3"/>
                <w:sz w:val="20"/>
                <w:lang w:val="hr-HR"/>
              </w:rPr>
              <w:t>Grupa</w:t>
            </w:r>
          </w:p>
        </w:tc>
        <w:tc>
          <w:tcPr>
            <w:tcW w:w="819" w:type="pct"/>
            <w:vAlign w:val="center"/>
          </w:tcPr>
          <w:p w14:paraId="1FD7B0CF" w14:textId="77777777" w:rsidR="003579C1" w:rsidRPr="00905C27" w:rsidRDefault="003579C1" w:rsidP="003579C1">
            <w:pPr>
              <w:pStyle w:val="TT"/>
              <w:jc w:val="right"/>
              <w:rPr>
                <w:rFonts w:asciiTheme="minorHAnsi" w:hAnsiTheme="minorHAnsi" w:cs="Arial"/>
                <w:b/>
                <w:spacing w:val="-3"/>
                <w:sz w:val="20"/>
                <w:lang w:val="hr-HR"/>
              </w:rPr>
            </w:pPr>
          </w:p>
          <w:p w14:paraId="30A6C9B8" w14:textId="77777777" w:rsidR="003579C1" w:rsidRPr="00905C27" w:rsidRDefault="003579C1" w:rsidP="003579C1">
            <w:pPr>
              <w:pStyle w:val="TT"/>
              <w:jc w:val="right"/>
              <w:rPr>
                <w:rFonts w:asciiTheme="minorHAnsi" w:hAnsiTheme="minorHAnsi" w:cs="Arial"/>
                <w:b/>
                <w:spacing w:val="-3"/>
                <w:sz w:val="20"/>
                <w:lang w:val="hr-HR"/>
              </w:rPr>
            </w:pPr>
          </w:p>
          <w:p w14:paraId="09956D7E" w14:textId="77777777" w:rsidR="003579C1" w:rsidRPr="00905C27" w:rsidRDefault="003579C1" w:rsidP="003579C1">
            <w:pPr>
              <w:pStyle w:val="TT"/>
              <w:jc w:val="right"/>
              <w:rPr>
                <w:rFonts w:asciiTheme="minorHAnsi" w:hAnsiTheme="minorHAnsi" w:cs="Arial"/>
                <w:b/>
                <w:spacing w:val="-3"/>
                <w:sz w:val="20"/>
                <w:lang w:val="hr-HR"/>
              </w:rPr>
            </w:pPr>
          </w:p>
          <w:p w14:paraId="44961F7D" w14:textId="77777777" w:rsidR="003579C1" w:rsidRPr="00905C27" w:rsidRDefault="003579C1" w:rsidP="003579C1">
            <w:pPr>
              <w:pStyle w:val="TT"/>
              <w:jc w:val="right"/>
              <w:rPr>
                <w:rFonts w:asciiTheme="minorHAnsi" w:hAnsiTheme="minorHAnsi" w:cs="Arial"/>
                <w:b/>
                <w:spacing w:val="-3"/>
                <w:sz w:val="20"/>
                <w:lang w:val="hr-HR"/>
              </w:rPr>
            </w:pPr>
            <w:r w:rsidRPr="00905C27">
              <w:rPr>
                <w:rFonts w:asciiTheme="minorHAnsi" w:hAnsiTheme="minorHAnsi" w:cs="Arial"/>
                <w:b/>
                <w:spacing w:val="-3"/>
                <w:sz w:val="20"/>
                <w:lang w:val="hr-HR"/>
              </w:rPr>
              <w:t xml:space="preserve"> </w:t>
            </w:r>
          </w:p>
        </w:tc>
        <w:tc>
          <w:tcPr>
            <w:tcW w:w="819" w:type="pct"/>
            <w:gridSpan w:val="2"/>
            <w:vAlign w:val="center"/>
          </w:tcPr>
          <w:p w14:paraId="4E42D866" w14:textId="77777777" w:rsidR="003579C1" w:rsidRPr="00905C27" w:rsidRDefault="003579C1" w:rsidP="003579C1">
            <w:pPr>
              <w:pStyle w:val="TT"/>
              <w:jc w:val="right"/>
              <w:rPr>
                <w:rFonts w:asciiTheme="minorHAnsi" w:hAnsiTheme="minorHAnsi" w:cs="Arial"/>
                <w:b/>
                <w:spacing w:val="-3"/>
                <w:sz w:val="20"/>
                <w:lang w:val="hr-HR"/>
              </w:rPr>
            </w:pPr>
          </w:p>
          <w:p w14:paraId="7574A0A9" w14:textId="77777777" w:rsidR="003579C1" w:rsidRPr="00905C27" w:rsidRDefault="003579C1" w:rsidP="003579C1">
            <w:pPr>
              <w:pStyle w:val="TT"/>
              <w:jc w:val="right"/>
              <w:rPr>
                <w:rFonts w:asciiTheme="minorHAnsi" w:hAnsiTheme="minorHAnsi" w:cs="Arial"/>
                <w:b/>
                <w:spacing w:val="-3"/>
                <w:sz w:val="20"/>
                <w:lang w:val="hr-HR"/>
              </w:rPr>
            </w:pPr>
          </w:p>
          <w:p w14:paraId="16446AE8" w14:textId="77777777" w:rsidR="003579C1" w:rsidRPr="00905C27" w:rsidRDefault="003579C1" w:rsidP="003579C1">
            <w:pPr>
              <w:pStyle w:val="TT"/>
              <w:jc w:val="right"/>
              <w:rPr>
                <w:rFonts w:asciiTheme="minorHAnsi" w:hAnsiTheme="minorHAnsi" w:cs="Arial"/>
                <w:b/>
                <w:spacing w:val="-3"/>
                <w:sz w:val="20"/>
                <w:lang w:val="hr-HR"/>
              </w:rPr>
            </w:pPr>
            <w:r w:rsidRPr="00905C27">
              <w:rPr>
                <w:rFonts w:asciiTheme="minorHAnsi" w:hAnsiTheme="minorHAnsi" w:cs="Arial"/>
                <w:b/>
                <w:spacing w:val="-3"/>
                <w:sz w:val="20"/>
                <w:lang w:val="hr-HR"/>
              </w:rPr>
              <w:t>Banka</w:t>
            </w:r>
          </w:p>
        </w:tc>
      </w:tr>
      <w:tr w:rsidR="0024506F" w:rsidRPr="00905C27" w14:paraId="4996ECFA" w14:textId="77777777" w:rsidTr="0024506F">
        <w:trPr>
          <w:trHeight w:val="308"/>
          <w:jc w:val="center"/>
        </w:trPr>
        <w:tc>
          <w:tcPr>
            <w:tcW w:w="438" w:type="pct"/>
            <w:vAlign w:val="bottom"/>
          </w:tcPr>
          <w:p w14:paraId="1F2D298F" w14:textId="77777777" w:rsidR="003579C1" w:rsidRPr="00905C27" w:rsidRDefault="003579C1" w:rsidP="003579C1">
            <w:pPr>
              <w:pStyle w:val="Tot"/>
              <w:jc w:val="right"/>
              <w:rPr>
                <w:rFonts w:asciiTheme="minorHAnsi" w:hAnsiTheme="minorHAnsi" w:cs="Arial"/>
                <w:b/>
                <w:spacing w:val="-2"/>
                <w:sz w:val="20"/>
                <w:lang w:val="hr-HR"/>
              </w:rPr>
            </w:pPr>
          </w:p>
        </w:tc>
        <w:tc>
          <w:tcPr>
            <w:tcW w:w="692" w:type="pct"/>
            <w:vAlign w:val="bottom"/>
          </w:tcPr>
          <w:p w14:paraId="22A017F6" w14:textId="04CE5DCB" w:rsidR="003579C1" w:rsidRPr="00905C27" w:rsidRDefault="004E2EBC">
            <w:pPr>
              <w:pStyle w:val="TT"/>
              <w:jc w:val="right"/>
              <w:rPr>
                <w:rFonts w:asciiTheme="minorHAnsi" w:hAnsiTheme="minorHAnsi" w:cs="Arial"/>
                <w:b/>
                <w:spacing w:val="-3"/>
                <w:sz w:val="20"/>
                <w:lang w:val="hr-HR"/>
              </w:rPr>
            </w:pPr>
            <w:r>
              <w:rPr>
                <w:rFonts w:asciiTheme="minorHAnsi" w:hAnsiTheme="minorHAnsi" w:cs="Arial"/>
                <w:b/>
                <w:spacing w:val="-3"/>
                <w:sz w:val="20"/>
                <w:lang w:val="hr-HR"/>
              </w:rPr>
              <w:t>30</w:t>
            </w:r>
            <w:r w:rsidR="009557C4">
              <w:rPr>
                <w:rFonts w:asciiTheme="minorHAnsi" w:hAnsiTheme="minorHAnsi" w:cs="Arial"/>
                <w:b/>
                <w:spacing w:val="-3"/>
                <w:sz w:val="20"/>
                <w:lang w:val="hr-HR"/>
              </w:rPr>
              <w:t>.</w:t>
            </w:r>
            <w:r>
              <w:rPr>
                <w:rFonts w:asciiTheme="minorHAnsi" w:hAnsiTheme="minorHAnsi" w:cs="Arial"/>
                <w:b/>
                <w:spacing w:val="-3"/>
                <w:sz w:val="20"/>
                <w:lang w:val="hr-HR"/>
              </w:rPr>
              <w:t>6</w:t>
            </w:r>
            <w:r w:rsidR="009557C4">
              <w:rPr>
                <w:rFonts w:asciiTheme="minorHAnsi" w:hAnsiTheme="minorHAnsi" w:cs="Arial"/>
                <w:b/>
                <w:spacing w:val="-3"/>
                <w:sz w:val="20"/>
                <w:lang w:val="hr-HR"/>
              </w:rPr>
              <w:t>.2017</w:t>
            </w:r>
            <w:r w:rsidR="003579C1">
              <w:rPr>
                <w:rFonts w:asciiTheme="minorHAnsi" w:hAnsiTheme="minorHAnsi" w:cs="Arial"/>
                <w:b/>
                <w:spacing w:val="-3"/>
                <w:sz w:val="20"/>
                <w:lang w:val="hr-HR"/>
              </w:rPr>
              <w:t>.</w:t>
            </w:r>
          </w:p>
        </w:tc>
        <w:tc>
          <w:tcPr>
            <w:tcW w:w="593" w:type="pct"/>
            <w:vAlign w:val="bottom"/>
          </w:tcPr>
          <w:p w14:paraId="72C3F701" w14:textId="502FC8E3" w:rsidR="003579C1" w:rsidRPr="00905C27" w:rsidRDefault="003579C1" w:rsidP="000B47D7">
            <w:pPr>
              <w:pStyle w:val="TT"/>
              <w:jc w:val="right"/>
              <w:rPr>
                <w:rFonts w:asciiTheme="minorHAnsi" w:hAnsiTheme="minorHAnsi" w:cs="Arial"/>
                <w:b/>
                <w:spacing w:val="-3"/>
                <w:sz w:val="20"/>
                <w:lang w:val="hr-HR"/>
              </w:rPr>
            </w:pPr>
            <w:r>
              <w:rPr>
                <w:rFonts w:asciiTheme="minorHAnsi" w:hAnsiTheme="minorHAnsi" w:cs="Arial"/>
                <w:b/>
                <w:spacing w:val="-3"/>
                <w:sz w:val="20"/>
                <w:lang w:val="hr-HR"/>
              </w:rPr>
              <w:t>31.12.</w:t>
            </w:r>
            <w:r w:rsidRPr="00905C27">
              <w:rPr>
                <w:rFonts w:asciiTheme="minorHAnsi" w:hAnsiTheme="minorHAnsi" w:cs="Arial"/>
                <w:b/>
                <w:spacing w:val="-3"/>
                <w:sz w:val="20"/>
                <w:lang w:val="hr-HR"/>
              </w:rPr>
              <w:t>201</w:t>
            </w:r>
            <w:r w:rsidR="000B47D7">
              <w:rPr>
                <w:rFonts w:asciiTheme="minorHAnsi" w:hAnsiTheme="minorHAnsi" w:cs="Arial"/>
                <w:b/>
                <w:spacing w:val="-3"/>
                <w:sz w:val="20"/>
                <w:lang w:val="hr-HR"/>
              </w:rPr>
              <w:t>6</w:t>
            </w:r>
            <w:r w:rsidRPr="00905C27">
              <w:rPr>
                <w:rFonts w:asciiTheme="minorHAnsi" w:hAnsiTheme="minorHAnsi" w:cs="Arial"/>
                <w:b/>
                <w:spacing w:val="-3"/>
                <w:sz w:val="20"/>
                <w:lang w:val="hr-HR"/>
              </w:rPr>
              <w:t>.</w:t>
            </w:r>
          </w:p>
        </w:tc>
        <w:tc>
          <w:tcPr>
            <w:tcW w:w="819" w:type="pct"/>
            <w:vAlign w:val="bottom"/>
          </w:tcPr>
          <w:p w14:paraId="62E7DBDF" w14:textId="64825EF2" w:rsidR="003579C1" w:rsidRPr="00905C27" w:rsidRDefault="004E2EBC">
            <w:pPr>
              <w:pStyle w:val="TT"/>
              <w:jc w:val="right"/>
              <w:rPr>
                <w:rFonts w:asciiTheme="minorHAnsi" w:hAnsiTheme="minorHAnsi" w:cs="Arial"/>
                <w:b/>
                <w:spacing w:val="-3"/>
                <w:sz w:val="20"/>
                <w:lang w:val="hr-HR"/>
              </w:rPr>
            </w:pPr>
            <w:r>
              <w:rPr>
                <w:rFonts w:asciiTheme="minorHAnsi" w:hAnsiTheme="minorHAnsi" w:cs="Arial"/>
                <w:b/>
                <w:spacing w:val="-3"/>
                <w:sz w:val="20"/>
                <w:lang w:val="hr-HR"/>
              </w:rPr>
              <w:t>30</w:t>
            </w:r>
            <w:r w:rsidR="009557C4">
              <w:rPr>
                <w:rFonts w:asciiTheme="minorHAnsi" w:hAnsiTheme="minorHAnsi" w:cs="Arial"/>
                <w:b/>
                <w:spacing w:val="-3"/>
                <w:sz w:val="20"/>
                <w:lang w:val="hr-HR"/>
              </w:rPr>
              <w:t>.</w:t>
            </w:r>
            <w:r>
              <w:rPr>
                <w:rFonts w:asciiTheme="minorHAnsi" w:hAnsiTheme="minorHAnsi" w:cs="Arial"/>
                <w:b/>
                <w:spacing w:val="-3"/>
                <w:sz w:val="20"/>
                <w:lang w:val="hr-HR"/>
              </w:rPr>
              <w:t>6</w:t>
            </w:r>
            <w:r w:rsidR="003579C1" w:rsidRPr="00F628D8">
              <w:rPr>
                <w:rFonts w:asciiTheme="minorHAnsi" w:hAnsiTheme="minorHAnsi" w:cs="Arial"/>
                <w:b/>
                <w:spacing w:val="-3"/>
                <w:sz w:val="20"/>
                <w:lang w:val="hr-HR"/>
              </w:rPr>
              <w:t>.201</w:t>
            </w:r>
            <w:r w:rsidR="009557C4">
              <w:rPr>
                <w:rFonts w:asciiTheme="minorHAnsi" w:hAnsiTheme="minorHAnsi" w:cs="Arial"/>
                <w:b/>
                <w:spacing w:val="-3"/>
                <w:sz w:val="20"/>
                <w:lang w:val="hr-HR"/>
              </w:rPr>
              <w:t>7</w:t>
            </w:r>
            <w:r w:rsidR="003579C1" w:rsidRPr="00F628D8">
              <w:rPr>
                <w:rFonts w:asciiTheme="minorHAnsi" w:hAnsiTheme="minorHAnsi" w:cs="Arial"/>
                <w:b/>
                <w:spacing w:val="-3"/>
                <w:sz w:val="20"/>
                <w:lang w:val="hr-HR"/>
              </w:rPr>
              <w:t>.</w:t>
            </w:r>
          </w:p>
        </w:tc>
        <w:tc>
          <w:tcPr>
            <w:tcW w:w="819" w:type="pct"/>
            <w:gridSpan w:val="2"/>
            <w:vAlign w:val="bottom"/>
          </w:tcPr>
          <w:p w14:paraId="73EAD340" w14:textId="6688EEEB" w:rsidR="003579C1" w:rsidRPr="00905C27" w:rsidRDefault="003579C1" w:rsidP="003579C1">
            <w:pPr>
              <w:pStyle w:val="TT"/>
              <w:jc w:val="right"/>
              <w:rPr>
                <w:rFonts w:asciiTheme="minorHAnsi" w:hAnsiTheme="minorHAnsi" w:cs="Arial"/>
                <w:b/>
                <w:spacing w:val="-3"/>
                <w:sz w:val="20"/>
                <w:lang w:val="hr-HR"/>
              </w:rPr>
            </w:pPr>
            <w:r>
              <w:rPr>
                <w:rFonts w:asciiTheme="minorHAnsi" w:hAnsiTheme="minorHAnsi" w:cs="Arial"/>
                <w:b/>
                <w:spacing w:val="-3"/>
                <w:sz w:val="20"/>
                <w:lang w:val="hr-HR"/>
              </w:rPr>
              <w:t>31.12.</w:t>
            </w:r>
            <w:r w:rsidRPr="00905C27">
              <w:rPr>
                <w:rFonts w:asciiTheme="minorHAnsi" w:hAnsiTheme="minorHAnsi" w:cs="Arial"/>
                <w:b/>
                <w:spacing w:val="-3"/>
                <w:sz w:val="20"/>
                <w:lang w:val="hr-HR"/>
              </w:rPr>
              <w:t>201</w:t>
            </w:r>
            <w:r w:rsidR="009557C4">
              <w:rPr>
                <w:rFonts w:asciiTheme="minorHAnsi" w:hAnsiTheme="minorHAnsi" w:cs="Arial"/>
                <w:b/>
                <w:spacing w:val="-3"/>
                <w:sz w:val="20"/>
                <w:lang w:val="hr-HR"/>
              </w:rPr>
              <w:t>6</w:t>
            </w:r>
            <w:r w:rsidRPr="00905C27">
              <w:rPr>
                <w:rFonts w:asciiTheme="minorHAnsi" w:hAnsiTheme="minorHAnsi" w:cs="Arial"/>
                <w:b/>
                <w:spacing w:val="-3"/>
                <w:sz w:val="20"/>
                <w:lang w:val="hr-HR"/>
              </w:rPr>
              <w:t>.</w:t>
            </w:r>
          </w:p>
        </w:tc>
        <w:tc>
          <w:tcPr>
            <w:tcW w:w="819" w:type="pct"/>
            <w:vAlign w:val="bottom"/>
          </w:tcPr>
          <w:p w14:paraId="12B724E8" w14:textId="14CE753C" w:rsidR="003579C1" w:rsidRPr="00905C27" w:rsidRDefault="004E2EBC">
            <w:pPr>
              <w:pStyle w:val="TT"/>
              <w:jc w:val="right"/>
              <w:rPr>
                <w:rFonts w:asciiTheme="minorHAnsi" w:hAnsiTheme="minorHAnsi" w:cs="Arial"/>
                <w:b/>
                <w:spacing w:val="-3"/>
                <w:sz w:val="20"/>
                <w:lang w:val="hr-HR"/>
              </w:rPr>
            </w:pPr>
            <w:r>
              <w:rPr>
                <w:rFonts w:asciiTheme="minorHAnsi" w:hAnsiTheme="minorHAnsi" w:cs="Arial"/>
                <w:b/>
                <w:spacing w:val="-3"/>
                <w:sz w:val="20"/>
                <w:lang w:val="hr-HR"/>
              </w:rPr>
              <w:t>30</w:t>
            </w:r>
            <w:r w:rsidR="009557C4">
              <w:rPr>
                <w:rFonts w:asciiTheme="minorHAnsi" w:hAnsiTheme="minorHAnsi" w:cs="Arial"/>
                <w:b/>
                <w:spacing w:val="-3"/>
                <w:sz w:val="20"/>
                <w:lang w:val="hr-HR"/>
              </w:rPr>
              <w:t>.</w:t>
            </w:r>
            <w:r>
              <w:rPr>
                <w:rFonts w:asciiTheme="minorHAnsi" w:hAnsiTheme="minorHAnsi" w:cs="Arial"/>
                <w:b/>
                <w:spacing w:val="-3"/>
                <w:sz w:val="20"/>
                <w:lang w:val="hr-HR"/>
              </w:rPr>
              <w:t>6</w:t>
            </w:r>
            <w:r w:rsidR="003579C1" w:rsidRPr="00F628D8">
              <w:rPr>
                <w:rFonts w:asciiTheme="minorHAnsi" w:hAnsiTheme="minorHAnsi" w:cs="Arial"/>
                <w:b/>
                <w:spacing w:val="-3"/>
                <w:sz w:val="20"/>
                <w:lang w:val="hr-HR"/>
              </w:rPr>
              <w:t>.201</w:t>
            </w:r>
            <w:r w:rsidR="009557C4">
              <w:rPr>
                <w:rFonts w:asciiTheme="minorHAnsi" w:hAnsiTheme="minorHAnsi" w:cs="Arial"/>
                <w:b/>
                <w:spacing w:val="-3"/>
                <w:sz w:val="20"/>
                <w:lang w:val="hr-HR"/>
              </w:rPr>
              <w:t>7</w:t>
            </w:r>
            <w:r w:rsidR="003579C1" w:rsidRPr="00F628D8">
              <w:rPr>
                <w:rFonts w:asciiTheme="minorHAnsi" w:hAnsiTheme="minorHAnsi" w:cs="Arial"/>
                <w:b/>
                <w:spacing w:val="-3"/>
                <w:sz w:val="20"/>
                <w:lang w:val="hr-HR"/>
              </w:rPr>
              <w:t>.</w:t>
            </w:r>
          </w:p>
        </w:tc>
        <w:tc>
          <w:tcPr>
            <w:tcW w:w="819" w:type="pct"/>
            <w:gridSpan w:val="2"/>
            <w:vAlign w:val="bottom"/>
          </w:tcPr>
          <w:p w14:paraId="170F8611" w14:textId="70446E70" w:rsidR="003579C1" w:rsidRPr="00905C27" w:rsidRDefault="003579C1" w:rsidP="003579C1">
            <w:pPr>
              <w:pStyle w:val="TT"/>
              <w:jc w:val="right"/>
              <w:rPr>
                <w:rFonts w:asciiTheme="minorHAnsi" w:hAnsiTheme="minorHAnsi" w:cs="Arial"/>
                <w:b/>
                <w:spacing w:val="-3"/>
                <w:sz w:val="20"/>
                <w:lang w:val="hr-HR"/>
              </w:rPr>
            </w:pPr>
            <w:r>
              <w:rPr>
                <w:rFonts w:asciiTheme="minorHAnsi" w:hAnsiTheme="minorHAnsi" w:cs="Arial"/>
                <w:b/>
                <w:spacing w:val="-3"/>
                <w:sz w:val="20"/>
                <w:lang w:val="hr-HR"/>
              </w:rPr>
              <w:t>31.12.</w:t>
            </w:r>
            <w:r w:rsidRPr="00905C27">
              <w:rPr>
                <w:rFonts w:asciiTheme="minorHAnsi" w:hAnsiTheme="minorHAnsi" w:cs="Arial"/>
                <w:b/>
                <w:spacing w:val="-3"/>
                <w:sz w:val="20"/>
                <w:lang w:val="hr-HR"/>
              </w:rPr>
              <w:t>201</w:t>
            </w:r>
            <w:r w:rsidR="009557C4">
              <w:rPr>
                <w:rFonts w:asciiTheme="minorHAnsi" w:hAnsiTheme="minorHAnsi" w:cs="Arial"/>
                <w:b/>
                <w:spacing w:val="-3"/>
                <w:sz w:val="20"/>
                <w:lang w:val="hr-HR"/>
              </w:rPr>
              <w:t>6</w:t>
            </w:r>
            <w:r w:rsidRPr="00905C27">
              <w:rPr>
                <w:rFonts w:asciiTheme="minorHAnsi" w:hAnsiTheme="minorHAnsi" w:cs="Arial"/>
                <w:b/>
                <w:spacing w:val="-3"/>
                <w:sz w:val="20"/>
                <w:lang w:val="hr-HR"/>
              </w:rPr>
              <w:t>.</w:t>
            </w:r>
          </w:p>
        </w:tc>
      </w:tr>
      <w:tr w:rsidR="0024506F" w:rsidRPr="00905C27" w14:paraId="0B460E46" w14:textId="77777777" w:rsidTr="0024506F">
        <w:trPr>
          <w:trHeight w:hRule="exact" w:val="100"/>
          <w:jc w:val="center"/>
        </w:trPr>
        <w:tc>
          <w:tcPr>
            <w:tcW w:w="438" w:type="pct"/>
            <w:vAlign w:val="bottom"/>
          </w:tcPr>
          <w:p w14:paraId="3E0E1281" w14:textId="77777777" w:rsidR="003579C1" w:rsidRPr="00905C27" w:rsidRDefault="003579C1" w:rsidP="003579C1">
            <w:pPr>
              <w:pStyle w:val="Tot"/>
              <w:jc w:val="right"/>
              <w:rPr>
                <w:rFonts w:asciiTheme="minorHAnsi" w:hAnsiTheme="minorHAnsi" w:cs="Arial"/>
                <w:b/>
                <w:spacing w:val="-2"/>
                <w:sz w:val="20"/>
                <w:lang w:val="hr-HR"/>
              </w:rPr>
            </w:pPr>
          </w:p>
        </w:tc>
        <w:tc>
          <w:tcPr>
            <w:tcW w:w="692" w:type="pct"/>
          </w:tcPr>
          <w:p w14:paraId="3CE8B6FB" w14:textId="77777777" w:rsidR="003579C1" w:rsidRPr="00905C27" w:rsidRDefault="003579C1" w:rsidP="003579C1">
            <w:pPr>
              <w:pStyle w:val="TT"/>
              <w:jc w:val="right"/>
              <w:rPr>
                <w:rFonts w:asciiTheme="minorHAnsi" w:hAnsiTheme="minorHAnsi" w:cs="Arial"/>
                <w:b/>
                <w:spacing w:val="-3"/>
                <w:sz w:val="20"/>
                <w:lang w:val="hr-HR"/>
              </w:rPr>
            </w:pPr>
          </w:p>
        </w:tc>
        <w:tc>
          <w:tcPr>
            <w:tcW w:w="593" w:type="pct"/>
          </w:tcPr>
          <w:p w14:paraId="46C08609" w14:textId="77777777" w:rsidR="003579C1" w:rsidRPr="00905C27" w:rsidRDefault="003579C1" w:rsidP="003579C1">
            <w:pPr>
              <w:pStyle w:val="TT"/>
              <w:jc w:val="right"/>
              <w:rPr>
                <w:rFonts w:asciiTheme="minorHAnsi" w:hAnsiTheme="minorHAnsi" w:cs="Arial"/>
                <w:b/>
                <w:spacing w:val="-3"/>
                <w:sz w:val="20"/>
                <w:lang w:val="hr-HR"/>
              </w:rPr>
            </w:pPr>
          </w:p>
        </w:tc>
        <w:tc>
          <w:tcPr>
            <w:tcW w:w="819" w:type="pct"/>
            <w:vAlign w:val="center"/>
          </w:tcPr>
          <w:p w14:paraId="62E2F2B7" w14:textId="77777777" w:rsidR="003579C1" w:rsidRPr="00EA751E" w:rsidRDefault="003579C1" w:rsidP="003579C1">
            <w:pPr>
              <w:pStyle w:val="Tot"/>
              <w:jc w:val="right"/>
              <w:rPr>
                <w:rFonts w:asciiTheme="minorHAnsi" w:hAnsiTheme="minorHAnsi" w:cs="Arial"/>
                <w:b/>
                <w:spacing w:val="-3"/>
                <w:sz w:val="20"/>
                <w:lang w:val="hr-HR"/>
              </w:rPr>
            </w:pPr>
          </w:p>
        </w:tc>
        <w:tc>
          <w:tcPr>
            <w:tcW w:w="819" w:type="pct"/>
            <w:gridSpan w:val="2"/>
            <w:vAlign w:val="center"/>
          </w:tcPr>
          <w:p w14:paraId="37864274" w14:textId="77777777" w:rsidR="003579C1" w:rsidRPr="00905C27" w:rsidRDefault="003579C1" w:rsidP="003579C1">
            <w:pPr>
              <w:pStyle w:val="Tot"/>
              <w:jc w:val="right"/>
              <w:rPr>
                <w:rFonts w:asciiTheme="minorHAnsi" w:hAnsiTheme="minorHAnsi" w:cs="Arial"/>
                <w:spacing w:val="-3"/>
                <w:sz w:val="20"/>
                <w:lang w:val="hr-HR"/>
              </w:rPr>
            </w:pPr>
          </w:p>
        </w:tc>
        <w:tc>
          <w:tcPr>
            <w:tcW w:w="819" w:type="pct"/>
            <w:vAlign w:val="center"/>
          </w:tcPr>
          <w:p w14:paraId="34B02C2A" w14:textId="77777777" w:rsidR="003579C1" w:rsidRPr="00905C27" w:rsidRDefault="003579C1" w:rsidP="003579C1">
            <w:pPr>
              <w:pStyle w:val="Tot"/>
              <w:jc w:val="right"/>
              <w:rPr>
                <w:rFonts w:asciiTheme="minorHAnsi" w:hAnsiTheme="minorHAnsi" w:cs="Arial"/>
                <w:spacing w:val="-3"/>
                <w:sz w:val="20"/>
                <w:lang w:val="hr-HR"/>
              </w:rPr>
            </w:pPr>
          </w:p>
        </w:tc>
        <w:tc>
          <w:tcPr>
            <w:tcW w:w="819" w:type="pct"/>
            <w:gridSpan w:val="2"/>
            <w:vAlign w:val="center"/>
          </w:tcPr>
          <w:p w14:paraId="659B20CC" w14:textId="77777777" w:rsidR="003579C1" w:rsidRPr="00905C27" w:rsidRDefault="003579C1" w:rsidP="003579C1">
            <w:pPr>
              <w:pStyle w:val="Tot"/>
              <w:jc w:val="right"/>
              <w:rPr>
                <w:rFonts w:asciiTheme="minorHAnsi" w:hAnsiTheme="minorHAnsi" w:cs="Arial"/>
                <w:spacing w:val="-3"/>
                <w:sz w:val="20"/>
                <w:lang w:val="hr-HR"/>
              </w:rPr>
            </w:pPr>
          </w:p>
        </w:tc>
      </w:tr>
      <w:tr w:rsidR="0024506F" w:rsidRPr="00905C27" w14:paraId="2D80C477" w14:textId="77777777" w:rsidTr="0024506F">
        <w:trPr>
          <w:trHeight w:val="294"/>
          <w:jc w:val="center"/>
        </w:trPr>
        <w:tc>
          <w:tcPr>
            <w:tcW w:w="438" w:type="pct"/>
            <w:vAlign w:val="bottom"/>
          </w:tcPr>
          <w:p w14:paraId="199E56F1" w14:textId="77777777" w:rsidR="004E2EBC" w:rsidRPr="00905C27" w:rsidDel="00C30F46" w:rsidRDefault="004E2EBC" w:rsidP="004E2EBC">
            <w:pPr>
              <w:pStyle w:val="Tot"/>
              <w:jc w:val="right"/>
              <w:rPr>
                <w:rFonts w:asciiTheme="minorHAnsi" w:hAnsiTheme="minorHAnsi" w:cs="Arial"/>
                <w:b/>
                <w:sz w:val="20"/>
                <w:lang w:val="hr-HR"/>
              </w:rPr>
            </w:pPr>
            <w:r w:rsidRPr="00905C27">
              <w:rPr>
                <w:rFonts w:asciiTheme="minorHAnsi" w:hAnsiTheme="minorHAnsi" w:cs="Arial"/>
                <w:b/>
                <w:spacing w:val="-2"/>
                <w:sz w:val="20"/>
                <w:lang w:val="hr-HR"/>
              </w:rPr>
              <w:t>A</w:t>
            </w:r>
          </w:p>
        </w:tc>
        <w:tc>
          <w:tcPr>
            <w:tcW w:w="692" w:type="pct"/>
            <w:tcBorders>
              <w:top w:val="nil"/>
              <w:left w:val="nil"/>
              <w:bottom w:val="nil"/>
              <w:right w:val="nil"/>
            </w:tcBorders>
            <w:shd w:val="clear" w:color="auto" w:fill="auto"/>
          </w:tcPr>
          <w:p w14:paraId="6A7A2846" w14:textId="4F7429E1" w:rsidR="004E2EBC" w:rsidRPr="0090404E" w:rsidRDefault="0024506F" w:rsidP="004E2EBC">
            <w:pPr>
              <w:pStyle w:val="TT"/>
              <w:jc w:val="right"/>
              <w:rPr>
                <w:rFonts w:asciiTheme="minorHAnsi" w:hAnsiTheme="minorHAnsi" w:cs="Arial"/>
                <w:b/>
                <w:spacing w:val="-3"/>
                <w:sz w:val="20"/>
                <w:lang w:val="hr-HR"/>
              </w:rPr>
            </w:pPr>
            <w:r>
              <w:rPr>
                <w:rFonts w:asciiTheme="minorHAnsi" w:hAnsiTheme="minorHAnsi" w:cs="Arial"/>
                <w:b/>
                <w:spacing w:val="-3"/>
                <w:sz w:val="20"/>
                <w:lang w:val="hr-HR"/>
              </w:rPr>
              <w:t>1,14</w:t>
            </w:r>
            <w:r w:rsidR="004E2EBC">
              <w:rPr>
                <w:rFonts w:asciiTheme="minorHAnsi" w:hAnsiTheme="minorHAnsi" w:cs="Arial"/>
                <w:b/>
                <w:spacing w:val="-3"/>
                <w:sz w:val="20"/>
                <w:lang w:val="hr-HR"/>
              </w:rPr>
              <w:t>%</w:t>
            </w:r>
          </w:p>
        </w:tc>
        <w:tc>
          <w:tcPr>
            <w:tcW w:w="593" w:type="pct"/>
          </w:tcPr>
          <w:p w14:paraId="6B6805A1" w14:textId="55E6311B" w:rsidR="004E2EBC" w:rsidRPr="00905C27" w:rsidRDefault="004E2EBC" w:rsidP="004E2EBC">
            <w:pPr>
              <w:pStyle w:val="TT"/>
              <w:jc w:val="right"/>
              <w:rPr>
                <w:rFonts w:asciiTheme="minorHAnsi" w:hAnsiTheme="minorHAnsi" w:cs="Arial"/>
                <w:b/>
                <w:spacing w:val="-3"/>
                <w:sz w:val="20"/>
                <w:lang w:val="hr-HR"/>
              </w:rPr>
            </w:pPr>
            <w:r>
              <w:rPr>
                <w:rFonts w:asciiTheme="minorHAnsi" w:hAnsiTheme="minorHAnsi" w:cs="Arial"/>
                <w:b/>
                <w:spacing w:val="-3"/>
                <w:sz w:val="20"/>
                <w:lang w:val="hr-HR"/>
              </w:rPr>
              <w:t>1,52</w:t>
            </w:r>
            <w:r w:rsidRPr="00D30D9B">
              <w:rPr>
                <w:rFonts w:asciiTheme="minorHAnsi" w:hAnsiTheme="minorHAnsi" w:cs="Arial"/>
                <w:b/>
                <w:spacing w:val="-3"/>
                <w:sz w:val="20"/>
                <w:lang w:val="hr-HR"/>
              </w:rPr>
              <w:t>%</w:t>
            </w:r>
          </w:p>
        </w:tc>
        <w:tc>
          <w:tcPr>
            <w:tcW w:w="819" w:type="pct"/>
            <w:vAlign w:val="center"/>
          </w:tcPr>
          <w:p w14:paraId="10ACE987" w14:textId="36778796" w:rsidR="004E2EBC" w:rsidRPr="00D72AC0" w:rsidRDefault="0024506F" w:rsidP="004E2EBC">
            <w:pPr>
              <w:tabs>
                <w:tab w:val="right" w:pos="1202"/>
              </w:tabs>
              <w:spacing w:after="0" w:line="340" w:lineRule="exact"/>
              <w:jc w:val="right"/>
              <w:outlineLvl w:val="0"/>
              <w:rPr>
                <w:rFonts w:eastAsia="Times New Roman" w:cs="Arial"/>
                <w:spacing w:val="-3"/>
                <w:sz w:val="20"/>
                <w:szCs w:val="20"/>
              </w:rPr>
            </w:pPr>
            <w:r>
              <w:rPr>
                <w:rFonts w:eastAsia="Times New Roman" w:cs="Arial"/>
                <w:spacing w:val="-3"/>
                <w:sz w:val="20"/>
                <w:szCs w:val="20"/>
              </w:rPr>
              <w:t>31.410.024</w:t>
            </w:r>
          </w:p>
        </w:tc>
        <w:tc>
          <w:tcPr>
            <w:tcW w:w="819" w:type="pct"/>
            <w:gridSpan w:val="2"/>
          </w:tcPr>
          <w:p w14:paraId="54879338" w14:textId="485B63AD" w:rsidR="004E2EBC" w:rsidRPr="00D72AC0" w:rsidRDefault="004E2EBC" w:rsidP="004E2EBC">
            <w:pPr>
              <w:tabs>
                <w:tab w:val="right" w:pos="1202"/>
              </w:tabs>
              <w:spacing w:after="0" w:line="340" w:lineRule="exact"/>
              <w:jc w:val="right"/>
              <w:outlineLvl w:val="0"/>
              <w:rPr>
                <w:rFonts w:eastAsia="Times New Roman" w:cs="Arial"/>
                <w:spacing w:val="-3"/>
                <w:sz w:val="20"/>
                <w:szCs w:val="20"/>
              </w:rPr>
            </w:pPr>
            <w:r w:rsidRPr="00D10182">
              <w:rPr>
                <w:rFonts w:cs="Arial"/>
                <w:spacing w:val="-3"/>
                <w:sz w:val="20"/>
              </w:rPr>
              <w:t>31.671.378</w:t>
            </w:r>
          </w:p>
        </w:tc>
        <w:tc>
          <w:tcPr>
            <w:tcW w:w="819" w:type="pct"/>
            <w:vAlign w:val="center"/>
          </w:tcPr>
          <w:p w14:paraId="7027A781" w14:textId="22996015" w:rsidR="004E2EBC" w:rsidRPr="00D72AC0" w:rsidRDefault="0024506F" w:rsidP="004E2EBC">
            <w:pPr>
              <w:tabs>
                <w:tab w:val="right" w:pos="1202"/>
              </w:tabs>
              <w:spacing w:after="0" w:line="340" w:lineRule="exact"/>
              <w:jc w:val="right"/>
              <w:outlineLvl w:val="0"/>
              <w:rPr>
                <w:rFonts w:eastAsia="Times New Roman" w:cs="Arial"/>
                <w:spacing w:val="-3"/>
                <w:sz w:val="20"/>
                <w:szCs w:val="20"/>
              </w:rPr>
            </w:pPr>
            <w:r>
              <w:rPr>
                <w:rFonts w:eastAsia="Times New Roman" w:cs="Arial"/>
                <w:spacing w:val="-3"/>
                <w:sz w:val="20"/>
                <w:szCs w:val="20"/>
              </w:rPr>
              <w:t>31.356.348</w:t>
            </w:r>
          </w:p>
        </w:tc>
        <w:tc>
          <w:tcPr>
            <w:tcW w:w="819" w:type="pct"/>
            <w:gridSpan w:val="2"/>
          </w:tcPr>
          <w:p w14:paraId="3C51E9BD" w14:textId="5FD9842D" w:rsidR="004E2EBC" w:rsidRPr="00D72AC0" w:rsidRDefault="004E2EBC" w:rsidP="004E2EBC">
            <w:pPr>
              <w:tabs>
                <w:tab w:val="right" w:pos="1202"/>
              </w:tabs>
              <w:spacing w:after="0" w:line="340" w:lineRule="exact"/>
              <w:jc w:val="right"/>
              <w:outlineLvl w:val="0"/>
              <w:rPr>
                <w:rFonts w:eastAsia="Times New Roman" w:cs="Arial"/>
                <w:spacing w:val="-3"/>
                <w:sz w:val="20"/>
                <w:szCs w:val="20"/>
              </w:rPr>
            </w:pPr>
            <w:r w:rsidRPr="00D10182">
              <w:rPr>
                <w:rFonts w:cs="Arial"/>
                <w:spacing w:val="-3"/>
                <w:sz w:val="20"/>
              </w:rPr>
              <w:t>31.619.491</w:t>
            </w:r>
          </w:p>
        </w:tc>
      </w:tr>
      <w:tr w:rsidR="0024506F" w:rsidRPr="00905C27" w14:paraId="032E5542" w14:textId="77777777" w:rsidTr="0024506F">
        <w:trPr>
          <w:trHeight w:val="308"/>
          <w:jc w:val="center"/>
        </w:trPr>
        <w:tc>
          <w:tcPr>
            <w:tcW w:w="438" w:type="pct"/>
          </w:tcPr>
          <w:p w14:paraId="3FFDC3AD" w14:textId="77777777" w:rsidR="004E2EBC" w:rsidRPr="00905C27" w:rsidDel="00C30F46" w:rsidRDefault="004E2EBC" w:rsidP="004E2EBC">
            <w:pPr>
              <w:pStyle w:val="Tot"/>
              <w:jc w:val="right"/>
              <w:rPr>
                <w:rFonts w:asciiTheme="minorHAnsi" w:hAnsiTheme="minorHAnsi" w:cs="Arial"/>
                <w:b/>
                <w:bCs/>
                <w:sz w:val="20"/>
                <w:lang w:val="hr-HR"/>
              </w:rPr>
            </w:pPr>
            <w:r w:rsidRPr="00905C27">
              <w:rPr>
                <w:rFonts w:asciiTheme="minorHAnsi" w:hAnsiTheme="minorHAnsi" w:cs="Arial"/>
                <w:b/>
                <w:sz w:val="20"/>
                <w:lang w:val="hr-HR"/>
              </w:rPr>
              <w:t>B</w:t>
            </w:r>
          </w:p>
        </w:tc>
        <w:tc>
          <w:tcPr>
            <w:tcW w:w="692" w:type="pct"/>
            <w:tcBorders>
              <w:top w:val="nil"/>
              <w:left w:val="nil"/>
              <w:bottom w:val="nil"/>
              <w:right w:val="nil"/>
            </w:tcBorders>
            <w:shd w:val="clear" w:color="auto" w:fill="auto"/>
          </w:tcPr>
          <w:p w14:paraId="05489167" w14:textId="7107D041" w:rsidR="004E2EBC" w:rsidRPr="0090404E" w:rsidRDefault="0024506F" w:rsidP="004E2EBC">
            <w:pPr>
              <w:pStyle w:val="TT"/>
              <w:jc w:val="right"/>
              <w:rPr>
                <w:rFonts w:asciiTheme="minorHAnsi" w:hAnsiTheme="minorHAnsi" w:cs="Arial"/>
                <w:b/>
                <w:spacing w:val="-3"/>
                <w:sz w:val="20"/>
                <w:lang w:val="hr-HR"/>
              </w:rPr>
            </w:pPr>
            <w:r>
              <w:rPr>
                <w:rFonts w:asciiTheme="minorHAnsi" w:hAnsiTheme="minorHAnsi" w:cs="Arial"/>
                <w:b/>
                <w:spacing w:val="-3"/>
                <w:sz w:val="20"/>
                <w:lang w:val="hr-HR"/>
              </w:rPr>
              <w:t>33,30</w:t>
            </w:r>
            <w:r w:rsidR="004E2EBC">
              <w:rPr>
                <w:rFonts w:asciiTheme="minorHAnsi" w:hAnsiTheme="minorHAnsi" w:cs="Arial"/>
                <w:b/>
                <w:spacing w:val="-3"/>
                <w:sz w:val="20"/>
                <w:lang w:val="hr-HR"/>
              </w:rPr>
              <w:t>%</w:t>
            </w:r>
          </w:p>
        </w:tc>
        <w:tc>
          <w:tcPr>
            <w:tcW w:w="593" w:type="pct"/>
          </w:tcPr>
          <w:p w14:paraId="4BFECFD2" w14:textId="7AF6C4B4" w:rsidR="004E2EBC" w:rsidRPr="00905C27" w:rsidRDefault="004E2EBC" w:rsidP="004E2EBC">
            <w:pPr>
              <w:pStyle w:val="Tot"/>
              <w:tabs>
                <w:tab w:val="clear" w:pos="1202"/>
              </w:tabs>
              <w:jc w:val="right"/>
              <w:rPr>
                <w:rFonts w:asciiTheme="minorHAnsi" w:hAnsiTheme="minorHAnsi" w:cs="Arial"/>
                <w:b/>
                <w:sz w:val="20"/>
                <w:lang w:val="hr-HR"/>
              </w:rPr>
            </w:pPr>
            <w:r>
              <w:rPr>
                <w:rFonts w:asciiTheme="minorHAnsi" w:hAnsiTheme="minorHAnsi" w:cs="Arial"/>
                <w:b/>
                <w:spacing w:val="-3"/>
                <w:sz w:val="20"/>
                <w:lang w:val="hr-HR"/>
              </w:rPr>
              <w:t>34,08</w:t>
            </w:r>
            <w:r w:rsidRPr="00D30D9B">
              <w:rPr>
                <w:rFonts w:asciiTheme="minorHAnsi" w:hAnsiTheme="minorHAnsi" w:cs="Arial"/>
                <w:b/>
                <w:spacing w:val="-3"/>
                <w:sz w:val="20"/>
                <w:lang w:val="hr-HR"/>
              </w:rPr>
              <w:t>%</w:t>
            </w:r>
          </w:p>
        </w:tc>
        <w:tc>
          <w:tcPr>
            <w:tcW w:w="819" w:type="pct"/>
            <w:vAlign w:val="center"/>
          </w:tcPr>
          <w:p w14:paraId="097775FF" w14:textId="53CD4A85" w:rsidR="004E2EBC" w:rsidRPr="00D72AC0" w:rsidRDefault="0024506F" w:rsidP="004E2EBC">
            <w:pPr>
              <w:spacing w:after="0" w:line="340" w:lineRule="exact"/>
              <w:jc w:val="right"/>
              <w:outlineLvl w:val="0"/>
              <w:rPr>
                <w:rFonts w:eastAsia="Times New Roman" w:cs="Arial"/>
                <w:sz w:val="20"/>
                <w:szCs w:val="20"/>
              </w:rPr>
            </w:pPr>
            <w:r>
              <w:rPr>
                <w:rFonts w:eastAsia="Times New Roman" w:cs="Arial"/>
                <w:sz w:val="20"/>
                <w:szCs w:val="20"/>
              </w:rPr>
              <w:t>1.775.578</w:t>
            </w:r>
          </w:p>
        </w:tc>
        <w:tc>
          <w:tcPr>
            <w:tcW w:w="819" w:type="pct"/>
            <w:gridSpan w:val="2"/>
          </w:tcPr>
          <w:p w14:paraId="46F66EC9" w14:textId="5E537C4A" w:rsidR="004E2EBC" w:rsidRPr="00D72AC0" w:rsidRDefault="004E2EBC" w:rsidP="004E2EBC">
            <w:pPr>
              <w:spacing w:after="0" w:line="340" w:lineRule="exact"/>
              <w:jc w:val="right"/>
              <w:outlineLvl w:val="0"/>
              <w:rPr>
                <w:rFonts w:eastAsia="Times New Roman" w:cs="Arial"/>
                <w:sz w:val="20"/>
                <w:szCs w:val="20"/>
              </w:rPr>
            </w:pPr>
            <w:r w:rsidRPr="00D10182">
              <w:rPr>
                <w:rFonts w:cs="Arial"/>
                <w:sz w:val="20"/>
              </w:rPr>
              <w:t>1.548.648</w:t>
            </w:r>
          </w:p>
        </w:tc>
        <w:tc>
          <w:tcPr>
            <w:tcW w:w="819" w:type="pct"/>
            <w:vAlign w:val="center"/>
          </w:tcPr>
          <w:p w14:paraId="7704E2DE" w14:textId="05B0A25E" w:rsidR="004E2EBC" w:rsidRPr="00D72AC0" w:rsidRDefault="0024506F" w:rsidP="004E2EBC">
            <w:pPr>
              <w:spacing w:after="0" w:line="340" w:lineRule="exact"/>
              <w:jc w:val="right"/>
              <w:outlineLvl w:val="0"/>
              <w:rPr>
                <w:rFonts w:eastAsia="Times New Roman" w:cs="Arial"/>
                <w:sz w:val="20"/>
                <w:szCs w:val="20"/>
              </w:rPr>
            </w:pPr>
            <w:r>
              <w:rPr>
                <w:rFonts w:eastAsia="Times New Roman" w:cs="Arial"/>
                <w:sz w:val="20"/>
                <w:szCs w:val="20"/>
              </w:rPr>
              <w:t>1.775.578</w:t>
            </w:r>
          </w:p>
        </w:tc>
        <w:tc>
          <w:tcPr>
            <w:tcW w:w="819" w:type="pct"/>
            <w:gridSpan w:val="2"/>
          </w:tcPr>
          <w:p w14:paraId="1180544A" w14:textId="3109DC10" w:rsidR="004E2EBC" w:rsidRPr="00D72AC0" w:rsidRDefault="004E2EBC" w:rsidP="004E2EBC">
            <w:pPr>
              <w:spacing w:after="0" w:line="340" w:lineRule="exact"/>
              <w:jc w:val="right"/>
              <w:outlineLvl w:val="0"/>
              <w:rPr>
                <w:rFonts w:eastAsia="Times New Roman" w:cs="Arial"/>
                <w:sz w:val="20"/>
                <w:szCs w:val="20"/>
              </w:rPr>
            </w:pPr>
            <w:r w:rsidRPr="00D10182">
              <w:rPr>
                <w:rFonts w:cs="Arial"/>
                <w:sz w:val="20"/>
              </w:rPr>
              <w:t>1.548.648</w:t>
            </w:r>
          </w:p>
        </w:tc>
      </w:tr>
      <w:tr w:rsidR="0024506F" w:rsidRPr="00905C27" w:rsidDel="0095234C" w14:paraId="76487DF5" w14:textId="77777777" w:rsidTr="0024506F">
        <w:trPr>
          <w:trHeight w:val="308"/>
          <w:jc w:val="center"/>
        </w:trPr>
        <w:tc>
          <w:tcPr>
            <w:tcW w:w="438" w:type="pct"/>
            <w:vAlign w:val="bottom"/>
          </w:tcPr>
          <w:p w14:paraId="23896533" w14:textId="77777777" w:rsidR="004E2EBC" w:rsidRPr="00905C27" w:rsidRDefault="004E2EBC" w:rsidP="004E2EBC">
            <w:pPr>
              <w:pStyle w:val="Tot"/>
              <w:jc w:val="right"/>
              <w:rPr>
                <w:rFonts w:asciiTheme="minorHAnsi" w:hAnsiTheme="minorHAnsi" w:cs="Arial"/>
                <w:b/>
                <w:sz w:val="20"/>
                <w:lang w:val="hr-HR"/>
              </w:rPr>
            </w:pPr>
            <w:r w:rsidRPr="00905C27">
              <w:rPr>
                <w:rFonts w:asciiTheme="minorHAnsi" w:hAnsiTheme="minorHAnsi" w:cs="Arial"/>
                <w:b/>
                <w:sz w:val="20"/>
                <w:lang w:val="hr-HR"/>
              </w:rPr>
              <w:t>C</w:t>
            </w:r>
          </w:p>
        </w:tc>
        <w:tc>
          <w:tcPr>
            <w:tcW w:w="692" w:type="pct"/>
            <w:tcBorders>
              <w:top w:val="nil"/>
              <w:left w:val="nil"/>
              <w:bottom w:val="nil"/>
              <w:right w:val="nil"/>
            </w:tcBorders>
            <w:shd w:val="clear" w:color="auto" w:fill="auto"/>
          </w:tcPr>
          <w:p w14:paraId="68FC0D0D" w14:textId="64519FA7" w:rsidR="004E2EBC" w:rsidRPr="0090404E" w:rsidDel="0095234C" w:rsidRDefault="0024506F" w:rsidP="004E2EBC">
            <w:pPr>
              <w:pStyle w:val="TT"/>
              <w:jc w:val="right"/>
              <w:rPr>
                <w:rFonts w:asciiTheme="minorHAnsi" w:hAnsiTheme="minorHAnsi" w:cs="Arial"/>
                <w:b/>
                <w:spacing w:val="-3"/>
                <w:sz w:val="20"/>
                <w:lang w:val="hr-HR"/>
              </w:rPr>
            </w:pPr>
            <w:r>
              <w:rPr>
                <w:rFonts w:asciiTheme="minorHAnsi" w:hAnsiTheme="minorHAnsi" w:cs="Arial"/>
                <w:b/>
                <w:spacing w:val="-3"/>
                <w:sz w:val="20"/>
                <w:lang w:val="hr-HR"/>
              </w:rPr>
              <w:t>96,01</w:t>
            </w:r>
            <w:r w:rsidR="004E2EBC">
              <w:rPr>
                <w:rFonts w:asciiTheme="minorHAnsi" w:hAnsiTheme="minorHAnsi" w:cs="Arial"/>
                <w:b/>
                <w:spacing w:val="-3"/>
                <w:sz w:val="20"/>
                <w:lang w:val="hr-HR"/>
              </w:rPr>
              <w:t>%</w:t>
            </w:r>
          </w:p>
        </w:tc>
        <w:tc>
          <w:tcPr>
            <w:tcW w:w="593" w:type="pct"/>
          </w:tcPr>
          <w:p w14:paraId="288D8D0E" w14:textId="67E51CCF" w:rsidR="004E2EBC" w:rsidRPr="00905C27" w:rsidDel="0095234C" w:rsidRDefault="004E2EBC" w:rsidP="004E2EBC">
            <w:pPr>
              <w:pStyle w:val="TT"/>
              <w:jc w:val="right"/>
              <w:rPr>
                <w:rFonts w:asciiTheme="minorHAnsi" w:hAnsiTheme="minorHAnsi" w:cs="Arial"/>
                <w:b/>
                <w:sz w:val="20"/>
                <w:lang w:val="hr-HR"/>
              </w:rPr>
            </w:pPr>
            <w:r>
              <w:rPr>
                <w:rFonts w:asciiTheme="minorHAnsi" w:hAnsiTheme="minorHAnsi" w:cs="Arial"/>
                <w:b/>
                <w:spacing w:val="-3"/>
                <w:sz w:val="20"/>
                <w:lang w:val="hr-HR"/>
              </w:rPr>
              <w:t>95,56</w:t>
            </w:r>
            <w:r w:rsidRPr="00D30D9B">
              <w:rPr>
                <w:rFonts w:asciiTheme="minorHAnsi" w:hAnsiTheme="minorHAnsi" w:cs="Arial"/>
                <w:b/>
                <w:spacing w:val="-3"/>
                <w:sz w:val="20"/>
                <w:lang w:val="hr-HR"/>
              </w:rPr>
              <w:t>%</w:t>
            </w:r>
          </w:p>
        </w:tc>
        <w:tc>
          <w:tcPr>
            <w:tcW w:w="819" w:type="pct"/>
            <w:tcBorders>
              <w:bottom w:val="single" w:sz="4" w:space="0" w:color="auto"/>
            </w:tcBorders>
            <w:vAlign w:val="center"/>
          </w:tcPr>
          <w:p w14:paraId="59692A0D" w14:textId="729A97AD" w:rsidR="004E2EBC" w:rsidRPr="00D72AC0" w:rsidDel="0095234C" w:rsidRDefault="004E2EBC" w:rsidP="004E2EBC">
            <w:pPr>
              <w:tabs>
                <w:tab w:val="right" w:pos="1202"/>
              </w:tabs>
              <w:spacing w:after="0" w:line="340" w:lineRule="exact"/>
              <w:jc w:val="right"/>
              <w:outlineLvl w:val="0"/>
              <w:rPr>
                <w:rFonts w:eastAsia="Times New Roman" w:cs="Arial"/>
                <w:sz w:val="20"/>
                <w:szCs w:val="20"/>
              </w:rPr>
            </w:pPr>
            <w:r>
              <w:rPr>
                <w:rFonts w:eastAsia="Times New Roman" w:cs="Arial"/>
                <w:sz w:val="20"/>
                <w:szCs w:val="20"/>
              </w:rPr>
              <w:t>-</w:t>
            </w:r>
          </w:p>
        </w:tc>
        <w:tc>
          <w:tcPr>
            <w:tcW w:w="819" w:type="pct"/>
            <w:gridSpan w:val="2"/>
            <w:tcBorders>
              <w:bottom w:val="single" w:sz="4" w:space="0" w:color="auto"/>
            </w:tcBorders>
            <w:vAlign w:val="center"/>
          </w:tcPr>
          <w:p w14:paraId="327F1801" w14:textId="77777777" w:rsidR="004E2EBC" w:rsidRPr="00D72AC0" w:rsidDel="0095234C" w:rsidRDefault="004E2EBC" w:rsidP="004E2EBC">
            <w:pPr>
              <w:tabs>
                <w:tab w:val="right" w:pos="1202"/>
              </w:tabs>
              <w:spacing w:after="0" w:line="340" w:lineRule="exact"/>
              <w:jc w:val="right"/>
              <w:outlineLvl w:val="0"/>
              <w:rPr>
                <w:rFonts w:eastAsia="Times New Roman" w:cs="Arial"/>
                <w:sz w:val="20"/>
                <w:szCs w:val="20"/>
              </w:rPr>
            </w:pPr>
            <w:r w:rsidRPr="00D72AC0">
              <w:rPr>
                <w:rFonts w:eastAsia="Times New Roman" w:cs="Arial"/>
                <w:sz w:val="20"/>
                <w:szCs w:val="20"/>
              </w:rPr>
              <w:t>-</w:t>
            </w:r>
          </w:p>
        </w:tc>
        <w:tc>
          <w:tcPr>
            <w:tcW w:w="819" w:type="pct"/>
            <w:tcBorders>
              <w:bottom w:val="single" w:sz="4" w:space="0" w:color="auto"/>
            </w:tcBorders>
            <w:vAlign w:val="center"/>
          </w:tcPr>
          <w:p w14:paraId="50C8ABB0" w14:textId="2A66A9A7" w:rsidR="004E2EBC" w:rsidRPr="00D72AC0" w:rsidRDefault="004E2EBC" w:rsidP="004E2EBC">
            <w:pPr>
              <w:tabs>
                <w:tab w:val="right" w:pos="1202"/>
              </w:tabs>
              <w:spacing w:after="0" w:line="340" w:lineRule="exact"/>
              <w:jc w:val="right"/>
              <w:outlineLvl w:val="0"/>
              <w:rPr>
                <w:rFonts w:eastAsia="Times New Roman" w:cs="Arial"/>
                <w:sz w:val="20"/>
                <w:szCs w:val="20"/>
              </w:rPr>
            </w:pPr>
            <w:r>
              <w:rPr>
                <w:rFonts w:eastAsia="Times New Roman" w:cs="Arial"/>
                <w:sz w:val="20"/>
                <w:szCs w:val="20"/>
              </w:rPr>
              <w:t>-</w:t>
            </w:r>
          </w:p>
        </w:tc>
        <w:tc>
          <w:tcPr>
            <w:tcW w:w="819" w:type="pct"/>
            <w:gridSpan w:val="2"/>
            <w:tcBorders>
              <w:bottom w:val="single" w:sz="4" w:space="0" w:color="auto"/>
            </w:tcBorders>
            <w:vAlign w:val="center"/>
          </w:tcPr>
          <w:p w14:paraId="3D6F6A29" w14:textId="77777777" w:rsidR="004E2EBC" w:rsidRPr="00D72AC0" w:rsidRDefault="004E2EBC" w:rsidP="004E2EBC">
            <w:pPr>
              <w:tabs>
                <w:tab w:val="right" w:pos="1202"/>
              </w:tabs>
              <w:spacing w:after="0" w:line="340" w:lineRule="exact"/>
              <w:jc w:val="right"/>
              <w:outlineLvl w:val="0"/>
              <w:rPr>
                <w:rFonts w:eastAsia="Times New Roman" w:cs="Arial"/>
                <w:sz w:val="20"/>
                <w:szCs w:val="20"/>
              </w:rPr>
            </w:pPr>
            <w:r w:rsidRPr="00D72AC0">
              <w:rPr>
                <w:rFonts w:eastAsia="Times New Roman" w:cs="Arial"/>
                <w:sz w:val="20"/>
                <w:szCs w:val="20"/>
              </w:rPr>
              <w:t>-</w:t>
            </w:r>
          </w:p>
        </w:tc>
      </w:tr>
      <w:tr w:rsidR="0024506F" w:rsidRPr="00905C27" w:rsidDel="0095234C" w14:paraId="55D2B813" w14:textId="77777777" w:rsidTr="0024506F">
        <w:trPr>
          <w:trHeight w:val="293"/>
          <w:jc w:val="center"/>
        </w:trPr>
        <w:tc>
          <w:tcPr>
            <w:tcW w:w="438" w:type="pct"/>
            <w:vAlign w:val="center"/>
          </w:tcPr>
          <w:p w14:paraId="561522C1" w14:textId="77777777" w:rsidR="004E2EBC" w:rsidRPr="00905C27" w:rsidRDefault="004E2EBC" w:rsidP="004E2EBC">
            <w:pPr>
              <w:pStyle w:val="T1"/>
              <w:spacing w:before="0" w:after="0" w:line="140" w:lineRule="exact"/>
              <w:jc w:val="right"/>
              <w:rPr>
                <w:rFonts w:asciiTheme="minorHAnsi" w:hAnsiTheme="minorHAnsi" w:cs="Arial"/>
                <w:b w:val="0"/>
                <w:sz w:val="20"/>
                <w:lang w:val="hr-HR"/>
              </w:rPr>
            </w:pPr>
          </w:p>
        </w:tc>
        <w:tc>
          <w:tcPr>
            <w:tcW w:w="692" w:type="pct"/>
            <w:vAlign w:val="bottom"/>
          </w:tcPr>
          <w:p w14:paraId="03E31E9C" w14:textId="77777777" w:rsidR="004E2EBC" w:rsidRPr="00905C27" w:rsidRDefault="004E2EBC" w:rsidP="004E2EBC">
            <w:pPr>
              <w:pStyle w:val="TT"/>
              <w:spacing w:line="180" w:lineRule="exact"/>
              <w:rPr>
                <w:rFonts w:asciiTheme="minorHAnsi" w:hAnsiTheme="minorHAnsi" w:cs="Arial"/>
                <w:b/>
                <w:sz w:val="20"/>
                <w:lang w:val="hr-HR"/>
              </w:rPr>
            </w:pPr>
            <w:r w:rsidRPr="00905C27">
              <w:rPr>
                <w:rFonts w:asciiTheme="minorHAnsi" w:hAnsiTheme="minorHAnsi" w:cs="Arial"/>
                <w:b/>
                <w:sz w:val="20"/>
                <w:lang w:val="hr-HR"/>
              </w:rPr>
              <w:t>Ukupno</w:t>
            </w:r>
          </w:p>
        </w:tc>
        <w:tc>
          <w:tcPr>
            <w:tcW w:w="593" w:type="pct"/>
            <w:vAlign w:val="center"/>
          </w:tcPr>
          <w:p w14:paraId="3B19E7A4" w14:textId="77777777" w:rsidR="004E2EBC" w:rsidRPr="00905C27" w:rsidDel="0095234C" w:rsidRDefault="004E2EBC" w:rsidP="004E2EBC">
            <w:pPr>
              <w:pStyle w:val="TT"/>
              <w:spacing w:line="180" w:lineRule="exact"/>
              <w:jc w:val="right"/>
              <w:rPr>
                <w:rFonts w:asciiTheme="minorHAnsi" w:hAnsiTheme="minorHAnsi" w:cs="Arial"/>
                <w:b/>
                <w:sz w:val="20"/>
                <w:lang w:val="hr-HR"/>
              </w:rPr>
            </w:pPr>
          </w:p>
        </w:tc>
        <w:tc>
          <w:tcPr>
            <w:tcW w:w="819" w:type="pct"/>
            <w:tcBorders>
              <w:top w:val="single" w:sz="4" w:space="0" w:color="auto"/>
              <w:bottom w:val="single" w:sz="18" w:space="0" w:color="auto"/>
            </w:tcBorders>
            <w:vAlign w:val="center"/>
          </w:tcPr>
          <w:p w14:paraId="6BD8556B" w14:textId="3F87394B" w:rsidR="004E2EBC" w:rsidRPr="00D72AC0" w:rsidDel="0095234C" w:rsidRDefault="0024506F" w:rsidP="004E2EBC">
            <w:pPr>
              <w:tabs>
                <w:tab w:val="right" w:pos="1202"/>
              </w:tabs>
              <w:spacing w:after="0" w:line="180" w:lineRule="exact"/>
              <w:jc w:val="right"/>
              <w:outlineLvl w:val="0"/>
              <w:rPr>
                <w:rFonts w:eastAsia="Times New Roman" w:cs="Arial"/>
                <w:b/>
                <w:sz w:val="20"/>
                <w:szCs w:val="20"/>
              </w:rPr>
            </w:pPr>
            <w:r>
              <w:rPr>
                <w:rFonts w:eastAsia="Times New Roman" w:cs="Arial"/>
                <w:b/>
                <w:sz w:val="20"/>
                <w:szCs w:val="20"/>
              </w:rPr>
              <w:t>33.185.602</w:t>
            </w:r>
          </w:p>
        </w:tc>
        <w:tc>
          <w:tcPr>
            <w:tcW w:w="819" w:type="pct"/>
            <w:gridSpan w:val="2"/>
            <w:tcBorders>
              <w:top w:val="single" w:sz="4" w:space="0" w:color="auto"/>
              <w:bottom w:val="single" w:sz="18" w:space="0" w:color="auto"/>
            </w:tcBorders>
            <w:vAlign w:val="center"/>
          </w:tcPr>
          <w:p w14:paraId="6551D7B7" w14:textId="7E6778E1" w:rsidR="004E2EBC" w:rsidRPr="00D72AC0" w:rsidDel="0095234C" w:rsidRDefault="004E2EBC" w:rsidP="004E2EBC">
            <w:pPr>
              <w:tabs>
                <w:tab w:val="right" w:pos="1202"/>
              </w:tabs>
              <w:spacing w:after="0" w:line="180" w:lineRule="exact"/>
              <w:jc w:val="right"/>
              <w:outlineLvl w:val="0"/>
              <w:rPr>
                <w:rFonts w:eastAsia="Times New Roman" w:cs="Arial"/>
                <w:b/>
                <w:sz w:val="20"/>
                <w:szCs w:val="20"/>
              </w:rPr>
            </w:pPr>
            <w:r w:rsidRPr="009557C4">
              <w:rPr>
                <w:rFonts w:eastAsia="Times New Roman" w:cs="Arial"/>
                <w:b/>
                <w:sz w:val="20"/>
                <w:szCs w:val="20"/>
              </w:rPr>
              <w:t>33.220.026</w:t>
            </w:r>
          </w:p>
        </w:tc>
        <w:tc>
          <w:tcPr>
            <w:tcW w:w="819" w:type="pct"/>
            <w:tcBorders>
              <w:top w:val="single" w:sz="4" w:space="0" w:color="auto"/>
              <w:bottom w:val="single" w:sz="18" w:space="0" w:color="auto"/>
            </w:tcBorders>
            <w:vAlign w:val="center"/>
          </w:tcPr>
          <w:p w14:paraId="0FCD6C6A" w14:textId="41ADD2FB" w:rsidR="004E2EBC" w:rsidRPr="00D72AC0" w:rsidDel="0095234C" w:rsidRDefault="0024506F" w:rsidP="004E2EBC">
            <w:pPr>
              <w:tabs>
                <w:tab w:val="right" w:pos="1202"/>
              </w:tabs>
              <w:spacing w:after="0" w:line="180" w:lineRule="exact"/>
              <w:jc w:val="right"/>
              <w:outlineLvl w:val="0"/>
              <w:rPr>
                <w:rFonts w:eastAsia="Times New Roman" w:cs="Arial"/>
                <w:b/>
                <w:sz w:val="20"/>
                <w:szCs w:val="20"/>
              </w:rPr>
            </w:pPr>
            <w:r>
              <w:rPr>
                <w:rFonts w:eastAsia="Times New Roman" w:cs="Arial"/>
                <w:b/>
                <w:sz w:val="20"/>
                <w:szCs w:val="20"/>
              </w:rPr>
              <w:t>33.131.926</w:t>
            </w:r>
          </w:p>
        </w:tc>
        <w:tc>
          <w:tcPr>
            <w:tcW w:w="819" w:type="pct"/>
            <w:gridSpan w:val="2"/>
            <w:tcBorders>
              <w:top w:val="single" w:sz="4" w:space="0" w:color="auto"/>
              <w:bottom w:val="single" w:sz="18" w:space="0" w:color="auto"/>
            </w:tcBorders>
            <w:vAlign w:val="center"/>
          </w:tcPr>
          <w:p w14:paraId="56C4C552" w14:textId="28F6BE2D" w:rsidR="004E2EBC" w:rsidRPr="00D72AC0" w:rsidRDefault="004E2EBC" w:rsidP="004E2EBC">
            <w:pPr>
              <w:tabs>
                <w:tab w:val="right" w:pos="1202"/>
              </w:tabs>
              <w:spacing w:after="0" w:line="180" w:lineRule="exact"/>
              <w:jc w:val="right"/>
              <w:outlineLvl w:val="0"/>
              <w:rPr>
                <w:rFonts w:eastAsia="Times New Roman" w:cs="Arial"/>
                <w:b/>
                <w:sz w:val="20"/>
                <w:szCs w:val="20"/>
              </w:rPr>
            </w:pPr>
            <w:r w:rsidRPr="009557C4">
              <w:rPr>
                <w:rFonts w:eastAsia="Times New Roman" w:cs="Arial"/>
                <w:b/>
                <w:sz w:val="20"/>
                <w:szCs w:val="20"/>
              </w:rPr>
              <w:t>33.168.139</w:t>
            </w:r>
          </w:p>
        </w:tc>
      </w:tr>
      <w:tr w:rsidR="0024506F" w:rsidRPr="00905C27" w:rsidDel="0095234C" w14:paraId="15E40772" w14:textId="77777777" w:rsidTr="00312975">
        <w:trPr>
          <w:trHeight w:val="254"/>
          <w:jc w:val="center"/>
        </w:trPr>
        <w:tc>
          <w:tcPr>
            <w:tcW w:w="438" w:type="pct"/>
          </w:tcPr>
          <w:p w14:paraId="0FEC9037" w14:textId="77777777" w:rsidR="004E2EBC" w:rsidRPr="00905C27" w:rsidRDefault="004E2EBC" w:rsidP="004E2EBC">
            <w:pPr>
              <w:pStyle w:val="T1"/>
              <w:spacing w:before="0" w:after="0" w:line="280" w:lineRule="exact"/>
              <w:jc w:val="right"/>
              <w:rPr>
                <w:rFonts w:asciiTheme="minorHAnsi" w:hAnsiTheme="minorHAnsi" w:cs="Arial"/>
                <w:b w:val="0"/>
                <w:sz w:val="20"/>
                <w:lang w:val="hr-HR"/>
              </w:rPr>
            </w:pPr>
          </w:p>
        </w:tc>
        <w:tc>
          <w:tcPr>
            <w:tcW w:w="692" w:type="pct"/>
          </w:tcPr>
          <w:p w14:paraId="01654342" w14:textId="77777777" w:rsidR="004E2EBC" w:rsidRPr="00905C27" w:rsidRDefault="004E2EBC" w:rsidP="004E2EBC">
            <w:pPr>
              <w:pStyle w:val="TT"/>
              <w:spacing w:line="280" w:lineRule="exact"/>
              <w:jc w:val="right"/>
              <w:rPr>
                <w:rFonts w:asciiTheme="minorHAnsi" w:hAnsiTheme="minorHAnsi" w:cs="Arial"/>
                <w:b/>
                <w:sz w:val="20"/>
                <w:lang w:val="hr-HR"/>
              </w:rPr>
            </w:pPr>
          </w:p>
        </w:tc>
        <w:tc>
          <w:tcPr>
            <w:tcW w:w="593" w:type="pct"/>
          </w:tcPr>
          <w:p w14:paraId="24D1F413" w14:textId="77777777" w:rsidR="004E2EBC" w:rsidRPr="00905C27" w:rsidDel="0095234C" w:rsidRDefault="004E2EBC" w:rsidP="004E2EBC">
            <w:pPr>
              <w:pStyle w:val="TT"/>
              <w:spacing w:line="280" w:lineRule="exact"/>
              <w:jc w:val="right"/>
              <w:rPr>
                <w:rFonts w:asciiTheme="minorHAnsi" w:hAnsiTheme="minorHAnsi" w:cs="Arial"/>
                <w:b/>
                <w:sz w:val="20"/>
                <w:lang w:val="hr-HR"/>
              </w:rPr>
            </w:pPr>
          </w:p>
        </w:tc>
        <w:tc>
          <w:tcPr>
            <w:tcW w:w="1045" w:type="pct"/>
            <w:gridSpan w:val="2"/>
            <w:tcBorders>
              <w:top w:val="single" w:sz="18" w:space="0" w:color="auto"/>
            </w:tcBorders>
          </w:tcPr>
          <w:p w14:paraId="258D401E" w14:textId="77777777" w:rsidR="004E2EBC" w:rsidRPr="00905C27" w:rsidDel="0095234C" w:rsidRDefault="004E2EBC" w:rsidP="004E2EBC">
            <w:pPr>
              <w:pStyle w:val="TT"/>
              <w:spacing w:line="280" w:lineRule="exact"/>
              <w:jc w:val="right"/>
              <w:rPr>
                <w:rFonts w:asciiTheme="minorHAnsi" w:hAnsiTheme="minorHAnsi" w:cs="Arial"/>
                <w:b/>
                <w:sz w:val="20"/>
                <w:lang w:val="hr-HR"/>
              </w:rPr>
            </w:pPr>
          </w:p>
        </w:tc>
        <w:tc>
          <w:tcPr>
            <w:tcW w:w="593" w:type="pct"/>
            <w:tcBorders>
              <w:top w:val="single" w:sz="18" w:space="0" w:color="auto"/>
            </w:tcBorders>
          </w:tcPr>
          <w:p w14:paraId="36E17B41" w14:textId="77777777" w:rsidR="004E2EBC" w:rsidRPr="00905C27" w:rsidDel="0095234C" w:rsidRDefault="004E2EBC" w:rsidP="004E2EBC">
            <w:pPr>
              <w:pStyle w:val="TT"/>
              <w:spacing w:line="280" w:lineRule="exact"/>
              <w:jc w:val="right"/>
              <w:rPr>
                <w:rFonts w:asciiTheme="minorHAnsi" w:hAnsiTheme="minorHAnsi" w:cs="Arial"/>
                <w:b/>
                <w:sz w:val="20"/>
                <w:lang w:val="hr-HR"/>
              </w:rPr>
            </w:pPr>
          </w:p>
        </w:tc>
        <w:tc>
          <w:tcPr>
            <w:tcW w:w="1045" w:type="pct"/>
            <w:gridSpan w:val="2"/>
            <w:tcBorders>
              <w:top w:val="single" w:sz="18" w:space="0" w:color="auto"/>
            </w:tcBorders>
          </w:tcPr>
          <w:p w14:paraId="03423F3A" w14:textId="77777777" w:rsidR="004E2EBC" w:rsidRPr="00905C27" w:rsidRDefault="004E2EBC" w:rsidP="004E2EBC">
            <w:pPr>
              <w:pStyle w:val="TT"/>
              <w:spacing w:line="280" w:lineRule="exact"/>
              <w:jc w:val="right"/>
              <w:rPr>
                <w:rFonts w:asciiTheme="minorHAnsi" w:hAnsiTheme="minorHAnsi" w:cs="Arial"/>
                <w:b/>
                <w:sz w:val="20"/>
                <w:lang w:val="hr-HR"/>
              </w:rPr>
            </w:pPr>
          </w:p>
        </w:tc>
        <w:tc>
          <w:tcPr>
            <w:tcW w:w="593" w:type="pct"/>
            <w:tcBorders>
              <w:top w:val="single" w:sz="18" w:space="0" w:color="auto"/>
            </w:tcBorders>
          </w:tcPr>
          <w:p w14:paraId="1F803E55" w14:textId="77777777" w:rsidR="004E2EBC" w:rsidRPr="00905C27" w:rsidRDefault="004E2EBC" w:rsidP="004E2EBC">
            <w:pPr>
              <w:pStyle w:val="TT"/>
              <w:spacing w:line="280" w:lineRule="exact"/>
              <w:jc w:val="right"/>
              <w:rPr>
                <w:rFonts w:asciiTheme="minorHAnsi" w:hAnsiTheme="minorHAnsi" w:cs="Arial"/>
                <w:b/>
                <w:sz w:val="20"/>
                <w:lang w:val="hr-HR"/>
              </w:rPr>
            </w:pPr>
          </w:p>
        </w:tc>
      </w:tr>
    </w:tbl>
    <w:p w14:paraId="67FE4C3F" w14:textId="77777777" w:rsidR="00905C27" w:rsidRPr="00905C27" w:rsidRDefault="00905C27" w:rsidP="00905C27">
      <w:pPr>
        <w:pStyle w:val="accountingpolicytitle"/>
        <w:rPr>
          <w:rFonts w:asciiTheme="minorHAnsi" w:hAnsiTheme="minorHAnsi"/>
          <w:sz w:val="22"/>
          <w:szCs w:val="22"/>
          <w:lang w:val="hr-HR"/>
        </w:rPr>
      </w:pPr>
    </w:p>
    <w:p w14:paraId="21BFF0B2" w14:textId="77777777" w:rsidR="00581360" w:rsidRPr="00905C27" w:rsidRDefault="00581360" w:rsidP="00905C27">
      <w:pPr>
        <w:pStyle w:val="accountingpolicytitle"/>
        <w:rPr>
          <w:rFonts w:asciiTheme="minorHAnsi" w:hAnsiTheme="minorHAnsi" w:cstheme="minorHAnsi"/>
          <w:sz w:val="22"/>
          <w:szCs w:val="22"/>
          <w:lang w:val="hr-HR"/>
        </w:rPr>
      </w:pPr>
    </w:p>
    <w:p w14:paraId="5B818E0A" w14:textId="77777777" w:rsidR="00905C27" w:rsidRDefault="00905C27" w:rsidP="00905C27">
      <w:pPr>
        <w:pStyle w:val="accountingpolicytitle"/>
        <w:rPr>
          <w:rFonts w:asciiTheme="minorHAnsi" w:hAnsiTheme="minorHAnsi" w:cstheme="minorHAnsi"/>
          <w:sz w:val="22"/>
          <w:szCs w:val="22"/>
          <w:lang w:val="hr-HR"/>
        </w:rPr>
        <w:sectPr w:rsidR="00905C27" w:rsidSect="004E2EBC">
          <w:footerReference w:type="first" r:id="rId93"/>
          <w:pgSz w:w="11906" w:h="16838" w:code="9"/>
          <w:pgMar w:top="1418" w:right="1418" w:bottom="595" w:left="1134" w:header="709" w:footer="709" w:gutter="0"/>
          <w:cols w:space="708"/>
          <w:titlePg/>
          <w:docGrid w:linePitch="360"/>
        </w:sectPr>
      </w:pPr>
    </w:p>
    <w:p w14:paraId="14330A60" w14:textId="77777777" w:rsidR="00905C27" w:rsidRDefault="00905C27" w:rsidP="00905C27">
      <w:pPr>
        <w:pStyle w:val="T1"/>
        <w:spacing w:before="0" w:after="0" w:line="240" w:lineRule="auto"/>
        <w:rPr>
          <w:rFonts w:asciiTheme="minorHAnsi" w:hAnsiTheme="minorHAnsi" w:cs="Arial"/>
          <w:sz w:val="22"/>
          <w:szCs w:val="22"/>
          <w:lang w:val="hr-HR"/>
        </w:rPr>
      </w:pPr>
    </w:p>
    <w:p w14:paraId="0521B834" w14:textId="77777777" w:rsidR="00B3779D" w:rsidRDefault="00B3779D" w:rsidP="00B3779D">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3779D">
        <w:rPr>
          <w:rFonts w:asciiTheme="minorHAnsi" w:hAnsiTheme="minorHAnsi" w:cs="Arial"/>
          <w:sz w:val="22"/>
          <w:szCs w:val="22"/>
          <w:lang w:val="hr-HR"/>
        </w:rPr>
        <w:t>.</w:t>
      </w:r>
      <w:r w:rsidRPr="00B3779D">
        <w:rPr>
          <w:rFonts w:asciiTheme="minorHAnsi" w:hAnsiTheme="minorHAnsi" w:cs="Arial"/>
          <w:sz w:val="22"/>
          <w:szCs w:val="22"/>
          <w:lang w:val="hr-HR"/>
        </w:rPr>
        <w:tab/>
        <w:t>Upravljanje rizicima (nastavak)</w:t>
      </w:r>
    </w:p>
    <w:p w14:paraId="79A4669F" w14:textId="77777777" w:rsidR="00B3779D" w:rsidRDefault="00B3779D" w:rsidP="00B3779D">
      <w:pPr>
        <w:pStyle w:val="T1"/>
        <w:spacing w:before="0" w:after="0" w:line="240" w:lineRule="auto"/>
        <w:rPr>
          <w:rFonts w:asciiTheme="minorHAnsi" w:hAnsiTheme="minorHAnsi" w:cs="Arial"/>
          <w:sz w:val="22"/>
          <w:szCs w:val="22"/>
          <w:lang w:val="hr-HR"/>
        </w:rPr>
      </w:pPr>
    </w:p>
    <w:p w14:paraId="3301E9C2" w14:textId="77777777" w:rsidR="00B3779D" w:rsidRDefault="00B3779D" w:rsidP="00B3779D">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3779D">
        <w:rPr>
          <w:rFonts w:asciiTheme="minorHAnsi" w:hAnsiTheme="minorHAnsi" w:cs="Arial"/>
          <w:sz w:val="22"/>
          <w:szCs w:val="22"/>
          <w:lang w:val="hr-HR"/>
        </w:rPr>
        <w:t xml:space="preserve">.2. </w:t>
      </w:r>
      <w:r w:rsidRPr="00B3779D">
        <w:rPr>
          <w:rFonts w:asciiTheme="minorHAnsi" w:hAnsiTheme="minorHAnsi" w:cs="Arial"/>
          <w:sz w:val="22"/>
          <w:szCs w:val="22"/>
          <w:lang w:val="hr-HR"/>
        </w:rPr>
        <w:tab/>
        <w:t>Kreditni rizik (nastavak)</w:t>
      </w:r>
    </w:p>
    <w:p w14:paraId="6B718506" w14:textId="77777777" w:rsidR="00B3779D" w:rsidRPr="00B3779D" w:rsidRDefault="00B3779D" w:rsidP="00B3779D">
      <w:pPr>
        <w:pStyle w:val="T1"/>
        <w:spacing w:before="0" w:after="0" w:line="240" w:lineRule="auto"/>
        <w:rPr>
          <w:rFonts w:asciiTheme="minorHAnsi" w:hAnsiTheme="minorHAnsi" w:cs="Arial"/>
          <w:sz w:val="22"/>
          <w:szCs w:val="22"/>
          <w:lang w:val="hr-HR"/>
        </w:rPr>
      </w:pPr>
    </w:p>
    <w:p w14:paraId="7D09374E" w14:textId="77777777" w:rsidR="00B3779D" w:rsidRDefault="00B3779D" w:rsidP="00B3779D">
      <w:pPr>
        <w:pStyle w:val="T1"/>
        <w:spacing w:before="0" w:after="0" w:line="240" w:lineRule="auto"/>
        <w:rPr>
          <w:rFonts w:asciiTheme="minorHAnsi" w:hAnsiTheme="minorHAnsi" w:cs="Arial"/>
          <w:sz w:val="22"/>
          <w:szCs w:val="22"/>
          <w:lang w:val="hr-HR"/>
        </w:rPr>
      </w:pPr>
      <w:r w:rsidRPr="00B3779D">
        <w:rPr>
          <w:rFonts w:asciiTheme="minorHAnsi" w:hAnsiTheme="minorHAnsi" w:cs="Arial"/>
          <w:sz w:val="22"/>
          <w:szCs w:val="22"/>
          <w:lang w:val="hr-HR"/>
        </w:rPr>
        <w:t xml:space="preserve">Kvaliteta kreditnog rizika prema vrsti financijske imovine </w:t>
      </w:r>
    </w:p>
    <w:p w14:paraId="659B9C8D" w14:textId="77777777" w:rsidR="00B3779D" w:rsidRPr="00B3779D" w:rsidRDefault="00B3779D" w:rsidP="00B3779D">
      <w:pPr>
        <w:pStyle w:val="T1"/>
        <w:spacing w:before="0" w:after="0" w:line="240" w:lineRule="auto"/>
        <w:rPr>
          <w:rFonts w:asciiTheme="minorHAnsi" w:hAnsiTheme="minorHAnsi" w:cs="Arial"/>
          <w:sz w:val="22"/>
          <w:szCs w:val="22"/>
          <w:lang w:val="hr-HR"/>
        </w:rPr>
      </w:pPr>
    </w:p>
    <w:p w14:paraId="1DD1B8BF" w14:textId="77777777" w:rsidR="00B3779D" w:rsidRDefault="00B3779D" w:rsidP="00B3779D">
      <w:pPr>
        <w:spacing w:after="0" w:line="240" w:lineRule="auto"/>
        <w:jc w:val="both"/>
        <w:rPr>
          <w:rFonts w:cs="Arial"/>
          <w:sz w:val="21"/>
          <w:szCs w:val="21"/>
        </w:rPr>
      </w:pPr>
      <w:r w:rsidRPr="000B60DD">
        <w:rPr>
          <w:rFonts w:cs="Arial"/>
          <w:sz w:val="21"/>
          <w:szCs w:val="21"/>
        </w:rPr>
        <w:t>Analiza kreditnog rizika prije i nakon uzimanja u obzir primljenih instrumenata osiguranja prema vrsti financijske imovine na pozicijama imovine i garancija i preuzetih obveza prema rizičnim skupinama:</w:t>
      </w:r>
    </w:p>
    <w:p w14:paraId="11A943F7" w14:textId="77777777" w:rsidR="00E22373" w:rsidRPr="000B60DD" w:rsidRDefault="00E22373" w:rsidP="00B3779D">
      <w:pPr>
        <w:spacing w:after="0" w:line="240" w:lineRule="auto"/>
        <w:jc w:val="both"/>
        <w:rPr>
          <w:rFonts w:cs="Arial"/>
          <w:sz w:val="21"/>
          <w:szCs w:val="21"/>
        </w:rPr>
      </w:pPr>
    </w:p>
    <w:tbl>
      <w:tblPr>
        <w:tblW w:w="5455" w:type="pct"/>
        <w:jc w:val="center"/>
        <w:tblLayout w:type="fixed"/>
        <w:tblLook w:val="0000" w:firstRow="0" w:lastRow="0" w:firstColumn="0" w:lastColumn="0" w:noHBand="0" w:noVBand="0"/>
      </w:tblPr>
      <w:tblGrid>
        <w:gridCol w:w="1975"/>
        <w:gridCol w:w="1153"/>
        <w:gridCol w:w="992"/>
        <w:gridCol w:w="992"/>
        <w:gridCol w:w="1131"/>
        <w:gridCol w:w="992"/>
        <w:gridCol w:w="990"/>
        <w:gridCol w:w="990"/>
        <w:gridCol w:w="990"/>
      </w:tblGrid>
      <w:tr w:rsidR="00CF2A73" w:rsidRPr="005A607D" w14:paraId="70959EC9" w14:textId="77777777" w:rsidTr="00D56049">
        <w:trPr>
          <w:trHeight w:val="1658"/>
          <w:jc w:val="center"/>
        </w:trPr>
        <w:tc>
          <w:tcPr>
            <w:tcW w:w="968" w:type="pct"/>
          </w:tcPr>
          <w:p w14:paraId="25A126A2" w14:textId="77777777" w:rsidR="00B3779D" w:rsidRPr="00CF2A73" w:rsidRDefault="00B3779D" w:rsidP="00B3779D">
            <w:pPr>
              <w:spacing w:after="0" w:line="240" w:lineRule="exact"/>
              <w:rPr>
                <w:rFonts w:cs="Arial"/>
                <w:b/>
                <w:bCs/>
                <w:sz w:val="16"/>
                <w:szCs w:val="16"/>
              </w:rPr>
            </w:pPr>
            <w:r w:rsidRPr="00CF2A73">
              <w:rPr>
                <w:rFonts w:cs="Arial"/>
                <w:b/>
                <w:bCs/>
                <w:sz w:val="16"/>
                <w:szCs w:val="16"/>
              </w:rPr>
              <w:br w:type="page"/>
            </w:r>
          </w:p>
          <w:p w14:paraId="3253EEC4" w14:textId="77777777" w:rsidR="00B3779D" w:rsidRPr="00CF2A73" w:rsidRDefault="00B3779D" w:rsidP="00B3779D">
            <w:pPr>
              <w:spacing w:after="0" w:line="240" w:lineRule="exact"/>
              <w:rPr>
                <w:rFonts w:cs="Arial"/>
                <w:b/>
                <w:bCs/>
                <w:sz w:val="16"/>
                <w:szCs w:val="16"/>
              </w:rPr>
            </w:pPr>
            <w:r w:rsidRPr="00CF2A73">
              <w:rPr>
                <w:rFonts w:cs="Arial"/>
                <w:b/>
                <w:bCs/>
                <w:sz w:val="16"/>
                <w:szCs w:val="16"/>
              </w:rPr>
              <w:t>Grupa</w:t>
            </w:r>
          </w:p>
          <w:p w14:paraId="58FBADD8" w14:textId="77777777" w:rsidR="00B3779D" w:rsidRPr="00CF2A73" w:rsidRDefault="00B3779D" w:rsidP="00B3779D">
            <w:pPr>
              <w:spacing w:after="0" w:line="240" w:lineRule="exact"/>
              <w:rPr>
                <w:rFonts w:cs="Arial"/>
                <w:b/>
                <w:bCs/>
                <w:sz w:val="16"/>
                <w:szCs w:val="16"/>
              </w:rPr>
            </w:pPr>
          </w:p>
          <w:p w14:paraId="4A490CBD" w14:textId="77777777" w:rsidR="00B3779D" w:rsidRPr="00CF2A73" w:rsidRDefault="00B3779D" w:rsidP="00B3779D">
            <w:pPr>
              <w:spacing w:after="0" w:line="240" w:lineRule="exact"/>
              <w:rPr>
                <w:rFonts w:cs="Arial"/>
                <w:b/>
                <w:bCs/>
                <w:sz w:val="16"/>
                <w:szCs w:val="16"/>
              </w:rPr>
            </w:pPr>
          </w:p>
          <w:p w14:paraId="6F7A7D42" w14:textId="0AAE1618" w:rsidR="00B3779D" w:rsidRPr="00CF2A73" w:rsidRDefault="00D56049">
            <w:pPr>
              <w:spacing w:after="0" w:line="240" w:lineRule="exact"/>
              <w:rPr>
                <w:rFonts w:cs="Arial"/>
                <w:sz w:val="16"/>
                <w:szCs w:val="16"/>
              </w:rPr>
            </w:pPr>
            <w:r w:rsidRPr="00CF2A73">
              <w:rPr>
                <w:rFonts w:cs="Arial"/>
                <w:b/>
                <w:bCs/>
                <w:sz w:val="16"/>
                <w:szCs w:val="16"/>
              </w:rPr>
              <w:t>3</w:t>
            </w:r>
            <w:r>
              <w:rPr>
                <w:rFonts w:cs="Arial"/>
                <w:b/>
                <w:bCs/>
                <w:sz w:val="16"/>
                <w:szCs w:val="16"/>
              </w:rPr>
              <w:t>0</w:t>
            </w:r>
            <w:r w:rsidR="009557C4" w:rsidRPr="00CF2A73">
              <w:rPr>
                <w:rFonts w:cs="Arial"/>
                <w:b/>
                <w:bCs/>
                <w:sz w:val="16"/>
                <w:szCs w:val="16"/>
              </w:rPr>
              <w:t>.</w:t>
            </w:r>
            <w:r>
              <w:rPr>
                <w:rFonts w:cs="Arial"/>
                <w:b/>
                <w:bCs/>
                <w:sz w:val="16"/>
                <w:szCs w:val="16"/>
              </w:rPr>
              <w:t>6</w:t>
            </w:r>
            <w:r w:rsidR="009557C4" w:rsidRPr="00CF2A73">
              <w:rPr>
                <w:rFonts w:cs="Arial"/>
                <w:b/>
                <w:bCs/>
                <w:sz w:val="16"/>
                <w:szCs w:val="16"/>
              </w:rPr>
              <w:t>.2017.</w:t>
            </w:r>
          </w:p>
        </w:tc>
        <w:tc>
          <w:tcPr>
            <w:tcW w:w="565" w:type="pct"/>
          </w:tcPr>
          <w:p w14:paraId="49243B92" w14:textId="77777777" w:rsidR="00B3779D" w:rsidRPr="00CF2A73" w:rsidRDefault="00B3779D" w:rsidP="00B3779D">
            <w:pPr>
              <w:spacing w:after="0" w:line="240" w:lineRule="exact"/>
              <w:jc w:val="right"/>
              <w:rPr>
                <w:rFonts w:cs="Arial"/>
                <w:b/>
                <w:sz w:val="16"/>
                <w:szCs w:val="16"/>
              </w:rPr>
            </w:pPr>
            <w:r w:rsidRPr="00CF2A73">
              <w:rPr>
                <w:rFonts w:cs="Arial"/>
                <w:b/>
                <w:sz w:val="16"/>
                <w:szCs w:val="16"/>
              </w:rPr>
              <w:t>Bruto izloženost portfelja rizične skupine A</w:t>
            </w:r>
          </w:p>
          <w:p w14:paraId="0E0E2DC7" w14:textId="77777777" w:rsidR="00B3779D" w:rsidRPr="00CF2A73" w:rsidRDefault="00B3779D" w:rsidP="00B3779D">
            <w:pPr>
              <w:spacing w:after="0" w:line="240" w:lineRule="exact"/>
              <w:jc w:val="right"/>
              <w:rPr>
                <w:rFonts w:cs="Arial"/>
                <w:b/>
                <w:sz w:val="16"/>
                <w:szCs w:val="16"/>
              </w:rPr>
            </w:pPr>
          </w:p>
        </w:tc>
        <w:tc>
          <w:tcPr>
            <w:tcW w:w="486" w:type="pct"/>
          </w:tcPr>
          <w:p w14:paraId="50FEE7AF" w14:textId="77777777" w:rsidR="00B3779D" w:rsidRPr="00CF2A73" w:rsidRDefault="00B3779D" w:rsidP="00B3779D">
            <w:pPr>
              <w:spacing w:after="0" w:line="240" w:lineRule="exact"/>
              <w:jc w:val="right"/>
              <w:rPr>
                <w:rFonts w:cs="Arial"/>
                <w:b/>
                <w:sz w:val="16"/>
                <w:szCs w:val="16"/>
              </w:rPr>
            </w:pPr>
            <w:r w:rsidRPr="00CF2A73">
              <w:rPr>
                <w:rFonts w:cs="Arial"/>
                <w:b/>
                <w:sz w:val="16"/>
                <w:szCs w:val="16"/>
              </w:rPr>
              <w:t>Bruto izloženost portfelja rizične skupine B</w:t>
            </w:r>
          </w:p>
          <w:p w14:paraId="5E0B0DD9" w14:textId="77777777" w:rsidR="00B3779D" w:rsidRPr="00CF2A73" w:rsidRDefault="00B3779D" w:rsidP="00B3779D">
            <w:pPr>
              <w:spacing w:after="0" w:line="240" w:lineRule="exact"/>
              <w:jc w:val="right"/>
              <w:rPr>
                <w:rFonts w:cs="Arial"/>
                <w:b/>
                <w:sz w:val="16"/>
                <w:szCs w:val="16"/>
              </w:rPr>
            </w:pPr>
          </w:p>
        </w:tc>
        <w:tc>
          <w:tcPr>
            <w:tcW w:w="486" w:type="pct"/>
          </w:tcPr>
          <w:p w14:paraId="691F1F89" w14:textId="77777777" w:rsidR="00B3779D" w:rsidRPr="00CF2A73" w:rsidRDefault="00B3779D" w:rsidP="00B3779D">
            <w:pPr>
              <w:spacing w:after="0" w:line="240" w:lineRule="exact"/>
              <w:jc w:val="right"/>
              <w:rPr>
                <w:rFonts w:cs="Arial"/>
                <w:b/>
                <w:sz w:val="16"/>
                <w:szCs w:val="16"/>
              </w:rPr>
            </w:pPr>
            <w:r w:rsidRPr="00CF2A73">
              <w:rPr>
                <w:rFonts w:cs="Arial"/>
                <w:b/>
                <w:sz w:val="16"/>
                <w:szCs w:val="16"/>
              </w:rPr>
              <w:t>Bruto izloženost portfelja rizične skupine C</w:t>
            </w:r>
          </w:p>
          <w:p w14:paraId="6A09C593" w14:textId="77777777" w:rsidR="00B3779D" w:rsidRPr="00CF2A73" w:rsidRDefault="00B3779D" w:rsidP="00B3779D">
            <w:pPr>
              <w:spacing w:after="0" w:line="240" w:lineRule="exact"/>
              <w:jc w:val="right"/>
              <w:rPr>
                <w:rFonts w:cs="Arial"/>
                <w:b/>
                <w:sz w:val="16"/>
                <w:szCs w:val="16"/>
              </w:rPr>
            </w:pPr>
          </w:p>
        </w:tc>
        <w:tc>
          <w:tcPr>
            <w:tcW w:w="554" w:type="pct"/>
          </w:tcPr>
          <w:p w14:paraId="13ED8D71" w14:textId="77777777" w:rsidR="00B3779D" w:rsidRPr="00CF2A73" w:rsidRDefault="00B3779D">
            <w:pPr>
              <w:spacing w:after="0" w:line="240" w:lineRule="exact"/>
              <w:jc w:val="right"/>
              <w:rPr>
                <w:rFonts w:cs="Arial"/>
                <w:b/>
                <w:sz w:val="16"/>
                <w:szCs w:val="16"/>
              </w:rPr>
            </w:pPr>
            <w:r w:rsidRPr="00CF2A73">
              <w:rPr>
                <w:rFonts w:cs="Arial"/>
                <w:b/>
                <w:sz w:val="16"/>
                <w:szCs w:val="16"/>
              </w:rPr>
              <w:t>Bruto izloženost ukupnog portfelja</w:t>
            </w:r>
          </w:p>
          <w:p w14:paraId="1B57F741" w14:textId="77777777" w:rsidR="00B3779D" w:rsidRPr="00CF2A73" w:rsidRDefault="00B3779D">
            <w:pPr>
              <w:spacing w:after="0" w:line="240" w:lineRule="exact"/>
              <w:jc w:val="right"/>
              <w:rPr>
                <w:rFonts w:cs="Arial"/>
                <w:b/>
                <w:sz w:val="16"/>
                <w:szCs w:val="16"/>
              </w:rPr>
            </w:pPr>
          </w:p>
        </w:tc>
        <w:tc>
          <w:tcPr>
            <w:tcW w:w="486" w:type="pct"/>
          </w:tcPr>
          <w:p w14:paraId="18B52BDE" w14:textId="77777777" w:rsidR="00B3779D" w:rsidRPr="00CF2A73" w:rsidRDefault="00B3779D" w:rsidP="00B3779D">
            <w:pPr>
              <w:spacing w:after="0" w:line="240" w:lineRule="exact"/>
              <w:jc w:val="right"/>
              <w:rPr>
                <w:rFonts w:cs="Arial"/>
                <w:b/>
                <w:sz w:val="16"/>
                <w:szCs w:val="16"/>
              </w:rPr>
            </w:pPr>
            <w:r w:rsidRPr="00CF2A73">
              <w:rPr>
                <w:rFonts w:cs="Arial"/>
                <w:b/>
                <w:sz w:val="16"/>
                <w:szCs w:val="16"/>
              </w:rPr>
              <w:t>Neto izloženost portfelja rizične skupine A</w:t>
            </w:r>
          </w:p>
          <w:p w14:paraId="7960A069" w14:textId="77777777" w:rsidR="00B3779D" w:rsidRPr="00CF2A73" w:rsidRDefault="00B3779D" w:rsidP="00B3779D">
            <w:pPr>
              <w:spacing w:after="0" w:line="240" w:lineRule="exact"/>
              <w:jc w:val="right"/>
              <w:rPr>
                <w:rFonts w:cs="Arial"/>
                <w:b/>
                <w:sz w:val="16"/>
                <w:szCs w:val="16"/>
              </w:rPr>
            </w:pPr>
          </w:p>
        </w:tc>
        <w:tc>
          <w:tcPr>
            <w:tcW w:w="485" w:type="pct"/>
          </w:tcPr>
          <w:p w14:paraId="0AF6E844" w14:textId="77777777" w:rsidR="00B3779D" w:rsidRPr="00CF2A73" w:rsidRDefault="00B3779D" w:rsidP="00B3779D">
            <w:pPr>
              <w:spacing w:after="0" w:line="240" w:lineRule="exact"/>
              <w:jc w:val="right"/>
              <w:rPr>
                <w:rFonts w:cs="Arial"/>
                <w:b/>
                <w:sz w:val="16"/>
                <w:szCs w:val="16"/>
              </w:rPr>
            </w:pPr>
            <w:r w:rsidRPr="00CF2A73">
              <w:rPr>
                <w:rFonts w:cs="Arial"/>
                <w:b/>
                <w:sz w:val="16"/>
                <w:szCs w:val="16"/>
              </w:rPr>
              <w:t>Neto izloženost portfelja rizične skupine B</w:t>
            </w:r>
          </w:p>
          <w:p w14:paraId="3D391F97" w14:textId="77777777" w:rsidR="00B3779D" w:rsidRPr="00CF2A73" w:rsidRDefault="00B3779D" w:rsidP="00B3779D">
            <w:pPr>
              <w:spacing w:after="0" w:line="240" w:lineRule="exact"/>
              <w:jc w:val="right"/>
              <w:rPr>
                <w:rFonts w:cs="Arial"/>
                <w:b/>
                <w:sz w:val="16"/>
                <w:szCs w:val="16"/>
              </w:rPr>
            </w:pPr>
          </w:p>
        </w:tc>
        <w:tc>
          <w:tcPr>
            <w:tcW w:w="485" w:type="pct"/>
          </w:tcPr>
          <w:p w14:paraId="537DC81C" w14:textId="77777777" w:rsidR="00B3779D" w:rsidRPr="00CF2A73" w:rsidRDefault="00B3779D" w:rsidP="00B3779D">
            <w:pPr>
              <w:spacing w:after="0" w:line="240" w:lineRule="exact"/>
              <w:jc w:val="right"/>
              <w:rPr>
                <w:rFonts w:cs="Arial"/>
                <w:b/>
                <w:sz w:val="16"/>
                <w:szCs w:val="16"/>
              </w:rPr>
            </w:pPr>
            <w:r w:rsidRPr="00CF2A73">
              <w:rPr>
                <w:rFonts w:cs="Arial"/>
                <w:b/>
                <w:sz w:val="16"/>
                <w:szCs w:val="16"/>
              </w:rPr>
              <w:t>Neto izloženost portfelja rizične skupine C</w:t>
            </w:r>
          </w:p>
          <w:p w14:paraId="1B72B55D" w14:textId="77777777" w:rsidR="00B3779D" w:rsidRPr="00CF2A73" w:rsidRDefault="00B3779D" w:rsidP="00B3779D">
            <w:pPr>
              <w:spacing w:after="0" w:line="240" w:lineRule="exact"/>
              <w:jc w:val="right"/>
              <w:rPr>
                <w:rFonts w:cs="Arial"/>
                <w:b/>
                <w:sz w:val="16"/>
                <w:szCs w:val="16"/>
              </w:rPr>
            </w:pPr>
          </w:p>
        </w:tc>
        <w:tc>
          <w:tcPr>
            <w:tcW w:w="485" w:type="pct"/>
          </w:tcPr>
          <w:p w14:paraId="1AA46670" w14:textId="77777777" w:rsidR="00B3779D" w:rsidRPr="00CF2A73" w:rsidRDefault="00B3779D" w:rsidP="00B3779D">
            <w:pPr>
              <w:spacing w:after="0" w:line="240" w:lineRule="exact"/>
              <w:jc w:val="right"/>
              <w:rPr>
                <w:rFonts w:cs="Arial"/>
                <w:b/>
                <w:sz w:val="16"/>
                <w:szCs w:val="16"/>
              </w:rPr>
            </w:pPr>
            <w:r w:rsidRPr="00CF2A73">
              <w:rPr>
                <w:rFonts w:cs="Arial"/>
                <w:b/>
                <w:sz w:val="16"/>
                <w:szCs w:val="16"/>
              </w:rPr>
              <w:t>Neto izloženost ukupnog portfelja</w:t>
            </w:r>
          </w:p>
          <w:p w14:paraId="2FFA8C43" w14:textId="77777777" w:rsidR="00B3779D" w:rsidRPr="00CF2A73" w:rsidRDefault="00B3779D" w:rsidP="00B3779D">
            <w:pPr>
              <w:spacing w:after="0" w:line="240" w:lineRule="exact"/>
              <w:jc w:val="right"/>
              <w:rPr>
                <w:rFonts w:cs="Arial"/>
                <w:b/>
                <w:sz w:val="16"/>
                <w:szCs w:val="16"/>
              </w:rPr>
            </w:pPr>
          </w:p>
          <w:p w14:paraId="39E3BB4F" w14:textId="77777777" w:rsidR="00B3779D" w:rsidRPr="00CF2A73" w:rsidRDefault="00B3779D" w:rsidP="00B3779D">
            <w:pPr>
              <w:spacing w:after="0" w:line="240" w:lineRule="exact"/>
              <w:jc w:val="right"/>
              <w:rPr>
                <w:rFonts w:cs="Arial"/>
                <w:b/>
                <w:sz w:val="16"/>
                <w:szCs w:val="16"/>
              </w:rPr>
            </w:pPr>
          </w:p>
        </w:tc>
      </w:tr>
      <w:tr w:rsidR="00CF2A73" w:rsidRPr="005A607D" w14:paraId="68603E60" w14:textId="77777777" w:rsidTr="00D56049">
        <w:trPr>
          <w:trHeight w:val="207"/>
          <w:jc w:val="center"/>
        </w:trPr>
        <w:tc>
          <w:tcPr>
            <w:tcW w:w="968" w:type="pct"/>
          </w:tcPr>
          <w:p w14:paraId="36F98419" w14:textId="77777777" w:rsidR="00B3779D" w:rsidRPr="00CF2A73" w:rsidRDefault="00B3779D" w:rsidP="00B3779D">
            <w:pPr>
              <w:pStyle w:val="TT"/>
              <w:spacing w:line="220" w:lineRule="exact"/>
              <w:rPr>
                <w:rFonts w:asciiTheme="minorHAnsi" w:hAnsiTheme="minorHAnsi" w:cs="Arial"/>
                <w:b/>
                <w:bCs/>
                <w:sz w:val="16"/>
                <w:szCs w:val="16"/>
                <w:lang w:val="hr-HR"/>
              </w:rPr>
            </w:pPr>
            <w:r w:rsidRPr="00CF2A73">
              <w:rPr>
                <w:rFonts w:asciiTheme="minorHAnsi" w:hAnsiTheme="minorHAnsi" w:cs="Arial"/>
                <w:b/>
                <w:bCs/>
                <w:sz w:val="16"/>
                <w:szCs w:val="16"/>
                <w:lang w:val="hr-HR"/>
              </w:rPr>
              <w:t>Imovina</w:t>
            </w:r>
          </w:p>
        </w:tc>
        <w:tc>
          <w:tcPr>
            <w:tcW w:w="565" w:type="pct"/>
          </w:tcPr>
          <w:p w14:paraId="1D4D8F52" w14:textId="77777777" w:rsidR="00B3779D" w:rsidRPr="005A607D" w:rsidRDefault="00B3779D" w:rsidP="00B3779D">
            <w:pPr>
              <w:pStyle w:val="TT"/>
              <w:spacing w:line="220" w:lineRule="exact"/>
              <w:rPr>
                <w:rFonts w:asciiTheme="minorHAnsi" w:hAnsiTheme="minorHAnsi" w:cs="Arial"/>
                <w:b/>
                <w:bCs/>
                <w:sz w:val="17"/>
                <w:szCs w:val="17"/>
                <w:lang w:val="hr-HR"/>
              </w:rPr>
            </w:pPr>
          </w:p>
        </w:tc>
        <w:tc>
          <w:tcPr>
            <w:tcW w:w="486" w:type="pct"/>
          </w:tcPr>
          <w:p w14:paraId="43800745" w14:textId="77777777" w:rsidR="00B3779D" w:rsidRPr="005A607D" w:rsidRDefault="00B3779D" w:rsidP="00B3779D">
            <w:pPr>
              <w:pStyle w:val="TT"/>
              <w:spacing w:line="220" w:lineRule="exact"/>
              <w:rPr>
                <w:rFonts w:asciiTheme="minorHAnsi" w:hAnsiTheme="minorHAnsi" w:cs="Arial"/>
                <w:b/>
                <w:bCs/>
                <w:sz w:val="17"/>
                <w:szCs w:val="17"/>
                <w:lang w:val="hr-HR"/>
              </w:rPr>
            </w:pPr>
          </w:p>
        </w:tc>
        <w:tc>
          <w:tcPr>
            <w:tcW w:w="486" w:type="pct"/>
          </w:tcPr>
          <w:p w14:paraId="21A3AAAD" w14:textId="77777777" w:rsidR="00B3779D" w:rsidRPr="005A607D" w:rsidRDefault="00B3779D" w:rsidP="00B3779D">
            <w:pPr>
              <w:pStyle w:val="TT"/>
              <w:spacing w:line="220" w:lineRule="exact"/>
              <w:rPr>
                <w:rFonts w:asciiTheme="minorHAnsi" w:hAnsiTheme="minorHAnsi" w:cs="Arial"/>
                <w:b/>
                <w:bCs/>
                <w:sz w:val="17"/>
                <w:szCs w:val="17"/>
                <w:lang w:val="hr-HR"/>
              </w:rPr>
            </w:pPr>
          </w:p>
        </w:tc>
        <w:tc>
          <w:tcPr>
            <w:tcW w:w="554" w:type="pct"/>
          </w:tcPr>
          <w:p w14:paraId="1ED762B3" w14:textId="77777777" w:rsidR="00B3779D" w:rsidRPr="005A607D" w:rsidRDefault="00B3779D" w:rsidP="00B3779D">
            <w:pPr>
              <w:pStyle w:val="TT"/>
              <w:spacing w:line="220" w:lineRule="exact"/>
              <w:rPr>
                <w:rFonts w:asciiTheme="minorHAnsi" w:hAnsiTheme="minorHAnsi" w:cs="Arial"/>
                <w:b/>
                <w:bCs/>
                <w:sz w:val="17"/>
                <w:szCs w:val="17"/>
                <w:lang w:val="hr-HR"/>
              </w:rPr>
            </w:pPr>
          </w:p>
        </w:tc>
        <w:tc>
          <w:tcPr>
            <w:tcW w:w="486" w:type="pct"/>
          </w:tcPr>
          <w:p w14:paraId="47F23B2D" w14:textId="77777777" w:rsidR="00B3779D" w:rsidRPr="005A607D" w:rsidRDefault="00B3779D" w:rsidP="00B3779D">
            <w:pPr>
              <w:pStyle w:val="TT"/>
              <w:spacing w:line="220" w:lineRule="exact"/>
              <w:rPr>
                <w:rFonts w:asciiTheme="minorHAnsi" w:hAnsiTheme="minorHAnsi" w:cs="Arial"/>
                <w:b/>
                <w:bCs/>
                <w:sz w:val="17"/>
                <w:szCs w:val="17"/>
                <w:lang w:val="hr-HR"/>
              </w:rPr>
            </w:pPr>
          </w:p>
        </w:tc>
        <w:tc>
          <w:tcPr>
            <w:tcW w:w="485" w:type="pct"/>
          </w:tcPr>
          <w:p w14:paraId="32D5187F" w14:textId="77777777" w:rsidR="00B3779D" w:rsidRPr="005A607D" w:rsidRDefault="00B3779D" w:rsidP="00B3779D">
            <w:pPr>
              <w:pStyle w:val="TT"/>
              <w:spacing w:line="220" w:lineRule="exact"/>
              <w:rPr>
                <w:rFonts w:asciiTheme="minorHAnsi" w:hAnsiTheme="minorHAnsi" w:cs="Arial"/>
                <w:b/>
                <w:bCs/>
                <w:sz w:val="17"/>
                <w:szCs w:val="17"/>
                <w:lang w:val="hr-HR"/>
              </w:rPr>
            </w:pPr>
          </w:p>
        </w:tc>
        <w:tc>
          <w:tcPr>
            <w:tcW w:w="485" w:type="pct"/>
          </w:tcPr>
          <w:p w14:paraId="3419903C" w14:textId="77777777" w:rsidR="00B3779D" w:rsidRPr="005A607D" w:rsidRDefault="00B3779D" w:rsidP="00B3779D">
            <w:pPr>
              <w:pStyle w:val="TT"/>
              <w:spacing w:line="220" w:lineRule="exact"/>
              <w:rPr>
                <w:rFonts w:asciiTheme="minorHAnsi" w:hAnsiTheme="minorHAnsi" w:cs="Arial"/>
                <w:b/>
                <w:bCs/>
                <w:sz w:val="17"/>
                <w:szCs w:val="17"/>
                <w:lang w:val="hr-HR"/>
              </w:rPr>
            </w:pPr>
          </w:p>
        </w:tc>
        <w:tc>
          <w:tcPr>
            <w:tcW w:w="485" w:type="pct"/>
          </w:tcPr>
          <w:p w14:paraId="53BF2E4E" w14:textId="77777777" w:rsidR="00B3779D" w:rsidRPr="005A607D" w:rsidRDefault="00B3779D" w:rsidP="00B3779D">
            <w:pPr>
              <w:pStyle w:val="TT"/>
              <w:spacing w:line="220" w:lineRule="exact"/>
              <w:rPr>
                <w:rFonts w:asciiTheme="minorHAnsi" w:hAnsiTheme="minorHAnsi" w:cs="Arial"/>
                <w:b/>
                <w:bCs/>
                <w:sz w:val="17"/>
                <w:szCs w:val="17"/>
                <w:lang w:val="hr-HR"/>
              </w:rPr>
            </w:pPr>
          </w:p>
        </w:tc>
      </w:tr>
      <w:tr w:rsidR="005B1E80" w:rsidRPr="005A607D" w14:paraId="253C4C5A" w14:textId="77777777" w:rsidTr="00312975">
        <w:trPr>
          <w:trHeight w:val="405"/>
          <w:jc w:val="center"/>
        </w:trPr>
        <w:tc>
          <w:tcPr>
            <w:tcW w:w="968" w:type="pct"/>
          </w:tcPr>
          <w:p w14:paraId="4F45D31F" w14:textId="77777777" w:rsidR="005B1E80" w:rsidRPr="00CF2A73" w:rsidRDefault="005B1E80" w:rsidP="005B1E80">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Novčana sredstva i računi kod banaka</w:t>
            </w:r>
          </w:p>
        </w:tc>
        <w:tc>
          <w:tcPr>
            <w:tcW w:w="565" w:type="pct"/>
            <w:tcBorders>
              <w:top w:val="nil"/>
              <w:left w:val="nil"/>
              <w:bottom w:val="nil"/>
              <w:right w:val="nil"/>
            </w:tcBorders>
            <w:shd w:val="clear" w:color="auto" w:fill="auto"/>
            <w:vAlign w:val="bottom"/>
          </w:tcPr>
          <w:p w14:paraId="44C13BD4" w14:textId="53923AAF"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1.681.276</w:t>
            </w:r>
          </w:p>
        </w:tc>
        <w:tc>
          <w:tcPr>
            <w:tcW w:w="486" w:type="pct"/>
            <w:shd w:val="clear" w:color="auto" w:fill="auto"/>
            <w:vAlign w:val="bottom"/>
          </w:tcPr>
          <w:p w14:paraId="44211F9D" w14:textId="2BE22C9C"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486" w:type="pct"/>
            <w:shd w:val="clear" w:color="auto" w:fill="auto"/>
            <w:vAlign w:val="bottom"/>
          </w:tcPr>
          <w:p w14:paraId="45C69D95" w14:textId="1ED618C4"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554" w:type="pct"/>
            <w:tcBorders>
              <w:top w:val="nil"/>
              <w:left w:val="nil"/>
              <w:bottom w:val="nil"/>
              <w:right w:val="nil"/>
            </w:tcBorders>
            <w:shd w:val="clear" w:color="auto" w:fill="auto"/>
            <w:vAlign w:val="bottom"/>
          </w:tcPr>
          <w:p w14:paraId="6F9824E8" w14:textId="1680E49B"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1.681.276</w:t>
            </w:r>
          </w:p>
        </w:tc>
        <w:tc>
          <w:tcPr>
            <w:tcW w:w="486" w:type="pct"/>
            <w:shd w:val="clear" w:color="auto" w:fill="auto"/>
            <w:vAlign w:val="bottom"/>
          </w:tcPr>
          <w:p w14:paraId="3ACCD8EF" w14:textId="69CEDA22"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485" w:type="pct"/>
            <w:shd w:val="clear" w:color="auto" w:fill="auto"/>
            <w:vAlign w:val="bottom"/>
          </w:tcPr>
          <w:p w14:paraId="5FAB1E04" w14:textId="3F9343A9"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485" w:type="pct"/>
            <w:shd w:val="clear" w:color="auto" w:fill="auto"/>
            <w:vAlign w:val="bottom"/>
          </w:tcPr>
          <w:p w14:paraId="42AB6D73" w14:textId="0F978729"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485" w:type="pct"/>
            <w:shd w:val="clear" w:color="auto" w:fill="auto"/>
            <w:vAlign w:val="bottom"/>
          </w:tcPr>
          <w:p w14:paraId="4592A121" w14:textId="4328DE6D"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r w:rsidRPr="00166751">
              <w:rPr>
                <w:rFonts w:eastAsia="Times New Roman" w:cs="Arial"/>
                <w:sz w:val="18"/>
                <w:szCs w:val="18"/>
              </w:rPr>
              <w:t>-</w:t>
            </w:r>
          </w:p>
        </w:tc>
      </w:tr>
      <w:tr w:rsidR="005B1E80" w:rsidRPr="005A607D" w14:paraId="57CBBD14" w14:textId="77777777" w:rsidTr="00312975">
        <w:trPr>
          <w:trHeight w:val="405"/>
          <w:jc w:val="center"/>
        </w:trPr>
        <w:tc>
          <w:tcPr>
            <w:tcW w:w="968" w:type="pct"/>
          </w:tcPr>
          <w:p w14:paraId="1549D89D" w14:textId="77777777" w:rsidR="005B1E80" w:rsidRPr="00CF2A73" w:rsidRDefault="005B1E80" w:rsidP="005B1E80">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Depoziti kod drugih banaka</w:t>
            </w:r>
          </w:p>
        </w:tc>
        <w:tc>
          <w:tcPr>
            <w:tcW w:w="565" w:type="pct"/>
            <w:tcBorders>
              <w:top w:val="nil"/>
              <w:left w:val="nil"/>
              <w:bottom w:val="nil"/>
              <w:right w:val="nil"/>
            </w:tcBorders>
            <w:shd w:val="clear" w:color="auto" w:fill="auto"/>
            <w:vAlign w:val="bottom"/>
          </w:tcPr>
          <w:p w14:paraId="4D07B030" w14:textId="11E9CDB9"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1.548</w:t>
            </w:r>
          </w:p>
        </w:tc>
        <w:tc>
          <w:tcPr>
            <w:tcW w:w="486" w:type="pct"/>
            <w:tcBorders>
              <w:top w:val="nil"/>
            </w:tcBorders>
            <w:shd w:val="clear" w:color="auto" w:fill="auto"/>
            <w:vAlign w:val="bottom"/>
          </w:tcPr>
          <w:p w14:paraId="3AFF0145" w14:textId="5185E8AE"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486" w:type="pct"/>
            <w:tcBorders>
              <w:top w:val="nil"/>
            </w:tcBorders>
            <w:shd w:val="clear" w:color="auto" w:fill="auto"/>
            <w:vAlign w:val="bottom"/>
          </w:tcPr>
          <w:p w14:paraId="63E09A1E" w14:textId="193C3713"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554" w:type="pct"/>
            <w:tcBorders>
              <w:top w:val="nil"/>
              <w:left w:val="nil"/>
              <w:bottom w:val="nil"/>
              <w:right w:val="nil"/>
            </w:tcBorders>
            <w:shd w:val="clear" w:color="auto" w:fill="auto"/>
            <w:vAlign w:val="bottom"/>
          </w:tcPr>
          <w:p w14:paraId="3A8559E0" w14:textId="3619A1E7"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1.548</w:t>
            </w:r>
          </w:p>
        </w:tc>
        <w:tc>
          <w:tcPr>
            <w:tcW w:w="486" w:type="pct"/>
            <w:tcBorders>
              <w:top w:val="nil"/>
            </w:tcBorders>
            <w:shd w:val="clear" w:color="auto" w:fill="auto"/>
            <w:vAlign w:val="bottom"/>
          </w:tcPr>
          <w:p w14:paraId="28D5AC36" w14:textId="1064F822"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485" w:type="pct"/>
            <w:tcBorders>
              <w:top w:val="nil"/>
            </w:tcBorders>
            <w:shd w:val="clear" w:color="auto" w:fill="auto"/>
            <w:vAlign w:val="bottom"/>
          </w:tcPr>
          <w:p w14:paraId="283C522F" w14:textId="0C8FE255"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485" w:type="pct"/>
            <w:tcBorders>
              <w:top w:val="nil"/>
            </w:tcBorders>
            <w:shd w:val="clear" w:color="auto" w:fill="auto"/>
            <w:vAlign w:val="bottom"/>
          </w:tcPr>
          <w:p w14:paraId="2D29A240" w14:textId="06EA9047"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485" w:type="pct"/>
            <w:tcBorders>
              <w:top w:val="nil"/>
            </w:tcBorders>
            <w:shd w:val="clear" w:color="auto" w:fill="auto"/>
            <w:vAlign w:val="bottom"/>
          </w:tcPr>
          <w:p w14:paraId="31424E89" w14:textId="6FADAC83"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r w:rsidRPr="00166751">
              <w:rPr>
                <w:rFonts w:eastAsia="Times New Roman" w:cs="Arial"/>
                <w:sz w:val="18"/>
                <w:szCs w:val="18"/>
              </w:rPr>
              <w:t>-</w:t>
            </w:r>
          </w:p>
        </w:tc>
      </w:tr>
      <w:tr w:rsidR="005B1E80" w:rsidRPr="005A607D" w14:paraId="74BF0F44" w14:textId="77777777" w:rsidTr="00312975">
        <w:trPr>
          <w:trHeight w:val="405"/>
          <w:jc w:val="center"/>
        </w:trPr>
        <w:tc>
          <w:tcPr>
            <w:tcW w:w="968" w:type="pct"/>
            <w:vAlign w:val="center"/>
          </w:tcPr>
          <w:p w14:paraId="3E2183E7" w14:textId="77777777" w:rsidR="005B1E80" w:rsidRPr="00CF2A73" w:rsidRDefault="005B1E80" w:rsidP="005B1E80">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Krediti financijskim institucijama</w:t>
            </w:r>
          </w:p>
        </w:tc>
        <w:tc>
          <w:tcPr>
            <w:tcW w:w="565" w:type="pct"/>
            <w:tcBorders>
              <w:top w:val="nil"/>
              <w:left w:val="nil"/>
              <w:bottom w:val="nil"/>
              <w:right w:val="nil"/>
            </w:tcBorders>
            <w:shd w:val="clear" w:color="auto" w:fill="auto"/>
            <w:vAlign w:val="bottom"/>
          </w:tcPr>
          <w:p w14:paraId="26CE1461" w14:textId="74C00AAF"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10.983.428</w:t>
            </w:r>
          </w:p>
        </w:tc>
        <w:tc>
          <w:tcPr>
            <w:tcW w:w="486" w:type="pct"/>
            <w:tcBorders>
              <w:top w:val="nil"/>
              <w:left w:val="nil"/>
              <w:bottom w:val="nil"/>
              <w:right w:val="nil"/>
            </w:tcBorders>
            <w:shd w:val="clear" w:color="auto" w:fill="auto"/>
            <w:vAlign w:val="bottom"/>
          </w:tcPr>
          <w:p w14:paraId="4AF09073" w14:textId="0666C766"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330.074</w:t>
            </w:r>
          </w:p>
        </w:tc>
        <w:tc>
          <w:tcPr>
            <w:tcW w:w="486" w:type="pct"/>
            <w:tcBorders>
              <w:top w:val="nil"/>
            </w:tcBorders>
            <w:shd w:val="clear" w:color="auto" w:fill="auto"/>
            <w:vAlign w:val="bottom"/>
          </w:tcPr>
          <w:p w14:paraId="09E262FF" w14:textId="2FFC5638"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554" w:type="pct"/>
            <w:tcBorders>
              <w:top w:val="nil"/>
              <w:left w:val="nil"/>
              <w:bottom w:val="nil"/>
              <w:right w:val="nil"/>
            </w:tcBorders>
            <w:shd w:val="clear" w:color="auto" w:fill="auto"/>
            <w:vAlign w:val="bottom"/>
          </w:tcPr>
          <w:p w14:paraId="4CFC9499" w14:textId="7E8464BA"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11.313.502</w:t>
            </w:r>
          </w:p>
        </w:tc>
        <w:tc>
          <w:tcPr>
            <w:tcW w:w="486" w:type="pct"/>
            <w:tcBorders>
              <w:top w:val="nil"/>
            </w:tcBorders>
            <w:shd w:val="clear" w:color="auto" w:fill="auto"/>
            <w:vAlign w:val="bottom"/>
          </w:tcPr>
          <w:p w14:paraId="10DD81C2" w14:textId="3819313A"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485" w:type="pct"/>
            <w:tcBorders>
              <w:top w:val="nil"/>
            </w:tcBorders>
            <w:shd w:val="clear" w:color="auto" w:fill="auto"/>
            <w:vAlign w:val="bottom"/>
          </w:tcPr>
          <w:p w14:paraId="1CC7B097" w14:textId="39824913"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485" w:type="pct"/>
            <w:tcBorders>
              <w:top w:val="nil"/>
            </w:tcBorders>
            <w:shd w:val="clear" w:color="auto" w:fill="auto"/>
            <w:vAlign w:val="bottom"/>
          </w:tcPr>
          <w:p w14:paraId="33CE64C7" w14:textId="563A30EC"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485" w:type="pct"/>
            <w:tcBorders>
              <w:top w:val="nil"/>
            </w:tcBorders>
            <w:shd w:val="clear" w:color="auto" w:fill="auto"/>
            <w:vAlign w:val="bottom"/>
          </w:tcPr>
          <w:p w14:paraId="0FFCEA8E" w14:textId="1173B178"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r w:rsidRPr="00166751">
              <w:rPr>
                <w:rFonts w:eastAsia="Times New Roman" w:cs="Arial"/>
                <w:sz w:val="18"/>
                <w:szCs w:val="18"/>
              </w:rPr>
              <w:t>-</w:t>
            </w:r>
          </w:p>
        </w:tc>
      </w:tr>
      <w:tr w:rsidR="005B1E80" w:rsidRPr="005A607D" w14:paraId="70DEF1F5" w14:textId="77777777" w:rsidTr="00312975">
        <w:trPr>
          <w:trHeight w:val="405"/>
          <w:jc w:val="center"/>
        </w:trPr>
        <w:tc>
          <w:tcPr>
            <w:tcW w:w="968" w:type="pct"/>
            <w:vAlign w:val="bottom"/>
          </w:tcPr>
          <w:p w14:paraId="60B9A10E" w14:textId="77777777" w:rsidR="005B1E80" w:rsidRPr="00CF2A73" w:rsidRDefault="005B1E80" w:rsidP="005B1E80">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Krediti ostalim korisnicima</w:t>
            </w:r>
          </w:p>
        </w:tc>
        <w:tc>
          <w:tcPr>
            <w:tcW w:w="565" w:type="pct"/>
            <w:tcBorders>
              <w:top w:val="nil"/>
              <w:left w:val="nil"/>
              <w:bottom w:val="nil"/>
              <w:right w:val="nil"/>
            </w:tcBorders>
            <w:shd w:val="clear" w:color="auto" w:fill="auto"/>
            <w:vAlign w:val="bottom"/>
          </w:tcPr>
          <w:p w14:paraId="4C6491F1" w14:textId="1E6BF301"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10.228.481</w:t>
            </w:r>
          </w:p>
        </w:tc>
        <w:tc>
          <w:tcPr>
            <w:tcW w:w="486" w:type="pct"/>
            <w:tcBorders>
              <w:top w:val="nil"/>
              <w:left w:val="nil"/>
              <w:bottom w:val="nil"/>
              <w:right w:val="nil"/>
            </w:tcBorders>
            <w:shd w:val="clear" w:color="auto" w:fill="auto"/>
            <w:vAlign w:val="bottom"/>
          </w:tcPr>
          <w:p w14:paraId="493FAE0E" w14:textId="2E563FDC"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1.418.633</w:t>
            </w:r>
          </w:p>
        </w:tc>
        <w:tc>
          <w:tcPr>
            <w:tcW w:w="486" w:type="pct"/>
            <w:tcBorders>
              <w:top w:val="nil"/>
            </w:tcBorders>
            <w:shd w:val="clear" w:color="auto" w:fill="auto"/>
            <w:vAlign w:val="bottom"/>
          </w:tcPr>
          <w:p w14:paraId="2B053152" w14:textId="3DDCB43D"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554" w:type="pct"/>
            <w:tcBorders>
              <w:top w:val="nil"/>
              <w:left w:val="nil"/>
              <w:bottom w:val="nil"/>
              <w:right w:val="nil"/>
            </w:tcBorders>
            <w:shd w:val="clear" w:color="auto" w:fill="auto"/>
            <w:vAlign w:val="bottom"/>
          </w:tcPr>
          <w:p w14:paraId="0141CF4A" w14:textId="56FB4F6A"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11.647.114</w:t>
            </w:r>
          </w:p>
        </w:tc>
        <w:tc>
          <w:tcPr>
            <w:tcW w:w="486" w:type="pct"/>
            <w:tcBorders>
              <w:top w:val="nil"/>
              <w:left w:val="nil"/>
              <w:bottom w:val="nil"/>
              <w:right w:val="nil"/>
            </w:tcBorders>
            <w:shd w:val="clear" w:color="auto" w:fill="auto"/>
            <w:vAlign w:val="bottom"/>
          </w:tcPr>
          <w:p w14:paraId="54B9FBB6" w14:textId="02228BC0" w:rsidR="005B1E80" w:rsidRPr="00312975" w:rsidRDefault="00FE0B1B" w:rsidP="005B1E80">
            <w:pPr>
              <w:tabs>
                <w:tab w:val="right" w:pos="1202"/>
              </w:tabs>
              <w:spacing w:after="0" w:line="301" w:lineRule="exact"/>
              <w:jc w:val="right"/>
              <w:outlineLvl w:val="0"/>
              <w:rPr>
                <w:rFonts w:ascii="Calibri" w:eastAsia="Times New Roman" w:hAnsi="Calibri" w:cs="Arial"/>
                <w:sz w:val="18"/>
                <w:szCs w:val="18"/>
                <w:lang w:val="en-US"/>
              </w:rPr>
            </w:pPr>
            <w:r>
              <w:rPr>
                <w:rFonts w:ascii="Calibri" w:eastAsia="Times New Roman" w:hAnsi="Calibri" w:cs="Arial"/>
                <w:sz w:val="18"/>
                <w:szCs w:val="18"/>
                <w:lang w:val="en-US"/>
              </w:rPr>
              <w:t>2.631.496</w:t>
            </w:r>
          </w:p>
        </w:tc>
        <w:tc>
          <w:tcPr>
            <w:tcW w:w="485" w:type="pct"/>
            <w:tcBorders>
              <w:top w:val="nil"/>
              <w:left w:val="nil"/>
              <w:bottom w:val="nil"/>
              <w:right w:val="nil"/>
            </w:tcBorders>
            <w:shd w:val="clear" w:color="auto" w:fill="auto"/>
            <w:vAlign w:val="bottom"/>
          </w:tcPr>
          <w:p w14:paraId="7DFA46F0" w14:textId="0257E9FE" w:rsidR="005B1E80" w:rsidRPr="00312975" w:rsidRDefault="005B1E80">
            <w:pPr>
              <w:tabs>
                <w:tab w:val="right" w:pos="1202"/>
              </w:tabs>
              <w:spacing w:after="0" w:line="301" w:lineRule="exact"/>
              <w:jc w:val="right"/>
              <w:outlineLvl w:val="0"/>
              <w:rPr>
                <w:rFonts w:ascii="Calibri" w:eastAsia="Times New Roman" w:hAnsi="Calibri" w:cs="Arial"/>
                <w:sz w:val="18"/>
                <w:szCs w:val="18"/>
                <w:lang w:val="en-US"/>
              </w:rPr>
            </w:pPr>
            <w:r w:rsidRPr="00312975">
              <w:rPr>
                <w:rFonts w:ascii="Calibri" w:eastAsia="Times New Roman" w:hAnsi="Calibri" w:cs="Arial"/>
                <w:sz w:val="18"/>
                <w:szCs w:val="18"/>
                <w:lang w:val="en-US"/>
              </w:rPr>
              <w:t>22.71</w:t>
            </w:r>
            <w:r w:rsidR="00FE0B1B">
              <w:rPr>
                <w:rFonts w:ascii="Calibri" w:eastAsia="Times New Roman" w:hAnsi="Calibri" w:cs="Arial"/>
                <w:sz w:val="18"/>
                <w:szCs w:val="18"/>
                <w:lang w:val="en-US"/>
              </w:rPr>
              <w:t>4</w:t>
            </w:r>
          </w:p>
        </w:tc>
        <w:tc>
          <w:tcPr>
            <w:tcW w:w="485" w:type="pct"/>
            <w:tcBorders>
              <w:top w:val="nil"/>
              <w:left w:val="nil"/>
              <w:bottom w:val="nil"/>
              <w:right w:val="nil"/>
            </w:tcBorders>
            <w:shd w:val="clear" w:color="auto" w:fill="auto"/>
            <w:vAlign w:val="bottom"/>
          </w:tcPr>
          <w:p w14:paraId="058057FB" w14:textId="1C2CC430"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27BBF627" w14:textId="7C6F2883" w:rsidR="005B1E80" w:rsidRPr="00312975" w:rsidRDefault="00FE0B1B" w:rsidP="005B1E80">
            <w:pPr>
              <w:tabs>
                <w:tab w:val="right" w:pos="1202"/>
              </w:tabs>
              <w:spacing w:after="0" w:line="301" w:lineRule="exact"/>
              <w:jc w:val="right"/>
              <w:outlineLvl w:val="0"/>
              <w:rPr>
                <w:rFonts w:ascii="Calibri" w:eastAsia="Times New Roman" w:hAnsi="Calibri" w:cs="Arial"/>
                <w:sz w:val="18"/>
                <w:szCs w:val="18"/>
                <w:lang w:val="en-US"/>
              </w:rPr>
            </w:pPr>
            <w:r>
              <w:rPr>
                <w:rFonts w:ascii="Calibri" w:eastAsia="Times New Roman" w:hAnsi="Calibri" w:cs="Arial"/>
                <w:sz w:val="18"/>
                <w:szCs w:val="18"/>
                <w:lang w:val="en-US"/>
              </w:rPr>
              <w:t>2.654.210</w:t>
            </w:r>
          </w:p>
        </w:tc>
      </w:tr>
      <w:tr w:rsidR="005B1E80" w:rsidRPr="005A607D" w14:paraId="4CD77EE6" w14:textId="77777777" w:rsidTr="00312975">
        <w:trPr>
          <w:trHeight w:val="812"/>
          <w:jc w:val="center"/>
        </w:trPr>
        <w:tc>
          <w:tcPr>
            <w:tcW w:w="968" w:type="pct"/>
            <w:vAlign w:val="bottom"/>
          </w:tcPr>
          <w:p w14:paraId="33F54242" w14:textId="77777777" w:rsidR="005B1E80" w:rsidRPr="00CF2A73" w:rsidRDefault="005B1E80" w:rsidP="005B1E80">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Financijska imovina po fer vrijednosti kroz izvještaj o dobiti i gubitku</w:t>
            </w:r>
          </w:p>
        </w:tc>
        <w:tc>
          <w:tcPr>
            <w:tcW w:w="565" w:type="pct"/>
            <w:tcBorders>
              <w:top w:val="nil"/>
              <w:left w:val="nil"/>
              <w:bottom w:val="nil"/>
              <w:right w:val="nil"/>
            </w:tcBorders>
            <w:shd w:val="clear" w:color="auto" w:fill="auto"/>
            <w:vAlign w:val="bottom"/>
          </w:tcPr>
          <w:p w14:paraId="62FBBA5D" w14:textId="4F7220C3"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284</w:t>
            </w:r>
          </w:p>
        </w:tc>
        <w:tc>
          <w:tcPr>
            <w:tcW w:w="486" w:type="pct"/>
            <w:tcBorders>
              <w:top w:val="nil"/>
            </w:tcBorders>
            <w:shd w:val="clear" w:color="auto" w:fill="auto"/>
            <w:vAlign w:val="bottom"/>
          </w:tcPr>
          <w:p w14:paraId="6E295A33" w14:textId="685FC21D"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486" w:type="pct"/>
            <w:tcBorders>
              <w:top w:val="nil"/>
            </w:tcBorders>
            <w:shd w:val="clear" w:color="auto" w:fill="auto"/>
            <w:vAlign w:val="bottom"/>
          </w:tcPr>
          <w:p w14:paraId="43763D41" w14:textId="3CA6B43E"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554" w:type="pct"/>
            <w:tcBorders>
              <w:top w:val="nil"/>
              <w:left w:val="nil"/>
              <w:bottom w:val="nil"/>
              <w:right w:val="nil"/>
            </w:tcBorders>
            <w:shd w:val="clear" w:color="auto" w:fill="auto"/>
            <w:vAlign w:val="bottom"/>
          </w:tcPr>
          <w:p w14:paraId="2A18C1A7" w14:textId="625D82F7"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284</w:t>
            </w:r>
          </w:p>
        </w:tc>
        <w:tc>
          <w:tcPr>
            <w:tcW w:w="486" w:type="pct"/>
            <w:tcBorders>
              <w:top w:val="nil"/>
              <w:left w:val="nil"/>
              <w:bottom w:val="nil"/>
              <w:right w:val="nil"/>
            </w:tcBorders>
            <w:shd w:val="clear" w:color="auto" w:fill="auto"/>
            <w:vAlign w:val="bottom"/>
          </w:tcPr>
          <w:p w14:paraId="12C9F1BF" w14:textId="29867EC4"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w:t>
            </w:r>
          </w:p>
        </w:tc>
        <w:tc>
          <w:tcPr>
            <w:tcW w:w="485" w:type="pct"/>
            <w:tcBorders>
              <w:top w:val="nil"/>
              <w:left w:val="nil"/>
              <w:bottom w:val="nil"/>
              <w:right w:val="nil"/>
            </w:tcBorders>
            <w:shd w:val="clear" w:color="auto" w:fill="auto"/>
            <w:vAlign w:val="bottom"/>
          </w:tcPr>
          <w:p w14:paraId="684BEA33" w14:textId="25717B0F"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w:t>
            </w:r>
          </w:p>
        </w:tc>
        <w:tc>
          <w:tcPr>
            <w:tcW w:w="485" w:type="pct"/>
            <w:tcBorders>
              <w:top w:val="nil"/>
              <w:left w:val="nil"/>
              <w:bottom w:val="nil"/>
              <w:right w:val="nil"/>
            </w:tcBorders>
            <w:shd w:val="clear" w:color="auto" w:fill="auto"/>
            <w:vAlign w:val="bottom"/>
          </w:tcPr>
          <w:p w14:paraId="4364A11C" w14:textId="1C3BDE36"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w:t>
            </w:r>
          </w:p>
        </w:tc>
        <w:tc>
          <w:tcPr>
            <w:tcW w:w="485" w:type="pct"/>
            <w:tcBorders>
              <w:top w:val="nil"/>
              <w:left w:val="nil"/>
              <w:bottom w:val="nil"/>
              <w:right w:val="nil"/>
            </w:tcBorders>
            <w:shd w:val="clear" w:color="auto" w:fill="auto"/>
            <w:vAlign w:val="bottom"/>
          </w:tcPr>
          <w:p w14:paraId="06858F4F" w14:textId="07205D79"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w:t>
            </w:r>
          </w:p>
        </w:tc>
      </w:tr>
      <w:tr w:rsidR="005B1E80" w:rsidRPr="005A607D" w14:paraId="669B9BA2" w14:textId="77777777" w:rsidTr="00312975">
        <w:trPr>
          <w:trHeight w:val="417"/>
          <w:jc w:val="center"/>
        </w:trPr>
        <w:tc>
          <w:tcPr>
            <w:tcW w:w="968" w:type="pct"/>
          </w:tcPr>
          <w:p w14:paraId="022C160D" w14:textId="77777777" w:rsidR="005B1E80" w:rsidRPr="00CF2A73" w:rsidRDefault="005B1E80" w:rsidP="005B1E80">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Imovina raspoloživa za prodaju</w:t>
            </w:r>
          </w:p>
        </w:tc>
        <w:tc>
          <w:tcPr>
            <w:tcW w:w="565" w:type="pct"/>
            <w:tcBorders>
              <w:top w:val="nil"/>
              <w:left w:val="nil"/>
              <w:bottom w:val="nil"/>
              <w:right w:val="nil"/>
            </w:tcBorders>
            <w:shd w:val="clear" w:color="auto" w:fill="auto"/>
            <w:vAlign w:val="bottom"/>
          </w:tcPr>
          <w:p w14:paraId="705691B0" w14:textId="7FAE9FDA"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3.060.953</w:t>
            </w:r>
          </w:p>
        </w:tc>
        <w:tc>
          <w:tcPr>
            <w:tcW w:w="486" w:type="pct"/>
            <w:tcBorders>
              <w:top w:val="nil"/>
            </w:tcBorders>
            <w:shd w:val="clear" w:color="auto" w:fill="auto"/>
            <w:vAlign w:val="bottom"/>
          </w:tcPr>
          <w:p w14:paraId="44200A25" w14:textId="69377789"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486" w:type="pct"/>
            <w:tcBorders>
              <w:top w:val="nil"/>
            </w:tcBorders>
            <w:shd w:val="clear" w:color="auto" w:fill="auto"/>
            <w:vAlign w:val="bottom"/>
          </w:tcPr>
          <w:p w14:paraId="1C320BEE" w14:textId="0FF1C107"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554" w:type="pct"/>
            <w:tcBorders>
              <w:top w:val="nil"/>
              <w:left w:val="nil"/>
              <w:bottom w:val="nil"/>
              <w:right w:val="nil"/>
            </w:tcBorders>
            <w:shd w:val="clear" w:color="auto" w:fill="auto"/>
            <w:vAlign w:val="bottom"/>
          </w:tcPr>
          <w:p w14:paraId="47005ECF" w14:textId="4886DF7E"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3.060.953</w:t>
            </w:r>
          </w:p>
        </w:tc>
        <w:tc>
          <w:tcPr>
            <w:tcW w:w="486" w:type="pct"/>
            <w:tcBorders>
              <w:top w:val="nil"/>
              <w:left w:val="nil"/>
              <w:bottom w:val="nil"/>
              <w:right w:val="nil"/>
            </w:tcBorders>
            <w:shd w:val="clear" w:color="auto" w:fill="auto"/>
            <w:vAlign w:val="bottom"/>
          </w:tcPr>
          <w:p w14:paraId="744211A0" w14:textId="7938B638"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2.192.619</w:t>
            </w:r>
          </w:p>
        </w:tc>
        <w:tc>
          <w:tcPr>
            <w:tcW w:w="485" w:type="pct"/>
            <w:tcBorders>
              <w:top w:val="nil"/>
              <w:left w:val="nil"/>
              <w:bottom w:val="nil"/>
              <w:right w:val="nil"/>
            </w:tcBorders>
            <w:shd w:val="clear" w:color="auto" w:fill="auto"/>
            <w:vAlign w:val="bottom"/>
          </w:tcPr>
          <w:p w14:paraId="25AB0C94" w14:textId="7170CB89"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p>
        </w:tc>
        <w:tc>
          <w:tcPr>
            <w:tcW w:w="485" w:type="pct"/>
            <w:tcBorders>
              <w:top w:val="nil"/>
              <w:left w:val="nil"/>
              <w:bottom w:val="nil"/>
              <w:right w:val="nil"/>
            </w:tcBorders>
            <w:shd w:val="clear" w:color="auto" w:fill="auto"/>
            <w:vAlign w:val="bottom"/>
          </w:tcPr>
          <w:p w14:paraId="2E0E6182" w14:textId="3CA7B27A"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p>
        </w:tc>
        <w:tc>
          <w:tcPr>
            <w:tcW w:w="485" w:type="pct"/>
            <w:tcBorders>
              <w:top w:val="nil"/>
              <w:left w:val="nil"/>
              <w:bottom w:val="nil"/>
              <w:right w:val="nil"/>
            </w:tcBorders>
            <w:shd w:val="clear" w:color="auto" w:fill="auto"/>
            <w:vAlign w:val="bottom"/>
          </w:tcPr>
          <w:p w14:paraId="78BF8699" w14:textId="0876D2FB"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2.192.619</w:t>
            </w:r>
          </w:p>
        </w:tc>
      </w:tr>
      <w:tr w:rsidR="005B1E80" w:rsidRPr="005A607D" w14:paraId="5BCA30FC" w14:textId="77777777" w:rsidTr="00312975">
        <w:trPr>
          <w:trHeight w:val="405"/>
          <w:jc w:val="center"/>
        </w:trPr>
        <w:tc>
          <w:tcPr>
            <w:tcW w:w="968" w:type="pct"/>
          </w:tcPr>
          <w:p w14:paraId="7AAE8006" w14:textId="77777777" w:rsidR="005B1E80" w:rsidRPr="00CF2A73" w:rsidRDefault="005B1E80" w:rsidP="005B1E80">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Imovina koja se drži do dospijeća</w:t>
            </w:r>
          </w:p>
        </w:tc>
        <w:tc>
          <w:tcPr>
            <w:tcW w:w="565" w:type="pct"/>
            <w:tcBorders>
              <w:top w:val="nil"/>
              <w:left w:val="nil"/>
              <w:bottom w:val="nil"/>
              <w:right w:val="nil"/>
            </w:tcBorders>
            <w:shd w:val="clear" w:color="auto" w:fill="auto"/>
            <w:vAlign w:val="bottom"/>
          </w:tcPr>
          <w:p w14:paraId="13724EC8" w14:textId="5188A6CC"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1.390</w:t>
            </w:r>
          </w:p>
        </w:tc>
        <w:tc>
          <w:tcPr>
            <w:tcW w:w="486" w:type="pct"/>
            <w:tcBorders>
              <w:top w:val="nil"/>
            </w:tcBorders>
            <w:shd w:val="clear" w:color="auto" w:fill="auto"/>
            <w:vAlign w:val="bottom"/>
          </w:tcPr>
          <w:p w14:paraId="23451803" w14:textId="0273C21F"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486" w:type="pct"/>
            <w:tcBorders>
              <w:top w:val="nil"/>
            </w:tcBorders>
            <w:shd w:val="clear" w:color="auto" w:fill="auto"/>
            <w:vAlign w:val="bottom"/>
          </w:tcPr>
          <w:p w14:paraId="2CB6FE43" w14:textId="2DEAC2DB"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r w:rsidRPr="00166751">
              <w:rPr>
                <w:rFonts w:eastAsia="Times New Roman" w:cs="Arial"/>
                <w:sz w:val="18"/>
                <w:szCs w:val="18"/>
              </w:rPr>
              <w:t>-</w:t>
            </w:r>
          </w:p>
        </w:tc>
        <w:tc>
          <w:tcPr>
            <w:tcW w:w="554" w:type="pct"/>
            <w:tcBorders>
              <w:top w:val="nil"/>
              <w:left w:val="nil"/>
              <w:bottom w:val="nil"/>
              <w:right w:val="nil"/>
            </w:tcBorders>
            <w:shd w:val="clear" w:color="auto" w:fill="auto"/>
            <w:vAlign w:val="bottom"/>
          </w:tcPr>
          <w:p w14:paraId="03451BA6" w14:textId="224209C1"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1.390</w:t>
            </w:r>
          </w:p>
        </w:tc>
        <w:tc>
          <w:tcPr>
            <w:tcW w:w="486" w:type="pct"/>
            <w:tcBorders>
              <w:top w:val="nil"/>
              <w:left w:val="nil"/>
              <w:bottom w:val="nil"/>
              <w:right w:val="nil"/>
            </w:tcBorders>
            <w:shd w:val="clear" w:color="auto" w:fill="auto"/>
            <w:vAlign w:val="bottom"/>
          </w:tcPr>
          <w:p w14:paraId="0D42517A" w14:textId="5A7CF273"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1.390</w:t>
            </w:r>
          </w:p>
        </w:tc>
        <w:tc>
          <w:tcPr>
            <w:tcW w:w="485" w:type="pct"/>
            <w:tcBorders>
              <w:top w:val="nil"/>
              <w:left w:val="nil"/>
              <w:bottom w:val="nil"/>
              <w:right w:val="nil"/>
            </w:tcBorders>
            <w:shd w:val="clear" w:color="auto" w:fill="auto"/>
            <w:vAlign w:val="bottom"/>
          </w:tcPr>
          <w:p w14:paraId="443C6234" w14:textId="47330834"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w:t>
            </w:r>
          </w:p>
        </w:tc>
        <w:tc>
          <w:tcPr>
            <w:tcW w:w="485" w:type="pct"/>
            <w:tcBorders>
              <w:top w:val="nil"/>
              <w:left w:val="nil"/>
              <w:bottom w:val="nil"/>
              <w:right w:val="nil"/>
            </w:tcBorders>
            <w:shd w:val="clear" w:color="auto" w:fill="auto"/>
            <w:vAlign w:val="bottom"/>
          </w:tcPr>
          <w:p w14:paraId="5B904E27" w14:textId="10DF523E"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w:t>
            </w:r>
          </w:p>
        </w:tc>
        <w:tc>
          <w:tcPr>
            <w:tcW w:w="485" w:type="pct"/>
            <w:tcBorders>
              <w:top w:val="nil"/>
              <w:left w:val="nil"/>
              <w:bottom w:val="nil"/>
              <w:right w:val="nil"/>
            </w:tcBorders>
            <w:shd w:val="clear" w:color="auto" w:fill="auto"/>
            <w:vAlign w:val="bottom"/>
          </w:tcPr>
          <w:p w14:paraId="4A1326F4" w14:textId="6262D27D"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1.390</w:t>
            </w:r>
          </w:p>
        </w:tc>
      </w:tr>
      <w:tr w:rsidR="000C4E32" w:rsidRPr="005A607D" w14:paraId="673A1E98" w14:textId="77777777" w:rsidTr="00312975">
        <w:trPr>
          <w:trHeight w:val="196"/>
          <w:jc w:val="center"/>
        </w:trPr>
        <w:tc>
          <w:tcPr>
            <w:tcW w:w="968" w:type="pct"/>
            <w:vAlign w:val="bottom"/>
          </w:tcPr>
          <w:p w14:paraId="76C62549" w14:textId="77777777" w:rsidR="000C4E32" w:rsidRPr="00CF2A73" w:rsidRDefault="000C4E32" w:rsidP="000C4E32">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Ostala imovina</w:t>
            </w:r>
          </w:p>
        </w:tc>
        <w:tc>
          <w:tcPr>
            <w:tcW w:w="565" w:type="pct"/>
            <w:tcBorders>
              <w:top w:val="nil"/>
              <w:left w:val="nil"/>
              <w:bottom w:val="single" w:sz="8" w:space="0" w:color="auto"/>
              <w:right w:val="nil"/>
            </w:tcBorders>
            <w:shd w:val="clear" w:color="auto" w:fill="auto"/>
            <w:vAlign w:val="bottom"/>
          </w:tcPr>
          <w:p w14:paraId="2A915762" w14:textId="0431E792" w:rsidR="000C4E32" w:rsidRPr="00312975" w:rsidRDefault="000C4E32" w:rsidP="000C4E32">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3.622</w:t>
            </w:r>
          </w:p>
        </w:tc>
        <w:tc>
          <w:tcPr>
            <w:tcW w:w="486" w:type="pct"/>
            <w:tcBorders>
              <w:top w:val="nil"/>
              <w:left w:val="nil"/>
              <w:bottom w:val="single" w:sz="8" w:space="0" w:color="auto"/>
              <w:right w:val="nil"/>
            </w:tcBorders>
            <w:shd w:val="clear" w:color="auto" w:fill="auto"/>
            <w:vAlign w:val="bottom"/>
          </w:tcPr>
          <w:p w14:paraId="24D219CE" w14:textId="098D7D92" w:rsidR="000C4E32" w:rsidRPr="00312975" w:rsidRDefault="000C4E32" w:rsidP="000C4E32">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1.379</w:t>
            </w:r>
          </w:p>
        </w:tc>
        <w:tc>
          <w:tcPr>
            <w:tcW w:w="486" w:type="pct"/>
            <w:tcBorders>
              <w:top w:val="nil"/>
              <w:left w:val="nil"/>
              <w:bottom w:val="single" w:sz="8" w:space="0" w:color="auto"/>
              <w:right w:val="nil"/>
            </w:tcBorders>
            <w:shd w:val="clear" w:color="auto" w:fill="auto"/>
            <w:vAlign w:val="bottom"/>
          </w:tcPr>
          <w:p w14:paraId="2B34A717" w14:textId="1416FFFE" w:rsidR="000C4E32" w:rsidRPr="00CF2A73" w:rsidRDefault="000C4E32" w:rsidP="000C4E32">
            <w:pPr>
              <w:tabs>
                <w:tab w:val="right" w:pos="1202"/>
              </w:tabs>
              <w:spacing w:after="0" w:line="301" w:lineRule="exact"/>
              <w:jc w:val="right"/>
              <w:outlineLvl w:val="0"/>
              <w:rPr>
                <w:rFonts w:ascii="Calibri" w:hAnsi="Calibri" w:cs="Arial"/>
                <w:sz w:val="18"/>
                <w:szCs w:val="18"/>
                <w:lang w:val="en-GB"/>
              </w:rPr>
            </w:pPr>
            <w:r w:rsidRPr="000C4E32">
              <w:rPr>
                <w:rFonts w:ascii="Calibri" w:eastAsia="Times New Roman" w:hAnsi="Calibri" w:cs="Arial"/>
                <w:sz w:val="18"/>
                <w:szCs w:val="18"/>
                <w:lang w:val="en-GB"/>
              </w:rPr>
              <w:t>-</w:t>
            </w:r>
          </w:p>
        </w:tc>
        <w:tc>
          <w:tcPr>
            <w:tcW w:w="554" w:type="pct"/>
            <w:tcBorders>
              <w:top w:val="nil"/>
              <w:left w:val="nil"/>
              <w:bottom w:val="single" w:sz="8" w:space="0" w:color="auto"/>
              <w:right w:val="nil"/>
            </w:tcBorders>
            <w:shd w:val="clear" w:color="auto" w:fill="auto"/>
            <w:vAlign w:val="bottom"/>
          </w:tcPr>
          <w:p w14:paraId="1DFADA20" w14:textId="51675E5B" w:rsidR="000C4E32" w:rsidRPr="00312975" w:rsidRDefault="000C4E32" w:rsidP="000C4E32">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5.001</w:t>
            </w:r>
          </w:p>
        </w:tc>
        <w:tc>
          <w:tcPr>
            <w:tcW w:w="486" w:type="pct"/>
            <w:tcBorders>
              <w:top w:val="nil"/>
              <w:left w:val="nil"/>
              <w:bottom w:val="single" w:sz="8" w:space="0" w:color="auto"/>
              <w:right w:val="nil"/>
            </w:tcBorders>
            <w:shd w:val="clear" w:color="auto" w:fill="auto"/>
            <w:vAlign w:val="bottom"/>
          </w:tcPr>
          <w:p w14:paraId="3B8EBD04" w14:textId="059BB3E9" w:rsidR="000C4E32" w:rsidRPr="00312975" w:rsidRDefault="000C4E32" w:rsidP="000C4E32">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2.527</w:t>
            </w:r>
          </w:p>
        </w:tc>
        <w:tc>
          <w:tcPr>
            <w:tcW w:w="485" w:type="pct"/>
            <w:tcBorders>
              <w:top w:val="nil"/>
              <w:left w:val="nil"/>
              <w:bottom w:val="single" w:sz="8" w:space="0" w:color="auto"/>
              <w:right w:val="nil"/>
            </w:tcBorders>
            <w:shd w:val="clear" w:color="auto" w:fill="auto"/>
            <w:vAlign w:val="bottom"/>
          </w:tcPr>
          <w:p w14:paraId="6DF60F8D" w14:textId="4151A5DF" w:rsidR="000C4E32" w:rsidRPr="00312975" w:rsidRDefault="000C4E32" w:rsidP="000C4E32">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1.379</w:t>
            </w:r>
          </w:p>
        </w:tc>
        <w:tc>
          <w:tcPr>
            <w:tcW w:w="485" w:type="pct"/>
            <w:tcBorders>
              <w:top w:val="nil"/>
              <w:left w:val="nil"/>
              <w:bottom w:val="single" w:sz="8" w:space="0" w:color="auto"/>
              <w:right w:val="nil"/>
            </w:tcBorders>
            <w:shd w:val="clear" w:color="auto" w:fill="auto"/>
            <w:vAlign w:val="bottom"/>
          </w:tcPr>
          <w:p w14:paraId="13BF90E8" w14:textId="01B83820" w:rsidR="000C4E32" w:rsidRPr="00312975" w:rsidRDefault="000C4E32" w:rsidP="000C4E32">
            <w:pPr>
              <w:tabs>
                <w:tab w:val="right" w:pos="1202"/>
              </w:tabs>
              <w:spacing w:after="0" w:line="301" w:lineRule="exact"/>
              <w:jc w:val="right"/>
              <w:outlineLvl w:val="0"/>
              <w:rPr>
                <w:rFonts w:ascii="Calibri" w:eastAsia="Times New Roman" w:hAnsi="Calibri" w:cs="Arial"/>
                <w:sz w:val="18"/>
                <w:szCs w:val="18"/>
                <w:lang w:val="en-GB"/>
              </w:rPr>
            </w:pPr>
            <w:r w:rsidRPr="000C4E32">
              <w:rPr>
                <w:rFonts w:ascii="Calibri" w:eastAsia="Times New Roman" w:hAnsi="Calibri" w:cs="Arial"/>
                <w:sz w:val="18"/>
                <w:szCs w:val="18"/>
                <w:lang w:val="en-GB"/>
              </w:rPr>
              <w:t>-</w:t>
            </w:r>
          </w:p>
        </w:tc>
        <w:tc>
          <w:tcPr>
            <w:tcW w:w="485" w:type="pct"/>
            <w:tcBorders>
              <w:top w:val="nil"/>
              <w:left w:val="nil"/>
              <w:bottom w:val="single" w:sz="8" w:space="0" w:color="auto"/>
              <w:right w:val="nil"/>
            </w:tcBorders>
            <w:shd w:val="clear" w:color="auto" w:fill="auto"/>
            <w:vAlign w:val="bottom"/>
          </w:tcPr>
          <w:p w14:paraId="3726D159" w14:textId="134DCF50" w:rsidR="000C4E32" w:rsidRPr="00312975" w:rsidRDefault="000C4E32" w:rsidP="000C4E32">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3.906</w:t>
            </w:r>
          </w:p>
        </w:tc>
      </w:tr>
      <w:tr w:rsidR="005B1E80" w:rsidRPr="005A607D" w14:paraId="0C1F60BF" w14:textId="77777777" w:rsidTr="00312975">
        <w:trPr>
          <w:trHeight w:val="207"/>
          <w:jc w:val="center"/>
        </w:trPr>
        <w:tc>
          <w:tcPr>
            <w:tcW w:w="968" w:type="pct"/>
          </w:tcPr>
          <w:p w14:paraId="3BB49033" w14:textId="77777777" w:rsidR="005B1E80" w:rsidRPr="00CF2A73" w:rsidRDefault="005B1E80" w:rsidP="005B1E80">
            <w:pPr>
              <w:pStyle w:val="Tot"/>
              <w:spacing w:line="220" w:lineRule="exact"/>
              <w:rPr>
                <w:rFonts w:asciiTheme="minorHAnsi" w:hAnsiTheme="minorHAnsi" w:cs="Arial"/>
                <w:b/>
                <w:bCs/>
                <w:sz w:val="16"/>
                <w:szCs w:val="16"/>
                <w:lang w:val="hr-HR"/>
              </w:rPr>
            </w:pPr>
            <w:r w:rsidRPr="00CF2A73">
              <w:rPr>
                <w:rFonts w:asciiTheme="minorHAnsi" w:hAnsiTheme="minorHAnsi" w:cs="Arial"/>
                <w:b/>
                <w:bCs/>
                <w:sz w:val="16"/>
                <w:szCs w:val="16"/>
                <w:lang w:val="hr-HR"/>
              </w:rPr>
              <w:t>Ukupno</w:t>
            </w:r>
          </w:p>
        </w:tc>
        <w:tc>
          <w:tcPr>
            <w:tcW w:w="565" w:type="pct"/>
            <w:tcBorders>
              <w:top w:val="single" w:sz="4" w:space="0" w:color="auto"/>
              <w:bottom w:val="single" w:sz="12" w:space="0" w:color="auto"/>
            </w:tcBorders>
            <w:shd w:val="clear" w:color="auto" w:fill="auto"/>
          </w:tcPr>
          <w:p w14:paraId="190CCC59" w14:textId="2B16DF92" w:rsidR="005B1E80" w:rsidRPr="00312975" w:rsidRDefault="005B1E80" w:rsidP="005B1E80">
            <w:pPr>
              <w:tabs>
                <w:tab w:val="right" w:pos="1202"/>
              </w:tabs>
              <w:spacing w:after="0" w:line="301" w:lineRule="exact"/>
              <w:jc w:val="right"/>
              <w:outlineLvl w:val="0"/>
              <w:rPr>
                <w:rFonts w:ascii="Calibri" w:eastAsia="Times New Roman" w:hAnsi="Calibri" w:cs="Arial"/>
                <w:b/>
                <w:sz w:val="18"/>
                <w:szCs w:val="18"/>
                <w:lang w:val="en-GB"/>
              </w:rPr>
            </w:pPr>
            <w:r w:rsidRPr="00312975">
              <w:rPr>
                <w:rFonts w:ascii="Calibri" w:eastAsia="Times New Roman" w:hAnsi="Calibri" w:cs="Arial"/>
                <w:b/>
                <w:sz w:val="18"/>
                <w:szCs w:val="18"/>
                <w:lang w:val="en-GB"/>
              </w:rPr>
              <w:t>25.960.982</w:t>
            </w:r>
          </w:p>
        </w:tc>
        <w:tc>
          <w:tcPr>
            <w:tcW w:w="486" w:type="pct"/>
            <w:tcBorders>
              <w:top w:val="nil"/>
              <w:left w:val="nil"/>
              <w:bottom w:val="single" w:sz="12" w:space="0" w:color="auto"/>
              <w:right w:val="nil"/>
            </w:tcBorders>
            <w:shd w:val="clear" w:color="auto" w:fill="auto"/>
            <w:vAlign w:val="center"/>
          </w:tcPr>
          <w:p w14:paraId="1B082151" w14:textId="278BB4AA" w:rsidR="005B1E80" w:rsidRPr="00312975" w:rsidRDefault="005B1E80" w:rsidP="005B1E80">
            <w:pPr>
              <w:tabs>
                <w:tab w:val="right" w:pos="1202"/>
              </w:tabs>
              <w:spacing w:after="0" w:line="301" w:lineRule="exact"/>
              <w:jc w:val="right"/>
              <w:outlineLvl w:val="0"/>
              <w:rPr>
                <w:rFonts w:ascii="Calibri" w:eastAsia="Times New Roman" w:hAnsi="Calibri" w:cs="Arial"/>
                <w:b/>
                <w:sz w:val="18"/>
                <w:szCs w:val="18"/>
                <w:lang w:val="en-GB"/>
              </w:rPr>
            </w:pPr>
            <w:r w:rsidRPr="00312975">
              <w:rPr>
                <w:rFonts w:ascii="Calibri" w:eastAsia="Times New Roman" w:hAnsi="Calibri" w:cs="Arial"/>
                <w:b/>
                <w:sz w:val="18"/>
                <w:szCs w:val="18"/>
                <w:lang w:val="en-GB"/>
              </w:rPr>
              <w:t>1.750.086</w:t>
            </w:r>
          </w:p>
        </w:tc>
        <w:tc>
          <w:tcPr>
            <w:tcW w:w="486" w:type="pct"/>
            <w:tcBorders>
              <w:top w:val="single" w:sz="4" w:space="0" w:color="auto"/>
              <w:bottom w:val="single" w:sz="12" w:space="0" w:color="auto"/>
            </w:tcBorders>
            <w:shd w:val="clear" w:color="auto" w:fill="auto"/>
          </w:tcPr>
          <w:p w14:paraId="21F2CFA2" w14:textId="359EA251" w:rsidR="005B1E80" w:rsidRPr="005B1E80" w:rsidRDefault="005B1E80" w:rsidP="005B1E80">
            <w:pPr>
              <w:tabs>
                <w:tab w:val="right" w:pos="1202"/>
              </w:tabs>
              <w:spacing w:after="0" w:line="301" w:lineRule="exact"/>
              <w:jc w:val="right"/>
              <w:outlineLvl w:val="0"/>
              <w:rPr>
                <w:rFonts w:ascii="Calibri" w:hAnsi="Calibri" w:cs="Arial"/>
                <w:b/>
                <w:sz w:val="18"/>
                <w:szCs w:val="18"/>
                <w:lang w:val="en-GB"/>
              </w:rPr>
            </w:pPr>
            <w:r w:rsidRPr="005B1E80">
              <w:rPr>
                <w:rFonts w:eastAsia="Times New Roman" w:cs="Arial"/>
                <w:b/>
                <w:sz w:val="18"/>
                <w:szCs w:val="18"/>
              </w:rPr>
              <w:t>-</w:t>
            </w:r>
          </w:p>
        </w:tc>
        <w:tc>
          <w:tcPr>
            <w:tcW w:w="554" w:type="pct"/>
            <w:tcBorders>
              <w:top w:val="nil"/>
              <w:left w:val="nil"/>
              <w:bottom w:val="single" w:sz="12" w:space="0" w:color="auto"/>
              <w:right w:val="nil"/>
            </w:tcBorders>
            <w:shd w:val="clear" w:color="auto" w:fill="auto"/>
            <w:vAlign w:val="center"/>
          </w:tcPr>
          <w:p w14:paraId="7B143DF5" w14:textId="21C5DEFC" w:rsidR="005B1E80" w:rsidRPr="00312975" w:rsidRDefault="005B1E80" w:rsidP="005B1E80">
            <w:pPr>
              <w:tabs>
                <w:tab w:val="right" w:pos="1202"/>
              </w:tabs>
              <w:spacing w:after="0" w:line="301" w:lineRule="exact"/>
              <w:jc w:val="right"/>
              <w:outlineLvl w:val="0"/>
              <w:rPr>
                <w:rFonts w:ascii="Calibri" w:eastAsia="Times New Roman" w:hAnsi="Calibri" w:cs="Arial"/>
                <w:b/>
                <w:sz w:val="18"/>
                <w:szCs w:val="18"/>
                <w:lang w:val="en-GB"/>
              </w:rPr>
            </w:pPr>
            <w:r w:rsidRPr="00312975">
              <w:rPr>
                <w:rFonts w:ascii="Calibri" w:eastAsia="Times New Roman" w:hAnsi="Calibri" w:cs="Arial"/>
                <w:b/>
                <w:sz w:val="18"/>
                <w:szCs w:val="18"/>
                <w:lang w:val="en-GB"/>
              </w:rPr>
              <w:t>27.711.068</w:t>
            </w:r>
          </w:p>
        </w:tc>
        <w:tc>
          <w:tcPr>
            <w:tcW w:w="486" w:type="pct"/>
            <w:tcBorders>
              <w:top w:val="nil"/>
              <w:left w:val="nil"/>
              <w:bottom w:val="single" w:sz="12" w:space="0" w:color="auto"/>
              <w:right w:val="nil"/>
            </w:tcBorders>
            <w:shd w:val="clear" w:color="auto" w:fill="auto"/>
            <w:vAlign w:val="center"/>
          </w:tcPr>
          <w:p w14:paraId="5299E47A" w14:textId="3F08300E" w:rsidR="005B1E80" w:rsidRPr="00312975" w:rsidRDefault="00FE0B1B" w:rsidP="005B1E80">
            <w:pPr>
              <w:tabs>
                <w:tab w:val="right" w:pos="1202"/>
              </w:tabs>
              <w:spacing w:after="0" w:line="301" w:lineRule="exact"/>
              <w:jc w:val="right"/>
              <w:outlineLvl w:val="0"/>
              <w:rPr>
                <w:rFonts w:ascii="Calibri" w:eastAsia="Times New Roman" w:hAnsi="Calibri" w:cs="Arial"/>
                <w:b/>
                <w:sz w:val="18"/>
                <w:szCs w:val="18"/>
                <w:lang w:val="en-GB"/>
              </w:rPr>
            </w:pPr>
            <w:r>
              <w:rPr>
                <w:rFonts w:ascii="Calibri" w:eastAsia="Times New Roman" w:hAnsi="Calibri" w:cs="Arial"/>
                <w:b/>
                <w:sz w:val="18"/>
                <w:szCs w:val="18"/>
                <w:lang w:val="en-GB"/>
              </w:rPr>
              <w:t>4.828.032</w:t>
            </w:r>
          </w:p>
        </w:tc>
        <w:tc>
          <w:tcPr>
            <w:tcW w:w="485" w:type="pct"/>
            <w:tcBorders>
              <w:top w:val="nil"/>
              <w:left w:val="nil"/>
              <w:bottom w:val="single" w:sz="12" w:space="0" w:color="auto"/>
              <w:right w:val="nil"/>
            </w:tcBorders>
            <w:shd w:val="clear" w:color="auto" w:fill="auto"/>
            <w:vAlign w:val="center"/>
          </w:tcPr>
          <w:p w14:paraId="74DEFB8D" w14:textId="38286001" w:rsidR="005B1E80" w:rsidRPr="00312975" w:rsidRDefault="005B1E80">
            <w:pPr>
              <w:tabs>
                <w:tab w:val="right" w:pos="1202"/>
              </w:tabs>
              <w:spacing w:after="0" w:line="301" w:lineRule="exact"/>
              <w:jc w:val="right"/>
              <w:outlineLvl w:val="0"/>
              <w:rPr>
                <w:rFonts w:ascii="Calibri" w:eastAsia="Times New Roman" w:hAnsi="Calibri" w:cs="Arial"/>
                <w:b/>
                <w:sz w:val="18"/>
                <w:szCs w:val="18"/>
                <w:lang w:val="en-GB"/>
              </w:rPr>
            </w:pPr>
            <w:r w:rsidRPr="00312975">
              <w:rPr>
                <w:rFonts w:ascii="Calibri" w:eastAsia="Times New Roman" w:hAnsi="Calibri" w:cs="Arial"/>
                <w:b/>
                <w:sz w:val="18"/>
                <w:szCs w:val="18"/>
                <w:lang w:val="en-GB"/>
              </w:rPr>
              <w:t>24.09</w:t>
            </w:r>
            <w:r w:rsidR="00FE0B1B">
              <w:rPr>
                <w:rFonts w:ascii="Calibri" w:eastAsia="Times New Roman" w:hAnsi="Calibri" w:cs="Arial"/>
                <w:b/>
                <w:sz w:val="18"/>
                <w:szCs w:val="18"/>
                <w:lang w:val="en-GB"/>
              </w:rPr>
              <w:t>3</w:t>
            </w:r>
          </w:p>
        </w:tc>
        <w:tc>
          <w:tcPr>
            <w:tcW w:w="485" w:type="pct"/>
            <w:tcBorders>
              <w:top w:val="nil"/>
              <w:left w:val="nil"/>
              <w:bottom w:val="single" w:sz="12" w:space="0" w:color="auto"/>
              <w:right w:val="nil"/>
            </w:tcBorders>
            <w:shd w:val="clear" w:color="auto" w:fill="auto"/>
            <w:vAlign w:val="center"/>
          </w:tcPr>
          <w:p w14:paraId="29654B42" w14:textId="61AC1038" w:rsidR="005B1E80" w:rsidRPr="00312975" w:rsidRDefault="005B1E80" w:rsidP="005B1E80">
            <w:pPr>
              <w:tabs>
                <w:tab w:val="right" w:pos="1202"/>
              </w:tabs>
              <w:spacing w:after="0" w:line="301" w:lineRule="exact"/>
              <w:jc w:val="right"/>
              <w:outlineLvl w:val="0"/>
              <w:rPr>
                <w:rFonts w:ascii="Calibri" w:eastAsia="Times New Roman" w:hAnsi="Calibri" w:cs="Arial"/>
                <w:b/>
                <w:sz w:val="18"/>
                <w:szCs w:val="18"/>
                <w:lang w:val="en-GB"/>
              </w:rPr>
            </w:pPr>
            <w:r>
              <w:rPr>
                <w:rFonts w:ascii="Calibri" w:eastAsia="Times New Roman" w:hAnsi="Calibri" w:cs="Arial"/>
                <w:b/>
                <w:sz w:val="18"/>
                <w:szCs w:val="18"/>
                <w:lang w:val="en-GB"/>
              </w:rPr>
              <w:t>-</w:t>
            </w:r>
          </w:p>
        </w:tc>
        <w:tc>
          <w:tcPr>
            <w:tcW w:w="485" w:type="pct"/>
            <w:tcBorders>
              <w:top w:val="nil"/>
              <w:left w:val="nil"/>
              <w:bottom w:val="single" w:sz="12" w:space="0" w:color="auto"/>
              <w:right w:val="nil"/>
            </w:tcBorders>
            <w:shd w:val="clear" w:color="auto" w:fill="auto"/>
            <w:vAlign w:val="center"/>
          </w:tcPr>
          <w:p w14:paraId="2E04E058" w14:textId="20F71A79" w:rsidR="005B1E80" w:rsidRPr="00312975" w:rsidRDefault="00FE0B1B" w:rsidP="005B1E80">
            <w:pPr>
              <w:tabs>
                <w:tab w:val="right" w:pos="1202"/>
              </w:tabs>
              <w:spacing w:after="0" w:line="301" w:lineRule="exact"/>
              <w:jc w:val="right"/>
              <w:outlineLvl w:val="0"/>
              <w:rPr>
                <w:rFonts w:ascii="Calibri" w:eastAsia="Times New Roman" w:hAnsi="Calibri" w:cs="Arial"/>
                <w:b/>
                <w:sz w:val="18"/>
                <w:szCs w:val="18"/>
                <w:lang w:val="en-GB"/>
              </w:rPr>
            </w:pPr>
            <w:r>
              <w:rPr>
                <w:rFonts w:ascii="Calibri" w:eastAsia="Times New Roman" w:hAnsi="Calibri" w:cs="Arial"/>
                <w:b/>
                <w:sz w:val="18"/>
                <w:szCs w:val="18"/>
                <w:lang w:val="en-GB"/>
              </w:rPr>
              <w:t>4.852.125</w:t>
            </w:r>
          </w:p>
        </w:tc>
      </w:tr>
      <w:tr w:rsidR="005B1E80" w:rsidRPr="005A607D" w14:paraId="7C64A1E1" w14:textId="77777777" w:rsidTr="00D56049">
        <w:trPr>
          <w:trHeight w:val="405"/>
          <w:jc w:val="center"/>
        </w:trPr>
        <w:tc>
          <w:tcPr>
            <w:tcW w:w="968" w:type="pct"/>
          </w:tcPr>
          <w:p w14:paraId="2ACF2B85" w14:textId="77777777" w:rsidR="005B1E80" w:rsidRPr="00CF2A73" w:rsidRDefault="005B1E80" w:rsidP="005B1E80">
            <w:pPr>
              <w:pStyle w:val="TT"/>
              <w:spacing w:line="220" w:lineRule="exact"/>
              <w:rPr>
                <w:rFonts w:asciiTheme="minorHAnsi" w:hAnsiTheme="minorHAnsi" w:cs="Arial"/>
                <w:b/>
                <w:bCs/>
                <w:sz w:val="16"/>
                <w:szCs w:val="16"/>
                <w:lang w:val="hr-HR"/>
              </w:rPr>
            </w:pPr>
            <w:r w:rsidRPr="00CF2A73">
              <w:rPr>
                <w:rFonts w:asciiTheme="minorHAnsi" w:hAnsiTheme="minorHAnsi" w:cs="Arial"/>
                <w:b/>
                <w:bCs/>
                <w:sz w:val="16"/>
                <w:szCs w:val="16"/>
                <w:lang w:val="hr-HR"/>
              </w:rPr>
              <w:t>Garancije i preuzete obveze</w:t>
            </w:r>
          </w:p>
        </w:tc>
        <w:tc>
          <w:tcPr>
            <w:tcW w:w="565" w:type="pct"/>
            <w:tcBorders>
              <w:top w:val="single" w:sz="12" w:space="0" w:color="auto"/>
            </w:tcBorders>
            <w:shd w:val="clear" w:color="auto" w:fill="auto"/>
            <w:vAlign w:val="bottom"/>
          </w:tcPr>
          <w:p w14:paraId="68C566A1" w14:textId="77777777"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p>
        </w:tc>
        <w:tc>
          <w:tcPr>
            <w:tcW w:w="486" w:type="pct"/>
            <w:tcBorders>
              <w:top w:val="single" w:sz="12" w:space="0" w:color="auto"/>
            </w:tcBorders>
            <w:shd w:val="clear" w:color="auto" w:fill="auto"/>
            <w:vAlign w:val="bottom"/>
          </w:tcPr>
          <w:p w14:paraId="77FF1C1B" w14:textId="77777777"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p>
        </w:tc>
        <w:tc>
          <w:tcPr>
            <w:tcW w:w="486" w:type="pct"/>
            <w:tcBorders>
              <w:top w:val="single" w:sz="12" w:space="0" w:color="auto"/>
            </w:tcBorders>
            <w:shd w:val="clear" w:color="auto" w:fill="auto"/>
            <w:vAlign w:val="bottom"/>
          </w:tcPr>
          <w:p w14:paraId="10E62E0C" w14:textId="77777777"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p>
        </w:tc>
        <w:tc>
          <w:tcPr>
            <w:tcW w:w="554" w:type="pct"/>
            <w:tcBorders>
              <w:top w:val="single" w:sz="12" w:space="0" w:color="auto"/>
            </w:tcBorders>
            <w:shd w:val="clear" w:color="auto" w:fill="auto"/>
            <w:vAlign w:val="bottom"/>
          </w:tcPr>
          <w:p w14:paraId="69814E1C" w14:textId="77777777"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p>
        </w:tc>
        <w:tc>
          <w:tcPr>
            <w:tcW w:w="486" w:type="pct"/>
            <w:tcBorders>
              <w:top w:val="single" w:sz="12" w:space="0" w:color="auto"/>
            </w:tcBorders>
            <w:shd w:val="clear" w:color="auto" w:fill="auto"/>
            <w:vAlign w:val="bottom"/>
          </w:tcPr>
          <w:p w14:paraId="209E7A84" w14:textId="77777777"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p>
        </w:tc>
        <w:tc>
          <w:tcPr>
            <w:tcW w:w="485" w:type="pct"/>
            <w:tcBorders>
              <w:top w:val="single" w:sz="12" w:space="0" w:color="auto"/>
            </w:tcBorders>
            <w:shd w:val="clear" w:color="auto" w:fill="auto"/>
            <w:vAlign w:val="bottom"/>
          </w:tcPr>
          <w:p w14:paraId="7ACED478" w14:textId="77777777"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p>
        </w:tc>
        <w:tc>
          <w:tcPr>
            <w:tcW w:w="485" w:type="pct"/>
            <w:tcBorders>
              <w:top w:val="single" w:sz="12" w:space="0" w:color="auto"/>
            </w:tcBorders>
            <w:shd w:val="clear" w:color="auto" w:fill="auto"/>
            <w:vAlign w:val="bottom"/>
          </w:tcPr>
          <w:p w14:paraId="6BB9FA79" w14:textId="77777777"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p>
        </w:tc>
        <w:tc>
          <w:tcPr>
            <w:tcW w:w="485" w:type="pct"/>
            <w:tcBorders>
              <w:top w:val="single" w:sz="12" w:space="0" w:color="auto"/>
            </w:tcBorders>
            <w:shd w:val="clear" w:color="auto" w:fill="auto"/>
            <w:vAlign w:val="bottom"/>
          </w:tcPr>
          <w:p w14:paraId="58CAEFF6" w14:textId="77777777" w:rsidR="005B1E80" w:rsidRPr="00CF2A73" w:rsidRDefault="005B1E80" w:rsidP="005B1E80">
            <w:pPr>
              <w:tabs>
                <w:tab w:val="right" w:pos="1202"/>
              </w:tabs>
              <w:spacing w:after="0" w:line="301" w:lineRule="exact"/>
              <w:jc w:val="right"/>
              <w:outlineLvl w:val="0"/>
              <w:rPr>
                <w:rFonts w:ascii="Calibri" w:hAnsi="Calibri" w:cs="Arial"/>
                <w:sz w:val="18"/>
                <w:szCs w:val="18"/>
                <w:lang w:val="en-GB"/>
              </w:rPr>
            </w:pPr>
          </w:p>
        </w:tc>
      </w:tr>
      <w:tr w:rsidR="005B1E80" w:rsidRPr="005A607D" w14:paraId="24562126" w14:textId="77777777" w:rsidTr="00312975">
        <w:trPr>
          <w:trHeight w:val="405"/>
          <w:jc w:val="center"/>
        </w:trPr>
        <w:tc>
          <w:tcPr>
            <w:tcW w:w="968" w:type="pct"/>
            <w:vAlign w:val="center"/>
          </w:tcPr>
          <w:p w14:paraId="3BA33C0F" w14:textId="77777777" w:rsidR="005B1E80" w:rsidRPr="00CF2A73" w:rsidRDefault="005B1E80" w:rsidP="005B1E80">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Izdane garancije u kunama</w:t>
            </w:r>
          </w:p>
        </w:tc>
        <w:tc>
          <w:tcPr>
            <w:tcW w:w="565" w:type="pct"/>
            <w:tcBorders>
              <w:top w:val="nil"/>
              <w:left w:val="nil"/>
              <w:bottom w:val="nil"/>
              <w:right w:val="nil"/>
            </w:tcBorders>
            <w:shd w:val="clear" w:color="auto" w:fill="auto"/>
            <w:vAlign w:val="bottom"/>
          </w:tcPr>
          <w:p w14:paraId="0043E717" w14:textId="42BF5D89" w:rsidR="005B1E80" w:rsidRPr="00CF2A73"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27.653</w:t>
            </w:r>
          </w:p>
        </w:tc>
        <w:tc>
          <w:tcPr>
            <w:tcW w:w="486" w:type="pct"/>
            <w:shd w:val="clear" w:color="auto" w:fill="auto"/>
            <w:vAlign w:val="bottom"/>
          </w:tcPr>
          <w:p w14:paraId="48051673" w14:textId="427438D8" w:rsidR="005B1E80" w:rsidRPr="00CF2A73"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166751">
              <w:rPr>
                <w:rFonts w:eastAsia="Times New Roman" w:cs="Arial"/>
                <w:sz w:val="18"/>
                <w:szCs w:val="18"/>
              </w:rPr>
              <w:t>-</w:t>
            </w:r>
          </w:p>
        </w:tc>
        <w:tc>
          <w:tcPr>
            <w:tcW w:w="486" w:type="pct"/>
            <w:shd w:val="clear" w:color="auto" w:fill="auto"/>
            <w:vAlign w:val="bottom"/>
          </w:tcPr>
          <w:p w14:paraId="063B235B" w14:textId="7FB59BC5" w:rsidR="005B1E80" w:rsidRPr="00CF2A73"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166751">
              <w:rPr>
                <w:rFonts w:eastAsia="Times New Roman" w:cs="Arial"/>
                <w:sz w:val="18"/>
                <w:szCs w:val="18"/>
              </w:rPr>
              <w:t>-</w:t>
            </w:r>
          </w:p>
        </w:tc>
        <w:tc>
          <w:tcPr>
            <w:tcW w:w="554" w:type="pct"/>
            <w:tcBorders>
              <w:top w:val="nil"/>
              <w:left w:val="nil"/>
              <w:bottom w:val="nil"/>
              <w:right w:val="nil"/>
            </w:tcBorders>
            <w:shd w:val="clear" w:color="auto" w:fill="auto"/>
            <w:vAlign w:val="bottom"/>
          </w:tcPr>
          <w:p w14:paraId="25C8194D" w14:textId="7525C495" w:rsidR="005B1E80" w:rsidRPr="00CF2A73"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27.653</w:t>
            </w:r>
          </w:p>
        </w:tc>
        <w:tc>
          <w:tcPr>
            <w:tcW w:w="486" w:type="pct"/>
            <w:tcBorders>
              <w:top w:val="nil"/>
              <w:left w:val="nil"/>
              <w:bottom w:val="nil"/>
              <w:right w:val="nil"/>
            </w:tcBorders>
            <w:shd w:val="clear" w:color="auto" w:fill="auto"/>
            <w:vAlign w:val="bottom"/>
          </w:tcPr>
          <w:p w14:paraId="087F5E24" w14:textId="44F3773F" w:rsidR="005B1E80" w:rsidRPr="00CF2A73"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w:t>
            </w:r>
          </w:p>
        </w:tc>
        <w:tc>
          <w:tcPr>
            <w:tcW w:w="485" w:type="pct"/>
            <w:tcBorders>
              <w:top w:val="nil"/>
              <w:left w:val="nil"/>
              <w:bottom w:val="nil"/>
              <w:right w:val="nil"/>
            </w:tcBorders>
            <w:shd w:val="clear" w:color="auto" w:fill="auto"/>
            <w:vAlign w:val="bottom"/>
          </w:tcPr>
          <w:p w14:paraId="194B4347" w14:textId="6E68E969" w:rsidR="005B1E80" w:rsidRPr="00CF2A73"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w:t>
            </w:r>
          </w:p>
        </w:tc>
        <w:tc>
          <w:tcPr>
            <w:tcW w:w="485" w:type="pct"/>
            <w:tcBorders>
              <w:top w:val="nil"/>
              <w:left w:val="nil"/>
              <w:bottom w:val="nil"/>
              <w:right w:val="nil"/>
            </w:tcBorders>
            <w:shd w:val="clear" w:color="auto" w:fill="auto"/>
            <w:vAlign w:val="bottom"/>
          </w:tcPr>
          <w:p w14:paraId="7760B71B" w14:textId="302D4F3E" w:rsidR="005B1E80" w:rsidRPr="00CF2A73"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w:t>
            </w:r>
          </w:p>
        </w:tc>
        <w:tc>
          <w:tcPr>
            <w:tcW w:w="485" w:type="pct"/>
            <w:tcBorders>
              <w:top w:val="nil"/>
              <w:left w:val="nil"/>
              <w:bottom w:val="nil"/>
              <w:right w:val="nil"/>
            </w:tcBorders>
            <w:shd w:val="clear" w:color="auto" w:fill="auto"/>
            <w:vAlign w:val="bottom"/>
          </w:tcPr>
          <w:p w14:paraId="545D8F7A" w14:textId="5545B844" w:rsidR="005B1E80" w:rsidRPr="00CF2A73"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Pr>
                <w:rFonts w:ascii="Calibri" w:eastAsia="Times New Roman" w:hAnsi="Calibri" w:cs="Arial"/>
                <w:sz w:val="18"/>
                <w:szCs w:val="18"/>
                <w:lang w:val="en-GB"/>
              </w:rPr>
              <w:t>-</w:t>
            </w:r>
          </w:p>
        </w:tc>
      </w:tr>
      <w:tr w:rsidR="005B1E80" w:rsidRPr="005A607D" w14:paraId="597A6494" w14:textId="77777777" w:rsidTr="00312975">
        <w:trPr>
          <w:trHeight w:val="405"/>
          <w:jc w:val="center"/>
        </w:trPr>
        <w:tc>
          <w:tcPr>
            <w:tcW w:w="968" w:type="pct"/>
            <w:vAlign w:val="center"/>
          </w:tcPr>
          <w:p w14:paraId="174282E1" w14:textId="77777777" w:rsidR="005B1E80" w:rsidRPr="00CF2A73" w:rsidRDefault="005B1E80" w:rsidP="005B1E80">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Izdane garancije u devizama</w:t>
            </w:r>
          </w:p>
        </w:tc>
        <w:tc>
          <w:tcPr>
            <w:tcW w:w="565" w:type="pct"/>
            <w:tcBorders>
              <w:top w:val="nil"/>
              <w:left w:val="nil"/>
              <w:bottom w:val="nil"/>
              <w:right w:val="nil"/>
            </w:tcBorders>
            <w:shd w:val="clear" w:color="auto" w:fill="auto"/>
            <w:vAlign w:val="bottom"/>
          </w:tcPr>
          <w:p w14:paraId="6DA39D92" w14:textId="6EBAF220" w:rsidR="005B1E80" w:rsidRPr="00CF2A73"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1.879.965</w:t>
            </w:r>
          </w:p>
        </w:tc>
        <w:tc>
          <w:tcPr>
            <w:tcW w:w="486" w:type="pct"/>
            <w:tcBorders>
              <w:top w:val="nil"/>
            </w:tcBorders>
            <w:shd w:val="clear" w:color="auto" w:fill="auto"/>
            <w:vAlign w:val="bottom"/>
          </w:tcPr>
          <w:p w14:paraId="38E0CDD8" w14:textId="14E7A545" w:rsidR="005B1E80" w:rsidRPr="00312975" w:rsidRDefault="005B1E80">
            <w:pPr>
              <w:tabs>
                <w:tab w:val="right" w:pos="1202"/>
              </w:tabs>
              <w:spacing w:after="0" w:line="301" w:lineRule="exact"/>
              <w:jc w:val="right"/>
              <w:outlineLvl w:val="0"/>
              <w:rPr>
                <w:rFonts w:ascii="Calibri" w:eastAsia="Times New Roman" w:hAnsi="Calibri" w:cs="Arial"/>
                <w:sz w:val="18"/>
                <w:szCs w:val="18"/>
                <w:lang w:val="en-US"/>
              </w:rPr>
            </w:pPr>
            <w:r w:rsidRPr="00312975">
              <w:rPr>
                <w:rFonts w:ascii="Calibri" w:eastAsia="Times New Roman" w:hAnsi="Calibri" w:cs="Arial"/>
                <w:sz w:val="18"/>
                <w:szCs w:val="18"/>
                <w:lang w:val="en-US"/>
              </w:rPr>
              <w:t>17.876</w:t>
            </w:r>
          </w:p>
        </w:tc>
        <w:tc>
          <w:tcPr>
            <w:tcW w:w="486" w:type="pct"/>
            <w:tcBorders>
              <w:top w:val="nil"/>
            </w:tcBorders>
            <w:shd w:val="clear" w:color="auto" w:fill="auto"/>
            <w:vAlign w:val="bottom"/>
          </w:tcPr>
          <w:p w14:paraId="2345AF36" w14:textId="15BC146C" w:rsidR="005B1E80" w:rsidRPr="00CF2A73"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166751">
              <w:rPr>
                <w:rFonts w:eastAsia="Times New Roman" w:cs="Arial"/>
                <w:sz w:val="18"/>
                <w:szCs w:val="18"/>
              </w:rPr>
              <w:t>-</w:t>
            </w:r>
          </w:p>
        </w:tc>
        <w:tc>
          <w:tcPr>
            <w:tcW w:w="554" w:type="pct"/>
            <w:tcBorders>
              <w:top w:val="nil"/>
              <w:left w:val="nil"/>
              <w:bottom w:val="nil"/>
              <w:right w:val="nil"/>
            </w:tcBorders>
            <w:shd w:val="clear" w:color="auto" w:fill="auto"/>
            <w:vAlign w:val="bottom"/>
          </w:tcPr>
          <w:p w14:paraId="435F78FE" w14:textId="6B682A3B" w:rsidR="005B1E80" w:rsidRPr="00CF2A73"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1.897.841</w:t>
            </w:r>
          </w:p>
        </w:tc>
        <w:tc>
          <w:tcPr>
            <w:tcW w:w="486" w:type="pct"/>
            <w:tcBorders>
              <w:top w:val="nil"/>
              <w:left w:val="nil"/>
              <w:bottom w:val="nil"/>
              <w:right w:val="nil"/>
            </w:tcBorders>
            <w:shd w:val="clear" w:color="auto" w:fill="auto"/>
            <w:vAlign w:val="bottom"/>
          </w:tcPr>
          <w:p w14:paraId="40B181F6" w14:textId="1628FFB7" w:rsidR="005B1E80" w:rsidRPr="00CF2A73"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208.393</w:t>
            </w:r>
          </w:p>
        </w:tc>
        <w:tc>
          <w:tcPr>
            <w:tcW w:w="485" w:type="pct"/>
            <w:tcBorders>
              <w:top w:val="nil"/>
              <w:left w:val="nil"/>
              <w:bottom w:val="nil"/>
              <w:right w:val="nil"/>
            </w:tcBorders>
            <w:shd w:val="clear" w:color="auto" w:fill="auto"/>
            <w:vAlign w:val="bottom"/>
          </w:tcPr>
          <w:p w14:paraId="74D3A476" w14:textId="587BC68E" w:rsidR="005B1E80" w:rsidRPr="00CF2A73"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w:t>
            </w:r>
          </w:p>
        </w:tc>
        <w:tc>
          <w:tcPr>
            <w:tcW w:w="485" w:type="pct"/>
            <w:tcBorders>
              <w:top w:val="nil"/>
              <w:left w:val="nil"/>
              <w:bottom w:val="nil"/>
              <w:right w:val="nil"/>
            </w:tcBorders>
            <w:shd w:val="clear" w:color="auto" w:fill="auto"/>
            <w:vAlign w:val="bottom"/>
          </w:tcPr>
          <w:p w14:paraId="76594ADC" w14:textId="1CFC0C4E" w:rsidR="005B1E80" w:rsidRPr="00CF2A73"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w:t>
            </w:r>
          </w:p>
        </w:tc>
        <w:tc>
          <w:tcPr>
            <w:tcW w:w="485" w:type="pct"/>
            <w:tcBorders>
              <w:top w:val="nil"/>
              <w:left w:val="nil"/>
              <w:bottom w:val="nil"/>
              <w:right w:val="nil"/>
            </w:tcBorders>
            <w:shd w:val="clear" w:color="auto" w:fill="auto"/>
            <w:vAlign w:val="bottom"/>
          </w:tcPr>
          <w:p w14:paraId="5A99CDD6" w14:textId="0C70CEA7" w:rsidR="005B1E80" w:rsidRPr="00CF2A73"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208.393</w:t>
            </w:r>
          </w:p>
        </w:tc>
      </w:tr>
      <w:tr w:rsidR="005B1E80" w:rsidRPr="005A607D" w14:paraId="744B1C03" w14:textId="77777777" w:rsidTr="00312975">
        <w:trPr>
          <w:trHeight w:val="405"/>
          <w:jc w:val="center"/>
        </w:trPr>
        <w:tc>
          <w:tcPr>
            <w:tcW w:w="968" w:type="pct"/>
            <w:vAlign w:val="center"/>
          </w:tcPr>
          <w:p w14:paraId="61EDA79B" w14:textId="0543FCB7" w:rsidR="005B1E80" w:rsidRPr="00CF2A73" w:rsidRDefault="005B1E80" w:rsidP="005B1E80">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Otvoreni akreditivi u devizama</w:t>
            </w:r>
          </w:p>
        </w:tc>
        <w:tc>
          <w:tcPr>
            <w:tcW w:w="565" w:type="pct"/>
            <w:tcBorders>
              <w:top w:val="nil"/>
              <w:left w:val="nil"/>
              <w:bottom w:val="nil"/>
              <w:right w:val="nil"/>
            </w:tcBorders>
            <w:shd w:val="clear" w:color="auto" w:fill="auto"/>
            <w:vAlign w:val="bottom"/>
          </w:tcPr>
          <w:p w14:paraId="7543CC2F" w14:textId="5EB486A0" w:rsidR="005B1E80" w:rsidRPr="00CF2A73"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2.218</w:t>
            </w:r>
          </w:p>
        </w:tc>
        <w:tc>
          <w:tcPr>
            <w:tcW w:w="486" w:type="pct"/>
            <w:shd w:val="clear" w:color="auto" w:fill="auto"/>
            <w:vAlign w:val="bottom"/>
          </w:tcPr>
          <w:p w14:paraId="44FD0FF9" w14:textId="4E9D9D89"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6" w:type="pct"/>
            <w:shd w:val="clear" w:color="auto" w:fill="auto"/>
            <w:vAlign w:val="bottom"/>
          </w:tcPr>
          <w:p w14:paraId="3B5AA8B0" w14:textId="0FB182D0" w:rsidR="005B1E80" w:rsidRPr="00CF2A73"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166751">
              <w:rPr>
                <w:rFonts w:eastAsia="Times New Roman" w:cs="Arial"/>
                <w:sz w:val="18"/>
                <w:szCs w:val="18"/>
              </w:rPr>
              <w:t>-</w:t>
            </w:r>
          </w:p>
        </w:tc>
        <w:tc>
          <w:tcPr>
            <w:tcW w:w="554" w:type="pct"/>
            <w:tcBorders>
              <w:top w:val="nil"/>
              <w:left w:val="nil"/>
              <w:bottom w:val="nil"/>
              <w:right w:val="nil"/>
            </w:tcBorders>
            <w:shd w:val="clear" w:color="auto" w:fill="auto"/>
            <w:vAlign w:val="bottom"/>
          </w:tcPr>
          <w:p w14:paraId="20062AA0" w14:textId="27F42A93" w:rsidR="005B1E80" w:rsidRPr="00CF2A73"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2.218</w:t>
            </w:r>
          </w:p>
        </w:tc>
        <w:tc>
          <w:tcPr>
            <w:tcW w:w="486" w:type="pct"/>
            <w:shd w:val="clear" w:color="auto" w:fill="auto"/>
            <w:vAlign w:val="bottom"/>
          </w:tcPr>
          <w:p w14:paraId="279E08EE" w14:textId="5D12080A" w:rsidR="005B1E80" w:rsidRPr="00CF2A73"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166751">
              <w:rPr>
                <w:rFonts w:eastAsia="Times New Roman" w:cs="Arial"/>
                <w:sz w:val="18"/>
                <w:szCs w:val="18"/>
              </w:rPr>
              <w:t>-</w:t>
            </w:r>
          </w:p>
        </w:tc>
        <w:tc>
          <w:tcPr>
            <w:tcW w:w="485" w:type="pct"/>
            <w:shd w:val="clear" w:color="auto" w:fill="auto"/>
            <w:vAlign w:val="bottom"/>
          </w:tcPr>
          <w:p w14:paraId="74C94CE7" w14:textId="17CB6225" w:rsidR="005B1E80" w:rsidRPr="00CF2A73"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166751">
              <w:rPr>
                <w:rFonts w:eastAsia="Times New Roman" w:cs="Arial"/>
                <w:sz w:val="18"/>
                <w:szCs w:val="18"/>
              </w:rPr>
              <w:t>-</w:t>
            </w:r>
          </w:p>
        </w:tc>
        <w:tc>
          <w:tcPr>
            <w:tcW w:w="485" w:type="pct"/>
            <w:shd w:val="clear" w:color="auto" w:fill="auto"/>
            <w:vAlign w:val="bottom"/>
          </w:tcPr>
          <w:p w14:paraId="69982DD4" w14:textId="7080D83D" w:rsidR="005B1E80" w:rsidRPr="00CF2A73"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166751">
              <w:rPr>
                <w:rFonts w:eastAsia="Times New Roman" w:cs="Arial"/>
                <w:sz w:val="18"/>
                <w:szCs w:val="18"/>
              </w:rPr>
              <w:t>-</w:t>
            </w:r>
          </w:p>
        </w:tc>
        <w:tc>
          <w:tcPr>
            <w:tcW w:w="485" w:type="pct"/>
            <w:shd w:val="clear" w:color="auto" w:fill="auto"/>
            <w:vAlign w:val="bottom"/>
          </w:tcPr>
          <w:p w14:paraId="0E231E39" w14:textId="19F4A236" w:rsidR="005B1E80" w:rsidRPr="00CF2A73" w:rsidRDefault="00FE0B1B" w:rsidP="005B1E80">
            <w:pPr>
              <w:tabs>
                <w:tab w:val="right" w:pos="1202"/>
              </w:tabs>
              <w:spacing w:after="0" w:line="301" w:lineRule="exact"/>
              <w:jc w:val="right"/>
              <w:outlineLvl w:val="0"/>
              <w:rPr>
                <w:rFonts w:ascii="Calibri" w:eastAsia="Times New Roman" w:hAnsi="Calibri" w:cs="Arial"/>
                <w:sz w:val="18"/>
                <w:szCs w:val="18"/>
                <w:lang w:val="en-GB"/>
              </w:rPr>
            </w:pPr>
            <w:r>
              <w:rPr>
                <w:rFonts w:ascii="Calibri" w:eastAsia="Times New Roman" w:hAnsi="Calibri" w:cs="Arial"/>
                <w:sz w:val="18"/>
                <w:szCs w:val="18"/>
                <w:lang w:val="en-GB"/>
              </w:rPr>
              <w:t>-</w:t>
            </w:r>
          </w:p>
        </w:tc>
      </w:tr>
      <w:tr w:rsidR="005B1E80" w:rsidRPr="005A607D" w14:paraId="78C7FB19" w14:textId="77777777" w:rsidTr="00312975">
        <w:trPr>
          <w:trHeight w:val="405"/>
          <w:jc w:val="center"/>
        </w:trPr>
        <w:tc>
          <w:tcPr>
            <w:tcW w:w="968" w:type="pct"/>
            <w:vAlign w:val="center"/>
          </w:tcPr>
          <w:p w14:paraId="477179CD" w14:textId="77777777" w:rsidR="005B1E80" w:rsidRPr="00CF2A73" w:rsidRDefault="005B1E80" w:rsidP="005B1E80">
            <w:pPr>
              <w:pStyle w:val="TT"/>
              <w:spacing w:line="220" w:lineRule="exact"/>
              <w:rPr>
                <w:rFonts w:asciiTheme="minorHAnsi" w:hAnsiTheme="minorHAnsi" w:cs="Arial"/>
                <w:sz w:val="16"/>
                <w:szCs w:val="16"/>
                <w:lang w:val="hr-HR"/>
              </w:rPr>
            </w:pPr>
            <w:r w:rsidRPr="00CF2A73">
              <w:rPr>
                <w:rFonts w:asciiTheme="minorHAnsi" w:hAnsiTheme="minorHAnsi" w:cs="Arial"/>
                <w:sz w:val="16"/>
                <w:szCs w:val="16"/>
                <w:lang w:val="hr-HR"/>
              </w:rPr>
              <w:t>Preuzete obveze po kreditima</w:t>
            </w:r>
          </w:p>
        </w:tc>
        <w:tc>
          <w:tcPr>
            <w:tcW w:w="565" w:type="pct"/>
            <w:tcBorders>
              <w:top w:val="nil"/>
              <w:left w:val="nil"/>
              <w:bottom w:val="nil"/>
              <w:right w:val="nil"/>
            </w:tcBorders>
            <w:shd w:val="clear" w:color="auto" w:fill="auto"/>
            <w:vAlign w:val="bottom"/>
          </w:tcPr>
          <w:p w14:paraId="675A86DC" w14:textId="58FFA371" w:rsidR="005B1E80" w:rsidRPr="00CF2A73"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3.538.871</w:t>
            </w:r>
          </w:p>
        </w:tc>
        <w:tc>
          <w:tcPr>
            <w:tcW w:w="486" w:type="pct"/>
            <w:shd w:val="clear" w:color="auto" w:fill="auto"/>
            <w:vAlign w:val="bottom"/>
          </w:tcPr>
          <w:p w14:paraId="16F49A83" w14:textId="622E1E3C" w:rsidR="005B1E80" w:rsidRPr="00312975" w:rsidRDefault="005B1E80">
            <w:pPr>
              <w:tabs>
                <w:tab w:val="right" w:pos="1202"/>
              </w:tabs>
              <w:spacing w:after="0" w:line="301" w:lineRule="exact"/>
              <w:jc w:val="right"/>
              <w:outlineLvl w:val="0"/>
              <w:rPr>
                <w:rFonts w:ascii="Calibri" w:eastAsia="Times New Roman" w:hAnsi="Calibri" w:cs="Arial"/>
                <w:sz w:val="18"/>
                <w:szCs w:val="18"/>
                <w:lang w:val="en-US"/>
              </w:rPr>
            </w:pPr>
            <w:r w:rsidRPr="00312975">
              <w:rPr>
                <w:rFonts w:ascii="Calibri" w:eastAsia="Times New Roman" w:hAnsi="Calibri" w:cs="Arial"/>
                <w:sz w:val="18"/>
                <w:szCs w:val="18"/>
                <w:lang w:val="en-US"/>
              </w:rPr>
              <w:t>7.616</w:t>
            </w:r>
          </w:p>
        </w:tc>
        <w:tc>
          <w:tcPr>
            <w:tcW w:w="486" w:type="pct"/>
            <w:shd w:val="clear" w:color="auto" w:fill="auto"/>
            <w:vAlign w:val="bottom"/>
          </w:tcPr>
          <w:p w14:paraId="40D85F58" w14:textId="1E4ACB20" w:rsidR="005B1E80" w:rsidRPr="00CF2A73"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166751">
              <w:rPr>
                <w:rFonts w:eastAsia="Times New Roman" w:cs="Arial"/>
                <w:sz w:val="18"/>
                <w:szCs w:val="18"/>
              </w:rPr>
              <w:t>-</w:t>
            </w:r>
          </w:p>
        </w:tc>
        <w:tc>
          <w:tcPr>
            <w:tcW w:w="554" w:type="pct"/>
            <w:tcBorders>
              <w:top w:val="nil"/>
              <w:left w:val="nil"/>
              <w:bottom w:val="nil"/>
              <w:right w:val="nil"/>
            </w:tcBorders>
            <w:shd w:val="clear" w:color="auto" w:fill="auto"/>
            <w:vAlign w:val="bottom"/>
          </w:tcPr>
          <w:p w14:paraId="47CE7EF2" w14:textId="365F509C" w:rsidR="005B1E80" w:rsidRPr="00CF2A73" w:rsidRDefault="005B1E80" w:rsidP="005B1E80">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3.546.487</w:t>
            </w:r>
          </w:p>
        </w:tc>
        <w:tc>
          <w:tcPr>
            <w:tcW w:w="486" w:type="pct"/>
            <w:tcBorders>
              <w:top w:val="nil"/>
              <w:left w:val="nil"/>
              <w:bottom w:val="nil"/>
              <w:right w:val="nil"/>
            </w:tcBorders>
            <w:shd w:val="clear" w:color="auto" w:fill="auto"/>
            <w:vAlign w:val="bottom"/>
          </w:tcPr>
          <w:p w14:paraId="57E8EACC" w14:textId="01A43D2E" w:rsidR="005B1E80" w:rsidRPr="00312975" w:rsidRDefault="00FE0B1B" w:rsidP="005B1E80">
            <w:pPr>
              <w:tabs>
                <w:tab w:val="right" w:pos="1202"/>
              </w:tabs>
              <w:spacing w:after="0" w:line="301" w:lineRule="exact"/>
              <w:jc w:val="right"/>
              <w:outlineLvl w:val="0"/>
              <w:rPr>
                <w:rFonts w:ascii="Calibri" w:eastAsia="Times New Roman" w:hAnsi="Calibri" w:cs="Arial"/>
                <w:sz w:val="18"/>
                <w:szCs w:val="18"/>
                <w:lang w:val="en-US"/>
              </w:rPr>
            </w:pPr>
            <w:r>
              <w:rPr>
                <w:rFonts w:ascii="Calibri" w:eastAsia="Times New Roman" w:hAnsi="Calibri" w:cs="Arial"/>
                <w:sz w:val="18"/>
                <w:szCs w:val="18"/>
                <w:lang w:val="en-US"/>
              </w:rPr>
              <w:t>581.929</w:t>
            </w:r>
          </w:p>
        </w:tc>
        <w:tc>
          <w:tcPr>
            <w:tcW w:w="485" w:type="pct"/>
            <w:tcBorders>
              <w:top w:val="nil"/>
              <w:left w:val="nil"/>
              <w:bottom w:val="nil"/>
              <w:right w:val="nil"/>
            </w:tcBorders>
            <w:shd w:val="clear" w:color="auto" w:fill="auto"/>
            <w:vAlign w:val="bottom"/>
          </w:tcPr>
          <w:p w14:paraId="1D8468A2" w14:textId="649D2431"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7BAEBE21" w14:textId="51335513" w:rsidR="005B1E80" w:rsidRPr="00312975" w:rsidRDefault="005B1E80" w:rsidP="005B1E80">
            <w:pPr>
              <w:tabs>
                <w:tab w:val="right" w:pos="1202"/>
              </w:tabs>
              <w:spacing w:after="0" w:line="301" w:lineRule="exact"/>
              <w:jc w:val="right"/>
              <w:outlineLvl w:val="0"/>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79C0E96D" w14:textId="3953AD38" w:rsidR="005B1E80" w:rsidRPr="00312975" w:rsidRDefault="00FE0B1B" w:rsidP="005B1E80">
            <w:pPr>
              <w:tabs>
                <w:tab w:val="right" w:pos="1202"/>
              </w:tabs>
              <w:spacing w:after="0" w:line="301" w:lineRule="exact"/>
              <w:jc w:val="right"/>
              <w:outlineLvl w:val="0"/>
              <w:rPr>
                <w:rFonts w:ascii="Calibri" w:eastAsia="Times New Roman" w:hAnsi="Calibri" w:cs="Arial"/>
                <w:sz w:val="18"/>
                <w:szCs w:val="18"/>
                <w:lang w:val="en-US"/>
              </w:rPr>
            </w:pPr>
            <w:r>
              <w:rPr>
                <w:rFonts w:ascii="Calibri" w:eastAsia="Times New Roman" w:hAnsi="Calibri" w:cs="Arial"/>
                <w:sz w:val="18"/>
                <w:szCs w:val="18"/>
                <w:lang w:val="en-US"/>
              </w:rPr>
              <w:t>581.929</w:t>
            </w:r>
          </w:p>
        </w:tc>
      </w:tr>
      <w:tr w:rsidR="00FE0B1B" w:rsidRPr="005A607D" w14:paraId="7ECE4CE0" w14:textId="77777777" w:rsidTr="00312975">
        <w:trPr>
          <w:trHeight w:val="614"/>
          <w:jc w:val="center"/>
        </w:trPr>
        <w:tc>
          <w:tcPr>
            <w:tcW w:w="968" w:type="pct"/>
          </w:tcPr>
          <w:p w14:paraId="1B61E4BC" w14:textId="77777777" w:rsidR="00FE0B1B" w:rsidRPr="00CF2A73" w:rsidRDefault="00FE0B1B" w:rsidP="00FE0B1B">
            <w:pPr>
              <w:pStyle w:val="Tot"/>
              <w:spacing w:line="220" w:lineRule="exact"/>
              <w:rPr>
                <w:rFonts w:asciiTheme="minorHAnsi" w:hAnsiTheme="minorHAnsi" w:cs="Arial"/>
                <w:bCs/>
                <w:sz w:val="16"/>
                <w:szCs w:val="16"/>
                <w:lang w:val="hr-HR"/>
              </w:rPr>
            </w:pPr>
            <w:r w:rsidRPr="00CF2A73">
              <w:rPr>
                <w:rFonts w:asciiTheme="minorHAnsi" w:hAnsiTheme="minorHAnsi" w:cs="Arial"/>
                <w:bCs/>
                <w:sz w:val="16"/>
                <w:szCs w:val="16"/>
                <w:lang w:val="hr-HR"/>
              </w:rPr>
              <w:t>Ostale nespomenute neopozive potencijalne obveze</w:t>
            </w:r>
          </w:p>
        </w:tc>
        <w:tc>
          <w:tcPr>
            <w:tcW w:w="565" w:type="pct"/>
            <w:tcBorders>
              <w:top w:val="nil"/>
              <w:left w:val="nil"/>
              <w:bottom w:val="single" w:sz="8" w:space="0" w:color="auto"/>
              <w:right w:val="nil"/>
            </w:tcBorders>
            <w:shd w:val="clear" w:color="auto" w:fill="auto"/>
            <w:vAlign w:val="bottom"/>
          </w:tcPr>
          <w:p w14:paraId="1590B13A" w14:textId="5A2905B9" w:rsidR="00FE0B1B" w:rsidRPr="00CF2A73" w:rsidRDefault="00FE0B1B" w:rsidP="00FE0B1B">
            <w:pPr>
              <w:tabs>
                <w:tab w:val="right" w:pos="1202"/>
              </w:tabs>
              <w:spacing w:after="0" w:line="301" w:lineRule="exact"/>
              <w:jc w:val="right"/>
              <w:outlineLvl w:val="0"/>
              <w:rPr>
                <w:rFonts w:ascii="Calibri" w:eastAsia="Times New Roman" w:hAnsi="Calibri" w:cs="Arial"/>
                <w:sz w:val="18"/>
                <w:szCs w:val="18"/>
                <w:lang w:val="en-GB"/>
              </w:rPr>
            </w:pPr>
            <w:r w:rsidRPr="00AB3986">
              <w:rPr>
                <w:rFonts w:ascii="Calibri" w:eastAsia="Times New Roman" w:hAnsi="Calibri" w:cs="Arial"/>
                <w:sz w:val="18"/>
                <w:szCs w:val="18"/>
                <w:lang w:val="en-GB"/>
              </w:rPr>
              <w:t>335</w:t>
            </w:r>
          </w:p>
        </w:tc>
        <w:tc>
          <w:tcPr>
            <w:tcW w:w="486" w:type="pct"/>
            <w:tcBorders>
              <w:top w:val="nil"/>
              <w:left w:val="nil"/>
              <w:bottom w:val="single" w:sz="8" w:space="0" w:color="auto"/>
              <w:right w:val="nil"/>
            </w:tcBorders>
            <w:shd w:val="clear" w:color="auto" w:fill="auto"/>
            <w:vAlign w:val="bottom"/>
          </w:tcPr>
          <w:p w14:paraId="6AEBC8FF" w14:textId="4F301340" w:rsidR="00FE0B1B" w:rsidRPr="00CF2A73" w:rsidRDefault="00FE0B1B" w:rsidP="00FE0B1B">
            <w:pPr>
              <w:tabs>
                <w:tab w:val="right" w:pos="1202"/>
              </w:tabs>
              <w:spacing w:after="0" w:line="301" w:lineRule="exact"/>
              <w:jc w:val="right"/>
              <w:outlineLvl w:val="0"/>
              <w:rPr>
                <w:rFonts w:ascii="Calibri" w:eastAsia="Times New Roman" w:hAnsi="Calibri" w:cs="Arial"/>
                <w:sz w:val="18"/>
                <w:szCs w:val="18"/>
                <w:lang w:val="en-GB"/>
              </w:rPr>
            </w:pPr>
            <w:r w:rsidRPr="00AB3986">
              <w:rPr>
                <w:rFonts w:ascii="Calibri" w:eastAsia="Times New Roman" w:hAnsi="Calibri" w:cs="Arial"/>
                <w:sz w:val="18"/>
                <w:szCs w:val="18"/>
                <w:lang w:val="en-GB"/>
              </w:rPr>
              <w:t>-</w:t>
            </w:r>
          </w:p>
        </w:tc>
        <w:tc>
          <w:tcPr>
            <w:tcW w:w="486" w:type="pct"/>
            <w:tcBorders>
              <w:top w:val="nil"/>
              <w:left w:val="nil"/>
              <w:bottom w:val="single" w:sz="8" w:space="0" w:color="auto"/>
              <w:right w:val="nil"/>
            </w:tcBorders>
            <w:shd w:val="clear" w:color="auto" w:fill="auto"/>
            <w:vAlign w:val="bottom"/>
          </w:tcPr>
          <w:p w14:paraId="728AD10D" w14:textId="21302018" w:rsidR="00FE0B1B" w:rsidRPr="00CF2A73" w:rsidRDefault="00FE0B1B" w:rsidP="00FE0B1B">
            <w:pPr>
              <w:tabs>
                <w:tab w:val="right" w:pos="1202"/>
              </w:tabs>
              <w:spacing w:after="0" w:line="301" w:lineRule="exact"/>
              <w:jc w:val="right"/>
              <w:outlineLvl w:val="0"/>
              <w:rPr>
                <w:rFonts w:ascii="Calibri" w:eastAsia="Times New Roman" w:hAnsi="Calibri" w:cs="Arial"/>
                <w:sz w:val="18"/>
                <w:szCs w:val="18"/>
                <w:lang w:val="en-GB"/>
              </w:rPr>
            </w:pPr>
            <w:r w:rsidRPr="00AB3986">
              <w:rPr>
                <w:rFonts w:ascii="Calibri" w:eastAsia="Times New Roman" w:hAnsi="Calibri" w:cs="Arial"/>
                <w:sz w:val="18"/>
                <w:szCs w:val="18"/>
                <w:lang w:val="en-GB"/>
              </w:rPr>
              <w:t>-</w:t>
            </w:r>
          </w:p>
        </w:tc>
        <w:tc>
          <w:tcPr>
            <w:tcW w:w="554" w:type="pct"/>
            <w:tcBorders>
              <w:top w:val="nil"/>
              <w:left w:val="nil"/>
              <w:bottom w:val="single" w:sz="8" w:space="0" w:color="auto"/>
              <w:right w:val="nil"/>
            </w:tcBorders>
            <w:shd w:val="clear" w:color="auto" w:fill="auto"/>
            <w:vAlign w:val="bottom"/>
          </w:tcPr>
          <w:p w14:paraId="5282C7A6" w14:textId="4E4C0A51" w:rsidR="00FE0B1B" w:rsidRPr="00CF2A73" w:rsidRDefault="00FE0B1B" w:rsidP="00FE0B1B">
            <w:pPr>
              <w:tabs>
                <w:tab w:val="right" w:pos="1202"/>
              </w:tabs>
              <w:spacing w:after="0" w:line="301" w:lineRule="exact"/>
              <w:jc w:val="right"/>
              <w:outlineLvl w:val="0"/>
              <w:rPr>
                <w:rFonts w:ascii="Calibri" w:eastAsia="Times New Roman" w:hAnsi="Calibri" w:cs="Arial"/>
                <w:sz w:val="18"/>
                <w:szCs w:val="18"/>
                <w:lang w:val="en-GB"/>
              </w:rPr>
            </w:pPr>
            <w:r w:rsidRPr="00AB3986">
              <w:rPr>
                <w:rFonts w:ascii="Calibri" w:eastAsia="Times New Roman" w:hAnsi="Calibri" w:cs="Arial"/>
                <w:sz w:val="18"/>
                <w:szCs w:val="18"/>
                <w:lang w:val="en-GB"/>
              </w:rPr>
              <w:t>335</w:t>
            </w:r>
          </w:p>
        </w:tc>
        <w:tc>
          <w:tcPr>
            <w:tcW w:w="486" w:type="pct"/>
            <w:tcBorders>
              <w:top w:val="nil"/>
              <w:left w:val="nil"/>
              <w:bottom w:val="single" w:sz="8" w:space="0" w:color="auto"/>
              <w:right w:val="nil"/>
            </w:tcBorders>
            <w:shd w:val="clear" w:color="auto" w:fill="auto"/>
            <w:vAlign w:val="bottom"/>
          </w:tcPr>
          <w:p w14:paraId="7E3202BE" w14:textId="5634AED9" w:rsidR="00FE0B1B" w:rsidRPr="00CF2A73" w:rsidRDefault="00FE0B1B" w:rsidP="00FE0B1B">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335</w:t>
            </w:r>
          </w:p>
        </w:tc>
        <w:tc>
          <w:tcPr>
            <w:tcW w:w="485" w:type="pct"/>
            <w:tcBorders>
              <w:top w:val="nil"/>
              <w:left w:val="nil"/>
              <w:bottom w:val="single" w:sz="8" w:space="0" w:color="auto"/>
              <w:right w:val="nil"/>
            </w:tcBorders>
            <w:shd w:val="clear" w:color="auto" w:fill="auto"/>
            <w:vAlign w:val="bottom"/>
          </w:tcPr>
          <w:p w14:paraId="5FA03240" w14:textId="1FACD686" w:rsidR="00FE0B1B" w:rsidRPr="00CF2A73" w:rsidRDefault="00FE0B1B" w:rsidP="00FE0B1B">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w:t>
            </w:r>
          </w:p>
        </w:tc>
        <w:tc>
          <w:tcPr>
            <w:tcW w:w="485" w:type="pct"/>
            <w:tcBorders>
              <w:top w:val="nil"/>
              <w:left w:val="nil"/>
              <w:bottom w:val="single" w:sz="8" w:space="0" w:color="auto"/>
              <w:right w:val="nil"/>
            </w:tcBorders>
            <w:shd w:val="clear" w:color="auto" w:fill="auto"/>
            <w:vAlign w:val="bottom"/>
          </w:tcPr>
          <w:p w14:paraId="1FB4AB93" w14:textId="7A8DADF6" w:rsidR="00FE0B1B" w:rsidRPr="00CF2A73" w:rsidRDefault="00FE0B1B" w:rsidP="00FE0B1B">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w:t>
            </w:r>
          </w:p>
        </w:tc>
        <w:tc>
          <w:tcPr>
            <w:tcW w:w="485" w:type="pct"/>
            <w:tcBorders>
              <w:top w:val="nil"/>
              <w:left w:val="nil"/>
              <w:bottom w:val="single" w:sz="8" w:space="0" w:color="auto"/>
              <w:right w:val="nil"/>
            </w:tcBorders>
            <w:shd w:val="clear" w:color="auto" w:fill="auto"/>
            <w:vAlign w:val="bottom"/>
          </w:tcPr>
          <w:p w14:paraId="7126F693" w14:textId="2857B380" w:rsidR="00FE0B1B" w:rsidRPr="00CF2A73" w:rsidRDefault="00FE0B1B" w:rsidP="00FE0B1B">
            <w:pPr>
              <w:tabs>
                <w:tab w:val="right" w:pos="1202"/>
              </w:tabs>
              <w:spacing w:after="0" w:line="301" w:lineRule="exact"/>
              <w:jc w:val="right"/>
              <w:outlineLvl w:val="0"/>
              <w:rPr>
                <w:rFonts w:ascii="Calibri" w:eastAsia="Times New Roman" w:hAnsi="Calibri" w:cs="Arial"/>
                <w:sz w:val="18"/>
                <w:szCs w:val="18"/>
                <w:lang w:val="en-GB"/>
              </w:rPr>
            </w:pPr>
            <w:r w:rsidRPr="00312975">
              <w:rPr>
                <w:rFonts w:ascii="Calibri" w:eastAsia="Times New Roman" w:hAnsi="Calibri" w:cs="Arial"/>
                <w:sz w:val="18"/>
                <w:szCs w:val="18"/>
                <w:lang w:val="en-GB"/>
              </w:rPr>
              <w:t>335</w:t>
            </w:r>
          </w:p>
        </w:tc>
      </w:tr>
      <w:tr w:rsidR="005B1E80" w:rsidRPr="005A607D" w14:paraId="22195EDD" w14:textId="77777777" w:rsidTr="00312975">
        <w:trPr>
          <w:trHeight w:val="207"/>
          <w:jc w:val="center"/>
        </w:trPr>
        <w:tc>
          <w:tcPr>
            <w:tcW w:w="968" w:type="pct"/>
          </w:tcPr>
          <w:p w14:paraId="4B6827BC" w14:textId="77777777" w:rsidR="005B1E80" w:rsidRPr="00CF2A73" w:rsidRDefault="005B1E80" w:rsidP="005B1E80">
            <w:pPr>
              <w:pStyle w:val="Tot"/>
              <w:spacing w:line="220" w:lineRule="exact"/>
              <w:rPr>
                <w:rFonts w:asciiTheme="minorHAnsi" w:hAnsiTheme="minorHAnsi" w:cs="Arial"/>
                <w:b/>
                <w:bCs/>
                <w:sz w:val="16"/>
                <w:szCs w:val="16"/>
                <w:lang w:val="hr-HR"/>
              </w:rPr>
            </w:pPr>
            <w:r w:rsidRPr="00CF2A73">
              <w:rPr>
                <w:rFonts w:asciiTheme="minorHAnsi" w:hAnsiTheme="minorHAnsi" w:cs="Arial"/>
                <w:b/>
                <w:bCs/>
                <w:sz w:val="16"/>
                <w:szCs w:val="16"/>
                <w:lang w:val="hr-HR"/>
              </w:rPr>
              <w:t>Ukupno</w:t>
            </w:r>
          </w:p>
        </w:tc>
        <w:tc>
          <w:tcPr>
            <w:tcW w:w="565" w:type="pct"/>
            <w:tcBorders>
              <w:top w:val="nil"/>
              <w:left w:val="nil"/>
              <w:bottom w:val="single" w:sz="12" w:space="0" w:color="auto"/>
              <w:right w:val="nil"/>
            </w:tcBorders>
            <w:shd w:val="clear" w:color="auto" w:fill="auto"/>
            <w:vAlign w:val="center"/>
          </w:tcPr>
          <w:p w14:paraId="75C92299" w14:textId="478DF62A" w:rsidR="005B1E80" w:rsidRPr="00DC658B" w:rsidRDefault="005B1E80" w:rsidP="005B1E80">
            <w:pPr>
              <w:tabs>
                <w:tab w:val="right" w:pos="1202"/>
              </w:tabs>
              <w:spacing w:after="0" w:line="301" w:lineRule="exact"/>
              <w:jc w:val="right"/>
              <w:outlineLvl w:val="0"/>
              <w:rPr>
                <w:rFonts w:ascii="Calibri" w:eastAsia="Times New Roman" w:hAnsi="Calibri" w:cs="Arial"/>
                <w:b/>
                <w:sz w:val="18"/>
                <w:szCs w:val="18"/>
                <w:lang w:val="en-GB"/>
              </w:rPr>
            </w:pPr>
            <w:r w:rsidRPr="00312975">
              <w:rPr>
                <w:rFonts w:ascii="Calibri" w:eastAsia="Times New Roman" w:hAnsi="Calibri" w:cs="Arial"/>
                <w:b/>
                <w:sz w:val="18"/>
                <w:szCs w:val="18"/>
                <w:lang w:val="en-GB"/>
              </w:rPr>
              <w:t>5.449.042</w:t>
            </w:r>
          </w:p>
        </w:tc>
        <w:tc>
          <w:tcPr>
            <w:tcW w:w="486" w:type="pct"/>
            <w:tcBorders>
              <w:top w:val="nil"/>
              <w:left w:val="nil"/>
              <w:bottom w:val="single" w:sz="12" w:space="0" w:color="auto"/>
              <w:right w:val="nil"/>
            </w:tcBorders>
            <w:shd w:val="clear" w:color="auto" w:fill="auto"/>
            <w:vAlign w:val="center"/>
          </w:tcPr>
          <w:p w14:paraId="4041367A" w14:textId="2C2979BB" w:rsidR="005B1E80" w:rsidRPr="00DC658B" w:rsidRDefault="005B1E80">
            <w:pPr>
              <w:tabs>
                <w:tab w:val="right" w:pos="1202"/>
              </w:tabs>
              <w:spacing w:after="0" w:line="301" w:lineRule="exact"/>
              <w:jc w:val="right"/>
              <w:outlineLvl w:val="0"/>
              <w:rPr>
                <w:rFonts w:ascii="Calibri" w:eastAsia="Times New Roman" w:hAnsi="Calibri" w:cs="Arial"/>
                <w:b/>
                <w:sz w:val="18"/>
                <w:szCs w:val="18"/>
                <w:lang w:val="en-GB"/>
              </w:rPr>
            </w:pPr>
            <w:r w:rsidRPr="00312975">
              <w:rPr>
                <w:rFonts w:ascii="Calibri" w:eastAsia="Times New Roman" w:hAnsi="Calibri" w:cs="Arial"/>
                <w:b/>
                <w:sz w:val="18"/>
                <w:szCs w:val="18"/>
                <w:lang w:val="en-GB"/>
              </w:rPr>
              <w:t>25.492</w:t>
            </w:r>
          </w:p>
        </w:tc>
        <w:tc>
          <w:tcPr>
            <w:tcW w:w="486" w:type="pct"/>
            <w:tcBorders>
              <w:top w:val="single" w:sz="6" w:space="0" w:color="auto"/>
              <w:bottom w:val="single" w:sz="12" w:space="0" w:color="auto"/>
            </w:tcBorders>
            <w:shd w:val="clear" w:color="auto" w:fill="auto"/>
          </w:tcPr>
          <w:p w14:paraId="20D3B991" w14:textId="4E2FD7EB" w:rsidR="005B1E80" w:rsidRPr="00DC658B" w:rsidRDefault="005B1E80" w:rsidP="005B1E80">
            <w:pPr>
              <w:tabs>
                <w:tab w:val="right" w:pos="1202"/>
              </w:tabs>
              <w:spacing w:after="0" w:line="301" w:lineRule="exact"/>
              <w:jc w:val="right"/>
              <w:outlineLvl w:val="0"/>
              <w:rPr>
                <w:rFonts w:ascii="Calibri" w:eastAsia="Times New Roman" w:hAnsi="Calibri" w:cs="Arial"/>
                <w:b/>
                <w:sz w:val="18"/>
                <w:szCs w:val="18"/>
                <w:lang w:val="en-GB"/>
              </w:rPr>
            </w:pPr>
            <w:r w:rsidRPr="00DC658B">
              <w:rPr>
                <w:rFonts w:eastAsia="Times New Roman" w:cs="Arial"/>
                <w:b/>
                <w:sz w:val="18"/>
                <w:szCs w:val="18"/>
              </w:rPr>
              <w:t>-</w:t>
            </w:r>
          </w:p>
        </w:tc>
        <w:tc>
          <w:tcPr>
            <w:tcW w:w="554" w:type="pct"/>
            <w:tcBorders>
              <w:top w:val="nil"/>
              <w:left w:val="nil"/>
              <w:bottom w:val="single" w:sz="12" w:space="0" w:color="auto"/>
              <w:right w:val="nil"/>
            </w:tcBorders>
            <w:shd w:val="clear" w:color="auto" w:fill="auto"/>
            <w:vAlign w:val="center"/>
          </w:tcPr>
          <w:p w14:paraId="7582C1F2" w14:textId="1C7B3C2C" w:rsidR="005B1E80" w:rsidRPr="00DC658B" w:rsidRDefault="005B1E80" w:rsidP="005B1E80">
            <w:pPr>
              <w:tabs>
                <w:tab w:val="right" w:pos="1202"/>
              </w:tabs>
              <w:spacing w:after="0" w:line="301" w:lineRule="exact"/>
              <w:jc w:val="right"/>
              <w:outlineLvl w:val="0"/>
              <w:rPr>
                <w:rFonts w:ascii="Calibri" w:eastAsia="Times New Roman" w:hAnsi="Calibri" w:cs="Arial"/>
                <w:b/>
                <w:sz w:val="18"/>
                <w:szCs w:val="18"/>
                <w:lang w:val="en-GB"/>
              </w:rPr>
            </w:pPr>
            <w:r w:rsidRPr="00312975">
              <w:rPr>
                <w:rFonts w:ascii="Calibri" w:eastAsia="Times New Roman" w:hAnsi="Calibri" w:cs="Arial"/>
                <w:b/>
                <w:sz w:val="18"/>
                <w:szCs w:val="18"/>
                <w:lang w:val="en-GB"/>
              </w:rPr>
              <w:t>5.474.534</w:t>
            </w:r>
          </w:p>
        </w:tc>
        <w:tc>
          <w:tcPr>
            <w:tcW w:w="486" w:type="pct"/>
            <w:tcBorders>
              <w:top w:val="nil"/>
              <w:left w:val="nil"/>
              <w:bottom w:val="single" w:sz="12" w:space="0" w:color="auto"/>
              <w:right w:val="nil"/>
            </w:tcBorders>
            <w:shd w:val="clear" w:color="auto" w:fill="auto"/>
            <w:vAlign w:val="center"/>
          </w:tcPr>
          <w:p w14:paraId="34574BB0" w14:textId="3EC029BE" w:rsidR="005B1E80" w:rsidRPr="00312975" w:rsidRDefault="00FE0B1B" w:rsidP="005B1E80">
            <w:pPr>
              <w:tabs>
                <w:tab w:val="right" w:pos="1202"/>
              </w:tabs>
              <w:spacing w:after="0" w:line="301" w:lineRule="exact"/>
              <w:jc w:val="right"/>
              <w:outlineLvl w:val="0"/>
              <w:rPr>
                <w:rFonts w:ascii="Calibri" w:eastAsia="Times New Roman" w:hAnsi="Calibri" w:cs="Arial"/>
                <w:b/>
                <w:sz w:val="18"/>
                <w:szCs w:val="18"/>
                <w:lang w:val="en-US"/>
              </w:rPr>
            </w:pPr>
            <w:r>
              <w:rPr>
                <w:rFonts w:ascii="Calibri" w:eastAsia="Times New Roman" w:hAnsi="Calibri" w:cs="Arial"/>
                <w:b/>
                <w:sz w:val="18"/>
                <w:szCs w:val="18"/>
                <w:lang w:val="en-US"/>
              </w:rPr>
              <w:t>790.657</w:t>
            </w:r>
          </w:p>
        </w:tc>
        <w:tc>
          <w:tcPr>
            <w:tcW w:w="485" w:type="pct"/>
            <w:tcBorders>
              <w:top w:val="nil"/>
              <w:left w:val="nil"/>
              <w:bottom w:val="single" w:sz="12" w:space="0" w:color="auto"/>
              <w:right w:val="nil"/>
            </w:tcBorders>
            <w:shd w:val="clear" w:color="auto" w:fill="auto"/>
            <w:vAlign w:val="center"/>
          </w:tcPr>
          <w:p w14:paraId="13FF72A3" w14:textId="562003D8" w:rsidR="005B1E80" w:rsidRPr="00312975" w:rsidRDefault="005B1E80" w:rsidP="005B1E80">
            <w:pPr>
              <w:tabs>
                <w:tab w:val="right" w:pos="1202"/>
              </w:tabs>
              <w:spacing w:after="0" w:line="301" w:lineRule="exact"/>
              <w:jc w:val="right"/>
              <w:outlineLvl w:val="0"/>
              <w:rPr>
                <w:rFonts w:ascii="Calibri" w:eastAsia="Times New Roman" w:hAnsi="Calibri" w:cs="Arial"/>
                <w:b/>
                <w:sz w:val="18"/>
                <w:szCs w:val="18"/>
                <w:lang w:val="en-US"/>
              </w:rPr>
            </w:pPr>
            <w:r w:rsidRPr="00312975">
              <w:rPr>
                <w:rFonts w:ascii="Calibri" w:eastAsia="Times New Roman" w:hAnsi="Calibri" w:cs="Arial"/>
                <w:b/>
                <w:sz w:val="18"/>
                <w:szCs w:val="18"/>
                <w:lang w:val="en-US"/>
              </w:rPr>
              <w:t>-</w:t>
            </w:r>
          </w:p>
        </w:tc>
        <w:tc>
          <w:tcPr>
            <w:tcW w:w="485" w:type="pct"/>
            <w:tcBorders>
              <w:top w:val="nil"/>
              <w:left w:val="nil"/>
              <w:bottom w:val="single" w:sz="12" w:space="0" w:color="auto"/>
              <w:right w:val="nil"/>
            </w:tcBorders>
            <w:shd w:val="clear" w:color="auto" w:fill="auto"/>
            <w:vAlign w:val="center"/>
          </w:tcPr>
          <w:p w14:paraId="49DD8692" w14:textId="2FA815F1" w:rsidR="005B1E80" w:rsidRPr="00312975" w:rsidRDefault="005B1E80" w:rsidP="005B1E80">
            <w:pPr>
              <w:tabs>
                <w:tab w:val="right" w:pos="1202"/>
              </w:tabs>
              <w:spacing w:after="0" w:line="301" w:lineRule="exact"/>
              <w:jc w:val="right"/>
              <w:outlineLvl w:val="0"/>
              <w:rPr>
                <w:rFonts w:ascii="Calibri" w:eastAsia="Times New Roman" w:hAnsi="Calibri" w:cs="Arial"/>
                <w:b/>
                <w:sz w:val="18"/>
                <w:szCs w:val="18"/>
                <w:lang w:val="en-US"/>
              </w:rPr>
            </w:pPr>
            <w:r w:rsidRPr="00312975">
              <w:rPr>
                <w:rFonts w:ascii="Calibri" w:eastAsia="Times New Roman" w:hAnsi="Calibri" w:cs="Arial"/>
                <w:b/>
                <w:sz w:val="18"/>
                <w:szCs w:val="18"/>
                <w:lang w:val="en-US"/>
              </w:rPr>
              <w:t>-</w:t>
            </w:r>
          </w:p>
        </w:tc>
        <w:tc>
          <w:tcPr>
            <w:tcW w:w="485" w:type="pct"/>
            <w:tcBorders>
              <w:top w:val="nil"/>
              <w:left w:val="nil"/>
              <w:bottom w:val="single" w:sz="12" w:space="0" w:color="auto"/>
              <w:right w:val="nil"/>
            </w:tcBorders>
            <w:shd w:val="clear" w:color="auto" w:fill="auto"/>
            <w:vAlign w:val="center"/>
          </w:tcPr>
          <w:p w14:paraId="52806116" w14:textId="5E5E844F" w:rsidR="005B1E80" w:rsidRPr="00312975" w:rsidRDefault="00FE0B1B">
            <w:pPr>
              <w:tabs>
                <w:tab w:val="right" w:pos="1202"/>
              </w:tabs>
              <w:spacing w:after="0" w:line="301" w:lineRule="exact"/>
              <w:jc w:val="right"/>
              <w:outlineLvl w:val="0"/>
              <w:rPr>
                <w:rFonts w:ascii="Calibri" w:eastAsia="Times New Roman" w:hAnsi="Calibri" w:cs="Arial"/>
                <w:b/>
                <w:sz w:val="18"/>
                <w:szCs w:val="18"/>
                <w:lang w:val="en-US"/>
              </w:rPr>
            </w:pPr>
            <w:r>
              <w:rPr>
                <w:rFonts w:ascii="Calibri" w:eastAsia="Times New Roman" w:hAnsi="Calibri" w:cs="Arial"/>
                <w:b/>
                <w:sz w:val="18"/>
                <w:szCs w:val="18"/>
                <w:lang w:val="en-US"/>
              </w:rPr>
              <w:t>790.657</w:t>
            </w:r>
          </w:p>
        </w:tc>
      </w:tr>
      <w:tr w:rsidR="005B1E80" w:rsidRPr="005A607D" w14:paraId="40CB35FA" w14:textId="77777777" w:rsidTr="00312975">
        <w:trPr>
          <w:trHeight w:val="405"/>
          <w:jc w:val="center"/>
        </w:trPr>
        <w:tc>
          <w:tcPr>
            <w:tcW w:w="968" w:type="pct"/>
            <w:vAlign w:val="center"/>
          </w:tcPr>
          <w:p w14:paraId="4258FDE8" w14:textId="77777777" w:rsidR="005B1E80" w:rsidRPr="00CF2A73" w:rsidRDefault="005B1E80" w:rsidP="005B1E80">
            <w:pPr>
              <w:pStyle w:val="Tot"/>
              <w:spacing w:line="220" w:lineRule="exact"/>
              <w:rPr>
                <w:rFonts w:asciiTheme="minorHAnsi" w:hAnsiTheme="minorHAnsi" w:cs="Arial"/>
                <w:b/>
                <w:bCs/>
                <w:sz w:val="16"/>
                <w:szCs w:val="16"/>
                <w:lang w:val="hr-HR"/>
              </w:rPr>
            </w:pPr>
            <w:r w:rsidRPr="00CF2A73">
              <w:rPr>
                <w:rFonts w:asciiTheme="minorHAnsi" w:hAnsiTheme="minorHAnsi" w:cs="Arial"/>
                <w:b/>
                <w:bCs/>
                <w:sz w:val="16"/>
                <w:szCs w:val="16"/>
                <w:lang w:val="hr-HR"/>
              </w:rPr>
              <w:t>Ukupna izloženost kreditnom riziku</w:t>
            </w:r>
          </w:p>
        </w:tc>
        <w:tc>
          <w:tcPr>
            <w:tcW w:w="565" w:type="pct"/>
            <w:tcBorders>
              <w:top w:val="nil"/>
              <w:left w:val="nil"/>
              <w:bottom w:val="single" w:sz="12" w:space="0" w:color="auto"/>
              <w:right w:val="nil"/>
            </w:tcBorders>
            <w:shd w:val="clear" w:color="auto" w:fill="auto"/>
            <w:vAlign w:val="bottom"/>
          </w:tcPr>
          <w:p w14:paraId="6B117AE8" w14:textId="6B06A8A8" w:rsidR="005B1E80" w:rsidRPr="00312975" w:rsidRDefault="005B1E80" w:rsidP="005B1E80">
            <w:pPr>
              <w:tabs>
                <w:tab w:val="right" w:pos="1202"/>
              </w:tabs>
              <w:spacing w:after="0" w:line="301" w:lineRule="exact"/>
              <w:jc w:val="right"/>
              <w:outlineLvl w:val="0"/>
              <w:rPr>
                <w:rFonts w:ascii="Calibri" w:eastAsia="Times New Roman" w:hAnsi="Calibri" w:cs="Arial"/>
                <w:b/>
                <w:sz w:val="18"/>
                <w:szCs w:val="18"/>
                <w:lang w:val="en-GB"/>
              </w:rPr>
            </w:pPr>
            <w:r w:rsidRPr="00312975">
              <w:rPr>
                <w:rFonts w:ascii="Calibri" w:eastAsia="Times New Roman" w:hAnsi="Calibri" w:cs="Arial"/>
                <w:b/>
                <w:sz w:val="18"/>
                <w:szCs w:val="18"/>
                <w:lang w:val="en-GB"/>
              </w:rPr>
              <w:t>31.410.024</w:t>
            </w:r>
          </w:p>
        </w:tc>
        <w:tc>
          <w:tcPr>
            <w:tcW w:w="486" w:type="pct"/>
            <w:tcBorders>
              <w:top w:val="nil"/>
              <w:left w:val="nil"/>
              <w:bottom w:val="single" w:sz="12" w:space="0" w:color="auto"/>
              <w:right w:val="nil"/>
            </w:tcBorders>
            <w:shd w:val="clear" w:color="auto" w:fill="auto"/>
            <w:vAlign w:val="bottom"/>
          </w:tcPr>
          <w:p w14:paraId="18A4F704" w14:textId="79812CB0" w:rsidR="005B1E80" w:rsidRPr="00312975" w:rsidRDefault="005B1E80">
            <w:pPr>
              <w:tabs>
                <w:tab w:val="right" w:pos="1202"/>
              </w:tabs>
              <w:spacing w:after="0" w:line="301" w:lineRule="exact"/>
              <w:jc w:val="right"/>
              <w:outlineLvl w:val="0"/>
              <w:rPr>
                <w:rFonts w:ascii="Calibri" w:eastAsia="Times New Roman" w:hAnsi="Calibri" w:cs="Arial"/>
                <w:b/>
                <w:sz w:val="18"/>
                <w:szCs w:val="18"/>
                <w:lang w:val="en-GB"/>
              </w:rPr>
            </w:pPr>
            <w:r w:rsidRPr="00312975">
              <w:rPr>
                <w:rFonts w:ascii="Calibri" w:eastAsia="Times New Roman" w:hAnsi="Calibri" w:cs="Arial"/>
                <w:b/>
                <w:sz w:val="18"/>
                <w:szCs w:val="18"/>
                <w:lang w:val="en-GB"/>
              </w:rPr>
              <w:t>1.775.578</w:t>
            </w:r>
          </w:p>
        </w:tc>
        <w:tc>
          <w:tcPr>
            <w:tcW w:w="486" w:type="pct"/>
            <w:tcBorders>
              <w:top w:val="single" w:sz="12" w:space="0" w:color="auto"/>
              <w:bottom w:val="single" w:sz="12" w:space="0" w:color="auto"/>
            </w:tcBorders>
            <w:shd w:val="clear" w:color="auto" w:fill="auto"/>
            <w:vAlign w:val="bottom"/>
          </w:tcPr>
          <w:p w14:paraId="0BA51B1D" w14:textId="6B9C5F49" w:rsidR="005B1E80" w:rsidRPr="005B1E80" w:rsidRDefault="005B1E80" w:rsidP="005B1E80">
            <w:pPr>
              <w:tabs>
                <w:tab w:val="right" w:pos="1202"/>
              </w:tabs>
              <w:spacing w:after="0" w:line="301" w:lineRule="exact"/>
              <w:jc w:val="right"/>
              <w:outlineLvl w:val="0"/>
              <w:rPr>
                <w:rFonts w:ascii="Calibri" w:hAnsi="Calibri" w:cs="Arial"/>
                <w:b/>
                <w:sz w:val="18"/>
                <w:szCs w:val="18"/>
                <w:lang w:val="en-GB"/>
              </w:rPr>
            </w:pPr>
            <w:r w:rsidRPr="005B1E80">
              <w:rPr>
                <w:rFonts w:eastAsia="Times New Roman" w:cs="Arial"/>
                <w:b/>
                <w:sz w:val="18"/>
                <w:szCs w:val="18"/>
              </w:rPr>
              <w:t>-</w:t>
            </w:r>
          </w:p>
        </w:tc>
        <w:tc>
          <w:tcPr>
            <w:tcW w:w="554" w:type="pct"/>
            <w:tcBorders>
              <w:top w:val="nil"/>
              <w:left w:val="nil"/>
              <w:bottom w:val="single" w:sz="12" w:space="0" w:color="auto"/>
              <w:right w:val="nil"/>
            </w:tcBorders>
            <w:shd w:val="clear" w:color="auto" w:fill="auto"/>
            <w:vAlign w:val="bottom"/>
          </w:tcPr>
          <w:p w14:paraId="580DE606" w14:textId="69005D64" w:rsidR="005B1E80" w:rsidRPr="00312975" w:rsidRDefault="005B1E80" w:rsidP="005B1E80">
            <w:pPr>
              <w:tabs>
                <w:tab w:val="right" w:pos="1202"/>
              </w:tabs>
              <w:spacing w:after="0" w:line="301" w:lineRule="exact"/>
              <w:jc w:val="right"/>
              <w:outlineLvl w:val="0"/>
              <w:rPr>
                <w:rFonts w:ascii="Calibri" w:eastAsia="Times New Roman" w:hAnsi="Calibri" w:cs="Arial"/>
                <w:b/>
                <w:sz w:val="18"/>
                <w:szCs w:val="18"/>
                <w:lang w:val="en-GB"/>
              </w:rPr>
            </w:pPr>
            <w:r w:rsidRPr="00312975">
              <w:rPr>
                <w:rFonts w:ascii="Calibri" w:eastAsia="Times New Roman" w:hAnsi="Calibri" w:cs="Arial"/>
                <w:b/>
                <w:sz w:val="18"/>
                <w:szCs w:val="18"/>
                <w:lang w:val="en-GB"/>
              </w:rPr>
              <w:t>33.185.602</w:t>
            </w:r>
          </w:p>
        </w:tc>
        <w:tc>
          <w:tcPr>
            <w:tcW w:w="486" w:type="pct"/>
            <w:tcBorders>
              <w:top w:val="nil"/>
              <w:left w:val="nil"/>
              <w:bottom w:val="single" w:sz="12" w:space="0" w:color="auto"/>
              <w:right w:val="nil"/>
            </w:tcBorders>
            <w:shd w:val="clear" w:color="auto" w:fill="auto"/>
            <w:vAlign w:val="bottom"/>
          </w:tcPr>
          <w:p w14:paraId="283E60C1" w14:textId="4E0BB87E" w:rsidR="005B1E80" w:rsidRPr="00312975" w:rsidRDefault="00FE0B1B" w:rsidP="005B1E80">
            <w:pPr>
              <w:tabs>
                <w:tab w:val="right" w:pos="1202"/>
              </w:tabs>
              <w:spacing w:after="0" w:line="301" w:lineRule="exact"/>
              <w:jc w:val="right"/>
              <w:outlineLvl w:val="0"/>
              <w:rPr>
                <w:rFonts w:ascii="Calibri" w:eastAsia="Times New Roman" w:hAnsi="Calibri" w:cs="Arial"/>
                <w:b/>
                <w:sz w:val="18"/>
                <w:szCs w:val="18"/>
                <w:lang w:val="en-US"/>
              </w:rPr>
            </w:pPr>
            <w:r>
              <w:rPr>
                <w:rFonts w:ascii="Calibri" w:eastAsia="Times New Roman" w:hAnsi="Calibri" w:cs="Arial"/>
                <w:b/>
                <w:sz w:val="18"/>
                <w:szCs w:val="18"/>
                <w:lang w:val="en-US"/>
              </w:rPr>
              <w:t>5.618.689</w:t>
            </w:r>
          </w:p>
        </w:tc>
        <w:tc>
          <w:tcPr>
            <w:tcW w:w="485" w:type="pct"/>
            <w:tcBorders>
              <w:top w:val="nil"/>
              <w:left w:val="nil"/>
              <w:bottom w:val="single" w:sz="12" w:space="0" w:color="auto"/>
              <w:right w:val="nil"/>
            </w:tcBorders>
            <w:shd w:val="clear" w:color="auto" w:fill="auto"/>
            <w:vAlign w:val="bottom"/>
          </w:tcPr>
          <w:p w14:paraId="7C128727" w14:textId="32B19A95" w:rsidR="005B1E80" w:rsidRPr="00312975" w:rsidRDefault="005B1E80">
            <w:pPr>
              <w:tabs>
                <w:tab w:val="right" w:pos="1202"/>
              </w:tabs>
              <w:spacing w:after="0" w:line="301" w:lineRule="exact"/>
              <w:jc w:val="right"/>
              <w:outlineLvl w:val="0"/>
              <w:rPr>
                <w:rFonts w:ascii="Calibri" w:eastAsia="Times New Roman" w:hAnsi="Calibri" w:cs="Arial"/>
                <w:b/>
                <w:sz w:val="18"/>
                <w:szCs w:val="18"/>
                <w:lang w:val="en-US"/>
              </w:rPr>
            </w:pPr>
            <w:r w:rsidRPr="00312975">
              <w:rPr>
                <w:rFonts w:ascii="Calibri" w:eastAsia="Times New Roman" w:hAnsi="Calibri" w:cs="Arial"/>
                <w:b/>
                <w:sz w:val="18"/>
                <w:szCs w:val="18"/>
                <w:lang w:val="en-US"/>
              </w:rPr>
              <w:t>24.09</w:t>
            </w:r>
            <w:r w:rsidR="00FE0B1B">
              <w:rPr>
                <w:rFonts w:ascii="Calibri" w:eastAsia="Times New Roman" w:hAnsi="Calibri" w:cs="Arial"/>
                <w:b/>
                <w:sz w:val="18"/>
                <w:szCs w:val="18"/>
                <w:lang w:val="en-US"/>
              </w:rPr>
              <w:t>3</w:t>
            </w:r>
          </w:p>
        </w:tc>
        <w:tc>
          <w:tcPr>
            <w:tcW w:w="485" w:type="pct"/>
            <w:tcBorders>
              <w:top w:val="nil"/>
              <w:left w:val="nil"/>
              <w:bottom w:val="single" w:sz="12" w:space="0" w:color="auto"/>
              <w:right w:val="nil"/>
            </w:tcBorders>
            <w:shd w:val="clear" w:color="auto" w:fill="auto"/>
            <w:vAlign w:val="bottom"/>
          </w:tcPr>
          <w:p w14:paraId="6DD7E877" w14:textId="7FF3D3F9" w:rsidR="005B1E80" w:rsidRPr="00312975" w:rsidRDefault="005B1E80" w:rsidP="005B1E80">
            <w:pPr>
              <w:tabs>
                <w:tab w:val="right" w:pos="1202"/>
              </w:tabs>
              <w:spacing w:after="0" w:line="301" w:lineRule="exact"/>
              <w:jc w:val="right"/>
              <w:outlineLvl w:val="0"/>
              <w:rPr>
                <w:rFonts w:ascii="Calibri" w:eastAsia="Times New Roman" w:hAnsi="Calibri" w:cs="Arial"/>
                <w:b/>
                <w:sz w:val="18"/>
                <w:szCs w:val="18"/>
                <w:lang w:val="en-US"/>
              </w:rPr>
            </w:pPr>
            <w:r>
              <w:rPr>
                <w:rFonts w:ascii="Calibri" w:eastAsia="Times New Roman" w:hAnsi="Calibri" w:cs="Arial"/>
                <w:b/>
                <w:sz w:val="18"/>
                <w:szCs w:val="18"/>
                <w:lang w:val="en-US"/>
              </w:rPr>
              <w:t>-</w:t>
            </w:r>
          </w:p>
        </w:tc>
        <w:tc>
          <w:tcPr>
            <w:tcW w:w="485" w:type="pct"/>
            <w:tcBorders>
              <w:top w:val="nil"/>
              <w:left w:val="nil"/>
              <w:bottom w:val="single" w:sz="12" w:space="0" w:color="auto"/>
              <w:right w:val="nil"/>
            </w:tcBorders>
            <w:shd w:val="clear" w:color="auto" w:fill="auto"/>
            <w:vAlign w:val="bottom"/>
          </w:tcPr>
          <w:p w14:paraId="0EFDFC78" w14:textId="4817E886" w:rsidR="005B1E80" w:rsidRPr="00312975" w:rsidRDefault="00FE0B1B" w:rsidP="005B1E80">
            <w:pPr>
              <w:tabs>
                <w:tab w:val="right" w:pos="1202"/>
              </w:tabs>
              <w:spacing w:after="0" w:line="301" w:lineRule="exact"/>
              <w:jc w:val="right"/>
              <w:outlineLvl w:val="0"/>
              <w:rPr>
                <w:rFonts w:ascii="Calibri" w:eastAsia="Times New Roman" w:hAnsi="Calibri" w:cs="Arial"/>
                <w:b/>
                <w:sz w:val="18"/>
                <w:szCs w:val="18"/>
                <w:lang w:val="en-US"/>
              </w:rPr>
            </w:pPr>
            <w:r>
              <w:rPr>
                <w:rFonts w:ascii="Calibri" w:eastAsia="Times New Roman" w:hAnsi="Calibri" w:cs="Arial"/>
                <w:b/>
                <w:sz w:val="18"/>
                <w:szCs w:val="18"/>
                <w:lang w:val="en-US"/>
              </w:rPr>
              <w:t>5.642.782</w:t>
            </w:r>
          </w:p>
        </w:tc>
      </w:tr>
    </w:tbl>
    <w:p w14:paraId="4EE27C01" w14:textId="77777777" w:rsidR="00B3779D" w:rsidRPr="00D90261" w:rsidRDefault="00B3779D" w:rsidP="00B3779D">
      <w:pPr>
        <w:spacing w:before="120" w:line="260" w:lineRule="exact"/>
        <w:jc w:val="both"/>
        <w:rPr>
          <w:rFonts w:ascii="Arial" w:hAnsi="Arial" w:cs="Arial"/>
          <w:sz w:val="18"/>
          <w:szCs w:val="18"/>
          <w:highlight w:val="yellow"/>
        </w:rPr>
      </w:pPr>
    </w:p>
    <w:p w14:paraId="61BC1771" w14:textId="77777777" w:rsidR="00B3779D" w:rsidRPr="00D90261" w:rsidRDefault="00B3779D" w:rsidP="00B3779D">
      <w:pPr>
        <w:spacing w:before="120" w:line="260" w:lineRule="exact"/>
        <w:jc w:val="both"/>
        <w:rPr>
          <w:rFonts w:ascii="Arial" w:hAnsi="Arial" w:cs="Arial"/>
          <w:sz w:val="18"/>
          <w:szCs w:val="18"/>
          <w:highlight w:val="yellow"/>
        </w:rPr>
        <w:sectPr w:rsidR="00B3779D" w:rsidRPr="00D90261" w:rsidSect="00312975">
          <w:footerReference w:type="default" r:id="rId94"/>
          <w:pgSz w:w="11906" w:h="16838" w:code="9"/>
          <w:pgMar w:top="1418" w:right="1418" w:bottom="595" w:left="1134" w:header="851" w:footer="851" w:gutter="0"/>
          <w:cols w:space="720"/>
          <w:noEndnote/>
          <w:docGrid w:linePitch="299"/>
        </w:sectPr>
      </w:pPr>
    </w:p>
    <w:p w14:paraId="07DC252B" w14:textId="77777777" w:rsidR="00B3779D" w:rsidRDefault="00B3779D" w:rsidP="00B3779D">
      <w:pPr>
        <w:pStyle w:val="T1"/>
        <w:spacing w:before="0" w:after="0" w:line="240" w:lineRule="auto"/>
        <w:rPr>
          <w:rFonts w:asciiTheme="minorHAnsi" w:hAnsiTheme="minorHAnsi" w:cs="Arial"/>
          <w:sz w:val="22"/>
          <w:szCs w:val="22"/>
          <w:lang w:val="hr-HR"/>
        </w:rPr>
      </w:pPr>
    </w:p>
    <w:p w14:paraId="238A914E" w14:textId="77777777" w:rsidR="00B3779D" w:rsidRDefault="00B3779D" w:rsidP="00B3779D">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3779D">
        <w:rPr>
          <w:rFonts w:asciiTheme="minorHAnsi" w:hAnsiTheme="minorHAnsi" w:cs="Arial"/>
          <w:sz w:val="22"/>
          <w:szCs w:val="22"/>
          <w:lang w:val="hr-HR"/>
        </w:rPr>
        <w:t>.</w:t>
      </w:r>
      <w:r w:rsidRPr="00B3779D">
        <w:rPr>
          <w:rFonts w:asciiTheme="minorHAnsi" w:hAnsiTheme="minorHAnsi" w:cs="Arial"/>
          <w:sz w:val="22"/>
          <w:szCs w:val="22"/>
          <w:lang w:val="hr-HR"/>
        </w:rPr>
        <w:tab/>
        <w:t>Upravljanje rizicima (nastavak)</w:t>
      </w:r>
    </w:p>
    <w:p w14:paraId="15F51709" w14:textId="77777777" w:rsidR="00B3779D" w:rsidRDefault="00B3779D" w:rsidP="00B3779D">
      <w:pPr>
        <w:pStyle w:val="T1"/>
        <w:spacing w:before="0" w:after="0" w:line="240" w:lineRule="auto"/>
        <w:rPr>
          <w:rFonts w:asciiTheme="minorHAnsi" w:hAnsiTheme="minorHAnsi" w:cs="Arial"/>
          <w:sz w:val="22"/>
          <w:szCs w:val="22"/>
          <w:lang w:val="hr-HR"/>
        </w:rPr>
      </w:pPr>
    </w:p>
    <w:p w14:paraId="7681627F" w14:textId="77777777" w:rsidR="00B3779D" w:rsidRDefault="00B3779D" w:rsidP="00B3779D">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3779D">
        <w:rPr>
          <w:rFonts w:asciiTheme="minorHAnsi" w:hAnsiTheme="minorHAnsi" w:cs="Arial"/>
          <w:sz w:val="22"/>
          <w:szCs w:val="22"/>
          <w:lang w:val="hr-HR"/>
        </w:rPr>
        <w:t xml:space="preserve">.2. </w:t>
      </w:r>
      <w:r w:rsidRPr="00B3779D">
        <w:rPr>
          <w:rFonts w:asciiTheme="minorHAnsi" w:hAnsiTheme="minorHAnsi" w:cs="Arial"/>
          <w:sz w:val="22"/>
          <w:szCs w:val="22"/>
          <w:lang w:val="hr-HR"/>
        </w:rPr>
        <w:tab/>
        <w:t>Kreditni rizik (nastavak)</w:t>
      </w:r>
    </w:p>
    <w:p w14:paraId="5CACA51C" w14:textId="77777777" w:rsidR="00B3779D" w:rsidRPr="00B3779D" w:rsidRDefault="00B3779D" w:rsidP="00B3779D">
      <w:pPr>
        <w:pStyle w:val="T1"/>
        <w:spacing w:before="0" w:after="0" w:line="240" w:lineRule="auto"/>
        <w:rPr>
          <w:rFonts w:asciiTheme="minorHAnsi" w:hAnsiTheme="minorHAnsi" w:cs="Arial"/>
          <w:sz w:val="22"/>
          <w:szCs w:val="22"/>
          <w:lang w:val="hr-HR"/>
        </w:rPr>
      </w:pPr>
    </w:p>
    <w:p w14:paraId="6647107E" w14:textId="77777777" w:rsidR="00B3779D" w:rsidRDefault="00B3779D" w:rsidP="00B3779D">
      <w:pPr>
        <w:pStyle w:val="T1"/>
        <w:spacing w:before="0" w:after="0" w:line="240" w:lineRule="auto"/>
        <w:rPr>
          <w:rFonts w:asciiTheme="minorHAnsi" w:hAnsiTheme="minorHAnsi" w:cs="Arial"/>
          <w:sz w:val="22"/>
          <w:szCs w:val="22"/>
          <w:lang w:val="hr-HR"/>
        </w:rPr>
      </w:pPr>
      <w:r w:rsidRPr="00B3779D">
        <w:rPr>
          <w:rFonts w:asciiTheme="minorHAnsi" w:hAnsiTheme="minorHAnsi" w:cs="Arial"/>
          <w:sz w:val="22"/>
          <w:szCs w:val="22"/>
          <w:lang w:val="hr-HR"/>
        </w:rPr>
        <w:t xml:space="preserve">Kvaliteta kreditnog rizika prema vrsti financijske imovine </w:t>
      </w:r>
      <w:r w:rsidR="00FE19CC">
        <w:rPr>
          <w:rFonts w:asciiTheme="minorHAnsi" w:hAnsiTheme="minorHAnsi" w:cs="Arial"/>
          <w:sz w:val="22"/>
          <w:szCs w:val="22"/>
          <w:lang w:val="hr-HR"/>
        </w:rPr>
        <w:t>(nastavak)</w:t>
      </w:r>
    </w:p>
    <w:p w14:paraId="4F508C23" w14:textId="77777777" w:rsidR="00B3779D" w:rsidRPr="00B3779D" w:rsidRDefault="00B3779D" w:rsidP="00B3779D">
      <w:pPr>
        <w:pStyle w:val="T1"/>
        <w:spacing w:before="0" w:after="0" w:line="240" w:lineRule="auto"/>
        <w:rPr>
          <w:rFonts w:asciiTheme="minorHAnsi" w:hAnsiTheme="minorHAnsi" w:cs="Arial"/>
          <w:sz w:val="22"/>
          <w:szCs w:val="22"/>
          <w:lang w:val="hr-HR"/>
        </w:rPr>
      </w:pPr>
    </w:p>
    <w:p w14:paraId="601CF6CD" w14:textId="77777777" w:rsidR="00B3779D" w:rsidRDefault="00B3779D" w:rsidP="00B3779D">
      <w:pPr>
        <w:spacing w:after="0" w:line="240" w:lineRule="auto"/>
        <w:jc w:val="both"/>
        <w:rPr>
          <w:rFonts w:cs="Arial"/>
          <w:sz w:val="20"/>
          <w:szCs w:val="20"/>
        </w:rPr>
      </w:pPr>
      <w:r w:rsidRPr="000B60DD">
        <w:rPr>
          <w:rFonts w:cs="Arial"/>
          <w:sz w:val="20"/>
          <w:szCs w:val="20"/>
        </w:rPr>
        <w:t>Analiza kreditnog rizika prije i nakon uzimanja u obzir primljenih instrumenata osiguranja prema vrsti financijske imovine na pozicijama imovine i garancija i preuzetih obveza prema rizičnim skupinama</w:t>
      </w:r>
      <w:r w:rsidR="00FE19CC">
        <w:rPr>
          <w:rFonts w:cs="Arial"/>
          <w:sz w:val="20"/>
          <w:szCs w:val="20"/>
        </w:rPr>
        <w:t xml:space="preserve"> (nastavak)</w:t>
      </w:r>
      <w:r w:rsidRPr="000B60DD">
        <w:rPr>
          <w:rFonts w:cs="Arial"/>
          <w:sz w:val="20"/>
          <w:szCs w:val="20"/>
        </w:rPr>
        <w:t>:</w:t>
      </w:r>
    </w:p>
    <w:tbl>
      <w:tblPr>
        <w:tblpPr w:leftFromText="180" w:rightFromText="180" w:vertAnchor="text" w:horzAnchor="margin" w:tblpXSpec="center" w:tblpY="172"/>
        <w:tblW w:w="5428" w:type="pct"/>
        <w:tblLayout w:type="fixed"/>
        <w:tblLook w:val="0000" w:firstRow="0" w:lastRow="0" w:firstColumn="0" w:lastColumn="0" w:noHBand="0" w:noVBand="0"/>
      </w:tblPr>
      <w:tblGrid>
        <w:gridCol w:w="1827"/>
        <w:gridCol w:w="1150"/>
        <w:gridCol w:w="991"/>
        <w:gridCol w:w="983"/>
        <w:gridCol w:w="1042"/>
        <w:gridCol w:w="1042"/>
        <w:gridCol w:w="1042"/>
        <w:gridCol w:w="1042"/>
        <w:gridCol w:w="1036"/>
      </w:tblGrid>
      <w:tr w:rsidR="009F0625" w:rsidRPr="009557C4" w14:paraId="77A886D8" w14:textId="77777777" w:rsidTr="000E5941">
        <w:trPr>
          <w:trHeight w:val="1217"/>
        </w:trPr>
        <w:tc>
          <w:tcPr>
            <w:tcW w:w="900" w:type="pct"/>
          </w:tcPr>
          <w:p w14:paraId="6B92F14D" w14:textId="77777777" w:rsidR="009F0625" w:rsidRPr="009557C4" w:rsidRDefault="009F0625" w:rsidP="009F0625">
            <w:pPr>
              <w:spacing w:after="0" w:line="240" w:lineRule="auto"/>
              <w:rPr>
                <w:rFonts w:ascii="Calibri" w:eastAsia="Times New Roman" w:hAnsi="Calibri" w:cs="Arial"/>
                <w:b/>
                <w:bCs/>
                <w:sz w:val="16"/>
                <w:szCs w:val="16"/>
              </w:rPr>
            </w:pPr>
            <w:r w:rsidRPr="009557C4">
              <w:rPr>
                <w:rFonts w:ascii="Calibri" w:eastAsia="Times New Roman" w:hAnsi="Calibri" w:cs="Arial"/>
                <w:b/>
                <w:bCs/>
                <w:sz w:val="16"/>
                <w:szCs w:val="16"/>
              </w:rPr>
              <w:br w:type="page"/>
              <w:t>Grupa</w:t>
            </w:r>
          </w:p>
          <w:p w14:paraId="7F3FFD8C" w14:textId="77777777" w:rsidR="009F0625" w:rsidRPr="009557C4" w:rsidRDefault="009F0625" w:rsidP="009F0625">
            <w:pPr>
              <w:spacing w:after="0" w:line="240" w:lineRule="auto"/>
              <w:rPr>
                <w:rFonts w:ascii="Calibri" w:eastAsia="Times New Roman" w:hAnsi="Calibri" w:cs="Arial"/>
                <w:b/>
                <w:bCs/>
                <w:sz w:val="16"/>
                <w:szCs w:val="16"/>
              </w:rPr>
            </w:pPr>
          </w:p>
          <w:p w14:paraId="54EED753" w14:textId="77777777" w:rsidR="009F0625" w:rsidRPr="009557C4" w:rsidRDefault="009F0625" w:rsidP="009F0625">
            <w:pPr>
              <w:spacing w:after="0" w:line="240" w:lineRule="auto"/>
              <w:rPr>
                <w:rFonts w:ascii="Calibri" w:eastAsia="Times New Roman" w:hAnsi="Calibri" w:cs="Arial"/>
                <w:b/>
                <w:bCs/>
                <w:sz w:val="16"/>
                <w:szCs w:val="16"/>
              </w:rPr>
            </w:pPr>
          </w:p>
          <w:p w14:paraId="69C7618B" w14:textId="77777777" w:rsidR="009F0625" w:rsidRPr="009557C4" w:rsidRDefault="009F0625" w:rsidP="009F0625">
            <w:pPr>
              <w:spacing w:after="0" w:line="240" w:lineRule="auto"/>
              <w:rPr>
                <w:rFonts w:ascii="Calibri" w:eastAsia="Times New Roman" w:hAnsi="Calibri" w:cs="Arial"/>
                <w:b/>
                <w:bCs/>
                <w:sz w:val="16"/>
                <w:szCs w:val="16"/>
              </w:rPr>
            </w:pPr>
          </w:p>
          <w:p w14:paraId="20F5FBE6" w14:textId="77777777" w:rsidR="009F0625" w:rsidRPr="009557C4" w:rsidRDefault="009F0625" w:rsidP="009F0625">
            <w:pPr>
              <w:spacing w:after="0" w:line="240" w:lineRule="auto"/>
              <w:rPr>
                <w:rFonts w:ascii="Calibri" w:eastAsia="Times New Roman" w:hAnsi="Calibri" w:cs="Arial"/>
                <w:b/>
                <w:bCs/>
                <w:sz w:val="16"/>
                <w:szCs w:val="16"/>
              </w:rPr>
            </w:pPr>
          </w:p>
          <w:p w14:paraId="17CD5756" w14:textId="77777777" w:rsidR="009F0625" w:rsidRPr="009557C4" w:rsidRDefault="009F0625" w:rsidP="009F0625">
            <w:pPr>
              <w:spacing w:after="0" w:line="240" w:lineRule="auto"/>
              <w:rPr>
                <w:rFonts w:ascii="Calibri" w:eastAsia="Times New Roman" w:hAnsi="Calibri" w:cs="Arial"/>
                <w:b/>
                <w:bCs/>
                <w:sz w:val="16"/>
                <w:szCs w:val="16"/>
              </w:rPr>
            </w:pPr>
            <w:r>
              <w:rPr>
                <w:rFonts w:ascii="Calibri" w:eastAsia="Times New Roman" w:hAnsi="Calibri" w:cs="Arial"/>
                <w:b/>
                <w:bCs/>
                <w:sz w:val="16"/>
                <w:szCs w:val="16"/>
              </w:rPr>
              <w:t>31.12.2016.</w:t>
            </w:r>
          </w:p>
        </w:tc>
        <w:tc>
          <w:tcPr>
            <w:tcW w:w="566" w:type="pct"/>
            <w:vAlign w:val="bottom"/>
          </w:tcPr>
          <w:p w14:paraId="3B9C3B3C" w14:textId="77777777" w:rsidR="009F0625" w:rsidRPr="009557C4" w:rsidRDefault="009F0625" w:rsidP="009F0625">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Bruto izloženost portfelja rizične skupine A</w:t>
            </w:r>
          </w:p>
          <w:p w14:paraId="73994117" w14:textId="77777777" w:rsidR="009F0625" w:rsidRPr="009557C4" w:rsidRDefault="009F0625" w:rsidP="009F0625">
            <w:pPr>
              <w:spacing w:after="0" w:line="240" w:lineRule="auto"/>
              <w:jc w:val="right"/>
              <w:rPr>
                <w:rFonts w:ascii="Calibri" w:eastAsia="Times New Roman" w:hAnsi="Calibri" w:cs="Arial"/>
                <w:b/>
                <w:sz w:val="16"/>
                <w:szCs w:val="16"/>
              </w:rPr>
            </w:pPr>
          </w:p>
        </w:tc>
        <w:tc>
          <w:tcPr>
            <w:tcW w:w="488" w:type="pct"/>
            <w:vAlign w:val="bottom"/>
          </w:tcPr>
          <w:p w14:paraId="5962F675" w14:textId="77777777" w:rsidR="009F0625" w:rsidRPr="009557C4" w:rsidRDefault="009F0625" w:rsidP="009F0625">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Bruto izloženost portfelja rizične skupine B</w:t>
            </w:r>
          </w:p>
          <w:p w14:paraId="4495BDF2" w14:textId="77777777" w:rsidR="009F0625" w:rsidRPr="009557C4" w:rsidRDefault="009F0625" w:rsidP="009F0625">
            <w:pPr>
              <w:spacing w:after="0" w:line="240" w:lineRule="auto"/>
              <w:jc w:val="right"/>
              <w:rPr>
                <w:rFonts w:ascii="Calibri" w:eastAsia="Times New Roman" w:hAnsi="Calibri" w:cs="Arial"/>
                <w:b/>
                <w:sz w:val="16"/>
                <w:szCs w:val="16"/>
              </w:rPr>
            </w:pPr>
          </w:p>
        </w:tc>
        <w:tc>
          <w:tcPr>
            <w:tcW w:w="484" w:type="pct"/>
            <w:vAlign w:val="bottom"/>
          </w:tcPr>
          <w:p w14:paraId="3FA4C5C8" w14:textId="77777777" w:rsidR="009F0625" w:rsidRPr="009557C4" w:rsidRDefault="009F0625" w:rsidP="009F0625">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Bruto izloženost portfelja rizične skupine C</w:t>
            </w:r>
          </w:p>
          <w:p w14:paraId="2F444D78" w14:textId="77777777" w:rsidR="009F0625" w:rsidRPr="009557C4" w:rsidRDefault="009F0625" w:rsidP="009F0625">
            <w:pPr>
              <w:spacing w:after="0" w:line="240" w:lineRule="auto"/>
              <w:jc w:val="right"/>
              <w:rPr>
                <w:rFonts w:ascii="Calibri" w:eastAsia="Times New Roman" w:hAnsi="Calibri" w:cs="Arial"/>
                <w:b/>
                <w:sz w:val="16"/>
                <w:szCs w:val="16"/>
              </w:rPr>
            </w:pPr>
          </w:p>
        </w:tc>
        <w:tc>
          <w:tcPr>
            <w:tcW w:w="513" w:type="pct"/>
          </w:tcPr>
          <w:p w14:paraId="6A5CB6D4" w14:textId="77777777" w:rsidR="009F0625" w:rsidRPr="009557C4" w:rsidRDefault="009F0625" w:rsidP="009F0625">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Bruto izloženost ukupnog portfelja</w:t>
            </w:r>
          </w:p>
          <w:p w14:paraId="01DED2BD" w14:textId="77777777" w:rsidR="009F0625" w:rsidRPr="009557C4" w:rsidRDefault="009F0625" w:rsidP="009F0625">
            <w:pPr>
              <w:spacing w:after="0" w:line="240" w:lineRule="auto"/>
              <w:jc w:val="right"/>
              <w:rPr>
                <w:rFonts w:ascii="Calibri" w:eastAsia="Times New Roman" w:hAnsi="Calibri" w:cs="Arial"/>
                <w:b/>
                <w:sz w:val="16"/>
                <w:szCs w:val="16"/>
              </w:rPr>
            </w:pPr>
          </w:p>
        </w:tc>
        <w:tc>
          <w:tcPr>
            <w:tcW w:w="513" w:type="pct"/>
            <w:vAlign w:val="bottom"/>
          </w:tcPr>
          <w:p w14:paraId="5C474977" w14:textId="77777777" w:rsidR="009F0625" w:rsidRPr="009557C4" w:rsidRDefault="009F0625" w:rsidP="009F0625">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Neto izloženost portfelja rizične skupine A</w:t>
            </w:r>
          </w:p>
          <w:p w14:paraId="35DA4BE6" w14:textId="77777777" w:rsidR="009F0625" w:rsidRPr="009557C4" w:rsidRDefault="009F0625" w:rsidP="009F0625">
            <w:pPr>
              <w:spacing w:after="0" w:line="240" w:lineRule="auto"/>
              <w:jc w:val="right"/>
              <w:rPr>
                <w:rFonts w:ascii="Calibri" w:eastAsia="Times New Roman" w:hAnsi="Calibri" w:cs="Arial"/>
                <w:b/>
                <w:sz w:val="16"/>
                <w:szCs w:val="16"/>
              </w:rPr>
            </w:pPr>
          </w:p>
        </w:tc>
        <w:tc>
          <w:tcPr>
            <w:tcW w:w="513" w:type="pct"/>
            <w:vAlign w:val="bottom"/>
          </w:tcPr>
          <w:p w14:paraId="129E9617" w14:textId="77777777" w:rsidR="009F0625" w:rsidRPr="009557C4" w:rsidRDefault="009F0625" w:rsidP="009F0625">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Neto izloženost portfelja rizične skupine B</w:t>
            </w:r>
          </w:p>
          <w:p w14:paraId="68F0BA88" w14:textId="77777777" w:rsidR="009F0625" w:rsidRPr="009557C4" w:rsidRDefault="009F0625" w:rsidP="009F0625">
            <w:pPr>
              <w:spacing w:after="0" w:line="240" w:lineRule="auto"/>
              <w:jc w:val="right"/>
              <w:rPr>
                <w:rFonts w:ascii="Calibri" w:eastAsia="Times New Roman" w:hAnsi="Calibri" w:cs="Arial"/>
                <w:b/>
                <w:sz w:val="16"/>
                <w:szCs w:val="16"/>
              </w:rPr>
            </w:pPr>
          </w:p>
        </w:tc>
        <w:tc>
          <w:tcPr>
            <w:tcW w:w="513" w:type="pct"/>
            <w:vAlign w:val="bottom"/>
          </w:tcPr>
          <w:p w14:paraId="7630ECDD" w14:textId="77777777" w:rsidR="009F0625" w:rsidRPr="009557C4" w:rsidRDefault="009F0625" w:rsidP="009F0625">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Neto izloženost portfelja rizične skupine C</w:t>
            </w:r>
          </w:p>
          <w:p w14:paraId="4DFBC4FC" w14:textId="77777777" w:rsidR="009F0625" w:rsidRPr="009557C4" w:rsidRDefault="009F0625" w:rsidP="009F0625">
            <w:pPr>
              <w:spacing w:after="0" w:line="240" w:lineRule="auto"/>
              <w:jc w:val="right"/>
              <w:rPr>
                <w:rFonts w:ascii="Calibri" w:eastAsia="Times New Roman" w:hAnsi="Calibri" w:cs="Arial"/>
                <w:b/>
                <w:sz w:val="16"/>
                <w:szCs w:val="16"/>
              </w:rPr>
            </w:pPr>
          </w:p>
        </w:tc>
        <w:tc>
          <w:tcPr>
            <w:tcW w:w="510" w:type="pct"/>
            <w:vAlign w:val="bottom"/>
          </w:tcPr>
          <w:p w14:paraId="4EC0C433" w14:textId="77777777" w:rsidR="009F0625" w:rsidRPr="009557C4" w:rsidRDefault="009F0625" w:rsidP="009F0625">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Neto izloženost ukupnog portfelja</w:t>
            </w:r>
          </w:p>
          <w:p w14:paraId="5433AB66" w14:textId="77777777" w:rsidR="009F0625" w:rsidRPr="009557C4" w:rsidRDefault="009F0625" w:rsidP="009F0625">
            <w:pPr>
              <w:spacing w:after="0" w:line="240" w:lineRule="auto"/>
              <w:jc w:val="right"/>
              <w:rPr>
                <w:rFonts w:ascii="Calibri" w:eastAsia="Times New Roman" w:hAnsi="Calibri" w:cs="Arial"/>
                <w:b/>
                <w:sz w:val="16"/>
                <w:szCs w:val="16"/>
              </w:rPr>
            </w:pPr>
          </w:p>
          <w:p w14:paraId="5D433DD9" w14:textId="77777777" w:rsidR="009F0625" w:rsidRPr="009557C4" w:rsidRDefault="009F0625" w:rsidP="009F0625">
            <w:pPr>
              <w:spacing w:after="0" w:line="240" w:lineRule="auto"/>
              <w:jc w:val="right"/>
              <w:rPr>
                <w:rFonts w:ascii="Calibri" w:eastAsia="Times New Roman" w:hAnsi="Calibri" w:cs="Arial"/>
                <w:b/>
                <w:sz w:val="16"/>
                <w:szCs w:val="16"/>
              </w:rPr>
            </w:pPr>
          </w:p>
        </w:tc>
      </w:tr>
      <w:tr w:rsidR="009F0625" w:rsidRPr="009557C4" w14:paraId="54D3471D" w14:textId="77777777" w:rsidTr="000E5941">
        <w:trPr>
          <w:trHeight w:val="278"/>
        </w:trPr>
        <w:tc>
          <w:tcPr>
            <w:tcW w:w="900" w:type="pct"/>
          </w:tcPr>
          <w:p w14:paraId="174A0495" w14:textId="77777777" w:rsidR="009F0625" w:rsidRPr="009557C4" w:rsidRDefault="009F0625" w:rsidP="009F0625">
            <w:pPr>
              <w:tabs>
                <w:tab w:val="right" w:pos="1202"/>
              </w:tabs>
              <w:spacing w:after="0" w:line="301"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Imovina</w:t>
            </w:r>
          </w:p>
        </w:tc>
        <w:tc>
          <w:tcPr>
            <w:tcW w:w="566" w:type="pct"/>
          </w:tcPr>
          <w:p w14:paraId="0D9E8234" w14:textId="77777777" w:rsidR="009F0625" w:rsidRPr="009557C4" w:rsidRDefault="009F0625" w:rsidP="009F0625">
            <w:pPr>
              <w:tabs>
                <w:tab w:val="right" w:pos="1202"/>
              </w:tabs>
              <w:spacing w:after="0" w:line="301" w:lineRule="exact"/>
              <w:outlineLvl w:val="0"/>
              <w:rPr>
                <w:rFonts w:ascii="Calibri" w:eastAsia="Times New Roman" w:hAnsi="Calibri" w:cs="Arial"/>
                <w:b/>
                <w:bCs/>
                <w:sz w:val="16"/>
                <w:szCs w:val="16"/>
              </w:rPr>
            </w:pPr>
          </w:p>
        </w:tc>
        <w:tc>
          <w:tcPr>
            <w:tcW w:w="488" w:type="pct"/>
          </w:tcPr>
          <w:p w14:paraId="14F5AF9A" w14:textId="77777777" w:rsidR="009F0625" w:rsidRPr="009557C4" w:rsidRDefault="009F0625" w:rsidP="009F0625">
            <w:pPr>
              <w:tabs>
                <w:tab w:val="right" w:pos="1202"/>
              </w:tabs>
              <w:spacing w:after="0" w:line="301" w:lineRule="exact"/>
              <w:outlineLvl w:val="0"/>
              <w:rPr>
                <w:rFonts w:ascii="Calibri" w:eastAsia="Times New Roman" w:hAnsi="Calibri" w:cs="Arial"/>
                <w:b/>
                <w:bCs/>
                <w:sz w:val="16"/>
                <w:szCs w:val="16"/>
              </w:rPr>
            </w:pPr>
          </w:p>
        </w:tc>
        <w:tc>
          <w:tcPr>
            <w:tcW w:w="484" w:type="pct"/>
          </w:tcPr>
          <w:p w14:paraId="305E6EF4" w14:textId="77777777" w:rsidR="009F0625" w:rsidRPr="009557C4" w:rsidRDefault="009F0625" w:rsidP="009F0625">
            <w:pPr>
              <w:tabs>
                <w:tab w:val="right" w:pos="1202"/>
              </w:tabs>
              <w:spacing w:after="0" w:line="301" w:lineRule="exact"/>
              <w:outlineLvl w:val="0"/>
              <w:rPr>
                <w:rFonts w:ascii="Calibri" w:eastAsia="Times New Roman" w:hAnsi="Calibri" w:cs="Arial"/>
                <w:b/>
                <w:bCs/>
                <w:sz w:val="16"/>
                <w:szCs w:val="16"/>
              </w:rPr>
            </w:pPr>
          </w:p>
        </w:tc>
        <w:tc>
          <w:tcPr>
            <w:tcW w:w="513" w:type="pct"/>
          </w:tcPr>
          <w:p w14:paraId="31D34F79" w14:textId="77777777" w:rsidR="009F0625" w:rsidRPr="009557C4" w:rsidRDefault="009F0625" w:rsidP="009F0625">
            <w:pPr>
              <w:tabs>
                <w:tab w:val="right" w:pos="1202"/>
              </w:tabs>
              <w:spacing w:after="0" w:line="301" w:lineRule="exact"/>
              <w:outlineLvl w:val="0"/>
              <w:rPr>
                <w:rFonts w:ascii="Calibri" w:eastAsia="Times New Roman" w:hAnsi="Calibri" w:cs="Arial"/>
                <w:b/>
                <w:bCs/>
                <w:sz w:val="16"/>
                <w:szCs w:val="16"/>
              </w:rPr>
            </w:pPr>
          </w:p>
        </w:tc>
        <w:tc>
          <w:tcPr>
            <w:tcW w:w="513" w:type="pct"/>
          </w:tcPr>
          <w:p w14:paraId="129C9DB7" w14:textId="77777777" w:rsidR="009F0625" w:rsidRPr="009557C4" w:rsidRDefault="009F0625" w:rsidP="009F0625">
            <w:pPr>
              <w:tabs>
                <w:tab w:val="right" w:pos="1202"/>
              </w:tabs>
              <w:spacing w:after="0" w:line="301" w:lineRule="exact"/>
              <w:outlineLvl w:val="0"/>
              <w:rPr>
                <w:rFonts w:ascii="Calibri" w:eastAsia="Times New Roman" w:hAnsi="Calibri" w:cs="Arial"/>
                <w:b/>
                <w:bCs/>
                <w:sz w:val="16"/>
                <w:szCs w:val="16"/>
              </w:rPr>
            </w:pPr>
          </w:p>
        </w:tc>
        <w:tc>
          <w:tcPr>
            <w:tcW w:w="513" w:type="pct"/>
          </w:tcPr>
          <w:p w14:paraId="1D5B3745" w14:textId="77777777" w:rsidR="009F0625" w:rsidRPr="009557C4" w:rsidRDefault="009F0625" w:rsidP="009F0625">
            <w:pPr>
              <w:tabs>
                <w:tab w:val="right" w:pos="1202"/>
              </w:tabs>
              <w:spacing w:after="0" w:line="301" w:lineRule="exact"/>
              <w:outlineLvl w:val="0"/>
              <w:rPr>
                <w:rFonts w:ascii="Calibri" w:eastAsia="Times New Roman" w:hAnsi="Calibri" w:cs="Arial"/>
                <w:b/>
                <w:bCs/>
                <w:sz w:val="16"/>
                <w:szCs w:val="16"/>
              </w:rPr>
            </w:pPr>
          </w:p>
        </w:tc>
        <w:tc>
          <w:tcPr>
            <w:tcW w:w="513" w:type="pct"/>
          </w:tcPr>
          <w:p w14:paraId="4F6417F9" w14:textId="77777777" w:rsidR="009F0625" w:rsidRPr="009557C4" w:rsidRDefault="009F0625" w:rsidP="009F0625">
            <w:pPr>
              <w:tabs>
                <w:tab w:val="right" w:pos="1202"/>
              </w:tabs>
              <w:spacing w:after="0" w:line="301" w:lineRule="exact"/>
              <w:outlineLvl w:val="0"/>
              <w:rPr>
                <w:rFonts w:ascii="Calibri" w:eastAsia="Times New Roman" w:hAnsi="Calibri" w:cs="Arial"/>
                <w:b/>
                <w:bCs/>
                <w:sz w:val="16"/>
                <w:szCs w:val="16"/>
              </w:rPr>
            </w:pPr>
          </w:p>
        </w:tc>
        <w:tc>
          <w:tcPr>
            <w:tcW w:w="510" w:type="pct"/>
          </w:tcPr>
          <w:p w14:paraId="4DF8975A" w14:textId="77777777" w:rsidR="009F0625" w:rsidRPr="009557C4" w:rsidRDefault="009F0625" w:rsidP="009F0625">
            <w:pPr>
              <w:tabs>
                <w:tab w:val="right" w:pos="1202"/>
              </w:tabs>
              <w:spacing w:after="0" w:line="301" w:lineRule="exact"/>
              <w:outlineLvl w:val="0"/>
              <w:rPr>
                <w:rFonts w:ascii="Calibri" w:eastAsia="Times New Roman" w:hAnsi="Calibri" w:cs="Arial"/>
                <w:b/>
                <w:bCs/>
                <w:sz w:val="16"/>
                <w:szCs w:val="16"/>
              </w:rPr>
            </w:pPr>
          </w:p>
        </w:tc>
      </w:tr>
      <w:tr w:rsidR="009F0625" w:rsidRPr="009557C4" w14:paraId="48107598" w14:textId="77777777" w:rsidTr="000E5941">
        <w:trPr>
          <w:trHeight w:val="405"/>
        </w:trPr>
        <w:tc>
          <w:tcPr>
            <w:tcW w:w="900" w:type="pct"/>
          </w:tcPr>
          <w:p w14:paraId="485C0132" w14:textId="77777777" w:rsidR="009F0625" w:rsidRPr="009557C4" w:rsidRDefault="009F0625" w:rsidP="009F0625">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Novčana sredstva i računi kod banaka</w:t>
            </w:r>
          </w:p>
        </w:tc>
        <w:tc>
          <w:tcPr>
            <w:tcW w:w="566" w:type="pct"/>
            <w:tcBorders>
              <w:top w:val="nil"/>
              <w:left w:val="nil"/>
              <w:bottom w:val="nil"/>
              <w:right w:val="nil"/>
            </w:tcBorders>
            <w:shd w:val="clear" w:color="auto" w:fill="auto"/>
            <w:vAlign w:val="bottom"/>
          </w:tcPr>
          <w:p w14:paraId="0CA6B6F4" w14:textId="6AFE9064"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491.243</w:t>
            </w:r>
          </w:p>
        </w:tc>
        <w:tc>
          <w:tcPr>
            <w:tcW w:w="488" w:type="pct"/>
            <w:tcBorders>
              <w:top w:val="nil"/>
              <w:left w:val="nil"/>
              <w:bottom w:val="nil"/>
              <w:right w:val="nil"/>
            </w:tcBorders>
            <w:shd w:val="clear" w:color="auto" w:fill="auto"/>
            <w:vAlign w:val="bottom"/>
          </w:tcPr>
          <w:p w14:paraId="72C575AB"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484" w:type="pct"/>
            <w:tcBorders>
              <w:top w:val="nil"/>
              <w:left w:val="nil"/>
              <w:bottom w:val="nil"/>
              <w:right w:val="nil"/>
            </w:tcBorders>
            <w:shd w:val="clear" w:color="auto" w:fill="auto"/>
            <w:vAlign w:val="bottom"/>
          </w:tcPr>
          <w:p w14:paraId="1C4028D2"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646AB1F7"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491.243</w:t>
            </w:r>
          </w:p>
        </w:tc>
        <w:tc>
          <w:tcPr>
            <w:tcW w:w="513" w:type="pct"/>
            <w:tcBorders>
              <w:top w:val="nil"/>
              <w:left w:val="nil"/>
              <w:bottom w:val="nil"/>
              <w:right w:val="nil"/>
            </w:tcBorders>
            <w:shd w:val="clear" w:color="auto" w:fill="auto"/>
            <w:vAlign w:val="bottom"/>
          </w:tcPr>
          <w:p w14:paraId="6C3A3AFA"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10F57864"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341859A3"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0" w:type="pct"/>
            <w:tcBorders>
              <w:top w:val="nil"/>
              <w:left w:val="nil"/>
              <w:bottom w:val="nil"/>
              <w:right w:val="nil"/>
            </w:tcBorders>
            <w:shd w:val="clear" w:color="auto" w:fill="auto"/>
            <w:vAlign w:val="bottom"/>
          </w:tcPr>
          <w:p w14:paraId="25339CBB"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r>
      <w:tr w:rsidR="009F0625" w:rsidRPr="009557C4" w14:paraId="544AA73B" w14:textId="77777777" w:rsidTr="000E5941">
        <w:trPr>
          <w:trHeight w:val="405"/>
        </w:trPr>
        <w:tc>
          <w:tcPr>
            <w:tcW w:w="900" w:type="pct"/>
          </w:tcPr>
          <w:p w14:paraId="3A7C22E2" w14:textId="77777777" w:rsidR="009F0625" w:rsidRPr="009557C4" w:rsidRDefault="009F0625" w:rsidP="009F0625">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Depoziti kod drugih banaka</w:t>
            </w:r>
          </w:p>
        </w:tc>
        <w:tc>
          <w:tcPr>
            <w:tcW w:w="566" w:type="pct"/>
            <w:tcBorders>
              <w:top w:val="nil"/>
              <w:left w:val="nil"/>
              <w:bottom w:val="nil"/>
              <w:right w:val="nil"/>
            </w:tcBorders>
            <w:shd w:val="clear" w:color="auto" w:fill="auto"/>
            <w:vAlign w:val="bottom"/>
          </w:tcPr>
          <w:p w14:paraId="475309B3" w14:textId="42F633A8"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23.872</w:t>
            </w:r>
          </w:p>
        </w:tc>
        <w:tc>
          <w:tcPr>
            <w:tcW w:w="488" w:type="pct"/>
            <w:tcBorders>
              <w:top w:val="nil"/>
              <w:left w:val="nil"/>
              <w:bottom w:val="nil"/>
              <w:right w:val="nil"/>
            </w:tcBorders>
            <w:shd w:val="clear" w:color="auto" w:fill="auto"/>
            <w:vAlign w:val="bottom"/>
          </w:tcPr>
          <w:p w14:paraId="57A7EA73"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484" w:type="pct"/>
            <w:tcBorders>
              <w:top w:val="nil"/>
              <w:left w:val="nil"/>
              <w:bottom w:val="nil"/>
              <w:right w:val="nil"/>
            </w:tcBorders>
            <w:shd w:val="clear" w:color="auto" w:fill="auto"/>
            <w:vAlign w:val="bottom"/>
          </w:tcPr>
          <w:p w14:paraId="5FDA101F"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4BA96701"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23.872</w:t>
            </w:r>
          </w:p>
        </w:tc>
        <w:tc>
          <w:tcPr>
            <w:tcW w:w="513" w:type="pct"/>
            <w:tcBorders>
              <w:top w:val="nil"/>
              <w:left w:val="nil"/>
              <w:bottom w:val="nil"/>
              <w:right w:val="nil"/>
            </w:tcBorders>
            <w:shd w:val="clear" w:color="auto" w:fill="auto"/>
            <w:vAlign w:val="bottom"/>
          </w:tcPr>
          <w:p w14:paraId="3CE160DD"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2D4DCD69"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1CCE07CB"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0" w:type="pct"/>
            <w:tcBorders>
              <w:top w:val="nil"/>
              <w:left w:val="nil"/>
              <w:bottom w:val="nil"/>
              <w:right w:val="nil"/>
            </w:tcBorders>
            <w:shd w:val="clear" w:color="auto" w:fill="auto"/>
            <w:vAlign w:val="bottom"/>
          </w:tcPr>
          <w:p w14:paraId="270DB7A3"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r>
      <w:tr w:rsidR="009F0625" w:rsidRPr="009557C4" w14:paraId="245D678B" w14:textId="77777777" w:rsidTr="000E5941">
        <w:trPr>
          <w:trHeight w:val="405"/>
        </w:trPr>
        <w:tc>
          <w:tcPr>
            <w:tcW w:w="900" w:type="pct"/>
            <w:vAlign w:val="center"/>
          </w:tcPr>
          <w:p w14:paraId="4EFE530E" w14:textId="77777777" w:rsidR="009F0625" w:rsidRPr="009557C4" w:rsidRDefault="009F0625" w:rsidP="009F0625">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Krediti financijskim institucijama</w:t>
            </w:r>
          </w:p>
        </w:tc>
        <w:tc>
          <w:tcPr>
            <w:tcW w:w="566" w:type="pct"/>
            <w:tcBorders>
              <w:top w:val="nil"/>
              <w:left w:val="nil"/>
              <w:bottom w:val="nil"/>
              <w:right w:val="nil"/>
            </w:tcBorders>
            <w:shd w:val="clear" w:color="auto" w:fill="auto"/>
            <w:vAlign w:val="bottom"/>
          </w:tcPr>
          <w:p w14:paraId="0DC52B03" w14:textId="7A287A16"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11.472.130</w:t>
            </w:r>
          </w:p>
        </w:tc>
        <w:tc>
          <w:tcPr>
            <w:tcW w:w="488" w:type="pct"/>
            <w:tcBorders>
              <w:top w:val="nil"/>
              <w:left w:val="nil"/>
              <w:bottom w:val="nil"/>
              <w:right w:val="nil"/>
            </w:tcBorders>
            <w:shd w:val="clear" w:color="auto" w:fill="auto"/>
            <w:vAlign w:val="bottom"/>
          </w:tcPr>
          <w:p w14:paraId="600FCD48"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416.981</w:t>
            </w:r>
          </w:p>
        </w:tc>
        <w:tc>
          <w:tcPr>
            <w:tcW w:w="484" w:type="pct"/>
            <w:tcBorders>
              <w:top w:val="nil"/>
              <w:left w:val="nil"/>
              <w:bottom w:val="nil"/>
              <w:right w:val="nil"/>
            </w:tcBorders>
            <w:shd w:val="clear" w:color="auto" w:fill="auto"/>
            <w:vAlign w:val="bottom"/>
          </w:tcPr>
          <w:p w14:paraId="59433007"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01965377"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11.889.111</w:t>
            </w:r>
          </w:p>
        </w:tc>
        <w:tc>
          <w:tcPr>
            <w:tcW w:w="513" w:type="pct"/>
            <w:tcBorders>
              <w:top w:val="nil"/>
              <w:left w:val="nil"/>
              <w:bottom w:val="nil"/>
              <w:right w:val="nil"/>
            </w:tcBorders>
            <w:shd w:val="clear" w:color="auto" w:fill="auto"/>
            <w:vAlign w:val="bottom"/>
          </w:tcPr>
          <w:p w14:paraId="7F0CA450"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23089816"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1BBF4F26"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0" w:type="pct"/>
            <w:tcBorders>
              <w:top w:val="nil"/>
              <w:left w:val="nil"/>
              <w:bottom w:val="nil"/>
              <w:right w:val="nil"/>
            </w:tcBorders>
            <w:shd w:val="clear" w:color="auto" w:fill="auto"/>
            <w:vAlign w:val="bottom"/>
          </w:tcPr>
          <w:p w14:paraId="154C1F67"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r>
      <w:tr w:rsidR="009F0625" w:rsidRPr="009557C4" w14:paraId="000C1AE7" w14:textId="77777777" w:rsidTr="000E5941">
        <w:trPr>
          <w:trHeight w:val="405"/>
        </w:trPr>
        <w:tc>
          <w:tcPr>
            <w:tcW w:w="900" w:type="pct"/>
            <w:vAlign w:val="bottom"/>
          </w:tcPr>
          <w:p w14:paraId="2E5A1105" w14:textId="77777777" w:rsidR="009F0625" w:rsidRPr="009557C4" w:rsidRDefault="009F0625" w:rsidP="009F0625">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Krediti ostalim korisnicima</w:t>
            </w:r>
          </w:p>
        </w:tc>
        <w:tc>
          <w:tcPr>
            <w:tcW w:w="566" w:type="pct"/>
            <w:tcBorders>
              <w:top w:val="nil"/>
              <w:left w:val="nil"/>
              <w:bottom w:val="nil"/>
              <w:right w:val="nil"/>
            </w:tcBorders>
            <w:shd w:val="clear" w:color="auto" w:fill="auto"/>
            <w:vAlign w:val="bottom"/>
          </w:tcPr>
          <w:p w14:paraId="504BB845"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10.415.684</w:t>
            </w:r>
          </w:p>
        </w:tc>
        <w:tc>
          <w:tcPr>
            <w:tcW w:w="488" w:type="pct"/>
            <w:tcBorders>
              <w:top w:val="nil"/>
              <w:left w:val="nil"/>
              <w:bottom w:val="nil"/>
              <w:right w:val="nil"/>
            </w:tcBorders>
            <w:shd w:val="clear" w:color="auto" w:fill="auto"/>
            <w:vAlign w:val="bottom"/>
          </w:tcPr>
          <w:p w14:paraId="03E9058A"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1.095.510</w:t>
            </w:r>
          </w:p>
        </w:tc>
        <w:tc>
          <w:tcPr>
            <w:tcW w:w="484" w:type="pct"/>
            <w:tcBorders>
              <w:top w:val="nil"/>
              <w:left w:val="nil"/>
              <w:bottom w:val="nil"/>
              <w:right w:val="nil"/>
            </w:tcBorders>
            <w:shd w:val="clear" w:color="auto" w:fill="auto"/>
            <w:vAlign w:val="bottom"/>
          </w:tcPr>
          <w:p w14:paraId="1D8623C6"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3E1735F3"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11.511.194</w:t>
            </w:r>
          </w:p>
        </w:tc>
        <w:tc>
          <w:tcPr>
            <w:tcW w:w="513" w:type="pct"/>
            <w:tcBorders>
              <w:top w:val="nil"/>
              <w:left w:val="nil"/>
              <w:bottom w:val="nil"/>
              <w:right w:val="nil"/>
            </w:tcBorders>
            <w:shd w:val="clear" w:color="auto" w:fill="auto"/>
            <w:vAlign w:val="bottom"/>
          </w:tcPr>
          <w:p w14:paraId="1B7D8F02"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2.484.106</w:t>
            </w:r>
          </w:p>
        </w:tc>
        <w:tc>
          <w:tcPr>
            <w:tcW w:w="513" w:type="pct"/>
            <w:tcBorders>
              <w:top w:val="nil"/>
              <w:left w:val="nil"/>
              <w:bottom w:val="nil"/>
              <w:right w:val="nil"/>
            </w:tcBorders>
            <w:shd w:val="clear" w:color="auto" w:fill="auto"/>
            <w:vAlign w:val="bottom"/>
          </w:tcPr>
          <w:p w14:paraId="3AE41080"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34.930</w:t>
            </w:r>
          </w:p>
        </w:tc>
        <w:tc>
          <w:tcPr>
            <w:tcW w:w="513" w:type="pct"/>
            <w:tcBorders>
              <w:top w:val="nil"/>
              <w:left w:val="nil"/>
              <w:bottom w:val="nil"/>
              <w:right w:val="nil"/>
            </w:tcBorders>
            <w:shd w:val="clear" w:color="auto" w:fill="auto"/>
            <w:vAlign w:val="bottom"/>
          </w:tcPr>
          <w:p w14:paraId="5A59D0FF"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w:t>
            </w:r>
          </w:p>
        </w:tc>
        <w:tc>
          <w:tcPr>
            <w:tcW w:w="510" w:type="pct"/>
            <w:tcBorders>
              <w:top w:val="nil"/>
              <w:left w:val="nil"/>
              <w:bottom w:val="nil"/>
              <w:right w:val="nil"/>
            </w:tcBorders>
            <w:shd w:val="clear" w:color="auto" w:fill="auto"/>
            <w:vAlign w:val="bottom"/>
          </w:tcPr>
          <w:p w14:paraId="42B39FF4"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2.519.036</w:t>
            </w:r>
          </w:p>
        </w:tc>
      </w:tr>
      <w:tr w:rsidR="009F0625" w:rsidRPr="009557C4" w14:paraId="0D4C16B2" w14:textId="77777777" w:rsidTr="000E5941">
        <w:trPr>
          <w:trHeight w:val="812"/>
        </w:trPr>
        <w:tc>
          <w:tcPr>
            <w:tcW w:w="900" w:type="pct"/>
            <w:vAlign w:val="bottom"/>
          </w:tcPr>
          <w:p w14:paraId="6B70B96D" w14:textId="77777777" w:rsidR="009F0625" w:rsidRPr="009557C4" w:rsidRDefault="009F0625" w:rsidP="009F0625">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Financijska imovina po fer vrijednosti kroz izvještaj o dobiti i gubitku</w:t>
            </w:r>
          </w:p>
        </w:tc>
        <w:tc>
          <w:tcPr>
            <w:tcW w:w="566" w:type="pct"/>
            <w:tcBorders>
              <w:top w:val="nil"/>
              <w:left w:val="nil"/>
              <w:bottom w:val="nil"/>
              <w:right w:val="nil"/>
            </w:tcBorders>
            <w:shd w:val="clear" w:color="auto" w:fill="auto"/>
            <w:vAlign w:val="bottom"/>
          </w:tcPr>
          <w:p w14:paraId="5E867C90"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286</w:t>
            </w:r>
          </w:p>
        </w:tc>
        <w:tc>
          <w:tcPr>
            <w:tcW w:w="488" w:type="pct"/>
            <w:tcBorders>
              <w:top w:val="nil"/>
              <w:left w:val="nil"/>
              <w:bottom w:val="nil"/>
              <w:right w:val="nil"/>
            </w:tcBorders>
            <w:shd w:val="clear" w:color="auto" w:fill="auto"/>
            <w:vAlign w:val="bottom"/>
          </w:tcPr>
          <w:p w14:paraId="6865926D"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w:t>
            </w:r>
          </w:p>
        </w:tc>
        <w:tc>
          <w:tcPr>
            <w:tcW w:w="484" w:type="pct"/>
            <w:tcBorders>
              <w:top w:val="nil"/>
              <w:left w:val="nil"/>
              <w:bottom w:val="nil"/>
              <w:right w:val="nil"/>
            </w:tcBorders>
            <w:shd w:val="clear" w:color="auto" w:fill="auto"/>
            <w:vAlign w:val="bottom"/>
          </w:tcPr>
          <w:p w14:paraId="1BAF51F1"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2FE74512"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286</w:t>
            </w:r>
          </w:p>
        </w:tc>
        <w:tc>
          <w:tcPr>
            <w:tcW w:w="513" w:type="pct"/>
            <w:tcBorders>
              <w:top w:val="nil"/>
              <w:left w:val="nil"/>
              <w:bottom w:val="nil"/>
              <w:right w:val="nil"/>
            </w:tcBorders>
            <w:shd w:val="clear" w:color="auto" w:fill="auto"/>
            <w:vAlign w:val="bottom"/>
          </w:tcPr>
          <w:p w14:paraId="5651980F"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13434D18"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17F15CCD"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w:t>
            </w:r>
          </w:p>
        </w:tc>
        <w:tc>
          <w:tcPr>
            <w:tcW w:w="510" w:type="pct"/>
            <w:tcBorders>
              <w:top w:val="nil"/>
              <w:left w:val="nil"/>
              <w:bottom w:val="nil"/>
              <w:right w:val="nil"/>
            </w:tcBorders>
            <w:shd w:val="clear" w:color="auto" w:fill="auto"/>
            <w:vAlign w:val="bottom"/>
          </w:tcPr>
          <w:p w14:paraId="2181D81A"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GB"/>
              </w:rPr>
              <w:t>-</w:t>
            </w:r>
          </w:p>
        </w:tc>
      </w:tr>
      <w:tr w:rsidR="009F0625" w:rsidRPr="009557C4" w14:paraId="0F78051C" w14:textId="77777777" w:rsidTr="000E5941">
        <w:trPr>
          <w:trHeight w:val="417"/>
        </w:trPr>
        <w:tc>
          <w:tcPr>
            <w:tcW w:w="900" w:type="pct"/>
          </w:tcPr>
          <w:p w14:paraId="3B0F5573" w14:textId="77777777" w:rsidR="009F0625" w:rsidRPr="009557C4" w:rsidRDefault="009F0625" w:rsidP="009F0625">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Imovina raspoloživa za prodaju</w:t>
            </w:r>
          </w:p>
        </w:tc>
        <w:tc>
          <w:tcPr>
            <w:tcW w:w="566" w:type="pct"/>
            <w:tcBorders>
              <w:top w:val="nil"/>
              <w:left w:val="nil"/>
              <w:bottom w:val="nil"/>
              <w:right w:val="nil"/>
            </w:tcBorders>
            <w:shd w:val="clear" w:color="auto" w:fill="auto"/>
            <w:vAlign w:val="bottom"/>
          </w:tcPr>
          <w:p w14:paraId="564DEBC0"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3.353.086</w:t>
            </w:r>
          </w:p>
        </w:tc>
        <w:tc>
          <w:tcPr>
            <w:tcW w:w="488" w:type="pct"/>
            <w:tcBorders>
              <w:top w:val="nil"/>
              <w:left w:val="nil"/>
              <w:bottom w:val="nil"/>
              <w:right w:val="nil"/>
            </w:tcBorders>
            <w:shd w:val="clear" w:color="auto" w:fill="auto"/>
            <w:vAlign w:val="bottom"/>
          </w:tcPr>
          <w:p w14:paraId="065A0FD4"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484" w:type="pct"/>
            <w:tcBorders>
              <w:top w:val="nil"/>
              <w:left w:val="nil"/>
              <w:bottom w:val="nil"/>
              <w:right w:val="nil"/>
            </w:tcBorders>
            <w:shd w:val="clear" w:color="auto" w:fill="auto"/>
            <w:vAlign w:val="bottom"/>
          </w:tcPr>
          <w:p w14:paraId="481DDAC8"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3C5F0F49"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3.353.086</w:t>
            </w:r>
          </w:p>
        </w:tc>
        <w:tc>
          <w:tcPr>
            <w:tcW w:w="513" w:type="pct"/>
            <w:tcBorders>
              <w:top w:val="nil"/>
              <w:left w:val="nil"/>
              <w:bottom w:val="nil"/>
              <w:right w:val="nil"/>
            </w:tcBorders>
            <w:shd w:val="clear" w:color="auto" w:fill="auto"/>
            <w:vAlign w:val="bottom"/>
          </w:tcPr>
          <w:p w14:paraId="25DA3B30"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2.442.549</w:t>
            </w:r>
          </w:p>
        </w:tc>
        <w:tc>
          <w:tcPr>
            <w:tcW w:w="513" w:type="pct"/>
            <w:tcBorders>
              <w:top w:val="nil"/>
              <w:left w:val="nil"/>
              <w:bottom w:val="nil"/>
              <w:right w:val="nil"/>
            </w:tcBorders>
            <w:shd w:val="clear" w:color="auto" w:fill="auto"/>
            <w:vAlign w:val="bottom"/>
          </w:tcPr>
          <w:p w14:paraId="401D67D8"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4325A747"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0" w:type="pct"/>
            <w:tcBorders>
              <w:top w:val="nil"/>
              <w:left w:val="nil"/>
              <w:bottom w:val="nil"/>
              <w:right w:val="nil"/>
            </w:tcBorders>
            <w:shd w:val="clear" w:color="auto" w:fill="auto"/>
            <w:vAlign w:val="bottom"/>
          </w:tcPr>
          <w:p w14:paraId="168F3885"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2.442.549</w:t>
            </w:r>
          </w:p>
        </w:tc>
      </w:tr>
      <w:tr w:rsidR="009F0625" w:rsidRPr="009557C4" w14:paraId="1EDAB02F" w14:textId="77777777" w:rsidTr="000E5941">
        <w:trPr>
          <w:trHeight w:val="405"/>
        </w:trPr>
        <w:tc>
          <w:tcPr>
            <w:tcW w:w="900" w:type="pct"/>
          </w:tcPr>
          <w:p w14:paraId="0A68BEE5" w14:textId="77777777" w:rsidR="009F0625" w:rsidRPr="009557C4" w:rsidRDefault="009F0625" w:rsidP="009F0625">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Imovina koja se drži do dospijeća</w:t>
            </w:r>
          </w:p>
        </w:tc>
        <w:tc>
          <w:tcPr>
            <w:tcW w:w="566" w:type="pct"/>
            <w:tcBorders>
              <w:top w:val="nil"/>
              <w:left w:val="nil"/>
              <w:bottom w:val="nil"/>
              <w:right w:val="nil"/>
            </w:tcBorders>
            <w:shd w:val="clear" w:color="auto" w:fill="auto"/>
            <w:vAlign w:val="bottom"/>
          </w:tcPr>
          <w:p w14:paraId="6F7001C0"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1.422</w:t>
            </w:r>
          </w:p>
        </w:tc>
        <w:tc>
          <w:tcPr>
            <w:tcW w:w="488" w:type="pct"/>
            <w:tcBorders>
              <w:top w:val="nil"/>
              <w:left w:val="nil"/>
              <w:bottom w:val="nil"/>
              <w:right w:val="nil"/>
            </w:tcBorders>
            <w:shd w:val="clear" w:color="auto" w:fill="auto"/>
            <w:vAlign w:val="bottom"/>
          </w:tcPr>
          <w:p w14:paraId="3700032F"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484" w:type="pct"/>
            <w:tcBorders>
              <w:top w:val="nil"/>
              <w:left w:val="nil"/>
              <w:bottom w:val="nil"/>
              <w:right w:val="nil"/>
            </w:tcBorders>
            <w:shd w:val="clear" w:color="auto" w:fill="auto"/>
            <w:vAlign w:val="bottom"/>
          </w:tcPr>
          <w:p w14:paraId="1686F339"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522DA0AE"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1.422</w:t>
            </w:r>
          </w:p>
        </w:tc>
        <w:tc>
          <w:tcPr>
            <w:tcW w:w="513" w:type="pct"/>
            <w:tcBorders>
              <w:top w:val="nil"/>
              <w:left w:val="nil"/>
              <w:bottom w:val="nil"/>
              <w:right w:val="nil"/>
            </w:tcBorders>
            <w:shd w:val="clear" w:color="auto" w:fill="auto"/>
            <w:vAlign w:val="bottom"/>
          </w:tcPr>
          <w:p w14:paraId="3B7A1E49"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1.422</w:t>
            </w:r>
          </w:p>
        </w:tc>
        <w:tc>
          <w:tcPr>
            <w:tcW w:w="513" w:type="pct"/>
            <w:tcBorders>
              <w:top w:val="nil"/>
              <w:left w:val="nil"/>
              <w:bottom w:val="nil"/>
              <w:right w:val="nil"/>
            </w:tcBorders>
            <w:shd w:val="clear" w:color="auto" w:fill="auto"/>
            <w:vAlign w:val="bottom"/>
          </w:tcPr>
          <w:p w14:paraId="56E89FA6"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354187EF"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w:t>
            </w:r>
          </w:p>
        </w:tc>
        <w:tc>
          <w:tcPr>
            <w:tcW w:w="510" w:type="pct"/>
            <w:tcBorders>
              <w:top w:val="nil"/>
              <w:left w:val="nil"/>
              <w:bottom w:val="nil"/>
              <w:right w:val="nil"/>
            </w:tcBorders>
            <w:shd w:val="clear" w:color="auto" w:fill="auto"/>
            <w:vAlign w:val="bottom"/>
          </w:tcPr>
          <w:p w14:paraId="2E08B37E"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1.422</w:t>
            </w:r>
          </w:p>
        </w:tc>
      </w:tr>
      <w:tr w:rsidR="009F0625" w:rsidRPr="009557C4" w14:paraId="105EDFA1" w14:textId="77777777" w:rsidTr="000E5941">
        <w:trPr>
          <w:trHeight w:val="266"/>
        </w:trPr>
        <w:tc>
          <w:tcPr>
            <w:tcW w:w="900" w:type="pct"/>
            <w:vAlign w:val="bottom"/>
          </w:tcPr>
          <w:p w14:paraId="46A5B285" w14:textId="77777777" w:rsidR="009F0625" w:rsidRPr="009557C4" w:rsidRDefault="009F0625" w:rsidP="009F0625">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Ostala imovina</w:t>
            </w:r>
          </w:p>
        </w:tc>
        <w:tc>
          <w:tcPr>
            <w:tcW w:w="566" w:type="pct"/>
            <w:tcBorders>
              <w:top w:val="nil"/>
              <w:left w:val="nil"/>
              <w:bottom w:val="single" w:sz="8" w:space="0" w:color="auto"/>
              <w:right w:val="nil"/>
            </w:tcBorders>
            <w:shd w:val="clear" w:color="auto" w:fill="auto"/>
            <w:vAlign w:val="bottom"/>
          </w:tcPr>
          <w:p w14:paraId="5DBE820A"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5.853</w:t>
            </w:r>
          </w:p>
        </w:tc>
        <w:tc>
          <w:tcPr>
            <w:tcW w:w="488" w:type="pct"/>
            <w:tcBorders>
              <w:top w:val="nil"/>
              <w:left w:val="nil"/>
              <w:bottom w:val="single" w:sz="8" w:space="0" w:color="auto"/>
              <w:right w:val="nil"/>
            </w:tcBorders>
            <w:shd w:val="clear" w:color="auto" w:fill="auto"/>
            <w:vAlign w:val="bottom"/>
          </w:tcPr>
          <w:p w14:paraId="708F9EC9"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396</w:t>
            </w:r>
          </w:p>
        </w:tc>
        <w:tc>
          <w:tcPr>
            <w:tcW w:w="484" w:type="pct"/>
            <w:tcBorders>
              <w:top w:val="nil"/>
              <w:left w:val="nil"/>
              <w:bottom w:val="single" w:sz="8" w:space="0" w:color="auto"/>
              <w:right w:val="nil"/>
            </w:tcBorders>
            <w:shd w:val="clear" w:color="auto" w:fill="auto"/>
            <w:vAlign w:val="bottom"/>
          </w:tcPr>
          <w:p w14:paraId="50CB671A"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 -</w:t>
            </w:r>
          </w:p>
        </w:tc>
        <w:tc>
          <w:tcPr>
            <w:tcW w:w="513" w:type="pct"/>
            <w:tcBorders>
              <w:top w:val="nil"/>
              <w:left w:val="nil"/>
              <w:bottom w:val="single" w:sz="8" w:space="0" w:color="auto"/>
              <w:right w:val="nil"/>
            </w:tcBorders>
            <w:shd w:val="clear" w:color="auto" w:fill="auto"/>
            <w:vAlign w:val="bottom"/>
          </w:tcPr>
          <w:p w14:paraId="263F2172"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6.249</w:t>
            </w:r>
          </w:p>
        </w:tc>
        <w:tc>
          <w:tcPr>
            <w:tcW w:w="513" w:type="pct"/>
            <w:tcBorders>
              <w:top w:val="nil"/>
              <w:left w:val="nil"/>
              <w:bottom w:val="single" w:sz="8" w:space="0" w:color="auto"/>
              <w:right w:val="nil"/>
            </w:tcBorders>
            <w:shd w:val="clear" w:color="auto" w:fill="auto"/>
            <w:vAlign w:val="bottom"/>
          </w:tcPr>
          <w:p w14:paraId="5EF2D373"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3.270</w:t>
            </w:r>
          </w:p>
        </w:tc>
        <w:tc>
          <w:tcPr>
            <w:tcW w:w="513" w:type="pct"/>
            <w:tcBorders>
              <w:top w:val="nil"/>
              <w:left w:val="nil"/>
              <w:bottom w:val="single" w:sz="8" w:space="0" w:color="auto"/>
              <w:right w:val="nil"/>
            </w:tcBorders>
            <w:shd w:val="clear" w:color="auto" w:fill="auto"/>
            <w:vAlign w:val="bottom"/>
          </w:tcPr>
          <w:p w14:paraId="24A6D618"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396</w:t>
            </w:r>
          </w:p>
        </w:tc>
        <w:tc>
          <w:tcPr>
            <w:tcW w:w="513" w:type="pct"/>
            <w:tcBorders>
              <w:top w:val="nil"/>
              <w:left w:val="nil"/>
              <w:bottom w:val="single" w:sz="8" w:space="0" w:color="auto"/>
              <w:right w:val="nil"/>
            </w:tcBorders>
            <w:shd w:val="clear" w:color="auto" w:fill="auto"/>
            <w:vAlign w:val="bottom"/>
          </w:tcPr>
          <w:p w14:paraId="2F701F1A"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 </w:t>
            </w:r>
          </w:p>
        </w:tc>
        <w:tc>
          <w:tcPr>
            <w:tcW w:w="510" w:type="pct"/>
            <w:tcBorders>
              <w:top w:val="nil"/>
              <w:left w:val="nil"/>
              <w:bottom w:val="single" w:sz="8" w:space="0" w:color="auto"/>
              <w:right w:val="nil"/>
            </w:tcBorders>
            <w:shd w:val="clear" w:color="auto" w:fill="auto"/>
            <w:vAlign w:val="bottom"/>
          </w:tcPr>
          <w:p w14:paraId="7B65EDC0"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GB"/>
              </w:rPr>
              <w:t>3.666</w:t>
            </w:r>
          </w:p>
        </w:tc>
      </w:tr>
      <w:tr w:rsidR="009F0625" w:rsidRPr="009557C4" w14:paraId="3D22E3DC" w14:textId="77777777" w:rsidTr="000E5941">
        <w:trPr>
          <w:trHeight w:val="301"/>
        </w:trPr>
        <w:tc>
          <w:tcPr>
            <w:tcW w:w="900" w:type="pct"/>
          </w:tcPr>
          <w:p w14:paraId="22B5E727" w14:textId="77777777" w:rsidR="009F0625" w:rsidRPr="009557C4" w:rsidRDefault="009F0625" w:rsidP="009F0625">
            <w:pPr>
              <w:tabs>
                <w:tab w:val="right" w:pos="1202"/>
              </w:tabs>
              <w:spacing w:after="0" w:line="34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Ukupno</w:t>
            </w:r>
          </w:p>
        </w:tc>
        <w:tc>
          <w:tcPr>
            <w:tcW w:w="566" w:type="pct"/>
            <w:tcBorders>
              <w:top w:val="nil"/>
              <w:left w:val="nil"/>
              <w:bottom w:val="single" w:sz="12" w:space="0" w:color="auto"/>
              <w:right w:val="nil"/>
            </w:tcBorders>
            <w:shd w:val="clear" w:color="auto" w:fill="auto"/>
            <w:vAlign w:val="bottom"/>
          </w:tcPr>
          <w:p w14:paraId="37717778"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25.763.576</w:t>
            </w:r>
          </w:p>
        </w:tc>
        <w:tc>
          <w:tcPr>
            <w:tcW w:w="488" w:type="pct"/>
            <w:tcBorders>
              <w:top w:val="nil"/>
              <w:left w:val="nil"/>
              <w:bottom w:val="single" w:sz="12" w:space="0" w:color="auto"/>
              <w:right w:val="nil"/>
            </w:tcBorders>
            <w:shd w:val="clear" w:color="auto" w:fill="auto"/>
            <w:vAlign w:val="bottom"/>
          </w:tcPr>
          <w:p w14:paraId="17010832"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1.512.887</w:t>
            </w:r>
          </w:p>
        </w:tc>
        <w:tc>
          <w:tcPr>
            <w:tcW w:w="484" w:type="pct"/>
            <w:tcBorders>
              <w:top w:val="nil"/>
              <w:left w:val="nil"/>
              <w:bottom w:val="single" w:sz="12" w:space="0" w:color="auto"/>
              <w:right w:val="nil"/>
            </w:tcBorders>
            <w:shd w:val="clear" w:color="auto" w:fill="auto"/>
            <w:vAlign w:val="bottom"/>
          </w:tcPr>
          <w:p w14:paraId="1DA41239"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snapToGrid w:val="0"/>
                <w:sz w:val="18"/>
                <w:szCs w:val="18"/>
              </w:rPr>
            </w:pPr>
            <w:r w:rsidRPr="00F75F86">
              <w:rPr>
                <w:rFonts w:ascii="Calibri" w:eastAsia="Times New Roman" w:hAnsi="Calibri" w:cs="Arial"/>
                <w:b/>
                <w:bCs/>
                <w:sz w:val="18"/>
                <w:szCs w:val="18"/>
                <w:lang w:val="en-GB"/>
              </w:rPr>
              <w:t>-</w:t>
            </w:r>
          </w:p>
        </w:tc>
        <w:tc>
          <w:tcPr>
            <w:tcW w:w="513" w:type="pct"/>
            <w:tcBorders>
              <w:top w:val="nil"/>
              <w:left w:val="nil"/>
              <w:bottom w:val="single" w:sz="12" w:space="0" w:color="auto"/>
              <w:right w:val="nil"/>
            </w:tcBorders>
            <w:shd w:val="clear" w:color="auto" w:fill="auto"/>
            <w:vAlign w:val="bottom"/>
          </w:tcPr>
          <w:p w14:paraId="3A5BE70E"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27.276.463</w:t>
            </w:r>
          </w:p>
        </w:tc>
        <w:tc>
          <w:tcPr>
            <w:tcW w:w="513" w:type="pct"/>
            <w:tcBorders>
              <w:top w:val="nil"/>
              <w:left w:val="nil"/>
              <w:bottom w:val="single" w:sz="12" w:space="0" w:color="auto"/>
              <w:right w:val="nil"/>
            </w:tcBorders>
            <w:shd w:val="clear" w:color="auto" w:fill="auto"/>
            <w:vAlign w:val="bottom"/>
          </w:tcPr>
          <w:p w14:paraId="72BBCF76"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4.931.347</w:t>
            </w:r>
          </w:p>
        </w:tc>
        <w:tc>
          <w:tcPr>
            <w:tcW w:w="513" w:type="pct"/>
            <w:tcBorders>
              <w:top w:val="nil"/>
              <w:left w:val="nil"/>
              <w:bottom w:val="single" w:sz="12" w:space="0" w:color="auto"/>
              <w:right w:val="nil"/>
            </w:tcBorders>
            <w:shd w:val="clear" w:color="auto" w:fill="auto"/>
            <w:vAlign w:val="bottom"/>
          </w:tcPr>
          <w:p w14:paraId="2A12D7BB"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35.326</w:t>
            </w:r>
          </w:p>
        </w:tc>
        <w:tc>
          <w:tcPr>
            <w:tcW w:w="513" w:type="pct"/>
            <w:tcBorders>
              <w:top w:val="nil"/>
              <w:left w:val="nil"/>
              <w:bottom w:val="single" w:sz="12" w:space="0" w:color="auto"/>
              <w:right w:val="nil"/>
            </w:tcBorders>
            <w:shd w:val="clear" w:color="auto" w:fill="auto"/>
            <w:vAlign w:val="bottom"/>
          </w:tcPr>
          <w:p w14:paraId="2FEAF022"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w:t>
            </w:r>
          </w:p>
        </w:tc>
        <w:tc>
          <w:tcPr>
            <w:tcW w:w="510" w:type="pct"/>
            <w:tcBorders>
              <w:top w:val="nil"/>
              <w:left w:val="nil"/>
              <w:bottom w:val="single" w:sz="12" w:space="0" w:color="auto"/>
              <w:right w:val="nil"/>
            </w:tcBorders>
            <w:shd w:val="clear" w:color="auto" w:fill="auto"/>
            <w:vAlign w:val="bottom"/>
          </w:tcPr>
          <w:p w14:paraId="630B21F7"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4.966.673</w:t>
            </w:r>
          </w:p>
        </w:tc>
      </w:tr>
      <w:tr w:rsidR="009F0625" w:rsidRPr="009557C4" w14:paraId="604CBA4B" w14:textId="77777777" w:rsidTr="000E5941">
        <w:trPr>
          <w:trHeight w:val="382"/>
        </w:trPr>
        <w:tc>
          <w:tcPr>
            <w:tcW w:w="900" w:type="pct"/>
          </w:tcPr>
          <w:p w14:paraId="7E8C54AC" w14:textId="77777777" w:rsidR="009F0625" w:rsidRPr="009557C4" w:rsidRDefault="009F0625" w:rsidP="009F0625">
            <w:pPr>
              <w:tabs>
                <w:tab w:val="right" w:pos="1202"/>
              </w:tabs>
              <w:spacing w:after="0" w:line="20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Garancije i preuzete obveze</w:t>
            </w:r>
          </w:p>
        </w:tc>
        <w:tc>
          <w:tcPr>
            <w:tcW w:w="566" w:type="pct"/>
            <w:tcBorders>
              <w:top w:val="single" w:sz="12" w:space="0" w:color="auto"/>
            </w:tcBorders>
            <w:vAlign w:val="bottom"/>
          </w:tcPr>
          <w:p w14:paraId="68993DF2"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p>
        </w:tc>
        <w:tc>
          <w:tcPr>
            <w:tcW w:w="488" w:type="pct"/>
            <w:tcBorders>
              <w:top w:val="single" w:sz="12" w:space="0" w:color="auto"/>
            </w:tcBorders>
            <w:vAlign w:val="bottom"/>
          </w:tcPr>
          <w:p w14:paraId="59EA69AB"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p>
        </w:tc>
        <w:tc>
          <w:tcPr>
            <w:tcW w:w="484" w:type="pct"/>
            <w:tcBorders>
              <w:top w:val="single" w:sz="12" w:space="0" w:color="auto"/>
            </w:tcBorders>
            <w:vAlign w:val="bottom"/>
          </w:tcPr>
          <w:p w14:paraId="10E4AF86"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p>
        </w:tc>
        <w:tc>
          <w:tcPr>
            <w:tcW w:w="513" w:type="pct"/>
            <w:tcBorders>
              <w:top w:val="single" w:sz="12" w:space="0" w:color="auto"/>
            </w:tcBorders>
            <w:vAlign w:val="bottom"/>
          </w:tcPr>
          <w:p w14:paraId="302E5876"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p>
        </w:tc>
        <w:tc>
          <w:tcPr>
            <w:tcW w:w="513" w:type="pct"/>
            <w:tcBorders>
              <w:top w:val="single" w:sz="12" w:space="0" w:color="auto"/>
            </w:tcBorders>
            <w:vAlign w:val="bottom"/>
          </w:tcPr>
          <w:p w14:paraId="7D0463DB"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p>
        </w:tc>
        <w:tc>
          <w:tcPr>
            <w:tcW w:w="513" w:type="pct"/>
            <w:tcBorders>
              <w:top w:val="single" w:sz="12" w:space="0" w:color="auto"/>
            </w:tcBorders>
            <w:vAlign w:val="bottom"/>
          </w:tcPr>
          <w:p w14:paraId="2C77C338"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p>
        </w:tc>
        <w:tc>
          <w:tcPr>
            <w:tcW w:w="513" w:type="pct"/>
            <w:tcBorders>
              <w:top w:val="single" w:sz="12" w:space="0" w:color="auto"/>
            </w:tcBorders>
            <w:vAlign w:val="bottom"/>
          </w:tcPr>
          <w:p w14:paraId="0988FC29"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p>
        </w:tc>
        <w:tc>
          <w:tcPr>
            <w:tcW w:w="510" w:type="pct"/>
            <w:tcBorders>
              <w:top w:val="single" w:sz="12" w:space="0" w:color="auto"/>
            </w:tcBorders>
            <w:vAlign w:val="bottom"/>
          </w:tcPr>
          <w:p w14:paraId="673E68F0"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p>
        </w:tc>
      </w:tr>
      <w:tr w:rsidR="009F0625" w:rsidRPr="009557C4" w14:paraId="3695BF5C" w14:textId="77777777" w:rsidTr="000E5941">
        <w:trPr>
          <w:trHeight w:val="371"/>
        </w:trPr>
        <w:tc>
          <w:tcPr>
            <w:tcW w:w="900" w:type="pct"/>
            <w:vAlign w:val="center"/>
          </w:tcPr>
          <w:p w14:paraId="7A93B9CA" w14:textId="77777777" w:rsidR="009F0625" w:rsidRPr="009557C4" w:rsidRDefault="009F0625" w:rsidP="009F0625">
            <w:pPr>
              <w:tabs>
                <w:tab w:val="right" w:pos="1202"/>
              </w:tabs>
              <w:spacing w:after="0" w:line="200" w:lineRule="exact"/>
              <w:outlineLvl w:val="0"/>
              <w:rPr>
                <w:rFonts w:ascii="Calibri" w:eastAsia="Times New Roman" w:hAnsi="Calibri" w:cs="Arial"/>
                <w:b/>
                <w:bCs/>
                <w:sz w:val="16"/>
                <w:szCs w:val="16"/>
              </w:rPr>
            </w:pPr>
            <w:r w:rsidRPr="009557C4">
              <w:rPr>
                <w:rFonts w:ascii="Calibri" w:eastAsia="Times New Roman" w:hAnsi="Calibri" w:cs="Arial"/>
                <w:sz w:val="16"/>
                <w:szCs w:val="16"/>
              </w:rPr>
              <w:t>Izdane garancije u kunama</w:t>
            </w:r>
          </w:p>
        </w:tc>
        <w:tc>
          <w:tcPr>
            <w:tcW w:w="566" w:type="pct"/>
            <w:tcBorders>
              <w:top w:val="nil"/>
              <w:left w:val="nil"/>
              <w:bottom w:val="nil"/>
              <w:right w:val="nil"/>
            </w:tcBorders>
            <w:shd w:val="clear" w:color="auto" w:fill="auto"/>
            <w:vAlign w:val="bottom"/>
          </w:tcPr>
          <w:p w14:paraId="104B85D4"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r w:rsidRPr="00F75F86">
              <w:rPr>
                <w:rFonts w:ascii="Calibri" w:eastAsia="Times New Roman" w:hAnsi="Calibri" w:cs="Arial"/>
                <w:sz w:val="18"/>
                <w:szCs w:val="18"/>
                <w:lang w:val="en-GB"/>
              </w:rPr>
              <w:t>32.082</w:t>
            </w:r>
          </w:p>
        </w:tc>
        <w:tc>
          <w:tcPr>
            <w:tcW w:w="488" w:type="pct"/>
            <w:tcBorders>
              <w:top w:val="nil"/>
              <w:left w:val="nil"/>
              <w:bottom w:val="nil"/>
              <w:right w:val="nil"/>
            </w:tcBorders>
            <w:shd w:val="clear" w:color="auto" w:fill="auto"/>
            <w:vAlign w:val="bottom"/>
          </w:tcPr>
          <w:p w14:paraId="3C59CAD7"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r w:rsidRPr="00F75F86">
              <w:rPr>
                <w:rFonts w:ascii="Calibri" w:eastAsia="Times New Roman" w:hAnsi="Calibri" w:cs="Arial"/>
                <w:sz w:val="18"/>
                <w:szCs w:val="18"/>
                <w:lang w:val="en-GB"/>
              </w:rPr>
              <w:t>-</w:t>
            </w:r>
          </w:p>
        </w:tc>
        <w:tc>
          <w:tcPr>
            <w:tcW w:w="484" w:type="pct"/>
            <w:tcBorders>
              <w:top w:val="nil"/>
              <w:left w:val="nil"/>
              <w:bottom w:val="nil"/>
              <w:right w:val="nil"/>
            </w:tcBorders>
            <w:shd w:val="clear" w:color="auto" w:fill="auto"/>
            <w:vAlign w:val="bottom"/>
          </w:tcPr>
          <w:p w14:paraId="5BC7761E"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0E0B38D7"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r w:rsidRPr="00F75F86">
              <w:rPr>
                <w:rFonts w:ascii="Calibri" w:eastAsia="Times New Roman" w:hAnsi="Calibri" w:cs="Arial"/>
                <w:sz w:val="18"/>
                <w:szCs w:val="18"/>
                <w:lang w:val="en-GB"/>
              </w:rPr>
              <w:t>32.082</w:t>
            </w:r>
          </w:p>
        </w:tc>
        <w:tc>
          <w:tcPr>
            <w:tcW w:w="513" w:type="pct"/>
            <w:tcBorders>
              <w:top w:val="nil"/>
              <w:left w:val="nil"/>
              <w:bottom w:val="nil"/>
              <w:right w:val="nil"/>
            </w:tcBorders>
            <w:shd w:val="clear" w:color="auto" w:fill="auto"/>
            <w:vAlign w:val="bottom"/>
          </w:tcPr>
          <w:p w14:paraId="5F903EB6"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3BC2A535"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r w:rsidRPr="00F75F86">
              <w:rPr>
                <w:rFonts w:ascii="Calibri" w:eastAsia="Times New Roman" w:hAnsi="Calibri" w:cs="Arial"/>
                <w:sz w:val="18"/>
                <w:szCs w:val="18"/>
                <w:lang w:val="en-GB"/>
              </w:rPr>
              <w:t>-</w:t>
            </w:r>
          </w:p>
        </w:tc>
        <w:tc>
          <w:tcPr>
            <w:tcW w:w="513" w:type="pct"/>
            <w:tcBorders>
              <w:top w:val="nil"/>
              <w:left w:val="nil"/>
              <w:bottom w:val="nil"/>
              <w:right w:val="nil"/>
            </w:tcBorders>
            <w:shd w:val="clear" w:color="auto" w:fill="auto"/>
            <w:vAlign w:val="bottom"/>
          </w:tcPr>
          <w:p w14:paraId="3548BAF8"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r w:rsidRPr="00F75F86">
              <w:rPr>
                <w:rFonts w:ascii="Calibri" w:eastAsia="Times New Roman" w:hAnsi="Calibri" w:cs="Arial"/>
                <w:sz w:val="18"/>
                <w:szCs w:val="18"/>
                <w:lang w:val="en-GB"/>
              </w:rPr>
              <w:t>-</w:t>
            </w:r>
          </w:p>
        </w:tc>
        <w:tc>
          <w:tcPr>
            <w:tcW w:w="510" w:type="pct"/>
            <w:tcBorders>
              <w:top w:val="nil"/>
              <w:left w:val="nil"/>
              <w:bottom w:val="nil"/>
              <w:right w:val="nil"/>
            </w:tcBorders>
            <w:shd w:val="clear" w:color="auto" w:fill="auto"/>
            <w:vAlign w:val="bottom"/>
          </w:tcPr>
          <w:p w14:paraId="42399855"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bCs/>
                <w:sz w:val="18"/>
                <w:szCs w:val="18"/>
              </w:rPr>
            </w:pPr>
            <w:r w:rsidRPr="00F75F86">
              <w:rPr>
                <w:rFonts w:ascii="Calibri" w:eastAsia="Times New Roman" w:hAnsi="Calibri" w:cs="Arial"/>
                <w:sz w:val="18"/>
                <w:szCs w:val="18"/>
                <w:lang w:val="en-GB"/>
              </w:rPr>
              <w:t>-</w:t>
            </w:r>
          </w:p>
        </w:tc>
      </w:tr>
      <w:tr w:rsidR="009F0625" w:rsidRPr="009557C4" w14:paraId="546F760C" w14:textId="77777777" w:rsidTr="000E5941">
        <w:trPr>
          <w:trHeight w:val="405"/>
        </w:trPr>
        <w:tc>
          <w:tcPr>
            <w:tcW w:w="900" w:type="pct"/>
            <w:vAlign w:val="center"/>
          </w:tcPr>
          <w:p w14:paraId="29DAF507" w14:textId="77777777" w:rsidR="009F0625" w:rsidRPr="009557C4" w:rsidRDefault="009F0625" w:rsidP="009F0625">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Izdane garancije u devizama</w:t>
            </w:r>
          </w:p>
        </w:tc>
        <w:tc>
          <w:tcPr>
            <w:tcW w:w="566" w:type="pct"/>
            <w:tcBorders>
              <w:top w:val="nil"/>
              <w:left w:val="nil"/>
              <w:bottom w:val="nil"/>
              <w:right w:val="nil"/>
            </w:tcBorders>
            <w:shd w:val="clear" w:color="auto" w:fill="auto"/>
            <w:vAlign w:val="bottom"/>
          </w:tcPr>
          <w:p w14:paraId="4FF6E7C2" w14:textId="77777777" w:rsidR="009F0625" w:rsidRPr="00F75F86" w:rsidRDefault="009F0625" w:rsidP="009F0625">
            <w:pPr>
              <w:tabs>
                <w:tab w:val="right" w:pos="1202"/>
              </w:tabs>
              <w:spacing w:after="0"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1.964.149</w:t>
            </w:r>
          </w:p>
        </w:tc>
        <w:tc>
          <w:tcPr>
            <w:tcW w:w="488" w:type="pct"/>
            <w:tcBorders>
              <w:top w:val="nil"/>
              <w:left w:val="nil"/>
              <w:bottom w:val="nil"/>
              <w:right w:val="nil"/>
            </w:tcBorders>
            <w:shd w:val="clear" w:color="auto" w:fill="auto"/>
            <w:vAlign w:val="bottom"/>
          </w:tcPr>
          <w:p w14:paraId="4E25CBA0" w14:textId="77777777" w:rsidR="009F0625" w:rsidRPr="00F75F86" w:rsidRDefault="009F0625" w:rsidP="009F0625">
            <w:pPr>
              <w:tabs>
                <w:tab w:val="right" w:pos="1202"/>
              </w:tabs>
              <w:spacing w:after="0"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18.820</w:t>
            </w:r>
          </w:p>
        </w:tc>
        <w:tc>
          <w:tcPr>
            <w:tcW w:w="484" w:type="pct"/>
            <w:tcBorders>
              <w:top w:val="nil"/>
              <w:left w:val="nil"/>
              <w:bottom w:val="nil"/>
              <w:right w:val="nil"/>
            </w:tcBorders>
            <w:shd w:val="clear" w:color="auto" w:fill="auto"/>
            <w:vAlign w:val="bottom"/>
          </w:tcPr>
          <w:p w14:paraId="1B01A446"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US"/>
              </w:rPr>
              <w:t>-</w:t>
            </w:r>
          </w:p>
        </w:tc>
        <w:tc>
          <w:tcPr>
            <w:tcW w:w="513" w:type="pct"/>
            <w:tcBorders>
              <w:top w:val="nil"/>
              <w:left w:val="nil"/>
              <w:bottom w:val="nil"/>
              <w:right w:val="nil"/>
            </w:tcBorders>
            <w:shd w:val="clear" w:color="auto" w:fill="auto"/>
            <w:vAlign w:val="bottom"/>
          </w:tcPr>
          <w:p w14:paraId="2907E188" w14:textId="77777777" w:rsidR="009F0625" w:rsidRPr="00F75F86" w:rsidRDefault="009F0625" w:rsidP="009F0625">
            <w:pPr>
              <w:tabs>
                <w:tab w:val="right" w:pos="1202"/>
              </w:tabs>
              <w:spacing w:after="0"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1.982.969</w:t>
            </w:r>
          </w:p>
        </w:tc>
        <w:tc>
          <w:tcPr>
            <w:tcW w:w="513" w:type="pct"/>
            <w:tcBorders>
              <w:top w:val="nil"/>
              <w:left w:val="nil"/>
              <w:bottom w:val="nil"/>
              <w:right w:val="nil"/>
            </w:tcBorders>
            <w:shd w:val="clear" w:color="auto" w:fill="auto"/>
            <w:vAlign w:val="bottom"/>
          </w:tcPr>
          <w:p w14:paraId="2E63D88D" w14:textId="77777777" w:rsidR="009F0625" w:rsidRPr="00F75F86" w:rsidRDefault="009F0625" w:rsidP="009F0625">
            <w:pPr>
              <w:tabs>
                <w:tab w:val="right" w:pos="1202"/>
              </w:tabs>
              <w:spacing w:after="0"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437.160</w:t>
            </w:r>
          </w:p>
        </w:tc>
        <w:tc>
          <w:tcPr>
            <w:tcW w:w="513" w:type="pct"/>
            <w:tcBorders>
              <w:top w:val="nil"/>
              <w:left w:val="nil"/>
              <w:bottom w:val="nil"/>
              <w:right w:val="nil"/>
            </w:tcBorders>
            <w:shd w:val="clear" w:color="auto" w:fill="auto"/>
            <w:vAlign w:val="bottom"/>
          </w:tcPr>
          <w:p w14:paraId="47777143"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US"/>
              </w:rPr>
              <w:t>-</w:t>
            </w:r>
          </w:p>
        </w:tc>
        <w:tc>
          <w:tcPr>
            <w:tcW w:w="513" w:type="pct"/>
            <w:tcBorders>
              <w:top w:val="nil"/>
              <w:left w:val="nil"/>
              <w:bottom w:val="nil"/>
              <w:right w:val="nil"/>
            </w:tcBorders>
            <w:shd w:val="clear" w:color="auto" w:fill="auto"/>
            <w:vAlign w:val="bottom"/>
          </w:tcPr>
          <w:p w14:paraId="4C410196"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US"/>
              </w:rPr>
              <w:t>-</w:t>
            </w:r>
          </w:p>
        </w:tc>
        <w:tc>
          <w:tcPr>
            <w:tcW w:w="510" w:type="pct"/>
            <w:tcBorders>
              <w:top w:val="nil"/>
              <w:left w:val="nil"/>
              <w:bottom w:val="nil"/>
              <w:right w:val="nil"/>
            </w:tcBorders>
            <w:shd w:val="clear" w:color="auto" w:fill="auto"/>
            <w:vAlign w:val="bottom"/>
          </w:tcPr>
          <w:p w14:paraId="74E6C70F" w14:textId="77777777" w:rsidR="009F0625" w:rsidRPr="00F75F86" w:rsidRDefault="009F0625" w:rsidP="009F0625">
            <w:pPr>
              <w:tabs>
                <w:tab w:val="right" w:pos="1202"/>
              </w:tabs>
              <w:spacing w:after="0"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437.160</w:t>
            </w:r>
          </w:p>
        </w:tc>
      </w:tr>
      <w:tr w:rsidR="009F0625" w:rsidRPr="009557C4" w14:paraId="65457B88" w14:textId="77777777" w:rsidTr="000E5941">
        <w:trPr>
          <w:trHeight w:val="405"/>
        </w:trPr>
        <w:tc>
          <w:tcPr>
            <w:tcW w:w="900" w:type="pct"/>
            <w:vAlign w:val="center"/>
          </w:tcPr>
          <w:p w14:paraId="53107DE7" w14:textId="77777777" w:rsidR="009F0625" w:rsidRPr="009557C4" w:rsidRDefault="009F0625" w:rsidP="009F0625">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Preuzete obveze po kreditima</w:t>
            </w:r>
          </w:p>
        </w:tc>
        <w:tc>
          <w:tcPr>
            <w:tcW w:w="566" w:type="pct"/>
            <w:tcBorders>
              <w:top w:val="nil"/>
              <w:left w:val="nil"/>
              <w:bottom w:val="nil"/>
              <w:right w:val="nil"/>
            </w:tcBorders>
            <w:shd w:val="clear" w:color="auto" w:fill="auto"/>
            <w:vAlign w:val="bottom"/>
          </w:tcPr>
          <w:p w14:paraId="3ABAF510" w14:textId="77777777" w:rsidR="009F0625" w:rsidRPr="00F75F86" w:rsidRDefault="009F0625" w:rsidP="009F0625">
            <w:pPr>
              <w:tabs>
                <w:tab w:val="right" w:pos="1202"/>
              </w:tabs>
              <w:spacing w:after="0"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3.911.236</w:t>
            </w:r>
          </w:p>
        </w:tc>
        <w:tc>
          <w:tcPr>
            <w:tcW w:w="488" w:type="pct"/>
            <w:tcBorders>
              <w:top w:val="nil"/>
              <w:left w:val="nil"/>
              <w:bottom w:val="nil"/>
              <w:right w:val="nil"/>
            </w:tcBorders>
            <w:shd w:val="clear" w:color="auto" w:fill="auto"/>
            <w:vAlign w:val="bottom"/>
          </w:tcPr>
          <w:p w14:paraId="3158411A"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US"/>
              </w:rPr>
              <w:t>16.941</w:t>
            </w:r>
          </w:p>
        </w:tc>
        <w:tc>
          <w:tcPr>
            <w:tcW w:w="484" w:type="pct"/>
            <w:tcBorders>
              <w:top w:val="nil"/>
              <w:left w:val="nil"/>
              <w:bottom w:val="nil"/>
              <w:right w:val="nil"/>
            </w:tcBorders>
            <w:shd w:val="clear" w:color="auto" w:fill="auto"/>
            <w:vAlign w:val="bottom"/>
          </w:tcPr>
          <w:p w14:paraId="21C65791" w14:textId="77777777" w:rsidR="009F0625" w:rsidRPr="00F75F86"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US"/>
              </w:rPr>
              <w:t>-</w:t>
            </w:r>
          </w:p>
        </w:tc>
        <w:tc>
          <w:tcPr>
            <w:tcW w:w="513" w:type="pct"/>
            <w:tcBorders>
              <w:top w:val="nil"/>
              <w:left w:val="nil"/>
              <w:bottom w:val="nil"/>
              <w:right w:val="nil"/>
            </w:tcBorders>
            <w:shd w:val="clear" w:color="auto" w:fill="auto"/>
            <w:vAlign w:val="bottom"/>
          </w:tcPr>
          <w:p w14:paraId="511A1657" w14:textId="77777777" w:rsidR="009F0625" w:rsidRPr="00F75F86" w:rsidRDefault="009F0625" w:rsidP="009F0625">
            <w:pPr>
              <w:tabs>
                <w:tab w:val="right" w:pos="1202"/>
              </w:tabs>
              <w:spacing w:after="0"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3.928.177</w:t>
            </w:r>
          </w:p>
        </w:tc>
        <w:tc>
          <w:tcPr>
            <w:tcW w:w="513" w:type="pct"/>
            <w:tcBorders>
              <w:top w:val="nil"/>
              <w:left w:val="nil"/>
              <w:bottom w:val="nil"/>
              <w:right w:val="nil"/>
            </w:tcBorders>
            <w:shd w:val="clear" w:color="auto" w:fill="auto"/>
            <w:vAlign w:val="bottom"/>
          </w:tcPr>
          <w:p w14:paraId="70D7D813"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658.819</w:t>
            </w:r>
          </w:p>
        </w:tc>
        <w:tc>
          <w:tcPr>
            <w:tcW w:w="513" w:type="pct"/>
            <w:tcBorders>
              <w:top w:val="nil"/>
              <w:left w:val="nil"/>
              <w:bottom w:val="nil"/>
              <w:right w:val="nil"/>
            </w:tcBorders>
            <w:shd w:val="clear" w:color="auto" w:fill="auto"/>
            <w:vAlign w:val="bottom"/>
          </w:tcPr>
          <w:p w14:paraId="23895441"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w:t>
            </w:r>
          </w:p>
        </w:tc>
        <w:tc>
          <w:tcPr>
            <w:tcW w:w="513" w:type="pct"/>
            <w:tcBorders>
              <w:top w:val="nil"/>
              <w:left w:val="nil"/>
              <w:bottom w:val="nil"/>
              <w:right w:val="nil"/>
            </w:tcBorders>
            <w:shd w:val="clear" w:color="auto" w:fill="auto"/>
            <w:vAlign w:val="bottom"/>
          </w:tcPr>
          <w:p w14:paraId="6672051F"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w:t>
            </w:r>
          </w:p>
        </w:tc>
        <w:tc>
          <w:tcPr>
            <w:tcW w:w="510" w:type="pct"/>
            <w:tcBorders>
              <w:top w:val="nil"/>
              <w:left w:val="nil"/>
              <w:bottom w:val="nil"/>
              <w:right w:val="nil"/>
            </w:tcBorders>
            <w:shd w:val="clear" w:color="auto" w:fill="auto"/>
            <w:vAlign w:val="bottom"/>
          </w:tcPr>
          <w:p w14:paraId="3F3B695A" w14:textId="77777777" w:rsidR="009F0625" w:rsidRPr="00F75F86"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658.819</w:t>
            </w:r>
          </w:p>
        </w:tc>
      </w:tr>
      <w:tr w:rsidR="009F0625" w:rsidRPr="009557C4" w14:paraId="22BE0108" w14:textId="77777777" w:rsidTr="000E5941">
        <w:trPr>
          <w:trHeight w:val="614"/>
        </w:trPr>
        <w:tc>
          <w:tcPr>
            <w:tcW w:w="900" w:type="pct"/>
            <w:vAlign w:val="center"/>
          </w:tcPr>
          <w:p w14:paraId="35A10871" w14:textId="77777777" w:rsidR="009F0625" w:rsidRPr="009557C4" w:rsidRDefault="009F0625" w:rsidP="009F0625">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Ostale nespomenute neopozive potencijalne obveze</w:t>
            </w:r>
          </w:p>
        </w:tc>
        <w:tc>
          <w:tcPr>
            <w:tcW w:w="566" w:type="pct"/>
            <w:tcBorders>
              <w:top w:val="nil"/>
              <w:left w:val="nil"/>
              <w:bottom w:val="single" w:sz="8" w:space="0" w:color="auto"/>
              <w:right w:val="nil"/>
            </w:tcBorders>
            <w:shd w:val="clear" w:color="auto" w:fill="auto"/>
            <w:vAlign w:val="bottom"/>
          </w:tcPr>
          <w:p w14:paraId="7DCDB070" w14:textId="77777777" w:rsidR="009F0625" w:rsidRPr="00F75F86" w:rsidDel="006E2C67" w:rsidRDefault="009F0625" w:rsidP="009F0625">
            <w:pPr>
              <w:tabs>
                <w:tab w:val="right" w:pos="1202"/>
              </w:tabs>
              <w:spacing w:after="0"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335</w:t>
            </w:r>
          </w:p>
        </w:tc>
        <w:tc>
          <w:tcPr>
            <w:tcW w:w="488" w:type="pct"/>
            <w:tcBorders>
              <w:top w:val="nil"/>
              <w:left w:val="nil"/>
              <w:bottom w:val="single" w:sz="8" w:space="0" w:color="auto"/>
              <w:right w:val="nil"/>
            </w:tcBorders>
            <w:shd w:val="clear" w:color="auto" w:fill="auto"/>
            <w:vAlign w:val="bottom"/>
          </w:tcPr>
          <w:p w14:paraId="56F6AD46" w14:textId="77777777" w:rsidR="009F0625" w:rsidRPr="00F75F86" w:rsidDel="006E2C67"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US"/>
              </w:rPr>
              <w:t>-</w:t>
            </w:r>
          </w:p>
        </w:tc>
        <w:tc>
          <w:tcPr>
            <w:tcW w:w="484" w:type="pct"/>
            <w:tcBorders>
              <w:top w:val="nil"/>
              <w:left w:val="nil"/>
              <w:bottom w:val="single" w:sz="8" w:space="0" w:color="auto"/>
              <w:right w:val="nil"/>
            </w:tcBorders>
            <w:shd w:val="clear" w:color="auto" w:fill="auto"/>
            <w:vAlign w:val="bottom"/>
          </w:tcPr>
          <w:p w14:paraId="5062488B" w14:textId="77777777" w:rsidR="009F0625" w:rsidRPr="00F75F86" w:rsidDel="006E2C67" w:rsidRDefault="009F0625" w:rsidP="009F0625">
            <w:pPr>
              <w:tabs>
                <w:tab w:val="right" w:pos="1202"/>
              </w:tabs>
              <w:spacing w:after="0" w:line="301" w:lineRule="exact"/>
              <w:jc w:val="right"/>
              <w:outlineLvl w:val="0"/>
              <w:rPr>
                <w:rFonts w:ascii="Calibri" w:eastAsia="Times New Roman" w:hAnsi="Calibri" w:cs="Arial"/>
                <w:snapToGrid w:val="0"/>
                <w:sz w:val="18"/>
                <w:szCs w:val="18"/>
              </w:rPr>
            </w:pPr>
            <w:r w:rsidRPr="00F75F86">
              <w:rPr>
                <w:rFonts w:ascii="Calibri" w:eastAsia="Times New Roman" w:hAnsi="Calibri" w:cs="Arial"/>
                <w:sz w:val="18"/>
                <w:szCs w:val="18"/>
                <w:lang w:val="en-US"/>
              </w:rPr>
              <w:t>-</w:t>
            </w:r>
          </w:p>
        </w:tc>
        <w:tc>
          <w:tcPr>
            <w:tcW w:w="513" w:type="pct"/>
            <w:tcBorders>
              <w:top w:val="nil"/>
              <w:left w:val="nil"/>
              <w:bottom w:val="single" w:sz="8" w:space="0" w:color="auto"/>
              <w:right w:val="nil"/>
            </w:tcBorders>
            <w:shd w:val="clear" w:color="auto" w:fill="auto"/>
            <w:vAlign w:val="bottom"/>
          </w:tcPr>
          <w:p w14:paraId="6585EED6" w14:textId="77777777" w:rsidR="009F0625" w:rsidRPr="00F75F86" w:rsidDel="006E2C67" w:rsidRDefault="009F0625" w:rsidP="009F0625">
            <w:pPr>
              <w:tabs>
                <w:tab w:val="right" w:pos="1202"/>
              </w:tabs>
              <w:spacing w:after="0" w:line="301" w:lineRule="exact"/>
              <w:jc w:val="right"/>
              <w:outlineLvl w:val="0"/>
              <w:rPr>
                <w:rFonts w:ascii="Calibri" w:eastAsia="Times New Roman" w:hAnsi="Calibri" w:cs="Arial"/>
                <w:sz w:val="18"/>
                <w:szCs w:val="18"/>
              </w:rPr>
            </w:pPr>
            <w:r w:rsidRPr="00F75F86">
              <w:rPr>
                <w:rFonts w:ascii="Calibri" w:eastAsia="Times New Roman" w:hAnsi="Calibri" w:cs="Arial"/>
                <w:sz w:val="18"/>
                <w:szCs w:val="18"/>
                <w:lang w:val="en-US"/>
              </w:rPr>
              <w:t>335</w:t>
            </w:r>
          </w:p>
        </w:tc>
        <w:tc>
          <w:tcPr>
            <w:tcW w:w="513" w:type="pct"/>
            <w:tcBorders>
              <w:top w:val="nil"/>
              <w:left w:val="nil"/>
              <w:bottom w:val="single" w:sz="8" w:space="0" w:color="auto"/>
              <w:right w:val="nil"/>
            </w:tcBorders>
            <w:shd w:val="clear" w:color="auto" w:fill="auto"/>
            <w:vAlign w:val="bottom"/>
          </w:tcPr>
          <w:p w14:paraId="5E28689F" w14:textId="77777777" w:rsidR="009F0625" w:rsidRPr="00F75F86" w:rsidDel="006E2C67"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335</w:t>
            </w:r>
          </w:p>
        </w:tc>
        <w:tc>
          <w:tcPr>
            <w:tcW w:w="513" w:type="pct"/>
            <w:tcBorders>
              <w:top w:val="nil"/>
              <w:left w:val="nil"/>
              <w:bottom w:val="single" w:sz="8" w:space="0" w:color="auto"/>
              <w:right w:val="nil"/>
            </w:tcBorders>
            <w:shd w:val="clear" w:color="auto" w:fill="auto"/>
            <w:vAlign w:val="bottom"/>
          </w:tcPr>
          <w:p w14:paraId="4F4296A5" w14:textId="77777777" w:rsidR="009F0625" w:rsidRPr="00F75F86" w:rsidDel="006E2C67"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w:t>
            </w:r>
          </w:p>
        </w:tc>
        <w:tc>
          <w:tcPr>
            <w:tcW w:w="513" w:type="pct"/>
            <w:tcBorders>
              <w:top w:val="nil"/>
              <w:left w:val="nil"/>
              <w:bottom w:val="single" w:sz="8" w:space="0" w:color="auto"/>
              <w:right w:val="nil"/>
            </w:tcBorders>
            <w:shd w:val="clear" w:color="auto" w:fill="auto"/>
            <w:vAlign w:val="bottom"/>
          </w:tcPr>
          <w:p w14:paraId="489A0D96" w14:textId="77777777" w:rsidR="009F0625" w:rsidRPr="00F75F86" w:rsidDel="006E2C67"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w:t>
            </w:r>
          </w:p>
        </w:tc>
        <w:tc>
          <w:tcPr>
            <w:tcW w:w="510" w:type="pct"/>
            <w:tcBorders>
              <w:top w:val="nil"/>
              <w:left w:val="nil"/>
              <w:bottom w:val="single" w:sz="8" w:space="0" w:color="auto"/>
              <w:right w:val="nil"/>
            </w:tcBorders>
            <w:shd w:val="clear" w:color="auto" w:fill="auto"/>
            <w:vAlign w:val="bottom"/>
          </w:tcPr>
          <w:p w14:paraId="5907FE92" w14:textId="77777777" w:rsidR="009F0625" w:rsidRPr="00F75F86" w:rsidDel="006E2C67" w:rsidRDefault="009F0625" w:rsidP="009F0625">
            <w:pPr>
              <w:tabs>
                <w:tab w:val="right" w:pos="1202"/>
              </w:tabs>
              <w:spacing w:after="0" w:line="301" w:lineRule="exact"/>
              <w:jc w:val="right"/>
              <w:outlineLvl w:val="0"/>
              <w:rPr>
                <w:rFonts w:ascii="Calibri" w:eastAsia="Times New Roman" w:hAnsi="Calibri" w:cs="Arial"/>
                <w:spacing w:val="-2"/>
                <w:sz w:val="18"/>
                <w:szCs w:val="18"/>
              </w:rPr>
            </w:pPr>
            <w:r w:rsidRPr="00F75F86">
              <w:rPr>
                <w:rFonts w:ascii="Calibri" w:eastAsia="Times New Roman" w:hAnsi="Calibri" w:cs="Arial"/>
                <w:sz w:val="18"/>
                <w:szCs w:val="18"/>
                <w:lang w:val="en-US"/>
              </w:rPr>
              <w:t>335</w:t>
            </w:r>
          </w:p>
        </w:tc>
      </w:tr>
      <w:tr w:rsidR="009F0625" w:rsidRPr="009557C4" w14:paraId="6D7B58CC" w14:textId="77777777" w:rsidTr="000E5941">
        <w:trPr>
          <w:trHeight w:val="312"/>
        </w:trPr>
        <w:tc>
          <w:tcPr>
            <w:tcW w:w="900" w:type="pct"/>
          </w:tcPr>
          <w:p w14:paraId="6E3A4926" w14:textId="77777777" w:rsidR="009F0625" w:rsidRPr="009557C4" w:rsidRDefault="009F0625" w:rsidP="009F0625">
            <w:pPr>
              <w:tabs>
                <w:tab w:val="right" w:pos="1202"/>
              </w:tabs>
              <w:spacing w:after="0" w:line="34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Ukupno</w:t>
            </w:r>
          </w:p>
        </w:tc>
        <w:tc>
          <w:tcPr>
            <w:tcW w:w="566" w:type="pct"/>
            <w:tcBorders>
              <w:top w:val="nil"/>
              <w:left w:val="nil"/>
              <w:bottom w:val="single" w:sz="12" w:space="0" w:color="auto"/>
              <w:right w:val="nil"/>
            </w:tcBorders>
            <w:shd w:val="clear" w:color="auto" w:fill="auto"/>
            <w:vAlign w:val="bottom"/>
          </w:tcPr>
          <w:p w14:paraId="4D152E51"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US"/>
              </w:rPr>
              <w:t>5.907.802</w:t>
            </w:r>
          </w:p>
        </w:tc>
        <w:tc>
          <w:tcPr>
            <w:tcW w:w="488" w:type="pct"/>
            <w:tcBorders>
              <w:top w:val="nil"/>
              <w:left w:val="nil"/>
              <w:bottom w:val="single" w:sz="12" w:space="0" w:color="auto"/>
              <w:right w:val="nil"/>
            </w:tcBorders>
            <w:shd w:val="clear" w:color="auto" w:fill="auto"/>
            <w:vAlign w:val="bottom"/>
          </w:tcPr>
          <w:p w14:paraId="409EA87A"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US"/>
              </w:rPr>
              <w:t>35.761</w:t>
            </w:r>
          </w:p>
        </w:tc>
        <w:tc>
          <w:tcPr>
            <w:tcW w:w="484" w:type="pct"/>
            <w:tcBorders>
              <w:top w:val="nil"/>
              <w:left w:val="nil"/>
              <w:bottom w:val="single" w:sz="12" w:space="0" w:color="auto"/>
              <w:right w:val="nil"/>
            </w:tcBorders>
            <w:shd w:val="clear" w:color="auto" w:fill="auto"/>
            <w:vAlign w:val="bottom"/>
          </w:tcPr>
          <w:p w14:paraId="21B21C00"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snapToGrid w:val="0"/>
                <w:sz w:val="18"/>
                <w:szCs w:val="18"/>
              </w:rPr>
            </w:pPr>
            <w:r w:rsidRPr="00F75F86">
              <w:rPr>
                <w:rFonts w:ascii="Calibri" w:eastAsia="Times New Roman" w:hAnsi="Calibri" w:cs="Arial"/>
                <w:b/>
                <w:bCs/>
                <w:sz w:val="18"/>
                <w:szCs w:val="18"/>
                <w:lang w:val="en-US"/>
              </w:rPr>
              <w:t>-</w:t>
            </w:r>
          </w:p>
        </w:tc>
        <w:tc>
          <w:tcPr>
            <w:tcW w:w="513" w:type="pct"/>
            <w:tcBorders>
              <w:top w:val="nil"/>
              <w:left w:val="nil"/>
              <w:bottom w:val="single" w:sz="12" w:space="0" w:color="auto"/>
              <w:right w:val="nil"/>
            </w:tcBorders>
            <w:shd w:val="clear" w:color="auto" w:fill="auto"/>
            <w:vAlign w:val="bottom"/>
          </w:tcPr>
          <w:p w14:paraId="48E8F102"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US"/>
              </w:rPr>
              <w:t>5.943.563</w:t>
            </w:r>
          </w:p>
        </w:tc>
        <w:tc>
          <w:tcPr>
            <w:tcW w:w="513" w:type="pct"/>
            <w:tcBorders>
              <w:top w:val="nil"/>
              <w:left w:val="nil"/>
              <w:bottom w:val="single" w:sz="12" w:space="0" w:color="auto"/>
              <w:right w:val="nil"/>
            </w:tcBorders>
            <w:shd w:val="clear" w:color="auto" w:fill="auto"/>
            <w:vAlign w:val="bottom"/>
          </w:tcPr>
          <w:p w14:paraId="2B72BEBB"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US"/>
              </w:rPr>
              <w:t>1.096.314</w:t>
            </w:r>
          </w:p>
        </w:tc>
        <w:tc>
          <w:tcPr>
            <w:tcW w:w="513" w:type="pct"/>
            <w:tcBorders>
              <w:top w:val="nil"/>
              <w:left w:val="nil"/>
              <w:bottom w:val="single" w:sz="12" w:space="0" w:color="auto"/>
              <w:right w:val="nil"/>
            </w:tcBorders>
            <w:shd w:val="clear" w:color="auto" w:fill="auto"/>
            <w:vAlign w:val="bottom"/>
          </w:tcPr>
          <w:p w14:paraId="6C0BE013"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US"/>
              </w:rPr>
              <w:t>-</w:t>
            </w:r>
          </w:p>
        </w:tc>
        <w:tc>
          <w:tcPr>
            <w:tcW w:w="513" w:type="pct"/>
            <w:tcBorders>
              <w:top w:val="nil"/>
              <w:left w:val="nil"/>
              <w:bottom w:val="single" w:sz="12" w:space="0" w:color="auto"/>
              <w:right w:val="nil"/>
            </w:tcBorders>
            <w:shd w:val="clear" w:color="auto" w:fill="auto"/>
            <w:vAlign w:val="bottom"/>
          </w:tcPr>
          <w:p w14:paraId="1EA0386F"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spacing w:val="-2"/>
                <w:sz w:val="18"/>
                <w:szCs w:val="18"/>
              </w:rPr>
            </w:pPr>
            <w:r w:rsidRPr="00F75F86">
              <w:rPr>
                <w:rFonts w:ascii="Calibri" w:eastAsia="Times New Roman" w:hAnsi="Calibri" w:cs="Arial"/>
                <w:b/>
                <w:bCs/>
                <w:sz w:val="18"/>
                <w:szCs w:val="18"/>
                <w:lang w:val="en-US"/>
              </w:rPr>
              <w:t>-</w:t>
            </w:r>
          </w:p>
        </w:tc>
        <w:tc>
          <w:tcPr>
            <w:tcW w:w="510" w:type="pct"/>
            <w:tcBorders>
              <w:top w:val="nil"/>
              <w:left w:val="nil"/>
              <w:bottom w:val="single" w:sz="12" w:space="0" w:color="auto"/>
              <w:right w:val="nil"/>
            </w:tcBorders>
            <w:shd w:val="clear" w:color="auto" w:fill="auto"/>
            <w:vAlign w:val="bottom"/>
          </w:tcPr>
          <w:p w14:paraId="03A1B3CC"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US"/>
              </w:rPr>
              <w:t>1.096.314</w:t>
            </w:r>
          </w:p>
        </w:tc>
      </w:tr>
      <w:tr w:rsidR="009F0625" w:rsidRPr="009557C4" w14:paraId="0F06A82A" w14:textId="77777777" w:rsidTr="000E5941">
        <w:trPr>
          <w:trHeight w:val="36"/>
        </w:trPr>
        <w:tc>
          <w:tcPr>
            <w:tcW w:w="900" w:type="pct"/>
            <w:vAlign w:val="bottom"/>
          </w:tcPr>
          <w:p w14:paraId="300A7316" w14:textId="77777777" w:rsidR="009F0625" w:rsidRPr="009557C4" w:rsidRDefault="009F0625" w:rsidP="009F0625">
            <w:pPr>
              <w:tabs>
                <w:tab w:val="right" w:pos="1202"/>
              </w:tabs>
              <w:spacing w:after="0" w:line="120" w:lineRule="auto"/>
              <w:jc w:val="center"/>
              <w:outlineLvl w:val="0"/>
              <w:rPr>
                <w:rFonts w:ascii="Calibri" w:eastAsia="Times New Roman" w:hAnsi="Calibri" w:cs="Arial"/>
                <w:b/>
                <w:bCs/>
                <w:sz w:val="16"/>
                <w:szCs w:val="16"/>
              </w:rPr>
            </w:pPr>
          </w:p>
        </w:tc>
        <w:tc>
          <w:tcPr>
            <w:tcW w:w="566" w:type="pct"/>
            <w:tcBorders>
              <w:top w:val="single" w:sz="12" w:space="0" w:color="auto"/>
            </w:tcBorders>
            <w:vAlign w:val="bottom"/>
          </w:tcPr>
          <w:p w14:paraId="1BEDD8E7" w14:textId="77777777" w:rsidR="009F0625" w:rsidRPr="00F75F86" w:rsidRDefault="009F0625" w:rsidP="009F0625">
            <w:pPr>
              <w:tabs>
                <w:tab w:val="right" w:pos="1202"/>
              </w:tabs>
              <w:spacing w:after="0" w:line="120" w:lineRule="auto"/>
              <w:jc w:val="right"/>
              <w:outlineLvl w:val="0"/>
              <w:rPr>
                <w:rFonts w:ascii="Calibri" w:eastAsia="Times New Roman" w:hAnsi="Calibri" w:cs="Arial"/>
                <w:b/>
                <w:bCs/>
                <w:sz w:val="18"/>
                <w:szCs w:val="18"/>
              </w:rPr>
            </w:pPr>
          </w:p>
        </w:tc>
        <w:tc>
          <w:tcPr>
            <w:tcW w:w="488" w:type="pct"/>
            <w:tcBorders>
              <w:top w:val="single" w:sz="12" w:space="0" w:color="auto"/>
            </w:tcBorders>
            <w:vAlign w:val="bottom"/>
          </w:tcPr>
          <w:p w14:paraId="0EA6DB74" w14:textId="77777777" w:rsidR="009F0625" w:rsidRPr="00F75F86" w:rsidRDefault="009F0625" w:rsidP="009F0625">
            <w:pPr>
              <w:tabs>
                <w:tab w:val="right" w:pos="1202"/>
              </w:tabs>
              <w:spacing w:after="0" w:line="120" w:lineRule="auto"/>
              <w:jc w:val="right"/>
              <w:outlineLvl w:val="0"/>
              <w:rPr>
                <w:rFonts w:ascii="Calibri" w:eastAsia="Times New Roman" w:hAnsi="Calibri" w:cs="Arial"/>
                <w:b/>
                <w:bCs/>
                <w:sz w:val="18"/>
                <w:szCs w:val="18"/>
              </w:rPr>
            </w:pPr>
          </w:p>
        </w:tc>
        <w:tc>
          <w:tcPr>
            <w:tcW w:w="484" w:type="pct"/>
            <w:tcBorders>
              <w:top w:val="single" w:sz="12" w:space="0" w:color="auto"/>
            </w:tcBorders>
            <w:vAlign w:val="bottom"/>
          </w:tcPr>
          <w:p w14:paraId="323DBA32" w14:textId="77777777" w:rsidR="009F0625" w:rsidRPr="00F75F86" w:rsidRDefault="009F0625" w:rsidP="009F0625">
            <w:pPr>
              <w:tabs>
                <w:tab w:val="right" w:pos="1202"/>
              </w:tabs>
              <w:spacing w:after="0" w:line="120" w:lineRule="auto"/>
              <w:jc w:val="right"/>
              <w:outlineLvl w:val="0"/>
              <w:rPr>
                <w:rFonts w:ascii="Calibri" w:eastAsia="Times New Roman" w:hAnsi="Calibri" w:cs="Arial"/>
                <w:b/>
                <w:bCs/>
                <w:sz w:val="18"/>
                <w:szCs w:val="18"/>
              </w:rPr>
            </w:pPr>
          </w:p>
        </w:tc>
        <w:tc>
          <w:tcPr>
            <w:tcW w:w="513" w:type="pct"/>
            <w:tcBorders>
              <w:top w:val="single" w:sz="12" w:space="0" w:color="auto"/>
            </w:tcBorders>
            <w:vAlign w:val="bottom"/>
          </w:tcPr>
          <w:p w14:paraId="051CEDD4" w14:textId="77777777" w:rsidR="009F0625" w:rsidRPr="00F75F86" w:rsidRDefault="009F0625" w:rsidP="009F0625">
            <w:pPr>
              <w:tabs>
                <w:tab w:val="right" w:pos="1202"/>
              </w:tabs>
              <w:spacing w:after="0" w:line="120" w:lineRule="auto"/>
              <w:jc w:val="right"/>
              <w:outlineLvl w:val="0"/>
              <w:rPr>
                <w:rFonts w:ascii="Calibri" w:eastAsia="Times New Roman" w:hAnsi="Calibri" w:cs="Arial"/>
                <w:b/>
                <w:bCs/>
                <w:noProof/>
                <w:sz w:val="18"/>
                <w:szCs w:val="18"/>
                <w:lang w:eastAsia="hr-HR"/>
              </w:rPr>
            </w:pPr>
          </w:p>
        </w:tc>
        <w:tc>
          <w:tcPr>
            <w:tcW w:w="513" w:type="pct"/>
            <w:tcBorders>
              <w:top w:val="single" w:sz="12" w:space="0" w:color="auto"/>
            </w:tcBorders>
            <w:vAlign w:val="bottom"/>
          </w:tcPr>
          <w:p w14:paraId="41DC9371" w14:textId="77777777" w:rsidR="009F0625" w:rsidRPr="00F75F86" w:rsidRDefault="009F0625" w:rsidP="009F0625">
            <w:pPr>
              <w:tabs>
                <w:tab w:val="right" w:pos="1202"/>
              </w:tabs>
              <w:spacing w:after="0" w:line="120" w:lineRule="auto"/>
              <w:jc w:val="right"/>
              <w:outlineLvl w:val="0"/>
              <w:rPr>
                <w:rFonts w:ascii="Calibri" w:eastAsia="Times New Roman" w:hAnsi="Calibri" w:cs="Arial"/>
                <w:b/>
                <w:bCs/>
                <w:noProof/>
                <w:sz w:val="18"/>
                <w:szCs w:val="18"/>
                <w:lang w:eastAsia="hr-HR"/>
              </w:rPr>
            </w:pPr>
          </w:p>
        </w:tc>
        <w:tc>
          <w:tcPr>
            <w:tcW w:w="513" w:type="pct"/>
            <w:tcBorders>
              <w:top w:val="single" w:sz="12" w:space="0" w:color="auto"/>
            </w:tcBorders>
            <w:vAlign w:val="bottom"/>
          </w:tcPr>
          <w:p w14:paraId="46111D15" w14:textId="77777777" w:rsidR="009F0625" w:rsidRPr="00F75F86" w:rsidRDefault="009F0625" w:rsidP="009F0625">
            <w:pPr>
              <w:tabs>
                <w:tab w:val="right" w:pos="1202"/>
              </w:tabs>
              <w:spacing w:after="0" w:line="120" w:lineRule="auto"/>
              <w:jc w:val="right"/>
              <w:outlineLvl w:val="0"/>
              <w:rPr>
                <w:rFonts w:ascii="Calibri" w:eastAsia="Times New Roman" w:hAnsi="Calibri" w:cs="Arial"/>
                <w:b/>
                <w:bCs/>
                <w:noProof/>
                <w:sz w:val="18"/>
                <w:szCs w:val="18"/>
                <w:lang w:eastAsia="hr-HR"/>
              </w:rPr>
            </w:pPr>
          </w:p>
        </w:tc>
        <w:tc>
          <w:tcPr>
            <w:tcW w:w="513" w:type="pct"/>
            <w:tcBorders>
              <w:top w:val="single" w:sz="12" w:space="0" w:color="auto"/>
            </w:tcBorders>
            <w:vAlign w:val="bottom"/>
          </w:tcPr>
          <w:p w14:paraId="19958FF7" w14:textId="77777777" w:rsidR="009F0625" w:rsidRPr="00F75F86" w:rsidRDefault="009F0625" w:rsidP="009F0625">
            <w:pPr>
              <w:tabs>
                <w:tab w:val="right" w:pos="1202"/>
              </w:tabs>
              <w:spacing w:after="0" w:line="120" w:lineRule="auto"/>
              <w:jc w:val="right"/>
              <w:outlineLvl w:val="0"/>
              <w:rPr>
                <w:rFonts w:ascii="Calibri" w:eastAsia="Times New Roman" w:hAnsi="Calibri" w:cs="Arial"/>
                <w:b/>
                <w:bCs/>
                <w:noProof/>
                <w:sz w:val="18"/>
                <w:szCs w:val="18"/>
                <w:lang w:eastAsia="hr-HR"/>
              </w:rPr>
            </w:pPr>
          </w:p>
        </w:tc>
        <w:tc>
          <w:tcPr>
            <w:tcW w:w="510" w:type="pct"/>
            <w:tcBorders>
              <w:top w:val="single" w:sz="12" w:space="0" w:color="auto"/>
            </w:tcBorders>
            <w:vAlign w:val="bottom"/>
          </w:tcPr>
          <w:p w14:paraId="19C0A856" w14:textId="77777777" w:rsidR="009F0625" w:rsidRPr="00F75F86" w:rsidRDefault="009F0625" w:rsidP="009F0625">
            <w:pPr>
              <w:tabs>
                <w:tab w:val="right" w:pos="1202"/>
              </w:tabs>
              <w:spacing w:after="0" w:line="120" w:lineRule="auto"/>
              <w:jc w:val="right"/>
              <w:outlineLvl w:val="0"/>
              <w:rPr>
                <w:rFonts w:ascii="Calibri" w:eastAsia="Times New Roman" w:hAnsi="Calibri" w:cs="Arial"/>
                <w:b/>
                <w:bCs/>
                <w:sz w:val="18"/>
                <w:szCs w:val="18"/>
              </w:rPr>
            </w:pPr>
          </w:p>
        </w:tc>
      </w:tr>
      <w:tr w:rsidR="009F0625" w:rsidRPr="009557C4" w14:paraId="5F88DB14" w14:textId="77777777" w:rsidTr="000E5941">
        <w:trPr>
          <w:trHeight w:val="440"/>
        </w:trPr>
        <w:tc>
          <w:tcPr>
            <w:tcW w:w="900" w:type="pct"/>
            <w:vAlign w:val="center"/>
          </w:tcPr>
          <w:p w14:paraId="0D6DFA39" w14:textId="77777777" w:rsidR="009F0625" w:rsidRPr="009557C4" w:rsidRDefault="009F0625" w:rsidP="009F0625">
            <w:pPr>
              <w:tabs>
                <w:tab w:val="right" w:pos="1202"/>
              </w:tabs>
              <w:spacing w:after="0" w:line="24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Ukupna izloženost kreditnom riziku</w:t>
            </w:r>
          </w:p>
        </w:tc>
        <w:tc>
          <w:tcPr>
            <w:tcW w:w="566" w:type="pct"/>
            <w:tcBorders>
              <w:top w:val="nil"/>
              <w:left w:val="nil"/>
              <w:bottom w:val="single" w:sz="12" w:space="0" w:color="auto"/>
              <w:right w:val="nil"/>
            </w:tcBorders>
            <w:shd w:val="clear" w:color="auto" w:fill="auto"/>
            <w:vAlign w:val="bottom"/>
          </w:tcPr>
          <w:p w14:paraId="4F252191"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31.671.378</w:t>
            </w:r>
          </w:p>
        </w:tc>
        <w:tc>
          <w:tcPr>
            <w:tcW w:w="488" w:type="pct"/>
            <w:tcBorders>
              <w:top w:val="nil"/>
              <w:left w:val="nil"/>
              <w:bottom w:val="single" w:sz="12" w:space="0" w:color="auto"/>
              <w:right w:val="nil"/>
            </w:tcBorders>
            <w:shd w:val="clear" w:color="auto" w:fill="auto"/>
            <w:vAlign w:val="bottom"/>
          </w:tcPr>
          <w:p w14:paraId="5E858EBE"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1.548.648</w:t>
            </w:r>
          </w:p>
        </w:tc>
        <w:tc>
          <w:tcPr>
            <w:tcW w:w="484" w:type="pct"/>
            <w:tcBorders>
              <w:top w:val="nil"/>
              <w:left w:val="nil"/>
              <w:bottom w:val="single" w:sz="12" w:space="0" w:color="auto"/>
              <w:right w:val="nil"/>
            </w:tcBorders>
            <w:shd w:val="clear" w:color="auto" w:fill="auto"/>
            <w:vAlign w:val="bottom"/>
          </w:tcPr>
          <w:p w14:paraId="44C1EB69"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w:t>
            </w:r>
          </w:p>
        </w:tc>
        <w:tc>
          <w:tcPr>
            <w:tcW w:w="513" w:type="pct"/>
            <w:tcBorders>
              <w:top w:val="nil"/>
              <w:left w:val="nil"/>
              <w:bottom w:val="single" w:sz="12" w:space="0" w:color="auto"/>
              <w:right w:val="nil"/>
            </w:tcBorders>
            <w:shd w:val="clear" w:color="auto" w:fill="auto"/>
            <w:vAlign w:val="bottom"/>
          </w:tcPr>
          <w:p w14:paraId="5E70F38F"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33.220.026</w:t>
            </w:r>
          </w:p>
        </w:tc>
        <w:tc>
          <w:tcPr>
            <w:tcW w:w="513" w:type="pct"/>
            <w:tcBorders>
              <w:top w:val="nil"/>
              <w:left w:val="nil"/>
              <w:bottom w:val="single" w:sz="12" w:space="0" w:color="auto"/>
              <w:right w:val="nil"/>
            </w:tcBorders>
            <w:shd w:val="clear" w:color="auto" w:fill="auto"/>
            <w:vAlign w:val="bottom"/>
          </w:tcPr>
          <w:p w14:paraId="2E3C9BAD"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6.027.661</w:t>
            </w:r>
          </w:p>
        </w:tc>
        <w:tc>
          <w:tcPr>
            <w:tcW w:w="513" w:type="pct"/>
            <w:tcBorders>
              <w:top w:val="nil"/>
              <w:left w:val="nil"/>
              <w:bottom w:val="single" w:sz="12" w:space="0" w:color="auto"/>
              <w:right w:val="nil"/>
            </w:tcBorders>
            <w:shd w:val="clear" w:color="auto" w:fill="auto"/>
            <w:vAlign w:val="bottom"/>
          </w:tcPr>
          <w:p w14:paraId="662D16CF"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35.326</w:t>
            </w:r>
          </w:p>
        </w:tc>
        <w:tc>
          <w:tcPr>
            <w:tcW w:w="513" w:type="pct"/>
            <w:tcBorders>
              <w:top w:val="nil"/>
              <w:left w:val="nil"/>
              <w:bottom w:val="single" w:sz="12" w:space="0" w:color="auto"/>
              <w:right w:val="nil"/>
            </w:tcBorders>
            <w:shd w:val="clear" w:color="auto" w:fill="auto"/>
            <w:vAlign w:val="bottom"/>
          </w:tcPr>
          <w:p w14:paraId="6AD0F0AB" w14:textId="77777777" w:rsidR="009F0625" w:rsidRPr="00F75F86" w:rsidRDefault="009F0625" w:rsidP="009F0625">
            <w:pPr>
              <w:tabs>
                <w:tab w:val="right" w:pos="1202"/>
              </w:tabs>
              <w:spacing w:after="0" w:line="301" w:lineRule="exact"/>
              <w:jc w:val="right"/>
              <w:outlineLvl w:val="0"/>
              <w:rPr>
                <w:rFonts w:ascii="Calibri" w:eastAsia="Times New Roman" w:hAnsi="Calibri" w:cs="Arial"/>
                <w:b/>
                <w:spacing w:val="-2"/>
                <w:sz w:val="18"/>
                <w:szCs w:val="18"/>
              </w:rPr>
            </w:pPr>
            <w:r w:rsidRPr="00F75F86">
              <w:rPr>
                <w:rFonts w:ascii="Calibri" w:eastAsia="Times New Roman" w:hAnsi="Calibri" w:cs="Arial"/>
                <w:b/>
                <w:bCs/>
                <w:sz w:val="18"/>
                <w:szCs w:val="18"/>
                <w:lang w:val="en-GB"/>
              </w:rPr>
              <w:t>-</w:t>
            </w:r>
          </w:p>
        </w:tc>
        <w:tc>
          <w:tcPr>
            <w:tcW w:w="510" w:type="pct"/>
            <w:tcBorders>
              <w:top w:val="nil"/>
              <w:left w:val="nil"/>
              <w:bottom w:val="single" w:sz="12" w:space="0" w:color="auto"/>
              <w:right w:val="nil"/>
            </w:tcBorders>
            <w:shd w:val="clear" w:color="auto" w:fill="auto"/>
            <w:vAlign w:val="bottom"/>
          </w:tcPr>
          <w:p w14:paraId="6CADB86B" w14:textId="77777777" w:rsidR="009F0625" w:rsidRPr="00F75F86" w:rsidRDefault="009F0625" w:rsidP="009F0625">
            <w:pPr>
              <w:tabs>
                <w:tab w:val="right" w:pos="1202"/>
              </w:tabs>
              <w:spacing w:after="0" w:line="340" w:lineRule="exact"/>
              <w:jc w:val="right"/>
              <w:outlineLvl w:val="0"/>
              <w:rPr>
                <w:rFonts w:ascii="Calibri" w:eastAsia="Times New Roman" w:hAnsi="Calibri" w:cs="Arial"/>
                <w:b/>
                <w:bCs/>
                <w:sz w:val="18"/>
                <w:szCs w:val="18"/>
              </w:rPr>
            </w:pPr>
            <w:r w:rsidRPr="00F75F86">
              <w:rPr>
                <w:rFonts w:ascii="Calibri" w:eastAsia="Times New Roman" w:hAnsi="Calibri" w:cs="Arial"/>
                <w:b/>
                <w:bCs/>
                <w:sz w:val="18"/>
                <w:szCs w:val="18"/>
                <w:lang w:val="en-GB"/>
              </w:rPr>
              <w:t>6.062.987</w:t>
            </w:r>
          </w:p>
        </w:tc>
      </w:tr>
    </w:tbl>
    <w:p w14:paraId="42176711" w14:textId="77777777" w:rsidR="00B3779D" w:rsidRDefault="00B3779D" w:rsidP="007F2C8B">
      <w:pPr>
        <w:pStyle w:val="accountingpolicytitle"/>
        <w:rPr>
          <w:rFonts w:asciiTheme="minorHAnsi" w:hAnsiTheme="minorHAnsi" w:cstheme="minorHAnsi"/>
          <w:sz w:val="24"/>
          <w:szCs w:val="24"/>
          <w:lang w:val="hr-HR"/>
        </w:rPr>
      </w:pPr>
    </w:p>
    <w:p w14:paraId="16D9C9E6" w14:textId="77777777" w:rsidR="00215F19" w:rsidRDefault="00215F19" w:rsidP="007F2C8B">
      <w:pPr>
        <w:pStyle w:val="accountingpolicytitle"/>
        <w:rPr>
          <w:rFonts w:asciiTheme="minorHAnsi" w:hAnsiTheme="minorHAnsi" w:cstheme="minorHAnsi"/>
          <w:sz w:val="24"/>
          <w:szCs w:val="24"/>
          <w:lang w:val="hr-HR"/>
        </w:rPr>
        <w:sectPr w:rsidR="00215F19" w:rsidSect="00D56049">
          <w:footerReference w:type="first" r:id="rId95"/>
          <w:pgSz w:w="11906" w:h="16838" w:code="9"/>
          <w:pgMar w:top="1418" w:right="1418" w:bottom="595" w:left="1134" w:header="709" w:footer="709" w:gutter="0"/>
          <w:cols w:space="708"/>
          <w:titlePg/>
          <w:docGrid w:linePitch="360"/>
        </w:sectPr>
      </w:pPr>
    </w:p>
    <w:p w14:paraId="3C234469" w14:textId="77777777" w:rsidR="00581360" w:rsidRPr="00372F82" w:rsidRDefault="00581360" w:rsidP="00372F82">
      <w:pPr>
        <w:pStyle w:val="accountingpolicytitle"/>
        <w:rPr>
          <w:rFonts w:asciiTheme="minorHAnsi" w:hAnsiTheme="minorHAnsi" w:cstheme="minorHAnsi"/>
          <w:sz w:val="22"/>
          <w:szCs w:val="22"/>
          <w:lang w:val="hr-HR"/>
        </w:rPr>
      </w:pPr>
    </w:p>
    <w:p w14:paraId="30045167" w14:textId="77777777" w:rsidR="00372F82" w:rsidRDefault="00372F82" w:rsidP="00372F82">
      <w:pPr>
        <w:pStyle w:val="T1"/>
        <w:spacing w:before="0" w:after="0" w:line="240" w:lineRule="auto"/>
        <w:rPr>
          <w:rFonts w:asciiTheme="minorHAnsi" w:hAnsiTheme="minorHAnsi" w:cs="Arial"/>
          <w:sz w:val="22"/>
          <w:szCs w:val="22"/>
          <w:lang w:val="hr-HR"/>
        </w:rPr>
      </w:pPr>
      <w:r w:rsidRPr="00372F82">
        <w:rPr>
          <w:rFonts w:asciiTheme="minorHAnsi" w:hAnsiTheme="minorHAnsi" w:cs="Arial"/>
          <w:sz w:val="22"/>
          <w:szCs w:val="22"/>
          <w:lang w:val="hr-HR"/>
        </w:rPr>
        <w:t>1</w:t>
      </w:r>
      <w:r w:rsidR="00D235E1">
        <w:rPr>
          <w:rFonts w:asciiTheme="minorHAnsi" w:hAnsiTheme="minorHAnsi" w:cs="Arial"/>
          <w:sz w:val="22"/>
          <w:szCs w:val="22"/>
          <w:lang w:val="hr-HR"/>
        </w:rPr>
        <w:t>6</w:t>
      </w:r>
      <w:r w:rsidRPr="00372F82">
        <w:rPr>
          <w:rFonts w:asciiTheme="minorHAnsi" w:hAnsiTheme="minorHAnsi" w:cs="Arial"/>
          <w:sz w:val="22"/>
          <w:szCs w:val="22"/>
          <w:lang w:val="hr-HR"/>
        </w:rPr>
        <w:t>.</w:t>
      </w:r>
      <w:r w:rsidRPr="00372F82">
        <w:rPr>
          <w:rFonts w:asciiTheme="minorHAnsi" w:hAnsiTheme="minorHAnsi" w:cs="Arial"/>
          <w:sz w:val="22"/>
          <w:szCs w:val="22"/>
          <w:lang w:val="hr-HR"/>
        </w:rPr>
        <w:tab/>
        <w:t>Upravljanje rizicima (nastavak)</w:t>
      </w:r>
    </w:p>
    <w:p w14:paraId="30B3AD6B" w14:textId="77777777" w:rsidR="00372F82" w:rsidRPr="004D1BC3" w:rsidRDefault="00372F82" w:rsidP="00372F82">
      <w:pPr>
        <w:pStyle w:val="T1"/>
        <w:spacing w:before="0" w:after="0" w:line="240" w:lineRule="auto"/>
        <w:rPr>
          <w:rFonts w:asciiTheme="minorHAnsi" w:hAnsiTheme="minorHAnsi" w:cs="Arial"/>
          <w:sz w:val="16"/>
          <w:szCs w:val="16"/>
          <w:lang w:val="hr-HR"/>
        </w:rPr>
      </w:pPr>
    </w:p>
    <w:p w14:paraId="7810A2E8" w14:textId="77777777" w:rsidR="00372F82" w:rsidRDefault="00372F82" w:rsidP="00372F82">
      <w:pPr>
        <w:pStyle w:val="T1"/>
        <w:spacing w:before="0" w:after="0" w:line="240" w:lineRule="auto"/>
        <w:rPr>
          <w:rFonts w:asciiTheme="minorHAnsi" w:hAnsiTheme="minorHAnsi" w:cs="Arial"/>
          <w:sz w:val="22"/>
          <w:szCs w:val="22"/>
          <w:lang w:val="hr-HR"/>
        </w:rPr>
      </w:pPr>
      <w:r w:rsidRPr="00372F82">
        <w:rPr>
          <w:rFonts w:asciiTheme="minorHAnsi" w:hAnsiTheme="minorHAnsi" w:cs="Arial"/>
          <w:sz w:val="22"/>
          <w:szCs w:val="22"/>
          <w:lang w:val="hr-HR"/>
        </w:rPr>
        <w:t>1</w:t>
      </w:r>
      <w:r w:rsidR="00D235E1">
        <w:rPr>
          <w:rFonts w:asciiTheme="minorHAnsi" w:hAnsiTheme="minorHAnsi" w:cs="Arial"/>
          <w:sz w:val="22"/>
          <w:szCs w:val="22"/>
          <w:lang w:val="hr-HR"/>
        </w:rPr>
        <w:t>6</w:t>
      </w:r>
      <w:r w:rsidRPr="00372F82">
        <w:rPr>
          <w:rFonts w:asciiTheme="minorHAnsi" w:hAnsiTheme="minorHAnsi" w:cs="Arial"/>
          <w:sz w:val="22"/>
          <w:szCs w:val="22"/>
          <w:lang w:val="hr-HR"/>
        </w:rPr>
        <w:t xml:space="preserve">.2. </w:t>
      </w:r>
      <w:r w:rsidRPr="00372F82">
        <w:rPr>
          <w:rFonts w:asciiTheme="minorHAnsi" w:hAnsiTheme="minorHAnsi" w:cs="Arial"/>
          <w:sz w:val="22"/>
          <w:szCs w:val="22"/>
          <w:lang w:val="hr-HR"/>
        </w:rPr>
        <w:tab/>
        <w:t>Kreditni rizik (nastavak)</w:t>
      </w:r>
    </w:p>
    <w:p w14:paraId="31469199" w14:textId="77777777" w:rsidR="00372F82" w:rsidRPr="004D1BC3" w:rsidRDefault="00372F82" w:rsidP="00372F82">
      <w:pPr>
        <w:pStyle w:val="T1"/>
        <w:spacing w:before="0" w:after="0" w:line="240" w:lineRule="auto"/>
        <w:rPr>
          <w:rFonts w:asciiTheme="minorHAnsi" w:hAnsiTheme="minorHAnsi" w:cs="Arial"/>
          <w:sz w:val="16"/>
          <w:szCs w:val="16"/>
          <w:lang w:val="hr-HR"/>
        </w:rPr>
      </w:pPr>
    </w:p>
    <w:p w14:paraId="7B4C6309" w14:textId="77777777" w:rsidR="00372F82" w:rsidRDefault="00372F82" w:rsidP="00372F82">
      <w:pPr>
        <w:pStyle w:val="T1"/>
        <w:spacing w:before="0" w:after="0" w:line="240" w:lineRule="auto"/>
        <w:rPr>
          <w:rFonts w:asciiTheme="minorHAnsi" w:hAnsiTheme="minorHAnsi" w:cs="Arial"/>
          <w:sz w:val="22"/>
          <w:szCs w:val="22"/>
          <w:lang w:val="hr-HR"/>
        </w:rPr>
      </w:pPr>
      <w:r w:rsidRPr="00372F82">
        <w:rPr>
          <w:rFonts w:asciiTheme="minorHAnsi" w:hAnsiTheme="minorHAnsi" w:cs="Arial"/>
          <w:sz w:val="22"/>
          <w:szCs w:val="22"/>
          <w:lang w:val="hr-HR"/>
        </w:rPr>
        <w:t>Kvaliteta kreditnog rizika prema vrsti financijske imovine (nastavak)</w:t>
      </w:r>
    </w:p>
    <w:p w14:paraId="3C8042E9" w14:textId="77777777" w:rsidR="00372F82" w:rsidRPr="004D1BC3" w:rsidRDefault="00372F82" w:rsidP="00372F82">
      <w:pPr>
        <w:pStyle w:val="T1"/>
        <w:spacing w:before="0" w:after="0" w:line="240" w:lineRule="auto"/>
        <w:rPr>
          <w:rFonts w:asciiTheme="minorHAnsi" w:hAnsiTheme="minorHAnsi" w:cs="Arial"/>
          <w:sz w:val="16"/>
          <w:szCs w:val="16"/>
          <w:lang w:val="hr-HR"/>
        </w:rPr>
      </w:pPr>
    </w:p>
    <w:p w14:paraId="1F93BB30" w14:textId="77777777" w:rsidR="00372F82" w:rsidRDefault="00372F82" w:rsidP="00372F82">
      <w:pPr>
        <w:spacing w:after="0" w:line="240" w:lineRule="auto"/>
        <w:jc w:val="both"/>
        <w:rPr>
          <w:rFonts w:cs="Arial"/>
          <w:sz w:val="20"/>
          <w:szCs w:val="20"/>
        </w:rPr>
      </w:pPr>
      <w:r w:rsidRPr="000B60DD">
        <w:rPr>
          <w:rFonts w:cs="Arial"/>
          <w:sz w:val="20"/>
          <w:szCs w:val="20"/>
        </w:rPr>
        <w:t>Analiza kreditnog rizika prije i nakon uzimanja u obzir primljenih instrumenata osiguranja prema vrsti financijske imovine na pozicijama imovine i garancija i preuzetih obveza prema rizičnim skupinama (nastavak):</w:t>
      </w:r>
    </w:p>
    <w:p w14:paraId="0180F26A" w14:textId="77777777" w:rsidR="004D1BC3" w:rsidRPr="004D1BC3" w:rsidRDefault="004D1BC3" w:rsidP="00372F82">
      <w:pPr>
        <w:spacing w:after="0" w:line="240" w:lineRule="auto"/>
        <w:jc w:val="both"/>
        <w:rPr>
          <w:rFonts w:cs="Arial"/>
          <w:sz w:val="14"/>
          <w:szCs w:val="14"/>
        </w:rPr>
      </w:pPr>
    </w:p>
    <w:tbl>
      <w:tblPr>
        <w:tblW w:w="5432" w:type="pct"/>
        <w:jc w:val="center"/>
        <w:tblLayout w:type="fixed"/>
        <w:tblLook w:val="0000" w:firstRow="0" w:lastRow="0" w:firstColumn="0" w:lastColumn="0" w:noHBand="0" w:noVBand="0"/>
      </w:tblPr>
      <w:tblGrid>
        <w:gridCol w:w="1985"/>
        <w:gridCol w:w="1125"/>
        <w:gridCol w:w="990"/>
        <w:gridCol w:w="990"/>
        <w:gridCol w:w="1120"/>
        <w:gridCol w:w="990"/>
        <w:gridCol w:w="990"/>
        <w:gridCol w:w="990"/>
        <w:gridCol w:w="982"/>
      </w:tblGrid>
      <w:tr w:rsidR="002C432B" w:rsidRPr="005A607D" w14:paraId="05E516ED" w14:textId="77777777" w:rsidTr="00682ABB">
        <w:trPr>
          <w:trHeight w:hRule="exact" w:val="1073"/>
          <w:jc w:val="center"/>
        </w:trPr>
        <w:tc>
          <w:tcPr>
            <w:tcW w:w="977" w:type="pct"/>
          </w:tcPr>
          <w:p w14:paraId="4AE0750B" w14:textId="77777777" w:rsidR="00490E19" w:rsidRPr="005A607D" w:rsidRDefault="00372F82" w:rsidP="000B60DD">
            <w:pPr>
              <w:spacing w:after="0" w:line="180" w:lineRule="exact"/>
              <w:rPr>
                <w:rFonts w:cs="Arial"/>
                <w:b/>
                <w:bCs/>
                <w:sz w:val="17"/>
                <w:szCs w:val="17"/>
              </w:rPr>
            </w:pPr>
            <w:r w:rsidRPr="005A607D">
              <w:rPr>
                <w:rFonts w:cs="Arial"/>
                <w:b/>
                <w:bCs/>
                <w:sz w:val="17"/>
                <w:szCs w:val="17"/>
              </w:rPr>
              <w:br w:type="page"/>
            </w:r>
          </w:p>
          <w:p w14:paraId="1FF70B1B" w14:textId="77777777" w:rsidR="00372F82" w:rsidRPr="005A607D" w:rsidRDefault="00372F82" w:rsidP="000B60DD">
            <w:pPr>
              <w:spacing w:after="0" w:line="180" w:lineRule="exact"/>
              <w:rPr>
                <w:rFonts w:cs="Arial"/>
                <w:b/>
                <w:bCs/>
                <w:sz w:val="17"/>
                <w:szCs w:val="17"/>
              </w:rPr>
            </w:pPr>
            <w:r w:rsidRPr="005A607D">
              <w:rPr>
                <w:rFonts w:cs="Arial"/>
                <w:b/>
                <w:bCs/>
                <w:sz w:val="17"/>
                <w:szCs w:val="17"/>
              </w:rPr>
              <w:t>Banka</w:t>
            </w:r>
          </w:p>
          <w:p w14:paraId="6371BD29" w14:textId="77777777" w:rsidR="00372F82" w:rsidRPr="005A607D" w:rsidRDefault="00372F82" w:rsidP="000B60DD">
            <w:pPr>
              <w:spacing w:after="0" w:line="180" w:lineRule="exact"/>
              <w:rPr>
                <w:rFonts w:cs="Arial"/>
                <w:b/>
                <w:bCs/>
                <w:sz w:val="17"/>
                <w:szCs w:val="17"/>
              </w:rPr>
            </w:pPr>
          </w:p>
          <w:p w14:paraId="1D72AA22" w14:textId="77777777" w:rsidR="00372F82" w:rsidRPr="005A607D" w:rsidRDefault="00372F82" w:rsidP="000B60DD">
            <w:pPr>
              <w:spacing w:after="0" w:line="180" w:lineRule="exact"/>
              <w:rPr>
                <w:rFonts w:cs="Arial"/>
                <w:b/>
                <w:bCs/>
                <w:sz w:val="17"/>
                <w:szCs w:val="17"/>
              </w:rPr>
            </w:pPr>
          </w:p>
          <w:p w14:paraId="52F5A4D4" w14:textId="33081786" w:rsidR="00372F82" w:rsidRPr="005A607D" w:rsidRDefault="00D56049">
            <w:pPr>
              <w:spacing w:after="0" w:line="180" w:lineRule="exact"/>
              <w:rPr>
                <w:rFonts w:cs="Arial"/>
                <w:sz w:val="17"/>
                <w:szCs w:val="17"/>
              </w:rPr>
            </w:pPr>
            <w:r>
              <w:rPr>
                <w:rFonts w:cs="Arial"/>
                <w:b/>
                <w:bCs/>
                <w:sz w:val="17"/>
                <w:szCs w:val="17"/>
              </w:rPr>
              <w:t>30</w:t>
            </w:r>
            <w:r w:rsidR="009557C4">
              <w:rPr>
                <w:rFonts w:cs="Arial"/>
                <w:b/>
                <w:bCs/>
                <w:sz w:val="17"/>
                <w:szCs w:val="17"/>
              </w:rPr>
              <w:t>.</w:t>
            </w:r>
            <w:r w:rsidR="00C70831">
              <w:rPr>
                <w:rFonts w:cs="Arial"/>
                <w:b/>
                <w:bCs/>
                <w:sz w:val="17"/>
                <w:szCs w:val="17"/>
              </w:rPr>
              <w:t>6</w:t>
            </w:r>
            <w:r w:rsidR="009557C4">
              <w:rPr>
                <w:rFonts w:cs="Arial"/>
                <w:b/>
                <w:bCs/>
                <w:sz w:val="17"/>
                <w:szCs w:val="17"/>
              </w:rPr>
              <w:t>.2017.</w:t>
            </w:r>
            <w:r w:rsidR="00372F82" w:rsidRPr="005A607D">
              <w:rPr>
                <w:rFonts w:cs="Arial"/>
                <w:b/>
                <w:bCs/>
                <w:sz w:val="17"/>
                <w:szCs w:val="17"/>
              </w:rPr>
              <w:t xml:space="preserve"> </w:t>
            </w:r>
          </w:p>
        </w:tc>
        <w:tc>
          <w:tcPr>
            <w:tcW w:w="554" w:type="pct"/>
            <w:vAlign w:val="bottom"/>
          </w:tcPr>
          <w:p w14:paraId="34C147FC" w14:textId="77777777" w:rsidR="00372F82" w:rsidRPr="005A607D" w:rsidRDefault="00372F82" w:rsidP="000B60DD">
            <w:pPr>
              <w:spacing w:after="0" w:line="180" w:lineRule="exact"/>
              <w:jc w:val="right"/>
              <w:rPr>
                <w:rFonts w:cs="Arial"/>
                <w:b/>
                <w:sz w:val="17"/>
                <w:szCs w:val="17"/>
              </w:rPr>
            </w:pPr>
            <w:r w:rsidRPr="005A607D">
              <w:rPr>
                <w:rFonts w:cs="Arial"/>
                <w:b/>
                <w:sz w:val="17"/>
                <w:szCs w:val="17"/>
              </w:rPr>
              <w:t>Bruto izloženost portfelja rizične skupine A</w:t>
            </w:r>
          </w:p>
          <w:p w14:paraId="75F368C2" w14:textId="77777777" w:rsidR="00372F82" w:rsidRPr="005A607D" w:rsidRDefault="00372F82" w:rsidP="000B60DD">
            <w:pPr>
              <w:spacing w:after="0" w:line="180" w:lineRule="exact"/>
              <w:jc w:val="right"/>
              <w:rPr>
                <w:rFonts w:cs="Arial"/>
                <w:b/>
                <w:sz w:val="17"/>
                <w:szCs w:val="17"/>
              </w:rPr>
            </w:pPr>
          </w:p>
        </w:tc>
        <w:tc>
          <w:tcPr>
            <w:tcW w:w="487" w:type="pct"/>
            <w:vAlign w:val="bottom"/>
          </w:tcPr>
          <w:p w14:paraId="1606CEFE" w14:textId="77777777" w:rsidR="00372F82" w:rsidRPr="005A607D" w:rsidRDefault="00372F82" w:rsidP="000B60DD">
            <w:pPr>
              <w:spacing w:after="0" w:line="180" w:lineRule="exact"/>
              <w:jc w:val="right"/>
              <w:rPr>
                <w:rFonts w:cs="Arial"/>
                <w:b/>
                <w:sz w:val="17"/>
                <w:szCs w:val="17"/>
              </w:rPr>
            </w:pPr>
            <w:r w:rsidRPr="005A607D">
              <w:rPr>
                <w:rFonts w:cs="Arial"/>
                <w:b/>
                <w:sz w:val="17"/>
                <w:szCs w:val="17"/>
              </w:rPr>
              <w:t>Bruto izloženost portfelja rizične skupine B</w:t>
            </w:r>
          </w:p>
          <w:p w14:paraId="1E3FAB23" w14:textId="77777777" w:rsidR="00372F82" w:rsidRPr="005A607D" w:rsidRDefault="00372F82" w:rsidP="000B60DD">
            <w:pPr>
              <w:spacing w:after="0" w:line="180" w:lineRule="exact"/>
              <w:jc w:val="right"/>
              <w:rPr>
                <w:rFonts w:cs="Arial"/>
                <w:b/>
                <w:sz w:val="17"/>
                <w:szCs w:val="17"/>
              </w:rPr>
            </w:pPr>
          </w:p>
        </w:tc>
        <w:tc>
          <w:tcPr>
            <w:tcW w:w="487" w:type="pct"/>
            <w:vAlign w:val="bottom"/>
          </w:tcPr>
          <w:p w14:paraId="0B950E6C" w14:textId="77777777" w:rsidR="00372F82" w:rsidRPr="005A607D" w:rsidRDefault="00372F82" w:rsidP="000B60DD">
            <w:pPr>
              <w:spacing w:after="0" w:line="180" w:lineRule="exact"/>
              <w:jc w:val="right"/>
              <w:rPr>
                <w:rFonts w:cs="Arial"/>
                <w:b/>
                <w:sz w:val="17"/>
                <w:szCs w:val="17"/>
              </w:rPr>
            </w:pPr>
            <w:r w:rsidRPr="005A607D">
              <w:rPr>
                <w:rFonts w:cs="Arial"/>
                <w:b/>
                <w:sz w:val="17"/>
                <w:szCs w:val="17"/>
              </w:rPr>
              <w:t>Bruto izloženost portfelja rizične skupine C</w:t>
            </w:r>
          </w:p>
          <w:p w14:paraId="7056FB41" w14:textId="77777777" w:rsidR="00372F82" w:rsidRPr="005A607D" w:rsidRDefault="00372F82" w:rsidP="000B60DD">
            <w:pPr>
              <w:spacing w:after="0" w:line="180" w:lineRule="exact"/>
              <w:jc w:val="right"/>
              <w:rPr>
                <w:rFonts w:cs="Arial"/>
                <w:b/>
                <w:sz w:val="17"/>
                <w:szCs w:val="17"/>
              </w:rPr>
            </w:pPr>
          </w:p>
        </w:tc>
        <w:tc>
          <w:tcPr>
            <w:tcW w:w="551" w:type="pct"/>
          </w:tcPr>
          <w:p w14:paraId="53F1EB64" w14:textId="77777777" w:rsidR="00372F82" w:rsidRPr="005A607D" w:rsidRDefault="00372F82" w:rsidP="000B60DD">
            <w:pPr>
              <w:spacing w:after="0" w:line="180" w:lineRule="exact"/>
              <w:jc w:val="right"/>
              <w:rPr>
                <w:rFonts w:cs="Arial"/>
                <w:b/>
                <w:sz w:val="17"/>
                <w:szCs w:val="17"/>
              </w:rPr>
            </w:pPr>
            <w:r w:rsidRPr="005A607D">
              <w:rPr>
                <w:rFonts w:cs="Arial"/>
                <w:b/>
                <w:sz w:val="17"/>
                <w:szCs w:val="17"/>
              </w:rPr>
              <w:t>Bruto izloženost ukupnog portfelja</w:t>
            </w:r>
          </w:p>
          <w:p w14:paraId="02E0420F" w14:textId="77777777" w:rsidR="00372F82" w:rsidRPr="005A607D" w:rsidRDefault="00372F82" w:rsidP="000B60DD">
            <w:pPr>
              <w:spacing w:after="0" w:line="180" w:lineRule="exact"/>
              <w:jc w:val="right"/>
              <w:rPr>
                <w:rFonts w:cs="Arial"/>
                <w:b/>
                <w:sz w:val="17"/>
                <w:szCs w:val="17"/>
              </w:rPr>
            </w:pPr>
          </w:p>
        </w:tc>
        <w:tc>
          <w:tcPr>
            <w:tcW w:w="487" w:type="pct"/>
            <w:vAlign w:val="bottom"/>
          </w:tcPr>
          <w:p w14:paraId="7052EE0C" w14:textId="77777777" w:rsidR="00372F82" w:rsidRPr="005A607D" w:rsidRDefault="00372F82" w:rsidP="000B60DD">
            <w:pPr>
              <w:spacing w:after="0" w:line="180" w:lineRule="exact"/>
              <w:jc w:val="right"/>
              <w:rPr>
                <w:rFonts w:cs="Arial"/>
                <w:b/>
                <w:sz w:val="17"/>
                <w:szCs w:val="17"/>
              </w:rPr>
            </w:pPr>
            <w:r w:rsidRPr="005A607D">
              <w:rPr>
                <w:rFonts w:cs="Arial"/>
                <w:b/>
                <w:sz w:val="17"/>
                <w:szCs w:val="17"/>
              </w:rPr>
              <w:t>Neto izloženost portfelja rizične skupine A</w:t>
            </w:r>
          </w:p>
          <w:p w14:paraId="38832FD5" w14:textId="77777777" w:rsidR="00372F82" w:rsidRPr="005A607D" w:rsidRDefault="00372F82" w:rsidP="000B60DD">
            <w:pPr>
              <w:spacing w:after="0" w:line="180" w:lineRule="exact"/>
              <w:jc w:val="right"/>
              <w:rPr>
                <w:rFonts w:cs="Arial"/>
                <w:b/>
                <w:sz w:val="17"/>
                <w:szCs w:val="17"/>
              </w:rPr>
            </w:pPr>
          </w:p>
        </w:tc>
        <w:tc>
          <w:tcPr>
            <w:tcW w:w="487" w:type="pct"/>
            <w:vAlign w:val="bottom"/>
          </w:tcPr>
          <w:p w14:paraId="1BCED752" w14:textId="77777777" w:rsidR="00372F82" w:rsidRPr="005A607D" w:rsidRDefault="00372F82" w:rsidP="000B60DD">
            <w:pPr>
              <w:spacing w:after="0" w:line="180" w:lineRule="exact"/>
              <w:jc w:val="right"/>
              <w:rPr>
                <w:rFonts w:cs="Arial"/>
                <w:b/>
                <w:sz w:val="17"/>
                <w:szCs w:val="17"/>
              </w:rPr>
            </w:pPr>
            <w:r w:rsidRPr="005A607D">
              <w:rPr>
                <w:rFonts w:cs="Arial"/>
                <w:b/>
                <w:sz w:val="17"/>
                <w:szCs w:val="17"/>
              </w:rPr>
              <w:t>Neto izloženost portfelja rizične skupine B</w:t>
            </w:r>
          </w:p>
          <w:p w14:paraId="69272F91" w14:textId="77777777" w:rsidR="00372F82" w:rsidRPr="005A607D" w:rsidRDefault="00372F82" w:rsidP="000B60DD">
            <w:pPr>
              <w:spacing w:after="0" w:line="180" w:lineRule="exact"/>
              <w:jc w:val="right"/>
              <w:rPr>
                <w:rFonts w:cs="Arial"/>
                <w:b/>
                <w:sz w:val="17"/>
                <w:szCs w:val="17"/>
              </w:rPr>
            </w:pPr>
          </w:p>
        </w:tc>
        <w:tc>
          <w:tcPr>
            <w:tcW w:w="487" w:type="pct"/>
            <w:vAlign w:val="bottom"/>
          </w:tcPr>
          <w:p w14:paraId="1F58B228" w14:textId="77777777" w:rsidR="00372F82" w:rsidRPr="005A607D" w:rsidRDefault="00372F82" w:rsidP="000B60DD">
            <w:pPr>
              <w:spacing w:after="0" w:line="180" w:lineRule="exact"/>
              <w:jc w:val="right"/>
              <w:rPr>
                <w:rFonts w:cs="Arial"/>
                <w:b/>
                <w:sz w:val="17"/>
                <w:szCs w:val="17"/>
              </w:rPr>
            </w:pPr>
            <w:r w:rsidRPr="005A607D">
              <w:rPr>
                <w:rFonts w:cs="Arial"/>
                <w:b/>
                <w:sz w:val="17"/>
                <w:szCs w:val="17"/>
              </w:rPr>
              <w:t>Neto izloženost portfelja rizične skupine C</w:t>
            </w:r>
          </w:p>
          <w:p w14:paraId="28B77243" w14:textId="77777777" w:rsidR="00372F82" w:rsidRPr="005A607D" w:rsidRDefault="00372F82" w:rsidP="000B60DD">
            <w:pPr>
              <w:spacing w:after="0" w:line="180" w:lineRule="exact"/>
              <w:jc w:val="right"/>
              <w:rPr>
                <w:rFonts w:cs="Arial"/>
                <w:b/>
                <w:sz w:val="17"/>
                <w:szCs w:val="17"/>
              </w:rPr>
            </w:pPr>
          </w:p>
        </w:tc>
        <w:tc>
          <w:tcPr>
            <w:tcW w:w="483" w:type="pct"/>
            <w:vAlign w:val="bottom"/>
          </w:tcPr>
          <w:p w14:paraId="20A743FE" w14:textId="77777777" w:rsidR="00372F82" w:rsidRPr="005A607D" w:rsidRDefault="00372F82" w:rsidP="000B60DD">
            <w:pPr>
              <w:spacing w:after="0" w:line="180" w:lineRule="exact"/>
              <w:jc w:val="right"/>
              <w:rPr>
                <w:rFonts w:cs="Arial"/>
                <w:b/>
                <w:sz w:val="17"/>
                <w:szCs w:val="17"/>
              </w:rPr>
            </w:pPr>
            <w:r w:rsidRPr="005A607D">
              <w:rPr>
                <w:rFonts w:cs="Arial"/>
                <w:b/>
                <w:sz w:val="17"/>
                <w:szCs w:val="17"/>
              </w:rPr>
              <w:t>Neto izloženost ukupnog portfelja</w:t>
            </w:r>
          </w:p>
          <w:p w14:paraId="4BE81DF8" w14:textId="77777777" w:rsidR="00372F82" w:rsidRPr="005A607D" w:rsidRDefault="00372F82" w:rsidP="000B60DD">
            <w:pPr>
              <w:spacing w:after="0" w:line="180" w:lineRule="exact"/>
              <w:jc w:val="right"/>
              <w:rPr>
                <w:rFonts w:cs="Arial"/>
                <w:b/>
                <w:sz w:val="17"/>
                <w:szCs w:val="17"/>
              </w:rPr>
            </w:pPr>
          </w:p>
          <w:p w14:paraId="22D2A3DD" w14:textId="77777777" w:rsidR="00372F82" w:rsidRPr="005A607D" w:rsidRDefault="00372F82" w:rsidP="000B60DD">
            <w:pPr>
              <w:spacing w:after="0" w:line="180" w:lineRule="exact"/>
              <w:jc w:val="right"/>
              <w:rPr>
                <w:rFonts w:cs="Arial"/>
                <w:b/>
                <w:sz w:val="17"/>
                <w:szCs w:val="17"/>
              </w:rPr>
            </w:pPr>
          </w:p>
        </w:tc>
      </w:tr>
      <w:tr w:rsidR="002C432B" w:rsidRPr="005A607D" w14:paraId="3F2E5262" w14:textId="77777777" w:rsidTr="00682ABB">
        <w:trPr>
          <w:trHeight w:val="220"/>
          <w:jc w:val="center"/>
        </w:trPr>
        <w:tc>
          <w:tcPr>
            <w:tcW w:w="977" w:type="pct"/>
          </w:tcPr>
          <w:p w14:paraId="40AD3A12" w14:textId="77777777" w:rsidR="00372F82" w:rsidRPr="005A607D" w:rsidRDefault="00372F82" w:rsidP="000B60DD">
            <w:pPr>
              <w:pStyle w:val="TT"/>
              <w:spacing w:line="220" w:lineRule="exact"/>
              <w:rPr>
                <w:rFonts w:asciiTheme="minorHAnsi" w:hAnsiTheme="minorHAnsi" w:cs="Arial"/>
                <w:b/>
                <w:bCs/>
                <w:sz w:val="17"/>
                <w:szCs w:val="17"/>
                <w:lang w:val="hr-HR"/>
              </w:rPr>
            </w:pPr>
            <w:r w:rsidRPr="005A607D">
              <w:rPr>
                <w:rFonts w:asciiTheme="minorHAnsi" w:hAnsiTheme="minorHAnsi" w:cs="Arial"/>
                <w:b/>
                <w:bCs/>
                <w:sz w:val="17"/>
                <w:szCs w:val="17"/>
                <w:lang w:val="hr-HR"/>
              </w:rPr>
              <w:t>Imovina</w:t>
            </w:r>
          </w:p>
        </w:tc>
        <w:tc>
          <w:tcPr>
            <w:tcW w:w="554" w:type="pct"/>
          </w:tcPr>
          <w:p w14:paraId="50999250" w14:textId="77777777" w:rsidR="00372F82" w:rsidRPr="005A607D" w:rsidRDefault="00372F82" w:rsidP="000B60DD">
            <w:pPr>
              <w:pStyle w:val="TT"/>
              <w:spacing w:line="220" w:lineRule="exact"/>
              <w:rPr>
                <w:rFonts w:asciiTheme="minorHAnsi" w:hAnsiTheme="minorHAnsi" w:cs="Arial"/>
                <w:b/>
                <w:bCs/>
                <w:sz w:val="17"/>
                <w:szCs w:val="17"/>
                <w:lang w:val="hr-HR"/>
              </w:rPr>
            </w:pPr>
          </w:p>
        </w:tc>
        <w:tc>
          <w:tcPr>
            <w:tcW w:w="487" w:type="pct"/>
          </w:tcPr>
          <w:p w14:paraId="2E8EF5BC" w14:textId="77777777" w:rsidR="00372F82" w:rsidRPr="005A607D" w:rsidRDefault="00372F82" w:rsidP="000B60DD">
            <w:pPr>
              <w:pStyle w:val="TT"/>
              <w:spacing w:line="220" w:lineRule="exact"/>
              <w:rPr>
                <w:rFonts w:asciiTheme="minorHAnsi" w:hAnsiTheme="minorHAnsi" w:cs="Arial"/>
                <w:b/>
                <w:bCs/>
                <w:sz w:val="17"/>
                <w:szCs w:val="17"/>
                <w:lang w:val="hr-HR"/>
              </w:rPr>
            </w:pPr>
          </w:p>
        </w:tc>
        <w:tc>
          <w:tcPr>
            <w:tcW w:w="487" w:type="pct"/>
          </w:tcPr>
          <w:p w14:paraId="3D75EBA3" w14:textId="77777777" w:rsidR="00372F82" w:rsidRPr="005A607D" w:rsidRDefault="00372F82" w:rsidP="000B60DD">
            <w:pPr>
              <w:pStyle w:val="TT"/>
              <w:spacing w:line="220" w:lineRule="exact"/>
              <w:rPr>
                <w:rFonts w:asciiTheme="minorHAnsi" w:hAnsiTheme="minorHAnsi" w:cs="Arial"/>
                <w:b/>
                <w:bCs/>
                <w:sz w:val="17"/>
                <w:szCs w:val="17"/>
                <w:lang w:val="hr-HR"/>
              </w:rPr>
            </w:pPr>
          </w:p>
        </w:tc>
        <w:tc>
          <w:tcPr>
            <w:tcW w:w="551" w:type="pct"/>
          </w:tcPr>
          <w:p w14:paraId="6FDDAAD9" w14:textId="77777777" w:rsidR="00372F82" w:rsidRPr="005A607D" w:rsidRDefault="00372F82" w:rsidP="000B60DD">
            <w:pPr>
              <w:pStyle w:val="TT"/>
              <w:spacing w:line="220" w:lineRule="exact"/>
              <w:rPr>
                <w:rFonts w:asciiTheme="minorHAnsi" w:hAnsiTheme="minorHAnsi" w:cs="Arial"/>
                <w:b/>
                <w:bCs/>
                <w:sz w:val="17"/>
                <w:szCs w:val="17"/>
                <w:lang w:val="hr-HR"/>
              </w:rPr>
            </w:pPr>
          </w:p>
        </w:tc>
        <w:tc>
          <w:tcPr>
            <w:tcW w:w="487" w:type="pct"/>
          </w:tcPr>
          <w:p w14:paraId="25F0307C" w14:textId="77777777" w:rsidR="00372F82" w:rsidRPr="005A607D" w:rsidRDefault="00372F82" w:rsidP="000B60DD">
            <w:pPr>
              <w:pStyle w:val="TT"/>
              <w:spacing w:line="220" w:lineRule="exact"/>
              <w:rPr>
                <w:rFonts w:asciiTheme="minorHAnsi" w:hAnsiTheme="minorHAnsi" w:cs="Arial"/>
                <w:b/>
                <w:bCs/>
                <w:sz w:val="17"/>
                <w:szCs w:val="17"/>
                <w:lang w:val="hr-HR"/>
              </w:rPr>
            </w:pPr>
          </w:p>
        </w:tc>
        <w:tc>
          <w:tcPr>
            <w:tcW w:w="487" w:type="pct"/>
          </w:tcPr>
          <w:p w14:paraId="0A80BD06" w14:textId="77777777" w:rsidR="00372F82" w:rsidRPr="005A607D" w:rsidRDefault="00372F82" w:rsidP="000B60DD">
            <w:pPr>
              <w:pStyle w:val="TT"/>
              <w:spacing w:line="220" w:lineRule="exact"/>
              <w:rPr>
                <w:rFonts w:asciiTheme="minorHAnsi" w:hAnsiTheme="minorHAnsi" w:cs="Arial"/>
                <w:b/>
                <w:bCs/>
                <w:sz w:val="17"/>
                <w:szCs w:val="17"/>
                <w:lang w:val="hr-HR"/>
              </w:rPr>
            </w:pPr>
          </w:p>
        </w:tc>
        <w:tc>
          <w:tcPr>
            <w:tcW w:w="487" w:type="pct"/>
          </w:tcPr>
          <w:p w14:paraId="07E03699" w14:textId="77777777" w:rsidR="00372F82" w:rsidRPr="005A607D" w:rsidRDefault="00372F82" w:rsidP="000B60DD">
            <w:pPr>
              <w:pStyle w:val="TT"/>
              <w:spacing w:line="220" w:lineRule="exact"/>
              <w:rPr>
                <w:rFonts w:asciiTheme="minorHAnsi" w:hAnsiTheme="minorHAnsi" w:cs="Arial"/>
                <w:b/>
                <w:bCs/>
                <w:sz w:val="17"/>
                <w:szCs w:val="17"/>
                <w:lang w:val="hr-HR"/>
              </w:rPr>
            </w:pPr>
          </w:p>
        </w:tc>
        <w:tc>
          <w:tcPr>
            <w:tcW w:w="483" w:type="pct"/>
          </w:tcPr>
          <w:p w14:paraId="3F9B2D86" w14:textId="77777777" w:rsidR="00372F82" w:rsidRPr="005A607D" w:rsidRDefault="00372F82" w:rsidP="000B60DD">
            <w:pPr>
              <w:pStyle w:val="TT"/>
              <w:spacing w:line="220" w:lineRule="exact"/>
              <w:rPr>
                <w:rFonts w:asciiTheme="minorHAnsi" w:hAnsiTheme="minorHAnsi" w:cs="Arial"/>
                <w:b/>
                <w:bCs/>
                <w:sz w:val="17"/>
                <w:szCs w:val="17"/>
                <w:lang w:val="hr-HR"/>
              </w:rPr>
            </w:pPr>
          </w:p>
        </w:tc>
      </w:tr>
      <w:tr w:rsidR="00F061DB" w:rsidRPr="005A607D" w14:paraId="08B462DE" w14:textId="77777777" w:rsidTr="00312975">
        <w:trPr>
          <w:trHeight w:val="393"/>
          <w:jc w:val="center"/>
        </w:trPr>
        <w:tc>
          <w:tcPr>
            <w:tcW w:w="977" w:type="pct"/>
            <w:vAlign w:val="bottom"/>
          </w:tcPr>
          <w:p w14:paraId="6F1B583C" w14:textId="77777777" w:rsidR="00F061DB" w:rsidRPr="005A607D" w:rsidRDefault="00F061DB" w:rsidP="00F061DB">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Novčana sredstva i računi kod banaka</w:t>
            </w:r>
          </w:p>
        </w:tc>
        <w:tc>
          <w:tcPr>
            <w:tcW w:w="554" w:type="pct"/>
            <w:tcBorders>
              <w:top w:val="nil"/>
              <w:left w:val="nil"/>
              <w:bottom w:val="nil"/>
              <w:right w:val="nil"/>
            </w:tcBorders>
            <w:shd w:val="clear" w:color="auto" w:fill="auto"/>
            <w:vAlign w:val="bottom"/>
          </w:tcPr>
          <w:p w14:paraId="0714DF73" w14:textId="587B3AD5"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1.680.018</w:t>
            </w:r>
          </w:p>
        </w:tc>
        <w:tc>
          <w:tcPr>
            <w:tcW w:w="487" w:type="pct"/>
            <w:shd w:val="clear" w:color="auto" w:fill="auto"/>
            <w:vAlign w:val="bottom"/>
          </w:tcPr>
          <w:p w14:paraId="46CCF6C0" w14:textId="0A8CDE57"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7" w:type="pct"/>
            <w:shd w:val="clear" w:color="auto" w:fill="auto"/>
            <w:vAlign w:val="bottom"/>
          </w:tcPr>
          <w:p w14:paraId="4022F187" w14:textId="593A64BA"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551" w:type="pct"/>
            <w:tcBorders>
              <w:top w:val="nil"/>
              <w:left w:val="nil"/>
              <w:bottom w:val="nil"/>
              <w:right w:val="nil"/>
            </w:tcBorders>
            <w:shd w:val="clear" w:color="auto" w:fill="auto"/>
            <w:vAlign w:val="bottom"/>
          </w:tcPr>
          <w:p w14:paraId="1798905A" w14:textId="30372B75"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1.680.018</w:t>
            </w:r>
          </w:p>
        </w:tc>
        <w:tc>
          <w:tcPr>
            <w:tcW w:w="487" w:type="pct"/>
            <w:shd w:val="clear" w:color="auto" w:fill="auto"/>
            <w:vAlign w:val="bottom"/>
          </w:tcPr>
          <w:p w14:paraId="52E68B09" w14:textId="4F8AF2F5"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7" w:type="pct"/>
            <w:shd w:val="clear" w:color="auto" w:fill="auto"/>
            <w:vAlign w:val="bottom"/>
          </w:tcPr>
          <w:p w14:paraId="7170B6E7" w14:textId="20977779"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7" w:type="pct"/>
            <w:shd w:val="clear" w:color="auto" w:fill="auto"/>
            <w:vAlign w:val="bottom"/>
          </w:tcPr>
          <w:p w14:paraId="0C25A592" w14:textId="6DCF27F5"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3" w:type="pct"/>
            <w:shd w:val="clear" w:color="auto" w:fill="auto"/>
            <w:vAlign w:val="bottom"/>
          </w:tcPr>
          <w:p w14:paraId="1B4D8A03" w14:textId="3F3CDB63"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r>
      <w:tr w:rsidR="00F061DB" w:rsidRPr="005A607D" w14:paraId="3DB7276B" w14:textId="77777777" w:rsidTr="00312975">
        <w:trPr>
          <w:trHeight w:val="393"/>
          <w:jc w:val="center"/>
        </w:trPr>
        <w:tc>
          <w:tcPr>
            <w:tcW w:w="977" w:type="pct"/>
            <w:vAlign w:val="bottom"/>
          </w:tcPr>
          <w:p w14:paraId="0B41A6F5" w14:textId="77777777" w:rsidR="00F061DB" w:rsidRPr="005A607D" w:rsidRDefault="00F061DB" w:rsidP="00F061DB">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Depoziti kod drugih banaka</w:t>
            </w:r>
          </w:p>
        </w:tc>
        <w:tc>
          <w:tcPr>
            <w:tcW w:w="554" w:type="pct"/>
            <w:tcBorders>
              <w:top w:val="nil"/>
              <w:left w:val="nil"/>
              <w:bottom w:val="nil"/>
              <w:right w:val="nil"/>
            </w:tcBorders>
            <w:shd w:val="clear" w:color="auto" w:fill="auto"/>
            <w:vAlign w:val="bottom"/>
          </w:tcPr>
          <w:p w14:paraId="70AEC357" w14:textId="1CB948B2"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1.548</w:t>
            </w:r>
          </w:p>
        </w:tc>
        <w:tc>
          <w:tcPr>
            <w:tcW w:w="487" w:type="pct"/>
            <w:tcBorders>
              <w:top w:val="nil"/>
            </w:tcBorders>
            <w:shd w:val="clear" w:color="auto" w:fill="auto"/>
            <w:vAlign w:val="bottom"/>
          </w:tcPr>
          <w:p w14:paraId="7B88E59A" w14:textId="0B26A571"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7" w:type="pct"/>
            <w:tcBorders>
              <w:top w:val="nil"/>
            </w:tcBorders>
            <w:shd w:val="clear" w:color="auto" w:fill="auto"/>
            <w:vAlign w:val="bottom"/>
          </w:tcPr>
          <w:p w14:paraId="4DDD2EAB" w14:textId="64A58C2E"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551" w:type="pct"/>
            <w:tcBorders>
              <w:top w:val="nil"/>
              <w:left w:val="nil"/>
              <w:bottom w:val="nil"/>
              <w:right w:val="nil"/>
            </w:tcBorders>
            <w:shd w:val="clear" w:color="auto" w:fill="auto"/>
            <w:vAlign w:val="bottom"/>
          </w:tcPr>
          <w:p w14:paraId="39543B5A" w14:textId="3DFFC064"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1.548</w:t>
            </w:r>
          </w:p>
        </w:tc>
        <w:tc>
          <w:tcPr>
            <w:tcW w:w="487" w:type="pct"/>
            <w:tcBorders>
              <w:top w:val="nil"/>
            </w:tcBorders>
            <w:shd w:val="clear" w:color="auto" w:fill="auto"/>
            <w:vAlign w:val="bottom"/>
          </w:tcPr>
          <w:p w14:paraId="6F75AE61" w14:textId="17848396"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7" w:type="pct"/>
            <w:tcBorders>
              <w:top w:val="nil"/>
            </w:tcBorders>
            <w:shd w:val="clear" w:color="auto" w:fill="auto"/>
            <w:vAlign w:val="bottom"/>
          </w:tcPr>
          <w:p w14:paraId="10AFB268" w14:textId="51B8E15D"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7" w:type="pct"/>
            <w:tcBorders>
              <w:top w:val="nil"/>
            </w:tcBorders>
            <w:shd w:val="clear" w:color="auto" w:fill="auto"/>
            <w:vAlign w:val="bottom"/>
          </w:tcPr>
          <w:p w14:paraId="3F5BFA4D" w14:textId="3CAA9EC0"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3" w:type="pct"/>
            <w:tcBorders>
              <w:top w:val="nil"/>
            </w:tcBorders>
            <w:shd w:val="clear" w:color="auto" w:fill="auto"/>
            <w:vAlign w:val="bottom"/>
          </w:tcPr>
          <w:p w14:paraId="469E307E" w14:textId="78991027"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r>
      <w:tr w:rsidR="00F061DB" w:rsidRPr="005A607D" w14:paraId="5D44B992" w14:textId="77777777" w:rsidTr="00312975">
        <w:trPr>
          <w:trHeight w:val="393"/>
          <w:jc w:val="center"/>
        </w:trPr>
        <w:tc>
          <w:tcPr>
            <w:tcW w:w="977" w:type="pct"/>
            <w:vAlign w:val="bottom"/>
          </w:tcPr>
          <w:p w14:paraId="366FFEF3" w14:textId="77777777" w:rsidR="00F061DB" w:rsidRPr="005A607D" w:rsidRDefault="00F061DB" w:rsidP="00F061DB">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Krediti financijskim institucijama</w:t>
            </w:r>
          </w:p>
        </w:tc>
        <w:tc>
          <w:tcPr>
            <w:tcW w:w="554" w:type="pct"/>
            <w:tcBorders>
              <w:top w:val="nil"/>
              <w:left w:val="nil"/>
              <w:bottom w:val="nil"/>
              <w:right w:val="nil"/>
            </w:tcBorders>
            <w:shd w:val="clear" w:color="auto" w:fill="auto"/>
            <w:vAlign w:val="bottom"/>
          </w:tcPr>
          <w:p w14:paraId="01948A45" w14:textId="230D914B"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10.983.428</w:t>
            </w:r>
          </w:p>
        </w:tc>
        <w:tc>
          <w:tcPr>
            <w:tcW w:w="487" w:type="pct"/>
            <w:tcBorders>
              <w:top w:val="nil"/>
              <w:left w:val="nil"/>
              <w:bottom w:val="nil"/>
              <w:right w:val="nil"/>
            </w:tcBorders>
            <w:shd w:val="clear" w:color="auto" w:fill="auto"/>
            <w:vAlign w:val="bottom"/>
          </w:tcPr>
          <w:p w14:paraId="3A893250" w14:textId="5A8BBE17"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330.074</w:t>
            </w:r>
          </w:p>
        </w:tc>
        <w:tc>
          <w:tcPr>
            <w:tcW w:w="487" w:type="pct"/>
            <w:tcBorders>
              <w:top w:val="nil"/>
              <w:left w:val="nil"/>
              <w:bottom w:val="nil"/>
              <w:right w:val="nil"/>
            </w:tcBorders>
            <w:shd w:val="clear" w:color="auto" w:fill="auto"/>
            <w:vAlign w:val="bottom"/>
          </w:tcPr>
          <w:p w14:paraId="3C5BF836" w14:textId="61BEA8E4"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551" w:type="pct"/>
            <w:tcBorders>
              <w:top w:val="nil"/>
              <w:left w:val="nil"/>
              <w:bottom w:val="nil"/>
              <w:right w:val="nil"/>
            </w:tcBorders>
            <w:shd w:val="clear" w:color="auto" w:fill="auto"/>
            <w:vAlign w:val="bottom"/>
          </w:tcPr>
          <w:p w14:paraId="2F4E0A0F" w14:textId="6A622FCE"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11.313.502</w:t>
            </w:r>
          </w:p>
        </w:tc>
        <w:tc>
          <w:tcPr>
            <w:tcW w:w="487" w:type="pct"/>
            <w:tcBorders>
              <w:top w:val="nil"/>
              <w:left w:val="nil"/>
              <w:bottom w:val="nil"/>
              <w:right w:val="nil"/>
            </w:tcBorders>
            <w:shd w:val="clear" w:color="auto" w:fill="auto"/>
            <w:vAlign w:val="bottom"/>
          </w:tcPr>
          <w:p w14:paraId="5FE49E24" w14:textId="11BFBCDC"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7" w:type="pct"/>
            <w:tcBorders>
              <w:top w:val="nil"/>
              <w:left w:val="nil"/>
              <w:bottom w:val="nil"/>
              <w:right w:val="nil"/>
            </w:tcBorders>
            <w:shd w:val="clear" w:color="auto" w:fill="auto"/>
            <w:vAlign w:val="bottom"/>
          </w:tcPr>
          <w:p w14:paraId="6093A9DC" w14:textId="0504035E"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7" w:type="pct"/>
            <w:tcBorders>
              <w:top w:val="nil"/>
              <w:left w:val="nil"/>
              <w:bottom w:val="nil"/>
              <w:right w:val="nil"/>
            </w:tcBorders>
            <w:shd w:val="clear" w:color="auto" w:fill="auto"/>
            <w:vAlign w:val="bottom"/>
          </w:tcPr>
          <w:p w14:paraId="1BE85483" w14:textId="0F8C3D63"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3" w:type="pct"/>
            <w:tcBorders>
              <w:top w:val="nil"/>
              <w:left w:val="nil"/>
              <w:bottom w:val="nil"/>
              <w:right w:val="nil"/>
            </w:tcBorders>
            <w:shd w:val="clear" w:color="auto" w:fill="auto"/>
            <w:vAlign w:val="bottom"/>
          </w:tcPr>
          <w:p w14:paraId="3AFED52C" w14:textId="4F090326"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r>
      <w:tr w:rsidR="00F061DB" w:rsidRPr="005A607D" w14:paraId="59ABE162" w14:textId="77777777" w:rsidTr="00312975">
        <w:trPr>
          <w:trHeight w:val="393"/>
          <w:jc w:val="center"/>
        </w:trPr>
        <w:tc>
          <w:tcPr>
            <w:tcW w:w="977" w:type="pct"/>
            <w:vAlign w:val="bottom"/>
          </w:tcPr>
          <w:p w14:paraId="309005E9" w14:textId="77777777" w:rsidR="00F061DB" w:rsidRPr="005A607D" w:rsidRDefault="00F061DB" w:rsidP="00F061DB">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Krediti ostalim korisnicima</w:t>
            </w:r>
          </w:p>
        </w:tc>
        <w:tc>
          <w:tcPr>
            <w:tcW w:w="554" w:type="pct"/>
            <w:tcBorders>
              <w:top w:val="nil"/>
              <w:left w:val="nil"/>
              <w:bottom w:val="nil"/>
              <w:right w:val="nil"/>
            </w:tcBorders>
            <w:shd w:val="clear" w:color="auto" w:fill="auto"/>
            <w:vAlign w:val="bottom"/>
          </w:tcPr>
          <w:p w14:paraId="203F7664" w14:textId="27CAA724"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10.228.481</w:t>
            </w:r>
          </w:p>
        </w:tc>
        <w:tc>
          <w:tcPr>
            <w:tcW w:w="487" w:type="pct"/>
            <w:tcBorders>
              <w:top w:val="nil"/>
              <w:left w:val="nil"/>
              <w:bottom w:val="nil"/>
              <w:right w:val="nil"/>
            </w:tcBorders>
            <w:shd w:val="clear" w:color="auto" w:fill="auto"/>
            <w:vAlign w:val="bottom"/>
          </w:tcPr>
          <w:p w14:paraId="3DAD9D64" w14:textId="247ADDDB"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1.418.633</w:t>
            </w:r>
          </w:p>
        </w:tc>
        <w:tc>
          <w:tcPr>
            <w:tcW w:w="487" w:type="pct"/>
            <w:tcBorders>
              <w:top w:val="nil"/>
              <w:left w:val="nil"/>
              <w:bottom w:val="nil"/>
              <w:right w:val="nil"/>
            </w:tcBorders>
            <w:shd w:val="clear" w:color="auto" w:fill="auto"/>
            <w:vAlign w:val="bottom"/>
          </w:tcPr>
          <w:p w14:paraId="487BCE9C" w14:textId="7C151CFC"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551" w:type="pct"/>
            <w:tcBorders>
              <w:top w:val="nil"/>
              <w:left w:val="nil"/>
              <w:bottom w:val="nil"/>
              <w:right w:val="nil"/>
            </w:tcBorders>
            <w:shd w:val="clear" w:color="auto" w:fill="auto"/>
            <w:vAlign w:val="bottom"/>
          </w:tcPr>
          <w:p w14:paraId="50B202E0" w14:textId="5105F48B"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11.647.114</w:t>
            </w:r>
          </w:p>
        </w:tc>
        <w:tc>
          <w:tcPr>
            <w:tcW w:w="487" w:type="pct"/>
            <w:tcBorders>
              <w:top w:val="nil"/>
              <w:left w:val="nil"/>
              <w:bottom w:val="nil"/>
              <w:right w:val="nil"/>
            </w:tcBorders>
            <w:shd w:val="clear" w:color="auto" w:fill="auto"/>
            <w:vAlign w:val="bottom"/>
          </w:tcPr>
          <w:p w14:paraId="58251ACC" w14:textId="6C836238" w:rsidR="00F061DB" w:rsidRPr="00F061DB" w:rsidRDefault="00177C3A">
            <w:pPr>
              <w:spacing w:after="0" w:line="240" w:lineRule="auto"/>
              <w:jc w:val="right"/>
              <w:rPr>
                <w:rFonts w:ascii="Calibri" w:eastAsia="Times New Roman" w:hAnsi="Calibri" w:cs="Arial"/>
                <w:sz w:val="18"/>
                <w:szCs w:val="18"/>
                <w:lang w:val="en-US"/>
              </w:rPr>
            </w:pPr>
            <w:r>
              <w:rPr>
                <w:rFonts w:ascii="Calibri" w:eastAsia="Times New Roman" w:hAnsi="Calibri" w:cs="Arial"/>
                <w:sz w:val="18"/>
                <w:szCs w:val="18"/>
                <w:lang w:val="en-US"/>
              </w:rPr>
              <w:t>2.631.496</w:t>
            </w:r>
          </w:p>
        </w:tc>
        <w:tc>
          <w:tcPr>
            <w:tcW w:w="487" w:type="pct"/>
            <w:tcBorders>
              <w:top w:val="nil"/>
              <w:left w:val="nil"/>
              <w:bottom w:val="nil"/>
              <w:right w:val="nil"/>
            </w:tcBorders>
            <w:shd w:val="clear" w:color="auto" w:fill="auto"/>
            <w:vAlign w:val="bottom"/>
          </w:tcPr>
          <w:p w14:paraId="2281F2A1" w14:textId="075BE380"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22.71</w:t>
            </w:r>
            <w:r w:rsidR="00177C3A">
              <w:rPr>
                <w:rFonts w:ascii="Calibri" w:eastAsia="Times New Roman" w:hAnsi="Calibri" w:cs="Arial"/>
                <w:sz w:val="18"/>
                <w:szCs w:val="18"/>
                <w:lang w:val="en-US"/>
              </w:rPr>
              <w:t>4</w:t>
            </w:r>
          </w:p>
        </w:tc>
        <w:tc>
          <w:tcPr>
            <w:tcW w:w="487" w:type="pct"/>
            <w:tcBorders>
              <w:top w:val="nil"/>
              <w:left w:val="nil"/>
              <w:bottom w:val="nil"/>
              <w:right w:val="nil"/>
            </w:tcBorders>
            <w:shd w:val="clear" w:color="auto" w:fill="auto"/>
            <w:vAlign w:val="bottom"/>
          </w:tcPr>
          <w:p w14:paraId="6E45E141" w14:textId="2D2B3202"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3" w:type="pct"/>
            <w:tcBorders>
              <w:top w:val="nil"/>
              <w:left w:val="nil"/>
              <w:bottom w:val="nil"/>
              <w:right w:val="nil"/>
            </w:tcBorders>
            <w:shd w:val="clear" w:color="auto" w:fill="auto"/>
            <w:vAlign w:val="bottom"/>
          </w:tcPr>
          <w:p w14:paraId="09DF617E" w14:textId="6D2A4F11" w:rsidR="00F061DB" w:rsidRPr="00F061DB" w:rsidRDefault="00177C3A">
            <w:pPr>
              <w:spacing w:after="0" w:line="240" w:lineRule="auto"/>
              <w:jc w:val="right"/>
              <w:rPr>
                <w:rFonts w:ascii="Calibri" w:eastAsia="Times New Roman" w:hAnsi="Calibri" w:cs="Arial"/>
                <w:sz w:val="18"/>
                <w:szCs w:val="18"/>
                <w:lang w:val="en-US"/>
              </w:rPr>
            </w:pPr>
            <w:r w:rsidRPr="00177C3A">
              <w:rPr>
                <w:rFonts w:ascii="Calibri" w:eastAsia="Times New Roman" w:hAnsi="Calibri" w:cs="Arial"/>
                <w:sz w:val="18"/>
                <w:szCs w:val="18"/>
                <w:lang w:val="en-US"/>
              </w:rPr>
              <w:t>2</w:t>
            </w:r>
            <w:r>
              <w:rPr>
                <w:rFonts w:ascii="Calibri" w:eastAsia="Times New Roman" w:hAnsi="Calibri" w:cs="Arial"/>
                <w:sz w:val="18"/>
                <w:szCs w:val="18"/>
                <w:lang w:val="en-US"/>
              </w:rPr>
              <w:t>.654.</w:t>
            </w:r>
            <w:r w:rsidRPr="00177C3A">
              <w:rPr>
                <w:rFonts w:ascii="Calibri" w:eastAsia="Times New Roman" w:hAnsi="Calibri" w:cs="Arial"/>
                <w:sz w:val="18"/>
                <w:szCs w:val="18"/>
                <w:lang w:val="en-US"/>
              </w:rPr>
              <w:t>210</w:t>
            </w:r>
          </w:p>
        </w:tc>
      </w:tr>
      <w:tr w:rsidR="00F061DB" w:rsidRPr="005A607D" w14:paraId="41338254" w14:textId="77777777" w:rsidTr="00312975">
        <w:trPr>
          <w:trHeight w:val="393"/>
          <w:jc w:val="center"/>
        </w:trPr>
        <w:tc>
          <w:tcPr>
            <w:tcW w:w="977" w:type="pct"/>
            <w:vAlign w:val="bottom"/>
          </w:tcPr>
          <w:p w14:paraId="31F258CD" w14:textId="77777777" w:rsidR="00F061DB" w:rsidRPr="005A607D" w:rsidRDefault="00F061DB" w:rsidP="00F061DB">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Imovina raspoloživa za prodaju</w:t>
            </w:r>
          </w:p>
        </w:tc>
        <w:tc>
          <w:tcPr>
            <w:tcW w:w="554" w:type="pct"/>
            <w:tcBorders>
              <w:top w:val="nil"/>
              <w:left w:val="nil"/>
              <w:bottom w:val="nil"/>
              <w:right w:val="nil"/>
            </w:tcBorders>
            <w:shd w:val="clear" w:color="auto" w:fill="auto"/>
            <w:vAlign w:val="bottom"/>
          </w:tcPr>
          <w:p w14:paraId="39456F0A" w14:textId="0B281EF0"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3.011.728</w:t>
            </w:r>
          </w:p>
        </w:tc>
        <w:tc>
          <w:tcPr>
            <w:tcW w:w="487" w:type="pct"/>
            <w:shd w:val="clear" w:color="auto" w:fill="auto"/>
            <w:vAlign w:val="bottom"/>
          </w:tcPr>
          <w:p w14:paraId="37C19FCF" w14:textId="1D37960F"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7" w:type="pct"/>
            <w:shd w:val="clear" w:color="auto" w:fill="auto"/>
            <w:vAlign w:val="bottom"/>
          </w:tcPr>
          <w:p w14:paraId="1A1CA57D" w14:textId="7884921D"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551" w:type="pct"/>
            <w:tcBorders>
              <w:top w:val="nil"/>
              <w:left w:val="nil"/>
              <w:bottom w:val="nil"/>
              <w:right w:val="nil"/>
            </w:tcBorders>
            <w:shd w:val="clear" w:color="auto" w:fill="auto"/>
            <w:vAlign w:val="bottom"/>
          </w:tcPr>
          <w:p w14:paraId="5805655B" w14:textId="10E66C7B"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3.011.728</w:t>
            </w:r>
          </w:p>
        </w:tc>
        <w:tc>
          <w:tcPr>
            <w:tcW w:w="487" w:type="pct"/>
            <w:tcBorders>
              <w:top w:val="nil"/>
              <w:left w:val="nil"/>
              <w:bottom w:val="nil"/>
              <w:right w:val="nil"/>
            </w:tcBorders>
            <w:shd w:val="clear" w:color="auto" w:fill="auto"/>
            <w:vAlign w:val="bottom"/>
          </w:tcPr>
          <w:p w14:paraId="620E2FB2" w14:textId="72DC6D97"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2.148.822</w:t>
            </w:r>
          </w:p>
        </w:tc>
        <w:tc>
          <w:tcPr>
            <w:tcW w:w="487" w:type="pct"/>
            <w:tcBorders>
              <w:top w:val="nil"/>
              <w:left w:val="nil"/>
              <w:bottom w:val="nil"/>
              <w:right w:val="nil"/>
            </w:tcBorders>
            <w:shd w:val="clear" w:color="auto" w:fill="auto"/>
            <w:vAlign w:val="bottom"/>
          </w:tcPr>
          <w:p w14:paraId="55489F1F" w14:textId="009EF58C"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7" w:type="pct"/>
            <w:tcBorders>
              <w:top w:val="nil"/>
              <w:left w:val="nil"/>
              <w:bottom w:val="nil"/>
              <w:right w:val="nil"/>
            </w:tcBorders>
            <w:shd w:val="clear" w:color="auto" w:fill="auto"/>
            <w:vAlign w:val="bottom"/>
          </w:tcPr>
          <w:p w14:paraId="5E0D51D6" w14:textId="172CFB30"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3" w:type="pct"/>
            <w:tcBorders>
              <w:top w:val="nil"/>
              <w:left w:val="nil"/>
              <w:bottom w:val="nil"/>
              <w:right w:val="nil"/>
            </w:tcBorders>
            <w:shd w:val="clear" w:color="auto" w:fill="auto"/>
            <w:vAlign w:val="bottom"/>
          </w:tcPr>
          <w:p w14:paraId="400955F6" w14:textId="33AD1F4E"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2.148.822</w:t>
            </w:r>
          </w:p>
        </w:tc>
      </w:tr>
      <w:tr w:rsidR="00F061DB" w:rsidRPr="005A607D" w14:paraId="6651EEDB" w14:textId="77777777" w:rsidTr="00312975">
        <w:trPr>
          <w:trHeight w:hRule="exact" w:val="352"/>
          <w:jc w:val="center"/>
        </w:trPr>
        <w:tc>
          <w:tcPr>
            <w:tcW w:w="977" w:type="pct"/>
            <w:vAlign w:val="bottom"/>
          </w:tcPr>
          <w:p w14:paraId="701BA0B0" w14:textId="77777777" w:rsidR="00F061DB" w:rsidRPr="005A607D" w:rsidRDefault="00F061DB" w:rsidP="00F061DB">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Ostala imovina</w:t>
            </w:r>
          </w:p>
        </w:tc>
        <w:tc>
          <w:tcPr>
            <w:tcW w:w="554" w:type="pct"/>
            <w:tcBorders>
              <w:bottom w:val="single" w:sz="6" w:space="0" w:color="auto"/>
            </w:tcBorders>
            <w:shd w:val="clear" w:color="auto" w:fill="auto"/>
            <w:vAlign w:val="bottom"/>
          </w:tcPr>
          <w:p w14:paraId="6EF06769" w14:textId="1396B606"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2.103</w:t>
            </w:r>
          </w:p>
        </w:tc>
        <w:tc>
          <w:tcPr>
            <w:tcW w:w="487" w:type="pct"/>
            <w:tcBorders>
              <w:bottom w:val="single" w:sz="6" w:space="0" w:color="auto"/>
            </w:tcBorders>
            <w:shd w:val="clear" w:color="auto" w:fill="auto"/>
            <w:vAlign w:val="bottom"/>
          </w:tcPr>
          <w:p w14:paraId="17BC2181" w14:textId="17D1D0FC"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1.379</w:t>
            </w:r>
          </w:p>
        </w:tc>
        <w:tc>
          <w:tcPr>
            <w:tcW w:w="487" w:type="pct"/>
            <w:tcBorders>
              <w:bottom w:val="single" w:sz="6" w:space="0" w:color="auto"/>
            </w:tcBorders>
            <w:shd w:val="clear" w:color="auto" w:fill="auto"/>
            <w:vAlign w:val="bottom"/>
          </w:tcPr>
          <w:p w14:paraId="275E1D2B" w14:textId="674B0DFD"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551" w:type="pct"/>
            <w:tcBorders>
              <w:top w:val="nil"/>
              <w:left w:val="nil"/>
              <w:bottom w:val="single" w:sz="8" w:space="0" w:color="auto"/>
              <w:right w:val="nil"/>
            </w:tcBorders>
            <w:shd w:val="clear" w:color="auto" w:fill="auto"/>
            <w:vAlign w:val="bottom"/>
          </w:tcPr>
          <w:p w14:paraId="6091C326" w14:textId="456496D3"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3.482</w:t>
            </w:r>
          </w:p>
        </w:tc>
        <w:tc>
          <w:tcPr>
            <w:tcW w:w="487" w:type="pct"/>
            <w:tcBorders>
              <w:top w:val="nil"/>
              <w:left w:val="nil"/>
              <w:bottom w:val="single" w:sz="8" w:space="0" w:color="auto"/>
              <w:right w:val="nil"/>
            </w:tcBorders>
            <w:shd w:val="clear" w:color="auto" w:fill="auto"/>
            <w:vAlign w:val="bottom"/>
          </w:tcPr>
          <w:p w14:paraId="52F8826A" w14:textId="3EFAF66B"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1.598</w:t>
            </w:r>
          </w:p>
        </w:tc>
        <w:tc>
          <w:tcPr>
            <w:tcW w:w="487" w:type="pct"/>
            <w:tcBorders>
              <w:top w:val="nil"/>
              <w:left w:val="nil"/>
              <w:bottom w:val="single" w:sz="8" w:space="0" w:color="auto"/>
              <w:right w:val="nil"/>
            </w:tcBorders>
            <w:shd w:val="clear" w:color="auto" w:fill="auto"/>
            <w:vAlign w:val="bottom"/>
          </w:tcPr>
          <w:p w14:paraId="22AFEEC8" w14:textId="3CCC3193"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1.379</w:t>
            </w:r>
          </w:p>
        </w:tc>
        <w:tc>
          <w:tcPr>
            <w:tcW w:w="487" w:type="pct"/>
            <w:tcBorders>
              <w:top w:val="nil"/>
              <w:left w:val="nil"/>
              <w:bottom w:val="single" w:sz="8" w:space="0" w:color="auto"/>
              <w:right w:val="nil"/>
            </w:tcBorders>
            <w:shd w:val="clear" w:color="auto" w:fill="auto"/>
            <w:vAlign w:val="bottom"/>
          </w:tcPr>
          <w:p w14:paraId="52683311" w14:textId="30342BDC"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3" w:type="pct"/>
            <w:tcBorders>
              <w:top w:val="nil"/>
              <w:left w:val="nil"/>
              <w:bottom w:val="single" w:sz="8" w:space="0" w:color="auto"/>
              <w:right w:val="nil"/>
            </w:tcBorders>
            <w:shd w:val="clear" w:color="auto" w:fill="auto"/>
            <w:vAlign w:val="bottom"/>
          </w:tcPr>
          <w:p w14:paraId="027BE6CD" w14:textId="5C836632" w:rsidR="00F061DB" w:rsidRPr="00F061DB" w:rsidRDefault="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2.977</w:t>
            </w:r>
          </w:p>
        </w:tc>
      </w:tr>
      <w:tr w:rsidR="00F061DB" w:rsidRPr="005A607D" w14:paraId="4F849787" w14:textId="77777777" w:rsidTr="00312975">
        <w:trPr>
          <w:trHeight w:val="295"/>
          <w:jc w:val="center"/>
        </w:trPr>
        <w:tc>
          <w:tcPr>
            <w:tcW w:w="977" w:type="pct"/>
            <w:vAlign w:val="bottom"/>
          </w:tcPr>
          <w:p w14:paraId="70454417" w14:textId="77777777" w:rsidR="00F061DB" w:rsidRPr="005A607D" w:rsidRDefault="00F061DB" w:rsidP="00F061DB">
            <w:pPr>
              <w:pStyle w:val="Tot"/>
              <w:spacing w:line="200" w:lineRule="exact"/>
              <w:rPr>
                <w:rFonts w:asciiTheme="minorHAnsi" w:hAnsiTheme="minorHAnsi" w:cs="Arial"/>
                <w:b/>
                <w:bCs/>
                <w:sz w:val="17"/>
                <w:szCs w:val="17"/>
                <w:lang w:val="hr-HR"/>
              </w:rPr>
            </w:pPr>
            <w:r w:rsidRPr="005A607D">
              <w:rPr>
                <w:rFonts w:asciiTheme="minorHAnsi" w:hAnsiTheme="minorHAnsi" w:cs="Arial"/>
                <w:b/>
                <w:bCs/>
                <w:sz w:val="17"/>
                <w:szCs w:val="17"/>
                <w:lang w:val="hr-HR"/>
              </w:rPr>
              <w:t>Ukupno</w:t>
            </w:r>
          </w:p>
        </w:tc>
        <w:tc>
          <w:tcPr>
            <w:tcW w:w="554" w:type="pct"/>
            <w:tcBorders>
              <w:top w:val="single" w:sz="6" w:space="0" w:color="auto"/>
              <w:bottom w:val="single" w:sz="12" w:space="0" w:color="auto"/>
            </w:tcBorders>
            <w:shd w:val="clear" w:color="auto" w:fill="auto"/>
            <w:vAlign w:val="bottom"/>
          </w:tcPr>
          <w:p w14:paraId="2C5212DA" w14:textId="37F47840" w:rsidR="00F061DB" w:rsidRPr="00F061DB" w:rsidRDefault="00F061DB">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25.907.306</w:t>
            </w:r>
          </w:p>
        </w:tc>
        <w:tc>
          <w:tcPr>
            <w:tcW w:w="487" w:type="pct"/>
            <w:tcBorders>
              <w:top w:val="single" w:sz="6" w:space="0" w:color="auto"/>
              <w:bottom w:val="single" w:sz="12" w:space="0" w:color="auto"/>
            </w:tcBorders>
            <w:shd w:val="clear" w:color="auto" w:fill="auto"/>
            <w:vAlign w:val="bottom"/>
          </w:tcPr>
          <w:p w14:paraId="63AA0FA2" w14:textId="38B5F695" w:rsidR="00F061DB" w:rsidRPr="00F061DB" w:rsidRDefault="00F061DB">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1.750.086</w:t>
            </w:r>
          </w:p>
        </w:tc>
        <w:tc>
          <w:tcPr>
            <w:tcW w:w="487" w:type="pct"/>
            <w:tcBorders>
              <w:top w:val="single" w:sz="6" w:space="0" w:color="auto"/>
              <w:bottom w:val="single" w:sz="12" w:space="0" w:color="auto"/>
            </w:tcBorders>
            <w:shd w:val="clear" w:color="auto" w:fill="auto"/>
            <w:vAlign w:val="bottom"/>
          </w:tcPr>
          <w:p w14:paraId="0E269CE9" w14:textId="37C188F9" w:rsidR="00F061DB" w:rsidRPr="00F061DB" w:rsidRDefault="00F061DB">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w:t>
            </w:r>
          </w:p>
        </w:tc>
        <w:tc>
          <w:tcPr>
            <w:tcW w:w="551" w:type="pct"/>
            <w:tcBorders>
              <w:top w:val="nil"/>
              <w:left w:val="nil"/>
              <w:bottom w:val="single" w:sz="12" w:space="0" w:color="auto"/>
              <w:right w:val="nil"/>
            </w:tcBorders>
            <w:shd w:val="clear" w:color="auto" w:fill="auto"/>
            <w:vAlign w:val="bottom"/>
          </w:tcPr>
          <w:p w14:paraId="7A5E4F10" w14:textId="16B07FF1" w:rsidR="00F061DB" w:rsidRPr="00F061DB" w:rsidRDefault="00F061DB">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27.657.392</w:t>
            </w:r>
          </w:p>
        </w:tc>
        <w:tc>
          <w:tcPr>
            <w:tcW w:w="487" w:type="pct"/>
            <w:tcBorders>
              <w:top w:val="nil"/>
              <w:left w:val="nil"/>
              <w:bottom w:val="single" w:sz="12" w:space="0" w:color="auto"/>
              <w:right w:val="nil"/>
            </w:tcBorders>
            <w:shd w:val="clear" w:color="auto" w:fill="auto"/>
            <w:vAlign w:val="bottom"/>
          </w:tcPr>
          <w:p w14:paraId="0F0C1067" w14:textId="0C28FEF8" w:rsidR="00F061DB" w:rsidRPr="00F061DB" w:rsidRDefault="00177C3A">
            <w:pPr>
              <w:spacing w:after="0" w:line="240" w:lineRule="auto"/>
              <w:jc w:val="right"/>
              <w:rPr>
                <w:rFonts w:ascii="Calibri" w:eastAsia="Times New Roman" w:hAnsi="Calibri" w:cs="Arial"/>
                <w:b/>
                <w:sz w:val="18"/>
                <w:szCs w:val="18"/>
                <w:lang w:val="en-US"/>
              </w:rPr>
            </w:pPr>
            <w:r>
              <w:rPr>
                <w:rFonts w:ascii="Calibri" w:eastAsia="Times New Roman" w:hAnsi="Calibri" w:cs="Arial"/>
                <w:b/>
                <w:sz w:val="18"/>
                <w:szCs w:val="18"/>
                <w:lang w:val="en-US"/>
              </w:rPr>
              <w:t>4,781,916</w:t>
            </w:r>
          </w:p>
        </w:tc>
        <w:tc>
          <w:tcPr>
            <w:tcW w:w="487" w:type="pct"/>
            <w:tcBorders>
              <w:top w:val="nil"/>
              <w:left w:val="nil"/>
              <w:bottom w:val="single" w:sz="12" w:space="0" w:color="auto"/>
              <w:right w:val="nil"/>
            </w:tcBorders>
            <w:shd w:val="clear" w:color="auto" w:fill="auto"/>
            <w:vAlign w:val="bottom"/>
          </w:tcPr>
          <w:p w14:paraId="5CDDEEFF" w14:textId="1BCA2F56" w:rsidR="00F061DB" w:rsidRPr="00F061DB" w:rsidRDefault="00F061DB">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24.09</w:t>
            </w:r>
            <w:r w:rsidR="00177C3A">
              <w:rPr>
                <w:rFonts w:ascii="Calibri" w:eastAsia="Times New Roman" w:hAnsi="Calibri" w:cs="Arial"/>
                <w:b/>
                <w:sz w:val="18"/>
                <w:szCs w:val="18"/>
                <w:lang w:val="en-US"/>
              </w:rPr>
              <w:t>3</w:t>
            </w:r>
          </w:p>
        </w:tc>
        <w:tc>
          <w:tcPr>
            <w:tcW w:w="487" w:type="pct"/>
            <w:tcBorders>
              <w:top w:val="nil"/>
              <w:left w:val="nil"/>
              <w:bottom w:val="single" w:sz="12" w:space="0" w:color="auto"/>
              <w:right w:val="nil"/>
            </w:tcBorders>
            <w:shd w:val="clear" w:color="auto" w:fill="auto"/>
            <w:vAlign w:val="bottom"/>
          </w:tcPr>
          <w:p w14:paraId="49269397" w14:textId="68EA3557" w:rsidR="00F061DB" w:rsidRPr="00F061DB" w:rsidRDefault="00F061DB">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w:t>
            </w:r>
          </w:p>
        </w:tc>
        <w:tc>
          <w:tcPr>
            <w:tcW w:w="483" w:type="pct"/>
            <w:tcBorders>
              <w:top w:val="nil"/>
              <w:left w:val="nil"/>
              <w:bottom w:val="single" w:sz="12" w:space="0" w:color="auto"/>
              <w:right w:val="nil"/>
            </w:tcBorders>
            <w:shd w:val="clear" w:color="auto" w:fill="auto"/>
            <w:vAlign w:val="bottom"/>
          </w:tcPr>
          <w:p w14:paraId="67F8D15C" w14:textId="7C0D2D48" w:rsidR="00F061DB" w:rsidRPr="00F061DB" w:rsidRDefault="00177C3A">
            <w:pPr>
              <w:spacing w:after="0" w:line="240" w:lineRule="auto"/>
              <w:jc w:val="right"/>
              <w:rPr>
                <w:rFonts w:ascii="Calibri" w:eastAsia="Times New Roman" w:hAnsi="Calibri" w:cs="Arial"/>
                <w:b/>
                <w:sz w:val="18"/>
                <w:szCs w:val="18"/>
                <w:lang w:val="en-US"/>
              </w:rPr>
            </w:pPr>
            <w:r>
              <w:rPr>
                <w:rFonts w:ascii="Calibri" w:eastAsia="Times New Roman" w:hAnsi="Calibri" w:cs="Arial"/>
                <w:b/>
                <w:sz w:val="18"/>
                <w:szCs w:val="18"/>
                <w:lang w:val="en-US"/>
              </w:rPr>
              <w:t>4.806.009</w:t>
            </w:r>
          </w:p>
        </w:tc>
      </w:tr>
      <w:tr w:rsidR="00F061DB" w:rsidRPr="005A607D" w14:paraId="362EC8EA" w14:textId="77777777" w:rsidTr="00682ABB">
        <w:trPr>
          <w:trHeight w:val="401"/>
          <w:jc w:val="center"/>
        </w:trPr>
        <w:tc>
          <w:tcPr>
            <w:tcW w:w="977" w:type="pct"/>
            <w:vAlign w:val="bottom"/>
          </w:tcPr>
          <w:p w14:paraId="2CB5FF78" w14:textId="77777777" w:rsidR="00F061DB" w:rsidRPr="005A607D" w:rsidRDefault="00F061DB" w:rsidP="00F061DB">
            <w:pPr>
              <w:pStyle w:val="TT"/>
              <w:spacing w:line="200" w:lineRule="exact"/>
              <w:rPr>
                <w:rFonts w:asciiTheme="minorHAnsi" w:hAnsiTheme="minorHAnsi" w:cs="Arial"/>
                <w:b/>
                <w:bCs/>
                <w:sz w:val="17"/>
                <w:szCs w:val="17"/>
                <w:lang w:val="hr-HR"/>
              </w:rPr>
            </w:pPr>
            <w:r w:rsidRPr="005A607D">
              <w:rPr>
                <w:rFonts w:asciiTheme="minorHAnsi" w:hAnsiTheme="minorHAnsi" w:cs="Arial"/>
                <w:b/>
                <w:bCs/>
                <w:sz w:val="17"/>
                <w:szCs w:val="17"/>
                <w:lang w:val="hr-HR"/>
              </w:rPr>
              <w:t>Garancije i preuzete obveze</w:t>
            </w:r>
          </w:p>
        </w:tc>
        <w:tc>
          <w:tcPr>
            <w:tcW w:w="554" w:type="pct"/>
            <w:tcBorders>
              <w:top w:val="single" w:sz="12" w:space="0" w:color="auto"/>
            </w:tcBorders>
            <w:shd w:val="clear" w:color="auto" w:fill="auto"/>
            <w:vAlign w:val="bottom"/>
          </w:tcPr>
          <w:p w14:paraId="5D1667DF" w14:textId="77777777" w:rsidR="00F061DB" w:rsidRPr="00621642" w:rsidRDefault="00F061DB" w:rsidP="00F061DB">
            <w:pPr>
              <w:tabs>
                <w:tab w:val="right" w:pos="1202"/>
              </w:tabs>
              <w:spacing w:after="0" w:line="301" w:lineRule="exact"/>
              <w:jc w:val="right"/>
              <w:outlineLvl w:val="0"/>
              <w:rPr>
                <w:rFonts w:eastAsia="Times New Roman" w:cs="Arial"/>
                <w:snapToGrid w:val="0"/>
                <w:sz w:val="17"/>
                <w:szCs w:val="17"/>
              </w:rPr>
            </w:pPr>
          </w:p>
        </w:tc>
        <w:tc>
          <w:tcPr>
            <w:tcW w:w="487" w:type="pct"/>
            <w:tcBorders>
              <w:top w:val="single" w:sz="12" w:space="0" w:color="auto"/>
            </w:tcBorders>
            <w:shd w:val="clear" w:color="auto" w:fill="auto"/>
            <w:vAlign w:val="bottom"/>
          </w:tcPr>
          <w:p w14:paraId="3F9BC894" w14:textId="77777777" w:rsidR="00F061DB" w:rsidRPr="00621642" w:rsidRDefault="00F061DB" w:rsidP="00F061DB">
            <w:pPr>
              <w:tabs>
                <w:tab w:val="right" w:pos="1202"/>
              </w:tabs>
              <w:spacing w:after="0" w:line="301" w:lineRule="exact"/>
              <w:jc w:val="right"/>
              <w:outlineLvl w:val="0"/>
              <w:rPr>
                <w:rFonts w:eastAsia="Times New Roman" w:cs="Arial"/>
                <w:snapToGrid w:val="0"/>
                <w:sz w:val="17"/>
                <w:szCs w:val="17"/>
              </w:rPr>
            </w:pPr>
          </w:p>
        </w:tc>
        <w:tc>
          <w:tcPr>
            <w:tcW w:w="487" w:type="pct"/>
            <w:tcBorders>
              <w:top w:val="single" w:sz="12" w:space="0" w:color="auto"/>
            </w:tcBorders>
            <w:shd w:val="clear" w:color="auto" w:fill="auto"/>
            <w:vAlign w:val="bottom"/>
          </w:tcPr>
          <w:p w14:paraId="566AA530" w14:textId="77777777" w:rsidR="00F061DB" w:rsidRPr="00621642" w:rsidRDefault="00F061DB" w:rsidP="00F061DB">
            <w:pPr>
              <w:tabs>
                <w:tab w:val="right" w:pos="1202"/>
              </w:tabs>
              <w:spacing w:after="0" w:line="301" w:lineRule="exact"/>
              <w:jc w:val="right"/>
              <w:outlineLvl w:val="0"/>
              <w:rPr>
                <w:rFonts w:eastAsia="Times New Roman" w:cs="Arial"/>
                <w:snapToGrid w:val="0"/>
                <w:sz w:val="17"/>
                <w:szCs w:val="17"/>
              </w:rPr>
            </w:pPr>
          </w:p>
        </w:tc>
        <w:tc>
          <w:tcPr>
            <w:tcW w:w="551" w:type="pct"/>
            <w:tcBorders>
              <w:top w:val="single" w:sz="12" w:space="0" w:color="auto"/>
            </w:tcBorders>
            <w:shd w:val="clear" w:color="auto" w:fill="auto"/>
            <w:vAlign w:val="bottom"/>
          </w:tcPr>
          <w:p w14:paraId="545010F5" w14:textId="77777777" w:rsidR="00F061DB" w:rsidRPr="00621642" w:rsidRDefault="00F061DB" w:rsidP="00F061DB">
            <w:pPr>
              <w:tabs>
                <w:tab w:val="right" w:pos="1202"/>
              </w:tabs>
              <w:spacing w:after="0" w:line="301" w:lineRule="exact"/>
              <w:jc w:val="right"/>
              <w:outlineLvl w:val="0"/>
              <w:rPr>
                <w:rFonts w:eastAsia="Times New Roman" w:cs="Arial"/>
                <w:snapToGrid w:val="0"/>
                <w:sz w:val="17"/>
                <w:szCs w:val="17"/>
              </w:rPr>
            </w:pPr>
          </w:p>
        </w:tc>
        <w:tc>
          <w:tcPr>
            <w:tcW w:w="487" w:type="pct"/>
            <w:tcBorders>
              <w:top w:val="single" w:sz="12" w:space="0" w:color="auto"/>
            </w:tcBorders>
            <w:shd w:val="clear" w:color="auto" w:fill="auto"/>
            <w:vAlign w:val="bottom"/>
          </w:tcPr>
          <w:p w14:paraId="1EA75DC6" w14:textId="77777777" w:rsidR="00F061DB" w:rsidRPr="00621642" w:rsidRDefault="00F061DB" w:rsidP="00F061DB">
            <w:pPr>
              <w:tabs>
                <w:tab w:val="right" w:pos="1202"/>
              </w:tabs>
              <w:spacing w:after="0" w:line="301" w:lineRule="exact"/>
              <w:jc w:val="right"/>
              <w:outlineLvl w:val="0"/>
              <w:rPr>
                <w:rFonts w:eastAsia="Times New Roman" w:cs="Arial"/>
                <w:snapToGrid w:val="0"/>
                <w:sz w:val="17"/>
                <w:szCs w:val="17"/>
              </w:rPr>
            </w:pPr>
          </w:p>
        </w:tc>
        <w:tc>
          <w:tcPr>
            <w:tcW w:w="487" w:type="pct"/>
            <w:tcBorders>
              <w:top w:val="single" w:sz="12" w:space="0" w:color="auto"/>
            </w:tcBorders>
            <w:shd w:val="clear" w:color="auto" w:fill="auto"/>
            <w:vAlign w:val="bottom"/>
          </w:tcPr>
          <w:p w14:paraId="15C53572" w14:textId="77777777" w:rsidR="00F061DB" w:rsidRPr="00621642" w:rsidRDefault="00F061DB" w:rsidP="00F061DB">
            <w:pPr>
              <w:tabs>
                <w:tab w:val="right" w:pos="1202"/>
              </w:tabs>
              <w:spacing w:after="0" w:line="301" w:lineRule="exact"/>
              <w:jc w:val="right"/>
              <w:outlineLvl w:val="0"/>
              <w:rPr>
                <w:rFonts w:eastAsia="Times New Roman" w:cs="Arial"/>
                <w:snapToGrid w:val="0"/>
                <w:sz w:val="17"/>
                <w:szCs w:val="17"/>
              </w:rPr>
            </w:pPr>
          </w:p>
        </w:tc>
        <w:tc>
          <w:tcPr>
            <w:tcW w:w="487" w:type="pct"/>
            <w:tcBorders>
              <w:top w:val="single" w:sz="12" w:space="0" w:color="auto"/>
            </w:tcBorders>
            <w:shd w:val="clear" w:color="auto" w:fill="auto"/>
            <w:vAlign w:val="bottom"/>
          </w:tcPr>
          <w:p w14:paraId="49A018F3" w14:textId="77777777" w:rsidR="00F061DB" w:rsidRPr="00621642" w:rsidRDefault="00F061DB" w:rsidP="00F061DB">
            <w:pPr>
              <w:tabs>
                <w:tab w:val="right" w:pos="1202"/>
              </w:tabs>
              <w:spacing w:after="0" w:line="301" w:lineRule="exact"/>
              <w:jc w:val="right"/>
              <w:outlineLvl w:val="0"/>
              <w:rPr>
                <w:rFonts w:eastAsia="Times New Roman" w:cs="Arial"/>
                <w:snapToGrid w:val="0"/>
                <w:sz w:val="17"/>
                <w:szCs w:val="17"/>
              </w:rPr>
            </w:pPr>
          </w:p>
        </w:tc>
        <w:tc>
          <w:tcPr>
            <w:tcW w:w="483" w:type="pct"/>
            <w:tcBorders>
              <w:top w:val="single" w:sz="12" w:space="0" w:color="auto"/>
            </w:tcBorders>
            <w:shd w:val="clear" w:color="auto" w:fill="auto"/>
            <w:vAlign w:val="bottom"/>
          </w:tcPr>
          <w:p w14:paraId="1DEA0782" w14:textId="77777777" w:rsidR="00F061DB" w:rsidRPr="00621642" w:rsidRDefault="00F061DB" w:rsidP="00F061DB">
            <w:pPr>
              <w:tabs>
                <w:tab w:val="right" w:pos="1202"/>
              </w:tabs>
              <w:spacing w:after="0" w:line="301" w:lineRule="exact"/>
              <w:jc w:val="right"/>
              <w:outlineLvl w:val="0"/>
              <w:rPr>
                <w:rFonts w:eastAsia="Times New Roman" w:cs="Arial"/>
                <w:snapToGrid w:val="0"/>
                <w:sz w:val="17"/>
                <w:szCs w:val="17"/>
              </w:rPr>
            </w:pPr>
          </w:p>
        </w:tc>
      </w:tr>
      <w:tr w:rsidR="00F061DB" w:rsidRPr="005A607D" w14:paraId="441CDFD8" w14:textId="77777777" w:rsidTr="00312975">
        <w:trPr>
          <w:trHeight w:val="393"/>
          <w:jc w:val="center"/>
        </w:trPr>
        <w:tc>
          <w:tcPr>
            <w:tcW w:w="977" w:type="pct"/>
            <w:vAlign w:val="bottom"/>
          </w:tcPr>
          <w:p w14:paraId="3BDE85CF" w14:textId="77777777" w:rsidR="00F061DB" w:rsidRPr="005A607D" w:rsidRDefault="00F061DB" w:rsidP="00F061DB">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Izdane garancije u kunama</w:t>
            </w:r>
          </w:p>
        </w:tc>
        <w:tc>
          <w:tcPr>
            <w:tcW w:w="554" w:type="pct"/>
            <w:tcBorders>
              <w:top w:val="nil"/>
              <w:left w:val="nil"/>
              <w:bottom w:val="nil"/>
              <w:right w:val="nil"/>
            </w:tcBorders>
            <w:shd w:val="clear" w:color="auto" w:fill="auto"/>
            <w:vAlign w:val="bottom"/>
          </w:tcPr>
          <w:p w14:paraId="62C03701" w14:textId="208F2BD4"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27.653</w:t>
            </w:r>
          </w:p>
        </w:tc>
        <w:tc>
          <w:tcPr>
            <w:tcW w:w="487" w:type="pct"/>
            <w:tcBorders>
              <w:top w:val="nil"/>
              <w:left w:val="nil"/>
              <w:bottom w:val="nil"/>
              <w:right w:val="nil"/>
            </w:tcBorders>
            <w:shd w:val="clear" w:color="auto" w:fill="auto"/>
            <w:vAlign w:val="bottom"/>
          </w:tcPr>
          <w:p w14:paraId="030B1548" w14:textId="6E0AF9C0"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7" w:type="pct"/>
            <w:tcBorders>
              <w:top w:val="nil"/>
              <w:left w:val="nil"/>
              <w:bottom w:val="nil"/>
              <w:right w:val="nil"/>
            </w:tcBorders>
            <w:shd w:val="clear" w:color="auto" w:fill="auto"/>
            <w:vAlign w:val="bottom"/>
          </w:tcPr>
          <w:p w14:paraId="5B3C1E8E" w14:textId="72E94193"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551" w:type="pct"/>
            <w:tcBorders>
              <w:top w:val="nil"/>
              <w:left w:val="nil"/>
              <w:bottom w:val="nil"/>
              <w:right w:val="nil"/>
            </w:tcBorders>
            <w:shd w:val="clear" w:color="auto" w:fill="auto"/>
            <w:vAlign w:val="bottom"/>
          </w:tcPr>
          <w:p w14:paraId="2C6D1EA8" w14:textId="7985A979"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27.653</w:t>
            </w:r>
          </w:p>
        </w:tc>
        <w:tc>
          <w:tcPr>
            <w:tcW w:w="487" w:type="pct"/>
            <w:tcBorders>
              <w:top w:val="nil"/>
              <w:left w:val="nil"/>
              <w:bottom w:val="nil"/>
              <w:right w:val="nil"/>
            </w:tcBorders>
            <w:shd w:val="clear" w:color="auto" w:fill="auto"/>
            <w:vAlign w:val="bottom"/>
          </w:tcPr>
          <w:p w14:paraId="713DE12E" w14:textId="17C37794"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7" w:type="pct"/>
            <w:tcBorders>
              <w:top w:val="nil"/>
              <w:left w:val="nil"/>
              <w:bottom w:val="nil"/>
              <w:right w:val="nil"/>
            </w:tcBorders>
            <w:shd w:val="clear" w:color="auto" w:fill="auto"/>
            <w:vAlign w:val="bottom"/>
          </w:tcPr>
          <w:p w14:paraId="6DF48CDB" w14:textId="6486C7AD"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7" w:type="pct"/>
            <w:tcBorders>
              <w:top w:val="nil"/>
              <w:left w:val="nil"/>
              <w:bottom w:val="nil"/>
              <w:right w:val="nil"/>
            </w:tcBorders>
            <w:shd w:val="clear" w:color="auto" w:fill="auto"/>
            <w:vAlign w:val="bottom"/>
          </w:tcPr>
          <w:p w14:paraId="59CCA42B" w14:textId="249479A0"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3" w:type="pct"/>
            <w:tcBorders>
              <w:top w:val="nil"/>
              <w:left w:val="nil"/>
              <w:bottom w:val="nil"/>
              <w:right w:val="nil"/>
            </w:tcBorders>
            <w:shd w:val="clear" w:color="auto" w:fill="auto"/>
            <w:vAlign w:val="bottom"/>
          </w:tcPr>
          <w:p w14:paraId="1AC2F425" w14:textId="6F0AACCA" w:rsidR="00F061DB" w:rsidRPr="000E5941" w:rsidRDefault="00F061DB" w:rsidP="00F061DB">
            <w:pPr>
              <w:spacing w:after="0" w:line="240" w:lineRule="auto"/>
              <w:jc w:val="right"/>
              <w:rPr>
                <w:rFonts w:ascii="Calibri" w:eastAsia="Times New Roman" w:hAnsi="Calibri" w:cs="Arial"/>
                <w:sz w:val="18"/>
                <w:szCs w:val="18"/>
                <w:lang w:val="en-US"/>
              </w:rPr>
            </w:pPr>
            <w:r>
              <w:rPr>
                <w:rFonts w:ascii="Calibri" w:eastAsia="Times New Roman" w:hAnsi="Calibri" w:cs="Arial"/>
                <w:sz w:val="18"/>
                <w:szCs w:val="18"/>
                <w:lang w:val="en-US"/>
              </w:rPr>
              <w:t>-</w:t>
            </w:r>
          </w:p>
        </w:tc>
      </w:tr>
      <w:tr w:rsidR="00F061DB" w:rsidRPr="005A607D" w14:paraId="2935ECB7" w14:textId="77777777" w:rsidTr="00312975">
        <w:trPr>
          <w:trHeight w:val="393"/>
          <w:jc w:val="center"/>
        </w:trPr>
        <w:tc>
          <w:tcPr>
            <w:tcW w:w="977" w:type="pct"/>
            <w:vAlign w:val="bottom"/>
          </w:tcPr>
          <w:p w14:paraId="22C44859" w14:textId="77777777" w:rsidR="00F061DB" w:rsidRPr="005A607D" w:rsidRDefault="00F061DB" w:rsidP="00F061DB">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Izdane garancije u devizama</w:t>
            </w:r>
          </w:p>
        </w:tc>
        <w:tc>
          <w:tcPr>
            <w:tcW w:w="554" w:type="pct"/>
            <w:tcBorders>
              <w:top w:val="nil"/>
              <w:left w:val="nil"/>
              <w:bottom w:val="nil"/>
              <w:right w:val="nil"/>
            </w:tcBorders>
            <w:shd w:val="clear" w:color="auto" w:fill="auto"/>
            <w:vAlign w:val="bottom"/>
          </w:tcPr>
          <w:p w14:paraId="5F1840DE" w14:textId="0793AE08"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1.879.965</w:t>
            </w:r>
          </w:p>
        </w:tc>
        <w:tc>
          <w:tcPr>
            <w:tcW w:w="487" w:type="pct"/>
            <w:tcBorders>
              <w:top w:val="nil"/>
              <w:left w:val="nil"/>
              <w:bottom w:val="nil"/>
              <w:right w:val="nil"/>
            </w:tcBorders>
            <w:shd w:val="clear" w:color="auto" w:fill="auto"/>
            <w:vAlign w:val="bottom"/>
          </w:tcPr>
          <w:p w14:paraId="407D69E0" w14:textId="47882B11"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17.876</w:t>
            </w:r>
          </w:p>
        </w:tc>
        <w:tc>
          <w:tcPr>
            <w:tcW w:w="487" w:type="pct"/>
            <w:tcBorders>
              <w:top w:val="nil"/>
              <w:left w:val="nil"/>
              <w:bottom w:val="nil"/>
              <w:right w:val="nil"/>
            </w:tcBorders>
            <w:shd w:val="clear" w:color="auto" w:fill="auto"/>
            <w:vAlign w:val="bottom"/>
          </w:tcPr>
          <w:p w14:paraId="26539F6D" w14:textId="01AE4265"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551" w:type="pct"/>
            <w:tcBorders>
              <w:top w:val="nil"/>
              <w:left w:val="nil"/>
              <w:bottom w:val="nil"/>
              <w:right w:val="nil"/>
            </w:tcBorders>
            <w:shd w:val="clear" w:color="auto" w:fill="auto"/>
            <w:vAlign w:val="bottom"/>
          </w:tcPr>
          <w:p w14:paraId="7117E566" w14:textId="1535C142"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1.897.841</w:t>
            </w:r>
          </w:p>
        </w:tc>
        <w:tc>
          <w:tcPr>
            <w:tcW w:w="487" w:type="pct"/>
            <w:tcBorders>
              <w:top w:val="nil"/>
              <w:left w:val="nil"/>
              <w:bottom w:val="nil"/>
              <w:right w:val="nil"/>
            </w:tcBorders>
            <w:shd w:val="clear" w:color="auto" w:fill="auto"/>
            <w:vAlign w:val="bottom"/>
          </w:tcPr>
          <w:p w14:paraId="3CC85ADD" w14:textId="4A43CD08"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208.393</w:t>
            </w:r>
          </w:p>
        </w:tc>
        <w:tc>
          <w:tcPr>
            <w:tcW w:w="487" w:type="pct"/>
            <w:tcBorders>
              <w:top w:val="nil"/>
              <w:left w:val="nil"/>
              <w:bottom w:val="nil"/>
              <w:right w:val="nil"/>
            </w:tcBorders>
            <w:shd w:val="clear" w:color="auto" w:fill="auto"/>
            <w:vAlign w:val="bottom"/>
          </w:tcPr>
          <w:p w14:paraId="6D529DD5" w14:textId="556D0463"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7" w:type="pct"/>
            <w:tcBorders>
              <w:top w:val="nil"/>
              <w:left w:val="nil"/>
              <w:bottom w:val="nil"/>
              <w:right w:val="nil"/>
            </w:tcBorders>
            <w:shd w:val="clear" w:color="auto" w:fill="auto"/>
            <w:vAlign w:val="bottom"/>
          </w:tcPr>
          <w:p w14:paraId="157DF482" w14:textId="1A4D6CAF"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3" w:type="pct"/>
            <w:tcBorders>
              <w:top w:val="nil"/>
              <w:left w:val="nil"/>
              <w:bottom w:val="nil"/>
              <w:right w:val="nil"/>
            </w:tcBorders>
            <w:shd w:val="clear" w:color="auto" w:fill="auto"/>
            <w:vAlign w:val="bottom"/>
          </w:tcPr>
          <w:p w14:paraId="1C19EA15" w14:textId="274F33FE"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208.393</w:t>
            </w:r>
          </w:p>
        </w:tc>
      </w:tr>
      <w:tr w:rsidR="00F061DB" w:rsidRPr="005A607D" w14:paraId="69777881" w14:textId="77777777" w:rsidTr="00312975">
        <w:trPr>
          <w:trHeight w:val="393"/>
          <w:jc w:val="center"/>
        </w:trPr>
        <w:tc>
          <w:tcPr>
            <w:tcW w:w="977" w:type="pct"/>
            <w:vAlign w:val="bottom"/>
          </w:tcPr>
          <w:p w14:paraId="243ED89C" w14:textId="34C0832F" w:rsidR="00F061DB" w:rsidRPr="005A607D" w:rsidRDefault="00F061DB" w:rsidP="00F061DB">
            <w:pPr>
              <w:pStyle w:val="TT"/>
              <w:spacing w:line="200" w:lineRule="exact"/>
              <w:rPr>
                <w:rFonts w:asciiTheme="minorHAnsi" w:hAnsiTheme="minorHAnsi" w:cs="Arial"/>
                <w:sz w:val="17"/>
                <w:szCs w:val="17"/>
                <w:lang w:val="hr-HR"/>
              </w:rPr>
            </w:pPr>
            <w:r w:rsidRPr="00490445">
              <w:rPr>
                <w:rFonts w:asciiTheme="minorHAnsi" w:hAnsiTheme="minorHAnsi" w:cs="Arial"/>
                <w:sz w:val="17"/>
                <w:szCs w:val="17"/>
                <w:lang w:val="hr-HR"/>
              </w:rPr>
              <w:t>Otvoreni akreditivi u devizama</w:t>
            </w:r>
          </w:p>
        </w:tc>
        <w:tc>
          <w:tcPr>
            <w:tcW w:w="554" w:type="pct"/>
            <w:tcBorders>
              <w:top w:val="nil"/>
              <w:left w:val="nil"/>
              <w:bottom w:val="nil"/>
              <w:right w:val="nil"/>
            </w:tcBorders>
            <w:shd w:val="clear" w:color="auto" w:fill="auto"/>
            <w:vAlign w:val="bottom"/>
          </w:tcPr>
          <w:p w14:paraId="1A088CF9" w14:textId="248A5684"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2.218</w:t>
            </w:r>
          </w:p>
        </w:tc>
        <w:tc>
          <w:tcPr>
            <w:tcW w:w="487" w:type="pct"/>
            <w:tcBorders>
              <w:top w:val="nil"/>
              <w:left w:val="nil"/>
              <w:bottom w:val="nil"/>
              <w:right w:val="nil"/>
            </w:tcBorders>
            <w:shd w:val="clear" w:color="auto" w:fill="auto"/>
            <w:vAlign w:val="bottom"/>
          </w:tcPr>
          <w:p w14:paraId="5514FE0E" w14:textId="4607EE75"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7" w:type="pct"/>
            <w:tcBorders>
              <w:top w:val="nil"/>
              <w:left w:val="nil"/>
              <w:bottom w:val="nil"/>
              <w:right w:val="nil"/>
            </w:tcBorders>
            <w:shd w:val="clear" w:color="auto" w:fill="auto"/>
            <w:vAlign w:val="bottom"/>
          </w:tcPr>
          <w:p w14:paraId="21633182" w14:textId="61F2AA61"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551" w:type="pct"/>
            <w:tcBorders>
              <w:top w:val="nil"/>
              <w:left w:val="nil"/>
              <w:bottom w:val="nil"/>
              <w:right w:val="nil"/>
            </w:tcBorders>
            <w:shd w:val="clear" w:color="auto" w:fill="auto"/>
            <w:vAlign w:val="bottom"/>
          </w:tcPr>
          <w:p w14:paraId="756F1A92" w14:textId="357F3111"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2.218</w:t>
            </w:r>
          </w:p>
        </w:tc>
        <w:tc>
          <w:tcPr>
            <w:tcW w:w="487" w:type="pct"/>
            <w:tcBorders>
              <w:top w:val="nil"/>
              <w:left w:val="nil"/>
              <w:bottom w:val="nil"/>
              <w:right w:val="nil"/>
            </w:tcBorders>
            <w:shd w:val="clear" w:color="auto" w:fill="auto"/>
            <w:vAlign w:val="bottom"/>
          </w:tcPr>
          <w:p w14:paraId="425B44C8" w14:textId="2EF69C16"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7" w:type="pct"/>
            <w:tcBorders>
              <w:top w:val="nil"/>
              <w:left w:val="nil"/>
              <w:bottom w:val="nil"/>
              <w:right w:val="nil"/>
            </w:tcBorders>
            <w:shd w:val="clear" w:color="auto" w:fill="auto"/>
            <w:vAlign w:val="bottom"/>
          </w:tcPr>
          <w:p w14:paraId="426A7C4E" w14:textId="26161AF0"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7" w:type="pct"/>
            <w:tcBorders>
              <w:top w:val="nil"/>
              <w:left w:val="nil"/>
              <w:bottom w:val="nil"/>
              <w:right w:val="nil"/>
            </w:tcBorders>
            <w:shd w:val="clear" w:color="auto" w:fill="auto"/>
            <w:vAlign w:val="bottom"/>
          </w:tcPr>
          <w:p w14:paraId="0A2F9967" w14:textId="5706501D"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3" w:type="pct"/>
            <w:tcBorders>
              <w:top w:val="nil"/>
              <w:left w:val="nil"/>
              <w:bottom w:val="nil"/>
              <w:right w:val="nil"/>
            </w:tcBorders>
            <w:shd w:val="clear" w:color="auto" w:fill="auto"/>
            <w:vAlign w:val="bottom"/>
          </w:tcPr>
          <w:p w14:paraId="5F1CA875" w14:textId="2CB3D890" w:rsidR="00F061DB" w:rsidRPr="000E5941" w:rsidRDefault="00F061DB" w:rsidP="00F061DB">
            <w:pPr>
              <w:spacing w:after="0" w:line="240" w:lineRule="auto"/>
              <w:jc w:val="right"/>
              <w:rPr>
                <w:rFonts w:ascii="Calibri" w:eastAsia="Times New Roman" w:hAnsi="Calibri" w:cs="Arial"/>
                <w:sz w:val="18"/>
                <w:szCs w:val="18"/>
                <w:lang w:val="en-US"/>
              </w:rPr>
            </w:pPr>
            <w:r>
              <w:rPr>
                <w:rFonts w:ascii="Calibri" w:eastAsia="Times New Roman" w:hAnsi="Calibri" w:cs="Arial"/>
                <w:sz w:val="18"/>
                <w:szCs w:val="18"/>
                <w:lang w:val="en-US"/>
              </w:rPr>
              <w:t>-</w:t>
            </w:r>
          </w:p>
        </w:tc>
      </w:tr>
      <w:tr w:rsidR="00F061DB" w:rsidRPr="005A607D" w14:paraId="4A8055B9" w14:textId="77777777" w:rsidTr="00312975">
        <w:trPr>
          <w:trHeight w:val="393"/>
          <w:jc w:val="center"/>
        </w:trPr>
        <w:tc>
          <w:tcPr>
            <w:tcW w:w="977" w:type="pct"/>
            <w:vAlign w:val="bottom"/>
          </w:tcPr>
          <w:p w14:paraId="14C6EE18" w14:textId="77777777" w:rsidR="00F061DB" w:rsidRPr="005A607D" w:rsidRDefault="00F061DB" w:rsidP="00F061DB">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Preuzete obveze po kreditima</w:t>
            </w:r>
          </w:p>
        </w:tc>
        <w:tc>
          <w:tcPr>
            <w:tcW w:w="554" w:type="pct"/>
            <w:tcBorders>
              <w:top w:val="nil"/>
              <w:left w:val="nil"/>
              <w:bottom w:val="nil"/>
              <w:right w:val="nil"/>
            </w:tcBorders>
            <w:shd w:val="clear" w:color="auto" w:fill="auto"/>
            <w:vAlign w:val="bottom"/>
          </w:tcPr>
          <w:p w14:paraId="2EA8B861" w14:textId="0A87DBAA"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3.538.871</w:t>
            </w:r>
          </w:p>
        </w:tc>
        <w:tc>
          <w:tcPr>
            <w:tcW w:w="487" w:type="pct"/>
            <w:tcBorders>
              <w:top w:val="nil"/>
              <w:left w:val="nil"/>
              <w:bottom w:val="nil"/>
              <w:right w:val="nil"/>
            </w:tcBorders>
            <w:shd w:val="clear" w:color="auto" w:fill="auto"/>
            <w:vAlign w:val="bottom"/>
          </w:tcPr>
          <w:p w14:paraId="19B63AC8" w14:textId="1902C9F3"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7.616</w:t>
            </w:r>
          </w:p>
        </w:tc>
        <w:tc>
          <w:tcPr>
            <w:tcW w:w="487" w:type="pct"/>
            <w:tcBorders>
              <w:top w:val="nil"/>
              <w:left w:val="nil"/>
              <w:bottom w:val="nil"/>
              <w:right w:val="nil"/>
            </w:tcBorders>
            <w:shd w:val="clear" w:color="auto" w:fill="auto"/>
            <w:vAlign w:val="bottom"/>
          </w:tcPr>
          <w:p w14:paraId="7EF9C074" w14:textId="6F0C55F9"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551" w:type="pct"/>
            <w:tcBorders>
              <w:top w:val="nil"/>
              <w:left w:val="nil"/>
              <w:bottom w:val="nil"/>
              <w:right w:val="nil"/>
            </w:tcBorders>
            <w:shd w:val="clear" w:color="auto" w:fill="auto"/>
            <w:vAlign w:val="bottom"/>
          </w:tcPr>
          <w:p w14:paraId="4E590C04" w14:textId="474B1DE1"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3.546.487</w:t>
            </w:r>
          </w:p>
        </w:tc>
        <w:tc>
          <w:tcPr>
            <w:tcW w:w="487" w:type="pct"/>
            <w:tcBorders>
              <w:top w:val="nil"/>
              <w:left w:val="nil"/>
              <w:bottom w:val="nil"/>
              <w:right w:val="nil"/>
            </w:tcBorders>
            <w:shd w:val="clear" w:color="auto" w:fill="auto"/>
            <w:vAlign w:val="bottom"/>
          </w:tcPr>
          <w:p w14:paraId="492EC241" w14:textId="27C61449" w:rsidR="00F061DB" w:rsidRPr="000E5941" w:rsidRDefault="00177C3A" w:rsidP="00F061DB">
            <w:pPr>
              <w:spacing w:after="0" w:line="240" w:lineRule="auto"/>
              <w:jc w:val="right"/>
              <w:rPr>
                <w:rFonts w:ascii="Calibri" w:eastAsia="Times New Roman" w:hAnsi="Calibri" w:cs="Arial"/>
                <w:sz w:val="18"/>
                <w:szCs w:val="18"/>
                <w:lang w:val="en-US"/>
              </w:rPr>
            </w:pPr>
            <w:r>
              <w:rPr>
                <w:rFonts w:ascii="Calibri" w:eastAsia="Times New Roman" w:hAnsi="Calibri" w:cs="Arial"/>
                <w:sz w:val="18"/>
                <w:szCs w:val="18"/>
                <w:lang w:val="en-US"/>
              </w:rPr>
              <w:t>581.929</w:t>
            </w:r>
          </w:p>
        </w:tc>
        <w:tc>
          <w:tcPr>
            <w:tcW w:w="487" w:type="pct"/>
            <w:tcBorders>
              <w:top w:val="nil"/>
              <w:left w:val="nil"/>
              <w:bottom w:val="nil"/>
              <w:right w:val="nil"/>
            </w:tcBorders>
            <w:shd w:val="clear" w:color="auto" w:fill="auto"/>
            <w:vAlign w:val="bottom"/>
          </w:tcPr>
          <w:p w14:paraId="21DF186C" w14:textId="5B4FF043"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7" w:type="pct"/>
            <w:tcBorders>
              <w:top w:val="nil"/>
              <w:left w:val="nil"/>
              <w:bottom w:val="nil"/>
              <w:right w:val="nil"/>
            </w:tcBorders>
            <w:shd w:val="clear" w:color="auto" w:fill="auto"/>
            <w:vAlign w:val="bottom"/>
          </w:tcPr>
          <w:p w14:paraId="06B8B4CA" w14:textId="1D7DC267"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3" w:type="pct"/>
            <w:tcBorders>
              <w:top w:val="nil"/>
              <w:left w:val="nil"/>
              <w:bottom w:val="nil"/>
              <w:right w:val="nil"/>
            </w:tcBorders>
            <w:shd w:val="clear" w:color="auto" w:fill="auto"/>
            <w:vAlign w:val="bottom"/>
          </w:tcPr>
          <w:p w14:paraId="76FC5CC8" w14:textId="7C97B5C4" w:rsidR="00F061DB" w:rsidRPr="000E5941" w:rsidRDefault="00177C3A" w:rsidP="00F061DB">
            <w:pPr>
              <w:spacing w:after="0" w:line="240" w:lineRule="auto"/>
              <w:jc w:val="right"/>
              <w:rPr>
                <w:rFonts w:ascii="Calibri" w:eastAsia="Times New Roman" w:hAnsi="Calibri" w:cs="Arial"/>
                <w:sz w:val="18"/>
                <w:szCs w:val="18"/>
                <w:lang w:val="en-US"/>
              </w:rPr>
            </w:pPr>
            <w:r>
              <w:rPr>
                <w:rFonts w:ascii="Calibri" w:eastAsia="Times New Roman" w:hAnsi="Calibri" w:cs="Arial"/>
                <w:sz w:val="18"/>
                <w:szCs w:val="18"/>
                <w:lang w:val="en-US"/>
              </w:rPr>
              <w:t>581.929</w:t>
            </w:r>
          </w:p>
        </w:tc>
      </w:tr>
      <w:tr w:rsidR="00F061DB" w:rsidRPr="005A607D" w14:paraId="49CA3652" w14:textId="77777777" w:rsidTr="00312975">
        <w:trPr>
          <w:trHeight w:val="589"/>
          <w:jc w:val="center"/>
        </w:trPr>
        <w:tc>
          <w:tcPr>
            <w:tcW w:w="977" w:type="pct"/>
            <w:vAlign w:val="bottom"/>
          </w:tcPr>
          <w:p w14:paraId="70B6913B" w14:textId="611DB2BA" w:rsidR="00F061DB" w:rsidRPr="005A607D" w:rsidRDefault="00F061DB" w:rsidP="00F061DB">
            <w:pPr>
              <w:pStyle w:val="TT"/>
              <w:spacing w:line="200" w:lineRule="exact"/>
              <w:rPr>
                <w:rFonts w:asciiTheme="minorHAnsi" w:hAnsiTheme="minorHAnsi" w:cs="Arial"/>
                <w:sz w:val="17"/>
                <w:szCs w:val="17"/>
                <w:lang w:val="hr-HR"/>
              </w:rPr>
            </w:pPr>
            <w:r w:rsidRPr="005A607D">
              <w:rPr>
                <w:rFonts w:asciiTheme="minorHAnsi" w:hAnsiTheme="minorHAnsi" w:cs="Arial"/>
                <w:sz w:val="17"/>
                <w:szCs w:val="17"/>
                <w:lang w:val="hr-HR"/>
              </w:rPr>
              <w:t>Ostale nespomenute neopozive potencijalne obveze</w:t>
            </w:r>
          </w:p>
        </w:tc>
        <w:tc>
          <w:tcPr>
            <w:tcW w:w="554" w:type="pct"/>
            <w:tcBorders>
              <w:top w:val="nil"/>
              <w:left w:val="nil"/>
              <w:bottom w:val="single" w:sz="8" w:space="0" w:color="auto"/>
              <w:right w:val="nil"/>
            </w:tcBorders>
            <w:shd w:val="clear" w:color="auto" w:fill="auto"/>
            <w:vAlign w:val="bottom"/>
          </w:tcPr>
          <w:p w14:paraId="26EE89F5" w14:textId="632523ED"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335</w:t>
            </w:r>
          </w:p>
        </w:tc>
        <w:tc>
          <w:tcPr>
            <w:tcW w:w="487" w:type="pct"/>
            <w:tcBorders>
              <w:top w:val="nil"/>
              <w:left w:val="nil"/>
              <w:bottom w:val="single" w:sz="8" w:space="0" w:color="auto"/>
              <w:right w:val="nil"/>
            </w:tcBorders>
            <w:shd w:val="clear" w:color="auto" w:fill="auto"/>
            <w:vAlign w:val="bottom"/>
          </w:tcPr>
          <w:p w14:paraId="282F49DB" w14:textId="0B72F723"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7" w:type="pct"/>
            <w:tcBorders>
              <w:top w:val="nil"/>
              <w:left w:val="nil"/>
              <w:bottom w:val="single" w:sz="8" w:space="0" w:color="auto"/>
              <w:right w:val="nil"/>
            </w:tcBorders>
            <w:shd w:val="clear" w:color="auto" w:fill="auto"/>
            <w:vAlign w:val="bottom"/>
          </w:tcPr>
          <w:p w14:paraId="393125D5" w14:textId="40CDC65A"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551" w:type="pct"/>
            <w:tcBorders>
              <w:top w:val="nil"/>
              <w:left w:val="nil"/>
              <w:bottom w:val="single" w:sz="8" w:space="0" w:color="auto"/>
              <w:right w:val="nil"/>
            </w:tcBorders>
            <w:shd w:val="clear" w:color="auto" w:fill="auto"/>
            <w:vAlign w:val="bottom"/>
          </w:tcPr>
          <w:p w14:paraId="2D853CF7" w14:textId="313F4CA1"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335</w:t>
            </w:r>
          </w:p>
        </w:tc>
        <w:tc>
          <w:tcPr>
            <w:tcW w:w="487" w:type="pct"/>
            <w:tcBorders>
              <w:top w:val="nil"/>
              <w:left w:val="nil"/>
              <w:bottom w:val="single" w:sz="8" w:space="0" w:color="auto"/>
              <w:right w:val="nil"/>
            </w:tcBorders>
            <w:shd w:val="clear" w:color="auto" w:fill="auto"/>
            <w:vAlign w:val="bottom"/>
          </w:tcPr>
          <w:p w14:paraId="6B808860" w14:textId="646B7F79"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335</w:t>
            </w:r>
          </w:p>
        </w:tc>
        <w:tc>
          <w:tcPr>
            <w:tcW w:w="487" w:type="pct"/>
            <w:tcBorders>
              <w:top w:val="nil"/>
              <w:left w:val="nil"/>
              <w:bottom w:val="single" w:sz="8" w:space="0" w:color="auto"/>
              <w:right w:val="nil"/>
            </w:tcBorders>
            <w:shd w:val="clear" w:color="auto" w:fill="auto"/>
            <w:vAlign w:val="bottom"/>
          </w:tcPr>
          <w:p w14:paraId="3CFCB101" w14:textId="0711702E"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7" w:type="pct"/>
            <w:tcBorders>
              <w:top w:val="nil"/>
              <w:left w:val="nil"/>
              <w:bottom w:val="single" w:sz="8" w:space="0" w:color="auto"/>
              <w:right w:val="nil"/>
            </w:tcBorders>
            <w:shd w:val="clear" w:color="auto" w:fill="auto"/>
            <w:vAlign w:val="bottom"/>
          </w:tcPr>
          <w:p w14:paraId="451F3D05" w14:textId="54853DBB"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483" w:type="pct"/>
            <w:tcBorders>
              <w:top w:val="nil"/>
              <w:left w:val="nil"/>
              <w:bottom w:val="single" w:sz="8" w:space="0" w:color="auto"/>
              <w:right w:val="nil"/>
            </w:tcBorders>
            <w:shd w:val="clear" w:color="auto" w:fill="auto"/>
            <w:vAlign w:val="bottom"/>
          </w:tcPr>
          <w:p w14:paraId="5A74B17F" w14:textId="169E1A4F" w:rsidR="00F061DB" w:rsidRPr="000E5941" w:rsidRDefault="00F061DB" w:rsidP="00F061DB">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335</w:t>
            </w:r>
          </w:p>
        </w:tc>
      </w:tr>
      <w:tr w:rsidR="00F061DB" w:rsidRPr="00F061DB" w14:paraId="031C22B8" w14:textId="77777777" w:rsidTr="00312975">
        <w:trPr>
          <w:trHeight w:val="295"/>
          <w:jc w:val="center"/>
        </w:trPr>
        <w:tc>
          <w:tcPr>
            <w:tcW w:w="977" w:type="pct"/>
            <w:vAlign w:val="bottom"/>
          </w:tcPr>
          <w:p w14:paraId="6D92B1D1" w14:textId="77777777" w:rsidR="00F061DB" w:rsidRPr="005A607D" w:rsidRDefault="00F061DB" w:rsidP="00F061DB">
            <w:pPr>
              <w:pStyle w:val="Tot"/>
              <w:spacing w:line="200" w:lineRule="exact"/>
              <w:rPr>
                <w:rFonts w:asciiTheme="minorHAnsi" w:hAnsiTheme="minorHAnsi" w:cs="Arial"/>
                <w:b/>
                <w:bCs/>
                <w:sz w:val="17"/>
                <w:szCs w:val="17"/>
                <w:lang w:val="hr-HR"/>
              </w:rPr>
            </w:pPr>
            <w:r w:rsidRPr="005A607D">
              <w:rPr>
                <w:rFonts w:asciiTheme="minorHAnsi" w:hAnsiTheme="minorHAnsi" w:cs="Arial"/>
                <w:b/>
                <w:bCs/>
                <w:sz w:val="17"/>
                <w:szCs w:val="17"/>
                <w:lang w:val="hr-HR"/>
              </w:rPr>
              <w:t>Ukupno</w:t>
            </w:r>
          </w:p>
        </w:tc>
        <w:tc>
          <w:tcPr>
            <w:tcW w:w="554" w:type="pct"/>
            <w:tcBorders>
              <w:top w:val="nil"/>
              <w:left w:val="nil"/>
              <w:bottom w:val="single" w:sz="12" w:space="0" w:color="auto"/>
              <w:right w:val="nil"/>
            </w:tcBorders>
            <w:shd w:val="clear" w:color="auto" w:fill="auto"/>
            <w:vAlign w:val="bottom"/>
          </w:tcPr>
          <w:p w14:paraId="2FBC8A73" w14:textId="4A640757" w:rsidR="00F061DB" w:rsidRPr="00F061DB" w:rsidRDefault="00F061DB" w:rsidP="00F061DB">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5.449.042</w:t>
            </w:r>
          </w:p>
        </w:tc>
        <w:tc>
          <w:tcPr>
            <w:tcW w:w="487" w:type="pct"/>
            <w:tcBorders>
              <w:top w:val="nil"/>
              <w:left w:val="nil"/>
              <w:bottom w:val="single" w:sz="12" w:space="0" w:color="auto"/>
              <w:right w:val="nil"/>
            </w:tcBorders>
            <w:shd w:val="clear" w:color="auto" w:fill="auto"/>
            <w:vAlign w:val="bottom"/>
          </w:tcPr>
          <w:p w14:paraId="6F182A6D" w14:textId="7A7A68BF" w:rsidR="00F061DB" w:rsidRPr="00F061DB" w:rsidRDefault="00F061DB" w:rsidP="00F061DB">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25.492</w:t>
            </w:r>
          </w:p>
        </w:tc>
        <w:tc>
          <w:tcPr>
            <w:tcW w:w="487" w:type="pct"/>
            <w:tcBorders>
              <w:top w:val="nil"/>
              <w:left w:val="nil"/>
              <w:bottom w:val="single" w:sz="12" w:space="0" w:color="auto"/>
              <w:right w:val="nil"/>
            </w:tcBorders>
            <w:shd w:val="clear" w:color="auto" w:fill="auto"/>
            <w:vAlign w:val="bottom"/>
          </w:tcPr>
          <w:p w14:paraId="0D2090D6" w14:textId="47A5FED7" w:rsidR="00F061DB" w:rsidRPr="00F061DB" w:rsidRDefault="00F061DB" w:rsidP="00F061DB">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w:t>
            </w:r>
          </w:p>
        </w:tc>
        <w:tc>
          <w:tcPr>
            <w:tcW w:w="551" w:type="pct"/>
            <w:tcBorders>
              <w:top w:val="nil"/>
              <w:left w:val="nil"/>
              <w:bottom w:val="single" w:sz="12" w:space="0" w:color="auto"/>
              <w:right w:val="nil"/>
            </w:tcBorders>
            <w:shd w:val="clear" w:color="auto" w:fill="auto"/>
            <w:vAlign w:val="bottom"/>
          </w:tcPr>
          <w:p w14:paraId="35611153" w14:textId="462E6428" w:rsidR="00F061DB" w:rsidRPr="00F061DB" w:rsidRDefault="00F061DB" w:rsidP="00F061DB">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5.474.534</w:t>
            </w:r>
          </w:p>
        </w:tc>
        <w:tc>
          <w:tcPr>
            <w:tcW w:w="487" w:type="pct"/>
            <w:tcBorders>
              <w:top w:val="nil"/>
              <w:left w:val="nil"/>
              <w:bottom w:val="single" w:sz="12" w:space="0" w:color="auto"/>
              <w:right w:val="nil"/>
            </w:tcBorders>
            <w:shd w:val="clear" w:color="auto" w:fill="auto"/>
            <w:vAlign w:val="bottom"/>
          </w:tcPr>
          <w:p w14:paraId="67E25DBD" w14:textId="7CC53B81" w:rsidR="00F061DB" w:rsidRPr="00F061DB" w:rsidRDefault="00177C3A" w:rsidP="00F061DB">
            <w:pPr>
              <w:spacing w:after="0" w:line="240" w:lineRule="auto"/>
              <w:jc w:val="right"/>
              <w:rPr>
                <w:rFonts w:ascii="Calibri" w:eastAsia="Times New Roman" w:hAnsi="Calibri" w:cs="Arial"/>
                <w:b/>
                <w:sz w:val="18"/>
                <w:szCs w:val="18"/>
                <w:lang w:val="en-US"/>
              </w:rPr>
            </w:pPr>
            <w:r>
              <w:rPr>
                <w:rFonts w:ascii="Calibri" w:eastAsia="Times New Roman" w:hAnsi="Calibri" w:cs="Arial"/>
                <w:b/>
                <w:sz w:val="18"/>
                <w:szCs w:val="18"/>
                <w:lang w:val="en-US"/>
              </w:rPr>
              <w:t>790.657</w:t>
            </w:r>
          </w:p>
        </w:tc>
        <w:tc>
          <w:tcPr>
            <w:tcW w:w="487" w:type="pct"/>
            <w:tcBorders>
              <w:top w:val="nil"/>
              <w:left w:val="nil"/>
              <w:bottom w:val="single" w:sz="12" w:space="0" w:color="auto"/>
              <w:right w:val="nil"/>
            </w:tcBorders>
            <w:shd w:val="clear" w:color="auto" w:fill="auto"/>
            <w:vAlign w:val="bottom"/>
          </w:tcPr>
          <w:p w14:paraId="72330B86" w14:textId="57D71460" w:rsidR="00F061DB" w:rsidRPr="00F061DB" w:rsidRDefault="00F061DB" w:rsidP="00F061DB">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w:t>
            </w:r>
          </w:p>
        </w:tc>
        <w:tc>
          <w:tcPr>
            <w:tcW w:w="487" w:type="pct"/>
            <w:tcBorders>
              <w:top w:val="nil"/>
              <w:left w:val="nil"/>
              <w:bottom w:val="single" w:sz="12" w:space="0" w:color="auto"/>
              <w:right w:val="nil"/>
            </w:tcBorders>
            <w:shd w:val="clear" w:color="auto" w:fill="auto"/>
            <w:vAlign w:val="bottom"/>
          </w:tcPr>
          <w:p w14:paraId="2B4E1B27" w14:textId="3071B1CB" w:rsidR="00F061DB" w:rsidRPr="00F061DB" w:rsidRDefault="00F061DB" w:rsidP="00F061DB">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w:t>
            </w:r>
          </w:p>
        </w:tc>
        <w:tc>
          <w:tcPr>
            <w:tcW w:w="483" w:type="pct"/>
            <w:tcBorders>
              <w:top w:val="nil"/>
              <w:left w:val="nil"/>
              <w:bottom w:val="single" w:sz="12" w:space="0" w:color="auto"/>
              <w:right w:val="nil"/>
            </w:tcBorders>
            <w:shd w:val="clear" w:color="auto" w:fill="auto"/>
            <w:vAlign w:val="bottom"/>
          </w:tcPr>
          <w:p w14:paraId="6E746A3A" w14:textId="14BE9822" w:rsidR="00F061DB" w:rsidRPr="00F061DB" w:rsidRDefault="00177C3A" w:rsidP="00F061DB">
            <w:pPr>
              <w:spacing w:after="0" w:line="240" w:lineRule="auto"/>
              <w:jc w:val="right"/>
              <w:rPr>
                <w:rFonts w:ascii="Calibri" w:eastAsia="Times New Roman" w:hAnsi="Calibri" w:cs="Arial"/>
                <w:b/>
                <w:sz w:val="18"/>
                <w:szCs w:val="18"/>
                <w:lang w:val="en-US"/>
              </w:rPr>
            </w:pPr>
            <w:r>
              <w:rPr>
                <w:rFonts w:ascii="Calibri" w:eastAsia="Times New Roman" w:hAnsi="Calibri" w:cs="Arial"/>
                <w:b/>
                <w:sz w:val="18"/>
                <w:szCs w:val="18"/>
                <w:lang w:val="en-US"/>
              </w:rPr>
              <w:t>790.657</w:t>
            </w:r>
          </w:p>
        </w:tc>
      </w:tr>
      <w:tr w:rsidR="00F061DB" w:rsidRPr="00F061DB" w14:paraId="26A700D0" w14:textId="77777777" w:rsidTr="00312975">
        <w:trPr>
          <w:trHeight w:val="393"/>
          <w:jc w:val="center"/>
        </w:trPr>
        <w:tc>
          <w:tcPr>
            <w:tcW w:w="977" w:type="pct"/>
            <w:vAlign w:val="bottom"/>
          </w:tcPr>
          <w:p w14:paraId="696C92D5" w14:textId="77777777" w:rsidR="00F061DB" w:rsidRPr="005A607D" w:rsidRDefault="00F061DB" w:rsidP="00F061DB">
            <w:pPr>
              <w:pStyle w:val="Tot"/>
              <w:spacing w:line="200" w:lineRule="exact"/>
              <w:rPr>
                <w:rFonts w:asciiTheme="minorHAnsi" w:hAnsiTheme="minorHAnsi" w:cs="Arial"/>
                <w:b/>
                <w:bCs/>
                <w:sz w:val="17"/>
                <w:szCs w:val="17"/>
                <w:lang w:val="hr-HR"/>
              </w:rPr>
            </w:pPr>
            <w:r w:rsidRPr="005A607D">
              <w:rPr>
                <w:rFonts w:asciiTheme="minorHAnsi" w:hAnsiTheme="minorHAnsi" w:cs="Arial"/>
                <w:b/>
                <w:bCs/>
                <w:sz w:val="17"/>
                <w:szCs w:val="17"/>
                <w:lang w:val="hr-HR"/>
              </w:rPr>
              <w:t>Ukupna izloženost kreditnom riziku</w:t>
            </w:r>
          </w:p>
        </w:tc>
        <w:tc>
          <w:tcPr>
            <w:tcW w:w="554" w:type="pct"/>
            <w:tcBorders>
              <w:top w:val="nil"/>
              <w:left w:val="nil"/>
              <w:bottom w:val="single" w:sz="12" w:space="0" w:color="auto"/>
              <w:right w:val="nil"/>
            </w:tcBorders>
            <w:shd w:val="clear" w:color="auto" w:fill="auto"/>
            <w:vAlign w:val="bottom"/>
          </w:tcPr>
          <w:p w14:paraId="0549D2BF" w14:textId="6EDF0C97" w:rsidR="00F061DB" w:rsidRPr="00F061DB" w:rsidRDefault="00F061DB" w:rsidP="00F061DB">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31.356.348</w:t>
            </w:r>
          </w:p>
        </w:tc>
        <w:tc>
          <w:tcPr>
            <w:tcW w:w="487" w:type="pct"/>
            <w:tcBorders>
              <w:top w:val="nil"/>
              <w:left w:val="nil"/>
              <w:bottom w:val="single" w:sz="12" w:space="0" w:color="auto"/>
              <w:right w:val="nil"/>
            </w:tcBorders>
            <w:shd w:val="clear" w:color="auto" w:fill="auto"/>
            <w:vAlign w:val="bottom"/>
          </w:tcPr>
          <w:p w14:paraId="7C2699F0" w14:textId="7DF2FE8E" w:rsidR="00F061DB" w:rsidRPr="00F061DB" w:rsidRDefault="00F061DB" w:rsidP="00F061DB">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1.775.578</w:t>
            </w:r>
          </w:p>
        </w:tc>
        <w:tc>
          <w:tcPr>
            <w:tcW w:w="487" w:type="pct"/>
            <w:tcBorders>
              <w:top w:val="nil"/>
              <w:left w:val="nil"/>
              <w:bottom w:val="single" w:sz="12" w:space="0" w:color="auto"/>
              <w:right w:val="nil"/>
            </w:tcBorders>
            <w:shd w:val="clear" w:color="auto" w:fill="auto"/>
            <w:vAlign w:val="bottom"/>
          </w:tcPr>
          <w:p w14:paraId="6FEC8100" w14:textId="55257669" w:rsidR="00F061DB" w:rsidRPr="00F061DB" w:rsidRDefault="00F061DB" w:rsidP="00F061DB">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w:t>
            </w:r>
          </w:p>
        </w:tc>
        <w:tc>
          <w:tcPr>
            <w:tcW w:w="551" w:type="pct"/>
            <w:tcBorders>
              <w:top w:val="nil"/>
              <w:left w:val="nil"/>
              <w:bottom w:val="single" w:sz="12" w:space="0" w:color="auto"/>
              <w:right w:val="nil"/>
            </w:tcBorders>
            <w:shd w:val="clear" w:color="auto" w:fill="auto"/>
            <w:vAlign w:val="bottom"/>
          </w:tcPr>
          <w:p w14:paraId="5F1DBDBB" w14:textId="193C72CA" w:rsidR="00F061DB" w:rsidRPr="00F061DB" w:rsidRDefault="00F061DB" w:rsidP="00F061DB">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33.131.926</w:t>
            </w:r>
          </w:p>
        </w:tc>
        <w:tc>
          <w:tcPr>
            <w:tcW w:w="487" w:type="pct"/>
            <w:tcBorders>
              <w:top w:val="nil"/>
              <w:left w:val="nil"/>
              <w:bottom w:val="single" w:sz="12" w:space="0" w:color="auto"/>
              <w:right w:val="nil"/>
            </w:tcBorders>
            <w:shd w:val="clear" w:color="auto" w:fill="auto"/>
            <w:vAlign w:val="bottom"/>
          </w:tcPr>
          <w:p w14:paraId="13049BF5" w14:textId="3F0C5E4A" w:rsidR="00F061DB" w:rsidRPr="00F061DB" w:rsidRDefault="00177C3A" w:rsidP="00F061DB">
            <w:pPr>
              <w:spacing w:after="0" w:line="240" w:lineRule="auto"/>
              <w:jc w:val="right"/>
              <w:rPr>
                <w:rFonts w:ascii="Calibri" w:eastAsia="Times New Roman" w:hAnsi="Calibri" w:cs="Arial"/>
                <w:b/>
                <w:sz w:val="18"/>
                <w:szCs w:val="18"/>
                <w:lang w:val="en-US"/>
              </w:rPr>
            </w:pPr>
            <w:r>
              <w:rPr>
                <w:rFonts w:ascii="Calibri" w:eastAsia="Times New Roman" w:hAnsi="Calibri" w:cs="Arial"/>
                <w:b/>
                <w:sz w:val="18"/>
                <w:szCs w:val="18"/>
                <w:lang w:val="en-US"/>
              </w:rPr>
              <w:t>5.572.573</w:t>
            </w:r>
          </w:p>
        </w:tc>
        <w:tc>
          <w:tcPr>
            <w:tcW w:w="487" w:type="pct"/>
            <w:tcBorders>
              <w:top w:val="nil"/>
              <w:left w:val="nil"/>
              <w:bottom w:val="single" w:sz="12" w:space="0" w:color="auto"/>
              <w:right w:val="nil"/>
            </w:tcBorders>
            <w:shd w:val="clear" w:color="auto" w:fill="auto"/>
            <w:vAlign w:val="bottom"/>
          </w:tcPr>
          <w:p w14:paraId="32DFC47F" w14:textId="588A0B7B" w:rsidR="00F061DB" w:rsidRPr="00F061DB" w:rsidRDefault="00F061DB">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24.09</w:t>
            </w:r>
            <w:r w:rsidR="00177C3A">
              <w:rPr>
                <w:rFonts w:ascii="Calibri" w:eastAsia="Times New Roman" w:hAnsi="Calibri" w:cs="Arial"/>
                <w:b/>
                <w:sz w:val="18"/>
                <w:szCs w:val="18"/>
                <w:lang w:val="en-US"/>
              </w:rPr>
              <w:t>3</w:t>
            </w:r>
          </w:p>
        </w:tc>
        <w:tc>
          <w:tcPr>
            <w:tcW w:w="487" w:type="pct"/>
            <w:tcBorders>
              <w:top w:val="nil"/>
              <w:left w:val="nil"/>
              <w:bottom w:val="single" w:sz="12" w:space="0" w:color="auto"/>
              <w:right w:val="nil"/>
            </w:tcBorders>
            <w:shd w:val="clear" w:color="auto" w:fill="auto"/>
            <w:vAlign w:val="bottom"/>
          </w:tcPr>
          <w:p w14:paraId="4D820258" w14:textId="40CBED87" w:rsidR="00F061DB" w:rsidRPr="00F061DB" w:rsidRDefault="00F061DB" w:rsidP="00F061DB">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w:t>
            </w:r>
          </w:p>
        </w:tc>
        <w:tc>
          <w:tcPr>
            <w:tcW w:w="483" w:type="pct"/>
            <w:tcBorders>
              <w:top w:val="nil"/>
              <w:left w:val="nil"/>
              <w:bottom w:val="single" w:sz="12" w:space="0" w:color="auto"/>
              <w:right w:val="nil"/>
            </w:tcBorders>
            <w:shd w:val="clear" w:color="auto" w:fill="auto"/>
            <w:vAlign w:val="bottom"/>
          </w:tcPr>
          <w:p w14:paraId="0FA0CB61" w14:textId="6A6436CC" w:rsidR="00F061DB" w:rsidRPr="00F061DB" w:rsidRDefault="00177C3A" w:rsidP="00F061DB">
            <w:pPr>
              <w:spacing w:after="0" w:line="240" w:lineRule="auto"/>
              <w:jc w:val="right"/>
              <w:rPr>
                <w:rFonts w:ascii="Calibri" w:eastAsia="Times New Roman" w:hAnsi="Calibri" w:cs="Arial"/>
                <w:b/>
                <w:sz w:val="18"/>
                <w:szCs w:val="18"/>
                <w:lang w:val="en-US"/>
              </w:rPr>
            </w:pPr>
            <w:r>
              <w:rPr>
                <w:rFonts w:ascii="Calibri" w:eastAsia="Times New Roman" w:hAnsi="Calibri" w:cs="Arial"/>
                <w:b/>
                <w:sz w:val="18"/>
                <w:szCs w:val="18"/>
                <w:lang w:val="en-US"/>
              </w:rPr>
              <w:t>5.596.666</w:t>
            </w:r>
          </w:p>
        </w:tc>
      </w:tr>
    </w:tbl>
    <w:p w14:paraId="6FD6E45B" w14:textId="77777777" w:rsidR="000B60DD" w:rsidRPr="004D1BC3" w:rsidRDefault="000B60DD" w:rsidP="000B60DD">
      <w:pPr>
        <w:tabs>
          <w:tab w:val="left" w:pos="9180"/>
        </w:tabs>
        <w:spacing w:after="0" w:line="240" w:lineRule="auto"/>
        <w:ind w:left="-181" w:right="-289"/>
        <w:jc w:val="both"/>
        <w:rPr>
          <w:rFonts w:cs="Arial"/>
          <w:bCs/>
          <w:sz w:val="14"/>
          <w:szCs w:val="14"/>
        </w:rPr>
      </w:pPr>
    </w:p>
    <w:p w14:paraId="22036B20" w14:textId="77777777" w:rsidR="0011768F" w:rsidRDefault="0011768F" w:rsidP="00682ABB">
      <w:pPr>
        <w:tabs>
          <w:tab w:val="left" w:pos="9180"/>
        </w:tabs>
        <w:spacing w:after="0" w:line="240" w:lineRule="auto"/>
        <w:ind w:left="-181" w:right="-289"/>
        <w:jc w:val="both"/>
        <w:rPr>
          <w:rFonts w:cs="Arial"/>
          <w:bCs/>
          <w:sz w:val="18"/>
          <w:szCs w:val="18"/>
        </w:rPr>
      </w:pPr>
    </w:p>
    <w:p w14:paraId="78316C09" w14:textId="059A10CC" w:rsidR="000B60DD" w:rsidRPr="002C432B" w:rsidRDefault="00372F82" w:rsidP="005F3F05">
      <w:pPr>
        <w:tabs>
          <w:tab w:val="left" w:pos="9180"/>
        </w:tabs>
        <w:spacing w:after="60" w:line="240" w:lineRule="auto"/>
        <w:ind w:left="-181" w:right="-289"/>
        <w:jc w:val="both"/>
        <w:rPr>
          <w:rFonts w:cs="Arial"/>
          <w:bCs/>
          <w:sz w:val="18"/>
          <w:szCs w:val="18"/>
        </w:rPr>
      </w:pPr>
      <w:r w:rsidRPr="00743655">
        <w:rPr>
          <w:rFonts w:cs="Arial"/>
          <w:bCs/>
          <w:sz w:val="18"/>
          <w:szCs w:val="18"/>
        </w:rPr>
        <w:t xml:space="preserve">U </w:t>
      </w:r>
      <w:r w:rsidRPr="002C432B">
        <w:rPr>
          <w:rFonts w:cs="Arial"/>
          <w:bCs/>
          <w:sz w:val="18"/>
          <w:szCs w:val="18"/>
        </w:rPr>
        <w:t>ukupnoj neto najvećoj izloženosti Grupe i Banke i</w:t>
      </w:r>
      <w:r w:rsidRPr="002C432B">
        <w:rPr>
          <w:rFonts w:cs="Arial"/>
          <w:sz w:val="18"/>
          <w:szCs w:val="18"/>
        </w:rPr>
        <w:t xml:space="preserve">znos kredita ostalim korisnicima od </w:t>
      </w:r>
      <w:r w:rsidR="00D474DA">
        <w:rPr>
          <w:rFonts w:cs="Arial"/>
          <w:sz w:val="18"/>
          <w:szCs w:val="18"/>
        </w:rPr>
        <w:t>1.536.684</w:t>
      </w:r>
      <w:r w:rsidR="00743655" w:rsidRPr="002C432B">
        <w:rPr>
          <w:rFonts w:cs="Arial"/>
          <w:sz w:val="18"/>
          <w:szCs w:val="18"/>
        </w:rPr>
        <w:t xml:space="preserve"> </w:t>
      </w:r>
      <w:r w:rsidRPr="002C432B">
        <w:rPr>
          <w:rFonts w:cs="Arial"/>
          <w:sz w:val="18"/>
          <w:szCs w:val="18"/>
        </w:rPr>
        <w:t xml:space="preserve">tisuća kuna nije pokriven uobičajenim instrumentima osiguranja, ali se odnosi na potraživanja i primljena sredstva od Republike Hrvatske u iznosu od </w:t>
      </w:r>
      <w:r w:rsidR="00D474DA">
        <w:rPr>
          <w:rFonts w:cs="Arial"/>
          <w:sz w:val="18"/>
          <w:szCs w:val="18"/>
        </w:rPr>
        <w:t>605.085</w:t>
      </w:r>
      <w:r w:rsidR="00743655" w:rsidRPr="002C432B">
        <w:rPr>
          <w:rFonts w:cs="Arial"/>
          <w:sz w:val="18"/>
          <w:szCs w:val="18"/>
        </w:rPr>
        <w:t xml:space="preserve"> </w:t>
      </w:r>
      <w:r w:rsidRPr="002C432B">
        <w:rPr>
          <w:rFonts w:cs="Arial"/>
          <w:sz w:val="18"/>
          <w:szCs w:val="18"/>
        </w:rPr>
        <w:t xml:space="preserve">tisuća kuna, jedinica lokalne i područne (regionalne) samouprave u iznosu od </w:t>
      </w:r>
      <w:r w:rsidR="00D474DA">
        <w:rPr>
          <w:rFonts w:cs="Arial"/>
          <w:sz w:val="18"/>
          <w:szCs w:val="18"/>
        </w:rPr>
        <w:t>501.210</w:t>
      </w:r>
      <w:r w:rsidR="00743655" w:rsidRPr="002C432B">
        <w:rPr>
          <w:rFonts w:cs="Arial"/>
          <w:sz w:val="18"/>
          <w:szCs w:val="18"/>
        </w:rPr>
        <w:t xml:space="preserve"> </w:t>
      </w:r>
      <w:r w:rsidRPr="002C432B">
        <w:rPr>
          <w:rFonts w:cs="Arial"/>
          <w:sz w:val="18"/>
          <w:szCs w:val="18"/>
        </w:rPr>
        <w:t>tisuća kuna, državnih trgovačkih društava za čije obveze Republika Hrvatska odgovara solidarn</w:t>
      </w:r>
      <w:r w:rsidR="00BB0B92" w:rsidRPr="002C432B">
        <w:rPr>
          <w:rFonts w:cs="Arial"/>
          <w:sz w:val="18"/>
          <w:szCs w:val="18"/>
        </w:rPr>
        <w:t xml:space="preserve">o i neograničeno u iznosu od </w:t>
      </w:r>
      <w:r w:rsidR="00D474DA">
        <w:rPr>
          <w:rFonts w:cs="Arial"/>
          <w:sz w:val="18"/>
          <w:szCs w:val="18"/>
        </w:rPr>
        <w:t>241.368</w:t>
      </w:r>
      <w:r w:rsidR="00BB0B92" w:rsidRPr="002C432B">
        <w:rPr>
          <w:rFonts w:cs="Arial"/>
          <w:sz w:val="18"/>
          <w:szCs w:val="18"/>
        </w:rPr>
        <w:t xml:space="preserve"> </w:t>
      </w:r>
      <w:r w:rsidRPr="002C432B">
        <w:rPr>
          <w:rFonts w:cs="Arial"/>
          <w:sz w:val="18"/>
          <w:szCs w:val="18"/>
        </w:rPr>
        <w:t>tis</w:t>
      </w:r>
      <w:r w:rsidR="00BB0B92" w:rsidRPr="002C432B">
        <w:rPr>
          <w:rFonts w:cs="Arial"/>
          <w:sz w:val="18"/>
          <w:szCs w:val="18"/>
        </w:rPr>
        <w:t>uća kuna te republičkih fondova</w:t>
      </w:r>
      <w:r w:rsidRPr="002C432B">
        <w:rPr>
          <w:rFonts w:cs="Arial"/>
          <w:sz w:val="18"/>
          <w:szCs w:val="18"/>
        </w:rPr>
        <w:t xml:space="preserve"> u iznosu od </w:t>
      </w:r>
      <w:r w:rsidR="00D474DA">
        <w:rPr>
          <w:rFonts w:cs="Arial"/>
          <w:sz w:val="18"/>
          <w:szCs w:val="18"/>
        </w:rPr>
        <w:t>391</w:t>
      </w:r>
      <w:r w:rsidR="00D474DA" w:rsidRPr="002C432B">
        <w:rPr>
          <w:rFonts w:cs="Arial"/>
          <w:sz w:val="18"/>
          <w:szCs w:val="18"/>
        </w:rPr>
        <w:t xml:space="preserve"> </w:t>
      </w:r>
      <w:r w:rsidRPr="002C432B">
        <w:rPr>
          <w:rFonts w:cs="Arial"/>
          <w:sz w:val="18"/>
          <w:szCs w:val="18"/>
        </w:rPr>
        <w:t xml:space="preserve">tisuća kuna. </w:t>
      </w:r>
      <w:r w:rsidRPr="002C432B">
        <w:rPr>
          <w:rFonts w:cs="Arial"/>
          <w:bCs/>
          <w:sz w:val="18"/>
          <w:szCs w:val="18"/>
        </w:rPr>
        <w:t xml:space="preserve">Dodatno, iznos od </w:t>
      </w:r>
      <w:r w:rsidR="00D474DA">
        <w:rPr>
          <w:rFonts w:cs="Arial"/>
          <w:bCs/>
          <w:sz w:val="18"/>
          <w:szCs w:val="18"/>
        </w:rPr>
        <w:t>188.630</w:t>
      </w:r>
      <w:r w:rsidR="00743655" w:rsidRPr="002C432B">
        <w:rPr>
          <w:rFonts w:cs="Arial"/>
          <w:bCs/>
          <w:sz w:val="18"/>
          <w:szCs w:val="18"/>
        </w:rPr>
        <w:t xml:space="preserve"> </w:t>
      </w:r>
      <w:r w:rsidRPr="002C432B">
        <w:rPr>
          <w:rFonts w:cs="Arial"/>
          <w:bCs/>
          <w:sz w:val="18"/>
          <w:szCs w:val="18"/>
        </w:rPr>
        <w:t>tisuća kuna odnosi se na potraživanja od trgovačkog društva u većinskom državnom vlasništvu (</w:t>
      </w:r>
      <w:r w:rsidR="00215F19" w:rsidRPr="002C432B">
        <w:rPr>
          <w:rFonts w:cs="Arial"/>
          <w:bCs/>
          <w:sz w:val="18"/>
          <w:szCs w:val="18"/>
        </w:rPr>
        <w:t>kontrolni utjecaj</w:t>
      </w:r>
      <w:r w:rsidRPr="002C432B">
        <w:rPr>
          <w:rFonts w:cs="Arial"/>
          <w:bCs/>
          <w:sz w:val="18"/>
          <w:szCs w:val="18"/>
        </w:rPr>
        <w:t>).</w:t>
      </w:r>
    </w:p>
    <w:p w14:paraId="1B0A8511" w14:textId="7BA8F899" w:rsidR="00955533" w:rsidRPr="002C432B" w:rsidRDefault="00372F82">
      <w:pPr>
        <w:tabs>
          <w:tab w:val="left" w:pos="9180"/>
        </w:tabs>
        <w:spacing w:after="60" w:line="240" w:lineRule="auto"/>
        <w:ind w:left="-181" w:right="-289"/>
        <w:jc w:val="both"/>
        <w:rPr>
          <w:rFonts w:cs="Arial"/>
          <w:sz w:val="18"/>
          <w:szCs w:val="18"/>
        </w:rPr>
      </w:pPr>
      <w:r w:rsidRPr="002C432B">
        <w:rPr>
          <w:rFonts w:cs="Arial"/>
          <w:sz w:val="18"/>
          <w:szCs w:val="18"/>
        </w:rPr>
        <w:t xml:space="preserve">Iznos imovine raspoložive za prodaju i imovine do dospijeća nije pokriven uobičajenim instrumentima, ali se odnosi na obveznice Republike Hrvatske i trezorske zapise Ministarstva financija u iznosu od </w:t>
      </w:r>
      <w:r w:rsidR="00D474DA">
        <w:rPr>
          <w:rFonts w:cs="Arial"/>
          <w:sz w:val="18"/>
          <w:szCs w:val="18"/>
        </w:rPr>
        <w:t>2.191.232</w:t>
      </w:r>
      <w:r w:rsidRPr="002C432B">
        <w:rPr>
          <w:rFonts w:cs="Arial"/>
          <w:sz w:val="18"/>
          <w:szCs w:val="18"/>
        </w:rPr>
        <w:t xml:space="preserve"> tisuća kuna kod Grupe i </w:t>
      </w:r>
      <w:r w:rsidR="00D474DA">
        <w:rPr>
          <w:rFonts w:cs="Arial"/>
          <w:sz w:val="18"/>
          <w:szCs w:val="18"/>
        </w:rPr>
        <w:t>2.148.195</w:t>
      </w:r>
      <w:r w:rsidR="00BB0B92" w:rsidRPr="002C432B">
        <w:rPr>
          <w:rFonts w:cs="Arial"/>
          <w:sz w:val="18"/>
          <w:szCs w:val="18"/>
        </w:rPr>
        <w:t xml:space="preserve"> </w:t>
      </w:r>
      <w:r w:rsidRPr="002C432B">
        <w:rPr>
          <w:rFonts w:cs="Arial"/>
          <w:sz w:val="18"/>
          <w:szCs w:val="18"/>
        </w:rPr>
        <w:t xml:space="preserve">tisuća kuna kod Banke. </w:t>
      </w:r>
    </w:p>
    <w:p w14:paraId="7D9F90F3" w14:textId="1C560244" w:rsidR="005F3F05" w:rsidRDefault="00372F82" w:rsidP="005F3F05">
      <w:pPr>
        <w:tabs>
          <w:tab w:val="left" w:pos="9180"/>
        </w:tabs>
        <w:spacing w:after="60" w:line="240" w:lineRule="auto"/>
        <w:ind w:left="-181" w:right="-289"/>
        <w:jc w:val="both"/>
        <w:rPr>
          <w:rFonts w:cs="Arial"/>
          <w:sz w:val="18"/>
          <w:szCs w:val="18"/>
        </w:rPr>
      </w:pPr>
      <w:r w:rsidRPr="002C432B">
        <w:rPr>
          <w:rFonts w:cs="Arial"/>
          <w:sz w:val="18"/>
          <w:szCs w:val="18"/>
        </w:rPr>
        <w:t xml:space="preserve">Ostala imovina u iznosu od </w:t>
      </w:r>
      <w:r w:rsidR="009F4E0E">
        <w:rPr>
          <w:rFonts w:cs="Arial"/>
          <w:sz w:val="18"/>
          <w:szCs w:val="18"/>
        </w:rPr>
        <w:t>1.102</w:t>
      </w:r>
      <w:r w:rsidR="000920C4" w:rsidRPr="002C432B">
        <w:rPr>
          <w:rFonts w:cs="Arial"/>
          <w:sz w:val="18"/>
          <w:szCs w:val="18"/>
        </w:rPr>
        <w:t xml:space="preserve"> </w:t>
      </w:r>
      <w:r w:rsidRPr="002C432B">
        <w:rPr>
          <w:rFonts w:cs="Arial"/>
          <w:sz w:val="18"/>
          <w:szCs w:val="18"/>
        </w:rPr>
        <w:t xml:space="preserve">tisuća kuna nije pokrivena uobičajenim instrumentima osiguranja, ali se odnosi na potraživanja od Republike Hrvatske i republičkih fondova. </w:t>
      </w:r>
    </w:p>
    <w:p w14:paraId="376DCE9E" w14:textId="77777777" w:rsidR="00000EB5" w:rsidRDefault="00000EB5" w:rsidP="005F3F05">
      <w:pPr>
        <w:tabs>
          <w:tab w:val="left" w:pos="9180"/>
        </w:tabs>
        <w:spacing w:after="60" w:line="240" w:lineRule="auto"/>
        <w:ind w:left="-181" w:right="-289"/>
        <w:jc w:val="both"/>
        <w:rPr>
          <w:rFonts w:cs="Arial"/>
          <w:sz w:val="18"/>
          <w:szCs w:val="18"/>
        </w:rPr>
      </w:pPr>
    </w:p>
    <w:p w14:paraId="05109438" w14:textId="77777777" w:rsidR="00000EB5" w:rsidRDefault="00000EB5" w:rsidP="005F3F05">
      <w:pPr>
        <w:tabs>
          <w:tab w:val="left" w:pos="9180"/>
        </w:tabs>
        <w:spacing w:after="60" w:line="240" w:lineRule="auto"/>
        <w:ind w:left="-181" w:right="-289"/>
        <w:jc w:val="both"/>
        <w:rPr>
          <w:rFonts w:cs="Arial"/>
          <w:sz w:val="18"/>
          <w:szCs w:val="18"/>
        </w:rPr>
        <w:sectPr w:rsidR="00000EB5" w:rsidSect="00D56049">
          <w:footerReference w:type="default" r:id="rId96"/>
          <w:footerReference w:type="first" r:id="rId97"/>
          <w:pgSz w:w="11906" w:h="16838" w:code="9"/>
          <w:pgMar w:top="1418" w:right="1418" w:bottom="595" w:left="1134" w:header="709" w:footer="709" w:gutter="0"/>
          <w:cols w:space="708"/>
          <w:titlePg/>
          <w:docGrid w:linePitch="360"/>
        </w:sectPr>
      </w:pPr>
    </w:p>
    <w:p w14:paraId="2E9B12B5" w14:textId="77777777" w:rsidR="005F3F05" w:rsidRPr="005A607D" w:rsidRDefault="005F3F05" w:rsidP="00BF7E5D">
      <w:pPr>
        <w:pStyle w:val="T1"/>
        <w:spacing w:before="0" w:after="0" w:line="240" w:lineRule="auto"/>
        <w:rPr>
          <w:rFonts w:asciiTheme="minorHAnsi" w:hAnsiTheme="minorHAnsi" w:cs="Arial"/>
          <w:sz w:val="18"/>
          <w:szCs w:val="18"/>
          <w:lang w:val="hr-HR"/>
        </w:rPr>
      </w:pPr>
    </w:p>
    <w:p w14:paraId="0E29877E" w14:textId="77777777" w:rsidR="00BF7E5D" w:rsidRDefault="00BF7E5D" w:rsidP="00BF7E5D">
      <w:pPr>
        <w:pStyle w:val="T1"/>
        <w:spacing w:before="0" w:after="0" w:line="240" w:lineRule="auto"/>
        <w:rPr>
          <w:rFonts w:asciiTheme="minorHAnsi" w:hAnsiTheme="minorHAnsi" w:cs="Arial"/>
          <w:sz w:val="22"/>
          <w:szCs w:val="22"/>
          <w:lang w:val="hr-HR"/>
        </w:rPr>
      </w:pPr>
      <w:r w:rsidRPr="00372F82">
        <w:rPr>
          <w:rFonts w:asciiTheme="minorHAnsi" w:hAnsiTheme="minorHAnsi" w:cs="Arial"/>
          <w:sz w:val="22"/>
          <w:szCs w:val="22"/>
          <w:lang w:val="hr-HR"/>
        </w:rPr>
        <w:t>1</w:t>
      </w:r>
      <w:r w:rsidR="00D235E1">
        <w:rPr>
          <w:rFonts w:asciiTheme="minorHAnsi" w:hAnsiTheme="minorHAnsi" w:cs="Arial"/>
          <w:sz w:val="22"/>
          <w:szCs w:val="22"/>
          <w:lang w:val="hr-HR"/>
        </w:rPr>
        <w:t>6</w:t>
      </w:r>
      <w:r w:rsidRPr="00372F82">
        <w:rPr>
          <w:rFonts w:asciiTheme="minorHAnsi" w:hAnsiTheme="minorHAnsi" w:cs="Arial"/>
          <w:sz w:val="22"/>
          <w:szCs w:val="22"/>
          <w:lang w:val="hr-HR"/>
        </w:rPr>
        <w:t>.</w:t>
      </w:r>
      <w:r w:rsidRPr="00372F82">
        <w:rPr>
          <w:rFonts w:asciiTheme="minorHAnsi" w:hAnsiTheme="minorHAnsi" w:cs="Arial"/>
          <w:sz w:val="22"/>
          <w:szCs w:val="22"/>
          <w:lang w:val="hr-HR"/>
        </w:rPr>
        <w:tab/>
        <w:t>Upravljanje rizicima (nastavak)</w:t>
      </w:r>
    </w:p>
    <w:p w14:paraId="6A3FA92A" w14:textId="77777777" w:rsidR="00BF7E5D" w:rsidRPr="004D1BC3" w:rsidRDefault="00BF7E5D" w:rsidP="00BF7E5D">
      <w:pPr>
        <w:pStyle w:val="T1"/>
        <w:spacing w:before="0" w:after="0" w:line="240" w:lineRule="auto"/>
        <w:rPr>
          <w:rFonts w:asciiTheme="minorHAnsi" w:hAnsiTheme="minorHAnsi" w:cs="Arial"/>
          <w:sz w:val="16"/>
          <w:szCs w:val="16"/>
          <w:lang w:val="hr-HR"/>
        </w:rPr>
      </w:pPr>
    </w:p>
    <w:p w14:paraId="27499989" w14:textId="77777777" w:rsidR="00BF7E5D" w:rsidRDefault="00BF7E5D" w:rsidP="00BF7E5D">
      <w:pPr>
        <w:pStyle w:val="T1"/>
        <w:spacing w:before="0" w:after="0" w:line="240" w:lineRule="auto"/>
        <w:rPr>
          <w:rFonts w:asciiTheme="minorHAnsi" w:hAnsiTheme="minorHAnsi" w:cs="Arial"/>
          <w:sz w:val="22"/>
          <w:szCs w:val="22"/>
          <w:lang w:val="hr-HR"/>
        </w:rPr>
      </w:pPr>
      <w:r w:rsidRPr="00372F82">
        <w:rPr>
          <w:rFonts w:asciiTheme="minorHAnsi" w:hAnsiTheme="minorHAnsi" w:cs="Arial"/>
          <w:sz w:val="22"/>
          <w:szCs w:val="22"/>
          <w:lang w:val="hr-HR"/>
        </w:rPr>
        <w:t>1</w:t>
      </w:r>
      <w:r w:rsidR="00D235E1">
        <w:rPr>
          <w:rFonts w:asciiTheme="minorHAnsi" w:hAnsiTheme="minorHAnsi" w:cs="Arial"/>
          <w:sz w:val="22"/>
          <w:szCs w:val="22"/>
          <w:lang w:val="hr-HR"/>
        </w:rPr>
        <w:t>6</w:t>
      </w:r>
      <w:r w:rsidRPr="00372F82">
        <w:rPr>
          <w:rFonts w:asciiTheme="minorHAnsi" w:hAnsiTheme="minorHAnsi" w:cs="Arial"/>
          <w:sz w:val="22"/>
          <w:szCs w:val="22"/>
          <w:lang w:val="hr-HR"/>
        </w:rPr>
        <w:t xml:space="preserve">.2. </w:t>
      </w:r>
      <w:r w:rsidRPr="00372F82">
        <w:rPr>
          <w:rFonts w:asciiTheme="minorHAnsi" w:hAnsiTheme="minorHAnsi" w:cs="Arial"/>
          <w:sz w:val="22"/>
          <w:szCs w:val="22"/>
          <w:lang w:val="hr-HR"/>
        </w:rPr>
        <w:tab/>
        <w:t>Kreditni rizik (nastavak)</w:t>
      </w:r>
    </w:p>
    <w:p w14:paraId="4D93D81D" w14:textId="77777777" w:rsidR="00BF7E5D" w:rsidRPr="004D1BC3" w:rsidRDefault="00BF7E5D" w:rsidP="00BF7E5D">
      <w:pPr>
        <w:pStyle w:val="T1"/>
        <w:spacing w:before="0" w:after="0" w:line="240" w:lineRule="auto"/>
        <w:rPr>
          <w:rFonts w:asciiTheme="minorHAnsi" w:hAnsiTheme="minorHAnsi" w:cs="Arial"/>
          <w:sz w:val="16"/>
          <w:szCs w:val="16"/>
          <w:lang w:val="hr-HR"/>
        </w:rPr>
      </w:pPr>
    </w:p>
    <w:p w14:paraId="3BD6A4FB" w14:textId="77777777" w:rsidR="00BF7E5D" w:rsidRDefault="00BF7E5D" w:rsidP="00BF7E5D">
      <w:pPr>
        <w:pStyle w:val="T1"/>
        <w:spacing w:before="0" w:after="0" w:line="240" w:lineRule="auto"/>
        <w:rPr>
          <w:rFonts w:asciiTheme="minorHAnsi" w:hAnsiTheme="minorHAnsi" w:cs="Arial"/>
          <w:sz w:val="22"/>
          <w:szCs w:val="22"/>
          <w:lang w:val="hr-HR"/>
        </w:rPr>
      </w:pPr>
      <w:r w:rsidRPr="00372F82">
        <w:rPr>
          <w:rFonts w:asciiTheme="minorHAnsi" w:hAnsiTheme="minorHAnsi" w:cs="Arial"/>
          <w:sz w:val="22"/>
          <w:szCs w:val="22"/>
          <w:lang w:val="hr-HR"/>
        </w:rPr>
        <w:t>Kvaliteta kreditnog rizika prema vrsti financijske imovine (nastavak)</w:t>
      </w:r>
    </w:p>
    <w:p w14:paraId="3483FFDC" w14:textId="77777777" w:rsidR="00BF7E5D" w:rsidRPr="004D1BC3" w:rsidRDefault="00BF7E5D" w:rsidP="00BF7E5D">
      <w:pPr>
        <w:pStyle w:val="T1"/>
        <w:spacing w:before="0" w:after="0" w:line="240" w:lineRule="auto"/>
        <w:rPr>
          <w:rFonts w:asciiTheme="minorHAnsi" w:hAnsiTheme="minorHAnsi" w:cs="Arial"/>
          <w:sz w:val="16"/>
          <w:szCs w:val="16"/>
          <w:lang w:val="hr-HR"/>
        </w:rPr>
      </w:pPr>
    </w:p>
    <w:p w14:paraId="46FB6A1F" w14:textId="77777777" w:rsidR="00BF7E5D" w:rsidRDefault="00BF7E5D" w:rsidP="00BF7E5D">
      <w:pPr>
        <w:spacing w:after="0" w:line="240" w:lineRule="auto"/>
        <w:jc w:val="both"/>
        <w:rPr>
          <w:rFonts w:cs="Arial"/>
          <w:sz w:val="20"/>
          <w:szCs w:val="20"/>
        </w:rPr>
      </w:pPr>
      <w:r w:rsidRPr="000B60DD">
        <w:rPr>
          <w:rFonts w:cs="Arial"/>
          <w:sz w:val="20"/>
          <w:szCs w:val="20"/>
        </w:rPr>
        <w:t>Analiza kreditnog rizika prije i nakon uzimanja u obzir primljenih instrumenata osiguranja prema vrsti financijske imovine na pozicijama imovine i garancija i preuzetih obveza prema rizičnim skupinama (nastavak):</w:t>
      </w:r>
    </w:p>
    <w:p w14:paraId="362300E0" w14:textId="77777777" w:rsidR="004D1BC3" w:rsidRPr="005A607D" w:rsidRDefault="004D1BC3" w:rsidP="00BF7E5D">
      <w:pPr>
        <w:spacing w:after="0" w:line="240" w:lineRule="auto"/>
        <w:jc w:val="both"/>
        <w:rPr>
          <w:rFonts w:cs="Arial"/>
          <w:sz w:val="12"/>
          <w:szCs w:val="12"/>
        </w:rPr>
      </w:pPr>
    </w:p>
    <w:tbl>
      <w:tblPr>
        <w:tblW w:w="5352" w:type="pct"/>
        <w:jc w:val="center"/>
        <w:tblLayout w:type="fixed"/>
        <w:tblLook w:val="0000" w:firstRow="0" w:lastRow="0" w:firstColumn="0" w:lastColumn="0" w:noHBand="0" w:noVBand="0"/>
      </w:tblPr>
      <w:tblGrid>
        <w:gridCol w:w="1721"/>
        <w:gridCol w:w="1173"/>
        <w:gridCol w:w="1001"/>
        <w:gridCol w:w="1001"/>
        <w:gridCol w:w="1145"/>
        <w:gridCol w:w="1001"/>
        <w:gridCol w:w="1001"/>
        <w:gridCol w:w="1001"/>
        <w:gridCol w:w="969"/>
      </w:tblGrid>
      <w:tr w:rsidR="009557C4" w:rsidRPr="009557C4" w14:paraId="40B50009" w14:textId="77777777" w:rsidTr="009557C4">
        <w:trPr>
          <w:trHeight w:val="1066"/>
          <w:jc w:val="center"/>
        </w:trPr>
        <w:tc>
          <w:tcPr>
            <w:tcW w:w="859" w:type="pct"/>
          </w:tcPr>
          <w:p w14:paraId="36501741" w14:textId="77777777" w:rsidR="009557C4" w:rsidRPr="009557C4" w:rsidRDefault="009557C4" w:rsidP="009557C4">
            <w:pPr>
              <w:spacing w:after="0" w:line="240" w:lineRule="auto"/>
              <w:rPr>
                <w:rFonts w:ascii="Calibri" w:eastAsia="Times New Roman" w:hAnsi="Calibri" w:cs="Arial"/>
                <w:b/>
                <w:bCs/>
                <w:sz w:val="16"/>
                <w:szCs w:val="16"/>
              </w:rPr>
            </w:pPr>
            <w:r w:rsidRPr="009557C4">
              <w:rPr>
                <w:rFonts w:ascii="Calibri" w:eastAsia="Times New Roman" w:hAnsi="Calibri" w:cs="Arial"/>
                <w:b/>
                <w:bCs/>
                <w:sz w:val="16"/>
                <w:szCs w:val="16"/>
              </w:rPr>
              <w:br w:type="page"/>
              <w:t>Banka</w:t>
            </w:r>
          </w:p>
          <w:p w14:paraId="3998E2CB" w14:textId="77777777" w:rsidR="009557C4" w:rsidRPr="009557C4" w:rsidRDefault="009557C4" w:rsidP="009557C4">
            <w:pPr>
              <w:spacing w:after="0" w:line="240" w:lineRule="auto"/>
              <w:rPr>
                <w:rFonts w:ascii="Calibri" w:eastAsia="Times New Roman" w:hAnsi="Calibri" w:cs="Arial"/>
                <w:b/>
                <w:bCs/>
                <w:sz w:val="16"/>
                <w:szCs w:val="16"/>
              </w:rPr>
            </w:pPr>
          </w:p>
          <w:p w14:paraId="394158D8" w14:textId="77777777" w:rsidR="009557C4" w:rsidRPr="009557C4" w:rsidRDefault="009557C4" w:rsidP="009557C4">
            <w:pPr>
              <w:spacing w:after="0" w:line="240" w:lineRule="auto"/>
              <w:rPr>
                <w:rFonts w:ascii="Calibri" w:eastAsia="Times New Roman" w:hAnsi="Calibri" w:cs="Arial"/>
                <w:b/>
                <w:bCs/>
                <w:sz w:val="16"/>
                <w:szCs w:val="16"/>
              </w:rPr>
            </w:pPr>
          </w:p>
          <w:p w14:paraId="1AFA1ACE" w14:textId="77777777" w:rsidR="009557C4" w:rsidRPr="009557C4" w:rsidRDefault="009557C4" w:rsidP="009557C4">
            <w:pPr>
              <w:spacing w:after="0" w:line="240" w:lineRule="auto"/>
              <w:rPr>
                <w:rFonts w:ascii="Calibri" w:eastAsia="Times New Roman" w:hAnsi="Calibri" w:cs="Arial"/>
                <w:b/>
                <w:bCs/>
                <w:sz w:val="16"/>
                <w:szCs w:val="16"/>
              </w:rPr>
            </w:pPr>
          </w:p>
          <w:p w14:paraId="07E31D7E" w14:textId="77777777" w:rsidR="009557C4" w:rsidRPr="009557C4" w:rsidRDefault="009557C4" w:rsidP="009557C4">
            <w:pPr>
              <w:spacing w:after="0" w:line="240" w:lineRule="auto"/>
              <w:rPr>
                <w:rFonts w:ascii="Calibri" w:eastAsia="Times New Roman" w:hAnsi="Calibri" w:cs="Arial"/>
                <w:b/>
                <w:bCs/>
                <w:sz w:val="16"/>
                <w:szCs w:val="16"/>
              </w:rPr>
            </w:pPr>
          </w:p>
          <w:p w14:paraId="2EEF1748" w14:textId="125B55A7" w:rsidR="009557C4" w:rsidRPr="009557C4" w:rsidRDefault="00312E87" w:rsidP="009557C4">
            <w:pPr>
              <w:spacing w:after="0" w:line="240" w:lineRule="auto"/>
              <w:rPr>
                <w:rFonts w:ascii="Calibri" w:eastAsia="Times New Roman" w:hAnsi="Calibri" w:cs="Arial"/>
                <w:sz w:val="16"/>
                <w:szCs w:val="16"/>
              </w:rPr>
            </w:pPr>
            <w:r>
              <w:rPr>
                <w:rFonts w:ascii="Calibri" w:eastAsia="Times New Roman" w:hAnsi="Calibri" w:cs="Arial"/>
                <w:b/>
                <w:bCs/>
                <w:sz w:val="16"/>
                <w:szCs w:val="16"/>
              </w:rPr>
              <w:t>31.12.2016.</w:t>
            </w:r>
          </w:p>
        </w:tc>
        <w:tc>
          <w:tcPr>
            <w:tcW w:w="585" w:type="pct"/>
          </w:tcPr>
          <w:p w14:paraId="255CFAF3"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Bruto izloženost portfelja rizične skupine A</w:t>
            </w:r>
          </w:p>
          <w:p w14:paraId="7B14154A" w14:textId="77777777" w:rsidR="009557C4" w:rsidRPr="009557C4" w:rsidRDefault="009557C4" w:rsidP="009557C4">
            <w:pPr>
              <w:spacing w:after="0" w:line="240" w:lineRule="auto"/>
              <w:jc w:val="right"/>
              <w:rPr>
                <w:rFonts w:ascii="Calibri" w:eastAsia="Times New Roman" w:hAnsi="Calibri" w:cs="Arial"/>
                <w:b/>
                <w:sz w:val="16"/>
                <w:szCs w:val="16"/>
              </w:rPr>
            </w:pPr>
          </w:p>
        </w:tc>
        <w:tc>
          <w:tcPr>
            <w:tcW w:w="500" w:type="pct"/>
          </w:tcPr>
          <w:p w14:paraId="4C81AFFE"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Bruto izloženost portfelja rizične skupine B</w:t>
            </w:r>
          </w:p>
          <w:p w14:paraId="264983B5" w14:textId="77777777" w:rsidR="009557C4" w:rsidRPr="009557C4" w:rsidRDefault="009557C4" w:rsidP="009557C4">
            <w:pPr>
              <w:spacing w:after="0" w:line="240" w:lineRule="auto"/>
              <w:jc w:val="right"/>
              <w:rPr>
                <w:rFonts w:ascii="Calibri" w:eastAsia="Times New Roman" w:hAnsi="Calibri" w:cs="Arial"/>
                <w:b/>
                <w:sz w:val="16"/>
                <w:szCs w:val="16"/>
              </w:rPr>
            </w:pPr>
          </w:p>
        </w:tc>
        <w:tc>
          <w:tcPr>
            <w:tcW w:w="500" w:type="pct"/>
          </w:tcPr>
          <w:p w14:paraId="6D4E87D3"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Bruto izloženost portfelja rizične skupine C</w:t>
            </w:r>
          </w:p>
          <w:p w14:paraId="78BD9805" w14:textId="77777777" w:rsidR="009557C4" w:rsidRPr="009557C4" w:rsidRDefault="009557C4" w:rsidP="009557C4">
            <w:pPr>
              <w:spacing w:after="0" w:line="240" w:lineRule="auto"/>
              <w:jc w:val="right"/>
              <w:rPr>
                <w:rFonts w:ascii="Calibri" w:eastAsia="Times New Roman" w:hAnsi="Calibri" w:cs="Arial"/>
                <w:b/>
                <w:sz w:val="16"/>
                <w:szCs w:val="16"/>
              </w:rPr>
            </w:pPr>
          </w:p>
        </w:tc>
        <w:tc>
          <w:tcPr>
            <w:tcW w:w="572" w:type="pct"/>
          </w:tcPr>
          <w:p w14:paraId="1C7DE716"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Bruto izloženost ukupnog portfelja</w:t>
            </w:r>
          </w:p>
          <w:p w14:paraId="251706CB" w14:textId="77777777" w:rsidR="009557C4" w:rsidRPr="009557C4" w:rsidRDefault="009557C4" w:rsidP="009557C4">
            <w:pPr>
              <w:spacing w:after="0" w:line="240" w:lineRule="auto"/>
              <w:jc w:val="right"/>
              <w:rPr>
                <w:rFonts w:ascii="Calibri" w:eastAsia="Times New Roman" w:hAnsi="Calibri" w:cs="Arial"/>
                <w:b/>
                <w:sz w:val="16"/>
                <w:szCs w:val="16"/>
              </w:rPr>
            </w:pPr>
          </w:p>
        </w:tc>
        <w:tc>
          <w:tcPr>
            <w:tcW w:w="500" w:type="pct"/>
          </w:tcPr>
          <w:p w14:paraId="7F6C5E60"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Neto izloženost portfelja rizične skupine A</w:t>
            </w:r>
          </w:p>
          <w:p w14:paraId="7B6D97C3" w14:textId="77777777" w:rsidR="009557C4" w:rsidRPr="009557C4" w:rsidRDefault="009557C4" w:rsidP="009557C4">
            <w:pPr>
              <w:spacing w:after="0" w:line="240" w:lineRule="auto"/>
              <w:jc w:val="right"/>
              <w:rPr>
                <w:rFonts w:ascii="Calibri" w:eastAsia="Times New Roman" w:hAnsi="Calibri" w:cs="Arial"/>
                <w:b/>
                <w:sz w:val="16"/>
                <w:szCs w:val="16"/>
              </w:rPr>
            </w:pPr>
          </w:p>
        </w:tc>
        <w:tc>
          <w:tcPr>
            <w:tcW w:w="500" w:type="pct"/>
          </w:tcPr>
          <w:p w14:paraId="3663FCAA"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Neto izloženost portfelja rizične skupine B</w:t>
            </w:r>
          </w:p>
          <w:p w14:paraId="34E0E418" w14:textId="77777777" w:rsidR="009557C4" w:rsidRPr="009557C4" w:rsidRDefault="009557C4" w:rsidP="009557C4">
            <w:pPr>
              <w:spacing w:after="0" w:line="240" w:lineRule="auto"/>
              <w:jc w:val="right"/>
              <w:rPr>
                <w:rFonts w:ascii="Calibri" w:eastAsia="Times New Roman" w:hAnsi="Calibri" w:cs="Arial"/>
                <w:b/>
                <w:sz w:val="16"/>
                <w:szCs w:val="16"/>
              </w:rPr>
            </w:pPr>
          </w:p>
        </w:tc>
        <w:tc>
          <w:tcPr>
            <w:tcW w:w="500" w:type="pct"/>
          </w:tcPr>
          <w:p w14:paraId="329B3A7F"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Neto izloženost portfelja rizične skupine C</w:t>
            </w:r>
          </w:p>
          <w:p w14:paraId="081FE272" w14:textId="77777777" w:rsidR="009557C4" w:rsidRPr="009557C4" w:rsidRDefault="009557C4" w:rsidP="009557C4">
            <w:pPr>
              <w:spacing w:after="0" w:line="240" w:lineRule="auto"/>
              <w:jc w:val="right"/>
              <w:rPr>
                <w:rFonts w:ascii="Calibri" w:eastAsia="Times New Roman" w:hAnsi="Calibri" w:cs="Arial"/>
                <w:b/>
                <w:sz w:val="16"/>
                <w:szCs w:val="16"/>
              </w:rPr>
            </w:pPr>
          </w:p>
        </w:tc>
        <w:tc>
          <w:tcPr>
            <w:tcW w:w="485" w:type="pct"/>
          </w:tcPr>
          <w:p w14:paraId="4A3EEDC1"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Neto izloženost ukupnog portfelja</w:t>
            </w:r>
          </w:p>
          <w:p w14:paraId="6B33E3BF" w14:textId="77777777" w:rsidR="009557C4" w:rsidRPr="009557C4" w:rsidRDefault="009557C4" w:rsidP="009557C4">
            <w:pPr>
              <w:spacing w:after="0" w:line="240" w:lineRule="auto"/>
              <w:jc w:val="right"/>
              <w:rPr>
                <w:rFonts w:ascii="Calibri" w:eastAsia="Times New Roman" w:hAnsi="Calibri" w:cs="Arial"/>
                <w:b/>
                <w:sz w:val="16"/>
                <w:szCs w:val="16"/>
              </w:rPr>
            </w:pPr>
          </w:p>
        </w:tc>
      </w:tr>
      <w:tr w:rsidR="009557C4" w:rsidRPr="009557C4" w14:paraId="678EEFDF" w14:textId="77777777" w:rsidTr="009557C4">
        <w:trPr>
          <w:trHeight w:val="179"/>
          <w:jc w:val="center"/>
        </w:trPr>
        <w:tc>
          <w:tcPr>
            <w:tcW w:w="859" w:type="pct"/>
          </w:tcPr>
          <w:p w14:paraId="7ACF379A" w14:textId="77777777" w:rsidR="009557C4" w:rsidRPr="009557C4" w:rsidRDefault="009557C4" w:rsidP="009557C4">
            <w:pPr>
              <w:spacing w:after="0" w:line="240" w:lineRule="auto"/>
              <w:rPr>
                <w:rFonts w:ascii="Calibri" w:eastAsia="Times New Roman" w:hAnsi="Calibri" w:cs="Arial"/>
                <w:sz w:val="16"/>
                <w:szCs w:val="16"/>
              </w:rPr>
            </w:pPr>
          </w:p>
        </w:tc>
        <w:tc>
          <w:tcPr>
            <w:tcW w:w="585" w:type="pct"/>
          </w:tcPr>
          <w:p w14:paraId="7A950315"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000 kuna</w:t>
            </w:r>
          </w:p>
        </w:tc>
        <w:tc>
          <w:tcPr>
            <w:tcW w:w="500" w:type="pct"/>
          </w:tcPr>
          <w:p w14:paraId="41A42B73"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000 kuna</w:t>
            </w:r>
          </w:p>
        </w:tc>
        <w:tc>
          <w:tcPr>
            <w:tcW w:w="500" w:type="pct"/>
          </w:tcPr>
          <w:p w14:paraId="5223A721"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000 kuna</w:t>
            </w:r>
          </w:p>
        </w:tc>
        <w:tc>
          <w:tcPr>
            <w:tcW w:w="572" w:type="pct"/>
          </w:tcPr>
          <w:p w14:paraId="3CCF7A59"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000 kuna</w:t>
            </w:r>
          </w:p>
        </w:tc>
        <w:tc>
          <w:tcPr>
            <w:tcW w:w="500" w:type="pct"/>
          </w:tcPr>
          <w:p w14:paraId="7E958E9B"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000 kuna</w:t>
            </w:r>
          </w:p>
        </w:tc>
        <w:tc>
          <w:tcPr>
            <w:tcW w:w="500" w:type="pct"/>
          </w:tcPr>
          <w:p w14:paraId="4A8CCE30"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000 kuna</w:t>
            </w:r>
          </w:p>
        </w:tc>
        <w:tc>
          <w:tcPr>
            <w:tcW w:w="500" w:type="pct"/>
          </w:tcPr>
          <w:p w14:paraId="16CEE746"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000 kuna</w:t>
            </w:r>
          </w:p>
        </w:tc>
        <w:tc>
          <w:tcPr>
            <w:tcW w:w="485" w:type="pct"/>
          </w:tcPr>
          <w:p w14:paraId="1A8B281F" w14:textId="77777777" w:rsidR="009557C4" w:rsidRPr="009557C4" w:rsidRDefault="009557C4" w:rsidP="009557C4">
            <w:pPr>
              <w:spacing w:after="0" w:line="240" w:lineRule="auto"/>
              <w:jc w:val="right"/>
              <w:rPr>
                <w:rFonts w:ascii="Calibri" w:eastAsia="Times New Roman" w:hAnsi="Calibri" w:cs="Arial"/>
                <w:b/>
                <w:sz w:val="16"/>
                <w:szCs w:val="16"/>
              </w:rPr>
            </w:pPr>
            <w:r w:rsidRPr="009557C4">
              <w:rPr>
                <w:rFonts w:ascii="Calibri" w:eastAsia="Times New Roman" w:hAnsi="Calibri" w:cs="Arial"/>
                <w:b/>
                <w:sz w:val="16"/>
                <w:szCs w:val="16"/>
              </w:rPr>
              <w:t>000 kuna</w:t>
            </w:r>
          </w:p>
        </w:tc>
      </w:tr>
      <w:tr w:rsidR="009557C4" w:rsidRPr="009557C4" w14:paraId="104B5401" w14:textId="77777777" w:rsidTr="009557C4">
        <w:trPr>
          <w:trHeight w:val="238"/>
          <w:jc w:val="center"/>
        </w:trPr>
        <w:tc>
          <w:tcPr>
            <w:tcW w:w="859" w:type="pct"/>
          </w:tcPr>
          <w:p w14:paraId="71952A35" w14:textId="77777777" w:rsidR="009557C4" w:rsidRPr="009557C4" w:rsidRDefault="009557C4" w:rsidP="009557C4">
            <w:pPr>
              <w:tabs>
                <w:tab w:val="right" w:pos="1202"/>
              </w:tabs>
              <w:spacing w:after="0" w:line="24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Imovina</w:t>
            </w:r>
          </w:p>
        </w:tc>
        <w:tc>
          <w:tcPr>
            <w:tcW w:w="585" w:type="pct"/>
          </w:tcPr>
          <w:p w14:paraId="02811830" w14:textId="77777777" w:rsidR="009557C4" w:rsidRPr="009557C4" w:rsidRDefault="009557C4" w:rsidP="009557C4">
            <w:pPr>
              <w:tabs>
                <w:tab w:val="right" w:pos="1202"/>
              </w:tabs>
              <w:spacing w:after="0" w:line="240" w:lineRule="exact"/>
              <w:outlineLvl w:val="0"/>
              <w:rPr>
                <w:rFonts w:ascii="Calibri" w:eastAsia="Times New Roman" w:hAnsi="Calibri" w:cs="Arial"/>
                <w:b/>
                <w:bCs/>
                <w:sz w:val="16"/>
                <w:szCs w:val="16"/>
              </w:rPr>
            </w:pPr>
          </w:p>
        </w:tc>
        <w:tc>
          <w:tcPr>
            <w:tcW w:w="500" w:type="pct"/>
          </w:tcPr>
          <w:p w14:paraId="2D899054" w14:textId="77777777" w:rsidR="009557C4" w:rsidRPr="009557C4" w:rsidRDefault="009557C4" w:rsidP="009557C4">
            <w:pPr>
              <w:tabs>
                <w:tab w:val="right" w:pos="1202"/>
              </w:tabs>
              <w:spacing w:after="0" w:line="240" w:lineRule="exact"/>
              <w:outlineLvl w:val="0"/>
              <w:rPr>
                <w:rFonts w:ascii="Calibri" w:eastAsia="Times New Roman" w:hAnsi="Calibri" w:cs="Arial"/>
                <w:b/>
                <w:bCs/>
                <w:sz w:val="16"/>
                <w:szCs w:val="16"/>
              </w:rPr>
            </w:pPr>
          </w:p>
        </w:tc>
        <w:tc>
          <w:tcPr>
            <w:tcW w:w="500" w:type="pct"/>
          </w:tcPr>
          <w:p w14:paraId="1172A469" w14:textId="77777777" w:rsidR="009557C4" w:rsidRPr="009557C4" w:rsidRDefault="009557C4" w:rsidP="009557C4">
            <w:pPr>
              <w:tabs>
                <w:tab w:val="right" w:pos="1202"/>
              </w:tabs>
              <w:spacing w:after="0" w:line="240" w:lineRule="exact"/>
              <w:outlineLvl w:val="0"/>
              <w:rPr>
                <w:rFonts w:ascii="Calibri" w:eastAsia="Times New Roman" w:hAnsi="Calibri" w:cs="Arial"/>
                <w:b/>
                <w:bCs/>
                <w:sz w:val="16"/>
                <w:szCs w:val="16"/>
              </w:rPr>
            </w:pPr>
          </w:p>
        </w:tc>
        <w:tc>
          <w:tcPr>
            <w:tcW w:w="572" w:type="pct"/>
          </w:tcPr>
          <w:p w14:paraId="761A1BF8" w14:textId="77777777" w:rsidR="009557C4" w:rsidRPr="009557C4" w:rsidRDefault="009557C4" w:rsidP="009557C4">
            <w:pPr>
              <w:tabs>
                <w:tab w:val="right" w:pos="1202"/>
              </w:tabs>
              <w:spacing w:after="0" w:line="240" w:lineRule="exact"/>
              <w:outlineLvl w:val="0"/>
              <w:rPr>
                <w:rFonts w:ascii="Calibri" w:eastAsia="Times New Roman" w:hAnsi="Calibri" w:cs="Arial"/>
                <w:b/>
                <w:bCs/>
                <w:sz w:val="16"/>
                <w:szCs w:val="16"/>
              </w:rPr>
            </w:pPr>
          </w:p>
        </w:tc>
        <w:tc>
          <w:tcPr>
            <w:tcW w:w="500" w:type="pct"/>
          </w:tcPr>
          <w:p w14:paraId="62AFF267" w14:textId="77777777" w:rsidR="009557C4" w:rsidRPr="009557C4" w:rsidRDefault="009557C4" w:rsidP="009557C4">
            <w:pPr>
              <w:tabs>
                <w:tab w:val="right" w:pos="1202"/>
              </w:tabs>
              <w:spacing w:after="0" w:line="240" w:lineRule="exact"/>
              <w:outlineLvl w:val="0"/>
              <w:rPr>
                <w:rFonts w:ascii="Calibri" w:eastAsia="Times New Roman" w:hAnsi="Calibri" w:cs="Arial"/>
                <w:b/>
                <w:bCs/>
                <w:sz w:val="16"/>
                <w:szCs w:val="16"/>
              </w:rPr>
            </w:pPr>
          </w:p>
        </w:tc>
        <w:tc>
          <w:tcPr>
            <w:tcW w:w="500" w:type="pct"/>
          </w:tcPr>
          <w:p w14:paraId="12F33642" w14:textId="77777777" w:rsidR="009557C4" w:rsidRPr="009557C4" w:rsidRDefault="009557C4" w:rsidP="009557C4">
            <w:pPr>
              <w:tabs>
                <w:tab w:val="right" w:pos="1202"/>
              </w:tabs>
              <w:spacing w:after="0" w:line="240" w:lineRule="exact"/>
              <w:outlineLvl w:val="0"/>
              <w:rPr>
                <w:rFonts w:ascii="Calibri" w:eastAsia="Times New Roman" w:hAnsi="Calibri" w:cs="Arial"/>
                <w:b/>
                <w:bCs/>
                <w:sz w:val="16"/>
                <w:szCs w:val="16"/>
              </w:rPr>
            </w:pPr>
          </w:p>
        </w:tc>
        <w:tc>
          <w:tcPr>
            <w:tcW w:w="500" w:type="pct"/>
          </w:tcPr>
          <w:p w14:paraId="1775377A" w14:textId="77777777" w:rsidR="009557C4" w:rsidRPr="009557C4" w:rsidRDefault="009557C4" w:rsidP="009557C4">
            <w:pPr>
              <w:tabs>
                <w:tab w:val="right" w:pos="1202"/>
              </w:tabs>
              <w:spacing w:after="0" w:line="240" w:lineRule="exact"/>
              <w:outlineLvl w:val="0"/>
              <w:rPr>
                <w:rFonts w:ascii="Calibri" w:eastAsia="Times New Roman" w:hAnsi="Calibri" w:cs="Arial"/>
                <w:b/>
                <w:bCs/>
                <w:sz w:val="16"/>
                <w:szCs w:val="16"/>
              </w:rPr>
            </w:pPr>
          </w:p>
        </w:tc>
        <w:tc>
          <w:tcPr>
            <w:tcW w:w="485" w:type="pct"/>
          </w:tcPr>
          <w:p w14:paraId="06DE1153" w14:textId="77777777" w:rsidR="009557C4" w:rsidRPr="009557C4" w:rsidRDefault="009557C4" w:rsidP="009557C4">
            <w:pPr>
              <w:tabs>
                <w:tab w:val="right" w:pos="1202"/>
              </w:tabs>
              <w:spacing w:after="0" w:line="240" w:lineRule="exact"/>
              <w:outlineLvl w:val="0"/>
              <w:rPr>
                <w:rFonts w:ascii="Calibri" w:eastAsia="Times New Roman" w:hAnsi="Calibri" w:cs="Arial"/>
                <w:b/>
                <w:bCs/>
                <w:sz w:val="16"/>
                <w:szCs w:val="16"/>
              </w:rPr>
            </w:pPr>
          </w:p>
        </w:tc>
      </w:tr>
      <w:tr w:rsidR="009557C4" w:rsidRPr="009557C4" w14:paraId="5EC3954D" w14:textId="77777777" w:rsidTr="009557C4">
        <w:trPr>
          <w:trHeight w:val="363"/>
          <w:jc w:val="center"/>
        </w:trPr>
        <w:tc>
          <w:tcPr>
            <w:tcW w:w="859" w:type="pct"/>
          </w:tcPr>
          <w:p w14:paraId="34E25C57" w14:textId="77777777" w:rsidR="009557C4" w:rsidRPr="009557C4" w:rsidRDefault="009557C4" w:rsidP="009557C4">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Novčana sredstva i računi kod banaka</w:t>
            </w:r>
          </w:p>
        </w:tc>
        <w:tc>
          <w:tcPr>
            <w:tcW w:w="585" w:type="pct"/>
            <w:tcBorders>
              <w:top w:val="nil"/>
              <w:left w:val="nil"/>
              <w:bottom w:val="nil"/>
              <w:right w:val="nil"/>
            </w:tcBorders>
            <w:shd w:val="clear" w:color="auto" w:fill="auto"/>
            <w:vAlign w:val="bottom"/>
          </w:tcPr>
          <w:p w14:paraId="6AFD555D"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490.692</w:t>
            </w:r>
          </w:p>
        </w:tc>
        <w:tc>
          <w:tcPr>
            <w:tcW w:w="500" w:type="pct"/>
            <w:tcBorders>
              <w:top w:val="nil"/>
              <w:left w:val="nil"/>
              <w:bottom w:val="nil"/>
              <w:right w:val="nil"/>
            </w:tcBorders>
            <w:shd w:val="clear" w:color="auto" w:fill="auto"/>
            <w:vAlign w:val="bottom"/>
          </w:tcPr>
          <w:p w14:paraId="13C0AFDF"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6227C4D1"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72" w:type="pct"/>
            <w:tcBorders>
              <w:top w:val="nil"/>
              <w:left w:val="nil"/>
              <w:bottom w:val="nil"/>
              <w:right w:val="nil"/>
            </w:tcBorders>
            <w:shd w:val="clear" w:color="auto" w:fill="auto"/>
            <w:vAlign w:val="bottom"/>
          </w:tcPr>
          <w:p w14:paraId="2AB678B8"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490.692</w:t>
            </w:r>
          </w:p>
        </w:tc>
        <w:tc>
          <w:tcPr>
            <w:tcW w:w="500" w:type="pct"/>
            <w:tcBorders>
              <w:top w:val="nil"/>
              <w:left w:val="nil"/>
              <w:bottom w:val="nil"/>
              <w:right w:val="nil"/>
            </w:tcBorders>
            <w:shd w:val="clear" w:color="auto" w:fill="auto"/>
            <w:vAlign w:val="bottom"/>
          </w:tcPr>
          <w:p w14:paraId="3541E8CF"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3C8D2F5B"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0F5E8DF4"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39787F97"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r>
      <w:tr w:rsidR="009557C4" w:rsidRPr="009557C4" w14:paraId="2614655D" w14:textId="77777777" w:rsidTr="009557C4">
        <w:trPr>
          <w:trHeight w:val="363"/>
          <w:jc w:val="center"/>
        </w:trPr>
        <w:tc>
          <w:tcPr>
            <w:tcW w:w="859" w:type="pct"/>
          </w:tcPr>
          <w:p w14:paraId="104395D3" w14:textId="77777777" w:rsidR="009557C4" w:rsidRPr="009557C4" w:rsidRDefault="009557C4" w:rsidP="009557C4">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Depoziti kod drugih banaka</w:t>
            </w:r>
          </w:p>
        </w:tc>
        <w:tc>
          <w:tcPr>
            <w:tcW w:w="585" w:type="pct"/>
            <w:tcBorders>
              <w:top w:val="nil"/>
              <w:left w:val="nil"/>
              <w:bottom w:val="nil"/>
              <w:right w:val="nil"/>
            </w:tcBorders>
            <w:shd w:val="clear" w:color="auto" w:fill="auto"/>
            <w:vAlign w:val="bottom"/>
          </w:tcPr>
          <w:p w14:paraId="0BD773E2"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23.872</w:t>
            </w:r>
          </w:p>
        </w:tc>
        <w:tc>
          <w:tcPr>
            <w:tcW w:w="500" w:type="pct"/>
            <w:tcBorders>
              <w:top w:val="nil"/>
              <w:left w:val="nil"/>
              <w:bottom w:val="nil"/>
              <w:right w:val="nil"/>
            </w:tcBorders>
            <w:shd w:val="clear" w:color="auto" w:fill="auto"/>
            <w:vAlign w:val="bottom"/>
          </w:tcPr>
          <w:p w14:paraId="6385495D"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0B5C71B2"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72" w:type="pct"/>
            <w:tcBorders>
              <w:top w:val="nil"/>
              <w:left w:val="nil"/>
              <w:bottom w:val="nil"/>
              <w:right w:val="nil"/>
            </w:tcBorders>
            <w:shd w:val="clear" w:color="auto" w:fill="auto"/>
            <w:vAlign w:val="bottom"/>
          </w:tcPr>
          <w:p w14:paraId="74826545"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23.872</w:t>
            </w:r>
          </w:p>
        </w:tc>
        <w:tc>
          <w:tcPr>
            <w:tcW w:w="500" w:type="pct"/>
            <w:tcBorders>
              <w:top w:val="nil"/>
              <w:left w:val="nil"/>
              <w:bottom w:val="nil"/>
              <w:right w:val="nil"/>
            </w:tcBorders>
            <w:shd w:val="clear" w:color="auto" w:fill="auto"/>
            <w:vAlign w:val="bottom"/>
          </w:tcPr>
          <w:p w14:paraId="4973FD54"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01CA63B3"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4C5F77E2"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0586F93E"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r>
      <w:tr w:rsidR="009557C4" w:rsidRPr="009557C4" w14:paraId="298A6175" w14:textId="77777777" w:rsidTr="009557C4">
        <w:trPr>
          <w:trHeight w:val="295"/>
          <w:jc w:val="center"/>
        </w:trPr>
        <w:tc>
          <w:tcPr>
            <w:tcW w:w="859" w:type="pct"/>
            <w:vAlign w:val="center"/>
          </w:tcPr>
          <w:p w14:paraId="77817035" w14:textId="77777777" w:rsidR="009557C4" w:rsidRPr="009557C4" w:rsidRDefault="009557C4" w:rsidP="009557C4">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Krediti financijskim institucijama</w:t>
            </w:r>
          </w:p>
        </w:tc>
        <w:tc>
          <w:tcPr>
            <w:tcW w:w="585" w:type="pct"/>
            <w:tcBorders>
              <w:top w:val="nil"/>
              <w:left w:val="nil"/>
              <w:bottom w:val="nil"/>
              <w:right w:val="nil"/>
            </w:tcBorders>
            <w:shd w:val="clear" w:color="auto" w:fill="auto"/>
            <w:vAlign w:val="bottom"/>
          </w:tcPr>
          <w:p w14:paraId="3BBA8FC6"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11.472.130</w:t>
            </w:r>
          </w:p>
        </w:tc>
        <w:tc>
          <w:tcPr>
            <w:tcW w:w="500" w:type="pct"/>
            <w:tcBorders>
              <w:top w:val="nil"/>
              <w:left w:val="nil"/>
              <w:bottom w:val="nil"/>
              <w:right w:val="nil"/>
            </w:tcBorders>
            <w:shd w:val="clear" w:color="auto" w:fill="auto"/>
            <w:vAlign w:val="bottom"/>
          </w:tcPr>
          <w:p w14:paraId="7F2A75C5"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416.981</w:t>
            </w:r>
          </w:p>
        </w:tc>
        <w:tc>
          <w:tcPr>
            <w:tcW w:w="500" w:type="pct"/>
            <w:tcBorders>
              <w:top w:val="nil"/>
              <w:left w:val="nil"/>
              <w:bottom w:val="nil"/>
              <w:right w:val="nil"/>
            </w:tcBorders>
            <w:shd w:val="clear" w:color="auto" w:fill="auto"/>
            <w:vAlign w:val="bottom"/>
          </w:tcPr>
          <w:p w14:paraId="1AF4F46A"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572" w:type="pct"/>
            <w:tcBorders>
              <w:top w:val="nil"/>
              <w:left w:val="nil"/>
              <w:bottom w:val="nil"/>
              <w:right w:val="nil"/>
            </w:tcBorders>
            <w:shd w:val="clear" w:color="auto" w:fill="auto"/>
            <w:vAlign w:val="bottom"/>
          </w:tcPr>
          <w:p w14:paraId="42514513"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11.889.111</w:t>
            </w:r>
          </w:p>
        </w:tc>
        <w:tc>
          <w:tcPr>
            <w:tcW w:w="500" w:type="pct"/>
            <w:tcBorders>
              <w:top w:val="nil"/>
              <w:left w:val="nil"/>
              <w:bottom w:val="nil"/>
              <w:right w:val="nil"/>
            </w:tcBorders>
            <w:shd w:val="clear" w:color="auto" w:fill="auto"/>
            <w:vAlign w:val="bottom"/>
          </w:tcPr>
          <w:p w14:paraId="42D3B714"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500" w:type="pct"/>
            <w:tcBorders>
              <w:top w:val="nil"/>
              <w:left w:val="nil"/>
              <w:bottom w:val="nil"/>
              <w:right w:val="nil"/>
            </w:tcBorders>
            <w:shd w:val="clear" w:color="auto" w:fill="auto"/>
            <w:vAlign w:val="bottom"/>
          </w:tcPr>
          <w:p w14:paraId="4F23578D"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500" w:type="pct"/>
            <w:tcBorders>
              <w:top w:val="nil"/>
              <w:left w:val="nil"/>
              <w:bottom w:val="nil"/>
              <w:right w:val="nil"/>
            </w:tcBorders>
            <w:shd w:val="clear" w:color="auto" w:fill="auto"/>
            <w:vAlign w:val="bottom"/>
          </w:tcPr>
          <w:p w14:paraId="19E29B89"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485" w:type="pct"/>
            <w:tcBorders>
              <w:top w:val="nil"/>
              <w:left w:val="nil"/>
              <w:bottom w:val="nil"/>
              <w:right w:val="nil"/>
            </w:tcBorders>
            <w:shd w:val="clear" w:color="auto" w:fill="auto"/>
            <w:vAlign w:val="bottom"/>
          </w:tcPr>
          <w:p w14:paraId="25758C0C"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r>
      <w:tr w:rsidR="009557C4" w:rsidRPr="009557C4" w14:paraId="37BFFAA5" w14:textId="77777777" w:rsidTr="009557C4">
        <w:trPr>
          <w:trHeight w:val="363"/>
          <w:jc w:val="center"/>
        </w:trPr>
        <w:tc>
          <w:tcPr>
            <w:tcW w:w="859" w:type="pct"/>
            <w:vAlign w:val="bottom"/>
          </w:tcPr>
          <w:p w14:paraId="3CC988B7" w14:textId="77777777" w:rsidR="009557C4" w:rsidRPr="009557C4" w:rsidRDefault="009557C4" w:rsidP="009557C4">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Krediti ostalim korisnicima</w:t>
            </w:r>
          </w:p>
        </w:tc>
        <w:tc>
          <w:tcPr>
            <w:tcW w:w="585" w:type="pct"/>
            <w:tcBorders>
              <w:top w:val="nil"/>
              <w:left w:val="nil"/>
              <w:bottom w:val="nil"/>
              <w:right w:val="nil"/>
            </w:tcBorders>
            <w:shd w:val="clear" w:color="auto" w:fill="auto"/>
            <w:vAlign w:val="bottom"/>
          </w:tcPr>
          <w:p w14:paraId="1A8EABB3"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10.415.684</w:t>
            </w:r>
          </w:p>
        </w:tc>
        <w:tc>
          <w:tcPr>
            <w:tcW w:w="500" w:type="pct"/>
            <w:tcBorders>
              <w:top w:val="nil"/>
              <w:left w:val="nil"/>
              <w:bottom w:val="nil"/>
              <w:right w:val="nil"/>
            </w:tcBorders>
            <w:shd w:val="clear" w:color="auto" w:fill="auto"/>
            <w:vAlign w:val="bottom"/>
          </w:tcPr>
          <w:p w14:paraId="6E5DB5FC"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1.095.510</w:t>
            </w:r>
          </w:p>
        </w:tc>
        <w:tc>
          <w:tcPr>
            <w:tcW w:w="500" w:type="pct"/>
            <w:tcBorders>
              <w:top w:val="nil"/>
              <w:left w:val="nil"/>
              <w:bottom w:val="nil"/>
              <w:right w:val="nil"/>
            </w:tcBorders>
            <w:shd w:val="clear" w:color="auto" w:fill="auto"/>
            <w:vAlign w:val="bottom"/>
          </w:tcPr>
          <w:p w14:paraId="1C1B7B16"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572" w:type="pct"/>
            <w:tcBorders>
              <w:top w:val="nil"/>
              <w:left w:val="nil"/>
              <w:bottom w:val="nil"/>
              <w:right w:val="nil"/>
            </w:tcBorders>
            <w:shd w:val="clear" w:color="auto" w:fill="auto"/>
            <w:vAlign w:val="bottom"/>
          </w:tcPr>
          <w:p w14:paraId="654DBC41"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11.511.194</w:t>
            </w:r>
          </w:p>
        </w:tc>
        <w:tc>
          <w:tcPr>
            <w:tcW w:w="500" w:type="pct"/>
            <w:tcBorders>
              <w:top w:val="nil"/>
              <w:left w:val="nil"/>
              <w:bottom w:val="nil"/>
              <w:right w:val="nil"/>
            </w:tcBorders>
            <w:shd w:val="clear" w:color="auto" w:fill="auto"/>
            <w:vAlign w:val="bottom"/>
          </w:tcPr>
          <w:p w14:paraId="723BEB78"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2.484.106</w:t>
            </w:r>
          </w:p>
        </w:tc>
        <w:tc>
          <w:tcPr>
            <w:tcW w:w="500" w:type="pct"/>
            <w:tcBorders>
              <w:top w:val="nil"/>
              <w:left w:val="nil"/>
              <w:bottom w:val="nil"/>
              <w:right w:val="nil"/>
            </w:tcBorders>
            <w:shd w:val="clear" w:color="auto" w:fill="auto"/>
            <w:vAlign w:val="bottom"/>
          </w:tcPr>
          <w:p w14:paraId="7FC53CF9"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34.930</w:t>
            </w:r>
          </w:p>
        </w:tc>
        <w:tc>
          <w:tcPr>
            <w:tcW w:w="500" w:type="pct"/>
            <w:tcBorders>
              <w:top w:val="nil"/>
              <w:left w:val="nil"/>
              <w:bottom w:val="nil"/>
              <w:right w:val="nil"/>
            </w:tcBorders>
            <w:shd w:val="clear" w:color="auto" w:fill="auto"/>
            <w:vAlign w:val="bottom"/>
          </w:tcPr>
          <w:p w14:paraId="4CC10954"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485" w:type="pct"/>
            <w:tcBorders>
              <w:top w:val="nil"/>
              <w:left w:val="nil"/>
              <w:bottom w:val="nil"/>
              <w:right w:val="nil"/>
            </w:tcBorders>
            <w:shd w:val="clear" w:color="auto" w:fill="auto"/>
            <w:vAlign w:val="bottom"/>
          </w:tcPr>
          <w:p w14:paraId="248FB282"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2.519.036</w:t>
            </w:r>
          </w:p>
        </w:tc>
      </w:tr>
      <w:tr w:rsidR="009557C4" w:rsidRPr="009557C4" w14:paraId="105B28DB" w14:textId="77777777" w:rsidTr="009557C4">
        <w:trPr>
          <w:trHeight w:val="363"/>
          <w:jc w:val="center"/>
        </w:trPr>
        <w:tc>
          <w:tcPr>
            <w:tcW w:w="859" w:type="pct"/>
          </w:tcPr>
          <w:p w14:paraId="5AFF687A" w14:textId="77777777" w:rsidR="009557C4" w:rsidRPr="009557C4" w:rsidRDefault="009557C4" w:rsidP="009557C4">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Imovina raspoloživa za prodaju</w:t>
            </w:r>
          </w:p>
        </w:tc>
        <w:tc>
          <w:tcPr>
            <w:tcW w:w="585" w:type="pct"/>
            <w:vAlign w:val="bottom"/>
          </w:tcPr>
          <w:p w14:paraId="1357F6AD"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3.306.628</w:t>
            </w:r>
          </w:p>
        </w:tc>
        <w:tc>
          <w:tcPr>
            <w:tcW w:w="500" w:type="pct"/>
            <w:vAlign w:val="bottom"/>
          </w:tcPr>
          <w:p w14:paraId="309F02F8"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500" w:type="pct"/>
            <w:vAlign w:val="bottom"/>
          </w:tcPr>
          <w:p w14:paraId="5F41BFCE"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572" w:type="pct"/>
            <w:vAlign w:val="bottom"/>
          </w:tcPr>
          <w:p w14:paraId="78682843"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3.306.628</w:t>
            </w:r>
          </w:p>
        </w:tc>
        <w:tc>
          <w:tcPr>
            <w:tcW w:w="500" w:type="pct"/>
            <w:vAlign w:val="bottom"/>
          </w:tcPr>
          <w:p w14:paraId="4EDD77CB"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2.399.825</w:t>
            </w:r>
          </w:p>
        </w:tc>
        <w:tc>
          <w:tcPr>
            <w:tcW w:w="500" w:type="pct"/>
            <w:vAlign w:val="bottom"/>
          </w:tcPr>
          <w:p w14:paraId="21497E7D"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500" w:type="pct"/>
            <w:vAlign w:val="bottom"/>
          </w:tcPr>
          <w:p w14:paraId="1B864FCA"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w:t>
            </w:r>
          </w:p>
        </w:tc>
        <w:tc>
          <w:tcPr>
            <w:tcW w:w="485" w:type="pct"/>
            <w:vAlign w:val="bottom"/>
          </w:tcPr>
          <w:p w14:paraId="0AAFABB6" w14:textId="77777777" w:rsidR="009557C4" w:rsidRPr="009557C4" w:rsidRDefault="009557C4" w:rsidP="009557C4">
            <w:pPr>
              <w:spacing w:after="0" w:line="240" w:lineRule="auto"/>
              <w:jc w:val="right"/>
              <w:rPr>
                <w:rFonts w:ascii="Calibri" w:eastAsia="Times New Roman" w:hAnsi="Calibri" w:cs="Times New Roman"/>
                <w:sz w:val="18"/>
                <w:szCs w:val="18"/>
                <w:lang w:val="en-US"/>
              </w:rPr>
            </w:pPr>
            <w:r w:rsidRPr="009557C4">
              <w:rPr>
                <w:rFonts w:ascii="Calibri" w:eastAsia="Times New Roman" w:hAnsi="Calibri" w:cs="Times New Roman"/>
                <w:sz w:val="18"/>
                <w:szCs w:val="18"/>
                <w:lang w:val="en-US"/>
              </w:rPr>
              <w:t>2.399.825</w:t>
            </w:r>
          </w:p>
        </w:tc>
      </w:tr>
      <w:tr w:rsidR="009557C4" w:rsidRPr="009557C4" w14:paraId="071F1B84" w14:textId="77777777" w:rsidTr="009557C4">
        <w:trPr>
          <w:trHeight w:val="295"/>
          <w:jc w:val="center"/>
        </w:trPr>
        <w:tc>
          <w:tcPr>
            <w:tcW w:w="859" w:type="pct"/>
            <w:vAlign w:val="bottom"/>
          </w:tcPr>
          <w:p w14:paraId="143B14D4" w14:textId="77777777" w:rsidR="009557C4" w:rsidRPr="009557C4" w:rsidRDefault="009557C4" w:rsidP="009557C4">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Ostala imovina</w:t>
            </w:r>
          </w:p>
        </w:tc>
        <w:tc>
          <w:tcPr>
            <w:tcW w:w="585" w:type="pct"/>
            <w:tcBorders>
              <w:top w:val="nil"/>
              <w:left w:val="nil"/>
              <w:bottom w:val="single" w:sz="8" w:space="0" w:color="auto"/>
              <w:right w:val="nil"/>
            </w:tcBorders>
            <w:shd w:val="clear" w:color="auto" w:fill="auto"/>
            <w:vAlign w:val="bottom"/>
          </w:tcPr>
          <w:p w14:paraId="399AD67E"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2.683</w:t>
            </w:r>
          </w:p>
        </w:tc>
        <w:tc>
          <w:tcPr>
            <w:tcW w:w="500" w:type="pct"/>
            <w:tcBorders>
              <w:top w:val="nil"/>
              <w:left w:val="nil"/>
              <w:bottom w:val="single" w:sz="8" w:space="0" w:color="auto"/>
              <w:right w:val="nil"/>
            </w:tcBorders>
            <w:shd w:val="clear" w:color="auto" w:fill="auto"/>
            <w:vAlign w:val="bottom"/>
          </w:tcPr>
          <w:p w14:paraId="04237293"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396</w:t>
            </w:r>
          </w:p>
        </w:tc>
        <w:tc>
          <w:tcPr>
            <w:tcW w:w="500" w:type="pct"/>
            <w:tcBorders>
              <w:top w:val="nil"/>
              <w:left w:val="nil"/>
              <w:bottom w:val="single" w:sz="8" w:space="0" w:color="auto"/>
              <w:right w:val="nil"/>
            </w:tcBorders>
            <w:shd w:val="clear" w:color="auto" w:fill="auto"/>
            <w:vAlign w:val="bottom"/>
          </w:tcPr>
          <w:p w14:paraId="5EEF19DD"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72" w:type="pct"/>
            <w:tcBorders>
              <w:top w:val="nil"/>
              <w:left w:val="nil"/>
              <w:bottom w:val="single" w:sz="8" w:space="0" w:color="auto"/>
              <w:right w:val="nil"/>
            </w:tcBorders>
            <w:shd w:val="clear" w:color="auto" w:fill="auto"/>
            <w:vAlign w:val="bottom"/>
          </w:tcPr>
          <w:p w14:paraId="15C0106D"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3.079</w:t>
            </w:r>
          </w:p>
        </w:tc>
        <w:tc>
          <w:tcPr>
            <w:tcW w:w="500" w:type="pct"/>
            <w:tcBorders>
              <w:top w:val="nil"/>
              <w:left w:val="nil"/>
              <w:bottom w:val="single" w:sz="8" w:space="0" w:color="auto"/>
              <w:right w:val="nil"/>
            </w:tcBorders>
            <w:shd w:val="clear" w:color="auto" w:fill="auto"/>
            <w:vAlign w:val="bottom"/>
          </w:tcPr>
          <w:p w14:paraId="0442D09C"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2.358</w:t>
            </w:r>
          </w:p>
        </w:tc>
        <w:tc>
          <w:tcPr>
            <w:tcW w:w="500" w:type="pct"/>
            <w:tcBorders>
              <w:top w:val="nil"/>
              <w:left w:val="nil"/>
              <w:bottom w:val="single" w:sz="8" w:space="0" w:color="auto"/>
              <w:right w:val="nil"/>
            </w:tcBorders>
            <w:shd w:val="clear" w:color="auto" w:fill="auto"/>
            <w:vAlign w:val="bottom"/>
          </w:tcPr>
          <w:p w14:paraId="1249AE31"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396</w:t>
            </w:r>
          </w:p>
        </w:tc>
        <w:tc>
          <w:tcPr>
            <w:tcW w:w="500" w:type="pct"/>
            <w:tcBorders>
              <w:top w:val="nil"/>
              <w:left w:val="nil"/>
              <w:bottom w:val="single" w:sz="8" w:space="0" w:color="auto"/>
              <w:right w:val="nil"/>
            </w:tcBorders>
            <w:shd w:val="clear" w:color="auto" w:fill="auto"/>
            <w:vAlign w:val="bottom"/>
          </w:tcPr>
          <w:p w14:paraId="2FAC4626"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485" w:type="pct"/>
            <w:tcBorders>
              <w:top w:val="nil"/>
              <w:left w:val="nil"/>
              <w:bottom w:val="single" w:sz="8" w:space="0" w:color="auto"/>
              <w:right w:val="nil"/>
            </w:tcBorders>
            <w:shd w:val="clear" w:color="auto" w:fill="auto"/>
            <w:vAlign w:val="bottom"/>
          </w:tcPr>
          <w:p w14:paraId="7F0BEA0E"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2.754</w:t>
            </w:r>
          </w:p>
        </w:tc>
      </w:tr>
      <w:tr w:rsidR="009557C4" w:rsidRPr="009557C4" w14:paraId="21A31E51" w14:textId="77777777" w:rsidTr="009557C4">
        <w:trPr>
          <w:trHeight w:val="238"/>
          <w:jc w:val="center"/>
        </w:trPr>
        <w:tc>
          <w:tcPr>
            <w:tcW w:w="859" w:type="pct"/>
          </w:tcPr>
          <w:p w14:paraId="4F6F5751" w14:textId="77777777" w:rsidR="009557C4" w:rsidRPr="009557C4" w:rsidRDefault="009557C4" w:rsidP="009557C4">
            <w:pPr>
              <w:tabs>
                <w:tab w:val="right" w:pos="1202"/>
              </w:tabs>
              <w:spacing w:after="0" w:line="24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Ukupno</w:t>
            </w:r>
          </w:p>
        </w:tc>
        <w:tc>
          <w:tcPr>
            <w:tcW w:w="585" w:type="pct"/>
            <w:tcBorders>
              <w:top w:val="single" w:sz="8" w:space="0" w:color="auto"/>
              <w:bottom w:val="single" w:sz="12" w:space="0" w:color="auto"/>
            </w:tcBorders>
            <w:vAlign w:val="bottom"/>
          </w:tcPr>
          <w:p w14:paraId="7D759963"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25.711.689</w:t>
            </w:r>
          </w:p>
        </w:tc>
        <w:tc>
          <w:tcPr>
            <w:tcW w:w="500" w:type="pct"/>
            <w:tcBorders>
              <w:top w:val="single" w:sz="8" w:space="0" w:color="auto"/>
              <w:bottom w:val="single" w:sz="12" w:space="0" w:color="auto"/>
            </w:tcBorders>
            <w:vAlign w:val="bottom"/>
          </w:tcPr>
          <w:p w14:paraId="238A5870"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1.512.887</w:t>
            </w:r>
          </w:p>
        </w:tc>
        <w:tc>
          <w:tcPr>
            <w:tcW w:w="500" w:type="pct"/>
            <w:tcBorders>
              <w:top w:val="single" w:sz="8" w:space="0" w:color="auto"/>
              <w:bottom w:val="single" w:sz="12" w:space="0" w:color="auto"/>
            </w:tcBorders>
            <w:vAlign w:val="bottom"/>
          </w:tcPr>
          <w:p w14:paraId="0D6F82B4"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w:t>
            </w:r>
          </w:p>
        </w:tc>
        <w:tc>
          <w:tcPr>
            <w:tcW w:w="572" w:type="pct"/>
            <w:tcBorders>
              <w:top w:val="single" w:sz="8" w:space="0" w:color="auto"/>
              <w:bottom w:val="single" w:sz="12" w:space="0" w:color="auto"/>
            </w:tcBorders>
            <w:vAlign w:val="bottom"/>
          </w:tcPr>
          <w:p w14:paraId="09F5E7D8"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27.224.576</w:t>
            </w:r>
          </w:p>
        </w:tc>
        <w:tc>
          <w:tcPr>
            <w:tcW w:w="500" w:type="pct"/>
            <w:tcBorders>
              <w:top w:val="single" w:sz="8" w:space="0" w:color="auto"/>
              <w:bottom w:val="single" w:sz="12" w:space="0" w:color="auto"/>
            </w:tcBorders>
            <w:vAlign w:val="bottom"/>
          </w:tcPr>
          <w:p w14:paraId="39CC02A4"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4.886.289</w:t>
            </w:r>
          </w:p>
        </w:tc>
        <w:tc>
          <w:tcPr>
            <w:tcW w:w="500" w:type="pct"/>
            <w:tcBorders>
              <w:top w:val="single" w:sz="8" w:space="0" w:color="auto"/>
              <w:bottom w:val="single" w:sz="12" w:space="0" w:color="auto"/>
            </w:tcBorders>
            <w:vAlign w:val="bottom"/>
          </w:tcPr>
          <w:p w14:paraId="628E17C1"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35.326</w:t>
            </w:r>
          </w:p>
        </w:tc>
        <w:tc>
          <w:tcPr>
            <w:tcW w:w="500" w:type="pct"/>
            <w:tcBorders>
              <w:top w:val="single" w:sz="8" w:space="0" w:color="auto"/>
              <w:bottom w:val="single" w:sz="12" w:space="0" w:color="auto"/>
            </w:tcBorders>
            <w:vAlign w:val="bottom"/>
          </w:tcPr>
          <w:p w14:paraId="00324094"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w:t>
            </w:r>
          </w:p>
        </w:tc>
        <w:tc>
          <w:tcPr>
            <w:tcW w:w="485" w:type="pct"/>
            <w:tcBorders>
              <w:top w:val="single" w:sz="8" w:space="0" w:color="auto"/>
              <w:bottom w:val="single" w:sz="12" w:space="0" w:color="auto"/>
            </w:tcBorders>
            <w:vAlign w:val="bottom"/>
          </w:tcPr>
          <w:p w14:paraId="22E40BBD"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4.921.615</w:t>
            </w:r>
          </w:p>
        </w:tc>
      </w:tr>
      <w:tr w:rsidR="009557C4" w:rsidRPr="009557C4" w14:paraId="5069AC7B" w14:textId="77777777" w:rsidTr="009557C4">
        <w:trPr>
          <w:trHeight w:val="386"/>
          <w:jc w:val="center"/>
        </w:trPr>
        <w:tc>
          <w:tcPr>
            <w:tcW w:w="859" w:type="pct"/>
          </w:tcPr>
          <w:p w14:paraId="09CEC453" w14:textId="77777777" w:rsidR="009557C4" w:rsidRPr="009557C4" w:rsidRDefault="009557C4" w:rsidP="009557C4">
            <w:pPr>
              <w:tabs>
                <w:tab w:val="right" w:pos="1202"/>
              </w:tabs>
              <w:spacing w:after="0" w:line="20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Garancije i preuzete obveze</w:t>
            </w:r>
          </w:p>
        </w:tc>
        <w:tc>
          <w:tcPr>
            <w:tcW w:w="585" w:type="pct"/>
            <w:tcBorders>
              <w:top w:val="single" w:sz="12" w:space="0" w:color="auto"/>
            </w:tcBorders>
            <w:vAlign w:val="bottom"/>
          </w:tcPr>
          <w:p w14:paraId="5C4E4EC9" w14:textId="77777777" w:rsidR="009557C4" w:rsidRPr="009557C4" w:rsidRDefault="009557C4" w:rsidP="009557C4">
            <w:pPr>
              <w:tabs>
                <w:tab w:val="right" w:pos="1202"/>
              </w:tabs>
              <w:spacing w:after="0" w:line="301" w:lineRule="exact"/>
              <w:jc w:val="right"/>
              <w:outlineLvl w:val="0"/>
              <w:rPr>
                <w:rFonts w:ascii="Calibri" w:eastAsia="Times New Roman" w:hAnsi="Calibri" w:cs="Arial"/>
                <w:b/>
                <w:bCs/>
                <w:sz w:val="18"/>
                <w:szCs w:val="18"/>
              </w:rPr>
            </w:pPr>
          </w:p>
        </w:tc>
        <w:tc>
          <w:tcPr>
            <w:tcW w:w="500" w:type="pct"/>
            <w:tcBorders>
              <w:top w:val="single" w:sz="12" w:space="0" w:color="auto"/>
            </w:tcBorders>
            <w:vAlign w:val="bottom"/>
          </w:tcPr>
          <w:p w14:paraId="43315C6C" w14:textId="77777777" w:rsidR="009557C4" w:rsidRPr="009557C4" w:rsidRDefault="009557C4" w:rsidP="009557C4">
            <w:pPr>
              <w:tabs>
                <w:tab w:val="right" w:pos="1202"/>
              </w:tabs>
              <w:spacing w:after="0" w:line="301" w:lineRule="exact"/>
              <w:jc w:val="right"/>
              <w:outlineLvl w:val="0"/>
              <w:rPr>
                <w:rFonts w:ascii="Calibri" w:eastAsia="Times New Roman" w:hAnsi="Calibri" w:cs="Arial"/>
                <w:b/>
                <w:bCs/>
                <w:sz w:val="18"/>
                <w:szCs w:val="18"/>
              </w:rPr>
            </w:pPr>
          </w:p>
        </w:tc>
        <w:tc>
          <w:tcPr>
            <w:tcW w:w="500" w:type="pct"/>
            <w:tcBorders>
              <w:top w:val="single" w:sz="12" w:space="0" w:color="auto"/>
            </w:tcBorders>
            <w:vAlign w:val="bottom"/>
          </w:tcPr>
          <w:p w14:paraId="57B3682F" w14:textId="77777777" w:rsidR="009557C4" w:rsidRPr="009557C4" w:rsidRDefault="009557C4" w:rsidP="009557C4">
            <w:pPr>
              <w:tabs>
                <w:tab w:val="right" w:pos="1202"/>
              </w:tabs>
              <w:spacing w:after="0" w:line="301" w:lineRule="exact"/>
              <w:jc w:val="right"/>
              <w:outlineLvl w:val="0"/>
              <w:rPr>
                <w:rFonts w:ascii="Calibri" w:eastAsia="Times New Roman" w:hAnsi="Calibri" w:cs="Arial"/>
                <w:b/>
                <w:bCs/>
                <w:sz w:val="18"/>
                <w:szCs w:val="18"/>
              </w:rPr>
            </w:pPr>
          </w:p>
        </w:tc>
        <w:tc>
          <w:tcPr>
            <w:tcW w:w="572" w:type="pct"/>
            <w:tcBorders>
              <w:top w:val="single" w:sz="12" w:space="0" w:color="auto"/>
            </w:tcBorders>
            <w:vAlign w:val="bottom"/>
          </w:tcPr>
          <w:p w14:paraId="18B0C1D2" w14:textId="77777777" w:rsidR="009557C4" w:rsidRPr="009557C4" w:rsidRDefault="009557C4" w:rsidP="009557C4">
            <w:pPr>
              <w:tabs>
                <w:tab w:val="right" w:pos="1202"/>
              </w:tabs>
              <w:spacing w:after="0" w:line="301" w:lineRule="exact"/>
              <w:jc w:val="right"/>
              <w:outlineLvl w:val="0"/>
              <w:rPr>
                <w:rFonts w:ascii="Calibri" w:eastAsia="Times New Roman" w:hAnsi="Calibri" w:cs="Arial"/>
                <w:b/>
                <w:bCs/>
                <w:sz w:val="18"/>
                <w:szCs w:val="18"/>
              </w:rPr>
            </w:pPr>
          </w:p>
        </w:tc>
        <w:tc>
          <w:tcPr>
            <w:tcW w:w="500" w:type="pct"/>
            <w:tcBorders>
              <w:top w:val="single" w:sz="12" w:space="0" w:color="auto"/>
            </w:tcBorders>
            <w:vAlign w:val="bottom"/>
          </w:tcPr>
          <w:p w14:paraId="50085A99" w14:textId="77777777" w:rsidR="009557C4" w:rsidRPr="009557C4" w:rsidRDefault="009557C4" w:rsidP="009557C4">
            <w:pPr>
              <w:tabs>
                <w:tab w:val="right" w:pos="1202"/>
              </w:tabs>
              <w:spacing w:after="0" w:line="301" w:lineRule="exact"/>
              <w:jc w:val="right"/>
              <w:outlineLvl w:val="0"/>
              <w:rPr>
                <w:rFonts w:ascii="Calibri" w:eastAsia="Times New Roman" w:hAnsi="Calibri" w:cs="Arial"/>
                <w:b/>
                <w:bCs/>
                <w:sz w:val="18"/>
                <w:szCs w:val="18"/>
              </w:rPr>
            </w:pPr>
          </w:p>
        </w:tc>
        <w:tc>
          <w:tcPr>
            <w:tcW w:w="500" w:type="pct"/>
            <w:tcBorders>
              <w:top w:val="single" w:sz="12" w:space="0" w:color="auto"/>
            </w:tcBorders>
            <w:vAlign w:val="bottom"/>
          </w:tcPr>
          <w:p w14:paraId="6B887A18" w14:textId="77777777" w:rsidR="009557C4" w:rsidRPr="009557C4" w:rsidRDefault="009557C4" w:rsidP="009557C4">
            <w:pPr>
              <w:tabs>
                <w:tab w:val="right" w:pos="1202"/>
              </w:tabs>
              <w:spacing w:after="0" w:line="301" w:lineRule="exact"/>
              <w:jc w:val="right"/>
              <w:outlineLvl w:val="0"/>
              <w:rPr>
                <w:rFonts w:ascii="Calibri" w:eastAsia="Times New Roman" w:hAnsi="Calibri" w:cs="Arial"/>
                <w:b/>
                <w:bCs/>
                <w:sz w:val="18"/>
                <w:szCs w:val="18"/>
              </w:rPr>
            </w:pPr>
          </w:p>
        </w:tc>
        <w:tc>
          <w:tcPr>
            <w:tcW w:w="500" w:type="pct"/>
            <w:tcBorders>
              <w:top w:val="single" w:sz="12" w:space="0" w:color="auto"/>
            </w:tcBorders>
            <w:vAlign w:val="bottom"/>
          </w:tcPr>
          <w:p w14:paraId="6DC0D4BD" w14:textId="77777777" w:rsidR="009557C4" w:rsidRPr="009557C4" w:rsidRDefault="009557C4" w:rsidP="009557C4">
            <w:pPr>
              <w:tabs>
                <w:tab w:val="right" w:pos="1202"/>
              </w:tabs>
              <w:spacing w:after="0" w:line="301" w:lineRule="exact"/>
              <w:jc w:val="right"/>
              <w:outlineLvl w:val="0"/>
              <w:rPr>
                <w:rFonts w:ascii="Calibri" w:eastAsia="Times New Roman" w:hAnsi="Calibri" w:cs="Arial"/>
                <w:b/>
                <w:bCs/>
                <w:sz w:val="18"/>
                <w:szCs w:val="18"/>
              </w:rPr>
            </w:pPr>
          </w:p>
        </w:tc>
        <w:tc>
          <w:tcPr>
            <w:tcW w:w="485" w:type="pct"/>
            <w:tcBorders>
              <w:top w:val="single" w:sz="12" w:space="0" w:color="auto"/>
            </w:tcBorders>
            <w:vAlign w:val="bottom"/>
          </w:tcPr>
          <w:p w14:paraId="19AE57C4" w14:textId="77777777" w:rsidR="009557C4" w:rsidRPr="009557C4" w:rsidRDefault="009557C4" w:rsidP="009557C4">
            <w:pPr>
              <w:tabs>
                <w:tab w:val="right" w:pos="1202"/>
              </w:tabs>
              <w:spacing w:after="0" w:line="301" w:lineRule="exact"/>
              <w:jc w:val="right"/>
              <w:outlineLvl w:val="0"/>
              <w:rPr>
                <w:rFonts w:ascii="Calibri" w:eastAsia="Times New Roman" w:hAnsi="Calibri" w:cs="Arial"/>
                <w:b/>
                <w:bCs/>
                <w:sz w:val="18"/>
                <w:szCs w:val="18"/>
              </w:rPr>
            </w:pPr>
          </w:p>
        </w:tc>
      </w:tr>
      <w:tr w:rsidR="009557C4" w:rsidRPr="009557C4" w14:paraId="7F92ED20" w14:textId="77777777" w:rsidTr="009557C4">
        <w:trPr>
          <w:trHeight w:val="396"/>
          <w:jc w:val="center"/>
        </w:trPr>
        <w:tc>
          <w:tcPr>
            <w:tcW w:w="859" w:type="pct"/>
          </w:tcPr>
          <w:p w14:paraId="010ABFF5" w14:textId="77777777" w:rsidR="009557C4" w:rsidRPr="009557C4" w:rsidRDefault="009557C4" w:rsidP="009557C4">
            <w:pPr>
              <w:tabs>
                <w:tab w:val="right" w:pos="1202"/>
              </w:tabs>
              <w:spacing w:after="0" w:line="200" w:lineRule="exact"/>
              <w:outlineLvl w:val="0"/>
              <w:rPr>
                <w:rFonts w:ascii="Calibri" w:eastAsia="Times New Roman" w:hAnsi="Calibri" w:cs="Arial"/>
                <w:b/>
                <w:bCs/>
                <w:sz w:val="16"/>
                <w:szCs w:val="16"/>
              </w:rPr>
            </w:pPr>
            <w:r w:rsidRPr="009557C4">
              <w:rPr>
                <w:rFonts w:ascii="Calibri" w:eastAsia="Times New Roman" w:hAnsi="Calibri" w:cs="Arial"/>
                <w:sz w:val="16"/>
                <w:szCs w:val="16"/>
              </w:rPr>
              <w:t>Izdane garancije u kunama</w:t>
            </w:r>
          </w:p>
        </w:tc>
        <w:tc>
          <w:tcPr>
            <w:tcW w:w="585" w:type="pct"/>
            <w:tcBorders>
              <w:top w:val="nil"/>
              <w:left w:val="nil"/>
              <w:bottom w:val="nil"/>
              <w:right w:val="nil"/>
            </w:tcBorders>
            <w:shd w:val="clear" w:color="auto" w:fill="auto"/>
            <w:vAlign w:val="bottom"/>
          </w:tcPr>
          <w:p w14:paraId="1472C23E"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32.082</w:t>
            </w:r>
          </w:p>
        </w:tc>
        <w:tc>
          <w:tcPr>
            <w:tcW w:w="500" w:type="pct"/>
            <w:tcBorders>
              <w:top w:val="nil"/>
              <w:left w:val="nil"/>
              <w:bottom w:val="nil"/>
              <w:right w:val="nil"/>
            </w:tcBorders>
            <w:shd w:val="clear" w:color="auto" w:fill="auto"/>
            <w:vAlign w:val="bottom"/>
          </w:tcPr>
          <w:p w14:paraId="11928CC2"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3E2EB15A"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72" w:type="pct"/>
            <w:tcBorders>
              <w:top w:val="nil"/>
              <w:left w:val="nil"/>
              <w:bottom w:val="nil"/>
              <w:right w:val="nil"/>
            </w:tcBorders>
            <w:shd w:val="clear" w:color="auto" w:fill="auto"/>
            <w:vAlign w:val="bottom"/>
          </w:tcPr>
          <w:p w14:paraId="205694BD"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32.082</w:t>
            </w:r>
          </w:p>
        </w:tc>
        <w:tc>
          <w:tcPr>
            <w:tcW w:w="500" w:type="pct"/>
            <w:tcBorders>
              <w:top w:val="nil"/>
              <w:left w:val="nil"/>
              <w:bottom w:val="nil"/>
              <w:right w:val="nil"/>
            </w:tcBorders>
            <w:shd w:val="clear" w:color="auto" w:fill="auto"/>
            <w:vAlign w:val="bottom"/>
          </w:tcPr>
          <w:p w14:paraId="3494D9F2"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4D79F719"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5B096048"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11BFA112"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r>
      <w:tr w:rsidR="009557C4" w:rsidRPr="009557C4" w14:paraId="0830091C" w14:textId="77777777" w:rsidTr="009557C4">
        <w:trPr>
          <w:trHeight w:val="363"/>
          <w:jc w:val="center"/>
        </w:trPr>
        <w:tc>
          <w:tcPr>
            <w:tcW w:w="859" w:type="pct"/>
            <w:vAlign w:val="center"/>
          </w:tcPr>
          <w:p w14:paraId="429FF0AB" w14:textId="77777777" w:rsidR="009557C4" w:rsidRPr="009557C4" w:rsidRDefault="009557C4" w:rsidP="009557C4">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Izdane garancije u devizama</w:t>
            </w:r>
          </w:p>
        </w:tc>
        <w:tc>
          <w:tcPr>
            <w:tcW w:w="585" w:type="pct"/>
            <w:tcBorders>
              <w:top w:val="nil"/>
              <w:left w:val="nil"/>
              <w:bottom w:val="nil"/>
              <w:right w:val="nil"/>
            </w:tcBorders>
            <w:shd w:val="clear" w:color="auto" w:fill="auto"/>
            <w:vAlign w:val="bottom"/>
          </w:tcPr>
          <w:p w14:paraId="0CE09655"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1.964.149</w:t>
            </w:r>
          </w:p>
        </w:tc>
        <w:tc>
          <w:tcPr>
            <w:tcW w:w="500" w:type="pct"/>
            <w:tcBorders>
              <w:top w:val="nil"/>
              <w:left w:val="nil"/>
              <w:bottom w:val="nil"/>
              <w:right w:val="nil"/>
            </w:tcBorders>
            <w:shd w:val="clear" w:color="auto" w:fill="auto"/>
            <w:vAlign w:val="bottom"/>
          </w:tcPr>
          <w:p w14:paraId="1EF3F5ED"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18.820</w:t>
            </w:r>
          </w:p>
        </w:tc>
        <w:tc>
          <w:tcPr>
            <w:tcW w:w="500" w:type="pct"/>
            <w:tcBorders>
              <w:top w:val="nil"/>
              <w:left w:val="nil"/>
              <w:bottom w:val="nil"/>
              <w:right w:val="nil"/>
            </w:tcBorders>
            <w:shd w:val="clear" w:color="auto" w:fill="auto"/>
            <w:vAlign w:val="bottom"/>
          </w:tcPr>
          <w:p w14:paraId="102E3DAC"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72" w:type="pct"/>
            <w:tcBorders>
              <w:top w:val="nil"/>
              <w:left w:val="nil"/>
              <w:bottom w:val="nil"/>
              <w:right w:val="nil"/>
            </w:tcBorders>
            <w:shd w:val="clear" w:color="auto" w:fill="auto"/>
            <w:vAlign w:val="bottom"/>
          </w:tcPr>
          <w:p w14:paraId="5900A847"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1.982.969</w:t>
            </w:r>
          </w:p>
        </w:tc>
        <w:tc>
          <w:tcPr>
            <w:tcW w:w="500" w:type="pct"/>
            <w:tcBorders>
              <w:top w:val="nil"/>
              <w:left w:val="nil"/>
              <w:bottom w:val="nil"/>
              <w:right w:val="nil"/>
            </w:tcBorders>
            <w:shd w:val="clear" w:color="auto" w:fill="auto"/>
            <w:vAlign w:val="bottom"/>
          </w:tcPr>
          <w:p w14:paraId="09449FDC"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437.160</w:t>
            </w:r>
          </w:p>
        </w:tc>
        <w:tc>
          <w:tcPr>
            <w:tcW w:w="500" w:type="pct"/>
            <w:tcBorders>
              <w:top w:val="nil"/>
              <w:left w:val="nil"/>
              <w:bottom w:val="nil"/>
              <w:right w:val="nil"/>
            </w:tcBorders>
            <w:shd w:val="clear" w:color="auto" w:fill="auto"/>
            <w:vAlign w:val="bottom"/>
          </w:tcPr>
          <w:p w14:paraId="28B57C43"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556CD8CD"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4BC60EBB"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437.160</w:t>
            </w:r>
          </w:p>
        </w:tc>
      </w:tr>
      <w:tr w:rsidR="009557C4" w:rsidRPr="009557C4" w14:paraId="297C78BA" w14:textId="77777777" w:rsidTr="009557C4">
        <w:trPr>
          <w:trHeight w:val="295"/>
          <w:jc w:val="center"/>
        </w:trPr>
        <w:tc>
          <w:tcPr>
            <w:tcW w:w="859" w:type="pct"/>
            <w:vAlign w:val="center"/>
          </w:tcPr>
          <w:p w14:paraId="35DA1D3D" w14:textId="77777777" w:rsidR="009557C4" w:rsidRPr="009557C4" w:rsidRDefault="009557C4" w:rsidP="009557C4">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Preuzete obveze po kreditima</w:t>
            </w:r>
          </w:p>
        </w:tc>
        <w:tc>
          <w:tcPr>
            <w:tcW w:w="585" w:type="pct"/>
            <w:tcBorders>
              <w:top w:val="nil"/>
              <w:left w:val="nil"/>
              <w:bottom w:val="nil"/>
              <w:right w:val="nil"/>
            </w:tcBorders>
            <w:shd w:val="clear" w:color="auto" w:fill="auto"/>
            <w:vAlign w:val="bottom"/>
          </w:tcPr>
          <w:p w14:paraId="0BA06B21"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3.911.236</w:t>
            </w:r>
          </w:p>
        </w:tc>
        <w:tc>
          <w:tcPr>
            <w:tcW w:w="500" w:type="pct"/>
            <w:tcBorders>
              <w:top w:val="nil"/>
              <w:left w:val="nil"/>
              <w:bottom w:val="nil"/>
              <w:right w:val="nil"/>
            </w:tcBorders>
            <w:shd w:val="clear" w:color="auto" w:fill="auto"/>
            <w:vAlign w:val="bottom"/>
          </w:tcPr>
          <w:p w14:paraId="243A8CC8"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16.941</w:t>
            </w:r>
          </w:p>
        </w:tc>
        <w:tc>
          <w:tcPr>
            <w:tcW w:w="500" w:type="pct"/>
            <w:tcBorders>
              <w:top w:val="nil"/>
              <w:left w:val="nil"/>
              <w:bottom w:val="nil"/>
              <w:right w:val="nil"/>
            </w:tcBorders>
            <w:shd w:val="clear" w:color="auto" w:fill="auto"/>
            <w:vAlign w:val="bottom"/>
          </w:tcPr>
          <w:p w14:paraId="7537AC8B"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72" w:type="pct"/>
            <w:tcBorders>
              <w:top w:val="nil"/>
              <w:left w:val="nil"/>
              <w:bottom w:val="nil"/>
              <w:right w:val="nil"/>
            </w:tcBorders>
            <w:shd w:val="clear" w:color="auto" w:fill="auto"/>
            <w:vAlign w:val="bottom"/>
          </w:tcPr>
          <w:p w14:paraId="73E3532B"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3.928.177</w:t>
            </w:r>
          </w:p>
        </w:tc>
        <w:tc>
          <w:tcPr>
            <w:tcW w:w="500" w:type="pct"/>
            <w:tcBorders>
              <w:top w:val="nil"/>
              <w:left w:val="nil"/>
              <w:bottom w:val="nil"/>
              <w:right w:val="nil"/>
            </w:tcBorders>
            <w:shd w:val="clear" w:color="auto" w:fill="auto"/>
            <w:vAlign w:val="bottom"/>
          </w:tcPr>
          <w:p w14:paraId="72FA906E"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658.819</w:t>
            </w:r>
          </w:p>
        </w:tc>
        <w:tc>
          <w:tcPr>
            <w:tcW w:w="500" w:type="pct"/>
            <w:tcBorders>
              <w:top w:val="nil"/>
              <w:left w:val="nil"/>
              <w:bottom w:val="nil"/>
              <w:right w:val="nil"/>
            </w:tcBorders>
            <w:shd w:val="clear" w:color="auto" w:fill="auto"/>
            <w:vAlign w:val="bottom"/>
          </w:tcPr>
          <w:p w14:paraId="1183B6E3"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nil"/>
              <w:right w:val="nil"/>
            </w:tcBorders>
            <w:shd w:val="clear" w:color="auto" w:fill="auto"/>
            <w:vAlign w:val="bottom"/>
          </w:tcPr>
          <w:p w14:paraId="050BDDBD"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485" w:type="pct"/>
            <w:tcBorders>
              <w:top w:val="nil"/>
              <w:left w:val="nil"/>
              <w:bottom w:val="nil"/>
              <w:right w:val="nil"/>
            </w:tcBorders>
            <w:shd w:val="clear" w:color="auto" w:fill="auto"/>
            <w:vAlign w:val="bottom"/>
          </w:tcPr>
          <w:p w14:paraId="334642C6"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658.819</w:t>
            </w:r>
          </w:p>
        </w:tc>
      </w:tr>
      <w:tr w:rsidR="009557C4" w:rsidRPr="009557C4" w14:paraId="35A866E9" w14:textId="77777777" w:rsidTr="009557C4">
        <w:trPr>
          <w:trHeight w:val="544"/>
          <w:jc w:val="center"/>
        </w:trPr>
        <w:tc>
          <w:tcPr>
            <w:tcW w:w="859" w:type="pct"/>
            <w:vAlign w:val="center"/>
          </w:tcPr>
          <w:p w14:paraId="27304666" w14:textId="77777777" w:rsidR="009557C4" w:rsidRPr="009557C4" w:rsidRDefault="009557C4" w:rsidP="009557C4">
            <w:pPr>
              <w:tabs>
                <w:tab w:val="right" w:pos="1202"/>
              </w:tabs>
              <w:spacing w:after="0" w:line="240" w:lineRule="auto"/>
              <w:outlineLvl w:val="0"/>
              <w:rPr>
                <w:rFonts w:ascii="Calibri" w:eastAsia="Times New Roman" w:hAnsi="Calibri" w:cs="Arial"/>
                <w:sz w:val="16"/>
                <w:szCs w:val="16"/>
              </w:rPr>
            </w:pPr>
            <w:r w:rsidRPr="009557C4">
              <w:rPr>
                <w:rFonts w:ascii="Calibri" w:eastAsia="Times New Roman" w:hAnsi="Calibri" w:cs="Arial"/>
                <w:sz w:val="16"/>
                <w:szCs w:val="16"/>
              </w:rPr>
              <w:t>Ostale nespomenute neopozive potencijalne obveze</w:t>
            </w:r>
          </w:p>
        </w:tc>
        <w:tc>
          <w:tcPr>
            <w:tcW w:w="585" w:type="pct"/>
            <w:tcBorders>
              <w:top w:val="nil"/>
              <w:left w:val="nil"/>
              <w:bottom w:val="single" w:sz="8" w:space="0" w:color="auto"/>
              <w:right w:val="nil"/>
            </w:tcBorders>
            <w:shd w:val="clear" w:color="auto" w:fill="auto"/>
            <w:vAlign w:val="bottom"/>
          </w:tcPr>
          <w:p w14:paraId="02096DD5"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335</w:t>
            </w:r>
          </w:p>
        </w:tc>
        <w:tc>
          <w:tcPr>
            <w:tcW w:w="500" w:type="pct"/>
            <w:tcBorders>
              <w:top w:val="nil"/>
              <w:left w:val="nil"/>
              <w:bottom w:val="single" w:sz="8" w:space="0" w:color="auto"/>
              <w:right w:val="nil"/>
            </w:tcBorders>
            <w:shd w:val="clear" w:color="auto" w:fill="auto"/>
            <w:vAlign w:val="bottom"/>
          </w:tcPr>
          <w:p w14:paraId="3EC72F63"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single" w:sz="8" w:space="0" w:color="auto"/>
              <w:right w:val="nil"/>
            </w:tcBorders>
            <w:shd w:val="clear" w:color="auto" w:fill="auto"/>
            <w:vAlign w:val="bottom"/>
          </w:tcPr>
          <w:p w14:paraId="7A71CCD8"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72" w:type="pct"/>
            <w:tcBorders>
              <w:top w:val="nil"/>
              <w:left w:val="nil"/>
              <w:bottom w:val="single" w:sz="8" w:space="0" w:color="auto"/>
              <w:right w:val="nil"/>
            </w:tcBorders>
            <w:shd w:val="clear" w:color="auto" w:fill="auto"/>
            <w:vAlign w:val="bottom"/>
          </w:tcPr>
          <w:p w14:paraId="7ACC702E"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335</w:t>
            </w:r>
          </w:p>
        </w:tc>
        <w:tc>
          <w:tcPr>
            <w:tcW w:w="500" w:type="pct"/>
            <w:tcBorders>
              <w:top w:val="nil"/>
              <w:left w:val="nil"/>
              <w:bottom w:val="single" w:sz="8" w:space="0" w:color="auto"/>
              <w:right w:val="nil"/>
            </w:tcBorders>
            <w:shd w:val="clear" w:color="auto" w:fill="auto"/>
            <w:vAlign w:val="bottom"/>
          </w:tcPr>
          <w:p w14:paraId="0FF87C57"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335</w:t>
            </w:r>
          </w:p>
        </w:tc>
        <w:tc>
          <w:tcPr>
            <w:tcW w:w="500" w:type="pct"/>
            <w:tcBorders>
              <w:top w:val="nil"/>
              <w:left w:val="nil"/>
              <w:bottom w:val="single" w:sz="8" w:space="0" w:color="auto"/>
              <w:right w:val="nil"/>
            </w:tcBorders>
            <w:shd w:val="clear" w:color="auto" w:fill="auto"/>
            <w:vAlign w:val="bottom"/>
          </w:tcPr>
          <w:p w14:paraId="4AC6D12C"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500" w:type="pct"/>
            <w:tcBorders>
              <w:top w:val="nil"/>
              <w:left w:val="nil"/>
              <w:bottom w:val="single" w:sz="8" w:space="0" w:color="auto"/>
              <w:right w:val="nil"/>
            </w:tcBorders>
            <w:shd w:val="clear" w:color="auto" w:fill="auto"/>
            <w:vAlign w:val="bottom"/>
          </w:tcPr>
          <w:p w14:paraId="48536E55"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485" w:type="pct"/>
            <w:tcBorders>
              <w:top w:val="nil"/>
              <w:left w:val="nil"/>
              <w:bottom w:val="single" w:sz="8" w:space="0" w:color="auto"/>
              <w:right w:val="nil"/>
            </w:tcBorders>
            <w:shd w:val="clear" w:color="auto" w:fill="auto"/>
            <w:vAlign w:val="bottom"/>
          </w:tcPr>
          <w:p w14:paraId="43BC9B8E"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335</w:t>
            </w:r>
          </w:p>
        </w:tc>
      </w:tr>
      <w:tr w:rsidR="009557C4" w:rsidRPr="009557C4" w14:paraId="68F620A7" w14:textId="77777777" w:rsidTr="009557C4">
        <w:trPr>
          <w:trHeight w:val="226"/>
          <w:jc w:val="center"/>
        </w:trPr>
        <w:tc>
          <w:tcPr>
            <w:tcW w:w="859" w:type="pct"/>
          </w:tcPr>
          <w:p w14:paraId="1880C7B2" w14:textId="77777777" w:rsidR="009557C4" w:rsidRPr="009557C4" w:rsidRDefault="009557C4" w:rsidP="009557C4">
            <w:pPr>
              <w:tabs>
                <w:tab w:val="right" w:pos="1202"/>
              </w:tabs>
              <w:spacing w:after="0" w:line="24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Ukupno</w:t>
            </w:r>
          </w:p>
        </w:tc>
        <w:tc>
          <w:tcPr>
            <w:tcW w:w="585" w:type="pct"/>
            <w:tcBorders>
              <w:top w:val="nil"/>
              <w:left w:val="nil"/>
              <w:bottom w:val="single" w:sz="12" w:space="0" w:color="auto"/>
              <w:right w:val="nil"/>
            </w:tcBorders>
            <w:shd w:val="clear" w:color="auto" w:fill="auto"/>
            <w:vAlign w:val="bottom"/>
          </w:tcPr>
          <w:p w14:paraId="1F79C358"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5.907.802</w:t>
            </w:r>
          </w:p>
        </w:tc>
        <w:tc>
          <w:tcPr>
            <w:tcW w:w="500" w:type="pct"/>
            <w:tcBorders>
              <w:top w:val="nil"/>
              <w:left w:val="nil"/>
              <w:bottom w:val="single" w:sz="12" w:space="0" w:color="auto"/>
              <w:right w:val="nil"/>
            </w:tcBorders>
            <w:shd w:val="clear" w:color="auto" w:fill="auto"/>
            <w:vAlign w:val="bottom"/>
          </w:tcPr>
          <w:p w14:paraId="1D47CBFB"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35.761</w:t>
            </w:r>
          </w:p>
        </w:tc>
        <w:tc>
          <w:tcPr>
            <w:tcW w:w="500" w:type="pct"/>
            <w:tcBorders>
              <w:top w:val="nil"/>
              <w:left w:val="nil"/>
              <w:bottom w:val="single" w:sz="12" w:space="0" w:color="auto"/>
              <w:right w:val="nil"/>
            </w:tcBorders>
            <w:shd w:val="clear" w:color="auto" w:fill="auto"/>
            <w:vAlign w:val="bottom"/>
          </w:tcPr>
          <w:p w14:paraId="66691AD2"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w:t>
            </w:r>
          </w:p>
        </w:tc>
        <w:tc>
          <w:tcPr>
            <w:tcW w:w="572" w:type="pct"/>
            <w:tcBorders>
              <w:top w:val="nil"/>
              <w:left w:val="nil"/>
              <w:bottom w:val="single" w:sz="12" w:space="0" w:color="auto"/>
              <w:right w:val="nil"/>
            </w:tcBorders>
            <w:shd w:val="clear" w:color="auto" w:fill="auto"/>
            <w:vAlign w:val="bottom"/>
          </w:tcPr>
          <w:p w14:paraId="6936E4CB"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5.943.563</w:t>
            </w:r>
          </w:p>
        </w:tc>
        <w:tc>
          <w:tcPr>
            <w:tcW w:w="500" w:type="pct"/>
            <w:tcBorders>
              <w:top w:val="nil"/>
              <w:left w:val="nil"/>
              <w:bottom w:val="single" w:sz="12" w:space="0" w:color="auto"/>
              <w:right w:val="nil"/>
            </w:tcBorders>
            <w:shd w:val="clear" w:color="auto" w:fill="auto"/>
            <w:vAlign w:val="bottom"/>
          </w:tcPr>
          <w:p w14:paraId="79F43F45"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1.096.314</w:t>
            </w:r>
          </w:p>
        </w:tc>
        <w:tc>
          <w:tcPr>
            <w:tcW w:w="500" w:type="pct"/>
            <w:tcBorders>
              <w:top w:val="nil"/>
              <w:left w:val="nil"/>
              <w:bottom w:val="single" w:sz="12" w:space="0" w:color="auto"/>
              <w:right w:val="nil"/>
            </w:tcBorders>
            <w:shd w:val="clear" w:color="auto" w:fill="auto"/>
            <w:vAlign w:val="bottom"/>
          </w:tcPr>
          <w:p w14:paraId="2A2C401D"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w:t>
            </w:r>
          </w:p>
        </w:tc>
        <w:tc>
          <w:tcPr>
            <w:tcW w:w="500" w:type="pct"/>
            <w:tcBorders>
              <w:top w:val="nil"/>
              <w:left w:val="nil"/>
              <w:bottom w:val="single" w:sz="12" w:space="0" w:color="auto"/>
              <w:right w:val="nil"/>
            </w:tcBorders>
            <w:shd w:val="clear" w:color="auto" w:fill="auto"/>
            <w:vAlign w:val="bottom"/>
          </w:tcPr>
          <w:p w14:paraId="7EA470B9"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w:t>
            </w:r>
          </w:p>
        </w:tc>
        <w:tc>
          <w:tcPr>
            <w:tcW w:w="485" w:type="pct"/>
            <w:tcBorders>
              <w:top w:val="nil"/>
              <w:left w:val="nil"/>
              <w:bottom w:val="single" w:sz="12" w:space="0" w:color="auto"/>
              <w:right w:val="nil"/>
            </w:tcBorders>
            <w:shd w:val="clear" w:color="auto" w:fill="auto"/>
            <w:vAlign w:val="bottom"/>
          </w:tcPr>
          <w:p w14:paraId="05856165"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1.096.314</w:t>
            </w:r>
          </w:p>
        </w:tc>
      </w:tr>
      <w:tr w:rsidR="009557C4" w:rsidRPr="009557C4" w14:paraId="39A73C51" w14:textId="77777777" w:rsidTr="009557C4">
        <w:trPr>
          <w:trHeight w:val="37"/>
          <w:jc w:val="center"/>
        </w:trPr>
        <w:tc>
          <w:tcPr>
            <w:tcW w:w="859" w:type="pct"/>
            <w:vAlign w:val="bottom"/>
          </w:tcPr>
          <w:p w14:paraId="454F9304" w14:textId="77777777" w:rsidR="009557C4" w:rsidRPr="009557C4" w:rsidRDefault="009557C4" w:rsidP="009557C4">
            <w:pPr>
              <w:tabs>
                <w:tab w:val="right" w:pos="1202"/>
              </w:tabs>
              <w:spacing w:after="0" w:line="120" w:lineRule="auto"/>
              <w:jc w:val="center"/>
              <w:outlineLvl w:val="0"/>
              <w:rPr>
                <w:rFonts w:ascii="Calibri" w:eastAsia="Times New Roman" w:hAnsi="Calibri" w:cs="Arial"/>
                <w:b/>
                <w:bCs/>
                <w:sz w:val="16"/>
                <w:szCs w:val="16"/>
              </w:rPr>
            </w:pPr>
          </w:p>
        </w:tc>
        <w:tc>
          <w:tcPr>
            <w:tcW w:w="585" w:type="pct"/>
            <w:tcBorders>
              <w:top w:val="single" w:sz="12" w:space="0" w:color="auto"/>
            </w:tcBorders>
            <w:vAlign w:val="bottom"/>
          </w:tcPr>
          <w:p w14:paraId="18C7CCF5" w14:textId="77777777" w:rsidR="009557C4" w:rsidRPr="009557C4" w:rsidRDefault="009557C4" w:rsidP="009557C4">
            <w:pPr>
              <w:tabs>
                <w:tab w:val="right" w:pos="1202"/>
              </w:tabs>
              <w:spacing w:after="0" w:line="120" w:lineRule="auto"/>
              <w:jc w:val="right"/>
              <w:outlineLvl w:val="0"/>
              <w:rPr>
                <w:rFonts w:ascii="Calibri" w:eastAsia="Times New Roman" w:hAnsi="Calibri" w:cs="Arial"/>
                <w:b/>
                <w:bCs/>
                <w:sz w:val="18"/>
                <w:szCs w:val="18"/>
              </w:rPr>
            </w:pPr>
          </w:p>
        </w:tc>
        <w:tc>
          <w:tcPr>
            <w:tcW w:w="500" w:type="pct"/>
            <w:tcBorders>
              <w:top w:val="single" w:sz="12" w:space="0" w:color="auto"/>
            </w:tcBorders>
            <w:vAlign w:val="bottom"/>
          </w:tcPr>
          <w:p w14:paraId="440E97F0" w14:textId="77777777" w:rsidR="009557C4" w:rsidRPr="009557C4" w:rsidRDefault="009557C4" w:rsidP="009557C4">
            <w:pPr>
              <w:tabs>
                <w:tab w:val="right" w:pos="1202"/>
              </w:tabs>
              <w:spacing w:after="0" w:line="120" w:lineRule="auto"/>
              <w:jc w:val="right"/>
              <w:outlineLvl w:val="0"/>
              <w:rPr>
                <w:rFonts w:ascii="Calibri" w:eastAsia="Times New Roman" w:hAnsi="Calibri" w:cs="Arial"/>
                <w:b/>
                <w:bCs/>
                <w:sz w:val="18"/>
                <w:szCs w:val="18"/>
              </w:rPr>
            </w:pPr>
          </w:p>
        </w:tc>
        <w:tc>
          <w:tcPr>
            <w:tcW w:w="500" w:type="pct"/>
            <w:tcBorders>
              <w:top w:val="single" w:sz="12" w:space="0" w:color="auto"/>
            </w:tcBorders>
            <w:vAlign w:val="bottom"/>
          </w:tcPr>
          <w:p w14:paraId="7EE7B038" w14:textId="77777777" w:rsidR="009557C4" w:rsidRPr="009557C4" w:rsidRDefault="009557C4" w:rsidP="009557C4">
            <w:pPr>
              <w:tabs>
                <w:tab w:val="right" w:pos="1202"/>
              </w:tabs>
              <w:spacing w:after="0" w:line="120" w:lineRule="auto"/>
              <w:jc w:val="right"/>
              <w:outlineLvl w:val="0"/>
              <w:rPr>
                <w:rFonts w:ascii="Calibri" w:eastAsia="Times New Roman" w:hAnsi="Calibri" w:cs="Arial"/>
                <w:b/>
                <w:bCs/>
                <w:sz w:val="18"/>
                <w:szCs w:val="18"/>
              </w:rPr>
            </w:pPr>
          </w:p>
        </w:tc>
        <w:tc>
          <w:tcPr>
            <w:tcW w:w="572" w:type="pct"/>
            <w:tcBorders>
              <w:top w:val="single" w:sz="12" w:space="0" w:color="auto"/>
            </w:tcBorders>
            <w:vAlign w:val="bottom"/>
          </w:tcPr>
          <w:p w14:paraId="196052FA" w14:textId="77777777" w:rsidR="009557C4" w:rsidRPr="009557C4" w:rsidRDefault="009557C4" w:rsidP="009557C4">
            <w:pPr>
              <w:tabs>
                <w:tab w:val="right" w:pos="1202"/>
              </w:tabs>
              <w:spacing w:after="0" w:line="120" w:lineRule="auto"/>
              <w:jc w:val="right"/>
              <w:outlineLvl w:val="0"/>
              <w:rPr>
                <w:rFonts w:ascii="Calibri" w:eastAsia="Times New Roman" w:hAnsi="Calibri" w:cs="Arial"/>
                <w:b/>
                <w:bCs/>
                <w:noProof/>
                <w:sz w:val="18"/>
                <w:szCs w:val="18"/>
                <w:lang w:eastAsia="hr-HR"/>
              </w:rPr>
            </w:pPr>
          </w:p>
        </w:tc>
        <w:tc>
          <w:tcPr>
            <w:tcW w:w="500" w:type="pct"/>
            <w:tcBorders>
              <w:top w:val="single" w:sz="12" w:space="0" w:color="auto"/>
            </w:tcBorders>
            <w:vAlign w:val="bottom"/>
          </w:tcPr>
          <w:p w14:paraId="1F5BF366" w14:textId="77777777" w:rsidR="009557C4" w:rsidRPr="009557C4" w:rsidRDefault="009557C4" w:rsidP="009557C4">
            <w:pPr>
              <w:tabs>
                <w:tab w:val="right" w:pos="1202"/>
              </w:tabs>
              <w:spacing w:after="0" w:line="120" w:lineRule="auto"/>
              <w:jc w:val="right"/>
              <w:outlineLvl w:val="0"/>
              <w:rPr>
                <w:rFonts w:ascii="Calibri" w:eastAsia="Times New Roman" w:hAnsi="Calibri" w:cs="Arial"/>
                <w:b/>
                <w:bCs/>
                <w:noProof/>
                <w:sz w:val="18"/>
                <w:szCs w:val="18"/>
                <w:lang w:eastAsia="hr-HR"/>
              </w:rPr>
            </w:pPr>
          </w:p>
        </w:tc>
        <w:tc>
          <w:tcPr>
            <w:tcW w:w="500" w:type="pct"/>
            <w:tcBorders>
              <w:top w:val="single" w:sz="12" w:space="0" w:color="auto"/>
            </w:tcBorders>
            <w:vAlign w:val="bottom"/>
          </w:tcPr>
          <w:p w14:paraId="25955AD6" w14:textId="77777777" w:rsidR="009557C4" w:rsidRPr="009557C4" w:rsidRDefault="009557C4" w:rsidP="009557C4">
            <w:pPr>
              <w:tabs>
                <w:tab w:val="right" w:pos="1202"/>
              </w:tabs>
              <w:spacing w:after="0" w:line="120" w:lineRule="auto"/>
              <w:jc w:val="right"/>
              <w:outlineLvl w:val="0"/>
              <w:rPr>
                <w:rFonts w:ascii="Calibri" w:eastAsia="Times New Roman" w:hAnsi="Calibri" w:cs="Arial"/>
                <w:b/>
                <w:bCs/>
                <w:noProof/>
                <w:sz w:val="18"/>
                <w:szCs w:val="18"/>
                <w:lang w:eastAsia="hr-HR"/>
              </w:rPr>
            </w:pPr>
          </w:p>
        </w:tc>
        <w:tc>
          <w:tcPr>
            <w:tcW w:w="500" w:type="pct"/>
            <w:tcBorders>
              <w:top w:val="single" w:sz="12" w:space="0" w:color="auto"/>
            </w:tcBorders>
            <w:vAlign w:val="bottom"/>
          </w:tcPr>
          <w:p w14:paraId="6DCA81DB" w14:textId="77777777" w:rsidR="009557C4" w:rsidRPr="009557C4" w:rsidRDefault="009557C4" w:rsidP="009557C4">
            <w:pPr>
              <w:tabs>
                <w:tab w:val="right" w:pos="1202"/>
              </w:tabs>
              <w:spacing w:after="0" w:line="120" w:lineRule="auto"/>
              <w:jc w:val="right"/>
              <w:outlineLvl w:val="0"/>
              <w:rPr>
                <w:rFonts w:ascii="Calibri" w:eastAsia="Times New Roman" w:hAnsi="Calibri" w:cs="Arial"/>
                <w:b/>
                <w:bCs/>
                <w:noProof/>
                <w:sz w:val="18"/>
                <w:szCs w:val="18"/>
                <w:lang w:eastAsia="hr-HR"/>
              </w:rPr>
            </w:pPr>
          </w:p>
        </w:tc>
        <w:tc>
          <w:tcPr>
            <w:tcW w:w="485" w:type="pct"/>
            <w:tcBorders>
              <w:top w:val="single" w:sz="12" w:space="0" w:color="auto"/>
            </w:tcBorders>
            <w:vAlign w:val="bottom"/>
          </w:tcPr>
          <w:p w14:paraId="0CE49EA8" w14:textId="77777777" w:rsidR="009557C4" w:rsidRPr="009557C4" w:rsidRDefault="009557C4" w:rsidP="009557C4">
            <w:pPr>
              <w:tabs>
                <w:tab w:val="right" w:pos="1202"/>
              </w:tabs>
              <w:spacing w:after="0" w:line="120" w:lineRule="auto"/>
              <w:jc w:val="right"/>
              <w:outlineLvl w:val="0"/>
              <w:rPr>
                <w:rFonts w:ascii="Calibri" w:eastAsia="Times New Roman" w:hAnsi="Calibri" w:cs="Arial"/>
                <w:b/>
                <w:bCs/>
                <w:sz w:val="18"/>
                <w:szCs w:val="18"/>
              </w:rPr>
            </w:pPr>
          </w:p>
        </w:tc>
      </w:tr>
      <w:tr w:rsidR="009557C4" w:rsidRPr="009557C4" w14:paraId="42155352" w14:textId="77777777" w:rsidTr="009557C4">
        <w:trPr>
          <w:trHeight w:val="441"/>
          <w:jc w:val="center"/>
        </w:trPr>
        <w:tc>
          <w:tcPr>
            <w:tcW w:w="859" w:type="pct"/>
            <w:vAlign w:val="center"/>
          </w:tcPr>
          <w:p w14:paraId="5FC1CC7C" w14:textId="77777777" w:rsidR="009557C4" w:rsidRPr="009557C4" w:rsidRDefault="009557C4" w:rsidP="009557C4">
            <w:pPr>
              <w:tabs>
                <w:tab w:val="right" w:pos="1202"/>
              </w:tabs>
              <w:spacing w:after="0" w:line="220" w:lineRule="exact"/>
              <w:outlineLvl w:val="0"/>
              <w:rPr>
                <w:rFonts w:ascii="Calibri" w:eastAsia="Times New Roman" w:hAnsi="Calibri" w:cs="Arial"/>
                <w:b/>
                <w:bCs/>
                <w:sz w:val="16"/>
                <w:szCs w:val="16"/>
              </w:rPr>
            </w:pPr>
            <w:r w:rsidRPr="009557C4">
              <w:rPr>
                <w:rFonts w:ascii="Calibri" w:eastAsia="Times New Roman" w:hAnsi="Calibri" w:cs="Arial"/>
                <w:b/>
                <w:bCs/>
                <w:sz w:val="16"/>
                <w:szCs w:val="16"/>
              </w:rPr>
              <w:t>Ukupna izloženost kreditnom riziku</w:t>
            </w:r>
          </w:p>
        </w:tc>
        <w:tc>
          <w:tcPr>
            <w:tcW w:w="585" w:type="pct"/>
            <w:tcBorders>
              <w:top w:val="nil"/>
              <w:left w:val="nil"/>
              <w:bottom w:val="single" w:sz="12" w:space="0" w:color="auto"/>
              <w:right w:val="nil"/>
            </w:tcBorders>
            <w:shd w:val="clear" w:color="auto" w:fill="auto"/>
            <w:vAlign w:val="bottom"/>
          </w:tcPr>
          <w:p w14:paraId="28CEA1D1"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31.619.491</w:t>
            </w:r>
          </w:p>
        </w:tc>
        <w:tc>
          <w:tcPr>
            <w:tcW w:w="500" w:type="pct"/>
            <w:tcBorders>
              <w:top w:val="nil"/>
              <w:left w:val="nil"/>
              <w:bottom w:val="single" w:sz="12" w:space="0" w:color="auto"/>
              <w:right w:val="nil"/>
            </w:tcBorders>
            <w:shd w:val="clear" w:color="auto" w:fill="auto"/>
            <w:vAlign w:val="bottom"/>
          </w:tcPr>
          <w:p w14:paraId="1A229091"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1.548.648</w:t>
            </w:r>
          </w:p>
        </w:tc>
        <w:tc>
          <w:tcPr>
            <w:tcW w:w="500" w:type="pct"/>
            <w:tcBorders>
              <w:top w:val="nil"/>
              <w:left w:val="nil"/>
              <w:bottom w:val="single" w:sz="12" w:space="0" w:color="auto"/>
              <w:right w:val="nil"/>
            </w:tcBorders>
            <w:shd w:val="clear" w:color="auto" w:fill="auto"/>
            <w:vAlign w:val="bottom"/>
          </w:tcPr>
          <w:p w14:paraId="3B10C2A6"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w:t>
            </w:r>
          </w:p>
        </w:tc>
        <w:tc>
          <w:tcPr>
            <w:tcW w:w="572" w:type="pct"/>
            <w:tcBorders>
              <w:top w:val="nil"/>
              <w:left w:val="nil"/>
              <w:bottom w:val="single" w:sz="12" w:space="0" w:color="auto"/>
              <w:right w:val="nil"/>
            </w:tcBorders>
            <w:shd w:val="clear" w:color="auto" w:fill="auto"/>
            <w:vAlign w:val="bottom"/>
          </w:tcPr>
          <w:p w14:paraId="0D082815"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33.168.139</w:t>
            </w:r>
          </w:p>
        </w:tc>
        <w:tc>
          <w:tcPr>
            <w:tcW w:w="500" w:type="pct"/>
            <w:tcBorders>
              <w:top w:val="nil"/>
              <w:left w:val="nil"/>
              <w:bottom w:val="single" w:sz="12" w:space="0" w:color="auto"/>
              <w:right w:val="nil"/>
            </w:tcBorders>
            <w:shd w:val="clear" w:color="auto" w:fill="auto"/>
            <w:vAlign w:val="bottom"/>
          </w:tcPr>
          <w:p w14:paraId="0CF675F0"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5.982.603</w:t>
            </w:r>
          </w:p>
        </w:tc>
        <w:tc>
          <w:tcPr>
            <w:tcW w:w="500" w:type="pct"/>
            <w:tcBorders>
              <w:top w:val="nil"/>
              <w:left w:val="nil"/>
              <w:bottom w:val="single" w:sz="12" w:space="0" w:color="auto"/>
              <w:right w:val="nil"/>
            </w:tcBorders>
            <w:shd w:val="clear" w:color="auto" w:fill="auto"/>
            <w:vAlign w:val="bottom"/>
          </w:tcPr>
          <w:p w14:paraId="66173687"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35.326</w:t>
            </w:r>
          </w:p>
        </w:tc>
        <w:tc>
          <w:tcPr>
            <w:tcW w:w="500" w:type="pct"/>
            <w:tcBorders>
              <w:top w:val="nil"/>
              <w:left w:val="nil"/>
              <w:bottom w:val="single" w:sz="12" w:space="0" w:color="auto"/>
              <w:right w:val="nil"/>
            </w:tcBorders>
            <w:shd w:val="clear" w:color="auto" w:fill="auto"/>
            <w:vAlign w:val="bottom"/>
          </w:tcPr>
          <w:p w14:paraId="2393B7AE"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w:t>
            </w:r>
          </w:p>
        </w:tc>
        <w:tc>
          <w:tcPr>
            <w:tcW w:w="485" w:type="pct"/>
            <w:tcBorders>
              <w:top w:val="nil"/>
              <w:left w:val="nil"/>
              <w:bottom w:val="single" w:sz="12" w:space="0" w:color="auto"/>
              <w:right w:val="nil"/>
            </w:tcBorders>
            <w:shd w:val="clear" w:color="auto" w:fill="auto"/>
            <w:vAlign w:val="bottom"/>
          </w:tcPr>
          <w:p w14:paraId="74FA517E" w14:textId="77777777" w:rsidR="009557C4" w:rsidRPr="009557C4" w:rsidRDefault="009557C4" w:rsidP="009557C4">
            <w:pPr>
              <w:spacing w:after="0" w:line="240" w:lineRule="auto"/>
              <w:jc w:val="right"/>
              <w:rPr>
                <w:rFonts w:ascii="Calibri" w:eastAsia="Times New Roman" w:hAnsi="Calibri" w:cs="Times New Roman"/>
                <w:b/>
                <w:sz w:val="18"/>
                <w:szCs w:val="18"/>
                <w:lang w:val="en-US"/>
              </w:rPr>
            </w:pPr>
            <w:r w:rsidRPr="009557C4">
              <w:rPr>
                <w:rFonts w:ascii="Calibri" w:eastAsia="Times New Roman" w:hAnsi="Calibri" w:cs="Times New Roman"/>
                <w:b/>
                <w:sz w:val="18"/>
                <w:szCs w:val="18"/>
                <w:lang w:val="en-US"/>
              </w:rPr>
              <w:t>6.017.929</w:t>
            </w:r>
          </w:p>
        </w:tc>
      </w:tr>
    </w:tbl>
    <w:p w14:paraId="532456F9" w14:textId="77777777" w:rsidR="003579C1" w:rsidRDefault="003579C1" w:rsidP="003579C1">
      <w:pPr>
        <w:tabs>
          <w:tab w:val="left" w:pos="9180"/>
        </w:tabs>
        <w:spacing w:after="0" w:line="240" w:lineRule="auto"/>
        <w:ind w:left="-181" w:right="-289"/>
        <w:jc w:val="both"/>
        <w:rPr>
          <w:rFonts w:cs="Arial"/>
          <w:bCs/>
          <w:sz w:val="18"/>
          <w:szCs w:val="18"/>
        </w:rPr>
      </w:pPr>
    </w:p>
    <w:p w14:paraId="6CE79BC8" w14:textId="77777777" w:rsidR="009557C4" w:rsidRDefault="009557C4" w:rsidP="003579C1">
      <w:pPr>
        <w:tabs>
          <w:tab w:val="left" w:pos="9180"/>
        </w:tabs>
        <w:spacing w:before="120" w:after="120" w:line="240" w:lineRule="auto"/>
        <w:ind w:left="-181" w:right="-289"/>
        <w:jc w:val="both"/>
        <w:rPr>
          <w:rFonts w:eastAsia="Times New Roman" w:cs="Arial"/>
          <w:bCs/>
          <w:sz w:val="18"/>
          <w:szCs w:val="18"/>
        </w:rPr>
      </w:pPr>
      <w:r w:rsidRPr="009557C4">
        <w:rPr>
          <w:rFonts w:eastAsia="Times New Roman" w:cs="Arial"/>
          <w:bCs/>
          <w:sz w:val="18"/>
          <w:szCs w:val="18"/>
        </w:rPr>
        <w:t xml:space="preserve">U ukupnoj neto najvećoj izloženosti Grupe i Banke iznos kredita ostalim korisnicima od 1.498.400 tisuća kuna nije pokriven uobičajenim instrumentima osiguranja, ali se odnosi na potraživanja i primljena sredstva od Republike Hrvatske u iznosu od 628.961 tisuća kuna, jedinica lokalne i područne (regionalne) samouprave u iznosu od 395.629 tisuća kuna, državnih trgovačkih društava za čije obveze Republika Hrvatska odgovara solidarno i neograničeno u iznosu od 242.735 tisuća kuna te republičkih fondova  u iznosu od 1.198 tisuća kuna. Dodatno, iznos od 229.877 tisuća kuna odnosi se na potraživanja od trgovačkog društva u većinskom državnom vlasništvu (kontrolni utjecaj). </w:t>
      </w:r>
    </w:p>
    <w:p w14:paraId="591678B3" w14:textId="3376E6F8" w:rsidR="009557C4" w:rsidRPr="009557C4" w:rsidRDefault="009557C4" w:rsidP="009557C4">
      <w:pPr>
        <w:tabs>
          <w:tab w:val="left" w:pos="9180"/>
        </w:tabs>
        <w:spacing w:before="120" w:after="120" w:line="240" w:lineRule="auto"/>
        <w:ind w:left="-181" w:right="-289"/>
        <w:jc w:val="both"/>
        <w:rPr>
          <w:rFonts w:eastAsia="Times New Roman" w:cs="Arial"/>
          <w:sz w:val="18"/>
          <w:szCs w:val="18"/>
        </w:rPr>
      </w:pPr>
      <w:r w:rsidRPr="009557C4">
        <w:rPr>
          <w:rFonts w:eastAsia="Times New Roman" w:cs="Arial"/>
          <w:sz w:val="18"/>
          <w:szCs w:val="18"/>
        </w:rPr>
        <w:t>Iznos imovine raspoložive za prodaju i imovine do dospijeća nije pokriven uobičajenim instrumentima, ali se odnosi na obveznice Republike Hrvatske i trezorske zapise Ministarstva financija u iznosu od 2.399.224 tisuća kuna kod Grupe i 2</w:t>
      </w:r>
      <w:r>
        <w:rPr>
          <w:rFonts w:eastAsia="Times New Roman" w:cs="Arial"/>
          <w:sz w:val="18"/>
          <w:szCs w:val="18"/>
        </w:rPr>
        <w:t>.442.203 tisuća kuna kod Banke.</w:t>
      </w:r>
    </w:p>
    <w:p w14:paraId="6F8C5119" w14:textId="3371E9F0" w:rsidR="009557C4" w:rsidRPr="009557C4" w:rsidRDefault="009557C4" w:rsidP="009557C4">
      <w:pPr>
        <w:tabs>
          <w:tab w:val="left" w:pos="9180"/>
        </w:tabs>
        <w:spacing w:before="120" w:after="120" w:line="240" w:lineRule="auto"/>
        <w:ind w:left="-181" w:right="-289"/>
        <w:jc w:val="both"/>
        <w:rPr>
          <w:rFonts w:eastAsia="Times New Roman" w:cs="Arial"/>
          <w:sz w:val="18"/>
          <w:szCs w:val="18"/>
        </w:rPr>
      </w:pPr>
      <w:r w:rsidRPr="009557C4">
        <w:rPr>
          <w:rFonts w:eastAsia="Times New Roman" w:cs="Arial"/>
          <w:sz w:val="18"/>
          <w:szCs w:val="18"/>
        </w:rPr>
        <w:t>Ostala imovina u iznosu od 922 tisuća kuna nije pokrivena uobičajenim instrumentima osiguranja, ali se odnosi na potraživanja od Republike H</w:t>
      </w:r>
      <w:r>
        <w:rPr>
          <w:rFonts w:eastAsia="Times New Roman" w:cs="Arial"/>
          <w:sz w:val="18"/>
          <w:szCs w:val="18"/>
        </w:rPr>
        <w:t xml:space="preserve">rvatske i republičkih fondova. </w:t>
      </w:r>
    </w:p>
    <w:p w14:paraId="04EAF95D" w14:textId="3EAAC462" w:rsidR="003579C1" w:rsidRPr="00D72AC0" w:rsidRDefault="009557C4" w:rsidP="009557C4">
      <w:pPr>
        <w:tabs>
          <w:tab w:val="left" w:pos="9180"/>
        </w:tabs>
        <w:spacing w:before="120" w:after="120" w:line="240" w:lineRule="auto"/>
        <w:ind w:left="-181" w:right="-289"/>
        <w:jc w:val="both"/>
        <w:rPr>
          <w:rFonts w:eastAsia="Times New Roman" w:cs="Arial"/>
          <w:sz w:val="18"/>
          <w:szCs w:val="18"/>
        </w:rPr>
        <w:sectPr w:rsidR="003579C1" w:rsidRPr="00D72AC0" w:rsidSect="00D56049">
          <w:footerReference w:type="first" r:id="rId98"/>
          <w:pgSz w:w="11906" w:h="16838" w:code="9"/>
          <w:pgMar w:top="1418" w:right="1418" w:bottom="595" w:left="1134" w:header="709" w:footer="709" w:gutter="0"/>
          <w:cols w:space="708"/>
          <w:titlePg/>
          <w:docGrid w:linePitch="360"/>
        </w:sectPr>
      </w:pPr>
      <w:r w:rsidRPr="009557C4">
        <w:rPr>
          <w:rFonts w:eastAsia="Times New Roman" w:cs="Arial"/>
          <w:sz w:val="18"/>
          <w:szCs w:val="18"/>
        </w:rPr>
        <w:t>Iznos izdanih garancija u devizama od 237.245 tisuća kuna odnosi se na izdanu deviznu garanciju za koju je Republika Hrvatska preuzela obvezu namirenja. Predmetna garancija isknjižena je iz poslovnih knjiga HBOR-a nakon datuma izvještajnog razdoblja, dana 13. veljače 2017. godine, prestankom obveze isplate temeljem arbitražne odluke.</w:t>
      </w:r>
    </w:p>
    <w:p w14:paraId="456D29A5" w14:textId="77777777" w:rsidR="00BF7E5D" w:rsidRPr="000B60DD" w:rsidRDefault="00BF7E5D" w:rsidP="00BF7E5D">
      <w:pPr>
        <w:tabs>
          <w:tab w:val="left" w:pos="9180"/>
        </w:tabs>
        <w:spacing w:after="0" w:line="240" w:lineRule="auto"/>
        <w:ind w:left="-181" w:right="-289"/>
        <w:jc w:val="both"/>
        <w:rPr>
          <w:rFonts w:cs="Arial"/>
          <w:sz w:val="18"/>
          <w:szCs w:val="18"/>
        </w:rPr>
      </w:pPr>
    </w:p>
    <w:p w14:paraId="07E37603" w14:textId="77777777" w:rsidR="00BF7E5D" w:rsidRDefault="00BF7E5D" w:rsidP="00BF7E5D">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F7E5D">
        <w:rPr>
          <w:rFonts w:asciiTheme="minorHAnsi" w:hAnsiTheme="minorHAnsi" w:cs="Arial"/>
          <w:sz w:val="22"/>
          <w:szCs w:val="22"/>
          <w:lang w:val="hr-HR"/>
        </w:rPr>
        <w:t>.</w:t>
      </w:r>
      <w:r w:rsidRPr="00BF7E5D">
        <w:rPr>
          <w:rFonts w:asciiTheme="minorHAnsi" w:hAnsiTheme="minorHAnsi" w:cs="Arial"/>
          <w:sz w:val="22"/>
          <w:szCs w:val="22"/>
          <w:lang w:val="hr-HR"/>
        </w:rPr>
        <w:tab/>
        <w:t>Upravljanje rizicima (nastavak)</w:t>
      </w:r>
    </w:p>
    <w:p w14:paraId="3C33071D" w14:textId="77777777" w:rsidR="00BF7E5D" w:rsidRPr="00BF7E5D" w:rsidRDefault="00BF7E5D" w:rsidP="00BF7E5D">
      <w:pPr>
        <w:pStyle w:val="T1"/>
        <w:spacing w:before="0" w:after="0" w:line="240" w:lineRule="auto"/>
        <w:rPr>
          <w:rFonts w:asciiTheme="minorHAnsi" w:hAnsiTheme="minorHAnsi" w:cs="Arial"/>
          <w:sz w:val="22"/>
          <w:szCs w:val="22"/>
          <w:lang w:val="hr-HR"/>
        </w:rPr>
      </w:pPr>
    </w:p>
    <w:p w14:paraId="0CA4BBF4" w14:textId="77777777" w:rsidR="00BF7E5D" w:rsidRDefault="00BF7E5D" w:rsidP="00BF7E5D">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F7E5D">
        <w:rPr>
          <w:rFonts w:asciiTheme="minorHAnsi" w:hAnsiTheme="minorHAnsi" w:cs="Arial"/>
          <w:sz w:val="22"/>
          <w:szCs w:val="22"/>
          <w:lang w:val="hr-HR"/>
        </w:rPr>
        <w:t xml:space="preserve">.2. </w:t>
      </w:r>
      <w:r w:rsidRPr="00BF7E5D">
        <w:rPr>
          <w:rFonts w:asciiTheme="minorHAnsi" w:hAnsiTheme="minorHAnsi" w:cs="Arial"/>
          <w:sz w:val="22"/>
          <w:szCs w:val="22"/>
          <w:lang w:val="hr-HR"/>
        </w:rPr>
        <w:tab/>
        <w:t>Kreditni rizik (nastavak)</w:t>
      </w:r>
    </w:p>
    <w:p w14:paraId="26CB4002" w14:textId="77777777" w:rsidR="00BF7E5D" w:rsidRPr="00BF7E5D" w:rsidRDefault="00BF7E5D" w:rsidP="00BF7E5D">
      <w:pPr>
        <w:pStyle w:val="T1"/>
        <w:spacing w:before="0" w:after="0" w:line="240" w:lineRule="auto"/>
        <w:rPr>
          <w:rFonts w:asciiTheme="minorHAnsi" w:hAnsiTheme="minorHAnsi" w:cs="Arial"/>
          <w:sz w:val="22"/>
          <w:szCs w:val="22"/>
          <w:lang w:val="hr-HR"/>
        </w:rPr>
      </w:pPr>
    </w:p>
    <w:p w14:paraId="5E634153" w14:textId="77777777" w:rsidR="00BF7E5D" w:rsidRDefault="00BF7E5D" w:rsidP="00BF7E5D">
      <w:pPr>
        <w:pStyle w:val="T1"/>
        <w:spacing w:before="0" w:after="0" w:line="240" w:lineRule="auto"/>
        <w:rPr>
          <w:rFonts w:asciiTheme="minorHAnsi" w:hAnsiTheme="minorHAnsi" w:cs="Arial"/>
          <w:sz w:val="22"/>
          <w:szCs w:val="22"/>
          <w:lang w:val="hr-HR"/>
        </w:rPr>
      </w:pPr>
      <w:r w:rsidRPr="00BF7E5D">
        <w:rPr>
          <w:rFonts w:asciiTheme="minorHAnsi" w:hAnsiTheme="minorHAnsi" w:cs="Arial"/>
          <w:sz w:val="22"/>
          <w:szCs w:val="22"/>
          <w:lang w:val="hr-HR"/>
        </w:rPr>
        <w:t>Kvaliteta kreditnog rizika prema vrsti financijske imovine (nastavak)</w:t>
      </w:r>
    </w:p>
    <w:p w14:paraId="20CDFAA0" w14:textId="77777777" w:rsidR="00BF7E5D" w:rsidRPr="00BF7E5D" w:rsidRDefault="00BF7E5D" w:rsidP="00BF7E5D">
      <w:pPr>
        <w:pStyle w:val="T1"/>
        <w:spacing w:before="0" w:after="0" w:line="240" w:lineRule="auto"/>
        <w:rPr>
          <w:rFonts w:asciiTheme="minorHAnsi" w:hAnsiTheme="minorHAnsi" w:cs="Arial"/>
          <w:sz w:val="22"/>
          <w:szCs w:val="22"/>
          <w:lang w:val="hr-HR"/>
        </w:rPr>
      </w:pPr>
    </w:p>
    <w:p w14:paraId="19148E11" w14:textId="77777777" w:rsidR="00BF7E5D" w:rsidRDefault="00BF7E5D" w:rsidP="00BF7E5D">
      <w:pPr>
        <w:spacing w:after="0" w:line="240" w:lineRule="auto"/>
        <w:jc w:val="both"/>
        <w:rPr>
          <w:rFonts w:cs="Arial"/>
          <w:sz w:val="20"/>
          <w:szCs w:val="20"/>
        </w:rPr>
      </w:pPr>
      <w:r w:rsidRPr="00BF7E5D">
        <w:rPr>
          <w:rFonts w:cs="Arial"/>
          <w:sz w:val="20"/>
          <w:szCs w:val="20"/>
        </w:rPr>
        <w:t>Kvaliteta kreditnog rizika prema vrsti financijske imovine u bruto izloženosti na pozicijama imovine i garancija i preuzetih obveza prema rizičnim skupinama:</w:t>
      </w:r>
    </w:p>
    <w:p w14:paraId="449ACFA8" w14:textId="77777777" w:rsidR="009E59E7" w:rsidRPr="00BF7E5D" w:rsidRDefault="009E59E7" w:rsidP="00BF7E5D">
      <w:pPr>
        <w:spacing w:after="0" w:line="240" w:lineRule="auto"/>
        <w:jc w:val="both"/>
        <w:rPr>
          <w:rFonts w:cs="Arial"/>
          <w:sz w:val="20"/>
          <w:szCs w:val="20"/>
        </w:rPr>
      </w:pPr>
    </w:p>
    <w:tbl>
      <w:tblPr>
        <w:tblW w:w="5102" w:type="pct"/>
        <w:jc w:val="center"/>
        <w:tblLayout w:type="fixed"/>
        <w:tblLook w:val="0000" w:firstRow="0" w:lastRow="0" w:firstColumn="0" w:lastColumn="0" w:noHBand="0" w:noVBand="0"/>
      </w:tblPr>
      <w:tblGrid>
        <w:gridCol w:w="3401"/>
        <w:gridCol w:w="1701"/>
        <w:gridCol w:w="1560"/>
        <w:gridCol w:w="1560"/>
        <w:gridCol w:w="1323"/>
      </w:tblGrid>
      <w:tr w:rsidR="00F76218" w:rsidRPr="00BF7E5D" w14:paraId="1BC5389D" w14:textId="77777777" w:rsidTr="00312975">
        <w:trPr>
          <w:trHeight w:val="1457"/>
          <w:jc w:val="center"/>
        </w:trPr>
        <w:tc>
          <w:tcPr>
            <w:tcW w:w="1782" w:type="pct"/>
            <w:vAlign w:val="center"/>
          </w:tcPr>
          <w:p w14:paraId="021D43B1" w14:textId="77777777" w:rsidR="00BF7E5D" w:rsidRPr="00BF7E5D" w:rsidRDefault="00BF7E5D" w:rsidP="006A6DC8">
            <w:pPr>
              <w:spacing w:after="0" w:line="240" w:lineRule="auto"/>
              <w:rPr>
                <w:rFonts w:cs="Arial"/>
                <w:b/>
                <w:bCs/>
                <w:sz w:val="18"/>
                <w:szCs w:val="18"/>
              </w:rPr>
            </w:pPr>
            <w:r w:rsidRPr="00BF7E5D">
              <w:rPr>
                <w:rFonts w:cs="Arial"/>
                <w:b/>
                <w:bCs/>
                <w:sz w:val="18"/>
                <w:szCs w:val="18"/>
              </w:rPr>
              <w:br w:type="page"/>
              <w:t>Grupa</w:t>
            </w:r>
          </w:p>
          <w:p w14:paraId="37BA80BE" w14:textId="77777777" w:rsidR="00BF7E5D" w:rsidRPr="00BF7E5D" w:rsidRDefault="00BF7E5D" w:rsidP="00D235E1">
            <w:pPr>
              <w:spacing w:after="0" w:line="220" w:lineRule="exact"/>
              <w:rPr>
                <w:rFonts w:cs="Arial"/>
                <w:b/>
                <w:bCs/>
                <w:sz w:val="18"/>
                <w:szCs w:val="18"/>
              </w:rPr>
            </w:pPr>
          </w:p>
          <w:p w14:paraId="08E9CFA6" w14:textId="77777777" w:rsidR="00BF7E5D" w:rsidRPr="00BF7E5D" w:rsidRDefault="00BF7E5D" w:rsidP="00D235E1">
            <w:pPr>
              <w:spacing w:after="0" w:line="220" w:lineRule="exact"/>
              <w:rPr>
                <w:rFonts w:cs="Arial"/>
                <w:b/>
                <w:bCs/>
                <w:sz w:val="18"/>
                <w:szCs w:val="18"/>
              </w:rPr>
            </w:pPr>
          </w:p>
          <w:p w14:paraId="0CCFB686" w14:textId="77777777" w:rsidR="00BF7E5D" w:rsidRPr="00BF7E5D" w:rsidRDefault="00BF7E5D" w:rsidP="00D235E1">
            <w:pPr>
              <w:spacing w:after="0" w:line="220" w:lineRule="exact"/>
              <w:rPr>
                <w:rFonts w:cs="Arial"/>
                <w:b/>
                <w:bCs/>
                <w:sz w:val="18"/>
                <w:szCs w:val="18"/>
              </w:rPr>
            </w:pPr>
          </w:p>
          <w:p w14:paraId="1799F465" w14:textId="1A236400" w:rsidR="00BF7E5D" w:rsidRPr="00BF7E5D" w:rsidRDefault="0065404A">
            <w:pPr>
              <w:spacing w:after="0" w:line="220" w:lineRule="exact"/>
              <w:rPr>
                <w:rFonts w:cs="Arial"/>
                <w:sz w:val="18"/>
                <w:szCs w:val="18"/>
              </w:rPr>
            </w:pPr>
            <w:r>
              <w:rPr>
                <w:rFonts w:cs="Arial"/>
                <w:b/>
                <w:bCs/>
                <w:sz w:val="18"/>
                <w:szCs w:val="18"/>
              </w:rPr>
              <w:t>30</w:t>
            </w:r>
            <w:r w:rsidR="009557C4">
              <w:rPr>
                <w:rFonts w:cs="Arial"/>
                <w:b/>
                <w:bCs/>
                <w:sz w:val="18"/>
                <w:szCs w:val="18"/>
              </w:rPr>
              <w:t>.</w:t>
            </w:r>
            <w:r>
              <w:rPr>
                <w:rFonts w:cs="Arial"/>
                <w:b/>
                <w:bCs/>
                <w:sz w:val="18"/>
                <w:szCs w:val="18"/>
              </w:rPr>
              <w:t>6</w:t>
            </w:r>
            <w:r w:rsidR="009557C4">
              <w:rPr>
                <w:rFonts w:cs="Arial"/>
                <w:b/>
                <w:bCs/>
                <w:sz w:val="18"/>
                <w:szCs w:val="18"/>
              </w:rPr>
              <w:t>.2017.</w:t>
            </w:r>
            <w:r w:rsidR="00BF7E5D" w:rsidRPr="00BF7E5D">
              <w:rPr>
                <w:rFonts w:cs="Arial"/>
                <w:b/>
                <w:bCs/>
                <w:sz w:val="18"/>
                <w:szCs w:val="18"/>
              </w:rPr>
              <w:t xml:space="preserve"> </w:t>
            </w:r>
          </w:p>
        </w:tc>
        <w:tc>
          <w:tcPr>
            <w:tcW w:w="891" w:type="pct"/>
            <w:vAlign w:val="center"/>
          </w:tcPr>
          <w:p w14:paraId="084185A3" w14:textId="77777777" w:rsidR="00BF7E5D" w:rsidRPr="006B663E" w:rsidRDefault="00BF7E5D" w:rsidP="00D235E1">
            <w:pPr>
              <w:spacing w:after="0" w:line="220" w:lineRule="exact"/>
              <w:jc w:val="right"/>
              <w:rPr>
                <w:rFonts w:cs="Arial"/>
                <w:b/>
                <w:sz w:val="18"/>
                <w:szCs w:val="18"/>
              </w:rPr>
            </w:pPr>
            <w:r w:rsidRPr="006B663E">
              <w:rPr>
                <w:rFonts w:cs="Arial"/>
                <w:b/>
                <w:sz w:val="18"/>
                <w:szCs w:val="18"/>
              </w:rPr>
              <w:t>Bruto izloženost imovine koja nije umanjena niti dospjela nenaplaćena</w:t>
            </w:r>
          </w:p>
          <w:p w14:paraId="54B06181" w14:textId="77777777" w:rsidR="00BF7E5D" w:rsidRPr="006B663E" w:rsidRDefault="00BF7E5D" w:rsidP="00D235E1">
            <w:pPr>
              <w:spacing w:after="0" w:line="220" w:lineRule="exact"/>
              <w:jc w:val="right"/>
              <w:rPr>
                <w:rFonts w:cs="Arial"/>
                <w:b/>
                <w:sz w:val="18"/>
                <w:szCs w:val="18"/>
              </w:rPr>
            </w:pPr>
          </w:p>
        </w:tc>
        <w:tc>
          <w:tcPr>
            <w:tcW w:w="817" w:type="pct"/>
            <w:vAlign w:val="center"/>
          </w:tcPr>
          <w:p w14:paraId="0D9980E9" w14:textId="77777777" w:rsidR="00BF7E5D" w:rsidRPr="006B663E" w:rsidRDefault="00BF7E5D" w:rsidP="00D235E1">
            <w:pPr>
              <w:spacing w:after="0" w:line="220" w:lineRule="exact"/>
              <w:jc w:val="right"/>
              <w:rPr>
                <w:rFonts w:cs="Arial"/>
                <w:b/>
                <w:sz w:val="18"/>
                <w:szCs w:val="18"/>
              </w:rPr>
            </w:pPr>
            <w:r w:rsidRPr="006B663E">
              <w:rPr>
                <w:rFonts w:cs="Arial"/>
                <w:b/>
                <w:sz w:val="18"/>
                <w:szCs w:val="18"/>
              </w:rPr>
              <w:t>Bruto izloženost imovine koja je dospjela nenaplaćena i nije umanjena</w:t>
            </w:r>
          </w:p>
          <w:p w14:paraId="54F32576" w14:textId="77777777" w:rsidR="00BF7E5D" w:rsidRPr="006B663E" w:rsidRDefault="00BF7E5D" w:rsidP="00D235E1">
            <w:pPr>
              <w:spacing w:after="0" w:line="220" w:lineRule="exact"/>
              <w:jc w:val="right"/>
              <w:rPr>
                <w:rFonts w:cs="Arial"/>
                <w:b/>
                <w:sz w:val="18"/>
                <w:szCs w:val="18"/>
              </w:rPr>
            </w:pPr>
          </w:p>
        </w:tc>
        <w:tc>
          <w:tcPr>
            <w:tcW w:w="817" w:type="pct"/>
            <w:vAlign w:val="center"/>
          </w:tcPr>
          <w:p w14:paraId="0EF11043" w14:textId="77777777" w:rsidR="00BF7E5D" w:rsidRPr="006B663E" w:rsidRDefault="00BF7E5D" w:rsidP="00D235E1">
            <w:pPr>
              <w:spacing w:after="0" w:line="220" w:lineRule="exact"/>
              <w:jc w:val="right"/>
              <w:rPr>
                <w:rFonts w:cs="Arial"/>
                <w:b/>
                <w:sz w:val="18"/>
                <w:szCs w:val="18"/>
              </w:rPr>
            </w:pPr>
            <w:r w:rsidRPr="006B663E">
              <w:rPr>
                <w:rFonts w:cs="Arial"/>
                <w:b/>
                <w:sz w:val="18"/>
                <w:szCs w:val="18"/>
              </w:rPr>
              <w:t>Bruto izloženost imovine umanjene na pojedinačnoj osnovi</w:t>
            </w:r>
          </w:p>
          <w:p w14:paraId="51099F7F" w14:textId="77777777" w:rsidR="00BF7E5D" w:rsidRPr="006B663E" w:rsidRDefault="00BF7E5D" w:rsidP="00D235E1">
            <w:pPr>
              <w:spacing w:after="0" w:line="220" w:lineRule="exact"/>
              <w:jc w:val="right"/>
              <w:rPr>
                <w:rFonts w:cs="Arial"/>
                <w:b/>
                <w:sz w:val="18"/>
                <w:szCs w:val="18"/>
              </w:rPr>
            </w:pPr>
          </w:p>
        </w:tc>
        <w:tc>
          <w:tcPr>
            <w:tcW w:w="693" w:type="pct"/>
            <w:vAlign w:val="bottom"/>
          </w:tcPr>
          <w:p w14:paraId="7938BE13" w14:textId="77777777" w:rsidR="00BF7E5D" w:rsidRPr="006B663E" w:rsidRDefault="00BF7E5D" w:rsidP="00D235E1">
            <w:pPr>
              <w:spacing w:after="0" w:line="220" w:lineRule="exact"/>
              <w:jc w:val="right"/>
              <w:rPr>
                <w:rFonts w:cs="Arial"/>
                <w:b/>
                <w:sz w:val="18"/>
                <w:szCs w:val="18"/>
              </w:rPr>
            </w:pPr>
            <w:r w:rsidRPr="006B663E">
              <w:rPr>
                <w:rFonts w:cs="Arial"/>
                <w:b/>
                <w:sz w:val="18"/>
                <w:szCs w:val="18"/>
              </w:rPr>
              <w:t>Ukupno</w:t>
            </w:r>
          </w:p>
          <w:p w14:paraId="10E0D12C" w14:textId="77777777" w:rsidR="00BF7E5D" w:rsidRPr="006B663E" w:rsidRDefault="00BF7E5D" w:rsidP="00D235E1">
            <w:pPr>
              <w:spacing w:after="0" w:line="220" w:lineRule="exact"/>
              <w:jc w:val="right"/>
              <w:rPr>
                <w:rFonts w:cs="Arial"/>
                <w:b/>
                <w:sz w:val="18"/>
                <w:szCs w:val="18"/>
              </w:rPr>
            </w:pPr>
          </w:p>
        </w:tc>
      </w:tr>
      <w:tr w:rsidR="00F76218" w:rsidRPr="00BF7E5D" w14:paraId="76B93C47" w14:textId="77777777" w:rsidTr="00312975">
        <w:trPr>
          <w:trHeight w:val="272"/>
          <w:jc w:val="center"/>
        </w:trPr>
        <w:tc>
          <w:tcPr>
            <w:tcW w:w="1782" w:type="pct"/>
          </w:tcPr>
          <w:p w14:paraId="78199847" w14:textId="77777777" w:rsidR="00BF7E5D" w:rsidRPr="00BF7E5D" w:rsidRDefault="00BF7E5D" w:rsidP="00BF7E5D">
            <w:pPr>
              <w:pStyle w:val="TT"/>
              <w:spacing w:line="280" w:lineRule="exact"/>
              <w:rPr>
                <w:rFonts w:asciiTheme="minorHAnsi" w:hAnsiTheme="minorHAnsi" w:cs="Arial"/>
                <w:b/>
                <w:bCs/>
                <w:sz w:val="18"/>
                <w:szCs w:val="18"/>
                <w:lang w:val="hr-HR"/>
              </w:rPr>
            </w:pPr>
            <w:r w:rsidRPr="00BF7E5D">
              <w:rPr>
                <w:rFonts w:asciiTheme="minorHAnsi" w:hAnsiTheme="minorHAnsi" w:cs="Arial"/>
                <w:b/>
                <w:bCs/>
                <w:sz w:val="18"/>
                <w:szCs w:val="18"/>
                <w:lang w:val="hr-HR"/>
              </w:rPr>
              <w:t>Imovina</w:t>
            </w:r>
          </w:p>
        </w:tc>
        <w:tc>
          <w:tcPr>
            <w:tcW w:w="891" w:type="pct"/>
          </w:tcPr>
          <w:p w14:paraId="08F3D34F" w14:textId="77777777" w:rsidR="00BF7E5D" w:rsidRPr="006B663E" w:rsidRDefault="00BF7E5D" w:rsidP="00BF7E5D">
            <w:pPr>
              <w:pStyle w:val="TT"/>
              <w:spacing w:line="280" w:lineRule="exact"/>
              <w:rPr>
                <w:rFonts w:asciiTheme="minorHAnsi" w:hAnsiTheme="minorHAnsi" w:cs="Arial"/>
                <w:b/>
                <w:bCs/>
                <w:sz w:val="18"/>
                <w:szCs w:val="18"/>
                <w:lang w:val="hr-HR"/>
              </w:rPr>
            </w:pPr>
          </w:p>
        </w:tc>
        <w:tc>
          <w:tcPr>
            <w:tcW w:w="817" w:type="pct"/>
          </w:tcPr>
          <w:p w14:paraId="0CFE2664" w14:textId="77777777" w:rsidR="00BF7E5D" w:rsidRPr="006B663E" w:rsidRDefault="00BF7E5D" w:rsidP="00BF7E5D">
            <w:pPr>
              <w:pStyle w:val="TT"/>
              <w:spacing w:line="280" w:lineRule="exact"/>
              <w:rPr>
                <w:rFonts w:asciiTheme="minorHAnsi" w:hAnsiTheme="minorHAnsi" w:cs="Arial"/>
                <w:b/>
                <w:bCs/>
                <w:sz w:val="18"/>
                <w:szCs w:val="18"/>
                <w:lang w:val="hr-HR"/>
              </w:rPr>
            </w:pPr>
          </w:p>
        </w:tc>
        <w:tc>
          <w:tcPr>
            <w:tcW w:w="817" w:type="pct"/>
          </w:tcPr>
          <w:p w14:paraId="0D136FA5" w14:textId="77777777" w:rsidR="00BF7E5D" w:rsidRPr="006B663E" w:rsidRDefault="00BF7E5D" w:rsidP="00BF7E5D">
            <w:pPr>
              <w:pStyle w:val="TT"/>
              <w:spacing w:line="280" w:lineRule="exact"/>
              <w:rPr>
                <w:rFonts w:asciiTheme="minorHAnsi" w:hAnsiTheme="minorHAnsi" w:cs="Arial"/>
                <w:b/>
                <w:bCs/>
                <w:sz w:val="18"/>
                <w:szCs w:val="18"/>
                <w:lang w:val="hr-HR"/>
              </w:rPr>
            </w:pPr>
          </w:p>
        </w:tc>
        <w:tc>
          <w:tcPr>
            <w:tcW w:w="693" w:type="pct"/>
          </w:tcPr>
          <w:p w14:paraId="3DAED1F3" w14:textId="77777777" w:rsidR="00BF7E5D" w:rsidRPr="006B663E" w:rsidRDefault="00BF7E5D" w:rsidP="00BF7E5D">
            <w:pPr>
              <w:pStyle w:val="TT"/>
              <w:spacing w:line="280" w:lineRule="exact"/>
              <w:rPr>
                <w:rFonts w:asciiTheme="minorHAnsi" w:hAnsiTheme="minorHAnsi" w:cs="Arial"/>
                <w:b/>
                <w:bCs/>
                <w:sz w:val="18"/>
                <w:szCs w:val="18"/>
                <w:lang w:val="hr-HR"/>
              </w:rPr>
            </w:pPr>
          </w:p>
        </w:tc>
      </w:tr>
      <w:tr w:rsidR="00F76218" w:rsidRPr="00BF7E5D" w14:paraId="521BE28F" w14:textId="77777777" w:rsidTr="00312975">
        <w:trPr>
          <w:trHeight w:val="272"/>
          <w:jc w:val="center"/>
        </w:trPr>
        <w:tc>
          <w:tcPr>
            <w:tcW w:w="1782" w:type="pct"/>
          </w:tcPr>
          <w:p w14:paraId="3B4A6A4D" w14:textId="77777777" w:rsidR="00F76218" w:rsidRPr="00BF7E5D" w:rsidRDefault="00F76218" w:rsidP="00F76218">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Novčana sredstva i računi kod banaka</w:t>
            </w:r>
          </w:p>
        </w:tc>
        <w:tc>
          <w:tcPr>
            <w:tcW w:w="891" w:type="pct"/>
            <w:tcBorders>
              <w:top w:val="nil"/>
              <w:left w:val="nil"/>
              <w:bottom w:val="nil"/>
              <w:right w:val="nil"/>
            </w:tcBorders>
            <w:shd w:val="clear" w:color="auto" w:fill="auto"/>
            <w:vAlign w:val="center"/>
          </w:tcPr>
          <w:p w14:paraId="30DCE537" w14:textId="5AC00D52" w:rsidR="00F76218" w:rsidRPr="00312975"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1.681.276</w:t>
            </w:r>
          </w:p>
        </w:tc>
        <w:tc>
          <w:tcPr>
            <w:tcW w:w="817" w:type="pct"/>
            <w:tcBorders>
              <w:top w:val="nil"/>
              <w:left w:val="nil"/>
              <w:bottom w:val="nil"/>
              <w:right w:val="nil"/>
            </w:tcBorders>
            <w:shd w:val="clear" w:color="auto" w:fill="auto"/>
            <w:vAlign w:val="center"/>
          </w:tcPr>
          <w:p w14:paraId="25522F45" w14:textId="14CBDAE8"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817" w:type="pct"/>
            <w:tcBorders>
              <w:top w:val="nil"/>
              <w:left w:val="nil"/>
              <w:bottom w:val="nil"/>
              <w:right w:val="nil"/>
            </w:tcBorders>
            <w:shd w:val="clear" w:color="auto" w:fill="auto"/>
            <w:vAlign w:val="center"/>
          </w:tcPr>
          <w:p w14:paraId="5CEC3E0F" w14:textId="6B99C122"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693" w:type="pct"/>
            <w:tcBorders>
              <w:top w:val="nil"/>
              <w:left w:val="nil"/>
              <w:bottom w:val="nil"/>
              <w:right w:val="nil"/>
            </w:tcBorders>
            <w:shd w:val="clear" w:color="auto" w:fill="auto"/>
            <w:vAlign w:val="center"/>
          </w:tcPr>
          <w:p w14:paraId="6E15B70A" w14:textId="049320CD"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1.681.276</w:t>
            </w:r>
          </w:p>
        </w:tc>
      </w:tr>
      <w:tr w:rsidR="00F76218" w:rsidRPr="00BF7E5D" w14:paraId="47AD7802" w14:textId="77777777" w:rsidTr="00312975">
        <w:trPr>
          <w:trHeight w:val="272"/>
          <w:jc w:val="center"/>
        </w:trPr>
        <w:tc>
          <w:tcPr>
            <w:tcW w:w="1782" w:type="pct"/>
          </w:tcPr>
          <w:p w14:paraId="12CF5F65" w14:textId="77777777" w:rsidR="00F76218" w:rsidRPr="00BF7E5D" w:rsidRDefault="00F76218" w:rsidP="00F76218">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Depoziti kod drugih banaka</w:t>
            </w:r>
          </w:p>
        </w:tc>
        <w:tc>
          <w:tcPr>
            <w:tcW w:w="891" w:type="pct"/>
            <w:tcBorders>
              <w:top w:val="nil"/>
              <w:left w:val="nil"/>
              <w:bottom w:val="nil"/>
              <w:right w:val="nil"/>
            </w:tcBorders>
            <w:shd w:val="clear" w:color="auto" w:fill="auto"/>
            <w:vAlign w:val="center"/>
          </w:tcPr>
          <w:p w14:paraId="388B5832" w14:textId="1B5E1E3C" w:rsidR="00F76218" w:rsidRPr="00312975"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1.548</w:t>
            </w:r>
          </w:p>
        </w:tc>
        <w:tc>
          <w:tcPr>
            <w:tcW w:w="817" w:type="pct"/>
            <w:tcBorders>
              <w:top w:val="nil"/>
              <w:left w:val="nil"/>
              <w:bottom w:val="nil"/>
              <w:right w:val="nil"/>
            </w:tcBorders>
            <w:shd w:val="clear" w:color="auto" w:fill="auto"/>
            <w:vAlign w:val="center"/>
          </w:tcPr>
          <w:p w14:paraId="54C339F9" w14:textId="04BA9B66"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817" w:type="pct"/>
            <w:tcBorders>
              <w:top w:val="nil"/>
              <w:left w:val="nil"/>
              <w:bottom w:val="nil"/>
              <w:right w:val="nil"/>
            </w:tcBorders>
            <w:shd w:val="clear" w:color="auto" w:fill="auto"/>
            <w:vAlign w:val="center"/>
          </w:tcPr>
          <w:p w14:paraId="6093EE0E" w14:textId="05E842FE"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693" w:type="pct"/>
            <w:tcBorders>
              <w:top w:val="nil"/>
              <w:left w:val="nil"/>
              <w:bottom w:val="nil"/>
              <w:right w:val="nil"/>
            </w:tcBorders>
            <w:shd w:val="clear" w:color="auto" w:fill="auto"/>
            <w:vAlign w:val="center"/>
          </w:tcPr>
          <w:p w14:paraId="26207ECE" w14:textId="3A5EC0D2"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1.548</w:t>
            </w:r>
          </w:p>
        </w:tc>
      </w:tr>
      <w:tr w:rsidR="00F76218" w:rsidRPr="00BF7E5D" w14:paraId="045B2966" w14:textId="77777777" w:rsidTr="00312975">
        <w:trPr>
          <w:trHeight w:val="272"/>
          <w:jc w:val="center"/>
        </w:trPr>
        <w:tc>
          <w:tcPr>
            <w:tcW w:w="1782" w:type="pct"/>
          </w:tcPr>
          <w:p w14:paraId="64E1B007" w14:textId="77777777" w:rsidR="00F76218" w:rsidRPr="00BF7E5D" w:rsidRDefault="00F76218" w:rsidP="00F76218">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 xml:space="preserve">Krediti </w:t>
            </w:r>
            <w:r w:rsidRPr="007B0382">
              <w:rPr>
                <w:rFonts w:asciiTheme="minorHAnsi" w:hAnsiTheme="minorHAnsi" w:cs="Arial"/>
                <w:sz w:val="18"/>
                <w:szCs w:val="18"/>
                <w:lang w:val="hr-HR"/>
              </w:rPr>
              <w:t>financijskim institucijama</w:t>
            </w:r>
          </w:p>
        </w:tc>
        <w:tc>
          <w:tcPr>
            <w:tcW w:w="891" w:type="pct"/>
            <w:tcBorders>
              <w:top w:val="nil"/>
              <w:left w:val="nil"/>
              <w:bottom w:val="nil"/>
              <w:right w:val="nil"/>
            </w:tcBorders>
            <w:shd w:val="clear" w:color="auto" w:fill="auto"/>
            <w:vAlign w:val="center"/>
          </w:tcPr>
          <w:p w14:paraId="412AEB70" w14:textId="60181B1E" w:rsidR="00F76218" w:rsidRPr="00312975"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10.878.640</w:t>
            </w:r>
          </w:p>
        </w:tc>
        <w:tc>
          <w:tcPr>
            <w:tcW w:w="817" w:type="pct"/>
            <w:tcBorders>
              <w:top w:val="nil"/>
              <w:left w:val="nil"/>
              <w:bottom w:val="nil"/>
              <w:right w:val="nil"/>
            </w:tcBorders>
            <w:shd w:val="clear" w:color="auto" w:fill="auto"/>
            <w:vAlign w:val="center"/>
          </w:tcPr>
          <w:p w14:paraId="2696FAEF" w14:textId="17D53E25"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104.788</w:t>
            </w:r>
          </w:p>
        </w:tc>
        <w:tc>
          <w:tcPr>
            <w:tcW w:w="817" w:type="pct"/>
            <w:tcBorders>
              <w:top w:val="nil"/>
              <w:left w:val="nil"/>
              <w:bottom w:val="nil"/>
              <w:right w:val="nil"/>
            </w:tcBorders>
            <w:shd w:val="clear" w:color="auto" w:fill="auto"/>
            <w:vAlign w:val="center"/>
          </w:tcPr>
          <w:p w14:paraId="09257519" w14:textId="6ABDC8A9"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330.074</w:t>
            </w:r>
          </w:p>
        </w:tc>
        <w:tc>
          <w:tcPr>
            <w:tcW w:w="693" w:type="pct"/>
            <w:tcBorders>
              <w:top w:val="nil"/>
              <w:left w:val="nil"/>
              <w:bottom w:val="nil"/>
              <w:right w:val="nil"/>
            </w:tcBorders>
            <w:shd w:val="clear" w:color="auto" w:fill="auto"/>
            <w:vAlign w:val="center"/>
          </w:tcPr>
          <w:p w14:paraId="7D0A047D" w14:textId="0DC7F694"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11.313.502</w:t>
            </w:r>
          </w:p>
        </w:tc>
      </w:tr>
      <w:tr w:rsidR="00F76218" w:rsidRPr="00BF7E5D" w14:paraId="2040F1C3" w14:textId="77777777" w:rsidTr="00312975">
        <w:trPr>
          <w:trHeight w:val="272"/>
          <w:jc w:val="center"/>
        </w:trPr>
        <w:tc>
          <w:tcPr>
            <w:tcW w:w="1782" w:type="pct"/>
          </w:tcPr>
          <w:p w14:paraId="384FD671" w14:textId="77777777" w:rsidR="00F76218" w:rsidRPr="00BF7E5D" w:rsidRDefault="00F76218" w:rsidP="00F76218">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Krediti ostalim korisnicima</w:t>
            </w:r>
          </w:p>
        </w:tc>
        <w:tc>
          <w:tcPr>
            <w:tcW w:w="891" w:type="pct"/>
            <w:tcBorders>
              <w:top w:val="nil"/>
              <w:left w:val="nil"/>
              <w:bottom w:val="nil"/>
              <w:right w:val="nil"/>
            </w:tcBorders>
            <w:shd w:val="clear" w:color="auto" w:fill="auto"/>
            <w:vAlign w:val="center"/>
          </w:tcPr>
          <w:p w14:paraId="69E28337" w14:textId="4B4B56EB" w:rsidR="00F76218" w:rsidRPr="00312975"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10.023.453</w:t>
            </w:r>
          </w:p>
        </w:tc>
        <w:tc>
          <w:tcPr>
            <w:tcW w:w="817" w:type="pct"/>
            <w:tcBorders>
              <w:top w:val="nil"/>
              <w:left w:val="nil"/>
              <w:bottom w:val="nil"/>
              <w:right w:val="nil"/>
            </w:tcBorders>
            <w:shd w:val="clear" w:color="auto" w:fill="auto"/>
            <w:vAlign w:val="center"/>
          </w:tcPr>
          <w:p w14:paraId="31D0D0D7" w14:textId="24525655"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205.028</w:t>
            </w:r>
          </w:p>
        </w:tc>
        <w:tc>
          <w:tcPr>
            <w:tcW w:w="817" w:type="pct"/>
            <w:tcBorders>
              <w:top w:val="nil"/>
              <w:left w:val="nil"/>
              <w:bottom w:val="nil"/>
              <w:right w:val="nil"/>
            </w:tcBorders>
            <w:shd w:val="clear" w:color="auto" w:fill="auto"/>
            <w:vAlign w:val="center"/>
          </w:tcPr>
          <w:p w14:paraId="32E88540" w14:textId="05C6B002"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1.418.633</w:t>
            </w:r>
          </w:p>
        </w:tc>
        <w:tc>
          <w:tcPr>
            <w:tcW w:w="693" w:type="pct"/>
            <w:tcBorders>
              <w:top w:val="nil"/>
              <w:left w:val="nil"/>
              <w:bottom w:val="nil"/>
              <w:right w:val="nil"/>
            </w:tcBorders>
            <w:shd w:val="clear" w:color="auto" w:fill="auto"/>
            <w:vAlign w:val="center"/>
          </w:tcPr>
          <w:p w14:paraId="1D4CA41F" w14:textId="325AE7E3"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11.647.114</w:t>
            </w:r>
          </w:p>
        </w:tc>
      </w:tr>
      <w:tr w:rsidR="00F76218" w:rsidRPr="00BF7E5D" w14:paraId="63230120" w14:textId="77777777" w:rsidTr="00312975">
        <w:trPr>
          <w:trHeight w:val="546"/>
          <w:jc w:val="center"/>
        </w:trPr>
        <w:tc>
          <w:tcPr>
            <w:tcW w:w="1782" w:type="pct"/>
          </w:tcPr>
          <w:p w14:paraId="768777AA" w14:textId="77777777" w:rsidR="00F76218" w:rsidRPr="00BF7E5D" w:rsidRDefault="00F76218" w:rsidP="00F76218">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Financijska imovina po fer vrijednosti kroz izvještaj o dobiti i gubitku</w:t>
            </w:r>
          </w:p>
        </w:tc>
        <w:tc>
          <w:tcPr>
            <w:tcW w:w="891" w:type="pct"/>
            <w:tcBorders>
              <w:top w:val="nil"/>
              <w:left w:val="nil"/>
              <w:bottom w:val="nil"/>
              <w:right w:val="nil"/>
            </w:tcBorders>
            <w:shd w:val="clear" w:color="auto" w:fill="auto"/>
            <w:vAlign w:val="center"/>
          </w:tcPr>
          <w:p w14:paraId="4606ACF1" w14:textId="647EBAEA" w:rsidR="00F76218" w:rsidRPr="00312975"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284</w:t>
            </w:r>
          </w:p>
        </w:tc>
        <w:tc>
          <w:tcPr>
            <w:tcW w:w="817" w:type="pct"/>
            <w:tcBorders>
              <w:top w:val="nil"/>
              <w:left w:val="nil"/>
              <w:bottom w:val="nil"/>
              <w:right w:val="nil"/>
            </w:tcBorders>
            <w:shd w:val="clear" w:color="auto" w:fill="auto"/>
            <w:vAlign w:val="center"/>
          </w:tcPr>
          <w:p w14:paraId="092580E1" w14:textId="6CD59FD6"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817" w:type="pct"/>
            <w:tcBorders>
              <w:top w:val="nil"/>
              <w:left w:val="nil"/>
              <w:bottom w:val="nil"/>
              <w:right w:val="nil"/>
            </w:tcBorders>
            <w:shd w:val="clear" w:color="auto" w:fill="auto"/>
            <w:vAlign w:val="center"/>
          </w:tcPr>
          <w:p w14:paraId="7ECDFDB8" w14:textId="5A61C61B"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693" w:type="pct"/>
            <w:tcBorders>
              <w:top w:val="nil"/>
              <w:left w:val="nil"/>
              <w:bottom w:val="nil"/>
              <w:right w:val="nil"/>
            </w:tcBorders>
            <w:shd w:val="clear" w:color="auto" w:fill="auto"/>
            <w:vAlign w:val="center"/>
          </w:tcPr>
          <w:p w14:paraId="3F8B6EB6" w14:textId="73F9F344"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284</w:t>
            </w:r>
          </w:p>
        </w:tc>
      </w:tr>
      <w:tr w:rsidR="00F76218" w:rsidRPr="00BF7E5D" w14:paraId="34646604" w14:textId="77777777" w:rsidTr="00312975">
        <w:trPr>
          <w:trHeight w:val="189"/>
          <w:jc w:val="center"/>
        </w:trPr>
        <w:tc>
          <w:tcPr>
            <w:tcW w:w="1782" w:type="pct"/>
            <w:vAlign w:val="bottom"/>
          </w:tcPr>
          <w:p w14:paraId="50EF0DA1" w14:textId="77777777" w:rsidR="00F76218" w:rsidRPr="00BF7E5D" w:rsidRDefault="00F76218" w:rsidP="00F76218">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Imovina raspoloživa za prodaju</w:t>
            </w:r>
          </w:p>
        </w:tc>
        <w:tc>
          <w:tcPr>
            <w:tcW w:w="891" w:type="pct"/>
            <w:tcBorders>
              <w:top w:val="nil"/>
              <w:left w:val="nil"/>
              <w:bottom w:val="nil"/>
              <w:right w:val="nil"/>
            </w:tcBorders>
            <w:shd w:val="clear" w:color="auto" w:fill="auto"/>
            <w:vAlign w:val="center"/>
          </w:tcPr>
          <w:p w14:paraId="7DEAADA1" w14:textId="56F66266" w:rsidR="00F76218" w:rsidRPr="00312975"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3.060.953</w:t>
            </w:r>
          </w:p>
        </w:tc>
        <w:tc>
          <w:tcPr>
            <w:tcW w:w="817" w:type="pct"/>
            <w:tcBorders>
              <w:top w:val="nil"/>
              <w:left w:val="nil"/>
              <w:bottom w:val="nil"/>
              <w:right w:val="nil"/>
            </w:tcBorders>
            <w:shd w:val="clear" w:color="auto" w:fill="auto"/>
            <w:vAlign w:val="center"/>
          </w:tcPr>
          <w:p w14:paraId="2F13F905" w14:textId="4529D612"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817" w:type="pct"/>
            <w:tcBorders>
              <w:top w:val="nil"/>
              <w:left w:val="nil"/>
              <w:bottom w:val="nil"/>
              <w:right w:val="nil"/>
            </w:tcBorders>
            <w:shd w:val="clear" w:color="auto" w:fill="auto"/>
            <w:vAlign w:val="center"/>
          </w:tcPr>
          <w:p w14:paraId="2C44EE4A" w14:textId="71064368"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693" w:type="pct"/>
            <w:tcBorders>
              <w:top w:val="nil"/>
              <w:left w:val="nil"/>
              <w:bottom w:val="nil"/>
              <w:right w:val="nil"/>
            </w:tcBorders>
            <w:shd w:val="clear" w:color="auto" w:fill="auto"/>
            <w:vAlign w:val="center"/>
          </w:tcPr>
          <w:p w14:paraId="6B764C92" w14:textId="1854E8F1"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3.060.953</w:t>
            </w:r>
          </w:p>
        </w:tc>
      </w:tr>
      <w:tr w:rsidR="00F76218" w:rsidRPr="00BF7E5D" w14:paraId="25E6F611" w14:textId="77777777" w:rsidTr="00312975">
        <w:trPr>
          <w:trHeight w:val="272"/>
          <w:jc w:val="center"/>
        </w:trPr>
        <w:tc>
          <w:tcPr>
            <w:tcW w:w="1782" w:type="pct"/>
          </w:tcPr>
          <w:p w14:paraId="0AAA6D5D" w14:textId="77777777" w:rsidR="00F76218" w:rsidRPr="00BF7E5D" w:rsidRDefault="00F76218" w:rsidP="00F76218">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Imovina koja se drži do dospijeća</w:t>
            </w:r>
          </w:p>
        </w:tc>
        <w:tc>
          <w:tcPr>
            <w:tcW w:w="891" w:type="pct"/>
            <w:tcBorders>
              <w:top w:val="nil"/>
              <w:left w:val="nil"/>
              <w:bottom w:val="nil"/>
              <w:right w:val="nil"/>
            </w:tcBorders>
            <w:shd w:val="clear" w:color="auto" w:fill="auto"/>
            <w:vAlign w:val="center"/>
          </w:tcPr>
          <w:p w14:paraId="47324E52" w14:textId="0C791848" w:rsidR="00F76218" w:rsidRPr="00312975"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1.390</w:t>
            </w:r>
          </w:p>
        </w:tc>
        <w:tc>
          <w:tcPr>
            <w:tcW w:w="817" w:type="pct"/>
            <w:tcBorders>
              <w:top w:val="nil"/>
              <w:left w:val="nil"/>
              <w:bottom w:val="nil"/>
              <w:right w:val="nil"/>
            </w:tcBorders>
            <w:shd w:val="clear" w:color="auto" w:fill="auto"/>
            <w:vAlign w:val="center"/>
          </w:tcPr>
          <w:p w14:paraId="6FF368D7" w14:textId="1CA53483" w:rsidR="00F76218" w:rsidRPr="00312975"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817" w:type="pct"/>
            <w:tcBorders>
              <w:top w:val="nil"/>
              <w:left w:val="nil"/>
              <w:bottom w:val="nil"/>
              <w:right w:val="nil"/>
            </w:tcBorders>
            <w:shd w:val="clear" w:color="auto" w:fill="auto"/>
            <w:vAlign w:val="center"/>
          </w:tcPr>
          <w:p w14:paraId="680A0421" w14:textId="08DC3B78" w:rsidR="00F76218" w:rsidRPr="00312975"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693" w:type="pct"/>
            <w:tcBorders>
              <w:top w:val="nil"/>
              <w:left w:val="nil"/>
              <w:bottom w:val="nil"/>
              <w:right w:val="nil"/>
            </w:tcBorders>
            <w:shd w:val="clear" w:color="auto" w:fill="auto"/>
            <w:vAlign w:val="center"/>
          </w:tcPr>
          <w:p w14:paraId="634D41EC" w14:textId="03E20EB7" w:rsidR="00F76218" w:rsidRPr="00312975"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1.390</w:t>
            </w:r>
          </w:p>
        </w:tc>
      </w:tr>
      <w:tr w:rsidR="00F76218" w:rsidRPr="00BF7E5D" w14:paraId="69AFBFA4" w14:textId="77777777" w:rsidTr="00312975">
        <w:trPr>
          <w:trHeight w:val="262"/>
          <w:jc w:val="center"/>
        </w:trPr>
        <w:tc>
          <w:tcPr>
            <w:tcW w:w="1782" w:type="pct"/>
            <w:vAlign w:val="center"/>
          </w:tcPr>
          <w:p w14:paraId="287AC344" w14:textId="77777777" w:rsidR="00F76218" w:rsidRPr="00BF7E5D" w:rsidRDefault="00F76218" w:rsidP="00F76218">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Ostala imovina</w:t>
            </w:r>
          </w:p>
        </w:tc>
        <w:tc>
          <w:tcPr>
            <w:tcW w:w="891" w:type="pct"/>
            <w:tcBorders>
              <w:top w:val="nil"/>
              <w:left w:val="nil"/>
              <w:bottom w:val="single" w:sz="8" w:space="0" w:color="auto"/>
              <w:right w:val="nil"/>
            </w:tcBorders>
            <w:shd w:val="clear" w:color="auto" w:fill="auto"/>
            <w:vAlign w:val="center"/>
          </w:tcPr>
          <w:p w14:paraId="08A1E06C" w14:textId="125B24BA" w:rsidR="00F76218" w:rsidRPr="00312975"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2.805</w:t>
            </w:r>
          </w:p>
        </w:tc>
        <w:tc>
          <w:tcPr>
            <w:tcW w:w="817" w:type="pct"/>
            <w:tcBorders>
              <w:top w:val="nil"/>
              <w:left w:val="nil"/>
              <w:bottom w:val="single" w:sz="8" w:space="0" w:color="auto"/>
              <w:right w:val="nil"/>
            </w:tcBorders>
            <w:shd w:val="clear" w:color="auto" w:fill="auto"/>
            <w:vAlign w:val="center"/>
          </w:tcPr>
          <w:p w14:paraId="452B451C" w14:textId="4D9CA76C"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817</w:t>
            </w:r>
          </w:p>
        </w:tc>
        <w:tc>
          <w:tcPr>
            <w:tcW w:w="817" w:type="pct"/>
            <w:tcBorders>
              <w:top w:val="nil"/>
              <w:left w:val="nil"/>
              <w:bottom w:val="single" w:sz="8" w:space="0" w:color="auto"/>
              <w:right w:val="nil"/>
            </w:tcBorders>
            <w:shd w:val="clear" w:color="auto" w:fill="auto"/>
            <w:vAlign w:val="center"/>
          </w:tcPr>
          <w:p w14:paraId="28070DA7" w14:textId="0DCFA863"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1.379</w:t>
            </w:r>
          </w:p>
        </w:tc>
        <w:tc>
          <w:tcPr>
            <w:tcW w:w="693" w:type="pct"/>
            <w:tcBorders>
              <w:top w:val="nil"/>
              <w:left w:val="nil"/>
              <w:bottom w:val="single" w:sz="8" w:space="0" w:color="auto"/>
              <w:right w:val="nil"/>
            </w:tcBorders>
            <w:shd w:val="clear" w:color="auto" w:fill="auto"/>
            <w:vAlign w:val="center"/>
          </w:tcPr>
          <w:p w14:paraId="31A38846" w14:textId="727BA2BF"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5.001</w:t>
            </w:r>
          </w:p>
        </w:tc>
      </w:tr>
      <w:tr w:rsidR="00F76218" w:rsidRPr="00BF7E5D" w14:paraId="0BA586C2" w14:textId="77777777" w:rsidTr="00312975">
        <w:trPr>
          <w:trHeight w:val="289"/>
          <w:jc w:val="center"/>
        </w:trPr>
        <w:tc>
          <w:tcPr>
            <w:tcW w:w="1782" w:type="pct"/>
            <w:vAlign w:val="bottom"/>
          </w:tcPr>
          <w:p w14:paraId="1657EB18" w14:textId="77777777" w:rsidR="00F76218" w:rsidRPr="00BF7E5D" w:rsidRDefault="00F76218" w:rsidP="00F76218">
            <w:pPr>
              <w:pStyle w:val="Tot"/>
              <w:spacing w:line="280" w:lineRule="exact"/>
              <w:rPr>
                <w:rFonts w:asciiTheme="minorHAnsi" w:hAnsiTheme="minorHAnsi" w:cs="Arial"/>
                <w:b/>
                <w:bCs/>
                <w:sz w:val="18"/>
                <w:szCs w:val="18"/>
                <w:lang w:val="hr-HR"/>
              </w:rPr>
            </w:pPr>
            <w:r w:rsidRPr="00BF7E5D">
              <w:rPr>
                <w:rFonts w:asciiTheme="minorHAnsi" w:hAnsiTheme="minorHAnsi" w:cs="Arial"/>
                <w:b/>
                <w:bCs/>
                <w:sz w:val="18"/>
                <w:szCs w:val="18"/>
                <w:lang w:val="hr-HR"/>
              </w:rPr>
              <w:t>Ukupno</w:t>
            </w:r>
          </w:p>
        </w:tc>
        <w:tc>
          <w:tcPr>
            <w:tcW w:w="891" w:type="pct"/>
            <w:tcBorders>
              <w:top w:val="nil"/>
              <w:left w:val="nil"/>
              <w:bottom w:val="single" w:sz="12" w:space="0" w:color="auto"/>
              <w:right w:val="nil"/>
            </w:tcBorders>
            <w:shd w:val="clear" w:color="auto" w:fill="auto"/>
            <w:vAlign w:val="bottom"/>
          </w:tcPr>
          <w:p w14:paraId="45E2BC81" w14:textId="0C1F6FDA" w:rsidR="00F76218" w:rsidRPr="00312975" w:rsidRDefault="00F76218" w:rsidP="00F76218">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25.650.349</w:t>
            </w:r>
          </w:p>
        </w:tc>
        <w:tc>
          <w:tcPr>
            <w:tcW w:w="817" w:type="pct"/>
            <w:tcBorders>
              <w:top w:val="nil"/>
              <w:left w:val="nil"/>
              <w:bottom w:val="single" w:sz="12" w:space="0" w:color="auto"/>
              <w:right w:val="nil"/>
            </w:tcBorders>
            <w:shd w:val="clear" w:color="auto" w:fill="auto"/>
            <w:vAlign w:val="bottom"/>
          </w:tcPr>
          <w:p w14:paraId="266670F7" w14:textId="2D12B86B" w:rsidR="00F76218" w:rsidRPr="00F76218" w:rsidRDefault="00F76218" w:rsidP="00F76218">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310.633</w:t>
            </w:r>
          </w:p>
        </w:tc>
        <w:tc>
          <w:tcPr>
            <w:tcW w:w="817" w:type="pct"/>
            <w:tcBorders>
              <w:top w:val="nil"/>
              <w:left w:val="nil"/>
              <w:bottom w:val="single" w:sz="12" w:space="0" w:color="auto"/>
              <w:right w:val="nil"/>
            </w:tcBorders>
            <w:shd w:val="clear" w:color="auto" w:fill="auto"/>
            <w:vAlign w:val="bottom"/>
          </w:tcPr>
          <w:p w14:paraId="43086DE0" w14:textId="42399984" w:rsidR="00F76218" w:rsidRPr="00F76218" w:rsidRDefault="00F76218" w:rsidP="00F76218">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1.750.086</w:t>
            </w:r>
          </w:p>
        </w:tc>
        <w:tc>
          <w:tcPr>
            <w:tcW w:w="693" w:type="pct"/>
            <w:tcBorders>
              <w:top w:val="nil"/>
              <w:left w:val="nil"/>
              <w:bottom w:val="single" w:sz="12" w:space="0" w:color="auto"/>
              <w:right w:val="nil"/>
            </w:tcBorders>
            <w:shd w:val="clear" w:color="auto" w:fill="auto"/>
            <w:vAlign w:val="bottom"/>
          </w:tcPr>
          <w:p w14:paraId="356C026B" w14:textId="36C34315" w:rsidR="00F76218" w:rsidRPr="00F76218" w:rsidRDefault="00F76218" w:rsidP="00F76218">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27.711.068</w:t>
            </w:r>
          </w:p>
        </w:tc>
      </w:tr>
      <w:tr w:rsidR="00F76218" w:rsidRPr="00BF7E5D" w14:paraId="7593C10F" w14:textId="77777777" w:rsidTr="00312975">
        <w:trPr>
          <w:trHeight w:val="387"/>
          <w:jc w:val="center"/>
        </w:trPr>
        <w:tc>
          <w:tcPr>
            <w:tcW w:w="1782" w:type="pct"/>
            <w:vAlign w:val="bottom"/>
          </w:tcPr>
          <w:p w14:paraId="682F89AE" w14:textId="77777777" w:rsidR="00F76218" w:rsidRPr="00BF7E5D" w:rsidRDefault="00F76218" w:rsidP="00F76218">
            <w:pPr>
              <w:pStyle w:val="TT"/>
              <w:spacing w:line="280" w:lineRule="exact"/>
              <w:rPr>
                <w:rFonts w:asciiTheme="minorHAnsi" w:hAnsiTheme="minorHAnsi" w:cs="Arial"/>
                <w:b/>
                <w:bCs/>
                <w:sz w:val="18"/>
                <w:szCs w:val="18"/>
                <w:lang w:val="hr-HR"/>
              </w:rPr>
            </w:pPr>
            <w:r w:rsidRPr="00BF7E5D">
              <w:rPr>
                <w:rFonts w:asciiTheme="minorHAnsi" w:hAnsiTheme="minorHAnsi" w:cs="Arial"/>
                <w:b/>
                <w:bCs/>
                <w:sz w:val="18"/>
                <w:szCs w:val="18"/>
                <w:lang w:val="hr-HR"/>
              </w:rPr>
              <w:t>Garancije i preuzete obveze</w:t>
            </w:r>
          </w:p>
        </w:tc>
        <w:tc>
          <w:tcPr>
            <w:tcW w:w="891" w:type="pct"/>
            <w:tcBorders>
              <w:top w:val="single" w:sz="12" w:space="0" w:color="auto"/>
            </w:tcBorders>
            <w:shd w:val="clear" w:color="auto" w:fill="auto"/>
            <w:vAlign w:val="bottom"/>
          </w:tcPr>
          <w:p w14:paraId="02C1C3D0" w14:textId="77777777" w:rsidR="00F76218" w:rsidRPr="000E5941" w:rsidRDefault="00F76218" w:rsidP="00F76218">
            <w:pPr>
              <w:spacing w:after="0" w:line="240" w:lineRule="auto"/>
              <w:jc w:val="right"/>
              <w:rPr>
                <w:rFonts w:ascii="Calibri" w:hAnsi="Calibri" w:cs="Arial"/>
                <w:sz w:val="18"/>
                <w:szCs w:val="18"/>
                <w:lang w:val="en-US"/>
              </w:rPr>
            </w:pPr>
          </w:p>
        </w:tc>
        <w:tc>
          <w:tcPr>
            <w:tcW w:w="817" w:type="pct"/>
            <w:tcBorders>
              <w:top w:val="single" w:sz="12" w:space="0" w:color="auto"/>
            </w:tcBorders>
            <w:shd w:val="clear" w:color="auto" w:fill="auto"/>
            <w:vAlign w:val="bottom"/>
          </w:tcPr>
          <w:p w14:paraId="5E81AFBE" w14:textId="77777777" w:rsidR="00F76218" w:rsidRPr="000E5941" w:rsidRDefault="00F76218" w:rsidP="00F76218">
            <w:pPr>
              <w:spacing w:after="0" w:line="240" w:lineRule="auto"/>
              <w:jc w:val="right"/>
              <w:rPr>
                <w:rFonts w:ascii="Calibri" w:hAnsi="Calibri" w:cs="Arial"/>
                <w:sz w:val="18"/>
                <w:szCs w:val="18"/>
                <w:lang w:val="en-US"/>
              </w:rPr>
            </w:pPr>
          </w:p>
        </w:tc>
        <w:tc>
          <w:tcPr>
            <w:tcW w:w="817" w:type="pct"/>
            <w:tcBorders>
              <w:top w:val="single" w:sz="12" w:space="0" w:color="auto"/>
            </w:tcBorders>
            <w:shd w:val="clear" w:color="auto" w:fill="auto"/>
            <w:vAlign w:val="bottom"/>
          </w:tcPr>
          <w:p w14:paraId="303FFA2C" w14:textId="77777777" w:rsidR="00F76218" w:rsidRPr="000E5941" w:rsidRDefault="00F76218" w:rsidP="00F76218">
            <w:pPr>
              <w:spacing w:after="0" w:line="240" w:lineRule="auto"/>
              <w:jc w:val="right"/>
              <w:rPr>
                <w:rFonts w:ascii="Calibri" w:hAnsi="Calibri" w:cs="Arial"/>
                <w:sz w:val="18"/>
                <w:szCs w:val="18"/>
                <w:lang w:val="en-US"/>
              </w:rPr>
            </w:pPr>
          </w:p>
        </w:tc>
        <w:tc>
          <w:tcPr>
            <w:tcW w:w="693" w:type="pct"/>
            <w:tcBorders>
              <w:top w:val="single" w:sz="12" w:space="0" w:color="auto"/>
            </w:tcBorders>
            <w:shd w:val="clear" w:color="auto" w:fill="auto"/>
            <w:vAlign w:val="bottom"/>
          </w:tcPr>
          <w:p w14:paraId="216D34EA" w14:textId="77777777" w:rsidR="00F76218" w:rsidRPr="000E5941" w:rsidRDefault="00F76218" w:rsidP="00F76218">
            <w:pPr>
              <w:spacing w:after="0" w:line="240" w:lineRule="auto"/>
              <w:jc w:val="right"/>
              <w:rPr>
                <w:rFonts w:ascii="Calibri" w:hAnsi="Calibri" w:cs="Arial"/>
                <w:sz w:val="18"/>
                <w:szCs w:val="18"/>
                <w:lang w:val="en-US"/>
              </w:rPr>
            </w:pPr>
          </w:p>
        </w:tc>
      </w:tr>
      <w:tr w:rsidR="00F76218" w:rsidRPr="00BF7E5D" w14:paraId="38671DC1" w14:textId="77777777" w:rsidTr="00312975">
        <w:trPr>
          <w:trHeight w:val="272"/>
          <w:jc w:val="center"/>
        </w:trPr>
        <w:tc>
          <w:tcPr>
            <w:tcW w:w="1782" w:type="pct"/>
          </w:tcPr>
          <w:p w14:paraId="4062444D" w14:textId="77777777" w:rsidR="00F76218" w:rsidRPr="00BF7E5D" w:rsidRDefault="00F76218" w:rsidP="00F76218">
            <w:pPr>
              <w:pStyle w:val="TT"/>
              <w:spacing w:line="280" w:lineRule="exact"/>
              <w:rPr>
                <w:rFonts w:asciiTheme="minorHAnsi" w:hAnsiTheme="minorHAnsi" w:cs="Arial"/>
                <w:sz w:val="18"/>
                <w:szCs w:val="18"/>
                <w:lang w:val="hr-HR"/>
              </w:rPr>
            </w:pPr>
            <w:r w:rsidRPr="00E26951">
              <w:rPr>
                <w:rFonts w:asciiTheme="minorHAnsi" w:hAnsiTheme="minorHAnsi" w:cs="Arial"/>
                <w:sz w:val="18"/>
                <w:szCs w:val="18"/>
                <w:lang w:val="hr-HR"/>
              </w:rPr>
              <w:t>Izdane garancije u kunama</w:t>
            </w:r>
          </w:p>
        </w:tc>
        <w:tc>
          <w:tcPr>
            <w:tcW w:w="891" w:type="pct"/>
            <w:tcBorders>
              <w:top w:val="nil"/>
              <w:left w:val="nil"/>
              <w:bottom w:val="nil"/>
              <w:right w:val="nil"/>
            </w:tcBorders>
            <w:shd w:val="clear" w:color="auto" w:fill="auto"/>
            <w:vAlign w:val="bottom"/>
          </w:tcPr>
          <w:p w14:paraId="14E30E86" w14:textId="7BF14635"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27.653</w:t>
            </w:r>
          </w:p>
        </w:tc>
        <w:tc>
          <w:tcPr>
            <w:tcW w:w="817" w:type="pct"/>
            <w:tcBorders>
              <w:top w:val="nil"/>
              <w:left w:val="nil"/>
              <w:bottom w:val="nil"/>
              <w:right w:val="nil"/>
            </w:tcBorders>
            <w:shd w:val="clear" w:color="auto" w:fill="auto"/>
            <w:vAlign w:val="bottom"/>
          </w:tcPr>
          <w:p w14:paraId="65B0E845" w14:textId="721F4754"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817" w:type="pct"/>
            <w:tcBorders>
              <w:top w:val="nil"/>
              <w:left w:val="nil"/>
              <w:bottom w:val="nil"/>
              <w:right w:val="nil"/>
            </w:tcBorders>
            <w:shd w:val="clear" w:color="auto" w:fill="auto"/>
            <w:vAlign w:val="bottom"/>
          </w:tcPr>
          <w:p w14:paraId="4ECB84BE" w14:textId="350046E5"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693" w:type="pct"/>
            <w:tcBorders>
              <w:top w:val="nil"/>
              <w:left w:val="nil"/>
              <w:bottom w:val="nil"/>
              <w:right w:val="nil"/>
            </w:tcBorders>
            <w:shd w:val="clear" w:color="auto" w:fill="auto"/>
            <w:vAlign w:val="bottom"/>
          </w:tcPr>
          <w:p w14:paraId="70B05984" w14:textId="66AC8FE3"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27.653</w:t>
            </w:r>
          </w:p>
        </w:tc>
      </w:tr>
      <w:tr w:rsidR="00F76218" w:rsidRPr="00BF7E5D" w14:paraId="1C69A54C" w14:textId="77777777" w:rsidTr="00312975">
        <w:trPr>
          <w:trHeight w:val="272"/>
          <w:jc w:val="center"/>
        </w:trPr>
        <w:tc>
          <w:tcPr>
            <w:tcW w:w="1782" w:type="pct"/>
          </w:tcPr>
          <w:p w14:paraId="66ED583E" w14:textId="77777777" w:rsidR="00F76218" w:rsidRPr="00BF7E5D" w:rsidRDefault="00F76218" w:rsidP="00F76218">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Izdane garancije u devizama</w:t>
            </w:r>
          </w:p>
        </w:tc>
        <w:tc>
          <w:tcPr>
            <w:tcW w:w="891" w:type="pct"/>
            <w:tcBorders>
              <w:top w:val="nil"/>
              <w:left w:val="nil"/>
              <w:bottom w:val="nil"/>
              <w:right w:val="nil"/>
            </w:tcBorders>
            <w:shd w:val="clear" w:color="auto" w:fill="auto"/>
            <w:vAlign w:val="bottom"/>
          </w:tcPr>
          <w:p w14:paraId="3A5F2847" w14:textId="0518E95C"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1.879.965</w:t>
            </w:r>
          </w:p>
        </w:tc>
        <w:tc>
          <w:tcPr>
            <w:tcW w:w="817" w:type="pct"/>
            <w:tcBorders>
              <w:top w:val="nil"/>
              <w:left w:val="nil"/>
              <w:bottom w:val="nil"/>
              <w:right w:val="nil"/>
            </w:tcBorders>
            <w:shd w:val="clear" w:color="auto" w:fill="auto"/>
            <w:vAlign w:val="bottom"/>
          </w:tcPr>
          <w:p w14:paraId="6F98F8E4" w14:textId="27BD257F" w:rsidR="00F76218" w:rsidRPr="000E5941" w:rsidRDefault="00D64053" w:rsidP="00F76218">
            <w:pPr>
              <w:spacing w:after="0" w:line="240" w:lineRule="auto"/>
              <w:jc w:val="right"/>
              <w:rPr>
                <w:rFonts w:ascii="Calibri" w:eastAsia="Times New Roman" w:hAnsi="Calibri" w:cs="Arial"/>
                <w:sz w:val="18"/>
                <w:szCs w:val="18"/>
                <w:lang w:val="en-US"/>
              </w:rPr>
            </w:pPr>
            <w:r>
              <w:rPr>
                <w:rFonts w:ascii="Calibri" w:eastAsia="Times New Roman" w:hAnsi="Calibri" w:cs="Arial"/>
                <w:sz w:val="18"/>
                <w:szCs w:val="18"/>
                <w:lang w:val="en-US"/>
              </w:rPr>
              <w:t>-</w:t>
            </w:r>
          </w:p>
        </w:tc>
        <w:tc>
          <w:tcPr>
            <w:tcW w:w="817" w:type="pct"/>
            <w:tcBorders>
              <w:top w:val="nil"/>
              <w:left w:val="nil"/>
              <w:bottom w:val="nil"/>
              <w:right w:val="nil"/>
            </w:tcBorders>
            <w:shd w:val="clear" w:color="auto" w:fill="auto"/>
            <w:vAlign w:val="bottom"/>
          </w:tcPr>
          <w:p w14:paraId="5A913F82" w14:textId="1E544005"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17.876</w:t>
            </w:r>
          </w:p>
        </w:tc>
        <w:tc>
          <w:tcPr>
            <w:tcW w:w="693" w:type="pct"/>
            <w:tcBorders>
              <w:top w:val="nil"/>
              <w:left w:val="nil"/>
              <w:bottom w:val="nil"/>
              <w:right w:val="nil"/>
            </w:tcBorders>
            <w:shd w:val="clear" w:color="auto" w:fill="auto"/>
            <w:vAlign w:val="bottom"/>
          </w:tcPr>
          <w:p w14:paraId="113E41A9" w14:textId="2128D337"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1.897.841</w:t>
            </w:r>
          </w:p>
        </w:tc>
      </w:tr>
      <w:tr w:rsidR="00F76218" w:rsidRPr="00BF7E5D" w14:paraId="0A122D3A" w14:textId="77777777" w:rsidTr="00312975">
        <w:trPr>
          <w:trHeight w:val="272"/>
          <w:jc w:val="center"/>
        </w:trPr>
        <w:tc>
          <w:tcPr>
            <w:tcW w:w="1782" w:type="pct"/>
          </w:tcPr>
          <w:p w14:paraId="79CFF38E" w14:textId="656CF357" w:rsidR="00F76218" w:rsidRPr="00BF7E5D" w:rsidRDefault="00F76218" w:rsidP="00F76218">
            <w:pPr>
              <w:pStyle w:val="TT"/>
              <w:spacing w:line="280" w:lineRule="exact"/>
              <w:rPr>
                <w:rFonts w:asciiTheme="minorHAnsi" w:hAnsiTheme="minorHAnsi" w:cs="Arial"/>
                <w:sz w:val="18"/>
                <w:szCs w:val="18"/>
                <w:lang w:val="hr-HR"/>
              </w:rPr>
            </w:pPr>
            <w:r w:rsidRPr="009F0625">
              <w:rPr>
                <w:rFonts w:asciiTheme="minorHAnsi" w:hAnsiTheme="minorHAnsi" w:cs="Arial"/>
                <w:sz w:val="18"/>
                <w:szCs w:val="18"/>
                <w:lang w:val="hr-HR"/>
              </w:rPr>
              <w:t>Otvoreni akreditivi u devizama</w:t>
            </w:r>
          </w:p>
        </w:tc>
        <w:tc>
          <w:tcPr>
            <w:tcW w:w="891" w:type="pct"/>
            <w:tcBorders>
              <w:top w:val="nil"/>
              <w:left w:val="nil"/>
              <w:bottom w:val="nil"/>
              <w:right w:val="nil"/>
            </w:tcBorders>
            <w:shd w:val="clear" w:color="auto" w:fill="auto"/>
            <w:vAlign w:val="bottom"/>
          </w:tcPr>
          <w:p w14:paraId="39BF8785" w14:textId="363B9ED3"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2.218</w:t>
            </w:r>
          </w:p>
        </w:tc>
        <w:tc>
          <w:tcPr>
            <w:tcW w:w="817" w:type="pct"/>
            <w:tcBorders>
              <w:top w:val="nil"/>
              <w:left w:val="nil"/>
              <w:bottom w:val="nil"/>
              <w:right w:val="nil"/>
            </w:tcBorders>
            <w:shd w:val="clear" w:color="auto" w:fill="auto"/>
            <w:vAlign w:val="bottom"/>
          </w:tcPr>
          <w:p w14:paraId="03BED9C1" w14:textId="2848E72F" w:rsidR="00F76218" w:rsidRPr="000E5941" w:rsidRDefault="00D64053" w:rsidP="00F76218">
            <w:pPr>
              <w:spacing w:after="0" w:line="240" w:lineRule="auto"/>
              <w:jc w:val="right"/>
              <w:rPr>
                <w:rFonts w:ascii="Calibri" w:eastAsia="Times New Roman" w:hAnsi="Calibri" w:cs="Arial"/>
                <w:sz w:val="18"/>
                <w:szCs w:val="18"/>
                <w:lang w:val="en-US"/>
              </w:rPr>
            </w:pPr>
            <w:r>
              <w:rPr>
                <w:rFonts w:ascii="Calibri" w:eastAsia="Times New Roman" w:hAnsi="Calibri" w:cs="Arial"/>
                <w:sz w:val="18"/>
                <w:szCs w:val="18"/>
                <w:lang w:val="en-US"/>
              </w:rPr>
              <w:t>-</w:t>
            </w:r>
          </w:p>
        </w:tc>
        <w:tc>
          <w:tcPr>
            <w:tcW w:w="817" w:type="pct"/>
            <w:tcBorders>
              <w:top w:val="nil"/>
              <w:left w:val="nil"/>
              <w:bottom w:val="nil"/>
              <w:right w:val="nil"/>
            </w:tcBorders>
            <w:shd w:val="clear" w:color="auto" w:fill="auto"/>
            <w:vAlign w:val="bottom"/>
          </w:tcPr>
          <w:p w14:paraId="4BB46BD2" w14:textId="0FD9CA72" w:rsidR="00F76218" w:rsidRPr="000E5941" w:rsidRDefault="00D64053" w:rsidP="00F76218">
            <w:pPr>
              <w:spacing w:after="0" w:line="240" w:lineRule="auto"/>
              <w:jc w:val="right"/>
              <w:rPr>
                <w:rFonts w:ascii="Calibri" w:eastAsia="Times New Roman" w:hAnsi="Calibri" w:cs="Arial"/>
                <w:sz w:val="18"/>
                <w:szCs w:val="18"/>
                <w:lang w:val="en-US"/>
              </w:rPr>
            </w:pPr>
            <w:r>
              <w:rPr>
                <w:rFonts w:ascii="Calibri" w:eastAsia="Times New Roman" w:hAnsi="Calibri" w:cs="Arial"/>
                <w:sz w:val="18"/>
                <w:szCs w:val="18"/>
                <w:lang w:val="en-US"/>
              </w:rPr>
              <w:t>-</w:t>
            </w:r>
          </w:p>
        </w:tc>
        <w:tc>
          <w:tcPr>
            <w:tcW w:w="693" w:type="pct"/>
            <w:tcBorders>
              <w:top w:val="nil"/>
              <w:left w:val="nil"/>
              <w:bottom w:val="nil"/>
              <w:right w:val="nil"/>
            </w:tcBorders>
            <w:shd w:val="clear" w:color="auto" w:fill="auto"/>
            <w:vAlign w:val="bottom"/>
          </w:tcPr>
          <w:p w14:paraId="639945A8" w14:textId="31383F1F"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2.218</w:t>
            </w:r>
          </w:p>
        </w:tc>
      </w:tr>
      <w:tr w:rsidR="00F76218" w:rsidRPr="00BF7E5D" w14:paraId="2EF4E5DA" w14:textId="77777777" w:rsidTr="00312975">
        <w:trPr>
          <w:trHeight w:val="272"/>
          <w:jc w:val="center"/>
        </w:trPr>
        <w:tc>
          <w:tcPr>
            <w:tcW w:w="1782" w:type="pct"/>
          </w:tcPr>
          <w:p w14:paraId="1BF7113B" w14:textId="77777777" w:rsidR="00F76218" w:rsidRPr="00BF7E5D" w:rsidRDefault="00F76218" w:rsidP="00F76218">
            <w:pPr>
              <w:pStyle w:val="TT"/>
              <w:spacing w:line="280" w:lineRule="exact"/>
              <w:rPr>
                <w:rFonts w:asciiTheme="minorHAnsi" w:hAnsiTheme="minorHAnsi" w:cs="Arial"/>
                <w:sz w:val="18"/>
                <w:szCs w:val="18"/>
                <w:lang w:val="hr-HR"/>
              </w:rPr>
            </w:pPr>
            <w:r w:rsidRPr="00BF7E5D">
              <w:rPr>
                <w:rFonts w:asciiTheme="minorHAnsi" w:hAnsiTheme="minorHAnsi" w:cs="Arial"/>
                <w:sz w:val="18"/>
                <w:szCs w:val="18"/>
                <w:lang w:val="hr-HR"/>
              </w:rPr>
              <w:t>Preuzete obveze po kreditima</w:t>
            </w:r>
          </w:p>
        </w:tc>
        <w:tc>
          <w:tcPr>
            <w:tcW w:w="891" w:type="pct"/>
            <w:tcBorders>
              <w:top w:val="nil"/>
              <w:left w:val="nil"/>
              <w:bottom w:val="nil"/>
              <w:right w:val="nil"/>
            </w:tcBorders>
            <w:shd w:val="clear" w:color="auto" w:fill="auto"/>
            <w:vAlign w:val="bottom"/>
          </w:tcPr>
          <w:p w14:paraId="705CB5E2" w14:textId="55DA5B95"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3.538.871</w:t>
            </w:r>
          </w:p>
        </w:tc>
        <w:tc>
          <w:tcPr>
            <w:tcW w:w="817" w:type="pct"/>
            <w:tcBorders>
              <w:top w:val="nil"/>
              <w:left w:val="nil"/>
              <w:bottom w:val="nil"/>
              <w:right w:val="nil"/>
            </w:tcBorders>
            <w:shd w:val="clear" w:color="auto" w:fill="auto"/>
            <w:vAlign w:val="bottom"/>
          </w:tcPr>
          <w:p w14:paraId="2FBA9ACF" w14:textId="34F83C5F" w:rsidR="00F76218" w:rsidRPr="000E5941" w:rsidRDefault="00D64053" w:rsidP="00F76218">
            <w:pPr>
              <w:spacing w:after="0" w:line="240" w:lineRule="auto"/>
              <w:jc w:val="right"/>
              <w:rPr>
                <w:rFonts w:ascii="Calibri" w:eastAsia="Times New Roman" w:hAnsi="Calibri" w:cs="Arial"/>
                <w:sz w:val="18"/>
                <w:szCs w:val="18"/>
                <w:lang w:val="en-US"/>
              </w:rPr>
            </w:pPr>
            <w:r>
              <w:rPr>
                <w:rFonts w:ascii="Calibri" w:eastAsia="Times New Roman" w:hAnsi="Calibri" w:cs="Arial"/>
                <w:sz w:val="18"/>
                <w:szCs w:val="18"/>
                <w:lang w:val="en-US"/>
              </w:rPr>
              <w:t>-</w:t>
            </w:r>
          </w:p>
        </w:tc>
        <w:tc>
          <w:tcPr>
            <w:tcW w:w="817" w:type="pct"/>
            <w:tcBorders>
              <w:top w:val="nil"/>
              <w:left w:val="nil"/>
              <w:bottom w:val="nil"/>
              <w:right w:val="nil"/>
            </w:tcBorders>
            <w:shd w:val="clear" w:color="auto" w:fill="auto"/>
            <w:vAlign w:val="bottom"/>
          </w:tcPr>
          <w:p w14:paraId="24D1CCD8" w14:textId="3230C8CD"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7.616</w:t>
            </w:r>
          </w:p>
        </w:tc>
        <w:tc>
          <w:tcPr>
            <w:tcW w:w="693" w:type="pct"/>
            <w:tcBorders>
              <w:top w:val="nil"/>
              <w:left w:val="nil"/>
              <w:bottom w:val="nil"/>
              <w:right w:val="nil"/>
            </w:tcBorders>
            <w:shd w:val="clear" w:color="auto" w:fill="auto"/>
            <w:vAlign w:val="bottom"/>
          </w:tcPr>
          <w:p w14:paraId="1FAC458D" w14:textId="14943478" w:rsidR="00F76218" w:rsidRPr="000E5941" w:rsidRDefault="00F76218" w:rsidP="00F7621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3.546.487</w:t>
            </w:r>
          </w:p>
        </w:tc>
      </w:tr>
      <w:tr w:rsidR="00A316C8" w:rsidRPr="00BF7E5D" w14:paraId="5C6550A3" w14:textId="77777777" w:rsidTr="00312975">
        <w:trPr>
          <w:trHeight w:val="535"/>
          <w:jc w:val="center"/>
        </w:trPr>
        <w:tc>
          <w:tcPr>
            <w:tcW w:w="1782" w:type="pct"/>
          </w:tcPr>
          <w:p w14:paraId="61889BEF" w14:textId="77777777" w:rsidR="00A316C8" w:rsidRPr="009A5D6A" w:rsidRDefault="00A316C8" w:rsidP="00A316C8">
            <w:pPr>
              <w:pStyle w:val="Tot"/>
              <w:spacing w:line="280" w:lineRule="exact"/>
              <w:rPr>
                <w:rFonts w:asciiTheme="minorHAnsi" w:hAnsiTheme="minorHAnsi" w:cs="Arial"/>
                <w:bCs/>
                <w:sz w:val="18"/>
                <w:szCs w:val="18"/>
                <w:lang w:val="hr-HR"/>
              </w:rPr>
            </w:pPr>
            <w:r w:rsidRPr="009A5D6A">
              <w:rPr>
                <w:rFonts w:asciiTheme="minorHAnsi" w:hAnsiTheme="minorHAnsi" w:cs="Arial"/>
                <w:bCs/>
                <w:sz w:val="18"/>
                <w:szCs w:val="18"/>
                <w:lang w:val="hr-HR"/>
              </w:rPr>
              <w:t>Ostale nespomenute neopozive potencijalne obveze</w:t>
            </w:r>
          </w:p>
        </w:tc>
        <w:tc>
          <w:tcPr>
            <w:tcW w:w="891" w:type="pct"/>
            <w:tcBorders>
              <w:top w:val="nil"/>
              <w:left w:val="nil"/>
              <w:bottom w:val="single" w:sz="4" w:space="0" w:color="auto"/>
              <w:right w:val="nil"/>
            </w:tcBorders>
            <w:shd w:val="clear" w:color="auto" w:fill="auto"/>
            <w:vAlign w:val="bottom"/>
          </w:tcPr>
          <w:p w14:paraId="50D30D98" w14:textId="14ADAAD3" w:rsidR="00A316C8" w:rsidRPr="000E5941" w:rsidRDefault="00A316C8" w:rsidP="00A316C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335</w:t>
            </w:r>
          </w:p>
        </w:tc>
        <w:tc>
          <w:tcPr>
            <w:tcW w:w="817" w:type="pct"/>
            <w:tcBorders>
              <w:top w:val="nil"/>
              <w:left w:val="nil"/>
              <w:bottom w:val="single" w:sz="4" w:space="0" w:color="auto"/>
              <w:right w:val="nil"/>
            </w:tcBorders>
            <w:shd w:val="clear" w:color="auto" w:fill="auto"/>
            <w:vAlign w:val="bottom"/>
          </w:tcPr>
          <w:p w14:paraId="4BBD5E07" w14:textId="657F2236" w:rsidR="00A316C8" w:rsidRPr="000E5941" w:rsidRDefault="00A316C8" w:rsidP="00A316C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817" w:type="pct"/>
            <w:tcBorders>
              <w:top w:val="nil"/>
              <w:left w:val="nil"/>
              <w:bottom w:val="single" w:sz="4" w:space="0" w:color="auto"/>
              <w:right w:val="nil"/>
            </w:tcBorders>
            <w:shd w:val="clear" w:color="auto" w:fill="auto"/>
            <w:vAlign w:val="bottom"/>
          </w:tcPr>
          <w:p w14:paraId="3ACD1C44" w14:textId="59506F58" w:rsidR="00A316C8" w:rsidRPr="000E5941" w:rsidRDefault="00A316C8" w:rsidP="00A316C8">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693" w:type="pct"/>
            <w:tcBorders>
              <w:top w:val="nil"/>
              <w:left w:val="nil"/>
              <w:bottom w:val="single" w:sz="4" w:space="0" w:color="auto"/>
              <w:right w:val="nil"/>
            </w:tcBorders>
            <w:shd w:val="clear" w:color="auto" w:fill="auto"/>
            <w:vAlign w:val="bottom"/>
          </w:tcPr>
          <w:p w14:paraId="69C241DB" w14:textId="28A04E5E" w:rsidR="00A316C8" w:rsidRPr="000E5941" w:rsidRDefault="00A316C8" w:rsidP="00A316C8">
            <w:pPr>
              <w:spacing w:after="0" w:line="240" w:lineRule="auto"/>
              <w:jc w:val="right"/>
              <w:rPr>
                <w:rFonts w:ascii="Calibri" w:eastAsia="Times New Roman" w:hAnsi="Calibri" w:cs="Arial"/>
                <w:sz w:val="18"/>
                <w:szCs w:val="18"/>
                <w:lang w:val="en-US"/>
              </w:rPr>
            </w:pPr>
            <w:r w:rsidRPr="0089117F">
              <w:rPr>
                <w:rFonts w:ascii="Calibri" w:eastAsia="Times New Roman" w:hAnsi="Calibri" w:cs="Arial"/>
                <w:sz w:val="18"/>
                <w:szCs w:val="18"/>
                <w:lang w:val="en-US"/>
              </w:rPr>
              <w:t>335</w:t>
            </w:r>
          </w:p>
        </w:tc>
      </w:tr>
      <w:tr w:rsidR="00F76218" w:rsidRPr="00BF7E5D" w14:paraId="44728B32" w14:textId="77777777" w:rsidTr="00312975">
        <w:trPr>
          <w:trHeight w:val="299"/>
          <w:jc w:val="center"/>
        </w:trPr>
        <w:tc>
          <w:tcPr>
            <w:tcW w:w="1782" w:type="pct"/>
            <w:vAlign w:val="bottom"/>
          </w:tcPr>
          <w:p w14:paraId="35D37480" w14:textId="77777777" w:rsidR="00F76218" w:rsidRPr="00BF7E5D" w:rsidRDefault="00F76218" w:rsidP="00F76218">
            <w:pPr>
              <w:pStyle w:val="Tot"/>
              <w:spacing w:line="280" w:lineRule="exact"/>
              <w:rPr>
                <w:rFonts w:asciiTheme="minorHAnsi" w:hAnsiTheme="minorHAnsi" w:cs="Arial"/>
                <w:b/>
                <w:bCs/>
                <w:sz w:val="18"/>
                <w:szCs w:val="18"/>
                <w:lang w:val="hr-HR"/>
              </w:rPr>
            </w:pPr>
            <w:r w:rsidRPr="00BF7E5D">
              <w:rPr>
                <w:rFonts w:asciiTheme="minorHAnsi" w:hAnsiTheme="minorHAnsi" w:cs="Arial"/>
                <w:b/>
                <w:bCs/>
                <w:sz w:val="18"/>
                <w:szCs w:val="18"/>
                <w:lang w:val="hr-HR"/>
              </w:rPr>
              <w:t>Ukupno</w:t>
            </w:r>
          </w:p>
        </w:tc>
        <w:tc>
          <w:tcPr>
            <w:tcW w:w="891" w:type="pct"/>
            <w:tcBorders>
              <w:top w:val="single" w:sz="4" w:space="0" w:color="auto"/>
              <w:left w:val="nil"/>
              <w:bottom w:val="single" w:sz="12" w:space="0" w:color="auto"/>
              <w:right w:val="nil"/>
            </w:tcBorders>
            <w:shd w:val="clear" w:color="auto" w:fill="auto"/>
            <w:vAlign w:val="bottom"/>
          </w:tcPr>
          <w:p w14:paraId="0C2932F0" w14:textId="28EB2E03" w:rsidR="00F76218" w:rsidRPr="00485F5F" w:rsidRDefault="00F76218" w:rsidP="00F76218">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5.449.042</w:t>
            </w:r>
          </w:p>
        </w:tc>
        <w:tc>
          <w:tcPr>
            <w:tcW w:w="817" w:type="pct"/>
            <w:tcBorders>
              <w:top w:val="single" w:sz="4" w:space="0" w:color="auto"/>
              <w:left w:val="nil"/>
              <w:bottom w:val="single" w:sz="12" w:space="0" w:color="auto"/>
              <w:right w:val="nil"/>
            </w:tcBorders>
            <w:shd w:val="clear" w:color="auto" w:fill="auto"/>
            <w:vAlign w:val="bottom"/>
          </w:tcPr>
          <w:p w14:paraId="2393CBE6" w14:textId="6150F5F7" w:rsidR="00F76218" w:rsidRPr="00485F5F" w:rsidRDefault="00485F5F" w:rsidP="00F76218">
            <w:pPr>
              <w:spacing w:after="0" w:line="240" w:lineRule="auto"/>
              <w:jc w:val="right"/>
              <w:rPr>
                <w:rFonts w:ascii="Calibri" w:eastAsia="Times New Roman" w:hAnsi="Calibri" w:cs="Arial"/>
                <w:b/>
                <w:sz w:val="18"/>
                <w:szCs w:val="18"/>
                <w:lang w:val="en-US"/>
              </w:rPr>
            </w:pPr>
            <w:r>
              <w:rPr>
                <w:rFonts w:ascii="Calibri" w:eastAsia="Times New Roman" w:hAnsi="Calibri" w:cs="Arial"/>
                <w:b/>
                <w:sz w:val="18"/>
                <w:szCs w:val="18"/>
                <w:lang w:val="en-US"/>
              </w:rPr>
              <w:t>-</w:t>
            </w:r>
          </w:p>
        </w:tc>
        <w:tc>
          <w:tcPr>
            <w:tcW w:w="817" w:type="pct"/>
            <w:tcBorders>
              <w:top w:val="single" w:sz="4" w:space="0" w:color="auto"/>
              <w:left w:val="nil"/>
              <w:bottom w:val="single" w:sz="12" w:space="0" w:color="auto"/>
              <w:right w:val="nil"/>
            </w:tcBorders>
            <w:shd w:val="clear" w:color="auto" w:fill="auto"/>
            <w:vAlign w:val="bottom"/>
          </w:tcPr>
          <w:p w14:paraId="7801FE8F" w14:textId="79F8EC81" w:rsidR="00F76218" w:rsidRPr="00485F5F" w:rsidRDefault="00F76218" w:rsidP="00F76218">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25.492</w:t>
            </w:r>
          </w:p>
        </w:tc>
        <w:tc>
          <w:tcPr>
            <w:tcW w:w="693" w:type="pct"/>
            <w:tcBorders>
              <w:top w:val="nil"/>
              <w:left w:val="nil"/>
              <w:bottom w:val="single" w:sz="12" w:space="0" w:color="auto"/>
              <w:right w:val="nil"/>
            </w:tcBorders>
            <w:shd w:val="clear" w:color="auto" w:fill="auto"/>
            <w:vAlign w:val="bottom"/>
          </w:tcPr>
          <w:p w14:paraId="7F8FA324" w14:textId="5D9600A8" w:rsidR="00F76218" w:rsidRPr="00485F5F" w:rsidRDefault="00F76218" w:rsidP="00F76218">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5.474.534</w:t>
            </w:r>
          </w:p>
        </w:tc>
      </w:tr>
      <w:tr w:rsidR="00F76218" w:rsidRPr="00BF7E5D" w14:paraId="2A30F544" w14:textId="77777777" w:rsidTr="00312975">
        <w:trPr>
          <w:trHeight w:val="251"/>
          <w:jc w:val="center"/>
        </w:trPr>
        <w:tc>
          <w:tcPr>
            <w:tcW w:w="1782" w:type="pct"/>
            <w:vAlign w:val="bottom"/>
          </w:tcPr>
          <w:p w14:paraId="7952E563" w14:textId="77777777" w:rsidR="00F76218" w:rsidRPr="00BF7E5D" w:rsidRDefault="00F76218" w:rsidP="00F76218">
            <w:pPr>
              <w:pStyle w:val="Tot"/>
              <w:spacing w:line="280" w:lineRule="exact"/>
              <w:jc w:val="both"/>
              <w:rPr>
                <w:rFonts w:asciiTheme="minorHAnsi" w:hAnsiTheme="minorHAnsi" w:cs="Arial"/>
                <w:b/>
                <w:bCs/>
                <w:sz w:val="18"/>
                <w:szCs w:val="18"/>
                <w:lang w:val="hr-HR"/>
              </w:rPr>
            </w:pPr>
            <w:r w:rsidRPr="00BF7E5D">
              <w:rPr>
                <w:rFonts w:asciiTheme="minorHAnsi" w:hAnsiTheme="minorHAnsi" w:cs="Arial"/>
                <w:b/>
                <w:bCs/>
                <w:sz w:val="18"/>
                <w:szCs w:val="18"/>
                <w:lang w:val="hr-HR"/>
              </w:rPr>
              <w:t>Ukupna izloženost kreditnom riziku</w:t>
            </w:r>
          </w:p>
        </w:tc>
        <w:tc>
          <w:tcPr>
            <w:tcW w:w="891" w:type="pct"/>
            <w:tcBorders>
              <w:top w:val="nil"/>
              <w:left w:val="nil"/>
              <w:bottom w:val="single" w:sz="12" w:space="0" w:color="auto"/>
              <w:right w:val="nil"/>
            </w:tcBorders>
            <w:shd w:val="clear" w:color="auto" w:fill="auto"/>
            <w:vAlign w:val="bottom"/>
          </w:tcPr>
          <w:p w14:paraId="7C36FA34" w14:textId="5EA4072B" w:rsidR="00F76218" w:rsidRPr="00F76218" w:rsidRDefault="00F76218" w:rsidP="00F76218">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31.099.391</w:t>
            </w:r>
          </w:p>
        </w:tc>
        <w:tc>
          <w:tcPr>
            <w:tcW w:w="817" w:type="pct"/>
            <w:tcBorders>
              <w:top w:val="nil"/>
              <w:left w:val="nil"/>
              <w:bottom w:val="single" w:sz="12" w:space="0" w:color="auto"/>
              <w:right w:val="nil"/>
            </w:tcBorders>
            <w:shd w:val="clear" w:color="auto" w:fill="auto"/>
            <w:vAlign w:val="bottom"/>
          </w:tcPr>
          <w:p w14:paraId="642984D0" w14:textId="55B3EA2A" w:rsidR="00F76218" w:rsidRPr="00F76218" w:rsidRDefault="00F76218" w:rsidP="00F76218">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310.633</w:t>
            </w:r>
          </w:p>
        </w:tc>
        <w:tc>
          <w:tcPr>
            <w:tcW w:w="817" w:type="pct"/>
            <w:tcBorders>
              <w:top w:val="nil"/>
              <w:left w:val="nil"/>
              <w:bottom w:val="single" w:sz="12" w:space="0" w:color="auto"/>
              <w:right w:val="nil"/>
            </w:tcBorders>
            <w:shd w:val="clear" w:color="auto" w:fill="auto"/>
            <w:vAlign w:val="bottom"/>
          </w:tcPr>
          <w:p w14:paraId="27D91D5E" w14:textId="722B3C86" w:rsidR="00F76218" w:rsidRPr="00F76218" w:rsidRDefault="00F76218" w:rsidP="00F76218">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1.775.578</w:t>
            </w:r>
          </w:p>
        </w:tc>
        <w:tc>
          <w:tcPr>
            <w:tcW w:w="693" w:type="pct"/>
            <w:tcBorders>
              <w:top w:val="nil"/>
              <w:left w:val="nil"/>
              <w:bottom w:val="single" w:sz="12" w:space="0" w:color="auto"/>
              <w:right w:val="nil"/>
            </w:tcBorders>
            <w:shd w:val="clear" w:color="auto" w:fill="auto"/>
            <w:vAlign w:val="bottom"/>
          </w:tcPr>
          <w:p w14:paraId="4F487803" w14:textId="7FBDD6C3" w:rsidR="00F76218" w:rsidRPr="00F76218" w:rsidRDefault="00F76218" w:rsidP="00F76218">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33.185.602</w:t>
            </w:r>
          </w:p>
        </w:tc>
      </w:tr>
      <w:tr w:rsidR="00F76218" w:rsidRPr="00BF7E5D" w14:paraId="6BEC7C29" w14:textId="77777777" w:rsidTr="00312975">
        <w:trPr>
          <w:trHeight w:val="106"/>
          <w:jc w:val="center"/>
        </w:trPr>
        <w:tc>
          <w:tcPr>
            <w:tcW w:w="1782" w:type="pct"/>
          </w:tcPr>
          <w:p w14:paraId="333DF3F1" w14:textId="77777777" w:rsidR="00F76218" w:rsidRPr="00BF7E5D" w:rsidRDefault="00F76218" w:rsidP="00F76218">
            <w:pPr>
              <w:pStyle w:val="Thick"/>
              <w:rPr>
                <w:rFonts w:asciiTheme="minorHAnsi" w:hAnsiTheme="minorHAnsi" w:cs="Arial"/>
                <w:sz w:val="18"/>
                <w:szCs w:val="18"/>
                <w:lang w:val="hr-HR"/>
              </w:rPr>
            </w:pPr>
          </w:p>
        </w:tc>
        <w:tc>
          <w:tcPr>
            <w:tcW w:w="891" w:type="pct"/>
            <w:tcBorders>
              <w:top w:val="single" w:sz="12" w:space="0" w:color="auto"/>
            </w:tcBorders>
            <w:vAlign w:val="bottom"/>
          </w:tcPr>
          <w:p w14:paraId="6AC42DE7" w14:textId="77777777" w:rsidR="00F76218" w:rsidRPr="006B663E" w:rsidRDefault="00F76218" w:rsidP="00F76218">
            <w:pPr>
              <w:pStyle w:val="Thick"/>
              <w:jc w:val="right"/>
              <w:rPr>
                <w:rFonts w:asciiTheme="minorHAnsi" w:hAnsiTheme="minorHAnsi" w:cs="Arial"/>
                <w:snapToGrid w:val="0"/>
                <w:sz w:val="18"/>
                <w:szCs w:val="18"/>
                <w:lang w:val="hr-HR"/>
              </w:rPr>
            </w:pPr>
          </w:p>
        </w:tc>
        <w:tc>
          <w:tcPr>
            <w:tcW w:w="817" w:type="pct"/>
            <w:tcBorders>
              <w:top w:val="single" w:sz="12" w:space="0" w:color="auto"/>
            </w:tcBorders>
            <w:vAlign w:val="bottom"/>
          </w:tcPr>
          <w:p w14:paraId="0321F075" w14:textId="77777777" w:rsidR="00F76218" w:rsidRPr="006B663E" w:rsidRDefault="00F76218" w:rsidP="00F76218">
            <w:pPr>
              <w:pStyle w:val="Thick"/>
              <w:jc w:val="right"/>
              <w:rPr>
                <w:rFonts w:asciiTheme="minorHAnsi" w:hAnsiTheme="minorHAnsi" w:cs="Arial"/>
                <w:snapToGrid w:val="0"/>
                <w:sz w:val="18"/>
                <w:szCs w:val="18"/>
                <w:lang w:val="hr-HR"/>
              </w:rPr>
            </w:pPr>
          </w:p>
        </w:tc>
        <w:tc>
          <w:tcPr>
            <w:tcW w:w="817" w:type="pct"/>
            <w:tcBorders>
              <w:top w:val="single" w:sz="12" w:space="0" w:color="auto"/>
            </w:tcBorders>
            <w:vAlign w:val="bottom"/>
          </w:tcPr>
          <w:p w14:paraId="48125D72" w14:textId="77777777" w:rsidR="00F76218" w:rsidRPr="006B663E" w:rsidRDefault="00F76218" w:rsidP="00F76218">
            <w:pPr>
              <w:pStyle w:val="Thick"/>
              <w:jc w:val="right"/>
              <w:rPr>
                <w:rFonts w:asciiTheme="minorHAnsi" w:hAnsiTheme="minorHAnsi" w:cs="Arial"/>
                <w:snapToGrid w:val="0"/>
                <w:sz w:val="18"/>
                <w:szCs w:val="18"/>
                <w:lang w:val="hr-HR"/>
              </w:rPr>
            </w:pPr>
          </w:p>
        </w:tc>
        <w:tc>
          <w:tcPr>
            <w:tcW w:w="693" w:type="pct"/>
            <w:tcBorders>
              <w:top w:val="single" w:sz="12" w:space="0" w:color="auto"/>
            </w:tcBorders>
            <w:vAlign w:val="bottom"/>
          </w:tcPr>
          <w:p w14:paraId="0397A6F3" w14:textId="77777777" w:rsidR="00F76218" w:rsidRPr="006B663E" w:rsidRDefault="00F76218" w:rsidP="00F76218">
            <w:pPr>
              <w:pStyle w:val="Thick"/>
              <w:jc w:val="right"/>
              <w:rPr>
                <w:rFonts w:asciiTheme="minorHAnsi" w:hAnsiTheme="minorHAnsi" w:cs="Arial"/>
                <w:snapToGrid w:val="0"/>
                <w:sz w:val="18"/>
                <w:szCs w:val="18"/>
                <w:lang w:val="hr-HR"/>
              </w:rPr>
            </w:pPr>
          </w:p>
        </w:tc>
      </w:tr>
    </w:tbl>
    <w:p w14:paraId="6A642076" w14:textId="77777777" w:rsidR="00BF7E5D" w:rsidRDefault="00BF7E5D" w:rsidP="00BF7E5D">
      <w:pPr>
        <w:jc w:val="both"/>
        <w:rPr>
          <w:highlight w:val="yellow"/>
        </w:rPr>
        <w:sectPr w:rsidR="00BF7E5D" w:rsidSect="00F84320">
          <w:footerReference w:type="first" r:id="rId99"/>
          <w:pgSz w:w="11906" w:h="16838" w:code="9"/>
          <w:pgMar w:top="1418" w:right="1418" w:bottom="595" w:left="1134" w:header="709" w:footer="709" w:gutter="0"/>
          <w:cols w:space="708"/>
          <w:titlePg/>
          <w:docGrid w:linePitch="360"/>
        </w:sectPr>
      </w:pPr>
    </w:p>
    <w:p w14:paraId="1E3E3A8B" w14:textId="77777777" w:rsidR="009E59E7" w:rsidRDefault="009E59E7" w:rsidP="009E59E7">
      <w:pPr>
        <w:pStyle w:val="T1"/>
        <w:spacing w:before="0" w:after="0" w:line="240" w:lineRule="auto"/>
        <w:rPr>
          <w:rFonts w:asciiTheme="minorHAnsi" w:hAnsiTheme="minorHAnsi" w:cs="Arial"/>
          <w:sz w:val="22"/>
          <w:szCs w:val="22"/>
          <w:lang w:val="hr-HR"/>
        </w:rPr>
      </w:pPr>
    </w:p>
    <w:p w14:paraId="54589AA5" w14:textId="77777777" w:rsidR="009E59E7" w:rsidRDefault="009E59E7" w:rsidP="009E59E7">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F7E5D">
        <w:rPr>
          <w:rFonts w:asciiTheme="minorHAnsi" w:hAnsiTheme="minorHAnsi" w:cs="Arial"/>
          <w:sz w:val="22"/>
          <w:szCs w:val="22"/>
          <w:lang w:val="hr-HR"/>
        </w:rPr>
        <w:t>.</w:t>
      </w:r>
      <w:r w:rsidRPr="00BF7E5D">
        <w:rPr>
          <w:rFonts w:asciiTheme="minorHAnsi" w:hAnsiTheme="minorHAnsi" w:cs="Arial"/>
          <w:sz w:val="22"/>
          <w:szCs w:val="22"/>
          <w:lang w:val="hr-HR"/>
        </w:rPr>
        <w:tab/>
        <w:t>Upravljanje rizicima (nastavak)</w:t>
      </w:r>
    </w:p>
    <w:p w14:paraId="663195F7" w14:textId="77777777" w:rsidR="009E59E7" w:rsidRPr="00BF7E5D" w:rsidRDefault="009E59E7" w:rsidP="009E59E7">
      <w:pPr>
        <w:pStyle w:val="T1"/>
        <w:spacing w:before="0" w:after="0" w:line="240" w:lineRule="auto"/>
        <w:rPr>
          <w:rFonts w:asciiTheme="minorHAnsi" w:hAnsiTheme="minorHAnsi" w:cs="Arial"/>
          <w:sz w:val="22"/>
          <w:szCs w:val="22"/>
          <w:lang w:val="hr-HR"/>
        </w:rPr>
      </w:pPr>
    </w:p>
    <w:p w14:paraId="1752FF66" w14:textId="77777777" w:rsidR="009E59E7" w:rsidRDefault="009E59E7" w:rsidP="009E59E7">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F7E5D">
        <w:rPr>
          <w:rFonts w:asciiTheme="minorHAnsi" w:hAnsiTheme="minorHAnsi" w:cs="Arial"/>
          <w:sz w:val="22"/>
          <w:szCs w:val="22"/>
          <w:lang w:val="hr-HR"/>
        </w:rPr>
        <w:t xml:space="preserve">.2. </w:t>
      </w:r>
      <w:r w:rsidRPr="00BF7E5D">
        <w:rPr>
          <w:rFonts w:asciiTheme="minorHAnsi" w:hAnsiTheme="minorHAnsi" w:cs="Arial"/>
          <w:sz w:val="22"/>
          <w:szCs w:val="22"/>
          <w:lang w:val="hr-HR"/>
        </w:rPr>
        <w:tab/>
        <w:t>Kreditni rizik (nastavak)</w:t>
      </w:r>
    </w:p>
    <w:p w14:paraId="661C9749" w14:textId="77777777" w:rsidR="009E59E7" w:rsidRPr="00BF7E5D" w:rsidRDefault="009E59E7" w:rsidP="009E59E7">
      <w:pPr>
        <w:pStyle w:val="T1"/>
        <w:spacing w:before="0" w:after="0" w:line="240" w:lineRule="auto"/>
        <w:rPr>
          <w:rFonts w:asciiTheme="minorHAnsi" w:hAnsiTheme="minorHAnsi" w:cs="Arial"/>
          <w:sz w:val="22"/>
          <w:szCs w:val="22"/>
          <w:lang w:val="hr-HR"/>
        </w:rPr>
      </w:pPr>
    </w:p>
    <w:p w14:paraId="71E4C44D" w14:textId="77777777" w:rsidR="009E59E7" w:rsidRDefault="009E59E7" w:rsidP="009E59E7">
      <w:pPr>
        <w:pStyle w:val="T1"/>
        <w:spacing w:before="0" w:after="0" w:line="240" w:lineRule="auto"/>
        <w:rPr>
          <w:rFonts w:asciiTheme="minorHAnsi" w:hAnsiTheme="minorHAnsi" w:cs="Arial"/>
          <w:sz w:val="22"/>
          <w:szCs w:val="22"/>
          <w:lang w:val="hr-HR"/>
        </w:rPr>
      </w:pPr>
      <w:r w:rsidRPr="00BF7E5D">
        <w:rPr>
          <w:rFonts w:asciiTheme="minorHAnsi" w:hAnsiTheme="minorHAnsi" w:cs="Arial"/>
          <w:sz w:val="22"/>
          <w:szCs w:val="22"/>
          <w:lang w:val="hr-HR"/>
        </w:rPr>
        <w:t>Kvaliteta kreditnog rizika prema vrsti financijske imovine (nastavak)</w:t>
      </w:r>
    </w:p>
    <w:p w14:paraId="704BB6AE" w14:textId="77777777" w:rsidR="009E59E7" w:rsidRPr="00BF7E5D" w:rsidRDefault="009E59E7" w:rsidP="009E59E7">
      <w:pPr>
        <w:pStyle w:val="T1"/>
        <w:spacing w:before="0" w:after="0" w:line="240" w:lineRule="auto"/>
        <w:rPr>
          <w:rFonts w:asciiTheme="minorHAnsi" w:hAnsiTheme="minorHAnsi" w:cs="Arial"/>
          <w:sz w:val="22"/>
          <w:szCs w:val="22"/>
          <w:lang w:val="hr-HR"/>
        </w:rPr>
      </w:pPr>
    </w:p>
    <w:p w14:paraId="23AC2307" w14:textId="77777777" w:rsidR="00B510EC" w:rsidRDefault="009E59E7" w:rsidP="009557C4">
      <w:pPr>
        <w:spacing w:after="0" w:line="240" w:lineRule="auto"/>
        <w:jc w:val="both"/>
        <w:rPr>
          <w:rFonts w:cs="Arial"/>
          <w:sz w:val="20"/>
          <w:szCs w:val="20"/>
        </w:rPr>
      </w:pPr>
      <w:r w:rsidRPr="00BF7E5D">
        <w:rPr>
          <w:rFonts w:cs="Arial"/>
          <w:sz w:val="20"/>
          <w:szCs w:val="20"/>
        </w:rPr>
        <w:t>Kvaliteta kreditnog rizika prema vrsti financijske imovine u bruto izloženosti na pozicijama imovine i garancija i preuzetih obveza prema rizičnim skupinama</w:t>
      </w:r>
      <w:r w:rsidR="00B510EC">
        <w:rPr>
          <w:rFonts w:cs="Arial"/>
          <w:sz w:val="20"/>
          <w:szCs w:val="20"/>
        </w:rPr>
        <w:t xml:space="preserve"> (nastavak)</w:t>
      </w:r>
      <w:r w:rsidRPr="00BF7E5D">
        <w:rPr>
          <w:rFonts w:cs="Arial"/>
          <w:sz w:val="20"/>
          <w:szCs w:val="20"/>
        </w:rPr>
        <w:t>:</w:t>
      </w:r>
    </w:p>
    <w:p w14:paraId="1DC89A16" w14:textId="77777777" w:rsidR="003579C1" w:rsidRPr="003579C1" w:rsidRDefault="003579C1" w:rsidP="003579C1">
      <w:pPr>
        <w:spacing w:after="0" w:line="240" w:lineRule="auto"/>
        <w:jc w:val="both"/>
        <w:rPr>
          <w:rFonts w:cs="Arial"/>
          <w:sz w:val="20"/>
          <w:szCs w:val="20"/>
        </w:rPr>
      </w:pPr>
    </w:p>
    <w:tbl>
      <w:tblPr>
        <w:tblW w:w="5000" w:type="pct"/>
        <w:jc w:val="center"/>
        <w:tblLook w:val="0000" w:firstRow="0" w:lastRow="0" w:firstColumn="0" w:lastColumn="0" w:noHBand="0" w:noVBand="0"/>
      </w:tblPr>
      <w:tblGrid>
        <w:gridCol w:w="3340"/>
        <w:gridCol w:w="62"/>
        <w:gridCol w:w="1442"/>
        <w:gridCol w:w="118"/>
        <w:gridCol w:w="1560"/>
        <w:gridCol w:w="1558"/>
        <w:gridCol w:w="1274"/>
      </w:tblGrid>
      <w:tr w:rsidR="009557C4" w:rsidRPr="009557C4" w14:paraId="4F102F88" w14:textId="77777777" w:rsidTr="00312975">
        <w:trPr>
          <w:jc w:val="center"/>
        </w:trPr>
        <w:tc>
          <w:tcPr>
            <w:tcW w:w="1818" w:type="pct"/>
            <w:gridSpan w:val="2"/>
            <w:vAlign w:val="bottom"/>
          </w:tcPr>
          <w:p w14:paraId="5785AD87" w14:textId="77777777" w:rsidR="009557C4" w:rsidRPr="009557C4" w:rsidRDefault="009557C4" w:rsidP="009557C4">
            <w:pPr>
              <w:spacing w:after="0" w:line="240" w:lineRule="auto"/>
              <w:rPr>
                <w:rFonts w:ascii="Calibri" w:eastAsia="Times New Roman" w:hAnsi="Calibri" w:cs="Arial"/>
                <w:b/>
                <w:bCs/>
                <w:sz w:val="18"/>
                <w:szCs w:val="18"/>
              </w:rPr>
            </w:pPr>
            <w:r w:rsidRPr="009557C4">
              <w:rPr>
                <w:rFonts w:ascii="Calibri" w:eastAsia="Times New Roman" w:hAnsi="Calibri" w:cs="Arial"/>
                <w:b/>
                <w:bCs/>
                <w:sz w:val="18"/>
                <w:szCs w:val="18"/>
              </w:rPr>
              <w:br w:type="page"/>
              <w:t>Grupa</w:t>
            </w:r>
          </w:p>
          <w:p w14:paraId="3E5EF9F2" w14:textId="77777777" w:rsidR="009557C4" w:rsidRPr="009557C4" w:rsidRDefault="009557C4" w:rsidP="009557C4">
            <w:pPr>
              <w:spacing w:after="0" w:line="240" w:lineRule="auto"/>
              <w:rPr>
                <w:rFonts w:ascii="Calibri" w:eastAsia="Times New Roman" w:hAnsi="Calibri" w:cs="Arial"/>
                <w:b/>
                <w:bCs/>
                <w:sz w:val="18"/>
                <w:szCs w:val="18"/>
              </w:rPr>
            </w:pPr>
          </w:p>
          <w:p w14:paraId="5CA793F3" w14:textId="77777777" w:rsidR="009557C4" w:rsidRPr="009557C4" w:rsidRDefault="009557C4" w:rsidP="009557C4">
            <w:pPr>
              <w:spacing w:after="0" w:line="240" w:lineRule="auto"/>
              <w:rPr>
                <w:rFonts w:ascii="Calibri" w:eastAsia="Times New Roman" w:hAnsi="Calibri" w:cs="Arial"/>
                <w:b/>
                <w:bCs/>
                <w:sz w:val="18"/>
                <w:szCs w:val="18"/>
              </w:rPr>
            </w:pPr>
          </w:p>
          <w:p w14:paraId="23E3C5B8" w14:textId="77777777" w:rsidR="009557C4" w:rsidRPr="009557C4" w:rsidRDefault="009557C4" w:rsidP="009557C4">
            <w:pPr>
              <w:spacing w:after="0" w:line="240" w:lineRule="auto"/>
              <w:rPr>
                <w:rFonts w:ascii="Calibri" w:eastAsia="Times New Roman" w:hAnsi="Calibri" w:cs="Arial"/>
                <w:b/>
                <w:bCs/>
                <w:sz w:val="18"/>
                <w:szCs w:val="18"/>
              </w:rPr>
            </w:pPr>
          </w:p>
          <w:p w14:paraId="7424E1A8" w14:textId="77777777" w:rsidR="009557C4" w:rsidRPr="009557C4" w:rsidRDefault="009557C4" w:rsidP="009557C4">
            <w:pPr>
              <w:spacing w:after="0" w:line="240" w:lineRule="auto"/>
              <w:rPr>
                <w:rFonts w:ascii="Calibri" w:eastAsia="Times New Roman" w:hAnsi="Calibri" w:cs="Arial"/>
                <w:b/>
                <w:bCs/>
                <w:sz w:val="18"/>
                <w:szCs w:val="18"/>
              </w:rPr>
            </w:pPr>
          </w:p>
          <w:p w14:paraId="169C592E" w14:textId="77777777" w:rsidR="009557C4" w:rsidRDefault="009557C4" w:rsidP="009557C4">
            <w:pPr>
              <w:spacing w:after="0" w:line="240" w:lineRule="auto"/>
              <w:rPr>
                <w:rFonts w:ascii="Calibri" w:eastAsia="Times New Roman" w:hAnsi="Calibri" w:cs="Arial"/>
                <w:b/>
                <w:sz w:val="18"/>
                <w:szCs w:val="18"/>
              </w:rPr>
            </w:pPr>
            <w:r w:rsidRPr="009557C4">
              <w:rPr>
                <w:rFonts w:ascii="Calibri" w:eastAsia="Times New Roman" w:hAnsi="Calibri" w:cs="Arial"/>
                <w:b/>
                <w:sz w:val="18"/>
                <w:szCs w:val="18"/>
              </w:rPr>
              <w:t>31.12.2016.</w:t>
            </w:r>
          </w:p>
          <w:p w14:paraId="45F1E49D" w14:textId="2D0792ED" w:rsidR="009557C4" w:rsidRPr="009557C4" w:rsidRDefault="009557C4" w:rsidP="009557C4">
            <w:pPr>
              <w:spacing w:after="0" w:line="240" w:lineRule="auto"/>
              <w:rPr>
                <w:rFonts w:ascii="Calibri" w:eastAsia="Times New Roman" w:hAnsi="Calibri" w:cs="Arial"/>
                <w:b/>
                <w:sz w:val="18"/>
                <w:szCs w:val="18"/>
              </w:rPr>
            </w:pPr>
          </w:p>
        </w:tc>
        <w:tc>
          <w:tcPr>
            <w:tcW w:w="834" w:type="pct"/>
            <w:gridSpan w:val="2"/>
            <w:vAlign w:val="bottom"/>
          </w:tcPr>
          <w:p w14:paraId="6BDC3B2A" w14:textId="77777777" w:rsidR="009557C4" w:rsidRPr="009557C4" w:rsidRDefault="009557C4" w:rsidP="009557C4">
            <w:pPr>
              <w:spacing w:after="0" w:line="240" w:lineRule="auto"/>
              <w:jc w:val="right"/>
              <w:rPr>
                <w:rFonts w:ascii="Calibri" w:eastAsia="Times New Roman" w:hAnsi="Calibri" w:cs="Arial"/>
                <w:b/>
                <w:sz w:val="18"/>
                <w:szCs w:val="18"/>
              </w:rPr>
            </w:pPr>
            <w:r w:rsidRPr="009557C4">
              <w:rPr>
                <w:rFonts w:ascii="Calibri" w:eastAsia="Times New Roman" w:hAnsi="Calibri" w:cs="Arial"/>
                <w:b/>
                <w:sz w:val="18"/>
                <w:szCs w:val="18"/>
              </w:rPr>
              <w:t>Bruto izloženost imovine koja nije umanjena niti dospjela nenaplaćena</w:t>
            </w:r>
          </w:p>
          <w:p w14:paraId="7AD6BC2E" w14:textId="77777777" w:rsidR="009557C4" w:rsidRPr="009557C4" w:rsidRDefault="009557C4" w:rsidP="009557C4">
            <w:pPr>
              <w:spacing w:after="0" w:line="240" w:lineRule="auto"/>
              <w:jc w:val="right"/>
              <w:rPr>
                <w:rFonts w:ascii="Calibri" w:eastAsia="Times New Roman" w:hAnsi="Calibri" w:cs="Arial"/>
                <w:b/>
                <w:sz w:val="18"/>
                <w:szCs w:val="18"/>
              </w:rPr>
            </w:pPr>
          </w:p>
        </w:tc>
        <w:tc>
          <w:tcPr>
            <w:tcW w:w="834" w:type="pct"/>
            <w:vAlign w:val="bottom"/>
          </w:tcPr>
          <w:p w14:paraId="1AFE2FB8" w14:textId="77777777" w:rsidR="009557C4" w:rsidRPr="009557C4" w:rsidRDefault="009557C4" w:rsidP="009557C4">
            <w:pPr>
              <w:spacing w:after="0" w:line="240" w:lineRule="auto"/>
              <w:jc w:val="right"/>
              <w:rPr>
                <w:rFonts w:ascii="Calibri" w:eastAsia="Times New Roman" w:hAnsi="Calibri" w:cs="Arial"/>
                <w:b/>
                <w:sz w:val="18"/>
                <w:szCs w:val="18"/>
              </w:rPr>
            </w:pPr>
            <w:r w:rsidRPr="009557C4">
              <w:rPr>
                <w:rFonts w:ascii="Calibri" w:eastAsia="Times New Roman" w:hAnsi="Calibri" w:cs="Arial"/>
                <w:b/>
                <w:sz w:val="18"/>
                <w:szCs w:val="18"/>
              </w:rPr>
              <w:t>Bruto izloženost imovine koja je dospjela nenaplaćena i nije umanjena</w:t>
            </w:r>
          </w:p>
          <w:p w14:paraId="247954D3" w14:textId="77777777" w:rsidR="009557C4" w:rsidRPr="009557C4" w:rsidRDefault="009557C4" w:rsidP="009557C4">
            <w:pPr>
              <w:spacing w:after="0" w:line="240" w:lineRule="auto"/>
              <w:jc w:val="right"/>
              <w:rPr>
                <w:rFonts w:ascii="Calibri" w:eastAsia="Times New Roman" w:hAnsi="Calibri" w:cs="Arial"/>
                <w:b/>
                <w:sz w:val="18"/>
                <w:szCs w:val="18"/>
              </w:rPr>
            </w:pPr>
          </w:p>
        </w:tc>
        <w:tc>
          <w:tcPr>
            <w:tcW w:w="833" w:type="pct"/>
            <w:vAlign w:val="bottom"/>
          </w:tcPr>
          <w:p w14:paraId="5DB7F838" w14:textId="77777777" w:rsidR="009557C4" w:rsidRPr="009557C4" w:rsidRDefault="009557C4" w:rsidP="009557C4">
            <w:pPr>
              <w:spacing w:after="0" w:line="240" w:lineRule="auto"/>
              <w:jc w:val="right"/>
              <w:rPr>
                <w:rFonts w:ascii="Calibri" w:eastAsia="Times New Roman" w:hAnsi="Calibri" w:cs="Arial"/>
                <w:b/>
                <w:sz w:val="18"/>
                <w:szCs w:val="18"/>
              </w:rPr>
            </w:pPr>
            <w:r w:rsidRPr="009557C4">
              <w:rPr>
                <w:rFonts w:ascii="Calibri" w:eastAsia="Times New Roman" w:hAnsi="Calibri" w:cs="Arial"/>
                <w:b/>
                <w:sz w:val="18"/>
                <w:szCs w:val="18"/>
              </w:rPr>
              <w:t>Bruto izloženost imovine umanjene na pojedinačnoj osnovi</w:t>
            </w:r>
          </w:p>
          <w:p w14:paraId="75BA66D0" w14:textId="77777777" w:rsidR="009557C4" w:rsidRPr="009557C4" w:rsidRDefault="009557C4" w:rsidP="009557C4">
            <w:pPr>
              <w:spacing w:after="0" w:line="240" w:lineRule="auto"/>
              <w:jc w:val="right"/>
              <w:rPr>
                <w:rFonts w:ascii="Calibri" w:eastAsia="Times New Roman" w:hAnsi="Calibri" w:cs="Arial"/>
                <w:b/>
                <w:sz w:val="18"/>
                <w:szCs w:val="18"/>
              </w:rPr>
            </w:pPr>
          </w:p>
        </w:tc>
        <w:tc>
          <w:tcPr>
            <w:tcW w:w="681" w:type="pct"/>
            <w:vAlign w:val="bottom"/>
          </w:tcPr>
          <w:p w14:paraId="0B073E0A" w14:textId="77777777" w:rsidR="009557C4" w:rsidRPr="009557C4" w:rsidRDefault="009557C4" w:rsidP="009557C4">
            <w:pPr>
              <w:spacing w:after="0" w:line="240" w:lineRule="auto"/>
              <w:jc w:val="right"/>
              <w:rPr>
                <w:rFonts w:ascii="Calibri" w:eastAsia="Times New Roman" w:hAnsi="Calibri" w:cs="Arial"/>
                <w:b/>
                <w:sz w:val="18"/>
                <w:szCs w:val="18"/>
              </w:rPr>
            </w:pPr>
            <w:r w:rsidRPr="009557C4">
              <w:rPr>
                <w:rFonts w:ascii="Calibri" w:eastAsia="Times New Roman" w:hAnsi="Calibri" w:cs="Arial"/>
                <w:b/>
                <w:sz w:val="18"/>
                <w:szCs w:val="18"/>
              </w:rPr>
              <w:t>Ukupno</w:t>
            </w:r>
          </w:p>
          <w:p w14:paraId="2FE3BE81" w14:textId="77777777" w:rsidR="009557C4" w:rsidRPr="009557C4" w:rsidRDefault="009557C4" w:rsidP="009557C4">
            <w:pPr>
              <w:spacing w:after="0" w:line="240" w:lineRule="auto"/>
              <w:jc w:val="right"/>
              <w:rPr>
                <w:rFonts w:ascii="Calibri" w:eastAsia="Times New Roman" w:hAnsi="Calibri" w:cs="Arial"/>
                <w:b/>
                <w:sz w:val="18"/>
                <w:szCs w:val="18"/>
              </w:rPr>
            </w:pPr>
          </w:p>
        </w:tc>
      </w:tr>
      <w:tr w:rsidR="009557C4" w:rsidRPr="009557C4" w14:paraId="05F1D369" w14:textId="77777777" w:rsidTr="00312975">
        <w:trPr>
          <w:jc w:val="center"/>
        </w:trPr>
        <w:tc>
          <w:tcPr>
            <w:tcW w:w="1818" w:type="pct"/>
            <w:gridSpan w:val="2"/>
          </w:tcPr>
          <w:p w14:paraId="4C9AC0C1" w14:textId="77777777" w:rsidR="009557C4" w:rsidRPr="009557C4" w:rsidRDefault="009557C4" w:rsidP="009557C4">
            <w:pPr>
              <w:tabs>
                <w:tab w:val="right" w:pos="1202"/>
              </w:tabs>
              <w:spacing w:after="0" w:line="301" w:lineRule="exact"/>
              <w:outlineLvl w:val="0"/>
              <w:rPr>
                <w:rFonts w:ascii="Calibri" w:eastAsia="Times New Roman" w:hAnsi="Calibri" w:cs="Arial"/>
                <w:b/>
                <w:bCs/>
                <w:sz w:val="18"/>
                <w:szCs w:val="18"/>
              </w:rPr>
            </w:pPr>
            <w:r w:rsidRPr="009557C4">
              <w:rPr>
                <w:rFonts w:ascii="Calibri" w:eastAsia="Times New Roman" w:hAnsi="Calibri" w:cs="Arial"/>
                <w:b/>
                <w:bCs/>
                <w:sz w:val="18"/>
                <w:szCs w:val="18"/>
              </w:rPr>
              <w:t>Imovina</w:t>
            </w:r>
          </w:p>
        </w:tc>
        <w:tc>
          <w:tcPr>
            <w:tcW w:w="834" w:type="pct"/>
            <w:gridSpan w:val="2"/>
          </w:tcPr>
          <w:p w14:paraId="67E190D1" w14:textId="77777777" w:rsidR="009557C4" w:rsidRPr="009557C4" w:rsidRDefault="009557C4" w:rsidP="009557C4">
            <w:pPr>
              <w:tabs>
                <w:tab w:val="right" w:pos="1202"/>
              </w:tabs>
              <w:spacing w:after="0" w:line="301" w:lineRule="exact"/>
              <w:outlineLvl w:val="0"/>
              <w:rPr>
                <w:rFonts w:ascii="Calibri" w:eastAsia="Times New Roman" w:hAnsi="Calibri" w:cs="Arial"/>
                <w:b/>
                <w:bCs/>
                <w:sz w:val="18"/>
                <w:szCs w:val="18"/>
              </w:rPr>
            </w:pPr>
          </w:p>
        </w:tc>
        <w:tc>
          <w:tcPr>
            <w:tcW w:w="834" w:type="pct"/>
          </w:tcPr>
          <w:p w14:paraId="537D808F" w14:textId="77777777" w:rsidR="009557C4" w:rsidRPr="009557C4" w:rsidRDefault="009557C4" w:rsidP="009557C4">
            <w:pPr>
              <w:tabs>
                <w:tab w:val="right" w:pos="1202"/>
              </w:tabs>
              <w:spacing w:after="0" w:line="301" w:lineRule="exact"/>
              <w:outlineLvl w:val="0"/>
              <w:rPr>
                <w:rFonts w:ascii="Calibri" w:eastAsia="Times New Roman" w:hAnsi="Calibri" w:cs="Arial"/>
                <w:b/>
                <w:bCs/>
                <w:sz w:val="18"/>
                <w:szCs w:val="18"/>
              </w:rPr>
            </w:pPr>
          </w:p>
        </w:tc>
        <w:tc>
          <w:tcPr>
            <w:tcW w:w="833" w:type="pct"/>
          </w:tcPr>
          <w:p w14:paraId="10B9D79A" w14:textId="77777777" w:rsidR="009557C4" w:rsidRPr="009557C4" w:rsidRDefault="009557C4" w:rsidP="009557C4">
            <w:pPr>
              <w:tabs>
                <w:tab w:val="right" w:pos="1202"/>
              </w:tabs>
              <w:spacing w:after="0" w:line="301" w:lineRule="exact"/>
              <w:outlineLvl w:val="0"/>
              <w:rPr>
                <w:rFonts w:ascii="Calibri" w:eastAsia="Times New Roman" w:hAnsi="Calibri" w:cs="Arial"/>
                <w:b/>
                <w:bCs/>
                <w:sz w:val="18"/>
                <w:szCs w:val="18"/>
              </w:rPr>
            </w:pPr>
          </w:p>
        </w:tc>
        <w:tc>
          <w:tcPr>
            <w:tcW w:w="681" w:type="pct"/>
          </w:tcPr>
          <w:p w14:paraId="4490E6C4" w14:textId="77777777" w:rsidR="009557C4" w:rsidRPr="009557C4" w:rsidRDefault="009557C4" w:rsidP="009557C4">
            <w:pPr>
              <w:tabs>
                <w:tab w:val="right" w:pos="1202"/>
              </w:tabs>
              <w:spacing w:after="0" w:line="301" w:lineRule="exact"/>
              <w:outlineLvl w:val="0"/>
              <w:rPr>
                <w:rFonts w:ascii="Calibri" w:eastAsia="Times New Roman" w:hAnsi="Calibri" w:cs="Arial"/>
                <w:b/>
                <w:bCs/>
                <w:sz w:val="18"/>
                <w:szCs w:val="18"/>
              </w:rPr>
            </w:pPr>
          </w:p>
        </w:tc>
      </w:tr>
      <w:tr w:rsidR="009557C4" w:rsidRPr="009557C4" w14:paraId="333F41E2" w14:textId="77777777" w:rsidTr="00312975">
        <w:trPr>
          <w:jc w:val="center"/>
        </w:trPr>
        <w:tc>
          <w:tcPr>
            <w:tcW w:w="1818" w:type="pct"/>
            <w:gridSpan w:val="2"/>
          </w:tcPr>
          <w:p w14:paraId="29480D55" w14:textId="77777777" w:rsidR="009557C4" w:rsidRPr="009557C4" w:rsidRDefault="009557C4" w:rsidP="009557C4">
            <w:pPr>
              <w:tabs>
                <w:tab w:val="right" w:pos="1202"/>
              </w:tabs>
              <w:spacing w:after="0" w:line="240" w:lineRule="exact"/>
              <w:outlineLvl w:val="0"/>
              <w:rPr>
                <w:rFonts w:ascii="Calibri" w:eastAsia="Times New Roman" w:hAnsi="Calibri" w:cs="Arial"/>
                <w:sz w:val="18"/>
                <w:szCs w:val="18"/>
              </w:rPr>
            </w:pPr>
            <w:r w:rsidRPr="009557C4">
              <w:rPr>
                <w:rFonts w:ascii="Calibri" w:eastAsia="Times New Roman" w:hAnsi="Calibri" w:cs="Arial"/>
                <w:sz w:val="18"/>
                <w:szCs w:val="18"/>
              </w:rPr>
              <w:t>Novčana sredstva i računi kod banaka</w:t>
            </w:r>
          </w:p>
        </w:tc>
        <w:tc>
          <w:tcPr>
            <w:tcW w:w="834" w:type="pct"/>
            <w:gridSpan w:val="2"/>
            <w:tcBorders>
              <w:top w:val="nil"/>
              <w:left w:val="nil"/>
              <w:bottom w:val="nil"/>
              <w:right w:val="nil"/>
            </w:tcBorders>
            <w:shd w:val="clear" w:color="auto" w:fill="auto"/>
            <w:vAlign w:val="bottom"/>
          </w:tcPr>
          <w:p w14:paraId="4C343378"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491.243</w:t>
            </w:r>
          </w:p>
        </w:tc>
        <w:tc>
          <w:tcPr>
            <w:tcW w:w="834" w:type="pct"/>
            <w:tcBorders>
              <w:top w:val="nil"/>
              <w:left w:val="nil"/>
              <w:bottom w:val="nil"/>
              <w:right w:val="nil"/>
            </w:tcBorders>
            <w:shd w:val="clear" w:color="auto" w:fill="auto"/>
            <w:vAlign w:val="bottom"/>
          </w:tcPr>
          <w:p w14:paraId="09A76846"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833" w:type="pct"/>
            <w:tcBorders>
              <w:top w:val="nil"/>
              <w:left w:val="nil"/>
              <w:bottom w:val="nil"/>
              <w:right w:val="nil"/>
            </w:tcBorders>
            <w:shd w:val="clear" w:color="auto" w:fill="auto"/>
            <w:vAlign w:val="bottom"/>
          </w:tcPr>
          <w:p w14:paraId="76580B8F"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681" w:type="pct"/>
            <w:tcBorders>
              <w:top w:val="nil"/>
              <w:left w:val="nil"/>
              <w:bottom w:val="nil"/>
              <w:right w:val="nil"/>
            </w:tcBorders>
            <w:shd w:val="clear" w:color="auto" w:fill="auto"/>
            <w:vAlign w:val="bottom"/>
          </w:tcPr>
          <w:p w14:paraId="2AC06DC1"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491.243</w:t>
            </w:r>
          </w:p>
        </w:tc>
      </w:tr>
      <w:tr w:rsidR="009557C4" w:rsidRPr="009557C4" w14:paraId="637A5224" w14:textId="77777777" w:rsidTr="00312975">
        <w:trPr>
          <w:jc w:val="center"/>
        </w:trPr>
        <w:tc>
          <w:tcPr>
            <w:tcW w:w="1818" w:type="pct"/>
            <w:gridSpan w:val="2"/>
          </w:tcPr>
          <w:p w14:paraId="1CCF3A7E" w14:textId="77777777" w:rsidR="009557C4" w:rsidRPr="009557C4" w:rsidRDefault="009557C4" w:rsidP="009557C4">
            <w:pPr>
              <w:tabs>
                <w:tab w:val="right" w:pos="1202"/>
              </w:tabs>
              <w:spacing w:after="0" w:line="240" w:lineRule="exact"/>
              <w:outlineLvl w:val="0"/>
              <w:rPr>
                <w:rFonts w:ascii="Calibri" w:eastAsia="Times New Roman" w:hAnsi="Calibri" w:cs="Arial"/>
                <w:sz w:val="18"/>
                <w:szCs w:val="18"/>
              </w:rPr>
            </w:pPr>
            <w:r w:rsidRPr="009557C4">
              <w:rPr>
                <w:rFonts w:ascii="Calibri" w:eastAsia="Times New Roman" w:hAnsi="Calibri" w:cs="Arial"/>
                <w:sz w:val="18"/>
                <w:szCs w:val="18"/>
              </w:rPr>
              <w:t>Depoziti kod drugih banaka</w:t>
            </w:r>
          </w:p>
        </w:tc>
        <w:tc>
          <w:tcPr>
            <w:tcW w:w="834" w:type="pct"/>
            <w:gridSpan w:val="2"/>
            <w:tcBorders>
              <w:top w:val="nil"/>
              <w:left w:val="nil"/>
              <w:bottom w:val="nil"/>
              <w:right w:val="nil"/>
            </w:tcBorders>
            <w:shd w:val="clear" w:color="auto" w:fill="auto"/>
            <w:vAlign w:val="bottom"/>
          </w:tcPr>
          <w:p w14:paraId="5503C0E0"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23.872</w:t>
            </w:r>
          </w:p>
        </w:tc>
        <w:tc>
          <w:tcPr>
            <w:tcW w:w="834" w:type="pct"/>
            <w:tcBorders>
              <w:top w:val="nil"/>
              <w:left w:val="nil"/>
              <w:bottom w:val="nil"/>
              <w:right w:val="nil"/>
            </w:tcBorders>
            <w:shd w:val="clear" w:color="auto" w:fill="auto"/>
            <w:vAlign w:val="bottom"/>
          </w:tcPr>
          <w:p w14:paraId="0C0B27B2"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833" w:type="pct"/>
            <w:tcBorders>
              <w:top w:val="nil"/>
              <w:left w:val="nil"/>
              <w:bottom w:val="nil"/>
              <w:right w:val="nil"/>
            </w:tcBorders>
            <w:shd w:val="clear" w:color="auto" w:fill="auto"/>
            <w:vAlign w:val="bottom"/>
          </w:tcPr>
          <w:p w14:paraId="22FE94BC"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681" w:type="pct"/>
            <w:tcBorders>
              <w:top w:val="nil"/>
              <w:left w:val="nil"/>
              <w:bottom w:val="nil"/>
              <w:right w:val="nil"/>
            </w:tcBorders>
            <w:shd w:val="clear" w:color="auto" w:fill="auto"/>
            <w:vAlign w:val="bottom"/>
          </w:tcPr>
          <w:p w14:paraId="1B9CA533"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23.872</w:t>
            </w:r>
          </w:p>
        </w:tc>
      </w:tr>
      <w:tr w:rsidR="009557C4" w:rsidRPr="009557C4" w14:paraId="1F7D8C30" w14:textId="77777777" w:rsidTr="00312975">
        <w:trPr>
          <w:jc w:val="center"/>
        </w:trPr>
        <w:tc>
          <w:tcPr>
            <w:tcW w:w="1818" w:type="pct"/>
            <w:gridSpan w:val="2"/>
          </w:tcPr>
          <w:p w14:paraId="66AE2D41" w14:textId="77777777" w:rsidR="009557C4" w:rsidRPr="009557C4" w:rsidRDefault="009557C4" w:rsidP="009557C4">
            <w:pPr>
              <w:tabs>
                <w:tab w:val="right" w:pos="1202"/>
              </w:tabs>
              <w:spacing w:after="0" w:line="240" w:lineRule="exact"/>
              <w:outlineLvl w:val="0"/>
              <w:rPr>
                <w:rFonts w:ascii="Calibri" w:eastAsia="Times New Roman" w:hAnsi="Calibri" w:cs="Arial"/>
                <w:sz w:val="18"/>
                <w:szCs w:val="18"/>
              </w:rPr>
            </w:pPr>
            <w:r w:rsidRPr="009557C4">
              <w:rPr>
                <w:rFonts w:ascii="Calibri" w:eastAsia="Times New Roman" w:hAnsi="Calibri" w:cs="Arial"/>
                <w:sz w:val="18"/>
                <w:szCs w:val="18"/>
              </w:rPr>
              <w:t>Krediti financijskim institucijama</w:t>
            </w:r>
          </w:p>
        </w:tc>
        <w:tc>
          <w:tcPr>
            <w:tcW w:w="834" w:type="pct"/>
            <w:gridSpan w:val="2"/>
            <w:tcBorders>
              <w:top w:val="nil"/>
              <w:left w:val="nil"/>
              <w:bottom w:val="nil"/>
              <w:right w:val="nil"/>
            </w:tcBorders>
            <w:shd w:val="clear" w:color="auto" w:fill="auto"/>
            <w:vAlign w:val="bottom"/>
          </w:tcPr>
          <w:p w14:paraId="430B1252"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11.259.676</w:t>
            </w:r>
          </w:p>
        </w:tc>
        <w:tc>
          <w:tcPr>
            <w:tcW w:w="834" w:type="pct"/>
            <w:tcBorders>
              <w:top w:val="nil"/>
              <w:left w:val="nil"/>
              <w:bottom w:val="nil"/>
              <w:right w:val="nil"/>
            </w:tcBorders>
            <w:shd w:val="clear" w:color="auto" w:fill="auto"/>
            <w:vAlign w:val="bottom"/>
          </w:tcPr>
          <w:p w14:paraId="1ACAA95C"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212.454</w:t>
            </w:r>
          </w:p>
        </w:tc>
        <w:tc>
          <w:tcPr>
            <w:tcW w:w="833" w:type="pct"/>
            <w:tcBorders>
              <w:top w:val="nil"/>
              <w:left w:val="nil"/>
              <w:bottom w:val="nil"/>
              <w:right w:val="nil"/>
            </w:tcBorders>
            <w:shd w:val="clear" w:color="auto" w:fill="auto"/>
            <w:vAlign w:val="bottom"/>
          </w:tcPr>
          <w:p w14:paraId="6BCFF288"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416.981</w:t>
            </w:r>
          </w:p>
        </w:tc>
        <w:tc>
          <w:tcPr>
            <w:tcW w:w="681" w:type="pct"/>
            <w:tcBorders>
              <w:top w:val="nil"/>
              <w:left w:val="nil"/>
              <w:bottom w:val="nil"/>
              <w:right w:val="nil"/>
            </w:tcBorders>
            <w:shd w:val="clear" w:color="auto" w:fill="auto"/>
            <w:vAlign w:val="bottom"/>
          </w:tcPr>
          <w:p w14:paraId="23982985"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11.889.111</w:t>
            </w:r>
          </w:p>
        </w:tc>
      </w:tr>
      <w:tr w:rsidR="009557C4" w:rsidRPr="009557C4" w14:paraId="25E72D58" w14:textId="77777777" w:rsidTr="00312975">
        <w:trPr>
          <w:jc w:val="center"/>
        </w:trPr>
        <w:tc>
          <w:tcPr>
            <w:tcW w:w="1818" w:type="pct"/>
            <w:gridSpan w:val="2"/>
          </w:tcPr>
          <w:p w14:paraId="2E77E21C" w14:textId="77777777" w:rsidR="009557C4" w:rsidRPr="009557C4" w:rsidRDefault="009557C4" w:rsidP="009557C4">
            <w:pPr>
              <w:tabs>
                <w:tab w:val="right" w:pos="1202"/>
              </w:tabs>
              <w:spacing w:after="0" w:line="240" w:lineRule="exact"/>
              <w:outlineLvl w:val="0"/>
              <w:rPr>
                <w:rFonts w:ascii="Calibri" w:eastAsia="Times New Roman" w:hAnsi="Calibri" w:cs="Arial"/>
                <w:sz w:val="18"/>
                <w:szCs w:val="18"/>
              </w:rPr>
            </w:pPr>
            <w:r w:rsidRPr="009557C4">
              <w:rPr>
                <w:rFonts w:ascii="Calibri" w:eastAsia="Times New Roman" w:hAnsi="Calibri" w:cs="Arial"/>
                <w:sz w:val="18"/>
                <w:szCs w:val="18"/>
              </w:rPr>
              <w:t>Krediti ostalim korisnicima</w:t>
            </w:r>
          </w:p>
        </w:tc>
        <w:tc>
          <w:tcPr>
            <w:tcW w:w="834" w:type="pct"/>
            <w:gridSpan w:val="2"/>
            <w:tcBorders>
              <w:top w:val="nil"/>
              <w:left w:val="nil"/>
              <w:bottom w:val="nil"/>
              <w:right w:val="nil"/>
            </w:tcBorders>
            <w:shd w:val="clear" w:color="auto" w:fill="auto"/>
            <w:vAlign w:val="bottom"/>
          </w:tcPr>
          <w:p w14:paraId="482A0963"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10.249.918</w:t>
            </w:r>
          </w:p>
        </w:tc>
        <w:tc>
          <w:tcPr>
            <w:tcW w:w="834" w:type="pct"/>
            <w:tcBorders>
              <w:top w:val="nil"/>
              <w:left w:val="nil"/>
              <w:bottom w:val="nil"/>
              <w:right w:val="nil"/>
            </w:tcBorders>
            <w:shd w:val="clear" w:color="auto" w:fill="auto"/>
            <w:vAlign w:val="bottom"/>
          </w:tcPr>
          <w:p w14:paraId="0FB7042B"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165.766</w:t>
            </w:r>
          </w:p>
        </w:tc>
        <w:tc>
          <w:tcPr>
            <w:tcW w:w="833" w:type="pct"/>
            <w:tcBorders>
              <w:top w:val="nil"/>
              <w:left w:val="nil"/>
              <w:bottom w:val="nil"/>
              <w:right w:val="nil"/>
            </w:tcBorders>
            <w:shd w:val="clear" w:color="auto" w:fill="auto"/>
            <w:vAlign w:val="bottom"/>
          </w:tcPr>
          <w:p w14:paraId="7B2799FE"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1.095.510</w:t>
            </w:r>
          </w:p>
        </w:tc>
        <w:tc>
          <w:tcPr>
            <w:tcW w:w="681" w:type="pct"/>
            <w:tcBorders>
              <w:top w:val="nil"/>
              <w:left w:val="nil"/>
              <w:bottom w:val="nil"/>
              <w:right w:val="nil"/>
            </w:tcBorders>
            <w:shd w:val="clear" w:color="auto" w:fill="auto"/>
            <w:vAlign w:val="bottom"/>
          </w:tcPr>
          <w:p w14:paraId="394BA434"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11.511.194</w:t>
            </w:r>
          </w:p>
        </w:tc>
      </w:tr>
      <w:tr w:rsidR="009557C4" w:rsidRPr="009557C4" w14:paraId="26546B08" w14:textId="77777777" w:rsidTr="00312975">
        <w:trPr>
          <w:jc w:val="center"/>
        </w:trPr>
        <w:tc>
          <w:tcPr>
            <w:tcW w:w="1818" w:type="pct"/>
            <w:gridSpan w:val="2"/>
          </w:tcPr>
          <w:p w14:paraId="30C34344" w14:textId="77777777" w:rsidR="009557C4" w:rsidRPr="009557C4" w:rsidRDefault="009557C4" w:rsidP="009557C4">
            <w:pPr>
              <w:tabs>
                <w:tab w:val="right" w:pos="1202"/>
              </w:tabs>
              <w:spacing w:after="0" w:line="240" w:lineRule="exact"/>
              <w:outlineLvl w:val="0"/>
              <w:rPr>
                <w:rFonts w:ascii="Calibri" w:eastAsia="Times New Roman" w:hAnsi="Calibri" w:cs="Arial"/>
                <w:sz w:val="18"/>
                <w:szCs w:val="18"/>
              </w:rPr>
            </w:pPr>
            <w:r w:rsidRPr="009557C4">
              <w:rPr>
                <w:rFonts w:ascii="Calibri" w:eastAsia="Times New Roman" w:hAnsi="Calibri" w:cs="Arial"/>
                <w:sz w:val="18"/>
                <w:szCs w:val="18"/>
              </w:rPr>
              <w:t>Financijska imovina po fer vrijednosti kroz izvještaj o dobiti i gubitku</w:t>
            </w:r>
          </w:p>
        </w:tc>
        <w:tc>
          <w:tcPr>
            <w:tcW w:w="834" w:type="pct"/>
            <w:gridSpan w:val="2"/>
            <w:tcBorders>
              <w:top w:val="nil"/>
              <w:left w:val="nil"/>
              <w:bottom w:val="nil"/>
              <w:right w:val="nil"/>
            </w:tcBorders>
            <w:shd w:val="clear" w:color="auto" w:fill="auto"/>
            <w:vAlign w:val="bottom"/>
          </w:tcPr>
          <w:p w14:paraId="4DF84751"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286</w:t>
            </w:r>
          </w:p>
        </w:tc>
        <w:tc>
          <w:tcPr>
            <w:tcW w:w="834" w:type="pct"/>
            <w:tcBorders>
              <w:top w:val="nil"/>
              <w:left w:val="nil"/>
              <w:bottom w:val="nil"/>
              <w:right w:val="nil"/>
            </w:tcBorders>
            <w:shd w:val="clear" w:color="auto" w:fill="auto"/>
            <w:vAlign w:val="bottom"/>
          </w:tcPr>
          <w:p w14:paraId="48D4D06F"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833" w:type="pct"/>
            <w:tcBorders>
              <w:top w:val="nil"/>
              <w:left w:val="nil"/>
              <w:bottom w:val="nil"/>
              <w:right w:val="nil"/>
            </w:tcBorders>
            <w:shd w:val="clear" w:color="auto" w:fill="auto"/>
            <w:vAlign w:val="bottom"/>
          </w:tcPr>
          <w:p w14:paraId="274CFC48"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681" w:type="pct"/>
            <w:tcBorders>
              <w:top w:val="nil"/>
              <w:left w:val="nil"/>
              <w:bottom w:val="nil"/>
              <w:right w:val="nil"/>
            </w:tcBorders>
            <w:shd w:val="clear" w:color="auto" w:fill="auto"/>
            <w:vAlign w:val="bottom"/>
          </w:tcPr>
          <w:p w14:paraId="4F771459"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286</w:t>
            </w:r>
          </w:p>
        </w:tc>
      </w:tr>
      <w:tr w:rsidR="009557C4" w:rsidRPr="009557C4" w14:paraId="4B6E8DB3" w14:textId="77777777" w:rsidTr="00312975">
        <w:trPr>
          <w:jc w:val="center"/>
        </w:trPr>
        <w:tc>
          <w:tcPr>
            <w:tcW w:w="1818" w:type="pct"/>
            <w:gridSpan w:val="2"/>
          </w:tcPr>
          <w:p w14:paraId="0F9ADD70" w14:textId="77777777" w:rsidR="009557C4" w:rsidRPr="009557C4" w:rsidRDefault="009557C4" w:rsidP="009557C4">
            <w:pPr>
              <w:tabs>
                <w:tab w:val="right" w:pos="1202"/>
              </w:tabs>
              <w:spacing w:after="0" w:line="240" w:lineRule="exact"/>
              <w:outlineLvl w:val="0"/>
              <w:rPr>
                <w:rFonts w:ascii="Calibri" w:eastAsia="Times New Roman" w:hAnsi="Calibri" w:cs="Arial"/>
                <w:sz w:val="18"/>
                <w:szCs w:val="18"/>
              </w:rPr>
            </w:pPr>
            <w:r w:rsidRPr="009557C4">
              <w:rPr>
                <w:rFonts w:ascii="Calibri" w:eastAsia="Times New Roman" w:hAnsi="Calibri" w:cs="Arial"/>
                <w:sz w:val="18"/>
                <w:szCs w:val="18"/>
              </w:rPr>
              <w:t>Imovina raspoloživa za prodaju</w:t>
            </w:r>
          </w:p>
        </w:tc>
        <w:tc>
          <w:tcPr>
            <w:tcW w:w="834" w:type="pct"/>
            <w:gridSpan w:val="2"/>
            <w:tcBorders>
              <w:top w:val="nil"/>
              <w:left w:val="nil"/>
              <w:bottom w:val="nil"/>
              <w:right w:val="nil"/>
            </w:tcBorders>
            <w:shd w:val="clear" w:color="auto" w:fill="auto"/>
            <w:vAlign w:val="bottom"/>
          </w:tcPr>
          <w:p w14:paraId="432DC8C3"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3.353.086</w:t>
            </w:r>
          </w:p>
        </w:tc>
        <w:tc>
          <w:tcPr>
            <w:tcW w:w="834" w:type="pct"/>
            <w:tcBorders>
              <w:top w:val="nil"/>
              <w:left w:val="nil"/>
              <w:bottom w:val="nil"/>
              <w:right w:val="nil"/>
            </w:tcBorders>
            <w:shd w:val="clear" w:color="auto" w:fill="auto"/>
            <w:vAlign w:val="bottom"/>
          </w:tcPr>
          <w:p w14:paraId="4E7BA7B9"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833" w:type="pct"/>
            <w:tcBorders>
              <w:top w:val="nil"/>
              <w:left w:val="nil"/>
              <w:bottom w:val="nil"/>
              <w:right w:val="nil"/>
            </w:tcBorders>
            <w:shd w:val="clear" w:color="auto" w:fill="auto"/>
            <w:vAlign w:val="bottom"/>
          </w:tcPr>
          <w:p w14:paraId="78DE3799"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681" w:type="pct"/>
            <w:tcBorders>
              <w:top w:val="nil"/>
              <w:left w:val="nil"/>
              <w:bottom w:val="nil"/>
              <w:right w:val="nil"/>
            </w:tcBorders>
            <w:shd w:val="clear" w:color="auto" w:fill="auto"/>
            <w:vAlign w:val="bottom"/>
          </w:tcPr>
          <w:p w14:paraId="0007EF28"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3.353.086</w:t>
            </w:r>
          </w:p>
        </w:tc>
      </w:tr>
      <w:tr w:rsidR="009557C4" w:rsidRPr="009557C4" w14:paraId="06C624B9" w14:textId="77777777" w:rsidTr="00312975">
        <w:trPr>
          <w:jc w:val="center"/>
        </w:trPr>
        <w:tc>
          <w:tcPr>
            <w:tcW w:w="1818" w:type="pct"/>
            <w:gridSpan w:val="2"/>
          </w:tcPr>
          <w:p w14:paraId="6B3EE065" w14:textId="77777777" w:rsidR="009557C4" w:rsidRPr="009557C4" w:rsidRDefault="009557C4" w:rsidP="009557C4">
            <w:pPr>
              <w:tabs>
                <w:tab w:val="right" w:pos="1202"/>
              </w:tabs>
              <w:spacing w:after="0" w:line="240" w:lineRule="exact"/>
              <w:outlineLvl w:val="0"/>
              <w:rPr>
                <w:rFonts w:ascii="Calibri" w:eastAsia="Times New Roman" w:hAnsi="Calibri" w:cs="Arial"/>
                <w:sz w:val="18"/>
                <w:szCs w:val="18"/>
              </w:rPr>
            </w:pPr>
            <w:r w:rsidRPr="009557C4">
              <w:rPr>
                <w:rFonts w:ascii="Calibri" w:eastAsia="Times New Roman" w:hAnsi="Calibri" w:cs="Arial"/>
                <w:sz w:val="18"/>
                <w:szCs w:val="18"/>
              </w:rPr>
              <w:t>Imovina koja se drži do dospijeća</w:t>
            </w:r>
          </w:p>
        </w:tc>
        <w:tc>
          <w:tcPr>
            <w:tcW w:w="834" w:type="pct"/>
            <w:gridSpan w:val="2"/>
            <w:tcBorders>
              <w:top w:val="nil"/>
              <w:left w:val="nil"/>
              <w:bottom w:val="nil"/>
              <w:right w:val="nil"/>
            </w:tcBorders>
            <w:shd w:val="clear" w:color="auto" w:fill="auto"/>
            <w:vAlign w:val="bottom"/>
          </w:tcPr>
          <w:p w14:paraId="66337E65"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1.422</w:t>
            </w:r>
          </w:p>
        </w:tc>
        <w:tc>
          <w:tcPr>
            <w:tcW w:w="834" w:type="pct"/>
            <w:tcBorders>
              <w:top w:val="nil"/>
              <w:left w:val="nil"/>
              <w:bottom w:val="nil"/>
              <w:right w:val="nil"/>
            </w:tcBorders>
            <w:shd w:val="clear" w:color="auto" w:fill="auto"/>
            <w:vAlign w:val="bottom"/>
          </w:tcPr>
          <w:p w14:paraId="6084E4B2"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833" w:type="pct"/>
            <w:tcBorders>
              <w:top w:val="nil"/>
              <w:left w:val="nil"/>
              <w:bottom w:val="nil"/>
              <w:right w:val="nil"/>
            </w:tcBorders>
            <w:shd w:val="clear" w:color="auto" w:fill="auto"/>
            <w:vAlign w:val="bottom"/>
          </w:tcPr>
          <w:p w14:paraId="6546721B"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681" w:type="pct"/>
            <w:tcBorders>
              <w:top w:val="nil"/>
              <w:left w:val="nil"/>
              <w:bottom w:val="nil"/>
              <w:right w:val="nil"/>
            </w:tcBorders>
            <w:shd w:val="clear" w:color="auto" w:fill="auto"/>
            <w:vAlign w:val="bottom"/>
          </w:tcPr>
          <w:p w14:paraId="5A944FCC"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1.422</w:t>
            </w:r>
          </w:p>
        </w:tc>
      </w:tr>
      <w:tr w:rsidR="009557C4" w:rsidRPr="009557C4" w14:paraId="00AD5452" w14:textId="77777777" w:rsidTr="00312975">
        <w:trPr>
          <w:trHeight w:val="105"/>
          <w:jc w:val="center"/>
        </w:trPr>
        <w:tc>
          <w:tcPr>
            <w:tcW w:w="1818" w:type="pct"/>
            <w:gridSpan w:val="2"/>
            <w:vAlign w:val="center"/>
          </w:tcPr>
          <w:p w14:paraId="7A7B77FD" w14:textId="77777777" w:rsidR="009557C4" w:rsidRPr="009557C4" w:rsidRDefault="009557C4" w:rsidP="009557C4">
            <w:pPr>
              <w:tabs>
                <w:tab w:val="right" w:pos="1202"/>
              </w:tabs>
              <w:spacing w:after="0" w:line="240" w:lineRule="exact"/>
              <w:outlineLvl w:val="0"/>
              <w:rPr>
                <w:rFonts w:ascii="Calibri" w:eastAsia="Times New Roman" w:hAnsi="Calibri" w:cs="Arial"/>
                <w:sz w:val="18"/>
                <w:szCs w:val="18"/>
              </w:rPr>
            </w:pPr>
            <w:r w:rsidRPr="009557C4">
              <w:rPr>
                <w:rFonts w:ascii="Calibri" w:eastAsia="Times New Roman" w:hAnsi="Calibri" w:cs="Arial"/>
                <w:sz w:val="18"/>
                <w:szCs w:val="18"/>
              </w:rPr>
              <w:t>Ostala imovina</w:t>
            </w:r>
          </w:p>
        </w:tc>
        <w:tc>
          <w:tcPr>
            <w:tcW w:w="834" w:type="pct"/>
            <w:gridSpan w:val="2"/>
            <w:tcBorders>
              <w:top w:val="nil"/>
              <w:left w:val="nil"/>
              <w:bottom w:val="single" w:sz="8" w:space="0" w:color="auto"/>
              <w:right w:val="nil"/>
            </w:tcBorders>
            <w:shd w:val="clear" w:color="auto" w:fill="auto"/>
            <w:vAlign w:val="bottom"/>
          </w:tcPr>
          <w:p w14:paraId="6DB71A3F"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4.528</w:t>
            </w:r>
          </w:p>
        </w:tc>
        <w:tc>
          <w:tcPr>
            <w:tcW w:w="834" w:type="pct"/>
            <w:tcBorders>
              <w:top w:val="nil"/>
              <w:left w:val="nil"/>
              <w:bottom w:val="single" w:sz="8" w:space="0" w:color="auto"/>
              <w:right w:val="nil"/>
            </w:tcBorders>
            <w:shd w:val="clear" w:color="auto" w:fill="auto"/>
            <w:vAlign w:val="bottom"/>
          </w:tcPr>
          <w:p w14:paraId="2476CE1C"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1.325</w:t>
            </w:r>
          </w:p>
        </w:tc>
        <w:tc>
          <w:tcPr>
            <w:tcW w:w="833" w:type="pct"/>
            <w:tcBorders>
              <w:top w:val="nil"/>
              <w:left w:val="nil"/>
              <w:bottom w:val="single" w:sz="8" w:space="0" w:color="auto"/>
              <w:right w:val="nil"/>
            </w:tcBorders>
            <w:shd w:val="clear" w:color="auto" w:fill="auto"/>
            <w:vAlign w:val="bottom"/>
          </w:tcPr>
          <w:p w14:paraId="7CCDDF4F"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396</w:t>
            </w:r>
          </w:p>
        </w:tc>
        <w:tc>
          <w:tcPr>
            <w:tcW w:w="681" w:type="pct"/>
            <w:tcBorders>
              <w:top w:val="nil"/>
              <w:left w:val="nil"/>
              <w:bottom w:val="single" w:sz="8" w:space="0" w:color="auto"/>
              <w:right w:val="nil"/>
            </w:tcBorders>
            <w:shd w:val="clear" w:color="auto" w:fill="auto"/>
            <w:vAlign w:val="bottom"/>
          </w:tcPr>
          <w:p w14:paraId="00FCE36C"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6.249</w:t>
            </w:r>
          </w:p>
        </w:tc>
      </w:tr>
      <w:tr w:rsidR="009557C4" w:rsidRPr="009557C4" w14:paraId="576CC9BC" w14:textId="77777777" w:rsidTr="00312975">
        <w:trPr>
          <w:trHeight w:val="50"/>
          <w:jc w:val="center"/>
        </w:trPr>
        <w:tc>
          <w:tcPr>
            <w:tcW w:w="1818" w:type="pct"/>
            <w:gridSpan w:val="2"/>
          </w:tcPr>
          <w:p w14:paraId="1488761B" w14:textId="77777777" w:rsidR="009557C4" w:rsidRPr="009557C4" w:rsidRDefault="009557C4" w:rsidP="009557C4">
            <w:pPr>
              <w:keepNext/>
              <w:keepLines/>
              <w:tabs>
                <w:tab w:val="decimal" w:pos="1202"/>
              </w:tabs>
              <w:spacing w:after="0" w:line="120" w:lineRule="auto"/>
              <w:rPr>
                <w:rFonts w:ascii="Calibri" w:eastAsia="Times New Roman" w:hAnsi="Calibri" w:cs="Arial"/>
                <w:b/>
                <w:position w:val="4"/>
                <w:sz w:val="18"/>
                <w:szCs w:val="18"/>
              </w:rPr>
            </w:pPr>
          </w:p>
        </w:tc>
        <w:tc>
          <w:tcPr>
            <w:tcW w:w="834" w:type="pct"/>
            <w:gridSpan w:val="2"/>
            <w:tcBorders>
              <w:top w:val="single" w:sz="8" w:space="0" w:color="auto"/>
            </w:tcBorders>
            <w:vAlign w:val="bottom"/>
          </w:tcPr>
          <w:p w14:paraId="52279E25" w14:textId="77777777" w:rsidR="009557C4" w:rsidRPr="009557C4" w:rsidRDefault="009557C4" w:rsidP="009557C4">
            <w:pPr>
              <w:keepNext/>
              <w:keepLines/>
              <w:tabs>
                <w:tab w:val="left" w:pos="215"/>
                <w:tab w:val="decimal" w:pos="1295"/>
              </w:tabs>
              <w:spacing w:after="0" w:line="120" w:lineRule="auto"/>
              <w:ind w:right="-148"/>
              <w:jc w:val="right"/>
              <w:rPr>
                <w:rFonts w:ascii="Calibri" w:eastAsia="Times New Roman" w:hAnsi="Calibri" w:cs="Arial"/>
                <w:b/>
                <w:snapToGrid w:val="0"/>
                <w:position w:val="4"/>
                <w:sz w:val="18"/>
                <w:szCs w:val="18"/>
              </w:rPr>
            </w:pPr>
          </w:p>
        </w:tc>
        <w:tc>
          <w:tcPr>
            <w:tcW w:w="834" w:type="pct"/>
            <w:tcBorders>
              <w:top w:val="single" w:sz="8" w:space="0" w:color="auto"/>
            </w:tcBorders>
            <w:vAlign w:val="bottom"/>
          </w:tcPr>
          <w:p w14:paraId="54EAC2B3"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833" w:type="pct"/>
            <w:tcBorders>
              <w:top w:val="single" w:sz="8" w:space="0" w:color="auto"/>
            </w:tcBorders>
            <w:vAlign w:val="bottom"/>
          </w:tcPr>
          <w:p w14:paraId="4D3C39AC"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681" w:type="pct"/>
            <w:tcBorders>
              <w:top w:val="single" w:sz="8" w:space="0" w:color="auto"/>
            </w:tcBorders>
            <w:vAlign w:val="bottom"/>
          </w:tcPr>
          <w:p w14:paraId="1A7D63DD"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r>
      <w:tr w:rsidR="009557C4" w:rsidRPr="009557C4" w14:paraId="78343F2F" w14:textId="77777777" w:rsidTr="00312975">
        <w:trPr>
          <w:jc w:val="center"/>
        </w:trPr>
        <w:tc>
          <w:tcPr>
            <w:tcW w:w="1818" w:type="pct"/>
            <w:gridSpan w:val="2"/>
          </w:tcPr>
          <w:p w14:paraId="038410D6" w14:textId="77777777" w:rsidR="009557C4" w:rsidRPr="009557C4" w:rsidRDefault="009557C4" w:rsidP="009557C4">
            <w:pPr>
              <w:tabs>
                <w:tab w:val="right" w:pos="1202"/>
              </w:tabs>
              <w:spacing w:after="0" w:line="340" w:lineRule="exact"/>
              <w:outlineLvl w:val="0"/>
              <w:rPr>
                <w:rFonts w:ascii="Calibri" w:eastAsia="Times New Roman" w:hAnsi="Calibri" w:cs="Arial"/>
                <w:b/>
                <w:bCs/>
                <w:sz w:val="18"/>
                <w:szCs w:val="18"/>
              </w:rPr>
            </w:pPr>
            <w:r w:rsidRPr="009557C4">
              <w:rPr>
                <w:rFonts w:ascii="Calibri" w:eastAsia="Times New Roman" w:hAnsi="Calibri" w:cs="Arial"/>
                <w:b/>
                <w:bCs/>
                <w:sz w:val="18"/>
                <w:szCs w:val="18"/>
              </w:rPr>
              <w:t>Ukupno</w:t>
            </w:r>
          </w:p>
        </w:tc>
        <w:tc>
          <w:tcPr>
            <w:tcW w:w="834" w:type="pct"/>
            <w:gridSpan w:val="2"/>
            <w:tcBorders>
              <w:top w:val="nil"/>
              <w:left w:val="nil"/>
              <w:bottom w:val="single" w:sz="12" w:space="0" w:color="auto"/>
              <w:right w:val="nil"/>
            </w:tcBorders>
            <w:shd w:val="clear" w:color="auto" w:fill="auto"/>
            <w:vAlign w:val="bottom"/>
          </w:tcPr>
          <w:p w14:paraId="7C86858E"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25.384.031</w:t>
            </w:r>
          </w:p>
        </w:tc>
        <w:tc>
          <w:tcPr>
            <w:tcW w:w="834" w:type="pct"/>
            <w:tcBorders>
              <w:top w:val="nil"/>
              <w:left w:val="nil"/>
              <w:bottom w:val="single" w:sz="12" w:space="0" w:color="auto"/>
              <w:right w:val="nil"/>
            </w:tcBorders>
            <w:shd w:val="clear" w:color="auto" w:fill="auto"/>
            <w:vAlign w:val="bottom"/>
          </w:tcPr>
          <w:p w14:paraId="4FBE920B"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379.545</w:t>
            </w:r>
          </w:p>
        </w:tc>
        <w:tc>
          <w:tcPr>
            <w:tcW w:w="833" w:type="pct"/>
            <w:tcBorders>
              <w:top w:val="nil"/>
              <w:left w:val="nil"/>
              <w:bottom w:val="single" w:sz="12" w:space="0" w:color="auto"/>
              <w:right w:val="nil"/>
            </w:tcBorders>
            <w:shd w:val="clear" w:color="auto" w:fill="auto"/>
            <w:vAlign w:val="bottom"/>
          </w:tcPr>
          <w:p w14:paraId="5CF59AC4"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1.512.887</w:t>
            </w:r>
          </w:p>
        </w:tc>
        <w:tc>
          <w:tcPr>
            <w:tcW w:w="681" w:type="pct"/>
            <w:tcBorders>
              <w:top w:val="nil"/>
              <w:left w:val="nil"/>
              <w:bottom w:val="single" w:sz="12" w:space="0" w:color="auto"/>
              <w:right w:val="nil"/>
            </w:tcBorders>
            <w:shd w:val="clear" w:color="auto" w:fill="auto"/>
            <w:vAlign w:val="bottom"/>
          </w:tcPr>
          <w:p w14:paraId="553F4B2F"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27.276.463</w:t>
            </w:r>
          </w:p>
        </w:tc>
      </w:tr>
      <w:tr w:rsidR="009557C4" w:rsidRPr="009557C4" w14:paraId="756D910E" w14:textId="77777777" w:rsidTr="00312975">
        <w:trPr>
          <w:trHeight w:val="109"/>
          <w:jc w:val="center"/>
        </w:trPr>
        <w:tc>
          <w:tcPr>
            <w:tcW w:w="1818" w:type="pct"/>
            <w:gridSpan w:val="2"/>
          </w:tcPr>
          <w:p w14:paraId="0768EA9C" w14:textId="77777777" w:rsidR="009557C4" w:rsidRPr="009557C4" w:rsidRDefault="009557C4" w:rsidP="009557C4">
            <w:pPr>
              <w:keepNext/>
              <w:keepLines/>
              <w:tabs>
                <w:tab w:val="decimal" w:pos="1202"/>
              </w:tabs>
              <w:spacing w:after="0" w:line="100" w:lineRule="exact"/>
              <w:rPr>
                <w:rFonts w:ascii="Calibri" w:eastAsia="Times New Roman" w:hAnsi="Calibri" w:cs="Arial"/>
                <w:b/>
                <w:position w:val="4"/>
                <w:sz w:val="18"/>
                <w:szCs w:val="18"/>
                <w:u w:val="thick"/>
              </w:rPr>
            </w:pPr>
          </w:p>
        </w:tc>
        <w:tc>
          <w:tcPr>
            <w:tcW w:w="834" w:type="pct"/>
            <w:gridSpan w:val="2"/>
            <w:tcBorders>
              <w:top w:val="single" w:sz="12" w:space="0" w:color="auto"/>
            </w:tcBorders>
            <w:vAlign w:val="bottom"/>
          </w:tcPr>
          <w:p w14:paraId="5EFD11F3"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834" w:type="pct"/>
            <w:tcBorders>
              <w:top w:val="single" w:sz="12" w:space="0" w:color="auto"/>
            </w:tcBorders>
            <w:vAlign w:val="bottom"/>
          </w:tcPr>
          <w:p w14:paraId="2DA688B8"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833" w:type="pct"/>
            <w:tcBorders>
              <w:top w:val="single" w:sz="12" w:space="0" w:color="auto"/>
            </w:tcBorders>
            <w:vAlign w:val="bottom"/>
          </w:tcPr>
          <w:p w14:paraId="68D7D4D5"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681" w:type="pct"/>
            <w:tcBorders>
              <w:top w:val="single" w:sz="12" w:space="0" w:color="auto"/>
            </w:tcBorders>
            <w:vAlign w:val="bottom"/>
          </w:tcPr>
          <w:p w14:paraId="3B0CCEFD"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r>
      <w:tr w:rsidR="009557C4" w:rsidRPr="009557C4" w14:paraId="359D5C78" w14:textId="77777777" w:rsidTr="00312975">
        <w:trPr>
          <w:jc w:val="center"/>
        </w:trPr>
        <w:tc>
          <w:tcPr>
            <w:tcW w:w="1818" w:type="pct"/>
            <w:gridSpan w:val="2"/>
          </w:tcPr>
          <w:p w14:paraId="0762BB6D" w14:textId="77777777" w:rsidR="009557C4" w:rsidRPr="009557C4" w:rsidRDefault="009557C4" w:rsidP="009557C4">
            <w:pPr>
              <w:tabs>
                <w:tab w:val="right" w:pos="1202"/>
              </w:tabs>
              <w:spacing w:after="0" w:line="301" w:lineRule="exact"/>
              <w:outlineLvl w:val="0"/>
              <w:rPr>
                <w:rFonts w:ascii="Calibri" w:eastAsia="Times New Roman" w:hAnsi="Calibri" w:cs="Arial"/>
                <w:b/>
                <w:bCs/>
                <w:sz w:val="18"/>
                <w:szCs w:val="18"/>
              </w:rPr>
            </w:pPr>
            <w:r w:rsidRPr="009557C4">
              <w:rPr>
                <w:rFonts w:ascii="Calibri" w:eastAsia="Times New Roman" w:hAnsi="Calibri" w:cs="Arial"/>
                <w:b/>
                <w:bCs/>
                <w:sz w:val="18"/>
                <w:szCs w:val="18"/>
              </w:rPr>
              <w:t>Garancije i preuzete obveze</w:t>
            </w:r>
          </w:p>
        </w:tc>
        <w:tc>
          <w:tcPr>
            <w:tcW w:w="834" w:type="pct"/>
            <w:gridSpan w:val="2"/>
            <w:vAlign w:val="bottom"/>
          </w:tcPr>
          <w:p w14:paraId="71BD0974" w14:textId="77777777" w:rsidR="009557C4" w:rsidRPr="009557C4" w:rsidRDefault="009557C4" w:rsidP="009557C4">
            <w:pPr>
              <w:tabs>
                <w:tab w:val="right" w:pos="1202"/>
              </w:tabs>
              <w:spacing w:after="0" w:line="301" w:lineRule="exact"/>
              <w:jc w:val="right"/>
              <w:outlineLvl w:val="0"/>
              <w:rPr>
                <w:rFonts w:ascii="Calibri" w:eastAsia="Times New Roman" w:hAnsi="Calibri" w:cs="Arial"/>
                <w:b/>
                <w:bCs/>
                <w:sz w:val="18"/>
                <w:szCs w:val="18"/>
              </w:rPr>
            </w:pPr>
          </w:p>
        </w:tc>
        <w:tc>
          <w:tcPr>
            <w:tcW w:w="834" w:type="pct"/>
            <w:vAlign w:val="bottom"/>
          </w:tcPr>
          <w:p w14:paraId="7C20A491" w14:textId="77777777" w:rsidR="009557C4" w:rsidRPr="009557C4" w:rsidRDefault="009557C4" w:rsidP="009557C4">
            <w:pPr>
              <w:tabs>
                <w:tab w:val="right" w:pos="1202"/>
              </w:tabs>
              <w:spacing w:after="0" w:line="301" w:lineRule="exact"/>
              <w:jc w:val="right"/>
              <w:outlineLvl w:val="0"/>
              <w:rPr>
                <w:rFonts w:ascii="Calibri" w:eastAsia="Times New Roman" w:hAnsi="Calibri" w:cs="Arial"/>
                <w:b/>
                <w:bCs/>
                <w:sz w:val="18"/>
                <w:szCs w:val="18"/>
              </w:rPr>
            </w:pPr>
          </w:p>
        </w:tc>
        <w:tc>
          <w:tcPr>
            <w:tcW w:w="833" w:type="pct"/>
            <w:vAlign w:val="bottom"/>
          </w:tcPr>
          <w:p w14:paraId="0B565194" w14:textId="77777777" w:rsidR="009557C4" w:rsidRPr="009557C4" w:rsidRDefault="009557C4" w:rsidP="009557C4">
            <w:pPr>
              <w:tabs>
                <w:tab w:val="right" w:pos="1202"/>
              </w:tabs>
              <w:spacing w:after="0" w:line="301" w:lineRule="exact"/>
              <w:jc w:val="right"/>
              <w:outlineLvl w:val="0"/>
              <w:rPr>
                <w:rFonts w:ascii="Calibri" w:eastAsia="Times New Roman" w:hAnsi="Calibri" w:cs="Arial"/>
                <w:b/>
                <w:bCs/>
                <w:sz w:val="18"/>
                <w:szCs w:val="18"/>
              </w:rPr>
            </w:pPr>
          </w:p>
        </w:tc>
        <w:tc>
          <w:tcPr>
            <w:tcW w:w="681" w:type="pct"/>
            <w:vAlign w:val="bottom"/>
          </w:tcPr>
          <w:p w14:paraId="09845AD5" w14:textId="77777777" w:rsidR="009557C4" w:rsidRPr="009557C4" w:rsidRDefault="009557C4" w:rsidP="009557C4">
            <w:pPr>
              <w:tabs>
                <w:tab w:val="right" w:pos="1202"/>
              </w:tabs>
              <w:spacing w:after="0" w:line="301" w:lineRule="exact"/>
              <w:jc w:val="right"/>
              <w:outlineLvl w:val="0"/>
              <w:rPr>
                <w:rFonts w:ascii="Calibri" w:eastAsia="Times New Roman" w:hAnsi="Calibri" w:cs="Arial"/>
                <w:b/>
                <w:bCs/>
                <w:sz w:val="18"/>
                <w:szCs w:val="18"/>
              </w:rPr>
            </w:pPr>
          </w:p>
        </w:tc>
      </w:tr>
      <w:tr w:rsidR="009557C4" w:rsidRPr="009557C4" w14:paraId="337F9F77" w14:textId="77777777" w:rsidTr="00312975">
        <w:trPr>
          <w:jc w:val="center"/>
        </w:trPr>
        <w:tc>
          <w:tcPr>
            <w:tcW w:w="1818" w:type="pct"/>
            <w:gridSpan w:val="2"/>
          </w:tcPr>
          <w:p w14:paraId="70F13F2F" w14:textId="77777777" w:rsidR="009557C4" w:rsidRPr="009557C4" w:rsidRDefault="009557C4" w:rsidP="009557C4">
            <w:pPr>
              <w:tabs>
                <w:tab w:val="right" w:pos="1202"/>
              </w:tabs>
              <w:spacing w:after="0" w:line="301" w:lineRule="exact"/>
              <w:outlineLvl w:val="0"/>
              <w:rPr>
                <w:rFonts w:ascii="Calibri" w:eastAsia="Times New Roman" w:hAnsi="Calibri" w:cs="Arial"/>
                <w:b/>
                <w:bCs/>
                <w:sz w:val="18"/>
                <w:szCs w:val="18"/>
              </w:rPr>
            </w:pPr>
            <w:r w:rsidRPr="009557C4">
              <w:rPr>
                <w:rFonts w:ascii="Calibri" w:eastAsia="Times New Roman" w:hAnsi="Calibri" w:cs="Times New Roman"/>
                <w:sz w:val="18"/>
                <w:szCs w:val="18"/>
              </w:rPr>
              <w:t>Izdane garancije u kunama</w:t>
            </w:r>
          </w:p>
        </w:tc>
        <w:tc>
          <w:tcPr>
            <w:tcW w:w="834" w:type="pct"/>
            <w:gridSpan w:val="2"/>
            <w:tcBorders>
              <w:top w:val="nil"/>
              <w:left w:val="nil"/>
              <w:bottom w:val="nil"/>
              <w:right w:val="nil"/>
            </w:tcBorders>
            <w:shd w:val="clear" w:color="auto" w:fill="auto"/>
            <w:vAlign w:val="bottom"/>
          </w:tcPr>
          <w:p w14:paraId="7211D4E0"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32.082</w:t>
            </w:r>
          </w:p>
        </w:tc>
        <w:tc>
          <w:tcPr>
            <w:tcW w:w="834" w:type="pct"/>
            <w:tcBorders>
              <w:top w:val="nil"/>
              <w:left w:val="nil"/>
              <w:bottom w:val="nil"/>
              <w:right w:val="nil"/>
            </w:tcBorders>
            <w:shd w:val="clear" w:color="auto" w:fill="auto"/>
            <w:vAlign w:val="bottom"/>
          </w:tcPr>
          <w:p w14:paraId="3120774F"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833" w:type="pct"/>
            <w:tcBorders>
              <w:top w:val="nil"/>
              <w:left w:val="nil"/>
              <w:bottom w:val="nil"/>
              <w:right w:val="nil"/>
            </w:tcBorders>
            <w:shd w:val="clear" w:color="auto" w:fill="auto"/>
            <w:vAlign w:val="bottom"/>
          </w:tcPr>
          <w:p w14:paraId="458DD4C3"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681" w:type="pct"/>
            <w:tcBorders>
              <w:top w:val="nil"/>
              <w:left w:val="nil"/>
              <w:bottom w:val="nil"/>
              <w:right w:val="nil"/>
            </w:tcBorders>
            <w:shd w:val="clear" w:color="auto" w:fill="auto"/>
            <w:vAlign w:val="bottom"/>
          </w:tcPr>
          <w:p w14:paraId="6D28061E"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32.082</w:t>
            </w:r>
          </w:p>
        </w:tc>
      </w:tr>
      <w:tr w:rsidR="009557C4" w:rsidRPr="009557C4" w14:paraId="5E17B6A7" w14:textId="77777777" w:rsidTr="00312975">
        <w:trPr>
          <w:jc w:val="center"/>
        </w:trPr>
        <w:tc>
          <w:tcPr>
            <w:tcW w:w="1818" w:type="pct"/>
            <w:gridSpan w:val="2"/>
          </w:tcPr>
          <w:p w14:paraId="421567BB" w14:textId="77777777" w:rsidR="009557C4" w:rsidRPr="009557C4" w:rsidRDefault="009557C4" w:rsidP="009557C4">
            <w:pPr>
              <w:tabs>
                <w:tab w:val="right" w:pos="1202"/>
              </w:tabs>
              <w:spacing w:after="0" w:line="301" w:lineRule="exact"/>
              <w:outlineLvl w:val="0"/>
              <w:rPr>
                <w:rFonts w:ascii="Calibri" w:eastAsia="Times New Roman" w:hAnsi="Calibri" w:cs="Arial"/>
                <w:sz w:val="18"/>
                <w:szCs w:val="18"/>
              </w:rPr>
            </w:pPr>
            <w:r w:rsidRPr="009557C4">
              <w:rPr>
                <w:rFonts w:ascii="Calibri" w:eastAsia="Times New Roman" w:hAnsi="Calibri" w:cs="Times New Roman"/>
                <w:sz w:val="18"/>
                <w:szCs w:val="18"/>
              </w:rPr>
              <w:t>Izdane garancije u devizama</w:t>
            </w:r>
          </w:p>
        </w:tc>
        <w:tc>
          <w:tcPr>
            <w:tcW w:w="834" w:type="pct"/>
            <w:gridSpan w:val="2"/>
            <w:tcBorders>
              <w:top w:val="nil"/>
              <w:left w:val="nil"/>
              <w:bottom w:val="nil"/>
              <w:right w:val="nil"/>
            </w:tcBorders>
            <w:shd w:val="clear" w:color="auto" w:fill="auto"/>
            <w:vAlign w:val="bottom"/>
          </w:tcPr>
          <w:p w14:paraId="4A39400F"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1.964.149</w:t>
            </w:r>
          </w:p>
        </w:tc>
        <w:tc>
          <w:tcPr>
            <w:tcW w:w="834" w:type="pct"/>
            <w:tcBorders>
              <w:top w:val="nil"/>
              <w:left w:val="nil"/>
              <w:bottom w:val="nil"/>
              <w:right w:val="nil"/>
            </w:tcBorders>
            <w:shd w:val="clear" w:color="auto" w:fill="auto"/>
            <w:vAlign w:val="bottom"/>
          </w:tcPr>
          <w:p w14:paraId="115B5219"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833" w:type="pct"/>
            <w:tcBorders>
              <w:top w:val="nil"/>
              <w:left w:val="nil"/>
              <w:bottom w:val="nil"/>
              <w:right w:val="nil"/>
            </w:tcBorders>
            <w:shd w:val="clear" w:color="auto" w:fill="auto"/>
            <w:vAlign w:val="bottom"/>
          </w:tcPr>
          <w:p w14:paraId="776949F8"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18.820</w:t>
            </w:r>
          </w:p>
        </w:tc>
        <w:tc>
          <w:tcPr>
            <w:tcW w:w="681" w:type="pct"/>
            <w:tcBorders>
              <w:top w:val="nil"/>
              <w:left w:val="nil"/>
              <w:bottom w:val="nil"/>
              <w:right w:val="nil"/>
            </w:tcBorders>
            <w:shd w:val="clear" w:color="auto" w:fill="auto"/>
            <w:vAlign w:val="bottom"/>
          </w:tcPr>
          <w:p w14:paraId="1D479479"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1.982.969</w:t>
            </w:r>
          </w:p>
        </w:tc>
      </w:tr>
      <w:tr w:rsidR="009557C4" w:rsidRPr="009557C4" w14:paraId="3512F053" w14:textId="77777777" w:rsidTr="00312975">
        <w:trPr>
          <w:jc w:val="center"/>
        </w:trPr>
        <w:tc>
          <w:tcPr>
            <w:tcW w:w="1818" w:type="pct"/>
            <w:gridSpan w:val="2"/>
          </w:tcPr>
          <w:p w14:paraId="4EC7168F" w14:textId="77777777" w:rsidR="009557C4" w:rsidRPr="009557C4" w:rsidRDefault="009557C4" w:rsidP="009557C4">
            <w:pPr>
              <w:tabs>
                <w:tab w:val="right" w:pos="1202"/>
              </w:tabs>
              <w:spacing w:after="0" w:line="301" w:lineRule="exact"/>
              <w:outlineLvl w:val="0"/>
              <w:rPr>
                <w:rFonts w:ascii="Calibri" w:eastAsia="Times New Roman" w:hAnsi="Calibri" w:cs="Arial"/>
                <w:sz w:val="18"/>
                <w:szCs w:val="18"/>
              </w:rPr>
            </w:pPr>
            <w:r w:rsidRPr="009557C4">
              <w:rPr>
                <w:rFonts w:ascii="Calibri" w:eastAsia="Times New Roman" w:hAnsi="Calibri" w:cs="Times New Roman"/>
                <w:sz w:val="18"/>
                <w:szCs w:val="18"/>
              </w:rPr>
              <w:t>Preuzete obveze po kreditima</w:t>
            </w:r>
          </w:p>
        </w:tc>
        <w:tc>
          <w:tcPr>
            <w:tcW w:w="834" w:type="pct"/>
            <w:gridSpan w:val="2"/>
            <w:tcBorders>
              <w:top w:val="nil"/>
              <w:left w:val="nil"/>
              <w:right w:val="nil"/>
            </w:tcBorders>
            <w:shd w:val="clear" w:color="auto" w:fill="auto"/>
            <w:vAlign w:val="bottom"/>
          </w:tcPr>
          <w:p w14:paraId="46B94962"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3.911.236</w:t>
            </w:r>
          </w:p>
        </w:tc>
        <w:tc>
          <w:tcPr>
            <w:tcW w:w="834" w:type="pct"/>
            <w:tcBorders>
              <w:top w:val="nil"/>
              <w:left w:val="nil"/>
              <w:right w:val="nil"/>
            </w:tcBorders>
            <w:shd w:val="clear" w:color="auto" w:fill="auto"/>
            <w:vAlign w:val="bottom"/>
          </w:tcPr>
          <w:p w14:paraId="4D4121D9"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833" w:type="pct"/>
            <w:tcBorders>
              <w:top w:val="nil"/>
              <w:left w:val="nil"/>
              <w:right w:val="nil"/>
            </w:tcBorders>
            <w:shd w:val="clear" w:color="auto" w:fill="auto"/>
            <w:vAlign w:val="bottom"/>
          </w:tcPr>
          <w:p w14:paraId="56BC553A"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16.941</w:t>
            </w:r>
          </w:p>
        </w:tc>
        <w:tc>
          <w:tcPr>
            <w:tcW w:w="681" w:type="pct"/>
            <w:tcBorders>
              <w:top w:val="nil"/>
              <w:left w:val="nil"/>
              <w:right w:val="nil"/>
            </w:tcBorders>
            <w:shd w:val="clear" w:color="auto" w:fill="auto"/>
            <w:vAlign w:val="bottom"/>
          </w:tcPr>
          <w:p w14:paraId="121E7248"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3.928.177</w:t>
            </w:r>
          </w:p>
        </w:tc>
      </w:tr>
      <w:tr w:rsidR="009557C4" w:rsidRPr="009557C4" w14:paraId="6B7058FB" w14:textId="77777777" w:rsidTr="00312975">
        <w:trPr>
          <w:jc w:val="center"/>
        </w:trPr>
        <w:tc>
          <w:tcPr>
            <w:tcW w:w="1818" w:type="pct"/>
            <w:gridSpan w:val="2"/>
          </w:tcPr>
          <w:p w14:paraId="329A7486" w14:textId="77777777" w:rsidR="009557C4" w:rsidRPr="009557C4" w:rsidRDefault="009557C4" w:rsidP="009557C4">
            <w:pPr>
              <w:tabs>
                <w:tab w:val="right" w:pos="1202"/>
              </w:tabs>
              <w:spacing w:after="0" w:line="301" w:lineRule="exact"/>
              <w:outlineLvl w:val="0"/>
              <w:rPr>
                <w:rFonts w:ascii="Calibri" w:eastAsia="Times New Roman" w:hAnsi="Calibri" w:cs="Arial"/>
                <w:sz w:val="18"/>
                <w:szCs w:val="18"/>
              </w:rPr>
            </w:pPr>
            <w:r w:rsidRPr="009557C4">
              <w:rPr>
                <w:rFonts w:ascii="Calibri" w:eastAsia="Times New Roman" w:hAnsi="Calibri" w:cs="Times New Roman"/>
                <w:sz w:val="18"/>
                <w:szCs w:val="18"/>
              </w:rPr>
              <w:t>Ostale nespomenute neopozive potencijalne obveze</w:t>
            </w:r>
          </w:p>
        </w:tc>
        <w:tc>
          <w:tcPr>
            <w:tcW w:w="834" w:type="pct"/>
            <w:gridSpan w:val="2"/>
            <w:tcBorders>
              <w:top w:val="nil"/>
              <w:left w:val="nil"/>
              <w:right w:val="nil"/>
            </w:tcBorders>
            <w:shd w:val="clear" w:color="auto" w:fill="auto"/>
            <w:vAlign w:val="bottom"/>
          </w:tcPr>
          <w:p w14:paraId="6A750062"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335</w:t>
            </w:r>
          </w:p>
        </w:tc>
        <w:tc>
          <w:tcPr>
            <w:tcW w:w="834" w:type="pct"/>
            <w:tcBorders>
              <w:top w:val="nil"/>
              <w:left w:val="nil"/>
              <w:right w:val="nil"/>
            </w:tcBorders>
            <w:shd w:val="clear" w:color="auto" w:fill="auto"/>
            <w:vAlign w:val="bottom"/>
          </w:tcPr>
          <w:p w14:paraId="259CA949"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833" w:type="pct"/>
            <w:tcBorders>
              <w:top w:val="nil"/>
              <w:left w:val="nil"/>
              <w:right w:val="nil"/>
            </w:tcBorders>
            <w:shd w:val="clear" w:color="auto" w:fill="auto"/>
            <w:vAlign w:val="bottom"/>
          </w:tcPr>
          <w:p w14:paraId="06172EC3"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w:t>
            </w:r>
          </w:p>
        </w:tc>
        <w:tc>
          <w:tcPr>
            <w:tcW w:w="681" w:type="pct"/>
            <w:tcBorders>
              <w:top w:val="nil"/>
              <w:left w:val="nil"/>
              <w:right w:val="nil"/>
            </w:tcBorders>
            <w:shd w:val="clear" w:color="auto" w:fill="auto"/>
            <w:vAlign w:val="bottom"/>
          </w:tcPr>
          <w:p w14:paraId="4269AF21" w14:textId="77777777" w:rsidR="009557C4" w:rsidRPr="009557C4" w:rsidRDefault="009557C4" w:rsidP="009557C4">
            <w:pPr>
              <w:spacing w:after="0" w:line="240" w:lineRule="auto"/>
              <w:jc w:val="right"/>
              <w:rPr>
                <w:rFonts w:ascii="Calibri" w:eastAsia="Times New Roman" w:hAnsi="Calibri" w:cs="Arial"/>
                <w:sz w:val="18"/>
                <w:szCs w:val="18"/>
                <w:lang w:val="en-US"/>
              </w:rPr>
            </w:pPr>
            <w:r w:rsidRPr="009557C4">
              <w:rPr>
                <w:rFonts w:ascii="Calibri" w:eastAsia="Times New Roman" w:hAnsi="Calibri" w:cs="Arial"/>
                <w:sz w:val="18"/>
                <w:szCs w:val="18"/>
                <w:lang w:val="en-US"/>
              </w:rPr>
              <w:t>335</w:t>
            </w:r>
          </w:p>
        </w:tc>
      </w:tr>
      <w:tr w:rsidR="009557C4" w:rsidRPr="009557C4" w14:paraId="0736D2B0" w14:textId="77777777" w:rsidTr="00312975">
        <w:trPr>
          <w:trHeight w:val="109"/>
          <w:jc w:val="center"/>
        </w:trPr>
        <w:tc>
          <w:tcPr>
            <w:tcW w:w="1818" w:type="pct"/>
            <w:gridSpan w:val="2"/>
          </w:tcPr>
          <w:p w14:paraId="501286C6" w14:textId="77777777" w:rsidR="009557C4" w:rsidRPr="009557C4" w:rsidRDefault="009557C4" w:rsidP="009557C4">
            <w:pPr>
              <w:keepNext/>
              <w:keepLines/>
              <w:tabs>
                <w:tab w:val="decimal" w:pos="1202"/>
              </w:tabs>
              <w:spacing w:after="0" w:line="100" w:lineRule="exact"/>
              <w:rPr>
                <w:rFonts w:ascii="Calibri" w:eastAsia="Times New Roman" w:hAnsi="Calibri" w:cs="Arial"/>
                <w:b/>
                <w:position w:val="4"/>
                <w:sz w:val="18"/>
                <w:szCs w:val="18"/>
              </w:rPr>
            </w:pPr>
          </w:p>
        </w:tc>
        <w:tc>
          <w:tcPr>
            <w:tcW w:w="834" w:type="pct"/>
            <w:gridSpan w:val="2"/>
            <w:tcBorders>
              <w:bottom w:val="single" w:sz="4" w:space="0" w:color="auto"/>
            </w:tcBorders>
            <w:vAlign w:val="bottom"/>
          </w:tcPr>
          <w:p w14:paraId="71C941DA" w14:textId="77777777" w:rsidR="009557C4" w:rsidRPr="009557C4" w:rsidRDefault="009557C4" w:rsidP="009557C4">
            <w:pPr>
              <w:keepNext/>
              <w:keepLines/>
              <w:tabs>
                <w:tab w:val="left" w:pos="215"/>
                <w:tab w:val="decimal" w:pos="1295"/>
              </w:tabs>
              <w:spacing w:after="0" w:line="100" w:lineRule="exact"/>
              <w:ind w:right="-148"/>
              <w:jc w:val="right"/>
              <w:rPr>
                <w:rFonts w:ascii="Calibri" w:eastAsia="Times New Roman" w:hAnsi="Calibri" w:cs="Arial"/>
                <w:b/>
                <w:snapToGrid w:val="0"/>
                <w:position w:val="4"/>
                <w:sz w:val="18"/>
                <w:szCs w:val="18"/>
              </w:rPr>
            </w:pPr>
          </w:p>
        </w:tc>
        <w:tc>
          <w:tcPr>
            <w:tcW w:w="834" w:type="pct"/>
            <w:tcBorders>
              <w:bottom w:val="single" w:sz="4" w:space="0" w:color="auto"/>
            </w:tcBorders>
            <w:vAlign w:val="bottom"/>
          </w:tcPr>
          <w:p w14:paraId="50F045ED" w14:textId="77777777" w:rsidR="009557C4" w:rsidRPr="009557C4" w:rsidRDefault="009557C4" w:rsidP="009557C4">
            <w:pPr>
              <w:keepNext/>
              <w:keepLines/>
              <w:tabs>
                <w:tab w:val="left" w:pos="215"/>
                <w:tab w:val="decimal" w:pos="1295"/>
              </w:tabs>
              <w:spacing w:after="0" w:line="100" w:lineRule="exact"/>
              <w:ind w:right="-148"/>
              <w:jc w:val="right"/>
              <w:rPr>
                <w:rFonts w:ascii="Calibri" w:eastAsia="Times New Roman" w:hAnsi="Calibri" w:cs="Arial"/>
                <w:b/>
                <w:snapToGrid w:val="0"/>
                <w:position w:val="4"/>
                <w:sz w:val="18"/>
                <w:szCs w:val="18"/>
              </w:rPr>
            </w:pPr>
          </w:p>
        </w:tc>
        <w:tc>
          <w:tcPr>
            <w:tcW w:w="833" w:type="pct"/>
            <w:tcBorders>
              <w:bottom w:val="single" w:sz="4" w:space="0" w:color="auto"/>
            </w:tcBorders>
            <w:vAlign w:val="bottom"/>
          </w:tcPr>
          <w:p w14:paraId="2CB76725" w14:textId="77777777" w:rsidR="009557C4" w:rsidRPr="009557C4" w:rsidRDefault="009557C4" w:rsidP="009557C4">
            <w:pPr>
              <w:keepNext/>
              <w:keepLines/>
              <w:tabs>
                <w:tab w:val="left" w:pos="215"/>
                <w:tab w:val="decimal" w:pos="1295"/>
              </w:tabs>
              <w:spacing w:after="0" w:line="100" w:lineRule="exact"/>
              <w:ind w:right="-148"/>
              <w:jc w:val="right"/>
              <w:rPr>
                <w:rFonts w:ascii="Calibri" w:eastAsia="Times New Roman" w:hAnsi="Calibri" w:cs="Arial"/>
                <w:b/>
                <w:snapToGrid w:val="0"/>
                <w:position w:val="4"/>
                <w:sz w:val="18"/>
                <w:szCs w:val="18"/>
              </w:rPr>
            </w:pPr>
          </w:p>
        </w:tc>
        <w:tc>
          <w:tcPr>
            <w:tcW w:w="681" w:type="pct"/>
            <w:tcBorders>
              <w:bottom w:val="single" w:sz="4" w:space="0" w:color="auto"/>
            </w:tcBorders>
            <w:vAlign w:val="bottom"/>
          </w:tcPr>
          <w:p w14:paraId="12FCCC50" w14:textId="77777777" w:rsidR="009557C4" w:rsidRPr="009557C4" w:rsidRDefault="009557C4" w:rsidP="009557C4">
            <w:pPr>
              <w:keepNext/>
              <w:keepLines/>
              <w:tabs>
                <w:tab w:val="left" w:pos="215"/>
                <w:tab w:val="decimal" w:pos="1295"/>
              </w:tabs>
              <w:spacing w:after="0" w:line="100" w:lineRule="exact"/>
              <w:ind w:right="-148"/>
              <w:jc w:val="right"/>
              <w:rPr>
                <w:rFonts w:ascii="Calibri" w:eastAsia="Times New Roman" w:hAnsi="Calibri" w:cs="Arial"/>
                <w:b/>
                <w:snapToGrid w:val="0"/>
                <w:position w:val="4"/>
                <w:sz w:val="18"/>
                <w:szCs w:val="18"/>
              </w:rPr>
            </w:pPr>
          </w:p>
        </w:tc>
      </w:tr>
      <w:tr w:rsidR="009557C4" w:rsidRPr="009557C4" w14:paraId="0EB4AE64" w14:textId="77777777" w:rsidTr="00312975">
        <w:trPr>
          <w:jc w:val="center"/>
        </w:trPr>
        <w:tc>
          <w:tcPr>
            <w:tcW w:w="1818" w:type="pct"/>
            <w:gridSpan w:val="2"/>
          </w:tcPr>
          <w:p w14:paraId="5D3D5133" w14:textId="77777777" w:rsidR="009557C4" w:rsidRPr="009557C4" w:rsidRDefault="009557C4" w:rsidP="009557C4">
            <w:pPr>
              <w:tabs>
                <w:tab w:val="right" w:pos="1202"/>
              </w:tabs>
              <w:spacing w:after="0" w:line="340" w:lineRule="exact"/>
              <w:outlineLvl w:val="0"/>
              <w:rPr>
                <w:rFonts w:ascii="Calibri" w:eastAsia="Times New Roman" w:hAnsi="Calibri" w:cs="Arial"/>
                <w:b/>
                <w:bCs/>
                <w:sz w:val="18"/>
                <w:szCs w:val="18"/>
              </w:rPr>
            </w:pPr>
            <w:r w:rsidRPr="009557C4">
              <w:rPr>
                <w:rFonts w:ascii="Calibri" w:eastAsia="Times New Roman" w:hAnsi="Calibri" w:cs="Arial"/>
                <w:b/>
                <w:bCs/>
                <w:sz w:val="18"/>
                <w:szCs w:val="18"/>
              </w:rPr>
              <w:t>Ukupno</w:t>
            </w:r>
          </w:p>
        </w:tc>
        <w:tc>
          <w:tcPr>
            <w:tcW w:w="834" w:type="pct"/>
            <w:gridSpan w:val="2"/>
            <w:tcBorders>
              <w:top w:val="nil"/>
              <w:left w:val="nil"/>
              <w:bottom w:val="single" w:sz="12" w:space="0" w:color="auto"/>
              <w:right w:val="nil"/>
            </w:tcBorders>
            <w:shd w:val="clear" w:color="auto" w:fill="auto"/>
            <w:vAlign w:val="bottom"/>
          </w:tcPr>
          <w:p w14:paraId="1460F243"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5.907.802</w:t>
            </w:r>
          </w:p>
        </w:tc>
        <w:tc>
          <w:tcPr>
            <w:tcW w:w="834" w:type="pct"/>
            <w:tcBorders>
              <w:top w:val="nil"/>
              <w:left w:val="nil"/>
              <w:bottom w:val="single" w:sz="12" w:space="0" w:color="auto"/>
              <w:right w:val="nil"/>
            </w:tcBorders>
            <w:shd w:val="clear" w:color="auto" w:fill="auto"/>
            <w:vAlign w:val="bottom"/>
          </w:tcPr>
          <w:p w14:paraId="663ABAEC"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w:t>
            </w:r>
          </w:p>
        </w:tc>
        <w:tc>
          <w:tcPr>
            <w:tcW w:w="833" w:type="pct"/>
            <w:tcBorders>
              <w:top w:val="nil"/>
              <w:left w:val="nil"/>
              <w:bottom w:val="single" w:sz="12" w:space="0" w:color="auto"/>
              <w:right w:val="nil"/>
            </w:tcBorders>
            <w:shd w:val="clear" w:color="auto" w:fill="auto"/>
            <w:vAlign w:val="bottom"/>
          </w:tcPr>
          <w:p w14:paraId="7621CD9E"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35.761</w:t>
            </w:r>
          </w:p>
        </w:tc>
        <w:tc>
          <w:tcPr>
            <w:tcW w:w="681" w:type="pct"/>
            <w:tcBorders>
              <w:top w:val="nil"/>
              <w:left w:val="nil"/>
              <w:bottom w:val="single" w:sz="12" w:space="0" w:color="auto"/>
              <w:right w:val="nil"/>
            </w:tcBorders>
            <w:shd w:val="clear" w:color="auto" w:fill="auto"/>
            <w:vAlign w:val="bottom"/>
          </w:tcPr>
          <w:p w14:paraId="09DA1718"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5.943.563</w:t>
            </w:r>
          </w:p>
        </w:tc>
      </w:tr>
      <w:tr w:rsidR="009557C4" w:rsidRPr="009557C4" w14:paraId="40120B1B" w14:textId="77777777" w:rsidTr="00312975">
        <w:trPr>
          <w:trHeight w:val="137"/>
          <w:jc w:val="center"/>
        </w:trPr>
        <w:tc>
          <w:tcPr>
            <w:tcW w:w="1818" w:type="pct"/>
            <w:gridSpan w:val="2"/>
          </w:tcPr>
          <w:p w14:paraId="4492EE6C" w14:textId="77777777" w:rsidR="009557C4" w:rsidRPr="009557C4" w:rsidRDefault="009557C4" w:rsidP="009557C4">
            <w:pPr>
              <w:tabs>
                <w:tab w:val="right" w:pos="1202"/>
              </w:tabs>
              <w:spacing w:after="0" w:line="120" w:lineRule="auto"/>
              <w:outlineLvl w:val="0"/>
              <w:rPr>
                <w:rFonts w:ascii="Calibri" w:eastAsia="Times New Roman" w:hAnsi="Calibri" w:cs="Arial"/>
                <w:b/>
                <w:bCs/>
                <w:sz w:val="18"/>
                <w:szCs w:val="18"/>
              </w:rPr>
            </w:pPr>
          </w:p>
        </w:tc>
        <w:tc>
          <w:tcPr>
            <w:tcW w:w="834" w:type="pct"/>
            <w:gridSpan w:val="2"/>
            <w:tcBorders>
              <w:top w:val="single" w:sz="12" w:space="0" w:color="auto"/>
            </w:tcBorders>
            <w:vAlign w:val="bottom"/>
          </w:tcPr>
          <w:p w14:paraId="53D172A2"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834" w:type="pct"/>
            <w:tcBorders>
              <w:top w:val="single" w:sz="12" w:space="0" w:color="auto"/>
            </w:tcBorders>
            <w:vAlign w:val="bottom"/>
          </w:tcPr>
          <w:p w14:paraId="2527A30B"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833" w:type="pct"/>
            <w:tcBorders>
              <w:top w:val="single" w:sz="12" w:space="0" w:color="auto"/>
            </w:tcBorders>
            <w:vAlign w:val="bottom"/>
          </w:tcPr>
          <w:p w14:paraId="7CA6AFF0"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681" w:type="pct"/>
            <w:tcBorders>
              <w:top w:val="single" w:sz="12" w:space="0" w:color="auto"/>
            </w:tcBorders>
            <w:vAlign w:val="bottom"/>
          </w:tcPr>
          <w:p w14:paraId="21B88D50"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r>
      <w:tr w:rsidR="009557C4" w:rsidRPr="009557C4" w14:paraId="2C553BEC" w14:textId="77777777" w:rsidTr="00312975">
        <w:trPr>
          <w:trHeight w:val="183"/>
          <w:jc w:val="center"/>
        </w:trPr>
        <w:tc>
          <w:tcPr>
            <w:tcW w:w="1818" w:type="pct"/>
            <w:gridSpan w:val="2"/>
            <w:vAlign w:val="bottom"/>
          </w:tcPr>
          <w:p w14:paraId="0F40EADF" w14:textId="77777777" w:rsidR="009557C4" w:rsidRPr="009557C4" w:rsidRDefault="009557C4" w:rsidP="009557C4">
            <w:pPr>
              <w:tabs>
                <w:tab w:val="right" w:pos="1202"/>
              </w:tabs>
              <w:spacing w:after="0" w:line="240" w:lineRule="exact"/>
              <w:jc w:val="both"/>
              <w:outlineLvl w:val="0"/>
              <w:rPr>
                <w:rFonts w:ascii="Calibri" w:eastAsia="Times New Roman" w:hAnsi="Calibri" w:cs="Arial"/>
                <w:b/>
                <w:bCs/>
                <w:sz w:val="18"/>
                <w:szCs w:val="18"/>
              </w:rPr>
            </w:pPr>
            <w:r w:rsidRPr="009557C4">
              <w:rPr>
                <w:rFonts w:ascii="Calibri" w:eastAsia="Times New Roman" w:hAnsi="Calibri" w:cs="Arial"/>
                <w:b/>
                <w:bCs/>
                <w:sz w:val="18"/>
                <w:szCs w:val="18"/>
              </w:rPr>
              <w:t>Ukupna izloženost kreditnom riziku</w:t>
            </w:r>
          </w:p>
        </w:tc>
        <w:tc>
          <w:tcPr>
            <w:tcW w:w="834" w:type="pct"/>
            <w:gridSpan w:val="2"/>
            <w:tcBorders>
              <w:top w:val="nil"/>
              <w:left w:val="nil"/>
              <w:bottom w:val="single" w:sz="12" w:space="0" w:color="auto"/>
              <w:right w:val="nil"/>
            </w:tcBorders>
            <w:shd w:val="clear" w:color="auto" w:fill="auto"/>
            <w:vAlign w:val="bottom"/>
          </w:tcPr>
          <w:p w14:paraId="487F1B3E"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31.291.833</w:t>
            </w:r>
          </w:p>
        </w:tc>
        <w:tc>
          <w:tcPr>
            <w:tcW w:w="834" w:type="pct"/>
            <w:tcBorders>
              <w:top w:val="nil"/>
              <w:left w:val="nil"/>
              <w:bottom w:val="single" w:sz="12" w:space="0" w:color="auto"/>
              <w:right w:val="nil"/>
            </w:tcBorders>
            <w:shd w:val="clear" w:color="auto" w:fill="auto"/>
            <w:vAlign w:val="bottom"/>
          </w:tcPr>
          <w:p w14:paraId="4F44F622"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379.545</w:t>
            </w:r>
          </w:p>
        </w:tc>
        <w:tc>
          <w:tcPr>
            <w:tcW w:w="833" w:type="pct"/>
            <w:tcBorders>
              <w:top w:val="nil"/>
              <w:left w:val="nil"/>
              <w:bottom w:val="single" w:sz="12" w:space="0" w:color="auto"/>
              <w:right w:val="nil"/>
            </w:tcBorders>
            <w:shd w:val="clear" w:color="auto" w:fill="auto"/>
            <w:vAlign w:val="bottom"/>
          </w:tcPr>
          <w:p w14:paraId="23A363AD"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1.548.648</w:t>
            </w:r>
          </w:p>
        </w:tc>
        <w:tc>
          <w:tcPr>
            <w:tcW w:w="681" w:type="pct"/>
            <w:tcBorders>
              <w:top w:val="nil"/>
              <w:left w:val="nil"/>
              <w:bottom w:val="single" w:sz="12" w:space="0" w:color="auto"/>
              <w:right w:val="nil"/>
            </w:tcBorders>
            <w:shd w:val="clear" w:color="auto" w:fill="auto"/>
            <w:vAlign w:val="bottom"/>
          </w:tcPr>
          <w:p w14:paraId="4E3397D9" w14:textId="77777777" w:rsidR="009557C4" w:rsidRPr="009557C4" w:rsidRDefault="009557C4" w:rsidP="009557C4">
            <w:pPr>
              <w:spacing w:after="0" w:line="240" w:lineRule="auto"/>
              <w:jc w:val="right"/>
              <w:rPr>
                <w:rFonts w:ascii="Calibri" w:eastAsia="Times New Roman" w:hAnsi="Calibri" w:cs="Arial"/>
                <w:b/>
                <w:bCs/>
                <w:sz w:val="18"/>
                <w:szCs w:val="18"/>
                <w:lang w:val="en-US"/>
              </w:rPr>
            </w:pPr>
            <w:r w:rsidRPr="009557C4">
              <w:rPr>
                <w:rFonts w:ascii="Calibri" w:eastAsia="Times New Roman" w:hAnsi="Calibri" w:cs="Arial"/>
                <w:b/>
                <w:bCs/>
                <w:sz w:val="18"/>
                <w:szCs w:val="18"/>
                <w:lang w:val="en-US"/>
              </w:rPr>
              <w:t>33.220.026</w:t>
            </w:r>
          </w:p>
        </w:tc>
      </w:tr>
      <w:tr w:rsidR="009557C4" w:rsidRPr="009557C4" w14:paraId="31CBEEAD" w14:textId="77777777" w:rsidTr="00312975">
        <w:trPr>
          <w:trHeight w:val="109"/>
          <w:jc w:val="center"/>
        </w:trPr>
        <w:tc>
          <w:tcPr>
            <w:tcW w:w="1785" w:type="pct"/>
          </w:tcPr>
          <w:p w14:paraId="5CE88946" w14:textId="77777777" w:rsidR="009557C4" w:rsidRPr="009557C4" w:rsidRDefault="009557C4" w:rsidP="009557C4">
            <w:pPr>
              <w:keepNext/>
              <w:keepLines/>
              <w:tabs>
                <w:tab w:val="decimal" w:pos="1202"/>
              </w:tabs>
              <w:spacing w:after="0" w:line="100" w:lineRule="exact"/>
              <w:rPr>
                <w:rFonts w:ascii="Calibri" w:eastAsia="Times New Roman" w:hAnsi="Calibri" w:cs="Arial"/>
                <w:b/>
                <w:position w:val="4"/>
                <w:sz w:val="18"/>
                <w:szCs w:val="18"/>
                <w:u w:val="thick"/>
              </w:rPr>
            </w:pPr>
          </w:p>
        </w:tc>
        <w:tc>
          <w:tcPr>
            <w:tcW w:w="804" w:type="pct"/>
            <w:gridSpan w:val="2"/>
            <w:tcBorders>
              <w:top w:val="single" w:sz="12" w:space="0" w:color="auto"/>
            </w:tcBorders>
            <w:vAlign w:val="bottom"/>
          </w:tcPr>
          <w:p w14:paraId="5FE739A4"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897" w:type="pct"/>
            <w:gridSpan w:val="2"/>
            <w:tcBorders>
              <w:top w:val="single" w:sz="12" w:space="0" w:color="auto"/>
            </w:tcBorders>
            <w:vAlign w:val="bottom"/>
          </w:tcPr>
          <w:p w14:paraId="449B220B"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833" w:type="pct"/>
            <w:tcBorders>
              <w:top w:val="single" w:sz="12" w:space="0" w:color="auto"/>
            </w:tcBorders>
            <w:vAlign w:val="bottom"/>
          </w:tcPr>
          <w:p w14:paraId="0E75D531"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681" w:type="pct"/>
            <w:tcBorders>
              <w:top w:val="single" w:sz="12" w:space="0" w:color="auto"/>
            </w:tcBorders>
            <w:vAlign w:val="bottom"/>
          </w:tcPr>
          <w:p w14:paraId="5980806E" w14:textId="77777777" w:rsidR="009557C4" w:rsidRPr="009557C4" w:rsidRDefault="009557C4" w:rsidP="009557C4">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r>
    </w:tbl>
    <w:p w14:paraId="6B118045" w14:textId="77777777" w:rsidR="003579C1" w:rsidRDefault="003579C1" w:rsidP="009E59E7">
      <w:pPr>
        <w:jc w:val="both"/>
        <w:rPr>
          <w:highlight w:val="yellow"/>
        </w:rPr>
        <w:sectPr w:rsidR="003579C1" w:rsidSect="00EA4079">
          <w:footerReference w:type="first" r:id="rId100"/>
          <w:pgSz w:w="11906" w:h="16838" w:code="9"/>
          <w:pgMar w:top="1418" w:right="1418" w:bottom="595" w:left="1134" w:header="709" w:footer="709" w:gutter="0"/>
          <w:cols w:space="708"/>
          <w:titlePg/>
          <w:docGrid w:linePitch="360"/>
        </w:sectPr>
      </w:pPr>
    </w:p>
    <w:p w14:paraId="1972BA46" w14:textId="77777777" w:rsidR="002A6CC6" w:rsidRDefault="002A6CC6" w:rsidP="002A6CC6">
      <w:pPr>
        <w:pStyle w:val="T1"/>
        <w:spacing w:before="0" w:after="0" w:line="240" w:lineRule="auto"/>
        <w:rPr>
          <w:rFonts w:asciiTheme="minorHAnsi" w:hAnsiTheme="minorHAnsi" w:cs="Arial"/>
          <w:sz w:val="22"/>
          <w:szCs w:val="22"/>
          <w:lang w:val="hr-HR"/>
        </w:rPr>
      </w:pPr>
    </w:p>
    <w:p w14:paraId="6160D5C9" w14:textId="77777777" w:rsidR="002A6CC6" w:rsidRDefault="002A6CC6" w:rsidP="002A6CC6">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2A6CC6">
        <w:rPr>
          <w:rFonts w:asciiTheme="minorHAnsi" w:hAnsiTheme="minorHAnsi" w:cs="Arial"/>
          <w:sz w:val="22"/>
          <w:szCs w:val="22"/>
          <w:lang w:val="hr-HR"/>
        </w:rPr>
        <w:t>.</w:t>
      </w:r>
      <w:r w:rsidRPr="002A6CC6">
        <w:rPr>
          <w:rFonts w:asciiTheme="minorHAnsi" w:hAnsiTheme="minorHAnsi" w:cs="Arial"/>
          <w:sz w:val="22"/>
          <w:szCs w:val="22"/>
          <w:lang w:val="hr-HR"/>
        </w:rPr>
        <w:tab/>
        <w:t>Upravljanje rizicima (nastavak)</w:t>
      </w:r>
    </w:p>
    <w:p w14:paraId="5AF66F5D" w14:textId="77777777" w:rsidR="002A6CC6" w:rsidRPr="002A6CC6" w:rsidRDefault="002A6CC6" w:rsidP="002A6CC6">
      <w:pPr>
        <w:pStyle w:val="T1"/>
        <w:spacing w:before="0" w:after="0" w:line="240" w:lineRule="auto"/>
        <w:rPr>
          <w:rFonts w:asciiTheme="minorHAnsi" w:hAnsiTheme="minorHAnsi" w:cs="Arial"/>
          <w:sz w:val="22"/>
          <w:szCs w:val="22"/>
          <w:lang w:val="hr-HR"/>
        </w:rPr>
      </w:pPr>
    </w:p>
    <w:p w14:paraId="3B1B197A" w14:textId="77777777" w:rsidR="002A6CC6" w:rsidRDefault="002A6CC6" w:rsidP="002A6CC6">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2A6CC6">
        <w:rPr>
          <w:rFonts w:asciiTheme="minorHAnsi" w:hAnsiTheme="minorHAnsi" w:cs="Arial"/>
          <w:sz w:val="22"/>
          <w:szCs w:val="22"/>
          <w:lang w:val="hr-HR"/>
        </w:rPr>
        <w:t xml:space="preserve">.2. </w:t>
      </w:r>
      <w:r w:rsidRPr="002A6CC6">
        <w:rPr>
          <w:rFonts w:asciiTheme="minorHAnsi" w:hAnsiTheme="minorHAnsi" w:cs="Arial"/>
          <w:sz w:val="22"/>
          <w:szCs w:val="22"/>
          <w:lang w:val="hr-HR"/>
        </w:rPr>
        <w:tab/>
        <w:t>Kreditni rizik (nastavak)</w:t>
      </w:r>
    </w:p>
    <w:p w14:paraId="19AD3D3B" w14:textId="77777777" w:rsidR="002A6CC6" w:rsidRPr="002A6CC6" w:rsidRDefault="002A6CC6" w:rsidP="002A6CC6">
      <w:pPr>
        <w:pStyle w:val="T1"/>
        <w:spacing w:before="0" w:after="0" w:line="240" w:lineRule="auto"/>
        <w:rPr>
          <w:rFonts w:asciiTheme="minorHAnsi" w:hAnsiTheme="minorHAnsi" w:cs="Arial"/>
          <w:sz w:val="22"/>
          <w:szCs w:val="22"/>
          <w:lang w:val="hr-HR"/>
        </w:rPr>
      </w:pPr>
    </w:p>
    <w:p w14:paraId="2612C718" w14:textId="77777777" w:rsidR="002A6CC6" w:rsidRDefault="002A6CC6" w:rsidP="002A6CC6">
      <w:pPr>
        <w:pStyle w:val="T1"/>
        <w:spacing w:before="0" w:after="0" w:line="240" w:lineRule="auto"/>
        <w:rPr>
          <w:rFonts w:asciiTheme="minorHAnsi" w:hAnsiTheme="minorHAnsi" w:cs="Arial"/>
          <w:sz w:val="22"/>
          <w:szCs w:val="22"/>
          <w:lang w:val="hr-HR"/>
        </w:rPr>
      </w:pPr>
      <w:r w:rsidRPr="002A6CC6">
        <w:rPr>
          <w:rFonts w:asciiTheme="minorHAnsi" w:hAnsiTheme="minorHAnsi" w:cs="Arial"/>
          <w:sz w:val="22"/>
          <w:szCs w:val="22"/>
          <w:lang w:val="hr-HR"/>
        </w:rPr>
        <w:t>Kvaliteta kreditnog rizika prema vrsti financijske imovine (nastavak)</w:t>
      </w:r>
    </w:p>
    <w:p w14:paraId="396CA236" w14:textId="77777777" w:rsidR="002A6CC6" w:rsidRPr="002A6CC6" w:rsidRDefault="002A6CC6" w:rsidP="002A6CC6">
      <w:pPr>
        <w:pStyle w:val="T1"/>
        <w:spacing w:before="0" w:after="0" w:line="240" w:lineRule="auto"/>
        <w:rPr>
          <w:rFonts w:asciiTheme="minorHAnsi" w:hAnsiTheme="minorHAnsi" w:cs="Arial"/>
          <w:sz w:val="20"/>
          <w:lang w:val="hr-HR"/>
        </w:rPr>
      </w:pPr>
    </w:p>
    <w:p w14:paraId="1797B7D4" w14:textId="77777777" w:rsidR="002A6CC6" w:rsidRPr="002A6CC6" w:rsidRDefault="002A6CC6" w:rsidP="002A6CC6">
      <w:pPr>
        <w:spacing w:after="0" w:line="240" w:lineRule="auto"/>
        <w:jc w:val="both"/>
        <w:rPr>
          <w:rFonts w:cs="Arial"/>
          <w:sz w:val="20"/>
          <w:szCs w:val="20"/>
        </w:rPr>
      </w:pPr>
      <w:r w:rsidRPr="002A6CC6">
        <w:rPr>
          <w:rFonts w:cs="Arial"/>
          <w:sz w:val="20"/>
          <w:szCs w:val="20"/>
        </w:rPr>
        <w:t>Kvaliteta kreditnog rizika prema vrsti financijske imovine u bruto izloženosti na pozicijama imovine i garancija i preuzetih obveza prema rizičnim skupinama (nastavak):</w:t>
      </w:r>
    </w:p>
    <w:p w14:paraId="3273FB0F" w14:textId="77777777" w:rsidR="002A6CC6" w:rsidRPr="002A6CC6" w:rsidRDefault="002A6CC6" w:rsidP="002A6CC6">
      <w:pPr>
        <w:spacing w:after="0" w:line="240" w:lineRule="auto"/>
        <w:jc w:val="both"/>
        <w:rPr>
          <w:rFonts w:cs="Arial"/>
        </w:rPr>
      </w:pPr>
    </w:p>
    <w:tbl>
      <w:tblPr>
        <w:tblW w:w="5000" w:type="pct"/>
        <w:jc w:val="center"/>
        <w:tblLayout w:type="fixed"/>
        <w:tblLook w:val="0000" w:firstRow="0" w:lastRow="0" w:firstColumn="0" w:lastColumn="0" w:noHBand="0" w:noVBand="0"/>
      </w:tblPr>
      <w:tblGrid>
        <w:gridCol w:w="3402"/>
        <w:gridCol w:w="1560"/>
        <w:gridCol w:w="1560"/>
        <w:gridCol w:w="1558"/>
        <w:gridCol w:w="1274"/>
      </w:tblGrid>
      <w:tr w:rsidR="00C43DD8" w:rsidRPr="002A6CC6" w14:paraId="797BD281" w14:textId="77777777" w:rsidTr="00312975">
        <w:trPr>
          <w:trHeight w:val="1297"/>
          <w:jc w:val="center"/>
        </w:trPr>
        <w:tc>
          <w:tcPr>
            <w:tcW w:w="1818" w:type="pct"/>
            <w:vAlign w:val="center"/>
          </w:tcPr>
          <w:p w14:paraId="26734D63" w14:textId="77777777" w:rsidR="002A6CC6" w:rsidRPr="002A6CC6" w:rsidRDefault="002A6CC6" w:rsidP="006A6DC8">
            <w:pPr>
              <w:spacing w:after="0" w:line="240" w:lineRule="auto"/>
              <w:rPr>
                <w:rFonts w:cs="Arial"/>
                <w:b/>
                <w:bCs/>
                <w:sz w:val="18"/>
                <w:szCs w:val="18"/>
              </w:rPr>
            </w:pPr>
            <w:r w:rsidRPr="002A6CC6">
              <w:rPr>
                <w:rFonts w:cs="Arial"/>
                <w:b/>
                <w:bCs/>
                <w:sz w:val="18"/>
                <w:szCs w:val="18"/>
              </w:rPr>
              <w:br w:type="page"/>
              <w:t>Banka</w:t>
            </w:r>
          </w:p>
          <w:p w14:paraId="306C87C3" w14:textId="77777777" w:rsidR="002A6CC6" w:rsidRPr="002A6CC6" w:rsidRDefault="002A6CC6" w:rsidP="00D235E1">
            <w:pPr>
              <w:spacing w:after="0" w:line="240" w:lineRule="exact"/>
              <w:rPr>
                <w:rFonts w:cs="Arial"/>
                <w:b/>
                <w:bCs/>
                <w:sz w:val="18"/>
                <w:szCs w:val="18"/>
              </w:rPr>
            </w:pPr>
          </w:p>
          <w:p w14:paraId="4EA1118A" w14:textId="77777777" w:rsidR="002A6CC6" w:rsidRPr="002A6CC6" w:rsidRDefault="002A6CC6" w:rsidP="00D235E1">
            <w:pPr>
              <w:spacing w:after="0" w:line="240" w:lineRule="exact"/>
              <w:rPr>
                <w:rFonts w:cs="Arial"/>
                <w:b/>
                <w:bCs/>
                <w:sz w:val="18"/>
                <w:szCs w:val="18"/>
              </w:rPr>
            </w:pPr>
          </w:p>
          <w:p w14:paraId="142AC2D6" w14:textId="77777777" w:rsidR="002A6CC6" w:rsidRPr="002A6CC6" w:rsidRDefault="002A6CC6" w:rsidP="00D235E1">
            <w:pPr>
              <w:spacing w:after="0" w:line="240" w:lineRule="exact"/>
              <w:rPr>
                <w:rFonts w:cs="Arial"/>
                <w:b/>
                <w:bCs/>
                <w:sz w:val="18"/>
                <w:szCs w:val="18"/>
              </w:rPr>
            </w:pPr>
          </w:p>
          <w:p w14:paraId="47814E34" w14:textId="5C6D2127" w:rsidR="002A6CC6" w:rsidRPr="002A6CC6" w:rsidRDefault="007E4493">
            <w:pPr>
              <w:spacing w:after="0" w:line="240" w:lineRule="exact"/>
              <w:rPr>
                <w:rFonts w:cs="Arial"/>
                <w:sz w:val="18"/>
                <w:szCs w:val="18"/>
              </w:rPr>
            </w:pPr>
            <w:r>
              <w:rPr>
                <w:rFonts w:cs="Arial"/>
                <w:b/>
                <w:bCs/>
                <w:sz w:val="18"/>
                <w:szCs w:val="18"/>
              </w:rPr>
              <w:t>30</w:t>
            </w:r>
            <w:r w:rsidR="009557C4">
              <w:rPr>
                <w:rFonts w:cs="Arial"/>
                <w:b/>
                <w:bCs/>
                <w:sz w:val="18"/>
                <w:szCs w:val="18"/>
              </w:rPr>
              <w:t>.</w:t>
            </w:r>
            <w:r>
              <w:rPr>
                <w:rFonts w:cs="Arial"/>
                <w:b/>
                <w:bCs/>
                <w:sz w:val="18"/>
                <w:szCs w:val="18"/>
              </w:rPr>
              <w:t>6</w:t>
            </w:r>
            <w:r w:rsidR="009557C4">
              <w:rPr>
                <w:rFonts w:cs="Arial"/>
                <w:b/>
                <w:bCs/>
                <w:sz w:val="18"/>
                <w:szCs w:val="18"/>
              </w:rPr>
              <w:t>.2017.</w:t>
            </w:r>
            <w:r w:rsidR="002A6CC6" w:rsidRPr="002A6CC6">
              <w:rPr>
                <w:rFonts w:cs="Arial"/>
                <w:b/>
                <w:bCs/>
                <w:sz w:val="18"/>
                <w:szCs w:val="18"/>
              </w:rPr>
              <w:t xml:space="preserve"> </w:t>
            </w:r>
          </w:p>
        </w:tc>
        <w:tc>
          <w:tcPr>
            <w:tcW w:w="834" w:type="pct"/>
            <w:vAlign w:val="center"/>
          </w:tcPr>
          <w:p w14:paraId="46A1FF26" w14:textId="77777777" w:rsidR="002A6CC6" w:rsidRPr="002A6CC6" w:rsidRDefault="002A6CC6" w:rsidP="00D235E1">
            <w:pPr>
              <w:spacing w:after="0" w:line="240" w:lineRule="exact"/>
              <w:jc w:val="right"/>
              <w:rPr>
                <w:rFonts w:cs="Arial"/>
                <w:b/>
                <w:sz w:val="18"/>
                <w:szCs w:val="18"/>
              </w:rPr>
            </w:pPr>
            <w:r w:rsidRPr="002A6CC6">
              <w:rPr>
                <w:rFonts w:cs="Arial"/>
                <w:b/>
                <w:sz w:val="18"/>
                <w:szCs w:val="18"/>
              </w:rPr>
              <w:t>Bruto izloženost imovine koja nije umanjena niti dospjela nenaplaćena</w:t>
            </w:r>
          </w:p>
          <w:p w14:paraId="4FC641F9" w14:textId="77777777" w:rsidR="002A6CC6" w:rsidRPr="002A6CC6" w:rsidRDefault="002A6CC6" w:rsidP="00D235E1">
            <w:pPr>
              <w:spacing w:after="0" w:line="240" w:lineRule="exact"/>
              <w:jc w:val="right"/>
              <w:rPr>
                <w:rFonts w:cs="Arial"/>
                <w:b/>
                <w:sz w:val="18"/>
                <w:szCs w:val="18"/>
              </w:rPr>
            </w:pPr>
          </w:p>
        </w:tc>
        <w:tc>
          <w:tcPr>
            <w:tcW w:w="834" w:type="pct"/>
            <w:vAlign w:val="center"/>
          </w:tcPr>
          <w:p w14:paraId="03DDE040" w14:textId="77777777" w:rsidR="002A6CC6" w:rsidRPr="002A6CC6" w:rsidRDefault="002A6CC6" w:rsidP="00D235E1">
            <w:pPr>
              <w:spacing w:after="0" w:line="240" w:lineRule="exact"/>
              <w:jc w:val="right"/>
              <w:rPr>
                <w:rFonts w:cs="Arial"/>
                <w:b/>
                <w:sz w:val="18"/>
                <w:szCs w:val="18"/>
              </w:rPr>
            </w:pPr>
            <w:r w:rsidRPr="002A6CC6">
              <w:rPr>
                <w:rFonts w:cs="Arial"/>
                <w:b/>
                <w:sz w:val="18"/>
                <w:szCs w:val="18"/>
              </w:rPr>
              <w:t>Bruto izloženost imovine koja je dospjela nenaplaćena i nije umanjena</w:t>
            </w:r>
          </w:p>
          <w:p w14:paraId="71F0B537" w14:textId="77777777" w:rsidR="002A6CC6" w:rsidRPr="002A6CC6" w:rsidRDefault="002A6CC6" w:rsidP="00D235E1">
            <w:pPr>
              <w:spacing w:after="0" w:line="240" w:lineRule="exact"/>
              <w:jc w:val="right"/>
              <w:rPr>
                <w:rFonts w:cs="Arial"/>
                <w:b/>
                <w:sz w:val="18"/>
                <w:szCs w:val="18"/>
              </w:rPr>
            </w:pPr>
          </w:p>
        </w:tc>
        <w:tc>
          <w:tcPr>
            <w:tcW w:w="833" w:type="pct"/>
            <w:vAlign w:val="center"/>
          </w:tcPr>
          <w:p w14:paraId="3A64E123" w14:textId="77777777" w:rsidR="002A6CC6" w:rsidRPr="002A6CC6" w:rsidRDefault="002A6CC6" w:rsidP="00D235E1">
            <w:pPr>
              <w:spacing w:after="0" w:line="240" w:lineRule="exact"/>
              <w:jc w:val="right"/>
              <w:rPr>
                <w:rFonts w:cs="Arial"/>
                <w:b/>
                <w:sz w:val="18"/>
                <w:szCs w:val="18"/>
              </w:rPr>
            </w:pPr>
            <w:r w:rsidRPr="002A6CC6">
              <w:rPr>
                <w:rFonts w:cs="Arial"/>
                <w:b/>
                <w:sz w:val="18"/>
                <w:szCs w:val="18"/>
              </w:rPr>
              <w:t>Bruto izloženost imovine umanjene na pojedinačnoj osnovi</w:t>
            </w:r>
          </w:p>
          <w:p w14:paraId="4B1DD3C1" w14:textId="77777777" w:rsidR="002A6CC6" w:rsidRPr="002A6CC6" w:rsidRDefault="002A6CC6" w:rsidP="00D235E1">
            <w:pPr>
              <w:spacing w:after="0" w:line="240" w:lineRule="exact"/>
              <w:jc w:val="right"/>
              <w:rPr>
                <w:rFonts w:cs="Arial"/>
                <w:b/>
                <w:sz w:val="18"/>
                <w:szCs w:val="18"/>
              </w:rPr>
            </w:pPr>
          </w:p>
        </w:tc>
        <w:tc>
          <w:tcPr>
            <w:tcW w:w="681" w:type="pct"/>
            <w:vAlign w:val="bottom"/>
          </w:tcPr>
          <w:p w14:paraId="52517D5C" w14:textId="77777777" w:rsidR="002A6CC6" w:rsidRPr="002A6CC6" w:rsidRDefault="002A6CC6" w:rsidP="00D235E1">
            <w:pPr>
              <w:spacing w:after="0" w:line="240" w:lineRule="exact"/>
              <w:jc w:val="right"/>
              <w:rPr>
                <w:rFonts w:cs="Arial"/>
                <w:b/>
                <w:sz w:val="18"/>
                <w:szCs w:val="18"/>
              </w:rPr>
            </w:pPr>
            <w:r w:rsidRPr="002A6CC6">
              <w:rPr>
                <w:rFonts w:cs="Arial"/>
                <w:b/>
                <w:sz w:val="18"/>
                <w:szCs w:val="18"/>
              </w:rPr>
              <w:t>Ukupno</w:t>
            </w:r>
          </w:p>
          <w:p w14:paraId="1B4321FE" w14:textId="77777777" w:rsidR="002A6CC6" w:rsidRPr="002A6CC6" w:rsidRDefault="002A6CC6" w:rsidP="00D235E1">
            <w:pPr>
              <w:spacing w:after="0" w:line="240" w:lineRule="exact"/>
              <w:jc w:val="right"/>
              <w:rPr>
                <w:rFonts w:cs="Arial"/>
                <w:b/>
                <w:sz w:val="18"/>
                <w:szCs w:val="18"/>
              </w:rPr>
            </w:pPr>
          </w:p>
        </w:tc>
      </w:tr>
      <w:tr w:rsidR="00C43DD8" w:rsidRPr="002A6CC6" w14:paraId="321B96F9" w14:textId="77777777" w:rsidTr="00312975">
        <w:trPr>
          <w:jc w:val="center"/>
        </w:trPr>
        <w:tc>
          <w:tcPr>
            <w:tcW w:w="1818" w:type="pct"/>
          </w:tcPr>
          <w:p w14:paraId="1E4798C6" w14:textId="77777777" w:rsidR="002A6CC6" w:rsidRPr="002A6CC6" w:rsidRDefault="002A6CC6" w:rsidP="002A6CC6">
            <w:pPr>
              <w:pStyle w:val="TT"/>
              <w:spacing w:line="280" w:lineRule="exact"/>
              <w:rPr>
                <w:rFonts w:asciiTheme="minorHAnsi" w:hAnsiTheme="minorHAnsi" w:cs="Arial"/>
                <w:b/>
                <w:bCs/>
                <w:sz w:val="18"/>
                <w:szCs w:val="18"/>
                <w:lang w:val="hr-HR"/>
              </w:rPr>
            </w:pPr>
            <w:r w:rsidRPr="002A6CC6">
              <w:rPr>
                <w:rFonts w:asciiTheme="minorHAnsi" w:hAnsiTheme="minorHAnsi" w:cs="Arial"/>
                <w:b/>
                <w:bCs/>
                <w:sz w:val="18"/>
                <w:szCs w:val="18"/>
                <w:lang w:val="hr-HR"/>
              </w:rPr>
              <w:t>Imovina</w:t>
            </w:r>
          </w:p>
        </w:tc>
        <w:tc>
          <w:tcPr>
            <w:tcW w:w="834" w:type="pct"/>
          </w:tcPr>
          <w:p w14:paraId="3BBCABC9" w14:textId="77777777" w:rsidR="002A6CC6" w:rsidRPr="002A6CC6" w:rsidRDefault="002A6CC6" w:rsidP="002A6CC6">
            <w:pPr>
              <w:pStyle w:val="TT"/>
              <w:spacing w:line="280" w:lineRule="exact"/>
              <w:rPr>
                <w:rFonts w:asciiTheme="minorHAnsi" w:hAnsiTheme="minorHAnsi" w:cs="Arial"/>
                <w:b/>
                <w:bCs/>
                <w:sz w:val="18"/>
                <w:szCs w:val="18"/>
                <w:lang w:val="hr-HR"/>
              </w:rPr>
            </w:pPr>
          </w:p>
        </w:tc>
        <w:tc>
          <w:tcPr>
            <w:tcW w:w="834" w:type="pct"/>
          </w:tcPr>
          <w:p w14:paraId="50171F47" w14:textId="77777777" w:rsidR="002A6CC6" w:rsidRPr="002A6CC6" w:rsidRDefault="002A6CC6" w:rsidP="002A6CC6">
            <w:pPr>
              <w:pStyle w:val="TT"/>
              <w:spacing w:line="280" w:lineRule="exact"/>
              <w:rPr>
                <w:rFonts w:asciiTheme="minorHAnsi" w:hAnsiTheme="minorHAnsi" w:cs="Arial"/>
                <w:b/>
                <w:bCs/>
                <w:sz w:val="18"/>
                <w:szCs w:val="18"/>
                <w:lang w:val="hr-HR"/>
              </w:rPr>
            </w:pPr>
          </w:p>
        </w:tc>
        <w:tc>
          <w:tcPr>
            <w:tcW w:w="833" w:type="pct"/>
          </w:tcPr>
          <w:p w14:paraId="2217B7CB" w14:textId="77777777" w:rsidR="002A6CC6" w:rsidRPr="002A6CC6" w:rsidRDefault="002A6CC6" w:rsidP="002A6CC6">
            <w:pPr>
              <w:pStyle w:val="TT"/>
              <w:spacing w:line="280" w:lineRule="exact"/>
              <w:rPr>
                <w:rFonts w:asciiTheme="minorHAnsi" w:hAnsiTheme="minorHAnsi" w:cs="Arial"/>
                <w:b/>
                <w:bCs/>
                <w:sz w:val="18"/>
                <w:szCs w:val="18"/>
                <w:lang w:val="hr-HR"/>
              </w:rPr>
            </w:pPr>
          </w:p>
        </w:tc>
        <w:tc>
          <w:tcPr>
            <w:tcW w:w="681" w:type="pct"/>
          </w:tcPr>
          <w:p w14:paraId="02F2A7CA" w14:textId="77777777" w:rsidR="002A6CC6" w:rsidRPr="002A6CC6" w:rsidRDefault="002A6CC6" w:rsidP="002A6CC6">
            <w:pPr>
              <w:pStyle w:val="TT"/>
              <w:spacing w:line="280" w:lineRule="exact"/>
              <w:rPr>
                <w:rFonts w:asciiTheme="minorHAnsi" w:hAnsiTheme="minorHAnsi" w:cs="Arial"/>
                <w:b/>
                <w:bCs/>
                <w:sz w:val="18"/>
                <w:szCs w:val="18"/>
                <w:lang w:val="hr-HR"/>
              </w:rPr>
            </w:pPr>
          </w:p>
        </w:tc>
      </w:tr>
      <w:tr w:rsidR="00C43DD8" w:rsidRPr="002A6CC6" w14:paraId="37E5F485" w14:textId="77777777" w:rsidTr="00312975">
        <w:trPr>
          <w:jc w:val="center"/>
        </w:trPr>
        <w:tc>
          <w:tcPr>
            <w:tcW w:w="1818" w:type="pct"/>
          </w:tcPr>
          <w:p w14:paraId="677B96D7" w14:textId="77777777" w:rsidR="002B1276" w:rsidRPr="002A6CC6" w:rsidRDefault="002B1276" w:rsidP="002B1276">
            <w:pPr>
              <w:pStyle w:val="TT"/>
              <w:spacing w:line="280" w:lineRule="exact"/>
              <w:rPr>
                <w:rFonts w:asciiTheme="minorHAnsi" w:hAnsiTheme="minorHAnsi" w:cs="Arial"/>
                <w:sz w:val="18"/>
                <w:szCs w:val="18"/>
                <w:lang w:val="hr-HR"/>
              </w:rPr>
            </w:pPr>
            <w:r w:rsidRPr="002A6CC6">
              <w:rPr>
                <w:rFonts w:asciiTheme="minorHAnsi" w:hAnsiTheme="minorHAnsi" w:cs="Arial"/>
                <w:sz w:val="18"/>
                <w:szCs w:val="18"/>
                <w:lang w:val="hr-HR"/>
              </w:rPr>
              <w:t>Novčana sredstva i računi kod banaka</w:t>
            </w:r>
          </w:p>
        </w:tc>
        <w:tc>
          <w:tcPr>
            <w:tcW w:w="834" w:type="pct"/>
            <w:tcBorders>
              <w:top w:val="nil"/>
              <w:left w:val="nil"/>
              <w:bottom w:val="nil"/>
              <w:right w:val="nil"/>
            </w:tcBorders>
            <w:shd w:val="clear" w:color="auto" w:fill="auto"/>
            <w:vAlign w:val="center"/>
          </w:tcPr>
          <w:p w14:paraId="0B56926C" w14:textId="619DC482"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1.680.018</w:t>
            </w:r>
          </w:p>
        </w:tc>
        <w:tc>
          <w:tcPr>
            <w:tcW w:w="834" w:type="pct"/>
            <w:tcBorders>
              <w:top w:val="nil"/>
              <w:left w:val="nil"/>
              <w:bottom w:val="nil"/>
              <w:right w:val="nil"/>
            </w:tcBorders>
            <w:shd w:val="clear" w:color="auto" w:fill="auto"/>
            <w:vAlign w:val="center"/>
          </w:tcPr>
          <w:p w14:paraId="133BE452" w14:textId="7C88AC47"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833" w:type="pct"/>
            <w:tcBorders>
              <w:top w:val="nil"/>
              <w:left w:val="nil"/>
              <w:bottom w:val="nil"/>
              <w:right w:val="nil"/>
            </w:tcBorders>
            <w:shd w:val="clear" w:color="auto" w:fill="auto"/>
            <w:vAlign w:val="center"/>
          </w:tcPr>
          <w:p w14:paraId="7BB2E245" w14:textId="22462611"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681" w:type="pct"/>
            <w:tcBorders>
              <w:top w:val="nil"/>
              <w:left w:val="nil"/>
              <w:bottom w:val="nil"/>
              <w:right w:val="nil"/>
            </w:tcBorders>
            <w:shd w:val="clear" w:color="auto" w:fill="auto"/>
            <w:vAlign w:val="center"/>
          </w:tcPr>
          <w:p w14:paraId="189F7205" w14:textId="782F20D4"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1.680.018</w:t>
            </w:r>
          </w:p>
        </w:tc>
      </w:tr>
      <w:tr w:rsidR="00C43DD8" w:rsidRPr="002A6CC6" w14:paraId="2C2A4474" w14:textId="77777777" w:rsidTr="00312975">
        <w:trPr>
          <w:jc w:val="center"/>
        </w:trPr>
        <w:tc>
          <w:tcPr>
            <w:tcW w:w="1818" w:type="pct"/>
          </w:tcPr>
          <w:p w14:paraId="0BE26FD5" w14:textId="77777777" w:rsidR="002B1276" w:rsidRPr="002A6CC6" w:rsidRDefault="002B1276" w:rsidP="002B1276">
            <w:pPr>
              <w:pStyle w:val="TT"/>
              <w:spacing w:line="280" w:lineRule="exact"/>
              <w:rPr>
                <w:rFonts w:asciiTheme="minorHAnsi" w:hAnsiTheme="minorHAnsi" w:cs="Arial"/>
                <w:sz w:val="18"/>
                <w:szCs w:val="18"/>
                <w:lang w:val="hr-HR"/>
              </w:rPr>
            </w:pPr>
            <w:r w:rsidRPr="002A6CC6">
              <w:rPr>
                <w:rFonts w:asciiTheme="minorHAnsi" w:hAnsiTheme="minorHAnsi" w:cs="Arial"/>
                <w:sz w:val="18"/>
                <w:szCs w:val="18"/>
                <w:lang w:val="hr-HR"/>
              </w:rPr>
              <w:t>Depoziti kod drugih banaka</w:t>
            </w:r>
          </w:p>
        </w:tc>
        <w:tc>
          <w:tcPr>
            <w:tcW w:w="834" w:type="pct"/>
            <w:tcBorders>
              <w:top w:val="nil"/>
              <w:left w:val="nil"/>
              <w:bottom w:val="nil"/>
              <w:right w:val="nil"/>
            </w:tcBorders>
            <w:shd w:val="clear" w:color="auto" w:fill="auto"/>
            <w:vAlign w:val="center"/>
          </w:tcPr>
          <w:p w14:paraId="08E8E5DF" w14:textId="430B703C"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1.548</w:t>
            </w:r>
          </w:p>
        </w:tc>
        <w:tc>
          <w:tcPr>
            <w:tcW w:w="834" w:type="pct"/>
            <w:tcBorders>
              <w:top w:val="nil"/>
              <w:left w:val="nil"/>
              <w:bottom w:val="nil"/>
              <w:right w:val="nil"/>
            </w:tcBorders>
            <w:shd w:val="clear" w:color="auto" w:fill="auto"/>
            <w:vAlign w:val="center"/>
          </w:tcPr>
          <w:p w14:paraId="69C744EC" w14:textId="28DD7428"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833" w:type="pct"/>
            <w:tcBorders>
              <w:top w:val="nil"/>
              <w:left w:val="nil"/>
              <w:bottom w:val="nil"/>
              <w:right w:val="nil"/>
            </w:tcBorders>
            <w:shd w:val="clear" w:color="auto" w:fill="auto"/>
            <w:vAlign w:val="center"/>
          </w:tcPr>
          <w:p w14:paraId="1CABF252" w14:textId="52BDEB83"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681" w:type="pct"/>
            <w:tcBorders>
              <w:top w:val="nil"/>
              <w:left w:val="nil"/>
              <w:bottom w:val="nil"/>
              <w:right w:val="nil"/>
            </w:tcBorders>
            <w:shd w:val="clear" w:color="auto" w:fill="auto"/>
            <w:vAlign w:val="center"/>
          </w:tcPr>
          <w:p w14:paraId="0B7BEC70" w14:textId="5B00D748"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1.548</w:t>
            </w:r>
          </w:p>
        </w:tc>
      </w:tr>
      <w:tr w:rsidR="00C43DD8" w:rsidRPr="002A6CC6" w14:paraId="4BFE0DF5" w14:textId="77777777" w:rsidTr="00312975">
        <w:trPr>
          <w:jc w:val="center"/>
        </w:trPr>
        <w:tc>
          <w:tcPr>
            <w:tcW w:w="1818" w:type="pct"/>
          </w:tcPr>
          <w:p w14:paraId="6C90DFB8" w14:textId="77777777" w:rsidR="002B1276" w:rsidRPr="002A6CC6" w:rsidRDefault="002B1276" w:rsidP="002B1276">
            <w:pPr>
              <w:pStyle w:val="TT"/>
              <w:spacing w:line="280" w:lineRule="exact"/>
              <w:rPr>
                <w:rFonts w:asciiTheme="minorHAnsi" w:hAnsiTheme="minorHAnsi" w:cs="Arial"/>
                <w:sz w:val="18"/>
                <w:szCs w:val="18"/>
                <w:lang w:val="hr-HR"/>
              </w:rPr>
            </w:pPr>
            <w:r w:rsidRPr="002A6CC6">
              <w:rPr>
                <w:rFonts w:asciiTheme="minorHAnsi" w:hAnsiTheme="minorHAnsi" w:cs="Arial"/>
                <w:sz w:val="18"/>
                <w:szCs w:val="18"/>
                <w:lang w:val="hr-HR"/>
              </w:rPr>
              <w:t xml:space="preserve">Krediti </w:t>
            </w:r>
            <w:r w:rsidRPr="007B0382">
              <w:rPr>
                <w:rFonts w:asciiTheme="minorHAnsi" w:hAnsiTheme="minorHAnsi" w:cs="Arial"/>
                <w:sz w:val="18"/>
                <w:szCs w:val="18"/>
                <w:lang w:val="hr-HR"/>
              </w:rPr>
              <w:t>financijskim institucijama</w:t>
            </w:r>
          </w:p>
        </w:tc>
        <w:tc>
          <w:tcPr>
            <w:tcW w:w="834" w:type="pct"/>
            <w:tcBorders>
              <w:top w:val="nil"/>
              <w:left w:val="nil"/>
              <w:bottom w:val="nil"/>
              <w:right w:val="nil"/>
            </w:tcBorders>
            <w:shd w:val="clear" w:color="auto" w:fill="auto"/>
            <w:vAlign w:val="center"/>
          </w:tcPr>
          <w:p w14:paraId="0CE37DEC" w14:textId="4A4FC510"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10.878.640</w:t>
            </w:r>
          </w:p>
        </w:tc>
        <w:tc>
          <w:tcPr>
            <w:tcW w:w="834" w:type="pct"/>
            <w:tcBorders>
              <w:top w:val="nil"/>
              <w:left w:val="nil"/>
              <w:bottom w:val="nil"/>
              <w:right w:val="nil"/>
            </w:tcBorders>
            <w:shd w:val="clear" w:color="auto" w:fill="auto"/>
            <w:vAlign w:val="center"/>
          </w:tcPr>
          <w:p w14:paraId="0E6285C1" w14:textId="7147E3D5"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104.788</w:t>
            </w:r>
          </w:p>
        </w:tc>
        <w:tc>
          <w:tcPr>
            <w:tcW w:w="833" w:type="pct"/>
            <w:tcBorders>
              <w:top w:val="nil"/>
              <w:left w:val="nil"/>
              <w:bottom w:val="nil"/>
              <w:right w:val="nil"/>
            </w:tcBorders>
            <w:shd w:val="clear" w:color="auto" w:fill="auto"/>
            <w:vAlign w:val="center"/>
          </w:tcPr>
          <w:p w14:paraId="74B1E75F" w14:textId="6DFC473B"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330.074</w:t>
            </w:r>
          </w:p>
        </w:tc>
        <w:tc>
          <w:tcPr>
            <w:tcW w:w="681" w:type="pct"/>
            <w:tcBorders>
              <w:top w:val="nil"/>
              <w:left w:val="nil"/>
              <w:bottom w:val="nil"/>
              <w:right w:val="nil"/>
            </w:tcBorders>
            <w:shd w:val="clear" w:color="auto" w:fill="auto"/>
            <w:vAlign w:val="center"/>
          </w:tcPr>
          <w:p w14:paraId="6806126F" w14:textId="02458F29"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11.313.502</w:t>
            </w:r>
          </w:p>
        </w:tc>
      </w:tr>
      <w:tr w:rsidR="00C43DD8" w:rsidRPr="002A6CC6" w14:paraId="2C30229D" w14:textId="77777777" w:rsidTr="00312975">
        <w:trPr>
          <w:jc w:val="center"/>
        </w:trPr>
        <w:tc>
          <w:tcPr>
            <w:tcW w:w="1818" w:type="pct"/>
          </w:tcPr>
          <w:p w14:paraId="6C6A3D7A" w14:textId="77777777" w:rsidR="002B1276" w:rsidRPr="002A6CC6" w:rsidRDefault="002B1276" w:rsidP="002B1276">
            <w:pPr>
              <w:pStyle w:val="TT"/>
              <w:spacing w:line="280" w:lineRule="exact"/>
              <w:rPr>
                <w:rFonts w:asciiTheme="minorHAnsi" w:hAnsiTheme="minorHAnsi" w:cs="Arial"/>
                <w:sz w:val="18"/>
                <w:szCs w:val="18"/>
                <w:lang w:val="hr-HR"/>
              </w:rPr>
            </w:pPr>
            <w:r w:rsidRPr="002A6CC6">
              <w:rPr>
                <w:rFonts w:asciiTheme="minorHAnsi" w:hAnsiTheme="minorHAnsi" w:cs="Arial"/>
                <w:sz w:val="18"/>
                <w:szCs w:val="18"/>
                <w:lang w:val="hr-HR"/>
              </w:rPr>
              <w:t>Krediti ostalim korisnicima</w:t>
            </w:r>
          </w:p>
        </w:tc>
        <w:tc>
          <w:tcPr>
            <w:tcW w:w="834" w:type="pct"/>
            <w:tcBorders>
              <w:top w:val="nil"/>
              <w:left w:val="nil"/>
              <w:bottom w:val="nil"/>
              <w:right w:val="nil"/>
            </w:tcBorders>
            <w:shd w:val="clear" w:color="auto" w:fill="auto"/>
            <w:vAlign w:val="center"/>
          </w:tcPr>
          <w:p w14:paraId="42C56A7B" w14:textId="4191BA96"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10.023.453</w:t>
            </w:r>
          </w:p>
        </w:tc>
        <w:tc>
          <w:tcPr>
            <w:tcW w:w="834" w:type="pct"/>
            <w:tcBorders>
              <w:top w:val="nil"/>
              <w:left w:val="nil"/>
              <w:bottom w:val="nil"/>
              <w:right w:val="nil"/>
            </w:tcBorders>
            <w:shd w:val="clear" w:color="auto" w:fill="auto"/>
            <w:vAlign w:val="center"/>
          </w:tcPr>
          <w:p w14:paraId="2A92BF96" w14:textId="0EAFEA29"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205.028</w:t>
            </w:r>
          </w:p>
        </w:tc>
        <w:tc>
          <w:tcPr>
            <w:tcW w:w="833" w:type="pct"/>
            <w:tcBorders>
              <w:top w:val="nil"/>
              <w:left w:val="nil"/>
              <w:bottom w:val="nil"/>
              <w:right w:val="nil"/>
            </w:tcBorders>
            <w:shd w:val="clear" w:color="auto" w:fill="auto"/>
            <w:vAlign w:val="center"/>
          </w:tcPr>
          <w:p w14:paraId="5ACC9B3B" w14:textId="0DB6CCF6"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1.418.633</w:t>
            </w:r>
          </w:p>
        </w:tc>
        <w:tc>
          <w:tcPr>
            <w:tcW w:w="681" w:type="pct"/>
            <w:tcBorders>
              <w:top w:val="nil"/>
              <w:left w:val="nil"/>
              <w:bottom w:val="nil"/>
              <w:right w:val="nil"/>
            </w:tcBorders>
            <w:shd w:val="clear" w:color="auto" w:fill="auto"/>
            <w:vAlign w:val="center"/>
          </w:tcPr>
          <w:p w14:paraId="766C1A0C" w14:textId="38E1B755"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11.647.114</w:t>
            </w:r>
          </w:p>
        </w:tc>
      </w:tr>
      <w:tr w:rsidR="00C43DD8" w:rsidRPr="002A6CC6" w14:paraId="1A051A67" w14:textId="77777777" w:rsidTr="00312975">
        <w:trPr>
          <w:jc w:val="center"/>
        </w:trPr>
        <w:tc>
          <w:tcPr>
            <w:tcW w:w="1818" w:type="pct"/>
          </w:tcPr>
          <w:p w14:paraId="4DACBC5F" w14:textId="77777777" w:rsidR="002B1276" w:rsidRPr="002A6CC6" w:rsidRDefault="002B1276" w:rsidP="002B1276">
            <w:pPr>
              <w:pStyle w:val="TT"/>
              <w:spacing w:line="280" w:lineRule="exact"/>
              <w:rPr>
                <w:rFonts w:asciiTheme="minorHAnsi" w:hAnsiTheme="minorHAnsi" w:cs="Arial"/>
                <w:sz w:val="18"/>
                <w:szCs w:val="18"/>
                <w:lang w:val="hr-HR"/>
              </w:rPr>
            </w:pPr>
            <w:r w:rsidRPr="002A6CC6">
              <w:rPr>
                <w:rFonts w:asciiTheme="minorHAnsi" w:hAnsiTheme="minorHAnsi" w:cs="Arial"/>
                <w:sz w:val="18"/>
                <w:szCs w:val="18"/>
                <w:lang w:val="hr-HR"/>
              </w:rPr>
              <w:t>Imovina raspoloživa za prodaju</w:t>
            </w:r>
          </w:p>
        </w:tc>
        <w:tc>
          <w:tcPr>
            <w:tcW w:w="834" w:type="pct"/>
            <w:tcBorders>
              <w:top w:val="nil"/>
              <w:left w:val="nil"/>
              <w:bottom w:val="nil"/>
              <w:right w:val="nil"/>
            </w:tcBorders>
            <w:shd w:val="clear" w:color="auto" w:fill="auto"/>
            <w:vAlign w:val="center"/>
          </w:tcPr>
          <w:p w14:paraId="76C37275" w14:textId="46431A09"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3.011.728</w:t>
            </w:r>
          </w:p>
        </w:tc>
        <w:tc>
          <w:tcPr>
            <w:tcW w:w="834" w:type="pct"/>
            <w:tcBorders>
              <w:top w:val="nil"/>
              <w:left w:val="nil"/>
              <w:bottom w:val="nil"/>
              <w:right w:val="nil"/>
            </w:tcBorders>
            <w:shd w:val="clear" w:color="auto" w:fill="auto"/>
            <w:vAlign w:val="center"/>
          </w:tcPr>
          <w:p w14:paraId="430AEC90" w14:textId="174AA32A"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833" w:type="pct"/>
            <w:tcBorders>
              <w:top w:val="nil"/>
              <w:left w:val="nil"/>
              <w:bottom w:val="nil"/>
              <w:right w:val="nil"/>
            </w:tcBorders>
            <w:shd w:val="clear" w:color="auto" w:fill="auto"/>
            <w:vAlign w:val="center"/>
          </w:tcPr>
          <w:p w14:paraId="1522261C" w14:textId="25623835"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681" w:type="pct"/>
            <w:tcBorders>
              <w:top w:val="nil"/>
              <w:left w:val="nil"/>
              <w:bottom w:val="nil"/>
              <w:right w:val="nil"/>
            </w:tcBorders>
            <w:shd w:val="clear" w:color="auto" w:fill="auto"/>
            <w:vAlign w:val="center"/>
          </w:tcPr>
          <w:p w14:paraId="5A1CB2D2" w14:textId="44131AB3"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3.011.728</w:t>
            </w:r>
          </w:p>
        </w:tc>
      </w:tr>
      <w:tr w:rsidR="00C43DD8" w:rsidRPr="002A6CC6" w14:paraId="490EB5DF" w14:textId="77777777" w:rsidTr="00312975">
        <w:trPr>
          <w:jc w:val="center"/>
        </w:trPr>
        <w:tc>
          <w:tcPr>
            <w:tcW w:w="1818" w:type="pct"/>
          </w:tcPr>
          <w:p w14:paraId="50D29B69" w14:textId="77777777" w:rsidR="002B1276" w:rsidRPr="002A6CC6" w:rsidRDefault="002B1276" w:rsidP="002B1276">
            <w:pPr>
              <w:pStyle w:val="TT"/>
              <w:spacing w:line="280" w:lineRule="exact"/>
              <w:rPr>
                <w:rFonts w:asciiTheme="minorHAnsi" w:hAnsiTheme="minorHAnsi" w:cs="Arial"/>
                <w:sz w:val="18"/>
                <w:szCs w:val="18"/>
                <w:lang w:val="hr-HR"/>
              </w:rPr>
            </w:pPr>
            <w:r w:rsidRPr="002A6CC6">
              <w:rPr>
                <w:rFonts w:asciiTheme="minorHAnsi" w:hAnsiTheme="minorHAnsi" w:cs="Arial"/>
                <w:sz w:val="18"/>
                <w:szCs w:val="18"/>
                <w:lang w:val="hr-HR"/>
              </w:rPr>
              <w:t>Ostala imovina</w:t>
            </w:r>
          </w:p>
        </w:tc>
        <w:tc>
          <w:tcPr>
            <w:tcW w:w="834" w:type="pct"/>
            <w:tcBorders>
              <w:top w:val="nil"/>
              <w:left w:val="nil"/>
              <w:bottom w:val="single" w:sz="8" w:space="0" w:color="auto"/>
              <w:right w:val="nil"/>
            </w:tcBorders>
            <w:shd w:val="clear" w:color="auto" w:fill="auto"/>
            <w:vAlign w:val="center"/>
          </w:tcPr>
          <w:p w14:paraId="3AA0FB9D" w14:textId="2BF42FE0"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1.558</w:t>
            </w:r>
          </w:p>
        </w:tc>
        <w:tc>
          <w:tcPr>
            <w:tcW w:w="834" w:type="pct"/>
            <w:tcBorders>
              <w:top w:val="nil"/>
              <w:left w:val="nil"/>
              <w:bottom w:val="single" w:sz="8" w:space="0" w:color="auto"/>
              <w:right w:val="nil"/>
            </w:tcBorders>
            <w:shd w:val="clear" w:color="auto" w:fill="auto"/>
            <w:vAlign w:val="center"/>
          </w:tcPr>
          <w:p w14:paraId="4CE18229" w14:textId="51DD7EF6"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545</w:t>
            </w:r>
          </w:p>
        </w:tc>
        <w:tc>
          <w:tcPr>
            <w:tcW w:w="833" w:type="pct"/>
            <w:tcBorders>
              <w:top w:val="nil"/>
              <w:left w:val="nil"/>
              <w:bottom w:val="single" w:sz="8" w:space="0" w:color="auto"/>
              <w:right w:val="nil"/>
            </w:tcBorders>
            <w:shd w:val="clear" w:color="auto" w:fill="auto"/>
            <w:vAlign w:val="center"/>
          </w:tcPr>
          <w:p w14:paraId="024B4DB8" w14:textId="395C945C"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1.379</w:t>
            </w:r>
          </w:p>
        </w:tc>
        <w:tc>
          <w:tcPr>
            <w:tcW w:w="681" w:type="pct"/>
            <w:tcBorders>
              <w:top w:val="nil"/>
              <w:left w:val="nil"/>
              <w:bottom w:val="single" w:sz="8" w:space="0" w:color="auto"/>
              <w:right w:val="nil"/>
            </w:tcBorders>
            <w:shd w:val="clear" w:color="auto" w:fill="auto"/>
            <w:vAlign w:val="center"/>
          </w:tcPr>
          <w:p w14:paraId="1DF131C3" w14:textId="2FB463F7"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3.482</w:t>
            </w:r>
          </w:p>
        </w:tc>
      </w:tr>
      <w:tr w:rsidR="00C43DD8" w:rsidRPr="002A6CC6" w14:paraId="4CD1A654" w14:textId="77777777" w:rsidTr="00312975">
        <w:trPr>
          <w:jc w:val="center"/>
        </w:trPr>
        <w:tc>
          <w:tcPr>
            <w:tcW w:w="1818" w:type="pct"/>
          </w:tcPr>
          <w:p w14:paraId="5464070C" w14:textId="77777777" w:rsidR="002B1276" w:rsidRPr="002A6CC6" w:rsidRDefault="002B1276" w:rsidP="002B1276">
            <w:pPr>
              <w:pStyle w:val="Tot"/>
              <w:spacing w:line="280" w:lineRule="exact"/>
              <w:rPr>
                <w:rFonts w:asciiTheme="minorHAnsi" w:hAnsiTheme="minorHAnsi" w:cs="Arial"/>
                <w:b/>
                <w:bCs/>
                <w:sz w:val="18"/>
                <w:szCs w:val="18"/>
                <w:lang w:val="hr-HR"/>
              </w:rPr>
            </w:pPr>
            <w:r w:rsidRPr="002A6CC6">
              <w:rPr>
                <w:rFonts w:asciiTheme="minorHAnsi" w:hAnsiTheme="minorHAnsi" w:cs="Arial"/>
                <w:b/>
                <w:bCs/>
                <w:sz w:val="18"/>
                <w:szCs w:val="18"/>
                <w:lang w:val="hr-HR"/>
              </w:rPr>
              <w:t>Ukupno</w:t>
            </w:r>
          </w:p>
        </w:tc>
        <w:tc>
          <w:tcPr>
            <w:tcW w:w="834" w:type="pct"/>
            <w:tcBorders>
              <w:top w:val="nil"/>
              <w:left w:val="nil"/>
              <w:bottom w:val="single" w:sz="12" w:space="0" w:color="auto"/>
              <w:right w:val="nil"/>
            </w:tcBorders>
            <w:shd w:val="clear" w:color="auto" w:fill="auto"/>
            <w:vAlign w:val="center"/>
          </w:tcPr>
          <w:p w14:paraId="1C6F4BCD" w14:textId="366BCCB4" w:rsidR="002B1276" w:rsidRPr="002B1276" w:rsidRDefault="002B1276" w:rsidP="002B1276">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25.596.945</w:t>
            </w:r>
          </w:p>
        </w:tc>
        <w:tc>
          <w:tcPr>
            <w:tcW w:w="834" w:type="pct"/>
            <w:tcBorders>
              <w:top w:val="nil"/>
              <w:left w:val="nil"/>
              <w:bottom w:val="single" w:sz="12" w:space="0" w:color="auto"/>
              <w:right w:val="nil"/>
            </w:tcBorders>
            <w:shd w:val="clear" w:color="auto" w:fill="auto"/>
            <w:vAlign w:val="center"/>
          </w:tcPr>
          <w:p w14:paraId="74BBB549" w14:textId="6098E44A" w:rsidR="002B1276" w:rsidRPr="002B1276" w:rsidRDefault="002B1276" w:rsidP="002B1276">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310.361</w:t>
            </w:r>
          </w:p>
        </w:tc>
        <w:tc>
          <w:tcPr>
            <w:tcW w:w="833" w:type="pct"/>
            <w:tcBorders>
              <w:top w:val="nil"/>
              <w:left w:val="nil"/>
              <w:bottom w:val="single" w:sz="12" w:space="0" w:color="auto"/>
              <w:right w:val="nil"/>
            </w:tcBorders>
            <w:shd w:val="clear" w:color="auto" w:fill="auto"/>
            <w:vAlign w:val="center"/>
          </w:tcPr>
          <w:p w14:paraId="6026AC1A" w14:textId="647ACEFC" w:rsidR="002B1276" w:rsidRPr="002B1276" w:rsidRDefault="002B1276" w:rsidP="002B1276">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1.750.086</w:t>
            </w:r>
          </w:p>
        </w:tc>
        <w:tc>
          <w:tcPr>
            <w:tcW w:w="681" w:type="pct"/>
            <w:tcBorders>
              <w:top w:val="nil"/>
              <w:left w:val="nil"/>
              <w:bottom w:val="single" w:sz="12" w:space="0" w:color="auto"/>
              <w:right w:val="nil"/>
            </w:tcBorders>
            <w:shd w:val="clear" w:color="auto" w:fill="auto"/>
            <w:vAlign w:val="center"/>
          </w:tcPr>
          <w:p w14:paraId="46A54194" w14:textId="56638D29" w:rsidR="002B1276" w:rsidRPr="002B1276" w:rsidRDefault="002B1276" w:rsidP="002B1276">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27.657.392</w:t>
            </w:r>
          </w:p>
        </w:tc>
      </w:tr>
      <w:tr w:rsidR="00C43DD8" w:rsidRPr="002A6CC6" w14:paraId="196E4EF0" w14:textId="77777777" w:rsidTr="00312975">
        <w:trPr>
          <w:jc w:val="center"/>
        </w:trPr>
        <w:tc>
          <w:tcPr>
            <w:tcW w:w="1818" w:type="pct"/>
          </w:tcPr>
          <w:p w14:paraId="21E6BD02" w14:textId="77777777" w:rsidR="00E26951" w:rsidRPr="002A6CC6" w:rsidRDefault="00E26951" w:rsidP="002A6CC6">
            <w:pPr>
              <w:pStyle w:val="TT"/>
              <w:spacing w:line="280" w:lineRule="exact"/>
              <w:rPr>
                <w:rFonts w:asciiTheme="minorHAnsi" w:hAnsiTheme="minorHAnsi" w:cs="Arial"/>
                <w:b/>
                <w:bCs/>
                <w:sz w:val="18"/>
                <w:szCs w:val="18"/>
                <w:lang w:val="hr-HR"/>
              </w:rPr>
            </w:pPr>
            <w:r w:rsidRPr="002A6CC6">
              <w:rPr>
                <w:rFonts w:asciiTheme="minorHAnsi" w:hAnsiTheme="minorHAnsi" w:cs="Arial"/>
                <w:b/>
                <w:bCs/>
                <w:sz w:val="18"/>
                <w:szCs w:val="18"/>
                <w:lang w:val="hr-HR"/>
              </w:rPr>
              <w:t>Garancije i preuzete obveze</w:t>
            </w:r>
          </w:p>
        </w:tc>
        <w:tc>
          <w:tcPr>
            <w:tcW w:w="834" w:type="pct"/>
            <w:tcBorders>
              <w:top w:val="single" w:sz="12" w:space="0" w:color="auto"/>
            </w:tcBorders>
            <w:vAlign w:val="bottom"/>
          </w:tcPr>
          <w:p w14:paraId="2BEDBD0F" w14:textId="77777777" w:rsidR="00E26951" w:rsidRPr="00AC713F" w:rsidRDefault="00E26951">
            <w:pPr>
              <w:tabs>
                <w:tab w:val="right" w:pos="1202"/>
              </w:tabs>
              <w:spacing w:after="0" w:line="280" w:lineRule="exact"/>
              <w:jc w:val="right"/>
              <w:outlineLvl w:val="0"/>
              <w:rPr>
                <w:rFonts w:cs="Arial"/>
                <w:b/>
                <w:bCs/>
                <w:sz w:val="18"/>
                <w:szCs w:val="18"/>
              </w:rPr>
            </w:pPr>
          </w:p>
        </w:tc>
        <w:tc>
          <w:tcPr>
            <w:tcW w:w="834" w:type="pct"/>
            <w:tcBorders>
              <w:top w:val="single" w:sz="12" w:space="0" w:color="auto"/>
            </w:tcBorders>
            <w:vAlign w:val="bottom"/>
          </w:tcPr>
          <w:p w14:paraId="5A7ABF4A" w14:textId="77777777" w:rsidR="00E26951" w:rsidRPr="00AC713F" w:rsidRDefault="00E26951">
            <w:pPr>
              <w:tabs>
                <w:tab w:val="right" w:pos="1202"/>
              </w:tabs>
              <w:spacing w:after="0" w:line="280" w:lineRule="exact"/>
              <w:jc w:val="right"/>
              <w:outlineLvl w:val="0"/>
              <w:rPr>
                <w:rFonts w:cs="Arial"/>
                <w:b/>
                <w:bCs/>
                <w:sz w:val="18"/>
                <w:szCs w:val="18"/>
              </w:rPr>
            </w:pPr>
          </w:p>
        </w:tc>
        <w:tc>
          <w:tcPr>
            <w:tcW w:w="833" w:type="pct"/>
            <w:tcBorders>
              <w:top w:val="single" w:sz="12" w:space="0" w:color="auto"/>
            </w:tcBorders>
            <w:vAlign w:val="bottom"/>
          </w:tcPr>
          <w:p w14:paraId="320967BB" w14:textId="77777777" w:rsidR="00E26951" w:rsidRPr="00AC713F" w:rsidRDefault="00E26951">
            <w:pPr>
              <w:tabs>
                <w:tab w:val="right" w:pos="1202"/>
              </w:tabs>
              <w:spacing w:after="0" w:line="280" w:lineRule="exact"/>
              <w:jc w:val="right"/>
              <w:outlineLvl w:val="0"/>
              <w:rPr>
                <w:rFonts w:cs="Arial"/>
                <w:b/>
                <w:bCs/>
                <w:sz w:val="18"/>
                <w:szCs w:val="18"/>
              </w:rPr>
            </w:pPr>
          </w:p>
        </w:tc>
        <w:tc>
          <w:tcPr>
            <w:tcW w:w="681" w:type="pct"/>
            <w:tcBorders>
              <w:top w:val="single" w:sz="12" w:space="0" w:color="auto"/>
            </w:tcBorders>
            <w:vAlign w:val="bottom"/>
          </w:tcPr>
          <w:p w14:paraId="2DDD2F5A" w14:textId="77777777" w:rsidR="00E26951" w:rsidRPr="00AC713F" w:rsidRDefault="00E26951">
            <w:pPr>
              <w:tabs>
                <w:tab w:val="right" w:pos="1202"/>
              </w:tabs>
              <w:spacing w:after="0" w:line="280" w:lineRule="exact"/>
              <w:jc w:val="right"/>
              <w:outlineLvl w:val="0"/>
              <w:rPr>
                <w:rFonts w:cs="Arial"/>
                <w:b/>
                <w:bCs/>
                <w:sz w:val="18"/>
                <w:szCs w:val="18"/>
              </w:rPr>
            </w:pPr>
          </w:p>
        </w:tc>
      </w:tr>
      <w:tr w:rsidR="00C43DD8" w:rsidRPr="002A6CC6" w14:paraId="2FC12FDE" w14:textId="77777777" w:rsidTr="00312975">
        <w:trPr>
          <w:jc w:val="center"/>
        </w:trPr>
        <w:tc>
          <w:tcPr>
            <w:tcW w:w="1818" w:type="pct"/>
          </w:tcPr>
          <w:p w14:paraId="37D70C5A" w14:textId="77777777" w:rsidR="002B1276" w:rsidRPr="002A6CC6" w:rsidRDefault="002B1276" w:rsidP="002B1276">
            <w:pPr>
              <w:pStyle w:val="TT"/>
              <w:spacing w:line="280" w:lineRule="exact"/>
              <w:rPr>
                <w:rFonts w:asciiTheme="minorHAnsi" w:hAnsiTheme="minorHAnsi" w:cs="Arial"/>
                <w:sz w:val="18"/>
                <w:szCs w:val="18"/>
                <w:lang w:val="hr-HR"/>
              </w:rPr>
            </w:pPr>
            <w:r w:rsidRPr="00E26951">
              <w:rPr>
                <w:rFonts w:asciiTheme="minorHAnsi" w:hAnsiTheme="minorHAnsi" w:cs="Arial"/>
                <w:sz w:val="18"/>
                <w:szCs w:val="18"/>
                <w:lang w:val="hr-HR"/>
              </w:rPr>
              <w:t>Izdane garancije u kunama</w:t>
            </w:r>
          </w:p>
        </w:tc>
        <w:tc>
          <w:tcPr>
            <w:tcW w:w="834" w:type="pct"/>
            <w:tcBorders>
              <w:top w:val="nil"/>
              <w:left w:val="nil"/>
              <w:bottom w:val="nil"/>
              <w:right w:val="nil"/>
            </w:tcBorders>
            <w:shd w:val="clear" w:color="auto" w:fill="auto"/>
            <w:vAlign w:val="bottom"/>
          </w:tcPr>
          <w:p w14:paraId="5001B741" w14:textId="442B4226"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27.653</w:t>
            </w:r>
          </w:p>
        </w:tc>
        <w:tc>
          <w:tcPr>
            <w:tcW w:w="834" w:type="pct"/>
            <w:tcBorders>
              <w:top w:val="nil"/>
              <w:left w:val="nil"/>
              <w:bottom w:val="nil"/>
              <w:right w:val="nil"/>
            </w:tcBorders>
            <w:shd w:val="clear" w:color="auto" w:fill="auto"/>
            <w:vAlign w:val="bottom"/>
          </w:tcPr>
          <w:p w14:paraId="6CE01B4B" w14:textId="4A9586FE"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833" w:type="pct"/>
            <w:tcBorders>
              <w:top w:val="nil"/>
              <w:left w:val="nil"/>
              <w:bottom w:val="nil"/>
              <w:right w:val="nil"/>
            </w:tcBorders>
            <w:shd w:val="clear" w:color="auto" w:fill="auto"/>
            <w:vAlign w:val="bottom"/>
          </w:tcPr>
          <w:p w14:paraId="6C83EE8D" w14:textId="65689A49"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681" w:type="pct"/>
            <w:tcBorders>
              <w:top w:val="nil"/>
              <w:left w:val="nil"/>
              <w:bottom w:val="nil"/>
              <w:right w:val="nil"/>
            </w:tcBorders>
            <w:shd w:val="clear" w:color="auto" w:fill="auto"/>
            <w:vAlign w:val="bottom"/>
          </w:tcPr>
          <w:p w14:paraId="1C637D0D" w14:textId="78F3BE74"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27.653</w:t>
            </w:r>
          </w:p>
        </w:tc>
      </w:tr>
      <w:tr w:rsidR="00C43DD8" w:rsidRPr="002A6CC6" w14:paraId="5E4FAFDD" w14:textId="77777777" w:rsidTr="00312975">
        <w:trPr>
          <w:jc w:val="center"/>
        </w:trPr>
        <w:tc>
          <w:tcPr>
            <w:tcW w:w="1818" w:type="pct"/>
          </w:tcPr>
          <w:p w14:paraId="215630D1" w14:textId="77777777" w:rsidR="002B1276" w:rsidRPr="002A6CC6" w:rsidRDefault="002B1276" w:rsidP="002B1276">
            <w:pPr>
              <w:pStyle w:val="TT"/>
              <w:spacing w:line="280" w:lineRule="exact"/>
              <w:rPr>
                <w:rFonts w:asciiTheme="minorHAnsi" w:hAnsiTheme="minorHAnsi" w:cs="Arial"/>
                <w:sz w:val="18"/>
                <w:szCs w:val="18"/>
                <w:lang w:val="hr-HR"/>
              </w:rPr>
            </w:pPr>
            <w:r w:rsidRPr="002A6CC6">
              <w:rPr>
                <w:rFonts w:asciiTheme="minorHAnsi" w:hAnsiTheme="minorHAnsi" w:cs="Arial"/>
                <w:sz w:val="18"/>
                <w:szCs w:val="18"/>
                <w:lang w:val="hr-HR"/>
              </w:rPr>
              <w:t>Izdane garancije u devizama</w:t>
            </w:r>
          </w:p>
        </w:tc>
        <w:tc>
          <w:tcPr>
            <w:tcW w:w="834" w:type="pct"/>
            <w:tcBorders>
              <w:top w:val="nil"/>
              <w:left w:val="nil"/>
              <w:bottom w:val="nil"/>
              <w:right w:val="nil"/>
            </w:tcBorders>
            <w:shd w:val="clear" w:color="auto" w:fill="auto"/>
            <w:vAlign w:val="bottom"/>
          </w:tcPr>
          <w:p w14:paraId="029B7B40" w14:textId="39DE6379"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1.879.965</w:t>
            </w:r>
          </w:p>
        </w:tc>
        <w:tc>
          <w:tcPr>
            <w:tcW w:w="834" w:type="pct"/>
            <w:tcBorders>
              <w:top w:val="nil"/>
              <w:left w:val="nil"/>
              <w:bottom w:val="nil"/>
              <w:right w:val="nil"/>
            </w:tcBorders>
            <w:shd w:val="clear" w:color="auto" w:fill="auto"/>
            <w:vAlign w:val="bottom"/>
          </w:tcPr>
          <w:p w14:paraId="21D3F801" w14:textId="239AF233" w:rsidR="002B1276" w:rsidRPr="000E5941" w:rsidRDefault="00C43DD8" w:rsidP="002B1276">
            <w:pPr>
              <w:spacing w:after="0" w:line="240" w:lineRule="auto"/>
              <w:jc w:val="right"/>
              <w:rPr>
                <w:rFonts w:ascii="Calibri" w:eastAsia="Times New Roman" w:hAnsi="Calibri" w:cs="Arial"/>
                <w:sz w:val="18"/>
                <w:szCs w:val="18"/>
                <w:lang w:val="en-US"/>
              </w:rPr>
            </w:pPr>
            <w:r>
              <w:rPr>
                <w:rFonts w:ascii="Calibri" w:eastAsia="Times New Roman" w:hAnsi="Calibri" w:cs="Arial"/>
                <w:sz w:val="18"/>
                <w:szCs w:val="18"/>
                <w:lang w:val="en-US"/>
              </w:rPr>
              <w:t>-</w:t>
            </w:r>
          </w:p>
        </w:tc>
        <w:tc>
          <w:tcPr>
            <w:tcW w:w="833" w:type="pct"/>
            <w:tcBorders>
              <w:top w:val="nil"/>
              <w:left w:val="nil"/>
              <w:bottom w:val="nil"/>
              <w:right w:val="nil"/>
            </w:tcBorders>
            <w:shd w:val="clear" w:color="auto" w:fill="auto"/>
            <w:vAlign w:val="bottom"/>
          </w:tcPr>
          <w:p w14:paraId="5BDE0938" w14:textId="0A4A4ED2"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17.876</w:t>
            </w:r>
          </w:p>
        </w:tc>
        <w:tc>
          <w:tcPr>
            <w:tcW w:w="681" w:type="pct"/>
            <w:tcBorders>
              <w:top w:val="nil"/>
              <w:left w:val="nil"/>
              <w:bottom w:val="nil"/>
              <w:right w:val="nil"/>
            </w:tcBorders>
            <w:shd w:val="clear" w:color="auto" w:fill="auto"/>
            <w:vAlign w:val="bottom"/>
          </w:tcPr>
          <w:p w14:paraId="7014856E" w14:textId="5FBE7BEB"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1.897.841</w:t>
            </w:r>
          </w:p>
        </w:tc>
      </w:tr>
      <w:tr w:rsidR="00C43DD8" w:rsidRPr="002A6CC6" w14:paraId="3273D4D4" w14:textId="77777777" w:rsidTr="00312975">
        <w:trPr>
          <w:jc w:val="center"/>
        </w:trPr>
        <w:tc>
          <w:tcPr>
            <w:tcW w:w="1818" w:type="pct"/>
          </w:tcPr>
          <w:p w14:paraId="5A24E7B0" w14:textId="55349F9F" w:rsidR="002B1276" w:rsidRPr="002A6CC6" w:rsidRDefault="002B1276" w:rsidP="002B1276">
            <w:pPr>
              <w:pStyle w:val="TT"/>
              <w:spacing w:line="280" w:lineRule="exact"/>
              <w:rPr>
                <w:rFonts w:asciiTheme="minorHAnsi" w:hAnsiTheme="minorHAnsi" w:cs="Arial"/>
                <w:sz w:val="18"/>
                <w:szCs w:val="18"/>
                <w:lang w:val="hr-HR"/>
              </w:rPr>
            </w:pPr>
            <w:r w:rsidRPr="001834A4">
              <w:rPr>
                <w:rFonts w:asciiTheme="minorHAnsi" w:hAnsiTheme="minorHAnsi" w:cs="Arial"/>
                <w:sz w:val="18"/>
                <w:szCs w:val="18"/>
                <w:lang w:val="hr-HR"/>
              </w:rPr>
              <w:t>Otvoreni akreditivi u devizama</w:t>
            </w:r>
          </w:p>
        </w:tc>
        <w:tc>
          <w:tcPr>
            <w:tcW w:w="834" w:type="pct"/>
            <w:tcBorders>
              <w:top w:val="nil"/>
              <w:left w:val="nil"/>
              <w:bottom w:val="nil"/>
              <w:right w:val="nil"/>
            </w:tcBorders>
            <w:shd w:val="clear" w:color="auto" w:fill="auto"/>
            <w:vAlign w:val="bottom"/>
          </w:tcPr>
          <w:p w14:paraId="54D936FC" w14:textId="29A4D7F7"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2.218</w:t>
            </w:r>
          </w:p>
        </w:tc>
        <w:tc>
          <w:tcPr>
            <w:tcW w:w="834" w:type="pct"/>
            <w:tcBorders>
              <w:top w:val="nil"/>
              <w:left w:val="nil"/>
              <w:bottom w:val="nil"/>
              <w:right w:val="nil"/>
            </w:tcBorders>
            <w:shd w:val="clear" w:color="auto" w:fill="auto"/>
            <w:vAlign w:val="bottom"/>
          </w:tcPr>
          <w:p w14:paraId="2C1F388A" w14:textId="64085409" w:rsidR="002B1276" w:rsidRPr="000E5941" w:rsidRDefault="00C43DD8" w:rsidP="002B1276">
            <w:pPr>
              <w:spacing w:after="0" w:line="240" w:lineRule="auto"/>
              <w:jc w:val="right"/>
              <w:rPr>
                <w:rFonts w:ascii="Calibri" w:eastAsia="Times New Roman" w:hAnsi="Calibri" w:cs="Arial"/>
                <w:sz w:val="18"/>
                <w:szCs w:val="18"/>
                <w:lang w:val="en-US"/>
              </w:rPr>
            </w:pPr>
            <w:r>
              <w:rPr>
                <w:rFonts w:ascii="Calibri" w:eastAsia="Times New Roman" w:hAnsi="Calibri" w:cs="Arial"/>
                <w:sz w:val="18"/>
                <w:szCs w:val="18"/>
                <w:lang w:val="en-US"/>
              </w:rPr>
              <w:t>-</w:t>
            </w:r>
          </w:p>
        </w:tc>
        <w:tc>
          <w:tcPr>
            <w:tcW w:w="833" w:type="pct"/>
            <w:tcBorders>
              <w:top w:val="nil"/>
              <w:left w:val="nil"/>
              <w:bottom w:val="nil"/>
              <w:right w:val="nil"/>
            </w:tcBorders>
            <w:shd w:val="clear" w:color="auto" w:fill="auto"/>
            <w:vAlign w:val="bottom"/>
          </w:tcPr>
          <w:p w14:paraId="44C8DB8D" w14:textId="6839B4C1" w:rsidR="002B1276" w:rsidRPr="000E5941" w:rsidRDefault="00C43DD8" w:rsidP="002B1276">
            <w:pPr>
              <w:spacing w:after="0" w:line="240" w:lineRule="auto"/>
              <w:jc w:val="right"/>
              <w:rPr>
                <w:rFonts w:ascii="Calibri" w:eastAsia="Times New Roman" w:hAnsi="Calibri" w:cs="Arial"/>
                <w:sz w:val="18"/>
                <w:szCs w:val="18"/>
                <w:lang w:val="en-US"/>
              </w:rPr>
            </w:pPr>
            <w:r>
              <w:rPr>
                <w:rFonts w:ascii="Calibri" w:eastAsia="Times New Roman" w:hAnsi="Calibri" w:cs="Arial"/>
                <w:sz w:val="18"/>
                <w:szCs w:val="18"/>
                <w:lang w:val="en-US"/>
              </w:rPr>
              <w:t>-</w:t>
            </w:r>
          </w:p>
        </w:tc>
        <w:tc>
          <w:tcPr>
            <w:tcW w:w="681" w:type="pct"/>
            <w:tcBorders>
              <w:top w:val="nil"/>
              <w:left w:val="nil"/>
              <w:bottom w:val="nil"/>
              <w:right w:val="nil"/>
            </w:tcBorders>
            <w:shd w:val="clear" w:color="auto" w:fill="auto"/>
            <w:vAlign w:val="bottom"/>
          </w:tcPr>
          <w:p w14:paraId="689B8CC2" w14:textId="33FDE04B"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2.218</w:t>
            </w:r>
          </w:p>
        </w:tc>
      </w:tr>
      <w:tr w:rsidR="00C43DD8" w:rsidRPr="002A6CC6" w14:paraId="4A70B4F4" w14:textId="77777777" w:rsidTr="00312975">
        <w:trPr>
          <w:jc w:val="center"/>
        </w:trPr>
        <w:tc>
          <w:tcPr>
            <w:tcW w:w="1818" w:type="pct"/>
          </w:tcPr>
          <w:p w14:paraId="321AA87F" w14:textId="77777777" w:rsidR="002B1276" w:rsidRPr="002A6CC6" w:rsidRDefault="002B1276" w:rsidP="002B1276">
            <w:pPr>
              <w:pStyle w:val="TT"/>
              <w:spacing w:line="280" w:lineRule="exact"/>
              <w:rPr>
                <w:rFonts w:asciiTheme="minorHAnsi" w:hAnsiTheme="minorHAnsi" w:cs="Arial"/>
                <w:sz w:val="18"/>
                <w:szCs w:val="18"/>
                <w:lang w:val="hr-HR"/>
              </w:rPr>
            </w:pPr>
            <w:r w:rsidRPr="002A6CC6">
              <w:rPr>
                <w:rFonts w:asciiTheme="minorHAnsi" w:hAnsiTheme="minorHAnsi" w:cs="Arial"/>
                <w:sz w:val="18"/>
                <w:szCs w:val="18"/>
                <w:lang w:val="hr-HR"/>
              </w:rPr>
              <w:t>Preuzete obveze po kreditima</w:t>
            </w:r>
          </w:p>
        </w:tc>
        <w:tc>
          <w:tcPr>
            <w:tcW w:w="834" w:type="pct"/>
            <w:tcBorders>
              <w:top w:val="nil"/>
              <w:left w:val="nil"/>
              <w:bottom w:val="nil"/>
              <w:right w:val="nil"/>
            </w:tcBorders>
            <w:shd w:val="clear" w:color="auto" w:fill="auto"/>
            <w:vAlign w:val="bottom"/>
          </w:tcPr>
          <w:p w14:paraId="43BEE99A" w14:textId="2D92749D"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3.538.871</w:t>
            </w:r>
          </w:p>
        </w:tc>
        <w:tc>
          <w:tcPr>
            <w:tcW w:w="834" w:type="pct"/>
            <w:tcBorders>
              <w:top w:val="nil"/>
              <w:left w:val="nil"/>
              <w:bottom w:val="nil"/>
              <w:right w:val="nil"/>
            </w:tcBorders>
            <w:shd w:val="clear" w:color="auto" w:fill="auto"/>
            <w:vAlign w:val="bottom"/>
          </w:tcPr>
          <w:p w14:paraId="0E148E24" w14:textId="66907CEE" w:rsidR="002B1276" w:rsidRPr="000E5941" w:rsidRDefault="00C43DD8" w:rsidP="002B1276">
            <w:pPr>
              <w:spacing w:after="0" w:line="240" w:lineRule="auto"/>
              <w:jc w:val="right"/>
              <w:rPr>
                <w:rFonts w:ascii="Calibri" w:eastAsia="Times New Roman" w:hAnsi="Calibri" w:cs="Arial"/>
                <w:sz w:val="18"/>
                <w:szCs w:val="18"/>
                <w:lang w:val="en-US"/>
              </w:rPr>
            </w:pPr>
            <w:r>
              <w:rPr>
                <w:rFonts w:ascii="Calibri" w:eastAsia="Times New Roman" w:hAnsi="Calibri" w:cs="Arial"/>
                <w:sz w:val="18"/>
                <w:szCs w:val="18"/>
                <w:lang w:val="en-US"/>
              </w:rPr>
              <w:t>-</w:t>
            </w:r>
          </w:p>
        </w:tc>
        <w:tc>
          <w:tcPr>
            <w:tcW w:w="833" w:type="pct"/>
            <w:tcBorders>
              <w:top w:val="nil"/>
              <w:left w:val="nil"/>
              <w:bottom w:val="nil"/>
              <w:right w:val="nil"/>
            </w:tcBorders>
            <w:shd w:val="clear" w:color="auto" w:fill="auto"/>
            <w:vAlign w:val="bottom"/>
          </w:tcPr>
          <w:p w14:paraId="459DC2B6" w14:textId="5015A4C1"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7.616</w:t>
            </w:r>
          </w:p>
        </w:tc>
        <w:tc>
          <w:tcPr>
            <w:tcW w:w="681" w:type="pct"/>
            <w:tcBorders>
              <w:top w:val="nil"/>
              <w:left w:val="nil"/>
              <w:bottom w:val="nil"/>
              <w:right w:val="nil"/>
            </w:tcBorders>
            <w:shd w:val="clear" w:color="auto" w:fill="auto"/>
            <w:vAlign w:val="bottom"/>
          </w:tcPr>
          <w:p w14:paraId="50438C78" w14:textId="695E6856"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3.546.487</w:t>
            </w:r>
          </w:p>
        </w:tc>
      </w:tr>
      <w:tr w:rsidR="00C43DD8" w:rsidRPr="002A6CC6" w14:paraId="192C331A" w14:textId="77777777" w:rsidTr="00312975">
        <w:trPr>
          <w:jc w:val="center"/>
        </w:trPr>
        <w:tc>
          <w:tcPr>
            <w:tcW w:w="1818" w:type="pct"/>
          </w:tcPr>
          <w:p w14:paraId="0250BBE7" w14:textId="346C614E" w:rsidR="002B1276" w:rsidRPr="00A833C2" w:rsidRDefault="002B1276" w:rsidP="002B1276">
            <w:pPr>
              <w:pStyle w:val="Tot"/>
              <w:spacing w:line="280" w:lineRule="exact"/>
              <w:rPr>
                <w:rFonts w:asciiTheme="minorHAnsi" w:hAnsiTheme="minorHAnsi" w:cs="Arial"/>
                <w:bCs/>
                <w:sz w:val="18"/>
                <w:szCs w:val="18"/>
                <w:lang w:val="hr-HR"/>
              </w:rPr>
            </w:pPr>
            <w:r w:rsidRPr="00A833C2">
              <w:rPr>
                <w:rFonts w:asciiTheme="minorHAnsi" w:hAnsiTheme="minorHAnsi" w:cs="Arial"/>
                <w:bCs/>
                <w:sz w:val="18"/>
                <w:szCs w:val="18"/>
                <w:lang w:val="hr-HR"/>
              </w:rPr>
              <w:t>Ostale nespomenute neopozive potencijalne obveze</w:t>
            </w:r>
          </w:p>
        </w:tc>
        <w:tc>
          <w:tcPr>
            <w:tcW w:w="834" w:type="pct"/>
            <w:tcBorders>
              <w:top w:val="nil"/>
              <w:left w:val="nil"/>
              <w:bottom w:val="single" w:sz="8" w:space="0" w:color="auto"/>
              <w:right w:val="nil"/>
            </w:tcBorders>
            <w:shd w:val="clear" w:color="auto" w:fill="auto"/>
            <w:vAlign w:val="bottom"/>
          </w:tcPr>
          <w:p w14:paraId="6E4533BA" w14:textId="65D59E7B"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335</w:t>
            </w:r>
          </w:p>
        </w:tc>
        <w:tc>
          <w:tcPr>
            <w:tcW w:w="834" w:type="pct"/>
            <w:tcBorders>
              <w:top w:val="nil"/>
              <w:left w:val="nil"/>
              <w:bottom w:val="single" w:sz="8" w:space="0" w:color="auto"/>
              <w:right w:val="nil"/>
            </w:tcBorders>
            <w:shd w:val="clear" w:color="auto" w:fill="auto"/>
            <w:vAlign w:val="bottom"/>
          </w:tcPr>
          <w:p w14:paraId="6FDE6A38" w14:textId="4F2DBC75"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833" w:type="pct"/>
            <w:tcBorders>
              <w:top w:val="nil"/>
              <w:left w:val="nil"/>
              <w:bottom w:val="single" w:sz="8" w:space="0" w:color="auto"/>
              <w:right w:val="nil"/>
            </w:tcBorders>
            <w:shd w:val="clear" w:color="auto" w:fill="auto"/>
            <w:vAlign w:val="bottom"/>
          </w:tcPr>
          <w:p w14:paraId="429DDCA8" w14:textId="28A3C44C"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w:t>
            </w:r>
          </w:p>
        </w:tc>
        <w:tc>
          <w:tcPr>
            <w:tcW w:w="681" w:type="pct"/>
            <w:tcBorders>
              <w:top w:val="nil"/>
              <w:left w:val="nil"/>
              <w:bottom w:val="single" w:sz="8" w:space="0" w:color="auto"/>
              <w:right w:val="nil"/>
            </w:tcBorders>
            <w:shd w:val="clear" w:color="auto" w:fill="auto"/>
            <w:vAlign w:val="bottom"/>
          </w:tcPr>
          <w:p w14:paraId="3D26EBAD" w14:textId="2DAE71C0" w:rsidR="002B1276" w:rsidRPr="000E5941" w:rsidRDefault="002B1276" w:rsidP="002B1276">
            <w:pPr>
              <w:spacing w:after="0" w:line="240" w:lineRule="auto"/>
              <w:jc w:val="right"/>
              <w:rPr>
                <w:rFonts w:ascii="Calibri" w:eastAsia="Times New Roman" w:hAnsi="Calibri" w:cs="Arial"/>
                <w:sz w:val="18"/>
                <w:szCs w:val="18"/>
                <w:lang w:val="en-US"/>
              </w:rPr>
            </w:pPr>
            <w:r w:rsidRPr="00312975">
              <w:rPr>
                <w:rFonts w:ascii="Calibri" w:eastAsia="Times New Roman" w:hAnsi="Calibri" w:cs="Arial"/>
                <w:sz w:val="18"/>
                <w:szCs w:val="18"/>
                <w:lang w:val="en-US"/>
              </w:rPr>
              <w:t>335</w:t>
            </w:r>
          </w:p>
        </w:tc>
      </w:tr>
      <w:tr w:rsidR="00C43DD8" w:rsidRPr="002A6CC6" w14:paraId="63B9D1D2" w14:textId="77777777" w:rsidTr="00312975">
        <w:trPr>
          <w:trHeight w:val="389"/>
          <w:jc w:val="center"/>
        </w:trPr>
        <w:tc>
          <w:tcPr>
            <w:tcW w:w="1818" w:type="pct"/>
            <w:vAlign w:val="bottom"/>
          </w:tcPr>
          <w:p w14:paraId="4FB12B76" w14:textId="77777777" w:rsidR="002B1276" w:rsidRPr="002A6CC6" w:rsidRDefault="002B1276" w:rsidP="002B1276">
            <w:pPr>
              <w:pStyle w:val="Tot"/>
              <w:spacing w:line="280" w:lineRule="exact"/>
              <w:rPr>
                <w:rFonts w:asciiTheme="minorHAnsi" w:hAnsiTheme="minorHAnsi" w:cs="Arial"/>
                <w:b/>
                <w:bCs/>
                <w:sz w:val="18"/>
                <w:szCs w:val="18"/>
                <w:lang w:val="hr-HR"/>
              </w:rPr>
            </w:pPr>
            <w:r w:rsidRPr="002A6CC6">
              <w:rPr>
                <w:rFonts w:asciiTheme="minorHAnsi" w:hAnsiTheme="minorHAnsi" w:cs="Arial"/>
                <w:b/>
                <w:bCs/>
                <w:sz w:val="18"/>
                <w:szCs w:val="18"/>
                <w:lang w:val="hr-HR"/>
              </w:rPr>
              <w:t>Ukupno</w:t>
            </w:r>
          </w:p>
        </w:tc>
        <w:tc>
          <w:tcPr>
            <w:tcW w:w="834" w:type="pct"/>
            <w:tcBorders>
              <w:top w:val="nil"/>
              <w:left w:val="nil"/>
              <w:bottom w:val="single" w:sz="12" w:space="0" w:color="auto"/>
              <w:right w:val="nil"/>
            </w:tcBorders>
            <w:shd w:val="clear" w:color="auto" w:fill="auto"/>
            <w:vAlign w:val="bottom"/>
          </w:tcPr>
          <w:p w14:paraId="5ADD1E7D" w14:textId="184E99EF" w:rsidR="002B1276" w:rsidRPr="002B1276" w:rsidRDefault="002B1276" w:rsidP="002B1276">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5.449.042</w:t>
            </w:r>
          </w:p>
        </w:tc>
        <w:tc>
          <w:tcPr>
            <w:tcW w:w="834" w:type="pct"/>
            <w:tcBorders>
              <w:top w:val="nil"/>
              <w:left w:val="nil"/>
              <w:bottom w:val="single" w:sz="12" w:space="0" w:color="auto"/>
              <w:right w:val="nil"/>
            </w:tcBorders>
            <w:shd w:val="clear" w:color="auto" w:fill="auto"/>
            <w:vAlign w:val="bottom"/>
          </w:tcPr>
          <w:p w14:paraId="6FE78C55" w14:textId="1A742EBB" w:rsidR="002B1276" w:rsidRPr="002B1276" w:rsidRDefault="002B1276" w:rsidP="002B1276">
            <w:pPr>
              <w:spacing w:after="0" w:line="240" w:lineRule="auto"/>
              <w:jc w:val="right"/>
              <w:rPr>
                <w:rFonts w:ascii="Calibri" w:eastAsia="Times New Roman" w:hAnsi="Calibri" w:cs="Arial"/>
                <w:b/>
                <w:sz w:val="18"/>
                <w:szCs w:val="18"/>
                <w:lang w:val="en-US"/>
              </w:rPr>
            </w:pPr>
            <w:r>
              <w:rPr>
                <w:rFonts w:ascii="Calibri" w:eastAsia="Times New Roman" w:hAnsi="Calibri" w:cs="Arial"/>
                <w:b/>
                <w:sz w:val="18"/>
                <w:szCs w:val="18"/>
                <w:lang w:val="en-US"/>
              </w:rPr>
              <w:t>-</w:t>
            </w:r>
          </w:p>
        </w:tc>
        <w:tc>
          <w:tcPr>
            <w:tcW w:w="833" w:type="pct"/>
            <w:tcBorders>
              <w:top w:val="nil"/>
              <w:left w:val="nil"/>
              <w:bottom w:val="single" w:sz="12" w:space="0" w:color="auto"/>
              <w:right w:val="nil"/>
            </w:tcBorders>
            <w:shd w:val="clear" w:color="auto" w:fill="auto"/>
            <w:vAlign w:val="bottom"/>
          </w:tcPr>
          <w:p w14:paraId="20FF7A70" w14:textId="76318BA8" w:rsidR="002B1276" w:rsidRPr="002B1276" w:rsidRDefault="002B1276" w:rsidP="002B1276">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25.492</w:t>
            </w:r>
          </w:p>
        </w:tc>
        <w:tc>
          <w:tcPr>
            <w:tcW w:w="681" w:type="pct"/>
            <w:tcBorders>
              <w:top w:val="nil"/>
              <w:left w:val="nil"/>
              <w:bottom w:val="single" w:sz="12" w:space="0" w:color="auto"/>
              <w:right w:val="nil"/>
            </w:tcBorders>
            <w:shd w:val="clear" w:color="auto" w:fill="auto"/>
            <w:vAlign w:val="bottom"/>
          </w:tcPr>
          <w:p w14:paraId="0408E159" w14:textId="65C7900F" w:rsidR="002B1276" w:rsidRPr="002B1276" w:rsidRDefault="002B1276" w:rsidP="002B1276">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5.474.534</w:t>
            </w:r>
          </w:p>
        </w:tc>
      </w:tr>
      <w:tr w:rsidR="00C43DD8" w:rsidRPr="002A6CC6" w14:paraId="333B630F" w14:textId="77777777" w:rsidTr="00312975">
        <w:trPr>
          <w:trHeight w:val="435"/>
          <w:jc w:val="center"/>
        </w:trPr>
        <w:tc>
          <w:tcPr>
            <w:tcW w:w="1818" w:type="pct"/>
            <w:vAlign w:val="bottom"/>
          </w:tcPr>
          <w:p w14:paraId="6AB351DC" w14:textId="77777777" w:rsidR="002B1276" w:rsidRPr="002A6CC6" w:rsidRDefault="002B1276" w:rsidP="002B1276">
            <w:pPr>
              <w:pStyle w:val="Tot"/>
              <w:spacing w:line="280" w:lineRule="exact"/>
              <w:jc w:val="both"/>
              <w:rPr>
                <w:rFonts w:asciiTheme="minorHAnsi" w:hAnsiTheme="minorHAnsi" w:cs="Arial"/>
                <w:b/>
                <w:bCs/>
                <w:sz w:val="18"/>
                <w:szCs w:val="18"/>
                <w:lang w:val="hr-HR"/>
              </w:rPr>
            </w:pPr>
            <w:r w:rsidRPr="002A6CC6">
              <w:rPr>
                <w:rFonts w:asciiTheme="minorHAnsi" w:hAnsiTheme="minorHAnsi" w:cs="Arial"/>
                <w:b/>
                <w:bCs/>
                <w:sz w:val="18"/>
                <w:szCs w:val="18"/>
                <w:lang w:val="hr-HR"/>
              </w:rPr>
              <w:t>Ukupna izloženost kreditnom riziku</w:t>
            </w:r>
          </w:p>
        </w:tc>
        <w:tc>
          <w:tcPr>
            <w:tcW w:w="834" w:type="pct"/>
            <w:tcBorders>
              <w:top w:val="nil"/>
              <w:left w:val="nil"/>
              <w:bottom w:val="single" w:sz="12" w:space="0" w:color="auto"/>
              <w:right w:val="nil"/>
            </w:tcBorders>
            <w:shd w:val="clear" w:color="auto" w:fill="auto"/>
            <w:vAlign w:val="bottom"/>
          </w:tcPr>
          <w:p w14:paraId="7C584653" w14:textId="33EE7C2C" w:rsidR="002B1276" w:rsidRPr="002B1276" w:rsidRDefault="002B1276" w:rsidP="002B1276">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31.045.987</w:t>
            </w:r>
          </w:p>
        </w:tc>
        <w:tc>
          <w:tcPr>
            <w:tcW w:w="834" w:type="pct"/>
            <w:tcBorders>
              <w:top w:val="nil"/>
              <w:left w:val="nil"/>
              <w:bottom w:val="single" w:sz="12" w:space="0" w:color="auto"/>
              <w:right w:val="nil"/>
            </w:tcBorders>
            <w:shd w:val="clear" w:color="auto" w:fill="auto"/>
            <w:vAlign w:val="bottom"/>
          </w:tcPr>
          <w:p w14:paraId="618EE373" w14:textId="5F1E6CF7" w:rsidR="002B1276" w:rsidRPr="002B1276" w:rsidRDefault="002B1276" w:rsidP="002B1276">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310.361</w:t>
            </w:r>
          </w:p>
        </w:tc>
        <w:tc>
          <w:tcPr>
            <w:tcW w:w="833" w:type="pct"/>
            <w:tcBorders>
              <w:top w:val="nil"/>
              <w:left w:val="nil"/>
              <w:bottom w:val="single" w:sz="12" w:space="0" w:color="auto"/>
              <w:right w:val="nil"/>
            </w:tcBorders>
            <w:shd w:val="clear" w:color="auto" w:fill="auto"/>
            <w:vAlign w:val="bottom"/>
          </w:tcPr>
          <w:p w14:paraId="41B89203" w14:textId="2D47166D" w:rsidR="002B1276" w:rsidRPr="002B1276" w:rsidRDefault="002B1276" w:rsidP="002B1276">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1.775.578</w:t>
            </w:r>
          </w:p>
        </w:tc>
        <w:tc>
          <w:tcPr>
            <w:tcW w:w="681" w:type="pct"/>
            <w:tcBorders>
              <w:top w:val="nil"/>
              <w:left w:val="nil"/>
              <w:bottom w:val="single" w:sz="12" w:space="0" w:color="auto"/>
              <w:right w:val="nil"/>
            </w:tcBorders>
            <w:shd w:val="clear" w:color="auto" w:fill="auto"/>
            <w:vAlign w:val="bottom"/>
          </w:tcPr>
          <w:p w14:paraId="60C651C2" w14:textId="1B340D25" w:rsidR="002B1276" w:rsidRPr="002B1276" w:rsidRDefault="002B1276" w:rsidP="002B1276">
            <w:pPr>
              <w:spacing w:after="0" w:line="240" w:lineRule="auto"/>
              <w:jc w:val="right"/>
              <w:rPr>
                <w:rFonts w:ascii="Calibri" w:eastAsia="Times New Roman" w:hAnsi="Calibri" w:cs="Arial"/>
                <w:b/>
                <w:sz w:val="18"/>
                <w:szCs w:val="18"/>
                <w:lang w:val="en-US"/>
              </w:rPr>
            </w:pPr>
            <w:r w:rsidRPr="00312975">
              <w:rPr>
                <w:rFonts w:ascii="Calibri" w:eastAsia="Times New Roman" w:hAnsi="Calibri" w:cs="Arial"/>
                <w:b/>
                <w:sz w:val="18"/>
                <w:szCs w:val="18"/>
                <w:lang w:val="en-US"/>
              </w:rPr>
              <w:t>33.131.926</w:t>
            </w:r>
          </w:p>
        </w:tc>
      </w:tr>
      <w:tr w:rsidR="00C43DD8" w:rsidRPr="002A6CC6" w14:paraId="58CF253C" w14:textId="77777777" w:rsidTr="00312975">
        <w:trPr>
          <w:trHeight w:val="109"/>
          <w:jc w:val="center"/>
        </w:trPr>
        <w:tc>
          <w:tcPr>
            <w:tcW w:w="1818" w:type="pct"/>
          </w:tcPr>
          <w:p w14:paraId="0853F94A" w14:textId="77777777" w:rsidR="00E26951" w:rsidRPr="002A6CC6" w:rsidRDefault="00E26951" w:rsidP="002A6CC6">
            <w:pPr>
              <w:pStyle w:val="Thick"/>
              <w:spacing w:line="240" w:lineRule="exact"/>
              <w:rPr>
                <w:rFonts w:asciiTheme="minorHAnsi" w:hAnsiTheme="minorHAnsi" w:cs="Arial"/>
                <w:sz w:val="18"/>
                <w:szCs w:val="18"/>
                <w:lang w:val="hr-HR"/>
              </w:rPr>
            </w:pPr>
          </w:p>
        </w:tc>
        <w:tc>
          <w:tcPr>
            <w:tcW w:w="834" w:type="pct"/>
            <w:tcBorders>
              <w:top w:val="single" w:sz="12" w:space="0" w:color="auto"/>
            </w:tcBorders>
            <w:vAlign w:val="bottom"/>
          </w:tcPr>
          <w:p w14:paraId="188F4043" w14:textId="77777777" w:rsidR="00E26951" w:rsidRPr="002A6CC6" w:rsidRDefault="00E26951" w:rsidP="002A6CC6">
            <w:pPr>
              <w:pStyle w:val="Thick"/>
              <w:spacing w:line="240" w:lineRule="exact"/>
              <w:jc w:val="right"/>
              <w:rPr>
                <w:rFonts w:asciiTheme="minorHAnsi" w:hAnsiTheme="minorHAnsi" w:cs="Arial"/>
                <w:snapToGrid w:val="0"/>
                <w:sz w:val="18"/>
                <w:szCs w:val="18"/>
                <w:lang w:val="hr-HR"/>
              </w:rPr>
            </w:pPr>
          </w:p>
        </w:tc>
        <w:tc>
          <w:tcPr>
            <w:tcW w:w="834" w:type="pct"/>
            <w:tcBorders>
              <w:top w:val="single" w:sz="12" w:space="0" w:color="auto"/>
            </w:tcBorders>
            <w:vAlign w:val="bottom"/>
          </w:tcPr>
          <w:p w14:paraId="4AA0FC8B" w14:textId="77777777" w:rsidR="00E26951" w:rsidRPr="002A6CC6" w:rsidRDefault="00E26951" w:rsidP="002A6CC6">
            <w:pPr>
              <w:pStyle w:val="Thick"/>
              <w:spacing w:line="240" w:lineRule="exact"/>
              <w:jc w:val="right"/>
              <w:rPr>
                <w:rFonts w:asciiTheme="minorHAnsi" w:hAnsiTheme="minorHAnsi" w:cs="Arial"/>
                <w:snapToGrid w:val="0"/>
                <w:sz w:val="18"/>
                <w:szCs w:val="18"/>
                <w:lang w:val="hr-HR"/>
              </w:rPr>
            </w:pPr>
          </w:p>
        </w:tc>
        <w:tc>
          <w:tcPr>
            <w:tcW w:w="833" w:type="pct"/>
            <w:tcBorders>
              <w:top w:val="single" w:sz="12" w:space="0" w:color="auto"/>
            </w:tcBorders>
            <w:vAlign w:val="bottom"/>
          </w:tcPr>
          <w:p w14:paraId="1D052ECC" w14:textId="77777777" w:rsidR="00E26951" w:rsidRPr="002A6CC6" w:rsidRDefault="00E26951" w:rsidP="002A6CC6">
            <w:pPr>
              <w:pStyle w:val="Thick"/>
              <w:spacing w:line="240" w:lineRule="exact"/>
              <w:jc w:val="right"/>
              <w:rPr>
                <w:rFonts w:asciiTheme="minorHAnsi" w:hAnsiTheme="minorHAnsi" w:cs="Arial"/>
                <w:snapToGrid w:val="0"/>
                <w:sz w:val="18"/>
                <w:szCs w:val="18"/>
                <w:lang w:val="hr-HR"/>
              </w:rPr>
            </w:pPr>
          </w:p>
        </w:tc>
        <w:tc>
          <w:tcPr>
            <w:tcW w:w="681" w:type="pct"/>
            <w:tcBorders>
              <w:top w:val="single" w:sz="12" w:space="0" w:color="auto"/>
            </w:tcBorders>
            <w:vAlign w:val="bottom"/>
          </w:tcPr>
          <w:p w14:paraId="6AE11AD4" w14:textId="77777777" w:rsidR="00E26951" w:rsidRPr="002A6CC6" w:rsidRDefault="00E26951" w:rsidP="002A6CC6">
            <w:pPr>
              <w:pStyle w:val="Thick"/>
              <w:spacing w:line="240" w:lineRule="exact"/>
              <w:jc w:val="right"/>
              <w:rPr>
                <w:rFonts w:asciiTheme="minorHAnsi" w:hAnsiTheme="minorHAnsi" w:cs="Arial"/>
                <w:snapToGrid w:val="0"/>
                <w:sz w:val="18"/>
                <w:szCs w:val="18"/>
                <w:lang w:val="hr-HR"/>
              </w:rPr>
            </w:pPr>
          </w:p>
        </w:tc>
      </w:tr>
    </w:tbl>
    <w:p w14:paraId="1DD45022" w14:textId="77777777" w:rsidR="002A6CC6" w:rsidRPr="00F13DE9" w:rsidRDefault="002A6CC6" w:rsidP="002A6CC6">
      <w:pPr>
        <w:spacing w:after="0" w:line="240" w:lineRule="exact"/>
        <w:jc w:val="both"/>
        <w:rPr>
          <w:rFonts w:ascii="Arial" w:hAnsi="Arial" w:cs="Arial"/>
          <w:sz w:val="19"/>
          <w:szCs w:val="19"/>
        </w:rPr>
      </w:pPr>
    </w:p>
    <w:p w14:paraId="7512D9F4" w14:textId="77777777" w:rsidR="00BF7E5D" w:rsidRPr="00D90261" w:rsidRDefault="00BF7E5D" w:rsidP="00BF7E5D">
      <w:pPr>
        <w:jc w:val="both"/>
        <w:rPr>
          <w:highlight w:val="yellow"/>
        </w:rPr>
      </w:pPr>
    </w:p>
    <w:p w14:paraId="6F4048EB" w14:textId="77777777" w:rsidR="002A6CC6" w:rsidRDefault="002A6CC6" w:rsidP="00BF7E5D">
      <w:pPr>
        <w:jc w:val="both"/>
        <w:rPr>
          <w:highlight w:val="yellow"/>
        </w:rPr>
        <w:sectPr w:rsidR="002A6CC6" w:rsidSect="007E4493">
          <w:footerReference w:type="first" r:id="rId101"/>
          <w:pgSz w:w="11906" w:h="16838" w:code="9"/>
          <w:pgMar w:top="1418" w:right="1418" w:bottom="595" w:left="1134" w:header="709" w:footer="709" w:gutter="0"/>
          <w:cols w:space="708"/>
          <w:titlePg/>
          <w:docGrid w:linePitch="360"/>
        </w:sectPr>
      </w:pPr>
    </w:p>
    <w:p w14:paraId="103A5323" w14:textId="77777777" w:rsidR="002A6CC6" w:rsidRDefault="002A6CC6" w:rsidP="002A6CC6">
      <w:pPr>
        <w:pStyle w:val="T1"/>
        <w:spacing w:before="0" w:after="0" w:line="240" w:lineRule="auto"/>
        <w:rPr>
          <w:rFonts w:asciiTheme="minorHAnsi" w:hAnsiTheme="minorHAnsi" w:cs="Arial"/>
          <w:sz w:val="22"/>
          <w:szCs w:val="22"/>
          <w:lang w:val="hr-HR"/>
        </w:rPr>
      </w:pPr>
    </w:p>
    <w:p w14:paraId="2894319E" w14:textId="77777777" w:rsidR="002A6CC6" w:rsidRDefault="002A6CC6" w:rsidP="002A6CC6">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2A6CC6">
        <w:rPr>
          <w:rFonts w:asciiTheme="minorHAnsi" w:hAnsiTheme="minorHAnsi" w:cs="Arial"/>
          <w:sz w:val="22"/>
          <w:szCs w:val="22"/>
          <w:lang w:val="hr-HR"/>
        </w:rPr>
        <w:t>.</w:t>
      </w:r>
      <w:r w:rsidRPr="002A6CC6">
        <w:rPr>
          <w:rFonts w:asciiTheme="minorHAnsi" w:hAnsiTheme="minorHAnsi" w:cs="Arial"/>
          <w:sz w:val="22"/>
          <w:szCs w:val="22"/>
          <w:lang w:val="hr-HR"/>
        </w:rPr>
        <w:tab/>
        <w:t>Upravljanje rizicima (nastavak)</w:t>
      </w:r>
    </w:p>
    <w:p w14:paraId="58405450" w14:textId="77777777" w:rsidR="002A6CC6" w:rsidRPr="002A6CC6" w:rsidRDefault="002A6CC6" w:rsidP="002A6CC6">
      <w:pPr>
        <w:pStyle w:val="T1"/>
        <w:spacing w:before="0" w:after="0" w:line="240" w:lineRule="auto"/>
        <w:rPr>
          <w:rFonts w:asciiTheme="minorHAnsi" w:hAnsiTheme="minorHAnsi" w:cs="Arial"/>
          <w:sz w:val="22"/>
          <w:szCs w:val="22"/>
          <w:lang w:val="hr-HR"/>
        </w:rPr>
      </w:pPr>
    </w:p>
    <w:p w14:paraId="36EF59B4" w14:textId="77777777" w:rsidR="002A6CC6" w:rsidRDefault="002A6CC6" w:rsidP="002A6CC6">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2A6CC6">
        <w:rPr>
          <w:rFonts w:asciiTheme="minorHAnsi" w:hAnsiTheme="minorHAnsi" w:cs="Arial"/>
          <w:sz w:val="22"/>
          <w:szCs w:val="22"/>
          <w:lang w:val="hr-HR"/>
        </w:rPr>
        <w:t xml:space="preserve">.2. </w:t>
      </w:r>
      <w:r w:rsidRPr="002A6CC6">
        <w:rPr>
          <w:rFonts w:asciiTheme="minorHAnsi" w:hAnsiTheme="minorHAnsi" w:cs="Arial"/>
          <w:sz w:val="22"/>
          <w:szCs w:val="22"/>
          <w:lang w:val="hr-HR"/>
        </w:rPr>
        <w:tab/>
        <w:t>Kreditni rizik (nastavak)</w:t>
      </w:r>
    </w:p>
    <w:p w14:paraId="175123A9" w14:textId="77777777" w:rsidR="002A6CC6" w:rsidRPr="002A6CC6" w:rsidRDefault="002A6CC6" w:rsidP="002A6CC6">
      <w:pPr>
        <w:pStyle w:val="T1"/>
        <w:spacing w:before="0" w:after="0" w:line="240" w:lineRule="auto"/>
        <w:rPr>
          <w:rFonts w:asciiTheme="minorHAnsi" w:hAnsiTheme="minorHAnsi" w:cs="Arial"/>
          <w:sz w:val="22"/>
          <w:szCs w:val="22"/>
          <w:lang w:val="hr-HR"/>
        </w:rPr>
      </w:pPr>
    </w:p>
    <w:p w14:paraId="1ED1D8FF" w14:textId="77777777" w:rsidR="002A6CC6" w:rsidRDefault="002A6CC6" w:rsidP="002A6CC6">
      <w:pPr>
        <w:pStyle w:val="T1"/>
        <w:spacing w:before="0" w:after="0" w:line="240" w:lineRule="auto"/>
        <w:rPr>
          <w:rFonts w:asciiTheme="minorHAnsi" w:hAnsiTheme="minorHAnsi" w:cs="Arial"/>
          <w:sz w:val="22"/>
          <w:szCs w:val="22"/>
          <w:lang w:val="hr-HR"/>
        </w:rPr>
      </w:pPr>
      <w:r w:rsidRPr="002A6CC6">
        <w:rPr>
          <w:rFonts w:asciiTheme="minorHAnsi" w:hAnsiTheme="minorHAnsi" w:cs="Arial"/>
          <w:sz w:val="22"/>
          <w:szCs w:val="22"/>
          <w:lang w:val="hr-HR"/>
        </w:rPr>
        <w:t>Kvaliteta kreditnog rizika prema vrsti financijske imovine (nastavak)</w:t>
      </w:r>
    </w:p>
    <w:p w14:paraId="737E76DD" w14:textId="77777777" w:rsidR="002A6CC6" w:rsidRPr="002A6CC6" w:rsidRDefault="002A6CC6" w:rsidP="002A6CC6">
      <w:pPr>
        <w:pStyle w:val="T1"/>
        <w:spacing w:before="0" w:after="0" w:line="240" w:lineRule="auto"/>
        <w:rPr>
          <w:rFonts w:asciiTheme="minorHAnsi" w:hAnsiTheme="minorHAnsi" w:cs="Arial"/>
          <w:sz w:val="20"/>
          <w:lang w:val="hr-HR"/>
        </w:rPr>
      </w:pPr>
    </w:p>
    <w:p w14:paraId="55A30062" w14:textId="77777777" w:rsidR="002A6CC6" w:rsidRDefault="002A6CC6" w:rsidP="002A6CC6">
      <w:pPr>
        <w:spacing w:after="0" w:line="240" w:lineRule="auto"/>
        <w:jc w:val="both"/>
        <w:rPr>
          <w:rFonts w:cs="Arial"/>
          <w:sz w:val="20"/>
          <w:szCs w:val="20"/>
        </w:rPr>
      </w:pPr>
      <w:r w:rsidRPr="002A6CC6">
        <w:rPr>
          <w:rFonts w:cs="Arial"/>
          <w:sz w:val="20"/>
          <w:szCs w:val="20"/>
        </w:rPr>
        <w:t>Kvaliteta kreditnog rizika prema vrsti financijske imovine u bruto izloženosti na pozicijama imovine i garancija i preuzetih obveza prema rizičnim skupinama (nastavak):</w:t>
      </w:r>
    </w:p>
    <w:p w14:paraId="6952926E" w14:textId="77777777" w:rsidR="002A6CC6" w:rsidRPr="00F13DE9" w:rsidRDefault="002A6CC6" w:rsidP="002A6CC6">
      <w:pPr>
        <w:spacing w:after="0" w:line="240" w:lineRule="exact"/>
        <w:jc w:val="both"/>
        <w:rPr>
          <w:rFonts w:ascii="Arial" w:hAnsi="Arial" w:cs="Arial"/>
          <w:sz w:val="19"/>
          <w:szCs w:val="19"/>
        </w:rPr>
      </w:pPr>
    </w:p>
    <w:tbl>
      <w:tblPr>
        <w:tblW w:w="4913" w:type="pct"/>
        <w:jc w:val="center"/>
        <w:tblLook w:val="0000" w:firstRow="0" w:lastRow="0" w:firstColumn="0" w:lastColumn="0" w:noHBand="0" w:noVBand="0"/>
      </w:tblPr>
      <w:tblGrid>
        <w:gridCol w:w="3280"/>
        <w:gridCol w:w="63"/>
        <w:gridCol w:w="1415"/>
        <w:gridCol w:w="46"/>
        <w:gridCol w:w="1430"/>
        <w:gridCol w:w="33"/>
        <w:gridCol w:w="1443"/>
        <w:gridCol w:w="20"/>
        <w:gridCol w:w="1461"/>
      </w:tblGrid>
      <w:tr w:rsidR="00F542BB" w:rsidRPr="00F542BB" w14:paraId="13223C94" w14:textId="77777777" w:rsidTr="00C800B6">
        <w:trPr>
          <w:trHeight w:val="1331"/>
          <w:jc w:val="center"/>
        </w:trPr>
        <w:tc>
          <w:tcPr>
            <w:tcW w:w="1818" w:type="pct"/>
            <w:gridSpan w:val="2"/>
            <w:vAlign w:val="bottom"/>
          </w:tcPr>
          <w:p w14:paraId="7A96A8CC" w14:textId="77777777" w:rsidR="00F542BB" w:rsidRPr="00F542BB" w:rsidRDefault="00F542BB" w:rsidP="00F542BB">
            <w:pPr>
              <w:spacing w:after="0" w:line="240" w:lineRule="auto"/>
              <w:rPr>
                <w:rFonts w:ascii="Calibri" w:eastAsia="Times New Roman" w:hAnsi="Calibri" w:cs="Arial"/>
                <w:b/>
                <w:bCs/>
                <w:sz w:val="18"/>
                <w:szCs w:val="18"/>
              </w:rPr>
            </w:pPr>
            <w:r w:rsidRPr="00F542BB">
              <w:rPr>
                <w:rFonts w:ascii="Calibri" w:eastAsia="Times New Roman" w:hAnsi="Calibri" w:cs="Arial"/>
                <w:b/>
                <w:bCs/>
                <w:sz w:val="18"/>
                <w:szCs w:val="18"/>
              </w:rPr>
              <w:br w:type="page"/>
              <w:t>Banka</w:t>
            </w:r>
          </w:p>
          <w:p w14:paraId="00D68C87" w14:textId="77777777" w:rsidR="00F542BB" w:rsidRPr="00F542BB" w:rsidRDefault="00F542BB" w:rsidP="00F542BB">
            <w:pPr>
              <w:spacing w:after="0" w:line="240" w:lineRule="auto"/>
              <w:rPr>
                <w:rFonts w:ascii="Calibri" w:eastAsia="Times New Roman" w:hAnsi="Calibri" w:cs="Arial"/>
                <w:b/>
                <w:bCs/>
                <w:sz w:val="18"/>
                <w:szCs w:val="18"/>
              </w:rPr>
            </w:pPr>
          </w:p>
          <w:p w14:paraId="41D9D89B" w14:textId="77777777" w:rsidR="00F542BB" w:rsidRPr="00F542BB" w:rsidRDefault="00F542BB" w:rsidP="00F542BB">
            <w:pPr>
              <w:spacing w:after="0" w:line="240" w:lineRule="auto"/>
              <w:rPr>
                <w:rFonts w:ascii="Calibri" w:eastAsia="Times New Roman" w:hAnsi="Calibri" w:cs="Arial"/>
                <w:b/>
                <w:bCs/>
                <w:sz w:val="18"/>
                <w:szCs w:val="18"/>
              </w:rPr>
            </w:pPr>
          </w:p>
          <w:p w14:paraId="5D5789AD" w14:textId="77777777" w:rsidR="00F542BB" w:rsidRPr="00F542BB" w:rsidRDefault="00F542BB" w:rsidP="00F542BB">
            <w:pPr>
              <w:spacing w:after="0" w:line="240" w:lineRule="auto"/>
              <w:rPr>
                <w:rFonts w:ascii="Calibri" w:eastAsia="Times New Roman" w:hAnsi="Calibri" w:cs="Arial"/>
                <w:b/>
                <w:bCs/>
                <w:sz w:val="18"/>
                <w:szCs w:val="18"/>
              </w:rPr>
            </w:pPr>
          </w:p>
          <w:p w14:paraId="02498F36" w14:textId="77777777" w:rsidR="00F542BB" w:rsidRPr="00F542BB" w:rsidRDefault="00F542BB" w:rsidP="00F542BB">
            <w:pPr>
              <w:spacing w:after="0" w:line="240" w:lineRule="auto"/>
              <w:rPr>
                <w:rFonts w:ascii="Calibri" w:eastAsia="Times New Roman" w:hAnsi="Calibri" w:cs="Arial"/>
                <w:b/>
                <w:bCs/>
                <w:sz w:val="18"/>
                <w:szCs w:val="18"/>
              </w:rPr>
            </w:pPr>
          </w:p>
          <w:p w14:paraId="5B07CA88" w14:textId="0486B3BE" w:rsidR="00F542BB" w:rsidRPr="00F542BB" w:rsidRDefault="00F542BB" w:rsidP="00F542BB">
            <w:pPr>
              <w:spacing w:after="0" w:line="240" w:lineRule="auto"/>
              <w:rPr>
                <w:rFonts w:ascii="Calibri" w:eastAsia="Times New Roman" w:hAnsi="Calibri" w:cs="Arial"/>
                <w:sz w:val="18"/>
                <w:szCs w:val="18"/>
              </w:rPr>
            </w:pPr>
            <w:r>
              <w:rPr>
                <w:rFonts w:ascii="Calibri" w:eastAsia="Times New Roman" w:hAnsi="Calibri" w:cs="Arial"/>
                <w:b/>
                <w:bCs/>
                <w:sz w:val="18"/>
                <w:szCs w:val="18"/>
              </w:rPr>
              <w:t>31.12.2016.</w:t>
            </w:r>
          </w:p>
        </w:tc>
        <w:tc>
          <w:tcPr>
            <w:tcW w:w="795" w:type="pct"/>
            <w:gridSpan w:val="2"/>
            <w:vAlign w:val="bottom"/>
          </w:tcPr>
          <w:p w14:paraId="54F19AED" w14:textId="77777777" w:rsidR="00F542BB" w:rsidRPr="00F542BB" w:rsidRDefault="00F542BB" w:rsidP="00F542BB">
            <w:pPr>
              <w:spacing w:after="0" w:line="240" w:lineRule="auto"/>
              <w:jc w:val="right"/>
              <w:rPr>
                <w:rFonts w:ascii="Calibri" w:eastAsia="Times New Roman" w:hAnsi="Calibri" w:cs="Arial"/>
                <w:b/>
                <w:sz w:val="18"/>
                <w:szCs w:val="18"/>
              </w:rPr>
            </w:pPr>
            <w:r w:rsidRPr="00F542BB">
              <w:rPr>
                <w:rFonts w:ascii="Calibri" w:eastAsia="Times New Roman" w:hAnsi="Calibri" w:cs="Arial"/>
                <w:b/>
                <w:sz w:val="18"/>
                <w:szCs w:val="18"/>
              </w:rPr>
              <w:t>Bruto izloženost imovine koja nije umanjena niti dospjela nenaplaćena</w:t>
            </w:r>
          </w:p>
          <w:p w14:paraId="53D14692" w14:textId="77777777" w:rsidR="00F542BB" w:rsidRPr="00F542BB" w:rsidRDefault="00F542BB" w:rsidP="00F542BB">
            <w:pPr>
              <w:spacing w:after="0" w:line="240" w:lineRule="auto"/>
              <w:jc w:val="right"/>
              <w:rPr>
                <w:rFonts w:ascii="Calibri" w:eastAsia="Times New Roman" w:hAnsi="Calibri" w:cs="Arial"/>
                <w:b/>
                <w:sz w:val="18"/>
                <w:szCs w:val="18"/>
              </w:rPr>
            </w:pPr>
          </w:p>
        </w:tc>
        <w:tc>
          <w:tcPr>
            <w:tcW w:w="796" w:type="pct"/>
            <w:gridSpan w:val="2"/>
            <w:vAlign w:val="bottom"/>
          </w:tcPr>
          <w:p w14:paraId="1E8D2C07" w14:textId="77777777" w:rsidR="00F542BB" w:rsidRPr="00F542BB" w:rsidRDefault="00F542BB" w:rsidP="00F542BB">
            <w:pPr>
              <w:spacing w:after="0" w:line="240" w:lineRule="auto"/>
              <w:jc w:val="right"/>
              <w:rPr>
                <w:rFonts w:ascii="Calibri" w:eastAsia="Times New Roman" w:hAnsi="Calibri" w:cs="Arial"/>
                <w:b/>
                <w:sz w:val="18"/>
                <w:szCs w:val="18"/>
              </w:rPr>
            </w:pPr>
            <w:r w:rsidRPr="00F542BB">
              <w:rPr>
                <w:rFonts w:ascii="Calibri" w:eastAsia="Times New Roman" w:hAnsi="Calibri" w:cs="Arial"/>
                <w:b/>
                <w:sz w:val="18"/>
                <w:szCs w:val="18"/>
              </w:rPr>
              <w:t>Bruto izloženost imovine koja je dospjela nenaplaćena i nije umanjena</w:t>
            </w:r>
          </w:p>
          <w:p w14:paraId="28DECBFB" w14:textId="77777777" w:rsidR="00F542BB" w:rsidRPr="00F542BB" w:rsidRDefault="00F542BB" w:rsidP="00F542BB">
            <w:pPr>
              <w:spacing w:after="0" w:line="240" w:lineRule="auto"/>
              <w:jc w:val="right"/>
              <w:rPr>
                <w:rFonts w:ascii="Calibri" w:eastAsia="Times New Roman" w:hAnsi="Calibri" w:cs="Arial"/>
                <w:b/>
                <w:sz w:val="18"/>
                <w:szCs w:val="18"/>
              </w:rPr>
            </w:pPr>
          </w:p>
        </w:tc>
        <w:tc>
          <w:tcPr>
            <w:tcW w:w="796" w:type="pct"/>
            <w:gridSpan w:val="2"/>
            <w:vAlign w:val="bottom"/>
          </w:tcPr>
          <w:p w14:paraId="064421F2" w14:textId="77777777" w:rsidR="00F542BB" w:rsidRPr="00F542BB" w:rsidRDefault="00F542BB" w:rsidP="00F542BB">
            <w:pPr>
              <w:spacing w:after="0" w:line="240" w:lineRule="auto"/>
              <w:jc w:val="right"/>
              <w:rPr>
                <w:rFonts w:ascii="Calibri" w:eastAsia="Times New Roman" w:hAnsi="Calibri" w:cs="Arial"/>
                <w:b/>
                <w:sz w:val="18"/>
                <w:szCs w:val="18"/>
              </w:rPr>
            </w:pPr>
            <w:r w:rsidRPr="00F542BB">
              <w:rPr>
                <w:rFonts w:ascii="Calibri" w:eastAsia="Times New Roman" w:hAnsi="Calibri" w:cs="Arial"/>
                <w:b/>
                <w:sz w:val="18"/>
                <w:szCs w:val="18"/>
              </w:rPr>
              <w:t>Bruto izloženost imovine umanjene na pojedinačnoj osnovi</w:t>
            </w:r>
          </w:p>
          <w:p w14:paraId="7ED6F882" w14:textId="77777777" w:rsidR="00F542BB" w:rsidRPr="00F542BB" w:rsidRDefault="00F542BB" w:rsidP="00F542BB">
            <w:pPr>
              <w:spacing w:after="0" w:line="240" w:lineRule="auto"/>
              <w:jc w:val="right"/>
              <w:rPr>
                <w:rFonts w:ascii="Calibri" w:eastAsia="Times New Roman" w:hAnsi="Calibri" w:cs="Arial"/>
                <w:b/>
                <w:sz w:val="18"/>
                <w:szCs w:val="18"/>
              </w:rPr>
            </w:pPr>
          </w:p>
        </w:tc>
        <w:tc>
          <w:tcPr>
            <w:tcW w:w="796" w:type="pct"/>
            <w:vAlign w:val="bottom"/>
          </w:tcPr>
          <w:p w14:paraId="18088AE4" w14:textId="77777777" w:rsidR="00F542BB" w:rsidRPr="00F542BB" w:rsidRDefault="00F542BB" w:rsidP="00F542BB">
            <w:pPr>
              <w:spacing w:after="0" w:line="240" w:lineRule="auto"/>
              <w:jc w:val="right"/>
              <w:rPr>
                <w:rFonts w:ascii="Calibri" w:eastAsia="Times New Roman" w:hAnsi="Calibri" w:cs="Arial"/>
                <w:b/>
                <w:sz w:val="18"/>
                <w:szCs w:val="18"/>
              </w:rPr>
            </w:pPr>
            <w:r w:rsidRPr="00F542BB">
              <w:rPr>
                <w:rFonts w:ascii="Calibri" w:eastAsia="Times New Roman" w:hAnsi="Calibri" w:cs="Arial"/>
                <w:b/>
                <w:sz w:val="18"/>
                <w:szCs w:val="18"/>
              </w:rPr>
              <w:t>Ukupno</w:t>
            </w:r>
          </w:p>
          <w:p w14:paraId="1AC50374" w14:textId="77777777" w:rsidR="00F542BB" w:rsidRPr="00F542BB" w:rsidRDefault="00F542BB" w:rsidP="00F542BB">
            <w:pPr>
              <w:spacing w:after="0" w:line="240" w:lineRule="auto"/>
              <w:jc w:val="right"/>
              <w:rPr>
                <w:rFonts w:ascii="Calibri" w:eastAsia="Times New Roman" w:hAnsi="Calibri" w:cs="Arial"/>
                <w:b/>
                <w:sz w:val="18"/>
                <w:szCs w:val="18"/>
              </w:rPr>
            </w:pPr>
          </w:p>
        </w:tc>
      </w:tr>
      <w:tr w:rsidR="00F542BB" w:rsidRPr="00F542BB" w14:paraId="3C8818BA" w14:textId="77777777" w:rsidTr="00C800B6">
        <w:trPr>
          <w:trHeight w:val="325"/>
          <w:jc w:val="center"/>
        </w:trPr>
        <w:tc>
          <w:tcPr>
            <w:tcW w:w="1818" w:type="pct"/>
            <w:gridSpan w:val="2"/>
          </w:tcPr>
          <w:p w14:paraId="088D78FE" w14:textId="77777777" w:rsidR="00F542BB" w:rsidRPr="00F542BB" w:rsidRDefault="00F542BB" w:rsidP="00F542BB">
            <w:pPr>
              <w:tabs>
                <w:tab w:val="right" w:pos="1202"/>
              </w:tabs>
              <w:spacing w:after="0" w:line="301" w:lineRule="exact"/>
              <w:outlineLvl w:val="0"/>
              <w:rPr>
                <w:rFonts w:ascii="Calibri" w:eastAsia="Times New Roman" w:hAnsi="Calibri" w:cs="Arial"/>
                <w:b/>
                <w:bCs/>
                <w:sz w:val="18"/>
                <w:szCs w:val="18"/>
              </w:rPr>
            </w:pPr>
            <w:r w:rsidRPr="00F542BB">
              <w:rPr>
                <w:rFonts w:ascii="Calibri" w:eastAsia="Times New Roman" w:hAnsi="Calibri" w:cs="Arial"/>
                <w:b/>
                <w:bCs/>
                <w:sz w:val="18"/>
                <w:szCs w:val="18"/>
              </w:rPr>
              <w:t>Imovina</w:t>
            </w:r>
          </w:p>
        </w:tc>
        <w:tc>
          <w:tcPr>
            <w:tcW w:w="795" w:type="pct"/>
            <w:gridSpan w:val="2"/>
          </w:tcPr>
          <w:p w14:paraId="366756BB" w14:textId="77777777" w:rsidR="00F542BB" w:rsidRPr="00F542BB" w:rsidRDefault="00F542BB" w:rsidP="00F542BB">
            <w:pPr>
              <w:tabs>
                <w:tab w:val="right" w:pos="1202"/>
              </w:tabs>
              <w:spacing w:after="0" w:line="301" w:lineRule="exact"/>
              <w:outlineLvl w:val="0"/>
              <w:rPr>
                <w:rFonts w:ascii="Calibri" w:eastAsia="Times New Roman" w:hAnsi="Calibri" w:cs="Arial"/>
                <w:b/>
                <w:bCs/>
                <w:sz w:val="18"/>
                <w:szCs w:val="18"/>
              </w:rPr>
            </w:pPr>
          </w:p>
        </w:tc>
        <w:tc>
          <w:tcPr>
            <w:tcW w:w="796" w:type="pct"/>
            <w:gridSpan w:val="2"/>
          </w:tcPr>
          <w:p w14:paraId="35770F16" w14:textId="77777777" w:rsidR="00F542BB" w:rsidRPr="00F542BB" w:rsidRDefault="00F542BB" w:rsidP="00F542BB">
            <w:pPr>
              <w:tabs>
                <w:tab w:val="right" w:pos="1202"/>
              </w:tabs>
              <w:spacing w:after="0" w:line="301" w:lineRule="exact"/>
              <w:outlineLvl w:val="0"/>
              <w:rPr>
                <w:rFonts w:ascii="Calibri" w:eastAsia="Times New Roman" w:hAnsi="Calibri" w:cs="Arial"/>
                <w:b/>
                <w:bCs/>
                <w:sz w:val="18"/>
                <w:szCs w:val="18"/>
              </w:rPr>
            </w:pPr>
          </w:p>
        </w:tc>
        <w:tc>
          <w:tcPr>
            <w:tcW w:w="796" w:type="pct"/>
            <w:gridSpan w:val="2"/>
          </w:tcPr>
          <w:p w14:paraId="338A9FF3" w14:textId="77777777" w:rsidR="00F542BB" w:rsidRPr="00F542BB" w:rsidRDefault="00F542BB" w:rsidP="00F542BB">
            <w:pPr>
              <w:tabs>
                <w:tab w:val="right" w:pos="1202"/>
              </w:tabs>
              <w:spacing w:after="0" w:line="301" w:lineRule="exact"/>
              <w:outlineLvl w:val="0"/>
              <w:rPr>
                <w:rFonts w:ascii="Calibri" w:eastAsia="Times New Roman" w:hAnsi="Calibri" w:cs="Arial"/>
                <w:b/>
                <w:bCs/>
                <w:sz w:val="18"/>
                <w:szCs w:val="18"/>
              </w:rPr>
            </w:pPr>
          </w:p>
        </w:tc>
        <w:tc>
          <w:tcPr>
            <w:tcW w:w="796" w:type="pct"/>
          </w:tcPr>
          <w:p w14:paraId="682708C3" w14:textId="77777777" w:rsidR="00F542BB" w:rsidRPr="00F542BB" w:rsidRDefault="00F542BB" w:rsidP="00F542BB">
            <w:pPr>
              <w:tabs>
                <w:tab w:val="right" w:pos="1202"/>
              </w:tabs>
              <w:spacing w:after="0" w:line="301" w:lineRule="exact"/>
              <w:outlineLvl w:val="0"/>
              <w:rPr>
                <w:rFonts w:ascii="Calibri" w:eastAsia="Times New Roman" w:hAnsi="Calibri" w:cs="Arial"/>
                <w:b/>
                <w:bCs/>
                <w:sz w:val="18"/>
                <w:szCs w:val="18"/>
              </w:rPr>
            </w:pPr>
          </w:p>
        </w:tc>
      </w:tr>
      <w:tr w:rsidR="00F542BB" w:rsidRPr="00F542BB" w14:paraId="2EF54B11" w14:textId="77777777" w:rsidTr="00C800B6">
        <w:trPr>
          <w:trHeight w:val="262"/>
          <w:jc w:val="center"/>
        </w:trPr>
        <w:tc>
          <w:tcPr>
            <w:tcW w:w="1818" w:type="pct"/>
            <w:gridSpan w:val="2"/>
          </w:tcPr>
          <w:p w14:paraId="4C296306" w14:textId="77777777" w:rsidR="00F542BB" w:rsidRPr="00F542BB" w:rsidRDefault="00F542BB" w:rsidP="00F542BB">
            <w:pPr>
              <w:tabs>
                <w:tab w:val="right" w:pos="1202"/>
              </w:tabs>
              <w:spacing w:after="0" w:line="240" w:lineRule="exact"/>
              <w:outlineLvl w:val="0"/>
              <w:rPr>
                <w:rFonts w:ascii="Calibri" w:eastAsia="Times New Roman" w:hAnsi="Calibri" w:cs="Arial"/>
                <w:sz w:val="18"/>
                <w:szCs w:val="18"/>
              </w:rPr>
            </w:pPr>
            <w:r w:rsidRPr="00F542BB">
              <w:rPr>
                <w:rFonts w:ascii="Calibri" w:eastAsia="Times New Roman" w:hAnsi="Calibri" w:cs="Arial"/>
                <w:sz w:val="18"/>
                <w:szCs w:val="18"/>
              </w:rPr>
              <w:t>Novčana sredstva i računi kod banaka</w:t>
            </w:r>
          </w:p>
        </w:tc>
        <w:tc>
          <w:tcPr>
            <w:tcW w:w="795" w:type="pct"/>
            <w:gridSpan w:val="2"/>
            <w:tcBorders>
              <w:top w:val="nil"/>
              <w:left w:val="nil"/>
              <w:bottom w:val="nil"/>
              <w:right w:val="nil"/>
            </w:tcBorders>
            <w:shd w:val="clear" w:color="auto" w:fill="auto"/>
            <w:vAlign w:val="center"/>
          </w:tcPr>
          <w:p w14:paraId="6AC8B3A5"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490.692</w:t>
            </w:r>
          </w:p>
        </w:tc>
        <w:tc>
          <w:tcPr>
            <w:tcW w:w="796" w:type="pct"/>
            <w:gridSpan w:val="2"/>
            <w:tcBorders>
              <w:top w:val="nil"/>
              <w:left w:val="nil"/>
              <w:bottom w:val="nil"/>
              <w:right w:val="nil"/>
            </w:tcBorders>
            <w:shd w:val="clear" w:color="auto" w:fill="auto"/>
            <w:vAlign w:val="center"/>
          </w:tcPr>
          <w:p w14:paraId="30A0B24F"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gridSpan w:val="2"/>
            <w:tcBorders>
              <w:top w:val="nil"/>
              <w:left w:val="nil"/>
              <w:bottom w:val="nil"/>
              <w:right w:val="nil"/>
            </w:tcBorders>
            <w:shd w:val="clear" w:color="auto" w:fill="auto"/>
            <w:vAlign w:val="center"/>
          </w:tcPr>
          <w:p w14:paraId="1FE553CC"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tcBorders>
              <w:top w:val="nil"/>
              <w:left w:val="nil"/>
              <w:bottom w:val="nil"/>
              <w:right w:val="nil"/>
            </w:tcBorders>
            <w:shd w:val="clear" w:color="auto" w:fill="auto"/>
            <w:vAlign w:val="center"/>
          </w:tcPr>
          <w:p w14:paraId="3BCC7D72"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490.692</w:t>
            </w:r>
          </w:p>
        </w:tc>
      </w:tr>
      <w:tr w:rsidR="00F542BB" w:rsidRPr="00F542BB" w14:paraId="21013B48" w14:textId="77777777" w:rsidTr="00C800B6">
        <w:trPr>
          <w:trHeight w:val="249"/>
          <w:jc w:val="center"/>
        </w:trPr>
        <w:tc>
          <w:tcPr>
            <w:tcW w:w="1818" w:type="pct"/>
            <w:gridSpan w:val="2"/>
          </w:tcPr>
          <w:p w14:paraId="134D9E0D" w14:textId="77777777" w:rsidR="00F542BB" w:rsidRPr="00F542BB" w:rsidRDefault="00F542BB" w:rsidP="00F542BB">
            <w:pPr>
              <w:tabs>
                <w:tab w:val="right" w:pos="1202"/>
              </w:tabs>
              <w:spacing w:after="0" w:line="240" w:lineRule="exact"/>
              <w:outlineLvl w:val="0"/>
              <w:rPr>
                <w:rFonts w:ascii="Calibri" w:eastAsia="Times New Roman" w:hAnsi="Calibri" w:cs="Arial"/>
                <w:sz w:val="18"/>
                <w:szCs w:val="18"/>
              </w:rPr>
            </w:pPr>
            <w:r w:rsidRPr="00F542BB">
              <w:rPr>
                <w:rFonts w:ascii="Calibri" w:eastAsia="Times New Roman" w:hAnsi="Calibri" w:cs="Arial"/>
                <w:sz w:val="18"/>
                <w:szCs w:val="18"/>
              </w:rPr>
              <w:t>Depoziti kod drugih banaka</w:t>
            </w:r>
          </w:p>
        </w:tc>
        <w:tc>
          <w:tcPr>
            <w:tcW w:w="795" w:type="pct"/>
            <w:gridSpan w:val="2"/>
            <w:tcBorders>
              <w:top w:val="nil"/>
              <w:left w:val="nil"/>
              <w:bottom w:val="nil"/>
              <w:right w:val="nil"/>
            </w:tcBorders>
            <w:shd w:val="clear" w:color="auto" w:fill="auto"/>
            <w:vAlign w:val="center"/>
          </w:tcPr>
          <w:p w14:paraId="23B50828"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23.872</w:t>
            </w:r>
          </w:p>
        </w:tc>
        <w:tc>
          <w:tcPr>
            <w:tcW w:w="796" w:type="pct"/>
            <w:gridSpan w:val="2"/>
            <w:tcBorders>
              <w:top w:val="nil"/>
              <w:left w:val="nil"/>
              <w:bottom w:val="nil"/>
              <w:right w:val="nil"/>
            </w:tcBorders>
            <w:shd w:val="clear" w:color="auto" w:fill="auto"/>
            <w:vAlign w:val="center"/>
          </w:tcPr>
          <w:p w14:paraId="7306992E"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gridSpan w:val="2"/>
            <w:tcBorders>
              <w:top w:val="nil"/>
              <w:left w:val="nil"/>
              <w:bottom w:val="nil"/>
              <w:right w:val="nil"/>
            </w:tcBorders>
            <w:shd w:val="clear" w:color="auto" w:fill="auto"/>
            <w:vAlign w:val="center"/>
          </w:tcPr>
          <w:p w14:paraId="5F2F71D2"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tcBorders>
              <w:top w:val="nil"/>
              <w:left w:val="nil"/>
              <w:bottom w:val="nil"/>
              <w:right w:val="nil"/>
            </w:tcBorders>
            <w:shd w:val="clear" w:color="auto" w:fill="auto"/>
            <w:vAlign w:val="center"/>
          </w:tcPr>
          <w:p w14:paraId="3A2E65B9"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23.872</w:t>
            </w:r>
          </w:p>
        </w:tc>
      </w:tr>
      <w:tr w:rsidR="00F542BB" w:rsidRPr="00F542BB" w14:paraId="15FC9B59" w14:textId="77777777" w:rsidTr="00C800B6">
        <w:trPr>
          <w:trHeight w:val="262"/>
          <w:jc w:val="center"/>
        </w:trPr>
        <w:tc>
          <w:tcPr>
            <w:tcW w:w="1818" w:type="pct"/>
            <w:gridSpan w:val="2"/>
          </w:tcPr>
          <w:p w14:paraId="474C012A" w14:textId="77777777" w:rsidR="00F542BB" w:rsidRPr="00F542BB" w:rsidRDefault="00F542BB" w:rsidP="00F542BB">
            <w:pPr>
              <w:tabs>
                <w:tab w:val="right" w:pos="1202"/>
              </w:tabs>
              <w:spacing w:after="0" w:line="240" w:lineRule="exact"/>
              <w:outlineLvl w:val="0"/>
              <w:rPr>
                <w:rFonts w:ascii="Calibri" w:eastAsia="Times New Roman" w:hAnsi="Calibri" w:cs="Arial"/>
                <w:sz w:val="18"/>
                <w:szCs w:val="18"/>
              </w:rPr>
            </w:pPr>
            <w:r w:rsidRPr="00F542BB">
              <w:rPr>
                <w:rFonts w:ascii="Calibri" w:eastAsia="Times New Roman" w:hAnsi="Calibri" w:cs="Arial"/>
                <w:sz w:val="18"/>
                <w:szCs w:val="18"/>
              </w:rPr>
              <w:t>Krediti financijskim institucijama</w:t>
            </w:r>
          </w:p>
        </w:tc>
        <w:tc>
          <w:tcPr>
            <w:tcW w:w="795" w:type="pct"/>
            <w:gridSpan w:val="2"/>
            <w:tcBorders>
              <w:top w:val="nil"/>
              <w:left w:val="nil"/>
              <w:bottom w:val="nil"/>
              <w:right w:val="nil"/>
            </w:tcBorders>
            <w:shd w:val="clear" w:color="auto" w:fill="auto"/>
            <w:vAlign w:val="center"/>
          </w:tcPr>
          <w:p w14:paraId="49D57116"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11.259.676</w:t>
            </w:r>
          </w:p>
        </w:tc>
        <w:tc>
          <w:tcPr>
            <w:tcW w:w="796" w:type="pct"/>
            <w:gridSpan w:val="2"/>
            <w:tcBorders>
              <w:top w:val="nil"/>
              <w:left w:val="nil"/>
              <w:bottom w:val="nil"/>
              <w:right w:val="nil"/>
            </w:tcBorders>
            <w:shd w:val="clear" w:color="auto" w:fill="auto"/>
            <w:vAlign w:val="center"/>
          </w:tcPr>
          <w:p w14:paraId="1C60481D"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212.454</w:t>
            </w:r>
          </w:p>
        </w:tc>
        <w:tc>
          <w:tcPr>
            <w:tcW w:w="796" w:type="pct"/>
            <w:gridSpan w:val="2"/>
            <w:tcBorders>
              <w:top w:val="nil"/>
              <w:left w:val="nil"/>
              <w:bottom w:val="nil"/>
              <w:right w:val="nil"/>
            </w:tcBorders>
            <w:shd w:val="clear" w:color="auto" w:fill="auto"/>
            <w:vAlign w:val="center"/>
          </w:tcPr>
          <w:p w14:paraId="34BB4253"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416.981</w:t>
            </w:r>
          </w:p>
        </w:tc>
        <w:tc>
          <w:tcPr>
            <w:tcW w:w="796" w:type="pct"/>
            <w:tcBorders>
              <w:top w:val="nil"/>
              <w:left w:val="nil"/>
              <w:bottom w:val="nil"/>
              <w:right w:val="nil"/>
            </w:tcBorders>
            <w:shd w:val="clear" w:color="auto" w:fill="auto"/>
            <w:vAlign w:val="center"/>
          </w:tcPr>
          <w:p w14:paraId="0EEC3010"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11.889.111</w:t>
            </w:r>
          </w:p>
        </w:tc>
      </w:tr>
      <w:tr w:rsidR="00F542BB" w:rsidRPr="00F542BB" w14:paraId="2B0375B3" w14:textId="77777777" w:rsidTr="00C800B6">
        <w:trPr>
          <w:trHeight w:val="262"/>
          <w:jc w:val="center"/>
        </w:trPr>
        <w:tc>
          <w:tcPr>
            <w:tcW w:w="1818" w:type="pct"/>
            <w:gridSpan w:val="2"/>
          </w:tcPr>
          <w:p w14:paraId="16E06E64" w14:textId="77777777" w:rsidR="00F542BB" w:rsidRPr="00F542BB" w:rsidRDefault="00F542BB" w:rsidP="00F542BB">
            <w:pPr>
              <w:tabs>
                <w:tab w:val="right" w:pos="1202"/>
              </w:tabs>
              <w:spacing w:after="0" w:line="240" w:lineRule="exact"/>
              <w:outlineLvl w:val="0"/>
              <w:rPr>
                <w:rFonts w:ascii="Calibri" w:eastAsia="Times New Roman" w:hAnsi="Calibri" w:cs="Arial"/>
                <w:sz w:val="18"/>
                <w:szCs w:val="18"/>
              </w:rPr>
            </w:pPr>
            <w:r w:rsidRPr="00F542BB">
              <w:rPr>
                <w:rFonts w:ascii="Calibri" w:eastAsia="Times New Roman" w:hAnsi="Calibri" w:cs="Arial"/>
                <w:sz w:val="18"/>
                <w:szCs w:val="18"/>
              </w:rPr>
              <w:t>Krediti ostalim korisnicima</w:t>
            </w:r>
          </w:p>
        </w:tc>
        <w:tc>
          <w:tcPr>
            <w:tcW w:w="795" w:type="pct"/>
            <w:gridSpan w:val="2"/>
            <w:tcBorders>
              <w:top w:val="nil"/>
              <w:left w:val="nil"/>
              <w:bottom w:val="nil"/>
              <w:right w:val="nil"/>
            </w:tcBorders>
            <w:shd w:val="clear" w:color="auto" w:fill="auto"/>
            <w:vAlign w:val="center"/>
          </w:tcPr>
          <w:p w14:paraId="3AF7A9A0"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10.249.918</w:t>
            </w:r>
          </w:p>
        </w:tc>
        <w:tc>
          <w:tcPr>
            <w:tcW w:w="796" w:type="pct"/>
            <w:gridSpan w:val="2"/>
            <w:tcBorders>
              <w:top w:val="nil"/>
              <w:left w:val="nil"/>
              <w:bottom w:val="nil"/>
              <w:right w:val="nil"/>
            </w:tcBorders>
            <w:shd w:val="clear" w:color="auto" w:fill="auto"/>
            <w:vAlign w:val="center"/>
          </w:tcPr>
          <w:p w14:paraId="4A333AE9"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165.766</w:t>
            </w:r>
          </w:p>
        </w:tc>
        <w:tc>
          <w:tcPr>
            <w:tcW w:w="796" w:type="pct"/>
            <w:gridSpan w:val="2"/>
            <w:tcBorders>
              <w:top w:val="nil"/>
              <w:left w:val="nil"/>
              <w:bottom w:val="nil"/>
              <w:right w:val="nil"/>
            </w:tcBorders>
            <w:shd w:val="clear" w:color="auto" w:fill="auto"/>
            <w:vAlign w:val="center"/>
          </w:tcPr>
          <w:p w14:paraId="2A67EA0B"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1.095.510</w:t>
            </w:r>
          </w:p>
        </w:tc>
        <w:tc>
          <w:tcPr>
            <w:tcW w:w="796" w:type="pct"/>
            <w:tcBorders>
              <w:top w:val="nil"/>
              <w:left w:val="nil"/>
              <w:bottom w:val="nil"/>
              <w:right w:val="nil"/>
            </w:tcBorders>
            <w:shd w:val="clear" w:color="auto" w:fill="auto"/>
            <w:vAlign w:val="center"/>
          </w:tcPr>
          <w:p w14:paraId="6F8A62F6"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11.511.194</w:t>
            </w:r>
          </w:p>
        </w:tc>
      </w:tr>
      <w:tr w:rsidR="00F542BB" w:rsidRPr="00F542BB" w14:paraId="21368159" w14:textId="77777777" w:rsidTr="00C800B6">
        <w:trPr>
          <w:trHeight w:val="262"/>
          <w:jc w:val="center"/>
        </w:trPr>
        <w:tc>
          <w:tcPr>
            <w:tcW w:w="1818" w:type="pct"/>
            <w:gridSpan w:val="2"/>
          </w:tcPr>
          <w:p w14:paraId="3EC71118" w14:textId="77777777" w:rsidR="00F542BB" w:rsidRPr="00F542BB" w:rsidRDefault="00F542BB" w:rsidP="00F542BB">
            <w:pPr>
              <w:tabs>
                <w:tab w:val="right" w:pos="1202"/>
              </w:tabs>
              <w:spacing w:after="0" w:line="240" w:lineRule="exact"/>
              <w:outlineLvl w:val="0"/>
              <w:rPr>
                <w:rFonts w:ascii="Calibri" w:eastAsia="Times New Roman" w:hAnsi="Calibri" w:cs="Arial"/>
                <w:sz w:val="18"/>
                <w:szCs w:val="18"/>
              </w:rPr>
            </w:pPr>
            <w:r w:rsidRPr="00F542BB">
              <w:rPr>
                <w:rFonts w:ascii="Calibri" w:eastAsia="Times New Roman" w:hAnsi="Calibri" w:cs="Arial"/>
                <w:sz w:val="18"/>
                <w:szCs w:val="18"/>
              </w:rPr>
              <w:t>Imovina raspoloživa za prodaju</w:t>
            </w:r>
          </w:p>
        </w:tc>
        <w:tc>
          <w:tcPr>
            <w:tcW w:w="795" w:type="pct"/>
            <w:gridSpan w:val="2"/>
            <w:tcBorders>
              <w:top w:val="nil"/>
              <w:left w:val="nil"/>
              <w:bottom w:val="nil"/>
              <w:right w:val="nil"/>
            </w:tcBorders>
            <w:shd w:val="clear" w:color="auto" w:fill="auto"/>
            <w:vAlign w:val="center"/>
          </w:tcPr>
          <w:p w14:paraId="75E7A0FA"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3.306.628</w:t>
            </w:r>
          </w:p>
        </w:tc>
        <w:tc>
          <w:tcPr>
            <w:tcW w:w="796" w:type="pct"/>
            <w:gridSpan w:val="2"/>
            <w:tcBorders>
              <w:top w:val="nil"/>
              <w:left w:val="nil"/>
              <w:bottom w:val="nil"/>
              <w:right w:val="nil"/>
            </w:tcBorders>
            <w:shd w:val="clear" w:color="auto" w:fill="auto"/>
            <w:vAlign w:val="center"/>
          </w:tcPr>
          <w:p w14:paraId="5217A02A"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gridSpan w:val="2"/>
            <w:tcBorders>
              <w:top w:val="nil"/>
              <w:left w:val="nil"/>
              <w:bottom w:val="nil"/>
              <w:right w:val="nil"/>
            </w:tcBorders>
            <w:shd w:val="clear" w:color="auto" w:fill="auto"/>
            <w:vAlign w:val="center"/>
          </w:tcPr>
          <w:p w14:paraId="6F684325" w14:textId="77777777" w:rsidR="00F542BB" w:rsidRPr="00F542BB" w:rsidRDefault="00F542BB" w:rsidP="00F542BB">
            <w:pPr>
              <w:spacing w:after="0" w:line="240" w:lineRule="auto"/>
              <w:jc w:val="right"/>
              <w:rPr>
                <w:rFonts w:ascii="Times New Roman" w:eastAsia="Times New Roman" w:hAnsi="Times New Roman" w:cs="Times New Roman"/>
                <w:sz w:val="18"/>
                <w:szCs w:val="18"/>
                <w:lang w:val="en-US"/>
              </w:rPr>
            </w:pPr>
            <w:r w:rsidRPr="00F542BB">
              <w:rPr>
                <w:rFonts w:ascii="Times New Roman" w:eastAsia="Times New Roman" w:hAnsi="Times New Roman" w:cs="Times New Roman"/>
                <w:sz w:val="18"/>
                <w:szCs w:val="18"/>
                <w:lang w:val="en-US"/>
              </w:rPr>
              <w:t>-</w:t>
            </w:r>
          </w:p>
        </w:tc>
        <w:tc>
          <w:tcPr>
            <w:tcW w:w="796" w:type="pct"/>
            <w:tcBorders>
              <w:top w:val="nil"/>
              <w:left w:val="nil"/>
              <w:bottom w:val="nil"/>
              <w:right w:val="nil"/>
            </w:tcBorders>
            <w:shd w:val="clear" w:color="auto" w:fill="auto"/>
            <w:vAlign w:val="center"/>
          </w:tcPr>
          <w:p w14:paraId="0DE4E51F"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3.306.628</w:t>
            </w:r>
          </w:p>
        </w:tc>
      </w:tr>
      <w:tr w:rsidR="00F542BB" w:rsidRPr="00F542BB" w14:paraId="0C2CFA68" w14:textId="77777777" w:rsidTr="00C800B6">
        <w:trPr>
          <w:trHeight w:val="249"/>
          <w:jc w:val="center"/>
        </w:trPr>
        <w:tc>
          <w:tcPr>
            <w:tcW w:w="1818" w:type="pct"/>
            <w:gridSpan w:val="2"/>
          </w:tcPr>
          <w:p w14:paraId="430CF7D1" w14:textId="77777777" w:rsidR="00F542BB" w:rsidRPr="00F542BB" w:rsidRDefault="00F542BB" w:rsidP="00F542BB">
            <w:pPr>
              <w:tabs>
                <w:tab w:val="right" w:pos="1202"/>
              </w:tabs>
              <w:spacing w:after="0" w:line="240" w:lineRule="exact"/>
              <w:outlineLvl w:val="0"/>
              <w:rPr>
                <w:rFonts w:ascii="Calibri" w:eastAsia="Times New Roman" w:hAnsi="Calibri" w:cs="Arial"/>
                <w:sz w:val="18"/>
                <w:szCs w:val="18"/>
              </w:rPr>
            </w:pPr>
            <w:r w:rsidRPr="00F542BB">
              <w:rPr>
                <w:rFonts w:ascii="Calibri" w:eastAsia="Times New Roman" w:hAnsi="Calibri" w:cs="Arial"/>
                <w:sz w:val="18"/>
                <w:szCs w:val="18"/>
              </w:rPr>
              <w:t>Ostala imovina</w:t>
            </w:r>
          </w:p>
        </w:tc>
        <w:tc>
          <w:tcPr>
            <w:tcW w:w="795" w:type="pct"/>
            <w:gridSpan w:val="2"/>
            <w:tcBorders>
              <w:top w:val="nil"/>
              <w:left w:val="nil"/>
              <w:bottom w:val="single" w:sz="8" w:space="0" w:color="auto"/>
              <w:right w:val="nil"/>
            </w:tcBorders>
            <w:shd w:val="clear" w:color="auto" w:fill="auto"/>
            <w:vAlign w:val="center"/>
          </w:tcPr>
          <w:p w14:paraId="638BE783"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1.666</w:t>
            </w:r>
          </w:p>
        </w:tc>
        <w:tc>
          <w:tcPr>
            <w:tcW w:w="796" w:type="pct"/>
            <w:gridSpan w:val="2"/>
            <w:tcBorders>
              <w:top w:val="nil"/>
              <w:left w:val="nil"/>
              <w:bottom w:val="single" w:sz="8" w:space="0" w:color="auto"/>
              <w:right w:val="nil"/>
            </w:tcBorders>
            <w:shd w:val="clear" w:color="auto" w:fill="auto"/>
            <w:vAlign w:val="center"/>
          </w:tcPr>
          <w:p w14:paraId="093D7D96"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1.017</w:t>
            </w:r>
          </w:p>
        </w:tc>
        <w:tc>
          <w:tcPr>
            <w:tcW w:w="796" w:type="pct"/>
            <w:gridSpan w:val="2"/>
            <w:tcBorders>
              <w:top w:val="nil"/>
              <w:left w:val="nil"/>
              <w:bottom w:val="single" w:sz="8" w:space="0" w:color="auto"/>
              <w:right w:val="nil"/>
            </w:tcBorders>
            <w:shd w:val="clear" w:color="auto" w:fill="auto"/>
            <w:vAlign w:val="center"/>
          </w:tcPr>
          <w:p w14:paraId="170793AD"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396</w:t>
            </w:r>
          </w:p>
        </w:tc>
        <w:tc>
          <w:tcPr>
            <w:tcW w:w="796" w:type="pct"/>
            <w:tcBorders>
              <w:top w:val="nil"/>
              <w:left w:val="nil"/>
              <w:bottom w:val="single" w:sz="8" w:space="0" w:color="auto"/>
              <w:right w:val="nil"/>
            </w:tcBorders>
            <w:shd w:val="clear" w:color="auto" w:fill="auto"/>
            <w:vAlign w:val="center"/>
          </w:tcPr>
          <w:p w14:paraId="18B8FF75"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3.079</w:t>
            </w:r>
          </w:p>
        </w:tc>
      </w:tr>
      <w:tr w:rsidR="00F542BB" w:rsidRPr="00F542BB" w14:paraId="01FF4B39" w14:textId="77777777" w:rsidTr="00C800B6">
        <w:trPr>
          <w:trHeight w:val="65"/>
          <w:jc w:val="center"/>
        </w:trPr>
        <w:tc>
          <w:tcPr>
            <w:tcW w:w="1818" w:type="pct"/>
            <w:gridSpan w:val="2"/>
          </w:tcPr>
          <w:p w14:paraId="348F2586" w14:textId="77777777" w:rsidR="00F542BB" w:rsidRPr="00F542BB" w:rsidRDefault="00F542BB" w:rsidP="00F542BB">
            <w:pPr>
              <w:keepNext/>
              <w:keepLines/>
              <w:tabs>
                <w:tab w:val="decimal" w:pos="1202"/>
              </w:tabs>
              <w:spacing w:after="0" w:line="120" w:lineRule="auto"/>
              <w:rPr>
                <w:rFonts w:ascii="Calibri" w:eastAsia="Times New Roman" w:hAnsi="Calibri" w:cs="Arial"/>
                <w:b/>
                <w:position w:val="4"/>
                <w:sz w:val="18"/>
                <w:szCs w:val="18"/>
              </w:rPr>
            </w:pPr>
          </w:p>
        </w:tc>
        <w:tc>
          <w:tcPr>
            <w:tcW w:w="795" w:type="pct"/>
            <w:gridSpan w:val="2"/>
            <w:tcBorders>
              <w:top w:val="single" w:sz="8" w:space="0" w:color="auto"/>
            </w:tcBorders>
            <w:vAlign w:val="bottom"/>
          </w:tcPr>
          <w:p w14:paraId="729F52EE" w14:textId="77777777" w:rsidR="00F542BB" w:rsidRPr="00F542BB" w:rsidRDefault="00F542BB" w:rsidP="00F542BB">
            <w:pPr>
              <w:keepNext/>
              <w:keepLines/>
              <w:tabs>
                <w:tab w:val="left" w:pos="215"/>
                <w:tab w:val="decimal" w:pos="1295"/>
              </w:tabs>
              <w:spacing w:after="0" w:line="120" w:lineRule="auto"/>
              <w:ind w:right="-148"/>
              <w:jc w:val="right"/>
              <w:rPr>
                <w:rFonts w:ascii="Calibri" w:eastAsia="Times New Roman" w:hAnsi="Calibri" w:cs="Arial"/>
                <w:b/>
                <w:snapToGrid w:val="0"/>
                <w:position w:val="4"/>
                <w:sz w:val="18"/>
                <w:szCs w:val="18"/>
              </w:rPr>
            </w:pPr>
          </w:p>
        </w:tc>
        <w:tc>
          <w:tcPr>
            <w:tcW w:w="796" w:type="pct"/>
            <w:gridSpan w:val="2"/>
            <w:tcBorders>
              <w:top w:val="single" w:sz="8" w:space="0" w:color="auto"/>
            </w:tcBorders>
            <w:vAlign w:val="bottom"/>
          </w:tcPr>
          <w:p w14:paraId="653D58B7" w14:textId="77777777" w:rsidR="00F542BB" w:rsidRPr="00F542BB" w:rsidRDefault="00F542BB" w:rsidP="00F542BB">
            <w:pPr>
              <w:keepNext/>
              <w:keepLines/>
              <w:tabs>
                <w:tab w:val="left" w:pos="215"/>
                <w:tab w:val="decimal" w:pos="1295"/>
              </w:tabs>
              <w:spacing w:after="0" w:line="120" w:lineRule="auto"/>
              <w:ind w:right="-148"/>
              <w:jc w:val="right"/>
              <w:rPr>
                <w:rFonts w:ascii="Calibri" w:eastAsia="Times New Roman" w:hAnsi="Calibri" w:cs="Arial"/>
                <w:b/>
                <w:snapToGrid w:val="0"/>
                <w:position w:val="4"/>
                <w:sz w:val="18"/>
                <w:szCs w:val="18"/>
              </w:rPr>
            </w:pPr>
          </w:p>
        </w:tc>
        <w:tc>
          <w:tcPr>
            <w:tcW w:w="796" w:type="pct"/>
            <w:gridSpan w:val="2"/>
            <w:tcBorders>
              <w:top w:val="single" w:sz="8" w:space="0" w:color="auto"/>
            </w:tcBorders>
            <w:vAlign w:val="bottom"/>
          </w:tcPr>
          <w:p w14:paraId="7D813FD1" w14:textId="77777777" w:rsidR="00F542BB" w:rsidRPr="00F542BB" w:rsidRDefault="00F542BB" w:rsidP="00F542BB">
            <w:pPr>
              <w:keepNext/>
              <w:keepLines/>
              <w:tabs>
                <w:tab w:val="left" w:pos="215"/>
                <w:tab w:val="decimal" w:pos="1295"/>
              </w:tabs>
              <w:spacing w:after="0" w:line="120" w:lineRule="auto"/>
              <w:ind w:right="-148"/>
              <w:jc w:val="right"/>
              <w:rPr>
                <w:rFonts w:ascii="Calibri" w:eastAsia="Times New Roman" w:hAnsi="Calibri" w:cs="Arial"/>
                <w:b/>
                <w:snapToGrid w:val="0"/>
                <w:position w:val="4"/>
                <w:sz w:val="18"/>
                <w:szCs w:val="18"/>
              </w:rPr>
            </w:pPr>
          </w:p>
        </w:tc>
        <w:tc>
          <w:tcPr>
            <w:tcW w:w="796" w:type="pct"/>
            <w:tcBorders>
              <w:top w:val="single" w:sz="8" w:space="0" w:color="auto"/>
            </w:tcBorders>
            <w:vAlign w:val="bottom"/>
          </w:tcPr>
          <w:p w14:paraId="627A1EDF" w14:textId="77777777" w:rsidR="00F542BB" w:rsidRPr="00F542BB" w:rsidRDefault="00F542BB" w:rsidP="00F542BB">
            <w:pPr>
              <w:keepNext/>
              <w:keepLines/>
              <w:tabs>
                <w:tab w:val="left" w:pos="215"/>
                <w:tab w:val="decimal" w:pos="1295"/>
              </w:tabs>
              <w:spacing w:after="0" w:line="120" w:lineRule="auto"/>
              <w:ind w:right="-148"/>
              <w:jc w:val="right"/>
              <w:rPr>
                <w:rFonts w:ascii="Calibri" w:eastAsia="Times New Roman" w:hAnsi="Calibri" w:cs="Arial"/>
                <w:b/>
                <w:snapToGrid w:val="0"/>
                <w:position w:val="4"/>
                <w:sz w:val="18"/>
                <w:szCs w:val="18"/>
              </w:rPr>
            </w:pPr>
          </w:p>
        </w:tc>
      </w:tr>
      <w:tr w:rsidR="00F542BB" w:rsidRPr="00F542BB" w14:paraId="5359C882" w14:textId="77777777" w:rsidTr="00C800B6">
        <w:trPr>
          <w:trHeight w:val="362"/>
          <w:jc w:val="center"/>
        </w:trPr>
        <w:tc>
          <w:tcPr>
            <w:tcW w:w="1818" w:type="pct"/>
            <w:gridSpan w:val="2"/>
          </w:tcPr>
          <w:p w14:paraId="39F58700" w14:textId="77777777" w:rsidR="00F542BB" w:rsidRPr="00F542BB" w:rsidRDefault="00F542BB" w:rsidP="00F542BB">
            <w:pPr>
              <w:tabs>
                <w:tab w:val="right" w:pos="1202"/>
              </w:tabs>
              <w:spacing w:after="0" w:line="340" w:lineRule="exact"/>
              <w:outlineLvl w:val="0"/>
              <w:rPr>
                <w:rFonts w:ascii="Calibri" w:eastAsia="Times New Roman" w:hAnsi="Calibri" w:cs="Arial"/>
                <w:b/>
                <w:bCs/>
                <w:sz w:val="18"/>
                <w:szCs w:val="18"/>
              </w:rPr>
            </w:pPr>
            <w:r w:rsidRPr="00F542BB">
              <w:rPr>
                <w:rFonts w:ascii="Calibri" w:eastAsia="Times New Roman" w:hAnsi="Calibri" w:cs="Arial"/>
                <w:b/>
                <w:bCs/>
                <w:sz w:val="18"/>
                <w:szCs w:val="18"/>
              </w:rPr>
              <w:t>Ukupno</w:t>
            </w:r>
          </w:p>
        </w:tc>
        <w:tc>
          <w:tcPr>
            <w:tcW w:w="795" w:type="pct"/>
            <w:gridSpan w:val="2"/>
            <w:tcBorders>
              <w:top w:val="nil"/>
              <w:left w:val="nil"/>
              <w:bottom w:val="single" w:sz="12" w:space="0" w:color="auto"/>
              <w:right w:val="nil"/>
            </w:tcBorders>
            <w:shd w:val="clear" w:color="auto" w:fill="auto"/>
            <w:vAlign w:val="center"/>
          </w:tcPr>
          <w:p w14:paraId="1B48D4CF" w14:textId="77777777" w:rsidR="00F542BB" w:rsidRPr="00F542BB" w:rsidRDefault="00F542BB" w:rsidP="00F542BB">
            <w:pPr>
              <w:spacing w:after="0" w:line="240" w:lineRule="auto"/>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25.332.452</w:t>
            </w:r>
          </w:p>
        </w:tc>
        <w:tc>
          <w:tcPr>
            <w:tcW w:w="796" w:type="pct"/>
            <w:gridSpan w:val="2"/>
            <w:tcBorders>
              <w:top w:val="nil"/>
              <w:left w:val="nil"/>
              <w:bottom w:val="single" w:sz="12" w:space="0" w:color="auto"/>
              <w:right w:val="nil"/>
            </w:tcBorders>
            <w:shd w:val="clear" w:color="auto" w:fill="auto"/>
            <w:vAlign w:val="center"/>
          </w:tcPr>
          <w:p w14:paraId="5418D075" w14:textId="77777777" w:rsidR="00F542BB" w:rsidRPr="00F542BB" w:rsidRDefault="00F542BB" w:rsidP="00F542BB">
            <w:pPr>
              <w:spacing w:after="0" w:line="240" w:lineRule="auto"/>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379.237</w:t>
            </w:r>
          </w:p>
        </w:tc>
        <w:tc>
          <w:tcPr>
            <w:tcW w:w="796" w:type="pct"/>
            <w:gridSpan w:val="2"/>
            <w:tcBorders>
              <w:top w:val="nil"/>
              <w:left w:val="nil"/>
              <w:bottom w:val="single" w:sz="12" w:space="0" w:color="auto"/>
              <w:right w:val="nil"/>
            </w:tcBorders>
            <w:shd w:val="clear" w:color="auto" w:fill="auto"/>
            <w:vAlign w:val="center"/>
          </w:tcPr>
          <w:p w14:paraId="5701E860" w14:textId="77777777" w:rsidR="00F542BB" w:rsidRPr="00F542BB" w:rsidRDefault="00F542BB" w:rsidP="00F542BB">
            <w:pPr>
              <w:spacing w:after="0" w:line="240" w:lineRule="auto"/>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1.512.887</w:t>
            </w:r>
          </w:p>
        </w:tc>
        <w:tc>
          <w:tcPr>
            <w:tcW w:w="796" w:type="pct"/>
            <w:tcBorders>
              <w:top w:val="nil"/>
              <w:left w:val="nil"/>
              <w:bottom w:val="single" w:sz="12" w:space="0" w:color="auto"/>
              <w:right w:val="nil"/>
            </w:tcBorders>
            <w:shd w:val="clear" w:color="auto" w:fill="auto"/>
            <w:vAlign w:val="center"/>
          </w:tcPr>
          <w:p w14:paraId="7F3C9CD6" w14:textId="77777777" w:rsidR="00F542BB" w:rsidRPr="00F542BB" w:rsidRDefault="00F542BB" w:rsidP="00F542BB">
            <w:pPr>
              <w:spacing w:after="0" w:line="240" w:lineRule="auto"/>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27.224.576</w:t>
            </w:r>
          </w:p>
        </w:tc>
      </w:tr>
      <w:tr w:rsidR="00F542BB" w:rsidRPr="00F542BB" w14:paraId="0B130AA9" w14:textId="77777777" w:rsidTr="00C800B6">
        <w:trPr>
          <w:trHeight w:val="118"/>
          <w:jc w:val="center"/>
        </w:trPr>
        <w:tc>
          <w:tcPr>
            <w:tcW w:w="1818" w:type="pct"/>
            <w:gridSpan w:val="2"/>
          </w:tcPr>
          <w:p w14:paraId="366E0C5A" w14:textId="77777777" w:rsidR="00F542BB" w:rsidRPr="00F542BB" w:rsidRDefault="00F542BB" w:rsidP="00F542BB">
            <w:pPr>
              <w:keepNext/>
              <w:keepLines/>
              <w:tabs>
                <w:tab w:val="decimal" w:pos="1202"/>
              </w:tabs>
              <w:spacing w:after="0" w:line="100" w:lineRule="exact"/>
              <w:rPr>
                <w:rFonts w:ascii="Calibri" w:eastAsia="Times New Roman" w:hAnsi="Calibri" w:cs="Arial"/>
                <w:b/>
                <w:position w:val="4"/>
                <w:sz w:val="18"/>
                <w:szCs w:val="18"/>
                <w:u w:val="thick"/>
              </w:rPr>
            </w:pPr>
          </w:p>
        </w:tc>
        <w:tc>
          <w:tcPr>
            <w:tcW w:w="795" w:type="pct"/>
            <w:gridSpan w:val="2"/>
            <w:tcBorders>
              <w:top w:val="single" w:sz="12" w:space="0" w:color="auto"/>
            </w:tcBorders>
            <w:vAlign w:val="bottom"/>
          </w:tcPr>
          <w:p w14:paraId="36DCAC77" w14:textId="77777777" w:rsidR="00F542BB" w:rsidRPr="00F542BB" w:rsidRDefault="00F542BB" w:rsidP="00F542BB">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796" w:type="pct"/>
            <w:gridSpan w:val="2"/>
            <w:tcBorders>
              <w:top w:val="single" w:sz="12" w:space="0" w:color="auto"/>
            </w:tcBorders>
            <w:vAlign w:val="bottom"/>
          </w:tcPr>
          <w:p w14:paraId="4AD12DEB" w14:textId="77777777" w:rsidR="00F542BB" w:rsidRPr="00F542BB" w:rsidRDefault="00F542BB" w:rsidP="00F542BB">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796" w:type="pct"/>
            <w:gridSpan w:val="2"/>
            <w:tcBorders>
              <w:top w:val="single" w:sz="12" w:space="0" w:color="auto"/>
            </w:tcBorders>
            <w:vAlign w:val="bottom"/>
          </w:tcPr>
          <w:p w14:paraId="55DB5E4C" w14:textId="77777777" w:rsidR="00F542BB" w:rsidRPr="00F542BB" w:rsidRDefault="00F542BB" w:rsidP="00F542BB">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796" w:type="pct"/>
            <w:tcBorders>
              <w:top w:val="single" w:sz="12" w:space="0" w:color="auto"/>
            </w:tcBorders>
            <w:vAlign w:val="bottom"/>
          </w:tcPr>
          <w:p w14:paraId="5BBD5FDA" w14:textId="77777777" w:rsidR="00F542BB" w:rsidRPr="00F542BB" w:rsidRDefault="00F542BB" w:rsidP="00F542BB">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r>
      <w:tr w:rsidR="00F542BB" w:rsidRPr="00F542BB" w14:paraId="63B96687" w14:textId="77777777" w:rsidTr="00C800B6">
        <w:trPr>
          <w:trHeight w:val="325"/>
          <w:jc w:val="center"/>
        </w:trPr>
        <w:tc>
          <w:tcPr>
            <w:tcW w:w="1818" w:type="pct"/>
            <w:gridSpan w:val="2"/>
          </w:tcPr>
          <w:p w14:paraId="748CAE69" w14:textId="77777777" w:rsidR="00F542BB" w:rsidRPr="00F542BB" w:rsidRDefault="00F542BB" w:rsidP="00F542BB">
            <w:pPr>
              <w:tabs>
                <w:tab w:val="right" w:pos="1202"/>
              </w:tabs>
              <w:spacing w:after="0" w:line="301" w:lineRule="exact"/>
              <w:outlineLvl w:val="0"/>
              <w:rPr>
                <w:rFonts w:ascii="Calibri" w:eastAsia="Times New Roman" w:hAnsi="Calibri" w:cs="Arial"/>
                <w:b/>
                <w:bCs/>
                <w:sz w:val="18"/>
                <w:szCs w:val="18"/>
              </w:rPr>
            </w:pPr>
            <w:r w:rsidRPr="00F542BB">
              <w:rPr>
                <w:rFonts w:ascii="Calibri" w:eastAsia="Times New Roman" w:hAnsi="Calibri" w:cs="Arial"/>
                <w:b/>
                <w:bCs/>
                <w:sz w:val="18"/>
                <w:szCs w:val="18"/>
              </w:rPr>
              <w:t>Garancije i preuzete obveze</w:t>
            </w:r>
          </w:p>
        </w:tc>
        <w:tc>
          <w:tcPr>
            <w:tcW w:w="795" w:type="pct"/>
            <w:gridSpan w:val="2"/>
            <w:vAlign w:val="bottom"/>
          </w:tcPr>
          <w:p w14:paraId="540BFB1D" w14:textId="77777777" w:rsidR="00F542BB" w:rsidRPr="00F542BB" w:rsidRDefault="00F542BB" w:rsidP="00F542BB">
            <w:pPr>
              <w:tabs>
                <w:tab w:val="right" w:pos="1202"/>
              </w:tabs>
              <w:spacing w:after="0" w:line="301" w:lineRule="exact"/>
              <w:jc w:val="right"/>
              <w:outlineLvl w:val="0"/>
              <w:rPr>
                <w:rFonts w:ascii="Calibri" w:eastAsia="Times New Roman" w:hAnsi="Calibri" w:cs="Arial"/>
                <w:b/>
                <w:bCs/>
                <w:sz w:val="18"/>
                <w:szCs w:val="18"/>
              </w:rPr>
            </w:pPr>
          </w:p>
        </w:tc>
        <w:tc>
          <w:tcPr>
            <w:tcW w:w="796" w:type="pct"/>
            <w:gridSpan w:val="2"/>
            <w:vAlign w:val="bottom"/>
          </w:tcPr>
          <w:p w14:paraId="6AAD62DF" w14:textId="77777777" w:rsidR="00F542BB" w:rsidRPr="00F542BB" w:rsidRDefault="00F542BB" w:rsidP="00F542BB">
            <w:pPr>
              <w:tabs>
                <w:tab w:val="right" w:pos="1202"/>
              </w:tabs>
              <w:spacing w:after="0" w:line="301" w:lineRule="exact"/>
              <w:jc w:val="right"/>
              <w:outlineLvl w:val="0"/>
              <w:rPr>
                <w:rFonts w:ascii="Calibri" w:eastAsia="Times New Roman" w:hAnsi="Calibri" w:cs="Arial"/>
                <w:b/>
                <w:bCs/>
                <w:sz w:val="18"/>
                <w:szCs w:val="18"/>
              </w:rPr>
            </w:pPr>
          </w:p>
        </w:tc>
        <w:tc>
          <w:tcPr>
            <w:tcW w:w="796" w:type="pct"/>
            <w:gridSpan w:val="2"/>
            <w:vAlign w:val="bottom"/>
          </w:tcPr>
          <w:p w14:paraId="18B6EEF7" w14:textId="77777777" w:rsidR="00F542BB" w:rsidRPr="00F542BB" w:rsidRDefault="00F542BB" w:rsidP="00F542BB">
            <w:pPr>
              <w:tabs>
                <w:tab w:val="right" w:pos="1202"/>
              </w:tabs>
              <w:spacing w:after="0" w:line="301" w:lineRule="exact"/>
              <w:jc w:val="right"/>
              <w:outlineLvl w:val="0"/>
              <w:rPr>
                <w:rFonts w:ascii="Calibri" w:eastAsia="Times New Roman" w:hAnsi="Calibri" w:cs="Arial"/>
                <w:b/>
                <w:bCs/>
                <w:sz w:val="18"/>
                <w:szCs w:val="18"/>
              </w:rPr>
            </w:pPr>
          </w:p>
        </w:tc>
        <w:tc>
          <w:tcPr>
            <w:tcW w:w="796" w:type="pct"/>
            <w:vAlign w:val="bottom"/>
          </w:tcPr>
          <w:p w14:paraId="3CFA2710" w14:textId="77777777" w:rsidR="00F542BB" w:rsidRPr="00F542BB" w:rsidRDefault="00F542BB" w:rsidP="00F542BB">
            <w:pPr>
              <w:tabs>
                <w:tab w:val="right" w:pos="1202"/>
              </w:tabs>
              <w:spacing w:after="0" w:line="301" w:lineRule="exact"/>
              <w:jc w:val="right"/>
              <w:outlineLvl w:val="0"/>
              <w:rPr>
                <w:rFonts w:ascii="Calibri" w:eastAsia="Times New Roman" w:hAnsi="Calibri" w:cs="Arial"/>
                <w:b/>
                <w:bCs/>
                <w:sz w:val="18"/>
                <w:szCs w:val="18"/>
              </w:rPr>
            </w:pPr>
          </w:p>
        </w:tc>
      </w:tr>
      <w:tr w:rsidR="00F542BB" w:rsidRPr="00F542BB" w14:paraId="1AE3DA10" w14:textId="77777777" w:rsidTr="00C800B6">
        <w:trPr>
          <w:trHeight w:val="183"/>
          <w:jc w:val="center"/>
        </w:trPr>
        <w:tc>
          <w:tcPr>
            <w:tcW w:w="1818" w:type="pct"/>
            <w:gridSpan w:val="2"/>
          </w:tcPr>
          <w:p w14:paraId="5A9F4174" w14:textId="77777777" w:rsidR="00F542BB" w:rsidRPr="00F542BB" w:rsidRDefault="00F542BB" w:rsidP="00F542BB">
            <w:pPr>
              <w:tabs>
                <w:tab w:val="right" w:pos="1202"/>
              </w:tabs>
              <w:spacing w:after="0" w:line="301" w:lineRule="exact"/>
              <w:outlineLvl w:val="0"/>
              <w:rPr>
                <w:rFonts w:ascii="Calibri" w:eastAsia="Times New Roman" w:hAnsi="Calibri" w:cs="Arial"/>
                <w:sz w:val="18"/>
                <w:szCs w:val="18"/>
              </w:rPr>
            </w:pPr>
            <w:r w:rsidRPr="00F542BB">
              <w:rPr>
                <w:rFonts w:ascii="Calibri" w:eastAsia="Times New Roman" w:hAnsi="Calibri" w:cs="Arial"/>
                <w:sz w:val="18"/>
                <w:szCs w:val="18"/>
              </w:rPr>
              <w:t>Izdane garancije u kunama</w:t>
            </w:r>
          </w:p>
        </w:tc>
        <w:tc>
          <w:tcPr>
            <w:tcW w:w="795" w:type="pct"/>
            <w:gridSpan w:val="2"/>
            <w:tcBorders>
              <w:top w:val="nil"/>
              <w:left w:val="nil"/>
              <w:bottom w:val="nil"/>
              <w:right w:val="nil"/>
            </w:tcBorders>
            <w:shd w:val="clear" w:color="auto" w:fill="auto"/>
            <w:vAlign w:val="bottom"/>
          </w:tcPr>
          <w:p w14:paraId="2A9ED503"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32.082</w:t>
            </w:r>
          </w:p>
        </w:tc>
        <w:tc>
          <w:tcPr>
            <w:tcW w:w="796" w:type="pct"/>
            <w:gridSpan w:val="2"/>
            <w:tcBorders>
              <w:top w:val="nil"/>
              <w:left w:val="nil"/>
              <w:bottom w:val="nil"/>
              <w:right w:val="nil"/>
            </w:tcBorders>
            <w:shd w:val="clear" w:color="auto" w:fill="auto"/>
            <w:vAlign w:val="bottom"/>
          </w:tcPr>
          <w:p w14:paraId="2A5E8DB6"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gridSpan w:val="2"/>
            <w:tcBorders>
              <w:top w:val="nil"/>
              <w:left w:val="nil"/>
              <w:bottom w:val="nil"/>
              <w:right w:val="nil"/>
            </w:tcBorders>
            <w:shd w:val="clear" w:color="auto" w:fill="auto"/>
            <w:vAlign w:val="bottom"/>
          </w:tcPr>
          <w:p w14:paraId="086F4CBF"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tcBorders>
              <w:top w:val="nil"/>
              <w:left w:val="nil"/>
              <w:bottom w:val="nil"/>
              <w:right w:val="nil"/>
            </w:tcBorders>
            <w:shd w:val="clear" w:color="auto" w:fill="auto"/>
            <w:vAlign w:val="bottom"/>
          </w:tcPr>
          <w:p w14:paraId="30DFF5C2"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32.082</w:t>
            </w:r>
          </w:p>
        </w:tc>
      </w:tr>
      <w:tr w:rsidR="00F542BB" w:rsidRPr="00F542BB" w14:paraId="44271D76" w14:textId="77777777" w:rsidTr="00C800B6">
        <w:trPr>
          <w:trHeight w:val="301"/>
          <w:jc w:val="center"/>
        </w:trPr>
        <w:tc>
          <w:tcPr>
            <w:tcW w:w="1818" w:type="pct"/>
            <w:gridSpan w:val="2"/>
          </w:tcPr>
          <w:p w14:paraId="32314F56" w14:textId="77777777" w:rsidR="00F542BB" w:rsidRPr="00F542BB" w:rsidRDefault="00F542BB" w:rsidP="00F542BB">
            <w:pPr>
              <w:tabs>
                <w:tab w:val="right" w:pos="1202"/>
              </w:tabs>
              <w:spacing w:after="0" w:line="301" w:lineRule="exact"/>
              <w:outlineLvl w:val="0"/>
              <w:rPr>
                <w:rFonts w:ascii="Calibri" w:eastAsia="Times New Roman" w:hAnsi="Calibri" w:cs="Arial"/>
                <w:sz w:val="18"/>
                <w:szCs w:val="18"/>
              </w:rPr>
            </w:pPr>
            <w:r w:rsidRPr="00F542BB">
              <w:rPr>
                <w:rFonts w:ascii="Calibri" w:eastAsia="Times New Roman" w:hAnsi="Calibri" w:cs="Arial"/>
                <w:sz w:val="18"/>
                <w:szCs w:val="18"/>
              </w:rPr>
              <w:t>Izdane garancije u devizama</w:t>
            </w:r>
          </w:p>
        </w:tc>
        <w:tc>
          <w:tcPr>
            <w:tcW w:w="795" w:type="pct"/>
            <w:gridSpan w:val="2"/>
            <w:tcBorders>
              <w:top w:val="nil"/>
              <w:left w:val="nil"/>
              <w:bottom w:val="nil"/>
              <w:right w:val="nil"/>
            </w:tcBorders>
            <w:shd w:val="clear" w:color="auto" w:fill="auto"/>
            <w:vAlign w:val="bottom"/>
          </w:tcPr>
          <w:p w14:paraId="28BD6093"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1.964.149</w:t>
            </w:r>
          </w:p>
        </w:tc>
        <w:tc>
          <w:tcPr>
            <w:tcW w:w="796" w:type="pct"/>
            <w:gridSpan w:val="2"/>
            <w:tcBorders>
              <w:top w:val="nil"/>
              <w:left w:val="nil"/>
              <w:bottom w:val="nil"/>
              <w:right w:val="nil"/>
            </w:tcBorders>
            <w:shd w:val="clear" w:color="auto" w:fill="auto"/>
            <w:vAlign w:val="bottom"/>
          </w:tcPr>
          <w:p w14:paraId="042EA213"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gridSpan w:val="2"/>
            <w:tcBorders>
              <w:top w:val="nil"/>
              <w:left w:val="nil"/>
              <w:bottom w:val="nil"/>
              <w:right w:val="nil"/>
            </w:tcBorders>
            <w:shd w:val="clear" w:color="auto" w:fill="auto"/>
            <w:vAlign w:val="bottom"/>
          </w:tcPr>
          <w:p w14:paraId="0C0C6F00"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18.820</w:t>
            </w:r>
          </w:p>
        </w:tc>
        <w:tc>
          <w:tcPr>
            <w:tcW w:w="796" w:type="pct"/>
            <w:tcBorders>
              <w:top w:val="nil"/>
              <w:left w:val="nil"/>
              <w:bottom w:val="nil"/>
              <w:right w:val="nil"/>
            </w:tcBorders>
            <w:shd w:val="clear" w:color="auto" w:fill="auto"/>
            <w:vAlign w:val="bottom"/>
          </w:tcPr>
          <w:p w14:paraId="540AFA09"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1.982.969</w:t>
            </w:r>
          </w:p>
        </w:tc>
      </w:tr>
      <w:tr w:rsidR="00F542BB" w:rsidRPr="00F542BB" w14:paraId="441FB27A" w14:textId="77777777" w:rsidTr="00C800B6">
        <w:trPr>
          <w:trHeight w:val="291"/>
          <w:jc w:val="center"/>
        </w:trPr>
        <w:tc>
          <w:tcPr>
            <w:tcW w:w="1818" w:type="pct"/>
            <w:gridSpan w:val="2"/>
          </w:tcPr>
          <w:p w14:paraId="2BA20AD0" w14:textId="77777777" w:rsidR="00F542BB" w:rsidRPr="00F542BB" w:rsidRDefault="00F542BB" w:rsidP="00F542BB">
            <w:pPr>
              <w:tabs>
                <w:tab w:val="right" w:pos="1202"/>
              </w:tabs>
              <w:spacing w:after="0" w:line="301" w:lineRule="exact"/>
              <w:outlineLvl w:val="0"/>
              <w:rPr>
                <w:rFonts w:ascii="Calibri" w:eastAsia="Times New Roman" w:hAnsi="Calibri" w:cs="Arial"/>
                <w:sz w:val="18"/>
                <w:szCs w:val="18"/>
              </w:rPr>
            </w:pPr>
            <w:r w:rsidRPr="00F542BB">
              <w:rPr>
                <w:rFonts w:ascii="Calibri" w:eastAsia="Times New Roman" w:hAnsi="Calibri" w:cs="Arial"/>
                <w:sz w:val="18"/>
                <w:szCs w:val="18"/>
              </w:rPr>
              <w:t>Preuzete obveze po kreditima</w:t>
            </w:r>
          </w:p>
        </w:tc>
        <w:tc>
          <w:tcPr>
            <w:tcW w:w="795" w:type="pct"/>
            <w:gridSpan w:val="2"/>
            <w:tcBorders>
              <w:top w:val="nil"/>
              <w:left w:val="nil"/>
              <w:right w:val="nil"/>
            </w:tcBorders>
            <w:shd w:val="clear" w:color="auto" w:fill="auto"/>
            <w:vAlign w:val="bottom"/>
          </w:tcPr>
          <w:p w14:paraId="0285AA54"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3.911.236</w:t>
            </w:r>
          </w:p>
        </w:tc>
        <w:tc>
          <w:tcPr>
            <w:tcW w:w="796" w:type="pct"/>
            <w:gridSpan w:val="2"/>
            <w:tcBorders>
              <w:top w:val="nil"/>
              <w:left w:val="nil"/>
              <w:right w:val="nil"/>
            </w:tcBorders>
            <w:shd w:val="clear" w:color="auto" w:fill="auto"/>
            <w:vAlign w:val="bottom"/>
          </w:tcPr>
          <w:p w14:paraId="5CE4070B"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gridSpan w:val="2"/>
            <w:tcBorders>
              <w:top w:val="nil"/>
              <w:left w:val="nil"/>
              <w:right w:val="nil"/>
            </w:tcBorders>
            <w:shd w:val="clear" w:color="auto" w:fill="auto"/>
            <w:vAlign w:val="bottom"/>
          </w:tcPr>
          <w:p w14:paraId="32EF297C"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16.941</w:t>
            </w:r>
          </w:p>
        </w:tc>
        <w:tc>
          <w:tcPr>
            <w:tcW w:w="796" w:type="pct"/>
            <w:tcBorders>
              <w:top w:val="nil"/>
              <w:left w:val="nil"/>
              <w:right w:val="nil"/>
            </w:tcBorders>
            <w:shd w:val="clear" w:color="auto" w:fill="auto"/>
            <w:vAlign w:val="bottom"/>
          </w:tcPr>
          <w:p w14:paraId="1C174786"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3.928.177</w:t>
            </w:r>
          </w:p>
        </w:tc>
      </w:tr>
      <w:tr w:rsidR="00F542BB" w:rsidRPr="00F542BB" w14:paraId="4622A7B7" w14:textId="77777777" w:rsidTr="00C800B6">
        <w:trPr>
          <w:trHeight w:val="550"/>
          <w:jc w:val="center"/>
        </w:trPr>
        <w:tc>
          <w:tcPr>
            <w:tcW w:w="1818" w:type="pct"/>
            <w:gridSpan w:val="2"/>
          </w:tcPr>
          <w:p w14:paraId="0F0EC126" w14:textId="77777777" w:rsidR="00F542BB" w:rsidRPr="00F542BB" w:rsidRDefault="00F542BB" w:rsidP="00F542BB">
            <w:pPr>
              <w:tabs>
                <w:tab w:val="right" w:pos="1202"/>
              </w:tabs>
              <w:spacing w:after="0" w:line="301" w:lineRule="exact"/>
              <w:outlineLvl w:val="0"/>
              <w:rPr>
                <w:rFonts w:ascii="Calibri" w:eastAsia="Times New Roman" w:hAnsi="Calibri" w:cs="Arial"/>
                <w:sz w:val="18"/>
                <w:szCs w:val="18"/>
              </w:rPr>
            </w:pPr>
            <w:r w:rsidRPr="00F542BB">
              <w:rPr>
                <w:rFonts w:ascii="Calibri" w:eastAsia="Times New Roman" w:hAnsi="Calibri" w:cs="Arial"/>
                <w:sz w:val="18"/>
                <w:szCs w:val="18"/>
              </w:rPr>
              <w:t>Ostale nespomenute neopozive potencijalne obveze</w:t>
            </w:r>
          </w:p>
        </w:tc>
        <w:tc>
          <w:tcPr>
            <w:tcW w:w="795" w:type="pct"/>
            <w:gridSpan w:val="2"/>
            <w:tcBorders>
              <w:top w:val="nil"/>
              <w:left w:val="nil"/>
              <w:right w:val="nil"/>
            </w:tcBorders>
            <w:shd w:val="clear" w:color="auto" w:fill="auto"/>
            <w:vAlign w:val="bottom"/>
          </w:tcPr>
          <w:p w14:paraId="44148594"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335</w:t>
            </w:r>
          </w:p>
        </w:tc>
        <w:tc>
          <w:tcPr>
            <w:tcW w:w="796" w:type="pct"/>
            <w:gridSpan w:val="2"/>
            <w:tcBorders>
              <w:top w:val="nil"/>
              <w:left w:val="nil"/>
              <w:right w:val="nil"/>
            </w:tcBorders>
            <w:shd w:val="clear" w:color="auto" w:fill="auto"/>
            <w:vAlign w:val="bottom"/>
          </w:tcPr>
          <w:p w14:paraId="62555023"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gridSpan w:val="2"/>
            <w:tcBorders>
              <w:top w:val="nil"/>
              <w:left w:val="nil"/>
              <w:right w:val="nil"/>
            </w:tcBorders>
            <w:shd w:val="clear" w:color="auto" w:fill="auto"/>
            <w:vAlign w:val="bottom"/>
          </w:tcPr>
          <w:p w14:paraId="7DF03297"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w:t>
            </w:r>
          </w:p>
        </w:tc>
        <w:tc>
          <w:tcPr>
            <w:tcW w:w="796" w:type="pct"/>
            <w:tcBorders>
              <w:top w:val="nil"/>
              <w:left w:val="nil"/>
              <w:right w:val="nil"/>
            </w:tcBorders>
            <w:shd w:val="clear" w:color="auto" w:fill="auto"/>
            <w:vAlign w:val="bottom"/>
          </w:tcPr>
          <w:p w14:paraId="02D1CFEF" w14:textId="77777777" w:rsidR="00F542BB" w:rsidRPr="00F542BB" w:rsidRDefault="00F542BB" w:rsidP="00F542BB">
            <w:pPr>
              <w:spacing w:after="0" w:line="240" w:lineRule="auto"/>
              <w:jc w:val="right"/>
              <w:rPr>
                <w:rFonts w:ascii="Calibri" w:eastAsia="Times New Roman" w:hAnsi="Calibri" w:cs="Arial"/>
                <w:sz w:val="18"/>
                <w:szCs w:val="18"/>
                <w:lang w:val="en-US"/>
              </w:rPr>
            </w:pPr>
            <w:r w:rsidRPr="00F542BB">
              <w:rPr>
                <w:rFonts w:ascii="Calibri" w:eastAsia="Times New Roman" w:hAnsi="Calibri" w:cs="Arial"/>
                <w:sz w:val="18"/>
                <w:szCs w:val="18"/>
                <w:lang w:val="en-US"/>
              </w:rPr>
              <w:t>335</w:t>
            </w:r>
          </w:p>
        </w:tc>
      </w:tr>
      <w:tr w:rsidR="00F542BB" w:rsidRPr="00F542BB" w14:paraId="432CA4FF" w14:textId="77777777" w:rsidTr="00C800B6">
        <w:trPr>
          <w:trHeight w:val="118"/>
          <w:jc w:val="center"/>
        </w:trPr>
        <w:tc>
          <w:tcPr>
            <w:tcW w:w="1818" w:type="pct"/>
            <w:gridSpan w:val="2"/>
          </w:tcPr>
          <w:p w14:paraId="3A88F18C" w14:textId="77777777" w:rsidR="00F542BB" w:rsidRPr="00F542BB" w:rsidRDefault="00F542BB" w:rsidP="00F542BB">
            <w:pPr>
              <w:keepNext/>
              <w:keepLines/>
              <w:tabs>
                <w:tab w:val="decimal" w:pos="1202"/>
              </w:tabs>
              <w:spacing w:after="0" w:line="100" w:lineRule="exact"/>
              <w:rPr>
                <w:rFonts w:ascii="Calibri" w:eastAsia="Times New Roman" w:hAnsi="Calibri" w:cs="Arial"/>
                <w:b/>
                <w:position w:val="4"/>
                <w:sz w:val="18"/>
                <w:szCs w:val="18"/>
              </w:rPr>
            </w:pPr>
          </w:p>
        </w:tc>
        <w:tc>
          <w:tcPr>
            <w:tcW w:w="795" w:type="pct"/>
            <w:gridSpan w:val="2"/>
            <w:tcBorders>
              <w:bottom w:val="single" w:sz="4" w:space="0" w:color="auto"/>
            </w:tcBorders>
            <w:vAlign w:val="bottom"/>
          </w:tcPr>
          <w:p w14:paraId="32A75F14" w14:textId="77777777" w:rsidR="00F542BB" w:rsidRPr="00F542BB" w:rsidRDefault="00F542BB" w:rsidP="00F542BB">
            <w:pPr>
              <w:keepNext/>
              <w:keepLines/>
              <w:tabs>
                <w:tab w:val="left" w:pos="215"/>
                <w:tab w:val="decimal" w:pos="1295"/>
              </w:tabs>
              <w:spacing w:after="0" w:line="100" w:lineRule="exact"/>
              <w:ind w:right="-148"/>
              <w:jc w:val="right"/>
              <w:rPr>
                <w:rFonts w:ascii="Calibri" w:eastAsia="Times New Roman" w:hAnsi="Calibri" w:cs="Arial"/>
                <w:b/>
                <w:snapToGrid w:val="0"/>
                <w:position w:val="4"/>
                <w:sz w:val="18"/>
                <w:szCs w:val="18"/>
              </w:rPr>
            </w:pPr>
          </w:p>
        </w:tc>
        <w:tc>
          <w:tcPr>
            <w:tcW w:w="796" w:type="pct"/>
            <w:gridSpan w:val="2"/>
            <w:tcBorders>
              <w:bottom w:val="single" w:sz="4" w:space="0" w:color="auto"/>
            </w:tcBorders>
            <w:vAlign w:val="bottom"/>
          </w:tcPr>
          <w:p w14:paraId="59F74639" w14:textId="77777777" w:rsidR="00F542BB" w:rsidRPr="00F542BB" w:rsidRDefault="00F542BB" w:rsidP="00F542BB">
            <w:pPr>
              <w:keepNext/>
              <w:keepLines/>
              <w:tabs>
                <w:tab w:val="left" w:pos="215"/>
                <w:tab w:val="decimal" w:pos="1295"/>
              </w:tabs>
              <w:spacing w:after="0" w:line="100" w:lineRule="exact"/>
              <w:ind w:right="-148"/>
              <w:jc w:val="right"/>
              <w:rPr>
                <w:rFonts w:ascii="Calibri" w:eastAsia="Times New Roman" w:hAnsi="Calibri" w:cs="Arial"/>
                <w:b/>
                <w:snapToGrid w:val="0"/>
                <w:position w:val="4"/>
                <w:sz w:val="18"/>
                <w:szCs w:val="18"/>
              </w:rPr>
            </w:pPr>
          </w:p>
        </w:tc>
        <w:tc>
          <w:tcPr>
            <w:tcW w:w="796" w:type="pct"/>
            <w:gridSpan w:val="2"/>
            <w:tcBorders>
              <w:bottom w:val="single" w:sz="4" w:space="0" w:color="auto"/>
            </w:tcBorders>
            <w:vAlign w:val="bottom"/>
          </w:tcPr>
          <w:p w14:paraId="7E4DEF3D" w14:textId="77777777" w:rsidR="00F542BB" w:rsidRPr="00F542BB" w:rsidRDefault="00F542BB" w:rsidP="00F542BB">
            <w:pPr>
              <w:keepNext/>
              <w:keepLines/>
              <w:tabs>
                <w:tab w:val="left" w:pos="215"/>
                <w:tab w:val="decimal" w:pos="1295"/>
              </w:tabs>
              <w:spacing w:after="0" w:line="100" w:lineRule="exact"/>
              <w:ind w:right="-148"/>
              <w:jc w:val="right"/>
              <w:rPr>
                <w:rFonts w:ascii="Calibri" w:eastAsia="Times New Roman" w:hAnsi="Calibri" w:cs="Arial"/>
                <w:b/>
                <w:snapToGrid w:val="0"/>
                <w:position w:val="4"/>
                <w:sz w:val="18"/>
                <w:szCs w:val="18"/>
              </w:rPr>
            </w:pPr>
          </w:p>
        </w:tc>
        <w:tc>
          <w:tcPr>
            <w:tcW w:w="796" w:type="pct"/>
            <w:tcBorders>
              <w:bottom w:val="single" w:sz="4" w:space="0" w:color="auto"/>
            </w:tcBorders>
            <w:vAlign w:val="bottom"/>
          </w:tcPr>
          <w:p w14:paraId="0EE00501" w14:textId="77777777" w:rsidR="00F542BB" w:rsidRPr="00F542BB" w:rsidRDefault="00F542BB" w:rsidP="00F542BB">
            <w:pPr>
              <w:keepNext/>
              <w:keepLines/>
              <w:tabs>
                <w:tab w:val="left" w:pos="215"/>
                <w:tab w:val="decimal" w:pos="1295"/>
              </w:tabs>
              <w:spacing w:after="0" w:line="100" w:lineRule="exact"/>
              <w:ind w:right="-148"/>
              <w:jc w:val="right"/>
              <w:rPr>
                <w:rFonts w:ascii="Calibri" w:eastAsia="Times New Roman" w:hAnsi="Calibri" w:cs="Arial"/>
                <w:b/>
                <w:snapToGrid w:val="0"/>
                <w:position w:val="4"/>
                <w:sz w:val="18"/>
                <w:szCs w:val="18"/>
              </w:rPr>
            </w:pPr>
          </w:p>
        </w:tc>
      </w:tr>
      <w:tr w:rsidR="00F542BB" w:rsidRPr="00F542BB" w14:paraId="1B61BB11" w14:textId="77777777" w:rsidTr="00C800B6">
        <w:trPr>
          <w:trHeight w:val="350"/>
          <w:jc w:val="center"/>
        </w:trPr>
        <w:tc>
          <w:tcPr>
            <w:tcW w:w="1818" w:type="pct"/>
            <w:gridSpan w:val="2"/>
          </w:tcPr>
          <w:p w14:paraId="22C295DE" w14:textId="77777777" w:rsidR="00F542BB" w:rsidRPr="00F542BB" w:rsidRDefault="00F542BB" w:rsidP="00F542BB">
            <w:pPr>
              <w:tabs>
                <w:tab w:val="right" w:pos="1202"/>
              </w:tabs>
              <w:spacing w:after="0" w:line="340" w:lineRule="exact"/>
              <w:outlineLvl w:val="0"/>
              <w:rPr>
                <w:rFonts w:ascii="Calibri" w:eastAsia="Times New Roman" w:hAnsi="Calibri" w:cs="Arial"/>
                <w:b/>
                <w:bCs/>
                <w:sz w:val="18"/>
                <w:szCs w:val="18"/>
              </w:rPr>
            </w:pPr>
            <w:r w:rsidRPr="00F542BB">
              <w:rPr>
                <w:rFonts w:ascii="Calibri" w:eastAsia="Times New Roman" w:hAnsi="Calibri" w:cs="Arial"/>
                <w:b/>
                <w:bCs/>
                <w:sz w:val="18"/>
                <w:szCs w:val="18"/>
              </w:rPr>
              <w:t>Ukupno</w:t>
            </w:r>
          </w:p>
        </w:tc>
        <w:tc>
          <w:tcPr>
            <w:tcW w:w="795" w:type="pct"/>
            <w:gridSpan w:val="2"/>
            <w:tcBorders>
              <w:top w:val="nil"/>
              <w:left w:val="nil"/>
              <w:bottom w:val="single" w:sz="12" w:space="0" w:color="auto"/>
              <w:right w:val="nil"/>
            </w:tcBorders>
            <w:shd w:val="clear" w:color="auto" w:fill="auto"/>
            <w:vAlign w:val="center"/>
          </w:tcPr>
          <w:p w14:paraId="1DFC2737" w14:textId="77777777" w:rsidR="00F542BB" w:rsidRPr="00F542BB" w:rsidRDefault="00F542BB" w:rsidP="00F542BB">
            <w:pPr>
              <w:spacing w:after="0" w:line="240" w:lineRule="auto"/>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5.907.802</w:t>
            </w:r>
          </w:p>
        </w:tc>
        <w:tc>
          <w:tcPr>
            <w:tcW w:w="796" w:type="pct"/>
            <w:gridSpan w:val="2"/>
            <w:tcBorders>
              <w:top w:val="nil"/>
              <w:left w:val="nil"/>
              <w:bottom w:val="single" w:sz="12" w:space="0" w:color="auto"/>
              <w:right w:val="nil"/>
            </w:tcBorders>
            <w:shd w:val="clear" w:color="auto" w:fill="auto"/>
            <w:vAlign w:val="center"/>
          </w:tcPr>
          <w:p w14:paraId="6D7919FB" w14:textId="77777777" w:rsidR="00F542BB" w:rsidRPr="00F542BB" w:rsidRDefault="00F542BB" w:rsidP="00F542BB">
            <w:pPr>
              <w:spacing w:after="0" w:line="240" w:lineRule="auto"/>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w:t>
            </w:r>
          </w:p>
        </w:tc>
        <w:tc>
          <w:tcPr>
            <w:tcW w:w="796" w:type="pct"/>
            <w:gridSpan w:val="2"/>
            <w:tcBorders>
              <w:top w:val="nil"/>
              <w:left w:val="nil"/>
              <w:bottom w:val="single" w:sz="12" w:space="0" w:color="auto"/>
              <w:right w:val="nil"/>
            </w:tcBorders>
            <w:shd w:val="clear" w:color="auto" w:fill="auto"/>
            <w:vAlign w:val="center"/>
          </w:tcPr>
          <w:p w14:paraId="59E6AA71" w14:textId="77777777" w:rsidR="00F542BB" w:rsidRPr="00F542BB" w:rsidRDefault="00F542BB" w:rsidP="00F542BB">
            <w:pPr>
              <w:spacing w:after="0" w:line="240" w:lineRule="auto"/>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35.761</w:t>
            </w:r>
          </w:p>
        </w:tc>
        <w:tc>
          <w:tcPr>
            <w:tcW w:w="796" w:type="pct"/>
            <w:tcBorders>
              <w:top w:val="nil"/>
              <w:left w:val="nil"/>
              <w:bottom w:val="single" w:sz="12" w:space="0" w:color="auto"/>
              <w:right w:val="nil"/>
            </w:tcBorders>
            <w:shd w:val="clear" w:color="auto" w:fill="auto"/>
            <w:vAlign w:val="center"/>
          </w:tcPr>
          <w:p w14:paraId="01259F6D" w14:textId="77777777" w:rsidR="00F542BB" w:rsidRPr="00F542BB" w:rsidRDefault="00F542BB" w:rsidP="00F542BB">
            <w:pPr>
              <w:spacing w:after="0" w:line="240" w:lineRule="auto"/>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5.943.563</w:t>
            </w:r>
          </w:p>
        </w:tc>
      </w:tr>
      <w:tr w:rsidR="00F542BB" w:rsidRPr="00F542BB" w14:paraId="05421ADF" w14:textId="77777777" w:rsidTr="00C800B6">
        <w:trPr>
          <w:trHeight w:val="148"/>
          <w:jc w:val="center"/>
        </w:trPr>
        <w:tc>
          <w:tcPr>
            <w:tcW w:w="1818" w:type="pct"/>
            <w:gridSpan w:val="2"/>
          </w:tcPr>
          <w:p w14:paraId="0F5243F0" w14:textId="77777777" w:rsidR="00F542BB" w:rsidRPr="00F542BB" w:rsidRDefault="00F542BB" w:rsidP="00F542BB">
            <w:pPr>
              <w:tabs>
                <w:tab w:val="right" w:pos="1202"/>
              </w:tabs>
              <w:spacing w:after="0" w:line="120" w:lineRule="auto"/>
              <w:outlineLvl w:val="0"/>
              <w:rPr>
                <w:rFonts w:ascii="Calibri" w:eastAsia="Times New Roman" w:hAnsi="Calibri" w:cs="Arial"/>
                <w:b/>
                <w:bCs/>
                <w:sz w:val="18"/>
                <w:szCs w:val="18"/>
              </w:rPr>
            </w:pPr>
          </w:p>
        </w:tc>
        <w:tc>
          <w:tcPr>
            <w:tcW w:w="795" w:type="pct"/>
            <w:gridSpan w:val="2"/>
            <w:tcBorders>
              <w:top w:val="single" w:sz="12" w:space="0" w:color="auto"/>
            </w:tcBorders>
            <w:vAlign w:val="bottom"/>
          </w:tcPr>
          <w:p w14:paraId="6204F51C" w14:textId="77777777" w:rsidR="00F542BB" w:rsidRPr="00F542BB" w:rsidRDefault="00F542BB" w:rsidP="00F542BB">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796" w:type="pct"/>
            <w:gridSpan w:val="2"/>
            <w:tcBorders>
              <w:top w:val="single" w:sz="12" w:space="0" w:color="auto"/>
            </w:tcBorders>
            <w:vAlign w:val="bottom"/>
          </w:tcPr>
          <w:p w14:paraId="733C2E17" w14:textId="77777777" w:rsidR="00F542BB" w:rsidRPr="00F542BB" w:rsidRDefault="00F542BB" w:rsidP="00F542BB">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796" w:type="pct"/>
            <w:gridSpan w:val="2"/>
            <w:tcBorders>
              <w:top w:val="single" w:sz="12" w:space="0" w:color="auto"/>
            </w:tcBorders>
            <w:vAlign w:val="bottom"/>
          </w:tcPr>
          <w:p w14:paraId="66C114B3" w14:textId="77777777" w:rsidR="00F542BB" w:rsidRPr="00F542BB" w:rsidRDefault="00F542BB" w:rsidP="00F542BB">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796" w:type="pct"/>
            <w:tcBorders>
              <w:top w:val="single" w:sz="12" w:space="0" w:color="auto"/>
            </w:tcBorders>
            <w:vAlign w:val="bottom"/>
          </w:tcPr>
          <w:p w14:paraId="18440A0C" w14:textId="77777777" w:rsidR="00F542BB" w:rsidRPr="00F542BB" w:rsidRDefault="00F542BB" w:rsidP="00F542BB">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r>
      <w:tr w:rsidR="00F542BB" w:rsidRPr="00F542BB" w14:paraId="506A67C7" w14:textId="77777777" w:rsidTr="00C800B6">
        <w:trPr>
          <w:trHeight w:val="249"/>
          <w:jc w:val="center"/>
        </w:trPr>
        <w:tc>
          <w:tcPr>
            <w:tcW w:w="1818" w:type="pct"/>
            <w:gridSpan w:val="2"/>
            <w:vAlign w:val="bottom"/>
          </w:tcPr>
          <w:p w14:paraId="540D8C71" w14:textId="77777777" w:rsidR="00F542BB" w:rsidRPr="00F542BB" w:rsidRDefault="00F542BB" w:rsidP="00F542BB">
            <w:pPr>
              <w:tabs>
                <w:tab w:val="right" w:pos="1202"/>
              </w:tabs>
              <w:spacing w:after="0" w:line="240" w:lineRule="exact"/>
              <w:jc w:val="both"/>
              <w:outlineLvl w:val="0"/>
              <w:rPr>
                <w:rFonts w:ascii="Calibri" w:eastAsia="Times New Roman" w:hAnsi="Calibri" w:cs="Arial"/>
                <w:b/>
                <w:bCs/>
                <w:sz w:val="18"/>
                <w:szCs w:val="18"/>
              </w:rPr>
            </w:pPr>
            <w:r w:rsidRPr="00F542BB">
              <w:rPr>
                <w:rFonts w:ascii="Calibri" w:eastAsia="Times New Roman" w:hAnsi="Calibri" w:cs="Arial"/>
                <w:b/>
                <w:bCs/>
                <w:sz w:val="18"/>
                <w:szCs w:val="18"/>
              </w:rPr>
              <w:t>Ukupna izloženost kreditnom riziku</w:t>
            </w:r>
          </w:p>
        </w:tc>
        <w:tc>
          <w:tcPr>
            <w:tcW w:w="795" w:type="pct"/>
            <w:gridSpan w:val="2"/>
            <w:tcBorders>
              <w:top w:val="nil"/>
              <w:left w:val="nil"/>
              <w:bottom w:val="single" w:sz="12" w:space="0" w:color="auto"/>
              <w:right w:val="nil"/>
            </w:tcBorders>
            <w:shd w:val="clear" w:color="auto" w:fill="auto"/>
            <w:vAlign w:val="center"/>
          </w:tcPr>
          <w:p w14:paraId="26D1A411" w14:textId="77777777" w:rsidR="00F542BB" w:rsidRPr="00F542BB" w:rsidRDefault="00F542BB" w:rsidP="00F542BB">
            <w:pPr>
              <w:spacing w:after="0" w:line="240" w:lineRule="auto"/>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31.240.254</w:t>
            </w:r>
          </w:p>
        </w:tc>
        <w:tc>
          <w:tcPr>
            <w:tcW w:w="796" w:type="pct"/>
            <w:gridSpan w:val="2"/>
            <w:tcBorders>
              <w:top w:val="nil"/>
              <w:left w:val="nil"/>
              <w:bottom w:val="single" w:sz="12" w:space="0" w:color="auto"/>
              <w:right w:val="nil"/>
            </w:tcBorders>
            <w:shd w:val="clear" w:color="auto" w:fill="auto"/>
            <w:vAlign w:val="center"/>
          </w:tcPr>
          <w:p w14:paraId="538FF1EC" w14:textId="77777777" w:rsidR="00F542BB" w:rsidRPr="00F542BB" w:rsidRDefault="00F542BB" w:rsidP="00F542BB">
            <w:pPr>
              <w:spacing w:after="0" w:line="240" w:lineRule="auto"/>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379.237</w:t>
            </w:r>
          </w:p>
        </w:tc>
        <w:tc>
          <w:tcPr>
            <w:tcW w:w="796" w:type="pct"/>
            <w:gridSpan w:val="2"/>
            <w:tcBorders>
              <w:top w:val="nil"/>
              <w:left w:val="nil"/>
              <w:bottom w:val="single" w:sz="12" w:space="0" w:color="auto"/>
              <w:right w:val="nil"/>
            </w:tcBorders>
            <w:shd w:val="clear" w:color="auto" w:fill="auto"/>
            <w:vAlign w:val="center"/>
          </w:tcPr>
          <w:p w14:paraId="5440CB17" w14:textId="77777777" w:rsidR="00F542BB" w:rsidRPr="00F542BB" w:rsidRDefault="00F542BB" w:rsidP="00F542BB">
            <w:pPr>
              <w:spacing w:after="0" w:line="240" w:lineRule="auto"/>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1.548.648</w:t>
            </w:r>
          </w:p>
        </w:tc>
        <w:tc>
          <w:tcPr>
            <w:tcW w:w="796" w:type="pct"/>
            <w:tcBorders>
              <w:top w:val="nil"/>
              <w:left w:val="nil"/>
              <w:bottom w:val="single" w:sz="12" w:space="0" w:color="auto"/>
              <w:right w:val="nil"/>
            </w:tcBorders>
            <w:shd w:val="clear" w:color="auto" w:fill="auto"/>
            <w:vAlign w:val="center"/>
          </w:tcPr>
          <w:p w14:paraId="54BC21D2" w14:textId="77777777" w:rsidR="00F542BB" w:rsidRPr="00F542BB" w:rsidRDefault="00F542BB" w:rsidP="00F542BB">
            <w:pPr>
              <w:spacing w:after="0" w:line="240" w:lineRule="auto"/>
              <w:jc w:val="right"/>
              <w:rPr>
                <w:rFonts w:ascii="Calibri" w:eastAsia="Times New Roman" w:hAnsi="Calibri" w:cs="Arial"/>
                <w:b/>
                <w:bCs/>
                <w:sz w:val="18"/>
                <w:szCs w:val="18"/>
                <w:lang w:val="en-US"/>
              </w:rPr>
            </w:pPr>
            <w:r w:rsidRPr="00F542BB">
              <w:rPr>
                <w:rFonts w:ascii="Calibri" w:eastAsia="Times New Roman" w:hAnsi="Calibri" w:cs="Arial"/>
                <w:b/>
                <w:bCs/>
                <w:sz w:val="18"/>
                <w:szCs w:val="18"/>
                <w:lang w:val="en-US"/>
              </w:rPr>
              <w:t>33.168.139</w:t>
            </w:r>
          </w:p>
        </w:tc>
      </w:tr>
      <w:tr w:rsidR="00F542BB" w:rsidRPr="00F542BB" w14:paraId="7C4F8548" w14:textId="77777777" w:rsidTr="00C800B6">
        <w:trPr>
          <w:trHeight w:val="118"/>
          <w:jc w:val="center"/>
        </w:trPr>
        <w:tc>
          <w:tcPr>
            <w:tcW w:w="1784" w:type="pct"/>
          </w:tcPr>
          <w:p w14:paraId="1D1C2C1D" w14:textId="77777777" w:rsidR="00F542BB" w:rsidRPr="00F542BB" w:rsidRDefault="00F542BB" w:rsidP="00F542BB">
            <w:pPr>
              <w:keepNext/>
              <w:keepLines/>
              <w:tabs>
                <w:tab w:val="decimal" w:pos="1202"/>
              </w:tabs>
              <w:spacing w:after="0" w:line="100" w:lineRule="exact"/>
              <w:rPr>
                <w:rFonts w:ascii="Calibri" w:eastAsia="Times New Roman" w:hAnsi="Calibri" w:cs="Arial"/>
                <w:b/>
                <w:position w:val="4"/>
                <w:sz w:val="18"/>
                <w:szCs w:val="18"/>
                <w:u w:val="thick"/>
              </w:rPr>
            </w:pPr>
          </w:p>
        </w:tc>
        <w:tc>
          <w:tcPr>
            <w:tcW w:w="804" w:type="pct"/>
            <w:gridSpan w:val="2"/>
            <w:tcBorders>
              <w:top w:val="single" w:sz="12" w:space="0" w:color="auto"/>
            </w:tcBorders>
            <w:vAlign w:val="bottom"/>
          </w:tcPr>
          <w:p w14:paraId="5CD520D0" w14:textId="77777777" w:rsidR="00F542BB" w:rsidRPr="00F542BB" w:rsidRDefault="00F542BB" w:rsidP="00F542BB">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803" w:type="pct"/>
            <w:gridSpan w:val="2"/>
            <w:tcBorders>
              <w:top w:val="single" w:sz="12" w:space="0" w:color="auto"/>
            </w:tcBorders>
            <w:vAlign w:val="bottom"/>
          </w:tcPr>
          <w:p w14:paraId="7758A1F4" w14:textId="77777777" w:rsidR="00F542BB" w:rsidRPr="00F542BB" w:rsidRDefault="00F542BB" w:rsidP="00F542BB">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803" w:type="pct"/>
            <w:gridSpan w:val="2"/>
            <w:tcBorders>
              <w:top w:val="single" w:sz="12" w:space="0" w:color="auto"/>
            </w:tcBorders>
            <w:vAlign w:val="bottom"/>
          </w:tcPr>
          <w:p w14:paraId="1E49F80B" w14:textId="77777777" w:rsidR="00F542BB" w:rsidRPr="00F542BB" w:rsidRDefault="00F542BB" w:rsidP="00F542BB">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c>
          <w:tcPr>
            <w:tcW w:w="806" w:type="pct"/>
            <w:gridSpan w:val="2"/>
            <w:tcBorders>
              <w:top w:val="single" w:sz="12" w:space="0" w:color="auto"/>
            </w:tcBorders>
            <w:vAlign w:val="bottom"/>
          </w:tcPr>
          <w:p w14:paraId="16BD6EC7" w14:textId="77777777" w:rsidR="00F542BB" w:rsidRPr="00F542BB" w:rsidRDefault="00F542BB" w:rsidP="00F542BB">
            <w:pPr>
              <w:keepNext/>
              <w:keepLines/>
              <w:tabs>
                <w:tab w:val="decimal" w:pos="1202"/>
              </w:tabs>
              <w:spacing w:after="0" w:line="100" w:lineRule="exact"/>
              <w:jc w:val="right"/>
              <w:rPr>
                <w:rFonts w:ascii="Calibri" w:eastAsia="Times New Roman" w:hAnsi="Calibri" w:cs="Arial"/>
                <w:b/>
                <w:snapToGrid w:val="0"/>
                <w:position w:val="4"/>
                <w:sz w:val="18"/>
                <w:szCs w:val="18"/>
                <w:u w:val="thick"/>
              </w:rPr>
            </w:pPr>
          </w:p>
        </w:tc>
      </w:tr>
    </w:tbl>
    <w:p w14:paraId="4516F3B2" w14:textId="77777777" w:rsidR="00B510EC" w:rsidRDefault="00B510EC" w:rsidP="002A6CC6">
      <w:pPr>
        <w:jc w:val="both"/>
        <w:rPr>
          <w:highlight w:val="yellow"/>
        </w:rPr>
      </w:pPr>
    </w:p>
    <w:p w14:paraId="1C8FCCE8" w14:textId="77777777" w:rsidR="00B510EC" w:rsidRPr="00B510EC" w:rsidRDefault="00B510EC" w:rsidP="00B510EC">
      <w:pPr>
        <w:rPr>
          <w:highlight w:val="yellow"/>
        </w:rPr>
      </w:pPr>
    </w:p>
    <w:p w14:paraId="53B4A092" w14:textId="77777777" w:rsidR="00B510EC" w:rsidRDefault="00B510EC" w:rsidP="00B510EC">
      <w:pPr>
        <w:rPr>
          <w:highlight w:val="yellow"/>
        </w:rPr>
      </w:pPr>
    </w:p>
    <w:p w14:paraId="5380D508" w14:textId="77777777" w:rsidR="00B510EC" w:rsidRDefault="00B510EC" w:rsidP="00B510EC">
      <w:pPr>
        <w:rPr>
          <w:highlight w:val="yellow"/>
        </w:rPr>
      </w:pPr>
    </w:p>
    <w:p w14:paraId="10798580" w14:textId="77777777" w:rsidR="00B510EC" w:rsidRDefault="00B510EC" w:rsidP="00B510EC">
      <w:pPr>
        <w:rPr>
          <w:highlight w:val="yellow"/>
        </w:rPr>
      </w:pPr>
    </w:p>
    <w:p w14:paraId="21034111" w14:textId="77777777" w:rsidR="002A6CC6" w:rsidRPr="00B510EC" w:rsidRDefault="002A6CC6" w:rsidP="00B510EC">
      <w:pPr>
        <w:rPr>
          <w:highlight w:val="yellow"/>
        </w:rPr>
        <w:sectPr w:rsidR="002A6CC6" w:rsidRPr="00B510EC" w:rsidSect="00B631EA">
          <w:footerReference w:type="first" r:id="rId102"/>
          <w:pgSz w:w="11906" w:h="16838" w:code="9"/>
          <w:pgMar w:top="1418" w:right="1418" w:bottom="595" w:left="1134" w:header="709" w:footer="709" w:gutter="0"/>
          <w:cols w:space="708"/>
          <w:titlePg/>
          <w:docGrid w:linePitch="360"/>
        </w:sectPr>
      </w:pPr>
    </w:p>
    <w:p w14:paraId="14E3DA2F" w14:textId="77777777" w:rsidR="00BE35B9" w:rsidRDefault="00BE35B9" w:rsidP="00BE35B9">
      <w:pPr>
        <w:pStyle w:val="T1"/>
        <w:spacing w:before="0" w:after="0" w:line="240" w:lineRule="auto"/>
        <w:rPr>
          <w:rFonts w:asciiTheme="minorHAnsi" w:hAnsiTheme="minorHAnsi" w:cs="Arial"/>
          <w:sz w:val="22"/>
          <w:szCs w:val="22"/>
          <w:lang w:val="hr-HR"/>
        </w:rPr>
      </w:pPr>
    </w:p>
    <w:p w14:paraId="0435E89D" w14:textId="77777777" w:rsidR="00BE35B9" w:rsidRDefault="00BE35B9" w:rsidP="00BE35B9">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E35B9">
        <w:rPr>
          <w:rFonts w:asciiTheme="minorHAnsi" w:hAnsiTheme="minorHAnsi" w:cs="Arial"/>
          <w:sz w:val="22"/>
          <w:szCs w:val="22"/>
          <w:lang w:val="hr-HR"/>
        </w:rPr>
        <w:t>.</w:t>
      </w:r>
      <w:r w:rsidRPr="00BE35B9">
        <w:rPr>
          <w:rFonts w:asciiTheme="minorHAnsi" w:hAnsiTheme="minorHAnsi" w:cs="Arial"/>
          <w:sz w:val="22"/>
          <w:szCs w:val="22"/>
          <w:lang w:val="hr-HR"/>
        </w:rPr>
        <w:tab/>
        <w:t>Upravljanje rizicima (nastavak)</w:t>
      </w:r>
    </w:p>
    <w:p w14:paraId="2329709B" w14:textId="77777777" w:rsidR="00BE35B9" w:rsidRPr="00BE35B9" w:rsidRDefault="00BE35B9" w:rsidP="00BE35B9">
      <w:pPr>
        <w:pStyle w:val="T1"/>
        <w:spacing w:before="0" w:after="0" w:line="240" w:lineRule="auto"/>
        <w:rPr>
          <w:rFonts w:asciiTheme="minorHAnsi" w:hAnsiTheme="minorHAnsi" w:cs="Arial"/>
          <w:sz w:val="22"/>
          <w:szCs w:val="22"/>
          <w:lang w:val="hr-HR"/>
        </w:rPr>
      </w:pPr>
    </w:p>
    <w:p w14:paraId="07D1AC2D" w14:textId="77777777" w:rsidR="00BE35B9" w:rsidRDefault="00BE35B9" w:rsidP="00BE35B9">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E35B9">
        <w:rPr>
          <w:rFonts w:asciiTheme="minorHAnsi" w:hAnsiTheme="minorHAnsi" w:cs="Arial"/>
          <w:sz w:val="22"/>
          <w:szCs w:val="22"/>
          <w:lang w:val="hr-HR"/>
        </w:rPr>
        <w:t xml:space="preserve">.2. </w:t>
      </w:r>
      <w:r w:rsidRPr="00BE35B9">
        <w:rPr>
          <w:rFonts w:asciiTheme="minorHAnsi" w:hAnsiTheme="minorHAnsi" w:cs="Arial"/>
          <w:sz w:val="22"/>
          <w:szCs w:val="22"/>
          <w:lang w:val="hr-HR"/>
        </w:rPr>
        <w:tab/>
        <w:t>Kreditni rizik (nastavak)</w:t>
      </w:r>
    </w:p>
    <w:p w14:paraId="11C6E0DD" w14:textId="77777777" w:rsidR="00BE35B9" w:rsidRPr="00BE35B9" w:rsidRDefault="00BE35B9" w:rsidP="00BE35B9">
      <w:pPr>
        <w:pStyle w:val="T1"/>
        <w:spacing w:before="0" w:after="0" w:line="240" w:lineRule="auto"/>
        <w:rPr>
          <w:rFonts w:asciiTheme="minorHAnsi" w:hAnsiTheme="minorHAnsi" w:cs="Arial"/>
          <w:sz w:val="22"/>
          <w:szCs w:val="22"/>
          <w:lang w:val="hr-HR"/>
        </w:rPr>
      </w:pPr>
    </w:p>
    <w:p w14:paraId="15AD3FB3" w14:textId="77777777" w:rsidR="00BE35B9" w:rsidRDefault="00BE35B9" w:rsidP="00BE35B9">
      <w:pPr>
        <w:pStyle w:val="T1"/>
        <w:spacing w:before="0" w:after="0" w:line="240" w:lineRule="auto"/>
        <w:rPr>
          <w:rFonts w:asciiTheme="minorHAnsi" w:hAnsiTheme="minorHAnsi" w:cs="Arial"/>
          <w:sz w:val="22"/>
          <w:szCs w:val="22"/>
          <w:lang w:val="hr-HR"/>
        </w:rPr>
      </w:pPr>
      <w:r w:rsidRPr="00BE35B9">
        <w:rPr>
          <w:rFonts w:asciiTheme="minorHAnsi" w:hAnsiTheme="minorHAnsi" w:cs="Arial"/>
          <w:sz w:val="22"/>
          <w:szCs w:val="22"/>
          <w:lang w:val="hr-HR"/>
        </w:rPr>
        <w:t>Kvaliteta kreditnog rizika prema vrsti financijske imovine (nastavak)</w:t>
      </w:r>
    </w:p>
    <w:p w14:paraId="32717F75" w14:textId="77777777" w:rsidR="00BE35B9" w:rsidRPr="00AD7F4C" w:rsidRDefault="00BE35B9" w:rsidP="00BE35B9">
      <w:pPr>
        <w:pStyle w:val="T1"/>
        <w:spacing w:before="0" w:after="0" w:line="240" w:lineRule="auto"/>
        <w:rPr>
          <w:rFonts w:asciiTheme="minorHAnsi" w:hAnsiTheme="minorHAnsi" w:cs="Arial"/>
          <w:sz w:val="20"/>
          <w:lang w:val="hr-HR"/>
        </w:rPr>
      </w:pPr>
    </w:p>
    <w:p w14:paraId="473385A4" w14:textId="77777777" w:rsidR="00BE35B9" w:rsidRPr="00AD7F4C" w:rsidRDefault="00BE35B9" w:rsidP="00BE35B9">
      <w:pPr>
        <w:spacing w:after="0" w:line="240" w:lineRule="auto"/>
        <w:rPr>
          <w:rFonts w:cs="Arial"/>
          <w:sz w:val="20"/>
          <w:szCs w:val="20"/>
        </w:rPr>
      </w:pPr>
      <w:r w:rsidRPr="00AD7F4C">
        <w:rPr>
          <w:rFonts w:cs="Arial"/>
          <w:sz w:val="20"/>
          <w:szCs w:val="20"/>
        </w:rPr>
        <w:t>Analiza starosne strukture dospjelih i neumanjenih kreditnih plasmana prema vrsti financijske imovine:</w:t>
      </w:r>
    </w:p>
    <w:p w14:paraId="1E9AD220" w14:textId="77777777" w:rsidR="00BE35B9" w:rsidRDefault="00BE35B9" w:rsidP="00BE35B9">
      <w:pPr>
        <w:spacing w:after="0" w:line="240" w:lineRule="auto"/>
        <w:jc w:val="both"/>
        <w:rPr>
          <w:rFonts w:cs="Arial"/>
          <w:sz w:val="20"/>
          <w:szCs w:val="20"/>
        </w:rPr>
      </w:pPr>
    </w:p>
    <w:tbl>
      <w:tblPr>
        <w:tblW w:w="4977" w:type="pct"/>
        <w:jc w:val="center"/>
        <w:tblLayout w:type="fixed"/>
        <w:tblLook w:val="0000" w:firstRow="0" w:lastRow="0" w:firstColumn="0" w:lastColumn="0" w:noHBand="0" w:noVBand="0"/>
      </w:tblPr>
      <w:tblGrid>
        <w:gridCol w:w="1805"/>
        <w:gridCol w:w="1254"/>
        <w:gridCol w:w="1253"/>
        <w:gridCol w:w="1253"/>
        <w:gridCol w:w="1253"/>
        <w:gridCol w:w="1253"/>
        <w:gridCol w:w="1240"/>
      </w:tblGrid>
      <w:tr w:rsidR="00B510EC" w:rsidRPr="00B510EC" w14:paraId="30B3A8AD" w14:textId="77777777" w:rsidTr="00611E94">
        <w:trPr>
          <w:trHeight w:hRule="exact" w:val="532"/>
          <w:jc w:val="center"/>
        </w:trPr>
        <w:tc>
          <w:tcPr>
            <w:tcW w:w="969" w:type="pct"/>
          </w:tcPr>
          <w:p w14:paraId="347BDE88" w14:textId="77777777" w:rsidR="00B510EC" w:rsidRPr="00B510EC" w:rsidRDefault="00B510EC" w:rsidP="00B510EC">
            <w:pPr>
              <w:spacing w:after="0" w:line="240" w:lineRule="auto"/>
              <w:rPr>
                <w:rFonts w:eastAsia="Times New Roman" w:cs="Arial"/>
                <w:b/>
                <w:sz w:val="18"/>
                <w:szCs w:val="18"/>
              </w:rPr>
            </w:pPr>
            <w:r w:rsidRPr="00B510EC">
              <w:rPr>
                <w:rFonts w:eastAsia="Times New Roman" w:cs="Arial"/>
                <w:b/>
                <w:sz w:val="18"/>
                <w:szCs w:val="18"/>
              </w:rPr>
              <w:t>Grupa</w:t>
            </w:r>
          </w:p>
          <w:p w14:paraId="0F14D722" w14:textId="255BA2F0" w:rsidR="00B510EC" w:rsidRPr="00B510EC" w:rsidRDefault="00B631EA">
            <w:pPr>
              <w:spacing w:after="0" w:line="240" w:lineRule="auto"/>
              <w:rPr>
                <w:rFonts w:eastAsia="Times New Roman" w:cs="Arial"/>
                <w:b/>
                <w:sz w:val="18"/>
                <w:szCs w:val="18"/>
              </w:rPr>
            </w:pPr>
            <w:r>
              <w:rPr>
                <w:rFonts w:eastAsia="Times New Roman" w:cs="Arial"/>
                <w:b/>
                <w:sz w:val="18"/>
                <w:szCs w:val="18"/>
              </w:rPr>
              <w:t>30</w:t>
            </w:r>
            <w:r w:rsidR="00744A29">
              <w:rPr>
                <w:rFonts w:eastAsia="Times New Roman" w:cs="Arial"/>
                <w:b/>
                <w:sz w:val="18"/>
                <w:szCs w:val="18"/>
              </w:rPr>
              <w:t>.</w:t>
            </w:r>
            <w:r>
              <w:rPr>
                <w:rFonts w:eastAsia="Times New Roman" w:cs="Arial"/>
                <w:b/>
                <w:sz w:val="18"/>
                <w:szCs w:val="18"/>
              </w:rPr>
              <w:t>6</w:t>
            </w:r>
            <w:r w:rsidR="00744A29">
              <w:rPr>
                <w:rFonts w:eastAsia="Times New Roman" w:cs="Arial"/>
                <w:b/>
                <w:sz w:val="18"/>
                <w:szCs w:val="18"/>
              </w:rPr>
              <w:t>.2017.</w:t>
            </w:r>
          </w:p>
        </w:tc>
        <w:tc>
          <w:tcPr>
            <w:tcW w:w="673" w:type="pct"/>
            <w:vAlign w:val="center"/>
          </w:tcPr>
          <w:p w14:paraId="2D8DF105"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r w:rsidRPr="00B510EC">
              <w:rPr>
                <w:rFonts w:eastAsia="Times New Roman" w:cs="Arial"/>
                <w:b/>
                <w:noProof/>
                <w:sz w:val="18"/>
                <w:szCs w:val="18"/>
              </w:rPr>
              <w:t xml:space="preserve">Do 15 </w:t>
            </w:r>
          </w:p>
          <w:p w14:paraId="3964131A"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r w:rsidRPr="00B510EC">
              <w:rPr>
                <w:rFonts w:eastAsia="Times New Roman" w:cs="Arial"/>
                <w:b/>
                <w:noProof/>
                <w:sz w:val="18"/>
                <w:szCs w:val="18"/>
              </w:rPr>
              <w:t xml:space="preserve">dana </w:t>
            </w:r>
          </w:p>
          <w:p w14:paraId="4F3D8E75"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p>
        </w:tc>
        <w:tc>
          <w:tcPr>
            <w:tcW w:w="673" w:type="pct"/>
            <w:vAlign w:val="center"/>
          </w:tcPr>
          <w:p w14:paraId="078EF952" w14:textId="77777777" w:rsidR="00B510EC" w:rsidRDefault="00B510EC" w:rsidP="00B510EC">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16 do 30 </w:t>
            </w:r>
          </w:p>
          <w:p w14:paraId="12FF77F6" w14:textId="77777777" w:rsidR="00B510EC" w:rsidRPr="00B510EC" w:rsidRDefault="00B510EC" w:rsidP="00B510EC">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dana </w:t>
            </w:r>
          </w:p>
          <w:p w14:paraId="6DA9E28B" w14:textId="77777777" w:rsidR="00B510EC" w:rsidRPr="00B510EC" w:rsidRDefault="00B510EC" w:rsidP="00B510EC">
            <w:pPr>
              <w:spacing w:after="0" w:line="240" w:lineRule="auto"/>
              <w:jc w:val="right"/>
              <w:rPr>
                <w:rFonts w:eastAsia="Times New Roman" w:cs="Arial"/>
                <w:b/>
                <w:noProof/>
                <w:sz w:val="18"/>
                <w:szCs w:val="18"/>
              </w:rPr>
            </w:pPr>
          </w:p>
        </w:tc>
        <w:tc>
          <w:tcPr>
            <w:tcW w:w="673" w:type="pct"/>
            <w:vAlign w:val="center"/>
          </w:tcPr>
          <w:p w14:paraId="2964E7F5" w14:textId="77777777" w:rsidR="00B510EC" w:rsidRDefault="00B510EC" w:rsidP="00B510EC">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31 do 60 </w:t>
            </w:r>
          </w:p>
          <w:p w14:paraId="1F23666A" w14:textId="77777777" w:rsidR="00B510EC" w:rsidRPr="00B510EC" w:rsidRDefault="00B510EC" w:rsidP="00B510EC">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dana </w:t>
            </w:r>
          </w:p>
          <w:p w14:paraId="2C1CC421" w14:textId="77777777" w:rsidR="00B510EC" w:rsidRPr="00B510EC" w:rsidRDefault="00B510EC" w:rsidP="00B510EC">
            <w:pPr>
              <w:spacing w:after="0" w:line="240" w:lineRule="auto"/>
              <w:jc w:val="right"/>
              <w:rPr>
                <w:rFonts w:eastAsia="Times New Roman" w:cs="Arial"/>
                <w:b/>
                <w:noProof/>
                <w:sz w:val="18"/>
                <w:szCs w:val="18"/>
              </w:rPr>
            </w:pPr>
          </w:p>
        </w:tc>
        <w:tc>
          <w:tcPr>
            <w:tcW w:w="673" w:type="pct"/>
            <w:vAlign w:val="center"/>
          </w:tcPr>
          <w:p w14:paraId="669CF4BC" w14:textId="77777777" w:rsidR="00B510EC" w:rsidRDefault="00B510EC" w:rsidP="00B510EC">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61 do 90 </w:t>
            </w:r>
          </w:p>
          <w:p w14:paraId="2E65CCD4" w14:textId="77777777" w:rsidR="00B510EC" w:rsidRPr="00B510EC" w:rsidRDefault="00B510EC" w:rsidP="00B510EC">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dana </w:t>
            </w:r>
          </w:p>
          <w:p w14:paraId="126FB683" w14:textId="77777777" w:rsidR="00B510EC" w:rsidRPr="00B510EC" w:rsidRDefault="00B510EC" w:rsidP="00B510EC">
            <w:pPr>
              <w:spacing w:after="0" w:line="240" w:lineRule="auto"/>
              <w:jc w:val="right"/>
              <w:rPr>
                <w:rFonts w:eastAsia="Times New Roman" w:cs="Arial"/>
                <w:b/>
                <w:noProof/>
                <w:sz w:val="18"/>
                <w:szCs w:val="18"/>
              </w:rPr>
            </w:pPr>
          </w:p>
        </w:tc>
        <w:tc>
          <w:tcPr>
            <w:tcW w:w="673" w:type="pct"/>
            <w:vAlign w:val="center"/>
          </w:tcPr>
          <w:p w14:paraId="62B97CBB"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r w:rsidRPr="00B510EC">
              <w:rPr>
                <w:rFonts w:eastAsia="Times New Roman" w:cs="Arial"/>
                <w:b/>
                <w:noProof/>
                <w:sz w:val="18"/>
                <w:szCs w:val="18"/>
              </w:rPr>
              <w:t xml:space="preserve">Preko 90 dana </w:t>
            </w:r>
          </w:p>
          <w:p w14:paraId="00F2F42B"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p>
        </w:tc>
        <w:tc>
          <w:tcPr>
            <w:tcW w:w="666" w:type="pct"/>
            <w:vAlign w:val="center"/>
          </w:tcPr>
          <w:p w14:paraId="038DCE1F"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r w:rsidRPr="00B510EC">
              <w:rPr>
                <w:rFonts w:eastAsia="Times New Roman" w:cs="Arial"/>
                <w:b/>
                <w:noProof/>
                <w:sz w:val="18"/>
                <w:szCs w:val="18"/>
              </w:rPr>
              <w:t>Ukupno</w:t>
            </w:r>
          </w:p>
          <w:p w14:paraId="72292D16"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p>
        </w:tc>
      </w:tr>
      <w:tr w:rsidR="00B510EC" w:rsidRPr="00B510EC" w14:paraId="70398583" w14:textId="77777777" w:rsidTr="00611E94">
        <w:trPr>
          <w:trHeight w:hRule="exact" w:val="344"/>
          <w:jc w:val="center"/>
        </w:trPr>
        <w:tc>
          <w:tcPr>
            <w:tcW w:w="969" w:type="pct"/>
          </w:tcPr>
          <w:p w14:paraId="775ABCDA" w14:textId="77777777" w:rsidR="00B510EC" w:rsidRPr="00B510EC" w:rsidRDefault="00B510EC" w:rsidP="00B510EC">
            <w:pPr>
              <w:tabs>
                <w:tab w:val="right" w:pos="1202"/>
              </w:tabs>
              <w:spacing w:after="0" w:line="301" w:lineRule="exact"/>
              <w:outlineLvl w:val="0"/>
              <w:rPr>
                <w:rFonts w:eastAsia="Times New Roman" w:cs="Arial"/>
                <w:b/>
                <w:bCs/>
                <w:sz w:val="18"/>
                <w:szCs w:val="18"/>
              </w:rPr>
            </w:pPr>
            <w:r w:rsidRPr="00B510EC">
              <w:rPr>
                <w:rFonts w:eastAsia="Times New Roman" w:cs="Arial"/>
                <w:b/>
                <w:bCs/>
                <w:sz w:val="18"/>
                <w:szCs w:val="18"/>
              </w:rPr>
              <w:t>Imovina</w:t>
            </w:r>
          </w:p>
        </w:tc>
        <w:tc>
          <w:tcPr>
            <w:tcW w:w="673" w:type="pct"/>
          </w:tcPr>
          <w:p w14:paraId="6F0BE663" w14:textId="77777777" w:rsidR="00B510EC" w:rsidRPr="00B510EC" w:rsidRDefault="00B510EC" w:rsidP="00B510EC">
            <w:pPr>
              <w:tabs>
                <w:tab w:val="right" w:pos="1202"/>
              </w:tabs>
              <w:spacing w:after="0" w:line="301" w:lineRule="exact"/>
              <w:jc w:val="right"/>
              <w:outlineLvl w:val="0"/>
              <w:rPr>
                <w:rFonts w:eastAsia="Times New Roman" w:cs="Arial"/>
                <w:b/>
                <w:bCs/>
                <w:sz w:val="18"/>
                <w:szCs w:val="18"/>
              </w:rPr>
            </w:pPr>
          </w:p>
        </w:tc>
        <w:tc>
          <w:tcPr>
            <w:tcW w:w="673" w:type="pct"/>
          </w:tcPr>
          <w:p w14:paraId="36925316" w14:textId="77777777" w:rsidR="00B510EC" w:rsidRPr="00B510EC" w:rsidRDefault="00B510EC" w:rsidP="00B510EC">
            <w:pPr>
              <w:tabs>
                <w:tab w:val="right" w:pos="1202"/>
              </w:tabs>
              <w:spacing w:after="0" w:line="301" w:lineRule="exact"/>
              <w:jc w:val="right"/>
              <w:outlineLvl w:val="0"/>
              <w:rPr>
                <w:rFonts w:eastAsia="Times New Roman" w:cs="Arial"/>
                <w:b/>
                <w:bCs/>
                <w:sz w:val="18"/>
                <w:szCs w:val="18"/>
              </w:rPr>
            </w:pPr>
          </w:p>
        </w:tc>
        <w:tc>
          <w:tcPr>
            <w:tcW w:w="673" w:type="pct"/>
          </w:tcPr>
          <w:p w14:paraId="268A34DB" w14:textId="77777777" w:rsidR="00B510EC" w:rsidRPr="00B510EC" w:rsidRDefault="00B510EC" w:rsidP="00B510EC">
            <w:pPr>
              <w:tabs>
                <w:tab w:val="right" w:pos="1202"/>
              </w:tabs>
              <w:spacing w:after="0" w:line="301" w:lineRule="exact"/>
              <w:jc w:val="right"/>
              <w:outlineLvl w:val="0"/>
              <w:rPr>
                <w:rFonts w:eastAsia="Times New Roman" w:cs="Arial"/>
                <w:b/>
                <w:bCs/>
                <w:sz w:val="18"/>
                <w:szCs w:val="18"/>
              </w:rPr>
            </w:pPr>
          </w:p>
        </w:tc>
        <w:tc>
          <w:tcPr>
            <w:tcW w:w="673" w:type="pct"/>
          </w:tcPr>
          <w:p w14:paraId="1F1A8270" w14:textId="77777777" w:rsidR="00B510EC" w:rsidRPr="00B510EC" w:rsidRDefault="00B510EC" w:rsidP="00B510EC">
            <w:pPr>
              <w:tabs>
                <w:tab w:val="right" w:pos="1202"/>
              </w:tabs>
              <w:spacing w:after="0" w:line="301" w:lineRule="exact"/>
              <w:jc w:val="right"/>
              <w:outlineLvl w:val="0"/>
              <w:rPr>
                <w:rFonts w:eastAsia="Times New Roman" w:cs="Arial"/>
                <w:b/>
                <w:bCs/>
                <w:sz w:val="18"/>
                <w:szCs w:val="18"/>
              </w:rPr>
            </w:pPr>
          </w:p>
        </w:tc>
        <w:tc>
          <w:tcPr>
            <w:tcW w:w="673" w:type="pct"/>
          </w:tcPr>
          <w:p w14:paraId="570AC419" w14:textId="77777777" w:rsidR="00B510EC" w:rsidRPr="00B510EC" w:rsidRDefault="00B510EC" w:rsidP="00B510EC">
            <w:pPr>
              <w:tabs>
                <w:tab w:val="right" w:pos="1202"/>
              </w:tabs>
              <w:spacing w:after="0" w:line="301" w:lineRule="exact"/>
              <w:jc w:val="right"/>
              <w:outlineLvl w:val="0"/>
              <w:rPr>
                <w:rFonts w:eastAsia="Times New Roman" w:cs="Arial"/>
                <w:b/>
                <w:bCs/>
                <w:sz w:val="18"/>
                <w:szCs w:val="18"/>
              </w:rPr>
            </w:pPr>
          </w:p>
        </w:tc>
        <w:tc>
          <w:tcPr>
            <w:tcW w:w="666" w:type="pct"/>
          </w:tcPr>
          <w:p w14:paraId="5311E2E0" w14:textId="77777777" w:rsidR="00B510EC" w:rsidRPr="00B510EC" w:rsidRDefault="00B510EC" w:rsidP="00B510EC">
            <w:pPr>
              <w:tabs>
                <w:tab w:val="right" w:pos="1202"/>
              </w:tabs>
              <w:spacing w:after="0" w:line="301" w:lineRule="exact"/>
              <w:jc w:val="right"/>
              <w:outlineLvl w:val="0"/>
              <w:rPr>
                <w:rFonts w:eastAsia="Times New Roman" w:cs="Arial"/>
                <w:b/>
                <w:bCs/>
                <w:sz w:val="18"/>
                <w:szCs w:val="18"/>
              </w:rPr>
            </w:pPr>
          </w:p>
        </w:tc>
      </w:tr>
      <w:tr w:rsidR="00611E94" w:rsidRPr="00B510EC" w14:paraId="5B5A0B83" w14:textId="77777777" w:rsidTr="00312975">
        <w:trPr>
          <w:trHeight w:val="256"/>
          <w:jc w:val="center"/>
        </w:trPr>
        <w:tc>
          <w:tcPr>
            <w:tcW w:w="969" w:type="pct"/>
            <w:vAlign w:val="bottom"/>
          </w:tcPr>
          <w:p w14:paraId="69C3E022" w14:textId="77777777" w:rsidR="00611E94" w:rsidRPr="00B510EC" w:rsidRDefault="00611E94" w:rsidP="00611E94">
            <w:pPr>
              <w:tabs>
                <w:tab w:val="right" w:pos="1202"/>
              </w:tabs>
              <w:spacing w:after="0" w:line="220" w:lineRule="exact"/>
              <w:outlineLvl w:val="0"/>
              <w:rPr>
                <w:rFonts w:eastAsia="Times New Roman" w:cs="Arial"/>
                <w:sz w:val="18"/>
                <w:szCs w:val="18"/>
              </w:rPr>
            </w:pPr>
            <w:r w:rsidRPr="00B510EC">
              <w:rPr>
                <w:rFonts w:eastAsia="Times New Roman" w:cs="Arial"/>
                <w:sz w:val="18"/>
                <w:szCs w:val="18"/>
              </w:rPr>
              <w:t xml:space="preserve">Krediti financijskim institucijama </w:t>
            </w:r>
          </w:p>
        </w:tc>
        <w:tc>
          <w:tcPr>
            <w:tcW w:w="673" w:type="pct"/>
            <w:tcBorders>
              <w:top w:val="nil"/>
              <w:left w:val="nil"/>
              <w:bottom w:val="nil"/>
              <w:right w:val="nil"/>
            </w:tcBorders>
            <w:shd w:val="clear" w:color="auto" w:fill="auto"/>
            <w:vAlign w:val="center"/>
          </w:tcPr>
          <w:p w14:paraId="1A7A67C6" w14:textId="47869765" w:rsidR="00611E94" w:rsidRPr="000E5941"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56.107</w:t>
            </w:r>
          </w:p>
        </w:tc>
        <w:tc>
          <w:tcPr>
            <w:tcW w:w="673" w:type="pct"/>
            <w:tcBorders>
              <w:top w:val="nil"/>
              <w:left w:val="nil"/>
              <w:bottom w:val="nil"/>
              <w:right w:val="nil"/>
            </w:tcBorders>
            <w:shd w:val="clear" w:color="auto" w:fill="auto"/>
            <w:vAlign w:val="center"/>
          </w:tcPr>
          <w:p w14:paraId="64EBCE3A" w14:textId="116ADF1A" w:rsidR="00611E94" w:rsidRPr="000E5941"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197</w:t>
            </w:r>
          </w:p>
        </w:tc>
        <w:tc>
          <w:tcPr>
            <w:tcW w:w="673" w:type="pct"/>
            <w:tcBorders>
              <w:top w:val="nil"/>
              <w:left w:val="nil"/>
              <w:bottom w:val="nil"/>
              <w:right w:val="nil"/>
            </w:tcBorders>
            <w:shd w:val="clear" w:color="auto" w:fill="auto"/>
            <w:vAlign w:val="center"/>
          </w:tcPr>
          <w:p w14:paraId="455362DC" w14:textId="4BFDA104" w:rsidR="00611E94" w:rsidRPr="000E5941"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34.497</w:t>
            </w:r>
          </w:p>
        </w:tc>
        <w:tc>
          <w:tcPr>
            <w:tcW w:w="673" w:type="pct"/>
            <w:tcBorders>
              <w:top w:val="nil"/>
              <w:left w:val="nil"/>
              <w:bottom w:val="nil"/>
              <w:right w:val="nil"/>
            </w:tcBorders>
            <w:shd w:val="clear" w:color="auto" w:fill="auto"/>
            <w:vAlign w:val="center"/>
          </w:tcPr>
          <w:p w14:paraId="2B0458F5" w14:textId="5C16F59C" w:rsidR="00611E94" w:rsidRPr="000E5941"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95</w:t>
            </w:r>
          </w:p>
        </w:tc>
        <w:tc>
          <w:tcPr>
            <w:tcW w:w="673" w:type="pct"/>
            <w:tcBorders>
              <w:top w:val="nil"/>
              <w:left w:val="nil"/>
              <w:bottom w:val="nil"/>
              <w:right w:val="nil"/>
            </w:tcBorders>
            <w:shd w:val="clear" w:color="auto" w:fill="auto"/>
            <w:vAlign w:val="center"/>
          </w:tcPr>
          <w:p w14:paraId="60D569F9" w14:textId="77D955BC" w:rsidR="00611E94" w:rsidRPr="000E5941"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13.892</w:t>
            </w:r>
          </w:p>
        </w:tc>
        <w:tc>
          <w:tcPr>
            <w:tcW w:w="666" w:type="pct"/>
            <w:tcBorders>
              <w:top w:val="nil"/>
              <w:left w:val="nil"/>
              <w:bottom w:val="nil"/>
              <w:right w:val="nil"/>
            </w:tcBorders>
            <w:shd w:val="clear" w:color="auto" w:fill="auto"/>
            <w:vAlign w:val="center"/>
          </w:tcPr>
          <w:p w14:paraId="764F4D6B" w14:textId="67BAF4FF" w:rsidR="00611E94" w:rsidRPr="000E5941"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104.788</w:t>
            </w:r>
          </w:p>
        </w:tc>
      </w:tr>
      <w:tr w:rsidR="00611E94" w:rsidRPr="00B510EC" w14:paraId="21C9E1D3" w14:textId="77777777" w:rsidTr="00312975">
        <w:trPr>
          <w:trHeight w:val="455"/>
          <w:jc w:val="center"/>
        </w:trPr>
        <w:tc>
          <w:tcPr>
            <w:tcW w:w="969" w:type="pct"/>
            <w:vAlign w:val="bottom"/>
          </w:tcPr>
          <w:p w14:paraId="2878945B" w14:textId="77777777" w:rsidR="00611E94" w:rsidRPr="00B510EC" w:rsidRDefault="00611E94" w:rsidP="00611E94">
            <w:pPr>
              <w:tabs>
                <w:tab w:val="right" w:pos="1202"/>
              </w:tabs>
              <w:spacing w:after="0" w:line="220" w:lineRule="exact"/>
              <w:outlineLvl w:val="0"/>
              <w:rPr>
                <w:rFonts w:eastAsia="Times New Roman" w:cs="Arial"/>
                <w:sz w:val="18"/>
                <w:szCs w:val="18"/>
              </w:rPr>
            </w:pPr>
            <w:r w:rsidRPr="00B510EC">
              <w:rPr>
                <w:rFonts w:eastAsia="Times New Roman" w:cs="Arial"/>
                <w:sz w:val="18"/>
                <w:szCs w:val="18"/>
              </w:rPr>
              <w:t>Krediti ostalim korisnicima</w:t>
            </w:r>
          </w:p>
        </w:tc>
        <w:tc>
          <w:tcPr>
            <w:tcW w:w="673" w:type="pct"/>
            <w:tcBorders>
              <w:top w:val="nil"/>
              <w:left w:val="nil"/>
              <w:bottom w:val="nil"/>
              <w:right w:val="nil"/>
            </w:tcBorders>
            <w:shd w:val="clear" w:color="auto" w:fill="auto"/>
            <w:vAlign w:val="center"/>
          </w:tcPr>
          <w:p w14:paraId="34E032E3" w14:textId="0A55C377" w:rsidR="00611E94" w:rsidRPr="000E5941"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82.834</w:t>
            </w:r>
          </w:p>
        </w:tc>
        <w:tc>
          <w:tcPr>
            <w:tcW w:w="673" w:type="pct"/>
            <w:tcBorders>
              <w:top w:val="nil"/>
              <w:left w:val="nil"/>
              <w:bottom w:val="nil"/>
              <w:right w:val="nil"/>
            </w:tcBorders>
            <w:shd w:val="clear" w:color="auto" w:fill="auto"/>
            <w:vAlign w:val="center"/>
          </w:tcPr>
          <w:p w14:paraId="180D016A" w14:textId="17386421" w:rsidR="00611E94" w:rsidRPr="000E5941"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76.335</w:t>
            </w:r>
          </w:p>
        </w:tc>
        <w:tc>
          <w:tcPr>
            <w:tcW w:w="673" w:type="pct"/>
            <w:tcBorders>
              <w:top w:val="nil"/>
              <w:left w:val="nil"/>
              <w:bottom w:val="nil"/>
              <w:right w:val="nil"/>
            </w:tcBorders>
            <w:shd w:val="clear" w:color="auto" w:fill="auto"/>
            <w:vAlign w:val="center"/>
          </w:tcPr>
          <w:p w14:paraId="45FBF5E8" w14:textId="69660CCB" w:rsidR="00611E94" w:rsidRPr="000E5941"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65</w:t>
            </w:r>
          </w:p>
        </w:tc>
        <w:tc>
          <w:tcPr>
            <w:tcW w:w="673" w:type="pct"/>
            <w:tcBorders>
              <w:top w:val="nil"/>
              <w:left w:val="nil"/>
              <w:bottom w:val="nil"/>
              <w:right w:val="nil"/>
            </w:tcBorders>
            <w:shd w:val="clear" w:color="auto" w:fill="auto"/>
            <w:vAlign w:val="center"/>
          </w:tcPr>
          <w:p w14:paraId="6E159A2C" w14:textId="0B05BA8A" w:rsidR="00611E94" w:rsidRPr="000E5941"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21.775</w:t>
            </w:r>
          </w:p>
        </w:tc>
        <w:tc>
          <w:tcPr>
            <w:tcW w:w="673" w:type="pct"/>
            <w:tcBorders>
              <w:top w:val="nil"/>
              <w:left w:val="nil"/>
              <w:bottom w:val="nil"/>
              <w:right w:val="nil"/>
            </w:tcBorders>
            <w:shd w:val="clear" w:color="auto" w:fill="auto"/>
            <w:vAlign w:val="center"/>
          </w:tcPr>
          <w:p w14:paraId="4DC88278" w14:textId="75D1FE18" w:rsidR="00611E94" w:rsidRPr="000E5941"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24.019</w:t>
            </w:r>
          </w:p>
        </w:tc>
        <w:tc>
          <w:tcPr>
            <w:tcW w:w="666" w:type="pct"/>
            <w:tcBorders>
              <w:top w:val="nil"/>
              <w:left w:val="nil"/>
              <w:bottom w:val="nil"/>
              <w:right w:val="nil"/>
            </w:tcBorders>
            <w:shd w:val="clear" w:color="auto" w:fill="auto"/>
            <w:vAlign w:val="center"/>
          </w:tcPr>
          <w:p w14:paraId="2042126F" w14:textId="140DE73E" w:rsidR="00611E94" w:rsidRPr="000E5941"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205.028</w:t>
            </w:r>
          </w:p>
        </w:tc>
      </w:tr>
      <w:tr w:rsidR="00611E94" w:rsidRPr="00B510EC" w14:paraId="35E6B8E4" w14:textId="77777777" w:rsidTr="00312975">
        <w:trPr>
          <w:trHeight w:val="245"/>
          <w:jc w:val="center"/>
        </w:trPr>
        <w:tc>
          <w:tcPr>
            <w:tcW w:w="969" w:type="pct"/>
            <w:vAlign w:val="bottom"/>
          </w:tcPr>
          <w:p w14:paraId="58E929A7" w14:textId="77777777" w:rsidR="00611E94" w:rsidRPr="00B510EC" w:rsidRDefault="00611E94" w:rsidP="00611E94">
            <w:pPr>
              <w:tabs>
                <w:tab w:val="right" w:pos="1202"/>
              </w:tabs>
              <w:spacing w:after="0" w:line="220" w:lineRule="exact"/>
              <w:outlineLvl w:val="0"/>
              <w:rPr>
                <w:rFonts w:eastAsia="Times New Roman" w:cs="Arial"/>
                <w:sz w:val="18"/>
                <w:szCs w:val="18"/>
              </w:rPr>
            </w:pPr>
            <w:r w:rsidRPr="00B510EC">
              <w:rPr>
                <w:rFonts w:eastAsia="Times New Roman" w:cs="Arial"/>
                <w:sz w:val="18"/>
                <w:szCs w:val="18"/>
              </w:rPr>
              <w:t xml:space="preserve">Ostala imovina </w:t>
            </w:r>
          </w:p>
        </w:tc>
        <w:tc>
          <w:tcPr>
            <w:tcW w:w="673" w:type="pct"/>
            <w:tcBorders>
              <w:top w:val="nil"/>
              <w:left w:val="nil"/>
              <w:bottom w:val="single" w:sz="8" w:space="0" w:color="auto"/>
              <w:right w:val="nil"/>
            </w:tcBorders>
            <w:shd w:val="clear" w:color="auto" w:fill="auto"/>
            <w:vAlign w:val="center"/>
          </w:tcPr>
          <w:p w14:paraId="03EFC8E2" w14:textId="746CE733" w:rsidR="00611E94" w:rsidRPr="000E5941"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83</w:t>
            </w:r>
          </w:p>
        </w:tc>
        <w:tc>
          <w:tcPr>
            <w:tcW w:w="673" w:type="pct"/>
            <w:tcBorders>
              <w:top w:val="nil"/>
              <w:left w:val="nil"/>
              <w:bottom w:val="single" w:sz="8" w:space="0" w:color="auto"/>
              <w:right w:val="nil"/>
            </w:tcBorders>
            <w:shd w:val="clear" w:color="auto" w:fill="auto"/>
            <w:vAlign w:val="center"/>
          </w:tcPr>
          <w:p w14:paraId="20FA3815" w14:textId="10EE79C7" w:rsidR="00611E94" w:rsidRPr="000E5941"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33</w:t>
            </w:r>
          </w:p>
        </w:tc>
        <w:tc>
          <w:tcPr>
            <w:tcW w:w="673" w:type="pct"/>
            <w:tcBorders>
              <w:top w:val="nil"/>
              <w:left w:val="nil"/>
              <w:bottom w:val="single" w:sz="8" w:space="0" w:color="auto"/>
              <w:right w:val="nil"/>
            </w:tcBorders>
            <w:shd w:val="clear" w:color="auto" w:fill="auto"/>
            <w:vAlign w:val="center"/>
          </w:tcPr>
          <w:p w14:paraId="3A463706" w14:textId="27C290A6" w:rsidR="00611E94" w:rsidRPr="000E5941"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92</w:t>
            </w:r>
          </w:p>
        </w:tc>
        <w:tc>
          <w:tcPr>
            <w:tcW w:w="673" w:type="pct"/>
            <w:tcBorders>
              <w:top w:val="nil"/>
              <w:left w:val="nil"/>
              <w:bottom w:val="single" w:sz="8" w:space="0" w:color="auto"/>
              <w:right w:val="nil"/>
            </w:tcBorders>
            <w:shd w:val="clear" w:color="auto" w:fill="auto"/>
            <w:vAlign w:val="center"/>
          </w:tcPr>
          <w:p w14:paraId="32B9C044" w14:textId="6E340379" w:rsidR="00611E94" w:rsidRPr="000E5941"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340</w:t>
            </w:r>
          </w:p>
        </w:tc>
        <w:tc>
          <w:tcPr>
            <w:tcW w:w="673" w:type="pct"/>
            <w:tcBorders>
              <w:top w:val="nil"/>
              <w:left w:val="nil"/>
              <w:bottom w:val="single" w:sz="8" w:space="0" w:color="auto"/>
              <w:right w:val="nil"/>
            </w:tcBorders>
            <w:shd w:val="clear" w:color="auto" w:fill="auto"/>
            <w:vAlign w:val="center"/>
          </w:tcPr>
          <w:p w14:paraId="1B11B770" w14:textId="5C762A9F" w:rsidR="00611E94" w:rsidRPr="000E5941"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269</w:t>
            </w:r>
          </w:p>
        </w:tc>
        <w:tc>
          <w:tcPr>
            <w:tcW w:w="666" w:type="pct"/>
            <w:tcBorders>
              <w:top w:val="nil"/>
              <w:left w:val="nil"/>
              <w:bottom w:val="single" w:sz="8" w:space="0" w:color="auto"/>
              <w:right w:val="nil"/>
            </w:tcBorders>
            <w:shd w:val="clear" w:color="auto" w:fill="auto"/>
            <w:vAlign w:val="center"/>
          </w:tcPr>
          <w:p w14:paraId="11B70926" w14:textId="3C4E04BB" w:rsidR="00611E94" w:rsidRPr="000E5941"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817</w:t>
            </w:r>
          </w:p>
        </w:tc>
      </w:tr>
      <w:tr w:rsidR="00611E94" w:rsidRPr="00B510EC" w14:paraId="6D93A65B" w14:textId="77777777" w:rsidTr="00312975">
        <w:trPr>
          <w:trHeight w:hRule="exact" w:val="125"/>
          <w:jc w:val="center"/>
        </w:trPr>
        <w:tc>
          <w:tcPr>
            <w:tcW w:w="969" w:type="pct"/>
          </w:tcPr>
          <w:p w14:paraId="6F4FE49B" w14:textId="77777777" w:rsidR="00611E94" w:rsidRPr="00B510EC" w:rsidRDefault="00611E94" w:rsidP="00611E94">
            <w:pPr>
              <w:keepNext/>
              <w:keepLines/>
              <w:tabs>
                <w:tab w:val="decimal" w:pos="1202"/>
              </w:tabs>
              <w:spacing w:after="0" w:line="120" w:lineRule="auto"/>
              <w:rPr>
                <w:rFonts w:eastAsia="Times New Roman" w:cs="Arial"/>
                <w:b/>
                <w:position w:val="4"/>
                <w:sz w:val="18"/>
                <w:szCs w:val="18"/>
              </w:rPr>
            </w:pPr>
          </w:p>
        </w:tc>
        <w:tc>
          <w:tcPr>
            <w:tcW w:w="673" w:type="pct"/>
            <w:tcBorders>
              <w:top w:val="nil"/>
              <w:left w:val="nil"/>
              <w:bottom w:val="nil"/>
              <w:right w:val="nil"/>
            </w:tcBorders>
            <w:shd w:val="clear" w:color="auto" w:fill="auto"/>
            <w:vAlign w:val="center"/>
          </w:tcPr>
          <w:p w14:paraId="67021015" w14:textId="77777777" w:rsidR="00611E94" w:rsidRPr="000E5941" w:rsidRDefault="00611E94" w:rsidP="00611E94">
            <w:pPr>
              <w:tabs>
                <w:tab w:val="right" w:pos="1202"/>
              </w:tabs>
              <w:spacing w:after="0" w:line="301" w:lineRule="exact"/>
              <w:jc w:val="right"/>
              <w:outlineLvl w:val="0"/>
              <w:rPr>
                <w:rFonts w:ascii="Calibri" w:hAnsi="Calibri" w:cs="Arial"/>
                <w:sz w:val="18"/>
                <w:szCs w:val="18"/>
              </w:rPr>
            </w:pPr>
          </w:p>
        </w:tc>
        <w:tc>
          <w:tcPr>
            <w:tcW w:w="673" w:type="pct"/>
            <w:tcBorders>
              <w:top w:val="nil"/>
              <w:left w:val="nil"/>
              <w:bottom w:val="nil"/>
              <w:right w:val="nil"/>
            </w:tcBorders>
            <w:shd w:val="clear" w:color="auto" w:fill="auto"/>
            <w:vAlign w:val="center"/>
          </w:tcPr>
          <w:p w14:paraId="552FE68B" w14:textId="77777777" w:rsidR="00611E94" w:rsidRPr="000E5941" w:rsidRDefault="00611E94" w:rsidP="00611E94">
            <w:pPr>
              <w:tabs>
                <w:tab w:val="right" w:pos="1202"/>
              </w:tabs>
              <w:spacing w:after="0" w:line="301" w:lineRule="exact"/>
              <w:jc w:val="right"/>
              <w:outlineLvl w:val="0"/>
              <w:rPr>
                <w:rFonts w:ascii="Calibri" w:hAnsi="Calibri" w:cs="Arial"/>
                <w:sz w:val="18"/>
                <w:szCs w:val="18"/>
              </w:rPr>
            </w:pPr>
          </w:p>
        </w:tc>
        <w:tc>
          <w:tcPr>
            <w:tcW w:w="673" w:type="pct"/>
            <w:tcBorders>
              <w:top w:val="nil"/>
              <w:left w:val="nil"/>
              <w:bottom w:val="nil"/>
              <w:right w:val="nil"/>
            </w:tcBorders>
            <w:shd w:val="clear" w:color="auto" w:fill="auto"/>
            <w:vAlign w:val="center"/>
          </w:tcPr>
          <w:p w14:paraId="29AC586F" w14:textId="77777777" w:rsidR="00611E94" w:rsidRPr="000E5941" w:rsidRDefault="00611E94" w:rsidP="00611E94">
            <w:pPr>
              <w:tabs>
                <w:tab w:val="right" w:pos="1202"/>
              </w:tabs>
              <w:spacing w:after="0" w:line="301" w:lineRule="exact"/>
              <w:jc w:val="right"/>
              <w:outlineLvl w:val="0"/>
              <w:rPr>
                <w:rFonts w:ascii="Calibri" w:hAnsi="Calibri" w:cs="Arial"/>
                <w:sz w:val="18"/>
                <w:szCs w:val="18"/>
              </w:rPr>
            </w:pPr>
          </w:p>
        </w:tc>
        <w:tc>
          <w:tcPr>
            <w:tcW w:w="673" w:type="pct"/>
            <w:tcBorders>
              <w:top w:val="nil"/>
              <w:left w:val="nil"/>
              <w:bottom w:val="nil"/>
              <w:right w:val="nil"/>
            </w:tcBorders>
            <w:shd w:val="clear" w:color="auto" w:fill="auto"/>
            <w:vAlign w:val="center"/>
          </w:tcPr>
          <w:p w14:paraId="53C9706A" w14:textId="77777777" w:rsidR="00611E94" w:rsidRPr="000E5941" w:rsidRDefault="00611E94" w:rsidP="00611E94">
            <w:pPr>
              <w:tabs>
                <w:tab w:val="right" w:pos="1202"/>
              </w:tabs>
              <w:spacing w:after="0" w:line="301" w:lineRule="exact"/>
              <w:jc w:val="right"/>
              <w:outlineLvl w:val="0"/>
              <w:rPr>
                <w:rFonts w:ascii="Calibri" w:hAnsi="Calibri" w:cs="Arial"/>
                <w:sz w:val="18"/>
                <w:szCs w:val="18"/>
              </w:rPr>
            </w:pPr>
          </w:p>
        </w:tc>
        <w:tc>
          <w:tcPr>
            <w:tcW w:w="673" w:type="pct"/>
            <w:tcBorders>
              <w:top w:val="nil"/>
              <w:left w:val="nil"/>
              <w:bottom w:val="nil"/>
              <w:right w:val="nil"/>
            </w:tcBorders>
            <w:shd w:val="clear" w:color="auto" w:fill="auto"/>
            <w:vAlign w:val="center"/>
          </w:tcPr>
          <w:p w14:paraId="71EA8765" w14:textId="77777777" w:rsidR="00611E94" w:rsidRPr="000E5941" w:rsidRDefault="00611E94" w:rsidP="00611E94">
            <w:pPr>
              <w:tabs>
                <w:tab w:val="right" w:pos="1202"/>
              </w:tabs>
              <w:spacing w:after="0" w:line="301" w:lineRule="exact"/>
              <w:jc w:val="right"/>
              <w:outlineLvl w:val="0"/>
              <w:rPr>
                <w:rFonts w:ascii="Calibri" w:hAnsi="Calibri" w:cs="Arial"/>
                <w:sz w:val="18"/>
                <w:szCs w:val="18"/>
              </w:rPr>
            </w:pPr>
          </w:p>
        </w:tc>
        <w:tc>
          <w:tcPr>
            <w:tcW w:w="666" w:type="pct"/>
            <w:tcBorders>
              <w:top w:val="nil"/>
              <w:left w:val="nil"/>
              <w:bottom w:val="nil"/>
              <w:right w:val="nil"/>
            </w:tcBorders>
            <w:shd w:val="clear" w:color="auto" w:fill="auto"/>
            <w:vAlign w:val="center"/>
          </w:tcPr>
          <w:p w14:paraId="4D591551" w14:textId="77777777" w:rsidR="00611E94" w:rsidRPr="000E5941" w:rsidRDefault="00611E94" w:rsidP="00611E94">
            <w:pPr>
              <w:tabs>
                <w:tab w:val="right" w:pos="1202"/>
              </w:tabs>
              <w:spacing w:after="0" w:line="301" w:lineRule="exact"/>
              <w:jc w:val="right"/>
              <w:outlineLvl w:val="0"/>
              <w:rPr>
                <w:rFonts w:ascii="Calibri" w:hAnsi="Calibri" w:cs="Arial"/>
                <w:sz w:val="18"/>
                <w:szCs w:val="18"/>
              </w:rPr>
            </w:pPr>
          </w:p>
        </w:tc>
      </w:tr>
      <w:tr w:rsidR="00611E94" w:rsidRPr="00B510EC" w14:paraId="64691FAA" w14:textId="77777777" w:rsidTr="00312975">
        <w:trPr>
          <w:trHeight w:val="261"/>
          <w:jc w:val="center"/>
        </w:trPr>
        <w:tc>
          <w:tcPr>
            <w:tcW w:w="969" w:type="pct"/>
          </w:tcPr>
          <w:p w14:paraId="5461DA68" w14:textId="77777777" w:rsidR="00611E94" w:rsidRPr="00B510EC" w:rsidRDefault="00611E94" w:rsidP="00611E94">
            <w:pPr>
              <w:tabs>
                <w:tab w:val="right" w:pos="1202"/>
              </w:tabs>
              <w:spacing w:after="0" w:line="340" w:lineRule="exact"/>
              <w:outlineLvl w:val="0"/>
              <w:rPr>
                <w:rFonts w:eastAsia="Times New Roman" w:cs="Arial"/>
                <w:b/>
                <w:bCs/>
                <w:sz w:val="18"/>
                <w:szCs w:val="18"/>
              </w:rPr>
            </w:pPr>
            <w:r w:rsidRPr="00B510EC">
              <w:rPr>
                <w:rFonts w:eastAsia="Times New Roman" w:cs="Arial"/>
                <w:b/>
                <w:bCs/>
                <w:sz w:val="18"/>
                <w:szCs w:val="18"/>
              </w:rPr>
              <w:t>Ukupno</w:t>
            </w:r>
          </w:p>
        </w:tc>
        <w:tc>
          <w:tcPr>
            <w:tcW w:w="673" w:type="pct"/>
            <w:tcBorders>
              <w:top w:val="nil"/>
              <w:left w:val="nil"/>
              <w:bottom w:val="single" w:sz="12" w:space="0" w:color="auto"/>
              <w:right w:val="nil"/>
            </w:tcBorders>
            <w:shd w:val="clear" w:color="auto" w:fill="auto"/>
            <w:vAlign w:val="center"/>
          </w:tcPr>
          <w:p w14:paraId="4904B09B" w14:textId="18185426" w:rsidR="00611E94" w:rsidRPr="00611E94" w:rsidRDefault="00611E94" w:rsidP="00611E94">
            <w:pPr>
              <w:tabs>
                <w:tab w:val="right" w:pos="1202"/>
              </w:tabs>
              <w:spacing w:after="0" w:line="301" w:lineRule="exact"/>
              <w:jc w:val="right"/>
              <w:outlineLvl w:val="0"/>
              <w:rPr>
                <w:rFonts w:ascii="Calibri" w:hAnsi="Calibri" w:cs="Arial"/>
                <w:b/>
                <w:sz w:val="18"/>
                <w:szCs w:val="18"/>
              </w:rPr>
            </w:pPr>
            <w:r w:rsidRPr="00312975">
              <w:rPr>
                <w:rFonts w:ascii="Calibri" w:hAnsi="Calibri" w:cs="Arial"/>
                <w:b/>
                <w:sz w:val="18"/>
                <w:szCs w:val="18"/>
              </w:rPr>
              <w:t>139.024</w:t>
            </w:r>
          </w:p>
        </w:tc>
        <w:tc>
          <w:tcPr>
            <w:tcW w:w="673" w:type="pct"/>
            <w:tcBorders>
              <w:top w:val="nil"/>
              <w:left w:val="nil"/>
              <w:bottom w:val="single" w:sz="12" w:space="0" w:color="auto"/>
              <w:right w:val="nil"/>
            </w:tcBorders>
            <w:shd w:val="clear" w:color="auto" w:fill="auto"/>
            <w:vAlign w:val="center"/>
          </w:tcPr>
          <w:p w14:paraId="53F80891" w14:textId="786103F4" w:rsidR="00611E94" w:rsidRPr="00611E94" w:rsidRDefault="00611E94" w:rsidP="00611E94">
            <w:pPr>
              <w:tabs>
                <w:tab w:val="right" w:pos="1202"/>
              </w:tabs>
              <w:spacing w:after="0" w:line="301" w:lineRule="exact"/>
              <w:jc w:val="right"/>
              <w:outlineLvl w:val="0"/>
              <w:rPr>
                <w:rFonts w:ascii="Calibri" w:hAnsi="Calibri" w:cs="Arial"/>
                <w:b/>
                <w:sz w:val="18"/>
                <w:szCs w:val="18"/>
              </w:rPr>
            </w:pPr>
            <w:r w:rsidRPr="00312975">
              <w:rPr>
                <w:rFonts w:ascii="Calibri" w:hAnsi="Calibri" w:cs="Arial"/>
                <w:b/>
                <w:sz w:val="18"/>
                <w:szCs w:val="18"/>
              </w:rPr>
              <w:t>76.565</w:t>
            </w:r>
          </w:p>
        </w:tc>
        <w:tc>
          <w:tcPr>
            <w:tcW w:w="673" w:type="pct"/>
            <w:tcBorders>
              <w:top w:val="nil"/>
              <w:left w:val="nil"/>
              <w:bottom w:val="single" w:sz="12" w:space="0" w:color="auto"/>
              <w:right w:val="nil"/>
            </w:tcBorders>
            <w:shd w:val="clear" w:color="auto" w:fill="auto"/>
            <w:vAlign w:val="center"/>
          </w:tcPr>
          <w:p w14:paraId="6D6D8FD8" w14:textId="3CE192CA" w:rsidR="00611E94" w:rsidRPr="00611E94" w:rsidRDefault="00611E94" w:rsidP="00611E94">
            <w:pPr>
              <w:tabs>
                <w:tab w:val="right" w:pos="1202"/>
              </w:tabs>
              <w:spacing w:after="0" w:line="301" w:lineRule="exact"/>
              <w:jc w:val="right"/>
              <w:outlineLvl w:val="0"/>
              <w:rPr>
                <w:rFonts w:ascii="Calibri" w:hAnsi="Calibri" w:cs="Arial"/>
                <w:b/>
                <w:sz w:val="18"/>
                <w:szCs w:val="18"/>
              </w:rPr>
            </w:pPr>
            <w:r w:rsidRPr="00312975">
              <w:rPr>
                <w:rFonts w:ascii="Calibri" w:hAnsi="Calibri" w:cs="Arial"/>
                <w:b/>
                <w:sz w:val="18"/>
                <w:szCs w:val="18"/>
              </w:rPr>
              <w:t>34.654</w:t>
            </w:r>
          </w:p>
        </w:tc>
        <w:tc>
          <w:tcPr>
            <w:tcW w:w="673" w:type="pct"/>
            <w:tcBorders>
              <w:top w:val="nil"/>
              <w:left w:val="nil"/>
              <w:bottom w:val="single" w:sz="12" w:space="0" w:color="auto"/>
              <w:right w:val="nil"/>
            </w:tcBorders>
            <w:shd w:val="clear" w:color="auto" w:fill="auto"/>
            <w:vAlign w:val="center"/>
          </w:tcPr>
          <w:p w14:paraId="1F344443" w14:textId="34C91FA2" w:rsidR="00611E94" w:rsidRPr="00611E94" w:rsidRDefault="00611E94" w:rsidP="00611E94">
            <w:pPr>
              <w:tabs>
                <w:tab w:val="right" w:pos="1202"/>
              </w:tabs>
              <w:spacing w:after="0" w:line="301" w:lineRule="exact"/>
              <w:jc w:val="right"/>
              <w:outlineLvl w:val="0"/>
              <w:rPr>
                <w:rFonts w:ascii="Calibri" w:hAnsi="Calibri" w:cs="Arial"/>
                <w:b/>
                <w:sz w:val="18"/>
                <w:szCs w:val="18"/>
              </w:rPr>
            </w:pPr>
            <w:r w:rsidRPr="00312975">
              <w:rPr>
                <w:rFonts w:ascii="Calibri" w:hAnsi="Calibri" w:cs="Arial"/>
                <w:b/>
                <w:sz w:val="18"/>
                <w:szCs w:val="18"/>
              </w:rPr>
              <w:t>22.210</w:t>
            </w:r>
          </w:p>
        </w:tc>
        <w:tc>
          <w:tcPr>
            <w:tcW w:w="673" w:type="pct"/>
            <w:tcBorders>
              <w:top w:val="nil"/>
              <w:left w:val="nil"/>
              <w:bottom w:val="single" w:sz="12" w:space="0" w:color="auto"/>
              <w:right w:val="nil"/>
            </w:tcBorders>
            <w:shd w:val="clear" w:color="auto" w:fill="auto"/>
            <w:vAlign w:val="center"/>
          </w:tcPr>
          <w:p w14:paraId="332B7C4F" w14:textId="22CF51EF" w:rsidR="00611E94" w:rsidRPr="00611E94" w:rsidRDefault="00611E94" w:rsidP="00611E94">
            <w:pPr>
              <w:tabs>
                <w:tab w:val="right" w:pos="1202"/>
              </w:tabs>
              <w:spacing w:after="0" w:line="301" w:lineRule="exact"/>
              <w:jc w:val="right"/>
              <w:outlineLvl w:val="0"/>
              <w:rPr>
                <w:rFonts w:ascii="Calibri" w:hAnsi="Calibri" w:cs="Arial"/>
                <w:b/>
                <w:sz w:val="18"/>
                <w:szCs w:val="18"/>
              </w:rPr>
            </w:pPr>
            <w:r w:rsidRPr="00312975">
              <w:rPr>
                <w:rFonts w:ascii="Calibri" w:hAnsi="Calibri" w:cs="Arial"/>
                <w:b/>
                <w:sz w:val="18"/>
                <w:szCs w:val="18"/>
              </w:rPr>
              <w:t>38.180</w:t>
            </w:r>
          </w:p>
        </w:tc>
        <w:tc>
          <w:tcPr>
            <w:tcW w:w="666" w:type="pct"/>
            <w:tcBorders>
              <w:top w:val="nil"/>
              <w:left w:val="nil"/>
              <w:bottom w:val="single" w:sz="12" w:space="0" w:color="auto"/>
              <w:right w:val="nil"/>
            </w:tcBorders>
            <w:shd w:val="clear" w:color="auto" w:fill="auto"/>
            <w:vAlign w:val="center"/>
          </w:tcPr>
          <w:p w14:paraId="264C9E7E" w14:textId="06870DA0" w:rsidR="00611E94" w:rsidRPr="00611E94" w:rsidRDefault="00611E94" w:rsidP="00611E94">
            <w:pPr>
              <w:tabs>
                <w:tab w:val="right" w:pos="1202"/>
              </w:tabs>
              <w:spacing w:after="0" w:line="301" w:lineRule="exact"/>
              <w:jc w:val="right"/>
              <w:outlineLvl w:val="0"/>
              <w:rPr>
                <w:rFonts w:ascii="Calibri" w:hAnsi="Calibri" w:cs="Arial"/>
                <w:b/>
                <w:sz w:val="18"/>
                <w:szCs w:val="18"/>
              </w:rPr>
            </w:pPr>
            <w:r w:rsidRPr="00312975">
              <w:rPr>
                <w:rFonts w:ascii="Calibri" w:hAnsi="Calibri" w:cs="Arial"/>
                <w:b/>
                <w:sz w:val="18"/>
                <w:szCs w:val="18"/>
              </w:rPr>
              <w:t>310.633</w:t>
            </w:r>
          </w:p>
        </w:tc>
      </w:tr>
      <w:tr w:rsidR="00B510EC" w:rsidRPr="00B510EC" w14:paraId="01AB0993" w14:textId="77777777" w:rsidTr="00611E94">
        <w:trPr>
          <w:trHeight w:val="48"/>
          <w:jc w:val="center"/>
        </w:trPr>
        <w:tc>
          <w:tcPr>
            <w:tcW w:w="969" w:type="pct"/>
          </w:tcPr>
          <w:p w14:paraId="2FF09912" w14:textId="77777777" w:rsidR="00B510EC" w:rsidRPr="00B510EC" w:rsidRDefault="00B510EC" w:rsidP="00B510EC">
            <w:pPr>
              <w:keepNext/>
              <w:keepLines/>
              <w:tabs>
                <w:tab w:val="decimal" w:pos="1202"/>
              </w:tabs>
              <w:spacing w:after="0" w:line="240" w:lineRule="auto"/>
              <w:rPr>
                <w:rFonts w:eastAsia="Times New Roman" w:cs="Arial"/>
                <w:b/>
                <w:position w:val="4"/>
                <w:sz w:val="18"/>
                <w:szCs w:val="18"/>
                <w:u w:val="thick"/>
              </w:rPr>
            </w:pPr>
          </w:p>
        </w:tc>
        <w:tc>
          <w:tcPr>
            <w:tcW w:w="673" w:type="pct"/>
            <w:tcBorders>
              <w:top w:val="single" w:sz="12" w:space="0" w:color="auto"/>
            </w:tcBorders>
            <w:vAlign w:val="bottom"/>
          </w:tcPr>
          <w:p w14:paraId="3C2D18FD" w14:textId="77777777" w:rsidR="00B510EC" w:rsidRPr="00B510EC" w:rsidRDefault="00B510EC" w:rsidP="00B510EC">
            <w:pPr>
              <w:keepNext/>
              <w:keepLines/>
              <w:tabs>
                <w:tab w:val="decimal" w:pos="1202"/>
              </w:tabs>
              <w:spacing w:after="0" w:line="240" w:lineRule="auto"/>
              <w:jc w:val="right"/>
              <w:rPr>
                <w:rFonts w:eastAsia="Times New Roman" w:cs="Arial"/>
                <w:b/>
                <w:position w:val="4"/>
                <w:sz w:val="18"/>
                <w:szCs w:val="18"/>
                <w:u w:val="thick"/>
              </w:rPr>
            </w:pPr>
          </w:p>
        </w:tc>
        <w:tc>
          <w:tcPr>
            <w:tcW w:w="673" w:type="pct"/>
            <w:tcBorders>
              <w:top w:val="single" w:sz="12" w:space="0" w:color="auto"/>
            </w:tcBorders>
            <w:vAlign w:val="bottom"/>
          </w:tcPr>
          <w:p w14:paraId="29246665" w14:textId="77777777" w:rsidR="00B510EC" w:rsidRPr="00B510EC" w:rsidRDefault="00B510EC" w:rsidP="00B510EC">
            <w:pPr>
              <w:keepNext/>
              <w:keepLines/>
              <w:tabs>
                <w:tab w:val="decimal" w:pos="1202"/>
              </w:tabs>
              <w:spacing w:after="0" w:line="240" w:lineRule="auto"/>
              <w:jc w:val="right"/>
              <w:rPr>
                <w:rFonts w:eastAsia="Times New Roman" w:cs="Arial"/>
                <w:b/>
                <w:snapToGrid w:val="0"/>
                <w:position w:val="4"/>
                <w:sz w:val="18"/>
                <w:szCs w:val="18"/>
                <w:u w:val="thick"/>
              </w:rPr>
            </w:pPr>
          </w:p>
        </w:tc>
        <w:tc>
          <w:tcPr>
            <w:tcW w:w="673" w:type="pct"/>
            <w:tcBorders>
              <w:top w:val="single" w:sz="12" w:space="0" w:color="auto"/>
            </w:tcBorders>
            <w:vAlign w:val="bottom"/>
          </w:tcPr>
          <w:p w14:paraId="74790B47" w14:textId="77777777" w:rsidR="00B510EC" w:rsidRPr="00B510EC" w:rsidRDefault="00B510EC" w:rsidP="00B510EC">
            <w:pPr>
              <w:keepNext/>
              <w:keepLines/>
              <w:tabs>
                <w:tab w:val="decimal" w:pos="1202"/>
              </w:tabs>
              <w:spacing w:after="0" w:line="240" w:lineRule="auto"/>
              <w:jc w:val="right"/>
              <w:rPr>
                <w:rFonts w:eastAsia="Times New Roman" w:cs="Arial"/>
                <w:b/>
                <w:snapToGrid w:val="0"/>
                <w:position w:val="4"/>
                <w:sz w:val="18"/>
                <w:szCs w:val="18"/>
                <w:u w:val="thick"/>
              </w:rPr>
            </w:pPr>
          </w:p>
        </w:tc>
        <w:tc>
          <w:tcPr>
            <w:tcW w:w="673" w:type="pct"/>
            <w:tcBorders>
              <w:top w:val="single" w:sz="12" w:space="0" w:color="auto"/>
            </w:tcBorders>
            <w:vAlign w:val="bottom"/>
          </w:tcPr>
          <w:p w14:paraId="62B293C8" w14:textId="77777777" w:rsidR="00B510EC" w:rsidRPr="00B510EC" w:rsidRDefault="00B510EC" w:rsidP="00B510EC">
            <w:pPr>
              <w:keepNext/>
              <w:keepLines/>
              <w:tabs>
                <w:tab w:val="decimal" w:pos="1202"/>
              </w:tabs>
              <w:spacing w:after="0" w:line="240" w:lineRule="auto"/>
              <w:jc w:val="right"/>
              <w:rPr>
                <w:rFonts w:eastAsia="Times New Roman" w:cs="Arial"/>
                <w:b/>
                <w:snapToGrid w:val="0"/>
                <w:position w:val="4"/>
                <w:sz w:val="18"/>
                <w:szCs w:val="18"/>
                <w:u w:val="thick"/>
              </w:rPr>
            </w:pPr>
          </w:p>
        </w:tc>
        <w:tc>
          <w:tcPr>
            <w:tcW w:w="673" w:type="pct"/>
            <w:tcBorders>
              <w:top w:val="single" w:sz="12" w:space="0" w:color="auto"/>
            </w:tcBorders>
            <w:vAlign w:val="bottom"/>
          </w:tcPr>
          <w:p w14:paraId="77DC5C8F" w14:textId="77777777" w:rsidR="00B510EC" w:rsidRPr="00B510EC" w:rsidRDefault="00B510EC" w:rsidP="00B510EC">
            <w:pPr>
              <w:keepNext/>
              <w:keepLines/>
              <w:tabs>
                <w:tab w:val="decimal" w:pos="1202"/>
              </w:tabs>
              <w:spacing w:after="0" w:line="240" w:lineRule="auto"/>
              <w:jc w:val="right"/>
              <w:rPr>
                <w:rFonts w:eastAsia="Times New Roman" w:cs="Arial"/>
                <w:b/>
                <w:snapToGrid w:val="0"/>
                <w:position w:val="4"/>
                <w:sz w:val="18"/>
                <w:szCs w:val="18"/>
                <w:u w:val="thick"/>
              </w:rPr>
            </w:pPr>
          </w:p>
        </w:tc>
        <w:tc>
          <w:tcPr>
            <w:tcW w:w="666" w:type="pct"/>
            <w:tcBorders>
              <w:top w:val="single" w:sz="12" w:space="0" w:color="auto"/>
            </w:tcBorders>
            <w:vAlign w:val="bottom"/>
          </w:tcPr>
          <w:p w14:paraId="5BD7D248" w14:textId="77777777" w:rsidR="00B510EC" w:rsidRPr="00B510EC" w:rsidRDefault="00B510EC" w:rsidP="00B510EC">
            <w:pPr>
              <w:keepNext/>
              <w:keepLines/>
              <w:tabs>
                <w:tab w:val="decimal" w:pos="1202"/>
              </w:tabs>
              <w:spacing w:after="0" w:line="240" w:lineRule="auto"/>
              <w:jc w:val="right"/>
              <w:rPr>
                <w:rFonts w:eastAsia="Times New Roman" w:cs="Arial"/>
                <w:b/>
                <w:snapToGrid w:val="0"/>
                <w:position w:val="4"/>
                <w:sz w:val="18"/>
                <w:szCs w:val="18"/>
                <w:u w:val="thick"/>
              </w:rPr>
            </w:pPr>
          </w:p>
        </w:tc>
      </w:tr>
    </w:tbl>
    <w:p w14:paraId="199AF1B8" w14:textId="77777777" w:rsidR="00B510EC" w:rsidRDefault="00B510EC" w:rsidP="00BE35B9">
      <w:pPr>
        <w:spacing w:after="0" w:line="240" w:lineRule="auto"/>
        <w:jc w:val="both"/>
        <w:rPr>
          <w:rFonts w:cs="Arial"/>
          <w:sz w:val="20"/>
          <w:szCs w:val="20"/>
        </w:rPr>
      </w:pPr>
    </w:p>
    <w:p w14:paraId="4B996D0C" w14:textId="77777777" w:rsidR="00744A29" w:rsidRDefault="00744A29" w:rsidP="00BE35B9">
      <w:pPr>
        <w:spacing w:after="0" w:line="240" w:lineRule="auto"/>
        <w:jc w:val="both"/>
        <w:rPr>
          <w:rFonts w:cs="Arial"/>
          <w:sz w:val="20"/>
          <w:szCs w:val="20"/>
        </w:rPr>
      </w:pPr>
    </w:p>
    <w:tbl>
      <w:tblPr>
        <w:tblW w:w="4977" w:type="pct"/>
        <w:jc w:val="center"/>
        <w:tblLayout w:type="fixed"/>
        <w:tblLook w:val="0000" w:firstRow="0" w:lastRow="0" w:firstColumn="0" w:lastColumn="0" w:noHBand="0" w:noVBand="0"/>
      </w:tblPr>
      <w:tblGrid>
        <w:gridCol w:w="1794"/>
        <w:gridCol w:w="1254"/>
        <w:gridCol w:w="1253"/>
        <w:gridCol w:w="1253"/>
        <w:gridCol w:w="1253"/>
        <w:gridCol w:w="1253"/>
        <w:gridCol w:w="1251"/>
      </w:tblGrid>
      <w:tr w:rsidR="00B510EC" w:rsidRPr="00744A29" w14:paraId="500EC73B" w14:textId="77777777" w:rsidTr="006F2872">
        <w:trPr>
          <w:trHeight w:hRule="exact" w:val="524"/>
          <w:jc w:val="center"/>
        </w:trPr>
        <w:tc>
          <w:tcPr>
            <w:tcW w:w="963" w:type="pct"/>
          </w:tcPr>
          <w:p w14:paraId="6837E4DA" w14:textId="77777777" w:rsidR="00B510EC" w:rsidRPr="00744A29" w:rsidRDefault="00B510EC" w:rsidP="00B510EC">
            <w:pPr>
              <w:spacing w:after="0" w:line="240" w:lineRule="auto"/>
              <w:rPr>
                <w:rFonts w:eastAsia="Times New Roman" w:cs="Arial"/>
                <w:b/>
                <w:sz w:val="18"/>
                <w:szCs w:val="18"/>
              </w:rPr>
            </w:pPr>
            <w:r w:rsidRPr="00744A29">
              <w:rPr>
                <w:rFonts w:eastAsia="Times New Roman" w:cs="Arial"/>
                <w:b/>
                <w:sz w:val="18"/>
                <w:szCs w:val="18"/>
              </w:rPr>
              <w:t>Grupa</w:t>
            </w:r>
          </w:p>
          <w:p w14:paraId="43537B34" w14:textId="1F59A811" w:rsidR="00B510EC" w:rsidRPr="00744A29" w:rsidRDefault="00B510EC" w:rsidP="00744A29">
            <w:pPr>
              <w:spacing w:after="0" w:line="240" w:lineRule="auto"/>
              <w:rPr>
                <w:rFonts w:eastAsia="Times New Roman" w:cs="Arial"/>
                <w:b/>
                <w:sz w:val="18"/>
                <w:szCs w:val="18"/>
              </w:rPr>
            </w:pPr>
            <w:r w:rsidRPr="00744A29">
              <w:rPr>
                <w:rFonts w:eastAsia="Times New Roman" w:cs="Arial"/>
                <w:b/>
                <w:sz w:val="18"/>
                <w:szCs w:val="18"/>
              </w:rPr>
              <w:t>31.12.201</w:t>
            </w:r>
            <w:r w:rsidR="00744A29" w:rsidRPr="00744A29">
              <w:rPr>
                <w:rFonts w:eastAsia="Times New Roman" w:cs="Arial"/>
                <w:b/>
                <w:sz w:val="18"/>
                <w:szCs w:val="18"/>
              </w:rPr>
              <w:t>6</w:t>
            </w:r>
            <w:r w:rsidRPr="00744A29">
              <w:rPr>
                <w:rFonts w:eastAsia="Times New Roman" w:cs="Arial"/>
                <w:b/>
                <w:sz w:val="18"/>
                <w:szCs w:val="18"/>
              </w:rPr>
              <w:t>.</w:t>
            </w:r>
          </w:p>
        </w:tc>
        <w:tc>
          <w:tcPr>
            <w:tcW w:w="673" w:type="pct"/>
            <w:vAlign w:val="center"/>
          </w:tcPr>
          <w:p w14:paraId="74AA44F7" w14:textId="77777777" w:rsidR="00B510EC" w:rsidRPr="00744A29" w:rsidRDefault="00B510EC" w:rsidP="00B510EC">
            <w:pPr>
              <w:tabs>
                <w:tab w:val="right" w:pos="1202"/>
              </w:tabs>
              <w:spacing w:after="0" w:line="240" w:lineRule="auto"/>
              <w:jc w:val="right"/>
              <w:outlineLvl w:val="0"/>
              <w:rPr>
                <w:rFonts w:eastAsia="Times New Roman" w:cs="Arial"/>
                <w:b/>
                <w:noProof/>
                <w:sz w:val="18"/>
                <w:szCs w:val="18"/>
              </w:rPr>
            </w:pPr>
            <w:r w:rsidRPr="00744A29">
              <w:rPr>
                <w:rFonts w:eastAsia="Times New Roman" w:cs="Arial"/>
                <w:b/>
                <w:noProof/>
                <w:sz w:val="18"/>
                <w:szCs w:val="18"/>
              </w:rPr>
              <w:t xml:space="preserve">Do 15 </w:t>
            </w:r>
          </w:p>
          <w:p w14:paraId="4324B815" w14:textId="77777777" w:rsidR="00B510EC" w:rsidRPr="00744A29" w:rsidRDefault="00B510EC" w:rsidP="00B510EC">
            <w:pPr>
              <w:tabs>
                <w:tab w:val="right" w:pos="1202"/>
              </w:tabs>
              <w:spacing w:after="0" w:line="240" w:lineRule="auto"/>
              <w:jc w:val="right"/>
              <w:outlineLvl w:val="0"/>
              <w:rPr>
                <w:rFonts w:eastAsia="Times New Roman" w:cs="Arial"/>
                <w:b/>
                <w:noProof/>
                <w:sz w:val="18"/>
                <w:szCs w:val="18"/>
              </w:rPr>
            </w:pPr>
            <w:r w:rsidRPr="00744A29">
              <w:rPr>
                <w:rFonts w:eastAsia="Times New Roman" w:cs="Arial"/>
                <w:b/>
                <w:noProof/>
                <w:sz w:val="18"/>
                <w:szCs w:val="18"/>
              </w:rPr>
              <w:t xml:space="preserve">dana </w:t>
            </w:r>
          </w:p>
          <w:p w14:paraId="72B6DD4F" w14:textId="77777777" w:rsidR="00B510EC" w:rsidRPr="00744A29" w:rsidRDefault="00B510EC" w:rsidP="00B510EC">
            <w:pPr>
              <w:tabs>
                <w:tab w:val="right" w:pos="1202"/>
              </w:tabs>
              <w:spacing w:after="0" w:line="240" w:lineRule="auto"/>
              <w:jc w:val="right"/>
              <w:outlineLvl w:val="0"/>
              <w:rPr>
                <w:rFonts w:eastAsia="Times New Roman" w:cs="Arial"/>
                <w:b/>
                <w:noProof/>
                <w:sz w:val="18"/>
                <w:szCs w:val="18"/>
              </w:rPr>
            </w:pPr>
          </w:p>
        </w:tc>
        <w:tc>
          <w:tcPr>
            <w:tcW w:w="673" w:type="pct"/>
            <w:vAlign w:val="center"/>
          </w:tcPr>
          <w:p w14:paraId="6C551E2D" w14:textId="77777777" w:rsidR="00B510EC" w:rsidRPr="00744A29" w:rsidRDefault="00B510EC" w:rsidP="00B510EC">
            <w:pPr>
              <w:spacing w:after="0" w:line="240" w:lineRule="auto"/>
              <w:jc w:val="right"/>
              <w:rPr>
                <w:rFonts w:eastAsia="Times New Roman" w:cs="Arial"/>
                <w:b/>
                <w:noProof/>
                <w:sz w:val="18"/>
                <w:szCs w:val="18"/>
              </w:rPr>
            </w:pPr>
            <w:r w:rsidRPr="00744A29">
              <w:rPr>
                <w:rFonts w:eastAsia="Times New Roman" w:cs="Arial"/>
                <w:b/>
                <w:noProof/>
                <w:sz w:val="18"/>
                <w:szCs w:val="18"/>
              </w:rPr>
              <w:t xml:space="preserve">16 do 30 </w:t>
            </w:r>
          </w:p>
          <w:p w14:paraId="18739591" w14:textId="77777777" w:rsidR="00B510EC" w:rsidRPr="00744A29" w:rsidRDefault="00B510EC" w:rsidP="00B510EC">
            <w:pPr>
              <w:spacing w:after="0" w:line="240" w:lineRule="auto"/>
              <w:jc w:val="right"/>
              <w:rPr>
                <w:rFonts w:eastAsia="Times New Roman" w:cs="Arial"/>
                <w:b/>
                <w:noProof/>
                <w:sz w:val="18"/>
                <w:szCs w:val="18"/>
              </w:rPr>
            </w:pPr>
            <w:r w:rsidRPr="00744A29">
              <w:rPr>
                <w:rFonts w:eastAsia="Times New Roman" w:cs="Arial"/>
                <w:b/>
                <w:noProof/>
                <w:sz w:val="18"/>
                <w:szCs w:val="18"/>
              </w:rPr>
              <w:t xml:space="preserve">dana </w:t>
            </w:r>
          </w:p>
          <w:p w14:paraId="253DA0D6" w14:textId="77777777" w:rsidR="00B510EC" w:rsidRPr="00744A29" w:rsidRDefault="00B510EC" w:rsidP="00B510EC">
            <w:pPr>
              <w:spacing w:after="0" w:line="240" w:lineRule="auto"/>
              <w:jc w:val="right"/>
              <w:rPr>
                <w:rFonts w:eastAsia="Times New Roman" w:cs="Arial"/>
                <w:b/>
                <w:noProof/>
                <w:sz w:val="18"/>
                <w:szCs w:val="18"/>
              </w:rPr>
            </w:pPr>
          </w:p>
        </w:tc>
        <w:tc>
          <w:tcPr>
            <w:tcW w:w="673" w:type="pct"/>
            <w:vAlign w:val="center"/>
          </w:tcPr>
          <w:p w14:paraId="484FFE52" w14:textId="77777777" w:rsidR="00B510EC" w:rsidRPr="00744A29" w:rsidRDefault="00B510EC" w:rsidP="00B510EC">
            <w:pPr>
              <w:spacing w:after="0" w:line="240" w:lineRule="auto"/>
              <w:jc w:val="right"/>
              <w:rPr>
                <w:rFonts w:eastAsia="Times New Roman" w:cs="Arial"/>
                <w:b/>
                <w:noProof/>
                <w:sz w:val="18"/>
                <w:szCs w:val="18"/>
              </w:rPr>
            </w:pPr>
            <w:r w:rsidRPr="00744A29">
              <w:rPr>
                <w:rFonts w:eastAsia="Times New Roman" w:cs="Arial"/>
                <w:b/>
                <w:noProof/>
                <w:sz w:val="18"/>
                <w:szCs w:val="18"/>
              </w:rPr>
              <w:t xml:space="preserve">31 do 60 </w:t>
            </w:r>
          </w:p>
          <w:p w14:paraId="3FDC5BB1" w14:textId="77777777" w:rsidR="00B510EC" w:rsidRPr="00744A29" w:rsidRDefault="00B510EC" w:rsidP="00B510EC">
            <w:pPr>
              <w:spacing w:after="0" w:line="240" w:lineRule="auto"/>
              <w:jc w:val="right"/>
              <w:rPr>
                <w:rFonts w:eastAsia="Times New Roman" w:cs="Arial"/>
                <w:b/>
                <w:noProof/>
                <w:sz w:val="18"/>
                <w:szCs w:val="18"/>
              </w:rPr>
            </w:pPr>
            <w:r w:rsidRPr="00744A29">
              <w:rPr>
                <w:rFonts w:eastAsia="Times New Roman" w:cs="Arial"/>
                <w:b/>
                <w:noProof/>
                <w:sz w:val="18"/>
                <w:szCs w:val="18"/>
              </w:rPr>
              <w:t xml:space="preserve">dana </w:t>
            </w:r>
          </w:p>
          <w:p w14:paraId="03B66F38" w14:textId="77777777" w:rsidR="00B510EC" w:rsidRPr="00744A29" w:rsidRDefault="00B510EC" w:rsidP="00B510EC">
            <w:pPr>
              <w:spacing w:after="0" w:line="240" w:lineRule="auto"/>
              <w:jc w:val="right"/>
              <w:rPr>
                <w:rFonts w:eastAsia="Times New Roman" w:cs="Arial"/>
                <w:b/>
                <w:noProof/>
                <w:sz w:val="18"/>
                <w:szCs w:val="18"/>
              </w:rPr>
            </w:pPr>
          </w:p>
        </w:tc>
        <w:tc>
          <w:tcPr>
            <w:tcW w:w="673" w:type="pct"/>
            <w:vAlign w:val="center"/>
          </w:tcPr>
          <w:p w14:paraId="08D569A0" w14:textId="77777777" w:rsidR="00B510EC" w:rsidRPr="00744A29" w:rsidRDefault="00B510EC" w:rsidP="00B510EC">
            <w:pPr>
              <w:spacing w:after="0" w:line="240" w:lineRule="auto"/>
              <w:jc w:val="right"/>
              <w:rPr>
                <w:rFonts w:eastAsia="Times New Roman" w:cs="Arial"/>
                <w:b/>
                <w:noProof/>
                <w:sz w:val="18"/>
                <w:szCs w:val="18"/>
              </w:rPr>
            </w:pPr>
            <w:r w:rsidRPr="00744A29">
              <w:rPr>
                <w:rFonts w:eastAsia="Times New Roman" w:cs="Arial"/>
                <w:b/>
                <w:noProof/>
                <w:sz w:val="18"/>
                <w:szCs w:val="18"/>
              </w:rPr>
              <w:t xml:space="preserve">61 do 90 </w:t>
            </w:r>
          </w:p>
          <w:p w14:paraId="7E41CE07" w14:textId="77777777" w:rsidR="00B510EC" w:rsidRPr="00744A29" w:rsidRDefault="00B510EC" w:rsidP="00B510EC">
            <w:pPr>
              <w:spacing w:after="0" w:line="240" w:lineRule="auto"/>
              <w:jc w:val="right"/>
              <w:rPr>
                <w:rFonts w:eastAsia="Times New Roman" w:cs="Arial"/>
                <w:b/>
                <w:noProof/>
                <w:sz w:val="18"/>
                <w:szCs w:val="18"/>
              </w:rPr>
            </w:pPr>
            <w:r w:rsidRPr="00744A29">
              <w:rPr>
                <w:rFonts w:eastAsia="Times New Roman" w:cs="Arial"/>
                <w:b/>
                <w:noProof/>
                <w:sz w:val="18"/>
                <w:szCs w:val="18"/>
              </w:rPr>
              <w:t xml:space="preserve">dana </w:t>
            </w:r>
          </w:p>
          <w:p w14:paraId="3D89D782" w14:textId="77777777" w:rsidR="00B510EC" w:rsidRPr="00744A29" w:rsidRDefault="00B510EC" w:rsidP="00B510EC">
            <w:pPr>
              <w:spacing w:after="0" w:line="240" w:lineRule="auto"/>
              <w:jc w:val="right"/>
              <w:rPr>
                <w:rFonts w:eastAsia="Times New Roman" w:cs="Arial"/>
                <w:b/>
                <w:noProof/>
                <w:sz w:val="18"/>
                <w:szCs w:val="18"/>
              </w:rPr>
            </w:pPr>
          </w:p>
        </w:tc>
        <w:tc>
          <w:tcPr>
            <w:tcW w:w="673" w:type="pct"/>
            <w:vAlign w:val="center"/>
          </w:tcPr>
          <w:p w14:paraId="6C1D5E88" w14:textId="77777777" w:rsidR="00B510EC" w:rsidRPr="00744A29" w:rsidRDefault="00B510EC" w:rsidP="00B510EC">
            <w:pPr>
              <w:tabs>
                <w:tab w:val="right" w:pos="1202"/>
              </w:tabs>
              <w:spacing w:after="0" w:line="240" w:lineRule="auto"/>
              <w:jc w:val="right"/>
              <w:outlineLvl w:val="0"/>
              <w:rPr>
                <w:rFonts w:eastAsia="Times New Roman" w:cs="Arial"/>
                <w:b/>
                <w:noProof/>
                <w:sz w:val="18"/>
                <w:szCs w:val="18"/>
              </w:rPr>
            </w:pPr>
            <w:r w:rsidRPr="00744A29">
              <w:rPr>
                <w:rFonts w:eastAsia="Times New Roman" w:cs="Arial"/>
                <w:b/>
                <w:noProof/>
                <w:sz w:val="18"/>
                <w:szCs w:val="18"/>
              </w:rPr>
              <w:t xml:space="preserve">Preko 90 dana </w:t>
            </w:r>
          </w:p>
          <w:p w14:paraId="3DC06C1C" w14:textId="77777777" w:rsidR="00B510EC" w:rsidRPr="00744A29" w:rsidRDefault="00B510EC" w:rsidP="00B510EC">
            <w:pPr>
              <w:tabs>
                <w:tab w:val="right" w:pos="1202"/>
              </w:tabs>
              <w:spacing w:after="0" w:line="240" w:lineRule="auto"/>
              <w:jc w:val="right"/>
              <w:outlineLvl w:val="0"/>
              <w:rPr>
                <w:rFonts w:eastAsia="Times New Roman" w:cs="Arial"/>
                <w:b/>
                <w:noProof/>
                <w:sz w:val="18"/>
                <w:szCs w:val="18"/>
              </w:rPr>
            </w:pPr>
          </w:p>
        </w:tc>
        <w:tc>
          <w:tcPr>
            <w:tcW w:w="672" w:type="pct"/>
            <w:vAlign w:val="center"/>
          </w:tcPr>
          <w:p w14:paraId="1A004CCF" w14:textId="77777777" w:rsidR="00B510EC" w:rsidRPr="00744A29" w:rsidRDefault="00B510EC" w:rsidP="00B510EC">
            <w:pPr>
              <w:tabs>
                <w:tab w:val="right" w:pos="1202"/>
              </w:tabs>
              <w:spacing w:after="0" w:line="240" w:lineRule="auto"/>
              <w:jc w:val="right"/>
              <w:outlineLvl w:val="0"/>
              <w:rPr>
                <w:rFonts w:eastAsia="Times New Roman" w:cs="Arial"/>
                <w:b/>
                <w:noProof/>
                <w:sz w:val="18"/>
                <w:szCs w:val="18"/>
              </w:rPr>
            </w:pPr>
            <w:r w:rsidRPr="00744A29">
              <w:rPr>
                <w:rFonts w:eastAsia="Times New Roman" w:cs="Arial"/>
                <w:b/>
                <w:noProof/>
                <w:sz w:val="18"/>
                <w:szCs w:val="18"/>
              </w:rPr>
              <w:t>Ukupno</w:t>
            </w:r>
          </w:p>
          <w:p w14:paraId="188F647D" w14:textId="77777777" w:rsidR="00B510EC" w:rsidRPr="00744A29" w:rsidRDefault="00B510EC" w:rsidP="00B510EC">
            <w:pPr>
              <w:tabs>
                <w:tab w:val="right" w:pos="1202"/>
              </w:tabs>
              <w:spacing w:after="0" w:line="240" w:lineRule="auto"/>
              <w:jc w:val="right"/>
              <w:outlineLvl w:val="0"/>
              <w:rPr>
                <w:rFonts w:eastAsia="Times New Roman" w:cs="Arial"/>
                <w:b/>
                <w:noProof/>
                <w:sz w:val="18"/>
                <w:szCs w:val="18"/>
              </w:rPr>
            </w:pPr>
          </w:p>
        </w:tc>
      </w:tr>
      <w:tr w:rsidR="00B510EC" w:rsidRPr="00744A29" w14:paraId="0578B5F7" w14:textId="77777777" w:rsidTr="003579C1">
        <w:trPr>
          <w:trHeight w:hRule="exact" w:val="344"/>
          <w:jc w:val="center"/>
        </w:trPr>
        <w:tc>
          <w:tcPr>
            <w:tcW w:w="963" w:type="pct"/>
          </w:tcPr>
          <w:p w14:paraId="61FE08A2" w14:textId="77777777" w:rsidR="00B510EC" w:rsidRPr="00744A29" w:rsidRDefault="00B510EC" w:rsidP="00B510EC">
            <w:pPr>
              <w:tabs>
                <w:tab w:val="right" w:pos="1202"/>
              </w:tabs>
              <w:spacing w:after="0" w:line="301" w:lineRule="exact"/>
              <w:outlineLvl w:val="0"/>
              <w:rPr>
                <w:rFonts w:eastAsia="Times New Roman" w:cs="Arial"/>
                <w:b/>
                <w:bCs/>
                <w:sz w:val="18"/>
                <w:szCs w:val="18"/>
              </w:rPr>
            </w:pPr>
            <w:r w:rsidRPr="00744A29">
              <w:rPr>
                <w:rFonts w:eastAsia="Times New Roman" w:cs="Arial"/>
                <w:b/>
                <w:bCs/>
                <w:sz w:val="18"/>
                <w:szCs w:val="18"/>
              </w:rPr>
              <w:t>Imovina</w:t>
            </w:r>
          </w:p>
        </w:tc>
        <w:tc>
          <w:tcPr>
            <w:tcW w:w="673" w:type="pct"/>
          </w:tcPr>
          <w:p w14:paraId="699E25C3" w14:textId="77777777" w:rsidR="00B510EC" w:rsidRPr="00744A29" w:rsidRDefault="00B510EC" w:rsidP="00B510EC">
            <w:pPr>
              <w:tabs>
                <w:tab w:val="right" w:pos="1202"/>
              </w:tabs>
              <w:spacing w:after="0" w:line="301" w:lineRule="exact"/>
              <w:jc w:val="right"/>
              <w:outlineLvl w:val="0"/>
              <w:rPr>
                <w:rFonts w:eastAsia="Times New Roman" w:cs="Arial"/>
                <w:b/>
                <w:bCs/>
                <w:sz w:val="18"/>
                <w:szCs w:val="18"/>
              </w:rPr>
            </w:pPr>
          </w:p>
        </w:tc>
        <w:tc>
          <w:tcPr>
            <w:tcW w:w="673" w:type="pct"/>
          </w:tcPr>
          <w:p w14:paraId="731B8DCB" w14:textId="77777777" w:rsidR="00B510EC" w:rsidRPr="00744A29" w:rsidRDefault="00B510EC" w:rsidP="00B510EC">
            <w:pPr>
              <w:tabs>
                <w:tab w:val="right" w:pos="1202"/>
              </w:tabs>
              <w:spacing w:after="0" w:line="301" w:lineRule="exact"/>
              <w:jc w:val="right"/>
              <w:outlineLvl w:val="0"/>
              <w:rPr>
                <w:rFonts w:eastAsia="Times New Roman" w:cs="Arial"/>
                <w:b/>
                <w:bCs/>
                <w:sz w:val="18"/>
                <w:szCs w:val="18"/>
              </w:rPr>
            </w:pPr>
          </w:p>
        </w:tc>
        <w:tc>
          <w:tcPr>
            <w:tcW w:w="673" w:type="pct"/>
          </w:tcPr>
          <w:p w14:paraId="031B8A6E" w14:textId="77777777" w:rsidR="00B510EC" w:rsidRPr="00744A29" w:rsidRDefault="00B510EC" w:rsidP="00B510EC">
            <w:pPr>
              <w:tabs>
                <w:tab w:val="right" w:pos="1202"/>
              </w:tabs>
              <w:spacing w:after="0" w:line="301" w:lineRule="exact"/>
              <w:jc w:val="right"/>
              <w:outlineLvl w:val="0"/>
              <w:rPr>
                <w:rFonts w:eastAsia="Times New Roman" w:cs="Arial"/>
                <w:b/>
                <w:bCs/>
                <w:sz w:val="18"/>
                <w:szCs w:val="18"/>
              </w:rPr>
            </w:pPr>
          </w:p>
        </w:tc>
        <w:tc>
          <w:tcPr>
            <w:tcW w:w="673" w:type="pct"/>
          </w:tcPr>
          <w:p w14:paraId="529A3DCE" w14:textId="77777777" w:rsidR="00B510EC" w:rsidRPr="00744A29" w:rsidRDefault="00B510EC" w:rsidP="00B510EC">
            <w:pPr>
              <w:tabs>
                <w:tab w:val="right" w:pos="1202"/>
              </w:tabs>
              <w:spacing w:after="0" w:line="301" w:lineRule="exact"/>
              <w:jc w:val="right"/>
              <w:outlineLvl w:val="0"/>
              <w:rPr>
                <w:rFonts w:eastAsia="Times New Roman" w:cs="Arial"/>
                <w:b/>
                <w:bCs/>
                <w:sz w:val="18"/>
                <w:szCs w:val="18"/>
              </w:rPr>
            </w:pPr>
          </w:p>
        </w:tc>
        <w:tc>
          <w:tcPr>
            <w:tcW w:w="673" w:type="pct"/>
          </w:tcPr>
          <w:p w14:paraId="0241E940" w14:textId="77777777" w:rsidR="00B510EC" w:rsidRPr="00744A29" w:rsidRDefault="00B510EC" w:rsidP="00B510EC">
            <w:pPr>
              <w:tabs>
                <w:tab w:val="right" w:pos="1202"/>
              </w:tabs>
              <w:spacing w:after="0" w:line="301" w:lineRule="exact"/>
              <w:jc w:val="right"/>
              <w:outlineLvl w:val="0"/>
              <w:rPr>
                <w:rFonts w:eastAsia="Times New Roman" w:cs="Arial"/>
                <w:b/>
                <w:bCs/>
                <w:sz w:val="18"/>
                <w:szCs w:val="18"/>
              </w:rPr>
            </w:pPr>
          </w:p>
        </w:tc>
        <w:tc>
          <w:tcPr>
            <w:tcW w:w="672" w:type="pct"/>
          </w:tcPr>
          <w:p w14:paraId="359DE576" w14:textId="77777777" w:rsidR="00B510EC" w:rsidRPr="00744A29" w:rsidRDefault="00B510EC" w:rsidP="00B510EC">
            <w:pPr>
              <w:tabs>
                <w:tab w:val="right" w:pos="1202"/>
              </w:tabs>
              <w:spacing w:after="0" w:line="301" w:lineRule="exact"/>
              <w:jc w:val="right"/>
              <w:outlineLvl w:val="0"/>
              <w:rPr>
                <w:rFonts w:eastAsia="Times New Roman" w:cs="Arial"/>
                <w:b/>
                <w:bCs/>
                <w:sz w:val="18"/>
                <w:szCs w:val="18"/>
              </w:rPr>
            </w:pPr>
          </w:p>
        </w:tc>
      </w:tr>
      <w:tr w:rsidR="00744A29" w:rsidRPr="00744A29" w14:paraId="6B1F0B09" w14:textId="77777777" w:rsidTr="00312975">
        <w:trPr>
          <w:trHeight w:val="493"/>
          <w:jc w:val="center"/>
        </w:trPr>
        <w:tc>
          <w:tcPr>
            <w:tcW w:w="963" w:type="pct"/>
            <w:vAlign w:val="bottom"/>
          </w:tcPr>
          <w:p w14:paraId="02E983E6" w14:textId="77777777" w:rsidR="00744A29" w:rsidRPr="00744A29" w:rsidRDefault="00744A29" w:rsidP="00744A29">
            <w:pPr>
              <w:tabs>
                <w:tab w:val="right" w:pos="1202"/>
              </w:tabs>
              <w:spacing w:after="0" w:line="220" w:lineRule="exact"/>
              <w:outlineLvl w:val="0"/>
              <w:rPr>
                <w:rFonts w:eastAsia="Times New Roman" w:cs="Arial"/>
                <w:sz w:val="18"/>
                <w:szCs w:val="18"/>
              </w:rPr>
            </w:pPr>
            <w:r w:rsidRPr="00744A29">
              <w:rPr>
                <w:rFonts w:eastAsia="Times New Roman" w:cs="Arial"/>
                <w:sz w:val="18"/>
                <w:szCs w:val="18"/>
              </w:rPr>
              <w:t xml:space="preserve">Krediti financijskim institucijama </w:t>
            </w:r>
          </w:p>
        </w:tc>
        <w:tc>
          <w:tcPr>
            <w:tcW w:w="673" w:type="pct"/>
            <w:tcBorders>
              <w:top w:val="nil"/>
              <w:left w:val="nil"/>
              <w:bottom w:val="nil"/>
              <w:right w:val="nil"/>
            </w:tcBorders>
            <w:shd w:val="clear" w:color="auto" w:fill="auto"/>
            <w:vAlign w:val="center"/>
          </w:tcPr>
          <w:p w14:paraId="5375C6C0" w14:textId="4862303B" w:rsidR="00744A29" w:rsidRPr="00744A29" w:rsidRDefault="00744A29" w:rsidP="00744A29">
            <w:pPr>
              <w:tabs>
                <w:tab w:val="right" w:pos="1202"/>
              </w:tabs>
              <w:spacing w:after="0" w:line="301" w:lineRule="exact"/>
              <w:jc w:val="right"/>
              <w:outlineLvl w:val="0"/>
              <w:rPr>
                <w:rFonts w:eastAsia="Times New Roman" w:cs="Arial"/>
                <w:snapToGrid w:val="0"/>
                <w:sz w:val="18"/>
                <w:szCs w:val="18"/>
              </w:rPr>
            </w:pPr>
            <w:r w:rsidRPr="00744A29">
              <w:rPr>
                <w:rFonts w:ascii="Calibri" w:hAnsi="Calibri" w:cs="Arial"/>
                <w:sz w:val="18"/>
                <w:szCs w:val="18"/>
              </w:rPr>
              <w:t>200.364</w:t>
            </w:r>
          </w:p>
        </w:tc>
        <w:tc>
          <w:tcPr>
            <w:tcW w:w="673" w:type="pct"/>
            <w:tcBorders>
              <w:top w:val="nil"/>
              <w:left w:val="nil"/>
              <w:bottom w:val="nil"/>
              <w:right w:val="nil"/>
            </w:tcBorders>
            <w:shd w:val="clear" w:color="auto" w:fill="auto"/>
            <w:vAlign w:val="center"/>
          </w:tcPr>
          <w:p w14:paraId="6856966E" w14:textId="79E11415" w:rsidR="00744A29" w:rsidRPr="00744A29" w:rsidRDefault="00744A29" w:rsidP="00744A29">
            <w:pPr>
              <w:tabs>
                <w:tab w:val="right" w:pos="1202"/>
              </w:tabs>
              <w:spacing w:after="0" w:line="301" w:lineRule="exact"/>
              <w:jc w:val="right"/>
              <w:outlineLvl w:val="0"/>
              <w:rPr>
                <w:rFonts w:eastAsia="Times New Roman" w:cs="Arial"/>
                <w:snapToGrid w:val="0"/>
                <w:sz w:val="18"/>
                <w:szCs w:val="18"/>
              </w:rPr>
            </w:pPr>
            <w:r w:rsidRPr="00744A29">
              <w:rPr>
                <w:rFonts w:ascii="Calibri" w:hAnsi="Calibri" w:cs="Arial"/>
                <w:sz w:val="18"/>
                <w:szCs w:val="18"/>
              </w:rPr>
              <w:t>552</w:t>
            </w:r>
          </w:p>
        </w:tc>
        <w:tc>
          <w:tcPr>
            <w:tcW w:w="673" w:type="pct"/>
            <w:tcBorders>
              <w:top w:val="nil"/>
              <w:left w:val="nil"/>
              <w:bottom w:val="nil"/>
              <w:right w:val="nil"/>
            </w:tcBorders>
            <w:shd w:val="clear" w:color="auto" w:fill="auto"/>
            <w:vAlign w:val="center"/>
          </w:tcPr>
          <w:p w14:paraId="5CD5F345" w14:textId="4ACC62DD" w:rsidR="00744A29" w:rsidRPr="00744A29" w:rsidRDefault="00744A29" w:rsidP="00744A29">
            <w:pPr>
              <w:tabs>
                <w:tab w:val="right" w:pos="1202"/>
              </w:tabs>
              <w:spacing w:after="0" w:line="301" w:lineRule="exact"/>
              <w:jc w:val="right"/>
              <w:outlineLvl w:val="0"/>
              <w:rPr>
                <w:rFonts w:eastAsia="Times New Roman" w:cs="Arial"/>
                <w:snapToGrid w:val="0"/>
                <w:sz w:val="18"/>
                <w:szCs w:val="18"/>
              </w:rPr>
            </w:pPr>
            <w:r w:rsidRPr="00744A29">
              <w:rPr>
                <w:rFonts w:ascii="Calibri" w:hAnsi="Calibri" w:cs="Arial"/>
                <w:sz w:val="18"/>
                <w:szCs w:val="18"/>
              </w:rPr>
              <w:t>4.000</w:t>
            </w:r>
          </w:p>
        </w:tc>
        <w:tc>
          <w:tcPr>
            <w:tcW w:w="673" w:type="pct"/>
            <w:tcBorders>
              <w:top w:val="nil"/>
              <w:left w:val="nil"/>
              <w:bottom w:val="nil"/>
              <w:right w:val="nil"/>
            </w:tcBorders>
            <w:shd w:val="clear" w:color="auto" w:fill="auto"/>
            <w:vAlign w:val="center"/>
          </w:tcPr>
          <w:p w14:paraId="16E27AD5" w14:textId="1DF98E3B" w:rsidR="00744A29" w:rsidRPr="00744A29" w:rsidRDefault="00744A29" w:rsidP="00744A29">
            <w:pPr>
              <w:tabs>
                <w:tab w:val="right" w:pos="1202"/>
              </w:tabs>
              <w:spacing w:after="0" w:line="301" w:lineRule="exact"/>
              <w:jc w:val="right"/>
              <w:outlineLvl w:val="0"/>
              <w:rPr>
                <w:rFonts w:eastAsia="Times New Roman" w:cs="Arial"/>
                <w:snapToGrid w:val="0"/>
                <w:sz w:val="18"/>
                <w:szCs w:val="18"/>
              </w:rPr>
            </w:pPr>
            <w:r w:rsidRPr="00744A29">
              <w:rPr>
                <w:rFonts w:ascii="Calibri" w:hAnsi="Calibri" w:cs="Arial"/>
                <w:sz w:val="18"/>
                <w:szCs w:val="18"/>
              </w:rPr>
              <w:t>17</w:t>
            </w:r>
          </w:p>
        </w:tc>
        <w:tc>
          <w:tcPr>
            <w:tcW w:w="673" w:type="pct"/>
            <w:tcBorders>
              <w:top w:val="nil"/>
              <w:left w:val="nil"/>
              <w:bottom w:val="nil"/>
              <w:right w:val="nil"/>
            </w:tcBorders>
            <w:shd w:val="clear" w:color="auto" w:fill="auto"/>
            <w:vAlign w:val="center"/>
          </w:tcPr>
          <w:p w14:paraId="098EEBEA" w14:textId="09D22E07" w:rsidR="00744A29" w:rsidRPr="00744A29" w:rsidRDefault="00744A29" w:rsidP="00744A29">
            <w:pPr>
              <w:tabs>
                <w:tab w:val="right" w:pos="1202"/>
              </w:tabs>
              <w:spacing w:after="0" w:line="301" w:lineRule="exact"/>
              <w:jc w:val="right"/>
              <w:outlineLvl w:val="0"/>
              <w:rPr>
                <w:rFonts w:eastAsia="Times New Roman" w:cs="Arial"/>
                <w:snapToGrid w:val="0"/>
                <w:sz w:val="18"/>
                <w:szCs w:val="18"/>
              </w:rPr>
            </w:pPr>
            <w:r w:rsidRPr="00744A29">
              <w:rPr>
                <w:rFonts w:ascii="Calibri" w:hAnsi="Calibri" w:cs="Arial"/>
                <w:sz w:val="18"/>
                <w:szCs w:val="18"/>
              </w:rPr>
              <w:t>7.521</w:t>
            </w:r>
          </w:p>
        </w:tc>
        <w:tc>
          <w:tcPr>
            <w:tcW w:w="672" w:type="pct"/>
            <w:tcBorders>
              <w:top w:val="nil"/>
              <w:left w:val="nil"/>
              <w:bottom w:val="nil"/>
              <w:right w:val="nil"/>
            </w:tcBorders>
            <w:shd w:val="clear" w:color="auto" w:fill="auto"/>
            <w:vAlign w:val="center"/>
          </w:tcPr>
          <w:p w14:paraId="4AFD1BC4" w14:textId="5F3C65AF" w:rsidR="00744A29" w:rsidRPr="00744A29" w:rsidRDefault="00744A29" w:rsidP="00744A29">
            <w:pPr>
              <w:tabs>
                <w:tab w:val="right" w:pos="1202"/>
              </w:tabs>
              <w:spacing w:after="0" w:line="301" w:lineRule="exact"/>
              <w:jc w:val="right"/>
              <w:outlineLvl w:val="0"/>
              <w:rPr>
                <w:rFonts w:eastAsia="Times New Roman" w:cs="Arial"/>
                <w:snapToGrid w:val="0"/>
                <w:sz w:val="18"/>
                <w:szCs w:val="18"/>
              </w:rPr>
            </w:pPr>
            <w:r w:rsidRPr="00744A29">
              <w:rPr>
                <w:rFonts w:ascii="Calibri" w:hAnsi="Calibri" w:cs="Arial"/>
                <w:sz w:val="18"/>
                <w:szCs w:val="18"/>
              </w:rPr>
              <w:t>212.454</w:t>
            </w:r>
          </w:p>
        </w:tc>
      </w:tr>
      <w:tr w:rsidR="00744A29" w:rsidRPr="00744A29" w14:paraId="60DB636F" w14:textId="77777777" w:rsidTr="00312975">
        <w:trPr>
          <w:trHeight w:val="455"/>
          <w:jc w:val="center"/>
        </w:trPr>
        <w:tc>
          <w:tcPr>
            <w:tcW w:w="963" w:type="pct"/>
            <w:vAlign w:val="bottom"/>
          </w:tcPr>
          <w:p w14:paraId="20F75A7F" w14:textId="77777777" w:rsidR="00744A29" w:rsidRPr="00744A29" w:rsidRDefault="00744A29" w:rsidP="00744A29">
            <w:pPr>
              <w:tabs>
                <w:tab w:val="right" w:pos="1202"/>
              </w:tabs>
              <w:spacing w:after="0" w:line="220" w:lineRule="exact"/>
              <w:outlineLvl w:val="0"/>
              <w:rPr>
                <w:rFonts w:eastAsia="Times New Roman" w:cs="Arial"/>
                <w:sz w:val="18"/>
                <w:szCs w:val="18"/>
              </w:rPr>
            </w:pPr>
            <w:r w:rsidRPr="00744A29">
              <w:rPr>
                <w:rFonts w:eastAsia="Times New Roman" w:cs="Arial"/>
                <w:sz w:val="18"/>
                <w:szCs w:val="18"/>
              </w:rPr>
              <w:t>Krediti ostalim korisnicima</w:t>
            </w:r>
          </w:p>
        </w:tc>
        <w:tc>
          <w:tcPr>
            <w:tcW w:w="673" w:type="pct"/>
            <w:tcBorders>
              <w:top w:val="nil"/>
              <w:left w:val="nil"/>
              <w:bottom w:val="nil"/>
              <w:right w:val="nil"/>
            </w:tcBorders>
            <w:shd w:val="clear" w:color="auto" w:fill="auto"/>
            <w:vAlign w:val="center"/>
          </w:tcPr>
          <w:p w14:paraId="4C578849" w14:textId="2B15CBAF"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744A29">
              <w:rPr>
                <w:rFonts w:ascii="Calibri" w:hAnsi="Calibri" w:cs="Arial"/>
                <w:sz w:val="18"/>
                <w:szCs w:val="18"/>
              </w:rPr>
              <w:t>109.035</w:t>
            </w:r>
          </w:p>
        </w:tc>
        <w:tc>
          <w:tcPr>
            <w:tcW w:w="673" w:type="pct"/>
            <w:tcBorders>
              <w:top w:val="nil"/>
              <w:left w:val="nil"/>
              <w:bottom w:val="nil"/>
              <w:right w:val="nil"/>
            </w:tcBorders>
            <w:shd w:val="clear" w:color="auto" w:fill="auto"/>
            <w:vAlign w:val="center"/>
          </w:tcPr>
          <w:p w14:paraId="551443AB" w14:textId="7E33BBA2"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744A29">
              <w:rPr>
                <w:rFonts w:ascii="Calibri" w:hAnsi="Calibri" w:cs="Arial"/>
                <w:sz w:val="18"/>
                <w:szCs w:val="18"/>
              </w:rPr>
              <w:t>36</w:t>
            </w:r>
          </w:p>
        </w:tc>
        <w:tc>
          <w:tcPr>
            <w:tcW w:w="673" w:type="pct"/>
            <w:tcBorders>
              <w:top w:val="nil"/>
              <w:left w:val="nil"/>
              <w:bottom w:val="nil"/>
              <w:right w:val="nil"/>
            </w:tcBorders>
            <w:shd w:val="clear" w:color="auto" w:fill="auto"/>
            <w:vAlign w:val="center"/>
          </w:tcPr>
          <w:p w14:paraId="0574C739" w14:textId="21B2257F"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744A29">
              <w:rPr>
                <w:rFonts w:ascii="Calibri" w:hAnsi="Calibri" w:cs="Arial"/>
                <w:sz w:val="18"/>
                <w:szCs w:val="18"/>
              </w:rPr>
              <w:t>8.072</w:t>
            </w:r>
          </w:p>
        </w:tc>
        <w:tc>
          <w:tcPr>
            <w:tcW w:w="673" w:type="pct"/>
            <w:tcBorders>
              <w:top w:val="nil"/>
              <w:left w:val="nil"/>
              <w:bottom w:val="nil"/>
              <w:right w:val="nil"/>
            </w:tcBorders>
            <w:shd w:val="clear" w:color="auto" w:fill="auto"/>
            <w:vAlign w:val="center"/>
          </w:tcPr>
          <w:p w14:paraId="6C0B8FD9" w14:textId="4A55457D"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744A29">
              <w:rPr>
                <w:rFonts w:ascii="Calibri" w:hAnsi="Calibri" w:cs="Arial"/>
                <w:sz w:val="18"/>
                <w:szCs w:val="18"/>
              </w:rPr>
              <w:t>803</w:t>
            </w:r>
          </w:p>
        </w:tc>
        <w:tc>
          <w:tcPr>
            <w:tcW w:w="673" w:type="pct"/>
            <w:tcBorders>
              <w:top w:val="nil"/>
              <w:left w:val="nil"/>
              <w:bottom w:val="nil"/>
              <w:right w:val="nil"/>
            </w:tcBorders>
            <w:shd w:val="clear" w:color="auto" w:fill="auto"/>
            <w:vAlign w:val="center"/>
          </w:tcPr>
          <w:p w14:paraId="129A763D" w14:textId="4457A9C5"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744A29">
              <w:rPr>
                <w:rFonts w:ascii="Calibri" w:hAnsi="Calibri" w:cs="Arial"/>
                <w:sz w:val="18"/>
                <w:szCs w:val="18"/>
              </w:rPr>
              <w:t>47.820</w:t>
            </w:r>
          </w:p>
        </w:tc>
        <w:tc>
          <w:tcPr>
            <w:tcW w:w="672" w:type="pct"/>
            <w:tcBorders>
              <w:top w:val="nil"/>
              <w:left w:val="nil"/>
              <w:bottom w:val="nil"/>
              <w:right w:val="nil"/>
            </w:tcBorders>
            <w:shd w:val="clear" w:color="auto" w:fill="auto"/>
            <w:vAlign w:val="center"/>
          </w:tcPr>
          <w:p w14:paraId="4AB6C61F" w14:textId="7218D0D7"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744A29">
              <w:rPr>
                <w:rFonts w:ascii="Calibri" w:hAnsi="Calibri" w:cs="Arial"/>
                <w:sz w:val="18"/>
                <w:szCs w:val="18"/>
              </w:rPr>
              <w:t>165.766</w:t>
            </w:r>
          </w:p>
        </w:tc>
      </w:tr>
      <w:tr w:rsidR="00744A29" w:rsidRPr="00744A29" w14:paraId="495285DB" w14:textId="77777777" w:rsidTr="00312975">
        <w:trPr>
          <w:trHeight w:val="245"/>
          <w:jc w:val="center"/>
        </w:trPr>
        <w:tc>
          <w:tcPr>
            <w:tcW w:w="963" w:type="pct"/>
            <w:vAlign w:val="bottom"/>
          </w:tcPr>
          <w:p w14:paraId="5B8280CD" w14:textId="77777777" w:rsidR="00744A29" w:rsidRPr="00744A29" w:rsidRDefault="00744A29" w:rsidP="00744A29">
            <w:pPr>
              <w:tabs>
                <w:tab w:val="right" w:pos="1202"/>
              </w:tabs>
              <w:spacing w:after="0" w:line="220" w:lineRule="exact"/>
              <w:outlineLvl w:val="0"/>
              <w:rPr>
                <w:rFonts w:eastAsia="Times New Roman" w:cs="Arial"/>
                <w:sz w:val="18"/>
                <w:szCs w:val="18"/>
              </w:rPr>
            </w:pPr>
            <w:r w:rsidRPr="00744A29">
              <w:rPr>
                <w:rFonts w:eastAsia="Times New Roman" w:cs="Arial"/>
                <w:sz w:val="18"/>
                <w:szCs w:val="18"/>
              </w:rPr>
              <w:t xml:space="preserve">Ostala imovina </w:t>
            </w:r>
          </w:p>
        </w:tc>
        <w:tc>
          <w:tcPr>
            <w:tcW w:w="673" w:type="pct"/>
            <w:tcBorders>
              <w:top w:val="nil"/>
              <w:left w:val="nil"/>
              <w:bottom w:val="single" w:sz="8" w:space="0" w:color="auto"/>
              <w:right w:val="nil"/>
            </w:tcBorders>
            <w:shd w:val="clear" w:color="auto" w:fill="auto"/>
            <w:vAlign w:val="center"/>
          </w:tcPr>
          <w:p w14:paraId="38940C65" w14:textId="3D10C5FC"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744A29">
              <w:rPr>
                <w:rFonts w:ascii="Calibri" w:hAnsi="Calibri" w:cs="Arial"/>
                <w:sz w:val="18"/>
                <w:szCs w:val="18"/>
              </w:rPr>
              <w:t>936</w:t>
            </w:r>
          </w:p>
        </w:tc>
        <w:tc>
          <w:tcPr>
            <w:tcW w:w="673" w:type="pct"/>
            <w:tcBorders>
              <w:top w:val="nil"/>
              <w:left w:val="nil"/>
              <w:bottom w:val="single" w:sz="8" w:space="0" w:color="auto"/>
              <w:right w:val="nil"/>
            </w:tcBorders>
            <w:shd w:val="clear" w:color="auto" w:fill="auto"/>
            <w:vAlign w:val="center"/>
          </w:tcPr>
          <w:p w14:paraId="22AC42F4" w14:textId="47883461"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744A29">
              <w:rPr>
                <w:rFonts w:ascii="Calibri" w:hAnsi="Calibri" w:cs="Arial"/>
                <w:sz w:val="18"/>
                <w:szCs w:val="18"/>
              </w:rPr>
              <w:t>200</w:t>
            </w:r>
          </w:p>
        </w:tc>
        <w:tc>
          <w:tcPr>
            <w:tcW w:w="673" w:type="pct"/>
            <w:tcBorders>
              <w:top w:val="nil"/>
              <w:left w:val="nil"/>
              <w:bottom w:val="single" w:sz="8" w:space="0" w:color="auto"/>
              <w:right w:val="nil"/>
            </w:tcBorders>
            <w:shd w:val="clear" w:color="auto" w:fill="auto"/>
            <w:vAlign w:val="center"/>
          </w:tcPr>
          <w:p w14:paraId="45915053" w14:textId="4F4E534A"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744A29">
              <w:rPr>
                <w:rFonts w:ascii="Calibri" w:hAnsi="Calibri" w:cs="Arial"/>
                <w:sz w:val="18"/>
                <w:szCs w:val="18"/>
              </w:rPr>
              <w:t>125</w:t>
            </w:r>
          </w:p>
        </w:tc>
        <w:tc>
          <w:tcPr>
            <w:tcW w:w="673" w:type="pct"/>
            <w:tcBorders>
              <w:top w:val="nil"/>
              <w:left w:val="nil"/>
              <w:bottom w:val="single" w:sz="8" w:space="0" w:color="auto"/>
              <w:right w:val="nil"/>
            </w:tcBorders>
            <w:shd w:val="clear" w:color="auto" w:fill="auto"/>
            <w:vAlign w:val="center"/>
          </w:tcPr>
          <w:p w14:paraId="72C35724" w14:textId="0ADE26DC"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744A29">
              <w:rPr>
                <w:rFonts w:ascii="Calibri" w:hAnsi="Calibri" w:cs="Arial"/>
                <w:sz w:val="18"/>
                <w:szCs w:val="18"/>
              </w:rPr>
              <w:t>38</w:t>
            </w:r>
          </w:p>
        </w:tc>
        <w:tc>
          <w:tcPr>
            <w:tcW w:w="673" w:type="pct"/>
            <w:tcBorders>
              <w:top w:val="nil"/>
              <w:left w:val="nil"/>
              <w:bottom w:val="single" w:sz="8" w:space="0" w:color="auto"/>
              <w:right w:val="nil"/>
            </w:tcBorders>
            <w:shd w:val="clear" w:color="auto" w:fill="auto"/>
            <w:vAlign w:val="center"/>
          </w:tcPr>
          <w:p w14:paraId="4AF2FBDC" w14:textId="07858BC2"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744A29">
              <w:rPr>
                <w:rFonts w:ascii="Calibri" w:hAnsi="Calibri" w:cs="Arial"/>
                <w:sz w:val="18"/>
                <w:szCs w:val="18"/>
              </w:rPr>
              <w:t>26</w:t>
            </w:r>
          </w:p>
        </w:tc>
        <w:tc>
          <w:tcPr>
            <w:tcW w:w="672" w:type="pct"/>
            <w:tcBorders>
              <w:top w:val="nil"/>
              <w:left w:val="nil"/>
              <w:bottom w:val="single" w:sz="8" w:space="0" w:color="auto"/>
              <w:right w:val="nil"/>
            </w:tcBorders>
            <w:shd w:val="clear" w:color="auto" w:fill="auto"/>
            <w:vAlign w:val="center"/>
          </w:tcPr>
          <w:p w14:paraId="66B50375" w14:textId="294F500B" w:rsidR="00744A29" w:rsidRPr="00744A29" w:rsidRDefault="00744A29" w:rsidP="00744A29">
            <w:pPr>
              <w:tabs>
                <w:tab w:val="right" w:pos="1202"/>
              </w:tabs>
              <w:spacing w:after="0" w:line="301" w:lineRule="exact"/>
              <w:jc w:val="right"/>
              <w:outlineLvl w:val="0"/>
              <w:rPr>
                <w:rFonts w:eastAsia="Times New Roman" w:cs="Arial"/>
                <w:spacing w:val="-2"/>
                <w:sz w:val="18"/>
                <w:szCs w:val="18"/>
              </w:rPr>
            </w:pPr>
            <w:r w:rsidRPr="00744A29">
              <w:rPr>
                <w:rFonts w:ascii="Calibri" w:hAnsi="Calibri" w:cs="Arial"/>
                <w:sz w:val="18"/>
                <w:szCs w:val="18"/>
              </w:rPr>
              <w:t>1.325</w:t>
            </w:r>
          </w:p>
        </w:tc>
      </w:tr>
      <w:tr w:rsidR="003579C1" w:rsidRPr="00744A29" w14:paraId="676A6493" w14:textId="77777777" w:rsidTr="003579C1">
        <w:trPr>
          <w:trHeight w:val="86"/>
          <w:jc w:val="center"/>
        </w:trPr>
        <w:tc>
          <w:tcPr>
            <w:tcW w:w="963" w:type="pct"/>
          </w:tcPr>
          <w:p w14:paraId="7DE6010A" w14:textId="77777777" w:rsidR="003579C1" w:rsidRPr="00744A29" w:rsidRDefault="003579C1" w:rsidP="003579C1">
            <w:pPr>
              <w:keepNext/>
              <w:keepLines/>
              <w:tabs>
                <w:tab w:val="decimal" w:pos="1202"/>
              </w:tabs>
              <w:spacing w:after="0" w:line="120" w:lineRule="auto"/>
              <w:rPr>
                <w:rFonts w:eastAsia="Times New Roman" w:cs="Arial"/>
                <w:b/>
                <w:position w:val="4"/>
                <w:sz w:val="18"/>
                <w:szCs w:val="18"/>
              </w:rPr>
            </w:pPr>
          </w:p>
        </w:tc>
        <w:tc>
          <w:tcPr>
            <w:tcW w:w="673" w:type="pct"/>
            <w:tcBorders>
              <w:top w:val="single" w:sz="8" w:space="0" w:color="auto"/>
            </w:tcBorders>
            <w:vAlign w:val="bottom"/>
          </w:tcPr>
          <w:p w14:paraId="7BC2DEB4" w14:textId="77777777" w:rsidR="003579C1" w:rsidRPr="00744A29" w:rsidRDefault="003579C1" w:rsidP="003579C1">
            <w:pPr>
              <w:keepNext/>
              <w:keepLines/>
              <w:tabs>
                <w:tab w:val="left" w:pos="215"/>
                <w:tab w:val="decimal" w:pos="1295"/>
              </w:tabs>
              <w:spacing w:after="0" w:line="120" w:lineRule="auto"/>
              <w:ind w:right="-148"/>
              <w:jc w:val="right"/>
              <w:rPr>
                <w:rFonts w:eastAsia="Times New Roman" w:cs="Arial"/>
                <w:b/>
                <w:snapToGrid w:val="0"/>
                <w:position w:val="4"/>
                <w:sz w:val="18"/>
                <w:szCs w:val="18"/>
              </w:rPr>
            </w:pPr>
          </w:p>
        </w:tc>
        <w:tc>
          <w:tcPr>
            <w:tcW w:w="673" w:type="pct"/>
            <w:tcBorders>
              <w:top w:val="single" w:sz="8" w:space="0" w:color="auto"/>
            </w:tcBorders>
            <w:vAlign w:val="bottom"/>
          </w:tcPr>
          <w:p w14:paraId="7DE6AC2D" w14:textId="77777777" w:rsidR="003579C1" w:rsidRPr="00744A29" w:rsidRDefault="003579C1" w:rsidP="003579C1">
            <w:pPr>
              <w:keepNext/>
              <w:keepLines/>
              <w:tabs>
                <w:tab w:val="left" w:pos="215"/>
                <w:tab w:val="decimal" w:pos="1295"/>
              </w:tabs>
              <w:spacing w:after="0" w:line="120" w:lineRule="auto"/>
              <w:ind w:right="-148"/>
              <w:jc w:val="right"/>
              <w:rPr>
                <w:rFonts w:eastAsia="Times New Roman" w:cs="Arial"/>
                <w:b/>
                <w:snapToGrid w:val="0"/>
                <w:position w:val="4"/>
                <w:sz w:val="18"/>
                <w:szCs w:val="18"/>
              </w:rPr>
            </w:pPr>
          </w:p>
        </w:tc>
        <w:tc>
          <w:tcPr>
            <w:tcW w:w="673" w:type="pct"/>
            <w:tcBorders>
              <w:top w:val="single" w:sz="8" w:space="0" w:color="auto"/>
            </w:tcBorders>
            <w:vAlign w:val="bottom"/>
          </w:tcPr>
          <w:p w14:paraId="1568463E" w14:textId="77777777" w:rsidR="003579C1" w:rsidRPr="00744A29" w:rsidRDefault="003579C1" w:rsidP="003579C1">
            <w:pPr>
              <w:keepNext/>
              <w:keepLines/>
              <w:tabs>
                <w:tab w:val="decimal" w:pos="1202"/>
              </w:tabs>
              <w:spacing w:after="0" w:line="120" w:lineRule="auto"/>
              <w:jc w:val="right"/>
              <w:rPr>
                <w:rFonts w:eastAsia="Times New Roman" w:cs="Arial"/>
                <w:b/>
                <w:snapToGrid w:val="0"/>
                <w:position w:val="4"/>
                <w:sz w:val="18"/>
                <w:szCs w:val="18"/>
              </w:rPr>
            </w:pPr>
          </w:p>
        </w:tc>
        <w:tc>
          <w:tcPr>
            <w:tcW w:w="673" w:type="pct"/>
            <w:tcBorders>
              <w:top w:val="single" w:sz="8" w:space="0" w:color="auto"/>
            </w:tcBorders>
            <w:vAlign w:val="bottom"/>
          </w:tcPr>
          <w:p w14:paraId="5C5B70CB" w14:textId="77777777" w:rsidR="003579C1" w:rsidRPr="00744A29" w:rsidRDefault="003579C1" w:rsidP="003579C1">
            <w:pPr>
              <w:keepNext/>
              <w:keepLines/>
              <w:tabs>
                <w:tab w:val="left" w:pos="215"/>
                <w:tab w:val="decimal" w:pos="1295"/>
              </w:tabs>
              <w:spacing w:after="0" w:line="120" w:lineRule="auto"/>
              <w:ind w:right="-148"/>
              <w:jc w:val="right"/>
              <w:rPr>
                <w:rFonts w:eastAsia="Times New Roman" w:cs="Arial"/>
                <w:b/>
                <w:snapToGrid w:val="0"/>
                <w:position w:val="4"/>
                <w:sz w:val="18"/>
                <w:szCs w:val="18"/>
              </w:rPr>
            </w:pPr>
          </w:p>
        </w:tc>
        <w:tc>
          <w:tcPr>
            <w:tcW w:w="673" w:type="pct"/>
            <w:tcBorders>
              <w:top w:val="single" w:sz="8" w:space="0" w:color="auto"/>
            </w:tcBorders>
            <w:vAlign w:val="bottom"/>
          </w:tcPr>
          <w:p w14:paraId="3B030565" w14:textId="77777777" w:rsidR="003579C1" w:rsidRPr="00744A29" w:rsidRDefault="003579C1" w:rsidP="003579C1">
            <w:pPr>
              <w:keepNext/>
              <w:keepLines/>
              <w:tabs>
                <w:tab w:val="left" w:pos="215"/>
                <w:tab w:val="decimal" w:pos="1295"/>
              </w:tabs>
              <w:spacing w:after="0" w:line="120" w:lineRule="auto"/>
              <w:ind w:right="-148"/>
              <w:jc w:val="right"/>
              <w:rPr>
                <w:rFonts w:eastAsia="Times New Roman" w:cs="Arial"/>
                <w:b/>
                <w:snapToGrid w:val="0"/>
                <w:position w:val="4"/>
                <w:sz w:val="18"/>
                <w:szCs w:val="18"/>
              </w:rPr>
            </w:pPr>
          </w:p>
        </w:tc>
        <w:tc>
          <w:tcPr>
            <w:tcW w:w="672" w:type="pct"/>
            <w:tcBorders>
              <w:top w:val="single" w:sz="8" w:space="0" w:color="auto"/>
            </w:tcBorders>
            <w:vAlign w:val="bottom"/>
          </w:tcPr>
          <w:p w14:paraId="7DF2D1DF" w14:textId="77777777" w:rsidR="003579C1" w:rsidRPr="00744A29" w:rsidRDefault="003579C1" w:rsidP="003579C1">
            <w:pPr>
              <w:keepNext/>
              <w:keepLines/>
              <w:tabs>
                <w:tab w:val="left" w:pos="215"/>
                <w:tab w:val="decimal" w:pos="1295"/>
              </w:tabs>
              <w:spacing w:after="0" w:line="120" w:lineRule="auto"/>
              <w:ind w:right="-148"/>
              <w:jc w:val="right"/>
              <w:rPr>
                <w:rFonts w:eastAsia="Times New Roman" w:cs="Arial"/>
                <w:b/>
                <w:snapToGrid w:val="0"/>
                <w:position w:val="4"/>
                <w:sz w:val="18"/>
                <w:szCs w:val="18"/>
              </w:rPr>
            </w:pPr>
          </w:p>
        </w:tc>
      </w:tr>
      <w:tr w:rsidR="00744A29" w:rsidRPr="00744A29" w14:paraId="3FAA77B8" w14:textId="77777777" w:rsidTr="008F64E3">
        <w:trPr>
          <w:trHeight w:val="261"/>
          <w:jc w:val="center"/>
        </w:trPr>
        <w:tc>
          <w:tcPr>
            <w:tcW w:w="963" w:type="pct"/>
          </w:tcPr>
          <w:p w14:paraId="77A1524F" w14:textId="77777777" w:rsidR="00744A29" w:rsidRPr="00744A29" w:rsidRDefault="00744A29" w:rsidP="00744A29">
            <w:pPr>
              <w:tabs>
                <w:tab w:val="right" w:pos="1202"/>
              </w:tabs>
              <w:spacing w:after="0" w:line="340" w:lineRule="exact"/>
              <w:outlineLvl w:val="0"/>
              <w:rPr>
                <w:rFonts w:eastAsia="Times New Roman" w:cs="Arial"/>
                <w:b/>
                <w:bCs/>
                <w:sz w:val="18"/>
                <w:szCs w:val="18"/>
              </w:rPr>
            </w:pPr>
            <w:r w:rsidRPr="00744A29">
              <w:rPr>
                <w:rFonts w:eastAsia="Times New Roman" w:cs="Arial"/>
                <w:b/>
                <w:bCs/>
                <w:sz w:val="18"/>
                <w:szCs w:val="18"/>
              </w:rPr>
              <w:t>Ukupno</w:t>
            </w:r>
          </w:p>
        </w:tc>
        <w:tc>
          <w:tcPr>
            <w:tcW w:w="673" w:type="pct"/>
            <w:tcBorders>
              <w:top w:val="nil"/>
              <w:left w:val="nil"/>
              <w:bottom w:val="single" w:sz="12" w:space="0" w:color="auto"/>
              <w:right w:val="nil"/>
            </w:tcBorders>
            <w:shd w:val="clear" w:color="auto" w:fill="auto"/>
            <w:vAlign w:val="bottom"/>
          </w:tcPr>
          <w:p w14:paraId="02DFAB05" w14:textId="10386F99" w:rsidR="00744A29" w:rsidRPr="00744A29" w:rsidRDefault="00744A29" w:rsidP="00744A29">
            <w:pPr>
              <w:tabs>
                <w:tab w:val="right" w:pos="1202"/>
              </w:tabs>
              <w:spacing w:after="0" w:line="340" w:lineRule="exact"/>
              <w:jc w:val="right"/>
              <w:outlineLvl w:val="0"/>
              <w:rPr>
                <w:rFonts w:eastAsia="Times New Roman" w:cs="Arial"/>
                <w:b/>
                <w:bCs/>
                <w:sz w:val="18"/>
                <w:szCs w:val="18"/>
              </w:rPr>
            </w:pPr>
            <w:r w:rsidRPr="00744A29">
              <w:rPr>
                <w:rFonts w:ascii="Calibri" w:hAnsi="Calibri" w:cs="Arial"/>
                <w:b/>
                <w:bCs/>
                <w:sz w:val="18"/>
                <w:szCs w:val="18"/>
              </w:rPr>
              <w:t>310.335</w:t>
            </w:r>
          </w:p>
        </w:tc>
        <w:tc>
          <w:tcPr>
            <w:tcW w:w="673" w:type="pct"/>
            <w:tcBorders>
              <w:top w:val="nil"/>
              <w:left w:val="nil"/>
              <w:bottom w:val="single" w:sz="12" w:space="0" w:color="auto"/>
              <w:right w:val="nil"/>
            </w:tcBorders>
            <w:shd w:val="clear" w:color="auto" w:fill="auto"/>
            <w:vAlign w:val="bottom"/>
          </w:tcPr>
          <w:p w14:paraId="59B09E48" w14:textId="601E05F7" w:rsidR="00744A29" w:rsidRPr="00744A29" w:rsidRDefault="00744A29" w:rsidP="00744A29">
            <w:pPr>
              <w:tabs>
                <w:tab w:val="right" w:pos="1202"/>
              </w:tabs>
              <w:spacing w:after="0" w:line="340" w:lineRule="exact"/>
              <w:jc w:val="right"/>
              <w:outlineLvl w:val="0"/>
              <w:rPr>
                <w:rFonts w:eastAsia="Times New Roman" w:cs="Arial"/>
                <w:b/>
                <w:bCs/>
                <w:sz w:val="18"/>
                <w:szCs w:val="18"/>
              </w:rPr>
            </w:pPr>
            <w:r w:rsidRPr="00744A29">
              <w:rPr>
                <w:rFonts w:ascii="Calibri" w:hAnsi="Calibri" w:cs="Arial"/>
                <w:b/>
                <w:bCs/>
                <w:sz w:val="18"/>
                <w:szCs w:val="18"/>
              </w:rPr>
              <w:t>788</w:t>
            </w:r>
          </w:p>
        </w:tc>
        <w:tc>
          <w:tcPr>
            <w:tcW w:w="673" w:type="pct"/>
            <w:tcBorders>
              <w:top w:val="nil"/>
              <w:left w:val="nil"/>
              <w:bottom w:val="single" w:sz="12" w:space="0" w:color="auto"/>
              <w:right w:val="nil"/>
            </w:tcBorders>
            <w:shd w:val="clear" w:color="auto" w:fill="auto"/>
            <w:vAlign w:val="bottom"/>
          </w:tcPr>
          <w:p w14:paraId="67B5043A" w14:textId="7AD7B635" w:rsidR="00744A29" w:rsidRPr="00744A29" w:rsidRDefault="00744A29" w:rsidP="00744A29">
            <w:pPr>
              <w:tabs>
                <w:tab w:val="right" w:pos="1202"/>
              </w:tabs>
              <w:spacing w:after="0" w:line="340" w:lineRule="exact"/>
              <w:jc w:val="right"/>
              <w:outlineLvl w:val="0"/>
              <w:rPr>
                <w:rFonts w:eastAsia="Times New Roman" w:cs="Arial"/>
                <w:b/>
                <w:bCs/>
                <w:sz w:val="18"/>
                <w:szCs w:val="18"/>
              </w:rPr>
            </w:pPr>
            <w:r w:rsidRPr="00744A29">
              <w:rPr>
                <w:rFonts w:ascii="Calibri" w:hAnsi="Calibri" w:cs="Arial"/>
                <w:b/>
                <w:bCs/>
                <w:sz w:val="18"/>
                <w:szCs w:val="18"/>
              </w:rPr>
              <w:t>12.197</w:t>
            </w:r>
          </w:p>
        </w:tc>
        <w:tc>
          <w:tcPr>
            <w:tcW w:w="673" w:type="pct"/>
            <w:tcBorders>
              <w:top w:val="nil"/>
              <w:left w:val="nil"/>
              <w:bottom w:val="single" w:sz="12" w:space="0" w:color="auto"/>
              <w:right w:val="nil"/>
            </w:tcBorders>
            <w:shd w:val="clear" w:color="auto" w:fill="auto"/>
            <w:vAlign w:val="bottom"/>
          </w:tcPr>
          <w:p w14:paraId="26700E46" w14:textId="40761B85" w:rsidR="00744A29" w:rsidRPr="00744A29" w:rsidRDefault="00744A29" w:rsidP="00744A29">
            <w:pPr>
              <w:tabs>
                <w:tab w:val="right" w:pos="1202"/>
              </w:tabs>
              <w:spacing w:after="0" w:line="340" w:lineRule="exact"/>
              <w:jc w:val="right"/>
              <w:outlineLvl w:val="0"/>
              <w:rPr>
                <w:rFonts w:eastAsia="Times New Roman" w:cs="Arial"/>
                <w:b/>
                <w:bCs/>
                <w:sz w:val="18"/>
                <w:szCs w:val="18"/>
              </w:rPr>
            </w:pPr>
            <w:r w:rsidRPr="00744A29">
              <w:rPr>
                <w:rFonts w:ascii="Calibri" w:hAnsi="Calibri" w:cs="Arial"/>
                <w:b/>
                <w:bCs/>
                <w:sz w:val="18"/>
                <w:szCs w:val="18"/>
              </w:rPr>
              <w:t>858</w:t>
            </w:r>
          </w:p>
        </w:tc>
        <w:tc>
          <w:tcPr>
            <w:tcW w:w="673" w:type="pct"/>
            <w:tcBorders>
              <w:top w:val="nil"/>
              <w:left w:val="nil"/>
              <w:bottom w:val="single" w:sz="12" w:space="0" w:color="auto"/>
              <w:right w:val="nil"/>
            </w:tcBorders>
            <w:shd w:val="clear" w:color="auto" w:fill="auto"/>
            <w:vAlign w:val="bottom"/>
          </w:tcPr>
          <w:p w14:paraId="33E047CE" w14:textId="0E0A985C" w:rsidR="00744A29" w:rsidRPr="00744A29" w:rsidRDefault="00744A29" w:rsidP="00744A29">
            <w:pPr>
              <w:tabs>
                <w:tab w:val="right" w:pos="1202"/>
              </w:tabs>
              <w:spacing w:after="0" w:line="340" w:lineRule="exact"/>
              <w:jc w:val="right"/>
              <w:outlineLvl w:val="0"/>
              <w:rPr>
                <w:rFonts w:eastAsia="Times New Roman" w:cs="Arial"/>
                <w:b/>
                <w:bCs/>
                <w:sz w:val="18"/>
                <w:szCs w:val="18"/>
              </w:rPr>
            </w:pPr>
            <w:r w:rsidRPr="00744A29">
              <w:rPr>
                <w:rFonts w:ascii="Calibri" w:hAnsi="Calibri" w:cs="Arial"/>
                <w:b/>
                <w:bCs/>
                <w:sz w:val="18"/>
                <w:szCs w:val="18"/>
              </w:rPr>
              <w:t>55.367</w:t>
            </w:r>
          </w:p>
        </w:tc>
        <w:tc>
          <w:tcPr>
            <w:tcW w:w="672" w:type="pct"/>
            <w:tcBorders>
              <w:top w:val="nil"/>
              <w:left w:val="nil"/>
              <w:bottom w:val="single" w:sz="12" w:space="0" w:color="auto"/>
              <w:right w:val="nil"/>
            </w:tcBorders>
            <w:shd w:val="clear" w:color="auto" w:fill="auto"/>
            <w:vAlign w:val="bottom"/>
          </w:tcPr>
          <w:p w14:paraId="3E2F8267" w14:textId="4783A922" w:rsidR="00744A29" w:rsidRPr="00744A29" w:rsidRDefault="00744A29" w:rsidP="00744A29">
            <w:pPr>
              <w:tabs>
                <w:tab w:val="right" w:pos="1202"/>
              </w:tabs>
              <w:spacing w:after="0" w:line="340" w:lineRule="exact"/>
              <w:jc w:val="right"/>
              <w:outlineLvl w:val="0"/>
              <w:rPr>
                <w:rFonts w:eastAsia="Times New Roman" w:cs="Arial"/>
                <w:b/>
                <w:bCs/>
                <w:sz w:val="18"/>
                <w:szCs w:val="18"/>
              </w:rPr>
            </w:pPr>
            <w:r w:rsidRPr="00744A29">
              <w:rPr>
                <w:rFonts w:ascii="Calibri" w:hAnsi="Calibri" w:cs="Arial"/>
                <w:b/>
                <w:bCs/>
                <w:sz w:val="18"/>
                <w:szCs w:val="18"/>
              </w:rPr>
              <w:t>379.545</w:t>
            </w:r>
          </w:p>
        </w:tc>
      </w:tr>
      <w:tr w:rsidR="00B510EC" w:rsidRPr="00744A29" w14:paraId="4F19A3F0" w14:textId="77777777" w:rsidTr="003579C1">
        <w:trPr>
          <w:trHeight w:val="48"/>
          <w:jc w:val="center"/>
        </w:trPr>
        <w:tc>
          <w:tcPr>
            <w:tcW w:w="963" w:type="pct"/>
          </w:tcPr>
          <w:p w14:paraId="09BFA091" w14:textId="77777777" w:rsidR="00B510EC" w:rsidRPr="00744A29" w:rsidRDefault="00B510EC" w:rsidP="00B510EC">
            <w:pPr>
              <w:keepNext/>
              <w:keepLines/>
              <w:tabs>
                <w:tab w:val="decimal" w:pos="1202"/>
              </w:tabs>
              <w:spacing w:after="0" w:line="240" w:lineRule="auto"/>
              <w:rPr>
                <w:rFonts w:eastAsia="Times New Roman" w:cs="Arial"/>
                <w:b/>
                <w:position w:val="4"/>
                <w:sz w:val="18"/>
                <w:szCs w:val="18"/>
                <w:u w:val="thick"/>
              </w:rPr>
            </w:pPr>
          </w:p>
        </w:tc>
        <w:tc>
          <w:tcPr>
            <w:tcW w:w="673" w:type="pct"/>
            <w:tcBorders>
              <w:top w:val="single" w:sz="12" w:space="0" w:color="auto"/>
            </w:tcBorders>
            <w:vAlign w:val="bottom"/>
          </w:tcPr>
          <w:p w14:paraId="177FA289" w14:textId="77777777" w:rsidR="00B510EC" w:rsidRPr="00744A29" w:rsidRDefault="00B510EC" w:rsidP="00B510EC">
            <w:pPr>
              <w:keepNext/>
              <w:keepLines/>
              <w:tabs>
                <w:tab w:val="decimal" w:pos="1202"/>
              </w:tabs>
              <w:spacing w:after="0" w:line="240" w:lineRule="auto"/>
              <w:jc w:val="right"/>
              <w:rPr>
                <w:rFonts w:eastAsia="Times New Roman" w:cs="Arial"/>
                <w:b/>
                <w:position w:val="4"/>
                <w:sz w:val="18"/>
                <w:szCs w:val="18"/>
                <w:u w:val="thick"/>
              </w:rPr>
            </w:pPr>
          </w:p>
        </w:tc>
        <w:tc>
          <w:tcPr>
            <w:tcW w:w="673" w:type="pct"/>
            <w:tcBorders>
              <w:top w:val="single" w:sz="12" w:space="0" w:color="auto"/>
            </w:tcBorders>
            <w:vAlign w:val="bottom"/>
          </w:tcPr>
          <w:p w14:paraId="168B1CAB" w14:textId="77777777" w:rsidR="00B510EC" w:rsidRPr="00744A29" w:rsidRDefault="00B510EC" w:rsidP="00B510EC">
            <w:pPr>
              <w:keepNext/>
              <w:keepLines/>
              <w:tabs>
                <w:tab w:val="decimal" w:pos="1202"/>
              </w:tabs>
              <w:spacing w:after="0" w:line="240" w:lineRule="auto"/>
              <w:jc w:val="right"/>
              <w:rPr>
                <w:rFonts w:eastAsia="Times New Roman" w:cs="Arial"/>
                <w:b/>
                <w:snapToGrid w:val="0"/>
                <w:position w:val="4"/>
                <w:sz w:val="18"/>
                <w:szCs w:val="18"/>
                <w:u w:val="thick"/>
              </w:rPr>
            </w:pPr>
          </w:p>
        </w:tc>
        <w:tc>
          <w:tcPr>
            <w:tcW w:w="673" w:type="pct"/>
            <w:tcBorders>
              <w:top w:val="single" w:sz="12" w:space="0" w:color="auto"/>
            </w:tcBorders>
            <w:vAlign w:val="bottom"/>
          </w:tcPr>
          <w:p w14:paraId="71D776C1" w14:textId="77777777" w:rsidR="00B510EC" w:rsidRPr="00744A29" w:rsidRDefault="00B510EC" w:rsidP="00B510EC">
            <w:pPr>
              <w:keepNext/>
              <w:keepLines/>
              <w:tabs>
                <w:tab w:val="decimal" w:pos="1202"/>
              </w:tabs>
              <w:spacing w:after="0" w:line="240" w:lineRule="auto"/>
              <w:jc w:val="right"/>
              <w:rPr>
                <w:rFonts w:eastAsia="Times New Roman" w:cs="Arial"/>
                <w:b/>
                <w:snapToGrid w:val="0"/>
                <w:position w:val="4"/>
                <w:sz w:val="18"/>
                <w:szCs w:val="18"/>
                <w:u w:val="thick"/>
              </w:rPr>
            </w:pPr>
          </w:p>
        </w:tc>
        <w:tc>
          <w:tcPr>
            <w:tcW w:w="673" w:type="pct"/>
            <w:tcBorders>
              <w:top w:val="single" w:sz="12" w:space="0" w:color="auto"/>
            </w:tcBorders>
            <w:vAlign w:val="bottom"/>
          </w:tcPr>
          <w:p w14:paraId="71F3B183" w14:textId="77777777" w:rsidR="00B510EC" w:rsidRPr="00744A29" w:rsidRDefault="00B510EC" w:rsidP="00B510EC">
            <w:pPr>
              <w:keepNext/>
              <w:keepLines/>
              <w:tabs>
                <w:tab w:val="decimal" w:pos="1202"/>
              </w:tabs>
              <w:spacing w:after="0" w:line="240" w:lineRule="auto"/>
              <w:jc w:val="right"/>
              <w:rPr>
                <w:rFonts w:eastAsia="Times New Roman" w:cs="Arial"/>
                <w:b/>
                <w:snapToGrid w:val="0"/>
                <w:position w:val="4"/>
                <w:sz w:val="18"/>
                <w:szCs w:val="18"/>
                <w:u w:val="thick"/>
              </w:rPr>
            </w:pPr>
          </w:p>
        </w:tc>
        <w:tc>
          <w:tcPr>
            <w:tcW w:w="673" w:type="pct"/>
            <w:tcBorders>
              <w:top w:val="single" w:sz="12" w:space="0" w:color="auto"/>
            </w:tcBorders>
            <w:vAlign w:val="bottom"/>
          </w:tcPr>
          <w:p w14:paraId="2CEDE1E8" w14:textId="77777777" w:rsidR="00B510EC" w:rsidRPr="00744A29" w:rsidRDefault="00B510EC" w:rsidP="00B510EC">
            <w:pPr>
              <w:keepNext/>
              <w:keepLines/>
              <w:tabs>
                <w:tab w:val="decimal" w:pos="1202"/>
              </w:tabs>
              <w:spacing w:after="0" w:line="240" w:lineRule="auto"/>
              <w:jc w:val="right"/>
              <w:rPr>
                <w:rFonts w:eastAsia="Times New Roman" w:cs="Arial"/>
                <w:b/>
                <w:snapToGrid w:val="0"/>
                <w:position w:val="4"/>
                <w:sz w:val="18"/>
                <w:szCs w:val="18"/>
                <w:u w:val="thick"/>
              </w:rPr>
            </w:pPr>
          </w:p>
        </w:tc>
        <w:tc>
          <w:tcPr>
            <w:tcW w:w="672" w:type="pct"/>
            <w:tcBorders>
              <w:top w:val="single" w:sz="12" w:space="0" w:color="auto"/>
            </w:tcBorders>
            <w:vAlign w:val="bottom"/>
          </w:tcPr>
          <w:p w14:paraId="3D0049BD" w14:textId="77777777" w:rsidR="00B510EC" w:rsidRPr="00744A29" w:rsidRDefault="00B510EC" w:rsidP="00B510EC">
            <w:pPr>
              <w:keepNext/>
              <w:keepLines/>
              <w:tabs>
                <w:tab w:val="decimal" w:pos="1202"/>
              </w:tabs>
              <w:spacing w:after="0" w:line="240" w:lineRule="auto"/>
              <w:jc w:val="right"/>
              <w:rPr>
                <w:rFonts w:eastAsia="Times New Roman" w:cs="Arial"/>
                <w:b/>
                <w:snapToGrid w:val="0"/>
                <w:position w:val="4"/>
                <w:sz w:val="18"/>
                <w:szCs w:val="18"/>
                <w:u w:val="thick"/>
              </w:rPr>
            </w:pPr>
          </w:p>
        </w:tc>
      </w:tr>
    </w:tbl>
    <w:p w14:paraId="25B30495" w14:textId="77777777" w:rsidR="00B510EC" w:rsidRDefault="00B510EC" w:rsidP="00BE35B9">
      <w:pPr>
        <w:spacing w:after="0" w:line="240" w:lineRule="auto"/>
        <w:jc w:val="both"/>
        <w:rPr>
          <w:rFonts w:cs="Arial"/>
          <w:sz w:val="20"/>
          <w:szCs w:val="20"/>
        </w:rPr>
      </w:pPr>
    </w:p>
    <w:p w14:paraId="7CD84441" w14:textId="77777777" w:rsidR="00744A29" w:rsidRDefault="00744A29" w:rsidP="00BE35B9">
      <w:pPr>
        <w:spacing w:after="0" w:line="240" w:lineRule="auto"/>
        <w:jc w:val="both"/>
        <w:rPr>
          <w:rFonts w:cs="Arial"/>
          <w:sz w:val="20"/>
          <w:szCs w:val="20"/>
        </w:rPr>
      </w:pPr>
    </w:p>
    <w:tbl>
      <w:tblPr>
        <w:tblW w:w="5039" w:type="pct"/>
        <w:jc w:val="center"/>
        <w:tblLayout w:type="fixed"/>
        <w:tblLook w:val="0000" w:firstRow="0" w:lastRow="0" w:firstColumn="0" w:lastColumn="0" w:noHBand="0" w:noVBand="0"/>
      </w:tblPr>
      <w:tblGrid>
        <w:gridCol w:w="1817"/>
        <w:gridCol w:w="1275"/>
        <w:gridCol w:w="1275"/>
        <w:gridCol w:w="1267"/>
        <w:gridCol w:w="1267"/>
        <w:gridCol w:w="1265"/>
        <w:gridCol w:w="1261"/>
      </w:tblGrid>
      <w:tr w:rsidR="00744A29" w:rsidRPr="00B510EC" w14:paraId="2A4DC9AA" w14:textId="77777777" w:rsidTr="000141E9">
        <w:trPr>
          <w:trHeight w:hRule="exact" w:val="537"/>
          <w:jc w:val="center"/>
        </w:trPr>
        <w:tc>
          <w:tcPr>
            <w:tcW w:w="964" w:type="pct"/>
          </w:tcPr>
          <w:p w14:paraId="7276AF66" w14:textId="77777777" w:rsidR="00744A29" w:rsidRPr="00B510EC" w:rsidRDefault="00744A29" w:rsidP="000141E9">
            <w:pPr>
              <w:spacing w:after="0" w:line="240" w:lineRule="auto"/>
              <w:rPr>
                <w:rFonts w:eastAsia="Times New Roman" w:cs="Arial"/>
                <w:b/>
                <w:sz w:val="18"/>
                <w:szCs w:val="18"/>
              </w:rPr>
            </w:pPr>
            <w:r w:rsidRPr="00B510EC">
              <w:rPr>
                <w:rFonts w:eastAsia="Times New Roman" w:cs="Arial"/>
                <w:b/>
                <w:sz w:val="18"/>
                <w:szCs w:val="18"/>
              </w:rPr>
              <w:t>Banka</w:t>
            </w:r>
          </w:p>
          <w:p w14:paraId="4E33C8DA" w14:textId="73593600" w:rsidR="00744A29" w:rsidRPr="00B510EC" w:rsidRDefault="00B631EA">
            <w:pPr>
              <w:spacing w:after="0" w:line="240" w:lineRule="auto"/>
              <w:rPr>
                <w:rFonts w:eastAsia="Times New Roman" w:cs="Arial"/>
                <w:b/>
                <w:sz w:val="18"/>
                <w:szCs w:val="18"/>
              </w:rPr>
            </w:pPr>
            <w:r w:rsidRPr="00744A29">
              <w:rPr>
                <w:rFonts w:eastAsia="Times New Roman" w:cs="Arial"/>
                <w:b/>
                <w:sz w:val="18"/>
                <w:szCs w:val="18"/>
              </w:rPr>
              <w:t>3</w:t>
            </w:r>
            <w:r>
              <w:rPr>
                <w:rFonts w:eastAsia="Times New Roman" w:cs="Arial"/>
                <w:b/>
                <w:sz w:val="18"/>
                <w:szCs w:val="18"/>
              </w:rPr>
              <w:t>0</w:t>
            </w:r>
            <w:r w:rsidR="00744A29" w:rsidRPr="00744A29">
              <w:rPr>
                <w:rFonts w:eastAsia="Times New Roman" w:cs="Arial"/>
                <w:b/>
                <w:sz w:val="18"/>
                <w:szCs w:val="18"/>
              </w:rPr>
              <w:t>.</w:t>
            </w:r>
            <w:r>
              <w:rPr>
                <w:rFonts w:eastAsia="Times New Roman" w:cs="Arial"/>
                <w:b/>
                <w:sz w:val="18"/>
                <w:szCs w:val="18"/>
              </w:rPr>
              <w:t>6</w:t>
            </w:r>
            <w:r w:rsidR="00744A29" w:rsidRPr="00744A29">
              <w:rPr>
                <w:rFonts w:eastAsia="Times New Roman" w:cs="Arial"/>
                <w:b/>
                <w:sz w:val="18"/>
                <w:szCs w:val="18"/>
              </w:rPr>
              <w:t>.2017.</w:t>
            </w:r>
          </w:p>
        </w:tc>
        <w:tc>
          <w:tcPr>
            <w:tcW w:w="676" w:type="pct"/>
            <w:vAlign w:val="center"/>
          </w:tcPr>
          <w:p w14:paraId="33AD2325" w14:textId="77777777" w:rsidR="00744A29" w:rsidRPr="00B510EC" w:rsidRDefault="00744A29" w:rsidP="000141E9">
            <w:pPr>
              <w:tabs>
                <w:tab w:val="right" w:pos="1202"/>
              </w:tabs>
              <w:spacing w:after="0" w:line="240" w:lineRule="auto"/>
              <w:jc w:val="right"/>
              <w:outlineLvl w:val="0"/>
              <w:rPr>
                <w:rFonts w:eastAsia="Times New Roman" w:cs="Arial"/>
                <w:b/>
                <w:noProof/>
                <w:sz w:val="18"/>
                <w:szCs w:val="18"/>
              </w:rPr>
            </w:pPr>
            <w:r w:rsidRPr="00B510EC">
              <w:rPr>
                <w:rFonts w:eastAsia="Times New Roman" w:cs="Arial"/>
                <w:b/>
                <w:noProof/>
                <w:sz w:val="18"/>
                <w:szCs w:val="18"/>
              </w:rPr>
              <w:t xml:space="preserve">Do 15 </w:t>
            </w:r>
          </w:p>
          <w:p w14:paraId="142A1504" w14:textId="77777777" w:rsidR="00744A29" w:rsidRPr="00B510EC" w:rsidRDefault="00744A29" w:rsidP="000141E9">
            <w:pPr>
              <w:tabs>
                <w:tab w:val="right" w:pos="1202"/>
              </w:tabs>
              <w:spacing w:after="0" w:line="240" w:lineRule="auto"/>
              <w:jc w:val="right"/>
              <w:outlineLvl w:val="0"/>
              <w:rPr>
                <w:rFonts w:eastAsia="Times New Roman" w:cs="Arial"/>
                <w:b/>
                <w:noProof/>
                <w:sz w:val="18"/>
                <w:szCs w:val="18"/>
              </w:rPr>
            </w:pPr>
            <w:r w:rsidRPr="00B510EC">
              <w:rPr>
                <w:rFonts w:eastAsia="Times New Roman" w:cs="Arial"/>
                <w:b/>
                <w:noProof/>
                <w:sz w:val="18"/>
                <w:szCs w:val="18"/>
              </w:rPr>
              <w:t xml:space="preserve">dana </w:t>
            </w:r>
          </w:p>
          <w:p w14:paraId="2D74F460" w14:textId="77777777" w:rsidR="00744A29" w:rsidRPr="00B510EC" w:rsidRDefault="00744A29" w:rsidP="000141E9">
            <w:pPr>
              <w:tabs>
                <w:tab w:val="right" w:pos="1202"/>
              </w:tabs>
              <w:spacing w:after="0" w:line="240" w:lineRule="auto"/>
              <w:jc w:val="right"/>
              <w:outlineLvl w:val="0"/>
              <w:rPr>
                <w:rFonts w:eastAsia="Times New Roman" w:cs="Arial"/>
                <w:b/>
                <w:noProof/>
                <w:sz w:val="18"/>
                <w:szCs w:val="18"/>
              </w:rPr>
            </w:pPr>
          </w:p>
        </w:tc>
        <w:tc>
          <w:tcPr>
            <w:tcW w:w="676" w:type="pct"/>
            <w:vAlign w:val="center"/>
          </w:tcPr>
          <w:p w14:paraId="7ACFCA02" w14:textId="77777777" w:rsidR="00744A29" w:rsidRDefault="00744A29" w:rsidP="000141E9">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16 do 30 </w:t>
            </w:r>
          </w:p>
          <w:p w14:paraId="1085A557" w14:textId="77777777" w:rsidR="00744A29" w:rsidRPr="00B510EC" w:rsidRDefault="00744A29" w:rsidP="000141E9">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dana </w:t>
            </w:r>
          </w:p>
          <w:p w14:paraId="7224C2C2" w14:textId="77777777" w:rsidR="00744A29" w:rsidRPr="00B510EC" w:rsidRDefault="00744A29" w:rsidP="000141E9">
            <w:pPr>
              <w:spacing w:after="0" w:line="240" w:lineRule="auto"/>
              <w:jc w:val="right"/>
              <w:rPr>
                <w:rFonts w:eastAsia="Times New Roman" w:cs="Arial"/>
                <w:b/>
                <w:noProof/>
                <w:sz w:val="18"/>
                <w:szCs w:val="18"/>
              </w:rPr>
            </w:pPr>
          </w:p>
        </w:tc>
        <w:tc>
          <w:tcPr>
            <w:tcW w:w="672" w:type="pct"/>
            <w:vAlign w:val="center"/>
          </w:tcPr>
          <w:p w14:paraId="0750899C" w14:textId="77777777" w:rsidR="00744A29" w:rsidRDefault="00744A29" w:rsidP="000141E9">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31 do 60 </w:t>
            </w:r>
          </w:p>
          <w:p w14:paraId="37BBE656" w14:textId="77777777" w:rsidR="00744A29" w:rsidRPr="00B510EC" w:rsidRDefault="00744A29" w:rsidP="000141E9">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dana </w:t>
            </w:r>
          </w:p>
          <w:p w14:paraId="3E8041B7" w14:textId="77777777" w:rsidR="00744A29" w:rsidRPr="00B510EC" w:rsidRDefault="00744A29" w:rsidP="000141E9">
            <w:pPr>
              <w:spacing w:after="0" w:line="240" w:lineRule="auto"/>
              <w:jc w:val="right"/>
              <w:rPr>
                <w:rFonts w:eastAsia="Times New Roman" w:cs="Arial"/>
                <w:b/>
                <w:noProof/>
                <w:sz w:val="18"/>
                <w:szCs w:val="18"/>
              </w:rPr>
            </w:pPr>
          </w:p>
        </w:tc>
        <w:tc>
          <w:tcPr>
            <w:tcW w:w="672" w:type="pct"/>
            <w:vAlign w:val="center"/>
          </w:tcPr>
          <w:p w14:paraId="5965E677" w14:textId="77777777" w:rsidR="00744A29" w:rsidRDefault="00744A29" w:rsidP="000141E9">
            <w:pPr>
              <w:spacing w:after="0" w:line="240" w:lineRule="auto"/>
              <w:jc w:val="right"/>
              <w:rPr>
                <w:rFonts w:eastAsia="Times New Roman" w:cs="Arial"/>
                <w:b/>
                <w:noProof/>
                <w:sz w:val="18"/>
                <w:szCs w:val="18"/>
              </w:rPr>
            </w:pPr>
            <w:r w:rsidRPr="00B510EC">
              <w:rPr>
                <w:rFonts w:eastAsia="Times New Roman" w:cs="Arial"/>
                <w:b/>
                <w:noProof/>
                <w:sz w:val="18"/>
                <w:szCs w:val="18"/>
              </w:rPr>
              <w:t>61 do 90</w:t>
            </w:r>
          </w:p>
          <w:p w14:paraId="35474D08" w14:textId="77777777" w:rsidR="00744A29" w:rsidRPr="00B510EC" w:rsidRDefault="00744A29" w:rsidP="000141E9">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 dana </w:t>
            </w:r>
          </w:p>
          <w:p w14:paraId="0B62F1AB" w14:textId="77777777" w:rsidR="00744A29" w:rsidRPr="00B510EC" w:rsidRDefault="00744A29" w:rsidP="000141E9">
            <w:pPr>
              <w:spacing w:after="0" w:line="240" w:lineRule="auto"/>
              <w:jc w:val="right"/>
              <w:rPr>
                <w:rFonts w:eastAsia="Times New Roman" w:cs="Arial"/>
                <w:b/>
                <w:noProof/>
                <w:sz w:val="18"/>
                <w:szCs w:val="18"/>
              </w:rPr>
            </w:pPr>
          </w:p>
        </w:tc>
        <w:tc>
          <w:tcPr>
            <w:tcW w:w="671" w:type="pct"/>
            <w:vAlign w:val="center"/>
          </w:tcPr>
          <w:p w14:paraId="6DDDE4B7" w14:textId="77777777" w:rsidR="00744A29" w:rsidRPr="00B510EC" w:rsidRDefault="00744A29" w:rsidP="000141E9">
            <w:pPr>
              <w:tabs>
                <w:tab w:val="right" w:pos="1202"/>
              </w:tabs>
              <w:spacing w:after="0" w:line="240" w:lineRule="auto"/>
              <w:jc w:val="right"/>
              <w:outlineLvl w:val="0"/>
              <w:rPr>
                <w:rFonts w:eastAsia="Times New Roman" w:cs="Arial"/>
                <w:b/>
                <w:noProof/>
                <w:sz w:val="18"/>
                <w:szCs w:val="18"/>
              </w:rPr>
            </w:pPr>
            <w:r w:rsidRPr="00B510EC">
              <w:rPr>
                <w:rFonts w:eastAsia="Times New Roman" w:cs="Arial"/>
                <w:b/>
                <w:noProof/>
                <w:sz w:val="18"/>
                <w:szCs w:val="18"/>
              </w:rPr>
              <w:t xml:space="preserve">Preko 90 dana </w:t>
            </w:r>
          </w:p>
          <w:p w14:paraId="749C3823" w14:textId="77777777" w:rsidR="00744A29" w:rsidRPr="00B510EC" w:rsidRDefault="00744A29" w:rsidP="000141E9">
            <w:pPr>
              <w:tabs>
                <w:tab w:val="right" w:pos="1202"/>
              </w:tabs>
              <w:spacing w:after="0" w:line="240" w:lineRule="auto"/>
              <w:jc w:val="right"/>
              <w:outlineLvl w:val="0"/>
              <w:rPr>
                <w:rFonts w:eastAsia="Times New Roman" w:cs="Arial"/>
                <w:b/>
                <w:noProof/>
                <w:sz w:val="18"/>
                <w:szCs w:val="18"/>
              </w:rPr>
            </w:pPr>
          </w:p>
        </w:tc>
        <w:tc>
          <w:tcPr>
            <w:tcW w:w="669" w:type="pct"/>
            <w:vAlign w:val="center"/>
          </w:tcPr>
          <w:p w14:paraId="28229A11" w14:textId="77777777" w:rsidR="00744A29" w:rsidRPr="00B510EC" w:rsidRDefault="00744A29" w:rsidP="000141E9">
            <w:pPr>
              <w:tabs>
                <w:tab w:val="right" w:pos="1202"/>
              </w:tabs>
              <w:spacing w:after="0" w:line="240" w:lineRule="auto"/>
              <w:jc w:val="right"/>
              <w:outlineLvl w:val="0"/>
              <w:rPr>
                <w:rFonts w:eastAsia="Times New Roman" w:cs="Arial"/>
                <w:b/>
                <w:noProof/>
                <w:sz w:val="18"/>
                <w:szCs w:val="18"/>
              </w:rPr>
            </w:pPr>
            <w:r w:rsidRPr="00B510EC">
              <w:rPr>
                <w:rFonts w:eastAsia="Times New Roman" w:cs="Arial"/>
                <w:b/>
                <w:noProof/>
                <w:sz w:val="18"/>
                <w:szCs w:val="18"/>
              </w:rPr>
              <w:t>Ukupno</w:t>
            </w:r>
          </w:p>
          <w:p w14:paraId="527D41AF" w14:textId="77777777" w:rsidR="00744A29" w:rsidRPr="00B510EC" w:rsidRDefault="00744A29" w:rsidP="000141E9">
            <w:pPr>
              <w:tabs>
                <w:tab w:val="right" w:pos="1202"/>
              </w:tabs>
              <w:spacing w:after="0" w:line="240" w:lineRule="auto"/>
              <w:jc w:val="right"/>
              <w:outlineLvl w:val="0"/>
              <w:rPr>
                <w:rFonts w:eastAsia="Times New Roman" w:cs="Arial"/>
                <w:b/>
                <w:noProof/>
                <w:sz w:val="18"/>
                <w:szCs w:val="18"/>
              </w:rPr>
            </w:pPr>
          </w:p>
        </w:tc>
      </w:tr>
      <w:tr w:rsidR="00744A29" w:rsidRPr="00B510EC" w14:paraId="52E4A8F5" w14:textId="77777777" w:rsidTr="000141E9">
        <w:trPr>
          <w:trHeight w:val="193"/>
          <w:jc w:val="center"/>
        </w:trPr>
        <w:tc>
          <w:tcPr>
            <w:tcW w:w="964" w:type="pct"/>
          </w:tcPr>
          <w:p w14:paraId="053E589A" w14:textId="77777777" w:rsidR="00744A29" w:rsidRPr="00B510EC" w:rsidRDefault="00744A29" w:rsidP="000141E9">
            <w:pPr>
              <w:tabs>
                <w:tab w:val="right" w:pos="1202"/>
              </w:tabs>
              <w:spacing w:after="0" w:line="301" w:lineRule="exact"/>
              <w:outlineLvl w:val="0"/>
              <w:rPr>
                <w:rFonts w:eastAsia="Times New Roman" w:cs="Arial"/>
                <w:b/>
                <w:bCs/>
                <w:sz w:val="18"/>
                <w:szCs w:val="18"/>
              </w:rPr>
            </w:pPr>
            <w:r w:rsidRPr="00B510EC">
              <w:rPr>
                <w:rFonts w:eastAsia="Times New Roman" w:cs="Arial"/>
                <w:b/>
                <w:bCs/>
                <w:sz w:val="18"/>
                <w:szCs w:val="18"/>
              </w:rPr>
              <w:t>Imovina</w:t>
            </w:r>
          </w:p>
        </w:tc>
        <w:tc>
          <w:tcPr>
            <w:tcW w:w="676" w:type="pct"/>
          </w:tcPr>
          <w:p w14:paraId="43D9B741" w14:textId="77777777" w:rsidR="00744A29" w:rsidRPr="00B510EC" w:rsidRDefault="00744A29" w:rsidP="000141E9">
            <w:pPr>
              <w:tabs>
                <w:tab w:val="right" w:pos="1202"/>
              </w:tabs>
              <w:spacing w:after="0" w:line="301" w:lineRule="exact"/>
              <w:jc w:val="right"/>
              <w:outlineLvl w:val="0"/>
              <w:rPr>
                <w:rFonts w:eastAsia="Times New Roman" w:cs="Arial"/>
                <w:b/>
                <w:bCs/>
                <w:sz w:val="18"/>
                <w:szCs w:val="18"/>
              </w:rPr>
            </w:pPr>
          </w:p>
        </w:tc>
        <w:tc>
          <w:tcPr>
            <w:tcW w:w="676" w:type="pct"/>
          </w:tcPr>
          <w:p w14:paraId="12581201" w14:textId="77777777" w:rsidR="00744A29" w:rsidRPr="00B510EC" w:rsidRDefault="00744A29" w:rsidP="000141E9">
            <w:pPr>
              <w:tabs>
                <w:tab w:val="right" w:pos="1202"/>
              </w:tabs>
              <w:spacing w:after="0" w:line="301" w:lineRule="exact"/>
              <w:jc w:val="right"/>
              <w:outlineLvl w:val="0"/>
              <w:rPr>
                <w:rFonts w:eastAsia="Times New Roman" w:cs="Arial"/>
                <w:b/>
                <w:bCs/>
                <w:sz w:val="18"/>
                <w:szCs w:val="18"/>
              </w:rPr>
            </w:pPr>
          </w:p>
        </w:tc>
        <w:tc>
          <w:tcPr>
            <w:tcW w:w="672" w:type="pct"/>
          </w:tcPr>
          <w:p w14:paraId="57B77E96" w14:textId="77777777" w:rsidR="00744A29" w:rsidRPr="00B510EC" w:rsidRDefault="00744A29" w:rsidP="000141E9">
            <w:pPr>
              <w:tabs>
                <w:tab w:val="right" w:pos="1202"/>
              </w:tabs>
              <w:spacing w:after="0" w:line="301" w:lineRule="exact"/>
              <w:jc w:val="right"/>
              <w:outlineLvl w:val="0"/>
              <w:rPr>
                <w:rFonts w:eastAsia="Times New Roman" w:cs="Arial"/>
                <w:b/>
                <w:bCs/>
                <w:sz w:val="18"/>
                <w:szCs w:val="18"/>
              </w:rPr>
            </w:pPr>
          </w:p>
        </w:tc>
        <w:tc>
          <w:tcPr>
            <w:tcW w:w="672" w:type="pct"/>
          </w:tcPr>
          <w:p w14:paraId="3580329C" w14:textId="77777777" w:rsidR="00744A29" w:rsidRPr="00B510EC" w:rsidRDefault="00744A29" w:rsidP="000141E9">
            <w:pPr>
              <w:tabs>
                <w:tab w:val="right" w:pos="1202"/>
              </w:tabs>
              <w:spacing w:after="0" w:line="301" w:lineRule="exact"/>
              <w:jc w:val="right"/>
              <w:outlineLvl w:val="0"/>
              <w:rPr>
                <w:rFonts w:eastAsia="Times New Roman" w:cs="Arial"/>
                <w:b/>
                <w:bCs/>
                <w:sz w:val="18"/>
                <w:szCs w:val="18"/>
              </w:rPr>
            </w:pPr>
          </w:p>
        </w:tc>
        <w:tc>
          <w:tcPr>
            <w:tcW w:w="671" w:type="pct"/>
          </w:tcPr>
          <w:p w14:paraId="122256A7" w14:textId="77777777" w:rsidR="00744A29" w:rsidRPr="00B510EC" w:rsidRDefault="00744A29" w:rsidP="000141E9">
            <w:pPr>
              <w:tabs>
                <w:tab w:val="right" w:pos="1202"/>
              </w:tabs>
              <w:spacing w:after="0" w:line="301" w:lineRule="exact"/>
              <w:jc w:val="right"/>
              <w:outlineLvl w:val="0"/>
              <w:rPr>
                <w:rFonts w:eastAsia="Times New Roman" w:cs="Arial"/>
                <w:b/>
                <w:bCs/>
                <w:sz w:val="18"/>
                <w:szCs w:val="18"/>
              </w:rPr>
            </w:pPr>
          </w:p>
        </w:tc>
        <w:tc>
          <w:tcPr>
            <w:tcW w:w="669" w:type="pct"/>
          </w:tcPr>
          <w:p w14:paraId="4A62FF30" w14:textId="77777777" w:rsidR="00744A29" w:rsidRPr="00B510EC" w:rsidRDefault="00744A29" w:rsidP="000141E9">
            <w:pPr>
              <w:tabs>
                <w:tab w:val="right" w:pos="1202"/>
              </w:tabs>
              <w:spacing w:after="0" w:line="301" w:lineRule="exact"/>
              <w:jc w:val="right"/>
              <w:outlineLvl w:val="0"/>
              <w:rPr>
                <w:rFonts w:eastAsia="Times New Roman" w:cs="Arial"/>
                <w:b/>
                <w:bCs/>
                <w:sz w:val="18"/>
                <w:szCs w:val="18"/>
              </w:rPr>
            </w:pPr>
          </w:p>
        </w:tc>
      </w:tr>
      <w:tr w:rsidR="00611E94" w:rsidRPr="00B510EC" w14:paraId="70D94B2B" w14:textId="77777777" w:rsidTr="00312975">
        <w:trPr>
          <w:trHeight w:val="201"/>
          <w:jc w:val="center"/>
        </w:trPr>
        <w:tc>
          <w:tcPr>
            <w:tcW w:w="964" w:type="pct"/>
            <w:vAlign w:val="bottom"/>
          </w:tcPr>
          <w:p w14:paraId="293294A6" w14:textId="77777777" w:rsidR="00611E94" w:rsidRPr="00B510EC" w:rsidRDefault="00611E94" w:rsidP="00611E94">
            <w:pPr>
              <w:tabs>
                <w:tab w:val="right" w:pos="1202"/>
              </w:tabs>
              <w:spacing w:after="0" w:line="220" w:lineRule="exact"/>
              <w:outlineLvl w:val="0"/>
              <w:rPr>
                <w:rFonts w:eastAsia="Times New Roman" w:cs="Arial"/>
                <w:sz w:val="18"/>
                <w:szCs w:val="18"/>
              </w:rPr>
            </w:pPr>
            <w:r w:rsidRPr="00B510EC">
              <w:rPr>
                <w:rFonts w:eastAsia="Times New Roman" w:cs="Arial"/>
                <w:sz w:val="18"/>
                <w:szCs w:val="18"/>
              </w:rPr>
              <w:t xml:space="preserve">Krediti financijskim institucijama </w:t>
            </w:r>
          </w:p>
        </w:tc>
        <w:tc>
          <w:tcPr>
            <w:tcW w:w="676" w:type="pct"/>
            <w:tcBorders>
              <w:top w:val="nil"/>
              <w:left w:val="nil"/>
              <w:bottom w:val="nil"/>
              <w:right w:val="nil"/>
            </w:tcBorders>
            <w:shd w:val="clear" w:color="auto" w:fill="auto"/>
            <w:vAlign w:val="center"/>
          </w:tcPr>
          <w:p w14:paraId="147D6F63" w14:textId="407986C0" w:rsidR="00611E94" w:rsidRPr="00611E94"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56.107</w:t>
            </w:r>
          </w:p>
        </w:tc>
        <w:tc>
          <w:tcPr>
            <w:tcW w:w="676" w:type="pct"/>
            <w:tcBorders>
              <w:top w:val="nil"/>
              <w:left w:val="nil"/>
              <w:bottom w:val="nil"/>
              <w:right w:val="nil"/>
            </w:tcBorders>
            <w:shd w:val="clear" w:color="auto" w:fill="auto"/>
            <w:vAlign w:val="center"/>
          </w:tcPr>
          <w:p w14:paraId="2B26DC98" w14:textId="11334B32" w:rsidR="00611E94" w:rsidRPr="00611E94"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197</w:t>
            </w:r>
          </w:p>
        </w:tc>
        <w:tc>
          <w:tcPr>
            <w:tcW w:w="672" w:type="pct"/>
            <w:tcBorders>
              <w:top w:val="nil"/>
              <w:left w:val="nil"/>
              <w:bottom w:val="nil"/>
              <w:right w:val="nil"/>
            </w:tcBorders>
            <w:shd w:val="clear" w:color="auto" w:fill="auto"/>
            <w:vAlign w:val="center"/>
          </w:tcPr>
          <w:p w14:paraId="0CE96C78" w14:textId="77D86FAA" w:rsidR="00611E94" w:rsidRPr="00611E94"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34.497</w:t>
            </w:r>
          </w:p>
        </w:tc>
        <w:tc>
          <w:tcPr>
            <w:tcW w:w="672" w:type="pct"/>
            <w:tcBorders>
              <w:top w:val="nil"/>
              <w:left w:val="nil"/>
              <w:bottom w:val="nil"/>
              <w:right w:val="nil"/>
            </w:tcBorders>
            <w:shd w:val="clear" w:color="auto" w:fill="auto"/>
            <w:vAlign w:val="center"/>
          </w:tcPr>
          <w:p w14:paraId="71F2E260" w14:textId="4540B6EE" w:rsidR="00611E94" w:rsidRPr="00611E94"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95</w:t>
            </w:r>
          </w:p>
        </w:tc>
        <w:tc>
          <w:tcPr>
            <w:tcW w:w="671" w:type="pct"/>
            <w:tcBorders>
              <w:top w:val="nil"/>
              <w:left w:val="nil"/>
              <w:bottom w:val="nil"/>
              <w:right w:val="nil"/>
            </w:tcBorders>
            <w:shd w:val="clear" w:color="auto" w:fill="auto"/>
            <w:vAlign w:val="center"/>
          </w:tcPr>
          <w:p w14:paraId="0DE37237" w14:textId="5EB6B122" w:rsidR="00611E94" w:rsidRPr="00611E94"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13.892</w:t>
            </w:r>
          </w:p>
        </w:tc>
        <w:tc>
          <w:tcPr>
            <w:tcW w:w="669" w:type="pct"/>
            <w:tcBorders>
              <w:top w:val="nil"/>
              <w:left w:val="nil"/>
              <w:bottom w:val="nil"/>
              <w:right w:val="nil"/>
            </w:tcBorders>
            <w:shd w:val="clear" w:color="auto" w:fill="auto"/>
            <w:vAlign w:val="center"/>
          </w:tcPr>
          <w:p w14:paraId="69A16CD6" w14:textId="21B65C0A" w:rsidR="00611E94" w:rsidRPr="00611E94"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104.788</w:t>
            </w:r>
          </w:p>
        </w:tc>
      </w:tr>
      <w:tr w:rsidR="00611E94" w:rsidRPr="00B510EC" w14:paraId="208ED376" w14:textId="77777777" w:rsidTr="00312975">
        <w:trPr>
          <w:trHeight w:val="494"/>
          <w:jc w:val="center"/>
        </w:trPr>
        <w:tc>
          <w:tcPr>
            <w:tcW w:w="964" w:type="pct"/>
            <w:vAlign w:val="bottom"/>
          </w:tcPr>
          <w:p w14:paraId="5B25B35F" w14:textId="77777777" w:rsidR="00611E94" w:rsidRPr="00B510EC" w:rsidRDefault="00611E94" w:rsidP="00611E94">
            <w:pPr>
              <w:tabs>
                <w:tab w:val="right" w:pos="1202"/>
              </w:tabs>
              <w:spacing w:after="0" w:line="220" w:lineRule="exact"/>
              <w:outlineLvl w:val="0"/>
              <w:rPr>
                <w:rFonts w:eastAsia="Times New Roman" w:cs="Arial"/>
                <w:sz w:val="18"/>
                <w:szCs w:val="18"/>
              </w:rPr>
            </w:pPr>
            <w:r w:rsidRPr="00B510EC">
              <w:rPr>
                <w:rFonts w:eastAsia="Times New Roman" w:cs="Arial"/>
                <w:sz w:val="18"/>
                <w:szCs w:val="18"/>
              </w:rPr>
              <w:t>Krediti ostalim korisnicima</w:t>
            </w:r>
          </w:p>
        </w:tc>
        <w:tc>
          <w:tcPr>
            <w:tcW w:w="676" w:type="pct"/>
            <w:tcBorders>
              <w:top w:val="nil"/>
              <w:left w:val="nil"/>
              <w:bottom w:val="nil"/>
              <w:right w:val="nil"/>
            </w:tcBorders>
            <w:shd w:val="clear" w:color="auto" w:fill="auto"/>
            <w:vAlign w:val="center"/>
          </w:tcPr>
          <w:p w14:paraId="505F1C00" w14:textId="6BF5BAAE" w:rsidR="00611E94" w:rsidRPr="00611E94"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82.834</w:t>
            </w:r>
          </w:p>
        </w:tc>
        <w:tc>
          <w:tcPr>
            <w:tcW w:w="676" w:type="pct"/>
            <w:tcBorders>
              <w:top w:val="nil"/>
              <w:left w:val="nil"/>
              <w:bottom w:val="nil"/>
              <w:right w:val="nil"/>
            </w:tcBorders>
            <w:shd w:val="clear" w:color="auto" w:fill="auto"/>
            <w:vAlign w:val="center"/>
          </w:tcPr>
          <w:p w14:paraId="6BC219B1" w14:textId="4D079740" w:rsidR="00611E94" w:rsidRPr="00611E94"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76.335</w:t>
            </w:r>
          </w:p>
        </w:tc>
        <w:tc>
          <w:tcPr>
            <w:tcW w:w="672" w:type="pct"/>
            <w:tcBorders>
              <w:top w:val="nil"/>
              <w:left w:val="nil"/>
              <w:bottom w:val="nil"/>
              <w:right w:val="nil"/>
            </w:tcBorders>
            <w:shd w:val="clear" w:color="auto" w:fill="auto"/>
            <w:vAlign w:val="center"/>
          </w:tcPr>
          <w:p w14:paraId="10609882" w14:textId="37425DC6" w:rsidR="00611E94" w:rsidRPr="00611E94"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65</w:t>
            </w:r>
          </w:p>
        </w:tc>
        <w:tc>
          <w:tcPr>
            <w:tcW w:w="672" w:type="pct"/>
            <w:tcBorders>
              <w:top w:val="nil"/>
              <w:left w:val="nil"/>
              <w:bottom w:val="nil"/>
              <w:right w:val="nil"/>
            </w:tcBorders>
            <w:shd w:val="clear" w:color="auto" w:fill="auto"/>
            <w:vAlign w:val="center"/>
          </w:tcPr>
          <w:p w14:paraId="64C77AC8" w14:textId="08144183" w:rsidR="00611E94" w:rsidRPr="00611E94"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21.775</w:t>
            </w:r>
          </w:p>
        </w:tc>
        <w:tc>
          <w:tcPr>
            <w:tcW w:w="671" w:type="pct"/>
            <w:tcBorders>
              <w:top w:val="nil"/>
              <w:left w:val="nil"/>
              <w:bottom w:val="nil"/>
              <w:right w:val="nil"/>
            </w:tcBorders>
            <w:shd w:val="clear" w:color="auto" w:fill="auto"/>
            <w:vAlign w:val="center"/>
          </w:tcPr>
          <w:p w14:paraId="53BE3667" w14:textId="0C21E422" w:rsidR="00611E94" w:rsidRPr="00611E94"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24.019</w:t>
            </w:r>
          </w:p>
        </w:tc>
        <w:tc>
          <w:tcPr>
            <w:tcW w:w="669" w:type="pct"/>
            <w:tcBorders>
              <w:top w:val="nil"/>
              <w:left w:val="nil"/>
              <w:bottom w:val="nil"/>
              <w:right w:val="nil"/>
            </w:tcBorders>
            <w:shd w:val="clear" w:color="auto" w:fill="auto"/>
            <w:vAlign w:val="center"/>
          </w:tcPr>
          <w:p w14:paraId="4339EEE6" w14:textId="0B399FE8" w:rsidR="00611E94" w:rsidRPr="00611E94"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205.028</w:t>
            </w:r>
          </w:p>
        </w:tc>
      </w:tr>
      <w:tr w:rsidR="00611E94" w:rsidRPr="00B510EC" w14:paraId="3F9CE865" w14:textId="77777777" w:rsidTr="00312975">
        <w:trPr>
          <w:trHeight w:val="193"/>
          <w:jc w:val="center"/>
        </w:trPr>
        <w:tc>
          <w:tcPr>
            <w:tcW w:w="964" w:type="pct"/>
            <w:vAlign w:val="bottom"/>
          </w:tcPr>
          <w:p w14:paraId="22530A8B" w14:textId="77777777" w:rsidR="00611E94" w:rsidRPr="00B510EC" w:rsidRDefault="00611E94" w:rsidP="00611E94">
            <w:pPr>
              <w:tabs>
                <w:tab w:val="right" w:pos="1202"/>
              </w:tabs>
              <w:spacing w:after="0" w:line="220" w:lineRule="exact"/>
              <w:outlineLvl w:val="0"/>
              <w:rPr>
                <w:rFonts w:eastAsia="Times New Roman" w:cs="Arial"/>
                <w:sz w:val="18"/>
                <w:szCs w:val="18"/>
              </w:rPr>
            </w:pPr>
            <w:r w:rsidRPr="00B510EC">
              <w:rPr>
                <w:rFonts w:eastAsia="Times New Roman" w:cs="Arial"/>
                <w:sz w:val="18"/>
                <w:szCs w:val="18"/>
              </w:rPr>
              <w:t xml:space="preserve">Ostala imovina </w:t>
            </w:r>
          </w:p>
        </w:tc>
        <w:tc>
          <w:tcPr>
            <w:tcW w:w="676" w:type="pct"/>
            <w:tcBorders>
              <w:top w:val="nil"/>
              <w:left w:val="nil"/>
              <w:bottom w:val="single" w:sz="8" w:space="0" w:color="auto"/>
              <w:right w:val="nil"/>
            </w:tcBorders>
            <w:shd w:val="clear" w:color="auto" w:fill="auto"/>
            <w:vAlign w:val="center"/>
          </w:tcPr>
          <w:p w14:paraId="66C84492" w14:textId="3CB8398F" w:rsidR="00611E94" w:rsidRPr="00611E94"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14</w:t>
            </w:r>
          </w:p>
        </w:tc>
        <w:tc>
          <w:tcPr>
            <w:tcW w:w="676" w:type="pct"/>
            <w:tcBorders>
              <w:top w:val="nil"/>
              <w:left w:val="nil"/>
              <w:bottom w:val="single" w:sz="8" w:space="0" w:color="auto"/>
              <w:right w:val="nil"/>
            </w:tcBorders>
            <w:shd w:val="clear" w:color="auto" w:fill="auto"/>
            <w:vAlign w:val="center"/>
          </w:tcPr>
          <w:p w14:paraId="2BFB7938" w14:textId="0284F839" w:rsidR="00611E94" w:rsidRPr="00611E94"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6</w:t>
            </w:r>
          </w:p>
        </w:tc>
        <w:tc>
          <w:tcPr>
            <w:tcW w:w="672" w:type="pct"/>
            <w:tcBorders>
              <w:top w:val="nil"/>
              <w:left w:val="nil"/>
              <w:bottom w:val="single" w:sz="8" w:space="0" w:color="auto"/>
              <w:right w:val="nil"/>
            </w:tcBorders>
            <w:shd w:val="clear" w:color="auto" w:fill="auto"/>
            <w:vAlign w:val="center"/>
          </w:tcPr>
          <w:p w14:paraId="69662D90" w14:textId="42334AF2" w:rsidR="00611E94" w:rsidRPr="00611E94"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1</w:t>
            </w:r>
          </w:p>
        </w:tc>
        <w:tc>
          <w:tcPr>
            <w:tcW w:w="672" w:type="pct"/>
            <w:tcBorders>
              <w:top w:val="nil"/>
              <w:left w:val="nil"/>
              <w:bottom w:val="single" w:sz="8" w:space="0" w:color="auto"/>
              <w:right w:val="nil"/>
            </w:tcBorders>
            <w:shd w:val="clear" w:color="auto" w:fill="auto"/>
            <w:vAlign w:val="center"/>
          </w:tcPr>
          <w:p w14:paraId="0FEECD73" w14:textId="44CEEE26" w:rsidR="00611E94" w:rsidRPr="00611E94"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255</w:t>
            </w:r>
          </w:p>
        </w:tc>
        <w:tc>
          <w:tcPr>
            <w:tcW w:w="671" w:type="pct"/>
            <w:tcBorders>
              <w:top w:val="nil"/>
              <w:left w:val="nil"/>
              <w:bottom w:val="single" w:sz="8" w:space="0" w:color="auto"/>
              <w:right w:val="nil"/>
            </w:tcBorders>
            <w:shd w:val="clear" w:color="auto" w:fill="auto"/>
            <w:vAlign w:val="center"/>
          </w:tcPr>
          <w:p w14:paraId="574C69FA" w14:textId="5192F62E" w:rsidR="00611E94" w:rsidRPr="00611E94"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269</w:t>
            </w:r>
          </w:p>
        </w:tc>
        <w:tc>
          <w:tcPr>
            <w:tcW w:w="669" w:type="pct"/>
            <w:tcBorders>
              <w:top w:val="nil"/>
              <w:left w:val="nil"/>
              <w:bottom w:val="single" w:sz="8" w:space="0" w:color="auto"/>
              <w:right w:val="nil"/>
            </w:tcBorders>
            <w:shd w:val="clear" w:color="auto" w:fill="auto"/>
            <w:vAlign w:val="center"/>
          </w:tcPr>
          <w:p w14:paraId="298A7450" w14:textId="0DFB1C67" w:rsidR="00611E94" w:rsidRPr="00611E94" w:rsidRDefault="00611E94" w:rsidP="00611E94">
            <w:pPr>
              <w:tabs>
                <w:tab w:val="right" w:pos="1202"/>
              </w:tabs>
              <w:spacing w:after="0" w:line="301" w:lineRule="exact"/>
              <w:jc w:val="right"/>
              <w:outlineLvl w:val="0"/>
              <w:rPr>
                <w:rFonts w:ascii="Calibri" w:hAnsi="Calibri" w:cs="Arial"/>
                <w:sz w:val="18"/>
                <w:szCs w:val="18"/>
              </w:rPr>
            </w:pPr>
            <w:r w:rsidRPr="00312975">
              <w:rPr>
                <w:rFonts w:ascii="Calibri" w:hAnsi="Calibri" w:cs="Arial"/>
                <w:sz w:val="18"/>
                <w:szCs w:val="18"/>
              </w:rPr>
              <w:t>545</w:t>
            </w:r>
          </w:p>
        </w:tc>
      </w:tr>
      <w:tr w:rsidR="00611E94" w:rsidRPr="00B510EC" w14:paraId="188725D6" w14:textId="77777777" w:rsidTr="00312975">
        <w:trPr>
          <w:trHeight w:hRule="exact" w:val="113"/>
          <w:jc w:val="center"/>
        </w:trPr>
        <w:tc>
          <w:tcPr>
            <w:tcW w:w="964" w:type="pct"/>
          </w:tcPr>
          <w:p w14:paraId="018C418A" w14:textId="77777777" w:rsidR="00611E94" w:rsidRPr="00B510EC" w:rsidRDefault="00611E94" w:rsidP="00611E94">
            <w:pPr>
              <w:keepNext/>
              <w:keepLines/>
              <w:tabs>
                <w:tab w:val="decimal" w:pos="1202"/>
              </w:tabs>
              <w:spacing w:after="0" w:line="120" w:lineRule="auto"/>
              <w:rPr>
                <w:rFonts w:eastAsia="Times New Roman" w:cs="Arial"/>
                <w:b/>
                <w:position w:val="4"/>
                <w:sz w:val="18"/>
                <w:szCs w:val="18"/>
              </w:rPr>
            </w:pPr>
          </w:p>
        </w:tc>
        <w:tc>
          <w:tcPr>
            <w:tcW w:w="676" w:type="pct"/>
            <w:tcBorders>
              <w:top w:val="nil"/>
              <w:left w:val="nil"/>
              <w:bottom w:val="nil"/>
              <w:right w:val="nil"/>
            </w:tcBorders>
            <w:shd w:val="clear" w:color="auto" w:fill="auto"/>
            <w:vAlign w:val="center"/>
          </w:tcPr>
          <w:p w14:paraId="7CBAEC3F" w14:textId="77777777" w:rsidR="00611E94" w:rsidRPr="00312975" w:rsidRDefault="00611E94" w:rsidP="00611E94">
            <w:pPr>
              <w:tabs>
                <w:tab w:val="right" w:pos="1202"/>
              </w:tabs>
              <w:spacing w:after="0" w:line="301" w:lineRule="exact"/>
              <w:jc w:val="right"/>
              <w:outlineLvl w:val="0"/>
              <w:rPr>
                <w:rFonts w:ascii="Calibri" w:hAnsi="Calibri" w:cs="Arial"/>
                <w:sz w:val="20"/>
                <w:szCs w:val="20"/>
              </w:rPr>
            </w:pPr>
          </w:p>
        </w:tc>
        <w:tc>
          <w:tcPr>
            <w:tcW w:w="676" w:type="pct"/>
            <w:tcBorders>
              <w:top w:val="nil"/>
              <w:left w:val="nil"/>
              <w:bottom w:val="nil"/>
              <w:right w:val="nil"/>
            </w:tcBorders>
            <w:shd w:val="clear" w:color="auto" w:fill="auto"/>
            <w:vAlign w:val="center"/>
          </w:tcPr>
          <w:p w14:paraId="2A063808" w14:textId="77777777" w:rsidR="00611E94" w:rsidRPr="00312975" w:rsidRDefault="00611E94" w:rsidP="00611E94">
            <w:pPr>
              <w:tabs>
                <w:tab w:val="right" w:pos="1202"/>
              </w:tabs>
              <w:spacing w:after="0" w:line="301" w:lineRule="exact"/>
              <w:jc w:val="right"/>
              <w:outlineLvl w:val="0"/>
              <w:rPr>
                <w:rFonts w:ascii="Calibri" w:hAnsi="Calibri" w:cs="Arial"/>
                <w:sz w:val="20"/>
                <w:szCs w:val="20"/>
              </w:rPr>
            </w:pPr>
          </w:p>
        </w:tc>
        <w:tc>
          <w:tcPr>
            <w:tcW w:w="672" w:type="pct"/>
            <w:tcBorders>
              <w:top w:val="nil"/>
              <w:left w:val="nil"/>
              <w:bottom w:val="nil"/>
              <w:right w:val="nil"/>
            </w:tcBorders>
            <w:shd w:val="clear" w:color="auto" w:fill="auto"/>
            <w:vAlign w:val="center"/>
          </w:tcPr>
          <w:p w14:paraId="4BA055C2" w14:textId="77777777" w:rsidR="00611E94" w:rsidRPr="00312975" w:rsidRDefault="00611E94" w:rsidP="00611E94">
            <w:pPr>
              <w:tabs>
                <w:tab w:val="right" w:pos="1202"/>
              </w:tabs>
              <w:spacing w:after="0" w:line="301" w:lineRule="exact"/>
              <w:jc w:val="right"/>
              <w:outlineLvl w:val="0"/>
              <w:rPr>
                <w:rFonts w:ascii="Calibri" w:hAnsi="Calibri" w:cs="Arial"/>
                <w:sz w:val="20"/>
                <w:szCs w:val="20"/>
              </w:rPr>
            </w:pPr>
          </w:p>
        </w:tc>
        <w:tc>
          <w:tcPr>
            <w:tcW w:w="672" w:type="pct"/>
            <w:tcBorders>
              <w:top w:val="nil"/>
              <w:left w:val="nil"/>
              <w:bottom w:val="nil"/>
              <w:right w:val="nil"/>
            </w:tcBorders>
            <w:shd w:val="clear" w:color="auto" w:fill="auto"/>
            <w:vAlign w:val="center"/>
          </w:tcPr>
          <w:p w14:paraId="6106DEEC" w14:textId="77777777" w:rsidR="00611E94" w:rsidRPr="00312975" w:rsidRDefault="00611E94" w:rsidP="00611E94">
            <w:pPr>
              <w:tabs>
                <w:tab w:val="right" w:pos="1202"/>
              </w:tabs>
              <w:spacing w:after="0" w:line="301" w:lineRule="exact"/>
              <w:jc w:val="right"/>
              <w:outlineLvl w:val="0"/>
              <w:rPr>
                <w:rFonts w:ascii="Calibri" w:hAnsi="Calibri" w:cs="Arial"/>
                <w:sz w:val="20"/>
                <w:szCs w:val="20"/>
              </w:rPr>
            </w:pPr>
          </w:p>
        </w:tc>
        <w:tc>
          <w:tcPr>
            <w:tcW w:w="671" w:type="pct"/>
            <w:tcBorders>
              <w:top w:val="nil"/>
              <w:left w:val="nil"/>
              <w:bottom w:val="nil"/>
              <w:right w:val="nil"/>
            </w:tcBorders>
            <w:shd w:val="clear" w:color="auto" w:fill="auto"/>
            <w:vAlign w:val="center"/>
          </w:tcPr>
          <w:p w14:paraId="5FA2EFB4" w14:textId="77777777" w:rsidR="00611E94" w:rsidRPr="00312975" w:rsidRDefault="00611E94" w:rsidP="00611E94">
            <w:pPr>
              <w:tabs>
                <w:tab w:val="right" w:pos="1202"/>
              </w:tabs>
              <w:spacing w:after="0" w:line="301" w:lineRule="exact"/>
              <w:jc w:val="right"/>
              <w:outlineLvl w:val="0"/>
              <w:rPr>
                <w:rFonts w:ascii="Calibri" w:hAnsi="Calibri" w:cs="Arial"/>
                <w:sz w:val="20"/>
                <w:szCs w:val="20"/>
              </w:rPr>
            </w:pPr>
          </w:p>
        </w:tc>
        <w:tc>
          <w:tcPr>
            <w:tcW w:w="669" w:type="pct"/>
            <w:tcBorders>
              <w:top w:val="nil"/>
              <w:left w:val="nil"/>
              <w:bottom w:val="nil"/>
              <w:right w:val="nil"/>
            </w:tcBorders>
            <w:shd w:val="clear" w:color="auto" w:fill="auto"/>
            <w:vAlign w:val="center"/>
          </w:tcPr>
          <w:p w14:paraId="08D2C2C8" w14:textId="77777777" w:rsidR="00611E94" w:rsidRPr="00312975" w:rsidRDefault="00611E94" w:rsidP="00611E94">
            <w:pPr>
              <w:tabs>
                <w:tab w:val="right" w:pos="1202"/>
              </w:tabs>
              <w:spacing w:after="0" w:line="301" w:lineRule="exact"/>
              <w:jc w:val="right"/>
              <w:outlineLvl w:val="0"/>
              <w:rPr>
                <w:rFonts w:ascii="Calibri" w:hAnsi="Calibri" w:cs="Arial"/>
                <w:sz w:val="20"/>
                <w:szCs w:val="20"/>
              </w:rPr>
            </w:pPr>
          </w:p>
        </w:tc>
      </w:tr>
      <w:tr w:rsidR="00611E94" w:rsidRPr="00B510EC" w14:paraId="3E21AC66" w14:textId="77777777" w:rsidTr="00312975">
        <w:trPr>
          <w:trHeight w:val="253"/>
          <w:jc w:val="center"/>
        </w:trPr>
        <w:tc>
          <w:tcPr>
            <w:tcW w:w="964" w:type="pct"/>
          </w:tcPr>
          <w:p w14:paraId="13C3388B" w14:textId="77777777" w:rsidR="00611E94" w:rsidRPr="00B510EC" w:rsidRDefault="00611E94" w:rsidP="00611E94">
            <w:pPr>
              <w:tabs>
                <w:tab w:val="right" w:pos="1202"/>
              </w:tabs>
              <w:spacing w:after="0" w:line="340" w:lineRule="exact"/>
              <w:outlineLvl w:val="0"/>
              <w:rPr>
                <w:rFonts w:eastAsia="Times New Roman" w:cs="Arial"/>
                <w:b/>
                <w:bCs/>
                <w:sz w:val="18"/>
                <w:szCs w:val="18"/>
              </w:rPr>
            </w:pPr>
            <w:r w:rsidRPr="00B510EC">
              <w:rPr>
                <w:rFonts w:eastAsia="Times New Roman" w:cs="Arial"/>
                <w:b/>
                <w:bCs/>
                <w:sz w:val="18"/>
                <w:szCs w:val="18"/>
              </w:rPr>
              <w:t>Ukupno</w:t>
            </w:r>
          </w:p>
        </w:tc>
        <w:tc>
          <w:tcPr>
            <w:tcW w:w="676" w:type="pct"/>
            <w:tcBorders>
              <w:top w:val="nil"/>
              <w:left w:val="nil"/>
              <w:bottom w:val="single" w:sz="12" w:space="0" w:color="auto"/>
              <w:right w:val="nil"/>
            </w:tcBorders>
            <w:shd w:val="clear" w:color="auto" w:fill="auto"/>
            <w:vAlign w:val="center"/>
          </w:tcPr>
          <w:p w14:paraId="435CF002" w14:textId="757D5F26" w:rsidR="00611E94" w:rsidRPr="00611E94" w:rsidRDefault="00611E94" w:rsidP="00611E94">
            <w:pPr>
              <w:tabs>
                <w:tab w:val="right" w:pos="1202"/>
              </w:tabs>
              <w:spacing w:after="0" w:line="301" w:lineRule="exact"/>
              <w:jc w:val="right"/>
              <w:outlineLvl w:val="0"/>
              <w:rPr>
                <w:rFonts w:ascii="Calibri" w:hAnsi="Calibri" w:cs="Arial"/>
                <w:b/>
                <w:sz w:val="18"/>
                <w:szCs w:val="18"/>
              </w:rPr>
            </w:pPr>
            <w:r w:rsidRPr="00312975">
              <w:rPr>
                <w:rFonts w:ascii="Calibri" w:hAnsi="Calibri" w:cs="Arial"/>
                <w:b/>
                <w:sz w:val="18"/>
                <w:szCs w:val="18"/>
              </w:rPr>
              <w:t>138.955</w:t>
            </w:r>
          </w:p>
        </w:tc>
        <w:tc>
          <w:tcPr>
            <w:tcW w:w="676" w:type="pct"/>
            <w:tcBorders>
              <w:top w:val="nil"/>
              <w:left w:val="nil"/>
              <w:bottom w:val="single" w:sz="12" w:space="0" w:color="auto"/>
              <w:right w:val="nil"/>
            </w:tcBorders>
            <w:shd w:val="clear" w:color="auto" w:fill="auto"/>
            <w:vAlign w:val="center"/>
          </w:tcPr>
          <w:p w14:paraId="5F704974" w14:textId="65B83CCC" w:rsidR="00611E94" w:rsidRPr="00611E94" w:rsidRDefault="00611E94" w:rsidP="00611E94">
            <w:pPr>
              <w:tabs>
                <w:tab w:val="right" w:pos="1202"/>
              </w:tabs>
              <w:spacing w:after="0" w:line="301" w:lineRule="exact"/>
              <w:jc w:val="right"/>
              <w:outlineLvl w:val="0"/>
              <w:rPr>
                <w:rFonts w:ascii="Calibri" w:hAnsi="Calibri" w:cs="Arial"/>
                <w:b/>
                <w:sz w:val="18"/>
                <w:szCs w:val="18"/>
              </w:rPr>
            </w:pPr>
            <w:r w:rsidRPr="00312975">
              <w:rPr>
                <w:rFonts w:ascii="Calibri" w:hAnsi="Calibri" w:cs="Arial"/>
                <w:b/>
                <w:sz w:val="18"/>
                <w:szCs w:val="18"/>
              </w:rPr>
              <w:t>76.538</w:t>
            </w:r>
          </w:p>
        </w:tc>
        <w:tc>
          <w:tcPr>
            <w:tcW w:w="672" w:type="pct"/>
            <w:tcBorders>
              <w:top w:val="nil"/>
              <w:left w:val="nil"/>
              <w:bottom w:val="single" w:sz="12" w:space="0" w:color="auto"/>
              <w:right w:val="nil"/>
            </w:tcBorders>
            <w:shd w:val="clear" w:color="auto" w:fill="auto"/>
            <w:vAlign w:val="center"/>
          </w:tcPr>
          <w:p w14:paraId="71BEC0FA" w14:textId="68015205" w:rsidR="00611E94" w:rsidRPr="00611E94" w:rsidRDefault="00611E94" w:rsidP="00611E94">
            <w:pPr>
              <w:tabs>
                <w:tab w:val="right" w:pos="1202"/>
              </w:tabs>
              <w:spacing w:after="0" w:line="301" w:lineRule="exact"/>
              <w:jc w:val="right"/>
              <w:outlineLvl w:val="0"/>
              <w:rPr>
                <w:rFonts w:ascii="Calibri" w:hAnsi="Calibri" w:cs="Arial"/>
                <w:b/>
                <w:sz w:val="18"/>
                <w:szCs w:val="18"/>
              </w:rPr>
            </w:pPr>
            <w:r w:rsidRPr="00312975">
              <w:rPr>
                <w:rFonts w:ascii="Calibri" w:hAnsi="Calibri" w:cs="Arial"/>
                <w:b/>
                <w:sz w:val="18"/>
                <w:szCs w:val="18"/>
              </w:rPr>
              <w:t>34.563</w:t>
            </w:r>
          </w:p>
        </w:tc>
        <w:tc>
          <w:tcPr>
            <w:tcW w:w="672" w:type="pct"/>
            <w:tcBorders>
              <w:top w:val="nil"/>
              <w:left w:val="nil"/>
              <w:bottom w:val="single" w:sz="12" w:space="0" w:color="auto"/>
              <w:right w:val="nil"/>
            </w:tcBorders>
            <w:shd w:val="clear" w:color="auto" w:fill="auto"/>
            <w:vAlign w:val="center"/>
          </w:tcPr>
          <w:p w14:paraId="3DFE2EDB" w14:textId="15B489F2" w:rsidR="00611E94" w:rsidRPr="00611E94" w:rsidRDefault="00611E94" w:rsidP="00611E94">
            <w:pPr>
              <w:tabs>
                <w:tab w:val="right" w:pos="1202"/>
              </w:tabs>
              <w:spacing w:after="0" w:line="301" w:lineRule="exact"/>
              <w:jc w:val="right"/>
              <w:outlineLvl w:val="0"/>
              <w:rPr>
                <w:rFonts w:ascii="Calibri" w:hAnsi="Calibri" w:cs="Arial"/>
                <w:b/>
                <w:sz w:val="18"/>
                <w:szCs w:val="18"/>
              </w:rPr>
            </w:pPr>
            <w:r w:rsidRPr="00312975">
              <w:rPr>
                <w:rFonts w:ascii="Calibri" w:hAnsi="Calibri" w:cs="Arial"/>
                <w:b/>
                <w:sz w:val="18"/>
                <w:szCs w:val="18"/>
              </w:rPr>
              <w:t>22.125</w:t>
            </w:r>
          </w:p>
        </w:tc>
        <w:tc>
          <w:tcPr>
            <w:tcW w:w="671" w:type="pct"/>
            <w:tcBorders>
              <w:top w:val="nil"/>
              <w:left w:val="nil"/>
              <w:bottom w:val="single" w:sz="12" w:space="0" w:color="auto"/>
              <w:right w:val="nil"/>
            </w:tcBorders>
            <w:shd w:val="clear" w:color="auto" w:fill="auto"/>
            <w:vAlign w:val="center"/>
          </w:tcPr>
          <w:p w14:paraId="5B586119" w14:textId="4A1CD39E" w:rsidR="00611E94" w:rsidRPr="00611E94" w:rsidRDefault="00611E94" w:rsidP="00611E94">
            <w:pPr>
              <w:tabs>
                <w:tab w:val="right" w:pos="1202"/>
              </w:tabs>
              <w:spacing w:after="0" w:line="301" w:lineRule="exact"/>
              <w:jc w:val="right"/>
              <w:outlineLvl w:val="0"/>
              <w:rPr>
                <w:rFonts w:ascii="Calibri" w:hAnsi="Calibri" w:cs="Arial"/>
                <w:b/>
                <w:sz w:val="18"/>
                <w:szCs w:val="18"/>
              </w:rPr>
            </w:pPr>
            <w:r w:rsidRPr="00312975">
              <w:rPr>
                <w:rFonts w:ascii="Calibri" w:hAnsi="Calibri" w:cs="Arial"/>
                <w:b/>
                <w:sz w:val="18"/>
                <w:szCs w:val="18"/>
              </w:rPr>
              <w:t>38.180</w:t>
            </w:r>
          </w:p>
        </w:tc>
        <w:tc>
          <w:tcPr>
            <w:tcW w:w="669" w:type="pct"/>
            <w:tcBorders>
              <w:top w:val="nil"/>
              <w:left w:val="nil"/>
              <w:bottom w:val="single" w:sz="12" w:space="0" w:color="auto"/>
              <w:right w:val="nil"/>
            </w:tcBorders>
            <w:shd w:val="clear" w:color="auto" w:fill="auto"/>
            <w:vAlign w:val="center"/>
          </w:tcPr>
          <w:p w14:paraId="6891D83E" w14:textId="4EEF31E9" w:rsidR="00611E94" w:rsidRPr="00611E94" w:rsidRDefault="00611E94" w:rsidP="00611E94">
            <w:pPr>
              <w:tabs>
                <w:tab w:val="right" w:pos="1202"/>
              </w:tabs>
              <w:spacing w:after="0" w:line="301" w:lineRule="exact"/>
              <w:jc w:val="right"/>
              <w:outlineLvl w:val="0"/>
              <w:rPr>
                <w:rFonts w:ascii="Calibri" w:hAnsi="Calibri" w:cs="Arial"/>
                <w:b/>
                <w:sz w:val="18"/>
                <w:szCs w:val="18"/>
              </w:rPr>
            </w:pPr>
            <w:r w:rsidRPr="00312975">
              <w:rPr>
                <w:rFonts w:ascii="Calibri" w:hAnsi="Calibri" w:cs="Arial"/>
                <w:b/>
                <w:sz w:val="18"/>
                <w:szCs w:val="18"/>
              </w:rPr>
              <w:t>310.361</w:t>
            </w:r>
          </w:p>
        </w:tc>
      </w:tr>
      <w:tr w:rsidR="00744A29" w:rsidRPr="00B510EC" w14:paraId="5A1C8B84" w14:textId="77777777" w:rsidTr="000141E9">
        <w:trPr>
          <w:trHeight w:val="67"/>
          <w:jc w:val="center"/>
        </w:trPr>
        <w:tc>
          <w:tcPr>
            <w:tcW w:w="964" w:type="pct"/>
          </w:tcPr>
          <w:p w14:paraId="2CDF91C8" w14:textId="77777777" w:rsidR="00744A29" w:rsidRPr="00B510EC" w:rsidRDefault="00744A29" w:rsidP="000141E9">
            <w:pPr>
              <w:keepNext/>
              <w:keepLines/>
              <w:tabs>
                <w:tab w:val="decimal" w:pos="1202"/>
              </w:tabs>
              <w:spacing w:after="0" w:line="100" w:lineRule="exact"/>
              <w:rPr>
                <w:rFonts w:eastAsia="Times New Roman" w:cs="Arial"/>
                <w:b/>
                <w:position w:val="4"/>
                <w:sz w:val="18"/>
                <w:szCs w:val="18"/>
                <w:u w:val="thick"/>
              </w:rPr>
            </w:pPr>
          </w:p>
        </w:tc>
        <w:tc>
          <w:tcPr>
            <w:tcW w:w="676" w:type="pct"/>
            <w:tcBorders>
              <w:top w:val="single" w:sz="12" w:space="0" w:color="auto"/>
            </w:tcBorders>
            <w:vAlign w:val="bottom"/>
          </w:tcPr>
          <w:p w14:paraId="17E87F7F" w14:textId="77777777" w:rsidR="00744A29" w:rsidRPr="00B510EC" w:rsidRDefault="00744A29" w:rsidP="000141E9">
            <w:pPr>
              <w:keepNext/>
              <w:keepLines/>
              <w:tabs>
                <w:tab w:val="decimal" w:pos="1202"/>
              </w:tabs>
              <w:spacing w:after="0" w:line="100" w:lineRule="exact"/>
              <w:jc w:val="right"/>
              <w:rPr>
                <w:rFonts w:eastAsia="Times New Roman" w:cs="Arial"/>
                <w:b/>
                <w:position w:val="4"/>
                <w:sz w:val="18"/>
                <w:szCs w:val="18"/>
                <w:u w:val="thick"/>
              </w:rPr>
            </w:pPr>
          </w:p>
        </w:tc>
        <w:tc>
          <w:tcPr>
            <w:tcW w:w="676" w:type="pct"/>
            <w:tcBorders>
              <w:top w:val="single" w:sz="12" w:space="0" w:color="auto"/>
            </w:tcBorders>
            <w:vAlign w:val="bottom"/>
          </w:tcPr>
          <w:p w14:paraId="4D6FFCCF" w14:textId="77777777" w:rsidR="00744A29" w:rsidRPr="00B510EC" w:rsidRDefault="00744A29" w:rsidP="000141E9">
            <w:pPr>
              <w:keepNext/>
              <w:keepLines/>
              <w:tabs>
                <w:tab w:val="decimal" w:pos="1202"/>
              </w:tabs>
              <w:spacing w:after="0" w:line="100" w:lineRule="exact"/>
              <w:jc w:val="right"/>
              <w:rPr>
                <w:rFonts w:eastAsia="Times New Roman" w:cs="Arial"/>
                <w:b/>
                <w:snapToGrid w:val="0"/>
                <w:position w:val="4"/>
                <w:sz w:val="18"/>
                <w:szCs w:val="18"/>
                <w:u w:val="thick"/>
              </w:rPr>
            </w:pPr>
          </w:p>
        </w:tc>
        <w:tc>
          <w:tcPr>
            <w:tcW w:w="672" w:type="pct"/>
            <w:tcBorders>
              <w:top w:val="single" w:sz="12" w:space="0" w:color="auto"/>
            </w:tcBorders>
            <w:vAlign w:val="bottom"/>
          </w:tcPr>
          <w:p w14:paraId="5C426A96" w14:textId="77777777" w:rsidR="00744A29" w:rsidRPr="00B510EC" w:rsidRDefault="00744A29" w:rsidP="000141E9">
            <w:pPr>
              <w:keepNext/>
              <w:keepLines/>
              <w:tabs>
                <w:tab w:val="decimal" w:pos="1202"/>
              </w:tabs>
              <w:spacing w:after="0" w:line="100" w:lineRule="exact"/>
              <w:jc w:val="right"/>
              <w:rPr>
                <w:rFonts w:eastAsia="Times New Roman" w:cs="Arial"/>
                <w:b/>
                <w:snapToGrid w:val="0"/>
                <w:position w:val="4"/>
                <w:sz w:val="18"/>
                <w:szCs w:val="18"/>
                <w:u w:val="thick"/>
              </w:rPr>
            </w:pPr>
          </w:p>
        </w:tc>
        <w:tc>
          <w:tcPr>
            <w:tcW w:w="672" w:type="pct"/>
            <w:tcBorders>
              <w:top w:val="single" w:sz="12" w:space="0" w:color="auto"/>
            </w:tcBorders>
            <w:vAlign w:val="bottom"/>
          </w:tcPr>
          <w:p w14:paraId="7AFFF114" w14:textId="77777777" w:rsidR="00744A29" w:rsidRPr="00B510EC" w:rsidRDefault="00744A29" w:rsidP="000141E9">
            <w:pPr>
              <w:keepNext/>
              <w:keepLines/>
              <w:tabs>
                <w:tab w:val="decimal" w:pos="1202"/>
              </w:tabs>
              <w:spacing w:after="0" w:line="100" w:lineRule="exact"/>
              <w:jc w:val="right"/>
              <w:rPr>
                <w:rFonts w:eastAsia="Times New Roman" w:cs="Arial"/>
                <w:b/>
                <w:snapToGrid w:val="0"/>
                <w:position w:val="4"/>
                <w:sz w:val="18"/>
                <w:szCs w:val="18"/>
                <w:u w:val="thick"/>
              </w:rPr>
            </w:pPr>
          </w:p>
        </w:tc>
        <w:tc>
          <w:tcPr>
            <w:tcW w:w="671" w:type="pct"/>
            <w:tcBorders>
              <w:top w:val="single" w:sz="12" w:space="0" w:color="auto"/>
            </w:tcBorders>
            <w:vAlign w:val="bottom"/>
          </w:tcPr>
          <w:p w14:paraId="47D07E62" w14:textId="77777777" w:rsidR="00744A29" w:rsidRPr="00B510EC" w:rsidRDefault="00744A29" w:rsidP="000141E9">
            <w:pPr>
              <w:keepNext/>
              <w:keepLines/>
              <w:tabs>
                <w:tab w:val="decimal" w:pos="1202"/>
              </w:tabs>
              <w:spacing w:after="0" w:line="100" w:lineRule="exact"/>
              <w:jc w:val="right"/>
              <w:rPr>
                <w:rFonts w:eastAsia="Times New Roman" w:cs="Arial"/>
                <w:b/>
                <w:snapToGrid w:val="0"/>
                <w:position w:val="4"/>
                <w:sz w:val="18"/>
                <w:szCs w:val="18"/>
                <w:u w:val="thick"/>
              </w:rPr>
            </w:pPr>
          </w:p>
        </w:tc>
        <w:tc>
          <w:tcPr>
            <w:tcW w:w="669" w:type="pct"/>
            <w:tcBorders>
              <w:top w:val="single" w:sz="12" w:space="0" w:color="auto"/>
            </w:tcBorders>
            <w:vAlign w:val="bottom"/>
          </w:tcPr>
          <w:p w14:paraId="248D41A8" w14:textId="77777777" w:rsidR="00744A29" w:rsidRPr="00B510EC" w:rsidRDefault="00744A29" w:rsidP="000141E9">
            <w:pPr>
              <w:keepNext/>
              <w:keepLines/>
              <w:tabs>
                <w:tab w:val="decimal" w:pos="1202"/>
              </w:tabs>
              <w:spacing w:after="0" w:line="100" w:lineRule="exact"/>
              <w:jc w:val="right"/>
              <w:rPr>
                <w:rFonts w:eastAsia="Times New Roman" w:cs="Arial"/>
                <w:b/>
                <w:snapToGrid w:val="0"/>
                <w:position w:val="4"/>
                <w:sz w:val="18"/>
                <w:szCs w:val="18"/>
                <w:u w:val="thick"/>
              </w:rPr>
            </w:pPr>
          </w:p>
        </w:tc>
      </w:tr>
    </w:tbl>
    <w:p w14:paraId="0E87D7B6" w14:textId="77777777" w:rsidR="00744A29" w:rsidRDefault="00744A29" w:rsidP="00BE35B9">
      <w:pPr>
        <w:spacing w:after="0" w:line="240" w:lineRule="auto"/>
        <w:jc w:val="both"/>
        <w:rPr>
          <w:rFonts w:cs="Arial"/>
          <w:sz w:val="20"/>
          <w:szCs w:val="20"/>
        </w:rPr>
      </w:pPr>
    </w:p>
    <w:p w14:paraId="0C6B2468" w14:textId="77777777" w:rsidR="00744A29" w:rsidRDefault="00744A29" w:rsidP="00BE35B9">
      <w:pPr>
        <w:spacing w:after="0" w:line="240" w:lineRule="auto"/>
        <w:jc w:val="both"/>
        <w:rPr>
          <w:rFonts w:cs="Arial"/>
          <w:sz w:val="20"/>
          <w:szCs w:val="20"/>
        </w:rPr>
      </w:pPr>
    </w:p>
    <w:p w14:paraId="0560619B" w14:textId="77777777" w:rsidR="00744A29" w:rsidRDefault="00744A29" w:rsidP="00BE35B9">
      <w:pPr>
        <w:spacing w:after="0" w:line="240" w:lineRule="auto"/>
        <w:jc w:val="both"/>
        <w:rPr>
          <w:rFonts w:cs="Arial"/>
          <w:sz w:val="20"/>
          <w:szCs w:val="20"/>
        </w:rPr>
      </w:pPr>
    </w:p>
    <w:p w14:paraId="5D8D3725" w14:textId="77777777" w:rsidR="00744A29" w:rsidRDefault="00744A29" w:rsidP="00BE35B9">
      <w:pPr>
        <w:spacing w:after="0" w:line="240" w:lineRule="auto"/>
        <w:jc w:val="both"/>
        <w:rPr>
          <w:rFonts w:cs="Arial"/>
          <w:sz w:val="20"/>
          <w:szCs w:val="20"/>
        </w:rPr>
        <w:sectPr w:rsidR="00744A29" w:rsidSect="00B631EA">
          <w:footerReference w:type="first" r:id="rId103"/>
          <w:pgSz w:w="11906" w:h="16838" w:code="9"/>
          <w:pgMar w:top="1418" w:right="1418" w:bottom="595" w:left="1134" w:header="709" w:footer="709" w:gutter="0"/>
          <w:cols w:space="708"/>
          <w:titlePg/>
          <w:docGrid w:linePitch="360"/>
        </w:sectPr>
      </w:pPr>
    </w:p>
    <w:p w14:paraId="5FC38C2A" w14:textId="77777777" w:rsidR="00B510EC" w:rsidRDefault="00B510EC" w:rsidP="00B510EC">
      <w:pPr>
        <w:pStyle w:val="T1"/>
        <w:tabs>
          <w:tab w:val="left" w:pos="567"/>
        </w:tabs>
        <w:spacing w:before="0" w:after="0" w:line="240" w:lineRule="auto"/>
        <w:rPr>
          <w:rFonts w:asciiTheme="minorHAnsi" w:hAnsiTheme="minorHAnsi" w:cs="Arial"/>
          <w:sz w:val="22"/>
          <w:szCs w:val="22"/>
          <w:lang w:val="hr-HR"/>
        </w:rPr>
      </w:pPr>
    </w:p>
    <w:p w14:paraId="6BE4FE66" w14:textId="77777777" w:rsidR="00B510EC" w:rsidRDefault="00B510EC" w:rsidP="00B510EC">
      <w:pPr>
        <w:pStyle w:val="T1"/>
        <w:tabs>
          <w:tab w:val="left" w:pos="567"/>
        </w:tabs>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16</w:t>
      </w:r>
      <w:r w:rsidRPr="00BE35B9">
        <w:rPr>
          <w:rFonts w:asciiTheme="minorHAnsi" w:hAnsiTheme="minorHAnsi" w:cs="Arial"/>
          <w:sz w:val="22"/>
          <w:szCs w:val="22"/>
          <w:lang w:val="hr-HR"/>
        </w:rPr>
        <w:t>.</w:t>
      </w:r>
      <w:r w:rsidRPr="00BE35B9">
        <w:rPr>
          <w:rFonts w:asciiTheme="minorHAnsi" w:hAnsiTheme="minorHAnsi" w:cs="Arial"/>
          <w:sz w:val="22"/>
          <w:szCs w:val="22"/>
          <w:lang w:val="hr-HR"/>
        </w:rPr>
        <w:tab/>
        <w:t>Upravljanje rizicima (nastavak)</w:t>
      </w:r>
    </w:p>
    <w:p w14:paraId="4B007269" w14:textId="77777777" w:rsidR="00B510EC" w:rsidRPr="00BE35B9" w:rsidRDefault="00B510EC" w:rsidP="00B510EC">
      <w:pPr>
        <w:pStyle w:val="T1"/>
        <w:spacing w:before="0" w:after="0" w:line="240" w:lineRule="auto"/>
        <w:rPr>
          <w:rFonts w:asciiTheme="minorHAnsi" w:hAnsiTheme="minorHAnsi" w:cs="Arial"/>
          <w:sz w:val="22"/>
          <w:szCs w:val="22"/>
          <w:lang w:val="hr-HR"/>
        </w:rPr>
      </w:pPr>
    </w:p>
    <w:p w14:paraId="6B31FA96" w14:textId="77777777" w:rsidR="00B510EC" w:rsidRDefault="00B510EC" w:rsidP="00B510EC">
      <w:pPr>
        <w:pStyle w:val="T1"/>
        <w:tabs>
          <w:tab w:val="left" w:pos="567"/>
        </w:tabs>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16</w:t>
      </w:r>
      <w:r w:rsidRPr="00BE35B9">
        <w:rPr>
          <w:rFonts w:asciiTheme="minorHAnsi" w:hAnsiTheme="minorHAnsi" w:cs="Arial"/>
          <w:sz w:val="22"/>
          <w:szCs w:val="22"/>
          <w:lang w:val="hr-HR"/>
        </w:rPr>
        <w:t xml:space="preserve">.2. </w:t>
      </w:r>
      <w:r w:rsidRPr="00BE35B9">
        <w:rPr>
          <w:rFonts w:asciiTheme="minorHAnsi" w:hAnsiTheme="minorHAnsi" w:cs="Arial"/>
          <w:sz w:val="22"/>
          <w:szCs w:val="22"/>
          <w:lang w:val="hr-HR"/>
        </w:rPr>
        <w:tab/>
        <w:t>Kreditni rizik (nastavak)</w:t>
      </w:r>
    </w:p>
    <w:p w14:paraId="77674187" w14:textId="77777777" w:rsidR="00B510EC" w:rsidRPr="00BE35B9" w:rsidRDefault="00B510EC" w:rsidP="00B510EC">
      <w:pPr>
        <w:pStyle w:val="T1"/>
        <w:spacing w:before="0" w:after="0" w:line="240" w:lineRule="auto"/>
        <w:rPr>
          <w:rFonts w:asciiTheme="minorHAnsi" w:hAnsiTheme="minorHAnsi" w:cs="Arial"/>
          <w:sz w:val="22"/>
          <w:szCs w:val="22"/>
          <w:lang w:val="hr-HR"/>
        </w:rPr>
      </w:pPr>
    </w:p>
    <w:p w14:paraId="4F49CDC1" w14:textId="77777777" w:rsidR="00B510EC" w:rsidRDefault="00B510EC" w:rsidP="00B510EC">
      <w:pPr>
        <w:pStyle w:val="T1"/>
        <w:spacing w:before="0" w:after="0" w:line="240" w:lineRule="auto"/>
        <w:rPr>
          <w:rFonts w:asciiTheme="minorHAnsi" w:hAnsiTheme="minorHAnsi" w:cs="Arial"/>
          <w:sz w:val="22"/>
          <w:szCs w:val="22"/>
          <w:lang w:val="hr-HR"/>
        </w:rPr>
      </w:pPr>
      <w:r w:rsidRPr="00BE35B9">
        <w:rPr>
          <w:rFonts w:asciiTheme="minorHAnsi" w:hAnsiTheme="minorHAnsi" w:cs="Arial"/>
          <w:sz w:val="22"/>
          <w:szCs w:val="22"/>
          <w:lang w:val="hr-HR"/>
        </w:rPr>
        <w:t>Kvaliteta kreditnog rizika prema vrsti financijske imovine (nastavak)</w:t>
      </w:r>
    </w:p>
    <w:p w14:paraId="5D674CBD" w14:textId="77777777" w:rsidR="00B510EC" w:rsidRDefault="00B510EC" w:rsidP="005A607D">
      <w:pPr>
        <w:spacing w:after="0" w:line="240" w:lineRule="auto"/>
        <w:jc w:val="both"/>
        <w:rPr>
          <w:rFonts w:cs="Arial"/>
          <w:sz w:val="20"/>
          <w:szCs w:val="20"/>
        </w:rPr>
      </w:pPr>
    </w:p>
    <w:p w14:paraId="5EF7D084" w14:textId="77777777" w:rsidR="00B510EC" w:rsidRDefault="00B510EC" w:rsidP="00B510EC">
      <w:pPr>
        <w:spacing w:after="0" w:line="240" w:lineRule="auto"/>
        <w:jc w:val="both"/>
        <w:rPr>
          <w:rFonts w:cs="Arial"/>
          <w:sz w:val="20"/>
          <w:szCs w:val="20"/>
        </w:rPr>
      </w:pPr>
      <w:r w:rsidRPr="00C52D10">
        <w:rPr>
          <w:rFonts w:cs="Arial"/>
          <w:sz w:val="20"/>
          <w:szCs w:val="20"/>
        </w:rPr>
        <w:t>Analiza starosne strukture dospjelih i neumanjenih kreditnih plasmana prema vrsti financijske imovine</w:t>
      </w:r>
      <w:r>
        <w:rPr>
          <w:rFonts w:cs="Arial"/>
          <w:sz w:val="20"/>
          <w:szCs w:val="20"/>
        </w:rPr>
        <w:t xml:space="preserve"> (nastavak)</w:t>
      </w:r>
      <w:r w:rsidRPr="00C52D10">
        <w:rPr>
          <w:rFonts w:cs="Arial"/>
          <w:sz w:val="20"/>
          <w:szCs w:val="20"/>
        </w:rPr>
        <w:t>:</w:t>
      </w:r>
    </w:p>
    <w:p w14:paraId="64073A55" w14:textId="77777777" w:rsidR="00B510EC" w:rsidRDefault="00B510EC" w:rsidP="00B510EC">
      <w:pPr>
        <w:spacing w:after="0" w:line="240" w:lineRule="auto"/>
        <w:jc w:val="both"/>
        <w:rPr>
          <w:rFonts w:cs="Arial"/>
          <w:sz w:val="20"/>
          <w:szCs w:val="20"/>
        </w:rPr>
      </w:pPr>
    </w:p>
    <w:p w14:paraId="48647BB8" w14:textId="77777777" w:rsidR="00B510EC" w:rsidRDefault="00B510EC" w:rsidP="00B510EC">
      <w:pPr>
        <w:spacing w:after="0" w:line="240" w:lineRule="auto"/>
        <w:jc w:val="both"/>
        <w:rPr>
          <w:rFonts w:cs="Arial"/>
          <w:sz w:val="20"/>
          <w:szCs w:val="20"/>
        </w:rPr>
      </w:pPr>
    </w:p>
    <w:tbl>
      <w:tblPr>
        <w:tblW w:w="5067" w:type="pct"/>
        <w:jc w:val="center"/>
        <w:tblLayout w:type="fixed"/>
        <w:tblLook w:val="0000" w:firstRow="0" w:lastRow="0" w:firstColumn="0" w:lastColumn="0" w:noHBand="0" w:noVBand="0"/>
      </w:tblPr>
      <w:tblGrid>
        <w:gridCol w:w="1825"/>
        <w:gridCol w:w="1282"/>
        <w:gridCol w:w="1282"/>
        <w:gridCol w:w="1274"/>
        <w:gridCol w:w="1274"/>
        <w:gridCol w:w="1272"/>
        <w:gridCol w:w="1270"/>
      </w:tblGrid>
      <w:tr w:rsidR="00B510EC" w:rsidRPr="00B510EC" w14:paraId="7BCA31A3" w14:textId="77777777" w:rsidTr="004B16B5">
        <w:trPr>
          <w:trHeight w:hRule="exact" w:val="526"/>
          <w:jc w:val="center"/>
        </w:trPr>
        <w:tc>
          <w:tcPr>
            <w:tcW w:w="963" w:type="pct"/>
          </w:tcPr>
          <w:p w14:paraId="51EB2A11" w14:textId="77777777" w:rsidR="00B510EC" w:rsidRPr="00B510EC" w:rsidRDefault="00B510EC" w:rsidP="00B510EC">
            <w:pPr>
              <w:spacing w:after="0" w:line="240" w:lineRule="auto"/>
              <w:rPr>
                <w:rFonts w:eastAsia="Times New Roman" w:cs="Arial"/>
                <w:b/>
                <w:sz w:val="18"/>
                <w:szCs w:val="18"/>
              </w:rPr>
            </w:pPr>
            <w:r w:rsidRPr="00B510EC">
              <w:rPr>
                <w:rFonts w:eastAsia="Times New Roman" w:cs="Arial"/>
                <w:b/>
                <w:sz w:val="18"/>
                <w:szCs w:val="18"/>
              </w:rPr>
              <w:t>Banka</w:t>
            </w:r>
          </w:p>
          <w:p w14:paraId="45B9C16A" w14:textId="5F8A4371" w:rsidR="00B510EC" w:rsidRPr="00B510EC" w:rsidRDefault="00B510EC" w:rsidP="00415DCF">
            <w:pPr>
              <w:spacing w:after="0" w:line="240" w:lineRule="auto"/>
              <w:rPr>
                <w:rFonts w:eastAsia="Times New Roman" w:cs="Arial"/>
                <w:b/>
                <w:sz w:val="18"/>
                <w:szCs w:val="18"/>
              </w:rPr>
            </w:pPr>
            <w:r w:rsidRPr="00B510EC">
              <w:rPr>
                <w:rFonts w:eastAsia="Times New Roman" w:cs="Arial"/>
                <w:b/>
                <w:sz w:val="18"/>
                <w:szCs w:val="18"/>
              </w:rPr>
              <w:t>31.12.201</w:t>
            </w:r>
            <w:r w:rsidR="00415DCF">
              <w:rPr>
                <w:rFonts w:eastAsia="Times New Roman" w:cs="Arial"/>
                <w:b/>
                <w:sz w:val="18"/>
                <w:szCs w:val="18"/>
              </w:rPr>
              <w:t>6</w:t>
            </w:r>
            <w:r w:rsidRPr="00B510EC">
              <w:rPr>
                <w:rFonts w:eastAsia="Times New Roman" w:cs="Arial"/>
                <w:b/>
                <w:sz w:val="18"/>
                <w:szCs w:val="18"/>
              </w:rPr>
              <w:t>.</w:t>
            </w:r>
          </w:p>
        </w:tc>
        <w:tc>
          <w:tcPr>
            <w:tcW w:w="676" w:type="pct"/>
            <w:vAlign w:val="center"/>
          </w:tcPr>
          <w:p w14:paraId="023DE74A"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r w:rsidRPr="00B510EC">
              <w:rPr>
                <w:rFonts w:eastAsia="Times New Roman" w:cs="Arial"/>
                <w:b/>
                <w:noProof/>
                <w:sz w:val="18"/>
                <w:szCs w:val="18"/>
              </w:rPr>
              <w:t xml:space="preserve">Do 15 </w:t>
            </w:r>
          </w:p>
          <w:p w14:paraId="1BDEA4F4"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r w:rsidRPr="00B510EC">
              <w:rPr>
                <w:rFonts w:eastAsia="Times New Roman" w:cs="Arial"/>
                <w:b/>
                <w:noProof/>
                <w:sz w:val="18"/>
                <w:szCs w:val="18"/>
              </w:rPr>
              <w:t xml:space="preserve">dana </w:t>
            </w:r>
          </w:p>
          <w:p w14:paraId="476AD86B"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p>
        </w:tc>
        <w:tc>
          <w:tcPr>
            <w:tcW w:w="676" w:type="pct"/>
            <w:vAlign w:val="center"/>
          </w:tcPr>
          <w:p w14:paraId="68FD5F0E" w14:textId="77777777" w:rsidR="00EC0BFC" w:rsidRDefault="00B510EC" w:rsidP="00B510EC">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16 do 30 </w:t>
            </w:r>
          </w:p>
          <w:p w14:paraId="5B348249" w14:textId="77777777" w:rsidR="00B510EC" w:rsidRPr="00B510EC" w:rsidRDefault="00B510EC" w:rsidP="00B510EC">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dana </w:t>
            </w:r>
          </w:p>
          <w:p w14:paraId="0877216F" w14:textId="77777777" w:rsidR="00B510EC" w:rsidRPr="00B510EC" w:rsidRDefault="00B510EC" w:rsidP="00B510EC">
            <w:pPr>
              <w:spacing w:after="0" w:line="240" w:lineRule="auto"/>
              <w:jc w:val="right"/>
              <w:rPr>
                <w:rFonts w:eastAsia="Times New Roman" w:cs="Arial"/>
                <w:b/>
                <w:noProof/>
                <w:sz w:val="18"/>
                <w:szCs w:val="18"/>
              </w:rPr>
            </w:pPr>
          </w:p>
        </w:tc>
        <w:tc>
          <w:tcPr>
            <w:tcW w:w="672" w:type="pct"/>
            <w:vAlign w:val="center"/>
          </w:tcPr>
          <w:p w14:paraId="5D4A5CEA" w14:textId="77777777" w:rsidR="00EC0BFC" w:rsidRDefault="00B510EC" w:rsidP="00B510EC">
            <w:pPr>
              <w:spacing w:after="0" w:line="240" w:lineRule="auto"/>
              <w:jc w:val="right"/>
              <w:rPr>
                <w:rFonts w:eastAsia="Times New Roman" w:cs="Arial"/>
                <w:b/>
                <w:noProof/>
                <w:sz w:val="18"/>
                <w:szCs w:val="18"/>
              </w:rPr>
            </w:pPr>
            <w:r w:rsidRPr="00B510EC">
              <w:rPr>
                <w:rFonts w:eastAsia="Times New Roman" w:cs="Arial"/>
                <w:b/>
                <w:noProof/>
                <w:sz w:val="18"/>
                <w:szCs w:val="18"/>
              </w:rPr>
              <w:t>31 do 60</w:t>
            </w:r>
          </w:p>
          <w:p w14:paraId="08DB62B0" w14:textId="77777777" w:rsidR="00B510EC" w:rsidRPr="00B510EC" w:rsidRDefault="00B510EC" w:rsidP="00B510EC">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 dana </w:t>
            </w:r>
          </w:p>
          <w:p w14:paraId="6365C012" w14:textId="77777777" w:rsidR="00B510EC" w:rsidRPr="00B510EC" w:rsidRDefault="00B510EC" w:rsidP="00B510EC">
            <w:pPr>
              <w:spacing w:after="0" w:line="240" w:lineRule="auto"/>
              <w:jc w:val="right"/>
              <w:rPr>
                <w:rFonts w:eastAsia="Times New Roman" w:cs="Arial"/>
                <w:b/>
                <w:noProof/>
                <w:sz w:val="18"/>
                <w:szCs w:val="18"/>
              </w:rPr>
            </w:pPr>
          </w:p>
        </w:tc>
        <w:tc>
          <w:tcPr>
            <w:tcW w:w="672" w:type="pct"/>
            <w:vAlign w:val="center"/>
          </w:tcPr>
          <w:p w14:paraId="51864CFA" w14:textId="77777777" w:rsidR="00EC0BFC" w:rsidRDefault="00B510EC" w:rsidP="00B510EC">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61 do 90 </w:t>
            </w:r>
          </w:p>
          <w:p w14:paraId="2843F5E1" w14:textId="77777777" w:rsidR="00B510EC" w:rsidRPr="00B510EC" w:rsidRDefault="00B510EC" w:rsidP="00B510EC">
            <w:pPr>
              <w:spacing w:after="0" w:line="240" w:lineRule="auto"/>
              <w:jc w:val="right"/>
              <w:rPr>
                <w:rFonts w:eastAsia="Times New Roman" w:cs="Arial"/>
                <w:b/>
                <w:noProof/>
                <w:sz w:val="18"/>
                <w:szCs w:val="18"/>
              </w:rPr>
            </w:pPr>
            <w:r w:rsidRPr="00B510EC">
              <w:rPr>
                <w:rFonts w:eastAsia="Times New Roman" w:cs="Arial"/>
                <w:b/>
                <w:noProof/>
                <w:sz w:val="18"/>
                <w:szCs w:val="18"/>
              </w:rPr>
              <w:t xml:space="preserve">dana </w:t>
            </w:r>
          </w:p>
          <w:p w14:paraId="523C7129" w14:textId="77777777" w:rsidR="00B510EC" w:rsidRPr="00B510EC" w:rsidRDefault="00B510EC" w:rsidP="00B510EC">
            <w:pPr>
              <w:spacing w:after="0" w:line="240" w:lineRule="auto"/>
              <w:jc w:val="right"/>
              <w:rPr>
                <w:rFonts w:eastAsia="Times New Roman" w:cs="Arial"/>
                <w:b/>
                <w:noProof/>
                <w:sz w:val="18"/>
                <w:szCs w:val="18"/>
              </w:rPr>
            </w:pPr>
          </w:p>
        </w:tc>
        <w:tc>
          <w:tcPr>
            <w:tcW w:w="671" w:type="pct"/>
            <w:vAlign w:val="center"/>
          </w:tcPr>
          <w:p w14:paraId="73CE031D"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r w:rsidRPr="00B510EC">
              <w:rPr>
                <w:rFonts w:eastAsia="Times New Roman" w:cs="Arial"/>
                <w:b/>
                <w:noProof/>
                <w:sz w:val="18"/>
                <w:szCs w:val="18"/>
              </w:rPr>
              <w:t xml:space="preserve">Preko 90 dana </w:t>
            </w:r>
          </w:p>
          <w:p w14:paraId="415A6BD7"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p>
        </w:tc>
        <w:tc>
          <w:tcPr>
            <w:tcW w:w="670" w:type="pct"/>
            <w:vAlign w:val="center"/>
          </w:tcPr>
          <w:p w14:paraId="44E7FE22"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r w:rsidRPr="00B510EC">
              <w:rPr>
                <w:rFonts w:eastAsia="Times New Roman" w:cs="Arial"/>
                <w:b/>
                <w:noProof/>
                <w:sz w:val="18"/>
                <w:szCs w:val="18"/>
              </w:rPr>
              <w:t>Ukupno</w:t>
            </w:r>
          </w:p>
          <w:p w14:paraId="130D2ED4" w14:textId="77777777" w:rsidR="00B510EC" w:rsidRPr="00B510EC" w:rsidRDefault="00B510EC" w:rsidP="00B510EC">
            <w:pPr>
              <w:tabs>
                <w:tab w:val="right" w:pos="1202"/>
              </w:tabs>
              <w:spacing w:after="0" w:line="240" w:lineRule="auto"/>
              <w:jc w:val="right"/>
              <w:outlineLvl w:val="0"/>
              <w:rPr>
                <w:rFonts w:eastAsia="Times New Roman" w:cs="Arial"/>
                <w:b/>
                <w:noProof/>
                <w:sz w:val="18"/>
                <w:szCs w:val="18"/>
              </w:rPr>
            </w:pPr>
          </w:p>
        </w:tc>
      </w:tr>
      <w:tr w:rsidR="00B510EC" w:rsidRPr="00B510EC" w14:paraId="3C0ABF45" w14:textId="77777777" w:rsidTr="004B16B5">
        <w:trPr>
          <w:trHeight w:val="188"/>
          <w:jc w:val="center"/>
        </w:trPr>
        <w:tc>
          <w:tcPr>
            <w:tcW w:w="963" w:type="pct"/>
          </w:tcPr>
          <w:p w14:paraId="16DF2404" w14:textId="77777777" w:rsidR="00B510EC" w:rsidRPr="00B510EC" w:rsidRDefault="00B510EC" w:rsidP="00B510EC">
            <w:pPr>
              <w:tabs>
                <w:tab w:val="right" w:pos="1202"/>
              </w:tabs>
              <w:spacing w:after="0" w:line="301" w:lineRule="exact"/>
              <w:outlineLvl w:val="0"/>
              <w:rPr>
                <w:rFonts w:eastAsia="Times New Roman" w:cs="Arial"/>
                <w:b/>
                <w:bCs/>
                <w:sz w:val="18"/>
                <w:szCs w:val="18"/>
              </w:rPr>
            </w:pPr>
            <w:r w:rsidRPr="00B510EC">
              <w:rPr>
                <w:rFonts w:eastAsia="Times New Roman" w:cs="Arial"/>
                <w:b/>
                <w:bCs/>
                <w:sz w:val="18"/>
                <w:szCs w:val="18"/>
              </w:rPr>
              <w:t>Imovina</w:t>
            </w:r>
          </w:p>
        </w:tc>
        <w:tc>
          <w:tcPr>
            <w:tcW w:w="676" w:type="pct"/>
          </w:tcPr>
          <w:p w14:paraId="09757337" w14:textId="77777777" w:rsidR="00B510EC" w:rsidRPr="00B510EC" w:rsidRDefault="00B510EC" w:rsidP="00B510EC">
            <w:pPr>
              <w:tabs>
                <w:tab w:val="right" w:pos="1202"/>
              </w:tabs>
              <w:spacing w:after="0" w:line="301" w:lineRule="exact"/>
              <w:jc w:val="right"/>
              <w:outlineLvl w:val="0"/>
              <w:rPr>
                <w:rFonts w:eastAsia="Times New Roman" w:cs="Arial"/>
                <w:b/>
                <w:bCs/>
                <w:sz w:val="18"/>
                <w:szCs w:val="18"/>
              </w:rPr>
            </w:pPr>
          </w:p>
        </w:tc>
        <w:tc>
          <w:tcPr>
            <w:tcW w:w="676" w:type="pct"/>
          </w:tcPr>
          <w:p w14:paraId="79D1BC93" w14:textId="77777777" w:rsidR="00B510EC" w:rsidRPr="00B510EC" w:rsidRDefault="00B510EC" w:rsidP="00B510EC">
            <w:pPr>
              <w:tabs>
                <w:tab w:val="right" w:pos="1202"/>
              </w:tabs>
              <w:spacing w:after="0" w:line="301" w:lineRule="exact"/>
              <w:jc w:val="right"/>
              <w:outlineLvl w:val="0"/>
              <w:rPr>
                <w:rFonts w:eastAsia="Times New Roman" w:cs="Arial"/>
                <w:b/>
                <w:bCs/>
                <w:sz w:val="18"/>
                <w:szCs w:val="18"/>
              </w:rPr>
            </w:pPr>
          </w:p>
        </w:tc>
        <w:tc>
          <w:tcPr>
            <w:tcW w:w="672" w:type="pct"/>
          </w:tcPr>
          <w:p w14:paraId="7E3C4B0F" w14:textId="77777777" w:rsidR="00B510EC" w:rsidRPr="00B510EC" w:rsidRDefault="00B510EC" w:rsidP="00B510EC">
            <w:pPr>
              <w:tabs>
                <w:tab w:val="right" w:pos="1202"/>
              </w:tabs>
              <w:spacing w:after="0" w:line="301" w:lineRule="exact"/>
              <w:jc w:val="right"/>
              <w:outlineLvl w:val="0"/>
              <w:rPr>
                <w:rFonts w:eastAsia="Times New Roman" w:cs="Arial"/>
                <w:b/>
                <w:bCs/>
                <w:sz w:val="18"/>
                <w:szCs w:val="18"/>
              </w:rPr>
            </w:pPr>
          </w:p>
        </w:tc>
        <w:tc>
          <w:tcPr>
            <w:tcW w:w="672" w:type="pct"/>
          </w:tcPr>
          <w:p w14:paraId="6A1881CC" w14:textId="77777777" w:rsidR="00B510EC" w:rsidRPr="00B510EC" w:rsidRDefault="00B510EC" w:rsidP="00B510EC">
            <w:pPr>
              <w:tabs>
                <w:tab w:val="right" w:pos="1202"/>
              </w:tabs>
              <w:spacing w:after="0" w:line="301" w:lineRule="exact"/>
              <w:jc w:val="right"/>
              <w:outlineLvl w:val="0"/>
              <w:rPr>
                <w:rFonts w:eastAsia="Times New Roman" w:cs="Arial"/>
                <w:b/>
                <w:bCs/>
                <w:sz w:val="18"/>
                <w:szCs w:val="18"/>
              </w:rPr>
            </w:pPr>
          </w:p>
        </w:tc>
        <w:tc>
          <w:tcPr>
            <w:tcW w:w="671" w:type="pct"/>
          </w:tcPr>
          <w:p w14:paraId="493858FC" w14:textId="77777777" w:rsidR="00B510EC" w:rsidRPr="00B510EC" w:rsidRDefault="00B510EC" w:rsidP="00B510EC">
            <w:pPr>
              <w:tabs>
                <w:tab w:val="right" w:pos="1202"/>
              </w:tabs>
              <w:spacing w:after="0" w:line="301" w:lineRule="exact"/>
              <w:jc w:val="right"/>
              <w:outlineLvl w:val="0"/>
              <w:rPr>
                <w:rFonts w:eastAsia="Times New Roman" w:cs="Arial"/>
                <w:b/>
                <w:bCs/>
                <w:sz w:val="18"/>
                <w:szCs w:val="18"/>
              </w:rPr>
            </w:pPr>
          </w:p>
        </w:tc>
        <w:tc>
          <w:tcPr>
            <w:tcW w:w="670" w:type="pct"/>
          </w:tcPr>
          <w:p w14:paraId="11BA8847" w14:textId="77777777" w:rsidR="00B510EC" w:rsidRPr="00B510EC" w:rsidRDefault="00B510EC" w:rsidP="00B510EC">
            <w:pPr>
              <w:tabs>
                <w:tab w:val="right" w:pos="1202"/>
              </w:tabs>
              <w:spacing w:after="0" w:line="301" w:lineRule="exact"/>
              <w:jc w:val="right"/>
              <w:outlineLvl w:val="0"/>
              <w:rPr>
                <w:rFonts w:eastAsia="Times New Roman" w:cs="Arial"/>
                <w:b/>
                <w:bCs/>
                <w:sz w:val="18"/>
                <w:szCs w:val="18"/>
              </w:rPr>
            </w:pPr>
          </w:p>
        </w:tc>
      </w:tr>
      <w:tr w:rsidR="00744A29" w:rsidRPr="00B510EC" w14:paraId="78B91A99" w14:textId="77777777" w:rsidTr="000141E9">
        <w:trPr>
          <w:trHeight w:val="196"/>
          <w:jc w:val="center"/>
        </w:trPr>
        <w:tc>
          <w:tcPr>
            <w:tcW w:w="963" w:type="pct"/>
            <w:vAlign w:val="bottom"/>
          </w:tcPr>
          <w:p w14:paraId="03588BBE" w14:textId="77777777" w:rsidR="00744A29" w:rsidRPr="00B510EC" w:rsidRDefault="00744A29" w:rsidP="00744A29">
            <w:pPr>
              <w:tabs>
                <w:tab w:val="right" w:pos="1202"/>
              </w:tabs>
              <w:spacing w:after="0" w:line="220" w:lineRule="exact"/>
              <w:outlineLvl w:val="0"/>
              <w:rPr>
                <w:rFonts w:eastAsia="Times New Roman" w:cs="Arial"/>
                <w:sz w:val="18"/>
                <w:szCs w:val="18"/>
              </w:rPr>
            </w:pPr>
            <w:r w:rsidRPr="00B510EC">
              <w:rPr>
                <w:rFonts w:eastAsia="Times New Roman" w:cs="Arial"/>
                <w:sz w:val="18"/>
                <w:szCs w:val="18"/>
              </w:rPr>
              <w:t xml:space="preserve">Krediti financijskim institucijama </w:t>
            </w:r>
          </w:p>
        </w:tc>
        <w:tc>
          <w:tcPr>
            <w:tcW w:w="676" w:type="pct"/>
            <w:tcBorders>
              <w:top w:val="nil"/>
              <w:left w:val="nil"/>
              <w:bottom w:val="nil"/>
              <w:right w:val="nil"/>
            </w:tcBorders>
            <w:shd w:val="clear" w:color="auto" w:fill="auto"/>
            <w:vAlign w:val="center"/>
          </w:tcPr>
          <w:p w14:paraId="76F5AB0C" w14:textId="208D958D" w:rsidR="00744A29" w:rsidRPr="00611E94" w:rsidRDefault="00744A29" w:rsidP="00744A29">
            <w:pPr>
              <w:tabs>
                <w:tab w:val="right" w:pos="1202"/>
              </w:tabs>
              <w:spacing w:after="0" w:line="301" w:lineRule="exact"/>
              <w:jc w:val="right"/>
              <w:outlineLvl w:val="0"/>
              <w:rPr>
                <w:rFonts w:eastAsia="Times New Roman" w:cs="Arial"/>
                <w:snapToGrid w:val="0"/>
                <w:sz w:val="18"/>
                <w:szCs w:val="18"/>
              </w:rPr>
            </w:pPr>
            <w:r w:rsidRPr="00312975">
              <w:rPr>
                <w:rFonts w:ascii="Calibri" w:hAnsi="Calibri" w:cs="Arial"/>
                <w:sz w:val="18"/>
                <w:szCs w:val="18"/>
              </w:rPr>
              <w:t>200.364</w:t>
            </w:r>
          </w:p>
        </w:tc>
        <w:tc>
          <w:tcPr>
            <w:tcW w:w="676" w:type="pct"/>
            <w:tcBorders>
              <w:top w:val="nil"/>
              <w:left w:val="nil"/>
              <w:bottom w:val="nil"/>
              <w:right w:val="nil"/>
            </w:tcBorders>
            <w:shd w:val="clear" w:color="auto" w:fill="auto"/>
            <w:vAlign w:val="center"/>
          </w:tcPr>
          <w:p w14:paraId="49AFDFF3" w14:textId="3F05EF54" w:rsidR="00744A29" w:rsidRPr="00611E94" w:rsidRDefault="00744A29" w:rsidP="00744A29">
            <w:pPr>
              <w:tabs>
                <w:tab w:val="right" w:pos="1202"/>
              </w:tabs>
              <w:spacing w:after="0" w:line="301" w:lineRule="exact"/>
              <w:jc w:val="right"/>
              <w:outlineLvl w:val="0"/>
              <w:rPr>
                <w:rFonts w:eastAsia="Times New Roman" w:cs="Arial"/>
                <w:snapToGrid w:val="0"/>
                <w:sz w:val="18"/>
                <w:szCs w:val="18"/>
              </w:rPr>
            </w:pPr>
            <w:r w:rsidRPr="00312975">
              <w:rPr>
                <w:rFonts w:ascii="Calibri" w:hAnsi="Calibri" w:cs="Arial"/>
                <w:sz w:val="18"/>
                <w:szCs w:val="18"/>
              </w:rPr>
              <w:t>552</w:t>
            </w:r>
          </w:p>
        </w:tc>
        <w:tc>
          <w:tcPr>
            <w:tcW w:w="672" w:type="pct"/>
            <w:tcBorders>
              <w:top w:val="nil"/>
              <w:left w:val="nil"/>
              <w:bottom w:val="nil"/>
              <w:right w:val="nil"/>
            </w:tcBorders>
            <w:shd w:val="clear" w:color="auto" w:fill="auto"/>
            <w:vAlign w:val="center"/>
          </w:tcPr>
          <w:p w14:paraId="7B2F3907" w14:textId="64A9F30B" w:rsidR="00744A29" w:rsidRPr="00611E94" w:rsidRDefault="00744A29" w:rsidP="00744A29">
            <w:pPr>
              <w:tabs>
                <w:tab w:val="right" w:pos="1202"/>
              </w:tabs>
              <w:spacing w:after="0" w:line="301" w:lineRule="exact"/>
              <w:jc w:val="right"/>
              <w:outlineLvl w:val="0"/>
              <w:rPr>
                <w:rFonts w:eastAsia="Times New Roman" w:cs="Arial"/>
                <w:snapToGrid w:val="0"/>
                <w:sz w:val="18"/>
                <w:szCs w:val="18"/>
              </w:rPr>
            </w:pPr>
            <w:r w:rsidRPr="00312975">
              <w:rPr>
                <w:rFonts w:ascii="Calibri" w:hAnsi="Calibri" w:cs="Arial"/>
                <w:sz w:val="18"/>
                <w:szCs w:val="18"/>
              </w:rPr>
              <w:t>4.000</w:t>
            </w:r>
          </w:p>
        </w:tc>
        <w:tc>
          <w:tcPr>
            <w:tcW w:w="672" w:type="pct"/>
            <w:tcBorders>
              <w:top w:val="nil"/>
              <w:left w:val="nil"/>
              <w:bottom w:val="nil"/>
              <w:right w:val="nil"/>
            </w:tcBorders>
            <w:shd w:val="clear" w:color="auto" w:fill="auto"/>
            <w:vAlign w:val="center"/>
          </w:tcPr>
          <w:p w14:paraId="5DABB3E2" w14:textId="68D666BC" w:rsidR="00744A29" w:rsidRPr="00611E94" w:rsidRDefault="00744A29" w:rsidP="00744A29">
            <w:pPr>
              <w:tabs>
                <w:tab w:val="right" w:pos="1202"/>
              </w:tabs>
              <w:spacing w:after="0" w:line="301" w:lineRule="exact"/>
              <w:jc w:val="right"/>
              <w:outlineLvl w:val="0"/>
              <w:rPr>
                <w:rFonts w:eastAsia="Times New Roman" w:cs="Arial"/>
                <w:snapToGrid w:val="0"/>
                <w:sz w:val="18"/>
                <w:szCs w:val="18"/>
              </w:rPr>
            </w:pPr>
            <w:r w:rsidRPr="00312975">
              <w:rPr>
                <w:rFonts w:ascii="Calibri" w:hAnsi="Calibri" w:cs="Arial"/>
                <w:sz w:val="18"/>
                <w:szCs w:val="18"/>
              </w:rPr>
              <w:t>17</w:t>
            </w:r>
          </w:p>
        </w:tc>
        <w:tc>
          <w:tcPr>
            <w:tcW w:w="671" w:type="pct"/>
            <w:tcBorders>
              <w:top w:val="nil"/>
              <w:left w:val="nil"/>
              <w:bottom w:val="nil"/>
              <w:right w:val="nil"/>
            </w:tcBorders>
            <w:shd w:val="clear" w:color="auto" w:fill="auto"/>
            <w:vAlign w:val="center"/>
          </w:tcPr>
          <w:p w14:paraId="1F20C623" w14:textId="469AB0B1" w:rsidR="00744A29" w:rsidRPr="00611E94" w:rsidRDefault="00744A29" w:rsidP="00744A29">
            <w:pPr>
              <w:tabs>
                <w:tab w:val="right" w:pos="1202"/>
              </w:tabs>
              <w:spacing w:after="0" w:line="301" w:lineRule="exact"/>
              <w:jc w:val="right"/>
              <w:outlineLvl w:val="0"/>
              <w:rPr>
                <w:rFonts w:eastAsia="Times New Roman" w:cs="Arial"/>
                <w:snapToGrid w:val="0"/>
                <w:sz w:val="18"/>
                <w:szCs w:val="18"/>
              </w:rPr>
            </w:pPr>
            <w:r w:rsidRPr="00312975">
              <w:rPr>
                <w:rFonts w:ascii="Calibri" w:hAnsi="Calibri" w:cs="Arial"/>
                <w:sz w:val="18"/>
                <w:szCs w:val="18"/>
              </w:rPr>
              <w:t>7.521</w:t>
            </w:r>
          </w:p>
        </w:tc>
        <w:tc>
          <w:tcPr>
            <w:tcW w:w="670" w:type="pct"/>
            <w:tcBorders>
              <w:top w:val="nil"/>
              <w:left w:val="nil"/>
              <w:bottom w:val="nil"/>
              <w:right w:val="nil"/>
            </w:tcBorders>
            <w:shd w:val="clear" w:color="auto" w:fill="auto"/>
            <w:vAlign w:val="center"/>
          </w:tcPr>
          <w:p w14:paraId="475DE8CF" w14:textId="45F8703F" w:rsidR="00744A29" w:rsidRPr="00611E94" w:rsidRDefault="00744A29" w:rsidP="00744A29">
            <w:pPr>
              <w:tabs>
                <w:tab w:val="right" w:pos="1202"/>
              </w:tabs>
              <w:spacing w:after="0" w:line="301" w:lineRule="exact"/>
              <w:jc w:val="right"/>
              <w:outlineLvl w:val="0"/>
              <w:rPr>
                <w:rFonts w:eastAsia="Times New Roman" w:cs="Arial"/>
                <w:snapToGrid w:val="0"/>
                <w:sz w:val="18"/>
                <w:szCs w:val="18"/>
              </w:rPr>
            </w:pPr>
            <w:r w:rsidRPr="00312975">
              <w:rPr>
                <w:rFonts w:ascii="Calibri" w:hAnsi="Calibri" w:cs="Arial"/>
                <w:sz w:val="18"/>
                <w:szCs w:val="18"/>
              </w:rPr>
              <w:t>212.454</w:t>
            </w:r>
          </w:p>
        </w:tc>
      </w:tr>
      <w:tr w:rsidR="00744A29" w:rsidRPr="00B510EC" w14:paraId="5810022E" w14:textId="77777777" w:rsidTr="000141E9">
        <w:trPr>
          <w:trHeight w:val="483"/>
          <w:jc w:val="center"/>
        </w:trPr>
        <w:tc>
          <w:tcPr>
            <w:tcW w:w="963" w:type="pct"/>
            <w:vAlign w:val="bottom"/>
          </w:tcPr>
          <w:p w14:paraId="703E51C5" w14:textId="77777777" w:rsidR="00744A29" w:rsidRPr="00B510EC" w:rsidRDefault="00744A29" w:rsidP="00744A29">
            <w:pPr>
              <w:tabs>
                <w:tab w:val="right" w:pos="1202"/>
              </w:tabs>
              <w:spacing w:after="0" w:line="220" w:lineRule="exact"/>
              <w:outlineLvl w:val="0"/>
              <w:rPr>
                <w:rFonts w:eastAsia="Times New Roman" w:cs="Arial"/>
                <w:sz w:val="18"/>
                <w:szCs w:val="18"/>
              </w:rPr>
            </w:pPr>
            <w:r w:rsidRPr="00B510EC">
              <w:rPr>
                <w:rFonts w:eastAsia="Times New Roman" w:cs="Arial"/>
                <w:sz w:val="18"/>
                <w:szCs w:val="18"/>
              </w:rPr>
              <w:t>Krediti ostalim korisnicima</w:t>
            </w:r>
          </w:p>
        </w:tc>
        <w:tc>
          <w:tcPr>
            <w:tcW w:w="676" w:type="pct"/>
            <w:tcBorders>
              <w:top w:val="nil"/>
              <w:left w:val="nil"/>
              <w:bottom w:val="nil"/>
              <w:right w:val="nil"/>
            </w:tcBorders>
            <w:shd w:val="clear" w:color="auto" w:fill="auto"/>
            <w:vAlign w:val="center"/>
          </w:tcPr>
          <w:p w14:paraId="21D3EBE1" w14:textId="2DB26F96" w:rsidR="00744A29" w:rsidRPr="00611E94" w:rsidRDefault="00744A29" w:rsidP="00744A29">
            <w:pPr>
              <w:tabs>
                <w:tab w:val="right" w:pos="1202"/>
              </w:tabs>
              <w:spacing w:after="0" w:line="301" w:lineRule="exact"/>
              <w:jc w:val="right"/>
              <w:outlineLvl w:val="0"/>
              <w:rPr>
                <w:rFonts w:eastAsia="Times New Roman" w:cs="Arial"/>
                <w:spacing w:val="-2"/>
                <w:sz w:val="18"/>
                <w:szCs w:val="18"/>
              </w:rPr>
            </w:pPr>
            <w:r w:rsidRPr="00312975">
              <w:rPr>
                <w:rFonts w:ascii="Calibri" w:hAnsi="Calibri" w:cs="Arial"/>
                <w:sz w:val="18"/>
                <w:szCs w:val="18"/>
              </w:rPr>
              <w:t>109.035</w:t>
            </w:r>
          </w:p>
        </w:tc>
        <w:tc>
          <w:tcPr>
            <w:tcW w:w="676" w:type="pct"/>
            <w:tcBorders>
              <w:top w:val="nil"/>
              <w:left w:val="nil"/>
              <w:bottom w:val="nil"/>
              <w:right w:val="nil"/>
            </w:tcBorders>
            <w:shd w:val="clear" w:color="auto" w:fill="auto"/>
            <w:vAlign w:val="center"/>
          </w:tcPr>
          <w:p w14:paraId="5A0CCD36" w14:textId="217F100E" w:rsidR="00744A29" w:rsidRPr="00611E94" w:rsidRDefault="00744A29" w:rsidP="00744A29">
            <w:pPr>
              <w:tabs>
                <w:tab w:val="right" w:pos="1202"/>
              </w:tabs>
              <w:spacing w:after="0" w:line="301" w:lineRule="exact"/>
              <w:jc w:val="right"/>
              <w:outlineLvl w:val="0"/>
              <w:rPr>
                <w:rFonts w:eastAsia="Times New Roman" w:cs="Arial"/>
                <w:spacing w:val="-2"/>
                <w:sz w:val="18"/>
                <w:szCs w:val="18"/>
              </w:rPr>
            </w:pPr>
            <w:r w:rsidRPr="00312975">
              <w:rPr>
                <w:rFonts w:ascii="Calibri" w:hAnsi="Calibri" w:cs="Arial"/>
                <w:sz w:val="18"/>
                <w:szCs w:val="18"/>
              </w:rPr>
              <w:t>36</w:t>
            </w:r>
          </w:p>
        </w:tc>
        <w:tc>
          <w:tcPr>
            <w:tcW w:w="672" w:type="pct"/>
            <w:tcBorders>
              <w:top w:val="nil"/>
              <w:left w:val="nil"/>
              <w:bottom w:val="nil"/>
              <w:right w:val="nil"/>
            </w:tcBorders>
            <w:shd w:val="clear" w:color="auto" w:fill="auto"/>
            <w:vAlign w:val="center"/>
          </w:tcPr>
          <w:p w14:paraId="38296C7B" w14:textId="314664FB" w:rsidR="00744A29" w:rsidRPr="00611E94" w:rsidRDefault="00744A29" w:rsidP="00744A29">
            <w:pPr>
              <w:tabs>
                <w:tab w:val="right" w:pos="1202"/>
              </w:tabs>
              <w:spacing w:after="0" w:line="301" w:lineRule="exact"/>
              <w:jc w:val="right"/>
              <w:outlineLvl w:val="0"/>
              <w:rPr>
                <w:rFonts w:eastAsia="Times New Roman" w:cs="Arial"/>
                <w:spacing w:val="-2"/>
                <w:sz w:val="18"/>
                <w:szCs w:val="18"/>
              </w:rPr>
            </w:pPr>
            <w:r w:rsidRPr="00312975">
              <w:rPr>
                <w:rFonts w:ascii="Calibri" w:hAnsi="Calibri" w:cs="Arial"/>
                <w:sz w:val="18"/>
                <w:szCs w:val="18"/>
              </w:rPr>
              <w:t>8.072</w:t>
            </w:r>
          </w:p>
        </w:tc>
        <w:tc>
          <w:tcPr>
            <w:tcW w:w="672" w:type="pct"/>
            <w:tcBorders>
              <w:top w:val="nil"/>
              <w:left w:val="nil"/>
              <w:bottom w:val="nil"/>
              <w:right w:val="nil"/>
            </w:tcBorders>
            <w:shd w:val="clear" w:color="auto" w:fill="auto"/>
            <w:vAlign w:val="center"/>
          </w:tcPr>
          <w:p w14:paraId="283378B0" w14:textId="3BE0D0FA" w:rsidR="00744A29" w:rsidRPr="00611E94" w:rsidRDefault="00744A29" w:rsidP="00744A29">
            <w:pPr>
              <w:tabs>
                <w:tab w:val="right" w:pos="1202"/>
              </w:tabs>
              <w:spacing w:after="0" w:line="301" w:lineRule="exact"/>
              <w:jc w:val="right"/>
              <w:outlineLvl w:val="0"/>
              <w:rPr>
                <w:rFonts w:eastAsia="Times New Roman" w:cs="Arial"/>
                <w:spacing w:val="-2"/>
                <w:sz w:val="18"/>
                <w:szCs w:val="18"/>
              </w:rPr>
            </w:pPr>
            <w:r w:rsidRPr="00312975">
              <w:rPr>
                <w:rFonts w:ascii="Calibri" w:hAnsi="Calibri" w:cs="Arial"/>
                <w:sz w:val="18"/>
                <w:szCs w:val="18"/>
              </w:rPr>
              <w:t>803</w:t>
            </w:r>
          </w:p>
        </w:tc>
        <w:tc>
          <w:tcPr>
            <w:tcW w:w="671" w:type="pct"/>
            <w:tcBorders>
              <w:top w:val="nil"/>
              <w:left w:val="nil"/>
              <w:bottom w:val="nil"/>
              <w:right w:val="nil"/>
            </w:tcBorders>
            <w:shd w:val="clear" w:color="auto" w:fill="auto"/>
            <w:vAlign w:val="center"/>
          </w:tcPr>
          <w:p w14:paraId="59A9AEC9" w14:textId="1F9499C3" w:rsidR="00744A29" w:rsidRPr="00611E94" w:rsidRDefault="00744A29" w:rsidP="00744A29">
            <w:pPr>
              <w:tabs>
                <w:tab w:val="right" w:pos="1202"/>
              </w:tabs>
              <w:spacing w:after="0" w:line="301" w:lineRule="exact"/>
              <w:jc w:val="right"/>
              <w:outlineLvl w:val="0"/>
              <w:rPr>
                <w:rFonts w:eastAsia="Times New Roman" w:cs="Arial"/>
                <w:spacing w:val="-2"/>
                <w:sz w:val="18"/>
                <w:szCs w:val="18"/>
              </w:rPr>
            </w:pPr>
            <w:r w:rsidRPr="00312975">
              <w:rPr>
                <w:rFonts w:ascii="Calibri" w:hAnsi="Calibri" w:cs="Arial"/>
                <w:sz w:val="18"/>
                <w:szCs w:val="18"/>
              </w:rPr>
              <w:t>47.820</w:t>
            </w:r>
          </w:p>
        </w:tc>
        <w:tc>
          <w:tcPr>
            <w:tcW w:w="670" w:type="pct"/>
            <w:tcBorders>
              <w:top w:val="nil"/>
              <w:left w:val="nil"/>
              <w:bottom w:val="nil"/>
              <w:right w:val="nil"/>
            </w:tcBorders>
            <w:shd w:val="clear" w:color="auto" w:fill="auto"/>
            <w:vAlign w:val="center"/>
          </w:tcPr>
          <w:p w14:paraId="5DA32D5C" w14:textId="5AFF8675" w:rsidR="00744A29" w:rsidRPr="00611E94" w:rsidRDefault="00744A29" w:rsidP="00744A29">
            <w:pPr>
              <w:tabs>
                <w:tab w:val="right" w:pos="1202"/>
              </w:tabs>
              <w:spacing w:after="0" w:line="301" w:lineRule="exact"/>
              <w:jc w:val="right"/>
              <w:outlineLvl w:val="0"/>
              <w:rPr>
                <w:rFonts w:eastAsia="Times New Roman" w:cs="Arial"/>
                <w:spacing w:val="-2"/>
                <w:sz w:val="18"/>
                <w:szCs w:val="18"/>
              </w:rPr>
            </w:pPr>
            <w:r w:rsidRPr="00312975">
              <w:rPr>
                <w:rFonts w:ascii="Calibri" w:hAnsi="Calibri" w:cs="Arial"/>
                <w:sz w:val="18"/>
                <w:szCs w:val="18"/>
              </w:rPr>
              <w:t>165.766</w:t>
            </w:r>
          </w:p>
        </w:tc>
      </w:tr>
      <w:tr w:rsidR="00744A29" w:rsidRPr="00B510EC" w14:paraId="1030265B" w14:textId="77777777" w:rsidTr="000141E9">
        <w:trPr>
          <w:trHeight w:val="188"/>
          <w:jc w:val="center"/>
        </w:trPr>
        <w:tc>
          <w:tcPr>
            <w:tcW w:w="963" w:type="pct"/>
            <w:vAlign w:val="bottom"/>
          </w:tcPr>
          <w:p w14:paraId="79307DCB" w14:textId="77777777" w:rsidR="00744A29" w:rsidRPr="00B510EC" w:rsidRDefault="00744A29" w:rsidP="00744A29">
            <w:pPr>
              <w:tabs>
                <w:tab w:val="right" w:pos="1202"/>
              </w:tabs>
              <w:spacing w:after="0" w:line="220" w:lineRule="exact"/>
              <w:outlineLvl w:val="0"/>
              <w:rPr>
                <w:rFonts w:eastAsia="Times New Roman" w:cs="Arial"/>
                <w:sz w:val="18"/>
                <w:szCs w:val="18"/>
              </w:rPr>
            </w:pPr>
            <w:r w:rsidRPr="00B510EC">
              <w:rPr>
                <w:rFonts w:eastAsia="Times New Roman" w:cs="Arial"/>
                <w:sz w:val="18"/>
                <w:szCs w:val="18"/>
              </w:rPr>
              <w:t xml:space="preserve">Ostala imovina </w:t>
            </w:r>
          </w:p>
        </w:tc>
        <w:tc>
          <w:tcPr>
            <w:tcW w:w="676" w:type="pct"/>
            <w:tcBorders>
              <w:top w:val="nil"/>
              <w:left w:val="nil"/>
              <w:bottom w:val="single" w:sz="8" w:space="0" w:color="auto"/>
              <w:right w:val="nil"/>
            </w:tcBorders>
            <w:shd w:val="clear" w:color="auto" w:fill="auto"/>
            <w:vAlign w:val="center"/>
          </w:tcPr>
          <w:p w14:paraId="5456C1D7" w14:textId="0C153C6F" w:rsidR="00744A29" w:rsidRPr="00611E94" w:rsidRDefault="00744A29" w:rsidP="00744A29">
            <w:pPr>
              <w:tabs>
                <w:tab w:val="right" w:pos="1202"/>
              </w:tabs>
              <w:spacing w:after="0" w:line="301" w:lineRule="exact"/>
              <w:jc w:val="right"/>
              <w:outlineLvl w:val="0"/>
              <w:rPr>
                <w:rFonts w:eastAsia="Times New Roman" w:cs="Arial"/>
                <w:snapToGrid w:val="0"/>
                <w:sz w:val="18"/>
                <w:szCs w:val="18"/>
              </w:rPr>
            </w:pPr>
            <w:r w:rsidRPr="00312975">
              <w:rPr>
                <w:rFonts w:ascii="Calibri" w:hAnsi="Calibri" w:cs="Arial"/>
                <w:sz w:val="18"/>
                <w:szCs w:val="18"/>
              </w:rPr>
              <w:t>862</w:t>
            </w:r>
          </w:p>
        </w:tc>
        <w:tc>
          <w:tcPr>
            <w:tcW w:w="676" w:type="pct"/>
            <w:tcBorders>
              <w:top w:val="nil"/>
              <w:left w:val="nil"/>
              <w:bottom w:val="single" w:sz="8" w:space="0" w:color="auto"/>
              <w:right w:val="nil"/>
            </w:tcBorders>
            <w:shd w:val="clear" w:color="auto" w:fill="auto"/>
            <w:vAlign w:val="center"/>
          </w:tcPr>
          <w:p w14:paraId="1F5740EE" w14:textId="3F8BAE93" w:rsidR="00744A29" w:rsidRPr="00611E94" w:rsidRDefault="00744A29" w:rsidP="00744A29">
            <w:pPr>
              <w:tabs>
                <w:tab w:val="right" w:pos="1202"/>
              </w:tabs>
              <w:spacing w:after="0" w:line="301" w:lineRule="exact"/>
              <w:jc w:val="right"/>
              <w:outlineLvl w:val="0"/>
              <w:rPr>
                <w:rFonts w:eastAsia="Times New Roman" w:cs="Arial"/>
                <w:snapToGrid w:val="0"/>
                <w:sz w:val="18"/>
                <w:szCs w:val="18"/>
              </w:rPr>
            </w:pPr>
            <w:r w:rsidRPr="00312975">
              <w:rPr>
                <w:rFonts w:ascii="Calibri" w:hAnsi="Calibri" w:cs="Arial"/>
                <w:sz w:val="18"/>
                <w:szCs w:val="18"/>
              </w:rPr>
              <w:t>73</w:t>
            </w:r>
          </w:p>
        </w:tc>
        <w:tc>
          <w:tcPr>
            <w:tcW w:w="672" w:type="pct"/>
            <w:tcBorders>
              <w:top w:val="nil"/>
              <w:left w:val="nil"/>
              <w:bottom w:val="single" w:sz="8" w:space="0" w:color="auto"/>
              <w:right w:val="nil"/>
            </w:tcBorders>
            <w:shd w:val="clear" w:color="auto" w:fill="auto"/>
            <w:vAlign w:val="center"/>
          </w:tcPr>
          <w:p w14:paraId="7162AC8C" w14:textId="77DC9320" w:rsidR="00744A29" w:rsidRPr="00611E94" w:rsidRDefault="00744A29" w:rsidP="00744A29">
            <w:pPr>
              <w:tabs>
                <w:tab w:val="right" w:pos="1202"/>
              </w:tabs>
              <w:spacing w:after="0" w:line="301" w:lineRule="exact"/>
              <w:jc w:val="right"/>
              <w:outlineLvl w:val="0"/>
              <w:rPr>
                <w:rFonts w:eastAsia="Times New Roman" w:cs="Arial"/>
                <w:snapToGrid w:val="0"/>
                <w:sz w:val="18"/>
                <w:szCs w:val="18"/>
              </w:rPr>
            </w:pPr>
            <w:r w:rsidRPr="00312975">
              <w:rPr>
                <w:rFonts w:ascii="Calibri" w:hAnsi="Calibri" w:cs="Arial"/>
                <w:sz w:val="18"/>
                <w:szCs w:val="18"/>
              </w:rPr>
              <w:t>38</w:t>
            </w:r>
          </w:p>
        </w:tc>
        <w:tc>
          <w:tcPr>
            <w:tcW w:w="672" w:type="pct"/>
            <w:tcBorders>
              <w:top w:val="nil"/>
              <w:left w:val="nil"/>
              <w:bottom w:val="single" w:sz="8" w:space="0" w:color="auto"/>
              <w:right w:val="nil"/>
            </w:tcBorders>
            <w:shd w:val="clear" w:color="auto" w:fill="auto"/>
            <w:vAlign w:val="center"/>
          </w:tcPr>
          <w:p w14:paraId="718258A3" w14:textId="379B33D5" w:rsidR="00744A29" w:rsidRPr="00611E94" w:rsidRDefault="00744A29" w:rsidP="00744A29">
            <w:pPr>
              <w:tabs>
                <w:tab w:val="right" w:pos="1202"/>
              </w:tabs>
              <w:spacing w:after="0" w:line="301" w:lineRule="exact"/>
              <w:jc w:val="right"/>
              <w:outlineLvl w:val="0"/>
              <w:rPr>
                <w:rFonts w:eastAsia="Times New Roman" w:cs="Arial"/>
                <w:snapToGrid w:val="0"/>
                <w:sz w:val="18"/>
                <w:szCs w:val="18"/>
              </w:rPr>
            </w:pPr>
            <w:r w:rsidRPr="00312975">
              <w:rPr>
                <w:rFonts w:ascii="Calibri" w:hAnsi="Calibri" w:cs="Arial"/>
                <w:sz w:val="18"/>
                <w:szCs w:val="18"/>
              </w:rPr>
              <w:t>18</w:t>
            </w:r>
          </w:p>
        </w:tc>
        <w:tc>
          <w:tcPr>
            <w:tcW w:w="671" w:type="pct"/>
            <w:tcBorders>
              <w:top w:val="nil"/>
              <w:left w:val="nil"/>
              <w:bottom w:val="single" w:sz="8" w:space="0" w:color="auto"/>
              <w:right w:val="nil"/>
            </w:tcBorders>
            <w:shd w:val="clear" w:color="auto" w:fill="auto"/>
            <w:vAlign w:val="center"/>
          </w:tcPr>
          <w:p w14:paraId="308F6711" w14:textId="66CE97E8" w:rsidR="00744A29" w:rsidRPr="00611E94" w:rsidRDefault="00744A29" w:rsidP="00744A29">
            <w:pPr>
              <w:tabs>
                <w:tab w:val="right" w:pos="1202"/>
              </w:tabs>
              <w:spacing w:after="0" w:line="301" w:lineRule="exact"/>
              <w:jc w:val="right"/>
              <w:outlineLvl w:val="0"/>
              <w:rPr>
                <w:rFonts w:eastAsia="Times New Roman" w:cs="Arial"/>
                <w:snapToGrid w:val="0"/>
                <w:sz w:val="18"/>
                <w:szCs w:val="18"/>
              </w:rPr>
            </w:pPr>
            <w:r w:rsidRPr="00312975">
              <w:rPr>
                <w:rFonts w:ascii="Calibri" w:hAnsi="Calibri" w:cs="Arial"/>
                <w:sz w:val="18"/>
                <w:szCs w:val="18"/>
              </w:rPr>
              <w:t>26</w:t>
            </w:r>
          </w:p>
        </w:tc>
        <w:tc>
          <w:tcPr>
            <w:tcW w:w="670" w:type="pct"/>
            <w:tcBorders>
              <w:top w:val="nil"/>
              <w:left w:val="nil"/>
              <w:bottom w:val="single" w:sz="8" w:space="0" w:color="auto"/>
              <w:right w:val="nil"/>
            </w:tcBorders>
            <w:shd w:val="clear" w:color="auto" w:fill="auto"/>
            <w:vAlign w:val="center"/>
          </w:tcPr>
          <w:p w14:paraId="0871C8C7" w14:textId="762AAD48" w:rsidR="00744A29" w:rsidRPr="00611E94" w:rsidRDefault="00744A29" w:rsidP="00744A29">
            <w:pPr>
              <w:tabs>
                <w:tab w:val="right" w:pos="1202"/>
              </w:tabs>
              <w:spacing w:after="0" w:line="301" w:lineRule="exact"/>
              <w:jc w:val="right"/>
              <w:outlineLvl w:val="0"/>
              <w:rPr>
                <w:rFonts w:eastAsia="Times New Roman" w:cs="Arial"/>
                <w:snapToGrid w:val="0"/>
                <w:sz w:val="18"/>
                <w:szCs w:val="18"/>
              </w:rPr>
            </w:pPr>
            <w:r w:rsidRPr="00312975">
              <w:rPr>
                <w:rFonts w:ascii="Calibri" w:hAnsi="Calibri" w:cs="Arial"/>
                <w:sz w:val="18"/>
                <w:szCs w:val="18"/>
              </w:rPr>
              <w:t>1.017</w:t>
            </w:r>
          </w:p>
        </w:tc>
      </w:tr>
      <w:tr w:rsidR="004B16B5" w:rsidRPr="00B510EC" w14:paraId="25730EFB" w14:textId="77777777" w:rsidTr="004B16B5">
        <w:trPr>
          <w:trHeight w:val="65"/>
          <w:jc w:val="center"/>
        </w:trPr>
        <w:tc>
          <w:tcPr>
            <w:tcW w:w="963" w:type="pct"/>
          </w:tcPr>
          <w:p w14:paraId="223C1D0B" w14:textId="77777777" w:rsidR="004B16B5" w:rsidRPr="00B510EC" w:rsidRDefault="004B16B5" w:rsidP="004B16B5">
            <w:pPr>
              <w:keepNext/>
              <w:keepLines/>
              <w:tabs>
                <w:tab w:val="decimal" w:pos="1202"/>
              </w:tabs>
              <w:spacing w:after="0" w:line="120" w:lineRule="auto"/>
              <w:rPr>
                <w:rFonts w:eastAsia="Times New Roman" w:cs="Arial"/>
                <w:b/>
                <w:position w:val="4"/>
                <w:sz w:val="18"/>
                <w:szCs w:val="18"/>
              </w:rPr>
            </w:pPr>
          </w:p>
        </w:tc>
        <w:tc>
          <w:tcPr>
            <w:tcW w:w="676" w:type="pct"/>
            <w:tcBorders>
              <w:top w:val="single" w:sz="8" w:space="0" w:color="auto"/>
            </w:tcBorders>
            <w:vAlign w:val="bottom"/>
          </w:tcPr>
          <w:p w14:paraId="7732FA5F" w14:textId="77777777" w:rsidR="004B16B5" w:rsidRPr="00611E94" w:rsidRDefault="004B16B5" w:rsidP="004B16B5">
            <w:pPr>
              <w:keepNext/>
              <w:keepLines/>
              <w:tabs>
                <w:tab w:val="left" w:pos="215"/>
                <w:tab w:val="decimal" w:pos="1295"/>
              </w:tabs>
              <w:spacing w:after="0" w:line="120" w:lineRule="auto"/>
              <w:ind w:right="-148"/>
              <w:jc w:val="right"/>
              <w:rPr>
                <w:rFonts w:eastAsia="Times New Roman" w:cs="Arial"/>
                <w:b/>
                <w:snapToGrid w:val="0"/>
                <w:position w:val="4"/>
                <w:sz w:val="18"/>
                <w:szCs w:val="18"/>
              </w:rPr>
            </w:pPr>
          </w:p>
        </w:tc>
        <w:tc>
          <w:tcPr>
            <w:tcW w:w="676" w:type="pct"/>
            <w:tcBorders>
              <w:top w:val="single" w:sz="8" w:space="0" w:color="auto"/>
            </w:tcBorders>
            <w:vAlign w:val="bottom"/>
          </w:tcPr>
          <w:p w14:paraId="79BC045F" w14:textId="77777777" w:rsidR="004B16B5" w:rsidRPr="00611E94" w:rsidRDefault="004B16B5" w:rsidP="004B16B5">
            <w:pPr>
              <w:keepNext/>
              <w:keepLines/>
              <w:tabs>
                <w:tab w:val="left" w:pos="215"/>
                <w:tab w:val="decimal" w:pos="1295"/>
              </w:tabs>
              <w:spacing w:after="0" w:line="120" w:lineRule="auto"/>
              <w:ind w:right="-148"/>
              <w:jc w:val="right"/>
              <w:rPr>
                <w:rFonts w:eastAsia="Times New Roman" w:cs="Arial"/>
                <w:b/>
                <w:snapToGrid w:val="0"/>
                <w:position w:val="4"/>
                <w:sz w:val="18"/>
                <w:szCs w:val="18"/>
              </w:rPr>
            </w:pPr>
          </w:p>
        </w:tc>
        <w:tc>
          <w:tcPr>
            <w:tcW w:w="672" w:type="pct"/>
            <w:tcBorders>
              <w:top w:val="single" w:sz="8" w:space="0" w:color="auto"/>
            </w:tcBorders>
            <w:vAlign w:val="bottom"/>
          </w:tcPr>
          <w:p w14:paraId="3D00A613" w14:textId="77777777" w:rsidR="004B16B5" w:rsidRPr="00611E94" w:rsidRDefault="004B16B5" w:rsidP="004B16B5">
            <w:pPr>
              <w:keepNext/>
              <w:keepLines/>
              <w:tabs>
                <w:tab w:val="decimal" w:pos="1202"/>
              </w:tabs>
              <w:spacing w:after="0" w:line="120" w:lineRule="auto"/>
              <w:jc w:val="right"/>
              <w:rPr>
                <w:rFonts w:eastAsia="Times New Roman" w:cs="Arial"/>
                <w:b/>
                <w:snapToGrid w:val="0"/>
                <w:position w:val="4"/>
                <w:sz w:val="18"/>
                <w:szCs w:val="18"/>
              </w:rPr>
            </w:pPr>
          </w:p>
        </w:tc>
        <w:tc>
          <w:tcPr>
            <w:tcW w:w="672" w:type="pct"/>
            <w:tcBorders>
              <w:top w:val="single" w:sz="8" w:space="0" w:color="auto"/>
            </w:tcBorders>
            <w:vAlign w:val="bottom"/>
          </w:tcPr>
          <w:p w14:paraId="5CF00097" w14:textId="77777777" w:rsidR="004B16B5" w:rsidRPr="00611E94" w:rsidRDefault="004B16B5" w:rsidP="004B16B5">
            <w:pPr>
              <w:keepNext/>
              <w:keepLines/>
              <w:tabs>
                <w:tab w:val="left" w:pos="215"/>
                <w:tab w:val="decimal" w:pos="1295"/>
              </w:tabs>
              <w:spacing w:after="0" w:line="120" w:lineRule="auto"/>
              <w:ind w:right="-148"/>
              <w:jc w:val="right"/>
              <w:rPr>
                <w:rFonts w:eastAsia="Times New Roman" w:cs="Arial"/>
                <w:b/>
                <w:snapToGrid w:val="0"/>
                <w:position w:val="4"/>
                <w:sz w:val="18"/>
                <w:szCs w:val="18"/>
              </w:rPr>
            </w:pPr>
          </w:p>
        </w:tc>
        <w:tc>
          <w:tcPr>
            <w:tcW w:w="671" w:type="pct"/>
            <w:tcBorders>
              <w:top w:val="single" w:sz="8" w:space="0" w:color="auto"/>
            </w:tcBorders>
            <w:vAlign w:val="bottom"/>
          </w:tcPr>
          <w:p w14:paraId="7E538AF3" w14:textId="77777777" w:rsidR="004B16B5" w:rsidRPr="00611E94" w:rsidRDefault="004B16B5" w:rsidP="004B16B5">
            <w:pPr>
              <w:keepNext/>
              <w:keepLines/>
              <w:tabs>
                <w:tab w:val="left" w:pos="215"/>
                <w:tab w:val="decimal" w:pos="1295"/>
              </w:tabs>
              <w:spacing w:after="0" w:line="120" w:lineRule="auto"/>
              <w:ind w:right="-148"/>
              <w:jc w:val="right"/>
              <w:rPr>
                <w:rFonts w:eastAsia="Times New Roman" w:cs="Arial"/>
                <w:b/>
                <w:snapToGrid w:val="0"/>
                <w:position w:val="4"/>
                <w:sz w:val="18"/>
                <w:szCs w:val="18"/>
              </w:rPr>
            </w:pPr>
          </w:p>
        </w:tc>
        <w:tc>
          <w:tcPr>
            <w:tcW w:w="670" w:type="pct"/>
            <w:tcBorders>
              <w:top w:val="single" w:sz="8" w:space="0" w:color="auto"/>
            </w:tcBorders>
            <w:vAlign w:val="bottom"/>
          </w:tcPr>
          <w:p w14:paraId="66069445" w14:textId="77777777" w:rsidR="004B16B5" w:rsidRPr="00611E94" w:rsidRDefault="004B16B5" w:rsidP="004B16B5">
            <w:pPr>
              <w:keepNext/>
              <w:keepLines/>
              <w:tabs>
                <w:tab w:val="left" w:pos="215"/>
                <w:tab w:val="decimal" w:pos="1295"/>
              </w:tabs>
              <w:spacing w:after="0" w:line="120" w:lineRule="auto"/>
              <w:ind w:right="-148"/>
              <w:jc w:val="right"/>
              <w:rPr>
                <w:rFonts w:eastAsia="Times New Roman" w:cs="Arial"/>
                <w:b/>
                <w:snapToGrid w:val="0"/>
                <w:position w:val="4"/>
                <w:sz w:val="18"/>
                <w:szCs w:val="18"/>
              </w:rPr>
            </w:pPr>
          </w:p>
        </w:tc>
      </w:tr>
      <w:tr w:rsidR="00744A29" w:rsidRPr="00B510EC" w14:paraId="54EAEBF9" w14:textId="77777777" w:rsidTr="000141E9">
        <w:trPr>
          <w:trHeight w:val="248"/>
          <w:jc w:val="center"/>
        </w:trPr>
        <w:tc>
          <w:tcPr>
            <w:tcW w:w="963" w:type="pct"/>
          </w:tcPr>
          <w:p w14:paraId="4A128CF3" w14:textId="77777777" w:rsidR="00744A29" w:rsidRPr="00B510EC" w:rsidRDefault="00744A29" w:rsidP="00744A29">
            <w:pPr>
              <w:tabs>
                <w:tab w:val="right" w:pos="1202"/>
              </w:tabs>
              <w:spacing w:after="0" w:line="340" w:lineRule="exact"/>
              <w:outlineLvl w:val="0"/>
              <w:rPr>
                <w:rFonts w:eastAsia="Times New Roman" w:cs="Arial"/>
                <w:b/>
                <w:bCs/>
                <w:sz w:val="18"/>
                <w:szCs w:val="18"/>
              </w:rPr>
            </w:pPr>
            <w:r w:rsidRPr="00B510EC">
              <w:rPr>
                <w:rFonts w:eastAsia="Times New Roman" w:cs="Arial"/>
                <w:b/>
                <w:bCs/>
                <w:sz w:val="18"/>
                <w:szCs w:val="18"/>
              </w:rPr>
              <w:t>Ukupno</w:t>
            </w:r>
          </w:p>
        </w:tc>
        <w:tc>
          <w:tcPr>
            <w:tcW w:w="676" w:type="pct"/>
            <w:tcBorders>
              <w:top w:val="nil"/>
              <w:left w:val="nil"/>
              <w:bottom w:val="single" w:sz="12" w:space="0" w:color="auto"/>
              <w:right w:val="nil"/>
            </w:tcBorders>
            <w:shd w:val="clear" w:color="auto" w:fill="auto"/>
            <w:vAlign w:val="center"/>
          </w:tcPr>
          <w:p w14:paraId="44B610FB" w14:textId="2F85C7CC" w:rsidR="00744A29" w:rsidRPr="00611E94" w:rsidRDefault="00744A29" w:rsidP="00744A29">
            <w:pPr>
              <w:tabs>
                <w:tab w:val="right" w:pos="1202"/>
              </w:tabs>
              <w:spacing w:after="0" w:line="340" w:lineRule="exact"/>
              <w:jc w:val="right"/>
              <w:outlineLvl w:val="0"/>
              <w:rPr>
                <w:rFonts w:eastAsia="Times New Roman" w:cs="Arial"/>
                <w:b/>
                <w:bCs/>
                <w:sz w:val="18"/>
                <w:szCs w:val="18"/>
              </w:rPr>
            </w:pPr>
            <w:r w:rsidRPr="00312975">
              <w:rPr>
                <w:rFonts w:ascii="Calibri" w:hAnsi="Calibri" w:cs="Arial"/>
                <w:b/>
                <w:bCs/>
                <w:sz w:val="18"/>
                <w:szCs w:val="18"/>
              </w:rPr>
              <w:t>310.261</w:t>
            </w:r>
          </w:p>
        </w:tc>
        <w:tc>
          <w:tcPr>
            <w:tcW w:w="676" w:type="pct"/>
            <w:tcBorders>
              <w:top w:val="nil"/>
              <w:left w:val="nil"/>
              <w:bottom w:val="single" w:sz="12" w:space="0" w:color="auto"/>
              <w:right w:val="nil"/>
            </w:tcBorders>
            <w:shd w:val="clear" w:color="auto" w:fill="auto"/>
            <w:vAlign w:val="center"/>
          </w:tcPr>
          <w:p w14:paraId="17B64AB2" w14:textId="78577F40" w:rsidR="00744A29" w:rsidRPr="00611E94" w:rsidRDefault="00744A29" w:rsidP="00744A29">
            <w:pPr>
              <w:tabs>
                <w:tab w:val="right" w:pos="1202"/>
              </w:tabs>
              <w:spacing w:after="0" w:line="340" w:lineRule="exact"/>
              <w:jc w:val="right"/>
              <w:outlineLvl w:val="0"/>
              <w:rPr>
                <w:rFonts w:eastAsia="Times New Roman" w:cs="Arial"/>
                <w:b/>
                <w:bCs/>
                <w:sz w:val="18"/>
                <w:szCs w:val="18"/>
              </w:rPr>
            </w:pPr>
            <w:r w:rsidRPr="00312975">
              <w:rPr>
                <w:rFonts w:ascii="Calibri" w:hAnsi="Calibri" w:cs="Arial"/>
                <w:b/>
                <w:bCs/>
                <w:sz w:val="18"/>
                <w:szCs w:val="18"/>
              </w:rPr>
              <w:t>661</w:t>
            </w:r>
          </w:p>
        </w:tc>
        <w:tc>
          <w:tcPr>
            <w:tcW w:w="672" w:type="pct"/>
            <w:tcBorders>
              <w:top w:val="nil"/>
              <w:left w:val="nil"/>
              <w:bottom w:val="single" w:sz="12" w:space="0" w:color="auto"/>
              <w:right w:val="nil"/>
            </w:tcBorders>
            <w:shd w:val="clear" w:color="auto" w:fill="auto"/>
            <w:vAlign w:val="center"/>
          </w:tcPr>
          <w:p w14:paraId="475C5C84" w14:textId="1FB4CE09" w:rsidR="00744A29" w:rsidRPr="00611E94" w:rsidRDefault="00744A29" w:rsidP="00744A29">
            <w:pPr>
              <w:tabs>
                <w:tab w:val="right" w:pos="1202"/>
              </w:tabs>
              <w:spacing w:after="0" w:line="340" w:lineRule="exact"/>
              <w:jc w:val="right"/>
              <w:outlineLvl w:val="0"/>
              <w:rPr>
                <w:rFonts w:eastAsia="Times New Roman" w:cs="Arial"/>
                <w:b/>
                <w:bCs/>
                <w:sz w:val="18"/>
                <w:szCs w:val="18"/>
              </w:rPr>
            </w:pPr>
            <w:r w:rsidRPr="00312975">
              <w:rPr>
                <w:rFonts w:ascii="Calibri" w:hAnsi="Calibri" w:cs="Arial"/>
                <w:b/>
                <w:bCs/>
                <w:sz w:val="18"/>
                <w:szCs w:val="18"/>
              </w:rPr>
              <w:t>12.110</w:t>
            </w:r>
          </w:p>
        </w:tc>
        <w:tc>
          <w:tcPr>
            <w:tcW w:w="672" w:type="pct"/>
            <w:tcBorders>
              <w:top w:val="nil"/>
              <w:left w:val="nil"/>
              <w:bottom w:val="single" w:sz="12" w:space="0" w:color="auto"/>
              <w:right w:val="nil"/>
            </w:tcBorders>
            <w:shd w:val="clear" w:color="auto" w:fill="auto"/>
            <w:vAlign w:val="center"/>
          </w:tcPr>
          <w:p w14:paraId="3D56033A" w14:textId="1A5F10CF" w:rsidR="00744A29" w:rsidRPr="00611E94" w:rsidRDefault="00744A29" w:rsidP="00744A29">
            <w:pPr>
              <w:tabs>
                <w:tab w:val="right" w:pos="1202"/>
              </w:tabs>
              <w:spacing w:after="0" w:line="340" w:lineRule="exact"/>
              <w:jc w:val="right"/>
              <w:outlineLvl w:val="0"/>
              <w:rPr>
                <w:rFonts w:eastAsia="Times New Roman" w:cs="Arial"/>
                <w:b/>
                <w:bCs/>
                <w:sz w:val="18"/>
                <w:szCs w:val="18"/>
              </w:rPr>
            </w:pPr>
            <w:r w:rsidRPr="00312975">
              <w:rPr>
                <w:rFonts w:ascii="Calibri" w:hAnsi="Calibri" w:cs="Arial"/>
                <w:b/>
                <w:bCs/>
                <w:sz w:val="18"/>
                <w:szCs w:val="18"/>
              </w:rPr>
              <w:t>838</w:t>
            </w:r>
          </w:p>
        </w:tc>
        <w:tc>
          <w:tcPr>
            <w:tcW w:w="671" w:type="pct"/>
            <w:tcBorders>
              <w:top w:val="nil"/>
              <w:left w:val="nil"/>
              <w:bottom w:val="single" w:sz="12" w:space="0" w:color="auto"/>
              <w:right w:val="nil"/>
            </w:tcBorders>
            <w:shd w:val="clear" w:color="auto" w:fill="auto"/>
            <w:vAlign w:val="center"/>
          </w:tcPr>
          <w:p w14:paraId="27C6A8A8" w14:textId="4BDA5A5D" w:rsidR="00744A29" w:rsidRPr="00611E94" w:rsidRDefault="00744A29" w:rsidP="00744A29">
            <w:pPr>
              <w:tabs>
                <w:tab w:val="right" w:pos="1202"/>
              </w:tabs>
              <w:spacing w:after="0" w:line="340" w:lineRule="exact"/>
              <w:jc w:val="right"/>
              <w:outlineLvl w:val="0"/>
              <w:rPr>
                <w:rFonts w:eastAsia="Times New Roman" w:cs="Arial"/>
                <w:b/>
                <w:bCs/>
                <w:sz w:val="18"/>
                <w:szCs w:val="18"/>
              </w:rPr>
            </w:pPr>
            <w:r w:rsidRPr="00312975">
              <w:rPr>
                <w:rFonts w:ascii="Calibri" w:hAnsi="Calibri" w:cs="Arial"/>
                <w:b/>
                <w:bCs/>
                <w:sz w:val="18"/>
                <w:szCs w:val="18"/>
              </w:rPr>
              <w:t>55.367</w:t>
            </w:r>
          </w:p>
        </w:tc>
        <w:tc>
          <w:tcPr>
            <w:tcW w:w="670" w:type="pct"/>
            <w:tcBorders>
              <w:top w:val="nil"/>
              <w:left w:val="nil"/>
              <w:bottom w:val="single" w:sz="12" w:space="0" w:color="auto"/>
              <w:right w:val="nil"/>
            </w:tcBorders>
            <w:shd w:val="clear" w:color="auto" w:fill="auto"/>
            <w:vAlign w:val="center"/>
          </w:tcPr>
          <w:p w14:paraId="0B40EDAE" w14:textId="55F7820A" w:rsidR="00744A29" w:rsidRPr="00611E94" w:rsidRDefault="00744A29" w:rsidP="00744A29">
            <w:pPr>
              <w:tabs>
                <w:tab w:val="right" w:pos="1202"/>
              </w:tabs>
              <w:spacing w:after="0" w:line="340" w:lineRule="exact"/>
              <w:jc w:val="right"/>
              <w:outlineLvl w:val="0"/>
              <w:rPr>
                <w:rFonts w:eastAsia="Times New Roman" w:cs="Arial"/>
                <w:b/>
                <w:bCs/>
                <w:sz w:val="18"/>
                <w:szCs w:val="18"/>
              </w:rPr>
            </w:pPr>
            <w:r w:rsidRPr="00312975">
              <w:rPr>
                <w:rFonts w:ascii="Calibri" w:hAnsi="Calibri" w:cs="Arial"/>
                <w:b/>
                <w:bCs/>
                <w:sz w:val="18"/>
                <w:szCs w:val="18"/>
              </w:rPr>
              <w:t>379.237</w:t>
            </w:r>
          </w:p>
        </w:tc>
      </w:tr>
      <w:tr w:rsidR="00B510EC" w:rsidRPr="00B510EC" w14:paraId="33EA651B" w14:textId="77777777" w:rsidTr="004B16B5">
        <w:trPr>
          <w:trHeight w:val="65"/>
          <w:jc w:val="center"/>
        </w:trPr>
        <w:tc>
          <w:tcPr>
            <w:tcW w:w="963" w:type="pct"/>
          </w:tcPr>
          <w:p w14:paraId="536B9F66" w14:textId="77777777" w:rsidR="00B510EC" w:rsidRPr="00B510EC" w:rsidRDefault="00B510EC" w:rsidP="00B510EC">
            <w:pPr>
              <w:keepNext/>
              <w:keepLines/>
              <w:tabs>
                <w:tab w:val="decimal" w:pos="1202"/>
              </w:tabs>
              <w:spacing w:after="0" w:line="100" w:lineRule="exact"/>
              <w:rPr>
                <w:rFonts w:eastAsia="Times New Roman" w:cs="Arial"/>
                <w:b/>
                <w:position w:val="4"/>
                <w:sz w:val="18"/>
                <w:szCs w:val="18"/>
                <w:u w:val="thick"/>
              </w:rPr>
            </w:pPr>
          </w:p>
        </w:tc>
        <w:tc>
          <w:tcPr>
            <w:tcW w:w="676" w:type="pct"/>
            <w:tcBorders>
              <w:top w:val="single" w:sz="12" w:space="0" w:color="auto"/>
            </w:tcBorders>
            <w:vAlign w:val="bottom"/>
          </w:tcPr>
          <w:p w14:paraId="62CEF421" w14:textId="77777777" w:rsidR="00B510EC" w:rsidRPr="00B510EC" w:rsidRDefault="00B510EC" w:rsidP="00B510EC">
            <w:pPr>
              <w:keepNext/>
              <w:keepLines/>
              <w:tabs>
                <w:tab w:val="decimal" w:pos="1202"/>
              </w:tabs>
              <w:spacing w:after="0" w:line="100" w:lineRule="exact"/>
              <w:jc w:val="right"/>
              <w:rPr>
                <w:rFonts w:eastAsia="Times New Roman" w:cs="Arial"/>
                <w:b/>
                <w:position w:val="4"/>
                <w:sz w:val="18"/>
                <w:szCs w:val="18"/>
                <w:u w:val="thick"/>
              </w:rPr>
            </w:pPr>
          </w:p>
        </w:tc>
        <w:tc>
          <w:tcPr>
            <w:tcW w:w="676" w:type="pct"/>
            <w:tcBorders>
              <w:top w:val="single" w:sz="12" w:space="0" w:color="auto"/>
            </w:tcBorders>
            <w:vAlign w:val="bottom"/>
          </w:tcPr>
          <w:p w14:paraId="38787B4B" w14:textId="77777777" w:rsidR="00B510EC" w:rsidRPr="00B510EC" w:rsidRDefault="00B510EC" w:rsidP="00B510EC">
            <w:pPr>
              <w:keepNext/>
              <w:keepLines/>
              <w:tabs>
                <w:tab w:val="decimal" w:pos="1202"/>
              </w:tabs>
              <w:spacing w:after="0" w:line="100" w:lineRule="exact"/>
              <w:jc w:val="right"/>
              <w:rPr>
                <w:rFonts w:eastAsia="Times New Roman" w:cs="Arial"/>
                <w:b/>
                <w:snapToGrid w:val="0"/>
                <w:position w:val="4"/>
                <w:sz w:val="18"/>
                <w:szCs w:val="18"/>
                <w:u w:val="thick"/>
              </w:rPr>
            </w:pPr>
          </w:p>
        </w:tc>
        <w:tc>
          <w:tcPr>
            <w:tcW w:w="672" w:type="pct"/>
            <w:tcBorders>
              <w:top w:val="single" w:sz="12" w:space="0" w:color="auto"/>
            </w:tcBorders>
            <w:vAlign w:val="bottom"/>
          </w:tcPr>
          <w:p w14:paraId="011EB5E8" w14:textId="77777777" w:rsidR="00B510EC" w:rsidRPr="00B510EC" w:rsidRDefault="00B510EC" w:rsidP="00B510EC">
            <w:pPr>
              <w:keepNext/>
              <w:keepLines/>
              <w:tabs>
                <w:tab w:val="decimal" w:pos="1202"/>
              </w:tabs>
              <w:spacing w:after="0" w:line="100" w:lineRule="exact"/>
              <w:jc w:val="right"/>
              <w:rPr>
                <w:rFonts w:eastAsia="Times New Roman" w:cs="Arial"/>
                <w:b/>
                <w:snapToGrid w:val="0"/>
                <w:position w:val="4"/>
                <w:sz w:val="18"/>
                <w:szCs w:val="18"/>
                <w:u w:val="thick"/>
              </w:rPr>
            </w:pPr>
          </w:p>
        </w:tc>
        <w:tc>
          <w:tcPr>
            <w:tcW w:w="672" w:type="pct"/>
            <w:tcBorders>
              <w:top w:val="single" w:sz="12" w:space="0" w:color="auto"/>
            </w:tcBorders>
            <w:vAlign w:val="bottom"/>
          </w:tcPr>
          <w:p w14:paraId="1235279A" w14:textId="77777777" w:rsidR="00B510EC" w:rsidRPr="00B510EC" w:rsidRDefault="00B510EC" w:rsidP="00B510EC">
            <w:pPr>
              <w:keepNext/>
              <w:keepLines/>
              <w:tabs>
                <w:tab w:val="decimal" w:pos="1202"/>
              </w:tabs>
              <w:spacing w:after="0" w:line="100" w:lineRule="exact"/>
              <w:jc w:val="right"/>
              <w:rPr>
                <w:rFonts w:eastAsia="Times New Roman" w:cs="Arial"/>
                <w:b/>
                <w:snapToGrid w:val="0"/>
                <w:position w:val="4"/>
                <w:sz w:val="18"/>
                <w:szCs w:val="18"/>
                <w:u w:val="thick"/>
              </w:rPr>
            </w:pPr>
          </w:p>
        </w:tc>
        <w:tc>
          <w:tcPr>
            <w:tcW w:w="671" w:type="pct"/>
            <w:tcBorders>
              <w:top w:val="single" w:sz="12" w:space="0" w:color="auto"/>
            </w:tcBorders>
            <w:vAlign w:val="bottom"/>
          </w:tcPr>
          <w:p w14:paraId="1C3CF9C5" w14:textId="77777777" w:rsidR="00B510EC" w:rsidRPr="00B510EC" w:rsidRDefault="00B510EC" w:rsidP="00B510EC">
            <w:pPr>
              <w:keepNext/>
              <w:keepLines/>
              <w:tabs>
                <w:tab w:val="decimal" w:pos="1202"/>
              </w:tabs>
              <w:spacing w:after="0" w:line="100" w:lineRule="exact"/>
              <w:jc w:val="right"/>
              <w:rPr>
                <w:rFonts w:eastAsia="Times New Roman" w:cs="Arial"/>
                <w:b/>
                <w:snapToGrid w:val="0"/>
                <w:position w:val="4"/>
                <w:sz w:val="18"/>
                <w:szCs w:val="18"/>
                <w:u w:val="thick"/>
              </w:rPr>
            </w:pPr>
          </w:p>
        </w:tc>
        <w:tc>
          <w:tcPr>
            <w:tcW w:w="670" w:type="pct"/>
            <w:tcBorders>
              <w:top w:val="single" w:sz="12" w:space="0" w:color="auto"/>
            </w:tcBorders>
            <w:vAlign w:val="bottom"/>
          </w:tcPr>
          <w:p w14:paraId="6A46A9BB" w14:textId="77777777" w:rsidR="00B510EC" w:rsidRPr="00B510EC" w:rsidRDefault="00B510EC" w:rsidP="00B510EC">
            <w:pPr>
              <w:keepNext/>
              <w:keepLines/>
              <w:tabs>
                <w:tab w:val="decimal" w:pos="1202"/>
              </w:tabs>
              <w:spacing w:after="0" w:line="100" w:lineRule="exact"/>
              <w:jc w:val="right"/>
              <w:rPr>
                <w:rFonts w:eastAsia="Times New Roman" w:cs="Arial"/>
                <w:b/>
                <w:snapToGrid w:val="0"/>
                <w:position w:val="4"/>
                <w:sz w:val="18"/>
                <w:szCs w:val="18"/>
                <w:u w:val="thick"/>
              </w:rPr>
            </w:pPr>
          </w:p>
        </w:tc>
      </w:tr>
    </w:tbl>
    <w:p w14:paraId="423589D6" w14:textId="77777777" w:rsidR="00B510EC" w:rsidRPr="00AD7F4C" w:rsidRDefault="00B510EC" w:rsidP="00B510EC">
      <w:pPr>
        <w:spacing w:after="0" w:line="240" w:lineRule="auto"/>
        <w:jc w:val="both"/>
        <w:rPr>
          <w:rFonts w:cs="Arial"/>
          <w:sz w:val="20"/>
          <w:szCs w:val="20"/>
        </w:rPr>
      </w:pPr>
    </w:p>
    <w:p w14:paraId="1AF5A618" w14:textId="77777777" w:rsidR="00765ACD" w:rsidRDefault="00765ACD" w:rsidP="004D1BC3">
      <w:pPr>
        <w:spacing w:after="120" w:line="240" w:lineRule="auto"/>
        <w:jc w:val="both"/>
        <w:rPr>
          <w:rFonts w:cs="Arial"/>
          <w:sz w:val="20"/>
          <w:szCs w:val="20"/>
        </w:rPr>
      </w:pPr>
      <w:r w:rsidRPr="00765ACD">
        <w:rPr>
          <w:rFonts w:cs="Arial"/>
          <w:sz w:val="20"/>
          <w:szCs w:val="20"/>
        </w:rPr>
        <w:t>Zbog nematerijalnog iznosa dospjelih i neumanjenih potraživanja ovisnog društva, u nastavku se daje pregled promjena dospjelih i neumanjenih kreditnih plasmana matičnog društva.</w:t>
      </w:r>
    </w:p>
    <w:p w14:paraId="5CF1A7E8" w14:textId="30C02869" w:rsidR="00BE35B9" w:rsidRPr="00D07AE4" w:rsidRDefault="00BE35B9" w:rsidP="004D1BC3">
      <w:pPr>
        <w:spacing w:after="120" w:line="240" w:lineRule="auto"/>
        <w:jc w:val="both"/>
        <w:rPr>
          <w:rFonts w:cs="Arial"/>
          <w:sz w:val="20"/>
          <w:szCs w:val="20"/>
        </w:rPr>
      </w:pPr>
      <w:r w:rsidRPr="00E26951">
        <w:rPr>
          <w:rFonts w:cs="Arial"/>
          <w:sz w:val="20"/>
          <w:szCs w:val="20"/>
        </w:rPr>
        <w:t xml:space="preserve">Od ukupnog iznosa dospjelih i neumanjenih kredita </w:t>
      </w:r>
      <w:r w:rsidR="007B0382" w:rsidRPr="007B0382">
        <w:rPr>
          <w:rFonts w:cs="Arial"/>
          <w:sz w:val="20"/>
          <w:szCs w:val="20"/>
        </w:rPr>
        <w:t>financijskim institucijama</w:t>
      </w:r>
      <w:r w:rsidRPr="00E26951">
        <w:rPr>
          <w:rFonts w:cs="Arial"/>
          <w:sz w:val="20"/>
          <w:szCs w:val="20"/>
        </w:rPr>
        <w:t xml:space="preserve"> u </w:t>
      </w:r>
      <w:r w:rsidR="00E61E9F" w:rsidRPr="00E26951">
        <w:rPr>
          <w:rFonts w:cs="Arial"/>
          <w:sz w:val="20"/>
          <w:szCs w:val="20"/>
        </w:rPr>
        <w:t xml:space="preserve">izvještajnom razdoblju </w:t>
      </w:r>
      <w:r w:rsidRPr="00E26951">
        <w:rPr>
          <w:rFonts w:cs="Arial"/>
          <w:sz w:val="20"/>
          <w:szCs w:val="20"/>
        </w:rPr>
        <w:t xml:space="preserve">iznos od </w:t>
      </w:r>
      <w:r w:rsidR="000137C9">
        <w:rPr>
          <w:rFonts w:cs="Arial"/>
          <w:sz w:val="20"/>
          <w:szCs w:val="20"/>
        </w:rPr>
        <w:t>54.172</w:t>
      </w:r>
      <w:r w:rsidRPr="00D07AE4">
        <w:rPr>
          <w:rFonts w:cs="Arial"/>
          <w:sz w:val="20"/>
          <w:szCs w:val="20"/>
        </w:rPr>
        <w:t xml:space="preserve"> tisuća kuna ili </w:t>
      </w:r>
      <w:r w:rsidR="000137C9">
        <w:rPr>
          <w:rFonts w:cs="Arial"/>
          <w:sz w:val="20"/>
          <w:szCs w:val="20"/>
        </w:rPr>
        <w:t>52</w:t>
      </w:r>
      <w:r w:rsidRPr="000E5941">
        <w:rPr>
          <w:rFonts w:cs="Arial"/>
          <w:sz w:val="20"/>
          <w:szCs w:val="20"/>
        </w:rPr>
        <w:t>%</w:t>
      </w:r>
      <w:r w:rsidRPr="00D07AE4">
        <w:rPr>
          <w:rFonts w:cs="Arial"/>
          <w:sz w:val="20"/>
          <w:szCs w:val="20"/>
        </w:rPr>
        <w:t xml:space="preserve"> odnosi se na neprovedene </w:t>
      </w:r>
      <w:proofErr w:type="spellStart"/>
      <w:r w:rsidRPr="00D07AE4">
        <w:rPr>
          <w:rFonts w:cs="Arial"/>
          <w:sz w:val="20"/>
          <w:szCs w:val="20"/>
        </w:rPr>
        <w:t>prolongate</w:t>
      </w:r>
      <w:proofErr w:type="spellEnd"/>
      <w:r w:rsidRPr="00D07AE4">
        <w:rPr>
          <w:rFonts w:cs="Arial"/>
          <w:sz w:val="20"/>
          <w:szCs w:val="20"/>
        </w:rPr>
        <w:t xml:space="preserve"> </w:t>
      </w:r>
      <w:proofErr w:type="spellStart"/>
      <w:r w:rsidRPr="00D07AE4">
        <w:rPr>
          <w:rFonts w:cs="Arial"/>
          <w:sz w:val="20"/>
          <w:szCs w:val="20"/>
        </w:rPr>
        <w:t>revolving</w:t>
      </w:r>
      <w:proofErr w:type="spellEnd"/>
      <w:r w:rsidRPr="00D07AE4">
        <w:rPr>
          <w:rFonts w:cs="Arial"/>
          <w:sz w:val="20"/>
          <w:szCs w:val="20"/>
        </w:rPr>
        <w:t xml:space="preserve"> kredita po </w:t>
      </w:r>
      <w:r w:rsidR="00F542BB" w:rsidRPr="00F542BB">
        <w:rPr>
          <w:rFonts w:cs="Arial"/>
          <w:sz w:val="20"/>
          <w:szCs w:val="20"/>
        </w:rPr>
        <w:t>kratkoročnim obnavljajućim kreditima</w:t>
      </w:r>
      <w:r w:rsidRPr="00D07AE4">
        <w:rPr>
          <w:rFonts w:cs="Arial"/>
          <w:sz w:val="20"/>
          <w:szCs w:val="20"/>
        </w:rPr>
        <w:t xml:space="preserve">. </w:t>
      </w:r>
    </w:p>
    <w:p w14:paraId="3DC34A2B" w14:textId="301CD295" w:rsidR="00BE35B9" w:rsidRPr="00D07AE4" w:rsidRDefault="00BE35B9" w:rsidP="004D1BC3">
      <w:pPr>
        <w:spacing w:after="120" w:line="240" w:lineRule="auto"/>
        <w:jc w:val="both"/>
        <w:rPr>
          <w:rFonts w:cs="Calibri"/>
          <w:sz w:val="20"/>
          <w:szCs w:val="20"/>
          <w:lang w:val="pl-PL"/>
        </w:rPr>
      </w:pPr>
      <w:r w:rsidRPr="00D07AE4">
        <w:rPr>
          <w:rFonts w:cs="Arial"/>
          <w:sz w:val="20"/>
          <w:szCs w:val="20"/>
        </w:rPr>
        <w:t xml:space="preserve">Ukoliko se od ukupnog iznosa dospjelih i neumanjenih kredita </w:t>
      </w:r>
      <w:r w:rsidR="004773FD" w:rsidRPr="00D07AE4">
        <w:rPr>
          <w:rFonts w:cs="Arial"/>
          <w:sz w:val="20"/>
          <w:szCs w:val="20"/>
        </w:rPr>
        <w:t xml:space="preserve">financijskih institucija </w:t>
      </w:r>
      <w:r w:rsidRPr="00D07AE4">
        <w:rPr>
          <w:rFonts w:cs="Arial"/>
          <w:sz w:val="20"/>
          <w:szCs w:val="20"/>
        </w:rPr>
        <w:t xml:space="preserve">izuzme dug banaka po </w:t>
      </w:r>
      <w:r w:rsidR="00F542BB" w:rsidRPr="00F542BB">
        <w:rPr>
          <w:rFonts w:cs="Arial"/>
          <w:sz w:val="20"/>
          <w:szCs w:val="20"/>
        </w:rPr>
        <w:t>kratkoročnim obnavljajućim kreditima</w:t>
      </w:r>
      <w:r w:rsidR="00E61E9F" w:rsidRPr="00D07AE4">
        <w:rPr>
          <w:rFonts w:cs="Arial"/>
          <w:sz w:val="20"/>
          <w:szCs w:val="20"/>
        </w:rPr>
        <w:t xml:space="preserve"> preostaje dug od </w:t>
      </w:r>
      <w:r w:rsidR="00E832EB">
        <w:rPr>
          <w:rFonts w:cs="Arial"/>
          <w:sz w:val="20"/>
          <w:szCs w:val="20"/>
        </w:rPr>
        <w:t xml:space="preserve">50.616 </w:t>
      </w:r>
      <w:r w:rsidRPr="00D07AE4">
        <w:rPr>
          <w:rFonts w:cs="Arial"/>
          <w:sz w:val="20"/>
          <w:szCs w:val="20"/>
        </w:rPr>
        <w:t>tisuća kuna.</w:t>
      </w:r>
      <w:r w:rsidRPr="00D07AE4">
        <w:rPr>
          <w:rFonts w:cs="Calibri"/>
          <w:sz w:val="20"/>
          <w:szCs w:val="20"/>
          <w:lang w:val="pl-PL"/>
        </w:rPr>
        <w:t xml:space="preserve"> </w:t>
      </w:r>
    </w:p>
    <w:p w14:paraId="08013A20" w14:textId="01774CE3" w:rsidR="00BE35B9" w:rsidRPr="00AD7F4C" w:rsidRDefault="00BE35B9" w:rsidP="004D1BC3">
      <w:pPr>
        <w:spacing w:after="120" w:line="240" w:lineRule="auto"/>
        <w:jc w:val="both"/>
        <w:rPr>
          <w:rFonts w:cs="Arial"/>
          <w:sz w:val="20"/>
          <w:szCs w:val="20"/>
        </w:rPr>
      </w:pPr>
      <w:r w:rsidRPr="00D07AE4">
        <w:rPr>
          <w:rFonts w:cs="Arial"/>
          <w:sz w:val="20"/>
          <w:szCs w:val="20"/>
        </w:rPr>
        <w:t xml:space="preserve">Od ukupnog iznosa dospjelih i neumanjenih kredita ostalim korisnicima u </w:t>
      </w:r>
      <w:r w:rsidR="00E61E9F" w:rsidRPr="00D07AE4">
        <w:rPr>
          <w:rFonts w:cs="Arial"/>
          <w:sz w:val="20"/>
          <w:szCs w:val="20"/>
        </w:rPr>
        <w:t xml:space="preserve">izvještajnom razdoblju </w:t>
      </w:r>
      <w:r w:rsidRPr="00D07AE4">
        <w:rPr>
          <w:rFonts w:cs="Arial"/>
          <w:sz w:val="20"/>
          <w:szCs w:val="20"/>
        </w:rPr>
        <w:t xml:space="preserve">iznos od </w:t>
      </w:r>
      <w:r w:rsidR="000137C9">
        <w:rPr>
          <w:rFonts w:cs="Arial"/>
          <w:sz w:val="20"/>
          <w:szCs w:val="20"/>
        </w:rPr>
        <w:t>82.834</w:t>
      </w:r>
      <w:r w:rsidR="00AC713F">
        <w:rPr>
          <w:rFonts w:cs="Arial"/>
          <w:sz w:val="20"/>
          <w:szCs w:val="20"/>
        </w:rPr>
        <w:t xml:space="preserve"> </w:t>
      </w:r>
      <w:r w:rsidRPr="00D07AE4">
        <w:rPr>
          <w:rFonts w:cs="Arial"/>
          <w:sz w:val="20"/>
          <w:szCs w:val="20"/>
        </w:rPr>
        <w:t xml:space="preserve">tisuća kuna ili </w:t>
      </w:r>
      <w:r w:rsidR="000137C9">
        <w:rPr>
          <w:rFonts w:cs="Arial"/>
          <w:sz w:val="20"/>
          <w:szCs w:val="20"/>
        </w:rPr>
        <w:t>40</w:t>
      </w:r>
      <w:r w:rsidR="001F73FB">
        <w:rPr>
          <w:rFonts w:cs="Arial"/>
          <w:sz w:val="20"/>
          <w:szCs w:val="20"/>
        </w:rPr>
        <w:t>%</w:t>
      </w:r>
      <w:r w:rsidRPr="00D07AE4">
        <w:rPr>
          <w:rFonts w:cs="Arial"/>
          <w:sz w:val="20"/>
          <w:szCs w:val="20"/>
        </w:rPr>
        <w:t xml:space="preserve"> odnosi se na kašnjenja do </w:t>
      </w:r>
      <w:r w:rsidR="00EC0BFC" w:rsidRPr="00D07AE4">
        <w:rPr>
          <w:rFonts w:cs="Arial"/>
          <w:sz w:val="20"/>
          <w:szCs w:val="20"/>
        </w:rPr>
        <w:t xml:space="preserve">15 </w:t>
      </w:r>
      <w:r w:rsidRPr="00D07AE4">
        <w:rPr>
          <w:rFonts w:cs="Arial"/>
          <w:sz w:val="20"/>
          <w:szCs w:val="20"/>
        </w:rPr>
        <w:t xml:space="preserve">dana, dok je iznos ovih potraživanja od </w:t>
      </w:r>
      <w:r w:rsidR="000137C9">
        <w:rPr>
          <w:rFonts w:cs="Arial"/>
          <w:sz w:val="20"/>
          <w:szCs w:val="20"/>
        </w:rPr>
        <w:t>14.484</w:t>
      </w:r>
      <w:r w:rsidR="00AC713F">
        <w:rPr>
          <w:rFonts w:cs="Arial"/>
          <w:sz w:val="20"/>
          <w:szCs w:val="20"/>
        </w:rPr>
        <w:t xml:space="preserve"> </w:t>
      </w:r>
      <w:r w:rsidRPr="00D07AE4">
        <w:rPr>
          <w:rFonts w:cs="Arial"/>
          <w:sz w:val="20"/>
          <w:szCs w:val="20"/>
        </w:rPr>
        <w:t xml:space="preserve">tisuća kuna ili </w:t>
      </w:r>
      <w:r w:rsidR="000137C9">
        <w:rPr>
          <w:rFonts w:cs="Arial"/>
          <w:sz w:val="20"/>
          <w:szCs w:val="20"/>
        </w:rPr>
        <w:t>17</w:t>
      </w:r>
      <w:r w:rsidRPr="000E5941">
        <w:rPr>
          <w:rFonts w:cs="Arial"/>
          <w:sz w:val="20"/>
          <w:szCs w:val="20"/>
        </w:rPr>
        <w:t>%</w:t>
      </w:r>
      <w:r w:rsidRPr="00D07AE4">
        <w:rPr>
          <w:rFonts w:cs="Arial"/>
          <w:sz w:val="20"/>
          <w:szCs w:val="20"/>
        </w:rPr>
        <w:t xml:space="preserve"> pokriven jamstvima Republike Hrvatske.</w:t>
      </w:r>
    </w:p>
    <w:p w14:paraId="321FA3AF" w14:textId="65FBEA43" w:rsidR="004B16B5" w:rsidRPr="00682909" w:rsidRDefault="00F542BB" w:rsidP="004B16B5">
      <w:pPr>
        <w:spacing w:before="160" w:after="160" w:line="240" w:lineRule="auto"/>
        <w:jc w:val="both"/>
        <w:rPr>
          <w:rFonts w:cs="Arial"/>
          <w:sz w:val="20"/>
          <w:szCs w:val="20"/>
        </w:rPr>
      </w:pPr>
      <w:r w:rsidRPr="00F542BB">
        <w:rPr>
          <w:rFonts w:cs="Arial"/>
          <w:sz w:val="20"/>
          <w:szCs w:val="20"/>
        </w:rPr>
        <w:t xml:space="preserve">Od ukupnog iznosa dospjelih i neumanjenih kredita financijskim institucijama u 2016. godini iznos od 11.448 tisuća kuna ili 5% odnosi se na neprovedene </w:t>
      </w:r>
      <w:proofErr w:type="spellStart"/>
      <w:r w:rsidRPr="00F542BB">
        <w:rPr>
          <w:rFonts w:cs="Arial"/>
          <w:sz w:val="20"/>
          <w:szCs w:val="20"/>
        </w:rPr>
        <w:t>prolongate</w:t>
      </w:r>
      <w:proofErr w:type="spellEnd"/>
      <w:r w:rsidRPr="00F542BB">
        <w:rPr>
          <w:rFonts w:cs="Arial"/>
          <w:sz w:val="20"/>
          <w:szCs w:val="20"/>
        </w:rPr>
        <w:t xml:space="preserve"> po kratkoročnim obnavljajućim kreditima. </w:t>
      </w:r>
      <w:r w:rsidR="004B16B5" w:rsidRPr="00682909">
        <w:rPr>
          <w:rFonts w:cs="Arial"/>
          <w:sz w:val="20"/>
          <w:szCs w:val="20"/>
        </w:rPr>
        <w:t xml:space="preserve"> </w:t>
      </w:r>
    </w:p>
    <w:p w14:paraId="37A7587E" w14:textId="268A3C22" w:rsidR="00F542BB" w:rsidRPr="00F542BB" w:rsidRDefault="00F542BB" w:rsidP="00F542BB">
      <w:pPr>
        <w:spacing w:before="160" w:after="160" w:line="240" w:lineRule="auto"/>
        <w:jc w:val="both"/>
        <w:rPr>
          <w:rFonts w:cs="Arial"/>
          <w:sz w:val="20"/>
          <w:szCs w:val="20"/>
        </w:rPr>
      </w:pPr>
      <w:r w:rsidRPr="00F542BB">
        <w:rPr>
          <w:rFonts w:cs="Arial"/>
          <w:sz w:val="20"/>
          <w:szCs w:val="20"/>
        </w:rPr>
        <w:t>Uslijed okolnosti dospijeća 31. prosinca 2016. godine na neradni dan, na prvi radni dan 2. siječnja 2017. godine naplaćen je iznos od 193.524 tisuća kuna ili 91% dospjelih i neumanjenih kred</w:t>
      </w:r>
      <w:r>
        <w:rPr>
          <w:rFonts w:cs="Arial"/>
          <w:sz w:val="20"/>
          <w:szCs w:val="20"/>
        </w:rPr>
        <w:t>ita financijskim institucijama.</w:t>
      </w:r>
    </w:p>
    <w:p w14:paraId="175A412D" w14:textId="29FAB7BC" w:rsidR="004B16B5" w:rsidRPr="00682909" w:rsidRDefault="00F542BB" w:rsidP="00F542BB">
      <w:pPr>
        <w:spacing w:before="160" w:after="160" w:line="240" w:lineRule="auto"/>
        <w:jc w:val="both"/>
        <w:rPr>
          <w:rFonts w:cs="Arial"/>
          <w:sz w:val="20"/>
          <w:szCs w:val="20"/>
        </w:rPr>
      </w:pPr>
      <w:r w:rsidRPr="00F542BB">
        <w:rPr>
          <w:rFonts w:cs="Arial"/>
          <w:sz w:val="20"/>
          <w:szCs w:val="20"/>
        </w:rPr>
        <w:t>Od ukupnog iznosa dospjelih i neumanjenih kredita ostalim korisnicima u 2016. godini iznos od 109.035 tisuća kuna ili 66% odnosi se na kašnjenja do 15 dana, dok je iznos ovih potraživanja od 10.430 tisuća kuna pokriven jamstvima Republike Hrvatske odnosno 10%.</w:t>
      </w:r>
    </w:p>
    <w:p w14:paraId="7C831365" w14:textId="77777777" w:rsidR="004B16B5" w:rsidRDefault="004B16B5" w:rsidP="004B16B5">
      <w:pPr>
        <w:spacing w:before="160" w:after="160" w:line="240" w:lineRule="auto"/>
        <w:jc w:val="both"/>
        <w:rPr>
          <w:sz w:val="20"/>
          <w:szCs w:val="20"/>
          <w:highlight w:val="yellow"/>
        </w:rPr>
        <w:sectPr w:rsidR="004B16B5" w:rsidSect="00D70D41">
          <w:footerReference w:type="first" r:id="rId104"/>
          <w:pgSz w:w="11906" w:h="16838" w:code="9"/>
          <w:pgMar w:top="1418" w:right="1418" w:bottom="595" w:left="1134" w:header="709" w:footer="709" w:gutter="0"/>
          <w:cols w:space="708"/>
          <w:titlePg/>
          <w:docGrid w:linePitch="360"/>
        </w:sectPr>
      </w:pPr>
    </w:p>
    <w:p w14:paraId="4B8BF570" w14:textId="77777777" w:rsidR="00581360" w:rsidRDefault="00581360" w:rsidP="00BE35B9">
      <w:pPr>
        <w:pStyle w:val="accountingpolicytitle"/>
        <w:rPr>
          <w:rFonts w:asciiTheme="minorHAnsi" w:hAnsiTheme="minorHAnsi" w:cstheme="minorHAnsi"/>
          <w:sz w:val="22"/>
          <w:szCs w:val="22"/>
          <w:lang w:val="hr-HR"/>
        </w:rPr>
      </w:pPr>
    </w:p>
    <w:p w14:paraId="5353AB51" w14:textId="77777777" w:rsidR="00BE35B9" w:rsidRDefault="00BE35B9" w:rsidP="00BE35B9">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E35B9">
        <w:rPr>
          <w:rFonts w:asciiTheme="minorHAnsi" w:hAnsiTheme="minorHAnsi" w:cs="Arial"/>
          <w:sz w:val="22"/>
          <w:szCs w:val="22"/>
          <w:lang w:val="hr-HR"/>
        </w:rPr>
        <w:t>.</w:t>
      </w:r>
      <w:r w:rsidRPr="00BE35B9">
        <w:rPr>
          <w:rFonts w:asciiTheme="minorHAnsi" w:hAnsiTheme="minorHAnsi" w:cs="Arial"/>
          <w:sz w:val="22"/>
          <w:szCs w:val="22"/>
          <w:lang w:val="hr-HR"/>
        </w:rPr>
        <w:tab/>
        <w:t>Upravljanje rizicima (nastavak)</w:t>
      </w:r>
    </w:p>
    <w:p w14:paraId="4BE03644" w14:textId="77777777" w:rsidR="00BE35B9" w:rsidRDefault="00BE35B9" w:rsidP="00BE35B9">
      <w:pPr>
        <w:pStyle w:val="accountingpolicytitle"/>
        <w:rPr>
          <w:rFonts w:asciiTheme="minorHAnsi" w:hAnsiTheme="minorHAnsi" w:cstheme="minorHAnsi"/>
          <w:sz w:val="22"/>
          <w:szCs w:val="22"/>
          <w:lang w:val="hr-HR"/>
        </w:rPr>
      </w:pPr>
    </w:p>
    <w:p w14:paraId="738EA17F" w14:textId="77777777" w:rsidR="00117564" w:rsidRDefault="00BE35B9" w:rsidP="00BE35B9">
      <w:pPr>
        <w:pStyle w:val="accountingpolicytitle"/>
        <w:rPr>
          <w:rFonts w:asciiTheme="minorHAnsi" w:hAnsiTheme="minorHAnsi" w:cstheme="minorHAnsi"/>
          <w:sz w:val="22"/>
          <w:szCs w:val="22"/>
          <w:lang w:val="hr-HR"/>
        </w:rPr>
      </w:pPr>
      <w:r>
        <w:rPr>
          <w:rFonts w:asciiTheme="minorHAnsi" w:hAnsiTheme="minorHAnsi" w:cstheme="minorHAnsi"/>
          <w:sz w:val="22"/>
          <w:szCs w:val="22"/>
          <w:lang w:val="hr-HR"/>
        </w:rPr>
        <w:t>1</w:t>
      </w:r>
      <w:r w:rsidR="00D235E1">
        <w:rPr>
          <w:rFonts w:asciiTheme="minorHAnsi" w:hAnsiTheme="minorHAnsi" w:cstheme="minorHAnsi"/>
          <w:sz w:val="22"/>
          <w:szCs w:val="22"/>
          <w:lang w:val="hr-HR"/>
        </w:rPr>
        <w:t>6</w:t>
      </w:r>
      <w:r>
        <w:rPr>
          <w:rFonts w:asciiTheme="minorHAnsi" w:hAnsiTheme="minorHAnsi" w:cstheme="minorHAnsi"/>
          <w:sz w:val="22"/>
          <w:szCs w:val="22"/>
          <w:lang w:val="hr-HR"/>
        </w:rPr>
        <w:t xml:space="preserve">.3. </w:t>
      </w:r>
      <w:r>
        <w:rPr>
          <w:rFonts w:asciiTheme="minorHAnsi" w:hAnsiTheme="minorHAnsi" w:cstheme="minorHAnsi"/>
          <w:sz w:val="22"/>
          <w:szCs w:val="22"/>
          <w:lang w:val="hr-HR"/>
        </w:rPr>
        <w:tab/>
      </w:r>
      <w:r w:rsidR="00117564" w:rsidRPr="00BE35B9">
        <w:rPr>
          <w:rFonts w:asciiTheme="minorHAnsi" w:hAnsiTheme="minorHAnsi" w:cstheme="minorHAnsi"/>
          <w:sz w:val="22"/>
          <w:szCs w:val="22"/>
          <w:lang w:val="hr-HR"/>
        </w:rPr>
        <w:t>Rizik likvidnosti</w:t>
      </w:r>
    </w:p>
    <w:p w14:paraId="41D67A53" w14:textId="77777777" w:rsidR="00BE35B9" w:rsidRPr="00BE35B9" w:rsidRDefault="00BE35B9" w:rsidP="00BE35B9">
      <w:pPr>
        <w:pStyle w:val="accountingpolicytitle"/>
        <w:rPr>
          <w:rFonts w:asciiTheme="minorHAnsi" w:hAnsiTheme="minorHAnsi" w:cstheme="minorHAnsi"/>
          <w:sz w:val="22"/>
          <w:szCs w:val="22"/>
          <w:lang w:val="hr-HR"/>
        </w:rPr>
      </w:pPr>
    </w:p>
    <w:p w14:paraId="5C1F9F49" w14:textId="77777777" w:rsidR="00117564" w:rsidRDefault="00117564" w:rsidP="00BE35B9">
      <w:pPr>
        <w:spacing w:after="0" w:line="240" w:lineRule="auto"/>
        <w:jc w:val="both"/>
        <w:rPr>
          <w:rFonts w:cstheme="minorHAnsi"/>
          <w:spacing w:val="-3"/>
        </w:rPr>
      </w:pPr>
      <w:r w:rsidRPr="003851E1">
        <w:rPr>
          <w:rFonts w:cstheme="minorHAnsi"/>
          <w:spacing w:val="-3"/>
        </w:rPr>
        <w:t xml:space="preserve">Temeljna načela i principi upravljanja rizikom likvidnosti HBOR-a utvrđeni su internim aktima te odlukama i zaključcima Nadzornog odbora, Uprave i Odbora za upravljanje aktivom i pasivom. </w:t>
      </w:r>
    </w:p>
    <w:p w14:paraId="442EAB41" w14:textId="77777777" w:rsidR="00BE35B9" w:rsidRPr="003851E1" w:rsidRDefault="00BE35B9" w:rsidP="00BE35B9">
      <w:pPr>
        <w:spacing w:after="0" w:line="240" w:lineRule="auto"/>
        <w:jc w:val="both"/>
        <w:rPr>
          <w:rFonts w:cstheme="minorHAnsi"/>
          <w:spacing w:val="-3"/>
        </w:rPr>
      </w:pPr>
    </w:p>
    <w:p w14:paraId="4D6CC07E" w14:textId="22737826" w:rsidR="00117564" w:rsidRPr="003851E1" w:rsidRDefault="00117564" w:rsidP="00BE35B9">
      <w:pPr>
        <w:pStyle w:val="BodyText"/>
        <w:widowControl w:val="0"/>
        <w:spacing w:after="0" w:line="240" w:lineRule="auto"/>
        <w:ind w:right="-6"/>
        <w:jc w:val="both"/>
        <w:rPr>
          <w:rFonts w:cstheme="minorHAnsi"/>
          <w:spacing w:val="-3"/>
        </w:rPr>
      </w:pPr>
      <w:r w:rsidRPr="003851E1">
        <w:rPr>
          <w:rFonts w:cstheme="minorHAnsi"/>
          <w:spacing w:val="-3"/>
        </w:rPr>
        <w:t xml:space="preserve">U svrhu upravljanja rizikom likvidnosti, Banka je uspostavila sustav limita te prati i kontrolira njihovo poštivanje, održava potrebnu razinu rezerve likvidnosti, kontinuirano prati tekuću i planiranu likvidnost, osigurava dostatna kunska i devizna sredstva potrebna za pravovremeno podmirenje obveza te za isplate po odobrenim kreditima i planiranim odobrenjima kredita. Pri upravljanju rizikom likvidnosti Banka prati i nastoji postići ročnu usklađenost </w:t>
      </w:r>
      <w:r w:rsidR="00EC0BFC">
        <w:rPr>
          <w:rFonts w:cstheme="minorHAnsi"/>
          <w:spacing w:val="-3"/>
        </w:rPr>
        <w:t>ugovorenih</w:t>
      </w:r>
      <w:r w:rsidR="00EC0BFC" w:rsidRPr="003851E1">
        <w:rPr>
          <w:rFonts w:cstheme="minorHAnsi"/>
          <w:spacing w:val="-3"/>
        </w:rPr>
        <w:t xml:space="preserve"> </w:t>
      </w:r>
      <w:r w:rsidRPr="003851E1">
        <w:rPr>
          <w:rFonts w:cstheme="minorHAnsi"/>
          <w:spacing w:val="-3"/>
        </w:rPr>
        <w:t xml:space="preserve">i planiranih plasmana </w:t>
      </w:r>
      <w:r w:rsidR="00EC0BFC">
        <w:rPr>
          <w:rFonts w:cstheme="minorHAnsi"/>
          <w:spacing w:val="-3"/>
        </w:rPr>
        <w:t>s</w:t>
      </w:r>
      <w:r w:rsidR="00EC0BFC" w:rsidRPr="003851E1">
        <w:rPr>
          <w:rFonts w:cstheme="minorHAnsi"/>
          <w:spacing w:val="-3"/>
        </w:rPr>
        <w:t xml:space="preserve"> njihovi</w:t>
      </w:r>
      <w:r w:rsidR="00EC0BFC">
        <w:rPr>
          <w:rFonts w:cstheme="minorHAnsi"/>
          <w:spacing w:val="-3"/>
        </w:rPr>
        <w:t>m</w:t>
      </w:r>
      <w:r w:rsidR="00EC0BFC" w:rsidRPr="003851E1">
        <w:rPr>
          <w:rFonts w:cstheme="minorHAnsi"/>
          <w:spacing w:val="-3"/>
        </w:rPr>
        <w:t xml:space="preserve"> </w:t>
      </w:r>
      <w:r w:rsidRPr="003851E1">
        <w:rPr>
          <w:rFonts w:cstheme="minorHAnsi"/>
          <w:spacing w:val="-3"/>
        </w:rPr>
        <w:t>izvor</w:t>
      </w:r>
      <w:r w:rsidR="00EC0BFC">
        <w:rPr>
          <w:rFonts w:cstheme="minorHAnsi"/>
          <w:spacing w:val="-3"/>
        </w:rPr>
        <w:t>ima</w:t>
      </w:r>
      <w:r w:rsidRPr="003851E1">
        <w:rPr>
          <w:rFonts w:cstheme="minorHAnsi"/>
          <w:spacing w:val="-3"/>
        </w:rPr>
        <w:t xml:space="preserve">. </w:t>
      </w:r>
      <w:r>
        <w:rPr>
          <w:rFonts w:cstheme="minorHAnsi"/>
          <w:spacing w:val="-3"/>
        </w:rPr>
        <w:t xml:space="preserve">Banka nema depozite građana te nije izložena velikim dnevnim oscilacijama likvidnosti. </w:t>
      </w:r>
      <w:r w:rsidRPr="003851E1">
        <w:rPr>
          <w:rFonts w:cstheme="minorHAnsi"/>
          <w:spacing w:val="-3"/>
        </w:rPr>
        <w:t xml:space="preserve">Praćenje rizika likvidnosti Banka provodi i kroz analize scenarija i analize osjetljivosti pod pretpostavkom redovnih i stresnih uvjeta poslovanja. </w:t>
      </w:r>
      <w:r w:rsidR="001F73FB">
        <w:rPr>
          <w:rFonts w:cstheme="minorHAnsi"/>
          <w:spacing w:val="-3"/>
        </w:rPr>
        <w:t>Pravilnikom o upravljanju rizikom likvidnosti</w:t>
      </w:r>
      <w:r w:rsidR="001F73FB" w:rsidRPr="003851E1">
        <w:rPr>
          <w:rFonts w:cstheme="minorHAnsi"/>
          <w:spacing w:val="-3"/>
        </w:rPr>
        <w:t xml:space="preserve"> </w:t>
      </w:r>
      <w:r w:rsidRPr="003851E1">
        <w:rPr>
          <w:rFonts w:cstheme="minorHAnsi"/>
          <w:spacing w:val="-3"/>
        </w:rPr>
        <w:t>utvrđeni</w:t>
      </w:r>
      <w:r w:rsidR="001F73FB">
        <w:rPr>
          <w:rFonts w:cstheme="minorHAnsi"/>
          <w:spacing w:val="-3"/>
        </w:rPr>
        <w:t xml:space="preserve"> su</w:t>
      </w:r>
      <w:r w:rsidRPr="003851E1">
        <w:rPr>
          <w:rFonts w:cstheme="minorHAnsi"/>
          <w:spacing w:val="-3"/>
        </w:rPr>
        <w:t xml:space="preserve"> signali ranog upozorenja te postupci u slučaju naznake, kao i nastupa krize likvidnosti. </w:t>
      </w:r>
    </w:p>
    <w:p w14:paraId="6021807B" w14:textId="77777777" w:rsidR="00BE35B9" w:rsidRDefault="00BE35B9" w:rsidP="00BE35B9">
      <w:pPr>
        <w:spacing w:after="0" w:line="240" w:lineRule="auto"/>
        <w:jc w:val="both"/>
        <w:rPr>
          <w:rFonts w:cstheme="minorHAnsi"/>
          <w:bCs/>
          <w:spacing w:val="-3"/>
        </w:rPr>
        <w:sectPr w:rsidR="00BE35B9" w:rsidSect="003A1449">
          <w:footerReference w:type="first" r:id="rId105"/>
          <w:pgSz w:w="11906" w:h="16838" w:code="9"/>
          <w:pgMar w:top="1418" w:right="1418" w:bottom="595" w:left="1134" w:header="709" w:footer="709" w:gutter="0"/>
          <w:cols w:space="708"/>
          <w:titlePg/>
          <w:docGrid w:linePitch="360"/>
        </w:sectPr>
      </w:pPr>
    </w:p>
    <w:p w14:paraId="004ADF4E" w14:textId="77777777" w:rsidR="00117564" w:rsidRPr="00E0067A" w:rsidRDefault="00117564" w:rsidP="00BE35B9">
      <w:pPr>
        <w:spacing w:after="0" w:line="240" w:lineRule="auto"/>
        <w:jc w:val="both"/>
        <w:rPr>
          <w:rFonts w:cstheme="minorHAnsi"/>
          <w:bCs/>
          <w:spacing w:val="-3"/>
        </w:rPr>
      </w:pPr>
    </w:p>
    <w:p w14:paraId="53656709" w14:textId="77777777" w:rsidR="00BE35B9" w:rsidRDefault="00BE35B9" w:rsidP="00BE35B9">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E35B9">
        <w:rPr>
          <w:rFonts w:asciiTheme="minorHAnsi" w:hAnsiTheme="minorHAnsi" w:cs="Arial"/>
          <w:sz w:val="22"/>
          <w:szCs w:val="22"/>
          <w:lang w:val="hr-HR"/>
        </w:rPr>
        <w:t>.</w:t>
      </w:r>
      <w:r w:rsidRPr="00BE35B9">
        <w:rPr>
          <w:rFonts w:asciiTheme="minorHAnsi" w:hAnsiTheme="minorHAnsi" w:cs="Arial"/>
          <w:sz w:val="22"/>
          <w:szCs w:val="22"/>
          <w:lang w:val="hr-HR"/>
        </w:rPr>
        <w:tab/>
        <w:t>Upravljanje rizicima (nastavak)</w:t>
      </w:r>
    </w:p>
    <w:p w14:paraId="742EAAD8" w14:textId="77777777" w:rsidR="00BE35B9" w:rsidRPr="00E0067A" w:rsidRDefault="00BE35B9" w:rsidP="00BE35B9">
      <w:pPr>
        <w:pStyle w:val="accountingpolicytitle"/>
        <w:rPr>
          <w:rFonts w:asciiTheme="minorHAnsi" w:hAnsiTheme="minorHAnsi" w:cstheme="minorHAnsi"/>
          <w:sz w:val="22"/>
          <w:szCs w:val="22"/>
          <w:lang w:val="hr-HR"/>
        </w:rPr>
      </w:pPr>
    </w:p>
    <w:p w14:paraId="3D5D223F" w14:textId="77777777" w:rsidR="00BE35B9" w:rsidRDefault="00BE35B9" w:rsidP="00BE35B9">
      <w:pPr>
        <w:pStyle w:val="accountingpolicytitle"/>
        <w:rPr>
          <w:rFonts w:asciiTheme="minorHAnsi" w:hAnsiTheme="minorHAnsi" w:cstheme="minorHAnsi"/>
          <w:sz w:val="22"/>
          <w:szCs w:val="22"/>
          <w:lang w:val="hr-HR"/>
        </w:rPr>
      </w:pPr>
      <w:r>
        <w:rPr>
          <w:rFonts w:asciiTheme="minorHAnsi" w:hAnsiTheme="minorHAnsi" w:cstheme="minorHAnsi"/>
          <w:sz w:val="22"/>
          <w:szCs w:val="22"/>
          <w:lang w:val="hr-HR"/>
        </w:rPr>
        <w:t>1</w:t>
      </w:r>
      <w:r w:rsidR="00D235E1">
        <w:rPr>
          <w:rFonts w:asciiTheme="minorHAnsi" w:hAnsiTheme="minorHAnsi" w:cstheme="minorHAnsi"/>
          <w:sz w:val="22"/>
          <w:szCs w:val="22"/>
          <w:lang w:val="hr-HR"/>
        </w:rPr>
        <w:t>6</w:t>
      </w:r>
      <w:r>
        <w:rPr>
          <w:rFonts w:asciiTheme="minorHAnsi" w:hAnsiTheme="minorHAnsi" w:cstheme="minorHAnsi"/>
          <w:sz w:val="22"/>
          <w:szCs w:val="22"/>
          <w:lang w:val="hr-HR"/>
        </w:rPr>
        <w:t xml:space="preserve">.3. </w:t>
      </w:r>
      <w:r>
        <w:rPr>
          <w:rFonts w:asciiTheme="minorHAnsi" w:hAnsiTheme="minorHAnsi" w:cstheme="minorHAnsi"/>
          <w:sz w:val="22"/>
          <w:szCs w:val="22"/>
          <w:lang w:val="hr-HR"/>
        </w:rPr>
        <w:tab/>
      </w:r>
      <w:r w:rsidRPr="00BE35B9">
        <w:rPr>
          <w:rFonts w:asciiTheme="minorHAnsi" w:hAnsiTheme="minorHAnsi" w:cstheme="minorHAnsi"/>
          <w:sz w:val="22"/>
          <w:szCs w:val="22"/>
          <w:lang w:val="hr-HR"/>
        </w:rPr>
        <w:t>Rizik likvidnosti</w:t>
      </w:r>
      <w:r>
        <w:rPr>
          <w:rFonts w:asciiTheme="minorHAnsi" w:hAnsiTheme="minorHAnsi" w:cstheme="minorHAnsi"/>
          <w:sz w:val="22"/>
          <w:szCs w:val="22"/>
          <w:lang w:val="hr-HR"/>
        </w:rPr>
        <w:t xml:space="preserve"> (nastavak)</w:t>
      </w:r>
    </w:p>
    <w:p w14:paraId="38F79571" w14:textId="77777777" w:rsidR="00EC2B03" w:rsidRPr="00E0067A" w:rsidRDefault="00EC2B03" w:rsidP="00BE35B9">
      <w:pPr>
        <w:pStyle w:val="accountingpolicytitle"/>
        <w:rPr>
          <w:rFonts w:asciiTheme="minorHAnsi" w:hAnsiTheme="minorHAnsi" w:cstheme="minorHAnsi"/>
          <w:sz w:val="22"/>
          <w:szCs w:val="22"/>
          <w:lang w:val="hr-HR"/>
        </w:rPr>
      </w:pPr>
    </w:p>
    <w:p w14:paraId="0D2CDFA1" w14:textId="706A152D" w:rsidR="006F40A6" w:rsidRDefault="00BE35B9" w:rsidP="00BE35B9">
      <w:pPr>
        <w:tabs>
          <w:tab w:val="left" w:pos="-720"/>
        </w:tabs>
        <w:suppressAutoHyphens/>
        <w:spacing w:after="0" w:line="240" w:lineRule="auto"/>
        <w:jc w:val="both"/>
        <w:rPr>
          <w:rFonts w:cs="Arial"/>
          <w:sz w:val="20"/>
          <w:szCs w:val="20"/>
        </w:rPr>
      </w:pPr>
      <w:r w:rsidRPr="00BE35B9">
        <w:rPr>
          <w:rFonts w:cs="Arial"/>
          <w:sz w:val="20"/>
          <w:szCs w:val="20"/>
        </w:rPr>
        <w:t xml:space="preserve">Iznos ukupne imovine i ukupnih obveza i glavnice na dan </w:t>
      </w:r>
      <w:r w:rsidR="00FC5389" w:rsidRPr="004B16B5">
        <w:rPr>
          <w:rFonts w:cs="Arial"/>
          <w:sz w:val="20"/>
          <w:szCs w:val="20"/>
        </w:rPr>
        <w:t>3</w:t>
      </w:r>
      <w:r w:rsidR="00FC5389">
        <w:rPr>
          <w:rFonts w:cs="Arial"/>
          <w:sz w:val="20"/>
          <w:szCs w:val="20"/>
        </w:rPr>
        <w:t>0</w:t>
      </w:r>
      <w:r w:rsidR="00F542BB">
        <w:rPr>
          <w:rFonts w:cs="Arial"/>
          <w:sz w:val="20"/>
          <w:szCs w:val="20"/>
        </w:rPr>
        <w:t xml:space="preserve">. </w:t>
      </w:r>
      <w:r w:rsidR="00FC5389">
        <w:rPr>
          <w:rFonts w:cs="Arial"/>
          <w:sz w:val="20"/>
          <w:szCs w:val="20"/>
        </w:rPr>
        <w:t xml:space="preserve">lipnja </w:t>
      </w:r>
      <w:r w:rsidR="00F542BB">
        <w:rPr>
          <w:rFonts w:cs="Arial"/>
          <w:sz w:val="20"/>
          <w:szCs w:val="20"/>
        </w:rPr>
        <w:t>2017</w:t>
      </w:r>
      <w:r w:rsidR="004B16B5" w:rsidRPr="004B16B5">
        <w:rPr>
          <w:rFonts w:cs="Arial"/>
          <w:sz w:val="20"/>
          <w:szCs w:val="20"/>
        </w:rPr>
        <w:t>. i 31. prosinca 201</w:t>
      </w:r>
      <w:r w:rsidR="00F542BB">
        <w:rPr>
          <w:rFonts w:cs="Arial"/>
          <w:sz w:val="20"/>
          <w:szCs w:val="20"/>
        </w:rPr>
        <w:t>6</w:t>
      </w:r>
      <w:r w:rsidR="004B16B5" w:rsidRPr="004B16B5">
        <w:rPr>
          <w:rFonts w:cs="Arial"/>
          <w:sz w:val="20"/>
          <w:szCs w:val="20"/>
        </w:rPr>
        <w:t xml:space="preserve">. </w:t>
      </w:r>
      <w:r w:rsidRPr="00BE35B9">
        <w:rPr>
          <w:rFonts w:cs="Arial"/>
          <w:sz w:val="20"/>
          <w:szCs w:val="20"/>
        </w:rPr>
        <w:t>godine analiziran je kroz preostalo razdoblje od dana Izvještaja o financijskom položaju u odnosu na ugovoreni datum dospijeća kako slijedi:</w:t>
      </w:r>
    </w:p>
    <w:tbl>
      <w:tblPr>
        <w:tblW w:w="5128" w:type="pct"/>
        <w:tblInd w:w="-22" w:type="dxa"/>
        <w:tblLayout w:type="fixed"/>
        <w:tblCellMar>
          <w:left w:w="120" w:type="dxa"/>
          <w:right w:w="120" w:type="dxa"/>
        </w:tblCellMar>
        <w:tblLook w:val="0000" w:firstRow="0" w:lastRow="0" w:firstColumn="0" w:lastColumn="0" w:noHBand="0" w:noVBand="0"/>
      </w:tblPr>
      <w:tblGrid>
        <w:gridCol w:w="2965"/>
        <w:gridCol w:w="1105"/>
        <w:gridCol w:w="1105"/>
        <w:gridCol w:w="1105"/>
        <w:gridCol w:w="1103"/>
        <w:gridCol w:w="1107"/>
        <w:gridCol w:w="1103"/>
      </w:tblGrid>
      <w:tr w:rsidR="006F40A6" w:rsidRPr="00BE35B9" w14:paraId="5663CC13" w14:textId="77777777" w:rsidTr="00D34B9C">
        <w:trPr>
          <w:trHeight w:val="446"/>
        </w:trPr>
        <w:tc>
          <w:tcPr>
            <w:tcW w:w="1545" w:type="pct"/>
            <w:vAlign w:val="bottom"/>
          </w:tcPr>
          <w:p w14:paraId="0D8BD339" w14:textId="77777777" w:rsidR="006F40A6" w:rsidRPr="00BE35B9" w:rsidRDefault="006F40A6" w:rsidP="00F93702">
            <w:pPr>
              <w:pStyle w:val="TH"/>
              <w:spacing w:line="220" w:lineRule="exact"/>
              <w:rPr>
                <w:rFonts w:asciiTheme="minorHAnsi" w:hAnsiTheme="minorHAnsi" w:cs="Arial"/>
                <w:sz w:val="17"/>
                <w:szCs w:val="17"/>
                <w:lang w:val="hr-HR"/>
              </w:rPr>
            </w:pPr>
            <w:r w:rsidRPr="00BE35B9">
              <w:rPr>
                <w:rFonts w:asciiTheme="minorHAnsi" w:hAnsiTheme="minorHAnsi" w:cs="Arial"/>
                <w:sz w:val="17"/>
                <w:szCs w:val="17"/>
                <w:lang w:val="hr-HR"/>
              </w:rPr>
              <w:t>Grupa</w:t>
            </w:r>
          </w:p>
          <w:p w14:paraId="4832D9DE" w14:textId="1BBB5F19" w:rsidR="006F40A6" w:rsidRPr="00BE35B9" w:rsidRDefault="00BE368E">
            <w:pPr>
              <w:pStyle w:val="TH"/>
              <w:spacing w:line="220" w:lineRule="exact"/>
              <w:rPr>
                <w:rFonts w:asciiTheme="minorHAnsi" w:hAnsiTheme="minorHAnsi" w:cs="Arial"/>
                <w:sz w:val="17"/>
                <w:szCs w:val="17"/>
                <w:lang w:val="hr-HR"/>
              </w:rPr>
            </w:pPr>
            <w:r>
              <w:rPr>
                <w:rFonts w:asciiTheme="minorHAnsi" w:hAnsiTheme="minorHAnsi" w:cs="Arial"/>
                <w:sz w:val="17"/>
                <w:szCs w:val="17"/>
                <w:lang w:val="hr-HR"/>
              </w:rPr>
              <w:t>30</w:t>
            </w:r>
            <w:r w:rsidR="00F542BB">
              <w:rPr>
                <w:rFonts w:asciiTheme="minorHAnsi" w:hAnsiTheme="minorHAnsi" w:cs="Arial"/>
                <w:sz w:val="17"/>
                <w:szCs w:val="17"/>
                <w:lang w:val="hr-HR"/>
              </w:rPr>
              <w:t>.</w:t>
            </w:r>
            <w:r>
              <w:rPr>
                <w:rFonts w:asciiTheme="minorHAnsi" w:hAnsiTheme="minorHAnsi" w:cs="Arial"/>
                <w:sz w:val="17"/>
                <w:szCs w:val="17"/>
                <w:lang w:val="hr-HR"/>
              </w:rPr>
              <w:t>6</w:t>
            </w:r>
            <w:r w:rsidR="00F542BB">
              <w:rPr>
                <w:rFonts w:asciiTheme="minorHAnsi" w:hAnsiTheme="minorHAnsi" w:cs="Arial"/>
                <w:sz w:val="17"/>
                <w:szCs w:val="17"/>
                <w:lang w:val="hr-HR"/>
              </w:rPr>
              <w:t>.2017</w:t>
            </w:r>
            <w:r w:rsidR="006F40A6" w:rsidRPr="00BE35B9">
              <w:rPr>
                <w:rFonts w:asciiTheme="minorHAnsi" w:hAnsiTheme="minorHAnsi" w:cs="Arial"/>
                <w:sz w:val="17"/>
                <w:szCs w:val="17"/>
                <w:lang w:val="hr-HR"/>
              </w:rPr>
              <w:t xml:space="preserve">. </w:t>
            </w:r>
          </w:p>
        </w:tc>
        <w:tc>
          <w:tcPr>
            <w:tcW w:w="576" w:type="pct"/>
          </w:tcPr>
          <w:p w14:paraId="61DD0146" w14:textId="77777777" w:rsidR="006F40A6" w:rsidRPr="00BE35B9" w:rsidRDefault="006F40A6" w:rsidP="00F93702">
            <w:pPr>
              <w:pStyle w:val="TH"/>
              <w:spacing w:line="220" w:lineRule="exact"/>
              <w:jc w:val="right"/>
              <w:rPr>
                <w:rFonts w:asciiTheme="minorHAnsi" w:hAnsiTheme="minorHAnsi" w:cs="Arial"/>
                <w:sz w:val="17"/>
                <w:szCs w:val="17"/>
                <w:lang w:val="hr-HR"/>
              </w:rPr>
            </w:pPr>
            <w:r w:rsidRPr="00BE35B9">
              <w:rPr>
                <w:rFonts w:asciiTheme="minorHAnsi" w:hAnsiTheme="minorHAnsi" w:cs="Arial"/>
                <w:sz w:val="17"/>
                <w:szCs w:val="17"/>
                <w:lang w:val="hr-HR"/>
              </w:rPr>
              <w:t>Do 1 mjesec</w:t>
            </w:r>
          </w:p>
        </w:tc>
        <w:tc>
          <w:tcPr>
            <w:tcW w:w="576" w:type="pct"/>
          </w:tcPr>
          <w:p w14:paraId="7686BC48" w14:textId="77777777" w:rsidR="006F40A6" w:rsidRPr="00BE35B9" w:rsidRDefault="006F40A6" w:rsidP="00F93702">
            <w:pPr>
              <w:pStyle w:val="TH"/>
              <w:spacing w:line="220" w:lineRule="exact"/>
              <w:jc w:val="right"/>
              <w:rPr>
                <w:rFonts w:asciiTheme="minorHAnsi" w:hAnsiTheme="minorHAnsi" w:cs="Arial"/>
                <w:sz w:val="17"/>
                <w:szCs w:val="17"/>
                <w:lang w:val="hr-HR"/>
              </w:rPr>
            </w:pPr>
            <w:r w:rsidRPr="00BE35B9">
              <w:rPr>
                <w:rFonts w:asciiTheme="minorHAnsi" w:hAnsiTheme="minorHAnsi" w:cs="Arial"/>
                <w:sz w:val="17"/>
                <w:szCs w:val="17"/>
                <w:lang w:val="hr-HR"/>
              </w:rPr>
              <w:t>1 do 3 mjeseca</w:t>
            </w:r>
          </w:p>
        </w:tc>
        <w:tc>
          <w:tcPr>
            <w:tcW w:w="576" w:type="pct"/>
          </w:tcPr>
          <w:p w14:paraId="29F21EE7" w14:textId="77777777" w:rsidR="006F40A6" w:rsidRPr="00BE35B9" w:rsidRDefault="006F40A6" w:rsidP="00F93702">
            <w:pPr>
              <w:pStyle w:val="TH"/>
              <w:spacing w:line="220" w:lineRule="exact"/>
              <w:jc w:val="right"/>
              <w:rPr>
                <w:rFonts w:asciiTheme="minorHAnsi" w:hAnsiTheme="minorHAnsi" w:cs="Arial"/>
                <w:sz w:val="17"/>
                <w:szCs w:val="17"/>
                <w:lang w:val="hr-HR"/>
              </w:rPr>
            </w:pPr>
            <w:r w:rsidRPr="00BE35B9">
              <w:rPr>
                <w:rFonts w:asciiTheme="minorHAnsi" w:hAnsiTheme="minorHAnsi" w:cs="Arial"/>
                <w:sz w:val="17"/>
                <w:szCs w:val="17"/>
                <w:lang w:val="hr-HR"/>
              </w:rPr>
              <w:t>3 mj. do 1 godine</w:t>
            </w:r>
          </w:p>
        </w:tc>
        <w:tc>
          <w:tcPr>
            <w:tcW w:w="575" w:type="pct"/>
          </w:tcPr>
          <w:p w14:paraId="48984A6D" w14:textId="77777777" w:rsidR="006F40A6" w:rsidRPr="00BE35B9" w:rsidRDefault="006F40A6" w:rsidP="00F93702">
            <w:pPr>
              <w:pStyle w:val="TH"/>
              <w:spacing w:line="220" w:lineRule="exact"/>
              <w:jc w:val="right"/>
              <w:rPr>
                <w:rFonts w:asciiTheme="minorHAnsi" w:hAnsiTheme="minorHAnsi" w:cs="Arial"/>
                <w:sz w:val="17"/>
                <w:szCs w:val="17"/>
                <w:lang w:val="hr-HR"/>
              </w:rPr>
            </w:pPr>
            <w:r w:rsidRPr="00BE35B9">
              <w:rPr>
                <w:rFonts w:asciiTheme="minorHAnsi" w:hAnsiTheme="minorHAnsi" w:cs="Arial"/>
                <w:sz w:val="17"/>
                <w:szCs w:val="17"/>
                <w:lang w:val="hr-HR"/>
              </w:rPr>
              <w:t>1 do 3 godina</w:t>
            </w:r>
          </w:p>
        </w:tc>
        <w:tc>
          <w:tcPr>
            <w:tcW w:w="577" w:type="pct"/>
          </w:tcPr>
          <w:p w14:paraId="156C0E84" w14:textId="77777777" w:rsidR="006F40A6" w:rsidRPr="00BE35B9" w:rsidRDefault="006F40A6" w:rsidP="00F93702">
            <w:pPr>
              <w:pStyle w:val="TH"/>
              <w:spacing w:line="220" w:lineRule="exact"/>
              <w:jc w:val="right"/>
              <w:rPr>
                <w:rFonts w:asciiTheme="minorHAnsi" w:hAnsiTheme="minorHAnsi" w:cs="Arial"/>
                <w:sz w:val="17"/>
                <w:szCs w:val="17"/>
                <w:lang w:val="hr-HR"/>
              </w:rPr>
            </w:pPr>
            <w:r w:rsidRPr="00BE35B9">
              <w:rPr>
                <w:rFonts w:asciiTheme="minorHAnsi" w:hAnsiTheme="minorHAnsi" w:cs="Arial"/>
                <w:sz w:val="17"/>
                <w:szCs w:val="17"/>
                <w:lang w:val="hr-HR"/>
              </w:rPr>
              <w:t>Preko 3 godine</w:t>
            </w:r>
          </w:p>
        </w:tc>
        <w:tc>
          <w:tcPr>
            <w:tcW w:w="575" w:type="pct"/>
          </w:tcPr>
          <w:p w14:paraId="6D75AC67" w14:textId="77777777" w:rsidR="006F40A6" w:rsidRPr="00BE35B9" w:rsidRDefault="006F40A6" w:rsidP="00F93702">
            <w:pPr>
              <w:pStyle w:val="TH"/>
              <w:spacing w:line="220" w:lineRule="exact"/>
              <w:jc w:val="right"/>
              <w:rPr>
                <w:rFonts w:asciiTheme="minorHAnsi" w:hAnsiTheme="minorHAnsi" w:cs="Arial"/>
                <w:sz w:val="17"/>
                <w:szCs w:val="17"/>
                <w:lang w:val="hr-HR"/>
              </w:rPr>
            </w:pPr>
            <w:r w:rsidRPr="00BE35B9">
              <w:rPr>
                <w:rFonts w:asciiTheme="minorHAnsi" w:hAnsiTheme="minorHAnsi" w:cs="Arial"/>
                <w:sz w:val="17"/>
                <w:szCs w:val="17"/>
                <w:lang w:val="hr-HR"/>
              </w:rPr>
              <w:t>Ukupno</w:t>
            </w:r>
          </w:p>
        </w:tc>
      </w:tr>
      <w:tr w:rsidR="00A15369" w:rsidRPr="00BE35B9" w14:paraId="48F163E6" w14:textId="77777777" w:rsidTr="00312975">
        <w:trPr>
          <w:trHeight w:val="211"/>
        </w:trPr>
        <w:tc>
          <w:tcPr>
            <w:tcW w:w="1545" w:type="pct"/>
          </w:tcPr>
          <w:p w14:paraId="4D98DB07" w14:textId="77777777" w:rsidR="00A15369" w:rsidRPr="00BE35B9" w:rsidRDefault="00A15369" w:rsidP="00A15369">
            <w:pPr>
              <w:pStyle w:val="TT"/>
              <w:spacing w:line="220" w:lineRule="exact"/>
              <w:rPr>
                <w:rFonts w:asciiTheme="minorHAnsi" w:hAnsiTheme="minorHAnsi" w:cs="Arial"/>
                <w:b/>
                <w:bCs/>
                <w:sz w:val="17"/>
                <w:szCs w:val="17"/>
                <w:lang w:val="hr-HR"/>
              </w:rPr>
            </w:pPr>
            <w:r w:rsidRPr="00BE35B9">
              <w:rPr>
                <w:rFonts w:asciiTheme="minorHAnsi" w:hAnsiTheme="minorHAnsi" w:cs="Arial"/>
                <w:b/>
                <w:bCs/>
                <w:sz w:val="17"/>
                <w:szCs w:val="17"/>
                <w:lang w:val="hr-HR"/>
              </w:rPr>
              <w:t>Imovina</w:t>
            </w:r>
          </w:p>
        </w:tc>
        <w:tc>
          <w:tcPr>
            <w:tcW w:w="576" w:type="pct"/>
            <w:shd w:val="clear" w:color="auto" w:fill="auto"/>
            <w:vAlign w:val="bottom"/>
          </w:tcPr>
          <w:p w14:paraId="7C178B7C" w14:textId="77777777" w:rsidR="00A15369" w:rsidRPr="00BE35B9" w:rsidRDefault="00A15369" w:rsidP="00A15369">
            <w:pPr>
              <w:pStyle w:val="TT"/>
              <w:spacing w:line="220" w:lineRule="exact"/>
              <w:jc w:val="right"/>
              <w:rPr>
                <w:rFonts w:asciiTheme="minorHAnsi" w:hAnsiTheme="minorHAnsi" w:cs="Arial"/>
                <w:b/>
                <w:bCs/>
                <w:spacing w:val="-2"/>
                <w:sz w:val="17"/>
                <w:szCs w:val="17"/>
                <w:lang w:val="hr-HR"/>
              </w:rPr>
            </w:pPr>
          </w:p>
        </w:tc>
        <w:tc>
          <w:tcPr>
            <w:tcW w:w="576" w:type="pct"/>
            <w:shd w:val="clear" w:color="auto" w:fill="auto"/>
            <w:vAlign w:val="bottom"/>
          </w:tcPr>
          <w:p w14:paraId="2E4EFC20" w14:textId="77777777" w:rsidR="00A15369" w:rsidRPr="00BE35B9" w:rsidRDefault="00A15369" w:rsidP="00A15369">
            <w:pPr>
              <w:pStyle w:val="TT"/>
              <w:spacing w:line="220" w:lineRule="exact"/>
              <w:jc w:val="right"/>
              <w:rPr>
                <w:rFonts w:asciiTheme="minorHAnsi" w:hAnsiTheme="minorHAnsi" w:cs="Arial"/>
                <w:b/>
                <w:bCs/>
                <w:spacing w:val="-2"/>
                <w:sz w:val="17"/>
                <w:szCs w:val="17"/>
                <w:lang w:val="hr-HR"/>
              </w:rPr>
            </w:pPr>
          </w:p>
        </w:tc>
        <w:tc>
          <w:tcPr>
            <w:tcW w:w="576" w:type="pct"/>
            <w:shd w:val="clear" w:color="auto" w:fill="auto"/>
            <w:vAlign w:val="bottom"/>
          </w:tcPr>
          <w:p w14:paraId="272B16A4" w14:textId="77777777" w:rsidR="00A15369" w:rsidRPr="00BE35B9" w:rsidRDefault="00A15369" w:rsidP="00A15369">
            <w:pPr>
              <w:pStyle w:val="TT"/>
              <w:spacing w:line="220" w:lineRule="exact"/>
              <w:jc w:val="right"/>
              <w:rPr>
                <w:rFonts w:asciiTheme="minorHAnsi" w:hAnsiTheme="minorHAnsi" w:cs="Arial"/>
                <w:b/>
                <w:bCs/>
                <w:spacing w:val="-2"/>
                <w:sz w:val="17"/>
                <w:szCs w:val="17"/>
                <w:lang w:val="hr-HR"/>
              </w:rPr>
            </w:pPr>
          </w:p>
        </w:tc>
        <w:tc>
          <w:tcPr>
            <w:tcW w:w="575" w:type="pct"/>
            <w:shd w:val="clear" w:color="auto" w:fill="auto"/>
            <w:vAlign w:val="bottom"/>
          </w:tcPr>
          <w:p w14:paraId="3B106234" w14:textId="77777777" w:rsidR="00A15369" w:rsidRPr="00BE35B9" w:rsidRDefault="00A15369" w:rsidP="00A15369">
            <w:pPr>
              <w:pStyle w:val="TT"/>
              <w:spacing w:line="220" w:lineRule="exact"/>
              <w:jc w:val="right"/>
              <w:rPr>
                <w:rFonts w:asciiTheme="minorHAnsi" w:hAnsiTheme="minorHAnsi" w:cs="Arial"/>
                <w:b/>
                <w:bCs/>
                <w:spacing w:val="-2"/>
                <w:sz w:val="17"/>
                <w:szCs w:val="17"/>
                <w:lang w:val="hr-HR"/>
              </w:rPr>
            </w:pPr>
          </w:p>
        </w:tc>
        <w:tc>
          <w:tcPr>
            <w:tcW w:w="577" w:type="pct"/>
            <w:shd w:val="clear" w:color="auto" w:fill="auto"/>
            <w:vAlign w:val="bottom"/>
          </w:tcPr>
          <w:p w14:paraId="7E942972" w14:textId="77777777" w:rsidR="00A15369" w:rsidRPr="00BE35B9" w:rsidRDefault="00A15369" w:rsidP="00A15369">
            <w:pPr>
              <w:pStyle w:val="TT"/>
              <w:spacing w:line="220" w:lineRule="exact"/>
              <w:jc w:val="right"/>
              <w:rPr>
                <w:rFonts w:asciiTheme="minorHAnsi" w:hAnsiTheme="minorHAnsi" w:cs="Arial"/>
                <w:b/>
                <w:bCs/>
                <w:spacing w:val="-2"/>
                <w:sz w:val="17"/>
                <w:szCs w:val="17"/>
                <w:lang w:val="hr-HR"/>
              </w:rPr>
            </w:pPr>
          </w:p>
        </w:tc>
        <w:tc>
          <w:tcPr>
            <w:tcW w:w="575" w:type="pct"/>
            <w:shd w:val="clear" w:color="auto" w:fill="auto"/>
            <w:vAlign w:val="bottom"/>
          </w:tcPr>
          <w:p w14:paraId="15070256" w14:textId="77777777" w:rsidR="00A15369" w:rsidRPr="00BE35B9" w:rsidRDefault="00A15369" w:rsidP="00A15369">
            <w:pPr>
              <w:pStyle w:val="TT"/>
              <w:spacing w:line="220" w:lineRule="exact"/>
              <w:jc w:val="right"/>
              <w:rPr>
                <w:rFonts w:asciiTheme="minorHAnsi" w:hAnsiTheme="minorHAnsi" w:cs="Arial"/>
                <w:b/>
                <w:bCs/>
                <w:spacing w:val="-2"/>
                <w:sz w:val="17"/>
                <w:szCs w:val="17"/>
                <w:lang w:val="hr-HR"/>
              </w:rPr>
            </w:pPr>
          </w:p>
        </w:tc>
      </w:tr>
      <w:tr w:rsidR="00A15369" w:rsidRPr="00BE35B9" w14:paraId="672DD74B" w14:textId="77777777" w:rsidTr="00312975">
        <w:trPr>
          <w:trHeight w:val="235"/>
        </w:trPr>
        <w:tc>
          <w:tcPr>
            <w:tcW w:w="1545" w:type="pct"/>
            <w:vAlign w:val="bottom"/>
          </w:tcPr>
          <w:p w14:paraId="6F925368" w14:textId="77777777" w:rsidR="00A15369" w:rsidRPr="00BE35B9" w:rsidRDefault="00A15369" w:rsidP="00A15369">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Novčana sredstva i računi kod banaka</w:t>
            </w:r>
          </w:p>
        </w:tc>
        <w:tc>
          <w:tcPr>
            <w:tcW w:w="576" w:type="pct"/>
            <w:tcBorders>
              <w:top w:val="nil"/>
              <w:left w:val="nil"/>
              <w:bottom w:val="nil"/>
              <w:right w:val="nil"/>
            </w:tcBorders>
            <w:shd w:val="clear" w:color="auto" w:fill="auto"/>
            <w:vAlign w:val="bottom"/>
          </w:tcPr>
          <w:p w14:paraId="5B96A95A" w14:textId="7E3C0238"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1.681.291</w:t>
            </w:r>
          </w:p>
        </w:tc>
        <w:tc>
          <w:tcPr>
            <w:tcW w:w="576" w:type="pct"/>
            <w:tcBorders>
              <w:top w:val="nil"/>
              <w:left w:val="nil"/>
              <w:bottom w:val="nil"/>
              <w:right w:val="nil"/>
            </w:tcBorders>
            <w:shd w:val="clear" w:color="auto" w:fill="auto"/>
            <w:vAlign w:val="bottom"/>
          </w:tcPr>
          <w:p w14:paraId="3DEBC32D" w14:textId="5F2E0AC3"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w:t>
            </w:r>
          </w:p>
        </w:tc>
        <w:tc>
          <w:tcPr>
            <w:tcW w:w="576" w:type="pct"/>
            <w:tcBorders>
              <w:top w:val="nil"/>
              <w:left w:val="nil"/>
              <w:bottom w:val="nil"/>
              <w:right w:val="nil"/>
            </w:tcBorders>
            <w:shd w:val="clear" w:color="auto" w:fill="auto"/>
            <w:vAlign w:val="bottom"/>
          </w:tcPr>
          <w:p w14:paraId="18AB7B41" w14:textId="045FD4C1"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w:t>
            </w:r>
          </w:p>
        </w:tc>
        <w:tc>
          <w:tcPr>
            <w:tcW w:w="575" w:type="pct"/>
            <w:tcBorders>
              <w:top w:val="nil"/>
              <w:left w:val="nil"/>
              <w:bottom w:val="nil"/>
              <w:right w:val="nil"/>
            </w:tcBorders>
            <w:shd w:val="clear" w:color="auto" w:fill="auto"/>
            <w:vAlign w:val="bottom"/>
          </w:tcPr>
          <w:p w14:paraId="05A4214B" w14:textId="6B719187"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w:t>
            </w:r>
          </w:p>
        </w:tc>
        <w:tc>
          <w:tcPr>
            <w:tcW w:w="577" w:type="pct"/>
            <w:tcBorders>
              <w:top w:val="nil"/>
              <w:left w:val="nil"/>
              <w:bottom w:val="nil"/>
              <w:right w:val="nil"/>
            </w:tcBorders>
            <w:shd w:val="clear" w:color="auto" w:fill="auto"/>
            <w:vAlign w:val="bottom"/>
          </w:tcPr>
          <w:p w14:paraId="049DE1F6" w14:textId="7EE8E8B1"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w:t>
            </w:r>
          </w:p>
        </w:tc>
        <w:tc>
          <w:tcPr>
            <w:tcW w:w="575" w:type="pct"/>
            <w:tcBorders>
              <w:top w:val="nil"/>
              <w:left w:val="nil"/>
              <w:bottom w:val="nil"/>
              <w:right w:val="nil"/>
            </w:tcBorders>
            <w:shd w:val="clear" w:color="auto" w:fill="auto"/>
            <w:vAlign w:val="bottom"/>
          </w:tcPr>
          <w:p w14:paraId="37F2582F" w14:textId="4833C9DB"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1.681.291</w:t>
            </w:r>
          </w:p>
        </w:tc>
      </w:tr>
      <w:tr w:rsidR="00A15369" w:rsidRPr="00BE35B9" w14:paraId="0470907F" w14:textId="77777777" w:rsidTr="00312975">
        <w:trPr>
          <w:trHeight w:val="235"/>
        </w:trPr>
        <w:tc>
          <w:tcPr>
            <w:tcW w:w="1545" w:type="pct"/>
            <w:vAlign w:val="bottom"/>
          </w:tcPr>
          <w:p w14:paraId="64A93861" w14:textId="77777777" w:rsidR="00A15369" w:rsidRPr="00BE35B9" w:rsidRDefault="00A15369" w:rsidP="00A15369">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Depoziti kod drugih banaka</w:t>
            </w:r>
          </w:p>
        </w:tc>
        <w:tc>
          <w:tcPr>
            <w:tcW w:w="576" w:type="pct"/>
            <w:tcBorders>
              <w:top w:val="nil"/>
              <w:left w:val="nil"/>
              <w:bottom w:val="nil"/>
              <w:right w:val="nil"/>
            </w:tcBorders>
            <w:shd w:val="clear" w:color="auto" w:fill="auto"/>
            <w:vAlign w:val="bottom"/>
          </w:tcPr>
          <w:p w14:paraId="4AE4BCCD" w14:textId="05D3C4A2"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1.548</w:t>
            </w:r>
          </w:p>
        </w:tc>
        <w:tc>
          <w:tcPr>
            <w:tcW w:w="576" w:type="pct"/>
            <w:tcBorders>
              <w:top w:val="nil"/>
              <w:left w:val="nil"/>
              <w:bottom w:val="nil"/>
              <w:right w:val="nil"/>
            </w:tcBorders>
            <w:shd w:val="clear" w:color="auto" w:fill="auto"/>
            <w:vAlign w:val="bottom"/>
          </w:tcPr>
          <w:p w14:paraId="442BDCF7" w14:textId="282B27CF"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w:t>
            </w:r>
          </w:p>
        </w:tc>
        <w:tc>
          <w:tcPr>
            <w:tcW w:w="576" w:type="pct"/>
            <w:tcBorders>
              <w:top w:val="nil"/>
              <w:left w:val="nil"/>
              <w:bottom w:val="nil"/>
              <w:right w:val="nil"/>
            </w:tcBorders>
            <w:shd w:val="clear" w:color="auto" w:fill="auto"/>
            <w:vAlign w:val="bottom"/>
          </w:tcPr>
          <w:p w14:paraId="61C8B70F" w14:textId="1AA30971"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w:t>
            </w:r>
          </w:p>
        </w:tc>
        <w:tc>
          <w:tcPr>
            <w:tcW w:w="575" w:type="pct"/>
            <w:tcBorders>
              <w:top w:val="nil"/>
              <w:left w:val="nil"/>
              <w:bottom w:val="nil"/>
              <w:right w:val="nil"/>
            </w:tcBorders>
            <w:shd w:val="clear" w:color="auto" w:fill="auto"/>
            <w:vAlign w:val="bottom"/>
          </w:tcPr>
          <w:p w14:paraId="6C23B7A7" w14:textId="7BADF456"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w:t>
            </w:r>
          </w:p>
        </w:tc>
        <w:tc>
          <w:tcPr>
            <w:tcW w:w="577" w:type="pct"/>
            <w:tcBorders>
              <w:top w:val="nil"/>
              <w:left w:val="nil"/>
              <w:bottom w:val="nil"/>
              <w:right w:val="nil"/>
            </w:tcBorders>
            <w:shd w:val="clear" w:color="auto" w:fill="auto"/>
            <w:vAlign w:val="bottom"/>
          </w:tcPr>
          <w:p w14:paraId="31496F84" w14:textId="5B838199"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w:t>
            </w:r>
          </w:p>
        </w:tc>
        <w:tc>
          <w:tcPr>
            <w:tcW w:w="575" w:type="pct"/>
            <w:tcBorders>
              <w:top w:val="nil"/>
              <w:left w:val="nil"/>
              <w:bottom w:val="nil"/>
              <w:right w:val="nil"/>
            </w:tcBorders>
            <w:shd w:val="clear" w:color="auto" w:fill="auto"/>
            <w:vAlign w:val="bottom"/>
          </w:tcPr>
          <w:p w14:paraId="6947D984" w14:textId="5F0FBC3F"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1.548</w:t>
            </w:r>
          </w:p>
        </w:tc>
      </w:tr>
      <w:tr w:rsidR="00A15369" w:rsidRPr="00BE35B9" w14:paraId="230BA6C0" w14:textId="77777777" w:rsidTr="00312975">
        <w:trPr>
          <w:trHeight w:val="247"/>
        </w:trPr>
        <w:tc>
          <w:tcPr>
            <w:tcW w:w="1545" w:type="pct"/>
            <w:vAlign w:val="bottom"/>
          </w:tcPr>
          <w:p w14:paraId="6D640F0F" w14:textId="77777777" w:rsidR="00A15369" w:rsidRPr="00BE35B9" w:rsidRDefault="00A15369" w:rsidP="00A15369">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 xml:space="preserve">Krediti </w:t>
            </w:r>
            <w:r>
              <w:rPr>
                <w:rFonts w:asciiTheme="minorHAnsi" w:hAnsiTheme="minorHAnsi" w:cs="Arial"/>
                <w:spacing w:val="-2"/>
                <w:sz w:val="17"/>
                <w:szCs w:val="17"/>
                <w:lang w:val="hr-HR"/>
              </w:rPr>
              <w:t>financijskim institucijama</w:t>
            </w:r>
            <w:r w:rsidRPr="00BE35B9">
              <w:rPr>
                <w:rFonts w:asciiTheme="minorHAnsi" w:hAnsiTheme="minorHAnsi" w:cs="Arial"/>
                <w:spacing w:val="-2"/>
                <w:sz w:val="17"/>
                <w:szCs w:val="17"/>
                <w:lang w:val="hr-HR"/>
              </w:rPr>
              <w:t>*</w:t>
            </w:r>
          </w:p>
        </w:tc>
        <w:tc>
          <w:tcPr>
            <w:tcW w:w="576" w:type="pct"/>
            <w:tcBorders>
              <w:top w:val="nil"/>
              <w:left w:val="nil"/>
              <w:bottom w:val="nil"/>
              <w:right w:val="nil"/>
            </w:tcBorders>
            <w:shd w:val="clear" w:color="auto" w:fill="auto"/>
            <w:vAlign w:val="bottom"/>
          </w:tcPr>
          <w:p w14:paraId="32A291C2" w14:textId="79B5ABC7"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436.645</w:t>
            </w:r>
          </w:p>
        </w:tc>
        <w:tc>
          <w:tcPr>
            <w:tcW w:w="576" w:type="pct"/>
            <w:tcBorders>
              <w:top w:val="nil"/>
              <w:left w:val="nil"/>
              <w:bottom w:val="nil"/>
              <w:right w:val="nil"/>
            </w:tcBorders>
            <w:shd w:val="clear" w:color="auto" w:fill="auto"/>
            <w:vAlign w:val="bottom"/>
          </w:tcPr>
          <w:p w14:paraId="21BE9B1E" w14:textId="498BEAE7"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522.487</w:t>
            </w:r>
          </w:p>
        </w:tc>
        <w:tc>
          <w:tcPr>
            <w:tcW w:w="576" w:type="pct"/>
            <w:tcBorders>
              <w:top w:val="nil"/>
              <w:left w:val="nil"/>
              <w:bottom w:val="nil"/>
              <w:right w:val="nil"/>
            </w:tcBorders>
            <w:shd w:val="clear" w:color="auto" w:fill="auto"/>
            <w:vAlign w:val="bottom"/>
          </w:tcPr>
          <w:p w14:paraId="285186FF" w14:textId="17BF7244"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1.444.349</w:t>
            </w:r>
          </w:p>
        </w:tc>
        <w:tc>
          <w:tcPr>
            <w:tcW w:w="575" w:type="pct"/>
            <w:tcBorders>
              <w:top w:val="nil"/>
              <w:left w:val="nil"/>
              <w:bottom w:val="nil"/>
              <w:right w:val="nil"/>
            </w:tcBorders>
            <w:shd w:val="clear" w:color="auto" w:fill="auto"/>
            <w:vAlign w:val="bottom"/>
          </w:tcPr>
          <w:p w14:paraId="5AB4A7D9" w14:textId="268F6615"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3.032.733</w:t>
            </w:r>
          </w:p>
        </w:tc>
        <w:tc>
          <w:tcPr>
            <w:tcW w:w="577" w:type="pct"/>
            <w:tcBorders>
              <w:top w:val="nil"/>
              <w:left w:val="nil"/>
              <w:bottom w:val="nil"/>
              <w:right w:val="nil"/>
            </w:tcBorders>
            <w:shd w:val="clear" w:color="auto" w:fill="auto"/>
            <w:vAlign w:val="bottom"/>
          </w:tcPr>
          <w:p w14:paraId="5F98070C" w14:textId="664C0320"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5.877.288</w:t>
            </w:r>
          </w:p>
        </w:tc>
        <w:tc>
          <w:tcPr>
            <w:tcW w:w="575" w:type="pct"/>
            <w:tcBorders>
              <w:top w:val="nil"/>
              <w:left w:val="nil"/>
              <w:bottom w:val="nil"/>
              <w:right w:val="nil"/>
            </w:tcBorders>
            <w:shd w:val="clear" w:color="auto" w:fill="auto"/>
            <w:vAlign w:val="bottom"/>
          </w:tcPr>
          <w:p w14:paraId="665341AE" w14:textId="0D20D81E"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11.313.502</w:t>
            </w:r>
          </w:p>
        </w:tc>
      </w:tr>
      <w:tr w:rsidR="00A15369" w:rsidRPr="00BE35B9" w14:paraId="39485B2B" w14:textId="77777777" w:rsidTr="00312975">
        <w:trPr>
          <w:trHeight w:val="235"/>
        </w:trPr>
        <w:tc>
          <w:tcPr>
            <w:tcW w:w="1545" w:type="pct"/>
            <w:vAlign w:val="bottom"/>
          </w:tcPr>
          <w:p w14:paraId="1108D4DE" w14:textId="77777777" w:rsidR="00A15369" w:rsidRPr="00BE35B9" w:rsidRDefault="00A15369" w:rsidP="00A15369">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Krediti ostalim korisnicima</w:t>
            </w:r>
          </w:p>
        </w:tc>
        <w:tc>
          <w:tcPr>
            <w:tcW w:w="576" w:type="pct"/>
            <w:tcBorders>
              <w:top w:val="nil"/>
              <w:left w:val="nil"/>
              <w:bottom w:val="nil"/>
              <w:right w:val="nil"/>
            </w:tcBorders>
            <w:shd w:val="clear" w:color="auto" w:fill="auto"/>
            <w:vAlign w:val="bottom"/>
          </w:tcPr>
          <w:p w14:paraId="1ADAF635" w14:textId="400FA32E"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1.896.842</w:t>
            </w:r>
          </w:p>
        </w:tc>
        <w:tc>
          <w:tcPr>
            <w:tcW w:w="576" w:type="pct"/>
            <w:tcBorders>
              <w:top w:val="nil"/>
              <w:left w:val="nil"/>
              <w:bottom w:val="nil"/>
              <w:right w:val="nil"/>
            </w:tcBorders>
            <w:shd w:val="clear" w:color="auto" w:fill="auto"/>
            <w:vAlign w:val="bottom"/>
          </w:tcPr>
          <w:p w14:paraId="5D241383" w14:textId="32F402F7"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164.030</w:t>
            </w:r>
          </w:p>
        </w:tc>
        <w:tc>
          <w:tcPr>
            <w:tcW w:w="576" w:type="pct"/>
            <w:tcBorders>
              <w:top w:val="nil"/>
              <w:left w:val="nil"/>
              <w:bottom w:val="nil"/>
              <w:right w:val="nil"/>
            </w:tcBorders>
            <w:shd w:val="clear" w:color="auto" w:fill="auto"/>
            <w:vAlign w:val="bottom"/>
          </w:tcPr>
          <w:p w14:paraId="4C0D74A3" w14:textId="56227CBE"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882.615</w:t>
            </w:r>
          </w:p>
        </w:tc>
        <w:tc>
          <w:tcPr>
            <w:tcW w:w="575" w:type="pct"/>
            <w:tcBorders>
              <w:top w:val="nil"/>
              <w:left w:val="nil"/>
              <w:bottom w:val="nil"/>
              <w:right w:val="nil"/>
            </w:tcBorders>
            <w:shd w:val="clear" w:color="auto" w:fill="auto"/>
            <w:vAlign w:val="bottom"/>
          </w:tcPr>
          <w:p w14:paraId="3B406835" w14:textId="04187C03"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1.855.455</w:t>
            </w:r>
          </w:p>
        </w:tc>
        <w:tc>
          <w:tcPr>
            <w:tcW w:w="577" w:type="pct"/>
            <w:tcBorders>
              <w:top w:val="nil"/>
              <w:left w:val="nil"/>
              <w:bottom w:val="nil"/>
              <w:right w:val="nil"/>
            </w:tcBorders>
            <w:shd w:val="clear" w:color="auto" w:fill="auto"/>
            <w:vAlign w:val="bottom"/>
          </w:tcPr>
          <w:p w14:paraId="30EA8EAC" w14:textId="3A5A43A6"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6.848.172</w:t>
            </w:r>
          </w:p>
        </w:tc>
        <w:tc>
          <w:tcPr>
            <w:tcW w:w="575" w:type="pct"/>
            <w:tcBorders>
              <w:top w:val="nil"/>
              <w:left w:val="nil"/>
              <w:bottom w:val="nil"/>
              <w:right w:val="nil"/>
            </w:tcBorders>
            <w:shd w:val="clear" w:color="auto" w:fill="auto"/>
            <w:vAlign w:val="bottom"/>
          </w:tcPr>
          <w:p w14:paraId="31703906" w14:textId="33E218DD"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11.647.114</w:t>
            </w:r>
          </w:p>
        </w:tc>
      </w:tr>
      <w:tr w:rsidR="00A15369" w:rsidRPr="00BE35B9" w14:paraId="0BE3E452" w14:textId="77777777" w:rsidTr="00312975">
        <w:trPr>
          <w:trHeight w:val="409"/>
        </w:trPr>
        <w:tc>
          <w:tcPr>
            <w:tcW w:w="1545" w:type="pct"/>
            <w:vAlign w:val="bottom"/>
          </w:tcPr>
          <w:p w14:paraId="27DE5F1C" w14:textId="77777777" w:rsidR="00A15369" w:rsidRPr="00BE35B9" w:rsidRDefault="00A15369" w:rsidP="00A15369">
            <w:pPr>
              <w:pStyle w:val="TT"/>
              <w:spacing w:line="240" w:lineRule="auto"/>
              <w:rPr>
                <w:rFonts w:asciiTheme="minorHAnsi" w:hAnsiTheme="minorHAnsi" w:cs="Arial"/>
                <w:spacing w:val="-2"/>
                <w:sz w:val="17"/>
                <w:szCs w:val="17"/>
                <w:lang w:val="hr-HR"/>
              </w:rPr>
            </w:pPr>
            <w:r w:rsidRPr="00BE35B9">
              <w:rPr>
                <w:rFonts w:asciiTheme="minorHAnsi" w:hAnsiTheme="minorHAnsi" w:cs="Arial"/>
                <w:spacing w:val="-2"/>
                <w:sz w:val="17"/>
                <w:szCs w:val="17"/>
                <w:lang w:val="hr-HR"/>
              </w:rPr>
              <w:t>Financijska imovina po fer vrijednosti kroz izvještaj o dobiti i gubitku</w:t>
            </w:r>
          </w:p>
        </w:tc>
        <w:tc>
          <w:tcPr>
            <w:tcW w:w="576" w:type="pct"/>
            <w:tcBorders>
              <w:top w:val="nil"/>
              <w:left w:val="nil"/>
              <w:bottom w:val="nil"/>
              <w:right w:val="nil"/>
            </w:tcBorders>
            <w:shd w:val="clear" w:color="auto" w:fill="auto"/>
            <w:vAlign w:val="bottom"/>
          </w:tcPr>
          <w:p w14:paraId="18F36A86" w14:textId="03E09CCC" w:rsidR="00A15369" w:rsidRPr="007E1860" w:rsidRDefault="00A15369" w:rsidP="00A15369">
            <w:pPr>
              <w:spacing w:after="0" w:line="240" w:lineRule="auto"/>
              <w:jc w:val="right"/>
              <w:outlineLvl w:val="0"/>
              <w:rPr>
                <w:rFonts w:cs="Arial"/>
                <w:bCs/>
                <w:color w:val="000000"/>
                <w:sz w:val="18"/>
                <w:szCs w:val="18"/>
                <w:lang w:eastAsia="hr-HR"/>
              </w:rPr>
            </w:pPr>
            <w:r w:rsidRPr="00564978">
              <w:rPr>
                <w:rFonts w:ascii="Calibri" w:hAnsi="Calibri"/>
                <w:color w:val="000000"/>
                <w:sz w:val="18"/>
                <w:szCs w:val="18"/>
              </w:rPr>
              <w:t>284</w:t>
            </w:r>
          </w:p>
        </w:tc>
        <w:tc>
          <w:tcPr>
            <w:tcW w:w="576" w:type="pct"/>
            <w:tcBorders>
              <w:top w:val="nil"/>
              <w:left w:val="nil"/>
              <w:bottom w:val="nil"/>
              <w:right w:val="nil"/>
            </w:tcBorders>
            <w:shd w:val="clear" w:color="auto" w:fill="auto"/>
            <w:vAlign w:val="bottom"/>
          </w:tcPr>
          <w:p w14:paraId="4D4A56BE" w14:textId="5AEBEEA9" w:rsidR="00A15369" w:rsidRPr="007E1860" w:rsidRDefault="00A15369" w:rsidP="00A15369">
            <w:pPr>
              <w:spacing w:after="0" w:line="240" w:lineRule="auto"/>
              <w:jc w:val="right"/>
              <w:outlineLvl w:val="0"/>
              <w:rPr>
                <w:rFonts w:cs="Arial"/>
                <w:bCs/>
                <w:color w:val="000000"/>
                <w:sz w:val="18"/>
                <w:szCs w:val="18"/>
                <w:lang w:eastAsia="hr-HR"/>
              </w:rPr>
            </w:pPr>
            <w:r w:rsidRPr="00564978">
              <w:rPr>
                <w:rFonts w:ascii="Calibri" w:hAnsi="Calibri"/>
                <w:color w:val="000000"/>
                <w:sz w:val="18"/>
                <w:szCs w:val="18"/>
              </w:rPr>
              <w:t>-</w:t>
            </w:r>
          </w:p>
        </w:tc>
        <w:tc>
          <w:tcPr>
            <w:tcW w:w="576" w:type="pct"/>
            <w:tcBorders>
              <w:top w:val="nil"/>
              <w:left w:val="nil"/>
              <w:bottom w:val="nil"/>
              <w:right w:val="nil"/>
            </w:tcBorders>
            <w:shd w:val="clear" w:color="auto" w:fill="auto"/>
            <w:vAlign w:val="bottom"/>
          </w:tcPr>
          <w:p w14:paraId="37EE9C7A" w14:textId="282FBE36" w:rsidR="00A15369" w:rsidRPr="007E1860" w:rsidRDefault="00A15369" w:rsidP="00A15369">
            <w:pPr>
              <w:spacing w:after="0" w:line="240" w:lineRule="auto"/>
              <w:jc w:val="right"/>
              <w:outlineLvl w:val="0"/>
              <w:rPr>
                <w:rFonts w:cs="Arial"/>
                <w:bCs/>
                <w:color w:val="000000"/>
                <w:sz w:val="18"/>
                <w:szCs w:val="18"/>
                <w:lang w:eastAsia="hr-HR"/>
              </w:rPr>
            </w:pPr>
            <w:r w:rsidRPr="00564978">
              <w:rPr>
                <w:rFonts w:ascii="Calibri" w:hAnsi="Calibri"/>
                <w:color w:val="000000"/>
                <w:sz w:val="18"/>
                <w:szCs w:val="18"/>
              </w:rPr>
              <w:t>-</w:t>
            </w:r>
          </w:p>
        </w:tc>
        <w:tc>
          <w:tcPr>
            <w:tcW w:w="575" w:type="pct"/>
            <w:tcBorders>
              <w:top w:val="nil"/>
              <w:left w:val="nil"/>
              <w:bottom w:val="nil"/>
              <w:right w:val="nil"/>
            </w:tcBorders>
            <w:shd w:val="clear" w:color="auto" w:fill="auto"/>
            <w:vAlign w:val="bottom"/>
          </w:tcPr>
          <w:p w14:paraId="57F5CBE9" w14:textId="4AA0D7E9" w:rsidR="00A15369" w:rsidRPr="007E1860" w:rsidRDefault="00A15369" w:rsidP="00A15369">
            <w:pPr>
              <w:spacing w:after="0" w:line="240" w:lineRule="auto"/>
              <w:jc w:val="right"/>
              <w:outlineLvl w:val="0"/>
              <w:rPr>
                <w:rFonts w:cs="Arial"/>
                <w:bCs/>
                <w:color w:val="000000"/>
                <w:sz w:val="18"/>
                <w:szCs w:val="18"/>
                <w:lang w:eastAsia="hr-HR"/>
              </w:rPr>
            </w:pPr>
            <w:r w:rsidRPr="00564978">
              <w:rPr>
                <w:rFonts w:ascii="Calibri" w:hAnsi="Calibri"/>
                <w:color w:val="000000"/>
                <w:sz w:val="18"/>
                <w:szCs w:val="18"/>
              </w:rPr>
              <w:t>-</w:t>
            </w:r>
          </w:p>
        </w:tc>
        <w:tc>
          <w:tcPr>
            <w:tcW w:w="577" w:type="pct"/>
            <w:tcBorders>
              <w:top w:val="nil"/>
              <w:left w:val="nil"/>
              <w:bottom w:val="nil"/>
              <w:right w:val="nil"/>
            </w:tcBorders>
            <w:shd w:val="clear" w:color="auto" w:fill="auto"/>
            <w:vAlign w:val="bottom"/>
          </w:tcPr>
          <w:p w14:paraId="0B9C9073" w14:textId="1787EBA0" w:rsidR="00A15369" w:rsidRPr="007E1860" w:rsidRDefault="00A15369" w:rsidP="00A15369">
            <w:pPr>
              <w:spacing w:after="0" w:line="240" w:lineRule="auto"/>
              <w:jc w:val="right"/>
              <w:outlineLvl w:val="0"/>
              <w:rPr>
                <w:rFonts w:cs="Arial"/>
                <w:bCs/>
                <w:color w:val="000000"/>
                <w:sz w:val="18"/>
                <w:szCs w:val="18"/>
                <w:lang w:eastAsia="hr-HR"/>
              </w:rPr>
            </w:pPr>
            <w:r w:rsidRPr="00564978">
              <w:rPr>
                <w:rFonts w:ascii="Calibri" w:hAnsi="Calibri"/>
                <w:color w:val="000000"/>
                <w:sz w:val="18"/>
                <w:szCs w:val="18"/>
              </w:rPr>
              <w:t>-</w:t>
            </w:r>
          </w:p>
        </w:tc>
        <w:tc>
          <w:tcPr>
            <w:tcW w:w="575" w:type="pct"/>
            <w:tcBorders>
              <w:top w:val="nil"/>
              <w:left w:val="nil"/>
              <w:bottom w:val="nil"/>
              <w:right w:val="nil"/>
            </w:tcBorders>
            <w:shd w:val="clear" w:color="auto" w:fill="auto"/>
            <w:vAlign w:val="bottom"/>
          </w:tcPr>
          <w:p w14:paraId="105E4759" w14:textId="546714C4" w:rsidR="00A15369" w:rsidRPr="007E1860" w:rsidRDefault="00A15369" w:rsidP="00A15369">
            <w:pPr>
              <w:spacing w:after="0" w:line="240" w:lineRule="auto"/>
              <w:jc w:val="right"/>
              <w:outlineLvl w:val="0"/>
              <w:rPr>
                <w:rFonts w:cs="Arial"/>
                <w:bCs/>
                <w:color w:val="000000"/>
                <w:sz w:val="18"/>
                <w:szCs w:val="18"/>
                <w:lang w:eastAsia="hr-HR"/>
              </w:rPr>
            </w:pPr>
            <w:r w:rsidRPr="00564978">
              <w:rPr>
                <w:rFonts w:ascii="Calibri" w:hAnsi="Calibri"/>
                <w:color w:val="000000"/>
                <w:sz w:val="18"/>
                <w:szCs w:val="18"/>
              </w:rPr>
              <w:t>284</w:t>
            </w:r>
          </w:p>
        </w:tc>
      </w:tr>
      <w:tr w:rsidR="00A15369" w:rsidRPr="00BE35B9" w14:paraId="63F712D5" w14:textId="77777777" w:rsidTr="00312975">
        <w:trPr>
          <w:trHeight w:hRule="exact" w:val="227"/>
        </w:trPr>
        <w:tc>
          <w:tcPr>
            <w:tcW w:w="1545" w:type="pct"/>
            <w:vAlign w:val="bottom"/>
          </w:tcPr>
          <w:p w14:paraId="40BAE01A" w14:textId="77777777" w:rsidR="00A15369" w:rsidRPr="00BE35B9" w:rsidRDefault="00A15369" w:rsidP="00A15369">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Imovina raspoloživa za prodaju</w:t>
            </w:r>
          </w:p>
        </w:tc>
        <w:tc>
          <w:tcPr>
            <w:tcW w:w="576" w:type="pct"/>
            <w:tcBorders>
              <w:top w:val="nil"/>
              <w:left w:val="nil"/>
              <w:bottom w:val="nil"/>
              <w:right w:val="nil"/>
            </w:tcBorders>
            <w:shd w:val="clear" w:color="auto" w:fill="auto"/>
            <w:vAlign w:val="bottom"/>
          </w:tcPr>
          <w:p w14:paraId="5C3415C4" w14:textId="11949386" w:rsidR="00A15369" w:rsidRPr="007E1860" w:rsidRDefault="00A15369" w:rsidP="00A15369">
            <w:pPr>
              <w:spacing w:after="0" w:line="240" w:lineRule="auto"/>
              <w:jc w:val="right"/>
              <w:outlineLvl w:val="0"/>
              <w:rPr>
                <w:rFonts w:cs="Arial"/>
                <w:bCs/>
                <w:color w:val="000000"/>
                <w:sz w:val="18"/>
                <w:szCs w:val="18"/>
                <w:lang w:eastAsia="hr-HR"/>
              </w:rPr>
            </w:pPr>
            <w:r w:rsidRPr="00564978">
              <w:rPr>
                <w:rFonts w:ascii="Calibri" w:hAnsi="Calibri"/>
                <w:color w:val="000000"/>
                <w:sz w:val="18"/>
                <w:szCs w:val="18"/>
              </w:rPr>
              <w:t>3.083.352</w:t>
            </w:r>
          </w:p>
        </w:tc>
        <w:tc>
          <w:tcPr>
            <w:tcW w:w="576" w:type="pct"/>
            <w:tcBorders>
              <w:top w:val="nil"/>
              <w:left w:val="nil"/>
              <w:bottom w:val="nil"/>
              <w:right w:val="nil"/>
            </w:tcBorders>
            <w:shd w:val="clear" w:color="auto" w:fill="auto"/>
            <w:vAlign w:val="bottom"/>
          </w:tcPr>
          <w:p w14:paraId="5533F59D" w14:textId="0BEC39E0" w:rsidR="00A15369" w:rsidRPr="007E1860" w:rsidRDefault="00A15369" w:rsidP="00A15369">
            <w:pPr>
              <w:spacing w:after="0" w:line="240" w:lineRule="auto"/>
              <w:jc w:val="right"/>
              <w:outlineLvl w:val="0"/>
              <w:rPr>
                <w:rFonts w:cs="Arial"/>
                <w:bCs/>
                <w:color w:val="000000"/>
                <w:sz w:val="18"/>
                <w:szCs w:val="18"/>
                <w:lang w:eastAsia="hr-HR"/>
              </w:rPr>
            </w:pPr>
            <w:r w:rsidRPr="00564978">
              <w:rPr>
                <w:rFonts w:ascii="Calibri" w:hAnsi="Calibri"/>
                <w:color w:val="000000"/>
                <w:sz w:val="18"/>
                <w:szCs w:val="18"/>
              </w:rPr>
              <w:t>13.646</w:t>
            </w:r>
          </w:p>
        </w:tc>
        <w:tc>
          <w:tcPr>
            <w:tcW w:w="576" w:type="pct"/>
            <w:tcBorders>
              <w:top w:val="nil"/>
              <w:left w:val="nil"/>
              <w:bottom w:val="nil"/>
              <w:right w:val="nil"/>
            </w:tcBorders>
            <w:shd w:val="clear" w:color="auto" w:fill="auto"/>
            <w:vAlign w:val="bottom"/>
          </w:tcPr>
          <w:p w14:paraId="45627A13" w14:textId="0074F0B7" w:rsidR="00A15369" w:rsidRPr="007E1860" w:rsidRDefault="00A15369" w:rsidP="00A15369">
            <w:pPr>
              <w:spacing w:after="0" w:line="240" w:lineRule="auto"/>
              <w:jc w:val="right"/>
              <w:outlineLvl w:val="0"/>
              <w:rPr>
                <w:rFonts w:cs="Arial"/>
                <w:bCs/>
                <w:color w:val="000000"/>
                <w:sz w:val="18"/>
                <w:szCs w:val="18"/>
                <w:lang w:eastAsia="hr-HR"/>
              </w:rPr>
            </w:pPr>
            <w:r w:rsidRPr="00564978">
              <w:rPr>
                <w:rFonts w:ascii="Calibri" w:hAnsi="Calibri"/>
                <w:color w:val="000000"/>
                <w:sz w:val="18"/>
                <w:szCs w:val="18"/>
              </w:rPr>
              <w:t>151</w:t>
            </w:r>
          </w:p>
        </w:tc>
        <w:tc>
          <w:tcPr>
            <w:tcW w:w="575" w:type="pct"/>
            <w:tcBorders>
              <w:top w:val="nil"/>
              <w:left w:val="nil"/>
              <w:bottom w:val="nil"/>
              <w:right w:val="nil"/>
            </w:tcBorders>
            <w:shd w:val="clear" w:color="auto" w:fill="auto"/>
            <w:vAlign w:val="bottom"/>
          </w:tcPr>
          <w:p w14:paraId="6DF21646" w14:textId="214341A6" w:rsidR="00A15369" w:rsidRPr="007E1860" w:rsidRDefault="00A15369" w:rsidP="00A15369">
            <w:pPr>
              <w:spacing w:after="0" w:line="240" w:lineRule="auto"/>
              <w:jc w:val="right"/>
              <w:outlineLvl w:val="0"/>
              <w:rPr>
                <w:rFonts w:cs="Arial"/>
                <w:bCs/>
                <w:color w:val="000000"/>
                <w:sz w:val="18"/>
                <w:szCs w:val="18"/>
                <w:lang w:eastAsia="hr-HR"/>
              </w:rPr>
            </w:pPr>
            <w:r w:rsidRPr="00564978">
              <w:rPr>
                <w:rFonts w:ascii="Calibri" w:hAnsi="Calibri"/>
                <w:color w:val="000000"/>
                <w:sz w:val="18"/>
                <w:szCs w:val="18"/>
              </w:rPr>
              <w:t>-</w:t>
            </w:r>
          </w:p>
        </w:tc>
        <w:tc>
          <w:tcPr>
            <w:tcW w:w="577" w:type="pct"/>
            <w:tcBorders>
              <w:top w:val="nil"/>
              <w:left w:val="nil"/>
              <w:bottom w:val="nil"/>
              <w:right w:val="nil"/>
            </w:tcBorders>
            <w:shd w:val="clear" w:color="auto" w:fill="auto"/>
            <w:vAlign w:val="bottom"/>
          </w:tcPr>
          <w:p w14:paraId="7B4D606E" w14:textId="2C3A3461" w:rsidR="00A15369" w:rsidRPr="007E1860" w:rsidRDefault="00A15369" w:rsidP="00A15369">
            <w:pPr>
              <w:spacing w:after="0" w:line="240" w:lineRule="auto"/>
              <w:jc w:val="right"/>
              <w:outlineLvl w:val="0"/>
              <w:rPr>
                <w:rFonts w:cs="Arial"/>
                <w:bCs/>
                <w:color w:val="000000"/>
                <w:sz w:val="18"/>
                <w:szCs w:val="18"/>
                <w:lang w:eastAsia="hr-HR"/>
              </w:rPr>
            </w:pPr>
            <w:r w:rsidRPr="00564978">
              <w:rPr>
                <w:rFonts w:ascii="Calibri" w:hAnsi="Calibri"/>
                <w:color w:val="000000"/>
                <w:sz w:val="18"/>
                <w:szCs w:val="18"/>
              </w:rPr>
              <w:t>-</w:t>
            </w:r>
          </w:p>
        </w:tc>
        <w:tc>
          <w:tcPr>
            <w:tcW w:w="575" w:type="pct"/>
            <w:tcBorders>
              <w:top w:val="nil"/>
              <w:left w:val="nil"/>
              <w:bottom w:val="nil"/>
              <w:right w:val="nil"/>
            </w:tcBorders>
            <w:shd w:val="clear" w:color="auto" w:fill="auto"/>
            <w:vAlign w:val="bottom"/>
          </w:tcPr>
          <w:p w14:paraId="62795678" w14:textId="4FF83F9F" w:rsidR="00A15369" w:rsidRPr="007E1860" w:rsidRDefault="00A15369" w:rsidP="00A15369">
            <w:pPr>
              <w:spacing w:after="0" w:line="240" w:lineRule="auto"/>
              <w:jc w:val="right"/>
              <w:outlineLvl w:val="0"/>
              <w:rPr>
                <w:rFonts w:cs="Arial"/>
                <w:bCs/>
                <w:color w:val="000000"/>
                <w:sz w:val="18"/>
                <w:szCs w:val="18"/>
                <w:lang w:eastAsia="hr-HR"/>
              </w:rPr>
            </w:pPr>
            <w:r w:rsidRPr="00564978">
              <w:rPr>
                <w:rFonts w:ascii="Calibri" w:hAnsi="Calibri"/>
                <w:color w:val="000000"/>
                <w:sz w:val="18"/>
                <w:szCs w:val="18"/>
              </w:rPr>
              <w:t>3.097.149</w:t>
            </w:r>
          </w:p>
        </w:tc>
      </w:tr>
      <w:tr w:rsidR="00A15369" w:rsidRPr="00BE35B9" w14:paraId="261910D1" w14:textId="77777777" w:rsidTr="00312975">
        <w:trPr>
          <w:trHeight w:hRule="exact" w:val="227"/>
        </w:trPr>
        <w:tc>
          <w:tcPr>
            <w:tcW w:w="1545" w:type="pct"/>
            <w:vAlign w:val="bottom"/>
          </w:tcPr>
          <w:p w14:paraId="189A5C09" w14:textId="77777777" w:rsidR="00A15369" w:rsidRPr="00BE35B9" w:rsidRDefault="00A15369" w:rsidP="00A15369">
            <w:pPr>
              <w:pStyle w:val="TT"/>
              <w:spacing w:line="240" w:lineRule="auto"/>
              <w:rPr>
                <w:rFonts w:asciiTheme="minorHAnsi" w:hAnsiTheme="minorHAnsi" w:cs="Arial"/>
                <w:spacing w:val="-2"/>
                <w:sz w:val="17"/>
                <w:szCs w:val="17"/>
                <w:lang w:val="hr-HR"/>
              </w:rPr>
            </w:pPr>
            <w:r w:rsidRPr="00BE35B9">
              <w:rPr>
                <w:rFonts w:asciiTheme="minorHAnsi" w:hAnsiTheme="minorHAnsi" w:cs="Arial"/>
                <w:spacing w:val="-2"/>
                <w:sz w:val="17"/>
                <w:szCs w:val="17"/>
                <w:lang w:val="hr-HR"/>
              </w:rPr>
              <w:t>Imovina koja se drži do dospijeća</w:t>
            </w:r>
          </w:p>
        </w:tc>
        <w:tc>
          <w:tcPr>
            <w:tcW w:w="576" w:type="pct"/>
            <w:tcBorders>
              <w:top w:val="nil"/>
              <w:left w:val="nil"/>
              <w:bottom w:val="nil"/>
              <w:right w:val="nil"/>
            </w:tcBorders>
            <w:shd w:val="clear" w:color="auto" w:fill="auto"/>
            <w:vAlign w:val="bottom"/>
          </w:tcPr>
          <w:p w14:paraId="74C972E6" w14:textId="01AD98CF" w:rsidR="00A15369" w:rsidRPr="007E1860" w:rsidRDefault="00A15369" w:rsidP="00A15369">
            <w:pPr>
              <w:spacing w:after="0" w:line="240" w:lineRule="auto"/>
              <w:jc w:val="right"/>
              <w:outlineLvl w:val="0"/>
              <w:rPr>
                <w:rFonts w:cs="Arial"/>
                <w:bCs/>
                <w:color w:val="000000"/>
                <w:sz w:val="18"/>
                <w:szCs w:val="18"/>
                <w:lang w:eastAsia="hr-HR"/>
              </w:rPr>
            </w:pPr>
            <w:r w:rsidRPr="00564978">
              <w:rPr>
                <w:rFonts w:ascii="Calibri" w:hAnsi="Calibri"/>
                <w:color w:val="000000"/>
                <w:sz w:val="18"/>
                <w:szCs w:val="18"/>
              </w:rPr>
              <w:t>10</w:t>
            </w:r>
          </w:p>
        </w:tc>
        <w:tc>
          <w:tcPr>
            <w:tcW w:w="576" w:type="pct"/>
            <w:tcBorders>
              <w:top w:val="nil"/>
              <w:left w:val="nil"/>
              <w:bottom w:val="nil"/>
              <w:right w:val="nil"/>
            </w:tcBorders>
            <w:shd w:val="clear" w:color="auto" w:fill="auto"/>
            <w:vAlign w:val="bottom"/>
          </w:tcPr>
          <w:p w14:paraId="6F49D325" w14:textId="7BCBF77D" w:rsidR="00A15369" w:rsidRPr="007E1860" w:rsidRDefault="00A15369" w:rsidP="00A15369">
            <w:pPr>
              <w:spacing w:after="0" w:line="240" w:lineRule="auto"/>
              <w:jc w:val="right"/>
              <w:outlineLvl w:val="0"/>
              <w:rPr>
                <w:rFonts w:cs="Arial"/>
                <w:bCs/>
                <w:color w:val="000000"/>
                <w:sz w:val="18"/>
                <w:szCs w:val="18"/>
                <w:lang w:eastAsia="hr-HR"/>
              </w:rPr>
            </w:pPr>
            <w:r w:rsidRPr="00564978">
              <w:rPr>
                <w:rFonts w:ascii="Calibri" w:hAnsi="Calibri"/>
                <w:color w:val="000000"/>
                <w:sz w:val="18"/>
                <w:szCs w:val="18"/>
              </w:rPr>
              <w:t>7</w:t>
            </w:r>
          </w:p>
        </w:tc>
        <w:tc>
          <w:tcPr>
            <w:tcW w:w="576" w:type="pct"/>
            <w:tcBorders>
              <w:top w:val="nil"/>
              <w:left w:val="nil"/>
              <w:bottom w:val="nil"/>
              <w:right w:val="nil"/>
            </w:tcBorders>
            <w:shd w:val="clear" w:color="auto" w:fill="auto"/>
            <w:vAlign w:val="bottom"/>
          </w:tcPr>
          <w:p w14:paraId="7E361A5D" w14:textId="5AE282C0" w:rsidR="00A15369" w:rsidRPr="007E1860" w:rsidRDefault="00A15369" w:rsidP="00A15369">
            <w:pPr>
              <w:spacing w:after="0" w:line="240" w:lineRule="auto"/>
              <w:jc w:val="right"/>
              <w:outlineLvl w:val="0"/>
              <w:rPr>
                <w:rFonts w:cs="Arial"/>
                <w:bCs/>
                <w:color w:val="000000"/>
                <w:sz w:val="18"/>
                <w:szCs w:val="18"/>
                <w:lang w:eastAsia="hr-HR"/>
              </w:rPr>
            </w:pPr>
          </w:p>
        </w:tc>
        <w:tc>
          <w:tcPr>
            <w:tcW w:w="575" w:type="pct"/>
            <w:tcBorders>
              <w:top w:val="nil"/>
              <w:left w:val="nil"/>
              <w:bottom w:val="nil"/>
              <w:right w:val="nil"/>
            </w:tcBorders>
            <w:shd w:val="clear" w:color="auto" w:fill="auto"/>
            <w:vAlign w:val="bottom"/>
          </w:tcPr>
          <w:p w14:paraId="7C9E5F96" w14:textId="3EBEF8C2" w:rsidR="00A15369" w:rsidRPr="007E1860" w:rsidRDefault="00A15369" w:rsidP="00A15369">
            <w:pPr>
              <w:spacing w:after="0" w:line="240" w:lineRule="auto"/>
              <w:jc w:val="right"/>
              <w:outlineLvl w:val="0"/>
              <w:rPr>
                <w:rFonts w:cs="Arial"/>
                <w:bCs/>
                <w:color w:val="000000"/>
                <w:sz w:val="18"/>
                <w:szCs w:val="18"/>
                <w:lang w:eastAsia="hr-HR"/>
              </w:rPr>
            </w:pPr>
            <w:r w:rsidRPr="00564978">
              <w:rPr>
                <w:rFonts w:ascii="Calibri" w:hAnsi="Calibri"/>
                <w:color w:val="000000"/>
                <w:sz w:val="18"/>
                <w:szCs w:val="18"/>
              </w:rPr>
              <w:t>-</w:t>
            </w:r>
          </w:p>
        </w:tc>
        <w:tc>
          <w:tcPr>
            <w:tcW w:w="577" w:type="pct"/>
            <w:tcBorders>
              <w:top w:val="nil"/>
              <w:left w:val="nil"/>
              <w:bottom w:val="nil"/>
              <w:right w:val="nil"/>
            </w:tcBorders>
            <w:shd w:val="clear" w:color="auto" w:fill="auto"/>
            <w:vAlign w:val="bottom"/>
          </w:tcPr>
          <w:p w14:paraId="62C5FCCB" w14:textId="3F5A11BA" w:rsidR="00A15369" w:rsidRPr="007E1860" w:rsidRDefault="00A15369" w:rsidP="00A15369">
            <w:pPr>
              <w:spacing w:after="0" w:line="240" w:lineRule="auto"/>
              <w:jc w:val="right"/>
              <w:outlineLvl w:val="0"/>
              <w:rPr>
                <w:rFonts w:cs="Arial"/>
                <w:bCs/>
                <w:color w:val="000000"/>
                <w:sz w:val="18"/>
                <w:szCs w:val="18"/>
                <w:lang w:eastAsia="hr-HR"/>
              </w:rPr>
            </w:pPr>
            <w:r w:rsidRPr="00564978">
              <w:rPr>
                <w:rFonts w:ascii="Calibri" w:hAnsi="Calibri"/>
                <w:color w:val="000000"/>
                <w:sz w:val="18"/>
                <w:szCs w:val="18"/>
              </w:rPr>
              <w:t>1.373</w:t>
            </w:r>
          </w:p>
        </w:tc>
        <w:tc>
          <w:tcPr>
            <w:tcW w:w="575" w:type="pct"/>
            <w:tcBorders>
              <w:top w:val="nil"/>
              <w:left w:val="nil"/>
              <w:bottom w:val="nil"/>
              <w:right w:val="nil"/>
            </w:tcBorders>
            <w:shd w:val="clear" w:color="auto" w:fill="auto"/>
            <w:vAlign w:val="bottom"/>
          </w:tcPr>
          <w:p w14:paraId="607FE8F6" w14:textId="7D66F1F2" w:rsidR="00A15369" w:rsidRPr="007E1860" w:rsidRDefault="00A15369" w:rsidP="00A15369">
            <w:pPr>
              <w:spacing w:after="0" w:line="240" w:lineRule="auto"/>
              <w:jc w:val="right"/>
              <w:outlineLvl w:val="0"/>
              <w:rPr>
                <w:rFonts w:cs="Arial"/>
                <w:bCs/>
                <w:color w:val="000000"/>
                <w:sz w:val="18"/>
                <w:szCs w:val="18"/>
                <w:lang w:eastAsia="hr-HR"/>
              </w:rPr>
            </w:pPr>
            <w:r w:rsidRPr="00564978">
              <w:rPr>
                <w:rFonts w:ascii="Calibri" w:hAnsi="Calibri"/>
                <w:color w:val="000000"/>
                <w:sz w:val="18"/>
                <w:szCs w:val="18"/>
              </w:rPr>
              <w:t>1.390</w:t>
            </w:r>
          </w:p>
        </w:tc>
      </w:tr>
      <w:tr w:rsidR="00A15369" w:rsidRPr="00BE35B9" w14:paraId="03648FA8" w14:textId="77777777" w:rsidTr="00312975">
        <w:trPr>
          <w:trHeight w:val="211"/>
        </w:trPr>
        <w:tc>
          <w:tcPr>
            <w:tcW w:w="1545" w:type="pct"/>
            <w:vAlign w:val="bottom"/>
          </w:tcPr>
          <w:p w14:paraId="2AA6E789" w14:textId="77777777" w:rsidR="00A15369" w:rsidRPr="00BE35B9" w:rsidRDefault="00A15369" w:rsidP="00A15369">
            <w:pPr>
              <w:pStyle w:val="TT"/>
              <w:spacing w:line="240" w:lineRule="auto"/>
              <w:rPr>
                <w:rFonts w:asciiTheme="minorHAnsi" w:hAnsiTheme="minorHAnsi" w:cs="Arial"/>
                <w:spacing w:val="-2"/>
                <w:sz w:val="17"/>
                <w:szCs w:val="17"/>
                <w:lang w:val="hr-HR"/>
              </w:rPr>
            </w:pPr>
            <w:r w:rsidRPr="00BE35B9">
              <w:rPr>
                <w:rFonts w:asciiTheme="minorHAnsi" w:hAnsiTheme="minorHAnsi" w:cs="Arial"/>
                <w:spacing w:val="-2"/>
                <w:sz w:val="17"/>
                <w:szCs w:val="17"/>
                <w:lang w:val="hr-HR"/>
              </w:rPr>
              <w:t>Ulaganja u pridružena društva</w:t>
            </w:r>
          </w:p>
        </w:tc>
        <w:tc>
          <w:tcPr>
            <w:tcW w:w="576" w:type="pct"/>
            <w:tcBorders>
              <w:top w:val="nil"/>
              <w:left w:val="nil"/>
              <w:bottom w:val="nil"/>
              <w:right w:val="nil"/>
            </w:tcBorders>
            <w:shd w:val="clear" w:color="auto" w:fill="auto"/>
            <w:vAlign w:val="bottom"/>
          </w:tcPr>
          <w:p w14:paraId="600D42CB" w14:textId="715CC7E6" w:rsidR="00A15369" w:rsidRPr="007E1860" w:rsidRDefault="00A15369" w:rsidP="00A15369">
            <w:pPr>
              <w:spacing w:after="0" w:line="240" w:lineRule="auto"/>
              <w:jc w:val="right"/>
              <w:outlineLvl w:val="0"/>
              <w:rPr>
                <w:rFonts w:cs="Arial"/>
                <w:bCs/>
                <w:color w:val="000000"/>
                <w:sz w:val="18"/>
                <w:szCs w:val="18"/>
                <w:lang w:eastAsia="hr-HR"/>
              </w:rPr>
            </w:pPr>
            <w:r w:rsidRPr="00564978">
              <w:rPr>
                <w:rFonts w:ascii="Calibri" w:hAnsi="Calibri"/>
                <w:color w:val="000000"/>
                <w:sz w:val="18"/>
                <w:szCs w:val="18"/>
              </w:rPr>
              <w:t>-</w:t>
            </w:r>
          </w:p>
        </w:tc>
        <w:tc>
          <w:tcPr>
            <w:tcW w:w="576" w:type="pct"/>
            <w:tcBorders>
              <w:top w:val="nil"/>
              <w:left w:val="nil"/>
              <w:bottom w:val="nil"/>
              <w:right w:val="nil"/>
            </w:tcBorders>
            <w:shd w:val="clear" w:color="auto" w:fill="auto"/>
            <w:vAlign w:val="bottom"/>
          </w:tcPr>
          <w:p w14:paraId="77C83F48" w14:textId="0F6DAD7B" w:rsidR="00A15369" w:rsidRPr="007E1860" w:rsidRDefault="00A15369" w:rsidP="00A15369">
            <w:pPr>
              <w:spacing w:after="0" w:line="240" w:lineRule="auto"/>
              <w:jc w:val="right"/>
              <w:outlineLvl w:val="0"/>
              <w:rPr>
                <w:rFonts w:cs="Arial"/>
                <w:bCs/>
                <w:color w:val="000000"/>
                <w:sz w:val="18"/>
                <w:szCs w:val="18"/>
                <w:lang w:eastAsia="hr-HR"/>
              </w:rPr>
            </w:pPr>
            <w:r w:rsidRPr="00564978">
              <w:rPr>
                <w:rFonts w:ascii="Calibri" w:hAnsi="Calibri"/>
                <w:color w:val="000000"/>
                <w:sz w:val="18"/>
                <w:szCs w:val="18"/>
              </w:rPr>
              <w:t>-</w:t>
            </w:r>
          </w:p>
        </w:tc>
        <w:tc>
          <w:tcPr>
            <w:tcW w:w="576" w:type="pct"/>
            <w:tcBorders>
              <w:top w:val="nil"/>
              <w:left w:val="nil"/>
              <w:bottom w:val="nil"/>
              <w:right w:val="nil"/>
            </w:tcBorders>
            <w:shd w:val="clear" w:color="auto" w:fill="auto"/>
            <w:vAlign w:val="bottom"/>
          </w:tcPr>
          <w:p w14:paraId="5830AFAE" w14:textId="7DA502F3" w:rsidR="00A15369" w:rsidRPr="007E1860" w:rsidRDefault="00A15369" w:rsidP="00A15369">
            <w:pPr>
              <w:spacing w:after="0" w:line="240" w:lineRule="auto"/>
              <w:jc w:val="right"/>
              <w:outlineLvl w:val="0"/>
              <w:rPr>
                <w:rFonts w:cs="Arial"/>
                <w:bCs/>
                <w:color w:val="000000"/>
                <w:sz w:val="18"/>
                <w:szCs w:val="18"/>
                <w:lang w:eastAsia="hr-HR"/>
              </w:rPr>
            </w:pPr>
            <w:r w:rsidRPr="00564978">
              <w:rPr>
                <w:rFonts w:ascii="Calibri" w:hAnsi="Calibri"/>
                <w:color w:val="000000"/>
                <w:sz w:val="18"/>
                <w:szCs w:val="18"/>
              </w:rPr>
              <w:t>-</w:t>
            </w:r>
          </w:p>
        </w:tc>
        <w:tc>
          <w:tcPr>
            <w:tcW w:w="575" w:type="pct"/>
            <w:tcBorders>
              <w:top w:val="nil"/>
              <w:left w:val="nil"/>
              <w:bottom w:val="nil"/>
              <w:right w:val="nil"/>
            </w:tcBorders>
            <w:shd w:val="clear" w:color="auto" w:fill="auto"/>
            <w:vAlign w:val="bottom"/>
          </w:tcPr>
          <w:p w14:paraId="5ED0903C" w14:textId="3E6F181E" w:rsidR="00A15369" w:rsidRPr="007E1860" w:rsidRDefault="00A15369" w:rsidP="00A15369">
            <w:pPr>
              <w:spacing w:after="0" w:line="240" w:lineRule="auto"/>
              <w:jc w:val="right"/>
              <w:outlineLvl w:val="0"/>
              <w:rPr>
                <w:rFonts w:cs="Arial"/>
                <w:bCs/>
                <w:color w:val="000000"/>
                <w:sz w:val="18"/>
                <w:szCs w:val="18"/>
                <w:lang w:eastAsia="hr-HR"/>
              </w:rPr>
            </w:pPr>
            <w:r w:rsidRPr="00564978">
              <w:rPr>
                <w:rFonts w:ascii="Calibri" w:hAnsi="Calibri"/>
                <w:color w:val="000000"/>
                <w:sz w:val="18"/>
                <w:szCs w:val="18"/>
              </w:rPr>
              <w:t>-</w:t>
            </w:r>
          </w:p>
        </w:tc>
        <w:tc>
          <w:tcPr>
            <w:tcW w:w="577" w:type="pct"/>
            <w:tcBorders>
              <w:top w:val="nil"/>
              <w:left w:val="nil"/>
              <w:bottom w:val="nil"/>
              <w:right w:val="nil"/>
            </w:tcBorders>
            <w:shd w:val="clear" w:color="auto" w:fill="auto"/>
            <w:vAlign w:val="bottom"/>
          </w:tcPr>
          <w:p w14:paraId="023A2877" w14:textId="46FD09D8" w:rsidR="00A15369" w:rsidRPr="007E1860" w:rsidRDefault="00A15369" w:rsidP="00A15369">
            <w:pPr>
              <w:spacing w:after="0" w:line="240" w:lineRule="auto"/>
              <w:jc w:val="right"/>
              <w:outlineLvl w:val="0"/>
              <w:rPr>
                <w:rFonts w:cs="Arial"/>
                <w:bCs/>
                <w:color w:val="000000"/>
                <w:sz w:val="18"/>
                <w:szCs w:val="18"/>
                <w:lang w:eastAsia="hr-HR"/>
              </w:rPr>
            </w:pPr>
            <w:r w:rsidRPr="00564978">
              <w:rPr>
                <w:rFonts w:ascii="Calibri" w:hAnsi="Calibri"/>
                <w:color w:val="000000"/>
                <w:sz w:val="18"/>
                <w:szCs w:val="18"/>
              </w:rPr>
              <w:t>-</w:t>
            </w:r>
          </w:p>
        </w:tc>
        <w:tc>
          <w:tcPr>
            <w:tcW w:w="575" w:type="pct"/>
            <w:tcBorders>
              <w:top w:val="nil"/>
              <w:left w:val="nil"/>
              <w:bottom w:val="nil"/>
              <w:right w:val="nil"/>
            </w:tcBorders>
            <w:shd w:val="clear" w:color="auto" w:fill="auto"/>
            <w:vAlign w:val="bottom"/>
          </w:tcPr>
          <w:p w14:paraId="0C2F0878" w14:textId="746F803A" w:rsidR="00A15369" w:rsidRPr="007E1860" w:rsidRDefault="00A15369" w:rsidP="00A15369">
            <w:pPr>
              <w:spacing w:after="0" w:line="240" w:lineRule="auto"/>
              <w:jc w:val="right"/>
              <w:outlineLvl w:val="0"/>
              <w:rPr>
                <w:rFonts w:cs="Arial"/>
                <w:bCs/>
                <w:color w:val="000000"/>
                <w:sz w:val="18"/>
                <w:szCs w:val="18"/>
                <w:lang w:eastAsia="hr-HR"/>
              </w:rPr>
            </w:pPr>
            <w:r w:rsidRPr="00564978">
              <w:rPr>
                <w:rFonts w:ascii="Calibri" w:hAnsi="Calibri"/>
                <w:color w:val="000000"/>
                <w:sz w:val="18"/>
                <w:szCs w:val="18"/>
              </w:rPr>
              <w:t>-</w:t>
            </w:r>
          </w:p>
        </w:tc>
      </w:tr>
      <w:tr w:rsidR="00A15369" w:rsidRPr="00BE35B9" w14:paraId="6A914AF9" w14:textId="77777777" w:rsidTr="00312975">
        <w:trPr>
          <w:trHeight w:val="409"/>
        </w:trPr>
        <w:tc>
          <w:tcPr>
            <w:tcW w:w="1545" w:type="pct"/>
            <w:vAlign w:val="bottom"/>
          </w:tcPr>
          <w:p w14:paraId="43E7E302" w14:textId="77777777" w:rsidR="00A15369" w:rsidRPr="00BE35B9" w:rsidRDefault="00A15369" w:rsidP="00A15369">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Nekretnine, postrojenja i oprema i nematerijalna imovina</w:t>
            </w:r>
          </w:p>
        </w:tc>
        <w:tc>
          <w:tcPr>
            <w:tcW w:w="576" w:type="pct"/>
            <w:tcBorders>
              <w:top w:val="nil"/>
              <w:left w:val="nil"/>
              <w:bottom w:val="nil"/>
              <w:right w:val="nil"/>
            </w:tcBorders>
            <w:shd w:val="clear" w:color="auto" w:fill="auto"/>
            <w:vAlign w:val="bottom"/>
          </w:tcPr>
          <w:p w14:paraId="31FC9D25" w14:textId="74972C53"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w:t>
            </w:r>
          </w:p>
        </w:tc>
        <w:tc>
          <w:tcPr>
            <w:tcW w:w="576" w:type="pct"/>
            <w:tcBorders>
              <w:top w:val="nil"/>
              <w:left w:val="nil"/>
              <w:bottom w:val="nil"/>
              <w:right w:val="nil"/>
            </w:tcBorders>
            <w:shd w:val="clear" w:color="auto" w:fill="auto"/>
            <w:vAlign w:val="bottom"/>
          </w:tcPr>
          <w:p w14:paraId="43256A16" w14:textId="668C64B6"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w:t>
            </w:r>
          </w:p>
        </w:tc>
        <w:tc>
          <w:tcPr>
            <w:tcW w:w="576" w:type="pct"/>
            <w:tcBorders>
              <w:top w:val="nil"/>
              <w:left w:val="nil"/>
              <w:bottom w:val="nil"/>
              <w:right w:val="nil"/>
            </w:tcBorders>
            <w:shd w:val="clear" w:color="auto" w:fill="auto"/>
            <w:vAlign w:val="bottom"/>
          </w:tcPr>
          <w:p w14:paraId="0D639913" w14:textId="33007DFF"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w:t>
            </w:r>
          </w:p>
        </w:tc>
        <w:tc>
          <w:tcPr>
            <w:tcW w:w="575" w:type="pct"/>
            <w:tcBorders>
              <w:top w:val="nil"/>
              <w:left w:val="nil"/>
              <w:bottom w:val="nil"/>
              <w:right w:val="nil"/>
            </w:tcBorders>
            <w:shd w:val="clear" w:color="auto" w:fill="auto"/>
            <w:vAlign w:val="bottom"/>
          </w:tcPr>
          <w:p w14:paraId="40F42187" w14:textId="34EE7E59"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w:t>
            </w:r>
          </w:p>
        </w:tc>
        <w:tc>
          <w:tcPr>
            <w:tcW w:w="577" w:type="pct"/>
            <w:tcBorders>
              <w:top w:val="nil"/>
              <w:left w:val="nil"/>
              <w:bottom w:val="nil"/>
              <w:right w:val="nil"/>
            </w:tcBorders>
            <w:shd w:val="clear" w:color="auto" w:fill="auto"/>
            <w:vAlign w:val="bottom"/>
          </w:tcPr>
          <w:p w14:paraId="70B717A6" w14:textId="3C71E696"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55.195</w:t>
            </w:r>
          </w:p>
        </w:tc>
        <w:tc>
          <w:tcPr>
            <w:tcW w:w="575" w:type="pct"/>
            <w:tcBorders>
              <w:top w:val="nil"/>
              <w:left w:val="nil"/>
              <w:bottom w:val="nil"/>
              <w:right w:val="nil"/>
            </w:tcBorders>
            <w:shd w:val="clear" w:color="auto" w:fill="auto"/>
            <w:vAlign w:val="bottom"/>
          </w:tcPr>
          <w:p w14:paraId="3B1332D1" w14:textId="78A7E28E"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55.195</w:t>
            </w:r>
          </w:p>
        </w:tc>
      </w:tr>
      <w:tr w:rsidR="00A15369" w:rsidRPr="00BE35B9" w14:paraId="6FFE2201" w14:textId="77777777" w:rsidTr="00312975">
        <w:trPr>
          <w:trHeight w:val="235"/>
        </w:trPr>
        <w:tc>
          <w:tcPr>
            <w:tcW w:w="1545" w:type="pct"/>
            <w:vAlign w:val="bottom"/>
          </w:tcPr>
          <w:p w14:paraId="62F6247F" w14:textId="77777777" w:rsidR="00A15369" w:rsidRPr="00BE35B9" w:rsidRDefault="00A15369" w:rsidP="00A15369">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Dugotrajna imovina namijenjena prodaji</w:t>
            </w:r>
          </w:p>
        </w:tc>
        <w:tc>
          <w:tcPr>
            <w:tcW w:w="576" w:type="pct"/>
            <w:tcBorders>
              <w:top w:val="nil"/>
              <w:left w:val="nil"/>
              <w:bottom w:val="nil"/>
              <w:right w:val="nil"/>
            </w:tcBorders>
            <w:shd w:val="clear" w:color="auto" w:fill="auto"/>
            <w:vAlign w:val="bottom"/>
          </w:tcPr>
          <w:p w14:paraId="17E30783" w14:textId="5BAB4829"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w:t>
            </w:r>
          </w:p>
        </w:tc>
        <w:tc>
          <w:tcPr>
            <w:tcW w:w="576" w:type="pct"/>
            <w:tcBorders>
              <w:top w:val="nil"/>
              <w:left w:val="nil"/>
              <w:bottom w:val="nil"/>
              <w:right w:val="nil"/>
            </w:tcBorders>
            <w:shd w:val="clear" w:color="auto" w:fill="auto"/>
            <w:vAlign w:val="bottom"/>
          </w:tcPr>
          <w:p w14:paraId="7BA3EB3A" w14:textId="54FC405C" w:rsidR="00A15369" w:rsidRPr="007E1860" w:rsidRDefault="00A15369" w:rsidP="00A15369">
            <w:pPr>
              <w:spacing w:after="0" w:line="240" w:lineRule="exact"/>
              <w:jc w:val="right"/>
              <w:outlineLvl w:val="0"/>
              <w:rPr>
                <w:rFonts w:cs="Arial"/>
                <w:bCs/>
                <w:color w:val="000000"/>
                <w:sz w:val="18"/>
                <w:szCs w:val="18"/>
                <w:lang w:eastAsia="hr-HR"/>
              </w:rPr>
            </w:pPr>
            <w:r>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14:paraId="5A840A94" w14:textId="6C3DDFBD"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w:t>
            </w:r>
          </w:p>
        </w:tc>
        <w:tc>
          <w:tcPr>
            <w:tcW w:w="575" w:type="pct"/>
            <w:tcBorders>
              <w:top w:val="nil"/>
              <w:left w:val="nil"/>
              <w:bottom w:val="nil"/>
              <w:right w:val="nil"/>
            </w:tcBorders>
            <w:shd w:val="clear" w:color="auto" w:fill="auto"/>
            <w:vAlign w:val="bottom"/>
          </w:tcPr>
          <w:p w14:paraId="1696A902" w14:textId="1CBD3918"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3.691</w:t>
            </w:r>
          </w:p>
        </w:tc>
        <w:tc>
          <w:tcPr>
            <w:tcW w:w="577" w:type="pct"/>
            <w:tcBorders>
              <w:top w:val="nil"/>
              <w:left w:val="nil"/>
              <w:bottom w:val="nil"/>
              <w:right w:val="nil"/>
            </w:tcBorders>
            <w:shd w:val="clear" w:color="auto" w:fill="auto"/>
            <w:vAlign w:val="bottom"/>
          </w:tcPr>
          <w:p w14:paraId="2CDE7204" w14:textId="224402B2"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13.339</w:t>
            </w:r>
          </w:p>
        </w:tc>
        <w:tc>
          <w:tcPr>
            <w:tcW w:w="575" w:type="pct"/>
            <w:tcBorders>
              <w:top w:val="nil"/>
              <w:left w:val="nil"/>
              <w:bottom w:val="nil"/>
              <w:right w:val="nil"/>
            </w:tcBorders>
            <w:shd w:val="clear" w:color="auto" w:fill="auto"/>
            <w:vAlign w:val="bottom"/>
          </w:tcPr>
          <w:p w14:paraId="6CC8D772" w14:textId="26282A40"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17.030</w:t>
            </w:r>
          </w:p>
        </w:tc>
      </w:tr>
      <w:tr w:rsidR="00A15369" w:rsidRPr="00BE35B9" w14:paraId="4B2C5D5E" w14:textId="77777777" w:rsidTr="00312975">
        <w:trPr>
          <w:trHeight w:val="247"/>
        </w:trPr>
        <w:tc>
          <w:tcPr>
            <w:tcW w:w="1545" w:type="pct"/>
            <w:vAlign w:val="bottom"/>
          </w:tcPr>
          <w:p w14:paraId="036B684B" w14:textId="77777777" w:rsidR="00A15369" w:rsidRPr="00BE35B9" w:rsidRDefault="00A15369" w:rsidP="00A15369">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Ostala imovina</w:t>
            </w:r>
          </w:p>
        </w:tc>
        <w:tc>
          <w:tcPr>
            <w:tcW w:w="576" w:type="pct"/>
            <w:tcBorders>
              <w:top w:val="nil"/>
              <w:left w:val="nil"/>
              <w:bottom w:val="nil"/>
              <w:right w:val="nil"/>
            </w:tcBorders>
            <w:shd w:val="clear" w:color="auto" w:fill="auto"/>
            <w:vAlign w:val="bottom"/>
          </w:tcPr>
          <w:p w14:paraId="4A8CB653" w14:textId="6DE9ACF1"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4.968</w:t>
            </w:r>
          </w:p>
        </w:tc>
        <w:tc>
          <w:tcPr>
            <w:tcW w:w="576" w:type="pct"/>
            <w:tcBorders>
              <w:top w:val="nil"/>
              <w:left w:val="nil"/>
              <w:bottom w:val="nil"/>
              <w:right w:val="nil"/>
            </w:tcBorders>
            <w:shd w:val="clear" w:color="auto" w:fill="auto"/>
            <w:vAlign w:val="bottom"/>
          </w:tcPr>
          <w:p w14:paraId="133B6705" w14:textId="389C95A2"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1.428</w:t>
            </w:r>
          </w:p>
        </w:tc>
        <w:tc>
          <w:tcPr>
            <w:tcW w:w="576" w:type="pct"/>
            <w:tcBorders>
              <w:top w:val="nil"/>
              <w:left w:val="nil"/>
              <w:bottom w:val="nil"/>
              <w:right w:val="nil"/>
            </w:tcBorders>
            <w:shd w:val="clear" w:color="auto" w:fill="auto"/>
            <w:vAlign w:val="bottom"/>
          </w:tcPr>
          <w:p w14:paraId="68EBEEA0" w14:textId="6A2539E5"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1.185</w:t>
            </w:r>
          </w:p>
        </w:tc>
        <w:tc>
          <w:tcPr>
            <w:tcW w:w="575" w:type="pct"/>
            <w:tcBorders>
              <w:top w:val="nil"/>
              <w:left w:val="nil"/>
              <w:bottom w:val="nil"/>
              <w:right w:val="nil"/>
            </w:tcBorders>
            <w:shd w:val="clear" w:color="auto" w:fill="auto"/>
            <w:vAlign w:val="bottom"/>
          </w:tcPr>
          <w:p w14:paraId="3E2E58BA" w14:textId="312B026C"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588</w:t>
            </w:r>
          </w:p>
        </w:tc>
        <w:tc>
          <w:tcPr>
            <w:tcW w:w="577" w:type="pct"/>
            <w:tcBorders>
              <w:top w:val="nil"/>
              <w:left w:val="nil"/>
              <w:bottom w:val="nil"/>
              <w:right w:val="nil"/>
            </w:tcBorders>
            <w:shd w:val="clear" w:color="auto" w:fill="auto"/>
            <w:vAlign w:val="bottom"/>
          </w:tcPr>
          <w:p w14:paraId="130EA0EE" w14:textId="5A08C937"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1.169</w:t>
            </w:r>
          </w:p>
        </w:tc>
        <w:tc>
          <w:tcPr>
            <w:tcW w:w="575" w:type="pct"/>
            <w:tcBorders>
              <w:top w:val="nil"/>
              <w:left w:val="nil"/>
              <w:bottom w:val="nil"/>
              <w:right w:val="nil"/>
            </w:tcBorders>
            <w:shd w:val="clear" w:color="auto" w:fill="auto"/>
            <w:vAlign w:val="bottom"/>
          </w:tcPr>
          <w:p w14:paraId="33407745" w14:textId="1E1C36F9" w:rsidR="00A15369" w:rsidRPr="007E1860" w:rsidRDefault="00A15369" w:rsidP="00A15369">
            <w:pPr>
              <w:spacing w:after="0" w:line="240" w:lineRule="exact"/>
              <w:jc w:val="right"/>
              <w:outlineLvl w:val="0"/>
              <w:rPr>
                <w:rFonts w:cs="Arial"/>
                <w:bCs/>
                <w:color w:val="000000"/>
                <w:sz w:val="18"/>
                <w:szCs w:val="18"/>
                <w:lang w:eastAsia="hr-HR"/>
              </w:rPr>
            </w:pPr>
            <w:r w:rsidRPr="00564978">
              <w:rPr>
                <w:rFonts w:ascii="Calibri" w:hAnsi="Calibri"/>
                <w:color w:val="000000"/>
                <w:sz w:val="18"/>
                <w:szCs w:val="18"/>
              </w:rPr>
              <w:t>9.338</w:t>
            </w:r>
          </w:p>
        </w:tc>
      </w:tr>
      <w:tr w:rsidR="00A15369" w:rsidRPr="00BE35B9" w14:paraId="0BA43995" w14:textId="77777777" w:rsidTr="00312975">
        <w:trPr>
          <w:trHeight w:val="235"/>
        </w:trPr>
        <w:tc>
          <w:tcPr>
            <w:tcW w:w="1545" w:type="pct"/>
            <w:vAlign w:val="bottom"/>
          </w:tcPr>
          <w:p w14:paraId="0006CE0C" w14:textId="77777777" w:rsidR="00A15369" w:rsidRPr="00BE35B9" w:rsidRDefault="00A15369" w:rsidP="00A15369">
            <w:pPr>
              <w:pStyle w:val="Tot"/>
              <w:spacing w:line="220" w:lineRule="exact"/>
              <w:rPr>
                <w:rFonts w:asciiTheme="minorHAnsi" w:hAnsiTheme="minorHAnsi" w:cs="Arial"/>
                <w:b/>
                <w:bCs/>
                <w:sz w:val="17"/>
                <w:szCs w:val="17"/>
                <w:lang w:val="hr-HR"/>
              </w:rPr>
            </w:pPr>
            <w:r w:rsidRPr="00BE35B9">
              <w:rPr>
                <w:rFonts w:asciiTheme="minorHAnsi" w:hAnsiTheme="minorHAnsi" w:cs="Arial"/>
                <w:b/>
                <w:bCs/>
                <w:sz w:val="17"/>
                <w:szCs w:val="17"/>
                <w:lang w:val="hr-HR"/>
              </w:rPr>
              <w:t>Ukupna imovina (1)</w:t>
            </w:r>
          </w:p>
        </w:tc>
        <w:tc>
          <w:tcPr>
            <w:tcW w:w="576" w:type="pct"/>
            <w:tcBorders>
              <w:top w:val="single" w:sz="8" w:space="0" w:color="auto"/>
              <w:left w:val="nil"/>
              <w:bottom w:val="single" w:sz="12" w:space="0" w:color="auto"/>
              <w:right w:val="nil"/>
            </w:tcBorders>
            <w:shd w:val="clear" w:color="auto" w:fill="auto"/>
            <w:vAlign w:val="center"/>
          </w:tcPr>
          <w:p w14:paraId="201B4F3E" w14:textId="3B75A8D4" w:rsidR="00A15369" w:rsidRPr="007E1860" w:rsidRDefault="00A15369" w:rsidP="00A15369">
            <w:pPr>
              <w:spacing w:after="0" w:line="240" w:lineRule="exact"/>
              <w:jc w:val="right"/>
              <w:outlineLvl w:val="0"/>
              <w:rPr>
                <w:rFonts w:cs="Arial"/>
                <w:b/>
                <w:bCs/>
                <w:color w:val="000000"/>
                <w:sz w:val="18"/>
                <w:szCs w:val="18"/>
                <w:lang w:eastAsia="hr-HR"/>
              </w:rPr>
            </w:pPr>
            <w:r w:rsidRPr="00564978">
              <w:rPr>
                <w:rFonts w:ascii="Calibri" w:hAnsi="Calibri"/>
                <w:b/>
                <w:bCs/>
                <w:color w:val="000000"/>
                <w:sz w:val="18"/>
                <w:szCs w:val="18"/>
              </w:rPr>
              <w:t>7.104.940</w:t>
            </w:r>
          </w:p>
        </w:tc>
        <w:tc>
          <w:tcPr>
            <w:tcW w:w="576" w:type="pct"/>
            <w:tcBorders>
              <w:top w:val="single" w:sz="8" w:space="0" w:color="auto"/>
              <w:left w:val="nil"/>
              <w:bottom w:val="single" w:sz="12" w:space="0" w:color="auto"/>
              <w:right w:val="nil"/>
            </w:tcBorders>
            <w:shd w:val="clear" w:color="auto" w:fill="auto"/>
            <w:vAlign w:val="center"/>
          </w:tcPr>
          <w:p w14:paraId="52BBCFCC" w14:textId="2BDA939A" w:rsidR="00A15369" w:rsidRPr="007E1860" w:rsidRDefault="00A15369" w:rsidP="00A15369">
            <w:pPr>
              <w:spacing w:after="0" w:line="240" w:lineRule="exact"/>
              <w:jc w:val="right"/>
              <w:outlineLvl w:val="0"/>
              <w:rPr>
                <w:rFonts w:cs="Arial"/>
                <w:b/>
                <w:bCs/>
                <w:color w:val="000000"/>
                <w:sz w:val="18"/>
                <w:szCs w:val="18"/>
                <w:lang w:eastAsia="hr-HR"/>
              </w:rPr>
            </w:pPr>
            <w:r w:rsidRPr="00564978">
              <w:rPr>
                <w:rFonts w:ascii="Calibri" w:hAnsi="Calibri"/>
                <w:b/>
                <w:bCs/>
                <w:color w:val="000000"/>
                <w:sz w:val="18"/>
                <w:szCs w:val="18"/>
              </w:rPr>
              <w:t>701.598</w:t>
            </w:r>
          </w:p>
        </w:tc>
        <w:tc>
          <w:tcPr>
            <w:tcW w:w="576" w:type="pct"/>
            <w:tcBorders>
              <w:top w:val="single" w:sz="8" w:space="0" w:color="auto"/>
              <w:left w:val="nil"/>
              <w:bottom w:val="single" w:sz="12" w:space="0" w:color="auto"/>
              <w:right w:val="nil"/>
            </w:tcBorders>
            <w:shd w:val="clear" w:color="auto" w:fill="auto"/>
            <w:vAlign w:val="center"/>
          </w:tcPr>
          <w:p w14:paraId="0A1F9729" w14:textId="7B5D3277" w:rsidR="00A15369" w:rsidRPr="007E1860" w:rsidRDefault="00A15369" w:rsidP="00A15369">
            <w:pPr>
              <w:spacing w:after="0" w:line="240" w:lineRule="exact"/>
              <w:jc w:val="right"/>
              <w:outlineLvl w:val="0"/>
              <w:rPr>
                <w:rFonts w:cs="Arial"/>
                <w:b/>
                <w:bCs/>
                <w:color w:val="000000"/>
                <w:sz w:val="18"/>
                <w:szCs w:val="18"/>
                <w:lang w:eastAsia="hr-HR"/>
              </w:rPr>
            </w:pPr>
            <w:r w:rsidRPr="00564978">
              <w:rPr>
                <w:rFonts w:ascii="Calibri" w:hAnsi="Calibri"/>
                <w:b/>
                <w:bCs/>
                <w:color w:val="000000"/>
                <w:sz w:val="18"/>
                <w:szCs w:val="18"/>
              </w:rPr>
              <w:t>2.328.300</w:t>
            </w:r>
          </w:p>
        </w:tc>
        <w:tc>
          <w:tcPr>
            <w:tcW w:w="575" w:type="pct"/>
            <w:tcBorders>
              <w:top w:val="single" w:sz="8" w:space="0" w:color="auto"/>
              <w:left w:val="nil"/>
              <w:bottom w:val="single" w:sz="12" w:space="0" w:color="auto"/>
              <w:right w:val="nil"/>
            </w:tcBorders>
            <w:shd w:val="clear" w:color="auto" w:fill="auto"/>
            <w:vAlign w:val="center"/>
          </w:tcPr>
          <w:p w14:paraId="78F6AF65" w14:textId="4165EFEC" w:rsidR="00A15369" w:rsidRPr="007E1860" w:rsidRDefault="00A15369" w:rsidP="00A15369">
            <w:pPr>
              <w:spacing w:after="0" w:line="240" w:lineRule="exact"/>
              <w:jc w:val="right"/>
              <w:outlineLvl w:val="0"/>
              <w:rPr>
                <w:rFonts w:cs="Arial"/>
                <w:b/>
                <w:bCs/>
                <w:color w:val="000000"/>
                <w:sz w:val="18"/>
                <w:szCs w:val="18"/>
                <w:lang w:eastAsia="hr-HR"/>
              </w:rPr>
            </w:pPr>
            <w:r w:rsidRPr="00564978">
              <w:rPr>
                <w:rFonts w:ascii="Calibri" w:hAnsi="Calibri"/>
                <w:b/>
                <w:bCs/>
                <w:color w:val="000000"/>
                <w:sz w:val="18"/>
                <w:szCs w:val="18"/>
              </w:rPr>
              <w:t>4.892.467</w:t>
            </w:r>
          </w:p>
        </w:tc>
        <w:tc>
          <w:tcPr>
            <w:tcW w:w="577" w:type="pct"/>
            <w:tcBorders>
              <w:top w:val="single" w:sz="8" w:space="0" w:color="auto"/>
              <w:left w:val="nil"/>
              <w:bottom w:val="single" w:sz="12" w:space="0" w:color="auto"/>
              <w:right w:val="nil"/>
            </w:tcBorders>
            <w:shd w:val="clear" w:color="auto" w:fill="auto"/>
            <w:vAlign w:val="center"/>
          </w:tcPr>
          <w:p w14:paraId="2AB3BC0A" w14:textId="7EB211C3" w:rsidR="00A15369" w:rsidRPr="007E1860" w:rsidRDefault="00A15369" w:rsidP="00A15369">
            <w:pPr>
              <w:spacing w:after="0" w:line="240" w:lineRule="exact"/>
              <w:jc w:val="right"/>
              <w:outlineLvl w:val="0"/>
              <w:rPr>
                <w:rFonts w:cs="Arial"/>
                <w:b/>
                <w:bCs/>
                <w:color w:val="000000"/>
                <w:sz w:val="18"/>
                <w:szCs w:val="18"/>
                <w:lang w:eastAsia="hr-HR"/>
              </w:rPr>
            </w:pPr>
            <w:r w:rsidRPr="00564978">
              <w:rPr>
                <w:rFonts w:ascii="Calibri" w:hAnsi="Calibri"/>
                <w:b/>
                <w:bCs/>
                <w:color w:val="000000"/>
                <w:sz w:val="18"/>
                <w:szCs w:val="18"/>
              </w:rPr>
              <w:t>12.796.536</w:t>
            </w:r>
          </w:p>
        </w:tc>
        <w:tc>
          <w:tcPr>
            <w:tcW w:w="575" w:type="pct"/>
            <w:tcBorders>
              <w:top w:val="single" w:sz="8" w:space="0" w:color="auto"/>
              <w:left w:val="nil"/>
              <w:bottom w:val="single" w:sz="12" w:space="0" w:color="auto"/>
              <w:right w:val="nil"/>
            </w:tcBorders>
            <w:shd w:val="clear" w:color="auto" w:fill="auto"/>
            <w:vAlign w:val="center"/>
          </w:tcPr>
          <w:p w14:paraId="4C419955" w14:textId="10606EAA" w:rsidR="00A15369" w:rsidRPr="007E1860" w:rsidRDefault="00A15369" w:rsidP="00A15369">
            <w:pPr>
              <w:spacing w:after="0" w:line="240" w:lineRule="exact"/>
              <w:jc w:val="right"/>
              <w:outlineLvl w:val="0"/>
              <w:rPr>
                <w:rFonts w:cs="Arial"/>
                <w:b/>
                <w:bCs/>
                <w:color w:val="000000"/>
                <w:sz w:val="18"/>
                <w:szCs w:val="18"/>
                <w:lang w:eastAsia="hr-HR"/>
              </w:rPr>
            </w:pPr>
            <w:r w:rsidRPr="00564978">
              <w:rPr>
                <w:rFonts w:ascii="Calibri" w:hAnsi="Calibri"/>
                <w:b/>
                <w:bCs/>
                <w:color w:val="000000"/>
                <w:sz w:val="18"/>
                <w:szCs w:val="18"/>
              </w:rPr>
              <w:t>27.823.841</w:t>
            </w:r>
          </w:p>
        </w:tc>
      </w:tr>
      <w:tr w:rsidR="00D34B9C" w:rsidRPr="00BE35B9" w14:paraId="5B4D538E" w14:textId="77777777" w:rsidTr="005F1FBF">
        <w:trPr>
          <w:trHeight w:val="222"/>
        </w:trPr>
        <w:tc>
          <w:tcPr>
            <w:tcW w:w="1545" w:type="pct"/>
            <w:vAlign w:val="bottom"/>
          </w:tcPr>
          <w:p w14:paraId="3641CB97" w14:textId="77777777" w:rsidR="00D34B9C" w:rsidRPr="00BE35B9" w:rsidRDefault="00D34B9C">
            <w:pPr>
              <w:pStyle w:val="TT"/>
              <w:spacing w:line="220" w:lineRule="exact"/>
              <w:rPr>
                <w:rFonts w:asciiTheme="minorHAnsi" w:hAnsiTheme="minorHAnsi" w:cs="Arial"/>
                <w:b/>
                <w:bCs/>
                <w:sz w:val="17"/>
                <w:szCs w:val="17"/>
                <w:lang w:val="hr-HR"/>
              </w:rPr>
            </w:pPr>
            <w:r w:rsidRPr="00BE35B9">
              <w:rPr>
                <w:rFonts w:asciiTheme="minorHAnsi" w:hAnsiTheme="minorHAnsi" w:cs="Arial"/>
                <w:b/>
                <w:bCs/>
                <w:sz w:val="17"/>
                <w:szCs w:val="17"/>
                <w:lang w:val="hr-HR"/>
              </w:rPr>
              <w:t>Obveze</w:t>
            </w:r>
          </w:p>
        </w:tc>
        <w:tc>
          <w:tcPr>
            <w:tcW w:w="576" w:type="pct"/>
            <w:vAlign w:val="bottom"/>
          </w:tcPr>
          <w:p w14:paraId="152C3E1E" w14:textId="77777777" w:rsidR="00D34B9C" w:rsidRPr="007E1860" w:rsidRDefault="00D34B9C">
            <w:pPr>
              <w:pStyle w:val="TT"/>
              <w:tabs>
                <w:tab w:val="clear" w:pos="1202"/>
              </w:tabs>
              <w:spacing w:line="220" w:lineRule="exact"/>
              <w:jc w:val="right"/>
              <w:rPr>
                <w:rFonts w:asciiTheme="minorHAnsi" w:hAnsiTheme="minorHAnsi" w:cs="Arial"/>
                <w:b/>
                <w:bCs/>
                <w:spacing w:val="-2"/>
                <w:sz w:val="18"/>
                <w:szCs w:val="18"/>
                <w:lang w:val="hr-HR"/>
              </w:rPr>
            </w:pPr>
          </w:p>
        </w:tc>
        <w:tc>
          <w:tcPr>
            <w:tcW w:w="576" w:type="pct"/>
            <w:vAlign w:val="bottom"/>
          </w:tcPr>
          <w:p w14:paraId="5D57CBB4" w14:textId="77777777" w:rsidR="00D34B9C" w:rsidRPr="007E1860" w:rsidRDefault="00D34B9C">
            <w:pPr>
              <w:pStyle w:val="TT"/>
              <w:tabs>
                <w:tab w:val="clear" w:pos="1202"/>
              </w:tabs>
              <w:spacing w:line="220" w:lineRule="exact"/>
              <w:jc w:val="right"/>
              <w:rPr>
                <w:rFonts w:asciiTheme="minorHAnsi" w:hAnsiTheme="minorHAnsi" w:cs="Arial"/>
                <w:b/>
                <w:bCs/>
                <w:spacing w:val="-2"/>
                <w:sz w:val="18"/>
                <w:szCs w:val="18"/>
                <w:lang w:val="hr-HR"/>
              </w:rPr>
            </w:pPr>
          </w:p>
        </w:tc>
        <w:tc>
          <w:tcPr>
            <w:tcW w:w="576" w:type="pct"/>
            <w:vAlign w:val="bottom"/>
          </w:tcPr>
          <w:p w14:paraId="0C2EAB2F" w14:textId="77777777" w:rsidR="00D34B9C" w:rsidRPr="007E1860" w:rsidRDefault="00D34B9C">
            <w:pPr>
              <w:pStyle w:val="TT"/>
              <w:tabs>
                <w:tab w:val="clear" w:pos="1202"/>
              </w:tabs>
              <w:spacing w:line="220" w:lineRule="exact"/>
              <w:jc w:val="right"/>
              <w:rPr>
                <w:rFonts w:asciiTheme="minorHAnsi" w:hAnsiTheme="minorHAnsi" w:cs="Arial"/>
                <w:b/>
                <w:bCs/>
                <w:spacing w:val="-2"/>
                <w:sz w:val="18"/>
                <w:szCs w:val="18"/>
                <w:lang w:val="hr-HR"/>
              </w:rPr>
            </w:pPr>
          </w:p>
        </w:tc>
        <w:tc>
          <w:tcPr>
            <w:tcW w:w="575" w:type="pct"/>
            <w:vAlign w:val="bottom"/>
          </w:tcPr>
          <w:p w14:paraId="7569E809" w14:textId="77777777" w:rsidR="00D34B9C" w:rsidRPr="007E1860" w:rsidRDefault="00D34B9C">
            <w:pPr>
              <w:pStyle w:val="TT"/>
              <w:tabs>
                <w:tab w:val="clear" w:pos="1202"/>
              </w:tabs>
              <w:spacing w:line="220" w:lineRule="exact"/>
              <w:jc w:val="right"/>
              <w:rPr>
                <w:rFonts w:asciiTheme="minorHAnsi" w:hAnsiTheme="minorHAnsi" w:cs="Arial"/>
                <w:b/>
                <w:bCs/>
                <w:spacing w:val="-2"/>
                <w:sz w:val="18"/>
                <w:szCs w:val="18"/>
                <w:lang w:val="hr-HR"/>
              </w:rPr>
            </w:pPr>
          </w:p>
        </w:tc>
        <w:tc>
          <w:tcPr>
            <w:tcW w:w="577" w:type="pct"/>
            <w:vAlign w:val="bottom"/>
          </w:tcPr>
          <w:p w14:paraId="7AF7A9C9" w14:textId="77777777" w:rsidR="00D34B9C" w:rsidRPr="007E1860" w:rsidRDefault="00D34B9C">
            <w:pPr>
              <w:pStyle w:val="TT"/>
              <w:tabs>
                <w:tab w:val="clear" w:pos="1202"/>
              </w:tabs>
              <w:spacing w:line="220" w:lineRule="exact"/>
              <w:jc w:val="right"/>
              <w:rPr>
                <w:rFonts w:asciiTheme="minorHAnsi" w:hAnsiTheme="minorHAnsi" w:cs="Arial"/>
                <w:b/>
                <w:bCs/>
                <w:spacing w:val="-2"/>
                <w:sz w:val="18"/>
                <w:szCs w:val="18"/>
                <w:lang w:val="hr-HR"/>
              </w:rPr>
            </w:pPr>
          </w:p>
        </w:tc>
        <w:tc>
          <w:tcPr>
            <w:tcW w:w="575" w:type="pct"/>
            <w:vAlign w:val="bottom"/>
          </w:tcPr>
          <w:p w14:paraId="0A39826D" w14:textId="77777777" w:rsidR="00D34B9C" w:rsidRPr="007E1860" w:rsidRDefault="00D34B9C">
            <w:pPr>
              <w:pStyle w:val="TT"/>
              <w:tabs>
                <w:tab w:val="clear" w:pos="1202"/>
              </w:tabs>
              <w:spacing w:line="220" w:lineRule="exact"/>
              <w:jc w:val="right"/>
              <w:rPr>
                <w:rFonts w:asciiTheme="minorHAnsi" w:hAnsiTheme="minorHAnsi" w:cs="Arial"/>
                <w:b/>
                <w:bCs/>
                <w:sz w:val="18"/>
                <w:szCs w:val="18"/>
                <w:lang w:val="hr-HR"/>
              </w:rPr>
            </w:pPr>
          </w:p>
        </w:tc>
      </w:tr>
      <w:tr w:rsidR="00C14AFC" w:rsidRPr="00BE35B9" w14:paraId="1BF6C71A" w14:textId="77777777" w:rsidTr="00312975">
        <w:trPr>
          <w:trHeight w:val="235"/>
        </w:trPr>
        <w:tc>
          <w:tcPr>
            <w:tcW w:w="1545" w:type="pct"/>
            <w:vAlign w:val="bottom"/>
          </w:tcPr>
          <w:p w14:paraId="408B651F" w14:textId="77777777" w:rsidR="00C14AFC" w:rsidRPr="00BE35B9" w:rsidRDefault="00C14AFC" w:rsidP="00C14AFC">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Obveze po depozitima</w:t>
            </w:r>
          </w:p>
        </w:tc>
        <w:tc>
          <w:tcPr>
            <w:tcW w:w="576" w:type="pct"/>
            <w:tcBorders>
              <w:top w:val="nil"/>
              <w:left w:val="nil"/>
              <w:bottom w:val="nil"/>
              <w:right w:val="nil"/>
            </w:tcBorders>
            <w:shd w:val="clear" w:color="auto" w:fill="auto"/>
            <w:vAlign w:val="center"/>
          </w:tcPr>
          <w:p w14:paraId="3EB33DBD" w14:textId="5E8216F2" w:rsidR="00C14AFC" w:rsidRPr="007E1860" w:rsidRDefault="00C14AFC" w:rsidP="00C14AFC">
            <w:pPr>
              <w:spacing w:after="0" w:line="240" w:lineRule="exact"/>
              <w:jc w:val="right"/>
              <w:outlineLvl w:val="0"/>
              <w:rPr>
                <w:rFonts w:cs="Arial"/>
                <w:bCs/>
                <w:color w:val="000000"/>
                <w:sz w:val="18"/>
                <w:szCs w:val="18"/>
                <w:lang w:eastAsia="hr-HR"/>
              </w:rPr>
            </w:pPr>
            <w:r w:rsidRPr="002B46B5">
              <w:rPr>
                <w:rFonts w:ascii="Calibri" w:hAnsi="Calibri"/>
                <w:color w:val="000000"/>
                <w:sz w:val="18"/>
                <w:szCs w:val="18"/>
              </w:rPr>
              <w:t>218.527</w:t>
            </w:r>
          </w:p>
        </w:tc>
        <w:tc>
          <w:tcPr>
            <w:tcW w:w="576" w:type="pct"/>
            <w:tcBorders>
              <w:top w:val="nil"/>
              <w:left w:val="nil"/>
              <w:bottom w:val="nil"/>
              <w:right w:val="nil"/>
            </w:tcBorders>
            <w:shd w:val="clear" w:color="auto" w:fill="auto"/>
            <w:vAlign w:val="center"/>
          </w:tcPr>
          <w:p w14:paraId="7D544F94" w14:textId="3FB71BAE" w:rsidR="00C14AFC" w:rsidRPr="007E1860" w:rsidRDefault="00C14AFC" w:rsidP="00C14AFC">
            <w:pPr>
              <w:spacing w:after="0" w:line="240" w:lineRule="exact"/>
              <w:jc w:val="right"/>
              <w:outlineLvl w:val="0"/>
              <w:rPr>
                <w:rFonts w:cs="Arial"/>
                <w:bCs/>
                <w:color w:val="000000"/>
                <w:sz w:val="18"/>
                <w:szCs w:val="18"/>
                <w:lang w:eastAsia="hr-HR"/>
              </w:rPr>
            </w:pPr>
            <w:r w:rsidRPr="002B46B5">
              <w:rPr>
                <w:rFonts w:ascii="Calibri" w:hAnsi="Calibri"/>
                <w:color w:val="000000"/>
                <w:sz w:val="18"/>
                <w:szCs w:val="18"/>
              </w:rPr>
              <w:t>164.133</w:t>
            </w:r>
          </w:p>
        </w:tc>
        <w:tc>
          <w:tcPr>
            <w:tcW w:w="576" w:type="pct"/>
            <w:tcBorders>
              <w:top w:val="nil"/>
              <w:left w:val="nil"/>
              <w:bottom w:val="nil"/>
              <w:right w:val="nil"/>
            </w:tcBorders>
            <w:shd w:val="clear" w:color="auto" w:fill="auto"/>
            <w:vAlign w:val="center"/>
          </w:tcPr>
          <w:p w14:paraId="267DCB64" w14:textId="6EADACE9" w:rsidR="00C14AFC" w:rsidRPr="007E1860" w:rsidRDefault="00C14AFC" w:rsidP="00C14AFC">
            <w:pPr>
              <w:spacing w:after="0" w:line="240" w:lineRule="exact"/>
              <w:jc w:val="right"/>
              <w:outlineLvl w:val="0"/>
              <w:rPr>
                <w:rFonts w:cs="Arial"/>
                <w:bCs/>
                <w:color w:val="000000"/>
                <w:sz w:val="18"/>
                <w:szCs w:val="18"/>
                <w:lang w:eastAsia="hr-HR"/>
              </w:rPr>
            </w:pPr>
            <w:r w:rsidRPr="002B46B5">
              <w:rPr>
                <w:rFonts w:ascii="Calibri" w:hAnsi="Calibri"/>
                <w:color w:val="000000"/>
                <w:sz w:val="18"/>
                <w:szCs w:val="18"/>
              </w:rPr>
              <w:t>40.694</w:t>
            </w:r>
          </w:p>
        </w:tc>
        <w:tc>
          <w:tcPr>
            <w:tcW w:w="575" w:type="pct"/>
            <w:tcBorders>
              <w:top w:val="nil"/>
              <w:left w:val="nil"/>
              <w:bottom w:val="nil"/>
              <w:right w:val="nil"/>
            </w:tcBorders>
            <w:shd w:val="clear" w:color="auto" w:fill="auto"/>
            <w:vAlign w:val="center"/>
          </w:tcPr>
          <w:p w14:paraId="42F08116" w14:textId="17CF6A85" w:rsidR="00C14AFC" w:rsidRPr="007E1860" w:rsidRDefault="00C14AFC" w:rsidP="00C14AFC">
            <w:pPr>
              <w:spacing w:after="0" w:line="240" w:lineRule="exact"/>
              <w:jc w:val="right"/>
              <w:outlineLvl w:val="0"/>
              <w:rPr>
                <w:rFonts w:cs="Arial"/>
                <w:bCs/>
                <w:color w:val="000000"/>
                <w:sz w:val="18"/>
                <w:szCs w:val="18"/>
                <w:lang w:eastAsia="hr-HR"/>
              </w:rPr>
            </w:pPr>
            <w:r w:rsidRPr="002B46B5">
              <w:rPr>
                <w:rFonts w:ascii="Calibri" w:hAnsi="Calibri"/>
                <w:color w:val="000000"/>
                <w:sz w:val="18"/>
                <w:szCs w:val="18"/>
              </w:rPr>
              <w:t>49.456</w:t>
            </w:r>
          </w:p>
        </w:tc>
        <w:tc>
          <w:tcPr>
            <w:tcW w:w="577" w:type="pct"/>
            <w:tcBorders>
              <w:top w:val="nil"/>
              <w:left w:val="nil"/>
              <w:bottom w:val="nil"/>
              <w:right w:val="nil"/>
            </w:tcBorders>
            <w:shd w:val="clear" w:color="auto" w:fill="auto"/>
            <w:vAlign w:val="center"/>
          </w:tcPr>
          <w:p w14:paraId="1F9506F4" w14:textId="0B363E2C" w:rsidR="00C14AFC" w:rsidRPr="007E1860" w:rsidRDefault="00C14AFC" w:rsidP="00C14AFC">
            <w:pPr>
              <w:spacing w:after="0" w:line="240" w:lineRule="exact"/>
              <w:jc w:val="right"/>
              <w:outlineLvl w:val="0"/>
              <w:rPr>
                <w:rFonts w:cs="Arial"/>
                <w:bCs/>
                <w:color w:val="000000"/>
                <w:sz w:val="18"/>
                <w:szCs w:val="18"/>
                <w:lang w:eastAsia="hr-HR"/>
              </w:rPr>
            </w:pPr>
            <w:r w:rsidRPr="002B46B5">
              <w:rPr>
                <w:rFonts w:ascii="Calibri" w:hAnsi="Calibri"/>
                <w:color w:val="000000"/>
                <w:sz w:val="18"/>
                <w:szCs w:val="18"/>
              </w:rPr>
              <w:t>8.168</w:t>
            </w:r>
          </w:p>
        </w:tc>
        <w:tc>
          <w:tcPr>
            <w:tcW w:w="575" w:type="pct"/>
            <w:tcBorders>
              <w:top w:val="nil"/>
              <w:left w:val="nil"/>
              <w:bottom w:val="nil"/>
              <w:right w:val="nil"/>
            </w:tcBorders>
            <w:shd w:val="clear" w:color="auto" w:fill="auto"/>
            <w:vAlign w:val="center"/>
          </w:tcPr>
          <w:p w14:paraId="33388FF0" w14:textId="3AFBC6E5" w:rsidR="00C14AFC" w:rsidRPr="007E1860" w:rsidRDefault="00C14AFC" w:rsidP="00C14AFC">
            <w:pPr>
              <w:spacing w:after="0" w:line="240" w:lineRule="exact"/>
              <w:jc w:val="right"/>
              <w:outlineLvl w:val="0"/>
              <w:rPr>
                <w:rFonts w:cs="Arial"/>
                <w:bCs/>
                <w:color w:val="000000"/>
                <w:sz w:val="18"/>
                <w:szCs w:val="18"/>
                <w:lang w:eastAsia="hr-HR"/>
              </w:rPr>
            </w:pPr>
            <w:r w:rsidRPr="002B46B5">
              <w:rPr>
                <w:rFonts w:ascii="Calibri" w:hAnsi="Calibri"/>
                <w:color w:val="000000"/>
                <w:sz w:val="18"/>
                <w:szCs w:val="18"/>
              </w:rPr>
              <w:t>480.978</w:t>
            </w:r>
          </w:p>
        </w:tc>
      </w:tr>
      <w:tr w:rsidR="00C14AFC" w:rsidRPr="00BE35B9" w14:paraId="0E382C6F" w14:textId="77777777" w:rsidTr="00312975">
        <w:trPr>
          <w:trHeight w:val="235"/>
        </w:trPr>
        <w:tc>
          <w:tcPr>
            <w:tcW w:w="1545" w:type="pct"/>
            <w:vAlign w:val="bottom"/>
          </w:tcPr>
          <w:p w14:paraId="6540ECE9" w14:textId="77777777" w:rsidR="00C14AFC" w:rsidRPr="00BE35B9" w:rsidRDefault="00C14AFC" w:rsidP="00C14AFC">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Obveze po kreditima</w:t>
            </w:r>
          </w:p>
        </w:tc>
        <w:tc>
          <w:tcPr>
            <w:tcW w:w="576" w:type="pct"/>
            <w:tcBorders>
              <w:top w:val="nil"/>
              <w:left w:val="nil"/>
              <w:bottom w:val="nil"/>
              <w:right w:val="nil"/>
            </w:tcBorders>
            <w:shd w:val="clear" w:color="auto" w:fill="auto"/>
            <w:vAlign w:val="center"/>
          </w:tcPr>
          <w:p w14:paraId="06CD96E4" w14:textId="680A1FC6" w:rsidR="00C14AFC" w:rsidRPr="007E1860" w:rsidRDefault="00C14AFC" w:rsidP="00C14AFC">
            <w:pPr>
              <w:spacing w:after="0" w:line="240" w:lineRule="exact"/>
              <w:jc w:val="right"/>
              <w:outlineLvl w:val="0"/>
              <w:rPr>
                <w:rFonts w:cs="Arial"/>
                <w:bCs/>
                <w:color w:val="000000"/>
                <w:sz w:val="18"/>
                <w:szCs w:val="18"/>
                <w:lang w:eastAsia="hr-HR"/>
              </w:rPr>
            </w:pPr>
            <w:r w:rsidRPr="002B46B5">
              <w:rPr>
                <w:rFonts w:ascii="Calibri" w:hAnsi="Calibri"/>
                <w:color w:val="000000"/>
                <w:sz w:val="18"/>
                <w:szCs w:val="18"/>
              </w:rPr>
              <w:t>201.399</w:t>
            </w:r>
          </w:p>
        </w:tc>
        <w:tc>
          <w:tcPr>
            <w:tcW w:w="576" w:type="pct"/>
            <w:tcBorders>
              <w:top w:val="nil"/>
              <w:left w:val="nil"/>
              <w:bottom w:val="nil"/>
              <w:right w:val="nil"/>
            </w:tcBorders>
            <w:shd w:val="clear" w:color="auto" w:fill="auto"/>
            <w:vAlign w:val="center"/>
          </w:tcPr>
          <w:p w14:paraId="1822600E" w14:textId="6771CDF0" w:rsidR="00C14AFC" w:rsidRPr="007E1860" w:rsidRDefault="00C14AFC" w:rsidP="00C14AFC">
            <w:pPr>
              <w:spacing w:after="0" w:line="240" w:lineRule="exact"/>
              <w:jc w:val="right"/>
              <w:outlineLvl w:val="0"/>
              <w:rPr>
                <w:rFonts w:cs="Arial"/>
                <w:bCs/>
                <w:color w:val="000000"/>
                <w:sz w:val="18"/>
                <w:szCs w:val="18"/>
                <w:lang w:eastAsia="hr-HR"/>
              </w:rPr>
            </w:pPr>
            <w:r w:rsidRPr="002B46B5">
              <w:rPr>
                <w:rFonts w:ascii="Calibri" w:hAnsi="Calibri"/>
                <w:color w:val="000000"/>
                <w:sz w:val="18"/>
                <w:szCs w:val="18"/>
              </w:rPr>
              <w:t>244.373</w:t>
            </w:r>
          </w:p>
        </w:tc>
        <w:tc>
          <w:tcPr>
            <w:tcW w:w="576" w:type="pct"/>
            <w:tcBorders>
              <w:top w:val="nil"/>
              <w:left w:val="nil"/>
              <w:bottom w:val="nil"/>
              <w:right w:val="nil"/>
            </w:tcBorders>
            <w:shd w:val="clear" w:color="auto" w:fill="auto"/>
            <w:vAlign w:val="center"/>
          </w:tcPr>
          <w:p w14:paraId="79CBA78A" w14:textId="13F65651" w:rsidR="00C14AFC" w:rsidRPr="007E1860" w:rsidRDefault="00C14AFC" w:rsidP="00C14AFC">
            <w:pPr>
              <w:spacing w:after="0" w:line="240" w:lineRule="exact"/>
              <w:jc w:val="right"/>
              <w:outlineLvl w:val="0"/>
              <w:rPr>
                <w:rFonts w:cs="Arial"/>
                <w:bCs/>
                <w:color w:val="000000"/>
                <w:sz w:val="18"/>
                <w:szCs w:val="18"/>
                <w:lang w:eastAsia="hr-HR"/>
              </w:rPr>
            </w:pPr>
            <w:r w:rsidRPr="002B46B5">
              <w:rPr>
                <w:rFonts w:ascii="Calibri" w:hAnsi="Calibri"/>
                <w:color w:val="000000"/>
                <w:sz w:val="18"/>
                <w:szCs w:val="18"/>
              </w:rPr>
              <w:t>1.278.757</w:t>
            </w:r>
          </w:p>
        </w:tc>
        <w:tc>
          <w:tcPr>
            <w:tcW w:w="575" w:type="pct"/>
            <w:tcBorders>
              <w:top w:val="nil"/>
              <w:left w:val="nil"/>
              <w:bottom w:val="nil"/>
              <w:right w:val="nil"/>
            </w:tcBorders>
            <w:shd w:val="clear" w:color="auto" w:fill="auto"/>
            <w:vAlign w:val="center"/>
          </w:tcPr>
          <w:p w14:paraId="14E74AA7" w14:textId="6C5A2B01" w:rsidR="00C14AFC" w:rsidRPr="007E1860" w:rsidRDefault="00C14AFC" w:rsidP="00C14AFC">
            <w:pPr>
              <w:spacing w:after="0" w:line="240" w:lineRule="exact"/>
              <w:jc w:val="right"/>
              <w:outlineLvl w:val="0"/>
              <w:rPr>
                <w:rFonts w:cs="Arial"/>
                <w:bCs/>
                <w:color w:val="000000"/>
                <w:sz w:val="18"/>
                <w:szCs w:val="18"/>
                <w:lang w:eastAsia="hr-HR"/>
              </w:rPr>
            </w:pPr>
            <w:r w:rsidRPr="002B46B5">
              <w:rPr>
                <w:rFonts w:ascii="Calibri" w:hAnsi="Calibri"/>
                <w:color w:val="000000"/>
                <w:sz w:val="18"/>
                <w:szCs w:val="18"/>
              </w:rPr>
              <w:t>3.552.143</w:t>
            </w:r>
          </w:p>
        </w:tc>
        <w:tc>
          <w:tcPr>
            <w:tcW w:w="577" w:type="pct"/>
            <w:tcBorders>
              <w:top w:val="nil"/>
              <w:left w:val="nil"/>
              <w:bottom w:val="nil"/>
              <w:right w:val="nil"/>
            </w:tcBorders>
            <w:shd w:val="clear" w:color="auto" w:fill="auto"/>
            <w:vAlign w:val="center"/>
          </w:tcPr>
          <w:p w14:paraId="0827A357" w14:textId="5A30AD70" w:rsidR="00C14AFC" w:rsidRPr="007E1860" w:rsidRDefault="00C14AFC" w:rsidP="00C14AFC">
            <w:pPr>
              <w:spacing w:after="0" w:line="240" w:lineRule="exact"/>
              <w:jc w:val="right"/>
              <w:outlineLvl w:val="0"/>
              <w:rPr>
                <w:rFonts w:cs="Arial"/>
                <w:bCs/>
                <w:color w:val="000000"/>
                <w:sz w:val="18"/>
                <w:szCs w:val="18"/>
                <w:lang w:eastAsia="hr-HR"/>
              </w:rPr>
            </w:pPr>
            <w:r w:rsidRPr="002B46B5">
              <w:rPr>
                <w:rFonts w:ascii="Calibri" w:hAnsi="Calibri"/>
                <w:color w:val="000000"/>
                <w:sz w:val="18"/>
                <w:szCs w:val="18"/>
              </w:rPr>
              <w:t>10.146.909</w:t>
            </w:r>
          </w:p>
        </w:tc>
        <w:tc>
          <w:tcPr>
            <w:tcW w:w="575" w:type="pct"/>
            <w:tcBorders>
              <w:top w:val="nil"/>
              <w:left w:val="nil"/>
              <w:bottom w:val="nil"/>
              <w:right w:val="nil"/>
            </w:tcBorders>
            <w:shd w:val="clear" w:color="auto" w:fill="auto"/>
            <w:vAlign w:val="center"/>
          </w:tcPr>
          <w:p w14:paraId="73B1FCB2" w14:textId="187A8711" w:rsidR="00C14AFC" w:rsidRPr="007E1860" w:rsidRDefault="00C14AFC" w:rsidP="00C14AFC">
            <w:pPr>
              <w:spacing w:after="0" w:line="240" w:lineRule="exact"/>
              <w:jc w:val="right"/>
              <w:outlineLvl w:val="0"/>
              <w:rPr>
                <w:rFonts w:cs="Arial"/>
                <w:bCs/>
                <w:color w:val="000000"/>
                <w:sz w:val="18"/>
                <w:szCs w:val="18"/>
                <w:lang w:eastAsia="hr-HR"/>
              </w:rPr>
            </w:pPr>
            <w:r w:rsidRPr="002B46B5">
              <w:rPr>
                <w:rFonts w:ascii="Calibri" w:hAnsi="Calibri"/>
                <w:color w:val="000000"/>
                <w:sz w:val="18"/>
                <w:szCs w:val="18"/>
              </w:rPr>
              <w:t>15.423.581</w:t>
            </w:r>
          </w:p>
        </w:tc>
      </w:tr>
      <w:tr w:rsidR="00C14AFC" w:rsidRPr="00BE35B9" w14:paraId="63A8EC6A" w14:textId="77777777" w:rsidTr="00312975">
        <w:trPr>
          <w:trHeight w:val="409"/>
        </w:trPr>
        <w:tc>
          <w:tcPr>
            <w:tcW w:w="1545" w:type="pct"/>
            <w:vAlign w:val="bottom"/>
          </w:tcPr>
          <w:p w14:paraId="1C0D43DE" w14:textId="77777777" w:rsidR="00C14AFC" w:rsidRPr="00BE35B9" w:rsidRDefault="00C14AFC" w:rsidP="00C14AFC">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Obveze za izdane dugoročne vrijednosne papire</w:t>
            </w:r>
          </w:p>
        </w:tc>
        <w:tc>
          <w:tcPr>
            <w:tcW w:w="576" w:type="pct"/>
            <w:tcBorders>
              <w:top w:val="nil"/>
              <w:left w:val="nil"/>
              <w:bottom w:val="nil"/>
              <w:right w:val="nil"/>
            </w:tcBorders>
            <w:shd w:val="clear" w:color="auto" w:fill="auto"/>
            <w:vAlign w:val="bottom"/>
          </w:tcPr>
          <w:p w14:paraId="43F14F33" w14:textId="2F9C67CD" w:rsidR="00C14AFC" w:rsidRPr="007E1860" w:rsidRDefault="00C14AFC" w:rsidP="00C14AFC">
            <w:pPr>
              <w:spacing w:after="0" w:line="240" w:lineRule="exact"/>
              <w:jc w:val="right"/>
              <w:outlineLvl w:val="0"/>
              <w:rPr>
                <w:rFonts w:cs="Arial"/>
                <w:bCs/>
                <w:color w:val="000000"/>
                <w:sz w:val="18"/>
                <w:szCs w:val="18"/>
                <w:lang w:eastAsia="hr-HR"/>
              </w:rPr>
            </w:pPr>
            <w:r w:rsidRPr="002B46B5">
              <w:rPr>
                <w:rFonts w:ascii="Calibri" w:hAnsi="Calibri"/>
                <w:color w:val="000000"/>
                <w:sz w:val="18"/>
                <w:szCs w:val="18"/>
              </w:rPr>
              <w:t>-</w:t>
            </w:r>
          </w:p>
        </w:tc>
        <w:tc>
          <w:tcPr>
            <w:tcW w:w="576" w:type="pct"/>
            <w:tcBorders>
              <w:top w:val="nil"/>
              <w:left w:val="nil"/>
              <w:bottom w:val="nil"/>
              <w:right w:val="nil"/>
            </w:tcBorders>
            <w:shd w:val="clear" w:color="auto" w:fill="auto"/>
            <w:vAlign w:val="bottom"/>
          </w:tcPr>
          <w:p w14:paraId="1B78302C" w14:textId="1E46E809" w:rsidR="00C14AFC" w:rsidRPr="007E1860" w:rsidRDefault="00C14AFC" w:rsidP="00C14AFC">
            <w:pPr>
              <w:spacing w:after="0" w:line="240" w:lineRule="exact"/>
              <w:jc w:val="right"/>
              <w:outlineLvl w:val="0"/>
              <w:rPr>
                <w:rFonts w:cs="Arial"/>
                <w:bCs/>
                <w:color w:val="000000"/>
                <w:sz w:val="18"/>
                <w:szCs w:val="18"/>
                <w:lang w:eastAsia="hr-HR"/>
              </w:rPr>
            </w:pPr>
            <w:r w:rsidRPr="002B46B5">
              <w:rPr>
                <w:rFonts w:ascii="Calibri" w:hAnsi="Calibri"/>
                <w:color w:val="000000"/>
                <w:sz w:val="18"/>
                <w:szCs w:val="18"/>
              </w:rPr>
              <w:t>9.679</w:t>
            </w:r>
          </w:p>
        </w:tc>
        <w:tc>
          <w:tcPr>
            <w:tcW w:w="576" w:type="pct"/>
            <w:tcBorders>
              <w:top w:val="nil"/>
              <w:left w:val="nil"/>
              <w:bottom w:val="nil"/>
              <w:right w:val="nil"/>
            </w:tcBorders>
            <w:shd w:val="clear" w:color="auto" w:fill="auto"/>
            <w:vAlign w:val="bottom"/>
          </w:tcPr>
          <w:p w14:paraId="6CDCB6E3" w14:textId="21405C77" w:rsidR="00C14AFC" w:rsidRPr="007E1860" w:rsidRDefault="00C14AFC" w:rsidP="00C14AFC">
            <w:pPr>
              <w:spacing w:after="0" w:line="240" w:lineRule="exact"/>
              <w:jc w:val="right"/>
              <w:outlineLvl w:val="0"/>
              <w:rPr>
                <w:rFonts w:cs="Arial"/>
                <w:bCs/>
                <w:color w:val="000000"/>
                <w:sz w:val="18"/>
                <w:szCs w:val="18"/>
                <w:lang w:eastAsia="hr-HR"/>
              </w:rPr>
            </w:pPr>
            <w:r w:rsidRPr="002B46B5">
              <w:rPr>
                <w:rFonts w:ascii="Calibri" w:hAnsi="Calibri"/>
                <w:color w:val="000000"/>
                <w:sz w:val="18"/>
                <w:szCs w:val="18"/>
              </w:rPr>
              <w:t>-</w:t>
            </w:r>
          </w:p>
        </w:tc>
        <w:tc>
          <w:tcPr>
            <w:tcW w:w="575" w:type="pct"/>
            <w:tcBorders>
              <w:top w:val="nil"/>
              <w:left w:val="nil"/>
              <w:bottom w:val="nil"/>
              <w:right w:val="nil"/>
            </w:tcBorders>
            <w:shd w:val="clear" w:color="auto" w:fill="auto"/>
            <w:vAlign w:val="bottom"/>
          </w:tcPr>
          <w:p w14:paraId="6A61176D" w14:textId="3D2807BD" w:rsidR="00C14AFC" w:rsidRPr="007E1860" w:rsidRDefault="00C14AFC" w:rsidP="00C14AFC">
            <w:pPr>
              <w:spacing w:after="0" w:line="240" w:lineRule="exact"/>
              <w:jc w:val="right"/>
              <w:outlineLvl w:val="0"/>
              <w:rPr>
                <w:rFonts w:cs="Arial"/>
                <w:bCs/>
                <w:color w:val="000000"/>
                <w:sz w:val="18"/>
                <w:szCs w:val="18"/>
                <w:lang w:eastAsia="hr-HR"/>
              </w:rPr>
            </w:pPr>
            <w:r w:rsidRPr="00DB62EA">
              <w:rPr>
                <w:rFonts w:ascii="Calibri" w:hAnsi="Calibri"/>
                <w:color w:val="000000"/>
                <w:sz w:val="18"/>
                <w:szCs w:val="18"/>
              </w:rPr>
              <w:t>1.100.085</w:t>
            </w:r>
          </w:p>
        </w:tc>
        <w:tc>
          <w:tcPr>
            <w:tcW w:w="577" w:type="pct"/>
            <w:tcBorders>
              <w:top w:val="nil"/>
              <w:left w:val="nil"/>
              <w:bottom w:val="nil"/>
              <w:right w:val="nil"/>
            </w:tcBorders>
            <w:shd w:val="clear" w:color="auto" w:fill="auto"/>
            <w:vAlign w:val="bottom"/>
          </w:tcPr>
          <w:p w14:paraId="29CC9F45" w14:textId="43BDB494" w:rsidR="00C14AFC" w:rsidRPr="007E1860" w:rsidRDefault="00C14AFC" w:rsidP="00C14AFC">
            <w:pPr>
              <w:spacing w:after="0" w:line="240" w:lineRule="exact"/>
              <w:jc w:val="right"/>
              <w:outlineLvl w:val="0"/>
              <w:rPr>
                <w:rFonts w:cs="Arial"/>
                <w:bCs/>
                <w:color w:val="000000"/>
                <w:sz w:val="18"/>
                <w:szCs w:val="18"/>
                <w:lang w:eastAsia="hr-HR"/>
              </w:rPr>
            </w:pPr>
            <w:r w:rsidRPr="00DB62EA">
              <w:rPr>
                <w:rFonts w:ascii="Calibri" w:hAnsi="Calibri"/>
                <w:color w:val="000000"/>
                <w:sz w:val="18"/>
                <w:szCs w:val="18"/>
              </w:rPr>
              <w:t>-</w:t>
            </w:r>
          </w:p>
        </w:tc>
        <w:tc>
          <w:tcPr>
            <w:tcW w:w="575" w:type="pct"/>
            <w:tcBorders>
              <w:top w:val="nil"/>
              <w:left w:val="nil"/>
              <w:bottom w:val="nil"/>
              <w:right w:val="nil"/>
            </w:tcBorders>
            <w:shd w:val="clear" w:color="auto" w:fill="auto"/>
            <w:vAlign w:val="bottom"/>
          </w:tcPr>
          <w:p w14:paraId="2A06D869" w14:textId="5FC56037" w:rsidR="00C14AFC" w:rsidRPr="007E1860" w:rsidRDefault="00C14AFC" w:rsidP="00C14AFC">
            <w:pPr>
              <w:spacing w:after="0" w:line="240" w:lineRule="exact"/>
              <w:jc w:val="right"/>
              <w:outlineLvl w:val="0"/>
              <w:rPr>
                <w:rFonts w:cs="Arial"/>
                <w:bCs/>
                <w:color w:val="000000"/>
                <w:sz w:val="18"/>
                <w:szCs w:val="18"/>
                <w:lang w:eastAsia="hr-HR"/>
              </w:rPr>
            </w:pPr>
            <w:r w:rsidRPr="002B46B5">
              <w:rPr>
                <w:rFonts w:ascii="Calibri" w:hAnsi="Calibri"/>
                <w:color w:val="000000"/>
                <w:sz w:val="18"/>
                <w:szCs w:val="18"/>
              </w:rPr>
              <w:t>1.109.764</w:t>
            </w:r>
          </w:p>
        </w:tc>
      </w:tr>
      <w:tr w:rsidR="00C14AFC" w:rsidRPr="00BE35B9" w14:paraId="007F5AC3" w14:textId="77777777" w:rsidTr="00312975">
        <w:trPr>
          <w:trHeight w:val="247"/>
        </w:trPr>
        <w:tc>
          <w:tcPr>
            <w:tcW w:w="1545" w:type="pct"/>
            <w:vAlign w:val="bottom"/>
          </w:tcPr>
          <w:p w14:paraId="62828828" w14:textId="77777777" w:rsidR="00C14AFC" w:rsidRPr="00BE35B9" w:rsidRDefault="00C14AFC" w:rsidP="00C14AFC">
            <w:pPr>
              <w:pStyle w:val="TT"/>
              <w:spacing w:line="240" w:lineRule="auto"/>
              <w:rPr>
                <w:rFonts w:asciiTheme="minorHAnsi" w:hAnsiTheme="minorHAnsi" w:cs="Arial"/>
                <w:sz w:val="17"/>
                <w:szCs w:val="17"/>
                <w:lang w:val="hr-HR"/>
              </w:rPr>
            </w:pPr>
            <w:r w:rsidRPr="00BE35B9">
              <w:rPr>
                <w:rFonts w:asciiTheme="minorHAnsi" w:hAnsiTheme="minorHAnsi" w:cs="Arial"/>
                <w:spacing w:val="-2"/>
                <w:sz w:val="17"/>
                <w:szCs w:val="17"/>
                <w:lang w:val="hr-HR"/>
              </w:rPr>
              <w:t>Ostale obveze</w:t>
            </w:r>
          </w:p>
        </w:tc>
        <w:tc>
          <w:tcPr>
            <w:tcW w:w="576" w:type="pct"/>
            <w:tcBorders>
              <w:top w:val="nil"/>
              <w:left w:val="nil"/>
              <w:bottom w:val="nil"/>
              <w:right w:val="nil"/>
            </w:tcBorders>
            <w:shd w:val="clear" w:color="auto" w:fill="auto"/>
            <w:vAlign w:val="center"/>
          </w:tcPr>
          <w:p w14:paraId="44AE44B7" w14:textId="3208FEA4" w:rsidR="00C14AFC" w:rsidRPr="007E1860" w:rsidRDefault="00C14AFC" w:rsidP="00C14AFC">
            <w:pPr>
              <w:spacing w:after="0" w:line="240" w:lineRule="exact"/>
              <w:jc w:val="right"/>
              <w:outlineLvl w:val="0"/>
              <w:rPr>
                <w:rFonts w:cs="Arial"/>
                <w:bCs/>
                <w:color w:val="000000"/>
                <w:sz w:val="18"/>
                <w:szCs w:val="18"/>
                <w:lang w:eastAsia="hr-HR"/>
              </w:rPr>
            </w:pPr>
            <w:r w:rsidRPr="002B46B5">
              <w:rPr>
                <w:rFonts w:ascii="Calibri" w:hAnsi="Calibri"/>
                <w:color w:val="000000"/>
                <w:sz w:val="18"/>
                <w:szCs w:val="18"/>
              </w:rPr>
              <w:t>156.792</w:t>
            </w:r>
          </w:p>
        </w:tc>
        <w:tc>
          <w:tcPr>
            <w:tcW w:w="576" w:type="pct"/>
            <w:tcBorders>
              <w:top w:val="nil"/>
              <w:left w:val="nil"/>
              <w:bottom w:val="nil"/>
              <w:right w:val="nil"/>
            </w:tcBorders>
            <w:shd w:val="clear" w:color="auto" w:fill="auto"/>
            <w:vAlign w:val="center"/>
          </w:tcPr>
          <w:p w14:paraId="6C8F06AE" w14:textId="1E1D9932" w:rsidR="00C14AFC" w:rsidRPr="007E1860" w:rsidRDefault="00C14AFC" w:rsidP="00C14AFC">
            <w:pPr>
              <w:spacing w:after="0" w:line="240" w:lineRule="exact"/>
              <w:jc w:val="right"/>
              <w:outlineLvl w:val="0"/>
              <w:rPr>
                <w:rFonts w:cs="Arial"/>
                <w:bCs/>
                <w:color w:val="000000"/>
                <w:sz w:val="18"/>
                <w:szCs w:val="18"/>
                <w:lang w:eastAsia="hr-HR"/>
              </w:rPr>
            </w:pPr>
            <w:r w:rsidRPr="002B46B5">
              <w:rPr>
                <w:rFonts w:ascii="Calibri" w:hAnsi="Calibri"/>
                <w:color w:val="000000"/>
                <w:sz w:val="18"/>
                <w:szCs w:val="18"/>
              </w:rPr>
              <w:t>26.321</w:t>
            </w:r>
          </w:p>
        </w:tc>
        <w:tc>
          <w:tcPr>
            <w:tcW w:w="576" w:type="pct"/>
            <w:tcBorders>
              <w:top w:val="nil"/>
              <w:left w:val="nil"/>
              <w:bottom w:val="nil"/>
              <w:right w:val="nil"/>
            </w:tcBorders>
            <w:shd w:val="clear" w:color="auto" w:fill="auto"/>
            <w:vAlign w:val="center"/>
          </w:tcPr>
          <w:p w14:paraId="4600381F" w14:textId="708ACECE" w:rsidR="00C14AFC" w:rsidRPr="007E1860" w:rsidRDefault="00C14AFC" w:rsidP="00C14AFC">
            <w:pPr>
              <w:spacing w:after="0" w:line="240" w:lineRule="exact"/>
              <w:jc w:val="right"/>
              <w:outlineLvl w:val="0"/>
              <w:rPr>
                <w:rFonts w:cs="Arial"/>
                <w:bCs/>
                <w:color w:val="000000"/>
                <w:sz w:val="18"/>
                <w:szCs w:val="18"/>
                <w:lang w:eastAsia="hr-HR"/>
              </w:rPr>
            </w:pPr>
            <w:r w:rsidRPr="002B46B5">
              <w:rPr>
                <w:rFonts w:ascii="Calibri" w:hAnsi="Calibri"/>
                <w:color w:val="000000"/>
                <w:sz w:val="18"/>
                <w:szCs w:val="18"/>
              </w:rPr>
              <w:t>89.623</w:t>
            </w:r>
          </w:p>
        </w:tc>
        <w:tc>
          <w:tcPr>
            <w:tcW w:w="575" w:type="pct"/>
            <w:tcBorders>
              <w:top w:val="nil"/>
              <w:left w:val="nil"/>
              <w:bottom w:val="nil"/>
              <w:right w:val="nil"/>
            </w:tcBorders>
            <w:shd w:val="clear" w:color="auto" w:fill="auto"/>
          </w:tcPr>
          <w:p w14:paraId="1175E14B" w14:textId="182CA528" w:rsidR="00C14AFC" w:rsidRPr="007E1860" w:rsidRDefault="00C14AFC" w:rsidP="00C14AFC">
            <w:pPr>
              <w:spacing w:after="0" w:line="240" w:lineRule="exact"/>
              <w:jc w:val="right"/>
              <w:outlineLvl w:val="0"/>
              <w:rPr>
                <w:rFonts w:cs="Arial"/>
                <w:bCs/>
                <w:color w:val="000000"/>
                <w:sz w:val="18"/>
                <w:szCs w:val="18"/>
                <w:lang w:eastAsia="hr-HR"/>
              </w:rPr>
            </w:pPr>
            <w:r w:rsidRPr="00DB62EA">
              <w:rPr>
                <w:rFonts w:ascii="Calibri" w:hAnsi="Calibri"/>
                <w:color w:val="000000"/>
                <w:sz w:val="18"/>
                <w:szCs w:val="18"/>
              </w:rPr>
              <w:t>176.133</w:t>
            </w:r>
          </w:p>
        </w:tc>
        <w:tc>
          <w:tcPr>
            <w:tcW w:w="577" w:type="pct"/>
            <w:tcBorders>
              <w:top w:val="nil"/>
              <w:left w:val="nil"/>
              <w:bottom w:val="nil"/>
              <w:right w:val="nil"/>
            </w:tcBorders>
            <w:shd w:val="clear" w:color="auto" w:fill="auto"/>
          </w:tcPr>
          <w:p w14:paraId="7250C087" w14:textId="03C8ADCD" w:rsidR="00C14AFC" w:rsidRPr="007E1860" w:rsidRDefault="00C14AFC" w:rsidP="00C14AFC">
            <w:pPr>
              <w:spacing w:after="0" w:line="240" w:lineRule="exact"/>
              <w:jc w:val="right"/>
              <w:outlineLvl w:val="0"/>
              <w:rPr>
                <w:rFonts w:cs="Arial"/>
                <w:bCs/>
                <w:color w:val="000000"/>
                <w:sz w:val="18"/>
                <w:szCs w:val="18"/>
                <w:lang w:eastAsia="hr-HR"/>
              </w:rPr>
            </w:pPr>
            <w:r w:rsidRPr="00DB62EA">
              <w:rPr>
                <w:rFonts w:ascii="Calibri" w:hAnsi="Calibri"/>
                <w:color w:val="000000"/>
                <w:sz w:val="18"/>
                <w:szCs w:val="18"/>
              </w:rPr>
              <w:t>187.984</w:t>
            </w:r>
          </w:p>
        </w:tc>
        <w:tc>
          <w:tcPr>
            <w:tcW w:w="575" w:type="pct"/>
            <w:tcBorders>
              <w:top w:val="nil"/>
              <w:left w:val="nil"/>
              <w:bottom w:val="nil"/>
              <w:right w:val="nil"/>
            </w:tcBorders>
            <w:shd w:val="clear" w:color="auto" w:fill="auto"/>
            <w:vAlign w:val="center"/>
          </w:tcPr>
          <w:p w14:paraId="1EF6E36C" w14:textId="44C042C7" w:rsidR="00C14AFC" w:rsidRPr="007E1860" w:rsidRDefault="00C14AFC" w:rsidP="00C14AFC">
            <w:pPr>
              <w:spacing w:after="0" w:line="240" w:lineRule="exact"/>
              <w:jc w:val="right"/>
              <w:outlineLvl w:val="0"/>
              <w:rPr>
                <w:rFonts w:cs="Arial"/>
                <w:bCs/>
                <w:color w:val="000000"/>
                <w:sz w:val="18"/>
                <w:szCs w:val="18"/>
                <w:lang w:eastAsia="hr-HR"/>
              </w:rPr>
            </w:pPr>
            <w:r w:rsidRPr="002B46B5">
              <w:rPr>
                <w:rFonts w:ascii="Calibri" w:hAnsi="Calibri"/>
                <w:color w:val="000000"/>
                <w:sz w:val="18"/>
                <w:szCs w:val="18"/>
              </w:rPr>
              <w:t>636.853</w:t>
            </w:r>
          </w:p>
        </w:tc>
      </w:tr>
      <w:tr w:rsidR="00C14AFC" w:rsidRPr="00BE35B9" w14:paraId="272F0383" w14:textId="77777777" w:rsidTr="00312975">
        <w:trPr>
          <w:trHeight w:val="222"/>
        </w:trPr>
        <w:tc>
          <w:tcPr>
            <w:tcW w:w="1545" w:type="pct"/>
            <w:vAlign w:val="bottom"/>
          </w:tcPr>
          <w:p w14:paraId="30C9AAFB" w14:textId="77777777" w:rsidR="00C14AFC" w:rsidRPr="00BE35B9" w:rsidRDefault="00C14AFC" w:rsidP="00C14AFC">
            <w:pPr>
              <w:pStyle w:val="Tot"/>
              <w:spacing w:line="220" w:lineRule="exact"/>
              <w:rPr>
                <w:rFonts w:asciiTheme="minorHAnsi" w:hAnsiTheme="minorHAnsi" w:cs="Arial"/>
                <w:b/>
                <w:bCs/>
                <w:sz w:val="17"/>
                <w:szCs w:val="17"/>
                <w:lang w:val="hr-HR"/>
              </w:rPr>
            </w:pPr>
            <w:r w:rsidRPr="00BE35B9">
              <w:rPr>
                <w:rFonts w:asciiTheme="minorHAnsi" w:hAnsiTheme="minorHAnsi" w:cs="Arial"/>
                <w:b/>
                <w:bCs/>
                <w:sz w:val="17"/>
                <w:szCs w:val="17"/>
                <w:lang w:val="hr-HR"/>
              </w:rPr>
              <w:t>Ukupne obveze</w:t>
            </w:r>
          </w:p>
        </w:tc>
        <w:tc>
          <w:tcPr>
            <w:tcW w:w="576" w:type="pct"/>
            <w:tcBorders>
              <w:top w:val="single" w:sz="4" w:space="0" w:color="auto"/>
              <w:left w:val="nil"/>
              <w:bottom w:val="single" w:sz="8" w:space="0" w:color="auto"/>
              <w:right w:val="nil"/>
            </w:tcBorders>
            <w:shd w:val="clear" w:color="auto" w:fill="auto"/>
            <w:vAlign w:val="bottom"/>
          </w:tcPr>
          <w:p w14:paraId="43B1253E" w14:textId="1ECE93B4" w:rsidR="00C14AFC" w:rsidRPr="007E1860" w:rsidRDefault="00C14AFC" w:rsidP="00C14AFC">
            <w:pPr>
              <w:spacing w:after="0" w:line="240" w:lineRule="exact"/>
              <w:jc w:val="right"/>
              <w:outlineLvl w:val="0"/>
              <w:rPr>
                <w:rFonts w:cs="Arial"/>
                <w:b/>
                <w:bCs/>
                <w:color w:val="000000"/>
                <w:sz w:val="18"/>
                <w:szCs w:val="18"/>
                <w:lang w:eastAsia="hr-HR"/>
              </w:rPr>
            </w:pPr>
            <w:r w:rsidRPr="002B46B5">
              <w:rPr>
                <w:rFonts w:ascii="Calibri" w:hAnsi="Calibri"/>
                <w:b/>
                <w:bCs/>
                <w:color w:val="000000"/>
                <w:sz w:val="18"/>
                <w:szCs w:val="18"/>
              </w:rPr>
              <w:t>576.718</w:t>
            </w:r>
          </w:p>
        </w:tc>
        <w:tc>
          <w:tcPr>
            <w:tcW w:w="576" w:type="pct"/>
            <w:tcBorders>
              <w:top w:val="single" w:sz="4" w:space="0" w:color="auto"/>
              <w:left w:val="nil"/>
              <w:bottom w:val="single" w:sz="8" w:space="0" w:color="auto"/>
              <w:right w:val="nil"/>
            </w:tcBorders>
            <w:shd w:val="clear" w:color="auto" w:fill="auto"/>
            <w:vAlign w:val="bottom"/>
          </w:tcPr>
          <w:p w14:paraId="7DEE9A7E" w14:textId="760517D6" w:rsidR="00C14AFC" w:rsidRPr="007E1860" w:rsidRDefault="00C14AFC" w:rsidP="00C14AFC">
            <w:pPr>
              <w:spacing w:after="0" w:line="240" w:lineRule="exact"/>
              <w:jc w:val="right"/>
              <w:outlineLvl w:val="0"/>
              <w:rPr>
                <w:rFonts w:cs="Arial"/>
                <w:b/>
                <w:bCs/>
                <w:color w:val="000000"/>
                <w:sz w:val="18"/>
                <w:szCs w:val="18"/>
                <w:lang w:eastAsia="hr-HR"/>
              </w:rPr>
            </w:pPr>
            <w:r w:rsidRPr="002B46B5">
              <w:rPr>
                <w:rFonts w:ascii="Calibri" w:hAnsi="Calibri"/>
                <w:b/>
                <w:bCs/>
                <w:color w:val="000000"/>
                <w:sz w:val="18"/>
                <w:szCs w:val="18"/>
              </w:rPr>
              <w:t>444.506</w:t>
            </w:r>
          </w:p>
        </w:tc>
        <w:tc>
          <w:tcPr>
            <w:tcW w:w="576" w:type="pct"/>
            <w:tcBorders>
              <w:top w:val="single" w:sz="4" w:space="0" w:color="auto"/>
              <w:left w:val="nil"/>
              <w:bottom w:val="single" w:sz="8" w:space="0" w:color="auto"/>
              <w:right w:val="nil"/>
            </w:tcBorders>
            <w:shd w:val="clear" w:color="auto" w:fill="auto"/>
            <w:vAlign w:val="bottom"/>
          </w:tcPr>
          <w:p w14:paraId="45A9C990" w14:textId="3C705677" w:rsidR="00C14AFC" w:rsidRPr="007E1860" w:rsidRDefault="00C14AFC" w:rsidP="00C14AFC">
            <w:pPr>
              <w:spacing w:after="0" w:line="240" w:lineRule="exact"/>
              <w:jc w:val="right"/>
              <w:outlineLvl w:val="0"/>
              <w:rPr>
                <w:rFonts w:cs="Arial"/>
                <w:b/>
                <w:bCs/>
                <w:color w:val="000000"/>
                <w:sz w:val="18"/>
                <w:szCs w:val="18"/>
                <w:lang w:eastAsia="hr-HR"/>
              </w:rPr>
            </w:pPr>
            <w:r w:rsidRPr="002B46B5">
              <w:rPr>
                <w:rFonts w:ascii="Calibri" w:hAnsi="Calibri"/>
                <w:b/>
                <w:bCs/>
                <w:color w:val="000000"/>
                <w:sz w:val="18"/>
                <w:szCs w:val="18"/>
              </w:rPr>
              <w:t>1.409.074</w:t>
            </w:r>
          </w:p>
        </w:tc>
        <w:tc>
          <w:tcPr>
            <w:tcW w:w="575" w:type="pct"/>
            <w:tcBorders>
              <w:top w:val="single" w:sz="4" w:space="0" w:color="auto"/>
              <w:left w:val="nil"/>
              <w:bottom w:val="single" w:sz="8" w:space="0" w:color="auto"/>
              <w:right w:val="nil"/>
            </w:tcBorders>
            <w:shd w:val="clear" w:color="auto" w:fill="auto"/>
            <w:vAlign w:val="bottom"/>
          </w:tcPr>
          <w:p w14:paraId="1DA66179" w14:textId="3CB1F876" w:rsidR="00C14AFC" w:rsidRPr="007E1860" w:rsidRDefault="00C14AFC" w:rsidP="00C14AFC">
            <w:pPr>
              <w:spacing w:after="0" w:line="240" w:lineRule="exact"/>
              <w:jc w:val="right"/>
              <w:outlineLvl w:val="0"/>
              <w:rPr>
                <w:rFonts w:cs="Arial"/>
                <w:b/>
                <w:bCs/>
                <w:color w:val="000000"/>
                <w:sz w:val="18"/>
                <w:szCs w:val="18"/>
                <w:lang w:eastAsia="hr-HR"/>
              </w:rPr>
            </w:pPr>
            <w:r w:rsidRPr="00DB62EA">
              <w:rPr>
                <w:rFonts w:ascii="Calibri" w:hAnsi="Calibri"/>
                <w:b/>
                <w:bCs/>
                <w:color w:val="000000"/>
                <w:sz w:val="18"/>
                <w:szCs w:val="18"/>
              </w:rPr>
              <w:t>4.877.817</w:t>
            </w:r>
          </w:p>
        </w:tc>
        <w:tc>
          <w:tcPr>
            <w:tcW w:w="577" w:type="pct"/>
            <w:tcBorders>
              <w:top w:val="single" w:sz="4" w:space="0" w:color="auto"/>
              <w:left w:val="nil"/>
              <w:bottom w:val="single" w:sz="8" w:space="0" w:color="auto"/>
              <w:right w:val="nil"/>
            </w:tcBorders>
            <w:shd w:val="clear" w:color="auto" w:fill="auto"/>
            <w:vAlign w:val="bottom"/>
          </w:tcPr>
          <w:p w14:paraId="12F60F5D" w14:textId="1295898E" w:rsidR="00C14AFC" w:rsidRPr="007E1860" w:rsidRDefault="00C14AFC" w:rsidP="00C14AFC">
            <w:pPr>
              <w:spacing w:after="0" w:line="240" w:lineRule="exact"/>
              <w:jc w:val="right"/>
              <w:outlineLvl w:val="0"/>
              <w:rPr>
                <w:rFonts w:cs="Arial"/>
                <w:b/>
                <w:bCs/>
                <w:color w:val="000000"/>
                <w:sz w:val="18"/>
                <w:szCs w:val="18"/>
                <w:lang w:eastAsia="hr-HR"/>
              </w:rPr>
            </w:pPr>
            <w:r w:rsidRPr="00DB62EA">
              <w:rPr>
                <w:rFonts w:ascii="Calibri" w:hAnsi="Calibri"/>
                <w:b/>
                <w:bCs/>
                <w:color w:val="000000"/>
                <w:sz w:val="18"/>
                <w:szCs w:val="18"/>
              </w:rPr>
              <w:t>10.343.061</w:t>
            </w:r>
          </w:p>
        </w:tc>
        <w:tc>
          <w:tcPr>
            <w:tcW w:w="575" w:type="pct"/>
            <w:tcBorders>
              <w:top w:val="single" w:sz="4" w:space="0" w:color="auto"/>
              <w:left w:val="nil"/>
              <w:bottom w:val="single" w:sz="8" w:space="0" w:color="auto"/>
              <w:right w:val="nil"/>
            </w:tcBorders>
            <w:shd w:val="clear" w:color="auto" w:fill="auto"/>
            <w:vAlign w:val="bottom"/>
          </w:tcPr>
          <w:p w14:paraId="04B8234D" w14:textId="0DCAD964" w:rsidR="00C14AFC" w:rsidRPr="007E1860" w:rsidRDefault="00C14AFC" w:rsidP="00C14AFC">
            <w:pPr>
              <w:spacing w:after="0" w:line="240" w:lineRule="exact"/>
              <w:jc w:val="right"/>
              <w:outlineLvl w:val="0"/>
              <w:rPr>
                <w:rFonts w:cs="Arial"/>
                <w:b/>
                <w:bCs/>
                <w:color w:val="000000"/>
                <w:sz w:val="18"/>
                <w:szCs w:val="18"/>
                <w:lang w:eastAsia="hr-HR"/>
              </w:rPr>
            </w:pPr>
            <w:r w:rsidRPr="002B46B5">
              <w:rPr>
                <w:rFonts w:ascii="Calibri" w:hAnsi="Calibri"/>
                <w:b/>
                <w:bCs/>
                <w:color w:val="000000"/>
                <w:sz w:val="18"/>
                <w:szCs w:val="18"/>
              </w:rPr>
              <w:t>17.651.176</w:t>
            </w:r>
          </w:p>
        </w:tc>
      </w:tr>
      <w:tr w:rsidR="00D34B9C" w:rsidRPr="00BE35B9" w14:paraId="415FCD7B" w14:textId="77777777" w:rsidTr="005F1FBF">
        <w:trPr>
          <w:trHeight w:val="136"/>
        </w:trPr>
        <w:tc>
          <w:tcPr>
            <w:tcW w:w="1545" w:type="pct"/>
            <w:vAlign w:val="bottom"/>
          </w:tcPr>
          <w:p w14:paraId="51A67774" w14:textId="77777777" w:rsidR="00D34B9C" w:rsidRPr="00BE35B9" w:rsidRDefault="00D34B9C">
            <w:pPr>
              <w:pStyle w:val="TT"/>
              <w:spacing w:line="220" w:lineRule="exact"/>
              <w:rPr>
                <w:rFonts w:asciiTheme="minorHAnsi" w:hAnsiTheme="minorHAnsi" w:cs="Arial"/>
                <w:sz w:val="17"/>
                <w:szCs w:val="17"/>
                <w:lang w:val="hr-HR"/>
              </w:rPr>
            </w:pPr>
            <w:r w:rsidRPr="00BE35B9">
              <w:rPr>
                <w:rFonts w:asciiTheme="minorHAnsi" w:hAnsiTheme="minorHAnsi" w:cs="Arial"/>
                <w:b/>
                <w:bCs/>
                <w:sz w:val="17"/>
                <w:szCs w:val="17"/>
                <w:lang w:val="hr-HR"/>
              </w:rPr>
              <w:t>Kapital</w:t>
            </w:r>
          </w:p>
        </w:tc>
        <w:tc>
          <w:tcPr>
            <w:tcW w:w="576" w:type="pct"/>
            <w:tcBorders>
              <w:top w:val="single" w:sz="12" w:space="0" w:color="auto"/>
            </w:tcBorders>
            <w:vAlign w:val="bottom"/>
          </w:tcPr>
          <w:p w14:paraId="7A418630" w14:textId="77777777" w:rsidR="00D34B9C" w:rsidRPr="007E1860" w:rsidRDefault="00D34B9C">
            <w:pPr>
              <w:pStyle w:val="TT"/>
              <w:tabs>
                <w:tab w:val="clear" w:pos="1202"/>
              </w:tabs>
              <w:spacing w:line="220" w:lineRule="exact"/>
              <w:jc w:val="right"/>
              <w:rPr>
                <w:rFonts w:asciiTheme="minorHAnsi" w:hAnsiTheme="minorHAnsi" w:cs="Arial"/>
                <w:spacing w:val="-2"/>
                <w:sz w:val="18"/>
                <w:szCs w:val="18"/>
                <w:lang w:val="hr-HR"/>
              </w:rPr>
            </w:pPr>
          </w:p>
        </w:tc>
        <w:tc>
          <w:tcPr>
            <w:tcW w:w="576" w:type="pct"/>
            <w:tcBorders>
              <w:top w:val="single" w:sz="12" w:space="0" w:color="auto"/>
            </w:tcBorders>
            <w:vAlign w:val="bottom"/>
          </w:tcPr>
          <w:p w14:paraId="3EC5D29A" w14:textId="77777777" w:rsidR="00D34B9C" w:rsidRPr="007E1860" w:rsidRDefault="00D34B9C">
            <w:pPr>
              <w:pStyle w:val="TT"/>
              <w:tabs>
                <w:tab w:val="clear" w:pos="1202"/>
              </w:tabs>
              <w:spacing w:line="220" w:lineRule="exact"/>
              <w:jc w:val="right"/>
              <w:rPr>
                <w:rFonts w:asciiTheme="minorHAnsi" w:hAnsiTheme="minorHAnsi" w:cs="Arial"/>
                <w:spacing w:val="-2"/>
                <w:sz w:val="18"/>
                <w:szCs w:val="18"/>
                <w:lang w:val="hr-HR"/>
              </w:rPr>
            </w:pPr>
          </w:p>
        </w:tc>
        <w:tc>
          <w:tcPr>
            <w:tcW w:w="576" w:type="pct"/>
            <w:tcBorders>
              <w:top w:val="single" w:sz="12" w:space="0" w:color="auto"/>
            </w:tcBorders>
            <w:vAlign w:val="bottom"/>
          </w:tcPr>
          <w:p w14:paraId="462D3ED4" w14:textId="77777777" w:rsidR="00D34B9C" w:rsidRPr="007E1860" w:rsidRDefault="00D34B9C">
            <w:pPr>
              <w:pStyle w:val="TT"/>
              <w:tabs>
                <w:tab w:val="clear" w:pos="1202"/>
              </w:tabs>
              <w:spacing w:line="220" w:lineRule="exact"/>
              <w:jc w:val="right"/>
              <w:rPr>
                <w:rFonts w:asciiTheme="minorHAnsi" w:hAnsiTheme="minorHAnsi" w:cs="Arial"/>
                <w:spacing w:val="-2"/>
                <w:sz w:val="18"/>
                <w:szCs w:val="18"/>
                <w:lang w:val="hr-HR"/>
              </w:rPr>
            </w:pPr>
          </w:p>
        </w:tc>
        <w:tc>
          <w:tcPr>
            <w:tcW w:w="575" w:type="pct"/>
            <w:tcBorders>
              <w:top w:val="single" w:sz="12" w:space="0" w:color="auto"/>
            </w:tcBorders>
            <w:vAlign w:val="bottom"/>
          </w:tcPr>
          <w:p w14:paraId="50D01F89" w14:textId="77777777" w:rsidR="00D34B9C" w:rsidRPr="007E1860" w:rsidRDefault="00D34B9C">
            <w:pPr>
              <w:pStyle w:val="TT"/>
              <w:tabs>
                <w:tab w:val="clear" w:pos="1202"/>
              </w:tabs>
              <w:spacing w:line="220" w:lineRule="exact"/>
              <w:jc w:val="right"/>
              <w:rPr>
                <w:rFonts w:asciiTheme="minorHAnsi" w:hAnsiTheme="minorHAnsi" w:cs="Arial"/>
                <w:spacing w:val="-2"/>
                <w:sz w:val="18"/>
                <w:szCs w:val="18"/>
                <w:lang w:val="hr-HR"/>
              </w:rPr>
            </w:pPr>
          </w:p>
        </w:tc>
        <w:tc>
          <w:tcPr>
            <w:tcW w:w="577" w:type="pct"/>
            <w:tcBorders>
              <w:top w:val="single" w:sz="12" w:space="0" w:color="auto"/>
            </w:tcBorders>
            <w:vAlign w:val="bottom"/>
          </w:tcPr>
          <w:p w14:paraId="5B56A069" w14:textId="77777777" w:rsidR="00D34B9C" w:rsidRPr="007E1860" w:rsidRDefault="00D34B9C">
            <w:pPr>
              <w:pStyle w:val="TT"/>
              <w:tabs>
                <w:tab w:val="clear" w:pos="1202"/>
              </w:tabs>
              <w:spacing w:line="220" w:lineRule="exact"/>
              <w:jc w:val="right"/>
              <w:rPr>
                <w:rFonts w:asciiTheme="minorHAnsi" w:hAnsiTheme="minorHAnsi" w:cs="Arial"/>
                <w:spacing w:val="-2"/>
                <w:sz w:val="18"/>
                <w:szCs w:val="18"/>
                <w:lang w:val="hr-HR"/>
              </w:rPr>
            </w:pPr>
          </w:p>
        </w:tc>
        <w:tc>
          <w:tcPr>
            <w:tcW w:w="575" w:type="pct"/>
            <w:tcBorders>
              <w:top w:val="single" w:sz="12" w:space="0" w:color="auto"/>
            </w:tcBorders>
            <w:vAlign w:val="bottom"/>
          </w:tcPr>
          <w:p w14:paraId="2554CD97" w14:textId="77777777" w:rsidR="00D34B9C" w:rsidRPr="007E1860" w:rsidRDefault="00D34B9C">
            <w:pPr>
              <w:pStyle w:val="TT"/>
              <w:tabs>
                <w:tab w:val="clear" w:pos="1202"/>
              </w:tabs>
              <w:spacing w:line="220" w:lineRule="exact"/>
              <w:jc w:val="right"/>
              <w:rPr>
                <w:rFonts w:asciiTheme="minorHAnsi" w:hAnsiTheme="minorHAnsi" w:cs="Arial"/>
                <w:sz w:val="18"/>
                <w:szCs w:val="18"/>
                <w:lang w:val="hr-HR"/>
              </w:rPr>
            </w:pPr>
          </w:p>
        </w:tc>
      </w:tr>
      <w:tr w:rsidR="00C14AFC" w:rsidRPr="00BE35B9" w14:paraId="3ED44A59" w14:textId="77777777" w:rsidTr="00312975">
        <w:trPr>
          <w:trHeight w:val="265"/>
        </w:trPr>
        <w:tc>
          <w:tcPr>
            <w:tcW w:w="1545" w:type="pct"/>
            <w:vAlign w:val="bottom"/>
          </w:tcPr>
          <w:p w14:paraId="135AC74C" w14:textId="77777777" w:rsidR="00C14AFC" w:rsidRPr="00C42C00" w:rsidRDefault="00C14AFC" w:rsidP="00C14AFC">
            <w:pPr>
              <w:pStyle w:val="TT"/>
              <w:spacing w:line="240" w:lineRule="auto"/>
              <w:rPr>
                <w:rFonts w:asciiTheme="minorHAnsi" w:hAnsiTheme="minorHAnsi" w:cs="Arial"/>
                <w:spacing w:val="-2"/>
                <w:sz w:val="17"/>
                <w:szCs w:val="17"/>
                <w:lang w:val="hr-HR"/>
              </w:rPr>
            </w:pPr>
            <w:r w:rsidRPr="00C42C00">
              <w:rPr>
                <w:rFonts w:asciiTheme="minorHAnsi" w:hAnsiTheme="minorHAnsi" w:cs="Arial"/>
                <w:spacing w:val="-2"/>
                <w:sz w:val="17"/>
                <w:szCs w:val="17"/>
                <w:lang w:val="hr-HR"/>
              </w:rPr>
              <w:t>Osnivački kapital</w:t>
            </w:r>
          </w:p>
        </w:tc>
        <w:tc>
          <w:tcPr>
            <w:tcW w:w="576" w:type="pct"/>
            <w:tcBorders>
              <w:top w:val="nil"/>
              <w:left w:val="nil"/>
              <w:bottom w:val="nil"/>
              <w:right w:val="nil"/>
            </w:tcBorders>
            <w:shd w:val="clear" w:color="auto" w:fill="auto"/>
            <w:vAlign w:val="center"/>
          </w:tcPr>
          <w:p w14:paraId="1C9C5965" w14:textId="3A028BC6" w:rsidR="00C14AFC" w:rsidRPr="007E1860" w:rsidRDefault="00C14AFC" w:rsidP="00C14AFC">
            <w:pPr>
              <w:pStyle w:val="TT"/>
              <w:tabs>
                <w:tab w:val="clear" w:pos="1202"/>
              </w:tabs>
              <w:spacing w:line="240" w:lineRule="auto"/>
              <w:jc w:val="right"/>
              <w:rPr>
                <w:rFonts w:asciiTheme="minorHAnsi" w:hAnsiTheme="minorHAnsi" w:cs="Arial"/>
                <w:spacing w:val="-2"/>
                <w:sz w:val="18"/>
                <w:szCs w:val="18"/>
                <w:lang w:val="hr-HR"/>
              </w:rPr>
            </w:pPr>
            <w:r w:rsidRPr="002B46B5">
              <w:rPr>
                <w:rFonts w:ascii="Calibri" w:hAnsi="Calibri"/>
                <w:color w:val="000000"/>
                <w:sz w:val="18"/>
                <w:szCs w:val="18"/>
              </w:rPr>
              <w:t>-</w:t>
            </w:r>
          </w:p>
        </w:tc>
        <w:tc>
          <w:tcPr>
            <w:tcW w:w="576" w:type="pct"/>
            <w:tcBorders>
              <w:top w:val="nil"/>
              <w:left w:val="nil"/>
              <w:bottom w:val="nil"/>
              <w:right w:val="nil"/>
            </w:tcBorders>
            <w:shd w:val="clear" w:color="auto" w:fill="auto"/>
            <w:vAlign w:val="center"/>
          </w:tcPr>
          <w:p w14:paraId="351E46AB" w14:textId="0EB8F87C" w:rsidR="00C14AFC" w:rsidRPr="007E1860" w:rsidRDefault="00C14AFC" w:rsidP="00C14AFC">
            <w:pPr>
              <w:pStyle w:val="TT"/>
              <w:tabs>
                <w:tab w:val="clear" w:pos="1202"/>
              </w:tabs>
              <w:spacing w:line="240" w:lineRule="auto"/>
              <w:jc w:val="right"/>
              <w:rPr>
                <w:rFonts w:asciiTheme="minorHAnsi" w:hAnsiTheme="minorHAnsi" w:cs="Arial"/>
                <w:spacing w:val="-2"/>
                <w:sz w:val="18"/>
                <w:szCs w:val="18"/>
                <w:lang w:val="hr-HR"/>
              </w:rPr>
            </w:pPr>
            <w:r w:rsidRPr="002B46B5">
              <w:rPr>
                <w:rFonts w:ascii="Calibri" w:hAnsi="Calibri"/>
                <w:color w:val="000000"/>
                <w:sz w:val="18"/>
                <w:szCs w:val="18"/>
              </w:rPr>
              <w:t>-</w:t>
            </w:r>
          </w:p>
        </w:tc>
        <w:tc>
          <w:tcPr>
            <w:tcW w:w="576" w:type="pct"/>
            <w:tcBorders>
              <w:top w:val="nil"/>
              <w:left w:val="nil"/>
              <w:bottom w:val="nil"/>
              <w:right w:val="nil"/>
            </w:tcBorders>
            <w:shd w:val="clear" w:color="auto" w:fill="auto"/>
            <w:vAlign w:val="center"/>
          </w:tcPr>
          <w:p w14:paraId="6589D2D4" w14:textId="69216072" w:rsidR="00C14AFC" w:rsidRPr="007E1860" w:rsidRDefault="00C14AFC" w:rsidP="00C14AFC">
            <w:pPr>
              <w:pStyle w:val="TT"/>
              <w:tabs>
                <w:tab w:val="clear" w:pos="1202"/>
              </w:tabs>
              <w:spacing w:line="240" w:lineRule="auto"/>
              <w:jc w:val="right"/>
              <w:rPr>
                <w:rFonts w:asciiTheme="minorHAnsi" w:hAnsiTheme="minorHAnsi" w:cs="Arial"/>
                <w:spacing w:val="-2"/>
                <w:sz w:val="18"/>
                <w:szCs w:val="18"/>
                <w:lang w:val="hr-HR"/>
              </w:rPr>
            </w:pPr>
            <w:r w:rsidRPr="002B46B5">
              <w:rPr>
                <w:rFonts w:ascii="Calibri" w:hAnsi="Calibri"/>
                <w:color w:val="000000"/>
                <w:sz w:val="18"/>
                <w:szCs w:val="18"/>
              </w:rPr>
              <w:t>-</w:t>
            </w:r>
          </w:p>
        </w:tc>
        <w:tc>
          <w:tcPr>
            <w:tcW w:w="575" w:type="pct"/>
            <w:tcBorders>
              <w:top w:val="nil"/>
              <w:left w:val="nil"/>
              <w:bottom w:val="nil"/>
              <w:right w:val="nil"/>
            </w:tcBorders>
            <w:shd w:val="clear" w:color="auto" w:fill="auto"/>
            <w:vAlign w:val="center"/>
          </w:tcPr>
          <w:p w14:paraId="7369FE82" w14:textId="407DE67B" w:rsidR="00C14AFC" w:rsidRPr="007E1860" w:rsidRDefault="00C14AFC" w:rsidP="00C14AFC">
            <w:pPr>
              <w:pStyle w:val="TT"/>
              <w:tabs>
                <w:tab w:val="clear" w:pos="1202"/>
              </w:tabs>
              <w:spacing w:line="240" w:lineRule="auto"/>
              <w:jc w:val="right"/>
              <w:rPr>
                <w:rFonts w:asciiTheme="minorHAnsi" w:hAnsiTheme="minorHAnsi" w:cs="Arial"/>
                <w:spacing w:val="-2"/>
                <w:sz w:val="18"/>
                <w:szCs w:val="18"/>
                <w:lang w:val="hr-HR"/>
              </w:rPr>
            </w:pPr>
            <w:r w:rsidRPr="002B46B5">
              <w:rPr>
                <w:rFonts w:ascii="Calibri" w:hAnsi="Calibri"/>
                <w:color w:val="000000"/>
                <w:sz w:val="18"/>
                <w:szCs w:val="18"/>
              </w:rPr>
              <w:t>-</w:t>
            </w:r>
          </w:p>
        </w:tc>
        <w:tc>
          <w:tcPr>
            <w:tcW w:w="577" w:type="pct"/>
            <w:tcBorders>
              <w:top w:val="nil"/>
              <w:left w:val="nil"/>
              <w:bottom w:val="nil"/>
              <w:right w:val="nil"/>
            </w:tcBorders>
            <w:shd w:val="clear" w:color="auto" w:fill="auto"/>
            <w:vAlign w:val="center"/>
          </w:tcPr>
          <w:p w14:paraId="4455A5DB" w14:textId="38FFDA32" w:rsidR="00C14AFC" w:rsidRPr="007E1860" w:rsidRDefault="00C14AFC" w:rsidP="00C14AFC">
            <w:pPr>
              <w:spacing w:after="0" w:line="240" w:lineRule="auto"/>
              <w:jc w:val="right"/>
              <w:outlineLvl w:val="0"/>
              <w:rPr>
                <w:rFonts w:cs="Arial"/>
                <w:bCs/>
                <w:color w:val="000000"/>
                <w:sz w:val="18"/>
                <w:szCs w:val="18"/>
                <w:lang w:eastAsia="hr-HR"/>
              </w:rPr>
            </w:pPr>
            <w:r w:rsidRPr="002B46B5">
              <w:rPr>
                <w:rFonts w:ascii="Calibri" w:hAnsi="Calibri"/>
                <w:color w:val="000000"/>
                <w:sz w:val="18"/>
                <w:szCs w:val="18"/>
              </w:rPr>
              <w:t>6.959.632</w:t>
            </w:r>
          </w:p>
        </w:tc>
        <w:tc>
          <w:tcPr>
            <w:tcW w:w="575" w:type="pct"/>
            <w:tcBorders>
              <w:top w:val="nil"/>
              <w:left w:val="nil"/>
              <w:bottom w:val="nil"/>
              <w:right w:val="nil"/>
            </w:tcBorders>
            <w:shd w:val="clear" w:color="auto" w:fill="auto"/>
            <w:vAlign w:val="center"/>
          </w:tcPr>
          <w:p w14:paraId="24C89A4D" w14:textId="4A627E04" w:rsidR="00C14AFC" w:rsidRPr="007E1860" w:rsidRDefault="00C14AFC" w:rsidP="00C14AFC">
            <w:pPr>
              <w:spacing w:after="0" w:line="240" w:lineRule="auto"/>
              <w:jc w:val="right"/>
              <w:outlineLvl w:val="0"/>
              <w:rPr>
                <w:rFonts w:cs="Arial"/>
                <w:bCs/>
                <w:color w:val="000000"/>
                <w:sz w:val="18"/>
                <w:szCs w:val="18"/>
                <w:lang w:eastAsia="hr-HR"/>
              </w:rPr>
            </w:pPr>
            <w:r w:rsidRPr="002B46B5">
              <w:rPr>
                <w:rFonts w:ascii="Calibri" w:hAnsi="Calibri"/>
                <w:color w:val="000000"/>
                <w:sz w:val="18"/>
                <w:szCs w:val="18"/>
              </w:rPr>
              <w:t>6.959.632</w:t>
            </w:r>
          </w:p>
        </w:tc>
      </w:tr>
      <w:tr w:rsidR="00C14AFC" w:rsidRPr="00BE35B9" w14:paraId="165F8594" w14:textId="77777777" w:rsidTr="00312975">
        <w:trPr>
          <w:trHeight w:val="283"/>
        </w:trPr>
        <w:tc>
          <w:tcPr>
            <w:tcW w:w="1545" w:type="pct"/>
            <w:vAlign w:val="bottom"/>
          </w:tcPr>
          <w:p w14:paraId="71351205" w14:textId="77777777" w:rsidR="00C14AFC" w:rsidRPr="00C42C00" w:rsidRDefault="00C14AFC" w:rsidP="00C14AFC">
            <w:pPr>
              <w:pStyle w:val="TT"/>
              <w:spacing w:line="240" w:lineRule="auto"/>
              <w:rPr>
                <w:rFonts w:asciiTheme="minorHAnsi" w:hAnsiTheme="minorHAnsi" w:cs="Arial"/>
                <w:spacing w:val="-2"/>
                <w:sz w:val="17"/>
                <w:szCs w:val="17"/>
                <w:lang w:val="hr-HR"/>
              </w:rPr>
            </w:pPr>
            <w:r w:rsidRPr="00C42C00">
              <w:rPr>
                <w:rFonts w:asciiTheme="minorHAnsi" w:hAnsiTheme="minorHAnsi" w:cs="Arial"/>
                <w:spacing w:val="-2"/>
                <w:sz w:val="17"/>
                <w:szCs w:val="17"/>
                <w:lang w:val="hr-HR"/>
              </w:rPr>
              <w:t>Zadržana dobit i rezerve</w:t>
            </w:r>
          </w:p>
        </w:tc>
        <w:tc>
          <w:tcPr>
            <w:tcW w:w="576" w:type="pct"/>
            <w:tcBorders>
              <w:top w:val="nil"/>
              <w:left w:val="nil"/>
              <w:bottom w:val="nil"/>
              <w:right w:val="nil"/>
            </w:tcBorders>
            <w:shd w:val="clear" w:color="auto" w:fill="auto"/>
            <w:vAlign w:val="center"/>
          </w:tcPr>
          <w:p w14:paraId="1C0133EB" w14:textId="3F892EBA" w:rsidR="00C14AFC" w:rsidRPr="007E1860" w:rsidRDefault="00C14AFC" w:rsidP="00C14AFC">
            <w:pPr>
              <w:pStyle w:val="TT"/>
              <w:tabs>
                <w:tab w:val="clear" w:pos="1202"/>
              </w:tabs>
              <w:spacing w:line="240" w:lineRule="auto"/>
              <w:jc w:val="right"/>
              <w:rPr>
                <w:rFonts w:asciiTheme="minorHAnsi" w:hAnsiTheme="minorHAnsi" w:cs="Arial"/>
                <w:spacing w:val="-2"/>
                <w:sz w:val="18"/>
                <w:szCs w:val="18"/>
                <w:lang w:val="hr-HR"/>
              </w:rPr>
            </w:pPr>
            <w:r w:rsidRPr="002B46B5">
              <w:rPr>
                <w:rFonts w:ascii="Calibri" w:hAnsi="Calibri"/>
                <w:color w:val="000000"/>
                <w:sz w:val="18"/>
                <w:szCs w:val="18"/>
              </w:rPr>
              <w:t>-</w:t>
            </w:r>
          </w:p>
        </w:tc>
        <w:tc>
          <w:tcPr>
            <w:tcW w:w="576" w:type="pct"/>
            <w:tcBorders>
              <w:top w:val="nil"/>
              <w:left w:val="nil"/>
              <w:bottom w:val="nil"/>
              <w:right w:val="nil"/>
            </w:tcBorders>
            <w:shd w:val="clear" w:color="auto" w:fill="auto"/>
            <w:vAlign w:val="center"/>
          </w:tcPr>
          <w:p w14:paraId="753179A3" w14:textId="0CD27628" w:rsidR="00C14AFC" w:rsidRPr="007E1860" w:rsidRDefault="00C14AFC" w:rsidP="00C14AFC">
            <w:pPr>
              <w:pStyle w:val="TT"/>
              <w:tabs>
                <w:tab w:val="clear" w:pos="1202"/>
              </w:tabs>
              <w:spacing w:line="240" w:lineRule="auto"/>
              <w:jc w:val="right"/>
              <w:rPr>
                <w:rFonts w:asciiTheme="minorHAnsi" w:hAnsiTheme="minorHAnsi" w:cs="Arial"/>
                <w:spacing w:val="-2"/>
                <w:sz w:val="18"/>
                <w:szCs w:val="18"/>
                <w:lang w:val="hr-HR"/>
              </w:rPr>
            </w:pPr>
            <w:r w:rsidRPr="002B46B5">
              <w:rPr>
                <w:rFonts w:ascii="Calibri" w:hAnsi="Calibri"/>
                <w:color w:val="000000"/>
                <w:sz w:val="18"/>
                <w:szCs w:val="18"/>
              </w:rPr>
              <w:t>-</w:t>
            </w:r>
          </w:p>
        </w:tc>
        <w:tc>
          <w:tcPr>
            <w:tcW w:w="576" w:type="pct"/>
            <w:tcBorders>
              <w:top w:val="nil"/>
              <w:left w:val="nil"/>
              <w:bottom w:val="nil"/>
              <w:right w:val="nil"/>
            </w:tcBorders>
            <w:shd w:val="clear" w:color="auto" w:fill="auto"/>
            <w:vAlign w:val="center"/>
          </w:tcPr>
          <w:p w14:paraId="0614560F" w14:textId="010B952E" w:rsidR="00C14AFC" w:rsidRPr="007E1860" w:rsidRDefault="00C14AFC" w:rsidP="00C14AFC">
            <w:pPr>
              <w:pStyle w:val="TT"/>
              <w:tabs>
                <w:tab w:val="clear" w:pos="1202"/>
              </w:tabs>
              <w:spacing w:line="240" w:lineRule="auto"/>
              <w:jc w:val="right"/>
              <w:rPr>
                <w:rFonts w:asciiTheme="minorHAnsi" w:hAnsiTheme="minorHAnsi" w:cs="Arial"/>
                <w:spacing w:val="-2"/>
                <w:sz w:val="18"/>
                <w:szCs w:val="18"/>
                <w:lang w:val="hr-HR"/>
              </w:rPr>
            </w:pPr>
            <w:r w:rsidRPr="002B46B5">
              <w:rPr>
                <w:rFonts w:ascii="Calibri" w:hAnsi="Calibri"/>
                <w:color w:val="000000"/>
                <w:sz w:val="18"/>
                <w:szCs w:val="18"/>
              </w:rPr>
              <w:t>-</w:t>
            </w:r>
          </w:p>
        </w:tc>
        <w:tc>
          <w:tcPr>
            <w:tcW w:w="575" w:type="pct"/>
            <w:tcBorders>
              <w:top w:val="nil"/>
              <w:left w:val="nil"/>
              <w:bottom w:val="nil"/>
              <w:right w:val="nil"/>
            </w:tcBorders>
            <w:shd w:val="clear" w:color="auto" w:fill="auto"/>
            <w:vAlign w:val="center"/>
          </w:tcPr>
          <w:p w14:paraId="55362A08" w14:textId="3466C57A" w:rsidR="00C14AFC" w:rsidRPr="007E1860" w:rsidRDefault="00C14AFC" w:rsidP="00C14AFC">
            <w:pPr>
              <w:pStyle w:val="TT"/>
              <w:tabs>
                <w:tab w:val="clear" w:pos="1202"/>
              </w:tabs>
              <w:spacing w:line="240" w:lineRule="auto"/>
              <w:jc w:val="right"/>
              <w:rPr>
                <w:rFonts w:asciiTheme="minorHAnsi" w:hAnsiTheme="minorHAnsi" w:cs="Arial"/>
                <w:spacing w:val="-2"/>
                <w:sz w:val="18"/>
                <w:szCs w:val="18"/>
                <w:lang w:val="hr-HR"/>
              </w:rPr>
            </w:pPr>
            <w:r w:rsidRPr="002B46B5">
              <w:rPr>
                <w:rFonts w:ascii="Calibri" w:hAnsi="Calibri"/>
                <w:color w:val="000000"/>
                <w:sz w:val="18"/>
                <w:szCs w:val="18"/>
              </w:rPr>
              <w:t>-</w:t>
            </w:r>
          </w:p>
        </w:tc>
        <w:tc>
          <w:tcPr>
            <w:tcW w:w="577" w:type="pct"/>
            <w:tcBorders>
              <w:top w:val="nil"/>
              <w:left w:val="nil"/>
              <w:bottom w:val="nil"/>
              <w:right w:val="nil"/>
            </w:tcBorders>
            <w:shd w:val="clear" w:color="auto" w:fill="auto"/>
            <w:vAlign w:val="center"/>
          </w:tcPr>
          <w:p w14:paraId="19F751AC" w14:textId="65B2A2E6" w:rsidR="00C14AFC" w:rsidRPr="007E1860" w:rsidRDefault="00C14AFC" w:rsidP="00C14AFC">
            <w:pPr>
              <w:spacing w:after="0" w:line="240" w:lineRule="auto"/>
              <w:jc w:val="right"/>
              <w:outlineLvl w:val="0"/>
              <w:rPr>
                <w:rFonts w:cs="Arial"/>
                <w:bCs/>
                <w:color w:val="000000"/>
                <w:sz w:val="18"/>
                <w:szCs w:val="18"/>
                <w:lang w:eastAsia="hr-HR"/>
              </w:rPr>
            </w:pPr>
            <w:r w:rsidRPr="002B46B5">
              <w:rPr>
                <w:rFonts w:ascii="Calibri" w:hAnsi="Calibri"/>
                <w:color w:val="000000"/>
                <w:sz w:val="18"/>
                <w:szCs w:val="18"/>
              </w:rPr>
              <w:t>2.996.968</w:t>
            </w:r>
          </w:p>
        </w:tc>
        <w:tc>
          <w:tcPr>
            <w:tcW w:w="575" w:type="pct"/>
            <w:tcBorders>
              <w:top w:val="nil"/>
              <w:left w:val="nil"/>
              <w:bottom w:val="nil"/>
              <w:right w:val="nil"/>
            </w:tcBorders>
            <w:shd w:val="clear" w:color="auto" w:fill="auto"/>
            <w:vAlign w:val="center"/>
          </w:tcPr>
          <w:p w14:paraId="4004E204" w14:textId="11204522" w:rsidR="00C14AFC" w:rsidRPr="007E1860" w:rsidRDefault="00C14AFC" w:rsidP="00C14AFC">
            <w:pPr>
              <w:spacing w:after="0" w:line="240" w:lineRule="auto"/>
              <w:jc w:val="right"/>
              <w:outlineLvl w:val="0"/>
              <w:rPr>
                <w:rFonts w:cs="Arial"/>
                <w:bCs/>
                <w:color w:val="000000"/>
                <w:sz w:val="18"/>
                <w:szCs w:val="18"/>
                <w:lang w:eastAsia="hr-HR"/>
              </w:rPr>
            </w:pPr>
            <w:r w:rsidRPr="002B46B5">
              <w:rPr>
                <w:rFonts w:ascii="Calibri" w:hAnsi="Calibri"/>
                <w:color w:val="000000"/>
                <w:sz w:val="18"/>
                <w:szCs w:val="18"/>
              </w:rPr>
              <w:t>2.996.968</w:t>
            </w:r>
          </w:p>
        </w:tc>
      </w:tr>
      <w:tr w:rsidR="00C14AFC" w:rsidRPr="00BE35B9" w14:paraId="101FC316" w14:textId="77777777" w:rsidTr="00312975">
        <w:trPr>
          <w:trHeight w:val="286"/>
        </w:trPr>
        <w:tc>
          <w:tcPr>
            <w:tcW w:w="1545" w:type="pct"/>
            <w:vAlign w:val="bottom"/>
          </w:tcPr>
          <w:p w14:paraId="6994353C" w14:textId="77777777" w:rsidR="00C14AFC" w:rsidRPr="00C42C00" w:rsidRDefault="00C14AFC" w:rsidP="00C14AFC">
            <w:pPr>
              <w:pStyle w:val="TT"/>
              <w:spacing w:line="240" w:lineRule="auto"/>
              <w:rPr>
                <w:rFonts w:asciiTheme="minorHAnsi" w:hAnsiTheme="minorHAnsi" w:cs="Arial"/>
                <w:spacing w:val="-2"/>
                <w:sz w:val="17"/>
                <w:szCs w:val="17"/>
                <w:lang w:val="hr-HR"/>
              </w:rPr>
            </w:pPr>
            <w:r w:rsidRPr="00C42C00">
              <w:rPr>
                <w:rFonts w:asciiTheme="minorHAnsi" w:hAnsiTheme="minorHAnsi" w:cs="Arial"/>
                <w:spacing w:val="-2"/>
                <w:sz w:val="17"/>
                <w:szCs w:val="17"/>
                <w:lang w:val="hr-HR"/>
              </w:rPr>
              <w:t>Ostale rezerve</w:t>
            </w:r>
          </w:p>
        </w:tc>
        <w:tc>
          <w:tcPr>
            <w:tcW w:w="576" w:type="pct"/>
            <w:tcBorders>
              <w:top w:val="nil"/>
              <w:left w:val="nil"/>
              <w:bottom w:val="nil"/>
              <w:right w:val="nil"/>
            </w:tcBorders>
            <w:shd w:val="clear" w:color="auto" w:fill="auto"/>
            <w:vAlign w:val="center"/>
          </w:tcPr>
          <w:p w14:paraId="75CB4105" w14:textId="1E08F6FB" w:rsidR="00C14AFC" w:rsidRPr="007E1860" w:rsidRDefault="00C14AFC" w:rsidP="00C14AFC">
            <w:pPr>
              <w:pStyle w:val="TT"/>
              <w:tabs>
                <w:tab w:val="clear" w:pos="1202"/>
              </w:tabs>
              <w:spacing w:line="240" w:lineRule="auto"/>
              <w:jc w:val="right"/>
              <w:rPr>
                <w:rFonts w:asciiTheme="minorHAnsi" w:hAnsiTheme="minorHAnsi" w:cs="Arial"/>
                <w:spacing w:val="-2"/>
                <w:sz w:val="18"/>
                <w:szCs w:val="18"/>
                <w:lang w:val="hr-HR"/>
              </w:rPr>
            </w:pPr>
            <w:r w:rsidRPr="002B46B5">
              <w:rPr>
                <w:rFonts w:ascii="Calibri" w:hAnsi="Calibri"/>
                <w:color w:val="000000"/>
                <w:sz w:val="18"/>
                <w:szCs w:val="18"/>
              </w:rPr>
              <w:t>-</w:t>
            </w:r>
          </w:p>
        </w:tc>
        <w:tc>
          <w:tcPr>
            <w:tcW w:w="576" w:type="pct"/>
            <w:tcBorders>
              <w:top w:val="nil"/>
              <w:left w:val="nil"/>
              <w:bottom w:val="nil"/>
              <w:right w:val="nil"/>
            </w:tcBorders>
            <w:shd w:val="clear" w:color="auto" w:fill="auto"/>
            <w:vAlign w:val="center"/>
          </w:tcPr>
          <w:p w14:paraId="118A512F" w14:textId="58F7B58D" w:rsidR="00C14AFC" w:rsidRPr="007E1860" w:rsidRDefault="00C14AFC" w:rsidP="00C14AFC">
            <w:pPr>
              <w:pStyle w:val="TT"/>
              <w:tabs>
                <w:tab w:val="clear" w:pos="1202"/>
              </w:tabs>
              <w:spacing w:line="240" w:lineRule="auto"/>
              <w:jc w:val="right"/>
              <w:rPr>
                <w:rFonts w:asciiTheme="minorHAnsi" w:hAnsiTheme="minorHAnsi" w:cs="Arial"/>
                <w:spacing w:val="-2"/>
                <w:sz w:val="18"/>
                <w:szCs w:val="18"/>
                <w:lang w:val="hr-HR"/>
              </w:rPr>
            </w:pPr>
            <w:r w:rsidRPr="002B46B5">
              <w:rPr>
                <w:rFonts w:ascii="Calibri" w:hAnsi="Calibri"/>
                <w:color w:val="000000"/>
                <w:sz w:val="18"/>
                <w:szCs w:val="18"/>
              </w:rPr>
              <w:t>-</w:t>
            </w:r>
          </w:p>
        </w:tc>
        <w:tc>
          <w:tcPr>
            <w:tcW w:w="576" w:type="pct"/>
            <w:tcBorders>
              <w:top w:val="nil"/>
              <w:left w:val="nil"/>
              <w:bottom w:val="nil"/>
              <w:right w:val="nil"/>
            </w:tcBorders>
            <w:shd w:val="clear" w:color="auto" w:fill="auto"/>
            <w:vAlign w:val="center"/>
          </w:tcPr>
          <w:p w14:paraId="02592F00" w14:textId="31FCCF2B" w:rsidR="00C14AFC" w:rsidRPr="007E1860" w:rsidRDefault="00C14AFC" w:rsidP="00C14AFC">
            <w:pPr>
              <w:pStyle w:val="TT"/>
              <w:tabs>
                <w:tab w:val="clear" w:pos="1202"/>
              </w:tabs>
              <w:spacing w:line="240" w:lineRule="auto"/>
              <w:jc w:val="right"/>
              <w:rPr>
                <w:rFonts w:asciiTheme="minorHAnsi" w:hAnsiTheme="minorHAnsi" w:cs="Arial"/>
                <w:spacing w:val="-2"/>
                <w:sz w:val="18"/>
                <w:szCs w:val="18"/>
                <w:lang w:val="hr-HR"/>
              </w:rPr>
            </w:pPr>
            <w:r w:rsidRPr="002B46B5">
              <w:rPr>
                <w:rFonts w:ascii="Calibri" w:hAnsi="Calibri"/>
                <w:color w:val="000000"/>
                <w:sz w:val="18"/>
                <w:szCs w:val="18"/>
              </w:rPr>
              <w:t>-</w:t>
            </w:r>
          </w:p>
        </w:tc>
        <w:tc>
          <w:tcPr>
            <w:tcW w:w="575" w:type="pct"/>
            <w:tcBorders>
              <w:top w:val="nil"/>
              <w:left w:val="nil"/>
              <w:bottom w:val="nil"/>
              <w:right w:val="nil"/>
            </w:tcBorders>
            <w:shd w:val="clear" w:color="auto" w:fill="auto"/>
            <w:vAlign w:val="center"/>
          </w:tcPr>
          <w:p w14:paraId="326CCBF2" w14:textId="4AA48282" w:rsidR="00C14AFC" w:rsidRPr="007E1860" w:rsidRDefault="00C14AFC" w:rsidP="00C14AFC">
            <w:pPr>
              <w:pStyle w:val="TT"/>
              <w:tabs>
                <w:tab w:val="clear" w:pos="1202"/>
              </w:tabs>
              <w:spacing w:line="240" w:lineRule="auto"/>
              <w:jc w:val="right"/>
              <w:rPr>
                <w:rFonts w:asciiTheme="minorHAnsi" w:hAnsiTheme="minorHAnsi" w:cs="Arial"/>
                <w:spacing w:val="-2"/>
                <w:sz w:val="18"/>
                <w:szCs w:val="18"/>
                <w:lang w:val="hr-HR"/>
              </w:rPr>
            </w:pPr>
            <w:r w:rsidRPr="002B46B5">
              <w:rPr>
                <w:rFonts w:ascii="Calibri" w:hAnsi="Calibri"/>
                <w:color w:val="000000"/>
                <w:sz w:val="18"/>
                <w:szCs w:val="18"/>
              </w:rPr>
              <w:t>-</w:t>
            </w:r>
          </w:p>
        </w:tc>
        <w:tc>
          <w:tcPr>
            <w:tcW w:w="577" w:type="pct"/>
            <w:tcBorders>
              <w:top w:val="nil"/>
              <w:left w:val="nil"/>
              <w:bottom w:val="nil"/>
              <w:right w:val="nil"/>
            </w:tcBorders>
            <w:shd w:val="clear" w:color="auto" w:fill="auto"/>
            <w:vAlign w:val="center"/>
          </w:tcPr>
          <w:p w14:paraId="12D8DE8F" w14:textId="242F7F8F" w:rsidR="00C14AFC" w:rsidRPr="007E1860" w:rsidRDefault="00C14AFC" w:rsidP="00C14AFC">
            <w:pPr>
              <w:spacing w:after="0" w:line="240" w:lineRule="auto"/>
              <w:jc w:val="right"/>
              <w:outlineLvl w:val="0"/>
              <w:rPr>
                <w:rFonts w:cs="Arial"/>
                <w:bCs/>
                <w:color w:val="000000"/>
                <w:sz w:val="18"/>
                <w:szCs w:val="18"/>
                <w:lang w:eastAsia="hr-HR"/>
              </w:rPr>
            </w:pPr>
            <w:r w:rsidRPr="002B46B5">
              <w:rPr>
                <w:rFonts w:ascii="Calibri" w:hAnsi="Calibri"/>
                <w:color w:val="000000"/>
                <w:sz w:val="18"/>
                <w:szCs w:val="18"/>
              </w:rPr>
              <w:t>73.187</w:t>
            </w:r>
          </w:p>
        </w:tc>
        <w:tc>
          <w:tcPr>
            <w:tcW w:w="575" w:type="pct"/>
            <w:tcBorders>
              <w:top w:val="nil"/>
              <w:left w:val="nil"/>
              <w:bottom w:val="nil"/>
              <w:right w:val="nil"/>
            </w:tcBorders>
            <w:shd w:val="clear" w:color="auto" w:fill="auto"/>
            <w:vAlign w:val="center"/>
          </w:tcPr>
          <w:p w14:paraId="24DEBDB0" w14:textId="4D3D4B9E" w:rsidR="00C14AFC" w:rsidRPr="007E1860" w:rsidRDefault="00C14AFC" w:rsidP="00C14AFC">
            <w:pPr>
              <w:spacing w:after="0" w:line="240" w:lineRule="auto"/>
              <w:jc w:val="right"/>
              <w:outlineLvl w:val="0"/>
              <w:rPr>
                <w:rFonts w:cs="Arial"/>
                <w:bCs/>
                <w:color w:val="000000"/>
                <w:sz w:val="18"/>
                <w:szCs w:val="18"/>
                <w:lang w:eastAsia="hr-HR"/>
              </w:rPr>
            </w:pPr>
            <w:r w:rsidRPr="002B46B5">
              <w:rPr>
                <w:rFonts w:ascii="Calibri" w:hAnsi="Calibri"/>
                <w:color w:val="000000"/>
                <w:sz w:val="18"/>
                <w:szCs w:val="18"/>
              </w:rPr>
              <w:t>73.187</w:t>
            </w:r>
          </w:p>
        </w:tc>
      </w:tr>
      <w:tr w:rsidR="00C14AFC" w:rsidRPr="00BE35B9" w14:paraId="281F9719" w14:textId="77777777" w:rsidTr="00312975">
        <w:trPr>
          <w:trHeight w:val="263"/>
        </w:trPr>
        <w:tc>
          <w:tcPr>
            <w:tcW w:w="1545" w:type="pct"/>
            <w:vAlign w:val="bottom"/>
          </w:tcPr>
          <w:p w14:paraId="2D8BD4AC" w14:textId="77777777" w:rsidR="00C14AFC" w:rsidRPr="00C42C00" w:rsidRDefault="00C14AFC" w:rsidP="00C14AFC">
            <w:pPr>
              <w:pStyle w:val="TT"/>
              <w:spacing w:line="240" w:lineRule="auto"/>
              <w:rPr>
                <w:rFonts w:asciiTheme="minorHAnsi" w:hAnsiTheme="minorHAnsi" w:cs="Arial"/>
                <w:spacing w:val="-2"/>
                <w:sz w:val="17"/>
                <w:szCs w:val="17"/>
                <w:lang w:val="hr-HR"/>
              </w:rPr>
            </w:pPr>
            <w:r w:rsidRPr="00C42C00">
              <w:rPr>
                <w:rFonts w:asciiTheme="minorHAnsi" w:hAnsiTheme="minorHAnsi" w:cs="Arial"/>
                <w:spacing w:val="-2"/>
                <w:sz w:val="17"/>
                <w:szCs w:val="17"/>
                <w:lang w:val="hr-HR"/>
              </w:rPr>
              <w:t>Dobit tekuće godine</w:t>
            </w:r>
          </w:p>
        </w:tc>
        <w:tc>
          <w:tcPr>
            <w:tcW w:w="576" w:type="pct"/>
            <w:tcBorders>
              <w:top w:val="nil"/>
              <w:left w:val="nil"/>
              <w:bottom w:val="single" w:sz="4" w:space="0" w:color="auto"/>
              <w:right w:val="nil"/>
            </w:tcBorders>
            <w:shd w:val="clear" w:color="auto" w:fill="auto"/>
            <w:vAlign w:val="center"/>
          </w:tcPr>
          <w:p w14:paraId="686A8E5E" w14:textId="438ACEDB" w:rsidR="00C14AFC" w:rsidRPr="007E1860" w:rsidRDefault="00C14AFC" w:rsidP="00C14AFC">
            <w:pPr>
              <w:pStyle w:val="CommentText"/>
              <w:spacing w:after="0"/>
              <w:jc w:val="right"/>
              <w:rPr>
                <w:rFonts w:cs="Arial"/>
                <w:spacing w:val="-2"/>
                <w:sz w:val="18"/>
                <w:szCs w:val="18"/>
              </w:rPr>
            </w:pPr>
            <w:r w:rsidRPr="002B46B5">
              <w:rPr>
                <w:rFonts w:ascii="Calibri" w:hAnsi="Calibri"/>
                <w:color w:val="000000"/>
                <w:sz w:val="18"/>
                <w:szCs w:val="18"/>
              </w:rPr>
              <w:t>-</w:t>
            </w:r>
          </w:p>
        </w:tc>
        <w:tc>
          <w:tcPr>
            <w:tcW w:w="576" w:type="pct"/>
            <w:tcBorders>
              <w:top w:val="nil"/>
              <w:left w:val="nil"/>
              <w:bottom w:val="single" w:sz="4" w:space="0" w:color="auto"/>
              <w:right w:val="nil"/>
            </w:tcBorders>
            <w:shd w:val="clear" w:color="auto" w:fill="auto"/>
            <w:vAlign w:val="center"/>
          </w:tcPr>
          <w:p w14:paraId="5AE49BB7" w14:textId="3F2E74F6" w:rsidR="00C14AFC" w:rsidRPr="007E1860" w:rsidRDefault="00C14AFC" w:rsidP="00C14AFC">
            <w:pPr>
              <w:pStyle w:val="CommentText"/>
              <w:spacing w:after="0"/>
              <w:jc w:val="right"/>
              <w:rPr>
                <w:rFonts w:cs="Arial"/>
                <w:spacing w:val="-2"/>
                <w:sz w:val="18"/>
                <w:szCs w:val="18"/>
              </w:rPr>
            </w:pPr>
            <w:r w:rsidRPr="002B46B5">
              <w:rPr>
                <w:rFonts w:ascii="Calibri" w:hAnsi="Calibri"/>
                <w:color w:val="000000"/>
                <w:sz w:val="18"/>
                <w:szCs w:val="18"/>
              </w:rPr>
              <w:t>-</w:t>
            </w:r>
          </w:p>
        </w:tc>
        <w:tc>
          <w:tcPr>
            <w:tcW w:w="576" w:type="pct"/>
            <w:tcBorders>
              <w:top w:val="nil"/>
              <w:left w:val="nil"/>
              <w:bottom w:val="single" w:sz="4" w:space="0" w:color="auto"/>
              <w:right w:val="nil"/>
            </w:tcBorders>
            <w:shd w:val="clear" w:color="auto" w:fill="auto"/>
            <w:vAlign w:val="center"/>
          </w:tcPr>
          <w:p w14:paraId="0F36A715" w14:textId="7449CD31" w:rsidR="00C14AFC" w:rsidRPr="007E1860" w:rsidRDefault="00C14AFC" w:rsidP="00C14AFC">
            <w:pPr>
              <w:pStyle w:val="CommentText"/>
              <w:spacing w:after="0"/>
              <w:jc w:val="right"/>
              <w:rPr>
                <w:rFonts w:cs="Arial"/>
                <w:spacing w:val="-2"/>
                <w:sz w:val="18"/>
                <w:szCs w:val="18"/>
              </w:rPr>
            </w:pPr>
            <w:r w:rsidRPr="002B46B5">
              <w:rPr>
                <w:rFonts w:ascii="Calibri" w:hAnsi="Calibri"/>
                <w:color w:val="000000"/>
                <w:sz w:val="18"/>
                <w:szCs w:val="18"/>
              </w:rPr>
              <w:t>-</w:t>
            </w:r>
          </w:p>
        </w:tc>
        <w:tc>
          <w:tcPr>
            <w:tcW w:w="575" w:type="pct"/>
            <w:tcBorders>
              <w:top w:val="nil"/>
              <w:left w:val="nil"/>
              <w:bottom w:val="single" w:sz="4" w:space="0" w:color="auto"/>
              <w:right w:val="nil"/>
            </w:tcBorders>
            <w:shd w:val="clear" w:color="auto" w:fill="auto"/>
            <w:vAlign w:val="center"/>
          </w:tcPr>
          <w:p w14:paraId="3EB47DD0" w14:textId="4E51CA1C" w:rsidR="00C14AFC" w:rsidRPr="007E1860" w:rsidRDefault="00C14AFC" w:rsidP="00C14AFC">
            <w:pPr>
              <w:pStyle w:val="CommentText"/>
              <w:spacing w:after="0"/>
              <w:jc w:val="right"/>
              <w:rPr>
                <w:rFonts w:cs="Arial"/>
                <w:spacing w:val="-2"/>
                <w:sz w:val="18"/>
                <w:szCs w:val="18"/>
              </w:rPr>
            </w:pPr>
            <w:r w:rsidRPr="002B46B5">
              <w:rPr>
                <w:rFonts w:ascii="Calibri" w:hAnsi="Calibri"/>
                <w:color w:val="000000"/>
                <w:sz w:val="18"/>
                <w:szCs w:val="18"/>
              </w:rPr>
              <w:t>-</w:t>
            </w:r>
          </w:p>
        </w:tc>
        <w:tc>
          <w:tcPr>
            <w:tcW w:w="577" w:type="pct"/>
            <w:tcBorders>
              <w:top w:val="nil"/>
              <w:left w:val="nil"/>
              <w:bottom w:val="single" w:sz="4" w:space="0" w:color="auto"/>
              <w:right w:val="nil"/>
            </w:tcBorders>
            <w:shd w:val="clear" w:color="auto" w:fill="auto"/>
            <w:vAlign w:val="center"/>
          </w:tcPr>
          <w:p w14:paraId="2D4B5C58" w14:textId="32C37102" w:rsidR="00C14AFC" w:rsidRPr="007E1860" w:rsidRDefault="00C14AFC" w:rsidP="00C14AFC">
            <w:pPr>
              <w:spacing w:after="0" w:line="240" w:lineRule="auto"/>
              <w:jc w:val="right"/>
              <w:outlineLvl w:val="0"/>
              <w:rPr>
                <w:rFonts w:cs="Arial"/>
                <w:bCs/>
                <w:color w:val="000000"/>
                <w:sz w:val="18"/>
                <w:szCs w:val="18"/>
                <w:lang w:eastAsia="hr-HR"/>
              </w:rPr>
            </w:pPr>
            <w:r w:rsidRPr="002B46B5">
              <w:rPr>
                <w:rFonts w:ascii="Calibri" w:hAnsi="Calibri"/>
                <w:color w:val="000000"/>
                <w:sz w:val="18"/>
                <w:szCs w:val="18"/>
              </w:rPr>
              <w:t>130.750</w:t>
            </w:r>
          </w:p>
        </w:tc>
        <w:tc>
          <w:tcPr>
            <w:tcW w:w="575" w:type="pct"/>
            <w:tcBorders>
              <w:top w:val="nil"/>
              <w:left w:val="nil"/>
              <w:bottom w:val="single" w:sz="4" w:space="0" w:color="auto"/>
              <w:right w:val="nil"/>
            </w:tcBorders>
            <w:shd w:val="clear" w:color="auto" w:fill="auto"/>
            <w:vAlign w:val="center"/>
          </w:tcPr>
          <w:p w14:paraId="3F227642" w14:textId="0ED33598" w:rsidR="00C14AFC" w:rsidRPr="007E1860" w:rsidRDefault="00C14AFC" w:rsidP="00C14AFC">
            <w:pPr>
              <w:spacing w:after="0" w:line="240" w:lineRule="auto"/>
              <w:jc w:val="right"/>
              <w:outlineLvl w:val="0"/>
              <w:rPr>
                <w:rFonts w:cs="Arial"/>
                <w:bCs/>
                <w:color w:val="000000"/>
                <w:sz w:val="18"/>
                <w:szCs w:val="18"/>
                <w:lang w:eastAsia="hr-HR"/>
              </w:rPr>
            </w:pPr>
            <w:r w:rsidRPr="002B46B5">
              <w:rPr>
                <w:rFonts w:ascii="Calibri" w:hAnsi="Calibri"/>
                <w:color w:val="000000"/>
                <w:sz w:val="18"/>
                <w:szCs w:val="18"/>
              </w:rPr>
              <w:t>130.750</w:t>
            </w:r>
          </w:p>
        </w:tc>
      </w:tr>
      <w:tr w:rsidR="00A15369" w:rsidRPr="00BE35B9" w14:paraId="3F76F7A5" w14:textId="77777777" w:rsidTr="00312975">
        <w:trPr>
          <w:trHeight w:val="434"/>
        </w:trPr>
        <w:tc>
          <w:tcPr>
            <w:tcW w:w="1545" w:type="pct"/>
            <w:vAlign w:val="bottom"/>
          </w:tcPr>
          <w:p w14:paraId="5EF45ABE" w14:textId="77777777" w:rsidR="00A15369" w:rsidRPr="00BE35B9" w:rsidRDefault="00A15369" w:rsidP="00A15369">
            <w:pPr>
              <w:pStyle w:val="Tot"/>
              <w:spacing w:line="220" w:lineRule="exact"/>
              <w:rPr>
                <w:rFonts w:asciiTheme="minorHAnsi" w:hAnsiTheme="minorHAnsi" w:cs="Arial"/>
                <w:b/>
                <w:bCs/>
                <w:sz w:val="17"/>
                <w:szCs w:val="17"/>
                <w:lang w:val="hr-HR"/>
              </w:rPr>
            </w:pPr>
            <w:r w:rsidRPr="00BE35B9">
              <w:rPr>
                <w:rFonts w:asciiTheme="minorHAnsi" w:hAnsiTheme="minorHAnsi" w:cs="Arial"/>
                <w:b/>
                <w:bCs/>
                <w:sz w:val="17"/>
                <w:szCs w:val="17"/>
                <w:lang w:val="hr-HR"/>
              </w:rPr>
              <w:t>Ukupni kapital  koji pripada vlasnicima društva</w:t>
            </w:r>
          </w:p>
        </w:tc>
        <w:tc>
          <w:tcPr>
            <w:tcW w:w="576" w:type="pct"/>
            <w:tcBorders>
              <w:top w:val="single" w:sz="4" w:space="0" w:color="auto"/>
              <w:left w:val="nil"/>
              <w:bottom w:val="single" w:sz="8" w:space="0" w:color="auto"/>
              <w:right w:val="nil"/>
            </w:tcBorders>
            <w:shd w:val="clear" w:color="auto" w:fill="auto"/>
            <w:vAlign w:val="bottom"/>
          </w:tcPr>
          <w:p w14:paraId="5F4A21DC" w14:textId="51E693BC" w:rsidR="00A15369" w:rsidRPr="007E1860" w:rsidRDefault="00A15369" w:rsidP="00A15369">
            <w:pPr>
              <w:pStyle w:val="Tot"/>
              <w:tabs>
                <w:tab w:val="clear" w:pos="1202"/>
              </w:tabs>
              <w:spacing w:line="220" w:lineRule="exact"/>
              <w:jc w:val="right"/>
              <w:rPr>
                <w:rFonts w:asciiTheme="minorHAnsi" w:hAnsiTheme="minorHAnsi" w:cs="Arial"/>
                <w:b/>
                <w:bCs/>
                <w:spacing w:val="-2"/>
                <w:sz w:val="18"/>
                <w:szCs w:val="18"/>
                <w:lang w:val="hr-HR"/>
              </w:rPr>
            </w:pPr>
            <w:r w:rsidRPr="007E1860">
              <w:rPr>
                <w:rFonts w:asciiTheme="minorHAnsi" w:hAnsiTheme="minorHAnsi" w:cs="Arial"/>
                <w:b/>
                <w:bCs/>
                <w:spacing w:val="-2"/>
                <w:sz w:val="18"/>
                <w:szCs w:val="18"/>
                <w:lang w:val="hr-HR"/>
              </w:rPr>
              <w:t>-</w:t>
            </w:r>
          </w:p>
        </w:tc>
        <w:tc>
          <w:tcPr>
            <w:tcW w:w="576" w:type="pct"/>
            <w:tcBorders>
              <w:top w:val="single" w:sz="4" w:space="0" w:color="auto"/>
              <w:left w:val="nil"/>
              <w:bottom w:val="single" w:sz="8" w:space="0" w:color="auto"/>
              <w:right w:val="nil"/>
            </w:tcBorders>
            <w:shd w:val="clear" w:color="auto" w:fill="auto"/>
            <w:vAlign w:val="bottom"/>
          </w:tcPr>
          <w:p w14:paraId="3A01D1E9" w14:textId="15BE6C64" w:rsidR="00A15369" w:rsidRPr="007E1860" w:rsidRDefault="00A15369" w:rsidP="00A15369">
            <w:pPr>
              <w:pStyle w:val="Tot"/>
              <w:tabs>
                <w:tab w:val="clear" w:pos="1202"/>
              </w:tabs>
              <w:spacing w:line="220" w:lineRule="exact"/>
              <w:jc w:val="right"/>
              <w:rPr>
                <w:rFonts w:asciiTheme="minorHAnsi" w:hAnsiTheme="minorHAnsi" w:cs="Arial"/>
                <w:b/>
                <w:bCs/>
                <w:spacing w:val="-2"/>
                <w:sz w:val="18"/>
                <w:szCs w:val="18"/>
                <w:lang w:val="hr-HR"/>
              </w:rPr>
            </w:pPr>
            <w:r w:rsidRPr="007E1860">
              <w:rPr>
                <w:rFonts w:asciiTheme="minorHAnsi" w:hAnsiTheme="minorHAnsi" w:cs="Arial"/>
                <w:b/>
                <w:bCs/>
                <w:spacing w:val="-2"/>
                <w:sz w:val="18"/>
                <w:szCs w:val="18"/>
                <w:lang w:val="hr-HR"/>
              </w:rPr>
              <w:t>-</w:t>
            </w:r>
          </w:p>
        </w:tc>
        <w:tc>
          <w:tcPr>
            <w:tcW w:w="576" w:type="pct"/>
            <w:tcBorders>
              <w:top w:val="single" w:sz="4" w:space="0" w:color="auto"/>
              <w:left w:val="nil"/>
              <w:bottom w:val="single" w:sz="8" w:space="0" w:color="auto"/>
              <w:right w:val="nil"/>
            </w:tcBorders>
            <w:shd w:val="clear" w:color="auto" w:fill="auto"/>
            <w:vAlign w:val="bottom"/>
          </w:tcPr>
          <w:p w14:paraId="72DE9B14" w14:textId="4550EAAE" w:rsidR="00A15369" w:rsidRPr="007E1860" w:rsidRDefault="00A15369" w:rsidP="00A15369">
            <w:pPr>
              <w:pStyle w:val="Tot"/>
              <w:tabs>
                <w:tab w:val="clear" w:pos="1202"/>
              </w:tabs>
              <w:spacing w:line="220" w:lineRule="exact"/>
              <w:jc w:val="right"/>
              <w:rPr>
                <w:rFonts w:asciiTheme="minorHAnsi" w:hAnsiTheme="minorHAnsi" w:cs="Arial"/>
                <w:b/>
                <w:bCs/>
                <w:spacing w:val="-2"/>
                <w:sz w:val="18"/>
                <w:szCs w:val="18"/>
                <w:lang w:val="hr-HR"/>
              </w:rPr>
            </w:pPr>
            <w:r w:rsidRPr="007E1860">
              <w:rPr>
                <w:rFonts w:asciiTheme="minorHAnsi" w:hAnsiTheme="minorHAnsi" w:cs="Arial"/>
                <w:b/>
                <w:bCs/>
                <w:spacing w:val="-2"/>
                <w:sz w:val="18"/>
                <w:szCs w:val="18"/>
                <w:lang w:val="hr-HR"/>
              </w:rPr>
              <w:t>-</w:t>
            </w:r>
          </w:p>
        </w:tc>
        <w:tc>
          <w:tcPr>
            <w:tcW w:w="575" w:type="pct"/>
            <w:tcBorders>
              <w:top w:val="single" w:sz="4" w:space="0" w:color="auto"/>
              <w:left w:val="nil"/>
              <w:bottom w:val="single" w:sz="8" w:space="0" w:color="auto"/>
              <w:right w:val="nil"/>
            </w:tcBorders>
            <w:shd w:val="clear" w:color="auto" w:fill="auto"/>
            <w:vAlign w:val="bottom"/>
          </w:tcPr>
          <w:p w14:paraId="60F03A63" w14:textId="4C47F172" w:rsidR="00A15369" w:rsidRPr="007E1860" w:rsidRDefault="00A15369" w:rsidP="00A15369">
            <w:pPr>
              <w:pStyle w:val="Tot"/>
              <w:tabs>
                <w:tab w:val="clear" w:pos="1202"/>
              </w:tabs>
              <w:spacing w:line="220" w:lineRule="exact"/>
              <w:jc w:val="right"/>
              <w:rPr>
                <w:rFonts w:asciiTheme="minorHAnsi" w:hAnsiTheme="minorHAnsi" w:cs="Arial"/>
                <w:b/>
                <w:bCs/>
                <w:spacing w:val="-2"/>
                <w:sz w:val="18"/>
                <w:szCs w:val="18"/>
                <w:lang w:val="hr-HR"/>
              </w:rPr>
            </w:pPr>
            <w:r w:rsidRPr="007E1860">
              <w:rPr>
                <w:rFonts w:asciiTheme="minorHAnsi" w:hAnsiTheme="minorHAnsi" w:cs="Arial"/>
                <w:b/>
                <w:bCs/>
                <w:spacing w:val="-2"/>
                <w:sz w:val="18"/>
                <w:szCs w:val="18"/>
                <w:lang w:val="hr-HR"/>
              </w:rPr>
              <w:t>-</w:t>
            </w:r>
          </w:p>
        </w:tc>
        <w:tc>
          <w:tcPr>
            <w:tcW w:w="577" w:type="pct"/>
            <w:tcBorders>
              <w:top w:val="single" w:sz="4" w:space="0" w:color="auto"/>
              <w:left w:val="nil"/>
              <w:bottom w:val="single" w:sz="12" w:space="0" w:color="auto"/>
              <w:right w:val="nil"/>
            </w:tcBorders>
            <w:shd w:val="clear" w:color="auto" w:fill="auto"/>
            <w:vAlign w:val="bottom"/>
          </w:tcPr>
          <w:p w14:paraId="7AFCC5FF" w14:textId="57BBAFDB" w:rsidR="00A15369" w:rsidRPr="007E1860" w:rsidRDefault="00A15369" w:rsidP="00A15369">
            <w:pPr>
              <w:spacing w:after="0" w:line="240" w:lineRule="exact"/>
              <w:jc w:val="right"/>
              <w:outlineLvl w:val="0"/>
              <w:rPr>
                <w:rFonts w:cs="Arial"/>
                <w:b/>
                <w:bCs/>
                <w:color w:val="000000"/>
                <w:sz w:val="18"/>
                <w:szCs w:val="18"/>
                <w:lang w:eastAsia="hr-HR"/>
              </w:rPr>
            </w:pPr>
            <w:r>
              <w:rPr>
                <w:rFonts w:ascii="Calibri" w:hAnsi="Calibri"/>
                <w:b/>
                <w:bCs/>
                <w:color w:val="000000"/>
                <w:sz w:val="18"/>
                <w:szCs w:val="18"/>
              </w:rPr>
              <w:t>10.160.537</w:t>
            </w:r>
          </w:p>
        </w:tc>
        <w:tc>
          <w:tcPr>
            <w:tcW w:w="575" w:type="pct"/>
            <w:tcBorders>
              <w:top w:val="single" w:sz="4" w:space="0" w:color="auto"/>
              <w:left w:val="nil"/>
              <w:bottom w:val="single" w:sz="12" w:space="0" w:color="auto"/>
              <w:right w:val="nil"/>
            </w:tcBorders>
            <w:shd w:val="clear" w:color="auto" w:fill="auto"/>
            <w:vAlign w:val="bottom"/>
          </w:tcPr>
          <w:p w14:paraId="4E44C644" w14:textId="565641C5" w:rsidR="00A15369" w:rsidRPr="007E1860" w:rsidRDefault="00A15369" w:rsidP="00A15369">
            <w:pPr>
              <w:spacing w:after="0" w:line="240" w:lineRule="exact"/>
              <w:jc w:val="right"/>
              <w:outlineLvl w:val="0"/>
              <w:rPr>
                <w:rFonts w:cs="Arial"/>
                <w:b/>
                <w:bCs/>
                <w:color w:val="000000"/>
                <w:sz w:val="18"/>
                <w:szCs w:val="18"/>
                <w:lang w:eastAsia="hr-HR"/>
              </w:rPr>
            </w:pPr>
            <w:r>
              <w:rPr>
                <w:rFonts w:ascii="Calibri" w:hAnsi="Calibri"/>
                <w:b/>
                <w:bCs/>
                <w:color w:val="000000"/>
                <w:sz w:val="18"/>
                <w:szCs w:val="18"/>
              </w:rPr>
              <w:t>10.160.537</w:t>
            </w:r>
          </w:p>
        </w:tc>
      </w:tr>
      <w:tr w:rsidR="00D34B9C" w:rsidRPr="00BE35B9" w14:paraId="528A9644" w14:textId="77777777" w:rsidTr="005F1FBF">
        <w:trPr>
          <w:trHeight w:hRule="exact" w:val="92"/>
        </w:trPr>
        <w:tc>
          <w:tcPr>
            <w:tcW w:w="1545" w:type="pct"/>
            <w:vAlign w:val="bottom"/>
          </w:tcPr>
          <w:p w14:paraId="52073FB8" w14:textId="77777777" w:rsidR="00D34B9C" w:rsidRPr="00BE35B9" w:rsidRDefault="00D34B9C">
            <w:pPr>
              <w:pStyle w:val="Tot"/>
              <w:spacing w:line="220" w:lineRule="exact"/>
              <w:rPr>
                <w:rFonts w:asciiTheme="minorHAnsi" w:hAnsiTheme="minorHAnsi" w:cs="Arial"/>
                <w:bCs/>
                <w:sz w:val="17"/>
                <w:szCs w:val="17"/>
                <w:lang w:val="hr-HR"/>
              </w:rPr>
            </w:pPr>
          </w:p>
        </w:tc>
        <w:tc>
          <w:tcPr>
            <w:tcW w:w="576" w:type="pct"/>
            <w:tcBorders>
              <w:top w:val="single" w:sz="12" w:space="0" w:color="auto"/>
              <w:left w:val="nil"/>
              <w:right w:val="nil"/>
            </w:tcBorders>
            <w:vAlign w:val="bottom"/>
          </w:tcPr>
          <w:p w14:paraId="7B245A52" w14:textId="77777777" w:rsidR="00D34B9C" w:rsidRPr="007E1860" w:rsidRDefault="00D34B9C">
            <w:pPr>
              <w:pStyle w:val="Header"/>
              <w:spacing w:line="220" w:lineRule="exact"/>
              <w:jc w:val="right"/>
              <w:rPr>
                <w:rFonts w:cs="Arial"/>
                <w:bCs/>
                <w:i/>
                <w:spacing w:val="-2"/>
                <w:sz w:val="18"/>
                <w:szCs w:val="18"/>
              </w:rPr>
            </w:pPr>
          </w:p>
        </w:tc>
        <w:tc>
          <w:tcPr>
            <w:tcW w:w="576" w:type="pct"/>
            <w:tcBorders>
              <w:top w:val="single" w:sz="12" w:space="0" w:color="auto"/>
              <w:left w:val="nil"/>
              <w:right w:val="nil"/>
            </w:tcBorders>
            <w:vAlign w:val="bottom"/>
          </w:tcPr>
          <w:p w14:paraId="3CA9EBE2" w14:textId="77777777" w:rsidR="00D34B9C" w:rsidRPr="007E1860" w:rsidRDefault="00D34B9C">
            <w:pPr>
              <w:pStyle w:val="Header"/>
              <w:spacing w:line="220" w:lineRule="exact"/>
              <w:jc w:val="right"/>
              <w:rPr>
                <w:rFonts w:cs="Arial"/>
                <w:bCs/>
                <w:i/>
                <w:spacing w:val="-2"/>
                <w:sz w:val="18"/>
                <w:szCs w:val="18"/>
              </w:rPr>
            </w:pPr>
          </w:p>
        </w:tc>
        <w:tc>
          <w:tcPr>
            <w:tcW w:w="576" w:type="pct"/>
            <w:tcBorders>
              <w:top w:val="single" w:sz="12" w:space="0" w:color="auto"/>
              <w:left w:val="nil"/>
              <w:right w:val="nil"/>
            </w:tcBorders>
            <w:vAlign w:val="bottom"/>
          </w:tcPr>
          <w:p w14:paraId="5DCB0CC0" w14:textId="77777777" w:rsidR="00D34B9C" w:rsidRPr="007E1860" w:rsidRDefault="00D34B9C">
            <w:pPr>
              <w:pStyle w:val="Header"/>
              <w:spacing w:line="220" w:lineRule="exact"/>
              <w:jc w:val="right"/>
              <w:rPr>
                <w:rFonts w:cs="Arial"/>
                <w:bCs/>
                <w:i/>
                <w:spacing w:val="-2"/>
                <w:sz w:val="18"/>
                <w:szCs w:val="18"/>
              </w:rPr>
            </w:pPr>
          </w:p>
        </w:tc>
        <w:tc>
          <w:tcPr>
            <w:tcW w:w="575" w:type="pct"/>
            <w:tcBorders>
              <w:top w:val="single" w:sz="12" w:space="0" w:color="auto"/>
              <w:left w:val="nil"/>
              <w:right w:val="nil"/>
            </w:tcBorders>
            <w:vAlign w:val="bottom"/>
          </w:tcPr>
          <w:p w14:paraId="51B4FECF" w14:textId="77777777" w:rsidR="00D34B9C" w:rsidRPr="007E1860" w:rsidRDefault="00D34B9C">
            <w:pPr>
              <w:pStyle w:val="Header"/>
              <w:spacing w:line="220" w:lineRule="exact"/>
              <w:jc w:val="right"/>
              <w:rPr>
                <w:rFonts w:cs="Arial"/>
                <w:bCs/>
                <w:i/>
                <w:spacing w:val="-2"/>
                <w:sz w:val="18"/>
                <w:szCs w:val="18"/>
              </w:rPr>
            </w:pPr>
          </w:p>
        </w:tc>
        <w:tc>
          <w:tcPr>
            <w:tcW w:w="577" w:type="pct"/>
            <w:tcBorders>
              <w:top w:val="single" w:sz="12" w:space="0" w:color="auto"/>
              <w:left w:val="nil"/>
              <w:right w:val="nil"/>
            </w:tcBorders>
            <w:vAlign w:val="bottom"/>
          </w:tcPr>
          <w:p w14:paraId="27A03BF8" w14:textId="77777777" w:rsidR="00D34B9C" w:rsidRPr="007E1860" w:rsidRDefault="00D34B9C">
            <w:pPr>
              <w:pStyle w:val="Header"/>
              <w:spacing w:line="220" w:lineRule="exact"/>
              <w:jc w:val="right"/>
              <w:rPr>
                <w:rFonts w:cs="Arial"/>
                <w:bCs/>
                <w:i/>
                <w:spacing w:val="-2"/>
                <w:sz w:val="18"/>
                <w:szCs w:val="18"/>
              </w:rPr>
            </w:pPr>
          </w:p>
        </w:tc>
        <w:tc>
          <w:tcPr>
            <w:tcW w:w="575" w:type="pct"/>
            <w:tcBorders>
              <w:top w:val="single" w:sz="12" w:space="0" w:color="auto"/>
              <w:left w:val="nil"/>
              <w:right w:val="nil"/>
            </w:tcBorders>
            <w:vAlign w:val="bottom"/>
          </w:tcPr>
          <w:p w14:paraId="49295ABB" w14:textId="77777777" w:rsidR="00D34B9C" w:rsidRPr="007E1860" w:rsidRDefault="00D34B9C">
            <w:pPr>
              <w:pStyle w:val="Header"/>
              <w:spacing w:line="220" w:lineRule="exact"/>
              <w:jc w:val="right"/>
              <w:rPr>
                <w:rFonts w:cs="Arial"/>
                <w:bCs/>
                <w:i/>
                <w:spacing w:val="-2"/>
                <w:sz w:val="18"/>
                <w:szCs w:val="18"/>
              </w:rPr>
            </w:pPr>
          </w:p>
        </w:tc>
      </w:tr>
      <w:tr w:rsidR="001167E0" w:rsidRPr="00BE35B9" w14:paraId="7C583198" w14:textId="77777777" w:rsidTr="005F1FBF">
        <w:trPr>
          <w:trHeight w:val="351"/>
        </w:trPr>
        <w:tc>
          <w:tcPr>
            <w:tcW w:w="1545" w:type="pct"/>
            <w:vAlign w:val="bottom"/>
          </w:tcPr>
          <w:p w14:paraId="29B3A2D8" w14:textId="77777777" w:rsidR="001167E0" w:rsidRPr="00BE35B9" w:rsidRDefault="001167E0">
            <w:pPr>
              <w:pStyle w:val="Tot"/>
              <w:spacing w:line="240" w:lineRule="auto"/>
              <w:rPr>
                <w:rFonts w:asciiTheme="minorHAnsi" w:hAnsiTheme="minorHAnsi" w:cs="Arial"/>
                <w:bCs/>
                <w:sz w:val="17"/>
                <w:szCs w:val="17"/>
                <w:lang w:val="hr-HR"/>
              </w:rPr>
            </w:pPr>
            <w:r w:rsidRPr="00BE35B9">
              <w:rPr>
                <w:rFonts w:asciiTheme="minorHAnsi" w:hAnsiTheme="minorHAnsi" w:cs="Arial"/>
                <w:bCs/>
                <w:sz w:val="17"/>
                <w:szCs w:val="17"/>
                <w:lang w:val="hr-HR"/>
              </w:rPr>
              <w:t>Garantni fond</w:t>
            </w:r>
          </w:p>
        </w:tc>
        <w:tc>
          <w:tcPr>
            <w:tcW w:w="576" w:type="pct"/>
            <w:tcBorders>
              <w:top w:val="nil"/>
              <w:left w:val="nil"/>
              <w:bottom w:val="nil"/>
              <w:right w:val="nil"/>
            </w:tcBorders>
            <w:shd w:val="clear" w:color="auto" w:fill="auto"/>
            <w:vAlign w:val="bottom"/>
          </w:tcPr>
          <w:p w14:paraId="6B7B00C6" w14:textId="1398156C" w:rsidR="001167E0" w:rsidRPr="007E1860" w:rsidRDefault="00BE41D7">
            <w:pPr>
              <w:pStyle w:val="Header"/>
              <w:jc w:val="right"/>
              <w:rPr>
                <w:rFonts w:cs="Arial"/>
                <w:bCs/>
                <w:spacing w:val="-2"/>
                <w:sz w:val="18"/>
                <w:szCs w:val="18"/>
              </w:rPr>
            </w:pPr>
            <w:r w:rsidRPr="007E1860">
              <w:rPr>
                <w:rFonts w:cs="Arial"/>
                <w:bCs/>
                <w:spacing w:val="-2"/>
                <w:sz w:val="18"/>
                <w:szCs w:val="18"/>
              </w:rPr>
              <w:t>-</w:t>
            </w:r>
          </w:p>
        </w:tc>
        <w:tc>
          <w:tcPr>
            <w:tcW w:w="576" w:type="pct"/>
            <w:tcBorders>
              <w:top w:val="nil"/>
              <w:left w:val="nil"/>
              <w:bottom w:val="nil"/>
              <w:right w:val="nil"/>
            </w:tcBorders>
            <w:shd w:val="clear" w:color="auto" w:fill="auto"/>
            <w:vAlign w:val="bottom"/>
          </w:tcPr>
          <w:p w14:paraId="68D990A2" w14:textId="4C7A7EFD" w:rsidR="001167E0" w:rsidRPr="007E1860" w:rsidRDefault="00BE41D7">
            <w:pPr>
              <w:pStyle w:val="Header"/>
              <w:jc w:val="right"/>
              <w:rPr>
                <w:rFonts w:cs="Arial"/>
                <w:bCs/>
                <w:spacing w:val="-2"/>
                <w:sz w:val="18"/>
                <w:szCs w:val="18"/>
              </w:rPr>
            </w:pPr>
            <w:r w:rsidRPr="007E1860">
              <w:rPr>
                <w:rFonts w:cs="Arial"/>
                <w:bCs/>
                <w:spacing w:val="-2"/>
                <w:sz w:val="18"/>
                <w:szCs w:val="18"/>
              </w:rPr>
              <w:t>-</w:t>
            </w:r>
          </w:p>
        </w:tc>
        <w:tc>
          <w:tcPr>
            <w:tcW w:w="576" w:type="pct"/>
            <w:tcBorders>
              <w:top w:val="nil"/>
              <w:left w:val="nil"/>
              <w:bottom w:val="nil"/>
              <w:right w:val="nil"/>
            </w:tcBorders>
            <w:shd w:val="clear" w:color="auto" w:fill="auto"/>
            <w:vAlign w:val="bottom"/>
          </w:tcPr>
          <w:p w14:paraId="7D8E757C" w14:textId="126696F1" w:rsidR="001167E0" w:rsidRPr="007E1860" w:rsidRDefault="00BE41D7">
            <w:pPr>
              <w:pStyle w:val="Header"/>
              <w:jc w:val="right"/>
              <w:rPr>
                <w:rFonts w:cs="Arial"/>
                <w:bCs/>
                <w:spacing w:val="-2"/>
                <w:sz w:val="18"/>
                <w:szCs w:val="18"/>
              </w:rPr>
            </w:pPr>
            <w:r w:rsidRPr="007E1860">
              <w:rPr>
                <w:rFonts w:cs="Arial"/>
                <w:bCs/>
                <w:spacing w:val="-2"/>
                <w:sz w:val="18"/>
                <w:szCs w:val="18"/>
              </w:rPr>
              <w:t>-</w:t>
            </w:r>
          </w:p>
        </w:tc>
        <w:tc>
          <w:tcPr>
            <w:tcW w:w="575" w:type="pct"/>
            <w:tcBorders>
              <w:top w:val="nil"/>
              <w:left w:val="nil"/>
              <w:bottom w:val="nil"/>
              <w:right w:val="nil"/>
            </w:tcBorders>
            <w:shd w:val="clear" w:color="auto" w:fill="auto"/>
            <w:vAlign w:val="bottom"/>
          </w:tcPr>
          <w:p w14:paraId="5D3DFFB2" w14:textId="04B945AA" w:rsidR="001167E0" w:rsidRPr="007E1860" w:rsidRDefault="00BE41D7">
            <w:pPr>
              <w:pStyle w:val="Header"/>
              <w:jc w:val="right"/>
              <w:rPr>
                <w:rFonts w:cs="Arial"/>
                <w:bCs/>
                <w:spacing w:val="-2"/>
                <w:sz w:val="18"/>
                <w:szCs w:val="18"/>
              </w:rPr>
            </w:pPr>
            <w:r w:rsidRPr="007E1860">
              <w:rPr>
                <w:rFonts w:cs="Arial"/>
                <w:bCs/>
                <w:spacing w:val="-2"/>
                <w:sz w:val="18"/>
                <w:szCs w:val="18"/>
              </w:rPr>
              <w:t>-</w:t>
            </w:r>
          </w:p>
        </w:tc>
        <w:tc>
          <w:tcPr>
            <w:tcW w:w="577" w:type="pct"/>
            <w:tcBorders>
              <w:top w:val="nil"/>
              <w:left w:val="nil"/>
              <w:bottom w:val="nil"/>
              <w:right w:val="nil"/>
            </w:tcBorders>
            <w:shd w:val="clear" w:color="auto" w:fill="auto"/>
            <w:vAlign w:val="bottom"/>
          </w:tcPr>
          <w:p w14:paraId="2E872E00" w14:textId="4625FAE8" w:rsidR="001167E0" w:rsidRPr="007E1860" w:rsidRDefault="00A15369">
            <w:pPr>
              <w:spacing w:after="0" w:line="240" w:lineRule="auto"/>
              <w:jc w:val="right"/>
              <w:rPr>
                <w:rFonts w:cs="Arial"/>
                <w:sz w:val="18"/>
                <w:szCs w:val="18"/>
              </w:rPr>
            </w:pPr>
            <w:r w:rsidRPr="00A15369">
              <w:rPr>
                <w:rFonts w:cs="Arial"/>
                <w:sz w:val="18"/>
                <w:szCs w:val="18"/>
              </w:rPr>
              <w:t>12.128</w:t>
            </w:r>
          </w:p>
        </w:tc>
        <w:tc>
          <w:tcPr>
            <w:tcW w:w="575" w:type="pct"/>
            <w:tcBorders>
              <w:top w:val="nil"/>
              <w:left w:val="nil"/>
              <w:bottom w:val="nil"/>
              <w:right w:val="nil"/>
            </w:tcBorders>
            <w:shd w:val="clear" w:color="auto" w:fill="auto"/>
            <w:vAlign w:val="bottom"/>
          </w:tcPr>
          <w:p w14:paraId="12FC83C7" w14:textId="3A17760A" w:rsidR="001167E0" w:rsidRPr="007E1860" w:rsidRDefault="00A15369">
            <w:pPr>
              <w:spacing w:after="0" w:line="240" w:lineRule="auto"/>
              <w:jc w:val="right"/>
              <w:rPr>
                <w:rFonts w:cs="Arial"/>
                <w:sz w:val="18"/>
                <w:szCs w:val="18"/>
              </w:rPr>
            </w:pPr>
            <w:r w:rsidRPr="00A15369">
              <w:rPr>
                <w:rFonts w:cs="Arial"/>
                <w:sz w:val="18"/>
                <w:szCs w:val="18"/>
              </w:rPr>
              <w:t>12.128</w:t>
            </w:r>
          </w:p>
        </w:tc>
      </w:tr>
      <w:tr w:rsidR="001167E0" w:rsidRPr="00BE35B9" w14:paraId="7CFB8CBA" w14:textId="77777777" w:rsidTr="005F1FBF">
        <w:trPr>
          <w:trHeight w:val="133"/>
        </w:trPr>
        <w:tc>
          <w:tcPr>
            <w:tcW w:w="1545" w:type="pct"/>
            <w:vAlign w:val="bottom"/>
          </w:tcPr>
          <w:p w14:paraId="542624C6" w14:textId="77777777" w:rsidR="001167E0" w:rsidRPr="00BE35B9" w:rsidRDefault="001167E0">
            <w:pPr>
              <w:pStyle w:val="Tot"/>
              <w:spacing w:line="220" w:lineRule="exact"/>
              <w:rPr>
                <w:rFonts w:asciiTheme="minorHAnsi" w:hAnsiTheme="minorHAnsi" w:cs="Arial"/>
                <w:b/>
                <w:bCs/>
                <w:sz w:val="17"/>
                <w:szCs w:val="17"/>
                <w:lang w:val="hr-HR"/>
              </w:rPr>
            </w:pPr>
            <w:r w:rsidRPr="00BE35B9">
              <w:rPr>
                <w:rFonts w:asciiTheme="minorHAnsi" w:hAnsiTheme="minorHAnsi" w:cs="Arial"/>
                <w:b/>
                <w:bCs/>
                <w:sz w:val="17"/>
                <w:szCs w:val="17"/>
                <w:lang w:val="hr-HR"/>
              </w:rPr>
              <w:t>Ukupna glavnica</w:t>
            </w:r>
          </w:p>
        </w:tc>
        <w:tc>
          <w:tcPr>
            <w:tcW w:w="576" w:type="pct"/>
            <w:tcBorders>
              <w:top w:val="single" w:sz="4" w:space="0" w:color="auto"/>
              <w:left w:val="nil"/>
              <w:bottom w:val="single" w:sz="8" w:space="0" w:color="auto"/>
              <w:right w:val="nil"/>
            </w:tcBorders>
            <w:shd w:val="clear" w:color="auto" w:fill="auto"/>
            <w:vAlign w:val="bottom"/>
          </w:tcPr>
          <w:p w14:paraId="565D9220" w14:textId="0E0B1565" w:rsidR="001167E0" w:rsidRPr="007E1860" w:rsidRDefault="00BE41D7">
            <w:pPr>
              <w:pStyle w:val="Footer"/>
              <w:spacing w:line="220" w:lineRule="exact"/>
              <w:jc w:val="right"/>
              <w:rPr>
                <w:rFonts w:cs="Arial"/>
                <w:b/>
                <w:bCs/>
                <w:spacing w:val="-2"/>
                <w:sz w:val="18"/>
                <w:szCs w:val="18"/>
              </w:rPr>
            </w:pPr>
            <w:r w:rsidRPr="007E1860">
              <w:rPr>
                <w:rFonts w:cs="Arial"/>
                <w:b/>
                <w:bCs/>
                <w:spacing w:val="-2"/>
                <w:sz w:val="18"/>
                <w:szCs w:val="18"/>
              </w:rPr>
              <w:t>-</w:t>
            </w:r>
          </w:p>
        </w:tc>
        <w:tc>
          <w:tcPr>
            <w:tcW w:w="576" w:type="pct"/>
            <w:tcBorders>
              <w:top w:val="single" w:sz="4" w:space="0" w:color="auto"/>
              <w:left w:val="nil"/>
              <w:bottom w:val="single" w:sz="8" w:space="0" w:color="auto"/>
              <w:right w:val="nil"/>
            </w:tcBorders>
            <w:shd w:val="clear" w:color="auto" w:fill="auto"/>
            <w:vAlign w:val="bottom"/>
          </w:tcPr>
          <w:p w14:paraId="5EBBB96E" w14:textId="5A407B49" w:rsidR="001167E0" w:rsidRPr="007E1860" w:rsidRDefault="00BE41D7">
            <w:pPr>
              <w:pStyle w:val="Footer"/>
              <w:spacing w:line="220" w:lineRule="exact"/>
              <w:jc w:val="right"/>
              <w:rPr>
                <w:rFonts w:cs="Arial"/>
                <w:b/>
                <w:bCs/>
                <w:spacing w:val="-2"/>
                <w:sz w:val="18"/>
                <w:szCs w:val="18"/>
              </w:rPr>
            </w:pPr>
            <w:r w:rsidRPr="007E1860">
              <w:rPr>
                <w:rFonts w:cs="Arial"/>
                <w:b/>
                <w:bCs/>
                <w:spacing w:val="-2"/>
                <w:sz w:val="18"/>
                <w:szCs w:val="18"/>
              </w:rPr>
              <w:t>-</w:t>
            </w:r>
          </w:p>
        </w:tc>
        <w:tc>
          <w:tcPr>
            <w:tcW w:w="576" w:type="pct"/>
            <w:tcBorders>
              <w:top w:val="single" w:sz="4" w:space="0" w:color="auto"/>
              <w:left w:val="nil"/>
              <w:bottom w:val="single" w:sz="8" w:space="0" w:color="auto"/>
              <w:right w:val="nil"/>
            </w:tcBorders>
            <w:shd w:val="clear" w:color="auto" w:fill="auto"/>
            <w:vAlign w:val="bottom"/>
          </w:tcPr>
          <w:p w14:paraId="62C588B3" w14:textId="76C6972D" w:rsidR="001167E0" w:rsidRPr="007E1860" w:rsidRDefault="00BE41D7">
            <w:pPr>
              <w:pStyle w:val="Footer"/>
              <w:spacing w:line="220" w:lineRule="exact"/>
              <w:jc w:val="right"/>
              <w:rPr>
                <w:rFonts w:cs="Arial"/>
                <w:b/>
                <w:bCs/>
                <w:spacing w:val="-2"/>
                <w:sz w:val="18"/>
                <w:szCs w:val="18"/>
              </w:rPr>
            </w:pPr>
            <w:r w:rsidRPr="007E1860">
              <w:rPr>
                <w:rFonts w:cs="Arial"/>
                <w:b/>
                <w:bCs/>
                <w:spacing w:val="-2"/>
                <w:sz w:val="18"/>
                <w:szCs w:val="18"/>
              </w:rPr>
              <w:t>-</w:t>
            </w:r>
          </w:p>
        </w:tc>
        <w:tc>
          <w:tcPr>
            <w:tcW w:w="575" w:type="pct"/>
            <w:tcBorders>
              <w:top w:val="single" w:sz="4" w:space="0" w:color="auto"/>
              <w:left w:val="nil"/>
              <w:bottom w:val="single" w:sz="8" w:space="0" w:color="auto"/>
              <w:right w:val="nil"/>
            </w:tcBorders>
            <w:shd w:val="clear" w:color="auto" w:fill="auto"/>
            <w:vAlign w:val="bottom"/>
          </w:tcPr>
          <w:p w14:paraId="4F1A2FC4" w14:textId="3BA29C9F" w:rsidR="001167E0" w:rsidRPr="007E1860" w:rsidRDefault="00BE41D7">
            <w:pPr>
              <w:pStyle w:val="Footer"/>
              <w:spacing w:line="220" w:lineRule="exact"/>
              <w:jc w:val="right"/>
              <w:rPr>
                <w:rFonts w:cs="Arial"/>
                <w:b/>
                <w:bCs/>
                <w:spacing w:val="-2"/>
                <w:sz w:val="18"/>
                <w:szCs w:val="18"/>
              </w:rPr>
            </w:pPr>
            <w:r w:rsidRPr="007E1860">
              <w:rPr>
                <w:rFonts w:cs="Arial"/>
                <w:b/>
                <w:bCs/>
                <w:spacing w:val="-2"/>
                <w:sz w:val="18"/>
                <w:szCs w:val="18"/>
              </w:rPr>
              <w:t>-</w:t>
            </w:r>
          </w:p>
        </w:tc>
        <w:tc>
          <w:tcPr>
            <w:tcW w:w="577" w:type="pct"/>
            <w:tcBorders>
              <w:top w:val="single" w:sz="4" w:space="0" w:color="auto"/>
              <w:left w:val="nil"/>
              <w:bottom w:val="single" w:sz="8" w:space="0" w:color="auto"/>
              <w:right w:val="nil"/>
            </w:tcBorders>
            <w:shd w:val="clear" w:color="auto" w:fill="auto"/>
            <w:vAlign w:val="bottom"/>
          </w:tcPr>
          <w:p w14:paraId="3AA74BE5" w14:textId="31183CB8" w:rsidR="001167E0" w:rsidRPr="007E1860" w:rsidRDefault="00A15369">
            <w:pPr>
              <w:spacing w:after="0" w:line="240" w:lineRule="exact"/>
              <w:jc w:val="right"/>
              <w:outlineLvl w:val="0"/>
              <w:rPr>
                <w:rFonts w:cs="Arial"/>
                <w:b/>
                <w:bCs/>
                <w:color w:val="000000"/>
                <w:sz w:val="18"/>
                <w:szCs w:val="18"/>
                <w:lang w:eastAsia="hr-HR"/>
              </w:rPr>
            </w:pPr>
            <w:r w:rsidRPr="00A15369">
              <w:rPr>
                <w:rFonts w:cs="Arial"/>
                <w:b/>
                <w:bCs/>
                <w:color w:val="000000"/>
                <w:sz w:val="18"/>
                <w:szCs w:val="18"/>
                <w:lang w:eastAsia="hr-HR"/>
              </w:rPr>
              <w:t>10.172.665</w:t>
            </w:r>
          </w:p>
        </w:tc>
        <w:tc>
          <w:tcPr>
            <w:tcW w:w="575" w:type="pct"/>
            <w:tcBorders>
              <w:top w:val="single" w:sz="4" w:space="0" w:color="auto"/>
              <w:left w:val="nil"/>
              <w:bottom w:val="single" w:sz="8" w:space="0" w:color="auto"/>
              <w:right w:val="nil"/>
            </w:tcBorders>
            <w:shd w:val="clear" w:color="auto" w:fill="auto"/>
            <w:vAlign w:val="bottom"/>
          </w:tcPr>
          <w:p w14:paraId="3F1753ED" w14:textId="09DE2594" w:rsidR="001167E0" w:rsidRPr="007E1860" w:rsidRDefault="00A15369">
            <w:pPr>
              <w:spacing w:after="0" w:line="240" w:lineRule="exact"/>
              <w:jc w:val="right"/>
              <w:outlineLvl w:val="0"/>
              <w:rPr>
                <w:rFonts w:cs="Arial"/>
                <w:b/>
                <w:bCs/>
                <w:color w:val="000000"/>
                <w:sz w:val="18"/>
                <w:szCs w:val="18"/>
                <w:lang w:eastAsia="hr-HR"/>
              </w:rPr>
            </w:pPr>
            <w:r w:rsidRPr="00A15369">
              <w:rPr>
                <w:rFonts w:cs="Arial"/>
                <w:b/>
                <w:bCs/>
                <w:color w:val="000000"/>
                <w:sz w:val="18"/>
                <w:szCs w:val="18"/>
                <w:lang w:eastAsia="hr-HR"/>
              </w:rPr>
              <w:t>10.172.665</w:t>
            </w:r>
          </w:p>
        </w:tc>
      </w:tr>
      <w:tr w:rsidR="00D34B9C" w:rsidRPr="00BE35B9" w14:paraId="6912EB42" w14:textId="77777777" w:rsidTr="005F1FBF">
        <w:trPr>
          <w:trHeight w:val="39"/>
        </w:trPr>
        <w:tc>
          <w:tcPr>
            <w:tcW w:w="1545" w:type="pct"/>
            <w:vAlign w:val="bottom"/>
          </w:tcPr>
          <w:p w14:paraId="5952AF69" w14:textId="77777777" w:rsidR="00D34B9C" w:rsidRPr="00BE35B9" w:rsidRDefault="00D34B9C">
            <w:pPr>
              <w:pStyle w:val="Tot"/>
              <w:spacing w:line="120" w:lineRule="exact"/>
              <w:rPr>
                <w:rFonts w:asciiTheme="minorHAnsi" w:hAnsiTheme="minorHAnsi" w:cs="Arial"/>
                <w:b/>
                <w:bCs/>
                <w:sz w:val="17"/>
                <w:szCs w:val="17"/>
                <w:lang w:val="hr-HR"/>
              </w:rPr>
            </w:pPr>
          </w:p>
        </w:tc>
        <w:tc>
          <w:tcPr>
            <w:tcW w:w="576" w:type="pct"/>
            <w:tcBorders>
              <w:top w:val="single" w:sz="12" w:space="0" w:color="auto"/>
              <w:left w:val="nil"/>
              <w:bottom w:val="nil"/>
              <w:right w:val="nil"/>
            </w:tcBorders>
            <w:vAlign w:val="bottom"/>
          </w:tcPr>
          <w:p w14:paraId="54202217" w14:textId="77777777" w:rsidR="00D34B9C" w:rsidRPr="007E1860" w:rsidRDefault="00D34B9C">
            <w:pPr>
              <w:pStyle w:val="Thick"/>
              <w:tabs>
                <w:tab w:val="clear" w:pos="1202"/>
              </w:tabs>
              <w:spacing w:line="120" w:lineRule="exact"/>
              <w:jc w:val="right"/>
              <w:rPr>
                <w:rFonts w:asciiTheme="minorHAnsi" w:hAnsiTheme="minorHAnsi" w:cs="Arial"/>
                <w:bCs/>
                <w:spacing w:val="-2"/>
                <w:sz w:val="18"/>
                <w:szCs w:val="18"/>
                <w:u w:val="none"/>
                <w:lang w:val="hr-HR"/>
              </w:rPr>
            </w:pPr>
          </w:p>
        </w:tc>
        <w:tc>
          <w:tcPr>
            <w:tcW w:w="576" w:type="pct"/>
            <w:tcBorders>
              <w:top w:val="single" w:sz="12" w:space="0" w:color="auto"/>
              <w:left w:val="nil"/>
              <w:bottom w:val="nil"/>
              <w:right w:val="nil"/>
            </w:tcBorders>
            <w:vAlign w:val="bottom"/>
          </w:tcPr>
          <w:p w14:paraId="6FC8A91D" w14:textId="77777777" w:rsidR="00D34B9C" w:rsidRPr="007E1860" w:rsidRDefault="00D34B9C">
            <w:pPr>
              <w:pStyle w:val="Footer"/>
              <w:spacing w:line="120" w:lineRule="exact"/>
              <w:jc w:val="right"/>
              <w:rPr>
                <w:rFonts w:cs="Arial"/>
                <w:b/>
                <w:bCs/>
                <w:spacing w:val="-2"/>
                <w:sz w:val="18"/>
                <w:szCs w:val="18"/>
              </w:rPr>
            </w:pPr>
          </w:p>
        </w:tc>
        <w:tc>
          <w:tcPr>
            <w:tcW w:w="576" w:type="pct"/>
            <w:tcBorders>
              <w:top w:val="single" w:sz="12" w:space="0" w:color="auto"/>
              <w:left w:val="nil"/>
              <w:bottom w:val="nil"/>
              <w:right w:val="nil"/>
            </w:tcBorders>
            <w:vAlign w:val="bottom"/>
          </w:tcPr>
          <w:p w14:paraId="000CB8CC" w14:textId="77777777" w:rsidR="00D34B9C" w:rsidRPr="007E1860" w:rsidRDefault="00D34B9C">
            <w:pPr>
              <w:pStyle w:val="Footer"/>
              <w:spacing w:line="120" w:lineRule="exact"/>
              <w:jc w:val="right"/>
              <w:rPr>
                <w:rFonts w:cs="Arial"/>
                <w:b/>
                <w:bCs/>
                <w:spacing w:val="-2"/>
                <w:sz w:val="18"/>
                <w:szCs w:val="18"/>
              </w:rPr>
            </w:pPr>
          </w:p>
        </w:tc>
        <w:tc>
          <w:tcPr>
            <w:tcW w:w="575" w:type="pct"/>
            <w:tcBorders>
              <w:top w:val="single" w:sz="12" w:space="0" w:color="auto"/>
              <w:left w:val="nil"/>
              <w:bottom w:val="nil"/>
              <w:right w:val="nil"/>
            </w:tcBorders>
            <w:vAlign w:val="bottom"/>
          </w:tcPr>
          <w:p w14:paraId="031A15F2" w14:textId="77777777" w:rsidR="00D34B9C" w:rsidRPr="007E1860" w:rsidRDefault="00D34B9C">
            <w:pPr>
              <w:pStyle w:val="Thick"/>
              <w:tabs>
                <w:tab w:val="clear" w:pos="1202"/>
              </w:tabs>
              <w:spacing w:line="120" w:lineRule="exact"/>
              <w:jc w:val="right"/>
              <w:rPr>
                <w:rFonts w:asciiTheme="minorHAnsi" w:hAnsiTheme="minorHAnsi" w:cs="Arial"/>
                <w:bCs/>
                <w:spacing w:val="-2"/>
                <w:sz w:val="18"/>
                <w:szCs w:val="18"/>
                <w:u w:val="none"/>
                <w:lang w:val="hr-HR"/>
              </w:rPr>
            </w:pPr>
          </w:p>
        </w:tc>
        <w:tc>
          <w:tcPr>
            <w:tcW w:w="577" w:type="pct"/>
            <w:tcBorders>
              <w:top w:val="single" w:sz="12" w:space="0" w:color="auto"/>
              <w:left w:val="nil"/>
              <w:bottom w:val="nil"/>
              <w:right w:val="nil"/>
            </w:tcBorders>
            <w:vAlign w:val="bottom"/>
          </w:tcPr>
          <w:p w14:paraId="1AC8A25C" w14:textId="77777777" w:rsidR="00D34B9C" w:rsidRPr="007E1860" w:rsidRDefault="00D34B9C">
            <w:pPr>
              <w:spacing w:after="0" w:line="120" w:lineRule="exact"/>
              <w:jc w:val="right"/>
              <w:outlineLvl w:val="0"/>
              <w:rPr>
                <w:rFonts w:cs="Arial"/>
                <w:b/>
                <w:bCs/>
                <w:color w:val="000000"/>
                <w:sz w:val="18"/>
                <w:szCs w:val="18"/>
                <w:lang w:eastAsia="hr-HR"/>
              </w:rPr>
            </w:pPr>
          </w:p>
        </w:tc>
        <w:tc>
          <w:tcPr>
            <w:tcW w:w="575" w:type="pct"/>
            <w:tcBorders>
              <w:top w:val="single" w:sz="12" w:space="0" w:color="auto"/>
              <w:left w:val="nil"/>
              <w:bottom w:val="nil"/>
              <w:right w:val="nil"/>
            </w:tcBorders>
            <w:vAlign w:val="bottom"/>
          </w:tcPr>
          <w:p w14:paraId="1E096275" w14:textId="77777777" w:rsidR="00D34B9C" w:rsidRPr="007E1860" w:rsidRDefault="00D34B9C">
            <w:pPr>
              <w:spacing w:after="0" w:line="120" w:lineRule="exact"/>
              <w:jc w:val="right"/>
              <w:outlineLvl w:val="0"/>
              <w:rPr>
                <w:rFonts w:cs="Arial"/>
                <w:b/>
                <w:bCs/>
                <w:color w:val="000000"/>
                <w:sz w:val="18"/>
                <w:szCs w:val="18"/>
                <w:lang w:eastAsia="hr-HR"/>
              </w:rPr>
            </w:pPr>
          </w:p>
        </w:tc>
      </w:tr>
      <w:tr w:rsidR="00C14AFC" w:rsidRPr="00BE35B9" w14:paraId="37C3EDCF" w14:textId="77777777" w:rsidTr="00312975">
        <w:trPr>
          <w:trHeight w:val="235"/>
        </w:trPr>
        <w:tc>
          <w:tcPr>
            <w:tcW w:w="1545" w:type="pct"/>
            <w:vAlign w:val="bottom"/>
          </w:tcPr>
          <w:p w14:paraId="15D82B21" w14:textId="77777777" w:rsidR="00C14AFC" w:rsidRPr="00CB232E" w:rsidRDefault="00C14AFC" w:rsidP="00C14AFC">
            <w:pPr>
              <w:pStyle w:val="Tot"/>
              <w:spacing w:line="220" w:lineRule="exact"/>
              <w:rPr>
                <w:rFonts w:asciiTheme="minorHAnsi" w:hAnsiTheme="minorHAnsi" w:cs="Arial"/>
                <w:b/>
                <w:bCs/>
                <w:sz w:val="17"/>
                <w:szCs w:val="17"/>
                <w:lang w:val="hr-HR"/>
              </w:rPr>
            </w:pPr>
            <w:r w:rsidRPr="00CB232E">
              <w:rPr>
                <w:rFonts w:asciiTheme="minorHAnsi" w:hAnsiTheme="minorHAnsi" w:cs="Arial"/>
                <w:b/>
                <w:bCs/>
                <w:sz w:val="17"/>
                <w:szCs w:val="17"/>
                <w:lang w:val="hr-HR"/>
              </w:rPr>
              <w:t>Ukupne obveze i glavnica (2)</w:t>
            </w:r>
          </w:p>
        </w:tc>
        <w:tc>
          <w:tcPr>
            <w:tcW w:w="576" w:type="pct"/>
            <w:tcBorders>
              <w:top w:val="nil"/>
              <w:left w:val="nil"/>
              <w:bottom w:val="single" w:sz="12" w:space="0" w:color="auto"/>
              <w:right w:val="nil"/>
            </w:tcBorders>
            <w:shd w:val="clear" w:color="auto" w:fill="auto"/>
          </w:tcPr>
          <w:p w14:paraId="20FB56E6" w14:textId="2A54643A" w:rsidR="00C14AFC" w:rsidRPr="007E1860" w:rsidRDefault="00C14AFC" w:rsidP="00C14AFC">
            <w:pPr>
              <w:spacing w:after="0" w:line="240" w:lineRule="exact"/>
              <w:jc w:val="right"/>
              <w:outlineLvl w:val="0"/>
              <w:rPr>
                <w:rFonts w:cs="Arial"/>
                <w:b/>
                <w:bCs/>
                <w:color w:val="000000"/>
                <w:sz w:val="18"/>
                <w:szCs w:val="18"/>
                <w:lang w:eastAsia="hr-HR"/>
              </w:rPr>
            </w:pPr>
            <w:r w:rsidRPr="0045040C">
              <w:rPr>
                <w:rFonts w:ascii="Calibri" w:hAnsi="Calibri"/>
                <w:b/>
                <w:bCs/>
                <w:color w:val="000000"/>
                <w:sz w:val="18"/>
                <w:szCs w:val="18"/>
              </w:rPr>
              <w:t>576.718</w:t>
            </w:r>
          </w:p>
        </w:tc>
        <w:tc>
          <w:tcPr>
            <w:tcW w:w="576" w:type="pct"/>
            <w:tcBorders>
              <w:top w:val="nil"/>
              <w:left w:val="nil"/>
              <w:bottom w:val="single" w:sz="12" w:space="0" w:color="auto"/>
              <w:right w:val="nil"/>
            </w:tcBorders>
            <w:shd w:val="clear" w:color="auto" w:fill="auto"/>
          </w:tcPr>
          <w:p w14:paraId="65417B16" w14:textId="0295C729" w:rsidR="00C14AFC" w:rsidRPr="007E1860" w:rsidRDefault="00C14AFC" w:rsidP="00C14AFC">
            <w:pPr>
              <w:spacing w:after="0" w:line="240" w:lineRule="exact"/>
              <w:jc w:val="right"/>
              <w:outlineLvl w:val="0"/>
              <w:rPr>
                <w:rFonts w:cs="Arial"/>
                <w:b/>
                <w:bCs/>
                <w:color w:val="000000"/>
                <w:sz w:val="18"/>
                <w:szCs w:val="18"/>
                <w:lang w:eastAsia="hr-HR"/>
              </w:rPr>
            </w:pPr>
            <w:r w:rsidRPr="0045040C">
              <w:rPr>
                <w:rFonts w:ascii="Calibri" w:hAnsi="Calibri"/>
                <w:b/>
                <w:bCs/>
                <w:color w:val="000000"/>
                <w:sz w:val="18"/>
                <w:szCs w:val="18"/>
              </w:rPr>
              <w:t>444.506</w:t>
            </w:r>
          </w:p>
        </w:tc>
        <w:tc>
          <w:tcPr>
            <w:tcW w:w="576" w:type="pct"/>
            <w:tcBorders>
              <w:top w:val="nil"/>
              <w:left w:val="nil"/>
              <w:bottom w:val="single" w:sz="12" w:space="0" w:color="auto"/>
              <w:right w:val="nil"/>
            </w:tcBorders>
            <w:shd w:val="clear" w:color="auto" w:fill="auto"/>
          </w:tcPr>
          <w:p w14:paraId="1C1BEA6A" w14:textId="47062B50" w:rsidR="00C14AFC" w:rsidRPr="007E1860" w:rsidRDefault="00C14AFC" w:rsidP="00C14AFC">
            <w:pPr>
              <w:spacing w:after="0" w:line="240" w:lineRule="exact"/>
              <w:jc w:val="right"/>
              <w:outlineLvl w:val="0"/>
              <w:rPr>
                <w:rFonts w:cs="Arial"/>
                <w:b/>
                <w:bCs/>
                <w:color w:val="000000"/>
                <w:sz w:val="18"/>
                <w:szCs w:val="18"/>
                <w:lang w:eastAsia="hr-HR"/>
              </w:rPr>
            </w:pPr>
            <w:r w:rsidRPr="0045040C">
              <w:rPr>
                <w:rFonts w:ascii="Calibri" w:hAnsi="Calibri"/>
                <w:b/>
                <w:bCs/>
                <w:color w:val="000000"/>
                <w:sz w:val="18"/>
                <w:szCs w:val="18"/>
              </w:rPr>
              <w:t>1.409.074</w:t>
            </w:r>
          </w:p>
        </w:tc>
        <w:tc>
          <w:tcPr>
            <w:tcW w:w="575" w:type="pct"/>
            <w:tcBorders>
              <w:top w:val="nil"/>
              <w:left w:val="nil"/>
              <w:bottom w:val="single" w:sz="12" w:space="0" w:color="auto"/>
              <w:right w:val="nil"/>
            </w:tcBorders>
            <w:shd w:val="clear" w:color="auto" w:fill="auto"/>
          </w:tcPr>
          <w:p w14:paraId="75FC9BCD" w14:textId="52B8777A" w:rsidR="00C14AFC" w:rsidRPr="007E1860" w:rsidRDefault="00C14AFC" w:rsidP="00C14AFC">
            <w:pPr>
              <w:spacing w:after="0" w:line="240" w:lineRule="exact"/>
              <w:jc w:val="right"/>
              <w:outlineLvl w:val="0"/>
              <w:rPr>
                <w:rFonts w:cs="Arial"/>
                <w:b/>
                <w:bCs/>
                <w:color w:val="000000"/>
                <w:sz w:val="18"/>
                <w:szCs w:val="18"/>
                <w:lang w:eastAsia="hr-HR"/>
              </w:rPr>
            </w:pPr>
            <w:r w:rsidRPr="0045040C">
              <w:rPr>
                <w:rFonts w:ascii="Calibri" w:hAnsi="Calibri"/>
                <w:b/>
                <w:bCs/>
                <w:color w:val="000000"/>
                <w:sz w:val="18"/>
                <w:szCs w:val="18"/>
              </w:rPr>
              <w:t>4.877.817</w:t>
            </w:r>
          </w:p>
        </w:tc>
        <w:tc>
          <w:tcPr>
            <w:tcW w:w="577" w:type="pct"/>
            <w:tcBorders>
              <w:top w:val="nil"/>
              <w:left w:val="nil"/>
              <w:bottom w:val="single" w:sz="12" w:space="0" w:color="auto"/>
              <w:right w:val="nil"/>
            </w:tcBorders>
            <w:shd w:val="clear" w:color="auto" w:fill="auto"/>
          </w:tcPr>
          <w:p w14:paraId="76F2099F" w14:textId="09CC64E1" w:rsidR="00C14AFC" w:rsidRPr="007E1860" w:rsidRDefault="00C14AFC" w:rsidP="00C14AFC">
            <w:pPr>
              <w:spacing w:after="0" w:line="240" w:lineRule="exact"/>
              <w:jc w:val="right"/>
              <w:outlineLvl w:val="0"/>
              <w:rPr>
                <w:rFonts w:cs="Arial"/>
                <w:b/>
                <w:bCs/>
                <w:color w:val="000000"/>
                <w:sz w:val="18"/>
                <w:szCs w:val="18"/>
                <w:lang w:eastAsia="hr-HR"/>
              </w:rPr>
            </w:pPr>
            <w:r w:rsidRPr="0045040C">
              <w:rPr>
                <w:rFonts w:ascii="Calibri" w:hAnsi="Calibri"/>
                <w:b/>
                <w:bCs/>
                <w:color w:val="000000"/>
                <w:sz w:val="18"/>
                <w:szCs w:val="18"/>
              </w:rPr>
              <w:t>20.515.726</w:t>
            </w:r>
          </w:p>
        </w:tc>
        <w:tc>
          <w:tcPr>
            <w:tcW w:w="575" w:type="pct"/>
            <w:tcBorders>
              <w:top w:val="nil"/>
              <w:left w:val="nil"/>
              <w:bottom w:val="single" w:sz="12" w:space="0" w:color="auto"/>
              <w:right w:val="nil"/>
            </w:tcBorders>
            <w:shd w:val="clear" w:color="auto" w:fill="auto"/>
            <w:vAlign w:val="center"/>
          </w:tcPr>
          <w:p w14:paraId="3E68063B" w14:textId="0146D240" w:rsidR="00C14AFC" w:rsidRPr="007E1860" w:rsidRDefault="00C14AFC" w:rsidP="00312975">
            <w:pPr>
              <w:spacing w:after="0" w:line="240" w:lineRule="exact"/>
              <w:jc w:val="right"/>
              <w:outlineLvl w:val="0"/>
              <w:rPr>
                <w:rFonts w:cs="Arial"/>
                <w:b/>
                <w:bCs/>
                <w:color w:val="000000"/>
                <w:sz w:val="18"/>
                <w:szCs w:val="18"/>
                <w:lang w:eastAsia="hr-HR"/>
              </w:rPr>
            </w:pPr>
            <w:r w:rsidRPr="002B46B5">
              <w:rPr>
                <w:rFonts w:ascii="Calibri" w:hAnsi="Calibri"/>
                <w:b/>
                <w:bCs/>
                <w:color w:val="000000"/>
                <w:sz w:val="18"/>
                <w:szCs w:val="18"/>
              </w:rPr>
              <w:t>27.823.841</w:t>
            </w:r>
          </w:p>
        </w:tc>
      </w:tr>
      <w:tr w:rsidR="00C14AFC" w:rsidRPr="00BE35B9" w14:paraId="75D0B0A4" w14:textId="77777777" w:rsidTr="00312975">
        <w:trPr>
          <w:trHeight w:val="434"/>
        </w:trPr>
        <w:tc>
          <w:tcPr>
            <w:tcW w:w="1545" w:type="pct"/>
            <w:vAlign w:val="bottom"/>
          </w:tcPr>
          <w:p w14:paraId="7F7B9E3C" w14:textId="77777777" w:rsidR="00C14AFC" w:rsidRPr="00BE35B9" w:rsidRDefault="00C14AFC" w:rsidP="00C14AFC">
            <w:pPr>
              <w:pStyle w:val="Tot"/>
              <w:spacing w:line="220" w:lineRule="exact"/>
              <w:rPr>
                <w:rFonts w:asciiTheme="minorHAnsi" w:hAnsiTheme="minorHAnsi" w:cs="Arial"/>
                <w:b/>
                <w:bCs/>
                <w:spacing w:val="-2"/>
                <w:sz w:val="17"/>
                <w:szCs w:val="17"/>
                <w:lang w:val="hr-HR"/>
              </w:rPr>
            </w:pPr>
            <w:r w:rsidRPr="00BE35B9">
              <w:rPr>
                <w:rFonts w:asciiTheme="minorHAnsi" w:hAnsiTheme="minorHAnsi" w:cs="Arial"/>
                <w:b/>
                <w:bCs/>
                <w:spacing w:val="-2"/>
                <w:sz w:val="17"/>
                <w:szCs w:val="17"/>
                <w:lang w:val="hr-HR"/>
              </w:rPr>
              <w:t>Neto ukupna imovina/ukupne obveze i glavnica (1) – (2)</w:t>
            </w:r>
          </w:p>
        </w:tc>
        <w:tc>
          <w:tcPr>
            <w:tcW w:w="576" w:type="pct"/>
            <w:tcBorders>
              <w:top w:val="single" w:sz="4" w:space="0" w:color="auto"/>
              <w:left w:val="nil"/>
              <w:bottom w:val="single" w:sz="12" w:space="0" w:color="auto"/>
              <w:right w:val="nil"/>
            </w:tcBorders>
            <w:shd w:val="clear" w:color="auto" w:fill="auto"/>
            <w:vAlign w:val="bottom"/>
          </w:tcPr>
          <w:p w14:paraId="447270AA" w14:textId="14FC91CE" w:rsidR="00C14AFC" w:rsidRPr="007E1860" w:rsidRDefault="00C14AFC" w:rsidP="00C14AFC">
            <w:pPr>
              <w:spacing w:after="0" w:line="240" w:lineRule="exact"/>
              <w:jc w:val="right"/>
              <w:outlineLvl w:val="0"/>
              <w:rPr>
                <w:rFonts w:cs="Arial"/>
                <w:b/>
                <w:bCs/>
                <w:color w:val="000000"/>
                <w:sz w:val="18"/>
                <w:szCs w:val="18"/>
                <w:lang w:eastAsia="hr-HR"/>
              </w:rPr>
            </w:pPr>
            <w:r w:rsidRPr="0045040C">
              <w:rPr>
                <w:rFonts w:ascii="Calibri" w:hAnsi="Calibri"/>
                <w:b/>
                <w:bCs/>
                <w:color w:val="000000"/>
                <w:sz w:val="18"/>
                <w:szCs w:val="18"/>
              </w:rPr>
              <w:t>6.528.222</w:t>
            </w:r>
          </w:p>
        </w:tc>
        <w:tc>
          <w:tcPr>
            <w:tcW w:w="576" w:type="pct"/>
            <w:tcBorders>
              <w:top w:val="single" w:sz="4" w:space="0" w:color="auto"/>
              <w:left w:val="nil"/>
              <w:bottom w:val="single" w:sz="12" w:space="0" w:color="auto"/>
              <w:right w:val="nil"/>
            </w:tcBorders>
            <w:shd w:val="clear" w:color="auto" w:fill="auto"/>
            <w:vAlign w:val="bottom"/>
          </w:tcPr>
          <w:p w14:paraId="7558EFD0" w14:textId="38725A4A" w:rsidR="00C14AFC" w:rsidRPr="007E1860" w:rsidRDefault="00C14AFC" w:rsidP="00C14AFC">
            <w:pPr>
              <w:spacing w:after="0" w:line="240" w:lineRule="exact"/>
              <w:jc w:val="right"/>
              <w:outlineLvl w:val="0"/>
              <w:rPr>
                <w:rFonts w:cs="Arial"/>
                <w:b/>
                <w:bCs/>
                <w:color w:val="000000"/>
                <w:sz w:val="18"/>
                <w:szCs w:val="18"/>
                <w:lang w:eastAsia="hr-HR"/>
              </w:rPr>
            </w:pPr>
            <w:r w:rsidRPr="0045040C">
              <w:rPr>
                <w:rFonts w:ascii="Calibri" w:hAnsi="Calibri"/>
                <w:b/>
                <w:bCs/>
                <w:color w:val="000000"/>
                <w:sz w:val="18"/>
                <w:szCs w:val="18"/>
              </w:rPr>
              <w:t>257.092</w:t>
            </w:r>
          </w:p>
        </w:tc>
        <w:tc>
          <w:tcPr>
            <w:tcW w:w="576" w:type="pct"/>
            <w:tcBorders>
              <w:top w:val="single" w:sz="4" w:space="0" w:color="auto"/>
              <w:left w:val="nil"/>
              <w:bottom w:val="single" w:sz="12" w:space="0" w:color="auto"/>
              <w:right w:val="nil"/>
            </w:tcBorders>
            <w:shd w:val="clear" w:color="auto" w:fill="auto"/>
            <w:vAlign w:val="bottom"/>
          </w:tcPr>
          <w:p w14:paraId="6FF4F865" w14:textId="15FE8EAE" w:rsidR="00C14AFC" w:rsidRPr="007E1860" w:rsidRDefault="00C14AFC" w:rsidP="00C14AFC">
            <w:pPr>
              <w:spacing w:after="0" w:line="240" w:lineRule="exact"/>
              <w:jc w:val="right"/>
              <w:outlineLvl w:val="0"/>
              <w:rPr>
                <w:rFonts w:cs="Arial"/>
                <w:b/>
                <w:bCs/>
                <w:color w:val="000000"/>
                <w:sz w:val="18"/>
                <w:szCs w:val="18"/>
                <w:lang w:eastAsia="hr-HR"/>
              </w:rPr>
            </w:pPr>
            <w:r w:rsidRPr="0045040C">
              <w:rPr>
                <w:rFonts w:ascii="Calibri" w:hAnsi="Calibri"/>
                <w:b/>
                <w:bCs/>
                <w:color w:val="000000"/>
                <w:sz w:val="18"/>
                <w:szCs w:val="18"/>
              </w:rPr>
              <w:t>919.226</w:t>
            </w:r>
          </w:p>
        </w:tc>
        <w:tc>
          <w:tcPr>
            <w:tcW w:w="575" w:type="pct"/>
            <w:tcBorders>
              <w:top w:val="single" w:sz="4" w:space="0" w:color="auto"/>
              <w:left w:val="nil"/>
              <w:bottom w:val="single" w:sz="12" w:space="0" w:color="auto"/>
              <w:right w:val="nil"/>
            </w:tcBorders>
            <w:shd w:val="clear" w:color="auto" w:fill="auto"/>
            <w:vAlign w:val="bottom"/>
          </w:tcPr>
          <w:p w14:paraId="23EA2205" w14:textId="61B4776F" w:rsidR="00C14AFC" w:rsidRPr="007E1860" w:rsidRDefault="00C14AFC" w:rsidP="00C14AFC">
            <w:pPr>
              <w:spacing w:after="0" w:line="240" w:lineRule="exact"/>
              <w:jc w:val="right"/>
              <w:outlineLvl w:val="0"/>
              <w:rPr>
                <w:rFonts w:cs="Arial"/>
                <w:b/>
                <w:bCs/>
                <w:color w:val="000000"/>
                <w:sz w:val="18"/>
                <w:szCs w:val="18"/>
                <w:lang w:eastAsia="hr-HR"/>
              </w:rPr>
            </w:pPr>
            <w:r w:rsidRPr="0045040C">
              <w:rPr>
                <w:rFonts w:ascii="Calibri" w:hAnsi="Calibri"/>
                <w:b/>
                <w:bCs/>
                <w:color w:val="000000"/>
                <w:sz w:val="18"/>
                <w:szCs w:val="18"/>
              </w:rPr>
              <w:t>14.650</w:t>
            </w:r>
          </w:p>
        </w:tc>
        <w:tc>
          <w:tcPr>
            <w:tcW w:w="577" w:type="pct"/>
            <w:tcBorders>
              <w:top w:val="single" w:sz="4" w:space="0" w:color="auto"/>
              <w:left w:val="nil"/>
              <w:bottom w:val="single" w:sz="12" w:space="0" w:color="auto"/>
              <w:right w:val="nil"/>
            </w:tcBorders>
            <w:shd w:val="clear" w:color="auto" w:fill="auto"/>
            <w:vAlign w:val="bottom"/>
          </w:tcPr>
          <w:p w14:paraId="6827DFDF" w14:textId="6356CF70" w:rsidR="00C14AFC" w:rsidRPr="007E1860" w:rsidRDefault="00C14AFC" w:rsidP="00C14AFC">
            <w:pPr>
              <w:spacing w:after="0" w:line="240" w:lineRule="exact"/>
              <w:jc w:val="right"/>
              <w:outlineLvl w:val="0"/>
              <w:rPr>
                <w:rFonts w:cs="Arial"/>
                <w:b/>
                <w:bCs/>
                <w:color w:val="000000"/>
                <w:sz w:val="18"/>
                <w:szCs w:val="18"/>
                <w:lang w:eastAsia="hr-HR"/>
              </w:rPr>
            </w:pPr>
            <w:r>
              <w:rPr>
                <w:rFonts w:ascii="Calibri" w:hAnsi="Calibri"/>
                <w:b/>
                <w:bCs/>
                <w:color w:val="000000"/>
                <w:sz w:val="18"/>
                <w:szCs w:val="18"/>
              </w:rPr>
              <w:t>(</w:t>
            </w:r>
            <w:r w:rsidRPr="0045040C">
              <w:rPr>
                <w:rFonts w:ascii="Calibri" w:hAnsi="Calibri"/>
                <w:b/>
                <w:bCs/>
                <w:color w:val="000000"/>
                <w:sz w:val="18"/>
                <w:szCs w:val="18"/>
              </w:rPr>
              <w:t>7.719.190</w:t>
            </w:r>
            <w:r>
              <w:rPr>
                <w:rFonts w:ascii="Calibri" w:hAnsi="Calibri"/>
                <w:b/>
                <w:bCs/>
                <w:color w:val="000000"/>
                <w:sz w:val="18"/>
                <w:szCs w:val="18"/>
              </w:rPr>
              <w:t>)</w:t>
            </w:r>
          </w:p>
        </w:tc>
        <w:tc>
          <w:tcPr>
            <w:tcW w:w="575" w:type="pct"/>
            <w:tcBorders>
              <w:top w:val="single" w:sz="4" w:space="0" w:color="auto"/>
              <w:left w:val="nil"/>
              <w:bottom w:val="single" w:sz="12" w:space="0" w:color="auto"/>
              <w:right w:val="nil"/>
            </w:tcBorders>
            <w:shd w:val="clear" w:color="auto" w:fill="auto"/>
            <w:vAlign w:val="bottom"/>
          </w:tcPr>
          <w:p w14:paraId="5CC467D8" w14:textId="1460EE08" w:rsidR="00C14AFC" w:rsidRPr="007E1860" w:rsidRDefault="00C14AFC" w:rsidP="00C14AFC">
            <w:pPr>
              <w:spacing w:after="0" w:line="240" w:lineRule="exact"/>
              <w:jc w:val="right"/>
              <w:outlineLvl w:val="0"/>
              <w:rPr>
                <w:rFonts w:cs="Arial"/>
                <w:b/>
                <w:bCs/>
                <w:color w:val="000000"/>
                <w:sz w:val="18"/>
                <w:szCs w:val="18"/>
                <w:lang w:eastAsia="hr-HR"/>
              </w:rPr>
            </w:pPr>
            <w:r>
              <w:rPr>
                <w:rFonts w:ascii="Calibri" w:hAnsi="Calibri"/>
                <w:b/>
                <w:bCs/>
                <w:color w:val="000000"/>
                <w:sz w:val="18"/>
                <w:szCs w:val="18"/>
              </w:rPr>
              <w:t>-</w:t>
            </w:r>
          </w:p>
        </w:tc>
      </w:tr>
      <w:tr w:rsidR="00C14AFC" w:rsidRPr="00BE35B9" w14:paraId="32908667" w14:textId="77777777" w:rsidTr="005F1FBF">
        <w:trPr>
          <w:trHeight w:val="434"/>
        </w:trPr>
        <w:tc>
          <w:tcPr>
            <w:tcW w:w="1545" w:type="pct"/>
            <w:vAlign w:val="bottom"/>
          </w:tcPr>
          <w:p w14:paraId="2C3AACC3" w14:textId="77777777" w:rsidR="00C14AFC" w:rsidRPr="00BE35B9" w:rsidRDefault="00C14AFC" w:rsidP="00C14AFC">
            <w:pPr>
              <w:pStyle w:val="Tot"/>
              <w:spacing w:line="220" w:lineRule="exact"/>
              <w:rPr>
                <w:rFonts w:asciiTheme="minorHAnsi" w:hAnsiTheme="minorHAnsi" w:cs="Arial"/>
                <w:b/>
                <w:bCs/>
                <w:spacing w:val="-2"/>
                <w:sz w:val="17"/>
                <w:szCs w:val="17"/>
                <w:lang w:val="hr-HR"/>
              </w:rPr>
            </w:pPr>
            <w:r w:rsidRPr="00BE35B9">
              <w:rPr>
                <w:rFonts w:asciiTheme="minorHAnsi" w:hAnsiTheme="minorHAnsi" w:cs="Arial"/>
                <w:b/>
                <w:bCs/>
                <w:spacing w:val="-2"/>
                <w:sz w:val="17"/>
                <w:szCs w:val="17"/>
                <w:lang w:val="hr-HR"/>
              </w:rPr>
              <w:t>Neto kumulativ ukupna imovina /ukupne obveze i glavnica</w:t>
            </w:r>
          </w:p>
        </w:tc>
        <w:tc>
          <w:tcPr>
            <w:tcW w:w="576" w:type="pct"/>
            <w:tcBorders>
              <w:top w:val="single" w:sz="12" w:space="0" w:color="auto"/>
              <w:left w:val="nil"/>
              <w:bottom w:val="single" w:sz="12" w:space="0" w:color="auto"/>
              <w:right w:val="nil"/>
            </w:tcBorders>
            <w:shd w:val="clear" w:color="auto" w:fill="auto"/>
            <w:vAlign w:val="bottom"/>
          </w:tcPr>
          <w:p w14:paraId="62028683" w14:textId="6598636C" w:rsidR="00C14AFC" w:rsidRPr="007E1860" w:rsidRDefault="00C14AFC" w:rsidP="00C14AFC">
            <w:pPr>
              <w:spacing w:after="0" w:line="240" w:lineRule="exact"/>
              <w:jc w:val="right"/>
              <w:outlineLvl w:val="0"/>
              <w:rPr>
                <w:rFonts w:cs="Arial"/>
                <w:b/>
                <w:bCs/>
                <w:color w:val="000000"/>
                <w:sz w:val="18"/>
                <w:szCs w:val="18"/>
                <w:lang w:eastAsia="hr-HR"/>
              </w:rPr>
            </w:pPr>
            <w:r w:rsidRPr="0045040C">
              <w:rPr>
                <w:rFonts w:ascii="Calibri" w:hAnsi="Calibri"/>
                <w:b/>
                <w:bCs/>
                <w:color w:val="000000"/>
                <w:sz w:val="18"/>
                <w:szCs w:val="18"/>
              </w:rPr>
              <w:t>6.528.222</w:t>
            </w:r>
          </w:p>
        </w:tc>
        <w:tc>
          <w:tcPr>
            <w:tcW w:w="576" w:type="pct"/>
            <w:tcBorders>
              <w:top w:val="single" w:sz="12" w:space="0" w:color="auto"/>
              <w:left w:val="nil"/>
              <w:bottom w:val="single" w:sz="12" w:space="0" w:color="auto"/>
              <w:right w:val="nil"/>
            </w:tcBorders>
            <w:shd w:val="clear" w:color="auto" w:fill="auto"/>
            <w:vAlign w:val="bottom"/>
          </w:tcPr>
          <w:p w14:paraId="15EF28FB" w14:textId="222B211E" w:rsidR="00C14AFC" w:rsidRPr="007E1860" w:rsidRDefault="00C14AFC" w:rsidP="00C14AFC">
            <w:pPr>
              <w:spacing w:after="0" w:line="240" w:lineRule="exact"/>
              <w:jc w:val="right"/>
              <w:outlineLvl w:val="0"/>
              <w:rPr>
                <w:rFonts w:cs="Arial"/>
                <w:b/>
                <w:bCs/>
                <w:color w:val="000000"/>
                <w:sz w:val="18"/>
                <w:szCs w:val="18"/>
                <w:lang w:eastAsia="hr-HR"/>
              </w:rPr>
            </w:pPr>
            <w:r w:rsidRPr="0045040C">
              <w:rPr>
                <w:rFonts w:ascii="Calibri" w:hAnsi="Calibri"/>
                <w:b/>
                <w:bCs/>
                <w:color w:val="000000"/>
                <w:sz w:val="18"/>
                <w:szCs w:val="18"/>
              </w:rPr>
              <w:t>6.785.314</w:t>
            </w:r>
          </w:p>
        </w:tc>
        <w:tc>
          <w:tcPr>
            <w:tcW w:w="576" w:type="pct"/>
            <w:tcBorders>
              <w:top w:val="single" w:sz="12" w:space="0" w:color="auto"/>
              <w:left w:val="nil"/>
              <w:bottom w:val="single" w:sz="12" w:space="0" w:color="auto"/>
              <w:right w:val="nil"/>
            </w:tcBorders>
            <w:shd w:val="clear" w:color="auto" w:fill="auto"/>
            <w:vAlign w:val="bottom"/>
          </w:tcPr>
          <w:p w14:paraId="1303F369" w14:textId="6BA2518A" w:rsidR="00C14AFC" w:rsidRPr="007E1860" w:rsidRDefault="00C14AFC" w:rsidP="00C14AFC">
            <w:pPr>
              <w:spacing w:after="0" w:line="240" w:lineRule="exact"/>
              <w:jc w:val="right"/>
              <w:outlineLvl w:val="0"/>
              <w:rPr>
                <w:rFonts w:cs="Arial"/>
                <w:b/>
                <w:bCs/>
                <w:color w:val="000000"/>
                <w:sz w:val="18"/>
                <w:szCs w:val="18"/>
                <w:lang w:eastAsia="hr-HR"/>
              </w:rPr>
            </w:pPr>
            <w:r w:rsidRPr="0045040C">
              <w:rPr>
                <w:rFonts w:ascii="Calibri" w:hAnsi="Calibri"/>
                <w:b/>
                <w:bCs/>
                <w:color w:val="000000"/>
                <w:sz w:val="18"/>
                <w:szCs w:val="18"/>
              </w:rPr>
              <w:t>7.704.540</w:t>
            </w:r>
          </w:p>
        </w:tc>
        <w:tc>
          <w:tcPr>
            <w:tcW w:w="575" w:type="pct"/>
            <w:tcBorders>
              <w:top w:val="single" w:sz="12" w:space="0" w:color="auto"/>
              <w:left w:val="nil"/>
              <w:bottom w:val="single" w:sz="12" w:space="0" w:color="auto"/>
              <w:right w:val="nil"/>
            </w:tcBorders>
            <w:shd w:val="clear" w:color="auto" w:fill="auto"/>
            <w:vAlign w:val="bottom"/>
          </w:tcPr>
          <w:p w14:paraId="199DCEE6" w14:textId="4D1F0C93" w:rsidR="00C14AFC" w:rsidRPr="007E1860" w:rsidRDefault="00C14AFC" w:rsidP="00C14AFC">
            <w:pPr>
              <w:spacing w:after="0" w:line="240" w:lineRule="exact"/>
              <w:jc w:val="right"/>
              <w:outlineLvl w:val="0"/>
              <w:rPr>
                <w:rFonts w:cs="Arial"/>
                <w:b/>
                <w:bCs/>
                <w:color w:val="000000"/>
                <w:sz w:val="18"/>
                <w:szCs w:val="18"/>
                <w:lang w:eastAsia="hr-HR"/>
              </w:rPr>
            </w:pPr>
            <w:r w:rsidRPr="0045040C">
              <w:rPr>
                <w:rFonts w:ascii="Calibri" w:hAnsi="Calibri"/>
                <w:b/>
                <w:bCs/>
                <w:color w:val="000000"/>
                <w:sz w:val="18"/>
                <w:szCs w:val="18"/>
              </w:rPr>
              <w:t>7.719.190</w:t>
            </w:r>
          </w:p>
        </w:tc>
        <w:tc>
          <w:tcPr>
            <w:tcW w:w="577" w:type="pct"/>
            <w:tcBorders>
              <w:top w:val="single" w:sz="12" w:space="0" w:color="auto"/>
              <w:left w:val="nil"/>
              <w:bottom w:val="single" w:sz="12" w:space="0" w:color="auto"/>
              <w:right w:val="nil"/>
            </w:tcBorders>
            <w:shd w:val="clear" w:color="auto" w:fill="auto"/>
            <w:vAlign w:val="bottom"/>
          </w:tcPr>
          <w:p w14:paraId="56171988" w14:textId="3B323D8B" w:rsidR="00C14AFC" w:rsidRPr="007E1860" w:rsidRDefault="00C14AFC" w:rsidP="00C14AFC">
            <w:pPr>
              <w:spacing w:after="0" w:line="240" w:lineRule="exact"/>
              <w:jc w:val="right"/>
              <w:outlineLvl w:val="0"/>
              <w:rPr>
                <w:rFonts w:cs="Arial"/>
                <w:b/>
                <w:bCs/>
                <w:color w:val="000000"/>
                <w:sz w:val="18"/>
                <w:szCs w:val="18"/>
                <w:lang w:eastAsia="hr-HR"/>
              </w:rPr>
            </w:pPr>
            <w:r>
              <w:rPr>
                <w:rFonts w:ascii="Calibri" w:hAnsi="Calibri"/>
                <w:b/>
                <w:bCs/>
                <w:color w:val="000000"/>
                <w:sz w:val="18"/>
                <w:szCs w:val="18"/>
              </w:rPr>
              <w:t>-</w:t>
            </w:r>
          </w:p>
        </w:tc>
        <w:tc>
          <w:tcPr>
            <w:tcW w:w="575" w:type="pct"/>
            <w:tcBorders>
              <w:top w:val="single" w:sz="12" w:space="0" w:color="auto"/>
              <w:left w:val="nil"/>
              <w:bottom w:val="single" w:sz="12" w:space="0" w:color="auto"/>
              <w:right w:val="nil"/>
            </w:tcBorders>
            <w:shd w:val="clear" w:color="auto" w:fill="auto"/>
            <w:vAlign w:val="bottom"/>
          </w:tcPr>
          <w:p w14:paraId="4F3B574A" w14:textId="116FC4AE" w:rsidR="00C14AFC" w:rsidRPr="007E1860" w:rsidRDefault="00C14AFC" w:rsidP="00C14AFC">
            <w:pPr>
              <w:spacing w:after="0" w:line="240" w:lineRule="exact"/>
              <w:jc w:val="right"/>
              <w:outlineLvl w:val="0"/>
              <w:rPr>
                <w:rFonts w:cs="Arial"/>
                <w:b/>
                <w:bCs/>
                <w:color w:val="000000"/>
                <w:sz w:val="18"/>
                <w:szCs w:val="18"/>
                <w:lang w:eastAsia="hr-HR"/>
              </w:rPr>
            </w:pPr>
            <w:r>
              <w:rPr>
                <w:rFonts w:ascii="Calibri" w:hAnsi="Calibri"/>
                <w:b/>
                <w:bCs/>
                <w:color w:val="000000"/>
                <w:sz w:val="18"/>
                <w:szCs w:val="18"/>
              </w:rPr>
              <w:t>-</w:t>
            </w:r>
          </w:p>
        </w:tc>
      </w:tr>
    </w:tbl>
    <w:p w14:paraId="6D80F30F" w14:textId="77777777" w:rsidR="00AD7F4C" w:rsidRDefault="00AD7F4C" w:rsidP="00AD7F4C">
      <w:pPr>
        <w:pStyle w:val="accountingpolicytitle"/>
        <w:rPr>
          <w:rFonts w:asciiTheme="minorHAnsi" w:hAnsiTheme="minorHAnsi" w:cs="Arial"/>
          <w:b w:val="0"/>
          <w:bCs/>
          <w:sz w:val="18"/>
          <w:szCs w:val="18"/>
          <w:lang w:val="hr-HR"/>
        </w:rPr>
      </w:pPr>
    </w:p>
    <w:p w14:paraId="06F977E5" w14:textId="77777777" w:rsidR="00667F3A" w:rsidRDefault="00BE35B9" w:rsidP="00007FC2">
      <w:pPr>
        <w:pStyle w:val="accountingpolicytitle"/>
        <w:rPr>
          <w:rFonts w:asciiTheme="minorHAnsi" w:hAnsiTheme="minorHAnsi" w:cs="Arial"/>
          <w:b w:val="0"/>
          <w:bCs/>
          <w:sz w:val="18"/>
          <w:szCs w:val="18"/>
          <w:lang w:val="hr-HR"/>
        </w:rPr>
      </w:pPr>
      <w:r w:rsidRPr="00AD7F4C">
        <w:rPr>
          <w:rFonts w:asciiTheme="minorHAnsi" w:hAnsiTheme="minorHAnsi" w:cs="Arial"/>
          <w:b w:val="0"/>
          <w:bCs/>
          <w:sz w:val="18"/>
          <w:szCs w:val="18"/>
          <w:lang w:val="hr-HR"/>
        </w:rPr>
        <w:t>Stavke sa neodređenim dospijećem iskazane su u razdoblju preko 3 godine.</w:t>
      </w:r>
    </w:p>
    <w:p w14:paraId="2B793FF8" w14:textId="77777777" w:rsidR="00A313DB" w:rsidRDefault="00A313DB" w:rsidP="00007FC2">
      <w:pPr>
        <w:pStyle w:val="accountingpolicytitle"/>
        <w:rPr>
          <w:rFonts w:asciiTheme="minorHAnsi" w:hAnsiTheme="minorHAnsi" w:cs="Arial"/>
          <w:b w:val="0"/>
          <w:bCs/>
          <w:sz w:val="18"/>
          <w:szCs w:val="18"/>
          <w:lang w:val="hr-HR"/>
        </w:rPr>
      </w:pPr>
    </w:p>
    <w:p w14:paraId="6597D446" w14:textId="2D4C1EA0" w:rsidR="006F40A6" w:rsidRPr="006F40A6" w:rsidRDefault="006F40A6" w:rsidP="006F40A6">
      <w:pPr>
        <w:spacing w:after="0" w:line="240" w:lineRule="auto"/>
        <w:jc w:val="both"/>
        <w:rPr>
          <w:rFonts w:ascii="Calibri" w:eastAsia="Times New Roman" w:hAnsi="Calibri" w:cs="Times New Roman"/>
          <w:bCs/>
          <w:i/>
          <w:sz w:val="18"/>
          <w:szCs w:val="18"/>
        </w:rPr>
      </w:pPr>
      <w:r w:rsidRPr="006F40A6">
        <w:rPr>
          <w:rFonts w:ascii="Calibri" w:eastAsia="Times New Roman" w:hAnsi="Calibri" w:cs="Times New Roman"/>
          <w:bCs/>
          <w:i/>
          <w:sz w:val="18"/>
          <w:szCs w:val="18"/>
        </w:rPr>
        <w:t xml:space="preserve">* Potraživanje u iznosu </w:t>
      </w:r>
      <w:r w:rsidRPr="00D34B9C">
        <w:rPr>
          <w:rFonts w:ascii="Calibri" w:eastAsia="Times New Roman" w:hAnsi="Calibri" w:cs="Times New Roman"/>
          <w:bCs/>
          <w:i/>
          <w:sz w:val="18"/>
          <w:szCs w:val="18"/>
        </w:rPr>
        <w:t xml:space="preserve">od </w:t>
      </w:r>
      <w:r w:rsidR="0022299C" w:rsidRPr="0022299C">
        <w:rPr>
          <w:rFonts w:ascii="Calibri" w:eastAsia="Times New Roman" w:hAnsi="Calibri" w:cs="Times New Roman"/>
          <w:bCs/>
          <w:i/>
          <w:sz w:val="18"/>
          <w:szCs w:val="18"/>
        </w:rPr>
        <w:t xml:space="preserve">324.789 </w:t>
      </w:r>
      <w:r w:rsidRPr="00DC2F09">
        <w:rPr>
          <w:rFonts w:ascii="Calibri" w:eastAsia="Times New Roman" w:hAnsi="Calibri" w:cs="Times New Roman"/>
          <w:bCs/>
          <w:i/>
          <w:sz w:val="18"/>
          <w:szCs w:val="18"/>
        </w:rPr>
        <w:t>tisuća</w:t>
      </w:r>
      <w:r w:rsidRPr="00D34B9C">
        <w:rPr>
          <w:rFonts w:ascii="Calibri" w:eastAsia="Times New Roman" w:hAnsi="Calibri" w:cs="Times New Roman"/>
          <w:bCs/>
          <w:i/>
          <w:sz w:val="18"/>
          <w:szCs w:val="18"/>
        </w:rPr>
        <w:t xml:space="preserve"> kuna odnosi se na obrnute repo poslove.</w:t>
      </w:r>
      <w:r w:rsidRPr="006F40A6">
        <w:rPr>
          <w:rFonts w:ascii="Calibri" w:eastAsia="Times New Roman" w:hAnsi="Calibri" w:cs="Times New Roman"/>
          <w:bCs/>
          <w:i/>
          <w:sz w:val="18"/>
          <w:szCs w:val="18"/>
        </w:rPr>
        <w:t xml:space="preserve"> </w:t>
      </w:r>
    </w:p>
    <w:p w14:paraId="0CB770B4" w14:textId="77777777" w:rsidR="001256F0" w:rsidRDefault="00E0067A" w:rsidP="00E0067A">
      <w:pPr>
        <w:pStyle w:val="accountingpolicytitle"/>
        <w:rPr>
          <w:rFonts w:asciiTheme="minorHAnsi" w:hAnsiTheme="minorHAnsi"/>
          <w:b w:val="0"/>
          <w:i/>
          <w:sz w:val="18"/>
          <w:szCs w:val="18"/>
          <w:lang w:val="hr-HR"/>
        </w:rPr>
        <w:sectPr w:rsidR="001256F0" w:rsidSect="003A1449">
          <w:footerReference w:type="first" r:id="rId106"/>
          <w:pgSz w:w="11906" w:h="16838" w:code="9"/>
          <w:pgMar w:top="1418" w:right="1418" w:bottom="595" w:left="1134" w:header="709" w:footer="709" w:gutter="0"/>
          <w:cols w:space="708"/>
          <w:titlePg/>
          <w:docGrid w:linePitch="360"/>
        </w:sectPr>
      </w:pPr>
      <w:r w:rsidRPr="00AD7F4C">
        <w:rPr>
          <w:rFonts w:asciiTheme="minorHAnsi" w:hAnsiTheme="minorHAnsi"/>
          <w:b w:val="0"/>
          <w:i/>
          <w:sz w:val="18"/>
          <w:szCs w:val="18"/>
          <w:lang w:val="hr-HR"/>
        </w:rPr>
        <w:t xml:space="preserve"> </w:t>
      </w:r>
    </w:p>
    <w:p w14:paraId="746B52C0" w14:textId="77777777" w:rsidR="00EC2B03" w:rsidRDefault="00EC2B03" w:rsidP="00EC2B03">
      <w:pPr>
        <w:pStyle w:val="T1"/>
        <w:spacing w:before="0" w:after="0" w:line="240" w:lineRule="auto"/>
        <w:rPr>
          <w:rFonts w:asciiTheme="minorHAnsi" w:hAnsiTheme="minorHAnsi" w:cs="Arial"/>
          <w:sz w:val="22"/>
          <w:szCs w:val="22"/>
          <w:lang w:val="hr-HR"/>
        </w:rPr>
      </w:pPr>
    </w:p>
    <w:p w14:paraId="545273C7" w14:textId="77777777" w:rsidR="00EC2B03" w:rsidRDefault="00EC2B03" w:rsidP="00EC2B03">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BE35B9">
        <w:rPr>
          <w:rFonts w:asciiTheme="minorHAnsi" w:hAnsiTheme="minorHAnsi" w:cs="Arial"/>
          <w:sz w:val="22"/>
          <w:szCs w:val="22"/>
          <w:lang w:val="hr-HR"/>
        </w:rPr>
        <w:t>.</w:t>
      </w:r>
      <w:r w:rsidRPr="00BE35B9">
        <w:rPr>
          <w:rFonts w:asciiTheme="minorHAnsi" w:hAnsiTheme="minorHAnsi" w:cs="Arial"/>
          <w:sz w:val="22"/>
          <w:szCs w:val="22"/>
          <w:lang w:val="hr-HR"/>
        </w:rPr>
        <w:tab/>
        <w:t>Upravljanje rizicima (nastavak)</w:t>
      </w:r>
    </w:p>
    <w:p w14:paraId="7A308603" w14:textId="77777777" w:rsidR="00EC2B03" w:rsidRDefault="00EC2B03" w:rsidP="00EC2B03">
      <w:pPr>
        <w:pStyle w:val="accountingpolicytitle"/>
        <w:rPr>
          <w:rFonts w:asciiTheme="minorHAnsi" w:hAnsiTheme="minorHAnsi" w:cstheme="minorHAnsi"/>
          <w:sz w:val="22"/>
          <w:szCs w:val="22"/>
          <w:lang w:val="hr-HR"/>
        </w:rPr>
      </w:pPr>
    </w:p>
    <w:p w14:paraId="3292106F" w14:textId="77777777" w:rsidR="00EC2B03" w:rsidRDefault="00EC2B03" w:rsidP="00EC2B03">
      <w:pPr>
        <w:pStyle w:val="accountingpolicytitle"/>
        <w:rPr>
          <w:rFonts w:asciiTheme="minorHAnsi" w:hAnsiTheme="minorHAnsi" w:cstheme="minorHAnsi"/>
          <w:sz w:val="22"/>
          <w:szCs w:val="22"/>
          <w:lang w:val="hr-HR"/>
        </w:rPr>
      </w:pPr>
      <w:r>
        <w:rPr>
          <w:rFonts w:asciiTheme="minorHAnsi" w:hAnsiTheme="minorHAnsi" w:cstheme="minorHAnsi"/>
          <w:sz w:val="22"/>
          <w:szCs w:val="22"/>
          <w:lang w:val="hr-HR"/>
        </w:rPr>
        <w:t>1</w:t>
      </w:r>
      <w:r w:rsidR="00D235E1">
        <w:rPr>
          <w:rFonts w:asciiTheme="minorHAnsi" w:hAnsiTheme="minorHAnsi" w:cstheme="minorHAnsi"/>
          <w:sz w:val="22"/>
          <w:szCs w:val="22"/>
          <w:lang w:val="hr-HR"/>
        </w:rPr>
        <w:t>6</w:t>
      </w:r>
      <w:r>
        <w:rPr>
          <w:rFonts w:asciiTheme="minorHAnsi" w:hAnsiTheme="minorHAnsi" w:cstheme="minorHAnsi"/>
          <w:sz w:val="22"/>
          <w:szCs w:val="22"/>
          <w:lang w:val="hr-HR"/>
        </w:rPr>
        <w:t xml:space="preserve">.3. </w:t>
      </w:r>
      <w:r>
        <w:rPr>
          <w:rFonts w:asciiTheme="minorHAnsi" w:hAnsiTheme="minorHAnsi" w:cstheme="minorHAnsi"/>
          <w:sz w:val="22"/>
          <w:szCs w:val="22"/>
          <w:lang w:val="hr-HR"/>
        </w:rPr>
        <w:tab/>
      </w:r>
      <w:r w:rsidRPr="00BE35B9">
        <w:rPr>
          <w:rFonts w:asciiTheme="minorHAnsi" w:hAnsiTheme="minorHAnsi" w:cstheme="minorHAnsi"/>
          <w:sz w:val="22"/>
          <w:szCs w:val="22"/>
          <w:lang w:val="hr-HR"/>
        </w:rPr>
        <w:t>Rizik likvidnosti</w:t>
      </w:r>
      <w:r>
        <w:rPr>
          <w:rFonts w:asciiTheme="minorHAnsi" w:hAnsiTheme="minorHAnsi" w:cstheme="minorHAnsi"/>
          <w:sz w:val="22"/>
          <w:szCs w:val="22"/>
          <w:lang w:val="hr-HR"/>
        </w:rPr>
        <w:t xml:space="preserve"> (nastavak)</w:t>
      </w:r>
    </w:p>
    <w:p w14:paraId="288D492B" w14:textId="77777777" w:rsidR="00EC2B03" w:rsidRDefault="00EC2B03" w:rsidP="00EC2B03">
      <w:pPr>
        <w:pStyle w:val="accountingpolicytitle"/>
        <w:rPr>
          <w:rFonts w:asciiTheme="minorHAnsi" w:hAnsiTheme="minorHAnsi" w:cstheme="minorHAnsi"/>
          <w:sz w:val="22"/>
          <w:szCs w:val="22"/>
          <w:lang w:val="hr-HR"/>
        </w:rPr>
      </w:pPr>
    </w:p>
    <w:p w14:paraId="1DACE746" w14:textId="77777777" w:rsidR="00EC2B03" w:rsidRPr="00BE35B9" w:rsidRDefault="00EC2B03" w:rsidP="00EC2B03">
      <w:pPr>
        <w:tabs>
          <w:tab w:val="left" w:pos="-720"/>
        </w:tabs>
        <w:suppressAutoHyphens/>
        <w:spacing w:after="0" w:line="240" w:lineRule="auto"/>
        <w:jc w:val="both"/>
        <w:rPr>
          <w:rFonts w:cs="Arial"/>
          <w:sz w:val="20"/>
          <w:szCs w:val="20"/>
        </w:rPr>
      </w:pPr>
    </w:p>
    <w:tbl>
      <w:tblPr>
        <w:tblW w:w="5232" w:type="pct"/>
        <w:tblInd w:w="-142" w:type="dxa"/>
        <w:tblLayout w:type="fixed"/>
        <w:tblCellMar>
          <w:left w:w="120" w:type="dxa"/>
          <w:right w:w="120" w:type="dxa"/>
        </w:tblCellMar>
        <w:tblLook w:val="0000" w:firstRow="0" w:lastRow="0" w:firstColumn="0" w:lastColumn="0" w:noHBand="0" w:noVBand="0"/>
      </w:tblPr>
      <w:tblGrid>
        <w:gridCol w:w="3171"/>
        <w:gridCol w:w="1061"/>
        <w:gridCol w:w="1173"/>
        <w:gridCol w:w="1024"/>
        <w:gridCol w:w="1045"/>
        <w:gridCol w:w="1206"/>
        <w:gridCol w:w="1108"/>
      </w:tblGrid>
      <w:tr w:rsidR="00F542BB" w:rsidRPr="006533FB" w14:paraId="13B5146E" w14:textId="77777777" w:rsidTr="00F542BB">
        <w:trPr>
          <w:trHeight w:val="593"/>
        </w:trPr>
        <w:tc>
          <w:tcPr>
            <w:tcW w:w="1620" w:type="pct"/>
            <w:vAlign w:val="bottom"/>
          </w:tcPr>
          <w:p w14:paraId="1C2CCDB0" w14:textId="77777777" w:rsidR="00F542BB" w:rsidRPr="006533FB" w:rsidRDefault="00F542BB" w:rsidP="00F542BB">
            <w:pPr>
              <w:pStyle w:val="TH"/>
              <w:spacing w:line="240" w:lineRule="auto"/>
              <w:rPr>
                <w:rFonts w:asciiTheme="minorHAnsi" w:hAnsiTheme="minorHAnsi" w:cs="Arial"/>
                <w:sz w:val="18"/>
                <w:szCs w:val="18"/>
                <w:lang w:val="hr-HR"/>
              </w:rPr>
            </w:pPr>
            <w:r w:rsidRPr="006533FB">
              <w:rPr>
                <w:rFonts w:asciiTheme="minorHAnsi" w:hAnsiTheme="minorHAnsi" w:cs="Arial"/>
                <w:sz w:val="18"/>
                <w:szCs w:val="18"/>
                <w:lang w:val="hr-HR"/>
              </w:rPr>
              <w:t>Grupa</w:t>
            </w:r>
          </w:p>
          <w:p w14:paraId="7DDB916E" w14:textId="6455A8CD" w:rsidR="00F542BB" w:rsidRPr="006533FB" w:rsidRDefault="00F542BB" w:rsidP="00F542BB">
            <w:pPr>
              <w:pStyle w:val="TH"/>
              <w:spacing w:line="240" w:lineRule="auto"/>
              <w:rPr>
                <w:rFonts w:asciiTheme="minorHAnsi" w:hAnsiTheme="minorHAnsi" w:cs="Arial"/>
                <w:sz w:val="18"/>
                <w:szCs w:val="18"/>
                <w:lang w:val="hr-HR"/>
              </w:rPr>
            </w:pPr>
            <w:r>
              <w:rPr>
                <w:rFonts w:asciiTheme="minorHAnsi" w:hAnsiTheme="minorHAnsi" w:cs="Arial"/>
                <w:sz w:val="18"/>
                <w:szCs w:val="18"/>
                <w:lang w:val="hr-HR"/>
              </w:rPr>
              <w:t>31.12.2016.</w:t>
            </w:r>
          </w:p>
        </w:tc>
        <w:tc>
          <w:tcPr>
            <w:tcW w:w="542" w:type="pct"/>
          </w:tcPr>
          <w:p w14:paraId="6B672783" w14:textId="77777777" w:rsidR="00F542BB" w:rsidRPr="006533FB" w:rsidRDefault="00F542BB" w:rsidP="00F542BB">
            <w:pPr>
              <w:pStyle w:val="TH"/>
              <w:spacing w:line="240" w:lineRule="auto"/>
              <w:jc w:val="right"/>
              <w:rPr>
                <w:rFonts w:asciiTheme="minorHAnsi" w:hAnsiTheme="minorHAnsi" w:cs="Arial"/>
                <w:sz w:val="18"/>
                <w:szCs w:val="18"/>
                <w:lang w:val="hr-HR"/>
              </w:rPr>
            </w:pPr>
            <w:r w:rsidRPr="006533FB">
              <w:rPr>
                <w:rFonts w:asciiTheme="minorHAnsi" w:hAnsiTheme="minorHAnsi" w:cs="Arial"/>
                <w:sz w:val="18"/>
                <w:szCs w:val="18"/>
                <w:lang w:val="hr-HR"/>
              </w:rPr>
              <w:t>Do 1 mjesec</w:t>
            </w:r>
          </w:p>
        </w:tc>
        <w:tc>
          <w:tcPr>
            <w:tcW w:w="599" w:type="pct"/>
          </w:tcPr>
          <w:p w14:paraId="6F63C4D9" w14:textId="77777777" w:rsidR="00F542BB" w:rsidRPr="006533FB" w:rsidRDefault="00F542BB" w:rsidP="00F542BB">
            <w:pPr>
              <w:pStyle w:val="TH"/>
              <w:spacing w:line="240" w:lineRule="auto"/>
              <w:jc w:val="right"/>
              <w:rPr>
                <w:rFonts w:asciiTheme="minorHAnsi" w:hAnsiTheme="minorHAnsi" w:cs="Arial"/>
                <w:sz w:val="18"/>
                <w:szCs w:val="18"/>
                <w:lang w:val="hr-HR"/>
              </w:rPr>
            </w:pPr>
            <w:r w:rsidRPr="006533FB">
              <w:rPr>
                <w:rFonts w:asciiTheme="minorHAnsi" w:hAnsiTheme="minorHAnsi" w:cs="Arial"/>
                <w:sz w:val="18"/>
                <w:szCs w:val="18"/>
                <w:lang w:val="hr-HR"/>
              </w:rPr>
              <w:t>1 do 3 mjeseca</w:t>
            </w:r>
          </w:p>
        </w:tc>
        <w:tc>
          <w:tcPr>
            <w:tcW w:w="523" w:type="pct"/>
          </w:tcPr>
          <w:p w14:paraId="6183A733" w14:textId="77777777" w:rsidR="00F542BB" w:rsidRPr="006533FB" w:rsidRDefault="00F542BB" w:rsidP="00F542BB">
            <w:pPr>
              <w:pStyle w:val="TH"/>
              <w:spacing w:line="240" w:lineRule="auto"/>
              <w:jc w:val="right"/>
              <w:rPr>
                <w:rFonts w:asciiTheme="minorHAnsi" w:hAnsiTheme="minorHAnsi" w:cs="Arial"/>
                <w:sz w:val="18"/>
                <w:szCs w:val="18"/>
                <w:lang w:val="hr-HR"/>
              </w:rPr>
            </w:pPr>
            <w:r w:rsidRPr="006533FB">
              <w:rPr>
                <w:rFonts w:asciiTheme="minorHAnsi" w:hAnsiTheme="minorHAnsi" w:cs="Arial"/>
                <w:sz w:val="18"/>
                <w:szCs w:val="18"/>
                <w:lang w:val="hr-HR"/>
              </w:rPr>
              <w:t>3 mj. do 1 godine</w:t>
            </w:r>
          </w:p>
        </w:tc>
        <w:tc>
          <w:tcPr>
            <w:tcW w:w="534" w:type="pct"/>
          </w:tcPr>
          <w:p w14:paraId="12B23ECD" w14:textId="77777777" w:rsidR="00F542BB" w:rsidRPr="006533FB" w:rsidRDefault="00F542BB" w:rsidP="00F542BB">
            <w:pPr>
              <w:pStyle w:val="TH"/>
              <w:spacing w:line="240" w:lineRule="auto"/>
              <w:jc w:val="right"/>
              <w:rPr>
                <w:rFonts w:asciiTheme="minorHAnsi" w:hAnsiTheme="minorHAnsi" w:cs="Arial"/>
                <w:sz w:val="18"/>
                <w:szCs w:val="18"/>
                <w:lang w:val="hr-HR"/>
              </w:rPr>
            </w:pPr>
            <w:r w:rsidRPr="006533FB">
              <w:rPr>
                <w:rFonts w:asciiTheme="minorHAnsi" w:hAnsiTheme="minorHAnsi" w:cs="Arial"/>
                <w:sz w:val="18"/>
                <w:szCs w:val="18"/>
                <w:lang w:val="hr-HR"/>
              </w:rPr>
              <w:t>1 do 3 godina</w:t>
            </w:r>
          </w:p>
        </w:tc>
        <w:tc>
          <w:tcPr>
            <w:tcW w:w="616" w:type="pct"/>
          </w:tcPr>
          <w:p w14:paraId="5B1FE7D5" w14:textId="77777777" w:rsidR="00F542BB" w:rsidRPr="006533FB" w:rsidRDefault="00F542BB" w:rsidP="00F542BB">
            <w:pPr>
              <w:pStyle w:val="TH"/>
              <w:spacing w:line="240" w:lineRule="auto"/>
              <w:jc w:val="right"/>
              <w:rPr>
                <w:rFonts w:asciiTheme="minorHAnsi" w:hAnsiTheme="minorHAnsi" w:cs="Arial"/>
                <w:sz w:val="18"/>
                <w:szCs w:val="18"/>
                <w:lang w:val="hr-HR"/>
              </w:rPr>
            </w:pPr>
            <w:r w:rsidRPr="006533FB">
              <w:rPr>
                <w:rFonts w:asciiTheme="minorHAnsi" w:hAnsiTheme="minorHAnsi" w:cs="Arial"/>
                <w:sz w:val="18"/>
                <w:szCs w:val="18"/>
                <w:lang w:val="hr-HR"/>
              </w:rPr>
              <w:t>Preko 3 godine</w:t>
            </w:r>
          </w:p>
        </w:tc>
        <w:tc>
          <w:tcPr>
            <w:tcW w:w="566" w:type="pct"/>
          </w:tcPr>
          <w:p w14:paraId="720DBA68" w14:textId="77777777" w:rsidR="00F542BB" w:rsidRPr="006533FB" w:rsidRDefault="00F542BB" w:rsidP="00F542BB">
            <w:pPr>
              <w:pStyle w:val="TH"/>
              <w:spacing w:line="240" w:lineRule="auto"/>
              <w:jc w:val="right"/>
              <w:rPr>
                <w:rFonts w:asciiTheme="minorHAnsi" w:hAnsiTheme="minorHAnsi" w:cs="Arial"/>
                <w:sz w:val="18"/>
                <w:szCs w:val="18"/>
                <w:lang w:val="hr-HR"/>
              </w:rPr>
            </w:pPr>
            <w:r w:rsidRPr="006533FB">
              <w:rPr>
                <w:rFonts w:asciiTheme="minorHAnsi" w:hAnsiTheme="minorHAnsi" w:cs="Arial"/>
                <w:sz w:val="18"/>
                <w:szCs w:val="18"/>
                <w:lang w:val="hr-HR"/>
              </w:rPr>
              <w:t>Ukupno</w:t>
            </w:r>
          </w:p>
        </w:tc>
      </w:tr>
      <w:tr w:rsidR="00F542BB" w:rsidRPr="006533FB" w14:paraId="7D92CA75" w14:textId="77777777" w:rsidTr="00F542BB">
        <w:trPr>
          <w:trHeight w:val="162"/>
        </w:trPr>
        <w:tc>
          <w:tcPr>
            <w:tcW w:w="1620" w:type="pct"/>
          </w:tcPr>
          <w:p w14:paraId="5318DE2E" w14:textId="77777777" w:rsidR="00F542BB" w:rsidRPr="006533FB" w:rsidRDefault="00F542BB" w:rsidP="00F542BB">
            <w:pPr>
              <w:pStyle w:val="TT"/>
              <w:spacing w:line="240" w:lineRule="auto"/>
              <w:rPr>
                <w:rFonts w:asciiTheme="minorHAnsi" w:hAnsiTheme="minorHAnsi" w:cs="Arial"/>
                <w:b/>
                <w:bCs/>
                <w:sz w:val="18"/>
                <w:szCs w:val="18"/>
                <w:lang w:val="hr-HR"/>
              </w:rPr>
            </w:pPr>
            <w:r w:rsidRPr="006533FB">
              <w:rPr>
                <w:rFonts w:asciiTheme="minorHAnsi" w:hAnsiTheme="minorHAnsi" w:cs="Arial"/>
                <w:b/>
                <w:bCs/>
                <w:sz w:val="18"/>
                <w:szCs w:val="18"/>
                <w:lang w:val="hr-HR"/>
              </w:rPr>
              <w:t>Imovina</w:t>
            </w:r>
          </w:p>
        </w:tc>
        <w:tc>
          <w:tcPr>
            <w:tcW w:w="542" w:type="pct"/>
            <w:vAlign w:val="bottom"/>
          </w:tcPr>
          <w:p w14:paraId="7C106AB1" w14:textId="77777777" w:rsidR="00F542BB" w:rsidRPr="006533FB" w:rsidRDefault="00F542BB" w:rsidP="00F542BB">
            <w:pPr>
              <w:pStyle w:val="TT"/>
              <w:spacing w:line="240" w:lineRule="auto"/>
              <w:jc w:val="right"/>
              <w:rPr>
                <w:rFonts w:asciiTheme="minorHAnsi" w:hAnsiTheme="minorHAnsi" w:cs="Arial"/>
                <w:b/>
                <w:bCs/>
                <w:spacing w:val="-2"/>
                <w:sz w:val="18"/>
                <w:szCs w:val="18"/>
                <w:lang w:val="hr-HR"/>
              </w:rPr>
            </w:pPr>
          </w:p>
        </w:tc>
        <w:tc>
          <w:tcPr>
            <w:tcW w:w="599" w:type="pct"/>
            <w:vAlign w:val="bottom"/>
          </w:tcPr>
          <w:p w14:paraId="1CD9FC4B" w14:textId="77777777" w:rsidR="00F542BB" w:rsidRPr="006533FB" w:rsidRDefault="00F542BB" w:rsidP="00F542BB">
            <w:pPr>
              <w:pStyle w:val="TT"/>
              <w:spacing w:line="240" w:lineRule="auto"/>
              <w:jc w:val="right"/>
              <w:rPr>
                <w:rFonts w:asciiTheme="minorHAnsi" w:hAnsiTheme="minorHAnsi" w:cs="Arial"/>
                <w:b/>
                <w:bCs/>
                <w:spacing w:val="-2"/>
                <w:sz w:val="18"/>
                <w:szCs w:val="18"/>
                <w:lang w:val="hr-HR"/>
              </w:rPr>
            </w:pPr>
          </w:p>
        </w:tc>
        <w:tc>
          <w:tcPr>
            <w:tcW w:w="523" w:type="pct"/>
            <w:vAlign w:val="bottom"/>
          </w:tcPr>
          <w:p w14:paraId="71B0839D" w14:textId="77777777" w:rsidR="00F542BB" w:rsidRPr="006533FB" w:rsidRDefault="00F542BB" w:rsidP="00F542BB">
            <w:pPr>
              <w:pStyle w:val="TT"/>
              <w:spacing w:line="240" w:lineRule="auto"/>
              <w:jc w:val="right"/>
              <w:rPr>
                <w:rFonts w:asciiTheme="minorHAnsi" w:hAnsiTheme="minorHAnsi" w:cs="Arial"/>
                <w:b/>
                <w:bCs/>
                <w:spacing w:val="-2"/>
                <w:sz w:val="18"/>
                <w:szCs w:val="18"/>
                <w:lang w:val="hr-HR"/>
              </w:rPr>
            </w:pPr>
          </w:p>
        </w:tc>
        <w:tc>
          <w:tcPr>
            <w:tcW w:w="534" w:type="pct"/>
            <w:vAlign w:val="bottom"/>
          </w:tcPr>
          <w:p w14:paraId="1BB60AFC" w14:textId="77777777" w:rsidR="00F542BB" w:rsidRPr="006533FB" w:rsidRDefault="00F542BB" w:rsidP="00F542BB">
            <w:pPr>
              <w:pStyle w:val="TT"/>
              <w:spacing w:line="240" w:lineRule="auto"/>
              <w:jc w:val="right"/>
              <w:rPr>
                <w:rFonts w:asciiTheme="minorHAnsi" w:hAnsiTheme="minorHAnsi" w:cs="Arial"/>
                <w:b/>
                <w:bCs/>
                <w:spacing w:val="-2"/>
                <w:sz w:val="18"/>
                <w:szCs w:val="18"/>
                <w:lang w:val="hr-HR"/>
              </w:rPr>
            </w:pPr>
          </w:p>
        </w:tc>
        <w:tc>
          <w:tcPr>
            <w:tcW w:w="616" w:type="pct"/>
            <w:vAlign w:val="bottom"/>
          </w:tcPr>
          <w:p w14:paraId="31D01D38" w14:textId="77777777" w:rsidR="00F542BB" w:rsidRPr="006533FB" w:rsidRDefault="00F542BB" w:rsidP="00F542BB">
            <w:pPr>
              <w:pStyle w:val="TT"/>
              <w:spacing w:line="240" w:lineRule="auto"/>
              <w:jc w:val="right"/>
              <w:rPr>
                <w:rFonts w:asciiTheme="minorHAnsi" w:hAnsiTheme="minorHAnsi" w:cs="Arial"/>
                <w:b/>
                <w:bCs/>
                <w:spacing w:val="-2"/>
                <w:sz w:val="18"/>
                <w:szCs w:val="18"/>
                <w:lang w:val="hr-HR"/>
              </w:rPr>
            </w:pPr>
          </w:p>
        </w:tc>
        <w:tc>
          <w:tcPr>
            <w:tcW w:w="566" w:type="pct"/>
            <w:vAlign w:val="bottom"/>
          </w:tcPr>
          <w:p w14:paraId="17FDC59D" w14:textId="77777777" w:rsidR="00F542BB" w:rsidRPr="006533FB" w:rsidRDefault="00F542BB" w:rsidP="00F542BB">
            <w:pPr>
              <w:pStyle w:val="TT"/>
              <w:spacing w:line="240" w:lineRule="auto"/>
              <w:jc w:val="right"/>
              <w:rPr>
                <w:rFonts w:asciiTheme="minorHAnsi" w:hAnsiTheme="minorHAnsi" w:cs="Arial"/>
                <w:b/>
                <w:bCs/>
                <w:spacing w:val="-2"/>
                <w:sz w:val="18"/>
                <w:szCs w:val="18"/>
                <w:lang w:val="hr-HR"/>
              </w:rPr>
            </w:pPr>
          </w:p>
        </w:tc>
      </w:tr>
      <w:tr w:rsidR="00F542BB" w:rsidRPr="006533FB" w14:paraId="0B89B8A5" w14:textId="77777777" w:rsidTr="00312975">
        <w:trPr>
          <w:trHeight w:val="83"/>
        </w:trPr>
        <w:tc>
          <w:tcPr>
            <w:tcW w:w="1620" w:type="pct"/>
          </w:tcPr>
          <w:p w14:paraId="036DF414"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Novčana sredstva i računi kod banaka</w:t>
            </w:r>
          </w:p>
        </w:tc>
        <w:tc>
          <w:tcPr>
            <w:tcW w:w="542" w:type="pct"/>
            <w:tcBorders>
              <w:top w:val="nil"/>
              <w:left w:val="nil"/>
              <w:bottom w:val="nil"/>
              <w:right w:val="nil"/>
            </w:tcBorders>
            <w:shd w:val="clear" w:color="auto" w:fill="auto"/>
            <w:vAlign w:val="bottom"/>
          </w:tcPr>
          <w:p w14:paraId="2C394343"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491.246</w:t>
            </w:r>
          </w:p>
        </w:tc>
        <w:tc>
          <w:tcPr>
            <w:tcW w:w="599" w:type="pct"/>
            <w:tcBorders>
              <w:top w:val="nil"/>
              <w:left w:val="nil"/>
              <w:bottom w:val="nil"/>
              <w:right w:val="nil"/>
            </w:tcBorders>
            <w:shd w:val="clear" w:color="auto" w:fill="auto"/>
            <w:vAlign w:val="bottom"/>
          </w:tcPr>
          <w:p w14:paraId="2BD62A52"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bottom"/>
          </w:tcPr>
          <w:p w14:paraId="5222627B"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nil"/>
              <w:right w:val="nil"/>
            </w:tcBorders>
            <w:shd w:val="clear" w:color="auto" w:fill="auto"/>
            <w:vAlign w:val="bottom"/>
          </w:tcPr>
          <w:p w14:paraId="0C28E898"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186FD5E1"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66" w:type="pct"/>
            <w:tcBorders>
              <w:top w:val="nil"/>
              <w:left w:val="nil"/>
              <w:bottom w:val="nil"/>
              <w:right w:val="nil"/>
            </w:tcBorders>
            <w:shd w:val="clear" w:color="auto" w:fill="auto"/>
            <w:vAlign w:val="bottom"/>
          </w:tcPr>
          <w:p w14:paraId="156CD73B"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491.246</w:t>
            </w:r>
          </w:p>
        </w:tc>
      </w:tr>
      <w:tr w:rsidR="00F542BB" w:rsidRPr="006533FB" w14:paraId="74E4D782" w14:textId="77777777" w:rsidTr="00312975">
        <w:trPr>
          <w:trHeight w:val="162"/>
        </w:trPr>
        <w:tc>
          <w:tcPr>
            <w:tcW w:w="1620" w:type="pct"/>
          </w:tcPr>
          <w:p w14:paraId="3D7D4CFC"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Depoziti kod drugih banaka</w:t>
            </w:r>
          </w:p>
        </w:tc>
        <w:tc>
          <w:tcPr>
            <w:tcW w:w="542" w:type="pct"/>
            <w:tcBorders>
              <w:top w:val="nil"/>
              <w:left w:val="nil"/>
              <w:bottom w:val="nil"/>
              <w:right w:val="nil"/>
            </w:tcBorders>
            <w:shd w:val="clear" w:color="auto" w:fill="auto"/>
            <w:vAlign w:val="bottom"/>
          </w:tcPr>
          <w:p w14:paraId="0AFF3E7C"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bottom"/>
          </w:tcPr>
          <w:p w14:paraId="7D0CD3D7"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23.872</w:t>
            </w:r>
          </w:p>
        </w:tc>
        <w:tc>
          <w:tcPr>
            <w:tcW w:w="523" w:type="pct"/>
            <w:tcBorders>
              <w:top w:val="nil"/>
              <w:left w:val="nil"/>
              <w:bottom w:val="nil"/>
              <w:right w:val="nil"/>
            </w:tcBorders>
            <w:shd w:val="clear" w:color="auto" w:fill="auto"/>
            <w:vAlign w:val="bottom"/>
          </w:tcPr>
          <w:p w14:paraId="7027D32B"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nil"/>
              <w:right w:val="nil"/>
            </w:tcBorders>
            <w:shd w:val="clear" w:color="auto" w:fill="auto"/>
            <w:vAlign w:val="bottom"/>
          </w:tcPr>
          <w:p w14:paraId="42DD0066"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3365128F"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66" w:type="pct"/>
            <w:tcBorders>
              <w:top w:val="nil"/>
              <w:left w:val="nil"/>
              <w:bottom w:val="nil"/>
              <w:right w:val="nil"/>
            </w:tcBorders>
            <w:shd w:val="clear" w:color="auto" w:fill="auto"/>
            <w:vAlign w:val="bottom"/>
          </w:tcPr>
          <w:p w14:paraId="4785D90E"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23.872</w:t>
            </w:r>
          </w:p>
        </w:tc>
      </w:tr>
      <w:tr w:rsidR="00F542BB" w:rsidRPr="006533FB" w14:paraId="73F215EF" w14:textId="77777777" w:rsidTr="00312975">
        <w:trPr>
          <w:trHeight w:val="171"/>
        </w:trPr>
        <w:tc>
          <w:tcPr>
            <w:tcW w:w="1620" w:type="pct"/>
          </w:tcPr>
          <w:p w14:paraId="0A2C85E0"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Krediti financijska institucija*</w:t>
            </w:r>
          </w:p>
        </w:tc>
        <w:tc>
          <w:tcPr>
            <w:tcW w:w="542" w:type="pct"/>
            <w:tcBorders>
              <w:top w:val="nil"/>
              <w:left w:val="nil"/>
              <w:bottom w:val="nil"/>
              <w:right w:val="nil"/>
            </w:tcBorders>
            <w:shd w:val="clear" w:color="auto" w:fill="auto"/>
            <w:vAlign w:val="bottom"/>
          </w:tcPr>
          <w:p w14:paraId="6918885D"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684.891</w:t>
            </w:r>
          </w:p>
        </w:tc>
        <w:tc>
          <w:tcPr>
            <w:tcW w:w="599" w:type="pct"/>
            <w:tcBorders>
              <w:top w:val="nil"/>
              <w:left w:val="nil"/>
              <w:bottom w:val="nil"/>
              <w:right w:val="nil"/>
            </w:tcBorders>
            <w:shd w:val="clear" w:color="auto" w:fill="auto"/>
            <w:vAlign w:val="bottom"/>
          </w:tcPr>
          <w:p w14:paraId="6D343525"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441.872</w:t>
            </w:r>
          </w:p>
        </w:tc>
        <w:tc>
          <w:tcPr>
            <w:tcW w:w="523" w:type="pct"/>
            <w:tcBorders>
              <w:top w:val="nil"/>
              <w:left w:val="nil"/>
              <w:bottom w:val="nil"/>
              <w:right w:val="nil"/>
            </w:tcBorders>
            <w:shd w:val="clear" w:color="auto" w:fill="auto"/>
            <w:vAlign w:val="bottom"/>
          </w:tcPr>
          <w:p w14:paraId="06E7B2B9"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1.774.961</w:t>
            </w:r>
          </w:p>
        </w:tc>
        <w:tc>
          <w:tcPr>
            <w:tcW w:w="534" w:type="pct"/>
            <w:tcBorders>
              <w:top w:val="nil"/>
              <w:left w:val="nil"/>
              <w:bottom w:val="nil"/>
              <w:right w:val="nil"/>
            </w:tcBorders>
            <w:shd w:val="clear" w:color="auto" w:fill="auto"/>
            <w:vAlign w:val="bottom"/>
          </w:tcPr>
          <w:p w14:paraId="01C01470"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3.131.823</w:t>
            </w:r>
          </w:p>
        </w:tc>
        <w:tc>
          <w:tcPr>
            <w:tcW w:w="616" w:type="pct"/>
            <w:tcBorders>
              <w:top w:val="nil"/>
              <w:left w:val="nil"/>
              <w:bottom w:val="nil"/>
              <w:right w:val="nil"/>
            </w:tcBorders>
            <w:shd w:val="clear" w:color="auto" w:fill="auto"/>
            <w:vAlign w:val="bottom"/>
          </w:tcPr>
          <w:p w14:paraId="40DCCD20"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5.855.564</w:t>
            </w:r>
          </w:p>
        </w:tc>
        <w:tc>
          <w:tcPr>
            <w:tcW w:w="566" w:type="pct"/>
            <w:tcBorders>
              <w:top w:val="nil"/>
              <w:left w:val="nil"/>
              <w:bottom w:val="nil"/>
              <w:right w:val="nil"/>
            </w:tcBorders>
            <w:shd w:val="clear" w:color="auto" w:fill="auto"/>
            <w:vAlign w:val="bottom"/>
          </w:tcPr>
          <w:p w14:paraId="71B6268E"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11.889.111</w:t>
            </w:r>
          </w:p>
        </w:tc>
      </w:tr>
      <w:tr w:rsidR="00F542BB" w:rsidRPr="006533FB" w14:paraId="1BC52124" w14:textId="77777777" w:rsidTr="00312975">
        <w:trPr>
          <w:trHeight w:val="171"/>
        </w:trPr>
        <w:tc>
          <w:tcPr>
            <w:tcW w:w="1620" w:type="pct"/>
          </w:tcPr>
          <w:p w14:paraId="294077DF"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Krediti ostalim korisnicima</w:t>
            </w:r>
          </w:p>
        </w:tc>
        <w:tc>
          <w:tcPr>
            <w:tcW w:w="542" w:type="pct"/>
            <w:tcBorders>
              <w:top w:val="nil"/>
              <w:left w:val="nil"/>
              <w:bottom w:val="nil"/>
              <w:right w:val="nil"/>
            </w:tcBorders>
            <w:shd w:val="clear" w:color="auto" w:fill="auto"/>
            <w:vAlign w:val="bottom"/>
          </w:tcPr>
          <w:p w14:paraId="29437E34"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1.423.234</w:t>
            </w:r>
          </w:p>
        </w:tc>
        <w:tc>
          <w:tcPr>
            <w:tcW w:w="599" w:type="pct"/>
            <w:tcBorders>
              <w:top w:val="nil"/>
              <w:left w:val="nil"/>
              <w:bottom w:val="nil"/>
              <w:right w:val="nil"/>
            </w:tcBorders>
            <w:shd w:val="clear" w:color="auto" w:fill="auto"/>
            <w:vAlign w:val="bottom"/>
          </w:tcPr>
          <w:p w14:paraId="1D4D62B7"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385.784</w:t>
            </w:r>
          </w:p>
        </w:tc>
        <w:tc>
          <w:tcPr>
            <w:tcW w:w="523" w:type="pct"/>
            <w:tcBorders>
              <w:top w:val="nil"/>
              <w:left w:val="nil"/>
              <w:bottom w:val="nil"/>
              <w:right w:val="nil"/>
            </w:tcBorders>
            <w:shd w:val="clear" w:color="auto" w:fill="auto"/>
            <w:vAlign w:val="bottom"/>
          </w:tcPr>
          <w:p w14:paraId="3CD0C772"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948.959</w:t>
            </w:r>
          </w:p>
        </w:tc>
        <w:tc>
          <w:tcPr>
            <w:tcW w:w="534" w:type="pct"/>
            <w:tcBorders>
              <w:top w:val="nil"/>
              <w:left w:val="nil"/>
              <w:bottom w:val="nil"/>
              <w:right w:val="nil"/>
            </w:tcBorders>
            <w:shd w:val="clear" w:color="auto" w:fill="auto"/>
            <w:vAlign w:val="bottom"/>
          </w:tcPr>
          <w:p w14:paraId="30802666"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1.850.611</w:t>
            </w:r>
          </w:p>
        </w:tc>
        <w:tc>
          <w:tcPr>
            <w:tcW w:w="616" w:type="pct"/>
            <w:tcBorders>
              <w:top w:val="nil"/>
              <w:left w:val="nil"/>
              <w:bottom w:val="nil"/>
              <w:right w:val="nil"/>
            </w:tcBorders>
            <w:shd w:val="clear" w:color="auto" w:fill="auto"/>
            <w:vAlign w:val="bottom"/>
          </w:tcPr>
          <w:p w14:paraId="3F4DE38F"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6.902.606</w:t>
            </w:r>
          </w:p>
        </w:tc>
        <w:tc>
          <w:tcPr>
            <w:tcW w:w="566" w:type="pct"/>
            <w:tcBorders>
              <w:top w:val="nil"/>
              <w:left w:val="nil"/>
              <w:bottom w:val="nil"/>
              <w:right w:val="nil"/>
            </w:tcBorders>
            <w:shd w:val="clear" w:color="auto" w:fill="auto"/>
            <w:vAlign w:val="bottom"/>
          </w:tcPr>
          <w:p w14:paraId="2A1FA9E3"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11.511.194</w:t>
            </w:r>
          </w:p>
        </w:tc>
      </w:tr>
      <w:tr w:rsidR="00F542BB" w:rsidRPr="006533FB" w14:paraId="10F49752" w14:textId="77777777" w:rsidTr="00312975">
        <w:trPr>
          <w:trHeight w:val="334"/>
        </w:trPr>
        <w:tc>
          <w:tcPr>
            <w:tcW w:w="1620" w:type="pct"/>
          </w:tcPr>
          <w:p w14:paraId="749513FA" w14:textId="77777777" w:rsidR="00F542BB" w:rsidRPr="006533FB" w:rsidRDefault="00F542BB" w:rsidP="00F542BB">
            <w:pPr>
              <w:pStyle w:val="TT"/>
              <w:spacing w:line="240" w:lineRule="auto"/>
              <w:rPr>
                <w:rFonts w:asciiTheme="minorHAnsi" w:hAnsiTheme="minorHAnsi" w:cs="Arial"/>
                <w:spacing w:val="-2"/>
                <w:sz w:val="18"/>
                <w:szCs w:val="18"/>
                <w:lang w:val="hr-HR"/>
              </w:rPr>
            </w:pPr>
            <w:r w:rsidRPr="006533FB">
              <w:rPr>
                <w:rFonts w:asciiTheme="minorHAnsi" w:hAnsiTheme="minorHAnsi" w:cs="Arial"/>
                <w:spacing w:val="-2"/>
                <w:sz w:val="18"/>
                <w:szCs w:val="18"/>
                <w:lang w:val="hr-HR"/>
              </w:rPr>
              <w:t>Financijska imovina po fer vrijednosti kroz izvještaj o dobiti i gubitku</w:t>
            </w:r>
          </w:p>
        </w:tc>
        <w:tc>
          <w:tcPr>
            <w:tcW w:w="542" w:type="pct"/>
            <w:tcBorders>
              <w:top w:val="nil"/>
              <w:left w:val="nil"/>
              <w:bottom w:val="nil"/>
              <w:right w:val="nil"/>
            </w:tcBorders>
            <w:shd w:val="clear" w:color="auto" w:fill="auto"/>
            <w:vAlign w:val="bottom"/>
          </w:tcPr>
          <w:p w14:paraId="162C5CFA"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286</w:t>
            </w:r>
          </w:p>
        </w:tc>
        <w:tc>
          <w:tcPr>
            <w:tcW w:w="599" w:type="pct"/>
            <w:tcBorders>
              <w:top w:val="nil"/>
              <w:left w:val="nil"/>
              <w:bottom w:val="nil"/>
              <w:right w:val="nil"/>
            </w:tcBorders>
            <w:shd w:val="clear" w:color="auto" w:fill="auto"/>
            <w:vAlign w:val="bottom"/>
          </w:tcPr>
          <w:p w14:paraId="3EF79FBD"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bottom"/>
          </w:tcPr>
          <w:p w14:paraId="3CB7E2FD"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nil"/>
              <w:right w:val="nil"/>
            </w:tcBorders>
            <w:shd w:val="clear" w:color="auto" w:fill="auto"/>
            <w:vAlign w:val="bottom"/>
          </w:tcPr>
          <w:p w14:paraId="758BC8C4"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0EA204A3"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66" w:type="pct"/>
            <w:tcBorders>
              <w:top w:val="nil"/>
              <w:left w:val="nil"/>
              <w:bottom w:val="nil"/>
              <w:right w:val="nil"/>
            </w:tcBorders>
            <w:shd w:val="clear" w:color="auto" w:fill="auto"/>
            <w:vAlign w:val="bottom"/>
          </w:tcPr>
          <w:p w14:paraId="78989763"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286</w:t>
            </w:r>
          </w:p>
        </w:tc>
      </w:tr>
      <w:tr w:rsidR="00F542BB" w:rsidRPr="006533FB" w14:paraId="1B4B2211" w14:textId="77777777" w:rsidTr="00312975">
        <w:trPr>
          <w:trHeight w:val="162"/>
        </w:trPr>
        <w:tc>
          <w:tcPr>
            <w:tcW w:w="1620" w:type="pct"/>
          </w:tcPr>
          <w:p w14:paraId="125DDD10"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Imovina raspoloživa za prodaju</w:t>
            </w:r>
          </w:p>
        </w:tc>
        <w:tc>
          <w:tcPr>
            <w:tcW w:w="542" w:type="pct"/>
            <w:tcBorders>
              <w:top w:val="nil"/>
              <w:left w:val="nil"/>
              <w:bottom w:val="nil"/>
              <w:right w:val="nil"/>
            </w:tcBorders>
            <w:shd w:val="clear" w:color="auto" w:fill="auto"/>
            <w:vAlign w:val="bottom"/>
          </w:tcPr>
          <w:p w14:paraId="35F67219"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3.375.864</w:t>
            </w:r>
          </w:p>
        </w:tc>
        <w:tc>
          <w:tcPr>
            <w:tcW w:w="599" w:type="pct"/>
            <w:tcBorders>
              <w:top w:val="nil"/>
              <w:left w:val="nil"/>
              <w:bottom w:val="nil"/>
              <w:right w:val="nil"/>
            </w:tcBorders>
            <w:shd w:val="clear" w:color="auto" w:fill="auto"/>
            <w:vAlign w:val="bottom"/>
          </w:tcPr>
          <w:p w14:paraId="4A840744"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14.074</w:t>
            </w:r>
          </w:p>
        </w:tc>
        <w:tc>
          <w:tcPr>
            <w:tcW w:w="523" w:type="pct"/>
            <w:tcBorders>
              <w:top w:val="nil"/>
              <w:left w:val="nil"/>
              <w:bottom w:val="nil"/>
              <w:right w:val="nil"/>
            </w:tcBorders>
            <w:shd w:val="clear" w:color="auto" w:fill="auto"/>
            <w:vAlign w:val="bottom"/>
          </w:tcPr>
          <w:p w14:paraId="4617A1E8"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96</w:t>
            </w:r>
          </w:p>
        </w:tc>
        <w:tc>
          <w:tcPr>
            <w:tcW w:w="534" w:type="pct"/>
            <w:tcBorders>
              <w:top w:val="nil"/>
              <w:left w:val="nil"/>
              <w:bottom w:val="nil"/>
              <w:right w:val="nil"/>
            </w:tcBorders>
            <w:shd w:val="clear" w:color="auto" w:fill="auto"/>
            <w:vAlign w:val="bottom"/>
          </w:tcPr>
          <w:p w14:paraId="13AB11D5"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24D7D5F9"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66" w:type="pct"/>
            <w:tcBorders>
              <w:top w:val="nil"/>
              <w:left w:val="nil"/>
              <w:bottom w:val="nil"/>
              <w:right w:val="nil"/>
            </w:tcBorders>
            <w:shd w:val="clear" w:color="auto" w:fill="auto"/>
            <w:vAlign w:val="bottom"/>
          </w:tcPr>
          <w:p w14:paraId="073870C6"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3.390.034</w:t>
            </w:r>
          </w:p>
        </w:tc>
      </w:tr>
      <w:tr w:rsidR="00F542BB" w:rsidRPr="006533FB" w14:paraId="19638FDD" w14:textId="77777777" w:rsidTr="00312975">
        <w:trPr>
          <w:trHeight w:val="171"/>
        </w:trPr>
        <w:tc>
          <w:tcPr>
            <w:tcW w:w="1620" w:type="pct"/>
          </w:tcPr>
          <w:p w14:paraId="2C669A41" w14:textId="77777777" w:rsidR="00F542BB" w:rsidRPr="006533FB" w:rsidRDefault="00F542BB" w:rsidP="00F542BB">
            <w:pPr>
              <w:pStyle w:val="TT"/>
              <w:spacing w:line="240" w:lineRule="auto"/>
              <w:rPr>
                <w:rFonts w:asciiTheme="minorHAnsi" w:hAnsiTheme="minorHAnsi" w:cs="Arial"/>
                <w:spacing w:val="-2"/>
                <w:sz w:val="18"/>
                <w:szCs w:val="18"/>
                <w:lang w:val="hr-HR"/>
              </w:rPr>
            </w:pPr>
            <w:r w:rsidRPr="006533FB">
              <w:rPr>
                <w:rFonts w:asciiTheme="minorHAnsi" w:hAnsiTheme="minorHAnsi" w:cs="Arial"/>
                <w:spacing w:val="-2"/>
                <w:sz w:val="18"/>
                <w:szCs w:val="18"/>
                <w:lang w:val="hr-HR"/>
              </w:rPr>
              <w:t>Imovina koja se drži do dospijeća</w:t>
            </w:r>
          </w:p>
        </w:tc>
        <w:tc>
          <w:tcPr>
            <w:tcW w:w="542" w:type="pct"/>
            <w:tcBorders>
              <w:top w:val="nil"/>
              <w:left w:val="nil"/>
              <w:bottom w:val="nil"/>
              <w:right w:val="nil"/>
            </w:tcBorders>
            <w:shd w:val="clear" w:color="auto" w:fill="auto"/>
            <w:vAlign w:val="bottom"/>
          </w:tcPr>
          <w:p w14:paraId="77386C4D"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bottom"/>
          </w:tcPr>
          <w:p w14:paraId="4A9FCB1F"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10</w:t>
            </w:r>
          </w:p>
        </w:tc>
        <w:tc>
          <w:tcPr>
            <w:tcW w:w="523" w:type="pct"/>
            <w:tcBorders>
              <w:top w:val="nil"/>
              <w:left w:val="nil"/>
              <w:bottom w:val="nil"/>
              <w:right w:val="nil"/>
            </w:tcBorders>
            <w:shd w:val="clear" w:color="auto" w:fill="auto"/>
            <w:vAlign w:val="bottom"/>
          </w:tcPr>
          <w:p w14:paraId="6F40358E"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4</w:t>
            </w:r>
          </w:p>
        </w:tc>
        <w:tc>
          <w:tcPr>
            <w:tcW w:w="534" w:type="pct"/>
            <w:tcBorders>
              <w:top w:val="nil"/>
              <w:left w:val="nil"/>
              <w:bottom w:val="nil"/>
              <w:right w:val="nil"/>
            </w:tcBorders>
            <w:shd w:val="clear" w:color="auto" w:fill="auto"/>
            <w:vAlign w:val="bottom"/>
          </w:tcPr>
          <w:p w14:paraId="0D538BDD"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592959C0"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1.408</w:t>
            </w:r>
          </w:p>
        </w:tc>
        <w:tc>
          <w:tcPr>
            <w:tcW w:w="566" w:type="pct"/>
            <w:tcBorders>
              <w:top w:val="nil"/>
              <w:left w:val="nil"/>
              <w:bottom w:val="nil"/>
              <w:right w:val="nil"/>
            </w:tcBorders>
            <w:shd w:val="clear" w:color="auto" w:fill="auto"/>
            <w:vAlign w:val="bottom"/>
          </w:tcPr>
          <w:p w14:paraId="22650AFF"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1.422</w:t>
            </w:r>
          </w:p>
        </w:tc>
      </w:tr>
      <w:tr w:rsidR="00F542BB" w:rsidRPr="006533FB" w14:paraId="5F183CB4" w14:textId="77777777" w:rsidTr="00312975">
        <w:trPr>
          <w:trHeight w:val="162"/>
        </w:trPr>
        <w:tc>
          <w:tcPr>
            <w:tcW w:w="1620" w:type="pct"/>
          </w:tcPr>
          <w:p w14:paraId="1B92BFBE" w14:textId="77777777" w:rsidR="00F542BB" w:rsidRPr="006533FB" w:rsidRDefault="00F542BB" w:rsidP="00F542BB">
            <w:pPr>
              <w:pStyle w:val="TT"/>
              <w:spacing w:line="240" w:lineRule="auto"/>
              <w:rPr>
                <w:rFonts w:asciiTheme="minorHAnsi" w:hAnsiTheme="minorHAnsi" w:cs="Arial"/>
                <w:spacing w:val="-2"/>
                <w:sz w:val="18"/>
                <w:szCs w:val="18"/>
                <w:lang w:val="hr-HR"/>
              </w:rPr>
            </w:pPr>
            <w:r w:rsidRPr="006533FB">
              <w:rPr>
                <w:rFonts w:asciiTheme="minorHAnsi" w:hAnsiTheme="minorHAnsi" w:cs="Arial"/>
                <w:spacing w:val="-2"/>
                <w:sz w:val="18"/>
                <w:szCs w:val="18"/>
                <w:lang w:val="hr-HR"/>
              </w:rPr>
              <w:t>Ulaganja u pridružena društva</w:t>
            </w:r>
          </w:p>
        </w:tc>
        <w:tc>
          <w:tcPr>
            <w:tcW w:w="542" w:type="pct"/>
            <w:tcBorders>
              <w:top w:val="nil"/>
              <w:left w:val="nil"/>
              <w:bottom w:val="nil"/>
              <w:right w:val="nil"/>
            </w:tcBorders>
            <w:shd w:val="clear" w:color="auto" w:fill="auto"/>
            <w:vAlign w:val="bottom"/>
          </w:tcPr>
          <w:p w14:paraId="67D2A72D"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bottom"/>
          </w:tcPr>
          <w:p w14:paraId="17644A4F"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bottom"/>
          </w:tcPr>
          <w:p w14:paraId="7D836DD2"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nil"/>
              <w:right w:val="nil"/>
            </w:tcBorders>
            <w:shd w:val="clear" w:color="auto" w:fill="auto"/>
            <w:vAlign w:val="bottom"/>
          </w:tcPr>
          <w:p w14:paraId="3619092D"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7981CECC"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66" w:type="pct"/>
            <w:tcBorders>
              <w:top w:val="nil"/>
              <w:left w:val="nil"/>
              <w:bottom w:val="nil"/>
              <w:right w:val="nil"/>
            </w:tcBorders>
            <w:shd w:val="clear" w:color="auto" w:fill="auto"/>
            <w:vAlign w:val="bottom"/>
          </w:tcPr>
          <w:p w14:paraId="03E764F2"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r>
      <w:tr w:rsidR="00F542BB" w:rsidRPr="006533FB" w14:paraId="582837E7" w14:textId="77777777" w:rsidTr="00312975">
        <w:trPr>
          <w:trHeight w:val="344"/>
        </w:trPr>
        <w:tc>
          <w:tcPr>
            <w:tcW w:w="1620" w:type="pct"/>
          </w:tcPr>
          <w:p w14:paraId="3FDDA659"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Nekretnine, postrojenja i oprema i nematerijalna imovina</w:t>
            </w:r>
          </w:p>
        </w:tc>
        <w:tc>
          <w:tcPr>
            <w:tcW w:w="542" w:type="pct"/>
            <w:tcBorders>
              <w:top w:val="nil"/>
              <w:left w:val="nil"/>
              <w:bottom w:val="nil"/>
              <w:right w:val="nil"/>
            </w:tcBorders>
            <w:shd w:val="clear" w:color="auto" w:fill="auto"/>
            <w:vAlign w:val="bottom"/>
          </w:tcPr>
          <w:p w14:paraId="35437FD2"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bottom"/>
          </w:tcPr>
          <w:p w14:paraId="798B6CCF"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bottom"/>
          </w:tcPr>
          <w:p w14:paraId="74DA3303"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nil"/>
              <w:right w:val="nil"/>
            </w:tcBorders>
            <w:shd w:val="clear" w:color="auto" w:fill="auto"/>
            <w:vAlign w:val="bottom"/>
          </w:tcPr>
          <w:p w14:paraId="71E3F6FE"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518766AF"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57.305</w:t>
            </w:r>
          </w:p>
        </w:tc>
        <w:tc>
          <w:tcPr>
            <w:tcW w:w="566" w:type="pct"/>
            <w:tcBorders>
              <w:top w:val="nil"/>
              <w:left w:val="nil"/>
              <w:bottom w:val="nil"/>
              <w:right w:val="nil"/>
            </w:tcBorders>
            <w:shd w:val="clear" w:color="auto" w:fill="auto"/>
            <w:vAlign w:val="bottom"/>
          </w:tcPr>
          <w:p w14:paraId="527B1D84"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57.305</w:t>
            </w:r>
          </w:p>
        </w:tc>
      </w:tr>
      <w:tr w:rsidR="00F542BB" w:rsidRPr="006533FB" w14:paraId="6A6A345B" w14:textId="77777777" w:rsidTr="00312975">
        <w:trPr>
          <w:trHeight w:val="133"/>
        </w:trPr>
        <w:tc>
          <w:tcPr>
            <w:tcW w:w="1620" w:type="pct"/>
          </w:tcPr>
          <w:p w14:paraId="19F588CA"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Dugotrajna imovina namijenjena prodaji</w:t>
            </w:r>
          </w:p>
        </w:tc>
        <w:tc>
          <w:tcPr>
            <w:tcW w:w="542" w:type="pct"/>
            <w:tcBorders>
              <w:top w:val="nil"/>
              <w:left w:val="nil"/>
              <w:bottom w:val="nil"/>
              <w:right w:val="nil"/>
            </w:tcBorders>
            <w:shd w:val="clear" w:color="auto" w:fill="auto"/>
            <w:vAlign w:val="bottom"/>
          </w:tcPr>
          <w:p w14:paraId="7B8D6820"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bottom"/>
          </w:tcPr>
          <w:p w14:paraId="7AE07D0C"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bottom"/>
          </w:tcPr>
          <w:p w14:paraId="112A2515"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27</w:t>
            </w:r>
          </w:p>
        </w:tc>
        <w:tc>
          <w:tcPr>
            <w:tcW w:w="534" w:type="pct"/>
            <w:tcBorders>
              <w:top w:val="nil"/>
              <w:left w:val="nil"/>
              <w:bottom w:val="nil"/>
              <w:right w:val="nil"/>
            </w:tcBorders>
            <w:shd w:val="clear" w:color="auto" w:fill="auto"/>
            <w:vAlign w:val="bottom"/>
          </w:tcPr>
          <w:p w14:paraId="18DD4384"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11.450</w:t>
            </w:r>
          </w:p>
        </w:tc>
        <w:tc>
          <w:tcPr>
            <w:tcW w:w="616" w:type="pct"/>
            <w:tcBorders>
              <w:top w:val="nil"/>
              <w:left w:val="nil"/>
              <w:bottom w:val="nil"/>
              <w:right w:val="nil"/>
            </w:tcBorders>
            <w:shd w:val="clear" w:color="auto" w:fill="auto"/>
            <w:vAlign w:val="bottom"/>
          </w:tcPr>
          <w:p w14:paraId="7B73CADC"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5.753</w:t>
            </w:r>
          </w:p>
        </w:tc>
        <w:tc>
          <w:tcPr>
            <w:tcW w:w="566" w:type="pct"/>
            <w:tcBorders>
              <w:top w:val="nil"/>
              <w:left w:val="nil"/>
              <w:bottom w:val="nil"/>
              <w:right w:val="nil"/>
            </w:tcBorders>
            <w:shd w:val="clear" w:color="auto" w:fill="auto"/>
            <w:vAlign w:val="bottom"/>
          </w:tcPr>
          <w:p w14:paraId="243A44B2"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17.230</w:t>
            </w:r>
          </w:p>
        </w:tc>
      </w:tr>
      <w:tr w:rsidR="00F542BB" w:rsidRPr="006533FB" w14:paraId="244DCC22" w14:textId="77777777" w:rsidTr="00312975">
        <w:trPr>
          <w:trHeight w:val="162"/>
        </w:trPr>
        <w:tc>
          <w:tcPr>
            <w:tcW w:w="1620" w:type="pct"/>
          </w:tcPr>
          <w:p w14:paraId="07678325"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Ostala imovina</w:t>
            </w:r>
          </w:p>
        </w:tc>
        <w:tc>
          <w:tcPr>
            <w:tcW w:w="542" w:type="pct"/>
            <w:tcBorders>
              <w:top w:val="nil"/>
              <w:left w:val="nil"/>
              <w:bottom w:val="nil"/>
              <w:right w:val="nil"/>
            </w:tcBorders>
            <w:shd w:val="clear" w:color="auto" w:fill="auto"/>
            <w:vAlign w:val="bottom"/>
          </w:tcPr>
          <w:p w14:paraId="291ECE20"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6.225</w:t>
            </w:r>
          </w:p>
        </w:tc>
        <w:tc>
          <w:tcPr>
            <w:tcW w:w="599" w:type="pct"/>
            <w:tcBorders>
              <w:top w:val="nil"/>
              <w:left w:val="nil"/>
              <w:bottom w:val="nil"/>
              <w:right w:val="nil"/>
            </w:tcBorders>
            <w:shd w:val="clear" w:color="auto" w:fill="auto"/>
            <w:vAlign w:val="bottom"/>
          </w:tcPr>
          <w:p w14:paraId="1DD6777F"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748</w:t>
            </w:r>
          </w:p>
        </w:tc>
        <w:tc>
          <w:tcPr>
            <w:tcW w:w="523" w:type="pct"/>
            <w:tcBorders>
              <w:top w:val="nil"/>
              <w:left w:val="nil"/>
              <w:bottom w:val="nil"/>
              <w:right w:val="nil"/>
            </w:tcBorders>
            <w:shd w:val="clear" w:color="auto" w:fill="auto"/>
            <w:vAlign w:val="bottom"/>
          </w:tcPr>
          <w:p w14:paraId="47B2FCC2"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530</w:t>
            </w:r>
          </w:p>
        </w:tc>
        <w:tc>
          <w:tcPr>
            <w:tcW w:w="534" w:type="pct"/>
            <w:tcBorders>
              <w:top w:val="nil"/>
              <w:left w:val="nil"/>
              <w:bottom w:val="nil"/>
              <w:right w:val="nil"/>
            </w:tcBorders>
            <w:shd w:val="clear" w:color="auto" w:fill="auto"/>
            <w:vAlign w:val="bottom"/>
          </w:tcPr>
          <w:p w14:paraId="38976C1A"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620</w:t>
            </w:r>
          </w:p>
        </w:tc>
        <w:tc>
          <w:tcPr>
            <w:tcW w:w="616" w:type="pct"/>
            <w:tcBorders>
              <w:top w:val="nil"/>
              <w:left w:val="nil"/>
              <w:bottom w:val="nil"/>
              <w:right w:val="nil"/>
            </w:tcBorders>
            <w:shd w:val="clear" w:color="auto" w:fill="auto"/>
            <w:vAlign w:val="bottom"/>
          </w:tcPr>
          <w:p w14:paraId="241B022E"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999</w:t>
            </w:r>
          </w:p>
        </w:tc>
        <w:tc>
          <w:tcPr>
            <w:tcW w:w="566" w:type="pct"/>
            <w:tcBorders>
              <w:top w:val="nil"/>
              <w:left w:val="nil"/>
              <w:bottom w:val="nil"/>
              <w:right w:val="nil"/>
            </w:tcBorders>
            <w:shd w:val="clear" w:color="auto" w:fill="auto"/>
            <w:vAlign w:val="bottom"/>
          </w:tcPr>
          <w:p w14:paraId="3B2F654B"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9.122</w:t>
            </w:r>
          </w:p>
        </w:tc>
      </w:tr>
      <w:tr w:rsidR="00F542BB" w:rsidRPr="006533FB" w14:paraId="4452F38C" w14:textId="77777777" w:rsidTr="00F542BB">
        <w:trPr>
          <w:trHeight w:val="171"/>
        </w:trPr>
        <w:tc>
          <w:tcPr>
            <w:tcW w:w="1620" w:type="pct"/>
          </w:tcPr>
          <w:p w14:paraId="579CFEAE" w14:textId="77777777" w:rsidR="00F542BB" w:rsidRPr="006533FB" w:rsidRDefault="00F542BB" w:rsidP="00F542BB">
            <w:pPr>
              <w:pStyle w:val="Tot"/>
              <w:spacing w:line="240" w:lineRule="auto"/>
              <w:rPr>
                <w:rFonts w:asciiTheme="minorHAnsi" w:hAnsiTheme="minorHAnsi" w:cs="Arial"/>
                <w:b/>
                <w:bCs/>
                <w:sz w:val="18"/>
                <w:szCs w:val="18"/>
                <w:lang w:val="hr-HR"/>
              </w:rPr>
            </w:pPr>
            <w:r w:rsidRPr="006533FB">
              <w:rPr>
                <w:rFonts w:asciiTheme="minorHAnsi" w:hAnsiTheme="minorHAnsi" w:cs="Arial"/>
                <w:b/>
                <w:bCs/>
                <w:sz w:val="18"/>
                <w:szCs w:val="18"/>
                <w:lang w:val="hr-HR"/>
              </w:rPr>
              <w:t>Ukupna imovina (1)</w:t>
            </w:r>
          </w:p>
        </w:tc>
        <w:tc>
          <w:tcPr>
            <w:tcW w:w="542" w:type="pct"/>
            <w:tcBorders>
              <w:top w:val="single" w:sz="8" w:space="0" w:color="auto"/>
              <w:left w:val="nil"/>
              <w:bottom w:val="single" w:sz="12" w:space="0" w:color="auto"/>
              <w:right w:val="nil"/>
            </w:tcBorders>
            <w:shd w:val="clear" w:color="auto" w:fill="auto"/>
            <w:vAlign w:val="center"/>
          </w:tcPr>
          <w:p w14:paraId="3CE33A3E"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5.981.746</w:t>
            </w:r>
          </w:p>
        </w:tc>
        <w:tc>
          <w:tcPr>
            <w:tcW w:w="599" w:type="pct"/>
            <w:tcBorders>
              <w:top w:val="single" w:sz="8" w:space="0" w:color="auto"/>
              <w:left w:val="nil"/>
              <w:bottom w:val="single" w:sz="12" w:space="0" w:color="auto"/>
              <w:right w:val="nil"/>
            </w:tcBorders>
            <w:shd w:val="clear" w:color="auto" w:fill="auto"/>
            <w:vAlign w:val="center"/>
          </w:tcPr>
          <w:p w14:paraId="743E3EFA"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866.360</w:t>
            </w:r>
          </w:p>
        </w:tc>
        <w:tc>
          <w:tcPr>
            <w:tcW w:w="523" w:type="pct"/>
            <w:tcBorders>
              <w:top w:val="single" w:sz="8" w:space="0" w:color="auto"/>
              <w:left w:val="nil"/>
              <w:bottom w:val="single" w:sz="12" w:space="0" w:color="auto"/>
              <w:right w:val="nil"/>
            </w:tcBorders>
            <w:shd w:val="clear" w:color="auto" w:fill="auto"/>
            <w:vAlign w:val="center"/>
          </w:tcPr>
          <w:p w14:paraId="1302F096"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2.724.577</w:t>
            </w:r>
          </w:p>
        </w:tc>
        <w:tc>
          <w:tcPr>
            <w:tcW w:w="534" w:type="pct"/>
            <w:tcBorders>
              <w:top w:val="single" w:sz="8" w:space="0" w:color="auto"/>
              <w:left w:val="nil"/>
              <w:bottom w:val="single" w:sz="12" w:space="0" w:color="auto"/>
              <w:right w:val="nil"/>
            </w:tcBorders>
            <w:shd w:val="clear" w:color="auto" w:fill="auto"/>
            <w:vAlign w:val="center"/>
          </w:tcPr>
          <w:p w14:paraId="72D47664"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4.994.504</w:t>
            </w:r>
          </w:p>
        </w:tc>
        <w:tc>
          <w:tcPr>
            <w:tcW w:w="616" w:type="pct"/>
            <w:tcBorders>
              <w:top w:val="single" w:sz="8" w:space="0" w:color="auto"/>
              <w:left w:val="nil"/>
              <w:bottom w:val="single" w:sz="12" w:space="0" w:color="auto"/>
              <w:right w:val="nil"/>
            </w:tcBorders>
            <w:shd w:val="clear" w:color="auto" w:fill="auto"/>
            <w:vAlign w:val="center"/>
          </w:tcPr>
          <w:p w14:paraId="5BCEDA9B"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12.823.635</w:t>
            </w:r>
          </w:p>
        </w:tc>
        <w:tc>
          <w:tcPr>
            <w:tcW w:w="566" w:type="pct"/>
            <w:tcBorders>
              <w:top w:val="single" w:sz="8" w:space="0" w:color="auto"/>
              <w:left w:val="nil"/>
              <w:bottom w:val="single" w:sz="12" w:space="0" w:color="auto"/>
              <w:right w:val="nil"/>
            </w:tcBorders>
            <w:shd w:val="clear" w:color="auto" w:fill="auto"/>
            <w:vAlign w:val="center"/>
          </w:tcPr>
          <w:p w14:paraId="29A544F3"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27.390.822</w:t>
            </w:r>
          </w:p>
        </w:tc>
      </w:tr>
      <w:tr w:rsidR="00F542BB" w:rsidRPr="006533FB" w14:paraId="7DDD5D9F" w14:textId="77777777" w:rsidTr="00F542BB">
        <w:tblPrEx>
          <w:tblCellMar>
            <w:left w:w="108" w:type="dxa"/>
            <w:right w:w="108" w:type="dxa"/>
          </w:tblCellMar>
        </w:tblPrEx>
        <w:trPr>
          <w:trHeight w:val="50"/>
        </w:trPr>
        <w:tc>
          <w:tcPr>
            <w:tcW w:w="1620" w:type="pct"/>
          </w:tcPr>
          <w:p w14:paraId="3D561076" w14:textId="77777777" w:rsidR="00F542BB" w:rsidRPr="006533FB" w:rsidRDefault="00F542BB" w:rsidP="00F542BB">
            <w:pPr>
              <w:pStyle w:val="Thin"/>
              <w:spacing w:line="240" w:lineRule="auto"/>
              <w:rPr>
                <w:rFonts w:asciiTheme="minorHAnsi" w:hAnsiTheme="minorHAnsi" w:cs="Arial"/>
                <w:bCs/>
                <w:sz w:val="18"/>
                <w:szCs w:val="18"/>
                <w:lang w:val="hr-HR"/>
              </w:rPr>
            </w:pPr>
          </w:p>
        </w:tc>
        <w:tc>
          <w:tcPr>
            <w:tcW w:w="542" w:type="pct"/>
            <w:tcBorders>
              <w:top w:val="single" w:sz="12" w:space="0" w:color="auto"/>
            </w:tcBorders>
            <w:vAlign w:val="bottom"/>
          </w:tcPr>
          <w:p w14:paraId="29C2471A" w14:textId="77777777" w:rsidR="00F542BB" w:rsidRPr="006533FB" w:rsidRDefault="00F542BB" w:rsidP="00F542BB">
            <w:pPr>
              <w:pStyle w:val="Thin"/>
              <w:spacing w:line="240" w:lineRule="auto"/>
              <w:jc w:val="right"/>
              <w:rPr>
                <w:rFonts w:asciiTheme="minorHAnsi" w:hAnsiTheme="minorHAnsi" w:cs="Arial"/>
                <w:bCs/>
                <w:sz w:val="18"/>
                <w:szCs w:val="18"/>
                <w:lang w:val="hr-HR"/>
              </w:rPr>
            </w:pPr>
          </w:p>
        </w:tc>
        <w:tc>
          <w:tcPr>
            <w:tcW w:w="599" w:type="pct"/>
            <w:tcBorders>
              <w:top w:val="single" w:sz="12" w:space="0" w:color="auto"/>
            </w:tcBorders>
            <w:vAlign w:val="bottom"/>
          </w:tcPr>
          <w:p w14:paraId="1D2E67D2" w14:textId="77777777" w:rsidR="00F542BB" w:rsidRPr="006533FB" w:rsidRDefault="00F542BB" w:rsidP="00F542BB">
            <w:pPr>
              <w:pStyle w:val="Thin"/>
              <w:spacing w:line="240" w:lineRule="auto"/>
              <w:jc w:val="right"/>
              <w:rPr>
                <w:rFonts w:asciiTheme="minorHAnsi" w:hAnsiTheme="minorHAnsi" w:cs="Arial"/>
                <w:bCs/>
                <w:sz w:val="18"/>
                <w:szCs w:val="18"/>
                <w:lang w:val="hr-HR"/>
              </w:rPr>
            </w:pPr>
          </w:p>
        </w:tc>
        <w:tc>
          <w:tcPr>
            <w:tcW w:w="523" w:type="pct"/>
            <w:tcBorders>
              <w:top w:val="single" w:sz="12" w:space="0" w:color="auto"/>
            </w:tcBorders>
            <w:vAlign w:val="bottom"/>
          </w:tcPr>
          <w:p w14:paraId="18519FAF" w14:textId="77777777" w:rsidR="00F542BB" w:rsidRPr="006533FB" w:rsidRDefault="00F542BB" w:rsidP="00F542BB">
            <w:pPr>
              <w:pStyle w:val="Thin"/>
              <w:spacing w:line="240" w:lineRule="auto"/>
              <w:jc w:val="right"/>
              <w:rPr>
                <w:rFonts w:asciiTheme="minorHAnsi" w:hAnsiTheme="minorHAnsi" w:cs="Arial"/>
                <w:bCs/>
                <w:sz w:val="18"/>
                <w:szCs w:val="18"/>
                <w:lang w:val="hr-HR"/>
              </w:rPr>
            </w:pPr>
          </w:p>
        </w:tc>
        <w:tc>
          <w:tcPr>
            <w:tcW w:w="534" w:type="pct"/>
            <w:tcBorders>
              <w:top w:val="single" w:sz="12" w:space="0" w:color="auto"/>
            </w:tcBorders>
            <w:vAlign w:val="bottom"/>
          </w:tcPr>
          <w:p w14:paraId="0E67BF7D" w14:textId="77777777" w:rsidR="00F542BB" w:rsidRPr="006533FB" w:rsidRDefault="00F542BB" w:rsidP="00F542BB">
            <w:pPr>
              <w:pStyle w:val="Thin"/>
              <w:spacing w:line="240" w:lineRule="auto"/>
              <w:jc w:val="right"/>
              <w:rPr>
                <w:rFonts w:asciiTheme="minorHAnsi" w:hAnsiTheme="minorHAnsi" w:cs="Arial"/>
                <w:bCs/>
                <w:sz w:val="18"/>
                <w:szCs w:val="18"/>
                <w:lang w:val="hr-HR"/>
              </w:rPr>
            </w:pPr>
          </w:p>
        </w:tc>
        <w:tc>
          <w:tcPr>
            <w:tcW w:w="616" w:type="pct"/>
            <w:tcBorders>
              <w:top w:val="single" w:sz="12" w:space="0" w:color="auto"/>
            </w:tcBorders>
            <w:vAlign w:val="bottom"/>
          </w:tcPr>
          <w:p w14:paraId="3D29D9C1" w14:textId="77777777" w:rsidR="00F542BB" w:rsidRPr="006533FB" w:rsidRDefault="00F542BB" w:rsidP="00F542BB">
            <w:pPr>
              <w:pStyle w:val="Thin"/>
              <w:spacing w:line="240" w:lineRule="auto"/>
              <w:jc w:val="right"/>
              <w:rPr>
                <w:rFonts w:asciiTheme="minorHAnsi" w:hAnsiTheme="minorHAnsi" w:cs="Arial"/>
                <w:bCs/>
                <w:sz w:val="18"/>
                <w:szCs w:val="18"/>
                <w:lang w:val="hr-HR"/>
              </w:rPr>
            </w:pPr>
          </w:p>
        </w:tc>
        <w:tc>
          <w:tcPr>
            <w:tcW w:w="566" w:type="pct"/>
            <w:tcBorders>
              <w:top w:val="single" w:sz="12" w:space="0" w:color="auto"/>
            </w:tcBorders>
            <w:vAlign w:val="bottom"/>
          </w:tcPr>
          <w:p w14:paraId="09939590" w14:textId="77777777" w:rsidR="00F542BB" w:rsidRPr="006533FB" w:rsidRDefault="00F542BB" w:rsidP="00F542BB">
            <w:pPr>
              <w:pStyle w:val="Thin"/>
              <w:spacing w:line="240" w:lineRule="auto"/>
              <w:jc w:val="right"/>
              <w:rPr>
                <w:rFonts w:asciiTheme="minorHAnsi" w:hAnsiTheme="minorHAnsi" w:cs="Arial"/>
                <w:bCs/>
                <w:sz w:val="18"/>
                <w:szCs w:val="18"/>
                <w:lang w:val="hr-HR"/>
              </w:rPr>
            </w:pPr>
          </w:p>
        </w:tc>
      </w:tr>
      <w:tr w:rsidR="00F542BB" w:rsidRPr="006533FB" w14:paraId="747DEF85" w14:textId="77777777" w:rsidTr="00F542BB">
        <w:trPr>
          <w:trHeight w:val="171"/>
        </w:trPr>
        <w:tc>
          <w:tcPr>
            <w:tcW w:w="1620" w:type="pct"/>
          </w:tcPr>
          <w:p w14:paraId="305D9253" w14:textId="77777777" w:rsidR="00F542BB" w:rsidRPr="006533FB" w:rsidRDefault="00F542BB" w:rsidP="00F542BB">
            <w:pPr>
              <w:pStyle w:val="TT"/>
              <w:spacing w:line="240" w:lineRule="auto"/>
              <w:rPr>
                <w:rFonts w:asciiTheme="minorHAnsi" w:hAnsiTheme="minorHAnsi" w:cs="Arial"/>
                <w:b/>
                <w:bCs/>
                <w:sz w:val="18"/>
                <w:szCs w:val="18"/>
                <w:lang w:val="hr-HR"/>
              </w:rPr>
            </w:pPr>
            <w:r w:rsidRPr="006533FB">
              <w:rPr>
                <w:rFonts w:asciiTheme="minorHAnsi" w:hAnsiTheme="minorHAnsi" w:cs="Arial"/>
                <w:b/>
                <w:bCs/>
                <w:sz w:val="18"/>
                <w:szCs w:val="18"/>
                <w:lang w:val="hr-HR"/>
              </w:rPr>
              <w:t>Obveze</w:t>
            </w:r>
          </w:p>
        </w:tc>
        <w:tc>
          <w:tcPr>
            <w:tcW w:w="542" w:type="pct"/>
            <w:vAlign w:val="bottom"/>
          </w:tcPr>
          <w:p w14:paraId="10C353D8" w14:textId="77777777" w:rsidR="00F542BB" w:rsidRPr="006533FB" w:rsidRDefault="00F542BB" w:rsidP="00F542BB">
            <w:pPr>
              <w:pStyle w:val="TT"/>
              <w:tabs>
                <w:tab w:val="clear" w:pos="1202"/>
              </w:tabs>
              <w:spacing w:line="240" w:lineRule="auto"/>
              <w:jc w:val="right"/>
              <w:rPr>
                <w:rFonts w:asciiTheme="minorHAnsi" w:hAnsiTheme="minorHAnsi" w:cs="Arial"/>
                <w:b/>
                <w:bCs/>
                <w:spacing w:val="-2"/>
                <w:sz w:val="18"/>
                <w:szCs w:val="18"/>
                <w:lang w:val="hr-HR"/>
              </w:rPr>
            </w:pPr>
          </w:p>
        </w:tc>
        <w:tc>
          <w:tcPr>
            <w:tcW w:w="599" w:type="pct"/>
            <w:vAlign w:val="bottom"/>
          </w:tcPr>
          <w:p w14:paraId="30744935" w14:textId="77777777" w:rsidR="00F542BB" w:rsidRPr="006533FB" w:rsidRDefault="00F542BB" w:rsidP="00F542BB">
            <w:pPr>
              <w:pStyle w:val="TT"/>
              <w:tabs>
                <w:tab w:val="clear" w:pos="1202"/>
              </w:tabs>
              <w:spacing w:line="240" w:lineRule="auto"/>
              <w:jc w:val="right"/>
              <w:rPr>
                <w:rFonts w:asciiTheme="minorHAnsi" w:hAnsiTheme="minorHAnsi" w:cs="Arial"/>
                <w:b/>
                <w:bCs/>
                <w:spacing w:val="-2"/>
                <w:sz w:val="18"/>
                <w:szCs w:val="18"/>
                <w:lang w:val="hr-HR"/>
              </w:rPr>
            </w:pPr>
          </w:p>
        </w:tc>
        <w:tc>
          <w:tcPr>
            <w:tcW w:w="523" w:type="pct"/>
            <w:vAlign w:val="bottom"/>
          </w:tcPr>
          <w:p w14:paraId="78293185" w14:textId="77777777" w:rsidR="00F542BB" w:rsidRPr="006533FB" w:rsidRDefault="00F542BB" w:rsidP="00F542BB">
            <w:pPr>
              <w:pStyle w:val="TT"/>
              <w:tabs>
                <w:tab w:val="clear" w:pos="1202"/>
              </w:tabs>
              <w:spacing w:line="240" w:lineRule="auto"/>
              <w:jc w:val="right"/>
              <w:rPr>
                <w:rFonts w:asciiTheme="minorHAnsi" w:hAnsiTheme="minorHAnsi" w:cs="Arial"/>
                <w:b/>
                <w:bCs/>
                <w:spacing w:val="-2"/>
                <w:sz w:val="18"/>
                <w:szCs w:val="18"/>
                <w:lang w:val="hr-HR"/>
              </w:rPr>
            </w:pPr>
          </w:p>
        </w:tc>
        <w:tc>
          <w:tcPr>
            <w:tcW w:w="534" w:type="pct"/>
            <w:vAlign w:val="bottom"/>
          </w:tcPr>
          <w:p w14:paraId="5F5DAF27" w14:textId="77777777" w:rsidR="00F542BB" w:rsidRPr="006533FB" w:rsidRDefault="00F542BB" w:rsidP="00F542BB">
            <w:pPr>
              <w:pStyle w:val="TT"/>
              <w:tabs>
                <w:tab w:val="clear" w:pos="1202"/>
              </w:tabs>
              <w:spacing w:line="240" w:lineRule="auto"/>
              <w:jc w:val="right"/>
              <w:rPr>
                <w:rFonts w:asciiTheme="minorHAnsi" w:hAnsiTheme="minorHAnsi" w:cs="Arial"/>
                <w:b/>
                <w:bCs/>
                <w:spacing w:val="-2"/>
                <w:sz w:val="18"/>
                <w:szCs w:val="18"/>
                <w:lang w:val="hr-HR"/>
              </w:rPr>
            </w:pPr>
          </w:p>
        </w:tc>
        <w:tc>
          <w:tcPr>
            <w:tcW w:w="616" w:type="pct"/>
            <w:vAlign w:val="bottom"/>
          </w:tcPr>
          <w:p w14:paraId="2815647B" w14:textId="77777777" w:rsidR="00F542BB" w:rsidRPr="006533FB" w:rsidRDefault="00F542BB" w:rsidP="00F542BB">
            <w:pPr>
              <w:pStyle w:val="TT"/>
              <w:tabs>
                <w:tab w:val="clear" w:pos="1202"/>
              </w:tabs>
              <w:spacing w:line="240" w:lineRule="auto"/>
              <w:jc w:val="right"/>
              <w:rPr>
                <w:rFonts w:asciiTheme="minorHAnsi" w:hAnsiTheme="minorHAnsi" w:cs="Arial"/>
                <w:b/>
                <w:bCs/>
                <w:spacing w:val="-2"/>
                <w:sz w:val="18"/>
                <w:szCs w:val="18"/>
                <w:lang w:val="hr-HR"/>
              </w:rPr>
            </w:pPr>
          </w:p>
        </w:tc>
        <w:tc>
          <w:tcPr>
            <w:tcW w:w="566" w:type="pct"/>
            <w:vAlign w:val="bottom"/>
          </w:tcPr>
          <w:p w14:paraId="57BC7915" w14:textId="77777777" w:rsidR="00F542BB" w:rsidRPr="006533FB" w:rsidRDefault="00F542BB" w:rsidP="00F542BB">
            <w:pPr>
              <w:pStyle w:val="TT"/>
              <w:tabs>
                <w:tab w:val="clear" w:pos="1202"/>
              </w:tabs>
              <w:spacing w:line="240" w:lineRule="auto"/>
              <w:jc w:val="right"/>
              <w:rPr>
                <w:rFonts w:asciiTheme="minorHAnsi" w:hAnsiTheme="minorHAnsi" w:cs="Arial"/>
                <w:b/>
                <w:bCs/>
                <w:sz w:val="18"/>
                <w:szCs w:val="18"/>
                <w:lang w:val="hr-HR"/>
              </w:rPr>
            </w:pPr>
          </w:p>
        </w:tc>
      </w:tr>
      <w:tr w:rsidR="00F542BB" w:rsidRPr="006533FB" w14:paraId="354B853D" w14:textId="77777777" w:rsidTr="00312975">
        <w:trPr>
          <w:trHeight w:val="171"/>
        </w:trPr>
        <w:tc>
          <w:tcPr>
            <w:tcW w:w="1620" w:type="pct"/>
          </w:tcPr>
          <w:p w14:paraId="1E5AB9CE"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Obveze po depozitima</w:t>
            </w:r>
          </w:p>
        </w:tc>
        <w:tc>
          <w:tcPr>
            <w:tcW w:w="542" w:type="pct"/>
            <w:tcBorders>
              <w:top w:val="nil"/>
              <w:left w:val="nil"/>
              <w:bottom w:val="nil"/>
              <w:right w:val="nil"/>
            </w:tcBorders>
            <w:shd w:val="clear" w:color="auto" w:fill="auto"/>
            <w:vAlign w:val="bottom"/>
          </w:tcPr>
          <w:p w14:paraId="1996CA50"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75.581</w:t>
            </w:r>
          </w:p>
        </w:tc>
        <w:tc>
          <w:tcPr>
            <w:tcW w:w="599" w:type="pct"/>
            <w:tcBorders>
              <w:top w:val="nil"/>
              <w:left w:val="nil"/>
              <w:bottom w:val="nil"/>
              <w:right w:val="nil"/>
            </w:tcBorders>
            <w:shd w:val="clear" w:color="auto" w:fill="auto"/>
            <w:vAlign w:val="bottom"/>
          </w:tcPr>
          <w:p w14:paraId="48DC1490"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bottom"/>
          </w:tcPr>
          <w:p w14:paraId="3E0DA650"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12.687</w:t>
            </w:r>
          </w:p>
        </w:tc>
        <w:tc>
          <w:tcPr>
            <w:tcW w:w="534" w:type="pct"/>
            <w:tcBorders>
              <w:top w:val="nil"/>
              <w:left w:val="nil"/>
              <w:bottom w:val="nil"/>
              <w:right w:val="nil"/>
            </w:tcBorders>
            <w:shd w:val="clear" w:color="auto" w:fill="auto"/>
            <w:vAlign w:val="bottom"/>
          </w:tcPr>
          <w:p w14:paraId="2CB22846"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46.407</w:t>
            </w:r>
          </w:p>
        </w:tc>
        <w:tc>
          <w:tcPr>
            <w:tcW w:w="616" w:type="pct"/>
            <w:tcBorders>
              <w:top w:val="nil"/>
              <w:left w:val="nil"/>
              <w:bottom w:val="nil"/>
              <w:right w:val="nil"/>
            </w:tcBorders>
            <w:shd w:val="clear" w:color="auto" w:fill="auto"/>
            <w:vAlign w:val="bottom"/>
          </w:tcPr>
          <w:p w14:paraId="49BFDDC5"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8.169</w:t>
            </w:r>
          </w:p>
        </w:tc>
        <w:tc>
          <w:tcPr>
            <w:tcW w:w="566" w:type="pct"/>
            <w:tcBorders>
              <w:top w:val="nil"/>
              <w:left w:val="nil"/>
              <w:bottom w:val="nil"/>
              <w:right w:val="nil"/>
            </w:tcBorders>
            <w:shd w:val="clear" w:color="auto" w:fill="auto"/>
            <w:vAlign w:val="bottom"/>
          </w:tcPr>
          <w:p w14:paraId="60ABAE53"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142.844</w:t>
            </w:r>
          </w:p>
        </w:tc>
      </w:tr>
      <w:tr w:rsidR="00F542BB" w:rsidRPr="006533FB" w14:paraId="113C48E3" w14:textId="77777777" w:rsidTr="00312975">
        <w:trPr>
          <w:trHeight w:val="162"/>
        </w:trPr>
        <w:tc>
          <w:tcPr>
            <w:tcW w:w="1620" w:type="pct"/>
          </w:tcPr>
          <w:p w14:paraId="2D433BE5"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Obveze po kreditima</w:t>
            </w:r>
          </w:p>
        </w:tc>
        <w:tc>
          <w:tcPr>
            <w:tcW w:w="542" w:type="pct"/>
            <w:tcBorders>
              <w:top w:val="nil"/>
              <w:left w:val="nil"/>
              <w:bottom w:val="nil"/>
              <w:right w:val="nil"/>
            </w:tcBorders>
            <w:shd w:val="clear" w:color="auto" w:fill="auto"/>
            <w:vAlign w:val="bottom"/>
          </w:tcPr>
          <w:p w14:paraId="075D85A7"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355.456</w:t>
            </w:r>
          </w:p>
        </w:tc>
        <w:tc>
          <w:tcPr>
            <w:tcW w:w="599" w:type="pct"/>
            <w:tcBorders>
              <w:top w:val="nil"/>
              <w:left w:val="nil"/>
              <w:bottom w:val="nil"/>
              <w:right w:val="nil"/>
            </w:tcBorders>
            <w:shd w:val="clear" w:color="auto" w:fill="auto"/>
            <w:vAlign w:val="bottom"/>
          </w:tcPr>
          <w:p w14:paraId="29DD19C2"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237.339</w:t>
            </w:r>
          </w:p>
        </w:tc>
        <w:tc>
          <w:tcPr>
            <w:tcW w:w="523" w:type="pct"/>
            <w:tcBorders>
              <w:top w:val="nil"/>
              <w:left w:val="nil"/>
              <w:bottom w:val="nil"/>
              <w:right w:val="nil"/>
            </w:tcBorders>
            <w:shd w:val="clear" w:color="auto" w:fill="auto"/>
            <w:vAlign w:val="bottom"/>
          </w:tcPr>
          <w:p w14:paraId="2231E2E6"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1.017.892</w:t>
            </w:r>
          </w:p>
        </w:tc>
        <w:tc>
          <w:tcPr>
            <w:tcW w:w="534" w:type="pct"/>
            <w:tcBorders>
              <w:top w:val="nil"/>
              <w:left w:val="nil"/>
              <w:bottom w:val="nil"/>
              <w:right w:val="nil"/>
            </w:tcBorders>
            <w:shd w:val="clear" w:color="auto" w:fill="auto"/>
            <w:vAlign w:val="bottom"/>
          </w:tcPr>
          <w:p w14:paraId="6EDA469A"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3.060.113</w:t>
            </w:r>
          </w:p>
        </w:tc>
        <w:tc>
          <w:tcPr>
            <w:tcW w:w="616" w:type="pct"/>
            <w:tcBorders>
              <w:top w:val="nil"/>
              <w:left w:val="nil"/>
              <w:bottom w:val="nil"/>
              <w:right w:val="nil"/>
            </w:tcBorders>
            <w:shd w:val="clear" w:color="auto" w:fill="auto"/>
            <w:vAlign w:val="bottom"/>
          </w:tcPr>
          <w:p w14:paraId="46D372DD"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8.720.949</w:t>
            </w:r>
          </w:p>
        </w:tc>
        <w:tc>
          <w:tcPr>
            <w:tcW w:w="566" w:type="pct"/>
            <w:tcBorders>
              <w:top w:val="nil"/>
              <w:left w:val="nil"/>
              <w:bottom w:val="nil"/>
              <w:right w:val="nil"/>
            </w:tcBorders>
            <w:shd w:val="clear" w:color="auto" w:fill="auto"/>
            <w:vAlign w:val="bottom"/>
          </w:tcPr>
          <w:p w14:paraId="38EA57EF"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13.391.749</w:t>
            </w:r>
          </w:p>
        </w:tc>
      </w:tr>
      <w:tr w:rsidR="00F542BB" w:rsidRPr="006533FB" w14:paraId="056E9DA6" w14:textId="77777777" w:rsidTr="00312975">
        <w:trPr>
          <w:trHeight w:val="334"/>
        </w:trPr>
        <w:tc>
          <w:tcPr>
            <w:tcW w:w="1620" w:type="pct"/>
          </w:tcPr>
          <w:p w14:paraId="50C4F6DE"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Obveze za izdane dugoročne vrijednosne papire</w:t>
            </w:r>
          </w:p>
        </w:tc>
        <w:tc>
          <w:tcPr>
            <w:tcW w:w="542" w:type="pct"/>
            <w:tcBorders>
              <w:top w:val="nil"/>
              <w:left w:val="nil"/>
              <w:bottom w:val="nil"/>
              <w:right w:val="nil"/>
            </w:tcBorders>
            <w:shd w:val="clear" w:color="auto" w:fill="auto"/>
            <w:vAlign w:val="bottom"/>
          </w:tcPr>
          <w:p w14:paraId="2F3F8AA6"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bottom"/>
          </w:tcPr>
          <w:p w14:paraId="33B6E0A4"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95.932</w:t>
            </w:r>
          </w:p>
        </w:tc>
        <w:tc>
          <w:tcPr>
            <w:tcW w:w="523" w:type="pct"/>
            <w:tcBorders>
              <w:top w:val="nil"/>
              <w:left w:val="nil"/>
              <w:bottom w:val="nil"/>
              <w:right w:val="nil"/>
            </w:tcBorders>
            <w:shd w:val="clear" w:color="auto" w:fill="auto"/>
            <w:vAlign w:val="bottom"/>
          </w:tcPr>
          <w:p w14:paraId="09D4C15B"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1.888.837</w:t>
            </w:r>
          </w:p>
        </w:tc>
        <w:tc>
          <w:tcPr>
            <w:tcW w:w="534" w:type="pct"/>
            <w:tcBorders>
              <w:top w:val="nil"/>
              <w:left w:val="nil"/>
              <w:bottom w:val="nil"/>
              <w:right w:val="nil"/>
            </w:tcBorders>
            <w:shd w:val="clear" w:color="auto" w:fill="auto"/>
            <w:vAlign w:val="bottom"/>
          </w:tcPr>
          <w:p w14:paraId="420A885D"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291E3C7E"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1.120.800</w:t>
            </w:r>
          </w:p>
        </w:tc>
        <w:tc>
          <w:tcPr>
            <w:tcW w:w="566" w:type="pct"/>
            <w:tcBorders>
              <w:top w:val="nil"/>
              <w:left w:val="nil"/>
              <w:bottom w:val="nil"/>
              <w:right w:val="nil"/>
            </w:tcBorders>
            <w:shd w:val="clear" w:color="auto" w:fill="auto"/>
            <w:vAlign w:val="bottom"/>
          </w:tcPr>
          <w:p w14:paraId="0803660C"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3.105.569</w:t>
            </w:r>
          </w:p>
        </w:tc>
      </w:tr>
      <w:tr w:rsidR="00F542BB" w:rsidRPr="006533FB" w14:paraId="74D44F7F" w14:textId="77777777" w:rsidTr="00312975">
        <w:trPr>
          <w:trHeight w:val="162"/>
        </w:trPr>
        <w:tc>
          <w:tcPr>
            <w:tcW w:w="1620" w:type="pct"/>
          </w:tcPr>
          <w:p w14:paraId="7FA2A11F"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pacing w:val="-2"/>
                <w:sz w:val="18"/>
                <w:szCs w:val="18"/>
                <w:lang w:val="hr-HR"/>
              </w:rPr>
              <w:t>Ostale obveze</w:t>
            </w:r>
          </w:p>
        </w:tc>
        <w:tc>
          <w:tcPr>
            <w:tcW w:w="542" w:type="pct"/>
            <w:tcBorders>
              <w:top w:val="nil"/>
              <w:left w:val="nil"/>
              <w:bottom w:val="nil"/>
              <w:right w:val="nil"/>
            </w:tcBorders>
            <w:shd w:val="clear" w:color="auto" w:fill="auto"/>
            <w:vAlign w:val="bottom"/>
          </w:tcPr>
          <w:p w14:paraId="1D0C2ED4"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151.186</w:t>
            </w:r>
          </w:p>
        </w:tc>
        <w:tc>
          <w:tcPr>
            <w:tcW w:w="599" w:type="pct"/>
            <w:tcBorders>
              <w:top w:val="nil"/>
              <w:left w:val="nil"/>
              <w:bottom w:val="nil"/>
              <w:right w:val="nil"/>
            </w:tcBorders>
            <w:shd w:val="clear" w:color="auto" w:fill="auto"/>
            <w:vAlign w:val="bottom"/>
          </w:tcPr>
          <w:p w14:paraId="776D4B8F"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29.918</w:t>
            </w:r>
          </w:p>
        </w:tc>
        <w:tc>
          <w:tcPr>
            <w:tcW w:w="523" w:type="pct"/>
            <w:tcBorders>
              <w:top w:val="nil"/>
              <w:left w:val="nil"/>
              <w:bottom w:val="nil"/>
              <w:right w:val="nil"/>
            </w:tcBorders>
            <w:shd w:val="clear" w:color="auto" w:fill="auto"/>
            <w:vAlign w:val="bottom"/>
          </w:tcPr>
          <w:p w14:paraId="36F8B745"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105.330</w:t>
            </w:r>
          </w:p>
        </w:tc>
        <w:tc>
          <w:tcPr>
            <w:tcW w:w="534" w:type="pct"/>
            <w:tcBorders>
              <w:top w:val="nil"/>
              <w:left w:val="nil"/>
              <w:bottom w:val="nil"/>
              <w:right w:val="nil"/>
            </w:tcBorders>
            <w:shd w:val="clear" w:color="auto" w:fill="auto"/>
            <w:vAlign w:val="bottom"/>
          </w:tcPr>
          <w:p w14:paraId="7E9B9187"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194.459</w:t>
            </w:r>
          </w:p>
        </w:tc>
        <w:tc>
          <w:tcPr>
            <w:tcW w:w="616" w:type="pct"/>
            <w:tcBorders>
              <w:top w:val="nil"/>
              <w:left w:val="nil"/>
              <w:bottom w:val="nil"/>
              <w:right w:val="nil"/>
            </w:tcBorders>
            <w:shd w:val="clear" w:color="auto" w:fill="auto"/>
            <w:vAlign w:val="bottom"/>
          </w:tcPr>
          <w:p w14:paraId="312AE27A"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227.059</w:t>
            </w:r>
          </w:p>
        </w:tc>
        <w:tc>
          <w:tcPr>
            <w:tcW w:w="566" w:type="pct"/>
            <w:tcBorders>
              <w:top w:val="nil"/>
              <w:left w:val="nil"/>
              <w:bottom w:val="nil"/>
              <w:right w:val="nil"/>
            </w:tcBorders>
            <w:shd w:val="clear" w:color="auto" w:fill="auto"/>
            <w:vAlign w:val="bottom"/>
          </w:tcPr>
          <w:p w14:paraId="553F34AA"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707.952</w:t>
            </w:r>
          </w:p>
        </w:tc>
      </w:tr>
      <w:tr w:rsidR="00F542BB" w:rsidRPr="006533FB" w14:paraId="2872ED4F" w14:textId="77777777" w:rsidTr="00F542BB">
        <w:trPr>
          <w:trHeight w:val="162"/>
        </w:trPr>
        <w:tc>
          <w:tcPr>
            <w:tcW w:w="1620" w:type="pct"/>
          </w:tcPr>
          <w:p w14:paraId="0FFAB101" w14:textId="77777777" w:rsidR="00F542BB" w:rsidRPr="006533FB" w:rsidRDefault="00F542BB" w:rsidP="00F542BB">
            <w:pPr>
              <w:pStyle w:val="Tot"/>
              <w:spacing w:line="240" w:lineRule="auto"/>
              <w:rPr>
                <w:rFonts w:asciiTheme="minorHAnsi" w:hAnsiTheme="minorHAnsi" w:cs="Arial"/>
                <w:b/>
                <w:bCs/>
                <w:sz w:val="18"/>
                <w:szCs w:val="18"/>
                <w:lang w:val="hr-HR"/>
              </w:rPr>
            </w:pPr>
            <w:r w:rsidRPr="006533FB">
              <w:rPr>
                <w:rFonts w:asciiTheme="minorHAnsi" w:hAnsiTheme="minorHAnsi" w:cs="Arial"/>
                <w:b/>
                <w:bCs/>
                <w:sz w:val="18"/>
                <w:szCs w:val="18"/>
                <w:lang w:val="hr-HR"/>
              </w:rPr>
              <w:t>Ukupne obveze</w:t>
            </w:r>
          </w:p>
        </w:tc>
        <w:tc>
          <w:tcPr>
            <w:tcW w:w="542" w:type="pct"/>
            <w:tcBorders>
              <w:top w:val="single" w:sz="4" w:space="0" w:color="auto"/>
              <w:left w:val="nil"/>
              <w:bottom w:val="single" w:sz="8" w:space="0" w:color="auto"/>
              <w:right w:val="nil"/>
            </w:tcBorders>
            <w:shd w:val="clear" w:color="auto" w:fill="auto"/>
            <w:vAlign w:val="center"/>
          </w:tcPr>
          <w:p w14:paraId="1F651C34"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582.223</w:t>
            </w:r>
          </w:p>
        </w:tc>
        <w:tc>
          <w:tcPr>
            <w:tcW w:w="599" w:type="pct"/>
            <w:tcBorders>
              <w:top w:val="single" w:sz="4" w:space="0" w:color="auto"/>
              <w:left w:val="nil"/>
              <w:bottom w:val="single" w:sz="8" w:space="0" w:color="auto"/>
              <w:right w:val="nil"/>
            </w:tcBorders>
            <w:shd w:val="clear" w:color="auto" w:fill="auto"/>
            <w:vAlign w:val="center"/>
          </w:tcPr>
          <w:p w14:paraId="04F7AA25"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363.189</w:t>
            </w:r>
          </w:p>
        </w:tc>
        <w:tc>
          <w:tcPr>
            <w:tcW w:w="523" w:type="pct"/>
            <w:tcBorders>
              <w:top w:val="single" w:sz="4" w:space="0" w:color="auto"/>
              <w:left w:val="nil"/>
              <w:bottom w:val="single" w:sz="8" w:space="0" w:color="auto"/>
              <w:right w:val="nil"/>
            </w:tcBorders>
            <w:shd w:val="clear" w:color="auto" w:fill="auto"/>
            <w:vAlign w:val="center"/>
          </w:tcPr>
          <w:p w14:paraId="2C470A36"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3.024.746</w:t>
            </w:r>
          </w:p>
        </w:tc>
        <w:tc>
          <w:tcPr>
            <w:tcW w:w="534" w:type="pct"/>
            <w:tcBorders>
              <w:top w:val="single" w:sz="4" w:space="0" w:color="auto"/>
              <w:left w:val="nil"/>
              <w:bottom w:val="single" w:sz="8" w:space="0" w:color="auto"/>
              <w:right w:val="nil"/>
            </w:tcBorders>
            <w:shd w:val="clear" w:color="auto" w:fill="auto"/>
            <w:vAlign w:val="center"/>
          </w:tcPr>
          <w:p w14:paraId="3C5F7902"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3.300.979</w:t>
            </w:r>
          </w:p>
        </w:tc>
        <w:tc>
          <w:tcPr>
            <w:tcW w:w="616" w:type="pct"/>
            <w:tcBorders>
              <w:top w:val="single" w:sz="4" w:space="0" w:color="auto"/>
              <w:left w:val="nil"/>
              <w:bottom w:val="single" w:sz="8" w:space="0" w:color="auto"/>
              <w:right w:val="nil"/>
            </w:tcBorders>
            <w:shd w:val="clear" w:color="auto" w:fill="auto"/>
            <w:vAlign w:val="center"/>
          </w:tcPr>
          <w:p w14:paraId="35B20ED4"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10.076.977</w:t>
            </w:r>
          </w:p>
        </w:tc>
        <w:tc>
          <w:tcPr>
            <w:tcW w:w="566" w:type="pct"/>
            <w:tcBorders>
              <w:top w:val="single" w:sz="4" w:space="0" w:color="auto"/>
              <w:left w:val="nil"/>
              <w:bottom w:val="single" w:sz="8" w:space="0" w:color="auto"/>
              <w:right w:val="nil"/>
            </w:tcBorders>
            <w:shd w:val="clear" w:color="auto" w:fill="auto"/>
            <w:vAlign w:val="center"/>
          </w:tcPr>
          <w:p w14:paraId="0AEFB156"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17.348.114</w:t>
            </w:r>
          </w:p>
        </w:tc>
      </w:tr>
      <w:tr w:rsidR="00F542BB" w:rsidRPr="006533FB" w14:paraId="6FDA2143" w14:textId="77777777" w:rsidTr="00F542BB">
        <w:trPr>
          <w:trHeight w:val="47"/>
        </w:trPr>
        <w:tc>
          <w:tcPr>
            <w:tcW w:w="1620" w:type="pct"/>
          </w:tcPr>
          <w:p w14:paraId="5C06CAF6" w14:textId="77777777" w:rsidR="00F542BB" w:rsidRPr="006533FB" w:rsidRDefault="00F542BB" w:rsidP="00F542BB">
            <w:pPr>
              <w:pStyle w:val="Thin"/>
              <w:spacing w:line="240" w:lineRule="auto"/>
              <w:rPr>
                <w:rFonts w:asciiTheme="minorHAnsi" w:hAnsiTheme="minorHAnsi" w:cs="Arial"/>
                <w:sz w:val="18"/>
                <w:szCs w:val="18"/>
                <w:lang w:val="hr-HR"/>
              </w:rPr>
            </w:pPr>
          </w:p>
        </w:tc>
        <w:tc>
          <w:tcPr>
            <w:tcW w:w="542" w:type="pct"/>
            <w:tcBorders>
              <w:top w:val="single" w:sz="12" w:space="0" w:color="auto"/>
            </w:tcBorders>
            <w:vAlign w:val="bottom"/>
          </w:tcPr>
          <w:p w14:paraId="0BA5225A" w14:textId="77777777" w:rsidR="00F542BB" w:rsidRPr="006533FB" w:rsidRDefault="00F542BB" w:rsidP="00F542BB">
            <w:pPr>
              <w:pStyle w:val="Thin"/>
              <w:spacing w:line="240" w:lineRule="auto"/>
              <w:jc w:val="right"/>
              <w:rPr>
                <w:rFonts w:asciiTheme="minorHAnsi" w:hAnsiTheme="minorHAnsi" w:cs="Arial"/>
                <w:spacing w:val="-2"/>
                <w:sz w:val="18"/>
                <w:szCs w:val="18"/>
                <w:lang w:val="hr-HR"/>
              </w:rPr>
            </w:pPr>
          </w:p>
        </w:tc>
        <w:tc>
          <w:tcPr>
            <w:tcW w:w="599" w:type="pct"/>
            <w:tcBorders>
              <w:top w:val="single" w:sz="12" w:space="0" w:color="auto"/>
            </w:tcBorders>
            <w:vAlign w:val="bottom"/>
          </w:tcPr>
          <w:p w14:paraId="59238826" w14:textId="77777777" w:rsidR="00F542BB" w:rsidRPr="006533FB" w:rsidRDefault="00F542BB" w:rsidP="00F542BB">
            <w:pPr>
              <w:pStyle w:val="Thin"/>
              <w:spacing w:line="240" w:lineRule="auto"/>
              <w:jc w:val="right"/>
              <w:rPr>
                <w:rFonts w:asciiTheme="minorHAnsi" w:hAnsiTheme="minorHAnsi" w:cs="Arial"/>
                <w:spacing w:val="-2"/>
                <w:sz w:val="18"/>
                <w:szCs w:val="18"/>
                <w:lang w:val="hr-HR"/>
              </w:rPr>
            </w:pPr>
          </w:p>
        </w:tc>
        <w:tc>
          <w:tcPr>
            <w:tcW w:w="523" w:type="pct"/>
            <w:tcBorders>
              <w:top w:val="single" w:sz="12" w:space="0" w:color="auto"/>
            </w:tcBorders>
            <w:vAlign w:val="bottom"/>
          </w:tcPr>
          <w:p w14:paraId="432AEF26" w14:textId="77777777" w:rsidR="00F542BB" w:rsidRPr="006533FB" w:rsidRDefault="00F542BB" w:rsidP="00F542BB">
            <w:pPr>
              <w:pStyle w:val="Thin"/>
              <w:spacing w:line="240" w:lineRule="auto"/>
              <w:jc w:val="right"/>
              <w:rPr>
                <w:rFonts w:asciiTheme="minorHAnsi" w:hAnsiTheme="minorHAnsi" w:cs="Arial"/>
                <w:spacing w:val="-2"/>
                <w:sz w:val="18"/>
                <w:szCs w:val="18"/>
                <w:lang w:val="hr-HR"/>
              </w:rPr>
            </w:pPr>
          </w:p>
        </w:tc>
        <w:tc>
          <w:tcPr>
            <w:tcW w:w="534" w:type="pct"/>
            <w:tcBorders>
              <w:top w:val="single" w:sz="12" w:space="0" w:color="auto"/>
            </w:tcBorders>
            <w:vAlign w:val="bottom"/>
          </w:tcPr>
          <w:p w14:paraId="61255A5F" w14:textId="77777777" w:rsidR="00F542BB" w:rsidRPr="006533FB" w:rsidRDefault="00F542BB" w:rsidP="00F542BB">
            <w:pPr>
              <w:pStyle w:val="Thin"/>
              <w:spacing w:line="240" w:lineRule="auto"/>
              <w:jc w:val="right"/>
              <w:rPr>
                <w:rFonts w:asciiTheme="minorHAnsi" w:hAnsiTheme="minorHAnsi" w:cs="Arial"/>
                <w:spacing w:val="-2"/>
                <w:sz w:val="18"/>
                <w:szCs w:val="18"/>
                <w:lang w:val="hr-HR"/>
              </w:rPr>
            </w:pPr>
          </w:p>
        </w:tc>
        <w:tc>
          <w:tcPr>
            <w:tcW w:w="616" w:type="pct"/>
            <w:tcBorders>
              <w:top w:val="single" w:sz="12" w:space="0" w:color="auto"/>
            </w:tcBorders>
            <w:vAlign w:val="bottom"/>
          </w:tcPr>
          <w:p w14:paraId="7108D8FB" w14:textId="77777777" w:rsidR="00F542BB" w:rsidRPr="006533FB" w:rsidRDefault="00F542BB" w:rsidP="00F542BB">
            <w:pPr>
              <w:pStyle w:val="Thin"/>
              <w:spacing w:line="240" w:lineRule="auto"/>
              <w:jc w:val="right"/>
              <w:rPr>
                <w:rFonts w:asciiTheme="minorHAnsi" w:hAnsiTheme="minorHAnsi" w:cs="Arial"/>
                <w:spacing w:val="-2"/>
                <w:sz w:val="18"/>
                <w:szCs w:val="18"/>
                <w:lang w:val="hr-HR"/>
              </w:rPr>
            </w:pPr>
          </w:p>
        </w:tc>
        <w:tc>
          <w:tcPr>
            <w:tcW w:w="566" w:type="pct"/>
            <w:tcBorders>
              <w:top w:val="single" w:sz="12" w:space="0" w:color="auto"/>
            </w:tcBorders>
            <w:vAlign w:val="bottom"/>
          </w:tcPr>
          <w:p w14:paraId="7B7919A7" w14:textId="77777777" w:rsidR="00F542BB" w:rsidRPr="006533FB" w:rsidRDefault="00F542BB" w:rsidP="00F542BB">
            <w:pPr>
              <w:pStyle w:val="Thin"/>
              <w:spacing w:line="240" w:lineRule="auto"/>
              <w:jc w:val="right"/>
              <w:rPr>
                <w:rFonts w:asciiTheme="minorHAnsi" w:hAnsiTheme="minorHAnsi" w:cs="Arial"/>
                <w:spacing w:val="-2"/>
                <w:sz w:val="18"/>
                <w:szCs w:val="18"/>
                <w:lang w:val="hr-HR"/>
              </w:rPr>
            </w:pPr>
          </w:p>
        </w:tc>
      </w:tr>
      <w:tr w:rsidR="00F542BB" w:rsidRPr="006533FB" w14:paraId="1F868232" w14:textId="77777777" w:rsidTr="00F542BB">
        <w:trPr>
          <w:trHeight w:val="105"/>
        </w:trPr>
        <w:tc>
          <w:tcPr>
            <w:tcW w:w="1620" w:type="pct"/>
          </w:tcPr>
          <w:p w14:paraId="1E3B0273"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b/>
                <w:bCs/>
                <w:sz w:val="18"/>
                <w:szCs w:val="18"/>
                <w:lang w:val="hr-HR"/>
              </w:rPr>
              <w:t>Kapital</w:t>
            </w:r>
          </w:p>
        </w:tc>
        <w:tc>
          <w:tcPr>
            <w:tcW w:w="542" w:type="pct"/>
            <w:vAlign w:val="bottom"/>
          </w:tcPr>
          <w:p w14:paraId="58D9BA09" w14:textId="77777777" w:rsidR="00F542BB" w:rsidRPr="006533FB" w:rsidRDefault="00F542BB" w:rsidP="00F542BB">
            <w:pPr>
              <w:pStyle w:val="TT"/>
              <w:tabs>
                <w:tab w:val="clear" w:pos="1202"/>
              </w:tabs>
              <w:spacing w:line="240" w:lineRule="auto"/>
              <w:jc w:val="right"/>
              <w:rPr>
                <w:rFonts w:asciiTheme="minorHAnsi" w:hAnsiTheme="minorHAnsi" w:cs="Arial"/>
                <w:spacing w:val="-2"/>
                <w:sz w:val="18"/>
                <w:szCs w:val="18"/>
                <w:lang w:val="hr-HR"/>
              </w:rPr>
            </w:pPr>
          </w:p>
        </w:tc>
        <w:tc>
          <w:tcPr>
            <w:tcW w:w="599" w:type="pct"/>
            <w:vAlign w:val="bottom"/>
          </w:tcPr>
          <w:p w14:paraId="33C2D751" w14:textId="77777777" w:rsidR="00F542BB" w:rsidRPr="006533FB" w:rsidRDefault="00F542BB" w:rsidP="00F542BB">
            <w:pPr>
              <w:pStyle w:val="TT"/>
              <w:tabs>
                <w:tab w:val="clear" w:pos="1202"/>
              </w:tabs>
              <w:spacing w:line="240" w:lineRule="auto"/>
              <w:jc w:val="right"/>
              <w:rPr>
                <w:rFonts w:asciiTheme="minorHAnsi" w:hAnsiTheme="minorHAnsi" w:cs="Arial"/>
                <w:spacing w:val="-2"/>
                <w:sz w:val="18"/>
                <w:szCs w:val="18"/>
                <w:lang w:val="hr-HR"/>
              </w:rPr>
            </w:pPr>
          </w:p>
        </w:tc>
        <w:tc>
          <w:tcPr>
            <w:tcW w:w="523" w:type="pct"/>
            <w:vAlign w:val="bottom"/>
          </w:tcPr>
          <w:p w14:paraId="54CB156B" w14:textId="77777777" w:rsidR="00F542BB" w:rsidRPr="006533FB" w:rsidRDefault="00F542BB" w:rsidP="00F542BB">
            <w:pPr>
              <w:pStyle w:val="TT"/>
              <w:tabs>
                <w:tab w:val="clear" w:pos="1202"/>
              </w:tabs>
              <w:spacing w:line="240" w:lineRule="auto"/>
              <w:jc w:val="right"/>
              <w:rPr>
                <w:rFonts w:asciiTheme="minorHAnsi" w:hAnsiTheme="minorHAnsi" w:cs="Arial"/>
                <w:spacing w:val="-2"/>
                <w:sz w:val="18"/>
                <w:szCs w:val="18"/>
                <w:lang w:val="hr-HR"/>
              </w:rPr>
            </w:pPr>
          </w:p>
        </w:tc>
        <w:tc>
          <w:tcPr>
            <w:tcW w:w="534" w:type="pct"/>
            <w:vAlign w:val="bottom"/>
          </w:tcPr>
          <w:p w14:paraId="0E017F4B" w14:textId="77777777" w:rsidR="00F542BB" w:rsidRPr="006533FB" w:rsidRDefault="00F542BB" w:rsidP="00F542BB">
            <w:pPr>
              <w:pStyle w:val="TT"/>
              <w:tabs>
                <w:tab w:val="clear" w:pos="1202"/>
              </w:tabs>
              <w:spacing w:line="240" w:lineRule="auto"/>
              <w:jc w:val="right"/>
              <w:rPr>
                <w:rFonts w:asciiTheme="minorHAnsi" w:hAnsiTheme="minorHAnsi" w:cs="Arial"/>
                <w:spacing w:val="-2"/>
                <w:sz w:val="18"/>
                <w:szCs w:val="18"/>
                <w:lang w:val="hr-HR"/>
              </w:rPr>
            </w:pPr>
          </w:p>
        </w:tc>
        <w:tc>
          <w:tcPr>
            <w:tcW w:w="616" w:type="pct"/>
            <w:vAlign w:val="bottom"/>
          </w:tcPr>
          <w:p w14:paraId="6A7D166B" w14:textId="77777777" w:rsidR="00F542BB" w:rsidRPr="006533FB" w:rsidRDefault="00F542BB" w:rsidP="00F542BB">
            <w:pPr>
              <w:pStyle w:val="TT"/>
              <w:tabs>
                <w:tab w:val="clear" w:pos="1202"/>
              </w:tabs>
              <w:spacing w:line="240" w:lineRule="auto"/>
              <w:jc w:val="right"/>
              <w:rPr>
                <w:rFonts w:asciiTheme="minorHAnsi" w:hAnsiTheme="minorHAnsi" w:cs="Arial"/>
                <w:spacing w:val="-2"/>
                <w:sz w:val="18"/>
                <w:szCs w:val="18"/>
                <w:lang w:val="hr-HR"/>
              </w:rPr>
            </w:pPr>
          </w:p>
        </w:tc>
        <w:tc>
          <w:tcPr>
            <w:tcW w:w="566" w:type="pct"/>
            <w:vAlign w:val="bottom"/>
          </w:tcPr>
          <w:p w14:paraId="5BD1ED39" w14:textId="77777777" w:rsidR="00F542BB" w:rsidRPr="006533FB" w:rsidRDefault="00F542BB" w:rsidP="00F542BB">
            <w:pPr>
              <w:pStyle w:val="TT"/>
              <w:tabs>
                <w:tab w:val="clear" w:pos="1202"/>
              </w:tabs>
              <w:spacing w:line="240" w:lineRule="auto"/>
              <w:jc w:val="right"/>
              <w:rPr>
                <w:rFonts w:asciiTheme="minorHAnsi" w:hAnsiTheme="minorHAnsi" w:cs="Arial"/>
                <w:sz w:val="18"/>
                <w:szCs w:val="18"/>
                <w:lang w:val="hr-HR"/>
              </w:rPr>
            </w:pPr>
          </w:p>
        </w:tc>
      </w:tr>
      <w:tr w:rsidR="00F542BB" w:rsidRPr="006533FB" w14:paraId="48FB2FAD" w14:textId="77777777" w:rsidTr="00312975">
        <w:trPr>
          <w:trHeight w:val="162"/>
        </w:trPr>
        <w:tc>
          <w:tcPr>
            <w:tcW w:w="1620" w:type="pct"/>
          </w:tcPr>
          <w:p w14:paraId="063D6D84"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z w:val="18"/>
                <w:szCs w:val="18"/>
                <w:lang w:val="hr-HR"/>
              </w:rPr>
              <w:t>Osnivački kapital</w:t>
            </w:r>
          </w:p>
        </w:tc>
        <w:tc>
          <w:tcPr>
            <w:tcW w:w="542" w:type="pct"/>
            <w:tcBorders>
              <w:top w:val="nil"/>
              <w:left w:val="nil"/>
              <w:bottom w:val="nil"/>
              <w:right w:val="nil"/>
            </w:tcBorders>
            <w:shd w:val="clear" w:color="auto" w:fill="auto"/>
            <w:vAlign w:val="center"/>
          </w:tcPr>
          <w:p w14:paraId="7D9F2103"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center"/>
          </w:tcPr>
          <w:p w14:paraId="5CC27BE8"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center"/>
          </w:tcPr>
          <w:p w14:paraId="2C184B06"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nil"/>
              <w:right w:val="nil"/>
            </w:tcBorders>
            <w:shd w:val="clear" w:color="auto" w:fill="auto"/>
            <w:vAlign w:val="center"/>
          </w:tcPr>
          <w:p w14:paraId="3B02F38E"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7B466846"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6.959.632</w:t>
            </w:r>
          </w:p>
        </w:tc>
        <w:tc>
          <w:tcPr>
            <w:tcW w:w="566" w:type="pct"/>
            <w:tcBorders>
              <w:top w:val="nil"/>
              <w:left w:val="nil"/>
              <w:bottom w:val="nil"/>
              <w:right w:val="nil"/>
            </w:tcBorders>
            <w:shd w:val="clear" w:color="auto" w:fill="auto"/>
            <w:vAlign w:val="bottom"/>
          </w:tcPr>
          <w:p w14:paraId="571B2F87"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6.959.632</w:t>
            </w:r>
          </w:p>
        </w:tc>
      </w:tr>
      <w:tr w:rsidR="00F542BB" w:rsidRPr="006533FB" w14:paraId="5EF4E488" w14:textId="77777777" w:rsidTr="00312975">
        <w:trPr>
          <w:trHeight w:val="171"/>
        </w:trPr>
        <w:tc>
          <w:tcPr>
            <w:tcW w:w="1620" w:type="pct"/>
          </w:tcPr>
          <w:p w14:paraId="6760CD52"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z w:val="18"/>
                <w:szCs w:val="18"/>
                <w:lang w:val="hr-HR"/>
              </w:rPr>
              <w:t>Zadržana dobit i rezerve</w:t>
            </w:r>
          </w:p>
        </w:tc>
        <w:tc>
          <w:tcPr>
            <w:tcW w:w="542" w:type="pct"/>
            <w:tcBorders>
              <w:top w:val="nil"/>
              <w:left w:val="nil"/>
              <w:bottom w:val="nil"/>
              <w:right w:val="nil"/>
            </w:tcBorders>
            <w:shd w:val="clear" w:color="auto" w:fill="auto"/>
            <w:vAlign w:val="center"/>
          </w:tcPr>
          <w:p w14:paraId="07B1BBF4"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center"/>
          </w:tcPr>
          <w:p w14:paraId="4884281A"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center"/>
          </w:tcPr>
          <w:p w14:paraId="11034A96"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nil"/>
              <w:right w:val="nil"/>
            </w:tcBorders>
            <w:shd w:val="clear" w:color="auto" w:fill="auto"/>
            <w:vAlign w:val="center"/>
          </w:tcPr>
          <w:p w14:paraId="46510780"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2D999D62"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2.682.127</w:t>
            </w:r>
          </w:p>
        </w:tc>
        <w:tc>
          <w:tcPr>
            <w:tcW w:w="566" w:type="pct"/>
            <w:tcBorders>
              <w:top w:val="nil"/>
              <w:left w:val="nil"/>
              <w:bottom w:val="nil"/>
              <w:right w:val="nil"/>
            </w:tcBorders>
            <w:shd w:val="clear" w:color="auto" w:fill="auto"/>
            <w:vAlign w:val="bottom"/>
          </w:tcPr>
          <w:p w14:paraId="793770F2"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2.682.127</w:t>
            </w:r>
          </w:p>
        </w:tc>
      </w:tr>
      <w:tr w:rsidR="00F542BB" w:rsidRPr="006533FB" w14:paraId="6B79B87C" w14:textId="77777777" w:rsidTr="00312975">
        <w:trPr>
          <w:trHeight w:val="162"/>
        </w:trPr>
        <w:tc>
          <w:tcPr>
            <w:tcW w:w="1620" w:type="pct"/>
          </w:tcPr>
          <w:p w14:paraId="73F00F8B"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z w:val="18"/>
                <w:szCs w:val="18"/>
                <w:lang w:val="hr-HR"/>
              </w:rPr>
              <w:t>Ostale rezerve</w:t>
            </w:r>
          </w:p>
        </w:tc>
        <w:tc>
          <w:tcPr>
            <w:tcW w:w="542" w:type="pct"/>
            <w:tcBorders>
              <w:top w:val="nil"/>
              <w:left w:val="nil"/>
              <w:bottom w:val="nil"/>
              <w:right w:val="nil"/>
            </w:tcBorders>
            <w:shd w:val="clear" w:color="auto" w:fill="auto"/>
            <w:vAlign w:val="center"/>
          </w:tcPr>
          <w:p w14:paraId="5B91350A"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nil"/>
              <w:right w:val="nil"/>
            </w:tcBorders>
            <w:shd w:val="clear" w:color="auto" w:fill="auto"/>
            <w:vAlign w:val="center"/>
          </w:tcPr>
          <w:p w14:paraId="6CACB00C"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nil"/>
              <w:right w:val="nil"/>
            </w:tcBorders>
            <w:shd w:val="clear" w:color="auto" w:fill="auto"/>
            <w:vAlign w:val="center"/>
          </w:tcPr>
          <w:p w14:paraId="37EAC062"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nil"/>
              <w:right w:val="nil"/>
            </w:tcBorders>
            <w:shd w:val="clear" w:color="auto" w:fill="auto"/>
            <w:vAlign w:val="center"/>
          </w:tcPr>
          <w:p w14:paraId="43E34B8A"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01D5C21B"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73.733</w:t>
            </w:r>
          </w:p>
        </w:tc>
        <w:tc>
          <w:tcPr>
            <w:tcW w:w="566" w:type="pct"/>
            <w:tcBorders>
              <w:top w:val="nil"/>
              <w:left w:val="nil"/>
              <w:bottom w:val="nil"/>
              <w:right w:val="nil"/>
            </w:tcBorders>
            <w:shd w:val="clear" w:color="auto" w:fill="auto"/>
            <w:vAlign w:val="bottom"/>
          </w:tcPr>
          <w:p w14:paraId="0084388A"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73.733</w:t>
            </w:r>
          </w:p>
        </w:tc>
      </w:tr>
      <w:tr w:rsidR="00F542BB" w:rsidRPr="006533FB" w14:paraId="73B411A4" w14:textId="77777777" w:rsidTr="00312975">
        <w:trPr>
          <w:trHeight w:val="162"/>
        </w:trPr>
        <w:tc>
          <w:tcPr>
            <w:tcW w:w="1620" w:type="pct"/>
          </w:tcPr>
          <w:p w14:paraId="37A76048" w14:textId="77777777" w:rsidR="00F542BB" w:rsidRPr="006533FB" w:rsidRDefault="00F542BB" w:rsidP="00F542BB">
            <w:pPr>
              <w:pStyle w:val="TT"/>
              <w:spacing w:line="240" w:lineRule="auto"/>
              <w:rPr>
                <w:rFonts w:asciiTheme="minorHAnsi" w:hAnsiTheme="minorHAnsi" w:cs="Arial"/>
                <w:sz w:val="18"/>
                <w:szCs w:val="18"/>
                <w:lang w:val="hr-HR"/>
              </w:rPr>
            </w:pPr>
            <w:r w:rsidRPr="006533FB">
              <w:rPr>
                <w:rFonts w:asciiTheme="minorHAnsi" w:hAnsiTheme="minorHAnsi" w:cs="Arial"/>
                <w:sz w:val="18"/>
                <w:szCs w:val="18"/>
                <w:lang w:val="hr-HR"/>
              </w:rPr>
              <w:t>Dobit tekuće godine</w:t>
            </w:r>
          </w:p>
        </w:tc>
        <w:tc>
          <w:tcPr>
            <w:tcW w:w="542" w:type="pct"/>
            <w:tcBorders>
              <w:top w:val="nil"/>
              <w:left w:val="nil"/>
              <w:bottom w:val="single" w:sz="4" w:space="0" w:color="auto"/>
              <w:right w:val="nil"/>
            </w:tcBorders>
            <w:shd w:val="clear" w:color="auto" w:fill="auto"/>
            <w:vAlign w:val="center"/>
          </w:tcPr>
          <w:p w14:paraId="2B257EE7"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99" w:type="pct"/>
            <w:tcBorders>
              <w:top w:val="nil"/>
              <w:left w:val="nil"/>
              <w:bottom w:val="single" w:sz="4" w:space="0" w:color="auto"/>
              <w:right w:val="nil"/>
            </w:tcBorders>
            <w:shd w:val="clear" w:color="auto" w:fill="auto"/>
            <w:vAlign w:val="center"/>
          </w:tcPr>
          <w:p w14:paraId="5882281A"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23" w:type="pct"/>
            <w:tcBorders>
              <w:top w:val="nil"/>
              <w:left w:val="nil"/>
              <w:bottom w:val="single" w:sz="4" w:space="0" w:color="auto"/>
              <w:right w:val="nil"/>
            </w:tcBorders>
            <w:shd w:val="clear" w:color="auto" w:fill="auto"/>
            <w:vAlign w:val="center"/>
          </w:tcPr>
          <w:p w14:paraId="14495287"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34" w:type="pct"/>
            <w:tcBorders>
              <w:top w:val="nil"/>
              <w:left w:val="nil"/>
              <w:bottom w:val="single" w:sz="4" w:space="0" w:color="auto"/>
              <w:right w:val="nil"/>
            </w:tcBorders>
            <w:shd w:val="clear" w:color="auto" w:fill="auto"/>
            <w:vAlign w:val="center"/>
          </w:tcPr>
          <w:p w14:paraId="5BEFB9CB"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top w:val="nil"/>
              <w:left w:val="nil"/>
              <w:bottom w:val="single" w:sz="4" w:space="0" w:color="auto"/>
              <w:right w:val="nil"/>
            </w:tcBorders>
            <w:shd w:val="clear" w:color="auto" w:fill="auto"/>
            <w:vAlign w:val="bottom"/>
          </w:tcPr>
          <w:p w14:paraId="16B775CB"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314.841</w:t>
            </w:r>
          </w:p>
        </w:tc>
        <w:tc>
          <w:tcPr>
            <w:tcW w:w="566" w:type="pct"/>
            <w:tcBorders>
              <w:top w:val="nil"/>
              <w:left w:val="nil"/>
              <w:bottom w:val="single" w:sz="4" w:space="0" w:color="auto"/>
              <w:right w:val="nil"/>
            </w:tcBorders>
            <w:shd w:val="clear" w:color="auto" w:fill="auto"/>
            <w:vAlign w:val="bottom"/>
          </w:tcPr>
          <w:p w14:paraId="172EA672"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314.841</w:t>
            </w:r>
          </w:p>
        </w:tc>
      </w:tr>
      <w:tr w:rsidR="00F542BB" w:rsidRPr="006533FB" w14:paraId="10C7042C" w14:textId="77777777" w:rsidTr="00F542BB">
        <w:trPr>
          <w:trHeight w:val="334"/>
        </w:trPr>
        <w:tc>
          <w:tcPr>
            <w:tcW w:w="1620" w:type="pct"/>
          </w:tcPr>
          <w:p w14:paraId="5E15C38D" w14:textId="77777777" w:rsidR="00F542BB" w:rsidRPr="006533FB" w:rsidRDefault="00F542BB" w:rsidP="00F542BB">
            <w:pPr>
              <w:pStyle w:val="Tot"/>
              <w:spacing w:line="240" w:lineRule="auto"/>
              <w:rPr>
                <w:rFonts w:asciiTheme="minorHAnsi" w:hAnsiTheme="minorHAnsi" w:cs="Arial"/>
                <w:b/>
                <w:bCs/>
                <w:sz w:val="18"/>
                <w:szCs w:val="18"/>
                <w:lang w:val="hr-HR"/>
              </w:rPr>
            </w:pPr>
            <w:r w:rsidRPr="006533FB">
              <w:rPr>
                <w:rFonts w:asciiTheme="minorHAnsi" w:hAnsiTheme="minorHAnsi" w:cs="Arial"/>
                <w:b/>
                <w:bCs/>
                <w:sz w:val="18"/>
                <w:szCs w:val="18"/>
                <w:lang w:val="hr-HR"/>
              </w:rPr>
              <w:t>Ukupni kapital  koji pripada vlasnicima društva</w:t>
            </w:r>
          </w:p>
        </w:tc>
        <w:tc>
          <w:tcPr>
            <w:tcW w:w="542" w:type="pct"/>
            <w:tcBorders>
              <w:top w:val="single" w:sz="4" w:space="0" w:color="auto"/>
              <w:left w:val="nil"/>
              <w:bottom w:val="single" w:sz="12" w:space="0" w:color="auto"/>
              <w:right w:val="nil"/>
            </w:tcBorders>
            <w:shd w:val="clear" w:color="auto" w:fill="auto"/>
            <w:vAlign w:val="center"/>
          </w:tcPr>
          <w:p w14:paraId="03FBE58C"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w:t>
            </w:r>
          </w:p>
        </w:tc>
        <w:tc>
          <w:tcPr>
            <w:tcW w:w="599" w:type="pct"/>
            <w:tcBorders>
              <w:top w:val="single" w:sz="4" w:space="0" w:color="auto"/>
              <w:left w:val="nil"/>
              <w:bottom w:val="single" w:sz="12" w:space="0" w:color="auto"/>
              <w:right w:val="nil"/>
            </w:tcBorders>
            <w:shd w:val="clear" w:color="auto" w:fill="auto"/>
            <w:vAlign w:val="center"/>
          </w:tcPr>
          <w:p w14:paraId="71A1DFDB"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w:t>
            </w:r>
          </w:p>
        </w:tc>
        <w:tc>
          <w:tcPr>
            <w:tcW w:w="523" w:type="pct"/>
            <w:tcBorders>
              <w:top w:val="single" w:sz="4" w:space="0" w:color="auto"/>
              <w:left w:val="nil"/>
              <w:bottom w:val="single" w:sz="12" w:space="0" w:color="auto"/>
              <w:right w:val="nil"/>
            </w:tcBorders>
            <w:shd w:val="clear" w:color="auto" w:fill="auto"/>
            <w:vAlign w:val="center"/>
          </w:tcPr>
          <w:p w14:paraId="6A15D702"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w:t>
            </w:r>
          </w:p>
        </w:tc>
        <w:tc>
          <w:tcPr>
            <w:tcW w:w="534" w:type="pct"/>
            <w:tcBorders>
              <w:top w:val="single" w:sz="4" w:space="0" w:color="auto"/>
              <w:left w:val="nil"/>
              <w:bottom w:val="single" w:sz="12" w:space="0" w:color="auto"/>
              <w:right w:val="nil"/>
            </w:tcBorders>
            <w:shd w:val="clear" w:color="auto" w:fill="auto"/>
            <w:vAlign w:val="center"/>
          </w:tcPr>
          <w:p w14:paraId="62E64AB4"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w:t>
            </w:r>
          </w:p>
        </w:tc>
        <w:tc>
          <w:tcPr>
            <w:tcW w:w="616" w:type="pct"/>
            <w:tcBorders>
              <w:top w:val="single" w:sz="4" w:space="0" w:color="auto"/>
              <w:left w:val="nil"/>
              <w:bottom w:val="single" w:sz="12" w:space="0" w:color="auto"/>
              <w:right w:val="nil"/>
            </w:tcBorders>
            <w:shd w:val="clear" w:color="auto" w:fill="auto"/>
            <w:vAlign w:val="center"/>
          </w:tcPr>
          <w:p w14:paraId="37CCD992"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10.030.333</w:t>
            </w:r>
          </w:p>
        </w:tc>
        <w:tc>
          <w:tcPr>
            <w:tcW w:w="566" w:type="pct"/>
            <w:tcBorders>
              <w:top w:val="single" w:sz="4" w:space="0" w:color="auto"/>
              <w:left w:val="nil"/>
              <w:bottom w:val="single" w:sz="12" w:space="0" w:color="auto"/>
              <w:right w:val="nil"/>
            </w:tcBorders>
            <w:shd w:val="clear" w:color="auto" w:fill="auto"/>
            <w:vAlign w:val="center"/>
          </w:tcPr>
          <w:p w14:paraId="48C38B62"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10.030.333</w:t>
            </w:r>
          </w:p>
        </w:tc>
      </w:tr>
      <w:tr w:rsidR="00F542BB" w:rsidRPr="006533FB" w14:paraId="1BF04104" w14:textId="77777777" w:rsidTr="00F542BB">
        <w:trPr>
          <w:trHeight w:hRule="exact" w:val="85"/>
        </w:trPr>
        <w:tc>
          <w:tcPr>
            <w:tcW w:w="1620" w:type="pct"/>
          </w:tcPr>
          <w:p w14:paraId="3DF7D018" w14:textId="77777777" w:rsidR="00F542BB" w:rsidRPr="006533FB" w:rsidRDefault="00F542BB" w:rsidP="00F542BB">
            <w:pPr>
              <w:pStyle w:val="Tot"/>
              <w:spacing w:line="240" w:lineRule="auto"/>
              <w:rPr>
                <w:rFonts w:asciiTheme="minorHAnsi" w:hAnsiTheme="minorHAnsi" w:cs="Arial"/>
                <w:bCs/>
                <w:sz w:val="18"/>
                <w:szCs w:val="18"/>
                <w:lang w:val="hr-HR"/>
              </w:rPr>
            </w:pPr>
          </w:p>
        </w:tc>
        <w:tc>
          <w:tcPr>
            <w:tcW w:w="542" w:type="pct"/>
            <w:tcBorders>
              <w:top w:val="single" w:sz="12" w:space="0" w:color="auto"/>
            </w:tcBorders>
            <w:vAlign w:val="bottom"/>
          </w:tcPr>
          <w:p w14:paraId="66F706D4" w14:textId="77777777" w:rsidR="00F542BB" w:rsidRPr="006533FB" w:rsidRDefault="00F542BB" w:rsidP="00F542BB">
            <w:pPr>
              <w:pStyle w:val="Tot"/>
              <w:tabs>
                <w:tab w:val="clear" w:pos="1202"/>
              </w:tabs>
              <w:spacing w:line="240" w:lineRule="auto"/>
              <w:jc w:val="right"/>
              <w:rPr>
                <w:rFonts w:asciiTheme="minorHAnsi" w:hAnsiTheme="minorHAnsi" w:cs="Arial"/>
                <w:bCs/>
                <w:spacing w:val="-2"/>
                <w:sz w:val="18"/>
                <w:szCs w:val="18"/>
                <w:lang w:val="hr-HR"/>
              </w:rPr>
            </w:pPr>
          </w:p>
        </w:tc>
        <w:tc>
          <w:tcPr>
            <w:tcW w:w="599" w:type="pct"/>
            <w:tcBorders>
              <w:top w:val="single" w:sz="12" w:space="0" w:color="auto"/>
            </w:tcBorders>
            <w:vAlign w:val="bottom"/>
          </w:tcPr>
          <w:p w14:paraId="2DCDD240" w14:textId="77777777" w:rsidR="00F542BB" w:rsidRPr="006533FB" w:rsidRDefault="00F542BB" w:rsidP="00F542BB">
            <w:pPr>
              <w:pStyle w:val="Tot"/>
              <w:tabs>
                <w:tab w:val="clear" w:pos="1202"/>
              </w:tabs>
              <w:spacing w:line="240" w:lineRule="auto"/>
              <w:jc w:val="right"/>
              <w:rPr>
                <w:rFonts w:asciiTheme="minorHAnsi" w:hAnsiTheme="minorHAnsi" w:cs="Arial"/>
                <w:bCs/>
                <w:spacing w:val="-2"/>
                <w:sz w:val="18"/>
                <w:szCs w:val="18"/>
                <w:lang w:val="hr-HR"/>
              </w:rPr>
            </w:pPr>
          </w:p>
        </w:tc>
        <w:tc>
          <w:tcPr>
            <w:tcW w:w="523" w:type="pct"/>
            <w:tcBorders>
              <w:top w:val="single" w:sz="12" w:space="0" w:color="auto"/>
            </w:tcBorders>
            <w:vAlign w:val="bottom"/>
          </w:tcPr>
          <w:p w14:paraId="4C07B5EB" w14:textId="77777777" w:rsidR="00F542BB" w:rsidRPr="006533FB" w:rsidRDefault="00F542BB" w:rsidP="00F542BB">
            <w:pPr>
              <w:pStyle w:val="Tot"/>
              <w:tabs>
                <w:tab w:val="clear" w:pos="1202"/>
              </w:tabs>
              <w:spacing w:line="240" w:lineRule="auto"/>
              <w:jc w:val="right"/>
              <w:rPr>
                <w:rFonts w:asciiTheme="minorHAnsi" w:hAnsiTheme="minorHAnsi" w:cs="Arial"/>
                <w:bCs/>
                <w:spacing w:val="-2"/>
                <w:sz w:val="18"/>
                <w:szCs w:val="18"/>
                <w:lang w:val="hr-HR"/>
              </w:rPr>
            </w:pPr>
          </w:p>
        </w:tc>
        <w:tc>
          <w:tcPr>
            <w:tcW w:w="534" w:type="pct"/>
            <w:tcBorders>
              <w:top w:val="single" w:sz="12" w:space="0" w:color="auto"/>
            </w:tcBorders>
            <w:vAlign w:val="bottom"/>
          </w:tcPr>
          <w:p w14:paraId="5EDADBF3" w14:textId="77777777" w:rsidR="00F542BB" w:rsidRPr="006533FB" w:rsidRDefault="00F542BB" w:rsidP="00F542BB">
            <w:pPr>
              <w:pStyle w:val="Tot"/>
              <w:tabs>
                <w:tab w:val="clear" w:pos="1202"/>
              </w:tabs>
              <w:spacing w:line="240" w:lineRule="auto"/>
              <w:jc w:val="right"/>
              <w:rPr>
                <w:rFonts w:asciiTheme="minorHAnsi" w:hAnsiTheme="minorHAnsi" w:cs="Arial"/>
                <w:bCs/>
                <w:spacing w:val="-2"/>
                <w:sz w:val="18"/>
                <w:szCs w:val="18"/>
                <w:lang w:val="hr-HR"/>
              </w:rPr>
            </w:pPr>
          </w:p>
        </w:tc>
        <w:tc>
          <w:tcPr>
            <w:tcW w:w="616" w:type="pct"/>
            <w:tcBorders>
              <w:top w:val="single" w:sz="12" w:space="0" w:color="auto"/>
            </w:tcBorders>
            <w:vAlign w:val="bottom"/>
          </w:tcPr>
          <w:p w14:paraId="0D34E27B" w14:textId="77777777" w:rsidR="00F542BB" w:rsidRPr="006533FB" w:rsidRDefault="00F542BB" w:rsidP="00F542BB">
            <w:pPr>
              <w:pStyle w:val="Tot"/>
              <w:tabs>
                <w:tab w:val="clear" w:pos="1202"/>
              </w:tabs>
              <w:spacing w:line="240" w:lineRule="auto"/>
              <w:jc w:val="right"/>
              <w:rPr>
                <w:rFonts w:asciiTheme="minorHAnsi" w:hAnsiTheme="minorHAnsi" w:cs="Arial"/>
                <w:bCs/>
                <w:spacing w:val="-2"/>
                <w:sz w:val="18"/>
                <w:szCs w:val="18"/>
                <w:lang w:val="hr-HR"/>
              </w:rPr>
            </w:pPr>
          </w:p>
        </w:tc>
        <w:tc>
          <w:tcPr>
            <w:tcW w:w="566" w:type="pct"/>
            <w:tcBorders>
              <w:top w:val="single" w:sz="12" w:space="0" w:color="auto"/>
            </w:tcBorders>
            <w:vAlign w:val="bottom"/>
          </w:tcPr>
          <w:p w14:paraId="40E13D0F" w14:textId="77777777" w:rsidR="00F542BB" w:rsidRPr="006533FB" w:rsidRDefault="00F542BB" w:rsidP="00F542BB">
            <w:pPr>
              <w:pStyle w:val="Tot"/>
              <w:tabs>
                <w:tab w:val="clear" w:pos="1202"/>
              </w:tabs>
              <w:spacing w:line="240" w:lineRule="auto"/>
              <w:jc w:val="right"/>
              <w:rPr>
                <w:rFonts w:asciiTheme="minorHAnsi" w:hAnsiTheme="minorHAnsi" w:cs="Arial"/>
                <w:bCs/>
                <w:spacing w:val="-2"/>
                <w:sz w:val="18"/>
                <w:szCs w:val="18"/>
                <w:lang w:val="hr-HR"/>
              </w:rPr>
            </w:pPr>
          </w:p>
        </w:tc>
      </w:tr>
      <w:tr w:rsidR="00F542BB" w:rsidRPr="006533FB" w14:paraId="223A42CF" w14:textId="77777777" w:rsidTr="00F542BB">
        <w:trPr>
          <w:trHeight w:val="156"/>
        </w:trPr>
        <w:tc>
          <w:tcPr>
            <w:tcW w:w="1620" w:type="pct"/>
          </w:tcPr>
          <w:p w14:paraId="6AFB04C0" w14:textId="77777777" w:rsidR="00F542BB" w:rsidRPr="006533FB" w:rsidRDefault="00F542BB" w:rsidP="00F542BB">
            <w:pPr>
              <w:pStyle w:val="Tot"/>
              <w:spacing w:line="240" w:lineRule="auto"/>
              <w:rPr>
                <w:rFonts w:asciiTheme="minorHAnsi" w:hAnsiTheme="minorHAnsi" w:cs="Arial"/>
                <w:bCs/>
                <w:sz w:val="18"/>
                <w:szCs w:val="18"/>
                <w:lang w:val="hr-HR"/>
              </w:rPr>
            </w:pPr>
            <w:r w:rsidRPr="006533FB">
              <w:rPr>
                <w:rFonts w:asciiTheme="minorHAnsi" w:hAnsiTheme="minorHAnsi" w:cs="Arial"/>
                <w:bCs/>
                <w:sz w:val="18"/>
                <w:szCs w:val="18"/>
                <w:lang w:val="hr-HR"/>
              </w:rPr>
              <w:t>Garantni fond</w:t>
            </w:r>
          </w:p>
        </w:tc>
        <w:tc>
          <w:tcPr>
            <w:tcW w:w="542" w:type="pct"/>
            <w:tcBorders>
              <w:left w:val="nil"/>
              <w:bottom w:val="nil"/>
              <w:right w:val="nil"/>
            </w:tcBorders>
            <w:shd w:val="clear" w:color="auto" w:fill="auto"/>
            <w:vAlign w:val="center"/>
          </w:tcPr>
          <w:p w14:paraId="3AF232D6"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99" w:type="pct"/>
            <w:tcBorders>
              <w:left w:val="nil"/>
              <w:bottom w:val="nil"/>
              <w:right w:val="nil"/>
            </w:tcBorders>
            <w:shd w:val="clear" w:color="auto" w:fill="auto"/>
            <w:vAlign w:val="center"/>
          </w:tcPr>
          <w:p w14:paraId="78950398"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23" w:type="pct"/>
            <w:tcBorders>
              <w:left w:val="nil"/>
              <w:bottom w:val="nil"/>
              <w:right w:val="nil"/>
            </w:tcBorders>
            <w:shd w:val="clear" w:color="auto" w:fill="auto"/>
            <w:vAlign w:val="center"/>
          </w:tcPr>
          <w:p w14:paraId="07B7E5D8"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534" w:type="pct"/>
            <w:tcBorders>
              <w:left w:val="nil"/>
              <w:bottom w:val="nil"/>
              <w:right w:val="nil"/>
            </w:tcBorders>
            <w:shd w:val="clear" w:color="auto" w:fill="auto"/>
            <w:vAlign w:val="center"/>
          </w:tcPr>
          <w:p w14:paraId="34F93A41"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w:t>
            </w:r>
          </w:p>
        </w:tc>
        <w:tc>
          <w:tcPr>
            <w:tcW w:w="616" w:type="pct"/>
            <w:tcBorders>
              <w:left w:val="nil"/>
              <w:bottom w:val="nil"/>
              <w:right w:val="nil"/>
            </w:tcBorders>
            <w:shd w:val="clear" w:color="auto" w:fill="auto"/>
            <w:vAlign w:val="center"/>
          </w:tcPr>
          <w:p w14:paraId="583C9E96"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12.375</w:t>
            </w:r>
          </w:p>
        </w:tc>
        <w:tc>
          <w:tcPr>
            <w:tcW w:w="566" w:type="pct"/>
            <w:tcBorders>
              <w:left w:val="nil"/>
              <w:bottom w:val="nil"/>
              <w:right w:val="nil"/>
            </w:tcBorders>
            <w:shd w:val="clear" w:color="auto" w:fill="auto"/>
            <w:vAlign w:val="center"/>
          </w:tcPr>
          <w:p w14:paraId="289CCB91" w14:textId="77777777" w:rsidR="00F542BB" w:rsidRPr="000C1768" w:rsidRDefault="00F542BB" w:rsidP="00F542BB">
            <w:pPr>
              <w:spacing w:after="0" w:line="240" w:lineRule="auto"/>
              <w:jc w:val="right"/>
              <w:rPr>
                <w:rFonts w:ascii="Calibri" w:hAnsi="Calibri"/>
                <w:color w:val="000000"/>
                <w:sz w:val="18"/>
                <w:szCs w:val="18"/>
              </w:rPr>
            </w:pPr>
            <w:r w:rsidRPr="000C1768">
              <w:rPr>
                <w:rFonts w:ascii="Calibri" w:hAnsi="Calibri"/>
                <w:color w:val="000000"/>
                <w:sz w:val="18"/>
                <w:szCs w:val="18"/>
              </w:rPr>
              <w:t>12.375</w:t>
            </w:r>
          </w:p>
        </w:tc>
      </w:tr>
      <w:tr w:rsidR="00F542BB" w:rsidRPr="006533FB" w14:paraId="77287D85" w14:textId="77777777" w:rsidTr="00F542BB">
        <w:trPr>
          <w:trHeight w:hRule="exact" w:val="47"/>
        </w:trPr>
        <w:tc>
          <w:tcPr>
            <w:tcW w:w="1620" w:type="pct"/>
          </w:tcPr>
          <w:p w14:paraId="3021BD77" w14:textId="77777777" w:rsidR="00F542BB" w:rsidRPr="006533FB" w:rsidRDefault="00F542BB" w:rsidP="00F542BB">
            <w:pPr>
              <w:pStyle w:val="Tot"/>
              <w:spacing w:line="240" w:lineRule="auto"/>
              <w:rPr>
                <w:rFonts w:asciiTheme="minorHAnsi" w:hAnsiTheme="minorHAnsi" w:cs="Arial"/>
                <w:bCs/>
                <w:sz w:val="18"/>
                <w:szCs w:val="18"/>
                <w:lang w:val="hr-HR"/>
              </w:rPr>
            </w:pPr>
          </w:p>
        </w:tc>
        <w:tc>
          <w:tcPr>
            <w:tcW w:w="542" w:type="pct"/>
            <w:tcBorders>
              <w:bottom w:val="single" w:sz="8" w:space="0" w:color="auto"/>
            </w:tcBorders>
            <w:vAlign w:val="bottom"/>
          </w:tcPr>
          <w:p w14:paraId="196E55E6" w14:textId="77777777" w:rsidR="00F542BB" w:rsidRPr="006533FB" w:rsidRDefault="00F542BB" w:rsidP="00F542BB">
            <w:pPr>
              <w:pStyle w:val="Header"/>
              <w:jc w:val="right"/>
              <w:rPr>
                <w:rFonts w:cs="Arial"/>
                <w:bCs/>
                <w:i/>
                <w:spacing w:val="-2"/>
                <w:sz w:val="18"/>
                <w:szCs w:val="18"/>
              </w:rPr>
            </w:pPr>
          </w:p>
        </w:tc>
        <w:tc>
          <w:tcPr>
            <w:tcW w:w="599" w:type="pct"/>
            <w:tcBorders>
              <w:bottom w:val="single" w:sz="8" w:space="0" w:color="auto"/>
            </w:tcBorders>
            <w:vAlign w:val="bottom"/>
          </w:tcPr>
          <w:p w14:paraId="38E21FF6" w14:textId="77777777" w:rsidR="00F542BB" w:rsidRPr="006533FB" w:rsidRDefault="00F542BB" w:rsidP="00F542BB">
            <w:pPr>
              <w:pStyle w:val="Header"/>
              <w:jc w:val="right"/>
              <w:rPr>
                <w:rFonts w:cs="Arial"/>
                <w:bCs/>
                <w:i/>
                <w:spacing w:val="-2"/>
                <w:sz w:val="18"/>
                <w:szCs w:val="18"/>
              </w:rPr>
            </w:pPr>
          </w:p>
        </w:tc>
        <w:tc>
          <w:tcPr>
            <w:tcW w:w="523" w:type="pct"/>
            <w:tcBorders>
              <w:bottom w:val="single" w:sz="8" w:space="0" w:color="auto"/>
            </w:tcBorders>
            <w:vAlign w:val="bottom"/>
          </w:tcPr>
          <w:p w14:paraId="55F0FE2D" w14:textId="77777777" w:rsidR="00F542BB" w:rsidRPr="006533FB" w:rsidRDefault="00F542BB" w:rsidP="00F542BB">
            <w:pPr>
              <w:pStyle w:val="Header"/>
              <w:jc w:val="right"/>
              <w:rPr>
                <w:rFonts w:cs="Arial"/>
                <w:bCs/>
                <w:i/>
                <w:spacing w:val="-2"/>
                <w:sz w:val="18"/>
                <w:szCs w:val="18"/>
              </w:rPr>
            </w:pPr>
          </w:p>
        </w:tc>
        <w:tc>
          <w:tcPr>
            <w:tcW w:w="534" w:type="pct"/>
            <w:tcBorders>
              <w:bottom w:val="single" w:sz="8" w:space="0" w:color="auto"/>
            </w:tcBorders>
            <w:vAlign w:val="bottom"/>
          </w:tcPr>
          <w:p w14:paraId="1953EE13" w14:textId="77777777" w:rsidR="00F542BB" w:rsidRPr="006533FB" w:rsidRDefault="00F542BB" w:rsidP="00F542BB">
            <w:pPr>
              <w:pStyle w:val="Header"/>
              <w:jc w:val="right"/>
              <w:rPr>
                <w:rFonts w:cs="Arial"/>
                <w:bCs/>
                <w:i/>
                <w:spacing w:val="-2"/>
                <w:sz w:val="18"/>
                <w:szCs w:val="18"/>
              </w:rPr>
            </w:pPr>
          </w:p>
        </w:tc>
        <w:tc>
          <w:tcPr>
            <w:tcW w:w="616" w:type="pct"/>
            <w:tcBorders>
              <w:bottom w:val="single" w:sz="8" w:space="0" w:color="auto"/>
            </w:tcBorders>
            <w:vAlign w:val="bottom"/>
          </w:tcPr>
          <w:p w14:paraId="43E10DB1" w14:textId="77777777" w:rsidR="00F542BB" w:rsidRPr="006533FB" w:rsidRDefault="00F542BB" w:rsidP="00F542BB">
            <w:pPr>
              <w:pStyle w:val="Header"/>
              <w:jc w:val="right"/>
              <w:rPr>
                <w:rFonts w:cs="Arial"/>
                <w:bCs/>
                <w:i/>
                <w:spacing w:val="-2"/>
                <w:sz w:val="18"/>
                <w:szCs w:val="18"/>
              </w:rPr>
            </w:pPr>
          </w:p>
        </w:tc>
        <w:tc>
          <w:tcPr>
            <w:tcW w:w="566" w:type="pct"/>
            <w:tcBorders>
              <w:bottom w:val="single" w:sz="8" w:space="0" w:color="auto"/>
            </w:tcBorders>
            <w:vAlign w:val="bottom"/>
          </w:tcPr>
          <w:p w14:paraId="2BD72162" w14:textId="77777777" w:rsidR="00F542BB" w:rsidRPr="006533FB" w:rsidRDefault="00F542BB" w:rsidP="00F542BB">
            <w:pPr>
              <w:pStyle w:val="Header"/>
              <w:jc w:val="right"/>
              <w:rPr>
                <w:rFonts w:cs="Arial"/>
                <w:bCs/>
                <w:i/>
                <w:spacing w:val="-2"/>
                <w:sz w:val="18"/>
                <w:szCs w:val="18"/>
              </w:rPr>
            </w:pPr>
          </w:p>
        </w:tc>
      </w:tr>
      <w:tr w:rsidR="00F542BB" w:rsidRPr="006533FB" w14:paraId="242597DB" w14:textId="77777777" w:rsidTr="00F542BB">
        <w:trPr>
          <w:trHeight w:val="231"/>
        </w:trPr>
        <w:tc>
          <w:tcPr>
            <w:tcW w:w="1620" w:type="pct"/>
            <w:vAlign w:val="center"/>
          </w:tcPr>
          <w:p w14:paraId="67645E1C" w14:textId="77777777" w:rsidR="00F542BB" w:rsidRPr="006533FB" w:rsidRDefault="00F542BB" w:rsidP="00F542BB">
            <w:pPr>
              <w:pStyle w:val="Tot"/>
              <w:spacing w:line="240" w:lineRule="auto"/>
              <w:rPr>
                <w:rFonts w:asciiTheme="minorHAnsi" w:hAnsiTheme="minorHAnsi" w:cs="Arial"/>
                <w:b/>
                <w:bCs/>
                <w:sz w:val="18"/>
                <w:szCs w:val="18"/>
                <w:lang w:val="hr-HR"/>
              </w:rPr>
            </w:pPr>
            <w:r w:rsidRPr="006533FB">
              <w:rPr>
                <w:rFonts w:asciiTheme="minorHAnsi" w:hAnsiTheme="minorHAnsi" w:cs="Arial"/>
                <w:b/>
                <w:bCs/>
                <w:sz w:val="18"/>
                <w:szCs w:val="18"/>
                <w:lang w:val="hr-HR"/>
              </w:rPr>
              <w:t>Ukupna glavnica</w:t>
            </w:r>
          </w:p>
        </w:tc>
        <w:tc>
          <w:tcPr>
            <w:tcW w:w="542" w:type="pct"/>
            <w:tcBorders>
              <w:top w:val="single" w:sz="4" w:space="0" w:color="auto"/>
              <w:left w:val="nil"/>
              <w:bottom w:val="single" w:sz="8" w:space="0" w:color="auto"/>
              <w:right w:val="nil"/>
            </w:tcBorders>
            <w:shd w:val="clear" w:color="auto" w:fill="auto"/>
            <w:vAlign w:val="center"/>
          </w:tcPr>
          <w:p w14:paraId="107B4FB0"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w:t>
            </w:r>
          </w:p>
        </w:tc>
        <w:tc>
          <w:tcPr>
            <w:tcW w:w="599" w:type="pct"/>
            <w:tcBorders>
              <w:top w:val="single" w:sz="4" w:space="0" w:color="auto"/>
              <w:left w:val="nil"/>
              <w:bottom w:val="single" w:sz="8" w:space="0" w:color="auto"/>
              <w:right w:val="nil"/>
            </w:tcBorders>
            <w:shd w:val="clear" w:color="auto" w:fill="auto"/>
            <w:vAlign w:val="center"/>
          </w:tcPr>
          <w:p w14:paraId="65ACBB8C"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w:t>
            </w:r>
          </w:p>
        </w:tc>
        <w:tc>
          <w:tcPr>
            <w:tcW w:w="523" w:type="pct"/>
            <w:tcBorders>
              <w:top w:val="single" w:sz="4" w:space="0" w:color="auto"/>
              <w:left w:val="nil"/>
              <w:bottom w:val="single" w:sz="8" w:space="0" w:color="auto"/>
              <w:right w:val="nil"/>
            </w:tcBorders>
            <w:shd w:val="clear" w:color="auto" w:fill="auto"/>
            <w:vAlign w:val="center"/>
          </w:tcPr>
          <w:p w14:paraId="2EA3D4EF"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w:t>
            </w:r>
          </w:p>
        </w:tc>
        <w:tc>
          <w:tcPr>
            <w:tcW w:w="534" w:type="pct"/>
            <w:tcBorders>
              <w:top w:val="single" w:sz="4" w:space="0" w:color="auto"/>
              <w:left w:val="nil"/>
              <w:bottom w:val="single" w:sz="8" w:space="0" w:color="auto"/>
              <w:right w:val="nil"/>
            </w:tcBorders>
            <w:shd w:val="clear" w:color="auto" w:fill="auto"/>
            <w:vAlign w:val="center"/>
          </w:tcPr>
          <w:p w14:paraId="5E2C9DF4"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w:t>
            </w:r>
          </w:p>
        </w:tc>
        <w:tc>
          <w:tcPr>
            <w:tcW w:w="616" w:type="pct"/>
            <w:tcBorders>
              <w:top w:val="single" w:sz="4" w:space="0" w:color="auto"/>
              <w:left w:val="nil"/>
              <w:bottom w:val="single" w:sz="8" w:space="0" w:color="auto"/>
              <w:right w:val="nil"/>
            </w:tcBorders>
            <w:shd w:val="clear" w:color="auto" w:fill="auto"/>
            <w:vAlign w:val="center"/>
          </w:tcPr>
          <w:p w14:paraId="70B47E44"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10.042.708</w:t>
            </w:r>
          </w:p>
        </w:tc>
        <w:tc>
          <w:tcPr>
            <w:tcW w:w="566" w:type="pct"/>
            <w:tcBorders>
              <w:top w:val="single" w:sz="4" w:space="0" w:color="auto"/>
              <w:left w:val="nil"/>
              <w:bottom w:val="single" w:sz="8" w:space="0" w:color="auto"/>
              <w:right w:val="nil"/>
            </w:tcBorders>
            <w:shd w:val="clear" w:color="auto" w:fill="auto"/>
            <w:vAlign w:val="center"/>
          </w:tcPr>
          <w:p w14:paraId="575CF4BB"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10.042.708</w:t>
            </w:r>
          </w:p>
        </w:tc>
      </w:tr>
      <w:tr w:rsidR="00F542BB" w:rsidRPr="006533FB" w14:paraId="1BE85CC5" w14:textId="77777777" w:rsidTr="00F542BB">
        <w:trPr>
          <w:trHeight w:val="190"/>
        </w:trPr>
        <w:tc>
          <w:tcPr>
            <w:tcW w:w="1620" w:type="pct"/>
          </w:tcPr>
          <w:p w14:paraId="513F71F1" w14:textId="77777777" w:rsidR="00F542BB" w:rsidRPr="006533FB" w:rsidRDefault="00F542BB" w:rsidP="00F542BB">
            <w:pPr>
              <w:pStyle w:val="Thick"/>
              <w:tabs>
                <w:tab w:val="left" w:pos="238"/>
              </w:tabs>
              <w:spacing w:line="240" w:lineRule="auto"/>
              <w:rPr>
                <w:rFonts w:asciiTheme="minorHAnsi" w:hAnsiTheme="minorHAnsi" w:cs="Arial"/>
                <w:bCs/>
                <w:spacing w:val="-2"/>
                <w:sz w:val="18"/>
                <w:szCs w:val="18"/>
                <w:u w:val="none"/>
                <w:lang w:val="hr-HR"/>
              </w:rPr>
            </w:pPr>
            <w:r w:rsidRPr="006533FB">
              <w:rPr>
                <w:rFonts w:asciiTheme="minorHAnsi" w:hAnsiTheme="minorHAnsi" w:cs="Arial"/>
                <w:bCs/>
                <w:sz w:val="18"/>
                <w:szCs w:val="18"/>
                <w:u w:val="none"/>
                <w:lang w:val="hr-HR"/>
              </w:rPr>
              <w:t>Ukupne obveze i glavnica (2)</w:t>
            </w:r>
          </w:p>
        </w:tc>
        <w:tc>
          <w:tcPr>
            <w:tcW w:w="542" w:type="pct"/>
            <w:tcBorders>
              <w:top w:val="nil"/>
              <w:left w:val="nil"/>
              <w:bottom w:val="single" w:sz="12" w:space="0" w:color="auto"/>
              <w:right w:val="nil"/>
            </w:tcBorders>
            <w:shd w:val="clear" w:color="auto" w:fill="auto"/>
            <w:vAlign w:val="center"/>
          </w:tcPr>
          <w:p w14:paraId="0A030C09"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582.223</w:t>
            </w:r>
          </w:p>
        </w:tc>
        <w:tc>
          <w:tcPr>
            <w:tcW w:w="599" w:type="pct"/>
            <w:tcBorders>
              <w:top w:val="nil"/>
              <w:left w:val="nil"/>
              <w:bottom w:val="single" w:sz="12" w:space="0" w:color="auto"/>
              <w:right w:val="nil"/>
            </w:tcBorders>
            <w:shd w:val="clear" w:color="auto" w:fill="auto"/>
            <w:vAlign w:val="center"/>
          </w:tcPr>
          <w:p w14:paraId="31F174CF"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363.189</w:t>
            </w:r>
          </w:p>
        </w:tc>
        <w:tc>
          <w:tcPr>
            <w:tcW w:w="523" w:type="pct"/>
            <w:tcBorders>
              <w:top w:val="nil"/>
              <w:left w:val="nil"/>
              <w:bottom w:val="single" w:sz="12" w:space="0" w:color="auto"/>
              <w:right w:val="nil"/>
            </w:tcBorders>
            <w:shd w:val="clear" w:color="auto" w:fill="auto"/>
            <w:vAlign w:val="center"/>
          </w:tcPr>
          <w:p w14:paraId="171B043D"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3.024.746</w:t>
            </w:r>
          </w:p>
        </w:tc>
        <w:tc>
          <w:tcPr>
            <w:tcW w:w="534" w:type="pct"/>
            <w:tcBorders>
              <w:top w:val="nil"/>
              <w:left w:val="nil"/>
              <w:bottom w:val="single" w:sz="12" w:space="0" w:color="auto"/>
              <w:right w:val="nil"/>
            </w:tcBorders>
            <w:shd w:val="clear" w:color="auto" w:fill="auto"/>
            <w:vAlign w:val="center"/>
          </w:tcPr>
          <w:p w14:paraId="027E663D"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3.300.979</w:t>
            </w:r>
          </w:p>
        </w:tc>
        <w:tc>
          <w:tcPr>
            <w:tcW w:w="616" w:type="pct"/>
            <w:tcBorders>
              <w:top w:val="nil"/>
              <w:left w:val="nil"/>
              <w:bottom w:val="single" w:sz="12" w:space="0" w:color="auto"/>
              <w:right w:val="nil"/>
            </w:tcBorders>
            <w:shd w:val="clear" w:color="auto" w:fill="auto"/>
            <w:vAlign w:val="center"/>
          </w:tcPr>
          <w:p w14:paraId="4624EFFA"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20.119.685</w:t>
            </w:r>
          </w:p>
        </w:tc>
        <w:tc>
          <w:tcPr>
            <w:tcW w:w="566" w:type="pct"/>
            <w:tcBorders>
              <w:top w:val="nil"/>
              <w:left w:val="nil"/>
              <w:bottom w:val="single" w:sz="12" w:space="0" w:color="auto"/>
              <w:right w:val="nil"/>
            </w:tcBorders>
            <w:shd w:val="clear" w:color="auto" w:fill="auto"/>
            <w:vAlign w:val="center"/>
          </w:tcPr>
          <w:p w14:paraId="12171E0C"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27.390.822</w:t>
            </w:r>
          </w:p>
        </w:tc>
      </w:tr>
      <w:tr w:rsidR="00F542BB" w:rsidRPr="006533FB" w14:paraId="4CE32C5D" w14:textId="77777777" w:rsidTr="00F542BB">
        <w:trPr>
          <w:trHeight w:val="334"/>
        </w:trPr>
        <w:tc>
          <w:tcPr>
            <w:tcW w:w="1620" w:type="pct"/>
          </w:tcPr>
          <w:p w14:paraId="3C3BC410" w14:textId="77777777" w:rsidR="00F542BB" w:rsidRPr="006533FB" w:rsidRDefault="00F542BB" w:rsidP="00F542BB">
            <w:pPr>
              <w:pStyle w:val="Tot"/>
              <w:spacing w:line="240" w:lineRule="auto"/>
              <w:rPr>
                <w:rFonts w:asciiTheme="minorHAnsi" w:hAnsiTheme="minorHAnsi" w:cs="Arial"/>
                <w:b/>
                <w:bCs/>
                <w:spacing w:val="-2"/>
                <w:sz w:val="18"/>
                <w:szCs w:val="18"/>
                <w:lang w:val="hr-HR"/>
              </w:rPr>
            </w:pPr>
            <w:r w:rsidRPr="006533FB">
              <w:rPr>
                <w:rFonts w:asciiTheme="minorHAnsi" w:hAnsiTheme="minorHAnsi" w:cs="Arial"/>
                <w:b/>
                <w:bCs/>
                <w:spacing w:val="-2"/>
                <w:sz w:val="18"/>
                <w:szCs w:val="18"/>
                <w:lang w:val="hr-HR"/>
              </w:rPr>
              <w:t>Neto ukupna imovina/ukupne obveze i glavnica (1) – (2)</w:t>
            </w:r>
          </w:p>
        </w:tc>
        <w:tc>
          <w:tcPr>
            <w:tcW w:w="542" w:type="pct"/>
            <w:tcBorders>
              <w:top w:val="single" w:sz="4" w:space="0" w:color="auto"/>
              <w:left w:val="nil"/>
              <w:bottom w:val="single" w:sz="12" w:space="0" w:color="auto"/>
              <w:right w:val="nil"/>
            </w:tcBorders>
            <w:shd w:val="clear" w:color="auto" w:fill="auto"/>
            <w:vAlign w:val="bottom"/>
          </w:tcPr>
          <w:p w14:paraId="5BDD7320"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5.399.523</w:t>
            </w:r>
          </w:p>
        </w:tc>
        <w:tc>
          <w:tcPr>
            <w:tcW w:w="599" w:type="pct"/>
            <w:tcBorders>
              <w:top w:val="single" w:sz="4" w:space="0" w:color="auto"/>
              <w:left w:val="nil"/>
              <w:bottom w:val="single" w:sz="12" w:space="0" w:color="auto"/>
              <w:right w:val="nil"/>
            </w:tcBorders>
            <w:shd w:val="clear" w:color="auto" w:fill="auto"/>
            <w:vAlign w:val="bottom"/>
          </w:tcPr>
          <w:p w14:paraId="5996803E"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503.171</w:t>
            </w:r>
          </w:p>
        </w:tc>
        <w:tc>
          <w:tcPr>
            <w:tcW w:w="523" w:type="pct"/>
            <w:tcBorders>
              <w:top w:val="single" w:sz="4" w:space="0" w:color="auto"/>
              <w:left w:val="nil"/>
              <w:bottom w:val="single" w:sz="12" w:space="0" w:color="auto"/>
              <w:right w:val="nil"/>
            </w:tcBorders>
            <w:shd w:val="clear" w:color="auto" w:fill="auto"/>
            <w:vAlign w:val="bottom"/>
          </w:tcPr>
          <w:p w14:paraId="7DC2C0C2" w14:textId="77777777" w:rsidR="00F542BB" w:rsidRPr="000C1768" w:rsidRDefault="00F542BB" w:rsidP="00F542BB">
            <w:pPr>
              <w:spacing w:after="0" w:line="240" w:lineRule="auto"/>
              <w:jc w:val="right"/>
              <w:rPr>
                <w:rFonts w:ascii="Calibri" w:hAnsi="Calibri"/>
                <w:b/>
                <w:bCs/>
                <w:color w:val="000000"/>
                <w:sz w:val="18"/>
                <w:szCs w:val="18"/>
              </w:rPr>
            </w:pPr>
            <w:r>
              <w:rPr>
                <w:rFonts w:ascii="Calibri" w:hAnsi="Calibri"/>
                <w:b/>
                <w:bCs/>
                <w:color w:val="000000"/>
                <w:sz w:val="18"/>
                <w:szCs w:val="18"/>
              </w:rPr>
              <w:t>(</w:t>
            </w:r>
            <w:r w:rsidRPr="000C1768">
              <w:rPr>
                <w:rFonts w:ascii="Calibri" w:hAnsi="Calibri"/>
                <w:b/>
                <w:bCs/>
                <w:color w:val="000000"/>
                <w:sz w:val="18"/>
                <w:szCs w:val="18"/>
              </w:rPr>
              <w:t>300.169</w:t>
            </w:r>
            <w:r>
              <w:rPr>
                <w:rFonts w:ascii="Calibri" w:hAnsi="Calibri"/>
                <w:b/>
                <w:bCs/>
                <w:color w:val="000000"/>
                <w:sz w:val="18"/>
                <w:szCs w:val="18"/>
              </w:rPr>
              <w:t>)</w:t>
            </w:r>
          </w:p>
        </w:tc>
        <w:tc>
          <w:tcPr>
            <w:tcW w:w="534" w:type="pct"/>
            <w:tcBorders>
              <w:top w:val="single" w:sz="4" w:space="0" w:color="auto"/>
              <w:left w:val="nil"/>
              <w:bottom w:val="single" w:sz="12" w:space="0" w:color="auto"/>
              <w:right w:val="nil"/>
            </w:tcBorders>
            <w:shd w:val="clear" w:color="auto" w:fill="auto"/>
            <w:vAlign w:val="bottom"/>
          </w:tcPr>
          <w:p w14:paraId="3369C472"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1.693.525</w:t>
            </w:r>
          </w:p>
        </w:tc>
        <w:tc>
          <w:tcPr>
            <w:tcW w:w="616" w:type="pct"/>
            <w:tcBorders>
              <w:top w:val="single" w:sz="4" w:space="0" w:color="auto"/>
              <w:left w:val="nil"/>
              <w:bottom w:val="single" w:sz="12" w:space="0" w:color="auto"/>
              <w:right w:val="nil"/>
            </w:tcBorders>
            <w:shd w:val="clear" w:color="auto" w:fill="auto"/>
            <w:vAlign w:val="bottom"/>
          </w:tcPr>
          <w:p w14:paraId="7BA20787" w14:textId="77777777" w:rsidR="00F542BB" w:rsidRPr="000C1768" w:rsidRDefault="00F542BB" w:rsidP="00F542BB">
            <w:pPr>
              <w:spacing w:after="0" w:line="240" w:lineRule="auto"/>
              <w:jc w:val="right"/>
              <w:rPr>
                <w:rFonts w:ascii="Calibri" w:hAnsi="Calibri"/>
                <w:b/>
                <w:bCs/>
                <w:color w:val="000000"/>
                <w:sz w:val="18"/>
                <w:szCs w:val="18"/>
              </w:rPr>
            </w:pPr>
            <w:r>
              <w:rPr>
                <w:rFonts w:ascii="Calibri" w:hAnsi="Calibri"/>
                <w:b/>
                <w:bCs/>
                <w:color w:val="000000"/>
                <w:sz w:val="18"/>
                <w:szCs w:val="18"/>
              </w:rPr>
              <w:t>(</w:t>
            </w:r>
            <w:r w:rsidRPr="000C1768">
              <w:rPr>
                <w:rFonts w:ascii="Calibri" w:hAnsi="Calibri"/>
                <w:b/>
                <w:bCs/>
                <w:color w:val="000000"/>
                <w:sz w:val="18"/>
                <w:szCs w:val="18"/>
              </w:rPr>
              <w:t>7.296.050</w:t>
            </w:r>
            <w:r>
              <w:rPr>
                <w:rFonts w:ascii="Calibri" w:hAnsi="Calibri"/>
                <w:b/>
                <w:bCs/>
                <w:color w:val="000000"/>
                <w:sz w:val="18"/>
                <w:szCs w:val="18"/>
              </w:rPr>
              <w:t>)</w:t>
            </w:r>
          </w:p>
        </w:tc>
        <w:tc>
          <w:tcPr>
            <w:tcW w:w="566" w:type="pct"/>
            <w:tcBorders>
              <w:top w:val="single" w:sz="4" w:space="0" w:color="auto"/>
              <w:left w:val="nil"/>
              <w:bottom w:val="single" w:sz="12" w:space="0" w:color="auto"/>
              <w:right w:val="nil"/>
            </w:tcBorders>
            <w:shd w:val="clear" w:color="auto" w:fill="auto"/>
            <w:vAlign w:val="bottom"/>
          </w:tcPr>
          <w:p w14:paraId="1207B624" w14:textId="77777777" w:rsidR="00F542BB" w:rsidRPr="000C1768" w:rsidRDefault="00F542BB" w:rsidP="00F542BB">
            <w:pPr>
              <w:spacing w:after="0" w:line="240" w:lineRule="auto"/>
              <w:jc w:val="right"/>
              <w:rPr>
                <w:rFonts w:ascii="Calibri" w:hAnsi="Calibri"/>
                <w:b/>
                <w:bCs/>
                <w:color w:val="000000"/>
                <w:sz w:val="18"/>
                <w:szCs w:val="18"/>
              </w:rPr>
            </w:pPr>
            <w:r>
              <w:rPr>
                <w:rFonts w:ascii="Calibri" w:hAnsi="Calibri"/>
                <w:b/>
                <w:bCs/>
                <w:color w:val="000000"/>
                <w:sz w:val="18"/>
                <w:szCs w:val="18"/>
              </w:rPr>
              <w:t>-</w:t>
            </w:r>
          </w:p>
        </w:tc>
      </w:tr>
      <w:tr w:rsidR="00F542BB" w:rsidRPr="006533FB" w14:paraId="36FBCF3A" w14:textId="77777777" w:rsidTr="00F542BB">
        <w:trPr>
          <w:trHeight w:val="344"/>
        </w:trPr>
        <w:tc>
          <w:tcPr>
            <w:tcW w:w="1620" w:type="pct"/>
          </w:tcPr>
          <w:p w14:paraId="4229C8D9" w14:textId="77777777" w:rsidR="00F542BB" w:rsidRPr="006533FB" w:rsidRDefault="00F542BB" w:rsidP="00F542BB">
            <w:pPr>
              <w:pStyle w:val="Tot"/>
              <w:spacing w:line="240" w:lineRule="auto"/>
              <w:rPr>
                <w:rFonts w:asciiTheme="minorHAnsi" w:hAnsiTheme="minorHAnsi" w:cs="Arial"/>
                <w:b/>
                <w:bCs/>
                <w:spacing w:val="-2"/>
                <w:sz w:val="18"/>
                <w:szCs w:val="18"/>
                <w:lang w:val="hr-HR"/>
              </w:rPr>
            </w:pPr>
            <w:r w:rsidRPr="006533FB">
              <w:rPr>
                <w:rFonts w:asciiTheme="minorHAnsi" w:hAnsiTheme="minorHAnsi" w:cs="Arial"/>
                <w:b/>
                <w:bCs/>
                <w:spacing w:val="-2"/>
                <w:sz w:val="18"/>
                <w:szCs w:val="18"/>
                <w:lang w:val="hr-HR"/>
              </w:rPr>
              <w:t>Neto kumulativ ukupna imovina/ukupne obveze i glavnica</w:t>
            </w:r>
          </w:p>
        </w:tc>
        <w:tc>
          <w:tcPr>
            <w:tcW w:w="542" w:type="pct"/>
            <w:tcBorders>
              <w:top w:val="single" w:sz="12" w:space="0" w:color="auto"/>
              <w:left w:val="nil"/>
              <w:bottom w:val="single" w:sz="12" w:space="0" w:color="auto"/>
              <w:right w:val="nil"/>
            </w:tcBorders>
            <w:shd w:val="clear" w:color="auto" w:fill="auto"/>
            <w:vAlign w:val="bottom"/>
          </w:tcPr>
          <w:p w14:paraId="580AF73C"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5.399.523</w:t>
            </w:r>
          </w:p>
        </w:tc>
        <w:tc>
          <w:tcPr>
            <w:tcW w:w="599" w:type="pct"/>
            <w:tcBorders>
              <w:top w:val="single" w:sz="12" w:space="0" w:color="auto"/>
              <w:left w:val="nil"/>
              <w:bottom w:val="single" w:sz="12" w:space="0" w:color="auto"/>
              <w:right w:val="nil"/>
            </w:tcBorders>
            <w:shd w:val="clear" w:color="auto" w:fill="auto"/>
            <w:vAlign w:val="bottom"/>
          </w:tcPr>
          <w:p w14:paraId="37BBA0CC"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5.902.694</w:t>
            </w:r>
          </w:p>
        </w:tc>
        <w:tc>
          <w:tcPr>
            <w:tcW w:w="523" w:type="pct"/>
            <w:tcBorders>
              <w:top w:val="single" w:sz="12" w:space="0" w:color="auto"/>
              <w:left w:val="nil"/>
              <w:bottom w:val="single" w:sz="12" w:space="0" w:color="auto"/>
              <w:right w:val="nil"/>
            </w:tcBorders>
            <w:shd w:val="clear" w:color="auto" w:fill="auto"/>
            <w:vAlign w:val="bottom"/>
          </w:tcPr>
          <w:p w14:paraId="34149072"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5.602.525</w:t>
            </w:r>
          </w:p>
        </w:tc>
        <w:tc>
          <w:tcPr>
            <w:tcW w:w="534" w:type="pct"/>
            <w:tcBorders>
              <w:top w:val="single" w:sz="12" w:space="0" w:color="auto"/>
              <w:left w:val="nil"/>
              <w:bottom w:val="single" w:sz="12" w:space="0" w:color="auto"/>
              <w:right w:val="nil"/>
            </w:tcBorders>
            <w:shd w:val="clear" w:color="auto" w:fill="auto"/>
            <w:vAlign w:val="bottom"/>
          </w:tcPr>
          <w:p w14:paraId="13F63331" w14:textId="77777777" w:rsidR="00F542BB" w:rsidRPr="000C1768" w:rsidRDefault="00F542BB" w:rsidP="00F542BB">
            <w:pPr>
              <w:spacing w:after="0" w:line="240" w:lineRule="auto"/>
              <w:jc w:val="right"/>
              <w:rPr>
                <w:rFonts w:ascii="Calibri" w:hAnsi="Calibri"/>
                <w:b/>
                <w:bCs/>
                <w:color w:val="000000"/>
                <w:sz w:val="18"/>
                <w:szCs w:val="18"/>
              </w:rPr>
            </w:pPr>
            <w:r w:rsidRPr="000C1768">
              <w:rPr>
                <w:rFonts w:ascii="Calibri" w:hAnsi="Calibri"/>
                <w:b/>
                <w:bCs/>
                <w:color w:val="000000"/>
                <w:sz w:val="18"/>
                <w:szCs w:val="18"/>
              </w:rPr>
              <w:t>7.296.050</w:t>
            </w:r>
          </w:p>
        </w:tc>
        <w:tc>
          <w:tcPr>
            <w:tcW w:w="616" w:type="pct"/>
            <w:tcBorders>
              <w:top w:val="single" w:sz="12" w:space="0" w:color="auto"/>
              <w:left w:val="nil"/>
              <w:bottom w:val="single" w:sz="12" w:space="0" w:color="auto"/>
              <w:right w:val="nil"/>
            </w:tcBorders>
            <w:shd w:val="clear" w:color="auto" w:fill="auto"/>
            <w:vAlign w:val="bottom"/>
          </w:tcPr>
          <w:p w14:paraId="6716A71B" w14:textId="77777777" w:rsidR="00F542BB" w:rsidRPr="000C1768" w:rsidRDefault="00F542BB" w:rsidP="00F542BB">
            <w:pPr>
              <w:spacing w:after="0" w:line="240" w:lineRule="auto"/>
              <w:jc w:val="right"/>
              <w:rPr>
                <w:rFonts w:ascii="Calibri" w:hAnsi="Calibri"/>
                <w:b/>
                <w:bCs/>
                <w:color w:val="000000"/>
                <w:sz w:val="18"/>
                <w:szCs w:val="18"/>
              </w:rPr>
            </w:pPr>
            <w:r>
              <w:rPr>
                <w:rFonts w:ascii="Calibri" w:hAnsi="Calibri"/>
                <w:b/>
                <w:bCs/>
                <w:color w:val="000000"/>
                <w:sz w:val="18"/>
                <w:szCs w:val="18"/>
              </w:rPr>
              <w:t>-</w:t>
            </w:r>
          </w:p>
        </w:tc>
        <w:tc>
          <w:tcPr>
            <w:tcW w:w="566" w:type="pct"/>
            <w:tcBorders>
              <w:top w:val="single" w:sz="12" w:space="0" w:color="auto"/>
              <w:left w:val="nil"/>
              <w:bottom w:val="single" w:sz="12" w:space="0" w:color="auto"/>
              <w:right w:val="nil"/>
            </w:tcBorders>
            <w:shd w:val="clear" w:color="auto" w:fill="auto"/>
            <w:vAlign w:val="bottom"/>
          </w:tcPr>
          <w:p w14:paraId="6B159B83" w14:textId="77777777" w:rsidR="00F542BB" w:rsidRPr="000C1768" w:rsidRDefault="00F542BB" w:rsidP="00F542BB">
            <w:pPr>
              <w:spacing w:after="0" w:line="240" w:lineRule="auto"/>
              <w:jc w:val="right"/>
              <w:rPr>
                <w:rFonts w:ascii="Calibri" w:hAnsi="Calibri"/>
                <w:b/>
                <w:bCs/>
                <w:color w:val="000000"/>
                <w:sz w:val="18"/>
                <w:szCs w:val="18"/>
              </w:rPr>
            </w:pPr>
            <w:r>
              <w:rPr>
                <w:rFonts w:ascii="Calibri" w:hAnsi="Calibri"/>
                <w:b/>
                <w:bCs/>
                <w:color w:val="000000"/>
                <w:sz w:val="18"/>
                <w:szCs w:val="18"/>
              </w:rPr>
              <w:t>-</w:t>
            </w:r>
          </w:p>
        </w:tc>
      </w:tr>
    </w:tbl>
    <w:p w14:paraId="0D3118E9" w14:textId="77777777" w:rsidR="00EC2B03" w:rsidRDefault="00EC2B03" w:rsidP="00EC2B03">
      <w:pPr>
        <w:pStyle w:val="accountingpolicytitle"/>
        <w:rPr>
          <w:rFonts w:asciiTheme="minorHAnsi" w:hAnsiTheme="minorHAnsi" w:cs="Arial"/>
          <w:b w:val="0"/>
          <w:bCs/>
          <w:sz w:val="18"/>
          <w:szCs w:val="18"/>
          <w:lang w:val="hr-HR"/>
        </w:rPr>
      </w:pPr>
    </w:p>
    <w:p w14:paraId="2F956A21" w14:textId="77777777" w:rsidR="00EC2B03" w:rsidRDefault="00EC2B03" w:rsidP="00667F3A">
      <w:pPr>
        <w:pStyle w:val="accountingpolicytitle"/>
        <w:spacing w:after="60"/>
        <w:rPr>
          <w:rFonts w:asciiTheme="minorHAnsi" w:hAnsiTheme="minorHAnsi" w:cs="Arial"/>
          <w:b w:val="0"/>
          <w:bCs/>
          <w:sz w:val="18"/>
          <w:szCs w:val="18"/>
          <w:lang w:val="hr-HR"/>
        </w:rPr>
      </w:pPr>
      <w:r w:rsidRPr="00AD7F4C">
        <w:rPr>
          <w:rFonts w:asciiTheme="minorHAnsi" w:hAnsiTheme="minorHAnsi" w:cs="Arial"/>
          <w:b w:val="0"/>
          <w:bCs/>
          <w:sz w:val="18"/>
          <w:szCs w:val="18"/>
          <w:lang w:val="hr-HR"/>
        </w:rPr>
        <w:t>Stavke sa neodređenim dospijećem iskazane su u razdoblju preko 3 godine.</w:t>
      </w:r>
    </w:p>
    <w:p w14:paraId="02D8CAD0" w14:textId="77777777" w:rsidR="00AD0961" w:rsidRPr="00AD7F4C" w:rsidRDefault="00AD0961" w:rsidP="00AD0961">
      <w:pPr>
        <w:pStyle w:val="accountingpolicytitle"/>
        <w:rPr>
          <w:rFonts w:asciiTheme="minorHAnsi" w:hAnsiTheme="minorHAnsi" w:cs="Arial"/>
          <w:b w:val="0"/>
          <w:bCs/>
          <w:sz w:val="18"/>
          <w:szCs w:val="18"/>
          <w:lang w:val="hr-HR"/>
        </w:rPr>
      </w:pPr>
    </w:p>
    <w:p w14:paraId="12153268" w14:textId="3CF44A72" w:rsidR="00EC2B03" w:rsidRPr="00AD7F4C" w:rsidRDefault="00AD0961" w:rsidP="00667F3A">
      <w:pPr>
        <w:pStyle w:val="accountingpolicytitle"/>
        <w:spacing w:after="60"/>
        <w:rPr>
          <w:rFonts w:asciiTheme="minorHAnsi" w:hAnsiTheme="minorHAnsi"/>
          <w:b w:val="0"/>
          <w:i/>
          <w:sz w:val="18"/>
          <w:szCs w:val="18"/>
          <w:highlight w:val="yellow"/>
          <w:lang w:val="hr-HR"/>
        </w:rPr>
      </w:pPr>
      <w:r w:rsidRPr="00AD0961">
        <w:rPr>
          <w:rFonts w:asciiTheme="minorHAnsi" w:hAnsiTheme="minorHAnsi"/>
          <w:b w:val="0"/>
          <w:i/>
          <w:sz w:val="18"/>
          <w:szCs w:val="18"/>
          <w:lang w:val="hr-HR"/>
        </w:rPr>
        <w:t>*Potraživanje u iznosu od 232.489 tisuća kuna odnosi se na obrnute repo poslove i iskazano je u razdoblju do 1 mjesec.</w:t>
      </w:r>
    </w:p>
    <w:p w14:paraId="523B7F05" w14:textId="77777777" w:rsidR="00EC2B03" w:rsidRDefault="00EC2B03" w:rsidP="00667F3A">
      <w:pPr>
        <w:pStyle w:val="accountingpolicytitle"/>
        <w:spacing w:after="60"/>
        <w:rPr>
          <w:rFonts w:asciiTheme="minorHAnsi" w:hAnsiTheme="minorHAnsi" w:cstheme="minorHAnsi"/>
          <w:sz w:val="18"/>
          <w:szCs w:val="18"/>
          <w:lang w:val="hr-HR"/>
        </w:rPr>
        <w:sectPr w:rsidR="00EC2B03" w:rsidSect="00FD21F5">
          <w:footerReference w:type="first" r:id="rId107"/>
          <w:pgSz w:w="11906" w:h="16838" w:code="9"/>
          <w:pgMar w:top="1418" w:right="1418" w:bottom="595" w:left="1134" w:header="709" w:footer="709" w:gutter="0"/>
          <w:cols w:space="708"/>
          <w:titlePg/>
          <w:docGrid w:linePitch="360"/>
        </w:sectPr>
      </w:pPr>
    </w:p>
    <w:p w14:paraId="4F84C858" w14:textId="77777777" w:rsidR="00CE2C44" w:rsidRDefault="00CE2C44" w:rsidP="00CE2C44">
      <w:pPr>
        <w:pStyle w:val="T1"/>
        <w:spacing w:before="0" w:after="0" w:line="240" w:lineRule="auto"/>
        <w:rPr>
          <w:rFonts w:asciiTheme="minorHAnsi" w:hAnsiTheme="minorHAnsi" w:cs="Arial"/>
          <w:sz w:val="22"/>
          <w:szCs w:val="22"/>
          <w:lang w:val="hr-HR"/>
        </w:rPr>
      </w:pPr>
    </w:p>
    <w:p w14:paraId="3406B688" w14:textId="77777777" w:rsidR="00CE2C44" w:rsidRDefault="00CE2C44" w:rsidP="00CE2C44">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CE2C44">
        <w:rPr>
          <w:rFonts w:asciiTheme="minorHAnsi" w:hAnsiTheme="minorHAnsi" w:cs="Arial"/>
          <w:sz w:val="22"/>
          <w:szCs w:val="22"/>
          <w:lang w:val="hr-HR"/>
        </w:rPr>
        <w:t>.</w:t>
      </w:r>
      <w:r w:rsidRPr="00CE2C44">
        <w:rPr>
          <w:rFonts w:asciiTheme="minorHAnsi" w:hAnsiTheme="minorHAnsi" w:cs="Arial"/>
          <w:sz w:val="22"/>
          <w:szCs w:val="22"/>
          <w:lang w:val="hr-HR"/>
        </w:rPr>
        <w:tab/>
        <w:t>Upravljanje rizicima (nastavak)</w:t>
      </w:r>
    </w:p>
    <w:p w14:paraId="00953BBA" w14:textId="77777777" w:rsidR="00CE2C44" w:rsidRPr="00CE2C44" w:rsidRDefault="00CE2C44" w:rsidP="00CE2C44">
      <w:pPr>
        <w:pStyle w:val="T1"/>
        <w:spacing w:before="0" w:after="0" w:line="240" w:lineRule="auto"/>
        <w:rPr>
          <w:rFonts w:asciiTheme="minorHAnsi" w:hAnsiTheme="minorHAnsi" w:cs="Arial"/>
          <w:sz w:val="22"/>
          <w:szCs w:val="22"/>
          <w:lang w:val="hr-HR"/>
        </w:rPr>
      </w:pPr>
    </w:p>
    <w:p w14:paraId="78210A83" w14:textId="77777777" w:rsidR="00CE2C44" w:rsidRDefault="00CE2C44" w:rsidP="00CE2C44">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CE2C44">
        <w:rPr>
          <w:rFonts w:asciiTheme="minorHAnsi" w:hAnsiTheme="minorHAnsi" w:cs="Arial"/>
          <w:sz w:val="22"/>
          <w:szCs w:val="22"/>
          <w:lang w:val="hr-HR"/>
        </w:rPr>
        <w:t xml:space="preserve">.3. </w:t>
      </w:r>
      <w:r w:rsidRPr="00CE2C44">
        <w:rPr>
          <w:rFonts w:asciiTheme="minorHAnsi" w:hAnsiTheme="minorHAnsi" w:cs="Arial"/>
          <w:sz w:val="22"/>
          <w:szCs w:val="22"/>
          <w:lang w:val="hr-HR"/>
        </w:rPr>
        <w:tab/>
        <w:t>Rizik likvidnosti (nastavak)</w:t>
      </w:r>
    </w:p>
    <w:p w14:paraId="269D296C" w14:textId="77777777" w:rsidR="00CE2C44" w:rsidRPr="00CE2C44" w:rsidRDefault="00CE2C44" w:rsidP="00CE2C44">
      <w:pPr>
        <w:pStyle w:val="T1"/>
        <w:spacing w:before="0" w:after="0" w:line="240" w:lineRule="auto"/>
        <w:rPr>
          <w:rFonts w:asciiTheme="minorHAnsi" w:hAnsiTheme="minorHAnsi" w:cs="Arial"/>
          <w:sz w:val="22"/>
          <w:szCs w:val="22"/>
          <w:lang w:val="hr-HR"/>
        </w:rPr>
      </w:pPr>
    </w:p>
    <w:p w14:paraId="764ACD8D" w14:textId="6B0663EA" w:rsidR="00CE2C44" w:rsidRPr="00CE2C44" w:rsidRDefault="00CE2C44" w:rsidP="00CE2C44">
      <w:pPr>
        <w:tabs>
          <w:tab w:val="left" w:pos="-720"/>
        </w:tabs>
        <w:suppressAutoHyphens/>
        <w:spacing w:after="0" w:line="240" w:lineRule="auto"/>
        <w:jc w:val="both"/>
        <w:rPr>
          <w:rFonts w:cs="Arial"/>
          <w:sz w:val="20"/>
          <w:szCs w:val="20"/>
        </w:rPr>
      </w:pPr>
      <w:r w:rsidRPr="00CE2C44">
        <w:rPr>
          <w:rFonts w:cs="Arial"/>
          <w:sz w:val="20"/>
          <w:szCs w:val="20"/>
        </w:rPr>
        <w:t xml:space="preserve">Iznos ukupne imovine i ukupnih obveza i glavnice na dan </w:t>
      </w:r>
      <w:r w:rsidR="00FC5389">
        <w:rPr>
          <w:rFonts w:cs="Arial"/>
          <w:sz w:val="20"/>
          <w:szCs w:val="20"/>
        </w:rPr>
        <w:t>30</w:t>
      </w:r>
      <w:r w:rsidR="00AD0961">
        <w:rPr>
          <w:rFonts w:cs="Arial"/>
          <w:sz w:val="20"/>
          <w:szCs w:val="20"/>
        </w:rPr>
        <w:t xml:space="preserve">. </w:t>
      </w:r>
      <w:r w:rsidR="00FC5389">
        <w:rPr>
          <w:rFonts w:cs="Arial"/>
          <w:sz w:val="20"/>
          <w:szCs w:val="20"/>
        </w:rPr>
        <w:t>lipnja</w:t>
      </w:r>
      <w:r w:rsidR="00FC5389" w:rsidRPr="00CE2C44">
        <w:rPr>
          <w:rFonts w:cs="Arial"/>
          <w:sz w:val="20"/>
          <w:szCs w:val="20"/>
        </w:rPr>
        <w:t xml:space="preserve"> </w:t>
      </w:r>
      <w:r w:rsidRPr="00CE2C44">
        <w:rPr>
          <w:rFonts w:cs="Arial"/>
          <w:sz w:val="20"/>
          <w:szCs w:val="20"/>
        </w:rPr>
        <w:t>201</w:t>
      </w:r>
      <w:r w:rsidR="00AD0961">
        <w:rPr>
          <w:rFonts w:cs="Arial"/>
          <w:sz w:val="20"/>
          <w:szCs w:val="20"/>
        </w:rPr>
        <w:t>7</w:t>
      </w:r>
      <w:r w:rsidRPr="00CE2C44">
        <w:rPr>
          <w:rFonts w:cs="Arial"/>
          <w:sz w:val="20"/>
          <w:szCs w:val="20"/>
        </w:rPr>
        <w:t>. i 31. prosinca 201</w:t>
      </w:r>
      <w:r w:rsidR="00AD0961">
        <w:rPr>
          <w:rFonts w:cs="Arial"/>
          <w:sz w:val="20"/>
          <w:szCs w:val="20"/>
        </w:rPr>
        <w:t>6</w:t>
      </w:r>
      <w:r w:rsidRPr="00CE2C44">
        <w:rPr>
          <w:rFonts w:cs="Arial"/>
          <w:sz w:val="20"/>
          <w:szCs w:val="20"/>
        </w:rPr>
        <w:t>. godine analiziran je kroz preostalo razdoblje od dana Izvještaja o financijskom položaju u odnosu na ugovoreni datum dospijeća kako slijedi:</w:t>
      </w:r>
    </w:p>
    <w:tbl>
      <w:tblPr>
        <w:tblW w:w="5077" w:type="pct"/>
        <w:jc w:val="right"/>
        <w:tblLayout w:type="fixed"/>
        <w:tblCellMar>
          <w:left w:w="120" w:type="dxa"/>
          <w:right w:w="120" w:type="dxa"/>
        </w:tblCellMar>
        <w:tblLook w:val="0000" w:firstRow="0" w:lastRow="0" w:firstColumn="0" w:lastColumn="0" w:noHBand="0" w:noVBand="0"/>
      </w:tblPr>
      <w:tblGrid>
        <w:gridCol w:w="3025"/>
        <w:gridCol w:w="1034"/>
        <w:gridCol w:w="1189"/>
        <w:gridCol w:w="992"/>
        <w:gridCol w:w="992"/>
        <w:gridCol w:w="1134"/>
        <w:gridCol w:w="1132"/>
      </w:tblGrid>
      <w:tr w:rsidR="006F40A6" w:rsidRPr="00CE2C44" w14:paraId="278035A1" w14:textId="77777777" w:rsidTr="007E1860">
        <w:trPr>
          <w:trHeight w:val="487"/>
          <w:jc w:val="right"/>
        </w:trPr>
        <w:tc>
          <w:tcPr>
            <w:tcW w:w="1592" w:type="pct"/>
            <w:vAlign w:val="bottom"/>
          </w:tcPr>
          <w:p w14:paraId="2EBC98B4" w14:textId="77777777" w:rsidR="006F40A6" w:rsidRPr="007E1860" w:rsidRDefault="006F40A6" w:rsidP="00F93702">
            <w:pPr>
              <w:tabs>
                <w:tab w:val="right" w:pos="1202"/>
              </w:tabs>
              <w:spacing w:after="0" w:line="240" w:lineRule="exact"/>
              <w:outlineLvl w:val="0"/>
              <w:rPr>
                <w:rFonts w:cs="Arial"/>
                <w:b/>
                <w:sz w:val="18"/>
                <w:szCs w:val="18"/>
              </w:rPr>
            </w:pPr>
            <w:r w:rsidRPr="007E1860">
              <w:rPr>
                <w:rFonts w:cs="Arial"/>
                <w:b/>
                <w:sz w:val="18"/>
                <w:szCs w:val="18"/>
              </w:rPr>
              <w:t>Banka</w:t>
            </w:r>
          </w:p>
          <w:p w14:paraId="143AFC3F" w14:textId="3A512F9C" w:rsidR="006F40A6" w:rsidRPr="007E1860" w:rsidRDefault="006152B9">
            <w:pPr>
              <w:tabs>
                <w:tab w:val="right" w:pos="1202"/>
              </w:tabs>
              <w:spacing w:after="0" w:line="240" w:lineRule="exact"/>
              <w:outlineLvl w:val="0"/>
              <w:rPr>
                <w:rFonts w:cs="Arial"/>
                <w:b/>
                <w:sz w:val="18"/>
                <w:szCs w:val="18"/>
              </w:rPr>
            </w:pPr>
            <w:r w:rsidRPr="007E1860">
              <w:rPr>
                <w:rFonts w:cs="Arial"/>
                <w:b/>
                <w:sz w:val="18"/>
                <w:szCs w:val="18"/>
              </w:rPr>
              <w:t>3</w:t>
            </w:r>
            <w:r>
              <w:rPr>
                <w:rFonts w:cs="Arial"/>
                <w:b/>
                <w:sz w:val="18"/>
                <w:szCs w:val="18"/>
              </w:rPr>
              <w:t>0</w:t>
            </w:r>
            <w:r w:rsidR="00AD0961" w:rsidRPr="007E1860">
              <w:rPr>
                <w:rFonts w:cs="Arial"/>
                <w:b/>
                <w:sz w:val="18"/>
                <w:szCs w:val="18"/>
              </w:rPr>
              <w:t>.</w:t>
            </w:r>
            <w:r>
              <w:rPr>
                <w:rFonts w:cs="Arial"/>
                <w:b/>
                <w:sz w:val="18"/>
                <w:szCs w:val="18"/>
              </w:rPr>
              <w:t>6</w:t>
            </w:r>
            <w:r w:rsidR="00AD0961" w:rsidRPr="007E1860">
              <w:rPr>
                <w:rFonts w:cs="Arial"/>
                <w:b/>
                <w:sz w:val="18"/>
                <w:szCs w:val="18"/>
              </w:rPr>
              <w:t>.2017.</w:t>
            </w:r>
          </w:p>
        </w:tc>
        <w:tc>
          <w:tcPr>
            <w:tcW w:w="544" w:type="pct"/>
          </w:tcPr>
          <w:p w14:paraId="35EBC1F9" w14:textId="77777777" w:rsidR="006F40A6" w:rsidRPr="00CE2C44" w:rsidRDefault="006F40A6" w:rsidP="00F93702">
            <w:pPr>
              <w:tabs>
                <w:tab w:val="right" w:pos="1202"/>
              </w:tabs>
              <w:spacing w:after="0" w:line="240" w:lineRule="exact"/>
              <w:jc w:val="right"/>
              <w:outlineLvl w:val="0"/>
              <w:rPr>
                <w:rFonts w:cs="Arial"/>
                <w:b/>
                <w:sz w:val="17"/>
                <w:szCs w:val="17"/>
              </w:rPr>
            </w:pPr>
            <w:r w:rsidRPr="00CE2C44">
              <w:rPr>
                <w:rFonts w:cs="Arial"/>
                <w:b/>
                <w:sz w:val="17"/>
                <w:szCs w:val="17"/>
              </w:rPr>
              <w:t>Do 1 mjesec</w:t>
            </w:r>
          </w:p>
        </w:tc>
        <w:tc>
          <w:tcPr>
            <w:tcW w:w="626" w:type="pct"/>
          </w:tcPr>
          <w:p w14:paraId="307D3311" w14:textId="77777777" w:rsidR="006F40A6" w:rsidRPr="00CE2C44" w:rsidRDefault="006F40A6" w:rsidP="00F93702">
            <w:pPr>
              <w:tabs>
                <w:tab w:val="right" w:pos="1202"/>
              </w:tabs>
              <w:spacing w:after="0" w:line="240" w:lineRule="exact"/>
              <w:jc w:val="right"/>
              <w:outlineLvl w:val="0"/>
              <w:rPr>
                <w:rFonts w:cs="Arial"/>
                <w:b/>
                <w:sz w:val="17"/>
                <w:szCs w:val="17"/>
              </w:rPr>
            </w:pPr>
            <w:r w:rsidRPr="00CE2C44">
              <w:rPr>
                <w:rFonts w:cs="Arial"/>
                <w:b/>
                <w:sz w:val="17"/>
                <w:szCs w:val="17"/>
              </w:rPr>
              <w:t>1 do 3 mjeseca</w:t>
            </w:r>
          </w:p>
        </w:tc>
        <w:tc>
          <w:tcPr>
            <w:tcW w:w="522" w:type="pct"/>
          </w:tcPr>
          <w:p w14:paraId="4E1CE333" w14:textId="77777777" w:rsidR="006F40A6" w:rsidRPr="00CE2C44" w:rsidRDefault="006F40A6" w:rsidP="00F93702">
            <w:pPr>
              <w:tabs>
                <w:tab w:val="right" w:pos="1202"/>
              </w:tabs>
              <w:spacing w:after="0" w:line="240" w:lineRule="exact"/>
              <w:jc w:val="right"/>
              <w:outlineLvl w:val="0"/>
              <w:rPr>
                <w:rFonts w:cs="Arial"/>
                <w:b/>
                <w:sz w:val="17"/>
                <w:szCs w:val="17"/>
              </w:rPr>
            </w:pPr>
            <w:r w:rsidRPr="00CE2C44">
              <w:rPr>
                <w:rFonts w:cs="Arial"/>
                <w:b/>
                <w:sz w:val="17"/>
                <w:szCs w:val="17"/>
              </w:rPr>
              <w:t>3 mj. do 1 godine</w:t>
            </w:r>
          </w:p>
        </w:tc>
        <w:tc>
          <w:tcPr>
            <w:tcW w:w="522" w:type="pct"/>
          </w:tcPr>
          <w:p w14:paraId="4544F511" w14:textId="77777777" w:rsidR="006F40A6" w:rsidRPr="00CE2C44" w:rsidRDefault="006F40A6" w:rsidP="00F93702">
            <w:pPr>
              <w:tabs>
                <w:tab w:val="right" w:pos="1202"/>
              </w:tabs>
              <w:spacing w:after="0" w:line="240" w:lineRule="exact"/>
              <w:jc w:val="right"/>
              <w:outlineLvl w:val="0"/>
              <w:rPr>
                <w:rFonts w:cs="Arial"/>
                <w:b/>
                <w:sz w:val="17"/>
                <w:szCs w:val="17"/>
              </w:rPr>
            </w:pPr>
            <w:r w:rsidRPr="00CE2C44">
              <w:rPr>
                <w:rFonts w:cs="Arial"/>
                <w:b/>
                <w:sz w:val="17"/>
                <w:szCs w:val="17"/>
              </w:rPr>
              <w:t>1 do 3 godina</w:t>
            </w:r>
          </w:p>
        </w:tc>
        <w:tc>
          <w:tcPr>
            <w:tcW w:w="597" w:type="pct"/>
          </w:tcPr>
          <w:p w14:paraId="017A6957" w14:textId="77777777" w:rsidR="006F40A6" w:rsidRPr="00CE2C44" w:rsidRDefault="006F40A6" w:rsidP="00F93702">
            <w:pPr>
              <w:tabs>
                <w:tab w:val="right" w:pos="1202"/>
              </w:tabs>
              <w:spacing w:after="0" w:line="240" w:lineRule="exact"/>
              <w:jc w:val="right"/>
              <w:outlineLvl w:val="0"/>
              <w:rPr>
                <w:rFonts w:cs="Arial"/>
                <w:b/>
                <w:sz w:val="17"/>
                <w:szCs w:val="17"/>
              </w:rPr>
            </w:pPr>
            <w:r w:rsidRPr="00CE2C44">
              <w:rPr>
                <w:rFonts w:cs="Arial"/>
                <w:b/>
                <w:sz w:val="17"/>
                <w:szCs w:val="17"/>
              </w:rPr>
              <w:t>Preko 3 godine</w:t>
            </w:r>
          </w:p>
        </w:tc>
        <w:tc>
          <w:tcPr>
            <w:tcW w:w="596" w:type="pct"/>
          </w:tcPr>
          <w:p w14:paraId="5027F21D" w14:textId="77777777" w:rsidR="006F40A6" w:rsidRPr="00CE2C44" w:rsidRDefault="006F40A6" w:rsidP="00F93702">
            <w:pPr>
              <w:tabs>
                <w:tab w:val="right" w:pos="1202"/>
              </w:tabs>
              <w:spacing w:after="0" w:line="240" w:lineRule="exact"/>
              <w:jc w:val="right"/>
              <w:outlineLvl w:val="0"/>
              <w:rPr>
                <w:rFonts w:cs="Arial"/>
                <w:b/>
                <w:sz w:val="17"/>
                <w:szCs w:val="17"/>
              </w:rPr>
            </w:pPr>
            <w:r w:rsidRPr="00CE2C44">
              <w:rPr>
                <w:rFonts w:cs="Arial"/>
                <w:b/>
                <w:sz w:val="17"/>
                <w:szCs w:val="17"/>
              </w:rPr>
              <w:t>Ukupno</w:t>
            </w:r>
          </w:p>
        </w:tc>
      </w:tr>
      <w:tr w:rsidR="006F40A6" w:rsidRPr="00CE2C44" w14:paraId="11FCBAD0" w14:textId="77777777" w:rsidTr="007E1860">
        <w:trPr>
          <w:trHeight w:val="230"/>
          <w:jc w:val="right"/>
        </w:trPr>
        <w:tc>
          <w:tcPr>
            <w:tcW w:w="1592" w:type="pct"/>
          </w:tcPr>
          <w:p w14:paraId="7C96206D" w14:textId="77777777" w:rsidR="006F40A6" w:rsidRPr="007E1860" w:rsidRDefault="006F40A6" w:rsidP="00F93702">
            <w:pPr>
              <w:tabs>
                <w:tab w:val="right" w:pos="1202"/>
              </w:tabs>
              <w:spacing w:after="0" w:line="240" w:lineRule="exact"/>
              <w:outlineLvl w:val="0"/>
              <w:rPr>
                <w:rFonts w:cs="Arial"/>
                <w:b/>
                <w:bCs/>
                <w:sz w:val="18"/>
                <w:szCs w:val="18"/>
              </w:rPr>
            </w:pPr>
            <w:r w:rsidRPr="007E1860">
              <w:rPr>
                <w:rFonts w:cs="Arial"/>
                <w:b/>
                <w:bCs/>
                <w:sz w:val="18"/>
                <w:szCs w:val="18"/>
              </w:rPr>
              <w:t>Imovina</w:t>
            </w:r>
          </w:p>
        </w:tc>
        <w:tc>
          <w:tcPr>
            <w:tcW w:w="544" w:type="pct"/>
            <w:vAlign w:val="bottom"/>
          </w:tcPr>
          <w:p w14:paraId="2666E59E" w14:textId="77777777" w:rsidR="006F40A6" w:rsidRPr="00CE2C44" w:rsidRDefault="006F40A6" w:rsidP="00F93702">
            <w:pPr>
              <w:tabs>
                <w:tab w:val="right" w:pos="1202"/>
              </w:tabs>
              <w:spacing w:after="0" w:line="240" w:lineRule="exact"/>
              <w:jc w:val="right"/>
              <w:outlineLvl w:val="0"/>
              <w:rPr>
                <w:rFonts w:cs="Arial"/>
                <w:b/>
                <w:bCs/>
                <w:spacing w:val="-2"/>
                <w:sz w:val="17"/>
                <w:szCs w:val="17"/>
              </w:rPr>
            </w:pPr>
          </w:p>
        </w:tc>
        <w:tc>
          <w:tcPr>
            <w:tcW w:w="626" w:type="pct"/>
            <w:vAlign w:val="bottom"/>
          </w:tcPr>
          <w:p w14:paraId="5483A727" w14:textId="77777777" w:rsidR="006F40A6" w:rsidRPr="00CE2C44" w:rsidRDefault="006F40A6" w:rsidP="00F93702">
            <w:pPr>
              <w:tabs>
                <w:tab w:val="right" w:pos="1202"/>
              </w:tabs>
              <w:spacing w:after="0" w:line="240" w:lineRule="exact"/>
              <w:jc w:val="right"/>
              <w:outlineLvl w:val="0"/>
              <w:rPr>
                <w:rFonts w:cs="Arial"/>
                <w:b/>
                <w:bCs/>
                <w:spacing w:val="-2"/>
                <w:sz w:val="17"/>
                <w:szCs w:val="17"/>
              </w:rPr>
            </w:pPr>
          </w:p>
        </w:tc>
        <w:tc>
          <w:tcPr>
            <w:tcW w:w="522" w:type="pct"/>
            <w:vAlign w:val="bottom"/>
          </w:tcPr>
          <w:p w14:paraId="59B06B51" w14:textId="77777777" w:rsidR="006F40A6" w:rsidRPr="00CE2C44" w:rsidRDefault="006F40A6" w:rsidP="00F93702">
            <w:pPr>
              <w:tabs>
                <w:tab w:val="right" w:pos="1202"/>
              </w:tabs>
              <w:spacing w:after="0" w:line="240" w:lineRule="exact"/>
              <w:jc w:val="right"/>
              <w:outlineLvl w:val="0"/>
              <w:rPr>
                <w:rFonts w:cs="Arial"/>
                <w:b/>
                <w:bCs/>
                <w:spacing w:val="-2"/>
                <w:sz w:val="17"/>
                <w:szCs w:val="17"/>
              </w:rPr>
            </w:pPr>
          </w:p>
        </w:tc>
        <w:tc>
          <w:tcPr>
            <w:tcW w:w="522" w:type="pct"/>
            <w:vAlign w:val="bottom"/>
          </w:tcPr>
          <w:p w14:paraId="6011EEB2" w14:textId="77777777" w:rsidR="006F40A6" w:rsidRPr="00CE2C44" w:rsidRDefault="006F40A6" w:rsidP="00F93702">
            <w:pPr>
              <w:tabs>
                <w:tab w:val="right" w:pos="1202"/>
              </w:tabs>
              <w:spacing w:after="0" w:line="240" w:lineRule="exact"/>
              <w:jc w:val="right"/>
              <w:outlineLvl w:val="0"/>
              <w:rPr>
                <w:rFonts w:cs="Arial"/>
                <w:b/>
                <w:bCs/>
                <w:spacing w:val="-2"/>
                <w:sz w:val="17"/>
                <w:szCs w:val="17"/>
              </w:rPr>
            </w:pPr>
          </w:p>
        </w:tc>
        <w:tc>
          <w:tcPr>
            <w:tcW w:w="597" w:type="pct"/>
            <w:vAlign w:val="bottom"/>
          </w:tcPr>
          <w:p w14:paraId="2AFF0E90" w14:textId="77777777" w:rsidR="006F40A6" w:rsidRPr="00CE2C44" w:rsidRDefault="006F40A6" w:rsidP="00F93702">
            <w:pPr>
              <w:tabs>
                <w:tab w:val="right" w:pos="1202"/>
              </w:tabs>
              <w:spacing w:after="0" w:line="240" w:lineRule="exact"/>
              <w:jc w:val="right"/>
              <w:outlineLvl w:val="0"/>
              <w:rPr>
                <w:rFonts w:cs="Arial"/>
                <w:b/>
                <w:bCs/>
                <w:spacing w:val="-2"/>
                <w:sz w:val="17"/>
                <w:szCs w:val="17"/>
              </w:rPr>
            </w:pPr>
          </w:p>
        </w:tc>
        <w:tc>
          <w:tcPr>
            <w:tcW w:w="596" w:type="pct"/>
            <w:vAlign w:val="bottom"/>
          </w:tcPr>
          <w:p w14:paraId="15DE735F" w14:textId="77777777" w:rsidR="006F40A6" w:rsidRPr="00CE2C44" w:rsidRDefault="006F40A6" w:rsidP="00F93702">
            <w:pPr>
              <w:tabs>
                <w:tab w:val="right" w:pos="1202"/>
              </w:tabs>
              <w:spacing w:after="0" w:line="240" w:lineRule="exact"/>
              <w:jc w:val="right"/>
              <w:outlineLvl w:val="0"/>
              <w:rPr>
                <w:rFonts w:cs="Arial"/>
                <w:b/>
                <w:bCs/>
                <w:spacing w:val="-2"/>
                <w:sz w:val="17"/>
                <w:szCs w:val="17"/>
              </w:rPr>
            </w:pPr>
          </w:p>
        </w:tc>
      </w:tr>
      <w:tr w:rsidR="00D333B2" w:rsidRPr="00CE2C44" w14:paraId="1DC340CD" w14:textId="77777777" w:rsidTr="00312975">
        <w:trPr>
          <w:trHeight w:val="244"/>
          <w:jc w:val="right"/>
        </w:trPr>
        <w:tc>
          <w:tcPr>
            <w:tcW w:w="1592" w:type="pct"/>
          </w:tcPr>
          <w:p w14:paraId="279772FD" w14:textId="77777777" w:rsidR="00D333B2" w:rsidRPr="007E1860" w:rsidRDefault="00D333B2" w:rsidP="00D333B2">
            <w:pPr>
              <w:tabs>
                <w:tab w:val="right" w:pos="1202"/>
              </w:tabs>
              <w:spacing w:after="0" w:line="240" w:lineRule="exact"/>
              <w:outlineLvl w:val="0"/>
              <w:rPr>
                <w:rFonts w:cs="Arial"/>
                <w:sz w:val="18"/>
                <w:szCs w:val="18"/>
              </w:rPr>
            </w:pPr>
            <w:r w:rsidRPr="007E1860">
              <w:rPr>
                <w:rFonts w:cs="Arial"/>
                <w:spacing w:val="-2"/>
                <w:sz w:val="18"/>
                <w:szCs w:val="18"/>
              </w:rPr>
              <w:t>Novčana sredstva i računi kod banaka</w:t>
            </w:r>
          </w:p>
        </w:tc>
        <w:tc>
          <w:tcPr>
            <w:tcW w:w="544" w:type="pct"/>
            <w:tcBorders>
              <w:top w:val="nil"/>
              <w:left w:val="nil"/>
              <w:bottom w:val="nil"/>
              <w:right w:val="nil"/>
            </w:tcBorders>
            <w:shd w:val="clear" w:color="auto" w:fill="auto"/>
            <w:vAlign w:val="center"/>
          </w:tcPr>
          <w:p w14:paraId="78231AF0" w14:textId="579C3DED"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1.680.033</w:t>
            </w:r>
          </w:p>
        </w:tc>
        <w:tc>
          <w:tcPr>
            <w:tcW w:w="626" w:type="pct"/>
            <w:tcBorders>
              <w:top w:val="nil"/>
              <w:left w:val="nil"/>
              <w:bottom w:val="nil"/>
              <w:right w:val="nil"/>
            </w:tcBorders>
            <w:shd w:val="clear" w:color="auto" w:fill="auto"/>
            <w:vAlign w:val="bottom"/>
          </w:tcPr>
          <w:p w14:paraId="75CD70E1" w14:textId="2000872A" w:rsidR="00D333B2" w:rsidRPr="007E1860" w:rsidRDefault="00D333B2" w:rsidP="00D333B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65706624" w14:textId="4F4E1679" w:rsidR="00D333B2" w:rsidRPr="007E1860" w:rsidRDefault="00D333B2" w:rsidP="00D333B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240B5D67" w14:textId="01C0ECFD" w:rsidR="00D333B2" w:rsidRPr="007E1860" w:rsidRDefault="00D333B2" w:rsidP="00D333B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630B0897" w14:textId="61504EE5" w:rsidR="00D333B2" w:rsidRPr="007E1860" w:rsidRDefault="00D333B2" w:rsidP="00D333B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6" w:type="pct"/>
            <w:tcBorders>
              <w:top w:val="nil"/>
              <w:left w:val="nil"/>
              <w:bottom w:val="nil"/>
              <w:right w:val="nil"/>
            </w:tcBorders>
            <w:shd w:val="clear" w:color="auto" w:fill="auto"/>
            <w:vAlign w:val="bottom"/>
          </w:tcPr>
          <w:p w14:paraId="39557055" w14:textId="60EF8EBE"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1.680.033</w:t>
            </w:r>
          </w:p>
        </w:tc>
      </w:tr>
      <w:tr w:rsidR="00D333B2" w:rsidRPr="00CE2C44" w14:paraId="42D2941D" w14:textId="77777777" w:rsidTr="00312975">
        <w:trPr>
          <w:trHeight w:val="263"/>
          <w:jc w:val="right"/>
        </w:trPr>
        <w:tc>
          <w:tcPr>
            <w:tcW w:w="1592" w:type="pct"/>
          </w:tcPr>
          <w:p w14:paraId="6699BCBB" w14:textId="77777777" w:rsidR="00D333B2" w:rsidRPr="007E1860" w:rsidRDefault="00D333B2" w:rsidP="00D333B2">
            <w:pPr>
              <w:tabs>
                <w:tab w:val="right" w:pos="1202"/>
              </w:tabs>
              <w:spacing w:after="0" w:line="240" w:lineRule="exact"/>
              <w:outlineLvl w:val="0"/>
              <w:rPr>
                <w:rFonts w:cs="Arial"/>
                <w:sz w:val="18"/>
                <w:szCs w:val="18"/>
              </w:rPr>
            </w:pPr>
            <w:r w:rsidRPr="007E1860">
              <w:rPr>
                <w:rFonts w:cs="Arial"/>
                <w:spacing w:val="-2"/>
                <w:sz w:val="18"/>
                <w:szCs w:val="18"/>
              </w:rPr>
              <w:t>Depoziti kod drugih banaka</w:t>
            </w:r>
          </w:p>
        </w:tc>
        <w:tc>
          <w:tcPr>
            <w:tcW w:w="544" w:type="pct"/>
            <w:tcBorders>
              <w:top w:val="nil"/>
              <w:left w:val="nil"/>
              <w:bottom w:val="nil"/>
              <w:right w:val="nil"/>
            </w:tcBorders>
            <w:shd w:val="clear" w:color="auto" w:fill="auto"/>
            <w:vAlign w:val="center"/>
          </w:tcPr>
          <w:p w14:paraId="32EA3DFB" w14:textId="614400EA"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1.548</w:t>
            </w:r>
          </w:p>
        </w:tc>
        <w:tc>
          <w:tcPr>
            <w:tcW w:w="626" w:type="pct"/>
            <w:tcBorders>
              <w:top w:val="nil"/>
              <w:left w:val="nil"/>
              <w:bottom w:val="nil"/>
              <w:right w:val="nil"/>
            </w:tcBorders>
            <w:shd w:val="clear" w:color="auto" w:fill="auto"/>
            <w:vAlign w:val="center"/>
          </w:tcPr>
          <w:p w14:paraId="5F589D2C" w14:textId="08E3EE72" w:rsidR="00D333B2" w:rsidRPr="007E1860" w:rsidRDefault="00D333B2" w:rsidP="00D333B2">
            <w:pPr>
              <w:spacing w:after="0" w:line="240" w:lineRule="exact"/>
              <w:jc w:val="right"/>
              <w:outlineLvl w:val="0"/>
              <w:rPr>
                <w:rFonts w:cs="Arial"/>
                <w:bCs/>
                <w:color w:val="000000"/>
                <w:sz w:val="18"/>
                <w:szCs w:val="18"/>
                <w:lang w:eastAsia="hr-HR"/>
              </w:rPr>
            </w:pPr>
            <w:r>
              <w:rPr>
                <w:rFonts w:cs="Arial"/>
                <w:bCs/>
                <w:color w:val="000000"/>
                <w:sz w:val="18"/>
                <w:szCs w:val="18"/>
                <w:lang w:eastAsia="hr-HR"/>
              </w:rPr>
              <w:t>-</w:t>
            </w:r>
          </w:p>
        </w:tc>
        <w:tc>
          <w:tcPr>
            <w:tcW w:w="522" w:type="pct"/>
            <w:tcBorders>
              <w:top w:val="nil"/>
              <w:left w:val="nil"/>
              <w:bottom w:val="nil"/>
              <w:right w:val="nil"/>
            </w:tcBorders>
            <w:shd w:val="clear" w:color="auto" w:fill="auto"/>
            <w:vAlign w:val="center"/>
          </w:tcPr>
          <w:p w14:paraId="65929CC4" w14:textId="2B3F524C" w:rsidR="00D333B2" w:rsidRPr="007E1860" w:rsidRDefault="00D333B2" w:rsidP="00D333B2">
            <w:pPr>
              <w:spacing w:after="0" w:line="240" w:lineRule="exact"/>
              <w:jc w:val="right"/>
              <w:outlineLvl w:val="0"/>
              <w:rPr>
                <w:rFonts w:cs="Arial"/>
                <w:bCs/>
                <w:color w:val="000000"/>
                <w:sz w:val="18"/>
                <w:szCs w:val="18"/>
                <w:lang w:eastAsia="hr-HR"/>
              </w:rPr>
            </w:pPr>
            <w:r>
              <w:rPr>
                <w:rFonts w:cs="Arial"/>
                <w:bCs/>
                <w:color w:val="000000"/>
                <w:sz w:val="18"/>
                <w:szCs w:val="18"/>
                <w:lang w:eastAsia="hr-HR"/>
              </w:rPr>
              <w:t>-</w:t>
            </w:r>
          </w:p>
        </w:tc>
        <w:tc>
          <w:tcPr>
            <w:tcW w:w="522" w:type="pct"/>
            <w:tcBorders>
              <w:top w:val="nil"/>
              <w:left w:val="nil"/>
              <w:bottom w:val="nil"/>
              <w:right w:val="nil"/>
            </w:tcBorders>
            <w:shd w:val="clear" w:color="auto" w:fill="auto"/>
            <w:vAlign w:val="center"/>
          </w:tcPr>
          <w:p w14:paraId="4494E7BD" w14:textId="37450101" w:rsidR="00D333B2" w:rsidRPr="007E1860" w:rsidRDefault="00D333B2" w:rsidP="00D333B2">
            <w:pPr>
              <w:spacing w:after="0" w:line="240" w:lineRule="exact"/>
              <w:jc w:val="right"/>
              <w:outlineLvl w:val="0"/>
              <w:rPr>
                <w:rFonts w:cs="Arial"/>
                <w:bCs/>
                <w:color w:val="000000"/>
                <w:sz w:val="18"/>
                <w:szCs w:val="18"/>
                <w:lang w:eastAsia="hr-HR"/>
              </w:rPr>
            </w:pPr>
            <w:r>
              <w:rPr>
                <w:rFonts w:cs="Arial"/>
                <w:bCs/>
                <w:color w:val="000000"/>
                <w:sz w:val="18"/>
                <w:szCs w:val="18"/>
                <w:lang w:eastAsia="hr-HR"/>
              </w:rPr>
              <w:t>-</w:t>
            </w:r>
          </w:p>
        </w:tc>
        <w:tc>
          <w:tcPr>
            <w:tcW w:w="597" w:type="pct"/>
            <w:tcBorders>
              <w:top w:val="nil"/>
              <w:left w:val="nil"/>
              <w:bottom w:val="nil"/>
              <w:right w:val="nil"/>
            </w:tcBorders>
            <w:shd w:val="clear" w:color="auto" w:fill="auto"/>
            <w:vAlign w:val="center"/>
          </w:tcPr>
          <w:p w14:paraId="1F8B2404" w14:textId="6D446392" w:rsidR="00D333B2" w:rsidRPr="007E1860" w:rsidRDefault="00D333B2" w:rsidP="00D333B2">
            <w:pPr>
              <w:spacing w:after="0" w:line="240" w:lineRule="exact"/>
              <w:jc w:val="right"/>
              <w:outlineLvl w:val="0"/>
              <w:rPr>
                <w:rFonts w:cs="Arial"/>
                <w:bCs/>
                <w:color w:val="000000"/>
                <w:sz w:val="18"/>
                <w:szCs w:val="18"/>
                <w:lang w:eastAsia="hr-HR"/>
              </w:rPr>
            </w:pPr>
            <w:r>
              <w:rPr>
                <w:rFonts w:cs="Arial"/>
                <w:bCs/>
                <w:color w:val="000000"/>
                <w:sz w:val="18"/>
                <w:szCs w:val="18"/>
                <w:lang w:eastAsia="hr-HR"/>
              </w:rPr>
              <w:t>-</w:t>
            </w:r>
          </w:p>
        </w:tc>
        <w:tc>
          <w:tcPr>
            <w:tcW w:w="596" w:type="pct"/>
            <w:tcBorders>
              <w:top w:val="nil"/>
              <w:left w:val="nil"/>
              <w:bottom w:val="nil"/>
              <w:right w:val="nil"/>
            </w:tcBorders>
            <w:shd w:val="clear" w:color="auto" w:fill="auto"/>
            <w:vAlign w:val="bottom"/>
          </w:tcPr>
          <w:p w14:paraId="37F16593" w14:textId="73ACBA91"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1.548</w:t>
            </w:r>
          </w:p>
        </w:tc>
      </w:tr>
      <w:tr w:rsidR="00D333B2" w:rsidRPr="00CE2C44" w14:paraId="5A7D7E5C" w14:textId="77777777" w:rsidTr="00312975">
        <w:trPr>
          <w:trHeight w:val="241"/>
          <w:jc w:val="right"/>
        </w:trPr>
        <w:tc>
          <w:tcPr>
            <w:tcW w:w="1592" w:type="pct"/>
          </w:tcPr>
          <w:p w14:paraId="238902F7" w14:textId="77777777" w:rsidR="00D333B2" w:rsidRPr="007E1860" w:rsidRDefault="00D333B2" w:rsidP="00D333B2">
            <w:pPr>
              <w:tabs>
                <w:tab w:val="right" w:pos="1202"/>
              </w:tabs>
              <w:spacing w:after="0" w:line="240" w:lineRule="exact"/>
              <w:outlineLvl w:val="0"/>
              <w:rPr>
                <w:rFonts w:cs="Arial"/>
                <w:sz w:val="18"/>
                <w:szCs w:val="18"/>
              </w:rPr>
            </w:pPr>
            <w:r w:rsidRPr="007E1860">
              <w:rPr>
                <w:rFonts w:cs="Arial"/>
                <w:spacing w:val="-2"/>
                <w:sz w:val="18"/>
                <w:szCs w:val="18"/>
              </w:rPr>
              <w:t>Krediti financijskim institucijama*</w:t>
            </w:r>
          </w:p>
        </w:tc>
        <w:tc>
          <w:tcPr>
            <w:tcW w:w="544" w:type="pct"/>
            <w:tcBorders>
              <w:top w:val="nil"/>
              <w:left w:val="nil"/>
              <w:bottom w:val="nil"/>
              <w:right w:val="nil"/>
            </w:tcBorders>
            <w:shd w:val="clear" w:color="auto" w:fill="auto"/>
            <w:vAlign w:val="center"/>
          </w:tcPr>
          <w:p w14:paraId="5A437CD2" w14:textId="447E477C"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436.645</w:t>
            </w:r>
          </w:p>
        </w:tc>
        <w:tc>
          <w:tcPr>
            <w:tcW w:w="626" w:type="pct"/>
            <w:tcBorders>
              <w:top w:val="nil"/>
              <w:left w:val="nil"/>
              <w:bottom w:val="nil"/>
              <w:right w:val="nil"/>
            </w:tcBorders>
            <w:shd w:val="clear" w:color="auto" w:fill="auto"/>
            <w:vAlign w:val="center"/>
          </w:tcPr>
          <w:p w14:paraId="6A185BE1" w14:textId="3B892ECC" w:rsidR="00D333B2" w:rsidRPr="007E1860" w:rsidRDefault="00D333B2" w:rsidP="00D333B2">
            <w:pPr>
              <w:spacing w:after="0" w:line="240" w:lineRule="exact"/>
              <w:jc w:val="right"/>
              <w:outlineLvl w:val="0"/>
              <w:rPr>
                <w:rFonts w:cs="Arial"/>
                <w:bCs/>
                <w:color w:val="000000"/>
                <w:sz w:val="18"/>
                <w:szCs w:val="18"/>
                <w:lang w:eastAsia="hr-HR"/>
              </w:rPr>
            </w:pPr>
            <w:r>
              <w:rPr>
                <w:rFonts w:cs="Arial"/>
                <w:bCs/>
                <w:color w:val="000000"/>
                <w:sz w:val="18"/>
                <w:szCs w:val="18"/>
                <w:lang w:eastAsia="hr-HR"/>
              </w:rPr>
              <w:t>522.487</w:t>
            </w:r>
          </w:p>
        </w:tc>
        <w:tc>
          <w:tcPr>
            <w:tcW w:w="522" w:type="pct"/>
            <w:tcBorders>
              <w:top w:val="nil"/>
              <w:left w:val="nil"/>
              <w:bottom w:val="nil"/>
              <w:right w:val="nil"/>
            </w:tcBorders>
            <w:shd w:val="clear" w:color="auto" w:fill="auto"/>
            <w:vAlign w:val="center"/>
          </w:tcPr>
          <w:p w14:paraId="4389AD8A" w14:textId="18D51E48"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1.444.349</w:t>
            </w:r>
          </w:p>
        </w:tc>
        <w:tc>
          <w:tcPr>
            <w:tcW w:w="522" w:type="pct"/>
            <w:tcBorders>
              <w:top w:val="nil"/>
              <w:left w:val="nil"/>
              <w:bottom w:val="nil"/>
              <w:right w:val="nil"/>
            </w:tcBorders>
            <w:shd w:val="clear" w:color="auto" w:fill="auto"/>
            <w:vAlign w:val="center"/>
          </w:tcPr>
          <w:p w14:paraId="13D36911" w14:textId="42F75F49"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3.032.733</w:t>
            </w:r>
          </w:p>
        </w:tc>
        <w:tc>
          <w:tcPr>
            <w:tcW w:w="597" w:type="pct"/>
            <w:tcBorders>
              <w:top w:val="nil"/>
              <w:left w:val="nil"/>
              <w:bottom w:val="nil"/>
              <w:right w:val="nil"/>
            </w:tcBorders>
            <w:shd w:val="clear" w:color="auto" w:fill="auto"/>
            <w:vAlign w:val="center"/>
          </w:tcPr>
          <w:p w14:paraId="3072742A" w14:textId="270F5707"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5.877.288</w:t>
            </w:r>
          </w:p>
        </w:tc>
        <w:tc>
          <w:tcPr>
            <w:tcW w:w="596" w:type="pct"/>
            <w:tcBorders>
              <w:top w:val="nil"/>
              <w:left w:val="nil"/>
              <w:bottom w:val="nil"/>
              <w:right w:val="nil"/>
            </w:tcBorders>
            <w:shd w:val="clear" w:color="auto" w:fill="auto"/>
            <w:vAlign w:val="bottom"/>
          </w:tcPr>
          <w:p w14:paraId="31DF3192" w14:textId="128A636A"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11.313.502</w:t>
            </w:r>
          </w:p>
        </w:tc>
      </w:tr>
      <w:tr w:rsidR="00D333B2" w:rsidRPr="00CE2C44" w14:paraId="27C6109B" w14:textId="77777777" w:rsidTr="00312975">
        <w:trPr>
          <w:trHeight w:val="244"/>
          <w:jc w:val="right"/>
        </w:trPr>
        <w:tc>
          <w:tcPr>
            <w:tcW w:w="1592" w:type="pct"/>
          </w:tcPr>
          <w:p w14:paraId="1B6584D6" w14:textId="77777777" w:rsidR="00D333B2" w:rsidRPr="007E1860" w:rsidRDefault="00D333B2" w:rsidP="00D333B2">
            <w:pPr>
              <w:tabs>
                <w:tab w:val="right" w:pos="1202"/>
              </w:tabs>
              <w:spacing w:after="0" w:line="240" w:lineRule="exact"/>
              <w:outlineLvl w:val="0"/>
              <w:rPr>
                <w:rFonts w:cs="Arial"/>
                <w:sz w:val="18"/>
                <w:szCs w:val="18"/>
              </w:rPr>
            </w:pPr>
            <w:r w:rsidRPr="007E1860">
              <w:rPr>
                <w:rFonts w:cs="Arial"/>
                <w:spacing w:val="-2"/>
                <w:sz w:val="18"/>
                <w:szCs w:val="18"/>
              </w:rPr>
              <w:t>Krediti ostalim korisnicima</w:t>
            </w:r>
          </w:p>
        </w:tc>
        <w:tc>
          <w:tcPr>
            <w:tcW w:w="544" w:type="pct"/>
            <w:tcBorders>
              <w:top w:val="nil"/>
              <w:left w:val="nil"/>
              <w:bottom w:val="nil"/>
              <w:right w:val="nil"/>
            </w:tcBorders>
            <w:shd w:val="clear" w:color="auto" w:fill="auto"/>
            <w:vAlign w:val="center"/>
          </w:tcPr>
          <w:p w14:paraId="20A5D16C" w14:textId="62149201"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1.896.842</w:t>
            </w:r>
          </w:p>
        </w:tc>
        <w:tc>
          <w:tcPr>
            <w:tcW w:w="626" w:type="pct"/>
            <w:tcBorders>
              <w:top w:val="nil"/>
              <w:left w:val="nil"/>
              <w:bottom w:val="nil"/>
              <w:right w:val="nil"/>
            </w:tcBorders>
            <w:shd w:val="clear" w:color="auto" w:fill="auto"/>
            <w:vAlign w:val="center"/>
          </w:tcPr>
          <w:p w14:paraId="145FE13F" w14:textId="4A32088E" w:rsidR="00D333B2" w:rsidRPr="007E1860" w:rsidRDefault="00D333B2" w:rsidP="00D333B2">
            <w:pPr>
              <w:spacing w:after="0" w:line="240" w:lineRule="exact"/>
              <w:jc w:val="right"/>
              <w:outlineLvl w:val="0"/>
              <w:rPr>
                <w:rFonts w:cs="Arial"/>
                <w:bCs/>
                <w:color w:val="000000"/>
                <w:sz w:val="18"/>
                <w:szCs w:val="18"/>
                <w:lang w:eastAsia="hr-HR"/>
              </w:rPr>
            </w:pPr>
            <w:r>
              <w:rPr>
                <w:rFonts w:cs="Arial"/>
                <w:bCs/>
                <w:color w:val="000000"/>
                <w:sz w:val="18"/>
                <w:szCs w:val="18"/>
                <w:lang w:eastAsia="hr-HR"/>
              </w:rPr>
              <w:t>164.030</w:t>
            </w:r>
          </w:p>
        </w:tc>
        <w:tc>
          <w:tcPr>
            <w:tcW w:w="522" w:type="pct"/>
            <w:tcBorders>
              <w:top w:val="nil"/>
              <w:left w:val="nil"/>
              <w:bottom w:val="nil"/>
              <w:right w:val="nil"/>
            </w:tcBorders>
            <w:shd w:val="clear" w:color="auto" w:fill="auto"/>
            <w:vAlign w:val="center"/>
          </w:tcPr>
          <w:p w14:paraId="3D50EC87" w14:textId="7C7F0167" w:rsidR="00D333B2" w:rsidRPr="007E1860" w:rsidRDefault="00D333B2" w:rsidP="00D333B2">
            <w:pPr>
              <w:spacing w:after="0" w:line="240" w:lineRule="exact"/>
              <w:jc w:val="right"/>
              <w:outlineLvl w:val="0"/>
              <w:rPr>
                <w:rFonts w:cs="Arial"/>
                <w:bCs/>
                <w:color w:val="000000"/>
                <w:sz w:val="18"/>
                <w:szCs w:val="18"/>
                <w:lang w:eastAsia="hr-HR"/>
              </w:rPr>
            </w:pPr>
            <w:r>
              <w:rPr>
                <w:rFonts w:cs="Arial"/>
                <w:bCs/>
                <w:color w:val="000000"/>
                <w:sz w:val="18"/>
                <w:szCs w:val="18"/>
                <w:lang w:eastAsia="hr-HR"/>
              </w:rPr>
              <w:t>882.615</w:t>
            </w:r>
          </w:p>
        </w:tc>
        <w:tc>
          <w:tcPr>
            <w:tcW w:w="522" w:type="pct"/>
            <w:tcBorders>
              <w:top w:val="nil"/>
              <w:left w:val="nil"/>
              <w:bottom w:val="nil"/>
              <w:right w:val="nil"/>
            </w:tcBorders>
            <w:shd w:val="clear" w:color="auto" w:fill="auto"/>
            <w:vAlign w:val="center"/>
          </w:tcPr>
          <w:p w14:paraId="648ECB2F" w14:textId="2F65DA1C" w:rsidR="00D333B2" w:rsidRPr="007E1860" w:rsidRDefault="00D333B2" w:rsidP="00D333B2">
            <w:pPr>
              <w:spacing w:after="0" w:line="240" w:lineRule="exact"/>
              <w:jc w:val="right"/>
              <w:outlineLvl w:val="0"/>
              <w:rPr>
                <w:rFonts w:cs="Arial"/>
                <w:bCs/>
                <w:color w:val="000000"/>
                <w:sz w:val="18"/>
                <w:szCs w:val="18"/>
                <w:lang w:eastAsia="hr-HR"/>
              </w:rPr>
            </w:pPr>
            <w:r>
              <w:rPr>
                <w:rFonts w:cs="Arial"/>
                <w:bCs/>
                <w:color w:val="000000"/>
                <w:sz w:val="18"/>
                <w:szCs w:val="18"/>
                <w:lang w:eastAsia="hr-HR"/>
              </w:rPr>
              <w:t>1.855.455</w:t>
            </w:r>
          </w:p>
        </w:tc>
        <w:tc>
          <w:tcPr>
            <w:tcW w:w="597" w:type="pct"/>
            <w:tcBorders>
              <w:top w:val="nil"/>
              <w:left w:val="nil"/>
              <w:bottom w:val="nil"/>
              <w:right w:val="nil"/>
            </w:tcBorders>
            <w:shd w:val="clear" w:color="auto" w:fill="auto"/>
            <w:vAlign w:val="center"/>
          </w:tcPr>
          <w:p w14:paraId="5515C99A" w14:textId="716D2A3A" w:rsidR="00D333B2" w:rsidRPr="007E1860" w:rsidRDefault="00D333B2" w:rsidP="00D333B2">
            <w:pPr>
              <w:spacing w:after="0" w:line="240" w:lineRule="exact"/>
              <w:jc w:val="right"/>
              <w:outlineLvl w:val="0"/>
              <w:rPr>
                <w:rFonts w:cs="Arial"/>
                <w:bCs/>
                <w:color w:val="000000"/>
                <w:sz w:val="18"/>
                <w:szCs w:val="18"/>
                <w:lang w:eastAsia="hr-HR"/>
              </w:rPr>
            </w:pPr>
            <w:r>
              <w:rPr>
                <w:rFonts w:cs="Arial"/>
                <w:bCs/>
                <w:color w:val="000000"/>
                <w:sz w:val="18"/>
                <w:szCs w:val="18"/>
                <w:lang w:eastAsia="hr-HR"/>
              </w:rPr>
              <w:t>6.848.172</w:t>
            </w:r>
          </w:p>
        </w:tc>
        <w:tc>
          <w:tcPr>
            <w:tcW w:w="596" w:type="pct"/>
            <w:tcBorders>
              <w:top w:val="nil"/>
              <w:left w:val="nil"/>
              <w:bottom w:val="nil"/>
              <w:right w:val="nil"/>
            </w:tcBorders>
            <w:shd w:val="clear" w:color="auto" w:fill="auto"/>
            <w:vAlign w:val="bottom"/>
          </w:tcPr>
          <w:p w14:paraId="3FE3F8A1" w14:textId="03F9ECE8"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11.647.114</w:t>
            </w:r>
          </w:p>
        </w:tc>
      </w:tr>
      <w:tr w:rsidR="00D333B2" w:rsidRPr="00CE2C44" w14:paraId="7CBB0BB6" w14:textId="77777777" w:rsidTr="00312975">
        <w:trPr>
          <w:trHeight w:val="244"/>
          <w:jc w:val="right"/>
        </w:trPr>
        <w:tc>
          <w:tcPr>
            <w:tcW w:w="1592" w:type="pct"/>
          </w:tcPr>
          <w:p w14:paraId="7477D529" w14:textId="77777777" w:rsidR="00D333B2" w:rsidRPr="007E1860" w:rsidRDefault="00D333B2" w:rsidP="00D333B2">
            <w:pPr>
              <w:tabs>
                <w:tab w:val="right" w:pos="1202"/>
              </w:tabs>
              <w:spacing w:after="0" w:line="240" w:lineRule="exact"/>
              <w:outlineLvl w:val="0"/>
              <w:rPr>
                <w:rFonts w:cs="Arial"/>
                <w:sz w:val="18"/>
                <w:szCs w:val="18"/>
              </w:rPr>
            </w:pPr>
            <w:r w:rsidRPr="007E1860">
              <w:rPr>
                <w:rFonts w:cs="Arial"/>
                <w:spacing w:val="-2"/>
                <w:sz w:val="18"/>
                <w:szCs w:val="18"/>
              </w:rPr>
              <w:t>Imovina raspoloživa za prodaju</w:t>
            </w:r>
          </w:p>
        </w:tc>
        <w:tc>
          <w:tcPr>
            <w:tcW w:w="544" w:type="pct"/>
            <w:tcBorders>
              <w:top w:val="nil"/>
              <w:left w:val="nil"/>
              <w:bottom w:val="nil"/>
              <w:right w:val="nil"/>
            </w:tcBorders>
            <w:shd w:val="clear" w:color="auto" w:fill="auto"/>
            <w:vAlign w:val="center"/>
          </w:tcPr>
          <w:p w14:paraId="34397158" w14:textId="2602413F"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3.034.615</w:t>
            </w:r>
          </w:p>
        </w:tc>
        <w:tc>
          <w:tcPr>
            <w:tcW w:w="626" w:type="pct"/>
            <w:tcBorders>
              <w:top w:val="nil"/>
              <w:left w:val="nil"/>
              <w:bottom w:val="nil"/>
              <w:right w:val="nil"/>
            </w:tcBorders>
            <w:shd w:val="clear" w:color="auto" w:fill="auto"/>
            <w:vAlign w:val="bottom"/>
          </w:tcPr>
          <w:p w14:paraId="1ABE02BB" w14:textId="3F8DD3DF"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13.309</w:t>
            </w:r>
          </w:p>
        </w:tc>
        <w:tc>
          <w:tcPr>
            <w:tcW w:w="522" w:type="pct"/>
            <w:tcBorders>
              <w:top w:val="nil"/>
              <w:left w:val="nil"/>
              <w:bottom w:val="nil"/>
              <w:right w:val="nil"/>
            </w:tcBorders>
            <w:shd w:val="clear" w:color="auto" w:fill="auto"/>
            <w:vAlign w:val="bottom"/>
          </w:tcPr>
          <w:p w14:paraId="067B7789" w14:textId="3F05DE84" w:rsidR="00D333B2" w:rsidRPr="007E1860" w:rsidRDefault="00D333B2" w:rsidP="00D333B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49A56DB4" w14:textId="5F3632E3" w:rsidR="00D333B2" w:rsidRPr="007E1860" w:rsidRDefault="00D333B2" w:rsidP="00D333B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6A6E6F4D" w14:textId="3D4B0C80" w:rsidR="00D333B2" w:rsidRPr="007E1860" w:rsidRDefault="00D333B2" w:rsidP="00D333B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6" w:type="pct"/>
            <w:tcBorders>
              <w:top w:val="nil"/>
              <w:left w:val="nil"/>
              <w:bottom w:val="nil"/>
              <w:right w:val="nil"/>
            </w:tcBorders>
            <w:shd w:val="clear" w:color="auto" w:fill="auto"/>
            <w:vAlign w:val="bottom"/>
          </w:tcPr>
          <w:p w14:paraId="29B0BFCE" w14:textId="032B62C5"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3.047.924</w:t>
            </w:r>
          </w:p>
        </w:tc>
      </w:tr>
      <w:tr w:rsidR="00D333B2" w:rsidRPr="00CE2C44" w14:paraId="06FFB172" w14:textId="77777777" w:rsidTr="007E1860">
        <w:trPr>
          <w:trHeight w:val="230"/>
          <w:jc w:val="right"/>
        </w:trPr>
        <w:tc>
          <w:tcPr>
            <w:tcW w:w="1592" w:type="pct"/>
          </w:tcPr>
          <w:p w14:paraId="2EBD4911" w14:textId="77777777" w:rsidR="00D333B2" w:rsidRPr="007E1860" w:rsidRDefault="00D333B2" w:rsidP="00D333B2">
            <w:pPr>
              <w:tabs>
                <w:tab w:val="right" w:pos="1202"/>
              </w:tabs>
              <w:spacing w:after="0" w:line="240" w:lineRule="exact"/>
              <w:outlineLvl w:val="0"/>
              <w:rPr>
                <w:rFonts w:cs="Arial"/>
                <w:spacing w:val="-2"/>
                <w:sz w:val="18"/>
                <w:szCs w:val="18"/>
              </w:rPr>
            </w:pPr>
            <w:r w:rsidRPr="007E1860">
              <w:rPr>
                <w:rFonts w:cs="Arial"/>
                <w:spacing w:val="-2"/>
                <w:sz w:val="18"/>
                <w:szCs w:val="18"/>
              </w:rPr>
              <w:t>Ulaganje u ovisno društvo</w:t>
            </w:r>
          </w:p>
        </w:tc>
        <w:tc>
          <w:tcPr>
            <w:tcW w:w="544" w:type="pct"/>
            <w:tcBorders>
              <w:top w:val="nil"/>
              <w:left w:val="nil"/>
              <w:bottom w:val="nil"/>
              <w:right w:val="nil"/>
            </w:tcBorders>
            <w:shd w:val="clear" w:color="auto" w:fill="auto"/>
            <w:vAlign w:val="bottom"/>
          </w:tcPr>
          <w:p w14:paraId="2EA8E612" w14:textId="3278D1FF" w:rsidR="00D333B2" w:rsidRPr="007E1860" w:rsidRDefault="00D333B2" w:rsidP="00D333B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208F12AA" w14:textId="601CE07B" w:rsidR="00D333B2" w:rsidRPr="007E1860" w:rsidRDefault="00D333B2" w:rsidP="00D333B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2BCBBA3B" w14:textId="4EDCAC0B" w:rsidR="00D333B2" w:rsidRPr="007E1860" w:rsidRDefault="00D333B2" w:rsidP="00D333B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41B4454C" w14:textId="02C10847" w:rsidR="00D333B2" w:rsidRPr="007E1860" w:rsidRDefault="00D333B2" w:rsidP="00D333B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3BD3429C" w14:textId="42673CF2"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36.124</w:t>
            </w:r>
          </w:p>
        </w:tc>
        <w:tc>
          <w:tcPr>
            <w:tcW w:w="596" w:type="pct"/>
            <w:tcBorders>
              <w:top w:val="nil"/>
              <w:left w:val="nil"/>
              <w:bottom w:val="nil"/>
              <w:right w:val="nil"/>
            </w:tcBorders>
            <w:shd w:val="clear" w:color="auto" w:fill="auto"/>
            <w:vAlign w:val="bottom"/>
          </w:tcPr>
          <w:p w14:paraId="32AF37E2" w14:textId="0D99EFC1"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36.124</w:t>
            </w:r>
          </w:p>
        </w:tc>
      </w:tr>
      <w:tr w:rsidR="00D333B2" w:rsidRPr="00CE2C44" w14:paraId="115CB20A" w14:textId="77777777" w:rsidTr="007E1860">
        <w:trPr>
          <w:trHeight w:val="244"/>
          <w:jc w:val="right"/>
        </w:trPr>
        <w:tc>
          <w:tcPr>
            <w:tcW w:w="1592" w:type="pct"/>
          </w:tcPr>
          <w:p w14:paraId="1A471BD0" w14:textId="77777777" w:rsidR="00D333B2" w:rsidRPr="007E1860" w:rsidRDefault="00D333B2" w:rsidP="00D333B2">
            <w:pPr>
              <w:tabs>
                <w:tab w:val="right" w:pos="1202"/>
              </w:tabs>
              <w:spacing w:after="0" w:line="240" w:lineRule="exact"/>
              <w:outlineLvl w:val="0"/>
              <w:rPr>
                <w:rFonts w:cs="Arial"/>
                <w:sz w:val="18"/>
                <w:szCs w:val="18"/>
              </w:rPr>
            </w:pPr>
            <w:r w:rsidRPr="007E1860">
              <w:rPr>
                <w:rFonts w:cs="Arial"/>
                <w:spacing w:val="-2"/>
                <w:sz w:val="18"/>
                <w:szCs w:val="18"/>
              </w:rPr>
              <w:t>Ulaganja u pridružena društva</w:t>
            </w:r>
          </w:p>
        </w:tc>
        <w:tc>
          <w:tcPr>
            <w:tcW w:w="544" w:type="pct"/>
            <w:tcBorders>
              <w:top w:val="nil"/>
              <w:left w:val="nil"/>
              <w:bottom w:val="nil"/>
              <w:right w:val="nil"/>
            </w:tcBorders>
            <w:shd w:val="clear" w:color="auto" w:fill="auto"/>
            <w:vAlign w:val="bottom"/>
          </w:tcPr>
          <w:p w14:paraId="3502B349" w14:textId="658F6F71" w:rsidR="00D333B2" w:rsidRPr="007E1860" w:rsidRDefault="00D333B2" w:rsidP="00D333B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43A4BE40" w14:textId="4AB321F5" w:rsidR="00D333B2" w:rsidRPr="007E1860" w:rsidRDefault="00D333B2" w:rsidP="00D333B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22238913" w14:textId="552AA106" w:rsidR="00D333B2" w:rsidRPr="007E1860" w:rsidRDefault="00D333B2" w:rsidP="00D333B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484E5FFD" w14:textId="5F704808" w:rsidR="00D333B2" w:rsidRPr="007E1860" w:rsidRDefault="00D333B2" w:rsidP="00D333B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01C54EB2" w14:textId="7188477A" w:rsidR="00D333B2" w:rsidRPr="007E1860" w:rsidRDefault="00D333B2" w:rsidP="00D333B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6" w:type="pct"/>
            <w:tcBorders>
              <w:top w:val="nil"/>
              <w:left w:val="nil"/>
              <w:bottom w:val="nil"/>
              <w:right w:val="nil"/>
            </w:tcBorders>
            <w:shd w:val="clear" w:color="auto" w:fill="auto"/>
            <w:vAlign w:val="bottom"/>
          </w:tcPr>
          <w:p w14:paraId="0968B7B8" w14:textId="142AF4BB" w:rsidR="00D333B2" w:rsidRPr="007E1860" w:rsidRDefault="00D333B2" w:rsidP="00D333B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r>
      <w:tr w:rsidR="00D333B2" w:rsidRPr="00CE2C44" w14:paraId="3318B797" w14:textId="77777777" w:rsidTr="007E1860">
        <w:trPr>
          <w:trHeight w:val="473"/>
          <w:jc w:val="right"/>
        </w:trPr>
        <w:tc>
          <w:tcPr>
            <w:tcW w:w="1592" w:type="pct"/>
          </w:tcPr>
          <w:p w14:paraId="2C26E9D7" w14:textId="77777777" w:rsidR="00D333B2" w:rsidRPr="007E1860" w:rsidRDefault="00D333B2" w:rsidP="00D333B2">
            <w:pPr>
              <w:tabs>
                <w:tab w:val="right" w:pos="1202"/>
              </w:tabs>
              <w:spacing w:after="0" w:line="240" w:lineRule="exact"/>
              <w:outlineLvl w:val="0"/>
              <w:rPr>
                <w:rFonts w:cs="Arial"/>
                <w:sz w:val="18"/>
                <w:szCs w:val="18"/>
              </w:rPr>
            </w:pPr>
            <w:r w:rsidRPr="007E1860">
              <w:rPr>
                <w:rFonts w:cs="Arial"/>
                <w:spacing w:val="-2"/>
                <w:sz w:val="18"/>
                <w:szCs w:val="18"/>
              </w:rPr>
              <w:t>Nekretnine, postrojenja i oprema i nematerijalna imovina</w:t>
            </w:r>
          </w:p>
        </w:tc>
        <w:tc>
          <w:tcPr>
            <w:tcW w:w="544" w:type="pct"/>
            <w:tcBorders>
              <w:top w:val="nil"/>
              <w:left w:val="nil"/>
              <w:bottom w:val="nil"/>
              <w:right w:val="nil"/>
            </w:tcBorders>
            <w:shd w:val="clear" w:color="auto" w:fill="auto"/>
            <w:vAlign w:val="bottom"/>
          </w:tcPr>
          <w:p w14:paraId="6BE59AE2" w14:textId="4EFB6281" w:rsidR="00D333B2" w:rsidRPr="007E1860" w:rsidRDefault="00D333B2" w:rsidP="00D333B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6273B404" w14:textId="1CFECE06" w:rsidR="00D333B2" w:rsidRPr="007E1860" w:rsidRDefault="00D333B2" w:rsidP="00D333B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0BCDF2DF" w14:textId="763289E1" w:rsidR="00D333B2" w:rsidRPr="007E1860" w:rsidRDefault="00D333B2" w:rsidP="00D333B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76EAFA53" w14:textId="0BE06471" w:rsidR="00D333B2" w:rsidRPr="007E1860" w:rsidRDefault="00D333B2" w:rsidP="00D333B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2F922D87" w14:textId="3A7A0583"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55.126</w:t>
            </w:r>
          </w:p>
        </w:tc>
        <w:tc>
          <w:tcPr>
            <w:tcW w:w="596" w:type="pct"/>
            <w:tcBorders>
              <w:top w:val="nil"/>
              <w:left w:val="nil"/>
              <w:bottom w:val="nil"/>
              <w:right w:val="nil"/>
            </w:tcBorders>
            <w:shd w:val="clear" w:color="auto" w:fill="auto"/>
            <w:vAlign w:val="bottom"/>
          </w:tcPr>
          <w:p w14:paraId="15E952C3" w14:textId="763250D9"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55.126</w:t>
            </w:r>
          </w:p>
        </w:tc>
      </w:tr>
      <w:tr w:rsidR="00D333B2" w:rsidRPr="00CE2C44" w14:paraId="39BE07EE" w14:textId="77777777" w:rsidTr="007E1860">
        <w:trPr>
          <w:trHeight w:val="244"/>
          <w:jc w:val="right"/>
        </w:trPr>
        <w:tc>
          <w:tcPr>
            <w:tcW w:w="1592" w:type="pct"/>
          </w:tcPr>
          <w:p w14:paraId="5647F0E6" w14:textId="77777777" w:rsidR="00D333B2" w:rsidRPr="007E1860" w:rsidRDefault="00D333B2" w:rsidP="00D333B2">
            <w:pPr>
              <w:tabs>
                <w:tab w:val="right" w:pos="1202"/>
              </w:tabs>
              <w:spacing w:after="0" w:line="240" w:lineRule="exact"/>
              <w:outlineLvl w:val="0"/>
              <w:rPr>
                <w:rFonts w:cs="Arial"/>
                <w:sz w:val="18"/>
                <w:szCs w:val="18"/>
              </w:rPr>
            </w:pPr>
            <w:r w:rsidRPr="007E1860">
              <w:rPr>
                <w:rFonts w:cs="Arial"/>
                <w:spacing w:val="-2"/>
                <w:sz w:val="18"/>
                <w:szCs w:val="18"/>
              </w:rPr>
              <w:t>Dugotrajna imovina namijenjena prodaji</w:t>
            </w:r>
          </w:p>
        </w:tc>
        <w:tc>
          <w:tcPr>
            <w:tcW w:w="544" w:type="pct"/>
            <w:tcBorders>
              <w:top w:val="nil"/>
              <w:left w:val="nil"/>
              <w:bottom w:val="nil"/>
              <w:right w:val="nil"/>
            </w:tcBorders>
            <w:shd w:val="clear" w:color="auto" w:fill="auto"/>
            <w:vAlign w:val="bottom"/>
          </w:tcPr>
          <w:p w14:paraId="20F1879D" w14:textId="03548202" w:rsidR="00D333B2" w:rsidRPr="007E1860" w:rsidRDefault="00D333B2" w:rsidP="00D333B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6CEC66A0" w14:textId="5C0C2CDD"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442A0B1A" w14:textId="5A220595" w:rsidR="00D333B2" w:rsidRPr="007E1860" w:rsidRDefault="00D333B2" w:rsidP="00D333B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1BF8AB68" w14:textId="663D1A2A"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3.691</w:t>
            </w:r>
          </w:p>
        </w:tc>
        <w:tc>
          <w:tcPr>
            <w:tcW w:w="597" w:type="pct"/>
            <w:tcBorders>
              <w:top w:val="nil"/>
              <w:left w:val="nil"/>
              <w:bottom w:val="nil"/>
              <w:right w:val="nil"/>
            </w:tcBorders>
            <w:shd w:val="clear" w:color="auto" w:fill="auto"/>
            <w:vAlign w:val="bottom"/>
          </w:tcPr>
          <w:p w14:paraId="2DD468C8" w14:textId="5121B2D2"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13.339</w:t>
            </w:r>
          </w:p>
        </w:tc>
        <w:tc>
          <w:tcPr>
            <w:tcW w:w="596" w:type="pct"/>
            <w:tcBorders>
              <w:top w:val="nil"/>
              <w:left w:val="nil"/>
              <w:bottom w:val="nil"/>
              <w:right w:val="nil"/>
            </w:tcBorders>
            <w:shd w:val="clear" w:color="auto" w:fill="auto"/>
            <w:vAlign w:val="bottom"/>
          </w:tcPr>
          <w:p w14:paraId="48C49CBE" w14:textId="14D5FBE8"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17.030</w:t>
            </w:r>
          </w:p>
        </w:tc>
      </w:tr>
      <w:tr w:rsidR="00D333B2" w:rsidRPr="00CE2C44" w14:paraId="6F5022F3" w14:textId="77777777" w:rsidTr="007E1860">
        <w:trPr>
          <w:trHeight w:val="244"/>
          <w:jc w:val="right"/>
        </w:trPr>
        <w:tc>
          <w:tcPr>
            <w:tcW w:w="1592" w:type="pct"/>
          </w:tcPr>
          <w:p w14:paraId="4A43064F" w14:textId="77777777" w:rsidR="00D333B2" w:rsidRPr="007E1860" w:rsidRDefault="00D333B2" w:rsidP="00D333B2">
            <w:pPr>
              <w:tabs>
                <w:tab w:val="right" w:pos="1202"/>
              </w:tabs>
              <w:spacing w:after="0" w:line="240" w:lineRule="exact"/>
              <w:outlineLvl w:val="0"/>
              <w:rPr>
                <w:rFonts w:cs="Arial"/>
                <w:sz w:val="18"/>
                <w:szCs w:val="18"/>
              </w:rPr>
            </w:pPr>
            <w:r w:rsidRPr="007E1860">
              <w:rPr>
                <w:rFonts w:cs="Arial"/>
                <w:spacing w:val="-2"/>
                <w:sz w:val="18"/>
                <w:szCs w:val="18"/>
              </w:rPr>
              <w:t>Ostala imovina</w:t>
            </w:r>
          </w:p>
        </w:tc>
        <w:tc>
          <w:tcPr>
            <w:tcW w:w="544" w:type="pct"/>
            <w:tcBorders>
              <w:top w:val="nil"/>
              <w:left w:val="nil"/>
              <w:bottom w:val="nil"/>
              <w:right w:val="nil"/>
            </w:tcBorders>
            <w:shd w:val="clear" w:color="auto" w:fill="auto"/>
            <w:vAlign w:val="bottom"/>
          </w:tcPr>
          <w:p w14:paraId="0855DE2B" w14:textId="702DB00C"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3.966</w:t>
            </w:r>
          </w:p>
        </w:tc>
        <w:tc>
          <w:tcPr>
            <w:tcW w:w="626" w:type="pct"/>
            <w:tcBorders>
              <w:top w:val="nil"/>
              <w:left w:val="nil"/>
              <w:bottom w:val="nil"/>
              <w:right w:val="nil"/>
            </w:tcBorders>
            <w:shd w:val="clear" w:color="auto" w:fill="auto"/>
            <w:vAlign w:val="bottom"/>
          </w:tcPr>
          <w:p w14:paraId="6138C673" w14:textId="23C7A21D"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949</w:t>
            </w:r>
          </w:p>
        </w:tc>
        <w:tc>
          <w:tcPr>
            <w:tcW w:w="522" w:type="pct"/>
            <w:tcBorders>
              <w:top w:val="nil"/>
              <w:left w:val="nil"/>
              <w:bottom w:val="nil"/>
              <w:right w:val="nil"/>
            </w:tcBorders>
            <w:shd w:val="clear" w:color="auto" w:fill="auto"/>
            <w:vAlign w:val="bottom"/>
          </w:tcPr>
          <w:p w14:paraId="5A2217C5" w14:textId="3CA2FFC9"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1.148</w:t>
            </w:r>
          </w:p>
        </w:tc>
        <w:tc>
          <w:tcPr>
            <w:tcW w:w="522" w:type="pct"/>
            <w:tcBorders>
              <w:top w:val="nil"/>
              <w:left w:val="nil"/>
              <w:bottom w:val="nil"/>
              <w:right w:val="nil"/>
            </w:tcBorders>
            <w:shd w:val="clear" w:color="auto" w:fill="auto"/>
            <w:vAlign w:val="bottom"/>
          </w:tcPr>
          <w:p w14:paraId="68F6D348" w14:textId="543BA646"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588</w:t>
            </w:r>
          </w:p>
        </w:tc>
        <w:tc>
          <w:tcPr>
            <w:tcW w:w="597" w:type="pct"/>
            <w:tcBorders>
              <w:top w:val="nil"/>
              <w:left w:val="nil"/>
              <w:bottom w:val="nil"/>
              <w:right w:val="nil"/>
            </w:tcBorders>
            <w:shd w:val="clear" w:color="auto" w:fill="auto"/>
            <w:vAlign w:val="bottom"/>
          </w:tcPr>
          <w:p w14:paraId="60144E84" w14:textId="0F66A69F"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921</w:t>
            </w:r>
          </w:p>
        </w:tc>
        <w:tc>
          <w:tcPr>
            <w:tcW w:w="596" w:type="pct"/>
            <w:tcBorders>
              <w:top w:val="nil"/>
              <w:left w:val="nil"/>
              <w:bottom w:val="nil"/>
              <w:right w:val="nil"/>
            </w:tcBorders>
            <w:shd w:val="clear" w:color="auto" w:fill="auto"/>
            <w:vAlign w:val="bottom"/>
          </w:tcPr>
          <w:p w14:paraId="0615043C" w14:textId="7012D768" w:rsidR="00D333B2" w:rsidRPr="007E1860" w:rsidRDefault="00D333B2" w:rsidP="00D333B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7.572</w:t>
            </w:r>
          </w:p>
        </w:tc>
      </w:tr>
      <w:tr w:rsidR="00D333B2" w:rsidRPr="00CE2C44" w14:paraId="4E7674DA" w14:textId="77777777" w:rsidTr="007E1860">
        <w:trPr>
          <w:trHeight w:hRule="exact" w:val="283"/>
          <w:jc w:val="right"/>
        </w:trPr>
        <w:tc>
          <w:tcPr>
            <w:tcW w:w="1592" w:type="pct"/>
          </w:tcPr>
          <w:p w14:paraId="7059A41C" w14:textId="77777777" w:rsidR="00D333B2" w:rsidRPr="007E1860" w:rsidRDefault="00D333B2" w:rsidP="00D333B2">
            <w:pPr>
              <w:tabs>
                <w:tab w:val="right" w:pos="1202"/>
              </w:tabs>
              <w:spacing w:after="0" w:line="240" w:lineRule="exact"/>
              <w:outlineLvl w:val="0"/>
              <w:rPr>
                <w:rFonts w:cs="Arial"/>
                <w:b/>
                <w:bCs/>
                <w:sz w:val="18"/>
                <w:szCs w:val="18"/>
              </w:rPr>
            </w:pPr>
            <w:r w:rsidRPr="007E1860">
              <w:rPr>
                <w:rFonts w:cs="Arial"/>
                <w:b/>
                <w:bCs/>
                <w:sz w:val="18"/>
                <w:szCs w:val="18"/>
              </w:rPr>
              <w:t>Ukupna imovina (1)</w:t>
            </w:r>
          </w:p>
        </w:tc>
        <w:tc>
          <w:tcPr>
            <w:tcW w:w="544" w:type="pct"/>
            <w:tcBorders>
              <w:top w:val="single" w:sz="8" w:space="0" w:color="auto"/>
              <w:left w:val="nil"/>
              <w:bottom w:val="single" w:sz="12" w:space="0" w:color="auto"/>
              <w:right w:val="nil"/>
            </w:tcBorders>
            <w:shd w:val="clear" w:color="auto" w:fill="auto"/>
            <w:vAlign w:val="bottom"/>
          </w:tcPr>
          <w:p w14:paraId="39F9AC4D" w14:textId="1DDEB315" w:rsidR="00D333B2" w:rsidRPr="007E1860" w:rsidRDefault="00D333B2" w:rsidP="00D333B2">
            <w:pPr>
              <w:spacing w:after="0" w:line="240" w:lineRule="exact"/>
              <w:jc w:val="right"/>
              <w:outlineLvl w:val="0"/>
              <w:rPr>
                <w:rFonts w:cs="Arial"/>
                <w:b/>
                <w:bCs/>
                <w:color w:val="000000"/>
                <w:sz w:val="18"/>
                <w:szCs w:val="18"/>
                <w:lang w:eastAsia="hr-HR"/>
              </w:rPr>
            </w:pPr>
            <w:r w:rsidRPr="00516D7C">
              <w:rPr>
                <w:rFonts w:cs="Arial"/>
                <w:b/>
                <w:bCs/>
                <w:color w:val="000000"/>
                <w:sz w:val="18"/>
                <w:szCs w:val="18"/>
                <w:lang w:eastAsia="hr-HR"/>
              </w:rPr>
              <w:t>7.053.649</w:t>
            </w:r>
          </w:p>
        </w:tc>
        <w:tc>
          <w:tcPr>
            <w:tcW w:w="626" w:type="pct"/>
            <w:tcBorders>
              <w:top w:val="single" w:sz="8" w:space="0" w:color="auto"/>
              <w:left w:val="nil"/>
              <w:bottom w:val="single" w:sz="12" w:space="0" w:color="auto"/>
              <w:right w:val="nil"/>
            </w:tcBorders>
            <w:shd w:val="clear" w:color="auto" w:fill="auto"/>
            <w:vAlign w:val="bottom"/>
          </w:tcPr>
          <w:p w14:paraId="3A53CFA1" w14:textId="038901AD" w:rsidR="00D333B2" w:rsidRPr="007E1860" w:rsidRDefault="00D333B2" w:rsidP="00D333B2">
            <w:pPr>
              <w:spacing w:line="240" w:lineRule="exact"/>
              <w:jc w:val="right"/>
              <w:outlineLvl w:val="0"/>
              <w:rPr>
                <w:rFonts w:cs="Arial"/>
                <w:b/>
                <w:bCs/>
                <w:color w:val="000000"/>
                <w:sz w:val="18"/>
                <w:szCs w:val="18"/>
                <w:lang w:eastAsia="hr-HR"/>
              </w:rPr>
            </w:pPr>
            <w:r w:rsidRPr="00516D7C">
              <w:rPr>
                <w:rFonts w:cs="Arial"/>
                <w:b/>
                <w:bCs/>
                <w:color w:val="000000"/>
                <w:sz w:val="18"/>
                <w:szCs w:val="18"/>
                <w:lang w:eastAsia="hr-HR"/>
              </w:rPr>
              <w:t>700.775</w:t>
            </w:r>
          </w:p>
        </w:tc>
        <w:tc>
          <w:tcPr>
            <w:tcW w:w="522" w:type="pct"/>
            <w:tcBorders>
              <w:top w:val="single" w:sz="8" w:space="0" w:color="auto"/>
              <w:left w:val="nil"/>
              <w:bottom w:val="single" w:sz="12" w:space="0" w:color="auto"/>
              <w:right w:val="nil"/>
            </w:tcBorders>
            <w:shd w:val="clear" w:color="auto" w:fill="auto"/>
            <w:vAlign w:val="bottom"/>
          </w:tcPr>
          <w:p w14:paraId="3C511C2B" w14:textId="3A12038B" w:rsidR="00D333B2" w:rsidRPr="007E1860" w:rsidRDefault="00D333B2" w:rsidP="00D333B2">
            <w:pPr>
              <w:spacing w:line="240" w:lineRule="exact"/>
              <w:jc w:val="right"/>
              <w:outlineLvl w:val="0"/>
              <w:rPr>
                <w:rFonts w:cs="Arial"/>
                <w:b/>
                <w:bCs/>
                <w:color w:val="000000"/>
                <w:sz w:val="18"/>
                <w:szCs w:val="18"/>
                <w:lang w:eastAsia="hr-HR"/>
              </w:rPr>
            </w:pPr>
            <w:r w:rsidRPr="00516D7C">
              <w:rPr>
                <w:rFonts w:cs="Arial"/>
                <w:b/>
                <w:bCs/>
                <w:color w:val="000000"/>
                <w:sz w:val="18"/>
                <w:szCs w:val="18"/>
                <w:lang w:eastAsia="hr-HR"/>
              </w:rPr>
              <w:t>2.328.112</w:t>
            </w:r>
          </w:p>
        </w:tc>
        <w:tc>
          <w:tcPr>
            <w:tcW w:w="522" w:type="pct"/>
            <w:tcBorders>
              <w:top w:val="single" w:sz="8" w:space="0" w:color="auto"/>
              <w:left w:val="nil"/>
              <w:bottom w:val="single" w:sz="12" w:space="0" w:color="auto"/>
              <w:right w:val="nil"/>
            </w:tcBorders>
            <w:shd w:val="clear" w:color="auto" w:fill="auto"/>
            <w:vAlign w:val="bottom"/>
          </w:tcPr>
          <w:p w14:paraId="0EB27ECE" w14:textId="601EC017" w:rsidR="00D333B2" w:rsidRPr="007E1860" w:rsidRDefault="00D333B2" w:rsidP="00D333B2">
            <w:pPr>
              <w:spacing w:line="240" w:lineRule="exact"/>
              <w:jc w:val="right"/>
              <w:outlineLvl w:val="0"/>
              <w:rPr>
                <w:rFonts w:cs="Arial"/>
                <w:b/>
                <w:bCs/>
                <w:color w:val="000000"/>
                <w:sz w:val="18"/>
                <w:szCs w:val="18"/>
                <w:lang w:eastAsia="hr-HR"/>
              </w:rPr>
            </w:pPr>
            <w:r w:rsidRPr="00516D7C">
              <w:rPr>
                <w:rFonts w:cs="Arial"/>
                <w:b/>
                <w:bCs/>
                <w:color w:val="000000"/>
                <w:sz w:val="18"/>
                <w:szCs w:val="18"/>
                <w:lang w:eastAsia="hr-HR"/>
              </w:rPr>
              <w:t>4.892.467</w:t>
            </w:r>
          </w:p>
        </w:tc>
        <w:tc>
          <w:tcPr>
            <w:tcW w:w="597" w:type="pct"/>
            <w:tcBorders>
              <w:top w:val="single" w:sz="8" w:space="0" w:color="auto"/>
              <w:left w:val="nil"/>
              <w:bottom w:val="single" w:sz="12" w:space="0" w:color="auto"/>
              <w:right w:val="nil"/>
            </w:tcBorders>
            <w:shd w:val="clear" w:color="auto" w:fill="auto"/>
            <w:vAlign w:val="bottom"/>
          </w:tcPr>
          <w:p w14:paraId="70B76EDD" w14:textId="16BC0EF8" w:rsidR="00D333B2" w:rsidRPr="007E1860" w:rsidRDefault="00D333B2" w:rsidP="00D333B2">
            <w:pPr>
              <w:spacing w:line="240" w:lineRule="exact"/>
              <w:jc w:val="right"/>
              <w:outlineLvl w:val="0"/>
              <w:rPr>
                <w:rFonts w:cs="Arial"/>
                <w:b/>
                <w:bCs/>
                <w:color w:val="000000"/>
                <w:sz w:val="18"/>
                <w:szCs w:val="18"/>
                <w:lang w:eastAsia="hr-HR"/>
              </w:rPr>
            </w:pPr>
            <w:r w:rsidRPr="00516D7C">
              <w:rPr>
                <w:rFonts w:cs="Arial"/>
                <w:b/>
                <w:bCs/>
                <w:color w:val="000000"/>
                <w:sz w:val="18"/>
                <w:szCs w:val="18"/>
                <w:lang w:eastAsia="hr-HR"/>
              </w:rPr>
              <w:t>12.830.970</w:t>
            </w:r>
          </w:p>
        </w:tc>
        <w:tc>
          <w:tcPr>
            <w:tcW w:w="596" w:type="pct"/>
            <w:tcBorders>
              <w:top w:val="single" w:sz="8" w:space="0" w:color="auto"/>
              <w:left w:val="nil"/>
              <w:bottom w:val="single" w:sz="12" w:space="0" w:color="auto"/>
              <w:right w:val="nil"/>
            </w:tcBorders>
            <w:shd w:val="clear" w:color="auto" w:fill="auto"/>
            <w:vAlign w:val="bottom"/>
          </w:tcPr>
          <w:p w14:paraId="4824FFCF" w14:textId="4797070D" w:rsidR="00D333B2" w:rsidRPr="007E1860" w:rsidRDefault="00D333B2" w:rsidP="00D333B2">
            <w:pPr>
              <w:spacing w:line="240" w:lineRule="exact"/>
              <w:jc w:val="right"/>
              <w:outlineLvl w:val="0"/>
              <w:rPr>
                <w:rFonts w:cs="Arial"/>
                <w:b/>
                <w:bCs/>
                <w:color w:val="000000"/>
                <w:sz w:val="18"/>
                <w:szCs w:val="18"/>
                <w:lang w:eastAsia="hr-HR"/>
              </w:rPr>
            </w:pPr>
            <w:r w:rsidRPr="00516D7C">
              <w:rPr>
                <w:rFonts w:cs="Arial"/>
                <w:b/>
                <w:bCs/>
                <w:color w:val="000000"/>
                <w:sz w:val="18"/>
                <w:szCs w:val="18"/>
                <w:lang w:eastAsia="hr-HR"/>
              </w:rPr>
              <w:t>27.805.973</w:t>
            </w:r>
          </w:p>
        </w:tc>
      </w:tr>
      <w:tr w:rsidR="001167E0" w:rsidRPr="00CE2C44" w14:paraId="6FE7004B" w14:textId="77777777" w:rsidTr="007E1860">
        <w:trPr>
          <w:trHeight w:val="230"/>
          <w:jc w:val="right"/>
        </w:trPr>
        <w:tc>
          <w:tcPr>
            <w:tcW w:w="1592" w:type="pct"/>
          </w:tcPr>
          <w:p w14:paraId="316DA211" w14:textId="77777777" w:rsidR="001167E0" w:rsidRPr="007E1860" w:rsidRDefault="001167E0" w:rsidP="001167E0">
            <w:pPr>
              <w:tabs>
                <w:tab w:val="left" w:pos="0"/>
                <w:tab w:val="decimal" w:pos="1202"/>
              </w:tabs>
              <w:spacing w:after="0" w:line="240" w:lineRule="exact"/>
              <w:jc w:val="both"/>
              <w:rPr>
                <w:rFonts w:cs="Arial"/>
                <w:b/>
                <w:bCs/>
                <w:position w:val="4"/>
                <w:sz w:val="18"/>
                <w:szCs w:val="18"/>
              </w:rPr>
            </w:pPr>
            <w:r w:rsidRPr="007E1860">
              <w:rPr>
                <w:rFonts w:cs="Arial"/>
                <w:b/>
                <w:bCs/>
                <w:position w:val="4"/>
                <w:sz w:val="18"/>
                <w:szCs w:val="18"/>
              </w:rPr>
              <w:t>Obveze</w:t>
            </w:r>
          </w:p>
        </w:tc>
        <w:tc>
          <w:tcPr>
            <w:tcW w:w="544" w:type="pct"/>
            <w:vAlign w:val="bottom"/>
          </w:tcPr>
          <w:p w14:paraId="55EF3BF8" w14:textId="77777777" w:rsidR="001167E0" w:rsidRPr="007E1860" w:rsidRDefault="001167E0">
            <w:pPr>
              <w:spacing w:after="0" w:line="240" w:lineRule="exact"/>
              <w:jc w:val="right"/>
              <w:outlineLvl w:val="0"/>
              <w:rPr>
                <w:rFonts w:cs="Arial"/>
                <w:spacing w:val="-2"/>
                <w:sz w:val="18"/>
                <w:szCs w:val="18"/>
              </w:rPr>
            </w:pPr>
          </w:p>
        </w:tc>
        <w:tc>
          <w:tcPr>
            <w:tcW w:w="626" w:type="pct"/>
            <w:vAlign w:val="bottom"/>
          </w:tcPr>
          <w:p w14:paraId="55DC721C" w14:textId="77777777" w:rsidR="001167E0" w:rsidRPr="007E1860" w:rsidRDefault="001167E0">
            <w:pPr>
              <w:spacing w:after="0" w:line="240" w:lineRule="exact"/>
              <w:jc w:val="right"/>
              <w:outlineLvl w:val="0"/>
              <w:rPr>
                <w:rFonts w:cs="Arial"/>
                <w:spacing w:val="-2"/>
                <w:sz w:val="18"/>
                <w:szCs w:val="18"/>
              </w:rPr>
            </w:pPr>
          </w:p>
        </w:tc>
        <w:tc>
          <w:tcPr>
            <w:tcW w:w="522" w:type="pct"/>
            <w:vAlign w:val="bottom"/>
          </w:tcPr>
          <w:p w14:paraId="05126DEC" w14:textId="77777777" w:rsidR="001167E0" w:rsidRPr="007E1860" w:rsidRDefault="001167E0">
            <w:pPr>
              <w:spacing w:after="0" w:line="240" w:lineRule="exact"/>
              <w:jc w:val="right"/>
              <w:outlineLvl w:val="0"/>
              <w:rPr>
                <w:rFonts w:cs="Arial"/>
                <w:spacing w:val="-2"/>
                <w:sz w:val="18"/>
                <w:szCs w:val="18"/>
              </w:rPr>
            </w:pPr>
          </w:p>
        </w:tc>
        <w:tc>
          <w:tcPr>
            <w:tcW w:w="522" w:type="pct"/>
            <w:vAlign w:val="bottom"/>
          </w:tcPr>
          <w:p w14:paraId="2F0FB0BB" w14:textId="77777777" w:rsidR="001167E0" w:rsidRPr="007E1860" w:rsidRDefault="001167E0">
            <w:pPr>
              <w:spacing w:after="0" w:line="240" w:lineRule="exact"/>
              <w:jc w:val="right"/>
              <w:outlineLvl w:val="0"/>
              <w:rPr>
                <w:rFonts w:cs="Arial"/>
                <w:spacing w:val="-2"/>
                <w:sz w:val="18"/>
                <w:szCs w:val="18"/>
              </w:rPr>
            </w:pPr>
          </w:p>
        </w:tc>
        <w:tc>
          <w:tcPr>
            <w:tcW w:w="597" w:type="pct"/>
            <w:vAlign w:val="bottom"/>
          </w:tcPr>
          <w:p w14:paraId="07FBC00B" w14:textId="77777777" w:rsidR="001167E0" w:rsidRPr="007E1860" w:rsidRDefault="001167E0">
            <w:pPr>
              <w:spacing w:after="0" w:line="240" w:lineRule="exact"/>
              <w:jc w:val="right"/>
              <w:outlineLvl w:val="0"/>
              <w:rPr>
                <w:rFonts w:cs="Arial"/>
                <w:spacing w:val="-2"/>
                <w:sz w:val="18"/>
                <w:szCs w:val="18"/>
              </w:rPr>
            </w:pPr>
          </w:p>
        </w:tc>
        <w:tc>
          <w:tcPr>
            <w:tcW w:w="596" w:type="pct"/>
            <w:vAlign w:val="bottom"/>
          </w:tcPr>
          <w:p w14:paraId="60030BC2" w14:textId="77777777" w:rsidR="001167E0" w:rsidRPr="007E1860" w:rsidRDefault="001167E0">
            <w:pPr>
              <w:spacing w:after="0" w:line="240" w:lineRule="exact"/>
              <w:jc w:val="right"/>
              <w:outlineLvl w:val="0"/>
              <w:rPr>
                <w:rFonts w:cs="Arial"/>
                <w:spacing w:val="-2"/>
                <w:sz w:val="18"/>
                <w:szCs w:val="18"/>
              </w:rPr>
            </w:pPr>
          </w:p>
        </w:tc>
      </w:tr>
      <w:tr w:rsidR="006968D2" w:rsidRPr="00151264" w14:paraId="6C00A0CD" w14:textId="77777777" w:rsidTr="007E1860">
        <w:trPr>
          <w:trHeight w:hRule="exact" w:val="226"/>
          <w:jc w:val="right"/>
        </w:trPr>
        <w:tc>
          <w:tcPr>
            <w:tcW w:w="1592" w:type="pct"/>
          </w:tcPr>
          <w:p w14:paraId="0C032FE4" w14:textId="77777777" w:rsidR="006968D2" w:rsidRPr="007E1860" w:rsidRDefault="006968D2" w:rsidP="006968D2">
            <w:pPr>
              <w:tabs>
                <w:tab w:val="right" w:pos="1202"/>
              </w:tabs>
              <w:spacing w:after="0" w:line="240" w:lineRule="exact"/>
              <w:outlineLvl w:val="0"/>
              <w:rPr>
                <w:rFonts w:cs="Arial"/>
                <w:spacing w:val="-2"/>
                <w:sz w:val="18"/>
                <w:szCs w:val="18"/>
              </w:rPr>
            </w:pPr>
            <w:r w:rsidRPr="007E1860">
              <w:rPr>
                <w:rFonts w:cs="Arial"/>
                <w:spacing w:val="-2"/>
                <w:sz w:val="18"/>
                <w:szCs w:val="18"/>
              </w:rPr>
              <w:t>Obveze po depozitima</w:t>
            </w:r>
          </w:p>
        </w:tc>
        <w:tc>
          <w:tcPr>
            <w:tcW w:w="544" w:type="pct"/>
            <w:tcBorders>
              <w:top w:val="nil"/>
              <w:left w:val="nil"/>
              <w:bottom w:val="nil"/>
              <w:right w:val="nil"/>
            </w:tcBorders>
            <w:shd w:val="clear" w:color="auto" w:fill="auto"/>
            <w:vAlign w:val="bottom"/>
          </w:tcPr>
          <w:p w14:paraId="7150EE01" w14:textId="07F65817" w:rsidR="006968D2" w:rsidRPr="007E1860" w:rsidRDefault="006968D2" w:rsidP="006968D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218.527</w:t>
            </w:r>
          </w:p>
        </w:tc>
        <w:tc>
          <w:tcPr>
            <w:tcW w:w="626" w:type="pct"/>
            <w:tcBorders>
              <w:top w:val="nil"/>
              <w:left w:val="nil"/>
              <w:bottom w:val="nil"/>
              <w:right w:val="nil"/>
            </w:tcBorders>
            <w:shd w:val="clear" w:color="auto" w:fill="auto"/>
            <w:vAlign w:val="bottom"/>
          </w:tcPr>
          <w:p w14:paraId="48C794B3" w14:textId="109E2015" w:rsidR="006968D2" w:rsidRPr="007E1860" w:rsidRDefault="006968D2" w:rsidP="006968D2">
            <w:pPr>
              <w:spacing w:line="240" w:lineRule="exact"/>
              <w:jc w:val="right"/>
              <w:outlineLvl w:val="0"/>
              <w:rPr>
                <w:rFonts w:cs="Arial"/>
                <w:bCs/>
                <w:color w:val="000000"/>
                <w:sz w:val="18"/>
                <w:szCs w:val="18"/>
                <w:lang w:eastAsia="hr-HR"/>
              </w:rPr>
            </w:pPr>
            <w:r w:rsidRPr="00516D7C">
              <w:rPr>
                <w:rFonts w:cs="Arial"/>
                <w:bCs/>
                <w:color w:val="000000"/>
                <w:sz w:val="18"/>
                <w:szCs w:val="18"/>
                <w:lang w:eastAsia="hr-HR"/>
              </w:rPr>
              <w:t>164.133</w:t>
            </w:r>
          </w:p>
        </w:tc>
        <w:tc>
          <w:tcPr>
            <w:tcW w:w="522" w:type="pct"/>
            <w:tcBorders>
              <w:top w:val="nil"/>
              <w:left w:val="nil"/>
              <w:bottom w:val="nil"/>
              <w:right w:val="nil"/>
            </w:tcBorders>
            <w:shd w:val="clear" w:color="auto" w:fill="auto"/>
            <w:vAlign w:val="bottom"/>
          </w:tcPr>
          <w:p w14:paraId="2BA06614" w14:textId="1D41822C" w:rsidR="006968D2" w:rsidRPr="007E1860" w:rsidRDefault="006968D2" w:rsidP="006968D2">
            <w:pPr>
              <w:spacing w:line="240" w:lineRule="exact"/>
              <w:jc w:val="right"/>
              <w:outlineLvl w:val="0"/>
              <w:rPr>
                <w:rFonts w:cs="Arial"/>
                <w:bCs/>
                <w:color w:val="000000"/>
                <w:sz w:val="18"/>
                <w:szCs w:val="18"/>
                <w:lang w:eastAsia="hr-HR"/>
              </w:rPr>
            </w:pPr>
            <w:r w:rsidRPr="00516D7C">
              <w:rPr>
                <w:rFonts w:cs="Arial"/>
                <w:bCs/>
                <w:color w:val="000000"/>
                <w:sz w:val="18"/>
                <w:szCs w:val="18"/>
                <w:lang w:eastAsia="hr-HR"/>
              </w:rPr>
              <w:t>40.694</w:t>
            </w:r>
          </w:p>
        </w:tc>
        <w:tc>
          <w:tcPr>
            <w:tcW w:w="522" w:type="pct"/>
            <w:tcBorders>
              <w:top w:val="nil"/>
              <w:left w:val="nil"/>
              <w:bottom w:val="nil"/>
              <w:right w:val="nil"/>
            </w:tcBorders>
            <w:shd w:val="clear" w:color="auto" w:fill="auto"/>
            <w:vAlign w:val="bottom"/>
          </w:tcPr>
          <w:p w14:paraId="4378D8F1" w14:textId="752BA2D4" w:rsidR="006968D2" w:rsidRPr="007E1860" w:rsidRDefault="006968D2" w:rsidP="006968D2">
            <w:pPr>
              <w:spacing w:line="240" w:lineRule="exact"/>
              <w:jc w:val="right"/>
              <w:outlineLvl w:val="0"/>
              <w:rPr>
                <w:rFonts w:cs="Arial"/>
                <w:bCs/>
                <w:color w:val="000000"/>
                <w:sz w:val="18"/>
                <w:szCs w:val="18"/>
                <w:lang w:eastAsia="hr-HR"/>
              </w:rPr>
            </w:pPr>
            <w:r w:rsidRPr="00516D7C">
              <w:rPr>
                <w:rFonts w:cs="Arial"/>
                <w:bCs/>
                <w:color w:val="000000"/>
                <w:sz w:val="18"/>
                <w:szCs w:val="18"/>
                <w:lang w:eastAsia="hr-HR"/>
              </w:rPr>
              <w:t>49.456</w:t>
            </w:r>
          </w:p>
        </w:tc>
        <w:tc>
          <w:tcPr>
            <w:tcW w:w="597" w:type="pct"/>
            <w:tcBorders>
              <w:top w:val="nil"/>
              <w:left w:val="nil"/>
              <w:bottom w:val="nil"/>
              <w:right w:val="nil"/>
            </w:tcBorders>
            <w:shd w:val="clear" w:color="auto" w:fill="auto"/>
            <w:vAlign w:val="bottom"/>
          </w:tcPr>
          <w:p w14:paraId="0E2780ED" w14:textId="26129ED8" w:rsidR="006968D2" w:rsidRPr="007E1860" w:rsidRDefault="006968D2" w:rsidP="006968D2">
            <w:pPr>
              <w:spacing w:line="240" w:lineRule="exact"/>
              <w:jc w:val="right"/>
              <w:outlineLvl w:val="0"/>
              <w:rPr>
                <w:rFonts w:cs="Arial"/>
                <w:bCs/>
                <w:color w:val="000000"/>
                <w:sz w:val="18"/>
                <w:szCs w:val="18"/>
                <w:lang w:eastAsia="hr-HR"/>
              </w:rPr>
            </w:pPr>
            <w:r w:rsidRPr="00516D7C">
              <w:rPr>
                <w:rFonts w:cs="Arial"/>
                <w:bCs/>
                <w:color w:val="000000"/>
                <w:sz w:val="18"/>
                <w:szCs w:val="18"/>
                <w:lang w:eastAsia="hr-HR"/>
              </w:rPr>
              <w:t>8.168</w:t>
            </w:r>
          </w:p>
        </w:tc>
        <w:tc>
          <w:tcPr>
            <w:tcW w:w="596" w:type="pct"/>
            <w:tcBorders>
              <w:top w:val="nil"/>
              <w:left w:val="nil"/>
              <w:bottom w:val="nil"/>
              <w:right w:val="nil"/>
            </w:tcBorders>
            <w:shd w:val="clear" w:color="auto" w:fill="auto"/>
            <w:vAlign w:val="bottom"/>
          </w:tcPr>
          <w:p w14:paraId="1C89C2BD" w14:textId="336499D0" w:rsidR="006968D2" w:rsidRPr="007E1860" w:rsidRDefault="006968D2" w:rsidP="006968D2">
            <w:pPr>
              <w:spacing w:line="240" w:lineRule="exact"/>
              <w:jc w:val="right"/>
              <w:outlineLvl w:val="0"/>
              <w:rPr>
                <w:rFonts w:cs="Arial"/>
                <w:bCs/>
                <w:color w:val="000000"/>
                <w:sz w:val="18"/>
                <w:szCs w:val="18"/>
                <w:lang w:eastAsia="hr-HR"/>
              </w:rPr>
            </w:pPr>
            <w:r w:rsidRPr="00516D7C">
              <w:rPr>
                <w:rFonts w:cs="Arial"/>
                <w:bCs/>
                <w:color w:val="000000"/>
                <w:sz w:val="18"/>
                <w:szCs w:val="18"/>
                <w:lang w:eastAsia="hr-HR"/>
              </w:rPr>
              <w:t>480.978</w:t>
            </w:r>
          </w:p>
        </w:tc>
      </w:tr>
      <w:tr w:rsidR="006968D2" w:rsidRPr="00CE2C44" w14:paraId="4C6B0581" w14:textId="77777777" w:rsidTr="00312975">
        <w:trPr>
          <w:trHeight w:val="244"/>
          <w:jc w:val="right"/>
        </w:trPr>
        <w:tc>
          <w:tcPr>
            <w:tcW w:w="1592" w:type="pct"/>
          </w:tcPr>
          <w:p w14:paraId="6F25D800" w14:textId="77777777" w:rsidR="006968D2" w:rsidRPr="007E1860" w:rsidRDefault="006968D2" w:rsidP="006968D2">
            <w:pPr>
              <w:tabs>
                <w:tab w:val="right" w:pos="1202"/>
              </w:tabs>
              <w:spacing w:after="0" w:line="240" w:lineRule="exact"/>
              <w:outlineLvl w:val="0"/>
              <w:rPr>
                <w:rFonts w:cs="Arial"/>
                <w:sz w:val="18"/>
                <w:szCs w:val="18"/>
              </w:rPr>
            </w:pPr>
            <w:r w:rsidRPr="007E1860">
              <w:rPr>
                <w:rFonts w:cs="Arial"/>
                <w:spacing w:val="-2"/>
                <w:sz w:val="18"/>
                <w:szCs w:val="18"/>
              </w:rPr>
              <w:t>Obveze po kreditima</w:t>
            </w:r>
          </w:p>
        </w:tc>
        <w:tc>
          <w:tcPr>
            <w:tcW w:w="544" w:type="pct"/>
            <w:tcBorders>
              <w:top w:val="nil"/>
              <w:left w:val="nil"/>
              <w:bottom w:val="nil"/>
              <w:right w:val="nil"/>
            </w:tcBorders>
            <w:shd w:val="clear" w:color="auto" w:fill="auto"/>
          </w:tcPr>
          <w:p w14:paraId="19DC57D6" w14:textId="356D9622" w:rsidR="006968D2" w:rsidRPr="007E1860" w:rsidRDefault="006968D2" w:rsidP="006968D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201.399</w:t>
            </w:r>
          </w:p>
        </w:tc>
        <w:tc>
          <w:tcPr>
            <w:tcW w:w="626" w:type="pct"/>
            <w:tcBorders>
              <w:top w:val="nil"/>
              <w:left w:val="nil"/>
              <w:bottom w:val="nil"/>
              <w:right w:val="nil"/>
            </w:tcBorders>
            <w:shd w:val="clear" w:color="auto" w:fill="auto"/>
          </w:tcPr>
          <w:p w14:paraId="35226C82" w14:textId="48255A76" w:rsidR="006968D2" w:rsidRPr="007E1860" w:rsidRDefault="006968D2" w:rsidP="006968D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244.373</w:t>
            </w:r>
          </w:p>
        </w:tc>
        <w:tc>
          <w:tcPr>
            <w:tcW w:w="522" w:type="pct"/>
            <w:tcBorders>
              <w:top w:val="nil"/>
              <w:left w:val="nil"/>
              <w:bottom w:val="nil"/>
              <w:right w:val="nil"/>
            </w:tcBorders>
            <w:shd w:val="clear" w:color="auto" w:fill="auto"/>
          </w:tcPr>
          <w:p w14:paraId="04A980CF" w14:textId="5C0C3EFA" w:rsidR="006968D2" w:rsidRPr="007E1860" w:rsidRDefault="006968D2" w:rsidP="006968D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1.278.757</w:t>
            </w:r>
          </w:p>
        </w:tc>
        <w:tc>
          <w:tcPr>
            <w:tcW w:w="522" w:type="pct"/>
            <w:tcBorders>
              <w:top w:val="nil"/>
              <w:left w:val="nil"/>
              <w:bottom w:val="nil"/>
              <w:right w:val="nil"/>
            </w:tcBorders>
            <w:shd w:val="clear" w:color="auto" w:fill="auto"/>
          </w:tcPr>
          <w:p w14:paraId="75BF46E9" w14:textId="5CD8DC0E" w:rsidR="006968D2" w:rsidRPr="007E1860" w:rsidRDefault="006968D2" w:rsidP="006968D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3.552.143</w:t>
            </w:r>
          </w:p>
        </w:tc>
        <w:tc>
          <w:tcPr>
            <w:tcW w:w="597" w:type="pct"/>
            <w:tcBorders>
              <w:top w:val="nil"/>
              <w:left w:val="nil"/>
              <w:bottom w:val="nil"/>
              <w:right w:val="nil"/>
            </w:tcBorders>
            <w:shd w:val="clear" w:color="auto" w:fill="auto"/>
          </w:tcPr>
          <w:p w14:paraId="46103DF3" w14:textId="067ED9C2" w:rsidR="006968D2" w:rsidRPr="007E1860" w:rsidRDefault="006968D2" w:rsidP="006968D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10.146.909</w:t>
            </w:r>
          </w:p>
        </w:tc>
        <w:tc>
          <w:tcPr>
            <w:tcW w:w="596" w:type="pct"/>
            <w:tcBorders>
              <w:top w:val="nil"/>
              <w:left w:val="nil"/>
              <w:bottom w:val="nil"/>
              <w:right w:val="nil"/>
            </w:tcBorders>
            <w:shd w:val="clear" w:color="auto" w:fill="auto"/>
            <w:vAlign w:val="bottom"/>
          </w:tcPr>
          <w:p w14:paraId="78255CEE" w14:textId="4B74A4B1" w:rsidR="006968D2" w:rsidRPr="007E1860" w:rsidRDefault="006968D2" w:rsidP="006968D2">
            <w:pPr>
              <w:spacing w:after="0" w:line="240" w:lineRule="exact"/>
              <w:jc w:val="right"/>
              <w:outlineLvl w:val="0"/>
              <w:rPr>
                <w:rFonts w:cs="Arial"/>
                <w:bCs/>
                <w:color w:val="000000"/>
                <w:sz w:val="18"/>
                <w:szCs w:val="18"/>
                <w:lang w:eastAsia="hr-HR"/>
              </w:rPr>
            </w:pPr>
            <w:r w:rsidRPr="00013865">
              <w:rPr>
                <w:rFonts w:cs="Arial"/>
                <w:bCs/>
                <w:color w:val="000000"/>
                <w:sz w:val="18"/>
                <w:szCs w:val="18"/>
                <w:lang w:eastAsia="hr-HR"/>
              </w:rPr>
              <w:t>15.423.581</w:t>
            </w:r>
          </w:p>
        </w:tc>
      </w:tr>
      <w:tr w:rsidR="006968D2" w:rsidRPr="00CE2C44" w14:paraId="214416DA" w14:textId="77777777" w:rsidTr="007E1860">
        <w:trPr>
          <w:trHeight w:val="473"/>
          <w:jc w:val="right"/>
        </w:trPr>
        <w:tc>
          <w:tcPr>
            <w:tcW w:w="1592" w:type="pct"/>
          </w:tcPr>
          <w:p w14:paraId="40BF0732" w14:textId="77777777" w:rsidR="006968D2" w:rsidRPr="007E1860" w:rsidRDefault="006968D2" w:rsidP="006968D2">
            <w:pPr>
              <w:tabs>
                <w:tab w:val="right" w:pos="1202"/>
              </w:tabs>
              <w:spacing w:after="0" w:line="240" w:lineRule="exact"/>
              <w:outlineLvl w:val="0"/>
              <w:rPr>
                <w:rFonts w:cs="Arial"/>
                <w:sz w:val="18"/>
                <w:szCs w:val="18"/>
              </w:rPr>
            </w:pPr>
            <w:r w:rsidRPr="007E1860">
              <w:rPr>
                <w:rFonts w:cs="Arial"/>
                <w:spacing w:val="-2"/>
                <w:sz w:val="18"/>
                <w:szCs w:val="18"/>
              </w:rPr>
              <w:t>Obveze za izdane dugoročne vrijednosne papire</w:t>
            </w:r>
          </w:p>
        </w:tc>
        <w:tc>
          <w:tcPr>
            <w:tcW w:w="544" w:type="pct"/>
            <w:tcBorders>
              <w:top w:val="nil"/>
              <w:left w:val="nil"/>
              <w:bottom w:val="nil"/>
              <w:right w:val="nil"/>
            </w:tcBorders>
            <w:shd w:val="clear" w:color="auto" w:fill="auto"/>
            <w:vAlign w:val="bottom"/>
          </w:tcPr>
          <w:p w14:paraId="7B83E120" w14:textId="54DF0380" w:rsidR="006968D2" w:rsidRPr="007E1860" w:rsidRDefault="006968D2" w:rsidP="006968D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0D609246" w14:textId="0A96203E" w:rsidR="006968D2" w:rsidRPr="007E1860" w:rsidRDefault="006968D2" w:rsidP="006968D2">
            <w:pPr>
              <w:spacing w:after="0" w:line="240" w:lineRule="exact"/>
              <w:jc w:val="right"/>
              <w:outlineLvl w:val="0"/>
              <w:rPr>
                <w:rFonts w:cs="Arial"/>
                <w:bCs/>
                <w:color w:val="000000"/>
                <w:sz w:val="18"/>
                <w:szCs w:val="18"/>
                <w:lang w:eastAsia="hr-HR"/>
              </w:rPr>
            </w:pPr>
            <w:r w:rsidRPr="00516D7C">
              <w:rPr>
                <w:rFonts w:cs="Arial"/>
                <w:bCs/>
                <w:color w:val="000000"/>
                <w:sz w:val="18"/>
                <w:szCs w:val="18"/>
                <w:lang w:eastAsia="hr-HR"/>
              </w:rPr>
              <w:t>9.679</w:t>
            </w:r>
          </w:p>
        </w:tc>
        <w:tc>
          <w:tcPr>
            <w:tcW w:w="522" w:type="pct"/>
            <w:tcBorders>
              <w:top w:val="nil"/>
              <w:left w:val="nil"/>
              <w:bottom w:val="nil"/>
              <w:right w:val="nil"/>
            </w:tcBorders>
            <w:shd w:val="clear" w:color="auto" w:fill="auto"/>
            <w:vAlign w:val="bottom"/>
          </w:tcPr>
          <w:p w14:paraId="4CD82E78" w14:textId="3C5F9CBA" w:rsidR="006968D2" w:rsidRPr="007E1860" w:rsidRDefault="006968D2" w:rsidP="006968D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1C7B7D6C" w14:textId="3B0C59DF" w:rsidR="006968D2" w:rsidRPr="007E1860" w:rsidRDefault="006968D2" w:rsidP="006968D2">
            <w:pPr>
              <w:spacing w:after="0" w:line="240" w:lineRule="exact"/>
              <w:jc w:val="right"/>
              <w:outlineLvl w:val="0"/>
              <w:rPr>
                <w:rFonts w:cs="Arial"/>
                <w:bCs/>
                <w:color w:val="000000"/>
                <w:sz w:val="18"/>
                <w:szCs w:val="18"/>
                <w:lang w:eastAsia="hr-HR"/>
              </w:rPr>
            </w:pPr>
            <w:r w:rsidRPr="002D1CB1">
              <w:rPr>
                <w:rFonts w:cs="Arial"/>
                <w:bCs/>
                <w:color w:val="000000"/>
                <w:sz w:val="18"/>
                <w:szCs w:val="18"/>
                <w:lang w:eastAsia="hr-HR"/>
              </w:rPr>
              <w:t>1.100.085</w:t>
            </w:r>
          </w:p>
        </w:tc>
        <w:tc>
          <w:tcPr>
            <w:tcW w:w="597" w:type="pct"/>
            <w:tcBorders>
              <w:top w:val="nil"/>
              <w:left w:val="nil"/>
              <w:bottom w:val="nil"/>
              <w:right w:val="nil"/>
            </w:tcBorders>
            <w:shd w:val="clear" w:color="auto" w:fill="auto"/>
            <w:vAlign w:val="bottom"/>
          </w:tcPr>
          <w:p w14:paraId="48876B2E" w14:textId="63E092BB" w:rsidR="006968D2" w:rsidRPr="007E1860" w:rsidRDefault="006968D2" w:rsidP="006968D2">
            <w:pPr>
              <w:spacing w:after="0" w:line="240" w:lineRule="exact"/>
              <w:jc w:val="right"/>
              <w:outlineLvl w:val="0"/>
              <w:rPr>
                <w:rFonts w:cs="Arial"/>
                <w:bCs/>
                <w:color w:val="000000"/>
                <w:sz w:val="18"/>
                <w:szCs w:val="18"/>
                <w:lang w:eastAsia="hr-HR"/>
              </w:rPr>
            </w:pPr>
            <w:r>
              <w:rPr>
                <w:rFonts w:cs="Arial"/>
                <w:bCs/>
                <w:color w:val="000000"/>
                <w:sz w:val="18"/>
                <w:szCs w:val="18"/>
                <w:lang w:eastAsia="hr-HR"/>
              </w:rPr>
              <w:t>-</w:t>
            </w:r>
          </w:p>
        </w:tc>
        <w:tc>
          <w:tcPr>
            <w:tcW w:w="596" w:type="pct"/>
            <w:tcBorders>
              <w:top w:val="nil"/>
              <w:left w:val="nil"/>
              <w:bottom w:val="nil"/>
              <w:right w:val="nil"/>
            </w:tcBorders>
            <w:shd w:val="clear" w:color="auto" w:fill="auto"/>
            <w:vAlign w:val="bottom"/>
          </w:tcPr>
          <w:p w14:paraId="0E27A07A" w14:textId="3969FE27" w:rsidR="006968D2" w:rsidRPr="007E1860" w:rsidRDefault="006968D2" w:rsidP="006968D2">
            <w:pPr>
              <w:spacing w:after="0" w:line="240" w:lineRule="exact"/>
              <w:jc w:val="right"/>
              <w:outlineLvl w:val="0"/>
              <w:rPr>
                <w:rFonts w:cs="Arial"/>
                <w:bCs/>
                <w:color w:val="000000"/>
                <w:sz w:val="18"/>
                <w:szCs w:val="18"/>
                <w:lang w:eastAsia="hr-HR"/>
              </w:rPr>
            </w:pPr>
            <w:r w:rsidRPr="00013865">
              <w:rPr>
                <w:rFonts w:cs="Arial"/>
                <w:bCs/>
                <w:color w:val="000000"/>
                <w:sz w:val="18"/>
                <w:szCs w:val="18"/>
                <w:lang w:eastAsia="hr-HR"/>
              </w:rPr>
              <w:t>1.109.764</w:t>
            </w:r>
          </w:p>
        </w:tc>
      </w:tr>
      <w:tr w:rsidR="006968D2" w:rsidRPr="00CE2C44" w14:paraId="674D2110" w14:textId="77777777" w:rsidTr="007E1860">
        <w:trPr>
          <w:trHeight w:val="244"/>
          <w:jc w:val="right"/>
        </w:trPr>
        <w:tc>
          <w:tcPr>
            <w:tcW w:w="1592" w:type="pct"/>
          </w:tcPr>
          <w:p w14:paraId="4C2D7B51" w14:textId="77777777" w:rsidR="006968D2" w:rsidRPr="007E1860" w:rsidRDefault="006968D2" w:rsidP="006968D2">
            <w:pPr>
              <w:tabs>
                <w:tab w:val="right" w:pos="1202"/>
              </w:tabs>
              <w:spacing w:after="0" w:line="240" w:lineRule="exact"/>
              <w:outlineLvl w:val="0"/>
              <w:rPr>
                <w:rFonts w:cs="Arial"/>
                <w:sz w:val="18"/>
                <w:szCs w:val="18"/>
              </w:rPr>
            </w:pPr>
            <w:r w:rsidRPr="007E1860">
              <w:rPr>
                <w:rFonts w:cs="Arial"/>
                <w:spacing w:val="-2"/>
                <w:sz w:val="18"/>
                <w:szCs w:val="18"/>
              </w:rPr>
              <w:t>Ostale obveze</w:t>
            </w:r>
          </w:p>
        </w:tc>
        <w:tc>
          <w:tcPr>
            <w:tcW w:w="544" w:type="pct"/>
            <w:tcBorders>
              <w:top w:val="nil"/>
              <w:left w:val="nil"/>
              <w:bottom w:val="nil"/>
              <w:right w:val="nil"/>
            </w:tcBorders>
            <w:shd w:val="clear" w:color="auto" w:fill="auto"/>
            <w:vAlign w:val="bottom"/>
          </w:tcPr>
          <w:p w14:paraId="07E0AF44" w14:textId="3247FF6D" w:rsidR="006968D2" w:rsidRPr="007E1860" w:rsidRDefault="006968D2" w:rsidP="006968D2">
            <w:pPr>
              <w:spacing w:after="0" w:line="240" w:lineRule="exact"/>
              <w:jc w:val="right"/>
              <w:outlineLvl w:val="0"/>
              <w:rPr>
                <w:rFonts w:cs="Arial"/>
                <w:bCs/>
                <w:color w:val="000000"/>
                <w:sz w:val="18"/>
                <w:szCs w:val="18"/>
                <w:lang w:eastAsia="hr-HR"/>
              </w:rPr>
            </w:pPr>
            <w:r w:rsidRPr="00013865">
              <w:rPr>
                <w:rFonts w:cs="Arial"/>
                <w:bCs/>
                <w:color w:val="000000"/>
                <w:sz w:val="18"/>
                <w:szCs w:val="18"/>
                <w:lang w:eastAsia="hr-HR"/>
              </w:rPr>
              <w:t>156.193</w:t>
            </w:r>
          </w:p>
        </w:tc>
        <w:tc>
          <w:tcPr>
            <w:tcW w:w="626" w:type="pct"/>
            <w:tcBorders>
              <w:top w:val="nil"/>
              <w:left w:val="nil"/>
              <w:bottom w:val="nil"/>
              <w:right w:val="nil"/>
            </w:tcBorders>
            <w:shd w:val="clear" w:color="auto" w:fill="auto"/>
            <w:vAlign w:val="bottom"/>
          </w:tcPr>
          <w:p w14:paraId="51B07934" w14:textId="0F1EC999" w:rsidR="006968D2" w:rsidRPr="007E1860" w:rsidRDefault="006968D2" w:rsidP="006968D2">
            <w:pPr>
              <w:spacing w:after="0" w:line="240" w:lineRule="exact"/>
              <w:jc w:val="right"/>
              <w:outlineLvl w:val="0"/>
              <w:rPr>
                <w:rFonts w:cs="Arial"/>
                <w:bCs/>
                <w:color w:val="000000"/>
                <w:sz w:val="18"/>
                <w:szCs w:val="18"/>
                <w:lang w:eastAsia="hr-HR"/>
              </w:rPr>
            </w:pPr>
            <w:r w:rsidRPr="00013865">
              <w:rPr>
                <w:rFonts w:cs="Arial"/>
                <w:bCs/>
                <w:color w:val="000000"/>
                <w:sz w:val="18"/>
                <w:szCs w:val="18"/>
                <w:lang w:eastAsia="hr-HR"/>
              </w:rPr>
              <w:t>24.848</w:t>
            </w:r>
          </w:p>
        </w:tc>
        <w:tc>
          <w:tcPr>
            <w:tcW w:w="522" w:type="pct"/>
            <w:tcBorders>
              <w:top w:val="nil"/>
              <w:left w:val="nil"/>
              <w:bottom w:val="nil"/>
              <w:right w:val="nil"/>
            </w:tcBorders>
            <w:shd w:val="clear" w:color="auto" w:fill="auto"/>
            <w:vAlign w:val="bottom"/>
          </w:tcPr>
          <w:p w14:paraId="7A268DE3" w14:textId="2B28B39F" w:rsidR="006968D2" w:rsidRPr="007E1860" w:rsidRDefault="006968D2" w:rsidP="006968D2">
            <w:pPr>
              <w:spacing w:after="0" w:line="240" w:lineRule="exact"/>
              <w:jc w:val="right"/>
              <w:outlineLvl w:val="0"/>
              <w:rPr>
                <w:rFonts w:cs="Arial"/>
                <w:bCs/>
                <w:color w:val="000000"/>
                <w:sz w:val="18"/>
                <w:szCs w:val="18"/>
                <w:lang w:eastAsia="hr-HR"/>
              </w:rPr>
            </w:pPr>
            <w:r w:rsidRPr="00013865">
              <w:rPr>
                <w:rFonts w:cs="Arial"/>
                <w:bCs/>
                <w:color w:val="000000"/>
                <w:sz w:val="18"/>
                <w:szCs w:val="18"/>
                <w:lang w:eastAsia="hr-HR"/>
              </w:rPr>
              <w:t>85.171</w:t>
            </w:r>
          </w:p>
        </w:tc>
        <w:tc>
          <w:tcPr>
            <w:tcW w:w="522" w:type="pct"/>
            <w:tcBorders>
              <w:top w:val="nil"/>
              <w:left w:val="nil"/>
              <w:bottom w:val="nil"/>
              <w:right w:val="nil"/>
            </w:tcBorders>
            <w:shd w:val="clear" w:color="auto" w:fill="auto"/>
            <w:vAlign w:val="bottom"/>
          </w:tcPr>
          <w:p w14:paraId="341E410A" w14:textId="537FA7B6" w:rsidR="006968D2" w:rsidRPr="007E1860" w:rsidRDefault="006968D2" w:rsidP="006968D2">
            <w:pPr>
              <w:spacing w:after="0" w:line="240" w:lineRule="exact"/>
              <w:jc w:val="right"/>
              <w:outlineLvl w:val="0"/>
              <w:rPr>
                <w:rFonts w:cs="Arial"/>
                <w:bCs/>
                <w:color w:val="000000"/>
                <w:sz w:val="18"/>
                <w:szCs w:val="18"/>
                <w:lang w:eastAsia="hr-HR"/>
              </w:rPr>
            </w:pPr>
            <w:r w:rsidRPr="00013865">
              <w:rPr>
                <w:rFonts w:cs="Arial"/>
                <w:bCs/>
                <w:color w:val="000000"/>
                <w:sz w:val="18"/>
                <w:szCs w:val="18"/>
                <w:lang w:eastAsia="hr-HR"/>
              </w:rPr>
              <w:t>168.996</w:t>
            </w:r>
          </w:p>
        </w:tc>
        <w:tc>
          <w:tcPr>
            <w:tcW w:w="597" w:type="pct"/>
            <w:tcBorders>
              <w:top w:val="nil"/>
              <w:left w:val="nil"/>
              <w:bottom w:val="nil"/>
              <w:right w:val="nil"/>
            </w:tcBorders>
            <w:shd w:val="clear" w:color="auto" w:fill="auto"/>
            <w:vAlign w:val="bottom"/>
          </w:tcPr>
          <w:p w14:paraId="07B1F4FA" w14:textId="6351DFDC" w:rsidR="006968D2" w:rsidRPr="007E1860" w:rsidRDefault="006968D2" w:rsidP="006968D2">
            <w:pPr>
              <w:spacing w:after="0" w:line="240" w:lineRule="exact"/>
              <w:jc w:val="right"/>
              <w:outlineLvl w:val="0"/>
              <w:rPr>
                <w:rFonts w:cs="Arial"/>
                <w:bCs/>
                <w:color w:val="000000"/>
                <w:sz w:val="18"/>
                <w:szCs w:val="18"/>
                <w:lang w:eastAsia="hr-HR"/>
              </w:rPr>
            </w:pPr>
            <w:r w:rsidRPr="00013865">
              <w:rPr>
                <w:rFonts w:cs="Arial"/>
                <w:bCs/>
                <w:color w:val="000000"/>
                <w:sz w:val="18"/>
                <w:szCs w:val="18"/>
                <w:lang w:eastAsia="hr-HR"/>
              </w:rPr>
              <w:t>190.015</w:t>
            </w:r>
          </w:p>
        </w:tc>
        <w:tc>
          <w:tcPr>
            <w:tcW w:w="596" w:type="pct"/>
            <w:tcBorders>
              <w:top w:val="nil"/>
              <w:left w:val="nil"/>
              <w:bottom w:val="nil"/>
              <w:right w:val="nil"/>
            </w:tcBorders>
            <w:shd w:val="clear" w:color="auto" w:fill="auto"/>
            <w:vAlign w:val="bottom"/>
          </w:tcPr>
          <w:p w14:paraId="510FD437" w14:textId="5705E698" w:rsidR="006968D2" w:rsidRPr="007E1860" w:rsidRDefault="006968D2" w:rsidP="006968D2">
            <w:pPr>
              <w:spacing w:after="0" w:line="240" w:lineRule="exact"/>
              <w:jc w:val="right"/>
              <w:outlineLvl w:val="0"/>
              <w:rPr>
                <w:rFonts w:cs="Arial"/>
                <w:bCs/>
                <w:color w:val="000000"/>
                <w:sz w:val="18"/>
                <w:szCs w:val="18"/>
                <w:lang w:eastAsia="hr-HR"/>
              </w:rPr>
            </w:pPr>
            <w:r w:rsidRPr="00013865">
              <w:rPr>
                <w:rFonts w:cs="Arial"/>
                <w:bCs/>
                <w:color w:val="000000"/>
                <w:sz w:val="18"/>
                <w:szCs w:val="18"/>
                <w:lang w:eastAsia="hr-HR"/>
              </w:rPr>
              <w:t>625.223</w:t>
            </w:r>
          </w:p>
        </w:tc>
      </w:tr>
      <w:tr w:rsidR="006968D2" w:rsidRPr="00CE2C44" w14:paraId="386B4958" w14:textId="77777777" w:rsidTr="007E1860">
        <w:trPr>
          <w:trHeight w:val="198"/>
          <w:jc w:val="right"/>
        </w:trPr>
        <w:tc>
          <w:tcPr>
            <w:tcW w:w="1592" w:type="pct"/>
          </w:tcPr>
          <w:p w14:paraId="14FA4FE9" w14:textId="77777777" w:rsidR="006968D2" w:rsidRPr="007E1860" w:rsidRDefault="006968D2" w:rsidP="006968D2">
            <w:pPr>
              <w:tabs>
                <w:tab w:val="right" w:pos="1202"/>
              </w:tabs>
              <w:spacing w:after="0" w:line="240" w:lineRule="exact"/>
              <w:outlineLvl w:val="0"/>
              <w:rPr>
                <w:rFonts w:cs="Arial"/>
                <w:b/>
                <w:bCs/>
                <w:sz w:val="18"/>
                <w:szCs w:val="18"/>
              </w:rPr>
            </w:pPr>
            <w:r w:rsidRPr="007E1860">
              <w:rPr>
                <w:rFonts w:cs="Arial"/>
                <w:b/>
                <w:bCs/>
                <w:sz w:val="18"/>
                <w:szCs w:val="18"/>
              </w:rPr>
              <w:t>Ukupne obveze</w:t>
            </w:r>
          </w:p>
        </w:tc>
        <w:tc>
          <w:tcPr>
            <w:tcW w:w="544" w:type="pct"/>
            <w:tcBorders>
              <w:top w:val="single" w:sz="4" w:space="0" w:color="auto"/>
              <w:left w:val="nil"/>
              <w:bottom w:val="single" w:sz="8" w:space="0" w:color="auto"/>
              <w:right w:val="nil"/>
            </w:tcBorders>
            <w:shd w:val="clear" w:color="auto" w:fill="auto"/>
            <w:vAlign w:val="bottom"/>
          </w:tcPr>
          <w:p w14:paraId="61D8631A" w14:textId="186C2FBC" w:rsidR="006968D2" w:rsidRPr="007E1860" w:rsidRDefault="006968D2" w:rsidP="006968D2">
            <w:pPr>
              <w:spacing w:after="0" w:line="240" w:lineRule="exact"/>
              <w:jc w:val="right"/>
              <w:outlineLvl w:val="0"/>
              <w:rPr>
                <w:rFonts w:cs="Arial"/>
                <w:b/>
                <w:bCs/>
                <w:color w:val="000000"/>
                <w:sz w:val="18"/>
                <w:szCs w:val="18"/>
                <w:lang w:eastAsia="hr-HR"/>
              </w:rPr>
            </w:pPr>
            <w:r w:rsidRPr="00013865">
              <w:rPr>
                <w:rFonts w:cs="Arial"/>
                <w:b/>
                <w:bCs/>
                <w:color w:val="000000"/>
                <w:sz w:val="18"/>
                <w:szCs w:val="18"/>
                <w:lang w:eastAsia="hr-HR"/>
              </w:rPr>
              <w:t>576.119</w:t>
            </w:r>
          </w:p>
        </w:tc>
        <w:tc>
          <w:tcPr>
            <w:tcW w:w="626" w:type="pct"/>
            <w:tcBorders>
              <w:top w:val="single" w:sz="4" w:space="0" w:color="auto"/>
              <w:left w:val="nil"/>
              <w:bottom w:val="single" w:sz="8" w:space="0" w:color="auto"/>
              <w:right w:val="nil"/>
            </w:tcBorders>
            <w:shd w:val="clear" w:color="auto" w:fill="auto"/>
            <w:vAlign w:val="bottom"/>
          </w:tcPr>
          <w:p w14:paraId="455EC4E5" w14:textId="097002F6" w:rsidR="006968D2" w:rsidRPr="007E1860" w:rsidRDefault="006968D2" w:rsidP="006968D2">
            <w:pPr>
              <w:spacing w:after="0" w:line="240" w:lineRule="exact"/>
              <w:jc w:val="right"/>
              <w:outlineLvl w:val="0"/>
              <w:rPr>
                <w:rFonts w:cs="Arial"/>
                <w:b/>
                <w:bCs/>
                <w:color w:val="000000"/>
                <w:sz w:val="18"/>
                <w:szCs w:val="18"/>
                <w:lang w:eastAsia="hr-HR"/>
              </w:rPr>
            </w:pPr>
            <w:r w:rsidRPr="00013865">
              <w:rPr>
                <w:rFonts w:cs="Arial"/>
                <w:b/>
                <w:bCs/>
                <w:color w:val="000000"/>
                <w:sz w:val="18"/>
                <w:szCs w:val="18"/>
                <w:lang w:eastAsia="hr-HR"/>
              </w:rPr>
              <w:t>443.033</w:t>
            </w:r>
          </w:p>
        </w:tc>
        <w:tc>
          <w:tcPr>
            <w:tcW w:w="522" w:type="pct"/>
            <w:tcBorders>
              <w:top w:val="single" w:sz="4" w:space="0" w:color="auto"/>
              <w:left w:val="nil"/>
              <w:bottom w:val="single" w:sz="8" w:space="0" w:color="auto"/>
              <w:right w:val="nil"/>
            </w:tcBorders>
            <w:shd w:val="clear" w:color="auto" w:fill="auto"/>
            <w:vAlign w:val="bottom"/>
          </w:tcPr>
          <w:p w14:paraId="5FB466F9" w14:textId="292E4BAB" w:rsidR="006968D2" w:rsidRPr="007E1860" w:rsidRDefault="006968D2" w:rsidP="006968D2">
            <w:pPr>
              <w:spacing w:after="0" w:line="240" w:lineRule="exact"/>
              <w:jc w:val="right"/>
              <w:outlineLvl w:val="0"/>
              <w:rPr>
                <w:rFonts w:cs="Arial"/>
                <w:b/>
                <w:bCs/>
                <w:color w:val="000000"/>
                <w:sz w:val="18"/>
                <w:szCs w:val="18"/>
                <w:lang w:eastAsia="hr-HR"/>
              </w:rPr>
            </w:pPr>
            <w:r w:rsidRPr="00013865">
              <w:rPr>
                <w:rFonts w:cs="Arial"/>
                <w:b/>
                <w:bCs/>
                <w:color w:val="000000"/>
                <w:sz w:val="18"/>
                <w:szCs w:val="18"/>
                <w:lang w:eastAsia="hr-HR"/>
              </w:rPr>
              <w:t>1.404.622</w:t>
            </w:r>
          </w:p>
        </w:tc>
        <w:tc>
          <w:tcPr>
            <w:tcW w:w="522" w:type="pct"/>
            <w:tcBorders>
              <w:top w:val="single" w:sz="4" w:space="0" w:color="auto"/>
              <w:left w:val="nil"/>
              <w:bottom w:val="single" w:sz="8" w:space="0" w:color="auto"/>
              <w:right w:val="nil"/>
            </w:tcBorders>
            <w:shd w:val="clear" w:color="auto" w:fill="auto"/>
            <w:vAlign w:val="bottom"/>
          </w:tcPr>
          <w:p w14:paraId="26DF39DF" w14:textId="7019B0B7" w:rsidR="006968D2" w:rsidRPr="007E1860" w:rsidRDefault="006968D2" w:rsidP="006968D2">
            <w:pPr>
              <w:spacing w:after="0" w:line="240" w:lineRule="exact"/>
              <w:jc w:val="right"/>
              <w:outlineLvl w:val="0"/>
              <w:rPr>
                <w:rFonts w:cs="Arial"/>
                <w:b/>
                <w:bCs/>
                <w:color w:val="000000"/>
                <w:sz w:val="18"/>
                <w:szCs w:val="18"/>
                <w:lang w:eastAsia="hr-HR"/>
              </w:rPr>
            </w:pPr>
            <w:r>
              <w:rPr>
                <w:rFonts w:cs="Arial"/>
                <w:b/>
                <w:bCs/>
                <w:color w:val="000000"/>
                <w:sz w:val="18"/>
                <w:szCs w:val="18"/>
                <w:lang w:eastAsia="hr-HR"/>
              </w:rPr>
              <w:t>4.870.680</w:t>
            </w:r>
          </w:p>
        </w:tc>
        <w:tc>
          <w:tcPr>
            <w:tcW w:w="597" w:type="pct"/>
            <w:tcBorders>
              <w:top w:val="single" w:sz="4" w:space="0" w:color="auto"/>
              <w:left w:val="nil"/>
              <w:bottom w:val="single" w:sz="8" w:space="0" w:color="auto"/>
              <w:right w:val="nil"/>
            </w:tcBorders>
            <w:shd w:val="clear" w:color="auto" w:fill="auto"/>
            <w:vAlign w:val="bottom"/>
          </w:tcPr>
          <w:p w14:paraId="5CBBEA90" w14:textId="249D5544" w:rsidR="006968D2" w:rsidRPr="007E1860" w:rsidRDefault="006968D2" w:rsidP="006968D2">
            <w:pPr>
              <w:spacing w:after="0" w:line="240" w:lineRule="exact"/>
              <w:jc w:val="right"/>
              <w:outlineLvl w:val="0"/>
              <w:rPr>
                <w:rFonts w:cs="Arial"/>
                <w:b/>
                <w:bCs/>
                <w:color w:val="000000"/>
                <w:sz w:val="18"/>
                <w:szCs w:val="18"/>
                <w:lang w:eastAsia="hr-HR"/>
              </w:rPr>
            </w:pPr>
            <w:r>
              <w:rPr>
                <w:rFonts w:cs="Arial"/>
                <w:b/>
                <w:bCs/>
                <w:color w:val="000000"/>
                <w:sz w:val="18"/>
                <w:szCs w:val="18"/>
                <w:lang w:eastAsia="hr-HR"/>
              </w:rPr>
              <w:t>10.345.092</w:t>
            </w:r>
          </w:p>
        </w:tc>
        <w:tc>
          <w:tcPr>
            <w:tcW w:w="596" w:type="pct"/>
            <w:tcBorders>
              <w:top w:val="single" w:sz="4" w:space="0" w:color="auto"/>
              <w:left w:val="nil"/>
              <w:bottom w:val="single" w:sz="8" w:space="0" w:color="auto"/>
              <w:right w:val="nil"/>
            </w:tcBorders>
            <w:shd w:val="clear" w:color="auto" w:fill="auto"/>
            <w:vAlign w:val="bottom"/>
          </w:tcPr>
          <w:p w14:paraId="30228C40" w14:textId="42DCE40D" w:rsidR="006968D2" w:rsidRPr="007E1860" w:rsidRDefault="006968D2" w:rsidP="006968D2">
            <w:pPr>
              <w:spacing w:after="0" w:line="240" w:lineRule="exact"/>
              <w:jc w:val="right"/>
              <w:outlineLvl w:val="0"/>
              <w:rPr>
                <w:rFonts w:cs="Arial"/>
                <w:b/>
                <w:bCs/>
                <w:color w:val="000000"/>
                <w:sz w:val="18"/>
                <w:szCs w:val="18"/>
                <w:lang w:eastAsia="hr-HR"/>
              </w:rPr>
            </w:pPr>
            <w:r w:rsidRPr="00013865">
              <w:rPr>
                <w:rFonts w:cs="Arial"/>
                <w:b/>
                <w:bCs/>
                <w:color w:val="000000"/>
                <w:sz w:val="18"/>
                <w:szCs w:val="18"/>
                <w:lang w:eastAsia="hr-HR"/>
              </w:rPr>
              <w:t>17.639.546</w:t>
            </w:r>
          </w:p>
        </w:tc>
      </w:tr>
      <w:tr w:rsidR="006968D2" w:rsidRPr="00CE2C44" w14:paraId="466EA5DE" w14:textId="77777777" w:rsidTr="007E1860">
        <w:trPr>
          <w:trHeight w:val="137"/>
          <w:jc w:val="right"/>
        </w:trPr>
        <w:tc>
          <w:tcPr>
            <w:tcW w:w="1592" w:type="pct"/>
          </w:tcPr>
          <w:p w14:paraId="06E9837F" w14:textId="77777777" w:rsidR="006968D2" w:rsidRPr="007E1860" w:rsidRDefault="006968D2" w:rsidP="006968D2">
            <w:pPr>
              <w:tabs>
                <w:tab w:val="right" w:pos="1202"/>
              </w:tabs>
              <w:spacing w:after="0" w:line="240" w:lineRule="exact"/>
              <w:outlineLvl w:val="0"/>
              <w:rPr>
                <w:rFonts w:cs="Arial"/>
                <w:sz w:val="18"/>
                <w:szCs w:val="18"/>
              </w:rPr>
            </w:pPr>
            <w:r w:rsidRPr="007E1860">
              <w:rPr>
                <w:rFonts w:cs="Arial"/>
                <w:b/>
                <w:bCs/>
                <w:sz w:val="18"/>
                <w:szCs w:val="18"/>
              </w:rPr>
              <w:t>Kapital</w:t>
            </w:r>
          </w:p>
        </w:tc>
        <w:tc>
          <w:tcPr>
            <w:tcW w:w="544" w:type="pct"/>
            <w:tcBorders>
              <w:top w:val="single" w:sz="12" w:space="0" w:color="auto"/>
            </w:tcBorders>
            <w:vAlign w:val="bottom"/>
          </w:tcPr>
          <w:p w14:paraId="47666066" w14:textId="77777777" w:rsidR="006968D2" w:rsidRPr="007E1860" w:rsidRDefault="006968D2" w:rsidP="006968D2">
            <w:pPr>
              <w:spacing w:after="0" w:line="240" w:lineRule="exact"/>
              <w:jc w:val="right"/>
              <w:outlineLvl w:val="0"/>
              <w:rPr>
                <w:rFonts w:cs="Arial"/>
                <w:spacing w:val="-2"/>
                <w:sz w:val="18"/>
                <w:szCs w:val="18"/>
              </w:rPr>
            </w:pPr>
          </w:p>
        </w:tc>
        <w:tc>
          <w:tcPr>
            <w:tcW w:w="626" w:type="pct"/>
            <w:tcBorders>
              <w:top w:val="single" w:sz="12" w:space="0" w:color="auto"/>
            </w:tcBorders>
            <w:vAlign w:val="bottom"/>
          </w:tcPr>
          <w:p w14:paraId="3D8D0AE9" w14:textId="77777777" w:rsidR="006968D2" w:rsidRPr="007E1860" w:rsidRDefault="006968D2" w:rsidP="006968D2">
            <w:pPr>
              <w:spacing w:after="0" w:line="240" w:lineRule="exact"/>
              <w:jc w:val="right"/>
              <w:outlineLvl w:val="0"/>
              <w:rPr>
                <w:rFonts w:cs="Arial"/>
                <w:spacing w:val="-2"/>
                <w:sz w:val="18"/>
                <w:szCs w:val="18"/>
              </w:rPr>
            </w:pPr>
          </w:p>
        </w:tc>
        <w:tc>
          <w:tcPr>
            <w:tcW w:w="522" w:type="pct"/>
            <w:tcBorders>
              <w:top w:val="single" w:sz="12" w:space="0" w:color="auto"/>
            </w:tcBorders>
            <w:vAlign w:val="bottom"/>
          </w:tcPr>
          <w:p w14:paraId="66E86F06" w14:textId="77777777" w:rsidR="006968D2" w:rsidRPr="007E1860" w:rsidRDefault="006968D2" w:rsidP="006968D2">
            <w:pPr>
              <w:spacing w:after="0" w:line="240" w:lineRule="exact"/>
              <w:jc w:val="right"/>
              <w:outlineLvl w:val="0"/>
              <w:rPr>
                <w:rFonts w:cs="Arial"/>
                <w:spacing w:val="-2"/>
                <w:sz w:val="18"/>
                <w:szCs w:val="18"/>
              </w:rPr>
            </w:pPr>
          </w:p>
        </w:tc>
        <w:tc>
          <w:tcPr>
            <w:tcW w:w="522" w:type="pct"/>
            <w:tcBorders>
              <w:top w:val="single" w:sz="12" w:space="0" w:color="auto"/>
            </w:tcBorders>
            <w:vAlign w:val="bottom"/>
          </w:tcPr>
          <w:p w14:paraId="7DF825F9" w14:textId="77777777" w:rsidR="006968D2" w:rsidRPr="007E1860" w:rsidRDefault="006968D2" w:rsidP="006968D2">
            <w:pPr>
              <w:spacing w:after="0" w:line="240" w:lineRule="exact"/>
              <w:jc w:val="right"/>
              <w:outlineLvl w:val="0"/>
              <w:rPr>
                <w:rFonts w:cs="Arial"/>
                <w:spacing w:val="-2"/>
                <w:sz w:val="18"/>
                <w:szCs w:val="18"/>
              </w:rPr>
            </w:pPr>
          </w:p>
        </w:tc>
        <w:tc>
          <w:tcPr>
            <w:tcW w:w="597" w:type="pct"/>
            <w:tcBorders>
              <w:top w:val="single" w:sz="12" w:space="0" w:color="auto"/>
            </w:tcBorders>
            <w:vAlign w:val="bottom"/>
          </w:tcPr>
          <w:p w14:paraId="33D5B7C5" w14:textId="77777777" w:rsidR="006968D2" w:rsidRPr="007E1860" w:rsidRDefault="006968D2" w:rsidP="006968D2">
            <w:pPr>
              <w:spacing w:after="0" w:line="240" w:lineRule="exact"/>
              <w:jc w:val="right"/>
              <w:outlineLvl w:val="0"/>
              <w:rPr>
                <w:rFonts w:cs="Arial"/>
                <w:spacing w:val="-2"/>
                <w:sz w:val="18"/>
                <w:szCs w:val="18"/>
              </w:rPr>
            </w:pPr>
          </w:p>
        </w:tc>
        <w:tc>
          <w:tcPr>
            <w:tcW w:w="596" w:type="pct"/>
            <w:tcBorders>
              <w:top w:val="single" w:sz="12" w:space="0" w:color="auto"/>
            </w:tcBorders>
            <w:vAlign w:val="bottom"/>
          </w:tcPr>
          <w:p w14:paraId="28F7D337" w14:textId="77777777" w:rsidR="006968D2" w:rsidRPr="007E1860" w:rsidRDefault="006968D2" w:rsidP="006968D2">
            <w:pPr>
              <w:spacing w:after="0" w:line="240" w:lineRule="exact"/>
              <w:jc w:val="right"/>
              <w:outlineLvl w:val="0"/>
              <w:rPr>
                <w:rFonts w:cs="Arial"/>
                <w:spacing w:val="-2"/>
                <w:sz w:val="18"/>
                <w:szCs w:val="18"/>
              </w:rPr>
            </w:pPr>
          </w:p>
        </w:tc>
      </w:tr>
      <w:tr w:rsidR="006968D2" w:rsidRPr="00CE2C44" w14:paraId="457DE330" w14:textId="77777777" w:rsidTr="007E1860">
        <w:trPr>
          <w:trHeight w:hRule="exact" w:val="283"/>
          <w:jc w:val="right"/>
        </w:trPr>
        <w:tc>
          <w:tcPr>
            <w:tcW w:w="1592" w:type="pct"/>
          </w:tcPr>
          <w:p w14:paraId="1DDE1B07" w14:textId="77777777" w:rsidR="006968D2" w:rsidRPr="007E1860" w:rsidRDefault="006968D2" w:rsidP="006968D2">
            <w:pPr>
              <w:tabs>
                <w:tab w:val="right" w:pos="1202"/>
              </w:tabs>
              <w:spacing w:after="0" w:line="240" w:lineRule="exact"/>
              <w:outlineLvl w:val="0"/>
              <w:rPr>
                <w:rFonts w:cs="Arial"/>
                <w:spacing w:val="-2"/>
                <w:sz w:val="18"/>
                <w:szCs w:val="18"/>
              </w:rPr>
            </w:pPr>
            <w:r w:rsidRPr="007E1860">
              <w:rPr>
                <w:rFonts w:cs="Arial"/>
                <w:spacing w:val="-2"/>
                <w:sz w:val="18"/>
                <w:szCs w:val="18"/>
              </w:rPr>
              <w:t>Osnivački kapital</w:t>
            </w:r>
          </w:p>
        </w:tc>
        <w:tc>
          <w:tcPr>
            <w:tcW w:w="544" w:type="pct"/>
            <w:tcBorders>
              <w:top w:val="nil"/>
              <w:left w:val="nil"/>
              <w:bottom w:val="nil"/>
              <w:right w:val="nil"/>
            </w:tcBorders>
            <w:shd w:val="clear" w:color="auto" w:fill="auto"/>
            <w:vAlign w:val="bottom"/>
          </w:tcPr>
          <w:p w14:paraId="6CBFAC2A" w14:textId="5CAF5D31" w:rsidR="006968D2" w:rsidRPr="007E1860" w:rsidRDefault="006968D2" w:rsidP="006968D2">
            <w:pPr>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103CB22F" w14:textId="4E9703A1" w:rsidR="006968D2" w:rsidRPr="007E1860" w:rsidRDefault="006968D2" w:rsidP="006968D2">
            <w:pPr>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038C7059" w14:textId="127327BC" w:rsidR="006968D2" w:rsidRPr="007E1860" w:rsidRDefault="006968D2" w:rsidP="006968D2">
            <w:pPr>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3DBEAD72" w14:textId="2F25921A" w:rsidR="006968D2" w:rsidRPr="007E1860" w:rsidRDefault="006968D2" w:rsidP="006968D2">
            <w:pPr>
              <w:spacing w:after="0" w:line="240" w:lineRule="exact"/>
              <w:jc w:val="right"/>
              <w:outlineLvl w:val="0"/>
              <w:rPr>
                <w:rFonts w:cs="Arial"/>
                <w:spacing w:val="-2"/>
                <w:sz w:val="18"/>
                <w:szCs w:val="18"/>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5710C135" w14:textId="4F62BEF2" w:rsidR="006968D2" w:rsidRPr="007E1860" w:rsidRDefault="006968D2" w:rsidP="006968D2">
            <w:pPr>
              <w:spacing w:line="240" w:lineRule="exact"/>
              <w:jc w:val="right"/>
              <w:outlineLvl w:val="0"/>
              <w:rPr>
                <w:rFonts w:cs="Arial"/>
                <w:spacing w:val="-2"/>
                <w:sz w:val="18"/>
                <w:szCs w:val="18"/>
              </w:rPr>
            </w:pPr>
            <w:r w:rsidRPr="00013865">
              <w:rPr>
                <w:rFonts w:cs="Arial"/>
                <w:spacing w:val="-2"/>
                <w:sz w:val="18"/>
                <w:szCs w:val="18"/>
              </w:rPr>
              <w:t>6.959.632</w:t>
            </w:r>
          </w:p>
        </w:tc>
        <w:tc>
          <w:tcPr>
            <w:tcW w:w="596" w:type="pct"/>
            <w:tcBorders>
              <w:top w:val="nil"/>
              <w:left w:val="nil"/>
              <w:bottom w:val="nil"/>
              <w:right w:val="nil"/>
            </w:tcBorders>
            <w:shd w:val="clear" w:color="auto" w:fill="auto"/>
            <w:vAlign w:val="bottom"/>
          </w:tcPr>
          <w:p w14:paraId="38D10371" w14:textId="1A44190A" w:rsidR="006968D2" w:rsidRPr="007E1860" w:rsidRDefault="006968D2" w:rsidP="006968D2">
            <w:pPr>
              <w:spacing w:line="240" w:lineRule="exact"/>
              <w:jc w:val="right"/>
              <w:outlineLvl w:val="0"/>
              <w:rPr>
                <w:rFonts w:cs="Arial"/>
                <w:spacing w:val="-2"/>
                <w:sz w:val="18"/>
                <w:szCs w:val="18"/>
              </w:rPr>
            </w:pPr>
            <w:r w:rsidRPr="00013865">
              <w:rPr>
                <w:rFonts w:cs="Arial"/>
                <w:spacing w:val="-2"/>
                <w:sz w:val="18"/>
                <w:szCs w:val="18"/>
              </w:rPr>
              <w:t>6.959.632</w:t>
            </w:r>
          </w:p>
        </w:tc>
      </w:tr>
      <w:tr w:rsidR="006968D2" w:rsidRPr="00CE2C44" w14:paraId="55E545B3" w14:textId="77777777" w:rsidTr="007E1860">
        <w:trPr>
          <w:trHeight w:hRule="exact" w:val="283"/>
          <w:jc w:val="right"/>
        </w:trPr>
        <w:tc>
          <w:tcPr>
            <w:tcW w:w="1592" w:type="pct"/>
          </w:tcPr>
          <w:p w14:paraId="098179D0" w14:textId="77777777" w:rsidR="006968D2" w:rsidRPr="007E1860" w:rsidRDefault="006968D2" w:rsidP="006968D2">
            <w:pPr>
              <w:tabs>
                <w:tab w:val="right" w:pos="1202"/>
              </w:tabs>
              <w:spacing w:after="0" w:line="240" w:lineRule="exact"/>
              <w:outlineLvl w:val="0"/>
              <w:rPr>
                <w:rFonts w:cs="Arial"/>
                <w:spacing w:val="-2"/>
                <w:sz w:val="18"/>
                <w:szCs w:val="18"/>
              </w:rPr>
            </w:pPr>
            <w:r w:rsidRPr="007E1860">
              <w:rPr>
                <w:rFonts w:cs="Arial"/>
                <w:spacing w:val="-2"/>
                <w:sz w:val="18"/>
                <w:szCs w:val="18"/>
              </w:rPr>
              <w:t>Zadržana dobit i rezerve</w:t>
            </w:r>
          </w:p>
        </w:tc>
        <w:tc>
          <w:tcPr>
            <w:tcW w:w="544" w:type="pct"/>
            <w:tcBorders>
              <w:top w:val="nil"/>
              <w:left w:val="nil"/>
              <w:bottom w:val="nil"/>
              <w:right w:val="nil"/>
            </w:tcBorders>
            <w:shd w:val="clear" w:color="auto" w:fill="auto"/>
            <w:vAlign w:val="bottom"/>
          </w:tcPr>
          <w:p w14:paraId="472ADE14" w14:textId="23E1D923" w:rsidR="006968D2" w:rsidRPr="007E1860" w:rsidRDefault="006968D2" w:rsidP="006968D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529683F9" w14:textId="2A53DEDF" w:rsidR="006968D2" w:rsidRPr="007E1860" w:rsidRDefault="006968D2" w:rsidP="006968D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7351D812" w14:textId="6E99CB9A" w:rsidR="006968D2" w:rsidRPr="007E1860" w:rsidRDefault="006968D2" w:rsidP="006968D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25DB2AF8" w14:textId="41816747" w:rsidR="006968D2" w:rsidRPr="007E1860" w:rsidRDefault="006968D2" w:rsidP="006968D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640C2C75" w14:textId="1C63F60C" w:rsidR="006968D2" w:rsidRPr="007E1860" w:rsidRDefault="006968D2" w:rsidP="006968D2">
            <w:pPr>
              <w:spacing w:line="240" w:lineRule="exact"/>
              <w:jc w:val="right"/>
              <w:outlineLvl w:val="0"/>
              <w:rPr>
                <w:rFonts w:cs="Arial"/>
                <w:bCs/>
                <w:color w:val="000000"/>
                <w:sz w:val="18"/>
                <w:szCs w:val="18"/>
                <w:lang w:eastAsia="hr-HR"/>
              </w:rPr>
            </w:pPr>
            <w:r w:rsidRPr="00013865">
              <w:rPr>
                <w:rFonts w:cs="Arial"/>
                <w:bCs/>
                <w:color w:val="000000"/>
                <w:sz w:val="18"/>
                <w:szCs w:val="18"/>
                <w:lang w:eastAsia="hr-HR"/>
              </w:rPr>
              <w:t>2.995.656</w:t>
            </w:r>
          </w:p>
        </w:tc>
        <w:tc>
          <w:tcPr>
            <w:tcW w:w="596" w:type="pct"/>
            <w:tcBorders>
              <w:top w:val="nil"/>
              <w:left w:val="nil"/>
              <w:bottom w:val="nil"/>
              <w:right w:val="nil"/>
            </w:tcBorders>
            <w:shd w:val="clear" w:color="auto" w:fill="auto"/>
            <w:vAlign w:val="bottom"/>
          </w:tcPr>
          <w:p w14:paraId="42125F78" w14:textId="41E2E960" w:rsidR="006968D2" w:rsidRPr="007E1860" w:rsidRDefault="006968D2" w:rsidP="006968D2">
            <w:pPr>
              <w:spacing w:line="240" w:lineRule="exact"/>
              <w:jc w:val="right"/>
              <w:outlineLvl w:val="0"/>
              <w:rPr>
                <w:rFonts w:cs="Arial"/>
                <w:bCs/>
                <w:color w:val="000000"/>
                <w:sz w:val="18"/>
                <w:szCs w:val="18"/>
                <w:lang w:eastAsia="hr-HR"/>
              </w:rPr>
            </w:pPr>
            <w:r w:rsidRPr="00013865">
              <w:rPr>
                <w:rFonts w:cs="Arial"/>
                <w:bCs/>
                <w:color w:val="000000"/>
                <w:sz w:val="18"/>
                <w:szCs w:val="18"/>
                <w:lang w:eastAsia="hr-HR"/>
              </w:rPr>
              <w:t>2.995.656</w:t>
            </w:r>
          </w:p>
        </w:tc>
      </w:tr>
      <w:tr w:rsidR="006968D2" w:rsidRPr="00CE2C44" w14:paraId="5AC3A0C6" w14:textId="77777777" w:rsidTr="007E1860">
        <w:trPr>
          <w:trHeight w:hRule="exact" w:val="283"/>
          <w:jc w:val="right"/>
        </w:trPr>
        <w:tc>
          <w:tcPr>
            <w:tcW w:w="1592" w:type="pct"/>
          </w:tcPr>
          <w:p w14:paraId="57AFCC54" w14:textId="77777777" w:rsidR="006968D2" w:rsidRPr="007E1860" w:rsidRDefault="006968D2" w:rsidP="006968D2">
            <w:pPr>
              <w:tabs>
                <w:tab w:val="right" w:pos="1202"/>
              </w:tabs>
              <w:spacing w:after="0" w:line="240" w:lineRule="exact"/>
              <w:outlineLvl w:val="0"/>
              <w:rPr>
                <w:rFonts w:cs="Arial"/>
                <w:spacing w:val="-2"/>
                <w:sz w:val="18"/>
                <w:szCs w:val="18"/>
              </w:rPr>
            </w:pPr>
            <w:r w:rsidRPr="007E1860">
              <w:rPr>
                <w:rFonts w:cs="Arial"/>
                <w:spacing w:val="-2"/>
                <w:sz w:val="18"/>
                <w:szCs w:val="18"/>
              </w:rPr>
              <w:t>Ostale rezerve</w:t>
            </w:r>
          </w:p>
        </w:tc>
        <w:tc>
          <w:tcPr>
            <w:tcW w:w="544" w:type="pct"/>
            <w:tcBorders>
              <w:top w:val="nil"/>
              <w:left w:val="nil"/>
              <w:bottom w:val="nil"/>
              <w:right w:val="nil"/>
            </w:tcBorders>
            <w:shd w:val="clear" w:color="auto" w:fill="auto"/>
            <w:vAlign w:val="bottom"/>
          </w:tcPr>
          <w:p w14:paraId="0E3E865D" w14:textId="290467B5" w:rsidR="006968D2" w:rsidRPr="007E1860" w:rsidRDefault="006968D2" w:rsidP="006968D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0FB55B14" w14:textId="290B5D2D" w:rsidR="006968D2" w:rsidRPr="007E1860" w:rsidRDefault="006968D2" w:rsidP="006968D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3B73D812" w14:textId="340259B2" w:rsidR="006968D2" w:rsidRPr="007E1860" w:rsidRDefault="006968D2" w:rsidP="006968D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66350127" w14:textId="391FD880" w:rsidR="006968D2" w:rsidRPr="007E1860" w:rsidRDefault="006968D2" w:rsidP="006968D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1A7A3479" w14:textId="15C16B10" w:rsidR="006968D2" w:rsidRPr="007E1860" w:rsidRDefault="006968D2" w:rsidP="006968D2">
            <w:pPr>
              <w:spacing w:line="240" w:lineRule="exact"/>
              <w:jc w:val="right"/>
              <w:outlineLvl w:val="0"/>
              <w:rPr>
                <w:rFonts w:cs="Arial"/>
                <w:bCs/>
                <w:color w:val="000000"/>
                <w:sz w:val="18"/>
                <w:szCs w:val="18"/>
                <w:lang w:eastAsia="hr-HR"/>
              </w:rPr>
            </w:pPr>
            <w:r w:rsidRPr="00013865">
              <w:rPr>
                <w:rFonts w:cs="Arial"/>
                <w:bCs/>
                <w:color w:val="000000"/>
                <w:sz w:val="18"/>
                <w:szCs w:val="18"/>
                <w:lang w:eastAsia="hr-HR"/>
              </w:rPr>
              <w:t>69.655</w:t>
            </w:r>
          </w:p>
        </w:tc>
        <w:tc>
          <w:tcPr>
            <w:tcW w:w="596" w:type="pct"/>
            <w:tcBorders>
              <w:top w:val="nil"/>
              <w:left w:val="nil"/>
              <w:bottom w:val="nil"/>
              <w:right w:val="nil"/>
            </w:tcBorders>
            <w:shd w:val="clear" w:color="auto" w:fill="auto"/>
            <w:vAlign w:val="bottom"/>
          </w:tcPr>
          <w:p w14:paraId="5D3BD0BC" w14:textId="38350002" w:rsidR="006968D2" w:rsidRPr="007E1860" w:rsidRDefault="006968D2" w:rsidP="006968D2">
            <w:pPr>
              <w:spacing w:line="240" w:lineRule="exact"/>
              <w:jc w:val="right"/>
              <w:outlineLvl w:val="0"/>
              <w:rPr>
                <w:rFonts w:cs="Arial"/>
                <w:bCs/>
                <w:color w:val="000000"/>
                <w:sz w:val="18"/>
                <w:szCs w:val="18"/>
                <w:lang w:eastAsia="hr-HR"/>
              </w:rPr>
            </w:pPr>
            <w:r w:rsidRPr="00013865">
              <w:rPr>
                <w:rFonts w:cs="Arial"/>
                <w:bCs/>
                <w:color w:val="000000"/>
                <w:sz w:val="18"/>
                <w:szCs w:val="18"/>
                <w:lang w:eastAsia="hr-HR"/>
              </w:rPr>
              <w:t>69.655</w:t>
            </w:r>
          </w:p>
        </w:tc>
      </w:tr>
      <w:tr w:rsidR="006968D2" w:rsidRPr="00CE2C44" w14:paraId="7C6C2FB9" w14:textId="77777777" w:rsidTr="007E1860">
        <w:trPr>
          <w:trHeight w:hRule="exact" w:val="283"/>
          <w:jc w:val="right"/>
        </w:trPr>
        <w:tc>
          <w:tcPr>
            <w:tcW w:w="1592" w:type="pct"/>
          </w:tcPr>
          <w:p w14:paraId="1DFBBC06" w14:textId="77777777" w:rsidR="006968D2" w:rsidRPr="007E1860" w:rsidRDefault="006968D2" w:rsidP="006968D2">
            <w:pPr>
              <w:tabs>
                <w:tab w:val="right" w:pos="1202"/>
              </w:tabs>
              <w:spacing w:after="0" w:line="240" w:lineRule="exact"/>
              <w:outlineLvl w:val="0"/>
              <w:rPr>
                <w:rFonts w:cs="Arial"/>
                <w:spacing w:val="-2"/>
                <w:sz w:val="18"/>
                <w:szCs w:val="18"/>
              </w:rPr>
            </w:pPr>
            <w:r w:rsidRPr="007E1860">
              <w:rPr>
                <w:rFonts w:cs="Arial"/>
                <w:spacing w:val="-2"/>
                <w:sz w:val="18"/>
                <w:szCs w:val="18"/>
              </w:rPr>
              <w:t>Dobit tekuće godine</w:t>
            </w:r>
          </w:p>
        </w:tc>
        <w:tc>
          <w:tcPr>
            <w:tcW w:w="544" w:type="pct"/>
            <w:tcBorders>
              <w:top w:val="nil"/>
              <w:left w:val="nil"/>
              <w:bottom w:val="nil"/>
              <w:right w:val="nil"/>
            </w:tcBorders>
            <w:shd w:val="clear" w:color="auto" w:fill="auto"/>
            <w:vAlign w:val="bottom"/>
          </w:tcPr>
          <w:p w14:paraId="5D6901D4" w14:textId="4CC1EE7F" w:rsidR="006968D2" w:rsidRPr="007E1860" w:rsidRDefault="006968D2" w:rsidP="006968D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2077FF14" w14:textId="46E74D43" w:rsidR="006968D2" w:rsidRPr="007E1860" w:rsidRDefault="006968D2" w:rsidP="006968D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36816CAC" w14:textId="328BD5FD" w:rsidR="006968D2" w:rsidRPr="007E1860" w:rsidRDefault="006968D2" w:rsidP="006968D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1E32C420" w14:textId="644E133B" w:rsidR="006968D2" w:rsidRPr="007E1860" w:rsidRDefault="006968D2" w:rsidP="006968D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1C9AB799" w14:textId="2244BBB7" w:rsidR="006968D2" w:rsidRPr="007E1860" w:rsidRDefault="006968D2" w:rsidP="006968D2">
            <w:pPr>
              <w:spacing w:line="240" w:lineRule="exact"/>
              <w:jc w:val="right"/>
              <w:outlineLvl w:val="0"/>
              <w:rPr>
                <w:rFonts w:cs="Arial"/>
                <w:bCs/>
                <w:color w:val="000000"/>
                <w:sz w:val="18"/>
                <w:szCs w:val="18"/>
                <w:lang w:eastAsia="hr-HR"/>
              </w:rPr>
            </w:pPr>
            <w:r w:rsidRPr="00013865">
              <w:rPr>
                <w:rFonts w:cs="Arial"/>
                <w:bCs/>
                <w:color w:val="000000"/>
                <w:sz w:val="18"/>
                <w:szCs w:val="18"/>
                <w:lang w:eastAsia="hr-HR"/>
              </w:rPr>
              <w:t>129.356</w:t>
            </w:r>
          </w:p>
        </w:tc>
        <w:tc>
          <w:tcPr>
            <w:tcW w:w="596" w:type="pct"/>
            <w:tcBorders>
              <w:top w:val="nil"/>
              <w:left w:val="nil"/>
              <w:bottom w:val="nil"/>
              <w:right w:val="nil"/>
            </w:tcBorders>
            <w:shd w:val="clear" w:color="auto" w:fill="auto"/>
            <w:vAlign w:val="bottom"/>
          </w:tcPr>
          <w:p w14:paraId="7682365B" w14:textId="41E229EE" w:rsidR="006968D2" w:rsidRPr="007E1860" w:rsidRDefault="006968D2" w:rsidP="006968D2">
            <w:pPr>
              <w:spacing w:line="240" w:lineRule="exact"/>
              <w:jc w:val="right"/>
              <w:outlineLvl w:val="0"/>
              <w:rPr>
                <w:rFonts w:cs="Arial"/>
                <w:bCs/>
                <w:color w:val="000000"/>
                <w:sz w:val="18"/>
                <w:szCs w:val="18"/>
                <w:lang w:eastAsia="hr-HR"/>
              </w:rPr>
            </w:pPr>
            <w:r w:rsidRPr="00013865">
              <w:rPr>
                <w:rFonts w:cs="Arial"/>
                <w:bCs/>
                <w:color w:val="000000"/>
                <w:sz w:val="18"/>
                <w:szCs w:val="18"/>
                <w:lang w:eastAsia="hr-HR"/>
              </w:rPr>
              <w:t>129.356</w:t>
            </w:r>
          </w:p>
        </w:tc>
      </w:tr>
      <w:tr w:rsidR="006968D2" w:rsidRPr="00CE2C44" w14:paraId="53B5B7F2" w14:textId="77777777" w:rsidTr="007E1860">
        <w:trPr>
          <w:trHeight w:hRule="exact" w:val="253"/>
          <w:jc w:val="right"/>
        </w:trPr>
        <w:tc>
          <w:tcPr>
            <w:tcW w:w="1592" w:type="pct"/>
          </w:tcPr>
          <w:p w14:paraId="5D6FD759" w14:textId="77777777" w:rsidR="006968D2" w:rsidRPr="007E1860" w:rsidRDefault="006968D2" w:rsidP="006968D2">
            <w:pPr>
              <w:tabs>
                <w:tab w:val="right" w:pos="1202"/>
              </w:tabs>
              <w:spacing w:after="0" w:line="240" w:lineRule="exact"/>
              <w:outlineLvl w:val="0"/>
              <w:rPr>
                <w:rFonts w:cs="Arial"/>
                <w:b/>
                <w:bCs/>
                <w:sz w:val="18"/>
                <w:szCs w:val="18"/>
              </w:rPr>
            </w:pPr>
            <w:r w:rsidRPr="007E1860">
              <w:rPr>
                <w:rFonts w:cs="Arial"/>
                <w:b/>
                <w:bCs/>
                <w:sz w:val="18"/>
                <w:szCs w:val="18"/>
              </w:rPr>
              <w:t xml:space="preserve">Ukupni kapital </w:t>
            </w:r>
          </w:p>
        </w:tc>
        <w:tc>
          <w:tcPr>
            <w:tcW w:w="544" w:type="pct"/>
            <w:tcBorders>
              <w:top w:val="single" w:sz="4" w:space="0" w:color="auto"/>
              <w:left w:val="nil"/>
              <w:bottom w:val="single" w:sz="8" w:space="0" w:color="auto"/>
              <w:right w:val="nil"/>
            </w:tcBorders>
            <w:shd w:val="clear" w:color="auto" w:fill="auto"/>
            <w:vAlign w:val="bottom"/>
          </w:tcPr>
          <w:p w14:paraId="26A55703" w14:textId="19665236" w:rsidR="006968D2" w:rsidRPr="007E1860" w:rsidRDefault="006968D2" w:rsidP="006968D2">
            <w:pPr>
              <w:spacing w:after="0" w:line="240" w:lineRule="exact"/>
              <w:jc w:val="right"/>
              <w:outlineLvl w:val="0"/>
              <w:rPr>
                <w:rFonts w:cs="Arial"/>
                <w:b/>
                <w:bCs/>
                <w:color w:val="000000"/>
                <w:sz w:val="18"/>
                <w:szCs w:val="18"/>
                <w:lang w:eastAsia="hr-HR"/>
              </w:rPr>
            </w:pPr>
          </w:p>
        </w:tc>
        <w:tc>
          <w:tcPr>
            <w:tcW w:w="626" w:type="pct"/>
            <w:tcBorders>
              <w:top w:val="single" w:sz="4" w:space="0" w:color="auto"/>
              <w:left w:val="nil"/>
              <w:bottom w:val="single" w:sz="8" w:space="0" w:color="auto"/>
              <w:right w:val="nil"/>
            </w:tcBorders>
            <w:shd w:val="clear" w:color="auto" w:fill="auto"/>
            <w:vAlign w:val="bottom"/>
          </w:tcPr>
          <w:p w14:paraId="3007D439" w14:textId="1CB2FB7B" w:rsidR="006968D2" w:rsidRPr="007E1860" w:rsidRDefault="006968D2" w:rsidP="006968D2">
            <w:pPr>
              <w:spacing w:after="0" w:line="240" w:lineRule="exact"/>
              <w:jc w:val="right"/>
              <w:outlineLvl w:val="0"/>
              <w:rPr>
                <w:rFonts w:cs="Arial"/>
                <w:b/>
                <w:bCs/>
                <w:color w:val="000000"/>
                <w:sz w:val="18"/>
                <w:szCs w:val="18"/>
                <w:lang w:eastAsia="hr-HR"/>
              </w:rPr>
            </w:pPr>
          </w:p>
        </w:tc>
        <w:tc>
          <w:tcPr>
            <w:tcW w:w="522" w:type="pct"/>
            <w:tcBorders>
              <w:top w:val="single" w:sz="4" w:space="0" w:color="auto"/>
              <w:left w:val="nil"/>
              <w:bottom w:val="single" w:sz="8" w:space="0" w:color="auto"/>
              <w:right w:val="nil"/>
            </w:tcBorders>
            <w:shd w:val="clear" w:color="auto" w:fill="auto"/>
            <w:vAlign w:val="bottom"/>
          </w:tcPr>
          <w:p w14:paraId="37656925" w14:textId="4D71AAD1" w:rsidR="006968D2" w:rsidRPr="007E1860" w:rsidRDefault="006968D2" w:rsidP="006968D2">
            <w:pPr>
              <w:spacing w:after="0" w:line="240" w:lineRule="exact"/>
              <w:jc w:val="right"/>
              <w:outlineLvl w:val="0"/>
              <w:rPr>
                <w:rFonts w:cs="Arial"/>
                <w:b/>
                <w:bCs/>
                <w:color w:val="000000"/>
                <w:sz w:val="18"/>
                <w:szCs w:val="18"/>
                <w:lang w:eastAsia="hr-HR"/>
              </w:rPr>
            </w:pPr>
          </w:p>
        </w:tc>
        <w:tc>
          <w:tcPr>
            <w:tcW w:w="522" w:type="pct"/>
            <w:tcBorders>
              <w:top w:val="single" w:sz="4" w:space="0" w:color="auto"/>
              <w:left w:val="nil"/>
              <w:bottom w:val="single" w:sz="8" w:space="0" w:color="auto"/>
              <w:right w:val="nil"/>
            </w:tcBorders>
            <w:shd w:val="clear" w:color="auto" w:fill="auto"/>
            <w:vAlign w:val="bottom"/>
          </w:tcPr>
          <w:p w14:paraId="487F937F" w14:textId="11285C2C" w:rsidR="006968D2" w:rsidRPr="007E1860" w:rsidRDefault="006968D2" w:rsidP="006968D2">
            <w:pPr>
              <w:spacing w:after="0" w:line="240" w:lineRule="exact"/>
              <w:jc w:val="right"/>
              <w:outlineLvl w:val="0"/>
              <w:rPr>
                <w:rFonts w:cs="Arial"/>
                <w:b/>
                <w:bCs/>
                <w:color w:val="000000"/>
                <w:sz w:val="18"/>
                <w:szCs w:val="18"/>
                <w:lang w:eastAsia="hr-HR"/>
              </w:rPr>
            </w:pPr>
            <w:r w:rsidRPr="00013865">
              <w:rPr>
                <w:rFonts w:cs="Arial"/>
                <w:b/>
                <w:bCs/>
                <w:color w:val="000000"/>
                <w:sz w:val="18"/>
                <w:szCs w:val="18"/>
                <w:lang w:eastAsia="hr-HR"/>
              </w:rPr>
              <w:t>-</w:t>
            </w:r>
          </w:p>
        </w:tc>
        <w:tc>
          <w:tcPr>
            <w:tcW w:w="597" w:type="pct"/>
            <w:tcBorders>
              <w:top w:val="single" w:sz="4" w:space="0" w:color="auto"/>
              <w:left w:val="nil"/>
              <w:bottom w:val="single" w:sz="8" w:space="0" w:color="auto"/>
              <w:right w:val="nil"/>
            </w:tcBorders>
            <w:shd w:val="clear" w:color="auto" w:fill="auto"/>
            <w:vAlign w:val="bottom"/>
          </w:tcPr>
          <w:p w14:paraId="614A4DEB" w14:textId="1C6F701F" w:rsidR="006968D2" w:rsidRPr="007E1860" w:rsidRDefault="006968D2" w:rsidP="006968D2">
            <w:pPr>
              <w:jc w:val="right"/>
              <w:rPr>
                <w:rFonts w:cs="Arial"/>
                <w:b/>
                <w:bCs/>
                <w:color w:val="000000"/>
                <w:sz w:val="18"/>
                <w:szCs w:val="18"/>
                <w:lang w:eastAsia="hr-HR"/>
              </w:rPr>
            </w:pPr>
            <w:r w:rsidRPr="00013865">
              <w:rPr>
                <w:rFonts w:cs="Arial"/>
                <w:b/>
                <w:bCs/>
                <w:color w:val="000000"/>
                <w:sz w:val="18"/>
                <w:szCs w:val="18"/>
                <w:lang w:eastAsia="hr-HR"/>
              </w:rPr>
              <w:t>10.154.299</w:t>
            </w:r>
          </w:p>
        </w:tc>
        <w:tc>
          <w:tcPr>
            <w:tcW w:w="596" w:type="pct"/>
            <w:tcBorders>
              <w:top w:val="single" w:sz="4" w:space="0" w:color="auto"/>
              <w:left w:val="nil"/>
              <w:bottom w:val="single" w:sz="8" w:space="0" w:color="auto"/>
              <w:right w:val="nil"/>
            </w:tcBorders>
            <w:shd w:val="clear" w:color="auto" w:fill="auto"/>
            <w:vAlign w:val="bottom"/>
          </w:tcPr>
          <w:p w14:paraId="7A9C27F4" w14:textId="7A2D14DF" w:rsidR="006968D2" w:rsidRPr="007E1860" w:rsidRDefault="006968D2" w:rsidP="006968D2">
            <w:pPr>
              <w:jc w:val="right"/>
              <w:rPr>
                <w:rFonts w:cs="Arial"/>
                <w:b/>
                <w:bCs/>
                <w:color w:val="000000"/>
                <w:sz w:val="18"/>
                <w:szCs w:val="18"/>
                <w:lang w:eastAsia="hr-HR"/>
              </w:rPr>
            </w:pPr>
            <w:r w:rsidRPr="00013865">
              <w:rPr>
                <w:rFonts w:cs="Arial"/>
                <w:b/>
                <w:bCs/>
                <w:color w:val="000000"/>
                <w:sz w:val="18"/>
                <w:szCs w:val="18"/>
                <w:lang w:eastAsia="hr-HR"/>
              </w:rPr>
              <w:t>10.154.299</w:t>
            </w:r>
          </w:p>
        </w:tc>
      </w:tr>
      <w:tr w:rsidR="006968D2" w:rsidRPr="00CE2C44" w14:paraId="48E9AC84" w14:textId="77777777" w:rsidTr="007E1860">
        <w:trPr>
          <w:trHeight w:hRule="exact" w:val="283"/>
          <w:jc w:val="right"/>
        </w:trPr>
        <w:tc>
          <w:tcPr>
            <w:tcW w:w="1592" w:type="pct"/>
          </w:tcPr>
          <w:p w14:paraId="7D5EA5F0" w14:textId="77777777" w:rsidR="006968D2" w:rsidRPr="007E1860" w:rsidRDefault="006968D2" w:rsidP="006968D2">
            <w:pPr>
              <w:tabs>
                <w:tab w:val="right" w:pos="1202"/>
              </w:tabs>
              <w:spacing w:after="0" w:line="240" w:lineRule="exact"/>
              <w:outlineLvl w:val="0"/>
              <w:rPr>
                <w:rFonts w:cs="Arial"/>
                <w:sz w:val="18"/>
                <w:szCs w:val="18"/>
              </w:rPr>
            </w:pPr>
            <w:r w:rsidRPr="007E1860">
              <w:rPr>
                <w:rFonts w:cs="Arial"/>
                <w:sz w:val="18"/>
                <w:szCs w:val="18"/>
              </w:rPr>
              <w:t>Garantni fond</w:t>
            </w:r>
          </w:p>
        </w:tc>
        <w:tc>
          <w:tcPr>
            <w:tcW w:w="544" w:type="pct"/>
            <w:tcBorders>
              <w:top w:val="nil"/>
              <w:left w:val="nil"/>
              <w:bottom w:val="nil"/>
              <w:right w:val="nil"/>
            </w:tcBorders>
            <w:shd w:val="clear" w:color="auto" w:fill="auto"/>
            <w:vAlign w:val="bottom"/>
          </w:tcPr>
          <w:p w14:paraId="3310DF06" w14:textId="2BDB95ED" w:rsidR="006968D2" w:rsidRPr="007E1860" w:rsidRDefault="006968D2" w:rsidP="006968D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626" w:type="pct"/>
            <w:tcBorders>
              <w:top w:val="nil"/>
              <w:left w:val="nil"/>
              <w:bottom w:val="nil"/>
              <w:right w:val="nil"/>
            </w:tcBorders>
            <w:shd w:val="clear" w:color="auto" w:fill="auto"/>
            <w:vAlign w:val="bottom"/>
          </w:tcPr>
          <w:p w14:paraId="2948C651" w14:textId="221379EB" w:rsidR="006968D2" w:rsidRPr="007E1860" w:rsidRDefault="006968D2" w:rsidP="006968D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67ECE2CC" w14:textId="6038F786" w:rsidR="006968D2" w:rsidRPr="007E1860" w:rsidRDefault="006968D2" w:rsidP="006968D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22" w:type="pct"/>
            <w:tcBorders>
              <w:top w:val="nil"/>
              <w:left w:val="nil"/>
              <w:bottom w:val="nil"/>
              <w:right w:val="nil"/>
            </w:tcBorders>
            <w:shd w:val="clear" w:color="auto" w:fill="auto"/>
            <w:vAlign w:val="bottom"/>
          </w:tcPr>
          <w:p w14:paraId="05C58FFE" w14:textId="2E86B762" w:rsidR="006968D2" w:rsidRPr="007E1860" w:rsidRDefault="006968D2" w:rsidP="006968D2">
            <w:pPr>
              <w:spacing w:after="0" w:line="240" w:lineRule="exact"/>
              <w:jc w:val="right"/>
              <w:outlineLvl w:val="0"/>
              <w:rPr>
                <w:rFonts w:cs="Arial"/>
                <w:bCs/>
                <w:color w:val="000000"/>
                <w:sz w:val="18"/>
                <w:szCs w:val="18"/>
                <w:lang w:eastAsia="hr-HR"/>
              </w:rPr>
            </w:pPr>
            <w:r w:rsidRPr="007E1860">
              <w:rPr>
                <w:rFonts w:cs="Arial"/>
                <w:bCs/>
                <w:color w:val="000000"/>
                <w:sz w:val="18"/>
                <w:szCs w:val="18"/>
                <w:lang w:eastAsia="hr-HR"/>
              </w:rPr>
              <w:t>-</w:t>
            </w:r>
          </w:p>
        </w:tc>
        <w:tc>
          <w:tcPr>
            <w:tcW w:w="597" w:type="pct"/>
            <w:tcBorders>
              <w:top w:val="nil"/>
              <w:left w:val="nil"/>
              <w:bottom w:val="nil"/>
              <w:right w:val="nil"/>
            </w:tcBorders>
            <w:shd w:val="clear" w:color="auto" w:fill="auto"/>
            <w:vAlign w:val="bottom"/>
          </w:tcPr>
          <w:p w14:paraId="0731BBA0" w14:textId="0135F48F" w:rsidR="006968D2" w:rsidRPr="007E1860" w:rsidRDefault="006968D2" w:rsidP="006968D2">
            <w:pPr>
              <w:jc w:val="right"/>
              <w:rPr>
                <w:rFonts w:cs="Arial"/>
                <w:bCs/>
                <w:color w:val="000000"/>
                <w:sz w:val="18"/>
                <w:szCs w:val="18"/>
                <w:lang w:eastAsia="hr-HR"/>
              </w:rPr>
            </w:pPr>
            <w:r w:rsidRPr="00013865">
              <w:rPr>
                <w:rFonts w:cs="Arial"/>
                <w:bCs/>
                <w:color w:val="000000"/>
                <w:sz w:val="18"/>
                <w:szCs w:val="18"/>
                <w:lang w:eastAsia="hr-HR"/>
              </w:rPr>
              <w:t>12.128</w:t>
            </w:r>
          </w:p>
        </w:tc>
        <w:tc>
          <w:tcPr>
            <w:tcW w:w="596" w:type="pct"/>
            <w:tcBorders>
              <w:top w:val="nil"/>
              <w:left w:val="nil"/>
              <w:bottom w:val="nil"/>
              <w:right w:val="nil"/>
            </w:tcBorders>
            <w:shd w:val="clear" w:color="auto" w:fill="auto"/>
            <w:vAlign w:val="bottom"/>
          </w:tcPr>
          <w:p w14:paraId="19F78D05" w14:textId="0DF3D025" w:rsidR="006968D2" w:rsidRPr="007E1860" w:rsidRDefault="006968D2" w:rsidP="006968D2">
            <w:pPr>
              <w:jc w:val="right"/>
              <w:rPr>
                <w:rFonts w:cs="Arial"/>
                <w:bCs/>
                <w:color w:val="000000"/>
                <w:sz w:val="18"/>
                <w:szCs w:val="18"/>
                <w:lang w:eastAsia="hr-HR"/>
              </w:rPr>
            </w:pPr>
            <w:r w:rsidRPr="00013865">
              <w:rPr>
                <w:rFonts w:cs="Arial"/>
                <w:bCs/>
                <w:color w:val="000000"/>
                <w:sz w:val="18"/>
                <w:szCs w:val="18"/>
                <w:lang w:eastAsia="hr-HR"/>
              </w:rPr>
              <w:t>12.128</w:t>
            </w:r>
          </w:p>
        </w:tc>
      </w:tr>
      <w:tr w:rsidR="006968D2" w:rsidRPr="00CE2C44" w14:paraId="24D262C0" w14:textId="77777777" w:rsidTr="007E1860">
        <w:trPr>
          <w:trHeight w:hRule="exact" w:val="247"/>
          <w:jc w:val="right"/>
        </w:trPr>
        <w:tc>
          <w:tcPr>
            <w:tcW w:w="1592" w:type="pct"/>
          </w:tcPr>
          <w:p w14:paraId="478C2A88" w14:textId="77777777" w:rsidR="006968D2" w:rsidRPr="007E1860" w:rsidRDefault="006968D2" w:rsidP="006968D2">
            <w:pPr>
              <w:tabs>
                <w:tab w:val="right" w:pos="1202"/>
              </w:tabs>
              <w:spacing w:after="0" w:line="240" w:lineRule="exact"/>
              <w:outlineLvl w:val="0"/>
              <w:rPr>
                <w:rFonts w:cs="Arial"/>
                <w:b/>
                <w:bCs/>
                <w:sz w:val="18"/>
                <w:szCs w:val="18"/>
              </w:rPr>
            </w:pPr>
            <w:r w:rsidRPr="007E1860">
              <w:rPr>
                <w:rFonts w:cs="Arial"/>
                <w:b/>
                <w:bCs/>
                <w:sz w:val="18"/>
                <w:szCs w:val="18"/>
              </w:rPr>
              <w:t>Ukupna glavnica</w:t>
            </w:r>
          </w:p>
        </w:tc>
        <w:tc>
          <w:tcPr>
            <w:tcW w:w="544" w:type="pct"/>
            <w:tcBorders>
              <w:top w:val="single" w:sz="4" w:space="0" w:color="auto"/>
              <w:left w:val="nil"/>
              <w:bottom w:val="single" w:sz="8" w:space="0" w:color="auto"/>
              <w:right w:val="nil"/>
            </w:tcBorders>
            <w:shd w:val="clear" w:color="auto" w:fill="auto"/>
            <w:vAlign w:val="bottom"/>
          </w:tcPr>
          <w:p w14:paraId="6748706E" w14:textId="7EFD3675" w:rsidR="006968D2" w:rsidRPr="007E1860" w:rsidRDefault="006968D2" w:rsidP="006968D2">
            <w:pPr>
              <w:spacing w:after="0" w:line="240" w:lineRule="auto"/>
              <w:jc w:val="right"/>
              <w:rPr>
                <w:rFonts w:ascii="Arial" w:hAnsi="Arial" w:cs="Arial"/>
                <w:b/>
                <w:bCs/>
                <w:color w:val="000000"/>
                <w:sz w:val="18"/>
                <w:szCs w:val="18"/>
              </w:rPr>
            </w:pPr>
            <w:r w:rsidRPr="007E1860">
              <w:rPr>
                <w:rFonts w:ascii="Arial" w:hAnsi="Arial" w:cs="Arial"/>
                <w:b/>
                <w:bCs/>
                <w:color w:val="000000"/>
                <w:sz w:val="18"/>
                <w:szCs w:val="18"/>
              </w:rPr>
              <w:t>-</w:t>
            </w:r>
          </w:p>
        </w:tc>
        <w:tc>
          <w:tcPr>
            <w:tcW w:w="626" w:type="pct"/>
            <w:tcBorders>
              <w:top w:val="single" w:sz="4" w:space="0" w:color="auto"/>
              <w:left w:val="nil"/>
              <w:bottom w:val="single" w:sz="8" w:space="0" w:color="auto"/>
              <w:right w:val="nil"/>
            </w:tcBorders>
            <w:shd w:val="clear" w:color="auto" w:fill="auto"/>
            <w:vAlign w:val="bottom"/>
          </w:tcPr>
          <w:p w14:paraId="610E21AC" w14:textId="660F4027" w:rsidR="006968D2" w:rsidRPr="007E1860" w:rsidRDefault="006968D2" w:rsidP="006968D2">
            <w:pPr>
              <w:spacing w:after="0" w:line="240" w:lineRule="auto"/>
              <w:jc w:val="right"/>
              <w:rPr>
                <w:rFonts w:ascii="Arial" w:hAnsi="Arial" w:cs="Arial"/>
                <w:b/>
                <w:bCs/>
                <w:color w:val="000000"/>
                <w:sz w:val="18"/>
                <w:szCs w:val="18"/>
              </w:rPr>
            </w:pPr>
            <w:r w:rsidRPr="007E1860">
              <w:rPr>
                <w:rFonts w:ascii="Arial" w:hAnsi="Arial" w:cs="Arial"/>
                <w:b/>
                <w:bCs/>
                <w:color w:val="000000"/>
                <w:sz w:val="18"/>
                <w:szCs w:val="18"/>
              </w:rPr>
              <w:t>-</w:t>
            </w:r>
          </w:p>
        </w:tc>
        <w:tc>
          <w:tcPr>
            <w:tcW w:w="522" w:type="pct"/>
            <w:tcBorders>
              <w:top w:val="single" w:sz="4" w:space="0" w:color="auto"/>
              <w:left w:val="nil"/>
              <w:bottom w:val="single" w:sz="8" w:space="0" w:color="auto"/>
              <w:right w:val="nil"/>
            </w:tcBorders>
            <w:shd w:val="clear" w:color="auto" w:fill="auto"/>
            <w:vAlign w:val="bottom"/>
          </w:tcPr>
          <w:p w14:paraId="762EAB08" w14:textId="721D04D0" w:rsidR="006968D2" w:rsidRPr="007E1860" w:rsidRDefault="006968D2" w:rsidP="006968D2">
            <w:pPr>
              <w:spacing w:after="0" w:line="240" w:lineRule="auto"/>
              <w:jc w:val="right"/>
              <w:rPr>
                <w:rFonts w:ascii="Arial" w:hAnsi="Arial" w:cs="Arial"/>
                <w:b/>
                <w:bCs/>
                <w:color w:val="000000"/>
                <w:sz w:val="18"/>
                <w:szCs w:val="18"/>
              </w:rPr>
            </w:pPr>
            <w:r w:rsidRPr="007E1860">
              <w:rPr>
                <w:rFonts w:ascii="Arial" w:hAnsi="Arial" w:cs="Arial"/>
                <w:b/>
                <w:bCs/>
                <w:color w:val="000000"/>
                <w:sz w:val="18"/>
                <w:szCs w:val="18"/>
              </w:rPr>
              <w:t>-</w:t>
            </w:r>
          </w:p>
        </w:tc>
        <w:tc>
          <w:tcPr>
            <w:tcW w:w="522" w:type="pct"/>
            <w:tcBorders>
              <w:top w:val="single" w:sz="4" w:space="0" w:color="auto"/>
              <w:left w:val="nil"/>
              <w:bottom w:val="single" w:sz="8" w:space="0" w:color="auto"/>
              <w:right w:val="nil"/>
            </w:tcBorders>
            <w:shd w:val="clear" w:color="auto" w:fill="auto"/>
            <w:vAlign w:val="bottom"/>
          </w:tcPr>
          <w:p w14:paraId="77645328" w14:textId="5D84C5C7" w:rsidR="006968D2" w:rsidRPr="007E1860" w:rsidRDefault="006968D2" w:rsidP="006968D2">
            <w:pPr>
              <w:spacing w:after="0" w:line="240" w:lineRule="auto"/>
              <w:jc w:val="right"/>
              <w:rPr>
                <w:rFonts w:ascii="Arial" w:hAnsi="Arial" w:cs="Arial"/>
                <w:b/>
                <w:bCs/>
                <w:color w:val="000000"/>
                <w:sz w:val="18"/>
                <w:szCs w:val="18"/>
              </w:rPr>
            </w:pPr>
            <w:r w:rsidRPr="007E1860">
              <w:rPr>
                <w:rFonts w:ascii="Arial" w:hAnsi="Arial" w:cs="Arial"/>
                <w:b/>
                <w:bCs/>
                <w:color w:val="000000"/>
                <w:sz w:val="18"/>
                <w:szCs w:val="18"/>
              </w:rPr>
              <w:t>-</w:t>
            </w:r>
          </w:p>
        </w:tc>
        <w:tc>
          <w:tcPr>
            <w:tcW w:w="597" w:type="pct"/>
            <w:tcBorders>
              <w:top w:val="single" w:sz="4" w:space="0" w:color="auto"/>
              <w:left w:val="nil"/>
              <w:bottom w:val="single" w:sz="8" w:space="0" w:color="auto"/>
              <w:right w:val="nil"/>
            </w:tcBorders>
            <w:shd w:val="clear" w:color="auto" w:fill="auto"/>
            <w:vAlign w:val="bottom"/>
          </w:tcPr>
          <w:p w14:paraId="5ED70C1B" w14:textId="49A43A52" w:rsidR="006968D2" w:rsidRPr="007E1860" w:rsidRDefault="006968D2" w:rsidP="006968D2">
            <w:pPr>
              <w:jc w:val="right"/>
              <w:rPr>
                <w:rFonts w:cs="Arial"/>
                <w:b/>
                <w:bCs/>
                <w:color w:val="000000"/>
                <w:sz w:val="18"/>
                <w:szCs w:val="18"/>
                <w:lang w:eastAsia="hr-HR"/>
              </w:rPr>
            </w:pPr>
            <w:r w:rsidRPr="00013865">
              <w:rPr>
                <w:rFonts w:cs="Arial"/>
                <w:b/>
                <w:bCs/>
                <w:color w:val="000000"/>
                <w:sz w:val="18"/>
                <w:szCs w:val="18"/>
                <w:lang w:eastAsia="hr-HR"/>
              </w:rPr>
              <w:t>10.166.427</w:t>
            </w:r>
          </w:p>
        </w:tc>
        <w:tc>
          <w:tcPr>
            <w:tcW w:w="596" w:type="pct"/>
            <w:tcBorders>
              <w:top w:val="single" w:sz="4" w:space="0" w:color="auto"/>
              <w:left w:val="nil"/>
              <w:bottom w:val="single" w:sz="8" w:space="0" w:color="auto"/>
              <w:right w:val="nil"/>
            </w:tcBorders>
            <w:shd w:val="clear" w:color="auto" w:fill="auto"/>
            <w:vAlign w:val="bottom"/>
          </w:tcPr>
          <w:p w14:paraId="7AF85B45" w14:textId="3C5E47D6" w:rsidR="006968D2" w:rsidRPr="007E1860" w:rsidRDefault="006968D2" w:rsidP="006968D2">
            <w:pPr>
              <w:jc w:val="right"/>
              <w:rPr>
                <w:rFonts w:cs="Arial"/>
                <w:b/>
                <w:bCs/>
                <w:color w:val="000000"/>
                <w:sz w:val="18"/>
                <w:szCs w:val="18"/>
                <w:lang w:eastAsia="hr-HR"/>
              </w:rPr>
            </w:pPr>
            <w:r w:rsidRPr="00013865">
              <w:rPr>
                <w:rFonts w:cs="Arial"/>
                <w:b/>
                <w:bCs/>
                <w:color w:val="000000"/>
                <w:sz w:val="18"/>
                <w:szCs w:val="18"/>
                <w:lang w:eastAsia="hr-HR"/>
              </w:rPr>
              <w:t>10.166.427</w:t>
            </w:r>
          </w:p>
        </w:tc>
      </w:tr>
      <w:tr w:rsidR="006968D2" w:rsidRPr="00CE2C44" w14:paraId="16A96CFD" w14:textId="77777777" w:rsidTr="007E1860">
        <w:trPr>
          <w:trHeight w:hRule="exact" w:val="283"/>
          <w:jc w:val="right"/>
        </w:trPr>
        <w:tc>
          <w:tcPr>
            <w:tcW w:w="1592" w:type="pct"/>
            <w:vAlign w:val="center"/>
          </w:tcPr>
          <w:p w14:paraId="36231CD1" w14:textId="77777777" w:rsidR="006968D2" w:rsidRPr="007E1860" w:rsidRDefault="006968D2" w:rsidP="006968D2">
            <w:pPr>
              <w:tabs>
                <w:tab w:val="right" w:pos="1202"/>
              </w:tabs>
              <w:spacing w:after="0" w:line="240" w:lineRule="exact"/>
              <w:outlineLvl w:val="0"/>
              <w:rPr>
                <w:rFonts w:cs="Arial"/>
                <w:b/>
                <w:bCs/>
                <w:sz w:val="18"/>
                <w:szCs w:val="18"/>
              </w:rPr>
            </w:pPr>
            <w:r w:rsidRPr="007E1860">
              <w:rPr>
                <w:rFonts w:cs="Arial"/>
                <w:b/>
                <w:bCs/>
                <w:sz w:val="18"/>
                <w:szCs w:val="18"/>
              </w:rPr>
              <w:t>Ukupne obveze i glavnica (2)</w:t>
            </w:r>
          </w:p>
        </w:tc>
        <w:tc>
          <w:tcPr>
            <w:tcW w:w="544" w:type="pct"/>
            <w:tcBorders>
              <w:top w:val="nil"/>
              <w:left w:val="nil"/>
              <w:bottom w:val="single" w:sz="12" w:space="0" w:color="auto"/>
              <w:right w:val="nil"/>
            </w:tcBorders>
            <w:shd w:val="clear" w:color="auto" w:fill="auto"/>
            <w:vAlign w:val="bottom"/>
          </w:tcPr>
          <w:p w14:paraId="7C15592F" w14:textId="07F6B3BD" w:rsidR="006968D2" w:rsidRPr="007E1860" w:rsidRDefault="006968D2" w:rsidP="006968D2">
            <w:pPr>
              <w:spacing w:after="0" w:line="240" w:lineRule="exact"/>
              <w:jc w:val="right"/>
              <w:outlineLvl w:val="0"/>
              <w:rPr>
                <w:rFonts w:cs="Arial"/>
                <w:b/>
                <w:bCs/>
                <w:color w:val="000000"/>
                <w:sz w:val="18"/>
                <w:szCs w:val="18"/>
                <w:lang w:eastAsia="hr-HR"/>
              </w:rPr>
            </w:pPr>
            <w:r w:rsidRPr="00013865">
              <w:rPr>
                <w:rFonts w:cs="Arial"/>
                <w:b/>
                <w:bCs/>
                <w:color w:val="000000"/>
                <w:sz w:val="18"/>
                <w:szCs w:val="18"/>
                <w:lang w:eastAsia="hr-HR"/>
              </w:rPr>
              <w:t>576.119</w:t>
            </w:r>
          </w:p>
        </w:tc>
        <w:tc>
          <w:tcPr>
            <w:tcW w:w="626" w:type="pct"/>
            <w:tcBorders>
              <w:top w:val="nil"/>
              <w:left w:val="nil"/>
              <w:bottom w:val="single" w:sz="12" w:space="0" w:color="auto"/>
              <w:right w:val="nil"/>
            </w:tcBorders>
            <w:shd w:val="clear" w:color="auto" w:fill="auto"/>
            <w:vAlign w:val="bottom"/>
          </w:tcPr>
          <w:p w14:paraId="5A0B696B" w14:textId="1E5A08B8" w:rsidR="006968D2" w:rsidRPr="007E1860" w:rsidRDefault="006968D2" w:rsidP="006968D2">
            <w:pPr>
              <w:spacing w:after="0" w:line="240" w:lineRule="exact"/>
              <w:jc w:val="right"/>
              <w:outlineLvl w:val="0"/>
              <w:rPr>
                <w:rFonts w:cs="Arial"/>
                <w:b/>
                <w:bCs/>
                <w:color w:val="000000"/>
                <w:sz w:val="18"/>
                <w:szCs w:val="18"/>
                <w:lang w:eastAsia="hr-HR"/>
              </w:rPr>
            </w:pPr>
            <w:r w:rsidRPr="00013865">
              <w:rPr>
                <w:rFonts w:cs="Arial"/>
                <w:b/>
                <w:bCs/>
                <w:color w:val="000000"/>
                <w:sz w:val="18"/>
                <w:szCs w:val="18"/>
                <w:lang w:eastAsia="hr-HR"/>
              </w:rPr>
              <w:t>443.033</w:t>
            </w:r>
          </w:p>
        </w:tc>
        <w:tc>
          <w:tcPr>
            <w:tcW w:w="522" w:type="pct"/>
            <w:tcBorders>
              <w:top w:val="nil"/>
              <w:left w:val="nil"/>
              <w:bottom w:val="single" w:sz="12" w:space="0" w:color="auto"/>
              <w:right w:val="nil"/>
            </w:tcBorders>
            <w:shd w:val="clear" w:color="auto" w:fill="auto"/>
            <w:vAlign w:val="bottom"/>
          </w:tcPr>
          <w:p w14:paraId="02D805C4" w14:textId="7F0D3103" w:rsidR="006968D2" w:rsidRPr="007E1860" w:rsidRDefault="006968D2" w:rsidP="006968D2">
            <w:pPr>
              <w:spacing w:after="0" w:line="240" w:lineRule="exact"/>
              <w:jc w:val="right"/>
              <w:outlineLvl w:val="0"/>
              <w:rPr>
                <w:rFonts w:cs="Arial"/>
                <w:b/>
                <w:bCs/>
                <w:color w:val="000000"/>
                <w:sz w:val="18"/>
                <w:szCs w:val="18"/>
                <w:lang w:eastAsia="hr-HR"/>
              </w:rPr>
            </w:pPr>
            <w:r w:rsidRPr="00013865">
              <w:rPr>
                <w:rFonts w:cs="Arial"/>
                <w:b/>
                <w:bCs/>
                <w:color w:val="000000"/>
                <w:sz w:val="18"/>
                <w:szCs w:val="18"/>
                <w:lang w:eastAsia="hr-HR"/>
              </w:rPr>
              <w:t>1.404.622</w:t>
            </w:r>
          </w:p>
        </w:tc>
        <w:tc>
          <w:tcPr>
            <w:tcW w:w="522" w:type="pct"/>
            <w:tcBorders>
              <w:top w:val="nil"/>
              <w:left w:val="nil"/>
              <w:bottom w:val="single" w:sz="12" w:space="0" w:color="auto"/>
              <w:right w:val="nil"/>
            </w:tcBorders>
            <w:shd w:val="clear" w:color="auto" w:fill="auto"/>
            <w:vAlign w:val="bottom"/>
          </w:tcPr>
          <w:p w14:paraId="3461E627" w14:textId="381E4CCE" w:rsidR="006968D2" w:rsidRPr="007E1860" w:rsidRDefault="006968D2" w:rsidP="006968D2">
            <w:pPr>
              <w:spacing w:after="0" w:line="240" w:lineRule="exact"/>
              <w:jc w:val="right"/>
              <w:outlineLvl w:val="0"/>
              <w:rPr>
                <w:rFonts w:cs="Arial"/>
                <w:b/>
                <w:bCs/>
                <w:color w:val="000000"/>
                <w:sz w:val="18"/>
                <w:szCs w:val="18"/>
                <w:lang w:eastAsia="hr-HR"/>
              </w:rPr>
            </w:pPr>
            <w:r>
              <w:rPr>
                <w:rFonts w:cs="Arial"/>
                <w:b/>
                <w:bCs/>
                <w:color w:val="000000"/>
                <w:sz w:val="18"/>
                <w:szCs w:val="18"/>
                <w:lang w:eastAsia="hr-HR"/>
              </w:rPr>
              <w:t>4.870.680</w:t>
            </w:r>
          </w:p>
        </w:tc>
        <w:tc>
          <w:tcPr>
            <w:tcW w:w="597" w:type="pct"/>
            <w:tcBorders>
              <w:top w:val="nil"/>
              <w:left w:val="nil"/>
              <w:bottom w:val="single" w:sz="12" w:space="0" w:color="auto"/>
              <w:right w:val="nil"/>
            </w:tcBorders>
            <w:shd w:val="clear" w:color="auto" w:fill="auto"/>
            <w:vAlign w:val="bottom"/>
          </w:tcPr>
          <w:p w14:paraId="2AC7379E" w14:textId="7D755978" w:rsidR="006968D2" w:rsidRPr="007E1860" w:rsidRDefault="006968D2" w:rsidP="006968D2">
            <w:pPr>
              <w:spacing w:after="0" w:line="240" w:lineRule="exact"/>
              <w:jc w:val="right"/>
              <w:outlineLvl w:val="0"/>
              <w:rPr>
                <w:rFonts w:cs="Arial"/>
                <w:b/>
                <w:bCs/>
                <w:color w:val="000000"/>
                <w:sz w:val="18"/>
                <w:szCs w:val="18"/>
                <w:lang w:eastAsia="hr-HR"/>
              </w:rPr>
            </w:pPr>
            <w:r>
              <w:rPr>
                <w:rFonts w:cs="Arial"/>
                <w:b/>
                <w:bCs/>
                <w:color w:val="000000"/>
                <w:sz w:val="18"/>
                <w:szCs w:val="18"/>
                <w:lang w:eastAsia="hr-HR"/>
              </w:rPr>
              <w:t>20.511.519</w:t>
            </w:r>
          </w:p>
        </w:tc>
        <w:tc>
          <w:tcPr>
            <w:tcW w:w="596" w:type="pct"/>
            <w:tcBorders>
              <w:top w:val="nil"/>
              <w:left w:val="nil"/>
              <w:bottom w:val="single" w:sz="12" w:space="0" w:color="auto"/>
              <w:right w:val="nil"/>
            </w:tcBorders>
            <w:shd w:val="clear" w:color="auto" w:fill="auto"/>
            <w:vAlign w:val="bottom"/>
          </w:tcPr>
          <w:p w14:paraId="37AD83E3" w14:textId="19F63A3F" w:rsidR="006968D2" w:rsidRPr="007E1860" w:rsidRDefault="006968D2" w:rsidP="006968D2">
            <w:pPr>
              <w:spacing w:after="0" w:line="240" w:lineRule="exact"/>
              <w:jc w:val="right"/>
              <w:outlineLvl w:val="0"/>
              <w:rPr>
                <w:rFonts w:cs="Arial"/>
                <w:b/>
                <w:bCs/>
                <w:color w:val="000000"/>
                <w:sz w:val="18"/>
                <w:szCs w:val="18"/>
                <w:lang w:eastAsia="hr-HR"/>
              </w:rPr>
            </w:pPr>
            <w:r w:rsidRPr="00013865">
              <w:rPr>
                <w:rFonts w:cs="Arial"/>
                <w:b/>
                <w:bCs/>
                <w:color w:val="000000"/>
                <w:sz w:val="18"/>
                <w:szCs w:val="18"/>
                <w:lang w:eastAsia="hr-HR"/>
              </w:rPr>
              <w:t>27.805.973</w:t>
            </w:r>
          </w:p>
        </w:tc>
      </w:tr>
      <w:tr w:rsidR="006968D2" w:rsidRPr="00CE2C44" w14:paraId="6ADB1419" w14:textId="77777777" w:rsidTr="007E1860">
        <w:trPr>
          <w:trHeight w:hRule="exact" w:val="508"/>
          <w:jc w:val="right"/>
        </w:trPr>
        <w:tc>
          <w:tcPr>
            <w:tcW w:w="1592" w:type="pct"/>
          </w:tcPr>
          <w:p w14:paraId="7CC6F15C" w14:textId="77777777" w:rsidR="006968D2" w:rsidRPr="007E1860" w:rsidRDefault="006968D2" w:rsidP="006968D2">
            <w:pPr>
              <w:tabs>
                <w:tab w:val="right" w:pos="1202"/>
              </w:tabs>
              <w:spacing w:after="0" w:line="240" w:lineRule="exact"/>
              <w:outlineLvl w:val="0"/>
              <w:rPr>
                <w:rFonts w:cs="Arial"/>
                <w:b/>
                <w:bCs/>
                <w:spacing w:val="-2"/>
                <w:sz w:val="18"/>
                <w:szCs w:val="18"/>
              </w:rPr>
            </w:pPr>
            <w:r w:rsidRPr="007E1860">
              <w:rPr>
                <w:rFonts w:cs="Arial"/>
                <w:b/>
                <w:bCs/>
                <w:spacing w:val="-2"/>
                <w:sz w:val="18"/>
                <w:szCs w:val="18"/>
              </w:rPr>
              <w:t>Neto ukupna imovina/ukupne obveze i glavnica (1) – (2)</w:t>
            </w:r>
          </w:p>
        </w:tc>
        <w:tc>
          <w:tcPr>
            <w:tcW w:w="544" w:type="pct"/>
            <w:tcBorders>
              <w:top w:val="single" w:sz="12" w:space="0" w:color="auto"/>
              <w:left w:val="nil"/>
              <w:bottom w:val="single" w:sz="12" w:space="0" w:color="auto"/>
              <w:right w:val="nil"/>
            </w:tcBorders>
            <w:shd w:val="clear" w:color="auto" w:fill="auto"/>
            <w:vAlign w:val="bottom"/>
          </w:tcPr>
          <w:p w14:paraId="77265340" w14:textId="16253ADC" w:rsidR="006968D2" w:rsidRPr="007E1860" w:rsidRDefault="006968D2" w:rsidP="006968D2">
            <w:pPr>
              <w:spacing w:after="0" w:line="240" w:lineRule="exact"/>
              <w:jc w:val="right"/>
              <w:outlineLvl w:val="0"/>
              <w:rPr>
                <w:rFonts w:cs="Arial"/>
                <w:b/>
                <w:bCs/>
                <w:color w:val="000000"/>
                <w:sz w:val="18"/>
                <w:szCs w:val="18"/>
                <w:lang w:eastAsia="hr-HR"/>
              </w:rPr>
            </w:pPr>
            <w:r>
              <w:rPr>
                <w:rFonts w:ascii="Calibri" w:hAnsi="Calibri"/>
                <w:b/>
                <w:bCs/>
                <w:color w:val="000000"/>
                <w:sz w:val="18"/>
                <w:szCs w:val="18"/>
              </w:rPr>
              <w:t>6.477.530</w:t>
            </w:r>
          </w:p>
        </w:tc>
        <w:tc>
          <w:tcPr>
            <w:tcW w:w="626" w:type="pct"/>
            <w:tcBorders>
              <w:top w:val="single" w:sz="12" w:space="0" w:color="auto"/>
              <w:left w:val="nil"/>
              <w:bottom w:val="single" w:sz="12" w:space="0" w:color="auto"/>
              <w:right w:val="nil"/>
            </w:tcBorders>
            <w:shd w:val="clear" w:color="auto" w:fill="auto"/>
            <w:vAlign w:val="bottom"/>
          </w:tcPr>
          <w:p w14:paraId="1454AFC5" w14:textId="2D4FD7B3" w:rsidR="006968D2" w:rsidRPr="007E1860" w:rsidRDefault="006968D2" w:rsidP="006968D2">
            <w:pPr>
              <w:spacing w:after="0" w:line="240" w:lineRule="exact"/>
              <w:jc w:val="right"/>
              <w:outlineLvl w:val="0"/>
              <w:rPr>
                <w:rFonts w:cs="Arial"/>
                <w:b/>
                <w:bCs/>
                <w:color w:val="000000"/>
                <w:sz w:val="18"/>
                <w:szCs w:val="18"/>
                <w:lang w:eastAsia="hr-HR"/>
              </w:rPr>
            </w:pPr>
            <w:r>
              <w:rPr>
                <w:rFonts w:ascii="Calibri" w:hAnsi="Calibri"/>
                <w:b/>
                <w:bCs/>
                <w:color w:val="000000"/>
                <w:sz w:val="18"/>
                <w:szCs w:val="18"/>
              </w:rPr>
              <w:t>257.742</w:t>
            </w:r>
          </w:p>
        </w:tc>
        <w:tc>
          <w:tcPr>
            <w:tcW w:w="522" w:type="pct"/>
            <w:tcBorders>
              <w:top w:val="single" w:sz="12" w:space="0" w:color="auto"/>
              <w:left w:val="nil"/>
              <w:bottom w:val="single" w:sz="12" w:space="0" w:color="auto"/>
              <w:right w:val="nil"/>
            </w:tcBorders>
            <w:shd w:val="clear" w:color="auto" w:fill="auto"/>
            <w:vAlign w:val="bottom"/>
          </w:tcPr>
          <w:p w14:paraId="0FE7D33D" w14:textId="6B12B655" w:rsidR="006968D2" w:rsidRPr="007E1860" w:rsidRDefault="006968D2" w:rsidP="006968D2">
            <w:pPr>
              <w:spacing w:after="0" w:line="240" w:lineRule="exact"/>
              <w:jc w:val="right"/>
              <w:outlineLvl w:val="0"/>
              <w:rPr>
                <w:rFonts w:cs="Arial"/>
                <w:b/>
                <w:bCs/>
                <w:color w:val="000000"/>
                <w:sz w:val="18"/>
                <w:szCs w:val="18"/>
                <w:lang w:eastAsia="hr-HR"/>
              </w:rPr>
            </w:pPr>
            <w:r>
              <w:rPr>
                <w:rFonts w:ascii="Calibri" w:hAnsi="Calibri"/>
                <w:b/>
                <w:bCs/>
                <w:color w:val="000000"/>
                <w:sz w:val="18"/>
                <w:szCs w:val="18"/>
              </w:rPr>
              <w:t>923.490</w:t>
            </w:r>
          </w:p>
        </w:tc>
        <w:tc>
          <w:tcPr>
            <w:tcW w:w="522" w:type="pct"/>
            <w:tcBorders>
              <w:top w:val="single" w:sz="12" w:space="0" w:color="auto"/>
              <w:left w:val="nil"/>
              <w:bottom w:val="single" w:sz="12" w:space="0" w:color="auto"/>
              <w:right w:val="nil"/>
            </w:tcBorders>
            <w:shd w:val="clear" w:color="auto" w:fill="auto"/>
            <w:vAlign w:val="bottom"/>
          </w:tcPr>
          <w:p w14:paraId="4B9F8741" w14:textId="47E9BF95" w:rsidR="006968D2" w:rsidRPr="007E1860" w:rsidRDefault="006968D2" w:rsidP="006968D2">
            <w:pPr>
              <w:spacing w:after="0" w:line="240" w:lineRule="exact"/>
              <w:jc w:val="right"/>
              <w:outlineLvl w:val="0"/>
              <w:rPr>
                <w:rFonts w:cs="Arial"/>
                <w:b/>
                <w:bCs/>
                <w:color w:val="000000"/>
                <w:sz w:val="18"/>
                <w:szCs w:val="18"/>
                <w:lang w:eastAsia="hr-HR"/>
              </w:rPr>
            </w:pPr>
            <w:r>
              <w:rPr>
                <w:rFonts w:ascii="Calibri" w:hAnsi="Calibri"/>
                <w:b/>
                <w:bCs/>
                <w:color w:val="000000"/>
                <w:sz w:val="18"/>
                <w:szCs w:val="18"/>
              </w:rPr>
              <w:t>21.787</w:t>
            </w:r>
          </w:p>
        </w:tc>
        <w:tc>
          <w:tcPr>
            <w:tcW w:w="597" w:type="pct"/>
            <w:tcBorders>
              <w:top w:val="single" w:sz="12" w:space="0" w:color="auto"/>
              <w:left w:val="nil"/>
              <w:bottom w:val="single" w:sz="12" w:space="0" w:color="auto"/>
              <w:right w:val="nil"/>
            </w:tcBorders>
            <w:shd w:val="clear" w:color="auto" w:fill="auto"/>
            <w:vAlign w:val="bottom"/>
          </w:tcPr>
          <w:p w14:paraId="42149604" w14:textId="39E9437D" w:rsidR="006968D2" w:rsidRPr="007E1860" w:rsidRDefault="006968D2" w:rsidP="006968D2">
            <w:pPr>
              <w:spacing w:after="0" w:line="240" w:lineRule="exact"/>
              <w:jc w:val="right"/>
              <w:outlineLvl w:val="0"/>
              <w:rPr>
                <w:rFonts w:cs="Arial"/>
                <w:b/>
                <w:bCs/>
                <w:color w:val="000000"/>
                <w:sz w:val="18"/>
                <w:szCs w:val="18"/>
                <w:lang w:eastAsia="hr-HR"/>
              </w:rPr>
            </w:pPr>
            <w:r>
              <w:rPr>
                <w:rFonts w:ascii="Calibri" w:hAnsi="Calibri"/>
                <w:b/>
                <w:bCs/>
                <w:color w:val="000000"/>
                <w:sz w:val="18"/>
                <w:szCs w:val="18"/>
              </w:rPr>
              <w:t>(7.680.549)</w:t>
            </w:r>
          </w:p>
        </w:tc>
        <w:tc>
          <w:tcPr>
            <w:tcW w:w="596" w:type="pct"/>
            <w:tcBorders>
              <w:top w:val="single" w:sz="12" w:space="0" w:color="auto"/>
              <w:left w:val="nil"/>
              <w:bottom w:val="single" w:sz="12" w:space="0" w:color="auto"/>
              <w:right w:val="nil"/>
            </w:tcBorders>
            <w:shd w:val="clear" w:color="auto" w:fill="auto"/>
            <w:vAlign w:val="bottom"/>
          </w:tcPr>
          <w:p w14:paraId="2ACBE348" w14:textId="44CEF0BF" w:rsidR="006968D2" w:rsidRPr="007E1860" w:rsidRDefault="006968D2" w:rsidP="006968D2">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w:t>
            </w:r>
          </w:p>
        </w:tc>
      </w:tr>
      <w:tr w:rsidR="006968D2" w:rsidRPr="00384F82" w14:paraId="18F3CC5C" w14:textId="77777777" w:rsidTr="00312975">
        <w:trPr>
          <w:trHeight w:hRule="exact" w:val="530"/>
          <w:jc w:val="right"/>
        </w:trPr>
        <w:tc>
          <w:tcPr>
            <w:tcW w:w="1592" w:type="pct"/>
            <w:vAlign w:val="bottom"/>
          </w:tcPr>
          <w:p w14:paraId="719F0634" w14:textId="77777777" w:rsidR="006968D2" w:rsidRPr="007E1860" w:rsidRDefault="006968D2" w:rsidP="006968D2">
            <w:pPr>
              <w:tabs>
                <w:tab w:val="right" w:pos="1202"/>
              </w:tabs>
              <w:spacing w:after="0" w:line="240" w:lineRule="exact"/>
              <w:outlineLvl w:val="0"/>
              <w:rPr>
                <w:rFonts w:cs="Arial"/>
                <w:b/>
                <w:bCs/>
                <w:spacing w:val="-2"/>
                <w:sz w:val="18"/>
                <w:szCs w:val="18"/>
              </w:rPr>
            </w:pPr>
            <w:r w:rsidRPr="007E1860">
              <w:rPr>
                <w:rFonts w:cs="Arial"/>
                <w:b/>
                <w:bCs/>
                <w:spacing w:val="-2"/>
                <w:sz w:val="18"/>
                <w:szCs w:val="18"/>
              </w:rPr>
              <w:t>Neto kumulativ ukupna imovina</w:t>
            </w:r>
          </w:p>
          <w:p w14:paraId="7CBDF44B" w14:textId="77777777" w:rsidR="006968D2" w:rsidRPr="007E1860" w:rsidRDefault="006968D2" w:rsidP="006968D2">
            <w:pPr>
              <w:tabs>
                <w:tab w:val="right" w:pos="1202"/>
              </w:tabs>
              <w:spacing w:after="0" w:line="240" w:lineRule="exact"/>
              <w:outlineLvl w:val="0"/>
              <w:rPr>
                <w:rFonts w:cs="Arial"/>
                <w:b/>
                <w:bCs/>
                <w:spacing w:val="-2"/>
                <w:sz w:val="18"/>
                <w:szCs w:val="18"/>
              </w:rPr>
            </w:pPr>
            <w:r w:rsidRPr="007E1860">
              <w:rPr>
                <w:rFonts w:cs="Arial"/>
                <w:b/>
                <w:bCs/>
                <w:spacing w:val="-2"/>
                <w:sz w:val="18"/>
                <w:szCs w:val="18"/>
              </w:rPr>
              <w:t xml:space="preserve">/ukupne obveze i glavnica </w:t>
            </w:r>
          </w:p>
        </w:tc>
        <w:tc>
          <w:tcPr>
            <w:tcW w:w="544" w:type="pct"/>
            <w:tcBorders>
              <w:top w:val="single" w:sz="12" w:space="0" w:color="auto"/>
              <w:left w:val="nil"/>
              <w:bottom w:val="single" w:sz="12" w:space="0" w:color="000000"/>
              <w:right w:val="nil"/>
            </w:tcBorders>
            <w:shd w:val="clear" w:color="auto" w:fill="auto"/>
            <w:vAlign w:val="bottom"/>
          </w:tcPr>
          <w:p w14:paraId="1E51E7BF" w14:textId="51F69D29" w:rsidR="006968D2" w:rsidRPr="007E1860" w:rsidRDefault="006968D2" w:rsidP="006968D2">
            <w:pPr>
              <w:spacing w:after="0" w:line="240" w:lineRule="exact"/>
              <w:jc w:val="right"/>
              <w:outlineLvl w:val="0"/>
              <w:rPr>
                <w:rFonts w:cs="Arial"/>
                <w:b/>
                <w:bCs/>
                <w:color w:val="000000"/>
                <w:sz w:val="18"/>
                <w:szCs w:val="18"/>
                <w:lang w:eastAsia="hr-HR"/>
              </w:rPr>
            </w:pPr>
            <w:r>
              <w:rPr>
                <w:rFonts w:ascii="Calibri" w:hAnsi="Calibri"/>
                <w:b/>
                <w:bCs/>
                <w:color w:val="000000"/>
                <w:sz w:val="18"/>
                <w:szCs w:val="18"/>
              </w:rPr>
              <w:t>6.477.530</w:t>
            </w:r>
          </w:p>
        </w:tc>
        <w:tc>
          <w:tcPr>
            <w:tcW w:w="626" w:type="pct"/>
            <w:tcBorders>
              <w:top w:val="single" w:sz="12" w:space="0" w:color="auto"/>
              <w:left w:val="nil"/>
              <w:bottom w:val="single" w:sz="12" w:space="0" w:color="000000"/>
              <w:right w:val="nil"/>
            </w:tcBorders>
            <w:shd w:val="clear" w:color="auto" w:fill="auto"/>
            <w:vAlign w:val="bottom"/>
          </w:tcPr>
          <w:p w14:paraId="47343FA9" w14:textId="7CF81C8F" w:rsidR="006968D2" w:rsidRPr="007E1860" w:rsidRDefault="006968D2" w:rsidP="006968D2">
            <w:pPr>
              <w:spacing w:after="0" w:line="240" w:lineRule="exact"/>
              <w:jc w:val="right"/>
              <w:outlineLvl w:val="0"/>
              <w:rPr>
                <w:rFonts w:cs="Arial"/>
                <w:b/>
                <w:bCs/>
                <w:color w:val="000000"/>
                <w:sz w:val="18"/>
                <w:szCs w:val="18"/>
                <w:lang w:eastAsia="hr-HR"/>
              </w:rPr>
            </w:pPr>
            <w:r>
              <w:rPr>
                <w:rFonts w:ascii="Calibri" w:hAnsi="Calibri"/>
                <w:b/>
                <w:bCs/>
                <w:color w:val="000000"/>
                <w:sz w:val="18"/>
                <w:szCs w:val="18"/>
              </w:rPr>
              <w:t>6.735.272</w:t>
            </w:r>
          </w:p>
        </w:tc>
        <w:tc>
          <w:tcPr>
            <w:tcW w:w="522" w:type="pct"/>
            <w:tcBorders>
              <w:top w:val="single" w:sz="12" w:space="0" w:color="auto"/>
              <w:left w:val="nil"/>
              <w:bottom w:val="single" w:sz="12" w:space="0" w:color="000000"/>
              <w:right w:val="nil"/>
            </w:tcBorders>
            <w:shd w:val="clear" w:color="auto" w:fill="auto"/>
            <w:vAlign w:val="bottom"/>
          </w:tcPr>
          <w:p w14:paraId="3A7B15DB" w14:textId="556CA504" w:rsidR="006968D2" w:rsidRPr="007E1860" w:rsidRDefault="006968D2" w:rsidP="006968D2">
            <w:pPr>
              <w:spacing w:after="0" w:line="240" w:lineRule="exact"/>
              <w:jc w:val="right"/>
              <w:outlineLvl w:val="0"/>
              <w:rPr>
                <w:rFonts w:cs="Arial"/>
                <w:b/>
                <w:bCs/>
                <w:color w:val="000000"/>
                <w:sz w:val="18"/>
                <w:szCs w:val="18"/>
                <w:lang w:eastAsia="hr-HR"/>
              </w:rPr>
            </w:pPr>
            <w:r>
              <w:rPr>
                <w:rFonts w:ascii="Calibri" w:hAnsi="Calibri"/>
                <w:b/>
                <w:bCs/>
                <w:color w:val="000000"/>
                <w:sz w:val="18"/>
                <w:szCs w:val="18"/>
              </w:rPr>
              <w:t>7.658.762</w:t>
            </w:r>
          </w:p>
        </w:tc>
        <w:tc>
          <w:tcPr>
            <w:tcW w:w="522" w:type="pct"/>
            <w:tcBorders>
              <w:top w:val="single" w:sz="12" w:space="0" w:color="auto"/>
              <w:left w:val="nil"/>
              <w:bottom w:val="single" w:sz="12" w:space="0" w:color="000000"/>
              <w:right w:val="nil"/>
            </w:tcBorders>
            <w:shd w:val="clear" w:color="auto" w:fill="auto"/>
            <w:vAlign w:val="bottom"/>
          </w:tcPr>
          <w:p w14:paraId="1F0235C6" w14:textId="44036916" w:rsidR="006968D2" w:rsidRPr="007E1860" w:rsidRDefault="006968D2" w:rsidP="006968D2">
            <w:pPr>
              <w:spacing w:after="0" w:line="240" w:lineRule="exact"/>
              <w:jc w:val="right"/>
              <w:outlineLvl w:val="0"/>
              <w:rPr>
                <w:rFonts w:cs="Arial"/>
                <w:b/>
                <w:bCs/>
                <w:color w:val="000000"/>
                <w:sz w:val="18"/>
                <w:szCs w:val="18"/>
                <w:lang w:eastAsia="hr-HR"/>
              </w:rPr>
            </w:pPr>
            <w:r>
              <w:rPr>
                <w:rFonts w:ascii="Calibri" w:hAnsi="Calibri"/>
                <w:b/>
                <w:bCs/>
                <w:color w:val="000000"/>
                <w:sz w:val="18"/>
                <w:szCs w:val="18"/>
              </w:rPr>
              <w:t>7.680.549</w:t>
            </w:r>
          </w:p>
        </w:tc>
        <w:tc>
          <w:tcPr>
            <w:tcW w:w="597" w:type="pct"/>
            <w:tcBorders>
              <w:top w:val="single" w:sz="12" w:space="0" w:color="auto"/>
              <w:left w:val="nil"/>
              <w:bottom w:val="single" w:sz="12" w:space="0" w:color="auto"/>
              <w:right w:val="nil"/>
            </w:tcBorders>
            <w:shd w:val="clear" w:color="auto" w:fill="auto"/>
            <w:vAlign w:val="bottom"/>
          </w:tcPr>
          <w:p w14:paraId="32D59DC9" w14:textId="51E35AA4" w:rsidR="006968D2" w:rsidRPr="007E1860" w:rsidRDefault="006968D2" w:rsidP="006968D2">
            <w:pPr>
              <w:spacing w:after="0" w:line="240" w:lineRule="exact"/>
              <w:jc w:val="right"/>
              <w:outlineLvl w:val="0"/>
              <w:rPr>
                <w:rFonts w:cs="Arial"/>
                <w:b/>
                <w:bCs/>
                <w:color w:val="000000"/>
                <w:sz w:val="18"/>
                <w:szCs w:val="18"/>
                <w:lang w:eastAsia="hr-HR"/>
              </w:rPr>
            </w:pPr>
            <w:r w:rsidRPr="002D1CB1">
              <w:rPr>
                <w:rFonts w:ascii="Calibri" w:hAnsi="Calibri"/>
                <w:b/>
                <w:bCs/>
                <w:color w:val="000000"/>
                <w:sz w:val="18"/>
                <w:szCs w:val="18"/>
              </w:rPr>
              <w:t>-</w:t>
            </w:r>
          </w:p>
        </w:tc>
        <w:tc>
          <w:tcPr>
            <w:tcW w:w="596" w:type="pct"/>
            <w:tcBorders>
              <w:top w:val="single" w:sz="12" w:space="0" w:color="auto"/>
              <w:left w:val="nil"/>
              <w:bottom w:val="single" w:sz="12" w:space="0" w:color="auto"/>
              <w:right w:val="nil"/>
            </w:tcBorders>
            <w:shd w:val="clear" w:color="auto" w:fill="auto"/>
            <w:vAlign w:val="bottom"/>
          </w:tcPr>
          <w:p w14:paraId="4812EBFB" w14:textId="1A1923C4" w:rsidR="006968D2" w:rsidRPr="007E1860" w:rsidRDefault="006968D2" w:rsidP="006968D2">
            <w:pPr>
              <w:spacing w:after="0" w:line="240" w:lineRule="exact"/>
              <w:jc w:val="right"/>
              <w:outlineLvl w:val="0"/>
              <w:rPr>
                <w:rFonts w:cs="Arial"/>
                <w:b/>
                <w:bCs/>
                <w:color w:val="000000"/>
                <w:sz w:val="18"/>
                <w:szCs w:val="18"/>
                <w:lang w:eastAsia="hr-HR"/>
              </w:rPr>
            </w:pPr>
            <w:r w:rsidRPr="007E1860">
              <w:rPr>
                <w:rFonts w:cs="Arial"/>
                <w:b/>
                <w:bCs/>
                <w:color w:val="000000"/>
                <w:sz w:val="18"/>
                <w:szCs w:val="18"/>
                <w:lang w:eastAsia="hr-HR"/>
              </w:rPr>
              <w:t>-</w:t>
            </w:r>
          </w:p>
        </w:tc>
      </w:tr>
    </w:tbl>
    <w:p w14:paraId="5BF3A688" w14:textId="77777777" w:rsidR="00684EE3" w:rsidRDefault="00684EE3" w:rsidP="00CE2C44">
      <w:pPr>
        <w:pStyle w:val="accountingpolicytitle"/>
        <w:rPr>
          <w:rFonts w:asciiTheme="minorHAnsi" w:hAnsiTheme="minorHAnsi" w:cs="Arial"/>
          <w:b w:val="0"/>
          <w:bCs/>
          <w:sz w:val="18"/>
          <w:szCs w:val="18"/>
          <w:lang w:val="hr-HR"/>
        </w:rPr>
      </w:pPr>
    </w:p>
    <w:p w14:paraId="2D48A9B1" w14:textId="77777777" w:rsidR="00CE2C44" w:rsidRDefault="00684EE3" w:rsidP="00CE2C44">
      <w:pPr>
        <w:pStyle w:val="accountingpolicytitle"/>
        <w:rPr>
          <w:rFonts w:asciiTheme="minorHAnsi" w:hAnsiTheme="minorHAnsi" w:cs="Arial"/>
          <w:b w:val="0"/>
          <w:bCs/>
          <w:sz w:val="18"/>
          <w:szCs w:val="18"/>
          <w:lang w:val="hr-HR"/>
        </w:rPr>
      </w:pPr>
      <w:r w:rsidRPr="00CE2C44">
        <w:rPr>
          <w:rFonts w:asciiTheme="minorHAnsi" w:hAnsiTheme="minorHAnsi" w:cs="Arial"/>
          <w:b w:val="0"/>
          <w:bCs/>
          <w:sz w:val="18"/>
          <w:szCs w:val="18"/>
          <w:lang w:val="hr-HR"/>
        </w:rPr>
        <w:t>Stavke sa neodređenim dospijećem iskazane su u razdoblju preko 3 godine.</w:t>
      </w:r>
    </w:p>
    <w:p w14:paraId="57A2AF8F" w14:textId="77777777" w:rsidR="00684EE3" w:rsidRPr="00CE2C44" w:rsidRDefault="00684EE3" w:rsidP="00CE2C44">
      <w:pPr>
        <w:pStyle w:val="accountingpolicytitle"/>
        <w:rPr>
          <w:rFonts w:asciiTheme="minorHAnsi" w:hAnsiTheme="minorHAnsi"/>
          <w:b w:val="0"/>
          <w:i/>
          <w:sz w:val="18"/>
          <w:szCs w:val="18"/>
          <w:lang w:val="hr-HR"/>
        </w:rPr>
      </w:pPr>
    </w:p>
    <w:p w14:paraId="1735ED00" w14:textId="6389348B" w:rsidR="006F40A6" w:rsidRPr="006F40A6" w:rsidRDefault="006F40A6" w:rsidP="006F40A6">
      <w:pPr>
        <w:spacing w:after="0" w:line="240" w:lineRule="auto"/>
        <w:jc w:val="both"/>
        <w:rPr>
          <w:rFonts w:ascii="Calibri" w:eastAsia="Times New Roman" w:hAnsi="Calibri" w:cs="Times New Roman"/>
          <w:bCs/>
          <w:i/>
          <w:sz w:val="18"/>
          <w:szCs w:val="18"/>
        </w:rPr>
      </w:pPr>
      <w:r w:rsidRPr="00D34B9C">
        <w:rPr>
          <w:rFonts w:ascii="Calibri" w:eastAsia="Times New Roman" w:hAnsi="Calibri" w:cs="Times New Roman"/>
          <w:bCs/>
          <w:i/>
          <w:sz w:val="18"/>
          <w:szCs w:val="18"/>
        </w:rPr>
        <w:t xml:space="preserve">* Potraživanje u iznosu od </w:t>
      </w:r>
      <w:r w:rsidR="0022299C" w:rsidRPr="0022299C">
        <w:rPr>
          <w:rFonts w:ascii="Calibri" w:eastAsia="Times New Roman" w:hAnsi="Calibri" w:cs="Times New Roman"/>
          <w:bCs/>
          <w:i/>
          <w:sz w:val="18"/>
          <w:szCs w:val="18"/>
        </w:rPr>
        <w:t xml:space="preserve">324.789 </w:t>
      </w:r>
      <w:r w:rsidRPr="00D34B9C">
        <w:rPr>
          <w:rFonts w:ascii="Calibri" w:eastAsia="Times New Roman" w:hAnsi="Calibri" w:cs="Times New Roman"/>
          <w:bCs/>
          <w:i/>
          <w:sz w:val="18"/>
          <w:szCs w:val="18"/>
        </w:rPr>
        <w:t xml:space="preserve">tisuća kuna odnosi se na obrnute repo poslove. </w:t>
      </w:r>
    </w:p>
    <w:p w14:paraId="0AD1C9A2" w14:textId="77777777" w:rsidR="00CE2C44" w:rsidRPr="00CE2C44" w:rsidRDefault="00CE2C44" w:rsidP="00CE2C44">
      <w:pPr>
        <w:spacing w:after="0" w:line="240" w:lineRule="auto"/>
        <w:rPr>
          <w:rFonts w:cs="Arial"/>
          <w:sz w:val="18"/>
          <w:szCs w:val="18"/>
          <w:highlight w:val="yellow"/>
        </w:rPr>
      </w:pPr>
    </w:p>
    <w:p w14:paraId="2D30FAE8" w14:textId="77777777" w:rsidR="00CE2C44" w:rsidRDefault="00CE2C44" w:rsidP="00AD7F4C">
      <w:pPr>
        <w:pStyle w:val="accountingpolicytitle"/>
        <w:rPr>
          <w:rFonts w:asciiTheme="minorHAnsi" w:hAnsiTheme="minorHAnsi" w:cstheme="minorHAnsi"/>
          <w:sz w:val="18"/>
          <w:szCs w:val="18"/>
          <w:lang w:val="hr-HR"/>
        </w:rPr>
        <w:sectPr w:rsidR="00CE2C44" w:rsidSect="006152B9">
          <w:footerReference w:type="first" r:id="rId108"/>
          <w:pgSz w:w="11906" w:h="16838" w:code="9"/>
          <w:pgMar w:top="1418" w:right="1418" w:bottom="595" w:left="1134" w:header="709" w:footer="709" w:gutter="0"/>
          <w:cols w:space="708"/>
          <w:titlePg/>
          <w:docGrid w:linePitch="360"/>
        </w:sectPr>
      </w:pPr>
    </w:p>
    <w:p w14:paraId="4B1672D1" w14:textId="77777777" w:rsidR="00CE2C44" w:rsidRDefault="00CE2C44" w:rsidP="00CE2C44">
      <w:pPr>
        <w:pStyle w:val="T1"/>
        <w:spacing w:before="0" w:after="0" w:line="240" w:lineRule="auto"/>
        <w:rPr>
          <w:rFonts w:asciiTheme="minorHAnsi" w:hAnsiTheme="minorHAnsi" w:cs="Arial"/>
          <w:sz w:val="22"/>
          <w:szCs w:val="22"/>
          <w:lang w:val="hr-HR"/>
        </w:rPr>
      </w:pPr>
    </w:p>
    <w:p w14:paraId="373FA247" w14:textId="77777777" w:rsidR="00CE2C44" w:rsidRDefault="00CE2C44" w:rsidP="00CE2C44">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CE2C44">
        <w:rPr>
          <w:rFonts w:asciiTheme="minorHAnsi" w:hAnsiTheme="minorHAnsi" w:cs="Arial"/>
          <w:sz w:val="22"/>
          <w:szCs w:val="22"/>
          <w:lang w:val="hr-HR"/>
        </w:rPr>
        <w:t>.</w:t>
      </w:r>
      <w:r w:rsidRPr="00CE2C44">
        <w:rPr>
          <w:rFonts w:asciiTheme="minorHAnsi" w:hAnsiTheme="minorHAnsi" w:cs="Arial"/>
          <w:sz w:val="22"/>
          <w:szCs w:val="22"/>
          <w:lang w:val="hr-HR"/>
        </w:rPr>
        <w:tab/>
        <w:t>Upravljanje rizicima (nastavak)</w:t>
      </w:r>
    </w:p>
    <w:p w14:paraId="1F415C48" w14:textId="77777777" w:rsidR="00CE2C44" w:rsidRPr="00CE2C44" w:rsidRDefault="00CE2C44" w:rsidP="00CE2C44">
      <w:pPr>
        <w:pStyle w:val="T1"/>
        <w:spacing w:before="0" w:after="0" w:line="240" w:lineRule="auto"/>
        <w:rPr>
          <w:rFonts w:asciiTheme="minorHAnsi" w:hAnsiTheme="minorHAnsi" w:cs="Arial"/>
          <w:sz w:val="22"/>
          <w:szCs w:val="22"/>
          <w:lang w:val="hr-HR"/>
        </w:rPr>
      </w:pPr>
    </w:p>
    <w:p w14:paraId="297DEB82" w14:textId="77777777" w:rsidR="00CE2C44" w:rsidRDefault="00CE2C44" w:rsidP="00CE2C44">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CE2C44">
        <w:rPr>
          <w:rFonts w:asciiTheme="minorHAnsi" w:hAnsiTheme="minorHAnsi" w:cs="Arial"/>
          <w:sz w:val="22"/>
          <w:szCs w:val="22"/>
          <w:lang w:val="hr-HR"/>
        </w:rPr>
        <w:t xml:space="preserve">.3. </w:t>
      </w:r>
      <w:r w:rsidRPr="00CE2C44">
        <w:rPr>
          <w:rFonts w:asciiTheme="minorHAnsi" w:hAnsiTheme="minorHAnsi" w:cs="Arial"/>
          <w:sz w:val="22"/>
          <w:szCs w:val="22"/>
          <w:lang w:val="hr-HR"/>
        </w:rPr>
        <w:tab/>
        <w:t>Rizik likvidnosti (nastavak)</w:t>
      </w:r>
    </w:p>
    <w:p w14:paraId="5EC09A4A" w14:textId="77777777" w:rsidR="00CE2C44" w:rsidRPr="00CE2C44" w:rsidRDefault="00CE2C44" w:rsidP="00CE2C44">
      <w:pPr>
        <w:pStyle w:val="T1"/>
        <w:spacing w:before="0" w:after="0" w:line="240" w:lineRule="auto"/>
        <w:rPr>
          <w:rFonts w:asciiTheme="minorHAnsi" w:hAnsiTheme="minorHAnsi" w:cs="Arial"/>
          <w:sz w:val="22"/>
          <w:szCs w:val="22"/>
          <w:lang w:val="hr-HR"/>
        </w:rPr>
      </w:pPr>
    </w:p>
    <w:tbl>
      <w:tblPr>
        <w:tblW w:w="5220" w:type="pct"/>
        <w:tblInd w:w="-142" w:type="dxa"/>
        <w:tblLayout w:type="fixed"/>
        <w:tblCellMar>
          <w:left w:w="120" w:type="dxa"/>
          <w:right w:w="120" w:type="dxa"/>
        </w:tblCellMar>
        <w:tblLook w:val="0000" w:firstRow="0" w:lastRow="0" w:firstColumn="0" w:lastColumn="0" w:noHBand="0" w:noVBand="0"/>
      </w:tblPr>
      <w:tblGrid>
        <w:gridCol w:w="3177"/>
        <w:gridCol w:w="1020"/>
        <w:gridCol w:w="1049"/>
        <w:gridCol w:w="1049"/>
        <w:gridCol w:w="1147"/>
        <w:gridCol w:w="1158"/>
        <w:gridCol w:w="1166"/>
      </w:tblGrid>
      <w:tr w:rsidR="00AD0961" w:rsidRPr="00AD0961" w14:paraId="70F51A86" w14:textId="77777777" w:rsidTr="00AD0961">
        <w:trPr>
          <w:trHeight w:val="303"/>
        </w:trPr>
        <w:tc>
          <w:tcPr>
            <w:tcW w:w="1627" w:type="pct"/>
            <w:vAlign w:val="bottom"/>
          </w:tcPr>
          <w:p w14:paraId="3DFF09F1" w14:textId="77777777" w:rsidR="00AD0961" w:rsidRPr="00AD0961" w:rsidRDefault="00AD0961" w:rsidP="00AD0961">
            <w:pPr>
              <w:tabs>
                <w:tab w:val="right" w:pos="1202"/>
              </w:tabs>
              <w:spacing w:after="0" w:line="240" w:lineRule="exact"/>
              <w:outlineLvl w:val="0"/>
              <w:rPr>
                <w:rFonts w:ascii="Calibri" w:eastAsia="Times New Roman" w:hAnsi="Calibri" w:cs="Arial"/>
                <w:b/>
                <w:sz w:val="18"/>
                <w:szCs w:val="18"/>
              </w:rPr>
            </w:pPr>
            <w:r w:rsidRPr="00AD0961">
              <w:rPr>
                <w:rFonts w:ascii="Calibri" w:eastAsia="Times New Roman" w:hAnsi="Calibri" w:cs="Arial"/>
                <w:b/>
                <w:sz w:val="18"/>
                <w:szCs w:val="18"/>
              </w:rPr>
              <w:t>Banka</w:t>
            </w:r>
          </w:p>
          <w:p w14:paraId="7C2D4A8C" w14:textId="6FAA3AF4" w:rsidR="00AD0961" w:rsidRPr="00AD0961" w:rsidRDefault="00AD0961" w:rsidP="00AD0961">
            <w:pPr>
              <w:tabs>
                <w:tab w:val="right" w:pos="1202"/>
              </w:tabs>
              <w:spacing w:after="0" w:line="240" w:lineRule="exact"/>
              <w:outlineLvl w:val="0"/>
              <w:rPr>
                <w:rFonts w:ascii="Calibri" w:eastAsia="Times New Roman" w:hAnsi="Calibri" w:cs="Arial"/>
                <w:b/>
                <w:sz w:val="18"/>
                <w:szCs w:val="18"/>
              </w:rPr>
            </w:pPr>
            <w:r>
              <w:rPr>
                <w:rFonts w:ascii="Calibri" w:eastAsia="Times New Roman" w:hAnsi="Calibri" w:cs="Arial"/>
                <w:b/>
                <w:sz w:val="18"/>
                <w:szCs w:val="18"/>
              </w:rPr>
              <w:t>31.12.2016.</w:t>
            </w:r>
          </w:p>
        </w:tc>
        <w:tc>
          <w:tcPr>
            <w:tcW w:w="522" w:type="pct"/>
          </w:tcPr>
          <w:p w14:paraId="7091E18E" w14:textId="77777777" w:rsidR="00AD0961" w:rsidRPr="00AD0961" w:rsidRDefault="00AD0961" w:rsidP="00AD0961">
            <w:pPr>
              <w:tabs>
                <w:tab w:val="right" w:pos="1202"/>
              </w:tabs>
              <w:spacing w:after="0" w:line="240" w:lineRule="exact"/>
              <w:jc w:val="right"/>
              <w:outlineLvl w:val="0"/>
              <w:rPr>
                <w:rFonts w:ascii="Calibri" w:eastAsia="Times New Roman" w:hAnsi="Calibri" w:cs="Arial"/>
                <w:b/>
                <w:sz w:val="18"/>
                <w:szCs w:val="18"/>
              </w:rPr>
            </w:pPr>
            <w:r w:rsidRPr="00AD0961">
              <w:rPr>
                <w:rFonts w:ascii="Calibri" w:eastAsia="Times New Roman" w:hAnsi="Calibri" w:cs="Arial"/>
                <w:b/>
                <w:sz w:val="18"/>
                <w:szCs w:val="18"/>
              </w:rPr>
              <w:t>Do 1 mjesec</w:t>
            </w:r>
          </w:p>
        </w:tc>
        <w:tc>
          <w:tcPr>
            <w:tcW w:w="537" w:type="pct"/>
          </w:tcPr>
          <w:p w14:paraId="2786F8CD" w14:textId="77777777" w:rsidR="00AD0961" w:rsidRPr="00AD0961" w:rsidRDefault="00AD0961" w:rsidP="00AD0961">
            <w:pPr>
              <w:tabs>
                <w:tab w:val="right" w:pos="1202"/>
              </w:tabs>
              <w:spacing w:after="0" w:line="240" w:lineRule="exact"/>
              <w:jc w:val="right"/>
              <w:outlineLvl w:val="0"/>
              <w:rPr>
                <w:rFonts w:ascii="Calibri" w:eastAsia="Times New Roman" w:hAnsi="Calibri" w:cs="Arial"/>
                <w:b/>
                <w:sz w:val="18"/>
                <w:szCs w:val="18"/>
              </w:rPr>
            </w:pPr>
            <w:r w:rsidRPr="00AD0961">
              <w:rPr>
                <w:rFonts w:ascii="Calibri" w:eastAsia="Times New Roman" w:hAnsi="Calibri" w:cs="Arial"/>
                <w:b/>
                <w:sz w:val="18"/>
                <w:szCs w:val="18"/>
              </w:rPr>
              <w:t>1 do 3 mjeseca</w:t>
            </w:r>
          </w:p>
        </w:tc>
        <w:tc>
          <w:tcPr>
            <w:tcW w:w="537" w:type="pct"/>
          </w:tcPr>
          <w:p w14:paraId="00039FD3" w14:textId="77777777" w:rsidR="00AD0961" w:rsidRPr="00AD0961" w:rsidRDefault="00AD0961" w:rsidP="00AD0961">
            <w:pPr>
              <w:tabs>
                <w:tab w:val="right" w:pos="1202"/>
              </w:tabs>
              <w:spacing w:after="0" w:line="240" w:lineRule="exact"/>
              <w:jc w:val="right"/>
              <w:outlineLvl w:val="0"/>
              <w:rPr>
                <w:rFonts w:ascii="Calibri" w:eastAsia="Times New Roman" w:hAnsi="Calibri" w:cs="Arial"/>
                <w:b/>
                <w:sz w:val="18"/>
                <w:szCs w:val="18"/>
              </w:rPr>
            </w:pPr>
            <w:r w:rsidRPr="00AD0961">
              <w:rPr>
                <w:rFonts w:ascii="Calibri" w:eastAsia="Times New Roman" w:hAnsi="Calibri" w:cs="Arial"/>
                <w:b/>
                <w:sz w:val="18"/>
                <w:szCs w:val="18"/>
              </w:rPr>
              <w:t>3 mj. do 1 godine</w:t>
            </w:r>
          </w:p>
        </w:tc>
        <w:tc>
          <w:tcPr>
            <w:tcW w:w="587" w:type="pct"/>
          </w:tcPr>
          <w:p w14:paraId="261722D8" w14:textId="77777777" w:rsidR="00AD0961" w:rsidRPr="00AD0961" w:rsidRDefault="00AD0961" w:rsidP="00AD0961">
            <w:pPr>
              <w:tabs>
                <w:tab w:val="right" w:pos="1202"/>
              </w:tabs>
              <w:spacing w:after="0" w:line="240" w:lineRule="exact"/>
              <w:jc w:val="right"/>
              <w:outlineLvl w:val="0"/>
              <w:rPr>
                <w:rFonts w:ascii="Calibri" w:eastAsia="Times New Roman" w:hAnsi="Calibri" w:cs="Arial"/>
                <w:b/>
                <w:sz w:val="18"/>
                <w:szCs w:val="18"/>
              </w:rPr>
            </w:pPr>
            <w:r w:rsidRPr="00AD0961">
              <w:rPr>
                <w:rFonts w:ascii="Calibri" w:eastAsia="Times New Roman" w:hAnsi="Calibri" w:cs="Arial"/>
                <w:b/>
                <w:sz w:val="18"/>
                <w:szCs w:val="18"/>
              </w:rPr>
              <w:t>1 do 3 godina</w:t>
            </w:r>
          </w:p>
        </w:tc>
        <w:tc>
          <w:tcPr>
            <w:tcW w:w="593" w:type="pct"/>
          </w:tcPr>
          <w:p w14:paraId="60A06CFE" w14:textId="77777777" w:rsidR="00AD0961" w:rsidRPr="00AD0961" w:rsidRDefault="00AD0961" w:rsidP="00AD0961">
            <w:pPr>
              <w:tabs>
                <w:tab w:val="right" w:pos="1202"/>
              </w:tabs>
              <w:spacing w:after="0" w:line="240" w:lineRule="exact"/>
              <w:jc w:val="right"/>
              <w:outlineLvl w:val="0"/>
              <w:rPr>
                <w:rFonts w:ascii="Calibri" w:eastAsia="Times New Roman" w:hAnsi="Calibri" w:cs="Arial"/>
                <w:b/>
                <w:sz w:val="18"/>
                <w:szCs w:val="18"/>
              </w:rPr>
            </w:pPr>
            <w:r w:rsidRPr="00AD0961">
              <w:rPr>
                <w:rFonts w:ascii="Calibri" w:eastAsia="Times New Roman" w:hAnsi="Calibri" w:cs="Arial"/>
                <w:b/>
                <w:sz w:val="18"/>
                <w:szCs w:val="18"/>
              </w:rPr>
              <w:t>Preko 3 godine</w:t>
            </w:r>
          </w:p>
        </w:tc>
        <w:tc>
          <w:tcPr>
            <w:tcW w:w="597" w:type="pct"/>
          </w:tcPr>
          <w:p w14:paraId="0582409A" w14:textId="77777777" w:rsidR="00AD0961" w:rsidRPr="00AD0961" w:rsidRDefault="00AD0961" w:rsidP="00AD0961">
            <w:pPr>
              <w:tabs>
                <w:tab w:val="right" w:pos="1202"/>
              </w:tabs>
              <w:spacing w:after="0" w:line="240" w:lineRule="exact"/>
              <w:jc w:val="right"/>
              <w:outlineLvl w:val="0"/>
              <w:rPr>
                <w:rFonts w:ascii="Calibri" w:eastAsia="Times New Roman" w:hAnsi="Calibri" w:cs="Arial"/>
                <w:b/>
                <w:sz w:val="18"/>
                <w:szCs w:val="18"/>
              </w:rPr>
            </w:pPr>
            <w:r w:rsidRPr="00AD0961">
              <w:rPr>
                <w:rFonts w:ascii="Calibri" w:eastAsia="Times New Roman" w:hAnsi="Calibri" w:cs="Arial"/>
                <w:b/>
                <w:sz w:val="18"/>
                <w:szCs w:val="18"/>
              </w:rPr>
              <w:t>Ukupno</w:t>
            </w:r>
          </w:p>
        </w:tc>
      </w:tr>
      <w:tr w:rsidR="00AD0961" w:rsidRPr="00AD0961" w14:paraId="34313348" w14:textId="77777777" w:rsidTr="00AD0961">
        <w:trPr>
          <w:trHeight w:val="150"/>
        </w:trPr>
        <w:tc>
          <w:tcPr>
            <w:tcW w:w="1627" w:type="pct"/>
          </w:tcPr>
          <w:p w14:paraId="26FD19B7" w14:textId="77777777" w:rsidR="00AD0961" w:rsidRPr="00AD0961" w:rsidRDefault="00AD0961" w:rsidP="00AD0961">
            <w:pPr>
              <w:tabs>
                <w:tab w:val="right" w:pos="1202"/>
              </w:tabs>
              <w:spacing w:after="0" w:line="240" w:lineRule="exact"/>
              <w:outlineLvl w:val="0"/>
              <w:rPr>
                <w:rFonts w:ascii="Calibri" w:eastAsia="Times New Roman" w:hAnsi="Calibri" w:cs="Arial"/>
                <w:b/>
                <w:bCs/>
                <w:sz w:val="18"/>
                <w:szCs w:val="18"/>
              </w:rPr>
            </w:pPr>
            <w:r w:rsidRPr="00AD0961">
              <w:rPr>
                <w:rFonts w:ascii="Calibri" w:eastAsia="Times New Roman" w:hAnsi="Calibri" w:cs="Arial"/>
                <w:b/>
                <w:bCs/>
                <w:sz w:val="18"/>
                <w:szCs w:val="18"/>
              </w:rPr>
              <w:t>Imovina</w:t>
            </w:r>
          </w:p>
        </w:tc>
        <w:tc>
          <w:tcPr>
            <w:tcW w:w="522" w:type="pct"/>
            <w:vAlign w:val="bottom"/>
          </w:tcPr>
          <w:p w14:paraId="56D04BCF" w14:textId="77777777" w:rsidR="00AD0961" w:rsidRPr="00AD0961" w:rsidRDefault="00AD0961" w:rsidP="00AD0961">
            <w:pPr>
              <w:tabs>
                <w:tab w:val="right" w:pos="1202"/>
              </w:tabs>
              <w:spacing w:after="0" w:line="240" w:lineRule="exact"/>
              <w:jc w:val="right"/>
              <w:outlineLvl w:val="0"/>
              <w:rPr>
                <w:rFonts w:ascii="Calibri" w:eastAsia="Times New Roman" w:hAnsi="Calibri" w:cs="Arial"/>
                <w:b/>
                <w:bCs/>
                <w:spacing w:val="-2"/>
                <w:sz w:val="18"/>
                <w:szCs w:val="18"/>
              </w:rPr>
            </w:pPr>
          </w:p>
        </w:tc>
        <w:tc>
          <w:tcPr>
            <w:tcW w:w="537" w:type="pct"/>
            <w:vAlign w:val="bottom"/>
          </w:tcPr>
          <w:p w14:paraId="0FF9253C" w14:textId="77777777" w:rsidR="00AD0961" w:rsidRPr="00AD0961" w:rsidRDefault="00AD0961" w:rsidP="00AD0961">
            <w:pPr>
              <w:tabs>
                <w:tab w:val="right" w:pos="1202"/>
              </w:tabs>
              <w:spacing w:after="0" w:line="240" w:lineRule="exact"/>
              <w:jc w:val="right"/>
              <w:outlineLvl w:val="0"/>
              <w:rPr>
                <w:rFonts w:ascii="Calibri" w:eastAsia="Times New Roman" w:hAnsi="Calibri" w:cs="Arial"/>
                <w:b/>
                <w:bCs/>
                <w:spacing w:val="-2"/>
                <w:sz w:val="18"/>
                <w:szCs w:val="18"/>
              </w:rPr>
            </w:pPr>
          </w:p>
        </w:tc>
        <w:tc>
          <w:tcPr>
            <w:tcW w:w="537" w:type="pct"/>
            <w:vAlign w:val="bottom"/>
          </w:tcPr>
          <w:p w14:paraId="64162AE3" w14:textId="77777777" w:rsidR="00AD0961" w:rsidRPr="00AD0961" w:rsidRDefault="00AD0961" w:rsidP="00AD0961">
            <w:pPr>
              <w:tabs>
                <w:tab w:val="right" w:pos="1202"/>
              </w:tabs>
              <w:spacing w:after="0" w:line="240" w:lineRule="exact"/>
              <w:jc w:val="right"/>
              <w:outlineLvl w:val="0"/>
              <w:rPr>
                <w:rFonts w:ascii="Calibri" w:eastAsia="Times New Roman" w:hAnsi="Calibri" w:cs="Arial"/>
                <w:b/>
                <w:bCs/>
                <w:spacing w:val="-2"/>
                <w:sz w:val="18"/>
                <w:szCs w:val="18"/>
              </w:rPr>
            </w:pPr>
          </w:p>
        </w:tc>
        <w:tc>
          <w:tcPr>
            <w:tcW w:w="587" w:type="pct"/>
            <w:vAlign w:val="bottom"/>
          </w:tcPr>
          <w:p w14:paraId="41783A3B" w14:textId="77777777" w:rsidR="00AD0961" w:rsidRPr="00AD0961" w:rsidRDefault="00AD0961" w:rsidP="00AD0961">
            <w:pPr>
              <w:tabs>
                <w:tab w:val="right" w:pos="1202"/>
              </w:tabs>
              <w:spacing w:after="0" w:line="240" w:lineRule="exact"/>
              <w:jc w:val="right"/>
              <w:outlineLvl w:val="0"/>
              <w:rPr>
                <w:rFonts w:ascii="Calibri" w:eastAsia="Times New Roman" w:hAnsi="Calibri" w:cs="Arial"/>
                <w:b/>
                <w:bCs/>
                <w:spacing w:val="-2"/>
                <w:sz w:val="18"/>
                <w:szCs w:val="18"/>
              </w:rPr>
            </w:pPr>
          </w:p>
        </w:tc>
        <w:tc>
          <w:tcPr>
            <w:tcW w:w="593" w:type="pct"/>
            <w:vAlign w:val="bottom"/>
          </w:tcPr>
          <w:p w14:paraId="3C5EB543" w14:textId="77777777" w:rsidR="00AD0961" w:rsidRPr="00AD0961" w:rsidRDefault="00AD0961" w:rsidP="00AD0961">
            <w:pPr>
              <w:tabs>
                <w:tab w:val="right" w:pos="1202"/>
              </w:tabs>
              <w:spacing w:after="0" w:line="240" w:lineRule="exact"/>
              <w:jc w:val="right"/>
              <w:outlineLvl w:val="0"/>
              <w:rPr>
                <w:rFonts w:ascii="Calibri" w:eastAsia="Times New Roman" w:hAnsi="Calibri" w:cs="Arial"/>
                <w:b/>
                <w:bCs/>
                <w:spacing w:val="-2"/>
                <w:sz w:val="18"/>
                <w:szCs w:val="18"/>
              </w:rPr>
            </w:pPr>
          </w:p>
        </w:tc>
        <w:tc>
          <w:tcPr>
            <w:tcW w:w="597" w:type="pct"/>
            <w:vAlign w:val="bottom"/>
          </w:tcPr>
          <w:p w14:paraId="185C9E4A" w14:textId="77777777" w:rsidR="00AD0961" w:rsidRPr="00AD0961" w:rsidRDefault="00AD0961" w:rsidP="00AD0961">
            <w:pPr>
              <w:tabs>
                <w:tab w:val="right" w:pos="1202"/>
              </w:tabs>
              <w:spacing w:after="0" w:line="240" w:lineRule="exact"/>
              <w:jc w:val="right"/>
              <w:outlineLvl w:val="0"/>
              <w:rPr>
                <w:rFonts w:ascii="Calibri" w:eastAsia="Times New Roman" w:hAnsi="Calibri" w:cs="Arial"/>
                <w:b/>
                <w:bCs/>
                <w:spacing w:val="-2"/>
                <w:sz w:val="18"/>
                <w:szCs w:val="18"/>
              </w:rPr>
            </w:pPr>
          </w:p>
        </w:tc>
      </w:tr>
      <w:tr w:rsidR="00AD0961" w:rsidRPr="00AD0961" w14:paraId="728370E0" w14:textId="77777777" w:rsidTr="00AD0961">
        <w:trPr>
          <w:trHeight w:val="159"/>
        </w:trPr>
        <w:tc>
          <w:tcPr>
            <w:tcW w:w="1627" w:type="pct"/>
          </w:tcPr>
          <w:p w14:paraId="5E89260C"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Novčana sredstva i računi kod banaka</w:t>
            </w:r>
          </w:p>
        </w:tc>
        <w:tc>
          <w:tcPr>
            <w:tcW w:w="522" w:type="pct"/>
            <w:tcBorders>
              <w:top w:val="nil"/>
              <w:left w:val="nil"/>
              <w:bottom w:val="nil"/>
              <w:right w:val="nil"/>
            </w:tcBorders>
            <w:shd w:val="clear" w:color="auto" w:fill="auto"/>
            <w:vAlign w:val="bottom"/>
          </w:tcPr>
          <w:p w14:paraId="4E8592D8"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490.695</w:t>
            </w:r>
          </w:p>
        </w:tc>
        <w:tc>
          <w:tcPr>
            <w:tcW w:w="537" w:type="pct"/>
            <w:tcBorders>
              <w:top w:val="nil"/>
              <w:left w:val="nil"/>
              <w:bottom w:val="nil"/>
              <w:right w:val="nil"/>
            </w:tcBorders>
            <w:shd w:val="clear" w:color="auto" w:fill="auto"/>
            <w:vAlign w:val="bottom"/>
          </w:tcPr>
          <w:p w14:paraId="755F454D"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62F29D32"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87" w:type="pct"/>
            <w:tcBorders>
              <w:top w:val="nil"/>
              <w:left w:val="nil"/>
              <w:bottom w:val="nil"/>
              <w:right w:val="nil"/>
            </w:tcBorders>
            <w:shd w:val="clear" w:color="auto" w:fill="auto"/>
            <w:vAlign w:val="bottom"/>
          </w:tcPr>
          <w:p w14:paraId="10857BAE"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3" w:type="pct"/>
            <w:tcBorders>
              <w:top w:val="nil"/>
              <w:left w:val="nil"/>
              <w:bottom w:val="nil"/>
              <w:right w:val="nil"/>
            </w:tcBorders>
            <w:shd w:val="clear" w:color="auto" w:fill="auto"/>
            <w:vAlign w:val="bottom"/>
          </w:tcPr>
          <w:p w14:paraId="6BE686FE"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7" w:type="pct"/>
            <w:tcBorders>
              <w:top w:val="nil"/>
              <w:left w:val="nil"/>
              <w:bottom w:val="nil"/>
              <w:right w:val="nil"/>
            </w:tcBorders>
            <w:shd w:val="clear" w:color="auto" w:fill="auto"/>
            <w:vAlign w:val="bottom"/>
          </w:tcPr>
          <w:p w14:paraId="05D5B4BD"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490.695</w:t>
            </w:r>
          </w:p>
        </w:tc>
      </w:tr>
      <w:tr w:rsidR="00AD0961" w:rsidRPr="00AD0961" w14:paraId="0811D665" w14:textId="77777777" w:rsidTr="00AD0961">
        <w:trPr>
          <w:trHeight w:val="150"/>
        </w:trPr>
        <w:tc>
          <w:tcPr>
            <w:tcW w:w="1627" w:type="pct"/>
          </w:tcPr>
          <w:p w14:paraId="378E46C0"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Depoziti kod drugih banaka</w:t>
            </w:r>
          </w:p>
        </w:tc>
        <w:tc>
          <w:tcPr>
            <w:tcW w:w="522" w:type="pct"/>
            <w:tcBorders>
              <w:top w:val="nil"/>
              <w:left w:val="nil"/>
              <w:bottom w:val="nil"/>
              <w:right w:val="nil"/>
            </w:tcBorders>
            <w:shd w:val="clear" w:color="auto" w:fill="auto"/>
            <w:vAlign w:val="bottom"/>
          </w:tcPr>
          <w:p w14:paraId="683CF383"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0556D889"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23.872</w:t>
            </w:r>
          </w:p>
        </w:tc>
        <w:tc>
          <w:tcPr>
            <w:tcW w:w="537" w:type="pct"/>
            <w:tcBorders>
              <w:top w:val="nil"/>
              <w:left w:val="nil"/>
              <w:bottom w:val="nil"/>
              <w:right w:val="nil"/>
            </w:tcBorders>
            <w:shd w:val="clear" w:color="auto" w:fill="auto"/>
            <w:vAlign w:val="bottom"/>
          </w:tcPr>
          <w:p w14:paraId="6FBDC17B"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87" w:type="pct"/>
            <w:tcBorders>
              <w:top w:val="nil"/>
              <w:left w:val="nil"/>
              <w:bottom w:val="nil"/>
              <w:right w:val="nil"/>
            </w:tcBorders>
            <w:shd w:val="clear" w:color="auto" w:fill="auto"/>
            <w:vAlign w:val="bottom"/>
          </w:tcPr>
          <w:p w14:paraId="5DB470FC"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3" w:type="pct"/>
            <w:tcBorders>
              <w:top w:val="nil"/>
              <w:left w:val="nil"/>
              <w:bottom w:val="nil"/>
              <w:right w:val="nil"/>
            </w:tcBorders>
            <w:shd w:val="clear" w:color="auto" w:fill="auto"/>
            <w:vAlign w:val="bottom"/>
          </w:tcPr>
          <w:p w14:paraId="6E5F6390"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7" w:type="pct"/>
            <w:tcBorders>
              <w:top w:val="nil"/>
              <w:left w:val="nil"/>
              <w:bottom w:val="nil"/>
              <w:right w:val="nil"/>
            </w:tcBorders>
            <w:shd w:val="clear" w:color="auto" w:fill="auto"/>
            <w:vAlign w:val="bottom"/>
          </w:tcPr>
          <w:p w14:paraId="5C7B7A5B"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23.872</w:t>
            </w:r>
          </w:p>
        </w:tc>
      </w:tr>
      <w:tr w:rsidR="00AD0961" w:rsidRPr="00AD0961" w14:paraId="3C250021" w14:textId="77777777" w:rsidTr="00AD0961">
        <w:trPr>
          <w:trHeight w:val="150"/>
        </w:trPr>
        <w:tc>
          <w:tcPr>
            <w:tcW w:w="1627" w:type="pct"/>
          </w:tcPr>
          <w:p w14:paraId="2F5A924C"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Krediti financijskim institucijama*</w:t>
            </w:r>
          </w:p>
        </w:tc>
        <w:tc>
          <w:tcPr>
            <w:tcW w:w="522" w:type="pct"/>
            <w:tcBorders>
              <w:top w:val="nil"/>
              <w:left w:val="nil"/>
              <w:bottom w:val="nil"/>
              <w:right w:val="nil"/>
            </w:tcBorders>
            <w:shd w:val="clear" w:color="auto" w:fill="auto"/>
            <w:vAlign w:val="bottom"/>
          </w:tcPr>
          <w:p w14:paraId="40AB2A87"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684.891</w:t>
            </w:r>
          </w:p>
        </w:tc>
        <w:tc>
          <w:tcPr>
            <w:tcW w:w="537" w:type="pct"/>
            <w:tcBorders>
              <w:top w:val="nil"/>
              <w:left w:val="nil"/>
              <w:bottom w:val="nil"/>
              <w:right w:val="nil"/>
            </w:tcBorders>
            <w:shd w:val="clear" w:color="auto" w:fill="auto"/>
            <w:vAlign w:val="bottom"/>
          </w:tcPr>
          <w:p w14:paraId="018B4A60"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441.872</w:t>
            </w:r>
          </w:p>
        </w:tc>
        <w:tc>
          <w:tcPr>
            <w:tcW w:w="537" w:type="pct"/>
            <w:tcBorders>
              <w:top w:val="nil"/>
              <w:left w:val="nil"/>
              <w:bottom w:val="nil"/>
              <w:right w:val="nil"/>
            </w:tcBorders>
            <w:shd w:val="clear" w:color="auto" w:fill="auto"/>
            <w:vAlign w:val="bottom"/>
          </w:tcPr>
          <w:p w14:paraId="57B0E35F"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1.774.961</w:t>
            </w:r>
          </w:p>
        </w:tc>
        <w:tc>
          <w:tcPr>
            <w:tcW w:w="587" w:type="pct"/>
            <w:tcBorders>
              <w:top w:val="nil"/>
              <w:left w:val="nil"/>
              <w:bottom w:val="nil"/>
              <w:right w:val="nil"/>
            </w:tcBorders>
            <w:shd w:val="clear" w:color="auto" w:fill="auto"/>
            <w:vAlign w:val="bottom"/>
          </w:tcPr>
          <w:p w14:paraId="380F8A95"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3.131.823</w:t>
            </w:r>
          </w:p>
        </w:tc>
        <w:tc>
          <w:tcPr>
            <w:tcW w:w="593" w:type="pct"/>
            <w:tcBorders>
              <w:top w:val="nil"/>
              <w:left w:val="nil"/>
              <w:bottom w:val="nil"/>
              <w:right w:val="nil"/>
            </w:tcBorders>
            <w:shd w:val="clear" w:color="auto" w:fill="auto"/>
            <w:vAlign w:val="bottom"/>
          </w:tcPr>
          <w:p w14:paraId="4744379E"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5.855.564</w:t>
            </w:r>
          </w:p>
        </w:tc>
        <w:tc>
          <w:tcPr>
            <w:tcW w:w="597" w:type="pct"/>
            <w:tcBorders>
              <w:top w:val="nil"/>
              <w:left w:val="nil"/>
              <w:bottom w:val="nil"/>
              <w:right w:val="nil"/>
            </w:tcBorders>
            <w:shd w:val="clear" w:color="auto" w:fill="auto"/>
            <w:vAlign w:val="bottom"/>
          </w:tcPr>
          <w:p w14:paraId="1F1678CD"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11.889.111</w:t>
            </w:r>
          </w:p>
        </w:tc>
      </w:tr>
      <w:tr w:rsidR="00AD0961" w:rsidRPr="00AD0961" w14:paraId="0605A6C8" w14:textId="77777777" w:rsidTr="00AD0961">
        <w:trPr>
          <w:trHeight w:val="158"/>
        </w:trPr>
        <w:tc>
          <w:tcPr>
            <w:tcW w:w="1627" w:type="pct"/>
          </w:tcPr>
          <w:p w14:paraId="7282B98B"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Krediti ostalim korisnicima</w:t>
            </w:r>
          </w:p>
        </w:tc>
        <w:tc>
          <w:tcPr>
            <w:tcW w:w="522" w:type="pct"/>
            <w:tcBorders>
              <w:top w:val="nil"/>
              <w:left w:val="nil"/>
              <w:bottom w:val="nil"/>
              <w:right w:val="nil"/>
            </w:tcBorders>
            <w:shd w:val="clear" w:color="auto" w:fill="auto"/>
            <w:vAlign w:val="bottom"/>
          </w:tcPr>
          <w:p w14:paraId="1C14F53F"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1.423.234</w:t>
            </w:r>
          </w:p>
        </w:tc>
        <w:tc>
          <w:tcPr>
            <w:tcW w:w="537" w:type="pct"/>
            <w:tcBorders>
              <w:top w:val="nil"/>
              <w:left w:val="nil"/>
              <w:bottom w:val="nil"/>
              <w:right w:val="nil"/>
            </w:tcBorders>
            <w:shd w:val="clear" w:color="auto" w:fill="auto"/>
            <w:vAlign w:val="bottom"/>
          </w:tcPr>
          <w:p w14:paraId="6B112D27"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385.784</w:t>
            </w:r>
          </w:p>
        </w:tc>
        <w:tc>
          <w:tcPr>
            <w:tcW w:w="537" w:type="pct"/>
            <w:tcBorders>
              <w:top w:val="nil"/>
              <w:left w:val="nil"/>
              <w:bottom w:val="nil"/>
              <w:right w:val="nil"/>
            </w:tcBorders>
            <w:shd w:val="clear" w:color="auto" w:fill="auto"/>
            <w:vAlign w:val="bottom"/>
          </w:tcPr>
          <w:p w14:paraId="0CFE2503"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948.959</w:t>
            </w:r>
          </w:p>
        </w:tc>
        <w:tc>
          <w:tcPr>
            <w:tcW w:w="587" w:type="pct"/>
            <w:tcBorders>
              <w:top w:val="nil"/>
              <w:left w:val="nil"/>
              <w:bottom w:val="nil"/>
              <w:right w:val="nil"/>
            </w:tcBorders>
            <w:shd w:val="clear" w:color="auto" w:fill="auto"/>
            <w:vAlign w:val="bottom"/>
          </w:tcPr>
          <w:p w14:paraId="0CDE90AD"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1.850.611</w:t>
            </w:r>
          </w:p>
        </w:tc>
        <w:tc>
          <w:tcPr>
            <w:tcW w:w="593" w:type="pct"/>
            <w:tcBorders>
              <w:top w:val="nil"/>
              <w:left w:val="nil"/>
              <w:bottom w:val="nil"/>
              <w:right w:val="nil"/>
            </w:tcBorders>
            <w:shd w:val="clear" w:color="auto" w:fill="auto"/>
            <w:vAlign w:val="bottom"/>
          </w:tcPr>
          <w:p w14:paraId="5160F33F"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6.902.606</w:t>
            </w:r>
          </w:p>
        </w:tc>
        <w:tc>
          <w:tcPr>
            <w:tcW w:w="597" w:type="pct"/>
            <w:tcBorders>
              <w:top w:val="nil"/>
              <w:left w:val="nil"/>
              <w:bottom w:val="nil"/>
              <w:right w:val="nil"/>
            </w:tcBorders>
            <w:shd w:val="clear" w:color="auto" w:fill="auto"/>
            <w:vAlign w:val="bottom"/>
          </w:tcPr>
          <w:p w14:paraId="0F608CC9"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11.511.194</w:t>
            </w:r>
          </w:p>
        </w:tc>
      </w:tr>
      <w:tr w:rsidR="00AD0961" w:rsidRPr="00AD0961" w14:paraId="409F351F" w14:textId="77777777" w:rsidTr="00AD0961">
        <w:trPr>
          <w:trHeight w:val="150"/>
        </w:trPr>
        <w:tc>
          <w:tcPr>
            <w:tcW w:w="1627" w:type="pct"/>
          </w:tcPr>
          <w:p w14:paraId="21DBFD22"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Imovina raspoloživa za prodaju</w:t>
            </w:r>
          </w:p>
        </w:tc>
        <w:tc>
          <w:tcPr>
            <w:tcW w:w="522" w:type="pct"/>
            <w:tcBorders>
              <w:top w:val="nil"/>
              <w:left w:val="nil"/>
              <w:bottom w:val="nil"/>
              <w:right w:val="nil"/>
            </w:tcBorders>
            <w:shd w:val="clear" w:color="auto" w:fill="auto"/>
            <w:vAlign w:val="bottom"/>
          </w:tcPr>
          <w:p w14:paraId="0F8AB6DB"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3.329.585</w:t>
            </w:r>
          </w:p>
        </w:tc>
        <w:tc>
          <w:tcPr>
            <w:tcW w:w="537" w:type="pct"/>
            <w:tcBorders>
              <w:top w:val="nil"/>
              <w:left w:val="nil"/>
              <w:bottom w:val="nil"/>
              <w:right w:val="nil"/>
            </w:tcBorders>
            <w:shd w:val="clear" w:color="auto" w:fill="auto"/>
            <w:vAlign w:val="bottom"/>
          </w:tcPr>
          <w:p w14:paraId="57959732"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13.989</w:t>
            </w:r>
          </w:p>
        </w:tc>
        <w:tc>
          <w:tcPr>
            <w:tcW w:w="537" w:type="pct"/>
            <w:tcBorders>
              <w:top w:val="nil"/>
              <w:left w:val="nil"/>
              <w:bottom w:val="nil"/>
              <w:right w:val="nil"/>
            </w:tcBorders>
            <w:shd w:val="clear" w:color="auto" w:fill="auto"/>
            <w:vAlign w:val="bottom"/>
          </w:tcPr>
          <w:p w14:paraId="20D63661"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87" w:type="pct"/>
            <w:tcBorders>
              <w:top w:val="nil"/>
              <w:left w:val="nil"/>
              <w:bottom w:val="nil"/>
              <w:right w:val="nil"/>
            </w:tcBorders>
            <w:shd w:val="clear" w:color="auto" w:fill="auto"/>
            <w:vAlign w:val="bottom"/>
          </w:tcPr>
          <w:p w14:paraId="54F0D937"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3" w:type="pct"/>
            <w:tcBorders>
              <w:top w:val="nil"/>
              <w:left w:val="nil"/>
              <w:bottom w:val="nil"/>
              <w:right w:val="nil"/>
            </w:tcBorders>
            <w:shd w:val="clear" w:color="auto" w:fill="auto"/>
            <w:vAlign w:val="bottom"/>
          </w:tcPr>
          <w:p w14:paraId="36C9F2BD"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7" w:type="pct"/>
            <w:tcBorders>
              <w:top w:val="nil"/>
              <w:left w:val="nil"/>
              <w:bottom w:val="nil"/>
              <w:right w:val="nil"/>
            </w:tcBorders>
            <w:shd w:val="clear" w:color="auto" w:fill="auto"/>
            <w:vAlign w:val="bottom"/>
          </w:tcPr>
          <w:p w14:paraId="7C721BBE"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3.343.574</w:t>
            </w:r>
          </w:p>
        </w:tc>
      </w:tr>
      <w:tr w:rsidR="00AD0961" w:rsidRPr="00AD0961" w14:paraId="196B5783" w14:textId="77777777" w:rsidTr="00AD0961">
        <w:trPr>
          <w:trHeight w:val="150"/>
        </w:trPr>
        <w:tc>
          <w:tcPr>
            <w:tcW w:w="1627" w:type="pct"/>
          </w:tcPr>
          <w:p w14:paraId="36C5ABB9" w14:textId="77777777" w:rsidR="00AD0961" w:rsidRPr="00AD0961" w:rsidRDefault="00AD0961" w:rsidP="00AD0961">
            <w:pPr>
              <w:tabs>
                <w:tab w:val="right" w:pos="1202"/>
              </w:tabs>
              <w:spacing w:after="0" w:line="240" w:lineRule="exact"/>
              <w:outlineLvl w:val="0"/>
              <w:rPr>
                <w:rFonts w:ascii="Calibri" w:eastAsia="Times New Roman" w:hAnsi="Calibri" w:cs="Arial"/>
                <w:spacing w:val="-2"/>
                <w:sz w:val="18"/>
                <w:szCs w:val="18"/>
              </w:rPr>
            </w:pPr>
            <w:r w:rsidRPr="00AD0961">
              <w:rPr>
                <w:rFonts w:ascii="Calibri" w:eastAsia="Times New Roman" w:hAnsi="Calibri" w:cs="Arial"/>
                <w:spacing w:val="-2"/>
                <w:sz w:val="18"/>
                <w:szCs w:val="18"/>
              </w:rPr>
              <w:t>Ulaganje u ovisno društvo</w:t>
            </w:r>
          </w:p>
        </w:tc>
        <w:tc>
          <w:tcPr>
            <w:tcW w:w="522" w:type="pct"/>
            <w:tcBorders>
              <w:top w:val="nil"/>
              <w:left w:val="nil"/>
              <w:bottom w:val="nil"/>
              <w:right w:val="nil"/>
            </w:tcBorders>
            <w:shd w:val="clear" w:color="auto" w:fill="auto"/>
            <w:vAlign w:val="bottom"/>
          </w:tcPr>
          <w:p w14:paraId="58599A4B"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00811108"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727714F4"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87" w:type="pct"/>
            <w:tcBorders>
              <w:top w:val="nil"/>
              <w:left w:val="nil"/>
              <w:bottom w:val="nil"/>
              <w:right w:val="nil"/>
            </w:tcBorders>
            <w:shd w:val="clear" w:color="auto" w:fill="auto"/>
            <w:vAlign w:val="bottom"/>
          </w:tcPr>
          <w:p w14:paraId="5D6BC58F"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3" w:type="pct"/>
            <w:tcBorders>
              <w:top w:val="nil"/>
              <w:left w:val="nil"/>
              <w:bottom w:val="nil"/>
              <w:right w:val="nil"/>
            </w:tcBorders>
            <w:shd w:val="clear" w:color="auto" w:fill="auto"/>
            <w:vAlign w:val="bottom"/>
          </w:tcPr>
          <w:p w14:paraId="0A86DA24"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36.124</w:t>
            </w:r>
          </w:p>
        </w:tc>
        <w:tc>
          <w:tcPr>
            <w:tcW w:w="597" w:type="pct"/>
            <w:tcBorders>
              <w:top w:val="nil"/>
              <w:left w:val="nil"/>
              <w:bottom w:val="nil"/>
              <w:right w:val="nil"/>
            </w:tcBorders>
            <w:shd w:val="clear" w:color="auto" w:fill="auto"/>
            <w:vAlign w:val="bottom"/>
          </w:tcPr>
          <w:p w14:paraId="726B4CB9"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36.124</w:t>
            </w:r>
          </w:p>
        </w:tc>
      </w:tr>
      <w:tr w:rsidR="00AD0961" w:rsidRPr="00AD0961" w14:paraId="5855E2B8" w14:textId="77777777" w:rsidTr="00AD0961">
        <w:trPr>
          <w:trHeight w:val="150"/>
        </w:trPr>
        <w:tc>
          <w:tcPr>
            <w:tcW w:w="1627" w:type="pct"/>
          </w:tcPr>
          <w:p w14:paraId="4608EB45"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Ulaganja u pridružena društva</w:t>
            </w:r>
          </w:p>
        </w:tc>
        <w:tc>
          <w:tcPr>
            <w:tcW w:w="522" w:type="pct"/>
            <w:tcBorders>
              <w:top w:val="nil"/>
              <w:left w:val="nil"/>
              <w:bottom w:val="nil"/>
              <w:right w:val="nil"/>
            </w:tcBorders>
            <w:shd w:val="clear" w:color="auto" w:fill="auto"/>
            <w:vAlign w:val="bottom"/>
          </w:tcPr>
          <w:p w14:paraId="5F36961F"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4C2A1E38"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06D626F5"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87" w:type="pct"/>
            <w:tcBorders>
              <w:top w:val="nil"/>
              <w:left w:val="nil"/>
              <w:bottom w:val="nil"/>
              <w:right w:val="nil"/>
            </w:tcBorders>
            <w:shd w:val="clear" w:color="auto" w:fill="auto"/>
            <w:vAlign w:val="bottom"/>
          </w:tcPr>
          <w:p w14:paraId="60A14BF6"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3" w:type="pct"/>
            <w:tcBorders>
              <w:top w:val="nil"/>
              <w:left w:val="nil"/>
              <w:bottom w:val="nil"/>
              <w:right w:val="nil"/>
            </w:tcBorders>
            <w:shd w:val="clear" w:color="auto" w:fill="auto"/>
            <w:vAlign w:val="bottom"/>
          </w:tcPr>
          <w:p w14:paraId="26EBF6BC"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7" w:type="pct"/>
            <w:tcBorders>
              <w:top w:val="nil"/>
              <w:left w:val="nil"/>
              <w:bottom w:val="nil"/>
              <w:right w:val="nil"/>
            </w:tcBorders>
            <w:shd w:val="clear" w:color="auto" w:fill="auto"/>
            <w:vAlign w:val="bottom"/>
          </w:tcPr>
          <w:p w14:paraId="45654005"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w:t>
            </w:r>
          </w:p>
        </w:tc>
      </w:tr>
      <w:tr w:rsidR="00AD0961" w:rsidRPr="00AD0961" w14:paraId="0A642AD7" w14:textId="77777777" w:rsidTr="00AD0961">
        <w:trPr>
          <w:trHeight w:val="303"/>
        </w:trPr>
        <w:tc>
          <w:tcPr>
            <w:tcW w:w="1627" w:type="pct"/>
          </w:tcPr>
          <w:p w14:paraId="71E7A40D"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Nekretnine, postrojenja i oprema i nematerijalna imovina</w:t>
            </w:r>
          </w:p>
        </w:tc>
        <w:tc>
          <w:tcPr>
            <w:tcW w:w="522" w:type="pct"/>
            <w:tcBorders>
              <w:top w:val="nil"/>
              <w:left w:val="nil"/>
              <w:bottom w:val="nil"/>
              <w:right w:val="nil"/>
            </w:tcBorders>
            <w:shd w:val="clear" w:color="auto" w:fill="auto"/>
            <w:vAlign w:val="bottom"/>
          </w:tcPr>
          <w:p w14:paraId="5E8D868C"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766FA490"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3409243F"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87" w:type="pct"/>
            <w:tcBorders>
              <w:top w:val="nil"/>
              <w:left w:val="nil"/>
              <w:bottom w:val="nil"/>
              <w:right w:val="nil"/>
            </w:tcBorders>
            <w:shd w:val="clear" w:color="auto" w:fill="auto"/>
            <w:vAlign w:val="bottom"/>
          </w:tcPr>
          <w:p w14:paraId="5DC04925"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3" w:type="pct"/>
            <w:tcBorders>
              <w:top w:val="nil"/>
              <w:left w:val="nil"/>
              <w:bottom w:val="nil"/>
              <w:right w:val="nil"/>
            </w:tcBorders>
            <w:shd w:val="clear" w:color="auto" w:fill="auto"/>
            <w:vAlign w:val="bottom"/>
          </w:tcPr>
          <w:p w14:paraId="34C2FC7D"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57.216</w:t>
            </w:r>
          </w:p>
        </w:tc>
        <w:tc>
          <w:tcPr>
            <w:tcW w:w="597" w:type="pct"/>
            <w:tcBorders>
              <w:top w:val="nil"/>
              <w:left w:val="nil"/>
              <w:bottom w:val="nil"/>
              <w:right w:val="nil"/>
            </w:tcBorders>
            <w:shd w:val="clear" w:color="auto" w:fill="auto"/>
            <w:vAlign w:val="bottom"/>
          </w:tcPr>
          <w:p w14:paraId="375D1E67"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57.216</w:t>
            </w:r>
          </w:p>
        </w:tc>
      </w:tr>
      <w:tr w:rsidR="00AD0961" w:rsidRPr="00AD0961" w14:paraId="4D7536DC" w14:textId="77777777" w:rsidTr="00AD0961">
        <w:trPr>
          <w:trHeight w:val="139"/>
        </w:trPr>
        <w:tc>
          <w:tcPr>
            <w:tcW w:w="1627" w:type="pct"/>
          </w:tcPr>
          <w:p w14:paraId="3FCC3047"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Dugotrajna imovina namijenjena prodaji</w:t>
            </w:r>
          </w:p>
        </w:tc>
        <w:tc>
          <w:tcPr>
            <w:tcW w:w="522" w:type="pct"/>
            <w:tcBorders>
              <w:top w:val="nil"/>
              <w:left w:val="nil"/>
              <w:bottom w:val="nil"/>
              <w:right w:val="nil"/>
            </w:tcBorders>
            <w:shd w:val="clear" w:color="auto" w:fill="auto"/>
            <w:vAlign w:val="bottom"/>
          </w:tcPr>
          <w:p w14:paraId="1764FA26"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17DD3BEE"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1D50CED0"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27</w:t>
            </w:r>
          </w:p>
        </w:tc>
        <w:tc>
          <w:tcPr>
            <w:tcW w:w="587" w:type="pct"/>
            <w:tcBorders>
              <w:top w:val="nil"/>
              <w:left w:val="nil"/>
              <w:bottom w:val="nil"/>
              <w:right w:val="nil"/>
            </w:tcBorders>
            <w:shd w:val="clear" w:color="auto" w:fill="auto"/>
            <w:vAlign w:val="bottom"/>
          </w:tcPr>
          <w:p w14:paraId="401AC1A0"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11.450</w:t>
            </w:r>
          </w:p>
        </w:tc>
        <w:tc>
          <w:tcPr>
            <w:tcW w:w="593" w:type="pct"/>
            <w:tcBorders>
              <w:top w:val="nil"/>
              <w:left w:val="nil"/>
              <w:bottom w:val="nil"/>
              <w:right w:val="nil"/>
            </w:tcBorders>
            <w:shd w:val="clear" w:color="auto" w:fill="auto"/>
            <w:vAlign w:val="bottom"/>
          </w:tcPr>
          <w:p w14:paraId="5D82FC94"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5.753</w:t>
            </w:r>
          </w:p>
        </w:tc>
        <w:tc>
          <w:tcPr>
            <w:tcW w:w="597" w:type="pct"/>
            <w:tcBorders>
              <w:top w:val="nil"/>
              <w:left w:val="nil"/>
              <w:bottom w:val="nil"/>
              <w:right w:val="nil"/>
            </w:tcBorders>
            <w:shd w:val="clear" w:color="auto" w:fill="auto"/>
            <w:vAlign w:val="bottom"/>
          </w:tcPr>
          <w:p w14:paraId="0520915C"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17.230</w:t>
            </w:r>
          </w:p>
        </w:tc>
      </w:tr>
      <w:tr w:rsidR="00AD0961" w:rsidRPr="00AD0961" w14:paraId="6BBEA0AB" w14:textId="77777777" w:rsidTr="00AD0961">
        <w:trPr>
          <w:trHeight w:val="150"/>
        </w:trPr>
        <w:tc>
          <w:tcPr>
            <w:tcW w:w="1627" w:type="pct"/>
          </w:tcPr>
          <w:p w14:paraId="24C677DB"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Ostala imovina</w:t>
            </w:r>
          </w:p>
        </w:tc>
        <w:tc>
          <w:tcPr>
            <w:tcW w:w="522" w:type="pct"/>
            <w:tcBorders>
              <w:top w:val="nil"/>
              <w:left w:val="nil"/>
              <w:bottom w:val="nil"/>
              <w:right w:val="nil"/>
            </w:tcBorders>
            <w:shd w:val="clear" w:color="auto" w:fill="auto"/>
            <w:vAlign w:val="bottom"/>
          </w:tcPr>
          <w:p w14:paraId="6CF0CF8B"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3.505</w:t>
            </w:r>
          </w:p>
        </w:tc>
        <w:tc>
          <w:tcPr>
            <w:tcW w:w="537" w:type="pct"/>
            <w:tcBorders>
              <w:top w:val="nil"/>
              <w:left w:val="nil"/>
              <w:bottom w:val="nil"/>
              <w:right w:val="nil"/>
            </w:tcBorders>
            <w:shd w:val="clear" w:color="auto" w:fill="auto"/>
            <w:vAlign w:val="bottom"/>
          </w:tcPr>
          <w:p w14:paraId="6D56F02B"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326</w:t>
            </w:r>
          </w:p>
        </w:tc>
        <w:tc>
          <w:tcPr>
            <w:tcW w:w="537" w:type="pct"/>
            <w:tcBorders>
              <w:top w:val="nil"/>
              <w:left w:val="nil"/>
              <w:bottom w:val="nil"/>
              <w:right w:val="nil"/>
            </w:tcBorders>
            <w:shd w:val="clear" w:color="auto" w:fill="auto"/>
            <w:vAlign w:val="bottom"/>
          </w:tcPr>
          <w:p w14:paraId="3B489862"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504</w:t>
            </w:r>
          </w:p>
        </w:tc>
        <w:tc>
          <w:tcPr>
            <w:tcW w:w="587" w:type="pct"/>
            <w:tcBorders>
              <w:top w:val="nil"/>
              <w:left w:val="nil"/>
              <w:bottom w:val="nil"/>
              <w:right w:val="nil"/>
            </w:tcBorders>
            <w:shd w:val="clear" w:color="auto" w:fill="auto"/>
            <w:vAlign w:val="bottom"/>
          </w:tcPr>
          <w:p w14:paraId="6B0ABDB1"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620</w:t>
            </w:r>
          </w:p>
        </w:tc>
        <w:tc>
          <w:tcPr>
            <w:tcW w:w="593" w:type="pct"/>
            <w:tcBorders>
              <w:top w:val="nil"/>
              <w:left w:val="nil"/>
              <w:bottom w:val="nil"/>
              <w:right w:val="nil"/>
            </w:tcBorders>
            <w:shd w:val="clear" w:color="auto" w:fill="auto"/>
            <w:vAlign w:val="bottom"/>
          </w:tcPr>
          <w:p w14:paraId="161C2431"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945</w:t>
            </w:r>
          </w:p>
        </w:tc>
        <w:tc>
          <w:tcPr>
            <w:tcW w:w="597" w:type="pct"/>
            <w:tcBorders>
              <w:top w:val="nil"/>
              <w:left w:val="nil"/>
              <w:bottom w:val="nil"/>
              <w:right w:val="nil"/>
            </w:tcBorders>
            <w:shd w:val="clear" w:color="auto" w:fill="auto"/>
            <w:vAlign w:val="bottom"/>
          </w:tcPr>
          <w:p w14:paraId="50A52D10"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5.900</w:t>
            </w:r>
          </w:p>
        </w:tc>
      </w:tr>
      <w:tr w:rsidR="00AD0961" w:rsidRPr="00AD0961" w14:paraId="76AD79F9" w14:textId="77777777" w:rsidTr="00AD0961">
        <w:trPr>
          <w:trHeight w:val="150"/>
        </w:trPr>
        <w:tc>
          <w:tcPr>
            <w:tcW w:w="1627" w:type="pct"/>
          </w:tcPr>
          <w:p w14:paraId="0B26A281" w14:textId="77777777" w:rsidR="00AD0961" w:rsidRPr="00AD0961" w:rsidRDefault="00AD0961" w:rsidP="00AD0961">
            <w:pPr>
              <w:tabs>
                <w:tab w:val="right" w:pos="1202"/>
              </w:tabs>
              <w:spacing w:after="0" w:line="240" w:lineRule="exact"/>
              <w:outlineLvl w:val="0"/>
              <w:rPr>
                <w:rFonts w:ascii="Calibri" w:eastAsia="Times New Roman" w:hAnsi="Calibri" w:cs="Arial"/>
                <w:b/>
                <w:bCs/>
                <w:sz w:val="18"/>
                <w:szCs w:val="18"/>
              </w:rPr>
            </w:pPr>
            <w:r w:rsidRPr="00AD0961">
              <w:rPr>
                <w:rFonts w:ascii="Calibri" w:eastAsia="Times New Roman" w:hAnsi="Calibri" w:cs="Arial"/>
                <w:b/>
                <w:bCs/>
                <w:sz w:val="18"/>
                <w:szCs w:val="18"/>
              </w:rPr>
              <w:t>Ukupna imovina (1)</w:t>
            </w:r>
          </w:p>
        </w:tc>
        <w:tc>
          <w:tcPr>
            <w:tcW w:w="522" w:type="pct"/>
            <w:tcBorders>
              <w:top w:val="single" w:sz="4" w:space="0" w:color="auto"/>
              <w:left w:val="nil"/>
              <w:bottom w:val="single" w:sz="8" w:space="0" w:color="auto"/>
              <w:right w:val="nil"/>
            </w:tcBorders>
            <w:shd w:val="clear" w:color="auto" w:fill="auto"/>
            <w:vAlign w:val="bottom"/>
          </w:tcPr>
          <w:p w14:paraId="6434F55E"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5.931.910</w:t>
            </w:r>
          </w:p>
        </w:tc>
        <w:tc>
          <w:tcPr>
            <w:tcW w:w="537" w:type="pct"/>
            <w:tcBorders>
              <w:top w:val="single" w:sz="4" w:space="0" w:color="auto"/>
              <w:left w:val="nil"/>
              <w:bottom w:val="single" w:sz="8" w:space="0" w:color="auto"/>
              <w:right w:val="nil"/>
            </w:tcBorders>
            <w:shd w:val="clear" w:color="auto" w:fill="auto"/>
            <w:vAlign w:val="bottom"/>
          </w:tcPr>
          <w:p w14:paraId="5EB6146D"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865.843</w:t>
            </w:r>
          </w:p>
        </w:tc>
        <w:tc>
          <w:tcPr>
            <w:tcW w:w="537" w:type="pct"/>
            <w:tcBorders>
              <w:top w:val="single" w:sz="4" w:space="0" w:color="auto"/>
              <w:left w:val="nil"/>
              <w:bottom w:val="single" w:sz="8" w:space="0" w:color="auto"/>
              <w:right w:val="nil"/>
            </w:tcBorders>
            <w:shd w:val="clear" w:color="auto" w:fill="auto"/>
            <w:vAlign w:val="bottom"/>
          </w:tcPr>
          <w:p w14:paraId="0A3A8E6A"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2.724.451</w:t>
            </w:r>
          </w:p>
        </w:tc>
        <w:tc>
          <w:tcPr>
            <w:tcW w:w="587" w:type="pct"/>
            <w:tcBorders>
              <w:top w:val="single" w:sz="4" w:space="0" w:color="auto"/>
              <w:left w:val="nil"/>
              <w:bottom w:val="single" w:sz="8" w:space="0" w:color="auto"/>
              <w:right w:val="nil"/>
            </w:tcBorders>
            <w:shd w:val="clear" w:color="auto" w:fill="auto"/>
            <w:vAlign w:val="bottom"/>
          </w:tcPr>
          <w:p w14:paraId="037632CE"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4.994.504</w:t>
            </w:r>
          </w:p>
        </w:tc>
        <w:tc>
          <w:tcPr>
            <w:tcW w:w="593" w:type="pct"/>
            <w:tcBorders>
              <w:top w:val="single" w:sz="4" w:space="0" w:color="auto"/>
              <w:left w:val="nil"/>
              <w:bottom w:val="single" w:sz="8" w:space="0" w:color="auto"/>
              <w:right w:val="nil"/>
            </w:tcBorders>
            <w:shd w:val="clear" w:color="auto" w:fill="auto"/>
            <w:vAlign w:val="bottom"/>
          </w:tcPr>
          <w:p w14:paraId="6887C873"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12.858.208</w:t>
            </w:r>
          </w:p>
        </w:tc>
        <w:tc>
          <w:tcPr>
            <w:tcW w:w="597" w:type="pct"/>
            <w:tcBorders>
              <w:top w:val="single" w:sz="4" w:space="0" w:color="auto"/>
              <w:left w:val="nil"/>
              <w:bottom w:val="single" w:sz="8" w:space="0" w:color="auto"/>
              <w:right w:val="nil"/>
            </w:tcBorders>
            <w:shd w:val="clear" w:color="auto" w:fill="auto"/>
            <w:vAlign w:val="bottom"/>
          </w:tcPr>
          <w:p w14:paraId="3C21C5C9"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27.374.916</w:t>
            </w:r>
          </w:p>
        </w:tc>
      </w:tr>
      <w:tr w:rsidR="00AD0961" w:rsidRPr="00AD0961" w14:paraId="18D11F53" w14:textId="77777777" w:rsidTr="00AD0961">
        <w:tblPrEx>
          <w:tblCellMar>
            <w:left w:w="108" w:type="dxa"/>
            <w:right w:w="108" w:type="dxa"/>
          </w:tblCellMar>
        </w:tblPrEx>
        <w:trPr>
          <w:trHeight w:val="21"/>
        </w:trPr>
        <w:tc>
          <w:tcPr>
            <w:tcW w:w="1627" w:type="pct"/>
          </w:tcPr>
          <w:p w14:paraId="782D2A02" w14:textId="77777777" w:rsidR="00AD0961" w:rsidRPr="00AD0961" w:rsidRDefault="00AD0961" w:rsidP="00AD0961">
            <w:pPr>
              <w:keepNext/>
              <w:keepLines/>
              <w:tabs>
                <w:tab w:val="decimal" w:pos="1202"/>
              </w:tabs>
              <w:spacing w:after="0" w:line="140" w:lineRule="exact"/>
              <w:rPr>
                <w:rFonts w:ascii="Calibri" w:eastAsia="Times New Roman" w:hAnsi="Calibri" w:cs="Arial"/>
                <w:b/>
                <w:bCs/>
                <w:position w:val="4"/>
                <w:sz w:val="18"/>
                <w:szCs w:val="18"/>
              </w:rPr>
            </w:pPr>
          </w:p>
        </w:tc>
        <w:tc>
          <w:tcPr>
            <w:tcW w:w="522" w:type="pct"/>
            <w:tcBorders>
              <w:top w:val="single" w:sz="12" w:space="0" w:color="auto"/>
            </w:tcBorders>
            <w:vAlign w:val="bottom"/>
          </w:tcPr>
          <w:p w14:paraId="77B185EF" w14:textId="77777777" w:rsidR="00AD0961" w:rsidRPr="00AD0961" w:rsidRDefault="00AD0961" w:rsidP="00AD0961">
            <w:pPr>
              <w:keepNext/>
              <w:keepLines/>
              <w:tabs>
                <w:tab w:val="decimal" w:pos="1202"/>
              </w:tabs>
              <w:spacing w:after="0" w:line="140" w:lineRule="exact"/>
              <w:jc w:val="right"/>
              <w:rPr>
                <w:rFonts w:ascii="Calibri" w:eastAsia="Times New Roman" w:hAnsi="Calibri" w:cs="Arial"/>
                <w:b/>
                <w:bCs/>
                <w:position w:val="4"/>
                <w:sz w:val="18"/>
                <w:szCs w:val="18"/>
              </w:rPr>
            </w:pPr>
          </w:p>
        </w:tc>
        <w:tc>
          <w:tcPr>
            <w:tcW w:w="537" w:type="pct"/>
            <w:tcBorders>
              <w:top w:val="single" w:sz="12" w:space="0" w:color="auto"/>
            </w:tcBorders>
            <w:vAlign w:val="bottom"/>
          </w:tcPr>
          <w:p w14:paraId="706C21B9" w14:textId="77777777" w:rsidR="00AD0961" w:rsidRPr="00AD0961" w:rsidRDefault="00AD0961" w:rsidP="00AD0961">
            <w:pPr>
              <w:keepNext/>
              <w:keepLines/>
              <w:tabs>
                <w:tab w:val="decimal" w:pos="1202"/>
              </w:tabs>
              <w:spacing w:after="0" w:line="140" w:lineRule="exact"/>
              <w:jc w:val="right"/>
              <w:rPr>
                <w:rFonts w:ascii="Calibri" w:eastAsia="Times New Roman" w:hAnsi="Calibri" w:cs="Arial"/>
                <w:b/>
                <w:bCs/>
                <w:position w:val="4"/>
                <w:sz w:val="18"/>
                <w:szCs w:val="18"/>
              </w:rPr>
            </w:pPr>
          </w:p>
        </w:tc>
        <w:tc>
          <w:tcPr>
            <w:tcW w:w="537" w:type="pct"/>
            <w:tcBorders>
              <w:top w:val="single" w:sz="12" w:space="0" w:color="auto"/>
            </w:tcBorders>
            <w:vAlign w:val="bottom"/>
          </w:tcPr>
          <w:p w14:paraId="7F56B8CE" w14:textId="77777777" w:rsidR="00AD0961" w:rsidRPr="00AD0961" w:rsidRDefault="00AD0961" w:rsidP="00AD0961">
            <w:pPr>
              <w:keepNext/>
              <w:keepLines/>
              <w:tabs>
                <w:tab w:val="decimal" w:pos="1202"/>
              </w:tabs>
              <w:spacing w:after="0" w:line="140" w:lineRule="exact"/>
              <w:jc w:val="right"/>
              <w:rPr>
                <w:rFonts w:ascii="Calibri" w:eastAsia="Times New Roman" w:hAnsi="Calibri" w:cs="Arial"/>
                <w:b/>
                <w:bCs/>
                <w:position w:val="4"/>
                <w:sz w:val="18"/>
                <w:szCs w:val="18"/>
              </w:rPr>
            </w:pPr>
          </w:p>
        </w:tc>
        <w:tc>
          <w:tcPr>
            <w:tcW w:w="587" w:type="pct"/>
            <w:tcBorders>
              <w:top w:val="single" w:sz="12" w:space="0" w:color="auto"/>
            </w:tcBorders>
            <w:vAlign w:val="bottom"/>
          </w:tcPr>
          <w:p w14:paraId="3CFCA7C1" w14:textId="77777777" w:rsidR="00AD0961" w:rsidRPr="00AD0961" w:rsidRDefault="00AD0961" w:rsidP="00AD0961">
            <w:pPr>
              <w:keepNext/>
              <w:keepLines/>
              <w:tabs>
                <w:tab w:val="decimal" w:pos="1202"/>
              </w:tabs>
              <w:spacing w:after="0" w:line="140" w:lineRule="exact"/>
              <w:jc w:val="right"/>
              <w:rPr>
                <w:rFonts w:ascii="Calibri" w:eastAsia="Times New Roman" w:hAnsi="Calibri" w:cs="Arial"/>
                <w:b/>
                <w:bCs/>
                <w:position w:val="4"/>
                <w:sz w:val="18"/>
                <w:szCs w:val="18"/>
              </w:rPr>
            </w:pPr>
          </w:p>
        </w:tc>
        <w:tc>
          <w:tcPr>
            <w:tcW w:w="593" w:type="pct"/>
            <w:tcBorders>
              <w:top w:val="single" w:sz="12" w:space="0" w:color="auto"/>
            </w:tcBorders>
            <w:vAlign w:val="bottom"/>
          </w:tcPr>
          <w:p w14:paraId="43BC66C3" w14:textId="77777777" w:rsidR="00AD0961" w:rsidRPr="00AD0961" w:rsidRDefault="00AD0961" w:rsidP="00AD0961">
            <w:pPr>
              <w:keepNext/>
              <w:keepLines/>
              <w:tabs>
                <w:tab w:val="decimal" w:pos="1202"/>
              </w:tabs>
              <w:spacing w:after="0" w:line="140" w:lineRule="exact"/>
              <w:jc w:val="right"/>
              <w:rPr>
                <w:rFonts w:ascii="Calibri" w:eastAsia="Times New Roman" w:hAnsi="Calibri" w:cs="Arial"/>
                <w:b/>
                <w:bCs/>
                <w:position w:val="4"/>
                <w:sz w:val="18"/>
                <w:szCs w:val="18"/>
              </w:rPr>
            </w:pPr>
          </w:p>
        </w:tc>
        <w:tc>
          <w:tcPr>
            <w:tcW w:w="597" w:type="pct"/>
            <w:tcBorders>
              <w:top w:val="single" w:sz="12" w:space="0" w:color="auto"/>
            </w:tcBorders>
            <w:vAlign w:val="bottom"/>
          </w:tcPr>
          <w:p w14:paraId="2DBF23E7" w14:textId="77777777" w:rsidR="00AD0961" w:rsidRPr="00AD0961" w:rsidRDefault="00AD0961" w:rsidP="00AD0961">
            <w:pPr>
              <w:keepNext/>
              <w:keepLines/>
              <w:tabs>
                <w:tab w:val="decimal" w:pos="1202"/>
              </w:tabs>
              <w:spacing w:after="0" w:line="140" w:lineRule="exact"/>
              <w:jc w:val="right"/>
              <w:rPr>
                <w:rFonts w:ascii="Calibri" w:eastAsia="Times New Roman" w:hAnsi="Calibri" w:cs="Arial"/>
                <w:b/>
                <w:bCs/>
                <w:position w:val="4"/>
                <w:sz w:val="18"/>
                <w:szCs w:val="18"/>
              </w:rPr>
            </w:pPr>
          </w:p>
        </w:tc>
      </w:tr>
      <w:tr w:rsidR="00AD0961" w:rsidRPr="00AD0961" w14:paraId="2DBDF215" w14:textId="77777777" w:rsidTr="00AD0961">
        <w:trPr>
          <w:trHeight w:val="150"/>
        </w:trPr>
        <w:tc>
          <w:tcPr>
            <w:tcW w:w="1627" w:type="pct"/>
          </w:tcPr>
          <w:p w14:paraId="29AB74CB" w14:textId="77777777" w:rsidR="00AD0961" w:rsidRPr="00AD0961" w:rsidRDefault="00AD0961" w:rsidP="00AD0961">
            <w:pPr>
              <w:tabs>
                <w:tab w:val="left" w:pos="0"/>
                <w:tab w:val="decimal" w:pos="1202"/>
              </w:tabs>
              <w:spacing w:after="0" w:line="240" w:lineRule="exact"/>
              <w:jc w:val="both"/>
              <w:rPr>
                <w:rFonts w:ascii="Calibri" w:eastAsia="Times New Roman" w:hAnsi="Calibri" w:cs="Arial"/>
                <w:b/>
                <w:bCs/>
                <w:position w:val="4"/>
                <w:sz w:val="18"/>
                <w:szCs w:val="18"/>
              </w:rPr>
            </w:pPr>
            <w:r w:rsidRPr="00AD0961">
              <w:rPr>
                <w:rFonts w:ascii="Calibri" w:eastAsia="Times New Roman" w:hAnsi="Calibri" w:cs="Arial"/>
                <w:b/>
                <w:bCs/>
                <w:position w:val="4"/>
                <w:sz w:val="18"/>
                <w:szCs w:val="18"/>
              </w:rPr>
              <w:t>Obveze</w:t>
            </w:r>
          </w:p>
        </w:tc>
        <w:tc>
          <w:tcPr>
            <w:tcW w:w="522" w:type="pct"/>
            <w:vAlign w:val="bottom"/>
          </w:tcPr>
          <w:p w14:paraId="31AC47B8"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37" w:type="pct"/>
            <w:vAlign w:val="bottom"/>
          </w:tcPr>
          <w:p w14:paraId="39482B9F"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37" w:type="pct"/>
            <w:vAlign w:val="bottom"/>
          </w:tcPr>
          <w:p w14:paraId="20BE3B12"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87" w:type="pct"/>
            <w:vAlign w:val="bottom"/>
          </w:tcPr>
          <w:p w14:paraId="3CECDFE1"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93" w:type="pct"/>
            <w:vAlign w:val="bottom"/>
          </w:tcPr>
          <w:p w14:paraId="6655995F"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97" w:type="pct"/>
            <w:vAlign w:val="bottom"/>
          </w:tcPr>
          <w:p w14:paraId="7CE9BB28"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r>
      <w:tr w:rsidR="00AD0961" w:rsidRPr="00AD0961" w14:paraId="342F5C19" w14:textId="77777777" w:rsidTr="00312975">
        <w:trPr>
          <w:trHeight w:val="158"/>
        </w:trPr>
        <w:tc>
          <w:tcPr>
            <w:tcW w:w="1627" w:type="pct"/>
          </w:tcPr>
          <w:p w14:paraId="6AFCCF8A"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Obveze po depozitima</w:t>
            </w:r>
          </w:p>
        </w:tc>
        <w:tc>
          <w:tcPr>
            <w:tcW w:w="522" w:type="pct"/>
            <w:tcBorders>
              <w:top w:val="nil"/>
              <w:left w:val="nil"/>
              <w:bottom w:val="nil"/>
              <w:right w:val="nil"/>
            </w:tcBorders>
            <w:shd w:val="clear" w:color="auto" w:fill="auto"/>
            <w:vAlign w:val="bottom"/>
          </w:tcPr>
          <w:p w14:paraId="7FB2DF02"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75.581</w:t>
            </w:r>
          </w:p>
        </w:tc>
        <w:tc>
          <w:tcPr>
            <w:tcW w:w="537" w:type="pct"/>
            <w:tcBorders>
              <w:top w:val="nil"/>
              <w:left w:val="nil"/>
              <w:bottom w:val="nil"/>
              <w:right w:val="nil"/>
            </w:tcBorders>
            <w:shd w:val="clear" w:color="auto" w:fill="auto"/>
            <w:vAlign w:val="bottom"/>
          </w:tcPr>
          <w:p w14:paraId="0C2255ED"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1C4724DD"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12.687</w:t>
            </w:r>
          </w:p>
        </w:tc>
        <w:tc>
          <w:tcPr>
            <w:tcW w:w="587" w:type="pct"/>
            <w:tcBorders>
              <w:top w:val="nil"/>
              <w:left w:val="nil"/>
              <w:bottom w:val="nil"/>
              <w:right w:val="nil"/>
            </w:tcBorders>
            <w:shd w:val="clear" w:color="auto" w:fill="auto"/>
            <w:vAlign w:val="bottom"/>
          </w:tcPr>
          <w:p w14:paraId="705DFBDD"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46.407</w:t>
            </w:r>
          </w:p>
        </w:tc>
        <w:tc>
          <w:tcPr>
            <w:tcW w:w="593" w:type="pct"/>
            <w:tcBorders>
              <w:top w:val="nil"/>
              <w:left w:val="nil"/>
              <w:bottom w:val="nil"/>
              <w:right w:val="nil"/>
            </w:tcBorders>
            <w:shd w:val="clear" w:color="auto" w:fill="auto"/>
            <w:vAlign w:val="bottom"/>
          </w:tcPr>
          <w:p w14:paraId="6094355C"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8.169</w:t>
            </w:r>
          </w:p>
        </w:tc>
        <w:tc>
          <w:tcPr>
            <w:tcW w:w="597" w:type="pct"/>
            <w:tcBorders>
              <w:top w:val="nil"/>
              <w:left w:val="nil"/>
              <w:bottom w:val="nil"/>
              <w:right w:val="nil"/>
            </w:tcBorders>
            <w:shd w:val="clear" w:color="auto" w:fill="auto"/>
            <w:vAlign w:val="bottom"/>
          </w:tcPr>
          <w:p w14:paraId="30CFEFCD"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142.844</w:t>
            </w:r>
          </w:p>
        </w:tc>
      </w:tr>
      <w:tr w:rsidR="00AD0961" w:rsidRPr="00AD0961" w14:paraId="78236A1F" w14:textId="77777777" w:rsidTr="00312975">
        <w:trPr>
          <w:trHeight w:val="150"/>
        </w:trPr>
        <w:tc>
          <w:tcPr>
            <w:tcW w:w="1627" w:type="pct"/>
          </w:tcPr>
          <w:p w14:paraId="17ECEFA5"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Obveze po kreditima</w:t>
            </w:r>
          </w:p>
        </w:tc>
        <w:tc>
          <w:tcPr>
            <w:tcW w:w="522" w:type="pct"/>
            <w:tcBorders>
              <w:top w:val="nil"/>
              <w:left w:val="nil"/>
              <w:bottom w:val="nil"/>
              <w:right w:val="nil"/>
            </w:tcBorders>
            <w:shd w:val="clear" w:color="auto" w:fill="auto"/>
            <w:vAlign w:val="bottom"/>
          </w:tcPr>
          <w:p w14:paraId="77B24822"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355.456</w:t>
            </w:r>
          </w:p>
        </w:tc>
        <w:tc>
          <w:tcPr>
            <w:tcW w:w="537" w:type="pct"/>
            <w:tcBorders>
              <w:top w:val="nil"/>
              <w:left w:val="nil"/>
              <w:bottom w:val="nil"/>
              <w:right w:val="nil"/>
            </w:tcBorders>
            <w:shd w:val="clear" w:color="auto" w:fill="auto"/>
            <w:vAlign w:val="bottom"/>
          </w:tcPr>
          <w:p w14:paraId="0D862D3A"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237.339</w:t>
            </w:r>
          </w:p>
        </w:tc>
        <w:tc>
          <w:tcPr>
            <w:tcW w:w="537" w:type="pct"/>
            <w:tcBorders>
              <w:top w:val="nil"/>
              <w:left w:val="nil"/>
              <w:bottom w:val="nil"/>
              <w:right w:val="nil"/>
            </w:tcBorders>
            <w:shd w:val="clear" w:color="auto" w:fill="auto"/>
            <w:vAlign w:val="bottom"/>
          </w:tcPr>
          <w:p w14:paraId="6F81BAB2"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1.017.892</w:t>
            </w:r>
          </w:p>
        </w:tc>
        <w:tc>
          <w:tcPr>
            <w:tcW w:w="587" w:type="pct"/>
            <w:tcBorders>
              <w:top w:val="nil"/>
              <w:left w:val="nil"/>
              <w:bottom w:val="nil"/>
              <w:right w:val="nil"/>
            </w:tcBorders>
            <w:shd w:val="clear" w:color="auto" w:fill="auto"/>
            <w:vAlign w:val="bottom"/>
          </w:tcPr>
          <w:p w14:paraId="5EE43A72"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3.060.113</w:t>
            </w:r>
          </w:p>
        </w:tc>
        <w:tc>
          <w:tcPr>
            <w:tcW w:w="593" w:type="pct"/>
            <w:tcBorders>
              <w:top w:val="nil"/>
              <w:left w:val="nil"/>
              <w:bottom w:val="nil"/>
              <w:right w:val="nil"/>
            </w:tcBorders>
            <w:shd w:val="clear" w:color="auto" w:fill="auto"/>
            <w:vAlign w:val="bottom"/>
          </w:tcPr>
          <w:p w14:paraId="74A303F3"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8.720.949</w:t>
            </w:r>
          </w:p>
        </w:tc>
        <w:tc>
          <w:tcPr>
            <w:tcW w:w="597" w:type="pct"/>
            <w:tcBorders>
              <w:top w:val="nil"/>
              <w:left w:val="nil"/>
              <w:bottom w:val="nil"/>
              <w:right w:val="nil"/>
            </w:tcBorders>
            <w:shd w:val="clear" w:color="auto" w:fill="auto"/>
            <w:vAlign w:val="bottom"/>
          </w:tcPr>
          <w:p w14:paraId="2CDB67A2"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13.391.749</w:t>
            </w:r>
          </w:p>
        </w:tc>
      </w:tr>
      <w:tr w:rsidR="00AD0961" w:rsidRPr="00AD0961" w14:paraId="404B57A5" w14:textId="77777777" w:rsidTr="00312975">
        <w:trPr>
          <w:trHeight w:val="303"/>
        </w:trPr>
        <w:tc>
          <w:tcPr>
            <w:tcW w:w="1627" w:type="pct"/>
          </w:tcPr>
          <w:p w14:paraId="01AB10EA"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Obveze za izdane dugoročne vrijednosne papire</w:t>
            </w:r>
          </w:p>
        </w:tc>
        <w:tc>
          <w:tcPr>
            <w:tcW w:w="522" w:type="pct"/>
            <w:tcBorders>
              <w:top w:val="nil"/>
              <w:left w:val="nil"/>
              <w:bottom w:val="nil"/>
              <w:right w:val="nil"/>
            </w:tcBorders>
            <w:shd w:val="clear" w:color="auto" w:fill="auto"/>
            <w:vAlign w:val="bottom"/>
          </w:tcPr>
          <w:p w14:paraId="1AB498FB"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37" w:type="pct"/>
            <w:tcBorders>
              <w:top w:val="nil"/>
              <w:left w:val="nil"/>
              <w:bottom w:val="nil"/>
              <w:right w:val="nil"/>
            </w:tcBorders>
            <w:shd w:val="clear" w:color="auto" w:fill="auto"/>
            <w:vAlign w:val="bottom"/>
          </w:tcPr>
          <w:p w14:paraId="1D5DA2F7"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95.932</w:t>
            </w:r>
          </w:p>
        </w:tc>
        <w:tc>
          <w:tcPr>
            <w:tcW w:w="537" w:type="pct"/>
            <w:tcBorders>
              <w:top w:val="nil"/>
              <w:left w:val="nil"/>
              <w:bottom w:val="nil"/>
              <w:right w:val="nil"/>
            </w:tcBorders>
            <w:shd w:val="clear" w:color="auto" w:fill="auto"/>
            <w:vAlign w:val="bottom"/>
          </w:tcPr>
          <w:p w14:paraId="2C4196AD"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1.888.837</w:t>
            </w:r>
          </w:p>
        </w:tc>
        <w:tc>
          <w:tcPr>
            <w:tcW w:w="587" w:type="pct"/>
            <w:tcBorders>
              <w:top w:val="nil"/>
              <w:left w:val="nil"/>
              <w:bottom w:val="nil"/>
              <w:right w:val="nil"/>
            </w:tcBorders>
            <w:shd w:val="clear" w:color="auto" w:fill="auto"/>
            <w:vAlign w:val="bottom"/>
          </w:tcPr>
          <w:p w14:paraId="6B3E467C"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w:t>
            </w:r>
          </w:p>
        </w:tc>
        <w:tc>
          <w:tcPr>
            <w:tcW w:w="593" w:type="pct"/>
            <w:tcBorders>
              <w:top w:val="nil"/>
              <w:left w:val="nil"/>
              <w:bottom w:val="nil"/>
              <w:right w:val="nil"/>
            </w:tcBorders>
            <w:shd w:val="clear" w:color="auto" w:fill="auto"/>
            <w:vAlign w:val="bottom"/>
          </w:tcPr>
          <w:p w14:paraId="4F22E281"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1.120.800</w:t>
            </w:r>
          </w:p>
        </w:tc>
        <w:tc>
          <w:tcPr>
            <w:tcW w:w="597" w:type="pct"/>
            <w:tcBorders>
              <w:top w:val="nil"/>
              <w:left w:val="nil"/>
              <w:bottom w:val="nil"/>
              <w:right w:val="nil"/>
            </w:tcBorders>
            <w:shd w:val="clear" w:color="auto" w:fill="auto"/>
            <w:vAlign w:val="bottom"/>
          </w:tcPr>
          <w:p w14:paraId="08585897"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3.105.569</w:t>
            </w:r>
          </w:p>
        </w:tc>
      </w:tr>
      <w:tr w:rsidR="00AD0961" w:rsidRPr="00AD0961" w14:paraId="076C733F" w14:textId="77777777" w:rsidTr="00312975">
        <w:trPr>
          <w:trHeight w:val="142"/>
        </w:trPr>
        <w:tc>
          <w:tcPr>
            <w:tcW w:w="1627" w:type="pct"/>
          </w:tcPr>
          <w:p w14:paraId="256E3706"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pacing w:val="-2"/>
                <w:sz w:val="18"/>
                <w:szCs w:val="18"/>
              </w:rPr>
              <w:t>Ostale obveze</w:t>
            </w:r>
          </w:p>
        </w:tc>
        <w:tc>
          <w:tcPr>
            <w:tcW w:w="522" w:type="pct"/>
            <w:tcBorders>
              <w:top w:val="nil"/>
              <w:left w:val="nil"/>
              <w:bottom w:val="nil"/>
              <w:right w:val="nil"/>
            </w:tcBorders>
            <w:shd w:val="clear" w:color="auto" w:fill="auto"/>
            <w:vAlign w:val="bottom"/>
          </w:tcPr>
          <w:p w14:paraId="1041B21B"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150.555</w:t>
            </w:r>
          </w:p>
        </w:tc>
        <w:tc>
          <w:tcPr>
            <w:tcW w:w="537" w:type="pct"/>
            <w:tcBorders>
              <w:top w:val="nil"/>
              <w:left w:val="nil"/>
              <w:bottom w:val="nil"/>
              <w:right w:val="nil"/>
            </w:tcBorders>
            <w:shd w:val="clear" w:color="auto" w:fill="auto"/>
            <w:vAlign w:val="bottom"/>
          </w:tcPr>
          <w:p w14:paraId="435A6FE1"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28.649</w:t>
            </w:r>
          </w:p>
        </w:tc>
        <w:tc>
          <w:tcPr>
            <w:tcW w:w="537" w:type="pct"/>
            <w:tcBorders>
              <w:top w:val="nil"/>
              <w:left w:val="nil"/>
              <w:bottom w:val="nil"/>
              <w:right w:val="nil"/>
            </w:tcBorders>
            <w:shd w:val="clear" w:color="auto" w:fill="auto"/>
            <w:vAlign w:val="bottom"/>
          </w:tcPr>
          <w:p w14:paraId="7F82DBCF"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100.528</w:t>
            </w:r>
          </w:p>
        </w:tc>
        <w:tc>
          <w:tcPr>
            <w:tcW w:w="587" w:type="pct"/>
            <w:tcBorders>
              <w:top w:val="nil"/>
              <w:left w:val="nil"/>
              <w:bottom w:val="nil"/>
              <w:right w:val="nil"/>
            </w:tcBorders>
            <w:shd w:val="clear" w:color="auto" w:fill="auto"/>
            <w:vAlign w:val="bottom"/>
          </w:tcPr>
          <w:p w14:paraId="5A378291"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188.186</w:t>
            </w:r>
          </w:p>
        </w:tc>
        <w:tc>
          <w:tcPr>
            <w:tcW w:w="593" w:type="pct"/>
            <w:tcBorders>
              <w:top w:val="nil"/>
              <w:left w:val="nil"/>
              <w:bottom w:val="nil"/>
              <w:right w:val="nil"/>
            </w:tcBorders>
            <w:shd w:val="clear" w:color="auto" w:fill="auto"/>
            <w:vAlign w:val="bottom"/>
          </w:tcPr>
          <w:p w14:paraId="1E98E3F2"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228.856</w:t>
            </w:r>
          </w:p>
        </w:tc>
        <w:tc>
          <w:tcPr>
            <w:tcW w:w="597" w:type="pct"/>
            <w:tcBorders>
              <w:top w:val="nil"/>
              <w:left w:val="nil"/>
              <w:bottom w:val="nil"/>
              <w:right w:val="nil"/>
            </w:tcBorders>
            <w:shd w:val="clear" w:color="auto" w:fill="auto"/>
            <w:vAlign w:val="bottom"/>
          </w:tcPr>
          <w:p w14:paraId="6A6D8AA3"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696.774</w:t>
            </w:r>
          </w:p>
        </w:tc>
      </w:tr>
      <w:tr w:rsidR="00AD0961" w:rsidRPr="00AD0961" w14:paraId="3B14BABC" w14:textId="77777777" w:rsidTr="00AD0961">
        <w:trPr>
          <w:trHeight w:val="150"/>
        </w:trPr>
        <w:tc>
          <w:tcPr>
            <w:tcW w:w="1627" w:type="pct"/>
          </w:tcPr>
          <w:p w14:paraId="668DFE2B" w14:textId="77777777" w:rsidR="00AD0961" w:rsidRPr="00AD0961" w:rsidRDefault="00AD0961" w:rsidP="00AD0961">
            <w:pPr>
              <w:tabs>
                <w:tab w:val="right" w:pos="1202"/>
              </w:tabs>
              <w:spacing w:after="0" w:line="240" w:lineRule="exact"/>
              <w:outlineLvl w:val="0"/>
              <w:rPr>
                <w:rFonts w:ascii="Calibri" w:eastAsia="Times New Roman" w:hAnsi="Calibri" w:cs="Arial"/>
                <w:b/>
                <w:bCs/>
                <w:sz w:val="18"/>
                <w:szCs w:val="18"/>
              </w:rPr>
            </w:pPr>
            <w:r w:rsidRPr="00AD0961">
              <w:rPr>
                <w:rFonts w:ascii="Calibri" w:eastAsia="Times New Roman" w:hAnsi="Calibri" w:cs="Arial"/>
                <w:b/>
                <w:bCs/>
                <w:sz w:val="18"/>
                <w:szCs w:val="18"/>
              </w:rPr>
              <w:t>Ukupne obveze</w:t>
            </w:r>
          </w:p>
        </w:tc>
        <w:tc>
          <w:tcPr>
            <w:tcW w:w="522" w:type="pct"/>
            <w:tcBorders>
              <w:top w:val="single" w:sz="4" w:space="0" w:color="auto"/>
              <w:left w:val="nil"/>
              <w:bottom w:val="single" w:sz="8" w:space="0" w:color="auto"/>
              <w:right w:val="nil"/>
            </w:tcBorders>
            <w:shd w:val="clear" w:color="auto" w:fill="auto"/>
            <w:vAlign w:val="bottom"/>
          </w:tcPr>
          <w:p w14:paraId="705C9FFE"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581.592</w:t>
            </w:r>
          </w:p>
        </w:tc>
        <w:tc>
          <w:tcPr>
            <w:tcW w:w="537" w:type="pct"/>
            <w:tcBorders>
              <w:top w:val="single" w:sz="4" w:space="0" w:color="auto"/>
              <w:left w:val="nil"/>
              <w:bottom w:val="single" w:sz="8" w:space="0" w:color="auto"/>
              <w:right w:val="nil"/>
            </w:tcBorders>
            <w:shd w:val="clear" w:color="auto" w:fill="auto"/>
            <w:vAlign w:val="bottom"/>
          </w:tcPr>
          <w:p w14:paraId="2C72D474"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361.920</w:t>
            </w:r>
          </w:p>
        </w:tc>
        <w:tc>
          <w:tcPr>
            <w:tcW w:w="537" w:type="pct"/>
            <w:tcBorders>
              <w:top w:val="single" w:sz="4" w:space="0" w:color="auto"/>
              <w:left w:val="nil"/>
              <w:bottom w:val="single" w:sz="8" w:space="0" w:color="auto"/>
              <w:right w:val="nil"/>
            </w:tcBorders>
            <w:shd w:val="clear" w:color="auto" w:fill="auto"/>
            <w:vAlign w:val="bottom"/>
          </w:tcPr>
          <w:p w14:paraId="4C4D1F4F"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3.019.944</w:t>
            </w:r>
          </w:p>
        </w:tc>
        <w:tc>
          <w:tcPr>
            <w:tcW w:w="587" w:type="pct"/>
            <w:tcBorders>
              <w:top w:val="single" w:sz="4" w:space="0" w:color="auto"/>
              <w:left w:val="nil"/>
              <w:bottom w:val="single" w:sz="8" w:space="0" w:color="auto"/>
              <w:right w:val="nil"/>
            </w:tcBorders>
            <w:shd w:val="clear" w:color="auto" w:fill="auto"/>
            <w:vAlign w:val="bottom"/>
          </w:tcPr>
          <w:p w14:paraId="45B70A3E"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3.294.706</w:t>
            </w:r>
          </w:p>
        </w:tc>
        <w:tc>
          <w:tcPr>
            <w:tcW w:w="593" w:type="pct"/>
            <w:tcBorders>
              <w:top w:val="single" w:sz="4" w:space="0" w:color="auto"/>
              <w:left w:val="nil"/>
              <w:bottom w:val="single" w:sz="8" w:space="0" w:color="auto"/>
              <w:right w:val="nil"/>
            </w:tcBorders>
            <w:shd w:val="clear" w:color="auto" w:fill="auto"/>
            <w:vAlign w:val="bottom"/>
          </w:tcPr>
          <w:p w14:paraId="1A10BF9F"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10.078.774</w:t>
            </w:r>
          </w:p>
        </w:tc>
        <w:tc>
          <w:tcPr>
            <w:tcW w:w="597" w:type="pct"/>
            <w:tcBorders>
              <w:top w:val="single" w:sz="4" w:space="0" w:color="auto"/>
              <w:left w:val="nil"/>
              <w:bottom w:val="single" w:sz="8" w:space="0" w:color="auto"/>
              <w:right w:val="nil"/>
            </w:tcBorders>
            <w:shd w:val="clear" w:color="auto" w:fill="auto"/>
            <w:vAlign w:val="bottom"/>
          </w:tcPr>
          <w:p w14:paraId="0F93FB19"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17.336.936</w:t>
            </w:r>
          </w:p>
        </w:tc>
      </w:tr>
      <w:tr w:rsidR="00AD0961" w:rsidRPr="00AD0961" w14:paraId="73F9A36D" w14:textId="77777777" w:rsidTr="00AD0961">
        <w:trPr>
          <w:trHeight w:val="99"/>
        </w:trPr>
        <w:tc>
          <w:tcPr>
            <w:tcW w:w="1627" w:type="pct"/>
          </w:tcPr>
          <w:p w14:paraId="254C912B" w14:textId="77777777" w:rsidR="00AD0961" w:rsidRPr="00AD0961" w:rsidRDefault="00AD0961" w:rsidP="00AD0961">
            <w:pPr>
              <w:keepNext/>
              <w:keepLines/>
              <w:tabs>
                <w:tab w:val="decimal" w:pos="1202"/>
              </w:tabs>
              <w:spacing w:after="0" w:line="140" w:lineRule="exact"/>
              <w:rPr>
                <w:rFonts w:ascii="Calibri" w:eastAsia="Times New Roman" w:hAnsi="Calibri" w:cs="Arial"/>
                <w:b/>
                <w:bCs/>
                <w:position w:val="4"/>
                <w:sz w:val="18"/>
                <w:szCs w:val="18"/>
              </w:rPr>
            </w:pPr>
          </w:p>
        </w:tc>
        <w:tc>
          <w:tcPr>
            <w:tcW w:w="522" w:type="pct"/>
            <w:tcBorders>
              <w:top w:val="single" w:sz="12" w:space="0" w:color="auto"/>
            </w:tcBorders>
            <w:vAlign w:val="bottom"/>
          </w:tcPr>
          <w:p w14:paraId="0569F46B" w14:textId="77777777" w:rsidR="00AD0961" w:rsidRPr="00AD0961" w:rsidRDefault="00AD0961" w:rsidP="00AD0961">
            <w:pPr>
              <w:keepNext/>
              <w:keepLines/>
              <w:tabs>
                <w:tab w:val="decimal" w:pos="1202"/>
              </w:tabs>
              <w:spacing w:after="0" w:line="140" w:lineRule="exact"/>
              <w:jc w:val="right"/>
              <w:rPr>
                <w:rFonts w:ascii="Calibri" w:eastAsia="Times New Roman" w:hAnsi="Calibri" w:cs="Arial"/>
                <w:b/>
                <w:bCs/>
                <w:position w:val="4"/>
                <w:sz w:val="18"/>
                <w:szCs w:val="18"/>
              </w:rPr>
            </w:pPr>
          </w:p>
        </w:tc>
        <w:tc>
          <w:tcPr>
            <w:tcW w:w="537" w:type="pct"/>
            <w:tcBorders>
              <w:top w:val="single" w:sz="12" w:space="0" w:color="auto"/>
            </w:tcBorders>
            <w:vAlign w:val="bottom"/>
          </w:tcPr>
          <w:p w14:paraId="4CD25F86" w14:textId="77777777" w:rsidR="00AD0961" w:rsidRPr="00AD0961" w:rsidRDefault="00AD0961" w:rsidP="00AD0961">
            <w:pPr>
              <w:keepNext/>
              <w:keepLines/>
              <w:tabs>
                <w:tab w:val="decimal" w:pos="1202"/>
              </w:tabs>
              <w:spacing w:after="0" w:line="140" w:lineRule="exact"/>
              <w:jc w:val="right"/>
              <w:rPr>
                <w:rFonts w:ascii="Calibri" w:eastAsia="Times New Roman" w:hAnsi="Calibri" w:cs="Arial"/>
                <w:b/>
                <w:bCs/>
                <w:position w:val="4"/>
                <w:sz w:val="18"/>
                <w:szCs w:val="18"/>
              </w:rPr>
            </w:pPr>
          </w:p>
        </w:tc>
        <w:tc>
          <w:tcPr>
            <w:tcW w:w="537" w:type="pct"/>
            <w:tcBorders>
              <w:top w:val="single" w:sz="12" w:space="0" w:color="auto"/>
            </w:tcBorders>
            <w:vAlign w:val="bottom"/>
          </w:tcPr>
          <w:p w14:paraId="3DA7696D" w14:textId="77777777" w:rsidR="00AD0961" w:rsidRPr="00AD0961" w:rsidRDefault="00AD0961" w:rsidP="00AD0961">
            <w:pPr>
              <w:keepNext/>
              <w:keepLines/>
              <w:tabs>
                <w:tab w:val="decimal" w:pos="1202"/>
              </w:tabs>
              <w:spacing w:after="0" w:line="140" w:lineRule="exact"/>
              <w:jc w:val="right"/>
              <w:rPr>
                <w:rFonts w:ascii="Calibri" w:eastAsia="Times New Roman" w:hAnsi="Calibri" w:cs="Arial"/>
                <w:b/>
                <w:bCs/>
                <w:position w:val="4"/>
                <w:sz w:val="18"/>
                <w:szCs w:val="18"/>
              </w:rPr>
            </w:pPr>
          </w:p>
        </w:tc>
        <w:tc>
          <w:tcPr>
            <w:tcW w:w="587" w:type="pct"/>
            <w:tcBorders>
              <w:top w:val="single" w:sz="12" w:space="0" w:color="auto"/>
            </w:tcBorders>
            <w:vAlign w:val="bottom"/>
          </w:tcPr>
          <w:p w14:paraId="5A845AF4" w14:textId="77777777" w:rsidR="00AD0961" w:rsidRPr="00AD0961" w:rsidRDefault="00AD0961" w:rsidP="00AD0961">
            <w:pPr>
              <w:keepNext/>
              <w:keepLines/>
              <w:tabs>
                <w:tab w:val="decimal" w:pos="1202"/>
              </w:tabs>
              <w:spacing w:after="0" w:line="140" w:lineRule="exact"/>
              <w:jc w:val="right"/>
              <w:rPr>
                <w:rFonts w:ascii="Calibri" w:eastAsia="Times New Roman" w:hAnsi="Calibri" w:cs="Arial"/>
                <w:b/>
                <w:bCs/>
                <w:position w:val="4"/>
                <w:sz w:val="18"/>
                <w:szCs w:val="18"/>
              </w:rPr>
            </w:pPr>
          </w:p>
        </w:tc>
        <w:tc>
          <w:tcPr>
            <w:tcW w:w="593" w:type="pct"/>
            <w:tcBorders>
              <w:top w:val="single" w:sz="12" w:space="0" w:color="auto"/>
            </w:tcBorders>
            <w:vAlign w:val="bottom"/>
          </w:tcPr>
          <w:p w14:paraId="22A2331C" w14:textId="77777777" w:rsidR="00AD0961" w:rsidRPr="00AD0961" w:rsidRDefault="00AD0961" w:rsidP="00AD0961">
            <w:pPr>
              <w:keepNext/>
              <w:keepLines/>
              <w:tabs>
                <w:tab w:val="decimal" w:pos="1202"/>
              </w:tabs>
              <w:spacing w:after="0" w:line="140" w:lineRule="exact"/>
              <w:jc w:val="right"/>
              <w:rPr>
                <w:rFonts w:ascii="Calibri" w:eastAsia="Times New Roman" w:hAnsi="Calibri" w:cs="Arial"/>
                <w:b/>
                <w:bCs/>
                <w:position w:val="4"/>
                <w:sz w:val="18"/>
                <w:szCs w:val="18"/>
              </w:rPr>
            </w:pPr>
          </w:p>
        </w:tc>
        <w:tc>
          <w:tcPr>
            <w:tcW w:w="597" w:type="pct"/>
            <w:tcBorders>
              <w:top w:val="single" w:sz="12" w:space="0" w:color="auto"/>
            </w:tcBorders>
            <w:vAlign w:val="bottom"/>
          </w:tcPr>
          <w:p w14:paraId="438F854D" w14:textId="77777777" w:rsidR="00AD0961" w:rsidRPr="00AD0961" w:rsidRDefault="00AD0961" w:rsidP="00AD0961">
            <w:pPr>
              <w:keepNext/>
              <w:keepLines/>
              <w:tabs>
                <w:tab w:val="decimal" w:pos="1202"/>
              </w:tabs>
              <w:spacing w:after="0" w:line="140" w:lineRule="exact"/>
              <w:jc w:val="right"/>
              <w:rPr>
                <w:rFonts w:ascii="Calibri" w:eastAsia="Times New Roman" w:hAnsi="Calibri" w:cs="Arial"/>
                <w:b/>
                <w:bCs/>
                <w:position w:val="4"/>
                <w:sz w:val="18"/>
                <w:szCs w:val="18"/>
              </w:rPr>
            </w:pPr>
          </w:p>
        </w:tc>
      </w:tr>
      <w:tr w:rsidR="00AD0961" w:rsidRPr="00AD0961" w14:paraId="003A8AA8" w14:textId="77777777" w:rsidTr="00AD0961">
        <w:trPr>
          <w:trHeight w:val="86"/>
        </w:trPr>
        <w:tc>
          <w:tcPr>
            <w:tcW w:w="1627" w:type="pct"/>
          </w:tcPr>
          <w:p w14:paraId="4AFF7F3D"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b/>
                <w:bCs/>
                <w:sz w:val="18"/>
                <w:szCs w:val="18"/>
              </w:rPr>
              <w:t>Kapital</w:t>
            </w:r>
          </w:p>
        </w:tc>
        <w:tc>
          <w:tcPr>
            <w:tcW w:w="522" w:type="pct"/>
            <w:vAlign w:val="bottom"/>
          </w:tcPr>
          <w:p w14:paraId="46C11DB4"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37" w:type="pct"/>
            <w:vAlign w:val="bottom"/>
          </w:tcPr>
          <w:p w14:paraId="799D545C"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37" w:type="pct"/>
            <w:vAlign w:val="bottom"/>
          </w:tcPr>
          <w:p w14:paraId="23BA42B0"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87" w:type="pct"/>
            <w:vAlign w:val="bottom"/>
          </w:tcPr>
          <w:p w14:paraId="3B9D17C1"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93" w:type="pct"/>
            <w:vAlign w:val="bottom"/>
          </w:tcPr>
          <w:p w14:paraId="14A51B56"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97" w:type="pct"/>
            <w:vAlign w:val="bottom"/>
          </w:tcPr>
          <w:p w14:paraId="1D166C04"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r>
      <w:tr w:rsidR="00AD0961" w:rsidRPr="00AD0961" w14:paraId="66CD5CDC" w14:textId="77777777" w:rsidTr="00AD0961">
        <w:trPr>
          <w:trHeight w:val="150"/>
        </w:trPr>
        <w:tc>
          <w:tcPr>
            <w:tcW w:w="1627" w:type="pct"/>
          </w:tcPr>
          <w:p w14:paraId="60E60128"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z w:val="18"/>
                <w:szCs w:val="18"/>
              </w:rPr>
              <w:t>Osnivački kapital</w:t>
            </w:r>
          </w:p>
        </w:tc>
        <w:tc>
          <w:tcPr>
            <w:tcW w:w="522" w:type="pct"/>
            <w:tcBorders>
              <w:top w:val="nil"/>
              <w:left w:val="nil"/>
              <w:bottom w:val="nil"/>
              <w:right w:val="nil"/>
            </w:tcBorders>
            <w:shd w:val="clear" w:color="auto" w:fill="auto"/>
            <w:vAlign w:val="bottom"/>
          </w:tcPr>
          <w:p w14:paraId="72C7493A"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37" w:type="pct"/>
            <w:tcBorders>
              <w:top w:val="nil"/>
              <w:left w:val="nil"/>
              <w:bottom w:val="nil"/>
              <w:right w:val="nil"/>
            </w:tcBorders>
            <w:shd w:val="clear" w:color="auto" w:fill="auto"/>
            <w:vAlign w:val="bottom"/>
          </w:tcPr>
          <w:p w14:paraId="62511B4C"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37" w:type="pct"/>
            <w:tcBorders>
              <w:top w:val="nil"/>
              <w:left w:val="nil"/>
              <w:bottom w:val="nil"/>
              <w:right w:val="nil"/>
            </w:tcBorders>
            <w:shd w:val="clear" w:color="auto" w:fill="auto"/>
            <w:vAlign w:val="bottom"/>
          </w:tcPr>
          <w:p w14:paraId="5C911BBB"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87" w:type="pct"/>
            <w:tcBorders>
              <w:top w:val="nil"/>
              <w:left w:val="nil"/>
              <w:bottom w:val="nil"/>
              <w:right w:val="nil"/>
            </w:tcBorders>
            <w:shd w:val="clear" w:color="auto" w:fill="auto"/>
            <w:vAlign w:val="bottom"/>
          </w:tcPr>
          <w:p w14:paraId="45E1CF11"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93" w:type="pct"/>
            <w:tcBorders>
              <w:top w:val="nil"/>
              <w:left w:val="nil"/>
              <w:bottom w:val="nil"/>
              <w:right w:val="nil"/>
            </w:tcBorders>
            <w:shd w:val="clear" w:color="auto" w:fill="auto"/>
            <w:vAlign w:val="bottom"/>
          </w:tcPr>
          <w:p w14:paraId="02D19BDE"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6.959.632</w:t>
            </w:r>
          </w:p>
        </w:tc>
        <w:tc>
          <w:tcPr>
            <w:tcW w:w="597" w:type="pct"/>
            <w:tcBorders>
              <w:top w:val="nil"/>
              <w:left w:val="nil"/>
              <w:bottom w:val="nil"/>
              <w:right w:val="nil"/>
            </w:tcBorders>
            <w:shd w:val="clear" w:color="auto" w:fill="auto"/>
            <w:vAlign w:val="bottom"/>
          </w:tcPr>
          <w:p w14:paraId="3E553B36"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6.959.632</w:t>
            </w:r>
          </w:p>
        </w:tc>
      </w:tr>
      <w:tr w:rsidR="00AD0961" w:rsidRPr="00AD0961" w14:paraId="04A57A9C" w14:textId="77777777" w:rsidTr="00AD0961">
        <w:trPr>
          <w:trHeight w:val="150"/>
        </w:trPr>
        <w:tc>
          <w:tcPr>
            <w:tcW w:w="1627" w:type="pct"/>
          </w:tcPr>
          <w:p w14:paraId="6F705762"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z w:val="18"/>
                <w:szCs w:val="18"/>
              </w:rPr>
              <w:t>Zadržana dobit i rezerve</w:t>
            </w:r>
          </w:p>
        </w:tc>
        <w:tc>
          <w:tcPr>
            <w:tcW w:w="522" w:type="pct"/>
            <w:tcBorders>
              <w:top w:val="nil"/>
              <w:left w:val="nil"/>
              <w:bottom w:val="nil"/>
              <w:right w:val="nil"/>
            </w:tcBorders>
            <w:shd w:val="clear" w:color="auto" w:fill="auto"/>
            <w:vAlign w:val="bottom"/>
          </w:tcPr>
          <w:p w14:paraId="43D54748"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37" w:type="pct"/>
            <w:tcBorders>
              <w:top w:val="nil"/>
              <w:left w:val="nil"/>
              <w:bottom w:val="nil"/>
              <w:right w:val="nil"/>
            </w:tcBorders>
            <w:shd w:val="clear" w:color="auto" w:fill="auto"/>
            <w:vAlign w:val="bottom"/>
          </w:tcPr>
          <w:p w14:paraId="681C7895"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37" w:type="pct"/>
            <w:tcBorders>
              <w:top w:val="nil"/>
              <w:left w:val="nil"/>
              <w:bottom w:val="nil"/>
              <w:right w:val="nil"/>
            </w:tcBorders>
            <w:shd w:val="clear" w:color="auto" w:fill="auto"/>
            <w:vAlign w:val="bottom"/>
          </w:tcPr>
          <w:p w14:paraId="274AEDC2"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87" w:type="pct"/>
            <w:tcBorders>
              <w:top w:val="nil"/>
              <w:left w:val="nil"/>
              <w:bottom w:val="nil"/>
              <w:right w:val="nil"/>
            </w:tcBorders>
            <w:shd w:val="clear" w:color="auto" w:fill="auto"/>
            <w:vAlign w:val="bottom"/>
          </w:tcPr>
          <w:p w14:paraId="008FE819"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93" w:type="pct"/>
            <w:tcBorders>
              <w:top w:val="nil"/>
              <w:left w:val="nil"/>
              <w:bottom w:val="nil"/>
              <w:right w:val="nil"/>
            </w:tcBorders>
            <w:shd w:val="clear" w:color="auto" w:fill="auto"/>
            <w:vAlign w:val="bottom"/>
          </w:tcPr>
          <w:p w14:paraId="2BC7B889"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2.682.131</w:t>
            </w:r>
          </w:p>
        </w:tc>
        <w:tc>
          <w:tcPr>
            <w:tcW w:w="597" w:type="pct"/>
            <w:tcBorders>
              <w:top w:val="nil"/>
              <w:left w:val="nil"/>
              <w:bottom w:val="nil"/>
              <w:right w:val="nil"/>
            </w:tcBorders>
            <w:shd w:val="clear" w:color="auto" w:fill="auto"/>
            <w:vAlign w:val="bottom"/>
          </w:tcPr>
          <w:p w14:paraId="27FF351E"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2.682.131</w:t>
            </w:r>
          </w:p>
        </w:tc>
      </w:tr>
      <w:tr w:rsidR="00AD0961" w:rsidRPr="00AD0961" w14:paraId="3AA2D1D6" w14:textId="77777777" w:rsidTr="00AD0961">
        <w:trPr>
          <w:trHeight w:val="158"/>
        </w:trPr>
        <w:tc>
          <w:tcPr>
            <w:tcW w:w="1627" w:type="pct"/>
          </w:tcPr>
          <w:p w14:paraId="5B5D5F11"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z w:val="18"/>
                <w:szCs w:val="18"/>
              </w:rPr>
              <w:t>Ostale rezerve</w:t>
            </w:r>
          </w:p>
        </w:tc>
        <w:tc>
          <w:tcPr>
            <w:tcW w:w="522" w:type="pct"/>
            <w:tcBorders>
              <w:top w:val="nil"/>
              <w:left w:val="nil"/>
              <w:bottom w:val="nil"/>
              <w:right w:val="nil"/>
            </w:tcBorders>
            <w:shd w:val="clear" w:color="auto" w:fill="auto"/>
            <w:vAlign w:val="bottom"/>
          </w:tcPr>
          <w:p w14:paraId="2814EDB3"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37" w:type="pct"/>
            <w:tcBorders>
              <w:top w:val="nil"/>
              <w:left w:val="nil"/>
              <w:bottom w:val="nil"/>
              <w:right w:val="nil"/>
            </w:tcBorders>
            <w:shd w:val="clear" w:color="auto" w:fill="auto"/>
            <w:vAlign w:val="bottom"/>
          </w:tcPr>
          <w:p w14:paraId="45EFB801"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37" w:type="pct"/>
            <w:tcBorders>
              <w:top w:val="nil"/>
              <w:left w:val="nil"/>
              <w:bottom w:val="nil"/>
              <w:right w:val="nil"/>
            </w:tcBorders>
            <w:shd w:val="clear" w:color="auto" w:fill="auto"/>
            <w:vAlign w:val="bottom"/>
          </w:tcPr>
          <w:p w14:paraId="1872DF40"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87" w:type="pct"/>
            <w:tcBorders>
              <w:top w:val="nil"/>
              <w:left w:val="nil"/>
              <w:bottom w:val="nil"/>
              <w:right w:val="nil"/>
            </w:tcBorders>
            <w:shd w:val="clear" w:color="auto" w:fill="auto"/>
            <w:vAlign w:val="bottom"/>
          </w:tcPr>
          <w:p w14:paraId="09EB4869"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93" w:type="pct"/>
            <w:tcBorders>
              <w:top w:val="nil"/>
              <w:left w:val="nil"/>
              <w:bottom w:val="nil"/>
              <w:right w:val="nil"/>
            </w:tcBorders>
            <w:shd w:val="clear" w:color="auto" w:fill="auto"/>
            <w:vAlign w:val="bottom"/>
          </w:tcPr>
          <w:p w14:paraId="2245936D"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70.317</w:t>
            </w:r>
          </w:p>
        </w:tc>
        <w:tc>
          <w:tcPr>
            <w:tcW w:w="597" w:type="pct"/>
            <w:tcBorders>
              <w:top w:val="nil"/>
              <w:left w:val="nil"/>
              <w:bottom w:val="nil"/>
              <w:right w:val="nil"/>
            </w:tcBorders>
            <w:shd w:val="clear" w:color="auto" w:fill="auto"/>
            <w:vAlign w:val="bottom"/>
          </w:tcPr>
          <w:p w14:paraId="623587AD"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70.317</w:t>
            </w:r>
          </w:p>
        </w:tc>
      </w:tr>
      <w:tr w:rsidR="00AD0961" w:rsidRPr="00AD0961" w14:paraId="1649CF95" w14:textId="77777777" w:rsidTr="00AD0961">
        <w:trPr>
          <w:trHeight w:val="142"/>
        </w:trPr>
        <w:tc>
          <w:tcPr>
            <w:tcW w:w="1627" w:type="pct"/>
          </w:tcPr>
          <w:p w14:paraId="1358DE5B"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z w:val="18"/>
                <w:szCs w:val="18"/>
              </w:rPr>
              <w:t>Dobit tekuće godine</w:t>
            </w:r>
          </w:p>
        </w:tc>
        <w:tc>
          <w:tcPr>
            <w:tcW w:w="522" w:type="pct"/>
            <w:tcBorders>
              <w:top w:val="nil"/>
              <w:left w:val="nil"/>
              <w:bottom w:val="nil"/>
              <w:right w:val="nil"/>
            </w:tcBorders>
            <w:shd w:val="clear" w:color="auto" w:fill="auto"/>
            <w:vAlign w:val="bottom"/>
          </w:tcPr>
          <w:p w14:paraId="5356F3D8"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37" w:type="pct"/>
            <w:tcBorders>
              <w:top w:val="nil"/>
              <w:left w:val="nil"/>
              <w:bottom w:val="nil"/>
              <w:right w:val="nil"/>
            </w:tcBorders>
            <w:shd w:val="clear" w:color="auto" w:fill="auto"/>
            <w:vAlign w:val="bottom"/>
          </w:tcPr>
          <w:p w14:paraId="49D57471"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37" w:type="pct"/>
            <w:tcBorders>
              <w:top w:val="nil"/>
              <w:left w:val="nil"/>
              <w:bottom w:val="nil"/>
              <w:right w:val="nil"/>
            </w:tcBorders>
            <w:shd w:val="clear" w:color="auto" w:fill="auto"/>
            <w:vAlign w:val="bottom"/>
          </w:tcPr>
          <w:p w14:paraId="1CE0FE20"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87" w:type="pct"/>
            <w:tcBorders>
              <w:top w:val="nil"/>
              <w:left w:val="nil"/>
              <w:bottom w:val="nil"/>
              <w:right w:val="nil"/>
            </w:tcBorders>
            <w:shd w:val="clear" w:color="auto" w:fill="auto"/>
            <w:vAlign w:val="bottom"/>
          </w:tcPr>
          <w:p w14:paraId="7E81DAC0"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Times New Roman" w:eastAsia="Times New Roman" w:hAnsi="Times New Roman" w:cs="Times New Roman"/>
                <w:sz w:val="20"/>
                <w:szCs w:val="20"/>
                <w:lang w:val="en-US"/>
              </w:rPr>
              <w:t>-</w:t>
            </w:r>
          </w:p>
        </w:tc>
        <w:tc>
          <w:tcPr>
            <w:tcW w:w="593" w:type="pct"/>
            <w:tcBorders>
              <w:top w:val="nil"/>
              <w:left w:val="nil"/>
              <w:bottom w:val="nil"/>
              <w:right w:val="nil"/>
            </w:tcBorders>
            <w:shd w:val="clear" w:color="auto" w:fill="auto"/>
            <w:vAlign w:val="bottom"/>
          </w:tcPr>
          <w:p w14:paraId="56B202BE"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313.525</w:t>
            </w:r>
          </w:p>
        </w:tc>
        <w:tc>
          <w:tcPr>
            <w:tcW w:w="597" w:type="pct"/>
            <w:tcBorders>
              <w:top w:val="nil"/>
              <w:left w:val="nil"/>
              <w:bottom w:val="nil"/>
              <w:right w:val="nil"/>
            </w:tcBorders>
            <w:shd w:val="clear" w:color="auto" w:fill="auto"/>
            <w:vAlign w:val="bottom"/>
          </w:tcPr>
          <w:p w14:paraId="06200AC5"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313.525</w:t>
            </w:r>
          </w:p>
        </w:tc>
      </w:tr>
      <w:tr w:rsidR="00AD0961" w:rsidRPr="00AD0961" w14:paraId="330EEF93" w14:textId="77777777" w:rsidTr="00AD0961">
        <w:trPr>
          <w:trHeight w:val="142"/>
        </w:trPr>
        <w:tc>
          <w:tcPr>
            <w:tcW w:w="1627" w:type="pct"/>
          </w:tcPr>
          <w:p w14:paraId="28AD3A75" w14:textId="77777777" w:rsidR="00AD0961" w:rsidRPr="00AD0961" w:rsidRDefault="00AD0961" w:rsidP="00AD0961">
            <w:pPr>
              <w:tabs>
                <w:tab w:val="right" w:pos="1202"/>
              </w:tabs>
              <w:spacing w:after="0" w:line="240" w:lineRule="exact"/>
              <w:outlineLvl w:val="0"/>
              <w:rPr>
                <w:rFonts w:ascii="Calibri" w:eastAsia="Times New Roman" w:hAnsi="Calibri" w:cs="Arial"/>
                <w:b/>
                <w:bCs/>
                <w:sz w:val="18"/>
                <w:szCs w:val="18"/>
              </w:rPr>
            </w:pPr>
            <w:r w:rsidRPr="00AD0961">
              <w:rPr>
                <w:rFonts w:ascii="Calibri" w:eastAsia="Times New Roman" w:hAnsi="Calibri" w:cs="Arial"/>
                <w:b/>
                <w:bCs/>
                <w:sz w:val="18"/>
                <w:szCs w:val="18"/>
              </w:rPr>
              <w:t xml:space="preserve">Ukupni kapital </w:t>
            </w:r>
          </w:p>
        </w:tc>
        <w:tc>
          <w:tcPr>
            <w:tcW w:w="522" w:type="pct"/>
            <w:tcBorders>
              <w:top w:val="single" w:sz="4" w:space="0" w:color="auto"/>
              <w:left w:val="nil"/>
              <w:bottom w:val="single" w:sz="12" w:space="0" w:color="auto"/>
              <w:right w:val="nil"/>
            </w:tcBorders>
            <w:shd w:val="clear" w:color="auto" w:fill="auto"/>
            <w:vAlign w:val="bottom"/>
          </w:tcPr>
          <w:p w14:paraId="18A85E3E"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Calibri" w:eastAsia="Times New Roman" w:hAnsi="Calibri" w:cs="Times New Roman"/>
                <w:color w:val="000000"/>
                <w:sz w:val="20"/>
                <w:szCs w:val="20"/>
                <w:lang w:val="en-US"/>
              </w:rPr>
              <w:t>-</w:t>
            </w:r>
          </w:p>
        </w:tc>
        <w:tc>
          <w:tcPr>
            <w:tcW w:w="537" w:type="pct"/>
            <w:tcBorders>
              <w:top w:val="single" w:sz="4" w:space="0" w:color="auto"/>
              <w:left w:val="nil"/>
              <w:bottom w:val="single" w:sz="12" w:space="0" w:color="auto"/>
              <w:right w:val="nil"/>
            </w:tcBorders>
            <w:shd w:val="clear" w:color="auto" w:fill="auto"/>
            <w:vAlign w:val="bottom"/>
          </w:tcPr>
          <w:p w14:paraId="0E342BCC"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Calibri" w:eastAsia="Times New Roman" w:hAnsi="Calibri" w:cs="Times New Roman"/>
                <w:color w:val="000000"/>
                <w:sz w:val="20"/>
                <w:szCs w:val="20"/>
                <w:lang w:val="en-US"/>
              </w:rPr>
              <w:t>-</w:t>
            </w:r>
          </w:p>
        </w:tc>
        <w:tc>
          <w:tcPr>
            <w:tcW w:w="537" w:type="pct"/>
            <w:tcBorders>
              <w:top w:val="single" w:sz="4" w:space="0" w:color="auto"/>
              <w:left w:val="nil"/>
              <w:bottom w:val="single" w:sz="12" w:space="0" w:color="auto"/>
              <w:right w:val="nil"/>
            </w:tcBorders>
            <w:shd w:val="clear" w:color="auto" w:fill="auto"/>
            <w:vAlign w:val="bottom"/>
          </w:tcPr>
          <w:p w14:paraId="0280D83A"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Calibri" w:eastAsia="Times New Roman" w:hAnsi="Calibri" w:cs="Times New Roman"/>
                <w:color w:val="000000"/>
                <w:sz w:val="20"/>
                <w:szCs w:val="20"/>
                <w:lang w:val="en-US"/>
              </w:rPr>
              <w:t>-</w:t>
            </w:r>
          </w:p>
        </w:tc>
        <w:tc>
          <w:tcPr>
            <w:tcW w:w="587" w:type="pct"/>
            <w:tcBorders>
              <w:top w:val="single" w:sz="4" w:space="0" w:color="auto"/>
              <w:left w:val="nil"/>
              <w:bottom w:val="single" w:sz="12" w:space="0" w:color="auto"/>
              <w:right w:val="nil"/>
            </w:tcBorders>
            <w:shd w:val="clear" w:color="auto" w:fill="auto"/>
            <w:vAlign w:val="bottom"/>
          </w:tcPr>
          <w:p w14:paraId="23F3D581"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Calibri" w:eastAsia="Times New Roman" w:hAnsi="Calibri" w:cs="Times New Roman"/>
                <w:color w:val="000000"/>
                <w:sz w:val="20"/>
                <w:szCs w:val="20"/>
                <w:lang w:val="en-US"/>
              </w:rPr>
              <w:t>-</w:t>
            </w:r>
          </w:p>
        </w:tc>
        <w:tc>
          <w:tcPr>
            <w:tcW w:w="593" w:type="pct"/>
            <w:tcBorders>
              <w:top w:val="single" w:sz="4" w:space="0" w:color="auto"/>
              <w:left w:val="nil"/>
              <w:bottom w:val="single" w:sz="12" w:space="0" w:color="auto"/>
              <w:right w:val="nil"/>
            </w:tcBorders>
            <w:shd w:val="clear" w:color="auto" w:fill="auto"/>
            <w:vAlign w:val="bottom"/>
          </w:tcPr>
          <w:p w14:paraId="5C5284B0"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10.025.605</w:t>
            </w:r>
          </w:p>
        </w:tc>
        <w:tc>
          <w:tcPr>
            <w:tcW w:w="597" w:type="pct"/>
            <w:tcBorders>
              <w:top w:val="single" w:sz="4" w:space="0" w:color="auto"/>
              <w:left w:val="nil"/>
              <w:bottom w:val="single" w:sz="12" w:space="0" w:color="auto"/>
              <w:right w:val="nil"/>
            </w:tcBorders>
            <w:shd w:val="clear" w:color="auto" w:fill="auto"/>
            <w:vAlign w:val="bottom"/>
          </w:tcPr>
          <w:p w14:paraId="64B94813"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10.025.605</w:t>
            </w:r>
          </w:p>
        </w:tc>
      </w:tr>
      <w:tr w:rsidR="00AD0961" w:rsidRPr="00AD0961" w14:paraId="1954AA16" w14:textId="77777777" w:rsidTr="00AD0961">
        <w:trPr>
          <w:trHeight w:hRule="exact" w:val="70"/>
        </w:trPr>
        <w:tc>
          <w:tcPr>
            <w:tcW w:w="1627" w:type="pct"/>
          </w:tcPr>
          <w:p w14:paraId="5F0998BE" w14:textId="77777777" w:rsidR="00AD0961" w:rsidRPr="00AD0961" w:rsidRDefault="00AD0961" w:rsidP="00AD0961">
            <w:pPr>
              <w:tabs>
                <w:tab w:val="right" w:pos="1202"/>
              </w:tabs>
              <w:spacing w:after="0" w:line="240" w:lineRule="exact"/>
              <w:outlineLvl w:val="0"/>
              <w:rPr>
                <w:rFonts w:ascii="Calibri" w:eastAsia="Times New Roman" w:hAnsi="Calibri" w:cs="Arial"/>
                <w:b/>
                <w:bCs/>
                <w:sz w:val="18"/>
                <w:szCs w:val="18"/>
              </w:rPr>
            </w:pPr>
          </w:p>
        </w:tc>
        <w:tc>
          <w:tcPr>
            <w:tcW w:w="522" w:type="pct"/>
            <w:tcBorders>
              <w:top w:val="single" w:sz="12" w:space="0" w:color="auto"/>
            </w:tcBorders>
            <w:vAlign w:val="bottom"/>
          </w:tcPr>
          <w:p w14:paraId="0E358FA9"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37" w:type="pct"/>
            <w:tcBorders>
              <w:top w:val="single" w:sz="12" w:space="0" w:color="auto"/>
            </w:tcBorders>
            <w:vAlign w:val="bottom"/>
          </w:tcPr>
          <w:p w14:paraId="37D509AE"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37" w:type="pct"/>
            <w:tcBorders>
              <w:top w:val="single" w:sz="12" w:space="0" w:color="auto"/>
            </w:tcBorders>
            <w:vAlign w:val="bottom"/>
          </w:tcPr>
          <w:p w14:paraId="02E13666"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87" w:type="pct"/>
            <w:tcBorders>
              <w:top w:val="single" w:sz="12" w:space="0" w:color="auto"/>
            </w:tcBorders>
            <w:vAlign w:val="bottom"/>
          </w:tcPr>
          <w:p w14:paraId="14F0A6E6"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93" w:type="pct"/>
            <w:tcBorders>
              <w:top w:val="single" w:sz="12" w:space="0" w:color="auto"/>
            </w:tcBorders>
            <w:vAlign w:val="bottom"/>
          </w:tcPr>
          <w:p w14:paraId="6F3F6FBD"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97" w:type="pct"/>
            <w:tcBorders>
              <w:top w:val="single" w:sz="12" w:space="0" w:color="auto"/>
            </w:tcBorders>
            <w:vAlign w:val="bottom"/>
          </w:tcPr>
          <w:p w14:paraId="6FAEA09D"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r>
      <w:tr w:rsidR="00AD0961" w:rsidRPr="00AD0961" w14:paraId="3972331B" w14:textId="77777777" w:rsidTr="00AD0961">
        <w:trPr>
          <w:trHeight w:val="158"/>
        </w:trPr>
        <w:tc>
          <w:tcPr>
            <w:tcW w:w="1627" w:type="pct"/>
          </w:tcPr>
          <w:p w14:paraId="600DDBFE"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z w:val="18"/>
                <w:szCs w:val="18"/>
              </w:rPr>
              <w:t>Garantni fond</w:t>
            </w:r>
          </w:p>
        </w:tc>
        <w:tc>
          <w:tcPr>
            <w:tcW w:w="522" w:type="pct"/>
            <w:tcBorders>
              <w:left w:val="nil"/>
              <w:bottom w:val="nil"/>
              <w:right w:val="nil"/>
            </w:tcBorders>
            <w:shd w:val="clear" w:color="auto" w:fill="auto"/>
            <w:vAlign w:val="bottom"/>
          </w:tcPr>
          <w:p w14:paraId="0EBD7C7D"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Calibri" w:eastAsia="Times New Roman" w:hAnsi="Calibri" w:cs="Times New Roman"/>
                <w:color w:val="000000"/>
                <w:sz w:val="20"/>
                <w:szCs w:val="20"/>
                <w:lang w:val="en-US"/>
              </w:rPr>
              <w:t>-</w:t>
            </w:r>
          </w:p>
        </w:tc>
        <w:tc>
          <w:tcPr>
            <w:tcW w:w="537" w:type="pct"/>
            <w:tcBorders>
              <w:left w:val="nil"/>
              <w:bottom w:val="nil"/>
              <w:right w:val="nil"/>
            </w:tcBorders>
            <w:shd w:val="clear" w:color="auto" w:fill="auto"/>
            <w:vAlign w:val="bottom"/>
          </w:tcPr>
          <w:p w14:paraId="165D7964"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Calibri" w:eastAsia="Times New Roman" w:hAnsi="Calibri" w:cs="Times New Roman"/>
                <w:color w:val="000000"/>
                <w:sz w:val="20"/>
                <w:szCs w:val="20"/>
                <w:lang w:val="en-US"/>
              </w:rPr>
              <w:t>-</w:t>
            </w:r>
          </w:p>
        </w:tc>
        <w:tc>
          <w:tcPr>
            <w:tcW w:w="537" w:type="pct"/>
            <w:tcBorders>
              <w:left w:val="nil"/>
              <w:bottom w:val="nil"/>
              <w:right w:val="nil"/>
            </w:tcBorders>
            <w:shd w:val="clear" w:color="auto" w:fill="auto"/>
            <w:vAlign w:val="bottom"/>
          </w:tcPr>
          <w:p w14:paraId="1B06AABA"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Calibri" w:eastAsia="Times New Roman" w:hAnsi="Calibri" w:cs="Times New Roman"/>
                <w:color w:val="000000"/>
                <w:sz w:val="20"/>
                <w:szCs w:val="20"/>
                <w:lang w:val="en-US"/>
              </w:rPr>
              <w:t>-</w:t>
            </w:r>
          </w:p>
        </w:tc>
        <w:tc>
          <w:tcPr>
            <w:tcW w:w="587" w:type="pct"/>
            <w:tcBorders>
              <w:left w:val="nil"/>
              <w:bottom w:val="nil"/>
              <w:right w:val="nil"/>
            </w:tcBorders>
            <w:shd w:val="clear" w:color="auto" w:fill="auto"/>
            <w:vAlign w:val="bottom"/>
          </w:tcPr>
          <w:p w14:paraId="69D05A4A" w14:textId="77777777" w:rsidR="00AD0961" w:rsidRPr="00AD0961" w:rsidRDefault="00AD0961" w:rsidP="00AD0961">
            <w:pPr>
              <w:spacing w:after="0" w:line="240" w:lineRule="auto"/>
              <w:jc w:val="right"/>
              <w:rPr>
                <w:rFonts w:ascii="Times New Roman" w:eastAsia="Times New Roman" w:hAnsi="Times New Roman" w:cs="Times New Roman"/>
                <w:sz w:val="20"/>
                <w:szCs w:val="20"/>
                <w:lang w:val="en-US"/>
              </w:rPr>
            </w:pPr>
            <w:r w:rsidRPr="00AD0961">
              <w:rPr>
                <w:rFonts w:ascii="Calibri" w:eastAsia="Times New Roman" w:hAnsi="Calibri" w:cs="Times New Roman"/>
                <w:color w:val="000000"/>
                <w:sz w:val="20"/>
                <w:szCs w:val="20"/>
                <w:lang w:val="en-US"/>
              </w:rPr>
              <w:t>-</w:t>
            </w:r>
          </w:p>
        </w:tc>
        <w:tc>
          <w:tcPr>
            <w:tcW w:w="593" w:type="pct"/>
            <w:tcBorders>
              <w:left w:val="nil"/>
              <w:bottom w:val="nil"/>
              <w:right w:val="nil"/>
            </w:tcBorders>
            <w:shd w:val="clear" w:color="auto" w:fill="auto"/>
            <w:vAlign w:val="bottom"/>
          </w:tcPr>
          <w:p w14:paraId="7924B5FA" w14:textId="77777777" w:rsidR="00AD0961" w:rsidRPr="00AD0961" w:rsidRDefault="00AD0961" w:rsidP="00AD0961">
            <w:pPr>
              <w:spacing w:after="0" w:line="240" w:lineRule="auto"/>
              <w:jc w:val="right"/>
              <w:rPr>
                <w:rFonts w:ascii="Calibri" w:eastAsia="Times New Roman" w:hAnsi="Calibri" w:cs="Times New Roman"/>
                <w:color w:val="000000"/>
                <w:sz w:val="18"/>
                <w:szCs w:val="18"/>
                <w:lang w:val="en-US"/>
              </w:rPr>
            </w:pPr>
            <w:r w:rsidRPr="00AD0961">
              <w:rPr>
                <w:rFonts w:ascii="Calibri" w:eastAsia="Times New Roman" w:hAnsi="Calibri" w:cs="Times New Roman"/>
                <w:color w:val="000000"/>
                <w:sz w:val="18"/>
                <w:szCs w:val="18"/>
                <w:lang w:val="en-US"/>
              </w:rPr>
              <w:t>12.375</w:t>
            </w:r>
          </w:p>
        </w:tc>
        <w:tc>
          <w:tcPr>
            <w:tcW w:w="597" w:type="pct"/>
            <w:tcBorders>
              <w:left w:val="nil"/>
              <w:bottom w:val="nil"/>
              <w:right w:val="nil"/>
            </w:tcBorders>
            <w:shd w:val="clear" w:color="auto" w:fill="auto"/>
            <w:vAlign w:val="bottom"/>
          </w:tcPr>
          <w:p w14:paraId="106623A5" w14:textId="77777777" w:rsidR="00AD0961" w:rsidRPr="00AD0961" w:rsidRDefault="00AD0961" w:rsidP="00AD0961">
            <w:pPr>
              <w:spacing w:after="0" w:line="240" w:lineRule="auto"/>
              <w:jc w:val="right"/>
              <w:rPr>
                <w:rFonts w:ascii="Calibri" w:eastAsia="Times New Roman" w:hAnsi="Calibri" w:cs="Times New Roman"/>
                <w:bCs/>
                <w:color w:val="000000"/>
                <w:sz w:val="18"/>
                <w:szCs w:val="18"/>
                <w:lang w:val="en-US"/>
              </w:rPr>
            </w:pPr>
            <w:r w:rsidRPr="00AD0961">
              <w:rPr>
                <w:rFonts w:ascii="Calibri" w:eastAsia="Times New Roman" w:hAnsi="Calibri" w:cs="Times New Roman"/>
                <w:bCs/>
                <w:color w:val="000000"/>
                <w:sz w:val="18"/>
                <w:szCs w:val="18"/>
                <w:lang w:val="en-US"/>
              </w:rPr>
              <w:t>12.375</w:t>
            </w:r>
          </w:p>
        </w:tc>
      </w:tr>
      <w:tr w:rsidR="00AD0961" w:rsidRPr="00AD0961" w14:paraId="6B472712" w14:textId="77777777" w:rsidTr="00AD0961">
        <w:trPr>
          <w:trHeight w:hRule="exact" w:val="70"/>
        </w:trPr>
        <w:tc>
          <w:tcPr>
            <w:tcW w:w="1627" w:type="pct"/>
          </w:tcPr>
          <w:p w14:paraId="6D1F5531" w14:textId="77777777" w:rsidR="00AD0961" w:rsidRPr="00AD0961" w:rsidRDefault="00AD0961" w:rsidP="00AD0961">
            <w:pPr>
              <w:tabs>
                <w:tab w:val="right" w:pos="1202"/>
              </w:tabs>
              <w:spacing w:after="0" w:line="240" w:lineRule="exact"/>
              <w:outlineLvl w:val="0"/>
              <w:rPr>
                <w:rFonts w:ascii="Calibri" w:eastAsia="Times New Roman" w:hAnsi="Calibri" w:cs="Arial"/>
                <w:sz w:val="18"/>
                <w:szCs w:val="18"/>
              </w:rPr>
            </w:pPr>
            <w:r w:rsidRPr="00AD0961">
              <w:rPr>
                <w:rFonts w:ascii="Calibri" w:eastAsia="Times New Roman" w:hAnsi="Calibri" w:cs="Arial"/>
                <w:sz w:val="18"/>
                <w:szCs w:val="18"/>
              </w:rPr>
              <w:t>-</w:t>
            </w:r>
          </w:p>
        </w:tc>
        <w:tc>
          <w:tcPr>
            <w:tcW w:w="522" w:type="pct"/>
            <w:tcBorders>
              <w:bottom w:val="single" w:sz="6" w:space="0" w:color="auto"/>
            </w:tcBorders>
            <w:vAlign w:val="bottom"/>
          </w:tcPr>
          <w:p w14:paraId="66143674"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37" w:type="pct"/>
            <w:tcBorders>
              <w:bottom w:val="single" w:sz="6" w:space="0" w:color="auto"/>
            </w:tcBorders>
            <w:vAlign w:val="bottom"/>
          </w:tcPr>
          <w:p w14:paraId="3079F182"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37" w:type="pct"/>
            <w:tcBorders>
              <w:bottom w:val="single" w:sz="6" w:space="0" w:color="auto"/>
            </w:tcBorders>
            <w:vAlign w:val="bottom"/>
          </w:tcPr>
          <w:p w14:paraId="5132DB3F"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87" w:type="pct"/>
            <w:tcBorders>
              <w:bottom w:val="single" w:sz="6" w:space="0" w:color="auto"/>
            </w:tcBorders>
            <w:vAlign w:val="bottom"/>
          </w:tcPr>
          <w:p w14:paraId="2711E39E"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93" w:type="pct"/>
            <w:tcBorders>
              <w:bottom w:val="single" w:sz="6" w:space="0" w:color="auto"/>
            </w:tcBorders>
            <w:vAlign w:val="bottom"/>
          </w:tcPr>
          <w:p w14:paraId="7455F52B"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c>
          <w:tcPr>
            <w:tcW w:w="597" w:type="pct"/>
            <w:tcBorders>
              <w:bottom w:val="single" w:sz="6" w:space="0" w:color="auto"/>
            </w:tcBorders>
            <w:vAlign w:val="bottom"/>
          </w:tcPr>
          <w:p w14:paraId="20AB6B7C" w14:textId="77777777" w:rsidR="00AD0961" w:rsidRPr="00AD0961" w:rsidRDefault="00AD0961" w:rsidP="00AD0961">
            <w:pPr>
              <w:spacing w:after="0" w:line="240" w:lineRule="exact"/>
              <w:jc w:val="right"/>
              <w:outlineLvl w:val="0"/>
              <w:rPr>
                <w:rFonts w:ascii="Calibri" w:eastAsia="Times New Roman" w:hAnsi="Calibri" w:cs="Arial"/>
                <w:spacing w:val="-2"/>
                <w:sz w:val="18"/>
                <w:szCs w:val="18"/>
              </w:rPr>
            </w:pPr>
          </w:p>
        </w:tc>
      </w:tr>
      <w:tr w:rsidR="00AD0961" w:rsidRPr="00AD0961" w14:paraId="548C4CE9" w14:textId="77777777" w:rsidTr="00AD0961">
        <w:trPr>
          <w:trHeight w:val="150"/>
        </w:trPr>
        <w:tc>
          <w:tcPr>
            <w:tcW w:w="1627" w:type="pct"/>
          </w:tcPr>
          <w:p w14:paraId="23B2D221" w14:textId="77777777" w:rsidR="00AD0961" w:rsidRPr="00AD0961" w:rsidRDefault="00AD0961" w:rsidP="00AD0961">
            <w:pPr>
              <w:tabs>
                <w:tab w:val="right" w:pos="1202"/>
              </w:tabs>
              <w:spacing w:after="0" w:line="240" w:lineRule="exact"/>
              <w:outlineLvl w:val="0"/>
              <w:rPr>
                <w:rFonts w:ascii="Calibri" w:eastAsia="Times New Roman" w:hAnsi="Calibri" w:cs="Arial"/>
                <w:b/>
                <w:bCs/>
                <w:sz w:val="18"/>
                <w:szCs w:val="18"/>
              </w:rPr>
            </w:pPr>
            <w:r w:rsidRPr="00AD0961">
              <w:rPr>
                <w:rFonts w:ascii="Calibri" w:eastAsia="Times New Roman" w:hAnsi="Calibri" w:cs="Arial"/>
                <w:b/>
                <w:bCs/>
                <w:sz w:val="18"/>
                <w:szCs w:val="18"/>
              </w:rPr>
              <w:t>Ukupna glavnica</w:t>
            </w:r>
          </w:p>
        </w:tc>
        <w:tc>
          <w:tcPr>
            <w:tcW w:w="522" w:type="pct"/>
            <w:tcBorders>
              <w:top w:val="single" w:sz="4" w:space="0" w:color="auto"/>
              <w:left w:val="nil"/>
              <w:bottom w:val="single" w:sz="8" w:space="0" w:color="auto"/>
              <w:right w:val="nil"/>
            </w:tcBorders>
            <w:shd w:val="clear" w:color="auto" w:fill="auto"/>
            <w:vAlign w:val="bottom"/>
          </w:tcPr>
          <w:p w14:paraId="1E3407BE"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w:t>
            </w:r>
          </w:p>
        </w:tc>
        <w:tc>
          <w:tcPr>
            <w:tcW w:w="537" w:type="pct"/>
            <w:tcBorders>
              <w:top w:val="single" w:sz="4" w:space="0" w:color="auto"/>
              <w:left w:val="nil"/>
              <w:bottom w:val="single" w:sz="8" w:space="0" w:color="auto"/>
              <w:right w:val="nil"/>
            </w:tcBorders>
            <w:shd w:val="clear" w:color="auto" w:fill="auto"/>
            <w:vAlign w:val="bottom"/>
          </w:tcPr>
          <w:p w14:paraId="4D19D000"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w:t>
            </w:r>
          </w:p>
        </w:tc>
        <w:tc>
          <w:tcPr>
            <w:tcW w:w="537" w:type="pct"/>
            <w:tcBorders>
              <w:top w:val="single" w:sz="4" w:space="0" w:color="auto"/>
              <w:left w:val="nil"/>
              <w:bottom w:val="single" w:sz="8" w:space="0" w:color="auto"/>
              <w:right w:val="nil"/>
            </w:tcBorders>
            <w:shd w:val="clear" w:color="auto" w:fill="auto"/>
            <w:vAlign w:val="bottom"/>
          </w:tcPr>
          <w:p w14:paraId="724D70E1"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w:t>
            </w:r>
          </w:p>
        </w:tc>
        <w:tc>
          <w:tcPr>
            <w:tcW w:w="587" w:type="pct"/>
            <w:tcBorders>
              <w:top w:val="single" w:sz="4" w:space="0" w:color="auto"/>
              <w:left w:val="nil"/>
              <w:bottom w:val="single" w:sz="8" w:space="0" w:color="auto"/>
              <w:right w:val="nil"/>
            </w:tcBorders>
            <w:shd w:val="clear" w:color="auto" w:fill="auto"/>
            <w:vAlign w:val="bottom"/>
          </w:tcPr>
          <w:p w14:paraId="1FF0629F"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w:t>
            </w:r>
          </w:p>
        </w:tc>
        <w:tc>
          <w:tcPr>
            <w:tcW w:w="593" w:type="pct"/>
            <w:tcBorders>
              <w:top w:val="single" w:sz="4" w:space="0" w:color="auto"/>
              <w:left w:val="nil"/>
              <w:bottom w:val="single" w:sz="8" w:space="0" w:color="auto"/>
              <w:right w:val="nil"/>
            </w:tcBorders>
            <w:shd w:val="clear" w:color="auto" w:fill="auto"/>
            <w:vAlign w:val="bottom"/>
          </w:tcPr>
          <w:p w14:paraId="64044367"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10.037.980</w:t>
            </w:r>
          </w:p>
        </w:tc>
        <w:tc>
          <w:tcPr>
            <w:tcW w:w="597" w:type="pct"/>
            <w:tcBorders>
              <w:top w:val="single" w:sz="4" w:space="0" w:color="auto"/>
              <w:left w:val="nil"/>
              <w:bottom w:val="single" w:sz="8" w:space="0" w:color="auto"/>
              <w:right w:val="nil"/>
            </w:tcBorders>
            <w:shd w:val="clear" w:color="auto" w:fill="auto"/>
            <w:vAlign w:val="bottom"/>
          </w:tcPr>
          <w:p w14:paraId="129AB7DD"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10.037.980</w:t>
            </w:r>
          </w:p>
        </w:tc>
      </w:tr>
      <w:tr w:rsidR="00AD0961" w:rsidRPr="00AD0961" w14:paraId="78933E86" w14:textId="77777777" w:rsidTr="00AD0961">
        <w:trPr>
          <w:trHeight w:val="185"/>
        </w:trPr>
        <w:tc>
          <w:tcPr>
            <w:tcW w:w="1627" w:type="pct"/>
            <w:vAlign w:val="center"/>
          </w:tcPr>
          <w:p w14:paraId="256F6641" w14:textId="77777777" w:rsidR="00AD0961" w:rsidRPr="00AD0961" w:rsidRDefault="00AD0961" w:rsidP="00AD0961">
            <w:pPr>
              <w:tabs>
                <w:tab w:val="right" w:pos="1202"/>
              </w:tabs>
              <w:spacing w:after="0" w:line="240" w:lineRule="exact"/>
              <w:outlineLvl w:val="0"/>
              <w:rPr>
                <w:rFonts w:ascii="Calibri" w:eastAsia="Times New Roman" w:hAnsi="Calibri" w:cs="Arial"/>
                <w:b/>
                <w:bCs/>
                <w:sz w:val="18"/>
                <w:szCs w:val="18"/>
              </w:rPr>
            </w:pPr>
            <w:r w:rsidRPr="00AD0961">
              <w:rPr>
                <w:rFonts w:ascii="Calibri" w:eastAsia="Times New Roman" w:hAnsi="Calibri" w:cs="Arial"/>
                <w:b/>
                <w:bCs/>
                <w:sz w:val="18"/>
                <w:szCs w:val="18"/>
              </w:rPr>
              <w:t>Ukupne obveze i glavnica (2)</w:t>
            </w:r>
          </w:p>
        </w:tc>
        <w:tc>
          <w:tcPr>
            <w:tcW w:w="522" w:type="pct"/>
            <w:tcBorders>
              <w:top w:val="nil"/>
              <w:left w:val="nil"/>
              <w:bottom w:val="single" w:sz="12" w:space="0" w:color="auto"/>
              <w:right w:val="nil"/>
            </w:tcBorders>
            <w:shd w:val="clear" w:color="auto" w:fill="auto"/>
            <w:vAlign w:val="bottom"/>
          </w:tcPr>
          <w:p w14:paraId="3DB29CC3"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581.592</w:t>
            </w:r>
          </w:p>
        </w:tc>
        <w:tc>
          <w:tcPr>
            <w:tcW w:w="537" w:type="pct"/>
            <w:tcBorders>
              <w:top w:val="nil"/>
              <w:left w:val="nil"/>
              <w:bottom w:val="single" w:sz="12" w:space="0" w:color="auto"/>
              <w:right w:val="nil"/>
            </w:tcBorders>
            <w:shd w:val="clear" w:color="auto" w:fill="auto"/>
            <w:vAlign w:val="bottom"/>
          </w:tcPr>
          <w:p w14:paraId="0834B3D1"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361.920</w:t>
            </w:r>
          </w:p>
        </w:tc>
        <w:tc>
          <w:tcPr>
            <w:tcW w:w="537" w:type="pct"/>
            <w:tcBorders>
              <w:top w:val="nil"/>
              <w:left w:val="nil"/>
              <w:bottom w:val="single" w:sz="12" w:space="0" w:color="auto"/>
              <w:right w:val="nil"/>
            </w:tcBorders>
            <w:shd w:val="clear" w:color="auto" w:fill="auto"/>
            <w:vAlign w:val="bottom"/>
          </w:tcPr>
          <w:p w14:paraId="68E31DA2"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3.019.944</w:t>
            </w:r>
          </w:p>
        </w:tc>
        <w:tc>
          <w:tcPr>
            <w:tcW w:w="587" w:type="pct"/>
            <w:tcBorders>
              <w:top w:val="nil"/>
              <w:left w:val="nil"/>
              <w:bottom w:val="single" w:sz="12" w:space="0" w:color="auto"/>
              <w:right w:val="nil"/>
            </w:tcBorders>
            <w:shd w:val="clear" w:color="auto" w:fill="auto"/>
            <w:vAlign w:val="bottom"/>
          </w:tcPr>
          <w:p w14:paraId="6BF4BF58"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3.294.706</w:t>
            </w:r>
          </w:p>
        </w:tc>
        <w:tc>
          <w:tcPr>
            <w:tcW w:w="593" w:type="pct"/>
            <w:tcBorders>
              <w:top w:val="nil"/>
              <w:left w:val="nil"/>
              <w:bottom w:val="single" w:sz="12" w:space="0" w:color="auto"/>
              <w:right w:val="nil"/>
            </w:tcBorders>
            <w:shd w:val="clear" w:color="auto" w:fill="auto"/>
            <w:vAlign w:val="bottom"/>
          </w:tcPr>
          <w:p w14:paraId="275D7799"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20.116.754</w:t>
            </w:r>
          </w:p>
        </w:tc>
        <w:tc>
          <w:tcPr>
            <w:tcW w:w="597" w:type="pct"/>
            <w:tcBorders>
              <w:top w:val="nil"/>
              <w:left w:val="nil"/>
              <w:bottom w:val="single" w:sz="12" w:space="0" w:color="auto"/>
              <w:right w:val="nil"/>
            </w:tcBorders>
            <w:shd w:val="clear" w:color="auto" w:fill="auto"/>
            <w:vAlign w:val="bottom"/>
          </w:tcPr>
          <w:p w14:paraId="47C20053"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27.374.916</w:t>
            </w:r>
          </w:p>
        </w:tc>
      </w:tr>
      <w:tr w:rsidR="00AD0961" w:rsidRPr="00AD0961" w14:paraId="7316E881" w14:textId="77777777" w:rsidTr="00AD0961">
        <w:trPr>
          <w:trHeight w:val="303"/>
        </w:trPr>
        <w:tc>
          <w:tcPr>
            <w:tcW w:w="1627" w:type="pct"/>
          </w:tcPr>
          <w:p w14:paraId="43D29ABB" w14:textId="77777777" w:rsidR="00AD0961" w:rsidRPr="00AD0961" w:rsidRDefault="00AD0961" w:rsidP="00AD0961">
            <w:pPr>
              <w:tabs>
                <w:tab w:val="right" w:pos="1202"/>
              </w:tabs>
              <w:spacing w:after="0" w:line="240" w:lineRule="exact"/>
              <w:outlineLvl w:val="0"/>
              <w:rPr>
                <w:rFonts w:ascii="Calibri" w:eastAsia="Times New Roman" w:hAnsi="Calibri" w:cs="Arial"/>
                <w:b/>
                <w:bCs/>
                <w:spacing w:val="-2"/>
                <w:sz w:val="18"/>
                <w:szCs w:val="18"/>
              </w:rPr>
            </w:pPr>
            <w:r w:rsidRPr="00AD0961">
              <w:rPr>
                <w:rFonts w:ascii="Calibri" w:eastAsia="Times New Roman" w:hAnsi="Calibri" w:cs="Arial"/>
                <w:b/>
                <w:bCs/>
                <w:spacing w:val="-2"/>
                <w:sz w:val="18"/>
                <w:szCs w:val="18"/>
              </w:rPr>
              <w:t>Neto ukupna imovina/ukupne obveze i glavnica (1) – (2)</w:t>
            </w:r>
          </w:p>
        </w:tc>
        <w:tc>
          <w:tcPr>
            <w:tcW w:w="522" w:type="pct"/>
            <w:tcBorders>
              <w:top w:val="single" w:sz="12" w:space="0" w:color="auto"/>
              <w:left w:val="nil"/>
              <w:bottom w:val="single" w:sz="12" w:space="0" w:color="auto"/>
              <w:right w:val="nil"/>
            </w:tcBorders>
            <w:shd w:val="clear" w:color="auto" w:fill="auto"/>
            <w:vAlign w:val="bottom"/>
          </w:tcPr>
          <w:p w14:paraId="0186E21C"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5.350.318</w:t>
            </w:r>
          </w:p>
        </w:tc>
        <w:tc>
          <w:tcPr>
            <w:tcW w:w="537" w:type="pct"/>
            <w:tcBorders>
              <w:top w:val="single" w:sz="12" w:space="0" w:color="auto"/>
              <w:left w:val="nil"/>
              <w:bottom w:val="single" w:sz="12" w:space="0" w:color="auto"/>
              <w:right w:val="nil"/>
            </w:tcBorders>
            <w:shd w:val="clear" w:color="auto" w:fill="auto"/>
            <w:vAlign w:val="bottom"/>
          </w:tcPr>
          <w:p w14:paraId="2E9D0E69"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503.923</w:t>
            </w:r>
          </w:p>
        </w:tc>
        <w:tc>
          <w:tcPr>
            <w:tcW w:w="537" w:type="pct"/>
            <w:tcBorders>
              <w:top w:val="single" w:sz="12" w:space="0" w:color="auto"/>
              <w:left w:val="nil"/>
              <w:bottom w:val="single" w:sz="12" w:space="0" w:color="auto"/>
              <w:right w:val="nil"/>
            </w:tcBorders>
            <w:shd w:val="clear" w:color="auto" w:fill="auto"/>
            <w:vAlign w:val="bottom"/>
          </w:tcPr>
          <w:p w14:paraId="5A3E9B80"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(295.493)</w:t>
            </w:r>
          </w:p>
        </w:tc>
        <w:tc>
          <w:tcPr>
            <w:tcW w:w="587" w:type="pct"/>
            <w:tcBorders>
              <w:top w:val="single" w:sz="12" w:space="0" w:color="auto"/>
              <w:left w:val="nil"/>
              <w:bottom w:val="single" w:sz="12" w:space="0" w:color="auto"/>
              <w:right w:val="nil"/>
            </w:tcBorders>
            <w:shd w:val="clear" w:color="auto" w:fill="auto"/>
            <w:vAlign w:val="bottom"/>
          </w:tcPr>
          <w:p w14:paraId="2EE05C2C"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1.699.798</w:t>
            </w:r>
          </w:p>
        </w:tc>
        <w:tc>
          <w:tcPr>
            <w:tcW w:w="593" w:type="pct"/>
            <w:tcBorders>
              <w:top w:val="single" w:sz="12" w:space="0" w:color="auto"/>
              <w:left w:val="nil"/>
              <w:bottom w:val="single" w:sz="12" w:space="0" w:color="auto"/>
              <w:right w:val="nil"/>
            </w:tcBorders>
            <w:shd w:val="clear" w:color="auto" w:fill="auto"/>
            <w:vAlign w:val="bottom"/>
          </w:tcPr>
          <w:p w14:paraId="703CDDE5"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(7.258.546)</w:t>
            </w:r>
          </w:p>
        </w:tc>
        <w:tc>
          <w:tcPr>
            <w:tcW w:w="597" w:type="pct"/>
            <w:tcBorders>
              <w:top w:val="single" w:sz="12" w:space="0" w:color="auto"/>
              <w:left w:val="nil"/>
              <w:bottom w:val="single" w:sz="12" w:space="0" w:color="auto"/>
              <w:right w:val="nil"/>
            </w:tcBorders>
            <w:shd w:val="clear" w:color="auto" w:fill="auto"/>
            <w:vAlign w:val="bottom"/>
          </w:tcPr>
          <w:p w14:paraId="6A199931"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w:t>
            </w:r>
          </w:p>
        </w:tc>
      </w:tr>
      <w:tr w:rsidR="00AD0961" w:rsidRPr="00AD0961" w14:paraId="6C2B4E7D" w14:textId="77777777" w:rsidTr="00AD0961">
        <w:trPr>
          <w:trHeight w:val="334"/>
        </w:trPr>
        <w:tc>
          <w:tcPr>
            <w:tcW w:w="1627" w:type="pct"/>
            <w:vAlign w:val="bottom"/>
          </w:tcPr>
          <w:p w14:paraId="50E298CB" w14:textId="77777777" w:rsidR="00AD0961" w:rsidRPr="00AD0961" w:rsidRDefault="00AD0961" w:rsidP="00AD0961">
            <w:pPr>
              <w:tabs>
                <w:tab w:val="right" w:pos="1202"/>
              </w:tabs>
              <w:spacing w:after="0" w:line="240" w:lineRule="exact"/>
              <w:outlineLvl w:val="0"/>
              <w:rPr>
                <w:rFonts w:ascii="Calibri" w:eastAsia="Times New Roman" w:hAnsi="Calibri" w:cs="Arial"/>
                <w:b/>
                <w:bCs/>
                <w:spacing w:val="-2"/>
                <w:sz w:val="18"/>
                <w:szCs w:val="18"/>
              </w:rPr>
            </w:pPr>
            <w:r w:rsidRPr="00AD0961">
              <w:rPr>
                <w:rFonts w:ascii="Calibri" w:eastAsia="Times New Roman" w:hAnsi="Calibri" w:cs="Arial"/>
                <w:b/>
                <w:bCs/>
                <w:spacing w:val="-2"/>
                <w:sz w:val="18"/>
                <w:szCs w:val="18"/>
              </w:rPr>
              <w:t xml:space="preserve">Neto kumulativ ukupna imovina/ukupne obveze i glavnica </w:t>
            </w:r>
          </w:p>
        </w:tc>
        <w:tc>
          <w:tcPr>
            <w:tcW w:w="522" w:type="pct"/>
            <w:tcBorders>
              <w:top w:val="nil"/>
              <w:left w:val="nil"/>
              <w:bottom w:val="single" w:sz="12" w:space="0" w:color="000000"/>
              <w:right w:val="nil"/>
            </w:tcBorders>
            <w:shd w:val="clear" w:color="auto" w:fill="auto"/>
            <w:vAlign w:val="bottom"/>
          </w:tcPr>
          <w:p w14:paraId="200C8E5F"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5.350.318</w:t>
            </w:r>
          </w:p>
        </w:tc>
        <w:tc>
          <w:tcPr>
            <w:tcW w:w="537" w:type="pct"/>
            <w:tcBorders>
              <w:top w:val="nil"/>
              <w:left w:val="nil"/>
              <w:bottom w:val="single" w:sz="12" w:space="0" w:color="000000"/>
              <w:right w:val="nil"/>
            </w:tcBorders>
            <w:shd w:val="clear" w:color="auto" w:fill="auto"/>
            <w:vAlign w:val="bottom"/>
          </w:tcPr>
          <w:p w14:paraId="1CBE9833"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5.854.241</w:t>
            </w:r>
          </w:p>
        </w:tc>
        <w:tc>
          <w:tcPr>
            <w:tcW w:w="537" w:type="pct"/>
            <w:tcBorders>
              <w:top w:val="nil"/>
              <w:left w:val="nil"/>
              <w:bottom w:val="single" w:sz="12" w:space="0" w:color="000000"/>
              <w:right w:val="nil"/>
            </w:tcBorders>
            <w:shd w:val="clear" w:color="auto" w:fill="auto"/>
            <w:vAlign w:val="bottom"/>
          </w:tcPr>
          <w:p w14:paraId="56E18D28"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5.558.748</w:t>
            </w:r>
          </w:p>
        </w:tc>
        <w:tc>
          <w:tcPr>
            <w:tcW w:w="587" w:type="pct"/>
            <w:tcBorders>
              <w:top w:val="nil"/>
              <w:left w:val="nil"/>
              <w:bottom w:val="single" w:sz="12" w:space="0" w:color="000000"/>
              <w:right w:val="nil"/>
            </w:tcBorders>
            <w:shd w:val="clear" w:color="auto" w:fill="auto"/>
            <w:vAlign w:val="bottom"/>
          </w:tcPr>
          <w:p w14:paraId="25F10CF4"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7.258.546</w:t>
            </w:r>
          </w:p>
        </w:tc>
        <w:tc>
          <w:tcPr>
            <w:tcW w:w="593" w:type="pct"/>
            <w:tcBorders>
              <w:top w:val="nil"/>
              <w:left w:val="nil"/>
              <w:bottom w:val="single" w:sz="12" w:space="0" w:color="000000"/>
              <w:right w:val="nil"/>
            </w:tcBorders>
            <w:shd w:val="clear" w:color="auto" w:fill="auto"/>
            <w:vAlign w:val="bottom"/>
          </w:tcPr>
          <w:p w14:paraId="2B8AA2D1"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w:t>
            </w:r>
          </w:p>
        </w:tc>
        <w:tc>
          <w:tcPr>
            <w:tcW w:w="597" w:type="pct"/>
            <w:tcBorders>
              <w:top w:val="nil"/>
              <w:left w:val="nil"/>
              <w:bottom w:val="single" w:sz="12" w:space="0" w:color="000000"/>
              <w:right w:val="nil"/>
            </w:tcBorders>
            <w:shd w:val="clear" w:color="auto" w:fill="auto"/>
            <w:vAlign w:val="bottom"/>
          </w:tcPr>
          <w:p w14:paraId="0094EBEB" w14:textId="77777777" w:rsidR="00AD0961" w:rsidRPr="00AD0961" w:rsidRDefault="00AD0961" w:rsidP="00AD0961">
            <w:pPr>
              <w:spacing w:after="0" w:line="240" w:lineRule="auto"/>
              <w:jc w:val="right"/>
              <w:rPr>
                <w:rFonts w:ascii="Calibri" w:eastAsia="Times New Roman" w:hAnsi="Calibri" w:cs="Times New Roman"/>
                <w:b/>
                <w:bCs/>
                <w:color w:val="000000"/>
                <w:sz w:val="18"/>
                <w:szCs w:val="18"/>
                <w:lang w:val="en-US"/>
              </w:rPr>
            </w:pPr>
            <w:r w:rsidRPr="00AD0961">
              <w:rPr>
                <w:rFonts w:ascii="Calibri" w:eastAsia="Times New Roman" w:hAnsi="Calibri" w:cs="Times New Roman"/>
                <w:b/>
                <w:bCs/>
                <w:color w:val="000000"/>
                <w:sz w:val="18"/>
                <w:szCs w:val="18"/>
                <w:lang w:val="en-US"/>
              </w:rPr>
              <w:t>-</w:t>
            </w:r>
          </w:p>
        </w:tc>
      </w:tr>
      <w:tr w:rsidR="00AD0961" w:rsidRPr="00AD0961" w14:paraId="5FFF8D26" w14:textId="77777777" w:rsidTr="00AD0961">
        <w:trPr>
          <w:trHeight w:hRule="exact" w:val="76"/>
        </w:trPr>
        <w:tc>
          <w:tcPr>
            <w:tcW w:w="1627" w:type="pct"/>
            <w:vAlign w:val="bottom"/>
          </w:tcPr>
          <w:p w14:paraId="546F137C" w14:textId="77777777" w:rsidR="00AD0961" w:rsidRPr="00AD0961" w:rsidRDefault="00AD0961" w:rsidP="00AD0961">
            <w:pPr>
              <w:tabs>
                <w:tab w:val="right" w:pos="1202"/>
              </w:tabs>
              <w:spacing w:after="0" w:line="240" w:lineRule="exact"/>
              <w:outlineLvl w:val="0"/>
              <w:rPr>
                <w:rFonts w:ascii="Calibri" w:eastAsia="Times New Roman" w:hAnsi="Calibri" w:cs="Arial"/>
                <w:b/>
                <w:bCs/>
                <w:spacing w:val="-2"/>
                <w:sz w:val="18"/>
                <w:szCs w:val="18"/>
              </w:rPr>
            </w:pPr>
          </w:p>
        </w:tc>
        <w:tc>
          <w:tcPr>
            <w:tcW w:w="522" w:type="pct"/>
            <w:tcBorders>
              <w:top w:val="single" w:sz="12" w:space="0" w:color="auto"/>
              <w:left w:val="nil"/>
              <w:right w:val="nil"/>
            </w:tcBorders>
            <w:shd w:val="clear" w:color="auto" w:fill="auto"/>
            <w:vAlign w:val="bottom"/>
          </w:tcPr>
          <w:p w14:paraId="444B6E03" w14:textId="77777777" w:rsidR="00AD0961" w:rsidRPr="00AD0961" w:rsidRDefault="00AD0961" w:rsidP="00AD0961">
            <w:pPr>
              <w:spacing w:after="0" w:line="240" w:lineRule="exact"/>
              <w:jc w:val="right"/>
              <w:outlineLvl w:val="0"/>
              <w:rPr>
                <w:rFonts w:ascii="Calibri" w:eastAsia="Times New Roman" w:hAnsi="Calibri" w:cs="Arial"/>
                <w:b/>
                <w:sz w:val="18"/>
                <w:szCs w:val="18"/>
              </w:rPr>
            </w:pPr>
          </w:p>
        </w:tc>
        <w:tc>
          <w:tcPr>
            <w:tcW w:w="537" w:type="pct"/>
            <w:tcBorders>
              <w:top w:val="single" w:sz="12" w:space="0" w:color="auto"/>
              <w:left w:val="nil"/>
              <w:right w:val="nil"/>
            </w:tcBorders>
            <w:shd w:val="clear" w:color="auto" w:fill="auto"/>
            <w:vAlign w:val="bottom"/>
          </w:tcPr>
          <w:p w14:paraId="1CC84D7F" w14:textId="77777777" w:rsidR="00AD0961" w:rsidRPr="00AD0961" w:rsidRDefault="00AD0961" w:rsidP="00AD0961">
            <w:pPr>
              <w:spacing w:after="0" w:line="240" w:lineRule="exact"/>
              <w:jc w:val="right"/>
              <w:outlineLvl w:val="0"/>
              <w:rPr>
                <w:rFonts w:ascii="Calibri" w:eastAsia="Times New Roman" w:hAnsi="Calibri" w:cs="Arial"/>
                <w:b/>
                <w:sz w:val="18"/>
                <w:szCs w:val="18"/>
              </w:rPr>
            </w:pPr>
          </w:p>
        </w:tc>
        <w:tc>
          <w:tcPr>
            <w:tcW w:w="537" w:type="pct"/>
            <w:tcBorders>
              <w:top w:val="single" w:sz="12" w:space="0" w:color="auto"/>
              <w:left w:val="nil"/>
              <w:right w:val="nil"/>
            </w:tcBorders>
            <w:shd w:val="clear" w:color="auto" w:fill="auto"/>
            <w:vAlign w:val="bottom"/>
          </w:tcPr>
          <w:p w14:paraId="4B51C3E6" w14:textId="77777777" w:rsidR="00AD0961" w:rsidRPr="00AD0961" w:rsidRDefault="00AD0961" w:rsidP="00AD0961">
            <w:pPr>
              <w:spacing w:after="0" w:line="240" w:lineRule="exact"/>
              <w:jc w:val="right"/>
              <w:outlineLvl w:val="0"/>
              <w:rPr>
                <w:rFonts w:ascii="Calibri" w:eastAsia="Times New Roman" w:hAnsi="Calibri" w:cs="Arial"/>
                <w:b/>
                <w:sz w:val="18"/>
                <w:szCs w:val="18"/>
              </w:rPr>
            </w:pPr>
          </w:p>
        </w:tc>
        <w:tc>
          <w:tcPr>
            <w:tcW w:w="587" w:type="pct"/>
            <w:tcBorders>
              <w:top w:val="single" w:sz="12" w:space="0" w:color="auto"/>
              <w:left w:val="nil"/>
              <w:right w:val="nil"/>
            </w:tcBorders>
            <w:shd w:val="clear" w:color="auto" w:fill="auto"/>
            <w:vAlign w:val="bottom"/>
          </w:tcPr>
          <w:p w14:paraId="1AD52254" w14:textId="77777777" w:rsidR="00AD0961" w:rsidRPr="00AD0961" w:rsidRDefault="00AD0961" w:rsidP="00AD0961">
            <w:pPr>
              <w:spacing w:after="0" w:line="240" w:lineRule="exact"/>
              <w:jc w:val="right"/>
              <w:outlineLvl w:val="0"/>
              <w:rPr>
                <w:rFonts w:ascii="Calibri" w:eastAsia="Times New Roman" w:hAnsi="Calibri" w:cs="Arial"/>
                <w:b/>
                <w:sz w:val="18"/>
                <w:szCs w:val="18"/>
              </w:rPr>
            </w:pPr>
          </w:p>
        </w:tc>
        <w:tc>
          <w:tcPr>
            <w:tcW w:w="593" w:type="pct"/>
            <w:tcBorders>
              <w:top w:val="single" w:sz="12" w:space="0" w:color="auto"/>
              <w:left w:val="nil"/>
              <w:right w:val="nil"/>
            </w:tcBorders>
            <w:shd w:val="clear" w:color="auto" w:fill="auto"/>
            <w:vAlign w:val="bottom"/>
          </w:tcPr>
          <w:p w14:paraId="7D92A6D6" w14:textId="77777777" w:rsidR="00AD0961" w:rsidRPr="00AD0961" w:rsidRDefault="00AD0961" w:rsidP="00AD0961">
            <w:pPr>
              <w:spacing w:after="0" w:line="240" w:lineRule="exact"/>
              <w:jc w:val="right"/>
              <w:outlineLvl w:val="0"/>
              <w:rPr>
                <w:rFonts w:ascii="Calibri" w:eastAsia="Times New Roman" w:hAnsi="Calibri" w:cs="Arial"/>
                <w:b/>
                <w:sz w:val="18"/>
                <w:szCs w:val="18"/>
              </w:rPr>
            </w:pPr>
          </w:p>
        </w:tc>
        <w:tc>
          <w:tcPr>
            <w:tcW w:w="597" w:type="pct"/>
            <w:tcBorders>
              <w:top w:val="single" w:sz="12" w:space="0" w:color="auto"/>
              <w:left w:val="nil"/>
              <w:right w:val="nil"/>
            </w:tcBorders>
            <w:shd w:val="clear" w:color="auto" w:fill="auto"/>
            <w:vAlign w:val="bottom"/>
          </w:tcPr>
          <w:p w14:paraId="7E175407" w14:textId="77777777" w:rsidR="00AD0961" w:rsidRPr="00AD0961" w:rsidRDefault="00AD0961" w:rsidP="00AD0961">
            <w:pPr>
              <w:spacing w:after="0" w:line="240" w:lineRule="exact"/>
              <w:jc w:val="right"/>
              <w:outlineLvl w:val="0"/>
              <w:rPr>
                <w:rFonts w:ascii="Calibri" w:eastAsia="Times New Roman" w:hAnsi="Calibri" w:cs="Arial"/>
                <w:b/>
                <w:sz w:val="18"/>
                <w:szCs w:val="18"/>
              </w:rPr>
            </w:pPr>
          </w:p>
        </w:tc>
      </w:tr>
    </w:tbl>
    <w:p w14:paraId="7A551E14" w14:textId="77777777" w:rsidR="00CE2C44" w:rsidRDefault="00CE2C44" w:rsidP="00CE2C44">
      <w:pPr>
        <w:pStyle w:val="accountingpolicytitle"/>
        <w:spacing w:line="240" w:lineRule="exact"/>
        <w:rPr>
          <w:rFonts w:asciiTheme="minorHAnsi" w:hAnsiTheme="minorHAnsi" w:cs="Arial"/>
          <w:b w:val="0"/>
          <w:bCs/>
          <w:sz w:val="18"/>
          <w:szCs w:val="18"/>
          <w:lang w:val="hr-HR"/>
        </w:rPr>
      </w:pPr>
    </w:p>
    <w:p w14:paraId="2E6FCEEA" w14:textId="77777777" w:rsidR="00CE2C44" w:rsidRDefault="00CE2C44" w:rsidP="00CE2C44">
      <w:pPr>
        <w:pStyle w:val="accountingpolicytitle"/>
        <w:rPr>
          <w:rFonts w:asciiTheme="minorHAnsi" w:hAnsiTheme="minorHAnsi" w:cs="Arial"/>
          <w:b w:val="0"/>
          <w:bCs/>
          <w:sz w:val="18"/>
          <w:szCs w:val="18"/>
          <w:lang w:val="hr-HR"/>
        </w:rPr>
      </w:pPr>
      <w:r w:rsidRPr="00CE2C44">
        <w:rPr>
          <w:rFonts w:asciiTheme="minorHAnsi" w:hAnsiTheme="minorHAnsi" w:cs="Arial"/>
          <w:b w:val="0"/>
          <w:bCs/>
          <w:sz w:val="18"/>
          <w:szCs w:val="18"/>
          <w:lang w:val="hr-HR"/>
        </w:rPr>
        <w:t>Stavke sa neodređenim dospijećem iskazane su u razdoblju preko 3 godine.</w:t>
      </w:r>
    </w:p>
    <w:p w14:paraId="1261C558" w14:textId="77777777" w:rsidR="00CE2C44" w:rsidRPr="00CE2C44" w:rsidRDefault="00CE2C44" w:rsidP="00CE2C44">
      <w:pPr>
        <w:pStyle w:val="accountingpolicytitle"/>
        <w:rPr>
          <w:rFonts w:asciiTheme="minorHAnsi" w:hAnsiTheme="minorHAnsi"/>
          <w:b w:val="0"/>
          <w:i/>
          <w:sz w:val="18"/>
          <w:szCs w:val="18"/>
          <w:lang w:val="hr-HR"/>
        </w:rPr>
      </w:pPr>
    </w:p>
    <w:p w14:paraId="4BDC8EBE" w14:textId="1730D80E" w:rsidR="004B16B5" w:rsidRPr="00AD0961" w:rsidRDefault="00AD0961" w:rsidP="004B16B5">
      <w:pPr>
        <w:keepNext/>
        <w:spacing w:after="0" w:line="240" w:lineRule="exact"/>
        <w:jc w:val="both"/>
        <w:rPr>
          <w:rFonts w:eastAsia="Times New Roman" w:cs="Times New Roman"/>
          <w:bCs/>
          <w:i/>
          <w:sz w:val="18"/>
          <w:szCs w:val="18"/>
        </w:rPr>
      </w:pPr>
      <w:r w:rsidRPr="00AD0961">
        <w:rPr>
          <w:rFonts w:eastAsia="Times New Roman" w:cs="Times New Roman"/>
          <w:i/>
          <w:sz w:val="18"/>
          <w:szCs w:val="18"/>
          <w:lang w:val="pl-PL"/>
        </w:rPr>
        <w:t>*Potraživanje u iznosu od 232.489 tisuća kuna odnosi se na obrnute repo poslove i iskazano je u razdoblju do 1 mjesec.</w:t>
      </w:r>
    </w:p>
    <w:p w14:paraId="675CFDB1" w14:textId="77777777" w:rsidR="004B16B5" w:rsidRPr="00CE2C44" w:rsidRDefault="004B16B5" w:rsidP="004B16B5">
      <w:pPr>
        <w:spacing w:after="0" w:line="240" w:lineRule="auto"/>
        <w:rPr>
          <w:rFonts w:cs="Arial"/>
          <w:sz w:val="18"/>
          <w:szCs w:val="18"/>
          <w:highlight w:val="yellow"/>
        </w:rPr>
      </w:pPr>
    </w:p>
    <w:p w14:paraId="757D5400" w14:textId="77777777" w:rsidR="004B16B5" w:rsidRDefault="004B16B5" w:rsidP="004B16B5">
      <w:pPr>
        <w:pStyle w:val="accountingpolicytitle"/>
        <w:rPr>
          <w:rFonts w:asciiTheme="minorHAnsi" w:hAnsiTheme="minorHAnsi" w:cstheme="minorHAnsi"/>
          <w:sz w:val="18"/>
          <w:szCs w:val="18"/>
          <w:lang w:val="hr-HR"/>
        </w:rPr>
        <w:sectPr w:rsidR="004B16B5" w:rsidSect="00FC5389">
          <w:footerReference w:type="first" r:id="rId109"/>
          <w:pgSz w:w="11906" w:h="16838" w:code="9"/>
          <w:pgMar w:top="1418" w:right="1418" w:bottom="595" w:left="1134" w:header="709" w:footer="709" w:gutter="0"/>
          <w:cols w:space="708"/>
          <w:titlePg/>
          <w:docGrid w:linePitch="360"/>
        </w:sectPr>
      </w:pPr>
    </w:p>
    <w:p w14:paraId="26FBC1FD" w14:textId="77777777" w:rsidR="008D359F" w:rsidRDefault="008D359F" w:rsidP="005F1FBF">
      <w:pPr>
        <w:pStyle w:val="T1"/>
        <w:spacing w:before="0" w:after="0" w:line="240" w:lineRule="auto"/>
        <w:rPr>
          <w:rFonts w:asciiTheme="minorHAnsi" w:hAnsiTheme="minorHAnsi" w:cs="Arial"/>
          <w:sz w:val="22"/>
          <w:szCs w:val="22"/>
          <w:lang w:val="hr-HR"/>
        </w:rPr>
      </w:pPr>
    </w:p>
    <w:p w14:paraId="234DC7BA" w14:textId="77777777" w:rsidR="004B16B5" w:rsidRDefault="004B16B5" w:rsidP="004B16B5">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16</w:t>
      </w:r>
      <w:r w:rsidRPr="00CE2C44">
        <w:rPr>
          <w:rFonts w:asciiTheme="minorHAnsi" w:hAnsiTheme="minorHAnsi" w:cs="Arial"/>
          <w:sz w:val="22"/>
          <w:szCs w:val="22"/>
          <w:lang w:val="hr-HR"/>
        </w:rPr>
        <w:t>.</w:t>
      </w:r>
      <w:r w:rsidRPr="00CE2C44">
        <w:rPr>
          <w:rFonts w:asciiTheme="minorHAnsi" w:hAnsiTheme="minorHAnsi" w:cs="Arial"/>
          <w:sz w:val="22"/>
          <w:szCs w:val="22"/>
          <w:lang w:val="hr-HR"/>
        </w:rPr>
        <w:tab/>
        <w:t>Upravljanje rizicima (nastavak)</w:t>
      </w:r>
    </w:p>
    <w:p w14:paraId="79F3E29D" w14:textId="77777777" w:rsidR="004B16B5" w:rsidRPr="00CE2C44" w:rsidRDefault="004B16B5" w:rsidP="004B16B5">
      <w:pPr>
        <w:pStyle w:val="T1"/>
        <w:spacing w:before="0" w:after="0" w:line="240" w:lineRule="auto"/>
        <w:rPr>
          <w:rFonts w:asciiTheme="minorHAnsi" w:hAnsiTheme="minorHAnsi" w:cs="Arial"/>
          <w:sz w:val="22"/>
          <w:szCs w:val="22"/>
          <w:lang w:val="hr-HR"/>
        </w:rPr>
      </w:pPr>
    </w:p>
    <w:p w14:paraId="1C499C25" w14:textId="77777777" w:rsidR="004B16B5" w:rsidRDefault="004B16B5" w:rsidP="004B16B5">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16</w:t>
      </w:r>
      <w:r w:rsidRPr="00CE2C44">
        <w:rPr>
          <w:rFonts w:asciiTheme="minorHAnsi" w:hAnsiTheme="minorHAnsi" w:cs="Arial"/>
          <w:sz w:val="22"/>
          <w:szCs w:val="22"/>
          <w:lang w:val="hr-HR"/>
        </w:rPr>
        <w:t xml:space="preserve">.3. </w:t>
      </w:r>
      <w:r w:rsidRPr="00CE2C44">
        <w:rPr>
          <w:rFonts w:asciiTheme="minorHAnsi" w:hAnsiTheme="minorHAnsi" w:cs="Arial"/>
          <w:sz w:val="22"/>
          <w:szCs w:val="22"/>
          <w:lang w:val="hr-HR"/>
        </w:rPr>
        <w:tab/>
        <w:t>Rizik likvidnosti (nastavak)</w:t>
      </w:r>
    </w:p>
    <w:p w14:paraId="4EF7FBB3" w14:textId="77777777" w:rsidR="004B16B5" w:rsidRDefault="004B16B5" w:rsidP="004B16B5">
      <w:pPr>
        <w:pStyle w:val="T1"/>
        <w:tabs>
          <w:tab w:val="left" w:pos="709"/>
          <w:tab w:val="left" w:pos="851"/>
        </w:tabs>
        <w:spacing w:before="0" w:after="0" w:line="240" w:lineRule="auto"/>
        <w:rPr>
          <w:rFonts w:asciiTheme="minorHAnsi" w:hAnsiTheme="minorHAnsi" w:cs="Arial"/>
          <w:sz w:val="22"/>
          <w:szCs w:val="22"/>
          <w:lang w:val="hr-HR"/>
        </w:rPr>
      </w:pPr>
    </w:p>
    <w:p w14:paraId="1A7FEE14" w14:textId="77777777" w:rsidR="004B16B5" w:rsidRPr="00D24461" w:rsidRDefault="004B16B5" w:rsidP="004B16B5">
      <w:pPr>
        <w:pStyle w:val="T1"/>
        <w:tabs>
          <w:tab w:val="left" w:pos="709"/>
          <w:tab w:val="left" w:pos="851"/>
        </w:tabs>
        <w:spacing w:before="0" w:after="0" w:line="240" w:lineRule="auto"/>
        <w:rPr>
          <w:rFonts w:asciiTheme="minorHAnsi" w:hAnsiTheme="minorHAnsi" w:cs="Arial"/>
          <w:b w:val="0"/>
          <w:sz w:val="22"/>
          <w:szCs w:val="22"/>
          <w:lang w:val="hr-HR"/>
        </w:rPr>
      </w:pPr>
      <w:r w:rsidRPr="00D24461">
        <w:rPr>
          <w:rFonts w:asciiTheme="minorHAnsi" w:hAnsiTheme="minorHAnsi" w:cs="Arial"/>
          <w:b w:val="0"/>
          <w:sz w:val="22"/>
          <w:szCs w:val="22"/>
          <w:lang w:val="hr-HR"/>
        </w:rPr>
        <w:t xml:space="preserve">Tabela u nastavku prikazuje preostalo ugovorno dospijeće financijskih obveza Grupe u </w:t>
      </w:r>
      <w:proofErr w:type="spellStart"/>
      <w:r w:rsidRPr="00D24461">
        <w:rPr>
          <w:rFonts w:asciiTheme="minorHAnsi" w:hAnsiTheme="minorHAnsi" w:cs="Arial"/>
          <w:b w:val="0"/>
          <w:sz w:val="22"/>
          <w:szCs w:val="22"/>
          <w:lang w:val="hr-HR"/>
        </w:rPr>
        <w:t>nediskontiranim</w:t>
      </w:r>
      <w:proofErr w:type="spellEnd"/>
      <w:r w:rsidRPr="00D24461">
        <w:rPr>
          <w:rFonts w:asciiTheme="minorHAnsi" w:hAnsiTheme="minorHAnsi" w:cs="Arial"/>
          <w:b w:val="0"/>
          <w:sz w:val="22"/>
          <w:szCs w:val="22"/>
          <w:lang w:val="hr-HR"/>
        </w:rPr>
        <w:t xml:space="preserve"> iznosima:</w:t>
      </w:r>
    </w:p>
    <w:p w14:paraId="38DD25E5" w14:textId="77777777" w:rsidR="004B16B5" w:rsidRPr="00BF0800" w:rsidRDefault="004B16B5" w:rsidP="004B16B5">
      <w:pPr>
        <w:keepNext/>
        <w:spacing w:after="0" w:line="240" w:lineRule="auto"/>
        <w:jc w:val="both"/>
        <w:rPr>
          <w:rFonts w:ascii="Arial" w:eastAsia="Times New Roman" w:hAnsi="Arial" w:cs="Arial"/>
          <w:bCs/>
          <w:sz w:val="19"/>
          <w:szCs w:val="20"/>
        </w:rPr>
      </w:pPr>
    </w:p>
    <w:tbl>
      <w:tblPr>
        <w:tblW w:w="5000" w:type="pct"/>
        <w:tblLayout w:type="fixed"/>
        <w:tblCellMar>
          <w:left w:w="120" w:type="dxa"/>
          <w:right w:w="120" w:type="dxa"/>
        </w:tblCellMar>
        <w:tblLook w:val="0000" w:firstRow="0" w:lastRow="0" w:firstColumn="0" w:lastColumn="0" w:noHBand="0" w:noVBand="0"/>
      </w:tblPr>
      <w:tblGrid>
        <w:gridCol w:w="2551"/>
        <w:gridCol w:w="1133"/>
        <w:gridCol w:w="1134"/>
        <w:gridCol w:w="1134"/>
        <w:gridCol w:w="1134"/>
        <w:gridCol w:w="1134"/>
        <w:gridCol w:w="1134"/>
      </w:tblGrid>
      <w:tr w:rsidR="004B16B5" w:rsidRPr="00831B14" w14:paraId="1D223546" w14:textId="77777777" w:rsidTr="003D5BE9">
        <w:trPr>
          <w:trHeight w:val="660"/>
        </w:trPr>
        <w:tc>
          <w:tcPr>
            <w:tcW w:w="1364" w:type="pct"/>
          </w:tcPr>
          <w:p w14:paraId="1703979D" w14:textId="77777777" w:rsidR="004B16B5" w:rsidRPr="00831B14" w:rsidRDefault="004B16B5" w:rsidP="003D5BE9">
            <w:pPr>
              <w:tabs>
                <w:tab w:val="right" w:pos="1202"/>
              </w:tabs>
              <w:spacing w:after="0" w:line="240" w:lineRule="atLeast"/>
              <w:outlineLvl w:val="0"/>
              <w:rPr>
                <w:rFonts w:eastAsia="Times New Roman" w:cs="Arial"/>
                <w:b/>
                <w:sz w:val="18"/>
                <w:szCs w:val="18"/>
              </w:rPr>
            </w:pPr>
            <w:r w:rsidRPr="00831B14">
              <w:rPr>
                <w:rFonts w:eastAsia="Times New Roman" w:cs="Arial"/>
                <w:b/>
                <w:sz w:val="18"/>
                <w:szCs w:val="18"/>
              </w:rPr>
              <w:t>Grupa</w:t>
            </w:r>
          </w:p>
          <w:p w14:paraId="7FDC1834" w14:textId="35CBCD75" w:rsidR="004B16B5" w:rsidRPr="00831B14" w:rsidRDefault="00FC5389">
            <w:pPr>
              <w:tabs>
                <w:tab w:val="right" w:pos="1202"/>
              </w:tabs>
              <w:spacing w:after="0" w:line="240" w:lineRule="atLeast"/>
              <w:outlineLvl w:val="0"/>
              <w:rPr>
                <w:rFonts w:eastAsia="Times New Roman" w:cs="Arial"/>
                <w:b/>
                <w:sz w:val="18"/>
                <w:szCs w:val="18"/>
              </w:rPr>
            </w:pPr>
            <w:r>
              <w:rPr>
                <w:rFonts w:eastAsia="Times New Roman" w:cs="Arial"/>
                <w:b/>
                <w:sz w:val="18"/>
                <w:szCs w:val="18"/>
              </w:rPr>
              <w:t>30</w:t>
            </w:r>
            <w:r w:rsidR="00AD0961">
              <w:rPr>
                <w:rFonts w:eastAsia="Times New Roman" w:cs="Arial"/>
                <w:b/>
                <w:sz w:val="18"/>
                <w:szCs w:val="18"/>
              </w:rPr>
              <w:t>.</w:t>
            </w:r>
            <w:r>
              <w:rPr>
                <w:rFonts w:eastAsia="Times New Roman" w:cs="Arial"/>
                <w:b/>
                <w:sz w:val="18"/>
                <w:szCs w:val="18"/>
              </w:rPr>
              <w:t>6</w:t>
            </w:r>
            <w:r w:rsidR="00AD0961">
              <w:rPr>
                <w:rFonts w:eastAsia="Times New Roman" w:cs="Arial"/>
                <w:b/>
                <w:sz w:val="18"/>
                <w:szCs w:val="18"/>
              </w:rPr>
              <w:t>.2017.</w:t>
            </w:r>
          </w:p>
        </w:tc>
        <w:tc>
          <w:tcPr>
            <w:tcW w:w="606" w:type="pct"/>
          </w:tcPr>
          <w:p w14:paraId="39998F9B" w14:textId="77777777" w:rsidR="004B16B5" w:rsidRPr="00831B14"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831B14">
              <w:rPr>
                <w:rFonts w:eastAsia="Times New Roman" w:cs="Arial"/>
                <w:b/>
                <w:sz w:val="18"/>
                <w:szCs w:val="18"/>
              </w:rPr>
              <w:t>Do 1 mjesec</w:t>
            </w:r>
          </w:p>
        </w:tc>
        <w:tc>
          <w:tcPr>
            <w:tcW w:w="606" w:type="pct"/>
          </w:tcPr>
          <w:p w14:paraId="53270BF1" w14:textId="77777777" w:rsidR="004B16B5" w:rsidRPr="00831B14"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831B14">
              <w:rPr>
                <w:rFonts w:eastAsia="Times New Roman" w:cs="Arial"/>
                <w:b/>
                <w:sz w:val="18"/>
                <w:szCs w:val="18"/>
              </w:rPr>
              <w:t>1 do 3 mjeseca</w:t>
            </w:r>
          </w:p>
        </w:tc>
        <w:tc>
          <w:tcPr>
            <w:tcW w:w="606" w:type="pct"/>
          </w:tcPr>
          <w:p w14:paraId="1C020634" w14:textId="77777777" w:rsidR="004B16B5" w:rsidRPr="00831B14"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831B14">
              <w:rPr>
                <w:rFonts w:eastAsia="Times New Roman" w:cs="Arial"/>
                <w:b/>
                <w:sz w:val="18"/>
                <w:szCs w:val="18"/>
              </w:rPr>
              <w:t>3 mj. do 1 godine</w:t>
            </w:r>
          </w:p>
        </w:tc>
        <w:tc>
          <w:tcPr>
            <w:tcW w:w="606" w:type="pct"/>
          </w:tcPr>
          <w:p w14:paraId="14B4B0B7" w14:textId="77777777" w:rsidR="004B16B5" w:rsidRPr="00831B14"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831B14">
              <w:rPr>
                <w:rFonts w:eastAsia="Times New Roman" w:cs="Arial"/>
                <w:b/>
                <w:sz w:val="18"/>
                <w:szCs w:val="18"/>
              </w:rPr>
              <w:t>1 do 3 godina</w:t>
            </w:r>
          </w:p>
        </w:tc>
        <w:tc>
          <w:tcPr>
            <w:tcW w:w="606" w:type="pct"/>
          </w:tcPr>
          <w:p w14:paraId="72EC1C51" w14:textId="77777777" w:rsidR="004B16B5" w:rsidRPr="00831B14"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831B14">
              <w:rPr>
                <w:rFonts w:eastAsia="Times New Roman" w:cs="Arial"/>
                <w:b/>
                <w:sz w:val="18"/>
                <w:szCs w:val="18"/>
              </w:rPr>
              <w:t>Preko 3 godine</w:t>
            </w:r>
          </w:p>
        </w:tc>
        <w:tc>
          <w:tcPr>
            <w:tcW w:w="606" w:type="pct"/>
          </w:tcPr>
          <w:p w14:paraId="67074656" w14:textId="77777777" w:rsidR="004B16B5" w:rsidRPr="00831B14"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831B14">
              <w:rPr>
                <w:rFonts w:eastAsia="Times New Roman" w:cs="Arial"/>
                <w:b/>
                <w:sz w:val="18"/>
                <w:szCs w:val="18"/>
              </w:rPr>
              <w:t>Ukupno</w:t>
            </w:r>
          </w:p>
        </w:tc>
      </w:tr>
      <w:tr w:rsidR="004B16B5" w:rsidRPr="00831B14" w14:paraId="0B88B49B" w14:textId="77777777" w:rsidTr="003D5BE9">
        <w:tc>
          <w:tcPr>
            <w:tcW w:w="1364" w:type="pct"/>
            <w:vAlign w:val="bottom"/>
          </w:tcPr>
          <w:p w14:paraId="446284B6" w14:textId="77777777" w:rsidR="004B16B5" w:rsidRPr="00831B14" w:rsidRDefault="004B16B5" w:rsidP="003D5BE9">
            <w:pPr>
              <w:tabs>
                <w:tab w:val="right" w:pos="1202"/>
              </w:tabs>
              <w:spacing w:after="0" w:line="301" w:lineRule="exact"/>
              <w:outlineLvl w:val="0"/>
              <w:rPr>
                <w:rFonts w:eastAsia="Times New Roman" w:cs="Arial"/>
                <w:b/>
                <w:bCs/>
                <w:sz w:val="18"/>
                <w:szCs w:val="18"/>
              </w:rPr>
            </w:pPr>
            <w:r w:rsidRPr="00831B14">
              <w:rPr>
                <w:rFonts w:eastAsia="Times New Roman" w:cs="Arial"/>
                <w:b/>
                <w:bCs/>
                <w:sz w:val="18"/>
                <w:szCs w:val="18"/>
              </w:rPr>
              <w:t>Financijske obveze</w:t>
            </w:r>
          </w:p>
        </w:tc>
        <w:tc>
          <w:tcPr>
            <w:tcW w:w="606" w:type="pct"/>
          </w:tcPr>
          <w:p w14:paraId="128A227F" w14:textId="77777777" w:rsidR="004B16B5" w:rsidRPr="00831B14"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606" w:type="pct"/>
          </w:tcPr>
          <w:p w14:paraId="585A1696" w14:textId="77777777" w:rsidR="004B16B5" w:rsidRPr="00831B14"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606" w:type="pct"/>
          </w:tcPr>
          <w:p w14:paraId="13215807" w14:textId="77777777" w:rsidR="004B16B5" w:rsidRPr="00831B14"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606" w:type="pct"/>
          </w:tcPr>
          <w:p w14:paraId="013ACEBA" w14:textId="77777777" w:rsidR="004B16B5" w:rsidRPr="00831B14"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606" w:type="pct"/>
          </w:tcPr>
          <w:p w14:paraId="4819624D" w14:textId="77777777" w:rsidR="004B16B5" w:rsidRPr="00831B14"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606" w:type="pct"/>
          </w:tcPr>
          <w:p w14:paraId="10DD0EAD" w14:textId="77777777" w:rsidR="004B16B5" w:rsidRPr="00831B14"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r>
      <w:tr w:rsidR="0025331F" w:rsidRPr="00831B14" w14:paraId="48639104" w14:textId="77777777" w:rsidTr="00312975">
        <w:tc>
          <w:tcPr>
            <w:tcW w:w="1364" w:type="pct"/>
            <w:vAlign w:val="bottom"/>
          </w:tcPr>
          <w:p w14:paraId="168542CD" w14:textId="77777777" w:rsidR="0025331F" w:rsidRPr="00831B14" w:rsidRDefault="0025331F" w:rsidP="0025331F">
            <w:pPr>
              <w:tabs>
                <w:tab w:val="right" w:pos="1202"/>
              </w:tabs>
              <w:spacing w:after="0" w:line="301" w:lineRule="exact"/>
              <w:outlineLvl w:val="0"/>
              <w:rPr>
                <w:rFonts w:eastAsia="Times New Roman" w:cs="Arial"/>
                <w:sz w:val="18"/>
                <w:szCs w:val="18"/>
              </w:rPr>
            </w:pPr>
            <w:r w:rsidRPr="00831B14">
              <w:rPr>
                <w:rFonts w:eastAsia="Times New Roman" w:cs="Arial"/>
                <w:spacing w:val="-2"/>
                <w:sz w:val="18"/>
                <w:szCs w:val="18"/>
              </w:rPr>
              <w:t>Obveze po depozitima</w:t>
            </w:r>
          </w:p>
        </w:tc>
        <w:tc>
          <w:tcPr>
            <w:tcW w:w="606" w:type="pct"/>
            <w:tcBorders>
              <w:top w:val="nil"/>
              <w:left w:val="nil"/>
              <w:bottom w:val="nil"/>
              <w:right w:val="nil"/>
            </w:tcBorders>
            <w:shd w:val="clear" w:color="auto" w:fill="auto"/>
            <w:vAlign w:val="bottom"/>
          </w:tcPr>
          <w:p w14:paraId="1160778F" w14:textId="6695C7A2" w:rsidR="0025331F" w:rsidRPr="000E5941" w:rsidRDefault="0025331F" w:rsidP="0025331F">
            <w:pPr>
              <w:keepNext/>
              <w:keepLines/>
              <w:tabs>
                <w:tab w:val="decimal" w:pos="1202"/>
                <w:tab w:val="center" w:pos="4153"/>
                <w:tab w:val="right" w:pos="8306"/>
              </w:tabs>
              <w:spacing w:after="0" w:line="301" w:lineRule="exact"/>
              <w:jc w:val="right"/>
              <w:rPr>
                <w:sz w:val="18"/>
                <w:szCs w:val="18"/>
              </w:rPr>
            </w:pPr>
            <w:r w:rsidRPr="00312975">
              <w:rPr>
                <w:sz w:val="18"/>
                <w:szCs w:val="18"/>
              </w:rPr>
              <w:t>218.527</w:t>
            </w:r>
          </w:p>
        </w:tc>
        <w:tc>
          <w:tcPr>
            <w:tcW w:w="606" w:type="pct"/>
            <w:tcBorders>
              <w:top w:val="nil"/>
              <w:left w:val="nil"/>
              <w:bottom w:val="nil"/>
              <w:right w:val="nil"/>
            </w:tcBorders>
            <w:shd w:val="clear" w:color="auto" w:fill="auto"/>
            <w:vAlign w:val="bottom"/>
          </w:tcPr>
          <w:p w14:paraId="3CD76E8F" w14:textId="1B1892A8" w:rsidR="0025331F" w:rsidRPr="000E5941" w:rsidRDefault="0025331F" w:rsidP="0025331F">
            <w:pPr>
              <w:keepNext/>
              <w:keepLines/>
              <w:tabs>
                <w:tab w:val="decimal" w:pos="1202"/>
                <w:tab w:val="center" w:pos="4153"/>
                <w:tab w:val="right" w:pos="8306"/>
              </w:tabs>
              <w:spacing w:after="0" w:line="301" w:lineRule="exact"/>
              <w:jc w:val="right"/>
              <w:rPr>
                <w:sz w:val="18"/>
                <w:szCs w:val="18"/>
              </w:rPr>
            </w:pPr>
            <w:r w:rsidRPr="00312975">
              <w:rPr>
                <w:sz w:val="18"/>
                <w:szCs w:val="18"/>
              </w:rPr>
              <w:t>164.133</w:t>
            </w:r>
          </w:p>
        </w:tc>
        <w:tc>
          <w:tcPr>
            <w:tcW w:w="606" w:type="pct"/>
            <w:tcBorders>
              <w:top w:val="nil"/>
              <w:left w:val="nil"/>
              <w:bottom w:val="nil"/>
              <w:right w:val="nil"/>
            </w:tcBorders>
            <w:shd w:val="clear" w:color="auto" w:fill="auto"/>
            <w:vAlign w:val="bottom"/>
          </w:tcPr>
          <w:p w14:paraId="2FB933F9" w14:textId="18BEF3BA" w:rsidR="0025331F" w:rsidRPr="000E5941" w:rsidRDefault="0025331F" w:rsidP="0025331F">
            <w:pPr>
              <w:keepNext/>
              <w:keepLines/>
              <w:tabs>
                <w:tab w:val="decimal" w:pos="1202"/>
                <w:tab w:val="center" w:pos="4153"/>
                <w:tab w:val="right" w:pos="8306"/>
              </w:tabs>
              <w:spacing w:after="0" w:line="301" w:lineRule="exact"/>
              <w:jc w:val="right"/>
              <w:rPr>
                <w:sz w:val="18"/>
                <w:szCs w:val="18"/>
              </w:rPr>
            </w:pPr>
            <w:r w:rsidRPr="00312975">
              <w:rPr>
                <w:sz w:val="18"/>
                <w:szCs w:val="18"/>
              </w:rPr>
              <w:t>40.694</w:t>
            </w:r>
          </w:p>
        </w:tc>
        <w:tc>
          <w:tcPr>
            <w:tcW w:w="606" w:type="pct"/>
            <w:tcBorders>
              <w:top w:val="nil"/>
              <w:left w:val="nil"/>
              <w:bottom w:val="nil"/>
              <w:right w:val="nil"/>
            </w:tcBorders>
            <w:shd w:val="clear" w:color="auto" w:fill="auto"/>
            <w:vAlign w:val="bottom"/>
          </w:tcPr>
          <w:p w14:paraId="6F0BB0FE" w14:textId="7098DEFD" w:rsidR="0025331F" w:rsidRPr="000E5941" w:rsidRDefault="0025331F" w:rsidP="0025331F">
            <w:pPr>
              <w:keepNext/>
              <w:keepLines/>
              <w:tabs>
                <w:tab w:val="decimal" w:pos="1202"/>
                <w:tab w:val="center" w:pos="4153"/>
                <w:tab w:val="right" w:pos="8306"/>
              </w:tabs>
              <w:spacing w:after="0" w:line="301" w:lineRule="exact"/>
              <w:jc w:val="right"/>
              <w:rPr>
                <w:sz w:val="18"/>
                <w:szCs w:val="18"/>
              </w:rPr>
            </w:pPr>
            <w:r w:rsidRPr="00312975">
              <w:rPr>
                <w:sz w:val="18"/>
                <w:szCs w:val="18"/>
              </w:rPr>
              <w:t>49.456</w:t>
            </w:r>
          </w:p>
        </w:tc>
        <w:tc>
          <w:tcPr>
            <w:tcW w:w="606" w:type="pct"/>
            <w:tcBorders>
              <w:top w:val="nil"/>
              <w:left w:val="nil"/>
              <w:bottom w:val="nil"/>
              <w:right w:val="nil"/>
            </w:tcBorders>
            <w:shd w:val="clear" w:color="auto" w:fill="auto"/>
            <w:vAlign w:val="bottom"/>
          </w:tcPr>
          <w:p w14:paraId="2E9202CD" w14:textId="33AF877F" w:rsidR="0025331F" w:rsidRPr="000E5941" w:rsidRDefault="0025331F" w:rsidP="0025331F">
            <w:pPr>
              <w:keepNext/>
              <w:keepLines/>
              <w:tabs>
                <w:tab w:val="decimal" w:pos="1202"/>
                <w:tab w:val="center" w:pos="4153"/>
                <w:tab w:val="right" w:pos="8306"/>
              </w:tabs>
              <w:spacing w:after="0" w:line="301" w:lineRule="exact"/>
              <w:jc w:val="right"/>
              <w:rPr>
                <w:sz w:val="18"/>
                <w:szCs w:val="18"/>
              </w:rPr>
            </w:pPr>
            <w:r w:rsidRPr="00312975">
              <w:rPr>
                <w:sz w:val="18"/>
                <w:szCs w:val="18"/>
              </w:rPr>
              <w:t>8.168</w:t>
            </w:r>
          </w:p>
        </w:tc>
        <w:tc>
          <w:tcPr>
            <w:tcW w:w="606" w:type="pct"/>
            <w:tcBorders>
              <w:top w:val="nil"/>
              <w:left w:val="nil"/>
              <w:bottom w:val="nil"/>
              <w:right w:val="nil"/>
            </w:tcBorders>
            <w:shd w:val="clear" w:color="auto" w:fill="auto"/>
            <w:vAlign w:val="bottom"/>
          </w:tcPr>
          <w:p w14:paraId="32823622" w14:textId="6FEDE914" w:rsidR="0025331F" w:rsidRPr="000E5941" w:rsidRDefault="0025331F" w:rsidP="0025331F">
            <w:pPr>
              <w:keepNext/>
              <w:keepLines/>
              <w:tabs>
                <w:tab w:val="decimal" w:pos="1202"/>
                <w:tab w:val="center" w:pos="4153"/>
                <w:tab w:val="right" w:pos="8306"/>
              </w:tabs>
              <w:spacing w:after="0" w:line="301" w:lineRule="exact"/>
              <w:jc w:val="right"/>
              <w:rPr>
                <w:sz w:val="18"/>
                <w:szCs w:val="18"/>
              </w:rPr>
            </w:pPr>
            <w:r w:rsidRPr="00312975">
              <w:rPr>
                <w:sz w:val="18"/>
                <w:szCs w:val="18"/>
              </w:rPr>
              <w:t>480.978</w:t>
            </w:r>
          </w:p>
        </w:tc>
      </w:tr>
      <w:tr w:rsidR="0025331F" w:rsidRPr="00831B14" w14:paraId="18F98263" w14:textId="77777777" w:rsidTr="00312975">
        <w:tc>
          <w:tcPr>
            <w:tcW w:w="1364" w:type="pct"/>
            <w:vAlign w:val="bottom"/>
          </w:tcPr>
          <w:p w14:paraId="2EBF180D" w14:textId="77777777" w:rsidR="0025331F" w:rsidRPr="00831B14" w:rsidRDefault="0025331F" w:rsidP="0025331F">
            <w:pPr>
              <w:tabs>
                <w:tab w:val="right" w:pos="1202"/>
              </w:tabs>
              <w:spacing w:after="0" w:line="301" w:lineRule="exact"/>
              <w:outlineLvl w:val="0"/>
              <w:rPr>
                <w:rFonts w:eastAsia="Times New Roman" w:cs="Arial"/>
                <w:sz w:val="18"/>
                <w:szCs w:val="18"/>
              </w:rPr>
            </w:pPr>
            <w:r w:rsidRPr="00831B14">
              <w:rPr>
                <w:rFonts w:eastAsia="Times New Roman" w:cs="Arial"/>
                <w:spacing w:val="-2"/>
                <w:sz w:val="18"/>
                <w:szCs w:val="18"/>
              </w:rPr>
              <w:t>Obveze po kreditima</w:t>
            </w:r>
          </w:p>
        </w:tc>
        <w:tc>
          <w:tcPr>
            <w:tcW w:w="606" w:type="pct"/>
            <w:tcBorders>
              <w:top w:val="nil"/>
              <w:left w:val="nil"/>
              <w:bottom w:val="nil"/>
              <w:right w:val="nil"/>
            </w:tcBorders>
            <w:shd w:val="clear" w:color="auto" w:fill="auto"/>
            <w:vAlign w:val="bottom"/>
          </w:tcPr>
          <w:p w14:paraId="740A7D24" w14:textId="15138B38" w:rsidR="0025331F" w:rsidRPr="000E5941" w:rsidRDefault="0025331F" w:rsidP="0025331F">
            <w:pPr>
              <w:keepNext/>
              <w:keepLines/>
              <w:tabs>
                <w:tab w:val="decimal" w:pos="1202"/>
                <w:tab w:val="center" w:pos="4153"/>
                <w:tab w:val="right" w:pos="8306"/>
              </w:tabs>
              <w:spacing w:after="0" w:line="301" w:lineRule="exact"/>
              <w:jc w:val="right"/>
              <w:rPr>
                <w:sz w:val="18"/>
                <w:szCs w:val="18"/>
              </w:rPr>
            </w:pPr>
            <w:r w:rsidRPr="00312975">
              <w:rPr>
                <w:sz w:val="18"/>
                <w:szCs w:val="18"/>
              </w:rPr>
              <w:t>227.956</w:t>
            </w:r>
          </w:p>
        </w:tc>
        <w:tc>
          <w:tcPr>
            <w:tcW w:w="606" w:type="pct"/>
            <w:tcBorders>
              <w:top w:val="nil"/>
              <w:left w:val="nil"/>
              <w:bottom w:val="nil"/>
              <w:right w:val="nil"/>
            </w:tcBorders>
            <w:shd w:val="clear" w:color="auto" w:fill="auto"/>
            <w:vAlign w:val="bottom"/>
          </w:tcPr>
          <w:p w14:paraId="516FC6C9" w14:textId="29D0AD00" w:rsidR="0025331F" w:rsidRPr="000E5941" w:rsidRDefault="0025331F" w:rsidP="0025331F">
            <w:pPr>
              <w:keepNext/>
              <w:keepLines/>
              <w:tabs>
                <w:tab w:val="decimal" w:pos="1202"/>
                <w:tab w:val="center" w:pos="4153"/>
                <w:tab w:val="right" w:pos="8306"/>
              </w:tabs>
              <w:spacing w:after="0" w:line="301" w:lineRule="exact"/>
              <w:jc w:val="right"/>
              <w:rPr>
                <w:sz w:val="18"/>
                <w:szCs w:val="18"/>
              </w:rPr>
            </w:pPr>
            <w:r w:rsidRPr="00312975">
              <w:rPr>
                <w:sz w:val="18"/>
                <w:szCs w:val="18"/>
              </w:rPr>
              <w:t>217.219</w:t>
            </w:r>
          </w:p>
        </w:tc>
        <w:tc>
          <w:tcPr>
            <w:tcW w:w="606" w:type="pct"/>
            <w:tcBorders>
              <w:top w:val="nil"/>
              <w:left w:val="nil"/>
              <w:bottom w:val="nil"/>
              <w:right w:val="nil"/>
            </w:tcBorders>
            <w:shd w:val="clear" w:color="auto" w:fill="auto"/>
            <w:vAlign w:val="bottom"/>
          </w:tcPr>
          <w:p w14:paraId="4829FED6" w14:textId="4589A1AE" w:rsidR="0025331F" w:rsidRPr="000E5941" w:rsidRDefault="0025331F" w:rsidP="0025331F">
            <w:pPr>
              <w:keepNext/>
              <w:keepLines/>
              <w:tabs>
                <w:tab w:val="decimal" w:pos="1202"/>
                <w:tab w:val="center" w:pos="4153"/>
                <w:tab w:val="right" w:pos="8306"/>
              </w:tabs>
              <w:spacing w:after="0" w:line="301" w:lineRule="exact"/>
              <w:jc w:val="right"/>
              <w:rPr>
                <w:sz w:val="18"/>
                <w:szCs w:val="18"/>
              </w:rPr>
            </w:pPr>
            <w:r w:rsidRPr="00312975">
              <w:rPr>
                <w:sz w:val="18"/>
                <w:szCs w:val="18"/>
              </w:rPr>
              <w:t>1.470.281</w:t>
            </w:r>
          </w:p>
        </w:tc>
        <w:tc>
          <w:tcPr>
            <w:tcW w:w="606" w:type="pct"/>
            <w:tcBorders>
              <w:top w:val="nil"/>
              <w:left w:val="nil"/>
              <w:bottom w:val="nil"/>
              <w:right w:val="nil"/>
            </w:tcBorders>
            <w:shd w:val="clear" w:color="auto" w:fill="auto"/>
            <w:vAlign w:val="bottom"/>
          </w:tcPr>
          <w:p w14:paraId="0E222E36" w14:textId="4C0C7164" w:rsidR="0025331F" w:rsidRPr="000E5941" w:rsidRDefault="0025331F" w:rsidP="0025331F">
            <w:pPr>
              <w:keepNext/>
              <w:keepLines/>
              <w:tabs>
                <w:tab w:val="decimal" w:pos="1202"/>
                <w:tab w:val="center" w:pos="4153"/>
                <w:tab w:val="right" w:pos="8306"/>
              </w:tabs>
              <w:spacing w:after="0" w:line="301" w:lineRule="exact"/>
              <w:jc w:val="right"/>
              <w:rPr>
                <w:sz w:val="18"/>
                <w:szCs w:val="18"/>
              </w:rPr>
            </w:pPr>
            <w:r w:rsidRPr="00312975">
              <w:rPr>
                <w:sz w:val="18"/>
                <w:szCs w:val="18"/>
              </w:rPr>
              <w:t>3.979.944</w:t>
            </w:r>
          </w:p>
        </w:tc>
        <w:tc>
          <w:tcPr>
            <w:tcW w:w="606" w:type="pct"/>
            <w:tcBorders>
              <w:top w:val="nil"/>
              <w:left w:val="nil"/>
              <w:bottom w:val="nil"/>
              <w:right w:val="nil"/>
            </w:tcBorders>
            <w:shd w:val="clear" w:color="auto" w:fill="auto"/>
            <w:vAlign w:val="bottom"/>
          </w:tcPr>
          <w:p w14:paraId="5053989F" w14:textId="1466F9B9" w:rsidR="0025331F" w:rsidRPr="000E5941" w:rsidRDefault="0025331F" w:rsidP="0025331F">
            <w:pPr>
              <w:keepNext/>
              <w:keepLines/>
              <w:tabs>
                <w:tab w:val="decimal" w:pos="1202"/>
                <w:tab w:val="center" w:pos="4153"/>
                <w:tab w:val="right" w:pos="8306"/>
              </w:tabs>
              <w:spacing w:after="0" w:line="301" w:lineRule="exact"/>
              <w:jc w:val="right"/>
              <w:rPr>
                <w:sz w:val="18"/>
                <w:szCs w:val="18"/>
              </w:rPr>
            </w:pPr>
            <w:r w:rsidRPr="00312975">
              <w:rPr>
                <w:sz w:val="18"/>
                <w:szCs w:val="18"/>
              </w:rPr>
              <w:t>11.431.284</w:t>
            </w:r>
          </w:p>
        </w:tc>
        <w:tc>
          <w:tcPr>
            <w:tcW w:w="606" w:type="pct"/>
            <w:tcBorders>
              <w:top w:val="nil"/>
              <w:left w:val="nil"/>
              <w:bottom w:val="nil"/>
              <w:right w:val="nil"/>
            </w:tcBorders>
            <w:shd w:val="clear" w:color="auto" w:fill="auto"/>
            <w:vAlign w:val="bottom"/>
          </w:tcPr>
          <w:p w14:paraId="3212DEC9" w14:textId="4D86F35E" w:rsidR="0025331F" w:rsidRPr="000E5941" w:rsidRDefault="0025331F" w:rsidP="0025331F">
            <w:pPr>
              <w:keepNext/>
              <w:keepLines/>
              <w:tabs>
                <w:tab w:val="decimal" w:pos="1202"/>
                <w:tab w:val="center" w:pos="4153"/>
                <w:tab w:val="right" w:pos="8306"/>
              </w:tabs>
              <w:spacing w:after="0" w:line="301" w:lineRule="exact"/>
              <w:jc w:val="right"/>
              <w:rPr>
                <w:sz w:val="18"/>
                <w:szCs w:val="18"/>
              </w:rPr>
            </w:pPr>
            <w:r w:rsidRPr="00312975">
              <w:rPr>
                <w:sz w:val="18"/>
                <w:szCs w:val="18"/>
              </w:rPr>
              <w:t>17.326.684</w:t>
            </w:r>
          </w:p>
        </w:tc>
      </w:tr>
      <w:tr w:rsidR="0025331F" w:rsidRPr="00831B14" w14:paraId="75A8319B" w14:textId="77777777" w:rsidTr="00312975">
        <w:tc>
          <w:tcPr>
            <w:tcW w:w="1364" w:type="pct"/>
            <w:vAlign w:val="bottom"/>
          </w:tcPr>
          <w:p w14:paraId="370BE0BD" w14:textId="77777777" w:rsidR="0025331F" w:rsidRPr="00831B14" w:rsidRDefault="0025331F" w:rsidP="0025331F">
            <w:pPr>
              <w:tabs>
                <w:tab w:val="right" w:pos="1202"/>
              </w:tabs>
              <w:spacing w:after="0" w:line="301" w:lineRule="exact"/>
              <w:outlineLvl w:val="0"/>
              <w:rPr>
                <w:rFonts w:eastAsia="Times New Roman" w:cs="Arial"/>
                <w:sz w:val="18"/>
                <w:szCs w:val="18"/>
              </w:rPr>
            </w:pPr>
            <w:r w:rsidRPr="00831B14">
              <w:rPr>
                <w:rFonts w:eastAsia="Times New Roman" w:cs="Arial"/>
                <w:spacing w:val="-2"/>
                <w:sz w:val="18"/>
                <w:szCs w:val="18"/>
              </w:rPr>
              <w:t>Obveze za izdane dugoročne vrijednosne papire</w:t>
            </w:r>
          </w:p>
        </w:tc>
        <w:tc>
          <w:tcPr>
            <w:tcW w:w="606" w:type="pct"/>
            <w:tcBorders>
              <w:top w:val="nil"/>
              <w:left w:val="nil"/>
              <w:right w:val="nil"/>
            </w:tcBorders>
            <w:shd w:val="clear" w:color="auto" w:fill="auto"/>
            <w:vAlign w:val="bottom"/>
          </w:tcPr>
          <w:p w14:paraId="5DB98528" w14:textId="4D3329BA" w:rsidR="0025331F" w:rsidRPr="000E5941" w:rsidRDefault="0025331F" w:rsidP="0025331F">
            <w:pPr>
              <w:keepNext/>
              <w:keepLines/>
              <w:tabs>
                <w:tab w:val="decimal" w:pos="1202"/>
                <w:tab w:val="center" w:pos="4153"/>
                <w:tab w:val="right" w:pos="8306"/>
              </w:tabs>
              <w:spacing w:after="0" w:line="301" w:lineRule="exact"/>
              <w:jc w:val="right"/>
              <w:rPr>
                <w:sz w:val="18"/>
                <w:szCs w:val="18"/>
              </w:rPr>
            </w:pPr>
            <w:r w:rsidRPr="00312975">
              <w:rPr>
                <w:sz w:val="18"/>
                <w:szCs w:val="18"/>
              </w:rPr>
              <w:t>-</w:t>
            </w:r>
          </w:p>
        </w:tc>
        <w:tc>
          <w:tcPr>
            <w:tcW w:w="606" w:type="pct"/>
            <w:tcBorders>
              <w:top w:val="nil"/>
              <w:left w:val="nil"/>
              <w:right w:val="nil"/>
            </w:tcBorders>
            <w:shd w:val="clear" w:color="auto" w:fill="auto"/>
            <w:vAlign w:val="bottom"/>
          </w:tcPr>
          <w:p w14:paraId="313628D9" w14:textId="3ED49079" w:rsidR="0025331F" w:rsidRPr="000E5941" w:rsidRDefault="0025331F" w:rsidP="0025331F">
            <w:pPr>
              <w:keepNext/>
              <w:keepLines/>
              <w:tabs>
                <w:tab w:val="decimal" w:pos="1202"/>
                <w:tab w:val="center" w:pos="4153"/>
                <w:tab w:val="right" w:pos="8306"/>
              </w:tabs>
              <w:spacing w:after="0" w:line="301" w:lineRule="exact"/>
              <w:jc w:val="right"/>
              <w:rPr>
                <w:sz w:val="18"/>
                <w:szCs w:val="18"/>
              </w:rPr>
            </w:pPr>
            <w:r w:rsidRPr="00312975">
              <w:rPr>
                <w:sz w:val="18"/>
                <w:szCs w:val="18"/>
              </w:rPr>
              <w:t>-</w:t>
            </w:r>
          </w:p>
        </w:tc>
        <w:tc>
          <w:tcPr>
            <w:tcW w:w="606" w:type="pct"/>
            <w:tcBorders>
              <w:top w:val="nil"/>
              <w:left w:val="nil"/>
              <w:right w:val="nil"/>
            </w:tcBorders>
            <w:shd w:val="clear" w:color="auto" w:fill="auto"/>
            <w:vAlign w:val="bottom"/>
          </w:tcPr>
          <w:p w14:paraId="05C9D418" w14:textId="7BB74BDE" w:rsidR="0025331F" w:rsidRPr="000E5941" w:rsidRDefault="0025331F" w:rsidP="0025331F">
            <w:pPr>
              <w:keepNext/>
              <w:keepLines/>
              <w:tabs>
                <w:tab w:val="decimal" w:pos="1202"/>
                <w:tab w:val="center" w:pos="4153"/>
                <w:tab w:val="right" w:pos="8306"/>
              </w:tabs>
              <w:spacing w:after="0" w:line="301" w:lineRule="exact"/>
              <w:jc w:val="right"/>
              <w:rPr>
                <w:sz w:val="18"/>
                <w:szCs w:val="18"/>
              </w:rPr>
            </w:pPr>
            <w:r w:rsidRPr="00312975">
              <w:rPr>
                <w:sz w:val="18"/>
                <w:szCs w:val="18"/>
              </w:rPr>
              <w:t>66.660</w:t>
            </w:r>
          </w:p>
        </w:tc>
        <w:tc>
          <w:tcPr>
            <w:tcW w:w="606" w:type="pct"/>
            <w:tcBorders>
              <w:top w:val="nil"/>
              <w:left w:val="nil"/>
              <w:right w:val="nil"/>
            </w:tcBorders>
            <w:shd w:val="clear" w:color="auto" w:fill="auto"/>
            <w:vAlign w:val="bottom"/>
          </w:tcPr>
          <w:p w14:paraId="2ADA463B" w14:textId="41E682A7" w:rsidR="0025331F" w:rsidRPr="000E5941" w:rsidRDefault="0025331F" w:rsidP="0025331F">
            <w:pPr>
              <w:keepNext/>
              <w:keepLines/>
              <w:tabs>
                <w:tab w:val="decimal" w:pos="1202"/>
                <w:tab w:val="center" w:pos="4153"/>
                <w:tab w:val="right" w:pos="8306"/>
              </w:tabs>
              <w:spacing w:after="0" w:line="301" w:lineRule="exact"/>
              <w:jc w:val="right"/>
              <w:rPr>
                <w:sz w:val="18"/>
                <w:szCs w:val="18"/>
              </w:rPr>
            </w:pPr>
            <w:r w:rsidRPr="00312975">
              <w:rPr>
                <w:sz w:val="18"/>
                <w:szCs w:val="18"/>
              </w:rPr>
              <w:t>1.233.404</w:t>
            </w:r>
          </w:p>
        </w:tc>
        <w:tc>
          <w:tcPr>
            <w:tcW w:w="606" w:type="pct"/>
            <w:tcBorders>
              <w:top w:val="nil"/>
              <w:left w:val="nil"/>
              <w:right w:val="nil"/>
            </w:tcBorders>
            <w:shd w:val="clear" w:color="auto" w:fill="auto"/>
            <w:vAlign w:val="bottom"/>
          </w:tcPr>
          <w:p w14:paraId="12C5110A" w14:textId="432F1603" w:rsidR="0025331F" w:rsidRPr="000E5941" w:rsidRDefault="0025331F" w:rsidP="0025331F">
            <w:pPr>
              <w:keepNext/>
              <w:keepLines/>
              <w:tabs>
                <w:tab w:val="decimal" w:pos="1202"/>
                <w:tab w:val="center" w:pos="4153"/>
                <w:tab w:val="right" w:pos="8306"/>
              </w:tabs>
              <w:spacing w:after="0" w:line="301" w:lineRule="exact"/>
              <w:jc w:val="right"/>
              <w:rPr>
                <w:sz w:val="18"/>
                <w:szCs w:val="18"/>
              </w:rPr>
            </w:pPr>
            <w:r w:rsidRPr="00312975">
              <w:rPr>
                <w:sz w:val="18"/>
                <w:szCs w:val="18"/>
              </w:rPr>
              <w:t>-</w:t>
            </w:r>
          </w:p>
        </w:tc>
        <w:tc>
          <w:tcPr>
            <w:tcW w:w="606" w:type="pct"/>
            <w:tcBorders>
              <w:top w:val="nil"/>
              <w:left w:val="nil"/>
              <w:right w:val="nil"/>
            </w:tcBorders>
            <w:shd w:val="clear" w:color="auto" w:fill="auto"/>
            <w:vAlign w:val="bottom"/>
          </w:tcPr>
          <w:p w14:paraId="2D2B6AAD" w14:textId="006C46AA" w:rsidR="0025331F" w:rsidRPr="000E5941" w:rsidRDefault="0025331F" w:rsidP="0025331F">
            <w:pPr>
              <w:keepNext/>
              <w:keepLines/>
              <w:tabs>
                <w:tab w:val="decimal" w:pos="1202"/>
                <w:tab w:val="center" w:pos="4153"/>
                <w:tab w:val="right" w:pos="8306"/>
              </w:tabs>
              <w:spacing w:after="0" w:line="301" w:lineRule="exact"/>
              <w:jc w:val="right"/>
              <w:rPr>
                <w:sz w:val="18"/>
                <w:szCs w:val="18"/>
              </w:rPr>
            </w:pPr>
            <w:r w:rsidRPr="00312975">
              <w:rPr>
                <w:sz w:val="18"/>
                <w:szCs w:val="18"/>
              </w:rPr>
              <w:t>1.300.064</w:t>
            </w:r>
          </w:p>
        </w:tc>
      </w:tr>
      <w:tr w:rsidR="0025331F" w:rsidRPr="00831B14" w14:paraId="330BB06E" w14:textId="77777777" w:rsidTr="00312975">
        <w:tc>
          <w:tcPr>
            <w:tcW w:w="1364" w:type="pct"/>
            <w:vAlign w:val="bottom"/>
          </w:tcPr>
          <w:p w14:paraId="50840171" w14:textId="77777777" w:rsidR="0025331F" w:rsidRPr="00831B14" w:rsidRDefault="0025331F" w:rsidP="0025331F">
            <w:pPr>
              <w:tabs>
                <w:tab w:val="right" w:pos="1202"/>
              </w:tabs>
              <w:spacing w:after="0" w:line="301" w:lineRule="exact"/>
              <w:outlineLvl w:val="0"/>
              <w:rPr>
                <w:rFonts w:eastAsia="Times New Roman" w:cs="Arial"/>
                <w:sz w:val="18"/>
                <w:szCs w:val="18"/>
              </w:rPr>
            </w:pPr>
            <w:r w:rsidRPr="00831B14">
              <w:rPr>
                <w:rFonts w:eastAsia="Times New Roman" w:cs="Arial"/>
                <w:spacing w:val="-2"/>
                <w:sz w:val="18"/>
                <w:szCs w:val="18"/>
              </w:rPr>
              <w:t>Ostale obveze</w:t>
            </w:r>
          </w:p>
        </w:tc>
        <w:tc>
          <w:tcPr>
            <w:tcW w:w="606" w:type="pct"/>
            <w:tcBorders>
              <w:top w:val="nil"/>
              <w:left w:val="nil"/>
              <w:right w:val="nil"/>
            </w:tcBorders>
            <w:shd w:val="clear" w:color="auto" w:fill="auto"/>
            <w:vAlign w:val="bottom"/>
          </w:tcPr>
          <w:p w14:paraId="733828E2" w14:textId="54DF8581" w:rsidR="0025331F" w:rsidRPr="00312975" w:rsidRDefault="0025331F" w:rsidP="0025331F">
            <w:pPr>
              <w:keepNext/>
              <w:keepLines/>
              <w:tabs>
                <w:tab w:val="decimal" w:pos="1202"/>
                <w:tab w:val="center" w:pos="4153"/>
                <w:tab w:val="right" w:pos="8306"/>
              </w:tabs>
              <w:spacing w:after="0" w:line="301" w:lineRule="exact"/>
              <w:jc w:val="right"/>
              <w:rPr>
                <w:sz w:val="18"/>
                <w:szCs w:val="18"/>
              </w:rPr>
            </w:pPr>
            <w:r w:rsidRPr="00312975">
              <w:rPr>
                <w:sz w:val="18"/>
                <w:szCs w:val="18"/>
              </w:rPr>
              <w:t>156.792</w:t>
            </w:r>
          </w:p>
        </w:tc>
        <w:tc>
          <w:tcPr>
            <w:tcW w:w="606" w:type="pct"/>
            <w:tcBorders>
              <w:top w:val="nil"/>
              <w:left w:val="nil"/>
              <w:right w:val="nil"/>
            </w:tcBorders>
            <w:shd w:val="clear" w:color="auto" w:fill="auto"/>
            <w:vAlign w:val="bottom"/>
          </w:tcPr>
          <w:p w14:paraId="4C856854" w14:textId="1E1183FA" w:rsidR="0025331F" w:rsidRPr="00312975" w:rsidRDefault="0025331F" w:rsidP="0025331F">
            <w:pPr>
              <w:keepNext/>
              <w:keepLines/>
              <w:tabs>
                <w:tab w:val="decimal" w:pos="1202"/>
                <w:tab w:val="center" w:pos="4153"/>
                <w:tab w:val="right" w:pos="8306"/>
              </w:tabs>
              <w:spacing w:after="0" w:line="301" w:lineRule="exact"/>
              <w:jc w:val="right"/>
              <w:rPr>
                <w:sz w:val="18"/>
                <w:szCs w:val="18"/>
              </w:rPr>
            </w:pPr>
            <w:r w:rsidRPr="00312975">
              <w:rPr>
                <w:sz w:val="18"/>
                <w:szCs w:val="18"/>
              </w:rPr>
              <w:t>26.321</w:t>
            </w:r>
          </w:p>
        </w:tc>
        <w:tc>
          <w:tcPr>
            <w:tcW w:w="606" w:type="pct"/>
            <w:tcBorders>
              <w:top w:val="nil"/>
              <w:left w:val="nil"/>
              <w:right w:val="nil"/>
            </w:tcBorders>
            <w:shd w:val="clear" w:color="auto" w:fill="auto"/>
            <w:vAlign w:val="bottom"/>
          </w:tcPr>
          <w:p w14:paraId="35002CAB" w14:textId="2100D228" w:rsidR="0025331F" w:rsidRPr="00312975" w:rsidRDefault="0025331F" w:rsidP="0025331F">
            <w:pPr>
              <w:keepNext/>
              <w:keepLines/>
              <w:tabs>
                <w:tab w:val="decimal" w:pos="1202"/>
                <w:tab w:val="center" w:pos="4153"/>
                <w:tab w:val="right" w:pos="8306"/>
              </w:tabs>
              <w:spacing w:after="0" w:line="301" w:lineRule="exact"/>
              <w:jc w:val="right"/>
              <w:rPr>
                <w:sz w:val="18"/>
                <w:szCs w:val="18"/>
              </w:rPr>
            </w:pPr>
            <w:r w:rsidRPr="00312975">
              <w:rPr>
                <w:sz w:val="18"/>
                <w:szCs w:val="18"/>
              </w:rPr>
              <w:t>89.623</w:t>
            </w:r>
          </w:p>
        </w:tc>
        <w:tc>
          <w:tcPr>
            <w:tcW w:w="606" w:type="pct"/>
            <w:tcBorders>
              <w:top w:val="nil"/>
              <w:left w:val="nil"/>
              <w:right w:val="nil"/>
            </w:tcBorders>
            <w:shd w:val="clear" w:color="auto" w:fill="auto"/>
            <w:vAlign w:val="bottom"/>
          </w:tcPr>
          <w:p w14:paraId="62BE60E7" w14:textId="378B152F" w:rsidR="0025331F" w:rsidRPr="00312975" w:rsidRDefault="0025331F" w:rsidP="0025331F">
            <w:pPr>
              <w:keepNext/>
              <w:keepLines/>
              <w:tabs>
                <w:tab w:val="decimal" w:pos="1202"/>
                <w:tab w:val="center" w:pos="4153"/>
                <w:tab w:val="right" w:pos="8306"/>
              </w:tabs>
              <w:spacing w:after="0" w:line="301" w:lineRule="exact"/>
              <w:jc w:val="right"/>
              <w:rPr>
                <w:sz w:val="18"/>
                <w:szCs w:val="18"/>
              </w:rPr>
            </w:pPr>
            <w:r w:rsidRPr="00312975">
              <w:rPr>
                <w:sz w:val="18"/>
                <w:szCs w:val="18"/>
              </w:rPr>
              <w:t>176.133</w:t>
            </w:r>
          </w:p>
        </w:tc>
        <w:tc>
          <w:tcPr>
            <w:tcW w:w="606" w:type="pct"/>
            <w:tcBorders>
              <w:top w:val="nil"/>
              <w:left w:val="nil"/>
              <w:right w:val="nil"/>
            </w:tcBorders>
            <w:shd w:val="clear" w:color="auto" w:fill="auto"/>
            <w:vAlign w:val="bottom"/>
          </w:tcPr>
          <w:p w14:paraId="3C987461" w14:textId="6DB87EF1" w:rsidR="0025331F" w:rsidRPr="00312975" w:rsidRDefault="0025331F" w:rsidP="0025331F">
            <w:pPr>
              <w:keepNext/>
              <w:keepLines/>
              <w:tabs>
                <w:tab w:val="decimal" w:pos="1202"/>
                <w:tab w:val="center" w:pos="4153"/>
                <w:tab w:val="right" w:pos="8306"/>
              </w:tabs>
              <w:spacing w:after="0" w:line="301" w:lineRule="exact"/>
              <w:jc w:val="right"/>
              <w:rPr>
                <w:sz w:val="18"/>
                <w:szCs w:val="18"/>
              </w:rPr>
            </w:pPr>
            <w:r w:rsidRPr="00312975">
              <w:rPr>
                <w:sz w:val="18"/>
                <w:szCs w:val="18"/>
              </w:rPr>
              <w:t>187.984</w:t>
            </w:r>
          </w:p>
        </w:tc>
        <w:tc>
          <w:tcPr>
            <w:tcW w:w="606" w:type="pct"/>
            <w:tcBorders>
              <w:top w:val="nil"/>
              <w:left w:val="nil"/>
              <w:right w:val="nil"/>
            </w:tcBorders>
            <w:shd w:val="clear" w:color="auto" w:fill="auto"/>
            <w:vAlign w:val="bottom"/>
          </w:tcPr>
          <w:p w14:paraId="3FB58DBF" w14:textId="59EADFB5" w:rsidR="0025331F" w:rsidRPr="00312975" w:rsidRDefault="0025331F" w:rsidP="0025331F">
            <w:pPr>
              <w:keepNext/>
              <w:keepLines/>
              <w:tabs>
                <w:tab w:val="decimal" w:pos="1202"/>
                <w:tab w:val="center" w:pos="4153"/>
                <w:tab w:val="right" w:pos="8306"/>
              </w:tabs>
              <w:spacing w:after="0" w:line="301" w:lineRule="exact"/>
              <w:jc w:val="right"/>
              <w:rPr>
                <w:sz w:val="18"/>
                <w:szCs w:val="18"/>
              </w:rPr>
            </w:pPr>
            <w:r w:rsidRPr="00312975">
              <w:rPr>
                <w:sz w:val="18"/>
                <w:szCs w:val="18"/>
              </w:rPr>
              <w:t>636.853</w:t>
            </w:r>
          </w:p>
        </w:tc>
      </w:tr>
      <w:tr w:rsidR="004B16B5" w:rsidRPr="00831B14" w14:paraId="1A3B3FC1" w14:textId="77777777" w:rsidTr="00831B14">
        <w:trPr>
          <w:trHeight w:val="50"/>
        </w:trPr>
        <w:tc>
          <w:tcPr>
            <w:tcW w:w="1364" w:type="pct"/>
            <w:vAlign w:val="bottom"/>
          </w:tcPr>
          <w:p w14:paraId="627C2FD8" w14:textId="77777777" w:rsidR="004B16B5" w:rsidRPr="00831B14" w:rsidRDefault="004B16B5" w:rsidP="003D5BE9">
            <w:pPr>
              <w:tabs>
                <w:tab w:val="right" w:pos="1202"/>
              </w:tabs>
              <w:spacing w:after="0" w:line="140" w:lineRule="exact"/>
              <w:outlineLvl w:val="0"/>
              <w:rPr>
                <w:rFonts w:eastAsia="Times New Roman" w:cs="Arial"/>
                <w:spacing w:val="-2"/>
                <w:sz w:val="18"/>
                <w:szCs w:val="18"/>
              </w:rPr>
            </w:pPr>
          </w:p>
        </w:tc>
        <w:tc>
          <w:tcPr>
            <w:tcW w:w="606" w:type="pct"/>
            <w:vAlign w:val="bottom"/>
          </w:tcPr>
          <w:p w14:paraId="51446109"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vAlign w:val="bottom"/>
          </w:tcPr>
          <w:p w14:paraId="474B81DE"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vAlign w:val="bottom"/>
          </w:tcPr>
          <w:p w14:paraId="36C1F532"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vAlign w:val="bottom"/>
          </w:tcPr>
          <w:p w14:paraId="49E846F2"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vAlign w:val="bottom"/>
          </w:tcPr>
          <w:p w14:paraId="6EF68C33"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vAlign w:val="bottom"/>
          </w:tcPr>
          <w:p w14:paraId="036D7C03"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r>
      <w:tr w:rsidR="004B16B5" w:rsidRPr="00831B14" w14:paraId="00215732" w14:textId="77777777" w:rsidTr="00831B14">
        <w:tc>
          <w:tcPr>
            <w:tcW w:w="1364" w:type="pct"/>
            <w:vAlign w:val="bottom"/>
          </w:tcPr>
          <w:p w14:paraId="6E099F95" w14:textId="77777777" w:rsidR="004B16B5" w:rsidRPr="00831B14" w:rsidRDefault="004B16B5" w:rsidP="003D5BE9">
            <w:pPr>
              <w:tabs>
                <w:tab w:val="right" w:pos="1202"/>
              </w:tabs>
              <w:spacing w:after="0" w:line="140" w:lineRule="exact"/>
              <w:outlineLvl w:val="0"/>
              <w:rPr>
                <w:rFonts w:eastAsia="Times New Roman" w:cs="Arial"/>
                <w:spacing w:val="-2"/>
                <w:sz w:val="18"/>
                <w:szCs w:val="18"/>
              </w:rPr>
            </w:pPr>
          </w:p>
        </w:tc>
        <w:tc>
          <w:tcPr>
            <w:tcW w:w="606" w:type="pct"/>
            <w:vAlign w:val="bottom"/>
          </w:tcPr>
          <w:p w14:paraId="023C1A7B"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vAlign w:val="bottom"/>
          </w:tcPr>
          <w:p w14:paraId="56D0A431"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vAlign w:val="bottom"/>
          </w:tcPr>
          <w:p w14:paraId="1D37DEE5"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vAlign w:val="bottom"/>
          </w:tcPr>
          <w:p w14:paraId="036EC1AD"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vAlign w:val="bottom"/>
          </w:tcPr>
          <w:p w14:paraId="4B08AC17"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vAlign w:val="bottom"/>
          </w:tcPr>
          <w:p w14:paraId="26BEC892"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r>
      <w:tr w:rsidR="0025331F" w:rsidRPr="00831B14" w14:paraId="13CCC509" w14:textId="77777777" w:rsidTr="00312975">
        <w:trPr>
          <w:trHeight w:val="301"/>
        </w:trPr>
        <w:tc>
          <w:tcPr>
            <w:tcW w:w="1364" w:type="pct"/>
            <w:vAlign w:val="bottom"/>
          </w:tcPr>
          <w:p w14:paraId="1A1AB796" w14:textId="77777777" w:rsidR="0025331F" w:rsidRPr="00831B14" w:rsidRDefault="0025331F" w:rsidP="0025331F">
            <w:pPr>
              <w:tabs>
                <w:tab w:val="right" w:pos="1202"/>
              </w:tabs>
              <w:spacing w:after="0" w:line="340" w:lineRule="exact"/>
              <w:outlineLvl w:val="0"/>
              <w:rPr>
                <w:rFonts w:eastAsia="Times New Roman" w:cs="Arial"/>
                <w:b/>
                <w:bCs/>
                <w:sz w:val="18"/>
                <w:szCs w:val="18"/>
              </w:rPr>
            </w:pPr>
            <w:r w:rsidRPr="00831B14">
              <w:rPr>
                <w:rFonts w:eastAsia="Times New Roman" w:cs="Arial"/>
                <w:b/>
                <w:bCs/>
                <w:sz w:val="18"/>
                <w:szCs w:val="18"/>
              </w:rPr>
              <w:t>Ukupno</w:t>
            </w:r>
          </w:p>
        </w:tc>
        <w:tc>
          <w:tcPr>
            <w:tcW w:w="606" w:type="pct"/>
            <w:tcBorders>
              <w:top w:val="single" w:sz="4" w:space="0" w:color="auto"/>
              <w:left w:val="nil"/>
              <w:bottom w:val="single" w:sz="8" w:space="0" w:color="auto"/>
              <w:right w:val="nil"/>
            </w:tcBorders>
            <w:shd w:val="clear" w:color="auto" w:fill="auto"/>
          </w:tcPr>
          <w:p w14:paraId="0E01C598" w14:textId="2294FBD9" w:rsidR="0025331F" w:rsidRPr="00312975" w:rsidRDefault="0025331F" w:rsidP="0025331F">
            <w:pPr>
              <w:tabs>
                <w:tab w:val="right" w:pos="1202"/>
              </w:tabs>
              <w:spacing w:after="0" w:line="340" w:lineRule="exact"/>
              <w:jc w:val="right"/>
              <w:outlineLvl w:val="0"/>
              <w:rPr>
                <w:rFonts w:cs="Arial"/>
                <w:b/>
                <w:sz w:val="18"/>
                <w:szCs w:val="18"/>
              </w:rPr>
            </w:pPr>
            <w:r w:rsidRPr="00312975">
              <w:rPr>
                <w:rFonts w:cs="Arial"/>
                <w:b/>
                <w:sz w:val="18"/>
                <w:szCs w:val="18"/>
              </w:rPr>
              <w:t>603.275</w:t>
            </w:r>
          </w:p>
        </w:tc>
        <w:tc>
          <w:tcPr>
            <w:tcW w:w="606" w:type="pct"/>
            <w:tcBorders>
              <w:top w:val="single" w:sz="4" w:space="0" w:color="auto"/>
              <w:left w:val="nil"/>
              <w:bottom w:val="single" w:sz="8" w:space="0" w:color="auto"/>
              <w:right w:val="nil"/>
            </w:tcBorders>
            <w:shd w:val="clear" w:color="auto" w:fill="auto"/>
          </w:tcPr>
          <w:p w14:paraId="750620BA" w14:textId="488E662F" w:rsidR="0025331F" w:rsidRPr="00312975" w:rsidRDefault="0025331F" w:rsidP="0025331F">
            <w:pPr>
              <w:tabs>
                <w:tab w:val="right" w:pos="1202"/>
              </w:tabs>
              <w:spacing w:after="0" w:line="340" w:lineRule="exact"/>
              <w:jc w:val="right"/>
              <w:outlineLvl w:val="0"/>
              <w:rPr>
                <w:rFonts w:cs="Arial"/>
                <w:b/>
                <w:sz w:val="18"/>
                <w:szCs w:val="18"/>
              </w:rPr>
            </w:pPr>
            <w:r w:rsidRPr="00312975">
              <w:rPr>
                <w:rFonts w:cs="Arial"/>
                <w:b/>
                <w:sz w:val="18"/>
                <w:szCs w:val="18"/>
              </w:rPr>
              <w:t>407.673</w:t>
            </w:r>
          </w:p>
        </w:tc>
        <w:tc>
          <w:tcPr>
            <w:tcW w:w="606" w:type="pct"/>
            <w:tcBorders>
              <w:top w:val="single" w:sz="4" w:space="0" w:color="auto"/>
              <w:left w:val="nil"/>
              <w:bottom w:val="single" w:sz="8" w:space="0" w:color="auto"/>
              <w:right w:val="nil"/>
            </w:tcBorders>
            <w:shd w:val="clear" w:color="auto" w:fill="auto"/>
          </w:tcPr>
          <w:p w14:paraId="07228108" w14:textId="19F2F550" w:rsidR="0025331F" w:rsidRPr="00312975" w:rsidRDefault="0025331F" w:rsidP="0025331F">
            <w:pPr>
              <w:tabs>
                <w:tab w:val="right" w:pos="1202"/>
              </w:tabs>
              <w:spacing w:after="0" w:line="340" w:lineRule="exact"/>
              <w:jc w:val="right"/>
              <w:outlineLvl w:val="0"/>
              <w:rPr>
                <w:rFonts w:cs="Arial"/>
                <w:b/>
                <w:sz w:val="18"/>
                <w:szCs w:val="18"/>
              </w:rPr>
            </w:pPr>
            <w:r w:rsidRPr="00312975">
              <w:rPr>
                <w:rFonts w:cs="Arial"/>
                <w:b/>
                <w:sz w:val="18"/>
                <w:szCs w:val="18"/>
              </w:rPr>
              <w:t>1.667.258</w:t>
            </w:r>
          </w:p>
        </w:tc>
        <w:tc>
          <w:tcPr>
            <w:tcW w:w="606" w:type="pct"/>
            <w:tcBorders>
              <w:top w:val="single" w:sz="4" w:space="0" w:color="auto"/>
              <w:left w:val="nil"/>
              <w:bottom w:val="single" w:sz="8" w:space="0" w:color="auto"/>
              <w:right w:val="nil"/>
            </w:tcBorders>
            <w:shd w:val="clear" w:color="auto" w:fill="auto"/>
          </w:tcPr>
          <w:p w14:paraId="51BCC687" w14:textId="18B9C88B" w:rsidR="0025331F" w:rsidRPr="00312975" w:rsidRDefault="0025331F" w:rsidP="0025331F">
            <w:pPr>
              <w:tabs>
                <w:tab w:val="right" w:pos="1202"/>
              </w:tabs>
              <w:spacing w:after="0" w:line="340" w:lineRule="exact"/>
              <w:jc w:val="right"/>
              <w:outlineLvl w:val="0"/>
              <w:rPr>
                <w:rFonts w:cs="Arial"/>
                <w:b/>
                <w:sz w:val="18"/>
                <w:szCs w:val="18"/>
              </w:rPr>
            </w:pPr>
            <w:r w:rsidRPr="00312975">
              <w:rPr>
                <w:rFonts w:cs="Arial"/>
                <w:b/>
                <w:sz w:val="18"/>
                <w:szCs w:val="18"/>
              </w:rPr>
              <w:t>5.438.937</w:t>
            </w:r>
          </w:p>
        </w:tc>
        <w:tc>
          <w:tcPr>
            <w:tcW w:w="606" w:type="pct"/>
            <w:tcBorders>
              <w:top w:val="single" w:sz="4" w:space="0" w:color="auto"/>
              <w:left w:val="nil"/>
              <w:bottom w:val="single" w:sz="8" w:space="0" w:color="auto"/>
              <w:right w:val="nil"/>
            </w:tcBorders>
            <w:shd w:val="clear" w:color="auto" w:fill="auto"/>
          </w:tcPr>
          <w:p w14:paraId="521912D7" w14:textId="2A4F451A" w:rsidR="0025331F" w:rsidRPr="00312975" w:rsidRDefault="0025331F" w:rsidP="0025331F">
            <w:pPr>
              <w:tabs>
                <w:tab w:val="right" w:pos="1202"/>
              </w:tabs>
              <w:spacing w:after="0" w:line="340" w:lineRule="exact"/>
              <w:jc w:val="right"/>
              <w:outlineLvl w:val="0"/>
              <w:rPr>
                <w:rFonts w:cs="Arial"/>
                <w:b/>
                <w:sz w:val="18"/>
                <w:szCs w:val="18"/>
              </w:rPr>
            </w:pPr>
            <w:r w:rsidRPr="00312975">
              <w:rPr>
                <w:rFonts w:cs="Arial"/>
                <w:b/>
                <w:sz w:val="18"/>
                <w:szCs w:val="18"/>
              </w:rPr>
              <w:t>11.627.436</w:t>
            </w:r>
          </w:p>
        </w:tc>
        <w:tc>
          <w:tcPr>
            <w:tcW w:w="606" w:type="pct"/>
            <w:tcBorders>
              <w:top w:val="single" w:sz="4" w:space="0" w:color="auto"/>
              <w:left w:val="nil"/>
              <w:bottom w:val="single" w:sz="8" w:space="0" w:color="auto"/>
              <w:right w:val="nil"/>
            </w:tcBorders>
            <w:shd w:val="clear" w:color="auto" w:fill="auto"/>
          </w:tcPr>
          <w:p w14:paraId="26F4AE3B" w14:textId="3E1AD0A9" w:rsidR="0025331F" w:rsidRPr="00312975" w:rsidRDefault="0025331F" w:rsidP="0025331F">
            <w:pPr>
              <w:tabs>
                <w:tab w:val="right" w:pos="1202"/>
              </w:tabs>
              <w:spacing w:after="0" w:line="340" w:lineRule="exact"/>
              <w:jc w:val="right"/>
              <w:outlineLvl w:val="0"/>
              <w:rPr>
                <w:rFonts w:cs="Arial"/>
                <w:b/>
                <w:sz w:val="18"/>
                <w:szCs w:val="18"/>
              </w:rPr>
            </w:pPr>
            <w:r w:rsidRPr="00312975">
              <w:rPr>
                <w:rFonts w:cs="Arial"/>
                <w:b/>
                <w:sz w:val="18"/>
                <w:szCs w:val="18"/>
              </w:rPr>
              <w:t>19.744.579</w:t>
            </w:r>
          </w:p>
        </w:tc>
      </w:tr>
      <w:tr w:rsidR="004B16B5" w:rsidRPr="00831B14" w14:paraId="2BFD8623" w14:textId="77777777" w:rsidTr="003D5BE9">
        <w:tc>
          <w:tcPr>
            <w:tcW w:w="1364" w:type="pct"/>
            <w:vAlign w:val="bottom"/>
          </w:tcPr>
          <w:p w14:paraId="31AF9534" w14:textId="77777777" w:rsidR="004B16B5" w:rsidRPr="00831B14" w:rsidRDefault="004B16B5" w:rsidP="003D5BE9">
            <w:pPr>
              <w:keepNext/>
              <w:keepLines/>
              <w:tabs>
                <w:tab w:val="decimal" w:pos="1202"/>
              </w:tabs>
              <w:spacing w:after="0" w:line="140" w:lineRule="exact"/>
              <w:rPr>
                <w:rFonts w:eastAsia="Times New Roman" w:cs="Arial"/>
                <w:b/>
                <w:position w:val="4"/>
                <w:sz w:val="18"/>
                <w:szCs w:val="18"/>
              </w:rPr>
            </w:pPr>
          </w:p>
        </w:tc>
        <w:tc>
          <w:tcPr>
            <w:tcW w:w="606" w:type="pct"/>
            <w:tcBorders>
              <w:top w:val="single" w:sz="12" w:space="0" w:color="auto"/>
            </w:tcBorders>
          </w:tcPr>
          <w:p w14:paraId="37FBC8CD" w14:textId="77777777" w:rsidR="004B16B5" w:rsidRPr="00831B14"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top w:val="single" w:sz="12" w:space="0" w:color="auto"/>
            </w:tcBorders>
          </w:tcPr>
          <w:p w14:paraId="5153434D" w14:textId="77777777" w:rsidR="004B16B5" w:rsidRPr="00831B14"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top w:val="single" w:sz="12" w:space="0" w:color="auto"/>
            </w:tcBorders>
          </w:tcPr>
          <w:p w14:paraId="0249D138" w14:textId="77777777" w:rsidR="004B16B5" w:rsidRPr="00831B14"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top w:val="single" w:sz="12" w:space="0" w:color="auto"/>
            </w:tcBorders>
          </w:tcPr>
          <w:p w14:paraId="64EC0890" w14:textId="77777777" w:rsidR="004B16B5" w:rsidRPr="00831B14"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top w:val="single" w:sz="12" w:space="0" w:color="auto"/>
            </w:tcBorders>
          </w:tcPr>
          <w:p w14:paraId="4E11777F" w14:textId="77777777" w:rsidR="004B16B5" w:rsidRPr="00831B14"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top w:val="single" w:sz="12" w:space="0" w:color="auto"/>
            </w:tcBorders>
          </w:tcPr>
          <w:p w14:paraId="0F22254C" w14:textId="77777777" w:rsidR="004B16B5" w:rsidRPr="00831B14"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r>
    </w:tbl>
    <w:p w14:paraId="380FC907" w14:textId="77777777" w:rsidR="004B16B5" w:rsidRPr="00D24461" w:rsidRDefault="004B16B5" w:rsidP="004B16B5">
      <w:pPr>
        <w:keepNext/>
        <w:spacing w:before="240" w:after="0" w:line="360" w:lineRule="auto"/>
        <w:jc w:val="both"/>
        <w:rPr>
          <w:rFonts w:eastAsia="Times New Roman" w:cs="Arial"/>
          <w:bCs/>
          <w:sz w:val="18"/>
          <w:szCs w:val="18"/>
        </w:rPr>
      </w:pPr>
    </w:p>
    <w:tbl>
      <w:tblPr>
        <w:tblW w:w="5000" w:type="pct"/>
        <w:tblLayout w:type="fixed"/>
        <w:tblCellMar>
          <w:left w:w="120" w:type="dxa"/>
          <w:right w:w="120" w:type="dxa"/>
        </w:tblCellMar>
        <w:tblLook w:val="0000" w:firstRow="0" w:lastRow="0" w:firstColumn="0" w:lastColumn="0" w:noHBand="0" w:noVBand="0"/>
      </w:tblPr>
      <w:tblGrid>
        <w:gridCol w:w="2551"/>
        <w:gridCol w:w="1133"/>
        <w:gridCol w:w="1134"/>
        <w:gridCol w:w="1134"/>
        <w:gridCol w:w="1134"/>
        <w:gridCol w:w="1134"/>
        <w:gridCol w:w="1134"/>
      </w:tblGrid>
      <w:tr w:rsidR="004B16B5" w:rsidRPr="00D24461" w14:paraId="3ADE71EB" w14:textId="77777777" w:rsidTr="003D5BE9">
        <w:trPr>
          <w:trHeight w:val="658"/>
        </w:trPr>
        <w:tc>
          <w:tcPr>
            <w:tcW w:w="1364" w:type="pct"/>
          </w:tcPr>
          <w:p w14:paraId="509FE2FD" w14:textId="77777777" w:rsidR="004B16B5" w:rsidRPr="00D24461" w:rsidRDefault="004B16B5" w:rsidP="003D5BE9">
            <w:pPr>
              <w:tabs>
                <w:tab w:val="right" w:pos="1202"/>
              </w:tabs>
              <w:spacing w:after="0" w:line="240" w:lineRule="atLeast"/>
              <w:outlineLvl w:val="0"/>
              <w:rPr>
                <w:rFonts w:eastAsia="Times New Roman" w:cs="Arial"/>
                <w:b/>
                <w:sz w:val="18"/>
                <w:szCs w:val="18"/>
              </w:rPr>
            </w:pPr>
            <w:r w:rsidRPr="00D24461">
              <w:rPr>
                <w:rFonts w:eastAsia="Times New Roman" w:cs="Arial"/>
                <w:b/>
                <w:sz w:val="18"/>
                <w:szCs w:val="18"/>
              </w:rPr>
              <w:t>Grupa</w:t>
            </w:r>
          </w:p>
          <w:p w14:paraId="20D3EEC3" w14:textId="08911548" w:rsidR="004B16B5" w:rsidRPr="00D24461" w:rsidRDefault="004B16B5" w:rsidP="00AD0961">
            <w:pPr>
              <w:tabs>
                <w:tab w:val="right" w:pos="1202"/>
              </w:tabs>
              <w:spacing w:after="0" w:line="240" w:lineRule="atLeast"/>
              <w:outlineLvl w:val="0"/>
              <w:rPr>
                <w:rFonts w:eastAsia="Times New Roman" w:cs="Arial"/>
                <w:b/>
                <w:sz w:val="18"/>
                <w:szCs w:val="18"/>
              </w:rPr>
            </w:pPr>
            <w:r>
              <w:rPr>
                <w:rFonts w:eastAsia="Times New Roman" w:cs="Arial"/>
                <w:b/>
                <w:sz w:val="18"/>
                <w:szCs w:val="18"/>
              </w:rPr>
              <w:t>31.12.</w:t>
            </w:r>
            <w:r w:rsidRPr="00D24461">
              <w:rPr>
                <w:rFonts w:eastAsia="Times New Roman" w:cs="Arial"/>
                <w:b/>
                <w:sz w:val="18"/>
                <w:szCs w:val="18"/>
              </w:rPr>
              <w:t>201</w:t>
            </w:r>
            <w:r w:rsidR="00AD0961">
              <w:rPr>
                <w:rFonts w:eastAsia="Times New Roman" w:cs="Arial"/>
                <w:b/>
                <w:sz w:val="18"/>
                <w:szCs w:val="18"/>
              </w:rPr>
              <w:t>6</w:t>
            </w:r>
            <w:r w:rsidRPr="00D24461">
              <w:rPr>
                <w:rFonts w:eastAsia="Times New Roman" w:cs="Arial"/>
                <w:b/>
                <w:sz w:val="18"/>
                <w:szCs w:val="18"/>
              </w:rPr>
              <w:t>.</w:t>
            </w:r>
          </w:p>
        </w:tc>
        <w:tc>
          <w:tcPr>
            <w:tcW w:w="606" w:type="pct"/>
          </w:tcPr>
          <w:p w14:paraId="7D7B6310" w14:textId="77777777" w:rsidR="004B16B5" w:rsidRPr="00D24461"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D24461">
              <w:rPr>
                <w:rFonts w:eastAsia="Times New Roman" w:cs="Arial"/>
                <w:b/>
                <w:sz w:val="18"/>
                <w:szCs w:val="18"/>
              </w:rPr>
              <w:t>Do 1 mjesec</w:t>
            </w:r>
          </w:p>
        </w:tc>
        <w:tc>
          <w:tcPr>
            <w:tcW w:w="606" w:type="pct"/>
          </w:tcPr>
          <w:p w14:paraId="01944DCF" w14:textId="77777777" w:rsidR="004B16B5" w:rsidRPr="00D24461"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D24461">
              <w:rPr>
                <w:rFonts w:eastAsia="Times New Roman" w:cs="Arial"/>
                <w:b/>
                <w:sz w:val="18"/>
                <w:szCs w:val="18"/>
              </w:rPr>
              <w:t>1 do 3 mjeseca</w:t>
            </w:r>
          </w:p>
        </w:tc>
        <w:tc>
          <w:tcPr>
            <w:tcW w:w="606" w:type="pct"/>
          </w:tcPr>
          <w:p w14:paraId="3179AE61" w14:textId="77777777" w:rsidR="004B16B5" w:rsidRPr="00D24461"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D24461">
              <w:rPr>
                <w:rFonts w:eastAsia="Times New Roman" w:cs="Arial"/>
                <w:b/>
                <w:sz w:val="18"/>
                <w:szCs w:val="18"/>
              </w:rPr>
              <w:t>3 mj. do 1 godine</w:t>
            </w:r>
          </w:p>
        </w:tc>
        <w:tc>
          <w:tcPr>
            <w:tcW w:w="606" w:type="pct"/>
          </w:tcPr>
          <w:p w14:paraId="24239137" w14:textId="77777777" w:rsidR="004B16B5" w:rsidRPr="00D24461"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D24461">
              <w:rPr>
                <w:rFonts w:eastAsia="Times New Roman" w:cs="Arial"/>
                <w:b/>
                <w:sz w:val="18"/>
                <w:szCs w:val="18"/>
              </w:rPr>
              <w:t>1 do 3 godina</w:t>
            </w:r>
          </w:p>
        </w:tc>
        <w:tc>
          <w:tcPr>
            <w:tcW w:w="606" w:type="pct"/>
          </w:tcPr>
          <w:p w14:paraId="03869F06" w14:textId="77777777" w:rsidR="004B16B5" w:rsidRPr="00D24461"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D24461">
              <w:rPr>
                <w:rFonts w:eastAsia="Times New Roman" w:cs="Arial"/>
                <w:b/>
                <w:sz w:val="18"/>
                <w:szCs w:val="18"/>
              </w:rPr>
              <w:t>Preko 3 godine</w:t>
            </w:r>
          </w:p>
        </w:tc>
        <w:tc>
          <w:tcPr>
            <w:tcW w:w="606" w:type="pct"/>
          </w:tcPr>
          <w:p w14:paraId="5E8F4F34" w14:textId="77777777" w:rsidR="004B16B5" w:rsidRPr="00D24461"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D24461">
              <w:rPr>
                <w:rFonts w:eastAsia="Times New Roman" w:cs="Arial"/>
                <w:b/>
                <w:sz w:val="18"/>
                <w:szCs w:val="18"/>
              </w:rPr>
              <w:t>Ukupno</w:t>
            </w:r>
          </w:p>
        </w:tc>
      </w:tr>
      <w:tr w:rsidR="004B16B5" w:rsidRPr="00D24461" w14:paraId="4E26901D" w14:textId="77777777" w:rsidTr="003D5BE9">
        <w:tc>
          <w:tcPr>
            <w:tcW w:w="1364" w:type="pct"/>
            <w:vAlign w:val="bottom"/>
          </w:tcPr>
          <w:p w14:paraId="02C51573" w14:textId="77777777" w:rsidR="004B16B5" w:rsidRPr="00D24461" w:rsidRDefault="004B16B5" w:rsidP="003D5BE9">
            <w:pPr>
              <w:tabs>
                <w:tab w:val="right" w:pos="1202"/>
              </w:tabs>
              <w:spacing w:after="0" w:line="301" w:lineRule="exact"/>
              <w:outlineLvl w:val="0"/>
              <w:rPr>
                <w:rFonts w:eastAsia="Times New Roman" w:cs="Arial"/>
                <w:b/>
                <w:bCs/>
                <w:sz w:val="18"/>
                <w:szCs w:val="18"/>
              </w:rPr>
            </w:pPr>
            <w:r w:rsidRPr="00D24461">
              <w:rPr>
                <w:rFonts w:eastAsia="Times New Roman" w:cs="Arial"/>
                <w:b/>
                <w:bCs/>
                <w:sz w:val="18"/>
                <w:szCs w:val="18"/>
              </w:rPr>
              <w:t>Financijske obveze</w:t>
            </w:r>
          </w:p>
        </w:tc>
        <w:tc>
          <w:tcPr>
            <w:tcW w:w="606" w:type="pct"/>
          </w:tcPr>
          <w:p w14:paraId="5DD47E6B" w14:textId="77777777" w:rsidR="004B16B5" w:rsidRPr="00D24461"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606" w:type="pct"/>
          </w:tcPr>
          <w:p w14:paraId="3C02BE11" w14:textId="77777777" w:rsidR="004B16B5" w:rsidRPr="00D24461"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606" w:type="pct"/>
          </w:tcPr>
          <w:p w14:paraId="504271EF" w14:textId="77777777" w:rsidR="004B16B5" w:rsidRPr="00D24461"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606" w:type="pct"/>
          </w:tcPr>
          <w:p w14:paraId="2019BCE9" w14:textId="77777777" w:rsidR="004B16B5" w:rsidRPr="00D24461"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606" w:type="pct"/>
          </w:tcPr>
          <w:p w14:paraId="1670FD61" w14:textId="77777777" w:rsidR="004B16B5" w:rsidRPr="00D24461"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606" w:type="pct"/>
          </w:tcPr>
          <w:p w14:paraId="07B537B3" w14:textId="77777777" w:rsidR="004B16B5" w:rsidRPr="00D24461"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r>
      <w:tr w:rsidR="00AD0961" w:rsidRPr="00D24461" w14:paraId="46DAE558" w14:textId="77777777" w:rsidTr="003D5BE9">
        <w:tc>
          <w:tcPr>
            <w:tcW w:w="1364" w:type="pct"/>
            <w:vAlign w:val="bottom"/>
          </w:tcPr>
          <w:p w14:paraId="38738A51" w14:textId="77777777" w:rsidR="00AD0961" w:rsidRPr="00D24461" w:rsidRDefault="00AD0961" w:rsidP="00AD0961">
            <w:pPr>
              <w:tabs>
                <w:tab w:val="right" w:pos="1202"/>
              </w:tabs>
              <w:spacing w:after="0" w:line="301" w:lineRule="exact"/>
              <w:outlineLvl w:val="0"/>
              <w:rPr>
                <w:rFonts w:eastAsia="Times New Roman" w:cs="Arial"/>
                <w:sz w:val="18"/>
                <w:szCs w:val="18"/>
              </w:rPr>
            </w:pPr>
            <w:r w:rsidRPr="00D24461">
              <w:rPr>
                <w:rFonts w:eastAsia="Times New Roman" w:cs="Arial"/>
                <w:spacing w:val="-2"/>
                <w:sz w:val="18"/>
                <w:szCs w:val="18"/>
              </w:rPr>
              <w:t>Obveze po depozitima</w:t>
            </w:r>
          </w:p>
        </w:tc>
        <w:tc>
          <w:tcPr>
            <w:tcW w:w="606" w:type="pct"/>
            <w:tcBorders>
              <w:top w:val="nil"/>
              <w:left w:val="nil"/>
              <w:bottom w:val="nil"/>
              <w:right w:val="nil"/>
            </w:tcBorders>
            <w:shd w:val="clear" w:color="auto" w:fill="auto"/>
            <w:vAlign w:val="bottom"/>
          </w:tcPr>
          <w:p w14:paraId="438E20D7" w14:textId="486CC1AB"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sz w:val="18"/>
                <w:szCs w:val="18"/>
              </w:rPr>
              <w:t>75.581</w:t>
            </w:r>
          </w:p>
        </w:tc>
        <w:tc>
          <w:tcPr>
            <w:tcW w:w="606" w:type="pct"/>
            <w:tcBorders>
              <w:top w:val="nil"/>
              <w:left w:val="nil"/>
              <w:bottom w:val="nil"/>
              <w:right w:val="nil"/>
            </w:tcBorders>
            <w:shd w:val="clear" w:color="auto" w:fill="auto"/>
            <w:vAlign w:val="bottom"/>
          </w:tcPr>
          <w:p w14:paraId="3E8EA2A9" w14:textId="548F3236"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sz w:val="18"/>
                <w:szCs w:val="18"/>
              </w:rPr>
              <w:t>-</w:t>
            </w:r>
          </w:p>
        </w:tc>
        <w:tc>
          <w:tcPr>
            <w:tcW w:w="606" w:type="pct"/>
            <w:tcBorders>
              <w:top w:val="nil"/>
              <w:left w:val="nil"/>
              <w:bottom w:val="nil"/>
              <w:right w:val="nil"/>
            </w:tcBorders>
            <w:shd w:val="clear" w:color="auto" w:fill="auto"/>
            <w:vAlign w:val="bottom"/>
          </w:tcPr>
          <w:p w14:paraId="0102FCF9" w14:textId="797BD64A"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sz w:val="18"/>
                <w:szCs w:val="18"/>
              </w:rPr>
              <w:t>12.687</w:t>
            </w:r>
          </w:p>
        </w:tc>
        <w:tc>
          <w:tcPr>
            <w:tcW w:w="606" w:type="pct"/>
            <w:tcBorders>
              <w:top w:val="nil"/>
              <w:left w:val="nil"/>
              <w:bottom w:val="nil"/>
              <w:right w:val="nil"/>
            </w:tcBorders>
            <w:shd w:val="clear" w:color="auto" w:fill="auto"/>
            <w:vAlign w:val="bottom"/>
          </w:tcPr>
          <w:p w14:paraId="6AAF8C2F" w14:textId="0133EA91"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sz w:val="18"/>
                <w:szCs w:val="18"/>
              </w:rPr>
              <w:t>46.407</w:t>
            </w:r>
          </w:p>
        </w:tc>
        <w:tc>
          <w:tcPr>
            <w:tcW w:w="606" w:type="pct"/>
            <w:tcBorders>
              <w:top w:val="nil"/>
              <w:left w:val="nil"/>
              <w:bottom w:val="nil"/>
              <w:right w:val="nil"/>
            </w:tcBorders>
            <w:shd w:val="clear" w:color="auto" w:fill="auto"/>
            <w:vAlign w:val="bottom"/>
          </w:tcPr>
          <w:p w14:paraId="6BA1DBF6" w14:textId="70CBDE8D"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sz w:val="18"/>
                <w:szCs w:val="18"/>
              </w:rPr>
              <w:t>8.169</w:t>
            </w:r>
          </w:p>
        </w:tc>
        <w:tc>
          <w:tcPr>
            <w:tcW w:w="606" w:type="pct"/>
            <w:tcBorders>
              <w:top w:val="nil"/>
              <w:left w:val="nil"/>
              <w:bottom w:val="nil"/>
              <w:right w:val="nil"/>
            </w:tcBorders>
            <w:shd w:val="clear" w:color="auto" w:fill="auto"/>
            <w:vAlign w:val="bottom"/>
          </w:tcPr>
          <w:p w14:paraId="3B805F75" w14:textId="3A32CB6F"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sz w:val="18"/>
                <w:szCs w:val="18"/>
              </w:rPr>
              <w:t>142.844</w:t>
            </w:r>
          </w:p>
        </w:tc>
      </w:tr>
      <w:tr w:rsidR="00AD0961" w:rsidRPr="00D24461" w14:paraId="12D220A4" w14:textId="77777777" w:rsidTr="003D5BE9">
        <w:tc>
          <w:tcPr>
            <w:tcW w:w="1364" w:type="pct"/>
            <w:vAlign w:val="bottom"/>
          </w:tcPr>
          <w:p w14:paraId="569D32A4" w14:textId="77777777" w:rsidR="00AD0961" w:rsidRPr="00D24461" w:rsidRDefault="00AD0961" w:rsidP="00AD0961">
            <w:pPr>
              <w:tabs>
                <w:tab w:val="right" w:pos="1202"/>
              </w:tabs>
              <w:spacing w:after="0" w:line="301" w:lineRule="exact"/>
              <w:outlineLvl w:val="0"/>
              <w:rPr>
                <w:rFonts w:eastAsia="Times New Roman" w:cs="Arial"/>
                <w:sz w:val="18"/>
                <w:szCs w:val="18"/>
              </w:rPr>
            </w:pPr>
            <w:r w:rsidRPr="00D24461">
              <w:rPr>
                <w:rFonts w:eastAsia="Times New Roman" w:cs="Arial"/>
                <w:spacing w:val="-2"/>
                <w:sz w:val="18"/>
                <w:szCs w:val="18"/>
              </w:rPr>
              <w:t>Obveze po kreditima</w:t>
            </w:r>
          </w:p>
        </w:tc>
        <w:tc>
          <w:tcPr>
            <w:tcW w:w="606" w:type="pct"/>
            <w:tcBorders>
              <w:top w:val="nil"/>
              <w:left w:val="nil"/>
              <w:bottom w:val="nil"/>
              <w:right w:val="nil"/>
            </w:tcBorders>
            <w:shd w:val="clear" w:color="auto" w:fill="auto"/>
            <w:vAlign w:val="bottom"/>
          </w:tcPr>
          <w:p w14:paraId="67AC96F7" w14:textId="7BFFEB48"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382.184</w:t>
            </w:r>
          </w:p>
        </w:tc>
        <w:tc>
          <w:tcPr>
            <w:tcW w:w="606" w:type="pct"/>
            <w:tcBorders>
              <w:top w:val="nil"/>
              <w:left w:val="nil"/>
              <w:bottom w:val="nil"/>
              <w:right w:val="nil"/>
            </w:tcBorders>
            <w:shd w:val="clear" w:color="auto" w:fill="auto"/>
            <w:vAlign w:val="bottom"/>
          </w:tcPr>
          <w:p w14:paraId="63287651" w14:textId="1901C496"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208.630</w:t>
            </w:r>
          </w:p>
        </w:tc>
        <w:tc>
          <w:tcPr>
            <w:tcW w:w="606" w:type="pct"/>
            <w:tcBorders>
              <w:top w:val="nil"/>
              <w:left w:val="nil"/>
              <w:bottom w:val="nil"/>
              <w:right w:val="nil"/>
            </w:tcBorders>
            <w:shd w:val="clear" w:color="auto" w:fill="auto"/>
            <w:vAlign w:val="bottom"/>
          </w:tcPr>
          <w:p w14:paraId="224FF38B" w14:textId="5ED4B533"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1.261.178</w:t>
            </w:r>
          </w:p>
        </w:tc>
        <w:tc>
          <w:tcPr>
            <w:tcW w:w="606" w:type="pct"/>
            <w:tcBorders>
              <w:top w:val="nil"/>
              <w:left w:val="nil"/>
              <w:bottom w:val="nil"/>
              <w:right w:val="nil"/>
            </w:tcBorders>
            <w:shd w:val="clear" w:color="auto" w:fill="auto"/>
            <w:vAlign w:val="bottom"/>
          </w:tcPr>
          <w:p w14:paraId="703EE779" w14:textId="0878ED14"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3.598.035</w:t>
            </w:r>
          </w:p>
        </w:tc>
        <w:tc>
          <w:tcPr>
            <w:tcW w:w="606" w:type="pct"/>
            <w:tcBorders>
              <w:top w:val="nil"/>
              <w:left w:val="nil"/>
              <w:bottom w:val="nil"/>
              <w:right w:val="nil"/>
            </w:tcBorders>
            <w:shd w:val="clear" w:color="auto" w:fill="auto"/>
            <w:vAlign w:val="bottom"/>
          </w:tcPr>
          <w:p w14:paraId="3842EDD7" w14:textId="06D1F713"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9.694.025</w:t>
            </w:r>
          </w:p>
        </w:tc>
        <w:tc>
          <w:tcPr>
            <w:tcW w:w="606" w:type="pct"/>
            <w:tcBorders>
              <w:top w:val="nil"/>
              <w:left w:val="nil"/>
              <w:bottom w:val="nil"/>
              <w:right w:val="nil"/>
            </w:tcBorders>
            <w:shd w:val="clear" w:color="auto" w:fill="auto"/>
            <w:vAlign w:val="bottom"/>
          </w:tcPr>
          <w:p w14:paraId="7AAB25B2" w14:textId="68BBC382"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bCs/>
                <w:sz w:val="18"/>
                <w:szCs w:val="18"/>
              </w:rPr>
              <w:t>15.144.052</w:t>
            </w:r>
          </w:p>
        </w:tc>
      </w:tr>
      <w:tr w:rsidR="00AD0961" w:rsidRPr="00BF0800" w14:paraId="45447D9A" w14:textId="77777777" w:rsidTr="003D5BE9">
        <w:tc>
          <w:tcPr>
            <w:tcW w:w="1364" w:type="pct"/>
            <w:vAlign w:val="bottom"/>
          </w:tcPr>
          <w:p w14:paraId="223AFA8A" w14:textId="77777777" w:rsidR="00AD0961" w:rsidRPr="00D24461" w:rsidRDefault="00AD0961" w:rsidP="00AD0961">
            <w:pPr>
              <w:tabs>
                <w:tab w:val="right" w:pos="1202"/>
              </w:tabs>
              <w:spacing w:after="0" w:line="301" w:lineRule="exact"/>
              <w:outlineLvl w:val="0"/>
              <w:rPr>
                <w:rFonts w:eastAsia="Times New Roman" w:cs="Arial"/>
                <w:sz w:val="18"/>
                <w:szCs w:val="18"/>
              </w:rPr>
            </w:pPr>
            <w:r w:rsidRPr="00D24461">
              <w:rPr>
                <w:rFonts w:eastAsia="Times New Roman" w:cs="Arial"/>
                <w:spacing w:val="-2"/>
                <w:sz w:val="18"/>
                <w:szCs w:val="18"/>
              </w:rPr>
              <w:t>Obveze za izdane dugoročne vrijednosne papire</w:t>
            </w:r>
          </w:p>
        </w:tc>
        <w:tc>
          <w:tcPr>
            <w:tcW w:w="606" w:type="pct"/>
            <w:tcBorders>
              <w:top w:val="nil"/>
              <w:left w:val="nil"/>
              <w:bottom w:val="nil"/>
              <w:right w:val="nil"/>
            </w:tcBorders>
            <w:shd w:val="clear" w:color="auto" w:fill="auto"/>
            <w:vAlign w:val="bottom"/>
          </w:tcPr>
          <w:p w14:paraId="4BAA3422" w14:textId="1C30BE6F"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w:t>
            </w:r>
          </w:p>
        </w:tc>
        <w:tc>
          <w:tcPr>
            <w:tcW w:w="606" w:type="pct"/>
            <w:tcBorders>
              <w:top w:val="nil"/>
              <w:left w:val="nil"/>
              <w:bottom w:val="nil"/>
              <w:right w:val="nil"/>
            </w:tcBorders>
            <w:shd w:val="clear" w:color="auto" w:fill="auto"/>
            <w:vAlign w:val="bottom"/>
          </w:tcPr>
          <w:p w14:paraId="5B9ED870" w14:textId="3138CAEB"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w:t>
            </w:r>
          </w:p>
        </w:tc>
        <w:tc>
          <w:tcPr>
            <w:tcW w:w="606" w:type="pct"/>
            <w:tcBorders>
              <w:top w:val="nil"/>
              <w:left w:val="nil"/>
              <w:bottom w:val="nil"/>
              <w:right w:val="nil"/>
            </w:tcBorders>
            <w:shd w:val="clear" w:color="auto" w:fill="auto"/>
            <w:vAlign w:val="bottom"/>
          </w:tcPr>
          <w:p w14:paraId="77E22397" w14:textId="67C6A4E8"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2.051.330</w:t>
            </w:r>
          </w:p>
        </w:tc>
        <w:tc>
          <w:tcPr>
            <w:tcW w:w="606" w:type="pct"/>
            <w:tcBorders>
              <w:top w:val="nil"/>
              <w:left w:val="nil"/>
              <w:bottom w:val="nil"/>
              <w:right w:val="nil"/>
            </w:tcBorders>
            <w:shd w:val="clear" w:color="auto" w:fill="auto"/>
            <w:vAlign w:val="bottom"/>
          </w:tcPr>
          <w:p w14:paraId="397C4F11" w14:textId="0DF5FD3E"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136.040</w:t>
            </w:r>
          </w:p>
        </w:tc>
        <w:tc>
          <w:tcPr>
            <w:tcW w:w="606" w:type="pct"/>
            <w:tcBorders>
              <w:top w:val="nil"/>
              <w:left w:val="nil"/>
              <w:bottom w:val="nil"/>
              <w:right w:val="nil"/>
            </w:tcBorders>
            <w:shd w:val="clear" w:color="auto" w:fill="auto"/>
            <w:vAlign w:val="bottom"/>
          </w:tcPr>
          <w:p w14:paraId="70F218B6" w14:textId="0C9EE62C"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1.188.820</w:t>
            </w:r>
          </w:p>
        </w:tc>
        <w:tc>
          <w:tcPr>
            <w:tcW w:w="606" w:type="pct"/>
            <w:tcBorders>
              <w:top w:val="nil"/>
              <w:left w:val="nil"/>
              <w:bottom w:val="nil"/>
              <w:right w:val="nil"/>
            </w:tcBorders>
            <w:shd w:val="clear" w:color="auto" w:fill="auto"/>
            <w:vAlign w:val="bottom"/>
          </w:tcPr>
          <w:p w14:paraId="12AB00A5" w14:textId="228841E2"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bCs/>
                <w:sz w:val="18"/>
                <w:szCs w:val="18"/>
              </w:rPr>
              <w:t>3.376.190</w:t>
            </w:r>
          </w:p>
        </w:tc>
      </w:tr>
      <w:tr w:rsidR="00AD0961" w:rsidRPr="00D24461" w14:paraId="04E53235" w14:textId="77777777" w:rsidTr="00AD0961">
        <w:tc>
          <w:tcPr>
            <w:tcW w:w="1364" w:type="pct"/>
            <w:vAlign w:val="bottom"/>
          </w:tcPr>
          <w:p w14:paraId="6F93579B" w14:textId="77777777" w:rsidR="00AD0961" w:rsidRPr="00D24461" w:rsidRDefault="00AD0961" w:rsidP="00AD0961">
            <w:pPr>
              <w:tabs>
                <w:tab w:val="right" w:pos="1202"/>
              </w:tabs>
              <w:spacing w:after="0" w:line="301" w:lineRule="exact"/>
              <w:outlineLvl w:val="0"/>
              <w:rPr>
                <w:rFonts w:eastAsia="Times New Roman" w:cs="Arial"/>
                <w:sz w:val="18"/>
                <w:szCs w:val="18"/>
              </w:rPr>
            </w:pPr>
            <w:r w:rsidRPr="00D24461">
              <w:rPr>
                <w:rFonts w:eastAsia="Times New Roman" w:cs="Arial"/>
                <w:spacing w:val="-2"/>
                <w:sz w:val="18"/>
                <w:szCs w:val="18"/>
              </w:rPr>
              <w:t>Ostale obveze</w:t>
            </w:r>
          </w:p>
        </w:tc>
        <w:tc>
          <w:tcPr>
            <w:tcW w:w="606" w:type="pct"/>
            <w:tcBorders>
              <w:top w:val="nil"/>
              <w:left w:val="nil"/>
              <w:bottom w:val="nil"/>
              <w:right w:val="nil"/>
            </w:tcBorders>
            <w:shd w:val="clear" w:color="auto" w:fill="auto"/>
            <w:vAlign w:val="bottom"/>
          </w:tcPr>
          <w:p w14:paraId="0294CD46" w14:textId="1C5749BA" w:rsidR="00AD0961" w:rsidRPr="00AD0961" w:rsidRDefault="00AD0961" w:rsidP="00AD0961">
            <w:pPr>
              <w:tabs>
                <w:tab w:val="right" w:pos="1202"/>
                <w:tab w:val="center" w:pos="4153"/>
                <w:tab w:val="right" w:pos="8306"/>
              </w:tabs>
              <w:spacing w:after="0" w:line="301" w:lineRule="exact"/>
              <w:jc w:val="right"/>
              <w:outlineLvl w:val="0"/>
              <w:rPr>
                <w:rFonts w:eastAsia="Times New Roman" w:cs="Arial"/>
                <w:sz w:val="18"/>
                <w:szCs w:val="18"/>
              </w:rPr>
            </w:pPr>
            <w:r w:rsidRPr="00AD0961">
              <w:rPr>
                <w:sz w:val="18"/>
                <w:szCs w:val="18"/>
              </w:rPr>
              <w:t>151.186</w:t>
            </w:r>
          </w:p>
        </w:tc>
        <w:tc>
          <w:tcPr>
            <w:tcW w:w="606" w:type="pct"/>
            <w:tcBorders>
              <w:top w:val="nil"/>
              <w:left w:val="nil"/>
              <w:bottom w:val="nil"/>
              <w:right w:val="nil"/>
            </w:tcBorders>
            <w:shd w:val="clear" w:color="auto" w:fill="auto"/>
            <w:vAlign w:val="bottom"/>
          </w:tcPr>
          <w:p w14:paraId="2193A291" w14:textId="2AF3A907" w:rsidR="00AD0961" w:rsidRPr="00AD0961" w:rsidRDefault="00AD0961" w:rsidP="00AD0961">
            <w:pPr>
              <w:tabs>
                <w:tab w:val="right" w:pos="1202"/>
                <w:tab w:val="center" w:pos="4153"/>
                <w:tab w:val="right" w:pos="8306"/>
              </w:tabs>
              <w:spacing w:after="0" w:line="301" w:lineRule="exact"/>
              <w:jc w:val="right"/>
              <w:outlineLvl w:val="0"/>
              <w:rPr>
                <w:rFonts w:eastAsia="Times New Roman" w:cs="Arial"/>
                <w:sz w:val="18"/>
                <w:szCs w:val="18"/>
              </w:rPr>
            </w:pPr>
            <w:r w:rsidRPr="00AD0961">
              <w:rPr>
                <w:sz w:val="18"/>
                <w:szCs w:val="18"/>
              </w:rPr>
              <w:t>29.918</w:t>
            </w:r>
          </w:p>
        </w:tc>
        <w:tc>
          <w:tcPr>
            <w:tcW w:w="606" w:type="pct"/>
            <w:tcBorders>
              <w:top w:val="nil"/>
              <w:left w:val="nil"/>
              <w:bottom w:val="nil"/>
              <w:right w:val="nil"/>
            </w:tcBorders>
            <w:shd w:val="clear" w:color="auto" w:fill="auto"/>
            <w:vAlign w:val="bottom"/>
          </w:tcPr>
          <w:p w14:paraId="37D047A1" w14:textId="311C1A66" w:rsidR="00AD0961" w:rsidRPr="00AD0961" w:rsidRDefault="00AD0961" w:rsidP="00AD0961">
            <w:pPr>
              <w:tabs>
                <w:tab w:val="right" w:pos="1202"/>
                <w:tab w:val="center" w:pos="4153"/>
                <w:tab w:val="right" w:pos="8306"/>
              </w:tabs>
              <w:spacing w:after="0" w:line="301" w:lineRule="exact"/>
              <w:jc w:val="right"/>
              <w:outlineLvl w:val="0"/>
              <w:rPr>
                <w:rFonts w:eastAsia="Times New Roman" w:cs="Arial"/>
                <w:sz w:val="18"/>
                <w:szCs w:val="18"/>
              </w:rPr>
            </w:pPr>
            <w:r w:rsidRPr="00AD0961">
              <w:rPr>
                <w:sz w:val="18"/>
                <w:szCs w:val="18"/>
              </w:rPr>
              <w:t>105.330</w:t>
            </w:r>
          </w:p>
        </w:tc>
        <w:tc>
          <w:tcPr>
            <w:tcW w:w="606" w:type="pct"/>
            <w:tcBorders>
              <w:top w:val="nil"/>
              <w:left w:val="nil"/>
              <w:bottom w:val="nil"/>
              <w:right w:val="nil"/>
            </w:tcBorders>
            <w:shd w:val="clear" w:color="auto" w:fill="auto"/>
            <w:vAlign w:val="bottom"/>
          </w:tcPr>
          <w:p w14:paraId="4C58C9BF" w14:textId="53E9FB8E" w:rsidR="00AD0961" w:rsidRPr="00AD0961" w:rsidRDefault="00AD0961" w:rsidP="00AD0961">
            <w:pPr>
              <w:tabs>
                <w:tab w:val="right" w:pos="1202"/>
                <w:tab w:val="center" w:pos="4153"/>
                <w:tab w:val="right" w:pos="8306"/>
              </w:tabs>
              <w:spacing w:after="0" w:line="301" w:lineRule="exact"/>
              <w:jc w:val="right"/>
              <w:outlineLvl w:val="0"/>
              <w:rPr>
                <w:rFonts w:eastAsia="Times New Roman" w:cs="Arial"/>
                <w:sz w:val="18"/>
                <w:szCs w:val="18"/>
              </w:rPr>
            </w:pPr>
            <w:r w:rsidRPr="00AD0961">
              <w:rPr>
                <w:sz w:val="18"/>
                <w:szCs w:val="18"/>
              </w:rPr>
              <w:t>194.459</w:t>
            </w:r>
          </w:p>
        </w:tc>
        <w:tc>
          <w:tcPr>
            <w:tcW w:w="606" w:type="pct"/>
            <w:tcBorders>
              <w:top w:val="nil"/>
              <w:left w:val="nil"/>
              <w:bottom w:val="nil"/>
              <w:right w:val="nil"/>
            </w:tcBorders>
            <w:shd w:val="clear" w:color="auto" w:fill="auto"/>
            <w:vAlign w:val="bottom"/>
          </w:tcPr>
          <w:p w14:paraId="05409190" w14:textId="6E70EBA1" w:rsidR="00AD0961" w:rsidRPr="00AD0961" w:rsidRDefault="00AD0961" w:rsidP="00AD0961">
            <w:pPr>
              <w:tabs>
                <w:tab w:val="right" w:pos="1202"/>
                <w:tab w:val="center" w:pos="4153"/>
                <w:tab w:val="right" w:pos="8306"/>
              </w:tabs>
              <w:spacing w:after="0" w:line="301" w:lineRule="exact"/>
              <w:jc w:val="right"/>
              <w:outlineLvl w:val="0"/>
              <w:rPr>
                <w:rFonts w:eastAsia="Times New Roman" w:cs="Arial"/>
                <w:sz w:val="18"/>
                <w:szCs w:val="18"/>
              </w:rPr>
            </w:pPr>
            <w:r w:rsidRPr="00AD0961">
              <w:rPr>
                <w:sz w:val="18"/>
                <w:szCs w:val="18"/>
              </w:rPr>
              <w:t>227.059</w:t>
            </w:r>
          </w:p>
        </w:tc>
        <w:tc>
          <w:tcPr>
            <w:tcW w:w="606" w:type="pct"/>
            <w:tcBorders>
              <w:top w:val="nil"/>
              <w:left w:val="nil"/>
              <w:bottom w:val="nil"/>
              <w:right w:val="nil"/>
            </w:tcBorders>
            <w:shd w:val="clear" w:color="auto" w:fill="auto"/>
            <w:vAlign w:val="bottom"/>
          </w:tcPr>
          <w:p w14:paraId="191CE761" w14:textId="5FA3280D" w:rsidR="00AD0961" w:rsidRPr="00AD0961" w:rsidRDefault="00AD0961" w:rsidP="00AD0961">
            <w:pPr>
              <w:tabs>
                <w:tab w:val="right" w:pos="1202"/>
                <w:tab w:val="center" w:pos="4153"/>
                <w:tab w:val="right" w:pos="8306"/>
              </w:tabs>
              <w:spacing w:after="0" w:line="301" w:lineRule="exact"/>
              <w:jc w:val="right"/>
              <w:outlineLvl w:val="0"/>
              <w:rPr>
                <w:rFonts w:eastAsia="Times New Roman" w:cs="Arial"/>
                <w:sz w:val="18"/>
                <w:szCs w:val="18"/>
              </w:rPr>
            </w:pPr>
            <w:r w:rsidRPr="00AD0961">
              <w:rPr>
                <w:sz w:val="18"/>
                <w:szCs w:val="18"/>
              </w:rPr>
              <w:t>707.952</w:t>
            </w:r>
          </w:p>
        </w:tc>
      </w:tr>
      <w:tr w:rsidR="004B16B5" w:rsidRPr="00D24461" w14:paraId="02A4A5FF" w14:textId="77777777" w:rsidTr="003D5BE9">
        <w:tc>
          <w:tcPr>
            <w:tcW w:w="1364" w:type="pct"/>
            <w:vAlign w:val="bottom"/>
          </w:tcPr>
          <w:p w14:paraId="67C3D70B" w14:textId="77777777" w:rsidR="004B16B5" w:rsidRPr="00D24461" w:rsidRDefault="004B16B5" w:rsidP="003D5BE9">
            <w:pPr>
              <w:tabs>
                <w:tab w:val="right" w:pos="1202"/>
              </w:tabs>
              <w:spacing w:after="0" w:line="140" w:lineRule="exact"/>
              <w:outlineLvl w:val="0"/>
              <w:rPr>
                <w:rFonts w:eastAsia="Times New Roman" w:cs="Arial"/>
                <w:spacing w:val="-2"/>
                <w:sz w:val="18"/>
                <w:szCs w:val="18"/>
              </w:rPr>
            </w:pPr>
          </w:p>
        </w:tc>
        <w:tc>
          <w:tcPr>
            <w:tcW w:w="606" w:type="pct"/>
            <w:tcBorders>
              <w:bottom w:val="single" w:sz="4" w:space="0" w:color="auto"/>
            </w:tcBorders>
            <w:vAlign w:val="bottom"/>
          </w:tcPr>
          <w:p w14:paraId="5F1DBF40"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bottom w:val="single" w:sz="4" w:space="0" w:color="auto"/>
            </w:tcBorders>
            <w:vAlign w:val="bottom"/>
          </w:tcPr>
          <w:p w14:paraId="133ED691"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bottom w:val="single" w:sz="4" w:space="0" w:color="auto"/>
            </w:tcBorders>
            <w:vAlign w:val="bottom"/>
          </w:tcPr>
          <w:p w14:paraId="6CBA23C2"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bottom w:val="single" w:sz="4" w:space="0" w:color="auto"/>
            </w:tcBorders>
            <w:vAlign w:val="bottom"/>
          </w:tcPr>
          <w:p w14:paraId="3BFAB453"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bottom w:val="single" w:sz="4" w:space="0" w:color="auto"/>
            </w:tcBorders>
            <w:vAlign w:val="bottom"/>
          </w:tcPr>
          <w:p w14:paraId="1BE4AEE5"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bottom w:val="single" w:sz="4" w:space="0" w:color="auto"/>
            </w:tcBorders>
            <w:vAlign w:val="bottom"/>
          </w:tcPr>
          <w:p w14:paraId="2F163965"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r>
      <w:tr w:rsidR="004B16B5" w:rsidRPr="00D24461" w14:paraId="0C8BE65A" w14:textId="77777777" w:rsidTr="003D5BE9">
        <w:tc>
          <w:tcPr>
            <w:tcW w:w="1364" w:type="pct"/>
            <w:vAlign w:val="bottom"/>
          </w:tcPr>
          <w:p w14:paraId="0180D400" w14:textId="77777777" w:rsidR="004B16B5" w:rsidRPr="00D24461" w:rsidRDefault="004B16B5" w:rsidP="003D5BE9">
            <w:pPr>
              <w:tabs>
                <w:tab w:val="right" w:pos="1202"/>
              </w:tabs>
              <w:spacing w:after="0" w:line="140" w:lineRule="exact"/>
              <w:outlineLvl w:val="0"/>
              <w:rPr>
                <w:rFonts w:eastAsia="Times New Roman" w:cs="Arial"/>
                <w:spacing w:val="-2"/>
                <w:sz w:val="18"/>
                <w:szCs w:val="18"/>
              </w:rPr>
            </w:pPr>
          </w:p>
        </w:tc>
        <w:tc>
          <w:tcPr>
            <w:tcW w:w="606" w:type="pct"/>
            <w:tcBorders>
              <w:top w:val="single" w:sz="4" w:space="0" w:color="auto"/>
            </w:tcBorders>
            <w:vAlign w:val="bottom"/>
          </w:tcPr>
          <w:p w14:paraId="4651A57F"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top w:val="single" w:sz="4" w:space="0" w:color="auto"/>
            </w:tcBorders>
            <w:vAlign w:val="bottom"/>
          </w:tcPr>
          <w:p w14:paraId="4546CB07"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top w:val="single" w:sz="4" w:space="0" w:color="auto"/>
            </w:tcBorders>
            <w:vAlign w:val="bottom"/>
          </w:tcPr>
          <w:p w14:paraId="47E7A6BB"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top w:val="single" w:sz="4" w:space="0" w:color="auto"/>
            </w:tcBorders>
            <w:vAlign w:val="bottom"/>
          </w:tcPr>
          <w:p w14:paraId="1CF42FF3"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top w:val="single" w:sz="4" w:space="0" w:color="auto"/>
            </w:tcBorders>
            <w:vAlign w:val="bottom"/>
          </w:tcPr>
          <w:p w14:paraId="5EE032D9"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06" w:type="pct"/>
            <w:tcBorders>
              <w:top w:val="single" w:sz="4" w:space="0" w:color="auto"/>
            </w:tcBorders>
            <w:vAlign w:val="bottom"/>
          </w:tcPr>
          <w:p w14:paraId="5A0BAA2A"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r>
      <w:tr w:rsidR="00AD0961" w:rsidRPr="00BF0800" w14:paraId="107A7C14" w14:textId="77777777" w:rsidTr="003D5BE9">
        <w:tc>
          <w:tcPr>
            <w:tcW w:w="1364" w:type="pct"/>
            <w:vAlign w:val="bottom"/>
          </w:tcPr>
          <w:p w14:paraId="6E10BD0B" w14:textId="77777777" w:rsidR="00AD0961" w:rsidRPr="00D24461" w:rsidRDefault="00AD0961" w:rsidP="00AD0961">
            <w:pPr>
              <w:tabs>
                <w:tab w:val="right" w:pos="1202"/>
              </w:tabs>
              <w:spacing w:after="0" w:line="340" w:lineRule="exact"/>
              <w:outlineLvl w:val="0"/>
              <w:rPr>
                <w:rFonts w:eastAsia="Times New Roman" w:cs="Arial"/>
                <w:b/>
                <w:bCs/>
                <w:sz w:val="18"/>
                <w:szCs w:val="18"/>
              </w:rPr>
            </w:pPr>
            <w:r w:rsidRPr="00D24461">
              <w:rPr>
                <w:rFonts w:eastAsia="Times New Roman" w:cs="Arial"/>
                <w:b/>
                <w:bCs/>
                <w:sz w:val="18"/>
                <w:szCs w:val="18"/>
              </w:rPr>
              <w:t>Ukupno</w:t>
            </w:r>
          </w:p>
        </w:tc>
        <w:tc>
          <w:tcPr>
            <w:tcW w:w="606" w:type="pct"/>
            <w:tcBorders>
              <w:top w:val="nil"/>
              <w:left w:val="nil"/>
              <w:bottom w:val="nil"/>
              <w:right w:val="nil"/>
            </w:tcBorders>
            <w:shd w:val="clear" w:color="auto" w:fill="auto"/>
            <w:vAlign w:val="bottom"/>
          </w:tcPr>
          <w:p w14:paraId="13315199" w14:textId="0AEF3D54" w:rsidR="00AD0961" w:rsidRPr="00AD0961" w:rsidRDefault="00AD0961" w:rsidP="00AD0961">
            <w:pPr>
              <w:tabs>
                <w:tab w:val="right" w:pos="1202"/>
              </w:tabs>
              <w:spacing w:after="0" w:line="340" w:lineRule="exact"/>
              <w:jc w:val="right"/>
              <w:outlineLvl w:val="0"/>
              <w:rPr>
                <w:rFonts w:eastAsia="Times New Roman" w:cs="Times New Roman"/>
                <w:b/>
                <w:bCs/>
                <w:sz w:val="18"/>
                <w:szCs w:val="18"/>
              </w:rPr>
            </w:pPr>
            <w:r w:rsidRPr="00AD0961">
              <w:rPr>
                <w:rFonts w:cs="Arial"/>
                <w:b/>
                <w:sz w:val="18"/>
                <w:szCs w:val="18"/>
              </w:rPr>
              <w:t>608.951</w:t>
            </w:r>
          </w:p>
        </w:tc>
        <w:tc>
          <w:tcPr>
            <w:tcW w:w="606" w:type="pct"/>
            <w:tcBorders>
              <w:top w:val="nil"/>
              <w:left w:val="nil"/>
              <w:bottom w:val="nil"/>
              <w:right w:val="nil"/>
            </w:tcBorders>
            <w:shd w:val="clear" w:color="auto" w:fill="auto"/>
            <w:vAlign w:val="bottom"/>
          </w:tcPr>
          <w:p w14:paraId="66142522" w14:textId="6E713C6C" w:rsidR="00AD0961" w:rsidRPr="00AD0961" w:rsidRDefault="00AD0961" w:rsidP="00AD0961">
            <w:pPr>
              <w:tabs>
                <w:tab w:val="right" w:pos="1202"/>
              </w:tabs>
              <w:spacing w:after="0" w:line="340" w:lineRule="exact"/>
              <w:jc w:val="right"/>
              <w:outlineLvl w:val="0"/>
              <w:rPr>
                <w:rFonts w:eastAsia="Times New Roman" w:cs="Times New Roman"/>
                <w:b/>
                <w:bCs/>
                <w:sz w:val="18"/>
                <w:szCs w:val="18"/>
              </w:rPr>
            </w:pPr>
            <w:r w:rsidRPr="00AD0961">
              <w:rPr>
                <w:rFonts w:cs="Arial"/>
                <w:b/>
                <w:sz w:val="18"/>
                <w:szCs w:val="18"/>
              </w:rPr>
              <w:t>238.548</w:t>
            </w:r>
          </w:p>
        </w:tc>
        <w:tc>
          <w:tcPr>
            <w:tcW w:w="606" w:type="pct"/>
            <w:tcBorders>
              <w:top w:val="nil"/>
              <w:left w:val="nil"/>
              <w:bottom w:val="nil"/>
              <w:right w:val="nil"/>
            </w:tcBorders>
            <w:shd w:val="clear" w:color="auto" w:fill="auto"/>
            <w:vAlign w:val="bottom"/>
          </w:tcPr>
          <w:p w14:paraId="2DE17F4A" w14:textId="5E7582F7" w:rsidR="00AD0961" w:rsidRPr="00AD0961" w:rsidRDefault="00AD0961" w:rsidP="00AD0961">
            <w:pPr>
              <w:tabs>
                <w:tab w:val="right" w:pos="1202"/>
              </w:tabs>
              <w:spacing w:after="0" w:line="340" w:lineRule="exact"/>
              <w:jc w:val="right"/>
              <w:outlineLvl w:val="0"/>
              <w:rPr>
                <w:rFonts w:eastAsia="Times New Roman" w:cs="Times New Roman"/>
                <w:b/>
                <w:bCs/>
                <w:sz w:val="18"/>
                <w:szCs w:val="18"/>
              </w:rPr>
            </w:pPr>
            <w:r w:rsidRPr="00AD0961">
              <w:rPr>
                <w:rFonts w:cs="Arial"/>
                <w:b/>
                <w:sz w:val="18"/>
                <w:szCs w:val="18"/>
              </w:rPr>
              <w:t>3.430.525</w:t>
            </w:r>
          </w:p>
        </w:tc>
        <w:tc>
          <w:tcPr>
            <w:tcW w:w="606" w:type="pct"/>
            <w:tcBorders>
              <w:top w:val="nil"/>
              <w:left w:val="nil"/>
              <w:bottom w:val="nil"/>
              <w:right w:val="nil"/>
            </w:tcBorders>
            <w:shd w:val="clear" w:color="auto" w:fill="auto"/>
            <w:vAlign w:val="bottom"/>
          </w:tcPr>
          <w:p w14:paraId="3EDD0FFA" w14:textId="50E2B8D1" w:rsidR="00AD0961" w:rsidRPr="00AD0961" w:rsidRDefault="00AD0961" w:rsidP="00AD0961">
            <w:pPr>
              <w:tabs>
                <w:tab w:val="right" w:pos="1202"/>
              </w:tabs>
              <w:spacing w:after="0" w:line="340" w:lineRule="exact"/>
              <w:jc w:val="right"/>
              <w:outlineLvl w:val="0"/>
              <w:rPr>
                <w:rFonts w:eastAsia="Times New Roman" w:cs="Times New Roman"/>
                <w:b/>
                <w:bCs/>
                <w:sz w:val="18"/>
                <w:szCs w:val="18"/>
              </w:rPr>
            </w:pPr>
            <w:r w:rsidRPr="00AD0961">
              <w:rPr>
                <w:rFonts w:cs="Arial"/>
                <w:b/>
                <w:sz w:val="18"/>
                <w:szCs w:val="18"/>
              </w:rPr>
              <w:t>3.974.941</w:t>
            </w:r>
          </w:p>
        </w:tc>
        <w:tc>
          <w:tcPr>
            <w:tcW w:w="606" w:type="pct"/>
            <w:tcBorders>
              <w:top w:val="nil"/>
              <w:left w:val="nil"/>
              <w:bottom w:val="nil"/>
              <w:right w:val="nil"/>
            </w:tcBorders>
            <w:shd w:val="clear" w:color="auto" w:fill="auto"/>
            <w:vAlign w:val="bottom"/>
          </w:tcPr>
          <w:p w14:paraId="41BAB858" w14:textId="34BFE462" w:rsidR="00AD0961" w:rsidRPr="00AD0961" w:rsidRDefault="00AD0961" w:rsidP="00AD0961">
            <w:pPr>
              <w:tabs>
                <w:tab w:val="right" w:pos="1202"/>
              </w:tabs>
              <w:spacing w:after="0" w:line="340" w:lineRule="exact"/>
              <w:jc w:val="right"/>
              <w:outlineLvl w:val="0"/>
              <w:rPr>
                <w:rFonts w:eastAsia="Times New Roman" w:cs="Times New Roman"/>
                <w:b/>
                <w:bCs/>
                <w:sz w:val="18"/>
                <w:szCs w:val="18"/>
              </w:rPr>
            </w:pPr>
            <w:r w:rsidRPr="00AD0961">
              <w:rPr>
                <w:rFonts w:cs="Arial"/>
                <w:b/>
                <w:sz w:val="18"/>
                <w:szCs w:val="18"/>
              </w:rPr>
              <w:t>11.118.073</w:t>
            </w:r>
          </w:p>
        </w:tc>
        <w:tc>
          <w:tcPr>
            <w:tcW w:w="606" w:type="pct"/>
            <w:tcBorders>
              <w:top w:val="nil"/>
              <w:left w:val="nil"/>
              <w:bottom w:val="nil"/>
              <w:right w:val="nil"/>
            </w:tcBorders>
            <w:shd w:val="clear" w:color="auto" w:fill="auto"/>
            <w:vAlign w:val="bottom"/>
          </w:tcPr>
          <w:p w14:paraId="333EEF98" w14:textId="3CF3E3E7" w:rsidR="00AD0961" w:rsidRPr="00AD0961" w:rsidRDefault="00AD0961" w:rsidP="00AD0961">
            <w:pPr>
              <w:tabs>
                <w:tab w:val="right" w:pos="1202"/>
              </w:tabs>
              <w:spacing w:after="0" w:line="340" w:lineRule="exact"/>
              <w:jc w:val="right"/>
              <w:outlineLvl w:val="0"/>
              <w:rPr>
                <w:rFonts w:eastAsia="Times New Roman" w:cs="Times New Roman"/>
                <w:b/>
                <w:bCs/>
                <w:sz w:val="18"/>
                <w:szCs w:val="18"/>
              </w:rPr>
            </w:pPr>
            <w:r w:rsidRPr="00AD0961">
              <w:rPr>
                <w:rFonts w:cs="Arial"/>
                <w:b/>
                <w:sz w:val="18"/>
                <w:szCs w:val="18"/>
              </w:rPr>
              <w:t>19.371.038</w:t>
            </w:r>
          </w:p>
        </w:tc>
      </w:tr>
      <w:tr w:rsidR="004B16B5" w:rsidRPr="00BF0800" w14:paraId="7605764C" w14:textId="77777777" w:rsidTr="003D5BE9">
        <w:tc>
          <w:tcPr>
            <w:tcW w:w="1364" w:type="pct"/>
            <w:vAlign w:val="bottom"/>
          </w:tcPr>
          <w:p w14:paraId="45F6C748" w14:textId="77777777" w:rsidR="004B16B5" w:rsidRPr="00BF0800" w:rsidRDefault="004B16B5" w:rsidP="003D5BE9">
            <w:pPr>
              <w:keepNext/>
              <w:keepLines/>
              <w:tabs>
                <w:tab w:val="decimal" w:pos="1202"/>
              </w:tabs>
              <w:spacing w:after="0" w:line="140" w:lineRule="exact"/>
              <w:rPr>
                <w:rFonts w:ascii="Arial" w:eastAsia="Times New Roman" w:hAnsi="Arial" w:cs="Arial"/>
                <w:b/>
                <w:position w:val="4"/>
                <w:sz w:val="16"/>
                <w:szCs w:val="16"/>
              </w:rPr>
            </w:pPr>
          </w:p>
        </w:tc>
        <w:tc>
          <w:tcPr>
            <w:tcW w:w="606" w:type="pct"/>
            <w:tcBorders>
              <w:top w:val="single" w:sz="12" w:space="0" w:color="auto"/>
            </w:tcBorders>
          </w:tcPr>
          <w:p w14:paraId="274801F4" w14:textId="77777777" w:rsidR="004B16B5" w:rsidRPr="00BF0800" w:rsidRDefault="004B16B5" w:rsidP="003D5BE9">
            <w:pPr>
              <w:tabs>
                <w:tab w:val="right" w:pos="1202"/>
                <w:tab w:val="center" w:pos="4153"/>
                <w:tab w:val="right" w:pos="8306"/>
              </w:tabs>
              <w:spacing w:after="0" w:line="140" w:lineRule="exact"/>
              <w:jc w:val="right"/>
              <w:outlineLvl w:val="0"/>
              <w:rPr>
                <w:rFonts w:ascii="Arial" w:eastAsia="Times New Roman" w:hAnsi="Arial" w:cs="Arial"/>
                <w:sz w:val="16"/>
                <w:szCs w:val="16"/>
              </w:rPr>
            </w:pPr>
          </w:p>
        </w:tc>
        <w:tc>
          <w:tcPr>
            <w:tcW w:w="606" w:type="pct"/>
            <w:tcBorders>
              <w:top w:val="single" w:sz="12" w:space="0" w:color="auto"/>
            </w:tcBorders>
          </w:tcPr>
          <w:p w14:paraId="107FBD98" w14:textId="77777777" w:rsidR="004B16B5" w:rsidRPr="00BF0800" w:rsidRDefault="004B16B5" w:rsidP="003D5BE9">
            <w:pPr>
              <w:tabs>
                <w:tab w:val="right" w:pos="1202"/>
                <w:tab w:val="center" w:pos="4153"/>
                <w:tab w:val="right" w:pos="8306"/>
              </w:tabs>
              <w:spacing w:after="0" w:line="140" w:lineRule="exact"/>
              <w:jc w:val="right"/>
              <w:outlineLvl w:val="0"/>
              <w:rPr>
                <w:rFonts w:ascii="Arial" w:eastAsia="Times New Roman" w:hAnsi="Arial" w:cs="Arial"/>
                <w:sz w:val="16"/>
                <w:szCs w:val="16"/>
              </w:rPr>
            </w:pPr>
          </w:p>
        </w:tc>
        <w:tc>
          <w:tcPr>
            <w:tcW w:w="606" w:type="pct"/>
            <w:tcBorders>
              <w:top w:val="single" w:sz="12" w:space="0" w:color="auto"/>
            </w:tcBorders>
          </w:tcPr>
          <w:p w14:paraId="0F991C6E" w14:textId="77777777" w:rsidR="004B16B5" w:rsidRPr="00BF0800" w:rsidRDefault="004B16B5" w:rsidP="003D5BE9">
            <w:pPr>
              <w:tabs>
                <w:tab w:val="right" w:pos="1202"/>
                <w:tab w:val="center" w:pos="4153"/>
                <w:tab w:val="right" w:pos="8306"/>
              </w:tabs>
              <w:spacing w:after="0" w:line="140" w:lineRule="exact"/>
              <w:jc w:val="right"/>
              <w:outlineLvl w:val="0"/>
              <w:rPr>
                <w:rFonts w:ascii="Arial" w:eastAsia="Times New Roman" w:hAnsi="Arial" w:cs="Arial"/>
                <w:sz w:val="16"/>
                <w:szCs w:val="16"/>
              </w:rPr>
            </w:pPr>
          </w:p>
        </w:tc>
        <w:tc>
          <w:tcPr>
            <w:tcW w:w="606" w:type="pct"/>
            <w:tcBorders>
              <w:top w:val="single" w:sz="12" w:space="0" w:color="auto"/>
            </w:tcBorders>
          </w:tcPr>
          <w:p w14:paraId="7FE461E0" w14:textId="77777777" w:rsidR="004B16B5" w:rsidRPr="00BF0800" w:rsidRDefault="004B16B5" w:rsidP="003D5BE9">
            <w:pPr>
              <w:tabs>
                <w:tab w:val="right" w:pos="1202"/>
                <w:tab w:val="center" w:pos="4153"/>
                <w:tab w:val="right" w:pos="8306"/>
              </w:tabs>
              <w:spacing w:after="0" w:line="140" w:lineRule="exact"/>
              <w:jc w:val="right"/>
              <w:outlineLvl w:val="0"/>
              <w:rPr>
                <w:rFonts w:ascii="Arial" w:eastAsia="Times New Roman" w:hAnsi="Arial" w:cs="Arial"/>
                <w:sz w:val="16"/>
                <w:szCs w:val="16"/>
              </w:rPr>
            </w:pPr>
          </w:p>
        </w:tc>
        <w:tc>
          <w:tcPr>
            <w:tcW w:w="606" w:type="pct"/>
            <w:tcBorders>
              <w:top w:val="single" w:sz="12" w:space="0" w:color="auto"/>
            </w:tcBorders>
          </w:tcPr>
          <w:p w14:paraId="778BDE3C" w14:textId="77777777" w:rsidR="004B16B5" w:rsidRPr="00BF0800" w:rsidRDefault="004B16B5" w:rsidP="003D5BE9">
            <w:pPr>
              <w:tabs>
                <w:tab w:val="right" w:pos="1202"/>
                <w:tab w:val="center" w:pos="4153"/>
                <w:tab w:val="right" w:pos="8306"/>
              </w:tabs>
              <w:spacing w:after="0" w:line="140" w:lineRule="exact"/>
              <w:jc w:val="right"/>
              <w:outlineLvl w:val="0"/>
              <w:rPr>
                <w:rFonts w:ascii="Arial" w:eastAsia="Times New Roman" w:hAnsi="Arial" w:cs="Arial"/>
                <w:sz w:val="16"/>
                <w:szCs w:val="16"/>
              </w:rPr>
            </w:pPr>
          </w:p>
        </w:tc>
        <w:tc>
          <w:tcPr>
            <w:tcW w:w="606" w:type="pct"/>
            <w:tcBorders>
              <w:top w:val="single" w:sz="12" w:space="0" w:color="auto"/>
            </w:tcBorders>
          </w:tcPr>
          <w:p w14:paraId="4BD99A68" w14:textId="77777777" w:rsidR="004B16B5" w:rsidRPr="00BF0800" w:rsidRDefault="004B16B5" w:rsidP="003D5BE9">
            <w:pPr>
              <w:tabs>
                <w:tab w:val="right" w:pos="1202"/>
                <w:tab w:val="center" w:pos="4153"/>
                <w:tab w:val="right" w:pos="8306"/>
              </w:tabs>
              <w:spacing w:after="0" w:line="140" w:lineRule="exact"/>
              <w:jc w:val="right"/>
              <w:outlineLvl w:val="0"/>
              <w:rPr>
                <w:rFonts w:ascii="Arial" w:eastAsia="Times New Roman" w:hAnsi="Arial" w:cs="Arial"/>
                <w:sz w:val="16"/>
                <w:szCs w:val="16"/>
              </w:rPr>
            </w:pPr>
          </w:p>
        </w:tc>
      </w:tr>
    </w:tbl>
    <w:p w14:paraId="4A983EBD" w14:textId="77777777" w:rsidR="004B16B5" w:rsidRDefault="004B16B5" w:rsidP="004B16B5">
      <w:pPr>
        <w:pStyle w:val="T1"/>
        <w:tabs>
          <w:tab w:val="left" w:pos="709"/>
          <w:tab w:val="left" w:pos="851"/>
        </w:tabs>
        <w:spacing w:before="0" w:after="0" w:line="240" w:lineRule="auto"/>
        <w:rPr>
          <w:rFonts w:asciiTheme="minorHAnsi" w:hAnsiTheme="minorHAnsi" w:cs="Arial"/>
          <w:sz w:val="22"/>
          <w:szCs w:val="22"/>
          <w:lang w:val="hr-HR"/>
        </w:rPr>
      </w:pPr>
    </w:p>
    <w:p w14:paraId="4DABBFB0" w14:textId="77777777" w:rsidR="004B16B5" w:rsidRDefault="004B16B5" w:rsidP="004B16B5">
      <w:pPr>
        <w:pStyle w:val="T1"/>
        <w:tabs>
          <w:tab w:val="left" w:pos="709"/>
          <w:tab w:val="left" w:pos="851"/>
        </w:tabs>
        <w:spacing w:before="0" w:after="0" w:line="240" w:lineRule="auto"/>
        <w:rPr>
          <w:rFonts w:asciiTheme="minorHAnsi" w:hAnsiTheme="minorHAnsi" w:cs="Arial"/>
          <w:sz w:val="22"/>
          <w:szCs w:val="22"/>
          <w:lang w:val="hr-HR"/>
        </w:rPr>
      </w:pPr>
    </w:p>
    <w:p w14:paraId="50E59369" w14:textId="77777777" w:rsidR="004B16B5" w:rsidRDefault="004B16B5" w:rsidP="004B16B5">
      <w:pPr>
        <w:pStyle w:val="T1"/>
        <w:tabs>
          <w:tab w:val="left" w:pos="709"/>
          <w:tab w:val="left" w:pos="851"/>
        </w:tabs>
        <w:spacing w:before="0" w:after="0" w:line="240" w:lineRule="auto"/>
        <w:rPr>
          <w:rFonts w:asciiTheme="minorHAnsi" w:hAnsiTheme="minorHAnsi" w:cs="Arial"/>
          <w:sz w:val="22"/>
          <w:szCs w:val="22"/>
          <w:lang w:val="hr-HR"/>
        </w:rPr>
      </w:pPr>
    </w:p>
    <w:p w14:paraId="12550022" w14:textId="77777777" w:rsidR="004B16B5" w:rsidRDefault="004B16B5" w:rsidP="004B16B5">
      <w:pPr>
        <w:pStyle w:val="T1"/>
        <w:tabs>
          <w:tab w:val="left" w:pos="709"/>
          <w:tab w:val="left" w:pos="851"/>
        </w:tabs>
        <w:spacing w:before="0" w:after="0" w:line="240" w:lineRule="auto"/>
        <w:rPr>
          <w:rFonts w:asciiTheme="minorHAnsi" w:hAnsiTheme="minorHAnsi" w:cs="Arial"/>
          <w:sz w:val="22"/>
          <w:szCs w:val="22"/>
          <w:lang w:val="hr-HR"/>
        </w:rPr>
      </w:pPr>
    </w:p>
    <w:p w14:paraId="61F2DBC9" w14:textId="77777777" w:rsidR="004B16B5" w:rsidRDefault="004B16B5" w:rsidP="004B16B5">
      <w:pPr>
        <w:pStyle w:val="T1"/>
        <w:tabs>
          <w:tab w:val="left" w:pos="709"/>
          <w:tab w:val="left" w:pos="851"/>
        </w:tabs>
        <w:spacing w:before="0" w:after="0" w:line="240" w:lineRule="auto"/>
        <w:rPr>
          <w:rFonts w:asciiTheme="minorHAnsi" w:hAnsiTheme="minorHAnsi" w:cs="Arial"/>
          <w:sz w:val="22"/>
          <w:szCs w:val="22"/>
          <w:lang w:val="hr-HR"/>
        </w:rPr>
        <w:sectPr w:rsidR="004B16B5" w:rsidSect="00234A41">
          <w:footerReference w:type="first" r:id="rId110"/>
          <w:pgSz w:w="11906" w:h="16838" w:code="9"/>
          <w:pgMar w:top="1418" w:right="1418" w:bottom="595" w:left="1134" w:header="709" w:footer="709" w:gutter="0"/>
          <w:cols w:space="708"/>
          <w:titlePg/>
          <w:docGrid w:linePitch="360"/>
        </w:sectPr>
      </w:pPr>
    </w:p>
    <w:p w14:paraId="3CE69A24" w14:textId="4496E3CD" w:rsidR="004B16B5" w:rsidRDefault="000F7A1F" w:rsidP="004B16B5">
      <w:pPr>
        <w:pStyle w:val="T1"/>
        <w:tabs>
          <w:tab w:val="left" w:pos="709"/>
          <w:tab w:val="left" w:pos="851"/>
        </w:tabs>
        <w:spacing w:before="0" w:after="0" w:line="240" w:lineRule="auto"/>
        <w:rPr>
          <w:rFonts w:asciiTheme="minorHAnsi" w:hAnsiTheme="minorHAnsi" w:cs="Arial"/>
          <w:sz w:val="22"/>
          <w:szCs w:val="22"/>
          <w:lang w:val="hr-HR"/>
        </w:rPr>
      </w:pPr>
      <w:r>
        <w:rPr>
          <w:rFonts w:asciiTheme="minorHAnsi" w:hAnsiTheme="minorHAnsi" w:cs="Arial"/>
          <w:sz w:val="22"/>
          <w:szCs w:val="22"/>
          <w:lang w:val="hr-HR"/>
        </w:rPr>
        <w:lastRenderedPageBreak/>
        <w:t xml:space="preserve"> </w:t>
      </w:r>
    </w:p>
    <w:p w14:paraId="75B43509" w14:textId="77777777" w:rsidR="004B16B5" w:rsidRDefault="004B16B5" w:rsidP="004B16B5">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16</w:t>
      </w:r>
      <w:r w:rsidRPr="00CE2C44">
        <w:rPr>
          <w:rFonts w:asciiTheme="minorHAnsi" w:hAnsiTheme="minorHAnsi" w:cs="Arial"/>
          <w:sz w:val="22"/>
          <w:szCs w:val="22"/>
          <w:lang w:val="hr-HR"/>
        </w:rPr>
        <w:t>.</w:t>
      </w:r>
      <w:r w:rsidRPr="00CE2C44">
        <w:rPr>
          <w:rFonts w:asciiTheme="minorHAnsi" w:hAnsiTheme="minorHAnsi" w:cs="Arial"/>
          <w:sz w:val="22"/>
          <w:szCs w:val="22"/>
          <w:lang w:val="hr-HR"/>
        </w:rPr>
        <w:tab/>
        <w:t>Upravljanje rizicima (nastavak)</w:t>
      </w:r>
    </w:p>
    <w:p w14:paraId="1D6391EF" w14:textId="77777777" w:rsidR="004B16B5" w:rsidRPr="00CE2C44" w:rsidRDefault="004B16B5" w:rsidP="004B16B5">
      <w:pPr>
        <w:pStyle w:val="T1"/>
        <w:spacing w:before="0" w:after="0" w:line="240" w:lineRule="auto"/>
        <w:rPr>
          <w:rFonts w:asciiTheme="minorHAnsi" w:hAnsiTheme="minorHAnsi" w:cs="Arial"/>
          <w:sz w:val="22"/>
          <w:szCs w:val="22"/>
          <w:lang w:val="hr-HR"/>
        </w:rPr>
      </w:pPr>
    </w:p>
    <w:p w14:paraId="0FE23473" w14:textId="77777777" w:rsidR="004B16B5" w:rsidRDefault="004B16B5" w:rsidP="004B16B5">
      <w:pPr>
        <w:pStyle w:val="T1"/>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16</w:t>
      </w:r>
      <w:r w:rsidRPr="00CE2C44">
        <w:rPr>
          <w:rFonts w:asciiTheme="minorHAnsi" w:hAnsiTheme="minorHAnsi" w:cs="Arial"/>
          <w:sz w:val="22"/>
          <w:szCs w:val="22"/>
          <w:lang w:val="hr-HR"/>
        </w:rPr>
        <w:t xml:space="preserve">.3. </w:t>
      </w:r>
      <w:r w:rsidRPr="00CE2C44">
        <w:rPr>
          <w:rFonts w:asciiTheme="minorHAnsi" w:hAnsiTheme="minorHAnsi" w:cs="Arial"/>
          <w:sz w:val="22"/>
          <w:szCs w:val="22"/>
          <w:lang w:val="hr-HR"/>
        </w:rPr>
        <w:tab/>
        <w:t>Rizik likvidnosti (nastavak)</w:t>
      </w:r>
    </w:p>
    <w:p w14:paraId="7402E336" w14:textId="77777777" w:rsidR="004B16B5" w:rsidRDefault="004B16B5" w:rsidP="004B16B5">
      <w:pPr>
        <w:pStyle w:val="T1"/>
        <w:spacing w:before="0" w:after="0" w:line="240" w:lineRule="auto"/>
        <w:rPr>
          <w:rFonts w:asciiTheme="minorHAnsi" w:hAnsiTheme="minorHAnsi" w:cs="Arial"/>
          <w:sz w:val="22"/>
          <w:szCs w:val="22"/>
          <w:lang w:val="hr-HR"/>
        </w:rPr>
      </w:pPr>
    </w:p>
    <w:p w14:paraId="2DD37ABD" w14:textId="77777777" w:rsidR="004B16B5" w:rsidRPr="00496724" w:rsidRDefault="004B16B5" w:rsidP="004B16B5">
      <w:pPr>
        <w:pStyle w:val="T1"/>
        <w:tabs>
          <w:tab w:val="left" w:pos="709"/>
          <w:tab w:val="left" w:pos="851"/>
        </w:tabs>
        <w:spacing w:before="0" w:after="0" w:line="240" w:lineRule="auto"/>
        <w:rPr>
          <w:rFonts w:asciiTheme="minorHAnsi" w:hAnsiTheme="minorHAnsi" w:cs="Arial"/>
          <w:b w:val="0"/>
          <w:sz w:val="22"/>
          <w:szCs w:val="22"/>
          <w:lang w:val="hr-HR"/>
        </w:rPr>
      </w:pPr>
      <w:r w:rsidRPr="00496724">
        <w:rPr>
          <w:rFonts w:asciiTheme="minorHAnsi" w:hAnsiTheme="minorHAnsi" w:cs="Arial"/>
          <w:b w:val="0"/>
          <w:sz w:val="22"/>
          <w:szCs w:val="22"/>
          <w:lang w:val="hr-HR"/>
        </w:rPr>
        <w:t xml:space="preserve">Tabela u nastavku prikazuje preostalo ugovorno dospijeće financijskih obveza </w:t>
      </w:r>
      <w:r>
        <w:rPr>
          <w:rFonts w:asciiTheme="minorHAnsi" w:hAnsiTheme="minorHAnsi" w:cs="Arial"/>
          <w:b w:val="0"/>
          <w:sz w:val="22"/>
          <w:szCs w:val="22"/>
          <w:lang w:val="hr-HR"/>
        </w:rPr>
        <w:t>Banke</w:t>
      </w:r>
      <w:r w:rsidRPr="00496724">
        <w:rPr>
          <w:rFonts w:asciiTheme="minorHAnsi" w:hAnsiTheme="minorHAnsi" w:cs="Arial"/>
          <w:b w:val="0"/>
          <w:sz w:val="22"/>
          <w:szCs w:val="22"/>
          <w:lang w:val="hr-HR"/>
        </w:rPr>
        <w:t xml:space="preserve"> u </w:t>
      </w:r>
      <w:proofErr w:type="spellStart"/>
      <w:r w:rsidRPr="00496724">
        <w:rPr>
          <w:rFonts w:asciiTheme="minorHAnsi" w:hAnsiTheme="minorHAnsi" w:cs="Arial"/>
          <w:b w:val="0"/>
          <w:sz w:val="22"/>
          <w:szCs w:val="22"/>
          <w:lang w:val="hr-HR"/>
        </w:rPr>
        <w:t>nediskontiranim</w:t>
      </w:r>
      <w:proofErr w:type="spellEnd"/>
      <w:r w:rsidRPr="00496724">
        <w:rPr>
          <w:rFonts w:asciiTheme="minorHAnsi" w:hAnsiTheme="minorHAnsi" w:cs="Arial"/>
          <w:b w:val="0"/>
          <w:sz w:val="22"/>
          <w:szCs w:val="22"/>
          <w:lang w:val="hr-HR"/>
        </w:rPr>
        <w:t xml:space="preserve"> iznosima:</w:t>
      </w:r>
    </w:p>
    <w:p w14:paraId="251882B2" w14:textId="77777777" w:rsidR="004B16B5" w:rsidRPr="00BF0800" w:rsidRDefault="004B16B5" w:rsidP="004B16B5">
      <w:pPr>
        <w:keepNext/>
        <w:spacing w:after="0" w:line="240" w:lineRule="auto"/>
        <w:jc w:val="both"/>
        <w:rPr>
          <w:rFonts w:ascii="Arial" w:eastAsia="Times New Roman" w:hAnsi="Arial" w:cs="Arial"/>
          <w:bCs/>
          <w:sz w:val="19"/>
          <w:szCs w:val="20"/>
        </w:rPr>
      </w:pPr>
    </w:p>
    <w:tbl>
      <w:tblPr>
        <w:tblW w:w="5000" w:type="pct"/>
        <w:tblLayout w:type="fixed"/>
        <w:tblCellMar>
          <w:left w:w="120" w:type="dxa"/>
          <w:right w:w="120" w:type="dxa"/>
        </w:tblCellMar>
        <w:tblLook w:val="0000" w:firstRow="0" w:lastRow="0" w:firstColumn="0" w:lastColumn="0" w:noHBand="0" w:noVBand="0"/>
      </w:tblPr>
      <w:tblGrid>
        <w:gridCol w:w="2744"/>
        <w:gridCol w:w="1106"/>
        <w:gridCol w:w="1102"/>
        <w:gridCol w:w="9"/>
        <w:gridCol w:w="960"/>
        <w:gridCol w:w="133"/>
        <w:gridCol w:w="975"/>
        <w:gridCol w:w="127"/>
        <w:gridCol w:w="980"/>
        <w:gridCol w:w="122"/>
        <w:gridCol w:w="1096"/>
      </w:tblGrid>
      <w:tr w:rsidR="004B16B5" w:rsidRPr="00831B14" w14:paraId="01374C1A" w14:textId="77777777" w:rsidTr="002E090D">
        <w:trPr>
          <w:trHeight w:val="660"/>
        </w:trPr>
        <w:tc>
          <w:tcPr>
            <w:tcW w:w="1467" w:type="pct"/>
          </w:tcPr>
          <w:p w14:paraId="385ABEEE" w14:textId="77777777" w:rsidR="004B16B5" w:rsidRPr="00831B14" w:rsidRDefault="004B16B5" w:rsidP="003D5BE9">
            <w:pPr>
              <w:tabs>
                <w:tab w:val="right" w:pos="1202"/>
              </w:tabs>
              <w:spacing w:after="0" w:line="240" w:lineRule="atLeast"/>
              <w:outlineLvl w:val="0"/>
              <w:rPr>
                <w:rFonts w:eastAsia="Times New Roman" w:cs="Arial"/>
                <w:b/>
                <w:sz w:val="18"/>
                <w:szCs w:val="18"/>
              </w:rPr>
            </w:pPr>
            <w:r w:rsidRPr="00831B14">
              <w:rPr>
                <w:rFonts w:eastAsia="Times New Roman" w:cs="Arial"/>
                <w:b/>
                <w:sz w:val="18"/>
                <w:szCs w:val="18"/>
              </w:rPr>
              <w:t>Banka</w:t>
            </w:r>
          </w:p>
          <w:p w14:paraId="0C5B8941" w14:textId="5F7F0CA4" w:rsidR="004B16B5" w:rsidRPr="00831B14" w:rsidRDefault="000F7A1F">
            <w:pPr>
              <w:tabs>
                <w:tab w:val="right" w:pos="1202"/>
              </w:tabs>
              <w:spacing w:after="0" w:line="240" w:lineRule="atLeast"/>
              <w:outlineLvl w:val="0"/>
              <w:rPr>
                <w:rFonts w:eastAsia="Times New Roman" w:cs="Arial"/>
                <w:b/>
                <w:sz w:val="18"/>
                <w:szCs w:val="18"/>
              </w:rPr>
            </w:pPr>
            <w:r>
              <w:rPr>
                <w:rFonts w:eastAsia="Times New Roman" w:cs="Arial"/>
                <w:b/>
                <w:sz w:val="18"/>
                <w:szCs w:val="18"/>
              </w:rPr>
              <w:t>30</w:t>
            </w:r>
            <w:r w:rsidR="00AD0961">
              <w:rPr>
                <w:rFonts w:eastAsia="Times New Roman" w:cs="Arial"/>
                <w:b/>
                <w:sz w:val="18"/>
                <w:szCs w:val="18"/>
              </w:rPr>
              <w:t>.</w:t>
            </w:r>
            <w:r>
              <w:rPr>
                <w:rFonts w:eastAsia="Times New Roman" w:cs="Arial"/>
                <w:b/>
                <w:sz w:val="18"/>
                <w:szCs w:val="18"/>
              </w:rPr>
              <w:t>6</w:t>
            </w:r>
            <w:r w:rsidR="00AD0961">
              <w:rPr>
                <w:rFonts w:eastAsia="Times New Roman" w:cs="Arial"/>
                <w:b/>
                <w:sz w:val="18"/>
                <w:szCs w:val="18"/>
              </w:rPr>
              <w:t>.2017</w:t>
            </w:r>
            <w:r w:rsidR="004B16B5" w:rsidRPr="00831B14">
              <w:rPr>
                <w:rFonts w:eastAsia="Times New Roman" w:cs="Arial"/>
                <w:b/>
                <w:sz w:val="18"/>
                <w:szCs w:val="18"/>
              </w:rPr>
              <w:t>.</w:t>
            </w:r>
          </w:p>
        </w:tc>
        <w:tc>
          <w:tcPr>
            <w:tcW w:w="591" w:type="pct"/>
          </w:tcPr>
          <w:p w14:paraId="2EAD3F75" w14:textId="77777777" w:rsidR="004B16B5" w:rsidRPr="00831B14"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831B14">
              <w:rPr>
                <w:rFonts w:eastAsia="Times New Roman" w:cs="Arial"/>
                <w:b/>
                <w:sz w:val="18"/>
                <w:szCs w:val="18"/>
              </w:rPr>
              <w:t>Do 1 mjesec</w:t>
            </w:r>
          </w:p>
        </w:tc>
        <w:tc>
          <w:tcPr>
            <w:tcW w:w="589" w:type="pct"/>
          </w:tcPr>
          <w:p w14:paraId="476831DD" w14:textId="77777777" w:rsidR="004B16B5" w:rsidRPr="00831B14"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831B14">
              <w:rPr>
                <w:rFonts w:eastAsia="Times New Roman" w:cs="Arial"/>
                <w:b/>
                <w:sz w:val="18"/>
                <w:szCs w:val="18"/>
              </w:rPr>
              <w:t>1 do 3 mjeseca</w:t>
            </w:r>
          </w:p>
        </w:tc>
        <w:tc>
          <w:tcPr>
            <w:tcW w:w="589" w:type="pct"/>
            <w:gridSpan w:val="3"/>
          </w:tcPr>
          <w:p w14:paraId="034DB445" w14:textId="77777777" w:rsidR="004B16B5" w:rsidRPr="00831B14"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831B14">
              <w:rPr>
                <w:rFonts w:eastAsia="Times New Roman" w:cs="Arial"/>
                <w:b/>
                <w:sz w:val="18"/>
                <w:szCs w:val="18"/>
              </w:rPr>
              <w:t>3 mj. do 1 godine</w:t>
            </w:r>
          </w:p>
        </w:tc>
        <w:tc>
          <w:tcPr>
            <w:tcW w:w="589" w:type="pct"/>
            <w:gridSpan w:val="2"/>
          </w:tcPr>
          <w:p w14:paraId="57096B65" w14:textId="77777777" w:rsidR="004B16B5" w:rsidRPr="00831B14"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831B14">
              <w:rPr>
                <w:rFonts w:eastAsia="Times New Roman" w:cs="Arial"/>
                <w:b/>
                <w:sz w:val="18"/>
                <w:szCs w:val="18"/>
              </w:rPr>
              <w:t>1 do 3 godina</w:t>
            </w:r>
          </w:p>
        </w:tc>
        <w:tc>
          <w:tcPr>
            <w:tcW w:w="589" w:type="pct"/>
            <w:gridSpan w:val="2"/>
          </w:tcPr>
          <w:p w14:paraId="1F69E19B" w14:textId="77777777" w:rsidR="004B16B5" w:rsidRPr="00831B14"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831B14">
              <w:rPr>
                <w:rFonts w:eastAsia="Times New Roman" w:cs="Arial"/>
                <w:b/>
                <w:sz w:val="18"/>
                <w:szCs w:val="18"/>
              </w:rPr>
              <w:t>Preko 3 godine</w:t>
            </w:r>
          </w:p>
        </w:tc>
        <w:tc>
          <w:tcPr>
            <w:tcW w:w="586" w:type="pct"/>
          </w:tcPr>
          <w:p w14:paraId="3C00AE9B" w14:textId="77777777" w:rsidR="004B16B5" w:rsidRPr="00831B14"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831B14">
              <w:rPr>
                <w:rFonts w:eastAsia="Times New Roman" w:cs="Arial"/>
                <w:b/>
                <w:sz w:val="18"/>
                <w:szCs w:val="18"/>
              </w:rPr>
              <w:t>Ukupno</w:t>
            </w:r>
          </w:p>
        </w:tc>
      </w:tr>
      <w:tr w:rsidR="004B16B5" w:rsidRPr="00831B14" w14:paraId="666A33A4" w14:textId="77777777" w:rsidTr="002E090D">
        <w:tc>
          <w:tcPr>
            <w:tcW w:w="1467" w:type="pct"/>
            <w:vAlign w:val="bottom"/>
          </w:tcPr>
          <w:p w14:paraId="416F221D" w14:textId="77777777" w:rsidR="004B16B5" w:rsidRPr="00831B14" w:rsidRDefault="004B16B5" w:rsidP="003D5BE9">
            <w:pPr>
              <w:tabs>
                <w:tab w:val="right" w:pos="1202"/>
              </w:tabs>
              <w:spacing w:after="0" w:line="301" w:lineRule="exact"/>
              <w:outlineLvl w:val="0"/>
              <w:rPr>
                <w:rFonts w:eastAsia="Times New Roman" w:cs="Arial"/>
                <w:b/>
                <w:bCs/>
                <w:sz w:val="18"/>
                <w:szCs w:val="18"/>
              </w:rPr>
            </w:pPr>
            <w:r w:rsidRPr="00831B14">
              <w:rPr>
                <w:rFonts w:eastAsia="Times New Roman" w:cs="Arial"/>
                <w:b/>
                <w:bCs/>
                <w:sz w:val="18"/>
                <w:szCs w:val="18"/>
              </w:rPr>
              <w:t>Financijske obveze</w:t>
            </w:r>
          </w:p>
        </w:tc>
        <w:tc>
          <w:tcPr>
            <w:tcW w:w="591" w:type="pct"/>
          </w:tcPr>
          <w:p w14:paraId="5F7C93DE" w14:textId="77777777" w:rsidR="004B16B5" w:rsidRPr="00831B14"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589" w:type="pct"/>
          </w:tcPr>
          <w:p w14:paraId="49418F14" w14:textId="77777777" w:rsidR="004B16B5" w:rsidRPr="00831B14"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589" w:type="pct"/>
            <w:gridSpan w:val="3"/>
          </w:tcPr>
          <w:p w14:paraId="731ACD87" w14:textId="77777777" w:rsidR="004B16B5" w:rsidRPr="00831B14"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589" w:type="pct"/>
            <w:gridSpan w:val="2"/>
          </w:tcPr>
          <w:p w14:paraId="664B9705" w14:textId="77777777" w:rsidR="004B16B5" w:rsidRPr="00831B14"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589" w:type="pct"/>
            <w:gridSpan w:val="2"/>
          </w:tcPr>
          <w:p w14:paraId="7CED9911" w14:textId="77777777" w:rsidR="004B16B5" w:rsidRPr="00831B14"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586" w:type="pct"/>
          </w:tcPr>
          <w:p w14:paraId="421623DA" w14:textId="77777777" w:rsidR="004B16B5" w:rsidRPr="00831B14"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r>
      <w:tr w:rsidR="005554E8" w:rsidRPr="00831B14" w14:paraId="238B6883" w14:textId="77777777" w:rsidTr="00312975">
        <w:tc>
          <w:tcPr>
            <w:tcW w:w="1467" w:type="pct"/>
            <w:vAlign w:val="bottom"/>
          </w:tcPr>
          <w:p w14:paraId="134C056E" w14:textId="77777777" w:rsidR="005554E8" w:rsidRPr="00831B14" w:rsidRDefault="005554E8" w:rsidP="005554E8">
            <w:pPr>
              <w:tabs>
                <w:tab w:val="right" w:pos="1202"/>
              </w:tabs>
              <w:spacing w:after="0" w:line="301" w:lineRule="exact"/>
              <w:outlineLvl w:val="0"/>
              <w:rPr>
                <w:rFonts w:eastAsia="Times New Roman" w:cs="Arial"/>
                <w:sz w:val="18"/>
                <w:szCs w:val="18"/>
              </w:rPr>
            </w:pPr>
            <w:r w:rsidRPr="00831B14">
              <w:rPr>
                <w:rFonts w:eastAsia="Times New Roman" w:cs="Arial"/>
                <w:spacing w:val="-2"/>
                <w:sz w:val="18"/>
                <w:szCs w:val="18"/>
              </w:rPr>
              <w:t>Obveze po depozitima</w:t>
            </w:r>
          </w:p>
        </w:tc>
        <w:tc>
          <w:tcPr>
            <w:tcW w:w="591" w:type="pct"/>
            <w:tcBorders>
              <w:top w:val="nil"/>
              <w:left w:val="nil"/>
              <w:bottom w:val="nil"/>
              <w:right w:val="nil"/>
            </w:tcBorders>
            <w:shd w:val="clear" w:color="auto" w:fill="auto"/>
            <w:vAlign w:val="bottom"/>
          </w:tcPr>
          <w:p w14:paraId="6679012F" w14:textId="2814E60B" w:rsidR="005554E8" w:rsidRPr="00831B14" w:rsidRDefault="005554E8" w:rsidP="005554E8">
            <w:pPr>
              <w:keepNext/>
              <w:keepLines/>
              <w:tabs>
                <w:tab w:val="decimal" w:pos="1202"/>
                <w:tab w:val="center" w:pos="4153"/>
                <w:tab w:val="right" w:pos="8306"/>
              </w:tabs>
              <w:spacing w:after="0" w:line="301" w:lineRule="exact"/>
              <w:jc w:val="right"/>
              <w:rPr>
                <w:rFonts w:cs="Arial"/>
                <w:sz w:val="18"/>
                <w:szCs w:val="18"/>
              </w:rPr>
            </w:pPr>
            <w:r w:rsidRPr="00312975">
              <w:rPr>
                <w:rFonts w:cs="Arial"/>
                <w:sz w:val="18"/>
                <w:szCs w:val="18"/>
              </w:rPr>
              <w:t>218.527</w:t>
            </w:r>
          </w:p>
        </w:tc>
        <w:tc>
          <w:tcPr>
            <w:tcW w:w="589" w:type="pct"/>
            <w:tcBorders>
              <w:top w:val="nil"/>
              <w:left w:val="nil"/>
              <w:bottom w:val="nil"/>
              <w:right w:val="nil"/>
            </w:tcBorders>
            <w:shd w:val="clear" w:color="auto" w:fill="auto"/>
            <w:vAlign w:val="bottom"/>
          </w:tcPr>
          <w:p w14:paraId="4B2F5911" w14:textId="44C9EE24" w:rsidR="005554E8" w:rsidRPr="00831B14" w:rsidRDefault="005554E8" w:rsidP="005554E8">
            <w:pPr>
              <w:keepNext/>
              <w:keepLines/>
              <w:tabs>
                <w:tab w:val="decimal" w:pos="1202"/>
                <w:tab w:val="center" w:pos="4153"/>
                <w:tab w:val="right" w:pos="8306"/>
              </w:tabs>
              <w:spacing w:after="0" w:line="301" w:lineRule="exact"/>
              <w:jc w:val="right"/>
              <w:rPr>
                <w:rFonts w:cs="Arial"/>
                <w:sz w:val="18"/>
                <w:szCs w:val="18"/>
              </w:rPr>
            </w:pPr>
            <w:r w:rsidRPr="00312975">
              <w:rPr>
                <w:rFonts w:cs="Arial"/>
                <w:sz w:val="18"/>
                <w:szCs w:val="18"/>
              </w:rPr>
              <w:t>164.133</w:t>
            </w:r>
          </w:p>
        </w:tc>
        <w:tc>
          <w:tcPr>
            <w:tcW w:w="589" w:type="pct"/>
            <w:gridSpan w:val="3"/>
            <w:tcBorders>
              <w:top w:val="nil"/>
              <w:left w:val="nil"/>
              <w:bottom w:val="nil"/>
              <w:right w:val="nil"/>
            </w:tcBorders>
            <w:shd w:val="clear" w:color="auto" w:fill="auto"/>
            <w:vAlign w:val="bottom"/>
          </w:tcPr>
          <w:p w14:paraId="7278B7B7" w14:textId="11C1B31F" w:rsidR="005554E8" w:rsidRPr="00831B14" w:rsidRDefault="005554E8" w:rsidP="005554E8">
            <w:pPr>
              <w:keepNext/>
              <w:keepLines/>
              <w:tabs>
                <w:tab w:val="decimal" w:pos="1202"/>
                <w:tab w:val="center" w:pos="4153"/>
                <w:tab w:val="right" w:pos="8306"/>
              </w:tabs>
              <w:spacing w:after="0" w:line="301" w:lineRule="exact"/>
              <w:jc w:val="right"/>
              <w:rPr>
                <w:rFonts w:cs="Arial"/>
                <w:sz w:val="18"/>
                <w:szCs w:val="18"/>
              </w:rPr>
            </w:pPr>
            <w:r w:rsidRPr="00312975">
              <w:rPr>
                <w:rFonts w:cs="Arial"/>
                <w:sz w:val="18"/>
                <w:szCs w:val="18"/>
              </w:rPr>
              <w:t>40.694</w:t>
            </w:r>
          </w:p>
        </w:tc>
        <w:tc>
          <w:tcPr>
            <w:tcW w:w="589" w:type="pct"/>
            <w:gridSpan w:val="2"/>
            <w:tcBorders>
              <w:top w:val="nil"/>
              <w:left w:val="nil"/>
              <w:bottom w:val="nil"/>
              <w:right w:val="nil"/>
            </w:tcBorders>
            <w:shd w:val="clear" w:color="auto" w:fill="auto"/>
            <w:vAlign w:val="bottom"/>
          </w:tcPr>
          <w:p w14:paraId="1C2CDFD1" w14:textId="4F017025" w:rsidR="005554E8" w:rsidRPr="00831B14" w:rsidRDefault="005554E8" w:rsidP="005554E8">
            <w:pPr>
              <w:keepNext/>
              <w:keepLines/>
              <w:tabs>
                <w:tab w:val="decimal" w:pos="1202"/>
                <w:tab w:val="center" w:pos="4153"/>
                <w:tab w:val="right" w:pos="8306"/>
              </w:tabs>
              <w:spacing w:after="0" w:line="301" w:lineRule="exact"/>
              <w:jc w:val="right"/>
              <w:rPr>
                <w:rFonts w:cs="Arial"/>
                <w:sz w:val="18"/>
                <w:szCs w:val="18"/>
              </w:rPr>
            </w:pPr>
            <w:r w:rsidRPr="00312975">
              <w:rPr>
                <w:rFonts w:cs="Arial"/>
                <w:sz w:val="18"/>
                <w:szCs w:val="18"/>
              </w:rPr>
              <w:t>49.456</w:t>
            </w:r>
          </w:p>
        </w:tc>
        <w:tc>
          <w:tcPr>
            <w:tcW w:w="589" w:type="pct"/>
            <w:gridSpan w:val="2"/>
            <w:tcBorders>
              <w:top w:val="nil"/>
              <w:left w:val="nil"/>
              <w:bottom w:val="nil"/>
              <w:right w:val="nil"/>
            </w:tcBorders>
            <w:shd w:val="clear" w:color="auto" w:fill="auto"/>
            <w:vAlign w:val="bottom"/>
          </w:tcPr>
          <w:p w14:paraId="009323FB" w14:textId="05382B03" w:rsidR="005554E8" w:rsidRPr="00831B14" w:rsidRDefault="005554E8" w:rsidP="005554E8">
            <w:pPr>
              <w:keepNext/>
              <w:keepLines/>
              <w:tabs>
                <w:tab w:val="decimal" w:pos="1202"/>
                <w:tab w:val="center" w:pos="4153"/>
                <w:tab w:val="right" w:pos="8306"/>
              </w:tabs>
              <w:spacing w:after="0" w:line="301" w:lineRule="exact"/>
              <w:jc w:val="right"/>
              <w:rPr>
                <w:rFonts w:cs="Arial"/>
                <w:sz w:val="18"/>
                <w:szCs w:val="18"/>
              </w:rPr>
            </w:pPr>
            <w:r w:rsidRPr="00312975">
              <w:rPr>
                <w:rFonts w:cs="Arial"/>
                <w:sz w:val="18"/>
                <w:szCs w:val="18"/>
              </w:rPr>
              <w:t>8.168</w:t>
            </w:r>
          </w:p>
        </w:tc>
        <w:tc>
          <w:tcPr>
            <w:tcW w:w="586" w:type="pct"/>
            <w:tcBorders>
              <w:top w:val="nil"/>
              <w:left w:val="nil"/>
              <w:bottom w:val="nil"/>
              <w:right w:val="nil"/>
            </w:tcBorders>
            <w:shd w:val="clear" w:color="auto" w:fill="auto"/>
            <w:vAlign w:val="bottom"/>
          </w:tcPr>
          <w:p w14:paraId="27D7F980" w14:textId="56D6D753" w:rsidR="005554E8" w:rsidRPr="00831B14" w:rsidRDefault="005554E8" w:rsidP="005554E8">
            <w:pPr>
              <w:keepNext/>
              <w:keepLines/>
              <w:tabs>
                <w:tab w:val="decimal" w:pos="1202"/>
                <w:tab w:val="center" w:pos="4153"/>
                <w:tab w:val="right" w:pos="8306"/>
              </w:tabs>
              <w:spacing w:after="0" w:line="301" w:lineRule="exact"/>
              <w:jc w:val="right"/>
              <w:rPr>
                <w:rFonts w:cs="Arial"/>
                <w:sz w:val="18"/>
                <w:szCs w:val="18"/>
              </w:rPr>
            </w:pPr>
            <w:r w:rsidRPr="00312975">
              <w:rPr>
                <w:rFonts w:cs="Arial"/>
                <w:sz w:val="18"/>
                <w:szCs w:val="18"/>
              </w:rPr>
              <w:t>480.978</w:t>
            </w:r>
          </w:p>
        </w:tc>
      </w:tr>
      <w:tr w:rsidR="005554E8" w:rsidRPr="00831B14" w14:paraId="0B4915C6" w14:textId="77777777" w:rsidTr="00312975">
        <w:tc>
          <w:tcPr>
            <w:tcW w:w="1467" w:type="pct"/>
            <w:vAlign w:val="bottom"/>
          </w:tcPr>
          <w:p w14:paraId="363533BB" w14:textId="77777777" w:rsidR="005554E8" w:rsidRPr="00831B14" w:rsidRDefault="005554E8" w:rsidP="005554E8">
            <w:pPr>
              <w:tabs>
                <w:tab w:val="right" w:pos="1202"/>
              </w:tabs>
              <w:spacing w:after="0" w:line="301" w:lineRule="exact"/>
              <w:outlineLvl w:val="0"/>
              <w:rPr>
                <w:rFonts w:eastAsia="Times New Roman" w:cs="Arial"/>
                <w:sz w:val="18"/>
                <w:szCs w:val="18"/>
              </w:rPr>
            </w:pPr>
            <w:r w:rsidRPr="00831B14">
              <w:rPr>
                <w:rFonts w:eastAsia="Times New Roman" w:cs="Arial"/>
                <w:spacing w:val="-2"/>
                <w:sz w:val="18"/>
                <w:szCs w:val="18"/>
              </w:rPr>
              <w:t>Obveze po kreditima</w:t>
            </w:r>
          </w:p>
        </w:tc>
        <w:tc>
          <w:tcPr>
            <w:tcW w:w="591" w:type="pct"/>
            <w:tcBorders>
              <w:top w:val="nil"/>
              <w:left w:val="nil"/>
              <w:bottom w:val="nil"/>
              <w:right w:val="nil"/>
            </w:tcBorders>
            <w:shd w:val="clear" w:color="auto" w:fill="auto"/>
            <w:vAlign w:val="bottom"/>
          </w:tcPr>
          <w:p w14:paraId="320E6FBA" w14:textId="0B0F5EB3" w:rsidR="005554E8" w:rsidRPr="00831B14" w:rsidRDefault="005554E8" w:rsidP="005554E8">
            <w:pPr>
              <w:keepNext/>
              <w:keepLines/>
              <w:tabs>
                <w:tab w:val="decimal" w:pos="1202"/>
                <w:tab w:val="center" w:pos="4153"/>
                <w:tab w:val="right" w:pos="8306"/>
              </w:tabs>
              <w:spacing w:after="0" w:line="301" w:lineRule="exact"/>
              <w:jc w:val="right"/>
              <w:rPr>
                <w:rFonts w:cs="Arial"/>
                <w:sz w:val="18"/>
                <w:szCs w:val="18"/>
              </w:rPr>
            </w:pPr>
            <w:r w:rsidRPr="00312975">
              <w:rPr>
                <w:rFonts w:cs="Arial"/>
                <w:sz w:val="18"/>
                <w:szCs w:val="18"/>
              </w:rPr>
              <w:t>227.956</w:t>
            </w:r>
          </w:p>
        </w:tc>
        <w:tc>
          <w:tcPr>
            <w:tcW w:w="589" w:type="pct"/>
            <w:tcBorders>
              <w:top w:val="nil"/>
              <w:left w:val="nil"/>
              <w:bottom w:val="nil"/>
              <w:right w:val="nil"/>
            </w:tcBorders>
            <w:shd w:val="clear" w:color="auto" w:fill="auto"/>
            <w:vAlign w:val="bottom"/>
          </w:tcPr>
          <w:p w14:paraId="6EE10C2F" w14:textId="67B0C0CE" w:rsidR="005554E8" w:rsidRPr="00831B14" w:rsidRDefault="005554E8" w:rsidP="005554E8">
            <w:pPr>
              <w:keepNext/>
              <w:keepLines/>
              <w:tabs>
                <w:tab w:val="decimal" w:pos="1202"/>
                <w:tab w:val="center" w:pos="4153"/>
                <w:tab w:val="right" w:pos="8306"/>
              </w:tabs>
              <w:spacing w:after="0" w:line="301" w:lineRule="exact"/>
              <w:jc w:val="right"/>
              <w:rPr>
                <w:rFonts w:cs="Arial"/>
                <w:sz w:val="18"/>
                <w:szCs w:val="18"/>
              </w:rPr>
            </w:pPr>
            <w:r w:rsidRPr="00312975">
              <w:rPr>
                <w:rFonts w:cs="Arial"/>
                <w:sz w:val="18"/>
                <w:szCs w:val="18"/>
              </w:rPr>
              <w:t>217.219</w:t>
            </w:r>
          </w:p>
        </w:tc>
        <w:tc>
          <w:tcPr>
            <w:tcW w:w="589" w:type="pct"/>
            <w:gridSpan w:val="3"/>
            <w:tcBorders>
              <w:top w:val="nil"/>
              <w:left w:val="nil"/>
              <w:bottom w:val="nil"/>
              <w:right w:val="nil"/>
            </w:tcBorders>
            <w:shd w:val="clear" w:color="auto" w:fill="auto"/>
            <w:vAlign w:val="bottom"/>
          </w:tcPr>
          <w:p w14:paraId="4A9D4A34" w14:textId="02E19F7E" w:rsidR="005554E8" w:rsidRPr="00831B14" w:rsidRDefault="005554E8" w:rsidP="005554E8">
            <w:pPr>
              <w:keepNext/>
              <w:keepLines/>
              <w:tabs>
                <w:tab w:val="decimal" w:pos="1202"/>
                <w:tab w:val="center" w:pos="4153"/>
                <w:tab w:val="right" w:pos="8306"/>
              </w:tabs>
              <w:spacing w:after="0" w:line="301" w:lineRule="exact"/>
              <w:jc w:val="right"/>
              <w:rPr>
                <w:rFonts w:cs="Arial"/>
                <w:sz w:val="18"/>
                <w:szCs w:val="18"/>
              </w:rPr>
            </w:pPr>
            <w:r w:rsidRPr="00312975">
              <w:rPr>
                <w:rFonts w:cs="Arial"/>
                <w:sz w:val="18"/>
                <w:szCs w:val="18"/>
              </w:rPr>
              <w:t>1.470.281</w:t>
            </w:r>
          </w:p>
        </w:tc>
        <w:tc>
          <w:tcPr>
            <w:tcW w:w="589" w:type="pct"/>
            <w:gridSpan w:val="2"/>
            <w:tcBorders>
              <w:top w:val="nil"/>
              <w:left w:val="nil"/>
              <w:bottom w:val="nil"/>
              <w:right w:val="nil"/>
            </w:tcBorders>
            <w:shd w:val="clear" w:color="auto" w:fill="auto"/>
            <w:vAlign w:val="bottom"/>
          </w:tcPr>
          <w:p w14:paraId="0F3492B9" w14:textId="24B05388" w:rsidR="005554E8" w:rsidRPr="00831B14" w:rsidRDefault="005554E8" w:rsidP="005554E8">
            <w:pPr>
              <w:keepNext/>
              <w:keepLines/>
              <w:tabs>
                <w:tab w:val="decimal" w:pos="1202"/>
                <w:tab w:val="center" w:pos="4153"/>
                <w:tab w:val="right" w:pos="8306"/>
              </w:tabs>
              <w:spacing w:after="0" w:line="301" w:lineRule="exact"/>
              <w:jc w:val="right"/>
              <w:rPr>
                <w:rFonts w:cs="Arial"/>
                <w:sz w:val="18"/>
                <w:szCs w:val="18"/>
              </w:rPr>
            </w:pPr>
            <w:r w:rsidRPr="00312975">
              <w:rPr>
                <w:rFonts w:cs="Arial"/>
                <w:sz w:val="18"/>
                <w:szCs w:val="18"/>
              </w:rPr>
              <w:t>3.979.944</w:t>
            </w:r>
          </w:p>
        </w:tc>
        <w:tc>
          <w:tcPr>
            <w:tcW w:w="589" w:type="pct"/>
            <w:gridSpan w:val="2"/>
            <w:tcBorders>
              <w:top w:val="nil"/>
              <w:left w:val="nil"/>
              <w:bottom w:val="nil"/>
              <w:right w:val="nil"/>
            </w:tcBorders>
            <w:shd w:val="clear" w:color="auto" w:fill="auto"/>
            <w:vAlign w:val="bottom"/>
          </w:tcPr>
          <w:p w14:paraId="6EED70E9" w14:textId="1B814913" w:rsidR="005554E8" w:rsidRPr="00831B14" w:rsidRDefault="005554E8" w:rsidP="005554E8">
            <w:pPr>
              <w:keepNext/>
              <w:keepLines/>
              <w:tabs>
                <w:tab w:val="decimal" w:pos="1202"/>
                <w:tab w:val="center" w:pos="4153"/>
                <w:tab w:val="right" w:pos="8306"/>
              </w:tabs>
              <w:spacing w:after="0" w:line="301" w:lineRule="exact"/>
              <w:jc w:val="right"/>
              <w:rPr>
                <w:rFonts w:cs="Arial"/>
                <w:sz w:val="18"/>
                <w:szCs w:val="18"/>
              </w:rPr>
            </w:pPr>
            <w:r w:rsidRPr="00312975">
              <w:rPr>
                <w:rFonts w:cs="Arial"/>
                <w:sz w:val="18"/>
                <w:szCs w:val="18"/>
              </w:rPr>
              <w:t>11.431.284</w:t>
            </w:r>
          </w:p>
        </w:tc>
        <w:tc>
          <w:tcPr>
            <w:tcW w:w="586" w:type="pct"/>
            <w:tcBorders>
              <w:top w:val="nil"/>
              <w:left w:val="nil"/>
              <w:bottom w:val="nil"/>
              <w:right w:val="nil"/>
            </w:tcBorders>
            <w:shd w:val="clear" w:color="auto" w:fill="auto"/>
            <w:vAlign w:val="bottom"/>
          </w:tcPr>
          <w:p w14:paraId="26119335" w14:textId="49DD1F04" w:rsidR="005554E8" w:rsidRPr="00831B14" w:rsidRDefault="005554E8" w:rsidP="005554E8">
            <w:pPr>
              <w:keepNext/>
              <w:keepLines/>
              <w:tabs>
                <w:tab w:val="decimal" w:pos="1202"/>
                <w:tab w:val="center" w:pos="4153"/>
                <w:tab w:val="right" w:pos="8306"/>
              </w:tabs>
              <w:spacing w:after="0" w:line="301" w:lineRule="exact"/>
              <w:jc w:val="right"/>
              <w:rPr>
                <w:rFonts w:cs="Arial"/>
                <w:sz w:val="18"/>
                <w:szCs w:val="18"/>
              </w:rPr>
            </w:pPr>
            <w:r w:rsidRPr="00312975">
              <w:rPr>
                <w:rFonts w:cs="Arial"/>
                <w:sz w:val="18"/>
                <w:szCs w:val="18"/>
              </w:rPr>
              <w:t>17.326.684</w:t>
            </w:r>
          </w:p>
        </w:tc>
      </w:tr>
      <w:tr w:rsidR="005554E8" w:rsidRPr="00831B14" w14:paraId="228435F1" w14:textId="77777777" w:rsidTr="00312975">
        <w:tc>
          <w:tcPr>
            <w:tcW w:w="1467" w:type="pct"/>
            <w:vAlign w:val="bottom"/>
          </w:tcPr>
          <w:p w14:paraId="0DD50547" w14:textId="77777777" w:rsidR="005554E8" w:rsidRPr="00831B14" w:rsidRDefault="005554E8" w:rsidP="005554E8">
            <w:pPr>
              <w:tabs>
                <w:tab w:val="right" w:pos="1202"/>
              </w:tabs>
              <w:spacing w:after="0" w:line="301" w:lineRule="exact"/>
              <w:outlineLvl w:val="0"/>
              <w:rPr>
                <w:rFonts w:eastAsia="Times New Roman" w:cs="Arial"/>
                <w:sz w:val="18"/>
                <w:szCs w:val="18"/>
              </w:rPr>
            </w:pPr>
            <w:r w:rsidRPr="00831B14">
              <w:rPr>
                <w:rFonts w:eastAsia="Times New Roman" w:cs="Arial"/>
                <w:spacing w:val="-2"/>
                <w:sz w:val="18"/>
                <w:szCs w:val="18"/>
              </w:rPr>
              <w:t>Obveze za izdane dugoročne vrijednosne papire</w:t>
            </w:r>
          </w:p>
        </w:tc>
        <w:tc>
          <w:tcPr>
            <w:tcW w:w="591" w:type="pct"/>
            <w:tcBorders>
              <w:top w:val="nil"/>
              <w:left w:val="nil"/>
              <w:right w:val="nil"/>
            </w:tcBorders>
            <w:shd w:val="clear" w:color="auto" w:fill="auto"/>
            <w:vAlign w:val="bottom"/>
          </w:tcPr>
          <w:p w14:paraId="40383F0C" w14:textId="42FBB05F" w:rsidR="005554E8" w:rsidRPr="00831B14" w:rsidRDefault="005554E8" w:rsidP="005554E8">
            <w:pPr>
              <w:keepNext/>
              <w:keepLines/>
              <w:tabs>
                <w:tab w:val="decimal" w:pos="1202"/>
                <w:tab w:val="center" w:pos="4153"/>
                <w:tab w:val="right" w:pos="8306"/>
              </w:tabs>
              <w:spacing w:after="0" w:line="301" w:lineRule="exact"/>
              <w:jc w:val="right"/>
              <w:rPr>
                <w:rFonts w:cs="Arial"/>
                <w:sz w:val="18"/>
                <w:szCs w:val="18"/>
              </w:rPr>
            </w:pPr>
            <w:r w:rsidRPr="00312975">
              <w:rPr>
                <w:rFonts w:cs="Arial"/>
                <w:sz w:val="18"/>
                <w:szCs w:val="18"/>
              </w:rPr>
              <w:t>-</w:t>
            </w:r>
          </w:p>
        </w:tc>
        <w:tc>
          <w:tcPr>
            <w:tcW w:w="589" w:type="pct"/>
            <w:tcBorders>
              <w:top w:val="nil"/>
              <w:left w:val="nil"/>
              <w:right w:val="nil"/>
            </w:tcBorders>
            <w:shd w:val="clear" w:color="auto" w:fill="auto"/>
            <w:vAlign w:val="bottom"/>
          </w:tcPr>
          <w:p w14:paraId="48D7896C" w14:textId="4CAA1722" w:rsidR="005554E8" w:rsidRPr="00831B14" w:rsidRDefault="005554E8" w:rsidP="005554E8">
            <w:pPr>
              <w:keepNext/>
              <w:keepLines/>
              <w:tabs>
                <w:tab w:val="decimal" w:pos="1202"/>
                <w:tab w:val="center" w:pos="4153"/>
                <w:tab w:val="right" w:pos="8306"/>
              </w:tabs>
              <w:spacing w:after="0" w:line="301" w:lineRule="exact"/>
              <w:jc w:val="right"/>
              <w:rPr>
                <w:rFonts w:cs="Arial"/>
                <w:sz w:val="18"/>
                <w:szCs w:val="18"/>
              </w:rPr>
            </w:pPr>
            <w:r w:rsidRPr="00312975">
              <w:rPr>
                <w:rFonts w:cs="Arial"/>
                <w:sz w:val="18"/>
                <w:szCs w:val="18"/>
              </w:rPr>
              <w:t>-</w:t>
            </w:r>
          </w:p>
        </w:tc>
        <w:tc>
          <w:tcPr>
            <w:tcW w:w="589" w:type="pct"/>
            <w:gridSpan w:val="3"/>
            <w:tcBorders>
              <w:top w:val="nil"/>
              <w:left w:val="nil"/>
              <w:right w:val="nil"/>
            </w:tcBorders>
            <w:shd w:val="clear" w:color="auto" w:fill="auto"/>
            <w:vAlign w:val="bottom"/>
          </w:tcPr>
          <w:p w14:paraId="0FBFDAD1" w14:textId="34465F66" w:rsidR="005554E8" w:rsidRPr="00831B14" w:rsidRDefault="005554E8" w:rsidP="005554E8">
            <w:pPr>
              <w:keepNext/>
              <w:keepLines/>
              <w:tabs>
                <w:tab w:val="decimal" w:pos="1202"/>
                <w:tab w:val="center" w:pos="4153"/>
                <w:tab w:val="right" w:pos="8306"/>
              </w:tabs>
              <w:spacing w:after="0" w:line="301" w:lineRule="exact"/>
              <w:jc w:val="right"/>
              <w:rPr>
                <w:rFonts w:cs="Arial"/>
                <w:sz w:val="18"/>
                <w:szCs w:val="18"/>
              </w:rPr>
            </w:pPr>
            <w:r w:rsidRPr="00312975">
              <w:rPr>
                <w:rFonts w:cs="Arial"/>
                <w:sz w:val="18"/>
                <w:szCs w:val="18"/>
              </w:rPr>
              <w:t>66.660</w:t>
            </w:r>
          </w:p>
        </w:tc>
        <w:tc>
          <w:tcPr>
            <w:tcW w:w="589" w:type="pct"/>
            <w:gridSpan w:val="2"/>
            <w:tcBorders>
              <w:top w:val="nil"/>
              <w:left w:val="nil"/>
              <w:right w:val="nil"/>
            </w:tcBorders>
            <w:shd w:val="clear" w:color="auto" w:fill="auto"/>
            <w:vAlign w:val="bottom"/>
          </w:tcPr>
          <w:p w14:paraId="4E3A2A97" w14:textId="0AC6A30D" w:rsidR="005554E8" w:rsidRPr="00831B14" w:rsidRDefault="005554E8" w:rsidP="005554E8">
            <w:pPr>
              <w:keepNext/>
              <w:keepLines/>
              <w:tabs>
                <w:tab w:val="decimal" w:pos="1202"/>
                <w:tab w:val="center" w:pos="4153"/>
                <w:tab w:val="right" w:pos="8306"/>
              </w:tabs>
              <w:spacing w:after="0" w:line="301" w:lineRule="exact"/>
              <w:jc w:val="right"/>
              <w:rPr>
                <w:rFonts w:cs="Arial"/>
                <w:sz w:val="18"/>
                <w:szCs w:val="18"/>
              </w:rPr>
            </w:pPr>
            <w:r w:rsidRPr="00312975">
              <w:rPr>
                <w:rFonts w:cs="Arial"/>
                <w:sz w:val="18"/>
                <w:szCs w:val="18"/>
              </w:rPr>
              <w:t>1.233.404</w:t>
            </w:r>
          </w:p>
        </w:tc>
        <w:tc>
          <w:tcPr>
            <w:tcW w:w="589" w:type="pct"/>
            <w:gridSpan w:val="2"/>
            <w:tcBorders>
              <w:top w:val="nil"/>
              <w:left w:val="nil"/>
              <w:right w:val="nil"/>
            </w:tcBorders>
            <w:shd w:val="clear" w:color="auto" w:fill="auto"/>
            <w:vAlign w:val="bottom"/>
          </w:tcPr>
          <w:p w14:paraId="2880B235" w14:textId="0169D8C8" w:rsidR="005554E8" w:rsidRPr="00831B14" w:rsidRDefault="005554E8" w:rsidP="005554E8">
            <w:pPr>
              <w:keepNext/>
              <w:keepLines/>
              <w:tabs>
                <w:tab w:val="decimal" w:pos="1202"/>
                <w:tab w:val="center" w:pos="4153"/>
                <w:tab w:val="right" w:pos="8306"/>
              </w:tabs>
              <w:spacing w:after="0" w:line="301" w:lineRule="exact"/>
              <w:jc w:val="right"/>
              <w:rPr>
                <w:rFonts w:cs="Arial"/>
                <w:sz w:val="18"/>
                <w:szCs w:val="18"/>
              </w:rPr>
            </w:pPr>
            <w:r w:rsidRPr="00312975">
              <w:rPr>
                <w:rFonts w:cs="Arial"/>
                <w:sz w:val="18"/>
                <w:szCs w:val="18"/>
              </w:rPr>
              <w:t>-</w:t>
            </w:r>
          </w:p>
        </w:tc>
        <w:tc>
          <w:tcPr>
            <w:tcW w:w="586" w:type="pct"/>
            <w:tcBorders>
              <w:top w:val="nil"/>
              <w:left w:val="nil"/>
              <w:right w:val="nil"/>
            </w:tcBorders>
            <w:shd w:val="clear" w:color="auto" w:fill="auto"/>
            <w:vAlign w:val="bottom"/>
          </w:tcPr>
          <w:p w14:paraId="6C415C70" w14:textId="54AE26D4" w:rsidR="005554E8" w:rsidRPr="00831B14" w:rsidRDefault="005554E8" w:rsidP="005554E8">
            <w:pPr>
              <w:keepNext/>
              <w:keepLines/>
              <w:tabs>
                <w:tab w:val="decimal" w:pos="1202"/>
                <w:tab w:val="center" w:pos="4153"/>
                <w:tab w:val="right" w:pos="8306"/>
              </w:tabs>
              <w:spacing w:after="0" w:line="301" w:lineRule="exact"/>
              <w:jc w:val="right"/>
              <w:rPr>
                <w:rFonts w:cs="Arial"/>
                <w:sz w:val="18"/>
                <w:szCs w:val="18"/>
              </w:rPr>
            </w:pPr>
            <w:r w:rsidRPr="00312975">
              <w:rPr>
                <w:rFonts w:cs="Arial"/>
                <w:sz w:val="18"/>
                <w:szCs w:val="18"/>
              </w:rPr>
              <w:t>1.300.064</w:t>
            </w:r>
          </w:p>
        </w:tc>
      </w:tr>
      <w:tr w:rsidR="005554E8" w:rsidRPr="00831B14" w14:paraId="55D97D47" w14:textId="77777777" w:rsidTr="00312975">
        <w:tc>
          <w:tcPr>
            <w:tcW w:w="1467" w:type="pct"/>
            <w:vAlign w:val="bottom"/>
          </w:tcPr>
          <w:p w14:paraId="45161EC4" w14:textId="77777777" w:rsidR="005554E8" w:rsidRPr="00831B14" w:rsidRDefault="005554E8" w:rsidP="005554E8">
            <w:pPr>
              <w:tabs>
                <w:tab w:val="right" w:pos="1202"/>
              </w:tabs>
              <w:spacing w:after="0" w:line="301" w:lineRule="exact"/>
              <w:outlineLvl w:val="0"/>
              <w:rPr>
                <w:rFonts w:eastAsia="Times New Roman" w:cs="Arial"/>
                <w:sz w:val="18"/>
                <w:szCs w:val="18"/>
              </w:rPr>
            </w:pPr>
            <w:r w:rsidRPr="00831B14">
              <w:rPr>
                <w:rFonts w:eastAsia="Times New Roman" w:cs="Arial"/>
                <w:spacing w:val="-2"/>
                <w:sz w:val="18"/>
                <w:szCs w:val="18"/>
              </w:rPr>
              <w:t>Ostale obveze</w:t>
            </w:r>
          </w:p>
        </w:tc>
        <w:tc>
          <w:tcPr>
            <w:tcW w:w="591" w:type="pct"/>
            <w:tcBorders>
              <w:top w:val="nil"/>
              <w:left w:val="nil"/>
              <w:right w:val="nil"/>
            </w:tcBorders>
            <w:shd w:val="clear" w:color="auto" w:fill="auto"/>
            <w:vAlign w:val="bottom"/>
          </w:tcPr>
          <w:p w14:paraId="7CA7123A" w14:textId="3814795F" w:rsidR="005554E8" w:rsidRPr="00831B14" w:rsidRDefault="005554E8" w:rsidP="005554E8">
            <w:pPr>
              <w:keepNext/>
              <w:keepLines/>
              <w:tabs>
                <w:tab w:val="decimal" w:pos="1202"/>
                <w:tab w:val="center" w:pos="4153"/>
                <w:tab w:val="right" w:pos="8306"/>
              </w:tabs>
              <w:spacing w:after="0" w:line="301" w:lineRule="exact"/>
              <w:jc w:val="right"/>
              <w:rPr>
                <w:rFonts w:cs="Arial"/>
                <w:sz w:val="18"/>
                <w:szCs w:val="18"/>
              </w:rPr>
            </w:pPr>
            <w:r w:rsidRPr="00312975">
              <w:rPr>
                <w:rFonts w:cs="Arial"/>
                <w:sz w:val="18"/>
                <w:szCs w:val="18"/>
              </w:rPr>
              <w:t>156.193</w:t>
            </w:r>
          </w:p>
        </w:tc>
        <w:tc>
          <w:tcPr>
            <w:tcW w:w="589" w:type="pct"/>
            <w:tcBorders>
              <w:top w:val="nil"/>
              <w:left w:val="nil"/>
              <w:right w:val="nil"/>
            </w:tcBorders>
            <w:shd w:val="clear" w:color="auto" w:fill="auto"/>
            <w:vAlign w:val="bottom"/>
          </w:tcPr>
          <w:p w14:paraId="307330C9" w14:textId="0480F51A" w:rsidR="005554E8" w:rsidRPr="00831B14" w:rsidRDefault="005554E8" w:rsidP="005554E8">
            <w:pPr>
              <w:keepNext/>
              <w:keepLines/>
              <w:tabs>
                <w:tab w:val="decimal" w:pos="1202"/>
                <w:tab w:val="center" w:pos="4153"/>
                <w:tab w:val="right" w:pos="8306"/>
              </w:tabs>
              <w:spacing w:after="0" w:line="301" w:lineRule="exact"/>
              <w:jc w:val="right"/>
              <w:rPr>
                <w:rFonts w:cs="Arial"/>
                <w:sz w:val="18"/>
                <w:szCs w:val="18"/>
              </w:rPr>
            </w:pPr>
            <w:r w:rsidRPr="00312975">
              <w:rPr>
                <w:rFonts w:cs="Arial"/>
                <w:sz w:val="18"/>
                <w:szCs w:val="18"/>
              </w:rPr>
              <w:t>24.848</w:t>
            </w:r>
          </w:p>
        </w:tc>
        <w:tc>
          <w:tcPr>
            <w:tcW w:w="589" w:type="pct"/>
            <w:gridSpan w:val="3"/>
            <w:tcBorders>
              <w:top w:val="nil"/>
              <w:left w:val="nil"/>
              <w:right w:val="nil"/>
            </w:tcBorders>
            <w:shd w:val="clear" w:color="auto" w:fill="auto"/>
            <w:vAlign w:val="bottom"/>
          </w:tcPr>
          <w:p w14:paraId="4E235048" w14:textId="624793C6" w:rsidR="005554E8" w:rsidRPr="00831B14" w:rsidRDefault="005554E8" w:rsidP="005554E8">
            <w:pPr>
              <w:keepNext/>
              <w:keepLines/>
              <w:tabs>
                <w:tab w:val="decimal" w:pos="1202"/>
                <w:tab w:val="center" w:pos="4153"/>
                <w:tab w:val="right" w:pos="8306"/>
              </w:tabs>
              <w:spacing w:after="0" w:line="301" w:lineRule="exact"/>
              <w:jc w:val="right"/>
              <w:rPr>
                <w:rFonts w:cs="Arial"/>
                <w:sz w:val="18"/>
                <w:szCs w:val="18"/>
              </w:rPr>
            </w:pPr>
            <w:r w:rsidRPr="00312975">
              <w:rPr>
                <w:rFonts w:cs="Arial"/>
                <w:sz w:val="18"/>
                <w:szCs w:val="18"/>
              </w:rPr>
              <w:t>85.171</w:t>
            </w:r>
          </w:p>
        </w:tc>
        <w:tc>
          <w:tcPr>
            <w:tcW w:w="589" w:type="pct"/>
            <w:gridSpan w:val="2"/>
            <w:tcBorders>
              <w:top w:val="nil"/>
              <w:left w:val="nil"/>
              <w:right w:val="nil"/>
            </w:tcBorders>
            <w:shd w:val="clear" w:color="auto" w:fill="auto"/>
            <w:vAlign w:val="bottom"/>
          </w:tcPr>
          <w:p w14:paraId="3BCBBC03" w14:textId="6EFD0F02" w:rsidR="005554E8" w:rsidRPr="00831B14" w:rsidRDefault="005554E8" w:rsidP="005554E8">
            <w:pPr>
              <w:keepNext/>
              <w:keepLines/>
              <w:tabs>
                <w:tab w:val="decimal" w:pos="1202"/>
                <w:tab w:val="center" w:pos="4153"/>
                <w:tab w:val="right" w:pos="8306"/>
              </w:tabs>
              <w:spacing w:after="0" w:line="301" w:lineRule="exact"/>
              <w:jc w:val="right"/>
              <w:rPr>
                <w:rFonts w:cs="Arial"/>
                <w:sz w:val="18"/>
                <w:szCs w:val="18"/>
              </w:rPr>
            </w:pPr>
            <w:r w:rsidRPr="00312975">
              <w:rPr>
                <w:rFonts w:cs="Arial"/>
                <w:sz w:val="18"/>
                <w:szCs w:val="18"/>
              </w:rPr>
              <w:t>168.996</w:t>
            </w:r>
          </w:p>
        </w:tc>
        <w:tc>
          <w:tcPr>
            <w:tcW w:w="589" w:type="pct"/>
            <w:gridSpan w:val="2"/>
            <w:tcBorders>
              <w:top w:val="nil"/>
              <w:left w:val="nil"/>
              <w:right w:val="nil"/>
            </w:tcBorders>
            <w:shd w:val="clear" w:color="auto" w:fill="auto"/>
            <w:vAlign w:val="bottom"/>
          </w:tcPr>
          <w:p w14:paraId="11F8A179" w14:textId="7D35B822" w:rsidR="005554E8" w:rsidRPr="00831B14" w:rsidRDefault="005554E8" w:rsidP="005554E8">
            <w:pPr>
              <w:keepNext/>
              <w:keepLines/>
              <w:tabs>
                <w:tab w:val="decimal" w:pos="1202"/>
                <w:tab w:val="center" w:pos="4153"/>
                <w:tab w:val="right" w:pos="8306"/>
              </w:tabs>
              <w:spacing w:after="0" w:line="301" w:lineRule="exact"/>
              <w:jc w:val="right"/>
              <w:rPr>
                <w:rFonts w:cs="Arial"/>
                <w:sz w:val="18"/>
                <w:szCs w:val="18"/>
              </w:rPr>
            </w:pPr>
            <w:r w:rsidRPr="00312975">
              <w:rPr>
                <w:rFonts w:cs="Arial"/>
                <w:sz w:val="18"/>
                <w:szCs w:val="18"/>
              </w:rPr>
              <w:t>190.015</w:t>
            </w:r>
          </w:p>
        </w:tc>
        <w:tc>
          <w:tcPr>
            <w:tcW w:w="586" w:type="pct"/>
            <w:tcBorders>
              <w:top w:val="nil"/>
              <w:left w:val="nil"/>
              <w:right w:val="nil"/>
            </w:tcBorders>
            <w:shd w:val="clear" w:color="auto" w:fill="auto"/>
            <w:vAlign w:val="bottom"/>
          </w:tcPr>
          <w:p w14:paraId="0A576565" w14:textId="10E5ECA9" w:rsidR="005554E8" w:rsidRPr="00831B14" w:rsidRDefault="005554E8" w:rsidP="005554E8">
            <w:pPr>
              <w:keepNext/>
              <w:keepLines/>
              <w:tabs>
                <w:tab w:val="decimal" w:pos="1202"/>
                <w:tab w:val="center" w:pos="4153"/>
                <w:tab w:val="right" w:pos="8306"/>
              </w:tabs>
              <w:spacing w:after="0" w:line="301" w:lineRule="exact"/>
              <w:jc w:val="right"/>
              <w:rPr>
                <w:rFonts w:cs="Arial"/>
                <w:sz w:val="18"/>
                <w:szCs w:val="18"/>
              </w:rPr>
            </w:pPr>
            <w:r w:rsidRPr="00312975">
              <w:rPr>
                <w:rFonts w:cs="Arial"/>
                <w:sz w:val="18"/>
                <w:szCs w:val="18"/>
              </w:rPr>
              <w:t>625.223</w:t>
            </w:r>
          </w:p>
        </w:tc>
      </w:tr>
      <w:tr w:rsidR="004B16B5" w:rsidRPr="00831B14" w14:paraId="18F19128" w14:textId="77777777" w:rsidTr="002E090D">
        <w:trPr>
          <w:trHeight w:val="50"/>
        </w:trPr>
        <w:tc>
          <w:tcPr>
            <w:tcW w:w="1467" w:type="pct"/>
            <w:vAlign w:val="bottom"/>
          </w:tcPr>
          <w:p w14:paraId="13A7DF5E" w14:textId="77777777" w:rsidR="004B16B5" w:rsidRPr="00831B14" w:rsidRDefault="004B16B5" w:rsidP="003D5BE9">
            <w:pPr>
              <w:tabs>
                <w:tab w:val="right" w:pos="1202"/>
              </w:tabs>
              <w:spacing w:after="0" w:line="140" w:lineRule="exact"/>
              <w:outlineLvl w:val="0"/>
              <w:rPr>
                <w:rFonts w:eastAsia="Times New Roman" w:cs="Arial"/>
                <w:spacing w:val="-2"/>
                <w:sz w:val="18"/>
                <w:szCs w:val="18"/>
              </w:rPr>
            </w:pPr>
          </w:p>
        </w:tc>
        <w:tc>
          <w:tcPr>
            <w:tcW w:w="591" w:type="pct"/>
            <w:tcBorders>
              <w:bottom w:val="single" w:sz="4" w:space="0" w:color="auto"/>
            </w:tcBorders>
            <w:vAlign w:val="bottom"/>
          </w:tcPr>
          <w:p w14:paraId="2A30D312"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tcBorders>
              <w:bottom w:val="single" w:sz="4" w:space="0" w:color="auto"/>
            </w:tcBorders>
            <w:vAlign w:val="bottom"/>
          </w:tcPr>
          <w:p w14:paraId="2E1E1CAD"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3"/>
            <w:tcBorders>
              <w:bottom w:val="single" w:sz="4" w:space="0" w:color="auto"/>
            </w:tcBorders>
            <w:vAlign w:val="bottom"/>
          </w:tcPr>
          <w:p w14:paraId="543EE918"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2"/>
            <w:tcBorders>
              <w:bottom w:val="single" w:sz="4" w:space="0" w:color="auto"/>
            </w:tcBorders>
            <w:vAlign w:val="bottom"/>
          </w:tcPr>
          <w:p w14:paraId="0C812C2B"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2"/>
            <w:tcBorders>
              <w:bottom w:val="single" w:sz="4" w:space="0" w:color="auto"/>
            </w:tcBorders>
            <w:vAlign w:val="bottom"/>
          </w:tcPr>
          <w:p w14:paraId="5288170E"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586" w:type="pct"/>
            <w:tcBorders>
              <w:bottom w:val="single" w:sz="4" w:space="0" w:color="auto"/>
            </w:tcBorders>
            <w:vAlign w:val="bottom"/>
          </w:tcPr>
          <w:p w14:paraId="49E95F15"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r>
      <w:tr w:rsidR="004B16B5" w:rsidRPr="00831B14" w14:paraId="6EDB0244" w14:textId="77777777" w:rsidTr="002E090D">
        <w:tc>
          <w:tcPr>
            <w:tcW w:w="1467" w:type="pct"/>
            <w:vAlign w:val="bottom"/>
          </w:tcPr>
          <w:p w14:paraId="065A6DEC" w14:textId="77777777" w:rsidR="004B16B5" w:rsidRPr="00831B14" w:rsidRDefault="004B16B5" w:rsidP="003D5BE9">
            <w:pPr>
              <w:tabs>
                <w:tab w:val="right" w:pos="1202"/>
              </w:tabs>
              <w:spacing w:after="0" w:line="140" w:lineRule="exact"/>
              <w:outlineLvl w:val="0"/>
              <w:rPr>
                <w:rFonts w:eastAsia="Times New Roman" w:cs="Arial"/>
                <w:spacing w:val="-2"/>
                <w:sz w:val="18"/>
                <w:szCs w:val="18"/>
              </w:rPr>
            </w:pPr>
          </w:p>
        </w:tc>
        <w:tc>
          <w:tcPr>
            <w:tcW w:w="591" w:type="pct"/>
            <w:tcBorders>
              <w:top w:val="single" w:sz="4" w:space="0" w:color="auto"/>
            </w:tcBorders>
            <w:vAlign w:val="bottom"/>
          </w:tcPr>
          <w:p w14:paraId="5637A7A9"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tcBorders>
              <w:top w:val="single" w:sz="4" w:space="0" w:color="auto"/>
            </w:tcBorders>
            <w:vAlign w:val="bottom"/>
          </w:tcPr>
          <w:p w14:paraId="3027EFB0"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3"/>
            <w:tcBorders>
              <w:top w:val="single" w:sz="4" w:space="0" w:color="auto"/>
            </w:tcBorders>
            <w:vAlign w:val="bottom"/>
          </w:tcPr>
          <w:p w14:paraId="0722FEFE"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2"/>
            <w:tcBorders>
              <w:top w:val="single" w:sz="4" w:space="0" w:color="auto"/>
            </w:tcBorders>
            <w:vAlign w:val="bottom"/>
          </w:tcPr>
          <w:p w14:paraId="649D17C2"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2"/>
            <w:tcBorders>
              <w:top w:val="single" w:sz="4" w:space="0" w:color="auto"/>
            </w:tcBorders>
            <w:vAlign w:val="bottom"/>
          </w:tcPr>
          <w:p w14:paraId="79A5643C"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c>
          <w:tcPr>
            <w:tcW w:w="586" w:type="pct"/>
            <w:tcBorders>
              <w:top w:val="single" w:sz="4" w:space="0" w:color="auto"/>
            </w:tcBorders>
            <w:vAlign w:val="bottom"/>
          </w:tcPr>
          <w:p w14:paraId="59034E2D" w14:textId="77777777" w:rsidR="004B16B5" w:rsidRPr="00831B14" w:rsidRDefault="004B16B5">
            <w:pPr>
              <w:tabs>
                <w:tab w:val="right" w:pos="1202"/>
                <w:tab w:val="center" w:pos="4153"/>
                <w:tab w:val="right" w:pos="8306"/>
              </w:tabs>
              <w:spacing w:after="0" w:line="140" w:lineRule="exact"/>
              <w:jc w:val="right"/>
              <w:outlineLvl w:val="0"/>
              <w:rPr>
                <w:rFonts w:eastAsia="Times New Roman" w:cs="Arial"/>
                <w:sz w:val="18"/>
                <w:szCs w:val="18"/>
              </w:rPr>
            </w:pPr>
          </w:p>
        </w:tc>
      </w:tr>
      <w:tr w:rsidR="005554E8" w:rsidRPr="00831B14" w14:paraId="74CD22BC" w14:textId="77777777" w:rsidTr="00312975">
        <w:trPr>
          <w:trHeight w:val="157"/>
        </w:trPr>
        <w:tc>
          <w:tcPr>
            <w:tcW w:w="1467" w:type="pct"/>
            <w:vAlign w:val="bottom"/>
          </w:tcPr>
          <w:p w14:paraId="62F2D673" w14:textId="77777777" w:rsidR="005554E8" w:rsidRPr="00831B14" w:rsidRDefault="005554E8" w:rsidP="005554E8">
            <w:pPr>
              <w:tabs>
                <w:tab w:val="right" w:pos="1202"/>
              </w:tabs>
              <w:spacing w:after="0" w:line="340" w:lineRule="exact"/>
              <w:outlineLvl w:val="0"/>
              <w:rPr>
                <w:rFonts w:eastAsia="Times New Roman" w:cs="Arial"/>
                <w:b/>
                <w:bCs/>
                <w:sz w:val="18"/>
                <w:szCs w:val="18"/>
              </w:rPr>
            </w:pPr>
            <w:r w:rsidRPr="00831B14">
              <w:rPr>
                <w:rFonts w:eastAsia="Times New Roman" w:cs="Arial"/>
                <w:b/>
                <w:bCs/>
                <w:sz w:val="18"/>
                <w:szCs w:val="18"/>
              </w:rPr>
              <w:t>Ukupno</w:t>
            </w:r>
          </w:p>
        </w:tc>
        <w:tc>
          <w:tcPr>
            <w:tcW w:w="591" w:type="pct"/>
            <w:tcBorders>
              <w:top w:val="nil"/>
              <w:left w:val="nil"/>
              <w:bottom w:val="single" w:sz="12" w:space="0" w:color="auto"/>
              <w:right w:val="nil"/>
            </w:tcBorders>
            <w:shd w:val="clear" w:color="auto" w:fill="auto"/>
          </w:tcPr>
          <w:p w14:paraId="1919DB69" w14:textId="5FB4D00E" w:rsidR="005554E8" w:rsidRPr="000E5941" w:rsidRDefault="005554E8" w:rsidP="005554E8">
            <w:pPr>
              <w:tabs>
                <w:tab w:val="right" w:pos="1202"/>
              </w:tabs>
              <w:spacing w:after="0" w:line="340" w:lineRule="exact"/>
              <w:jc w:val="right"/>
              <w:outlineLvl w:val="0"/>
              <w:rPr>
                <w:rFonts w:cs="Arial"/>
                <w:b/>
                <w:bCs/>
                <w:color w:val="000000"/>
                <w:sz w:val="18"/>
                <w:szCs w:val="18"/>
              </w:rPr>
            </w:pPr>
            <w:r w:rsidRPr="00312975">
              <w:rPr>
                <w:rFonts w:cs="Arial"/>
                <w:b/>
                <w:bCs/>
                <w:color w:val="000000"/>
                <w:sz w:val="18"/>
                <w:szCs w:val="18"/>
              </w:rPr>
              <w:t>602.676</w:t>
            </w:r>
          </w:p>
        </w:tc>
        <w:tc>
          <w:tcPr>
            <w:tcW w:w="589" w:type="pct"/>
            <w:tcBorders>
              <w:top w:val="nil"/>
              <w:left w:val="nil"/>
              <w:bottom w:val="single" w:sz="12" w:space="0" w:color="auto"/>
              <w:right w:val="nil"/>
            </w:tcBorders>
            <w:shd w:val="clear" w:color="auto" w:fill="auto"/>
          </w:tcPr>
          <w:p w14:paraId="100318A0" w14:textId="369E9FEC" w:rsidR="005554E8" w:rsidRPr="000E5941" w:rsidRDefault="005554E8" w:rsidP="005554E8">
            <w:pPr>
              <w:tabs>
                <w:tab w:val="right" w:pos="1202"/>
              </w:tabs>
              <w:spacing w:after="0" w:line="340" w:lineRule="exact"/>
              <w:jc w:val="right"/>
              <w:outlineLvl w:val="0"/>
              <w:rPr>
                <w:rFonts w:cs="Arial"/>
                <w:b/>
                <w:bCs/>
                <w:color w:val="000000"/>
                <w:sz w:val="18"/>
                <w:szCs w:val="18"/>
              </w:rPr>
            </w:pPr>
            <w:r w:rsidRPr="00312975">
              <w:rPr>
                <w:rFonts w:cs="Arial"/>
                <w:b/>
                <w:bCs/>
                <w:color w:val="000000"/>
                <w:sz w:val="18"/>
                <w:szCs w:val="18"/>
              </w:rPr>
              <w:t>406.200</w:t>
            </w:r>
          </w:p>
        </w:tc>
        <w:tc>
          <w:tcPr>
            <w:tcW w:w="589" w:type="pct"/>
            <w:gridSpan w:val="3"/>
            <w:tcBorders>
              <w:top w:val="nil"/>
              <w:left w:val="nil"/>
              <w:bottom w:val="single" w:sz="12" w:space="0" w:color="auto"/>
              <w:right w:val="nil"/>
            </w:tcBorders>
            <w:shd w:val="clear" w:color="auto" w:fill="auto"/>
          </w:tcPr>
          <w:p w14:paraId="61D45E8E" w14:textId="7E69FDB8" w:rsidR="005554E8" w:rsidRPr="000E5941" w:rsidRDefault="005554E8" w:rsidP="005554E8">
            <w:pPr>
              <w:tabs>
                <w:tab w:val="right" w:pos="1202"/>
              </w:tabs>
              <w:spacing w:after="0" w:line="340" w:lineRule="exact"/>
              <w:jc w:val="right"/>
              <w:outlineLvl w:val="0"/>
              <w:rPr>
                <w:rFonts w:cs="Arial"/>
                <w:b/>
                <w:bCs/>
                <w:color w:val="000000"/>
                <w:sz w:val="18"/>
                <w:szCs w:val="18"/>
              </w:rPr>
            </w:pPr>
            <w:r w:rsidRPr="00312975">
              <w:rPr>
                <w:rFonts w:cs="Arial"/>
                <w:b/>
                <w:bCs/>
                <w:color w:val="000000"/>
                <w:sz w:val="18"/>
                <w:szCs w:val="18"/>
              </w:rPr>
              <w:t>1.662.806</w:t>
            </w:r>
          </w:p>
        </w:tc>
        <w:tc>
          <w:tcPr>
            <w:tcW w:w="589" w:type="pct"/>
            <w:gridSpan w:val="2"/>
            <w:tcBorders>
              <w:top w:val="nil"/>
              <w:left w:val="nil"/>
              <w:bottom w:val="single" w:sz="12" w:space="0" w:color="auto"/>
              <w:right w:val="nil"/>
            </w:tcBorders>
            <w:shd w:val="clear" w:color="auto" w:fill="auto"/>
          </w:tcPr>
          <w:p w14:paraId="2B3C62C6" w14:textId="433765A5" w:rsidR="005554E8" w:rsidRPr="000E5941" w:rsidRDefault="005554E8" w:rsidP="005554E8">
            <w:pPr>
              <w:tabs>
                <w:tab w:val="right" w:pos="1202"/>
              </w:tabs>
              <w:spacing w:after="0" w:line="340" w:lineRule="exact"/>
              <w:jc w:val="right"/>
              <w:outlineLvl w:val="0"/>
              <w:rPr>
                <w:rFonts w:cs="Arial"/>
                <w:b/>
                <w:bCs/>
                <w:color w:val="000000"/>
                <w:sz w:val="18"/>
                <w:szCs w:val="18"/>
              </w:rPr>
            </w:pPr>
            <w:r w:rsidRPr="00312975">
              <w:rPr>
                <w:rFonts w:cs="Arial"/>
                <w:b/>
                <w:bCs/>
                <w:color w:val="000000"/>
                <w:sz w:val="18"/>
                <w:szCs w:val="18"/>
              </w:rPr>
              <w:t>5.431.800</w:t>
            </w:r>
          </w:p>
        </w:tc>
        <w:tc>
          <w:tcPr>
            <w:tcW w:w="589" w:type="pct"/>
            <w:gridSpan w:val="2"/>
            <w:tcBorders>
              <w:top w:val="nil"/>
              <w:left w:val="nil"/>
              <w:bottom w:val="single" w:sz="12" w:space="0" w:color="auto"/>
              <w:right w:val="nil"/>
            </w:tcBorders>
            <w:shd w:val="clear" w:color="auto" w:fill="auto"/>
          </w:tcPr>
          <w:p w14:paraId="46A62311" w14:textId="3F4330B3" w:rsidR="005554E8" w:rsidRPr="000E5941" w:rsidRDefault="005554E8" w:rsidP="005554E8">
            <w:pPr>
              <w:tabs>
                <w:tab w:val="right" w:pos="1202"/>
              </w:tabs>
              <w:spacing w:after="0" w:line="340" w:lineRule="exact"/>
              <w:jc w:val="right"/>
              <w:outlineLvl w:val="0"/>
              <w:rPr>
                <w:rFonts w:cs="Arial"/>
                <w:b/>
                <w:bCs/>
                <w:color w:val="000000"/>
                <w:sz w:val="18"/>
                <w:szCs w:val="18"/>
              </w:rPr>
            </w:pPr>
            <w:r w:rsidRPr="00312975">
              <w:rPr>
                <w:rFonts w:cs="Arial"/>
                <w:b/>
                <w:bCs/>
                <w:color w:val="000000"/>
                <w:sz w:val="18"/>
                <w:szCs w:val="18"/>
              </w:rPr>
              <w:t>11.629.467</w:t>
            </w:r>
          </w:p>
        </w:tc>
        <w:tc>
          <w:tcPr>
            <w:tcW w:w="586" w:type="pct"/>
            <w:tcBorders>
              <w:top w:val="nil"/>
              <w:left w:val="nil"/>
              <w:bottom w:val="single" w:sz="12" w:space="0" w:color="auto"/>
              <w:right w:val="nil"/>
            </w:tcBorders>
            <w:shd w:val="clear" w:color="auto" w:fill="auto"/>
          </w:tcPr>
          <w:p w14:paraId="6E9C148C" w14:textId="0FB020FE" w:rsidR="005554E8" w:rsidRPr="000E5941" w:rsidRDefault="005554E8" w:rsidP="005554E8">
            <w:pPr>
              <w:tabs>
                <w:tab w:val="right" w:pos="1202"/>
              </w:tabs>
              <w:spacing w:after="0" w:line="340" w:lineRule="exact"/>
              <w:jc w:val="right"/>
              <w:outlineLvl w:val="0"/>
              <w:rPr>
                <w:rFonts w:cs="Arial"/>
                <w:b/>
                <w:bCs/>
                <w:color w:val="000000"/>
                <w:sz w:val="18"/>
                <w:szCs w:val="18"/>
              </w:rPr>
            </w:pPr>
            <w:r w:rsidRPr="00312975">
              <w:rPr>
                <w:rFonts w:cs="Arial"/>
                <w:b/>
                <w:bCs/>
                <w:color w:val="000000"/>
                <w:sz w:val="18"/>
                <w:szCs w:val="18"/>
              </w:rPr>
              <w:t>19.732.949</w:t>
            </w:r>
          </w:p>
        </w:tc>
      </w:tr>
      <w:tr w:rsidR="004B16B5" w:rsidRPr="00831B14" w14:paraId="02444DF8" w14:textId="77777777" w:rsidTr="00831B14">
        <w:tc>
          <w:tcPr>
            <w:tcW w:w="1467" w:type="pct"/>
            <w:vAlign w:val="bottom"/>
          </w:tcPr>
          <w:p w14:paraId="7CBA8B71" w14:textId="77777777" w:rsidR="004B16B5" w:rsidRPr="00831B14" w:rsidRDefault="004B16B5" w:rsidP="003D5BE9">
            <w:pPr>
              <w:keepNext/>
              <w:keepLines/>
              <w:tabs>
                <w:tab w:val="decimal" w:pos="1202"/>
              </w:tabs>
              <w:spacing w:after="0" w:line="140" w:lineRule="exact"/>
              <w:rPr>
                <w:rFonts w:eastAsia="Times New Roman" w:cs="Arial"/>
                <w:b/>
                <w:position w:val="4"/>
                <w:sz w:val="18"/>
                <w:szCs w:val="18"/>
              </w:rPr>
            </w:pPr>
          </w:p>
        </w:tc>
        <w:tc>
          <w:tcPr>
            <w:tcW w:w="591" w:type="pct"/>
            <w:tcBorders>
              <w:top w:val="single" w:sz="12" w:space="0" w:color="auto"/>
            </w:tcBorders>
          </w:tcPr>
          <w:p w14:paraId="1B8465B7" w14:textId="77777777" w:rsidR="004B16B5" w:rsidRPr="00831B14"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94" w:type="pct"/>
            <w:gridSpan w:val="2"/>
            <w:tcBorders>
              <w:top w:val="single" w:sz="12" w:space="0" w:color="auto"/>
            </w:tcBorders>
          </w:tcPr>
          <w:p w14:paraId="413ED41A" w14:textId="77777777" w:rsidR="004B16B5" w:rsidRPr="00831B14"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13" w:type="pct"/>
            <w:tcBorders>
              <w:top w:val="single" w:sz="12" w:space="0" w:color="auto"/>
            </w:tcBorders>
          </w:tcPr>
          <w:p w14:paraId="225BD33F" w14:textId="77777777" w:rsidR="004B16B5" w:rsidRPr="00831B14"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92" w:type="pct"/>
            <w:gridSpan w:val="2"/>
            <w:tcBorders>
              <w:top w:val="single" w:sz="12" w:space="0" w:color="auto"/>
            </w:tcBorders>
          </w:tcPr>
          <w:p w14:paraId="37C3DDA5" w14:textId="77777777" w:rsidR="004B16B5" w:rsidRPr="00831B14"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92" w:type="pct"/>
            <w:gridSpan w:val="2"/>
            <w:tcBorders>
              <w:top w:val="single" w:sz="12" w:space="0" w:color="auto"/>
            </w:tcBorders>
          </w:tcPr>
          <w:p w14:paraId="701AE0E6" w14:textId="77777777" w:rsidR="004B16B5" w:rsidRPr="00831B14"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651" w:type="pct"/>
            <w:gridSpan w:val="2"/>
            <w:tcBorders>
              <w:top w:val="single" w:sz="12" w:space="0" w:color="auto"/>
            </w:tcBorders>
          </w:tcPr>
          <w:p w14:paraId="5232CF37" w14:textId="77777777" w:rsidR="004B16B5" w:rsidRPr="00831B14"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r>
    </w:tbl>
    <w:p w14:paraId="116FE688" w14:textId="77777777" w:rsidR="004B16B5" w:rsidRPr="00496724" w:rsidRDefault="004B16B5" w:rsidP="004B16B5">
      <w:pPr>
        <w:keepNext/>
        <w:spacing w:before="240" w:after="0" w:line="360" w:lineRule="auto"/>
        <w:jc w:val="both"/>
        <w:rPr>
          <w:rFonts w:eastAsia="Times New Roman" w:cs="Arial"/>
          <w:bCs/>
          <w:sz w:val="18"/>
          <w:szCs w:val="18"/>
        </w:rPr>
      </w:pPr>
    </w:p>
    <w:tbl>
      <w:tblPr>
        <w:tblW w:w="5000" w:type="pct"/>
        <w:tblLayout w:type="fixed"/>
        <w:tblCellMar>
          <w:left w:w="120" w:type="dxa"/>
          <w:right w:w="120" w:type="dxa"/>
        </w:tblCellMar>
        <w:tblLook w:val="0000" w:firstRow="0" w:lastRow="0" w:firstColumn="0" w:lastColumn="0" w:noHBand="0" w:noVBand="0"/>
      </w:tblPr>
      <w:tblGrid>
        <w:gridCol w:w="2744"/>
        <w:gridCol w:w="1106"/>
        <w:gridCol w:w="935"/>
        <w:gridCol w:w="167"/>
        <w:gridCol w:w="971"/>
        <w:gridCol w:w="131"/>
        <w:gridCol w:w="977"/>
        <w:gridCol w:w="125"/>
        <w:gridCol w:w="982"/>
        <w:gridCol w:w="120"/>
        <w:gridCol w:w="1096"/>
      </w:tblGrid>
      <w:tr w:rsidR="004B16B5" w:rsidRPr="00AD0961" w14:paraId="13331984" w14:textId="77777777" w:rsidTr="00AD0961">
        <w:trPr>
          <w:trHeight w:val="658"/>
        </w:trPr>
        <w:tc>
          <w:tcPr>
            <w:tcW w:w="1467" w:type="pct"/>
          </w:tcPr>
          <w:p w14:paraId="0CEBB52C" w14:textId="77777777" w:rsidR="004B16B5" w:rsidRPr="00AD0961" w:rsidRDefault="004B16B5" w:rsidP="003D5BE9">
            <w:pPr>
              <w:tabs>
                <w:tab w:val="right" w:pos="1202"/>
              </w:tabs>
              <w:spacing w:after="0" w:line="240" w:lineRule="atLeast"/>
              <w:outlineLvl w:val="0"/>
              <w:rPr>
                <w:rFonts w:eastAsia="Times New Roman" w:cs="Arial"/>
                <w:b/>
                <w:sz w:val="18"/>
                <w:szCs w:val="18"/>
              </w:rPr>
            </w:pPr>
            <w:r w:rsidRPr="00AD0961">
              <w:rPr>
                <w:rFonts w:eastAsia="Times New Roman" w:cs="Arial"/>
                <w:b/>
                <w:sz w:val="18"/>
                <w:szCs w:val="18"/>
              </w:rPr>
              <w:t>Banka</w:t>
            </w:r>
          </w:p>
          <w:p w14:paraId="49920138" w14:textId="60B2D7ED" w:rsidR="004B16B5" w:rsidRPr="00AD0961" w:rsidRDefault="004B16B5" w:rsidP="00AD0961">
            <w:pPr>
              <w:tabs>
                <w:tab w:val="right" w:pos="1202"/>
              </w:tabs>
              <w:spacing w:after="0" w:line="240" w:lineRule="atLeast"/>
              <w:outlineLvl w:val="0"/>
              <w:rPr>
                <w:rFonts w:eastAsia="Times New Roman" w:cs="Arial"/>
                <w:b/>
                <w:sz w:val="18"/>
                <w:szCs w:val="18"/>
              </w:rPr>
            </w:pPr>
            <w:r w:rsidRPr="00AD0961">
              <w:rPr>
                <w:rFonts w:eastAsia="Times New Roman" w:cs="Arial"/>
                <w:b/>
                <w:sz w:val="18"/>
                <w:szCs w:val="18"/>
              </w:rPr>
              <w:t>31.12.201</w:t>
            </w:r>
            <w:r w:rsidR="00AD0961" w:rsidRPr="00AD0961">
              <w:rPr>
                <w:rFonts w:eastAsia="Times New Roman" w:cs="Arial"/>
                <w:b/>
                <w:sz w:val="18"/>
                <w:szCs w:val="18"/>
              </w:rPr>
              <w:t>6</w:t>
            </w:r>
            <w:r w:rsidRPr="00AD0961">
              <w:rPr>
                <w:rFonts w:eastAsia="Times New Roman" w:cs="Arial"/>
                <w:b/>
                <w:sz w:val="18"/>
                <w:szCs w:val="18"/>
              </w:rPr>
              <w:t>.</w:t>
            </w:r>
          </w:p>
        </w:tc>
        <w:tc>
          <w:tcPr>
            <w:tcW w:w="591" w:type="pct"/>
          </w:tcPr>
          <w:p w14:paraId="0145AFF1" w14:textId="77777777" w:rsidR="004B16B5" w:rsidRPr="00AD0961"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AD0961">
              <w:rPr>
                <w:rFonts w:eastAsia="Times New Roman" w:cs="Arial"/>
                <w:b/>
                <w:sz w:val="18"/>
                <w:szCs w:val="18"/>
              </w:rPr>
              <w:t>Do 1 mjesec</w:t>
            </w:r>
          </w:p>
        </w:tc>
        <w:tc>
          <w:tcPr>
            <w:tcW w:w="589" w:type="pct"/>
            <w:gridSpan w:val="2"/>
          </w:tcPr>
          <w:p w14:paraId="697B67EC" w14:textId="77777777" w:rsidR="004B16B5" w:rsidRPr="00AD0961"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AD0961">
              <w:rPr>
                <w:rFonts w:eastAsia="Times New Roman" w:cs="Arial"/>
                <w:b/>
                <w:sz w:val="18"/>
                <w:szCs w:val="18"/>
              </w:rPr>
              <w:t>1 do 3 mjeseca</w:t>
            </w:r>
          </w:p>
        </w:tc>
        <w:tc>
          <w:tcPr>
            <w:tcW w:w="589" w:type="pct"/>
            <w:gridSpan w:val="2"/>
          </w:tcPr>
          <w:p w14:paraId="3E4EAB7E" w14:textId="77777777" w:rsidR="004B16B5" w:rsidRPr="00AD0961"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AD0961">
              <w:rPr>
                <w:rFonts w:eastAsia="Times New Roman" w:cs="Arial"/>
                <w:b/>
                <w:sz w:val="18"/>
                <w:szCs w:val="18"/>
              </w:rPr>
              <w:t>3 mj. do 1 godine</w:t>
            </w:r>
          </w:p>
        </w:tc>
        <w:tc>
          <w:tcPr>
            <w:tcW w:w="589" w:type="pct"/>
            <w:gridSpan w:val="2"/>
          </w:tcPr>
          <w:p w14:paraId="6B15CF25" w14:textId="77777777" w:rsidR="004B16B5" w:rsidRPr="00AD0961"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AD0961">
              <w:rPr>
                <w:rFonts w:eastAsia="Times New Roman" w:cs="Arial"/>
                <w:b/>
                <w:sz w:val="18"/>
                <w:szCs w:val="18"/>
              </w:rPr>
              <w:t>1 do 3 godina</w:t>
            </w:r>
          </w:p>
        </w:tc>
        <w:tc>
          <w:tcPr>
            <w:tcW w:w="589" w:type="pct"/>
            <w:gridSpan w:val="2"/>
          </w:tcPr>
          <w:p w14:paraId="3EB8BE7F" w14:textId="77777777" w:rsidR="004B16B5" w:rsidRPr="00AD0961"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AD0961">
              <w:rPr>
                <w:rFonts w:eastAsia="Times New Roman" w:cs="Arial"/>
                <w:b/>
                <w:sz w:val="18"/>
                <w:szCs w:val="18"/>
              </w:rPr>
              <w:t>Preko 3 godine</w:t>
            </w:r>
          </w:p>
        </w:tc>
        <w:tc>
          <w:tcPr>
            <w:tcW w:w="586" w:type="pct"/>
          </w:tcPr>
          <w:p w14:paraId="5070D1F2" w14:textId="77777777" w:rsidR="004B16B5" w:rsidRPr="00AD0961" w:rsidRDefault="004B16B5" w:rsidP="003D5BE9">
            <w:pPr>
              <w:tabs>
                <w:tab w:val="right" w:pos="1202"/>
                <w:tab w:val="center" w:pos="4153"/>
                <w:tab w:val="right" w:pos="8306"/>
              </w:tabs>
              <w:spacing w:after="0" w:line="240" w:lineRule="auto"/>
              <w:jc w:val="right"/>
              <w:outlineLvl w:val="0"/>
              <w:rPr>
                <w:rFonts w:eastAsia="Times New Roman" w:cs="Arial"/>
                <w:b/>
                <w:sz w:val="18"/>
                <w:szCs w:val="18"/>
              </w:rPr>
            </w:pPr>
            <w:r w:rsidRPr="00AD0961">
              <w:rPr>
                <w:rFonts w:eastAsia="Times New Roman" w:cs="Arial"/>
                <w:b/>
                <w:sz w:val="18"/>
                <w:szCs w:val="18"/>
              </w:rPr>
              <w:t>Ukupno</w:t>
            </w:r>
          </w:p>
        </w:tc>
      </w:tr>
      <w:tr w:rsidR="004B16B5" w:rsidRPr="00AD0961" w14:paraId="6DCD35F9" w14:textId="77777777" w:rsidTr="00AD0961">
        <w:tc>
          <w:tcPr>
            <w:tcW w:w="1467" w:type="pct"/>
            <w:vAlign w:val="bottom"/>
          </w:tcPr>
          <w:p w14:paraId="2A66A64F" w14:textId="77777777" w:rsidR="004B16B5" w:rsidRPr="00AD0961" w:rsidRDefault="004B16B5" w:rsidP="003D5BE9">
            <w:pPr>
              <w:tabs>
                <w:tab w:val="right" w:pos="1202"/>
              </w:tabs>
              <w:spacing w:after="0" w:line="301" w:lineRule="exact"/>
              <w:outlineLvl w:val="0"/>
              <w:rPr>
                <w:rFonts w:eastAsia="Times New Roman" w:cs="Arial"/>
                <w:b/>
                <w:bCs/>
                <w:sz w:val="18"/>
                <w:szCs w:val="18"/>
              </w:rPr>
            </w:pPr>
            <w:r w:rsidRPr="00AD0961">
              <w:rPr>
                <w:rFonts w:eastAsia="Times New Roman" w:cs="Arial"/>
                <w:b/>
                <w:bCs/>
                <w:sz w:val="18"/>
                <w:szCs w:val="18"/>
              </w:rPr>
              <w:t>Financijske obveze</w:t>
            </w:r>
          </w:p>
        </w:tc>
        <w:tc>
          <w:tcPr>
            <w:tcW w:w="591" w:type="pct"/>
          </w:tcPr>
          <w:p w14:paraId="3F06F7DF" w14:textId="77777777" w:rsidR="004B16B5" w:rsidRPr="00AD0961"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589" w:type="pct"/>
            <w:gridSpan w:val="2"/>
          </w:tcPr>
          <w:p w14:paraId="095FF151" w14:textId="77777777" w:rsidR="004B16B5" w:rsidRPr="00AD0961"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589" w:type="pct"/>
            <w:gridSpan w:val="2"/>
          </w:tcPr>
          <w:p w14:paraId="40B978F5" w14:textId="77777777" w:rsidR="004B16B5" w:rsidRPr="00AD0961"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589" w:type="pct"/>
            <w:gridSpan w:val="2"/>
          </w:tcPr>
          <w:p w14:paraId="26622240" w14:textId="77777777" w:rsidR="004B16B5" w:rsidRPr="00AD0961"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589" w:type="pct"/>
            <w:gridSpan w:val="2"/>
          </w:tcPr>
          <w:p w14:paraId="1DC8C386" w14:textId="77777777" w:rsidR="004B16B5" w:rsidRPr="00AD0961"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c>
          <w:tcPr>
            <w:tcW w:w="586" w:type="pct"/>
          </w:tcPr>
          <w:p w14:paraId="3A01B017" w14:textId="77777777" w:rsidR="004B16B5" w:rsidRPr="00AD0961" w:rsidRDefault="004B16B5" w:rsidP="003D5BE9">
            <w:pPr>
              <w:tabs>
                <w:tab w:val="right" w:pos="1202"/>
                <w:tab w:val="center" w:pos="4153"/>
                <w:tab w:val="right" w:pos="8306"/>
              </w:tabs>
              <w:spacing w:after="0" w:line="301" w:lineRule="exact"/>
              <w:jc w:val="right"/>
              <w:outlineLvl w:val="0"/>
              <w:rPr>
                <w:rFonts w:eastAsia="Times New Roman" w:cs="Arial"/>
                <w:sz w:val="18"/>
                <w:szCs w:val="18"/>
              </w:rPr>
            </w:pPr>
          </w:p>
        </w:tc>
      </w:tr>
      <w:tr w:rsidR="00AD0961" w:rsidRPr="00AD0961" w14:paraId="6DECBB99" w14:textId="77777777" w:rsidTr="00AD0961">
        <w:tc>
          <w:tcPr>
            <w:tcW w:w="1467" w:type="pct"/>
            <w:vAlign w:val="bottom"/>
          </w:tcPr>
          <w:p w14:paraId="749C8691" w14:textId="77777777" w:rsidR="00AD0961" w:rsidRPr="00AD0961" w:rsidRDefault="00AD0961" w:rsidP="00AD0961">
            <w:pPr>
              <w:tabs>
                <w:tab w:val="right" w:pos="1202"/>
              </w:tabs>
              <w:spacing w:after="0" w:line="301" w:lineRule="exact"/>
              <w:outlineLvl w:val="0"/>
              <w:rPr>
                <w:rFonts w:eastAsia="Times New Roman" w:cs="Arial"/>
                <w:sz w:val="18"/>
                <w:szCs w:val="18"/>
              </w:rPr>
            </w:pPr>
            <w:r w:rsidRPr="00AD0961">
              <w:rPr>
                <w:rFonts w:eastAsia="Times New Roman" w:cs="Arial"/>
                <w:spacing w:val="-2"/>
                <w:sz w:val="18"/>
                <w:szCs w:val="18"/>
              </w:rPr>
              <w:t>Obveze po depozitima</w:t>
            </w:r>
          </w:p>
        </w:tc>
        <w:tc>
          <w:tcPr>
            <w:tcW w:w="591" w:type="pct"/>
            <w:tcBorders>
              <w:top w:val="nil"/>
              <w:left w:val="nil"/>
              <w:bottom w:val="nil"/>
              <w:right w:val="nil"/>
            </w:tcBorders>
            <w:shd w:val="clear" w:color="auto" w:fill="auto"/>
            <w:vAlign w:val="bottom"/>
          </w:tcPr>
          <w:p w14:paraId="33E36548" w14:textId="475E4E6F"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75.581</w:t>
            </w:r>
          </w:p>
        </w:tc>
        <w:tc>
          <w:tcPr>
            <w:tcW w:w="589" w:type="pct"/>
            <w:gridSpan w:val="2"/>
            <w:tcBorders>
              <w:top w:val="nil"/>
              <w:left w:val="nil"/>
              <w:bottom w:val="nil"/>
              <w:right w:val="nil"/>
            </w:tcBorders>
            <w:shd w:val="clear" w:color="auto" w:fill="auto"/>
            <w:vAlign w:val="bottom"/>
          </w:tcPr>
          <w:p w14:paraId="35B157B2" w14:textId="30B29CD8"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w:t>
            </w:r>
          </w:p>
        </w:tc>
        <w:tc>
          <w:tcPr>
            <w:tcW w:w="589" w:type="pct"/>
            <w:gridSpan w:val="2"/>
            <w:tcBorders>
              <w:top w:val="nil"/>
              <w:left w:val="nil"/>
              <w:bottom w:val="nil"/>
              <w:right w:val="nil"/>
            </w:tcBorders>
            <w:shd w:val="clear" w:color="auto" w:fill="auto"/>
            <w:vAlign w:val="bottom"/>
          </w:tcPr>
          <w:p w14:paraId="6F7E07A6" w14:textId="2BFF963D"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12.687</w:t>
            </w:r>
          </w:p>
        </w:tc>
        <w:tc>
          <w:tcPr>
            <w:tcW w:w="589" w:type="pct"/>
            <w:gridSpan w:val="2"/>
            <w:tcBorders>
              <w:top w:val="nil"/>
              <w:left w:val="nil"/>
              <w:bottom w:val="nil"/>
              <w:right w:val="nil"/>
            </w:tcBorders>
            <w:shd w:val="clear" w:color="auto" w:fill="auto"/>
            <w:vAlign w:val="bottom"/>
          </w:tcPr>
          <w:p w14:paraId="50F87027" w14:textId="5A20C097"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46.407</w:t>
            </w:r>
          </w:p>
        </w:tc>
        <w:tc>
          <w:tcPr>
            <w:tcW w:w="589" w:type="pct"/>
            <w:gridSpan w:val="2"/>
            <w:tcBorders>
              <w:top w:val="nil"/>
              <w:left w:val="nil"/>
              <w:bottom w:val="nil"/>
              <w:right w:val="nil"/>
            </w:tcBorders>
            <w:shd w:val="clear" w:color="auto" w:fill="auto"/>
            <w:vAlign w:val="bottom"/>
          </w:tcPr>
          <w:p w14:paraId="65F363F4" w14:textId="6C9210DA"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8.169</w:t>
            </w:r>
          </w:p>
        </w:tc>
        <w:tc>
          <w:tcPr>
            <w:tcW w:w="586" w:type="pct"/>
            <w:tcBorders>
              <w:top w:val="nil"/>
              <w:left w:val="nil"/>
              <w:bottom w:val="nil"/>
              <w:right w:val="nil"/>
            </w:tcBorders>
            <w:shd w:val="clear" w:color="auto" w:fill="auto"/>
            <w:vAlign w:val="bottom"/>
          </w:tcPr>
          <w:p w14:paraId="454E7509" w14:textId="433B3057"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bCs/>
                <w:sz w:val="18"/>
                <w:szCs w:val="18"/>
              </w:rPr>
              <w:t>142.844</w:t>
            </w:r>
          </w:p>
        </w:tc>
      </w:tr>
      <w:tr w:rsidR="00AD0961" w:rsidRPr="00AD0961" w14:paraId="475B3E54" w14:textId="77777777" w:rsidTr="00AD0961">
        <w:tc>
          <w:tcPr>
            <w:tcW w:w="1467" w:type="pct"/>
            <w:vAlign w:val="bottom"/>
          </w:tcPr>
          <w:p w14:paraId="2DE5DAEA" w14:textId="77777777" w:rsidR="00AD0961" w:rsidRPr="00AD0961" w:rsidRDefault="00AD0961" w:rsidP="00AD0961">
            <w:pPr>
              <w:tabs>
                <w:tab w:val="right" w:pos="1202"/>
              </w:tabs>
              <w:spacing w:after="0" w:line="301" w:lineRule="exact"/>
              <w:outlineLvl w:val="0"/>
              <w:rPr>
                <w:rFonts w:eastAsia="Times New Roman" w:cs="Arial"/>
                <w:sz w:val="18"/>
                <w:szCs w:val="18"/>
              </w:rPr>
            </w:pPr>
            <w:r w:rsidRPr="00AD0961">
              <w:rPr>
                <w:rFonts w:eastAsia="Times New Roman" w:cs="Arial"/>
                <w:spacing w:val="-2"/>
                <w:sz w:val="18"/>
                <w:szCs w:val="18"/>
              </w:rPr>
              <w:t>Obveze po kreditima</w:t>
            </w:r>
          </w:p>
        </w:tc>
        <w:tc>
          <w:tcPr>
            <w:tcW w:w="591" w:type="pct"/>
            <w:tcBorders>
              <w:top w:val="nil"/>
              <w:left w:val="nil"/>
              <w:bottom w:val="nil"/>
              <w:right w:val="nil"/>
            </w:tcBorders>
            <w:shd w:val="clear" w:color="auto" w:fill="auto"/>
            <w:vAlign w:val="bottom"/>
          </w:tcPr>
          <w:p w14:paraId="660C0013" w14:textId="182B6210"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382.184</w:t>
            </w:r>
          </w:p>
        </w:tc>
        <w:tc>
          <w:tcPr>
            <w:tcW w:w="589" w:type="pct"/>
            <w:gridSpan w:val="2"/>
            <w:tcBorders>
              <w:top w:val="nil"/>
              <w:left w:val="nil"/>
              <w:bottom w:val="nil"/>
              <w:right w:val="nil"/>
            </w:tcBorders>
            <w:shd w:val="clear" w:color="auto" w:fill="auto"/>
            <w:vAlign w:val="bottom"/>
          </w:tcPr>
          <w:p w14:paraId="756BB429" w14:textId="4CB10FAF"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208.630</w:t>
            </w:r>
          </w:p>
        </w:tc>
        <w:tc>
          <w:tcPr>
            <w:tcW w:w="589" w:type="pct"/>
            <w:gridSpan w:val="2"/>
            <w:tcBorders>
              <w:top w:val="nil"/>
              <w:left w:val="nil"/>
              <w:bottom w:val="nil"/>
              <w:right w:val="nil"/>
            </w:tcBorders>
            <w:shd w:val="clear" w:color="auto" w:fill="auto"/>
            <w:vAlign w:val="bottom"/>
          </w:tcPr>
          <w:p w14:paraId="3FEB923D" w14:textId="65C53BD7"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1.261.178</w:t>
            </w:r>
          </w:p>
        </w:tc>
        <w:tc>
          <w:tcPr>
            <w:tcW w:w="589" w:type="pct"/>
            <w:gridSpan w:val="2"/>
            <w:tcBorders>
              <w:top w:val="nil"/>
              <w:left w:val="nil"/>
              <w:bottom w:val="nil"/>
              <w:right w:val="nil"/>
            </w:tcBorders>
            <w:shd w:val="clear" w:color="auto" w:fill="auto"/>
            <w:vAlign w:val="bottom"/>
          </w:tcPr>
          <w:p w14:paraId="4B56060D" w14:textId="38AB059B"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3.598.035</w:t>
            </w:r>
          </w:p>
        </w:tc>
        <w:tc>
          <w:tcPr>
            <w:tcW w:w="589" w:type="pct"/>
            <w:gridSpan w:val="2"/>
            <w:tcBorders>
              <w:top w:val="nil"/>
              <w:left w:val="nil"/>
              <w:bottom w:val="nil"/>
              <w:right w:val="nil"/>
            </w:tcBorders>
            <w:shd w:val="clear" w:color="auto" w:fill="auto"/>
            <w:vAlign w:val="bottom"/>
          </w:tcPr>
          <w:p w14:paraId="3E32FD09" w14:textId="4EE40B8D"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9.694.025</w:t>
            </w:r>
          </w:p>
        </w:tc>
        <w:tc>
          <w:tcPr>
            <w:tcW w:w="586" w:type="pct"/>
            <w:tcBorders>
              <w:top w:val="nil"/>
              <w:left w:val="nil"/>
              <w:bottom w:val="nil"/>
              <w:right w:val="nil"/>
            </w:tcBorders>
            <w:shd w:val="clear" w:color="auto" w:fill="auto"/>
            <w:vAlign w:val="bottom"/>
          </w:tcPr>
          <w:p w14:paraId="452213B7" w14:textId="07250356"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bCs/>
                <w:sz w:val="18"/>
                <w:szCs w:val="18"/>
              </w:rPr>
              <w:t>15.144.052</w:t>
            </w:r>
          </w:p>
        </w:tc>
      </w:tr>
      <w:tr w:rsidR="00AD0961" w:rsidRPr="00AD0961" w14:paraId="74C7A2FD" w14:textId="77777777" w:rsidTr="00AD0961">
        <w:tc>
          <w:tcPr>
            <w:tcW w:w="1467" w:type="pct"/>
            <w:vAlign w:val="bottom"/>
          </w:tcPr>
          <w:p w14:paraId="1272F71B" w14:textId="77777777" w:rsidR="00AD0961" w:rsidRPr="00AD0961" w:rsidRDefault="00AD0961" w:rsidP="00AD0961">
            <w:pPr>
              <w:tabs>
                <w:tab w:val="right" w:pos="1202"/>
              </w:tabs>
              <w:spacing w:after="0" w:line="301" w:lineRule="exact"/>
              <w:outlineLvl w:val="0"/>
              <w:rPr>
                <w:rFonts w:eastAsia="Times New Roman" w:cs="Arial"/>
                <w:sz w:val="18"/>
                <w:szCs w:val="18"/>
              </w:rPr>
            </w:pPr>
            <w:r w:rsidRPr="00AD0961">
              <w:rPr>
                <w:rFonts w:eastAsia="Times New Roman" w:cs="Arial"/>
                <w:spacing w:val="-2"/>
                <w:sz w:val="18"/>
                <w:szCs w:val="18"/>
              </w:rPr>
              <w:t>Obveze za izdane dugoročne vrijednosne papire</w:t>
            </w:r>
          </w:p>
        </w:tc>
        <w:tc>
          <w:tcPr>
            <w:tcW w:w="591" w:type="pct"/>
            <w:tcBorders>
              <w:top w:val="nil"/>
              <w:left w:val="nil"/>
              <w:right w:val="nil"/>
            </w:tcBorders>
            <w:shd w:val="clear" w:color="auto" w:fill="auto"/>
            <w:vAlign w:val="bottom"/>
          </w:tcPr>
          <w:p w14:paraId="5F7E9170" w14:textId="6DB609BA"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w:t>
            </w:r>
          </w:p>
        </w:tc>
        <w:tc>
          <w:tcPr>
            <w:tcW w:w="589" w:type="pct"/>
            <w:gridSpan w:val="2"/>
            <w:tcBorders>
              <w:top w:val="nil"/>
              <w:left w:val="nil"/>
              <w:right w:val="nil"/>
            </w:tcBorders>
            <w:shd w:val="clear" w:color="auto" w:fill="auto"/>
            <w:vAlign w:val="bottom"/>
          </w:tcPr>
          <w:p w14:paraId="159E4C3C" w14:textId="471D4F5E"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w:t>
            </w:r>
          </w:p>
        </w:tc>
        <w:tc>
          <w:tcPr>
            <w:tcW w:w="589" w:type="pct"/>
            <w:gridSpan w:val="2"/>
            <w:tcBorders>
              <w:top w:val="nil"/>
              <w:left w:val="nil"/>
              <w:right w:val="nil"/>
            </w:tcBorders>
            <w:shd w:val="clear" w:color="auto" w:fill="auto"/>
            <w:vAlign w:val="bottom"/>
          </w:tcPr>
          <w:p w14:paraId="74DF4567" w14:textId="5D8698AF"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2.051.330</w:t>
            </w:r>
          </w:p>
        </w:tc>
        <w:tc>
          <w:tcPr>
            <w:tcW w:w="589" w:type="pct"/>
            <w:gridSpan w:val="2"/>
            <w:tcBorders>
              <w:top w:val="nil"/>
              <w:left w:val="nil"/>
              <w:right w:val="nil"/>
            </w:tcBorders>
            <w:shd w:val="clear" w:color="auto" w:fill="auto"/>
            <w:vAlign w:val="bottom"/>
          </w:tcPr>
          <w:p w14:paraId="347675AF" w14:textId="7D478DAC"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136.040</w:t>
            </w:r>
          </w:p>
        </w:tc>
        <w:tc>
          <w:tcPr>
            <w:tcW w:w="589" w:type="pct"/>
            <w:gridSpan w:val="2"/>
            <w:tcBorders>
              <w:top w:val="nil"/>
              <w:left w:val="nil"/>
              <w:right w:val="nil"/>
            </w:tcBorders>
            <w:shd w:val="clear" w:color="auto" w:fill="auto"/>
            <w:vAlign w:val="bottom"/>
          </w:tcPr>
          <w:p w14:paraId="3F8D7864" w14:textId="1BF65F8D"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sz w:val="18"/>
                <w:szCs w:val="18"/>
              </w:rPr>
              <w:t>1.188.820</w:t>
            </w:r>
          </w:p>
        </w:tc>
        <w:tc>
          <w:tcPr>
            <w:tcW w:w="586" w:type="pct"/>
            <w:tcBorders>
              <w:top w:val="nil"/>
              <w:left w:val="nil"/>
              <w:right w:val="nil"/>
            </w:tcBorders>
            <w:shd w:val="clear" w:color="auto" w:fill="auto"/>
            <w:vAlign w:val="bottom"/>
          </w:tcPr>
          <w:p w14:paraId="3150688C" w14:textId="3699D2E6" w:rsidR="00AD0961" w:rsidRPr="00AD0961" w:rsidRDefault="00AD0961" w:rsidP="00AD0961">
            <w:pPr>
              <w:keepNext/>
              <w:keepLines/>
              <w:tabs>
                <w:tab w:val="decimal" w:pos="1202"/>
                <w:tab w:val="center" w:pos="4153"/>
                <w:tab w:val="right" w:pos="8306"/>
              </w:tabs>
              <w:spacing w:after="0" w:line="301" w:lineRule="exact"/>
              <w:jc w:val="right"/>
              <w:rPr>
                <w:rFonts w:eastAsia="Times New Roman" w:cs="Arial"/>
                <w:position w:val="4"/>
                <w:sz w:val="18"/>
                <w:szCs w:val="18"/>
              </w:rPr>
            </w:pPr>
            <w:r w:rsidRPr="00AD0961">
              <w:rPr>
                <w:rFonts w:cs="Arial"/>
                <w:bCs/>
                <w:sz w:val="18"/>
                <w:szCs w:val="18"/>
              </w:rPr>
              <w:t>3.376.190</w:t>
            </w:r>
          </w:p>
        </w:tc>
      </w:tr>
      <w:tr w:rsidR="00AD0961" w:rsidRPr="00AD0961" w14:paraId="74ECEF0F" w14:textId="77777777" w:rsidTr="00AD0961">
        <w:tc>
          <w:tcPr>
            <w:tcW w:w="1467" w:type="pct"/>
            <w:vAlign w:val="bottom"/>
          </w:tcPr>
          <w:p w14:paraId="29C4C5D6" w14:textId="77777777" w:rsidR="00AD0961" w:rsidRPr="00AD0961" w:rsidRDefault="00AD0961" w:rsidP="00AD0961">
            <w:pPr>
              <w:tabs>
                <w:tab w:val="right" w:pos="1202"/>
              </w:tabs>
              <w:spacing w:after="0" w:line="301" w:lineRule="exact"/>
              <w:outlineLvl w:val="0"/>
              <w:rPr>
                <w:rFonts w:eastAsia="Times New Roman" w:cs="Arial"/>
                <w:sz w:val="18"/>
                <w:szCs w:val="18"/>
              </w:rPr>
            </w:pPr>
            <w:r w:rsidRPr="00AD0961">
              <w:rPr>
                <w:rFonts w:eastAsia="Times New Roman" w:cs="Arial"/>
                <w:spacing w:val="-2"/>
                <w:sz w:val="18"/>
                <w:szCs w:val="18"/>
              </w:rPr>
              <w:t>Ostale obveze</w:t>
            </w:r>
          </w:p>
        </w:tc>
        <w:tc>
          <w:tcPr>
            <w:tcW w:w="591" w:type="pct"/>
            <w:tcBorders>
              <w:top w:val="nil"/>
              <w:left w:val="nil"/>
              <w:bottom w:val="nil"/>
              <w:right w:val="nil"/>
            </w:tcBorders>
            <w:shd w:val="clear" w:color="auto" w:fill="auto"/>
            <w:vAlign w:val="bottom"/>
          </w:tcPr>
          <w:p w14:paraId="7CE67B61" w14:textId="1A6ACE2C" w:rsidR="00AD0961" w:rsidRPr="00AD0961" w:rsidRDefault="00AD0961" w:rsidP="00AD0961">
            <w:pPr>
              <w:tabs>
                <w:tab w:val="right" w:pos="1202"/>
                <w:tab w:val="center" w:pos="4153"/>
                <w:tab w:val="right" w:pos="8306"/>
              </w:tabs>
              <w:spacing w:after="0" w:line="301" w:lineRule="exact"/>
              <w:jc w:val="right"/>
              <w:outlineLvl w:val="0"/>
              <w:rPr>
                <w:rFonts w:eastAsia="Times New Roman" w:cs="Arial"/>
                <w:sz w:val="18"/>
                <w:szCs w:val="18"/>
              </w:rPr>
            </w:pPr>
            <w:r w:rsidRPr="00AD0961">
              <w:rPr>
                <w:color w:val="000000"/>
                <w:sz w:val="18"/>
                <w:szCs w:val="18"/>
              </w:rPr>
              <w:t>150.555</w:t>
            </w:r>
          </w:p>
        </w:tc>
        <w:tc>
          <w:tcPr>
            <w:tcW w:w="589" w:type="pct"/>
            <w:gridSpan w:val="2"/>
            <w:tcBorders>
              <w:top w:val="nil"/>
              <w:left w:val="nil"/>
              <w:bottom w:val="nil"/>
              <w:right w:val="nil"/>
            </w:tcBorders>
            <w:shd w:val="clear" w:color="auto" w:fill="auto"/>
            <w:vAlign w:val="bottom"/>
          </w:tcPr>
          <w:p w14:paraId="311833DF" w14:textId="1B567976" w:rsidR="00AD0961" w:rsidRPr="00AD0961" w:rsidRDefault="00AD0961" w:rsidP="00AD0961">
            <w:pPr>
              <w:tabs>
                <w:tab w:val="right" w:pos="1202"/>
                <w:tab w:val="center" w:pos="4153"/>
                <w:tab w:val="right" w:pos="8306"/>
              </w:tabs>
              <w:spacing w:after="0" w:line="301" w:lineRule="exact"/>
              <w:jc w:val="right"/>
              <w:outlineLvl w:val="0"/>
              <w:rPr>
                <w:rFonts w:eastAsia="Times New Roman" w:cs="Arial"/>
                <w:sz w:val="18"/>
                <w:szCs w:val="18"/>
              </w:rPr>
            </w:pPr>
            <w:r w:rsidRPr="00AD0961">
              <w:rPr>
                <w:color w:val="000000"/>
                <w:sz w:val="18"/>
                <w:szCs w:val="18"/>
              </w:rPr>
              <w:t>28.649</w:t>
            </w:r>
          </w:p>
        </w:tc>
        <w:tc>
          <w:tcPr>
            <w:tcW w:w="589" w:type="pct"/>
            <w:gridSpan w:val="2"/>
            <w:tcBorders>
              <w:top w:val="nil"/>
              <w:left w:val="nil"/>
              <w:bottom w:val="nil"/>
              <w:right w:val="nil"/>
            </w:tcBorders>
            <w:shd w:val="clear" w:color="auto" w:fill="auto"/>
            <w:vAlign w:val="bottom"/>
          </w:tcPr>
          <w:p w14:paraId="088AC0C4" w14:textId="0D037B7B" w:rsidR="00AD0961" w:rsidRPr="00AD0961" w:rsidRDefault="00AD0961" w:rsidP="00AD0961">
            <w:pPr>
              <w:tabs>
                <w:tab w:val="right" w:pos="1202"/>
                <w:tab w:val="center" w:pos="4153"/>
                <w:tab w:val="right" w:pos="8306"/>
              </w:tabs>
              <w:spacing w:after="0" w:line="301" w:lineRule="exact"/>
              <w:jc w:val="right"/>
              <w:outlineLvl w:val="0"/>
              <w:rPr>
                <w:rFonts w:eastAsia="Times New Roman" w:cs="Arial"/>
                <w:sz w:val="18"/>
                <w:szCs w:val="18"/>
              </w:rPr>
            </w:pPr>
            <w:r w:rsidRPr="00AD0961">
              <w:rPr>
                <w:color w:val="000000"/>
                <w:sz w:val="18"/>
                <w:szCs w:val="18"/>
              </w:rPr>
              <w:t>100.528</w:t>
            </w:r>
          </w:p>
        </w:tc>
        <w:tc>
          <w:tcPr>
            <w:tcW w:w="589" w:type="pct"/>
            <w:gridSpan w:val="2"/>
            <w:tcBorders>
              <w:top w:val="nil"/>
              <w:left w:val="nil"/>
              <w:bottom w:val="nil"/>
              <w:right w:val="nil"/>
            </w:tcBorders>
            <w:shd w:val="clear" w:color="auto" w:fill="auto"/>
            <w:vAlign w:val="bottom"/>
          </w:tcPr>
          <w:p w14:paraId="4E11CF02" w14:textId="23188225" w:rsidR="00AD0961" w:rsidRPr="00AD0961" w:rsidRDefault="00AD0961" w:rsidP="00AD0961">
            <w:pPr>
              <w:tabs>
                <w:tab w:val="right" w:pos="1202"/>
                <w:tab w:val="center" w:pos="4153"/>
                <w:tab w:val="right" w:pos="8306"/>
              </w:tabs>
              <w:spacing w:after="0" w:line="301" w:lineRule="exact"/>
              <w:jc w:val="right"/>
              <w:outlineLvl w:val="0"/>
              <w:rPr>
                <w:rFonts w:eastAsia="Times New Roman" w:cs="Arial"/>
                <w:sz w:val="18"/>
                <w:szCs w:val="18"/>
              </w:rPr>
            </w:pPr>
            <w:r w:rsidRPr="00AD0961">
              <w:rPr>
                <w:color w:val="000000"/>
                <w:sz w:val="18"/>
                <w:szCs w:val="18"/>
              </w:rPr>
              <w:t>188.186</w:t>
            </w:r>
          </w:p>
        </w:tc>
        <w:tc>
          <w:tcPr>
            <w:tcW w:w="589" w:type="pct"/>
            <w:gridSpan w:val="2"/>
            <w:tcBorders>
              <w:top w:val="nil"/>
              <w:left w:val="nil"/>
              <w:bottom w:val="nil"/>
              <w:right w:val="nil"/>
            </w:tcBorders>
            <w:shd w:val="clear" w:color="auto" w:fill="auto"/>
            <w:vAlign w:val="bottom"/>
          </w:tcPr>
          <w:p w14:paraId="1C3F5539" w14:textId="4EDFCBA1" w:rsidR="00AD0961" w:rsidRPr="00AD0961" w:rsidRDefault="00AD0961" w:rsidP="00AD0961">
            <w:pPr>
              <w:tabs>
                <w:tab w:val="right" w:pos="1202"/>
                <w:tab w:val="center" w:pos="4153"/>
                <w:tab w:val="right" w:pos="8306"/>
              </w:tabs>
              <w:spacing w:after="0" w:line="301" w:lineRule="exact"/>
              <w:jc w:val="right"/>
              <w:outlineLvl w:val="0"/>
              <w:rPr>
                <w:rFonts w:eastAsia="Times New Roman" w:cs="Arial"/>
                <w:sz w:val="18"/>
                <w:szCs w:val="18"/>
              </w:rPr>
            </w:pPr>
            <w:r w:rsidRPr="00AD0961">
              <w:rPr>
                <w:color w:val="000000"/>
                <w:sz w:val="18"/>
                <w:szCs w:val="18"/>
              </w:rPr>
              <w:t>228.856</w:t>
            </w:r>
          </w:p>
        </w:tc>
        <w:tc>
          <w:tcPr>
            <w:tcW w:w="586" w:type="pct"/>
            <w:tcBorders>
              <w:top w:val="nil"/>
              <w:left w:val="nil"/>
              <w:bottom w:val="nil"/>
              <w:right w:val="nil"/>
            </w:tcBorders>
            <w:shd w:val="clear" w:color="auto" w:fill="auto"/>
            <w:vAlign w:val="bottom"/>
          </w:tcPr>
          <w:p w14:paraId="44B528D9" w14:textId="13D173CE" w:rsidR="00AD0961" w:rsidRPr="00AD0961" w:rsidRDefault="00AD0961" w:rsidP="00AD0961">
            <w:pPr>
              <w:tabs>
                <w:tab w:val="right" w:pos="1202"/>
                <w:tab w:val="center" w:pos="4153"/>
                <w:tab w:val="right" w:pos="8306"/>
              </w:tabs>
              <w:spacing w:after="0" w:line="301" w:lineRule="exact"/>
              <w:jc w:val="right"/>
              <w:outlineLvl w:val="0"/>
              <w:rPr>
                <w:rFonts w:eastAsia="Times New Roman" w:cs="Arial"/>
                <w:sz w:val="18"/>
                <w:szCs w:val="18"/>
              </w:rPr>
            </w:pPr>
            <w:r w:rsidRPr="00AD0961">
              <w:rPr>
                <w:bCs/>
                <w:color w:val="000000"/>
                <w:sz w:val="18"/>
                <w:szCs w:val="18"/>
              </w:rPr>
              <w:t>696.774</w:t>
            </w:r>
          </w:p>
        </w:tc>
      </w:tr>
      <w:tr w:rsidR="004B16B5" w:rsidRPr="00AD0961" w14:paraId="7E430042" w14:textId="77777777" w:rsidTr="00AD0961">
        <w:tc>
          <w:tcPr>
            <w:tcW w:w="1467" w:type="pct"/>
            <w:vAlign w:val="bottom"/>
          </w:tcPr>
          <w:p w14:paraId="409C17AC" w14:textId="77777777" w:rsidR="004B16B5" w:rsidRPr="00AD0961" w:rsidRDefault="004B16B5" w:rsidP="003D5BE9">
            <w:pPr>
              <w:tabs>
                <w:tab w:val="right" w:pos="1202"/>
              </w:tabs>
              <w:spacing w:after="0" w:line="140" w:lineRule="exact"/>
              <w:outlineLvl w:val="0"/>
              <w:rPr>
                <w:rFonts w:eastAsia="Times New Roman" w:cs="Arial"/>
                <w:spacing w:val="-2"/>
                <w:sz w:val="18"/>
                <w:szCs w:val="18"/>
              </w:rPr>
            </w:pPr>
          </w:p>
        </w:tc>
        <w:tc>
          <w:tcPr>
            <w:tcW w:w="591" w:type="pct"/>
            <w:tcBorders>
              <w:bottom w:val="single" w:sz="4" w:space="0" w:color="auto"/>
            </w:tcBorders>
          </w:tcPr>
          <w:p w14:paraId="3F44F9D3"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2"/>
            <w:tcBorders>
              <w:bottom w:val="single" w:sz="4" w:space="0" w:color="auto"/>
            </w:tcBorders>
          </w:tcPr>
          <w:p w14:paraId="5430F369"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2"/>
            <w:tcBorders>
              <w:bottom w:val="single" w:sz="4" w:space="0" w:color="auto"/>
            </w:tcBorders>
          </w:tcPr>
          <w:p w14:paraId="74F6E23A"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2"/>
            <w:tcBorders>
              <w:bottom w:val="single" w:sz="4" w:space="0" w:color="auto"/>
            </w:tcBorders>
          </w:tcPr>
          <w:p w14:paraId="3E51B82B"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2"/>
            <w:tcBorders>
              <w:bottom w:val="single" w:sz="4" w:space="0" w:color="auto"/>
            </w:tcBorders>
          </w:tcPr>
          <w:p w14:paraId="60130F14"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86" w:type="pct"/>
            <w:tcBorders>
              <w:bottom w:val="single" w:sz="4" w:space="0" w:color="auto"/>
            </w:tcBorders>
          </w:tcPr>
          <w:p w14:paraId="56365AB7"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r>
      <w:tr w:rsidR="004B16B5" w:rsidRPr="00AD0961" w14:paraId="67C969DA" w14:textId="77777777" w:rsidTr="00AD0961">
        <w:tc>
          <w:tcPr>
            <w:tcW w:w="1467" w:type="pct"/>
            <w:vAlign w:val="bottom"/>
          </w:tcPr>
          <w:p w14:paraId="6B6DE5C0" w14:textId="77777777" w:rsidR="004B16B5" w:rsidRPr="00AD0961" w:rsidRDefault="004B16B5" w:rsidP="003D5BE9">
            <w:pPr>
              <w:tabs>
                <w:tab w:val="right" w:pos="1202"/>
              </w:tabs>
              <w:spacing w:after="0" w:line="140" w:lineRule="exact"/>
              <w:outlineLvl w:val="0"/>
              <w:rPr>
                <w:rFonts w:eastAsia="Times New Roman" w:cs="Arial"/>
                <w:spacing w:val="-2"/>
                <w:sz w:val="18"/>
                <w:szCs w:val="18"/>
              </w:rPr>
            </w:pPr>
          </w:p>
        </w:tc>
        <w:tc>
          <w:tcPr>
            <w:tcW w:w="591" w:type="pct"/>
            <w:tcBorders>
              <w:top w:val="single" w:sz="4" w:space="0" w:color="auto"/>
            </w:tcBorders>
            <w:vAlign w:val="bottom"/>
          </w:tcPr>
          <w:p w14:paraId="7213E7AA"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2"/>
            <w:tcBorders>
              <w:top w:val="single" w:sz="4" w:space="0" w:color="auto"/>
            </w:tcBorders>
            <w:vAlign w:val="bottom"/>
          </w:tcPr>
          <w:p w14:paraId="00AB5AC6"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2"/>
            <w:tcBorders>
              <w:top w:val="single" w:sz="4" w:space="0" w:color="auto"/>
            </w:tcBorders>
            <w:vAlign w:val="bottom"/>
          </w:tcPr>
          <w:p w14:paraId="48C614B4"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2"/>
            <w:tcBorders>
              <w:top w:val="single" w:sz="4" w:space="0" w:color="auto"/>
            </w:tcBorders>
            <w:vAlign w:val="bottom"/>
          </w:tcPr>
          <w:p w14:paraId="72150EC3"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89" w:type="pct"/>
            <w:gridSpan w:val="2"/>
            <w:tcBorders>
              <w:top w:val="single" w:sz="4" w:space="0" w:color="auto"/>
            </w:tcBorders>
            <w:vAlign w:val="bottom"/>
          </w:tcPr>
          <w:p w14:paraId="2CE43E2F"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c>
          <w:tcPr>
            <w:tcW w:w="586" w:type="pct"/>
            <w:tcBorders>
              <w:top w:val="single" w:sz="4" w:space="0" w:color="auto"/>
            </w:tcBorders>
            <w:vAlign w:val="bottom"/>
          </w:tcPr>
          <w:p w14:paraId="4B3267EA" w14:textId="77777777" w:rsidR="004B16B5" w:rsidRPr="00AD0961" w:rsidRDefault="004B16B5" w:rsidP="003D5BE9">
            <w:pPr>
              <w:tabs>
                <w:tab w:val="right" w:pos="1202"/>
                <w:tab w:val="center" w:pos="4153"/>
                <w:tab w:val="right" w:pos="8306"/>
              </w:tabs>
              <w:spacing w:after="0" w:line="140" w:lineRule="exact"/>
              <w:jc w:val="right"/>
              <w:outlineLvl w:val="0"/>
              <w:rPr>
                <w:rFonts w:eastAsia="Times New Roman" w:cs="Arial"/>
                <w:sz w:val="18"/>
                <w:szCs w:val="18"/>
              </w:rPr>
            </w:pPr>
          </w:p>
        </w:tc>
      </w:tr>
      <w:tr w:rsidR="00AD0961" w:rsidRPr="00AD0961" w14:paraId="1C6D85EB" w14:textId="77777777" w:rsidTr="00AD0961">
        <w:tc>
          <w:tcPr>
            <w:tcW w:w="1467" w:type="pct"/>
            <w:vAlign w:val="bottom"/>
          </w:tcPr>
          <w:p w14:paraId="34EEB4FA" w14:textId="77777777" w:rsidR="00AD0961" w:rsidRPr="00AD0961" w:rsidRDefault="00AD0961" w:rsidP="00AD0961">
            <w:pPr>
              <w:tabs>
                <w:tab w:val="right" w:pos="1202"/>
              </w:tabs>
              <w:spacing w:after="0" w:line="340" w:lineRule="exact"/>
              <w:outlineLvl w:val="0"/>
              <w:rPr>
                <w:rFonts w:eastAsia="Times New Roman" w:cs="Arial"/>
                <w:b/>
                <w:bCs/>
                <w:sz w:val="18"/>
                <w:szCs w:val="18"/>
              </w:rPr>
            </w:pPr>
            <w:r w:rsidRPr="00AD0961">
              <w:rPr>
                <w:rFonts w:eastAsia="Times New Roman" w:cs="Arial"/>
                <w:b/>
                <w:bCs/>
                <w:sz w:val="18"/>
                <w:szCs w:val="18"/>
              </w:rPr>
              <w:t>Ukupno</w:t>
            </w:r>
          </w:p>
        </w:tc>
        <w:tc>
          <w:tcPr>
            <w:tcW w:w="591" w:type="pct"/>
            <w:tcBorders>
              <w:top w:val="nil"/>
              <w:left w:val="nil"/>
              <w:bottom w:val="single" w:sz="12" w:space="0" w:color="auto"/>
              <w:right w:val="nil"/>
            </w:tcBorders>
            <w:shd w:val="clear" w:color="auto" w:fill="auto"/>
            <w:vAlign w:val="center"/>
          </w:tcPr>
          <w:p w14:paraId="44A19A0F" w14:textId="175E3F3D" w:rsidR="00AD0961" w:rsidRPr="00AD0961" w:rsidRDefault="00AD0961" w:rsidP="00AD0961">
            <w:pPr>
              <w:tabs>
                <w:tab w:val="right" w:pos="1202"/>
              </w:tabs>
              <w:spacing w:after="0" w:line="340" w:lineRule="exact"/>
              <w:jc w:val="right"/>
              <w:outlineLvl w:val="0"/>
              <w:rPr>
                <w:rFonts w:eastAsia="Times New Roman" w:cs="Times New Roman"/>
                <w:b/>
                <w:bCs/>
                <w:sz w:val="18"/>
                <w:szCs w:val="18"/>
              </w:rPr>
            </w:pPr>
            <w:r w:rsidRPr="00AD0961">
              <w:rPr>
                <w:rFonts w:cs="Arial"/>
                <w:b/>
                <w:bCs/>
                <w:color w:val="000000"/>
                <w:sz w:val="18"/>
                <w:szCs w:val="18"/>
              </w:rPr>
              <w:t>608.320</w:t>
            </w:r>
          </w:p>
        </w:tc>
        <w:tc>
          <w:tcPr>
            <w:tcW w:w="589" w:type="pct"/>
            <w:gridSpan w:val="2"/>
            <w:tcBorders>
              <w:top w:val="nil"/>
              <w:left w:val="nil"/>
              <w:bottom w:val="single" w:sz="12" w:space="0" w:color="auto"/>
              <w:right w:val="nil"/>
            </w:tcBorders>
            <w:shd w:val="clear" w:color="auto" w:fill="auto"/>
            <w:vAlign w:val="center"/>
          </w:tcPr>
          <w:p w14:paraId="06A016FB" w14:textId="208BF95A" w:rsidR="00AD0961" w:rsidRPr="00AD0961" w:rsidRDefault="00AD0961" w:rsidP="00AD0961">
            <w:pPr>
              <w:tabs>
                <w:tab w:val="right" w:pos="1202"/>
              </w:tabs>
              <w:spacing w:after="0" w:line="340" w:lineRule="exact"/>
              <w:jc w:val="right"/>
              <w:outlineLvl w:val="0"/>
              <w:rPr>
                <w:rFonts w:eastAsia="Times New Roman" w:cs="Times New Roman"/>
                <w:b/>
                <w:bCs/>
                <w:sz w:val="18"/>
                <w:szCs w:val="18"/>
              </w:rPr>
            </w:pPr>
            <w:r w:rsidRPr="00AD0961">
              <w:rPr>
                <w:rFonts w:cs="Arial"/>
                <w:b/>
                <w:bCs/>
                <w:color w:val="000000"/>
                <w:sz w:val="18"/>
                <w:szCs w:val="18"/>
              </w:rPr>
              <w:t>237.279</w:t>
            </w:r>
          </w:p>
        </w:tc>
        <w:tc>
          <w:tcPr>
            <w:tcW w:w="589" w:type="pct"/>
            <w:gridSpan w:val="2"/>
            <w:tcBorders>
              <w:top w:val="nil"/>
              <w:left w:val="nil"/>
              <w:bottom w:val="single" w:sz="12" w:space="0" w:color="auto"/>
              <w:right w:val="nil"/>
            </w:tcBorders>
            <w:shd w:val="clear" w:color="auto" w:fill="auto"/>
            <w:vAlign w:val="center"/>
          </w:tcPr>
          <w:p w14:paraId="469E5361" w14:textId="04F63DB1" w:rsidR="00AD0961" w:rsidRPr="00AD0961" w:rsidRDefault="00AD0961" w:rsidP="00AD0961">
            <w:pPr>
              <w:tabs>
                <w:tab w:val="right" w:pos="1202"/>
              </w:tabs>
              <w:spacing w:after="0" w:line="340" w:lineRule="exact"/>
              <w:jc w:val="right"/>
              <w:outlineLvl w:val="0"/>
              <w:rPr>
                <w:rFonts w:eastAsia="Times New Roman" w:cs="Times New Roman"/>
                <w:b/>
                <w:bCs/>
                <w:sz w:val="18"/>
                <w:szCs w:val="18"/>
              </w:rPr>
            </w:pPr>
            <w:r w:rsidRPr="00AD0961">
              <w:rPr>
                <w:rFonts w:cs="Arial"/>
                <w:b/>
                <w:bCs/>
                <w:color w:val="000000"/>
                <w:sz w:val="18"/>
                <w:szCs w:val="18"/>
              </w:rPr>
              <w:t>3.425.723</w:t>
            </w:r>
          </w:p>
        </w:tc>
        <w:tc>
          <w:tcPr>
            <w:tcW w:w="589" w:type="pct"/>
            <w:gridSpan w:val="2"/>
            <w:tcBorders>
              <w:top w:val="nil"/>
              <w:left w:val="nil"/>
              <w:bottom w:val="single" w:sz="12" w:space="0" w:color="auto"/>
              <w:right w:val="nil"/>
            </w:tcBorders>
            <w:shd w:val="clear" w:color="auto" w:fill="auto"/>
            <w:vAlign w:val="center"/>
          </w:tcPr>
          <w:p w14:paraId="42F192EB" w14:textId="7DD202E0" w:rsidR="00AD0961" w:rsidRPr="00AD0961" w:rsidRDefault="00AD0961" w:rsidP="00AD0961">
            <w:pPr>
              <w:tabs>
                <w:tab w:val="right" w:pos="1202"/>
              </w:tabs>
              <w:spacing w:after="0" w:line="340" w:lineRule="exact"/>
              <w:jc w:val="right"/>
              <w:outlineLvl w:val="0"/>
              <w:rPr>
                <w:rFonts w:eastAsia="Times New Roman" w:cs="Times New Roman"/>
                <w:b/>
                <w:bCs/>
                <w:sz w:val="18"/>
                <w:szCs w:val="18"/>
              </w:rPr>
            </w:pPr>
            <w:r w:rsidRPr="00AD0961">
              <w:rPr>
                <w:rFonts w:cs="Arial"/>
                <w:b/>
                <w:bCs/>
                <w:color w:val="000000"/>
                <w:sz w:val="18"/>
                <w:szCs w:val="18"/>
              </w:rPr>
              <w:t>3.968.668</w:t>
            </w:r>
          </w:p>
        </w:tc>
        <w:tc>
          <w:tcPr>
            <w:tcW w:w="589" w:type="pct"/>
            <w:gridSpan w:val="2"/>
            <w:tcBorders>
              <w:top w:val="nil"/>
              <w:left w:val="nil"/>
              <w:bottom w:val="single" w:sz="12" w:space="0" w:color="auto"/>
              <w:right w:val="nil"/>
            </w:tcBorders>
            <w:shd w:val="clear" w:color="auto" w:fill="auto"/>
            <w:vAlign w:val="center"/>
          </w:tcPr>
          <w:p w14:paraId="489E23AD" w14:textId="3858B9DC" w:rsidR="00AD0961" w:rsidRPr="00AD0961" w:rsidRDefault="00AD0961" w:rsidP="00AD0961">
            <w:pPr>
              <w:tabs>
                <w:tab w:val="right" w:pos="1202"/>
              </w:tabs>
              <w:spacing w:after="0" w:line="340" w:lineRule="exact"/>
              <w:jc w:val="right"/>
              <w:outlineLvl w:val="0"/>
              <w:rPr>
                <w:rFonts w:eastAsia="Times New Roman" w:cs="Times New Roman"/>
                <w:b/>
                <w:bCs/>
                <w:sz w:val="18"/>
                <w:szCs w:val="18"/>
              </w:rPr>
            </w:pPr>
            <w:r w:rsidRPr="00AD0961">
              <w:rPr>
                <w:rFonts w:cs="Arial"/>
                <w:b/>
                <w:bCs/>
                <w:color w:val="000000"/>
                <w:sz w:val="18"/>
                <w:szCs w:val="18"/>
              </w:rPr>
              <w:t>11.119.870</w:t>
            </w:r>
          </w:p>
        </w:tc>
        <w:tc>
          <w:tcPr>
            <w:tcW w:w="586" w:type="pct"/>
            <w:tcBorders>
              <w:top w:val="nil"/>
              <w:left w:val="nil"/>
              <w:bottom w:val="single" w:sz="12" w:space="0" w:color="auto"/>
              <w:right w:val="nil"/>
            </w:tcBorders>
            <w:shd w:val="clear" w:color="auto" w:fill="auto"/>
            <w:vAlign w:val="center"/>
          </w:tcPr>
          <w:p w14:paraId="75CB89AC" w14:textId="0913E68E" w:rsidR="00AD0961" w:rsidRPr="00AD0961" w:rsidRDefault="00AD0961" w:rsidP="00AD0961">
            <w:pPr>
              <w:tabs>
                <w:tab w:val="right" w:pos="1202"/>
              </w:tabs>
              <w:spacing w:after="0" w:line="340" w:lineRule="exact"/>
              <w:jc w:val="right"/>
              <w:outlineLvl w:val="0"/>
              <w:rPr>
                <w:rFonts w:eastAsia="Times New Roman" w:cs="Times New Roman"/>
                <w:b/>
                <w:bCs/>
                <w:sz w:val="18"/>
                <w:szCs w:val="18"/>
              </w:rPr>
            </w:pPr>
            <w:r w:rsidRPr="00AD0961">
              <w:rPr>
                <w:rFonts w:cs="Arial"/>
                <w:b/>
                <w:bCs/>
                <w:color w:val="000000"/>
                <w:sz w:val="18"/>
                <w:szCs w:val="18"/>
              </w:rPr>
              <w:t>19.359.860</w:t>
            </w:r>
          </w:p>
        </w:tc>
      </w:tr>
      <w:tr w:rsidR="004B16B5" w:rsidRPr="00AD0961" w14:paraId="5F2A5986" w14:textId="77777777" w:rsidTr="003D5BE9">
        <w:tc>
          <w:tcPr>
            <w:tcW w:w="1467" w:type="pct"/>
            <w:vAlign w:val="bottom"/>
          </w:tcPr>
          <w:p w14:paraId="30B75AB8" w14:textId="77777777" w:rsidR="004B16B5" w:rsidRPr="00AD0961" w:rsidRDefault="004B16B5" w:rsidP="003D5BE9">
            <w:pPr>
              <w:keepNext/>
              <w:keepLines/>
              <w:tabs>
                <w:tab w:val="decimal" w:pos="1202"/>
              </w:tabs>
              <w:spacing w:after="0" w:line="140" w:lineRule="exact"/>
              <w:rPr>
                <w:rFonts w:ascii="Arial" w:eastAsia="Times New Roman" w:hAnsi="Arial" w:cs="Arial"/>
                <w:b/>
                <w:position w:val="4"/>
                <w:sz w:val="18"/>
                <w:szCs w:val="18"/>
              </w:rPr>
            </w:pPr>
          </w:p>
        </w:tc>
        <w:tc>
          <w:tcPr>
            <w:tcW w:w="591" w:type="pct"/>
            <w:tcBorders>
              <w:top w:val="single" w:sz="12" w:space="0" w:color="auto"/>
            </w:tcBorders>
          </w:tcPr>
          <w:p w14:paraId="0520103A" w14:textId="77777777" w:rsidR="004B16B5" w:rsidRPr="00AD0961" w:rsidRDefault="004B16B5" w:rsidP="003D5BE9">
            <w:pPr>
              <w:tabs>
                <w:tab w:val="right" w:pos="1202"/>
                <w:tab w:val="center" w:pos="4153"/>
                <w:tab w:val="right" w:pos="8306"/>
              </w:tabs>
              <w:spacing w:after="0" w:line="140" w:lineRule="exact"/>
              <w:jc w:val="right"/>
              <w:outlineLvl w:val="0"/>
              <w:rPr>
                <w:rFonts w:ascii="Arial" w:eastAsia="Times New Roman" w:hAnsi="Arial" w:cs="Arial"/>
                <w:sz w:val="18"/>
                <w:szCs w:val="18"/>
              </w:rPr>
            </w:pPr>
          </w:p>
        </w:tc>
        <w:tc>
          <w:tcPr>
            <w:tcW w:w="500" w:type="pct"/>
            <w:tcBorders>
              <w:top w:val="single" w:sz="12" w:space="0" w:color="auto"/>
            </w:tcBorders>
          </w:tcPr>
          <w:p w14:paraId="3A1B2A35" w14:textId="77777777" w:rsidR="004B16B5" w:rsidRPr="00AD0961" w:rsidRDefault="004B16B5" w:rsidP="003D5BE9">
            <w:pPr>
              <w:tabs>
                <w:tab w:val="right" w:pos="1202"/>
                <w:tab w:val="center" w:pos="4153"/>
                <w:tab w:val="right" w:pos="8306"/>
              </w:tabs>
              <w:spacing w:after="0" w:line="140" w:lineRule="exact"/>
              <w:jc w:val="right"/>
              <w:outlineLvl w:val="0"/>
              <w:rPr>
                <w:rFonts w:ascii="Arial" w:eastAsia="Times New Roman" w:hAnsi="Arial" w:cs="Arial"/>
                <w:sz w:val="18"/>
                <w:szCs w:val="18"/>
              </w:rPr>
            </w:pPr>
          </w:p>
        </w:tc>
        <w:tc>
          <w:tcPr>
            <w:tcW w:w="608" w:type="pct"/>
            <w:gridSpan w:val="2"/>
            <w:tcBorders>
              <w:top w:val="single" w:sz="12" w:space="0" w:color="auto"/>
            </w:tcBorders>
          </w:tcPr>
          <w:p w14:paraId="3F2F0261" w14:textId="77777777" w:rsidR="004B16B5" w:rsidRPr="00AD0961" w:rsidRDefault="004B16B5" w:rsidP="003D5BE9">
            <w:pPr>
              <w:tabs>
                <w:tab w:val="right" w:pos="1202"/>
                <w:tab w:val="center" w:pos="4153"/>
                <w:tab w:val="right" w:pos="8306"/>
              </w:tabs>
              <w:spacing w:after="0" w:line="140" w:lineRule="exact"/>
              <w:jc w:val="right"/>
              <w:outlineLvl w:val="0"/>
              <w:rPr>
                <w:rFonts w:ascii="Arial" w:eastAsia="Times New Roman" w:hAnsi="Arial" w:cs="Arial"/>
                <w:sz w:val="18"/>
                <w:szCs w:val="18"/>
              </w:rPr>
            </w:pPr>
          </w:p>
        </w:tc>
        <w:tc>
          <w:tcPr>
            <w:tcW w:w="592" w:type="pct"/>
            <w:gridSpan w:val="2"/>
            <w:tcBorders>
              <w:top w:val="single" w:sz="12" w:space="0" w:color="auto"/>
            </w:tcBorders>
          </w:tcPr>
          <w:p w14:paraId="097B15E3" w14:textId="77777777" w:rsidR="004B16B5" w:rsidRPr="00AD0961" w:rsidRDefault="004B16B5" w:rsidP="003D5BE9">
            <w:pPr>
              <w:tabs>
                <w:tab w:val="right" w:pos="1202"/>
                <w:tab w:val="center" w:pos="4153"/>
                <w:tab w:val="right" w:pos="8306"/>
              </w:tabs>
              <w:spacing w:after="0" w:line="140" w:lineRule="exact"/>
              <w:jc w:val="right"/>
              <w:outlineLvl w:val="0"/>
              <w:rPr>
                <w:rFonts w:ascii="Arial" w:eastAsia="Times New Roman" w:hAnsi="Arial" w:cs="Arial"/>
                <w:sz w:val="18"/>
                <w:szCs w:val="18"/>
              </w:rPr>
            </w:pPr>
          </w:p>
        </w:tc>
        <w:tc>
          <w:tcPr>
            <w:tcW w:w="592" w:type="pct"/>
            <w:gridSpan w:val="2"/>
            <w:tcBorders>
              <w:top w:val="single" w:sz="12" w:space="0" w:color="auto"/>
            </w:tcBorders>
          </w:tcPr>
          <w:p w14:paraId="5203665A" w14:textId="77777777" w:rsidR="004B16B5" w:rsidRPr="00AD0961" w:rsidRDefault="004B16B5" w:rsidP="003D5BE9">
            <w:pPr>
              <w:tabs>
                <w:tab w:val="right" w:pos="1202"/>
                <w:tab w:val="center" w:pos="4153"/>
                <w:tab w:val="right" w:pos="8306"/>
              </w:tabs>
              <w:spacing w:after="0" w:line="140" w:lineRule="exact"/>
              <w:jc w:val="right"/>
              <w:outlineLvl w:val="0"/>
              <w:rPr>
                <w:rFonts w:ascii="Arial" w:eastAsia="Times New Roman" w:hAnsi="Arial" w:cs="Arial"/>
                <w:sz w:val="18"/>
                <w:szCs w:val="18"/>
              </w:rPr>
            </w:pPr>
          </w:p>
        </w:tc>
        <w:tc>
          <w:tcPr>
            <w:tcW w:w="650" w:type="pct"/>
            <w:gridSpan w:val="2"/>
            <w:tcBorders>
              <w:top w:val="single" w:sz="12" w:space="0" w:color="auto"/>
            </w:tcBorders>
          </w:tcPr>
          <w:p w14:paraId="677A7012" w14:textId="77777777" w:rsidR="004B16B5" w:rsidRPr="00AD0961" w:rsidRDefault="004B16B5" w:rsidP="003D5BE9">
            <w:pPr>
              <w:tabs>
                <w:tab w:val="right" w:pos="1202"/>
                <w:tab w:val="center" w:pos="4153"/>
                <w:tab w:val="right" w:pos="8306"/>
              </w:tabs>
              <w:spacing w:after="0" w:line="140" w:lineRule="exact"/>
              <w:jc w:val="right"/>
              <w:outlineLvl w:val="0"/>
              <w:rPr>
                <w:rFonts w:ascii="Arial" w:eastAsia="Times New Roman" w:hAnsi="Arial" w:cs="Arial"/>
                <w:sz w:val="18"/>
                <w:szCs w:val="18"/>
              </w:rPr>
            </w:pPr>
          </w:p>
        </w:tc>
      </w:tr>
    </w:tbl>
    <w:p w14:paraId="76B95499" w14:textId="77777777" w:rsidR="004B16B5" w:rsidRDefault="004B16B5" w:rsidP="004B16B5">
      <w:pPr>
        <w:pStyle w:val="T1"/>
        <w:spacing w:before="0" w:after="0" w:line="240" w:lineRule="auto"/>
        <w:rPr>
          <w:rFonts w:asciiTheme="minorHAnsi" w:hAnsiTheme="minorHAnsi" w:cs="Arial"/>
          <w:sz w:val="22"/>
          <w:szCs w:val="22"/>
          <w:lang w:val="hr-HR"/>
        </w:rPr>
      </w:pPr>
    </w:p>
    <w:p w14:paraId="3EEF7981" w14:textId="77777777" w:rsidR="004B16B5" w:rsidRDefault="004B16B5" w:rsidP="004B16B5">
      <w:pPr>
        <w:pStyle w:val="T1"/>
        <w:spacing w:before="0" w:after="0" w:line="240" w:lineRule="auto"/>
        <w:rPr>
          <w:rFonts w:asciiTheme="minorHAnsi" w:hAnsiTheme="minorHAnsi" w:cs="Arial"/>
          <w:sz w:val="22"/>
          <w:szCs w:val="22"/>
          <w:lang w:val="hr-HR"/>
        </w:rPr>
        <w:sectPr w:rsidR="004B16B5" w:rsidSect="000F7A1F">
          <w:footerReference w:type="first" r:id="rId111"/>
          <w:pgSz w:w="11906" w:h="16838" w:code="9"/>
          <w:pgMar w:top="1418" w:right="1418" w:bottom="595" w:left="1134" w:header="709" w:footer="709" w:gutter="0"/>
          <w:cols w:space="708"/>
          <w:titlePg/>
          <w:docGrid w:linePitch="360"/>
        </w:sectPr>
      </w:pPr>
    </w:p>
    <w:p w14:paraId="4A65E817" w14:textId="77777777" w:rsidR="006176A4" w:rsidRDefault="006176A4" w:rsidP="006176A4">
      <w:pPr>
        <w:pStyle w:val="T1"/>
        <w:tabs>
          <w:tab w:val="left" w:pos="709"/>
          <w:tab w:val="left" w:pos="851"/>
        </w:tabs>
        <w:spacing w:before="0" w:after="0" w:line="240" w:lineRule="auto"/>
        <w:rPr>
          <w:rFonts w:asciiTheme="minorHAnsi" w:hAnsiTheme="minorHAnsi" w:cs="Arial"/>
          <w:sz w:val="22"/>
          <w:szCs w:val="22"/>
          <w:lang w:val="hr-HR"/>
        </w:rPr>
      </w:pPr>
    </w:p>
    <w:p w14:paraId="428597F1" w14:textId="77777777" w:rsidR="006176A4" w:rsidRPr="008D359F" w:rsidRDefault="006176A4" w:rsidP="006176A4">
      <w:pPr>
        <w:pStyle w:val="T1"/>
        <w:tabs>
          <w:tab w:val="left" w:pos="709"/>
          <w:tab w:val="left" w:pos="851"/>
        </w:tabs>
        <w:spacing w:before="0" w:after="0" w:line="240" w:lineRule="auto"/>
        <w:rPr>
          <w:rFonts w:asciiTheme="minorHAnsi" w:hAnsiTheme="minorHAnsi" w:cs="Arial"/>
          <w:sz w:val="22"/>
          <w:szCs w:val="22"/>
          <w:lang w:val="hr-HR"/>
        </w:rPr>
      </w:pPr>
      <w:r w:rsidRPr="008D359F">
        <w:rPr>
          <w:rFonts w:asciiTheme="minorHAnsi" w:hAnsiTheme="minorHAnsi" w:cs="Arial"/>
          <w:sz w:val="22"/>
          <w:szCs w:val="22"/>
          <w:lang w:val="hr-HR"/>
        </w:rPr>
        <w:t>1</w:t>
      </w:r>
      <w:r>
        <w:rPr>
          <w:rFonts w:asciiTheme="minorHAnsi" w:hAnsiTheme="minorHAnsi" w:cs="Arial"/>
          <w:sz w:val="22"/>
          <w:szCs w:val="22"/>
          <w:lang w:val="hr-HR"/>
        </w:rPr>
        <w:t>6</w:t>
      </w:r>
      <w:r w:rsidRPr="008D359F">
        <w:rPr>
          <w:rFonts w:asciiTheme="minorHAnsi" w:hAnsiTheme="minorHAnsi" w:cs="Arial"/>
          <w:sz w:val="22"/>
          <w:szCs w:val="22"/>
          <w:lang w:val="hr-HR"/>
        </w:rPr>
        <w:t>.        Upravljanje rizicima (nastavak)</w:t>
      </w:r>
    </w:p>
    <w:p w14:paraId="1A22CD5F" w14:textId="77777777" w:rsidR="006176A4" w:rsidRDefault="006176A4" w:rsidP="006176A4">
      <w:pPr>
        <w:pStyle w:val="T1"/>
        <w:spacing w:before="0" w:after="0" w:line="240" w:lineRule="auto"/>
        <w:rPr>
          <w:rFonts w:asciiTheme="minorHAnsi" w:hAnsiTheme="minorHAnsi" w:cs="Arial"/>
          <w:sz w:val="22"/>
          <w:szCs w:val="22"/>
          <w:lang w:val="hr-HR"/>
        </w:rPr>
      </w:pPr>
    </w:p>
    <w:p w14:paraId="442D80AA" w14:textId="77777777" w:rsidR="006176A4" w:rsidRPr="008D359F" w:rsidRDefault="006176A4" w:rsidP="006176A4">
      <w:pPr>
        <w:pStyle w:val="T1"/>
        <w:spacing w:before="0" w:after="0" w:line="240" w:lineRule="auto"/>
        <w:rPr>
          <w:rFonts w:asciiTheme="minorHAnsi" w:hAnsiTheme="minorHAnsi" w:cs="Arial"/>
          <w:sz w:val="22"/>
          <w:szCs w:val="22"/>
          <w:lang w:val="hr-HR"/>
        </w:rPr>
      </w:pPr>
      <w:r w:rsidRPr="008D359F">
        <w:rPr>
          <w:rFonts w:asciiTheme="minorHAnsi" w:hAnsiTheme="minorHAnsi" w:cs="Arial"/>
          <w:sz w:val="22"/>
          <w:szCs w:val="22"/>
          <w:lang w:val="hr-HR"/>
        </w:rPr>
        <w:t>1</w:t>
      </w:r>
      <w:r>
        <w:rPr>
          <w:rFonts w:asciiTheme="minorHAnsi" w:hAnsiTheme="minorHAnsi" w:cs="Arial"/>
          <w:sz w:val="22"/>
          <w:szCs w:val="22"/>
          <w:lang w:val="hr-HR"/>
        </w:rPr>
        <w:t>6.4.     Tržišni rizik</w:t>
      </w:r>
    </w:p>
    <w:p w14:paraId="20ADDAB8" w14:textId="77777777" w:rsidR="006176A4" w:rsidRPr="008D359F" w:rsidRDefault="006176A4" w:rsidP="006176A4">
      <w:pPr>
        <w:pStyle w:val="T1"/>
        <w:spacing w:before="0" w:after="0" w:line="240" w:lineRule="auto"/>
        <w:rPr>
          <w:rFonts w:asciiTheme="minorHAnsi" w:hAnsiTheme="minorHAnsi" w:cs="Arial"/>
          <w:sz w:val="22"/>
          <w:szCs w:val="22"/>
          <w:lang w:val="hr-HR"/>
        </w:rPr>
      </w:pPr>
    </w:p>
    <w:p w14:paraId="48AC79F8" w14:textId="77777777" w:rsidR="006176A4" w:rsidRPr="008D359F" w:rsidRDefault="006176A4" w:rsidP="006176A4">
      <w:pPr>
        <w:keepNext/>
        <w:spacing w:after="0" w:line="240" w:lineRule="auto"/>
        <w:jc w:val="both"/>
        <w:rPr>
          <w:rFonts w:cs="Arial"/>
        </w:rPr>
      </w:pPr>
      <w:r w:rsidRPr="008D359F">
        <w:rPr>
          <w:rFonts w:cs="Arial"/>
        </w:rPr>
        <w:t xml:space="preserve">Upravljanje tržišnim rizicima u Banci podrazumijeva svođenje kamatnog rizika i valutnog rizika na najmanju mjeru. </w:t>
      </w:r>
    </w:p>
    <w:p w14:paraId="1BCFF09E" w14:textId="77777777" w:rsidR="006176A4" w:rsidRPr="008D359F" w:rsidRDefault="006176A4" w:rsidP="006176A4">
      <w:pPr>
        <w:pStyle w:val="accountingpolicytitle"/>
        <w:rPr>
          <w:rFonts w:asciiTheme="minorHAnsi" w:hAnsiTheme="minorHAnsi" w:cstheme="minorHAnsi"/>
          <w:sz w:val="22"/>
          <w:szCs w:val="22"/>
          <w:lang w:val="hr-HR"/>
        </w:rPr>
      </w:pPr>
    </w:p>
    <w:p w14:paraId="134EA8DB" w14:textId="77777777" w:rsidR="006176A4" w:rsidRDefault="006176A4" w:rsidP="006176A4">
      <w:pPr>
        <w:pStyle w:val="accountingpolicytitle"/>
        <w:rPr>
          <w:rFonts w:asciiTheme="minorHAnsi" w:hAnsiTheme="minorHAnsi" w:cstheme="minorHAnsi"/>
          <w:sz w:val="22"/>
          <w:szCs w:val="22"/>
          <w:lang w:val="hr-HR"/>
        </w:rPr>
      </w:pPr>
      <w:r w:rsidRPr="008D359F">
        <w:rPr>
          <w:rFonts w:asciiTheme="minorHAnsi" w:hAnsiTheme="minorHAnsi" w:cstheme="minorHAnsi"/>
          <w:sz w:val="22"/>
          <w:szCs w:val="22"/>
          <w:lang w:val="hr-HR"/>
        </w:rPr>
        <w:t>1</w:t>
      </w:r>
      <w:r>
        <w:rPr>
          <w:rFonts w:asciiTheme="minorHAnsi" w:hAnsiTheme="minorHAnsi" w:cstheme="minorHAnsi"/>
          <w:sz w:val="22"/>
          <w:szCs w:val="22"/>
          <w:lang w:val="hr-HR"/>
        </w:rPr>
        <w:t>6</w:t>
      </w:r>
      <w:r w:rsidRPr="008D359F">
        <w:rPr>
          <w:rFonts w:asciiTheme="minorHAnsi" w:hAnsiTheme="minorHAnsi" w:cstheme="minorHAnsi"/>
          <w:sz w:val="22"/>
          <w:szCs w:val="22"/>
          <w:lang w:val="hr-HR"/>
        </w:rPr>
        <w:t>.4.1.    Kamatni</w:t>
      </w:r>
      <w:r>
        <w:rPr>
          <w:rFonts w:asciiTheme="minorHAnsi" w:hAnsiTheme="minorHAnsi" w:cstheme="minorHAnsi"/>
          <w:sz w:val="22"/>
          <w:szCs w:val="22"/>
          <w:lang w:val="hr-HR"/>
        </w:rPr>
        <w:t xml:space="preserve"> rizik u knjizi banke</w:t>
      </w:r>
    </w:p>
    <w:p w14:paraId="4BB089AA" w14:textId="77777777" w:rsidR="006176A4" w:rsidRPr="008D359F" w:rsidRDefault="006176A4" w:rsidP="006176A4">
      <w:pPr>
        <w:pStyle w:val="accountingpolicytitle"/>
        <w:rPr>
          <w:rFonts w:asciiTheme="minorHAnsi" w:hAnsiTheme="minorHAnsi" w:cstheme="minorHAnsi"/>
          <w:sz w:val="22"/>
          <w:szCs w:val="22"/>
          <w:lang w:val="hr-HR"/>
        </w:rPr>
      </w:pPr>
    </w:p>
    <w:p w14:paraId="4E9E09C3" w14:textId="77777777" w:rsidR="006176A4" w:rsidRDefault="006176A4" w:rsidP="006176A4">
      <w:pPr>
        <w:pStyle w:val="accountingpolicytitle"/>
        <w:rPr>
          <w:rFonts w:asciiTheme="minorHAnsi" w:hAnsiTheme="minorHAnsi" w:cstheme="minorHAnsi"/>
          <w:b w:val="0"/>
          <w:sz w:val="22"/>
          <w:szCs w:val="22"/>
          <w:lang w:val="hr-HR" w:eastAsia="hr-HR"/>
        </w:rPr>
      </w:pPr>
      <w:r w:rsidRPr="008D359F">
        <w:rPr>
          <w:rFonts w:asciiTheme="minorHAnsi" w:hAnsiTheme="minorHAnsi" w:cstheme="minorHAnsi"/>
          <w:b w:val="0"/>
          <w:sz w:val="22"/>
          <w:szCs w:val="22"/>
          <w:lang w:val="hr-HR" w:eastAsia="hr-HR"/>
        </w:rPr>
        <w:t xml:space="preserve">Temeljna načela i principi upravljanja kamatnim rizikom Banke utvrđeni su internim aktima te odlukama i zaključcima Uprave i Odbora za upravljanje aktivom i pasivom. Za mjerenje i praćenje kamatnog rizika Banka provodi analizu kamatnog jaza. Kamatni jaz izrađuje se za određena razdoblja prema mogućnosti promjene kamatnih stopa i prikazuje osjetljivost Banke na promjene kamatnih stopa. Provodi se i detaljna razrada kamatnih stopa po valuti, vrsti i visini kamatne stope te se izrađuju projekcije kretanja prosječnih ponderiranih kamatnih stopa izvora i plasmana. Ovisno o </w:t>
      </w:r>
      <w:r>
        <w:rPr>
          <w:rFonts w:asciiTheme="minorHAnsi" w:hAnsiTheme="minorHAnsi" w:cstheme="minorHAnsi"/>
          <w:b w:val="0"/>
          <w:sz w:val="22"/>
          <w:szCs w:val="22"/>
          <w:lang w:val="hr-HR" w:eastAsia="hr-HR"/>
        </w:rPr>
        <w:t>rezultatima izračuna, odnosno prethodnim izvještajima</w:t>
      </w:r>
      <w:r w:rsidRPr="008D359F">
        <w:rPr>
          <w:rFonts w:asciiTheme="minorHAnsi" w:hAnsiTheme="minorHAnsi" w:cstheme="minorHAnsi"/>
          <w:b w:val="0"/>
          <w:sz w:val="22"/>
          <w:szCs w:val="22"/>
          <w:lang w:val="hr-HR" w:eastAsia="hr-HR"/>
        </w:rPr>
        <w:t xml:space="preserve"> odlučuje se o vrstama kamatnih stopa budućih zaduženja i plasmana, sve s ciljem svođenja jaza na najmanju razinu. Pored usklađivanja kamatnih stopa izvora i plasmana prate se trenutni tržišni uvjeti i prognoze kretanja osnovnih tržišnih pokazatelja.</w:t>
      </w:r>
    </w:p>
    <w:p w14:paraId="03A4C5BB" w14:textId="77777777" w:rsidR="006176A4" w:rsidRDefault="006176A4" w:rsidP="006176A4">
      <w:pPr>
        <w:pStyle w:val="accountingpolicytitle"/>
        <w:rPr>
          <w:rFonts w:asciiTheme="minorHAnsi" w:hAnsiTheme="minorHAnsi" w:cstheme="minorHAnsi"/>
          <w:b w:val="0"/>
          <w:sz w:val="22"/>
          <w:szCs w:val="22"/>
          <w:lang w:val="hr-HR" w:eastAsia="hr-HR"/>
        </w:rPr>
      </w:pPr>
    </w:p>
    <w:p w14:paraId="4BBE89FF" w14:textId="77777777" w:rsidR="006176A4" w:rsidRDefault="006176A4" w:rsidP="006176A4">
      <w:pPr>
        <w:pStyle w:val="accountingpolicytitle"/>
        <w:rPr>
          <w:rFonts w:asciiTheme="minorHAnsi" w:hAnsiTheme="minorHAnsi" w:cstheme="minorHAnsi"/>
          <w:b w:val="0"/>
          <w:sz w:val="22"/>
          <w:szCs w:val="22"/>
          <w:lang w:val="hr-HR" w:eastAsia="hr-HR"/>
        </w:rPr>
        <w:sectPr w:rsidR="006176A4" w:rsidSect="007A3CF5">
          <w:footerReference w:type="first" r:id="rId112"/>
          <w:pgSz w:w="11906" w:h="16838" w:code="9"/>
          <w:pgMar w:top="1418" w:right="1418" w:bottom="595" w:left="1134" w:header="709" w:footer="709" w:gutter="0"/>
          <w:cols w:space="708"/>
          <w:titlePg/>
          <w:docGrid w:linePitch="360"/>
        </w:sectPr>
      </w:pPr>
    </w:p>
    <w:p w14:paraId="1FE950DD" w14:textId="11DFA4B6" w:rsidR="006176A4" w:rsidRPr="008D359F" w:rsidRDefault="006176A4" w:rsidP="006176A4">
      <w:pPr>
        <w:pStyle w:val="accountingpolicytitle"/>
        <w:rPr>
          <w:rFonts w:asciiTheme="minorHAnsi" w:hAnsiTheme="minorHAnsi" w:cstheme="minorHAnsi"/>
          <w:b w:val="0"/>
          <w:sz w:val="22"/>
          <w:szCs w:val="22"/>
          <w:lang w:val="hr-HR" w:eastAsia="hr-HR"/>
        </w:rPr>
      </w:pPr>
    </w:p>
    <w:p w14:paraId="04151086" w14:textId="77777777" w:rsidR="004B16B5" w:rsidRDefault="004B16B5" w:rsidP="004B16B5">
      <w:pPr>
        <w:pStyle w:val="T1"/>
        <w:spacing w:before="0" w:after="0" w:line="240" w:lineRule="auto"/>
        <w:rPr>
          <w:rFonts w:asciiTheme="minorHAnsi" w:hAnsiTheme="minorHAnsi" w:cs="Arial"/>
          <w:sz w:val="22"/>
          <w:szCs w:val="22"/>
          <w:lang w:val="hr-HR"/>
        </w:rPr>
      </w:pPr>
    </w:p>
    <w:p w14:paraId="3727A32C" w14:textId="77777777" w:rsidR="008D359F" w:rsidRDefault="008D359F" w:rsidP="008D359F">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w:t>
      </w:r>
      <w:r w:rsidRPr="008D359F">
        <w:rPr>
          <w:rFonts w:asciiTheme="minorHAnsi" w:hAnsiTheme="minorHAnsi" w:cs="Arial"/>
          <w:sz w:val="22"/>
          <w:szCs w:val="22"/>
          <w:lang w:val="hr-HR"/>
        </w:rPr>
        <w:tab/>
        <w:t>Upravljanje rizicima (nastavak)</w:t>
      </w:r>
    </w:p>
    <w:p w14:paraId="06AB9532" w14:textId="77777777" w:rsidR="008D359F" w:rsidRPr="008D359F" w:rsidRDefault="008D359F" w:rsidP="008D359F">
      <w:pPr>
        <w:pStyle w:val="T1"/>
        <w:spacing w:before="0" w:after="0" w:line="240" w:lineRule="auto"/>
        <w:ind w:left="709" w:hanging="709"/>
        <w:rPr>
          <w:rFonts w:asciiTheme="minorHAnsi" w:hAnsiTheme="minorHAnsi" w:cs="Arial"/>
          <w:sz w:val="22"/>
          <w:szCs w:val="22"/>
          <w:lang w:val="hr-HR"/>
        </w:rPr>
      </w:pPr>
    </w:p>
    <w:p w14:paraId="7F875A34" w14:textId="77777777" w:rsidR="008D359F" w:rsidRDefault="008D359F" w:rsidP="008D359F">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.4.     Tržišni rizik (nastavak)</w:t>
      </w:r>
    </w:p>
    <w:p w14:paraId="069C8231" w14:textId="77777777" w:rsidR="008D359F" w:rsidRPr="008D359F" w:rsidRDefault="008D359F" w:rsidP="008D359F">
      <w:pPr>
        <w:pStyle w:val="T1"/>
        <w:spacing w:before="0" w:after="0" w:line="240" w:lineRule="auto"/>
        <w:ind w:left="709" w:hanging="709"/>
        <w:rPr>
          <w:rFonts w:asciiTheme="minorHAnsi" w:hAnsiTheme="minorHAnsi" w:cs="Arial"/>
          <w:sz w:val="22"/>
          <w:szCs w:val="22"/>
          <w:lang w:val="hr-HR"/>
        </w:rPr>
      </w:pPr>
    </w:p>
    <w:p w14:paraId="3D3B4AAC" w14:textId="77777777" w:rsidR="008D359F" w:rsidRDefault="008D359F" w:rsidP="008D359F">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 xml:space="preserve">.4.1.  Kamatni rizik </w:t>
      </w:r>
      <w:r w:rsidR="00C13D97">
        <w:rPr>
          <w:rFonts w:asciiTheme="minorHAnsi" w:hAnsiTheme="minorHAnsi" w:cs="Arial"/>
          <w:sz w:val="22"/>
          <w:szCs w:val="22"/>
          <w:lang w:val="hr-HR"/>
        </w:rPr>
        <w:t xml:space="preserve">u knjizi banke </w:t>
      </w:r>
      <w:r w:rsidRPr="008D359F">
        <w:rPr>
          <w:rFonts w:asciiTheme="minorHAnsi" w:hAnsiTheme="minorHAnsi" w:cs="Arial"/>
          <w:sz w:val="22"/>
          <w:szCs w:val="22"/>
          <w:lang w:val="hr-HR"/>
        </w:rPr>
        <w:t>(nastavak)</w:t>
      </w:r>
    </w:p>
    <w:p w14:paraId="26AC7D28" w14:textId="77777777" w:rsidR="008D359F" w:rsidRPr="008D359F" w:rsidRDefault="008D359F" w:rsidP="008D359F">
      <w:pPr>
        <w:pStyle w:val="T1"/>
        <w:spacing w:before="0" w:after="0" w:line="240" w:lineRule="auto"/>
        <w:ind w:left="709" w:hanging="709"/>
        <w:rPr>
          <w:rFonts w:asciiTheme="minorHAnsi" w:hAnsiTheme="minorHAnsi" w:cs="Arial"/>
          <w:sz w:val="22"/>
          <w:szCs w:val="22"/>
          <w:lang w:val="hr-HR"/>
        </w:rPr>
      </w:pPr>
    </w:p>
    <w:p w14:paraId="424A24BF" w14:textId="2445826C" w:rsidR="008D359F" w:rsidRPr="008D359F" w:rsidRDefault="008D359F" w:rsidP="004D1BC3">
      <w:pPr>
        <w:spacing w:after="0" w:line="240" w:lineRule="auto"/>
        <w:ind w:right="-6"/>
        <w:jc w:val="both"/>
        <w:rPr>
          <w:rFonts w:cs="Arial"/>
        </w:rPr>
      </w:pPr>
      <w:r w:rsidRPr="008D359F">
        <w:rPr>
          <w:rFonts w:cs="Arial"/>
          <w:iCs/>
        </w:rPr>
        <w:t xml:space="preserve">Tabele u nastavku prikazuju osjetljivost Grupe na rizik kamatnih stopa na dan </w:t>
      </w:r>
      <w:r w:rsidR="007531A3">
        <w:rPr>
          <w:rFonts w:cs="Arial"/>
          <w:iCs/>
        </w:rPr>
        <w:t>30</w:t>
      </w:r>
      <w:r w:rsidR="00AD0961">
        <w:rPr>
          <w:rFonts w:cs="Arial"/>
          <w:iCs/>
        </w:rPr>
        <w:t xml:space="preserve">. </w:t>
      </w:r>
      <w:r w:rsidR="007531A3">
        <w:rPr>
          <w:rFonts w:cs="Arial"/>
          <w:iCs/>
        </w:rPr>
        <w:t>lipnja</w:t>
      </w:r>
      <w:r w:rsidR="007531A3" w:rsidRPr="008D359F">
        <w:rPr>
          <w:rFonts w:cs="Arial"/>
          <w:iCs/>
        </w:rPr>
        <w:t xml:space="preserve"> </w:t>
      </w:r>
      <w:r w:rsidR="007F40D6" w:rsidRPr="008D359F">
        <w:rPr>
          <w:rFonts w:cs="Arial"/>
          <w:iCs/>
        </w:rPr>
        <w:t>201</w:t>
      </w:r>
      <w:r w:rsidR="00AD0961">
        <w:rPr>
          <w:rFonts w:cs="Arial"/>
          <w:iCs/>
        </w:rPr>
        <w:t>7</w:t>
      </w:r>
      <w:r w:rsidRPr="008D359F">
        <w:rPr>
          <w:rFonts w:cs="Arial"/>
          <w:iCs/>
        </w:rPr>
        <w:t xml:space="preserve">. </w:t>
      </w:r>
      <w:r w:rsidR="00567520">
        <w:rPr>
          <w:rFonts w:cs="Arial"/>
          <w:iCs/>
        </w:rPr>
        <w:t>i</w:t>
      </w:r>
      <w:r>
        <w:rPr>
          <w:rFonts w:cs="Arial"/>
          <w:iCs/>
        </w:rPr>
        <w:t xml:space="preserve"> 31. prosinca</w:t>
      </w:r>
      <w:r w:rsidRPr="008D359F">
        <w:rPr>
          <w:rFonts w:cs="Arial"/>
          <w:iCs/>
        </w:rPr>
        <w:t xml:space="preserve"> </w:t>
      </w:r>
      <w:r w:rsidR="007F40D6" w:rsidRPr="008D359F">
        <w:rPr>
          <w:rFonts w:cs="Arial"/>
          <w:iCs/>
        </w:rPr>
        <w:t>201</w:t>
      </w:r>
      <w:r w:rsidR="00AD0961">
        <w:rPr>
          <w:rFonts w:cs="Arial"/>
          <w:iCs/>
        </w:rPr>
        <w:t>6</w:t>
      </w:r>
      <w:r w:rsidRPr="008D359F">
        <w:rPr>
          <w:rFonts w:cs="Arial"/>
          <w:iCs/>
        </w:rPr>
        <w:t>. godine na temelju poznatih datuma promjene cijena imovine i obveza na koje se primjenjuju promjenjive i fiksne kamatne stope. Razdoblja promjena kamatnih stopa određena su na osnovi preostale ročnosti i ugovornog razdoblja promjena kamatnih stopa, ovisno o tome što je kraće.</w:t>
      </w:r>
      <w:r w:rsidR="004D1BC3" w:rsidRPr="008D359F">
        <w:rPr>
          <w:rFonts w:cs="Arial"/>
          <w:iCs/>
        </w:rPr>
        <w:t xml:space="preserve"> </w:t>
      </w:r>
      <w:r w:rsidRPr="008D359F">
        <w:rPr>
          <w:rFonts w:cs="Arial"/>
          <w:iCs/>
        </w:rPr>
        <w:t xml:space="preserve">Imovina i obveze na koje se ne primjenjuje kamatna stopa svrstani su u okviru kategorije </w:t>
      </w:r>
      <w:r w:rsidR="000E504A">
        <w:rPr>
          <w:rFonts w:cs="Arial"/>
        </w:rPr>
        <w:t>„</w:t>
      </w:r>
      <w:r w:rsidRPr="008D359F">
        <w:rPr>
          <w:rFonts w:cs="Arial"/>
          <w:iCs/>
        </w:rPr>
        <w:t>Beskamatno</w:t>
      </w:r>
      <w:r w:rsidR="000E504A">
        <w:rPr>
          <w:rFonts w:cs="Arial"/>
        </w:rPr>
        <w:t>“</w:t>
      </w:r>
      <w:r w:rsidRPr="008D359F">
        <w:rPr>
          <w:rFonts w:cs="Arial"/>
          <w:iCs/>
        </w:rPr>
        <w:t>.</w:t>
      </w:r>
      <w:r w:rsidR="00D02F3F">
        <w:rPr>
          <w:rFonts w:cs="Arial"/>
          <w:iCs/>
        </w:rPr>
        <w:t xml:space="preserve"> </w:t>
      </w:r>
      <w:r w:rsidRPr="008D359F">
        <w:rPr>
          <w:rFonts w:cs="Arial"/>
        </w:rPr>
        <w:t>Tabele u nastavku prikazuju procjenu o izloženosti</w:t>
      </w:r>
      <w:r w:rsidR="000862C1">
        <w:rPr>
          <w:rFonts w:cs="Arial"/>
        </w:rPr>
        <w:t xml:space="preserve"> kamatnom riziku Grupe na dan </w:t>
      </w:r>
      <w:r w:rsidR="007531A3">
        <w:rPr>
          <w:rFonts w:cs="Arial"/>
        </w:rPr>
        <w:t>30</w:t>
      </w:r>
      <w:r w:rsidR="00AD0961">
        <w:rPr>
          <w:rFonts w:cs="Arial"/>
        </w:rPr>
        <w:t xml:space="preserve">. </w:t>
      </w:r>
      <w:r w:rsidR="007531A3">
        <w:rPr>
          <w:rFonts w:cs="Arial"/>
        </w:rPr>
        <w:t>lipnja</w:t>
      </w:r>
      <w:r w:rsidR="007531A3" w:rsidRPr="008D359F">
        <w:rPr>
          <w:rFonts w:cs="Arial"/>
        </w:rPr>
        <w:t xml:space="preserve"> </w:t>
      </w:r>
      <w:r w:rsidR="007F40D6" w:rsidRPr="008D359F">
        <w:rPr>
          <w:rFonts w:cs="Arial"/>
        </w:rPr>
        <w:t>201</w:t>
      </w:r>
      <w:r w:rsidR="00AD0961">
        <w:rPr>
          <w:rFonts w:cs="Arial"/>
        </w:rPr>
        <w:t>7</w:t>
      </w:r>
      <w:r w:rsidRPr="008D359F">
        <w:rPr>
          <w:rFonts w:cs="Arial"/>
        </w:rPr>
        <w:t xml:space="preserve">. i </w:t>
      </w:r>
      <w:r>
        <w:rPr>
          <w:rFonts w:cs="Arial"/>
        </w:rPr>
        <w:t xml:space="preserve">31. prosinca </w:t>
      </w:r>
      <w:r w:rsidR="007F40D6" w:rsidRPr="008D359F">
        <w:rPr>
          <w:rFonts w:cs="Arial"/>
        </w:rPr>
        <w:t>201</w:t>
      </w:r>
      <w:r w:rsidR="00AD0961">
        <w:rPr>
          <w:rFonts w:cs="Arial"/>
        </w:rPr>
        <w:t>6</w:t>
      </w:r>
      <w:r w:rsidRPr="008D359F">
        <w:rPr>
          <w:rFonts w:cs="Arial"/>
        </w:rPr>
        <w:t xml:space="preserve">. godine te nisu nužno indikativne za poziciju u drugom razdoblju. </w:t>
      </w:r>
    </w:p>
    <w:p w14:paraId="31709C96" w14:textId="77777777" w:rsidR="008D359F" w:rsidRPr="008D359F" w:rsidRDefault="008D359F" w:rsidP="008D359F">
      <w:pPr>
        <w:tabs>
          <w:tab w:val="left" w:pos="-720"/>
        </w:tabs>
        <w:suppressAutoHyphens/>
        <w:spacing w:after="0" w:line="240" w:lineRule="auto"/>
        <w:ind w:right="-5"/>
        <w:jc w:val="both"/>
        <w:rPr>
          <w:rFonts w:cs="Arial"/>
          <w:highlight w:val="yellow"/>
        </w:rPr>
      </w:pPr>
    </w:p>
    <w:tbl>
      <w:tblPr>
        <w:tblW w:w="5459" w:type="pct"/>
        <w:tblInd w:w="-426" w:type="dxa"/>
        <w:tblLayout w:type="fixed"/>
        <w:tblCellMar>
          <w:left w:w="120" w:type="dxa"/>
          <w:right w:w="120" w:type="dxa"/>
        </w:tblCellMar>
        <w:tblLook w:val="0000" w:firstRow="0" w:lastRow="0" w:firstColumn="0" w:lastColumn="0" w:noHBand="0" w:noVBand="0"/>
      </w:tblPr>
      <w:tblGrid>
        <w:gridCol w:w="2751"/>
        <w:gridCol w:w="1054"/>
        <w:gridCol w:w="12"/>
        <w:gridCol w:w="1003"/>
        <w:gridCol w:w="993"/>
        <w:gridCol w:w="1099"/>
        <w:gridCol w:w="55"/>
        <w:gridCol w:w="1046"/>
        <w:gridCol w:w="8"/>
        <w:gridCol w:w="1052"/>
        <w:gridCol w:w="41"/>
        <w:gridCol w:w="1099"/>
      </w:tblGrid>
      <w:tr w:rsidR="00CA2C67" w:rsidRPr="008D359F" w14:paraId="35022C4B" w14:textId="77777777" w:rsidTr="005F1FBF">
        <w:trPr>
          <w:trHeight w:val="712"/>
        </w:trPr>
        <w:tc>
          <w:tcPr>
            <w:tcW w:w="1347" w:type="pct"/>
            <w:shd w:val="clear" w:color="auto" w:fill="auto"/>
          </w:tcPr>
          <w:p w14:paraId="4834013B" w14:textId="77777777" w:rsidR="00A46387" w:rsidRPr="008D359F" w:rsidRDefault="00A46387" w:rsidP="00F97337">
            <w:pPr>
              <w:tabs>
                <w:tab w:val="left" w:pos="-720"/>
              </w:tabs>
              <w:suppressAutoHyphens/>
              <w:spacing w:after="0" w:line="280" w:lineRule="exact"/>
              <w:ind w:right="-6"/>
              <w:rPr>
                <w:rFonts w:cs="Arial"/>
                <w:b/>
                <w:sz w:val="18"/>
                <w:szCs w:val="18"/>
              </w:rPr>
            </w:pPr>
            <w:r w:rsidRPr="008D359F">
              <w:rPr>
                <w:rFonts w:cs="Arial"/>
                <w:b/>
                <w:sz w:val="18"/>
                <w:szCs w:val="18"/>
              </w:rPr>
              <w:t>Grupa</w:t>
            </w:r>
          </w:p>
          <w:p w14:paraId="0E200D01" w14:textId="0B4B9AED" w:rsidR="00A46387" w:rsidRPr="008D359F" w:rsidRDefault="00724BFE">
            <w:pPr>
              <w:tabs>
                <w:tab w:val="left" w:pos="-720"/>
              </w:tabs>
              <w:suppressAutoHyphens/>
              <w:spacing w:after="0" w:line="280" w:lineRule="exact"/>
              <w:ind w:right="-6"/>
              <w:rPr>
                <w:rFonts w:cs="Arial"/>
                <w:b/>
                <w:sz w:val="18"/>
                <w:szCs w:val="18"/>
              </w:rPr>
            </w:pPr>
            <w:r>
              <w:rPr>
                <w:rFonts w:cs="Arial"/>
                <w:b/>
                <w:sz w:val="18"/>
                <w:szCs w:val="18"/>
              </w:rPr>
              <w:t>30</w:t>
            </w:r>
            <w:r w:rsidR="00AD0961">
              <w:rPr>
                <w:rFonts w:cs="Arial"/>
                <w:b/>
                <w:sz w:val="18"/>
                <w:szCs w:val="18"/>
              </w:rPr>
              <w:t>.</w:t>
            </w:r>
            <w:r>
              <w:rPr>
                <w:rFonts w:cs="Arial"/>
                <w:b/>
                <w:sz w:val="18"/>
                <w:szCs w:val="18"/>
              </w:rPr>
              <w:t>6</w:t>
            </w:r>
            <w:r w:rsidR="00AD0961">
              <w:rPr>
                <w:rFonts w:cs="Arial"/>
                <w:b/>
                <w:sz w:val="18"/>
                <w:szCs w:val="18"/>
              </w:rPr>
              <w:t>.</w:t>
            </w:r>
            <w:r w:rsidR="00A46387" w:rsidRPr="008D359F">
              <w:rPr>
                <w:rFonts w:cs="Arial"/>
                <w:b/>
                <w:sz w:val="18"/>
                <w:szCs w:val="18"/>
              </w:rPr>
              <w:t>201</w:t>
            </w:r>
            <w:r w:rsidR="00AD0961">
              <w:rPr>
                <w:rFonts w:cs="Arial"/>
                <w:b/>
                <w:sz w:val="18"/>
                <w:szCs w:val="18"/>
              </w:rPr>
              <w:t>7</w:t>
            </w:r>
            <w:r w:rsidR="00A46387" w:rsidRPr="008D359F">
              <w:rPr>
                <w:rFonts w:cs="Arial"/>
                <w:b/>
                <w:sz w:val="18"/>
                <w:szCs w:val="18"/>
              </w:rPr>
              <w:t>.</w:t>
            </w:r>
          </w:p>
        </w:tc>
        <w:tc>
          <w:tcPr>
            <w:tcW w:w="522" w:type="pct"/>
            <w:gridSpan w:val="2"/>
            <w:shd w:val="clear" w:color="auto" w:fill="auto"/>
          </w:tcPr>
          <w:p w14:paraId="7E9F874C" w14:textId="77777777" w:rsidR="00A46387" w:rsidRPr="00F93702" w:rsidRDefault="00A46387" w:rsidP="00A46387">
            <w:pPr>
              <w:tabs>
                <w:tab w:val="left" w:pos="-720"/>
              </w:tabs>
              <w:suppressAutoHyphens/>
              <w:spacing w:after="0" w:line="280" w:lineRule="exact"/>
              <w:ind w:right="-6"/>
              <w:jc w:val="right"/>
              <w:rPr>
                <w:rFonts w:cs="Arial"/>
                <w:b/>
                <w:sz w:val="18"/>
                <w:szCs w:val="18"/>
              </w:rPr>
            </w:pPr>
            <w:r w:rsidRPr="00F93702">
              <w:rPr>
                <w:rFonts w:cs="Arial"/>
                <w:b/>
                <w:sz w:val="18"/>
                <w:szCs w:val="18"/>
              </w:rPr>
              <w:t>Do 1 mjesec</w:t>
            </w:r>
          </w:p>
        </w:tc>
        <w:tc>
          <w:tcPr>
            <w:tcW w:w="491" w:type="pct"/>
            <w:shd w:val="clear" w:color="auto" w:fill="auto"/>
          </w:tcPr>
          <w:p w14:paraId="491667B1" w14:textId="77777777" w:rsidR="00A46387" w:rsidRPr="00F93702" w:rsidRDefault="00A46387" w:rsidP="00A46387">
            <w:pPr>
              <w:tabs>
                <w:tab w:val="left" w:pos="-720"/>
              </w:tabs>
              <w:suppressAutoHyphens/>
              <w:spacing w:after="0" w:line="280" w:lineRule="exact"/>
              <w:ind w:right="-6"/>
              <w:jc w:val="right"/>
              <w:rPr>
                <w:rFonts w:cs="Arial"/>
                <w:b/>
                <w:sz w:val="18"/>
                <w:szCs w:val="18"/>
              </w:rPr>
            </w:pPr>
            <w:r w:rsidRPr="00F93702">
              <w:rPr>
                <w:rFonts w:cs="Arial"/>
                <w:b/>
                <w:sz w:val="18"/>
                <w:szCs w:val="18"/>
              </w:rPr>
              <w:t>1 do 3 mjeseca</w:t>
            </w:r>
          </w:p>
        </w:tc>
        <w:tc>
          <w:tcPr>
            <w:tcW w:w="486" w:type="pct"/>
            <w:shd w:val="clear" w:color="auto" w:fill="auto"/>
          </w:tcPr>
          <w:p w14:paraId="7B94DF84" w14:textId="77777777" w:rsidR="00A46387" w:rsidRPr="00F93702" w:rsidRDefault="00A46387" w:rsidP="00A46387">
            <w:pPr>
              <w:tabs>
                <w:tab w:val="left" w:pos="-720"/>
              </w:tabs>
              <w:suppressAutoHyphens/>
              <w:spacing w:after="0" w:line="280" w:lineRule="exact"/>
              <w:ind w:right="-6"/>
              <w:jc w:val="right"/>
              <w:rPr>
                <w:rFonts w:cs="Arial"/>
                <w:b/>
                <w:sz w:val="18"/>
                <w:szCs w:val="18"/>
              </w:rPr>
            </w:pPr>
            <w:r w:rsidRPr="00F93702">
              <w:rPr>
                <w:rFonts w:cs="Arial"/>
                <w:b/>
                <w:sz w:val="18"/>
                <w:szCs w:val="18"/>
              </w:rPr>
              <w:t>3 mj. do 1 godine</w:t>
            </w:r>
          </w:p>
        </w:tc>
        <w:tc>
          <w:tcPr>
            <w:tcW w:w="538" w:type="pct"/>
            <w:shd w:val="clear" w:color="auto" w:fill="auto"/>
          </w:tcPr>
          <w:p w14:paraId="194FD293" w14:textId="77777777" w:rsidR="00A46387" w:rsidRPr="00F93702" w:rsidRDefault="00A46387" w:rsidP="00A46387">
            <w:pPr>
              <w:tabs>
                <w:tab w:val="left" w:pos="-720"/>
              </w:tabs>
              <w:suppressAutoHyphens/>
              <w:spacing w:after="0" w:line="280" w:lineRule="exact"/>
              <w:ind w:right="-6"/>
              <w:jc w:val="right"/>
              <w:rPr>
                <w:rFonts w:cs="Arial"/>
                <w:b/>
                <w:sz w:val="18"/>
                <w:szCs w:val="18"/>
              </w:rPr>
            </w:pPr>
            <w:r w:rsidRPr="00F93702">
              <w:rPr>
                <w:rFonts w:cs="Arial"/>
                <w:b/>
                <w:sz w:val="18"/>
                <w:szCs w:val="18"/>
              </w:rPr>
              <w:t>1 do 3 godina</w:t>
            </w:r>
          </w:p>
        </w:tc>
        <w:tc>
          <w:tcPr>
            <w:tcW w:w="539" w:type="pct"/>
            <w:gridSpan w:val="2"/>
            <w:shd w:val="clear" w:color="auto" w:fill="auto"/>
          </w:tcPr>
          <w:p w14:paraId="264E228D" w14:textId="77777777" w:rsidR="00A46387" w:rsidRPr="00F93702" w:rsidRDefault="00A46387" w:rsidP="00A46387">
            <w:pPr>
              <w:tabs>
                <w:tab w:val="left" w:pos="-720"/>
              </w:tabs>
              <w:suppressAutoHyphens/>
              <w:spacing w:after="0" w:line="280" w:lineRule="exact"/>
              <w:ind w:right="-6"/>
              <w:jc w:val="right"/>
              <w:rPr>
                <w:rFonts w:cs="Arial"/>
                <w:b/>
                <w:sz w:val="18"/>
                <w:szCs w:val="18"/>
              </w:rPr>
            </w:pPr>
            <w:r w:rsidRPr="00F93702">
              <w:rPr>
                <w:rFonts w:cs="Arial"/>
                <w:b/>
                <w:sz w:val="18"/>
                <w:szCs w:val="18"/>
              </w:rPr>
              <w:t>Preko 3 godine</w:t>
            </w:r>
          </w:p>
        </w:tc>
        <w:tc>
          <w:tcPr>
            <w:tcW w:w="539" w:type="pct"/>
            <w:gridSpan w:val="3"/>
            <w:shd w:val="clear" w:color="auto" w:fill="auto"/>
          </w:tcPr>
          <w:p w14:paraId="1E904A33" w14:textId="77777777" w:rsidR="00A46387" w:rsidRPr="00F93702" w:rsidRDefault="00A46387" w:rsidP="00A46387">
            <w:pPr>
              <w:tabs>
                <w:tab w:val="left" w:pos="-720"/>
              </w:tabs>
              <w:suppressAutoHyphens/>
              <w:spacing w:after="0" w:line="280" w:lineRule="exact"/>
              <w:ind w:right="-6"/>
              <w:jc w:val="right"/>
              <w:rPr>
                <w:rFonts w:cs="Arial"/>
                <w:b/>
                <w:sz w:val="18"/>
                <w:szCs w:val="18"/>
              </w:rPr>
            </w:pPr>
            <w:proofErr w:type="spellStart"/>
            <w:r w:rsidRPr="00F93702">
              <w:rPr>
                <w:rFonts w:cs="Arial"/>
                <w:b/>
                <w:sz w:val="18"/>
                <w:szCs w:val="18"/>
              </w:rPr>
              <w:t>Beska-matno</w:t>
            </w:r>
            <w:proofErr w:type="spellEnd"/>
          </w:p>
        </w:tc>
        <w:tc>
          <w:tcPr>
            <w:tcW w:w="538" w:type="pct"/>
            <w:shd w:val="clear" w:color="auto" w:fill="auto"/>
          </w:tcPr>
          <w:p w14:paraId="207B4B3D" w14:textId="77777777" w:rsidR="00A46387" w:rsidRPr="00F93702" w:rsidRDefault="00A46387" w:rsidP="00A46387">
            <w:pPr>
              <w:tabs>
                <w:tab w:val="left" w:pos="-720"/>
              </w:tabs>
              <w:suppressAutoHyphens/>
              <w:spacing w:after="0" w:line="280" w:lineRule="exact"/>
              <w:ind w:right="-6"/>
              <w:jc w:val="right"/>
              <w:rPr>
                <w:rFonts w:cs="Arial"/>
                <w:b/>
                <w:sz w:val="18"/>
                <w:szCs w:val="18"/>
              </w:rPr>
            </w:pPr>
            <w:r w:rsidRPr="00F93702">
              <w:rPr>
                <w:rFonts w:cs="Arial"/>
                <w:b/>
                <w:sz w:val="18"/>
                <w:szCs w:val="18"/>
              </w:rPr>
              <w:t>Ukupno</w:t>
            </w:r>
          </w:p>
        </w:tc>
      </w:tr>
      <w:tr w:rsidR="00CA2C67" w:rsidRPr="008D359F" w14:paraId="6383D371" w14:textId="77777777" w:rsidTr="005F1FBF">
        <w:trPr>
          <w:trHeight w:val="226"/>
        </w:trPr>
        <w:tc>
          <w:tcPr>
            <w:tcW w:w="1347" w:type="pct"/>
            <w:shd w:val="clear" w:color="auto" w:fill="auto"/>
            <w:vAlign w:val="bottom"/>
          </w:tcPr>
          <w:p w14:paraId="2F69F783" w14:textId="77777777" w:rsidR="00A46387" w:rsidRPr="008D359F" w:rsidRDefault="00A46387" w:rsidP="00A46387">
            <w:pPr>
              <w:tabs>
                <w:tab w:val="left" w:pos="-720"/>
              </w:tabs>
              <w:suppressAutoHyphens/>
              <w:spacing w:after="0" w:line="280" w:lineRule="exact"/>
              <w:ind w:right="-5"/>
              <w:rPr>
                <w:rFonts w:cs="Arial"/>
                <w:b/>
                <w:sz w:val="18"/>
                <w:szCs w:val="18"/>
              </w:rPr>
            </w:pPr>
            <w:r w:rsidRPr="008D359F">
              <w:rPr>
                <w:rFonts w:cs="Arial"/>
                <w:b/>
                <w:sz w:val="18"/>
                <w:szCs w:val="18"/>
              </w:rPr>
              <w:t>Imovina</w:t>
            </w:r>
          </w:p>
        </w:tc>
        <w:tc>
          <w:tcPr>
            <w:tcW w:w="522" w:type="pct"/>
            <w:gridSpan w:val="2"/>
            <w:shd w:val="clear" w:color="auto" w:fill="auto"/>
          </w:tcPr>
          <w:p w14:paraId="0F493442" w14:textId="77777777" w:rsidR="00A46387" w:rsidRPr="00F93702" w:rsidRDefault="00A46387" w:rsidP="00A46387">
            <w:pPr>
              <w:spacing w:after="0" w:line="280" w:lineRule="exact"/>
              <w:jc w:val="right"/>
              <w:rPr>
                <w:rFonts w:cs="Arial"/>
                <w:sz w:val="18"/>
                <w:szCs w:val="18"/>
              </w:rPr>
            </w:pPr>
          </w:p>
        </w:tc>
        <w:tc>
          <w:tcPr>
            <w:tcW w:w="491" w:type="pct"/>
            <w:shd w:val="clear" w:color="auto" w:fill="auto"/>
          </w:tcPr>
          <w:p w14:paraId="06668F63" w14:textId="77777777" w:rsidR="00A46387" w:rsidRPr="00F93702" w:rsidRDefault="00A46387" w:rsidP="00A46387">
            <w:pPr>
              <w:spacing w:after="0" w:line="280" w:lineRule="exact"/>
              <w:jc w:val="right"/>
              <w:rPr>
                <w:rFonts w:cs="Arial"/>
                <w:sz w:val="18"/>
                <w:szCs w:val="18"/>
              </w:rPr>
            </w:pPr>
          </w:p>
        </w:tc>
        <w:tc>
          <w:tcPr>
            <w:tcW w:w="486" w:type="pct"/>
            <w:shd w:val="clear" w:color="auto" w:fill="auto"/>
          </w:tcPr>
          <w:p w14:paraId="2797806A" w14:textId="77777777" w:rsidR="00A46387" w:rsidRPr="00F93702" w:rsidRDefault="00A46387" w:rsidP="00A46387">
            <w:pPr>
              <w:spacing w:after="0" w:line="280" w:lineRule="exact"/>
              <w:jc w:val="right"/>
              <w:rPr>
                <w:rFonts w:cs="Arial"/>
                <w:sz w:val="18"/>
                <w:szCs w:val="18"/>
              </w:rPr>
            </w:pPr>
          </w:p>
        </w:tc>
        <w:tc>
          <w:tcPr>
            <w:tcW w:w="538" w:type="pct"/>
            <w:shd w:val="clear" w:color="auto" w:fill="auto"/>
          </w:tcPr>
          <w:p w14:paraId="7A2625DD" w14:textId="77777777" w:rsidR="00A46387" w:rsidRPr="00F93702" w:rsidRDefault="00A46387" w:rsidP="00A46387">
            <w:pPr>
              <w:spacing w:after="0" w:line="280" w:lineRule="exact"/>
              <w:jc w:val="right"/>
              <w:rPr>
                <w:rFonts w:cs="Arial"/>
                <w:sz w:val="18"/>
                <w:szCs w:val="18"/>
              </w:rPr>
            </w:pPr>
          </w:p>
        </w:tc>
        <w:tc>
          <w:tcPr>
            <w:tcW w:w="539" w:type="pct"/>
            <w:gridSpan w:val="2"/>
            <w:shd w:val="clear" w:color="auto" w:fill="auto"/>
          </w:tcPr>
          <w:p w14:paraId="24879ACE" w14:textId="77777777" w:rsidR="00A46387" w:rsidRPr="00F93702" w:rsidRDefault="00A46387" w:rsidP="00A46387">
            <w:pPr>
              <w:spacing w:after="0" w:line="280" w:lineRule="exact"/>
              <w:jc w:val="right"/>
              <w:rPr>
                <w:rFonts w:cs="Arial"/>
                <w:sz w:val="18"/>
                <w:szCs w:val="18"/>
              </w:rPr>
            </w:pPr>
          </w:p>
        </w:tc>
        <w:tc>
          <w:tcPr>
            <w:tcW w:w="539" w:type="pct"/>
            <w:gridSpan w:val="3"/>
            <w:shd w:val="clear" w:color="auto" w:fill="auto"/>
          </w:tcPr>
          <w:p w14:paraId="014A8CB5" w14:textId="77777777" w:rsidR="00A46387" w:rsidRPr="00F93702" w:rsidRDefault="00A46387" w:rsidP="00A46387">
            <w:pPr>
              <w:spacing w:after="0" w:line="280" w:lineRule="exact"/>
              <w:jc w:val="right"/>
              <w:rPr>
                <w:rFonts w:cs="Arial"/>
                <w:sz w:val="18"/>
                <w:szCs w:val="18"/>
              </w:rPr>
            </w:pPr>
          </w:p>
        </w:tc>
        <w:tc>
          <w:tcPr>
            <w:tcW w:w="538" w:type="pct"/>
            <w:shd w:val="clear" w:color="auto" w:fill="auto"/>
          </w:tcPr>
          <w:p w14:paraId="2404B440" w14:textId="77777777" w:rsidR="00A46387" w:rsidRPr="00F93702" w:rsidRDefault="00A46387" w:rsidP="00A46387">
            <w:pPr>
              <w:spacing w:after="0" w:line="280" w:lineRule="exact"/>
              <w:jc w:val="right"/>
              <w:rPr>
                <w:rFonts w:cs="Arial"/>
                <w:sz w:val="18"/>
                <w:szCs w:val="18"/>
              </w:rPr>
            </w:pPr>
          </w:p>
        </w:tc>
      </w:tr>
      <w:tr w:rsidR="00D62E32" w:rsidRPr="008D359F" w14:paraId="22153DBC" w14:textId="77777777" w:rsidTr="00312975">
        <w:trPr>
          <w:trHeight w:val="463"/>
        </w:trPr>
        <w:tc>
          <w:tcPr>
            <w:tcW w:w="1347" w:type="pct"/>
            <w:shd w:val="clear" w:color="auto" w:fill="auto"/>
            <w:vAlign w:val="bottom"/>
          </w:tcPr>
          <w:p w14:paraId="53537360" w14:textId="77777777" w:rsidR="00D62E32" w:rsidRPr="008D359F" w:rsidRDefault="00D62E32" w:rsidP="00D62E32">
            <w:pPr>
              <w:tabs>
                <w:tab w:val="left" w:pos="-720"/>
              </w:tabs>
              <w:suppressAutoHyphens/>
              <w:spacing w:after="0" w:line="280" w:lineRule="exact"/>
              <w:ind w:right="-5"/>
              <w:rPr>
                <w:rFonts w:cs="Arial"/>
                <w:sz w:val="18"/>
                <w:szCs w:val="18"/>
              </w:rPr>
            </w:pPr>
            <w:r w:rsidRPr="008D359F">
              <w:rPr>
                <w:rFonts w:cs="Arial"/>
                <w:sz w:val="18"/>
                <w:szCs w:val="18"/>
              </w:rPr>
              <w:t>Novčana sredstva i računi kod banaka</w:t>
            </w:r>
          </w:p>
        </w:tc>
        <w:tc>
          <w:tcPr>
            <w:tcW w:w="522" w:type="pct"/>
            <w:gridSpan w:val="2"/>
            <w:tcBorders>
              <w:top w:val="nil"/>
              <w:left w:val="nil"/>
              <w:bottom w:val="nil"/>
              <w:right w:val="nil"/>
            </w:tcBorders>
            <w:shd w:val="clear" w:color="auto" w:fill="auto"/>
            <w:vAlign w:val="bottom"/>
          </w:tcPr>
          <w:p w14:paraId="437DF973" w14:textId="6E832B38"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1.258</w:t>
            </w:r>
          </w:p>
        </w:tc>
        <w:tc>
          <w:tcPr>
            <w:tcW w:w="491" w:type="pct"/>
            <w:tcBorders>
              <w:top w:val="nil"/>
              <w:left w:val="nil"/>
              <w:bottom w:val="nil"/>
              <w:right w:val="nil"/>
            </w:tcBorders>
            <w:shd w:val="clear" w:color="auto" w:fill="auto"/>
            <w:vAlign w:val="bottom"/>
          </w:tcPr>
          <w:p w14:paraId="52D786DE" w14:textId="391DFB3B"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315DE78A" w14:textId="4E3BD1E3"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7A885A64" w14:textId="67EFC7EE"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5C00B68C" w14:textId="74D5E6D3"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3"/>
            <w:tcBorders>
              <w:top w:val="nil"/>
              <w:left w:val="nil"/>
              <w:bottom w:val="nil"/>
              <w:right w:val="nil"/>
            </w:tcBorders>
            <w:shd w:val="clear" w:color="auto" w:fill="auto"/>
            <w:vAlign w:val="bottom"/>
          </w:tcPr>
          <w:p w14:paraId="2267FB64" w14:textId="4D052609"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1.680.033</w:t>
            </w:r>
          </w:p>
        </w:tc>
        <w:tc>
          <w:tcPr>
            <w:tcW w:w="538" w:type="pct"/>
            <w:tcBorders>
              <w:top w:val="nil"/>
              <w:left w:val="nil"/>
              <w:bottom w:val="nil"/>
              <w:right w:val="nil"/>
            </w:tcBorders>
            <w:shd w:val="clear" w:color="auto" w:fill="auto"/>
            <w:vAlign w:val="bottom"/>
          </w:tcPr>
          <w:p w14:paraId="0A23FFB3" w14:textId="59910AFF"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1.681.291</w:t>
            </w:r>
          </w:p>
        </w:tc>
      </w:tr>
      <w:tr w:rsidR="00D62E32" w:rsidRPr="008D359F" w14:paraId="4D636F95" w14:textId="77777777" w:rsidTr="00312975">
        <w:trPr>
          <w:trHeight w:hRule="exact" w:val="284"/>
        </w:trPr>
        <w:tc>
          <w:tcPr>
            <w:tcW w:w="1347" w:type="pct"/>
            <w:shd w:val="clear" w:color="auto" w:fill="auto"/>
            <w:vAlign w:val="bottom"/>
          </w:tcPr>
          <w:p w14:paraId="23EE289F" w14:textId="77777777" w:rsidR="00D62E32" w:rsidRPr="008D359F" w:rsidRDefault="00D62E32" w:rsidP="00D62E32">
            <w:pPr>
              <w:tabs>
                <w:tab w:val="left" w:pos="-720"/>
              </w:tabs>
              <w:suppressAutoHyphens/>
              <w:spacing w:after="0" w:line="280" w:lineRule="exact"/>
              <w:ind w:right="-5"/>
              <w:rPr>
                <w:rFonts w:cs="Arial"/>
                <w:sz w:val="18"/>
                <w:szCs w:val="18"/>
              </w:rPr>
            </w:pPr>
            <w:r w:rsidRPr="008D359F">
              <w:rPr>
                <w:rFonts w:cs="Arial"/>
                <w:sz w:val="18"/>
                <w:szCs w:val="18"/>
              </w:rPr>
              <w:t>Depoziti kod drugih banaka</w:t>
            </w:r>
          </w:p>
        </w:tc>
        <w:tc>
          <w:tcPr>
            <w:tcW w:w="522" w:type="pct"/>
            <w:gridSpan w:val="2"/>
            <w:tcBorders>
              <w:top w:val="nil"/>
              <w:left w:val="nil"/>
              <w:bottom w:val="nil"/>
              <w:right w:val="nil"/>
            </w:tcBorders>
            <w:shd w:val="clear" w:color="auto" w:fill="auto"/>
            <w:vAlign w:val="bottom"/>
          </w:tcPr>
          <w:p w14:paraId="02990EA4" w14:textId="2C5FCFC6" w:rsidR="00D62E32" w:rsidRPr="00A367C6" w:rsidRDefault="00D62E32" w:rsidP="00D62E32">
            <w:pPr>
              <w:tabs>
                <w:tab w:val="left" w:pos="-720"/>
              </w:tabs>
              <w:suppressAutoHyphens/>
              <w:spacing w:after="0" w:line="280" w:lineRule="exact"/>
              <w:ind w:right="-5"/>
              <w:jc w:val="right"/>
              <w:rPr>
                <w:rFonts w:cs="Arial"/>
                <w:sz w:val="18"/>
                <w:szCs w:val="18"/>
              </w:rPr>
            </w:pPr>
            <w:r w:rsidRPr="00016AD1">
              <w:rPr>
                <w:rFonts w:cs="Arial"/>
                <w:sz w:val="18"/>
                <w:szCs w:val="18"/>
              </w:rPr>
              <w:t>1.530</w:t>
            </w:r>
          </w:p>
        </w:tc>
        <w:tc>
          <w:tcPr>
            <w:tcW w:w="491" w:type="pct"/>
            <w:tcBorders>
              <w:top w:val="nil"/>
              <w:left w:val="nil"/>
              <w:bottom w:val="nil"/>
              <w:right w:val="nil"/>
            </w:tcBorders>
            <w:shd w:val="clear" w:color="auto" w:fill="auto"/>
            <w:vAlign w:val="bottom"/>
          </w:tcPr>
          <w:p w14:paraId="44D369DE" w14:textId="72B2B16C"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7D913DA4" w14:textId="4C4D7BE9"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47F6C52C" w14:textId="53978744"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60F707EB" w14:textId="772D0B93"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3"/>
            <w:tcBorders>
              <w:top w:val="nil"/>
              <w:left w:val="nil"/>
              <w:bottom w:val="nil"/>
              <w:right w:val="nil"/>
            </w:tcBorders>
            <w:shd w:val="clear" w:color="auto" w:fill="auto"/>
            <w:vAlign w:val="bottom"/>
          </w:tcPr>
          <w:p w14:paraId="7FF7A187" w14:textId="1621F85F"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18</w:t>
            </w:r>
          </w:p>
        </w:tc>
        <w:tc>
          <w:tcPr>
            <w:tcW w:w="538" w:type="pct"/>
            <w:tcBorders>
              <w:top w:val="nil"/>
              <w:left w:val="nil"/>
              <w:bottom w:val="nil"/>
              <w:right w:val="nil"/>
            </w:tcBorders>
            <w:shd w:val="clear" w:color="auto" w:fill="auto"/>
            <w:vAlign w:val="bottom"/>
          </w:tcPr>
          <w:p w14:paraId="59FCAC1B" w14:textId="304212A1"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1.548</w:t>
            </w:r>
          </w:p>
        </w:tc>
      </w:tr>
      <w:tr w:rsidR="00D62E32" w:rsidRPr="008D359F" w14:paraId="670BC32E" w14:textId="77777777" w:rsidTr="00312975">
        <w:trPr>
          <w:trHeight w:hRule="exact" w:val="284"/>
        </w:trPr>
        <w:tc>
          <w:tcPr>
            <w:tcW w:w="1347" w:type="pct"/>
            <w:shd w:val="clear" w:color="auto" w:fill="auto"/>
            <w:vAlign w:val="bottom"/>
          </w:tcPr>
          <w:p w14:paraId="7ABC96EB" w14:textId="77777777" w:rsidR="00D62E32" w:rsidRPr="008D359F" w:rsidRDefault="00D62E32" w:rsidP="00D62E32">
            <w:pPr>
              <w:tabs>
                <w:tab w:val="left" w:pos="-720"/>
              </w:tabs>
              <w:suppressAutoHyphens/>
              <w:spacing w:after="0" w:line="280" w:lineRule="exact"/>
              <w:ind w:right="-5"/>
              <w:rPr>
                <w:rFonts w:cs="Arial"/>
                <w:sz w:val="18"/>
                <w:szCs w:val="18"/>
              </w:rPr>
            </w:pPr>
            <w:r w:rsidRPr="008D359F">
              <w:rPr>
                <w:rFonts w:cs="Arial"/>
                <w:sz w:val="18"/>
                <w:szCs w:val="18"/>
              </w:rPr>
              <w:t xml:space="preserve">Krediti </w:t>
            </w:r>
            <w:r w:rsidRPr="00DF069F">
              <w:rPr>
                <w:rFonts w:cs="Arial"/>
                <w:sz w:val="18"/>
                <w:szCs w:val="18"/>
              </w:rPr>
              <w:t>financijskim institucijama</w:t>
            </w:r>
          </w:p>
        </w:tc>
        <w:tc>
          <w:tcPr>
            <w:tcW w:w="522" w:type="pct"/>
            <w:gridSpan w:val="2"/>
            <w:tcBorders>
              <w:top w:val="nil"/>
              <w:left w:val="nil"/>
              <w:bottom w:val="nil"/>
              <w:right w:val="nil"/>
            </w:tcBorders>
            <w:shd w:val="clear" w:color="auto" w:fill="auto"/>
            <w:vAlign w:val="bottom"/>
          </w:tcPr>
          <w:p w14:paraId="2FF6B5E0" w14:textId="71D17437" w:rsidR="00D62E32" w:rsidRPr="00A367C6" w:rsidRDefault="00D62E32" w:rsidP="00D62E32">
            <w:pPr>
              <w:tabs>
                <w:tab w:val="left" w:pos="-720"/>
              </w:tabs>
              <w:suppressAutoHyphens/>
              <w:spacing w:after="0" w:line="280" w:lineRule="exact"/>
              <w:ind w:right="-5"/>
              <w:jc w:val="right"/>
              <w:rPr>
                <w:rFonts w:cs="Arial"/>
                <w:sz w:val="18"/>
                <w:szCs w:val="18"/>
              </w:rPr>
            </w:pPr>
            <w:r w:rsidRPr="00016AD1">
              <w:rPr>
                <w:rFonts w:cs="Arial"/>
                <w:sz w:val="18"/>
                <w:szCs w:val="18"/>
              </w:rPr>
              <w:t>425.153</w:t>
            </w:r>
          </w:p>
        </w:tc>
        <w:tc>
          <w:tcPr>
            <w:tcW w:w="491" w:type="pct"/>
            <w:tcBorders>
              <w:top w:val="nil"/>
              <w:left w:val="nil"/>
              <w:bottom w:val="nil"/>
              <w:right w:val="nil"/>
            </w:tcBorders>
            <w:shd w:val="clear" w:color="auto" w:fill="auto"/>
            <w:vAlign w:val="bottom"/>
          </w:tcPr>
          <w:p w14:paraId="26AC19A2" w14:textId="0B6457FF" w:rsidR="00D62E32" w:rsidRPr="00A367C6" w:rsidRDefault="00D62E32" w:rsidP="00D62E32">
            <w:pPr>
              <w:tabs>
                <w:tab w:val="left" w:pos="-720"/>
              </w:tabs>
              <w:suppressAutoHyphens/>
              <w:spacing w:after="0" w:line="280" w:lineRule="exact"/>
              <w:ind w:right="-5"/>
              <w:jc w:val="right"/>
              <w:rPr>
                <w:rFonts w:cs="Arial"/>
                <w:sz w:val="18"/>
                <w:szCs w:val="18"/>
              </w:rPr>
            </w:pPr>
            <w:r w:rsidRPr="00016AD1">
              <w:rPr>
                <w:rFonts w:cs="Arial"/>
                <w:sz w:val="18"/>
                <w:szCs w:val="18"/>
              </w:rPr>
              <w:t>878.553</w:t>
            </w:r>
          </w:p>
        </w:tc>
        <w:tc>
          <w:tcPr>
            <w:tcW w:w="486" w:type="pct"/>
            <w:tcBorders>
              <w:top w:val="nil"/>
              <w:left w:val="nil"/>
              <w:bottom w:val="nil"/>
              <w:right w:val="nil"/>
            </w:tcBorders>
            <w:shd w:val="clear" w:color="auto" w:fill="auto"/>
            <w:vAlign w:val="bottom"/>
          </w:tcPr>
          <w:p w14:paraId="33602BBA" w14:textId="23908869" w:rsidR="00D62E32" w:rsidRPr="00A367C6" w:rsidRDefault="00D62E32" w:rsidP="00D62E32">
            <w:pPr>
              <w:tabs>
                <w:tab w:val="left" w:pos="-720"/>
              </w:tabs>
              <w:suppressAutoHyphens/>
              <w:spacing w:after="0" w:line="280" w:lineRule="exact"/>
              <w:ind w:right="-5"/>
              <w:jc w:val="right"/>
              <w:rPr>
                <w:rFonts w:cs="Arial"/>
                <w:sz w:val="18"/>
                <w:szCs w:val="18"/>
              </w:rPr>
            </w:pPr>
            <w:r w:rsidRPr="00016AD1">
              <w:rPr>
                <w:rFonts w:cs="Arial"/>
                <w:sz w:val="18"/>
                <w:szCs w:val="18"/>
              </w:rPr>
              <w:t>1.501.045</w:t>
            </w:r>
          </w:p>
        </w:tc>
        <w:tc>
          <w:tcPr>
            <w:tcW w:w="538" w:type="pct"/>
            <w:tcBorders>
              <w:top w:val="nil"/>
              <w:left w:val="nil"/>
              <w:bottom w:val="nil"/>
              <w:right w:val="nil"/>
            </w:tcBorders>
            <w:shd w:val="clear" w:color="auto" w:fill="auto"/>
            <w:vAlign w:val="bottom"/>
          </w:tcPr>
          <w:p w14:paraId="0B7A4A2D" w14:textId="7ACDF583" w:rsidR="00D62E32" w:rsidRPr="00A367C6" w:rsidRDefault="00D62E32" w:rsidP="00D62E32">
            <w:pPr>
              <w:tabs>
                <w:tab w:val="left" w:pos="-720"/>
              </w:tabs>
              <w:suppressAutoHyphens/>
              <w:spacing w:after="0" w:line="280" w:lineRule="exact"/>
              <w:ind w:right="-5"/>
              <w:jc w:val="right"/>
              <w:rPr>
                <w:rFonts w:cs="Arial"/>
                <w:sz w:val="18"/>
                <w:szCs w:val="18"/>
              </w:rPr>
            </w:pPr>
            <w:r w:rsidRPr="00016AD1">
              <w:rPr>
                <w:rFonts w:cs="Arial"/>
                <w:sz w:val="18"/>
                <w:szCs w:val="18"/>
              </w:rPr>
              <w:t>2.872.891</w:t>
            </w:r>
          </w:p>
        </w:tc>
        <w:tc>
          <w:tcPr>
            <w:tcW w:w="539" w:type="pct"/>
            <w:gridSpan w:val="2"/>
            <w:tcBorders>
              <w:top w:val="nil"/>
              <w:left w:val="nil"/>
              <w:bottom w:val="nil"/>
              <w:right w:val="nil"/>
            </w:tcBorders>
            <w:shd w:val="clear" w:color="auto" w:fill="auto"/>
            <w:vAlign w:val="bottom"/>
          </w:tcPr>
          <w:p w14:paraId="6D7C5E63" w14:textId="4A50ACD5" w:rsidR="00D62E32" w:rsidRPr="00A367C6" w:rsidRDefault="00D62E32" w:rsidP="00D62E32">
            <w:pPr>
              <w:tabs>
                <w:tab w:val="left" w:pos="-720"/>
              </w:tabs>
              <w:suppressAutoHyphens/>
              <w:spacing w:after="0" w:line="280" w:lineRule="exact"/>
              <w:ind w:right="-5"/>
              <w:jc w:val="right"/>
              <w:rPr>
                <w:rFonts w:cs="Arial"/>
                <w:sz w:val="18"/>
                <w:szCs w:val="18"/>
              </w:rPr>
            </w:pPr>
            <w:r w:rsidRPr="00016AD1">
              <w:rPr>
                <w:rFonts w:cs="Arial"/>
                <w:sz w:val="18"/>
                <w:szCs w:val="18"/>
              </w:rPr>
              <w:t>5.621.646</w:t>
            </w:r>
          </w:p>
        </w:tc>
        <w:tc>
          <w:tcPr>
            <w:tcW w:w="539" w:type="pct"/>
            <w:gridSpan w:val="3"/>
            <w:tcBorders>
              <w:top w:val="nil"/>
              <w:left w:val="nil"/>
              <w:bottom w:val="nil"/>
              <w:right w:val="nil"/>
            </w:tcBorders>
            <w:shd w:val="clear" w:color="auto" w:fill="auto"/>
            <w:vAlign w:val="bottom"/>
          </w:tcPr>
          <w:p w14:paraId="573DE517" w14:textId="1403462B"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14.214</w:t>
            </w:r>
          </w:p>
        </w:tc>
        <w:tc>
          <w:tcPr>
            <w:tcW w:w="538" w:type="pct"/>
            <w:tcBorders>
              <w:top w:val="nil"/>
              <w:left w:val="nil"/>
              <w:bottom w:val="nil"/>
              <w:right w:val="nil"/>
            </w:tcBorders>
            <w:shd w:val="clear" w:color="auto" w:fill="auto"/>
            <w:vAlign w:val="bottom"/>
          </w:tcPr>
          <w:p w14:paraId="7C8A7732" w14:textId="5CA78A7B"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11.313.502</w:t>
            </w:r>
          </w:p>
        </w:tc>
      </w:tr>
      <w:tr w:rsidR="00D62E32" w:rsidRPr="008D359F" w14:paraId="33111819" w14:textId="77777777" w:rsidTr="00312975">
        <w:trPr>
          <w:trHeight w:hRule="exact" w:val="284"/>
        </w:trPr>
        <w:tc>
          <w:tcPr>
            <w:tcW w:w="1347" w:type="pct"/>
            <w:shd w:val="clear" w:color="auto" w:fill="auto"/>
            <w:vAlign w:val="bottom"/>
          </w:tcPr>
          <w:p w14:paraId="494BAC07" w14:textId="77777777" w:rsidR="00D62E32" w:rsidRPr="008D359F" w:rsidRDefault="00D62E32" w:rsidP="00D62E32">
            <w:pPr>
              <w:tabs>
                <w:tab w:val="left" w:pos="-720"/>
              </w:tabs>
              <w:suppressAutoHyphens/>
              <w:spacing w:after="0" w:line="280" w:lineRule="exact"/>
              <w:ind w:right="-5"/>
              <w:rPr>
                <w:rFonts w:cs="Arial"/>
                <w:sz w:val="18"/>
                <w:szCs w:val="18"/>
              </w:rPr>
            </w:pPr>
            <w:r w:rsidRPr="008D359F">
              <w:rPr>
                <w:rFonts w:cs="Arial"/>
                <w:sz w:val="18"/>
                <w:szCs w:val="18"/>
              </w:rPr>
              <w:t>Krediti ostalim korisnicima</w:t>
            </w:r>
          </w:p>
        </w:tc>
        <w:tc>
          <w:tcPr>
            <w:tcW w:w="522" w:type="pct"/>
            <w:gridSpan w:val="2"/>
            <w:tcBorders>
              <w:top w:val="nil"/>
              <w:left w:val="nil"/>
              <w:bottom w:val="nil"/>
              <w:right w:val="nil"/>
            </w:tcBorders>
            <w:shd w:val="clear" w:color="auto" w:fill="auto"/>
            <w:vAlign w:val="bottom"/>
          </w:tcPr>
          <w:p w14:paraId="77136D18" w14:textId="227866A1" w:rsidR="00D62E32" w:rsidRPr="00A367C6" w:rsidRDefault="00D62E32" w:rsidP="00D62E32">
            <w:pPr>
              <w:tabs>
                <w:tab w:val="left" w:pos="-720"/>
              </w:tabs>
              <w:suppressAutoHyphens/>
              <w:spacing w:after="0" w:line="280" w:lineRule="exact"/>
              <w:ind w:right="-5"/>
              <w:jc w:val="right"/>
              <w:rPr>
                <w:rFonts w:cs="Arial"/>
                <w:sz w:val="18"/>
                <w:szCs w:val="18"/>
              </w:rPr>
            </w:pPr>
            <w:r w:rsidRPr="00016AD1">
              <w:rPr>
                <w:rFonts w:cs="Arial"/>
                <w:sz w:val="18"/>
                <w:szCs w:val="18"/>
              </w:rPr>
              <w:t>1.969.326</w:t>
            </w:r>
          </w:p>
        </w:tc>
        <w:tc>
          <w:tcPr>
            <w:tcW w:w="491" w:type="pct"/>
            <w:tcBorders>
              <w:top w:val="nil"/>
              <w:left w:val="nil"/>
              <w:bottom w:val="nil"/>
              <w:right w:val="nil"/>
            </w:tcBorders>
            <w:shd w:val="clear" w:color="auto" w:fill="auto"/>
            <w:vAlign w:val="bottom"/>
          </w:tcPr>
          <w:p w14:paraId="3F4D28C8" w14:textId="0005EF15" w:rsidR="00D62E32" w:rsidRPr="00A367C6" w:rsidRDefault="00D62E32" w:rsidP="00D62E32">
            <w:pPr>
              <w:tabs>
                <w:tab w:val="left" w:pos="-720"/>
              </w:tabs>
              <w:suppressAutoHyphens/>
              <w:spacing w:after="0" w:line="280" w:lineRule="exact"/>
              <w:ind w:right="-5"/>
              <w:jc w:val="right"/>
              <w:rPr>
                <w:rFonts w:cs="Arial"/>
                <w:sz w:val="18"/>
                <w:szCs w:val="18"/>
              </w:rPr>
            </w:pPr>
            <w:r w:rsidRPr="00016AD1">
              <w:rPr>
                <w:rFonts w:cs="Arial"/>
                <w:sz w:val="18"/>
                <w:szCs w:val="18"/>
              </w:rPr>
              <w:t>740.883</w:t>
            </w:r>
          </w:p>
        </w:tc>
        <w:tc>
          <w:tcPr>
            <w:tcW w:w="486" w:type="pct"/>
            <w:tcBorders>
              <w:top w:val="nil"/>
              <w:left w:val="nil"/>
              <w:bottom w:val="nil"/>
              <w:right w:val="nil"/>
            </w:tcBorders>
            <w:shd w:val="clear" w:color="auto" w:fill="auto"/>
            <w:vAlign w:val="bottom"/>
          </w:tcPr>
          <w:p w14:paraId="0E224C43" w14:textId="7EB19BC4" w:rsidR="00D62E32" w:rsidRPr="00A367C6" w:rsidRDefault="00D62E32" w:rsidP="00D62E32">
            <w:pPr>
              <w:tabs>
                <w:tab w:val="left" w:pos="-720"/>
              </w:tabs>
              <w:suppressAutoHyphens/>
              <w:spacing w:after="0" w:line="280" w:lineRule="exact"/>
              <w:ind w:right="-5"/>
              <w:jc w:val="right"/>
              <w:rPr>
                <w:rFonts w:cs="Arial"/>
                <w:sz w:val="18"/>
                <w:szCs w:val="18"/>
              </w:rPr>
            </w:pPr>
            <w:r w:rsidRPr="00016AD1">
              <w:rPr>
                <w:rFonts w:cs="Arial"/>
                <w:sz w:val="18"/>
                <w:szCs w:val="18"/>
              </w:rPr>
              <w:t>784.146</w:t>
            </w:r>
          </w:p>
        </w:tc>
        <w:tc>
          <w:tcPr>
            <w:tcW w:w="538" w:type="pct"/>
            <w:tcBorders>
              <w:top w:val="nil"/>
              <w:left w:val="nil"/>
              <w:bottom w:val="nil"/>
              <w:right w:val="nil"/>
            </w:tcBorders>
            <w:shd w:val="clear" w:color="auto" w:fill="auto"/>
            <w:vAlign w:val="bottom"/>
          </w:tcPr>
          <w:p w14:paraId="54D46461" w14:textId="7EB1B5AC" w:rsidR="00D62E32" w:rsidRPr="00A367C6" w:rsidRDefault="00D62E32" w:rsidP="00D62E32">
            <w:pPr>
              <w:tabs>
                <w:tab w:val="left" w:pos="-720"/>
              </w:tabs>
              <w:suppressAutoHyphens/>
              <w:spacing w:after="0" w:line="280" w:lineRule="exact"/>
              <w:ind w:right="-5"/>
              <w:jc w:val="right"/>
              <w:rPr>
                <w:rFonts w:cs="Arial"/>
                <w:sz w:val="18"/>
                <w:szCs w:val="18"/>
              </w:rPr>
            </w:pPr>
            <w:r w:rsidRPr="00016AD1">
              <w:rPr>
                <w:rFonts w:cs="Arial"/>
                <w:sz w:val="18"/>
                <w:szCs w:val="18"/>
              </w:rPr>
              <w:t>1.573.916</w:t>
            </w:r>
          </w:p>
        </w:tc>
        <w:tc>
          <w:tcPr>
            <w:tcW w:w="539" w:type="pct"/>
            <w:gridSpan w:val="2"/>
            <w:tcBorders>
              <w:top w:val="nil"/>
              <w:left w:val="nil"/>
              <w:bottom w:val="nil"/>
              <w:right w:val="nil"/>
            </w:tcBorders>
            <w:shd w:val="clear" w:color="auto" w:fill="auto"/>
            <w:vAlign w:val="bottom"/>
          </w:tcPr>
          <w:p w14:paraId="731BC65C" w14:textId="02937ED9" w:rsidR="00D62E32" w:rsidRPr="00A367C6" w:rsidRDefault="00D62E32" w:rsidP="00D62E32">
            <w:pPr>
              <w:tabs>
                <w:tab w:val="left" w:pos="-720"/>
              </w:tabs>
              <w:suppressAutoHyphens/>
              <w:spacing w:after="0" w:line="280" w:lineRule="exact"/>
              <w:ind w:right="-5"/>
              <w:jc w:val="right"/>
              <w:rPr>
                <w:rFonts w:cs="Arial"/>
                <w:sz w:val="18"/>
                <w:szCs w:val="18"/>
              </w:rPr>
            </w:pPr>
            <w:r w:rsidRPr="00016AD1">
              <w:rPr>
                <w:rFonts w:cs="Arial"/>
                <w:sz w:val="18"/>
                <w:szCs w:val="18"/>
              </w:rPr>
              <w:t>6.524.620</w:t>
            </w:r>
          </w:p>
        </w:tc>
        <w:tc>
          <w:tcPr>
            <w:tcW w:w="539" w:type="pct"/>
            <w:gridSpan w:val="3"/>
            <w:tcBorders>
              <w:top w:val="nil"/>
              <w:left w:val="nil"/>
              <w:bottom w:val="nil"/>
              <w:right w:val="nil"/>
            </w:tcBorders>
            <w:shd w:val="clear" w:color="auto" w:fill="auto"/>
            <w:vAlign w:val="bottom"/>
          </w:tcPr>
          <w:p w14:paraId="0B95B18F" w14:textId="6F760BF1"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54.223</w:t>
            </w:r>
          </w:p>
        </w:tc>
        <w:tc>
          <w:tcPr>
            <w:tcW w:w="538" w:type="pct"/>
            <w:tcBorders>
              <w:top w:val="nil"/>
              <w:left w:val="nil"/>
              <w:bottom w:val="nil"/>
              <w:right w:val="nil"/>
            </w:tcBorders>
            <w:shd w:val="clear" w:color="auto" w:fill="auto"/>
            <w:vAlign w:val="bottom"/>
          </w:tcPr>
          <w:p w14:paraId="08C9716D" w14:textId="1EB516D7"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11.647.114</w:t>
            </w:r>
          </w:p>
        </w:tc>
      </w:tr>
      <w:tr w:rsidR="00D62E32" w:rsidRPr="008D359F" w14:paraId="4A1D44FE" w14:textId="77777777" w:rsidTr="00312975">
        <w:trPr>
          <w:trHeight w:val="691"/>
        </w:trPr>
        <w:tc>
          <w:tcPr>
            <w:tcW w:w="1347" w:type="pct"/>
            <w:shd w:val="clear" w:color="auto" w:fill="auto"/>
            <w:vAlign w:val="bottom"/>
          </w:tcPr>
          <w:p w14:paraId="31D64515" w14:textId="77777777" w:rsidR="00D62E32" w:rsidRPr="008D359F" w:rsidRDefault="00D62E32" w:rsidP="00D62E32">
            <w:pPr>
              <w:tabs>
                <w:tab w:val="left" w:pos="-720"/>
              </w:tabs>
              <w:suppressAutoHyphens/>
              <w:spacing w:after="0" w:line="280" w:lineRule="exact"/>
              <w:ind w:right="-5"/>
              <w:rPr>
                <w:rFonts w:cs="Arial"/>
                <w:sz w:val="18"/>
                <w:szCs w:val="18"/>
              </w:rPr>
            </w:pPr>
            <w:r w:rsidRPr="008D359F">
              <w:rPr>
                <w:rFonts w:cs="Arial"/>
                <w:sz w:val="18"/>
                <w:szCs w:val="18"/>
              </w:rPr>
              <w:t>Financijska imovina po fer vrijednosti kroz izvještaj o dobiti i gubitku</w:t>
            </w:r>
          </w:p>
        </w:tc>
        <w:tc>
          <w:tcPr>
            <w:tcW w:w="522" w:type="pct"/>
            <w:gridSpan w:val="2"/>
            <w:tcBorders>
              <w:top w:val="nil"/>
              <w:left w:val="nil"/>
              <w:bottom w:val="nil"/>
              <w:right w:val="nil"/>
            </w:tcBorders>
            <w:shd w:val="clear" w:color="auto" w:fill="auto"/>
            <w:vAlign w:val="bottom"/>
          </w:tcPr>
          <w:p w14:paraId="042513D8" w14:textId="2439EB15"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491" w:type="pct"/>
            <w:tcBorders>
              <w:top w:val="nil"/>
              <w:left w:val="nil"/>
              <w:bottom w:val="nil"/>
              <w:right w:val="nil"/>
            </w:tcBorders>
            <w:shd w:val="clear" w:color="auto" w:fill="auto"/>
            <w:vAlign w:val="bottom"/>
          </w:tcPr>
          <w:p w14:paraId="1D76F773" w14:textId="5CFC4836"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77FFB02B" w14:textId="556B39AD"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27166712" w14:textId="0D907792"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217CE459" w14:textId="7A47C7B8"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3"/>
            <w:tcBorders>
              <w:top w:val="nil"/>
              <w:left w:val="nil"/>
              <w:bottom w:val="nil"/>
              <w:right w:val="nil"/>
            </w:tcBorders>
            <w:shd w:val="clear" w:color="auto" w:fill="auto"/>
            <w:vAlign w:val="bottom"/>
          </w:tcPr>
          <w:p w14:paraId="4F50F6C2" w14:textId="2EC5DA14"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284</w:t>
            </w:r>
          </w:p>
        </w:tc>
        <w:tc>
          <w:tcPr>
            <w:tcW w:w="538" w:type="pct"/>
            <w:tcBorders>
              <w:top w:val="nil"/>
              <w:left w:val="nil"/>
              <w:bottom w:val="nil"/>
              <w:right w:val="nil"/>
            </w:tcBorders>
            <w:shd w:val="clear" w:color="auto" w:fill="auto"/>
            <w:vAlign w:val="bottom"/>
          </w:tcPr>
          <w:p w14:paraId="701754CE" w14:textId="774BEB08"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284</w:t>
            </w:r>
          </w:p>
        </w:tc>
      </w:tr>
      <w:tr w:rsidR="00D62E32" w:rsidRPr="008D359F" w14:paraId="1CF43176" w14:textId="77777777" w:rsidTr="00312975">
        <w:trPr>
          <w:trHeight w:hRule="exact" w:val="284"/>
        </w:trPr>
        <w:tc>
          <w:tcPr>
            <w:tcW w:w="1347" w:type="pct"/>
            <w:shd w:val="clear" w:color="auto" w:fill="auto"/>
            <w:vAlign w:val="bottom"/>
          </w:tcPr>
          <w:p w14:paraId="5FEC9C50" w14:textId="77777777" w:rsidR="00D62E32" w:rsidRPr="008D359F" w:rsidRDefault="00D62E32" w:rsidP="00D62E32">
            <w:pPr>
              <w:tabs>
                <w:tab w:val="left" w:pos="-720"/>
              </w:tabs>
              <w:suppressAutoHyphens/>
              <w:spacing w:after="0" w:line="280" w:lineRule="exact"/>
              <w:ind w:right="-5"/>
              <w:rPr>
                <w:rFonts w:cs="Arial"/>
                <w:sz w:val="18"/>
                <w:szCs w:val="18"/>
              </w:rPr>
            </w:pPr>
            <w:r w:rsidRPr="008D359F">
              <w:rPr>
                <w:rFonts w:cs="Arial"/>
                <w:sz w:val="18"/>
                <w:szCs w:val="18"/>
              </w:rPr>
              <w:t>Imovina raspoloživa za prodaju</w:t>
            </w:r>
          </w:p>
        </w:tc>
        <w:tc>
          <w:tcPr>
            <w:tcW w:w="522" w:type="pct"/>
            <w:gridSpan w:val="2"/>
            <w:tcBorders>
              <w:top w:val="nil"/>
              <w:left w:val="nil"/>
              <w:bottom w:val="nil"/>
              <w:right w:val="nil"/>
            </w:tcBorders>
            <w:shd w:val="clear" w:color="auto" w:fill="auto"/>
            <w:vAlign w:val="bottom"/>
          </w:tcPr>
          <w:p w14:paraId="13359350" w14:textId="368493D5"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2.183.784</w:t>
            </w:r>
          </w:p>
        </w:tc>
        <w:tc>
          <w:tcPr>
            <w:tcW w:w="491" w:type="pct"/>
            <w:tcBorders>
              <w:top w:val="nil"/>
              <w:left w:val="nil"/>
              <w:bottom w:val="nil"/>
              <w:right w:val="nil"/>
            </w:tcBorders>
            <w:shd w:val="clear" w:color="auto" w:fill="auto"/>
            <w:vAlign w:val="bottom"/>
          </w:tcPr>
          <w:p w14:paraId="09612D45" w14:textId="17282B06"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7012754C" w14:textId="7B073415"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0F2ADE85" w14:textId="5E65FE97"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7AA75C2B" w14:textId="09E4D587"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3"/>
            <w:tcBorders>
              <w:top w:val="nil"/>
              <w:left w:val="nil"/>
              <w:bottom w:val="nil"/>
              <w:right w:val="nil"/>
            </w:tcBorders>
            <w:shd w:val="clear" w:color="auto" w:fill="auto"/>
            <w:vAlign w:val="bottom"/>
          </w:tcPr>
          <w:p w14:paraId="0187E53F" w14:textId="2AE05A63"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913.365</w:t>
            </w:r>
          </w:p>
        </w:tc>
        <w:tc>
          <w:tcPr>
            <w:tcW w:w="538" w:type="pct"/>
            <w:tcBorders>
              <w:top w:val="nil"/>
              <w:left w:val="nil"/>
              <w:bottom w:val="nil"/>
              <w:right w:val="nil"/>
            </w:tcBorders>
            <w:shd w:val="clear" w:color="auto" w:fill="auto"/>
            <w:vAlign w:val="bottom"/>
          </w:tcPr>
          <w:p w14:paraId="55724CAB" w14:textId="7BF8403C"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3.097.149</w:t>
            </w:r>
          </w:p>
        </w:tc>
      </w:tr>
      <w:tr w:rsidR="00D62E32" w:rsidRPr="008D359F" w14:paraId="66089756" w14:textId="77777777" w:rsidTr="00312975">
        <w:trPr>
          <w:trHeight w:hRule="exact" w:val="284"/>
        </w:trPr>
        <w:tc>
          <w:tcPr>
            <w:tcW w:w="1347" w:type="pct"/>
            <w:shd w:val="clear" w:color="auto" w:fill="auto"/>
            <w:vAlign w:val="bottom"/>
          </w:tcPr>
          <w:p w14:paraId="5F1A4C0A" w14:textId="77777777" w:rsidR="00D62E32" w:rsidRPr="008D359F" w:rsidRDefault="00D62E32" w:rsidP="00D62E32">
            <w:pPr>
              <w:tabs>
                <w:tab w:val="left" w:pos="-720"/>
              </w:tabs>
              <w:suppressAutoHyphens/>
              <w:spacing w:after="0" w:line="280" w:lineRule="exact"/>
              <w:ind w:right="-5"/>
              <w:rPr>
                <w:rFonts w:cs="Arial"/>
                <w:sz w:val="18"/>
                <w:szCs w:val="18"/>
              </w:rPr>
            </w:pPr>
            <w:r w:rsidRPr="008D359F">
              <w:rPr>
                <w:rFonts w:cs="Arial"/>
                <w:sz w:val="18"/>
                <w:szCs w:val="18"/>
              </w:rPr>
              <w:t>Imovina koja se drži do dospijeća</w:t>
            </w:r>
          </w:p>
        </w:tc>
        <w:tc>
          <w:tcPr>
            <w:tcW w:w="522" w:type="pct"/>
            <w:gridSpan w:val="2"/>
            <w:tcBorders>
              <w:top w:val="nil"/>
              <w:left w:val="nil"/>
              <w:bottom w:val="nil"/>
              <w:right w:val="nil"/>
            </w:tcBorders>
            <w:shd w:val="clear" w:color="auto" w:fill="auto"/>
            <w:vAlign w:val="bottom"/>
          </w:tcPr>
          <w:p w14:paraId="0EE4031D" w14:textId="7DC52771"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491" w:type="pct"/>
            <w:tcBorders>
              <w:top w:val="nil"/>
              <w:left w:val="nil"/>
              <w:bottom w:val="nil"/>
              <w:right w:val="nil"/>
            </w:tcBorders>
            <w:shd w:val="clear" w:color="auto" w:fill="auto"/>
            <w:vAlign w:val="bottom"/>
          </w:tcPr>
          <w:p w14:paraId="5C581D17" w14:textId="0F871EC1"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3B60E5FB" w14:textId="4DB3799A"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0F6393DF" w14:textId="794CD837"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7A2C82A3" w14:textId="140FBCEE"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1.373</w:t>
            </w:r>
          </w:p>
        </w:tc>
        <w:tc>
          <w:tcPr>
            <w:tcW w:w="539" w:type="pct"/>
            <w:gridSpan w:val="3"/>
            <w:tcBorders>
              <w:top w:val="nil"/>
              <w:left w:val="nil"/>
              <w:bottom w:val="nil"/>
              <w:right w:val="nil"/>
            </w:tcBorders>
            <w:shd w:val="clear" w:color="auto" w:fill="auto"/>
            <w:vAlign w:val="bottom"/>
          </w:tcPr>
          <w:p w14:paraId="189CA300" w14:textId="3ACFAF2F"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17</w:t>
            </w:r>
          </w:p>
        </w:tc>
        <w:tc>
          <w:tcPr>
            <w:tcW w:w="538" w:type="pct"/>
            <w:tcBorders>
              <w:top w:val="nil"/>
              <w:left w:val="nil"/>
              <w:bottom w:val="nil"/>
              <w:right w:val="nil"/>
            </w:tcBorders>
            <w:shd w:val="clear" w:color="auto" w:fill="auto"/>
            <w:vAlign w:val="bottom"/>
          </w:tcPr>
          <w:p w14:paraId="4C25ED2C" w14:textId="4C8064CE"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1.390</w:t>
            </w:r>
          </w:p>
        </w:tc>
      </w:tr>
      <w:tr w:rsidR="00D62E32" w:rsidRPr="008D359F" w14:paraId="14AC77D6" w14:textId="77777777" w:rsidTr="00312975">
        <w:trPr>
          <w:trHeight w:hRule="exact" w:val="284"/>
        </w:trPr>
        <w:tc>
          <w:tcPr>
            <w:tcW w:w="1347" w:type="pct"/>
            <w:shd w:val="clear" w:color="auto" w:fill="auto"/>
            <w:vAlign w:val="bottom"/>
          </w:tcPr>
          <w:p w14:paraId="72A29CB9" w14:textId="77777777" w:rsidR="00D62E32" w:rsidRPr="008D359F" w:rsidRDefault="00D62E32" w:rsidP="00D62E32">
            <w:pPr>
              <w:tabs>
                <w:tab w:val="left" w:pos="-720"/>
              </w:tabs>
              <w:suppressAutoHyphens/>
              <w:spacing w:after="0" w:line="280" w:lineRule="exact"/>
              <w:ind w:right="-5"/>
              <w:rPr>
                <w:rFonts w:cs="Arial"/>
                <w:sz w:val="18"/>
                <w:szCs w:val="18"/>
              </w:rPr>
            </w:pPr>
            <w:r w:rsidRPr="008D359F">
              <w:rPr>
                <w:rFonts w:cs="Arial"/>
                <w:sz w:val="18"/>
                <w:szCs w:val="18"/>
              </w:rPr>
              <w:t>Ulaganja u pridružena društva</w:t>
            </w:r>
          </w:p>
        </w:tc>
        <w:tc>
          <w:tcPr>
            <w:tcW w:w="522" w:type="pct"/>
            <w:gridSpan w:val="2"/>
            <w:tcBorders>
              <w:top w:val="nil"/>
              <w:left w:val="nil"/>
              <w:bottom w:val="nil"/>
              <w:right w:val="nil"/>
            </w:tcBorders>
            <w:shd w:val="clear" w:color="auto" w:fill="auto"/>
            <w:vAlign w:val="bottom"/>
          </w:tcPr>
          <w:p w14:paraId="63636748" w14:textId="74A81EA8"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491" w:type="pct"/>
            <w:tcBorders>
              <w:top w:val="nil"/>
              <w:left w:val="nil"/>
              <w:bottom w:val="nil"/>
              <w:right w:val="nil"/>
            </w:tcBorders>
            <w:shd w:val="clear" w:color="auto" w:fill="auto"/>
            <w:vAlign w:val="bottom"/>
          </w:tcPr>
          <w:p w14:paraId="777E1B95" w14:textId="70ACFB7B"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3BF50895" w14:textId="37387F9E"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425713DF" w14:textId="0D849376"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21A22064" w14:textId="3219DF26"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3"/>
            <w:tcBorders>
              <w:top w:val="nil"/>
              <w:left w:val="nil"/>
              <w:bottom w:val="nil"/>
              <w:right w:val="nil"/>
            </w:tcBorders>
            <w:shd w:val="clear" w:color="auto" w:fill="auto"/>
            <w:vAlign w:val="bottom"/>
          </w:tcPr>
          <w:p w14:paraId="63C14FA7" w14:textId="25928102"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0A19A3C5" w14:textId="006BF928"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r>
      <w:tr w:rsidR="00D62E32" w:rsidRPr="008D359F" w14:paraId="74220D61" w14:textId="77777777" w:rsidTr="00312975">
        <w:trPr>
          <w:trHeight w:val="584"/>
        </w:trPr>
        <w:tc>
          <w:tcPr>
            <w:tcW w:w="1347" w:type="pct"/>
            <w:shd w:val="clear" w:color="auto" w:fill="auto"/>
            <w:vAlign w:val="bottom"/>
          </w:tcPr>
          <w:p w14:paraId="377E1A38" w14:textId="77777777" w:rsidR="00D62E32" w:rsidRPr="008D359F" w:rsidRDefault="00D62E32" w:rsidP="00D62E32">
            <w:pPr>
              <w:tabs>
                <w:tab w:val="left" w:pos="-720"/>
              </w:tabs>
              <w:suppressAutoHyphens/>
              <w:spacing w:after="0" w:line="280" w:lineRule="exact"/>
              <w:ind w:right="-5"/>
              <w:rPr>
                <w:rFonts w:cs="Arial"/>
                <w:sz w:val="18"/>
                <w:szCs w:val="18"/>
              </w:rPr>
            </w:pPr>
            <w:r w:rsidRPr="008D359F">
              <w:rPr>
                <w:rFonts w:cs="Arial"/>
                <w:sz w:val="18"/>
                <w:szCs w:val="18"/>
              </w:rPr>
              <w:t>Nekretnine, postrojenja i oprema i nematerijalna imovina</w:t>
            </w:r>
          </w:p>
        </w:tc>
        <w:tc>
          <w:tcPr>
            <w:tcW w:w="522" w:type="pct"/>
            <w:gridSpan w:val="2"/>
            <w:tcBorders>
              <w:top w:val="nil"/>
              <w:left w:val="nil"/>
              <w:bottom w:val="nil"/>
              <w:right w:val="nil"/>
            </w:tcBorders>
            <w:shd w:val="clear" w:color="auto" w:fill="auto"/>
            <w:vAlign w:val="bottom"/>
          </w:tcPr>
          <w:p w14:paraId="7BC0A923" w14:textId="49421553"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491" w:type="pct"/>
            <w:tcBorders>
              <w:top w:val="nil"/>
              <w:left w:val="nil"/>
              <w:bottom w:val="nil"/>
              <w:right w:val="nil"/>
            </w:tcBorders>
            <w:shd w:val="clear" w:color="auto" w:fill="auto"/>
            <w:vAlign w:val="bottom"/>
          </w:tcPr>
          <w:p w14:paraId="292598E8" w14:textId="0738E7ED"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2267B30E" w14:textId="2D2614B7"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7F4CF174" w14:textId="28F56B00"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45D7F962" w14:textId="6A16B384"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3"/>
            <w:tcBorders>
              <w:top w:val="nil"/>
              <w:left w:val="nil"/>
              <w:bottom w:val="nil"/>
              <w:right w:val="nil"/>
            </w:tcBorders>
            <w:shd w:val="clear" w:color="auto" w:fill="auto"/>
            <w:vAlign w:val="bottom"/>
          </w:tcPr>
          <w:p w14:paraId="09870364" w14:textId="03F1CAF7"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55.195</w:t>
            </w:r>
          </w:p>
        </w:tc>
        <w:tc>
          <w:tcPr>
            <w:tcW w:w="538" w:type="pct"/>
            <w:tcBorders>
              <w:top w:val="nil"/>
              <w:left w:val="nil"/>
              <w:bottom w:val="nil"/>
              <w:right w:val="nil"/>
            </w:tcBorders>
            <w:shd w:val="clear" w:color="auto" w:fill="auto"/>
            <w:vAlign w:val="bottom"/>
          </w:tcPr>
          <w:p w14:paraId="1B99BE31" w14:textId="6E040A71"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55.195</w:t>
            </w:r>
          </w:p>
        </w:tc>
      </w:tr>
      <w:tr w:rsidR="00D62E32" w:rsidRPr="008D359F" w14:paraId="5B10275C" w14:textId="77777777" w:rsidTr="00312975">
        <w:trPr>
          <w:trHeight w:val="463"/>
        </w:trPr>
        <w:tc>
          <w:tcPr>
            <w:tcW w:w="1347" w:type="pct"/>
            <w:shd w:val="clear" w:color="auto" w:fill="auto"/>
            <w:vAlign w:val="bottom"/>
          </w:tcPr>
          <w:p w14:paraId="59682930" w14:textId="77777777" w:rsidR="00D62E32" w:rsidRPr="008D359F" w:rsidRDefault="00D62E32" w:rsidP="00D62E32">
            <w:pPr>
              <w:tabs>
                <w:tab w:val="left" w:pos="-720"/>
              </w:tabs>
              <w:suppressAutoHyphens/>
              <w:spacing w:after="0" w:line="280" w:lineRule="exact"/>
              <w:ind w:right="-5"/>
              <w:rPr>
                <w:rFonts w:cs="Arial"/>
                <w:sz w:val="18"/>
                <w:szCs w:val="18"/>
              </w:rPr>
            </w:pPr>
            <w:r w:rsidRPr="008D359F">
              <w:rPr>
                <w:rFonts w:cs="Arial"/>
                <w:sz w:val="18"/>
                <w:szCs w:val="18"/>
              </w:rPr>
              <w:t>Dugotrajna imovina namijenjena prodaji</w:t>
            </w:r>
          </w:p>
        </w:tc>
        <w:tc>
          <w:tcPr>
            <w:tcW w:w="522" w:type="pct"/>
            <w:gridSpan w:val="2"/>
            <w:tcBorders>
              <w:top w:val="nil"/>
              <w:left w:val="nil"/>
              <w:bottom w:val="nil"/>
              <w:right w:val="nil"/>
            </w:tcBorders>
            <w:shd w:val="clear" w:color="auto" w:fill="auto"/>
            <w:vAlign w:val="bottom"/>
          </w:tcPr>
          <w:p w14:paraId="0C010675" w14:textId="2C119168"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491" w:type="pct"/>
            <w:tcBorders>
              <w:top w:val="nil"/>
              <w:left w:val="nil"/>
              <w:bottom w:val="nil"/>
              <w:right w:val="nil"/>
            </w:tcBorders>
            <w:shd w:val="clear" w:color="auto" w:fill="auto"/>
            <w:vAlign w:val="bottom"/>
          </w:tcPr>
          <w:p w14:paraId="1E617F30" w14:textId="3903FC1A"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1D590F42" w14:textId="68EB498F"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7CAB2101" w14:textId="2571E42B"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4C1E0EE3" w14:textId="1D4B0AB5"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3"/>
            <w:tcBorders>
              <w:top w:val="nil"/>
              <w:left w:val="nil"/>
              <w:bottom w:val="nil"/>
              <w:right w:val="nil"/>
            </w:tcBorders>
            <w:shd w:val="clear" w:color="auto" w:fill="auto"/>
            <w:vAlign w:val="bottom"/>
          </w:tcPr>
          <w:p w14:paraId="382DE71E" w14:textId="62E6875C"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17.030</w:t>
            </w:r>
          </w:p>
        </w:tc>
        <w:tc>
          <w:tcPr>
            <w:tcW w:w="538" w:type="pct"/>
            <w:tcBorders>
              <w:top w:val="nil"/>
              <w:left w:val="nil"/>
              <w:bottom w:val="nil"/>
              <w:right w:val="nil"/>
            </w:tcBorders>
            <w:shd w:val="clear" w:color="auto" w:fill="auto"/>
            <w:vAlign w:val="bottom"/>
          </w:tcPr>
          <w:p w14:paraId="54083CC5" w14:textId="40E3CACF"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17.030</w:t>
            </w:r>
          </w:p>
        </w:tc>
      </w:tr>
      <w:tr w:rsidR="00D62E32" w:rsidRPr="008D359F" w14:paraId="59494B01" w14:textId="77777777" w:rsidTr="00312975">
        <w:trPr>
          <w:trHeight w:val="226"/>
        </w:trPr>
        <w:tc>
          <w:tcPr>
            <w:tcW w:w="1347" w:type="pct"/>
            <w:shd w:val="clear" w:color="auto" w:fill="auto"/>
            <w:vAlign w:val="bottom"/>
          </w:tcPr>
          <w:p w14:paraId="15C2CD71" w14:textId="77777777" w:rsidR="00D62E32" w:rsidRPr="008D359F" w:rsidRDefault="00D62E32" w:rsidP="00D62E32">
            <w:pPr>
              <w:tabs>
                <w:tab w:val="left" w:pos="-720"/>
              </w:tabs>
              <w:suppressAutoHyphens/>
              <w:spacing w:after="0" w:line="280" w:lineRule="exact"/>
              <w:ind w:right="-5"/>
              <w:rPr>
                <w:rFonts w:cs="Arial"/>
                <w:sz w:val="18"/>
                <w:szCs w:val="18"/>
              </w:rPr>
            </w:pPr>
            <w:r w:rsidRPr="008D359F">
              <w:rPr>
                <w:rFonts w:cs="Arial"/>
                <w:sz w:val="18"/>
                <w:szCs w:val="18"/>
              </w:rPr>
              <w:t>Ostala imovina</w:t>
            </w:r>
          </w:p>
        </w:tc>
        <w:tc>
          <w:tcPr>
            <w:tcW w:w="522" w:type="pct"/>
            <w:gridSpan w:val="2"/>
            <w:tcBorders>
              <w:top w:val="nil"/>
              <w:left w:val="nil"/>
              <w:bottom w:val="nil"/>
              <w:right w:val="nil"/>
            </w:tcBorders>
            <w:shd w:val="clear" w:color="auto" w:fill="auto"/>
            <w:vAlign w:val="bottom"/>
          </w:tcPr>
          <w:p w14:paraId="6D50136F" w14:textId="7DE840BC"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491" w:type="pct"/>
            <w:tcBorders>
              <w:top w:val="nil"/>
              <w:left w:val="nil"/>
              <w:bottom w:val="nil"/>
              <w:right w:val="nil"/>
            </w:tcBorders>
            <w:shd w:val="clear" w:color="auto" w:fill="auto"/>
            <w:vAlign w:val="bottom"/>
          </w:tcPr>
          <w:p w14:paraId="340669AF" w14:textId="52086ED2"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486" w:type="pct"/>
            <w:tcBorders>
              <w:top w:val="nil"/>
              <w:left w:val="nil"/>
              <w:bottom w:val="nil"/>
              <w:right w:val="nil"/>
            </w:tcBorders>
            <w:shd w:val="clear" w:color="auto" w:fill="auto"/>
            <w:vAlign w:val="bottom"/>
          </w:tcPr>
          <w:p w14:paraId="751128D3" w14:textId="28905850"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8" w:type="pct"/>
            <w:tcBorders>
              <w:top w:val="nil"/>
              <w:left w:val="nil"/>
              <w:bottom w:val="nil"/>
              <w:right w:val="nil"/>
            </w:tcBorders>
            <w:shd w:val="clear" w:color="auto" w:fill="auto"/>
            <w:vAlign w:val="bottom"/>
          </w:tcPr>
          <w:p w14:paraId="2E582715" w14:textId="4498CFBA"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2"/>
            <w:tcBorders>
              <w:top w:val="nil"/>
              <w:left w:val="nil"/>
              <w:bottom w:val="nil"/>
              <w:right w:val="nil"/>
            </w:tcBorders>
            <w:shd w:val="clear" w:color="auto" w:fill="auto"/>
            <w:vAlign w:val="bottom"/>
          </w:tcPr>
          <w:p w14:paraId="06E010FF" w14:textId="3565E42B"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9" w:type="pct"/>
            <w:gridSpan w:val="3"/>
            <w:tcBorders>
              <w:top w:val="nil"/>
              <w:left w:val="nil"/>
              <w:bottom w:val="nil"/>
              <w:right w:val="nil"/>
            </w:tcBorders>
            <w:shd w:val="clear" w:color="auto" w:fill="auto"/>
            <w:vAlign w:val="bottom"/>
          </w:tcPr>
          <w:p w14:paraId="5CF8BB3C" w14:textId="20EF180B"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9.338</w:t>
            </w:r>
          </w:p>
        </w:tc>
        <w:tc>
          <w:tcPr>
            <w:tcW w:w="538" w:type="pct"/>
            <w:tcBorders>
              <w:top w:val="nil"/>
              <w:left w:val="nil"/>
              <w:bottom w:val="nil"/>
              <w:right w:val="nil"/>
            </w:tcBorders>
            <w:shd w:val="clear" w:color="auto" w:fill="auto"/>
            <w:vAlign w:val="bottom"/>
          </w:tcPr>
          <w:p w14:paraId="4D33DA44" w14:textId="0F7A3058"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9.338</w:t>
            </w:r>
          </w:p>
        </w:tc>
      </w:tr>
      <w:tr w:rsidR="00D62E32" w:rsidRPr="008D359F" w14:paraId="36EDF48E" w14:textId="77777777" w:rsidTr="00312975">
        <w:trPr>
          <w:trHeight w:val="289"/>
        </w:trPr>
        <w:tc>
          <w:tcPr>
            <w:tcW w:w="1347" w:type="pct"/>
            <w:shd w:val="clear" w:color="auto" w:fill="auto"/>
            <w:vAlign w:val="bottom"/>
          </w:tcPr>
          <w:p w14:paraId="6BCF3935" w14:textId="77777777" w:rsidR="00D62E32" w:rsidRPr="008D359F" w:rsidRDefault="00D62E32" w:rsidP="00D62E32">
            <w:pPr>
              <w:pStyle w:val="Tot"/>
              <w:spacing w:line="320" w:lineRule="exact"/>
              <w:rPr>
                <w:rFonts w:asciiTheme="minorHAnsi" w:hAnsiTheme="minorHAnsi" w:cs="Arial"/>
                <w:b/>
                <w:bCs/>
                <w:sz w:val="18"/>
                <w:szCs w:val="18"/>
                <w:lang w:val="hr-HR"/>
              </w:rPr>
            </w:pPr>
            <w:r w:rsidRPr="008D359F">
              <w:rPr>
                <w:rFonts w:asciiTheme="minorHAnsi" w:hAnsiTheme="minorHAnsi" w:cs="Arial"/>
                <w:b/>
                <w:bCs/>
                <w:sz w:val="18"/>
                <w:szCs w:val="18"/>
                <w:lang w:val="hr-HR"/>
              </w:rPr>
              <w:t>Ukupna imovina (1)</w:t>
            </w:r>
          </w:p>
        </w:tc>
        <w:tc>
          <w:tcPr>
            <w:tcW w:w="522" w:type="pct"/>
            <w:gridSpan w:val="2"/>
            <w:tcBorders>
              <w:top w:val="single" w:sz="4" w:space="0" w:color="auto"/>
              <w:left w:val="nil"/>
              <w:bottom w:val="single" w:sz="8" w:space="0" w:color="auto"/>
              <w:right w:val="nil"/>
            </w:tcBorders>
            <w:shd w:val="clear" w:color="auto" w:fill="auto"/>
            <w:vAlign w:val="bottom"/>
          </w:tcPr>
          <w:p w14:paraId="07D289EA" w14:textId="5D9D6B58" w:rsidR="00D62E32" w:rsidRPr="00A367C6" w:rsidRDefault="00D62E32" w:rsidP="00D62E32">
            <w:pPr>
              <w:pStyle w:val="Tot"/>
              <w:spacing w:line="320" w:lineRule="exact"/>
              <w:jc w:val="right"/>
              <w:rPr>
                <w:rFonts w:asciiTheme="minorHAnsi" w:hAnsiTheme="minorHAnsi" w:cs="Arial"/>
                <w:b/>
                <w:bCs/>
                <w:sz w:val="18"/>
                <w:szCs w:val="18"/>
                <w:lang w:val="hr-HR"/>
              </w:rPr>
            </w:pPr>
            <w:r w:rsidRPr="00016AD1">
              <w:rPr>
                <w:rFonts w:asciiTheme="minorHAnsi" w:hAnsiTheme="minorHAnsi" w:cs="Arial"/>
                <w:b/>
                <w:bCs/>
                <w:sz w:val="18"/>
                <w:szCs w:val="18"/>
                <w:lang w:val="hr-HR"/>
              </w:rPr>
              <w:t>4.</w:t>
            </w:r>
            <w:r>
              <w:rPr>
                <w:rFonts w:asciiTheme="minorHAnsi" w:hAnsiTheme="minorHAnsi" w:cs="Arial"/>
                <w:b/>
                <w:bCs/>
                <w:sz w:val="18"/>
                <w:szCs w:val="18"/>
                <w:lang w:val="hr-HR"/>
              </w:rPr>
              <w:t>581.051</w:t>
            </w:r>
          </w:p>
        </w:tc>
        <w:tc>
          <w:tcPr>
            <w:tcW w:w="491" w:type="pct"/>
            <w:tcBorders>
              <w:top w:val="single" w:sz="4" w:space="0" w:color="auto"/>
              <w:left w:val="nil"/>
              <w:bottom w:val="single" w:sz="8" w:space="0" w:color="auto"/>
              <w:right w:val="nil"/>
            </w:tcBorders>
            <w:shd w:val="clear" w:color="auto" w:fill="auto"/>
            <w:vAlign w:val="bottom"/>
          </w:tcPr>
          <w:p w14:paraId="3301799A" w14:textId="7B2C04D4" w:rsidR="00D62E32" w:rsidRPr="00A367C6" w:rsidRDefault="00D62E32" w:rsidP="00D62E32">
            <w:pPr>
              <w:pStyle w:val="Tot"/>
              <w:spacing w:line="320" w:lineRule="exact"/>
              <w:jc w:val="right"/>
              <w:rPr>
                <w:rFonts w:asciiTheme="minorHAnsi" w:hAnsiTheme="minorHAnsi" w:cs="Arial"/>
                <w:b/>
                <w:bCs/>
                <w:sz w:val="18"/>
                <w:szCs w:val="18"/>
                <w:lang w:val="hr-HR"/>
              </w:rPr>
            </w:pPr>
            <w:r w:rsidRPr="00016AD1">
              <w:rPr>
                <w:rFonts w:asciiTheme="minorHAnsi" w:hAnsiTheme="minorHAnsi" w:cs="Arial"/>
                <w:b/>
                <w:bCs/>
                <w:sz w:val="18"/>
                <w:szCs w:val="18"/>
                <w:lang w:val="hr-HR"/>
              </w:rPr>
              <w:t>1.619.436</w:t>
            </w:r>
          </w:p>
        </w:tc>
        <w:tc>
          <w:tcPr>
            <w:tcW w:w="486" w:type="pct"/>
            <w:tcBorders>
              <w:top w:val="single" w:sz="4" w:space="0" w:color="auto"/>
              <w:left w:val="nil"/>
              <w:bottom w:val="single" w:sz="8" w:space="0" w:color="auto"/>
              <w:right w:val="nil"/>
            </w:tcBorders>
            <w:shd w:val="clear" w:color="auto" w:fill="auto"/>
            <w:vAlign w:val="center"/>
          </w:tcPr>
          <w:p w14:paraId="5AA2C722" w14:textId="62C22E80" w:rsidR="00D62E32" w:rsidRPr="00A367C6" w:rsidRDefault="00D62E32" w:rsidP="00D62E32">
            <w:pPr>
              <w:pStyle w:val="Tot"/>
              <w:spacing w:line="320" w:lineRule="exact"/>
              <w:jc w:val="right"/>
              <w:rPr>
                <w:rFonts w:asciiTheme="minorHAnsi" w:hAnsiTheme="minorHAnsi" w:cs="Arial"/>
                <w:b/>
                <w:bCs/>
                <w:sz w:val="18"/>
                <w:szCs w:val="18"/>
                <w:lang w:val="hr-HR"/>
              </w:rPr>
            </w:pPr>
            <w:r w:rsidRPr="00016AD1">
              <w:rPr>
                <w:rFonts w:asciiTheme="minorHAnsi" w:hAnsiTheme="minorHAnsi" w:cs="Arial"/>
                <w:b/>
                <w:bCs/>
                <w:sz w:val="18"/>
                <w:szCs w:val="18"/>
                <w:lang w:val="hr-HR"/>
              </w:rPr>
              <w:t>2.285.191</w:t>
            </w:r>
          </w:p>
        </w:tc>
        <w:tc>
          <w:tcPr>
            <w:tcW w:w="538" w:type="pct"/>
            <w:tcBorders>
              <w:top w:val="single" w:sz="4" w:space="0" w:color="auto"/>
              <w:left w:val="nil"/>
              <w:bottom w:val="single" w:sz="8" w:space="0" w:color="auto"/>
              <w:right w:val="nil"/>
            </w:tcBorders>
            <w:shd w:val="clear" w:color="auto" w:fill="auto"/>
            <w:vAlign w:val="center"/>
          </w:tcPr>
          <w:p w14:paraId="31BE5A6A" w14:textId="4E7EDD82" w:rsidR="00D62E32" w:rsidRPr="00A367C6" w:rsidRDefault="00D62E32" w:rsidP="00D62E32">
            <w:pPr>
              <w:pStyle w:val="Tot"/>
              <w:spacing w:line="320" w:lineRule="exact"/>
              <w:jc w:val="right"/>
              <w:rPr>
                <w:rFonts w:asciiTheme="minorHAnsi" w:hAnsiTheme="minorHAnsi" w:cs="Arial"/>
                <w:b/>
                <w:bCs/>
                <w:sz w:val="18"/>
                <w:szCs w:val="18"/>
                <w:lang w:val="hr-HR"/>
              </w:rPr>
            </w:pPr>
            <w:r w:rsidRPr="00016AD1">
              <w:rPr>
                <w:rFonts w:asciiTheme="minorHAnsi" w:hAnsiTheme="minorHAnsi" w:cs="Arial"/>
                <w:b/>
                <w:bCs/>
                <w:sz w:val="18"/>
                <w:szCs w:val="18"/>
                <w:lang w:val="hr-HR"/>
              </w:rPr>
              <w:t>4.446.807</w:t>
            </w:r>
          </w:p>
        </w:tc>
        <w:tc>
          <w:tcPr>
            <w:tcW w:w="539" w:type="pct"/>
            <w:gridSpan w:val="2"/>
            <w:tcBorders>
              <w:top w:val="single" w:sz="4" w:space="0" w:color="auto"/>
              <w:left w:val="nil"/>
              <w:bottom w:val="single" w:sz="8" w:space="0" w:color="auto"/>
              <w:right w:val="nil"/>
            </w:tcBorders>
            <w:shd w:val="clear" w:color="auto" w:fill="auto"/>
            <w:vAlign w:val="center"/>
          </w:tcPr>
          <w:p w14:paraId="6E9F6008" w14:textId="7404AB7A" w:rsidR="00D62E32" w:rsidRPr="00A367C6" w:rsidRDefault="00D62E32" w:rsidP="00D62E32">
            <w:pPr>
              <w:pStyle w:val="Tot"/>
              <w:spacing w:line="320" w:lineRule="exact"/>
              <w:jc w:val="right"/>
              <w:rPr>
                <w:rFonts w:asciiTheme="minorHAnsi" w:hAnsiTheme="minorHAnsi" w:cs="Arial"/>
                <w:b/>
                <w:bCs/>
                <w:sz w:val="18"/>
                <w:szCs w:val="18"/>
                <w:lang w:val="hr-HR"/>
              </w:rPr>
            </w:pPr>
            <w:r w:rsidRPr="00016AD1">
              <w:rPr>
                <w:rFonts w:asciiTheme="minorHAnsi" w:hAnsiTheme="minorHAnsi" w:cs="Arial"/>
                <w:b/>
                <w:bCs/>
                <w:sz w:val="18"/>
                <w:szCs w:val="18"/>
                <w:lang w:val="hr-HR"/>
              </w:rPr>
              <w:t>12.14</w:t>
            </w:r>
            <w:r>
              <w:rPr>
                <w:rFonts w:asciiTheme="minorHAnsi" w:hAnsiTheme="minorHAnsi" w:cs="Arial"/>
                <w:b/>
                <w:bCs/>
                <w:sz w:val="18"/>
                <w:szCs w:val="18"/>
                <w:lang w:val="hr-HR"/>
              </w:rPr>
              <w:t>7</w:t>
            </w:r>
            <w:r w:rsidRPr="00016AD1">
              <w:rPr>
                <w:rFonts w:asciiTheme="minorHAnsi" w:hAnsiTheme="minorHAnsi" w:cs="Arial"/>
                <w:b/>
                <w:bCs/>
                <w:sz w:val="18"/>
                <w:szCs w:val="18"/>
                <w:lang w:val="hr-HR"/>
              </w:rPr>
              <w:t>.</w:t>
            </w:r>
            <w:r>
              <w:rPr>
                <w:rFonts w:asciiTheme="minorHAnsi" w:hAnsiTheme="minorHAnsi" w:cs="Arial"/>
                <w:b/>
                <w:bCs/>
                <w:sz w:val="18"/>
                <w:szCs w:val="18"/>
                <w:lang w:val="hr-HR"/>
              </w:rPr>
              <w:t>639</w:t>
            </w:r>
          </w:p>
        </w:tc>
        <w:tc>
          <w:tcPr>
            <w:tcW w:w="539" w:type="pct"/>
            <w:gridSpan w:val="3"/>
            <w:tcBorders>
              <w:top w:val="single" w:sz="4" w:space="0" w:color="auto"/>
              <w:left w:val="nil"/>
              <w:bottom w:val="single" w:sz="8" w:space="0" w:color="auto"/>
              <w:right w:val="nil"/>
            </w:tcBorders>
            <w:shd w:val="clear" w:color="auto" w:fill="auto"/>
            <w:vAlign w:val="bottom"/>
          </w:tcPr>
          <w:p w14:paraId="733416B4" w14:textId="72334CB2" w:rsidR="00D62E32" w:rsidRPr="00A367C6" w:rsidRDefault="00D62E32" w:rsidP="00D62E32">
            <w:pPr>
              <w:pStyle w:val="Tot"/>
              <w:spacing w:line="320" w:lineRule="exact"/>
              <w:jc w:val="right"/>
              <w:rPr>
                <w:rFonts w:asciiTheme="minorHAnsi" w:hAnsiTheme="minorHAnsi" w:cs="Arial"/>
                <w:b/>
                <w:bCs/>
                <w:sz w:val="18"/>
                <w:szCs w:val="18"/>
                <w:lang w:val="hr-HR"/>
              </w:rPr>
            </w:pPr>
            <w:r w:rsidRPr="00887397">
              <w:rPr>
                <w:rFonts w:asciiTheme="minorHAnsi" w:hAnsiTheme="minorHAnsi" w:cs="Arial"/>
                <w:b/>
                <w:bCs/>
                <w:sz w:val="18"/>
                <w:szCs w:val="18"/>
                <w:lang w:val="hr-HR"/>
              </w:rPr>
              <w:t>2.</w:t>
            </w:r>
            <w:r>
              <w:rPr>
                <w:rFonts w:asciiTheme="minorHAnsi" w:hAnsiTheme="minorHAnsi" w:cs="Arial"/>
                <w:b/>
                <w:bCs/>
                <w:sz w:val="18"/>
                <w:szCs w:val="18"/>
                <w:lang w:val="hr-HR"/>
              </w:rPr>
              <w:t>743.717</w:t>
            </w:r>
          </w:p>
        </w:tc>
        <w:tc>
          <w:tcPr>
            <w:tcW w:w="538" w:type="pct"/>
            <w:tcBorders>
              <w:top w:val="single" w:sz="4" w:space="0" w:color="auto"/>
              <w:left w:val="nil"/>
              <w:bottom w:val="single" w:sz="8" w:space="0" w:color="auto"/>
              <w:right w:val="nil"/>
            </w:tcBorders>
            <w:shd w:val="clear" w:color="auto" w:fill="auto"/>
            <w:vAlign w:val="bottom"/>
          </w:tcPr>
          <w:p w14:paraId="3057E4B6" w14:textId="35123FBA" w:rsidR="00D62E32" w:rsidRPr="00A367C6" w:rsidRDefault="00D62E32" w:rsidP="00D62E32">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27.823.841</w:t>
            </w:r>
          </w:p>
        </w:tc>
      </w:tr>
      <w:tr w:rsidR="00CA2C67" w:rsidRPr="008D359F" w14:paraId="6EEE2679" w14:textId="77777777" w:rsidTr="000E5941">
        <w:trPr>
          <w:trHeight w:val="237"/>
        </w:trPr>
        <w:tc>
          <w:tcPr>
            <w:tcW w:w="1347" w:type="pct"/>
            <w:shd w:val="clear" w:color="auto" w:fill="auto"/>
            <w:vAlign w:val="bottom"/>
          </w:tcPr>
          <w:p w14:paraId="61CBCEA4" w14:textId="77777777" w:rsidR="00A46387" w:rsidRPr="008D359F" w:rsidRDefault="00A46387" w:rsidP="00A46387">
            <w:pPr>
              <w:tabs>
                <w:tab w:val="left" w:pos="-720"/>
              </w:tabs>
              <w:suppressAutoHyphens/>
              <w:spacing w:after="0" w:line="280" w:lineRule="exact"/>
              <w:ind w:right="-6"/>
              <w:jc w:val="both"/>
              <w:rPr>
                <w:rFonts w:cs="Arial"/>
                <w:sz w:val="18"/>
                <w:szCs w:val="18"/>
              </w:rPr>
            </w:pPr>
          </w:p>
        </w:tc>
        <w:tc>
          <w:tcPr>
            <w:tcW w:w="516" w:type="pct"/>
            <w:tcBorders>
              <w:top w:val="single" w:sz="12" w:space="0" w:color="auto"/>
            </w:tcBorders>
            <w:shd w:val="clear" w:color="auto" w:fill="auto"/>
          </w:tcPr>
          <w:p w14:paraId="62C3485C" w14:textId="77777777" w:rsidR="00A46387" w:rsidRPr="00F93702" w:rsidRDefault="00A46387" w:rsidP="00A46387">
            <w:pPr>
              <w:tabs>
                <w:tab w:val="left" w:pos="-720"/>
              </w:tabs>
              <w:suppressAutoHyphens/>
              <w:spacing w:after="0" w:line="280" w:lineRule="exact"/>
              <w:ind w:right="-6"/>
              <w:jc w:val="right"/>
              <w:rPr>
                <w:rFonts w:cs="Arial"/>
                <w:sz w:val="18"/>
                <w:szCs w:val="18"/>
              </w:rPr>
            </w:pPr>
          </w:p>
        </w:tc>
        <w:tc>
          <w:tcPr>
            <w:tcW w:w="497" w:type="pct"/>
            <w:gridSpan w:val="2"/>
            <w:tcBorders>
              <w:top w:val="single" w:sz="12" w:space="0" w:color="auto"/>
            </w:tcBorders>
            <w:shd w:val="clear" w:color="auto" w:fill="auto"/>
          </w:tcPr>
          <w:p w14:paraId="78BBE901" w14:textId="77777777" w:rsidR="00A46387" w:rsidRPr="00F93702" w:rsidRDefault="00A46387" w:rsidP="00A46387">
            <w:pPr>
              <w:tabs>
                <w:tab w:val="left" w:pos="-720"/>
              </w:tabs>
              <w:suppressAutoHyphens/>
              <w:spacing w:after="0" w:line="280" w:lineRule="exact"/>
              <w:ind w:right="-6"/>
              <w:jc w:val="right"/>
              <w:rPr>
                <w:rFonts w:cs="Arial"/>
                <w:sz w:val="18"/>
                <w:szCs w:val="18"/>
              </w:rPr>
            </w:pPr>
          </w:p>
        </w:tc>
        <w:tc>
          <w:tcPr>
            <w:tcW w:w="486" w:type="pct"/>
            <w:tcBorders>
              <w:top w:val="single" w:sz="12" w:space="0" w:color="auto"/>
            </w:tcBorders>
            <w:shd w:val="clear" w:color="auto" w:fill="auto"/>
          </w:tcPr>
          <w:p w14:paraId="5BE6C7AB" w14:textId="77777777" w:rsidR="00A46387" w:rsidRPr="00F93702" w:rsidRDefault="00A46387" w:rsidP="00A46387">
            <w:pPr>
              <w:tabs>
                <w:tab w:val="left" w:pos="-720"/>
              </w:tabs>
              <w:suppressAutoHyphens/>
              <w:spacing w:after="0" w:line="280" w:lineRule="exact"/>
              <w:ind w:right="-6"/>
              <w:jc w:val="right"/>
              <w:rPr>
                <w:rFonts w:cs="Arial"/>
                <w:sz w:val="18"/>
                <w:szCs w:val="18"/>
              </w:rPr>
            </w:pPr>
          </w:p>
        </w:tc>
        <w:tc>
          <w:tcPr>
            <w:tcW w:w="565" w:type="pct"/>
            <w:gridSpan w:val="2"/>
            <w:tcBorders>
              <w:top w:val="single" w:sz="12" w:space="0" w:color="auto"/>
            </w:tcBorders>
            <w:shd w:val="clear" w:color="auto" w:fill="auto"/>
          </w:tcPr>
          <w:p w14:paraId="3F86D226" w14:textId="77777777" w:rsidR="00A46387" w:rsidRPr="00F93702" w:rsidRDefault="00A46387" w:rsidP="00A46387">
            <w:pPr>
              <w:tabs>
                <w:tab w:val="left" w:pos="-720"/>
              </w:tabs>
              <w:suppressAutoHyphens/>
              <w:spacing w:after="0" w:line="280" w:lineRule="exact"/>
              <w:ind w:right="-6"/>
              <w:jc w:val="right"/>
              <w:rPr>
                <w:rFonts w:cs="Arial"/>
                <w:sz w:val="18"/>
                <w:szCs w:val="18"/>
              </w:rPr>
            </w:pPr>
          </w:p>
        </w:tc>
        <w:tc>
          <w:tcPr>
            <w:tcW w:w="516" w:type="pct"/>
            <w:gridSpan w:val="2"/>
            <w:tcBorders>
              <w:top w:val="single" w:sz="12" w:space="0" w:color="auto"/>
            </w:tcBorders>
            <w:shd w:val="clear" w:color="auto" w:fill="auto"/>
          </w:tcPr>
          <w:p w14:paraId="3238CC47" w14:textId="77777777" w:rsidR="00A46387" w:rsidRPr="00F93702" w:rsidRDefault="00A46387" w:rsidP="00A46387">
            <w:pPr>
              <w:tabs>
                <w:tab w:val="left" w:pos="-720"/>
              </w:tabs>
              <w:suppressAutoHyphens/>
              <w:spacing w:after="0" w:line="280" w:lineRule="exact"/>
              <w:ind w:right="-6"/>
              <w:jc w:val="right"/>
              <w:rPr>
                <w:rFonts w:cs="Arial"/>
                <w:sz w:val="18"/>
                <w:szCs w:val="18"/>
              </w:rPr>
            </w:pPr>
          </w:p>
        </w:tc>
        <w:tc>
          <w:tcPr>
            <w:tcW w:w="515" w:type="pct"/>
            <w:tcBorders>
              <w:top w:val="single" w:sz="12" w:space="0" w:color="auto"/>
            </w:tcBorders>
            <w:shd w:val="clear" w:color="auto" w:fill="auto"/>
          </w:tcPr>
          <w:p w14:paraId="48019CC7" w14:textId="77777777" w:rsidR="00A46387" w:rsidRPr="00F93702" w:rsidRDefault="00A46387" w:rsidP="00A46387">
            <w:pPr>
              <w:tabs>
                <w:tab w:val="left" w:pos="-720"/>
              </w:tabs>
              <w:suppressAutoHyphens/>
              <w:spacing w:after="0" w:line="280" w:lineRule="exact"/>
              <w:ind w:right="-6"/>
              <w:jc w:val="right"/>
              <w:rPr>
                <w:rFonts w:cs="Arial"/>
                <w:sz w:val="18"/>
                <w:szCs w:val="18"/>
              </w:rPr>
            </w:pPr>
          </w:p>
        </w:tc>
        <w:tc>
          <w:tcPr>
            <w:tcW w:w="558" w:type="pct"/>
            <w:gridSpan w:val="2"/>
            <w:tcBorders>
              <w:top w:val="single" w:sz="12" w:space="0" w:color="auto"/>
            </w:tcBorders>
            <w:shd w:val="clear" w:color="auto" w:fill="auto"/>
          </w:tcPr>
          <w:p w14:paraId="00E86819" w14:textId="77777777" w:rsidR="00A46387" w:rsidRPr="00F93702" w:rsidRDefault="00A46387" w:rsidP="00A46387">
            <w:pPr>
              <w:tabs>
                <w:tab w:val="left" w:pos="-720"/>
              </w:tabs>
              <w:suppressAutoHyphens/>
              <w:spacing w:after="0" w:line="280" w:lineRule="exact"/>
              <w:ind w:right="-6"/>
              <w:jc w:val="right"/>
              <w:rPr>
                <w:rFonts w:cs="Arial"/>
                <w:sz w:val="18"/>
                <w:szCs w:val="18"/>
              </w:rPr>
            </w:pPr>
          </w:p>
        </w:tc>
      </w:tr>
    </w:tbl>
    <w:p w14:paraId="4146F448" w14:textId="77777777" w:rsidR="00117564" w:rsidRDefault="00117564" w:rsidP="008D359F">
      <w:pPr>
        <w:pStyle w:val="accountingpolicytitle"/>
        <w:spacing w:line="240" w:lineRule="exact"/>
        <w:rPr>
          <w:rFonts w:asciiTheme="minorHAnsi" w:hAnsiTheme="minorHAnsi" w:cstheme="minorHAnsi"/>
          <w:sz w:val="22"/>
          <w:szCs w:val="22"/>
          <w:lang w:val="hr-HR"/>
        </w:rPr>
      </w:pPr>
    </w:p>
    <w:p w14:paraId="5A164AFE" w14:textId="77777777" w:rsidR="008D359F" w:rsidRDefault="008D359F" w:rsidP="008D359F">
      <w:pPr>
        <w:pStyle w:val="accountingpolicytitle"/>
        <w:spacing w:line="240" w:lineRule="exact"/>
        <w:rPr>
          <w:rFonts w:asciiTheme="minorHAnsi" w:hAnsiTheme="minorHAnsi" w:cstheme="minorHAnsi"/>
          <w:sz w:val="22"/>
          <w:szCs w:val="22"/>
          <w:lang w:val="hr-HR"/>
        </w:rPr>
      </w:pPr>
    </w:p>
    <w:p w14:paraId="2447CE23" w14:textId="77777777" w:rsidR="008D359F" w:rsidRDefault="008D359F" w:rsidP="008D359F">
      <w:pPr>
        <w:pStyle w:val="accountingpolicytitle"/>
        <w:rPr>
          <w:rFonts w:asciiTheme="minorHAnsi" w:hAnsiTheme="minorHAnsi" w:cstheme="minorHAnsi"/>
          <w:sz w:val="22"/>
          <w:szCs w:val="22"/>
          <w:lang w:val="hr-HR"/>
        </w:rPr>
      </w:pPr>
    </w:p>
    <w:p w14:paraId="71BBE2B6" w14:textId="77777777" w:rsidR="008D359F" w:rsidRDefault="008D359F" w:rsidP="008D359F">
      <w:pPr>
        <w:pStyle w:val="accountingpolicytitle"/>
        <w:rPr>
          <w:rFonts w:asciiTheme="minorHAnsi" w:hAnsiTheme="minorHAnsi" w:cstheme="minorHAnsi"/>
          <w:sz w:val="22"/>
          <w:szCs w:val="22"/>
          <w:lang w:val="hr-HR"/>
        </w:rPr>
      </w:pPr>
    </w:p>
    <w:p w14:paraId="4FF563B1" w14:textId="77777777" w:rsidR="008D359F" w:rsidRDefault="008D359F" w:rsidP="008D359F">
      <w:pPr>
        <w:pStyle w:val="accountingpolicytitle"/>
        <w:rPr>
          <w:rFonts w:asciiTheme="minorHAnsi" w:hAnsiTheme="minorHAnsi" w:cstheme="minorHAnsi"/>
          <w:sz w:val="22"/>
          <w:szCs w:val="22"/>
          <w:lang w:val="hr-HR"/>
        </w:rPr>
        <w:sectPr w:rsidR="008D359F" w:rsidSect="00B35C60">
          <w:footerReference w:type="first" r:id="rId113"/>
          <w:pgSz w:w="11906" w:h="16838" w:code="9"/>
          <w:pgMar w:top="1418" w:right="1418" w:bottom="595" w:left="1134" w:header="709" w:footer="709" w:gutter="0"/>
          <w:cols w:space="708"/>
          <w:titlePg/>
          <w:docGrid w:linePitch="360"/>
        </w:sectPr>
      </w:pPr>
    </w:p>
    <w:p w14:paraId="13FE55A5" w14:textId="77777777" w:rsidR="008D359F" w:rsidRDefault="008D359F" w:rsidP="008D359F">
      <w:pPr>
        <w:pStyle w:val="T1"/>
        <w:spacing w:before="0" w:after="0" w:line="240" w:lineRule="auto"/>
        <w:ind w:left="709" w:hanging="709"/>
        <w:rPr>
          <w:rFonts w:asciiTheme="minorHAnsi" w:hAnsiTheme="minorHAnsi" w:cs="Arial"/>
          <w:sz w:val="22"/>
          <w:szCs w:val="22"/>
          <w:lang w:val="hr-HR"/>
        </w:rPr>
      </w:pPr>
    </w:p>
    <w:p w14:paraId="1F285457" w14:textId="77777777" w:rsidR="008D359F" w:rsidRDefault="008D359F" w:rsidP="008D359F">
      <w:pPr>
        <w:pStyle w:val="T1"/>
        <w:spacing w:before="0" w:after="0" w:line="240" w:lineRule="auto"/>
        <w:ind w:left="709" w:hanging="709"/>
        <w:rPr>
          <w:rFonts w:asciiTheme="minorHAnsi" w:hAnsiTheme="minorHAnsi" w:cs="Arial"/>
          <w:sz w:val="22"/>
          <w:szCs w:val="22"/>
          <w:lang w:val="hr-HR"/>
        </w:rPr>
      </w:pPr>
      <w:r w:rsidRPr="008D359F">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w:t>
      </w:r>
      <w:r w:rsidRPr="008D359F">
        <w:rPr>
          <w:rFonts w:asciiTheme="minorHAnsi" w:hAnsiTheme="minorHAnsi" w:cs="Arial"/>
          <w:sz w:val="22"/>
          <w:szCs w:val="22"/>
          <w:lang w:val="hr-HR"/>
        </w:rPr>
        <w:tab/>
        <w:t>Upravljanje rizicima (nastavak)</w:t>
      </w:r>
    </w:p>
    <w:p w14:paraId="69384653" w14:textId="77777777" w:rsidR="008D359F" w:rsidRPr="008D359F" w:rsidRDefault="008D359F" w:rsidP="008D359F">
      <w:pPr>
        <w:pStyle w:val="T1"/>
        <w:spacing w:before="0" w:after="0" w:line="240" w:lineRule="auto"/>
        <w:ind w:left="709" w:hanging="709"/>
        <w:rPr>
          <w:rFonts w:asciiTheme="minorHAnsi" w:hAnsiTheme="minorHAnsi" w:cs="Arial"/>
          <w:sz w:val="22"/>
          <w:szCs w:val="22"/>
          <w:lang w:val="hr-HR"/>
        </w:rPr>
      </w:pPr>
    </w:p>
    <w:p w14:paraId="2EEECB40" w14:textId="77777777" w:rsidR="008D359F" w:rsidRDefault="008D359F" w:rsidP="008D359F">
      <w:pPr>
        <w:pStyle w:val="T1"/>
        <w:spacing w:before="0" w:after="0" w:line="240" w:lineRule="auto"/>
        <w:ind w:left="709" w:hanging="709"/>
        <w:rPr>
          <w:rFonts w:asciiTheme="minorHAnsi" w:hAnsiTheme="minorHAnsi" w:cs="Arial"/>
          <w:sz w:val="22"/>
          <w:szCs w:val="22"/>
          <w:lang w:val="hr-HR"/>
        </w:rPr>
      </w:pPr>
      <w:r w:rsidRPr="008D359F">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.4.     Tržišni rizik (nastavak)</w:t>
      </w:r>
    </w:p>
    <w:p w14:paraId="19F81BB6" w14:textId="77777777" w:rsidR="008D359F" w:rsidRPr="008D359F" w:rsidRDefault="008D359F" w:rsidP="008D359F">
      <w:pPr>
        <w:pStyle w:val="T1"/>
        <w:spacing w:before="0" w:after="0" w:line="240" w:lineRule="auto"/>
        <w:ind w:left="709" w:hanging="709"/>
        <w:rPr>
          <w:rFonts w:asciiTheme="minorHAnsi" w:hAnsiTheme="minorHAnsi" w:cs="Arial"/>
          <w:sz w:val="22"/>
          <w:szCs w:val="22"/>
          <w:lang w:val="hr-HR"/>
        </w:rPr>
      </w:pPr>
    </w:p>
    <w:p w14:paraId="5E4BD734" w14:textId="77777777" w:rsidR="008D359F" w:rsidRPr="008D359F" w:rsidRDefault="008D359F" w:rsidP="008D359F">
      <w:pPr>
        <w:pStyle w:val="T1"/>
        <w:spacing w:before="0" w:after="0" w:line="240" w:lineRule="auto"/>
        <w:ind w:left="709" w:hanging="709"/>
        <w:rPr>
          <w:rFonts w:asciiTheme="minorHAnsi" w:hAnsiTheme="minorHAnsi" w:cs="Arial"/>
          <w:sz w:val="22"/>
          <w:szCs w:val="22"/>
          <w:lang w:val="hr-HR"/>
        </w:rPr>
      </w:pPr>
      <w:r w:rsidRPr="008D359F">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 xml:space="preserve">.4.1.  Kamatni rizik </w:t>
      </w:r>
      <w:r w:rsidR="00C13D97">
        <w:rPr>
          <w:rFonts w:asciiTheme="minorHAnsi" w:hAnsiTheme="minorHAnsi" w:cs="Arial"/>
          <w:sz w:val="22"/>
          <w:szCs w:val="22"/>
          <w:lang w:val="hr-HR"/>
        </w:rPr>
        <w:t xml:space="preserve">u knjizi banke </w:t>
      </w:r>
      <w:r w:rsidRPr="008D359F">
        <w:rPr>
          <w:rFonts w:asciiTheme="minorHAnsi" w:hAnsiTheme="minorHAnsi" w:cs="Arial"/>
          <w:sz w:val="22"/>
          <w:szCs w:val="22"/>
          <w:lang w:val="hr-HR"/>
        </w:rPr>
        <w:t>(nastavak)</w:t>
      </w:r>
    </w:p>
    <w:p w14:paraId="1E8BC7AD" w14:textId="77777777" w:rsidR="008D359F" w:rsidRPr="008D359F" w:rsidRDefault="008D359F" w:rsidP="008D359F">
      <w:pPr>
        <w:tabs>
          <w:tab w:val="left" w:pos="-720"/>
        </w:tabs>
        <w:suppressAutoHyphens/>
        <w:spacing w:after="0" w:line="240" w:lineRule="auto"/>
        <w:rPr>
          <w:rFonts w:cs="Arial"/>
          <w:b/>
          <w:spacing w:val="-3"/>
        </w:rPr>
      </w:pPr>
    </w:p>
    <w:tbl>
      <w:tblPr>
        <w:tblW w:w="5380" w:type="pct"/>
        <w:tblInd w:w="-284" w:type="dxa"/>
        <w:tblLayout w:type="fixed"/>
        <w:tblCellMar>
          <w:left w:w="120" w:type="dxa"/>
          <w:right w:w="120" w:type="dxa"/>
        </w:tblCellMar>
        <w:tblLook w:val="0000" w:firstRow="0" w:lastRow="0" w:firstColumn="0" w:lastColumn="0" w:noHBand="0" w:noVBand="0"/>
      </w:tblPr>
      <w:tblGrid>
        <w:gridCol w:w="2582"/>
        <w:gridCol w:w="1198"/>
        <w:gridCol w:w="992"/>
        <w:gridCol w:w="992"/>
        <w:gridCol w:w="990"/>
        <w:gridCol w:w="1067"/>
        <w:gridCol w:w="1133"/>
        <w:gridCol w:w="1111"/>
      </w:tblGrid>
      <w:tr w:rsidR="00CA2C67" w:rsidRPr="00EF4016" w14:paraId="6B0DCBCE" w14:textId="77777777" w:rsidTr="00AB62C5">
        <w:trPr>
          <w:trHeight w:val="724"/>
        </w:trPr>
        <w:tc>
          <w:tcPr>
            <w:tcW w:w="1282" w:type="pct"/>
          </w:tcPr>
          <w:p w14:paraId="7377ECE5" w14:textId="77777777" w:rsidR="00A46387" w:rsidRPr="00EF4016" w:rsidRDefault="00A46387" w:rsidP="00F97337">
            <w:pPr>
              <w:pStyle w:val="TH"/>
              <w:spacing w:line="280" w:lineRule="exact"/>
              <w:rPr>
                <w:rFonts w:asciiTheme="minorHAnsi" w:hAnsiTheme="minorHAnsi" w:cs="Arial"/>
                <w:sz w:val="18"/>
                <w:szCs w:val="18"/>
                <w:lang w:val="hr-HR"/>
              </w:rPr>
            </w:pPr>
            <w:r w:rsidRPr="00EF4016">
              <w:rPr>
                <w:rFonts w:asciiTheme="minorHAnsi" w:hAnsiTheme="minorHAnsi" w:cs="Arial"/>
                <w:sz w:val="18"/>
                <w:szCs w:val="18"/>
                <w:lang w:val="hr-HR"/>
              </w:rPr>
              <w:t>Grupa</w:t>
            </w:r>
          </w:p>
          <w:p w14:paraId="5AC7FE1B" w14:textId="27121264" w:rsidR="00A46387" w:rsidRPr="00EF4016" w:rsidRDefault="00F42E62">
            <w:pPr>
              <w:pStyle w:val="TH"/>
              <w:spacing w:line="280" w:lineRule="exact"/>
              <w:rPr>
                <w:rFonts w:asciiTheme="minorHAnsi" w:hAnsiTheme="minorHAnsi" w:cs="Arial"/>
                <w:sz w:val="18"/>
                <w:szCs w:val="18"/>
                <w:lang w:val="hr-HR"/>
              </w:rPr>
            </w:pPr>
            <w:r>
              <w:rPr>
                <w:rFonts w:asciiTheme="minorHAnsi" w:hAnsiTheme="minorHAnsi" w:cs="Arial"/>
                <w:sz w:val="18"/>
                <w:szCs w:val="18"/>
                <w:lang w:val="hr-HR"/>
              </w:rPr>
              <w:t>30</w:t>
            </w:r>
            <w:r w:rsidR="00AD0961">
              <w:rPr>
                <w:rFonts w:asciiTheme="minorHAnsi" w:hAnsiTheme="minorHAnsi" w:cs="Arial"/>
                <w:sz w:val="18"/>
                <w:szCs w:val="18"/>
                <w:lang w:val="hr-HR"/>
              </w:rPr>
              <w:t>.</w:t>
            </w:r>
            <w:r>
              <w:rPr>
                <w:rFonts w:asciiTheme="minorHAnsi" w:hAnsiTheme="minorHAnsi" w:cs="Arial"/>
                <w:sz w:val="18"/>
                <w:szCs w:val="18"/>
                <w:lang w:val="hr-HR"/>
              </w:rPr>
              <w:t>6</w:t>
            </w:r>
            <w:r w:rsidR="00A46387" w:rsidRPr="00EF4016">
              <w:rPr>
                <w:rFonts w:asciiTheme="minorHAnsi" w:hAnsiTheme="minorHAnsi" w:cs="Arial"/>
                <w:sz w:val="18"/>
                <w:szCs w:val="18"/>
                <w:lang w:val="hr-HR"/>
              </w:rPr>
              <w:t>.201</w:t>
            </w:r>
            <w:r w:rsidR="00AD0961">
              <w:rPr>
                <w:rFonts w:asciiTheme="minorHAnsi" w:hAnsiTheme="minorHAnsi" w:cs="Arial"/>
                <w:sz w:val="18"/>
                <w:szCs w:val="18"/>
                <w:lang w:val="hr-HR"/>
              </w:rPr>
              <w:t>7</w:t>
            </w:r>
            <w:r w:rsidR="00A46387" w:rsidRPr="00EF4016">
              <w:rPr>
                <w:rFonts w:asciiTheme="minorHAnsi" w:hAnsiTheme="minorHAnsi" w:cs="Arial"/>
                <w:sz w:val="18"/>
                <w:szCs w:val="18"/>
                <w:lang w:val="hr-HR"/>
              </w:rPr>
              <w:t>.</w:t>
            </w:r>
          </w:p>
        </w:tc>
        <w:tc>
          <w:tcPr>
            <w:tcW w:w="595" w:type="pct"/>
          </w:tcPr>
          <w:p w14:paraId="456C47D2" w14:textId="77777777" w:rsidR="00505E47" w:rsidRDefault="00A46387" w:rsidP="00A46387">
            <w:pPr>
              <w:pStyle w:val="TH"/>
              <w:spacing w:line="280" w:lineRule="exact"/>
              <w:jc w:val="right"/>
              <w:rPr>
                <w:rFonts w:asciiTheme="minorHAnsi" w:hAnsiTheme="minorHAnsi" w:cs="Arial"/>
                <w:sz w:val="18"/>
                <w:szCs w:val="18"/>
                <w:lang w:val="hr-HR"/>
              </w:rPr>
            </w:pPr>
            <w:r w:rsidRPr="00EF4016">
              <w:rPr>
                <w:rFonts w:asciiTheme="minorHAnsi" w:hAnsiTheme="minorHAnsi" w:cs="Arial"/>
                <w:sz w:val="18"/>
                <w:szCs w:val="18"/>
                <w:lang w:val="hr-HR"/>
              </w:rPr>
              <w:t xml:space="preserve">Do 1 </w:t>
            </w:r>
          </w:p>
          <w:p w14:paraId="660C2059" w14:textId="77777777" w:rsidR="00A46387" w:rsidRPr="00EF4016" w:rsidRDefault="00A46387" w:rsidP="00A46387">
            <w:pPr>
              <w:pStyle w:val="TH"/>
              <w:spacing w:line="280" w:lineRule="exact"/>
              <w:jc w:val="right"/>
              <w:rPr>
                <w:rFonts w:asciiTheme="minorHAnsi" w:hAnsiTheme="minorHAnsi" w:cs="Arial"/>
                <w:sz w:val="18"/>
                <w:szCs w:val="18"/>
                <w:lang w:val="hr-HR"/>
              </w:rPr>
            </w:pPr>
            <w:r w:rsidRPr="00EF4016">
              <w:rPr>
                <w:rFonts w:asciiTheme="minorHAnsi" w:hAnsiTheme="minorHAnsi" w:cs="Arial"/>
                <w:sz w:val="18"/>
                <w:szCs w:val="18"/>
                <w:lang w:val="hr-HR"/>
              </w:rPr>
              <w:t>mjesec</w:t>
            </w:r>
          </w:p>
        </w:tc>
        <w:tc>
          <w:tcPr>
            <w:tcW w:w="493" w:type="pct"/>
          </w:tcPr>
          <w:p w14:paraId="7A41E719" w14:textId="77777777" w:rsidR="00A46387" w:rsidRPr="00EF4016" w:rsidRDefault="00A46387" w:rsidP="00A46387">
            <w:pPr>
              <w:pStyle w:val="TH"/>
              <w:spacing w:line="280" w:lineRule="exact"/>
              <w:jc w:val="right"/>
              <w:rPr>
                <w:rFonts w:asciiTheme="minorHAnsi" w:hAnsiTheme="minorHAnsi" w:cs="Arial"/>
                <w:sz w:val="18"/>
                <w:szCs w:val="18"/>
                <w:lang w:val="hr-HR"/>
              </w:rPr>
            </w:pPr>
            <w:r w:rsidRPr="00EF4016">
              <w:rPr>
                <w:rFonts w:asciiTheme="minorHAnsi" w:hAnsiTheme="minorHAnsi" w:cs="Arial"/>
                <w:sz w:val="18"/>
                <w:szCs w:val="18"/>
                <w:lang w:val="hr-HR"/>
              </w:rPr>
              <w:t>1 do 3 mjeseca</w:t>
            </w:r>
          </w:p>
        </w:tc>
        <w:tc>
          <w:tcPr>
            <w:tcW w:w="493" w:type="pct"/>
          </w:tcPr>
          <w:p w14:paraId="4D4B9215" w14:textId="77777777" w:rsidR="00A46387" w:rsidRPr="00EF4016" w:rsidRDefault="00A46387" w:rsidP="00A46387">
            <w:pPr>
              <w:pStyle w:val="TH"/>
              <w:spacing w:line="280" w:lineRule="exact"/>
              <w:jc w:val="right"/>
              <w:rPr>
                <w:rFonts w:asciiTheme="minorHAnsi" w:hAnsiTheme="minorHAnsi" w:cs="Arial"/>
                <w:sz w:val="18"/>
                <w:szCs w:val="18"/>
                <w:lang w:val="hr-HR"/>
              </w:rPr>
            </w:pPr>
            <w:r w:rsidRPr="00EF4016">
              <w:rPr>
                <w:rFonts w:asciiTheme="minorHAnsi" w:hAnsiTheme="minorHAnsi" w:cs="Arial"/>
                <w:sz w:val="18"/>
                <w:szCs w:val="18"/>
                <w:lang w:val="hr-HR"/>
              </w:rPr>
              <w:t>3 mj. do 1 godine</w:t>
            </w:r>
          </w:p>
        </w:tc>
        <w:tc>
          <w:tcPr>
            <w:tcW w:w="492" w:type="pct"/>
          </w:tcPr>
          <w:p w14:paraId="67300DF6" w14:textId="77777777" w:rsidR="00A46387" w:rsidRPr="00EF4016" w:rsidRDefault="00A46387" w:rsidP="00A46387">
            <w:pPr>
              <w:pStyle w:val="TH"/>
              <w:spacing w:line="280" w:lineRule="exact"/>
              <w:jc w:val="right"/>
              <w:rPr>
                <w:rFonts w:asciiTheme="minorHAnsi" w:hAnsiTheme="minorHAnsi" w:cs="Arial"/>
                <w:sz w:val="18"/>
                <w:szCs w:val="18"/>
                <w:lang w:val="hr-HR"/>
              </w:rPr>
            </w:pPr>
            <w:r w:rsidRPr="00EF4016">
              <w:rPr>
                <w:rFonts w:asciiTheme="minorHAnsi" w:hAnsiTheme="minorHAnsi" w:cs="Arial"/>
                <w:sz w:val="18"/>
                <w:szCs w:val="18"/>
                <w:lang w:val="hr-HR"/>
              </w:rPr>
              <w:t>1 do 3 godina</w:t>
            </w:r>
          </w:p>
        </w:tc>
        <w:tc>
          <w:tcPr>
            <w:tcW w:w="530" w:type="pct"/>
          </w:tcPr>
          <w:p w14:paraId="39948A82" w14:textId="77777777" w:rsidR="00A46387" w:rsidRPr="00EF4016" w:rsidRDefault="00A46387" w:rsidP="00A46387">
            <w:pPr>
              <w:pStyle w:val="TH"/>
              <w:spacing w:line="280" w:lineRule="exact"/>
              <w:jc w:val="right"/>
              <w:rPr>
                <w:rFonts w:asciiTheme="minorHAnsi" w:hAnsiTheme="minorHAnsi" w:cs="Arial"/>
                <w:sz w:val="18"/>
                <w:szCs w:val="18"/>
                <w:lang w:val="hr-HR"/>
              </w:rPr>
            </w:pPr>
            <w:r w:rsidRPr="00EF4016">
              <w:rPr>
                <w:rFonts w:asciiTheme="minorHAnsi" w:hAnsiTheme="minorHAnsi" w:cs="Arial"/>
                <w:sz w:val="18"/>
                <w:szCs w:val="18"/>
                <w:lang w:val="hr-HR"/>
              </w:rPr>
              <w:t>Preko 3 godine</w:t>
            </w:r>
          </w:p>
        </w:tc>
        <w:tc>
          <w:tcPr>
            <w:tcW w:w="563" w:type="pct"/>
          </w:tcPr>
          <w:p w14:paraId="12926589" w14:textId="77777777" w:rsidR="00A46387" w:rsidRPr="00175A41" w:rsidRDefault="00A46387" w:rsidP="00A46387">
            <w:pPr>
              <w:pStyle w:val="TH"/>
              <w:spacing w:line="280" w:lineRule="exact"/>
              <w:jc w:val="right"/>
              <w:rPr>
                <w:rFonts w:asciiTheme="minorHAnsi" w:hAnsiTheme="minorHAnsi" w:cs="Arial"/>
                <w:sz w:val="18"/>
                <w:szCs w:val="18"/>
                <w:lang w:val="hr-HR"/>
              </w:rPr>
            </w:pPr>
            <w:proofErr w:type="spellStart"/>
            <w:r w:rsidRPr="00175A41">
              <w:rPr>
                <w:rFonts w:asciiTheme="minorHAnsi" w:hAnsiTheme="minorHAnsi" w:cs="Arial"/>
                <w:sz w:val="18"/>
                <w:szCs w:val="18"/>
                <w:lang w:val="hr-HR"/>
              </w:rPr>
              <w:t>Beska-matno</w:t>
            </w:r>
            <w:proofErr w:type="spellEnd"/>
          </w:p>
        </w:tc>
        <w:tc>
          <w:tcPr>
            <w:tcW w:w="553" w:type="pct"/>
          </w:tcPr>
          <w:p w14:paraId="154DF71D" w14:textId="77777777" w:rsidR="00A46387" w:rsidRPr="00EF4016" w:rsidRDefault="00A46387" w:rsidP="00A46387">
            <w:pPr>
              <w:pStyle w:val="TH"/>
              <w:spacing w:line="280" w:lineRule="exact"/>
              <w:jc w:val="right"/>
              <w:rPr>
                <w:rFonts w:asciiTheme="minorHAnsi" w:hAnsiTheme="minorHAnsi" w:cs="Arial"/>
                <w:sz w:val="18"/>
                <w:szCs w:val="18"/>
                <w:lang w:val="hr-HR"/>
              </w:rPr>
            </w:pPr>
            <w:r w:rsidRPr="00EF4016">
              <w:rPr>
                <w:rFonts w:asciiTheme="minorHAnsi" w:hAnsiTheme="minorHAnsi" w:cs="Arial"/>
                <w:sz w:val="18"/>
                <w:szCs w:val="18"/>
                <w:lang w:val="hr-HR"/>
              </w:rPr>
              <w:t>Ukupno</w:t>
            </w:r>
          </w:p>
        </w:tc>
      </w:tr>
      <w:tr w:rsidR="00CA2C67" w:rsidRPr="00EF4016" w14:paraId="297B8128" w14:textId="77777777" w:rsidTr="00AB62C5">
        <w:trPr>
          <w:trHeight w:val="292"/>
        </w:trPr>
        <w:tc>
          <w:tcPr>
            <w:tcW w:w="1282" w:type="pct"/>
            <w:vAlign w:val="bottom"/>
          </w:tcPr>
          <w:p w14:paraId="0B50877D" w14:textId="77777777" w:rsidR="00A46387" w:rsidRPr="00EF4016" w:rsidRDefault="00A46387" w:rsidP="00A30D10">
            <w:pPr>
              <w:pStyle w:val="TT"/>
              <w:spacing w:line="280" w:lineRule="exact"/>
              <w:rPr>
                <w:rFonts w:asciiTheme="minorHAnsi" w:hAnsiTheme="minorHAnsi" w:cs="Arial"/>
                <w:b/>
                <w:bCs/>
                <w:sz w:val="18"/>
                <w:szCs w:val="18"/>
                <w:lang w:val="hr-HR"/>
              </w:rPr>
            </w:pPr>
            <w:r w:rsidRPr="00EF4016">
              <w:rPr>
                <w:rFonts w:asciiTheme="minorHAnsi" w:hAnsiTheme="minorHAnsi" w:cs="Arial"/>
                <w:b/>
                <w:bCs/>
                <w:sz w:val="18"/>
                <w:szCs w:val="18"/>
                <w:lang w:val="hr-HR"/>
              </w:rPr>
              <w:t>Obveze</w:t>
            </w:r>
          </w:p>
        </w:tc>
        <w:tc>
          <w:tcPr>
            <w:tcW w:w="595" w:type="pct"/>
            <w:vAlign w:val="bottom"/>
          </w:tcPr>
          <w:p w14:paraId="2B6A7E62" w14:textId="77777777" w:rsidR="00A46387" w:rsidRPr="00EF4016" w:rsidRDefault="00A46387" w:rsidP="00A46387">
            <w:pPr>
              <w:pStyle w:val="TT"/>
              <w:spacing w:line="280" w:lineRule="exact"/>
              <w:jc w:val="right"/>
              <w:rPr>
                <w:rFonts w:asciiTheme="minorHAnsi" w:hAnsiTheme="minorHAnsi" w:cs="Arial"/>
                <w:spacing w:val="-2"/>
                <w:sz w:val="18"/>
                <w:szCs w:val="18"/>
                <w:lang w:val="hr-HR"/>
              </w:rPr>
            </w:pPr>
          </w:p>
        </w:tc>
        <w:tc>
          <w:tcPr>
            <w:tcW w:w="493" w:type="pct"/>
            <w:vAlign w:val="bottom"/>
          </w:tcPr>
          <w:p w14:paraId="2F7F4361" w14:textId="77777777" w:rsidR="00A46387" w:rsidRPr="00EF4016" w:rsidRDefault="00A46387" w:rsidP="00A46387">
            <w:pPr>
              <w:pStyle w:val="TT"/>
              <w:spacing w:line="280" w:lineRule="exact"/>
              <w:jc w:val="right"/>
              <w:rPr>
                <w:rFonts w:asciiTheme="minorHAnsi" w:hAnsiTheme="minorHAnsi" w:cs="Arial"/>
                <w:spacing w:val="-2"/>
                <w:sz w:val="18"/>
                <w:szCs w:val="18"/>
                <w:lang w:val="hr-HR"/>
              </w:rPr>
            </w:pPr>
          </w:p>
        </w:tc>
        <w:tc>
          <w:tcPr>
            <w:tcW w:w="493" w:type="pct"/>
            <w:vAlign w:val="bottom"/>
          </w:tcPr>
          <w:p w14:paraId="4048A88B" w14:textId="77777777" w:rsidR="00A46387" w:rsidRPr="00EF4016" w:rsidRDefault="00A46387" w:rsidP="00A46387">
            <w:pPr>
              <w:pStyle w:val="TT"/>
              <w:spacing w:line="280" w:lineRule="exact"/>
              <w:jc w:val="right"/>
              <w:rPr>
                <w:rFonts w:asciiTheme="minorHAnsi" w:hAnsiTheme="minorHAnsi" w:cs="Arial"/>
                <w:spacing w:val="-2"/>
                <w:sz w:val="18"/>
                <w:szCs w:val="18"/>
                <w:lang w:val="hr-HR"/>
              </w:rPr>
            </w:pPr>
          </w:p>
        </w:tc>
        <w:tc>
          <w:tcPr>
            <w:tcW w:w="492" w:type="pct"/>
            <w:vAlign w:val="bottom"/>
          </w:tcPr>
          <w:p w14:paraId="3E76C133" w14:textId="77777777" w:rsidR="00A46387" w:rsidRPr="00EF4016" w:rsidRDefault="00A46387" w:rsidP="00A46387">
            <w:pPr>
              <w:pStyle w:val="TT"/>
              <w:spacing w:line="280" w:lineRule="exact"/>
              <w:jc w:val="right"/>
              <w:rPr>
                <w:rFonts w:asciiTheme="minorHAnsi" w:hAnsiTheme="minorHAnsi" w:cs="Arial"/>
                <w:spacing w:val="-2"/>
                <w:sz w:val="18"/>
                <w:szCs w:val="18"/>
                <w:lang w:val="hr-HR"/>
              </w:rPr>
            </w:pPr>
          </w:p>
        </w:tc>
        <w:tc>
          <w:tcPr>
            <w:tcW w:w="530" w:type="pct"/>
            <w:vAlign w:val="bottom"/>
          </w:tcPr>
          <w:p w14:paraId="6CDEA029" w14:textId="77777777" w:rsidR="00A46387" w:rsidRPr="00EF4016" w:rsidRDefault="00A46387" w:rsidP="00A46387">
            <w:pPr>
              <w:pStyle w:val="TT"/>
              <w:spacing w:line="280" w:lineRule="exact"/>
              <w:jc w:val="right"/>
              <w:rPr>
                <w:rFonts w:asciiTheme="minorHAnsi" w:hAnsiTheme="minorHAnsi" w:cs="Arial"/>
                <w:spacing w:val="-2"/>
                <w:sz w:val="18"/>
                <w:szCs w:val="18"/>
                <w:lang w:val="hr-HR"/>
              </w:rPr>
            </w:pPr>
          </w:p>
        </w:tc>
        <w:tc>
          <w:tcPr>
            <w:tcW w:w="563" w:type="pct"/>
            <w:vAlign w:val="bottom"/>
          </w:tcPr>
          <w:p w14:paraId="33B32E8B" w14:textId="77777777" w:rsidR="00A46387" w:rsidRPr="00EF4016" w:rsidRDefault="00A46387" w:rsidP="00A46387">
            <w:pPr>
              <w:pStyle w:val="TH"/>
              <w:spacing w:line="280" w:lineRule="exact"/>
              <w:jc w:val="right"/>
              <w:rPr>
                <w:rFonts w:asciiTheme="minorHAnsi" w:hAnsiTheme="minorHAnsi" w:cs="Arial"/>
                <w:sz w:val="18"/>
                <w:szCs w:val="18"/>
                <w:lang w:val="hr-HR"/>
              </w:rPr>
            </w:pPr>
          </w:p>
        </w:tc>
        <w:tc>
          <w:tcPr>
            <w:tcW w:w="553" w:type="pct"/>
            <w:vAlign w:val="bottom"/>
          </w:tcPr>
          <w:p w14:paraId="7C0D68D4" w14:textId="77777777" w:rsidR="00A46387" w:rsidRPr="00EF4016" w:rsidRDefault="00A46387" w:rsidP="00A46387">
            <w:pPr>
              <w:pStyle w:val="TT"/>
              <w:spacing w:line="280" w:lineRule="exact"/>
              <w:jc w:val="right"/>
              <w:rPr>
                <w:rFonts w:asciiTheme="minorHAnsi" w:hAnsiTheme="minorHAnsi" w:cs="Arial"/>
                <w:sz w:val="18"/>
                <w:szCs w:val="18"/>
                <w:lang w:val="hr-HR"/>
              </w:rPr>
            </w:pPr>
          </w:p>
        </w:tc>
      </w:tr>
      <w:tr w:rsidR="00D62E32" w:rsidRPr="00EF4016" w14:paraId="3B74DB39" w14:textId="77777777" w:rsidTr="00312975">
        <w:trPr>
          <w:trHeight w:val="305"/>
        </w:trPr>
        <w:tc>
          <w:tcPr>
            <w:tcW w:w="1282" w:type="pct"/>
            <w:vAlign w:val="bottom"/>
          </w:tcPr>
          <w:p w14:paraId="0216A3FE" w14:textId="77777777" w:rsidR="00D62E32" w:rsidRPr="00EF4016" w:rsidRDefault="00D62E32" w:rsidP="00D62E32">
            <w:pPr>
              <w:pStyle w:val="TT"/>
              <w:spacing w:line="280" w:lineRule="exact"/>
              <w:rPr>
                <w:rFonts w:asciiTheme="minorHAnsi" w:hAnsiTheme="minorHAnsi" w:cs="Arial"/>
                <w:sz w:val="18"/>
                <w:szCs w:val="18"/>
                <w:lang w:val="hr-HR"/>
              </w:rPr>
            </w:pPr>
            <w:r w:rsidRPr="00EF4016">
              <w:rPr>
                <w:rFonts w:asciiTheme="minorHAnsi" w:hAnsiTheme="minorHAnsi" w:cs="Arial"/>
                <w:spacing w:val="-2"/>
                <w:sz w:val="18"/>
                <w:szCs w:val="18"/>
                <w:lang w:val="hr-HR"/>
              </w:rPr>
              <w:t>Obveze po depozitima</w:t>
            </w:r>
          </w:p>
        </w:tc>
        <w:tc>
          <w:tcPr>
            <w:tcW w:w="595" w:type="pct"/>
            <w:tcBorders>
              <w:top w:val="nil"/>
              <w:left w:val="nil"/>
              <w:bottom w:val="nil"/>
              <w:right w:val="nil"/>
            </w:tcBorders>
            <w:shd w:val="clear" w:color="auto" w:fill="auto"/>
            <w:vAlign w:val="bottom"/>
          </w:tcPr>
          <w:p w14:paraId="399DED30" w14:textId="7B584916" w:rsidR="00D62E32" w:rsidRPr="00A367C6" w:rsidRDefault="00FD44AE" w:rsidP="00D62E32">
            <w:pPr>
              <w:tabs>
                <w:tab w:val="left" w:pos="-720"/>
              </w:tabs>
              <w:suppressAutoHyphens/>
              <w:spacing w:after="0" w:line="280" w:lineRule="exact"/>
              <w:ind w:right="-5"/>
              <w:jc w:val="right"/>
              <w:rPr>
                <w:rFonts w:cs="Arial"/>
                <w:sz w:val="18"/>
                <w:szCs w:val="18"/>
              </w:rPr>
            </w:pPr>
            <w:r>
              <w:rPr>
                <w:rFonts w:cs="Arial"/>
                <w:sz w:val="18"/>
                <w:szCs w:val="18"/>
              </w:rPr>
              <w:t>118.506</w:t>
            </w:r>
          </w:p>
        </w:tc>
        <w:tc>
          <w:tcPr>
            <w:tcW w:w="493" w:type="pct"/>
            <w:tcBorders>
              <w:top w:val="nil"/>
              <w:left w:val="nil"/>
              <w:bottom w:val="nil"/>
              <w:right w:val="nil"/>
            </w:tcBorders>
            <w:shd w:val="clear" w:color="auto" w:fill="auto"/>
            <w:vAlign w:val="bottom"/>
          </w:tcPr>
          <w:p w14:paraId="7AA120D4" w14:textId="04F8CB21"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493" w:type="pct"/>
            <w:tcBorders>
              <w:top w:val="nil"/>
              <w:left w:val="nil"/>
              <w:bottom w:val="nil"/>
              <w:right w:val="nil"/>
            </w:tcBorders>
            <w:shd w:val="clear" w:color="auto" w:fill="auto"/>
            <w:vAlign w:val="bottom"/>
          </w:tcPr>
          <w:p w14:paraId="1275666B" w14:textId="57956776"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492" w:type="pct"/>
            <w:tcBorders>
              <w:top w:val="nil"/>
              <w:left w:val="nil"/>
              <w:bottom w:val="nil"/>
              <w:right w:val="nil"/>
            </w:tcBorders>
            <w:shd w:val="clear" w:color="auto" w:fill="auto"/>
            <w:vAlign w:val="bottom"/>
          </w:tcPr>
          <w:p w14:paraId="3CE6E506" w14:textId="19AEF5BB"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0" w:type="pct"/>
            <w:tcBorders>
              <w:top w:val="nil"/>
              <w:left w:val="nil"/>
              <w:bottom w:val="nil"/>
              <w:right w:val="nil"/>
            </w:tcBorders>
            <w:shd w:val="clear" w:color="auto" w:fill="auto"/>
            <w:vAlign w:val="bottom"/>
          </w:tcPr>
          <w:p w14:paraId="00ECDBF8" w14:textId="6815D4EF"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63" w:type="pct"/>
            <w:tcBorders>
              <w:top w:val="nil"/>
              <w:left w:val="nil"/>
              <w:bottom w:val="nil"/>
              <w:right w:val="nil"/>
            </w:tcBorders>
            <w:shd w:val="clear" w:color="auto" w:fill="auto"/>
            <w:vAlign w:val="bottom"/>
          </w:tcPr>
          <w:p w14:paraId="19BF62D5" w14:textId="2896B209" w:rsidR="00D62E32" w:rsidRPr="00A367C6" w:rsidRDefault="00FD44AE" w:rsidP="00D62E32">
            <w:pPr>
              <w:tabs>
                <w:tab w:val="left" w:pos="-720"/>
              </w:tabs>
              <w:suppressAutoHyphens/>
              <w:spacing w:after="0" w:line="280" w:lineRule="exact"/>
              <w:ind w:right="-5"/>
              <w:jc w:val="right"/>
              <w:rPr>
                <w:rFonts w:cs="Arial"/>
                <w:sz w:val="18"/>
                <w:szCs w:val="18"/>
              </w:rPr>
            </w:pPr>
            <w:r>
              <w:rPr>
                <w:rFonts w:cs="Arial"/>
                <w:sz w:val="18"/>
                <w:szCs w:val="18"/>
              </w:rPr>
              <w:t>362.472</w:t>
            </w:r>
          </w:p>
        </w:tc>
        <w:tc>
          <w:tcPr>
            <w:tcW w:w="553" w:type="pct"/>
            <w:tcBorders>
              <w:top w:val="nil"/>
              <w:left w:val="nil"/>
              <w:bottom w:val="nil"/>
              <w:right w:val="nil"/>
            </w:tcBorders>
            <w:shd w:val="clear" w:color="auto" w:fill="auto"/>
            <w:vAlign w:val="bottom"/>
          </w:tcPr>
          <w:p w14:paraId="5E3F3F86" w14:textId="3838DB9C" w:rsidR="00D62E32" w:rsidRPr="00A367C6" w:rsidRDefault="00D62E32" w:rsidP="00D62E32">
            <w:pPr>
              <w:tabs>
                <w:tab w:val="left" w:pos="-720"/>
              </w:tabs>
              <w:suppressAutoHyphens/>
              <w:spacing w:after="0" w:line="280" w:lineRule="exact"/>
              <w:ind w:right="-5"/>
              <w:jc w:val="right"/>
              <w:rPr>
                <w:rFonts w:cs="Arial"/>
                <w:sz w:val="18"/>
                <w:szCs w:val="18"/>
              </w:rPr>
            </w:pPr>
            <w:r w:rsidRPr="00045C49">
              <w:rPr>
                <w:rFonts w:cs="Arial"/>
                <w:sz w:val="18"/>
                <w:szCs w:val="18"/>
              </w:rPr>
              <w:t>480.978</w:t>
            </w:r>
          </w:p>
        </w:tc>
      </w:tr>
      <w:tr w:rsidR="00D62E32" w:rsidRPr="00EF4016" w14:paraId="47577561" w14:textId="77777777" w:rsidTr="00312975">
        <w:trPr>
          <w:trHeight w:val="320"/>
        </w:trPr>
        <w:tc>
          <w:tcPr>
            <w:tcW w:w="1282" w:type="pct"/>
            <w:vAlign w:val="bottom"/>
          </w:tcPr>
          <w:p w14:paraId="0D0AEC48" w14:textId="77777777" w:rsidR="00D62E32" w:rsidRPr="00EF4016" w:rsidRDefault="00D62E32" w:rsidP="00D62E32">
            <w:pPr>
              <w:pStyle w:val="TT"/>
              <w:spacing w:line="280" w:lineRule="exact"/>
              <w:rPr>
                <w:rFonts w:asciiTheme="minorHAnsi" w:hAnsiTheme="minorHAnsi" w:cs="Arial"/>
                <w:sz w:val="18"/>
                <w:szCs w:val="18"/>
                <w:lang w:val="hr-HR"/>
              </w:rPr>
            </w:pPr>
            <w:r w:rsidRPr="00EF4016">
              <w:rPr>
                <w:rFonts w:asciiTheme="minorHAnsi" w:hAnsiTheme="minorHAnsi" w:cs="Arial"/>
                <w:spacing w:val="-2"/>
                <w:sz w:val="18"/>
                <w:szCs w:val="18"/>
                <w:lang w:val="hr-HR"/>
              </w:rPr>
              <w:t>Obveze po kreditima</w:t>
            </w:r>
          </w:p>
        </w:tc>
        <w:tc>
          <w:tcPr>
            <w:tcW w:w="595" w:type="pct"/>
            <w:tcBorders>
              <w:top w:val="nil"/>
              <w:left w:val="nil"/>
              <w:bottom w:val="nil"/>
              <w:right w:val="nil"/>
            </w:tcBorders>
            <w:shd w:val="clear" w:color="auto" w:fill="auto"/>
            <w:vAlign w:val="bottom"/>
          </w:tcPr>
          <w:p w14:paraId="77174013" w14:textId="784DCF6D" w:rsidR="00D62E32" w:rsidRPr="00A367C6" w:rsidRDefault="00D62E32">
            <w:pPr>
              <w:tabs>
                <w:tab w:val="left" w:pos="-720"/>
              </w:tabs>
              <w:suppressAutoHyphens/>
              <w:spacing w:after="0" w:line="280" w:lineRule="exact"/>
              <w:ind w:right="-5"/>
              <w:jc w:val="right"/>
              <w:rPr>
                <w:rFonts w:cs="Arial"/>
                <w:sz w:val="18"/>
                <w:szCs w:val="18"/>
              </w:rPr>
            </w:pPr>
            <w:r w:rsidRPr="00016AD1">
              <w:rPr>
                <w:rFonts w:cs="Arial"/>
                <w:sz w:val="18"/>
                <w:szCs w:val="18"/>
              </w:rPr>
              <w:t>201.39</w:t>
            </w:r>
            <w:r w:rsidR="00FD44AE">
              <w:rPr>
                <w:rFonts w:cs="Arial"/>
                <w:sz w:val="18"/>
                <w:szCs w:val="18"/>
              </w:rPr>
              <w:t>9</w:t>
            </w:r>
          </w:p>
        </w:tc>
        <w:tc>
          <w:tcPr>
            <w:tcW w:w="493" w:type="pct"/>
            <w:tcBorders>
              <w:top w:val="nil"/>
              <w:left w:val="nil"/>
              <w:bottom w:val="nil"/>
              <w:right w:val="nil"/>
            </w:tcBorders>
            <w:shd w:val="clear" w:color="auto" w:fill="auto"/>
            <w:vAlign w:val="bottom"/>
          </w:tcPr>
          <w:p w14:paraId="52020267" w14:textId="5C1B8E0B" w:rsidR="00D62E32" w:rsidRPr="00A367C6" w:rsidRDefault="00D62E32" w:rsidP="00D62E32">
            <w:pPr>
              <w:tabs>
                <w:tab w:val="left" w:pos="-720"/>
              </w:tabs>
              <w:suppressAutoHyphens/>
              <w:spacing w:after="0" w:line="280" w:lineRule="exact"/>
              <w:ind w:right="-5"/>
              <w:jc w:val="right"/>
              <w:rPr>
                <w:rFonts w:cs="Arial"/>
                <w:sz w:val="18"/>
                <w:szCs w:val="18"/>
              </w:rPr>
            </w:pPr>
            <w:r w:rsidRPr="00016AD1">
              <w:rPr>
                <w:rFonts w:cs="Arial"/>
                <w:sz w:val="18"/>
                <w:szCs w:val="18"/>
              </w:rPr>
              <w:t>179.970</w:t>
            </w:r>
          </w:p>
        </w:tc>
        <w:tc>
          <w:tcPr>
            <w:tcW w:w="493" w:type="pct"/>
            <w:tcBorders>
              <w:top w:val="nil"/>
              <w:left w:val="nil"/>
              <w:bottom w:val="nil"/>
              <w:right w:val="nil"/>
            </w:tcBorders>
            <w:shd w:val="clear" w:color="auto" w:fill="auto"/>
            <w:vAlign w:val="bottom"/>
          </w:tcPr>
          <w:p w14:paraId="3222F9AB" w14:textId="2825292B" w:rsidR="00D62E32" w:rsidRPr="00A367C6" w:rsidRDefault="00D62E32">
            <w:pPr>
              <w:tabs>
                <w:tab w:val="left" w:pos="-720"/>
              </w:tabs>
              <w:suppressAutoHyphens/>
              <w:spacing w:after="0" w:line="280" w:lineRule="exact"/>
              <w:ind w:right="-5"/>
              <w:jc w:val="right"/>
              <w:rPr>
                <w:rFonts w:cs="Arial"/>
                <w:sz w:val="18"/>
                <w:szCs w:val="18"/>
              </w:rPr>
            </w:pPr>
            <w:r w:rsidRPr="00016AD1">
              <w:rPr>
                <w:rFonts w:cs="Arial"/>
                <w:sz w:val="18"/>
                <w:szCs w:val="18"/>
              </w:rPr>
              <w:t>1.278.75</w:t>
            </w:r>
            <w:r w:rsidR="00FD44AE">
              <w:rPr>
                <w:rFonts w:cs="Arial"/>
                <w:sz w:val="18"/>
                <w:szCs w:val="18"/>
              </w:rPr>
              <w:t>7</w:t>
            </w:r>
          </w:p>
        </w:tc>
        <w:tc>
          <w:tcPr>
            <w:tcW w:w="492" w:type="pct"/>
            <w:tcBorders>
              <w:top w:val="nil"/>
              <w:left w:val="nil"/>
              <w:bottom w:val="nil"/>
              <w:right w:val="nil"/>
            </w:tcBorders>
            <w:shd w:val="clear" w:color="auto" w:fill="auto"/>
            <w:vAlign w:val="bottom"/>
          </w:tcPr>
          <w:p w14:paraId="02D0DD35" w14:textId="34A9230D" w:rsidR="00D62E32" w:rsidRPr="00A367C6" w:rsidRDefault="00D62E32">
            <w:pPr>
              <w:tabs>
                <w:tab w:val="left" w:pos="-720"/>
              </w:tabs>
              <w:suppressAutoHyphens/>
              <w:spacing w:after="0" w:line="280" w:lineRule="exact"/>
              <w:ind w:right="-5"/>
              <w:jc w:val="right"/>
              <w:rPr>
                <w:rFonts w:cs="Arial"/>
                <w:sz w:val="18"/>
                <w:szCs w:val="18"/>
              </w:rPr>
            </w:pPr>
            <w:r w:rsidRPr="00016AD1">
              <w:rPr>
                <w:rFonts w:cs="Arial"/>
                <w:sz w:val="18"/>
                <w:szCs w:val="18"/>
              </w:rPr>
              <w:t>3.552.14</w:t>
            </w:r>
            <w:r w:rsidR="00FD44AE">
              <w:rPr>
                <w:rFonts w:cs="Arial"/>
                <w:sz w:val="18"/>
                <w:szCs w:val="18"/>
              </w:rPr>
              <w:t>3</w:t>
            </w:r>
          </w:p>
        </w:tc>
        <w:tc>
          <w:tcPr>
            <w:tcW w:w="530" w:type="pct"/>
            <w:tcBorders>
              <w:top w:val="nil"/>
              <w:left w:val="nil"/>
              <w:bottom w:val="nil"/>
              <w:right w:val="nil"/>
            </w:tcBorders>
            <w:shd w:val="clear" w:color="auto" w:fill="auto"/>
            <w:vAlign w:val="bottom"/>
          </w:tcPr>
          <w:p w14:paraId="21C2E3B1" w14:textId="57B267B0" w:rsidR="00D62E32" w:rsidRPr="00A367C6" w:rsidRDefault="00D62E32">
            <w:pPr>
              <w:tabs>
                <w:tab w:val="left" w:pos="-720"/>
              </w:tabs>
              <w:suppressAutoHyphens/>
              <w:spacing w:after="0" w:line="280" w:lineRule="exact"/>
              <w:ind w:right="-5"/>
              <w:jc w:val="right"/>
              <w:rPr>
                <w:rFonts w:cs="Arial"/>
                <w:sz w:val="18"/>
                <w:szCs w:val="18"/>
              </w:rPr>
            </w:pPr>
            <w:r w:rsidRPr="00016AD1">
              <w:rPr>
                <w:rFonts w:cs="Arial"/>
                <w:sz w:val="18"/>
                <w:szCs w:val="18"/>
              </w:rPr>
              <w:t>10.146.90</w:t>
            </w:r>
            <w:r w:rsidR="00FD44AE">
              <w:rPr>
                <w:rFonts w:cs="Arial"/>
                <w:sz w:val="18"/>
                <w:szCs w:val="18"/>
              </w:rPr>
              <w:t>9</w:t>
            </w:r>
          </w:p>
        </w:tc>
        <w:tc>
          <w:tcPr>
            <w:tcW w:w="563" w:type="pct"/>
            <w:tcBorders>
              <w:top w:val="nil"/>
              <w:left w:val="nil"/>
              <w:bottom w:val="nil"/>
              <w:right w:val="nil"/>
            </w:tcBorders>
            <w:shd w:val="clear" w:color="auto" w:fill="auto"/>
            <w:vAlign w:val="bottom"/>
          </w:tcPr>
          <w:p w14:paraId="4CA5C1F0" w14:textId="7240AD17"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64.403</w:t>
            </w:r>
          </w:p>
        </w:tc>
        <w:tc>
          <w:tcPr>
            <w:tcW w:w="553" w:type="pct"/>
            <w:tcBorders>
              <w:top w:val="nil"/>
              <w:left w:val="nil"/>
              <w:bottom w:val="nil"/>
              <w:right w:val="nil"/>
            </w:tcBorders>
            <w:shd w:val="clear" w:color="auto" w:fill="auto"/>
            <w:vAlign w:val="bottom"/>
          </w:tcPr>
          <w:p w14:paraId="0E0DED5B" w14:textId="363D499C"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15.423.581</w:t>
            </w:r>
          </w:p>
        </w:tc>
      </w:tr>
      <w:tr w:rsidR="00D62E32" w:rsidRPr="00EF4016" w14:paraId="12C26C57" w14:textId="77777777" w:rsidTr="00312975">
        <w:trPr>
          <w:trHeight w:val="476"/>
        </w:trPr>
        <w:tc>
          <w:tcPr>
            <w:tcW w:w="1282" w:type="pct"/>
            <w:vAlign w:val="bottom"/>
          </w:tcPr>
          <w:p w14:paraId="013EE25C" w14:textId="77777777" w:rsidR="00D62E32" w:rsidRPr="00A30D10" w:rsidRDefault="00D62E32" w:rsidP="00D62E32">
            <w:pPr>
              <w:spacing w:after="0" w:line="240" w:lineRule="auto"/>
              <w:rPr>
                <w:sz w:val="18"/>
                <w:szCs w:val="18"/>
              </w:rPr>
            </w:pPr>
            <w:r w:rsidRPr="00007FC2">
              <w:rPr>
                <w:sz w:val="18"/>
                <w:szCs w:val="18"/>
              </w:rPr>
              <w:t>Obveze za izdane dugoročne vrijednosne papire</w:t>
            </w:r>
          </w:p>
        </w:tc>
        <w:tc>
          <w:tcPr>
            <w:tcW w:w="595" w:type="pct"/>
            <w:tcBorders>
              <w:top w:val="nil"/>
              <w:left w:val="nil"/>
              <w:bottom w:val="nil"/>
              <w:right w:val="nil"/>
            </w:tcBorders>
            <w:shd w:val="clear" w:color="auto" w:fill="auto"/>
            <w:vAlign w:val="bottom"/>
          </w:tcPr>
          <w:p w14:paraId="647E87E9" w14:textId="683DC20E"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493" w:type="pct"/>
            <w:tcBorders>
              <w:top w:val="nil"/>
              <w:left w:val="nil"/>
              <w:bottom w:val="nil"/>
              <w:right w:val="nil"/>
            </w:tcBorders>
            <w:shd w:val="clear" w:color="auto" w:fill="auto"/>
            <w:vAlign w:val="bottom"/>
          </w:tcPr>
          <w:p w14:paraId="6530E117" w14:textId="244A91DE" w:rsidR="00D62E32" w:rsidRPr="00A367C6" w:rsidRDefault="00D62E32" w:rsidP="00D62E32">
            <w:pPr>
              <w:tabs>
                <w:tab w:val="left" w:pos="-720"/>
              </w:tabs>
              <w:suppressAutoHyphens/>
              <w:spacing w:after="0" w:line="280" w:lineRule="exact"/>
              <w:ind w:right="-5"/>
              <w:jc w:val="right"/>
              <w:rPr>
                <w:rFonts w:cs="Arial"/>
                <w:sz w:val="18"/>
                <w:szCs w:val="18"/>
              </w:rPr>
            </w:pPr>
            <w:r w:rsidRPr="00016AD1">
              <w:rPr>
                <w:rFonts w:cs="Arial"/>
                <w:sz w:val="18"/>
                <w:szCs w:val="18"/>
              </w:rPr>
              <w:t>-</w:t>
            </w:r>
          </w:p>
        </w:tc>
        <w:tc>
          <w:tcPr>
            <w:tcW w:w="493" w:type="pct"/>
            <w:tcBorders>
              <w:top w:val="nil"/>
              <w:left w:val="nil"/>
              <w:bottom w:val="nil"/>
              <w:right w:val="nil"/>
            </w:tcBorders>
            <w:shd w:val="clear" w:color="auto" w:fill="auto"/>
            <w:vAlign w:val="bottom"/>
          </w:tcPr>
          <w:p w14:paraId="1F3826CB" w14:textId="5BCAB203"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492" w:type="pct"/>
            <w:tcBorders>
              <w:top w:val="nil"/>
              <w:left w:val="nil"/>
              <w:bottom w:val="nil"/>
              <w:right w:val="nil"/>
            </w:tcBorders>
            <w:shd w:val="clear" w:color="auto" w:fill="auto"/>
            <w:vAlign w:val="bottom"/>
          </w:tcPr>
          <w:p w14:paraId="483501C1" w14:textId="0A1BF80E" w:rsidR="00D62E32" w:rsidRPr="00A367C6" w:rsidRDefault="0015142B" w:rsidP="00D62E32">
            <w:pPr>
              <w:tabs>
                <w:tab w:val="left" w:pos="-720"/>
              </w:tabs>
              <w:suppressAutoHyphens/>
              <w:spacing w:after="0" w:line="280" w:lineRule="exact"/>
              <w:ind w:right="-5"/>
              <w:jc w:val="right"/>
              <w:rPr>
                <w:rFonts w:cs="Arial"/>
                <w:sz w:val="18"/>
                <w:szCs w:val="18"/>
              </w:rPr>
            </w:pPr>
            <w:r w:rsidRPr="0015142B">
              <w:rPr>
                <w:rFonts w:cs="Arial"/>
                <w:sz w:val="18"/>
                <w:szCs w:val="18"/>
              </w:rPr>
              <w:t>1.100.085</w:t>
            </w:r>
          </w:p>
        </w:tc>
        <w:tc>
          <w:tcPr>
            <w:tcW w:w="530" w:type="pct"/>
            <w:tcBorders>
              <w:top w:val="nil"/>
              <w:left w:val="nil"/>
              <w:bottom w:val="nil"/>
              <w:right w:val="nil"/>
            </w:tcBorders>
            <w:shd w:val="clear" w:color="auto" w:fill="auto"/>
            <w:vAlign w:val="bottom"/>
          </w:tcPr>
          <w:p w14:paraId="349111F2" w14:textId="6E07F831" w:rsidR="00D62E32" w:rsidRPr="00A367C6" w:rsidRDefault="0015142B"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63" w:type="pct"/>
            <w:tcBorders>
              <w:top w:val="nil"/>
              <w:left w:val="nil"/>
              <w:bottom w:val="nil"/>
              <w:right w:val="nil"/>
            </w:tcBorders>
            <w:shd w:val="clear" w:color="auto" w:fill="auto"/>
            <w:vAlign w:val="bottom"/>
          </w:tcPr>
          <w:p w14:paraId="3C6A39AC" w14:textId="42C9581A"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9.679</w:t>
            </w:r>
          </w:p>
        </w:tc>
        <w:tc>
          <w:tcPr>
            <w:tcW w:w="553" w:type="pct"/>
            <w:tcBorders>
              <w:top w:val="nil"/>
              <w:left w:val="nil"/>
              <w:bottom w:val="nil"/>
              <w:right w:val="nil"/>
            </w:tcBorders>
            <w:shd w:val="clear" w:color="auto" w:fill="auto"/>
            <w:vAlign w:val="bottom"/>
          </w:tcPr>
          <w:p w14:paraId="52333D45" w14:textId="4145B14A"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1.109.764</w:t>
            </w:r>
          </w:p>
        </w:tc>
      </w:tr>
      <w:tr w:rsidR="00D62E32" w:rsidRPr="00EF4016" w14:paraId="249477E9" w14:textId="77777777" w:rsidTr="00312975">
        <w:trPr>
          <w:trHeight w:val="292"/>
        </w:trPr>
        <w:tc>
          <w:tcPr>
            <w:tcW w:w="1282" w:type="pct"/>
            <w:vAlign w:val="bottom"/>
          </w:tcPr>
          <w:p w14:paraId="47C30B24" w14:textId="77777777" w:rsidR="00D62E32" w:rsidRPr="00EF4016" w:rsidRDefault="00D62E32" w:rsidP="00D62E32">
            <w:pPr>
              <w:pStyle w:val="TT"/>
              <w:spacing w:line="280" w:lineRule="exact"/>
              <w:rPr>
                <w:rFonts w:asciiTheme="minorHAnsi" w:hAnsiTheme="minorHAnsi" w:cs="Arial"/>
                <w:sz w:val="18"/>
                <w:szCs w:val="18"/>
                <w:lang w:val="hr-HR"/>
              </w:rPr>
            </w:pPr>
            <w:r w:rsidRPr="00EF4016">
              <w:rPr>
                <w:rFonts w:asciiTheme="minorHAnsi" w:hAnsiTheme="minorHAnsi" w:cs="Arial"/>
                <w:spacing w:val="-2"/>
                <w:sz w:val="18"/>
                <w:szCs w:val="18"/>
                <w:lang w:val="hr-HR"/>
              </w:rPr>
              <w:t>Ostale obveze</w:t>
            </w:r>
          </w:p>
        </w:tc>
        <w:tc>
          <w:tcPr>
            <w:tcW w:w="595" w:type="pct"/>
            <w:tcBorders>
              <w:top w:val="nil"/>
              <w:left w:val="nil"/>
              <w:bottom w:val="nil"/>
              <w:right w:val="nil"/>
            </w:tcBorders>
            <w:shd w:val="clear" w:color="auto" w:fill="auto"/>
            <w:vAlign w:val="bottom"/>
          </w:tcPr>
          <w:p w14:paraId="208F2D23" w14:textId="29AF478A"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493" w:type="pct"/>
            <w:tcBorders>
              <w:top w:val="nil"/>
              <w:left w:val="nil"/>
              <w:bottom w:val="nil"/>
              <w:right w:val="nil"/>
            </w:tcBorders>
            <w:shd w:val="clear" w:color="auto" w:fill="auto"/>
            <w:vAlign w:val="bottom"/>
          </w:tcPr>
          <w:p w14:paraId="2FC34F03" w14:textId="445842F0"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493" w:type="pct"/>
            <w:tcBorders>
              <w:top w:val="nil"/>
              <w:left w:val="nil"/>
              <w:bottom w:val="nil"/>
              <w:right w:val="nil"/>
            </w:tcBorders>
            <w:shd w:val="clear" w:color="auto" w:fill="auto"/>
            <w:vAlign w:val="bottom"/>
          </w:tcPr>
          <w:p w14:paraId="72BB01E0" w14:textId="090CC7CF"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492" w:type="pct"/>
            <w:tcBorders>
              <w:top w:val="nil"/>
              <w:left w:val="nil"/>
              <w:bottom w:val="nil"/>
              <w:right w:val="nil"/>
            </w:tcBorders>
            <w:shd w:val="clear" w:color="auto" w:fill="auto"/>
            <w:vAlign w:val="bottom"/>
          </w:tcPr>
          <w:p w14:paraId="0B43DBC6" w14:textId="4A5A02C7"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30" w:type="pct"/>
            <w:tcBorders>
              <w:top w:val="nil"/>
              <w:left w:val="nil"/>
              <w:bottom w:val="nil"/>
              <w:right w:val="nil"/>
            </w:tcBorders>
            <w:shd w:val="clear" w:color="auto" w:fill="auto"/>
            <w:vAlign w:val="bottom"/>
          </w:tcPr>
          <w:p w14:paraId="4552F5E6" w14:textId="7A295711"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w:t>
            </w:r>
          </w:p>
        </w:tc>
        <w:tc>
          <w:tcPr>
            <w:tcW w:w="563" w:type="pct"/>
            <w:tcBorders>
              <w:top w:val="nil"/>
              <w:left w:val="nil"/>
              <w:bottom w:val="single" w:sz="4" w:space="0" w:color="auto"/>
              <w:right w:val="nil"/>
            </w:tcBorders>
            <w:shd w:val="clear" w:color="auto" w:fill="auto"/>
            <w:vAlign w:val="bottom"/>
          </w:tcPr>
          <w:p w14:paraId="1AB05086" w14:textId="1EFE3205"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636.853</w:t>
            </w:r>
          </w:p>
        </w:tc>
        <w:tc>
          <w:tcPr>
            <w:tcW w:w="553" w:type="pct"/>
            <w:tcBorders>
              <w:top w:val="nil"/>
              <w:left w:val="nil"/>
              <w:bottom w:val="single" w:sz="4" w:space="0" w:color="auto"/>
              <w:right w:val="nil"/>
            </w:tcBorders>
            <w:shd w:val="clear" w:color="auto" w:fill="auto"/>
            <w:vAlign w:val="bottom"/>
          </w:tcPr>
          <w:p w14:paraId="790DE198" w14:textId="18D1B3A0"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636.853</w:t>
            </w:r>
          </w:p>
        </w:tc>
      </w:tr>
      <w:tr w:rsidR="0015142B" w:rsidRPr="00EF4016" w14:paraId="58AE5154" w14:textId="77777777" w:rsidTr="00312975">
        <w:trPr>
          <w:trHeight w:val="345"/>
        </w:trPr>
        <w:tc>
          <w:tcPr>
            <w:tcW w:w="1282" w:type="pct"/>
            <w:vAlign w:val="bottom"/>
          </w:tcPr>
          <w:p w14:paraId="6EC8EA80" w14:textId="77777777" w:rsidR="0015142B" w:rsidRPr="00EF4016" w:rsidRDefault="0015142B" w:rsidP="0015142B">
            <w:pPr>
              <w:pStyle w:val="Tot"/>
              <w:spacing w:line="280" w:lineRule="exact"/>
              <w:rPr>
                <w:rFonts w:asciiTheme="minorHAnsi" w:hAnsiTheme="minorHAnsi" w:cs="Arial"/>
                <w:b/>
                <w:bCs/>
                <w:sz w:val="18"/>
                <w:szCs w:val="18"/>
                <w:lang w:val="hr-HR"/>
              </w:rPr>
            </w:pPr>
            <w:r w:rsidRPr="00EF4016">
              <w:rPr>
                <w:rFonts w:asciiTheme="minorHAnsi" w:hAnsiTheme="minorHAnsi" w:cs="Arial"/>
                <w:b/>
                <w:bCs/>
                <w:sz w:val="18"/>
                <w:szCs w:val="18"/>
                <w:lang w:val="hr-HR"/>
              </w:rPr>
              <w:t>Ukupne obveze</w:t>
            </w:r>
          </w:p>
        </w:tc>
        <w:tc>
          <w:tcPr>
            <w:tcW w:w="595" w:type="pct"/>
            <w:tcBorders>
              <w:top w:val="single" w:sz="8" w:space="0" w:color="auto"/>
              <w:left w:val="nil"/>
              <w:bottom w:val="single" w:sz="12" w:space="0" w:color="auto"/>
              <w:right w:val="nil"/>
            </w:tcBorders>
            <w:shd w:val="clear" w:color="auto" w:fill="auto"/>
            <w:vAlign w:val="bottom"/>
          </w:tcPr>
          <w:p w14:paraId="2CD92DEE" w14:textId="3FE4B161" w:rsidR="0015142B" w:rsidRPr="00A367C6" w:rsidRDefault="00FD44AE" w:rsidP="0015142B">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319.905</w:t>
            </w:r>
          </w:p>
        </w:tc>
        <w:tc>
          <w:tcPr>
            <w:tcW w:w="493" w:type="pct"/>
            <w:tcBorders>
              <w:top w:val="single" w:sz="8" w:space="0" w:color="auto"/>
              <w:left w:val="nil"/>
              <w:bottom w:val="single" w:sz="12" w:space="0" w:color="auto"/>
              <w:right w:val="nil"/>
            </w:tcBorders>
            <w:shd w:val="clear" w:color="auto" w:fill="auto"/>
            <w:vAlign w:val="bottom"/>
          </w:tcPr>
          <w:p w14:paraId="22C3E000" w14:textId="4375AF2E" w:rsidR="0015142B" w:rsidRPr="00A367C6" w:rsidRDefault="0015142B" w:rsidP="0015142B">
            <w:pPr>
              <w:pStyle w:val="Tot"/>
              <w:spacing w:line="320" w:lineRule="exact"/>
              <w:jc w:val="right"/>
              <w:rPr>
                <w:rFonts w:asciiTheme="minorHAnsi" w:hAnsiTheme="minorHAnsi" w:cs="Arial"/>
                <w:b/>
                <w:bCs/>
                <w:sz w:val="18"/>
                <w:szCs w:val="18"/>
                <w:lang w:val="hr-HR"/>
              </w:rPr>
            </w:pPr>
            <w:r w:rsidRPr="00312975">
              <w:rPr>
                <w:rFonts w:asciiTheme="minorHAnsi" w:hAnsiTheme="minorHAnsi" w:cs="Arial"/>
                <w:b/>
                <w:bCs/>
                <w:sz w:val="18"/>
                <w:szCs w:val="18"/>
                <w:lang w:val="hr-HR"/>
              </w:rPr>
              <w:t>179.970</w:t>
            </w:r>
          </w:p>
        </w:tc>
        <w:tc>
          <w:tcPr>
            <w:tcW w:w="493" w:type="pct"/>
            <w:tcBorders>
              <w:top w:val="single" w:sz="8" w:space="0" w:color="auto"/>
              <w:left w:val="nil"/>
              <w:bottom w:val="single" w:sz="12" w:space="0" w:color="auto"/>
              <w:right w:val="nil"/>
            </w:tcBorders>
            <w:shd w:val="clear" w:color="auto" w:fill="auto"/>
            <w:vAlign w:val="bottom"/>
          </w:tcPr>
          <w:p w14:paraId="4F751FFD" w14:textId="14CE427E" w:rsidR="0015142B" w:rsidRPr="00A367C6" w:rsidRDefault="0015142B">
            <w:pPr>
              <w:pStyle w:val="Tot"/>
              <w:spacing w:line="320" w:lineRule="exact"/>
              <w:jc w:val="right"/>
              <w:rPr>
                <w:rFonts w:asciiTheme="minorHAnsi" w:hAnsiTheme="minorHAnsi" w:cs="Arial"/>
                <w:b/>
                <w:bCs/>
                <w:sz w:val="18"/>
                <w:szCs w:val="18"/>
                <w:lang w:val="hr-HR"/>
              </w:rPr>
            </w:pPr>
            <w:r w:rsidRPr="00312975">
              <w:rPr>
                <w:rFonts w:asciiTheme="minorHAnsi" w:hAnsiTheme="minorHAnsi" w:cs="Arial"/>
                <w:b/>
                <w:bCs/>
                <w:sz w:val="18"/>
                <w:szCs w:val="18"/>
                <w:lang w:val="hr-HR"/>
              </w:rPr>
              <w:t>1.278.75</w:t>
            </w:r>
            <w:r w:rsidR="00FD44AE">
              <w:rPr>
                <w:rFonts w:asciiTheme="minorHAnsi" w:hAnsiTheme="minorHAnsi" w:cs="Arial"/>
                <w:b/>
                <w:bCs/>
                <w:sz w:val="18"/>
                <w:szCs w:val="18"/>
                <w:lang w:val="hr-HR"/>
              </w:rPr>
              <w:t>7</w:t>
            </w:r>
          </w:p>
        </w:tc>
        <w:tc>
          <w:tcPr>
            <w:tcW w:w="492" w:type="pct"/>
            <w:tcBorders>
              <w:top w:val="single" w:sz="8" w:space="0" w:color="auto"/>
              <w:left w:val="nil"/>
              <w:bottom w:val="single" w:sz="12" w:space="0" w:color="auto"/>
              <w:right w:val="nil"/>
            </w:tcBorders>
            <w:shd w:val="clear" w:color="auto" w:fill="auto"/>
            <w:vAlign w:val="bottom"/>
          </w:tcPr>
          <w:p w14:paraId="5B590B65" w14:textId="47D999E4" w:rsidR="0015142B" w:rsidRPr="00A367C6" w:rsidRDefault="0015142B">
            <w:pPr>
              <w:pStyle w:val="Tot"/>
              <w:spacing w:line="320" w:lineRule="exact"/>
              <w:jc w:val="right"/>
              <w:rPr>
                <w:rFonts w:asciiTheme="minorHAnsi" w:hAnsiTheme="minorHAnsi" w:cs="Arial"/>
                <w:b/>
                <w:bCs/>
                <w:sz w:val="18"/>
                <w:szCs w:val="18"/>
                <w:lang w:val="hr-HR"/>
              </w:rPr>
            </w:pPr>
            <w:r w:rsidRPr="00312975">
              <w:rPr>
                <w:rFonts w:asciiTheme="minorHAnsi" w:hAnsiTheme="minorHAnsi" w:cs="Arial"/>
                <w:b/>
                <w:bCs/>
                <w:sz w:val="18"/>
                <w:szCs w:val="18"/>
                <w:lang w:val="hr-HR"/>
              </w:rPr>
              <w:t>4.652.22</w:t>
            </w:r>
            <w:r w:rsidR="00FD44AE">
              <w:rPr>
                <w:rFonts w:asciiTheme="minorHAnsi" w:hAnsiTheme="minorHAnsi" w:cs="Arial"/>
                <w:b/>
                <w:bCs/>
                <w:sz w:val="18"/>
                <w:szCs w:val="18"/>
                <w:lang w:val="hr-HR"/>
              </w:rPr>
              <w:t>8</w:t>
            </w:r>
          </w:p>
        </w:tc>
        <w:tc>
          <w:tcPr>
            <w:tcW w:w="530" w:type="pct"/>
            <w:tcBorders>
              <w:top w:val="single" w:sz="8" w:space="0" w:color="auto"/>
              <w:left w:val="nil"/>
              <w:bottom w:val="single" w:sz="12" w:space="0" w:color="auto"/>
              <w:right w:val="nil"/>
            </w:tcBorders>
            <w:shd w:val="clear" w:color="auto" w:fill="auto"/>
            <w:vAlign w:val="bottom"/>
          </w:tcPr>
          <w:p w14:paraId="0216FD68" w14:textId="01F18990" w:rsidR="0015142B" w:rsidRPr="00A367C6" w:rsidRDefault="0015142B">
            <w:pPr>
              <w:pStyle w:val="Tot"/>
              <w:spacing w:line="320" w:lineRule="exact"/>
              <w:jc w:val="right"/>
              <w:rPr>
                <w:rFonts w:asciiTheme="minorHAnsi" w:hAnsiTheme="minorHAnsi" w:cs="Arial"/>
                <w:b/>
                <w:bCs/>
                <w:sz w:val="18"/>
                <w:szCs w:val="18"/>
                <w:lang w:val="hr-HR"/>
              </w:rPr>
            </w:pPr>
            <w:r w:rsidRPr="00312975">
              <w:rPr>
                <w:rFonts w:asciiTheme="minorHAnsi" w:hAnsiTheme="minorHAnsi" w:cs="Arial"/>
                <w:b/>
                <w:bCs/>
                <w:sz w:val="18"/>
                <w:szCs w:val="18"/>
                <w:lang w:val="hr-HR"/>
              </w:rPr>
              <w:t>10.146.90</w:t>
            </w:r>
            <w:r w:rsidR="00FD44AE">
              <w:rPr>
                <w:rFonts w:asciiTheme="minorHAnsi" w:hAnsiTheme="minorHAnsi" w:cs="Arial"/>
                <w:b/>
                <w:bCs/>
                <w:sz w:val="18"/>
                <w:szCs w:val="18"/>
                <w:lang w:val="hr-HR"/>
              </w:rPr>
              <w:t>9</w:t>
            </w:r>
          </w:p>
        </w:tc>
        <w:tc>
          <w:tcPr>
            <w:tcW w:w="563" w:type="pct"/>
            <w:tcBorders>
              <w:top w:val="single" w:sz="8" w:space="0" w:color="auto"/>
              <w:left w:val="nil"/>
              <w:bottom w:val="single" w:sz="12" w:space="0" w:color="auto"/>
              <w:right w:val="nil"/>
            </w:tcBorders>
            <w:shd w:val="clear" w:color="auto" w:fill="auto"/>
            <w:vAlign w:val="bottom"/>
          </w:tcPr>
          <w:p w14:paraId="47043ED8" w14:textId="2A37029A" w:rsidR="0015142B" w:rsidRPr="00A367C6" w:rsidRDefault="0015142B">
            <w:pPr>
              <w:pStyle w:val="Tot"/>
              <w:spacing w:line="320" w:lineRule="exact"/>
              <w:jc w:val="right"/>
              <w:rPr>
                <w:rFonts w:asciiTheme="minorHAnsi" w:hAnsiTheme="minorHAnsi" w:cs="Arial"/>
                <w:b/>
                <w:bCs/>
                <w:sz w:val="18"/>
                <w:szCs w:val="18"/>
                <w:lang w:val="hr-HR"/>
              </w:rPr>
            </w:pPr>
            <w:r w:rsidRPr="00312975">
              <w:rPr>
                <w:rFonts w:asciiTheme="minorHAnsi" w:hAnsiTheme="minorHAnsi" w:cs="Arial"/>
                <w:b/>
                <w:bCs/>
                <w:sz w:val="18"/>
                <w:szCs w:val="18"/>
                <w:lang w:val="hr-HR"/>
              </w:rPr>
              <w:t>1.</w:t>
            </w:r>
            <w:r w:rsidR="00FD44AE">
              <w:rPr>
                <w:rFonts w:asciiTheme="minorHAnsi" w:hAnsiTheme="minorHAnsi" w:cs="Arial"/>
                <w:b/>
                <w:bCs/>
                <w:sz w:val="18"/>
                <w:szCs w:val="18"/>
                <w:lang w:val="hr-HR"/>
              </w:rPr>
              <w:t>073.407</w:t>
            </w:r>
          </w:p>
        </w:tc>
        <w:tc>
          <w:tcPr>
            <w:tcW w:w="553" w:type="pct"/>
            <w:tcBorders>
              <w:top w:val="single" w:sz="8" w:space="0" w:color="auto"/>
              <w:left w:val="nil"/>
              <w:bottom w:val="single" w:sz="12" w:space="0" w:color="auto"/>
              <w:right w:val="nil"/>
            </w:tcBorders>
            <w:shd w:val="clear" w:color="auto" w:fill="auto"/>
            <w:vAlign w:val="bottom"/>
          </w:tcPr>
          <w:p w14:paraId="08EBC9ED" w14:textId="1B6B84A6" w:rsidR="0015142B" w:rsidRPr="00A367C6" w:rsidRDefault="0015142B" w:rsidP="0015142B">
            <w:pPr>
              <w:pStyle w:val="Tot"/>
              <w:spacing w:line="320" w:lineRule="exact"/>
              <w:jc w:val="right"/>
              <w:rPr>
                <w:rFonts w:asciiTheme="minorHAnsi" w:hAnsiTheme="minorHAnsi" w:cs="Arial"/>
                <w:b/>
                <w:bCs/>
                <w:sz w:val="18"/>
                <w:szCs w:val="18"/>
                <w:lang w:val="hr-HR"/>
              </w:rPr>
            </w:pPr>
            <w:r w:rsidRPr="00312975">
              <w:rPr>
                <w:rFonts w:asciiTheme="minorHAnsi" w:hAnsiTheme="minorHAnsi" w:cs="Arial"/>
                <w:b/>
                <w:bCs/>
                <w:sz w:val="18"/>
                <w:szCs w:val="18"/>
                <w:lang w:val="hr-HR"/>
              </w:rPr>
              <w:t>17.651.176</w:t>
            </w:r>
          </w:p>
        </w:tc>
      </w:tr>
      <w:tr w:rsidR="00D34B9C" w:rsidRPr="00EF4016" w14:paraId="47F4B320" w14:textId="77777777" w:rsidTr="00AB62C5">
        <w:trPr>
          <w:trHeight w:val="305"/>
        </w:trPr>
        <w:tc>
          <w:tcPr>
            <w:tcW w:w="1282" w:type="pct"/>
            <w:vAlign w:val="bottom"/>
          </w:tcPr>
          <w:p w14:paraId="3272E141" w14:textId="77777777" w:rsidR="00D34B9C" w:rsidRPr="00EF4016" w:rsidRDefault="00D34B9C" w:rsidP="00D34B9C">
            <w:pPr>
              <w:pStyle w:val="TT"/>
              <w:spacing w:line="280" w:lineRule="exact"/>
              <w:rPr>
                <w:rFonts w:asciiTheme="minorHAnsi" w:hAnsiTheme="minorHAnsi" w:cs="Arial"/>
                <w:sz w:val="18"/>
                <w:szCs w:val="18"/>
                <w:lang w:val="hr-HR"/>
              </w:rPr>
            </w:pPr>
            <w:r w:rsidRPr="00EF4016">
              <w:rPr>
                <w:rFonts w:asciiTheme="minorHAnsi" w:hAnsiTheme="minorHAnsi" w:cs="Arial"/>
                <w:b/>
                <w:bCs/>
                <w:sz w:val="18"/>
                <w:szCs w:val="18"/>
                <w:lang w:val="hr-HR"/>
              </w:rPr>
              <w:t>Kapital</w:t>
            </w:r>
          </w:p>
        </w:tc>
        <w:tc>
          <w:tcPr>
            <w:tcW w:w="595" w:type="pct"/>
            <w:tcBorders>
              <w:top w:val="single" w:sz="12" w:space="0" w:color="auto"/>
              <w:left w:val="nil"/>
              <w:bottom w:val="nil"/>
              <w:right w:val="nil"/>
            </w:tcBorders>
            <w:vAlign w:val="bottom"/>
          </w:tcPr>
          <w:p w14:paraId="7C383701" w14:textId="77777777" w:rsidR="00D34B9C" w:rsidRPr="00A367C6" w:rsidRDefault="00D34B9C">
            <w:pPr>
              <w:pStyle w:val="TT"/>
              <w:spacing w:line="280" w:lineRule="exact"/>
              <w:jc w:val="right"/>
              <w:rPr>
                <w:rFonts w:asciiTheme="minorHAnsi" w:hAnsiTheme="minorHAnsi" w:cs="Arial"/>
                <w:spacing w:val="-2"/>
                <w:sz w:val="18"/>
                <w:szCs w:val="18"/>
              </w:rPr>
            </w:pPr>
          </w:p>
        </w:tc>
        <w:tc>
          <w:tcPr>
            <w:tcW w:w="493" w:type="pct"/>
            <w:tcBorders>
              <w:top w:val="single" w:sz="12" w:space="0" w:color="auto"/>
              <w:left w:val="nil"/>
              <w:bottom w:val="nil"/>
              <w:right w:val="nil"/>
            </w:tcBorders>
            <w:vAlign w:val="bottom"/>
          </w:tcPr>
          <w:p w14:paraId="13A30AA4" w14:textId="77777777" w:rsidR="00D34B9C" w:rsidRPr="00A367C6" w:rsidRDefault="00D34B9C">
            <w:pPr>
              <w:pStyle w:val="TT"/>
              <w:spacing w:line="280" w:lineRule="exact"/>
              <w:jc w:val="right"/>
              <w:rPr>
                <w:rFonts w:asciiTheme="minorHAnsi" w:hAnsiTheme="minorHAnsi" w:cs="Arial"/>
                <w:spacing w:val="-2"/>
                <w:sz w:val="18"/>
                <w:szCs w:val="18"/>
              </w:rPr>
            </w:pPr>
          </w:p>
        </w:tc>
        <w:tc>
          <w:tcPr>
            <w:tcW w:w="493" w:type="pct"/>
            <w:tcBorders>
              <w:top w:val="single" w:sz="12" w:space="0" w:color="auto"/>
              <w:left w:val="nil"/>
              <w:bottom w:val="nil"/>
              <w:right w:val="nil"/>
            </w:tcBorders>
            <w:vAlign w:val="bottom"/>
          </w:tcPr>
          <w:p w14:paraId="70DBF0FE" w14:textId="77777777" w:rsidR="00D34B9C" w:rsidRPr="00A367C6" w:rsidRDefault="00D34B9C">
            <w:pPr>
              <w:pStyle w:val="TT"/>
              <w:spacing w:line="280" w:lineRule="exact"/>
              <w:jc w:val="right"/>
              <w:rPr>
                <w:rFonts w:asciiTheme="minorHAnsi" w:hAnsiTheme="minorHAnsi" w:cs="Arial"/>
                <w:spacing w:val="-2"/>
                <w:sz w:val="18"/>
                <w:szCs w:val="18"/>
              </w:rPr>
            </w:pPr>
          </w:p>
        </w:tc>
        <w:tc>
          <w:tcPr>
            <w:tcW w:w="492" w:type="pct"/>
            <w:tcBorders>
              <w:top w:val="single" w:sz="12" w:space="0" w:color="auto"/>
              <w:left w:val="nil"/>
              <w:bottom w:val="nil"/>
              <w:right w:val="nil"/>
            </w:tcBorders>
            <w:vAlign w:val="bottom"/>
          </w:tcPr>
          <w:p w14:paraId="40B9420D" w14:textId="77777777" w:rsidR="00D34B9C" w:rsidRPr="00A367C6" w:rsidRDefault="00D34B9C">
            <w:pPr>
              <w:pStyle w:val="TT"/>
              <w:spacing w:line="280" w:lineRule="exact"/>
              <w:jc w:val="right"/>
              <w:rPr>
                <w:rFonts w:asciiTheme="minorHAnsi" w:hAnsiTheme="minorHAnsi" w:cs="Arial"/>
                <w:spacing w:val="-2"/>
                <w:sz w:val="18"/>
                <w:szCs w:val="18"/>
              </w:rPr>
            </w:pPr>
          </w:p>
        </w:tc>
        <w:tc>
          <w:tcPr>
            <w:tcW w:w="530" w:type="pct"/>
            <w:tcBorders>
              <w:top w:val="single" w:sz="12" w:space="0" w:color="auto"/>
              <w:left w:val="nil"/>
              <w:bottom w:val="nil"/>
              <w:right w:val="nil"/>
            </w:tcBorders>
            <w:vAlign w:val="bottom"/>
          </w:tcPr>
          <w:p w14:paraId="1E27B747" w14:textId="77777777" w:rsidR="00D34B9C" w:rsidRPr="00A367C6" w:rsidRDefault="00D34B9C">
            <w:pPr>
              <w:pStyle w:val="TT"/>
              <w:spacing w:line="280" w:lineRule="exact"/>
              <w:jc w:val="right"/>
              <w:rPr>
                <w:rFonts w:asciiTheme="minorHAnsi" w:hAnsiTheme="minorHAnsi" w:cs="Arial"/>
                <w:spacing w:val="-2"/>
                <w:sz w:val="18"/>
                <w:szCs w:val="18"/>
              </w:rPr>
            </w:pPr>
          </w:p>
        </w:tc>
        <w:tc>
          <w:tcPr>
            <w:tcW w:w="563" w:type="pct"/>
            <w:tcBorders>
              <w:top w:val="single" w:sz="12" w:space="0" w:color="auto"/>
              <w:left w:val="nil"/>
              <w:bottom w:val="nil"/>
              <w:right w:val="nil"/>
            </w:tcBorders>
            <w:vAlign w:val="bottom"/>
          </w:tcPr>
          <w:p w14:paraId="74AEEE5D" w14:textId="77777777" w:rsidR="00D34B9C" w:rsidRPr="00A367C6" w:rsidRDefault="00D34B9C">
            <w:pPr>
              <w:pStyle w:val="TH"/>
              <w:spacing w:line="280" w:lineRule="exact"/>
              <w:jc w:val="right"/>
              <w:rPr>
                <w:rFonts w:asciiTheme="minorHAnsi" w:hAnsiTheme="minorHAnsi" w:cs="Arial"/>
                <w:sz w:val="18"/>
                <w:szCs w:val="18"/>
              </w:rPr>
            </w:pPr>
          </w:p>
        </w:tc>
        <w:tc>
          <w:tcPr>
            <w:tcW w:w="553" w:type="pct"/>
            <w:tcBorders>
              <w:top w:val="single" w:sz="12" w:space="0" w:color="auto"/>
              <w:left w:val="nil"/>
              <w:bottom w:val="nil"/>
              <w:right w:val="nil"/>
            </w:tcBorders>
            <w:vAlign w:val="bottom"/>
          </w:tcPr>
          <w:p w14:paraId="75FB623D" w14:textId="77777777" w:rsidR="00D34B9C" w:rsidRPr="00A367C6" w:rsidRDefault="00D34B9C">
            <w:pPr>
              <w:pStyle w:val="TT"/>
              <w:spacing w:line="280" w:lineRule="exact"/>
              <w:jc w:val="right"/>
              <w:rPr>
                <w:rFonts w:asciiTheme="minorHAnsi" w:hAnsiTheme="minorHAnsi" w:cs="Arial"/>
                <w:sz w:val="18"/>
                <w:szCs w:val="18"/>
              </w:rPr>
            </w:pPr>
          </w:p>
        </w:tc>
      </w:tr>
      <w:tr w:rsidR="00D62E32" w:rsidRPr="00EF4016" w14:paraId="5FF89692" w14:textId="77777777" w:rsidTr="00312975">
        <w:trPr>
          <w:trHeight w:val="292"/>
        </w:trPr>
        <w:tc>
          <w:tcPr>
            <w:tcW w:w="1282" w:type="pct"/>
            <w:vAlign w:val="bottom"/>
          </w:tcPr>
          <w:p w14:paraId="11889AEF" w14:textId="77777777" w:rsidR="00D62E32" w:rsidRPr="00EF4016" w:rsidRDefault="00D62E32" w:rsidP="00D62E32">
            <w:pPr>
              <w:pStyle w:val="TT"/>
              <w:spacing w:line="280" w:lineRule="exact"/>
              <w:rPr>
                <w:rFonts w:asciiTheme="minorHAnsi" w:hAnsiTheme="minorHAnsi" w:cs="Arial"/>
                <w:sz w:val="18"/>
                <w:szCs w:val="18"/>
                <w:lang w:val="hr-HR"/>
              </w:rPr>
            </w:pPr>
            <w:r w:rsidRPr="00EF4016">
              <w:rPr>
                <w:rFonts w:asciiTheme="minorHAnsi" w:hAnsiTheme="minorHAnsi" w:cs="Arial"/>
                <w:sz w:val="18"/>
                <w:szCs w:val="18"/>
                <w:lang w:val="hr-HR"/>
              </w:rPr>
              <w:t>Osnivački kapital</w:t>
            </w:r>
          </w:p>
        </w:tc>
        <w:tc>
          <w:tcPr>
            <w:tcW w:w="595" w:type="pct"/>
            <w:tcBorders>
              <w:top w:val="nil"/>
              <w:left w:val="nil"/>
              <w:bottom w:val="nil"/>
              <w:right w:val="nil"/>
            </w:tcBorders>
            <w:shd w:val="clear" w:color="auto" w:fill="auto"/>
            <w:vAlign w:val="bottom"/>
          </w:tcPr>
          <w:p w14:paraId="40AC812A" w14:textId="09848B27" w:rsidR="00D62E32" w:rsidRPr="000E5941" w:rsidRDefault="00D62E32" w:rsidP="00D62E32">
            <w:pPr>
              <w:pStyle w:val="CommentText"/>
              <w:spacing w:after="0" w:line="280" w:lineRule="exact"/>
              <w:jc w:val="right"/>
              <w:rPr>
                <w:rFonts w:cs="Arial"/>
                <w:sz w:val="18"/>
                <w:szCs w:val="18"/>
              </w:rPr>
            </w:pPr>
            <w:r w:rsidRPr="000F2377">
              <w:rPr>
                <w:rFonts w:cs="Arial"/>
                <w:sz w:val="18"/>
                <w:szCs w:val="18"/>
              </w:rPr>
              <w:t>-</w:t>
            </w:r>
          </w:p>
        </w:tc>
        <w:tc>
          <w:tcPr>
            <w:tcW w:w="493" w:type="pct"/>
            <w:tcBorders>
              <w:top w:val="nil"/>
              <w:left w:val="nil"/>
              <w:bottom w:val="nil"/>
              <w:right w:val="nil"/>
            </w:tcBorders>
            <w:shd w:val="clear" w:color="auto" w:fill="auto"/>
            <w:vAlign w:val="bottom"/>
          </w:tcPr>
          <w:p w14:paraId="34E406E5" w14:textId="3CDB1DAD" w:rsidR="00D62E32" w:rsidRPr="000E5941" w:rsidRDefault="00D62E32" w:rsidP="00D62E32">
            <w:pPr>
              <w:pStyle w:val="CommentText"/>
              <w:spacing w:after="0" w:line="280" w:lineRule="exact"/>
              <w:jc w:val="right"/>
              <w:rPr>
                <w:rFonts w:cs="Arial"/>
                <w:sz w:val="18"/>
                <w:szCs w:val="18"/>
              </w:rPr>
            </w:pPr>
            <w:r w:rsidRPr="000F2377">
              <w:rPr>
                <w:rFonts w:cs="Arial"/>
                <w:sz w:val="18"/>
                <w:szCs w:val="18"/>
              </w:rPr>
              <w:t>-</w:t>
            </w:r>
          </w:p>
        </w:tc>
        <w:tc>
          <w:tcPr>
            <w:tcW w:w="493" w:type="pct"/>
            <w:tcBorders>
              <w:top w:val="nil"/>
              <w:left w:val="nil"/>
              <w:bottom w:val="nil"/>
              <w:right w:val="nil"/>
            </w:tcBorders>
            <w:shd w:val="clear" w:color="auto" w:fill="auto"/>
            <w:vAlign w:val="bottom"/>
          </w:tcPr>
          <w:p w14:paraId="2AE9427B" w14:textId="3D0E4CC4" w:rsidR="00D62E32" w:rsidRPr="000E5941" w:rsidRDefault="00D62E32" w:rsidP="00D62E32">
            <w:pPr>
              <w:pStyle w:val="CommentText"/>
              <w:spacing w:after="0" w:line="280" w:lineRule="exact"/>
              <w:jc w:val="right"/>
              <w:rPr>
                <w:rFonts w:cs="Arial"/>
                <w:sz w:val="18"/>
                <w:szCs w:val="18"/>
              </w:rPr>
            </w:pPr>
            <w:r w:rsidRPr="000F2377">
              <w:rPr>
                <w:rFonts w:cs="Arial"/>
                <w:sz w:val="18"/>
                <w:szCs w:val="18"/>
              </w:rPr>
              <w:t>-</w:t>
            </w:r>
          </w:p>
        </w:tc>
        <w:tc>
          <w:tcPr>
            <w:tcW w:w="492" w:type="pct"/>
            <w:tcBorders>
              <w:top w:val="nil"/>
              <w:left w:val="nil"/>
              <w:bottom w:val="nil"/>
              <w:right w:val="nil"/>
            </w:tcBorders>
            <w:shd w:val="clear" w:color="auto" w:fill="auto"/>
            <w:vAlign w:val="bottom"/>
          </w:tcPr>
          <w:p w14:paraId="51A82081" w14:textId="68A3C9A7" w:rsidR="00D62E32" w:rsidRPr="000E5941" w:rsidRDefault="00D62E32" w:rsidP="00D62E32">
            <w:pPr>
              <w:pStyle w:val="CommentText"/>
              <w:spacing w:after="0" w:line="280" w:lineRule="exact"/>
              <w:jc w:val="right"/>
              <w:rPr>
                <w:rFonts w:cs="Arial"/>
                <w:sz w:val="18"/>
                <w:szCs w:val="18"/>
              </w:rPr>
            </w:pPr>
            <w:r w:rsidRPr="000F2377">
              <w:rPr>
                <w:rFonts w:cs="Arial"/>
                <w:sz w:val="18"/>
                <w:szCs w:val="18"/>
              </w:rPr>
              <w:t>-</w:t>
            </w:r>
          </w:p>
        </w:tc>
        <w:tc>
          <w:tcPr>
            <w:tcW w:w="530" w:type="pct"/>
            <w:tcBorders>
              <w:top w:val="nil"/>
              <w:left w:val="nil"/>
              <w:bottom w:val="nil"/>
              <w:right w:val="nil"/>
            </w:tcBorders>
            <w:shd w:val="clear" w:color="auto" w:fill="auto"/>
            <w:vAlign w:val="bottom"/>
          </w:tcPr>
          <w:p w14:paraId="39F3DB11" w14:textId="6E7BEC53" w:rsidR="00D62E32" w:rsidRPr="000E5941" w:rsidRDefault="00D62E32" w:rsidP="00D62E32">
            <w:pPr>
              <w:pStyle w:val="CommentText"/>
              <w:spacing w:after="0" w:line="280" w:lineRule="exact"/>
              <w:jc w:val="right"/>
              <w:rPr>
                <w:rFonts w:cs="Arial"/>
                <w:sz w:val="18"/>
                <w:szCs w:val="18"/>
              </w:rPr>
            </w:pPr>
            <w:r w:rsidRPr="000F2377">
              <w:rPr>
                <w:rFonts w:cs="Arial"/>
                <w:sz w:val="18"/>
                <w:szCs w:val="18"/>
              </w:rPr>
              <w:t>-</w:t>
            </w:r>
          </w:p>
        </w:tc>
        <w:tc>
          <w:tcPr>
            <w:tcW w:w="563" w:type="pct"/>
            <w:shd w:val="clear" w:color="auto" w:fill="auto"/>
            <w:vAlign w:val="bottom"/>
          </w:tcPr>
          <w:p w14:paraId="5B27EBB9" w14:textId="06CC8F5A"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6.959.632</w:t>
            </w:r>
          </w:p>
        </w:tc>
        <w:tc>
          <w:tcPr>
            <w:tcW w:w="553" w:type="pct"/>
            <w:shd w:val="clear" w:color="auto" w:fill="auto"/>
            <w:vAlign w:val="bottom"/>
          </w:tcPr>
          <w:p w14:paraId="258AFC2A" w14:textId="70A42843"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6.959.632</w:t>
            </w:r>
          </w:p>
        </w:tc>
      </w:tr>
      <w:tr w:rsidR="00D62E32" w:rsidRPr="00EF4016" w14:paraId="1CA8D54B" w14:textId="77777777" w:rsidTr="00312975">
        <w:trPr>
          <w:trHeight w:val="305"/>
        </w:trPr>
        <w:tc>
          <w:tcPr>
            <w:tcW w:w="1282" w:type="pct"/>
            <w:vAlign w:val="bottom"/>
          </w:tcPr>
          <w:p w14:paraId="5EB54B89" w14:textId="77777777" w:rsidR="00D62E32" w:rsidRPr="00EF4016" w:rsidRDefault="00D62E32" w:rsidP="00D62E32">
            <w:pPr>
              <w:pStyle w:val="TT"/>
              <w:spacing w:line="280" w:lineRule="exact"/>
              <w:rPr>
                <w:rFonts w:asciiTheme="minorHAnsi" w:hAnsiTheme="minorHAnsi" w:cs="Arial"/>
                <w:sz w:val="18"/>
                <w:szCs w:val="18"/>
                <w:lang w:val="hr-HR"/>
              </w:rPr>
            </w:pPr>
            <w:r w:rsidRPr="00EF4016">
              <w:rPr>
                <w:rFonts w:asciiTheme="minorHAnsi" w:hAnsiTheme="minorHAnsi" w:cs="Arial"/>
                <w:sz w:val="18"/>
                <w:szCs w:val="18"/>
                <w:lang w:val="hr-HR"/>
              </w:rPr>
              <w:t>Zadržana dobit i rezerve</w:t>
            </w:r>
          </w:p>
        </w:tc>
        <w:tc>
          <w:tcPr>
            <w:tcW w:w="595" w:type="pct"/>
            <w:tcBorders>
              <w:top w:val="nil"/>
              <w:left w:val="nil"/>
              <w:bottom w:val="nil"/>
              <w:right w:val="nil"/>
            </w:tcBorders>
            <w:shd w:val="clear" w:color="auto" w:fill="auto"/>
            <w:vAlign w:val="bottom"/>
          </w:tcPr>
          <w:p w14:paraId="6C1FA135" w14:textId="23261222" w:rsidR="00D62E32" w:rsidRPr="000E5941" w:rsidRDefault="00D62E32" w:rsidP="00D62E32">
            <w:pPr>
              <w:pStyle w:val="CommentText"/>
              <w:spacing w:after="0" w:line="280" w:lineRule="exact"/>
              <w:jc w:val="right"/>
              <w:rPr>
                <w:rFonts w:cs="Arial"/>
                <w:sz w:val="18"/>
                <w:szCs w:val="18"/>
              </w:rPr>
            </w:pPr>
            <w:r w:rsidRPr="000F2377">
              <w:rPr>
                <w:rFonts w:cs="Arial"/>
                <w:sz w:val="18"/>
                <w:szCs w:val="18"/>
              </w:rPr>
              <w:t>-</w:t>
            </w:r>
          </w:p>
        </w:tc>
        <w:tc>
          <w:tcPr>
            <w:tcW w:w="493" w:type="pct"/>
            <w:tcBorders>
              <w:top w:val="nil"/>
              <w:left w:val="nil"/>
              <w:bottom w:val="nil"/>
              <w:right w:val="nil"/>
            </w:tcBorders>
            <w:shd w:val="clear" w:color="auto" w:fill="auto"/>
            <w:vAlign w:val="bottom"/>
          </w:tcPr>
          <w:p w14:paraId="14785150" w14:textId="06925E13" w:rsidR="00D62E32" w:rsidRPr="000E5941" w:rsidRDefault="00D62E32" w:rsidP="00D62E32">
            <w:pPr>
              <w:pStyle w:val="CommentText"/>
              <w:spacing w:after="0" w:line="280" w:lineRule="exact"/>
              <w:jc w:val="right"/>
              <w:rPr>
                <w:rFonts w:cs="Arial"/>
                <w:sz w:val="18"/>
                <w:szCs w:val="18"/>
              </w:rPr>
            </w:pPr>
            <w:r w:rsidRPr="000F2377">
              <w:rPr>
                <w:rFonts w:cs="Arial"/>
                <w:sz w:val="18"/>
                <w:szCs w:val="18"/>
              </w:rPr>
              <w:t>-</w:t>
            </w:r>
          </w:p>
        </w:tc>
        <w:tc>
          <w:tcPr>
            <w:tcW w:w="493" w:type="pct"/>
            <w:tcBorders>
              <w:top w:val="nil"/>
              <w:left w:val="nil"/>
              <w:bottom w:val="nil"/>
              <w:right w:val="nil"/>
            </w:tcBorders>
            <w:shd w:val="clear" w:color="auto" w:fill="auto"/>
            <w:vAlign w:val="bottom"/>
          </w:tcPr>
          <w:p w14:paraId="66D422A2" w14:textId="382FA976" w:rsidR="00D62E32" w:rsidRPr="000E5941" w:rsidRDefault="00D62E32" w:rsidP="00D62E32">
            <w:pPr>
              <w:pStyle w:val="CommentText"/>
              <w:spacing w:after="0" w:line="280" w:lineRule="exact"/>
              <w:jc w:val="right"/>
              <w:rPr>
                <w:rFonts w:cs="Arial"/>
                <w:sz w:val="18"/>
                <w:szCs w:val="18"/>
              </w:rPr>
            </w:pPr>
            <w:r w:rsidRPr="000F2377">
              <w:rPr>
                <w:rFonts w:cs="Arial"/>
                <w:sz w:val="18"/>
                <w:szCs w:val="18"/>
              </w:rPr>
              <w:t>-</w:t>
            </w:r>
          </w:p>
        </w:tc>
        <w:tc>
          <w:tcPr>
            <w:tcW w:w="492" w:type="pct"/>
            <w:tcBorders>
              <w:top w:val="nil"/>
              <w:left w:val="nil"/>
              <w:bottom w:val="nil"/>
              <w:right w:val="nil"/>
            </w:tcBorders>
            <w:shd w:val="clear" w:color="auto" w:fill="auto"/>
            <w:vAlign w:val="bottom"/>
          </w:tcPr>
          <w:p w14:paraId="73418002" w14:textId="1784F44D" w:rsidR="00D62E32" w:rsidRPr="000E5941" w:rsidRDefault="00D62E32" w:rsidP="00D62E32">
            <w:pPr>
              <w:pStyle w:val="CommentText"/>
              <w:spacing w:after="0" w:line="280" w:lineRule="exact"/>
              <w:jc w:val="right"/>
              <w:rPr>
                <w:rFonts w:cs="Arial"/>
                <w:sz w:val="18"/>
                <w:szCs w:val="18"/>
              </w:rPr>
            </w:pPr>
            <w:r w:rsidRPr="000F2377">
              <w:rPr>
                <w:rFonts w:cs="Arial"/>
                <w:sz w:val="18"/>
                <w:szCs w:val="18"/>
              </w:rPr>
              <w:t>-</w:t>
            </w:r>
          </w:p>
        </w:tc>
        <w:tc>
          <w:tcPr>
            <w:tcW w:w="530" w:type="pct"/>
            <w:tcBorders>
              <w:top w:val="nil"/>
              <w:left w:val="nil"/>
              <w:bottom w:val="nil"/>
              <w:right w:val="nil"/>
            </w:tcBorders>
            <w:shd w:val="clear" w:color="auto" w:fill="auto"/>
            <w:vAlign w:val="bottom"/>
          </w:tcPr>
          <w:p w14:paraId="32D8C0CB" w14:textId="629CFF0B" w:rsidR="00D62E32" w:rsidRPr="000E5941" w:rsidRDefault="00D62E32" w:rsidP="00D62E32">
            <w:pPr>
              <w:pStyle w:val="CommentText"/>
              <w:spacing w:after="0" w:line="280" w:lineRule="exact"/>
              <w:jc w:val="right"/>
              <w:rPr>
                <w:rFonts w:cs="Arial"/>
                <w:sz w:val="18"/>
                <w:szCs w:val="18"/>
              </w:rPr>
            </w:pPr>
            <w:r w:rsidRPr="000F2377">
              <w:rPr>
                <w:rFonts w:cs="Arial"/>
                <w:sz w:val="18"/>
                <w:szCs w:val="18"/>
              </w:rPr>
              <w:t>-</w:t>
            </w:r>
          </w:p>
        </w:tc>
        <w:tc>
          <w:tcPr>
            <w:tcW w:w="563" w:type="pct"/>
            <w:shd w:val="clear" w:color="auto" w:fill="auto"/>
            <w:vAlign w:val="bottom"/>
          </w:tcPr>
          <w:p w14:paraId="4068ED29" w14:textId="64A997DC"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2.996.968</w:t>
            </w:r>
          </w:p>
        </w:tc>
        <w:tc>
          <w:tcPr>
            <w:tcW w:w="553" w:type="pct"/>
            <w:shd w:val="clear" w:color="auto" w:fill="auto"/>
            <w:vAlign w:val="bottom"/>
          </w:tcPr>
          <w:p w14:paraId="145F0754" w14:textId="5933C722"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2.996.968</w:t>
            </w:r>
          </w:p>
        </w:tc>
      </w:tr>
      <w:tr w:rsidR="00D62E32" w:rsidRPr="00EF4016" w14:paraId="7476F701" w14:textId="77777777" w:rsidTr="00312975">
        <w:trPr>
          <w:trHeight w:val="292"/>
        </w:trPr>
        <w:tc>
          <w:tcPr>
            <w:tcW w:w="1282" w:type="pct"/>
            <w:vAlign w:val="bottom"/>
          </w:tcPr>
          <w:p w14:paraId="140B656E" w14:textId="77777777" w:rsidR="00D62E32" w:rsidRPr="00EF4016" w:rsidRDefault="00D62E32" w:rsidP="00D62E32">
            <w:pPr>
              <w:pStyle w:val="TT"/>
              <w:spacing w:line="280" w:lineRule="exact"/>
              <w:rPr>
                <w:rFonts w:asciiTheme="minorHAnsi" w:hAnsiTheme="minorHAnsi" w:cs="Arial"/>
                <w:sz w:val="18"/>
                <w:szCs w:val="18"/>
                <w:lang w:val="hr-HR"/>
              </w:rPr>
            </w:pPr>
            <w:r w:rsidRPr="00EF4016">
              <w:rPr>
                <w:rFonts w:asciiTheme="minorHAnsi" w:hAnsiTheme="minorHAnsi" w:cs="Arial"/>
                <w:sz w:val="18"/>
                <w:szCs w:val="18"/>
                <w:lang w:val="hr-HR"/>
              </w:rPr>
              <w:t>Ostale rezerve</w:t>
            </w:r>
          </w:p>
        </w:tc>
        <w:tc>
          <w:tcPr>
            <w:tcW w:w="595" w:type="pct"/>
            <w:tcBorders>
              <w:top w:val="nil"/>
              <w:left w:val="nil"/>
              <w:bottom w:val="nil"/>
              <w:right w:val="nil"/>
            </w:tcBorders>
            <w:shd w:val="clear" w:color="auto" w:fill="auto"/>
            <w:vAlign w:val="bottom"/>
          </w:tcPr>
          <w:p w14:paraId="143EF5DF" w14:textId="3BF1375E" w:rsidR="00D62E32" w:rsidRPr="000E5941" w:rsidRDefault="00D62E32" w:rsidP="00D62E32">
            <w:pPr>
              <w:pStyle w:val="CommentText"/>
              <w:spacing w:after="0" w:line="280" w:lineRule="exact"/>
              <w:jc w:val="right"/>
              <w:rPr>
                <w:rFonts w:cs="Arial"/>
                <w:sz w:val="18"/>
                <w:szCs w:val="18"/>
              </w:rPr>
            </w:pPr>
            <w:r w:rsidRPr="000F2377">
              <w:rPr>
                <w:rFonts w:cs="Arial"/>
                <w:sz w:val="18"/>
                <w:szCs w:val="18"/>
              </w:rPr>
              <w:t>-</w:t>
            </w:r>
          </w:p>
        </w:tc>
        <w:tc>
          <w:tcPr>
            <w:tcW w:w="493" w:type="pct"/>
            <w:tcBorders>
              <w:top w:val="nil"/>
              <w:left w:val="nil"/>
              <w:bottom w:val="nil"/>
              <w:right w:val="nil"/>
            </w:tcBorders>
            <w:shd w:val="clear" w:color="auto" w:fill="auto"/>
            <w:vAlign w:val="bottom"/>
          </w:tcPr>
          <w:p w14:paraId="4E6B155F" w14:textId="2FE5D9FB" w:rsidR="00D62E32" w:rsidRPr="000E5941" w:rsidRDefault="00D62E32" w:rsidP="00D62E32">
            <w:pPr>
              <w:pStyle w:val="CommentText"/>
              <w:spacing w:after="0" w:line="280" w:lineRule="exact"/>
              <w:jc w:val="right"/>
              <w:rPr>
                <w:rFonts w:cs="Arial"/>
                <w:sz w:val="18"/>
                <w:szCs w:val="18"/>
              </w:rPr>
            </w:pPr>
            <w:r w:rsidRPr="000F2377">
              <w:rPr>
                <w:rFonts w:cs="Arial"/>
                <w:sz w:val="18"/>
                <w:szCs w:val="18"/>
              </w:rPr>
              <w:t>-</w:t>
            </w:r>
          </w:p>
        </w:tc>
        <w:tc>
          <w:tcPr>
            <w:tcW w:w="493" w:type="pct"/>
            <w:tcBorders>
              <w:top w:val="nil"/>
              <w:left w:val="nil"/>
              <w:bottom w:val="nil"/>
              <w:right w:val="nil"/>
            </w:tcBorders>
            <w:shd w:val="clear" w:color="auto" w:fill="auto"/>
            <w:vAlign w:val="bottom"/>
          </w:tcPr>
          <w:p w14:paraId="7D1FC18A" w14:textId="1FE83AF1" w:rsidR="00D62E32" w:rsidRPr="000E5941" w:rsidRDefault="00D62E32" w:rsidP="00D62E32">
            <w:pPr>
              <w:pStyle w:val="CommentText"/>
              <w:spacing w:after="0" w:line="280" w:lineRule="exact"/>
              <w:jc w:val="right"/>
              <w:rPr>
                <w:rFonts w:cs="Arial"/>
                <w:sz w:val="18"/>
                <w:szCs w:val="18"/>
              </w:rPr>
            </w:pPr>
            <w:r w:rsidRPr="000F2377">
              <w:rPr>
                <w:rFonts w:cs="Arial"/>
                <w:sz w:val="18"/>
                <w:szCs w:val="18"/>
              </w:rPr>
              <w:t>-</w:t>
            </w:r>
          </w:p>
        </w:tc>
        <w:tc>
          <w:tcPr>
            <w:tcW w:w="492" w:type="pct"/>
            <w:tcBorders>
              <w:top w:val="nil"/>
              <w:left w:val="nil"/>
              <w:bottom w:val="nil"/>
              <w:right w:val="nil"/>
            </w:tcBorders>
            <w:shd w:val="clear" w:color="auto" w:fill="auto"/>
            <w:vAlign w:val="bottom"/>
          </w:tcPr>
          <w:p w14:paraId="4650B7C7" w14:textId="2B29F157" w:rsidR="00D62E32" w:rsidRPr="000E5941" w:rsidRDefault="00D62E32" w:rsidP="00D62E32">
            <w:pPr>
              <w:pStyle w:val="CommentText"/>
              <w:spacing w:after="0" w:line="280" w:lineRule="exact"/>
              <w:jc w:val="right"/>
              <w:rPr>
                <w:rFonts w:cs="Arial"/>
                <w:sz w:val="18"/>
                <w:szCs w:val="18"/>
              </w:rPr>
            </w:pPr>
            <w:r w:rsidRPr="000F2377">
              <w:rPr>
                <w:rFonts w:cs="Arial"/>
                <w:sz w:val="18"/>
                <w:szCs w:val="18"/>
              </w:rPr>
              <w:t>-</w:t>
            </w:r>
          </w:p>
        </w:tc>
        <w:tc>
          <w:tcPr>
            <w:tcW w:w="530" w:type="pct"/>
            <w:tcBorders>
              <w:top w:val="nil"/>
              <w:left w:val="nil"/>
              <w:bottom w:val="nil"/>
              <w:right w:val="nil"/>
            </w:tcBorders>
            <w:shd w:val="clear" w:color="auto" w:fill="auto"/>
            <w:vAlign w:val="bottom"/>
          </w:tcPr>
          <w:p w14:paraId="21A735D2" w14:textId="031C5C85" w:rsidR="00D62E32" w:rsidRPr="000E5941" w:rsidRDefault="00D62E32" w:rsidP="00D62E32">
            <w:pPr>
              <w:pStyle w:val="CommentText"/>
              <w:spacing w:after="0" w:line="280" w:lineRule="exact"/>
              <w:jc w:val="right"/>
              <w:rPr>
                <w:rFonts w:cs="Arial"/>
                <w:sz w:val="18"/>
                <w:szCs w:val="18"/>
              </w:rPr>
            </w:pPr>
            <w:r w:rsidRPr="000F2377">
              <w:rPr>
                <w:rFonts w:cs="Arial"/>
                <w:sz w:val="18"/>
                <w:szCs w:val="18"/>
              </w:rPr>
              <w:t>-</w:t>
            </w:r>
          </w:p>
        </w:tc>
        <w:tc>
          <w:tcPr>
            <w:tcW w:w="563" w:type="pct"/>
            <w:shd w:val="clear" w:color="auto" w:fill="auto"/>
            <w:vAlign w:val="bottom"/>
          </w:tcPr>
          <w:p w14:paraId="26C87BAD" w14:textId="326B58FD"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73.187</w:t>
            </w:r>
          </w:p>
        </w:tc>
        <w:tc>
          <w:tcPr>
            <w:tcW w:w="553" w:type="pct"/>
            <w:shd w:val="clear" w:color="auto" w:fill="auto"/>
            <w:vAlign w:val="bottom"/>
          </w:tcPr>
          <w:p w14:paraId="743D7323" w14:textId="5B41C27E"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73.187</w:t>
            </w:r>
          </w:p>
        </w:tc>
      </w:tr>
      <w:tr w:rsidR="00D62E32" w:rsidRPr="00EF4016" w14:paraId="3EB9D7EC" w14:textId="77777777" w:rsidTr="00312975">
        <w:trPr>
          <w:trHeight w:val="292"/>
        </w:trPr>
        <w:tc>
          <w:tcPr>
            <w:tcW w:w="1282" w:type="pct"/>
            <w:vAlign w:val="bottom"/>
          </w:tcPr>
          <w:p w14:paraId="12EED3C8" w14:textId="77777777" w:rsidR="00D62E32" w:rsidRPr="00EF4016" w:rsidRDefault="00D62E32" w:rsidP="00D62E32">
            <w:pPr>
              <w:pStyle w:val="TT"/>
              <w:spacing w:line="280" w:lineRule="exact"/>
              <w:rPr>
                <w:rFonts w:asciiTheme="minorHAnsi" w:hAnsiTheme="minorHAnsi" w:cs="Arial"/>
                <w:sz w:val="18"/>
                <w:szCs w:val="18"/>
                <w:lang w:val="hr-HR"/>
              </w:rPr>
            </w:pPr>
            <w:r w:rsidRPr="00EF4016">
              <w:rPr>
                <w:rFonts w:asciiTheme="minorHAnsi" w:hAnsiTheme="minorHAnsi" w:cs="Arial"/>
                <w:sz w:val="18"/>
                <w:szCs w:val="18"/>
                <w:lang w:val="hr-HR"/>
              </w:rPr>
              <w:t>Dobit tekuće godine</w:t>
            </w:r>
          </w:p>
        </w:tc>
        <w:tc>
          <w:tcPr>
            <w:tcW w:w="595" w:type="pct"/>
            <w:tcBorders>
              <w:top w:val="nil"/>
              <w:left w:val="nil"/>
              <w:bottom w:val="nil"/>
              <w:right w:val="nil"/>
            </w:tcBorders>
            <w:shd w:val="clear" w:color="auto" w:fill="auto"/>
            <w:vAlign w:val="bottom"/>
          </w:tcPr>
          <w:p w14:paraId="6F3F6137" w14:textId="7215F97C" w:rsidR="00D62E32" w:rsidRPr="00A367C6" w:rsidRDefault="00D62E32" w:rsidP="00D62E32">
            <w:pPr>
              <w:pStyle w:val="CommentText"/>
              <w:spacing w:after="0" w:line="280" w:lineRule="exact"/>
              <w:jc w:val="right"/>
              <w:rPr>
                <w:rFonts w:cs="Arial"/>
                <w:spacing w:val="-2"/>
                <w:sz w:val="18"/>
                <w:szCs w:val="18"/>
                <w:lang w:val="en-GB"/>
              </w:rPr>
            </w:pPr>
            <w:r>
              <w:rPr>
                <w:rFonts w:cs="Arial"/>
                <w:sz w:val="18"/>
                <w:szCs w:val="18"/>
              </w:rPr>
              <w:t>-</w:t>
            </w:r>
          </w:p>
        </w:tc>
        <w:tc>
          <w:tcPr>
            <w:tcW w:w="493" w:type="pct"/>
            <w:tcBorders>
              <w:top w:val="nil"/>
              <w:left w:val="nil"/>
              <w:bottom w:val="nil"/>
              <w:right w:val="nil"/>
            </w:tcBorders>
            <w:shd w:val="clear" w:color="auto" w:fill="auto"/>
            <w:vAlign w:val="bottom"/>
          </w:tcPr>
          <w:p w14:paraId="6D8178B5" w14:textId="5010F978" w:rsidR="00D62E32" w:rsidRPr="00A367C6" w:rsidRDefault="00D62E32" w:rsidP="00D62E32">
            <w:pPr>
              <w:pStyle w:val="CommentText"/>
              <w:spacing w:after="0" w:line="280" w:lineRule="exact"/>
              <w:jc w:val="right"/>
              <w:rPr>
                <w:rFonts w:cs="Arial"/>
                <w:spacing w:val="-2"/>
                <w:sz w:val="18"/>
                <w:szCs w:val="18"/>
                <w:lang w:val="en-GB"/>
              </w:rPr>
            </w:pPr>
            <w:r>
              <w:rPr>
                <w:rFonts w:cs="Arial"/>
                <w:sz w:val="18"/>
                <w:szCs w:val="18"/>
              </w:rPr>
              <w:t>-</w:t>
            </w:r>
          </w:p>
        </w:tc>
        <w:tc>
          <w:tcPr>
            <w:tcW w:w="493" w:type="pct"/>
            <w:tcBorders>
              <w:top w:val="nil"/>
              <w:left w:val="nil"/>
              <w:bottom w:val="nil"/>
              <w:right w:val="nil"/>
            </w:tcBorders>
            <w:shd w:val="clear" w:color="auto" w:fill="auto"/>
            <w:vAlign w:val="bottom"/>
          </w:tcPr>
          <w:p w14:paraId="1B00B02B" w14:textId="363F3EE5" w:rsidR="00D62E32" w:rsidRPr="00A367C6" w:rsidRDefault="00D62E32" w:rsidP="00D62E32">
            <w:pPr>
              <w:pStyle w:val="CommentText"/>
              <w:spacing w:after="0" w:line="280" w:lineRule="exact"/>
              <w:jc w:val="right"/>
              <w:rPr>
                <w:rFonts w:cs="Arial"/>
                <w:spacing w:val="-2"/>
                <w:sz w:val="18"/>
                <w:szCs w:val="18"/>
                <w:lang w:val="en-GB"/>
              </w:rPr>
            </w:pPr>
            <w:r>
              <w:rPr>
                <w:rFonts w:cs="Arial"/>
                <w:sz w:val="18"/>
                <w:szCs w:val="18"/>
              </w:rPr>
              <w:t>-</w:t>
            </w:r>
          </w:p>
        </w:tc>
        <w:tc>
          <w:tcPr>
            <w:tcW w:w="492" w:type="pct"/>
            <w:tcBorders>
              <w:top w:val="nil"/>
              <w:left w:val="nil"/>
              <w:bottom w:val="nil"/>
              <w:right w:val="nil"/>
            </w:tcBorders>
            <w:shd w:val="clear" w:color="auto" w:fill="auto"/>
            <w:vAlign w:val="bottom"/>
          </w:tcPr>
          <w:p w14:paraId="04731134" w14:textId="335CA9EA" w:rsidR="00D62E32" w:rsidRPr="00A367C6" w:rsidRDefault="00D62E32" w:rsidP="00D62E32">
            <w:pPr>
              <w:pStyle w:val="CommentText"/>
              <w:spacing w:after="0" w:line="280" w:lineRule="exact"/>
              <w:jc w:val="right"/>
              <w:rPr>
                <w:rFonts w:cs="Arial"/>
                <w:spacing w:val="-2"/>
                <w:sz w:val="18"/>
                <w:szCs w:val="18"/>
                <w:lang w:val="en-GB"/>
              </w:rPr>
            </w:pPr>
            <w:r>
              <w:rPr>
                <w:rFonts w:cs="Arial"/>
                <w:sz w:val="18"/>
                <w:szCs w:val="18"/>
              </w:rPr>
              <w:t>-</w:t>
            </w:r>
          </w:p>
        </w:tc>
        <w:tc>
          <w:tcPr>
            <w:tcW w:w="530" w:type="pct"/>
            <w:tcBorders>
              <w:top w:val="nil"/>
              <w:left w:val="nil"/>
              <w:bottom w:val="nil"/>
              <w:right w:val="nil"/>
            </w:tcBorders>
            <w:shd w:val="clear" w:color="auto" w:fill="auto"/>
            <w:vAlign w:val="bottom"/>
          </w:tcPr>
          <w:p w14:paraId="4D67B87A" w14:textId="04EF3DDE" w:rsidR="00D62E32" w:rsidRPr="00A367C6" w:rsidRDefault="00D62E32" w:rsidP="00D62E32">
            <w:pPr>
              <w:pStyle w:val="CommentText"/>
              <w:spacing w:after="0" w:line="280" w:lineRule="exact"/>
              <w:jc w:val="right"/>
              <w:rPr>
                <w:rFonts w:cs="Arial"/>
                <w:spacing w:val="-2"/>
                <w:sz w:val="18"/>
                <w:szCs w:val="18"/>
                <w:lang w:val="en-GB"/>
              </w:rPr>
            </w:pPr>
            <w:r>
              <w:rPr>
                <w:rFonts w:cs="Arial"/>
                <w:sz w:val="18"/>
                <w:szCs w:val="18"/>
              </w:rPr>
              <w:t>-</w:t>
            </w:r>
          </w:p>
        </w:tc>
        <w:tc>
          <w:tcPr>
            <w:tcW w:w="563" w:type="pct"/>
            <w:tcBorders>
              <w:top w:val="nil"/>
              <w:left w:val="nil"/>
              <w:bottom w:val="single" w:sz="4" w:space="0" w:color="auto"/>
              <w:right w:val="nil"/>
            </w:tcBorders>
            <w:shd w:val="clear" w:color="auto" w:fill="auto"/>
            <w:vAlign w:val="bottom"/>
          </w:tcPr>
          <w:p w14:paraId="1F1D1031" w14:textId="04CF3AC9"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130.750</w:t>
            </w:r>
          </w:p>
        </w:tc>
        <w:tc>
          <w:tcPr>
            <w:tcW w:w="553" w:type="pct"/>
            <w:tcBorders>
              <w:top w:val="nil"/>
              <w:left w:val="nil"/>
              <w:bottom w:val="single" w:sz="4" w:space="0" w:color="auto"/>
              <w:right w:val="nil"/>
            </w:tcBorders>
            <w:shd w:val="clear" w:color="auto" w:fill="auto"/>
            <w:vAlign w:val="bottom"/>
          </w:tcPr>
          <w:p w14:paraId="3902E28C" w14:textId="1D0EF0C9" w:rsidR="00D62E32" w:rsidRPr="00A367C6" w:rsidRDefault="00D62E32" w:rsidP="00D62E32">
            <w:pPr>
              <w:tabs>
                <w:tab w:val="left" w:pos="-720"/>
              </w:tabs>
              <w:suppressAutoHyphens/>
              <w:spacing w:after="0" w:line="280" w:lineRule="exact"/>
              <w:ind w:right="-5"/>
              <w:jc w:val="right"/>
              <w:rPr>
                <w:rFonts w:cs="Arial"/>
                <w:sz w:val="18"/>
                <w:szCs w:val="18"/>
              </w:rPr>
            </w:pPr>
            <w:r>
              <w:rPr>
                <w:rFonts w:cs="Arial"/>
                <w:sz w:val="18"/>
                <w:szCs w:val="18"/>
              </w:rPr>
              <w:t>130.750</w:t>
            </w:r>
          </w:p>
        </w:tc>
      </w:tr>
      <w:tr w:rsidR="00D62E32" w:rsidRPr="00EF4016" w14:paraId="060B5C9E" w14:textId="77777777" w:rsidTr="00312975">
        <w:trPr>
          <w:trHeight w:val="436"/>
        </w:trPr>
        <w:tc>
          <w:tcPr>
            <w:tcW w:w="1282" w:type="pct"/>
            <w:vAlign w:val="bottom"/>
          </w:tcPr>
          <w:p w14:paraId="7A9D4203" w14:textId="77777777" w:rsidR="00D62E32" w:rsidRPr="00007FC2" w:rsidRDefault="00D62E32" w:rsidP="00D62E32">
            <w:pPr>
              <w:spacing w:after="0" w:line="240" w:lineRule="auto"/>
              <w:rPr>
                <w:b/>
                <w:sz w:val="18"/>
                <w:szCs w:val="18"/>
              </w:rPr>
            </w:pPr>
            <w:r w:rsidRPr="00A30D10">
              <w:rPr>
                <w:b/>
                <w:sz w:val="18"/>
                <w:szCs w:val="18"/>
              </w:rPr>
              <w:t>Ukupni kapital koji pripada vlasnicima društva</w:t>
            </w:r>
          </w:p>
        </w:tc>
        <w:tc>
          <w:tcPr>
            <w:tcW w:w="595" w:type="pct"/>
            <w:tcBorders>
              <w:top w:val="single" w:sz="6" w:space="0" w:color="auto"/>
              <w:left w:val="nil"/>
              <w:bottom w:val="single" w:sz="12" w:space="0" w:color="auto"/>
              <w:right w:val="nil"/>
            </w:tcBorders>
            <w:vAlign w:val="bottom"/>
          </w:tcPr>
          <w:p w14:paraId="7DFA5FA7" w14:textId="38FD17F1" w:rsidR="00D62E32" w:rsidRPr="00A367C6" w:rsidRDefault="00D62E32" w:rsidP="00D62E32">
            <w:pPr>
              <w:pStyle w:val="Tot"/>
              <w:spacing w:line="280" w:lineRule="exact"/>
              <w:jc w:val="right"/>
              <w:rPr>
                <w:rFonts w:asciiTheme="minorHAnsi" w:hAnsiTheme="minorHAnsi" w:cs="Arial"/>
                <w:b/>
                <w:bCs/>
                <w:spacing w:val="-2"/>
                <w:sz w:val="18"/>
                <w:szCs w:val="18"/>
                <w:lang w:val="pl-PL"/>
              </w:rPr>
            </w:pPr>
            <w:r>
              <w:rPr>
                <w:rFonts w:asciiTheme="minorHAnsi" w:hAnsiTheme="minorHAnsi" w:cs="Arial"/>
                <w:b/>
                <w:bCs/>
                <w:spacing w:val="-2"/>
                <w:sz w:val="18"/>
                <w:szCs w:val="18"/>
                <w:lang w:val="pl-PL"/>
              </w:rPr>
              <w:t>-</w:t>
            </w:r>
          </w:p>
        </w:tc>
        <w:tc>
          <w:tcPr>
            <w:tcW w:w="493" w:type="pct"/>
            <w:tcBorders>
              <w:top w:val="single" w:sz="6" w:space="0" w:color="auto"/>
              <w:left w:val="nil"/>
              <w:bottom w:val="single" w:sz="12" w:space="0" w:color="auto"/>
              <w:right w:val="nil"/>
            </w:tcBorders>
            <w:vAlign w:val="bottom"/>
          </w:tcPr>
          <w:p w14:paraId="09347F89" w14:textId="608C431B" w:rsidR="00D62E32" w:rsidRPr="00A367C6" w:rsidRDefault="00D62E32" w:rsidP="00D62E32">
            <w:pPr>
              <w:pStyle w:val="Tot"/>
              <w:spacing w:line="280" w:lineRule="exact"/>
              <w:jc w:val="right"/>
              <w:rPr>
                <w:rFonts w:asciiTheme="minorHAnsi" w:hAnsiTheme="minorHAnsi" w:cs="Arial"/>
                <w:b/>
                <w:bCs/>
                <w:spacing w:val="-2"/>
                <w:sz w:val="18"/>
                <w:szCs w:val="18"/>
                <w:lang w:val="pl-PL"/>
              </w:rPr>
            </w:pPr>
            <w:r>
              <w:rPr>
                <w:rFonts w:asciiTheme="minorHAnsi" w:hAnsiTheme="minorHAnsi" w:cs="Arial"/>
                <w:b/>
                <w:bCs/>
                <w:spacing w:val="-2"/>
                <w:sz w:val="18"/>
                <w:szCs w:val="18"/>
                <w:lang w:val="pl-PL"/>
              </w:rPr>
              <w:t>-</w:t>
            </w:r>
          </w:p>
        </w:tc>
        <w:tc>
          <w:tcPr>
            <w:tcW w:w="493" w:type="pct"/>
            <w:tcBorders>
              <w:top w:val="single" w:sz="6" w:space="0" w:color="auto"/>
              <w:left w:val="nil"/>
              <w:bottom w:val="single" w:sz="12" w:space="0" w:color="auto"/>
              <w:right w:val="nil"/>
            </w:tcBorders>
            <w:vAlign w:val="bottom"/>
          </w:tcPr>
          <w:p w14:paraId="3E0D539B" w14:textId="7FF74962" w:rsidR="00D62E32" w:rsidRPr="00A367C6" w:rsidRDefault="00D62E32" w:rsidP="00D62E32">
            <w:pPr>
              <w:pStyle w:val="Tot"/>
              <w:spacing w:line="280" w:lineRule="exact"/>
              <w:jc w:val="right"/>
              <w:rPr>
                <w:rFonts w:asciiTheme="minorHAnsi" w:hAnsiTheme="minorHAnsi" w:cs="Arial"/>
                <w:b/>
                <w:bCs/>
                <w:spacing w:val="-2"/>
                <w:sz w:val="18"/>
                <w:szCs w:val="18"/>
                <w:lang w:val="pl-PL"/>
              </w:rPr>
            </w:pPr>
            <w:r>
              <w:rPr>
                <w:rFonts w:asciiTheme="minorHAnsi" w:hAnsiTheme="minorHAnsi" w:cs="Arial"/>
                <w:b/>
                <w:bCs/>
                <w:spacing w:val="-2"/>
                <w:sz w:val="18"/>
                <w:szCs w:val="18"/>
                <w:lang w:val="pl-PL"/>
              </w:rPr>
              <w:t>-</w:t>
            </w:r>
          </w:p>
        </w:tc>
        <w:tc>
          <w:tcPr>
            <w:tcW w:w="492" w:type="pct"/>
            <w:tcBorders>
              <w:top w:val="single" w:sz="6" w:space="0" w:color="auto"/>
              <w:left w:val="nil"/>
              <w:bottom w:val="single" w:sz="12" w:space="0" w:color="auto"/>
              <w:right w:val="nil"/>
            </w:tcBorders>
            <w:vAlign w:val="bottom"/>
          </w:tcPr>
          <w:p w14:paraId="204D3AED" w14:textId="4CC727FE" w:rsidR="00D62E32" w:rsidRPr="00A367C6" w:rsidRDefault="00D62E32" w:rsidP="00D62E32">
            <w:pPr>
              <w:pStyle w:val="Tot"/>
              <w:spacing w:line="280" w:lineRule="exact"/>
              <w:jc w:val="right"/>
              <w:rPr>
                <w:rFonts w:asciiTheme="minorHAnsi" w:hAnsiTheme="minorHAnsi" w:cs="Arial"/>
                <w:b/>
                <w:bCs/>
                <w:spacing w:val="-2"/>
                <w:sz w:val="18"/>
                <w:szCs w:val="18"/>
                <w:lang w:val="pl-PL"/>
              </w:rPr>
            </w:pPr>
            <w:r>
              <w:rPr>
                <w:rFonts w:asciiTheme="minorHAnsi" w:hAnsiTheme="minorHAnsi" w:cs="Arial"/>
                <w:b/>
                <w:bCs/>
                <w:spacing w:val="-2"/>
                <w:sz w:val="18"/>
                <w:szCs w:val="18"/>
                <w:lang w:val="pl-PL"/>
              </w:rPr>
              <w:t>-</w:t>
            </w:r>
          </w:p>
        </w:tc>
        <w:tc>
          <w:tcPr>
            <w:tcW w:w="530" w:type="pct"/>
            <w:tcBorders>
              <w:top w:val="single" w:sz="6" w:space="0" w:color="auto"/>
              <w:left w:val="nil"/>
              <w:bottom w:val="single" w:sz="12" w:space="0" w:color="auto"/>
              <w:right w:val="nil"/>
            </w:tcBorders>
            <w:vAlign w:val="bottom"/>
          </w:tcPr>
          <w:p w14:paraId="4DDA52DD" w14:textId="0F560AA0" w:rsidR="00D62E32" w:rsidRPr="00A367C6" w:rsidRDefault="00D62E32" w:rsidP="00D62E32">
            <w:pPr>
              <w:pStyle w:val="Tot"/>
              <w:spacing w:line="280" w:lineRule="exact"/>
              <w:jc w:val="right"/>
              <w:rPr>
                <w:rFonts w:asciiTheme="minorHAnsi" w:hAnsiTheme="minorHAnsi" w:cs="Arial"/>
                <w:b/>
                <w:bCs/>
                <w:spacing w:val="-2"/>
                <w:sz w:val="18"/>
                <w:szCs w:val="18"/>
                <w:lang w:val="pl-PL"/>
              </w:rPr>
            </w:pPr>
            <w:r>
              <w:rPr>
                <w:rFonts w:asciiTheme="minorHAnsi" w:hAnsiTheme="minorHAnsi" w:cs="Arial"/>
                <w:b/>
                <w:bCs/>
                <w:spacing w:val="-2"/>
                <w:sz w:val="18"/>
                <w:szCs w:val="18"/>
                <w:lang w:val="pl-PL"/>
              </w:rPr>
              <w:t>-</w:t>
            </w:r>
          </w:p>
        </w:tc>
        <w:tc>
          <w:tcPr>
            <w:tcW w:w="563" w:type="pct"/>
            <w:tcBorders>
              <w:top w:val="single" w:sz="4" w:space="0" w:color="auto"/>
              <w:left w:val="nil"/>
              <w:bottom w:val="single" w:sz="12" w:space="0" w:color="auto"/>
              <w:right w:val="nil"/>
            </w:tcBorders>
            <w:shd w:val="clear" w:color="auto" w:fill="auto"/>
            <w:vAlign w:val="bottom"/>
          </w:tcPr>
          <w:p w14:paraId="4BA9CE0A" w14:textId="61381899" w:rsidR="00D62E32" w:rsidRPr="00312975" w:rsidRDefault="00D62E32" w:rsidP="00312975">
            <w:pPr>
              <w:pStyle w:val="Tot"/>
              <w:spacing w:line="320" w:lineRule="exact"/>
              <w:jc w:val="right"/>
              <w:rPr>
                <w:rFonts w:asciiTheme="minorHAnsi" w:hAnsiTheme="minorHAnsi" w:cs="Arial"/>
                <w:b/>
                <w:bCs/>
                <w:sz w:val="18"/>
                <w:szCs w:val="18"/>
                <w:lang w:val="hr-HR"/>
              </w:rPr>
            </w:pPr>
            <w:r w:rsidRPr="00312975">
              <w:rPr>
                <w:rFonts w:asciiTheme="minorHAnsi" w:hAnsiTheme="minorHAnsi" w:cs="Arial"/>
                <w:b/>
                <w:bCs/>
                <w:sz w:val="18"/>
                <w:szCs w:val="18"/>
                <w:lang w:val="hr-HR"/>
              </w:rPr>
              <w:t>10.160.537</w:t>
            </w:r>
          </w:p>
        </w:tc>
        <w:tc>
          <w:tcPr>
            <w:tcW w:w="553" w:type="pct"/>
            <w:tcBorders>
              <w:top w:val="single" w:sz="4" w:space="0" w:color="auto"/>
              <w:left w:val="nil"/>
              <w:bottom w:val="single" w:sz="12" w:space="0" w:color="auto"/>
              <w:right w:val="nil"/>
            </w:tcBorders>
            <w:shd w:val="clear" w:color="auto" w:fill="auto"/>
            <w:vAlign w:val="bottom"/>
          </w:tcPr>
          <w:p w14:paraId="4C5222BC" w14:textId="40148DA8" w:rsidR="00D62E32" w:rsidRPr="00312975" w:rsidRDefault="00D62E32" w:rsidP="00312975">
            <w:pPr>
              <w:pStyle w:val="Tot"/>
              <w:spacing w:line="320" w:lineRule="exact"/>
              <w:jc w:val="right"/>
              <w:rPr>
                <w:rFonts w:asciiTheme="minorHAnsi" w:hAnsiTheme="minorHAnsi" w:cs="Arial"/>
                <w:b/>
                <w:bCs/>
                <w:sz w:val="18"/>
                <w:szCs w:val="18"/>
                <w:lang w:val="hr-HR"/>
              </w:rPr>
            </w:pPr>
            <w:r w:rsidRPr="00312975">
              <w:rPr>
                <w:rFonts w:asciiTheme="minorHAnsi" w:hAnsiTheme="minorHAnsi" w:cs="Arial"/>
                <w:b/>
                <w:bCs/>
                <w:sz w:val="18"/>
                <w:szCs w:val="18"/>
                <w:lang w:val="hr-HR"/>
              </w:rPr>
              <w:t>10.160.537</w:t>
            </w:r>
          </w:p>
        </w:tc>
      </w:tr>
      <w:tr w:rsidR="00D62E32" w:rsidRPr="00EF4016" w14:paraId="4A5103BB" w14:textId="77777777" w:rsidTr="00312975">
        <w:trPr>
          <w:trHeight w:val="292"/>
        </w:trPr>
        <w:tc>
          <w:tcPr>
            <w:tcW w:w="1282" w:type="pct"/>
            <w:vAlign w:val="bottom"/>
          </w:tcPr>
          <w:p w14:paraId="7CECD676" w14:textId="77777777" w:rsidR="00D62E32" w:rsidRPr="00EF4016" w:rsidRDefault="00D62E32" w:rsidP="00D62E32">
            <w:pPr>
              <w:pStyle w:val="TT"/>
              <w:spacing w:line="280" w:lineRule="exact"/>
              <w:rPr>
                <w:rFonts w:asciiTheme="minorHAnsi" w:hAnsiTheme="minorHAnsi" w:cs="Arial"/>
                <w:sz w:val="18"/>
                <w:szCs w:val="18"/>
                <w:lang w:val="hr-HR"/>
              </w:rPr>
            </w:pPr>
            <w:r w:rsidRPr="00EF4016">
              <w:rPr>
                <w:rFonts w:asciiTheme="minorHAnsi" w:hAnsiTheme="minorHAnsi" w:cs="Arial"/>
                <w:sz w:val="18"/>
                <w:szCs w:val="18"/>
                <w:lang w:val="hr-HR"/>
              </w:rPr>
              <w:t>Garantni fond</w:t>
            </w:r>
          </w:p>
        </w:tc>
        <w:tc>
          <w:tcPr>
            <w:tcW w:w="595" w:type="pct"/>
            <w:tcBorders>
              <w:top w:val="nil"/>
              <w:left w:val="nil"/>
              <w:bottom w:val="nil"/>
              <w:right w:val="nil"/>
            </w:tcBorders>
            <w:shd w:val="clear" w:color="auto" w:fill="auto"/>
            <w:vAlign w:val="bottom"/>
          </w:tcPr>
          <w:p w14:paraId="24EC6E7F" w14:textId="1AAD526A" w:rsidR="00D62E32" w:rsidRPr="00A367C6" w:rsidRDefault="00D62E32" w:rsidP="00D62E32">
            <w:pPr>
              <w:pStyle w:val="Tot"/>
              <w:spacing w:line="280" w:lineRule="exact"/>
              <w:jc w:val="right"/>
              <w:rPr>
                <w:rFonts w:asciiTheme="minorHAnsi" w:hAnsiTheme="minorHAnsi" w:cs="Arial"/>
                <w:spacing w:val="-2"/>
                <w:sz w:val="18"/>
                <w:szCs w:val="18"/>
              </w:rPr>
            </w:pPr>
            <w:r>
              <w:rPr>
                <w:rFonts w:cs="Arial"/>
                <w:sz w:val="18"/>
                <w:szCs w:val="18"/>
              </w:rPr>
              <w:t>-</w:t>
            </w:r>
          </w:p>
        </w:tc>
        <w:tc>
          <w:tcPr>
            <w:tcW w:w="493" w:type="pct"/>
            <w:tcBorders>
              <w:top w:val="nil"/>
              <w:left w:val="nil"/>
              <w:bottom w:val="nil"/>
              <w:right w:val="nil"/>
            </w:tcBorders>
            <w:shd w:val="clear" w:color="auto" w:fill="auto"/>
            <w:vAlign w:val="bottom"/>
          </w:tcPr>
          <w:p w14:paraId="1D57BAE8" w14:textId="063F5B91" w:rsidR="00D62E32" w:rsidRPr="00A367C6" w:rsidRDefault="00D62E32" w:rsidP="00D62E32">
            <w:pPr>
              <w:pStyle w:val="Tot"/>
              <w:spacing w:line="280" w:lineRule="exact"/>
              <w:jc w:val="right"/>
              <w:rPr>
                <w:rFonts w:asciiTheme="minorHAnsi" w:hAnsiTheme="minorHAnsi" w:cs="Arial"/>
                <w:spacing w:val="-2"/>
                <w:sz w:val="18"/>
                <w:szCs w:val="18"/>
              </w:rPr>
            </w:pPr>
            <w:r>
              <w:rPr>
                <w:rFonts w:cs="Arial"/>
                <w:sz w:val="18"/>
                <w:szCs w:val="18"/>
              </w:rPr>
              <w:t>-</w:t>
            </w:r>
          </w:p>
        </w:tc>
        <w:tc>
          <w:tcPr>
            <w:tcW w:w="493" w:type="pct"/>
            <w:tcBorders>
              <w:top w:val="nil"/>
              <w:left w:val="nil"/>
              <w:bottom w:val="nil"/>
              <w:right w:val="nil"/>
            </w:tcBorders>
            <w:shd w:val="clear" w:color="auto" w:fill="auto"/>
            <w:vAlign w:val="bottom"/>
          </w:tcPr>
          <w:p w14:paraId="49AA15AC" w14:textId="47A87FD9" w:rsidR="00D62E32" w:rsidRPr="00A367C6" w:rsidRDefault="00D62E32" w:rsidP="00D62E32">
            <w:pPr>
              <w:pStyle w:val="Tot"/>
              <w:spacing w:line="280" w:lineRule="exact"/>
              <w:jc w:val="right"/>
              <w:rPr>
                <w:rFonts w:asciiTheme="minorHAnsi" w:hAnsiTheme="minorHAnsi" w:cs="Arial"/>
                <w:spacing w:val="-2"/>
                <w:sz w:val="18"/>
                <w:szCs w:val="18"/>
              </w:rPr>
            </w:pPr>
            <w:r>
              <w:rPr>
                <w:rFonts w:cs="Arial"/>
                <w:sz w:val="18"/>
                <w:szCs w:val="18"/>
              </w:rPr>
              <w:t>-</w:t>
            </w:r>
          </w:p>
        </w:tc>
        <w:tc>
          <w:tcPr>
            <w:tcW w:w="492" w:type="pct"/>
            <w:tcBorders>
              <w:top w:val="nil"/>
              <w:left w:val="nil"/>
              <w:bottom w:val="nil"/>
              <w:right w:val="nil"/>
            </w:tcBorders>
            <w:shd w:val="clear" w:color="auto" w:fill="auto"/>
            <w:vAlign w:val="bottom"/>
          </w:tcPr>
          <w:p w14:paraId="1D0E3497" w14:textId="263D8E30" w:rsidR="00D62E32" w:rsidRPr="00A367C6" w:rsidRDefault="00D62E32" w:rsidP="00D62E32">
            <w:pPr>
              <w:pStyle w:val="Tot"/>
              <w:spacing w:line="280" w:lineRule="exact"/>
              <w:jc w:val="right"/>
              <w:rPr>
                <w:rFonts w:asciiTheme="minorHAnsi" w:hAnsiTheme="minorHAnsi" w:cs="Arial"/>
                <w:spacing w:val="-2"/>
                <w:sz w:val="18"/>
                <w:szCs w:val="18"/>
              </w:rPr>
            </w:pPr>
            <w:r>
              <w:rPr>
                <w:rFonts w:cs="Arial"/>
                <w:sz w:val="18"/>
                <w:szCs w:val="18"/>
              </w:rPr>
              <w:t>-</w:t>
            </w:r>
          </w:p>
        </w:tc>
        <w:tc>
          <w:tcPr>
            <w:tcW w:w="530" w:type="pct"/>
            <w:tcBorders>
              <w:top w:val="nil"/>
              <w:left w:val="nil"/>
              <w:bottom w:val="nil"/>
              <w:right w:val="nil"/>
            </w:tcBorders>
            <w:shd w:val="clear" w:color="auto" w:fill="auto"/>
            <w:vAlign w:val="bottom"/>
          </w:tcPr>
          <w:p w14:paraId="450434CF" w14:textId="22847F90" w:rsidR="00D62E32" w:rsidRPr="00A367C6" w:rsidRDefault="00D62E32" w:rsidP="00D62E32">
            <w:pPr>
              <w:pStyle w:val="Tot"/>
              <w:spacing w:line="280" w:lineRule="exact"/>
              <w:jc w:val="right"/>
              <w:rPr>
                <w:rFonts w:asciiTheme="minorHAnsi" w:hAnsiTheme="minorHAnsi" w:cs="Arial"/>
                <w:spacing w:val="-2"/>
                <w:sz w:val="18"/>
                <w:szCs w:val="18"/>
              </w:rPr>
            </w:pPr>
            <w:r>
              <w:rPr>
                <w:rFonts w:cs="Arial"/>
                <w:sz w:val="18"/>
                <w:szCs w:val="18"/>
              </w:rPr>
              <w:t>-</w:t>
            </w:r>
          </w:p>
        </w:tc>
        <w:tc>
          <w:tcPr>
            <w:tcW w:w="563" w:type="pct"/>
            <w:tcBorders>
              <w:top w:val="nil"/>
              <w:left w:val="nil"/>
              <w:bottom w:val="single" w:sz="6" w:space="0" w:color="auto"/>
              <w:right w:val="nil"/>
            </w:tcBorders>
            <w:vAlign w:val="center"/>
          </w:tcPr>
          <w:p w14:paraId="4D6ACCA1" w14:textId="6F8B4B55" w:rsidR="00D62E32" w:rsidRPr="00A367C6" w:rsidRDefault="00D62E32" w:rsidP="00D62E32">
            <w:pPr>
              <w:spacing w:after="0" w:line="280" w:lineRule="exact"/>
              <w:jc w:val="right"/>
              <w:rPr>
                <w:rFonts w:cs="Arial"/>
                <w:sz w:val="18"/>
                <w:szCs w:val="18"/>
              </w:rPr>
            </w:pPr>
            <w:r>
              <w:rPr>
                <w:rFonts w:cs="Arial"/>
                <w:spacing w:val="-2"/>
                <w:sz w:val="18"/>
                <w:szCs w:val="18"/>
              </w:rPr>
              <w:t>12.128</w:t>
            </w:r>
          </w:p>
        </w:tc>
        <w:tc>
          <w:tcPr>
            <w:tcW w:w="553" w:type="pct"/>
            <w:tcBorders>
              <w:top w:val="nil"/>
              <w:left w:val="nil"/>
              <w:bottom w:val="single" w:sz="6" w:space="0" w:color="auto"/>
              <w:right w:val="nil"/>
            </w:tcBorders>
            <w:vAlign w:val="center"/>
          </w:tcPr>
          <w:p w14:paraId="153917C1" w14:textId="4DD5EBE5" w:rsidR="00D62E32" w:rsidRPr="00A367C6" w:rsidRDefault="00D62E32" w:rsidP="00D62E32">
            <w:pPr>
              <w:spacing w:after="0" w:line="280" w:lineRule="exact"/>
              <w:jc w:val="right"/>
              <w:rPr>
                <w:rFonts w:cs="Arial"/>
                <w:bCs/>
                <w:sz w:val="18"/>
                <w:szCs w:val="18"/>
              </w:rPr>
            </w:pPr>
            <w:r>
              <w:rPr>
                <w:rFonts w:cs="Arial"/>
                <w:spacing w:val="-2"/>
                <w:sz w:val="18"/>
                <w:szCs w:val="18"/>
              </w:rPr>
              <w:t>12.128</w:t>
            </w:r>
          </w:p>
        </w:tc>
      </w:tr>
      <w:tr w:rsidR="00D62E32" w:rsidRPr="00EF4016" w14:paraId="08BB5039" w14:textId="77777777" w:rsidTr="00312975">
        <w:trPr>
          <w:trHeight w:val="82"/>
        </w:trPr>
        <w:tc>
          <w:tcPr>
            <w:tcW w:w="1282" w:type="pct"/>
            <w:vAlign w:val="bottom"/>
          </w:tcPr>
          <w:p w14:paraId="2108F4C0" w14:textId="77777777" w:rsidR="00D62E32" w:rsidRPr="00EF4016" w:rsidRDefault="00D62E32" w:rsidP="00D62E32">
            <w:pPr>
              <w:pStyle w:val="Tot"/>
              <w:spacing w:line="280" w:lineRule="exact"/>
              <w:rPr>
                <w:rFonts w:asciiTheme="minorHAnsi" w:hAnsiTheme="minorHAnsi" w:cs="Arial"/>
                <w:b/>
                <w:bCs/>
                <w:sz w:val="18"/>
                <w:szCs w:val="18"/>
                <w:lang w:val="hr-HR"/>
              </w:rPr>
            </w:pPr>
            <w:r w:rsidRPr="00EF4016">
              <w:rPr>
                <w:rFonts w:asciiTheme="minorHAnsi" w:hAnsiTheme="minorHAnsi" w:cs="Arial"/>
                <w:b/>
                <w:bCs/>
                <w:sz w:val="18"/>
                <w:szCs w:val="18"/>
                <w:lang w:val="hr-HR"/>
              </w:rPr>
              <w:t>Ukupna glavnica</w:t>
            </w:r>
          </w:p>
        </w:tc>
        <w:tc>
          <w:tcPr>
            <w:tcW w:w="595" w:type="pct"/>
            <w:tcBorders>
              <w:top w:val="single" w:sz="6" w:space="0" w:color="auto"/>
              <w:left w:val="nil"/>
              <w:bottom w:val="single" w:sz="12" w:space="0" w:color="auto"/>
              <w:right w:val="nil"/>
            </w:tcBorders>
            <w:vAlign w:val="bottom"/>
          </w:tcPr>
          <w:p w14:paraId="6FA23F17" w14:textId="4E870680" w:rsidR="00D62E32" w:rsidRPr="00A367C6" w:rsidRDefault="00D62E32" w:rsidP="00D62E32">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pl-PL"/>
              </w:rPr>
              <w:t>-</w:t>
            </w:r>
          </w:p>
        </w:tc>
        <w:tc>
          <w:tcPr>
            <w:tcW w:w="493" w:type="pct"/>
            <w:tcBorders>
              <w:top w:val="single" w:sz="6" w:space="0" w:color="auto"/>
              <w:left w:val="nil"/>
              <w:bottom w:val="single" w:sz="12" w:space="0" w:color="auto"/>
              <w:right w:val="nil"/>
            </w:tcBorders>
            <w:vAlign w:val="bottom"/>
          </w:tcPr>
          <w:p w14:paraId="3E5B514A" w14:textId="2D113225" w:rsidR="00D62E32" w:rsidRPr="00A367C6" w:rsidRDefault="00D62E32" w:rsidP="00D62E32">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pl-PL"/>
              </w:rPr>
              <w:t>-</w:t>
            </w:r>
          </w:p>
        </w:tc>
        <w:tc>
          <w:tcPr>
            <w:tcW w:w="493" w:type="pct"/>
            <w:tcBorders>
              <w:top w:val="single" w:sz="6" w:space="0" w:color="auto"/>
              <w:left w:val="nil"/>
              <w:bottom w:val="single" w:sz="12" w:space="0" w:color="auto"/>
              <w:right w:val="nil"/>
            </w:tcBorders>
            <w:vAlign w:val="bottom"/>
          </w:tcPr>
          <w:p w14:paraId="504A4824" w14:textId="07BD8086" w:rsidR="00D62E32" w:rsidRPr="00A367C6" w:rsidRDefault="00D62E32" w:rsidP="00D62E32">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pl-PL"/>
              </w:rPr>
              <w:t>-</w:t>
            </w:r>
          </w:p>
        </w:tc>
        <w:tc>
          <w:tcPr>
            <w:tcW w:w="492" w:type="pct"/>
            <w:tcBorders>
              <w:top w:val="single" w:sz="6" w:space="0" w:color="auto"/>
              <w:left w:val="nil"/>
              <w:bottom w:val="single" w:sz="12" w:space="0" w:color="auto"/>
              <w:right w:val="nil"/>
            </w:tcBorders>
            <w:vAlign w:val="bottom"/>
          </w:tcPr>
          <w:p w14:paraId="4CBE7920" w14:textId="0BF8484F" w:rsidR="00D62E32" w:rsidRPr="00A367C6" w:rsidRDefault="00D62E32" w:rsidP="00D62E32">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pl-PL"/>
              </w:rPr>
              <w:t>-</w:t>
            </w:r>
          </w:p>
        </w:tc>
        <w:tc>
          <w:tcPr>
            <w:tcW w:w="530" w:type="pct"/>
            <w:tcBorders>
              <w:top w:val="single" w:sz="6" w:space="0" w:color="auto"/>
              <w:left w:val="nil"/>
              <w:bottom w:val="single" w:sz="12" w:space="0" w:color="auto"/>
              <w:right w:val="nil"/>
            </w:tcBorders>
            <w:vAlign w:val="bottom"/>
          </w:tcPr>
          <w:p w14:paraId="4239979E" w14:textId="4EFAB7F2" w:rsidR="00D62E32" w:rsidRPr="00A367C6" w:rsidRDefault="00D62E32" w:rsidP="00D62E32">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pl-PL"/>
              </w:rPr>
              <w:t>-</w:t>
            </w:r>
          </w:p>
        </w:tc>
        <w:tc>
          <w:tcPr>
            <w:tcW w:w="563" w:type="pct"/>
            <w:tcBorders>
              <w:top w:val="nil"/>
              <w:left w:val="nil"/>
              <w:bottom w:val="single" w:sz="12" w:space="0" w:color="auto"/>
              <w:right w:val="nil"/>
            </w:tcBorders>
            <w:shd w:val="clear" w:color="auto" w:fill="auto"/>
            <w:vAlign w:val="center"/>
          </w:tcPr>
          <w:p w14:paraId="367A5DD1" w14:textId="22C79F50" w:rsidR="00D62E32" w:rsidRPr="00312975" w:rsidRDefault="00D62E32" w:rsidP="00312975">
            <w:pPr>
              <w:pStyle w:val="Tot"/>
              <w:spacing w:line="320" w:lineRule="exact"/>
              <w:jc w:val="right"/>
              <w:rPr>
                <w:rFonts w:asciiTheme="minorHAnsi" w:hAnsiTheme="minorHAnsi" w:cs="Arial"/>
                <w:b/>
                <w:bCs/>
                <w:sz w:val="18"/>
                <w:szCs w:val="18"/>
                <w:lang w:val="hr-HR"/>
              </w:rPr>
            </w:pPr>
            <w:r w:rsidRPr="00312975">
              <w:rPr>
                <w:rFonts w:asciiTheme="minorHAnsi" w:hAnsiTheme="minorHAnsi" w:cs="Arial"/>
                <w:b/>
                <w:bCs/>
                <w:sz w:val="18"/>
                <w:szCs w:val="18"/>
                <w:lang w:val="hr-HR"/>
              </w:rPr>
              <w:t>10.172.665</w:t>
            </w:r>
          </w:p>
        </w:tc>
        <w:tc>
          <w:tcPr>
            <w:tcW w:w="553" w:type="pct"/>
            <w:tcBorders>
              <w:top w:val="nil"/>
              <w:left w:val="nil"/>
              <w:bottom w:val="single" w:sz="12" w:space="0" w:color="auto"/>
              <w:right w:val="nil"/>
            </w:tcBorders>
            <w:shd w:val="clear" w:color="auto" w:fill="auto"/>
            <w:vAlign w:val="center"/>
          </w:tcPr>
          <w:p w14:paraId="0F6DF777" w14:textId="5F3781D9" w:rsidR="00D62E32" w:rsidRPr="00312975" w:rsidRDefault="00D62E32" w:rsidP="00312975">
            <w:pPr>
              <w:pStyle w:val="Tot"/>
              <w:spacing w:line="320" w:lineRule="exact"/>
              <w:jc w:val="right"/>
              <w:rPr>
                <w:rFonts w:asciiTheme="minorHAnsi" w:hAnsiTheme="minorHAnsi" w:cs="Arial"/>
                <w:b/>
                <w:bCs/>
                <w:sz w:val="18"/>
                <w:szCs w:val="18"/>
                <w:lang w:val="hr-HR"/>
              </w:rPr>
            </w:pPr>
            <w:r w:rsidRPr="00312975">
              <w:rPr>
                <w:rFonts w:asciiTheme="minorHAnsi" w:hAnsiTheme="minorHAnsi" w:cs="Arial"/>
                <w:b/>
                <w:bCs/>
                <w:sz w:val="18"/>
                <w:szCs w:val="18"/>
                <w:lang w:val="hr-HR"/>
              </w:rPr>
              <w:t>10.172.665</w:t>
            </w:r>
          </w:p>
        </w:tc>
      </w:tr>
      <w:tr w:rsidR="00AB62C5" w:rsidRPr="00EF4016" w14:paraId="4C11825B" w14:textId="77777777" w:rsidTr="00312975">
        <w:trPr>
          <w:trHeight w:val="365"/>
        </w:trPr>
        <w:tc>
          <w:tcPr>
            <w:tcW w:w="1282" w:type="pct"/>
            <w:vAlign w:val="bottom"/>
          </w:tcPr>
          <w:p w14:paraId="150152D5" w14:textId="77777777" w:rsidR="00AB62C5" w:rsidRPr="00EF4016" w:rsidRDefault="00AB62C5" w:rsidP="00AB62C5">
            <w:pPr>
              <w:pStyle w:val="Tot"/>
              <w:spacing w:line="280" w:lineRule="exact"/>
              <w:rPr>
                <w:rFonts w:asciiTheme="minorHAnsi" w:hAnsiTheme="minorHAnsi" w:cs="Arial"/>
                <w:b/>
                <w:bCs/>
                <w:sz w:val="18"/>
                <w:szCs w:val="18"/>
                <w:lang w:val="hr-HR"/>
              </w:rPr>
            </w:pPr>
            <w:r w:rsidRPr="00EF4016">
              <w:rPr>
                <w:rFonts w:asciiTheme="minorHAnsi" w:hAnsiTheme="minorHAnsi" w:cs="Arial"/>
                <w:b/>
                <w:bCs/>
                <w:sz w:val="18"/>
                <w:szCs w:val="18"/>
                <w:lang w:val="hr-HR"/>
              </w:rPr>
              <w:t>Ukupne obveze i glavnica (2)</w:t>
            </w:r>
          </w:p>
        </w:tc>
        <w:tc>
          <w:tcPr>
            <w:tcW w:w="595" w:type="pct"/>
            <w:tcBorders>
              <w:top w:val="nil"/>
              <w:left w:val="nil"/>
              <w:bottom w:val="single" w:sz="12" w:space="0" w:color="auto"/>
              <w:right w:val="nil"/>
            </w:tcBorders>
            <w:shd w:val="clear" w:color="auto" w:fill="auto"/>
            <w:vAlign w:val="bottom"/>
          </w:tcPr>
          <w:p w14:paraId="6ED36ABA" w14:textId="6F7D4E1A" w:rsidR="00AB62C5" w:rsidRPr="00A367C6" w:rsidRDefault="00050251">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319.905</w:t>
            </w:r>
          </w:p>
        </w:tc>
        <w:tc>
          <w:tcPr>
            <w:tcW w:w="493" w:type="pct"/>
            <w:tcBorders>
              <w:top w:val="nil"/>
              <w:left w:val="nil"/>
              <w:bottom w:val="single" w:sz="12" w:space="0" w:color="auto"/>
              <w:right w:val="nil"/>
            </w:tcBorders>
            <w:shd w:val="clear" w:color="auto" w:fill="auto"/>
            <w:vAlign w:val="bottom"/>
          </w:tcPr>
          <w:p w14:paraId="3FB247FF" w14:textId="352A2758" w:rsidR="00AB62C5" w:rsidRPr="00A367C6" w:rsidRDefault="00AB62C5" w:rsidP="00AB62C5">
            <w:pPr>
              <w:pStyle w:val="Tot"/>
              <w:spacing w:line="320" w:lineRule="exact"/>
              <w:jc w:val="right"/>
              <w:rPr>
                <w:rFonts w:asciiTheme="minorHAnsi" w:hAnsiTheme="minorHAnsi" w:cs="Arial"/>
                <w:b/>
                <w:bCs/>
                <w:sz w:val="18"/>
                <w:szCs w:val="18"/>
                <w:lang w:val="hr-HR"/>
              </w:rPr>
            </w:pPr>
            <w:r w:rsidRPr="00312975">
              <w:rPr>
                <w:rFonts w:asciiTheme="minorHAnsi" w:hAnsiTheme="minorHAnsi" w:cs="Arial"/>
                <w:b/>
                <w:bCs/>
                <w:sz w:val="18"/>
                <w:szCs w:val="18"/>
                <w:lang w:val="hr-HR"/>
              </w:rPr>
              <w:t>179.970</w:t>
            </w:r>
          </w:p>
        </w:tc>
        <w:tc>
          <w:tcPr>
            <w:tcW w:w="493" w:type="pct"/>
            <w:tcBorders>
              <w:top w:val="nil"/>
              <w:left w:val="nil"/>
              <w:bottom w:val="single" w:sz="12" w:space="0" w:color="auto"/>
              <w:right w:val="nil"/>
            </w:tcBorders>
            <w:shd w:val="clear" w:color="auto" w:fill="auto"/>
            <w:vAlign w:val="bottom"/>
          </w:tcPr>
          <w:p w14:paraId="3580E72A" w14:textId="2D342406" w:rsidR="00AB62C5" w:rsidRPr="00A367C6" w:rsidRDefault="00AB62C5">
            <w:pPr>
              <w:pStyle w:val="Tot"/>
              <w:spacing w:line="320" w:lineRule="exact"/>
              <w:jc w:val="right"/>
              <w:rPr>
                <w:rFonts w:asciiTheme="minorHAnsi" w:hAnsiTheme="minorHAnsi" w:cs="Arial"/>
                <w:b/>
                <w:bCs/>
                <w:sz w:val="18"/>
                <w:szCs w:val="18"/>
                <w:lang w:val="hr-HR"/>
              </w:rPr>
            </w:pPr>
            <w:r w:rsidRPr="00312975">
              <w:rPr>
                <w:rFonts w:asciiTheme="minorHAnsi" w:hAnsiTheme="minorHAnsi" w:cs="Arial"/>
                <w:b/>
                <w:bCs/>
                <w:sz w:val="18"/>
                <w:szCs w:val="18"/>
                <w:lang w:val="hr-HR"/>
              </w:rPr>
              <w:t>1.278.75</w:t>
            </w:r>
            <w:r w:rsidR="00050251">
              <w:rPr>
                <w:rFonts w:asciiTheme="minorHAnsi" w:hAnsiTheme="minorHAnsi" w:cs="Arial"/>
                <w:b/>
                <w:bCs/>
                <w:sz w:val="18"/>
                <w:szCs w:val="18"/>
                <w:lang w:val="hr-HR"/>
              </w:rPr>
              <w:t>7</w:t>
            </w:r>
          </w:p>
        </w:tc>
        <w:tc>
          <w:tcPr>
            <w:tcW w:w="492" w:type="pct"/>
            <w:tcBorders>
              <w:top w:val="nil"/>
              <w:left w:val="nil"/>
              <w:bottom w:val="single" w:sz="12" w:space="0" w:color="auto"/>
              <w:right w:val="nil"/>
            </w:tcBorders>
            <w:shd w:val="clear" w:color="auto" w:fill="auto"/>
            <w:vAlign w:val="bottom"/>
          </w:tcPr>
          <w:p w14:paraId="2D3114D2" w14:textId="4456D7D7" w:rsidR="00AB62C5" w:rsidRPr="00A367C6" w:rsidRDefault="00AB62C5">
            <w:pPr>
              <w:pStyle w:val="Tot"/>
              <w:spacing w:line="320" w:lineRule="exact"/>
              <w:jc w:val="right"/>
              <w:rPr>
                <w:rFonts w:asciiTheme="minorHAnsi" w:hAnsiTheme="minorHAnsi" w:cs="Arial"/>
                <w:b/>
                <w:bCs/>
                <w:sz w:val="18"/>
                <w:szCs w:val="18"/>
                <w:lang w:val="hr-HR"/>
              </w:rPr>
            </w:pPr>
            <w:r w:rsidRPr="00312975">
              <w:rPr>
                <w:rFonts w:asciiTheme="minorHAnsi" w:hAnsiTheme="minorHAnsi" w:cs="Arial"/>
                <w:b/>
                <w:bCs/>
                <w:sz w:val="18"/>
                <w:szCs w:val="18"/>
                <w:lang w:val="hr-HR"/>
              </w:rPr>
              <w:t>4.652.22</w:t>
            </w:r>
            <w:r w:rsidR="00050251">
              <w:rPr>
                <w:rFonts w:asciiTheme="minorHAnsi" w:hAnsiTheme="minorHAnsi" w:cs="Arial"/>
                <w:b/>
                <w:bCs/>
                <w:sz w:val="18"/>
                <w:szCs w:val="18"/>
                <w:lang w:val="hr-HR"/>
              </w:rPr>
              <w:t>8</w:t>
            </w:r>
          </w:p>
        </w:tc>
        <w:tc>
          <w:tcPr>
            <w:tcW w:w="530" w:type="pct"/>
            <w:tcBorders>
              <w:top w:val="nil"/>
              <w:left w:val="nil"/>
              <w:bottom w:val="single" w:sz="12" w:space="0" w:color="auto"/>
              <w:right w:val="nil"/>
            </w:tcBorders>
            <w:shd w:val="clear" w:color="auto" w:fill="auto"/>
            <w:vAlign w:val="bottom"/>
          </w:tcPr>
          <w:p w14:paraId="4EF8789B" w14:textId="52A32EE4" w:rsidR="00AB62C5" w:rsidRPr="00A367C6" w:rsidRDefault="00AB62C5">
            <w:pPr>
              <w:pStyle w:val="Tot"/>
              <w:spacing w:line="320" w:lineRule="exact"/>
              <w:jc w:val="right"/>
              <w:rPr>
                <w:rFonts w:asciiTheme="minorHAnsi" w:hAnsiTheme="minorHAnsi" w:cs="Arial"/>
                <w:b/>
                <w:bCs/>
                <w:sz w:val="18"/>
                <w:szCs w:val="18"/>
                <w:lang w:val="hr-HR"/>
              </w:rPr>
            </w:pPr>
            <w:r w:rsidRPr="00312975">
              <w:rPr>
                <w:rFonts w:asciiTheme="minorHAnsi" w:hAnsiTheme="minorHAnsi" w:cs="Arial"/>
                <w:b/>
                <w:bCs/>
                <w:sz w:val="18"/>
                <w:szCs w:val="18"/>
                <w:lang w:val="hr-HR"/>
              </w:rPr>
              <w:t>10.146.90</w:t>
            </w:r>
            <w:r w:rsidR="00050251">
              <w:rPr>
                <w:rFonts w:asciiTheme="minorHAnsi" w:hAnsiTheme="minorHAnsi" w:cs="Arial"/>
                <w:b/>
                <w:bCs/>
                <w:sz w:val="18"/>
                <w:szCs w:val="18"/>
                <w:lang w:val="hr-HR"/>
              </w:rPr>
              <w:t>9</w:t>
            </w:r>
          </w:p>
        </w:tc>
        <w:tc>
          <w:tcPr>
            <w:tcW w:w="563" w:type="pct"/>
            <w:tcBorders>
              <w:top w:val="nil"/>
              <w:left w:val="nil"/>
              <w:bottom w:val="single" w:sz="12" w:space="0" w:color="auto"/>
              <w:right w:val="nil"/>
            </w:tcBorders>
            <w:shd w:val="clear" w:color="auto" w:fill="auto"/>
            <w:vAlign w:val="bottom"/>
          </w:tcPr>
          <w:p w14:paraId="2D37B49E" w14:textId="594ACE39" w:rsidR="00AB62C5" w:rsidRPr="00A367C6" w:rsidRDefault="00AB62C5">
            <w:pPr>
              <w:pStyle w:val="Tot"/>
              <w:spacing w:line="320" w:lineRule="exact"/>
              <w:jc w:val="right"/>
              <w:rPr>
                <w:rFonts w:asciiTheme="minorHAnsi" w:hAnsiTheme="minorHAnsi" w:cs="Arial"/>
                <w:b/>
                <w:bCs/>
                <w:sz w:val="18"/>
                <w:szCs w:val="18"/>
                <w:lang w:val="hr-HR"/>
              </w:rPr>
            </w:pPr>
            <w:r w:rsidRPr="00312975">
              <w:rPr>
                <w:rFonts w:asciiTheme="minorHAnsi" w:hAnsiTheme="minorHAnsi" w:cs="Arial"/>
                <w:b/>
                <w:bCs/>
                <w:sz w:val="18"/>
                <w:szCs w:val="18"/>
                <w:lang w:val="hr-HR"/>
              </w:rPr>
              <w:t>11.</w:t>
            </w:r>
            <w:r w:rsidR="00050251">
              <w:rPr>
                <w:rFonts w:asciiTheme="minorHAnsi" w:hAnsiTheme="minorHAnsi" w:cs="Arial"/>
                <w:b/>
                <w:bCs/>
                <w:sz w:val="18"/>
                <w:szCs w:val="18"/>
                <w:lang w:val="hr-HR"/>
              </w:rPr>
              <w:t>246.072</w:t>
            </w:r>
          </w:p>
        </w:tc>
        <w:tc>
          <w:tcPr>
            <w:tcW w:w="553" w:type="pct"/>
            <w:tcBorders>
              <w:top w:val="nil"/>
              <w:left w:val="nil"/>
              <w:bottom w:val="single" w:sz="12" w:space="0" w:color="auto"/>
              <w:right w:val="nil"/>
            </w:tcBorders>
            <w:shd w:val="clear" w:color="auto" w:fill="auto"/>
            <w:vAlign w:val="bottom"/>
          </w:tcPr>
          <w:p w14:paraId="4D18D0DD" w14:textId="25D6420A" w:rsidR="00AB62C5" w:rsidRPr="00A367C6" w:rsidRDefault="00AB62C5" w:rsidP="00AB62C5">
            <w:pPr>
              <w:pStyle w:val="Tot"/>
              <w:spacing w:line="320" w:lineRule="exact"/>
              <w:jc w:val="right"/>
              <w:rPr>
                <w:rFonts w:asciiTheme="minorHAnsi" w:hAnsiTheme="minorHAnsi" w:cs="Arial"/>
                <w:b/>
                <w:bCs/>
                <w:sz w:val="18"/>
                <w:szCs w:val="18"/>
                <w:lang w:val="hr-HR"/>
              </w:rPr>
            </w:pPr>
            <w:r w:rsidRPr="00312975">
              <w:rPr>
                <w:rFonts w:asciiTheme="minorHAnsi" w:hAnsiTheme="minorHAnsi" w:cs="Arial"/>
                <w:b/>
                <w:bCs/>
                <w:sz w:val="18"/>
                <w:szCs w:val="18"/>
                <w:lang w:val="hr-HR"/>
              </w:rPr>
              <w:t>27.823.841</w:t>
            </w:r>
          </w:p>
        </w:tc>
      </w:tr>
      <w:tr w:rsidR="00AB62C5" w:rsidRPr="00EF4016" w14:paraId="03C44BB3" w14:textId="77777777" w:rsidTr="00312975">
        <w:trPr>
          <w:trHeight w:val="520"/>
        </w:trPr>
        <w:tc>
          <w:tcPr>
            <w:tcW w:w="1282" w:type="pct"/>
            <w:vAlign w:val="bottom"/>
          </w:tcPr>
          <w:p w14:paraId="56C2AF41" w14:textId="77777777" w:rsidR="00AB62C5" w:rsidRPr="00A30D10" w:rsidRDefault="00AB62C5" w:rsidP="00AB62C5">
            <w:pPr>
              <w:spacing w:after="0" w:line="240" w:lineRule="auto"/>
              <w:rPr>
                <w:b/>
                <w:sz w:val="18"/>
                <w:szCs w:val="18"/>
              </w:rPr>
            </w:pPr>
            <w:r w:rsidRPr="00007FC2">
              <w:rPr>
                <w:b/>
                <w:sz w:val="18"/>
                <w:szCs w:val="18"/>
              </w:rPr>
              <w:t>Neto ukupna imovina /ukupne obveze i glavnica (1) – (2)</w:t>
            </w:r>
          </w:p>
        </w:tc>
        <w:tc>
          <w:tcPr>
            <w:tcW w:w="595" w:type="pct"/>
            <w:tcBorders>
              <w:top w:val="nil"/>
              <w:left w:val="nil"/>
              <w:bottom w:val="single" w:sz="12" w:space="0" w:color="auto"/>
              <w:right w:val="nil"/>
            </w:tcBorders>
            <w:shd w:val="clear" w:color="auto" w:fill="auto"/>
            <w:vAlign w:val="bottom"/>
          </w:tcPr>
          <w:p w14:paraId="05CA346C" w14:textId="27B0519A" w:rsidR="00AB62C5" w:rsidRPr="00A367C6" w:rsidRDefault="00AB62C5">
            <w:pPr>
              <w:spacing w:after="0" w:line="240" w:lineRule="auto"/>
              <w:jc w:val="right"/>
              <w:rPr>
                <w:b/>
                <w:sz w:val="18"/>
                <w:szCs w:val="18"/>
              </w:rPr>
            </w:pPr>
            <w:r>
              <w:rPr>
                <w:rFonts w:eastAsia="Times New Roman" w:cs="Arial"/>
                <w:b/>
                <w:bCs/>
                <w:color w:val="000000"/>
                <w:sz w:val="18"/>
                <w:szCs w:val="18"/>
              </w:rPr>
              <w:t>4.</w:t>
            </w:r>
            <w:r w:rsidR="00050251">
              <w:rPr>
                <w:rFonts w:eastAsia="Times New Roman" w:cs="Arial"/>
                <w:b/>
                <w:bCs/>
                <w:color w:val="000000"/>
                <w:sz w:val="18"/>
                <w:szCs w:val="18"/>
              </w:rPr>
              <w:t>261.146</w:t>
            </w:r>
          </w:p>
        </w:tc>
        <w:tc>
          <w:tcPr>
            <w:tcW w:w="493" w:type="pct"/>
            <w:tcBorders>
              <w:top w:val="nil"/>
              <w:left w:val="nil"/>
              <w:bottom w:val="single" w:sz="12" w:space="0" w:color="auto"/>
              <w:right w:val="nil"/>
            </w:tcBorders>
            <w:shd w:val="clear" w:color="auto" w:fill="auto"/>
            <w:vAlign w:val="bottom"/>
          </w:tcPr>
          <w:p w14:paraId="3949C49D" w14:textId="0C4D149D" w:rsidR="00AB62C5" w:rsidRPr="00A367C6" w:rsidRDefault="00AB62C5" w:rsidP="00AB62C5">
            <w:pPr>
              <w:spacing w:after="0" w:line="240" w:lineRule="auto"/>
              <w:jc w:val="right"/>
              <w:rPr>
                <w:b/>
                <w:sz w:val="18"/>
                <w:szCs w:val="18"/>
              </w:rPr>
            </w:pPr>
            <w:r w:rsidRPr="00016AD1">
              <w:rPr>
                <w:rFonts w:eastAsia="Times New Roman" w:cs="Arial"/>
                <w:b/>
                <w:bCs/>
                <w:color w:val="000000"/>
                <w:sz w:val="18"/>
                <w:szCs w:val="18"/>
              </w:rPr>
              <w:t>1.439.466</w:t>
            </w:r>
          </w:p>
        </w:tc>
        <w:tc>
          <w:tcPr>
            <w:tcW w:w="493" w:type="pct"/>
            <w:tcBorders>
              <w:top w:val="nil"/>
              <w:left w:val="nil"/>
              <w:bottom w:val="single" w:sz="12" w:space="0" w:color="auto"/>
              <w:right w:val="nil"/>
            </w:tcBorders>
            <w:shd w:val="clear" w:color="auto" w:fill="auto"/>
            <w:vAlign w:val="bottom"/>
          </w:tcPr>
          <w:p w14:paraId="5E088969" w14:textId="041C8FE6" w:rsidR="00AB62C5" w:rsidRPr="00A367C6" w:rsidRDefault="00AB62C5">
            <w:pPr>
              <w:spacing w:after="0" w:line="240" w:lineRule="auto"/>
              <w:jc w:val="right"/>
              <w:rPr>
                <w:b/>
                <w:sz w:val="18"/>
                <w:szCs w:val="18"/>
              </w:rPr>
            </w:pPr>
            <w:r w:rsidRPr="00016AD1">
              <w:rPr>
                <w:rFonts w:eastAsia="Times New Roman" w:cs="Arial"/>
                <w:b/>
                <w:bCs/>
                <w:color w:val="000000"/>
                <w:sz w:val="18"/>
                <w:szCs w:val="18"/>
              </w:rPr>
              <w:t>1.006.43</w:t>
            </w:r>
            <w:r w:rsidR="00050251">
              <w:rPr>
                <w:rFonts w:eastAsia="Times New Roman" w:cs="Arial"/>
                <w:b/>
                <w:bCs/>
                <w:color w:val="000000"/>
                <w:sz w:val="18"/>
                <w:szCs w:val="18"/>
              </w:rPr>
              <w:t>4</w:t>
            </w:r>
          </w:p>
        </w:tc>
        <w:tc>
          <w:tcPr>
            <w:tcW w:w="492" w:type="pct"/>
            <w:tcBorders>
              <w:top w:val="nil"/>
              <w:left w:val="nil"/>
              <w:bottom w:val="single" w:sz="12" w:space="0" w:color="auto"/>
              <w:right w:val="nil"/>
            </w:tcBorders>
            <w:shd w:val="clear" w:color="auto" w:fill="auto"/>
            <w:vAlign w:val="bottom"/>
          </w:tcPr>
          <w:p w14:paraId="088C5AD6" w14:textId="56C91B42" w:rsidR="00AB62C5" w:rsidRPr="00257CDB" w:rsidRDefault="00AB62C5" w:rsidP="00312975">
            <w:pPr>
              <w:pStyle w:val="Tot"/>
              <w:spacing w:line="320" w:lineRule="exact"/>
              <w:jc w:val="right"/>
              <w:rPr>
                <w:rFonts w:cs="Arial"/>
                <w:b/>
                <w:bCs/>
                <w:sz w:val="18"/>
                <w:szCs w:val="18"/>
              </w:rPr>
            </w:pPr>
            <w:r w:rsidRPr="00312975">
              <w:rPr>
                <w:rFonts w:asciiTheme="minorHAnsi" w:hAnsiTheme="minorHAnsi" w:cs="Arial"/>
                <w:b/>
                <w:bCs/>
                <w:sz w:val="18"/>
                <w:szCs w:val="18"/>
                <w:lang w:val="hr-HR"/>
              </w:rPr>
              <w:t>(205.42</w:t>
            </w:r>
            <w:r w:rsidR="00050251">
              <w:rPr>
                <w:rFonts w:asciiTheme="minorHAnsi" w:hAnsiTheme="minorHAnsi" w:cs="Arial"/>
                <w:b/>
                <w:bCs/>
                <w:sz w:val="18"/>
                <w:szCs w:val="18"/>
                <w:lang w:val="hr-HR"/>
              </w:rPr>
              <w:t>1</w:t>
            </w:r>
            <w:r w:rsidRPr="00312975">
              <w:rPr>
                <w:rFonts w:asciiTheme="minorHAnsi" w:hAnsiTheme="minorHAnsi" w:cs="Arial"/>
                <w:b/>
                <w:bCs/>
                <w:sz w:val="18"/>
                <w:szCs w:val="18"/>
                <w:lang w:val="hr-HR"/>
              </w:rPr>
              <w:t>)</w:t>
            </w:r>
          </w:p>
        </w:tc>
        <w:tc>
          <w:tcPr>
            <w:tcW w:w="530" w:type="pct"/>
            <w:tcBorders>
              <w:top w:val="nil"/>
              <w:left w:val="nil"/>
              <w:bottom w:val="single" w:sz="12" w:space="0" w:color="auto"/>
              <w:right w:val="nil"/>
            </w:tcBorders>
            <w:shd w:val="clear" w:color="auto" w:fill="auto"/>
            <w:vAlign w:val="bottom"/>
          </w:tcPr>
          <w:p w14:paraId="0B85877B" w14:textId="7C278F5C" w:rsidR="00AB62C5" w:rsidRPr="00257CDB" w:rsidRDefault="00AB62C5" w:rsidP="00312975">
            <w:pPr>
              <w:pStyle w:val="Tot"/>
              <w:spacing w:line="320" w:lineRule="exact"/>
              <w:jc w:val="right"/>
              <w:rPr>
                <w:rFonts w:cs="Arial"/>
                <w:b/>
                <w:bCs/>
                <w:sz w:val="18"/>
                <w:szCs w:val="18"/>
              </w:rPr>
            </w:pPr>
            <w:r w:rsidRPr="00312975">
              <w:rPr>
                <w:rFonts w:asciiTheme="minorHAnsi" w:hAnsiTheme="minorHAnsi" w:cs="Arial"/>
                <w:b/>
                <w:bCs/>
                <w:sz w:val="18"/>
                <w:szCs w:val="18"/>
                <w:lang w:val="hr-HR"/>
              </w:rPr>
              <w:t>2.000.73</w:t>
            </w:r>
            <w:r w:rsidR="00050251">
              <w:rPr>
                <w:rFonts w:asciiTheme="minorHAnsi" w:hAnsiTheme="minorHAnsi" w:cs="Arial"/>
                <w:b/>
                <w:bCs/>
                <w:sz w:val="18"/>
                <w:szCs w:val="18"/>
                <w:lang w:val="hr-HR"/>
              </w:rPr>
              <w:t>0</w:t>
            </w:r>
          </w:p>
        </w:tc>
        <w:tc>
          <w:tcPr>
            <w:tcW w:w="563" w:type="pct"/>
            <w:tcBorders>
              <w:top w:val="nil"/>
              <w:left w:val="nil"/>
              <w:bottom w:val="single" w:sz="12" w:space="0" w:color="auto"/>
              <w:right w:val="nil"/>
            </w:tcBorders>
            <w:shd w:val="clear" w:color="auto" w:fill="auto"/>
            <w:vAlign w:val="bottom"/>
          </w:tcPr>
          <w:p w14:paraId="1CAB34F4" w14:textId="14B3BB34" w:rsidR="00AB62C5" w:rsidRPr="00257CDB" w:rsidRDefault="00AB62C5" w:rsidP="00312975">
            <w:pPr>
              <w:pStyle w:val="Tot"/>
              <w:spacing w:line="320" w:lineRule="exact"/>
              <w:jc w:val="right"/>
              <w:rPr>
                <w:rFonts w:cs="Arial"/>
                <w:b/>
                <w:bCs/>
                <w:sz w:val="18"/>
                <w:szCs w:val="18"/>
              </w:rPr>
            </w:pPr>
            <w:r w:rsidRPr="00312975">
              <w:rPr>
                <w:rFonts w:asciiTheme="minorHAnsi" w:hAnsiTheme="minorHAnsi" w:cs="Arial"/>
                <w:b/>
                <w:bCs/>
                <w:sz w:val="18"/>
                <w:szCs w:val="18"/>
                <w:lang w:val="hr-HR"/>
              </w:rPr>
              <w:t>(8.</w:t>
            </w:r>
            <w:r w:rsidR="00050251">
              <w:rPr>
                <w:rFonts w:asciiTheme="minorHAnsi" w:hAnsiTheme="minorHAnsi" w:cs="Arial"/>
                <w:b/>
                <w:bCs/>
                <w:sz w:val="18"/>
                <w:szCs w:val="18"/>
                <w:lang w:val="hr-HR"/>
              </w:rPr>
              <w:t>502.355</w:t>
            </w:r>
            <w:r w:rsidRPr="00312975">
              <w:rPr>
                <w:rFonts w:asciiTheme="minorHAnsi" w:hAnsiTheme="minorHAnsi" w:cs="Arial"/>
                <w:b/>
                <w:bCs/>
                <w:sz w:val="18"/>
                <w:szCs w:val="18"/>
                <w:lang w:val="hr-HR"/>
              </w:rPr>
              <w:t>)</w:t>
            </w:r>
          </w:p>
        </w:tc>
        <w:tc>
          <w:tcPr>
            <w:tcW w:w="553" w:type="pct"/>
            <w:tcBorders>
              <w:top w:val="nil"/>
              <w:left w:val="nil"/>
              <w:bottom w:val="single" w:sz="12" w:space="0" w:color="auto"/>
              <w:right w:val="nil"/>
            </w:tcBorders>
            <w:shd w:val="clear" w:color="auto" w:fill="auto"/>
            <w:vAlign w:val="bottom"/>
          </w:tcPr>
          <w:p w14:paraId="6F1B421D" w14:textId="73DE9228" w:rsidR="00AB62C5" w:rsidRPr="00257CDB" w:rsidRDefault="00AB62C5" w:rsidP="00312975">
            <w:pPr>
              <w:pStyle w:val="Tot"/>
              <w:spacing w:line="320" w:lineRule="exact"/>
              <w:jc w:val="right"/>
              <w:rPr>
                <w:rFonts w:cs="Arial"/>
                <w:b/>
                <w:bCs/>
                <w:sz w:val="18"/>
                <w:szCs w:val="18"/>
              </w:rPr>
            </w:pPr>
            <w:r w:rsidRPr="00312975">
              <w:rPr>
                <w:rFonts w:asciiTheme="minorHAnsi" w:hAnsiTheme="minorHAnsi" w:cs="Arial"/>
                <w:b/>
                <w:bCs/>
                <w:sz w:val="18"/>
                <w:szCs w:val="18"/>
                <w:lang w:val="hr-HR"/>
              </w:rPr>
              <w:t>-</w:t>
            </w:r>
          </w:p>
        </w:tc>
      </w:tr>
    </w:tbl>
    <w:p w14:paraId="1C98BA91" w14:textId="77777777" w:rsidR="008D359F" w:rsidRDefault="008D359F" w:rsidP="008D359F">
      <w:pPr>
        <w:tabs>
          <w:tab w:val="left" w:pos="-720"/>
        </w:tabs>
        <w:suppressAutoHyphens/>
        <w:spacing w:line="360" w:lineRule="auto"/>
        <w:ind w:right="-5"/>
        <w:jc w:val="both"/>
        <w:rPr>
          <w:rFonts w:ascii="Arial" w:hAnsi="Arial" w:cs="Arial"/>
          <w:sz w:val="19"/>
          <w:highlight w:val="yellow"/>
        </w:rPr>
        <w:sectPr w:rsidR="008D359F" w:rsidSect="00D65D06">
          <w:footerReference w:type="first" r:id="rId114"/>
          <w:pgSz w:w="11906" w:h="16838" w:code="9"/>
          <w:pgMar w:top="1418" w:right="1418" w:bottom="595" w:left="1134" w:header="709" w:footer="709" w:gutter="0"/>
          <w:cols w:space="708"/>
          <w:titlePg/>
          <w:docGrid w:linePitch="360"/>
        </w:sectPr>
      </w:pPr>
    </w:p>
    <w:p w14:paraId="2A3A0A6B" w14:textId="77777777" w:rsidR="00B21660" w:rsidRDefault="00B21660" w:rsidP="00B21660">
      <w:pPr>
        <w:pStyle w:val="T1"/>
        <w:spacing w:before="0" w:after="0" w:line="240" w:lineRule="auto"/>
        <w:ind w:left="709" w:hanging="709"/>
        <w:rPr>
          <w:rFonts w:asciiTheme="minorHAnsi" w:hAnsiTheme="minorHAnsi" w:cs="Arial"/>
          <w:sz w:val="22"/>
          <w:szCs w:val="22"/>
          <w:lang w:val="hr-HR"/>
        </w:rPr>
      </w:pPr>
    </w:p>
    <w:p w14:paraId="0FAE7820" w14:textId="77777777" w:rsidR="00B21660" w:rsidRDefault="00B21660" w:rsidP="00B2166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w:t>
      </w:r>
      <w:r w:rsidRPr="008D359F">
        <w:rPr>
          <w:rFonts w:asciiTheme="minorHAnsi" w:hAnsiTheme="minorHAnsi" w:cs="Arial"/>
          <w:sz w:val="22"/>
          <w:szCs w:val="22"/>
          <w:lang w:val="hr-HR"/>
        </w:rPr>
        <w:tab/>
        <w:t>Upravljanje rizicima (nastavak)</w:t>
      </w:r>
    </w:p>
    <w:p w14:paraId="33432184" w14:textId="77777777" w:rsidR="00B21660" w:rsidRPr="008D359F" w:rsidRDefault="00B21660" w:rsidP="00B21660">
      <w:pPr>
        <w:pStyle w:val="T1"/>
        <w:spacing w:before="0" w:after="0" w:line="240" w:lineRule="auto"/>
        <w:ind w:left="709" w:hanging="709"/>
        <w:rPr>
          <w:rFonts w:asciiTheme="minorHAnsi" w:hAnsiTheme="minorHAnsi" w:cs="Arial"/>
          <w:sz w:val="22"/>
          <w:szCs w:val="22"/>
          <w:lang w:val="hr-HR"/>
        </w:rPr>
      </w:pPr>
    </w:p>
    <w:p w14:paraId="3169A024" w14:textId="77777777" w:rsidR="00B21660" w:rsidRDefault="00B21660" w:rsidP="00B2166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.4.     Tržišni rizik (nastavak)</w:t>
      </w:r>
    </w:p>
    <w:p w14:paraId="3C316117" w14:textId="77777777" w:rsidR="00B21660" w:rsidRPr="008D359F" w:rsidRDefault="00B21660" w:rsidP="00B21660">
      <w:pPr>
        <w:pStyle w:val="T1"/>
        <w:spacing w:before="0" w:after="0" w:line="240" w:lineRule="auto"/>
        <w:ind w:left="709" w:hanging="709"/>
        <w:rPr>
          <w:rFonts w:asciiTheme="minorHAnsi" w:hAnsiTheme="minorHAnsi" w:cs="Arial"/>
          <w:sz w:val="22"/>
          <w:szCs w:val="22"/>
          <w:lang w:val="hr-HR"/>
        </w:rPr>
      </w:pPr>
    </w:p>
    <w:p w14:paraId="4D668B4B" w14:textId="77777777" w:rsidR="00B21660" w:rsidRDefault="00B21660" w:rsidP="00B2166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8D359F">
        <w:rPr>
          <w:rFonts w:asciiTheme="minorHAnsi" w:hAnsiTheme="minorHAnsi" w:cs="Arial"/>
          <w:sz w:val="22"/>
          <w:szCs w:val="22"/>
          <w:lang w:val="hr-HR"/>
        </w:rPr>
        <w:t xml:space="preserve">.4.1.  Kamatni rizik </w:t>
      </w:r>
      <w:r w:rsidR="00C13D97">
        <w:rPr>
          <w:rFonts w:asciiTheme="minorHAnsi" w:hAnsiTheme="minorHAnsi" w:cs="Arial"/>
          <w:sz w:val="22"/>
          <w:szCs w:val="22"/>
          <w:lang w:val="hr-HR"/>
        </w:rPr>
        <w:t xml:space="preserve">u knjizi banke </w:t>
      </w:r>
      <w:r w:rsidRPr="008D359F">
        <w:rPr>
          <w:rFonts w:asciiTheme="minorHAnsi" w:hAnsiTheme="minorHAnsi" w:cs="Arial"/>
          <w:sz w:val="22"/>
          <w:szCs w:val="22"/>
          <w:lang w:val="hr-HR"/>
        </w:rPr>
        <w:t>(nastavak)</w:t>
      </w:r>
    </w:p>
    <w:p w14:paraId="71FA9136" w14:textId="77777777" w:rsidR="00B21660" w:rsidRDefault="00B21660" w:rsidP="00B21660">
      <w:pPr>
        <w:pStyle w:val="T1"/>
        <w:spacing w:before="0" w:after="0" w:line="240" w:lineRule="auto"/>
        <w:ind w:left="709" w:hanging="709"/>
        <w:rPr>
          <w:rFonts w:asciiTheme="minorHAnsi" w:hAnsiTheme="minorHAnsi" w:cs="Arial"/>
          <w:sz w:val="22"/>
          <w:szCs w:val="22"/>
          <w:lang w:val="hr-HR"/>
        </w:rPr>
      </w:pPr>
    </w:p>
    <w:tbl>
      <w:tblPr>
        <w:tblW w:w="5456" w:type="pct"/>
        <w:tblInd w:w="-284" w:type="dxa"/>
        <w:tblLayout w:type="fixed"/>
        <w:tblCellMar>
          <w:left w:w="120" w:type="dxa"/>
          <w:right w:w="120" w:type="dxa"/>
        </w:tblCellMar>
        <w:tblLook w:val="0000" w:firstRow="0" w:lastRow="0" w:firstColumn="0" w:lastColumn="0" w:noHBand="0" w:noVBand="0"/>
      </w:tblPr>
      <w:tblGrid>
        <w:gridCol w:w="2601"/>
        <w:gridCol w:w="1090"/>
        <w:gridCol w:w="992"/>
        <w:gridCol w:w="996"/>
        <w:gridCol w:w="1064"/>
        <w:gridCol w:w="1202"/>
        <w:gridCol w:w="1131"/>
        <w:gridCol w:w="1131"/>
      </w:tblGrid>
      <w:tr w:rsidR="00CF2A73" w:rsidRPr="00AD0961" w14:paraId="74450841" w14:textId="77777777" w:rsidTr="00CF2A73">
        <w:trPr>
          <w:trHeight w:val="573"/>
        </w:trPr>
        <w:tc>
          <w:tcPr>
            <w:tcW w:w="1274" w:type="pct"/>
            <w:shd w:val="clear" w:color="auto" w:fill="auto"/>
            <w:vAlign w:val="center"/>
          </w:tcPr>
          <w:p w14:paraId="34A1C412" w14:textId="77777777" w:rsidR="004B16B5" w:rsidRPr="00AD0961" w:rsidRDefault="004B16B5" w:rsidP="003D5BE9">
            <w:pPr>
              <w:tabs>
                <w:tab w:val="left" w:pos="-720"/>
              </w:tabs>
              <w:suppressAutoHyphens/>
              <w:spacing w:after="0" w:line="240" w:lineRule="exact"/>
              <w:ind w:right="-6"/>
              <w:rPr>
                <w:rFonts w:eastAsia="Times New Roman" w:cs="Arial"/>
                <w:b/>
                <w:sz w:val="17"/>
                <w:szCs w:val="17"/>
              </w:rPr>
            </w:pPr>
            <w:r w:rsidRPr="00AD0961">
              <w:rPr>
                <w:rFonts w:eastAsia="Times New Roman" w:cs="Arial"/>
                <w:b/>
                <w:sz w:val="17"/>
                <w:szCs w:val="17"/>
              </w:rPr>
              <w:t>Grupa</w:t>
            </w:r>
          </w:p>
          <w:p w14:paraId="3CEBBF54" w14:textId="6C20A79A" w:rsidR="004B16B5" w:rsidRPr="00AD0961" w:rsidRDefault="004B16B5" w:rsidP="00AD0961">
            <w:pPr>
              <w:tabs>
                <w:tab w:val="left" w:pos="-720"/>
              </w:tabs>
              <w:suppressAutoHyphens/>
              <w:spacing w:after="0" w:line="240" w:lineRule="exact"/>
              <w:ind w:right="-6"/>
              <w:rPr>
                <w:rFonts w:eastAsia="Times New Roman" w:cs="Arial"/>
                <w:b/>
                <w:sz w:val="17"/>
                <w:szCs w:val="17"/>
              </w:rPr>
            </w:pPr>
            <w:r w:rsidRPr="00AD0961">
              <w:rPr>
                <w:rFonts w:eastAsia="Times New Roman" w:cs="Arial"/>
                <w:b/>
                <w:sz w:val="17"/>
                <w:szCs w:val="17"/>
              </w:rPr>
              <w:t>31.12.201</w:t>
            </w:r>
            <w:r w:rsidR="00AD0961" w:rsidRPr="00AD0961">
              <w:rPr>
                <w:rFonts w:eastAsia="Times New Roman" w:cs="Arial"/>
                <w:b/>
                <w:sz w:val="17"/>
                <w:szCs w:val="17"/>
              </w:rPr>
              <w:t>6</w:t>
            </w:r>
            <w:r w:rsidRPr="00AD0961">
              <w:rPr>
                <w:rFonts w:eastAsia="Times New Roman" w:cs="Arial"/>
                <w:b/>
                <w:sz w:val="17"/>
                <w:szCs w:val="17"/>
              </w:rPr>
              <w:t>.</w:t>
            </w:r>
          </w:p>
        </w:tc>
        <w:tc>
          <w:tcPr>
            <w:tcW w:w="534" w:type="pct"/>
            <w:shd w:val="clear" w:color="auto" w:fill="auto"/>
          </w:tcPr>
          <w:p w14:paraId="3B17DCB9" w14:textId="77777777" w:rsidR="004B16B5" w:rsidRPr="00AD0961" w:rsidRDefault="004B16B5" w:rsidP="003D5BE9">
            <w:pPr>
              <w:tabs>
                <w:tab w:val="left" w:pos="-720"/>
              </w:tabs>
              <w:suppressAutoHyphens/>
              <w:spacing w:after="0" w:line="240" w:lineRule="exact"/>
              <w:ind w:right="-6"/>
              <w:jc w:val="right"/>
              <w:rPr>
                <w:rFonts w:eastAsia="Times New Roman" w:cs="Arial"/>
                <w:b/>
                <w:sz w:val="17"/>
                <w:szCs w:val="17"/>
              </w:rPr>
            </w:pPr>
            <w:r w:rsidRPr="00AD0961">
              <w:rPr>
                <w:rFonts w:eastAsia="Times New Roman" w:cs="Arial"/>
                <w:b/>
                <w:sz w:val="17"/>
                <w:szCs w:val="17"/>
              </w:rPr>
              <w:t>Do 1 mjesec</w:t>
            </w:r>
          </w:p>
        </w:tc>
        <w:tc>
          <w:tcPr>
            <w:tcW w:w="486" w:type="pct"/>
            <w:shd w:val="clear" w:color="auto" w:fill="auto"/>
          </w:tcPr>
          <w:p w14:paraId="1D7B6B91" w14:textId="77777777" w:rsidR="004B16B5" w:rsidRPr="00AD0961" w:rsidRDefault="004B16B5" w:rsidP="003D5BE9">
            <w:pPr>
              <w:tabs>
                <w:tab w:val="left" w:pos="-720"/>
              </w:tabs>
              <w:suppressAutoHyphens/>
              <w:spacing w:after="0" w:line="240" w:lineRule="exact"/>
              <w:ind w:right="-6"/>
              <w:jc w:val="right"/>
              <w:rPr>
                <w:rFonts w:eastAsia="Times New Roman" w:cs="Arial"/>
                <w:b/>
                <w:sz w:val="17"/>
                <w:szCs w:val="17"/>
              </w:rPr>
            </w:pPr>
            <w:r w:rsidRPr="00AD0961">
              <w:rPr>
                <w:rFonts w:eastAsia="Times New Roman" w:cs="Arial"/>
                <w:b/>
                <w:sz w:val="17"/>
                <w:szCs w:val="17"/>
              </w:rPr>
              <w:t>1 do 3 mjeseca</w:t>
            </w:r>
          </w:p>
        </w:tc>
        <w:tc>
          <w:tcPr>
            <w:tcW w:w="488" w:type="pct"/>
            <w:shd w:val="clear" w:color="auto" w:fill="auto"/>
          </w:tcPr>
          <w:p w14:paraId="22DA62A8" w14:textId="77777777" w:rsidR="004B16B5" w:rsidRPr="00AD0961" w:rsidRDefault="004B16B5" w:rsidP="003D5BE9">
            <w:pPr>
              <w:tabs>
                <w:tab w:val="left" w:pos="-720"/>
              </w:tabs>
              <w:suppressAutoHyphens/>
              <w:spacing w:after="0" w:line="240" w:lineRule="exact"/>
              <w:ind w:right="-6"/>
              <w:jc w:val="right"/>
              <w:rPr>
                <w:rFonts w:eastAsia="Times New Roman" w:cs="Arial"/>
                <w:b/>
                <w:sz w:val="17"/>
                <w:szCs w:val="17"/>
              </w:rPr>
            </w:pPr>
            <w:r w:rsidRPr="00AD0961">
              <w:rPr>
                <w:rFonts w:eastAsia="Times New Roman" w:cs="Arial"/>
                <w:b/>
                <w:sz w:val="17"/>
                <w:szCs w:val="17"/>
              </w:rPr>
              <w:t>3 mj. do 1 godine</w:t>
            </w:r>
          </w:p>
        </w:tc>
        <w:tc>
          <w:tcPr>
            <w:tcW w:w="521" w:type="pct"/>
            <w:shd w:val="clear" w:color="auto" w:fill="auto"/>
          </w:tcPr>
          <w:p w14:paraId="2F079DBA" w14:textId="77777777" w:rsidR="004B16B5" w:rsidRPr="00AD0961" w:rsidRDefault="004B16B5" w:rsidP="003D5BE9">
            <w:pPr>
              <w:tabs>
                <w:tab w:val="left" w:pos="-720"/>
              </w:tabs>
              <w:suppressAutoHyphens/>
              <w:spacing w:after="0" w:line="240" w:lineRule="exact"/>
              <w:ind w:right="-6"/>
              <w:jc w:val="right"/>
              <w:rPr>
                <w:rFonts w:eastAsia="Times New Roman" w:cs="Arial"/>
                <w:b/>
                <w:sz w:val="17"/>
                <w:szCs w:val="17"/>
              </w:rPr>
            </w:pPr>
            <w:r w:rsidRPr="00AD0961">
              <w:rPr>
                <w:rFonts w:eastAsia="Times New Roman" w:cs="Arial"/>
                <w:b/>
                <w:sz w:val="17"/>
                <w:szCs w:val="17"/>
              </w:rPr>
              <w:t>1 do 3 godina</w:t>
            </w:r>
          </w:p>
        </w:tc>
        <w:tc>
          <w:tcPr>
            <w:tcW w:w="589" w:type="pct"/>
            <w:shd w:val="clear" w:color="auto" w:fill="auto"/>
          </w:tcPr>
          <w:p w14:paraId="523AA21D" w14:textId="77777777" w:rsidR="004B16B5" w:rsidRPr="00AD0961" w:rsidRDefault="004B16B5" w:rsidP="003D5BE9">
            <w:pPr>
              <w:tabs>
                <w:tab w:val="left" w:pos="-720"/>
              </w:tabs>
              <w:suppressAutoHyphens/>
              <w:spacing w:after="0" w:line="240" w:lineRule="exact"/>
              <w:ind w:right="-6"/>
              <w:jc w:val="right"/>
              <w:rPr>
                <w:rFonts w:eastAsia="Times New Roman" w:cs="Arial"/>
                <w:b/>
                <w:sz w:val="17"/>
                <w:szCs w:val="17"/>
              </w:rPr>
            </w:pPr>
            <w:r w:rsidRPr="00AD0961">
              <w:rPr>
                <w:rFonts w:eastAsia="Times New Roman" w:cs="Arial"/>
                <w:b/>
                <w:sz w:val="17"/>
                <w:szCs w:val="17"/>
              </w:rPr>
              <w:t>Preko 3 godine</w:t>
            </w:r>
          </w:p>
        </w:tc>
        <w:tc>
          <w:tcPr>
            <w:tcW w:w="554" w:type="pct"/>
            <w:shd w:val="clear" w:color="auto" w:fill="auto"/>
          </w:tcPr>
          <w:p w14:paraId="2E6A1F8F" w14:textId="77777777" w:rsidR="004B16B5" w:rsidRPr="00AD0961" w:rsidRDefault="004B16B5" w:rsidP="003D5BE9">
            <w:pPr>
              <w:tabs>
                <w:tab w:val="left" w:pos="-720"/>
              </w:tabs>
              <w:suppressAutoHyphens/>
              <w:spacing w:after="0" w:line="240" w:lineRule="exact"/>
              <w:ind w:right="-6"/>
              <w:jc w:val="right"/>
              <w:rPr>
                <w:rFonts w:eastAsia="Times New Roman" w:cs="Arial"/>
                <w:b/>
                <w:sz w:val="17"/>
                <w:szCs w:val="17"/>
              </w:rPr>
            </w:pPr>
            <w:proofErr w:type="spellStart"/>
            <w:r w:rsidRPr="00AD0961">
              <w:rPr>
                <w:rFonts w:eastAsia="Times New Roman" w:cs="Arial"/>
                <w:b/>
                <w:sz w:val="17"/>
                <w:szCs w:val="17"/>
              </w:rPr>
              <w:t>Beska-matno</w:t>
            </w:r>
            <w:proofErr w:type="spellEnd"/>
          </w:p>
        </w:tc>
        <w:tc>
          <w:tcPr>
            <w:tcW w:w="555" w:type="pct"/>
            <w:shd w:val="clear" w:color="auto" w:fill="auto"/>
          </w:tcPr>
          <w:p w14:paraId="38496F71" w14:textId="77777777" w:rsidR="004B16B5" w:rsidRPr="00AD0961" w:rsidRDefault="004B16B5" w:rsidP="003D5BE9">
            <w:pPr>
              <w:tabs>
                <w:tab w:val="left" w:pos="-720"/>
              </w:tabs>
              <w:suppressAutoHyphens/>
              <w:spacing w:after="0" w:line="240" w:lineRule="exact"/>
              <w:ind w:right="-6"/>
              <w:jc w:val="right"/>
              <w:rPr>
                <w:rFonts w:eastAsia="Times New Roman" w:cs="Arial"/>
                <w:b/>
                <w:sz w:val="17"/>
                <w:szCs w:val="17"/>
              </w:rPr>
            </w:pPr>
            <w:r w:rsidRPr="00AD0961">
              <w:rPr>
                <w:rFonts w:eastAsia="Times New Roman" w:cs="Arial"/>
                <w:b/>
                <w:sz w:val="17"/>
                <w:szCs w:val="17"/>
              </w:rPr>
              <w:t>Ukupno</w:t>
            </w:r>
          </w:p>
        </w:tc>
      </w:tr>
      <w:tr w:rsidR="00CF2A73" w:rsidRPr="00AD0961" w14:paraId="2EB786BF" w14:textId="77777777" w:rsidTr="00CF2A73">
        <w:trPr>
          <w:trHeight w:val="291"/>
        </w:trPr>
        <w:tc>
          <w:tcPr>
            <w:tcW w:w="1274" w:type="pct"/>
            <w:shd w:val="clear" w:color="auto" w:fill="auto"/>
            <w:vAlign w:val="center"/>
          </w:tcPr>
          <w:p w14:paraId="175AAD63" w14:textId="77777777" w:rsidR="004B16B5" w:rsidRPr="00AD0961" w:rsidRDefault="004B16B5" w:rsidP="003D5BE9">
            <w:pPr>
              <w:tabs>
                <w:tab w:val="left" w:pos="-720"/>
              </w:tabs>
              <w:suppressAutoHyphens/>
              <w:spacing w:after="0" w:line="240" w:lineRule="auto"/>
              <w:ind w:right="-5"/>
              <w:rPr>
                <w:rFonts w:eastAsia="Times New Roman" w:cs="Arial"/>
                <w:b/>
                <w:sz w:val="17"/>
                <w:szCs w:val="17"/>
              </w:rPr>
            </w:pPr>
            <w:r w:rsidRPr="00AD0961">
              <w:rPr>
                <w:rFonts w:eastAsia="Times New Roman" w:cs="Arial"/>
                <w:b/>
                <w:sz w:val="17"/>
                <w:szCs w:val="17"/>
              </w:rPr>
              <w:t>Imovina</w:t>
            </w:r>
          </w:p>
        </w:tc>
        <w:tc>
          <w:tcPr>
            <w:tcW w:w="534" w:type="pct"/>
            <w:shd w:val="clear" w:color="auto" w:fill="auto"/>
          </w:tcPr>
          <w:p w14:paraId="0CBA678A" w14:textId="77777777" w:rsidR="004B16B5" w:rsidRPr="00AD0961" w:rsidRDefault="004B16B5" w:rsidP="003D5BE9">
            <w:pPr>
              <w:tabs>
                <w:tab w:val="left" w:pos="-720"/>
              </w:tabs>
              <w:suppressAutoHyphens/>
              <w:spacing w:after="0" w:line="240" w:lineRule="auto"/>
              <w:ind w:right="-5"/>
              <w:jc w:val="right"/>
              <w:rPr>
                <w:rFonts w:eastAsia="Times New Roman" w:cs="Arial"/>
                <w:sz w:val="17"/>
                <w:szCs w:val="17"/>
              </w:rPr>
            </w:pPr>
          </w:p>
        </w:tc>
        <w:tc>
          <w:tcPr>
            <w:tcW w:w="486" w:type="pct"/>
            <w:shd w:val="clear" w:color="auto" w:fill="auto"/>
          </w:tcPr>
          <w:p w14:paraId="6622D1ED" w14:textId="77777777" w:rsidR="004B16B5" w:rsidRPr="00AD0961" w:rsidRDefault="004B16B5" w:rsidP="003D5BE9">
            <w:pPr>
              <w:tabs>
                <w:tab w:val="left" w:pos="-720"/>
              </w:tabs>
              <w:suppressAutoHyphens/>
              <w:spacing w:after="0" w:line="240" w:lineRule="auto"/>
              <w:ind w:right="-5"/>
              <w:jc w:val="right"/>
              <w:rPr>
                <w:rFonts w:eastAsia="Times New Roman" w:cs="Arial"/>
                <w:sz w:val="17"/>
                <w:szCs w:val="17"/>
              </w:rPr>
            </w:pPr>
          </w:p>
        </w:tc>
        <w:tc>
          <w:tcPr>
            <w:tcW w:w="488" w:type="pct"/>
            <w:shd w:val="clear" w:color="auto" w:fill="auto"/>
          </w:tcPr>
          <w:p w14:paraId="60DC6529" w14:textId="77777777" w:rsidR="004B16B5" w:rsidRPr="00AD0961" w:rsidRDefault="004B16B5" w:rsidP="003D5BE9">
            <w:pPr>
              <w:tabs>
                <w:tab w:val="left" w:pos="-720"/>
              </w:tabs>
              <w:suppressAutoHyphens/>
              <w:spacing w:after="0" w:line="240" w:lineRule="auto"/>
              <w:ind w:right="-5"/>
              <w:jc w:val="right"/>
              <w:rPr>
                <w:rFonts w:eastAsia="Times New Roman" w:cs="Arial"/>
                <w:sz w:val="17"/>
                <w:szCs w:val="17"/>
              </w:rPr>
            </w:pPr>
          </w:p>
        </w:tc>
        <w:tc>
          <w:tcPr>
            <w:tcW w:w="521" w:type="pct"/>
            <w:shd w:val="clear" w:color="auto" w:fill="auto"/>
          </w:tcPr>
          <w:p w14:paraId="0221BD99" w14:textId="77777777" w:rsidR="004B16B5" w:rsidRPr="00AD0961" w:rsidRDefault="004B16B5" w:rsidP="003D5BE9">
            <w:pPr>
              <w:tabs>
                <w:tab w:val="left" w:pos="-720"/>
              </w:tabs>
              <w:suppressAutoHyphens/>
              <w:spacing w:after="0" w:line="240" w:lineRule="auto"/>
              <w:ind w:right="-5"/>
              <w:jc w:val="right"/>
              <w:rPr>
                <w:rFonts w:eastAsia="Times New Roman" w:cs="Arial"/>
                <w:sz w:val="17"/>
                <w:szCs w:val="17"/>
              </w:rPr>
            </w:pPr>
          </w:p>
        </w:tc>
        <w:tc>
          <w:tcPr>
            <w:tcW w:w="589" w:type="pct"/>
            <w:shd w:val="clear" w:color="auto" w:fill="auto"/>
          </w:tcPr>
          <w:p w14:paraId="6373590B" w14:textId="77777777" w:rsidR="004B16B5" w:rsidRPr="00AD0961" w:rsidRDefault="004B16B5" w:rsidP="003D5BE9">
            <w:pPr>
              <w:tabs>
                <w:tab w:val="left" w:pos="-720"/>
              </w:tabs>
              <w:suppressAutoHyphens/>
              <w:spacing w:after="0" w:line="240" w:lineRule="auto"/>
              <w:ind w:right="-5"/>
              <w:jc w:val="right"/>
              <w:rPr>
                <w:rFonts w:eastAsia="Times New Roman" w:cs="Arial"/>
                <w:sz w:val="17"/>
                <w:szCs w:val="17"/>
              </w:rPr>
            </w:pPr>
          </w:p>
        </w:tc>
        <w:tc>
          <w:tcPr>
            <w:tcW w:w="554" w:type="pct"/>
            <w:shd w:val="clear" w:color="auto" w:fill="auto"/>
          </w:tcPr>
          <w:p w14:paraId="5B2BD942" w14:textId="77777777" w:rsidR="004B16B5" w:rsidRPr="00AD0961" w:rsidRDefault="004B16B5" w:rsidP="003D5BE9">
            <w:pPr>
              <w:tabs>
                <w:tab w:val="left" w:pos="-720"/>
              </w:tabs>
              <w:suppressAutoHyphens/>
              <w:spacing w:after="0" w:line="360" w:lineRule="auto"/>
              <w:ind w:right="-5"/>
              <w:jc w:val="right"/>
              <w:rPr>
                <w:rFonts w:eastAsia="Times New Roman" w:cs="Arial"/>
                <w:sz w:val="17"/>
                <w:szCs w:val="17"/>
              </w:rPr>
            </w:pPr>
          </w:p>
        </w:tc>
        <w:tc>
          <w:tcPr>
            <w:tcW w:w="555" w:type="pct"/>
            <w:shd w:val="clear" w:color="auto" w:fill="auto"/>
          </w:tcPr>
          <w:p w14:paraId="3C3A96CA" w14:textId="77777777" w:rsidR="004B16B5" w:rsidRPr="00AD0961" w:rsidRDefault="004B16B5" w:rsidP="003D5BE9">
            <w:pPr>
              <w:tabs>
                <w:tab w:val="left" w:pos="-720"/>
              </w:tabs>
              <w:suppressAutoHyphens/>
              <w:spacing w:after="0" w:line="240" w:lineRule="auto"/>
              <w:ind w:right="-5"/>
              <w:jc w:val="right"/>
              <w:rPr>
                <w:rFonts w:eastAsia="Times New Roman" w:cs="Arial"/>
                <w:sz w:val="17"/>
                <w:szCs w:val="17"/>
              </w:rPr>
            </w:pPr>
          </w:p>
        </w:tc>
      </w:tr>
      <w:tr w:rsidR="00CF2A73" w:rsidRPr="00AD0961" w14:paraId="4F9E5D2E" w14:textId="77777777" w:rsidTr="00CF2A73">
        <w:trPr>
          <w:trHeight w:val="424"/>
        </w:trPr>
        <w:tc>
          <w:tcPr>
            <w:tcW w:w="1274" w:type="pct"/>
            <w:shd w:val="clear" w:color="auto" w:fill="auto"/>
            <w:vAlign w:val="center"/>
          </w:tcPr>
          <w:p w14:paraId="51B90C2D"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Novčana sredstva i računi kod banaka</w:t>
            </w:r>
          </w:p>
        </w:tc>
        <w:tc>
          <w:tcPr>
            <w:tcW w:w="534" w:type="pct"/>
            <w:tcBorders>
              <w:top w:val="nil"/>
              <w:left w:val="nil"/>
              <w:bottom w:val="nil"/>
              <w:right w:val="nil"/>
            </w:tcBorders>
            <w:shd w:val="clear" w:color="auto" w:fill="auto"/>
            <w:vAlign w:val="bottom"/>
          </w:tcPr>
          <w:p w14:paraId="4314FC6E" w14:textId="2DE31D10"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551</w:t>
            </w:r>
          </w:p>
        </w:tc>
        <w:tc>
          <w:tcPr>
            <w:tcW w:w="486" w:type="pct"/>
            <w:tcBorders>
              <w:top w:val="nil"/>
              <w:left w:val="nil"/>
              <w:bottom w:val="nil"/>
              <w:right w:val="nil"/>
            </w:tcBorders>
            <w:shd w:val="clear" w:color="auto" w:fill="auto"/>
            <w:vAlign w:val="bottom"/>
          </w:tcPr>
          <w:p w14:paraId="1724D8E3" w14:textId="05E1F898"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7BA13688" w14:textId="330426DC"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nil"/>
              <w:right w:val="nil"/>
            </w:tcBorders>
            <w:shd w:val="clear" w:color="auto" w:fill="auto"/>
            <w:vAlign w:val="bottom"/>
          </w:tcPr>
          <w:p w14:paraId="72B5F6D7" w14:textId="3C593939"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nil"/>
              <w:right w:val="nil"/>
            </w:tcBorders>
            <w:shd w:val="clear" w:color="auto" w:fill="auto"/>
            <w:vAlign w:val="bottom"/>
          </w:tcPr>
          <w:p w14:paraId="49CB84A0" w14:textId="6896CDDF"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bottom w:val="nil"/>
              <w:right w:val="nil"/>
            </w:tcBorders>
            <w:shd w:val="clear" w:color="auto" w:fill="auto"/>
            <w:vAlign w:val="bottom"/>
          </w:tcPr>
          <w:p w14:paraId="1FABC4F8" w14:textId="439FBA28"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490.695</w:t>
            </w:r>
          </w:p>
        </w:tc>
        <w:tc>
          <w:tcPr>
            <w:tcW w:w="555" w:type="pct"/>
            <w:tcBorders>
              <w:top w:val="nil"/>
              <w:left w:val="nil"/>
              <w:bottom w:val="nil"/>
              <w:right w:val="nil"/>
            </w:tcBorders>
            <w:shd w:val="clear" w:color="auto" w:fill="auto"/>
            <w:vAlign w:val="bottom"/>
          </w:tcPr>
          <w:p w14:paraId="1BB02594" w14:textId="05E72566"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491.246</w:t>
            </w:r>
          </w:p>
        </w:tc>
      </w:tr>
      <w:tr w:rsidR="00CF2A73" w:rsidRPr="00AD0961" w14:paraId="07C5EA5D" w14:textId="77777777" w:rsidTr="00CF2A73">
        <w:trPr>
          <w:trHeight w:val="217"/>
        </w:trPr>
        <w:tc>
          <w:tcPr>
            <w:tcW w:w="1274" w:type="pct"/>
            <w:shd w:val="clear" w:color="auto" w:fill="auto"/>
            <w:vAlign w:val="center"/>
          </w:tcPr>
          <w:p w14:paraId="09699351"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Depoziti kod drugih banaka</w:t>
            </w:r>
          </w:p>
        </w:tc>
        <w:tc>
          <w:tcPr>
            <w:tcW w:w="534" w:type="pct"/>
            <w:tcBorders>
              <w:top w:val="nil"/>
              <w:left w:val="nil"/>
              <w:bottom w:val="nil"/>
              <w:right w:val="nil"/>
            </w:tcBorders>
            <w:shd w:val="clear" w:color="auto" w:fill="auto"/>
            <w:vAlign w:val="bottom"/>
          </w:tcPr>
          <w:p w14:paraId="32454997" w14:textId="7D3C2633"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bottom w:val="nil"/>
              <w:right w:val="nil"/>
            </w:tcBorders>
            <w:shd w:val="clear" w:color="auto" w:fill="auto"/>
            <w:vAlign w:val="bottom"/>
          </w:tcPr>
          <w:p w14:paraId="2725046B" w14:textId="167C5660"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23.871</w:t>
            </w:r>
          </w:p>
        </w:tc>
        <w:tc>
          <w:tcPr>
            <w:tcW w:w="488" w:type="pct"/>
            <w:tcBorders>
              <w:top w:val="nil"/>
              <w:left w:val="nil"/>
              <w:bottom w:val="nil"/>
              <w:right w:val="nil"/>
            </w:tcBorders>
            <w:shd w:val="clear" w:color="auto" w:fill="auto"/>
            <w:vAlign w:val="bottom"/>
          </w:tcPr>
          <w:p w14:paraId="52273930" w14:textId="1860DAB4"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nil"/>
              <w:right w:val="nil"/>
            </w:tcBorders>
            <w:shd w:val="clear" w:color="auto" w:fill="auto"/>
            <w:vAlign w:val="bottom"/>
          </w:tcPr>
          <w:p w14:paraId="45C9C8BE" w14:textId="29028677"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nil"/>
              <w:right w:val="nil"/>
            </w:tcBorders>
            <w:shd w:val="clear" w:color="auto" w:fill="auto"/>
            <w:vAlign w:val="bottom"/>
          </w:tcPr>
          <w:p w14:paraId="692706D9" w14:textId="0C23F835"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bottom w:val="nil"/>
              <w:right w:val="nil"/>
            </w:tcBorders>
            <w:shd w:val="clear" w:color="auto" w:fill="auto"/>
            <w:vAlign w:val="bottom"/>
          </w:tcPr>
          <w:p w14:paraId="193EAD44" w14:textId="21057BB8"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1</w:t>
            </w:r>
          </w:p>
        </w:tc>
        <w:tc>
          <w:tcPr>
            <w:tcW w:w="555" w:type="pct"/>
            <w:tcBorders>
              <w:top w:val="nil"/>
              <w:left w:val="nil"/>
              <w:bottom w:val="nil"/>
              <w:right w:val="nil"/>
            </w:tcBorders>
            <w:shd w:val="clear" w:color="auto" w:fill="auto"/>
            <w:vAlign w:val="bottom"/>
          </w:tcPr>
          <w:p w14:paraId="1489DBE7" w14:textId="33BC1F9F"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23.872</w:t>
            </w:r>
          </w:p>
        </w:tc>
      </w:tr>
      <w:tr w:rsidR="00CF2A73" w:rsidRPr="00AD0961" w14:paraId="0541193A" w14:textId="77777777" w:rsidTr="00CF2A73">
        <w:trPr>
          <w:trHeight w:val="166"/>
        </w:trPr>
        <w:tc>
          <w:tcPr>
            <w:tcW w:w="1274" w:type="pct"/>
            <w:shd w:val="clear" w:color="auto" w:fill="auto"/>
            <w:vAlign w:val="center"/>
          </w:tcPr>
          <w:p w14:paraId="4EBCA32A"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Krediti financijskim institucijama</w:t>
            </w:r>
          </w:p>
        </w:tc>
        <w:tc>
          <w:tcPr>
            <w:tcW w:w="534" w:type="pct"/>
            <w:tcBorders>
              <w:top w:val="nil"/>
              <w:left w:val="nil"/>
              <w:bottom w:val="nil"/>
              <w:right w:val="nil"/>
            </w:tcBorders>
            <w:shd w:val="clear" w:color="auto" w:fill="auto"/>
            <w:vAlign w:val="bottom"/>
          </w:tcPr>
          <w:p w14:paraId="35CC50A2" w14:textId="0BECF36C"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652.666</w:t>
            </w:r>
          </w:p>
        </w:tc>
        <w:tc>
          <w:tcPr>
            <w:tcW w:w="486" w:type="pct"/>
            <w:tcBorders>
              <w:top w:val="nil"/>
              <w:left w:val="nil"/>
              <w:bottom w:val="nil"/>
              <w:right w:val="nil"/>
            </w:tcBorders>
            <w:shd w:val="clear" w:color="auto" w:fill="auto"/>
            <w:vAlign w:val="bottom"/>
          </w:tcPr>
          <w:p w14:paraId="7A3E308A" w14:textId="5892920E"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836.489</w:t>
            </w:r>
          </w:p>
        </w:tc>
        <w:tc>
          <w:tcPr>
            <w:tcW w:w="488" w:type="pct"/>
            <w:tcBorders>
              <w:top w:val="nil"/>
              <w:left w:val="nil"/>
              <w:bottom w:val="nil"/>
              <w:right w:val="nil"/>
            </w:tcBorders>
            <w:shd w:val="clear" w:color="auto" w:fill="auto"/>
            <w:vAlign w:val="bottom"/>
          </w:tcPr>
          <w:p w14:paraId="3ED9083B" w14:textId="56D33CFC"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1.873.910</w:t>
            </w:r>
          </w:p>
        </w:tc>
        <w:tc>
          <w:tcPr>
            <w:tcW w:w="521" w:type="pct"/>
            <w:tcBorders>
              <w:top w:val="nil"/>
              <w:left w:val="nil"/>
              <w:bottom w:val="nil"/>
              <w:right w:val="nil"/>
            </w:tcBorders>
            <w:shd w:val="clear" w:color="auto" w:fill="auto"/>
            <w:vAlign w:val="bottom"/>
          </w:tcPr>
          <w:p w14:paraId="271DA111" w14:textId="6306EBBB"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2.926.641</w:t>
            </w:r>
          </w:p>
        </w:tc>
        <w:tc>
          <w:tcPr>
            <w:tcW w:w="589" w:type="pct"/>
            <w:tcBorders>
              <w:top w:val="nil"/>
              <w:left w:val="nil"/>
              <w:bottom w:val="nil"/>
              <w:right w:val="nil"/>
            </w:tcBorders>
            <w:shd w:val="clear" w:color="auto" w:fill="auto"/>
            <w:vAlign w:val="bottom"/>
          </w:tcPr>
          <w:p w14:paraId="36B8D6A7" w14:textId="3C66DF6B"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5.562.538</w:t>
            </w:r>
          </w:p>
        </w:tc>
        <w:tc>
          <w:tcPr>
            <w:tcW w:w="554" w:type="pct"/>
            <w:tcBorders>
              <w:top w:val="nil"/>
              <w:left w:val="nil"/>
              <w:bottom w:val="nil"/>
              <w:right w:val="nil"/>
            </w:tcBorders>
            <w:shd w:val="clear" w:color="auto" w:fill="auto"/>
            <w:vAlign w:val="bottom"/>
          </w:tcPr>
          <w:p w14:paraId="6C0F9776" w14:textId="7D585745"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36.867</w:t>
            </w:r>
          </w:p>
        </w:tc>
        <w:tc>
          <w:tcPr>
            <w:tcW w:w="555" w:type="pct"/>
            <w:tcBorders>
              <w:top w:val="nil"/>
              <w:left w:val="nil"/>
              <w:bottom w:val="nil"/>
              <w:right w:val="nil"/>
            </w:tcBorders>
            <w:shd w:val="clear" w:color="auto" w:fill="auto"/>
            <w:vAlign w:val="bottom"/>
          </w:tcPr>
          <w:p w14:paraId="2D327F0E" w14:textId="752FD184"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11.889.111</w:t>
            </w:r>
          </w:p>
        </w:tc>
      </w:tr>
      <w:tr w:rsidR="00CF2A73" w:rsidRPr="00AD0961" w14:paraId="35A0E651" w14:textId="77777777" w:rsidTr="00CF2A73">
        <w:trPr>
          <w:trHeight w:val="94"/>
        </w:trPr>
        <w:tc>
          <w:tcPr>
            <w:tcW w:w="1274" w:type="pct"/>
            <w:shd w:val="clear" w:color="auto" w:fill="auto"/>
            <w:vAlign w:val="center"/>
          </w:tcPr>
          <w:p w14:paraId="2D717115"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Krediti ostalim korisnicima</w:t>
            </w:r>
          </w:p>
        </w:tc>
        <w:tc>
          <w:tcPr>
            <w:tcW w:w="534" w:type="pct"/>
            <w:tcBorders>
              <w:top w:val="nil"/>
              <w:left w:val="nil"/>
              <w:bottom w:val="nil"/>
              <w:right w:val="nil"/>
            </w:tcBorders>
            <w:shd w:val="clear" w:color="auto" w:fill="auto"/>
            <w:vAlign w:val="bottom"/>
          </w:tcPr>
          <w:p w14:paraId="740BF024" w14:textId="13106ADF"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1.517.371</w:t>
            </w:r>
          </w:p>
        </w:tc>
        <w:tc>
          <w:tcPr>
            <w:tcW w:w="486" w:type="pct"/>
            <w:tcBorders>
              <w:top w:val="nil"/>
              <w:left w:val="nil"/>
              <w:bottom w:val="nil"/>
              <w:right w:val="nil"/>
            </w:tcBorders>
            <w:shd w:val="clear" w:color="auto" w:fill="auto"/>
            <w:vAlign w:val="bottom"/>
          </w:tcPr>
          <w:p w14:paraId="09089A28" w14:textId="7DE45F50"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824.285</w:t>
            </w:r>
          </w:p>
        </w:tc>
        <w:tc>
          <w:tcPr>
            <w:tcW w:w="488" w:type="pct"/>
            <w:tcBorders>
              <w:top w:val="nil"/>
              <w:left w:val="nil"/>
              <w:bottom w:val="nil"/>
              <w:right w:val="nil"/>
            </w:tcBorders>
            <w:shd w:val="clear" w:color="auto" w:fill="auto"/>
            <w:vAlign w:val="bottom"/>
          </w:tcPr>
          <w:p w14:paraId="2A0E946C" w14:textId="7CF3B965"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1.081.418</w:t>
            </w:r>
          </w:p>
        </w:tc>
        <w:tc>
          <w:tcPr>
            <w:tcW w:w="521" w:type="pct"/>
            <w:tcBorders>
              <w:top w:val="nil"/>
              <w:left w:val="nil"/>
              <w:bottom w:val="nil"/>
              <w:right w:val="nil"/>
            </w:tcBorders>
            <w:shd w:val="clear" w:color="auto" w:fill="auto"/>
            <w:vAlign w:val="bottom"/>
          </w:tcPr>
          <w:p w14:paraId="0C60CD4D" w14:textId="31623504"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1.506.407</w:t>
            </w:r>
          </w:p>
        </w:tc>
        <w:tc>
          <w:tcPr>
            <w:tcW w:w="589" w:type="pct"/>
            <w:tcBorders>
              <w:top w:val="nil"/>
              <w:left w:val="nil"/>
              <w:bottom w:val="nil"/>
              <w:right w:val="nil"/>
            </w:tcBorders>
            <w:shd w:val="clear" w:color="auto" w:fill="auto"/>
            <w:vAlign w:val="bottom"/>
          </w:tcPr>
          <w:p w14:paraId="78B0C32F" w14:textId="3BC8C6C7"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6.522.314</w:t>
            </w:r>
          </w:p>
        </w:tc>
        <w:tc>
          <w:tcPr>
            <w:tcW w:w="554" w:type="pct"/>
            <w:tcBorders>
              <w:top w:val="nil"/>
              <w:left w:val="nil"/>
              <w:bottom w:val="nil"/>
              <w:right w:val="nil"/>
            </w:tcBorders>
            <w:shd w:val="clear" w:color="auto" w:fill="auto"/>
            <w:vAlign w:val="bottom"/>
          </w:tcPr>
          <w:p w14:paraId="303CD577" w14:textId="344AB7C2"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59.399</w:t>
            </w:r>
          </w:p>
        </w:tc>
        <w:tc>
          <w:tcPr>
            <w:tcW w:w="555" w:type="pct"/>
            <w:tcBorders>
              <w:top w:val="nil"/>
              <w:left w:val="nil"/>
              <w:bottom w:val="nil"/>
              <w:right w:val="nil"/>
            </w:tcBorders>
            <w:shd w:val="clear" w:color="auto" w:fill="auto"/>
            <w:vAlign w:val="bottom"/>
          </w:tcPr>
          <w:p w14:paraId="28D60595" w14:textId="6FED24F4" w:rsidR="00AD0961" w:rsidRPr="00CF2A73" w:rsidRDefault="00AD0961" w:rsidP="00AD0961">
            <w:pPr>
              <w:tabs>
                <w:tab w:val="left" w:pos="-720"/>
              </w:tabs>
              <w:suppressAutoHyphens/>
              <w:spacing w:after="0" w:line="240" w:lineRule="exact"/>
              <w:ind w:right="-5"/>
              <w:jc w:val="right"/>
              <w:rPr>
                <w:rFonts w:eastAsia="Times New Roman" w:cs="Arial"/>
                <w:sz w:val="18"/>
                <w:szCs w:val="18"/>
              </w:rPr>
            </w:pPr>
            <w:r w:rsidRPr="00CF2A73">
              <w:rPr>
                <w:rFonts w:ascii="Calibri" w:hAnsi="Calibri"/>
                <w:color w:val="000000"/>
                <w:sz w:val="18"/>
                <w:szCs w:val="18"/>
              </w:rPr>
              <w:t>11.511.194</w:t>
            </w:r>
          </w:p>
        </w:tc>
      </w:tr>
      <w:tr w:rsidR="00CF2A73" w:rsidRPr="00AD0961" w14:paraId="464C4B5C" w14:textId="77777777" w:rsidTr="00CF2A73">
        <w:trPr>
          <w:trHeight w:val="643"/>
        </w:trPr>
        <w:tc>
          <w:tcPr>
            <w:tcW w:w="1274" w:type="pct"/>
            <w:shd w:val="clear" w:color="auto" w:fill="auto"/>
            <w:vAlign w:val="center"/>
          </w:tcPr>
          <w:p w14:paraId="78B08C50"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Financijska imovina po fer vrijednosti kroz izvještaj o dobiti i gubitku</w:t>
            </w:r>
          </w:p>
        </w:tc>
        <w:tc>
          <w:tcPr>
            <w:tcW w:w="534" w:type="pct"/>
            <w:tcBorders>
              <w:top w:val="nil"/>
              <w:left w:val="nil"/>
              <w:bottom w:val="nil"/>
              <w:right w:val="nil"/>
            </w:tcBorders>
            <w:shd w:val="clear" w:color="auto" w:fill="auto"/>
            <w:vAlign w:val="bottom"/>
          </w:tcPr>
          <w:p w14:paraId="2803BF91" w14:textId="260C3E65"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bottom w:val="nil"/>
              <w:right w:val="nil"/>
            </w:tcBorders>
            <w:shd w:val="clear" w:color="auto" w:fill="auto"/>
            <w:vAlign w:val="bottom"/>
          </w:tcPr>
          <w:p w14:paraId="32D8E3BC" w14:textId="45EB7A87"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45A576C4" w14:textId="250B732C"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nil"/>
              <w:right w:val="nil"/>
            </w:tcBorders>
            <w:shd w:val="clear" w:color="auto" w:fill="auto"/>
            <w:vAlign w:val="bottom"/>
          </w:tcPr>
          <w:p w14:paraId="77CA2460" w14:textId="262F7EA5"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nil"/>
              <w:right w:val="nil"/>
            </w:tcBorders>
            <w:shd w:val="clear" w:color="auto" w:fill="auto"/>
            <w:vAlign w:val="bottom"/>
          </w:tcPr>
          <w:p w14:paraId="20E27BA6" w14:textId="13CE9A90"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bottom w:val="nil"/>
              <w:right w:val="nil"/>
            </w:tcBorders>
            <w:shd w:val="clear" w:color="auto" w:fill="auto"/>
            <w:vAlign w:val="bottom"/>
          </w:tcPr>
          <w:p w14:paraId="2BAE640D" w14:textId="0925BFA5"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286</w:t>
            </w:r>
          </w:p>
        </w:tc>
        <w:tc>
          <w:tcPr>
            <w:tcW w:w="555" w:type="pct"/>
            <w:tcBorders>
              <w:top w:val="nil"/>
              <w:left w:val="nil"/>
              <w:bottom w:val="nil"/>
              <w:right w:val="nil"/>
            </w:tcBorders>
            <w:shd w:val="clear" w:color="auto" w:fill="auto"/>
            <w:vAlign w:val="bottom"/>
          </w:tcPr>
          <w:p w14:paraId="5C410AE8" w14:textId="11B1FFC1"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286</w:t>
            </w:r>
          </w:p>
        </w:tc>
      </w:tr>
      <w:tr w:rsidR="00CF2A73" w:rsidRPr="00AD0961" w14:paraId="04DF9B48" w14:textId="77777777" w:rsidTr="00CF2A73">
        <w:trPr>
          <w:trHeight w:val="217"/>
        </w:trPr>
        <w:tc>
          <w:tcPr>
            <w:tcW w:w="1274" w:type="pct"/>
            <w:shd w:val="clear" w:color="auto" w:fill="auto"/>
            <w:vAlign w:val="center"/>
          </w:tcPr>
          <w:p w14:paraId="77F3E388"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Imovina raspoloživa za prodaju</w:t>
            </w:r>
          </w:p>
        </w:tc>
        <w:tc>
          <w:tcPr>
            <w:tcW w:w="534" w:type="pct"/>
            <w:tcBorders>
              <w:top w:val="nil"/>
              <w:left w:val="nil"/>
              <w:bottom w:val="nil"/>
              <w:right w:val="nil"/>
            </w:tcBorders>
            <w:shd w:val="clear" w:color="auto" w:fill="auto"/>
            <w:vAlign w:val="bottom"/>
          </w:tcPr>
          <w:p w14:paraId="626CD3D0" w14:textId="395B8470"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2.431.379</w:t>
            </w:r>
          </w:p>
        </w:tc>
        <w:tc>
          <w:tcPr>
            <w:tcW w:w="486" w:type="pct"/>
            <w:tcBorders>
              <w:top w:val="nil"/>
              <w:left w:val="nil"/>
              <w:bottom w:val="nil"/>
              <w:right w:val="nil"/>
            </w:tcBorders>
            <w:shd w:val="clear" w:color="auto" w:fill="auto"/>
            <w:vAlign w:val="bottom"/>
          </w:tcPr>
          <w:p w14:paraId="0406B2B3" w14:textId="6E739F68"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1002323B" w14:textId="642083DE"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nil"/>
              <w:right w:val="nil"/>
            </w:tcBorders>
            <w:shd w:val="clear" w:color="auto" w:fill="auto"/>
            <w:vAlign w:val="bottom"/>
          </w:tcPr>
          <w:p w14:paraId="3F4DB390" w14:textId="31750CD9"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nil"/>
              <w:right w:val="nil"/>
            </w:tcBorders>
            <w:shd w:val="clear" w:color="auto" w:fill="auto"/>
            <w:vAlign w:val="bottom"/>
          </w:tcPr>
          <w:p w14:paraId="22EE62A5" w14:textId="65C8F327"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bottom w:val="nil"/>
              <w:right w:val="nil"/>
            </w:tcBorders>
            <w:shd w:val="clear" w:color="auto" w:fill="auto"/>
            <w:vAlign w:val="bottom"/>
          </w:tcPr>
          <w:p w14:paraId="2E4B2AC9" w14:textId="4AB0D08E"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958.655</w:t>
            </w:r>
          </w:p>
        </w:tc>
        <w:tc>
          <w:tcPr>
            <w:tcW w:w="555" w:type="pct"/>
            <w:tcBorders>
              <w:top w:val="nil"/>
              <w:left w:val="nil"/>
              <w:bottom w:val="nil"/>
              <w:right w:val="nil"/>
            </w:tcBorders>
            <w:shd w:val="clear" w:color="auto" w:fill="auto"/>
            <w:vAlign w:val="bottom"/>
          </w:tcPr>
          <w:p w14:paraId="14B52881" w14:textId="63A48D19"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3.390.034</w:t>
            </w:r>
          </w:p>
        </w:tc>
      </w:tr>
      <w:tr w:rsidR="00CF2A73" w:rsidRPr="00AD0961" w14:paraId="251F9A62" w14:textId="77777777" w:rsidTr="00CF2A73">
        <w:trPr>
          <w:trHeight w:val="205"/>
        </w:trPr>
        <w:tc>
          <w:tcPr>
            <w:tcW w:w="1274" w:type="pct"/>
            <w:shd w:val="clear" w:color="auto" w:fill="auto"/>
            <w:vAlign w:val="center"/>
          </w:tcPr>
          <w:p w14:paraId="1154D866"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Imovina koja se drži do dospijeća</w:t>
            </w:r>
          </w:p>
        </w:tc>
        <w:tc>
          <w:tcPr>
            <w:tcW w:w="534" w:type="pct"/>
            <w:tcBorders>
              <w:top w:val="nil"/>
              <w:left w:val="nil"/>
              <w:bottom w:val="nil"/>
              <w:right w:val="nil"/>
            </w:tcBorders>
            <w:shd w:val="clear" w:color="auto" w:fill="auto"/>
            <w:vAlign w:val="bottom"/>
          </w:tcPr>
          <w:p w14:paraId="7EFE8037" w14:textId="559F738A"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bottom w:val="nil"/>
              <w:right w:val="nil"/>
            </w:tcBorders>
            <w:shd w:val="clear" w:color="auto" w:fill="auto"/>
            <w:vAlign w:val="bottom"/>
          </w:tcPr>
          <w:p w14:paraId="0489C2E8" w14:textId="2FC1B549"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3406FAC0" w14:textId="054B32EE"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nil"/>
              <w:right w:val="nil"/>
            </w:tcBorders>
            <w:shd w:val="clear" w:color="auto" w:fill="auto"/>
            <w:vAlign w:val="bottom"/>
          </w:tcPr>
          <w:p w14:paraId="0ACE61A2" w14:textId="214BAD78"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nil"/>
              <w:right w:val="nil"/>
            </w:tcBorders>
            <w:shd w:val="clear" w:color="auto" w:fill="auto"/>
            <w:vAlign w:val="bottom"/>
          </w:tcPr>
          <w:p w14:paraId="2A843B13" w14:textId="1ACE5B24"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1.408</w:t>
            </w:r>
          </w:p>
        </w:tc>
        <w:tc>
          <w:tcPr>
            <w:tcW w:w="554" w:type="pct"/>
            <w:tcBorders>
              <w:top w:val="nil"/>
              <w:left w:val="nil"/>
              <w:bottom w:val="nil"/>
              <w:right w:val="nil"/>
            </w:tcBorders>
            <w:shd w:val="clear" w:color="auto" w:fill="auto"/>
            <w:vAlign w:val="bottom"/>
          </w:tcPr>
          <w:p w14:paraId="2DDB1CB9" w14:textId="6F250E75"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14</w:t>
            </w:r>
          </w:p>
        </w:tc>
        <w:tc>
          <w:tcPr>
            <w:tcW w:w="555" w:type="pct"/>
            <w:tcBorders>
              <w:top w:val="nil"/>
              <w:left w:val="nil"/>
              <w:bottom w:val="nil"/>
              <w:right w:val="nil"/>
            </w:tcBorders>
            <w:shd w:val="clear" w:color="auto" w:fill="auto"/>
            <w:vAlign w:val="bottom"/>
          </w:tcPr>
          <w:p w14:paraId="49E9B05C" w14:textId="0ADE058B"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1.422</w:t>
            </w:r>
          </w:p>
        </w:tc>
      </w:tr>
      <w:tr w:rsidR="00CF2A73" w:rsidRPr="00AD0961" w14:paraId="1E38E47F" w14:textId="77777777" w:rsidTr="00CF2A73">
        <w:trPr>
          <w:trHeight w:val="217"/>
        </w:trPr>
        <w:tc>
          <w:tcPr>
            <w:tcW w:w="1274" w:type="pct"/>
            <w:shd w:val="clear" w:color="auto" w:fill="auto"/>
            <w:vAlign w:val="center"/>
          </w:tcPr>
          <w:p w14:paraId="487256BA"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Ulaganja u pridružena društva</w:t>
            </w:r>
          </w:p>
        </w:tc>
        <w:tc>
          <w:tcPr>
            <w:tcW w:w="534" w:type="pct"/>
            <w:tcBorders>
              <w:top w:val="nil"/>
              <w:left w:val="nil"/>
              <w:bottom w:val="nil"/>
              <w:right w:val="nil"/>
            </w:tcBorders>
            <w:shd w:val="clear" w:color="auto" w:fill="auto"/>
            <w:vAlign w:val="bottom"/>
          </w:tcPr>
          <w:p w14:paraId="6575EF17" w14:textId="1FCE7EB7"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bottom w:val="nil"/>
              <w:right w:val="nil"/>
            </w:tcBorders>
            <w:shd w:val="clear" w:color="auto" w:fill="auto"/>
            <w:vAlign w:val="bottom"/>
          </w:tcPr>
          <w:p w14:paraId="7862372B" w14:textId="5CC20274"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6AEB6973" w14:textId="7F5E941F"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nil"/>
              <w:right w:val="nil"/>
            </w:tcBorders>
            <w:shd w:val="clear" w:color="auto" w:fill="auto"/>
            <w:vAlign w:val="bottom"/>
          </w:tcPr>
          <w:p w14:paraId="6439524B" w14:textId="4CDCCAD0"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nil"/>
              <w:right w:val="nil"/>
            </w:tcBorders>
            <w:shd w:val="clear" w:color="auto" w:fill="auto"/>
            <w:vAlign w:val="bottom"/>
          </w:tcPr>
          <w:p w14:paraId="0616E848" w14:textId="11636277"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bottom w:val="nil"/>
              <w:right w:val="nil"/>
            </w:tcBorders>
            <w:shd w:val="clear" w:color="auto" w:fill="auto"/>
            <w:vAlign w:val="bottom"/>
          </w:tcPr>
          <w:p w14:paraId="37D9CE40" w14:textId="251B8589"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55" w:type="pct"/>
            <w:tcBorders>
              <w:top w:val="nil"/>
              <w:left w:val="nil"/>
              <w:bottom w:val="nil"/>
              <w:right w:val="nil"/>
            </w:tcBorders>
            <w:shd w:val="clear" w:color="auto" w:fill="auto"/>
            <w:vAlign w:val="bottom"/>
          </w:tcPr>
          <w:p w14:paraId="39CA3AA7" w14:textId="16AB1C8C"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w:t>
            </w:r>
          </w:p>
        </w:tc>
      </w:tr>
      <w:tr w:rsidR="00CF2A73" w:rsidRPr="00AD0961" w14:paraId="4D719140" w14:textId="77777777" w:rsidTr="00CF2A73">
        <w:trPr>
          <w:trHeight w:val="424"/>
        </w:trPr>
        <w:tc>
          <w:tcPr>
            <w:tcW w:w="1274" w:type="pct"/>
            <w:shd w:val="clear" w:color="auto" w:fill="auto"/>
            <w:vAlign w:val="center"/>
          </w:tcPr>
          <w:p w14:paraId="07A2AF16"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Nekretnine, postrojenja i oprema i nematerijalna imovina</w:t>
            </w:r>
          </w:p>
        </w:tc>
        <w:tc>
          <w:tcPr>
            <w:tcW w:w="534" w:type="pct"/>
            <w:tcBorders>
              <w:top w:val="nil"/>
              <w:left w:val="nil"/>
              <w:bottom w:val="nil"/>
              <w:right w:val="nil"/>
            </w:tcBorders>
            <w:shd w:val="clear" w:color="auto" w:fill="auto"/>
            <w:vAlign w:val="bottom"/>
          </w:tcPr>
          <w:p w14:paraId="07239565" w14:textId="7E6A9628"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bottom w:val="nil"/>
              <w:right w:val="nil"/>
            </w:tcBorders>
            <w:shd w:val="clear" w:color="auto" w:fill="auto"/>
            <w:vAlign w:val="bottom"/>
          </w:tcPr>
          <w:p w14:paraId="7B26F238" w14:textId="1C42CBE0"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202746D5" w14:textId="50A09A21"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nil"/>
              <w:right w:val="nil"/>
            </w:tcBorders>
            <w:shd w:val="clear" w:color="auto" w:fill="auto"/>
            <w:vAlign w:val="bottom"/>
          </w:tcPr>
          <w:p w14:paraId="1DD50FDB" w14:textId="5E13F735"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nil"/>
              <w:right w:val="nil"/>
            </w:tcBorders>
            <w:shd w:val="clear" w:color="auto" w:fill="auto"/>
            <w:vAlign w:val="bottom"/>
          </w:tcPr>
          <w:p w14:paraId="11CDFA0F" w14:textId="6DE1A034"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bottom w:val="nil"/>
              <w:right w:val="nil"/>
            </w:tcBorders>
            <w:shd w:val="clear" w:color="auto" w:fill="auto"/>
            <w:vAlign w:val="bottom"/>
          </w:tcPr>
          <w:p w14:paraId="25FEDF74" w14:textId="40742FFD"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57.305</w:t>
            </w:r>
          </w:p>
        </w:tc>
        <w:tc>
          <w:tcPr>
            <w:tcW w:w="555" w:type="pct"/>
            <w:tcBorders>
              <w:top w:val="nil"/>
              <w:left w:val="nil"/>
              <w:bottom w:val="nil"/>
              <w:right w:val="nil"/>
            </w:tcBorders>
            <w:shd w:val="clear" w:color="auto" w:fill="auto"/>
            <w:vAlign w:val="bottom"/>
          </w:tcPr>
          <w:p w14:paraId="3DCF1BFD" w14:textId="756798BA"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57.305</w:t>
            </w:r>
          </w:p>
        </w:tc>
      </w:tr>
      <w:tr w:rsidR="00CF2A73" w:rsidRPr="00AD0961" w14:paraId="3EC902EC" w14:textId="77777777" w:rsidTr="00CF2A73">
        <w:trPr>
          <w:trHeight w:val="436"/>
        </w:trPr>
        <w:tc>
          <w:tcPr>
            <w:tcW w:w="1274" w:type="pct"/>
            <w:shd w:val="clear" w:color="auto" w:fill="auto"/>
            <w:vAlign w:val="center"/>
          </w:tcPr>
          <w:p w14:paraId="18DE2403"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Dugotrajna imovina namijenjena prodaji</w:t>
            </w:r>
          </w:p>
        </w:tc>
        <w:tc>
          <w:tcPr>
            <w:tcW w:w="534" w:type="pct"/>
            <w:tcBorders>
              <w:top w:val="nil"/>
              <w:left w:val="nil"/>
              <w:right w:val="nil"/>
            </w:tcBorders>
            <w:shd w:val="clear" w:color="auto" w:fill="auto"/>
            <w:vAlign w:val="bottom"/>
          </w:tcPr>
          <w:p w14:paraId="1D183FD0" w14:textId="17BAE5FF"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right w:val="nil"/>
            </w:tcBorders>
            <w:shd w:val="clear" w:color="auto" w:fill="auto"/>
            <w:vAlign w:val="bottom"/>
          </w:tcPr>
          <w:p w14:paraId="4654D54B" w14:textId="07176B4D"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right w:val="nil"/>
            </w:tcBorders>
            <w:shd w:val="clear" w:color="auto" w:fill="auto"/>
            <w:vAlign w:val="bottom"/>
          </w:tcPr>
          <w:p w14:paraId="3F878A11" w14:textId="3B878305"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right w:val="nil"/>
            </w:tcBorders>
            <w:shd w:val="clear" w:color="auto" w:fill="auto"/>
            <w:vAlign w:val="bottom"/>
          </w:tcPr>
          <w:p w14:paraId="4DC896A0" w14:textId="798D72D7"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right w:val="nil"/>
            </w:tcBorders>
            <w:shd w:val="clear" w:color="auto" w:fill="auto"/>
            <w:vAlign w:val="bottom"/>
          </w:tcPr>
          <w:p w14:paraId="234759E9" w14:textId="18C16878"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right w:val="nil"/>
            </w:tcBorders>
            <w:shd w:val="clear" w:color="auto" w:fill="auto"/>
            <w:vAlign w:val="bottom"/>
          </w:tcPr>
          <w:p w14:paraId="0350F4B3" w14:textId="59246D6B"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17.230</w:t>
            </w:r>
          </w:p>
        </w:tc>
        <w:tc>
          <w:tcPr>
            <w:tcW w:w="555" w:type="pct"/>
            <w:tcBorders>
              <w:top w:val="nil"/>
              <w:left w:val="nil"/>
              <w:right w:val="nil"/>
            </w:tcBorders>
            <w:shd w:val="clear" w:color="auto" w:fill="auto"/>
            <w:vAlign w:val="bottom"/>
          </w:tcPr>
          <w:p w14:paraId="53C81B38" w14:textId="76E53D04"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17.230</w:t>
            </w:r>
          </w:p>
        </w:tc>
      </w:tr>
      <w:tr w:rsidR="00CF2A73" w:rsidRPr="00AD0961" w14:paraId="2829D36E" w14:textId="77777777" w:rsidTr="00CF2A73">
        <w:trPr>
          <w:trHeight w:val="205"/>
        </w:trPr>
        <w:tc>
          <w:tcPr>
            <w:tcW w:w="1274" w:type="pct"/>
            <w:shd w:val="clear" w:color="auto" w:fill="auto"/>
            <w:vAlign w:val="center"/>
          </w:tcPr>
          <w:p w14:paraId="4081DE78"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Ostala imovina</w:t>
            </w:r>
          </w:p>
        </w:tc>
        <w:tc>
          <w:tcPr>
            <w:tcW w:w="534" w:type="pct"/>
            <w:tcBorders>
              <w:top w:val="nil"/>
              <w:left w:val="nil"/>
              <w:right w:val="nil"/>
            </w:tcBorders>
            <w:shd w:val="clear" w:color="auto" w:fill="auto"/>
            <w:vAlign w:val="bottom"/>
          </w:tcPr>
          <w:p w14:paraId="5140670D" w14:textId="0ABF07A7"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right w:val="nil"/>
            </w:tcBorders>
            <w:shd w:val="clear" w:color="auto" w:fill="auto"/>
            <w:vAlign w:val="bottom"/>
          </w:tcPr>
          <w:p w14:paraId="2EBE462D" w14:textId="42708F47"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right w:val="nil"/>
            </w:tcBorders>
            <w:shd w:val="clear" w:color="auto" w:fill="auto"/>
            <w:vAlign w:val="bottom"/>
          </w:tcPr>
          <w:p w14:paraId="5496E7C4" w14:textId="63ECAB7F"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right w:val="nil"/>
            </w:tcBorders>
            <w:shd w:val="clear" w:color="auto" w:fill="auto"/>
            <w:vAlign w:val="bottom"/>
          </w:tcPr>
          <w:p w14:paraId="3C46259E" w14:textId="77E4A9F8"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right w:val="nil"/>
            </w:tcBorders>
            <w:shd w:val="clear" w:color="auto" w:fill="auto"/>
            <w:vAlign w:val="bottom"/>
          </w:tcPr>
          <w:p w14:paraId="6A1DE8F3" w14:textId="76C48068"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right w:val="nil"/>
            </w:tcBorders>
            <w:shd w:val="clear" w:color="auto" w:fill="auto"/>
            <w:vAlign w:val="bottom"/>
          </w:tcPr>
          <w:p w14:paraId="187EA838" w14:textId="06588C44"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9.122</w:t>
            </w:r>
          </w:p>
        </w:tc>
        <w:tc>
          <w:tcPr>
            <w:tcW w:w="555" w:type="pct"/>
            <w:tcBorders>
              <w:top w:val="nil"/>
              <w:left w:val="nil"/>
              <w:right w:val="nil"/>
            </w:tcBorders>
            <w:shd w:val="clear" w:color="auto" w:fill="auto"/>
            <w:vAlign w:val="bottom"/>
          </w:tcPr>
          <w:p w14:paraId="4E081C13" w14:textId="25808902"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9.122</w:t>
            </w:r>
          </w:p>
        </w:tc>
      </w:tr>
      <w:tr w:rsidR="00CF2A73" w:rsidRPr="00AD0961" w14:paraId="6ED54BA9" w14:textId="77777777" w:rsidTr="00CF2A73">
        <w:trPr>
          <w:trHeight w:val="80"/>
        </w:trPr>
        <w:tc>
          <w:tcPr>
            <w:tcW w:w="1274" w:type="pct"/>
            <w:shd w:val="clear" w:color="auto" w:fill="auto"/>
            <w:vAlign w:val="center"/>
          </w:tcPr>
          <w:p w14:paraId="67A0E439" w14:textId="77777777" w:rsidR="004B16B5" w:rsidRPr="00AD0961" w:rsidRDefault="004B16B5" w:rsidP="003D5BE9">
            <w:pPr>
              <w:tabs>
                <w:tab w:val="left" w:pos="-720"/>
              </w:tabs>
              <w:suppressAutoHyphens/>
              <w:spacing w:after="0" w:line="140" w:lineRule="exact"/>
              <w:ind w:right="-6"/>
              <w:rPr>
                <w:rFonts w:eastAsia="Times New Roman" w:cs="Arial"/>
                <w:sz w:val="17"/>
                <w:szCs w:val="17"/>
              </w:rPr>
            </w:pPr>
          </w:p>
        </w:tc>
        <w:tc>
          <w:tcPr>
            <w:tcW w:w="534" w:type="pct"/>
            <w:tcBorders>
              <w:bottom w:val="single" w:sz="6" w:space="0" w:color="auto"/>
            </w:tcBorders>
            <w:shd w:val="clear" w:color="auto" w:fill="auto"/>
            <w:vAlign w:val="center"/>
          </w:tcPr>
          <w:p w14:paraId="22604091" w14:textId="77777777" w:rsidR="004B16B5" w:rsidRPr="00CF2A73" w:rsidRDefault="004B16B5" w:rsidP="003D5BE9">
            <w:pPr>
              <w:tabs>
                <w:tab w:val="left" w:pos="-720"/>
              </w:tabs>
              <w:suppressAutoHyphens/>
              <w:spacing w:after="0" w:line="140" w:lineRule="exact"/>
              <w:ind w:right="-6"/>
              <w:jc w:val="right"/>
              <w:rPr>
                <w:rFonts w:eastAsia="Times New Roman" w:cs="Arial"/>
                <w:sz w:val="18"/>
                <w:szCs w:val="18"/>
              </w:rPr>
            </w:pPr>
          </w:p>
        </w:tc>
        <w:tc>
          <w:tcPr>
            <w:tcW w:w="486" w:type="pct"/>
            <w:tcBorders>
              <w:bottom w:val="single" w:sz="6" w:space="0" w:color="auto"/>
            </w:tcBorders>
            <w:shd w:val="clear" w:color="auto" w:fill="auto"/>
            <w:vAlign w:val="center"/>
          </w:tcPr>
          <w:p w14:paraId="6199B6B1" w14:textId="77777777" w:rsidR="004B16B5" w:rsidRPr="00CF2A73" w:rsidRDefault="004B16B5" w:rsidP="003D5BE9">
            <w:pPr>
              <w:tabs>
                <w:tab w:val="left" w:pos="-720"/>
              </w:tabs>
              <w:suppressAutoHyphens/>
              <w:spacing w:after="0" w:line="140" w:lineRule="exact"/>
              <w:ind w:right="-6"/>
              <w:jc w:val="right"/>
              <w:rPr>
                <w:rFonts w:eastAsia="Times New Roman" w:cs="Arial"/>
                <w:sz w:val="18"/>
                <w:szCs w:val="18"/>
              </w:rPr>
            </w:pPr>
          </w:p>
        </w:tc>
        <w:tc>
          <w:tcPr>
            <w:tcW w:w="488" w:type="pct"/>
            <w:tcBorders>
              <w:bottom w:val="single" w:sz="6" w:space="0" w:color="auto"/>
            </w:tcBorders>
            <w:shd w:val="clear" w:color="auto" w:fill="auto"/>
            <w:vAlign w:val="center"/>
          </w:tcPr>
          <w:p w14:paraId="61029118" w14:textId="77777777" w:rsidR="004B16B5" w:rsidRPr="00CF2A73" w:rsidRDefault="004B16B5" w:rsidP="003D5BE9">
            <w:pPr>
              <w:tabs>
                <w:tab w:val="left" w:pos="-720"/>
              </w:tabs>
              <w:suppressAutoHyphens/>
              <w:spacing w:after="0" w:line="140" w:lineRule="exact"/>
              <w:ind w:right="-6"/>
              <w:jc w:val="right"/>
              <w:rPr>
                <w:rFonts w:eastAsia="Times New Roman" w:cs="Arial"/>
                <w:sz w:val="18"/>
                <w:szCs w:val="18"/>
              </w:rPr>
            </w:pPr>
          </w:p>
        </w:tc>
        <w:tc>
          <w:tcPr>
            <w:tcW w:w="521" w:type="pct"/>
            <w:tcBorders>
              <w:bottom w:val="single" w:sz="6" w:space="0" w:color="auto"/>
            </w:tcBorders>
            <w:shd w:val="clear" w:color="auto" w:fill="auto"/>
            <w:vAlign w:val="center"/>
          </w:tcPr>
          <w:p w14:paraId="3A853C08" w14:textId="77777777" w:rsidR="004B16B5" w:rsidRPr="00CF2A73" w:rsidRDefault="004B16B5" w:rsidP="003D5BE9">
            <w:pPr>
              <w:tabs>
                <w:tab w:val="left" w:pos="-720"/>
              </w:tabs>
              <w:suppressAutoHyphens/>
              <w:spacing w:after="0" w:line="140" w:lineRule="exact"/>
              <w:ind w:right="-6"/>
              <w:jc w:val="right"/>
              <w:rPr>
                <w:rFonts w:eastAsia="Times New Roman" w:cs="Arial"/>
                <w:sz w:val="18"/>
                <w:szCs w:val="18"/>
              </w:rPr>
            </w:pPr>
          </w:p>
        </w:tc>
        <w:tc>
          <w:tcPr>
            <w:tcW w:w="589" w:type="pct"/>
            <w:tcBorders>
              <w:bottom w:val="single" w:sz="6" w:space="0" w:color="auto"/>
            </w:tcBorders>
            <w:shd w:val="clear" w:color="auto" w:fill="auto"/>
            <w:vAlign w:val="center"/>
          </w:tcPr>
          <w:p w14:paraId="245CD17B" w14:textId="77777777" w:rsidR="004B16B5" w:rsidRPr="00CF2A73" w:rsidRDefault="004B16B5" w:rsidP="003D5BE9">
            <w:pPr>
              <w:tabs>
                <w:tab w:val="left" w:pos="-720"/>
              </w:tabs>
              <w:suppressAutoHyphens/>
              <w:spacing w:after="0" w:line="140" w:lineRule="exact"/>
              <w:ind w:right="-6"/>
              <w:jc w:val="right"/>
              <w:rPr>
                <w:rFonts w:eastAsia="Times New Roman" w:cs="Arial"/>
                <w:sz w:val="18"/>
                <w:szCs w:val="18"/>
              </w:rPr>
            </w:pPr>
          </w:p>
        </w:tc>
        <w:tc>
          <w:tcPr>
            <w:tcW w:w="554" w:type="pct"/>
            <w:tcBorders>
              <w:bottom w:val="single" w:sz="6" w:space="0" w:color="auto"/>
            </w:tcBorders>
            <w:shd w:val="clear" w:color="auto" w:fill="auto"/>
            <w:vAlign w:val="center"/>
          </w:tcPr>
          <w:p w14:paraId="17DD159B" w14:textId="77777777" w:rsidR="004B16B5" w:rsidRPr="00CF2A73" w:rsidRDefault="004B16B5" w:rsidP="003D5BE9">
            <w:pPr>
              <w:tabs>
                <w:tab w:val="left" w:pos="-720"/>
              </w:tabs>
              <w:suppressAutoHyphens/>
              <w:spacing w:after="0" w:line="140" w:lineRule="exact"/>
              <w:ind w:right="-6"/>
              <w:jc w:val="right"/>
              <w:rPr>
                <w:rFonts w:eastAsia="Times New Roman" w:cs="Arial"/>
                <w:sz w:val="18"/>
                <w:szCs w:val="18"/>
              </w:rPr>
            </w:pPr>
          </w:p>
        </w:tc>
        <w:tc>
          <w:tcPr>
            <w:tcW w:w="555" w:type="pct"/>
            <w:tcBorders>
              <w:bottom w:val="single" w:sz="6" w:space="0" w:color="auto"/>
            </w:tcBorders>
            <w:shd w:val="clear" w:color="auto" w:fill="auto"/>
            <w:vAlign w:val="center"/>
          </w:tcPr>
          <w:p w14:paraId="17929E72" w14:textId="77777777" w:rsidR="004B16B5" w:rsidRPr="00CF2A73" w:rsidRDefault="004B16B5" w:rsidP="003D5BE9">
            <w:pPr>
              <w:tabs>
                <w:tab w:val="left" w:pos="-720"/>
              </w:tabs>
              <w:suppressAutoHyphens/>
              <w:spacing w:after="0" w:line="140" w:lineRule="exact"/>
              <w:ind w:right="-6"/>
              <w:jc w:val="right"/>
              <w:rPr>
                <w:rFonts w:eastAsia="Times New Roman" w:cs="Arial"/>
                <w:sz w:val="18"/>
                <w:szCs w:val="18"/>
              </w:rPr>
            </w:pPr>
          </w:p>
        </w:tc>
      </w:tr>
      <w:tr w:rsidR="00CF2A73" w:rsidRPr="00AD0961" w14:paraId="32B16A26" w14:textId="77777777" w:rsidTr="00CF2A73">
        <w:trPr>
          <w:trHeight w:val="261"/>
        </w:trPr>
        <w:tc>
          <w:tcPr>
            <w:tcW w:w="1274" w:type="pct"/>
            <w:shd w:val="clear" w:color="auto" w:fill="auto"/>
            <w:vAlign w:val="center"/>
          </w:tcPr>
          <w:p w14:paraId="07C480D8" w14:textId="77777777" w:rsidR="00AD0961" w:rsidRPr="00AD0961" w:rsidRDefault="00AD0961" w:rsidP="00AD0961">
            <w:pPr>
              <w:tabs>
                <w:tab w:val="right" w:pos="1202"/>
              </w:tabs>
              <w:spacing w:after="0" w:line="240" w:lineRule="exact"/>
              <w:outlineLvl w:val="0"/>
              <w:rPr>
                <w:rFonts w:eastAsia="Times New Roman" w:cs="Arial"/>
                <w:b/>
                <w:bCs/>
                <w:sz w:val="17"/>
                <w:szCs w:val="17"/>
              </w:rPr>
            </w:pPr>
            <w:r w:rsidRPr="00AD0961">
              <w:rPr>
                <w:rFonts w:eastAsia="Times New Roman" w:cs="Arial"/>
                <w:b/>
                <w:bCs/>
                <w:sz w:val="17"/>
                <w:szCs w:val="17"/>
              </w:rPr>
              <w:t>Ukupna imovina (1)</w:t>
            </w:r>
          </w:p>
        </w:tc>
        <w:tc>
          <w:tcPr>
            <w:tcW w:w="534" w:type="pct"/>
            <w:tcBorders>
              <w:top w:val="single" w:sz="6" w:space="0" w:color="auto"/>
              <w:left w:val="nil"/>
              <w:bottom w:val="single" w:sz="12" w:space="0" w:color="auto"/>
              <w:right w:val="nil"/>
            </w:tcBorders>
            <w:shd w:val="clear" w:color="auto" w:fill="auto"/>
            <w:vAlign w:val="center"/>
          </w:tcPr>
          <w:p w14:paraId="188F880F" w14:textId="53BF13DF" w:rsidR="00AD0961" w:rsidRPr="00CF2A73" w:rsidRDefault="00AD0961" w:rsidP="00AD0961">
            <w:pPr>
              <w:spacing w:after="0" w:line="240" w:lineRule="auto"/>
              <w:jc w:val="right"/>
              <w:rPr>
                <w:rFonts w:eastAsia="Times New Roman" w:cs="Arial"/>
                <w:b/>
                <w:bCs/>
                <w:sz w:val="18"/>
                <w:szCs w:val="18"/>
              </w:rPr>
            </w:pPr>
            <w:r w:rsidRPr="00CF2A73">
              <w:rPr>
                <w:rFonts w:ascii="Calibri" w:hAnsi="Calibri"/>
                <w:b/>
                <w:bCs/>
                <w:color w:val="000000"/>
                <w:sz w:val="18"/>
                <w:szCs w:val="18"/>
              </w:rPr>
              <w:t>4.601.967</w:t>
            </w:r>
          </w:p>
        </w:tc>
        <w:tc>
          <w:tcPr>
            <w:tcW w:w="486" w:type="pct"/>
            <w:tcBorders>
              <w:top w:val="single" w:sz="6" w:space="0" w:color="auto"/>
              <w:left w:val="nil"/>
              <w:bottom w:val="single" w:sz="12" w:space="0" w:color="auto"/>
              <w:right w:val="nil"/>
            </w:tcBorders>
            <w:shd w:val="clear" w:color="auto" w:fill="auto"/>
            <w:vAlign w:val="center"/>
          </w:tcPr>
          <w:p w14:paraId="556353A8" w14:textId="56F06993" w:rsidR="00AD0961" w:rsidRPr="00CF2A73" w:rsidRDefault="00AD0961" w:rsidP="00AD0961">
            <w:pPr>
              <w:spacing w:after="0" w:line="240" w:lineRule="auto"/>
              <w:jc w:val="right"/>
              <w:rPr>
                <w:rFonts w:eastAsia="Times New Roman" w:cs="Arial"/>
                <w:b/>
                <w:bCs/>
                <w:sz w:val="18"/>
                <w:szCs w:val="18"/>
              </w:rPr>
            </w:pPr>
            <w:r w:rsidRPr="00CF2A73">
              <w:rPr>
                <w:rFonts w:ascii="Calibri" w:hAnsi="Calibri"/>
                <w:b/>
                <w:bCs/>
                <w:color w:val="000000"/>
                <w:sz w:val="18"/>
                <w:szCs w:val="18"/>
              </w:rPr>
              <w:t>1.684.645</w:t>
            </w:r>
          </w:p>
        </w:tc>
        <w:tc>
          <w:tcPr>
            <w:tcW w:w="488" w:type="pct"/>
            <w:tcBorders>
              <w:top w:val="single" w:sz="6" w:space="0" w:color="auto"/>
              <w:left w:val="nil"/>
              <w:bottom w:val="single" w:sz="12" w:space="0" w:color="auto"/>
              <w:right w:val="nil"/>
            </w:tcBorders>
            <w:shd w:val="clear" w:color="auto" w:fill="auto"/>
            <w:vAlign w:val="center"/>
          </w:tcPr>
          <w:p w14:paraId="5E8D3450" w14:textId="3D97315D" w:rsidR="00AD0961" w:rsidRPr="00CF2A73" w:rsidRDefault="00AD0961" w:rsidP="00AD0961">
            <w:pPr>
              <w:spacing w:after="0" w:line="240" w:lineRule="auto"/>
              <w:jc w:val="right"/>
              <w:rPr>
                <w:rFonts w:eastAsia="Times New Roman" w:cs="Arial"/>
                <w:b/>
                <w:bCs/>
                <w:sz w:val="18"/>
                <w:szCs w:val="18"/>
              </w:rPr>
            </w:pPr>
            <w:r w:rsidRPr="00CF2A73">
              <w:rPr>
                <w:rFonts w:ascii="Calibri" w:hAnsi="Calibri"/>
                <w:b/>
                <w:bCs/>
                <w:color w:val="000000"/>
                <w:sz w:val="18"/>
                <w:szCs w:val="18"/>
              </w:rPr>
              <w:t>2.955.328</w:t>
            </w:r>
          </w:p>
        </w:tc>
        <w:tc>
          <w:tcPr>
            <w:tcW w:w="521" w:type="pct"/>
            <w:tcBorders>
              <w:top w:val="single" w:sz="6" w:space="0" w:color="auto"/>
              <w:left w:val="nil"/>
              <w:bottom w:val="single" w:sz="12" w:space="0" w:color="auto"/>
              <w:right w:val="nil"/>
            </w:tcBorders>
            <w:shd w:val="clear" w:color="auto" w:fill="auto"/>
            <w:vAlign w:val="center"/>
          </w:tcPr>
          <w:p w14:paraId="6A1CCA8F" w14:textId="79AEF1BD" w:rsidR="00AD0961" w:rsidRPr="00CF2A73" w:rsidRDefault="00AD0961" w:rsidP="00AD0961">
            <w:pPr>
              <w:spacing w:after="0" w:line="240" w:lineRule="auto"/>
              <w:jc w:val="right"/>
              <w:rPr>
                <w:rFonts w:eastAsia="Times New Roman" w:cs="Arial"/>
                <w:b/>
                <w:bCs/>
                <w:sz w:val="18"/>
                <w:szCs w:val="18"/>
              </w:rPr>
            </w:pPr>
            <w:r w:rsidRPr="00CF2A73">
              <w:rPr>
                <w:rFonts w:ascii="Calibri" w:hAnsi="Calibri"/>
                <w:b/>
                <w:bCs/>
                <w:color w:val="000000"/>
                <w:sz w:val="18"/>
                <w:szCs w:val="18"/>
              </w:rPr>
              <w:t>4.433.048</w:t>
            </w:r>
          </w:p>
        </w:tc>
        <w:tc>
          <w:tcPr>
            <w:tcW w:w="589" w:type="pct"/>
            <w:tcBorders>
              <w:top w:val="single" w:sz="6" w:space="0" w:color="auto"/>
              <w:left w:val="nil"/>
              <w:bottom w:val="single" w:sz="12" w:space="0" w:color="auto"/>
              <w:right w:val="nil"/>
            </w:tcBorders>
            <w:shd w:val="clear" w:color="auto" w:fill="auto"/>
            <w:vAlign w:val="center"/>
          </w:tcPr>
          <w:p w14:paraId="6D93C68F" w14:textId="1CB07284" w:rsidR="00AD0961" w:rsidRPr="00CF2A73" w:rsidRDefault="00AD0961" w:rsidP="00AD0961">
            <w:pPr>
              <w:spacing w:after="0" w:line="240" w:lineRule="auto"/>
              <w:jc w:val="right"/>
              <w:rPr>
                <w:rFonts w:eastAsia="Times New Roman" w:cs="Arial"/>
                <w:b/>
                <w:bCs/>
                <w:sz w:val="18"/>
                <w:szCs w:val="18"/>
              </w:rPr>
            </w:pPr>
            <w:r w:rsidRPr="00CF2A73">
              <w:rPr>
                <w:rFonts w:ascii="Calibri" w:hAnsi="Calibri"/>
                <w:b/>
                <w:bCs/>
                <w:color w:val="000000"/>
                <w:sz w:val="18"/>
                <w:szCs w:val="18"/>
              </w:rPr>
              <w:t>12.086.260</w:t>
            </w:r>
          </w:p>
        </w:tc>
        <w:tc>
          <w:tcPr>
            <w:tcW w:w="554" w:type="pct"/>
            <w:tcBorders>
              <w:top w:val="single" w:sz="6" w:space="0" w:color="auto"/>
              <w:left w:val="nil"/>
              <w:bottom w:val="single" w:sz="12" w:space="0" w:color="auto"/>
              <w:right w:val="nil"/>
            </w:tcBorders>
            <w:shd w:val="clear" w:color="auto" w:fill="auto"/>
            <w:vAlign w:val="center"/>
          </w:tcPr>
          <w:p w14:paraId="59354A64" w14:textId="2520ED9F" w:rsidR="00AD0961" w:rsidRPr="00CF2A73" w:rsidRDefault="00AD0961" w:rsidP="00AD0961">
            <w:pPr>
              <w:spacing w:after="0" w:line="240" w:lineRule="auto"/>
              <w:jc w:val="right"/>
              <w:rPr>
                <w:rFonts w:eastAsia="Times New Roman" w:cs="Arial"/>
                <w:b/>
                <w:bCs/>
                <w:sz w:val="18"/>
                <w:szCs w:val="18"/>
              </w:rPr>
            </w:pPr>
            <w:r w:rsidRPr="00CF2A73">
              <w:rPr>
                <w:rFonts w:ascii="Calibri" w:hAnsi="Calibri"/>
                <w:b/>
                <w:bCs/>
                <w:color w:val="000000"/>
                <w:sz w:val="18"/>
                <w:szCs w:val="18"/>
              </w:rPr>
              <w:t>1.629.574</w:t>
            </w:r>
          </w:p>
        </w:tc>
        <w:tc>
          <w:tcPr>
            <w:tcW w:w="555" w:type="pct"/>
            <w:tcBorders>
              <w:top w:val="single" w:sz="6" w:space="0" w:color="auto"/>
              <w:left w:val="nil"/>
              <w:bottom w:val="single" w:sz="12" w:space="0" w:color="auto"/>
              <w:right w:val="nil"/>
            </w:tcBorders>
            <w:shd w:val="clear" w:color="auto" w:fill="auto"/>
            <w:vAlign w:val="center"/>
          </w:tcPr>
          <w:p w14:paraId="6C73D4A3" w14:textId="2DCD6399" w:rsidR="00AD0961" w:rsidRPr="00CF2A73" w:rsidRDefault="00AD0961" w:rsidP="00AD0961">
            <w:pPr>
              <w:spacing w:after="0" w:line="240" w:lineRule="auto"/>
              <w:jc w:val="right"/>
              <w:rPr>
                <w:rFonts w:eastAsia="Times New Roman" w:cs="Arial"/>
                <w:b/>
                <w:bCs/>
                <w:sz w:val="18"/>
                <w:szCs w:val="18"/>
              </w:rPr>
            </w:pPr>
            <w:r w:rsidRPr="00CF2A73">
              <w:rPr>
                <w:rFonts w:ascii="Calibri" w:hAnsi="Calibri"/>
                <w:b/>
                <w:bCs/>
                <w:color w:val="000000"/>
                <w:sz w:val="18"/>
                <w:szCs w:val="18"/>
              </w:rPr>
              <w:t>27.390.822</w:t>
            </w:r>
          </w:p>
        </w:tc>
      </w:tr>
      <w:tr w:rsidR="00CF2A73" w:rsidRPr="00AD0961" w14:paraId="03F16330" w14:textId="77777777" w:rsidTr="00CF2A73">
        <w:trPr>
          <w:trHeight w:val="278"/>
        </w:trPr>
        <w:tc>
          <w:tcPr>
            <w:tcW w:w="1274" w:type="pct"/>
            <w:vAlign w:val="center"/>
          </w:tcPr>
          <w:p w14:paraId="5B42143C" w14:textId="77777777" w:rsidR="004B16B5" w:rsidRPr="00AD0961" w:rsidRDefault="004B16B5" w:rsidP="003D5BE9">
            <w:pPr>
              <w:tabs>
                <w:tab w:val="right" w:pos="1202"/>
              </w:tabs>
              <w:spacing w:after="0" w:line="301" w:lineRule="exact"/>
              <w:outlineLvl w:val="0"/>
              <w:rPr>
                <w:rFonts w:eastAsia="Times New Roman" w:cs="Arial"/>
                <w:b/>
                <w:bCs/>
                <w:sz w:val="17"/>
                <w:szCs w:val="17"/>
              </w:rPr>
            </w:pPr>
            <w:r w:rsidRPr="00AD0961">
              <w:rPr>
                <w:rFonts w:eastAsia="Times New Roman" w:cs="Arial"/>
                <w:b/>
                <w:bCs/>
                <w:sz w:val="17"/>
                <w:szCs w:val="17"/>
              </w:rPr>
              <w:t>Obveze</w:t>
            </w:r>
          </w:p>
        </w:tc>
        <w:tc>
          <w:tcPr>
            <w:tcW w:w="534" w:type="pct"/>
            <w:tcBorders>
              <w:top w:val="single" w:sz="12" w:space="0" w:color="auto"/>
            </w:tcBorders>
            <w:vAlign w:val="center"/>
          </w:tcPr>
          <w:p w14:paraId="110F393C" w14:textId="77777777" w:rsidR="004B16B5" w:rsidRPr="00CF2A73" w:rsidRDefault="004B16B5" w:rsidP="003D5BE9">
            <w:pPr>
              <w:tabs>
                <w:tab w:val="right" w:pos="1202"/>
              </w:tabs>
              <w:spacing w:after="0" w:line="301" w:lineRule="exact"/>
              <w:jc w:val="right"/>
              <w:outlineLvl w:val="0"/>
              <w:rPr>
                <w:rFonts w:eastAsia="Times New Roman" w:cs="Arial"/>
                <w:spacing w:val="-2"/>
                <w:sz w:val="18"/>
                <w:szCs w:val="18"/>
              </w:rPr>
            </w:pPr>
          </w:p>
        </w:tc>
        <w:tc>
          <w:tcPr>
            <w:tcW w:w="486" w:type="pct"/>
            <w:tcBorders>
              <w:top w:val="single" w:sz="12" w:space="0" w:color="auto"/>
            </w:tcBorders>
            <w:vAlign w:val="center"/>
          </w:tcPr>
          <w:p w14:paraId="10137ACE" w14:textId="77777777" w:rsidR="004B16B5" w:rsidRPr="00CF2A73" w:rsidRDefault="004B16B5" w:rsidP="003D5BE9">
            <w:pPr>
              <w:tabs>
                <w:tab w:val="right" w:pos="1202"/>
              </w:tabs>
              <w:spacing w:after="0" w:line="301" w:lineRule="exact"/>
              <w:jc w:val="right"/>
              <w:outlineLvl w:val="0"/>
              <w:rPr>
                <w:rFonts w:eastAsia="Times New Roman" w:cs="Arial"/>
                <w:spacing w:val="-2"/>
                <w:sz w:val="18"/>
                <w:szCs w:val="18"/>
              </w:rPr>
            </w:pPr>
          </w:p>
        </w:tc>
        <w:tc>
          <w:tcPr>
            <w:tcW w:w="488" w:type="pct"/>
            <w:tcBorders>
              <w:top w:val="single" w:sz="12" w:space="0" w:color="auto"/>
            </w:tcBorders>
            <w:vAlign w:val="center"/>
          </w:tcPr>
          <w:p w14:paraId="565AF9AA" w14:textId="77777777" w:rsidR="004B16B5" w:rsidRPr="00CF2A73" w:rsidRDefault="004B16B5" w:rsidP="003D5BE9">
            <w:pPr>
              <w:tabs>
                <w:tab w:val="right" w:pos="1202"/>
              </w:tabs>
              <w:spacing w:after="0" w:line="301" w:lineRule="exact"/>
              <w:jc w:val="right"/>
              <w:outlineLvl w:val="0"/>
              <w:rPr>
                <w:rFonts w:eastAsia="Times New Roman" w:cs="Arial"/>
                <w:spacing w:val="-2"/>
                <w:sz w:val="18"/>
                <w:szCs w:val="18"/>
              </w:rPr>
            </w:pPr>
          </w:p>
        </w:tc>
        <w:tc>
          <w:tcPr>
            <w:tcW w:w="521" w:type="pct"/>
            <w:tcBorders>
              <w:top w:val="single" w:sz="12" w:space="0" w:color="auto"/>
            </w:tcBorders>
            <w:vAlign w:val="center"/>
          </w:tcPr>
          <w:p w14:paraId="7B28DDE0" w14:textId="77777777" w:rsidR="004B16B5" w:rsidRPr="00CF2A73" w:rsidRDefault="004B16B5" w:rsidP="003D5BE9">
            <w:pPr>
              <w:tabs>
                <w:tab w:val="right" w:pos="1202"/>
              </w:tabs>
              <w:spacing w:after="0" w:line="301" w:lineRule="exact"/>
              <w:jc w:val="right"/>
              <w:outlineLvl w:val="0"/>
              <w:rPr>
                <w:rFonts w:eastAsia="Times New Roman" w:cs="Arial"/>
                <w:spacing w:val="-2"/>
                <w:sz w:val="18"/>
                <w:szCs w:val="18"/>
              </w:rPr>
            </w:pPr>
          </w:p>
        </w:tc>
        <w:tc>
          <w:tcPr>
            <w:tcW w:w="589" w:type="pct"/>
            <w:tcBorders>
              <w:top w:val="single" w:sz="12" w:space="0" w:color="auto"/>
            </w:tcBorders>
            <w:vAlign w:val="center"/>
          </w:tcPr>
          <w:p w14:paraId="69D4C286" w14:textId="77777777" w:rsidR="004B16B5" w:rsidRPr="00CF2A73" w:rsidRDefault="004B16B5" w:rsidP="003D5BE9">
            <w:pPr>
              <w:tabs>
                <w:tab w:val="right" w:pos="1202"/>
              </w:tabs>
              <w:spacing w:after="0" w:line="301" w:lineRule="exact"/>
              <w:jc w:val="right"/>
              <w:outlineLvl w:val="0"/>
              <w:rPr>
                <w:rFonts w:eastAsia="Times New Roman" w:cs="Arial"/>
                <w:spacing w:val="-2"/>
                <w:sz w:val="18"/>
                <w:szCs w:val="18"/>
              </w:rPr>
            </w:pPr>
          </w:p>
        </w:tc>
        <w:tc>
          <w:tcPr>
            <w:tcW w:w="554" w:type="pct"/>
            <w:tcBorders>
              <w:top w:val="single" w:sz="12" w:space="0" w:color="auto"/>
            </w:tcBorders>
            <w:vAlign w:val="center"/>
          </w:tcPr>
          <w:p w14:paraId="22377B1A" w14:textId="77777777" w:rsidR="004B16B5" w:rsidRPr="00CF2A73" w:rsidRDefault="004B16B5" w:rsidP="003D5BE9">
            <w:pPr>
              <w:tabs>
                <w:tab w:val="right" w:pos="1202"/>
              </w:tabs>
              <w:spacing w:after="0" w:line="240" w:lineRule="atLeast"/>
              <w:jc w:val="right"/>
              <w:outlineLvl w:val="0"/>
              <w:rPr>
                <w:rFonts w:eastAsia="Times New Roman" w:cs="Arial"/>
                <w:b/>
                <w:sz w:val="18"/>
                <w:szCs w:val="18"/>
              </w:rPr>
            </w:pPr>
          </w:p>
        </w:tc>
        <w:tc>
          <w:tcPr>
            <w:tcW w:w="555" w:type="pct"/>
            <w:tcBorders>
              <w:top w:val="single" w:sz="12" w:space="0" w:color="auto"/>
            </w:tcBorders>
            <w:vAlign w:val="center"/>
          </w:tcPr>
          <w:p w14:paraId="457A67EA" w14:textId="77777777" w:rsidR="004B16B5" w:rsidRPr="00CF2A73" w:rsidRDefault="004B16B5" w:rsidP="003D5BE9">
            <w:pPr>
              <w:tabs>
                <w:tab w:val="right" w:pos="1202"/>
              </w:tabs>
              <w:spacing w:after="0" w:line="301" w:lineRule="exact"/>
              <w:jc w:val="right"/>
              <w:outlineLvl w:val="0"/>
              <w:rPr>
                <w:rFonts w:eastAsia="Times New Roman" w:cs="Arial"/>
                <w:sz w:val="18"/>
                <w:szCs w:val="18"/>
              </w:rPr>
            </w:pPr>
          </w:p>
        </w:tc>
      </w:tr>
      <w:tr w:rsidR="00CF2A73" w:rsidRPr="00AD0961" w14:paraId="38D54442" w14:textId="77777777" w:rsidTr="00CF2A73">
        <w:trPr>
          <w:trHeight w:hRule="exact" w:val="262"/>
        </w:trPr>
        <w:tc>
          <w:tcPr>
            <w:tcW w:w="1274" w:type="pct"/>
            <w:vAlign w:val="center"/>
          </w:tcPr>
          <w:p w14:paraId="5E76E07B"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Obveze po depozitima</w:t>
            </w:r>
          </w:p>
        </w:tc>
        <w:tc>
          <w:tcPr>
            <w:tcW w:w="534" w:type="pct"/>
            <w:tcBorders>
              <w:top w:val="nil"/>
              <w:left w:val="nil"/>
              <w:bottom w:val="nil"/>
              <w:right w:val="nil"/>
            </w:tcBorders>
            <w:shd w:val="clear" w:color="auto" w:fill="auto"/>
            <w:vAlign w:val="bottom"/>
          </w:tcPr>
          <w:p w14:paraId="118EC9CB" w14:textId="6903BB3B"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bottom w:val="nil"/>
              <w:right w:val="nil"/>
            </w:tcBorders>
            <w:shd w:val="clear" w:color="auto" w:fill="auto"/>
            <w:vAlign w:val="bottom"/>
          </w:tcPr>
          <w:p w14:paraId="2DE034EF" w14:textId="684080CD"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0D5B738B" w14:textId="6DCB358E"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nil"/>
              <w:right w:val="nil"/>
            </w:tcBorders>
            <w:shd w:val="clear" w:color="auto" w:fill="auto"/>
            <w:vAlign w:val="bottom"/>
          </w:tcPr>
          <w:p w14:paraId="086C5040" w14:textId="51834E64"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nil"/>
              <w:right w:val="nil"/>
            </w:tcBorders>
            <w:shd w:val="clear" w:color="auto" w:fill="auto"/>
            <w:vAlign w:val="bottom"/>
          </w:tcPr>
          <w:p w14:paraId="3E4F55EE" w14:textId="37BF2983"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bottom w:val="nil"/>
              <w:right w:val="nil"/>
            </w:tcBorders>
            <w:shd w:val="clear" w:color="auto" w:fill="auto"/>
            <w:vAlign w:val="bottom"/>
          </w:tcPr>
          <w:p w14:paraId="04A06B86" w14:textId="4282F06C"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142.844</w:t>
            </w:r>
          </w:p>
        </w:tc>
        <w:tc>
          <w:tcPr>
            <w:tcW w:w="555" w:type="pct"/>
            <w:tcBorders>
              <w:top w:val="nil"/>
              <w:left w:val="nil"/>
              <w:bottom w:val="nil"/>
              <w:right w:val="nil"/>
            </w:tcBorders>
            <w:shd w:val="clear" w:color="auto" w:fill="auto"/>
            <w:vAlign w:val="bottom"/>
          </w:tcPr>
          <w:p w14:paraId="1949A1EA" w14:textId="3746C735"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142.844</w:t>
            </w:r>
          </w:p>
        </w:tc>
      </w:tr>
      <w:tr w:rsidR="00CF2A73" w:rsidRPr="00AD0961" w14:paraId="45397BD0" w14:textId="77777777" w:rsidTr="00CF2A73">
        <w:trPr>
          <w:trHeight w:hRule="exact" w:val="262"/>
        </w:trPr>
        <w:tc>
          <w:tcPr>
            <w:tcW w:w="1274" w:type="pct"/>
            <w:vAlign w:val="center"/>
          </w:tcPr>
          <w:p w14:paraId="68A85EEE"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Obveze po kreditima</w:t>
            </w:r>
          </w:p>
        </w:tc>
        <w:tc>
          <w:tcPr>
            <w:tcW w:w="534" w:type="pct"/>
            <w:tcBorders>
              <w:top w:val="nil"/>
              <w:left w:val="nil"/>
              <w:bottom w:val="nil"/>
              <w:right w:val="nil"/>
            </w:tcBorders>
            <w:shd w:val="clear" w:color="auto" w:fill="auto"/>
            <w:vAlign w:val="bottom"/>
          </w:tcPr>
          <w:p w14:paraId="1E4ED131" w14:textId="245DB503"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355.442</w:t>
            </w:r>
          </w:p>
        </w:tc>
        <w:tc>
          <w:tcPr>
            <w:tcW w:w="486" w:type="pct"/>
            <w:tcBorders>
              <w:top w:val="nil"/>
              <w:left w:val="nil"/>
              <w:bottom w:val="nil"/>
              <w:right w:val="nil"/>
            </w:tcBorders>
            <w:shd w:val="clear" w:color="auto" w:fill="auto"/>
            <w:vAlign w:val="bottom"/>
          </w:tcPr>
          <w:p w14:paraId="50BBFA86" w14:textId="2A09541E"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171.450</w:t>
            </w:r>
          </w:p>
        </w:tc>
        <w:tc>
          <w:tcPr>
            <w:tcW w:w="488" w:type="pct"/>
            <w:tcBorders>
              <w:top w:val="nil"/>
              <w:left w:val="nil"/>
              <w:bottom w:val="nil"/>
              <w:right w:val="nil"/>
            </w:tcBorders>
            <w:shd w:val="clear" w:color="auto" w:fill="auto"/>
            <w:vAlign w:val="bottom"/>
          </w:tcPr>
          <w:p w14:paraId="5686C995" w14:textId="0FDADE81"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1.020.722</w:t>
            </w:r>
          </w:p>
        </w:tc>
        <w:tc>
          <w:tcPr>
            <w:tcW w:w="521" w:type="pct"/>
            <w:tcBorders>
              <w:top w:val="nil"/>
              <w:left w:val="nil"/>
              <w:bottom w:val="nil"/>
              <w:right w:val="nil"/>
            </w:tcBorders>
            <w:shd w:val="clear" w:color="auto" w:fill="auto"/>
            <w:vAlign w:val="bottom"/>
          </w:tcPr>
          <w:p w14:paraId="0BF05058" w14:textId="639C5AE7"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3.059.168</w:t>
            </w:r>
          </w:p>
        </w:tc>
        <w:tc>
          <w:tcPr>
            <w:tcW w:w="589" w:type="pct"/>
            <w:tcBorders>
              <w:top w:val="nil"/>
              <w:left w:val="nil"/>
              <w:bottom w:val="nil"/>
              <w:right w:val="nil"/>
            </w:tcBorders>
            <w:shd w:val="clear" w:color="auto" w:fill="auto"/>
            <w:vAlign w:val="bottom"/>
          </w:tcPr>
          <w:p w14:paraId="1D46F313" w14:textId="5399CE61"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8.720.949</w:t>
            </w:r>
          </w:p>
        </w:tc>
        <w:tc>
          <w:tcPr>
            <w:tcW w:w="554" w:type="pct"/>
            <w:tcBorders>
              <w:top w:val="nil"/>
              <w:left w:val="nil"/>
              <w:bottom w:val="nil"/>
              <w:right w:val="nil"/>
            </w:tcBorders>
            <w:shd w:val="clear" w:color="auto" w:fill="auto"/>
            <w:vAlign w:val="bottom"/>
          </w:tcPr>
          <w:p w14:paraId="45E7CEBC" w14:textId="662084BF"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64.018</w:t>
            </w:r>
          </w:p>
        </w:tc>
        <w:tc>
          <w:tcPr>
            <w:tcW w:w="555" w:type="pct"/>
            <w:tcBorders>
              <w:top w:val="nil"/>
              <w:left w:val="nil"/>
              <w:bottom w:val="nil"/>
              <w:right w:val="nil"/>
            </w:tcBorders>
            <w:shd w:val="clear" w:color="auto" w:fill="auto"/>
            <w:vAlign w:val="bottom"/>
          </w:tcPr>
          <w:p w14:paraId="68F2C9ED" w14:textId="51009A3F"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13.391.749</w:t>
            </w:r>
          </w:p>
        </w:tc>
      </w:tr>
      <w:tr w:rsidR="00CF2A73" w:rsidRPr="00AD0961" w14:paraId="733F51C6" w14:textId="77777777" w:rsidTr="00CF2A73">
        <w:trPr>
          <w:trHeight w:hRule="exact" w:val="262"/>
        </w:trPr>
        <w:tc>
          <w:tcPr>
            <w:tcW w:w="1274" w:type="pct"/>
            <w:vAlign w:val="center"/>
          </w:tcPr>
          <w:p w14:paraId="494FB7EC"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Obveze za izdane dugoročne vrijednosne papire</w:t>
            </w:r>
          </w:p>
        </w:tc>
        <w:tc>
          <w:tcPr>
            <w:tcW w:w="534" w:type="pct"/>
            <w:tcBorders>
              <w:top w:val="nil"/>
              <w:left w:val="nil"/>
              <w:right w:val="nil"/>
            </w:tcBorders>
            <w:shd w:val="clear" w:color="auto" w:fill="auto"/>
            <w:vAlign w:val="bottom"/>
          </w:tcPr>
          <w:p w14:paraId="124FBF04" w14:textId="335CD240"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right w:val="nil"/>
            </w:tcBorders>
            <w:shd w:val="clear" w:color="auto" w:fill="auto"/>
            <w:vAlign w:val="bottom"/>
          </w:tcPr>
          <w:p w14:paraId="185FAD9C" w14:textId="4F165C78"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right w:val="nil"/>
            </w:tcBorders>
            <w:shd w:val="clear" w:color="auto" w:fill="auto"/>
            <w:vAlign w:val="bottom"/>
          </w:tcPr>
          <w:p w14:paraId="2993F325" w14:textId="466EFC3F"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1.888.837</w:t>
            </w:r>
          </w:p>
        </w:tc>
        <w:tc>
          <w:tcPr>
            <w:tcW w:w="521" w:type="pct"/>
            <w:tcBorders>
              <w:top w:val="nil"/>
              <w:left w:val="nil"/>
              <w:right w:val="nil"/>
            </w:tcBorders>
            <w:shd w:val="clear" w:color="auto" w:fill="auto"/>
            <w:vAlign w:val="bottom"/>
          </w:tcPr>
          <w:p w14:paraId="2BE39222" w14:textId="0458F922"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right w:val="nil"/>
            </w:tcBorders>
            <w:shd w:val="clear" w:color="auto" w:fill="auto"/>
            <w:vAlign w:val="bottom"/>
          </w:tcPr>
          <w:p w14:paraId="5469E4F6" w14:textId="73454FE7"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1.120.800</w:t>
            </w:r>
          </w:p>
        </w:tc>
        <w:tc>
          <w:tcPr>
            <w:tcW w:w="554" w:type="pct"/>
            <w:tcBorders>
              <w:top w:val="nil"/>
              <w:left w:val="nil"/>
              <w:right w:val="nil"/>
            </w:tcBorders>
            <w:shd w:val="clear" w:color="auto" w:fill="auto"/>
            <w:vAlign w:val="bottom"/>
          </w:tcPr>
          <w:p w14:paraId="7D819D8F" w14:textId="2A31085A"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95.932</w:t>
            </w:r>
          </w:p>
        </w:tc>
        <w:tc>
          <w:tcPr>
            <w:tcW w:w="555" w:type="pct"/>
            <w:tcBorders>
              <w:top w:val="nil"/>
              <w:left w:val="nil"/>
              <w:right w:val="nil"/>
            </w:tcBorders>
            <w:shd w:val="clear" w:color="auto" w:fill="auto"/>
            <w:vAlign w:val="bottom"/>
          </w:tcPr>
          <w:p w14:paraId="7086823D" w14:textId="2745864C"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3.105.569</w:t>
            </w:r>
          </w:p>
        </w:tc>
      </w:tr>
      <w:tr w:rsidR="00CF2A73" w:rsidRPr="00AD0961" w14:paraId="4443AAFF" w14:textId="77777777" w:rsidTr="00CF2A73">
        <w:trPr>
          <w:trHeight w:hRule="exact" w:val="262"/>
        </w:trPr>
        <w:tc>
          <w:tcPr>
            <w:tcW w:w="1274" w:type="pct"/>
            <w:vAlign w:val="center"/>
          </w:tcPr>
          <w:p w14:paraId="5F30FD42"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Ostale obveze</w:t>
            </w:r>
          </w:p>
        </w:tc>
        <w:tc>
          <w:tcPr>
            <w:tcW w:w="534" w:type="pct"/>
            <w:tcBorders>
              <w:top w:val="nil"/>
              <w:left w:val="nil"/>
              <w:bottom w:val="single" w:sz="4" w:space="0" w:color="auto"/>
              <w:right w:val="nil"/>
            </w:tcBorders>
            <w:shd w:val="clear" w:color="auto" w:fill="auto"/>
            <w:vAlign w:val="bottom"/>
          </w:tcPr>
          <w:p w14:paraId="7570AF34" w14:textId="2DA9E188"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6" w:type="pct"/>
            <w:tcBorders>
              <w:top w:val="nil"/>
              <w:left w:val="nil"/>
              <w:bottom w:val="single" w:sz="4" w:space="0" w:color="auto"/>
              <w:right w:val="nil"/>
            </w:tcBorders>
            <w:shd w:val="clear" w:color="auto" w:fill="auto"/>
            <w:vAlign w:val="bottom"/>
          </w:tcPr>
          <w:p w14:paraId="7EFE631C" w14:textId="06869BCD"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488" w:type="pct"/>
            <w:tcBorders>
              <w:top w:val="nil"/>
              <w:left w:val="nil"/>
              <w:bottom w:val="single" w:sz="4" w:space="0" w:color="auto"/>
              <w:right w:val="nil"/>
            </w:tcBorders>
            <w:shd w:val="clear" w:color="auto" w:fill="auto"/>
            <w:vAlign w:val="bottom"/>
          </w:tcPr>
          <w:p w14:paraId="002D27E1" w14:textId="0EA4C8B9"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21" w:type="pct"/>
            <w:tcBorders>
              <w:top w:val="nil"/>
              <w:left w:val="nil"/>
              <w:bottom w:val="single" w:sz="4" w:space="0" w:color="auto"/>
              <w:right w:val="nil"/>
            </w:tcBorders>
            <w:shd w:val="clear" w:color="auto" w:fill="auto"/>
            <w:vAlign w:val="bottom"/>
          </w:tcPr>
          <w:p w14:paraId="5F5F9C35" w14:textId="5934C03E"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89" w:type="pct"/>
            <w:tcBorders>
              <w:top w:val="nil"/>
              <w:left w:val="nil"/>
              <w:bottom w:val="single" w:sz="4" w:space="0" w:color="auto"/>
              <w:right w:val="nil"/>
            </w:tcBorders>
            <w:shd w:val="clear" w:color="auto" w:fill="auto"/>
            <w:vAlign w:val="bottom"/>
          </w:tcPr>
          <w:p w14:paraId="71F8834E" w14:textId="7AB0B289"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w:t>
            </w:r>
          </w:p>
        </w:tc>
        <w:tc>
          <w:tcPr>
            <w:tcW w:w="554" w:type="pct"/>
            <w:tcBorders>
              <w:top w:val="nil"/>
              <w:left w:val="nil"/>
              <w:bottom w:val="single" w:sz="4" w:space="0" w:color="auto"/>
              <w:right w:val="nil"/>
            </w:tcBorders>
            <w:shd w:val="clear" w:color="auto" w:fill="auto"/>
            <w:vAlign w:val="bottom"/>
          </w:tcPr>
          <w:p w14:paraId="65D23EB2" w14:textId="0678F03E"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707.952</w:t>
            </w:r>
          </w:p>
        </w:tc>
        <w:tc>
          <w:tcPr>
            <w:tcW w:w="555" w:type="pct"/>
            <w:tcBorders>
              <w:top w:val="nil"/>
              <w:left w:val="nil"/>
              <w:bottom w:val="single" w:sz="4" w:space="0" w:color="auto"/>
              <w:right w:val="nil"/>
            </w:tcBorders>
            <w:shd w:val="clear" w:color="auto" w:fill="auto"/>
            <w:vAlign w:val="bottom"/>
          </w:tcPr>
          <w:p w14:paraId="4DBC1A24" w14:textId="240DA5BC"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707.952</w:t>
            </w:r>
          </w:p>
        </w:tc>
      </w:tr>
      <w:tr w:rsidR="00CF2A73" w:rsidRPr="00AD0961" w14:paraId="7F4BE914" w14:textId="77777777" w:rsidTr="00CF2A73">
        <w:trPr>
          <w:trHeight w:hRule="exact" w:val="262"/>
        </w:trPr>
        <w:tc>
          <w:tcPr>
            <w:tcW w:w="1274" w:type="pct"/>
            <w:vAlign w:val="center"/>
          </w:tcPr>
          <w:p w14:paraId="7303E342" w14:textId="77777777" w:rsidR="00AD0961" w:rsidRPr="00AD0961" w:rsidRDefault="00AD0961" w:rsidP="00AD0961">
            <w:pPr>
              <w:tabs>
                <w:tab w:val="right" w:pos="1202"/>
              </w:tabs>
              <w:spacing w:after="0" w:line="240" w:lineRule="exact"/>
              <w:outlineLvl w:val="0"/>
              <w:rPr>
                <w:rFonts w:eastAsia="Times New Roman" w:cs="Arial"/>
                <w:b/>
                <w:bCs/>
                <w:sz w:val="17"/>
                <w:szCs w:val="17"/>
              </w:rPr>
            </w:pPr>
            <w:r w:rsidRPr="00AD0961">
              <w:rPr>
                <w:rFonts w:eastAsia="Times New Roman" w:cs="Arial"/>
                <w:b/>
                <w:bCs/>
                <w:sz w:val="17"/>
                <w:szCs w:val="17"/>
              </w:rPr>
              <w:t>Ukupne obveze</w:t>
            </w:r>
          </w:p>
        </w:tc>
        <w:tc>
          <w:tcPr>
            <w:tcW w:w="534" w:type="pct"/>
            <w:tcBorders>
              <w:top w:val="single" w:sz="4" w:space="0" w:color="auto"/>
              <w:left w:val="nil"/>
              <w:bottom w:val="single" w:sz="4" w:space="0" w:color="auto"/>
              <w:right w:val="nil"/>
            </w:tcBorders>
            <w:shd w:val="clear" w:color="auto" w:fill="auto"/>
            <w:vAlign w:val="bottom"/>
          </w:tcPr>
          <w:p w14:paraId="77324705" w14:textId="24BA586C"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355.442</w:t>
            </w:r>
          </w:p>
        </w:tc>
        <w:tc>
          <w:tcPr>
            <w:tcW w:w="486" w:type="pct"/>
            <w:tcBorders>
              <w:top w:val="single" w:sz="4" w:space="0" w:color="auto"/>
              <w:left w:val="nil"/>
              <w:bottom w:val="single" w:sz="4" w:space="0" w:color="auto"/>
              <w:right w:val="nil"/>
            </w:tcBorders>
            <w:shd w:val="clear" w:color="auto" w:fill="auto"/>
            <w:vAlign w:val="bottom"/>
          </w:tcPr>
          <w:p w14:paraId="5EDB8852" w14:textId="518A31FE"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171.450</w:t>
            </w:r>
          </w:p>
        </w:tc>
        <w:tc>
          <w:tcPr>
            <w:tcW w:w="488" w:type="pct"/>
            <w:tcBorders>
              <w:top w:val="single" w:sz="4" w:space="0" w:color="auto"/>
              <w:left w:val="nil"/>
              <w:bottom w:val="single" w:sz="4" w:space="0" w:color="auto"/>
              <w:right w:val="nil"/>
            </w:tcBorders>
            <w:shd w:val="clear" w:color="auto" w:fill="auto"/>
            <w:vAlign w:val="bottom"/>
          </w:tcPr>
          <w:p w14:paraId="27099539" w14:textId="27415677"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2.909.559</w:t>
            </w:r>
          </w:p>
        </w:tc>
        <w:tc>
          <w:tcPr>
            <w:tcW w:w="521" w:type="pct"/>
            <w:tcBorders>
              <w:top w:val="single" w:sz="4" w:space="0" w:color="auto"/>
              <w:left w:val="nil"/>
              <w:bottom w:val="single" w:sz="4" w:space="0" w:color="auto"/>
              <w:right w:val="nil"/>
            </w:tcBorders>
            <w:shd w:val="clear" w:color="auto" w:fill="auto"/>
            <w:vAlign w:val="bottom"/>
          </w:tcPr>
          <w:p w14:paraId="35AE609B" w14:textId="3A7E2E48"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3.059.168</w:t>
            </w:r>
          </w:p>
        </w:tc>
        <w:tc>
          <w:tcPr>
            <w:tcW w:w="589" w:type="pct"/>
            <w:tcBorders>
              <w:top w:val="single" w:sz="4" w:space="0" w:color="auto"/>
              <w:left w:val="nil"/>
              <w:bottom w:val="single" w:sz="4" w:space="0" w:color="auto"/>
              <w:right w:val="nil"/>
            </w:tcBorders>
            <w:shd w:val="clear" w:color="auto" w:fill="auto"/>
            <w:vAlign w:val="bottom"/>
          </w:tcPr>
          <w:p w14:paraId="7DBCFD49" w14:textId="5CFA922F"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9.841.749</w:t>
            </w:r>
          </w:p>
        </w:tc>
        <w:tc>
          <w:tcPr>
            <w:tcW w:w="554" w:type="pct"/>
            <w:tcBorders>
              <w:top w:val="single" w:sz="4" w:space="0" w:color="auto"/>
              <w:left w:val="nil"/>
              <w:bottom w:val="single" w:sz="4" w:space="0" w:color="auto"/>
              <w:right w:val="nil"/>
            </w:tcBorders>
            <w:shd w:val="clear" w:color="auto" w:fill="auto"/>
            <w:vAlign w:val="bottom"/>
          </w:tcPr>
          <w:p w14:paraId="564DD7B3" w14:textId="56182704"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1.010.746</w:t>
            </w:r>
          </w:p>
        </w:tc>
        <w:tc>
          <w:tcPr>
            <w:tcW w:w="555" w:type="pct"/>
            <w:tcBorders>
              <w:top w:val="single" w:sz="4" w:space="0" w:color="auto"/>
              <w:left w:val="nil"/>
              <w:bottom w:val="single" w:sz="4" w:space="0" w:color="auto"/>
              <w:right w:val="nil"/>
            </w:tcBorders>
            <w:shd w:val="clear" w:color="auto" w:fill="auto"/>
            <w:vAlign w:val="bottom"/>
          </w:tcPr>
          <w:p w14:paraId="0358C360" w14:textId="790D0408" w:rsidR="00AD0961" w:rsidRPr="00CF2A73" w:rsidRDefault="00AD0961" w:rsidP="00AD0961">
            <w:pPr>
              <w:spacing w:after="0" w:line="240" w:lineRule="auto"/>
              <w:jc w:val="right"/>
              <w:rPr>
                <w:rFonts w:eastAsia="Times New Roman" w:cs="Arial"/>
                <w:b/>
                <w:bCs/>
                <w:sz w:val="18"/>
                <w:szCs w:val="18"/>
              </w:rPr>
            </w:pPr>
            <w:r w:rsidRPr="00CF2A73">
              <w:rPr>
                <w:rFonts w:ascii="Calibri" w:hAnsi="Calibri"/>
                <w:b/>
                <w:bCs/>
                <w:color w:val="000000"/>
                <w:sz w:val="18"/>
                <w:szCs w:val="18"/>
              </w:rPr>
              <w:t>17.348.114</w:t>
            </w:r>
          </w:p>
        </w:tc>
      </w:tr>
      <w:tr w:rsidR="00CF2A73" w:rsidRPr="00AD0961" w14:paraId="7A9BCF71" w14:textId="77777777" w:rsidTr="00CF2A73">
        <w:trPr>
          <w:trHeight w:hRule="exact" w:val="262"/>
        </w:trPr>
        <w:tc>
          <w:tcPr>
            <w:tcW w:w="1274" w:type="pct"/>
            <w:vAlign w:val="center"/>
          </w:tcPr>
          <w:p w14:paraId="1E398EBE" w14:textId="77777777" w:rsidR="004B16B5" w:rsidRPr="00AD0961" w:rsidRDefault="004B16B5" w:rsidP="003D5BE9">
            <w:pPr>
              <w:tabs>
                <w:tab w:val="right" w:pos="1202"/>
              </w:tabs>
              <w:spacing w:after="0" w:line="240" w:lineRule="exact"/>
              <w:outlineLvl w:val="0"/>
              <w:rPr>
                <w:rFonts w:eastAsia="Times New Roman" w:cs="Arial"/>
                <w:b/>
                <w:bCs/>
                <w:sz w:val="17"/>
                <w:szCs w:val="17"/>
              </w:rPr>
            </w:pPr>
            <w:r w:rsidRPr="00AD0961">
              <w:rPr>
                <w:rFonts w:eastAsia="Times New Roman" w:cs="Arial"/>
                <w:b/>
                <w:bCs/>
                <w:sz w:val="17"/>
                <w:szCs w:val="17"/>
              </w:rPr>
              <w:t>Kapital</w:t>
            </w:r>
          </w:p>
        </w:tc>
        <w:tc>
          <w:tcPr>
            <w:tcW w:w="534" w:type="pct"/>
            <w:tcBorders>
              <w:top w:val="single" w:sz="4" w:space="0" w:color="auto"/>
            </w:tcBorders>
            <w:vAlign w:val="center"/>
          </w:tcPr>
          <w:p w14:paraId="2125C6D9" w14:textId="77777777" w:rsidR="004B16B5" w:rsidRPr="00CF2A73" w:rsidRDefault="004B16B5" w:rsidP="003D5BE9">
            <w:pPr>
              <w:tabs>
                <w:tab w:val="right" w:pos="1202"/>
              </w:tabs>
              <w:spacing w:after="0" w:line="301" w:lineRule="exact"/>
              <w:jc w:val="right"/>
              <w:outlineLvl w:val="0"/>
              <w:rPr>
                <w:rFonts w:eastAsia="Times New Roman" w:cs="Arial"/>
                <w:spacing w:val="-2"/>
                <w:sz w:val="18"/>
                <w:szCs w:val="18"/>
              </w:rPr>
            </w:pPr>
          </w:p>
        </w:tc>
        <w:tc>
          <w:tcPr>
            <w:tcW w:w="486" w:type="pct"/>
            <w:tcBorders>
              <w:top w:val="single" w:sz="4" w:space="0" w:color="auto"/>
            </w:tcBorders>
            <w:vAlign w:val="center"/>
          </w:tcPr>
          <w:p w14:paraId="414A32AC" w14:textId="77777777" w:rsidR="004B16B5" w:rsidRPr="00CF2A73" w:rsidRDefault="004B16B5" w:rsidP="003D5BE9">
            <w:pPr>
              <w:tabs>
                <w:tab w:val="right" w:pos="1202"/>
              </w:tabs>
              <w:spacing w:after="0" w:line="301" w:lineRule="exact"/>
              <w:jc w:val="right"/>
              <w:outlineLvl w:val="0"/>
              <w:rPr>
                <w:rFonts w:eastAsia="Times New Roman" w:cs="Arial"/>
                <w:spacing w:val="-2"/>
                <w:sz w:val="18"/>
                <w:szCs w:val="18"/>
              </w:rPr>
            </w:pPr>
          </w:p>
        </w:tc>
        <w:tc>
          <w:tcPr>
            <w:tcW w:w="488" w:type="pct"/>
            <w:tcBorders>
              <w:top w:val="single" w:sz="4" w:space="0" w:color="auto"/>
            </w:tcBorders>
            <w:vAlign w:val="center"/>
          </w:tcPr>
          <w:p w14:paraId="5686C108" w14:textId="77777777" w:rsidR="004B16B5" w:rsidRPr="00CF2A73" w:rsidRDefault="004B16B5" w:rsidP="003D5BE9">
            <w:pPr>
              <w:tabs>
                <w:tab w:val="right" w:pos="1202"/>
              </w:tabs>
              <w:spacing w:after="0" w:line="301" w:lineRule="exact"/>
              <w:jc w:val="right"/>
              <w:outlineLvl w:val="0"/>
              <w:rPr>
                <w:rFonts w:eastAsia="Times New Roman" w:cs="Arial"/>
                <w:spacing w:val="-2"/>
                <w:sz w:val="18"/>
                <w:szCs w:val="18"/>
              </w:rPr>
            </w:pPr>
          </w:p>
        </w:tc>
        <w:tc>
          <w:tcPr>
            <w:tcW w:w="521" w:type="pct"/>
            <w:tcBorders>
              <w:top w:val="single" w:sz="4" w:space="0" w:color="auto"/>
            </w:tcBorders>
            <w:vAlign w:val="center"/>
          </w:tcPr>
          <w:p w14:paraId="0AA833DD" w14:textId="77777777" w:rsidR="004B16B5" w:rsidRPr="00CF2A73" w:rsidRDefault="004B16B5" w:rsidP="003D5BE9">
            <w:pPr>
              <w:tabs>
                <w:tab w:val="right" w:pos="1202"/>
              </w:tabs>
              <w:spacing w:after="0" w:line="301" w:lineRule="exact"/>
              <w:jc w:val="right"/>
              <w:outlineLvl w:val="0"/>
              <w:rPr>
                <w:rFonts w:eastAsia="Times New Roman" w:cs="Arial"/>
                <w:spacing w:val="-2"/>
                <w:sz w:val="18"/>
                <w:szCs w:val="18"/>
              </w:rPr>
            </w:pPr>
          </w:p>
        </w:tc>
        <w:tc>
          <w:tcPr>
            <w:tcW w:w="589" w:type="pct"/>
            <w:tcBorders>
              <w:top w:val="single" w:sz="4" w:space="0" w:color="auto"/>
            </w:tcBorders>
            <w:vAlign w:val="center"/>
          </w:tcPr>
          <w:p w14:paraId="71DA6499" w14:textId="77777777" w:rsidR="004B16B5" w:rsidRPr="00CF2A73" w:rsidRDefault="004B16B5" w:rsidP="003D5BE9">
            <w:pPr>
              <w:tabs>
                <w:tab w:val="right" w:pos="1202"/>
              </w:tabs>
              <w:spacing w:after="0" w:line="301" w:lineRule="exact"/>
              <w:jc w:val="right"/>
              <w:outlineLvl w:val="0"/>
              <w:rPr>
                <w:rFonts w:eastAsia="Times New Roman" w:cs="Arial"/>
                <w:spacing w:val="-2"/>
                <w:sz w:val="18"/>
                <w:szCs w:val="18"/>
              </w:rPr>
            </w:pPr>
          </w:p>
        </w:tc>
        <w:tc>
          <w:tcPr>
            <w:tcW w:w="554" w:type="pct"/>
            <w:tcBorders>
              <w:top w:val="single" w:sz="4" w:space="0" w:color="auto"/>
            </w:tcBorders>
            <w:vAlign w:val="center"/>
          </w:tcPr>
          <w:p w14:paraId="62522E14" w14:textId="77777777" w:rsidR="004B16B5" w:rsidRPr="00CF2A73" w:rsidRDefault="004B16B5" w:rsidP="003D5BE9">
            <w:pPr>
              <w:tabs>
                <w:tab w:val="right" w:pos="1202"/>
              </w:tabs>
              <w:spacing w:after="0" w:line="240" w:lineRule="atLeast"/>
              <w:jc w:val="right"/>
              <w:outlineLvl w:val="0"/>
              <w:rPr>
                <w:rFonts w:eastAsia="Times New Roman" w:cs="Arial"/>
                <w:b/>
                <w:sz w:val="18"/>
                <w:szCs w:val="18"/>
              </w:rPr>
            </w:pPr>
          </w:p>
        </w:tc>
        <w:tc>
          <w:tcPr>
            <w:tcW w:w="555" w:type="pct"/>
            <w:tcBorders>
              <w:top w:val="single" w:sz="4" w:space="0" w:color="auto"/>
            </w:tcBorders>
            <w:vAlign w:val="center"/>
          </w:tcPr>
          <w:p w14:paraId="05BE8FB5" w14:textId="77777777" w:rsidR="004B16B5" w:rsidRPr="00CF2A73" w:rsidRDefault="004B16B5" w:rsidP="003D5BE9">
            <w:pPr>
              <w:tabs>
                <w:tab w:val="right" w:pos="1202"/>
              </w:tabs>
              <w:spacing w:after="0" w:line="301" w:lineRule="exact"/>
              <w:jc w:val="right"/>
              <w:outlineLvl w:val="0"/>
              <w:rPr>
                <w:rFonts w:eastAsia="Times New Roman" w:cs="Arial"/>
                <w:sz w:val="18"/>
                <w:szCs w:val="18"/>
              </w:rPr>
            </w:pPr>
          </w:p>
        </w:tc>
      </w:tr>
      <w:tr w:rsidR="00CF2A73" w:rsidRPr="00AD0961" w14:paraId="69EDB349" w14:textId="77777777" w:rsidTr="00CF2A73">
        <w:trPr>
          <w:trHeight w:hRule="exact" w:val="262"/>
        </w:trPr>
        <w:tc>
          <w:tcPr>
            <w:tcW w:w="1274" w:type="pct"/>
            <w:vAlign w:val="center"/>
          </w:tcPr>
          <w:p w14:paraId="46722733"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Osnivački kapital</w:t>
            </w:r>
          </w:p>
        </w:tc>
        <w:tc>
          <w:tcPr>
            <w:tcW w:w="534" w:type="pct"/>
            <w:vAlign w:val="center"/>
          </w:tcPr>
          <w:p w14:paraId="2456A0D4"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486" w:type="pct"/>
            <w:vAlign w:val="center"/>
          </w:tcPr>
          <w:p w14:paraId="2A649B91"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488" w:type="pct"/>
            <w:vAlign w:val="center"/>
          </w:tcPr>
          <w:p w14:paraId="70B0C624"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21" w:type="pct"/>
            <w:vAlign w:val="center"/>
          </w:tcPr>
          <w:p w14:paraId="48AE4352"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89" w:type="pct"/>
            <w:vAlign w:val="center"/>
          </w:tcPr>
          <w:p w14:paraId="60597E86"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54" w:type="pct"/>
            <w:tcBorders>
              <w:top w:val="nil"/>
              <w:left w:val="nil"/>
              <w:bottom w:val="nil"/>
              <w:right w:val="nil"/>
            </w:tcBorders>
            <w:shd w:val="clear" w:color="auto" w:fill="auto"/>
            <w:vAlign w:val="bottom"/>
          </w:tcPr>
          <w:p w14:paraId="6457BD6F" w14:textId="6EC22E31"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6.959.632</w:t>
            </w:r>
          </w:p>
        </w:tc>
        <w:tc>
          <w:tcPr>
            <w:tcW w:w="555" w:type="pct"/>
            <w:tcBorders>
              <w:top w:val="nil"/>
              <w:left w:val="nil"/>
              <w:bottom w:val="nil"/>
              <w:right w:val="nil"/>
            </w:tcBorders>
            <w:shd w:val="clear" w:color="auto" w:fill="auto"/>
            <w:vAlign w:val="bottom"/>
          </w:tcPr>
          <w:p w14:paraId="150B349A" w14:textId="18F324E0"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6.959.632</w:t>
            </w:r>
          </w:p>
        </w:tc>
      </w:tr>
      <w:tr w:rsidR="00CF2A73" w:rsidRPr="00AD0961" w14:paraId="34BE0654" w14:textId="77777777" w:rsidTr="00CF2A73">
        <w:trPr>
          <w:trHeight w:hRule="exact" w:val="262"/>
        </w:trPr>
        <w:tc>
          <w:tcPr>
            <w:tcW w:w="1274" w:type="pct"/>
            <w:vAlign w:val="center"/>
          </w:tcPr>
          <w:p w14:paraId="5F03F253"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Zadržana dobit i rezerve</w:t>
            </w:r>
          </w:p>
        </w:tc>
        <w:tc>
          <w:tcPr>
            <w:tcW w:w="534" w:type="pct"/>
            <w:vAlign w:val="center"/>
          </w:tcPr>
          <w:p w14:paraId="35744F31"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486" w:type="pct"/>
            <w:vAlign w:val="center"/>
          </w:tcPr>
          <w:p w14:paraId="4A0EDA00"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488" w:type="pct"/>
            <w:vAlign w:val="center"/>
          </w:tcPr>
          <w:p w14:paraId="36CE0B9D"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21" w:type="pct"/>
            <w:vAlign w:val="center"/>
          </w:tcPr>
          <w:p w14:paraId="19A0692B"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89" w:type="pct"/>
            <w:vAlign w:val="center"/>
          </w:tcPr>
          <w:p w14:paraId="39EF5603"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54" w:type="pct"/>
            <w:tcBorders>
              <w:top w:val="nil"/>
              <w:left w:val="nil"/>
              <w:bottom w:val="nil"/>
              <w:right w:val="nil"/>
            </w:tcBorders>
            <w:shd w:val="clear" w:color="auto" w:fill="auto"/>
            <w:vAlign w:val="bottom"/>
          </w:tcPr>
          <w:p w14:paraId="2DC37E31" w14:textId="4DFF8FD3"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2.682.127</w:t>
            </w:r>
          </w:p>
        </w:tc>
        <w:tc>
          <w:tcPr>
            <w:tcW w:w="555" w:type="pct"/>
            <w:tcBorders>
              <w:top w:val="nil"/>
              <w:left w:val="nil"/>
              <w:bottom w:val="nil"/>
              <w:right w:val="nil"/>
            </w:tcBorders>
            <w:shd w:val="clear" w:color="auto" w:fill="auto"/>
            <w:vAlign w:val="bottom"/>
          </w:tcPr>
          <w:p w14:paraId="3FCCF41E" w14:textId="2E297FC4"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2.682.127</w:t>
            </w:r>
          </w:p>
        </w:tc>
      </w:tr>
      <w:tr w:rsidR="00CF2A73" w:rsidRPr="00AD0961" w14:paraId="24CCF1F9" w14:textId="77777777" w:rsidTr="00CF2A73">
        <w:trPr>
          <w:trHeight w:hRule="exact" w:val="262"/>
        </w:trPr>
        <w:tc>
          <w:tcPr>
            <w:tcW w:w="1274" w:type="pct"/>
            <w:vAlign w:val="center"/>
          </w:tcPr>
          <w:p w14:paraId="79059FC6"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Ostale rezerve</w:t>
            </w:r>
          </w:p>
        </w:tc>
        <w:tc>
          <w:tcPr>
            <w:tcW w:w="534" w:type="pct"/>
            <w:vAlign w:val="center"/>
          </w:tcPr>
          <w:p w14:paraId="67CF7845"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486" w:type="pct"/>
            <w:vAlign w:val="center"/>
          </w:tcPr>
          <w:p w14:paraId="1D45ED53"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488" w:type="pct"/>
            <w:vAlign w:val="center"/>
          </w:tcPr>
          <w:p w14:paraId="1EAE3F1A"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21" w:type="pct"/>
            <w:vAlign w:val="center"/>
          </w:tcPr>
          <w:p w14:paraId="1DB799E5"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89" w:type="pct"/>
            <w:vAlign w:val="center"/>
          </w:tcPr>
          <w:p w14:paraId="2797AAAD" w14:textId="77777777" w:rsidR="00AD0961" w:rsidRPr="00CF2A73" w:rsidRDefault="00AD0961" w:rsidP="00AD0961">
            <w:pPr>
              <w:tabs>
                <w:tab w:val="right" w:pos="1202"/>
              </w:tabs>
              <w:spacing w:after="0" w:line="301" w:lineRule="exact"/>
              <w:jc w:val="right"/>
              <w:outlineLvl w:val="0"/>
              <w:rPr>
                <w:rFonts w:eastAsia="Times New Roman" w:cs="Arial"/>
                <w:spacing w:val="-2"/>
                <w:sz w:val="18"/>
                <w:szCs w:val="18"/>
              </w:rPr>
            </w:pPr>
            <w:r w:rsidRPr="00CF2A73">
              <w:rPr>
                <w:rFonts w:eastAsia="Times New Roman" w:cs="Arial"/>
                <w:spacing w:val="-2"/>
                <w:sz w:val="18"/>
                <w:szCs w:val="18"/>
                <w:lang w:val="en-GB"/>
              </w:rPr>
              <w:t>-</w:t>
            </w:r>
          </w:p>
        </w:tc>
        <w:tc>
          <w:tcPr>
            <w:tcW w:w="554" w:type="pct"/>
            <w:tcBorders>
              <w:top w:val="nil"/>
              <w:left w:val="nil"/>
              <w:right w:val="nil"/>
            </w:tcBorders>
            <w:shd w:val="clear" w:color="auto" w:fill="auto"/>
            <w:vAlign w:val="bottom"/>
          </w:tcPr>
          <w:p w14:paraId="007B8971" w14:textId="6080802D"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73.733</w:t>
            </w:r>
          </w:p>
        </w:tc>
        <w:tc>
          <w:tcPr>
            <w:tcW w:w="555" w:type="pct"/>
            <w:tcBorders>
              <w:top w:val="nil"/>
              <w:left w:val="nil"/>
              <w:right w:val="nil"/>
            </w:tcBorders>
            <w:shd w:val="clear" w:color="auto" w:fill="auto"/>
            <w:vAlign w:val="bottom"/>
          </w:tcPr>
          <w:p w14:paraId="1E545852" w14:textId="7DA81549"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73.733</w:t>
            </w:r>
          </w:p>
        </w:tc>
      </w:tr>
      <w:tr w:rsidR="00CF2A73" w:rsidRPr="00AD0961" w14:paraId="390201D2" w14:textId="77777777" w:rsidTr="00CF2A73">
        <w:trPr>
          <w:trHeight w:hRule="exact" w:val="262"/>
        </w:trPr>
        <w:tc>
          <w:tcPr>
            <w:tcW w:w="1274" w:type="pct"/>
            <w:vAlign w:val="center"/>
          </w:tcPr>
          <w:p w14:paraId="656B9491"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Dobit tekuće godine</w:t>
            </w:r>
          </w:p>
        </w:tc>
        <w:tc>
          <w:tcPr>
            <w:tcW w:w="534" w:type="pct"/>
            <w:tcBorders>
              <w:bottom w:val="single" w:sz="6" w:space="0" w:color="auto"/>
            </w:tcBorders>
            <w:vAlign w:val="center"/>
          </w:tcPr>
          <w:p w14:paraId="6B2F5C39" w14:textId="77777777" w:rsidR="00AD0961" w:rsidRPr="00CF2A73" w:rsidRDefault="00AD0961" w:rsidP="00AD0961">
            <w:pPr>
              <w:spacing w:after="0" w:line="240" w:lineRule="auto"/>
              <w:jc w:val="right"/>
              <w:rPr>
                <w:rFonts w:eastAsia="Times New Roman" w:cs="Arial"/>
                <w:spacing w:val="-2"/>
                <w:sz w:val="18"/>
                <w:szCs w:val="18"/>
              </w:rPr>
            </w:pPr>
            <w:r w:rsidRPr="00CF2A73">
              <w:rPr>
                <w:rFonts w:eastAsia="Times New Roman" w:cs="Arial"/>
                <w:spacing w:val="-2"/>
                <w:sz w:val="18"/>
                <w:szCs w:val="18"/>
                <w:lang w:val="en-GB"/>
              </w:rPr>
              <w:t>-</w:t>
            </w:r>
          </w:p>
        </w:tc>
        <w:tc>
          <w:tcPr>
            <w:tcW w:w="486" w:type="pct"/>
            <w:tcBorders>
              <w:bottom w:val="single" w:sz="6" w:space="0" w:color="auto"/>
            </w:tcBorders>
            <w:vAlign w:val="center"/>
          </w:tcPr>
          <w:p w14:paraId="12F1DB44" w14:textId="77777777" w:rsidR="00AD0961" w:rsidRPr="00CF2A73" w:rsidRDefault="00AD0961" w:rsidP="00AD0961">
            <w:pPr>
              <w:spacing w:after="0" w:line="240" w:lineRule="auto"/>
              <w:jc w:val="right"/>
              <w:rPr>
                <w:rFonts w:eastAsia="Times New Roman" w:cs="Arial"/>
                <w:spacing w:val="-2"/>
                <w:sz w:val="18"/>
                <w:szCs w:val="18"/>
              </w:rPr>
            </w:pPr>
            <w:r w:rsidRPr="00CF2A73">
              <w:rPr>
                <w:rFonts w:eastAsia="Times New Roman" w:cs="Arial"/>
                <w:spacing w:val="-2"/>
                <w:sz w:val="18"/>
                <w:szCs w:val="18"/>
                <w:lang w:val="en-GB"/>
              </w:rPr>
              <w:t>-</w:t>
            </w:r>
          </w:p>
        </w:tc>
        <w:tc>
          <w:tcPr>
            <w:tcW w:w="488" w:type="pct"/>
            <w:tcBorders>
              <w:bottom w:val="single" w:sz="6" w:space="0" w:color="auto"/>
            </w:tcBorders>
            <w:vAlign w:val="center"/>
          </w:tcPr>
          <w:p w14:paraId="63756A30" w14:textId="77777777" w:rsidR="00AD0961" w:rsidRPr="00CF2A73" w:rsidRDefault="00AD0961" w:rsidP="00AD0961">
            <w:pPr>
              <w:spacing w:after="0" w:line="240" w:lineRule="auto"/>
              <w:jc w:val="right"/>
              <w:rPr>
                <w:rFonts w:eastAsia="Times New Roman" w:cs="Arial"/>
                <w:spacing w:val="-2"/>
                <w:sz w:val="18"/>
                <w:szCs w:val="18"/>
              </w:rPr>
            </w:pPr>
            <w:r w:rsidRPr="00CF2A73">
              <w:rPr>
                <w:rFonts w:eastAsia="Times New Roman" w:cs="Arial"/>
                <w:spacing w:val="-2"/>
                <w:sz w:val="18"/>
                <w:szCs w:val="18"/>
                <w:lang w:val="en-GB"/>
              </w:rPr>
              <w:t>-</w:t>
            </w:r>
          </w:p>
        </w:tc>
        <w:tc>
          <w:tcPr>
            <w:tcW w:w="521" w:type="pct"/>
            <w:tcBorders>
              <w:bottom w:val="single" w:sz="6" w:space="0" w:color="auto"/>
            </w:tcBorders>
            <w:vAlign w:val="center"/>
          </w:tcPr>
          <w:p w14:paraId="2A778CE7" w14:textId="77777777" w:rsidR="00AD0961" w:rsidRPr="00CF2A73" w:rsidRDefault="00AD0961" w:rsidP="00AD0961">
            <w:pPr>
              <w:spacing w:after="0" w:line="240" w:lineRule="auto"/>
              <w:jc w:val="right"/>
              <w:rPr>
                <w:rFonts w:eastAsia="Times New Roman" w:cs="Arial"/>
                <w:spacing w:val="-2"/>
                <w:sz w:val="18"/>
                <w:szCs w:val="18"/>
              </w:rPr>
            </w:pPr>
            <w:r w:rsidRPr="00CF2A73">
              <w:rPr>
                <w:rFonts w:eastAsia="Times New Roman" w:cs="Arial"/>
                <w:spacing w:val="-2"/>
                <w:sz w:val="18"/>
                <w:szCs w:val="18"/>
                <w:lang w:val="en-GB"/>
              </w:rPr>
              <w:t>-</w:t>
            </w:r>
          </w:p>
        </w:tc>
        <w:tc>
          <w:tcPr>
            <w:tcW w:w="589" w:type="pct"/>
            <w:tcBorders>
              <w:bottom w:val="single" w:sz="6" w:space="0" w:color="auto"/>
            </w:tcBorders>
            <w:vAlign w:val="center"/>
          </w:tcPr>
          <w:p w14:paraId="47654F1C" w14:textId="77777777" w:rsidR="00AD0961" w:rsidRPr="00CF2A73" w:rsidRDefault="00AD0961" w:rsidP="00AD0961">
            <w:pPr>
              <w:spacing w:after="0" w:line="240" w:lineRule="auto"/>
              <w:jc w:val="right"/>
              <w:rPr>
                <w:rFonts w:eastAsia="Times New Roman" w:cs="Arial"/>
                <w:spacing w:val="-2"/>
                <w:sz w:val="18"/>
                <w:szCs w:val="18"/>
              </w:rPr>
            </w:pPr>
            <w:r w:rsidRPr="00CF2A73">
              <w:rPr>
                <w:rFonts w:eastAsia="Times New Roman" w:cs="Arial"/>
                <w:spacing w:val="-2"/>
                <w:sz w:val="18"/>
                <w:szCs w:val="18"/>
                <w:lang w:val="en-GB"/>
              </w:rPr>
              <w:t>-</w:t>
            </w:r>
          </w:p>
        </w:tc>
        <w:tc>
          <w:tcPr>
            <w:tcW w:w="554" w:type="pct"/>
            <w:tcBorders>
              <w:top w:val="nil"/>
              <w:left w:val="nil"/>
              <w:bottom w:val="single" w:sz="6" w:space="0" w:color="auto"/>
              <w:right w:val="nil"/>
            </w:tcBorders>
            <w:shd w:val="clear" w:color="auto" w:fill="auto"/>
            <w:vAlign w:val="bottom"/>
          </w:tcPr>
          <w:p w14:paraId="1498D32B" w14:textId="6CD74DCF" w:rsidR="00AD0961" w:rsidRPr="00CF2A73" w:rsidRDefault="00AD0961" w:rsidP="00AD0961">
            <w:pPr>
              <w:spacing w:after="0" w:line="240" w:lineRule="auto"/>
              <w:jc w:val="right"/>
              <w:rPr>
                <w:rFonts w:eastAsia="Times New Roman" w:cs="Arial"/>
                <w:sz w:val="18"/>
                <w:szCs w:val="18"/>
              </w:rPr>
            </w:pPr>
            <w:r w:rsidRPr="00CF2A73">
              <w:rPr>
                <w:rFonts w:ascii="Calibri" w:hAnsi="Calibri"/>
                <w:color w:val="000000"/>
                <w:sz w:val="18"/>
                <w:szCs w:val="18"/>
              </w:rPr>
              <w:t>314.841</w:t>
            </w:r>
          </w:p>
        </w:tc>
        <w:tc>
          <w:tcPr>
            <w:tcW w:w="555" w:type="pct"/>
            <w:tcBorders>
              <w:top w:val="nil"/>
              <w:left w:val="nil"/>
              <w:bottom w:val="single" w:sz="6" w:space="0" w:color="auto"/>
              <w:right w:val="nil"/>
            </w:tcBorders>
            <w:shd w:val="clear" w:color="auto" w:fill="auto"/>
            <w:vAlign w:val="bottom"/>
          </w:tcPr>
          <w:p w14:paraId="45E9E4F9" w14:textId="5DF63029" w:rsidR="00AD0961" w:rsidRPr="00CF2A73" w:rsidRDefault="00AD0961" w:rsidP="00AD0961">
            <w:pPr>
              <w:spacing w:after="0" w:line="240" w:lineRule="auto"/>
              <w:jc w:val="right"/>
              <w:rPr>
                <w:rFonts w:eastAsia="Times New Roman" w:cs="Arial"/>
                <w:bCs/>
                <w:sz w:val="18"/>
                <w:szCs w:val="18"/>
              </w:rPr>
            </w:pPr>
            <w:r w:rsidRPr="00CF2A73">
              <w:rPr>
                <w:rFonts w:ascii="Calibri" w:hAnsi="Calibri"/>
                <w:color w:val="000000"/>
                <w:sz w:val="18"/>
                <w:szCs w:val="18"/>
              </w:rPr>
              <w:t>314.841</w:t>
            </w:r>
          </w:p>
        </w:tc>
      </w:tr>
      <w:tr w:rsidR="00CF2A73" w:rsidRPr="00AD0961" w14:paraId="5AB32A21" w14:textId="77777777" w:rsidTr="00CF2A73">
        <w:trPr>
          <w:trHeight w:hRule="exact" w:val="458"/>
        </w:trPr>
        <w:tc>
          <w:tcPr>
            <w:tcW w:w="1274" w:type="pct"/>
            <w:vAlign w:val="center"/>
          </w:tcPr>
          <w:p w14:paraId="1D0C9535" w14:textId="77777777" w:rsidR="00AD0961" w:rsidRPr="00AD0961" w:rsidRDefault="00AD0961" w:rsidP="00AD0961">
            <w:pPr>
              <w:tabs>
                <w:tab w:val="right" w:pos="1202"/>
              </w:tabs>
              <w:spacing w:after="0" w:line="240" w:lineRule="exact"/>
              <w:outlineLvl w:val="0"/>
              <w:rPr>
                <w:rFonts w:eastAsia="Times New Roman" w:cs="Arial"/>
                <w:b/>
                <w:bCs/>
                <w:sz w:val="17"/>
                <w:szCs w:val="17"/>
              </w:rPr>
            </w:pPr>
            <w:r w:rsidRPr="00AD0961">
              <w:rPr>
                <w:rFonts w:eastAsia="Times New Roman" w:cs="Arial"/>
                <w:b/>
                <w:bCs/>
                <w:sz w:val="17"/>
                <w:szCs w:val="17"/>
              </w:rPr>
              <w:t>Ukupni kapital koji pripada vlasnicima društva</w:t>
            </w:r>
          </w:p>
        </w:tc>
        <w:tc>
          <w:tcPr>
            <w:tcW w:w="534" w:type="pct"/>
            <w:tcBorders>
              <w:top w:val="single" w:sz="6" w:space="0" w:color="auto"/>
            </w:tcBorders>
            <w:vAlign w:val="center"/>
          </w:tcPr>
          <w:p w14:paraId="06C4C369"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486" w:type="pct"/>
            <w:tcBorders>
              <w:top w:val="single" w:sz="6" w:space="0" w:color="auto"/>
            </w:tcBorders>
            <w:vAlign w:val="center"/>
          </w:tcPr>
          <w:p w14:paraId="45894C9D"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488" w:type="pct"/>
            <w:tcBorders>
              <w:top w:val="single" w:sz="6" w:space="0" w:color="auto"/>
            </w:tcBorders>
            <w:vAlign w:val="center"/>
          </w:tcPr>
          <w:p w14:paraId="3F4D0916"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21" w:type="pct"/>
            <w:tcBorders>
              <w:top w:val="single" w:sz="6" w:space="0" w:color="auto"/>
            </w:tcBorders>
            <w:vAlign w:val="center"/>
          </w:tcPr>
          <w:p w14:paraId="096279F8"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89" w:type="pct"/>
            <w:tcBorders>
              <w:top w:val="single" w:sz="6" w:space="0" w:color="auto"/>
            </w:tcBorders>
            <w:vAlign w:val="center"/>
          </w:tcPr>
          <w:p w14:paraId="21EDE4EE"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54" w:type="pct"/>
            <w:tcBorders>
              <w:top w:val="single" w:sz="6" w:space="0" w:color="auto"/>
              <w:left w:val="nil"/>
              <w:right w:val="nil"/>
            </w:tcBorders>
            <w:shd w:val="clear" w:color="auto" w:fill="auto"/>
            <w:vAlign w:val="bottom"/>
          </w:tcPr>
          <w:p w14:paraId="3E743D07" w14:textId="6B5E75B4"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b/>
                <w:bCs/>
                <w:color w:val="000000"/>
                <w:sz w:val="18"/>
                <w:szCs w:val="18"/>
              </w:rPr>
              <w:t>10.030.333</w:t>
            </w:r>
          </w:p>
        </w:tc>
        <w:tc>
          <w:tcPr>
            <w:tcW w:w="555" w:type="pct"/>
            <w:tcBorders>
              <w:top w:val="single" w:sz="6" w:space="0" w:color="auto"/>
              <w:left w:val="nil"/>
              <w:right w:val="nil"/>
            </w:tcBorders>
            <w:shd w:val="clear" w:color="auto" w:fill="auto"/>
            <w:vAlign w:val="bottom"/>
          </w:tcPr>
          <w:p w14:paraId="0C5602B9" w14:textId="3969AABA"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b/>
                <w:bCs/>
                <w:color w:val="000000"/>
                <w:sz w:val="18"/>
                <w:szCs w:val="18"/>
              </w:rPr>
              <w:t>10.030.333</w:t>
            </w:r>
          </w:p>
        </w:tc>
      </w:tr>
      <w:tr w:rsidR="00CF2A73" w:rsidRPr="00AD0961" w14:paraId="6BD3DE11" w14:textId="77777777" w:rsidTr="00CF2A73">
        <w:trPr>
          <w:trHeight w:hRule="exact" w:val="121"/>
        </w:trPr>
        <w:tc>
          <w:tcPr>
            <w:tcW w:w="1274" w:type="pct"/>
            <w:vAlign w:val="center"/>
          </w:tcPr>
          <w:p w14:paraId="2664134D" w14:textId="77777777" w:rsidR="004B16B5" w:rsidRPr="00AD0961" w:rsidRDefault="004B16B5" w:rsidP="003D5BE9">
            <w:pPr>
              <w:tabs>
                <w:tab w:val="right" w:pos="1202"/>
              </w:tabs>
              <w:spacing w:after="0" w:line="301" w:lineRule="exact"/>
              <w:outlineLvl w:val="0"/>
              <w:rPr>
                <w:rFonts w:eastAsia="Times New Roman" w:cs="Arial"/>
                <w:bCs/>
                <w:sz w:val="17"/>
                <w:szCs w:val="17"/>
              </w:rPr>
            </w:pPr>
          </w:p>
        </w:tc>
        <w:tc>
          <w:tcPr>
            <w:tcW w:w="534" w:type="pct"/>
            <w:tcBorders>
              <w:bottom w:val="single" w:sz="12" w:space="0" w:color="auto"/>
            </w:tcBorders>
            <w:vAlign w:val="center"/>
          </w:tcPr>
          <w:p w14:paraId="6845263F" w14:textId="77777777" w:rsidR="004B16B5" w:rsidRPr="00CF2A73" w:rsidRDefault="004B16B5" w:rsidP="003D5BE9">
            <w:pPr>
              <w:tabs>
                <w:tab w:val="right" w:pos="1202"/>
              </w:tabs>
              <w:spacing w:after="0" w:line="340" w:lineRule="exact"/>
              <w:jc w:val="right"/>
              <w:outlineLvl w:val="0"/>
              <w:rPr>
                <w:rFonts w:eastAsia="Times New Roman" w:cs="Arial"/>
                <w:bCs/>
                <w:spacing w:val="-2"/>
                <w:sz w:val="18"/>
                <w:szCs w:val="18"/>
              </w:rPr>
            </w:pPr>
          </w:p>
        </w:tc>
        <w:tc>
          <w:tcPr>
            <w:tcW w:w="486" w:type="pct"/>
            <w:tcBorders>
              <w:bottom w:val="single" w:sz="12" w:space="0" w:color="auto"/>
            </w:tcBorders>
            <w:vAlign w:val="center"/>
          </w:tcPr>
          <w:p w14:paraId="3FD91E58" w14:textId="77777777" w:rsidR="004B16B5" w:rsidRPr="00CF2A73" w:rsidRDefault="004B16B5" w:rsidP="003D5BE9">
            <w:pPr>
              <w:tabs>
                <w:tab w:val="right" w:pos="1202"/>
              </w:tabs>
              <w:spacing w:after="0" w:line="340" w:lineRule="exact"/>
              <w:jc w:val="right"/>
              <w:outlineLvl w:val="0"/>
              <w:rPr>
                <w:rFonts w:eastAsia="Times New Roman" w:cs="Arial"/>
                <w:bCs/>
                <w:spacing w:val="-2"/>
                <w:sz w:val="18"/>
                <w:szCs w:val="18"/>
              </w:rPr>
            </w:pPr>
          </w:p>
        </w:tc>
        <w:tc>
          <w:tcPr>
            <w:tcW w:w="488" w:type="pct"/>
            <w:tcBorders>
              <w:bottom w:val="single" w:sz="12" w:space="0" w:color="auto"/>
            </w:tcBorders>
            <w:vAlign w:val="center"/>
          </w:tcPr>
          <w:p w14:paraId="076DFF8C" w14:textId="77777777" w:rsidR="004B16B5" w:rsidRPr="00CF2A73" w:rsidRDefault="004B16B5" w:rsidP="003D5BE9">
            <w:pPr>
              <w:tabs>
                <w:tab w:val="right" w:pos="1202"/>
              </w:tabs>
              <w:spacing w:after="0" w:line="340" w:lineRule="exact"/>
              <w:jc w:val="right"/>
              <w:outlineLvl w:val="0"/>
              <w:rPr>
                <w:rFonts w:eastAsia="Times New Roman" w:cs="Arial"/>
                <w:bCs/>
                <w:spacing w:val="-2"/>
                <w:sz w:val="18"/>
                <w:szCs w:val="18"/>
              </w:rPr>
            </w:pPr>
          </w:p>
        </w:tc>
        <w:tc>
          <w:tcPr>
            <w:tcW w:w="521" w:type="pct"/>
            <w:tcBorders>
              <w:bottom w:val="single" w:sz="12" w:space="0" w:color="auto"/>
            </w:tcBorders>
            <w:vAlign w:val="center"/>
          </w:tcPr>
          <w:p w14:paraId="21F14EB7" w14:textId="77777777" w:rsidR="004B16B5" w:rsidRPr="00CF2A73" w:rsidRDefault="004B16B5" w:rsidP="003D5BE9">
            <w:pPr>
              <w:tabs>
                <w:tab w:val="right" w:pos="1202"/>
              </w:tabs>
              <w:spacing w:after="0" w:line="340" w:lineRule="exact"/>
              <w:jc w:val="right"/>
              <w:outlineLvl w:val="0"/>
              <w:rPr>
                <w:rFonts w:eastAsia="Times New Roman" w:cs="Arial"/>
                <w:bCs/>
                <w:spacing w:val="-2"/>
                <w:sz w:val="18"/>
                <w:szCs w:val="18"/>
              </w:rPr>
            </w:pPr>
          </w:p>
        </w:tc>
        <w:tc>
          <w:tcPr>
            <w:tcW w:w="589" w:type="pct"/>
            <w:tcBorders>
              <w:bottom w:val="single" w:sz="12" w:space="0" w:color="auto"/>
            </w:tcBorders>
            <w:vAlign w:val="center"/>
          </w:tcPr>
          <w:p w14:paraId="41658671" w14:textId="77777777" w:rsidR="004B16B5" w:rsidRPr="00CF2A73" w:rsidRDefault="004B16B5" w:rsidP="003D5BE9">
            <w:pPr>
              <w:tabs>
                <w:tab w:val="right" w:pos="1202"/>
              </w:tabs>
              <w:spacing w:after="0" w:line="340" w:lineRule="exact"/>
              <w:jc w:val="right"/>
              <w:outlineLvl w:val="0"/>
              <w:rPr>
                <w:rFonts w:eastAsia="Times New Roman" w:cs="Arial"/>
                <w:bCs/>
                <w:spacing w:val="-2"/>
                <w:sz w:val="18"/>
                <w:szCs w:val="18"/>
              </w:rPr>
            </w:pPr>
          </w:p>
        </w:tc>
        <w:tc>
          <w:tcPr>
            <w:tcW w:w="554" w:type="pct"/>
            <w:tcBorders>
              <w:bottom w:val="single" w:sz="12" w:space="0" w:color="auto"/>
            </w:tcBorders>
            <w:vAlign w:val="center"/>
          </w:tcPr>
          <w:p w14:paraId="6EE36D39" w14:textId="77777777" w:rsidR="004B16B5" w:rsidRPr="00CF2A73" w:rsidRDefault="004B16B5" w:rsidP="003D5BE9">
            <w:pPr>
              <w:spacing w:after="0" w:line="340" w:lineRule="exact"/>
              <w:jc w:val="right"/>
              <w:outlineLvl w:val="0"/>
              <w:rPr>
                <w:rFonts w:eastAsia="Times New Roman" w:cs="Arial"/>
                <w:bCs/>
                <w:spacing w:val="-2"/>
                <w:sz w:val="18"/>
                <w:szCs w:val="18"/>
              </w:rPr>
            </w:pPr>
          </w:p>
        </w:tc>
        <w:tc>
          <w:tcPr>
            <w:tcW w:w="555" w:type="pct"/>
            <w:tcBorders>
              <w:bottom w:val="single" w:sz="12" w:space="0" w:color="auto"/>
            </w:tcBorders>
            <w:vAlign w:val="center"/>
          </w:tcPr>
          <w:p w14:paraId="25E20B2F" w14:textId="77777777" w:rsidR="004B16B5" w:rsidRPr="00CF2A73" w:rsidRDefault="004B16B5" w:rsidP="003D5BE9">
            <w:pPr>
              <w:spacing w:after="0" w:line="340" w:lineRule="exact"/>
              <w:jc w:val="right"/>
              <w:outlineLvl w:val="0"/>
              <w:rPr>
                <w:rFonts w:eastAsia="Times New Roman" w:cs="Arial"/>
                <w:bCs/>
                <w:spacing w:val="-2"/>
                <w:sz w:val="18"/>
                <w:szCs w:val="18"/>
              </w:rPr>
            </w:pPr>
          </w:p>
        </w:tc>
      </w:tr>
      <w:tr w:rsidR="00CF2A73" w:rsidRPr="00AD0961" w14:paraId="1C49C6AB" w14:textId="77777777" w:rsidTr="00CF2A73">
        <w:trPr>
          <w:trHeight w:hRule="exact" w:val="262"/>
        </w:trPr>
        <w:tc>
          <w:tcPr>
            <w:tcW w:w="1274" w:type="pct"/>
            <w:vAlign w:val="center"/>
          </w:tcPr>
          <w:p w14:paraId="39FB23C5" w14:textId="77777777" w:rsidR="00AD0961" w:rsidRPr="00AD0961" w:rsidRDefault="00AD0961" w:rsidP="00AD0961">
            <w:pPr>
              <w:tabs>
                <w:tab w:val="left" w:pos="-720"/>
              </w:tabs>
              <w:suppressAutoHyphens/>
              <w:spacing w:after="0" w:line="240" w:lineRule="exact"/>
              <w:ind w:right="-5"/>
              <w:rPr>
                <w:rFonts w:eastAsia="Times New Roman" w:cs="Arial"/>
                <w:sz w:val="17"/>
                <w:szCs w:val="17"/>
              </w:rPr>
            </w:pPr>
            <w:r w:rsidRPr="00AD0961">
              <w:rPr>
                <w:rFonts w:eastAsia="Times New Roman" w:cs="Arial"/>
                <w:sz w:val="17"/>
                <w:szCs w:val="17"/>
              </w:rPr>
              <w:t>Garantni fond</w:t>
            </w:r>
          </w:p>
        </w:tc>
        <w:tc>
          <w:tcPr>
            <w:tcW w:w="534" w:type="pct"/>
            <w:tcBorders>
              <w:top w:val="single" w:sz="12" w:space="0" w:color="auto"/>
            </w:tcBorders>
            <w:vAlign w:val="center"/>
          </w:tcPr>
          <w:p w14:paraId="7297FE20"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486" w:type="pct"/>
            <w:tcBorders>
              <w:top w:val="single" w:sz="12" w:space="0" w:color="auto"/>
            </w:tcBorders>
            <w:vAlign w:val="center"/>
          </w:tcPr>
          <w:p w14:paraId="4BFD0F5B"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488" w:type="pct"/>
            <w:tcBorders>
              <w:top w:val="single" w:sz="12" w:space="0" w:color="auto"/>
            </w:tcBorders>
            <w:vAlign w:val="center"/>
          </w:tcPr>
          <w:p w14:paraId="4642E81B"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21" w:type="pct"/>
            <w:tcBorders>
              <w:top w:val="single" w:sz="12" w:space="0" w:color="auto"/>
            </w:tcBorders>
            <w:vAlign w:val="center"/>
          </w:tcPr>
          <w:p w14:paraId="0FCF29AE"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89" w:type="pct"/>
            <w:tcBorders>
              <w:top w:val="single" w:sz="12" w:space="0" w:color="auto"/>
            </w:tcBorders>
            <w:vAlign w:val="center"/>
          </w:tcPr>
          <w:p w14:paraId="197EB1D5"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54" w:type="pct"/>
            <w:tcBorders>
              <w:top w:val="single" w:sz="12" w:space="0" w:color="auto"/>
              <w:left w:val="nil"/>
              <w:right w:val="nil"/>
            </w:tcBorders>
            <w:shd w:val="clear" w:color="auto" w:fill="auto"/>
            <w:vAlign w:val="bottom"/>
          </w:tcPr>
          <w:p w14:paraId="2C790602" w14:textId="5B7421EB"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color w:val="000000"/>
                <w:sz w:val="18"/>
                <w:szCs w:val="18"/>
              </w:rPr>
              <w:t>12.375</w:t>
            </w:r>
          </w:p>
        </w:tc>
        <w:tc>
          <w:tcPr>
            <w:tcW w:w="555" w:type="pct"/>
            <w:tcBorders>
              <w:top w:val="single" w:sz="12" w:space="0" w:color="auto"/>
              <w:left w:val="nil"/>
              <w:right w:val="nil"/>
            </w:tcBorders>
            <w:shd w:val="clear" w:color="auto" w:fill="auto"/>
            <w:vAlign w:val="bottom"/>
          </w:tcPr>
          <w:p w14:paraId="39E83519" w14:textId="4C254B0A"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color w:val="000000"/>
                <w:sz w:val="18"/>
                <w:szCs w:val="18"/>
              </w:rPr>
              <w:t>12.375</w:t>
            </w:r>
          </w:p>
        </w:tc>
      </w:tr>
      <w:tr w:rsidR="00CF2A73" w:rsidRPr="00AD0961" w14:paraId="3F4F4578" w14:textId="77777777" w:rsidTr="00CF2A73">
        <w:trPr>
          <w:trHeight w:hRule="exact" w:val="66"/>
        </w:trPr>
        <w:tc>
          <w:tcPr>
            <w:tcW w:w="1274" w:type="pct"/>
            <w:vAlign w:val="center"/>
          </w:tcPr>
          <w:p w14:paraId="555745A4" w14:textId="77777777" w:rsidR="004B16B5" w:rsidRPr="00AD0961" w:rsidRDefault="004B16B5" w:rsidP="003D5BE9">
            <w:pPr>
              <w:tabs>
                <w:tab w:val="right" w:pos="1202"/>
              </w:tabs>
              <w:spacing w:after="0" w:line="301" w:lineRule="exact"/>
              <w:outlineLvl w:val="0"/>
              <w:rPr>
                <w:rFonts w:eastAsia="Times New Roman" w:cs="Arial"/>
                <w:sz w:val="17"/>
                <w:szCs w:val="17"/>
              </w:rPr>
            </w:pPr>
          </w:p>
        </w:tc>
        <w:tc>
          <w:tcPr>
            <w:tcW w:w="534" w:type="pct"/>
            <w:tcBorders>
              <w:bottom w:val="single" w:sz="6" w:space="0" w:color="auto"/>
            </w:tcBorders>
            <w:vAlign w:val="center"/>
          </w:tcPr>
          <w:p w14:paraId="10179546" w14:textId="77777777" w:rsidR="004B16B5" w:rsidRPr="00CF2A73" w:rsidRDefault="004B16B5" w:rsidP="003D5BE9">
            <w:pPr>
              <w:tabs>
                <w:tab w:val="right" w:pos="1202"/>
              </w:tabs>
              <w:spacing w:after="0" w:line="340" w:lineRule="exact"/>
              <w:jc w:val="right"/>
              <w:outlineLvl w:val="0"/>
              <w:rPr>
                <w:rFonts w:eastAsia="Times New Roman" w:cs="Arial"/>
                <w:spacing w:val="-2"/>
                <w:sz w:val="18"/>
                <w:szCs w:val="18"/>
              </w:rPr>
            </w:pPr>
          </w:p>
        </w:tc>
        <w:tc>
          <w:tcPr>
            <w:tcW w:w="486" w:type="pct"/>
            <w:tcBorders>
              <w:bottom w:val="single" w:sz="6" w:space="0" w:color="auto"/>
            </w:tcBorders>
            <w:vAlign w:val="center"/>
          </w:tcPr>
          <w:p w14:paraId="73C65919" w14:textId="77777777" w:rsidR="004B16B5" w:rsidRPr="00CF2A73" w:rsidRDefault="004B16B5" w:rsidP="003D5BE9">
            <w:pPr>
              <w:tabs>
                <w:tab w:val="right" w:pos="1202"/>
              </w:tabs>
              <w:spacing w:after="0" w:line="340" w:lineRule="exact"/>
              <w:jc w:val="right"/>
              <w:outlineLvl w:val="0"/>
              <w:rPr>
                <w:rFonts w:eastAsia="Times New Roman" w:cs="Arial"/>
                <w:spacing w:val="-2"/>
                <w:sz w:val="18"/>
                <w:szCs w:val="18"/>
              </w:rPr>
            </w:pPr>
          </w:p>
        </w:tc>
        <w:tc>
          <w:tcPr>
            <w:tcW w:w="488" w:type="pct"/>
            <w:tcBorders>
              <w:bottom w:val="single" w:sz="6" w:space="0" w:color="auto"/>
            </w:tcBorders>
            <w:vAlign w:val="center"/>
          </w:tcPr>
          <w:p w14:paraId="1B54F68A" w14:textId="77777777" w:rsidR="004B16B5" w:rsidRPr="00CF2A73" w:rsidRDefault="004B16B5" w:rsidP="003D5BE9">
            <w:pPr>
              <w:tabs>
                <w:tab w:val="right" w:pos="1202"/>
              </w:tabs>
              <w:spacing w:after="0" w:line="340" w:lineRule="exact"/>
              <w:jc w:val="right"/>
              <w:outlineLvl w:val="0"/>
              <w:rPr>
                <w:rFonts w:eastAsia="Times New Roman" w:cs="Arial"/>
                <w:spacing w:val="-2"/>
                <w:sz w:val="18"/>
                <w:szCs w:val="18"/>
              </w:rPr>
            </w:pPr>
          </w:p>
        </w:tc>
        <w:tc>
          <w:tcPr>
            <w:tcW w:w="521" w:type="pct"/>
            <w:tcBorders>
              <w:bottom w:val="single" w:sz="6" w:space="0" w:color="auto"/>
            </w:tcBorders>
            <w:vAlign w:val="center"/>
          </w:tcPr>
          <w:p w14:paraId="2582D9AF" w14:textId="77777777" w:rsidR="004B16B5" w:rsidRPr="00CF2A73" w:rsidRDefault="004B16B5" w:rsidP="003D5BE9">
            <w:pPr>
              <w:tabs>
                <w:tab w:val="right" w:pos="1202"/>
              </w:tabs>
              <w:spacing w:after="0" w:line="340" w:lineRule="exact"/>
              <w:jc w:val="right"/>
              <w:outlineLvl w:val="0"/>
              <w:rPr>
                <w:rFonts w:eastAsia="Times New Roman" w:cs="Arial"/>
                <w:spacing w:val="-2"/>
                <w:sz w:val="18"/>
                <w:szCs w:val="18"/>
              </w:rPr>
            </w:pPr>
          </w:p>
        </w:tc>
        <w:tc>
          <w:tcPr>
            <w:tcW w:w="589" w:type="pct"/>
            <w:tcBorders>
              <w:bottom w:val="single" w:sz="6" w:space="0" w:color="auto"/>
            </w:tcBorders>
            <w:vAlign w:val="center"/>
          </w:tcPr>
          <w:p w14:paraId="27E5E857" w14:textId="77777777" w:rsidR="004B16B5" w:rsidRPr="00CF2A73" w:rsidRDefault="004B16B5" w:rsidP="003D5BE9">
            <w:pPr>
              <w:tabs>
                <w:tab w:val="right" w:pos="1202"/>
              </w:tabs>
              <w:spacing w:after="0" w:line="340" w:lineRule="exact"/>
              <w:jc w:val="right"/>
              <w:outlineLvl w:val="0"/>
              <w:rPr>
                <w:rFonts w:eastAsia="Times New Roman" w:cs="Arial"/>
                <w:spacing w:val="-2"/>
                <w:sz w:val="18"/>
                <w:szCs w:val="18"/>
              </w:rPr>
            </w:pPr>
          </w:p>
        </w:tc>
        <w:tc>
          <w:tcPr>
            <w:tcW w:w="554" w:type="pct"/>
            <w:tcBorders>
              <w:bottom w:val="single" w:sz="6" w:space="0" w:color="auto"/>
            </w:tcBorders>
            <w:vAlign w:val="center"/>
          </w:tcPr>
          <w:p w14:paraId="3A0F1C4F" w14:textId="77777777" w:rsidR="004B16B5" w:rsidRPr="00CF2A73" w:rsidRDefault="004B16B5" w:rsidP="003D5BE9">
            <w:pPr>
              <w:spacing w:after="0" w:line="301" w:lineRule="exact"/>
              <w:jc w:val="right"/>
              <w:outlineLvl w:val="0"/>
              <w:rPr>
                <w:rFonts w:eastAsia="Times New Roman" w:cs="Arial"/>
                <w:spacing w:val="-2"/>
                <w:sz w:val="18"/>
                <w:szCs w:val="18"/>
              </w:rPr>
            </w:pPr>
          </w:p>
        </w:tc>
        <w:tc>
          <w:tcPr>
            <w:tcW w:w="555" w:type="pct"/>
            <w:tcBorders>
              <w:bottom w:val="single" w:sz="6" w:space="0" w:color="auto"/>
            </w:tcBorders>
            <w:vAlign w:val="center"/>
          </w:tcPr>
          <w:p w14:paraId="70BDE035" w14:textId="77777777" w:rsidR="004B16B5" w:rsidRPr="00CF2A73" w:rsidRDefault="004B16B5" w:rsidP="003D5BE9">
            <w:pPr>
              <w:spacing w:after="0" w:line="301" w:lineRule="exact"/>
              <w:jc w:val="right"/>
              <w:outlineLvl w:val="0"/>
              <w:rPr>
                <w:rFonts w:eastAsia="Times New Roman" w:cs="Arial"/>
                <w:spacing w:val="-2"/>
                <w:sz w:val="18"/>
                <w:szCs w:val="18"/>
              </w:rPr>
            </w:pPr>
          </w:p>
        </w:tc>
      </w:tr>
      <w:tr w:rsidR="00CF2A73" w:rsidRPr="00AD0961" w14:paraId="0746FCBE" w14:textId="77777777" w:rsidTr="00CF2A73">
        <w:trPr>
          <w:trHeight w:hRule="exact" w:val="262"/>
        </w:trPr>
        <w:tc>
          <w:tcPr>
            <w:tcW w:w="1274" w:type="pct"/>
            <w:vAlign w:val="center"/>
          </w:tcPr>
          <w:p w14:paraId="5F28DBF1" w14:textId="77777777" w:rsidR="00AD0961" w:rsidRPr="00AD0961" w:rsidRDefault="00AD0961" w:rsidP="00AD0961">
            <w:pPr>
              <w:tabs>
                <w:tab w:val="right" w:pos="1202"/>
              </w:tabs>
              <w:spacing w:after="0" w:line="240" w:lineRule="exact"/>
              <w:outlineLvl w:val="0"/>
              <w:rPr>
                <w:rFonts w:eastAsia="Times New Roman" w:cs="Arial"/>
                <w:b/>
                <w:bCs/>
                <w:sz w:val="17"/>
                <w:szCs w:val="17"/>
              </w:rPr>
            </w:pPr>
            <w:r w:rsidRPr="00AD0961">
              <w:rPr>
                <w:rFonts w:eastAsia="Times New Roman" w:cs="Arial"/>
                <w:b/>
                <w:bCs/>
                <w:sz w:val="17"/>
                <w:szCs w:val="17"/>
              </w:rPr>
              <w:t>Ukupna glavnica</w:t>
            </w:r>
          </w:p>
        </w:tc>
        <w:tc>
          <w:tcPr>
            <w:tcW w:w="534" w:type="pct"/>
            <w:tcBorders>
              <w:top w:val="single" w:sz="8" w:space="0" w:color="auto"/>
              <w:bottom w:val="single" w:sz="12" w:space="0" w:color="auto"/>
            </w:tcBorders>
            <w:vAlign w:val="center"/>
          </w:tcPr>
          <w:p w14:paraId="3D8A941A"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486" w:type="pct"/>
            <w:tcBorders>
              <w:top w:val="single" w:sz="8" w:space="0" w:color="auto"/>
              <w:bottom w:val="single" w:sz="12" w:space="0" w:color="auto"/>
            </w:tcBorders>
            <w:vAlign w:val="center"/>
          </w:tcPr>
          <w:p w14:paraId="08608456"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488" w:type="pct"/>
            <w:tcBorders>
              <w:top w:val="single" w:sz="8" w:space="0" w:color="auto"/>
              <w:bottom w:val="single" w:sz="12" w:space="0" w:color="auto"/>
            </w:tcBorders>
            <w:vAlign w:val="center"/>
          </w:tcPr>
          <w:p w14:paraId="79C19761"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21" w:type="pct"/>
            <w:tcBorders>
              <w:top w:val="single" w:sz="8" w:space="0" w:color="auto"/>
              <w:bottom w:val="single" w:sz="12" w:space="0" w:color="auto"/>
            </w:tcBorders>
            <w:vAlign w:val="center"/>
          </w:tcPr>
          <w:p w14:paraId="12D950AA"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89" w:type="pct"/>
            <w:tcBorders>
              <w:top w:val="single" w:sz="8" w:space="0" w:color="auto"/>
              <w:bottom w:val="single" w:sz="12" w:space="0" w:color="auto"/>
            </w:tcBorders>
            <w:vAlign w:val="center"/>
          </w:tcPr>
          <w:p w14:paraId="35F836F1" w14:textId="7777777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eastAsia="Times New Roman" w:cs="Arial"/>
                <w:b/>
                <w:bCs/>
                <w:color w:val="000000"/>
                <w:sz w:val="18"/>
                <w:szCs w:val="18"/>
                <w:lang w:val="en-US"/>
              </w:rPr>
              <w:t>-</w:t>
            </w:r>
          </w:p>
        </w:tc>
        <w:tc>
          <w:tcPr>
            <w:tcW w:w="554" w:type="pct"/>
            <w:tcBorders>
              <w:top w:val="single" w:sz="8" w:space="0" w:color="auto"/>
              <w:left w:val="nil"/>
              <w:bottom w:val="single" w:sz="8" w:space="0" w:color="auto"/>
              <w:right w:val="nil"/>
            </w:tcBorders>
            <w:shd w:val="clear" w:color="auto" w:fill="auto"/>
            <w:vAlign w:val="bottom"/>
          </w:tcPr>
          <w:p w14:paraId="0E608356" w14:textId="4DE7FEE7"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b/>
                <w:bCs/>
                <w:color w:val="000000"/>
                <w:sz w:val="18"/>
                <w:szCs w:val="18"/>
              </w:rPr>
              <w:t>10.042.708</w:t>
            </w:r>
          </w:p>
        </w:tc>
        <w:tc>
          <w:tcPr>
            <w:tcW w:w="555" w:type="pct"/>
            <w:tcBorders>
              <w:top w:val="single" w:sz="8" w:space="0" w:color="auto"/>
              <w:left w:val="nil"/>
              <w:bottom w:val="single" w:sz="8" w:space="0" w:color="auto"/>
              <w:right w:val="nil"/>
            </w:tcBorders>
            <w:shd w:val="clear" w:color="auto" w:fill="auto"/>
            <w:vAlign w:val="bottom"/>
          </w:tcPr>
          <w:p w14:paraId="279B2E2B" w14:textId="7C84B8B6"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b/>
                <w:bCs/>
                <w:color w:val="000000"/>
                <w:sz w:val="18"/>
                <w:szCs w:val="18"/>
              </w:rPr>
              <w:t>10.042.708</w:t>
            </w:r>
          </w:p>
        </w:tc>
      </w:tr>
      <w:tr w:rsidR="00CF2A73" w:rsidRPr="00AD0961" w14:paraId="036F198D" w14:textId="77777777" w:rsidTr="00CF2A73">
        <w:tblPrEx>
          <w:tblCellMar>
            <w:left w:w="108" w:type="dxa"/>
            <w:right w:w="108" w:type="dxa"/>
          </w:tblCellMar>
        </w:tblPrEx>
        <w:trPr>
          <w:trHeight w:hRule="exact" w:val="95"/>
        </w:trPr>
        <w:tc>
          <w:tcPr>
            <w:tcW w:w="1274" w:type="pct"/>
            <w:vAlign w:val="center"/>
          </w:tcPr>
          <w:p w14:paraId="495AC5B0" w14:textId="77777777" w:rsidR="004B16B5" w:rsidRPr="00AD0961" w:rsidRDefault="004B16B5" w:rsidP="003D5BE9">
            <w:pPr>
              <w:tabs>
                <w:tab w:val="right" w:pos="1202"/>
              </w:tabs>
              <w:spacing w:after="0" w:line="240" w:lineRule="exact"/>
              <w:outlineLvl w:val="0"/>
              <w:rPr>
                <w:rFonts w:eastAsia="Times New Roman" w:cs="Arial"/>
                <w:b/>
                <w:bCs/>
                <w:sz w:val="17"/>
                <w:szCs w:val="17"/>
              </w:rPr>
            </w:pPr>
          </w:p>
        </w:tc>
        <w:tc>
          <w:tcPr>
            <w:tcW w:w="534" w:type="pct"/>
            <w:tcBorders>
              <w:top w:val="single" w:sz="12" w:space="0" w:color="auto"/>
            </w:tcBorders>
            <w:vAlign w:val="center"/>
          </w:tcPr>
          <w:p w14:paraId="3A5EC169"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c>
          <w:tcPr>
            <w:tcW w:w="486" w:type="pct"/>
            <w:tcBorders>
              <w:top w:val="single" w:sz="12" w:space="0" w:color="auto"/>
            </w:tcBorders>
            <w:vAlign w:val="center"/>
          </w:tcPr>
          <w:p w14:paraId="602EB621"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c>
          <w:tcPr>
            <w:tcW w:w="488" w:type="pct"/>
            <w:tcBorders>
              <w:top w:val="single" w:sz="12" w:space="0" w:color="auto"/>
            </w:tcBorders>
            <w:vAlign w:val="center"/>
          </w:tcPr>
          <w:p w14:paraId="7B0DF9C9"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c>
          <w:tcPr>
            <w:tcW w:w="521" w:type="pct"/>
            <w:tcBorders>
              <w:top w:val="single" w:sz="12" w:space="0" w:color="auto"/>
            </w:tcBorders>
            <w:vAlign w:val="center"/>
          </w:tcPr>
          <w:p w14:paraId="62348024"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c>
          <w:tcPr>
            <w:tcW w:w="589" w:type="pct"/>
            <w:tcBorders>
              <w:top w:val="single" w:sz="12" w:space="0" w:color="auto"/>
            </w:tcBorders>
            <w:vAlign w:val="center"/>
          </w:tcPr>
          <w:p w14:paraId="1324C31E"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c>
          <w:tcPr>
            <w:tcW w:w="554" w:type="pct"/>
            <w:tcBorders>
              <w:top w:val="single" w:sz="12" w:space="0" w:color="auto"/>
            </w:tcBorders>
            <w:vAlign w:val="center"/>
          </w:tcPr>
          <w:p w14:paraId="045E07CE"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c>
          <w:tcPr>
            <w:tcW w:w="555" w:type="pct"/>
            <w:tcBorders>
              <w:top w:val="single" w:sz="12" w:space="0" w:color="auto"/>
            </w:tcBorders>
            <w:vAlign w:val="center"/>
          </w:tcPr>
          <w:p w14:paraId="265E1C44"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r>
      <w:tr w:rsidR="00CF2A73" w:rsidRPr="00AD0961" w14:paraId="61C16290" w14:textId="77777777" w:rsidTr="00CF2A73">
        <w:trPr>
          <w:trHeight w:hRule="exact" w:val="262"/>
        </w:trPr>
        <w:tc>
          <w:tcPr>
            <w:tcW w:w="1274" w:type="pct"/>
            <w:vAlign w:val="center"/>
          </w:tcPr>
          <w:p w14:paraId="5833D637" w14:textId="77777777" w:rsidR="00AD0961" w:rsidRPr="00AD0961" w:rsidRDefault="00AD0961" w:rsidP="00AD0961">
            <w:pPr>
              <w:tabs>
                <w:tab w:val="right" w:pos="1202"/>
              </w:tabs>
              <w:spacing w:after="0" w:line="240" w:lineRule="exact"/>
              <w:outlineLvl w:val="0"/>
              <w:rPr>
                <w:rFonts w:eastAsia="Times New Roman" w:cs="Arial"/>
                <w:b/>
                <w:bCs/>
                <w:sz w:val="17"/>
                <w:szCs w:val="17"/>
              </w:rPr>
            </w:pPr>
            <w:r w:rsidRPr="00AD0961">
              <w:rPr>
                <w:rFonts w:eastAsia="Times New Roman" w:cs="Arial"/>
                <w:b/>
                <w:bCs/>
                <w:sz w:val="17"/>
                <w:szCs w:val="17"/>
              </w:rPr>
              <w:t>Ukupne obveze i glavnica (2)</w:t>
            </w:r>
          </w:p>
        </w:tc>
        <w:tc>
          <w:tcPr>
            <w:tcW w:w="534" w:type="pct"/>
            <w:tcBorders>
              <w:top w:val="nil"/>
              <w:left w:val="nil"/>
              <w:bottom w:val="single" w:sz="12" w:space="0" w:color="auto"/>
              <w:right w:val="nil"/>
            </w:tcBorders>
            <w:shd w:val="clear" w:color="auto" w:fill="auto"/>
            <w:vAlign w:val="bottom"/>
          </w:tcPr>
          <w:p w14:paraId="57ADEB53" w14:textId="5C60C6DE"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b/>
                <w:bCs/>
                <w:color w:val="000000"/>
                <w:sz w:val="18"/>
                <w:szCs w:val="18"/>
              </w:rPr>
              <w:t>355.442</w:t>
            </w:r>
          </w:p>
        </w:tc>
        <w:tc>
          <w:tcPr>
            <w:tcW w:w="486" w:type="pct"/>
            <w:tcBorders>
              <w:top w:val="nil"/>
              <w:left w:val="nil"/>
              <w:bottom w:val="single" w:sz="12" w:space="0" w:color="auto"/>
              <w:right w:val="nil"/>
            </w:tcBorders>
            <w:shd w:val="clear" w:color="auto" w:fill="auto"/>
            <w:vAlign w:val="bottom"/>
          </w:tcPr>
          <w:p w14:paraId="4629A5D8" w14:textId="08585F42"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b/>
                <w:bCs/>
                <w:color w:val="000000"/>
                <w:sz w:val="18"/>
                <w:szCs w:val="18"/>
              </w:rPr>
              <w:t>171.450</w:t>
            </w:r>
          </w:p>
        </w:tc>
        <w:tc>
          <w:tcPr>
            <w:tcW w:w="488" w:type="pct"/>
            <w:tcBorders>
              <w:top w:val="nil"/>
              <w:left w:val="nil"/>
              <w:bottom w:val="single" w:sz="12" w:space="0" w:color="auto"/>
              <w:right w:val="nil"/>
            </w:tcBorders>
            <w:shd w:val="clear" w:color="auto" w:fill="auto"/>
            <w:vAlign w:val="bottom"/>
          </w:tcPr>
          <w:p w14:paraId="46CC2F60" w14:textId="783FF173"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b/>
                <w:bCs/>
                <w:color w:val="000000"/>
                <w:sz w:val="18"/>
                <w:szCs w:val="18"/>
              </w:rPr>
              <w:t>2.909.559</w:t>
            </w:r>
          </w:p>
        </w:tc>
        <w:tc>
          <w:tcPr>
            <w:tcW w:w="521" w:type="pct"/>
            <w:tcBorders>
              <w:top w:val="nil"/>
              <w:left w:val="nil"/>
              <w:bottom w:val="single" w:sz="12" w:space="0" w:color="auto"/>
              <w:right w:val="nil"/>
            </w:tcBorders>
            <w:shd w:val="clear" w:color="auto" w:fill="auto"/>
            <w:vAlign w:val="bottom"/>
          </w:tcPr>
          <w:p w14:paraId="224262E6" w14:textId="5E172DB1"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b/>
                <w:bCs/>
                <w:color w:val="000000"/>
                <w:sz w:val="18"/>
                <w:szCs w:val="18"/>
              </w:rPr>
              <w:t>3.059.168</w:t>
            </w:r>
          </w:p>
        </w:tc>
        <w:tc>
          <w:tcPr>
            <w:tcW w:w="589" w:type="pct"/>
            <w:tcBorders>
              <w:top w:val="nil"/>
              <w:left w:val="nil"/>
              <w:bottom w:val="single" w:sz="12" w:space="0" w:color="auto"/>
              <w:right w:val="nil"/>
            </w:tcBorders>
            <w:shd w:val="clear" w:color="auto" w:fill="auto"/>
            <w:vAlign w:val="bottom"/>
          </w:tcPr>
          <w:p w14:paraId="67D8D00B" w14:textId="607B86B4"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b/>
                <w:bCs/>
                <w:color w:val="000000"/>
                <w:sz w:val="18"/>
                <w:szCs w:val="18"/>
              </w:rPr>
              <w:t>9.841.749</w:t>
            </w:r>
          </w:p>
        </w:tc>
        <w:tc>
          <w:tcPr>
            <w:tcW w:w="554" w:type="pct"/>
            <w:tcBorders>
              <w:top w:val="nil"/>
              <w:left w:val="nil"/>
              <w:bottom w:val="single" w:sz="12" w:space="0" w:color="auto"/>
              <w:right w:val="nil"/>
            </w:tcBorders>
            <w:shd w:val="clear" w:color="auto" w:fill="auto"/>
            <w:vAlign w:val="bottom"/>
          </w:tcPr>
          <w:p w14:paraId="03B22292" w14:textId="53613136"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b/>
                <w:bCs/>
                <w:color w:val="000000"/>
                <w:sz w:val="18"/>
                <w:szCs w:val="18"/>
              </w:rPr>
              <w:t>11.053.454</w:t>
            </w:r>
          </w:p>
        </w:tc>
        <w:tc>
          <w:tcPr>
            <w:tcW w:w="555" w:type="pct"/>
            <w:tcBorders>
              <w:top w:val="nil"/>
              <w:left w:val="nil"/>
              <w:bottom w:val="single" w:sz="12" w:space="0" w:color="auto"/>
              <w:right w:val="nil"/>
            </w:tcBorders>
            <w:shd w:val="clear" w:color="auto" w:fill="auto"/>
            <w:vAlign w:val="bottom"/>
          </w:tcPr>
          <w:p w14:paraId="63E4F615" w14:textId="554CDC8E" w:rsidR="00AD0961" w:rsidRPr="00CF2A73" w:rsidRDefault="00AD0961" w:rsidP="00AD0961">
            <w:pPr>
              <w:spacing w:after="0" w:line="240" w:lineRule="auto"/>
              <w:jc w:val="right"/>
              <w:rPr>
                <w:rFonts w:eastAsia="Times New Roman" w:cs="Arial"/>
                <w:b/>
                <w:bCs/>
                <w:color w:val="000000"/>
                <w:sz w:val="18"/>
                <w:szCs w:val="18"/>
                <w:lang w:val="en-US"/>
              </w:rPr>
            </w:pPr>
            <w:r w:rsidRPr="00CF2A73">
              <w:rPr>
                <w:rFonts w:ascii="Calibri" w:hAnsi="Calibri"/>
                <w:b/>
                <w:bCs/>
                <w:color w:val="000000"/>
                <w:sz w:val="18"/>
                <w:szCs w:val="18"/>
              </w:rPr>
              <w:t>27.390.822</w:t>
            </w:r>
          </w:p>
        </w:tc>
      </w:tr>
      <w:tr w:rsidR="00CF2A73" w:rsidRPr="00AD0961" w14:paraId="159288AD" w14:textId="77777777" w:rsidTr="00CF2A73">
        <w:trPr>
          <w:trHeight w:hRule="exact" w:val="109"/>
        </w:trPr>
        <w:tc>
          <w:tcPr>
            <w:tcW w:w="1274" w:type="pct"/>
            <w:vAlign w:val="center"/>
          </w:tcPr>
          <w:p w14:paraId="52EF0D78" w14:textId="77777777" w:rsidR="004B16B5" w:rsidRPr="00AD0961" w:rsidRDefault="004B16B5" w:rsidP="003D5BE9">
            <w:pPr>
              <w:tabs>
                <w:tab w:val="right" w:pos="1202"/>
              </w:tabs>
              <w:spacing w:after="0" w:line="240" w:lineRule="exact"/>
              <w:outlineLvl w:val="0"/>
              <w:rPr>
                <w:rFonts w:eastAsia="Times New Roman" w:cs="Arial"/>
                <w:b/>
                <w:bCs/>
                <w:sz w:val="17"/>
                <w:szCs w:val="17"/>
              </w:rPr>
            </w:pPr>
          </w:p>
        </w:tc>
        <w:tc>
          <w:tcPr>
            <w:tcW w:w="534" w:type="pct"/>
            <w:tcBorders>
              <w:top w:val="single" w:sz="12" w:space="0" w:color="auto"/>
            </w:tcBorders>
            <w:vAlign w:val="center"/>
          </w:tcPr>
          <w:p w14:paraId="37E4A8A9"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c>
          <w:tcPr>
            <w:tcW w:w="486" w:type="pct"/>
            <w:tcBorders>
              <w:top w:val="single" w:sz="12" w:space="0" w:color="auto"/>
            </w:tcBorders>
            <w:vAlign w:val="center"/>
          </w:tcPr>
          <w:p w14:paraId="5A271CBB"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c>
          <w:tcPr>
            <w:tcW w:w="488" w:type="pct"/>
            <w:tcBorders>
              <w:top w:val="single" w:sz="12" w:space="0" w:color="auto"/>
            </w:tcBorders>
            <w:vAlign w:val="center"/>
          </w:tcPr>
          <w:p w14:paraId="29861AC3"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c>
          <w:tcPr>
            <w:tcW w:w="521" w:type="pct"/>
            <w:tcBorders>
              <w:top w:val="single" w:sz="12" w:space="0" w:color="auto"/>
            </w:tcBorders>
            <w:vAlign w:val="center"/>
          </w:tcPr>
          <w:p w14:paraId="18BD62BD"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c>
          <w:tcPr>
            <w:tcW w:w="589" w:type="pct"/>
            <w:tcBorders>
              <w:top w:val="single" w:sz="12" w:space="0" w:color="auto"/>
            </w:tcBorders>
            <w:vAlign w:val="center"/>
          </w:tcPr>
          <w:p w14:paraId="3481B378"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c>
          <w:tcPr>
            <w:tcW w:w="554" w:type="pct"/>
            <w:tcBorders>
              <w:top w:val="single" w:sz="12" w:space="0" w:color="auto"/>
            </w:tcBorders>
            <w:vAlign w:val="center"/>
          </w:tcPr>
          <w:p w14:paraId="6ECECF05"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c>
          <w:tcPr>
            <w:tcW w:w="555" w:type="pct"/>
            <w:tcBorders>
              <w:top w:val="single" w:sz="12" w:space="0" w:color="auto"/>
            </w:tcBorders>
            <w:vAlign w:val="center"/>
          </w:tcPr>
          <w:p w14:paraId="0EE8D726" w14:textId="77777777" w:rsidR="004B16B5" w:rsidRPr="00CF2A73" w:rsidRDefault="004B16B5" w:rsidP="003D5BE9">
            <w:pPr>
              <w:keepNext/>
              <w:keepLines/>
              <w:tabs>
                <w:tab w:val="decimal" w:pos="1202"/>
              </w:tabs>
              <w:spacing w:after="0" w:line="100" w:lineRule="exact"/>
              <w:jc w:val="right"/>
              <w:rPr>
                <w:rFonts w:eastAsia="Times New Roman" w:cs="Arial"/>
                <w:b/>
                <w:spacing w:val="-2"/>
                <w:position w:val="4"/>
                <w:sz w:val="18"/>
                <w:szCs w:val="18"/>
              </w:rPr>
            </w:pPr>
          </w:p>
        </w:tc>
      </w:tr>
      <w:tr w:rsidR="00CF2A73" w:rsidRPr="00AD0961" w14:paraId="62842983" w14:textId="77777777" w:rsidTr="00CF2A73">
        <w:trPr>
          <w:trHeight w:hRule="exact" w:val="501"/>
        </w:trPr>
        <w:tc>
          <w:tcPr>
            <w:tcW w:w="1274" w:type="pct"/>
            <w:vAlign w:val="center"/>
          </w:tcPr>
          <w:p w14:paraId="31920D58" w14:textId="77777777" w:rsidR="00AD0961" w:rsidRPr="00AD0961" w:rsidRDefault="00AD0961" w:rsidP="00AD0961">
            <w:pPr>
              <w:tabs>
                <w:tab w:val="right" w:pos="1202"/>
              </w:tabs>
              <w:spacing w:after="0" w:line="240" w:lineRule="exact"/>
              <w:outlineLvl w:val="0"/>
              <w:rPr>
                <w:rFonts w:eastAsia="Times New Roman" w:cs="Arial"/>
                <w:b/>
                <w:bCs/>
                <w:sz w:val="17"/>
                <w:szCs w:val="17"/>
              </w:rPr>
            </w:pPr>
            <w:r w:rsidRPr="00AD0961">
              <w:rPr>
                <w:rFonts w:eastAsia="Times New Roman" w:cs="Arial"/>
                <w:b/>
                <w:bCs/>
                <w:sz w:val="17"/>
                <w:szCs w:val="17"/>
              </w:rPr>
              <w:t>Neto ukupna imovina/ukupne obveze i glavnica (1) – (2)</w:t>
            </w:r>
          </w:p>
        </w:tc>
        <w:tc>
          <w:tcPr>
            <w:tcW w:w="534" w:type="pct"/>
            <w:tcBorders>
              <w:top w:val="nil"/>
              <w:left w:val="nil"/>
              <w:bottom w:val="single" w:sz="12" w:space="0" w:color="auto"/>
              <w:right w:val="nil"/>
            </w:tcBorders>
            <w:shd w:val="clear" w:color="auto" w:fill="auto"/>
            <w:vAlign w:val="bottom"/>
          </w:tcPr>
          <w:p w14:paraId="4B16C129" w14:textId="2ED91B3F"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4.246.525</w:t>
            </w:r>
          </w:p>
        </w:tc>
        <w:tc>
          <w:tcPr>
            <w:tcW w:w="486" w:type="pct"/>
            <w:tcBorders>
              <w:top w:val="nil"/>
              <w:left w:val="nil"/>
              <w:bottom w:val="single" w:sz="12" w:space="0" w:color="auto"/>
              <w:right w:val="nil"/>
            </w:tcBorders>
            <w:shd w:val="clear" w:color="auto" w:fill="auto"/>
            <w:vAlign w:val="bottom"/>
          </w:tcPr>
          <w:p w14:paraId="42FD13B7" w14:textId="73643720"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1.513.195</w:t>
            </w:r>
          </w:p>
        </w:tc>
        <w:tc>
          <w:tcPr>
            <w:tcW w:w="488" w:type="pct"/>
            <w:tcBorders>
              <w:top w:val="nil"/>
              <w:left w:val="nil"/>
              <w:bottom w:val="single" w:sz="12" w:space="0" w:color="auto"/>
              <w:right w:val="nil"/>
            </w:tcBorders>
            <w:shd w:val="clear" w:color="auto" w:fill="auto"/>
            <w:vAlign w:val="bottom"/>
          </w:tcPr>
          <w:p w14:paraId="01EA3AD0" w14:textId="31B99FAA"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45.769</w:t>
            </w:r>
          </w:p>
        </w:tc>
        <w:tc>
          <w:tcPr>
            <w:tcW w:w="521" w:type="pct"/>
            <w:tcBorders>
              <w:top w:val="nil"/>
              <w:left w:val="nil"/>
              <w:bottom w:val="single" w:sz="12" w:space="0" w:color="auto"/>
              <w:right w:val="nil"/>
            </w:tcBorders>
            <w:shd w:val="clear" w:color="auto" w:fill="auto"/>
            <w:vAlign w:val="bottom"/>
          </w:tcPr>
          <w:p w14:paraId="11DEDD2F" w14:textId="5BB6FD74"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1.373.880</w:t>
            </w:r>
          </w:p>
        </w:tc>
        <w:tc>
          <w:tcPr>
            <w:tcW w:w="589" w:type="pct"/>
            <w:tcBorders>
              <w:top w:val="nil"/>
              <w:left w:val="nil"/>
              <w:bottom w:val="single" w:sz="12" w:space="0" w:color="auto"/>
              <w:right w:val="nil"/>
            </w:tcBorders>
            <w:shd w:val="clear" w:color="auto" w:fill="auto"/>
            <w:vAlign w:val="bottom"/>
          </w:tcPr>
          <w:p w14:paraId="2DD82094" w14:textId="54A13219"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2.244.511</w:t>
            </w:r>
          </w:p>
        </w:tc>
        <w:tc>
          <w:tcPr>
            <w:tcW w:w="554" w:type="pct"/>
            <w:tcBorders>
              <w:top w:val="nil"/>
              <w:left w:val="nil"/>
              <w:bottom w:val="single" w:sz="12" w:space="0" w:color="auto"/>
              <w:right w:val="nil"/>
            </w:tcBorders>
            <w:shd w:val="clear" w:color="auto" w:fill="auto"/>
            <w:vAlign w:val="bottom"/>
          </w:tcPr>
          <w:p w14:paraId="5766A9B4" w14:textId="2C1328F2"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(9.423.880)</w:t>
            </w:r>
          </w:p>
        </w:tc>
        <w:tc>
          <w:tcPr>
            <w:tcW w:w="555" w:type="pct"/>
            <w:tcBorders>
              <w:top w:val="nil"/>
              <w:left w:val="nil"/>
              <w:bottom w:val="single" w:sz="12" w:space="0" w:color="auto"/>
              <w:right w:val="nil"/>
            </w:tcBorders>
            <w:shd w:val="clear" w:color="auto" w:fill="auto"/>
            <w:vAlign w:val="bottom"/>
          </w:tcPr>
          <w:p w14:paraId="1889335D" w14:textId="5E070D1A" w:rsidR="00AD0961" w:rsidRPr="00CF2A73" w:rsidRDefault="00AD0961" w:rsidP="00AD0961">
            <w:pPr>
              <w:spacing w:after="0" w:line="240" w:lineRule="auto"/>
              <w:jc w:val="right"/>
              <w:rPr>
                <w:rFonts w:eastAsia="Times New Roman" w:cs="Arial"/>
                <w:b/>
                <w:sz w:val="18"/>
                <w:szCs w:val="18"/>
              </w:rPr>
            </w:pPr>
            <w:r w:rsidRPr="00CF2A73">
              <w:rPr>
                <w:rFonts w:ascii="Calibri" w:hAnsi="Calibri"/>
                <w:b/>
                <w:bCs/>
                <w:color w:val="000000"/>
                <w:sz w:val="18"/>
                <w:szCs w:val="18"/>
              </w:rPr>
              <w:t>-</w:t>
            </w:r>
          </w:p>
        </w:tc>
      </w:tr>
      <w:tr w:rsidR="00CF2A73" w:rsidRPr="00AD0961" w14:paraId="1BEEDEC9" w14:textId="77777777" w:rsidTr="00CF2A73">
        <w:tblPrEx>
          <w:tblCellMar>
            <w:left w:w="108" w:type="dxa"/>
            <w:right w:w="108" w:type="dxa"/>
          </w:tblCellMar>
        </w:tblPrEx>
        <w:trPr>
          <w:trHeight w:val="82"/>
        </w:trPr>
        <w:tc>
          <w:tcPr>
            <w:tcW w:w="1274" w:type="pct"/>
          </w:tcPr>
          <w:p w14:paraId="03395F4F" w14:textId="77777777" w:rsidR="004B16B5" w:rsidRPr="00AD0961" w:rsidRDefault="004B16B5" w:rsidP="003D5BE9">
            <w:pPr>
              <w:keepNext/>
              <w:keepLines/>
              <w:tabs>
                <w:tab w:val="decimal" w:pos="1202"/>
              </w:tabs>
              <w:spacing w:after="0" w:line="100" w:lineRule="exact"/>
              <w:rPr>
                <w:rFonts w:eastAsia="Times New Roman" w:cs="Arial"/>
                <w:b/>
                <w:position w:val="4"/>
                <w:sz w:val="17"/>
                <w:szCs w:val="17"/>
                <w:u w:val="thick"/>
              </w:rPr>
            </w:pPr>
          </w:p>
        </w:tc>
        <w:tc>
          <w:tcPr>
            <w:tcW w:w="534" w:type="pct"/>
            <w:vAlign w:val="bottom"/>
          </w:tcPr>
          <w:p w14:paraId="4B0A0F93" w14:textId="77777777" w:rsidR="004B16B5" w:rsidRPr="00AD0961" w:rsidRDefault="004B16B5" w:rsidP="003D5BE9">
            <w:pPr>
              <w:keepNext/>
              <w:keepLines/>
              <w:spacing w:after="0" w:line="100" w:lineRule="exact"/>
              <w:jc w:val="right"/>
              <w:rPr>
                <w:rFonts w:eastAsia="Times New Roman" w:cs="Arial"/>
                <w:b/>
                <w:position w:val="4"/>
                <w:sz w:val="17"/>
                <w:szCs w:val="17"/>
                <w:u w:val="thick"/>
              </w:rPr>
            </w:pPr>
          </w:p>
        </w:tc>
        <w:tc>
          <w:tcPr>
            <w:tcW w:w="486" w:type="pct"/>
            <w:vAlign w:val="bottom"/>
          </w:tcPr>
          <w:p w14:paraId="5C0444E2" w14:textId="77777777" w:rsidR="004B16B5" w:rsidRPr="00AD0961" w:rsidRDefault="004B16B5" w:rsidP="003D5BE9">
            <w:pPr>
              <w:keepNext/>
              <w:keepLines/>
              <w:spacing w:after="0" w:line="100" w:lineRule="exact"/>
              <w:jc w:val="right"/>
              <w:rPr>
                <w:rFonts w:eastAsia="Times New Roman" w:cs="Arial"/>
                <w:b/>
                <w:position w:val="4"/>
                <w:sz w:val="17"/>
                <w:szCs w:val="17"/>
                <w:u w:val="thick"/>
              </w:rPr>
            </w:pPr>
          </w:p>
        </w:tc>
        <w:tc>
          <w:tcPr>
            <w:tcW w:w="488" w:type="pct"/>
            <w:vAlign w:val="bottom"/>
          </w:tcPr>
          <w:p w14:paraId="2AD371B6" w14:textId="77777777" w:rsidR="004B16B5" w:rsidRPr="00AD0961" w:rsidRDefault="004B16B5" w:rsidP="003D5BE9">
            <w:pPr>
              <w:keepNext/>
              <w:keepLines/>
              <w:spacing w:after="0" w:line="100" w:lineRule="exact"/>
              <w:jc w:val="right"/>
              <w:rPr>
                <w:rFonts w:eastAsia="Times New Roman" w:cs="Arial"/>
                <w:b/>
                <w:position w:val="4"/>
                <w:sz w:val="17"/>
                <w:szCs w:val="17"/>
                <w:u w:val="thick"/>
              </w:rPr>
            </w:pPr>
          </w:p>
        </w:tc>
        <w:tc>
          <w:tcPr>
            <w:tcW w:w="521" w:type="pct"/>
            <w:vAlign w:val="bottom"/>
          </w:tcPr>
          <w:p w14:paraId="0CBE2445" w14:textId="77777777" w:rsidR="004B16B5" w:rsidRPr="00AD0961" w:rsidRDefault="004B16B5" w:rsidP="003D5BE9">
            <w:pPr>
              <w:keepNext/>
              <w:keepLines/>
              <w:spacing w:after="0" w:line="100" w:lineRule="exact"/>
              <w:jc w:val="right"/>
              <w:rPr>
                <w:rFonts w:eastAsia="Times New Roman" w:cs="Arial"/>
                <w:b/>
                <w:position w:val="4"/>
                <w:sz w:val="17"/>
                <w:szCs w:val="17"/>
                <w:u w:val="thick"/>
              </w:rPr>
            </w:pPr>
          </w:p>
        </w:tc>
        <w:tc>
          <w:tcPr>
            <w:tcW w:w="589" w:type="pct"/>
            <w:vAlign w:val="bottom"/>
          </w:tcPr>
          <w:p w14:paraId="758213AD" w14:textId="77777777" w:rsidR="004B16B5" w:rsidRPr="00AD0961" w:rsidRDefault="004B16B5" w:rsidP="003D5BE9">
            <w:pPr>
              <w:keepNext/>
              <w:keepLines/>
              <w:spacing w:after="0" w:line="100" w:lineRule="exact"/>
              <w:jc w:val="right"/>
              <w:rPr>
                <w:rFonts w:eastAsia="Times New Roman" w:cs="Arial"/>
                <w:b/>
                <w:position w:val="4"/>
                <w:sz w:val="17"/>
                <w:szCs w:val="17"/>
                <w:u w:val="thick"/>
              </w:rPr>
            </w:pPr>
          </w:p>
        </w:tc>
        <w:tc>
          <w:tcPr>
            <w:tcW w:w="554" w:type="pct"/>
            <w:vAlign w:val="bottom"/>
          </w:tcPr>
          <w:p w14:paraId="1A39BEEC" w14:textId="77777777" w:rsidR="004B16B5" w:rsidRPr="00AD0961" w:rsidRDefault="004B16B5" w:rsidP="003D5BE9">
            <w:pPr>
              <w:keepNext/>
              <w:keepLines/>
              <w:spacing w:after="0" w:line="100" w:lineRule="exact"/>
              <w:jc w:val="right"/>
              <w:rPr>
                <w:rFonts w:eastAsia="Times New Roman" w:cs="Arial"/>
                <w:b/>
                <w:position w:val="4"/>
                <w:sz w:val="17"/>
                <w:szCs w:val="17"/>
                <w:u w:val="thick"/>
              </w:rPr>
            </w:pPr>
          </w:p>
        </w:tc>
        <w:tc>
          <w:tcPr>
            <w:tcW w:w="555" w:type="pct"/>
            <w:vAlign w:val="bottom"/>
          </w:tcPr>
          <w:p w14:paraId="345E2CF1" w14:textId="77777777" w:rsidR="004B16B5" w:rsidRPr="00AD0961" w:rsidRDefault="004B16B5" w:rsidP="003D5BE9">
            <w:pPr>
              <w:keepNext/>
              <w:keepLines/>
              <w:spacing w:after="0" w:line="100" w:lineRule="exact"/>
              <w:jc w:val="right"/>
              <w:rPr>
                <w:rFonts w:eastAsia="Times New Roman" w:cs="Arial"/>
                <w:b/>
                <w:position w:val="4"/>
                <w:sz w:val="17"/>
                <w:szCs w:val="17"/>
                <w:u w:val="thick"/>
              </w:rPr>
            </w:pPr>
          </w:p>
        </w:tc>
      </w:tr>
    </w:tbl>
    <w:p w14:paraId="35E59891" w14:textId="77777777" w:rsidR="008D359F" w:rsidRPr="00D90261" w:rsidRDefault="008D359F" w:rsidP="008D359F">
      <w:pPr>
        <w:tabs>
          <w:tab w:val="left" w:pos="-720"/>
        </w:tabs>
        <w:suppressAutoHyphens/>
        <w:spacing w:line="360" w:lineRule="auto"/>
        <w:ind w:right="-5"/>
        <w:jc w:val="both"/>
        <w:rPr>
          <w:rFonts w:ascii="Arial" w:hAnsi="Arial" w:cs="Arial"/>
          <w:sz w:val="19"/>
          <w:highlight w:val="yellow"/>
        </w:rPr>
      </w:pPr>
    </w:p>
    <w:p w14:paraId="441ABA75" w14:textId="77777777" w:rsidR="008D359F" w:rsidRPr="00D90261" w:rsidRDefault="008D359F" w:rsidP="008D359F">
      <w:pPr>
        <w:tabs>
          <w:tab w:val="left" w:pos="-720"/>
        </w:tabs>
        <w:suppressAutoHyphens/>
        <w:spacing w:line="360" w:lineRule="auto"/>
        <w:ind w:right="-5"/>
        <w:jc w:val="both"/>
        <w:rPr>
          <w:rFonts w:ascii="Arial" w:hAnsi="Arial" w:cs="Arial"/>
          <w:sz w:val="19"/>
          <w:highlight w:val="yellow"/>
        </w:rPr>
      </w:pPr>
    </w:p>
    <w:p w14:paraId="506FF4CB" w14:textId="77777777" w:rsidR="00B21660" w:rsidRDefault="00B21660" w:rsidP="008D359F">
      <w:pPr>
        <w:tabs>
          <w:tab w:val="left" w:pos="-720"/>
        </w:tabs>
        <w:suppressAutoHyphens/>
        <w:spacing w:line="360" w:lineRule="auto"/>
        <w:ind w:right="-5"/>
        <w:jc w:val="both"/>
        <w:rPr>
          <w:rFonts w:ascii="Arial" w:hAnsi="Arial" w:cs="Arial"/>
          <w:sz w:val="19"/>
          <w:highlight w:val="yellow"/>
        </w:rPr>
        <w:sectPr w:rsidR="00B21660" w:rsidSect="00EE4C50">
          <w:footerReference w:type="first" r:id="rId115"/>
          <w:pgSz w:w="11906" w:h="16838" w:code="9"/>
          <w:pgMar w:top="1418" w:right="1418" w:bottom="595" w:left="1134" w:header="709" w:footer="709" w:gutter="0"/>
          <w:cols w:space="708"/>
          <w:titlePg/>
          <w:docGrid w:linePitch="360"/>
        </w:sectPr>
      </w:pPr>
    </w:p>
    <w:p w14:paraId="720EE4DD" w14:textId="77777777" w:rsidR="008D359F" w:rsidRPr="00567520" w:rsidRDefault="008D359F" w:rsidP="00567520">
      <w:pPr>
        <w:pStyle w:val="accountingpolicytitle"/>
        <w:rPr>
          <w:rFonts w:asciiTheme="minorHAnsi" w:hAnsiTheme="minorHAnsi" w:cstheme="minorHAnsi"/>
          <w:sz w:val="22"/>
          <w:szCs w:val="22"/>
          <w:lang w:val="hr-HR"/>
        </w:rPr>
      </w:pPr>
    </w:p>
    <w:p w14:paraId="406ED950"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        Upravljanje rizicima (nastavak)</w:t>
      </w:r>
    </w:p>
    <w:p w14:paraId="7793A29B" w14:textId="77777777" w:rsidR="00567520" w:rsidRPr="00567520" w:rsidRDefault="00567520" w:rsidP="00567520">
      <w:pPr>
        <w:pStyle w:val="T1"/>
        <w:spacing w:before="0" w:after="0" w:line="240" w:lineRule="auto"/>
        <w:ind w:left="709" w:hanging="709"/>
        <w:rPr>
          <w:rFonts w:asciiTheme="minorHAnsi" w:hAnsiTheme="minorHAnsi" w:cs="Arial"/>
          <w:sz w:val="22"/>
          <w:szCs w:val="22"/>
          <w:lang w:val="hr-HR"/>
        </w:rPr>
      </w:pPr>
    </w:p>
    <w:p w14:paraId="75D21EA0"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.4.     Tržišni rizik (nastavak)</w:t>
      </w:r>
    </w:p>
    <w:p w14:paraId="18EDC5F5" w14:textId="77777777" w:rsidR="00567520" w:rsidRPr="00567520" w:rsidRDefault="00567520" w:rsidP="00567520">
      <w:pPr>
        <w:pStyle w:val="T1"/>
        <w:spacing w:before="0" w:after="0" w:line="240" w:lineRule="auto"/>
        <w:ind w:left="709" w:hanging="709"/>
        <w:rPr>
          <w:rFonts w:asciiTheme="minorHAnsi" w:hAnsiTheme="minorHAnsi" w:cs="Arial"/>
          <w:sz w:val="22"/>
          <w:szCs w:val="22"/>
          <w:lang w:val="hr-HR"/>
        </w:rPr>
      </w:pPr>
    </w:p>
    <w:p w14:paraId="74CFF5C8"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 xml:space="preserve">.4.1.  Kamatni rizik </w:t>
      </w:r>
      <w:r w:rsidR="00C13D97">
        <w:rPr>
          <w:rFonts w:asciiTheme="minorHAnsi" w:hAnsiTheme="minorHAnsi" w:cs="Arial"/>
          <w:sz w:val="22"/>
          <w:szCs w:val="22"/>
          <w:lang w:val="hr-HR"/>
        </w:rPr>
        <w:t xml:space="preserve">u knjizi banke </w:t>
      </w:r>
      <w:r w:rsidRPr="00567520">
        <w:rPr>
          <w:rFonts w:asciiTheme="minorHAnsi" w:hAnsiTheme="minorHAnsi" w:cs="Arial"/>
          <w:sz w:val="22"/>
          <w:szCs w:val="22"/>
          <w:lang w:val="hr-HR"/>
        </w:rPr>
        <w:t>(nastavak)</w:t>
      </w:r>
    </w:p>
    <w:p w14:paraId="6914F92F" w14:textId="77777777" w:rsidR="00567520" w:rsidRPr="00567520" w:rsidRDefault="00567520" w:rsidP="00567520">
      <w:pPr>
        <w:pStyle w:val="T1"/>
        <w:spacing w:before="0" w:after="0" w:line="240" w:lineRule="auto"/>
        <w:ind w:left="709" w:hanging="709"/>
        <w:rPr>
          <w:rFonts w:asciiTheme="minorHAnsi" w:hAnsiTheme="minorHAnsi" w:cs="Arial"/>
          <w:sz w:val="22"/>
          <w:szCs w:val="22"/>
          <w:lang w:val="hr-HR"/>
        </w:rPr>
      </w:pPr>
    </w:p>
    <w:p w14:paraId="64A85FE8" w14:textId="057E9AD5" w:rsidR="00567520" w:rsidRPr="00567520" w:rsidRDefault="00567520" w:rsidP="006427B5">
      <w:pPr>
        <w:spacing w:after="0" w:line="240" w:lineRule="auto"/>
        <w:ind w:right="-6"/>
        <w:jc w:val="both"/>
        <w:rPr>
          <w:rFonts w:cs="Arial"/>
        </w:rPr>
      </w:pPr>
      <w:r w:rsidRPr="00567520">
        <w:rPr>
          <w:rFonts w:cs="Arial"/>
          <w:iCs/>
        </w:rPr>
        <w:t xml:space="preserve">Tabele u nastavku prikazuju osjetljivost HBOR-a na rizik kamatnih stopa na dan </w:t>
      </w:r>
      <w:r w:rsidR="008849AD" w:rsidRPr="00567520">
        <w:rPr>
          <w:rFonts w:cs="Arial"/>
          <w:iCs/>
        </w:rPr>
        <w:t>3</w:t>
      </w:r>
      <w:r w:rsidR="008849AD">
        <w:rPr>
          <w:rFonts w:cs="Arial"/>
          <w:iCs/>
        </w:rPr>
        <w:t>0</w:t>
      </w:r>
      <w:r w:rsidRPr="00567520">
        <w:rPr>
          <w:rFonts w:cs="Arial"/>
          <w:iCs/>
        </w:rPr>
        <w:t xml:space="preserve">. </w:t>
      </w:r>
      <w:r w:rsidR="008849AD">
        <w:rPr>
          <w:rFonts w:cs="Arial"/>
          <w:iCs/>
        </w:rPr>
        <w:t xml:space="preserve">lipnja </w:t>
      </w:r>
      <w:r w:rsidR="007F40D6">
        <w:rPr>
          <w:rFonts w:cs="Arial"/>
          <w:iCs/>
        </w:rPr>
        <w:t>201</w:t>
      </w:r>
      <w:r w:rsidR="000B47D7">
        <w:rPr>
          <w:rFonts w:cs="Arial"/>
          <w:iCs/>
        </w:rPr>
        <w:t>7</w:t>
      </w:r>
      <w:r w:rsidRPr="00567520">
        <w:rPr>
          <w:rFonts w:cs="Arial"/>
          <w:iCs/>
        </w:rPr>
        <w:t xml:space="preserve">. i </w:t>
      </w:r>
      <w:r>
        <w:rPr>
          <w:rFonts w:cs="Arial"/>
          <w:iCs/>
        </w:rPr>
        <w:t xml:space="preserve">31. prosinca </w:t>
      </w:r>
      <w:r w:rsidRPr="00567520">
        <w:rPr>
          <w:rFonts w:cs="Arial"/>
          <w:iCs/>
        </w:rPr>
        <w:t>201</w:t>
      </w:r>
      <w:r w:rsidR="000B47D7">
        <w:rPr>
          <w:rFonts w:cs="Arial"/>
          <w:iCs/>
        </w:rPr>
        <w:t>6</w:t>
      </w:r>
      <w:r w:rsidRPr="00567520">
        <w:rPr>
          <w:rFonts w:cs="Arial"/>
          <w:iCs/>
        </w:rPr>
        <w:t>. godine na temelju poznatih datuma promjene cijena imovine i obveza na koje se primjenjuju promjenjive i fiksne kamatne stope. Razdoblja promjena kamatnih stopa određena su na osnovi preostale ročnosti i ugovornog razdoblja promjena kamatnih stopa, ovisno o tome što je kraće.</w:t>
      </w:r>
      <w:r w:rsidR="006427B5" w:rsidRPr="00567520">
        <w:rPr>
          <w:rFonts w:cs="Arial"/>
          <w:iCs/>
        </w:rPr>
        <w:t xml:space="preserve"> </w:t>
      </w:r>
      <w:r w:rsidRPr="00567520">
        <w:rPr>
          <w:rFonts w:cs="Arial"/>
          <w:iCs/>
        </w:rPr>
        <w:t xml:space="preserve">Imovina i obveze na koje se ne primjenjuje kamatna stopa svrstani su u okviru kategorije </w:t>
      </w:r>
      <w:r w:rsidR="00D02F3F">
        <w:rPr>
          <w:rFonts w:cs="Arial"/>
        </w:rPr>
        <w:t>„</w:t>
      </w:r>
      <w:r w:rsidRPr="00567520">
        <w:rPr>
          <w:rFonts w:cs="Arial"/>
          <w:iCs/>
        </w:rPr>
        <w:t>Beskamatno</w:t>
      </w:r>
      <w:r w:rsidR="00D02F3F">
        <w:rPr>
          <w:rFonts w:cs="Arial"/>
        </w:rPr>
        <w:t>“</w:t>
      </w:r>
      <w:r w:rsidRPr="00567520">
        <w:rPr>
          <w:rFonts w:cs="Arial"/>
          <w:iCs/>
        </w:rPr>
        <w:t>.</w:t>
      </w:r>
      <w:r w:rsidR="006427B5" w:rsidRPr="00567520">
        <w:rPr>
          <w:rFonts w:cs="Arial"/>
        </w:rPr>
        <w:t xml:space="preserve"> </w:t>
      </w:r>
      <w:r w:rsidRPr="00567520">
        <w:rPr>
          <w:rFonts w:cs="Arial"/>
        </w:rPr>
        <w:t xml:space="preserve">Tabele u nastavku prikazuju procjenu o izloženosti kamatnom riziku HBOR-a na dan </w:t>
      </w:r>
      <w:r w:rsidR="008849AD" w:rsidRPr="000B47D7">
        <w:rPr>
          <w:rFonts w:cs="Arial"/>
        </w:rPr>
        <w:t>3</w:t>
      </w:r>
      <w:r w:rsidR="008849AD">
        <w:rPr>
          <w:rFonts w:cs="Arial"/>
        </w:rPr>
        <w:t>0</w:t>
      </w:r>
      <w:r w:rsidR="000B47D7" w:rsidRPr="000B47D7">
        <w:rPr>
          <w:rFonts w:cs="Arial"/>
        </w:rPr>
        <w:t xml:space="preserve">. </w:t>
      </w:r>
      <w:r w:rsidR="008849AD">
        <w:rPr>
          <w:rFonts w:cs="Arial"/>
        </w:rPr>
        <w:t>lipnja</w:t>
      </w:r>
      <w:r w:rsidR="008849AD" w:rsidRPr="000B47D7">
        <w:rPr>
          <w:rFonts w:cs="Arial"/>
        </w:rPr>
        <w:t xml:space="preserve"> </w:t>
      </w:r>
      <w:r w:rsidR="000B47D7" w:rsidRPr="000B47D7">
        <w:rPr>
          <w:rFonts w:cs="Arial"/>
        </w:rPr>
        <w:t>2017. i 31. prosinca 2016</w:t>
      </w:r>
      <w:r w:rsidRPr="00567520">
        <w:rPr>
          <w:rFonts w:cs="Arial"/>
        </w:rPr>
        <w:t xml:space="preserve">. godine te nisu nužno indikativne za poziciju u drugom razdoblju. </w:t>
      </w:r>
    </w:p>
    <w:p w14:paraId="2A742D56" w14:textId="77777777" w:rsidR="00567520" w:rsidRPr="00567520" w:rsidRDefault="00567520" w:rsidP="00567520">
      <w:pPr>
        <w:tabs>
          <w:tab w:val="left" w:pos="-720"/>
        </w:tabs>
        <w:suppressAutoHyphens/>
        <w:spacing w:after="0" w:line="240" w:lineRule="auto"/>
        <w:ind w:right="-5"/>
        <w:jc w:val="both"/>
        <w:rPr>
          <w:rFonts w:cs="Arial"/>
        </w:rPr>
      </w:pPr>
    </w:p>
    <w:tbl>
      <w:tblPr>
        <w:tblW w:w="5424" w:type="pct"/>
        <w:tblInd w:w="-306" w:type="dxa"/>
        <w:tblLayout w:type="fixed"/>
        <w:tblCellMar>
          <w:left w:w="120" w:type="dxa"/>
          <w:right w:w="120" w:type="dxa"/>
        </w:tblCellMar>
        <w:tblLook w:val="0000" w:firstRow="0" w:lastRow="0" w:firstColumn="0" w:lastColumn="0" w:noHBand="0" w:noVBand="0"/>
      </w:tblPr>
      <w:tblGrid>
        <w:gridCol w:w="2629"/>
        <w:gridCol w:w="1074"/>
        <w:gridCol w:w="1074"/>
        <w:gridCol w:w="1074"/>
        <w:gridCol w:w="1074"/>
        <w:gridCol w:w="1074"/>
        <w:gridCol w:w="1074"/>
        <w:gridCol w:w="1074"/>
      </w:tblGrid>
      <w:tr w:rsidR="00690803" w:rsidRPr="00567520" w14:paraId="49301586" w14:textId="77777777" w:rsidTr="00D34B9C">
        <w:trPr>
          <w:trHeight w:val="712"/>
        </w:trPr>
        <w:tc>
          <w:tcPr>
            <w:tcW w:w="1295" w:type="pct"/>
          </w:tcPr>
          <w:p w14:paraId="45FBFEDA" w14:textId="2CB8DAAB" w:rsidR="00A633C8" w:rsidRPr="00567520" w:rsidRDefault="00A633C8" w:rsidP="00F97337">
            <w:pPr>
              <w:tabs>
                <w:tab w:val="left" w:pos="-720"/>
              </w:tabs>
              <w:suppressAutoHyphens/>
              <w:spacing w:after="0" w:line="280" w:lineRule="exact"/>
              <w:ind w:right="-6"/>
              <w:rPr>
                <w:rFonts w:cs="Arial"/>
                <w:b/>
                <w:sz w:val="18"/>
                <w:szCs w:val="18"/>
              </w:rPr>
            </w:pPr>
            <w:r w:rsidRPr="00567520">
              <w:rPr>
                <w:rFonts w:cs="Arial"/>
                <w:b/>
                <w:sz w:val="18"/>
                <w:szCs w:val="18"/>
              </w:rPr>
              <w:t>Banka</w:t>
            </w:r>
          </w:p>
          <w:p w14:paraId="6F6CDD64" w14:textId="459A0E21" w:rsidR="00A633C8" w:rsidRPr="00567520" w:rsidRDefault="00EE4C50">
            <w:pPr>
              <w:tabs>
                <w:tab w:val="left" w:pos="-720"/>
              </w:tabs>
              <w:suppressAutoHyphens/>
              <w:spacing w:after="0" w:line="280" w:lineRule="exact"/>
              <w:ind w:right="-6"/>
              <w:rPr>
                <w:rFonts w:cs="Arial"/>
                <w:b/>
                <w:sz w:val="18"/>
                <w:szCs w:val="18"/>
              </w:rPr>
            </w:pPr>
            <w:r>
              <w:rPr>
                <w:rFonts w:cs="Arial"/>
                <w:b/>
                <w:sz w:val="18"/>
                <w:szCs w:val="18"/>
              </w:rPr>
              <w:t>30</w:t>
            </w:r>
            <w:r w:rsidR="00AD0961">
              <w:rPr>
                <w:rFonts w:cs="Arial"/>
                <w:b/>
                <w:sz w:val="18"/>
                <w:szCs w:val="18"/>
              </w:rPr>
              <w:t>.</w:t>
            </w:r>
            <w:r>
              <w:rPr>
                <w:rFonts w:cs="Arial"/>
                <w:b/>
                <w:sz w:val="18"/>
                <w:szCs w:val="18"/>
              </w:rPr>
              <w:t>6</w:t>
            </w:r>
            <w:r w:rsidR="00AD0961">
              <w:rPr>
                <w:rFonts w:cs="Arial"/>
                <w:b/>
                <w:sz w:val="18"/>
                <w:szCs w:val="18"/>
              </w:rPr>
              <w:t>.2017.</w:t>
            </w:r>
            <w:r w:rsidR="00A633C8" w:rsidRPr="00567520">
              <w:rPr>
                <w:rFonts w:cs="Arial"/>
                <w:b/>
                <w:sz w:val="18"/>
                <w:szCs w:val="18"/>
              </w:rPr>
              <w:t xml:space="preserve"> </w:t>
            </w:r>
          </w:p>
        </w:tc>
        <w:tc>
          <w:tcPr>
            <w:tcW w:w="529" w:type="pct"/>
          </w:tcPr>
          <w:p w14:paraId="3E762A42" w14:textId="77777777" w:rsidR="00A633C8" w:rsidRPr="00567520" w:rsidRDefault="00A633C8" w:rsidP="00880F6C">
            <w:pPr>
              <w:tabs>
                <w:tab w:val="left" w:pos="-720"/>
              </w:tabs>
              <w:suppressAutoHyphens/>
              <w:spacing w:after="0" w:line="280" w:lineRule="exact"/>
              <w:ind w:right="-6"/>
              <w:jc w:val="right"/>
              <w:rPr>
                <w:rFonts w:cs="Arial"/>
                <w:b/>
                <w:sz w:val="18"/>
                <w:szCs w:val="18"/>
              </w:rPr>
            </w:pPr>
            <w:r w:rsidRPr="00567520">
              <w:rPr>
                <w:rFonts w:cs="Arial"/>
                <w:b/>
                <w:sz w:val="18"/>
                <w:szCs w:val="18"/>
              </w:rPr>
              <w:t>Do 1 mjesec</w:t>
            </w:r>
          </w:p>
        </w:tc>
        <w:tc>
          <w:tcPr>
            <w:tcW w:w="529" w:type="pct"/>
          </w:tcPr>
          <w:p w14:paraId="563FF33A" w14:textId="77777777" w:rsidR="00A633C8" w:rsidRPr="00567520" w:rsidRDefault="00A633C8" w:rsidP="00880F6C">
            <w:pPr>
              <w:tabs>
                <w:tab w:val="left" w:pos="-720"/>
              </w:tabs>
              <w:suppressAutoHyphens/>
              <w:spacing w:after="0" w:line="280" w:lineRule="exact"/>
              <w:ind w:right="-6"/>
              <w:jc w:val="right"/>
              <w:rPr>
                <w:rFonts w:cs="Arial"/>
                <w:b/>
                <w:sz w:val="18"/>
                <w:szCs w:val="18"/>
              </w:rPr>
            </w:pPr>
            <w:r w:rsidRPr="00567520">
              <w:rPr>
                <w:rFonts w:cs="Arial"/>
                <w:b/>
                <w:sz w:val="18"/>
                <w:szCs w:val="18"/>
              </w:rPr>
              <w:t>1 do 3 mjeseca</w:t>
            </w:r>
          </w:p>
        </w:tc>
        <w:tc>
          <w:tcPr>
            <w:tcW w:w="529" w:type="pct"/>
          </w:tcPr>
          <w:p w14:paraId="6E62DC52" w14:textId="77777777" w:rsidR="00A633C8" w:rsidRPr="00567520" w:rsidRDefault="00A633C8" w:rsidP="00880F6C">
            <w:pPr>
              <w:tabs>
                <w:tab w:val="left" w:pos="-720"/>
              </w:tabs>
              <w:suppressAutoHyphens/>
              <w:spacing w:after="0" w:line="280" w:lineRule="exact"/>
              <w:ind w:right="-6"/>
              <w:jc w:val="right"/>
              <w:rPr>
                <w:rFonts w:cs="Arial"/>
                <w:b/>
                <w:sz w:val="18"/>
                <w:szCs w:val="18"/>
              </w:rPr>
            </w:pPr>
            <w:r w:rsidRPr="00567520">
              <w:rPr>
                <w:rFonts w:cs="Arial"/>
                <w:b/>
                <w:sz w:val="18"/>
                <w:szCs w:val="18"/>
              </w:rPr>
              <w:t>3 mj. do 1 godine</w:t>
            </w:r>
          </w:p>
        </w:tc>
        <w:tc>
          <w:tcPr>
            <w:tcW w:w="529" w:type="pct"/>
          </w:tcPr>
          <w:p w14:paraId="61AB3757" w14:textId="77777777" w:rsidR="00A633C8" w:rsidRPr="00567520" w:rsidRDefault="00A633C8" w:rsidP="00880F6C">
            <w:pPr>
              <w:tabs>
                <w:tab w:val="left" w:pos="-720"/>
              </w:tabs>
              <w:suppressAutoHyphens/>
              <w:spacing w:after="0" w:line="280" w:lineRule="exact"/>
              <w:ind w:right="-6"/>
              <w:jc w:val="right"/>
              <w:rPr>
                <w:rFonts w:cs="Arial"/>
                <w:b/>
                <w:sz w:val="18"/>
                <w:szCs w:val="18"/>
              </w:rPr>
            </w:pPr>
            <w:r w:rsidRPr="00567520">
              <w:rPr>
                <w:rFonts w:cs="Arial"/>
                <w:b/>
                <w:sz w:val="18"/>
                <w:szCs w:val="18"/>
              </w:rPr>
              <w:t>1 do 3 godina</w:t>
            </w:r>
          </w:p>
        </w:tc>
        <w:tc>
          <w:tcPr>
            <w:tcW w:w="529" w:type="pct"/>
          </w:tcPr>
          <w:p w14:paraId="0076E0B2" w14:textId="77777777" w:rsidR="00A633C8" w:rsidRPr="00567520" w:rsidRDefault="00A633C8" w:rsidP="00880F6C">
            <w:pPr>
              <w:tabs>
                <w:tab w:val="left" w:pos="-720"/>
              </w:tabs>
              <w:suppressAutoHyphens/>
              <w:spacing w:after="0" w:line="280" w:lineRule="exact"/>
              <w:ind w:right="-6"/>
              <w:jc w:val="right"/>
              <w:rPr>
                <w:rFonts w:cs="Arial"/>
                <w:b/>
                <w:sz w:val="18"/>
                <w:szCs w:val="18"/>
              </w:rPr>
            </w:pPr>
            <w:r w:rsidRPr="00567520">
              <w:rPr>
                <w:rFonts w:cs="Arial"/>
                <w:b/>
                <w:sz w:val="18"/>
                <w:szCs w:val="18"/>
              </w:rPr>
              <w:t>Preko 3 godine</w:t>
            </w:r>
          </w:p>
        </w:tc>
        <w:tc>
          <w:tcPr>
            <w:tcW w:w="529" w:type="pct"/>
          </w:tcPr>
          <w:p w14:paraId="6B96C934" w14:textId="77777777" w:rsidR="00A633C8" w:rsidRPr="00567520" w:rsidRDefault="00A633C8" w:rsidP="00880F6C">
            <w:pPr>
              <w:tabs>
                <w:tab w:val="left" w:pos="-720"/>
              </w:tabs>
              <w:suppressAutoHyphens/>
              <w:spacing w:after="0" w:line="280" w:lineRule="exact"/>
              <w:ind w:right="-6"/>
              <w:jc w:val="right"/>
              <w:rPr>
                <w:rFonts w:cs="Arial"/>
                <w:b/>
                <w:sz w:val="18"/>
                <w:szCs w:val="18"/>
              </w:rPr>
            </w:pPr>
            <w:proofErr w:type="spellStart"/>
            <w:r w:rsidRPr="00567520">
              <w:rPr>
                <w:rFonts w:cs="Arial"/>
                <w:b/>
                <w:sz w:val="18"/>
                <w:szCs w:val="18"/>
              </w:rPr>
              <w:t>Beska-matno</w:t>
            </w:r>
            <w:proofErr w:type="spellEnd"/>
          </w:p>
        </w:tc>
        <w:tc>
          <w:tcPr>
            <w:tcW w:w="529" w:type="pct"/>
          </w:tcPr>
          <w:p w14:paraId="12B1C71B" w14:textId="77777777" w:rsidR="00A633C8" w:rsidRPr="00567520" w:rsidRDefault="00A633C8" w:rsidP="00880F6C">
            <w:pPr>
              <w:tabs>
                <w:tab w:val="left" w:pos="-720"/>
              </w:tabs>
              <w:suppressAutoHyphens/>
              <w:spacing w:after="0" w:line="280" w:lineRule="exact"/>
              <w:ind w:right="-6"/>
              <w:jc w:val="right"/>
              <w:rPr>
                <w:rFonts w:cs="Arial"/>
                <w:b/>
                <w:sz w:val="18"/>
                <w:szCs w:val="18"/>
              </w:rPr>
            </w:pPr>
            <w:r w:rsidRPr="00567520">
              <w:rPr>
                <w:rFonts w:cs="Arial"/>
                <w:b/>
                <w:sz w:val="18"/>
                <w:szCs w:val="18"/>
              </w:rPr>
              <w:t>Ukupno</w:t>
            </w:r>
          </w:p>
        </w:tc>
      </w:tr>
      <w:tr w:rsidR="00690803" w:rsidRPr="00567520" w14:paraId="6D280771" w14:textId="77777777" w:rsidTr="00D34B9C">
        <w:trPr>
          <w:trHeight w:val="300"/>
        </w:trPr>
        <w:tc>
          <w:tcPr>
            <w:tcW w:w="1295" w:type="pct"/>
            <w:vAlign w:val="bottom"/>
          </w:tcPr>
          <w:p w14:paraId="54B690CB" w14:textId="77777777" w:rsidR="00A633C8" w:rsidRPr="00567520" w:rsidRDefault="00A633C8" w:rsidP="00880F6C">
            <w:pPr>
              <w:tabs>
                <w:tab w:val="left" w:pos="-720"/>
              </w:tabs>
              <w:suppressAutoHyphens/>
              <w:spacing w:after="0" w:line="280" w:lineRule="exact"/>
              <w:ind w:right="-5"/>
              <w:rPr>
                <w:rFonts w:cs="Arial"/>
                <w:b/>
                <w:sz w:val="18"/>
                <w:szCs w:val="18"/>
              </w:rPr>
            </w:pPr>
            <w:r w:rsidRPr="00567520">
              <w:rPr>
                <w:rFonts w:cs="Arial"/>
                <w:b/>
                <w:sz w:val="18"/>
                <w:szCs w:val="18"/>
              </w:rPr>
              <w:t>Imovina</w:t>
            </w:r>
          </w:p>
        </w:tc>
        <w:tc>
          <w:tcPr>
            <w:tcW w:w="529" w:type="pct"/>
          </w:tcPr>
          <w:p w14:paraId="7ADD90C9" w14:textId="77777777" w:rsidR="00A633C8" w:rsidRPr="00567520" w:rsidRDefault="00A633C8" w:rsidP="00880F6C">
            <w:pPr>
              <w:tabs>
                <w:tab w:val="left" w:pos="-720"/>
              </w:tabs>
              <w:suppressAutoHyphens/>
              <w:spacing w:after="0" w:line="280" w:lineRule="exact"/>
              <w:ind w:right="-5"/>
              <w:jc w:val="right"/>
              <w:rPr>
                <w:rFonts w:cs="Arial"/>
                <w:sz w:val="18"/>
                <w:szCs w:val="18"/>
              </w:rPr>
            </w:pPr>
          </w:p>
        </w:tc>
        <w:tc>
          <w:tcPr>
            <w:tcW w:w="529" w:type="pct"/>
          </w:tcPr>
          <w:p w14:paraId="21087571" w14:textId="77777777" w:rsidR="00A633C8" w:rsidRPr="00567520" w:rsidRDefault="00A633C8" w:rsidP="00880F6C">
            <w:pPr>
              <w:tabs>
                <w:tab w:val="left" w:pos="-720"/>
              </w:tabs>
              <w:suppressAutoHyphens/>
              <w:spacing w:after="0" w:line="280" w:lineRule="exact"/>
              <w:ind w:right="-5"/>
              <w:jc w:val="right"/>
              <w:rPr>
                <w:rFonts w:cs="Arial"/>
                <w:sz w:val="18"/>
                <w:szCs w:val="18"/>
              </w:rPr>
            </w:pPr>
          </w:p>
        </w:tc>
        <w:tc>
          <w:tcPr>
            <w:tcW w:w="529" w:type="pct"/>
          </w:tcPr>
          <w:p w14:paraId="5C8E44CB" w14:textId="77777777" w:rsidR="00A633C8" w:rsidRPr="00567520" w:rsidRDefault="00A633C8" w:rsidP="00880F6C">
            <w:pPr>
              <w:tabs>
                <w:tab w:val="left" w:pos="-720"/>
              </w:tabs>
              <w:suppressAutoHyphens/>
              <w:spacing w:after="0" w:line="280" w:lineRule="exact"/>
              <w:ind w:right="-5"/>
              <w:jc w:val="right"/>
              <w:rPr>
                <w:rFonts w:cs="Arial"/>
                <w:sz w:val="18"/>
                <w:szCs w:val="18"/>
              </w:rPr>
            </w:pPr>
          </w:p>
        </w:tc>
        <w:tc>
          <w:tcPr>
            <w:tcW w:w="529" w:type="pct"/>
          </w:tcPr>
          <w:p w14:paraId="58F20A4B" w14:textId="77777777" w:rsidR="00A633C8" w:rsidRPr="00567520" w:rsidRDefault="00A633C8" w:rsidP="00880F6C">
            <w:pPr>
              <w:tabs>
                <w:tab w:val="left" w:pos="-720"/>
              </w:tabs>
              <w:suppressAutoHyphens/>
              <w:spacing w:after="0" w:line="280" w:lineRule="exact"/>
              <w:ind w:right="-5"/>
              <w:jc w:val="right"/>
              <w:rPr>
                <w:rFonts w:cs="Arial"/>
                <w:sz w:val="18"/>
                <w:szCs w:val="18"/>
              </w:rPr>
            </w:pPr>
          </w:p>
        </w:tc>
        <w:tc>
          <w:tcPr>
            <w:tcW w:w="529" w:type="pct"/>
          </w:tcPr>
          <w:p w14:paraId="5881C453" w14:textId="77777777" w:rsidR="00A633C8" w:rsidRPr="00567520" w:rsidRDefault="00A633C8" w:rsidP="00880F6C">
            <w:pPr>
              <w:tabs>
                <w:tab w:val="left" w:pos="-720"/>
              </w:tabs>
              <w:suppressAutoHyphens/>
              <w:spacing w:after="0" w:line="280" w:lineRule="exact"/>
              <w:ind w:right="-5"/>
              <w:jc w:val="right"/>
              <w:rPr>
                <w:rFonts w:cs="Arial"/>
                <w:sz w:val="18"/>
                <w:szCs w:val="18"/>
              </w:rPr>
            </w:pPr>
          </w:p>
        </w:tc>
        <w:tc>
          <w:tcPr>
            <w:tcW w:w="529" w:type="pct"/>
          </w:tcPr>
          <w:p w14:paraId="05557F45" w14:textId="77777777" w:rsidR="00A633C8" w:rsidRPr="00567520" w:rsidRDefault="00A633C8" w:rsidP="00880F6C">
            <w:pPr>
              <w:tabs>
                <w:tab w:val="left" w:pos="-720"/>
              </w:tabs>
              <w:suppressAutoHyphens/>
              <w:spacing w:after="0" w:line="280" w:lineRule="exact"/>
              <w:ind w:right="-5"/>
              <w:jc w:val="right"/>
              <w:rPr>
                <w:rFonts w:cs="Arial"/>
                <w:sz w:val="18"/>
                <w:szCs w:val="18"/>
              </w:rPr>
            </w:pPr>
          </w:p>
        </w:tc>
        <w:tc>
          <w:tcPr>
            <w:tcW w:w="529" w:type="pct"/>
          </w:tcPr>
          <w:p w14:paraId="3C0028BF" w14:textId="77777777" w:rsidR="00A633C8" w:rsidRPr="00567520" w:rsidRDefault="00A633C8" w:rsidP="00880F6C">
            <w:pPr>
              <w:tabs>
                <w:tab w:val="left" w:pos="-720"/>
              </w:tabs>
              <w:suppressAutoHyphens/>
              <w:spacing w:after="0" w:line="280" w:lineRule="exact"/>
              <w:ind w:right="-5"/>
              <w:jc w:val="right"/>
              <w:rPr>
                <w:rFonts w:cs="Arial"/>
                <w:sz w:val="18"/>
                <w:szCs w:val="18"/>
              </w:rPr>
            </w:pPr>
          </w:p>
        </w:tc>
      </w:tr>
      <w:tr w:rsidR="003776B2" w:rsidRPr="00567520" w14:paraId="09B25662" w14:textId="77777777" w:rsidTr="00312975">
        <w:trPr>
          <w:trHeight w:val="588"/>
        </w:trPr>
        <w:tc>
          <w:tcPr>
            <w:tcW w:w="1295" w:type="pct"/>
            <w:vAlign w:val="bottom"/>
          </w:tcPr>
          <w:p w14:paraId="33B27502" w14:textId="77777777" w:rsidR="003776B2" w:rsidRPr="00567520" w:rsidRDefault="003776B2" w:rsidP="003776B2">
            <w:pPr>
              <w:tabs>
                <w:tab w:val="left" w:pos="-720"/>
              </w:tabs>
              <w:suppressAutoHyphens/>
              <w:spacing w:after="0" w:line="280" w:lineRule="exact"/>
              <w:ind w:right="-5"/>
              <w:rPr>
                <w:rFonts w:cs="Arial"/>
                <w:sz w:val="18"/>
                <w:szCs w:val="18"/>
              </w:rPr>
            </w:pPr>
            <w:r w:rsidRPr="00567520">
              <w:rPr>
                <w:rFonts w:cs="Arial"/>
                <w:sz w:val="18"/>
                <w:szCs w:val="18"/>
              </w:rPr>
              <w:t>Novčana sredstva i računi kod banaka</w:t>
            </w:r>
          </w:p>
        </w:tc>
        <w:tc>
          <w:tcPr>
            <w:tcW w:w="529" w:type="pct"/>
            <w:tcBorders>
              <w:top w:val="nil"/>
              <w:left w:val="nil"/>
              <w:bottom w:val="nil"/>
              <w:right w:val="nil"/>
            </w:tcBorders>
            <w:shd w:val="clear" w:color="auto" w:fill="auto"/>
            <w:vAlign w:val="bottom"/>
          </w:tcPr>
          <w:p w14:paraId="603FAA69" w14:textId="421CEE91"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05797270" w14:textId="6AF8FDB3"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1F27E292" w14:textId="6D29B1BD"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582BB123" w14:textId="73948748"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1F376B1A" w14:textId="2416DD74"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2C1480B0" w14:textId="1C3A6E34"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1.680.033</w:t>
            </w:r>
          </w:p>
        </w:tc>
        <w:tc>
          <w:tcPr>
            <w:tcW w:w="529" w:type="pct"/>
            <w:tcBorders>
              <w:top w:val="nil"/>
              <w:left w:val="nil"/>
              <w:bottom w:val="nil"/>
              <w:right w:val="nil"/>
            </w:tcBorders>
            <w:shd w:val="clear" w:color="auto" w:fill="auto"/>
            <w:vAlign w:val="bottom"/>
          </w:tcPr>
          <w:p w14:paraId="2999BB47" w14:textId="08A28A2D"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1.680.033</w:t>
            </w:r>
          </w:p>
        </w:tc>
      </w:tr>
      <w:tr w:rsidR="003776B2" w:rsidRPr="00567520" w14:paraId="3F99997D" w14:textId="77777777" w:rsidTr="00312975">
        <w:trPr>
          <w:trHeight w:val="300"/>
        </w:trPr>
        <w:tc>
          <w:tcPr>
            <w:tcW w:w="1295" w:type="pct"/>
            <w:vAlign w:val="bottom"/>
          </w:tcPr>
          <w:p w14:paraId="19A89AF0" w14:textId="77777777" w:rsidR="003776B2" w:rsidRPr="00567520" w:rsidRDefault="003776B2" w:rsidP="003776B2">
            <w:pPr>
              <w:tabs>
                <w:tab w:val="left" w:pos="-720"/>
              </w:tabs>
              <w:suppressAutoHyphens/>
              <w:spacing w:after="0" w:line="280" w:lineRule="exact"/>
              <w:ind w:right="-5"/>
              <w:rPr>
                <w:rFonts w:cs="Arial"/>
                <w:sz w:val="18"/>
                <w:szCs w:val="18"/>
              </w:rPr>
            </w:pPr>
            <w:r w:rsidRPr="00567520">
              <w:rPr>
                <w:rFonts w:cs="Arial"/>
                <w:sz w:val="18"/>
                <w:szCs w:val="18"/>
              </w:rPr>
              <w:t>Depoziti kod drugih banaka</w:t>
            </w:r>
          </w:p>
        </w:tc>
        <w:tc>
          <w:tcPr>
            <w:tcW w:w="529" w:type="pct"/>
            <w:tcBorders>
              <w:top w:val="nil"/>
              <w:left w:val="nil"/>
              <w:bottom w:val="nil"/>
              <w:right w:val="nil"/>
            </w:tcBorders>
            <w:shd w:val="clear" w:color="auto" w:fill="auto"/>
            <w:vAlign w:val="bottom"/>
          </w:tcPr>
          <w:p w14:paraId="744C988A" w14:textId="5E9B862F" w:rsidR="003776B2" w:rsidRPr="00D61239" w:rsidRDefault="003776B2" w:rsidP="003776B2">
            <w:pPr>
              <w:tabs>
                <w:tab w:val="left" w:pos="-720"/>
              </w:tabs>
              <w:suppressAutoHyphens/>
              <w:spacing w:after="0" w:line="280" w:lineRule="exact"/>
              <w:ind w:right="-5"/>
              <w:jc w:val="right"/>
              <w:rPr>
                <w:rFonts w:cs="Arial"/>
                <w:sz w:val="18"/>
                <w:szCs w:val="18"/>
              </w:rPr>
            </w:pPr>
            <w:r w:rsidRPr="00016AD1">
              <w:rPr>
                <w:rFonts w:cs="Arial"/>
                <w:sz w:val="18"/>
                <w:szCs w:val="18"/>
              </w:rPr>
              <w:t>1.530</w:t>
            </w:r>
          </w:p>
        </w:tc>
        <w:tc>
          <w:tcPr>
            <w:tcW w:w="529" w:type="pct"/>
            <w:tcBorders>
              <w:top w:val="nil"/>
              <w:left w:val="nil"/>
              <w:bottom w:val="nil"/>
              <w:right w:val="nil"/>
            </w:tcBorders>
            <w:shd w:val="clear" w:color="auto" w:fill="auto"/>
            <w:vAlign w:val="bottom"/>
          </w:tcPr>
          <w:p w14:paraId="3984DE8B" w14:textId="0F77AEDD"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395A5071" w14:textId="7D7C1C70"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58CCBFA3" w14:textId="1D5BF1D2"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41E0C015" w14:textId="6B58C5F3"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6635C6BC" w14:textId="47AEF21D"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18</w:t>
            </w:r>
          </w:p>
        </w:tc>
        <w:tc>
          <w:tcPr>
            <w:tcW w:w="529" w:type="pct"/>
            <w:tcBorders>
              <w:top w:val="nil"/>
              <w:left w:val="nil"/>
              <w:bottom w:val="nil"/>
              <w:right w:val="nil"/>
            </w:tcBorders>
            <w:shd w:val="clear" w:color="auto" w:fill="auto"/>
            <w:vAlign w:val="bottom"/>
          </w:tcPr>
          <w:p w14:paraId="381603B9" w14:textId="1D8B1FAC"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1.548</w:t>
            </w:r>
          </w:p>
        </w:tc>
      </w:tr>
      <w:tr w:rsidR="003776B2" w:rsidRPr="00567520" w14:paraId="3806B23B" w14:textId="77777777" w:rsidTr="00312975">
        <w:trPr>
          <w:trHeight w:val="300"/>
        </w:trPr>
        <w:tc>
          <w:tcPr>
            <w:tcW w:w="1295" w:type="pct"/>
            <w:vAlign w:val="bottom"/>
          </w:tcPr>
          <w:p w14:paraId="02A21C9E" w14:textId="77777777" w:rsidR="003776B2" w:rsidRPr="00567520" w:rsidRDefault="003776B2" w:rsidP="003776B2">
            <w:pPr>
              <w:tabs>
                <w:tab w:val="left" w:pos="-720"/>
              </w:tabs>
              <w:suppressAutoHyphens/>
              <w:spacing w:after="0" w:line="280" w:lineRule="exact"/>
              <w:ind w:right="-5"/>
              <w:rPr>
                <w:rFonts w:cs="Arial"/>
                <w:sz w:val="18"/>
                <w:szCs w:val="18"/>
              </w:rPr>
            </w:pPr>
            <w:r w:rsidRPr="00567520">
              <w:rPr>
                <w:rFonts w:cs="Arial"/>
                <w:sz w:val="18"/>
                <w:szCs w:val="18"/>
              </w:rPr>
              <w:t xml:space="preserve">Krediti </w:t>
            </w:r>
            <w:r w:rsidRPr="00DF069F">
              <w:rPr>
                <w:rFonts w:cs="Arial"/>
                <w:sz w:val="18"/>
                <w:szCs w:val="18"/>
              </w:rPr>
              <w:t>financijskim institucijama</w:t>
            </w:r>
          </w:p>
        </w:tc>
        <w:tc>
          <w:tcPr>
            <w:tcW w:w="529" w:type="pct"/>
            <w:tcBorders>
              <w:top w:val="nil"/>
              <w:left w:val="nil"/>
              <w:bottom w:val="nil"/>
              <w:right w:val="nil"/>
            </w:tcBorders>
            <w:shd w:val="clear" w:color="auto" w:fill="auto"/>
            <w:vAlign w:val="bottom"/>
          </w:tcPr>
          <w:p w14:paraId="20308276" w14:textId="7D4ADADA" w:rsidR="003776B2" w:rsidRPr="00D61239" w:rsidRDefault="003776B2" w:rsidP="003776B2">
            <w:pPr>
              <w:tabs>
                <w:tab w:val="left" w:pos="-720"/>
              </w:tabs>
              <w:suppressAutoHyphens/>
              <w:spacing w:after="0" w:line="280" w:lineRule="exact"/>
              <w:ind w:right="-5"/>
              <w:jc w:val="right"/>
              <w:rPr>
                <w:rFonts w:cs="Arial"/>
                <w:sz w:val="18"/>
                <w:szCs w:val="18"/>
              </w:rPr>
            </w:pPr>
            <w:r w:rsidRPr="00016AD1">
              <w:rPr>
                <w:rFonts w:cs="Arial"/>
                <w:sz w:val="18"/>
                <w:szCs w:val="18"/>
              </w:rPr>
              <w:t>425.153</w:t>
            </w:r>
          </w:p>
        </w:tc>
        <w:tc>
          <w:tcPr>
            <w:tcW w:w="529" w:type="pct"/>
            <w:tcBorders>
              <w:top w:val="nil"/>
              <w:left w:val="nil"/>
              <w:bottom w:val="nil"/>
              <w:right w:val="nil"/>
            </w:tcBorders>
            <w:shd w:val="clear" w:color="auto" w:fill="auto"/>
            <w:vAlign w:val="bottom"/>
          </w:tcPr>
          <w:p w14:paraId="0009B108" w14:textId="3BBAE770" w:rsidR="003776B2" w:rsidRPr="00D61239" w:rsidRDefault="003776B2" w:rsidP="003776B2">
            <w:pPr>
              <w:tabs>
                <w:tab w:val="left" w:pos="-720"/>
              </w:tabs>
              <w:suppressAutoHyphens/>
              <w:spacing w:after="0" w:line="280" w:lineRule="exact"/>
              <w:ind w:right="-5"/>
              <w:jc w:val="right"/>
              <w:rPr>
                <w:rFonts w:cs="Arial"/>
                <w:sz w:val="18"/>
                <w:szCs w:val="18"/>
              </w:rPr>
            </w:pPr>
            <w:r w:rsidRPr="00016AD1">
              <w:rPr>
                <w:rFonts w:cs="Arial"/>
                <w:sz w:val="18"/>
                <w:szCs w:val="18"/>
              </w:rPr>
              <w:t>878.553</w:t>
            </w:r>
          </w:p>
        </w:tc>
        <w:tc>
          <w:tcPr>
            <w:tcW w:w="529" w:type="pct"/>
            <w:tcBorders>
              <w:top w:val="nil"/>
              <w:left w:val="nil"/>
              <w:bottom w:val="nil"/>
              <w:right w:val="nil"/>
            </w:tcBorders>
            <w:shd w:val="clear" w:color="auto" w:fill="auto"/>
            <w:vAlign w:val="bottom"/>
          </w:tcPr>
          <w:p w14:paraId="0ED920F4" w14:textId="0C4D927A" w:rsidR="003776B2" w:rsidRPr="00D61239" w:rsidRDefault="003776B2" w:rsidP="003776B2">
            <w:pPr>
              <w:tabs>
                <w:tab w:val="left" w:pos="-720"/>
              </w:tabs>
              <w:suppressAutoHyphens/>
              <w:spacing w:after="0" w:line="280" w:lineRule="exact"/>
              <w:ind w:right="-5"/>
              <w:jc w:val="right"/>
              <w:rPr>
                <w:rFonts w:cs="Arial"/>
                <w:sz w:val="18"/>
                <w:szCs w:val="18"/>
              </w:rPr>
            </w:pPr>
            <w:r w:rsidRPr="00016AD1">
              <w:rPr>
                <w:rFonts w:cs="Arial"/>
                <w:sz w:val="18"/>
                <w:szCs w:val="18"/>
              </w:rPr>
              <w:t>1.501.045</w:t>
            </w:r>
          </w:p>
        </w:tc>
        <w:tc>
          <w:tcPr>
            <w:tcW w:w="529" w:type="pct"/>
            <w:tcBorders>
              <w:top w:val="nil"/>
              <w:left w:val="nil"/>
              <w:bottom w:val="nil"/>
              <w:right w:val="nil"/>
            </w:tcBorders>
            <w:shd w:val="clear" w:color="auto" w:fill="auto"/>
            <w:vAlign w:val="bottom"/>
          </w:tcPr>
          <w:p w14:paraId="3AD1E817" w14:textId="16F8FD2F" w:rsidR="003776B2" w:rsidRPr="00D61239" w:rsidRDefault="003776B2" w:rsidP="003776B2">
            <w:pPr>
              <w:tabs>
                <w:tab w:val="left" w:pos="-720"/>
              </w:tabs>
              <w:suppressAutoHyphens/>
              <w:spacing w:after="0" w:line="280" w:lineRule="exact"/>
              <w:ind w:right="-5"/>
              <w:jc w:val="right"/>
              <w:rPr>
                <w:rFonts w:cs="Arial"/>
                <w:sz w:val="18"/>
                <w:szCs w:val="18"/>
              </w:rPr>
            </w:pPr>
            <w:r w:rsidRPr="00016AD1">
              <w:rPr>
                <w:rFonts w:cs="Arial"/>
                <w:sz w:val="18"/>
                <w:szCs w:val="18"/>
              </w:rPr>
              <w:t>2.872.891</w:t>
            </w:r>
          </w:p>
        </w:tc>
        <w:tc>
          <w:tcPr>
            <w:tcW w:w="529" w:type="pct"/>
            <w:tcBorders>
              <w:top w:val="nil"/>
              <w:left w:val="nil"/>
              <w:bottom w:val="nil"/>
              <w:right w:val="nil"/>
            </w:tcBorders>
            <w:shd w:val="clear" w:color="auto" w:fill="auto"/>
            <w:vAlign w:val="bottom"/>
          </w:tcPr>
          <w:p w14:paraId="21C18B60" w14:textId="6915A3A7" w:rsidR="003776B2" w:rsidRPr="00D61239" w:rsidRDefault="003776B2" w:rsidP="003776B2">
            <w:pPr>
              <w:tabs>
                <w:tab w:val="left" w:pos="-720"/>
              </w:tabs>
              <w:suppressAutoHyphens/>
              <w:spacing w:after="0" w:line="280" w:lineRule="exact"/>
              <w:ind w:right="-5"/>
              <w:jc w:val="right"/>
              <w:rPr>
                <w:rFonts w:cs="Arial"/>
                <w:sz w:val="18"/>
                <w:szCs w:val="18"/>
              </w:rPr>
            </w:pPr>
            <w:r w:rsidRPr="00016AD1">
              <w:rPr>
                <w:rFonts w:cs="Arial"/>
                <w:sz w:val="18"/>
                <w:szCs w:val="18"/>
              </w:rPr>
              <w:t>5.621.646</w:t>
            </w:r>
          </w:p>
        </w:tc>
        <w:tc>
          <w:tcPr>
            <w:tcW w:w="529" w:type="pct"/>
            <w:tcBorders>
              <w:top w:val="nil"/>
              <w:left w:val="nil"/>
              <w:bottom w:val="nil"/>
              <w:right w:val="nil"/>
            </w:tcBorders>
            <w:shd w:val="clear" w:color="auto" w:fill="auto"/>
            <w:vAlign w:val="bottom"/>
          </w:tcPr>
          <w:p w14:paraId="190C9B0C" w14:textId="7E34249E"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14.214</w:t>
            </w:r>
          </w:p>
        </w:tc>
        <w:tc>
          <w:tcPr>
            <w:tcW w:w="529" w:type="pct"/>
            <w:tcBorders>
              <w:top w:val="nil"/>
              <w:left w:val="nil"/>
              <w:bottom w:val="nil"/>
              <w:right w:val="nil"/>
            </w:tcBorders>
            <w:shd w:val="clear" w:color="auto" w:fill="auto"/>
            <w:vAlign w:val="bottom"/>
          </w:tcPr>
          <w:p w14:paraId="13A4E58B" w14:textId="316DB145"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11.313.502</w:t>
            </w:r>
          </w:p>
        </w:tc>
      </w:tr>
      <w:tr w:rsidR="003776B2" w:rsidRPr="00567520" w14:paraId="057C5BA1" w14:textId="77777777" w:rsidTr="00312975">
        <w:trPr>
          <w:trHeight w:val="286"/>
        </w:trPr>
        <w:tc>
          <w:tcPr>
            <w:tcW w:w="1295" w:type="pct"/>
            <w:vAlign w:val="bottom"/>
          </w:tcPr>
          <w:p w14:paraId="73F045C4" w14:textId="77777777" w:rsidR="003776B2" w:rsidRPr="00567520" w:rsidRDefault="003776B2" w:rsidP="003776B2">
            <w:pPr>
              <w:tabs>
                <w:tab w:val="left" w:pos="-720"/>
              </w:tabs>
              <w:suppressAutoHyphens/>
              <w:spacing w:after="0" w:line="280" w:lineRule="exact"/>
              <w:ind w:right="-5"/>
              <w:rPr>
                <w:rFonts w:cs="Arial"/>
                <w:sz w:val="18"/>
                <w:szCs w:val="18"/>
              </w:rPr>
            </w:pPr>
            <w:r w:rsidRPr="00567520">
              <w:rPr>
                <w:rFonts w:cs="Arial"/>
                <w:sz w:val="18"/>
                <w:szCs w:val="18"/>
              </w:rPr>
              <w:t>Krediti ostalim korisnicima</w:t>
            </w:r>
          </w:p>
        </w:tc>
        <w:tc>
          <w:tcPr>
            <w:tcW w:w="529" w:type="pct"/>
            <w:tcBorders>
              <w:top w:val="nil"/>
              <w:left w:val="nil"/>
              <w:bottom w:val="nil"/>
              <w:right w:val="nil"/>
            </w:tcBorders>
            <w:shd w:val="clear" w:color="auto" w:fill="auto"/>
            <w:vAlign w:val="bottom"/>
          </w:tcPr>
          <w:p w14:paraId="63B16337" w14:textId="58365EE2" w:rsidR="003776B2" w:rsidRPr="00D61239" w:rsidRDefault="003776B2" w:rsidP="003776B2">
            <w:pPr>
              <w:tabs>
                <w:tab w:val="left" w:pos="-720"/>
              </w:tabs>
              <w:suppressAutoHyphens/>
              <w:spacing w:after="0" w:line="280" w:lineRule="exact"/>
              <w:ind w:right="-5"/>
              <w:jc w:val="right"/>
              <w:rPr>
                <w:rFonts w:cs="Arial"/>
                <w:sz w:val="18"/>
                <w:szCs w:val="18"/>
              </w:rPr>
            </w:pPr>
            <w:r w:rsidRPr="00016AD1">
              <w:rPr>
                <w:rFonts w:cs="Arial"/>
                <w:sz w:val="18"/>
                <w:szCs w:val="18"/>
              </w:rPr>
              <w:t>1.969.326</w:t>
            </w:r>
          </w:p>
        </w:tc>
        <w:tc>
          <w:tcPr>
            <w:tcW w:w="529" w:type="pct"/>
            <w:tcBorders>
              <w:top w:val="nil"/>
              <w:left w:val="nil"/>
              <w:bottom w:val="nil"/>
              <w:right w:val="nil"/>
            </w:tcBorders>
            <w:shd w:val="clear" w:color="auto" w:fill="auto"/>
            <w:vAlign w:val="bottom"/>
          </w:tcPr>
          <w:p w14:paraId="27382E4B" w14:textId="38E2F47F" w:rsidR="003776B2" w:rsidRPr="00D61239" w:rsidRDefault="003776B2" w:rsidP="003776B2">
            <w:pPr>
              <w:tabs>
                <w:tab w:val="left" w:pos="-720"/>
              </w:tabs>
              <w:suppressAutoHyphens/>
              <w:spacing w:after="0" w:line="280" w:lineRule="exact"/>
              <w:ind w:right="-5"/>
              <w:jc w:val="right"/>
              <w:rPr>
                <w:rFonts w:cs="Arial"/>
                <w:sz w:val="18"/>
                <w:szCs w:val="18"/>
              </w:rPr>
            </w:pPr>
            <w:r w:rsidRPr="00016AD1">
              <w:rPr>
                <w:rFonts w:cs="Arial"/>
                <w:sz w:val="18"/>
                <w:szCs w:val="18"/>
              </w:rPr>
              <w:t>740.883</w:t>
            </w:r>
          </w:p>
        </w:tc>
        <w:tc>
          <w:tcPr>
            <w:tcW w:w="529" w:type="pct"/>
            <w:tcBorders>
              <w:top w:val="nil"/>
              <w:left w:val="nil"/>
              <w:bottom w:val="nil"/>
              <w:right w:val="nil"/>
            </w:tcBorders>
            <w:shd w:val="clear" w:color="auto" w:fill="auto"/>
            <w:vAlign w:val="bottom"/>
          </w:tcPr>
          <w:p w14:paraId="3154A9A5" w14:textId="75CA714B" w:rsidR="003776B2" w:rsidRPr="00D61239" w:rsidRDefault="003776B2" w:rsidP="003776B2">
            <w:pPr>
              <w:tabs>
                <w:tab w:val="left" w:pos="-720"/>
              </w:tabs>
              <w:suppressAutoHyphens/>
              <w:spacing w:after="0" w:line="280" w:lineRule="exact"/>
              <w:ind w:right="-5"/>
              <w:jc w:val="right"/>
              <w:rPr>
                <w:rFonts w:cs="Arial"/>
                <w:sz w:val="18"/>
                <w:szCs w:val="18"/>
              </w:rPr>
            </w:pPr>
            <w:r w:rsidRPr="00016AD1">
              <w:rPr>
                <w:rFonts w:cs="Arial"/>
                <w:sz w:val="18"/>
                <w:szCs w:val="18"/>
              </w:rPr>
              <w:t>784.146</w:t>
            </w:r>
          </w:p>
        </w:tc>
        <w:tc>
          <w:tcPr>
            <w:tcW w:w="529" w:type="pct"/>
            <w:tcBorders>
              <w:top w:val="nil"/>
              <w:left w:val="nil"/>
              <w:bottom w:val="nil"/>
              <w:right w:val="nil"/>
            </w:tcBorders>
            <w:shd w:val="clear" w:color="auto" w:fill="auto"/>
            <w:vAlign w:val="bottom"/>
          </w:tcPr>
          <w:p w14:paraId="17FCF3D7" w14:textId="72693D2F" w:rsidR="003776B2" w:rsidRPr="00D61239" w:rsidRDefault="003776B2" w:rsidP="003776B2">
            <w:pPr>
              <w:tabs>
                <w:tab w:val="left" w:pos="-720"/>
              </w:tabs>
              <w:suppressAutoHyphens/>
              <w:spacing w:after="0" w:line="280" w:lineRule="exact"/>
              <w:ind w:right="-5"/>
              <w:jc w:val="right"/>
              <w:rPr>
                <w:rFonts w:cs="Arial"/>
                <w:sz w:val="18"/>
                <w:szCs w:val="18"/>
              </w:rPr>
            </w:pPr>
            <w:r w:rsidRPr="00016AD1">
              <w:rPr>
                <w:rFonts w:cs="Arial"/>
                <w:sz w:val="18"/>
                <w:szCs w:val="18"/>
              </w:rPr>
              <w:t>1.573.916</w:t>
            </w:r>
          </w:p>
        </w:tc>
        <w:tc>
          <w:tcPr>
            <w:tcW w:w="529" w:type="pct"/>
            <w:tcBorders>
              <w:top w:val="nil"/>
              <w:left w:val="nil"/>
              <w:bottom w:val="nil"/>
              <w:right w:val="nil"/>
            </w:tcBorders>
            <w:shd w:val="clear" w:color="auto" w:fill="auto"/>
            <w:vAlign w:val="bottom"/>
          </w:tcPr>
          <w:p w14:paraId="5E232ADD" w14:textId="4A5D267D" w:rsidR="003776B2" w:rsidRPr="00D61239" w:rsidRDefault="003776B2" w:rsidP="003776B2">
            <w:pPr>
              <w:tabs>
                <w:tab w:val="left" w:pos="-720"/>
              </w:tabs>
              <w:suppressAutoHyphens/>
              <w:spacing w:after="0" w:line="280" w:lineRule="exact"/>
              <w:ind w:right="-5"/>
              <w:jc w:val="right"/>
              <w:rPr>
                <w:rFonts w:cs="Arial"/>
                <w:sz w:val="18"/>
                <w:szCs w:val="18"/>
              </w:rPr>
            </w:pPr>
            <w:r w:rsidRPr="00016AD1">
              <w:rPr>
                <w:rFonts w:cs="Arial"/>
                <w:sz w:val="18"/>
                <w:szCs w:val="18"/>
              </w:rPr>
              <w:t>6.524.620</w:t>
            </w:r>
          </w:p>
        </w:tc>
        <w:tc>
          <w:tcPr>
            <w:tcW w:w="529" w:type="pct"/>
            <w:tcBorders>
              <w:top w:val="nil"/>
              <w:left w:val="nil"/>
              <w:bottom w:val="nil"/>
              <w:right w:val="nil"/>
            </w:tcBorders>
            <w:shd w:val="clear" w:color="auto" w:fill="auto"/>
            <w:vAlign w:val="bottom"/>
          </w:tcPr>
          <w:p w14:paraId="06303D20" w14:textId="729A7155"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54.223</w:t>
            </w:r>
          </w:p>
        </w:tc>
        <w:tc>
          <w:tcPr>
            <w:tcW w:w="529" w:type="pct"/>
            <w:tcBorders>
              <w:top w:val="nil"/>
              <w:left w:val="nil"/>
              <w:bottom w:val="nil"/>
              <w:right w:val="nil"/>
            </w:tcBorders>
            <w:shd w:val="clear" w:color="auto" w:fill="auto"/>
            <w:vAlign w:val="bottom"/>
          </w:tcPr>
          <w:p w14:paraId="03A5AA21" w14:textId="29FAC79C"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11.647.114</w:t>
            </w:r>
          </w:p>
        </w:tc>
      </w:tr>
      <w:tr w:rsidR="003776B2" w:rsidRPr="00567520" w14:paraId="396DABD9" w14:textId="77777777" w:rsidTr="00312975">
        <w:trPr>
          <w:trHeight w:val="300"/>
        </w:trPr>
        <w:tc>
          <w:tcPr>
            <w:tcW w:w="1295" w:type="pct"/>
            <w:vAlign w:val="bottom"/>
          </w:tcPr>
          <w:p w14:paraId="0ED3E657" w14:textId="77777777" w:rsidR="003776B2" w:rsidRPr="00567520" w:rsidRDefault="003776B2" w:rsidP="003776B2">
            <w:pPr>
              <w:tabs>
                <w:tab w:val="left" w:pos="-720"/>
              </w:tabs>
              <w:suppressAutoHyphens/>
              <w:spacing w:after="0" w:line="280" w:lineRule="exact"/>
              <w:ind w:right="-5"/>
              <w:rPr>
                <w:rFonts w:cs="Arial"/>
                <w:sz w:val="18"/>
                <w:szCs w:val="18"/>
              </w:rPr>
            </w:pPr>
            <w:r w:rsidRPr="00567520">
              <w:rPr>
                <w:rFonts w:cs="Arial"/>
                <w:sz w:val="18"/>
                <w:szCs w:val="18"/>
              </w:rPr>
              <w:t>Imovina raspoloživa za prodaju</w:t>
            </w:r>
          </w:p>
        </w:tc>
        <w:tc>
          <w:tcPr>
            <w:tcW w:w="529" w:type="pct"/>
            <w:tcBorders>
              <w:top w:val="nil"/>
              <w:left w:val="nil"/>
              <w:bottom w:val="nil"/>
              <w:right w:val="nil"/>
            </w:tcBorders>
            <w:shd w:val="clear" w:color="auto" w:fill="auto"/>
            <w:vAlign w:val="bottom"/>
          </w:tcPr>
          <w:p w14:paraId="72384994" w14:textId="14C87DB9" w:rsidR="003776B2" w:rsidRPr="00D61239" w:rsidRDefault="003776B2" w:rsidP="003776B2">
            <w:pPr>
              <w:tabs>
                <w:tab w:val="left" w:pos="-720"/>
              </w:tabs>
              <w:suppressAutoHyphens/>
              <w:spacing w:after="0" w:line="280" w:lineRule="exact"/>
              <w:ind w:right="-5"/>
              <w:jc w:val="right"/>
              <w:rPr>
                <w:rFonts w:cs="Arial"/>
                <w:sz w:val="18"/>
                <w:szCs w:val="18"/>
              </w:rPr>
            </w:pPr>
            <w:r w:rsidRPr="00016AD1">
              <w:rPr>
                <w:rFonts w:cs="Arial"/>
                <w:sz w:val="18"/>
                <w:szCs w:val="18"/>
              </w:rPr>
              <w:t>2.135.513</w:t>
            </w:r>
          </w:p>
        </w:tc>
        <w:tc>
          <w:tcPr>
            <w:tcW w:w="529" w:type="pct"/>
            <w:tcBorders>
              <w:top w:val="nil"/>
              <w:left w:val="nil"/>
              <w:bottom w:val="nil"/>
              <w:right w:val="nil"/>
            </w:tcBorders>
            <w:shd w:val="clear" w:color="auto" w:fill="auto"/>
            <w:vAlign w:val="bottom"/>
          </w:tcPr>
          <w:p w14:paraId="746BB8E2" w14:textId="6A8BD1B6"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63A0BBB2" w14:textId="10F9131B"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284D96C6" w14:textId="3E5E9A12"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439DEE1D" w14:textId="4E498545"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1CC4B39E" w14:textId="758A9502"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912.411</w:t>
            </w:r>
          </w:p>
        </w:tc>
        <w:tc>
          <w:tcPr>
            <w:tcW w:w="529" w:type="pct"/>
            <w:tcBorders>
              <w:top w:val="nil"/>
              <w:left w:val="nil"/>
              <w:bottom w:val="nil"/>
              <w:right w:val="nil"/>
            </w:tcBorders>
            <w:shd w:val="clear" w:color="auto" w:fill="auto"/>
            <w:vAlign w:val="bottom"/>
          </w:tcPr>
          <w:p w14:paraId="412B6926" w14:textId="608371F9"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3.047.924</w:t>
            </w:r>
          </w:p>
        </w:tc>
      </w:tr>
      <w:tr w:rsidR="003776B2" w:rsidRPr="00567520" w14:paraId="20B9D8B5" w14:textId="77777777" w:rsidTr="00312975">
        <w:trPr>
          <w:trHeight w:val="286"/>
        </w:trPr>
        <w:tc>
          <w:tcPr>
            <w:tcW w:w="1295" w:type="pct"/>
            <w:vAlign w:val="bottom"/>
          </w:tcPr>
          <w:p w14:paraId="3F6683E4" w14:textId="77777777" w:rsidR="003776B2" w:rsidRPr="00567520" w:rsidRDefault="003776B2" w:rsidP="003776B2">
            <w:pPr>
              <w:tabs>
                <w:tab w:val="left" w:pos="-720"/>
              </w:tabs>
              <w:suppressAutoHyphens/>
              <w:spacing w:after="0" w:line="280" w:lineRule="exact"/>
              <w:ind w:right="-5"/>
              <w:rPr>
                <w:rFonts w:cs="Arial"/>
                <w:sz w:val="18"/>
                <w:szCs w:val="18"/>
              </w:rPr>
            </w:pPr>
            <w:r w:rsidRPr="00567520">
              <w:rPr>
                <w:rFonts w:cs="Arial"/>
                <w:sz w:val="18"/>
                <w:szCs w:val="18"/>
              </w:rPr>
              <w:t>Ulaganja u ovisna društva</w:t>
            </w:r>
          </w:p>
        </w:tc>
        <w:tc>
          <w:tcPr>
            <w:tcW w:w="529" w:type="pct"/>
            <w:tcBorders>
              <w:top w:val="nil"/>
              <w:left w:val="nil"/>
              <w:bottom w:val="nil"/>
              <w:right w:val="nil"/>
            </w:tcBorders>
            <w:shd w:val="clear" w:color="auto" w:fill="auto"/>
            <w:vAlign w:val="bottom"/>
          </w:tcPr>
          <w:p w14:paraId="5ADE966C" w14:textId="2DB84E3A"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283D89D9" w14:textId="129DC8B6"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5BDE10CA" w14:textId="4A29A617"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7136EFBE" w14:textId="3AD58E22"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63984E79" w14:textId="2DBA76A9"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65075AEF" w14:textId="6566EFBC"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36.124</w:t>
            </w:r>
          </w:p>
        </w:tc>
        <w:tc>
          <w:tcPr>
            <w:tcW w:w="529" w:type="pct"/>
            <w:tcBorders>
              <w:top w:val="nil"/>
              <w:left w:val="nil"/>
              <w:bottom w:val="nil"/>
              <w:right w:val="nil"/>
            </w:tcBorders>
            <w:shd w:val="clear" w:color="auto" w:fill="auto"/>
            <w:vAlign w:val="bottom"/>
          </w:tcPr>
          <w:p w14:paraId="66388100" w14:textId="3907DDEF"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36.124</w:t>
            </w:r>
          </w:p>
        </w:tc>
      </w:tr>
      <w:tr w:rsidR="003776B2" w:rsidRPr="00567520" w14:paraId="18EE4A8B" w14:textId="77777777" w:rsidTr="00312975">
        <w:trPr>
          <w:trHeight w:val="300"/>
        </w:trPr>
        <w:tc>
          <w:tcPr>
            <w:tcW w:w="1295" w:type="pct"/>
            <w:vAlign w:val="bottom"/>
          </w:tcPr>
          <w:p w14:paraId="14BB6D53" w14:textId="77777777" w:rsidR="003776B2" w:rsidRPr="00567520" w:rsidRDefault="003776B2" w:rsidP="003776B2">
            <w:pPr>
              <w:tabs>
                <w:tab w:val="left" w:pos="-720"/>
              </w:tabs>
              <w:suppressAutoHyphens/>
              <w:spacing w:after="0" w:line="280" w:lineRule="exact"/>
              <w:ind w:right="-5"/>
              <w:rPr>
                <w:rFonts w:cs="Arial"/>
                <w:sz w:val="18"/>
                <w:szCs w:val="18"/>
              </w:rPr>
            </w:pPr>
            <w:r w:rsidRPr="00567520">
              <w:rPr>
                <w:rFonts w:cs="Arial"/>
                <w:sz w:val="18"/>
                <w:szCs w:val="18"/>
              </w:rPr>
              <w:t>Ulaganja u  pridružena društva</w:t>
            </w:r>
          </w:p>
        </w:tc>
        <w:tc>
          <w:tcPr>
            <w:tcW w:w="529" w:type="pct"/>
            <w:tcBorders>
              <w:top w:val="nil"/>
              <w:left w:val="nil"/>
              <w:bottom w:val="nil"/>
              <w:right w:val="nil"/>
            </w:tcBorders>
            <w:shd w:val="clear" w:color="auto" w:fill="auto"/>
            <w:vAlign w:val="bottom"/>
          </w:tcPr>
          <w:p w14:paraId="755DCD42" w14:textId="7DD9DD1B"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2A986174" w14:textId="2A04595C"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32DF5803" w14:textId="03E4DE57"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3D403FC2" w14:textId="7E3260C1"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64DAD90E" w14:textId="6DB6D24F"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3AC5D749" w14:textId="19AF06D4"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52E0E642" w14:textId="6AA5BCAB"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r>
      <w:tr w:rsidR="003776B2" w:rsidRPr="00567520" w14:paraId="1DA2BD85" w14:textId="77777777" w:rsidTr="00312975">
        <w:trPr>
          <w:trHeight w:val="588"/>
        </w:trPr>
        <w:tc>
          <w:tcPr>
            <w:tcW w:w="1295" w:type="pct"/>
            <w:vAlign w:val="bottom"/>
          </w:tcPr>
          <w:p w14:paraId="08AE84CD" w14:textId="77777777" w:rsidR="003776B2" w:rsidRPr="00567520" w:rsidRDefault="003776B2" w:rsidP="003776B2">
            <w:pPr>
              <w:tabs>
                <w:tab w:val="left" w:pos="-720"/>
              </w:tabs>
              <w:suppressAutoHyphens/>
              <w:spacing w:after="0" w:line="280" w:lineRule="exact"/>
              <w:ind w:right="-5"/>
              <w:rPr>
                <w:rFonts w:cs="Arial"/>
                <w:sz w:val="18"/>
                <w:szCs w:val="18"/>
              </w:rPr>
            </w:pPr>
            <w:r w:rsidRPr="00567520">
              <w:rPr>
                <w:rFonts w:cs="Arial"/>
                <w:sz w:val="18"/>
                <w:szCs w:val="18"/>
              </w:rPr>
              <w:t>Nekretnine, postrojenja i oprema i nematerijalna imovina</w:t>
            </w:r>
          </w:p>
        </w:tc>
        <w:tc>
          <w:tcPr>
            <w:tcW w:w="529" w:type="pct"/>
            <w:tcBorders>
              <w:top w:val="nil"/>
              <w:left w:val="nil"/>
              <w:bottom w:val="nil"/>
              <w:right w:val="nil"/>
            </w:tcBorders>
            <w:shd w:val="clear" w:color="auto" w:fill="auto"/>
            <w:vAlign w:val="bottom"/>
          </w:tcPr>
          <w:p w14:paraId="2A2958D5" w14:textId="7343DB29"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0F41AB3D" w14:textId="0D3BBB71"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6552FE0D" w14:textId="4792A828"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3BE93016" w14:textId="6049D2A8"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7BE67D07" w14:textId="0B2365DB"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545768DB" w14:textId="68072878"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55.126</w:t>
            </w:r>
          </w:p>
        </w:tc>
        <w:tc>
          <w:tcPr>
            <w:tcW w:w="529" w:type="pct"/>
            <w:tcBorders>
              <w:top w:val="nil"/>
              <w:left w:val="nil"/>
              <w:bottom w:val="nil"/>
              <w:right w:val="nil"/>
            </w:tcBorders>
            <w:shd w:val="clear" w:color="auto" w:fill="auto"/>
            <w:vAlign w:val="bottom"/>
          </w:tcPr>
          <w:p w14:paraId="385E8861" w14:textId="75A88059"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55.126</w:t>
            </w:r>
          </w:p>
        </w:tc>
      </w:tr>
      <w:tr w:rsidR="003776B2" w:rsidRPr="00567520" w14:paraId="74F01B98" w14:textId="77777777" w:rsidTr="00312975">
        <w:trPr>
          <w:trHeight w:val="588"/>
        </w:trPr>
        <w:tc>
          <w:tcPr>
            <w:tcW w:w="1295" w:type="pct"/>
            <w:vAlign w:val="bottom"/>
          </w:tcPr>
          <w:p w14:paraId="074D4759" w14:textId="77777777" w:rsidR="003776B2" w:rsidRPr="00567520" w:rsidRDefault="003776B2" w:rsidP="003776B2">
            <w:pPr>
              <w:tabs>
                <w:tab w:val="left" w:pos="-720"/>
              </w:tabs>
              <w:suppressAutoHyphens/>
              <w:spacing w:after="0" w:line="280" w:lineRule="exact"/>
              <w:ind w:right="-5"/>
              <w:rPr>
                <w:rFonts w:cs="Arial"/>
                <w:sz w:val="18"/>
                <w:szCs w:val="18"/>
              </w:rPr>
            </w:pPr>
            <w:r w:rsidRPr="00567520">
              <w:rPr>
                <w:rFonts w:cs="Arial"/>
                <w:sz w:val="18"/>
                <w:szCs w:val="18"/>
              </w:rPr>
              <w:t>Dugotrajna imovina namijenjena prodaji</w:t>
            </w:r>
          </w:p>
        </w:tc>
        <w:tc>
          <w:tcPr>
            <w:tcW w:w="529" w:type="pct"/>
            <w:tcBorders>
              <w:top w:val="nil"/>
              <w:left w:val="nil"/>
              <w:bottom w:val="nil"/>
              <w:right w:val="nil"/>
            </w:tcBorders>
            <w:shd w:val="clear" w:color="auto" w:fill="auto"/>
            <w:vAlign w:val="bottom"/>
          </w:tcPr>
          <w:p w14:paraId="3AB6E55E" w14:textId="5C50C0BB"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158A1E4B" w14:textId="20FE9D14"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6EB8E03C" w14:textId="62DCC541"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457F5874" w14:textId="4A884945"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41714151" w14:textId="696FC32A"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30E39ED6" w14:textId="7F9F200F"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17.030</w:t>
            </w:r>
          </w:p>
        </w:tc>
        <w:tc>
          <w:tcPr>
            <w:tcW w:w="529" w:type="pct"/>
            <w:tcBorders>
              <w:top w:val="nil"/>
              <w:left w:val="nil"/>
              <w:bottom w:val="nil"/>
              <w:right w:val="nil"/>
            </w:tcBorders>
            <w:shd w:val="clear" w:color="auto" w:fill="auto"/>
            <w:vAlign w:val="bottom"/>
          </w:tcPr>
          <w:p w14:paraId="27514C7D" w14:textId="169DDEAE"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17.030</w:t>
            </w:r>
          </w:p>
        </w:tc>
      </w:tr>
      <w:tr w:rsidR="003776B2" w:rsidRPr="00567520" w14:paraId="08EAD8F0" w14:textId="77777777" w:rsidTr="00312975">
        <w:trPr>
          <w:trHeight w:val="300"/>
        </w:trPr>
        <w:tc>
          <w:tcPr>
            <w:tcW w:w="1295" w:type="pct"/>
            <w:vAlign w:val="bottom"/>
          </w:tcPr>
          <w:p w14:paraId="3A5F7B4C" w14:textId="77777777" w:rsidR="003776B2" w:rsidRPr="00567520" w:rsidRDefault="003776B2" w:rsidP="003776B2">
            <w:pPr>
              <w:tabs>
                <w:tab w:val="left" w:pos="-720"/>
              </w:tabs>
              <w:suppressAutoHyphens/>
              <w:spacing w:after="0" w:line="280" w:lineRule="exact"/>
              <w:ind w:right="-5"/>
              <w:rPr>
                <w:rFonts w:cs="Arial"/>
                <w:sz w:val="18"/>
                <w:szCs w:val="18"/>
              </w:rPr>
            </w:pPr>
            <w:r w:rsidRPr="00567520">
              <w:rPr>
                <w:rFonts w:cs="Arial"/>
                <w:sz w:val="18"/>
                <w:szCs w:val="18"/>
              </w:rPr>
              <w:t>Ostala imovina</w:t>
            </w:r>
          </w:p>
        </w:tc>
        <w:tc>
          <w:tcPr>
            <w:tcW w:w="529" w:type="pct"/>
            <w:tcBorders>
              <w:top w:val="nil"/>
              <w:left w:val="nil"/>
              <w:bottom w:val="nil"/>
              <w:right w:val="nil"/>
            </w:tcBorders>
            <w:shd w:val="clear" w:color="auto" w:fill="auto"/>
            <w:vAlign w:val="bottom"/>
          </w:tcPr>
          <w:p w14:paraId="7C09EDCB" w14:textId="41747D2C"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23F48720" w14:textId="2CF2D129"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76F08C32" w14:textId="7A4ED301"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053F5580" w14:textId="3D01C7A6"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69BFC260" w14:textId="0854EF91"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9" w:type="pct"/>
            <w:tcBorders>
              <w:top w:val="nil"/>
              <w:left w:val="nil"/>
              <w:bottom w:val="nil"/>
              <w:right w:val="nil"/>
            </w:tcBorders>
            <w:shd w:val="clear" w:color="auto" w:fill="auto"/>
            <w:vAlign w:val="bottom"/>
          </w:tcPr>
          <w:p w14:paraId="7C90C386" w14:textId="3D77535C"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7.572</w:t>
            </w:r>
          </w:p>
        </w:tc>
        <w:tc>
          <w:tcPr>
            <w:tcW w:w="529" w:type="pct"/>
            <w:tcBorders>
              <w:top w:val="nil"/>
              <w:left w:val="nil"/>
              <w:bottom w:val="nil"/>
              <w:right w:val="nil"/>
            </w:tcBorders>
            <w:shd w:val="clear" w:color="auto" w:fill="auto"/>
            <w:vAlign w:val="bottom"/>
          </w:tcPr>
          <w:p w14:paraId="58A9E609" w14:textId="25C5C76A" w:rsidR="003776B2" w:rsidRPr="00D61239" w:rsidRDefault="003776B2" w:rsidP="003776B2">
            <w:pPr>
              <w:tabs>
                <w:tab w:val="left" w:pos="-720"/>
              </w:tabs>
              <w:suppressAutoHyphens/>
              <w:spacing w:after="0" w:line="280" w:lineRule="exact"/>
              <w:ind w:right="-5"/>
              <w:jc w:val="right"/>
              <w:rPr>
                <w:rFonts w:cs="Arial"/>
                <w:sz w:val="18"/>
                <w:szCs w:val="18"/>
              </w:rPr>
            </w:pPr>
            <w:r>
              <w:rPr>
                <w:rFonts w:cs="Arial"/>
                <w:sz w:val="18"/>
                <w:szCs w:val="18"/>
              </w:rPr>
              <w:t>7.572</w:t>
            </w:r>
          </w:p>
        </w:tc>
      </w:tr>
      <w:tr w:rsidR="003776B2" w:rsidRPr="00567520" w14:paraId="5A4415E5" w14:textId="77777777" w:rsidTr="00312975">
        <w:trPr>
          <w:trHeight w:val="20"/>
        </w:trPr>
        <w:tc>
          <w:tcPr>
            <w:tcW w:w="1295" w:type="pct"/>
            <w:vAlign w:val="bottom"/>
          </w:tcPr>
          <w:p w14:paraId="349137B8" w14:textId="77777777" w:rsidR="003776B2" w:rsidRPr="0054566F" w:rsidRDefault="003776B2" w:rsidP="003776B2">
            <w:pPr>
              <w:pStyle w:val="Tot"/>
              <w:spacing w:line="320" w:lineRule="exact"/>
              <w:rPr>
                <w:rFonts w:asciiTheme="minorHAnsi" w:hAnsiTheme="minorHAnsi" w:cs="Arial"/>
                <w:b/>
                <w:bCs/>
                <w:sz w:val="18"/>
                <w:szCs w:val="18"/>
                <w:lang w:val="hr-HR"/>
              </w:rPr>
            </w:pPr>
            <w:r w:rsidRPr="0054566F">
              <w:rPr>
                <w:rFonts w:asciiTheme="minorHAnsi" w:hAnsiTheme="minorHAnsi" w:cs="Arial"/>
                <w:b/>
                <w:bCs/>
                <w:sz w:val="18"/>
                <w:szCs w:val="18"/>
                <w:lang w:val="hr-HR"/>
              </w:rPr>
              <w:t>Ukupna imovina (1)</w:t>
            </w:r>
          </w:p>
        </w:tc>
        <w:tc>
          <w:tcPr>
            <w:tcW w:w="529" w:type="pct"/>
            <w:tcBorders>
              <w:top w:val="single" w:sz="4" w:space="0" w:color="auto"/>
              <w:left w:val="nil"/>
              <w:bottom w:val="single" w:sz="8" w:space="0" w:color="auto"/>
              <w:right w:val="nil"/>
            </w:tcBorders>
            <w:shd w:val="clear" w:color="auto" w:fill="auto"/>
            <w:vAlign w:val="bottom"/>
          </w:tcPr>
          <w:p w14:paraId="42136117" w14:textId="2F8002ED" w:rsidR="003776B2" w:rsidRPr="00D34B9C" w:rsidRDefault="003776B2" w:rsidP="003776B2">
            <w:pPr>
              <w:pStyle w:val="Tot"/>
              <w:spacing w:line="320" w:lineRule="exact"/>
              <w:jc w:val="right"/>
              <w:rPr>
                <w:rFonts w:asciiTheme="minorHAnsi" w:hAnsiTheme="minorHAnsi" w:cs="Arial"/>
                <w:b/>
                <w:bCs/>
                <w:sz w:val="18"/>
                <w:szCs w:val="18"/>
                <w:lang w:val="hr-HR"/>
              </w:rPr>
            </w:pPr>
            <w:r w:rsidRPr="00016AD1">
              <w:rPr>
                <w:rFonts w:asciiTheme="minorHAnsi" w:hAnsiTheme="minorHAnsi" w:cs="Arial"/>
                <w:b/>
                <w:bCs/>
                <w:sz w:val="18"/>
                <w:szCs w:val="18"/>
                <w:lang w:val="hr-HR"/>
              </w:rPr>
              <w:t>4.531.522</w:t>
            </w:r>
          </w:p>
        </w:tc>
        <w:tc>
          <w:tcPr>
            <w:tcW w:w="529" w:type="pct"/>
            <w:tcBorders>
              <w:top w:val="single" w:sz="4" w:space="0" w:color="auto"/>
              <w:left w:val="nil"/>
              <w:bottom w:val="single" w:sz="8" w:space="0" w:color="auto"/>
              <w:right w:val="nil"/>
            </w:tcBorders>
            <w:shd w:val="clear" w:color="auto" w:fill="auto"/>
            <w:vAlign w:val="bottom"/>
          </w:tcPr>
          <w:p w14:paraId="7C8081A0" w14:textId="5CFD1AA2" w:rsidR="003776B2" w:rsidRPr="00D34B9C" w:rsidRDefault="003776B2" w:rsidP="003776B2">
            <w:pPr>
              <w:pStyle w:val="Tot"/>
              <w:spacing w:line="320" w:lineRule="exact"/>
              <w:jc w:val="right"/>
              <w:rPr>
                <w:rFonts w:asciiTheme="minorHAnsi" w:hAnsiTheme="minorHAnsi" w:cs="Arial"/>
                <w:b/>
                <w:bCs/>
                <w:sz w:val="18"/>
                <w:szCs w:val="18"/>
                <w:lang w:val="hr-HR"/>
              </w:rPr>
            </w:pPr>
            <w:r w:rsidRPr="00016AD1">
              <w:rPr>
                <w:rFonts w:asciiTheme="minorHAnsi" w:hAnsiTheme="minorHAnsi" w:cs="Arial"/>
                <w:b/>
                <w:bCs/>
                <w:sz w:val="18"/>
                <w:szCs w:val="18"/>
                <w:lang w:val="hr-HR"/>
              </w:rPr>
              <w:t>1.619.436</w:t>
            </w:r>
          </w:p>
        </w:tc>
        <w:tc>
          <w:tcPr>
            <w:tcW w:w="529" w:type="pct"/>
            <w:tcBorders>
              <w:top w:val="single" w:sz="4" w:space="0" w:color="auto"/>
              <w:left w:val="nil"/>
              <w:bottom w:val="single" w:sz="8" w:space="0" w:color="auto"/>
              <w:right w:val="nil"/>
            </w:tcBorders>
            <w:shd w:val="clear" w:color="auto" w:fill="auto"/>
            <w:vAlign w:val="center"/>
          </w:tcPr>
          <w:p w14:paraId="68F9C1E5" w14:textId="74F39F33" w:rsidR="003776B2" w:rsidRPr="00D34B9C" w:rsidRDefault="003776B2" w:rsidP="003776B2">
            <w:pPr>
              <w:pStyle w:val="Tot"/>
              <w:spacing w:line="320" w:lineRule="exact"/>
              <w:jc w:val="right"/>
              <w:rPr>
                <w:rFonts w:asciiTheme="minorHAnsi" w:hAnsiTheme="minorHAnsi" w:cs="Arial"/>
                <w:b/>
                <w:bCs/>
                <w:sz w:val="18"/>
                <w:szCs w:val="18"/>
                <w:lang w:val="hr-HR"/>
              </w:rPr>
            </w:pPr>
            <w:r w:rsidRPr="00016AD1">
              <w:rPr>
                <w:rFonts w:asciiTheme="minorHAnsi" w:hAnsiTheme="minorHAnsi" w:cs="Arial"/>
                <w:b/>
                <w:bCs/>
                <w:sz w:val="18"/>
                <w:szCs w:val="18"/>
                <w:lang w:val="hr-HR"/>
              </w:rPr>
              <w:t>2.285.191</w:t>
            </w:r>
          </w:p>
        </w:tc>
        <w:tc>
          <w:tcPr>
            <w:tcW w:w="529" w:type="pct"/>
            <w:tcBorders>
              <w:top w:val="single" w:sz="4" w:space="0" w:color="auto"/>
              <w:left w:val="nil"/>
              <w:bottom w:val="single" w:sz="8" w:space="0" w:color="auto"/>
              <w:right w:val="nil"/>
            </w:tcBorders>
            <w:shd w:val="clear" w:color="auto" w:fill="auto"/>
            <w:vAlign w:val="center"/>
          </w:tcPr>
          <w:p w14:paraId="50906840" w14:textId="412F6C60" w:rsidR="003776B2" w:rsidRPr="00D34B9C" w:rsidRDefault="003776B2" w:rsidP="003776B2">
            <w:pPr>
              <w:pStyle w:val="Tot"/>
              <w:spacing w:line="320" w:lineRule="exact"/>
              <w:jc w:val="right"/>
              <w:rPr>
                <w:rFonts w:asciiTheme="minorHAnsi" w:hAnsiTheme="minorHAnsi" w:cs="Arial"/>
                <w:b/>
                <w:bCs/>
                <w:sz w:val="18"/>
                <w:szCs w:val="18"/>
                <w:lang w:val="hr-HR"/>
              </w:rPr>
            </w:pPr>
            <w:r w:rsidRPr="00016AD1">
              <w:rPr>
                <w:rFonts w:asciiTheme="minorHAnsi" w:hAnsiTheme="minorHAnsi" w:cs="Arial"/>
                <w:b/>
                <w:bCs/>
                <w:sz w:val="18"/>
                <w:szCs w:val="18"/>
                <w:lang w:val="hr-HR"/>
              </w:rPr>
              <w:t>4.446.807</w:t>
            </w:r>
          </w:p>
        </w:tc>
        <w:tc>
          <w:tcPr>
            <w:tcW w:w="529" w:type="pct"/>
            <w:tcBorders>
              <w:top w:val="single" w:sz="4" w:space="0" w:color="auto"/>
              <w:left w:val="nil"/>
              <w:bottom w:val="single" w:sz="8" w:space="0" w:color="auto"/>
              <w:right w:val="nil"/>
            </w:tcBorders>
            <w:shd w:val="clear" w:color="auto" w:fill="auto"/>
            <w:vAlign w:val="center"/>
          </w:tcPr>
          <w:p w14:paraId="4EFC34F8" w14:textId="535D7AA9" w:rsidR="003776B2" w:rsidRPr="00D34B9C" w:rsidRDefault="003776B2" w:rsidP="003776B2">
            <w:pPr>
              <w:pStyle w:val="Tot"/>
              <w:spacing w:line="320" w:lineRule="exact"/>
              <w:jc w:val="right"/>
              <w:rPr>
                <w:rFonts w:asciiTheme="minorHAnsi" w:hAnsiTheme="minorHAnsi" w:cs="Arial"/>
                <w:b/>
                <w:bCs/>
                <w:sz w:val="18"/>
                <w:szCs w:val="18"/>
                <w:lang w:val="hr-HR"/>
              </w:rPr>
            </w:pPr>
            <w:r w:rsidRPr="00016AD1">
              <w:rPr>
                <w:rFonts w:asciiTheme="minorHAnsi" w:hAnsiTheme="minorHAnsi" w:cs="Arial"/>
                <w:b/>
                <w:bCs/>
                <w:sz w:val="18"/>
                <w:szCs w:val="18"/>
                <w:lang w:val="hr-HR"/>
              </w:rPr>
              <w:t>12.146.266</w:t>
            </w:r>
          </w:p>
        </w:tc>
        <w:tc>
          <w:tcPr>
            <w:tcW w:w="529" w:type="pct"/>
            <w:tcBorders>
              <w:top w:val="single" w:sz="4" w:space="0" w:color="auto"/>
              <w:left w:val="nil"/>
              <w:bottom w:val="single" w:sz="8" w:space="0" w:color="auto"/>
              <w:right w:val="nil"/>
            </w:tcBorders>
            <w:shd w:val="clear" w:color="auto" w:fill="auto"/>
            <w:vAlign w:val="bottom"/>
          </w:tcPr>
          <w:p w14:paraId="3C88E024" w14:textId="443792CA" w:rsidR="003776B2" w:rsidRPr="00D34B9C" w:rsidRDefault="003776B2" w:rsidP="003776B2">
            <w:pPr>
              <w:pStyle w:val="Tot"/>
              <w:spacing w:line="320" w:lineRule="exact"/>
              <w:jc w:val="right"/>
              <w:rPr>
                <w:rFonts w:asciiTheme="minorHAnsi" w:hAnsiTheme="minorHAnsi" w:cs="Arial"/>
                <w:b/>
                <w:bCs/>
                <w:sz w:val="18"/>
                <w:szCs w:val="18"/>
                <w:lang w:val="hr-HR"/>
              </w:rPr>
            </w:pPr>
            <w:r w:rsidRPr="00887397">
              <w:rPr>
                <w:rFonts w:asciiTheme="minorHAnsi" w:hAnsiTheme="minorHAnsi" w:cs="Arial"/>
                <w:b/>
                <w:bCs/>
                <w:sz w:val="18"/>
                <w:szCs w:val="18"/>
                <w:lang w:val="hr-HR"/>
              </w:rPr>
              <w:t>2.776.751</w:t>
            </w:r>
          </w:p>
        </w:tc>
        <w:tc>
          <w:tcPr>
            <w:tcW w:w="529" w:type="pct"/>
            <w:tcBorders>
              <w:top w:val="single" w:sz="4" w:space="0" w:color="auto"/>
              <w:left w:val="nil"/>
              <w:bottom w:val="single" w:sz="8" w:space="0" w:color="auto"/>
              <w:right w:val="nil"/>
            </w:tcBorders>
            <w:shd w:val="clear" w:color="auto" w:fill="auto"/>
            <w:vAlign w:val="bottom"/>
          </w:tcPr>
          <w:p w14:paraId="6A0B9AF2" w14:textId="230730B7" w:rsidR="003776B2" w:rsidRPr="00D34B9C" w:rsidRDefault="00A96DB9">
            <w:pPr>
              <w:pStyle w:val="Tot"/>
              <w:spacing w:line="320" w:lineRule="exact"/>
              <w:jc w:val="right"/>
              <w:rPr>
                <w:rFonts w:asciiTheme="minorHAnsi" w:hAnsiTheme="minorHAnsi" w:cs="Arial"/>
                <w:b/>
                <w:bCs/>
                <w:sz w:val="18"/>
                <w:szCs w:val="18"/>
                <w:lang w:val="hr-HR"/>
              </w:rPr>
            </w:pPr>
            <w:r>
              <w:rPr>
                <w:rFonts w:asciiTheme="minorHAnsi" w:hAnsiTheme="minorHAnsi" w:cs="Arial"/>
                <w:b/>
                <w:bCs/>
                <w:sz w:val="18"/>
                <w:szCs w:val="18"/>
                <w:lang w:val="hr-HR"/>
              </w:rPr>
              <w:t>27.805.973</w:t>
            </w:r>
          </w:p>
        </w:tc>
      </w:tr>
      <w:tr w:rsidR="00690803" w:rsidRPr="00567520" w14:paraId="63451995" w14:textId="77777777" w:rsidTr="00D34B9C">
        <w:trPr>
          <w:trHeight w:val="300"/>
        </w:trPr>
        <w:tc>
          <w:tcPr>
            <w:tcW w:w="1295" w:type="pct"/>
            <w:vAlign w:val="bottom"/>
          </w:tcPr>
          <w:p w14:paraId="0108E62F" w14:textId="77777777" w:rsidR="00A633C8" w:rsidRPr="00567520" w:rsidRDefault="00A633C8" w:rsidP="00880F6C">
            <w:pPr>
              <w:tabs>
                <w:tab w:val="left" w:pos="-720"/>
              </w:tabs>
              <w:suppressAutoHyphens/>
              <w:spacing w:after="0" w:line="280" w:lineRule="exact"/>
              <w:ind w:right="-6"/>
              <w:jc w:val="both"/>
              <w:rPr>
                <w:rFonts w:cs="Arial"/>
                <w:sz w:val="18"/>
                <w:szCs w:val="18"/>
              </w:rPr>
            </w:pPr>
          </w:p>
        </w:tc>
        <w:tc>
          <w:tcPr>
            <w:tcW w:w="529" w:type="pct"/>
            <w:tcBorders>
              <w:top w:val="single" w:sz="12" w:space="0" w:color="auto"/>
            </w:tcBorders>
            <w:vAlign w:val="bottom"/>
          </w:tcPr>
          <w:p w14:paraId="4D735371" w14:textId="77777777" w:rsidR="00A633C8" w:rsidRPr="00567520" w:rsidRDefault="00A633C8" w:rsidP="007F40D6">
            <w:pPr>
              <w:tabs>
                <w:tab w:val="left" w:pos="-720"/>
              </w:tabs>
              <w:suppressAutoHyphens/>
              <w:spacing w:after="0" w:line="280" w:lineRule="exact"/>
              <w:ind w:right="-6"/>
              <w:jc w:val="right"/>
              <w:rPr>
                <w:rFonts w:cs="Arial"/>
                <w:sz w:val="18"/>
                <w:szCs w:val="18"/>
              </w:rPr>
            </w:pPr>
          </w:p>
        </w:tc>
        <w:tc>
          <w:tcPr>
            <w:tcW w:w="529" w:type="pct"/>
            <w:tcBorders>
              <w:top w:val="single" w:sz="12" w:space="0" w:color="auto"/>
            </w:tcBorders>
            <w:vAlign w:val="bottom"/>
          </w:tcPr>
          <w:p w14:paraId="5C5502FF" w14:textId="77777777" w:rsidR="00A633C8" w:rsidRPr="00567520" w:rsidRDefault="00A633C8" w:rsidP="007F40D6">
            <w:pPr>
              <w:tabs>
                <w:tab w:val="left" w:pos="-720"/>
              </w:tabs>
              <w:suppressAutoHyphens/>
              <w:spacing w:after="0" w:line="280" w:lineRule="exact"/>
              <w:ind w:right="-6"/>
              <w:jc w:val="right"/>
              <w:rPr>
                <w:rFonts w:cs="Arial"/>
                <w:sz w:val="18"/>
                <w:szCs w:val="18"/>
              </w:rPr>
            </w:pPr>
          </w:p>
        </w:tc>
        <w:tc>
          <w:tcPr>
            <w:tcW w:w="529" w:type="pct"/>
            <w:tcBorders>
              <w:top w:val="single" w:sz="12" w:space="0" w:color="auto"/>
            </w:tcBorders>
            <w:vAlign w:val="bottom"/>
          </w:tcPr>
          <w:p w14:paraId="4460D9FC" w14:textId="77777777" w:rsidR="00A633C8" w:rsidRPr="00567520" w:rsidRDefault="00A633C8" w:rsidP="007F40D6">
            <w:pPr>
              <w:tabs>
                <w:tab w:val="left" w:pos="-720"/>
              </w:tabs>
              <w:suppressAutoHyphens/>
              <w:spacing w:after="0" w:line="280" w:lineRule="exact"/>
              <w:ind w:right="-6"/>
              <w:jc w:val="right"/>
              <w:rPr>
                <w:rFonts w:cs="Arial"/>
                <w:sz w:val="18"/>
                <w:szCs w:val="18"/>
              </w:rPr>
            </w:pPr>
          </w:p>
        </w:tc>
        <w:tc>
          <w:tcPr>
            <w:tcW w:w="529" w:type="pct"/>
            <w:tcBorders>
              <w:top w:val="single" w:sz="12" w:space="0" w:color="auto"/>
            </w:tcBorders>
            <w:vAlign w:val="bottom"/>
          </w:tcPr>
          <w:p w14:paraId="52978139" w14:textId="77777777" w:rsidR="00A633C8" w:rsidRPr="00567520" w:rsidRDefault="00A633C8" w:rsidP="007F40D6">
            <w:pPr>
              <w:tabs>
                <w:tab w:val="left" w:pos="-720"/>
              </w:tabs>
              <w:suppressAutoHyphens/>
              <w:spacing w:after="0" w:line="280" w:lineRule="exact"/>
              <w:ind w:right="-6"/>
              <w:jc w:val="right"/>
              <w:rPr>
                <w:rFonts w:cs="Arial"/>
                <w:sz w:val="18"/>
                <w:szCs w:val="18"/>
              </w:rPr>
            </w:pPr>
          </w:p>
        </w:tc>
        <w:tc>
          <w:tcPr>
            <w:tcW w:w="529" w:type="pct"/>
            <w:tcBorders>
              <w:top w:val="single" w:sz="12" w:space="0" w:color="auto"/>
            </w:tcBorders>
            <w:vAlign w:val="bottom"/>
          </w:tcPr>
          <w:p w14:paraId="19453808" w14:textId="77777777" w:rsidR="00A633C8" w:rsidRPr="00567520" w:rsidRDefault="00A633C8" w:rsidP="007F40D6">
            <w:pPr>
              <w:tabs>
                <w:tab w:val="left" w:pos="-720"/>
              </w:tabs>
              <w:suppressAutoHyphens/>
              <w:spacing w:after="0" w:line="280" w:lineRule="exact"/>
              <w:ind w:right="-6"/>
              <w:jc w:val="right"/>
              <w:rPr>
                <w:rFonts w:cs="Arial"/>
                <w:sz w:val="18"/>
                <w:szCs w:val="18"/>
              </w:rPr>
            </w:pPr>
          </w:p>
        </w:tc>
        <w:tc>
          <w:tcPr>
            <w:tcW w:w="529" w:type="pct"/>
            <w:tcBorders>
              <w:top w:val="single" w:sz="12" w:space="0" w:color="auto"/>
            </w:tcBorders>
            <w:vAlign w:val="bottom"/>
          </w:tcPr>
          <w:p w14:paraId="0F8359F5" w14:textId="77777777" w:rsidR="00A633C8" w:rsidRPr="00567520" w:rsidRDefault="00A633C8" w:rsidP="007F40D6">
            <w:pPr>
              <w:tabs>
                <w:tab w:val="left" w:pos="-720"/>
              </w:tabs>
              <w:suppressAutoHyphens/>
              <w:spacing w:after="0" w:line="280" w:lineRule="exact"/>
              <w:ind w:right="-6"/>
              <w:jc w:val="right"/>
              <w:rPr>
                <w:rFonts w:cs="Arial"/>
                <w:sz w:val="18"/>
                <w:szCs w:val="18"/>
              </w:rPr>
            </w:pPr>
          </w:p>
        </w:tc>
        <w:tc>
          <w:tcPr>
            <w:tcW w:w="529" w:type="pct"/>
            <w:tcBorders>
              <w:top w:val="single" w:sz="12" w:space="0" w:color="auto"/>
            </w:tcBorders>
            <w:vAlign w:val="bottom"/>
          </w:tcPr>
          <w:p w14:paraId="3D1ED7AF" w14:textId="77777777" w:rsidR="00A633C8" w:rsidRPr="00567520" w:rsidRDefault="00A633C8" w:rsidP="007F40D6">
            <w:pPr>
              <w:tabs>
                <w:tab w:val="left" w:pos="-720"/>
              </w:tabs>
              <w:suppressAutoHyphens/>
              <w:spacing w:after="0" w:line="280" w:lineRule="exact"/>
              <w:ind w:right="-6"/>
              <w:jc w:val="right"/>
              <w:rPr>
                <w:rFonts w:cs="Arial"/>
                <w:sz w:val="18"/>
                <w:szCs w:val="18"/>
              </w:rPr>
            </w:pPr>
          </w:p>
        </w:tc>
      </w:tr>
    </w:tbl>
    <w:p w14:paraId="6CF34E21"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4D09427F"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7748DB60"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4114D887"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57C38730"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0326159B"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671794A0" w14:textId="77777777" w:rsidR="008D359F" w:rsidRDefault="008D359F" w:rsidP="008D359F">
      <w:pPr>
        <w:pStyle w:val="accountingpolicytitle"/>
        <w:rPr>
          <w:rFonts w:asciiTheme="minorHAnsi" w:hAnsiTheme="minorHAnsi" w:cstheme="minorHAnsi"/>
          <w:sz w:val="22"/>
          <w:szCs w:val="22"/>
          <w:lang w:val="hr-HR"/>
        </w:rPr>
      </w:pPr>
    </w:p>
    <w:p w14:paraId="0EADBC9C" w14:textId="77777777" w:rsidR="00567520" w:rsidRDefault="00567520" w:rsidP="008D359F">
      <w:pPr>
        <w:pStyle w:val="accountingpolicytitle"/>
        <w:rPr>
          <w:rFonts w:asciiTheme="minorHAnsi" w:hAnsiTheme="minorHAnsi" w:cstheme="minorHAnsi"/>
          <w:sz w:val="22"/>
          <w:szCs w:val="22"/>
          <w:lang w:val="hr-HR"/>
        </w:rPr>
        <w:sectPr w:rsidR="00567520" w:rsidSect="00EE4C50">
          <w:footerReference w:type="first" r:id="rId116"/>
          <w:pgSz w:w="11906" w:h="16838" w:code="9"/>
          <w:pgMar w:top="1418" w:right="1418" w:bottom="595" w:left="1134" w:header="709" w:footer="709" w:gutter="0"/>
          <w:cols w:space="708"/>
          <w:titlePg/>
          <w:docGrid w:linePitch="360"/>
        </w:sectPr>
      </w:pPr>
    </w:p>
    <w:p w14:paraId="3A29682A"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p>
    <w:p w14:paraId="618DF5A3"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w:t>
      </w:r>
      <w:r w:rsidRPr="00567520">
        <w:rPr>
          <w:rFonts w:asciiTheme="minorHAnsi" w:hAnsiTheme="minorHAnsi" w:cs="Arial"/>
          <w:sz w:val="22"/>
          <w:szCs w:val="22"/>
          <w:lang w:val="hr-HR"/>
        </w:rPr>
        <w:tab/>
        <w:t>Upravljanje rizicima (nastavak)</w:t>
      </w:r>
    </w:p>
    <w:p w14:paraId="1E155B03" w14:textId="77777777" w:rsidR="00567520" w:rsidRPr="00567520" w:rsidRDefault="00567520" w:rsidP="00567520">
      <w:pPr>
        <w:pStyle w:val="T1"/>
        <w:spacing w:before="0" w:after="0" w:line="240" w:lineRule="auto"/>
        <w:ind w:left="709" w:hanging="709"/>
        <w:rPr>
          <w:rFonts w:asciiTheme="minorHAnsi" w:hAnsiTheme="minorHAnsi" w:cs="Arial"/>
          <w:sz w:val="22"/>
          <w:szCs w:val="22"/>
          <w:lang w:val="hr-HR"/>
        </w:rPr>
      </w:pPr>
    </w:p>
    <w:p w14:paraId="3451520A"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.4.     Tržišni rizik (nastavak)</w:t>
      </w:r>
    </w:p>
    <w:p w14:paraId="2EC51C35" w14:textId="77777777" w:rsidR="00567520" w:rsidRPr="00567520" w:rsidRDefault="00567520" w:rsidP="00567520">
      <w:pPr>
        <w:pStyle w:val="T1"/>
        <w:spacing w:before="0" w:after="0" w:line="240" w:lineRule="auto"/>
        <w:ind w:left="709" w:hanging="709"/>
        <w:rPr>
          <w:rFonts w:asciiTheme="minorHAnsi" w:hAnsiTheme="minorHAnsi" w:cs="Arial"/>
          <w:sz w:val="22"/>
          <w:szCs w:val="22"/>
          <w:lang w:val="hr-HR"/>
        </w:rPr>
      </w:pPr>
    </w:p>
    <w:p w14:paraId="5AD7D72C"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 xml:space="preserve">.4.1.  Kamatni rizik </w:t>
      </w:r>
      <w:r w:rsidR="00C13D97">
        <w:rPr>
          <w:rFonts w:asciiTheme="minorHAnsi" w:hAnsiTheme="minorHAnsi" w:cs="Arial"/>
          <w:sz w:val="22"/>
          <w:szCs w:val="22"/>
          <w:lang w:val="hr-HR"/>
        </w:rPr>
        <w:t xml:space="preserve">u knjizi banke </w:t>
      </w:r>
      <w:r w:rsidRPr="00567520">
        <w:rPr>
          <w:rFonts w:asciiTheme="minorHAnsi" w:hAnsiTheme="minorHAnsi" w:cs="Arial"/>
          <w:sz w:val="22"/>
          <w:szCs w:val="22"/>
          <w:lang w:val="hr-HR"/>
        </w:rPr>
        <w:t>(nastavak)</w:t>
      </w:r>
    </w:p>
    <w:p w14:paraId="25669C7C" w14:textId="77777777" w:rsidR="00236E35" w:rsidRPr="00567520" w:rsidRDefault="00236E35" w:rsidP="00567520">
      <w:pPr>
        <w:pStyle w:val="T1"/>
        <w:spacing w:before="0" w:after="0" w:line="240" w:lineRule="auto"/>
        <w:ind w:left="709" w:hanging="709"/>
        <w:rPr>
          <w:rFonts w:asciiTheme="minorHAnsi" w:hAnsiTheme="minorHAnsi" w:cs="Arial"/>
          <w:sz w:val="22"/>
          <w:szCs w:val="22"/>
          <w:lang w:val="hr-HR"/>
        </w:rPr>
      </w:pPr>
    </w:p>
    <w:p w14:paraId="6C8E114B" w14:textId="77777777" w:rsidR="00567520" w:rsidRPr="00567520" w:rsidRDefault="00567520" w:rsidP="00567520">
      <w:pPr>
        <w:tabs>
          <w:tab w:val="left" w:pos="-720"/>
        </w:tabs>
        <w:suppressAutoHyphens/>
        <w:spacing w:after="0" w:line="240" w:lineRule="auto"/>
        <w:rPr>
          <w:rFonts w:cs="Arial"/>
          <w:b/>
          <w:spacing w:val="-3"/>
        </w:rPr>
      </w:pPr>
    </w:p>
    <w:tbl>
      <w:tblPr>
        <w:tblW w:w="5467" w:type="pct"/>
        <w:tblInd w:w="-284" w:type="dxa"/>
        <w:tblLayout w:type="fixed"/>
        <w:tblCellMar>
          <w:left w:w="120" w:type="dxa"/>
          <w:right w:w="120" w:type="dxa"/>
        </w:tblCellMar>
        <w:tblLook w:val="04A0" w:firstRow="1" w:lastRow="0" w:firstColumn="1" w:lastColumn="0" w:noHBand="0" w:noVBand="1"/>
      </w:tblPr>
      <w:tblGrid>
        <w:gridCol w:w="2557"/>
        <w:gridCol w:w="1074"/>
        <w:gridCol w:w="1076"/>
        <w:gridCol w:w="1074"/>
        <w:gridCol w:w="1076"/>
        <w:gridCol w:w="1074"/>
        <w:gridCol w:w="1141"/>
        <w:gridCol w:w="1156"/>
      </w:tblGrid>
      <w:tr w:rsidR="00CA2C67" w14:paraId="1C9925B3" w14:textId="77777777" w:rsidTr="00312975">
        <w:trPr>
          <w:trHeight w:val="742"/>
        </w:trPr>
        <w:tc>
          <w:tcPr>
            <w:tcW w:w="1250" w:type="pct"/>
            <w:hideMark/>
          </w:tcPr>
          <w:p w14:paraId="213A58B1" w14:textId="77777777" w:rsidR="00887417" w:rsidRDefault="00887417" w:rsidP="00F97337">
            <w:pPr>
              <w:pStyle w:val="TH"/>
              <w:spacing w:line="280" w:lineRule="exact"/>
              <w:rPr>
                <w:rFonts w:asciiTheme="minorHAnsi" w:hAnsiTheme="minorHAnsi" w:cs="Arial"/>
                <w:sz w:val="18"/>
                <w:szCs w:val="18"/>
                <w:lang w:val="hr-HR"/>
              </w:rPr>
            </w:pPr>
            <w:r>
              <w:rPr>
                <w:rFonts w:asciiTheme="minorHAnsi" w:hAnsiTheme="minorHAnsi" w:cs="Arial"/>
                <w:sz w:val="18"/>
                <w:szCs w:val="18"/>
                <w:lang w:val="hr-HR"/>
              </w:rPr>
              <w:t>Banka</w:t>
            </w:r>
          </w:p>
          <w:p w14:paraId="56694E40" w14:textId="11EB5CB2" w:rsidR="00887417" w:rsidRDefault="00EE4C50">
            <w:pPr>
              <w:pStyle w:val="TH"/>
              <w:spacing w:line="280" w:lineRule="exact"/>
              <w:rPr>
                <w:rFonts w:asciiTheme="minorHAnsi" w:hAnsiTheme="minorHAnsi" w:cs="Arial"/>
                <w:sz w:val="18"/>
                <w:szCs w:val="18"/>
                <w:lang w:val="hr-HR"/>
              </w:rPr>
            </w:pPr>
            <w:r w:rsidRPr="00AD0961">
              <w:rPr>
                <w:rFonts w:asciiTheme="minorHAnsi" w:hAnsiTheme="minorHAnsi" w:cs="Arial"/>
                <w:sz w:val="18"/>
                <w:szCs w:val="18"/>
                <w:lang w:val="hr-HR"/>
              </w:rPr>
              <w:t>3</w:t>
            </w:r>
            <w:r>
              <w:rPr>
                <w:rFonts w:asciiTheme="minorHAnsi" w:hAnsiTheme="minorHAnsi" w:cs="Arial"/>
                <w:sz w:val="18"/>
                <w:szCs w:val="18"/>
                <w:lang w:val="hr-HR"/>
              </w:rPr>
              <w:t>0</w:t>
            </w:r>
            <w:r w:rsidR="00AD0961" w:rsidRPr="00AD0961">
              <w:rPr>
                <w:rFonts w:asciiTheme="minorHAnsi" w:hAnsiTheme="minorHAnsi" w:cs="Arial"/>
                <w:sz w:val="18"/>
                <w:szCs w:val="18"/>
                <w:lang w:val="hr-HR"/>
              </w:rPr>
              <w:t>.</w:t>
            </w:r>
            <w:r>
              <w:rPr>
                <w:rFonts w:asciiTheme="minorHAnsi" w:hAnsiTheme="minorHAnsi" w:cs="Arial"/>
                <w:sz w:val="18"/>
                <w:szCs w:val="18"/>
                <w:lang w:val="hr-HR"/>
              </w:rPr>
              <w:t>6</w:t>
            </w:r>
            <w:r w:rsidR="00AD0961" w:rsidRPr="00AD0961">
              <w:rPr>
                <w:rFonts w:asciiTheme="minorHAnsi" w:hAnsiTheme="minorHAnsi" w:cs="Arial"/>
                <w:sz w:val="18"/>
                <w:szCs w:val="18"/>
                <w:lang w:val="hr-HR"/>
              </w:rPr>
              <w:t>.2017.</w:t>
            </w:r>
          </w:p>
        </w:tc>
        <w:tc>
          <w:tcPr>
            <w:tcW w:w="525" w:type="pct"/>
            <w:hideMark/>
          </w:tcPr>
          <w:p w14:paraId="20EBBFD3" w14:textId="77777777" w:rsidR="00887417" w:rsidRDefault="00887417" w:rsidP="00887417">
            <w:pPr>
              <w:pStyle w:val="TH"/>
              <w:spacing w:line="280" w:lineRule="exact"/>
              <w:jc w:val="right"/>
              <w:rPr>
                <w:rFonts w:asciiTheme="minorHAnsi" w:hAnsiTheme="minorHAnsi" w:cs="Arial"/>
                <w:sz w:val="18"/>
                <w:szCs w:val="18"/>
                <w:lang w:val="hr-HR"/>
              </w:rPr>
            </w:pPr>
            <w:r>
              <w:rPr>
                <w:rFonts w:asciiTheme="minorHAnsi" w:hAnsiTheme="minorHAnsi" w:cs="Arial"/>
                <w:sz w:val="18"/>
                <w:szCs w:val="18"/>
                <w:lang w:val="hr-HR"/>
              </w:rPr>
              <w:t>Do 1 mjesec</w:t>
            </w:r>
          </w:p>
        </w:tc>
        <w:tc>
          <w:tcPr>
            <w:tcW w:w="526" w:type="pct"/>
            <w:hideMark/>
          </w:tcPr>
          <w:p w14:paraId="0F2ABB93" w14:textId="77777777" w:rsidR="00887417" w:rsidRDefault="00887417" w:rsidP="00887417">
            <w:pPr>
              <w:pStyle w:val="TH"/>
              <w:spacing w:line="280" w:lineRule="exact"/>
              <w:jc w:val="right"/>
              <w:rPr>
                <w:rFonts w:asciiTheme="minorHAnsi" w:hAnsiTheme="minorHAnsi" w:cs="Arial"/>
                <w:sz w:val="18"/>
                <w:szCs w:val="18"/>
                <w:lang w:val="hr-HR"/>
              </w:rPr>
            </w:pPr>
            <w:r>
              <w:rPr>
                <w:rFonts w:asciiTheme="minorHAnsi" w:hAnsiTheme="minorHAnsi" w:cs="Arial"/>
                <w:sz w:val="18"/>
                <w:szCs w:val="18"/>
                <w:lang w:val="hr-HR"/>
              </w:rPr>
              <w:t>1 do 3 mjeseca</w:t>
            </w:r>
          </w:p>
        </w:tc>
        <w:tc>
          <w:tcPr>
            <w:tcW w:w="525" w:type="pct"/>
            <w:hideMark/>
          </w:tcPr>
          <w:p w14:paraId="756AB989" w14:textId="77777777" w:rsidR="00887417" w:rsidRDefault="00887417" w:rsidP="00887417">
            <w:pPr>
              <w:pStyle w:val="TH"/>
              <w:spacing w:line="280" w:lineRule="exact"/>
              <w:jc w:val="right"/>
              <w:rPr>
                <w:rFonts w:asciiTheme="minorHAnsi" w:hAnsiTheme="minorHAnsi" w:cs="Arial"/>
                <w:sz w:val="18"/>
                <w:szCs w:val="18"/>
                <w:lang w:val="hr-HR"/>
              </w:rPr>
            </w:pPr>
            <w:r>
              <w:rPr>
                <w:rFonts w:asciiTheme="minorHAnsi" w:hAnsiTheme="minorHAnsi" w:cs="Arial"/>
                <w:sz w:val="18"/>
                <w:szCs w:val="18"/>
                <w:lang w:val="hr-HR"/>
              </w:rPr>
              <w:t>3 mj. do 1 godine</w:t>
            </w:r>
          </w:p>
        </w:tc>
        <w:tc>
          <w:tcPr>
            <w:tcW w:w="526" w:type="pct"/>
            <w:hideMark/>
          </w:tcPr>
          <w:p w14:paraId="1A5CB362" w14:textId="77777777" w:rsidR="00887417" w:rsidRDefault="00887417" w:rsidP="00887417">
            <w:pPr>
              <w:pStyle w:val="TH"/>
              <w:spacing w:line="280" w:lineRule="exact"/>
              <w:jc w:val="right"/>
              <w:rPr>
                <w:rFonts w:asciiTheme="minorHAnsi" w:hAnsiTheme="minorHAnsi" w:cs="Arial"/>
                <w:sz w:val="18"/>
                <w:szCs w:val="18"/>
                <w:lang w:val="hr-HR"/>
              </w:rPr>
            </w:pPr>
            <w:r>
              <w:rPr>
                <w:rFonts w:asciiTheme="minorHAnsi" w:hAnsiTheme="minorHAnsi" w:cs="Arial"/>
                <w:sz w:val="18"/>
                <w:szCs w:val="18"/>
                <w:lang w:val="hr-HR"/>
              </w:rPr>
              <w:t>1 do 3 godina</w:t>
            </w:r>
          </w:p>
        </w:tc>
        <w:tc>
          <w:tcPr>
            <w:tcW w:w="525" w:type="pct"/>
            <w:hideMark/>
          </w:tcPr>
          <w:p w14:paraId="715A7EC1" w14:textId="77777777" w:rsidR="00887417" w:rsidRDefault="00887417" w:rsidP="00887417">
            <w:pPr>
              <w:pStyle w:val="TH"/>
              <w:spacing w:line="280" w:lineRule="exact"/>
              <w:jc w:val="right"/>
              <w:rPr>
                <w:rFonts w:asciiTheme="minorHAnsi" w:hAnsiTheme="minorHAnsi" w:cs="Arial"/>
                <w:sz w:val="18"/>
                <w:szCs w:val="18"/>
                <w:lang w:val="hr-HR"/>
              </w:rPr>
            </w:pPr>
            <w:r>
              <w:rPr>
                <w:rFonts w:asciiTheme="minorHAnsi" w:hAnsiTheme="minorHAnsi" w:cs="Arial"/>
                <w:sz w:val="18"/>
                <w:szCs w:val="18"/>
                <w:lang w:val="hr-HR"/>
              </w:rPr>
              <w:t>Preko 3 godine</w:t>
            </w:r>
          </w:p>
        </w:tc>
        <w:tc>
          <w:tcPr>
            <w:tcW w:w="558" w:type="pct"/>
            <w:hideMark/>
          </w:tcPr>
          <w:p w14:paraId="37BDAF3F" w14:textId="77777777" w:rsidR="00887417" w:rsidRDefault="00887417" w:rsidP="00887417">
            <w:pPr>
              <w:pStyle w:val="TH"/>
              <w:spacing w:line="280" w:lineRule="exact"/>
              <w:jc w:val="right"/>
              <w:rPr>
                <w:rFonts w:asciiTheme="minorHAnsi" w:hAnsiTheme="minorHAnsi" w:cs="Arial"/>
                <w:sz w:val="18"/>
                <w:szCs w:val="18"/>
                <w:lang w:val="hr-HR"/>
              </w:rPr>
            </w:pPr>
            <w:proofErr w:type="spellStart"/>
            <w:r>
              <w:rPr>
                <w:rFonts w:asciiTheme="minorHAnsi" w:hAnsiTheme="minorHAnsi" w:cs="Arial"/>
                <w:sz w:val="18"/>
                <w:szCs w:val="18"/>
                <w:lang w:val="hr-HR"/>
              </w:rPr>
              <w:t>Beska-matno</w:t>
            </w:r>
            <w:proofErr w:type="spellEnd"/>
          </w:p>
        </w:tc>
        <w:tc>
          <w:tcPr>
            <w:tcW w:w="565" w:type="pct"/>
            <w:hideMark/>
          </w:tcPr>
          <w:p w14:paraId="02F8C48E" w14:textId="77777777" w:rsidR="00887417" w:rsidRDefault="00887417" w:rsidP="00887417">
            <w:pPr>
              <w:pStyle w:val="TH"/>
              <w:spacing w:line="280" w:lineRule="exact"/>
              <w:jc w:val="right"/>
              <w:rPr>
                <w:rFonts w:asciiTheme="minorHAnsi" w:hAnsiTheme="minorHAnsi" w:cs="Arial"/>
                <w:sz w:val="18"/>
                <w:szCs w:val="18"/>
                <w:lang w:val="hr-HR"/>
              </w:rPr>
            </w:pPr>
            <w:r>
              <w:rPr>
                <w:rFonts w:asciiTheme="minorHAnsi" w:hAnsiTheme="minorHAnsi" w:cs="Arial"/>
                <w:sz w:val="18"/>
                <w:szCs w:val="18"/>
                <w:lang w:val="hr-HR"/>
              </w:rPr>
              <w:t>Ukupno</w:t>
            </w:r>
          </w:p>
        </w:tc>
      </w:tr>
      <w:tr w:rsidR="00CA2C67" w14:paraId="641EED90" w14:textId="77777777" w:rsidTr="00312975">
        <w:trPr>
          <w:trHeight w:val="284"/>
        </w:trPr>
        <w:tc>
          <w:tcPr>
            <w:tcW w:w="1250" w:type="pct"/>
            <w:hideMark/>
          </w:tcPr>
          <w:p w14:paraId="3A47FAA7" w14:textId="77777777" w:rsidR="00887417" w:rsidRDefault="00887417" w:rsidP="00887417">
            <w:pPr>
              <w:pStyle w:val="TT"/>
              <w:spacing w:line="280" w:lineRule="exact"/>
              <w:rPr>
                <w:rFonts w:asciiTheme="minorHAnsi" w:hAnsiTheme="minorHAnsi" w:cs="Arial"/>
                <w:b/>
                <w:bCs/>
                <w:sz w:val="18"/>
                <w:szCs w:val="18"/>
                <w:lang w:val="hr-HR"/>
              </w:rPr>
            </w:pPr>
            <w:r>
              <w:rPr>
                <w:rFonts w:asciiTheme="minorHAnsi" w:hAnsiTheme="minorHAnsi" w:cs="Arial"/>
                <w:b/>
                <w:bCs/>
                <w:sz w:val="18"/>
                <w:szCs w:val="18"/>
                <w:lang w:val="hr-HR"/>
              </w:rPr>
              <w:t>Obveze</w:t>
            </w:r>
          </w:p>
        </w:tc>
        <w:tc>
          <w:tcPr>
            <w:tcW w:w="525" w:type="pct"/>
            <w:vAlign w:val="bottom"/>
          </w:tcPr>
          <w:p w14:paraId="7667B31A" w14:textId="77777777" w:rsidR="00887417" w:rsidRDefault="00887417" w:rsidP="00887417">
            <w:pPr>
              <w:pStyle w:val="TT"/>
              <w:spacing w:line="280" w:lineRule="exact"/>
              <w:jc w:val="right"/>
              <w:rPr>
                <w:rFonts w:asciiTheme="minorHAnsi" w:hAnsiTheme="minorHAnsi" w:cs="Arial"/>
                <w:spacing w:val="-2"/>
                <w:sz w:val="18"/>
                <w:szCs w:val="18"/>
                <w:lang w:val="hr-HR"/>
              </w:rPr>
            </w:pPr>
          </w:p>
        </w:tc>
        <w:tc>
          <w:tcPr>
            <w:tcW w:w="526" w:type="pct"/>
            <w:vAlign w:val="bottom"/>
          </w:tcPr>
          <w:p w14:paraId="034EF5DE" w14:textId="77777777" w:rsidR="00887417" w:rsidRDefault="00887417" w:rsidP="00887417">
            <w:pPr>
              <w:pStyle w:val="TT"/>
              <w:spacing w:line="280" w:lineRule="exact"/>
              <w:jc w:val="right"/>
              <w:rPr>
                <w:rFonts w:asciiTheme="minorHAnsi" w:hAnsiTheme="minorHAnsi" w:cs="Arial"/>
                <w:spacing w:val="-2"/>
                <w:sz w:val="18"/>
                <w:szCs w:val="18"/>
                <w:lang w:val="hr-HR"/>
              </w:rPr>
            </w:pPr>
          </w:p>
        </w:tc>
        <w:tc>
          <w:tcPr>
            <w:tcW w:w="525" w:type="pct"/>
            <w:vAlign w:val="bottom"/>
          </w:tcPr>
          <w:p w14:paraId="073AFE39" w14:textId="77777777" w:rsidR="00887417" w:rsidRDefault="00887417" w:rsidP="00887417">
            <w:pPr>
              <w:pStyle w:val="TT"/>
              <w:spacing w:line="280" w:lineRule="exact"/>
              <w:jc w:val="right"/>
              <w:rPr>
                <w:rFonts w:asciiTheme="minorHAnsi" w:hAnsiTheme="minorHAnsi" w:cs="Arial"/>
                <w:spacing w:val="-2"/>
                <w:sz w:val="18"/>
                <w:szCs w:val="18"/>
                <w:lang w:val="hr-HR"/>
              </w:rPr>
            </w:pPr>
          </w:p>
        </w:tc>
        <w:tc>
          <w:tcPr>
            <w:tcW w:w="526" w:type="pct"/>
            <w:vAlign w:val="bottom"/>
          </w:tcPr>
          <w:p w14:paraId="7D378980" w14:textId="77777777" w:rsidR="00887417" w:rsidRDefault="00887417" w:rsidP="00887417">
            <w:pPr>
              <w:pStyle w:val="TT"/>
              <w:spacing w:line="280" w:lineRule="exact"/>
              <w:jc w:val="right"/>
              <w:rPr>
                <w:rFonts w:asciiTheme="minorHAnsi" w:hAnsiTheme="minorHAnsi" w:cs="Arial"/>
                <w:spacing w:val="-2"/>
                <w:sz w:val="18"/>
                <w:szCs w:val="18"/>
                <w:lang w:val="hr-HR"/>
              </w:rPr>
            </w:pPr>
          </w:p>
        </w:tc>
        <w:tc>
          <w:tcPr>
            <w:tcW w:w="525" w:type="pct"/>
            <w:vAlign w:val="bottom"/>
          </w:tcPr>
          <w:p w14:paraId="56A2FE8E" w14:textId="77777777" w:rsidR="00887417" w:rsidRDefault="00887417" w:rsidP="00887417">
            <w:pPr>
              <w:pStyle w:val="TT"/>
              <w:spacing w:line="280" w:lineRule="exact"/>
              <w:jc w:val="right"/>
              <w:rPr>
                <w:rFonts w:asciiTheme="minorHAnsi" w:hAnsiTheme="minorHAnsi" w:cs="Arial"/>
                <w:spacing w:val="-2"/>
                <w:sz w:val="18"/>
                <w:szCs w:val="18"/>
                <w:lang w:val="hr-HR"/>
              </w:rPr>
            </w:pPr>
          </w:p>
        </w:tc>
        <w:tc>
          <w:tcPr>
            <w:tcW w:w="558" w:type="pct"/>
            <w:vAlign w:val="bottom"/>
          </w:tcPr>
          <w:p w14:paraId="460C8373" w14:textId="77777777" w:rsidR="00887417" w:rsidRDefault="00887417" w:rsidP="00887417">
            <w:pPr>
              <w:pStyle w:val="TH"/>
              <w:spacing w:line="280" w:lineRule="exact"/>
              <w:jc w:val="right"/>
              <w:rPr>
                <w:rFonts w:asciiTheme="minorHAnsi" w:hAnsiTheme="minorHAnsi" w:cs="Arial"/>
                <w:sz w:val="18"/>
                <w:szCs w:val="18"/>
                <w:lang w:val="hr-HR"/>
              </w:rPr>
            </w:pPr>
          </w:p>
        </w:tc>
        <w:tc>
          <w:tcPr>
            <w:tcW w:w="565" w:type="pct"/>
            <w:vAlign w:val="bottom"/>
          </w:tcPr>
          <w:p w14:paraId="691BA1E6" w14:textId="77777777" w:rsidR="00887417" w:rsidRDefault="00887417" w:rsidP="00887417">
            <w:pPr>
              <w:pStyle w:val="TT"/>
              <w:spacing w:line="280" w:lineRule="exact"/>
              <w:jc w:val="right"/>
              <w:rPr>
                <w:rFonts w:asciiTheme="minorHAnsi" w:hAnsiTheme="minorHAnsi" w:cs="Arial"/>
                <w:sz w:val="18"/>
                <w:szCs w:val="18"/>
                <w:lang w:val="hr-HR"/>
              </w:rPr>
            </w:pPr>
          </w:p>
        </w:tc>
      </w:tr>
      <w:tr w:rsidR="003776B2" w:rsidRPr="002B6D35" w14:paraId="4E90FA3E" w14:textId="77777777" w:rsidTr="00312975">
        <w:trPr>
          <w:trHeight w:val="284"/>
        </w:trPr>
        <w:tc>
          <w:tcPr>
            <w:tcW w:w="1250" w:type="pct"/>
            <w:hideMark/>
          </w:tcPr>
          <w:p w14:paraId="118C9491" w14:textId="77777777" w:rsidR="003776B2" w:rsidRDefault="003776B2" w:rsidP="003776B2">
            <w:pPr>
              <w:pStyle w:val="TT"/>
              <w:spacing w:line="280" w:lineRule="exact"/>
              <w:rPr>
                <w:rFonts w:asciiTheme="minorHAnsi" w:hAnsiTheme="minorHAnsi" w:cs="Arial"/>
                <w:sz w:val="18"/>
                <w:szCs w:val="18"/>
                <w:lang w:val="hr-HR"/>
              </w:rPr>
            </w:pPr>
            <w:r>
              <w:rPr>
                <w:rFonts w:asciiTheme="minorHAnsi" w:hAnsiTheme="minorHAnsi" w:cs="Arial"/>
                <w:spacing w:val="-2"/>
                <w:sz w:val="18"/>
                <w:szCs w:val="18"/>
                <w:lang w:val="hr-HR"/>
              </w:rPr>
              <w:t>Obveze po depozitima</w:t>
            </w:r>
          </w:p>
        </w:tc>
        <w:tc>
          <w:tcPr>
            <w:tcW w:w="525" w:type="pct"/>
            <w:tcBorders>
              <w:top w:val="nil"/>
              <w:left w:val="nil"/>
              <w:bottom w:val="nil"/>
              <w:right w:val="nil"/>
            </w:tcBorders>
            <w:shd w:val="clear" w:color="auto" w:fill="auto"/>
            <w:vAlign w:val="bottom"/>
          </w:tcPr>
          <w:p w14:paraId="592C3DB0" w14:textId="0D4FE5FE" w:rsidR="003776B2" w:rsidRPr="0001360A" w:rsidRDefault="009329FF" w:rsidP="003776B2">
            <w:pPr>
              <w:tabs>
                <w:tab w:val="left" w:pos="-720"/>
              </w:tabs>
              <w:suppressAutoHyphens/>
              <w:spacing w:after="0" w:line="280" w:lineRule="exact"/>
              <w:ind w:right="-5"/>
              <w:jc w:val="right"/>
              <w:rPr>
                <w:rFonts w:cs="Arial"/>
                <w:sz w:val="18"/>
                <w:szCs w:val="18"/>
              </w:rPr>
            </w:pPr>
            <w:r>
              <w:rPr>
                <w:rFonts w:cs="Arial"/>
                <w:sz w:val="18"/>
                <w:szCs w:val="18"/>
              </w:rPr>
              <w:t>118.506</w:t>
            </w:r>
          </w:p>
        </w:tc>
        <w:tc>
          <w:tcPr>
            <w:tcW w:w="526" w:type="pct"/>
            <w:tcBorders>
              <w:top w:val="nil"/>
              <w:left w:val="nil"/>
              <w:bottom w:val="nil"/>
              <w:right w:val="nil"/>
            </w:tcBorders>
            <w:shd w:val="clear" w:color="auto" w:fill="auto"/>
            <w:vAlign w:val="bottom"/>
          </w:tcPr>
          <w:p w14:paraId="11477FED" w14:textId="4D370622"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7F036BA7" w14:textId="52F31D6B"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4145ED97" w14:textId="53BC6E42"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32B88084" w14:textId="7EDEB263"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58" w:type="pct"/>
            <w:tcBorders>
              <w:top w:val="nil"/>
              <w:left w:val="nil"/>
              <w:bottom w:val="nil"/>
              <w:right w:val="nil"/>
            </w:tcBorders>
            <w:shd w:val="clear" w:color="auto" w:fill="auto"/>
            <w:vAlign w:val="bottom"/>
          </w:tcPr>
          <w:p w14:paraId="6B270671" w14:textId="406E8D0E" w:rsidR="003776B2" w:rsidRPr="0001360A" w:rsidRDefault="009329FF" w:rsidP="003776B2">
            <w:pPr>
              <w:tabs>
                <w:tab w:val="left" w:pos="-720"/>
              </w:tabs>
              <w:suppressAutoHyphens/>
              <w:spacing w:after="0" w:line="280" w:lineRule="exact"/>
              <w:ind w:right="-5"/>
              <w:jc w:val="right"/>
              <w:rPr>
                <w:rFonts w:cs="Arial"/>
                <w:sz w:val="18"/>
                <w:szCs w:val="18"/>
              </w:rPr>
            </w:pPr>
            <w:r>
              <w:rPr>
                <w:rFonts w:cs="Arial"/>
                <w:sz w:val="18"/>
                <w:szCs w:val="18"/>
              </w:rPr>
              <w:t>362.472</w:t>
            </w:r>
          </w:p>
        </w:tc>
        <w:tc>
          <w:tcPr>
            <w:tcW w:w="565" w:type="pct"/>
            <w:tcBorders>
              <w:top w:val="nil"/>
              <w:left w:val="nil"/>
              <w:bottom w:val="nil"/>
              <w:right w:val="nil"/>
            </w:tcBorders>
            <w:shd w:val="clear" w:color="auto" w:fill="auto"/>
            <w:vAlign w:val="bottom"/>
          </w:tcPr>
          <w:p w14:paraId="532F099F" w14:textId="6C262D1F" w:rsidR="003776B2" w:rsidRPr="0001360A" w:rsidRDefault="003776B2" w:rsidP="003776B2">
            <w:pPr>
              <w:tabs>
                <w:tab w:val="left" w:pos="-720"/>
              </w:tabs>
              <w:suppressAutoHyphens/>
              <w:spacing w:after="0" w:line="280" w:lineRule="exact"/>
              <w:ind w:right="-5"/>
              <w:jc w:val="right"/>
              <w:rPr>
                <w:rFonts w:cs="Arial"/>
                <w:sz w:val="18"/>
                <w:szCs w:val="18"/>
              </w:rPr>
            </w:pPr>
            <w:r w:rsidRPr="00045C49">
              <w:rPr>
                <w:rFonts w:cs="Arial"/>
                <w:sz w:val="18"/>
                <w:szCs w:val="18"/>
              </w:rPr>
              <w:t>480.978</w:t>
            </w:r>
          </w:p>
        </w:tc>
      </w:tr>
      <w:tr w:rsidR="003776B2" w:rsidRPr="002B6D35" w14:paraId="1F6E3841" w14:textId="77777777" w:rsidTr="00312975">
        <w:trPr>
          <w:trHeight w:val="298"/>
        </w:trPr>
        <w:tc>
          <w:tcPr>
            <w:tcW w:w="1250" w:type="pct"/>
            <w:hideMark/>
          </w:tcPr>
          <w:p w14:paraId="2ADD026D" w14:textId="77777777" w:rsidR="003776B2" w:rsidRDefault="003776B2" w:rsidP="003776B2">
            <w:pPr>
              <w:pStyle w:val="TT"/>
              <w:spacing w:line="280" w:lineRule="exact"/>
              <w:rPr>
                <w:rFonts w:asciiTheme="minorHAnsi" w:hAnsiTheme="minorHAnsi" w:cs="Arial"/>
                <w:sz w:val="18"/>
                <w:szCs w:val="18"/>
                <w:lang w:val="hr-HR"/>
              </w:rPr>
            </w:pPr>
            <w:r>
              <w:rPr>
                <w:rFonts w:asciiTheme="minorHAnsi" w:hAnsiTheme="minorHAnsi" w:cs="Arial"/>
                <w:spacing w:val="-2"/>
                <w:sz w:val="18"/>
                <w:szCs w:val="18"/>
                <w:lang w:val="hr-HR"/>
              </w:rPr>
              <w:t>Obveze po kreditima</w:t>
            </w:r>
          </w:p>
        </w:tc>
        <w:tc>
          <w:tcPr>
            <w:tcW w:w="525" w:type="pct"/>
            <w:tcBorders>
              <w:top w:val="nil"/>
              <w:left w:val="nil"/>
              <w:bottom w:val="nil"/>
              <w:right w:val="nil"/>
            </w:tcBorders>
            <w:shd w:val="clear" w:color="auto" w:fill="auto"/>
            <w:vAlign w:val="bottom"/>
          </w:tcPr>
          <w:p w14:paraId="7BB2EAA2" w14:textId="0F9DF2B4" w:rsidR="003776B2" w:rsidRPr="0001360A" w:rsidRDefault="009329FF" w:rsidP="003776B2">
            <w:pPr>
              <w:tabs>
                <w:tab w:val="left" w:pos="-720"/>
              </w:tabs>
              <w:suppressAutoHyphens/>
              <w:spacing w:after="0" w:line="280" w:lineRule="exact"/>
              <w:ind w:right="-5"/>
              <w:jc w:val="right"/>
              <w:rPr>
                <w:rFonts w:cs="Arial"/>
                <w:sz w:val="18"/>
                <w:szCs w:val="18"/>
              </w:rPr>
            </w:pPr>
            <w:r>
              <w:rPr>
                <w:rFonts w:cs="Arial"/>
                <w:sz w:val="18"/>
                <w:szCs w:val="18"/>
              </w:rPr>
              <w:t>201.399</w:t>
            </w:r>
          </w:p>
        </w:tc>
        <w:tc>
          <w:tcPr>
            <w:tcW w:w="526" w:type="pct"/>
            <w:tcBorders>
              <w:top w:val="nil"/>
              <w:left w:val="nil"/>
              <w:bottom w:val="nil"/>
              <w:right w:val="nil"/>
            </w:tcBorders>
            <w:shd w:val="clear" w:color="auto" w:fill="auto"/>
            <w:vAlign w:val="bottom"/>
          </w:tcPr>
          <w:p w14:paraId="19E03D4B" w14:textId="3974A15B" w:rsidR="003776B2" w:rsidRPr="0001360A" w:rsidRDefault="003776B2" w:rsidP="003776B2">
            <w:pPr>
              <w:tabs>
                <w:tab w:val="left" w:pos="-720"/>
              </w:tabs>
              <w:suppressAutoHyphens/>
              <w:spacing w:after="0" w:line="280" w:lineRule="exact"/>
              <w:ind w:right="-5"/>
              <w:jc w:val="right"/>
              <w:rPr>
                <w:rFonts w:cs="Arial"/>
                <w:sz w:val="18"/>
                <w:szCs w:val="18"/>
              </w:rPr>
            </w:pPr>
            <w:r w:rsidRPr="00016AD1">
              <w:rPr>
                <w:rFonts w:cs="Arial"/>
                <w:sz w:val="18"/>
                <w:szCs w:val="18"/>
              </w:rPr>
              <w:t>179.970</w:t>
            </w:r>
          </w:p>
        </w:tc>
        <w:tc>
          <w:tcPr>
            <w:tcW w:w="525" w:type="pct"/>
            <w:tcBorders>
              <w:top w:val="nil"/>
              <w:left w:val="nil"/>
              <w:bottom w:val="nil"/>
              <w:right w:val="nil"/>
            </w:tcBorders>
            <w:shd w:val="clear" w:color="auto" w:fill="auto"/>
            <w:vAlign w:val="bottom"/>
          </w:tcPr>
          <w:p w14:paraId="4A9C2436" w14:textId="4A5F0237" w:rsidR="003776B2" w:rsidRPr="0001360A" w:rsidRDefault="003776B2">
            <w:pPr>
              <w:tabs>
                <w:tab w:val="left" w:pos="-720"/>
              </w:tabs>
              <w:suppressAutoHyphens/>
              <w:spacing w:after="0" w:line="280" w:lineRule="exact"/>
              <w:ind w:right="-5"/>
              <w:jc w:val="right"/>
              <w:rPr>
                <w:rFonts w:cs="Arial"/>
                <w:sz w:val="18"/>
                <w:szCs w:val="18"/>
              </w:rPr>
            </w:pPr>
            <w:r w:rsidRPr="00016AD1">
              <w:rPr>
                <w:rFonts w:cs="Arial"/>
                <w:sz w:val="18"/>
                <w:szCs w:val="18"/>
              </w:rPr>
              <w:t>1.278.75</w:t>
            </w:r>
            <w:r w:rsidR="009329FF">
              <w:rPr>
                <w:rFonts w:cs="Arial"/>
                <w:sz w:val="18"/>
                <w:szCs w:val="18"/>
              </w:rPr>
              <w:t>7</w:t>
            </w:r>
          </w:p>
        </w:tc>
        <w:tc>
          <w:tcPr>
            <w:tcW w:w="526" w:type="pct"/>
            <w:tcBorders>
              <w:top w:val="nil"/>
              <w:left w:val="nil"/>
              <w:bottom w:val="nil"/>
              <w:right w:val="nil"/>
            </w:tcBorders>
            <w:shd w:val="clear" w:color="auto" w:fill="auto"/>
            <w:vAlign w:val="bottom"/>
          </w:tcPr>
          <w:p w14:paraId="63260DC5" w14:textId="39E4CFDF" w:rsidR="003776B2" w:rsidRPr="0001360A" w:rsidRDefault="003776B2">
            <w:pPr>
              <w:tabs>
                <w:tab w:val="left" w:pos="-720"/>
              </w:tabs>
              <w:suppressAutoHyphens/>
              <w:spacing w:after="0" w:line="280" w:lineRule="exact"/>
              <w:ind w:right="-5"/>
              <w:jc w:val="right"/>
              <w:rPr>
                <w:rFonts w:cs="Arial"/>
                <w:sz w:val="18"/>
                <w:szCs w:val="18"/>
              </w:rPr>
            </w:pPr>
            <w:r w:rsidRPr="00016AD1">
              <w:rPr>
                <w:rFonts w:cs="Arial"/>
                <w:sz w:val="18"/>
                <w:szCs w:val="18"/>
              </w:rPr>
              <w:t>3.552.14</w:t>
            </w:r>
            <w:r w:rsidR="009329FF">
              <w:rPr>
                <w:rFonts w:cs="Arial"/>
                <w:sz w:val="18"/>
                <w:szCs w:val="18"/>
              </w:rPr>
              <w:t>3</w:t>
            </w:r>
          </w:p>
        </w:tc>
        <w:tc>
          <w:tcPr>
            <w:tcW w:w="525" w:type="pct"/>
            <w:tcBorders>
              <w:top w:val="nil"/>
              <w:left w:val="nil"/>
              <w:bottom w:val="nil"/>
              <w:right w:val="nil"/>
            </w:tcBorders>
            <w:shd w:val="clear" w:color="auto" w:fill="auto"/>
            <w:vAlign w:val="bottom"/>
          </w:tcPr>
          <w:p w14:paraId="45EB3CD2" w14:textId="1A077A53" w:rsidR="003776B2" w:rsidRPr="0001360A" w:rsidRDefault="003776B2">
            <w:pPr>
              <w:tabs>
                <w:tab w:val="left" w:pos="-720"/>
              </w:tabs>
              <w:suppressAutoHyphens/>
              <w:spacing w:after="0" w:line="280" w:lineRule="exact"/>
              <w:ind w:right="-5"/>
              <w:jc w:val="right"/>
              <w:rPr>
                <w:rFonts w:cs="Arial"/>
                <w:sz w:val="18"/>
                <w:szCs w:val="18"/>
              </w:rPr>
            </w:pPr>
            <w:r w:rsidRPr="00016AD1">
              <w:rPr>
                <w:rFonts w:cs="Arial"/>
                <w:sz w:val="18"/>
                <w:szCs w:val="18"/>
              </w:rPr>
              <w:t>10.146.90</w:t>
            </w:r>
            <w:r w:rsidR="009329FF">
              <w:rPr>
                <w:rFonts w:cs="Arial"/>
                <w:sz w:val="18"/>
                <w:szCs w:val="18"/>
              </w:rPr>
              <w:t>9</w:t>
            </w:r>
          </w:p>
        </w:tc>
        <w:tc>
          <w:tcPr>
            <w:tcW w:w="558" w:type="pct"/>
            <w:tcBorders>
              <w:top w:val="nil"/>
              <w:left w:val="nil"/>
              <w:bottom w:val="nil"/>
              <w:right w:val="nil"/>
            </w:tcBorders>
            <w:shd w:val="clear" w:color="auto" w:fill="auto"/>
            <w:vAlign w:val="bottom"/>
          </w:tcPr>
          <w:p w14:paraId="6C892099" w14:textId="2BEC939A"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64.403</w:t>
            </w:r>
          </w:p>
        </w:tc>
        <w:tc>
          <w:tcPr>
            <w:tcW w:w="565" w:type="pct"/>
            <w:tcBorders>
              <w:top w:val="nil"/>
              <w:left w:val="nil"/>
              <w:bottom w:val="nil"/>
              <w:right w:val="nil"/>
            </w:tcBorders>
            <w:shd w:val="clear" w:color="auto" w:fill="auto"/>
            <w:vAlign w:val="bottom"/>
          </w:tcPr>
          <w:p w14:paraId="63B48564" w14:textId="2DE73F6E"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15.423.581</w:t>
            </w:r>
          </w:p>
        </w:tc>
      </w:tr>
      <w:tr w:rsidR="003776B2" w:rsidRPr="002B6D35" w14:paraId="00041912" w14:textId="77777777" w:rsidTr="00312975">
        <w:trPr>
          <w:trHeight w:val="582"/>
        </w:trPr>
        <w:tc>
          <w:tcPr>
            <w:tcW w:w="1250" w:type="pct"/>
            <w:hideMark/>
          </w:tcPr>
          <w:p w14:paraId="6270D0CE" w14:textId="77777777" w:rsidR="003776B2" w:rsidRDefault="003776B2" w:rsidP="003776B2">
            <w:pPr>
              <w:pStyle w:val="TT"/>
              <w:spacing w:line="280" w:lineRule="exact"/>
              <w:rPr>
                <w:rFonts w:asciiTheme="minorHAnsi" w:hAnsiTheme="minorHAnsi" w:cs="Arial"/>
                <w:sz w:val="18"/>
                <w:szCs w:val="18"/>
                <w:lang w:val="hr-HR"/>
              </w:rPr>
            </w:pPr>
            <w:r>
              <w:rPr>
                <w:rFonts w:asciiTheme="minorHAnsi" w:hAnsiTheme="minorHAnsi" w:cs="Arial"/>
                <w:spacing w:val="-2"/>
                <w:sz w:val="18"/>
                <w:szCs w:val="18"/>
                <w:lang w:val="hr-HR"/>
              </w:rPr>
              <w:t>Obveze za izdane dugoročne vrijednosne papire</w:t>
            </w:r>
          </w:p>
        </w:tc>
        <w:tc>
          <w:tcPr>
            <w:tcW w:w="525" w:type="pct"/>
            <w:tcBorders>
              <w:top w:val="nil"/>
              <w:left w:val="nil"/>
              <w:bottom w:val="nil"/>
              <w:right w:val="nil"/>
            </w:tcBorders>
            <w:shd w:val="clear" w:color="auto" w:fill="auto"/>
            <w:vAlign w:val="bottom"/>
          </w:tcPr>
          <w:p w14:paraId="1D075BB6" w14:textId="1B79398D"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3E5605AC" w14:textId="14A1A0DB" w:rsidR="003776B2" w:rsidRPr="0001360A" w:rsidRDefault="003776B2" w:rsidP="003776B2">
            <w:pPr>
              <w:tabs>
                <w:tab w:val="left" w:pos="-720"/>
              </w:tabs>
              <w:suppressAutoHyphens/>
              <w:spacing w:after="0" w:line="280" w:lineRule="exact"/>
              <w:ind w:right="-5"/>
              <w:jc w:val="right"/>
              <w:rPr>
                <w:rFonts w:cs="Arial"/>
                <w:sz w:val="18"/>
                <w:szCs w:val="18"/>
              </w:rPr>
            </w:pPr>
            <w:r w:rsidRPr="00016AD1">
              <w:rPr>
                <w:rFonts w:cs="Arial"/>
                <w:sz w:val="18"/>
                <w:szCs w:val="18"/>
              </w:rPr>
              <w:t>-</w:t>
            </w:r>
          </w:p>
        </w:tc>
        <w:tc>
          <w:tcPr>
            <w:tcW w:w="525" w:type="pct"/>
            <w:tcBorders>
              <w:top w:val="nil"/>
              <w:left w:val="nil"/>
              <w:bottom w:val="nil"/>
              <w:right w:val="nil"/>
            </w:tcBorders>
            <w:shd w:val="clear" w:color="auto" w:fill="auto"/>
            <w:vAlign w:val="bottom"/>
          </w:tcPr>
          <w:p w14:paraId="052465F0" w14:textId="17A4A1BE"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6067627B" w14:textId="21DDA1A2" w:rsidR="003776B2" w:rsidRPr="0001360A" w:rsidRDefault="009666DA" w:rsidP="003776B2">
            <w:pPr>
              <w:tabs>
                <w:tab w:val="left" w:pos="-720"/>
              </w:tabs>
              <w:suppressAutoHyphens/>
              <w:spacing w:after="0" w:line="280" w:lineRule="exact"/>
              <w:ind w:right="-5"/>
              <w:jc w:val="right"/>
              <w:rPr>
                <w:rFonts w:cs="Arial"/>
                <w:sz w:val="18"/>
                <w:szCs w:val="18"/>
              </w:rPr>
            </w:pPr>
            <w:r w:rsidRPr="009666DA">
              <w:rPr>
                <w:rFonts w:cs="Arial"/>
                <w:sz w:val="18"/>
                <w:szCs w:val="18"/>
              </w:rPr>
              <w:t>1.100.085</w:t>
            </w:r>
          </w:p>
        </w:tc>
        <w:tc>
          <w:tcPr>
            <w:tcW w:w="525" w:type="pct"/>
            <w:tcBorders>
              <w:top w:val="nil"/>
              <w:left w:val="nil"/>
              <w:bottom w:val="nil"/>
              <w:right w:val="nil"/>
            </w:tcBorders>
            <w:shd w:val="clear" w:color="auto" w:fill="auto"/>
            <w:vAlign w:val="bottom"/>
          </w:tcPr>
          <w:p w14:paraId="7939EEA8" w14:textId="4E8E92C0" w:rsidR="003776B2" w:rsidRPr="0001360A" w:rsidRDefault="009666DA"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58" w:type="pct"/>
            <w:tcBorders>
              <w:top w:val="nil"/>
              <w:left w:val="nil"/>
              <w:bottom w:val="nil"/>
              <w:right w:val="nil"/>
            </w:tcBorders>
            <w:shd w:val="clear" w:color="auto" w:fill="auto"/>
            <w:vAlign w:val="bottom"/>
          </w:tcPr>
          <w:p w14:paraId="3E85AB67" w14:textId="4EA0B3DB"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9.679</w:t>
            </w:r>
          </w:p>
        </w:tc>
        <w:tc>
          <w:tcPr>
            <w:tcW w:w="565" w:type="pct"/>
            <w:tcBorders>
              <w:top w:val="nil"/>
              <w:left w:val="nil"/>
              <w:bottom w:val="nil"/>
              <w:right w:val="nil"/>
            </w:tcBorders>
            <w:shd w:val="clear" w:color="auto" w:fill="auto"/>
            <w:vAlign w:val="bottom"/>
          </w:tcPr>
          <w:p w14:paraId="290D5860" w14:textId="0620A5D0"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1.109.764</w:t>
            </w:r>
          </w:p>
        </w:tc>
      </w:tr>
      <w:tr w:rsidR="003776B2" w:rsidRPr="002B6D35" w14:paraId="7DC2DB2D" w14:textId="77777777" w:rsidTr="00312975">
        <w:trPr>
          <w:trHeight w:val="284"/>
        </w:trPr>
        <w:tc>
          <w:tcPr>
            <w:tcW w:w="1250" w:type="pct"/>
            <w:hideMark/>
          </w:tcPr>
          <w:p w14:paraId="384271E0" w14:textId="77777777" w:rsidR="003776B2" w:rsidRDefault="003776B2" w:rsidP="003776B2">
            <w:pPr>
              <w:pStyle w:val="TT"/>
              <w:spacing w:line="280" w:lineRule="exact"/>
              <w:rPr>
                <w:rFonts w:asciiTheme="minorHAnsi" w:hAnsiTheme="minorHAnsi" w:cs="Arial"/>
                <w:sz w:val="18"/>
                <w:szCs w:val="18"/>
                <w:lang w:val="hr-HR"/>
              </w:rPr>
            </w:pPr>
            <w:r>
              <w:rPr>
                <w:rFonts w:asciiTheme="minorHAnsi" w:hAnsiTheme="minorHAnsi" w:cs="Arial"/>
                <w:spacing w:val="-2"/>
                <w:sz w:val="18"/>
                <w:szCs w:val="18"/>
                <w:lang w:val="hr-HR"/>
              </w:rPr>
              <w:t>Ostale obveze</w:t>
            </w:r>
          </w:p>
        </w:tc>
        <w:tc>
          <w:tcPr>
            <w:tcW w:w="525" w:type="pct"/>
            <w:tcBorders>
              <w:top w:val="nil"/>
              <w:left w:val="nil"/>
              <w:bottom w:val="nil"/>
              <w:right w:val="nil"/>
            </w:tcBorders>
            <w:shd w:val="clear" w:color="auto" w:fill="auto"/>
            <w:vAlign w:val="bottom"/>
          </w:tcPr>
          <w:p w14:paraId="681769E7" w14:textId="2D85DA74"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6546AE37" w14:textId="031A6F55"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63965203" w14:textId="282DC588"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18D53BB9" w14:textId="7EFFA7FB"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4760DAA2" w14:textId="30DC3428"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w:t>
            </w:r>
          </w:p>
        </w:tc>
        <w:tc>
          <w:tcPr>
            <w:tcW w:w="558" w:type="pct"/>
            <w:tcBorders>
              <w:top w:val="nil"/>
              <w:left w:val="nil"/>
              <w:bottom w:val="single" w:sz="4" w:space="0" w:color="auto"/>
              <w:right w:val="nil"/>
            </w:tcBorders>
            <w:shd w:val="clear" w:color="auto" w:fill="auto"/>
            <w:vAlign w:val="bottom"/>
          </w:tcPr>
          <w:p w14:paraId="69B05C0E" w14:textId="0AC9B2A2"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625.223</w:t>
            </w:r>
          </w:p>
        </w:tc>
        <w:tc>
          <w:tcPr>
            <w:tcW w:w="565" w:type="pct"/>
            <w:tcBorders>
              <w:top w:val="nil"/>
              <w:left w:val="nil"/>
              <w:bottom w:val="single" w:sz="4" w:space="0" w:color="auto"/>
              <w:right w:val="nil"/>
            </w:tcBorders>
            <w:shd w:val="clear" w:color="auto" w:fill="auto"/>
            <w:vAlign w:val="bottom"/>
          </w:tcPr>
          <w:p w14:paraId="2DC871CF" w14:textId="76D6AAFE"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625.223</w:t>
            </w:r>
          </w:p>
        </w:tc>
      </w:tr>
      <w:tr w:rsidR="009666DA" w:rsidRPr="002B6D35" w14:paraId="7F407B83" w14:textId="77777777" w:rsidTr="00312975">
        <w:trPr>
          <w:trHeight w:val="264"/>
        </w:trPr>
        <w:tc>
          <w:tcPr>
            <w:tcW w:w="1250" w:type="pct"/>
            <w:hideMark/>
          </w:tcPr>
          <w:p w14:paraId="375F4A67" w14:textId="77777777" w:rsidR="009666DA" w:rsidRDefault="009666DA" w:rsidP="009666DA">
            <w:pPr>
              <w:pStyle w:val="Tot"/>
              <w:spacing w:line="280" w:lineRule="exact"/>
              <w:rPr>
                <w:rFonts w:asciiTheme="minorHAnsi" w:hAnsiTheme="minorHAnsi" w:cs="Arial"/>
                <w:b/>
                <w:bCs/>
                <w:sz w:val="18"/>
                <w:szCs w:val="18"/>
                <w:lang w:val="hr-HR"/>
              </w:rPr>
            </w:pPr>
            <w:r>
              <w:rPr>
                <w:rFonts w:asciiTheme="minorHAnsi" w:hAnsiTheme="minorHAnsi" w:cs="Arial"/>
                <w:b/>
                <w:bCs/>
                <w:sz w:val="18"/>
                <w:szCs w:val="18"/>
                <w:lang w:val="hr-HR"/>
              </w:rPr>
              <w:t>Ukupne obveze</w:t>
            </w:r>
          </w:p>
        </w:tc>
        <w:tc>
          <w:tcPr>
            <w:tcW w:w="525" w:type="pct"/>
            <w:tcBorders>
              <w:top w:val="single" w:sz="8" w:space="0" w:color="auto"/>
              <w:left w:val="nil"/>
              <w:bottom w:val="single" w:sz="12" w:space="0" w:color="auto"/>
              <w:right w:val="nil"/>
            </w:tcBorders>
            <w:shd w:val="clear" w:color="auto" w:fill="auto"/>
            <w:vAlign w:val="bottom"/>
          </w:tcPr>
          <w:p w14:paraId="5DB63166" w14:textId="246AD0AE" w:rsidR="009666DA" w:rsidRPr="0001360A" w:rsidRDefault="009329FF" w:rsidP="009666DA">
            <w:pPr>
              <w:spacing w:after="0" w:line="240" w:lineRule="exact"/>
              <w:jc w:val="right"/>
              <w:rPr>
                <w:rFonts w:eastAsia="Times New Roman" w:cs="Arial"/>
                <w:b/>
                <w:bCs/>
                <w:color w:val="000000"/>
                <w:sz w:val="18"/>
                <w:szCs w:val="18"/>
              </w:rPr>
            </w:pPr>
            <w:r>
              <w:rPr>
                <w:rFonts w:eastAsia="Times New Roman" w:cs="Arial"/>
                <w:b/>
                <w:bCs/>
                <w:color w:val="000000"/>
                <w:sz w:val="18"/>
                <w:szCs w:val="18"/>
              </w:rPr>
              <w:t>319.905</w:t>
            </w:r>
          </w:p>
        </w:tc>
        <w:tc>
          <w:tcPr>
            <w:tcW w:w="526" w:type="pct"/>
            <w:tcBorders>
              <w:top w:val="single" w:sz="8" w:space="0" w:color="auto"/>
              <w:left w:val="nil"/>
              <w:bottom w:val="single" w:sz="12" w:space="0" w:color="auto"/>
              <w:right w:val="nil"/>
            </w:tcBorders>
            <w:shd w:val="clear" w:color="auto" w:fill="auto"/>
            <w:vAlign w:val="bottom"/>
          </w:tcPr>
          <w:p w14:paraId="31920A0B" w14:textId="30D4672C" w:rsidR="009666DA" w:rsidRPr="0001360A" w:rsidRDefault="009666DA" w:rsidP="009666DA">
            <w:pPr>
              <w:spacing w:after="0" w:line="240" w:lineRule="exact"/>
              <w:jc w:val="right"/>
              <w:rPr>
                <w:rFonts w:eastAsia="Times New Roman" w:cs="Arial"/>
                <w:b/>
                <w:bCs/>
                <w:color w:val="000000"/>
                <w:sz w:val="18"/>
                <w:szCs w:val="18"/>
              </w:rPr>
            </w:pPr>
            <w:r w:rsidRPr="00016AD1">
              <w:rPr>
                <w:rFonts w:eastAsia="Times New Roman" w:cs="Arial"/>
                <w:b/>
                <w:bCs/>
                <w:color w:val="000000"/>
                <w:sz w:val="18"/>
                <w:szCs w:val="18"/>
              </w:rPr>
              <w:t>179.970</w:t>
            </w:r>
          </w:p>
        </w:tc>
        <w:tc>
          <w:tcPr>
            <w:tcW w:w="525" w:type="pct"/>
            <w:tcBorders>
              <w:top w:val="single" w:sz="8" w:space="0" w:color="auto"/>
              <w:left w:val="nil"/>
              <w:bottom w:val="single" w:sz="12" w:space="0" w:color="auto"/>
              <w:right w:val="nil"/>
            </w:tcBorders>
            <w:shd w:val="clear" w:color="auto" w:fill="auto"/>
            <w:vAlign w:val="bottom"/>
          </w:tcPr>
          <w:p w14:paraId="4A9828BA" w14:textId="5F86D328" w:rsidR="009666DA" w:rsidRPr="0001360A" w:rsidRDefault="009666DA">
            <w:pPr>
              <w:spacing w:after="0" w:line="240" w:lineRule="exact"/>
              <w:jc w:val="right"/>
              <w:rPr>
                <w:rFonts w:eastAsia="Times New Roman" w:cs="Arial"/>
                <w:b/>
                <w:bCs/>
                <w:color w:val="000000"/>
                <w:sz w:val="18"/>
                <w:szCs w:val="18"/>
              </w:rPr>
            </w:pPr>
            <w:r w:rsidRPr="00016AD1">
              <w:rPr>
                <w:rFonts w:eastAsia="Times New Roman" w:cs="Arial"/>
                <w:b/>
                <w:bCs/>
                <w:color w:val="000000"/>
                <w:sz w:val="18"/>
                <w:szCs w:val="18"/>
              </w:rPr>
              <w:t>1.278.75</w:t>
            </w:r>
            <w:r w:rsidR="009329FF">
              <w:rPr>
                <w:rFonts w:eastAsia="Times New Roman" w:cs="Arial"/>
                <w:b/>
                <w:bCs/>
                <w:color w:val="000000"/>
                <w:sz w:val="18"/>
                <w:szCs w:val="18"/>
              </w:rPr>
              <w:t>7</w:t>
            </w:r>
          </w:p>
        </w:tc>
        <w:tc>
          <w:tcPr>
            <w:tcW w:w="526" w:type="pct"/>
            <w:tcBorders>
              <w:top w:val="single" w:sz="8" w:space="0" w:color="auto"/>
              <w:left w:val="nil"/>
              <w:bottom w:val="single" w:sz="12" w:space="0" w:color="auto"/>
              <w:right w:val="nil"/>
            </w:tcBorders>
            <w:shd w:val="clear" w:color="auto" w:fill="auto"/>
            <w:vAlign w:val="bottom"/>
          </w:tcPr>
          <w:p w14:paraId="4A5F5484" w14:textId="525F8D02" w:rsidR="009666DA" w:rsidRPr="0001360A" w:rsidRDefault="009666DA">
            <w:pPr>
              <w:spacing w:after="0" w:line="240" w:lineRule="exact"/>
              <w:jc w:val="right"/>
              <w:rPr>
                <w:rFonts w:eastAsia="Times New Roman" w:cs="Arial"/>
                <w:b/>
                <w:bCs/>
                <w:color w:val="000000"/>
                <w:sz w:val="18"/>
                <w:szCs w:val="18"/>
              </w:rPr>
            </w:pPr>
            <w:r>
              <w:rPr>
                <w:rFonts w:eastAsia="Times New Roman" w:cs="Arial"/>
                <w:b/>
                <w:bCs/>
                <w:color w:val="000000"/>
                <w:sz w:val="18"/>
                <w:szCs w:val="18"/>
              </w:rPr>
              <w:t>4.652.22</w:t>
            </w:r>
            <w:r w:rsidR="009329FF">
              <w:rPr>
                <w:rFonts w:eastAsia="Times New Roman" w:cs="Arial"/>
                <w:b/>
                <w:bCs/>
                <w:color w:val="000000"/>
                <w:sz w:val="18"/>
                <w:szCs w:val="18"/>
              </w:rPr>
              <w:t>8</w:t>
            </w:r>
          </w:p>
        </w:tc>
        <w:tc>
          <w:tcPr>
            <w:tcW w:w="525" w:type="pct"/>
            <w:tcBorders>
              <w:top w:val="single" w:sz="8" w:space="0" w:color="auto"/>
              <w:left w:val="nil"/>
              <w:bottom w:val="single" w:sz="12" w:space="0" w:color="auto"/>
              <w:right w:val="nil"/>
            </w:tcBorders>
            <w:shd w:val="clear" w:color="auto" w:fill="auto"/>
            <w:vAlign w:val="bottom"/>
          </w:tcPr>
          <w:p w14:paraId="463A29D7" w14:textId="36B159A6" w:rsidR="009666DA" w:rsidRPr="0001360A" w:rsidRDefault="009666DA">
            <w:pPr>
              <w:spacing w:after="0" w:line="240" w:lineRule="exact"/>
              <w:jc w:val="right"/>
              <w:rPr>
                <w:rFonts w:eastAsia="Times New Roman" w:cs="Arial"/>
                <w:b/>
                <w:bCs/>
                <w:color w:val="000000"/>
                <w:sz w:val="18"/>
                <w:szCs w:val="18"/>
              </w:rPr>
            </w:pPr>
            <w:r>
              <w:rPr>
                <w:rFonts w:eastAsia="Times New Roman" w:cs="Arial"/>
                <w:b/>
                <w:bCs/>
                <w:color w:val="000000"/>
                <w:sz w:val="18"/>
                <w:szCs w:val="18"/>
              </w:rPr>
              <w:t>10.146.90</w:t>
            </w:r>
            <w:r w:rsidR="009329FF">
              <w:rPr>
                <w:rFonts w:eastAsia="Times New Roman" w:cs="Arial"/>
                <w:b/>
                <w:bCs/>
                <w:color w:val="000000"/>
                <w:sz w:val="18"/>
                <w:szCs w:val="18"/>
              </w:rPr>
              <w:t>9</w:t>
            </w:r>
          </w:p>
        </w:tc>
        <w:tc>
          <w:tcPr>
            <w:tcW w:w="558" w:type="pct"/>
            <w:tcBorders>
              <w:top w:val="single" w:sz="8" w:space="0" w:color="auto"/>
              <w:left w:val="nil"/>
              <w:bottom w:val="single" w:sz="12" w:space="0" w:color="auto"/>
              <w:right w:val="nil"/>
            </w:tcBorders>
            <w:shd w:val="clear" w:color="auto" w:fill="auto"/>
            <w:vAlign w:val="bottom"/>
          </w:tcPr>
          <w:p w14:paraId="4063E76F" w14:textId="4CC8F990" w:rsidR="009666DA" w:rsidRPr="0001360A" w:rsidRDefault="009666DA">
            <w:pPr>
              <w:spacing w:after="0" w:line="240" w:lineRule="exact"/>
              <w:jc w:val="right"/>
              <w:rPr>
                <w:rFonts w:eastAsia="Times New Roman" w:cs="Arial"/>
                <w:b/>
                <w:bCs/>
                <w:color w:val="000000"/>
                <w:sz w:val="18"/>
                <w:szCs w:val="18"/>
              </w:rPr>
            </w:pPr>
            <w:r>
              <w:rPr>
                <w:rFonts w:eastAsia="Times New Roman" w:cs="Arial"/>
                <w:b/>
                <w:bCs/>
                <w:color w:val="000000"/>
                <w:sz w:val="18"/>
                <w:szCs w:val="18"/>
              </w:rPr>
              <w:t>1.</w:t>
            </w:r>
            <w:r w:rsidR="009329FF">
              <w:rPr>
                <w:rFonts w:eastAsia="Times New Roman" w:cs="Arial"/>
                <w:b/>
                <w:bCs/>
                <w:color w:val="000000"/>
                <w:sz w:val="18"/>
                <w:szCs w:val="18"/>
              </w:rPr>
              <w:t>061.777</w:t>
            </w:r>
          </w:p>
        </w:tc>
        <w:tc>
          <w:tcPr>
            <w:tcW w:w="565" w:type="pct"/>
            <w:tcBorders>
              <w:top w:val="single" w:sz="8" w:space="0" w:color="auto"/>
              <w:left w:val="nil"/>
              <w:bottom w:val="single" w:sz="12" w:space="0" w:color="auto"/>
              <w:right w:val="nil"/>
            </w:tcBorders>
            <w:shd w:val="clear" w:color="auto" w:fill="auto"/>
            <w:vAlign w:val="bottom"/>
          </w:tcPr>
          <w:p w14:paraId="53B26E5B" w14:textId="551AF55C" w:rsidR="009666DA" w:rsidRPr="0001360A" w:rsidRDefault="009666DA" w:rsidP="009666DA">
            <w:pPr>
              <w:spacing w:after="0" w:line="240" w:lineRule="exact"/>
              <w:jc w:val="right"/>
              <w:rPr>
                <w:rFonts w:eastAsia="Times New Roman" w:cs="Arial"/>
                <w:b/>
                <w:bCs/>
                <w:color w:val="000000"/>
                <w:sz w:val="18"/>
                <w:szCs w:val="18"/>
              </w:rPr>
            </w:pPr>
            <w:r>
              <w:rPr>
                <w:rFonts w:eastAsia="Times New Roman" w:cs="Arial"/>
                <w:b/>
                <w:bCs/>
                <w:color w:val="000000"/>
                <w:sz w:val="18"/>
                <w:szCs w:val="18"/>
              </w:rPr>
              <w:t>17.639.546</w:t>
            </w:r>
          </w:p>
        </w:tc>
      </w:tr>
      <w:tr w:rsidR="009C0503" w14:paraId="4DFD86A6" w14:textId="77777777" w:rsidTr="00312975">
        <w:trPr>
          <w:trHeight w:val="298"/>
        </w:trPr>
        <w:tc>
          <w:tcPr>
            <w:tcW w:w="1250" w:type="pct"/>
          </w:tcPr>
          <w:p w14:paraId="67CF445A" w14:textId="77777777" w:rsidR="009C0503" w:rsidRDefault="009C0503" w:rsidP="009C0503">
            <w:pPr>
              <w:pStyle w:val="Thin"/>
              <w:spacing w:line="280" w:lineRule="exact"/>
              <w:rPr>
                <w:rFonts w:asciiTheme="minorHAnsi" w:hAnsiTheme="minorHAnsi" w:cs="Arial"/>
                <w:sz w:val="18"/>
                <w:szCs w:val="18"/>
              </w:rPr>
            </w:pPr>
          </w:p>
        </w:tc>
        <w:tc>
          <w:tcPr>
            <w:tcW w:w="525" w:type="pct"/>
            <w:tcBorders>
              <w:top w:val="single" w:sz="12" w:space="0" w:color="auto"/>
              <w:left w:val="nil"/>
              <w:bottom w:val="nil"/>
              <w:right w:val="nil"/>
            </w:tcBorders>
            <w:vAlign w:val="bottom"/>
          </w:tcPr>
          <w:p w14:paraId="157E22F7" w14:textId="77777777" w:rsidR="009C0503" w:rsidRPr="0001360A" w:rsidRDefault="009C0503">
            <w:pPr>
              <w:pStyle w:val="Thin"/>
              <w:spacing w:line="280" w:lineRule="exact"/>
              <w:jc w:val="right"/>
              <w:rPr>
                <w:rFonts w:asciiTheme="minorHAnsi" w:hAnsiTheme="minorHAnsi" w:cs="Arial"/>
                <w:spacing w:val="-2"/>
                <w:sz w:val="18"/>
                <w:szCs w:val="18"/>
                <w:lang w:val="en-GB"/>
              </w:rPr>
            </w:pPr>
          </w:p>
        </w:tc>
        <w:tc>
          <w:tcPr>
            <w:tcW w:w="526" w:type="pct"/>
            <w:tcBorders>
              <w:top w:val="single" w:sz="12" w:space="0" w:color="auto"/>
              <w:left w:val="nil"/>
              <w:bottom w:val="nil"/>
              <w:right w:val="nil"/>
            </w:tcBorders>
            <w:vAlign w:val="bottom"/>
          </w:tcPr>
          <w:p w14:paraId="23101149" w14:textId="77777777" w:rsidR="009C0503" w:rsidRPr="0001360A" w:rsidRDefault="009C0503">
            <w:pPr>
              <w:pStyle w:val="Thin"/>
              <w:spacing w:line="280" w:lineRule="exact"/>
              <w:jc w:val="right"/>
              <w:rPr>
                <w:rFonts w:asciiTheme="minorHAnsi" w:hAnsiTheme="minorHAnsi" w:cs="Arial"/>
                <w:spacing w:val="-2"/>
                <w:sz w:val="18"/>
                <w:szCs w:val="18"/>
                <w:lang w:val="en-GB"/>
              </w:rPr>
            </w:pPr>
          </w:p>
        </w:tc>
        <w:tc>
          <w:tcPr>
            <w:tcW w:w="525" w:type="pct"/>
            <w:tcBorders>
              <w:top w:val="single" w:sz="12" w:space="0" w:color="auto"/>
              <w:left w:val="nil"/>
              <w:bottom w:val="nil"/>
              <w:right w:val="nil"/>
            </w:tcBorders>
            <w:vAlign w:val="bottom"/>
          </w:tcPr>
          <w:p w14:paraId="3A73CFCC" w14:textId="77777777" w:rsidR="009C0503" w:rsidRPr="0001360A" w:rsidRDefault="009C0503">
            <w:pPr>
              <w:pStyle w:val="Thin"/>
              <w:spacing w:line="280" w:lineRule="exact"/>
              <w:jc w:val="right"/>
              <w:rPr>
                <w:rFonts w:asciiTheme="minorHAnsi" w:hAnsiTheme="minorHAnsi" w:cs="Arial"/>
                <w:spacing w:val="-2"/>
                <w:sz w:val="18"/>
                <w:szCs w:val="18"/>
                <w:lang w:val="en-GB"/>
              </w:rPr>
            </w:pPr>
          </w:p>
        </w:tc>
        <w:tc>
          <w:tcPr>
            <w:tcW w:w="526" w:type="pct"/>
            <w:tcBorders>
              <w:top w:val="single" w:sz="12" w:space="0" w:color="auto"/>
              <w:left w:val="nil"/>
              <w:bottom w:val="nil"/>
              <w:right w:val="nil"/>
            </w:tcBorders>
            <w:vAlign w:val="bottom"/>
          </w:tcPr>
          <w:p w14:paraId="07F79A62" w14:textId="77777777" w:rsidR="009C0503" w:rsidRPr="0001360A" w:rsidRDefault="009C0503">
            <w:pPr>
              <w:pStyle w:val="Thin"/>
              <w:spacing w:line="280" w:lineRule="exact"/>
              <w:jc w:val="right"/>
              <w:rPr>
                <w:rFonts w:asciiTheme="minorHAnsi" w:hAnsiTheme="minorHAnsi" w:cs="Arial"/>
                <w:spacing w:val="-2"/>
                <w:sz w:val="18"/>
                <w:szCs w:val="18"/>
                <w:lang w:val="en-GB"/>
              </w:rPr>
            </w:pPr>
          </w:p>
        </w:tc>
        <w:tc>
          <w:tcPr>
            <w:tcW w:w="525" w:type="pct"/>
            <w:tcBorders>
              <w:top w:val="single" w:sz="12" w:space="0" w:color="auto"/>
              <w:left w:val="nil"/>
              <w:bottom w:val="nil"/>
              <w:right w:val="nil"/>
            </w:tcBorders>
            <w:vAlign w:val="bottom"/>
          </w:tcPr>
          <w:p w14:paraId="40EA49D7" w14:textId="77777777" w:rsidR="009C0503" w:rsidRPr="0001360A" w:rsidRDefault="009C0503">
            <w:pPr>
              <w:pStyle w:val="Thin"/>
              <w:spacing w:line="280" w:lineRule="exact"/>
              <w:jc w:val="right"/>
              <w:rPr>
                <w:rFonts w:asciiTheme="minorHAnsi" w:hAnsiTheme="minorHAnsi" w:cs="Arial"/>
                <w:spacing w:val="-2"/>
                <w:sz w:val="18"/>
                <w:szCs w:val="18"/>
                <w:lang w:val="en-GB"/>
              </w:rPr>
            </w:pPr>
          </w:p>
        </w:tc>
        <w:tc>
          <w:tcPr>
            <w:tcW w:w="558" w:type="pct"/>
            <w:tcBorders>
              <w:top w:val="single" w:sz="12" w:space="0" w:color="auto"/>
              <w:left w:val="nil"/>
              <w:bottom w:val="nil"/>
              <w:right w:val="nil"/>
            </w:tcBorders>
            <w:vAlign w:val="bottom"/>
          </w:tcPr>
          <w:p w14:paraId="771F8555" w14:textId="77777777" w:rsidR="009C0503" w:rsidRPr="0001360A" w:rsidRDefault="009C0503">
            <w:pPr>
              <w:pStyle w:val="Thin"/>
              <w:spacing w:line="280" w:lineRule="exact"/>
              <w:jc w:val="right"/>
              <w:rPr>
                <w:rFonts w:asciiTheme="minorHAnsi" w:hAnsiTheme="minorHAnsi" w:cs="Arial"/>
                <w:spacing w:val="-2"/>
                <w:sz w:val="18"/>
                <w:szCs w:val="18"/>
                <w:lang w:val="en-GB"/>
              </w:rPr>
            </w:pPr>
          </w:p>
        </w:tc>
        <w:tc>
          <w:tcPr>
            <w:tcW w:w="565" w:type="pct"/>
            <w:tcBorders>
              <w:top w:val="single" w:sz="12" w:space="0" w:color="auto"/>
              <w:left w:val="nil"/>
              <w:bottom w:val="nil"/>
              <w:right w:val="nil"/>
            </w:tcBorders>
            <w:vAlign w:val="bottom"/>
          </w:tcPr>
          <w:p w14:paraId="0F4B11FB" w14:textId="77777777" w:rsidR="009C0503" w:rsidRPr="0001360A" w:rsidRDefault="009C0503">
            <w:pPr>
              <w:pStyle w:val="Thin"/>
              <w:spacing w:line="280" w:lineRule="exact"/>
              <w:jc w:val="right"/>
              <w:rPr>
                <w:rFonts w:asciiTheme="minorHAnsi" w:hAnsiTheme="minorHAnsi" w:cs="Arial"/>
                <w:spacing w:val="-2"/>
                <w:sz w:val="18"/>
                <w:szCs w:val="18"/>
                <w:lang w:val="en-GB"/>
              </w:rPr>
            </w:pPr>
          </w:p>
        </w:tc>
      </w:tr>
      <w:tr w:rsidR="009C0503" w14:paraId="3DB98C8C" w14:textId="77777777" w:rsidTr="00312975">
        <w:trPr>
          <w:trHeight w:val="284"/>
        </w:trPr>
        <w:tc>
          <w:tcPr>
            <w:tcW w:w="1250" w:type="pct"/>
            <w:hideMark/>
          </w:tcPr>
          <w:p w14:paraId="12237E8D" w14:textId="77777777" w:rsidR="009C0503" w:rsidRDefault="009C0503" w:rsidP="009C0503">
            <w:pPr>
              <w:pStyle w:val="TT"/>
              <w:spacing w:line="280" w:lineRule="exact"/>
              <w:rPr>
                <w:rFonts w:asciiTheme="minorHAnsi" w:hAnsiTheme="minorHAnsi" w:cs="Arial"/>
                <w:sz w:val="18"/>
                <w:szCs w:val="18"/>
                <w:lang w:val="hr-HR"/>
              </w:rPr>
            </w:pPr>
            <w:r>
              <w:rPr>
                <w:rFonts w:asciiTheme="minorHAnsi" w:hAnsiTheme="minorHAnsi" w:cs="Arial"/>
                <w:b/>
                <w:bCs/>
                <w:sz w:val="18"/>
                <w:szCs w:val="18"/>
                <w:lang w:val="hr-HR"/>
              </w:rPr>
              <w:t>Kapital</w:t>
            </w:r>
          </w:p>
        </w:tc>
        <w:tc>
          <w:tcPr>
            <w:tcW w:w="525" w:type="pct"/>
            <w:vAlign w:val="bottom"/>
          </w:tcPr>
          <w:p w14:paraId="76BA9E71" w14:textId="77777777" w:rsidR="009C0503" w:rsidRPr="0001360A" w:rsidRDefault="009C0503">
            <w:pPr>
              <w:pStyle w:val="TT"/>
              <w:spacing w:line="280" w:lineRule="exact"/>
              <w:jc w:val="right"/>
              <w:rPr>
                <w:rFonts w:asciiTheme="minorHAnsi" w:hAnsiTheme="minorHAnsi" w:cs="Arial"/>
                <w:spacing w:val="-2"/>
                <w:sz w:val="18"/>
                <w:szCs w:val="18"/>
              </w:rPr>
            </w:pPr>
          </w:p>
        </w:tc>
        <w:tc>
          <w:tcPr>
            <w:tcW w:w="526" w:type="pct"/>
            <w:vAlign w:val="bottom"/>
          </w:tcPr>
          <w:p w14:paraId="705D503B" w14:textId="77777777" w:rsidR="009C0503" w:rsidRPr="0001360A" w:rsidRDefault="009C0503">
            <w:pPr>
              <w:pStyle w:val="TT"/>
              <w:spacing w:line="280" w:lineRule="exact"/>
              <w:jc w:val="right"/>
              <w:rPr>
                <w:rFonts w:asciiTheme="minorHAnsi" w:hAnsiTheme="minorHAnsi" w:cs="Arial"/>
                <w:spacing w:val="-2"/>
                <w:sz w:val="18"/>
                <w:szCs w:val="18"/>
              </w:rPr>
            </w:pPr>
          </w:p>
        </w:tc>
        <w:tc>
          <w:tcPr>
            <w:tcW w:w="525" w:type="pct"/>
            <w:vAlign w:val="bottom"/>
          </w:tcPr>
          <w:p w14:paraId="46DBD8F3" w14:textId="77777777" w:rsidR="009C0503" w:rsidRPr="0001360A" w:rsidRDefault="009C0503">
            <w:pPr>
              <w:pStyle w:val="TT"/>
              <w:spacing w:line="280" w:lineRule="exact"/>
              <w:jc w:val="right"/>
              <w:rPr>
                <w:rFonts w:asciiTheme="minorHAnsi" w:hAnsiTheme="minorHAnsi" w:cs="Arial"/>
                <w:spacing w:val="-2"/>
                <w:sz w:val="18"/>
                <w:szCs w:val="18"/>
              </w:rPr>
            </w:pPr>
          </w:p>
        </w:tc>
        <w:tc>
          <w:tcPr>
            <w:tcW w:w="526" w:type="pct"/>
            <w:vAlign w:val="bottom"/>
          </w:tcPr>
          <w:p w14:paraId="7B1EC34E" w14:textId="77777777" w:rsidR="009C0503" w:rsidRPr="0001360A" w:rsidRDefault="009C0503">
            <w:pPr>
              <w:pStyle w:val="TT"/>
              <w:spacing w:line="280" w:lineRule="exact"/>
              <w:jc w:val="right"/>
              <w:rPr>
                <w:rFonts w:asciiTheme="minorHAnsi" w:hAnsiTheme="minorHAnsi" w:cs="Arial"/>
                <w:spacing w:val="-2"/>
                <w:sz w:val="18"/>
                <w:szCs w:val="18"/>
              </w:rPr>
            </w:pPr>
          </w:p>
        </w:tc>
        <w:tc>
          <w:tcPr>
            <w:tcW w:w="525" w:type="pct"/>
            <w:vAlign w:val="bottom"/>
          </w:tcPr>
          <w:p w14:paraId="66379027" w14:textId="77777777" w:rsidR="009C0503" w:rsidRPr="0001360A" w:rsidRDefault="009C0503">
            <w:pPr>
              <w:pStyle w:val="TT"/>
              <w:spacing w:line="280" w:lineRule="exact"/>
              <w:jc w:val="right"/>
              <w:rPr>
                <w:rFonts w:asciiTheme="minorHAnsi" w:hAnsiTheme="minorHAnsi" w:cs="Arial"/>
                <w:spacing w:val="-2"/>
                <w:sz w:val="18"/>
                <w:szCs w:val="18"/>
              </w:rPr>
            </w:pPr>
          </w:p>
        </w:tc>
        <w:tc>
          <w:tcPr>
            <w:tcW w:w="558" w:type="pct"/>
            <w:vAlign w:val="bottom"/>
          </w:tcPr>
          <w:p w14:paraId="7CA21C14" w14:textId="77777777" w:rsidR="009C0503" w:rsidRPr="0001360A" w:rsidRDefault="009C0503">
            <w:pPr>
              <w:pStyle w:val="TH"/>
              <w:spacing w:line="280" w:lineRule="exact"/>
              <w:jc w:val="right"/>
              <w:rPr>
                <w:rFonts w:asciiTheme="minorHAnsi" w:hAnsiTheme="minorHAnsi" w:cs="Arial"/>
                <w:sz w:val="18"/>
                <w:szCs w:val="18"/>
              </w:rPr>
            </w:pPr>
          </w:p>
        </w:tc>
        <w:tc>
          <w:tcPr>
            <w:tcW w:w="565" w:type="pct"/>
            <w:vAlign w:val="bottom"/>
          </w:tcPr>
          <w:p w14:paraId="721C2B64" w14:textId="77777777" w:rsidR="009C0503" w:rsidRPr="0001360A" w:rsidRDefault="009C0503">
            <w:pPr>
              <w:pStyle w:val="TT"/>
              <w:spacing w:line="280" w:lineRule="exact"/>
              <w:jc w:val="right"/>
              <w:rPr>
                <w:rFonts w:asciiTheme="minorHAnsi" w:hAnsiTheme="minorHAnsi" w:cs="Arial"/>
                <w:sz w:val="18"/>
                <w:szCs w:val="18"/>
              </w:rPr>
            </w:pPr>
          </w:p>
        </w:tc>
      </w:tr>
      <w:tr w:rsidR="003776B2" w:rsidRPr="002B6D35" w14:paraId="3AE17D00" w14:textId="77777777" w:rsidTr="00312975">
        <w:trPr>
          <w:trHeight w:val="298"/>
        </w:trPr>
        <w:tc>
          <w:tcPr>
            <w:tcW w:w="1250" w:type="pct"/>
            <w:hideMark/>
          </w:tcPr>
          <w:p w14:paraId="12519C05" w14:textId="77777777" w:rsidR="003776B2" w:rsidRDefault="003776B2" w:rsidP="003776B2">
            <w:pPr>
              <w:pStyle w:val="TT"/>
              <w:spacing w:line="280" w:lineRule="exact"/>
              <w:rPr>
                <w:rFonts w:asciiTheme="minorHAnsi" w:hAnsiTheme="minorHAnsi" w:cs="Arial"/>
                <w:sz w:val="18"/>
                <w:szCs w:val="18"/>
                <w:lang w:val="hr-HR"/>
              </w:rPr>
            </w:pPr>
            <w:r>
              <w:rPr>
                <w:rFonts w:asciiTheme="minorHAnsi" w:hAnsiTheme="minorHAnsi" w:cs="Arial"/>
                <w:sz w:val="18"/>
                <w:szCs w:val="18"/>
                <w:lang w:val="hr-HR"/>
              </w:rPr>
              <w:t>Osnivački kapital</w:t>
            </w:r>
          </w:p>
        </w:tc>
        <w:tc>
          <w:tcPr>
            <w:tcW w:w="525" w:type="pct"/>
            <w:tcBorders>
              <w:top w:val="nil"/>
              <w:left w:val="nil"/>
              <w:bottom w:val="nil"/>
              <w:right w:val="nil"/>
            </w:tcBorders>
            <w:shd w:val="clear" w:color="auto" w:fill="auto"/>
            <w:vAlign w:val="bottom"/>
          </w:tcPr>
          <w:p w14:paraId="5FDB3864" w14:textId="70F065C3" w:rsidR="003776B2" w:rsidRPr="000E5941" w:rsidRDefault="003776B2" w:rsidP="003776B2">
            <w:pPr>
              <w:pStyle w:val="CommentText"/>
              <w:spacing w:after="0" w:line="280" w:lineRule="exact"/>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780F4697" w14:textId="517CD55C" w:rsidR="003776B2" w:rsidRPr="000E5941" w:rsidRDefault="003776B2" w:rsidP="003776B2">
            <w:pPr>
              <w:pStyle w:val="CommentText"/>
              <w:spacing w:after="0" w:line="280" w:lineRule="exact"/>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7D140F21" w14:textId="3D121D70" w:rsidR="003776B2" w:rsidRPr="000E5941" w:rsidRDefault="003776B2" w:rsidP="003776B2">
            <w:pPr>
              <w:pStyle w:val="CommentText"/>
              <w:spacing w:after="0" w:line="280" w:lineRule="exact"/>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059563FF" w14:textId="7B00248E" w:rsidR="003776B2" w:rsidRPr="000E5941" w:rsidRDefault="003776B2" w:rsidP="003776B2">
            <w:pPr>
              <w:pStyle w:val="CommentText"/>
              <w:spacing w:after="0" w:line="280" w:lineRule="exact"/>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4F29DC9E" w14:textId="4F8757BE" w:rsidR="003776B2" w:rsidRPr="000E5941" w:rsidRDefault="003776B2" w:rsidP="003776B2">
            <w:pPr>
              <w:pStyle w:val="CommentText"/>
              <w:spacing w:after="0" w:line="280" w:lineRule="exact"/>
              <w:jc w:val="right"/>
              <w:rPr>
                <w:rFonts w:cs="Arial"/>
                <w:sz w:val="18"/>
                <w:szCs w:val="18"/>
              </w:rPr>
            </w:pPr>
            <w:r>
              <w:rPr>
                <w:rFonts w:cs="Arial"/>
                <w:sz w:val="18"/>
                <w:szCs w:val="18"/>
              </w:rPr>
              <w:t>-</w:t>
            </w:r>
          </w:p>
        </w:tc>
        <w:tc>
          <w:tcPr>
            <w:tcW w:w="558" w:type="pct"/>
            <w:shd w:val="clear" w:color="auto" w:fill="auto"/>
            <w:vAlign w:val="bottom"/>
          </w:tcPr>
          <w:p w14:paraId="14016EF8" w14:textId="0643A16B"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6.959.632</w:t>
            </w:r>
          </w:p>
        </w:tc>
        <w:tc>
          <w:tcPr>
            <w:tcW w:w="565" w:type="pct"/>
            <w:shd w:val="clear" w:color="auto" w:fill="auto"/>
            <w:vAlign w:val="bottom"/>
          </w:tcPr>
          <w:p w14:paraId="160AE435" w14:textId="6B9434EC"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6.959.632</w:t>
            </w:r>
          </w:p>
        </w:tc>
      </w:tr>
      <w:tr w:rsidR="003776B2" w:rsidRPr="002B6D35" w14:paraId="1F485765" w14:textId="77777777" w:rsidTr="00312975">
        <w:trPr>
          <w:trHeight w:val="284"/>
        </w:trPr>
        <w:tc>
          <w:tcPr>
            <w:tcW w:w="1250" w:type="pct"/>
            <w:hideMark/>
          </w:tcPr>
          <w:p w14:paraId="7785483B" w14:textId="77777777" w:rsidR="003776B2" w:rsidRDefault="003776B2" w:rsidP="003776B2">
            <w:pPr>
              <w:pStyle w:val="TT"/>
              <w:spacing w:line="280" w:lineRule="exact"/>
              <w:rPr>
                <w:rFonts w:asciiTheme="minorHAnsi" w:hAnsiTheme="minorHAnsi" w:cs="Arial"/>
                <w:sz w:val="18"/>
                <w:szCs w:val="18"/>
                <w:lang w:val="hr-HR"/>
              </w:rPr>
            </w:pPr>
            <w:r>
              <w:rPr>
                <w:rFonts w:asciiTheme="minorHAnsi" w:hAnsiTheme="minorHAnsi" w:cs="Arial"/>
                <w:sz w:val="18"/>
                <w:szCs w:val="18"/>
                <w:lang w:val="hr-HR"/>
              </w:rPr>
              <w:t>Zadržana dobit i rezerve</w:t>
            </w:r>
          </w:p>
        </w:tc>
        <w:tc>
          <w:tcPr>
            <w:tcW w:w="525" w:type="pct"/>
            <w:tcBorders>
              <w:top w:val="nil"/>
              <w:left w:val="nil"/>
              <w:bottom w:val="nil"/>
              <w:right w:val="nil"/>
            </w:tcBorders>
            <w:shd w:val="clear" w:color="auto" w:fill="auto"/>
            <w:vAlign w:val="bottom"/>
          </w:tcPr>
          <w:p w14:paraId="4F30FA77" w14:textId="7F33557C" w:rsidR="003776B2" w:rsidRPr="000E5941" w:rsidRDefault="003776B2" w:rsidP="003776B2">
            <w:pPr>
              <w:pStyle w:val="CommentText"/>
              <w:spacing w:after="0" w:line="280" w:lineRule="exact"/>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25058AF6" w14:textId="6F6366E3" w:rsidR="003776B2" w:rsidRPr="000E5941" w:rsidRDefault="003776B2" w:rsidP="003776B2">
            <w:pPr>
              <w:pStyle w:val="CommentText"/>
              <w:spacing w:after="0" w:line="280" w:lineRule="exact"/>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60B0D023" w14:textId="536F0195" w:rsidR="003776B2" w:rsidRPr="000E5941" w:rsidRDefault="003776B2" w:rsidP="003776B2">
            <w:pPr>
              <w:pStyle w:val="CommentText"/>
              <w:spacing w:after="0" w:line="280" w:lineRule="exact"/>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7A2DC792" w14:textId="649C995A" w:rsidR="003776B2" w:rsidRPr="000E5941" w:rsidRDefault="003776B2" w:rsidP="003776B2">
            <w:pPr>
              <w:pStyle w:val="CommentText"/>
              <w:spacing w:after="0" w:line="280" w:lineRule="exact"/>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494E2BB7" w14:textId="66B404EF" w:rsidR="003776B2" w:rsidRPr="000E5941" w:rsidRDefault="003776B2" w:rsidP="003776B2">
            <w:pPr>
              <w:pStyle w:val="CommentText"/>
              <w:spacing w:after="0" w:line="280" w:lineRule="exact"/>
              <w:jc w:val="right"/>
              <w:rPr>
                <w:rFonts w:cs="Arial"/>
                <w:sz w:val="18"/>
                <w:szCs w:val="18"/>
              </w:rPr>
            </w:pPr>
            <w:r>
              <w:rPr>
                <w:rFonts w:cs="Arial"/>
                <w:sz w:val="18"/>
                <w:szCs w:val="18"/>
              </w:rPr>
              <w:t>-</w:t>
            </w:r>
          </w:p>
        </w:tc>
        <w:tc>
          <w:tcPr>
            <w:tcW w:w="558" w:type="pct"/>
            <w:shd w:val="clear" w:color="auto" w:fill="auto"/>
            <w:vAlign w:val="bottom"/>
          </w:tcPr>
          <w:p w14:paraId="56EFF919" w14:textId="2FBF44A3"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2.995.656</w:t>
            </w:r>
          </w:p>
        </w:tc>
        <w:tc>
          <w:tcPr>
            <w:tcW w:w="565" w:type="pct"/>
            <w:shd w:val="clear" w:color="auto" w:fill="auto"/>
            <w:vAlign w:val="bottom"/>
          </w:tcPr>
          <w:p w14:paraId="4F342A51" w14:textId="57B8E147"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2.995.656</w:t>
            </w:r>
          </w:p>
        </w:tc>
      </w:tr>
      <w:tr w:rsidR="003776B2" w:rsidRPr="002B6D35" w14:paraId="5ABDF02E" w14:textId="77777777" w:rsidTr="00312975">
        <w:trPr>
          <w:trHeight w:val="284"/>
        </w:trPr>
        <w:tc>
          <w:tcPr>
            <w:tcW w:w="1250" w:type="pct"/>
            <w:hideMark/>
          </w:tcPr>
          <w:p w14:paraId="354D7BBC" w14:textId="77777777" w:rsidR="003776B2" w:rsidRDefault="003776B2" w:rsidP="003776B2">
            <w:pPr>
              <w:pStyle w:val="TT"/>
              <w:spacing w:line="280" w:lineRule="exact"/>
              <w:rPr>
                <w:rFonts w:asciiTheme="minorHAnsi" w:hAnsiTheme="minorHAnsi" w:cs="Arial"/>
                <w:sz w:val="18"/>
                <w:szCs w:val="18"/>
                <w:lang w:val="hr-HR"/>
              </w:rPr>
            </w:pPr>
            <w:r>
              <w:rPr>
                <w:rFonts w:asciiTheme="minorHAnsi" w:hAnsiTheme="minorHAnsi" w:cs="Arial"/>
                <w:sz w:val="18"/>
                <w:szCs w:val="18"/>
                <w:lang w:val="hr-HR"/>
              </w:rPr>
              <w:t>Ostale rezerve</w:t>
            </w:r>
          </w:p>
        </w:tc>
        <w:tc>
          <w:tcPr>
            <w:tcW w:w="525" w:type="pct"/>
            <w:tcBorders>
              <w:top w:val="nil"/>
              <w:left w:val="nil"/>
              <w:bottom w:val="nil"/>
              <w:right w:val="nil"/>
            </w:tcBorders>
            <w:shd w:val="clear" w:color="auto" w:fill="auto"/>
            <w:vAlign w:val="bottom"/>
          </w:tcPr>
          <w:p w14:paraId="78909E0E" w14:textId="53AD1203" w:rsidR="003776B2" w:rsidRPr="000E5941" w:rsidRDefault="003776B2" w:rsidP="003776B2">
            <w:pPr>
              <w:pStyle w:val="CommentText"/>
              <w:spacing w:after="0" w:line="280" w:lineRule="exact"/>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5F0C7938" w14:textId="3198EAA3" w:rsidR="003776B2" w:rsidRPr="000E5941" w:rsidRDefault="003776B2" w:rsidP="003776B2">
            <w:pPr>
              <w:pStyle w:val="CommentText"/>
              <w:spacing w:after="0" w:line="280" w:lineRule="exact"/>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7C93362D" w14:textId="526E381F" w:rsidR="003776B2" w:rsidRPr="000E5941" w:rsidRDefault="003776B2" w:rsidP="003776B2">
            <w:pPr>
              <w:pStyle w:val="CommentText"/>
              <w:spacing w:after="0" w:line="280" w:lineRule="exact"/>
              <w:jc w:val="right"/>
              <w:rPr>
                <w:rFonts w:cs="Arial"/>
                <w:sz w:val="18"/>
                <w:szCs w:val="18"/>
              </w:rPr>
            </w:pPr>
            <w:r>
              <w:rPr>
                <w:rFonts w:cs="Arial"/>
                <w:sz w:val="18"/>
                <w:szCs w:val="18"/>
              </w:rPr>
              <w:t>-</w:t>
            </w:r>
          </w:p>
        </w:tc>
        <w:tc>
          <w:tcPr>
            <w:tcW w:w="526" w:type="pct"/>
            <w:tcBorders>
              <w:top w:val="nil"/>
              <w:left w:val="nil"/>
              <w:bottom w:val="nil"/>
              <w:right w:val="nil"/>
            </w:tcBorders>
            <w:shd w:val="clear" w:color="auto" w:fill="auto"/>
            <w:vAlign w:val="bottom"/>
          </w:tcPr>
          <w:p w14:paraId="36925E93" w14:textId="696BCCFC" w:rsidR="003776B2" w:rsidRPr="000E5941" w:rsidRDefault="003776B2" w:rsidP="003776B2">
            <w:pPr>
              <w:pStyle w:val="CommentText"/>
              <w:spacing w:after="0" w:line="280" w:lineRule="exact"/>
              <w:jc w:val="right"/>
              <w:rPr>
                <w:rFonts w:cs="Arial"/>
                <w:sz w:val="18"/>
                <w:szCs w:val="18"/>
              </w:rPr>
            </w:pPr>
            <w:r>
              <w:rPr>
                <w:rFonts w:cs="Arial"/>
                <w:sz w:val="18"/>
                <w:szCs w:val="18"/>
              </w:rPr>
              <w:t>-</w:t>
            </w:r>
          </w:p>
        </w:tc>
        <w:tc>
          <w:tcPr>
            <w:tcW w:w="525" w:type="pct"/>
            <w:tcBorders>
              <w:top w:val="nil"/>
              <w:left w:val="nil"/>
              <w:bottom w:val="nil"/>
              <w:right w:val="nil"/>
            </w:tcBorders>
            <w:shd w:val="clear" w:color="auto" w:fill="auto"/>
            <w:vAlign w:val="bottom"/>
          </w:tcPr>
          <w:p w14:paraId="2842FB8E" w14:textId="67A3C393" w:rsidR="003776B2" w:rsidRPr="000E5941" w:rsidRDefault="003776B2" w:rsidP="003776B2">
            <w:pPr>
              <w:pStyle w:val="CommentText"/>
              <w:spacing w:after="0" w:line="280" w:lineRule="exact"/>
              <w:jc w:val="right"/>
              <w:rPr>
                <w:rFonts w:cs="Arial"/>
                <w:sz w:val="18"/>
                <w:szCs w:val="18"/>
              </w:rPr>
            </w:pPr>
            <w:r>
              <w:rPr>
                <w:rFonts w:cs="Arial"/>
                <w:sz w:val="18"/>
                <w:szCs w:val="18"/>
              </w:rPr>
              <w:t>-</w:t>
            </w:r>
          </w:p>
        </w:tc>
        <w:tc>
          <w:tcPr>
            <w:tcW w:w="558" w:type="pct"/>
            <w:shd w:val="clear" w:color="auto" w:fill="auto"/>
            <w:vAlign w:val="bottom"/>
          </w:tcPr>
          <w:p w14:paraId="2CB93B5F" w14:textId="6AA7463E"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69.655</w:t>
            </w:r>
          </w:p>
        </w:tc>
        <w:tc>
          <w:tcPr>
            <w:tcW w:w="565" w:type="pct"/>
            <w:shd w:val="clear" w:color="auto" w:fill="auto"/>
            <w:vAlign w:val="bottom"/>
          </w:tcPr>
          <w:p w14:paraId="59277B9C" w14:textId="2E3EB67B"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69.655</w:t>
            </w:r>
          </w:p>
        </w:tc>
      </w:tr>
      <w:tr w:rsidR="003776B2" w:rsidRPr="002B6D35" w14:paraId="69570BBB" w14:textId="77777777" w:rsidTr="00312975">
        <w:trPr>
          <w:trHeight w:val="298"/>
        </w:trPr>
        <w:tc>
          <w:tcPr>
            <w:tcW w:w="1250" w:type="pct"/>
            <w:hideMark/>
          </w:tcPr>
          <w:p w14:paraId="43B3ECC0" w14:textId="77777777" w:rsidR="003776B2" w:rsidRDefault="003776B2" w:rsidP="003776B2">
            <w:pPr>
              <w:pStyle w:val="TT"/>
              <w:spacing w:line="280" w:lineRule="exact"/>
              <w:rPr>
                <w:rFonts w:asciiTheme="minorHAnsi" w:hAnsiTheme="minorHAnsi" w:cs="Arial"/>
                <w:sz w:val="18"/>
                <w:szCs w:val="18"/>
                <w:lang w:val="hr-HR"/>
              </w:rPr>
            </w:pPr>
            <w:r>
              <w:rPr>
                <w:rFonts w:asciiTheme="minorHAnsi" w:hAnsiTheme="minorHAnsi" w:cs="Arial"/>
                <w:sz w:val="18"/>
                <w:szCs w:val="18"/>
                <w:lang w:val="hr-HR"/>
              </w:rPr>
              <w:t>Dobit tekuće godine</w:t>
            </w:r>
          </w:p>
        </w:tc>
        <w:tc>
          <w:tcPr>
            <w:tcW w:w="525" w:type="pct"/>
            <w:tcBorders>
              <w:top w:val="nil"/>
              <w:left w:val="nil"/>
              <w:bottom w:val="nil"/>
              <w:right w:val="nil"/>
            </w:tcBorders>
            <w:shd w:val="clear" w:color="auto" w:fill="auto"/>
            <w:vAlign w:val="bottom"/>
          </w:tcPr>
          <w:p w14:paraId="688E6BFF" w14:textId="7658CE1B" w:rsidR="003776B2" w:rsidRPr="0001360A" w:rsidRDefault="003776B2" w:rsidP="003776B2">
            <w:pPr>
              <w:pStyle w:val="CommentText"/>
              <w:spacing w:after="0" w:line="280" w:lineRule="exact"/>
              <w:jc w:val="right"/>
              <w:rPr>
                <w:rFonts w:cs="Arial"/>
                <w:spacing w:val="-2"/>
                <w:sz w:val="18"/>
                <w:szCs w:val="18"/>
                <w:lang w:val="en-GB"/>
              </w:rPr>
            </w:pPr>
            <w:r>
              <w:rPr>
                <w:rFonts w:cs="Arial"/>
                <w:sz w:val="18"/>
                <w:szCs w:val="18"/>
              </w:rPr>
              <w:t>-</w:t>
            </w:r>
          </w:p>
        </w:tc>
        <w:tc>
          <w:tcPr>
            <w:tcW w:w="526" w:type="pct"/>
            <w:tcBorders>
              <w:top w:val="nil"/>
              <w:left w:val="nil"/>
              <w:bottom w:val="nil"/>
              <w:right w:val="nil"/>
            </w:tcBorders>
            <w:shd w:val="clear" w:color="auto" w:fill="auto"/>
            <w:vAlign w:val="bottom"/>
          </w:tcPr>
          <w:p w14:paraId="3AD20535" w14:textId="47E7E7B5" w:rsidR="003776B2" w:rsidRPr="0001360A" w:rsidRDefault="003776B2" w:rsidP="003776B2">
            <w:pPr>
              <w:pStyle w:val="CommentText"/>
              <w:spacing w:after="0" w:line="280" w:lineRule="exact"/>
              <w:jc w:val="right"/>
              <w:rPr>
                <w:rFonts w:cs="Arial"/>
                <w:spacing w:val="-2"/>
                <w:sz w:val="18"/>
                <w:szCs w:val="18"/>
                <w:lang w:val="en-GB"/>
              </w:rPr>
            </w:pPr>
            <w:r>
              <w:rPr>
                <w:rFonts w:cs="Arial"/>
                <w:sz w:val="18"/>
                <w:szCs w:val="18"/>
              </w:rPr>
              <w:t>-</w:t>
            </w:r>
          </w:p>
        </w:tc>
        <w:tc>
          <w:tcPr>
            <w:tcW w:w="525" w:type="pct"/>
            <w:tcBorders>
              <w:top w:val="nil"/>
              <w:left w:val="nil"/>
              <w:bottom w:val="nil"/>
              <w:right w:val="nil"/>
            </w:tcBorders>
            <w:shd w:val="clear" w:color="auto" w:fill="auto"/>
            <w:vAlign w:val="bottom"/>
          </w:tcPr>
          <w:p w14:paraId="261E877D" w14:textId="26B0D502" w:rsidR="003776B2" w:rsidRPr="0001360A" w:rsidRDefault="003776B2" w:rsidP="003776B2">
            <w:pPr>
              <w:pStyle w:val="CommentText"/>
              <w:spacing w:after="0" w:line="280" w:lineRule="exact"/>
              <w:jc w:val="right"/>
              <w:rPr>
                <w:rFonts w:cs="Arial"/>
                <w:spacing w:val="-2"/>
                <w:sz w:val="18"/>
                <w:szCs w:val="18"/>
                <w:lang w:val="en-GB"/>
              </w:rPr>
            </w:pPr>
            <w:r>
              <w:rPr>
                <w:rFonts w:cs="Arial"/>
                <w:sz w:val="18"/>
                <w:szCs w:val="18"/>
              </w:rPr>
              <w:t>-</w:t>
            </w:r>
          </w:p>
        </w:tc>
        <w:tc>
          <w:tcPr>
            <w:tcW w:w="526" w:type="pct"/>
            <w:tcBorders>
              <w:top w:val="nil"/>
              <w:left w:val="nil"/>
              <w:bottom w:val="nil"/>
              <w:right w:val="nil"/>
            </w:tcBorders>
            <w:shd w:val="clear" w:color="auto" w:fill="auto"/>
            <w:vAlign w:val="bottom"/>
          </w:tcPr>
          <w:p w14:paraId="7C4099F4" w14:textId="68E887CA" w:rsidR="003776B2" w:rsidRPr="0001360A" w:rsidRDefault="003776B2" w:rsidP="003776B2">
            <w:pPr>
              <w:pStyle w:val="CommentText"/>
              <w:spacing w:after="0" w:line="280" w:lineRule="exact"/>
              <w:jc w:val="right"/>
              <w:rPr>
                <w:rFonts w:cs="Arial"/>
                <w:spacing w:val="-2"/>
                <w:sz w:val="18"/>
                <w:szCs w:val="18"/>
                <w:lang w:val="en-GB"/>
              </w:rPr>
            </w:pPr>
            <w:r>
              <w:rPr>
                <w:rFonts w:cs="Arial"/>
                <w:sz w:val="18"/>
                <w:szCs w:val="18"/>
              </w:rPr>
              <w:t>-</w:t>
            </w:r>
          </w:p>
        </w:tc>
        <w:tc>
          <w:tcPr>
            <w:tcW w:w="525" w:type="pct"/>
            <w:tcBorders>
              <w:top w:val="nil"/>
              <w:left w:val="nil"/>
              <w:bottom w:val="nil"/>
              <w:right w:val="nil"/>
            </w:tcBorders>
            <w:shd w:val="clear" w:color="auto" w:fill="auto"/>
            <w:vAlign w:val="bottom"/>
          </w:tcPr>
          <w:p w14:paraId="555F13C9" w14:textId="3BAE36F6" w:rsidR="003776B2" w:rsidRPr="0001360A" w:rsidRDefault="003776B2" w:rsidP="003776B2">
            <w:pPr>
              <w:pStyle w:val="CommentText"/>
              <w:spacing w:after="0" w:line="280" w:lineRule="exact"/>
              <w:jc w:val="right"/>
              <w:rPr>
                <w:rFonts w:cs="Arial"/>
                <w:spacing w:val="-2"/>
                <w:sz w:val="18"/>
                <w:szCs w:val="18"/>
                <w:lang w:val="en-GB"/>
              </w:rPr>
            </w:pPr>
            <w:r>
              <w:rPr>
                <w:rFonts w:cs="Arial"/>
                <w:sz w:val="18"/>
                <w:szCs w:val="18"/>
              </w:rPr>
              <w:t>-</w:t>
            </w:r>
          </w:p>
        </w:tc>
        <w:tc>
          <w:tcPr>
            <w:tcW w:w="558" w:type="pct"/>
            <w:tcBorders>
              <w:top w:val="nil"/>
              <w:left w:val="nil"/>
              <w:bottom w:val="single" w:sz="4" w:space="0" w:color="auto"/>
              <w:right w:val="nil"/>
            </w:tcBorders>
            <w:shd w:val="clear" w:color="auto" w:fill="auto"/>
            <w:vAlign w:val="bottom"/>
          </w:tcPr>
          <w:p w14:paraId="3B86E075" w14:textId="36EB4D1F"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129.356</w:t>
            </w:r>
          </w:p>
        </w:tc>
        <w:tc>
          <w:tcPr>
            <w:tcW w:w="565" w:type="pct"/>
            <w:tcBorders>
              <w:top w:val="nil"/>
              <w:left w:val="nil"/>
              <w:bottom w:val="single" w:sz="4" w:space="0" w:color="auto"/>
              <w:right w:val="nil"/>
            </w:tcBorders>
            <w:shd w:val="clear" w:color="auto" w:fill="auto"/>
            <w:vAlign w:val="bottom"/>
          </w:tcPr>
          <w:p w14:paraId="405DCB8F" w14:textId="7BFA8031" w:rsidR="003776B2" w:rsidRPr="0001360A" w:rsidRDefault="003776B2" w:rsidP="003776B2">
            <w:pPr>
              <w:tabs>
                <w:tab w:val="left" w:pos="-720"/>
              </w:tabs>
              <w:suppressAutoHyphens/>
              <w:spacing w:after="0" w:line="280" w:lineRule="exact"/>
              <w:ind w:right="-5"/>
              <w:jc w:val="right"/>
              <w:rPr>
                <w:rFonts w:cs="Arial"/>
                <w:sz w:val="18"/>
                <w:szCs w:val="18"/>
              </w:rPr>
            </w:pPr>
            <w:r>
              <w:rPr>
                <w:rFonts w:cs="Arial"/>
                <w:sz w:val="18"/>
                <w:szCs w:val="18"/>
              </w:rPr>
              <w:t>129.356</w:t>
            </w:r>
          </w:p>
        </w:tc>
      </w:tr>
      <w:tr w:rsidR="003776B2" w:rsidRPr="002B6D35" w14:paraId="647D4CC2" w14:textId="77777777" w:rsidTr="00312975">
        <w:trPr>
          <w:trHeight w:val="284"/>
        </w:trPr>
        <w:tc>
          <w:tcPr>
            <w:tcW w:w="1250" w:type="pct"/>
            <w:hideMark/>
          </w:tcPr>
          <w:p w14:paraId="4B69FC85" w14:textId="77777777" w:rsidR="003776B2" w:rsidRDefault="003776B2" w:rsidP="003776B2">
            <w:pPr>
              <w:pStyle w:val="TT"/>
              <w:spacing w:line="280" w:lineRule="exact"/>
              <w:rPr>
                <w:rFonts w:asciiTheme="minorHAnsi" w:hAnsiTheme="minorHAnsi" w:cs="Arial"/>
                <w:sz w:val="18"/>
                <w:szCs w:val="18"/>
                <w:lang w:val="hr-HR"/>
              </w:rPr>
            </w:pPr>
            <w:r>
              <w:rPr>
                <w:rFonts w:asciiTheme="minorHAnsi" w:hAnsiTheme="minorHAnsi" w:cs="Arial"/>
                <w:b/>
                <w:bCs/>
                <w:sz w:val="18"/>
                <w:szCs w:val="18"/>
                <w:lang w:val="hr-HR"/>
              </w:rPr>
              <w:t xml:space="preserve">Ukupni kapital </w:t>
            </w:r>
          </w:p>
        </w:tc>
        <w:tc>
          <w:tcPr>
            <w:tcW w:w="525" w:type="pct"/>
            <w:tcBorders>
              <w:top w:val="single" w:sz="6" w:space="0" w:color="auto"/>
              <w:left w:val="nil"/>
              <w:bottom w:val="single" w:sz="12" w:space="0" w:color="auto"/>
              <w:right w:val="nil"/>
            </w:tcBorders>
            <w:vAlign w:val="bottom"/>
          </w:tcPr>
          <w:p w14:paraId="3C095042" w14:textId="3B38D92F" w:rsidR="003776B2" w:rsidRPr="00BE6BE5" w:rsidRDefault="003776B2" w:rsidP="003776B2">
            <w:pPr>
              <w:pStyle w:val="Tot"/>
              <w:spacing w:line="280" w:lineRule="exact"/>
              <w:jc w:val="right"/>
              <w:rPr>
                <w:rFonts w:asciiTheme="minorHAnsi" w:hAnsiTheme="minorHAnsi" w:cs="Arial"/>
                <w:b/>
                <w:bCs/>
                <w:spacing w:val="-2"/>
                <w:sz w:val="18"/>
                <w:szCs w:val="18"/>
              </w:rPr>
            </w:pPr>
            <w:r>
              <w:rPr>
                <w:rFonts w:asciiTheme="minorHAnsi" w:hAnsiTheme="minorHAnsi" w:cs="Arial"/>
                <w:b/>
                <w:bCs/>
                <w:spacing w:val="-2"/>
                <w:sz w:val="18"/>
                <w:szCs w:val="18"/>
                <w:lang w:val="pl-PL"/>
              </w:rPr>
              <w:t>-</w:t>
            </w:r>
          </w:p>
        </w:tc>
        <w:tc>
          <w:tcPr>
            <w:tcW w:w="526" w:type="pct"/>
            <w:tcBorders>
              <w:top w:val="single" w:sz="6" w:space="0" w:color="auto"/>
              <w:left w:val="nil"/>
              <w:bottom w:val="single" w:sz="12" w:space="0" w:color="auto"/>
              <w:right w:val="nil"/>
            </w:tcBorders>
            <w:vAlign w:val="bottom"/>
          </w:tcPr>
          <w:p w14:paraId="4C58DAED" w14:textId="0EF0BAF7" w:rsidR="003776B2" w:rsidRPr="00BE6BE5" w:rsidRDefault="003776B2" w:rsidP="003776B2">
            <w:pPr>
              <w:pStyle w:val="Tot"/>
              <w:spacing w:line="280" w:lineRule="exact"/>
              <w:jc w:val="right"/>
              <w:rPr>
                <w:rFonts w:asciiTheme="minorHAnsi" w:hAnsiTheme="minorHAnsi" w:cs="Arial"/>
                <w:b/>
                <w:bCs/>
                <w:spacing w:val="-2"/>
                <w:sz w:val="18"/>
                <w:szCs w:val="18"/>
              </w:rPr>
            </w:pPr>
            <w:r>
              <w:rPr>
                <w:rFonts w:asciiTheme="minorHAnsi" w:hAnsiTheme="minorHAnsi" w:cs="Arial"/>
                <w:b/>
                <w:bCs/>
                <w:spacing w:val="-2"/>
                <w:sz w:val="18"/>
                <w:szCs w:val="18"/>
                <w:lang w:val="pl-PL"/>
              </w:rPr>
              <w:t>-</w:t>
            </w:r>
          </w:p>
        </w:tc>
        <w:tc>
          <w:tcPr>
            <w:tcW w:w="525" w:type="pct"/>
            <w:tcBorders>
              <w:top w:val="single" w:sz="6" w:space="0" w:color="auto"/>
              <w:left w:val="nil"/>
              <w:bottom w:val="single" w:sz="12" w:space="0" w:color="auto"/>
              <w:right w:val="nil"/>
            </w:tcBorders>
            <w:vAlign w:val="bottom"/>
          </w:tcPr>
          <w:p w14:paraId="07D3A5F8" w14:textId="444155DF" w:rsidR="003776B2" w:rsidRPr="00BE6BE5" w:rsidRDefault="003776B2" w:rsidP="003776B2">
            <w:pPr>
              <w:pStyle w:val="Tot"/>
              <w:spacing w:line="280" w:lineRule="exact"/>
              <w:jc w:val="right"/>
              <w:rPr>
                <w:rFonts w:asciiTheme="minorHAnsi" w:hAnsiTheme="minorHAnsi" w:cs="Arial"/>
                <w:b/>
                <w:bCs/>
                <w:spacing w:val="-2"/>
                <w:sz w:val="18"/>
                <w:szCs w:val="18"/>
              </w:rPr>
            </w:pPr>
            <w:r>
              <w:rPr>
                <w:rFonts w:asciiTheme="minorHAnsi" w:hAnsiTheme="minorHAnsi" w:cs="Arial"/>
                <w:b/>
                <w:bCs/>
                <w:spacing w:val="-2"/>
                <w:sz w:val="18"/>
                <w:szCs w:val="18"/>
                <w:lang w:val="pl-PL"/>
              </w:rPr>
              <w:t>-</w:t>
            </w:r>
          </w:p>
        </w:tc>
        <w:tc>
          <w:tcPr>
            <w:tcW w:w="526" w:type="pct"/>
            <w:tcBorders>
              <w:top w:val="single" w:sz="6" w:space="0" w:color="auto"/>
              <w:left w:val="nil"/>
              <w:bottom w:val="single" w:sz="12" w:space="0" w:color="auto"/>
              <w:right w:val="nil"/>
            </w:tcBorders>
            <w:vAlign w:val="bottom"/>
          </w:tcPr>
          <w:p w14:paraId="5D92D5D6" w14:textId="19881213" w:rsidR="003776B2" w:rsidRPr="00BE6BE5" w:rsidRDefault="003776B2" w:rsidP="003776B2">
            <w:pPr>
              <w:pStyle w:val="Tot"/>
              <w:spacing w:line="280" w:lineRule="exact"/>
              <w:jc w:val="right"/>
              <w:rPr>
                <w:rFonts w:asciiTheme="minorHAnsi" w:hAnsiTheme="minorHAnsi" w:cs="Arial"/>
                <w:b/>
                <w:bCs/>
                <w:spacing w:val="-2"/>
                <w:sz w:val="18"/>
                <w:szCs w:val="18"/>
              </w:rPr>
            </w:pPr>
            <w:r>
              <w:rPr>
                <w:rFonts w:asciiTheme="minorHAnsi" w:hAnsiTheme="minorHAnsi" w:cs="Arial"/>
                <w:b/>
                <w:bCs/>
                <w:spacing w:val="-2"/>
                <w:sz w:val="18"/>
                <w:szCs w:val="18"/>
                <w:lang w:val="pl-PL"/>
              </w:rPr>
              <w:t>-</w:t>
            </w:r>
          </w:p>
        </w:tc>
        <w:tc>
          <w:tcPr>
            <w:tcW w:w="525" w:type="pct"/>
            <w:tcBorders>
              <w:top w:val="single" w:sz="6" w:space="0" w:color="auto"/>
              <w:left w:val="nil"/>
              <w:bottom w:val="single" w:sz="12" w:space="0" w:color="auto"/>
              <w:right w:val="nil"/>
            </w:tcBorders>
            <w:vAlign w:val="bottom"/>
          </w:tcPr>
          <w:p w14:paraId="65225C2A" w14:textId="142A1003" w:rsidR="003776B2" w:rsidRPr="00BE6BE5" w:rsidRDefault="003776B2" w:rsidP="003776B2">
            <w:pPr>
              <w:pStyle w:val="Tot"/>
              <w:spacing w:line="280" w:lineRule="exact"/>
              <w:jc w:val="right"/>
              <w:rPr>
                <w:rFonts w:asciiTheme="minorHAnsi" w:hAnsiTheme="minorHAnsi" w:cs="Arial"/>
                <w:b/>
                <w:bCs/>
                <w:spacing w:val="-2"/>
                <w:sz w:val="18"/>
                <w:szCs w:val="18"/>
              </w:rPr>
            </w:pPr>
            <w:r>
              <w:rPr>
                <w:rFonts w:asciiTheme="minorHAnsi" w:hAnsiTheme="minorHAnsi" w:cs="Arial"/>
                <w:b/>
                <w:bCs/>
                <w:spacing w:val="-2"/>
                <w:sz w:val="18"/>
                <w:szCs w:val="18"/>
                <w:lang w:val="pl-PL"/>
              </w:rPr>
              <w:t>-</w:t>
            </w:r>
          </w:p>
        </w:tc>
        <w:tc>
          <w:tcPr>
            <w:tcW w:w="558" w:type="pct"/>
            <w:tcBorders>
              <w:top w:val="single" w:sz="4" w:space="0" w:color="auto"/>
              <w:left w:val="nil"/>
              <w:bottom w:val="single" w:sz="12" w:space="0" w:color="auto"/>
              <w:right w:val="nil"/>
            </w:tcBorders>
            <w:shd w:val="clear" w:color="auto" w:fill="auto"/>
            <w:vAlign w:val="bottom"/>
          </w:tcPr>
          <w:p w14:paraId="7236A6E6" w14:textId="5414C126" w:rsidR="003776B2" w:rsidRPr="00BE6BE5" w:rsidRDefault="003776B2" w:rsidP="003776B2">
            <w:pPr>
              <w:spacing w:after="0" w:line="240" w:lineRule="exact"/>
              <w:jc w:val="right"/>
              <w:rPr>
                <w:rFonts w:eastAsia="Times New Roman" w:cs="Arial"/>
                <w:b/>
                <w:bCs/>
                <w:color w:val="000000"/>
                <w:sz w:val="18"/>
                <w:szCs w:val="18"/>
              </w:rPr>
            </w:pPr>
            <w:r>
              <w:rPr>
                <w:rFonts w:cs="Arial"/>
                <w:b/>
                <w:spacing w:val="-2"/>
                <w:sz w:val="18"/>
                <w:szCs w:val="18"/>
              </w:rPr>
              <w:t>10.154.299</w:t>
            </w:r>
          </w:p>
        </w:tc>
        <w:tc>
          <w:tcPr>
            <w:tcW w:w="565" w:type="pct"/>
            <w:tcBorders>
              <w:top w:val="single" w:sz="4" w:space="0" w:color="auto"/>
              <w:left w:val="nil"/>
              <w:bottom w:val="single" w:sz="12" w:space="0" w:color="auto"/>
              <w:right w:val="nil"/>
            </w:tcBorders>
            <w:shd w:val="clear" w:color="auto" w:fill="auto"/>
            <w:vAlign w:val="bottom"/>
          </w:tcPr>
          <w:p w14:paraId="35ADB81F" w14:textId="3B42B7A1" w:rsidR="003776B2" w:rsidRPr="00BE6BE5" w:rsidRDefault="003776B2" w:rsidP="003776B2">
            <w:pPr>
              <w:spacing w:after="0" w:line="240" w:lineRule="exact"/>
              <w:jc w:val="right"/>
              <w:rPr>
                <w:rFonts w:eastAsia="Times New Roman" w:cs="Arial"/>
                <w:b/>
                <w:bCs/>
                <w:color w:val="000000"/>
                <w:sz w:val="18"/>
                <w:szCs w:val="18"/>
              </w:rPr>
            </w:pPr>
            <w:r>
              <w:rPr>
                <w:rFonts w:cs="Arial"/>
                <w:b/>
                <w:spacing w:val="-2"/>
                <w:sz w:val="18"/>
                <w:szCs w:val="18"/>
              </w:rPr>
              <w:t>10.154.299</w:t>
            </w:r>
          </w:p>
        </w:tc>
      </w:tr>
      <w:tr w:rsidR="003776B2" w14:paraId="38CECA14" w14:textId="77777777" w:rsidTr="00312975">
        <w:trPr>
          <w:trHeight w:val="284"/>
        </w:trPr>
        <w:tc>
          <w:tcPr>
            <w:tcW w:w="1250" w:type="pct"/>
            <w:hideMark/>
          </w:tcPr>
          <w:p w14:paraId="35F6A3F7" w14:textId="77777777" w:rsidR="003776B2" w:rsidRDefault="003776B2" w:rsidP="003776B2">
            <w:pPr>
              <w:pStyle w:val="TT"/>
              <w:spacing w:line="280" w:lineRule="exact"/>
              <w:rPr>
                <w:rFonts w:asciiTheme="minorHAnsi" w:hAnsiTheme="minorHAnsi" w:cs="Arial"/>
                <w:sz w:val="18"/>
                <w:szCs w:val="18"/>
                <w:lang w:val="hr-HR"/>
              </w:rPr>
            </w:pPr>
            <w:r>
              <w:rPr>
                <w:rFonts w:asciiTheme="minorHAnsi" w:hAnsiTheme="minorHAnsi" w:cs="Arial"/>
                <w:sz w:val="18"/>
                <w:szCs w:val="18"/>
                <w:lang w:val="hr-HR"/>
              </w:rPr>
              <w:t>Garantni fond</w:t>
            </w:r>
          </w:p>
        </w:tc>
        <w:tc>
          <w:tcPr>
            <w:tcW w:w="525" w:type="pct"/>
            <w:tcBorders>
              <w:top w:val="nil"/>
              <w:left w:val="nil"/>
              <w:bottom w:val="single" w:sz="6" w:space="0" w:color="auto"/>
              <w:right w:val="nil"/>
            </w:tcBorders>
            <w:vAlign w:val="center"/>
          </w:tcPr>
          <w:p w14:paraId="51FD0D60" w14:textId="460573AE" w:rsidR="003776B2" w:rsidRPr="00BE6BE5" w:rsidRDefault="003776B2" w:rsidP="003776B2">
            <w:pPr>
              <w:pStyle w:val="Tot"/>
              <w:spacing w:line="280" w:lineRule="exact"/>
              <w:jc w:val="right"/>
              <w:rPr>
                <w:rFonts w:asciiTheme="minorHAnsi" w:hAnsiTheme="minorHAnsi" w:cs="Arial"/>
                <w:spacing w:val="-2"/>
                <w:sz w:val="18"/>
                <w:szCs w:val="18"/>
              </w:rPr>
            </w:pPr>
            <w:r>
              <w:rPr>
                <w:rFonts w:asciiTheme="minorHAnsi" w:hAnsiTheme="minorHAnsi" w:cs="Arial"/>
                <w:spacing w:val="-2"/>
                <w:sz w:val="18"/>
                <w:szCs w:val="18"/>
              </w:rPr>
              <w:t>-</w:t>
            </w:r>
          </w:p>
        </w:tc>
        <w:tc>
          <w:tcPr>
            <w:tcW w:w="526" w:type="pct"/>
            <w:tcBorders>
              <w:top w:val="nil"/>
              <w:left w:val="nil"/>
              <w:bottom w:val="single" w:sz="6" w:space="0" w:color="auto"/>
              <w:right w:val="nil"/>
            </w:tcBorders>
            <w:vAlign w:val="center"/>
          </w:tcPr>
          <w:p w14:paraId="73F70320" w14:textId="5A33AA28" w:rsidR="003776B2" w:rsidRPr="00BE6BE5" w:rsidRDefault="003776B2" w:rsidP="003776B2">
            <w:pPr>
              <w:pStyle w:val="Tot"/>
              <w:spacing w:line="280" w:lineRule="exact"/>
              <w:jc w:val="right"/>
              <w:rPr>
                <w:rFonts w:asciiTheme="minorHAnsi" w:hAnsiTheme="minorHAnsi" w:cs="Arial"/>
                <w:spacing w:val="-2"/>
                <w:sz w:val="18"/>
                <w:szCs w:val="18"/>
              </w:rPr>
            </w:pPr>
            <w:r>
              <w:rPr>
                <w:rFonts w:asciiTheme="minorHAnsi" w:hAnsiTheme="minorHAnsi" w:cs="Arial"/>
                <w:spacing w:val="-2"/>
                <w:sz w:val="18"/>
                <w:szCs w:val="18"/>
              </w:rPr>
              <w:t>-</w:t>
            </w:r>
          </w:p>
        </w:tc>
        <w:tc>
          <w:tcPr>
            <w:tcW w:w="525" w:type="pct"/>
            <w:tcBorders>
              <w:top w:val="nil"/>
              <w:left w:val="nil"/>
              <w:bottom w:val="single" w:sz="6" w:space="0" w:color="auto"/>
              <w:right w:val="nil"/>
            </w:tcBorders>
            <w:vAlign w:val="center"/>
          </w:tcPr>
          <w:p w14:paraId="663FC800" w14:textId="0B13B978" w:rsidR="003776B2" w:rsidRPr="00BE6BE5" w:rsidRDefault="003776B2" w:rsidP="003776B2">
            <w:pPr>
              <w:pStyle w:val="Tot"/>
              <w:spacing w:line="280" w:lineRule="exact"/>
              <w:jc w:val="right"/>
              <w:rPr>
                <w:rFonts w:asciiTheme="minorHAnsi" w:hAnsiTheme="minorHAnsi" w:cs="Arial"/>
                <w:spacing w:val="-2"/>
                <w:sz w:val="18"/>
                <w:szCs w:val="18"/>
              </w:rPr>
            </w:pPr>
            <w:r>
              <w:rPr>
                <w:rFonts w:asciiTheme="minorHAnsi" w:hAnsiTheme="minorHAnsi" w:cs="Arial"/>
                <w:spacing w:val="-2"/>
                <w:sz w:val="18"/>
                <w:szCs w:val="18"/>
              </w:rPr>
              <w:t>-</w:t>
            </w:r>
          </w:p>
        </w:tc>
        <w:tc>
          <w:tcPr>
            <w:tcW w:w="526" w:type="pct"/>
            <w:tcBorders>
              <w:top w:val="nil"/>
              <w:left w:val="nil"/>
              <w:bottom w:val="single" w:sz="6" w:space="0" w:color="auto"/>
              <w:right w:val="nil"/>
            </w:tcBorders>
            <w:vAlign w:val="center"/>
          </w:tcPr>
          <w:p w14:paraId="37E89F10" w14:textId="0EBEEA84" w:rsidR="003776B2" w:rsidRPr="00BE6BE5" w:rsidRDefault="003776B2" w:rsidP="003776B2">
            <w:pPr>
              <w:pStyle w:val="Tot"/>
              <w:spacing w:line="280" w:lineRule="exact"/>
              <w:jc w:val="right"/>
              <w:rPr>
                <w:rFonts w:asciiTheme="minorHAnsi" w:hAnsiTheme="minorHAnsi" w:cs="Arial"/>
                <w:spacing w:val="-2"/>
                <w:sz w:val="18"/>
                <w:szCs w:val="18"/>
              </w:rPr>
            </w:pPr>
            <w:r>
              <w:rPr>
                <w:rFonts w:asciiTheme="minorHAnsi" w:hAnsiTheme="minorHAnsi" w:cs="Arial"/>
                <w:spacing w:val="-2"/>
                <w:sz w:val="18"/>
                <w:szCs w:val="18"/>
              </w:rPr>
              <w:t>-</w:t>
            </w:r>
          </w:p>
        </w:tc>
        <w:tc>
          <w:tcPr>
            <w:tcW w:w="525" w:type="pct"/>
            <w:tcBorders>
              <w:top w:val="nil"/>
              <w:left w:val="nil"/>
              <w:bottom w:val="single" w:sz="6" w:space="0" w:color="auto"/>
              <w:right w:val="nil"/>
            </w:tcBorders>
            <w:vAlign w:val="center"/>
          </w:tcPr>
          <w:p w14:paraId="722AF456" w14:textId="4D378D17" w:rsidR="003776B2" w:rsidRPr="00BE6BE5" w:rsidRDefault="003776B2" w:rsidP="003776B2">
            <w:pPr>
              <w:pStyle w:val="Tot"/>
              <w:spacing w:line="280" w:lineRule="exact"/>
              <w:jc w:val="right"/>
              <w:rPr>
                <w:rFonts w:asciiTheme="minorHAnsi" w:hAnsiTheme="minorHAnsi" w:cs="Arial"/>
                <w:spacing w:val="-2"/>
                <w:sz w:val="18"/>
                <w:szCs w:val="18"/>
              </w:rPr>
            </w:pPr>
            <w:r>
              <w:rPr>
                <w:rFonts w:asciiTheme="minorHAnsi" w:hAnsiTheme="minorHAnsi" w:cs="Arial"/>
                <w:spacing w:val="-2"/>
                <w:sz w:val="18"/>
                <w:szCs w:val="18"/>
              </w:rPr>
              <w:t>-</w:t>
            </w:r>
          </w:p>
        </w:tc>
        <w:tc>
          <w:tcPr>
            <w:tcW w:w="558" w:type="pct"/>
            <w:tcBorders>
              <w:top w:val="nil"/>
              <w:left w:val="nil"/>
              <w:bottom w:val="single" w:sz="6" w:space="0" w:color="auto"/>
              <w:right w:val="nil"/>
            </w:tcBorders>
            <w:vAlign w:val="center"/>
          </w:tcPr>
          <w:p w14:paraId="74EC8B0A" w14:textId="098B79C0" w:rsidR="003776B2" w:rsidRPr="00BE6BE5" w:rsidRDefault="003776B2" w:rsidP="003776B2">
            <w:pPr>
              <w:pStyle w:val="TT"/>
              <w:tabs>
                <w:tab w:val="left" w:pos="708"/>
              </w:tabs>
              <w:spacing w:line="280" w:lineRule="exact"/>
              <w:jc w:val="right"/>
              <w:rPr>
                <w:rFonts w:asciiTheme="minorHAnsi" w:hAnsiTheme="minorHAnsi" w:cs="Arial"/>
                <w:spacing w:val="-2"/>
                <w:sz w:val="18"/>
                <w:szCs w:val="18"/>
                <w:lang w:val="hr-HR"/>
              </w:rPr>
            </w:pPr>
            <w:r>
              <w:rPr>
                <w:rFonts w:asciiTheme="minorHAnsi" w:hAnsiTheme="minorHAnsi" w:cs="Arial"/>
                <w:spacing w:val="-2"/>
                <w:sz w:val="18"/>
                <w:szCs w:val="18"/>
                <w:lang w:val="hr-HR"/>
              </w:rPr>
              <w:t>12.128</w:t>
            </w:r>
          </w:p>
        </w:tc>
        <w:tc>
          <w:tcPr>
            <w:tcW w:w="565" w:type="pct"/>
            <w:tcBorders>
              <w:top w:val="nil"/>
              <w:left w:val="nil"/>
              <w:bottom w:val="single" w:sz="6" w:space="0" w:color="auto"/>
              <w:right w:val="nil"/>
            </w:tcBorders>
            <w:vAlign w:val="center"/>
          </w:tcPr>
          <w:p w14:paraId="319EEBF4" w14:textId="46CA818F" w:rsidR="003776B2" w:rsidRPr="00BE6BE5" w:rsidRDefault="003776B2" w:rsidP="003776B2">
            <w:pPr>
              <w:pStyle w:val="TT"/>
              <w:tabs>
                <w:tab w:val="left" w:pos="708"/>
              </w:tabs>
              <w:spacing w:line="280" w:lineRule="exact"/>
              <w:jc w:val="right"/>
              <w:rPr>
                <w:rFonts w:asciiTheme="minorHAnsi" w:hAnsiTheme="minorHAnsi" w:cs="Arial"/>
                <w:spacing w:val="-2"/>
                <w:sz w:val="18"/>
                <w:szCs w:val="18"/>
                <w:lang w:val="hr-HR"/>
              </w:rPr>
            </w:pPr>
            <w:r>
              <w:rPr>
                <w:rFonts w:asciiTheme="minorHAnsi" w:hAnsiTheme="minorHAnsi" w:cs="Arial"/>
                <w:spacing w:val="-2"/>
                <w:sz w:val="18"/>
                <w:szCs w:val="18"/>
                <w:lang w:val="hr-HR"/>
              </w:rPr>
              <w:t>12.128</w:t>
            </w:r>
          </w:p>
        </w:tc>
      </w:tr>
      <w:tr w:rsidR="003776B2" w:rsidRPr="002B6D35" w14:paraId="7433E1B0" w14:textId="77777777" w:rsidTr="00312975">
        <w:trPr>
          <w:trHeight w:val="298"/>
        </w:trPr>
        <w:tc>
          <w:tcPr>
            <w:tcW w:w="1250" w:type="pct"/>
            <w:hideMark/>
          </w:tcPr>
          <w:p w14:paraId="702B4451" w14:textId="77777777" w:rsidR="003776B2" w:rsidRDefault="003776B2" w:rsidP="003776B2">
            <w:pPr>
              <w:pStyle w:val="Tot"/>
              <w:spacing w:line="280" w:lineRule="exact"/>
              <w:rPr>
                <w:rFonts w:asciiTheme="minorHAnsi" w:hAnsiTheme="minorHAnsi" w:cs="Arial"/>
                <w:b/>
                <w:bCs/>
                <w:sz w:val="18"/>
                <w:szCs w:val="18"/>
                <w:lang w:val="hr-HR"/>
              </w:rPr>
            </w:pPr>
            <w:r>
              <w:rPr>
                <w:rFonts w:asciiTheme="minorHAnsi" w:hAnsiTheme="minorHAnsi" w:cs="Arial"/>
                <w:b/>
                <w:bCs/>
                <w:sz w:val="18"/>
                <w:szCs w:val="18"/>
                <w:lang w:val="hr-HR"/>
              </w:rPr>
              <w:t>Ukupna glavnica</w:t>
            </w:r>
          </w:p>
        </w:tc>
        <w:tc>
          <w:tcPr>
            <w:tcW w:w="525" w:type="pct"/>
            <w:tcBorders>
              <w:top w:val="nil"/>
              <w:left w:val="nil"/>
              <w:bottom w:val="single" w:sz="12" w:space="0" w:color="auto"/>
              <w:right w:val="nil"/>
            </w:tcBorders>
            <w:vAlign w:val="center"/>
          </w:tcPr>
          <w:p w14:paraId="46E8DC93" w14:textId="6D381920" w:rsidR="003776B2" w:rsidRPr="00BE6BE5" w:rsidRDefault="003776B2" w:rsidP="003776B2">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de-DE"/>
              </w:rPr>
              <w:t>-</w:t>
            </w:r>
          </w:p>
        </w:tc>
        <w:tc>
          <w:tcPr>
            <w:tcW w:w="526" w:type="pct"/>
            <w:tcBorders>
              <w:top w:val="nil"/>
              <w:left w:val="nil"/>
              <w:bottom w:val="single" w:sz="12" w:space="0" w:color="auto"/>
              <w:right w:val="nil"/>
            </w:tcBorders>
            <w:vAlign w:val="center"/>
          </w:tcPr>
          <w:p w14:paraId="6E62C4B2" w14:textId="1C28CBA0" w:rsidR="003776B2" w:rsidRPr="00BE6BE5" w:rsidRDefault="003776B2" w:rsidP="003776B2">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de-DE"/>
              </w:rPr>
              <w:t>-</w:t>
            </w:r>
          </w:p>
        </w:tc>
        <w:tc>
          <w:tcPr>
            <w:tcW w:w="525" w:type="pct"/>
            <w:tcBorders>
              <w:top w:val="nil"/>
              <w:left w:val="nil"/>
              <w:bottom w:val="single" w:sz="12" w:space="0" w:color="auto"/>
              <w:right w:val="nil"/>
            </w:tcBorders>
            <w:vAlign w:val="center"/>
          </w:tcPr>
          <w:p w14:paraId="5E20E3F0" w14:textId="64187B49" w:rsidR="003776B2" w:rsidRPr="00BE6BE5" w:rsidRDefault="003776B2" w:rsidP="003776B2">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de-DE"/>
              </w:rPr>
              <w:t>-</w:t>
            </w:r>
          </w:p>
        </w:tc>
        <w:tc>
          <w:tcPr>
            <w:tcW w:w="526" w:type="pct"/>
            <w:tcBorders>
              <w:top w:val="nil"/>
              <w:left w:val="nil"/>
              <w:bottom w:val="single" w:sz="12" w:space="0" w:color="auto"/>
              <w:right w:val="nil"/>
            </w:tcBorders>
            <w:vAlign w:val="center"/>
          </w:tcPr>
          <w:p w14:paraId="2ED55105" w14:textId="1A3E8846" w:rsidR="003776B2" w:rsidRPr="00BE6BE5" w:rsidRDefault="003776B2" w:rsidP="003776B2">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de-DE"/>
              </w:rPr>
              <w:t>-</w:t>
            </w:r>
          </w:p>
        </w:tc>
        <w:tc>
          <w:tcPr>
            <w:tcW w:w="525" w:type="pct"/>
            <w:tcBorders>
              <w:top w:val="nil"/>
              <w:left w:val="nil"/>
              <w:bottom w:val="single" w:sz="12" w:space="0" w:color="auto"/>
              <w:right w:val="nil"/>
            </w:tcBorders>
            <w:vAlign w:val="center"/>
          </w:tcPr>
          <w:p w14:paraId="4891F6B2" w14:textId="6BFE965B" w:rsidR="003776B2" w:rsidRPr="00BE6BE5" w:rsidRDefault="003776B2" w:rsidP="003776B2">
            <w:pPr>
              <w:pStyle w:val="Tot"/>
              <w:spacing w:line="280" w:lineRule="exact"/>
              <w:jc w:val="right"/>
              <w:rPr>
                <w:rFonts w:asciiTheme="minorHAnsi" w:hAnsiTheme="minorHAnsi" w:cs="Arial"/>
                <w:b/>
                <w:bCs/>
                <w:spacing w:val="-2"/>
                <w:sz w:val="18"/>
                <w:szCs w:val="18"/>
                <w:lang w:val="de-DE"/>
              </w:rPr>
            </w:pPr>
            <w:r>
              <w:rPr>
                <w:rFonts w:asciiTheme="minorHAnsi" w:hAnsiTheme="minorHAnsi" w:cs="Arial"/>
                <w:b/>
                <w:bCs/>
                <w:spacing w:val="-2"/>
                <w:sz w:val="18"/>
                <w:szCs w:val="18"/>
                <w:lang w:val="de-DE"/>
              </w:rPr>
              <w:t>-</w:t>
            </w:r>
          </w:p>
        </w:tc>
        <w:tc>
          <w:tcPr>
            <w:tcW w:w="558" w:type="pct"/>
            <w:tcBorders>
              <w:top w:val="nil"/>
              <w:left w:val="nil"/>
              <w:bottom w:val="single" w:sz="12" w:space="0" w:color="auto"/>
              <w:right w:val="nil"/>
            </w:tcBorders>
            <w:shd w:val="clear" w:color="auto" w:fill="auto"/>
            <w:vAlign w:val="center"/>
          </w:tcPr>
          <w:p w14:paraId="22B1E840" w14:textId="61D91760" w:rsidR="003776B2" w:rsidRPr="00BE6BE5" w:rsidRDefault="003776B2" w:rsidP="003776B2">
            <w:pPr>
              <w:spacing w:after="0" w:line="240" w:lineRule="exact"/>
              <w:jc w:val="right"/>
              <w:rPr>
                <w:rFonts w:eastAsia="Times New Roman" w:cs="Arial"/>
                <w:b/>
                <w:bCs/>
                <w:color w:val="000000"/>
                <w:sz w:val="18"/>
                <w:szCs w:val="18"/>
              </w:rPr>
            </w:pPr>
            <w:r>
              <w:rPr>
                <w:rFonts w:eastAsia="Times New Roman" w:cs="Arial"/>
                <w:b/>
                <w:bCs/>
                <w:color w:val="000000"/>
                <w:sz w:val="18"/>
                <w:szCs w:val="18"/>
              </w:rPr>
              <w:t>10.166.427</w:t>
            </w:r>
          </w:p>
        </w:tc>
        <w:tc>
          <w:tcPr>
            <w:tcW w:w="565" w:type="pct"/>
            <w:tcBorders>
              <w:top w:val="nil"/>
              <w:left w:val="nil"/>
              <w:bottom w:val="single" w:sz="12" w:space="0" w:color="auto"/>
              <w:right w:val="nil"/>
            </w:tcBorders>
            <w:shd w:val="clear" w:color="auto" w:fill="auto"/>
            <w:vAlign w:val="center"/>
          </w:tcPr>
          <w:p w14:paraId="1E27B412" w14:textId="6062A234" w:rsidR="003776B2" w:rsidRPr="00BE6BE5" w:rsidRDefault="003776B2" w:rsidP="003776B2">
            <w:pPr>
              <w:spacing w:after="0" w:line="240" w:lineRule="exact"/>
              <w:jc w:val="right"/>
              <w:rPr>
                <w:rFonts w:eastAsia="Times New Roman" w:cs="Arial"/>
                <w:b/>
                <w:bCs/>
                <w:color w:val="000000"/>
                <w:sz w:val="18"/>
                <w:szCs w:val="18"/>
              </w:rPr>
            </w:pPr>
            <w:r>
              <w:rPr>
                <w:rFonts w:eastAsia="Times New Roman" w:cs="Arial"/>
                <w:b/>
                <w:bCs/>
                <w:color w:val="000000"/>
                <w:sz w:val="18"/>
                <w:szCs w:val="18"/>
              </w:rPr>
              <w:t>10.166.427</w:t>
            </w:r>
          </w:p>
        </w:tc>
      </w:tr>
      <w:tr w:rsidR="001852D4" w:rsidRPr="00435855" w14:paraId="58671523" w14:textId="77777777" w:rsidTr="00312975">
        <w:trPr>
          <w:trHeight w:val="298"/>
        </w:trPr>
        <w:tc>
          <w:tcPr>
            <w:tcW w:w="1250" w:type="pct"/>
            <w:hideMark/>
          </w:tcPr>
          <w:p w14:paraId="05662443" w14:textId="77777777" w:rsidR="001852D4" w:rsidRDefault="001852D4" w:rsidP="001852D4">
            <w:pPr>
              <w:pStyle w:val="TT"/>
              <w:spacing w:line="280" w:lineRule="exact"/>
              <w:rPr>
                <w:rFonts w:asciiTheme="minorHAnsi" w:hAnsiTheme="minorHAnsi" w:cs="Arial"/>
                <w:b/>
                <w:bCs/>
                <w:sz w:val="18"/>
                <w:szCs w:val="18"/>
                <w:lang w:val="hr-HR"/>
              </w:rPr>
            </w:pPr>
            <w:r>
              <w:rPr>
                <w:rFonts w:asciiTheme="minorHAnsi" w:hAnsiTheme="minorHAnsi" w:cs="Arial"/>
                <w:b/>
                <w:bCs/>
                <w:sz w:val="18"/>
                <w:szCs w:val="18"/>
                <w:lang w:val="hr-HR"/>
              </w:rPr>
              <w:t>Ukupne obveze i glavnica (2)</w:t>
            </w:r>
          </w:p>
        </w:tc>
        <w:tc>
          <w:tcPr>
            <w:tcW w:w="525" w:type="pct"/>
            <w:tcBorders>
              <w:top w:val="nil"/>
              <w:left w:val="nil"/>
              <w:bottom w:val="single" w:sz="12" w:space="0" w:color="auto"/>
              <w:right w:val="nil"/>
            </w:tcBorders>
            <w:shd w:val="clear" w:color="auto" w:fill="auto"/>
            <w:vAlign w:val="center"/>
          </w:tcPr>
          <w:p w14:paraId="3A89D39D" w14:textId="42F5870C" w:rsidR="001852D4" w:rsidRPr="00BE6BE5" w:rsidRDefault="00BF6251" w:rsidP="001852D4">
            <w:pPr>
              <w:spacing w:after="0" w:line="240" w:lineRule="exact"/>
              <w:jc w:val="right"/>
              <w:rPr>
                <w:rFonts w:eastAsia="Times New Roman" w:cs="Arial"/>
                <w:b/>
                <w:bCs/>
                <w:color w:val="000000"/>
                <w:sz w:val="18"/>
                <w:szCs w:val="18"/>
              </w:rPr>
            </w:pPr>
            <w:r>
              <w:rPr>
                <w:rFonts w:eastAsia="Times New Roman" w:cs="Arial"/>
                <w:b/>
                <w:bCs/>
                <w:color w:val="000000"/>
                <w:sz w:val="18"/>
                <w:szCs w:val="18"/>
              </w:rPr>
              <w:t>319.905</w:t>
            </w:r>
          </w:p>
        </w:tc>
        <w:tc>
          <w:tcPr>
            <w:tcW w:w="526" w:type="pct"/>
            <w:tcBorders>
              <w:top w:val="nil"/>
              <w:left w:val="nil"/>
              <w:bottom w:val="single" w:sz="12" w:space="0" w:color="auto"/>
              <w:right w:val="nil"/>
            </w:tcBorders>
            <w:shd w:val="clear" w:color="auto" w:fill="auto"/>
            <w:vAlign w:val="center"/>
          </w:tcPr>
          <w:p w14:paraId="54880D7E" w14:textId="604AAF40" w:rsidR="001852D4" w:rsidRPr="00BE6BE5" w:rsidRDefault="001852D4" w:rsidP="001852D4">
            <w:pPr>
              <w:spacing w:after="0" w:line="240" w:lineRule="exact"/>
              <w:jc w:val="right"/>
              <w:rPr>
                <w:rFonts w:eastAsia="Times New Roman" w:cs="Arial"/>
                <w:b/>
                <w:bCs/>
                <w:color w:val="000000"/>
                <w:sz w:val="18"/>
                <w:szCs w:val="18"/>
              </w:rPr>
            </w:pPr>
            <w:r w:rsidRPr="00016AD1">
              <w:rPr>
                <w:rFonts w:eastAsia="Times New Roman" w:cs="Arial"/>
                <w:b/>
                <w:bCs/>
                <w:color w:val="000000"/>
                <w:sz w:val="18"/>
                <w:szCs w:val="18"/>
              </w:rPr>
              <w:t>179.970</w:t>
            </w:r>
          </w:p>
        </w:tc>
        <w:tc>
          <w:tcPr>
            <w:tcW w:w="525" w:type="pct"/>
            <w:tcBorders>
              <w:top w:val="nil"/>
              <w:left w:val="nil"/>
              <w:bottom w:val="single" w:sz="12" w:space="0" w:color="auto"/>
              <w:right w:val="nil"/>
            </w:tcBorders>
            <w:shd w:val="clear" w:color="auto" w:fill="auto"/>
            <w:vAlign w:val="center"/>
          </w:tcPr>
          <w:p w14:paraId="027A845A" w14:textId="2C320690" w:rsidR="001852D4" w:rsidRPr="00BE6BE5" w:rsidRDefault="001852D4">
            <w:pPr>
              <w:spacing w:after="0" w:line="240" w:lineRule="exact"/>
              <w:jc w:val="right"/>
              <w:rPr>
                <w:rFonts w:eastAsia="Times New Roman" w:cs="Arial"/>
                <w:b/>
                <w:bCs/>
                <w:color w:val="000000"/>
                <w:sz w:val="18"/>
                <w:szCs w:val="18"/>
              </w:rPr>
            </w:pPr>
            <w:r w:rsidRPr="00016AD1">
              <w:rPr>
                <w:rFonts w:eastAsia="Times New Roman" w:cs="Arial"/>
                <w:b/>
                <w:bCs/>
                <w:color w:val="000000"/>
                <w:sz w:val="18"/>
                <w:szCs w:val="18"/>
              </w:rPr>
              <w:t>1.278.75</w:t>
            </w:r>
            <w:r w:rsidR="00BF6251">
              <w:rPr>
                <w:rFonts w:eastAsia="Times New Roman" w:cs="Arial"/>
                <w:b/>
                <w:bCs/>
                <w:color w:val="000000"/>
                <w:sz w:val="18"/>
                <w:szCs w:val="18"/>
              </w:rPr>
              <w:t>7</w:t>
            </w:r>
          </w:p>
        </w:tc>
        <w:tc>
          <w:tcPr>
            <w:tcW w:w="526" w:type="pct"/>
            <w:tcBorders>
              <w:top w:val="nil"/>
              <w:left w:val="nil"/>
              <w:bottom w:val="single" w:sz="12" w:space="0" w:color="auto"/>
              <w:right w:val="nil"/>
            </w:tcBorders>
            <w:shd w:val="clear" w:color="auto" w:fill="auto"/>
            <w:vAlign w:val="center"/>
          </w:tcPr>
          <w:p w14:paraId="3134218D" w14:textId="163293C3" w:rsidR="001852D4" w:rsidRPr="00BE6BE5" w:rsidRDefault="001852D4">
            <w:pPr>
              <w:spacing w:after="0" w:line="240" w:lineRule="exact"/>
              <w:jc w:val="right"/>
              <w:rPr>
                <w:rFonts w:eastAsia="Times New Roman" w:cs="Arial"/>
                <w:b/>
                <w:bCs/>
                <w:color w:val="000000"/>
                <w:sz w:val="18"/>
                <w:szCs w:val="18"/>
              </w:rPr>
            </w:pPr>
            <w:r>
              <w:rPr>
                <w:rFonts w:eastAsia="Times New Roman" w:cs="Arial"/>
                <w:b/>
                <w:bCs/>
                <w:color w:val="000000"/>
                <w:sz w:val="18"/>
                <w:szCs w:val="18"/>
              </w:rPr>
              <w:t>4.652.22</w:t>
            </w:r>
            <w:r w:rsidR="00BF6251">
              <w:rPr>
                <w:rFonts w:eastAsia="Times New Roman" w:cs="Arial"/>
                <w:b/>
                <w:bCs/>
                <w:color w:val="000000"/>
                <w:sz w:val="18"/>
                <w:szCs w:val="18"/>
              </w:rPr>
              <w:t>8</w:t>
            </w:r>
          </w:p>
        </w:tc>
        <w:tc>
          <w:tcPr>
            <w:tcW w:w="525" w:type="pct"/>
            <w:tcBorders>
              <w:top w:val="nil"/>
              <w:left w:val="nil"/>
              <w:bottom w:val="single" w:sz="12" w:space="0" w:color="auto"/>
              <w:right w:val="nil"/>
            </w:tcBorders>
            <w:shd w:val="clear" w:color="auto" w:fill="auto"/>
            <w:vAlign w:val="center"/>
          </w:tcPr>
          <w:p w14:paraId="37F7E230" w14:textId="2D5B6453" w:rsidR="001852D4" w:rsidRPr="00BE6BE5" w:rsidRDefault="001852D4">
            <w:pPr>
              <w:spacing w:after="0" w:line="240" w:lineRule="exact"/>
              <w:jc w:val="right"/>
              <w:rPr>
                <w:rFonts w:eastAsia="Times New Roman" w:cs="Arial"/>
                <w:b/>
                <w:bCs/>
                <w:color w:val="000000"/>
                <w:sz w:val="18"/>
                <w:szCs w:val="18"/>
              </w:rPr>
            </w:pPr>
            <w:r>
              <w:rPr>
                <w:rFonts w:eastAsia="Times New Roman" w:cs="Arial"/>
                <w:b/>
                <w:bCs/>
                <w:color w:val="000000"/>
                <w:sz w:val="18"/>
                <w:szCs w:val="18"/>
              </w:rPr>
              <w:t>10.146.90</w:t>
            </w:r>
            <w:r w:rsidR="00BF6251">
              <w:rPr>
                <w:rFonts w:eastAsia="Times New Roman" w:cs="Arial"/>
                <w:b/>
                <w:bCs/>
                <w:color w:val="000000"/>
                <w:sz w:val="18"/>
                <w:szCs w:val="18"/>
              </w:rPr>
              <w:t>9</w:t>
            </w:r>
          </w:p>
        </w:tc>
        <w:tc>
          <w:tcPr>
            <w:tcW w:w="558" w:type="pct"/>
            <w:tcBorders>
              <w:top w:val="nil"/>
              <w:left w:val="nil"/>
              <w:bottom w:val="single" w:sz="12" w:space="0" w:color="auto"/>
              <w:right w:val="nil"/>
            </w:tcBorders>
            <w:shd w:val="clear" w:color="auto" w:fill="auto"/>
            <w:vAlign w:val="center"/>
          </w:tcPr>
          <w:p w14:paraId="3BAD0C40" w14:textId="26249EBE" w:rsidR="001852D4" w:rsidRPr="00BE6BE5" w:rsidRDefault="001852D4">
            <w:pPr>
              <w:spacing w:after="0" w:line="240" w:lineRule="exact"/>
              <w:jc w:val="right"/>
              <w:rPr>
                <w:rFonts w:eastAsia="Times New Roman" w:cs="Arial"/>
                <w:b/>
                <w:bCs/>
                <w:color w:val="000000"/>
                <w:sz w:val="18"/>
                <w:szCs w:val="18"/>
              </w:rPr>
            </w:pPr>
            <w:r>
              <w:rPr>
                <w:rFonts w:eastAsia="Times New Roman" w:cs="Arial"/>
                <w:b/>
                <w:bCs/>
                <w:color w:val="000000"/>
                <w:sz w:val="18"/>
                <w:szCs w:val="18"/>
              </w:rPr>
              <w:t>11.</w:t>
            </w:r>
            <w:r w:rsidR="00BF6251">
              <w:rPr>
                <w:rFonts w:eastAsia="Times New Roman" w:cs="Arial"/>
                <w:b/>
                <w:bCs/>
                <w:color w:val="000000"/>
                <w:sz w:val="18"/>
                <w:szCs w:val="18"/>
              </w:rPr>
              <w:t>228.204</w:t>
            </w:r>
          </w:p>
        </w:tc>
        <w:tc>
          <w:tcPr>
            <w:tcW w:w="565" w:type="pct"/>
            <w:tcBorders>
              <w:top w:val="nil"/>
              <w:left w:val="nil"/>
              <w:bottom w:val="single" w:sz="12" w:space="0" w:color="auto"/>
              <w:right w:val="nil"/>
            </w:tcBorders>
            <w:shd w:val="clear" w:color="auto" w:fill="auto"/>
            <w:vAlign w:val="center"/>
          </w:tcPr>
          <w:p w14:paraId="78BBD1A8" w14:textId="65EAA9A6" w:rsidR="001852D4" w:rsidRPr="00BE6BE5" w:rsidRDefault="001852D4" w:rsidP="001852D4">
            <w:pPr>
              <w:spacing w:after="0" w:line="240" w:lineRule="exact"/>
              <w:jc w:val="right"/>
              <w:rPr>
                <w:rFonts w:eastAsia="Times New Roman" w:cs="Arial"/>
                <w:b/>
                <w:bCs/>
                <w:color w:val="000000"/>
                <w:sz w:val="18"/>
                <w:szCs w:val="18"/>
              </w:rPr>
            </w:pPr>
            <w:r>
              <w:rPr>
                <w:rFonts w:eastAsia="Times New Roman" w:cs="Arial"/>
                <w:b/>
                <w:bCs/>
                <w:color w:val="000000"/>
                <w:sz w:val="18"/>
                <w:szCs w:val="18"/>
              </w:rPr>
              <w:t>27.805.973</w:t>
            </w:r>
          </w:p>
        </w:tc>
      </w:tr>
      <w:tr w:rsidR="001852D4" w:rsidRPr="00435855" w14:paraId="4B985971" w14:textId="77777777" w:rsidTr="00312975">
        <w:trPr>
          <w:trHeight w:val="582"/>
        </w:trPr>
        <w:tc>
          <w:tcPr>
            <w:tcW w:w="1250" w:type="pct"/>
            <w:vAlign w:val="bottom"/>
            <w:hideMark/>
          </w:tcPr>
          <w:p w14:paraId="05A2CA57" w14:textId="77777777" w:rsidR="001852D4" w:rsidRPr="00CA2C67" w:rsidRDefault="001852D4" w:rsidP="001852D4">
            <w:pPr>
              <w:pStyle w:val="TT"/>
              <w:spacing w:line="280" w:lineRule="exact"/>
              <w:rPr>
                <w:rFonts w:asciiTheme="minorHAnsi" w:hAnsiTheme="minorHAnsi" w:cs="Arial"/>
                <w:b/>
                <w:bCs/>
                <w:spacing w:val="-2"/>
                <w:sz w:val="18"/>
                <w:szCs w:val="18"/>
                <w:lang w:val="hr-HR"/>
              </w:rPr>
            </w:pPr>
            <w:r>
              <w:rPr>
                <w:rFonts w:asciiTheme="minorHAnsi" w:hAnsiTheme="minorHAnsi" w:cs="Arial"/>
                <w:b/>
                <w:bCs/>
                <w:spacing w:val="-2"/>
                <w:sz w:val="18"/>
                <w:szCs w:val="18"/>
                <w:lang w:val="hr-HR"/>
              </w:rPr>
              <w:t>Neto ukupna imovina /ukupne obveze i glavnica  (1) - (2)</w:t>
            </w:r>
          </w:p>
        </w:tc>
        <w:tc>
          <w:tcPr>
            <w:tcW w:w="525" w:type="pct"/>
            <w:tcBorders>
              <w:top w:val="nil"/>
              <w:left w:val="nil"/>
              <w:bottom w:val="single" w:sz="12" w:space="0" w:color="auto"/>
              <w:right w:val="nil"/>
            </w:tcBorders>
            <w:shd w:val="clear" w:color="auto" w:fill="auto"/>
            <w:vAlign w:val="bottom"/>
          </w:tcPr>
          <w:p w14:paraId="5139314A" w14:textId="767B4235" w:rsidR="001852D4" w:rsidRPr="00BE6BE5" w:rsidRDefault="00811E8F" w:rsidP="001852D4">
            <w:pPr>
              <w:spacing w:after="0" w:line="240" w:lineRule="exact"/>
              <w:jc w:val="right"/>
              <w:rPr>
                <w:rFonts w:eastAsia="Times New Roman" w:cs="Arial"/>
                <w:b/>
                <w:bCs/>
                <w:color w:val="000000"/>
                <w:sz w:val="18"/>
                <w:szCs w:val="18"/>
              </w:rPr>
            </w:pPr>
            <w:r>
              <w:rPr>
                <w:rFonts w:eastAsia="Times New Roman" w:cs="Arial"/>
                <w:b/>
                <w:bCs/>
                <w:color w:val="000000"/>
                <w:sz w:val="18"/>
                <w:szCs w:val="18"/>
              </w:rPr>
              <w:t>4.211</w:t>
            </w:r>
            <w:r w:rsidR="00BF6251">
              <w:rPr>
                <w:rFonts w:eastAsia="Times New Roman" w:cs="Arial"/>
                <w:b/>
                <w:bCs/>
                <w:color w:val="000000"/>
                <w:sz w:val="18"/>
                <w:szCs w:val="18"/>
              </w:rPr>
              <w:t>.617</w:t>
            </w:r>
          </w:p>
        </w:tc>
        <w:tc>
          <w:tcPr>
            <w:tcW w:w="526" w:type="pct"/>
            <w:tcBorders>
              <w:top w:val="nil"/>
              <w:left w:val="nil"/>
              <w:bottom w:val="single" w:sz="12" w:space="0" w:color="auto"/>
              <w:right w:val="nil"/>
            </w:tcBorders>
            <w:shd w:val="clear" w:color="auto" w:fill="auto"/>
            <w:vAlign w:val="bottom"/>
          </w:tcPr>
          <w:p w14:paraId="1A24BAE1" w14:textId="71A7E396" w:rsidR="001852D4" w:rsidRPr="00BE6BE5" w:rsidRDefault="001852D4" w:rsidP="001852D4">
            <w:pPr>
              <w:spacing w:after="0" w:line="240" w:lineRule="exact"/>
              <w:jc w:val="right"/>
              <w:rPr>
                <w:rFonts w:eastAsia="Times New Roman" w:cs="Arial"/>
                <w:b/>
                <w:bCs/>
                <w:color w:val="000000"/>
                <w:sz w:val="18"/>
                <w:szCs w:val="18"/>
              </w:rPr>
            </w:pPr>
            <w:r w:rsidRPr="00016AD1">
              <w:rPr>
                <w:rFonts w:eastAsia="Times New Roman" w:cs="Arial"/>
                <w:b/>
                <w:bCs/>
                <w:color w:val="000000"/>
                <w:sz w:val="18"/>
                <w:szCs w:val="18"/>
              </w:rPr>
              <w:t>1.439.466</w:t>
            </w:r>
          </w:p>
        </w:tc>
        <w:tc>
          <w:tcPr>
            <w:tcW w:w="525" w:type="pct"/>
            <w:tcBorders>
              <w:top w:val="nil"/>
              <w:left w:val="nil"/>
              <w:bottom w:val="single" w:sz="12" w:space="0" w:color="auto"/>
              <w:right w:val="nil"/>
            </w:tcBorders>
            <w:shd w:val="clear" w:color="auto" w:fill="auto"/>
            <w:vAlign w:val="bottom"/>
          </w:tcPr>
          <w:p w14:paraId="0E21F8CC" w14:textId="50D2E6E7" w:rsidR="001852D4" w:rsidRPr="00BE6BE5" w:rsidRDefault="001852D4">
            <w:pPr>
              <w:spacing w:after="0" w:line="240" w:lineRule="exact"/>
              <w:jc w:val="right"/>
              <w:rPr>
                <w:rFonts w:eastAsia="Times New Roman" w:cs="Arial"/>
                <w:b/>
                <w:bCs/>
                <w:color w:val="000000"/>
                <w:sz w:val="18"/>
                <w:szCs w:val="18"/>
              </w:rPr>
            </w:pPr>
            <w:r w:rsidRPr="00016AD1">
              <w:rPr>
                <w:rFonts w:eastAsia="Times New Roman" w:cs="Arial"/>
                <w:b/>
                <w:bCs/>
                <w:color w:val="000000"/>
                <w:sz w:val="18"/>
                <w:szCs w:val="18"/>
              </w:rPr>
              <w:t>1.006.43</w:t>
            </w:r>
            <w:r w:rsidR="00BF6251">
              <w:rPr>
                <w:rFonts w:eastAsia="Times New Roman" w:cs="Arial"/>
                <w:b/>
                <w:bCs/>
                <w:color w:val="000000"/>
                <w:sz w:val="18"/>
                <w:szCs w:val="18"/>
              </w:rPr>
              <w:t>4</w:t>
            </w:r>
          </w:p>
        </w:tc>
        <w:tc>
          <w:tcPr>
            <w:tcW w:w="526" w:type="pct"/>
            <w:tcBorders>
              <w:top w:val="nil"/>
              <w:left w:val="nil"/>
              <w:bottom w:val="single" w:sz="12" w:space="0" w:color="auto"/>
              <w:right w:val="nil"/>
            </w:tcBorders>
            <w:shd w:val="clear" w:color="auto" w:fill="auto"/>
            <w:vAlign w:val="bottom"/>
          </w:tcPr>
          <w:p w14:paraId="48526048" w14:textId="45F11E09" w:rsidR="001852D4" w:rsidRPr="00BE6BE5" w:rsidRDefault="001852D4">
            <w:pPr>
              <w:spacing w:after="0" w:line="240" w:lineRule="exact"/>
              <w:jc w:val="right"/>
              <w:rPr>
                <w:rFonts w:eastAsia="Times New Roman" w:cs="Arial"/>
                <w:b/>
                <w:bCs/>
                <w:color w:val="000000"/>
                <w:sz w:val="18"/>
                <w:szCs w:val="18"/>
              </w:rPr>
            </w:pPr>
            <w:r>
              <w:rPr>
                <w:rFonts w:eastAsia="Times New Roman" w:cs="Arial"/>
                <w:b/>
                <w:bCs/>
                <w:color w:val="000000"/>
                <w:sz w:val="18"/>
                <w:szCs w:val="18"/>
              </w:rPr>
              <w:t>(205.42</w:t>
            </w:r>
            <w:r w:rsidR="00BF6251">
              <w:rPr>
                <w:rFonts w:eastAsia="Times New Roman" w:cs="Arial"/>
                <w:b/>
                <w:bCs/>
                <w:color w:val="000000"/>
                <w:sz w:val="18"/>
                <w:szCs w:val="18"/>
              </w:rPr>
              <w:t>1</w:t>
            </w:r>
            <w:r>
              <w:rPr>
                <w:rFonts w:eastAsia="Times New Roman" w:cs="Arial"/>
                <w:b/>
                <w:bCs/>
                <w:color w:val="000000"/>
                <w:sz w:val="18"/>
                <w:szCs w:val="18"/>
              </w:rPr>
              <w:t>)</w:t>
            </w:r>
          </w:p>
        </w:tc>
        <w:tc>
          <w:tcPr>
            <w:tcW w:w="525" w:type="pct"/>
            <w:tcBorders>
              <w:top w:val="nil"/>
              <w:left w:val="nil"/>
              <w:bottom w:val="single" w:sz="12" w:space="0" w:color="auto"/>
              <w:right w:val="nil"/>
            </w:tcBorders>
            <w:shd w:val="clear" w:color="auto" w:fill="auto"/>
            <w:vAlign w:val="bottom"/>
          </w:tcPr>
          <w:p w14:paraId="1B449083" w14:textId="4E1A0B3F" w:rsidR="001852D4" w:rsidRPr="00BE6BE5" w:rsidRDefault="001852D4">
            <w:pPr>
              <w:spacing w:after="0" w:line="240" w:lineRule="exact"/>
              <w:jc w:val="right"/>
              <w:rPr>
                <w:rFonts w:eastAsia="Times New Roman" w:cs="Arial"/>
                <w:b/>
                <w:bCs/>
                <w:color w:val="000000"/>
                <w:sz w:val="18"/>
                <w:szCs w:val="18"/>
              </w:rPr>
            </w:pPr>
            <w:r>
              <w:rPr>
                <w:rFonts w:eastAsia="Times New Roman" w:cs="Arial"/>
                <w:b/>
                <w:bCs/>
                <w:color w:val="000000"/>
                <w:sz w:val="18"/>
                <w:szCs w:val="18"/>
              </w:rPr>
              <w:t>1.999.35</w:t>
            </w:r>
            <w:r w:rsidR="00BF6251">
              <w:rPr>
                <w:rFonts w:eastAsia="Times New Roman" w:cs="Arial"/>
                <w:b/>
                <w:bCs/>
                <w:color w:val="000000"/>
                <w:sz w:val="18"/>
                <w:szCs w:val="18"/>
              </w:rPr>
              <w:t>7</w:t>
            </w:r>
          </w:p>
        </w:tc>
        <w:tc>
          <w:tcPr>
            <w:tcW w:w="558" w:type="pct"/>
            <w:tcBorders>
              <w:top w:val="nil"/>
              <w:left w:val="nil"/>
              <w:bottom w:val="single" w:sz="12" w:space="0" w:color="auto"/>
              <w:right w:val="nil"/>
            </w:tcBorders>
            <w:shd w:val="clear" w:color="auto" w:fill="auto"/>
            <w:vAlign w:val="bottom"/>
          </w:tcPr>
          <w:p w14:paraId="3068A9B6" w14:textId="03DD6A17" w:rsidR="001852D4" w:rsidRPr="00BE6BE5" w:rsidRDefault="001852D4">
            <w:pPr>
              <w:spacing w:after="0" w:line="240" w:lineRule="exact"/>
              <w:jc w:val="right"/>
              <w:rPr>
                <w:rFonts w:eastAsia="Times New Roman" w:cs="Arial"/>
                <w:b/>
                <w:bCs/>
                <w:color w:val="000000"/>
                <w:sz w:val="18"/>
                <w:szCs w:val="18"/>
              </w:rPr>
            </w:pPr>
            <w:r>
              <w:rPr>
                <w:rFonts w:eastAsia="Times New Roman" w:cs="Arial"/>
                <w:b/>
                <w:bCs/>
                <w:color w:val="000000"/>
                <w:sz w:val="18"/>
                <w:szCs w:val="18"/>
              </w:rPr>
              <w:t>(</w:t>
            </w:r>
            <w:r w:rsidR="00BF6251">
              <w:rPr>
                <w:rFonts w:eastAsia="Times New Roman" w:cs="Arial"/>
                <w:b/>
                <w:bCs/>
                <w:color w:val="000000"/>
                <w:sz w:val="18"/>
                <w:szCs w:val="18"/>
              </w:rPr>
              <w:t>8.451.453</w:t>
            </w:r>
            <w:r>
              <w:rPr>
                <w:rFonts w:eastAsia="Times New Roman" w:cs="Arial"/>
                <w:b/>
                <w:bCs/>
                <w:color w:val="000000"/>
                <w:sz w:val="18"/>
                <w:szCs w:val="18"/>
              </w:rPr>
              <w:t>)</w:t>
            </w:r>
          </w:p>
        </w:tc>
        <w:tc>
          <w:tcPr>
            <w:tcW w:w="565" w:type="pct"/>
            <w:tcBorders>
              <w:top w:val="nil"/>
              <w:left w:val="nil"/>
              <w:bottom w:val="single" w:sz="12" w:space="0" w:color="auto"/>
              <w:right w:val="nil"/>
            </w:tcBorders>
            <w:shd w:val="clear" w:color="auto" w:fill="auto"/>
            <w:vAlign w:val="bottom"/>
          </w:tcPr>
          <w:p w14:paraId="3A4386D5" w14:textId="603BA3A2" w:rsidR="001852D4" w:rsidRPr="00BE6BE5" w:rsidRDefault="001852D4" w:rsidP="001852D4">
            <w:pPr>
              <w:spacing w:after="0" w:line="240" w:lineRule="exact"/>
              <w:jc w:val="right"/>
              <w:rPr>
                <w:rFonts w:eastAsia="Times New Roman" w:cs="Arial"/>
                <w:b/>
                <w:bCs/>
                <w:color w:val="000000"/>
                <w:sz w:val="18"/>
                <w:szCs w:val="18"/>
              </w:rPr>
            </w:pPr>
            <w:r>
              <w:rPr>
                <w:rFonts w:eastAsia="Times New Roman" w:cs="Arial"/>
                <w:b/>
                <w:bCs/>
                <w:color w:val="000000"/>
                <w:sz w:val="18"/>
                <w:szCs w:val="18"/>
              </w:rPr>
              <w:t>-</w:t>
            </w:r>
          </w:p>
        </w:tc>
      </w:tr>
    </w:tbl>
    <w:p w14:paraId="2EAC2981"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1DC11175"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12C775F2" w14:textId="77777777" w:rsidR="00567520" w:rsidRDefault="00567520" w:rsidP="00567520">
      <w:pPr>
        <w:pStyle w:val="accountingpolicytitle"/>
        <w:spacing w:line="240" w:lineRule="exact"/>
        <w:rPr>
          <w:rFonts w:asciiTheme="minorHAnsi" w:hAnsiTheme="minorHAnsi" w:cstheme="minorHAnsi"/>
          <w:sz w:val="22"/>
          <w:szCs w:val="22"/>
          <w:lang w:val="hr-HR"/>
        </w:rPr>
        <w:sectPr w:rsidR="00567520" w:rsidSect="00EE4C50">
          <w:footerReference w:type="first" r:id="rId117"/>
          <w:pgSz w:w="11906" w:h="16838" w:code="9"/>
          <w:pgMar w:top="1418" w:right="1418" w:bottom="595" w:left="1134" w:header="709" w:footer="709" w:gutter="0"/>
          <w:cols w:space="708"/>
          <w:titlePg/>
          <w:docGrid w:linePitch="360"/>
        </w:sectPr>
      </w:pPr>
    </w:p>
    <w:p w14:paraId="0904807C"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p>
    <w:p w14:paraId="0CC1D809"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        Upravljanje rizicima (nastavak)</w:t>
      </w:r>
    </w:p>
    <w:p w14:paraId="03899396" w14:textId="77777777" w:rsidR="00567520" w:rsidRPr="00567520" w:rsidRDefault="00567520" w:rsidP="00567520">
      <w:pPr>
        <w:pStyle w:val="T1"/>
        <w:spacing w:before="0" w:after="0" w:line="240" w:lineRule="auto"/>
        <w:ind w:left="709" w:hanging="709"/>
        <w:rPr>
          <w:rFonts w:asciiTheme="minorHAnsi" w:hAnsiTheme="minorHAnsi" w:cs="Arial"/>
          <w:sz w:val="22"/>
          <w:szCs w:val="22"/>
          <w:lang w:val="hr-HR"/>
        </w:rPr>
      </w:pPr>
    </w:p>
    <w:p w14:paraId="4FEF8B74"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.4.     Tržišni rizik (nastavak)</w:t>
      </w:r>
    </w:p>
    <w:p w14:paraId="33C5B031" w14:textId="77777777" w:rsidR="00567520" w:rsidRPr="00567520" w:rsidRDefault="00567520" w:rsidP="00567520">
      <w:pPr>
        <w:pStyle w:val="T1"/>
        <w:spacing w:before="0" w:after="0" w:line="240" w:lineRule="auto"/>
        <w:ind w:left="709" w:hanging="709"/>
        <w:rPr>
          <w:rFonts w:asciiTheme="minorHAnsi" w:hAnsiTheme="minorHAnsi" w:cs="Arial"/>
          <w:sz w:val="22"/>
          <w:szCs w:val="22"/>
          <w:lang w:val="hr-HR"/>
        </w:rPr>
      </w:pPr>
    </w:p>
    <w:p w14:paraId="4205137B" w14:textId="77777777" w:rsidR="00567520" w:rsidRDefault="00567520" w:rsidP="00567520">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567520">
        <w:rPr>
          <w:rFonts w:asciiTheme="minorHAnsi" w:hAnsiTheme="minorHAnsi" w:cs="Arial"/>
          <w:sz w:val="22"/>
          <w:szCs w:val="22"/>
          <w:lang w:val="hr-HR"/>
        </w:rPr>
        <w:t xml:space="preserve">.4.1.  Kamatni rizik </w:t>
      </w:r>
      <w:r w:rsidR="00C13D97">
        <w:rPr>
          <w:rFonts w:asciiTheme="minorHAnsi" w:hAnsiTheme="minorHAnsi" w:cs="Arial"/>
          <w:sz w:val="22"/>
          <w:szCs w:val="22"/>
          <w:lang w:val="hr-HR"/>
        </w:rPr>
        <w:t xml:space="preserve">u knjizi banke </w:t>
      </w:r>
      <w:r w:rsidRPr="00567520">
        <w:rPr>
          <w:rFonts w:asciiTheme="minorHAnsi" w:hAnsiTheme="minorHAnsi" w:cs="Arial"/>
          <w:sz w:val="22"/>
          <w:szCs w:val="22"/>
          <w:lang w:val="hr-HR"/>
        </w:rPr>
        <w:t>(nastavak)</w:t>
      </w:r>
    </w:p>
    <w:p w14:paraId="57C91AB1" w14:textId="77777777" w:rsidR="008D359F" w:rsidRDefault="008D359F" w:rsidP="00567520">
      <w:pPr>
        <w:pStyle w:val="accountingpolicytitle"/>
        <w:spacing w:line="240" w:lineRule="exact"/>
        <w:rPr>
          <w:rFonts w:asciiTheme="minorHAnsi" w:hAnsiTheme="minorHAnsi" w:cstheme="minorHAnsi"/>
          <w:sz w:val="22"/>
          <w:szCs w:val="22"/>
          <w:lang w:val="hr-HR"/>
        </w:rPr>
      </w:pPr>
    </w:p>
    <w:p w14:paraId="5911DD4E" w14:textId="77777777" w:rsidR="00567520" w:rsidRDefault="00567520" w:rsidP="008D359F">
      <w:pPr>
        <w:pStyle w:val="accountingpolicytitle"/>
        <w:rPr>
          <w:rFonts w:asciiTheme="minorHAnsi" w:hAnsiTheme="minorHAnsi" w:cstheme="minorHAnsi"/>
          <w:sz w:val="22"/>
          <w:szCs w:val="22"/>
          <w:lang w:val="hr-HR"/>
        </w:rPr>
      </w:pPr>
    </w:p>
    <w:tbl>
      <w:tblPr>
        <w:tblW w:w="5380" w:type="pct"/>
        <w:tblInd w:w="-142" w:type="dxa"/>
        <w:tblLayout w:type="fixed"/>
        <w:tblCellMar>
          <w:left w:w="120" w:type="dxa"/>
          <w:right w:w="120" w:type="dxa"/>
        </w:tblCellMar>
        <w:tblLook w:val="0000" w:firstRow="0" w:lastRow="0" w:firstColumn="0" w:lastColumn="0" w:noHBand="0" w:noVBand="0"/>
      </w:tblPr>
      <w:tblGrid>
        <w:gridCol w:w="2498"/>
        <w:gridCol w:w="1047"/>
        <w:gridCol w:w="982"/>
        <w:gridCol w:w="157"/>
        <w:gridCol w:w="906"/>
        <w:gridCol w:w="125"/>
        <w:gridCol w:w="938"/>
        <w:gridCol w:w="91"/>
        <w:gridCol w:w="1031"/>
        <w:gridCol w:w="24"/>
        <w:gridCol w:w="1135"/>
        <w:gridCol w:w="1131"/>
      </w:tblGrid>
      <w:tr w:rsidR="004B16B5" w:rsidRPr="00EE3D7C" w14:paraId="21AD7585" w14:textId="77777777" w:rsidTr="007E1860">
        <w:trPr>
          <w:trHeight w:val="380"/>
        </w:trPr>
        <w:tc>
          <w:tcPr>
            <w:tcW w:w="1241" w:type="pct"/>
            <w:vAlign w:val="center"/>
          </w:tcPr>
          <w:p w14:paraId="1D63CD7C" w14:textId="77777777" w:rsidR="004B16B5" w:rsidRPr="007E1860" w:rsidRDefault="004B16B5" w:rsidP="00EE3D7C">
            <w:pPr>
              <w:tabs>
                <w:tab w:val="left" w:pos="-720"/>
              </w:tabs>
              <w:suppressAutoHyphens/>
              <w:spacing w:after="0" w:line="240" w:lineRule="auto"/>
              <w:ind w:right="-6"/>
              <w:rPr>
                <w:rFonts w:eastAsia="Times New Roman" w:cs="Arial"/>
                <w:b/>
                <w:sz w:val="18"/>
                <w:szCs w:val="18"/>
              </w:rPr>
            </w:pPr>
            <w:r w:rsidRPr="007E1860">
              <w:rPr>
                <w:rFonts w:eastAsia="Times New Roman" w:cs="Arial"/>
                <w:b/>
                <w:sz w:val="18"/>
                <w:szCs w:val="18"/>
              </w:rPr>
              <w:t>Banka</w:t>
            </w:r>
          </w:p>
          <w:p w14:paraId="18CEC0DA" w14:textId="248F1F8D" w:rsidR="004B16B5" w:rsidRPr="007E1860" w:rsidRDefault="004B16B5" w:rsidP="00EE3D7C">
            <w:pPr>
              <w:tabs>
                <w:tab w:val="left" w:pos="-720"/>
              </w:tabs>
              <w:suppressAutoHyphens/>
              <w:spacing w:after="0" w:line="240" w:lineRule="auto"/>
              <w:ind w:right="-6"/>
              <w:rPr>
                <w:rFonts w:eastAsia="Times New Roman" w:cs="Arial"/>
                <w:b/>
                <w:sz w:val="18"/>
                <w:szCs w:val="18"/>
              </w:rPr>
            </w:pPr>
            <w:r w:rsidRPr="007E1860">
              <w:rPr>
                <w:rFonts w:eastAsia="Times New Roman" w:cs="Arial"/>
                <w:b/>
                <w:sz w:val="18"/>
                <w:szCs w:val="18"/>
              </w:rPr>
              <w:t>31.12.201</w:t>
            </w:r>
            <w:r w:rsidR="00AD0961" w:rsidRPr="007E1860">
              <w:rPr>
                <w:rFonts w:eastAsia="Times New Roman" w:cs="Arial"/>
                <w:b/>
                <w:sz w:val="18"/>
                <w:szCs w:val="18"/>
              </w:rPr>
              <w:t>6</w:t>
            </w:r>
            <w:r w:rsidRPr="007E1860">
              <w:rPr>
                <w:rFonts w:eastAsia="Times New Roman" w:cs="Arial"/>
                <w:b/>
                <w:sz w:val="18"/>
                <w:szCs w:val="18"/>
              </w:rPr>
              <w:t>.</w:t>
            </w:r>
          </w:p>
        </w:tc>
        <w:tc>
          <w:tcPr>
            <w:tcW w:w="520" w:type="pct"/>
          </w:tcPr>
          <w:p w14:paraId="4EC92484" w14:textId="77777777" w:rsidR="004B16B5" w:rsidRPr="007E1860" w:rsidRDefault="004B16B5" w:rsidP="00EE3D7C">
            <w:pPr>
              <w:tabs>
                <w:tab w:val="left" w:pos="-720"/>
              </w:tabs>
              <w:suppressAutoHyphens/>
              <w:spacing w:after="0" w:line="240" w:lineRule="auto"/>
              <w:ind w:right="-6"/>
              <w:jc w:val="right"/>
              <w:rPr>
                <w:rFonts w:eastAsia="Times New Roman" w:cs="Arial"/>
                <w:b/>
                <w:sz w:val="18"/>
                <w:szCs w:val="18"/>
              </w:rPr>
            </w:pPr>
            <w:r w:rsidRPr="007E1860">
              <w:rPr>
                <w:rFonts w:eastAsia="Times New Roman" w:cs="Arial"/>
                <w:b/>
                <w:sz w:val="18"/>
                <w:szCs w:val="18"/>
              </w:rPr>
              <w:t>Do 1 mjesec</w:t>
            </w:r>
          </w:p>
        </w:tc>
        <w:tc>
          <w:tcPr>
            <w:tcW w:w="488" w:type="pct"/>
          </w:tcPr>
          <w:p w14:paraId="158AB412" w14:textId="77777777" w:rsidR="004B16B5" w:rsidRPr="007E1860" w:rsidRDefault="004B16B5" w:rsidP="00EE3D7C">
            <w:pPr>
              <w:tabs>
                <w:tab w:val="left" w:pos="-720"/>
              </w:tabs>
              <w:suppressAutoHyphens/>
              <w:spacing w:after="0" w:line="240" w:lineRule="auto"/>
              <w:ind w:right="-6"/>
              <w:jc w:val="right"/>
              <w:rPr>
                <w:rFonts w:eastAsia="Times New Roman" w:cs="Arial"/>
                <w:b/>
                <w:sz w:val="18"/>
                <w:szCs w:val="18"/>
              </w:rPr>
            </w:pPr>
            <w:r w:rsidRPr="007E1860">
              <w:rPr>
                <w:rFonts w:eastAsia="Times New Roman" w:cs="Arial"/>
                <w:b/>
                <w:sz w:val="18"/>
                <w:szCs w:val="18"/>
              </w:rPr>
              <w:t>1 do 3 mjeseca</w:t>
            </w:r>
          </w:p>
        </w:tc>
        <w:tc>
          <w:tcPr>
            <w:tcW w:w="528" w:type="pct"/>
            <w:gridSpan w:val="2"/>
          </w:tcPr>
          <w:p w14:paraId="052AE165" w14:textId="77777777" w:rsidR="004B16B5" w:rsidRPr="007E1860" w:rsidRDefault="004B16B5" w:rsidP="00EE3D7C">
            <w:pPr>
              <w:tabs>
                <w:tab w:val="left" w:pos="-720"/>
              </w:tabs>
              <w:suppressAutoHyphens/>
              <w:spacing w:after="0" w:line="240" w:lineRule="auto"/>
              <w:ind w:right="-6"/>
              <w:jc w:val="right"/>
              <w:rPr>
                <w:rFonts w:eastAsia="Times New Roman" w:cs="Arial"/>
                <w:b/>
                <w:sz w:val="18"/>
                <w:szCs w:val="18"/>
              </w:rPr>
            </w:pPr>
            <w:r w:rsidRPr="007E1860">
              <w:rPr>
                <w:rFonts w:eastAsia="Times New Roman" w:cs="Arial"/>
                <w:b/>
                <w:sz w:val="18"/>
                <w:szCs w:val="18"/>
              </w:rPr>
              <w:t>3 mj. do 1 godine</w:t>
            </w:r>
          </w:p>
        </w:tc>
        <w:tc>
          <w:tcPr>
            <w:tcW w:w="528" w:type="pct"/>
            <w:gridSpan w:val="2"/>
          </w:tcPr>
          <w:p w14:paraId="5915A4C6" w14:textId="77777777" w:rsidR="004B16B5" w:rsidRPr="007E1860" w:rsidRDefault="004B16B5" w:rsidP="00EE3D7C">
            <w:pPr>
              <w:tabs>
                <w:tab w:val="left" w:pos="-720"/>
              </w:tabs>
              <w:suppressAutoHyphens/>
              <w:spacing w:after="0" w:line="240" w:lineRule="auto"/>
              <w:ind w:right="-6"/>
              <w:jc w:val="right"/>
              <w:rPr>
                <w:rFonts w:eastAsia="Times New Roman" w:cs="Arial"/>
                <w:b/>
                <w:sz w:val="18"/>
                <w:szCs w:val="18"/>
              </w:rPr>
            </w:pPr>
            <w:r w:rsidRPr="007E1860">
              <w:rPr>
                <w:rFonts w:eastAsia="Times New Roman" w:cs="Arial"/>
                <w:b/>
                <w:sz w:val="18"/>
                <w:szCs w:val="18"/>
              </w:rPr>
              <w:t>1 do 3 godina</w:t>
            </w:r>
          </w:p>
        </w:tc>
        <w:tc>
          <w:tcPr>
            <w:tcW w:w="569" w:type="pct"/>
            <w:gridSpan w:val="3"/>
          </w:tcPr>
          <w:p w14:paraId="2E5F2BE7" w14:textId="77777777" w:rsidR="004B16B5" w:rsidRPr="007E1860" w:rsidRDefault="004B16B5" w:rsidP="00EE3D7C">
            <w:pPr>
              <w:tabs>
                <w:tab w:val="left" w:pos="-720"/>
              </w:tabs>
              <w:suppressAutoHyphens/>
              <w:spacing w:after="0" w:line="240" w:lineRule="auto"/>
              <w:ind w:right="-6"/>
              <w:jc w:val="right"/>
              <w:rPr>
                <w:rFonts w:eastAsia="Times New Roman" w:cs="Arial"/>
                <w:b/>
                <w:sz w:val="18"/>
                <w:szCs w:val="18"/>
              </w:rPr>
            </w:pPr>
            <w:r w:rsidRPr="007E1860">
              <w:rPr>
                <w:rFonts w:eastAsia="Times New Roman" w:cs="Arial"/>
                <w:b/>
                <w:sz w:val="18"/>
                <w:szCs w:val="18"/>
              </w:rPr>
              <w:t>Preko 3 godine</w:t>
            </w:r>
          </w:p>
        </w:tc>
        <w:tc>
          <w:tcPr>
            <w:tcW w:w="564" w:type="pct"/>
          </w:tcPr>
          <w:p w14:paraId="14240CF2" w14:textId="77777777" w:rsidR="004B16B5" w:rsidRPr="007E1860" w:rsidRDefault="004B16B5" w:rsidP="00EE3D7C">
            <w:pPr>
              <w:tabs>
                <w:tab w:val="left" w:pos="-720"/>
              </w:tabs>
              <w:suppressAutoHyphens/>
              <w:spacing w:after="0" w:line="240" w:lineRule="auto"/>
              <w:ind w:right="-6"/>
              <w:jc w:val="right"/>
              <w:rPr>
                <w:rFonts w:eastAsia="Times New Roman" w:cs="Arial"/>
                <w:b/>
                <w:sz w:val="18"/>
                <w:szCs w:val="18"/>
              </w:rPr>
            </w:pPr>
            <w:proofErr w:type="spellStart"/>
            <w:r w:rsidRPr="007E1860">
              <w:rPr>
                <w:rFonts w:eastAsia="Times New Roman" w:cs="Arial"/>
                <w:b/>
                <w:sz w:val="18"/>
                <w:szCs w:val="18"/>
              </w:rPr>
              <w:t>Beska-matno</w:t>
            </w:r>
            <w:proofErr w:type="spellEnd"/>
          </w:p>
        </w:tc>
        <w:tc>
          <w:tcPr>
            <w:tcW w:w="563" w:type="pct"/>
          </w:tcPr>
          <w:p w14:paraId="46115317" w14:textId="77777777" w:rsidR="004B16B5" w:rsidRPr="007E1860" w:rsidRDefault="004B16B5" w:rsidP="00EE3D7C">
            <w:pPr>
              <w:tabs>
                <w:tab w:val="left" w:pos="-720"/>
              </w:tabs>
              <w:suppressAutoHyphens/>
              <w:spacing w:after="0" w:line="240" w:lineRule="auto"/>
              <w:ind w:right="-6"/>
              <w:jc w:val="right"/>
              <w:rPr>
                <w:rFonts w:eastAsia="Times New Roman" w:cs="Arial"/>
                <w:b/>
                <w:sz w:val="18"/>
                <w:szCs w:val="18"/>
              </w:rPr>
            </w:pPr>
            <w:r w:rsidRPr="007E1860">
              <w:rPr>
                <w:rFonts w:eastAsia="Times New Roman" w:cs="Arial"/>
                <w:b/>
                <w:sz w:val="18"/>
                <w:szCs w:val="18"/>
              </w:rPr>
              <w:t>Ukupno</w:t>
            </w:r>
          </w:p>
        </w:tc>
      </w:tr>
      <w:tr w:rsidR="004B16B5" w:rsidRPr="00EE3D7C" w14:paraId="6E7BE6B2" w14:textId="77777777" w:rsidTr="007E1860">
        <w:trPr>
          <w:trHeight w:val="88"/>
        </w:trPr>
        <w:tc>
          <w:tcPr>
            <w:tcW w:w="1241" w:type="pct"/>
            <w:vAlign w:val="bottom"/>
          </w:tcPr>
          <w:p w14:paraId="168232D4" w14:textId="77777777" w:rsidR="004B16B5" w:rsidRPr="007E1860" w:rsidRDefault="004B16B5" w:rsidP="00EE3D7C">
            <w:pPr>
              <w:tabs>
                <w:tab w:val="left" w:pos="-720"/>
              </w:tabs>
              <w:suppressAutoHyphens/>
              <w:spacing w:after="0" w:line="240" w:lineRule="auto"/>
              <w:ind w:right="-5"/>
              <w:rPr>
                <w:rFonts w:eastAsia="Times New Roman" w:cs="Arial"/>
                <w:b/>
                <w:sz w:val="18"/>
                <w:szCs w:val="18"/>
              </w:rPr>
            </w:pPr>
            <w:r w:rsidRPr="007E1860">
              <w:rPr>
                <w:rFonts w:eastAsia="Times New Roman" w:cs="Arial"/>
                <w:b/>
                <w:sz w:val="18"/>
                <w:szCs w:val="18"/>
              </w:rPr>
              <w:t>Imovina</w:t>
            </w:r>
          </w:p>
        </w:tc>
        <w:tc>
          <w:tcPr>
            <w:tcW w:w="520" w:type="pct"/>
          </w:tcPr>
          <w:p w14:paraId="1BE4BBBF" w14:textId="77777777" w:rsidR="004B16B5" w:rsidRPr="007E1860" w:rsidRDefault="004B16B5" w:rsidP="00EE3D7C">
            <w:pPr>
              <w:tabs>
                <w:tab w:val="left" w:pos="-720"/>
              </w:tabs>
              <w:suppressAutoHyphens/>
              <w:spacing w:after="0" w:line="240" w:lineRule="auto"/>
              <w:ind w:right="-5"/>
              <w:jc w:val="right"/>
              <w:rPr>
                <w:rFonts w:eastAsia="Times New Roman" w:cs="Arial"/>
                <w:sz w:val="18"/>
                <w:szCs w:val="18"/>
              </w:rPr>
            </w:pPr>
          </w:p>
        </w:tc>
        <w:tc>
          <w:tcPr>
            <w:tcW w:w="488" w:type="pct"/>
          </w:tcPr>
          <w:p w14:paraId="310341DD" w14:textId="77777777" w:rsidR="004B16B5" w:rsidRPr="007E1860" w:rsidRDefault="004B16B5" w:rsidP="00EE3D7C">
            <w:pPr>
              <w:tabs>
                <w:tab w:val="left" w:pos="-720"/>
              </w:tabs>
              <w:suppressAutoHyphens/>
              <w:spacing w:after="0" w:line="240" w:lineRule="auto"/>
              <w:ind w:right="-5"/>
              <w:jc w:val="right"/>
              <w:rPr>
                <w:rFonts w:eastAsia="Times New Roman" w:cs="Arial"/>
                <w:sz w:val="18"/>
                <w:szCs w:val="18"/>
              </w:rPr>
            </w:pPr>
          </w:p>
        </w:tc>
        <w:tc>
          <w:tcPr>
            <w:tcW w:w="528" w:type="pct"/>
            <w:gridSpan w:val="2"/>
          </w:tcPr>
          <w:p w14:paraId="65028CF4" w14:textId="77777777" w:rsidR="004B16B5" w:rsidRPr="007E1860" w:rsidRDefault="004B16B5" w:rsidP="00EE3D7C">
            <w:pPr>
              <w:tabs>
                <w:tab w:val="left" w:pos="-720"/>
              </w:tabs>
              <w:suppressAutoHyphens/>
              <w:spacing w:after="0" w:line="240" w:lineRule="auto"/>
              <w:ind w:right="-5"/>
              <w:jc w:val="right"/>
              <w:rPr>
                <w:rFonts w:eastAsia="Times New Roman" w:cs="Arial"/>
                <w:sz w:val="18"/>
                <w:szCs w:val="18"/>
              </w:rPr>
            </w:pPr>
          </w:p>
        </w:tc>
        <w:tc>
          <w:tcPr>
            <w:tcW w:w="528" w:type="pct"/>
            <w:gridSpan w:val="2"/>
          </w:tcPr>
          <w:p w14:paraId="2DE66C65" w14:textId="77777777" w:rsidR="004B16B5" w:rsidRPr="007E1860" w:rsidRDefault="004B16B5" w:rsidP="00EE3D7C">
            <w:pPr>
              <w:tabs>
                <w:tab w:val="left" w:pos="-720"/>
              </w:tabs>
              <w:suppressAutoHyphens/>
              <w:spacing w:after="0" w:line="240" w:lineRule="auto"/>
              <w:ind w:right="-5"/>
              <w:jc w:val="right"/>
              <w:rPr>
                <w:rFonts w:eastAsia="Times New Roman" w:cs="Arial"/>
                <w:sz w:val="18"/>
                <w:szCs w:val="18"/>
              </w:rPr>
            </w:pPr>
          </w:p>
        </w:tc>
        <w:tc>
          <w:tcPr>
            <w:tcW w:w="569" w:type="pct"/>
            <w:gridSpan w:val="3"/>
          </w:tcPr>
          <w:p w14:paraId="7BD92CEA" w14:textId="77777777" w:rsidR="004B16B5" w:rsidRPr="007E1860" w:rsidRDefault="004B16B5" w:rsidP="00EE3D7C">
            <w:pPr>
              <w:tabs>
                <w:tab w:val="left" w:pos="-720"/>
              </w:tabs>
              <w:suppressAutoHyphens/>
              <w:spacing w:after="0" w:line="240" w:lineRule="auto"/>
              <w:ind w:right="-5"/>
              <w:jc w:val="right"/>
              <w:rPr>
                <w:rFonts w:eastAsia="Times New Roman" w:cs="Arial"/>
                <w:sz w:val="18"/>
                <w:szCs w:val="18"/>
              </w:rPr>
            </w:pPr>
          </w:p>
        </w:tc>
        <w:tc>
          <w:tcPr>
            <w:tcW w:w="564" w:type="pct"/>
          </w:tcPr>
          <w:p w14:paraId="559CFF1F" w14:textId="77777777" w:rsidR="004B16B5" w:rsidRPr="007E1860" w:rsidRDefault="004B16B5" w:rsidP="00EE3D7C">
            <w:pPr>
              <w:tabs>
                <w:tab w:val="left" w:pos="-720"/>
              </w:tabs>
              <w:suppressAutoHyphens/>
              <w:spacing w:after="0" w:line="240" w:lineRule="auto"/>
              <w:ind w:right="-5"/>
              <w:jc w:val="right"/>
              <w:rPr>
                <w:rFonts w:eastAsia="Times New Roman" w:cs="Arial"/>
                <w:sz w:val="18"/>
                <w:szCs w:val="18"/>
              </w:rPr>
            </w:pPr>
          </w:p>
        </w:tc>
        <w:tc>
          <w:tcPr>
            <w:tcW w:w="563" w:type="pct"/>
          </w:tcPr>
          <w:p w14:paraId="02F43AAE" w14:textId="77777777" w:rsidR="004B16B5" w:rsidRPr="007E1860" w:rsidRDefault="004B16B5" w:rsidP="00EE3D7C">
            <w:pPr>
              <w:tabs>
                <w:tab w:val="left" w:pos="-720"/>
              </w:tabs>
              <w:suppressAutoHyphens/>
              <w:spacing w:after="0" w:line="240" w:lineRule="auto"/>
              <w:ind w:right="-5"/>
              <w:jc w:val="right"/>
              <w:rPr>
                <w:rFonts w:eastAsia="Times New Roman" w:cs="Arial"/>
                <w:sz w:val="18"/>
                <w:szCs w:val="18"/>
              </w:rPr>
            </w:pPr>
          </w:p>
        </w:tc>
      </w:tr>
      <w:tr w:rsidR="00AD0961" w:rsidRPr="00EE3D7C" w14:paraId="622A5EE8" w14:textId="77777777" w:rsidTr="007E1860">
        <w:trPr>
          <w:trHeight w:val="171"/>
        </w:trPr>
        <w:tc>
          <w:tcPr>
            <w:tcW w:w="1241" w:type="pct"/>
            <w:vAlign w:val="bottom"/>
          </w:tcPr>
          <w:p w14:paraId="224E316E" w14:textId="77777777" w:rsidR="00AD0961" w:rsidRPr="007E1860" w:rsidRDefault="00AD0961" w:rsidP="00EE3D7C">
            <w:pPr>
              <w:tabs>
                <w:tab w:val="left" w:pos="-720"/>
              </w:tabs>
              <w:suppressAutoHyphens/>
              <w:spacing w:after="0" w:line="240" w:lineRule="auto"/>
              <w:ind w:right="-5"/>
              <w:rPr>
                <w:rFonts w:eastAsia="Times New Roman" w:cs="Arial"/>
                <w:sz w:val="18"/>
                <w:szCs w:val="18"/>
              </w:rPr>
            </w:pPr>
            <w:r w:rsidRPr="007E1860">
              <w:rPr>
                <w:rFonts w:eastAsia="Times New Roman" w:cs="Arial"/>
                <w:sz w:val="18"/>
                <w:szCs w:val="18"/>
              </w:rPr>
              <w:t>Novčana sredstva i računi kod banaka</w:t>
            </w:r>
          </w:p>
        </w:tc>
        <w:tc>
          <w:tcPr>
            <w:tcW w:w="520" w:type="pct"/>
            <w:tcBorders>
              <w:top w:val="nil"/>
              <w:left w:val="nil"/>
              <w:bottom w:val="nil"/>
              <w:right w:val="nil"/>
            </w:tcBorders>
            <w:shd w:val="clear" w:color="auto" w:fill="auto"/>
            <w:vAlign w:val="bottom"/>
          </w:tcPr>
          <w:p w14:paraId="2CCB0F9F" w14:textId="7759ECE0" w:rsidR="00AD0961" w:rsidRPr="007E1860" w:rsidRDefault="00AD0961" w:rsidP="00EE3D7C">
            <w:pPr>
              <w:spacing w:after="0" w:line="240" w:lineRule="auto"/>
              <w:jc w:val="right"/>
              <w:rPr>
                <w:rFonts w:eastAsia="Times New Roman" w:cs="Arial"/>
                <w:sz w:val="18"/>
                <w:szCs w:val="18"/>
              </w:rPr>
            </w:pPr>
            <w:r w:rsidRPr="007E1860">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05230541" w14:textId="0FFA0912"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2B8D54D3" w14:textId="1349AF6E"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67FBDDB2" w14:textId="6800DA5D"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4474D499" w14:textId="5F9A808B"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510CD0BE" w14:textId="1803BEE4" w:rsidR="00AD0961" w:rsidRPr="007E1860" w:rsidRDefault="00AD0961" w:rsidP="00EE3D7C">
            <w:pPr>
              <w:spacing w:after="0" w:line="240" w:lineRule="auto"/>
              <w:jc w:val="right"/>
              <w:rPr>
                <w:rFonts w:eastAsia="Times New Roman" w:cs="Arial"/>
                <w:sz w:val="18"/>
                <w:szCs w:val="18"/>
              </w:rPr>
            </w:pPr>
            <w:r w:rsidRPr="007E1860">
              <w:rPr>
                <w:rFonts w:ascii="Calibri" w:hAnsi="Calibri"/>
                <w:color w:val="000000"/>
                <w:sz w:val="18"/>
                <w:szCs w:val="18"/>
              </w:rPr>
              <w:t>490.695</w:t>
            </w:r>
          </w:p>
        </w:tc>
        <w:tc>
          <w:tcPr>
            <w:tcW w:w="563" w:type="pct"/>
            <w:tcBorders>
              <w:top w:val="nil"/>
              <w:left w:val="nil"/>
              <w:bottom w:val="nil"/>
              <w:right w:val="nil"/>
            </w:tcBorders>
            <w:shd w:val="clear" w:color="auto" w:fill="auto"/>
            <w:vAlign w:val="bottom"/>
          </w:tcPr>
          <w:p w14:paraId="73B0D6B9" w14:textId="50467623" w:rsidR="00AD0961" w:rsidRPr="007E1860" w:rsidRDefault="00AD0961" w:rsidP="00EE3D7C">
            <w:pPr>
              <w:spacing w:after="0" w:line="240" w:lineRule="auto"/>
              <w:jc w:val="right"/>
              <w:rPr>
                <w:rFonts w:eastAsia="Times New Roman" w:cs="Arial"/>
                <w:bCs/>
                <w:sz w:val="18"/>
                <w:szCs w:val="18"/>
              </w:rPr>
            </w:pPr>
            <w:r w:rsidRPr="007E1860">
              <w:rPr>
                <w:rFonts w:ascii="Calibri" w:hAnsi="Calibri"/>
                <w:color w:val="000000"/>
                <w:sz w:val="18"/>
                <w:szCs w:val="18"/>
              </w:rPr>
              <w:t>490.695</w:t>
            </w:r>
          </w:p>
        </w:tc>
      </w:tr>
      <w:tr w:rsidR="00AD0961" w:rsidRPr="00EE3D7C" w14:paraId="1741CB7D" w14:textId="77777777" w:rsidTr="007E1860">
        <w:trPr>
          <w:trHeight w:val="86"/>
        </w:trPr>
        <w:tc>
          <w:tcPr>
            <w:tcW w:w="1241" w:type="pct"/>
            <w:vAlign w:val="bottom"/>
          </w:tcPr>
          <w:p w14:paraId="0E87D31C" w14:textId="77777777" w:rsidR="00AD0961" w:rsidRPr="007E1860" w:rsidRDefault="00AD0961" w:rsidP="00EE3D7C">
            <w:pPr>
              <w:tabs>
                <w:tab w:val="right" w:pos="1202"/>
              </w:tabs>
              <w:spacing w:after="0" w:line="240" w:lineRule="auto"/>
              <w:outlineLvl w:val="0"/>
              <w:rPr>
                <w:rFonts w:eastAsia="Times New Roman" w:cs="Arial"/>
                <w:spacing w:val="-2"/>
                <w:sz w:val="18"/>
                <w:szCs w:val="18"/>
              </w:rPr>
            </w:pPr>
            <w:r w:rsidRPr="007E1860">
              <w:rPr>
                <w:rFonts w:eastAsia="Times New Roman" w:cs="Arial"/>
                <w:spacing w:val="-2"/>
                <w:sz w:val="18"/>
                <w:szCs w:val="18"/>
              </w:rPr>
              <w:t>Depoziti kod drugih banaka</w:t>
            </w:r>
          </w:p>
        </w:tc>
        <w:tc>
          <w:tcPr>
            <w:tcW w:w="520" w:type="pct"/>
            <w:tcBorders>
              <w:top w:val="nil"/>
              <w:left w:val="nil"/>
              <w:bottom w:val="nil"/>
              <w:right w:val="nil"/>
            </w:tcBorders>
            <w:shd w:val="clear" w:color="auto" w:fill="auto"/>
            <w:vAlign w:val="bottom"/>
          </w:tcPr>
          <w:p w14:paraId="0BBA9112" w14:textId="374250EC"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w:t>
            </w:r>
          </w:p>
        </w:tc>
        <w:tc>
          <w:tcPr>
            <w:tcW w:w="488" w:type="pct"/>
            <w:tcBorders>
              <w:top w:val="nil"/>
              <w:left w:val="nil"/>
              <w:bottom w:val="nil"/>
              <w:right w:val="nil"/>
            </w:tcBorders>
            <w:shd w:val="clear" w:color="auto" w:fill="auto"/>
            <w:vAlign w:val="bottom"/>
          </w:tcPr>
          <w:p w14:paraId="0F5C2659" w14:textId="2A5C5650"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23.871</w:t>
            </w:r>
          </w:p>
        </w:tc>
        <w:tc>
          <w:tcPr>
            <w:tcW w:w="528" w:type="pct"/>
            <w:gridSpan w:val="2"/>
            <w:tcBorders>
              <w:top w:val="nil"/>
              <w:left w:val="nil"/>
              <w:bottom w:val="nil"/>
              <w:right w:val="nil"/>
            </w:tcBorders>
            <w:shd w:val="clear" w:color="auto" w:fill="auto"/>
            <w:vAlign w:val="bottom"/>
          </w:tcPr>
          <w:p w14:paraId="5D37F0C2" w14:textId="35FD4CE2"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461C26CE" w14:textId="00E0524A"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41098EFE" w14:textId="771D2B4E"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26BF7E2B" w14:textId="4004BCB5"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1</w:t>
            </w:r>
          </w:p>
        </w:tc>
        <w:tc>
          <w:tcPr>
            <w:tcW w:w="563" w:type="pct"/>
            <w:tcBorders>
              <w:top w:val="nil"/>
              <w:left w:val="nil"/>
              <w:bottom w:val="nil"/>
              <w:right w:val="nil"/>
            </w:tcBorders>
            <w:shd w:val="clear" w:color="auto" w:fill="auto"/>
            <w:vAlign w:val="bottom"/>
          </w:tcPr>
          <w:p w14:paraId="1B57ED92" w14:textId="700E33C6"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23.872</w:t>
            </w:r>
          </w:p>
        </w:tc>
      </w:tr>
      <w:tr w:rsidR="00AD0961" w:rsidRPr="00EE3D7C" w14:paraId="11F5A389" w14:textId="77777777" w:rsidTr="007E1860">
        <w:trPr>
          <w:trHeight w:val="171"/>
        </w:trPr>
        <w:tc>
          <w:tcPr>
            <w:tcW w:w="1241" w:type="pct"/>
            <w:vAlign w:val="bottom"/>
          </w:tcPr>
          <w:p w14:paraId="52283EE5" w14:textId="77777777" w:rsidR="00AD0961" w:rsidRPr="007E1860" w:rsidRDefault="00AD0961" w:rsidP="00EE3D7C">
            <w:pPr>
              <w:tabs>
                <w:tab w:val="right" w:pos="1202"/>
              </w:tabs>
              <w:spacing w:after="0" w:line="240" w:lineRule="auto"/>
              <w:outlineLvl w:val="0"/>
              <w:rPr>
                <w:rFonts w:eastAsia="Times New Roman" w:cs="Arial"/>
                <w:spacing w:val="-2"/>
                <w:sz w:val="18"/>
                <w:szCs w:val="18"/>
              </w:rPr>
            </w:pPr>
            <w:r w:rsidRPr="007E1860">
              <w:rPr>
                <w:rFonts w:eastAsia="Times New Roman" w:cs="Arial"/>
                <w:spacing w:val="-2"/>
                <w:sz w:val="18"/>
                <w:szCs w:val="18"/>
              </w:rPr>
              <w:t>Krediti financijskim institucijama</w:t>
            </w:r>
          </w:p>
        </w:tc>
        <w:tc>
          <w:tcPr>
            <w:tcW w:w="520" w:type="pct"/>
            <w:tcBorders>
              <w:top w:val="nil"/>
              <w:left w:val="nil"/>
              <w:bottom w:val="nil"/>
              <w:right w:val="nil"/>
            </w:tcBorders>
            <w:shd w:val="clear" w:color="auto" w:fill="auto"/>
            <w:vAlign w:val="bottom"/>
          </w:tcPr>
          <w:p w14:paraId="6D01B1C7" w14:textId="50B6EA3E"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652.666</w:t>
            </w:r>
          </w:p>
        </w:tc>
        <w:tc>
          <w:tcPr>
            <w:tcW w:w="488" w:type="pct"/>
            <w:tcBorders>
              <w:top w:val="nil"/>
              <w:left w:val="nil"/>
              <w:bottom w:val="nil"/>
              <w:right w:val="nil"/>
            </w:tcBorders>
            <w:shd w:val="clear" w:color="auto" w:fill="auto"/>
            <w:vAlign w:val="bottom"/>
          </w:tcPr>
          <w:p w14:paraId="750E1048" w14:textId="3B819399"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836.489</w:t>
            </w:r>
          </w:p>
        </w:tc>
        <w:tc>
          <w:tcPr>
            <w:tcW w:w="528" w:type="pct"/>
            <w:gridSpan w:val="2"/>
            <w:tcBorders>
              <w:top w:val="nil"/>
              <w:left w:val="nil"/>
              <w:bottom w:val="nil"/>
              <w:right w:val="nil"/>
            </w:tcBorders>
            <w:shd w:val="clear" w:color="auto" w:fill="auto"/>
            <w:vAlign w:val="bottom"/>
          </w:tcPr>
          <w:p w14:paraId="37939710" w14:textId="529C9CED"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1.873.910</w:t>
            </w:r>
          </w:p>
        </w:tc>
        <w:tc>
          <w:tcPr>
            <w:tcW w:w="528" w:type="pct"/>
            <w:gridSpan w:val="2"/>
            <w:tcBorders>
              <w:top w:val="nil"/>
              <w:left w:val="nil"/>
              <w:bottom w:val="nil"/>
              <w:right w:val="nil"/>
            </w:tcBorders>
            <w:shd w:val="clear" w:color="auto" w:fill="auto"/>
            <w:vAlign w:val="bottom"/>
          </w:tcPr>
          <w:p w14:paraId="341712DC" w14:textId="0CFA681A"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2.926.641</w:t>
            </w:r>
          </w:p>
        </w:tc>
        <w:tc>
          <w:tcPr>
            <w:tcW w:w="569" w:type="pct"/>
            <w:gridSpan w:val="3"/>
            <w:tcBorders>
              <w:top w:val="nil"/>
              <w:left w:val="nil"/>
              <w:bottom w:val="nil"/>
              <w:right w:val="nil"/>
            </w:tcBorders>
            <w:shd w:val="clear" w:color="auto" w:fill="auto"/>
            <w:vAlign w:val="bottom"/>
          </w:tcPr>
          <w:p w14:paraId="743B57C9" w14:textId="0BFD6880"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5.562.538</w:t>
            </w:r>
          </w:p>
        </w:tc>
        <w:tc>
          <w:tcPr>
            <w:tcW w:w="564" w:type="pct"/>
            <w:tcBorders>
              <w:top w:val="nil"/>
              <w:left w:val="nil"/>
              <w:bottom w:val="nil"/>
              <w:right w:val="nil"/>
            </w:tcBorders>
            <w:shd w:val="clear" w:color="auto" w:fill="auto"/>
            <w:vAlign w:val="bottom"/>
          </w:tcPr>
          <w:p w14:paraId="23A3C05E" w14:textId="47EEB8DF"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36.867</w:t>
            </w:r>
          </w:p>
        </w:tc>
        <w:tc>
          <w:tcPr>
            <w:tcW w:w="563" w:type="pct"/>
            <w:tcBorders>
              <w:top w:val="nil"/>
              <w:left w:val="nil"/>
              <w:bottom w:val="nil"/>
              <w:right w:val="nil"/>
            </w:tcBorders>
            <w:shd w:val="clear" w:color="auto" w:fill="auto"/>
            <w:vAlign w:val="bottom"/>
          </w:tcPr>
          <w:p w14:paraId="5C17A3D9" w14:textId="5BE44BA3"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11.889.111</w:t>
            </w:r>
          </w:p>
        </w:tc>
      </w:tr>
      <w:tr w:rsidR="00AD0961" w:rsidRPr="00EE3D7C" w14:paraId="71879084" w14:textId="77777777" w:rsidTr="007E1860">
        <w:trPr>
          <w:trHeight w:val="86"/>
        </w:trPr>
        <w:tc>
          <w:tcPr>
            <w:tcW w:w="1241" w:type="pct"/>
            <w:vAlign w:val="bottom"/>
          </w:tcPr>
          <w:p w14:paraId="178F813C" w14:textId="77777777" w:rsidR="00AD0961" w:rsidRPr="007E1860" w:rsidRDefault="00AD0961" w:rsidP="00EE3D7C">
            <w:pPr>
              <w:tabs>
                <w:tab w:val="right" w:pos="1202"/>
              </w:tabs>
              <w:spacing w:after="0" w:line="240" w:lineRule="auto"/>
              <w:outlineLvl w:val="0"/>
              <w:rPr>
                <w:rFonts w:eastAsia="Times New Roman" w:cs="Arial"/>
                <w:spacing w:val="-2"/>
                <w:sz w:val="18"/>
                <w:szCs w:val="18"/>
              </w:rPr>
            </w:pPr>
            <w:r w:rsidRPr="007E1860">
              <w:rPr>
                <w:rFonts w:eastAsia="Times New Roman" w:cs="Arial"/>
                <w:spacing w:val="-2"/>
                <w:sz w:val="18"/>
                <w:szCs w:val="18"/>
              </w:rPr>
              <w:t>Krediti ostalim korisnicima</w:t>
            </w:r>
          </w:p>
        </w:tc>
        <w:tc>
          <w:tcPr>
            <w:tcW w:w="520" w:type="pct"/>
            <w:tcBorders>
              <w:top w:val="nil"/>
              <w:left w:val="nil"/>
              <w:bottom w:val="nil"/>
              <w:right w:val="nil"/>
            </w:tcBorders>
            <w:shd w:val="clear" w:color="auto" w:fill="auto"/>
            <w:vAlign w:val="bottom"/>
          </w:tcPr>
          <w:p w14:paraId="775D92B1" w14:textId="2AD7E9AF"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1.517.371</w:t>
            </w:r>
          </w:p>
        </w:tc>
        <w:tc>
          <w:tcPr>
            <w:tcW w:w="488" w:type="pct"/>
            <w:tcBorders>
              <w:top w:val="nil"/>
              <w:left w:val="nil"/>
              <w:bottom w:val="nil"/>
              <w:right w:val="nil"/>
            </w:tcBorders>
            <w:shd w:val="clear" w:color="auto" w:fill="auto"/>
            <w:vAlign w:val="bottom"/>
          </w:tcPr>
          <w:p w14:paraId="5BD17D78" w14:textId="2604D3AF"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824.285</w:t>
            </w:r>
          </w:p>
        </w:tc>
        <w:tc>
          <w:tcPr>
            <w:tcW w:w="528" w:type="pct"/>
            <w:gridSpan w:val="2"/>
            <w:tcBorders>
              <w:top w:val="nil"/>
              <w:left w:val="nil"/>
              <w:bottom w:val="nil"/>
              <w:right w:val="nil"/>
            </w:tcBorders>
            <w:shd w:val="clear" w:color="auto" w:fill="auto"/>
            <w:vAlign w:val="bottom"/>
          </w:tcPr>
          <w:p w14:paraId="0EC75776" w14:textId="173379EA"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1.081.418</w:t>
            </w:r>
          </w:p>
        </w:tc>
        <w:tc>
          <w:tcPr>
            <w:tcW w:w="528" w:type="pct"/>
            <w:gridSpan w:val="2"/>
            <w:tcBorders>
              <w:top w:val="nil"/>
              <w:left w:val="nil"/>
              <w:bottom w:val="nil"/>
              <w:right w:val="nil"/>
            </w:tcBorders>
            <w:shd w:val="clear" w:color="auto" w:fill="auto"/>
            <w:vAlign w:val="bottom"/>
          </w:tcPr>
          <w:p w14:paraId="10730ECE" w14:textId="11115E91"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1.506.407</w:t>
            </w:r>
          </w:p>
        </w:tc>
        <w:tc>
          <w:tcPr>
            <w:tcW w:w="569" w:type="pct"/>
            <w:gridSpan w:val="3"/>
            <w:tcBorders>
              <w:top w:val="nil"/>
              <w:left w:val="nil"/>
              <w:bottom w:val="nil"/>
              <w:right w:val="nil"/>
            </w:tcBorders>
            <w:shd w:val="clear" w:color="auto" w:fill="auto"/>
            <w:vAlign w:val="bottom"/>
          </w:tcPr>
          <w:p w14:paraId="290BAC82" w14:textId="6FF6D68F"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6.522.314</w:t>
            </w:r>
          </w:p>
        </w:tc>
        <w:tc>
          <w:tcPr>
            <w:tcW w:w="564" w:type="pct"/>
            <w:tcBorders>
              <w:top w:val="nil"/>
              <w:left w:val="nil"/>
              <w:bottom w:val="nil"/>
              <w:right w:val="nil"/>
            </w:tcBorders>
            <w:shd w:val="clear" w:color="auto" w:fill="auto"/>
            <w:vAlign w:val="bottom"/>
          </w:tcPr>
          <w:p w14:paraId="3FE5CF7E" w14:textId="5FB4FCEF"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59.399</w:t>
            </w:r>
          </w:p>
        </w:tc>
        <w:tc>
          <w:tcPr>
            <w:tcW w:w="563" w:type="pct"/>
            <w:tcBorders>
              <w:top w:val="nil"/>
              <w:left w:val="nil"/>
              <w:bottom w:val="nil"/>
              <w:right w:val="nil"/>
            </w:tcBorders>
            <w:shd w:val="clear" w:color="auto" w:fill="auto"/>
            <w:vAlign w:val="bottom"/>
          </w:tcPr>
          <w:p w14:paraId="6E55ED90" w14:textId="7DE5160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11.511.194</w:t>
            </w:r>
          </w:p>
        </w:tc>
      </w:tr>
      <w:tr w:rsidR="00AD0961" w:rsidRPr="00EE3D7C" w14:paraId="01550222" w14:textId="77777777" w:rsidTr="007E1860">
        <w:trPr>
          <w:trHeight w:val="82"/>
        </w:trPr>
        <w:tc>
          <w:tcPr>
            <w:tcW w:w="1241" w:type="pct"/>
            <w:vAlign w:val="bottom"/>
          </w:tcPr>
          <w:p w14:paraId="78C004AC" w14:textId="77777777" w:rsidR="00AD0961" w:rsidRPr="007E1860" w:rsidRDefault="00AD0961" w:rsidP="00EE3D7C">
            <w:pPr>
              <w:tabs>
                <w:tab w:val="right" w:pos="1202"/>
              </w:tabs>
              <w:spacing w:after="0" w:line="240" w:lineRule="auto"/>
              <w:outlineLvl w:val="0"/>
              <w:rPr>
                <w:rFonts w:eastAsia="Times New Roman" w:cs="Arial"/>
                <w:spacing w:val="-2"/>
                <w:sz w:val="18"/>
                <w:szCs w:val="18"/>
              </w:rPr>
            </w:pPr>
            <w:r w:rsidRPr="007E1860">
              <w:rPr>
                <w:rFonts w:eastAsia="Times New Roman" w:cs="Arial"/>
                <w:spacing w:val="-2"/>
                <w:sz w:val="18"/>
                <w:szCs w:val="18"/>
              </w:rPr>
              <w:t>Imovina raspoloživa za prodaju</w:t>
            </w:r>
          </w:p>
        </w:tc>
        <w:tc>
          <w:tcPr>
            <w:tcW w:w="520" w:type="pct"/>
            <w:tcBorders>
              <w:top w:val="nil"/>
              <w:left w:val="nil"/>
              <w:bottom w:val="nil"/>
              <w:right w:val="nil"/>
            </w:tcBorders>
            <w:shd w:val="clear" w:color="auto" w:fill="auto"/>
            <w:vAlign w:val="bottom"/>
          </w:tcPr>
          <w:p w14:paraId="798029E6" w14:textId="68701B68"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2.385.835</w:t>
            </w:r>
          </w:p>
        </w:tc>
        <w:tc>
          <w:tcPr>
            <w:tcW w:w="488" w:type="pct"/>
            <w:tcBorders>
              <w:top w:val="nil"/>
              <w:left w:val="nil"/>
              <w:bottom w:val="nil"/>
              <w:right w:val="nil"/>
            </w:tcBorders>
            <w:shd w:val="clear" w:color="auto" w:fill="auto"/>
            <w:vAlign w:val="bottom"/>
          </w:tcPr>
          <w:p w14:paraId="44D460A7" w14:textId="1BE9063F"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228CC980" w14:textId="2BDB4930"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0E1AFD62" w14:textId="3352852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3C774FD3" w14:textId="2642C350"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483E2679" w14:textId="6F538286"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957.739</w:t>
            </w:r>
          </w:p>
        </w:tc>
        <w:tc>
          <w:tcPr>
            <w:tcW w:w="563" w:type="pct"/>
            <w:tcBorders>
              <w:top w:val="nil"/>
              <w:left w:val="nil"/>
              <w:bottom w:val="nil"/>
              <w:right w:val="nil"/>
            </w:tcBorders>
            <w:shd w:val="clear" w:color="auto" w:fill="auto"/>
            <w:vAlign w:val="bottom"/>
          </w:tcPr>
          <w:p w14:paraId="1356BB1D" w14:textId="6D5CBE58"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3.343.574</w:t>
            </w:r>
          </w:p>
        </w:tc>
      </w:tr>
      <w:tr w:rsidR="00AD0961" w:rsidRPr="00EE3D7C" w14:paraId="3A7D23FC" w14:textId="77777777" w:rsidTr="007E1860">
        <w:trPr>
          <w:trHeight w:val="86"/>
        </w:trPr>
        <w:tc>
          <w:tcPr>
            <w:tcW w:w="1241" w:type="pct"/>
            <w:vAlign w:val="bottom"/>
          </w:tcPr>
          <w:p w14:paraId="353F877A" w14:textId="77777777" w:rsidR="00AD0961" w:rsidRPr="007E1860" w:rsidRDefault="00AD0961" w:rsidP="00EE3D7C">
            <w:pPr>
              <w:tabs>
                <w:tab w:val="right" w:pos="1202"/>
              </w:tabs>
              <w:spacing w:after="0" w:line="240" w:lineRule="auto"/>
              <w:outlineLvl w:val="0"/>
              <w:rPr>
                <w:rFonts w:eastAsia="Times New Roman" w:cs="Arial"/>
                <w:spacing w:val="-2"/>
                <w:sz w:val="18"/>
                <w:szCs w:val="18"/>
              </w:rPr>
            </w:pPr>
            <w:r w:rsidRPr="007E1860">
              <w:rPr>
                <w:rFonts w:eastAsia="Times New Roman" w:cs="Arial"/>
                <w:spacing w:val="-2"/>
                <w:sz w:val="18"/>
                <w:szCs w:val="18"/>
              </w:rPr>
              <w:t>Ulaganja u ovisna društva</w:t>
            </w:r>
          </w:p>
        </w:tc>
        <w:tc>
          <w:tcPr>
            <w:tcW w:w="520" w:type="pct"/>
            <w:tcBorders>
              <w:top w:val="nil"/>
              <w:left w:val="nil"/>
              <w:bottom w:val="nil"/>
              <w:right w:val="nil"/>
            </w:tcBorders>
            <w:shd w:val="clear" w:color="auto" w:fill="auto"/>
            <w:vAlign w:val="bottom"/>
          </w:tcPr>
          <w:p w14:paraId="613D24D7" w14:textId="6E77CB9C"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488" w:type="pct"/>
            <w:tcBorders>
              <w:top w:val="nil"/>
              <w:left w:val="nil"/>
              <w:bottom w:val="nil"/>
              <w:right w:val="nil"/>
            </w:tcBorders>
            <w:shd w:val="clear" w:color="auto" w:fill="auto"/>
            <w:vAlign w:val="bottom"/>
          </w:tcPr>
          <w:p w14:paraId="01BB496D" w14:textId="7C14AE44"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08FC9964" w14:textId="62F66C10"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5D954D0C" w14:textId="6B628341"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43B9AD47" w14:textId="1AA68670"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453944E0" w14:textId="2CFDFD82"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36.124</w:t>
            </w:r>
          </w:p>
        </w:tc>
        <w:tc>
          <w:tcPr>
            <w:tcW w:w="563" w:type="pct"/>
            <w:tcBorders>
              <w:top w:val="nil"/>
              <w:left w:val="nil"/>
              <w:bottom w:val="nil"/>
              <w:right w:val="nil"/>
            </w:tcBorders>
            <w:shd w:val="clear" w:color="auto" w:fill="auto"/>
            <w:vAlign w:val="bottom"/>
          </w:tcPr>
          <w:p w14:paraId="4114152D" w14:textId="5B845C2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36.124</w:t>
            </w:r>
          </w:p>
        </w:tc>
      </w:tr>
      <w:tr w:rsidR="00AD0961" w:rsidRPr="00EE3D7C" w14:paraId="727636E1" w14:textId="77777777" w:rsidTr="007E1860">
        <w:trPr>
          <w:trHeight w:val="86"/>
        </w:trPr>
        <w:tc>
          <w:tcPr>
            <w:tcW w:w="1241" w:type="pct"/>
            <w:vAlign w:val="bottom"/>
          </w:tcPr>
          <w:p w14:paraId="6DDA3CB5" w14:textId="77777777" w:rsidR="00AD0961" w:rsidRPr="007E1860" w:rsidRDefault="00AD0961" w:rsidP="00EE3D7C">
            <w:pPr>
              <w:tabs>
                <w:tab w:val="right" w:pos="1202"/>
              </w:tabs>
              <w:spacing w:after="0" w:line="240" w:lineRule="auto"/>
              <w:outlineLvl w:val="0"/>
              <w:rPr>
                <w:rFonts w:eastAsia="Times New Roman" w:cs="Arial"/>
                <w:spacing w:val="-2"/>
                <w:sz w:val="18"/>
                <w:szCs w:val="18"/>
              </w:rPr>
            </w:pPr>
            <w:r w:rsidRPr="007E1860">
              <w:rPr>
                <w:rFonts w:eastAsia="Times New Roman" w:cs="Arial"/>
                <w:spacing w:val="-2"/>
                <w:sz w:val="18"/>
                <w:szCs w:val="18"/>
              </w:rPr>
              <w:t>Ulaganja u  pridružena društva</w:t>
            </w:r>
          </w:p>
        </w:tc>
        <w:tc>
          <w:tcPr>
            <w:tcW w:w="520" w:type="pct"/>
            <w:tcBorders>
              <w:top w:val="nil"/>
              <w:left w:val="nil"/>
              <w:bottom w:val="nil"/>
              <w:right w:val="nil"/>
            </w:tcBorders>
            <w:shd w:val="clear" w:color="auto" w:fill="auto"/>
            <w:vAlign w:val="bottom"/>
          </w:tcPr>
          <w:p w14:paraId="6857D480" w14:textId="6E233409"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488" w:type="pct"/>
            <w:tcBorders>
              <w:top w:val="nil"/>
              <w:left w:val="nil"/>
              <w:bottom w:val="nil"/>
              <w:right w:val="nil"/>
            </w:tcBorders>
            <w:shd w:val="clear" w:color="auto" w:fill="auto"/>
            <w:vAlign w:val="bottom"/>
          </w:tcPr>
          <w:p w14:paraId="0C80304F" w14:textId="5176B504"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2CC9F934" w14:textId="14FB7ABD"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5B6A03B3" w14:textId="37CF6EFC"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0D1CD2A1" w14:textId="04CF51F2"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25C933D8" w14:textId="06F1ED2F"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w:t>
            </w:r>
          </w:p>
        </w:tc>
        <w:tc>
          <w:tcPr>
            <w:tcW w:w="563" w:type="pct"/>
            <w:tcBorders>
              <w:top w:val="nil"/>
              <w:left w:val="nil"/>
              <w:bottom w:val="nil"/>
              <w:right w:val="nil"/>
            </w:tcBorders>
            <w:shd w:val="clear" w:color="auto" w:fill="auto"/>
            <w:vAlign w:val="bottom"/>
          </w:tcPr>
          <w:p w14:paraId="32D6B8A4" w14:textId="40AAC233"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ascii="Calibri" w:hAnsi="Calibri"/>
                <w:color w:val="000000"/>
                <w:sz w:val="18"/>
                <w:szCs w:val="18"/>
              </w:rPr>
              <w:t>-</w:t>
            </w:r>
          </w:p>
        </w:tc>
      </w:tr>
      <w:tr w:rsidR="00AD0961" w:rsidRPr="00EE3D7C" w14:paraId="7D5DD931" w14:textId="77777777" w:rsidTr="007E1860">
        <w:trPr>
          <w:trHeight w:val="260"/>
        </w:trPr>
        <w:tc>
          <w:tcPr>
            <w:tcW w:w="1241" w:type="pct"/>
            <w:vAlign w:val="bottom"/>
          </w:tcPr>
          <w:p w14:paraId="3C2444A2" w14:textId="77777777" w:rsidR="00AD0961" w:rsidRPr="007E1860" w:rsidRDefault="00AD0961" w:rsidP="00EE3D7C">
            <w:pPr>
              <w:tabs>
                <w:tab w:val="left" w:pos="-720"/>
              </w:tabs>
              <w:suppressAutoHyphens/>
              <w:spacing w:after="0" w:line="240" w:lineRule="auto"/>
              <w:ind w:right="-5"/>
              <w:rPr>
                <w:rFonts w:eastAsia="Times New Roman" w:cs="Arial"/>
                <w:sz w:val="18"/>
                <w:szCs w:val="18"/>
              </w:rPr>
            </w:pPr>
            <w:r w:rsidRPr="007E1860">
              <w:rPr>
                <w:rFonts w:eastAsia="Times New Roman" w:cs="Arial"/>
                <w:sz w:val="18"/>
                <w:szCs w:val="18"/>
              </w:rPr>
              <w:t>Nekretnine, postrojenja i oprema i nematerijalna imovina</w:t>
            </w:r>
          </w:p>
        </w:tc>
        <w:tc>
          <w:tcPr>
            <w:tcW w:w="520" w:type="pct"/>
            <w:tcBorders>
              <w:top w:val="nil"/>
              <w:left w:val="nil"/>
              <w:bottom w:val="nil"/>
              <w:right w:val="nil"/>
            </w:tcBorders>
            <w:shd w:val="clear" w:color="auto" w:fill="auto"/>
            <w:vAlign w:val="bottom"/>
          </w:tcPr>
          <w:p w14:paraId="5669CE19" w14:textId="10B56986"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488" w:type="pct"/>
            <w:tcBorders>
              <w:top w:val="nil"/>
              <w:left w:val="nil"/>
              <w:bottom w:val="nil"/>
              <w:right w:val="nil"/>
            </w:tcBorders>
            <w:shd w:val="clear" w:color="auto" w:fill="auto"/>
            <w:vAlign w:val="bottom"/>
          </w:tcPr>
          <w:p w14:paraId="3414675B" w14:textId="37E4E61A"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0DCDD279" w14:textId="63A9A23F"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2C101937" w14:textId="1E8028CB"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00A421BC" w14:textId="4A91EF95"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33AED91A" w14:textId="4BF6AD06" w:rsidR="00AD0961" w:rsidRPr="007E1860" w:rsidRDefault="00AD0961" w:rsidP="00EE3D7C">
            <w:pPr>
              <w:spacing w:after="0" w:line="240" w:lineRule="auto"/>
              <w:jc w:val="right"/>
              <w:rPr>
                <w:rFonts w:eastAsia="Times New Roman" w:cs="Arial"/>
                <w:sz w:val="18"/>
                <w:szCs w:val="18"/>
              </w:rPr>
            </w:pPr>
            <w:r w:rsidRPr="007E1860">
              <w:rPr>
                <w:rFonts w:ascii="Calibri" w:hAnsi="Calibri"/>
                <w:color w:val="000000"/>
                <w:sz w:val="18"/>
                <w:szCs w:val="18"/>
              </w:rPr>
              <w:t>57.216</w:t>
            </w:r>
          </w:p>
        </w:tc>
        <w:tc>
          <w:tcPr>
            <w:tcW w:w="563" w:type="pct"/>
            <w:tcBorders>
              <w:top w:val="nil"/>
              <w:left w:val="nil"/>
              <w:bottom w:val="nil"/>
              <w:right w:val="nil"/>
            </w:tcBorders>
            <w:shd w:val="clear" w:color="auto" w:fill="auto"/>
            <w:vAlign w:val="bottom"/>
          </w:tcPr>
          <w:p w14:paraId="55CB8FF0" w14:textId="4D77B78F" w:rsidR="00AD0961" w:rsidRPr="007E1860" w:rsidRDefault="00AD0961" w:rsidP="00EE3D7C">
            <w:pPr>
              <w:spacing w:after="0" w:line="240" w:lineRule="auto"/>
              <w:jc w:val="right"/>
              <w:rPr>
                <w:rFonts w:eastAsia="Times New Roman" w:cs="Arial"/>
                <w:bCs/>
                <w:sz w:val="18"/>
                <w:szCs w:val="18"/>
              </w:rPr>
            </w:pPr>
            <w:r w:rsidRPr="007E1860">
              <w:rPr>
                <w:rFonts w:ascii="Calibri" w:hAnsi="Calibri"/>
                <w:color w:val="000000"/>
                <w:sz w:val="18"/>
                <w:szCs w:val="18"/>
              </w:rPr>
              <w:t>57.216</w:t>
            </w:r>
          </w:p>
        </w:tc>
      </w:tr>
      <w:tr w:rsidR="00AD0961" w:rsidRPr="00EE3D7C" w14:paraId="6DD63F58" w14:textId="77777777" w:rsidTr="007E1860">
        <w:trPr>
          <w:trHeight w:val="171"/>
        </w:trPr>
        <w:tc>
          <w:tcPr>
            <w:tcW w:w="1241" w:type="pct"/>
            <w:vAlign w:val="bottom"/>
          </w:tcPr>
          <w:p w14:paraId="14621DA5" w14:textId="77777777" w:rsidR="00AD0961" w:rsidRPr="007E1860" w:rsidRDefault="00AD0961" w:rsidP="00EE3D7C">
            <w:pPr>
              <w:tabs>
                <w:tab w:val="left" w:pos="-720"/>
              </w:tabs>
              <w:suppressAutoHyphens/>
              <w:spacing w:after="0" w:line="240" w:lineRule="auto"/>
              <w:ind w:right="-5"/>
              <w:rPr>
                <w:rFonts w:eastAsia="Times New Roman" w:cs="Arial"/>
                <w:sz w:val="18"/>
                <w:szCs w:val="18"/>
              </w:rPr>
            </w:pPr>
            <w:r w:rsidRPr="007E1860">
              <w:rPr>
                <w:rFonts w:eastAsia="Times New Roman" w:cs="Arial"/>
                <w:sz w:val="18"/>
                <w:szCs w:val="18"/>
              </w:rPr>
              <w:t>Dugotrajna imovina namijenjena prodaji</w:t>
            </w:r>
          </w:p>
        </w:tc>
        <w:tc>
          <w:tcPr>
            <w:tcW w:w="520" w:type="pct"/>
            <w:tcBorders>
              <w:top w:val="nil"/>
              <w:left w:val="nil"/>
              <w:right w:val="nil"/>
            </w:tcBorders>
            <w:shd w:val="clear" w:color="auto" w:fill="auto"/>
            <w:vAlign w:val="bottom"/>
          </w:tcPr>
          <w:p w14:paraId="13180BB3" w14:textId="4C39C5EF"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488" w:type="pct"/>
            <w:tcBorders>
              <w:top w:val="nil"/>
              <w:left w:val="nil"/>
              <w:right w:val="nil"/>
            </w:tcBorders>
            <w:shd w:val="clear" w:color="auto" w:fill="auto"/>
            <w:vAlign w:val="bottom"/>
          </w:tcPr>
          <w:p w14:paraId="1C8593D1" w14:textId="2E6CCAFC"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right w:val="nil"/>
            </w:tcBorders>
            <w:shd w:val="clear" w:color="auto" w:fill="auto"/>
            <w:vAlign w:val="bottom"/>
          </w:tcPr>
          <w:p w14:paraId="4B847ED5" w14:textId="78D81BF7"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right w:val="nil"/>
            </w:tcBorders>
            <w:shd w:val="clear" w:color="auto" w:fill="auto"/>
            <w:vAlign w:val="bottom"/>
          </w:tcPr>
          <w:p w14:paraId="35029D47" w14:textId="77DD956F"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9" w:type="pct"/>
            <w:gridSpan w:val="3"/>
            <w:tcBorders>
              <w:top w:val="nil"/>
              <w:left w:val="nil"/>
              <w:right w:val="nil"/>
            </w:tcBorders>
            <w:shd w:val="clear" w:color="auto" w:fill="auto"/>
            <w:vAlign w:val="bottom"/>
          </w:tcPr>
          <w:p w14:paraId="405875D9" w14:textId="3A957C3C"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4" w:type="pct"/>
            <w:tcBorders>
              <w:top w:val="nil"/>
              <w:left w:val="nil"/>
              <w:right w:val="nil"/>
            </w:tcBorders>
            <w:shd w:val="clear" w:color="auto" w:fill="auto"/>
            <w:vAlign w:val="bottom"/>
          </w:tcPr>
          <w:p w14:paraId="1CADE37F" w14:textId="0FFCD4FC" w:rsidR="00AD0961" w:rsidRPr="007E1860" w:rsidRDefault="00AD0961" w:rsidP="00EE3D7C">
            <w:pPr>
              <w:spacing w:after="0" w:line="240" w:lineRule="auto"/>
              <w:jc w:val="right"/>
              <w:rPr>
                <w:rFonts w:eastAsia="Times New Roman" w:cs="Arial"/>
                <w:sz w:val="18"/>
                <w:szCs w:val="18"/>
              </w:rPr>
            </w:pPr>
            <w:r w:rsidRPr="007E1860">
              <w:rPr>
                <w:rFonts w:ascii="Calibri" w:hAnsi="Calibri"/>
                <w:color w:val="000000"/>
                <w:sz w:val="18"/>
                <w:szCs w:val="18"/>
              </w:rPr>
              <w:t>17.230</w:t>
            </w:r>
          </w:p>
        </w:tc>
        <w:tc>
          <w:tcPr>
            <w:tcW w:w="563" w:type="pct"/>
            <w:tcBorders>
              <w:top w:val="nil"/>
              <w:left w:val="nil"/>
              <w:right w:val="nil"/>
            </w:tcBorders>
            <w:shd w:val="clear" w:color="auto" w:fill="auto"/>
            <w:vAlign w:val="bottom"/>
          </w:tcPr>
          <w:p w14:paraId="55FD348F" w14:textId="5D6F3734" w:rsidR="00AD0961" w:rsidRPr="007E1860" w:rsidRDefault="00AD0961" w:rsidP="00EE3D7C">
            <w:pPr>
              <w:spacing w:after="0" w:line="240" w:lineRule="auto"/>
              <w:jc w:val="right"/>
              <w:rPr>
                <w:rFonts w:eastAsia="Times New Roman" w:cs="Arial"/>
                <w:bCs/>
                <w:sz w:val="18"/>
                <w:szCs w:val="18"/>
              </w:rPr>
            </w:pPr>
            <w:r w:rsidRPr="007E1860">
              <w:rPr>
                <w:rFonts w:ascii="Calibri" w:hAnsi="Calibri"/>
                <w:color w:val="000000"/>
                <w:sz w:val="18"/>
                <w:szCs w:val="18"/>
              </w:rPr>
              <w:t>17.230</w:t>
            </w:r>
          </w:p>
        </w:tc>
      </w:tr>
      <w:tr w:rsidR="00AD0961" w:rsidRPr="00EE3D7C" w14:paraId="0706CB52" w14:textId="77777777" w:rsidTr="007E1860">
        <w:trPr>
          <w:trHeight w:val="86"/>
        </w:trPr>
        <w:tc>
          <w:tcPr>
            <w:tcW w:w="1241" w:type="pct"/>
            <w:vAlign w:val="bottom"/>
          </w:tcPr>
          <w:p w14:paraId="4F48F44D" w14:textId="77777777" w:rsidR="00AD0961" w:rsidRPr="007E1860" w:rsidRDefault="00AD0961" w:rsidP="00EE3D7C">
            <w:pPr>
              <w:tabs>
                <w:tab w:val="left" w:pos="-720"/>
              </w:tabs>
              <w:suppressAutoHyphens/>
              <w:spacing w:after="0" w:line="240" w:lineRule="auto"/>
              <w:ind w:right="-5"/>
              <w:rPr>
                <w:rFonts w:eastAsia="Times New Roman" w:cs="Arial"/>
                <w:sz w:val="18"/>
                <w:szCs w:val="18"/>
              </w:rPr>
            </w:pPr>
            <w:r w:rsidRPr="007E1860">
              <w:rPr>
                <w:rFonts w:eastAsia="Times New Roman" w:cs="Arial"/>
                <w:sz w:val="18"/>
                <w:szCs w:val="18"/>
              </w:rPr>
              <w:t>Ostala imovina</w:t>
            </w:r>
          </w:p>
        </w:tc>
        <w:tc>
          <w:tcPr>
            <w:tcW w:w="520" w:type="pct"/>
            <w:tcBorders>
              <w:top w:val="nil"/>
              <w:left w:val="nil"/>
              <w:bottom w:val="nil"/>
              <w:right w:val="nil"/>
            </w:tcBorders>
            <w:shd w:val="clear" w:color="auto" w:fill="auto"/>
            <w:vAlign w:val="bottom"/>
          </w:tcPr>
          <w:p w14:paraId="3CD10604" w14:textId="02E21B20"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488" w:type="pct"/>
            <w:tcBorders>
              <w:top w:val="nil"/>
              <w:left w:val="nil"/>
              <w:bottom w:val="nil"/>
              <w:right w:val="nil"/>
            </w:tcBorders>
            <w:shd w:val="clear" w:color="auto" w:fill="auto"/>
            <w:vAlign w:val="bottom"/>
          </w:tcPr>
          <w:p w14:paraId="39E08B57" w14:textId="62233171"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764E51CF" w14:textId="7BF195CB"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35A55DCC" w14:textId="42995740"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240C2EA8" w14:textId="2CE5FF53"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0266AAD1" w14:textId="02F99EFC" w:rsidR="00AD0961" w:rsidRPr="007E1860" w:rsidRDefault="00AD0961" w:rsidP="00EE3D7C">
            <w:pPr>
              <w:spacing w:after="0" w:line="240" w:lineRule="auto"/>
              <w:jc w:val="right"/>
              <w:rPr>
                <w:rFonts w:eastAsia="Times New Roman" w:cs="Arial"/>
                <w:sz w:val="18"/>
                <w:szCs w:val="18"/>
              </w:rPr>
            </w:pPr>
            <w:r w:rsidRPr="007E1860">
              <w:rPr>
                <w:rFonts w:ascii="Calibri" w:hAnsi="Calibri"/>
                <w:color w:val="000000"/>
                <w:sz w:val="18"/>
                <w:szCs w:val="18"/>
              </w:rPr>
              <w:t>5.900</w:t>
            </w:r>
          </w:p>
        </w:tc>
        <w:tc>
          <w:tcPr>
            <w:tcW w:w="563" w:type="pct"/>
            <w:tcBorders>
              <w:top w:val="nil"/>
              <w:left w:val="nil"/>
              <w:bottom w:val="nil"/>
              <w:right w:val="nil"/>
            </w:tcBorders>
            <w:shd w:val="clear" w:color="auto" w:fill="auto"/>
            <w:vAlign w:val="bottom"/>
          </w:tcPr>
          <w:p w14:paraId="37B3C7DA" w14:textId="7ACFCAF0" w:rsidR="00AD0961" w:rsidRPr="007E1860" w:rsidRDefault="00AD0961" w:rsidP="00EE3D7C">
            <w:pPr>
              <w:spacing w:after="0" w:line="240" w:lineRule="auto"/>
              <w:jc w:val="right"/>
              <w:rPr>
                <w:rFonts w:eastAsia="Times New Roman" w:cs="Arial"/>
                <w:bCs/>
                <w:sz w:val="18"/>
                <w:szCs w:val="18"/>
              </w:rPr>
            </w:pPr>
            <w:r w:rsidRPr="007E1860">
              <w:rPr>
                <w:rFonts w:ascii="Calibri" w:hAnsi="Calibri"/>
                <w:color w:val="000000"/>
                <w:sz w:val="18"/>
                <w:szCs w:val="18"/>
              </w:rPr>
              <w:t>5.900</w:t>
            </w:r>
          </w:p>
        </w:tc>
      </w:tr>
      <w:tr w:rsidR="004B16B5" w:rsidRPr="00EE3D7C" w14:paraId="046A830F" w14:textId="77777777" w:rsidTr="007E1860">
        <w:trPr>
          <w:trHeight w:hRule="exact" w:val="113"/>
        </w:trPr>
        <w:tc>
          <w:tcPr>
            <w:tcW w:w="1241" w:type="pct"/>
            <w:vAlign w:val="bottom"/>
          </w:tcPr>
          <w:p w14:paraId="2AB2BA18" w14:textId="77777777" w:rsidR="004B16B5" w:rsidRPr="007E1860" w:rsidRDefault="004B16B5" w:rsidP="00EE3D7C">
            <w:pPr>
              <w:keepNext/>
              <w:keepLines/>
              <w:tabs>
                <w:tab w:val="decimal" w:pos="1202"/>
              </w:tabs>
              <w:spacing w:after="0" w:line="240" w:lineRule="auto"/>
              <w:rPr>
                <w:rFonts w:eastAsia="Times New Roman" w:cs="Arial"/>
                <w:b/>
                <w:position w:val="4"/>
                <w:sz w:val="18"/>
                <w:szCs w:val="18"/>
              </w:rPr>
            </w:pPr>
          </w:p>
        </w:tc>
        <w:tc>
          <w:tcPr>
            <w:tcW w:w="520" w:type="pct"/>
            <w:tcBorders>
              <w:bottom w:val="single" w:sz="4" w:space="0" w:color="auto"/>
            </w:tcBorders>
            <w:vAlign w:val="bottom"/>
          </w:tcPr>
          <w:p w14:paraId="2599F221" w14:textId="77777777" w:rsidR="004B16B5" w:rsidRPr="007E1860" w:rsidRDefault="004B16B5" w:rsidP="00EE3D7C">
            <w:pPr>
              <w:keepNext/>
              <w:keepLines/>
              <w:tabs>
                <w:tab w:val="decimal" w:pos="1202"/>
              </w:tabs>
              <w:spacing w:after="0" w:line="240" w:lineRule="auto"/>
              <w:jc w:val="right"/>
              <w:rPr>
                <w:rFonts w:eastAsia="Times New Roman" w:cs="Arial"/>
                <w:b/>
                <w:position w:val="4"/>
                <w:sz w:val="18"/>
                <w:szCs w:val="18"/>
              </w:rPr>
            </w:pPr>
          </w:p>
        </w:tc>
        <w:tc>
          <w:tcPr>
            <w:tcW w:w="488" w:type="pct"/>
            <w:tcBorders>
              <w:bottom w:val="single" w:sz="4" w:space="0" w:color="auto"/>
            </w:tcBorders>
            <w:vAlign w:val="bottom"/>
          </w:tcPr>
          <w:p w14:paraId="1DEA9370" w14:textId="77777777" w:rsidR="004B16B5" w:rsidRPr="007E1860" w:rsidRDefault="004B16B5" w:rsidP="00EE3D7C">
            <w:pPr>
              <w:keepNext/>
              <w:keepLines/>
              <w:tabs>
                <w:tab w:val="decimal" w:pos="1202"/>
              </w:tabs>
              <w:spacing w:after="0" w:line="240" w:lineRule="auto"/>
              <w:jc w:val="right"/>
              <w:rPr>
                <w:rFonts w:eastAsia="Times New Roman" w:cs="Arial"/>
                <w:b/>
                <w:position w:val="4"/>
                <w:sz w:val="18"/>
                <w:szCs w:val="18"/>
              </w:rPr>
            </w:pPr>
          </w:p>
        </w:tc>
        <w:tc>
          <w:tcPr>
            <w:tcW w:w="528" w:type="pct"/>
            <w:gridSpan w:val="2"/>
            <w:tcBorders>
              <w:bottom w:val="single" w:sz="4" w:space="0" w:color="auto"/>
            </w:tcBorders>
            <w:vAlign w:val="bottom"/>
          </w:tcPr>
          <w:p w14:paraId="4B26F30C" w14:textId="77777777" w:rsidR="004B16B5" w:rsidRPr="007E1860" w:rsidRDefault="004B16B5" w:rsidP="00EE3D7C">
            <w:pPr>
              <w:keepNext/>
              <w:keepLines/>
              <w:tabs>
                <w:tab w:val="decimal" w:pos="1202"/>
              </w:tabs>
              <w:spacing w:after="0" w:line="240" w:lineRule="auto"/>
              <w:jc w:val="right"/>
              <w:rPr>
                <w:rFonts w:eastAsia="Times New Roman" w:cs="Arial"/>
                <w:b/>
                <w:position w:val="4"/>
                <w:sz w:val="18"/>
                <w:szCs w:val="18"/>
              </w:rPr>
            </w:pPr>
          </w:p>
        </w:tc>
        <w:tc>
          <w:tcPr>
            <w:tcW w:w="528" w:type="pct"/>
            <w:gridSpan w:val="2"/>
            <w:tcBorders>
              <w:bottom w:val="single" w:sz="4" w:space="0" w:color="auto"/>
            </w:tcBorders>
            <w:vAlign w:val="bottom"/>
          </w:tcPr>
          <w:p w14:paraId="3046F884" w14:textId="77777777" w:rsidR="004B16B5" w:rsidRPr="007E1860" w:rsidRDefault="004B16B5" w:rsidP="00EE3D7C">
            <w:pPr>
              <w:keepNext/>
              <w:keepLines/>
              <w:tabs>
                <w:tab w:val="decimal" w:pos="1202"/>
              </w:tabs>
              <w:spacing w:after="0" w:line="240" w:lineRule="auto"/>
              <w:jc w:val="right"/>
              <w:rPr>
                <w:rFonts w:eastAsia="Times New Roman" w:cs="Arial"/>
                <w:b/>
                <w:position w:val="4"/>
                <w:sz w:val="18"/>
                <w:szCs w:val="18"/>
              </w:rPr>
            </w:pPr>
          </w:p>
        </w:tc>
        <w:tc>
          <w:tcPr>
            <w:tcW w:w="569" w:type="pct"/>
            <w:gridSpan w:val="3"/>
            <w:tcBorders>
              <w:bottom w:val="single" w:sz="4" w:space="0" w:color="auto"/>
            </w:tcBorders>
            <w:vAlign w:val="bottom"/>
          </w:tcPr>
          <w:p w14:paraId="2DB89BAC" w14:textId="77777777" w:rsidR="004B16B5" w:rsidRPr="007E1860" w:rsidRDefault="004B16B5" w:rsidP="00EE3D7C">
            <w:pPr>
              <w:keepNext/>
              <w:keepLines/>
              <w:tabs>
                <w:tab w:val="decimal" w:pos="1202"/>
              </w:tabs>
              <w:spacing w:after="0" w:line="240" w:lineRule="auto"/>
              <w:jc w:val="right"/>
              <w:rPr>
                <w:rFonts w:eastAsia="Times New Roman" w:cs="Arial"/>
                <w:b/>
                <w:position w:val="4"/>
                <w:sz w:val="18"/>
                <w:szCs w:val="18"/>
              </w:rPr>
            </w:pPr>
          </w:p>
        </w:tc>
        <w:tc>
          <w:tcPr>
            <w:tcW w:w="564" w:type="pct"/>
            <w:tcBorders>
              <w:bottom w:val="single" w:sz="4" w:space="0" w:color="auto"/>
            </w:tcBorders>
            <w:vAlign w:val="bottom"/>
          </w:tcPr>
          <w:p w14:paraId="1E38E669" w14:textId="77777777" w:rsidR="004B16B5" w:rsidRPr="007E1860" w:rsidRDefault="004B16B5" w:rsidP="00EE3D7C">
            <w:pPr>
              <w:keepNext/>
              <w:keepLines/>
              <w:tabs>
                <w:tab w:val="decimal" w:pos="1202"/>
              </w:tabs>
              <w:spacing w:after="0" w:line="240" w:lineRule="auto"/>
              <w:jc w:val="right"/>
              <w:rPr>
                <w:rFonts w:eastAsia="Times New Roman" w:cs="Arial"/>
                <w:b/>
                <w:position w:val="4"/>
                <w:sz w:val="18"/>
                <w:szCs w:val="18"/>
              </w:rPr>
            </w:pPr>
          </w:p>
        </w:tc>
        <w:tc>
          <w:tcPr>
            <w:tcW w:w="563" w:type="pct"/>
            <w:tcBorders>
              <w:bottom w:val="single" w:sz="4" w:space="0" w:color="auto"/>
            </w:tcBorders>
            <w:vAlign w:val="bottom"/>
          </w:tcPr>
          <w:p w14:paraId="07EC0438" w14:textId="77777777" w:rsidR="004B16B5" w:rsidRPr="007E1860" w:rsidRDefault="004B16B5" w:rsidP="00EE3D7C">
            <w:pPr>
              <w:keepNext/>
              <w:keepLines/>
              <w:tabs>
                <w:tab w:val="decimal" w:pos="1202"/>
              </w:tabs>
              <w:spacing w:after="0" w:line="240" w:lineRule="auto"/>
              <w:jc w:val="right"/>
              <w:rPr>
                <w:rFonts w:eastAsia="Times New Roman" w:cs="Arial"/>
                <w:b/>
                <w:position w:val="4"/>
                <w:sz w:val="18"/>
                <w:szCs w:val="18"/>
              </w:rPr>
            </w:pPr>
          </w:p>
        </w:tc>
      </w:tr>
      <w:tr w:rsidR="00AD0961" w:rsidRPr="00EE3D7C" w14:paraId="0DE78364" w14:textId="77777777" w:rsidTr="007E1860">
        <w:trPr>
          <w:trHeight w:val="299"/>
        </w:trPr>
        <w:tc>
          <w:tcPr>
            <w:tcW w:w="1241" w:type="pct"/>
            <w:vAlign w:val="center"/>
          </w:tcPr>
          <w:p w14:paraId="05327819" w14:textId="77777777" w:rsidR="00AD0961" w:rsidRPr="007E1860" w:rsidRDefault="00AD0961" w:rsidP="00EE3D7C">
            <w:pPr>
              <w:tabs>
                <w:tab w:val="right" w:pos="1202"/>
              </w:tabs>
              <w:spacing w:after="0" w:line="240" w:lineRule="auto"/>
              <w:outlineLvl w:val="0"/>
              <w:rPr>
                <w:rFonts w:eastAsia="Times New Roman" w:cs="Arial"/>
                <w:b/>
                <w:bCs/>
                <w:sz w:val="18"/>
                <w:szCs w:val="18"/>
              </w:rPr>
            </w:pPr>
            <w:r w:rsidRPr="007E1860">
              <w:rPr>
                <w:rFonts w:eastAsia="Times New Roman" w:cs="Arial"/>
                <w:b/>
                <w:bCs/>
                <w:sz w:val="18"/>
                <w:szCs w:val="18"/>
              </w:rPr>
              <w:t>Ukupna imovina (1)</w:t>
            </w:r>
          </w:p>
        </w:tc>
        <w:tc>
          <w:tcPr>
            <w:tcW w:w="520" w:type="pct"/>
            <w:tcBorders>
              <w:top w:val="single" w:sz="4" w:space="0" w:color="auto"/>
              <w:left w:val="nil"/>
              <w:bottom w:val="single" w:sz="8" w:space="0" w:color="auto"/>
              <w:right w:val="nil"/>
            </w:tcBorders>
            <w:shd w:val="clear" w:color="auto" w:fill="auto"/>
            <w:vAlign w:val="center"/>
          </w:tcPr>
          <w:p w14:paraId="7C35F98C" w14:textId="573207D0" w:rsidR="00AD0961" w:rsidRPr="007E1860" w:rsidRDefault="00AD0961" w:rsidP="00EE3D7C">
            <w:pPr>
              <w:spacing w:after="0" w:line="240" w:lineRule="auto"/>
              <w:jc w:val="right"/>
              <w:rPr>
                <w:rFonts w:eastAsia="Times New Roman" w:cs="Arial"/>
                <w:b/>
                <w:bCs/>
                <w:sz w:val="18"/>
                <w:szCs w:val="18"/>
              </w:rPr>
            </w:pPr>
            <w:r w:rsidRPr="007E1860">
              <w:rPr>
                <w:rFonts w:ascii="Calibri" w:hAnsi="Calibri"/>
                <w:b/>
                <w:bCs/>
                <w:color w:val="000000"/>
                <w:sz w:val="18"/>
                <w:szCs w:val="18"/>
              </w:rPr>
              <w:t>4.555.872</w:t>
            </w:r>
          </w:p>
        </w:tc>
        <w:tc>
          <w:tcPr>
            <w:tcW w:w="488" w:type="pct"/>
            <w:tcBorders>
              <w:top w:val="single" w:sz="4" w:space="0" w:color="auto"/>
              <w:left w:val="nil"/>
              <w:bottom w:val="single" w:sz="8" w:space="0" w:color="auto"/>
              <w:right w:val="nil"/>
            </w:tcBorders>
            <w:shd w:val="clear" w:color="auto" w:fill="auto"/>
            <w:vAlign w:val="center"/>
          </w:tcPr>
          <w:p w14:paraId="3DB35EFA" w14:textId="22B7A0AB" w:rsidR="00AD0961" w:rsidRPr="007E1860" w:rsidRDefault="00AD0961" w:rsidP="00EE3D7C">
            <w:pPr>
              <w:spacing w:after="0" w:line="240" w:lineRule="auto"/>
              <w:jc w:val="right"/>
              <w:rPr>
                <w:rFonts w:eastAsia="Times New Roman" w:cs="Arial"/>
                <w:b/>
                <w:bCs/>
                <w:sz w:val="18"/>
                <w:szCs w:val="18"/>
              </w:rPr>
            </w:pPr>
            <w:r w:rsidRPr="007E1860">
              <w:rPr>
                <w:rFonts w:ascii="Calibri" w:hAnsi="Calibri"/>
                <w:b/>
                <w:bCs/>
                <w:color w:val="000000"/>
                <w:sz w:val="18"/>
                <w:szCs w:val="18"/>
              </w:rPr>
              <w:t>1.684.645</w:t>
            </w:r>
          </w:p>
        </w:tc>
        <w:tc>
          <w:tcPr>
            <w:tcW w:w="528" w:type="pct"/>
            <w:gridSpan w:val="2"/>
            <w:tcBorders>
              <w:top w:val="single" w:sz="4" w:space="0" w:color="auto"/>
              <w:left w:val="nil"/>
              <w:bottom w:val="single" w:sz="8" w:space="0" w:color="auto"/>
              <w:right w:val="nil"/>
            </w:tcBorders>
            <w:shd w:val="clear" w:color="auto" w:fill="auto"/>
            <w:vAlign w:val="center"/>
          </w:tcPr>
          <w:p w14:paraId="254F850C" w14:textId="5DAB4F5D" w:rsidR="00AD0961" w:rsidRPr="007E1860" w:rsidRDefault="00AD0961" w:rsidP="00EE3D7C">
            <w:pPr>
              <w:spacing w:after="0" w:line="240" w:lineRule="auto"/>
              <w:jc w:val="right"/>
              <w:rPr>
                <w:rFonts w:eastAsia="Times New Roman" w:cs="Arial"/>
                <w:b/>
                <w:bCs/>
                <w:sz w:val="18"/>
                <w:szCs w:val="18"/>
              </w:rPr>
            </w:pPr>
            <w:r w:rsidRPr="007E1860">
              <w:rPr>
                <w:rFonts w:ascii="Calibri" w:hAnsi="Calibri"/>
                <w:b/>
                <w:bCs/>
                <w:color w:val="000000"/>
                <w:sz w:val="18"/>
                <w:szCs w:val="18"/>
              </w:rPr>
              <w:t>2.955.328</w:t>
            </w:r>
          </w:p>
        </w:tc>
        <w:tc>
          <w:tcPr>
            <w:tcW w:w="528" w:type="pct"/>
            <w:gridSpan w:val="2"/>
            <w:tcBorders>
              <w:top w:val="single" w:sz="4" w:space="0" w:color="auto"/>
              <w:left w:val="nil"/>
              <w:bottom w:val="single" w:sz="8" w:space="0" w:color="auto"/>
              <w:right w:val="nil"/>
            </w:tcBorders>
            <w:shd w:val="clear" w:color="auto" w:fill="auto"/>
            <w:vAlign w:val="center"/>
          </w:tcPr>
          <w:p w14:paraId="76AFEA3C" w14:textId="63675959" w:rsidR="00AD0961" w:rsidRPr="007E1860" w:rsidRDefault="00AD0961" w:rsidP="00EE3D7C">
            <w:pPr>
              <w:spacing w:after="0" w:line="240" w:lineRule="auto"/>
              <w:jc w:val="right"/>
              <w:rPr>
                <w:rFonts w:eastAsia="Times New Roman" w:cs="Arial"/>
                <w:b/>
                <w:bCs/>
                <w:sz w:val="18"/>
                <w:szCs w:val="18"/>
              </w:rPr>
            </w:pPr>
            <w:r w:rsidRPr="007E1860">
              <w:rPr>
                <w:rFonts w:ascii="Calibri" w:hAnsi="Calibri"/>
                <w:b/>
                <w:bCs/>
                <w:color w:val="000000"/>
                <w:sz w:val="18"/>
                <w:szCs w:val="18"/>
              </w:rPr>
              <w:t>4.433.048</w:t>
            </w:r>
          </w:p>
        </w:tc>
        <w:tc>
          <w:tcPr>
            <w:tcW w:w="569" w:type="pct"/>
            <w:gridSpan w:val="3"/>
            <w:tcBorders>
              <w:top w:val="single" w:sz="4" w:space="0" w:color="auto"/>
              <w:left w:val="nil"/>
              <w:bottom w:val="single" w:sz="8" w:space="0" w:color="auto"/>
              <w:right w:val="nil"/>
            </w:tcBorders>
            <w:shd w:val="clear" w:color="auto" w:fill="auto"/>
            <w:vAlign w:val="center"/>
          </w:tcPr>
          <w:p w14:paraId="55B9E792" w14:textId="1828E84B" w:rsidR="00AD0961" w:rsidRPr="007E1860" w:rsidRDefault="00AD0961" w:rsidP="00EE3D7C">
            <w:pPr>
              <w:spacing w:after="0" w:line="240" w:lineRule="auto"/>
              <w:jc w:val="right"/>
              <w:rPr>
                <w:rFonts w:eastAsia="Times New Roman" w:cs="Arial"/>
                <w:b/>
                <w:bCs/>
                <w:sz w:val="18"/>
                <w:szCs w:val="18"/>
              </w:rPr>
            </w:pPr>
            <w:r w:rsidRPr="007E1860">
              <w:rPr>
                <w:rFonts w:ascii="Calibri" w:hAnsi="Calibri"/>
                <w:b/>
                <w:bCs/>
                <w:color w:val="000000"/>
                <w:sz w:val="18"/>
                <w:szCs w:val="18"/>
              </w:rPr>
              <w:t>12.084.852</w:t>
            </w:r>
          </w:p>
        </w:tc>
        <w:tc>
          <w:tcPr>
            <w:tcW w:w="564" w:type="pct"/>
            <w:tcBorders>
              <w:top w:val="single" w:sz="4" w:space="0" w:color="auto"/>
              <w:left w:val="nil"/>
              <w:bottom w:val="single" w:sz="8" w:space="0" w:color="auto"/>
              <w:right w:val="nil"/>
            </w:tcBorders>
            <w:shd w:val="clear" w:color="auto" w:fill="auto"/>
            <w:vAlign w:val="center"/>
          </w:tcPr>
          <w:p w14:paraId="57F5BBE8" w14:textId="4819B241" w:rsidR="00AD0961" w:rsidRPr="007E1860" w:rsidRDefault="00AD0961" w:rsidP="00EE3D7C">
            <w:pPr>
              <w:spacing w:after="0" w:line="240" w:lineRule="auto"/>
              <w:jc w:val="right"/>
              <w:rPr>
                <w:rFonts w:eastAsia="Times New Roman" w:cs="Arial"/>
                <w:b/>
                <w:bCs/>
                <w:sz w:val="18"/>
                <w:szCs w:val="18"/>
              </w:rPr>
            </w:pPr>
            <w:r w:rsidRPr="007E1860">
              <w:rPr>
                <w:rFonts w:ascii="Calibri" w:hAnsi="Calibri"/>
                <w:b/>
                <w:bCs/>
                <w:color w:val="000000"/>
                <w:sz w:val="18"/>
                <w:szCs w:val="18"/>
              </w:rPr>
              <w:t>1.661.171</w:t>
            </w:r>
          </w:p>
        </w:tc>
        <w:tc>
          <w:tcPr>
            <w:tcW w:w="563" w:type="pct"/>
            <w:tcBorders>
              <w:top w:val="single" w:sz="4" w:space="0" w:color="auto"/>
              <w:left w:val="nil"/>
              <w:bottom w:val="single" w:sz="8" w:space="0" w:color="auto"/>
              <w:right w:val="nil"/>
            </w:tcBorders>
            <w:shd w:val="clear" w:color="auto" w:fill="auto"/>
            <w:vAlign w:val="center"/>
          </w:tcPr>
          <w:p w14:paraId="09369464" w14:textId="2D096B32" w:rsidR="00AD0961" w:rsidRPr="007E1860" w:rsidRDefault="00AD0961" w:rsidP="00EE3D7C">
            <w:pPr>
              <w:spacing w:after="0" w:line="240" w:lineRule="auto"/>
              <w:jc w:val="right"/>
              <w:rPr>
                <w:rFonts w:eastAsia="Times New Roman" w:cs="Arial"/>
                <w:b/>
                <w:bCs/>
                <w:sz w:val="18"/>
                <w:szCs w:val="18"/>
              </w:rPr>
            </w:pPr>
            <w:r w:rsidRPr="007E1860">
              <w:rPr>
                <w:rFonts w:ascii="Calibri" w:hAnsi="Calibri"/>
                <w:b/>
                <w:bCs/>
                <w:color w:val="000000"/>
                <w:sz w:val="18"/>
                <w:szCs w:val="18"/>
              </w:rPr>
              <w:t>27.374.916</w:t>
            </w:r>
          </w:p>
        </w:tc>
      </w:tr>
      <w:tr w:rsidR="004B16B5" w:rsidRPr="00EE3D7C" w14:paraId="39D45326" w14:textId="77777777" w:rsidTr="007E1860">
        <w:trPr>
          <w:trHeight w:val="106"/>
        </w:trPr>
        <w:tc>
          <w:tcPr>
            <w:tcW w:w="1241" w:type="pct"/>
          </w:tcPr>
          <w:p w14:paraId="05A85C9D" w14:textId="77777777" w:rsidR="004B16B5" w:rsidRPr="007E1860" w:rsidRDefault="004B16B5" w:rsidP="00EE3D7C">
            <w:pPr>
              <w:tabs>
                <w:tab w:val="right" w:pos="1202"/>
              </w:tabs>
              <w:spacing w:after="0" w:line="240" w:lineRule="auto"/>
              <w:outlineLvl w:val="0"/>
              <w:rPr>
                <w:rFonts w:eastAsia="Times New Roman" w:cs="Arial"/>
                <w:b/>
                <w:bCs/>
                <w:sz w:val="18"/>
                <w:szCs w:val="18"/>
              </w:rPr>
            </w:pPr>
            <w:r w:rsidRPr="007E1860">
              <w:rPr>
                <w:rFonts w:eastAsia="Times New Roman" w:cs="Arial"/>
                <w:b/>
                <w:bCs/>
                <w:sz w:val="18"/>
                <w:szCs w:val="18"/>
              </w:rPr>
              <w:t>Obveze</w:t>
            </w:r>
          </w:p>
        </w:tc>
        <w:tc>
          <w:tcPr>
            <w:tcW w:w="520" w:type="pct"/>
            <w:vAlign w:val="bottom"/>
          </w:tcPr>
          <w:p w14:paraId="26F598E0" w14:textId="77777777" w:rsidR="004B16B5" w:rsidRPr="007E1860" w:rsidRDefault="004B16B5" w:rsidP="00EE3D7C">
            <w:pPr>
              <w:tabs>
                <w:tab w:val="right" w:pos="1202"/>
              </w:tabs>
              <w:spacing w:after="0" w:line="240" w:lineRule="auto"/>
              <w:jc w:val="right"/>
              <w:outlineLvl w:val="0"/>
              <w:rPr>
                <w:rFonts w:eastAsia="Times New Roman" w:cs="Arial"/>
                <w:spacing w:val="-2"/>
                <w:sz w:val="18"/>
                <w:szCs w:val="18"/>
              </w:rPr>
            </w:pPr>
          </w:p>
        </w:tc>
        <w:tc>
          <w:tcPr>
            <w:tcW w:w="488" w:type="pct"/>
            <w:vAlign w:val="bottom"/>
          </w:tcPr>
          <w:p w14:paraId="36F698CD" w14:textId="77777777" w:rsidR="004B16B5" w:rsidRPr="007E1860" w:rsidRDefault="004B16B5" w:rsidP="00EE3D7C">
            <w:pPr>
              <w:tabs>
                <w:tab w:val="right" w:pos="1202"/>
              </w:tabs>
              <w:spacing w:after="0" w:line="240" w:lineRule="auto"/>
              <w:jc w:val="right"/>
              <w:outlineLvl w:val="0"/>
              <w:rPr>
                <w:rFonts w:eastAsia="Times New Roman" w:cs="Arial"/>
                <w:spacing w:val="-2"/>
                <w:sz w:val="18"/>
                <w:szCs w:val="18"/>
              </w:rPr>
            </w:pPr>
          </w:p>
        </w:tc>
        <w:tc>
          <w:tcPr>
            <w:tcW w:w="528" w:type="pct"/>
            <w:gridSpan w:val="2"/>
            <w:vAlign w:val="bottom"/>
          </w:tcPr>
          <w:p w14:paraId="2D50B8A1" w14:textId="77777777" w:rsidR="004B16B5" w:rsidRPr="007E1860" w:rsidRDefault="004B16B5" w:rsidP="00EE3D7C">
            <w:pPr>
              <w:tabs>
                <w:tab w:val="right" w:pos="1202"/>
              </w:tabs>
              <w:spacing w:after="0" w:line="240" w:lineRule="auto"/>
              <w:jc w:val="right"/>
              <w:outlineLvl w:val="0"/>
              <w:rPr>
                <w:rFonts w:eastAsia="Times New Roman" w:cs="Arial"/>
                <w:spacing w:val="-2"/>
                <w:sz w:val="18"/>
                <w:szCs w:val="18"/>
              </w:rPr>
            </w:pPr>
          </w:p>
        </w:tc>
        <w:tc>
          <w:tcPr>
            <w:tcW w:w="528" w:type="pct"/>
            <w:gridSpan w:val="2"/>
            <w:vAlign w:val="bottom"/>
          </w:tcPr>
          <w:p w14:paraId="0CC7CF42" w14:textId="77777777" w:rsidR="004B16B5" w:rsidRPr="007E1860" w:rsidRDefault="004B16B5" w:rsidP="00EE3D7C">
            <w:pPr>
              <w:tabs>
                <w:tab w:val="right" w:pos="1202"/>
              </w:tabs>
              <w:spacing w:after="0" w:line="240" w:lineRule="auto"/>
              <w:jc w:val="right"/>
              <w:outlineLvl w:val="0"/>
              <w:rPr>
                <w:rFonts w:eastAsia="Times New Roman" w:cs="Arial"/>
                <w:spacing w:val="-2"/>
                <w:sz w:val="18"/>
                <w:szCs w:val="18"/>
              </w:rPr>
            </w:pPr>
          </w:p>
        </w:tc>
        <w:tc>
          <w:tcPr>
            <w:tcW w:w="569" w:type="pct"/>
            <w:gridSpan w:val="3"/>
            <w:vAlign w:val="bottom"/>
          </w:tcPr>
          <w:p w14:paraId="6866D77D" w14:textId="77777777" w:rsidR="004B16B5" w:rsidRPr="007E1860" w:rsidRDefault="004B16B5" w:rsidP="00EE3D7C">
            <w:pPr>
              <w:tabs>
                <w:tab w:val="right" w:pos="1202"/>
              </w:tabs>
              <w:spacing w:after="0" w:line="240" w:lineRule="auto"/>
              <w:jc w:val="right"/>
              <w:outlineLvl w:val="0"/>
              <w:rPr>
                <w:rFonts w:eastAsia="Times New Roman" w:cs="Arial"/>
                <w:spacing w:val="-2"/>
                <w:sz w:val="18"/>
                <w:szCs w:val="18"/>
              </w:rPr>
            </w:pPr>
          </w:p>
        </w:tc>
        <w:tc>
          <w:tcPr>
            <w:tcW w:w="564" w:type="pct"/>
            <w:vAlign w:val="bottom"/>
          </w:tcPr>
          <w:p w14:paraId="4C65BF4F" w14:textId="77777777" w:rsidR="004B16B5" w:rsidRPr="007E1860" w:rsidRDefault="004B16B5" w:rsidP="00EE3D7C">
            <w:pPr>
              <w:tabs>
                <w:tab w:val="right" w:pos="1202"/>
              </w:tabs>
              <w:spacing w:after="0" w:line="240" w:lineRule="auto"/>
              <w:jc w:val="right"/>
              <w:outlineLvl w:val="0"/>
              <w:rPr>
                <w:rFonts w:eastAsia="Times New Roman" w:cs="Arial"/>
                <w:b/>
                <w:sz w:val="18"/>
                <w:szCs w:val="18"/>
              </w:rPr>
            </w:pPr>
          </w:p>
        </w:tc>
        <w:tc>
          <w:tcPr>
            <w:tcW w:w="563" w:type="pct"/>
            <w:vAlign w:val="bottom"/>
          </w:tcPr>
          <w:p w14:paraId="76691EED" w14:textId="77777777" w:rsidR="004B16B5" w:rsidRPr="007E1860" w:rsidRDefault="004B16B5" w:rsidP="00EE3D7C">
            <w:pPr>
              <w:tabs>
                <w:tab w:val="right" w:pos="1202"/>
              </w:tabs>
              <w:spacing w:after="0" w:line="240" w:lineRule="auto"/>
              <w:jc w:val="right"/>
              <w:outlineLvl w:val="0"/>
              <w:rPr>
                <w:rFonts w:eastAsia="Times New Roman" w:cs="Arial"/>
                <w:sz w:val="18"/>
                <w:szCs w:val="18"/>
              </w:rPr>
            </w:pPr>
          </w:p>
        </w:tc>
      </w:tr>
      <w:tr w:rsidR="00AD0961" w:rsidRPr="00EE3D7C" w14:paraId="65C100FC" w14:textId="77777777" w:rsidTr="007E1860">
        <w:trPr>
          <w:trHeight w:val="106"/>
        </w:trPr>
        <w:tc>
          <w:tcPr>
            <w:tcW w:w="1241" w:type="pct"/>
          </w:tcPr>
          <w:p w14:paraId="2186A5C2" w14:textId="77777777" w:rsidR="00AD0961" w:rsidRPr="007E1860" w:rsidRDefault="00AD0961" w:rsidP="00EE3D7C">
            <w:pPr>
              <w:tabs>
                <w:tab w:val="right" w:pos="1202"/>
              </w:tabs>
              <w:spacing w:after="0" w:line="240" w:lineRule="auto"/>
              <w:outlineLvl w:val="0"/>
              <w:rPr>
                <w:rFonts w:eastAsia="Times New Roman" w:cs="Arial"/>
                <w:sz w:val="18"/>
                <w:szCs w:val="18"/>
              </w:rPr>
            </w:pPr>
            <w:r w:rsidRPr="007E1860">
              <w:rPr>
                <w:rFonts w:eastAsia="Times New Roman" w:cs="Arial"/>
                <w:spacing w:val="-2"/>
                <w:sz w:val="18"/>
                <w:szCs w:val="18"/>
              </w:rPr>
              <w:t>Obveze po depozitima</w:t>
            </w:r>
          </w:p>
        </w:tc>
        <w:tc>
          <w:tcPr>
            <w:tcW w:w="520" w:type="pct"/>
            <w:tcBorders>
              <w:top w:val="nil"/>
              <w:left w:val="nil"/>
              <w:bottom w:val="nil"/>
              <w:right w:val="nil"/>
            </w:tcBorders>
            <w:shd w:val="clear" w:color="auto" w:fill="auto"/>
            <w:vAlign w:val="bottom"/>
          </w:tcPr>
          <w:p w14:paraId="4591CBDB" w14:textId="27FBF5EB"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488" w:type="pct"/>
            <w:tcBorders>
              <w:top w:val="nil"/>
              <w:left w:val="nil"/>
              <w:bottom w:val="nil"/>
              <w:right w:val="nil"/>
            </w:tcBorders>
            <w:shd w:val="clear" w:color="auto" w:fill="auto"/>
            <w:vAlign w:val="bottom"/>
          </w:tcPr>
          <w:p w14:paraId="05467C3C" w14:textId="503BA502"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7C18BDF2" w14:textId="0380DAE1"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5C3BD6F0" w14:textId="6724AAD0"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7EB18FEC" w14:textId="68FAD6D5"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7CEB4FA9" w14:textId="69FC252E"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142.844</w:t>
            </w:r>
          </w:p>
        </w:tc>
        <w:tc>
          <w:tcPr>
            <w:tcW w:w="563" w:type="pct"/>
            <w:tcBorders>
              <w:top w:val="nil"/>
              <w:left w:val="nil"/>
              <w:bottom w:val="nil"/>
              <w:right w:val="nil"/>
            </w:tcBorders>
            <w:shd w:val="clear" w:color="auto" w:fill="auto"/>
            <w:vAlign w:val="bottom"/>
          </w:tcPr>
          <w:p w14:paraId="6A5BFB35" w14:textId="5E01C9E3" w:rsidR="00AD0961" w:rsidRPr="007E1860" w:rsidRDefault="00AD0961" w:rsidP="00EE3D7C">
            <w:pPr>
              <w:spacing w:after="0" w:line="240" w:lineRule="auto"/>
              <w:jc w:val="right"/>
              <w:rPr>
                <w:rFonts w:eastAsia="Times New Roman" w:cs="Arial"/>
                <w:bCs/>
                <w:sz w:val="18"/>
                <w:szCs w:val="18"/>
              </w:rPr>
            </w:pPr>
            <w:r w:rsidRPr="007E1860">
              <w:rPr>
                <w:color w:val="000000"/>
                <w:sz w:val="18"/>
                <w:szCs w:val="18"/>
              </w:rPr>
              <w:t>142.844</w:t>
            </w:r>
          </w:p>
        </w:tc>
      </w:tr>
      <w:tr w:rsidR="00AD0961" w:rsidRPr="00EE3D7C" w14:paraId="7DDC2E21" w14:textId="77777777" w:rsidTr="007E1860">
        <w:trPr>
          <w:trHeight w:val="160"/>
        </w:trPr>
        <w:tc>
          <w:tcPr>
            <w:tcW w:w="1241" w:type="pct"/>
          </w:tcPr>
          <w:p w14:paraId="384FB07E" w14:textId="77777777" w:rsidR="00AD0961" w:rsidRPr="007E1860" w:rsidRDefault="00AD0961" w:rsidP="00EE3D7C">
            <w:pPr>
              <w:tabs>
                <w:tab w:val="right" w:pos="1202"/>
              </w:tabs>
              <w:spacing w:after="0" w:line="240" w:lineRule="auto"/>
              <w:outlineLvl w:val="0"/>
              <w:rPr>
                <w:rFonts w:eastAsia="Times New Roman" w:cs="Arial"/>
                <w:sz w:val="18"/>
                <w:szCs w:val="18"/>
              </w:rPr>
            </w:pPr>
            <w:r w:rsidRPr="007E1860">
              <w:rPr>
                <w:rFonts w:eastAsia="Times New Roman" w:cs="Arial"/>
                <w:spacing w:val="-2"/>
                <w:sz w:val="18"/>
                <w:szCs w:val="18"/>
              </w:rPr>
              <w:t>Obveze po kreditima</w:t>
            </w:r>
          </w:p>
        </w:tc>
        <w:tc>
          <w:tcPr>
            <w:tcW w:w="520" w:type="pct"/>
            <w:tcBorders>
              <w:top w:val="nil"/>
              <w:left w:val="nil"/>
              <w:bottom w:val="nil"/>
              <w:right w:val="nil"/>
            </w:tcBorders>
            <w:shd w:val="clear" w:color="auto" w:fill="auto"/>
            <w:vAlign w:val="bottom"/>
          </w:tcPr>
          <w:p w14:paraId="6432AFA8" w14:textId="08B3AF71"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355.442</w:t>
            </w:r>
          </w:p>
        </w:tc>
        <w:tc>
          <w:tcPr>
            <w:tcW w:w="488" w:type="pct"/>
            <w:tcBorders>
              <w:top w:val="nil"/>
              <w:left w:val="nil"/>
              <w:bottom w:val="nil"/>
              <w:right w:val="nil"/>
            </w:tcBorders>
            <w:shd w:val="clear" w:color="auto" w:fill="auto"/>
            <w:vAlign w:val="bottom"/>
          </w:tcPr>
          <w:p w14:paraId="0789B0BA" w14:textId="6971CB20"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171.450</w:t>
            </w:r>
          </w:p>
        </w:tc>
        <w:tc>
          <w:tcPr>
            <w:tcW w:w="528" w:type="pct"/>
            <w:gridSpan w:val="2"/>
            <w:tcBorders>
              <w:top w:val="nil"/>
              <w:left w:val="nil"/>
              <w:bottom w:val="nil"/>
              <w:right w:val="nil"/>
            </w:tcBorders>
            <w:shd w:val="clear" w:color="auto" w:fill="auto"/>
            <w:vAlign w:val="bottom"/>
          </w:tcPr>
          <w:p w14:paraId="484D8A3D" w14:textId="5616C308"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1.020.722</w:t>
            </w:r>
          </w:p>
        </w:tc>
        <w:tc>
          <w:tcPr>
            <w:tcW w:w="528" w:type="pct"/>
            <w:gridSpan w:val="2"/>
            <w:tcBorders>
              <w:top w:val="nil"/>
              <w:left w:val="nil"/>
              <w:bottom w:val="nil"/>
              <w:right w:val="nil"/>
            </w:tcBorders>
            <w:shd w:val="clear" w:color="auto" w:fill="auto"/>
            <w:vAlign w:val="bottom"/>
          </w:tcPr>
          <w:p w14:paraId="61BD289D" w14:textId="6B3A8184"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3.059.168</w:t>
            </w:r>
          </w:p>
        </w:tc>
        <w:tc>
          <w:tcPr>
            <w:tcW w:w="569" w:type="pct"/>
            <w:gridSpan w:val="3"/>
            <w:tcBorders>
              <w:top w:val="nil"/>
              <w:left w:val="nil"/>
              <w:bottom w:val="nil"/>
              <w:right w:val="nil"/>
            </w:tcBorders>
            <w:shd w:val="clear" w:color="auto" w:fill="auto"/>
            <w:vAlign w:val="bottom"/>
          </w:tcPr>
          <w:p w14:paraId="30CC02CD" w14:textId="74B542D4"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8.720.949</w:t>
            </w:r>
          </w:p>
        </w:tc>
        <w:tc>
          <w:tcPr>
            <w:tcW w:w="564" w:type="pct"/>
            <w:tcBorders>
              <w:top w:val="nil"/>
              <w:left w:val="nil"/>
              <w:bottom w:val="nil"/>
              <w:right w:val="nil"/>
            </w:tcBorders>
            <w:shd w:val="clear" w:color="auto" w:fill="auto"/>
            <w:vAlign w:val="bottom"/>
          </w:tcPr>
          <w:p w14:paraId="1D943E4D" w14:textId="4E855CFD"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64.018</w:t>
            </w:r>
          </w:p>
        </w:tc>
        <w:tc>
          <w:tcPr>
            <w:tcW w:w="563" w:type="pct"/>
            <w:tcBorders>
              <w:top w:val="nil"/>
              <w:left w:val="nil"/>
              <w:bottom w:val="nil"/>
              <w:right w:val="nil"/>
            </w:tcBorders>
            <w:shd w:val="clear" w:color="auto" w:fill="auto"/>
            <w:vAlign w:val="bottom"/>
          </w:tcPr>
          <w:p w14:paraId="5B26E2EB" w14:textId="45CBC34F" w:rsidR="00AD0961" w:rsidRPr="007E1860" w:rsidRDefault="00AD0961" w:rsidP="00EE3D7C">
            <w:pPr>
              <w:spacing w:after="0" w:line="240" w:lineRule="auto"/>
              <w:jc w:val="right"/>
              <w:rPr>
                <w:rFonts w:eastAsia="Times New Roman" w:cs="Arial"/>
                <w:bCs/>
                <w:sz w:val="18"/>
                <w:szCs w:val="18"/>
              </w:rPr>
            </w:pPr>
            <w:r w:rsidRPr="007E1860">
              <w:rPr>
                <w:color w:val="000000"/>
                <w:sz w:val="18"/>
                <w:szCs w:val="18"/>
              </w:rPr>
              <w:t>13.391.749</w:t>
            </w:r>
          </w:p>
        </w:tc>
      </w:tr>
      <w:tr w:rsidR="00AD0961" w:rsidRPr="00EE3D7C" w14:paraId="4AD58CBA" w14:textId="77777777" w:rsidTr="007E1860">
        <w:trPr>
          <w:trHeight w:val="215"/>
        </w:trPr>
        <w:tc>
          <w:tcPr>
            <w:tcW w:w="1241" w:type="pct"/>
          </w:tcPr>
          <w:p w14:paraId="02E2A340" w14:textId="77777777" w:rsidR="00AD0961" w:rsidRPr="007E1860" w:rsidRDefault="00AD0961" w:rsidP="00EE3D7C">
            <w:pPr>
              <w:tabs>
                <w:tab w:val="right" w:pos="1202"/>
              </w:tabs>
              <w:spacing w:after="0" w:line="240" w:lineRule="auto"/>
              <w:outlineLvl w:val="0"/>
              <w:rPr>
                <w:rFonts w:eastAsia="Times New Roman" w:cs="Arial"/>
                <w:sz w:val="18"/>
                <w:szCs w:val="18"/>
              </w:rPr>
            </w:pPr>
            <w:r w:rsidRPr="007E1860">
              <w:rPr>
                <w:rFonts w:eastAsia="Times New Roman" w:cs="Arial"/>
                <w:spacing w:val="-2"/>
                <w:sz w:val="18"/>
                <w:szCs w:val="18"/>
              </w:rPr>
              <w:t>Obveze za izdane dugoročne vrijednosne papire</w:t>
            </w:r>
          </w:p>
        </w:tc>
        <w:tc>
          <w:tcPr>
            <w:tcW w:w="520" w:type="pct"/>
            <w:tcBorders>
              <w:top w:val="nil"/>
              <w:left w:val="nil"/>
              <w:bottom w:val="nil"/>
              <w:right w:val="nil"/>
            </w:tcBorders>
            <w:shd w:val="clear" w:color="auto" w:fill="auto"/>
            <w:vAlign w:val="bottom"/>
          </w:tcPr>
          <w:p w14:paraId="4B9D7A15" w14:textId="56A5455F"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488" w:type="pct"/>
            <w:tcBorders>
              <w:top w:val="nil"/>
              <w:left w:val="nil"/>
              <w:bottom w:val="nil"/>
              <w:right w:val="nil"/>
            </w:tcBorders>
            <w:shd w:val="clear" w:color="auto" w:fill="auto"/>
            <w:vAlign w:val="bottom"/>
          </w:tcPr>
          <w:p w14:paraId="73615B6F" w14:textId="02A6D9D1"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78FDA011" w14:textId="2BC5C1D6"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1.888.837</w:t>
            </w:r>
          </w:p>
        </w:tc>
        <w:tc>
          <w:tcPr>
            <w:tcW w:w="528" w:type="pct"/>
            <w:gridSpan w:val="2"/>
            <w:tcBorders>
              <w:top w:val="nil"/>
              <w:left w:val="nil"/>
              <w:bottom w:val="nil"/>
              <w:right w:val="nil"/>
            </w:tcBorders>
            <w:shd w:val="clear" w:color="auto" w:fill="auto"/>
            <w:vAlign w:val="bottom"/>
          </w:tcPr>
          <w:p w14:paraId="34F29800" w14:textId="0123B8CC"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59BDFA29" w14:textId="72AC2D46"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1.120.800</w:t>
            </w:r>
          </w:p>
        </w:tc>
        <w:tc>
          <w:tcPr>
            <w:tcW w:w="564" w:type="pct"/>
            <w:tcBorders>
              <w:top w:val="nil"/>
              <w:left w:val="nil"/>
              <w:bottom w:val="nil"/>
              <w:right w:val="nil"/>
            </w:tcBorders>
            <w:shd w:val="clear" w:color="auto" w:fill="auto"/>
            <w:vAlign w:val="bottom"/>
          </w:tcPr>
          <w:p w14:paraId="6832DFA4" w14:textId="271CE830"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95.932</w:t>
            </w:r>
          </w:p>
        </w:tc>
        <w:tc>
          <w:tcPr>
            <w:tcW w:w="563" w:type="pct"/>
            <w:tcBorders>
              <w:top w:val="nil"/>
              <w:left w:val="nil"/>
              <w:bottom w:val="nil"/>
              <w:right w:val="nil"/>
            </w:tcBorders>
            <w:shd w:val="clear" w:color="auto" w:fill="auto"/>
            <w:vAlign w:val="bottom"/>
          </w:tcPr>
          <w:p w14:paraId="02BA943D" w14:textId="0EB6CB15" w:rsidR="00AD0961" w:rsidRPr="007E1860" w:rsidRDefault="00AD0961" w:rsidP="00EE3D7C">
            <w:pPr>
              <w:spacing w:after="0" w:line="240" w:lineRule="auto"/>
              <w:jc w:val="right"/>
              <w:rPr>
                <w:rFonts w:eastAsia="Times New Roman" w:cs="Arial"/>
                <w:bCs/>
                <w:sz w:val="18"/>
                <w:szCs w:val="18"/>
              </w:rPr>
            </w:pPr>
            <w:r w:rsidRPr="007E1860">
              <w:rPr>
                <w:color w:val="000000"/>
                <w:sz w:val="18"/>
                <w:szCs w:val="18"/>
              </w:rPr>
              <w:t>3.105.569</w:t>
            </w:r>
          </w:p>
        </w:tc>
      </w:tr>
      <w:tr w:rsidR="00AD0961" w:rsidRPr="00EE3D7C" w14:paraId="611A4834" w14:textId="77777777" w:rsidTr="007E1860">
        <w:trPr>
          <w:trHeight w:val="106"/>
        </w:trPr>
        <w:tc>
          <w:tcPr>
            <w:tcW w:w="1241" w:type="pct"/>
          </w:tcPr>
          <w:p w14:paraId="7D84879F" w14:textId="77777777" w:rsidR="00AD0961" w:rsidRPr="007E1860" w:rsidRDefault="00AD0961" w:rsidP="00EE3D7C">
            <w:pPr>
              <w:tabs>
                <w:tab w:val="right" w:pos="1202"/>
              </w:tabs>
              <w:spacing w:after="0" w:line="240" w:lineRule="auto"/>
              <w:outlineLvl w:val="0"/>
              <w:rPr>
                <w:rFonts w:eastAsia="Times New Roman" w:cs="Arial"/>
                <w:sz w:val="18"/>
                <w:szCs w:val="18"/>
              </w:rPr>
            </w:pPr>
            <w:r w:rsidRPr="007E1860">
              <w:rPr>
                <w:rFonts w:eastAsia="Times New Roman" w:cs="Arial"/>
                <w:spacing w:val="-2"/>
                <w:sz w:val="18"/>
                <w:szCs w:val="18"/>
              </w:rPr>
              <w:t>Ostale obveze</w:t>
            </w:r>
          </w:p>
        </w:tc>
        <w:tc>
          <w:tcPr>
            <w:tcW w:w="520" w:type="pct"/>
            <w:tcBorders>
              <w:top w:val="nil"/>
              <w:left w:val="nil"/>
              <w:bottom w:val="nil"/>
              <w:right w:val="nil"/>
            </w:tcBorders>
            <w:shd w:val="clear" w:color="auto" w:fill="auto"/>
            <w:vAlign w:val="bottom"/>
          </w:tcPr>
          <w:p w14:paraId="6053DD9D" w14:textId="4127ED13"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488" w:type="pct"/>
            <w:tcBorders>
              <w:top w:val="nil"/>
              <w:left w:val="nil"/>
              <w:bottom w:val="nil"/>
              <w:right w:val="nil"/>
            </w:tcBorders>
            <w:shd w:val="clear" w:color="auto" w:fill="auto"/>
            <w:vAlign w:val="bottom"/>
          </w:tcPr>
          <w:p w14:paraId="0C69BDCF" w14:textId="39A3A94F"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4FA365A5" w14:textId="479296EB"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28" w:type="pct"/>
            <w:gridSpan w:val="2"/>
            <w:tcBorders>
              <w:top w:val="nil"/>
              <w:left w:val="nil"/>
              <w:bottom w:val="nil"/>
              <w:right w:val="nil"/>
            </w:tcBorders>
            <w:shd w:val="clear" w:color="auto" w:fill="auto"/>
            <w:vAlign w:val="bottom"/>
          </w:tcPr>
          <w:p w14:paraId="4A7F54AA" w14:textId="74F4E49F"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9" w:type="pct"/>
            <w:gridSpan w:val="3"/>
            <w:tcBorders>
              <w:top w:val="nil"/>
              <w:left w:val="nil"/>
              <w:bottom w:val="nil"/>
              <w:right w:val="nil"/>
            </w:tcBorders>
            <w:shd w:val="clear" w:color="auto" w:fill="auto"/>
            <w:vAlign w:val="bottom"/>
          </w:tcPr>
          <w:p w14:paraId="11DFE2EA" w14:textId="27A58CC3" w:rsidR="00AD0961" w:rsidRPr="007E1860" w:rsidRDefault="00AD0961" w:rsidP="00EE3D7C">
            <w:pPr>
              <w:spacing w:after="0" w:line="240" w:lineRule="auto"/>
              <w:jc w:val="right"/>
              <w:rPr>
                <w:rFonts w:eastAsia="Times New Roman" w:cs="Arial"/>
                <w:sz w:val="18"/>
                <w:szCs w:val="18"/>
              </w:rPr>
            </w:pPr>
            <w:r w:rsidRPr="007E1860">
              <w:rPr>
                <w:sz w:val="18"/>
                <w:szCs w:val="18"/>
              </w:rPr>
              <w:t>-</w:t>
            </w:r>
          </w:p>
        </w:tc>
        <w:tc>
          <w:tcPr>
            <w:tcW w:w="564" w:type="pct"/>
            <w:tcBorders>
              <w:top w:val="nil"/>
              <w:left w:val="nil"/>
              <w:bottom w:val="nil"/>
              <w:right w:val="nil"/>
            </w:tcBorders>
            <w:shd w:val="clear" w:color="auto" w:fill="auto"/>
            <w:vAlign w:val="bottom"/>
          </w:tcPr>
          <w:p w14:paraId="5510E6BA" w14:textId="0480E5C0"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696.774</w:t>
            </w:r>
          </w:p>
        </w:tc>
        <w:tc>
          <w:tcPr>
            <w:tcW w:w="563" w:type="pct"/>
            <w:tcBorders>
              <w:top w:val="nil"/>
              <w:left w:val="nil"/>
              <w:bottom w:val="nil"/>
              <w:right w:val="nil"/>
            </w:tcBorders>
            <w:shd w:val="clear" w:color="auto" w:fill="auto"/>
            <w:vAlign w:val="bottom"/>
          </w:tcPr>
          <w:p w14:paraId="04703E7F" w14:textId="2E7283F8" w:rsidR="00AD0961" w:rsidRPr="007E1860" w:rsidRDefault="00AD0961" w:rsidP="00EE3D7C">
            <w:pPr>
              <w:spacing w:after="0" w:line="240" w:lineRule="auto"/>
              <w:jc w:val="right"/>
              <w:rPr>
                <w:rFonts w:eastAsia="Times New Roman" w:cs="Arial"/>
                <w:bCs/>
                <w:sz w:val="18"/>
                <w:szCs w:val="18"/>
              </w:rPr>
            </w:pPr>
            <w:r w:rsidRPr="007E1860">
              <w:rPr>
                <w:color w:val="000000"/>
                <w:sz w:val="18"/>
                <w:szCs w:val="18"/>
              </w:rPr>
              <w:t>696.774</w:t>
            </w:r>
          </w:p>
        </w:tc>
      </w:tr>
      <w:tr w:rsidR="004B16B5" w:rsidRPr="00EE3D7C" w14:paraId="05914053" w14:textId="77777777" w:rsidTr="007E1860">
        <w:trPr>
          <w:trHeight w:hRule="exact" w:val="113"/>
        </w:trPr>
        <w:tc>
          <w:tcPr>
            <w:tcW w:w="1241" w:type="pct"/>
          </w:tcPr>
          <w:p w14:paraId="4850EA53" w14:textId="77777777" w:rsidR="004B16B5" w:rsidRPr="007E1860" w:rsidRDefault="004B16B5" w:rsidP="00EE3D7C">
            <w:pPr>
              <w:keepNext/>
              <w:keepLines/>
              <w:tabs>
                <w:tab w:val="decimal" w:pos="1202"/>
              </w:tabs>
              <w:spacing w:after="0" w:line="240" w:lineRule="auto"/>
              <w:rPr>
                <w:rFonts w:eastAsia="Times New Roman" w:cs="Arial"/>
                <w:b/>
                <w:position w:val="4"/>
                <w:sz w:val="18"/>
                <w:szCs w:val="18"/>
              </w:rPr>
            </w:pPr>
          </w:p>
        </w:tc>
        <w:tc>
          <w:tcPr>
            <w:tcW w:w="520" w:type="pct"/>
            <w:tcBorders>
              <w:bottom w:val="single" w:sz="4" w:space="0" w:color="auto"/>
            </w:tcBorders>
            <w:vAlign w:val="bottom"/>
          </w:tcPr>
          <w:p w14:paraId="633A6085"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488" w:type="pct"/>
            <w:tcBorders>
              <w:bottom w:val="single" w:sz="4" w:space="0" w:color="auto"/>
            </w:tcBorders>
            <w:vAlign w:val="bottom"/>
          </w:tcPr>
          <w:p w14:paraId="5195BD82"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28" w:type="pct"/>
            <w:gridSpan w:val="2"/>
            <w:tcBorders>
              <w:bottom w:val="single" w:sz="4" w:space="0" w:color="auto"/>
            </w:tcBorders>
            <w:vAlign w:val="bottom"/>
          </w:tcPr>
          <w:p w14:paraId="78941358"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28" w:type="pct"/>
            <w:gridSpan w:val="2"/>
            <w:tcBorders>
              <w:bottom w:val="single" w:sz="4" w:space="0" w:color="auto"/>
            </w:tcBorders>
            <w:vAlign w:val="bottom"/>
          </w:tcPr>
          <w:p w14:paraId="63B6FF1E"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9" w:type="pct"/>
            <w:gridSpan w:val="3"/>
            <w:tcBorders>
              <w:bottom w:val="single" w:sz="4" w:space="0" w:color="auto"/>
            </w:tcBorders>
            <w:vAlign w:val="bottom"/>
          </w:tcPr>
          <w:p w14:paraId="7E660E51"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4" w:type="pct"/>
            <w:tcBorders>
              <w:bottom w:val="single" w:sz="4" w:space="0" w:color="auto"/>
            </w:tcBorders>
            <w:vAlign w:val="bottom"/>
          </w:tcPr>
          <w:p w14:paraId="2C403343"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3" w:type="pct"/>
            <w:tcBorders>
              <w:bottom w:val="single" w:sz="4" w:space="0" w:color="auto"/>
            </w:tcBorders>
            <w:vAlign w:val="bottom"/>
          </w:tcPr>
          <w:p w14:paraId="35FB524E"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r>
      <w:tr w:rsidR="00AD0961" w:rsidRPr="00EE3D7C" w14:paraId="563A5C89" w14:textId="77777777" w:rsidTr="007E1860">
        <w:trPr>
          <w:trHeight w:val="309"/>
        </w:trPr>
        <w:tc>
          <w:tcPr>
            <w:tcW w:w="1241" w:type="pct"/>
            <w:vAlign w:val="center"/>
          </w:tcPr>
          <w:p w14:paraId="305D564B" w14:textId="77777777" w:rsidR="00AD0961" w:rsidRPr="007E1860" w:rsidRDefault="00AD0961" w:rsidP="00EE3D7C">
            <w:pPr>
              <w:tabs>
                <w:tab w:val="right" w:pos="1202"/>
              </w:tabs>
              <w:spacing w:after="0" w:line="240" w:lineRule="auto"/>
              <w:outlineLvl w:val="0"/>
              <w:rPr>
                <w:rFonts w:eastAsia="Times New Roman" w:cs="Arial"/>
                <w:b/>
                <w:bCs/>
                <w:sz w:val="18"/>
                <w:szCs w:val="18"/>
              </w:rPr>
            </w:pPr>
            <w:r w:rsidRPr="007E1860">
              <w:rPr>
                <w:rFonts w:eastAsia="Times New Roman" w:cs="Arial"/>
                <w:b/>
                <w:bCs/>
                <w:sz w:val="18"/>
                <w:szCs w:val="18"/>
              </w:rPr>
              <w:t>Ukupne obveze</w:t>
            </w:r>
          </w:p>
        </w:tc>
        <w:tc>
          <w:tcPr>
            <w:tcW w:w="520" w:type="pct"/>
            <w:tcBorders>
              <w:top w:val="single" w:sz="4" w:space="0" w:color="auto"/>
              <w:left w:val="nil"/>
              <w:bottom w:val="single" w:sz="8" w:space="0" w:color="auto"/>
              <w:right w:val="nil"/>
            </w:tcBorders>
            <w:shd w:val="clear" w:color="auto" w:fill="auto"/>
            <w:vAlign w:val="center"/>
          </w:tcPr>
          <w:p w14:paraId="07C4402F" w14:textId="10F1C8D7" w:rsidR="00AD0961" w:rsidRPr="007E1860" w:rsidRDefault="00AD0961" w:rsidP="00EE3D7C">
            <w:pPr>
              <w:spacing w:after="0" w:line="240" w:lineRule="auto"/>
              <w:jc w:val="right"/>
              <w:rPr>
                <w:rFonts w:eastAsia="Times New Roman" w:cs="Arial"/>
                <w:b/>
                <w:sz w:val="18"/>
                <w:szCs w:val="18"/>
              </w:rPr>
            </w:pPr>
            <w:r w:rsidRPr="007E1860">
              <w:rPr>
                <w:b/>
                <w:bCs/>
                <w:color w:val="000000"/>
                <w:sz w:val="18"/>
                <w:szCs w:val="18"/>
              </w:rPr>
              <w:t>355.442</w:t>
            </w:r>
          </w:p>
        </w:tc>
        <w:tc>
          <w:tcPr>
            <w:tcW w:w="488" w:type="pct"/>
            <w:tcBorders>
              <w:top w:val="single" w:sz="4" w:space="0" w:color="auto"/>
              <w:left w:val="nil"/>
              <w:bottom w:val="single" w:sz="8" w:space="0" w:color="auto"/>
              <w:right w:val="nil"/>
            </w:tcBorders>
            <w:shd w:val="clear" w:color="auto" w:fill="auto"/>
            <w:vAlign w:val="center"/>
          </w:tcPr>
          <w:p w14:paraId="0EDF02C0" w14:textId="2EEDE91C" w:rsidR="00AD0961" w:rsidRPr="007E1860" w:rsidRDefault="00AD0961" w:rsidP="00EE3D7C">
            <w:pPr>
              <w:spacing w:after="0" w:line="240" w:lineRule="auto"/>
              <w:jc w:val="right"/>
              <w:rPr>
                <w:rFonts w:eastAsia="Times New Roman" w:cs="Arial"/>
                <w:b/>
                <w:sz w:val="18"/>
                <w:szCs w:val="18"/>
              </w:rPr>
            </w:pPr>
            <w:r w:rsidRPr="007E1860">
              <w:rPr>
                <w:b/>
                <w:bCs/>
                <w:color w:val="000000"/>
                <w:sz w:val="18"/>
                <w:szCs w:val="18"/>
              </w:rPr>
              <w:t>171.450</w:t>
            </w:r>
          </w:p>
        </w:tc>
        <w:tc>
          <w:tcPr>
            <w:tcW w:w="528" w:type="pct"/>
            <w:gridSpan w:val="2"/>
            <w:tcBorders>
              <w:top w:val="single" w:sz="4" w:space="0" w:color="auto"/>
              <w:left w:val="nil"/>
              <w:bottom w:val="single" w:sz="8" w:space="0" w:color="auto"/>
              <w:right w:val="nil"/>
            </w:tcBorders>
            <w:shd w:val="clear" w:color="auto" w:fill="auto"/>
            <w:vAlign w:val="center"/>
          </w:tcPr>
          <w:p w14:paraId="1C7931A8" w14:textId="490BFD79" w:rsidR="00AD0961" w:rsidRPr="007E1860" w:rsidRDefault="00AD0961" w:rsidP="00EE3D7C">
            <w:pPr>
              <w:spacing w:after="0" w:line="240" w:lineRule="auto"/>
              <w:jc w:val="right"/>
              <w:rPr>
                <w:rFonts w:eastAsia="Times New Roman" w:cs="Arial"/>
                <w:b/>
                <w:sz w:val="18"/>
                <w:szCs w:val="18"/>
              </w:rPr>
            </w:pPr>
            <w:r w:rsidRPr="007E1860">
              <w:rPr>
                <w:b/>
                <w:bCs/>
                <w:color w:val="000000"/>
                <w:sz w:val="18"/>
                <w:szCs w:val="18"/>
              </w:rPr>
              <w:t>2.909.559</w:t>
            </w:r>
          </w:p>
        </w:tc>
        <w:tc>
          <w:tcPr>
            <w:tcW w:w="528" w:type="pct"/>
            <w:gridSpan w:val="2"/>
            <w:tcBorders>
              <w:top w:val="single" w:sz="4" w:space="0" w:color="auto"/>
              <w:left w:val="nil"/>
              <w:bottom w:val="single" w:sz="8" w:space="0" w:color="auto"/>
              <w:right w:val="nil"/>
            </w:tcBorders>
            <w:shd w:val="clear" w:color="auto" w:fill="auto"/>
            <w:vAlign w:val="center"/>
          </w:tcPr>
          <w:p w14:paraId="7072AC75" w14:textId="07962421" w:rsidR="00AD0961" w:rsidRPr="007E1860" w:rsidRDefault="00AD0961" w:rsidP="00EE3D7C">
            <w:pPr>
              <w:spacing w:after="0" w:line="240" w:lineRule="auto"/>
              <w:jc w:val="right"/>
              <w:rPr>
                <w:rFonts w:eastAsia="Times New Roman" w:cs="Arial"/>
                <w:b/>
                <w:sz w:val="18"/>
                <w:szCs w:val="18"/>
              </w:rPr>
            </w:pPr>
            <w:r w:rsidRPr="007E1860">
              <w:rPr>
                <w:b/>
                <w:bCs/>
                <w:color w:val="000000"/>
                <w:sz w:val="18"/>
                <w:szCs w:val="18"/>
              </w:rPr>
              <w:t>3.059.168</w:t>
            </w:r>
          </w:p>
        </w:tc>
        <w:tc>
          <w:tcPr>
            <w:tcW w:w="569" w:type="pct"/>
            <w:gridSpan w:val="3"/>
            <w:tcBorders>
              <w:top w:val="single" w:sz="4" w:space="0" w:color="auto"/>
              <w:left w:val="nil"/>
              <w:bottom w:val="single" w:sz="8" w:space="0" w:color="auto"/>
              <w:right w:val="nil"/>
            </w:tcBorders>
            <w:shd w:val="clear" w:color="auto" w:fill="auto"/>
            <w:vAlign w:val="center"/>
          </w:tcPr>
          <w:p w14:paraId="7A4EE7B5" w14:textId="368D7226" w:rsidR="00AD0961" w:rsidRPr="007E1860" w:rsidRDefault="00AD0961" w:rsidP="00EE3D7C">
            <w:pPr>
              <w:spacing w:after="0" w:line="240" w:lineRule="auto"/>
              <w:jc w:val="right"/>
              <w:rPr>
                <w:rFonts w:eastAsia="Times New Roman" w:cs="Arial"/>
                <w:b/>
                <w:sz w:val="18"/>
                <w:szCs w:val="18"/>
              </w:rPr>
            </w:pPr>
            <w:r w:rsidRPr="007E1860">
              <w:rPr>
                <w:b/>
                <w:bCs/>
                <w:color w:val="000000"/>
                <w:sz w:val="18"/>
                <w:szCs w:val="18"/>
              </w:rPr>
              <w:t>9.841.749</w:t>
            </w:r>
          </w:p>
        </w:tc>
        <w:tc>
          <w:tcPr>
            <w:tcW w:w="564" w:type="pct"/>
            <w:tcBorders>
              <w:top w:val="single" w:sz="4" w:space="0" w:color="auto"/>
              <w:left w:val="nil"/>
              <w:bottom w:val="single" w:sz="8" w:space="0" w:color="auto"/>
              <w:right w:val="nil"/>
            </w:tcBorders>
            <w:shd w:val="clear" w:color="auto" w:fill="auto"/>
            <w:vAlign w:val="center"/>
          </w:tcPr>
          <w:p w14:paraId="401BF77A" w14:textId="7EA8F00C" w:rsidR="00AD0961" w:rsidRPr="007E1860" w:rsidRDefault="00AD0961" w:rsidP="00EE3D7C">
            <w:pPr>
              <w:spacing w:after="0" w:line="240" w:lineRule="auto"/>
              <w:jc w:val="right"/>
              <w:rPr>
                <w:rFonts w:eastAsia="Times New Roman" w:cs="Arial"/>
                <w:b/>
                <w:sz w:val="18"/>
                <w:szCs w:val="18"/>
              </w:rPr>
            </w:pPr>
            <w:r w:rsidRPr="007E1860">
              <w:rPr>
                <w:b/>
                <w:bCs/>
                <w:color w:val="000000"/>
                <w:sz w:val="18"/>
                <w:szCs w:val="18"/>
              </w:rPr>
              <w:t>999.568</w:t>
            </w:r>
          </w:p>
        </w:tc>
        <w:tc>
          <w:tcPr>
            <w:tcW w:w="563" w:type="pct"/>
            <w:tcBorders>
              <w:top w:val="single" w:sz="4" w:space="0" w:color="auto"/>
              <w:left w:val="nil"/>
              <w:bottom w:val="single" w:sz="8" w:space="0" w:color="auto"/>
              <w:right w:val="nil"/>
            </w:tcBorders>
            <w:shd w:val="clear" w:color="auto" w:fill="auto"/>
            <w:vAlign w:val="center"/>
          </w:tcPr>
          <w:p w14:paraId="0BF1CC61" w14:textId="5A4C1857" w:rsidR="00AD0961" w:rsidRPr="007E1860" w:rsidRDefault="00AD0961" w:rsidP="00EE3D7C">
            <w:pPr>
              <w:spacing w:after="0" w:line="240" w:lineRule="auto"/>
              <w:jc w:val="right"/>
              <w:rPr>
                <w:rFonts w:eastAsia="Times New Roman" w:cs="Arial"/>
                <w:b/>
                <w:bCs/>
                <w:sz w:val="18"/>
                <w:szCs w:val="18"/>
              </w:rPr>
            </w:pPr>
            <w:r w:rsidRPr="007E1860">
              <w:rPr>
                <w:b/>
                <w:bCs/>
                <w:color w:val="000000"/>
                <w:sz w:val="18"/>
                <w:szCs w:val="18"/>
              </w:rPr>
              <w:t>17.336.936</w:t>
            </w:r>
          </w:p>
        </w:tc>
      </w:tr>
      <w:tr w:rsidR="004B16B5" w:rsidRPr="00EE3D7C" w14:paraId="3AC2C8F6" w14:textId="77777777" w:rsidTr="007E1860">
        <w:trPr>
          <w:trHeight w:val="106"/>
        </w:trPr>
        <w:tc>
          <w:tcPr>
            <w:tcW w:w="1241" w:type="pct"/>
          </w:tcPr>
          <w:p w14:paraId="17FCCF8F" w14:textId="77777777" w:rsidR="004B16B5" w:rsidRPr="007E1860" w:rsidRDefault="004B16B5" w:rsidP="00EE3D7C">
            <w:pPr>
              <w:tabs>
                <w:tab w:val="right" w:pos="1202"/>
              </w:tabs>
              <w:spacing w:after="0" w:line="240" w:lineRule="auto"/>
              <w:outlineLvl w:val="0"/>
              <w:rPr>
                <w:rFonts w:eastAsia="Times New Roman" w:cs="Arial"/>
                <w:sz w:val="18"/>
                <w:szCs w:val="18"/>
              </w:rPr>
            </w:pPr>
            <w:r w:rsidRPr="007E1860">
              <w:rPr>
                <w:rFonts w:eastAsia="Times New Roman" w:cs="Arial"/>
                <w:b/>
                <w:bCs/>
                <w:sz w:val="18"/>
                <w:szCs w:val="18"/>
              </w:rPr>
              <w:t>Kapital</w:t>
            </w:r>
          </w:p>
        </w:tc>
        <w:tc>
          <w:tcPr>
            <w:tcW w:w="520" w:type="pct"/>
            <w:vAlign w:val="bottom"/>
          </w:tcPr>
          <w:p w14:paraId="58B367FB" w14:textId="77777777" w:rsidR="004B16B5" w:rsidRPr="007E1860" w:rsidRDefault="004B16B5" w:rsidP="00EE3D7C">
            <w:pPr>
              <w:tabs>
                <w:tab w:val="right" w:pos="1202"/>
              </w:tabs>
              <w:spacing w:after="0" w:line="240" w:lineRule="auto"/>
              <w:jc w:val="right"/>
              <w:outlineLvl w:val="0"/>
              <w:rPr>
                <w:rFonts w:eastAsia="Times New Roman" w:cs="Arial"/>
                <w:spacing w:val="-2"/>
                <w:sz w:val="18"/>
                <w:szCs w:val="18"/>
              </w:rPr>
            </w:pPr>
          </w:p>
        </w:tc>
        <w:tc>
          <w:tcPr>
            <w:tcW w:w="488" w:type="pct"/>
            <w:vAlign w:val="bottom"/>
          </w:tcPr>
          <w:p w14:paraId="75A8E983" w14:textId="77777777" w:rsidR="004B16B5" w:rsidRPr="007E1860" w:rsidRDefault="004B16B5" w:rsidP="00EE3D7C">
            <w:pPr>
              <w:tabs>
                <w:tab w:val="right" w:pos="1202"/>
              </w:tabs>
              <w:spacing w:after="0" w:line="240" w:lineRule="auto"/>
              <w:jc w:val="right"/>
              <w:outlineLvl w:val="0"/>
              <w:rPr>
                <w:rFonts w:eastAsia="Times New Roman" w:cs="Arial"/>
                <w:spacing w:val="-2"/>
                <w:sz w:val="18"/>
                <w:szCs w:val="18"/>
              </w:rPr>
            </w:pPr>
          </w:p>
        </w:tc>
        <w:tc>
          <w:tcPr>
            <w:tcW w:w="528" w:type="pct"/>
            <w:gridSpan w:val="2"/>
            <w:vAlign w:val="bottom"/>
          </w:tcPr>
          <w:p w14:paraId="6C1344EB" w14:textId="77777777" w:rsidR="004B16B5" w:rsidRPr="007E1860" w:rsidRDefault="004B16B5" w:rsidP="00EE3D7C">
            <w:pPr>
              <w:tabs>
                <w:tab w:val="right" w:pos="1202"/>
              </w:tabs>
              <w:spacing w:after="0" w:line="240" w:lineRule="auto"/>
              <w:jc w:val="right"/>
              <w:outlineLvl w:val="0"/>
              <w:rPr>
                <w:rFonts w:eastAsia="Times New Roman" w:cs="Arial"/>
                <w:spacing w:val="-2"/>
                <w:sz w:val="18"/>
                <w:szCs w:val="18"/>
              </w:rPr>
            </w:pPr>
          </w:p>
        </w:tc>
        <w:tc>
          <w:tcPr>
            <w:tcW w:w="528" w:type="pct"/>
            <w:gridSpan w:val="2"/>
            <w:vAlign w:val="bottom"/>
          </w:tcPr>
          <w:p w14:paraId="3A47CECD" w14:textId="77777777" w:rsidR="004B16B5" w:rsidRPr="007E1860" w:rsidRDefault="004B16B5" w:rsidP="00EE3D7C">
            <w:pPr>
              <w:tabs>
                <w:tab w:val="right" w:pos="1202"/>
              </w:tabs>
              <w:spacing w:after="0" w:line="240" w:lineRule="auto"/>
              <w:jc w:val="right"/>
              <w:outlineLvl w:val="0"/>
              <w:rPr>
                <w:rFonts w:eastAsia="Times New Roman" w:cs="Arial"/>
                <w:spacing w:val="-2"/>
                <w:sz w:val="18"/>
                <w:szCs w:val="18"/>
              </w:rPr>
            </w:pPr>
          </w:p>
        </w:tc>
        <w:tc>
          <w:tcPr>
            <w:tcW w:w="569" w:type="pct"/>
            <w:gridSpan w:val="3"/>
            <w:vAlign w:val="bottom"/>
          </w:tcPr>
          <w:p w14:paraId="6FD569CF" w14:textId="77777777" w:rsidR="004B16B5" w:rsidRPr="007E1860" w:rsidRDefault="004B16B5" w:rsidP="00EE3D7C">
            <w:pPr>
              <w:tabs>
                <w:tab w:val="right" w:pos="1202"/>
              </w:tabs>
              <w:spacing w:after="0" w:line="240" w:lineRule="auto"/>
              <w:jc w:val="right"/>
              <w:outlineLvl w:val="0"/>
              <w:rPr>
                <w:rFonts w:eastAsia="Times New Roman" w:cs="Arial"/>
                <w:spacing w:val="-2"/>
                <w:sz w:val="18"/>
                <w:szCs w:val="18"/>
              </w:rPr>
            </w:pPr>
          </w:p>
        </w:tc>
        <w:tc>
          <w:tcPr>
            <w:tcW w:w="564" w:type="pct"/>
            <w:vAlign w:val="bottom"/>
          </w:tcPr>
          <w:p w14:paraId="69491425" w14:textId="77777777" w:rsidR="004B16B5" w:rsidRPr="007E1860" w:rsidRDefault="004B16B5" w:rsidP="00EE3D7C">
            <w:pPr>
              <w:tabs>
                <w:tab w:val="right" w:pos="1202"/>
              </w:tabs>
              <w:spacing w:after="0" w:line="240" w:lineRule="auto"/>
              <w:jc w:val="right"/>
              <w:outlineLvl w:val="0"/>
              <w:rPr>
                <w:rFonts w:eastAsia="Times New Roman" w:cs="Arial"/>
                <w:b/>
                <w:sz w:val="18"/>
                <w:szCs w:val="18"/>
              </w:rPr>
            </w:pPr>
          </w:p>
        </w:tc>
        <w:tc>
          <w:tcPr>
            <w:tcW w:w="563" w:type="pct"/>
            <w:vAlign w:val="bottom"/>
          </w:tcPr>
          <w:p w14:paraId="3396C9A7" w14:textId="77777777" w:rsidR="004B16B5" w:rsidRPr="007E1860" w:rsidRDefault="004B16B5" w:rsidP="00EE3D7C">
            <w:pPr>
              <w:tabs>
                <w:tab w:val="right" w:pos="1202"/>
              </w:tabs>
              <w:spacing w:after="0" w:line="240" w:lineRule="auto"/>
              <w:jc w:val="right"/>
              <w:outlineLvl w:val="0"/>
              <w:rPr>
                <w:rFonts w:eastAsia="Times New Roman" w:cs="Arial"/>
                <w:sz w:val="18"/>
                <w:szCs w:val="18"/>
              </w:rPr>
            </w:pPr>
          </w:p>
        </w:tc>
      </w:tr>
      <w:tr w:rsidR="00AD0961" w:rsidRPr="00EE3D7C" w14:paraId="29844406" w14:textId="77777777" w:rsidTr="007E1860">
        <w:trPr>
          <w:trHeight w:val="106"/>
        </w:trPr>
        <w:tc>
          <w:tcPr>
            <w:tcW w:w="1241" w:type="pct"/>
          </w:tcPr>
          <w:p w14:paraId="5DA44F2C" w14:textId="77777777" w:rsidR="00AD0961" w:rsidRPr="007E1860" w:rsidRDefault="00AD0961" w:rsidP="00EE3D7C">
            <w:pPr>
              <w:tabs>
                <w:tab w:val="right" w:pos="1202"/>
              </w:tabs>
              <w:spacing w:after="0" w:line="240" w:lineRule="auto"/>
              <w:outlineLvl w:val="0"/>
              <w:rPr>
                <w:rFonts w:eastAsia="Times New Roman" w:cs="Arial"/>
                <w:sz w:val="18"/>
                <w:szCs w:val="18"/>
              </w:rPr>
            </w:pPr>
            <w:r w:rsidRPr="007E1860">
              <w:rPr>
                <w:rFonts w:eastAsia="Times New Roman" w:cs="Arial"/>
                <w:sz w:val="18"/>
                <w:szCs w:val="18"/>
              </w:rPr>
              <w:t>Osnivački kapital</w:t>
            </w:r>
          </w:p>
        </w:tc>
        <w:tc>
          <w:tcPr>
            <w:tcW w:w="520" w:type="pct"/>
            <w:vAlign w:val="bottom"/>
          </w:tcPr>
          <w:p w14:paraId="037E219B"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488" w:type="pct"/>
            <w:vAlign w:val="bottom"/>
          </w:tcPr>
          <w:p w14:paraId="18DBE9E3"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vAlign w:val="bottom"/>
          </w:tcPr>
          <w:p w14:paraId="47A8743E"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vAlign w:val="bottom"/>
          </w:tcPr>
          <w:p w14:paraId="24805301"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69" w:type="pct"/>
            <w:gridSpan w:val="3"/>
            <w:vAlign w:val="bottom"/>
          </w:tcPr>
          <w:p w14:paraId="69FD1717"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64" w:type="pct"/>
            <w:tcBorders>
              <w:top w:val="nil"/>
              <w:left w:val="nil"/>
              <w:bottom w:val="nil"/>
              <w:right w:val="nil"/>
            </w:tcBorders>
            <w:shd w:val="clear" w:color="auto" w:fill="auto"/>
            <w:vAlign w:val="center"/>
          </w:tcPr>
          <w:p w14:paraId="2D6BC35E" w14:textId="3923889E"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6.959.632</w:t>
            </w:r>
          </w:p>
        </w:tc>
        <w:tc>
          <w:tcPr>
            <w:tcW w:w="563" w:type="pct"/>
            <w:tcBorders>
              <w:top w:val="nil"/>
              <w:left w:val="nil"/>
              <w:bottom w:val="nil"/>
              <w:right w:val="nil"/>
            </w:tcBorders>
            <w:shd w:val="clear" w:color="auto" w:fill="auto"/>
            <w:vAlign w:val="center"/>
          </w:tcPr>
          <w:p w14:paraId="1A32CA36" w14:textId="71CA1ED1" w:rsidR="00AD0961" w:rsidRPr="007E1860" w:rsidRDefault="00AD0961" w:rsidP="00EE3D7C">
            <w:pPr>
              <w:spacing w:after="0" w:line="240" w:lineRule="auto"/>
              <w:jc w:val="right"/>
              <w:rPr>
                <w:rFonts w:eastAsia="Times New Roman" w:cs="Arial"/>
                <w:bCs/>
                <w:sz w:val="18"/>
                <w:szCs w:val="18"/>
              </w:rPr>
            </w:pPr>
            <w:r w:rsidRPr="007E1860">
              <w:rPr>
                <w:color w:val="000000"/>
                <w:sz w:val="18"/>
                <w:szCs w:val="18"/>
              </w:rPr>
              <w:t>6.959.632</w:t>
            </w:r>
          </w:p>
        </w:tc>
      </w:tr>
      <w:tr w:rsidR="00AD0961" w:rsidRPr="00EE3D7C" w14:paraId="75FD88AE" w14:textId="77777777" w:rsidTr="007E1860">
        <w:trPr>
          <w:trHeight w:val="112"/>
        </w:trPr>
        <w:tc>
          <w:tcPr>
            <w:tcW w:w="1241" w:type="pct"/>
          </w:tcPr>
          <w:p w14:paraId="52325BD1" w14:textId="77777777" w:rsidR="00AD0961" w:rsidRPr="007E1860" w:rsidRDefault="00AD0961" w:rsidP="00EE3D7C">
            <w:pPr>
              <w:tabs>
                <w:tab w:val="right" w:pos="1202"/>
              </w:tabs>
              <w:spacing w:after="0" w:line="240" w:lineRule="auto"/>
              <w:outlineLvl w:val="0"/>
              <w:rPr>
                <w:rFonts w:eastAsia="Times New Roman" w:cs="Arial"/>
                <w:sz w:val="18"/>
                <w:szCs w:val="18"/>
              </w:rPr>
            </w:pPr>
            <w:r w:rsidRPr="007E1860">
              <w:rPr>
                <w:rFonts w:eastAsia="Times New Roman" w:cs="Arial"/>
                <w:sz w:val="18"/>
                <w:szCs w:val="18"/>
              </w:rPr>
              <w:t>Zadržana dobit i rezerve</w:t>
            </w:r>
          </w:p>
        </w:tc>
        <w:tc>
          <w:tcPr>
            <w:tcW w:w="520" w:type="pct"/>
            <w:vAlign w:val="bottom"/>
          </w:tcPr>
          <w:p w14:paraId="70F93F42"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488" w:type="pct"/>
            <w:vAlign w:val="bottom"/>
          </w:tcPr>
          <w:p w14:paraId="24FCBB1E"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vAlign w:val="bottom"/>
          </w:tcPr>
          <w:p w14:paraId="0EA3365C"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vAlign w:val="bottom"/>
          </w:tcPr>
          <w:p w14:paraId="26690D56"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69" w:type="pct"/>
            <w:gridSpan w:val="3"/>
            <w:vAlign w:val="bottom"/>
          </w:tcPr>
          <w:p w14:paraId="273172A3"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64" w:type="pct"/>
            <w:tcBorders>
              <w:top w:val="nil"/>
              <w:left w:val="nil"/>
              <w:bottom w:val="nil"/>
              <w:right w:val="nil"/>
            </w:tcBorders>
            <w:shd w:val="clear" w:color="auto" w:fill="auto"/>
            <w:vAlign w:val="center"/>
          </w:tcPr>
          <w:p w14:paraId="2F079B40" w14:textId="7BDF4D65"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2.682.131</w:t>
            </w:r>
          </w:p>
        </w:tc>
        <w:tc>
          <w:tcPr>
            <w:tcW w:w="563" w:type="pct"/>
            <w:tcBorders>
              <w:top w:val="nil"/>
              <w:left w:val="nil"/>
              <w:bottom w:val="nil"/>
              <w:right w:val="nil"/>
            </w:tcBorders>
            <w:shd w:val="clear" w:color="auto" w:fill="auto"/>
            <w:vAlign w:val="center"/>
          </w:tcPr>
          <w:p w14:paraId="51DBBD64" w14:textId="2F4D1838" w:rsidR="00AD0961" w:rsidRPr="007E1860" w:rsidRDefault="00AD0961" w:rsidP="00EE3D7C">
            <w:pPr>
              <w:spacing w:after="0" w:line="240" w:lineRule="auto"/>
              <w:jc w:val="right"/>
              <w:rPr>
                <w:rFonts w:eastAsia="Times New Roman" w:cs="Arial"/>
                <w:bCs/>
                <w:sz w:val="18"/>
                <w:szCs w:val="18"/>
              </w:rPr>
            </w:pPr>
            <w:r w:rsidRPr="007E1860">
              <w:rPr>
                <w:color w:val="000000"/>
                <w:sz w:val="18"/>
                <w:szCs w:val="18"/>
              </w:rPr>
              <w:t>2.682.131</w:t>
            </w:r>
          </w:p>
        </w:tc>
      </w:tr>
      <w:tr w:rsidR="00AD0961" w:rsidRPr="00EE3D7C" w14:paraId="4D9A11F9" w14:textId="77777777" w:rsidTr="007E1860">
        <w:trPr>
          <w:trHeight w:val="106"/>
        </w:trPr>
        <w:tc>
          <w:tcPr>
            <w:tcW w:w="1241" w:type="pct"/>
          </w:tcPr>
          <w:p w14:paraId="1A7175DF" w14:textId="77777777" w:rsidR="00AD0961" w:rsidRPr="007E1860" w:rsidRDefault="00AD0961" w:rsidP="00EE3D7C">
            <w:pPr>
              <w:tabs>
                <w:tab w:val="right" w:pos="1202"/>
              </w:tabs>
              <w:spacing w:after="0" w:line="240" w:lineRule="auto"/>
              <w:outlineLvl w:val="0"/>
              <w:rPr>
                <w:rFonts w:eastAsia="Times New Roman" w:cs="Arial"/>
                <w:sz w:val="18"/>
                <w:szCs w:val="18"/>
              </w:rPr>
            </w:pPr>
            <w:r w:rsidRPr="007E1860">
              <w:rPr>
                <w:rFonts w:eastAsia="Times New Roman" w:cs="Arial"/>
                <w:sz w:val="18"/>
                <w:szCs w:val="18"/>
              </w:rPr>
              <w:t>Ostale rezerve</w:t>
            </w:r>
          </w:p>
        </w:tc>
        <w:tc>
          <w:tcPr>
            <w:tcW w:w="520" w:type="pct"/>
            <w:vAlign w:val="bottom"/>
          </w:tcPr>
          <w:p w14:paraId="0DC3ACD4"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488" w:type="pct"/>
            <w:vAlign w:val="bottom"/>
          </w:tcPr>
          <w:p w14:paraId="26C9F910"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vAlign w:val="bottom"/>
          </w:tcPr>
          <w:p w14:paraId="2D64AF8F"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vAlign w:val="bottom"/>
          </w:tcPr>
          <w:p w14:paraId="0AAFC523"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69" w:type="pct"/>
            <w:gridSpan w:val="3"/>
            <w:vAlign w:val="bottom"/>
          </w:tcPr>
          <w:p w14:paraId="142A8E6F" w14:textId="77777777" w:rsidR="00AD0961" w:rsidRPr="007E1860" w:rsidRDefault="00AD0961"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64" w:type="pct"/>
            <w:tcBorders>
              <w:top w:val="nil"/>
              <w:left w:val="nil"/>
              <w:bottom w:val="nil"/>
              <w:right w:val="nil"/>
            </w:tcBorders>
            <w:shd w:val="clear" w:color="auto" w:fill="auto"/>
            <w:vAlign w:val="center"/>
          </w:tcPr>
          <w:p w14:paraId="3FA6ED13" w14:textId="0F0E5CF3"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70.317</w:t>
            </w:r>
          </w:p>
        </w:tc>
        <w:tc>
          <w:tcPr>
            <w:tcW w:w="563" w:type="pct"/>
            <w:tcBorders>
              <w:top w:val="nil"/>
              <w:left w:val="nil"/>
              <w:bottom w:val="nil"/>
              <w:right w:val="nil"/>
            </w:tcBorders>
            <w:shd w:val="clear" w:color="auto" w:fill="auto"/>
            <w:vAlign w:val="center"/>
          </w:tcPr>
          <w:p w14:paraId="01E1C6F3" w14:textId="55706F12" w:rsidR="00AD0961" w:rsidRPr="007E1860" w:rsidRDefault="00AD0961" w:rsidP="00EE3D7C">
            <w:pPr>
              <w:spacing w:after="0" w:line="240" w:lineRule="auto"/>
              <w:jc w:val="right"/>
              <w:rPr>
                <w:rFonts w:eastAsia="Times New Roman" w:cs="Arial"/>
                <w:bCs/>
                <w:sz w:val="18"/>
                <w:szCs w:val="18"/>
              </w:rPr>
            </w:pPr>
            <w:r w:rsidRPr="007E1860">
              <w:rPr>
                <w:color w:val="000000"/>
                <w:sz w:val="18"/>
                <w:szCs w:val="18"/>
              </w:rPr>
              <w:t>70.317</w:t>
            </w:r>
          </w:p>
        </w:tc>
      </w:tr>
      <w:tr w:rsidR="00AD0961" w:rsidRPr="00EE3D7C" w14:paraId="786B54C3" w14:textId="77777777" w:rsidTr="007E1860">
        <w:trPr>
          <w:trHeight w:val="106"/>
        </w:trPr>
        <w:tc>
          <w:tcPr>
            <w:tcW w:w="1241" w:type="pct"/>
          </w:tcPr>
          <w:p w14:paraId="2AB0520E" w14:textId="77777777" w:rsidR="00AD0961" w:rsidRPr="007E1860" w:rsidRDefault="00AD0961" w:rsidP="00EE3D7C">
            <w:pPr>
              <w:tabs>
                <w:tab w:val="right" w:pos="1202"/>
              </w:tabs>
              <w:spacing w:after="0" w:line="240" w:lineRule="auto"/>
              <w:outlineLvl w:val="0"/>
              <w:rPr>
                <w:rFonts w:eastAsia="Times New Roman" w:cs="Arial"/>
                <w:sz w:val="18"/>
                <w:szCs w:val="18"/>
              </w:rPr>
            </w:pPr>
            <w:r w:rsidRPr="007E1860">
              <w:rPr>
                <w:rFonts w:eastAsia="Times New Roman" w:cs="Arial"/>
                <w:sz w:val="18"/>
                <w:szCs w:val="18"/>
              </w:rPr>
              <w:t>Dobit tekuće godine</w:t>
            </w:r>
          </w:p>
        </w:tc>
        <w:tc>
          <w:tcPr>
            <w:tcW w:w="520" w:type="pct"/>
            <w:tcBorders>
              <w:bottom w:val="single" w:sz="4" w:space="0" w:color="auto"/>
            </w:tcBorders>
            <w:vAlign w:val="bottom"/>
          </w:tcPr>
          <w:p w14:paraId="4948B056" w14:textId="77777777" w:rsidR="00AD0961" w:rsidRPr="007E1860" w:rsidRDefault="00AD0961" w:rsidP="00EE3D7C">
            <w:pPr>
              <w:spacing w:after="0" w:line="240" w:lineRule="auto"/>
              <w:jc w:val="right"/>
              <w:rPr>
                <w:rFonts w:eastAsia="Times New Roman" w:cs="Arial"/>
                <w:spacing w:val="-2"/>
                <w:sz w:val="18"/>
                <w:szCs w:val="18"/>
              </w:rPr>
            </w:pPr>
            <w:r w:rsidRPr="007E1860">
              <w:rPr>
                <w:rFonts w:eastAsia="Times New Roman" w:cs="Arial"/>
                <w:color w:val="000000"/>
                <w:spacing w:val="-2"/>
                <w:sz w:val="18"/>
                <w:szCs w:val="18"/>
                <w:lang w:val="en-GB"/>
              </w:rPr>
              <w:t>-</w:t>
            </w:r>
          </w:p>
        </w:tc>
        <w:tc>
          <w:tcPr>
            <w:tcW w:w="488" w:type="pct"/>
            <w:tcBorders>
              <w:bottom w:val="single" w:sz="4" w:space="0" w:color="auto"/>
            </w:tcBorders>
            <w:vAlign w:val="bottom"/>
          </w:tcPr>
          <w:p w14:paraId="04A1B780" w14:textId="77777777" w:rsidR="00AD0961" w:rsidRPr="007E1860" w:rsidRDefault="00AD0961" w:rsidP="00EE3D7C">
            <w:pPr>
              <w:spacing w:after="0" w:line="240" w:lineRule="auto"/>
              <w:jc w:val="right"/>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tcBorders>
              <w:bottom w:val="single" w:sz="4" w:space="0" w:color="auto"/>
            </w:tcBorders>
            <w:vAlign w:val="bottom"/>
          </w:tcPr>
          <w:p w14:paraId="4B095E53" w14:textId="77777777" w:rsidR="00AD0961" w:rsidRPr="007E1860" w:rsidRDefault="00AD0961" w:rsidP="00EE3D7C">
            <w:pPr>
              <w:spacing w:after="0" w:line="240" w:lineRule="auto"/>
              <w:jc w:val="right"/>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tcBorders>
              <w:bottom w:val="single" w:sz="4" w:space="0" w:color="auto"/>
            </w:tcBorders>
            <w:vAlign w:val="bottom"/>
          </w:tcPr>
          <w:p w14:paraId="4174722A" w14:textId="77777777" w:rsidR="00AD0961" w:rsidRPr="007E1860" w:rsidRDefault="00AD0961" w:rsidP="00EE3D7C">
            <w:pPr>
              <w:spacing w:after="0" w:line="240" w:lineRule="auto"/>
              <w:jc w:val="right"/>
              <w:rPr>
                <w:rFonts w:eastAsia="Times New Roman" w:cs="Arial"/>
                <w:spacing w:val="-2"/>
                <w:sz w:val="18"/>
                <w:szCs w:val="18"/>
              </w:rPr>
            </w:pPr>
            <w:r w:rsidRPr="007E1860">
              <w:rPr>
                <w:rFonts w:eastAsia="Times New Roman" w:cs="Arial"/>
                <w:color w:val="000000"/>
                <w:spacing w:val="-2"/>
                <w:sz w:val="18"/>
                <w:szCs w:val="18"/>
                <w:lang w:val="en-GB"/>
              </w:rPr>
              <w:t>-</w:t>
            </w:r>
          </w:p>
        </w:tc>
        <w:tc>
          <w:tcPr>
            <w:tcW w:w="569" w:type="pct"/>
            <w:gridSpan w:val="3"/>
            <w:tcBorders>
              <w:bottom w:val="single" w:sz="4" w:space="0" w:color="auto"/>
            </w:tcBorders>
            <w:vAlign w:val="bottom"/>
          </w:tcPr>
          <w:p w14:paraId="2B4C9132" w14:textId="77777777" w:rsidR="00AD0961" w:rsidRPr="007E1860" w:rsidRDefault="00AD0961" w:rsidP="00EE3D7C">
            <w:pPr>
              <w:spacing w:after="0" w:line="240" w:lineRule="auto"/>
              <w:jc w:val="right"/>
              <w:rPr>
                <w:rFonts w:eastAsia="Times New Roman" w:cs="Arial"/>
                <w:spacing w:val="-2"/>
                <w:sz w:val="18"/>
                <w:szCs w:val="18"/>
              </w:rPr>
            </w:pPr>
            <w:r w:rsidRPr="007E1860">
              <w:rPr>
                <w:rFonts w:eastAsia="Times New Roman" w:cs="Arial"/>
                <w:color w:val="000000"/>
                <w:spacing w:val="-2"/>
                <w:sz w:val="18"/>
                <w:szCs w:val="18"/>
                <w:lang w:val="en-GB"/>
              </w:rPr>
              <w:t>-</w:t>
            </w:r>
          </w:p>
        </w:tc>
        <w:tc>
          <w:tcPr>
            <w:tcW w:w="564" w:type="pct"/>
            <w:tcBorders>
              <w:top w:val="nil"/>
              <w:left w:val="nil"/>
              <w:bottom w:val="single" w:sz="4" w:space="0" w:color="auto"/>
              <w:right w:val="nil"/>
            </w:tcBorders>
            <w:shd w:val="clear" w:color="auto" w:fill="auto"/>
            <w:vAlign w:val="center"/>
          </w:tcPr>
          <w:p w14:paraId="336B0022" w14:textId="27DFF11C" w:rsidR="00AD0961" w:rsidRPr="007E1860" w:rsidRDefault="00AD0961" w:rsidP="00EE3D7C">
            <w:pPr>
              <w:spacing w:after="0" w:line="240" w:lineRule="auto"/>
              <w:jc w:val="right"/>
              <w:rPr>
                <w:rFonts w:eastAsia="Times New Roman" w:cs="Arial"/>
                <w:sz w:val="18"/>
                <w:szCs w:val="18"/>
              </w:rPr>
            </w:pPr>
            <w:r w:rsidRPr="007E1860">
              <w:rPr>
                <w:color w:val="000000"/>
                <w:sz w:val="18"/>
                <w:szCs w:val="18"/>
              </w:rPr>
              <w:t>313.525</w:t>
            </w:r>
          </w:p>
        </w:tc>
        <w:tc>
          <w:tcPr>
            <w:tcW w:w="563" w:type="pct"/>
            <w:tcBorders>
              <w:top w:val="nil"/>
              <w:left w:val="nil"/>
              <w:bottom w:val="single" w:sz="4" w:space="0" w:color="auto"/>
              <w:right w:val="nil"/>
            </w:tcBorders>
            <w:shd w:val="clear" w:color="auto" w:fill="auto"/>
            <w:vAlign w:val="center"/>
          </w:tcPr>
          <w:p w14:paraId="2AF0F171" w14:textId="67106491" w:rsidR="00AD0961" w:rsidRPr="007E1860" w:rsidRDefault="00AD0961" w:rsidP="00EE3D7C">
            <w:pPr>
              <w:spacing w:after="0" w:line="240" w:lineRule="auto"/>
              <w:jc w:val="right"/>
              <w:rPr>
                <w:rFonts w:eastAsia="Times New Roman" w:cs="Arial"/>
                <w:bCs/>
                <w:sz w:val="18"/>
                <w:szCs w:val="18"/>
              </w:rPr>
            </w:pPr>
            <w:r w:rsidRPr="007E1860">
              <w:rPr>
                <w:color w:val="000000"/>
                <w:sz w:val="18"/>
                <w:szCs w:val="18"/>
              </w:rPr>
              <w:t>313.525</w:t>
            </w:r>
          </w:p>
        </w:tc>
      </w:tr>
      <w:tr w:rsidR="00EE3D7C" w:rsidRPr="00EE3D7C" w14:paraId="468156CC" w14:textId="77777777" w:rsidTr="007E1860">
        <w:trPr>
          <w:trHeight w:val="357"/>
        </w:trPr>
        <w:tc>
          <w:tcPr>
            <w:tcW w:w="1241" w:type="pct"/>
            <w:vAlign w:val="center"/>
          </w:tcPr>
          <w:p w14:paraId="489FBF71" w14:textId="77777777" w:rsidR="00EE3D7C" w:rsidRPr="007E1860" w:rsidRDefault="00EE3D7C" w:rsidP="00EE3D7C">
            <w:pPr>
              <w:tabs>
                <w:tab w:val="right" w:pos="1202"/>
              </w:tabs>
              <w:spacing w:after="0" w:line="240" w:lineRule="auto"/>
              <w:outlineLvl w:val="0"/>
              <w:rPr>
                <w:rFonts w:eastAsia="Times New Roman" w:cs="Arial"/>
                <w:sz w:val="18"/>
                <w:szCs w:val="18"/>
              </w:rPr>
            </w:pPr>
            <w:r w:rsidRPr="007E1860">
              <w:rPr>
                <w:rFonts w:eastAsia="Times New Roman" w:cs="Arial"/>
                <w:b/>
                <w:bCs/>
                <w:sz w:val="18"/>
                <w:szCs w:val="18"/>
              </w:rPr>
              <w:t xml:space="preserve">Ukupni kapital </w:t>
            </w:r>
          </w:p>
        </w:tc>
        <w:tc>
          <w:tcPr>
            <w:tcW w:w="520" w:type="pct"/>
            <w:tcBorders>
              <w:top w:val="single" w:sz="4" w:space="0" w:color="auto"/>
              <w:bottom w:val="single" w:sz="12" w:space="0" w:color="auto"/>
            </w:tcBorders>
            <w:vAlign w:val="bottom"/>
          </w:tcPr>
          <w:p w14:paraId="33801C9B" w14:textId="77777777" w:rsidR="00EE3D7C" w:rsidRPr="007E1860" w:rsidRDefault="00EE3D7C" w:rsidP="00EE3D7C">
            <w:pPr>
              <w:tabs>
                <w:tab w:val="right" w:pos="1202"/>
              </w:tabs>
              <w:spacing w:after="0" w:line="240" w:lineRule="auto"/>
              <w:jc w:val="right"/>
              <w:outlineLvl w:val="0"/>
              <w:rPr>
                <w:rFonts w:eastAsia="Times New Roman" w:cs="Arial"/>
                <w:b/>
                <w:bCs/>
                <w:spacing w:val="-2"/>
                <w:sz w:val="18"/>
                <w:szCs w:val="18"/>
              </w:rPr>
            </w:pPr>
            <w:r w:rsidRPr="007E1860">
              <w:rPr>
                <w:rFonts w:eastAsia="Times New Roman" w:cs="Arial"/>
                <w:b/>
                <w:bCs/>
                <w:color w:val="000000"/>
                <w:spacing w:val="-2"/>
                <w:sz w:val="18"/>
                <w:szCs w:val="18"/>
                <w:lang w:val="en-GB"/>
              </w:rPr>
              <w:t>-</w:t>
            </w:r>
          </w:p>
        </w:tc>
        <w:tc>
          <w:tcPr>
            <w:tcW w:w="488" w:type="pct"/>
            <w:tcBorders>
              <w:top w:val="single" w:sz="4" w:space="0" w:color="auto"/>
              <w:bottom w:val="single" w:sz="12" w:space="0" w:color="auto"/>
            </w:tcBorders>
            <w:vAlign w:val="bottom"/>
          </w:tcPr>
          <w:p w14:paraId="54D635E2" w14:textId="77777777" w:rsidR="00EE3D7C" w:rsidRPr="007E1860" w:rsidRDefault="00EE3D7C" w:rsidP="00EE3D7C">
            <w:pPr>
              <w:tabs>
                <w:tab w:val="right" w:pos="1202"/>
              </w:tabs>
              <w:spacing w:after="0" w:line="240" w:lineRule="auto"/>
              <w:jc w:val="right"/>
              <w:outlineLvl w:val="0"/>
              <w:rPr>
                <w:rFonts w:eastAsia="Times New Roman" w:cs="Arial"/>
                <w:b/>
                <w:bCs/>
                <w:spacing w:val="-2"/>
                <w:sz w:val="18"/>
                <w:szCs w:val="18"/>
              </w:rPr>
            </w:pPr>
            <w:r w:rsidRPr="007E1860">
              <w:rPr>
                <w:rFonts w:eastAsia="Times New Roman" w:cs="Arial"/>
                <w:b/>
                <w:bCs/>
                <w:color w:val="000000"/>
                <w:spacing w:val="-2"/>
                <w:sz w:val="18"/>
                <w:szCs w:val="18"/>
                <w:lang w:val="en-GB"/>
              </w:rPr>
              <w:t>-</w:t>
            </w:r>
          </w:p>
        </w:tc>
        <w:tc>
          <w:tcPr>
            <w:tcW w:w="528" w:type="pct"/>
            <w:gridSpan w:val="2"/>
            <w:tcBorders>
              <w:top w:val="single" w:sz="4" w:space="0" w:color="auto"/>
              <w:bottom w:val="single" w:sz="12" w:space="0" w:color="auto"/>
            </w:tcBorders>
            <w:vAlign w:val="bottom"/>
          </w:tcPr>
          <w:p w14:paraId="38DDF532" w14:textId="77777777" w:rsidR="00EE3D7C" w:rsidRPr="007E1860" w:rsidRDefault="00EE3D7C" w:rsidP="00EE3D7C">
            <w:pPr>
              <w:tabs>
                <w:tab w:val="right" w:pos="1202"/>
              </w:tabs>
              <w:spacing w:after="0" w:line="240" w:lineRule="auto"/>
              <w:jc w:val="right"/>
              <w:outlineLvl w:val="0"/>
              <w:rPr>
                <w:rFonts w:eastAsia="Times New Roman" w:cs="Arial"/>
                <w:b/>
                <w:bCs/>
                <w:spacing w:val="-2"/>
                <w:sz w:val="18"/>
                <w:szCs w:val="18"/>
              </w:rPr>
            </w:pPr>
            <w:r w:rsidRPr="007E1860">
              <w:rPr>
                <w:rFonts w:eastAsia="Times New Roman" w:cs="Arial"/>
                <w:b/>
                <w:bCs/>
                <w:color w:val="000000"/>
                <w:spacing w:val="-2"/>
                <w:sz w:val="18"/>
                <w:szCs w:val="18"/>
                <w:lang w:val="en-GB"/>
              </w:rPr>
              <w:t>-</w:t>
            </w:r>
          </w:p>
        </w:tc>
        <w:tc>
          <w:tcPr>
            <w:tcW w:w="528" w:type="pct"/>
            <w:gridSpan w:val="2"/>
            <w:tcBorders>
              <w:top w:val="single" w:sz="4" w:space="0" w:color="auto"/>
              <w:bottom w:val="single" w:sz="12" w:space="0" w:color="auto"/>
            </w:tcBorders>
            <w:vAlign w:val="bottom"/>
          </w:tcPr>
          <w:p w14:paraId="36144DB1" w14:textId="77777777" w:rsidR="00EE3D7C" w:rsidRPr="007E1860" w:rsidRDefault="00EE3D7C" w:rsidP="00EE3D7C">
            <w:pPr>
              <w:tabs>
                <w:tab w:val="right" w:pos="1202"/>
              </w:tabs>
              <w:spacing w:after="0" w:line="240" w:lineRule="auto"/>
              <w:jc w:val="right"/>
              <w:outlineLvl w:val="0"/>
              <w:rPr>
                <w:rFonts w:eastAsia="Times New Roman" w:cs="Arial"/>
                <w:b/>
                <w:bCs/>
                <w:spacing w:val="-2"/>
                <w:sz w:val="18"/>
                <w:szCs w:val="18"/>
              </w:rPr>
            </w:pPr>
            <w:r w:rsidRPr="007E1860">
              <w:rPr>
                <w:rFonts w:eastAsia="Times New Roman" w:cs="Arial"/>
                <w:b/>
                <w:bCs/>
                <w:color w:val="000000"/>
                <w:spacing w:val="-2"/>
                <w:sz w:val="18"/>
                <w:szCs w:val="18"/>
                <w:lang w:val="en-GB"/>
              </w:rPr>
              <w:t>-</w:t>
            </w:r>
          </w:p>
        </w:tc>
        <w:tc>
          <w:tcPr>
            <w:tcW w:w="569" w:type="pct"/>
            <w:gridSpan w:val="3"/>
            <w:tcBorders>
              <w:top w:val="single" w:sz="4" w:space="0" w:color="auto"/>
              <w:bottom w:val="single" w:sz="12" w:space="0" w:color="auto"/>
            </w:tcBorders>
            <w:vAlign w:val="bottom"/>
          </w:tcPr>
          <w:p w14:paraId="43F54090" w14:textId="77777777" w:rsidR="00EE3D7C" w:rsidRPr="007E1860" w:rsidRDefault="00EE3D7C" w:rsidP="00EE3D7C">
            <w:pPr>
              <w:tabs>
                <w:tab w:val="right" w:pos="1202"/>
              </w:tabs>
              <w:spacing w:after="0" w:line="240" w:lineRule="auto"/>
              <w:jc w:val="right"/>
              <w:outlineLvl w:val="0"/>
              <w:rPr>
                <w:rFonts w:eastAsia="Times New Roman" w:cs="Arial"/>
                <w:b/>
                <w:bCs/>
                <w:spacing w:val="-2"/>
                <w:sz w:val="18"/>
                <w:szCs w:val="18"/>
              </w:rPr>
            </w:pPr>
            <w:r w:rsidRPr="007E1860">
              <w:rPr>
                <w:rFonts w:eastAsia="Times New Roman" w:cs="Arial"/>
                <w:b/>
                <w:bCs/>
                <w:color w:val="000000"/>
                <w:spacing w:val="-2"/>
                <w:sz w:val="18"/>
                <w:szCs w:val="18"/>
                <w:lang w:val="en-GB"/>
              </w:rPr>
              <w:t>-</w:t>
            </w:r>
          </w:p>
        </w:tc>
        <w:tc>
          <w:tcPr>
            <w:tcW w:w="564" w:type="pct"/>
            <w:tcBorders>
              <w:top w:val="single" w:sz="4" w:space="0" w:color="auto"/>
              <w:left w:val="nil"/>
              <w:bottom w:val="single" w:sz="12" w:space="0" w:color="auto"/>
              <w:right w:val="nil"/>
            </w:tcBorders>
            <w:shd w:val="clear" w:color="auto" w:fill="auto"/>
            <w:vAlign w:val="center"/>
          </w:tcPr>
          <w:p w14:paraId="32BAB62C" w14:textId="0E71999E" w:rsidR="00EE3D7C" w:rsidRPr="007E1860" w:rsidRDefault="00EE3D7C" w:rsidP="00EE3D7C">
            <w:pPr>
              <w:spacing w:after="0" w:line="240" w:lineRule="auto"/>
              <w:jc w:val="right"/>
              <w:rPr>
                <w:rFonts w:eastAsia="Times New Roman" w:cs="Arial"/>
                <w:b/>
                <w:sz w:val="18"/>
                <w:szCs w:val="18"/>
              </w:rPr>
            </w:pPr>
            <w:r w:rsidRPr="007E1860">
              <w:rPr>
                <w:b/>
                <w:bCs/>
                <w:color w:val="000000"/>
                <w:sz w:val="18"/>
                <w:szCs w:val="18"/>
              </w:rPr>
              <w:t>10.025.605</w:t>
            </w:r>
          </w:p>
        </w:tc>
        <w:tc>
          <w:tcPr>
            <w:tcW w:w="563" w:type="pct"/>
            <w:tcBorders>
              <w:top w:val="single" w:sz="4" w:space="0" w:color="auto"/>
              <w:left w:val="nil"/>
              <w:bottom w:val="single" w:sz="12" w:space="0" w:color="auto"/>
              <w:right w:val="nil"/>
            </w:tcBorders>
            <w:shd w:val="clear" w:color="auto" w:fill="auto"/>
            <w:vAlign w:val="center"/>
          </w:tcPr>
          <w:p w14:paraId="3FEB7201" w14:textId="3C85FBA0"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10.025.605</w:t>
            </w:r>
          </w:p>
        </w:tc>
      </w:tr>
      <w:tr w:rsidR="004B16B5" w:rsidRPr="00EE3D7C" w14:paraId="3B6ACB85" w14:textId="77777777" w:rsidTr="007E1860">
        <w:trPr>
          <w:trHeight w:hRule="exact" w:val="104"/>
        </w:trPr>
        <w:tc>
          <w:tcPr>
            <w:tcW w:w="1241" w:type="pct"/>
          </w:tcPr>
          <w:p w14:paraId="6AEBA00E" w14:textId="77777777" w:rsidR="004B16B5" w:rsidRPr="007E1860" w:rsidRDefault="004B16B5" w:rsidP="00EE3D7C">
            <w:pPr>
              <w:keepNext/>
              <w:keepLines/>
              <w:tabs>
                <w:tab w:val="decimal" w:pos="1202"/>
              </w:tabs>
              <w:spacing w:after="0" w:line="240" w:lineRule="auto"/>
              <w:rPr>
                <w:rFonts w:eastAsia="Times New Roman" w:cs="Arial"/>
                <w:b/>
                <w:position w:val="4"/>
                <w:sz w:val="18"/>
                <w:szCs w:val="18"/>
              </w:rPr>
            </w:pPr>
          </w:p>
        </w:tc>
        <w:tc>
          <w:tcPr>
            <w:tcW w:w="520" w:type="pct"/>
            <w:tcBorders>
              <w:top w:val="single" w:sz="12" w:space="0" w:color="auto"/>
            </w:tcBorders>
            <w:vAlign w:val="bottom"/>
          </w:tcPr>
          <w:p w14:paraId="6C683205"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488" w:type="pct"/>
            <w:tcBorders>
              <w:top w:val="single" w:sz="12" w:space="0" w:color="auto"/>
            </w:tcBorders>
            <w:vAlign w:val="bottom"/>
          </w:tcPr>
          <w:p w14:paraId="7453CA3F"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28" w:type="pct"/>
            <w:gridSpan w:val="2"/>
            <w:tcBorders>
              <w:top w:val="single" w:sz="12" w:space="0" w:color="auto"/>
            </w:tcBorders>
            <w:vAlign w:val="bottom"/>
          </w:tcPr>
          <w:p w14:paraId="4D82CA66"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28" w:type="pct"/>
            <w:gridSpan w:val="2"/>
            <w:tcBorders>
              <w:top w:val="single" w:sz="12" w:space="0" w:color="auto"/>
            </w:tcBorders>
            <w:vAlign w:val="bottom"/>
          </w:tcPr>
          <w:p w14:paraId="2D9B7A1B"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9" w:type="pct"/>
            <w:gridSpan w:val="3"/>
            <w:tcBorders>
              <w:top w:val="single" w:sz="12" w:space="0" w:color="auto"/>
            </w:tcBorders>
            <w:vAlign w:val="bottom"/>
          </w:tcPr>
          <w:p w14:paraId="40A8297D"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4" w:type="pct"/>
            <w:tcBorders>
              <w:top w:val="single" w:sz="12" w:space="0" w:color="auto"/>
            </w:tcBorders>
            <w:vAlign w:val="bottom"/>
          </w:tcPr>
          <w:p w14:paraId="0E4C656C"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3" w:type="pct"/>
            <w:tcBorders>
              <w:top w:val="single" w:sz="12" w:space="0" w:color="auto"/>
            </w:tcBorders>
            <w:vAlign w:val="bottom"/>
          </w:tcPr>
          <w:p w14:paraId="23DB9EE0"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r>
      <w:tr w:rsidR="00EE3D7C" w:rsidRPr="00EE3D7C" w14:paraId="01091B8E" w14:textId="77777777" w:rsidTr="007E1860">
        <w:trPr>
          <w:trHeight w:val="121"/>
        </w:trPr>
        <w:tc>
          <w:tcPr>
            <w:tcW w:w="1241" w:type="pct"/>
            <w:vAlign w:val="bottom"/>
          </w:tcPr>
          <w:p w14:paraId="0B0E867C" w14:textId="77777777" w:rsidR="00EE3D7C" w:rsidRPr="007E1860" w:rsidRDefault="00EE3D7C" w:rsidP="00EE3D7C">
            <w:pPr>
              <w:tabs>
                <w:tab w:val="right" w:pos="1202"/>
              </w:tabs>
              <w:spacing w:after="0" w:line="240" w:lineRule="auto"/>
              <w:outlineLvl w:val="0"/>
              <w:rPr>
                <w:rFonts w:eastAsia="Times New Roman" w:cs="Arial"/>
                <w:sz w:val="18"/>
                <w:szCs w:val="18"/>
              </w:rPr>
            </w:pPr>
            <w:r w:rsidRPr="007E1860">
              <w:rPr>
                <w:rFonts w:eastAsia="Times New Roman" w:cs="Arial"/>
                <w:sz w:val="18"/>
                <w:szCs w:val="18"/>
              </w:rPr>
              <w:t>Garantni fond</w:t>
            </w:r>
          </w:p>
        </w:tc>
        <w:tc>
          <w:tcPr>
            <w:tcW w:w="520" w:type="pct"/>
            <w:vAlign w:val="bottom"/>
          </w:tcPr>
          <w:p w14:paraId="4749FC5E" w14:textId="77777777" w:rsidR="00EE3D7C" w:rsidRPr="007E1860" w:rsidRDefault="00EE3D7C"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488" w:type="pct"/>
            <w:vAlign w:val="bottom"/>
          </w:tcPr>
          <w:p w14:paraId="7C637A43" w14:textId="77777777" w:rsidR="00EE3D7C" w:rsidRPr="007E1860" w:rsidRDefault="00EE3D7C"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vAlign w:val="bottom"/>
          </w:tcPr>
          <w:p w14:paraId="0F564D8F" w14:textId="77777777" w:rsidR="00EE3D7C" w:rsidRPr="007E1860" w:rsidRDefault="00EE3D7C"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28" w:type="pct"/>
            <w:gridSpan w:val="2"/>
            <w:vAlign w:val="bottom"/>
          </w:tcPr>
          <w:p w14:paraId="7CEA2C1B" w14:textId="77777777" w:rsidR="00EE3D7C" w:rsidRPr="007E1860" w:rsidRDefault="00EE3D7C"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69" w:type="pct"/>
            <w:gridSpan w:val="3"/>
            <w:vAlign w:val="bottom"/>
          </w:tcPr>
          <w:p w14:paraId="3EAAFAC0" w14:textId="77777777" w:rsidR="00EE3D7C" w:rsidRPr="007E1860" w:rsidRDefault="00EE3D7C" w:rsidP="00EE3D7C">
            <w:pPr>
              <w:tabs>
                <w:tab w:val="right" w:pos="1202"/>
              </w:tabs>
              <w:spacing w:after="0" w:line="240" w:lineRule="auto"/>
              <w:jc w:val="right"/>
              <w:outlineLvl w:val="0"/>
              <w:rPr>
                <w:rFonts w:eastAsia="Times New Roman" w:cs="Arial"/>
                <w:spacing w:val="-2"/>
                <w:sz w:val="18"/>
                <w:szCs w:val="18"/>
              </w:rPr>
            </w:pPr>
            <w:r w:rsidRPr="007E1860">
              <w:rPr>
                <w:rFonts w:eastAsia="Times New Roman" w:cs="Arial"/>
                <w:color w:val="000000"/>
                <w:spacing w:val="-2"/>
                <w:sz w:val="18"/>
                <w:szCs w:val="18"/>
                <w:lang w:val="en-GB"/>
              </w:rPr>
              <w:t>-</w:t>
            </w:r>
          </w:p>
        </w:tc>
        <w:tc>
          <w:tcPr>
            <w:tcW w:w="564" w:type="pct"/>
            <w:tcBorders>
              <w:left w:val="nil"/>
              <w:right w:val="nil"/>
            </w:tcBorders>
            <w:shd w:val="clear" w:color="auto" w:fill="auto"/>
            <w:vAlign w:val="bottom"/>
          </w:tcPr>
          <w:p w14:paraId="406263CD" w14:textId="42070B37" w:rsidR="00EE3D7C" w:rsidRPr="007E1860" w:rsidRDefault="00EE3D7C" w:rsidP="00EE3D7C">
            <w:pPr>
              <w:spacing w:after="0" w:line="240" w:lineRule="auto"/>
              <w:jc w:val="right"/>
              <w:outlineLvl w:val="0"/>
              <w:rPr>
                <w:rFonts w:eastAsia="Times New Roman" w:cs="Arial"/>
                <w:spacing w:val="-2"/>
                <w:sz w:val="18"/>
                <w:szCs w:val="18"/>
              </w:rPr>
            </w:pPr>
            <w:r w:rsidRPr="007E1860">
              <w:rPr>
                <w:sz w:val="18"/>
                <w:szCs w:val="18"/>
              </w:rPr>
              <w:t>12.375</w:t>
            </w:r>
          </w:p>
        </w:tc>
        <w:tc>
          <w:tcPr>
            <w:tcW w:w="563" w:type="pct"/>
            <w:tcBorders>
              <w:left w:val="nil"/>
              <w:right w:val="nil"/>
            </w:tcBorders>
            <w:shd w:val="clear" w:color="auto" w:fill="auto"/>
            <w:vAlign w:val="bottom"/>
          </w:tcPr>
          <w:p w14:paraId="199B9753" w14:textId="4FBBAC6E" w:rsidR="00EE3D7C" w:rsidRPr="007E1860" w:rsidRDefault="00EE3D7C" w:rsidP="00EE3D7C">
            <w:pPr>
              <w:spacing w:after="0" w:line="240" w:lineRule="auto"/>
              <w:jc w:val="right"/>
              <w:outlineLvl w:val="0"/>
              <w:rPr>
                <w:rFonts w:eastAsia="Times New Roman" w:cs="Arial"/>
                <w:spacing w:val="-2"/>
                <w:sz w:val="18"/>
                <w:szCs w:val="18"/>
              </w:rPr>
            </w:pPr>
            <w:r w:rsidRPr="007E1860">
              <w:rPr>
                <w:sz w:val="18"/>
                <w:szCs w:val="18"/>
              </w:rPr>
              <w:t>12.375</w:t>
            </w:r>
          </w:p>
        </w:tc>
      </w:tr>
      <w:tr w:rsidR="004B16B5" w:rsidRPr="00EE3D7C" w14:paraId="6A2E6894" w14:textId="77777777" w:rsidTr="007E1860">
        <w:trPr>
          <w:trHeight w:hRule="exact" w:val="57"/>
        </w:trPr>
        <w:tc>
          <w:tcPr>
            <w:tcW w:w="1241" w:type="pct"/>
          </w:tcPr>
          <w:p w14:paraId="5572C63D" w14:textId="77777777" w:rsidR="004B16B5" w:rsidRPr="007E1860" w:rsidRDefault="004B16B5" w:rsidP="00EE3D7C">
            <w:pPr>
              <w:keepNext/>
              <w:keepLines/>
              <w:tabs>
                <w:tab w:val="decimal" w:pos="1202"/>
              </w:tabs>
              <w:spacing w:after="0" w:line="240" w:lineRule="auto"/>
              <w:rPr>
                <w:rFonts w:eastAsia="Times New Roman" w:cs="Arial"/>
                <w:b/>
                <w:position w:val="4"/>
                <w:sz w:val="18"/>
                <w:szCs w:val="18"/>
              </w:rPr>
            </w:pPr>
          </w:p>
        </w:tc>
        <w:tc>
          <w:tcPr>
            <w:tcW w:w="520" w:type="pct"/>
            <w:vAlign w:val="bottom"/>
          </w:tcPr>
          <w:p w14:paraId="2F2C0015"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488" w:type="pct"/>
            <w:vAlign w:val="bottom"/>
          </w:tcPr>
          <w:p w14:paraId="460BF67A"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28" w:type="pct"/>
            <w:gridSpan w:val="2"/>
            <w:vAlign w:val="bottom"/>
          </w:tcPr>
          <w:p w14:paraId="53FB7FC9"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28" w:type="pct"/>
            <w:gridSpan w:val="2"/>
            <w:vAlign w:val="bottom"/>
          </w:tcPr>
          <w:p w14:paraId="72621736"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9" w:type="pct"/>
            <w:gridSpan w:val="3"/>
            <w:vAlign w:val="bottom"/>
          </w:tcPr>
          <w:p w14:paraId="3821609D"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4" w:type="pct"/>
            <w:vAlign w:val="bottom"/>
          </w:tcPr>
          <w:p w14:paraId="73843362"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3" w:type="pct"/>
            <w:vAlign w:val="bottom"/>
          </w:tcPr>
          <w:p w14:paraId="31B43A54"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r>
      <w:tr w:rsidR="00EE3D7C" w:rsidRPr="00EE3D7C" w14:paraId="16083F92" w14:textId="77777777" w:rsidTr="007E1860">
        <w:trPr>
          <w:trHeight w:val="315"/>
        </w:trPr>
        <w:tc>
          <w:tcPr>
            <w:tcW w:w="1241" w:type="pct"/>
            <w:vAlign w:val="center"/>
          </w:tcPr>
          <w:p w14:paraId="116EDB39" w14:textId="77777777" w:rsidR="00EE3D7C" w:rsidRPr="007E1860" w:rsidRDefault="00EE3D7C" w:rsidP="00EE3D7C">
            <w:pPr>
              <w:tabs>
                <w:tab w:val="right" w:pos="1202"/>
              </w:tabs>
              <w:spacing w:after="0" w:line="240" w:lineRule="auto"/>
              <w:outlineLvl w:val="0"/>
              <w:rPr>
                <w:rFonts w:eastAsia="Times New Roman" w:cs="Arial"/>
                <w:b/>
                <w:bCs/>
                <w:sz w:val="18"/>
                <w:szCs w:val="18"/>
              </w:rPr>
            </w:pPr>
            <w:r w:rsidRPr="007E1860">
              <w:rPr>
                <w:rFonts w:eastAsia="Times New Roman" w:cs="Arial"/>
                <w:b/>
                <w:bCs/>
                <w:sz w:val="18"/>
                <w:szCs w:val="18"/>
              </w:rPr>
              <w:t>Ukupna glavnica</w:t>
            </w:r>
          </w:p>
        </w:tc>
        <w:tc>
          <w:tcPr>
            <w:tcW w:w="520" w:type="pct"/>
            <w:tcBorders>
              <w:top w:val="single" w:sz="8" w:space="0" w:color="auto"/>
              <w:left w:val="nil"/>
              <w:bottom w:val="single" w:sz="12" w:space="0" w:color="auto"/>
              <w:right w:val="nil"/>
            </w:tcBorders>
            <w:shd w:val="clear" w:color="auto" w:fill="auto"/>
            <w:vAlign w:val="bottom"/>
          </w:tcPr>
          <w:p w14:paraId="64DCCAEF" w14:textId="322404B8" w:rsidR="00EE3D7C" w:rsidRPr="007E1860" w:rsidRDefault="00EE3D7C" w:rsidP="00EE3D7C">
            <w:pPr>
              <w:tabs>
                <w:tab w:val="right" w:pos="1202"/>
              </w:tabs>
              <w:spacing w:after="0" w:line="240" w:lineRule="auto"/>
              <w:jc w:val="right"/>
              <w:outlineLvl w:val="0"/>
              <w:rPr>
                <w:rFonts w:eastAsia="Times New Roman" w:cs="Arial"/>
                <w:b/>
                <w:bCs/>
                <w:spacing w:val="-2"/>
                <w:sz w:val="18"/>
                <w:szCs w:val="18"/>
              </w:rPr>
            </w:pPr>
            <w:r w:rsidRPr="007E1860">
              <w:rPr>
                <w:b/>
                <w:bCs/>
                <w:color w:val="000000"/>
                <w:sz w:val="18"/>
                <w:szCs w:val="18"/>
              </w:rPr>
              <w:t>-</w:t>
            </w:r>
          </w:p>
        </w:tc>
        <w:tc>
          <w:tcPr>
            <w:tcW w:w="488" w:type="pct"/>
            <w:tcBorders>
              <w:top w:val="single" w:sz="8" w:space="0" w:color="auto"/>
              <w:left w:val="nil"/>
              <w:bottom w:val="single" w:sz="12" w:space="0" w:color="auto"/>
              <w:right w:val="nil"/>
            </w:tcBorders>
            <w:shd w:val="clear" w:color="auto" w:fill="auto"/>
            <w:vAlign w:val="bottom"/>
          </w:tcPr>
          <w:p w14:paraId="056219A1" w14:textId="68AC5BAB" w:rsidR="00EE3D7C" w:rsidRPr="007E1860" w:rsidRDefault="00EE3D7C" w:rsidP="00EE3D7C">
            <w:pPr>
              <w:tabs>
                <w:tab w:val="right" w:pos="1202"/>
              </w:tabs>
              <w:spacing w:after="0" w:line="240" w:lineRule="auto"/>
              <w:jc w:val="right"/>
              <w:outlineLvl w:val="0"/>
              <w:rPr>
                <w:rFonts w:eastAsia="Times New Roman" w:cs="Arial"/>
                <w:b/>
                <w:bCs/>
                <w:spacing w:val="-2"/>
                <w:sz w:val="18"/>
                <w:szCs w:val="18"/>
              </w:rPr>
            </w:pPr>
            <w:r w:rsidRPr="007E1860">
              <w:rPr>
                <w:b/>
                <w:bCs/>
                <w:color w:val="000000"/>
                <w:sz w:val="18"/>
                <w:szCs w:val="18"/>
              </w:rPr>
              <w:t>-</w:t>
            </w:r>
          </w:p>
        </w:tc>
        <w:tc>
          <w:tcPr>
            <w:tcW w:w="528" w:type="pct"/>
            <w:gridSpan w:val="2"/>
            <w:tcBorders>
              <w:top w:val="single" w:sz="8" w:space="0" w:color="auto"/>
              <w:left w:val="nil"/>
              <w:bottom w:val="single" w:sz="12" w:space="0" w:color="auto"/>
              <w:right w:val="nil"/>
            </w:tcBorders>
            <w:shd w:val="clear" w:color="auto" w:fill="auto"/>
            <w:vAlign w:val="bottom"/>
          </w:tcPr>
          <w:p w14:paraId="1F7DF10F" w14:textId="05448D45" w:rsidR="00EE3D7C" w:rsidRPr="007E1860" w:rsidRDefault="00EE3D7C" w:rsidP="00EE3D7C">
            <w:pPr>
              <w:tabs>
                <w:tab w:val="right" w:pos="1202"/>
              </w:tabs>
              <w:spacing w:after="0" w:line="240" w:lineRule="auto"/>
              <w:jc w:val="right"/>
              <w:outlineLvl w:val="0"/>
              <w:rPr>
                <w:rFonts w:eastAsia="Times New Roman" w:cs="Arial"/>
                <w:b/>
                <w:bCs/>
                <w:spacing w:val="-2"/>
                <w:sz w:val="18"/>
                <w:szCs w:val="18"/>
              </w:rPr>
            </w:pPr>
            <w:r w:rsidRPr="007E1860">
              <w:rPr>
                <w:b/>
                <w:bCs/>
                <w:color w:val="000000"/>
                <w:sz w:val="18"/>
                <w:szCs w:val="18"/>
              </w:rPr>
              <w:t>-</w:t>
            </w:r>
          </w:p>
        </w:tc>
        <w:tc>
          <w:tcPr>
            <w:tcW w:w="528" w:type="pct"/>
            <w:gridSpan w:val="2"/>
            <w:tcBorders>
              <w:top w:val="single" w:sz="8" w:space="0" w:color="auto"/>
              <w:left w:val="nil"/>
              <w:bottom w:val="single" w:sz="12" w:space="0" w:color="auto"/>
              <w:right w:val="nil"/>
            </w:tcBorders>
            <w:shd w:val="clear" w:color="auto" w:fill="auto"/>
            <w:vAlign w:val="bottom"/>
          </w:tcPr>
          <w:p w14:paraId="3D958F70" w14:textId="519449E6" w:rsidR="00EE3D7C" w:rsidRPr="007E1860" w:rsidRDefault="00EE3D7C" w:rsidP="00EE3D7C">
            <w:pPr>
              <w:tabs>
                <w:tab w:val="right" w:pos="1202"/>
              </w:tabs>
              <w:spacing w:after="0" w:line="240" w:lineRule="auto"/>
              <w:jc w:val="right"/>
              <w:outlineLvl w:val="0"/>
              <w:rPr>
                <w:rFonts w:eastAsia="Times New Roman" w:cs="Arial"/>
                <w:b/>
                <w:bCs/>
                <w:spacing w:val="-2"/>
                <w:sz w:val="18"/>
                <w:szCs w:val="18"/>
              </w:rPr>
            </w:pPr>
            <w:r w:rsidRPr="007E1860">
              <w:rPr>
                <w:b/>
                <w:bCs/>
                <w:color w:val="000000"/>
                <w:sz w:val="18"/>
                <w:szCs w:val="18"/>
              </w:rPr>
              <w:t>-</w:t>
            </w:r>
          </w:p>
        </w:tc>
        <w:tc>
          <w:tcPr>
            <w:tcW w:w="569" w:type="pct"/>
            <w:gridSpan w:val="3"/>
            <w:tcBorders>
              <w:top w:val="single" w:sz="8" w:space="0" w:color="auto"/>
              <w:left w:val="nil"/>
              <w:bottom w:val="single" w:sz="12" w:space="0" w:color="auto"/>
              <w:right w:val="nil"/>
            </w:tcBorders>
            <w:shd w:val="clear" w:color="auto" w:fill="auto"/>
            <w:vAlign w:val="bottom"/>
          </w:tcPr>
          <w:p w14:paraId="2DAC7E00" w14:textId="7F8AD386" w:rsidR="00EE3D7C" w:rsidRPr="007E1860" w:rsidRDefault="00EE3D7C" w:rsidP="00EE3D7C">
            <w:pPr>
              <w:tabs>
                <w:tab w:val="right" w:pos="1202"/>
              </w:tabs>
              <w:spacing w:after="0" w:line="240" w:lineRule="auto"/>
              <w:jc w:val="right"/>
              <w:outlineLvl w:val="0"/>
              <w:rPr>
                <w:rFonts w:eastAsia="Times New Roman" w:cs="Arial"/>
                <w:b/>
                <w:bCs/>
                <w:spacing w:val="-2"/>
                <w:sz w:val="18"/>
                <w:szCs w:val="18"/>
              </w:rPr>
            </w:pPr>
            <w:r w:rsidRPr="007E1860">
              <w:rPr>
                <w:b/>
                <w:bCs/>
                <w:color w:val="000000"/>
                <w:sz w:val="18"/>
                <w:szCs w:val="18"/>
              </w:rPr>
              <w:t>-</w:t>
            </w:r>
          </w:p>
        </w:tc>
        <w:tc>
          <w:tcPr>
            <w:tcW w:w="564" w:type="pct"/>
            <w:tcBorders>
              <w:top w:val="single" w:sz="8" w:space="0" w:color="auto"/>
              <w:left w:val="nil"/>
              <w:bottom w:val="single" w:sz="12" w:space="0" w:color="auto"/>
              <w:right w:val="nil"/>
            </w:tcBorders>
            <w:shd w:val="clear" w:color="auto" w:fill="auto"/>
            <w:vAlign w:val="center"/>
          </w:tcPr>
          <w:p w14:paraId="4D6A9653" w14:textId="6DAF81BF" w:rsidR="00EE3D7C" w:rsidRPr="007E1860" w:rsidRDefault="00EE3D7C" w:rsidP="00EE3D7C">
            <w:pPr>
              <w:spacing w:after="0" w:line="240" w:lineRule="auto"/>
              <w:jc w:val="right"/>
              <w:rPr>
                <w:rFonts w:eastAsia="Times New Roman" w:cs="Arial"/>
                <w:b/>
                <w:sz w:val="18"/>
                <w:szCs w:val="18"/>
              </w:rPr>
            </w:pPr>
            <w:r w:rsidRPr="007E1860">
              <w:rPr>
                <w:b/>
                <w:bCs/>
                <w:color w:val="000000"/>
                <w:sz w:val="18"/>
                <w:szCs w:val="18"/>
              </w:rPr>
              <w:t>10.037.980</w:t>
            </w:r>
          </w:p>
        </w:tc>
        <w:tc>
          <w:tcPr>
            <w:tcW w:w="563" w:type="pct"/>
            <w:tcBorders>
              <w:top w:val="single" w:sz="8" w:space="0" w:color="auto"/>
              <w:left w:val="nil"/>
              <w:bottom w:val="single" w:sz="12" w:space="0" w:color="auto"/>
              <w:right w:val="nil"/>
            </w:tcBorders>
            <w:shd w:val="clear" w:color="auto" w:fill="auto"/>
            <w:vAlign w:val="center"/>
          </w:tcPr>
          <w:p w14:paraId="0D15BD35" w14:textId="13C94281"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10.037.980</w:t>
            </w:r>
          </w:p>
        </w:tc>
      </w:tr>
      <w:tr w:rsidR="004B16B5" w:rsidRPr="00EE3D7C" w14:paraId="73BC9E09" w14:textId="77777777" w:rsidTr="007E1860">
        <w:trPr>
          <w:trHeight w:val="36"/>
        </w:trPr>
        <w:tc>
          <w:tcPr>
            <w:tcW w:w="1241" w:type="pct"/>
          </w:tcPr>
          <w:p w14:paraId="557B890C" w14:textId="77777777" w:rsidR="004B16B5" w:rsidRPr="007E1860" w:rsidRDefault="004B16B5" w:rsidP="00EE3D7C">
            <w:pPr>
              <w:keepNext/>
              <w:keepLines/>
              <w:tabs>
                <w:tab w:val="decimal" w:pos="1202"/>
              </w:tabs>
              <w:spacing w:after="0" w:line="240" w:lineRule="auto"/>
              <w:rPr>
                <w:rFonts w:eastAsia="Times New Roman" w:cs="Arial"/>
                <w:b/>
                <w:position w:val="4"/>
                <w:sz w:val="18"/>
                <w:szCs w:val="18"/>
              </w:rPr>
            </w:pPr>
          </w:p>
        </w:tc>
        <w:tc>
          <w:tcPr>
            <w:tcW w:w="520" w:type="pct"/>
            <w:tcBorders>
              <w:top w:val="single" w:sz="12" w:space="0" w:color="auto"/>
            </w:tcBorders>
            <w:vAlign w:val="bottom"/>
          </w:tcPr>
          <w:p w14:paraId="7F45765C"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488" w:type="pct"/>
            <w:tcBorders>
              <w:top w:val="single" w:sz="12" w:space="0" w:color="auto"/>
            </w:tcBorders>
            <w:vAlign w:val="bottom"/>
          </w:tcPr>
          <w:p w14:paraId="26DAA1EE"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28" w:type="pct"/>
            <w:gridSpan w:val="2"/>
            <w:tcBorders>
              <w:top w:val="single" w:sz="12" w:space="0" w:color="auto"/>
            </w:tcBorders>
            <w:vAlign w:val="bottom"/>
          </w:tcPr>
          <w:p w14:paraId="2C8300B4"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28" w:type="pct"/>
            <w:gridSpan w:val="2"/>
            <w:tcBorders>
              <w:top w:val="single" w:sz="12" w:space="0" w:color="auto"/>
            </w:tcBorders>
            <w:vAlign w:val="bottom"/>
          </w:tcPr>
          <w:p w14:paraId="38BEB9AE"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9" w:type="pct"/>
            <w:gridSpan w:val="3"/>
            <w:tcBorders>
              <w:top w:val="single" w:sz="12" w:space="0" w:color="auto"/>
            </w:tcBorders>
            <w:vAlign w:val="bottom"/>
          </w:tcPr>
          <w:p w14:paraId="07E61C36"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4" w:type="pct"/>
            <w:tcBorders>
              <w:top w:val="single" w:sz="12" w:space="0" w:color="auto"/>
            </w:tcBorders>
            <w:vAlign w:val="bottom"/>
          </w:tcPr>
          <w:p w14:paraId="21D4E87C"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3" w:type="pct"/>
            <w:tcBorders>
              <w:top w:val="single" w:sz="12" w:space="0" w:color="auto"/>
            </w:tcBorders>
            <w:vAlign w:val="bottom"/>
          </w:tcPr>
          <w:p w14:paraId="7FE79E9B"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r>
      <w:tr w:rsidR="00EE3D7C" w:rsidRPr="00EE3D7C" w14:paraId="7FDB9978" w14:textId="77777777" w:rsidTr="007E1860">
        <w:trPr>
          <w:trHeight w:val="46"/>
        </w:trPr>
        <w:tc>
          <w:tcPr>
            <w:tcW w:w="1241" w:type="pct"/>
          </w:tcPr>
          <w:p w14:paraId="2607B7AE" w14:textId="77777777" w:rsidR="00EE3D7C" w:rsidRPr="007E1860" w:rsidRDefault="00EE3D7C" w:rsidP="00EE3D7C">
            <w:pPr>
              <w:tabs>
                <w:tab w:val="right" w:pos="1202"/>
              </w:tabs>
              <w:spacing w:after="0" w:line="240" w:lineRule="auto"/>
              <w:outlineLvl w:val="0"/>
              <w:rPr>
                <w:rFonts w:eastAsia="Times New Roman" w:cs="Arial"/>
                <w:b/>
                <w:bCs/>
                <w:sz w:val="18"/>
                <w:szCs w:val="18"/>
              </w:rPr>
            </w:pPr>
            <w:r w:rsidRPr="007E1860">
              <w:rPr>
                <w:rFonts w:eastAsia="Times New Roman" w:cs="Arial"/>
                <w:b/>
                <w:bCs/>
                <w:sz w:val="18"/>
                <w:szCs w:val="18"/>
              </w:rPr>
              <w:t>Ukupne obveze i glavnica (2)</w:t>
            </w:r>
          </w:p>
        </w:tc>
        <w:tc>
          <w:tcPr>
            <w:tcW w:w="520" w:type="pct"/>
            <w:tcBorders>
              <w:left w:val="nil"/>
              <w:bottom w:val="single" w:sz="12" w:space="0" w:color="auto"/>
              <w:right w:val="nil"/>
            </w:tcBorders>
            <w:shd w:val="clear" w:color="auto" w:fill="auto"/>
            <w:vAlign w:val="bottom"/>
          </w:tcPr>
          <w:p w14:paraId="111E6428" w14:textId="5ADE8F7F"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355.442</w:t>
            </w:r>
          </w:p>
        </w:tc>
        <w:tc>
          <w:tcPr>
            <w:tcW w:w="488" w:type="pct"/>
            <w:tcBorders>
              <w:left w:val="nil"/>
              <w:bottom w:val="single" w:sz="12" w:space="0" w:color="auto"/>
              <w:right w:val="nil"/>
            </w:tcBorders>
            <w:shd w:val="clear" w:color="auto" w:fill="auto"/>
            <w:vAlign w:val="bottom"/>
          </w:tcPr>
          <w:p w14:paraId="55F5131E" w14:textId="0C73E5E4"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171.450</w:t>
            </w:r>
          </w:p>
        </w:tc>
        <w:tc>
          <w:tcPr>
            <w:tcW w:w="528" w:type="pct"/>
            <w:gridSpan w:val="2"/>
            <w:tcBorders>
              <w:left w:val="nil"/>
              <w:bottom w:val="single" w:sz="12" w:space="0" w:color="auto"/>
              <w:right w:val="nil"/>
            </w:tcBorders>
            <w:shd w:val="clear" w:color="auto" w:fill="auto"/>
            <w:vAlign w:val="bottom"/>
          </w:tcPr>
          <w:p w14:paraId="35EB55C4" w14:textId="23032AEC"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2.909.559</w:t>
            </w:r>
          </w:p>
        </w:tc>
        <w:tc>
          <w:tcPr>
            <w:tcW w:w="528" w:type="pct"/>
            <w:gridSpan w:val="2"/>
            <w:tcBorders>
              <w:left w:val="nil"/>
              <w:bottom w:val="single" w:sz="12" w:space="0" w:color="auto"/>
              <w:right w:val="nil"/>
            </w:tcBorders>
            <w:shd w:val="clear" w:color="auto" w:fill="auto"/>
            <w:vAlign w:val="bottom"/>
          </w:tcPr>
          <w:p w14:paraId="20462150" w14:textId="4B0FE7F0"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3.059.168</w:t>
            </w:r>
          </w:p>
        </w:tc>
        <w:tc>
          <w:tcPr>
            <w:tcW w:w="569" w:type="pct"/>
            <w:gridSpan w:val="3"/>
            <w:tcBorders>
              <w:left w:val="nil"/>
              <w:bottom w:val="single" w:sz="12" w:space="0" w:color="auto"/>
              <w:right w:val="nil"/>
            </w:tcBorders>
            <w:shd w:val="clear" w:color="auto" w:fill="auto"/>
            <w:vAlign w:val="bottom"/>
          </w:tcPr>
          <w:p w14:paraId="3D78BD20" w14:textId="438ECAEB"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9.841.749</w:t>
            </w:r>
          </w:p>
        </w:tc>
        <w:tc>
          <w:tcPr>
            <w:tcW w:w="564" w:type="pct"/>
            <w:tcBorders>
              <w:left w:val="nil"/>
              <w:bottom w:val="single" w:sz="12" w:space="0" w:color="auto"/>
              <w:right w:val="nil"/>
            </w:tcBorders>
            <w:shd w:val="clear" w:color="auto" w:fill="auto"/>
            <w:vAlign w:val="bottom"/>
          </w:tcPr>
          <w:p w14:paraId="5BFC3DE7" w14:textId="4A4430CE"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11.037.548</w:t>
            </w:r>
          </w:p>
        </w:tc>
        <w:tc>
          <w:tcPr>
            <w:tcW w:w="563" w:type="pct"/>
            <w:tcBorders>
              <w:left w:val="nil"/>
              <w:bottom w:val="single" w:sz="12" w:space="0" w:color="auto"/>
              <w:right w:val="nil"/>
            </w:tcBorders>
            <w:shd w:val="clear" w:color="auto" w:fill="auto"/>
            <w:vAlign w:val="bottom"/>
          </w:tcPr>
          <w:p w14:paraId="76DFB97B" w14:textId="70B96AD7"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27.374.916</w:t>
            </w:r>
          </w:p>
        </w:tc>
      </w:tr>
      <w:tr w:rsidR="004B16B5" w:rsidRPr="00EE3D7C" w14:paraId="5864C96E" w14:textId="77777777" w:rsidTr="007E1860">
        <w:trPr>
          <w:trHeight w:hRule="exact" w:val="104"/>
        </w:trPr>
        <w:tc>
          <w:tcPr>
            <w:tcW w:w="1241" w:type="pct"/>
          </w:tcPr>
          <w:p w14:paraId="269B7F1D" w14:textId="77777777" w:rsidR="004B16B5" w:rsidRPr="007E1860" w:rsidRDefault="004B16B5" w:rsidP="00EE3D7C">
            <w:pPr>
              <w:keepNext/>
              <w:keepLines/>
              <w:tabs>
                <w:tab w:val="decimal" w:pos="1202"/>
              </w:tabs>
              <w:spacing w:after="0" w:line="240" w:lineRule="auto"/>
              <w:rPr>
                <w:rFonts w:eastAsia="Times New Roman" w:cs="Arial"/>
                <w:b/>
                <w:position w:val="4"/>
                <w:sz w:val="18"/>
                <w:szCs w:val="18"/>
              </w:rPr>
            </w:pPr>
          </w:p>
        </w:tc>
        <w:tc>
          <w:tcPr>
            <w:tcW w:w="520" w:type="pct"/>
            <w:tcBorders>
              <w:top w:val="single" w:sz="12" w:space="0" w:color="auto"/>
            </w:tcBorders>
            <w:vAlign w:val="bottom"/>
          </w:tcPr>
          <w:p w14:paraId="36685261"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488" w:type="pct"/>
            <w:tcBorders>
              <w:top w:val="single" w:sz="12" w:space="0" w:color="auto"/>
            </w:tcBorders>
            <w:vAlign w:val="bottom"/>
          </w:tcPr>
          <w:p w14:paraId="5B2D1AB8"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28" w:type="pct"/>
            <w:gridSpan w:val="2"/>
            <w:tcBorders>
              <w:top w:val="single" w:sz="12" w:space="0" w:color="auto"/>
            </w:tcBorders>
            <w:vAlign w:val="bottom"/>
          </w:tcPr>
          <w:p w14:paraId="6C66E99F"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28" w:type="pct"/>
            <w:gridSpan w:val="2"/>
            <w:tcBorders>
              <w:top w:val="single" w:sz="12" w:space="0" w:color="auto"/>
            </w:tcBorders>
            <w:vAlign w:val="bottom"/>
          </w:tcPr>
          <w:p w14:paraId="431D5E5D"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9" w:type="pct"/>
            <w:gridSpan w:val="3"/>
            <w:tcBorders>
              <w:top w:val="single" w:sz="12" w:space="0" w:color="auto"/>
            </w:tcBorders>
            <w:vAlign w:val="bottom"/>
          </w:tcPr>
          <w:p w14:paraId="58B9FB50"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4" w:type="pct"/>
            <w:tcBorders>
              <w:top w:val="single" w:sz="12" w:space="0" w:color="auto"/>
            </w:tcBorders>
            <w:vAlign w:val="bottom"/>
          </w:tcPr>
          <w:p w14:paraId="71EB0A9F"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c>
          <w:tcPr>
            <w:tcW w:w="563" w:type="pct"/>
            <w:tcBorders>
              <w:top w:val="single" w:sz="12" w:space="0" w:color="auto"/>
            </w:tcBorders>
            <w:vAlign w:val="bottom"/>
          </w:tcPr>
          <w:p w14:paraId="61035871" w14:textId="77777777" w:rsidR="004B16B5" w:rsidRPr="007E1860" w:rsidRDefault="004B16B5" w:rsidP="00EE3D7C">
            <w:pPr>
              <w:keepNext/>
              <w:keepLines/>
              <w:tabs>
                <w:tab w:val="decimal" w:pos="1202"/>
              </w:tabs>
              <w:spacing w:after="0" w:line="240" w:lineRule="auto"/>
              <w:jc w:val="right"/>
              <w:rPr>
                <w:rFonts w:eastAsia="Times New Roman" w:cs="Arial"/>
                <w:b/>
                <w:spacing w:val="-2"/>
                <w:position w:val="4"/>
                <w:sz w:val="18"/>
                <w:szCs w:val="18"/>
              </w:rPr>
            </w:pPr>
          </w:p>
        </w:tc>
      </w:tr>
      <w:tr w:rsidR="00EE3D7C" w:rsidRPr="00EE3D7C" w14:paraId="48CB5C17" w14:textId="77777777" w:rsidTr="007E1860">
        <w:trPr>
          <w:trHeight w:val="298"/>
        </w:trPr>
        <w:tc>
          <w:tcPr>
            <w:tcW w:w="1241" w:type="pct"/>
          </w:tcPr>
          <w:p w14:paraId="2D906DC2" w14:textId="77777777" w:rsidR="00EE3D7C" w:rsidRPr="007E1860" w:rsidRDefault="00EE3D7C" w:rsidP="00EE3D7C">
            <w:pPr>
              <w:tabs>
                <w:tab w:val="right" w:pos="1202"/>
              </w:tabs>
              <w:spacing w:after="0" w:line="240" w:lineRule="auto"/>
              <w:outlineLvl w:val="0"/>
              <w:rPr>
                <w:rFonts w:eastAsia="Times New Roman" w:cs="Arial"/>
                <w:b/>
                <w:bCs/>
                <w:sz w:val="18"/>
                <w:szCs w:val="18"/>
              </w:rPr>
            </w:pPr>
            <w:r w:rsidRPr="007E1860">
              <w:rPr>
                <w:rFonts w:eastAsia="Times New Roman" w:cs="Arial"/>
                <w:b/>
                <w:bCs/>
                <w:spacing w:val="-2"/>
                <w:sz w:val="18"/>
                <w:szCs w:val="18"/>
              </w:rPr>
              <w:t>Neto ukupna imovina/ukupne obveze i glavnica (1) – (2)</w:t>
            </w:r>
          </w:p>
        </w:tc>
        <w:tc>
          <w:tcPr>
            <w:tcW w:w="520" w:type="pct"/>
            <w:tcBorders>
              <w:top w:val="nil"/>
              <w:left w:val="nil"/>
              <w:bottom w:val="single" w:sz="12" w:space="0" w:color="auto"/>
              <w:right w:val="nil"/>
            </w:tcBorders>
            <w:shd w:val="clear" w:color="auto" w:fill="auto"/>
            <w:vAlign w:val="bottom"/>
          </w:tcPr>
          <w:p w14:paraId="18CF7B6E" w14:textId="34DB805A"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4.200.430</w:t>
            </w:r>
          </w:p>
        </w:tc>
        <w:tc>
          <w:tcPr>
            <w:tcW w:w="488" w:type="pct"/>
            <w:tcBorders>
              <w:top w:val="nil"/>
              <w:left w:val="nil"/>
              <w:bottom w:val="single" w:sz="12" w:space="0" w:color="auto"/>
              <w:right w:val="nil"/>
            </w:tcBorders>
            <w:shd w:val="clear" w:color="auto" w:fill="auto"/>
            <w:vAlign w:val="bottom"/>
          </w:tcPr>
          <w:p w14:paraId="6ABED72B" w14:textId="670108F6"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1.513.195</w:t>
            </w:r>
          </w:p>
        </w:tc>
        <w:tc>
          <w:tcPr>
            <w:tcW w:w="528" w:type="pct"/>
            <w:gridSpan w:val="2"/>
            <w:tcBorders>
              <w:top w:val="nil"/>
              <w:left w:val="nil"/>
              <w:bottom w:val="single" w:sz="12" w:space="0" w:color="auto"/>
              <w:right w:val="nil"/>
            </w:tcBorders>
            <w:shd w:val="clear" w:color="auto" w:fill="auto"/>
            <w:vAlign w:val="bottom"/>
          </w:tcPr>
          <w:p w14:paraId="36516CE8" w14:textId="7D7D66F1"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45.769</w:t>
            </w:r>
          </w:p>
        </w:tc>
        <w:tc>
          <w:tcPr>
            <w:tcW w:w="528" w:type="pct"/>
            <w:gridSpan w:val="2"/>
            <w:tcBorders>
              <w:top w:val="nil"/>
              <w:left w:val="nil"/>
              <w:bottom w:val="single" w:sz="12" w:space="0" w:color="auto"/>
              <w:right w:val="nil"/>
            </w:tcBorders>
            <w:shd w:val="clear" w:color="auto" w:fill="auto"/>
            <w:vAlign w:val="bottom"/>
          </w:tcPr>
          <w:p w14:paraId="6CCBC36A" w14:textId="7A325261"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1.373.880</w:t>
            </w:r>
          </w:p>
        </w:tc>
        <w:tc>
          <w:tcPr>
            <w:tcW w:w="569" w:type="pct"/>
            <w:gridSpan w:val="3"/>
            <w:tcBorders>
              <w:top w:val="nil"/>
              <w:left w:val="nil"/>
              <w:bottom w:val="single" w:sz="12" w:space="0" w:color="auto"/>
              <w:right w:val="nil"/>
            </w:tcBorders>
            <w:shd w:val="clear" w:color="auto" w:fill="auto"/>
            <w:vAlign w:val="bottom"/>
          </w:tcPr>
          <w:p w14:paraId="6014B01E" w14:textId="50168CA8"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2.243.103</w:t>
            </w:r>
          </w:p>
        </w:tc>
        <w:tc>
          <w:tcPr>
            <w:tcW w:w="564" w:type="pct"/>
            <w:tcBorders>
              <w:top w:val="nil"/>
              <w:left w:val="nil"/>
              <w:bottom w:val="single" w:sz="12" w:space="0" w:color="auto"/>
              <w:right w:val="nil"/>
            </w:tcBorders>
            <w:shd w:val="clear" w:color="auto" w:fill="auto"/>
            <w:vAlign w:val="bottom"/>
          </w:tcPr>
          <w:p w14:paraId="14B55D6C" w14:textId="19D540F6"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(9.376.377)</w:t>
            </w:r>
          </w:p>
        </w:tc>
        <w:tc>
          <w:tcPr>
            <w:tcW w:w="563" w:type="pct"/>
            <w:tcBorders>
              <w:top w:val="nil"/>
              <w:left w:val="nil"/>
              <w:bottom w:val="single" w:sz="12" w:space="0" w:color="auto"/>
              <w:right w:val="nil"/>
            </w:tcBorders>
            <w:shd w:val="clear" w:color="auto" w:fill="auto"/>
            <w:vAlign w:val="bottom"/>
          </w:tcPr>
          <w:p w14:paraId="0CCDA8A4" w14:textId="4FE78405" w:rsidR="00EE3D7C" w:rsidRPr="007E1860" w:rsidRDefault="00EE3D7C" w:rsidP="00EE3D7C">
            <w:pPr>
              <w:spacing w:after="0" w:line="240" w:lineRule="auto"/>
              <w:jc w:val="right"/>
              <w:rPr>
                <w:rFonts w:eastAsia="Times New Roman" w:cs="Arial"/>
                <w:b/>
                <w:bCs/>
                <w:sz w:val="18"/>
                <w:szCs w:val="18"/>
              </w:rPr>
            </w:pPr>
            <w:r w:rsidRPr="007E1860">
              <w:rPr>
                <w:b/>
                <w:bCs/>
                <w:color w:val="000000"/>
                <w:sz w:val="18"/>
                <w:szCs w:val="18"/>
              </w:rPr>
              <w:t>-</w:t>
            </w:r>
          </w:p>
        </w:tc>
      </w:tr>
      <w:tr w:rsidR="004B16B5" w:rsidRPr="00EE3D7C" w14:paraId="1DD3393C" w14:textId="77777777" w:rsidTr="007E1860">
        <w:tblPrEx>
          <w:tblCellMar>
            <w:left w:w="108" w:type="dxa"/>
            <w:right w:w="108" w:type="dxa"/>
          </w:tblCellMar>
        </w:tblPrEx>
        <w:trPr>
          <w:trHeight w:val="31"/>
        </w:trPr>
        <w:tc>
          <w:tcPr>
            <w:tcW w:w="1241" w:type="pct"/>
          </w:tcPr>
          <w:p w14:paraId="3C98C741" w14:textId="77777777" w:rsidR="004B16B5" w:rsidRPr="00EE3D7C" w:rsidRDefault="004B16B5" w:rsidP="003D5BE9">
            <w:pPr>
              <w:keepNext/>
              <w:keepLines/>
              <w:tabs>
                <w:tab w:val="decimal" w:pos="1202"/>
              </w:tabs>
              <w:spacing w:after="0" w:line="100" w:lineRule="exact"/>
              <w:rPr>
                <w:rFonts w:eastAsia="Times New Roman" w:cs="Arial"/>
                <w:b/>
                <w:position w:val="4"/>
                <w:sz w:val="17"/>
                <w:szCs w:val="17"/>
                <w:u w:val="thick"/>
              </w:rPr>
            </w:pPr>
          </w:p>
        </w:tc>
        <w:tc>
          <w:tcPr>
            <w:tcW w:w="520" w:type="pct"/>
            <w:vAlign w:val="bottom"/>
          </w:tcPr>
          <w:p w14:paraId="4C20EDD7" w14:textId="77777777" w:rsidR="004B16B5" w:rsidRPr="00EE3D7C" w:rsidRDefault="004B16B5" w:rsidP="003D5BE9">
            <w:pPr>
              <w:keepNext/>
              <w:keepLines/>
              <w:spacing w:after="0" w:line="100" w:lineRule="exact"/>
              <w:jc w:val="right"/>
              <w:rPr>
                <w:rFonts w:eastAsia="Times New Roman" w:cs="Arial"/>
                <w:b/>
                <w:position w:val="4"/>
                <w:sz w:val="17"/>
                <w:szCs w:val="17"/>
                <w:u w:val="thick"/>
              </w:rPr>
            </w:pPr>
          </w:p>
        </w:tc>
        <w:tc>
          <w:tcPr>
            <w:tcW w:w="566" w:type="pct"/>
            <w:gridSpan w:val="2"/>
            <w:vAlign w:val="bottom"/>
          </w:tcPr>
          <w:p w14:paraId="26513A28" w14:textId="77777777" w:rsidR="004B16B5" w:rsidRPr="00EE3D7C" w:rsidRDefault="004B16B5" w:rsidP="003D5BE9">
            <w:pPr>
              <w:keepNext/>
              <w:keepLines/>
              <w:spacing w:after="0" w:line="100" w:lineRule="exact"/>
              <w:jc w:val="right"/>
              <w:rPr>
                <w:rFonts w:eastAsia="Times New Roman" w:cs="Arial"/>
                <w:b/>
                <w:position w:val="4"/>
                <w:sz w:val="17"/>
                <w:szCs w:val="17"/>
                <w:u w:val="thick"/>
              </w:rPr>
            </w:pPr>
          </w:p>
        </w:tc>
        <w:tc>
          <w:tcPr>
            <w:tcW w:w="512" w:type="pct"/>
            <w:gridSpan w:val="2"/>
            <w:vAlign w:val="bottom"/>
          </w:tcPr>
          <w:p w14:paraId="1530DD56" w14:textId="77777777" w:rsidR="004B16B5" w:rsidRPr="00EE3D7C" w:rsidRDefault="004B16B5" w:rsidP="003D5BE9">
            <w:pPr>
              <w:keepNext/>
              <w:keepLines/>
              <w:spacing w:after="0" w:line="100" w:lineRule="exact"/>
              <w:jc w:val="right"/>
              <w:rPr>
                <w:rFonts w:eastAsia="Times New Roman" w:cs="Arial"/>
                <w:b/>
                <w:position w:val="4"/>
                <w:sz w:val="17"/>
                <w:szCs w:val="17"/>
                <w:u w:val="thick"/>
              </w:rPr>
            </w:pPr>
          </w:p>
        </w:tc>
        <w:tc>
          <w:tcPr>
            <w:tcW w:w="511" w:type="pct"/>
            <w:gridSpan w:val="2"/>
            <w:vAlign w:val="bottom"/>
          </w:tcPr>
          <w:p w14:paraId="0EA7E6B1" w14:textId="77777777" w:rsidR="004B16B5" w:rsidRPr="00EE3D7C" w:rsidRDefault="004B16B5" w:rsidP="003D5BE9">
            <w:pPr>
              <w:keepNext/>
              <w:keepLines/>
              <w:spacing w:after="0" w:line="100" w:lineRule="exact"/>
              <w:jc w:val="right"/>
              <w:rPr>
                <w:rFonts w:eastAsia="Times New Roman" w:cs="Arial"/>
                <w:b/>
                <w:position w:val="4"/>
                <w:sz w:val="17"/>
                <w:szCs w:val="17"/>
                <w:u w:val="thick"/>
              </w:rPr>
            </w:pPr>
          </w:p>
        </w:tc>
        <w:tc>
          <w:tcPr>
            <w:tcW w:w="512" w:type="pct"/>
            <w:vAlign w:val="bottom"/>
          </w:tcPr>
          <w:p w14:paraId="5A49BB7D" w14:textId="77777777" w:rsidR="004B16B5" w:rsidRPr="00EE3D7C" w:rsidRDefault="004B16B5" w:rsidP="003D5BE9">
            <w:pPr>
              <w:keepNext/>
              <w:keepLines/>
              <w:spacing w:after="0" w:line="100" w:lineRule="exact"/>
              <w:jc w:val="right"/>
              <w:rPr>
                <w:rFonts w:eastAsia="Times New Roman" w:cs="Arial"/>
                <w:b/>
                <w:position w:val="4"/>
                <w:sz w:val="17"/>
                <w:szCs w:val="17"/>
                <w:u w:val="thick"/>
              </w:rPr>
            </w:pPr>
          </w:p>
        </w:tc>
        <w:tc>
          <w:tcPr>
            <w:tcW w:w="576" w:type="pct"/>
            <w:gridSpan w:val="2"/>
            <w:vAlign w:val="bottom"/>
          </w:tcPr>
          <w:p w14:paraId="59AA842C" w14:textId="77777777" w:rsidR="004B16B5" w:rsidRPr="00EE3D7C" w:rsidRDefault="004B16B5" w:rsidP="003D5BE9">
            <w:pPr>
              <w:keepNext/>
              <w:keepLines/>
              <w:spacing w:after="0" w:line="100" w:lineRule="exact"/>
              <w:jc w:val="right"/>
              <w:rPr>
                <w:rFonts w:eastAsia="Times New Roman" w:cs="Arial"/>
                <w:b/>
                <w:position w:val="4"/>
                <w:sz w:val="17"/>
                <w:szCs w:val="17"/>
                <w:u w:val="thick"/>
              </w:rPr>
            </w:pPr>
          </w:p>
        </w:tc>
        <w:tc>
          <w:tcPr>
            <w:tcW w:w="563" w:type="pct"/>
            <w:vAlign w:val="bottom"/>
          </w:tcPr>
          <w:p w14:paraId="7D9D7D0C" w14:textId="77777777" w:rsidR="004B16B5" w:rsidRPr="00EE3D7C" w:rsidRDefault="004B16B5" w:rsidP="003D5BE9">
            <w:pPr>
              <w:keepNext/>
              <w:keepLines/>
              <w:spacing w:after="0" w:line="100" w:lineRule="exact"/>
              <w:jc w:val="right"/>
              <w:rPr>
                <w:rFonts w:eastAsia="Times New Roman" w:cs="Arial"/>
                <w:b/>
                <w:position w:val="4"/>
                <w:sz w:val="17"/>
                <w:szCs w:val="17"/>
                <w:u w:val="thick"/>
              </w:rPr>
            </w:pPr>
          </w:p>
        </w:tc>
      </w:tr>
    </w:tbl>
    <w:p w14:paraId="4B4780A6" w14:textId="77777777" w:rsidR="007F40D6" w:rsidRDefault="007F40D6" w:rsidP="008D359F">
      <w:pPr>
        <w:pStyle w:val="accountingpolicytitle"/>
        <w:rPr>
          <w:rFonts w:asciiTheme="minorHAnsi" w:hAnsiTheme="minorHAnsi" w:cstheme="minorHAnsi"/>
          <w:sz w:val="22"/>
          <w:szCs w:val="22"/>
          <w:lang w:val="hr-HR"/>
        </w:rPr>
        <w:sectPr w:rsidR="007F40D6" w:rsidSect="00296BBE">
          <w:footerReference w:type="first" r:id="rId118"/>
          <w:pgSz w:w="11906" w:h="16838" w:code="9"/>
          <w:pgMar w:top="1418" w:right="1418" w:bottom="595" w:left="1134" w:header="709" w:footer="709" w:gutter="0"/>
          <w:cols w:space="708"/>
          <w:titlePg/>
          <w:docGrid w:linePitch="360"/>
        </w:sectPr>
      </w:pPr>
    </w:p>
    <w:p w14:paraId="111F2F95" w14:textId="77777777" w:rsidR="00D43533" w:rsidRDefault="00D43533" w:rsidP="004B16B5">
      <w:pPr>
        <w:pStyle w:val="T1"/>
        <w:spacing w:before="0" w:after="0" w:line="240" w:lineRule="auto"/>
        <w:rPr>
          <w:rFonts w:asciiTheme="minorHAnsi" w:hAnsiTheme="minorHAnsi" w:cs="Arial"/>
          <w:sz w:val="22"/>
          <w:szCs w:val="22"/>
          <w:lang w:val="hr-HR"/>
        </w:rPr>
      </w:pPr>
    </w:p>
    <w:p w14:paraId="74712158" w14:textId="77777777" w:rsidR="001A6832" w:rsidRDefault="001A6832" w:rsidP="001A6832">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16</w:t>
      </w:r>
      <w:r w:rsidRPr="00567520">
        <w:rPr>
          <w:rFonts w:asciiTheme="minorHAnsi" w:hAnsiTheme="minorHAnsi" w:cs="Arial"/>
          <w:sz w:val="22"/>
          <w:szCs w:val="22"/>
          <w:lang w:val="hr-HR"/>
        </w:rPr>
        <w:t>.        Upravljanje rizicima (nastavak)</w:t>
      </w:r>
    </w:p>
    <w:p w14:paraId="33193258" w14:textId="77777777" w:rsidR="001A6832" w:rsidRPr="00567520" w:rsidRDefault="001A6832" w:rsidP="001A6832">
      <w:pPr>
        <w:pStyle w:val="T1"/>
        <w:spacing w:before="0" w:after="0" w:line="240" w:lineRule="auto"/>
        <w:ind w:left="709" w:hanging="709"/>
        <w:rPr>
          <w:rFonts w:asciiTheme="minorHAnsi" w:hAnsiTheme="minorHAnsi" w:cs="Arial"/>
          <w:sz w:val="22"/>
          <w:szCs w:val="22"/>
          <w:lang w:val="hr-HR"/>
        </w:rPr>
      </w:pPr>
    </w:p>
    <w:p w14:paraId="68AD19BB" w14:textId="77777777" w:rsidR="001A6832" w:rsidRDefault="001A6832" w:rsidP="001A6832">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16</w:t>
      </w:r>
      <w:r w:rsidRPr="00567520">
        <w:rPr>
          <w:rFonts w:asciiTheme="minorHAnsi" w:hAnsiTheme="minorHAnsi" w:cs="Arial"/>
          <w:sz w:val="22"/>
          <w:szCs w:val="22"/>
          <w:lang w:val="hr-HR"/>
        </w:rPr>
        <w:t>.4.     Tržišni rizik (nastavak)</w:t>
      </w:r>
    </w:p>
    <w:p w14:paraId="53C10AE0" w14:textId="77777777" w:rsidR="001A6832" w:rsidRPr="00567520" w:rsidRDefault="001A6832" w:rsidP="001A6832">
      <w:pPr>
        <w:pStyle w:val="T1"/>
        <w:spacing w:before="0" w:after="0" w:line="240" w:lineRule="auto"/>
        <w:ind w:left="709" w:hanging="709"/>
        <w:rPr>
          <w:rFonts w:asciiTheme="minorHAnsi" w:hAnsiTheme="minorHAnsi" w:cs="Arial"/>
          <w:sz w:val="22"/>
          <w:szCs w:val="22"/>
          <w:lang w:val="hr-HR"/>
        </w:rPr>
      </w:pPr>
    </w:p>
    <w:p w14:paraId="2FCB1B74" w14:textId="77777777" w:rsidR="001A6832" w:rsidRDefault="001A6832" w:rsidP="001A6832">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16</w:t>
      </w:r>
      <w:r w:rsidRPr="00567520">
        <w:rPr>
          <w:rFonts w:asciiTheme="minorHAnsi" w:hAnsiTheme="minorHAnsi" w:cs="Arial"/>
          <w:sz w:val="22"/>
          <w:szCs w:val="22"/>
          <w:lang w:val="hr-HR"/>
        </w:rPr>
        <w:t xml:space="preserve">.4.1.  Kamatni rizik </w:t>
      </w:r>
      <w:r>
        <w:rPr>
          <w:rFonts w:asciiTheme="minorHAnsi" w:hAnsiTheme="minorHAnsi" w:cs="Arial"/>
          <w:sz w:val="22"/>
          <w:szCs w:val="22"/>
          <w:lang w:val="hr-HR"/>
        </w:rPr>
        <w:t xml:space="preserve">u knjizi banke </w:t>
      </w:r>
      <w:r w:rsidRPr="00567520">
        <w:rPr>
          <w:rFonts w:asciiTheme="minorHAnsi" w:hAnsiTheme="minorHAnsi" w:cs="Arial"/>
          <w:sz w:val="22"/>
          <w:szCs w:val="22"/>
          <w:lang w:val="hr-HR"/>
        </w:rPr>
        <w:t>(nastavak)</w:t>
      </w:r>
    </w:p>
    <w:p w14:paraId="1DE8F015" w14:textId="77777777" w:rsidR="001A6832" w:rsidRDefault="001A6832" w:rsidP="001A6832">
      <w:pPr>
        <w:pStyle w:val="T1"/>
        <w:spacing w:before="0" w:after="0" w:line="240" w:lineRule="auto"/>
        <w:ind w:left="709" w:hanging="709"/>
        <w:rPr>
          <w:rFonts w:asciiTheme="minorHAnsi" w:hAnsiTheme="minorHAnsi" w:cs="Arial"/>
          <w:sz w:val="22"/>
          <w:szCs w:val="22"/>
          <w:lang w:val="hr-HR"/>
        </w:rPr>
      </w:pPr>
    </w:p>
    <w:p w14:paraId="0C4F1F49" w14:textId="77777777" w:rsidR="001A6832" w:rsidRPr="00817F9D" w:rsidRDefault="001A6832" w:rsidP="001A6832">
      <w:pPr>
        <w:tabs>
          <w:tab w:val="left" w:pos="-720"/>
        </w:tabs>
        <w:suppressAutoHyphens/>
        <w:spacing w:after="0" w:line="300" w:lineRule="exact"/>
        <w:ind w:right="-6"/>
        <w:jc w:val="both"/>
        <w:rPr>
          <w:rFonts w:eastAsia="Times New Roman" w:cs="Arial"/>
        </w:rPr>
      </w:pPr>
      <w:r w:rsidRPr="00817F9D">
        <w:rPr>
          <w:rFonts w:eastAsia="Times New Roman" w:cs="Arial"/>
        </w:rPr>
        <w:t>Iznos ukupne imovine i ukupnih obveza i glavnice prema mogućnosti promjene kamatnih stopa (fiksna i varijabilna):</w:t>
      </w:r>
    </w:p>
    <w:p w14:paraId="526FFC33" w14:textId="77777777" w:rsidR="001A6832" w:rsidRPr="00817F9D" w:rsidRDefault="001A6832" w:rsidP="001A6832">
      <w:pPr>
        <w:tabs>
          <w:tab w:val="left" w:pos="-720"/>
        </w:tabs>
        <w:suppressAutoHyphens/>
        <w:spacing w:after="0" w:line="300" w:lineRule="exact"/>
        <w:ind w:right="-6"/>
        <w:jc w:val="both"/>
        <w:rPr>
          <w:rFonts w:eastAsia="Times New Roman" w:cs="Arial"/>
          <w:sz w:val="24"/>
          <w:szCs w:val="24"/>
        </w:rPr>
      </w:pPr>
    </w:p>
    <w:tbl>
      <w:tblPr>
        <w:tblW w:w="5234" w:type="pct"/>
        <w:tblInd w:w="-142" w:type="dxa"/>
        <w:tblLayout w:type="fixed"/>
        <w:tblCellMar>
          <w:left w:w="120" w:type="dxa"/>
          <w:right w:w="120" w:type="dxa"/>
        </w:tblCellMar>
        <w:tblLook w:val="0000" w:firstRow="0" w:lastRow="0" w:firstColumn="0" w:lastColumn="0" w:noHBand="0" w:noVBand="0"/>
      </w:tblPr>
      <w:tblGrid>
        <w:gridCol w:w="3610"/>
        <w:gridCol w:w="1545"/>
        <w:gridCol w:w="1547"/>
        <w:gridCol w:w="1545"/>
        <w:gridCol w:w="1545"/>
      </w:tblGrid>
      <w:tr w:rsidR="001A6832" w:rsidRPr="00FB01C4" w14:paraId="0ECE934F" w14:textId="77777777" w:rsidTr="00160FC6">
        <w:trPr>
          <w:trHeight w:val="301"/>
        </w:trPr>
        <w:tc>
          <w:tcPr>
            <w:tcW w:w="1843" w:type="pct"/>
            <w:shd w:val="clear" w:color="auto" w:fill="auto"/>
            <w:vAlign w:val="bottom"/>
          </w:tcPr>
          <w:p w14:paraId="2D2B11B6" w14:textId="77777777" w:rsidR="001A6832" w:rsidRPr="00FB01C4" w:rsidRDefault="001A6832" w:rsidP="00887417">
            <w:pPr>
              <w:tabs>
                <w:tab w:val="left" w:pos="-720"/>
              </w:tabs>
              <w:suppressAutoHyphens/>
              <w:spacing w:after="0" w:line="360" w:lineRule="auto"/>
              <w:ind w:right="-5"/>
              <w:jc w:val="both"/>
              <w:rPr>
                <w:rFonts w:eastAsia="Times New Roman" w:cs="Arial"/>
                <w:b/>
                <w:sz w:val="19"/>
                <w:szCs w:val="19"/>
              </w:rPr>
            </w:pPr>
          </w:p>
        </w:tc>
        <w:tc>
          <w:tcPr>
            <w:tcW w:w="1579" w:type="pct"/>
            <w:gridSpan w:val="2"/>
            <w:shd w:val="clear" w:color="auto" w:fill="auto"/>
            <w:vAlign w:val="center"/>
          </w:tcPr>
          <w:p w14:paraId="68533D25" w14:textId="77777777" w:rsidR="001A6832" w:rsidRPr="00FB01C4" w:rsidRDefault="001A6832" w:rsidP="00887417">
            <w:pPr>
              <w:tabs>
                <w:tab w:val="right" w:pos="1202"/>
              </w:tabs>
              <w:spacing w:after="0" w:line="240" w:lineRule="atLeast"/>
              <w:jc w:val="right"/>
              <w:outlineLvl w:val="0"/>
              <w:rPr>
                <w:rFonts w:eastAsia="Times New Roman" w:cs="Arial"/>
                <w:b/>
                <w:sz w:val="19"/>
                <w:szCs w:val="19"/>
              </w:rPr>
            </w:pPr>
            <w:r w:rsidRPr="00FB01C4">
              <w:rPr>
                <w:rFonts w:eastAsia="Times New Roman" w:cs="Arial"/>
                <w:b/>
                <w:sz w:val="19"/>
                <w:szCs w:val="19"/>
              </w:rPr>
              <w:t>Grupa</w:t>
            </w:r>
          </w:p>
        </w:tc>
        <w:tc>
          <w:tcPr>
            <w:tcW w:w="1578" w:type="pct"/>
            <w:gridSpan w:val="2"/>
            <w:shd w:val="clear" w:color="auto" w:fill="auto"/>
            <w:vAlign w:val="center"/>
          </w:tcPr>
          <w:p w14:paraId="5C5D9FF6" w14:textId="77777777" w:rsidR="001A6832" w:rsidRPr="00FB01C4" w:rsidRDefault="001A6832" w:rsidP="00887417">
            <w:pPr>
              <w:tabs>
                <w:tab w:val="right" w:pos="1202"/>
              </w:tabs>
              <w:spacing w:after="0" w:line="240" w:lineRule="atLeast"/>
              <w:jc w:val="right"/>
              <w:outlineLvl w:val="0"/>
              <w:rPr>
                <w:rFonts w:eastAsia="Times New Roman" w:cs="Arial"/>
                <w:b/>
                <w:sz w:val="19"/>
                <w:szCs w:val="19"/>
              </w:rPr>
            </w:pPr>
            <w:r w:rsidRPr="00FB01C4">
              <w:rPr>
                <w:rFonts w:eastAsia="Times New Roman" w:cs="Arial"/>
                <w:b/>
                <w:sz w:val="19"/>
                <w:szCs w:val="19"/>
              </w:rPr>
              <w:t>Banka</w:t>
            </w:r>
          </w:p>
        </w:tc>
      </w:tr>
      <w:tr w:rsidR="003D5BE9" w:rsidRPr="00FB01C4" w14:paraId="1941C4EE" w14:textId="77777777" w:rsidTr="00160FC6">
        <w:trPr>
          <w:trHeight w:val="265"/>
        </w:trPr>
        <w:tc>
          <w:tcPr>
            <w:tcW w:w="1843" w:type="pct"/>
            <w:shd w:val="clear" w:color="auto" w:fill="auto"/>
            <w:vAlign w:val="bottom"/>
          </w:tcPr>
          <w:p w14:paraId="25F6099A" w14:textId="77777777" w:rsidR="003D5BE9" w:rsidRPr="00FB01C4" w:rsidRDefault="003D5BE9" w:rsidP="003D5BE9">
            <w:pPr>
              <w:tabs>
                <w:tab w:val="left" w:pos="-720"/>
              </w:tabs>
              <w:suppressAutoHyphens/>
              <w:spacing w:after="0" w:line="360" w:lineRule="auto"/>
              <w:ind w:right="-5"/>
              <w:jc w:val="both"/>
              <w:rPr>
                <w:rFonts w:eastAsia="Times New Roman" w:cs="Arial"/>
                <w:b/>
                <w:sz w:val="19"/>
                <w:szCs w:val="19"/>
              </w:rPr>
            </w:pPr>
          </w:p>
        </w:tc>
        <w:tc>
          <w:tcPr>
            <w:tcW w:w="789" w:type="pct"/>
            <w:shd w:val="clear" w:color="auto" w:fill="auto"/>
            <w:vAlign w:val="center"/>
          </w:tcPr>
          <w:p w14:paraId="6ADB32DB" w14:textId="31176A3C" w:rsidR="003D5BE9" w:rsidRPr="00FB01C4" w:rsidRDefault="00296BBE">
            <w:pPr>
              <w:tabs>
                <w:tab w:val="right" w:pos="1202"/>
              </w:tabs>
              <w:spacing w:after="0" w:line="240" w:lineRule="atLeast"/>
              <w:jc w:val="right"/>
              <w:outlineLvl w:val="0"/>
              <w:rPr>
                <w:rFonts w:eastAsia="Times New Roman" w:cs="Arial"/>
                <w:b/>
                <w:sz w:val="19"/>
                <w:szCs w:val="19"/>
              </w:rPr>
            </w:pPr>
            <w:r w:rsidRPr="00FB01C4">
              <w:rPr>
                <w:rFonts w:eastAsia="Times New Roman" w:cs="Arial"/>
                <w:b/>
                <w:sz w:val="19"/>
                <w:szCs w:val="19"/>
              </w:rPr>
              <w:t>3</w:t>
            </w:r>
            <w:r>
              <w:rPr>
                <w:rFonts w:eastAsia="Times New Roman" w:cs="Arial"/>
                <w:b/>
                <w:sz w:val="19"/>
                <w:szCs w:val="19"/>
              </w:rPr>
              <w:t>0</w:t>
            </w:r>
            <w:r w:rsidR="00EE3D7C" w:rsidRPr="00FB01C4">
              <w:rPr>
                <w:rFonts w:eastAsia="Times New Roman" w:cs="Arial"/>
                <w:b/>
                <w:sz w:val="19"/>
                <w:szCs w:val="19"/>
              </w:rPr>
              <w:t>.</w:t>
            </w:r>
            <w:r>
              <w:rPr>
                <w:rFonts w:eastAsia="Times New Roman" w:cs="Arial"/>
                <w:b/>
                <w:sz w:val="19"/>
                <w:szCs w:val="19"/>
              </w:rPr>
              <w:t>6</w:t>
            </w:r>
            <w:r w:rsidR="00EE3D7C" w:rsidRPr="00FB01C4">
              <w:rPr>
                <w:rFonts w:eastAsia="Times New Roman" w:cs="Arial"/>
                <w:b/>
                <w:sz w:val="19"/>
                <w:szCs w:val="19"/>
              </w:rPr>
              <w:t>.2017.</w:t>
            </w:r>
          </w:p>
        </w:tc>
        <w:tc>
          <w:tcPr>
            <w:tcW w:w="790" w:type="pct"/>
            <w:shd w:val="clear" w:color="auto" w:fill="auto"/>
            <w:vAlign w:val="center"/>
          </w:tcPr>
          <w:p w14:paraId="763AFA8F" w14:textId="74771958" w:rsidR="003D5BE9" w:rsidRPr="00FB01C4" w:rsidRDefault="003D5BE9" w:rsidP="00415DCF">
            <w:pPr>
              <w:tabs>
                <w:tab w:val="right" w:pos="1202"/>
              </w:tabs>
              <w:spacing w:after="0" w:line="240" w:lineRule="atLeast"/>
              <w:jc w:val="right"/>
              <w:outlineLvl w:val="0"/>
              <w:rPr>
                <w:rFonts w:eastAsia="Times New Roman" w:cs="Arial"/>
                <w:b/>
                <w:sz w:val="19"/>
                <w:szCs w:val="19"/>
              </w:rPr>
            </w:pPr>
            <w:r w:rsidRPr="00FB01C4">
              <w:rPr>
                <w:rFonts w:eastAsia="Times New Roman" w:cs="Arial"/>
                <w:b/>
                <w:sz w:val="19"/>
                <w:szCs w:val="19"/>
              </w:rPr>
              <w:t>31.12.201</w:t>
            </w:r>
            <w:r w:rsidR="00415DCF" w:rsidRPr="00FB01C4">
              <w:rPr>
                <w:rFonts w:eastAsia="Times New Roman" w:cs="Arial"/>
                <w:b/>
                <w:sz w:val="19"/>
                <w:szCs w:val="19"/>
              </w:rPr>
              <w:t>6</w:t>
            </w:r>
            <w:r w:rsidRPr="00FB01C4">
              <w:rPr>
                <w:rFonts w:eastAsia="Times New Roman" w:cs="Arial"/>
                <w:b/>
                <w:sz w:val="19"/>
                <w:szCs w:val="19"/>
              </w:rPr>
              <w:t>.</w:t>
            </w:r>
          </w:p>
        </w:tc>
        <w:tc>
          <w:tcPr>
            <w:tcW w:w="789" w:type="pct"/>
            <w:shd w:val="clear" w:color="auto" w:fill="auto"/>
            <w:vAlign w:val="center"/>
          </w:tcPr>
          <w:p w14:paraId="4FAB3BA8" w14:textId="1B82C9CD" w:rsidR="003D5BE9" w:rsidRPr="00FB01C4" w:rsidRDefault="00D07C59">
            <w:pPr>
              <w:tabs>
                <w:tab w:val="right" w:pos="1202"/>
              </w:tabs>
              <w:spacing w:after="0" w:line="240" w:lineRule="atLeast"/>
              <w:jc w:val="right"/>
              <w:outlineLvl w:val="0"/>
              <w:rPr>
                <w:rFonts w:eastAsia="Times New Roman" w:cs="Arial"/>
                <w:b/>
                <w:sz w:val="19"/>
                <w:szCs w:val="19"/>
              </w:rPr>
            </w:pPr>
            <w:r w:rsidRPr="00FB01C4">
              <w:rPr>
                <w:rFonts w:eastAsia="Times New Roman" w:cs="Arial"/>
                <w:b/>
                <w:sz w:val="19"/>
                <w:szCs w:val="19"/>
              </w:rPr>
              <w:t>3</w:t>
            </w:r>
            <w:r>
              <w:rPr>
                <w:rFonts w:eastAsia="Times New Roman" w:cs="Arial"/>
                <w:b/>
                <w:sz w:val="19"/>
                <w:szCs w:val="19"/>
              </w:rPr>
              <w:t>0</w:t>
            </w:r>
            <w:r w:rsidR="00EE3D7C" w:rsidRPr="00FB01C4">
              <w:rPr>
                <w:rFonts w:eastAsia="Times New Roman" w:cs="Arial"/>
                <w:b/>
                <w:sz w:val="19"/>
                <w:szCs w:val="19"/>
              </w:rPr>
              <w:t>.</w:t>
            </w:r>
            <w:r>
              <w:rPr>
                <w:rFonts w:eastAsia="Times New Roman" w:cs="Arial"/>
                <w:b/>
                <w:sz w:val="19"/>
                <w:szCs w:val="19"/>
              </w:rPr>
              <w:t>6</w:t>
            </w:r>
            <w:r w:rsidR="00EE3D7C" w:rsidRPr="00FB01C4">
              <w:rPr>
                <w:rFonts w:eastAsia="Times New Roman" w:cs="Arial"/>
                <w:b/>
                <w:sz w:val="19"/>
                <w:szCs w:val="19"/>
              </w:rPr>
              <w:t>.2017.</w:t>
            </w:r>
          </w:p>
        </w:tc>
        <w:tc>
          <w:tcPr>
            <w:tcW w:w="789" w:type="pct"/>
            <w:shd w:val="clear" w:color="auto" w:fill="auto"/>
            <w:vAlign w:val="center"/>
          </w:tcPr>
          <w:p w14:paraId="771C71AC" w14:textId="5D58132D" w:rsidR="003D5BE9" w:rsidRPr="00FB01C4" w:rsidRDefault="003D5BE9" w:rsidP="00415DCF">
            <w:pPr>
              <w:tabs>
                <w:tab w:val="right" w:pos="1202"/>
              </w:tabs>
              <w:spacing w:after="0" w:line="240" w:lineRule="atLeast"/>
              <w:jc w:val="right"/>
              <w:outlineLvl w:val="0"/>
              <w:rPr>
                <w:rFonts w:eastAsia="Times New Roman" w:cs="Arial"/>
                <w:b/>
                <w:sz w:val="19"/>
                <w:szCs w:val="19"/>
              </w:rPr>
            </w:pPr>
            <w:r w:rsidRPr="00FB01C4">
              <w:rPr>
                <w:rFonts w:eastAsia="Times New Roman" w:cs="Arial"/>
                <w:b/>
                <w:sz w:val="19"/>
                <w:szCs w:val="19"/>
              </w:rPr>
              <w:t>31.12.201</w:t>
            </w:r>
            <w:r w:rsidR="00415DCF" w:rsidRPr="00FB01C4">
              <w:rPr>
                <w:rFonts w:eastAsia="Times New Roman" w:cs="Arial"/>
                <w:b/>
                <w:sz w:val="19"/>
                <w:szCs w:val="19"/>
              </w:rPr>
              <w:t>6</w:t>
            </w:r>
            <w:r w:rsidRPr="00FB01C4">
              <w:rPr>
                <w:rFonts w:eastAsia="Times New Roman" w:cs="Arial"/>
                <w:b/>
                <w:sz w:val="19"/>
                <w:szCs w:val="19"/>
              </w:rPr>
              <w:t>.</w:t>
            </w:r>
          </w:p>
        </w:tc>
      </w:tr>
      <w:tr w:rsidR="003D5BE9" w:rsidRPr="00FB01C4" w14:paraId="33845BE5" w14:textId="77777777" w:rsidTr="00160FC6">
        <w:trPr>
          <w:trHeight w:hRule="exact" w:val="358"/>
        </w:trPr>
        <w:tc>
          <w:tcPr>
            <w:tcW w:w="1843" w:type="pct"/>
            <w:shd w:val="clear" w:color="auto" w:fill="auto"/>
            <w:vAlign w:val="bottom"/>
          </w:tcPr>
          <w:p w14:paraId="0B2C923D" w14:textId="77777777" w:rsidR="003D5BE9" w:rsidRPr="00FB01C4" w:rsidRDefault="003D5BE9" w:rsidP="003D5BE9">
            <w:pPr>
              <w:tabs>
                <w:tab w:val="left" w:pos="-720"/>
              </w:tabs>
              <w:suppressAutoHyphens/>
              <w:spacing w:after="0" w:line="240" w:lineRule="auto"/>
              <w:ind w:right="-5"/>
              <w:rPr>
                <w:rFonts w:eastAsia="Times New Roman" w:cs="Arial"/>
                <w:b/>
                <w:sz w:val="19"/>
                <w:szCs w:val="19"/>
              </w:rPr>
            </w:pPr>
            <w:r w:rsidRPr="00FB01C4">
              <w:rPr>
                <w:rFonts w:eastAsia="Times New Roman" w:cs="Arial"/>
                <w:b/>
                <w:sz w:val="19"/>
                <w:szCs w:val="19"/>
              </w:rPr>
              <w:t>Imovina</w:t>
            </w:r>
          </w:p>
        </w:tc>
        <w:tc>
          <w:tcPr>
            <w:tcW w:w="789" w:type="pct"/>
            <w:shd w:val="clear" w:color="auto" w:fill="auto"/>
            <w:vAlign w:val="bottom"/>
          </w:tcPr>
          <w:p w14:paraId="47F2F558" w14:textId="77777777" w:rsidR="003D5BE9" w:rsidRPr="00FB01C4" w:rsidRDefault="003D5BE9" w:rsidP="003D5BE9">
            <w:pPr>
              <w:tabs>
                <w:tab w:val="left" w:pos="-720"/>
              </w:tabs>
              <w:suppressAutoHyphens/>
              <w:spacing w:after="0" w:line="240" w:lineRule="auto"/>
              <w:ind w:right="-5"/>
              <w:jc w:val="right"/>
              <w:rPr>
                <w:rFonts w:eastAsia="Times New Roman" w:cs="Arial"/>
                <w:sz w:val="19"/>
                <w:szCs w:val="19"/>
              </w:rPr>
            </w:pPr>
          </w:p>
        </w:tc>
        <w:tc>
          <w:tcPr>
            <w:tcW w:w="790" w:type="pct"/>
            <w:shd w:val="clear" w:color="auto" w:fill="auto"/>
            <w:vAlign w:val="bottom"/>
          </w:tcPr>
          <w:p w14:paraId="4EBAF9E0" w14:textId="77777777" w:rsidR="003D5BE9" w:rsidRPr="00FB01C4" w:rsidRDefault="003D5BE9" w:rsidP="003D5BE9">
            <w:pPr>
              <w:tabs>
                <w:tab w:val="left" w:pos="-720"/>
              </w:tabs>
              <w:suppressAutoHyphens/>
              <w:spacing w:after="0" w:line="240" w:lineRule="auto"/>
              <w:ind w:right="-5"/>
              <w:jc w:val="right"/>
              <w:rPr>
                <w:rFonts w:eastAsia="Times New Roman" w:cs="Arial"/>
                <w:sz w:val="19"/>
                <w:szCs w:val="19"/>
              </w:rPr>
            </w:pPr>
          </w:p>
        </w:tc>
        <w:tc>
          <w:tcPr>
            <w:tcW w:w="789" w:type="pct"/>
            <w:shd w:val="clear" w:color="auto" w:fill="auto"/>
            <w:vAlign w:val="bottom"/>
          </w:tcPr>
          <w:p w14:paraId="7610D619" w14:textId="77777777" w:rsidR="003D5BE9" w:rsidRPr="00FB01C4" w:rsidRDefault="003D5BE9" w:rsidP="003D5BE9">
            <w:pPr>
              <w:tabs>
                <w:tab w:val="left" w:pos="-720"/>
              </w:tabs>
              <w:suppressAutoHyphens/>
              <w:spacing w:after="0" w:line="240" w:lineRule="auto"/>
              <w:ind w:right="-5"/>
              <w:jc w:val="right"/>
              <w:rPr>
                <w:rFonts w:eastAsia="Times New Roman" w:cs="Arial"/>
                <w:sz w:val="19"/>
                <w:szCs w:val="19"/>
              </w:rPr>
            </w:pPr>
          </w:p>
        </w:tc>
        <w:tc>
          <w:tcPr>
            <w:tcW w:w="789" w:type="pct"/>
            <w:shd w:val="clear" w:color="auto" w:fill="auto"/>
            <w:vAlign w:val="bottom"/>
          </w:tcPr>
          <w:p w14:paraId="7EF2611C" w14:textId="77777777" w:rsidR="003D5BE9" w:rsidRPr="00FB01C4" w:rsidRDefault="003D5BE9" w:rsidP="003D5BE9">
            <w:pPr>
              <w:tabs>
                <w:tab w:val="left" w:pos="-720"/>
              </w:tabs>
              <w:suppressAutoHyphens/>
              <w:spacing w:after="0" w:line="240" w:lineRule="auto"/>
              <w:ind w:right="-5"/>
              <w:jc w:val="right"/>
              <w:rPr>
                <w:rFonts w:eastAsia="Times New Roman" w:cs="Arial"/>
                <w:sz w:val="19"/>
                <w:szCs w:val="19"/>
              </w:rPr>
            </w:pPr>
          </w:p>
        </w:tc>
      </w:tr>
      <w:tr w:rsidR="003D5BE9" w:rsidRPr="00FB01C4" w14:paraId="790BA3C5" w14:textId="77777777" w:rsidTr="00160FC6">
        <w:trPr>
          <w:trHeight w:hRule="exact" w:val="358"/>
        </w:trPr>
        <w:tc>
          <w:tcPr>
            <w:tcW w:w="1843" w:type="pct"/>
            <w:shd w:val="clear" w:color="auto" w:fill="auto"/>
            <w:vAlign w:val="bottom"/>
          </w:tcPr>
          <w:p w14:paraId="77C6293E" w14:textId="77777777" w:rsidR="003D5BE9" w:rsidRPr="00FB01C4" w:rsidRDefault="003D5BE9" w:rsidP="003D5BE9">
            <w:pPr>
              <w:tabs>
                <w:tab w:val="left" w:pos="-720"/>
              </w:tabs>
              <w:suppressAutoHyphens/>
              <w:spacing w:after="0" w:line="240" w:lineRule="auto"/>
              <w:ind w:right="-5"/>
              <w:rPr>
                <w:rFonts w:eastAsia="Times New Roman" w:cs="Arial"/>
                <w:b/>
                <w:sz w:val="19"/>
                <w:szCs w:val="19"/>
              </w:rPr>
            </w:pPr>
          </w:p>
        </w:tc>
        <w:tc>
          <w:tcPr>
            <w:tcW w:w="789" w:type="pct"/>
            <w:shd w:val="clear" w:color="auto" w:fill="auto"/>
            <w:vAlign w:val="bottom"/>
          </w:tcPr>
          <w:p w14:paraId="0829338D" w14:textId="77777777" w:rsidR="003D5BE9" w:rsidRPr="00FB01C4" w:rsidRDefault="003D5BE9" w:rsidP="003D5BE9">
            <w:pPr>
              <w:tabs>
                <w:tab w:val="left" w:pos="-720"/>
              </w:tabs>
              <w:suppressAutoHyphens/>
              <w:spacing w:after="0" w:line="240" w:lineRule="auto"/>
              <w:ind w:right="-5"/>
              <w:jc w:val="right"/>
              <w:rPr>
                <w:rFonts w:eastAsia="Times New Roman" w:cs="Arial"/>
                <w:sz w:val="19"/>
                <w:szCs w:val="19"/>
              </w:rPr>
            </w:pPr>
          </w:p>
        </w:tc>
        <w:tc>
          <w:tcPr>
            <w:tcW w:w="790" w:type="pct"/>
            <w:shd w:val="clear" w:color="auto" w:fill="auto"/>
            <w:vAlign w:val="bottom"/>
          </w:tcPr>
          <w:p w14:paraId="2FAB5DCC" w14:textId="77777777" w:rsidR="003D5BE9" w:rsidRPr="00FB01C4" w:rsidRDefault="003D5BE9" w:rsidP="003D5BE9">
            <w:pPr>
              <w:tabs>
                <w:tab w:val="left" w:pos="-720"/>
              </w:tabs>
              <w:suppressAutoHyphens/>
              <w:spacing w:after="0" w:line="240" w:lineRule="auto"/>
              <w:ind w:right="-5"/>
              <w:jc w:val="right"/>
              <w:rPr>
                <w:rFonts w:eastAsia="Times New Roman" w:cs="Arial"/>
                <w:sz w:val="19"/>
                <w:szCs w:val="19"/>
              </w:rPr>
            </w:pPr>
          </w:p>
        </w:tc>
        <w:tc>
          <w:tcPr>
            <w:tcW w:w="789" w:type="pct"/>
            <w:shd w:val="clear" w:color="auto" w:fill="auto"/>
            <w:vAlign w:val="bottom"/>
          </w:tcPr>
          <w:p w14:paraId="5C3A3014" w14:textId="77777777" w:rsidR="003D5BE9" w:rsidRPr="00FB01C4" w:rsidRDefault="003D5BE9" w:rsidP="003D5BE9">
            <w:pPr>
              <w:tabs>
                <w:tab w:val="left" w:pos="-720"/>
              </w:tabs>
              <w:suppressAutoHyphens/>
              <w:spacing w:after="0" w:line="240" w:lineRule="auto"/>
              <w:ind w:right="-5"/>
              <w:jc w:val="right"/>
              <w:rPr>
                <w:rFonts w:eastAsia="Times New Roman" w:cs="Arial"/>
                <w:sz w:val="19"/>
                <w:szCs w:val="19"/>
              </w:rPr>
            </w:pPr>
          </w:p>
        </w:tc>
        <w:tc>
          <w:tcPr>
            <w:tcW w:w="789" w:type="pct"/>
            <w:shd w:val="clear" w:color="auto" w:fill="auto"/>
            <w:vAlign w:val="bottom"/>
          </w:tcPr>
          <w:p w14:paraId="3F53485B" w14:textId="77777777" w:rsidR="003D5BE9" w:rsidRPr="00FB01C4" w:rsidRDefault="003D5BE9" w:rsidP="003D5BE9">
            <w:pPr>
              <w:tabs>
                <w:tab w:val="left" w:pos="-720"/>
              </w:tabs>
              <w:suppressAutoHyphens/>
              <w:spacing w:after="0" w:line="240" w:lineRule="auto"/>
              <w:ind w:right="-5"/>
              <w:jc w:val="right"/>
              <w:rPr>
                <w:rFonts w:eastAsia="Times New Roman" w:cs="Arial"/>
                <w:sz w:val="19"/>
                <w:szCs w:val="19"/>
              </w:rPr>
            </w:pPr>
          </w:p>
        </w:tc>
      </w:tr>
      <w:tr w:rsidR="00B26322" w:rsidRPr="00FB01C4" w14:paraId="37D897C2" w14:textId="77777777" w:rsidTr="00312975">
        <w:trPr>
          <w:trHeight w:hRule="exact" w:val="284"/>
        </w:trPr>
        <w:tc>
          <w:tcPr>
            <w:tcW w:w="1843" w:type="pct"/>
            <w:shd w:val="clear" w:color="auto" w:fill="auto"/>
            <w:vAlign w:val="bottom"/>
          </w:tcPr>
          <w:p w14:paraId="4E96BF2A" w14:textId="77777777" w:rsidR="00B26322" w:rsidRPr="00AC74E4" w:rsidRDefault="00B26322" w:rsidP="00B26322">
            <w:pPr>
              <w:tabs>
                <w:tab w:val="left" w:pos="-720"/>
              </w:tabs>
              <w:suppressAutoHyphens/>
              <w:spacing w:after="0" w:line="240" w:lineRule="auto"/>
              <w:ind w:right="-5"/>
              <w:rPr>
                <w:rFonts w:eastAsia="Times New Roman" w:cs="Arial"/>
                <w:sz w:val="19"/>
                <w:szCs w:val="19"/>
              </w:rPr>
            </w:pPr>
            <w:r w:rsidRPr="00FB01C4">
              <w:rPr>
                <w:rFonts w:eastAsia="Times New Roman" w:cs="Arial"/>
                <w:sz w:val="19"/>
                <w:szCs w:val="19"/>
              </w:rPr>
              <w:t>Imovina uz fiksnu kamatnu stopu</w:t>
            </w:r>
          </w:p>
        </w:tc>
        <w:tc>
          <w:tcPr>
            <w:tcW w:w="789" w:type="pct"/>
            <w:tcBorders>
              <w:top w:val="nil"/>
              <w:left w:val="nil"/>
              <w:bottom w:val="nil"/>
              <w:right w:val="nil"/>
            </w:tcBorders>
            <w:shd w:val="clear" w:color="auto" w:fill="auto"/>
            <w:vAlign w:val="bottom"/>
          </w:tcPr>
          <w:p w14:paraId="08309F2E" w14:textId="03848854" w:rsidR="00B26322" w:rsidRPr="00FB01C4" w:rsidRDefault="00B26322" w:rsidP="00B26322">
            <w:pPr>
              <w:tabs>
                <w:tab w:val="left" w:pos="-720"/>
              </w:tabs>
              <w:suppressAutoHyphens/>
              <w:spacing w:after="0" w:line="240" w:lineRule="auto"/>
              <w:ind w:right="-5"/>
              <w:jc w:val="right"/>
              <w:rPr>
                <w:rFonts w:cs="Arial"/>
                <w:sz w:val="19"/>
                <w:szCs w:val="19"/>
              </w:rPr>
            </w:pPr>
            <w:r w:rsidRPr="00312975">
              <w:rPr>
                <w:rFonts w:cs="Arial"/>
                <w:sz w:val="19"/>
                <w:szCs w:val="19"/>
              </w:rPr>
              <w:t>23.589.979</w:t>
            </w:r>
          </w:p>
        </w:tc>
        <w:tc>
          <w:tcPr>
            <w:tcW w:w="790" w:type="pct"/>
            <w:tcBorders>
              <w:top w:val="nil"/>
              <w:left w:val="nil"/>
              <w:bottom w:val="nil"/>
              <w:right w:val="nil"/>
            </w:tcBorders>
            <w:shd w:val="clear" w:color="auto" w:fill="auto"/>
            <w:vAlign w:val="bottom"/>
          </w:tcPr>
          <w:p w14:paraId="4C5750EC" w14:textId="5F227C11" w:rsidR="00B26322" w:rsidRPr="00FB01C4" w:rsidRDefault="00B26322" w:rsidP="00B26322">
            <w:pPr>
              <w:tabs>
                <w:tab w:val="left" w:pos="-720"/>
              </w:tabs>
              <w:suppressAutoHyphens/>
              <w:spacing w:after="0" w:line="240" w:lineRule="auto"/>
              <w:ind w:right="-5"/>
              <w:jc w:val="right"/>
              <w:rPr>
                <w:rFonts w:eastAsia="Times New Roman" w:cs="Arial"/>
                <w:sz w:val="19"/>
                <w:szCs w:val="19"/>
              </w:rPr>
            </w:pPr>
            <w:r w:rsidRPr="000E5941">
              <w:rPr>
                <w:rFonts w:cs="Arial"/>
                <w:sz w:val="19"/>
                <w:szCs w:val="19"/>
              </w:rPr>
              <w:t>23.991.858</w:t>
            </w:r>
          </w:p>
        </w:tc>
        <w:tc>
          <w:tcPr>
            <w:tcW w:w="789" w:type="pct"/>
            <w:tcBorders>
              <w:top w:val="nil"/>
              <w:left w:val="nil"/>
              <w:bottom w:val="nil"/>
              <w:right w:val="nil"/>
            </w:tcBorders>
            <w:shd w:val="clear" w:color="auto" w:fill="auto"/>
            <w:vAlign w:val="bottom"/>
          </w:tcPr>
          <w:p w14:paraId="4CC843D4" w14:textId="0E6EC39A" w:rsidR="00B26322" w:rsidRPr="00312975" w:rsidRDefault="00B26322" w:rsidP="00B26322">
            <w:pPr>
              <w:tabs>
                <w:tab w:val="left" w:pos="-720"/>
              </w:tabs>
              <w:suppressAutoHyphens/>
              <w:spacing w:after="0" w:line="240" w:lineRule="auto"/>
              <w:ind w:right="-5"/>
              <w:jc w:val="right"/>
              <w:rPr>
                <w:rFonts w:ascii="Calibri" w:hAnsi="Calibri"/>
                <w:bCs/>
                <w:color w:val="000000"/>
                <w:sz w:val="19"/>
                <w:szCs w:val="19"/>
              </w:rPr>
            </w:pPr>
            <w:r w:rsidRPr="00312975">
              <w:rPr>
                <w:rFonts w:ascii="Calibri" w:hAnsi="Calibri"/>
                <w:bCs/>
                <w:color w:val="000000"/>
                <w:sz w:val="19"/>
                <w:szCs w:val="19"/>
              </w:rPr>
              <w:t>23.539.077</w:t>
            </w:r>
          </w:p>
        </w:tc>
        <w:tc>
          <w:tcPr>
            <w:tcW w:w="789" w:type="pct"/>
            <w:tcBorders>
              <w:top w:val="nil"/>
              <w:left w:val="nil"/>
              <w:bottom w:val="nil"/>
              <w:right w:val="nil"/>
            </w:tcBorders>
            <w:shd w:val="clear" w:color="auto" w:fill="auto"/>
            <w:vAlign w:val="bottom"/>
          </w:tcPr>
          <w:p w14:paraId="39DEEA8B" w14:textId="25148565" w:rsidR="00B26322" w:rsidRPr="00FB01C4" w:rsidRDefault="00B26322" w:rsidP="00B26322">
            <w:pPr>
              <w:tabs>
                <w:tab w:val="left" w:pos="-720"/>
              </w:tabs>
              <w:suppressAutoHyphens/>
              <w:spacing w:after="0" w:line="240" w:lineRule="auto"/>
              <w:ind w:right="-5"/>
              <w:jc w:val="right"/>
              <w:rPr>
                <w:rFonts w:eastAsia="Times New Roman" w:cs="Arial"/>
                <w:sz w:val="19"/>
                <w:szCs w:val="19"/>
              </w:rPr>
            </w:pPr>
            <w:r w:rsidRPr="000E5941">
              <w:rPr>
                <w:rFonts w:ascii="Calibri" w:hAnsi="Calibri"/>
                <w:bCs/>
                <w:color w:val="000000"/>
                <w:sz w:val="19"/>
                <w:szCs w:val="19"/>
              </w:rPr>
              <w:t>23.944.355</w:t>
            </w:r>
          </w:p>
        </w:tc>
      </w:tr>
      <w:tr w:rsidR="00B26322" w:rsidRPr="00FB01C4" w14:paraId="2159EDFC" w14:textId="77777777" w:rsidTr="00312975">
        <w:trPr>
          <w:trHeight w:hRule="exact" w:val="284"/>
        </w:trPr>
        <w:tc>
          <w:tcPr>
            <w:tcW w:w="1843" w:type="pct"/>
            <w:shd w:val="clear" w:color="auto" w:fill="auto"/>
            <w:vAlign w:val="bottom"/>
          </w:tcPr>
          <w:p w14:paraId="0B42CF56" w14:textId="77777777" w:rsidR="00B26322" w:rsidRPr="00FB01C4" w:rsidRDefault="00B26322" w:rsidP="00B26322">
            <w:pPr>
              <w:tabs>
                <w:tab w:val="left" w:pos="-720"/>
              </w:tabs>
              <w:suppressAutoHyphens/>
              <w:spacing w:after="0" w:line="240" w:lineRule="exact"/>
              <w:ind w:right="-6"/>
              <w:rPr>
                <w:rFonts w:eastAsia="Times New Roman" w:cs="Arial"/>
                <w:sz w:val="19"/>
                <w:szCs w:val="19"/>
              </w:rPr>
            </w:pPr>
            <w:r w:rsidRPr="00FB01C4">
              <w:rPr>
                <w:rFonts w:eastAsia="Times New Roman" w:cs="Arial"/>
                <w:sz w:val="19"/>
                <w:szCs w:val="19"/>
              </w:rPr>
              <w:t>Imovina uz varijabilnu kamatnu stopu</w:t>
            </w:r>
          </w:p>
        </w:tc>
        <w:tc>
          <w:tcPr>
            <w:tcW w:w="789" w:type="pct"/>
            <w:tcBorders>
              <w:top w:val="nil"/>
              <w:left w:val="nil"/>
              <w:bottom w:val="nil"/>
              <w:right w:val="nil"/>
            </w:tcBorders>
            <w:shd w:val="clear" w:color="auto" w:fill="auto"/>
            <w:vAlign w:val="bottom"/>
          </w:tcPr>
          <w:p w14:paraId="1D18D243" w14:textId="4A52B08E" w:rsidR="00B26322" w:rsidRPr="00FB01C4" w:rsidRDefault="00B26322" w:rsidP="00B26322">
            <w:pPr>
              <w:tabs>
                <w:tab w:val="left" w:pos="-720"/>
              </w:tabs>
              <w:suppressAutoHyphens/>
              <w:spacing w:after="0" w:line="240" w:lineRule="auto"/>
              <w:ind w:right="-5"/>
              <w:jc w:val="right"/>
              <w:rPr>
                <w:rFonts w:cs="Arial"/>
                <w:sz w:val="19"/>
                <w:szCs w:val="19"/>
              </w:rPr>
            </w:pPr>
            <w:r w:rsidRPr="00312975">
              <w:rPr>
                <w:rFonts w:cs="Arial"/>
                <w:sz w:val="19"/>
                <w:szCs w:val="19"/>
              </w:rPr>
              <w:t>1.490.145</w:t>
            </w:r>
          </w:p>
        </w:tc>
        <w:tc>
          <w:tcPr>
            <w:tcW w:w="790" w:type="pct"/>
            <w:tcBorders>
              <w:top w:val="nil"/>
              <w:left w:val="nil"/>
              <w:bottom w:val="nil"/>
              <w:right w:val="nil"/>
            </w:tcBorders>
            <w:shd w:val="clear" w:color="auto" w:fill="auto"/>
            <w:vAlign w:val="bottom"/>
          </w:tcPr>
          <w:p w14:paraId="5C471AC5" w14:textId="48FE8B0A" w:rsidR="00B26322" w:rsidRPr="00FB01C4" w:rsidRDefault="00B26322" w:rsidP="00B26322">
            <w:pPr>
              <w:tabs>
                <w:tab w:val="left" w:pos="-720"/>
              </w:tabs>
              <w:suppressAutoHyphens/>
              <w:spacing w:after="0" w:line="240" w:lineRule="auto"/>
              <w:ind w:right="-5"/>
              <w:jc w:val="right"/>
              <w:rPr>
                <w:rFonts w:eastAsia="Times New Roman" w:cs="Arial"/>
                <w:sz w:val="19"/>
                <w:szCs w:val="19"/>
              </w:rPr>
            </w:pPr>
            <w:r w:rsidRPr="000E5941">
              <w:rPr>
                <w:rFonts w:cs="Arial"/>
                <w:sz w:val="19"/>
                <w:szCs w:val="19"/>
              </w:rPr>
              <w:t>1.769.390</w:t>
            </w:r>
          </w:p>
        </w:tc>
        <w:tc>
          <w:tcPr>
            <w:tcW w:w="789" w:type="pct"/>
            <w:tcBorders>
              <w:top w:val="nil"/>
              <w:left w:val="nil"/>
              <w:bottom w:val="nil"/>
              <w:right w:val="nil"/>
            </w:tcBorders>
            <w:shd w:val="clear" w:color="auto" w:fill="auto"/>
            <w:vAlign w:val="bottom"/>
          </w:tcPr>
          <w:p w14:paraId="2EDAEDE1" w14:textId="614C079C" w:rsidR="00B26322" w:rsidRPr="00312975" w:rsidRDefault="00B26322" w:rsidP="00B26322">
            <w:pPr>
              <w:tabs>
                <w:tab w:val="left" w:pos="-720"/>
              </w:tabs>
              <w:suppressAutoHyphens/>
              <w:spacing w:after="0" w:line="240" w:lineRule="auto"/>
              <w:ind w:right="-5"/>
              <w:jc w:val="right"/>
              <w:rPr>
                <w:rFonts w:ascii="Calibri" w:hAnsi="Calibri"/>
                <w:bCs/>
                <w:color w:val="000000"/>
                <w:sz w:val="19"/>
                <w:szCs w:val="19"/>
              </w:rPr>
            </w:pPr>
            <w:r w:rsidRPr="00312975">
              <w:rPr>
                <w:rFonts w:ascii="Calibri" w:hAnsi="Calibri"/>
                <w:bCs/>
                <w:color w:val="000000"/>
                <w:sz w:val="19"/>
                <w:szCs w:val="19"/>
              </w:rPr>
              <w:t>1.490.145</w:t>
            </w:r>
          </w:p>
        </w:tc>
        <w:tc>
          <w:tcPr>
            <w:tcW w:w="789" w:type="pct"/>
            <w:tcBorders>
              <w:top w:val="nil"/>
              <w:left w:val="nil"/>
              <w:bottom w:val="nil"/>
              <w:right w:val="nil"/>
            </w:tcBorders>
            <w:shd w:val="clear" w:color="auto" w:fill="auto"/>
            <w:vAlign w:val="bottom"/>
          </w:tcPr>
          <w:p w14:paraId="1FE4A350" w14:textId="1F4E4358" w:rsidR="00B26322" w:rsidRPr="00FB01C4" w:rsidRDefault="00B26322" w:rsidP="00B26322">
            <w:pPr>
              <w:tabs>
                <w:tab w:val="left" w:pos="-720"/>
              </w:tabs>
              <w:suppressAutoHyphens/>
              <w:spacing w:after="0" w:line="240" w:lineRule="auto"/>
              <w:ind w:right="-5"/>
              <w:jc w:val="right"/>
              <w:rPr>
                <w:rFonts w:eastAsia="Times New Roman" w:cs="Arial"/>
                <w:sz w:val="19"/>
                <w:szCs w:val="19"/>
              </w:rPr>
            </w:pPr>
            <w:r w:rsidRPr="000E5941">
              <w:rPr>
                <w:rFonts w:ascii="Calibri" w:hAnsi="Calibri"/>
                <w:bCs/>
                <w:color w:val="000000"/>
                <w:sz w:val="19"/>
                <w:szCs w:val="19"/>
              </w:rPr>
              <w:t>1.769.390</w:t>
            </w:r>
          </w:p>
        </w:tc>
      </w:tr>
      <w:tr w:rsidR="00B26322" w:rsidRPr="00FB01C4" w14:paraId="15655202" w14:textId="77777777" w:rsidTr="00312975">
        <w:trPr>
          <w:trHeight w:hRule="exact" w:val="284"/>
        </w:trPr>
        <w:tc>
          <w:tcPr>
            <w:tcW w:w="1843" w:type="pct"/>
            <w:shd w:val="clear" w:color="auto" w:fill="auto"/>
            <w:vAlign w:val="bottom"/>
          </w:tcPr>
          <w:p w14:paraId="120B9FB0" w14:textId="77777777" w:rsidR="00B26322" w:rsidRPr="00FB01C4" w:rsidRDefault="00B26322" w:rsidP="00B26322">
            <w:pPr>
              <w:tabs>
                <w:tab w:val="left" w:pos="-720"/>
              </w:tabs>
              <w:suppressAutoHyphens/>
              <w:spacing w:after="0" w:line="240" w:lineRule="exact"/>
              <w:ind w:right="-6"/>
              <w:rPr>
                <w:rFonts w:eastAsia="Times New Roman" w:cs="Arial"/>
                <w:sz w:val="19"/>
                <w:szCs w:val="19"/>
              </w:rPr>
            </w:pPr>
            <w:r w:rsidRPr="00FB01C4">
              <w:rPr>
                <w:rFonts w:eastAsia="Times New Roman" w:cs="Arial"/>
                <w:sz w:val="19"/>
                <w:szCs w:val="19"/>
              </w:rPr>
              <w:t>Beskamatno</w:t>
            </w:r>
          </w:p>
        </w:tc>
        <w:tc>
          <w:tcPr>
            <w:tcW w:w="789" w:type="pct"/>
            <w:tcBorders>
              <w:top w:val="nil"/>
              <w:left w:val="nil"/>
              <w:bottom w:val="nil"/>
              <w:right w:val="nil"/>
            </w:tcBorders>
            <w:shd w:val="clear" w:color="auto" w:fill="auto"/>
            <w:vAlign w:val="bottom"/>
          </w:tcPr>
          <w:p w14:paraId="62F9CCD2" w14:textId="3CCCC536" w:rsidR="00B26322" w:rsidRPr="00FB01C4" w:rsidRDefault="00B26322" w:rsidP="00B26322">
            <w:pPr>
              <w:tabs>
                <w:tab w:val="left" w:pos="-720"/>
              </w:tabs>
              <w:suppressAutoHyphens/>
              <w:spacing w:after="0" w:line="240" w:lineRule="auto"/>
              <w:ind w:right="-5"/>
              <w:jc w:val="right"/>
              <w:rPr>
                <w:rFonts w:cs="Arial"/>
                <w:sz w:val="19"/>
                <w:szCs w:val="19"/>
              </w:rPr>
            </w:pPr>
            <w:r w:rsidRPr="00312975">
              <w:rPr>
                <w:rFonts w:cs="Arial"/>
                <w:sz w:val="19"/>
                <w:szCs w:val="19"/>
              </w:rPr>
              <w:t>2.743.717</w:t>
            </w:r>
          </w:p>
        </w:tc>
        <w:tc>
          <w:tcPr>
            <w:tcW w:w="790" w:type="pct"/>
            <w:tcBorders>
              <w:top w:val="nil"/>
              <w:left w:val="nil"/>
              <w:bottom w:val="single" w:sz="4" w:space="0" w:color="auto"/>
              <w:right w:val="nil"/>
            </w:tcBorders>
            <w:shd w:val="clear" w:color="auto" w:fill="auto"/>
            <w:vAlign w:val="bottom"/>
          </w:tcPr>
          <w:p w14:paraId="243382BC" w14:textId="6828E9EE" w:rsidR="00B26322" w:rsidRPr="00FB01C4" w:rsidRDefault="00B26322" w:rsidP="00B26322">
            <w:pPr>
              <w:tabs>
                <w:tab w:val="left" w:pos="-720"/>
              </w:tabs>
              <w:suppressAutoHyphens/>
              <w:spacing w:after="0" w:line="240" w:lineRule="auto"/>
              <w:ind w:right="-5"/>
              <w:jc w:val="right"/>
              <w:rPr>
                <w:rFonts w:eastAsia="Times New Roman" w:cs="Arial"/>
                <w:sz w:val="19"/>
                <w:szCs w:val="19"/>
              </w:rPr>
            </w:pPr>
            <w:r w:rsidRPr="000E5941">
              <w:rPr>
                <w:rFonts w:cs="Arial"/>
                <w:sz w:val="19"/>
                <w:szCs w:val="19"/>
              </w:rPr>
              <w:t>1.629.574</w:t>
            </w:r>
          </w:p>
        </w:tc>
        <w:tc>
          <w:tcPr>
            <w:tcW w:w="789" w:type="pct"/>
            <w:tcBorders>
              <w:top w:val="nil"/>
              <w:left w:val="nil"/>
              <w:bottom w:val="nil"/>
              <w:right w:val="nil"/>
            </w:tcBorders>
            <w:shd w:val="clear" w:color="auto" w:fill="auto"/>
            <w:vAlign w:val="bottom"/>
          </w:tcPr>
          <w:p w14:paraId="672B3618" w14:textId="16B684C8" w:rsidR="00B26322" w:rsidRPr="00312975" w:rsidRDefault="00B26322" w:rsidP="00B26322">
            <w:pPr>
              <w:tabs>
                <w:tab w:val="left" w:pos="-720"/>
              </w:tabs>
              <w:suppressAutoHyphens/>
              <w:spacing w:after="0" w:line="240" w:lineRule="auto"/>
              <w:ind w:right="-5"/>
              <w:jc w:val="right"/>
              <w:rPr>
                <w:rFonts w:ascii="Calibri" w:hAnsi="Calibri"/>
                <w:bCs/>
                <w:color w:val="000000"/>
                <w:sz w:val="19"/>
                <w:szCs w:val="19"/>
              </w:rPr>
            </w:pPr>
            <w:r w:rsidRPr="00312975">
              <w:rPr>
                <w:rFonts w:ascii="Calibri" w:hAnsi="Calibri"/>
                <w:bCs/>
                <w:color w:val="000000"/>
                <w:sz w:val="19"/>
                <w:szCs w:val="19"/>
              </w:rPr>
              <w:t>2.776.751</w:t>
            </w:r>
          </w:p>
        </w:tc>
        <w:tc>
          <w:tcPr>
            <w:tcW w:w="789" w:type="pct"/>
            <w:tcBorders>
              <w:top w:val="nil"/>
              <w:left w:val="nil"/>
              <w:bottom w:val="single" w:sz="4" w:space="0" w:color="auto"/>
              <w:right w:val="nil"/>
            </w:tcBorders>
            <w:shd w:val="clear" w:color="auto" w:fill="auto"/>
            <w:vAlign w:val="bottom"/>
          </w:tcPr>
          <w:p w14:paraId="7FC721B6" w14:textId="187A3DAB" w:rsidR="00B26322" w:rsidRPr="00FB01C4" w:rsidRDefault="00B26322" w:rsidP="00B26322">
            <w:pPr>
              <w:tabs>
                <w:tab w:val="left" w:pos="-720"/>
              </w:tabs>
              <w:suppressAutoHyphens/>
              <w:spacing w:after="0" w:line="240" w:lineRule="auto"/>
              <w:ind w:right="-5"/>
              <w:jc w:val="right"/>
              <w:rPr>
                <w:rFonts w:eastAsia="Times New Roman" w:cs="Arial"/>
                <w:sz w:val="19"/>
                <w:szCs w:val="19"/>
              </w:rPr>
            </w:pPr>
            <w:r w:rsidRPr="000E5941">
              <w:rPr>
                <w:rFonts w:ascii="Calibri" w:hAnsi="Calibri"/>
                <w:bCs/>
                <w:color w:val="000000"/>
                <w:sz w:val="19"/>
                <w:szCs w:val="19"/>
              </w:rPr>
              <w:t>1.661.171</w:t>
            </w:r>
          </w:p>
        </w:tc>
      </w:tr>
      <w:tr w:rsidR="00EE3D7C" w:rsidRPr="00FB01C4" w14:paraId="65E53CD6" w14:textId="77777777" w:rsidTr="00EE3D7C">
        <w:trPr>
          <w:trHeight w:hRule="exact" w:val="402"/>
        </w:trPr>
        <w:tc>
          <w:tcPr>
            <w:tcW w:w="1843" w:type="pct"/>
            <w:shd w:val="clear" w:color="auto" w:fill="auto"/>
            <w:vAlign w:val="bottom"/>
          </w:tcPr>
          <w:p w14:paraId="6B07D930" w14:textId="77777777" w:rsidR="00EE3D7C" w:rsidRPr="00FB01C4" w:rsidRDefault="00EE3D7C" w:rsidP="00EE3D7C">
            <w:pPr>
              <w:tabs>
                <w:tab w:val="left" w:pos="-720"/>
              </w:tabs>
              <w:suppressAutoHyphens/>
              <w:spacing w:after="0" w:line="240" w:lineRule="exact"/>
              <w:ind w:right="-6"/>
              <w:rPr>
                <w:rFonts w:eastAsia="Times New Roman" w:cs="Arial"/>
                <w:sz w:val="19"/>
                <w:szCs w:val="19"/>
              </w:rPr>
            </w:pPr>
            <w:r w:rsidRPr="00FB01C4">
              <w:rPr>
                <w:rFonts w:eastAsia="Times New Roman" w:cs="Arial"/>
                <w:b/>
                <w:sz w:val="19"/>
                <w:szCs w:val="19"/>
              </w:rPr>
              <w:t>Ukupna imovina</w:t>
            </w:r>
          </w:p>
        </w:tc>
        <w:tc>
          <w:tcPr>
            <w:tcW w:w="789" w:type="pct"/>
            <w:tcBorders>
              <w:top w:val="single" w:sz="4" w:space="0" w:color="auto"/>
              <w:left w:val="nil"/>
              <w:bottom w:val="single" w:sz="12" w:space="0" w:color="auto"/>
              <w:right w:val="nil"/>
            </w:tcBorders>
            <w:shd w:val="clear" w:color="auto" w:fill="auto"/>
            <w:vAlign w:val="bottom"/>
          </w:tcPr>
          <w:p w14:paraId="2723E4B3" w14:textId="7310B02A" w:rsidR="00EE3D7C" w:rsidRPr="00FB01C4" w:rsidRDefault="00B26322" w:rsidP="00EE3D7C">
            <w:pPr>
              <w:tabs>
                <w:tab w:val="left" w:pos="-720"/>
              </w:tabs>
              <w:suppressAutoHyphens/>
              <w:spacing w:after="0" w:line="240" w:lineRule="auto"/>
              <w:ind w:right="-5"/>
              <w:jc w:val="right"/>
              <w:rPr>
                <w:rFonts w:cs="Arial"/>
                <w:b/>
                <w:sz w:val="19"/>
                <w:szCs w:val="19"/>
              </w:rPr>
            </w:pPr>
            <w:r w:rsidRPr="00B26322">
              <w:rPr>
                <w:rFonts w:cs="Arial"/>
                <w:b/>
                <w:sz w:val="19"/>
                <w:szCs w:val="19"/>
              </w:rPr>
              <w:t>27.823.841</w:t>
            </w:r>
          </w:p>
        </w:tc>
        <w:tc>
          <w:tcPr>
            <w:tcW w:w="790" w:type="pct"/>
            <w:tcBorders>
              <w:top w:val="single" w:sz="4" w:space="0" w:color="auto"/>
              <w:left w:val="nil"/>
              <w:bottom w:val="single" w:sz="12" w:space="0" w:color="auto"/>
              <w:right w:val="nil"/>
            </w:tcBorders>
            <w:shd w:val="clear" w:color="auto" w:fill="auto"/>
            <w:vAlign w:val="bottom"/>
          </w:tcPr>
          <w:p w14:paraId="27096DFC" w14:textId="04A32D80" w:rsidR="00EE3D7C" w:rsidRPr="00FB01C4" w:rsidRDefault="00EE3D7C" w:rsidP="00EE3D7C">
            <w:pPr>
              <w:tabs>
                <w:tab w:val="left" w:pos="-720"/>
              </w:tabs>
              <w:suppressAutoHyphens/>
              <w:spacing w:after="0" w:line="240" w:lineRule="auto"/>
              <w:ind w:right="-5"/>
              <w:jc w:val="right"/>
              <w:rPr>
                <w:rFonts w:eastAsia="Times New Roman" w:cs="Arial"/>
                <w:b/>
                <w:sz w:val="19"/>
                <w:szCs w:val="19"/>
              </w:rPr>
            </w:pPr>
            <w:r w:rsidRPr="000E5941">
              <w:rPr>
                <w:rFonts w:cs="Arial"/>
                <w:b/>
                <w:sz w:val="19"/>
                <w:szCs w:val="19"/>
              </w:rPr>
              <w:t>27.390.822</w:t>
            </w:r>
          </w:p>
        </w:tc>
        <w:tc>
          <w:tcPr>
            <w:tcW w:w="789" w:type="pct"/>
            <w:tcBorders>
              <w:top w:val="single" w:sz="4" w:space="0" w:color="auto"/>
              <w:left w:val="nil"/>
              <w:bottom w:val="single" w:sz="12" w:space="0" w:color="auto"/>
              <w:right w:val="nil"/>
            </w:tcBorders>
            <w:shd w:val="clear" w:color="auto" w:fill="auto"/>
            <w:vAlign w:val="bottom"/>
          </w:tcPr>
          <w:p w14:paraId="2FCD36E9" w14:textId="62432E59" w:rsidR="00EE3D7C" w:rsidRPr="00FB01C4" w:rsidRDefault="00B26322" w:rsidP="00EE3D7C">
            <w:pPr>
              <w:tabs>
                <w:tab w:val="left" w:pos="-720"/>
              </w:tabs>
              <w:suppressAutoHyphens/>
              <w:spacing w:after="0" w:line="240" w:lineRule="auto"/>
              <w:ind w:right="-5"/>
              <w:jc w:val="right"/>
              <w:rPr>
                <w:rFonts w:cs="Arial"/>
                <w:b/>
                <w:sz w:val="19"/>
                <w:szCs w:val="19"/>
              </w:rPr>
            </w:pPr>
            <w:r w:rsidRPr="00B26322">
              <w:rPr>
                <w:rFonts w:cs="Arial"/>
                <w:b/>
                <w:sz w:val="19"/>
                <w:szCs w:val="19"/>
              </w:rPr>
              <w:t>27.805.973</w:t>
            </w:r>
          </w:p>
        </w:tc>
        <w:tc>
          <w:tcPr>
            <w:tcW w:w="789" w:type="pct"/>
            <w:tcBorders>
              <w:top w:val="single" w:sz="4" w:space="0" w:color="auto"/>
              <w:left w:val="nil"/>
              <w:bottom w:val="single" w:sz="12" w:space="0" w:color="auto"/>
              <w:right w:val="nil"/>
            </w:tcBorders>
            <w:shd w:val="clear" w:color="auto" w:fill="auto"/>
            <w:vAlign w:val="bottom"/>
          </w:tcPr>
          <w:p w14:paraId="6EC064BB" w14:textId="249C9387" w:rsidR="00EE3D7C" w:rsidRPr="00FB01C4" w:rsidRDefault="00EE3D7C" w:rsidP="00EE3D7C">
            <w:pPr>
              <w:tabs>
                <w:tab w:val="left" w:pos="-720"/>
              </w:tabs>
              <w:suppressAutoHyphens/>
              <w:spacing w:after="0" w:line="240" w:lineRule="auto"/>
              <w:ind w:right="-5"/>
              <w:jc w:val="right"/>
              <w:rPr>
                <w:rFonts w:eastAsia="Times New Roman" w:cs="Arial"/>
                <w:b/>
                <w:sz w:val="19"/>
                <w:szCs w:val="19"/>
              </w:rPr>
            </w:pPr>
            <w:r w:rsidRPr="000E5941">
              <w:rPr>
                <w:rFonts w:cs="Arial"/>
                <w:b/>
                <w:sz w:val="19"/>
                <w:szCs w:val="19"/>
              </w:rPr>
              <w:t>27.374.916</w:t>
            </w:r>
          </w:p>
        </w:tc>
      </w:tr>
      <w:tr w:rsidR="003D5BE9" w:rsidRPr="00FB01C4" w14:paraId="33F2C946" w14:textId="77777777" w:rsidTr="005F1FBF">
        <w:trPr>
          <w:trHeight w:hRule="exact" w:val="481"/>
        </w:trPr>
        <w:tc>
          <w:tcPr>
            <w:tcW w:w="1843" w:type="pct"/>
            <w:shd w:val="clear" w:color="auto" w:fill="auto"/>
            <w:vAlign w:val="bottom"/>
          </w:tcPr>
          <w:p w14:paraId="265BD4F4" w14:textId="77777777" w:rsidR="003D5BE9" w:rsidRPr="00FB01C4" w:rsidRDefault="003D5BE9" w:rsidP="003D5BE9">
            <w:pPr>
              <w:tabs>
                <w:tab w:val="left" w:pos="-720"/>
              </w:tabs>
              <w:suppressAutoHyphens/>
              <w:spacing w:after="0" w:line="240" w:lineRule="exact"/>
              <w:ind w:right="-6"/>
              <w:rPr>
                <w:rFonts w:eastAsia="Times New Roman" w:cs="Arial"/>
                <w:b/>
                <w:sz w:val="19"/>
                <w:szCs w:val="19"/>
              </w:rPr>
            </w:pPr>
          </w:p>
        </w:tc>
        <w:tc>
          <w:tcPr>
            <w:tcW w:w="789" w:type="pct"/>
            <w:tcBorders>
              <w:top w:val="single" w:sz="12" w:space="0" w:color="auto"/>
            </w:tcBorders>
            <w:shd w:val="clear" w:color="auto" w:fill="auto"/>
            <w:vAlign w:val="bottom"/>
          </w:tcPr>
          <w:p w14:paraId="2C056E1B" w14:textId="77777777" w:rsidR="003D5BE9" w:rsidRPr="00FB01C4" w:rsidRDefault="003D5BE9">
            <w:pPr>
              <w:tabs>
                <w:tab w:val="left" w:pos="-720"/>
              </w:tabs>
              <w:suppressAutoHyphens/>
              <w:spacing w:after="0" w:line="240" w:lineRule="auto"/>
              <w:ind w:right="-5"/>
              <w:jc w:val="right"/>
              <w:rPr>
                <w:rFonts w:cs="Arial"/>
                <w:sz w:val="19"/>
                <w:szCs w:val="19"/>
              </w:rPr>
            </w:pPr>
          </w:p>
        </w:tc>
        <w:tc>
          <w:tcPr>
            <w:tcW w:w="790" w:type="pct"/>
            <w:tcBorders>
              <w:top w:val="single" w:sz="12" w:space="0" w:color="auto"/>
            </w:tcBorders>
            <w:shd w:val="clear" w:color="auto" w:fill="auto"/>
            <w:vAlign w:val="bottom"/>
          </w:tcPr>
          <w:p w14:paraId="675DD700" w14:textId="77777777" w:rsidR="003D5BE9" w:rsidRPr="00FB01C4" w:rsidRDefault="003D5BE9">
            <w:pPr>
              <w:tabs>
                <w:tab w:val="left" w:pos="-720"/>
              </w:tabs>
              <w:suppressAutoHyphens/>
              <w:spacing w:after="0" w:line="240" w:lineRule="auto"/>
              <w:ind w:right="-5"/>
              <w:jc w:val="right"/>
              <w:rPr>
                <w:rFonts w:eastAsia="Times New Roman" w:cs="Arial"/>
                <w:b/>
                <w:sz w:val="19"/>
                <w:szCs w:val="19"/>
              </w:rPr>
            </w:pPr>
          </w:p>
        </w:tc>
        <w:tc>
          <w:tcPr>
            <w:tcW w:w="789" w:type="pct"/>
            <w:tcBorders>
              <w:top w:val="single" w:sz="12" w:space="0" w:color="auto"/>
            </w:tcBorders>
            <w:shd w:val="clear" w:color="auto" w:fill="auto"/>
            <w:vAlign w:val="bottom"/>
          </w:tcPr>
          <w:p w14:paraId="160E08FF" w14:textId="77777777" w:rsidR="003D5BE9" w:rsidRPr="00FB01C4" w:rsidRDefault="003D5BE9">
            <w:pPr>
              <w:tabs>
                <w:tab w:val="left" w:pos="-720"/>
              </w:tabs>
              <w:suppressAutoHyphens/>
              <w:spacing w:after="0" w:line="240" w:lineRule="auto"/>
              <w:ind w:right="-5"/>
              <w:jc w:val="right"/>
              <w:rPr>
                <w:rFonts w:cs="Arial"/>
                <w:sz w:val="19"/>
                <w:szCs w:val="19"/>
              </w:rPr>
            </w:pPr>
          </w:p>
        </w:tc>
        <w:tc>
          <w:tcPr>
            <w:tcW w:w="789" w:type="pct"/>
            <w:tcBorders>
              <w:top w:val="single" w:sz="12" w:space="0" w:color="auto"/>
            </w:tcBorders>
            <w:shd w:val="clear" w:color="auto" w:fill="auto"/>
            <w:vAlign w:val="bottom"/>
          </w:tcPr>
          <w:p w14:paraId="337BEAFD" w14:textId="77777777" w:rsidR="003D5BE9" w:rsidRPr="00FB01C4" w:rsidRDefault="003D5BE9">
            <w:pPr>
              <w:tabs>
                <w:tab w:val="left" w:pos="-720"/>
              </w:tabs>
              <w:suppressAutoHyphens/>
              <w:spacing w:after="0" w:line="240" w:lineRule="auto"/>
              <w:ind w:right="-5"/>
              <w:jc w:val="right"/>
              <w:rPr>
                <w:rFonts w:eastAsia="Times New Roman" w:cs="Arial"/>
                <w:b/>
                <w:sz w:val="19"/>
                <w:szCs w:val="19"/>
              </w:rPr>
            </w:pPr>
          </w:p>
        </w:tc>
      </w:tr>
      <w:tr w:rsidR="003D5BE9" w:rsidRPr="00FB01C4" w14:paraId="54C39F41" w14:textId="77777777" w:rsidTr="005F1FBF">
        <w:trPr>
          <w:trHeight w:hRule="exact" w:val="358"/>
        </w:trPr>
        <w:tc>
          <w:tcPr>
            <w:tcW w:w="1843" w:type="pct"/>
            <w:shd w:val="clear" w:color="auto" w:fill="auto"/>
            <w:vAlign w:val="bottom"/>
          </w:tcPr>
          <w:p w14:paraId="04204259" w14:textId="77777777" w:rsidR="003D5BE9" w:rsidRPr="00FB01C4" w:rsidRDefault="003D5BE9" w:rsidP="003D5BE9">
            <w:pPr>
              <w:tabs>
                <w:tab w:val="left" w:pos="-720"/>
              </w:tabs>
              <w:suppressAutoHyphens/>
              <w:spacing w:after="0" w:line="240" w:lineRule="exact"/>
              <w:ind w:right="-6"/>
              <w:rPr>
                <w:rFonts w:eastAsia="Times New Roman" w:cs="Arial"/>
                <w:sz w:val="19"/>
                <w:szCs w:val="19"/>
              </w:rPr>
            </w:pPr>
            <w:r w:rsidRPr="00FB01C4">
              <w:rPr>
                <w:rFonts w:eastAsia="Times New Roman" w:cs="Arial"/>
                <w:b/>
                <w:sz w:val="19"/>
                <w:szCs w:val="19"/>
              </w:rPr>
              <w:t>Obveze</w:t>
            </w:r>
          </w:p>
        </w:tc>
        <w:tc>
          <w:tcPr>
            <w:tcW w:w="789" w:type="pct"/>
            <w:shd w:val="clear" w:color="auto" w:fill="auto"/>
            <w:vAlign w:val="bottom"/>
          </w:tcPr>
          <w:p w14:paraId="649E017C" w14:textId="77777777" w:rsidR="003D5BE9" w:rsidRPr="00FB01C4" w:rsidRDefault="003D5BE9">
            <w:pPr>
              <w:tabs>
                <w:tab w:val="left" w:pos="-720"/>
              </w:tabs>
              <w:suppressAutoHyphens/>
              <w:spacing w:after="0" w:line="240" w:lineRule="auto"/>
              <w:ind w:right="-5"/>
              <w:jc w:val="right"/>
              <w:rPr>
                <w:rFonts w:cs="Arial"/>
                <w:sz w:val="19"/>
                <w:szCs w:val="19"/>
              </w:rPr>
            </w:pPr>
          </w:p>
        </w:tc>
        <w:tc>
          <w:tcPr>
            <w:tcW w:w="790" w:type="pct"/>
            <w:shd w:val="clear" w:color="auto" w:fill="auto"/>
            <w:vAlign w:val="bottom"/>
          </w:tcPr>
          <w:p w14:paraId="1CABD1E2" w14:textId="77777777" w:rsidR="003D5BE9" w:rsidRPr="00FB01C4" w:rsidRDefault="003D5BE9">
            <w:pPr>
              <w:tabs>
                <w:tab w:val="left" w:pos="-720"/>
              </w:tabs>
              <w:suppressAutoHyphens/>
              <w:spacing w:after="0" w:line="240" w:lineRule="auto"/>
              <w:ind w:right="-5"/>
              <w:jc w:val="right"/>
              <w:rPr>
                <w:rFonts w:eastAsia="Times New Roman" w:cs="Arial"/>
                <w:sz w:val="19"/>
                <w:szCs w:val="19"/>
              </w:rPr>
            </w:pPr>
          </w:p>
        </w:tc>
        <w:tc>
          <w:tcPr>
            <w:tcW w:w="789" w:type="pct"/>
            <w:shd w:val="clear" w:color="auto" w:fill="auto"/>
            <w:vAlign w:val="bottom"/>
          </w:tcPr>
          <w:p w14:paraId="069F8ACB" w14:textId="77777777" w:rsidR="003D5BE9" w:rsidRPr="00FB01C4" w:rsidRDefault="003D5BE9">
            <w:pPr>
              <w:tabs>
                <w:tab w:val="left" w:pos="-720"/>
              </w:tabs>
              <w:suppressAutoHyphens/>
              <w:spacing w:after="0" w:line="240" w:lineRule="auto"/>
              <w:ind w:right="-5"/>
              <w:jc w:val="right"/>
              <w:rPr>
                <w:rFonts w:cs="Arial"/>
                <w:sz w:val="19"/>
                <w:szCs w:val="19"/>
              </w:rPr>
            </w:pPr>
          </w:p>
        </w:tc>
        <w:tc>
          <w:tcPr>
            <w:tcW w:w="789" w:type="pct"/>
            <w:shd w:val="clear" w:color="auto" w:fill="auto"/>
            <w:vAlign w:val="bottom"/>
          </w:tcPr>
          <w:p w14:paraId="319C505C" w14:textId="77777777" w:rsidR="003D5BE9" w:rsidRPr="00FB01C4" w:rsidRDefault="003D5BE9">
            <w:pPr>
              <w:tabs>
                <w:tab w:val="left" w:pos="-720"/>
              </w:tabs>
              <w:suppressAutoHyphens/>
              <w:spacing w:after="0" w:line="240" w:lineRule="auto"/>
              <w:ind w:right="-5"/>
              <w:jc w:val="right"/>
              <w:rPr>
                <w:rFonts w:eastAsia="Times New Roman" w:cs="Arial"/>
                <w:sz w:val="19"/>
                <w:szCs w:val="19"/>
              </w:rPr>
            </w:pPr>
          </w:p>
        </w:tc>
      </w:tr>
      <w:tr w:rsidR="003D5BE9" w:rsidRPr="00FB01C4" w14:paraId="22593108" w14:textId="77777777" w:rsidTr="005F1FBF">
        <w:trPr>
          <w:trHeight w:hRule="exact" w:val="358"/>
        </w:trPr>
        <w:tc>
          <w:tcPr>
            <w:tcW w:w="1843" w:type="pct"/>
            <w:shd w:val="clear" w:color="auto" w:fill="auto"/>
            <w:vAlign w:val="bottom"/>
          </w:tcPr>
          <w:p w14:paraId="6FC1658A" w14:textId="77777777" w:rsidR="003D5BE9" w:rsidRPr="00FB01C4" w:rsidRDefault="003D5BE9" w:rsidP="003D5BE9">
            <w:pPr>
              <w:tabs>
                <w:tab w:val="left" w:pos="-720"/>
              </w:tabs>
              <w:suppressAutoHyphens/>
              <w:spacing w:after="0" w:line="240" w:lineRule="exact"/>
              <w:ind w:right="-6"/>
              <w:rPr>
                <w:rFonts w:eastAsia="Times New Roman" w:cs="Arial"/>
                <w:b/>
                <w:sz w:val="19"/>
                <w:szCs w:val="19"/>
              </w:rPr>
            </w:pPr>
          </w:p>
        </w:tc>
        <w:tc>
          <w:tcPr>
            <w:tcW w:w="789" w:type="pct"/>
            <w:shd w:val="clear" w:color="auto" w:fill="auto"/>
            <w:vAlign w:val="bottom"/>
          </w:tcPr>
          <w:p w14:paraId="696152AC" w14:textId="77777777" w:rsidR="003D5BE9" w:rsidRPr="00FB01C4" w:rsidRDefault="003D5BE9">
            <w:pPr>
              <w:tabs>
                <w:tab w:val="left" w:pos="-720"/>
              </w:tabs>
              <w:suppressAutoHyphens/>
              <w:spacing w:after="0" w:line="240" w:lineRule="auto"/>
              <w:ind w:right="-5"/>
              <w:jc w:val="right"/>
              <w:rPr>
                <w:rFonts w:cs="Arial"/>
                <w:sz w:val="19"/>
                <w:szCs w:val="19"/>
              </w:rPr>
            </w:pPr>
          </w:p>
        </w:tc>
        <w:tc>
          <w:tcPr>
            <w:tcW w:w="790" w:type="pct"/>
            <w:shd w:val="clear" w:color="auto" w:fill="auto"/>
            <w:vAlign w:val="bottom"/>
          </w:tcPr>
          <w:p w14:paraId="55AD6DEB" w14:textId="77777777" w:rsidR="003D5BE9" w:rsidRPr="00FB01C4" w:rsidRDefault="003D5BE9">
            <w:pPr>
              <w:tabs>
                <w:tab w:val="left" w:pos="-720"/>
              </w:tabs>
              <w:suppressAutoHyphens/>
              <w:spacing w:after="0" w:line="240" w:lineRule="auto"/>
              <w:ind w:right="-5"/>
              <w:jc w:val="right"/>
              <w:rPr>
                <w:rFonts w:eastAsia="Times New Roman" w:cs="Arial"/>
                <w:sz w:val="19"/>
                <w:szCs w:val="19"/>
              </w:rPr>
            </w:pPr>
          </w:p>
        </w:tc>
        <w:tc>
          <w:tcPr>
            <w:tcW w:w="789" w:type="pct"/>
            <w:shd w:val="clear" w:color="auto" w:fill="auto"/>
            <w:vAlign w:val="bottom"/>
          </w:tcPr>
          <w:p w14:paraId="795EBD9D" w14:textId="77777777" w:rsidR="003D5BE9" w:rsidRPr="00FB01C4" w:rsidRDefault="003D5BE9">
            <w:pPr>
              <w:tabs>
                <w:tab w:val="left" w:pos="-720"/>
              </w:tabs>
              <w:suppressAutoHyphens/>
              <w:spacing w:after="0" w:line="240" w:lineRule="auto"/>
              <w:ind w:right="-5"/>
              <w:jc w:val="right"/>
              <w:rPr>
                <w:rFonts w:cs="Arial"/>
                <w:sz w:val="19"/>
                <w:szCs w:val="19"/>
              </w:rPr>
            </w:pPr>
          </w:p>
        </w:tc>
        <w:tc>
          <w:tcPr>
            <w:tcW w:w="789" w:type="pct"/>
            <w:shd w:val="clear" w:color="auto" w:fill="auto"/>
            <w:vAlign w:val="bottom"/>
          </w:tcPr>
          <w:p w14:paraId="429D29CB" w14:textId="77777777" w:rsidR="003D5BE9" w:rsidRPr="00FB01C4" w:rsidRDefault="003D5BE9">
            <w:pPr>
              <w:tabs>
                <w:tab w:val="left" w:pos="-720"/>
              </w:tabs>
              <w:suppressAutoHyphens/>
              <w:spacing w:after="0" w:line="240" w:lineRule="auto"/>
              <w:ind w:right="-5"/>
              <w:jc w:val="right"/>
              <w:rPr>
                <w:rFonts w:eastAsia="Times New Roman" w:cs="Arial"/>
                <w:sz w:val="19"/>
                <w:szCs w:val="19"/>
              </w:rPr>
            </w:pPr>
          </w:p>
        </w:tc>
      </w:tr>
      <w:tr w:rsidR="00EE3D7C" w:rsidRPr="00FB01C4" w14:paraId="7A089E2D" w14:textId="77777777" w:rsidTr="00EE3D7C">
        <w:trPr>
          <w:trHeight w:hRule="exact" w:val="284"/>
        </w:trPr>
        <w:tc>
          <w:tcPr>
            <w:tcW w:w="1843" w:type="pct"/>
            <w:shd w:val="clear" w:color="auto" w:fill="auto"/>
            <w:vAlign w:val="bottom"/>
          </w:tcPr>
          <w:p w14:paraId="52BAC30B" w14:textId="77777777" w:rsidR="00EE3D7C" w:rsidRPr="00FB01C4" w:rsidRDefault="00EE3D7C" w:rsidP="00EE3D7C">
            <w:pPr>
              <w:tabs>
                <w:tab w:val="left" w:pos="-720"/>
              </w:tabs>
              <w:suppressAutoHyphens/>
              <w:spacing w:after="0" w:line="240" w:lineRule="exact"/>
              <w:ind w:right="-6"/>
              <w:rPr>
                <w:rFonts w:eastAsia="Times New Roman" w:cs="Arial"/>
                <w:b/>
                <w:sz w:val="19"/>
                <w:szCs w:val="19"/>
              </w:rPr>
            </w:pPr>
            <w:r w:rsidRPr="00FB01C4">
              <w:rPr>
                <w:rFonts w:eastAsia="Times New Roman" w:cs="Arial"/>
                <w:sz w:val="19"/>
                <w:szCs w:val="19"/>
              </w:rPr>
              <w:t>Obveze uz fiksnu kamatnu stopu</w:t>
            </w:r>
          </w:p>
        </w:tc>
        <w:tc>
          <w:tcPr>
            <w:tcW w:w="789" w:type="pct"/>
            <w:tcBorders>
              <w:top w:val="nil"/>
              <w:left w:val="nil"/>
              <w:right w:val="nil"/>
            </w:tcBorders>
            <w:shd w:val="clear" w:color="auto" w:fill="auto"/>
            <w:vAlign w:val="bottom"/>
          </w:tcPr>
          <w:p w14:paraId="61D94D3E" w14:textId="4655E62C" w:rsidR="00EE3D7C" w:rsidRPr="00FB01C4" w:rsidRDefault="00B26322">
            <w:pPr>
              <w:tabs>
                <w:tab w:val="left" w:pos="-720"/>
              </w:tabs>
              <w:suppressAutoHyphens/>
              <w:spacing w:after="0" w:line="240" w:lineRule="auto"/>
              <w:ind w:right="-5"/>
              <w:jc w:val="right"/>
              <w:rPr>
                <w:rFonts w:cs="Arial"/>
                <w:sz w:val="19"/>
                <w:szCs w:val="19"/>
              </w:rPr>
            </w:pPr>
            <w:r w:rsidRPr="00B26322">
              <w:rPr>
                <w:rFonts w:cs="Arial"/>
                <w:sz w:val="19"/>
                <w:szCs w:val="19"/>
              </w:rPr>
              <w:t>16.</w:t>
            </w:r>
            <w:r w:rsidR="000363BC">
              <w:rPr>
                <w:rFonts w:cs="Arial"/>
                <w:sz w:val="19"/>
                <w:szCs w:val="19"/>
              </w:rPr>
              <w:t>575</w:t>
            </w:r>
            <w:r w:rsidRPr="00B26322">
              <w:rPr>
                <w:rFonts w:cs="Arial"/>
                <w:sz w:val="19"/>
                <w:szCs w:val="19"/>
              </w:rPr>
              <w:t>.</w:t>
            </w:r>
            <w:r w:rsidR="00365FCF">
              <w:rPr>
                <w:rFonts w:cs="Arial"/>
                <w:sz w:val="19"/>
                <w:szCs w:val="19"/>
              </w:rPr>
              <w:t>917</w:t>
            </w:r>
          </w:p>
        </w:tc>
        <w:tc>
          <w:tcPr>
            <w:tcW w:w="790" w:type="pct"/>
            <w:tcBorders>
              <w:top w:val="nil"/>
              <w:left w:val="nil"/>
              <w:bottom w:val="nil"/>
              <w:right w:val="nil"/>
            </w:tcBorders>
            <w:shd w:val="clear" w:color="auto" w:fill="auto"/>
            <w:vAlign w:val="bottom"/>
          </w:tcPr>
          <w:p w14:paraId="687531F7" w14:textId="75A8B8EF" w:rsidR="00EE3D7C" w:rsidRPr="00FB01C4" w:rsidRDefault="00EE3D7C" w:rsidP="00EE3D7C">
            <w:pPr>
              <w:tabs>
                <w:tab w:val="left" w:pos="-720"/>
              </w:tabs>
              <w:suppressAutoHyphens/>
              <w:spacing w:after="0" w:line="240" w:lineRule="auto"/>
              <w:ind w:right="-5"/>
              <w:jc w:val="right"/>
              <w:rPr>
                <w:rFonts w:eastAsia="Times New Roman" w:cs="Arial"/>
                <w:sz w:val="19"/>
                <w:szCs w:val="19"/>
              </w:rPr>
            </w:pPr>
            <w:r w:rsidRPr="000E5941">
              <w:rPr>
                <w:rFonts w:cs="Arial"/>
                <w:sz w:val="19"/>
                <w:szCs w:val="19"/>
              </w:rPr>
              <w:t>16.333.589</w:t>
            </w:r>
          </w:p>
        </w:tc>
        <w:tc>
          <w:tcPr>
            <w:tcW w:w="789" w:type="pct"/>
            <w:tcBorders>
              <w:top w:val="nil"/>
              <w:left w:val="nil"/>
              <w:right w:val="nil"/>
            </w:tcBorders>
            <w:shd w:val="clear" w:color="auto" w:fill="auto"/>
            <w:vAlign w:val="bottom"/>
          </w:tcPr>
          <w:p w14:paraId="730AC6E4" w14:textId="686BF7A7" w:rsidR="00EE3D7C" w:rsidRPr="00FB01C4" w:rsidRDefault="00FE4533">
            <w:pPr>
              <w:tabs>
                <w:tab w:val="left" w:pos="-720"/>
              </w:tabs>
              <w:suppressAutoHyphens/>
              <w:spacing w:after="0" w:line="240" w:lineRule="auto"/>
              <w:ind w:right="-5"/>
              <w:jc w:val="right"/>
              <w:rPr>
                <w:rFonts w:cs="Arial"/>
                <w:sz w:val="19"/>
                <w:szCs w:val="19"/>
              </w:rPr>
            </w:pPr>
            <w:r>
              <w:rPr>
                <w:rFonts w:cs="Arial"/>
                <w:sz w:val="19"/>
                <w:szCs w:val="19"/>
              </w:rPr>
              <w:t>16.575.917</w:t>
            </w:r>
          </w:p>
        </w:tc>
        <w:tc>
          <w:tcPr>
            <w:tcW w:w="789" w:type="pct"/>
            <w:tcBorders>
              <w:top w:val="nil"/>
              <w:left w:val="nil"/>
              <w:bottom w:val="nil"/>
              <w:right w:val="nil"/>
            </w:tcBorders>
            <w:shd w:val="clear" w:color="auto" w:fill="auto"/>
            <w:vAlign w:val="bottom"/>
          </w:tcPr>
          <w:p w14:paraId="7F7D03D2" w14:textId="2DD53E98" w:rsidR="00EE3D7C" w:rsidRPr="00FB01C4" w:rsidRDefault="00EE3D7C" w:rsidP="00EE3D7C">
            <w:pPr>
              <w:tabs>
                <w:tab w:val="left" w:pos="-720"/>
              </w:tabs>
              <w:suppressAutoHyphens/>
              <w:spacing w:after="0" w:line="240" w:lineRule="auto"/>
              <w:ind w:right="-5"/>
              <w:jc w:val="right"/>
              <w:rPr>
                <w:rFonts w:eastAsia="Times New Roman" w:cs="Arial"/>
                <w:sz w:val="19"/>
                <w:szCs w:val="19"/>
              </w:rPr>
            </w:pPr>
            <w:r w:rsidRPr="000E5941">
              <w:rPr>
                <w:rFonts w:ascii="Calibri" w:hAnsi="Calibri"/>
                <w:bCs/>
                <w:color w:val="000000"/>
                <w:sz w:val="19"/>
                <w:szCs w:val="19"/>
              </w:rPr>
              <w:t>16.333.589</w:t>
            </w:r>
          </w:p>
        </w:tc>
      </w:tr>
      <w:tr w:rsidR="00EE3D7C" w:rsidRPr="00FB01C4" w14:paraId="672C77E1" w14:textId="77777777" w:rsidTr="00EE3D7C">
        <w:trPr>
          <w:trHeight w:hRule="exact" w:val="284"/>
        </w:trPr>
        <w:tc>
          <w:tcPr>
            <w:tcW w:w="1843" w:type="pct"/>
            <w:shd w:val="clear" w:color="auto" w:fill="auto"/>
            <w:vAlign w:val="bottom"/>
          </w:tcPr>
          <w:p w14:paraId="37A90D2C" w14:textId="77777777" w:rsidR="00EE3D7C" w:rsidRPr="00FB01C4" w:rsidRDefault="00EE3D7C" w:rsidP="00EE3D7C">
            <w:pPr>
              <w:tabs>
                <w:tab w:val="left" w:pos="-720"/>
              </w:tabs>
              <w:suppressAutoHyphens/>
              <w:spacing w:after="0" w:line="240" w:lineRule="exact"/>
              <w:ind w:right="-6"/>
              <w:rPr>
                <w:rFonts w:eastAsia="Times New Roman" w:cs="Arial"/>
                <w:sz w:val="19"/>
                <w:szCs w:val="19"/>
              </w:rPr>
            </w:pPr>
            <w:r w:rsidRPr="00FB01C4">
              <w:rPr>
                <w:rFonts w:eastAsia="Times New Roman" w:cs="Arial"/>
                <w:sz w:val="19"/>
                <w:szCs w:val="19"/>
              </w:rPr>
              <w:t>Obveze uz varijabilnu kamatnu stopu</w:t>
            </w:r>
          </w:p>
        </w:tc>
        <w:tc>
          <w:tcPr>
            <w:tcW w:w="789" w:type="pct"/>
            <w:tcBorders>
              <w:top w:val="nil"/>
              <w:left w:val="nil"/>
              <w:right w:val="nil"/>
            </w:tcBorders>
            <w:shd w:val="clear" w:color="auto" w:fill="auto"/>
            <w:vAlign w:val="bottom"/>
          </w:tcPr>
          <w:p w14:paraId="6B6B2F51" w14:textId="1108C16D" w:rsidR="00EE3D7C" w:rsidRPr="00FB01C4" w:rsidRDefault="00B26322" w:rsidP="00EE3D7C">
            <w:pPr>
              <w:tabs>
                <w:tab w:val="left" w:pos="-720"/>
              </w:tabs>
              <w:suppressAutoHyphens/>
              <w:spacing w:after="0" w:line="240" w:lineRule="auto"/>
              <w:ind w:right="-5"/>
              <w:jc w:val="right"/>
              <w:rPr>
                <w:rFonts w:cs="Arial"/>
                <w:sz w:val="19"/>
                <w:szCs w:val="19"/>
              </w:rPr>
            </w:pPr>
            <w:r w:rsidRPr="00B26322">
              <w:rPr>
                <w:rFonts w:cs="Arial"/>
                <w:sz w:val="19"/>
                <w:szCs w:val="19"/>
              </w:rPr>
              <w:t>1.852</w:t>
            </w:r>
          </w:p>
        </w:tc>
        <w:tc>
          <w:tcPr>
            <w:tcW w:w="790" w:type="pct"/>
            <w:tcBorders>
              <w:top w:val="nil"/>
              <w:left w:val="nil"/>
              <w:bottom w:val="nil"/>
              <w:right w:val="nil"/>
            </w:tcBorders>
            <w:shd w:val="clear" w:color="auto" w:fill="auto"/>
            <w:vAlign w:val="bottom"/>
          </w:tcPr>
          <w:p w14:paraId="0A032A91" w14:textId="64CBA521" w:rsidR="00EE3D7C" w:rsidRPr="00FB01C4" w:rsidRDefault="00EE3D7C" w:rsidP="00EE3D7C">
            <w:pPr>
              <w:tabs>
                <w:tab w:val="left" w:pos="-720"/>
              </w:tabs>
              <w:suppressAutoHyphens/>
              <w:spacing w:after="0" w:line="240" w:lineRule="auto"/>
              <w:ind w:right="-5"/>
              <w:jc w:val="right"/>
              <w:rPr>
                <w:rFonts w:eastAsia="Times New Roman" w:cs="Arial"/>
                <w:sz w:val="19"/>
                <w:szCs w:val="19"/>
              </w:rPr>
            </w:pPr>
            <w:r w:rsidRPr="000E5941">
              <w:rPr>
                <w:rFonts w:cs="Arial"/>
                <w:sz w:val="19"/>
                <w:szCs w:val="19"/>
              </w:rPr>
              <w:t>3.779</w:t>
            </w:r>
          </w:p>
        </w:tc>
        <w:tc>
          <w:tcPr>
            <w:tcW w:w="789" w:type="pct"/>
            <w:tcBorders>
              <w:top w:val="nil"/>
              <w:left w:val="nil"/>
              <w:right w:val="nil"/>
            </w:tcBorders>
            <w:shd w:val="clear" w:color="auto" w:fill="auto"/>
            <w:vAlign w:val="bottom"/>
          </w:tcPr>
          <w:p w14:paraId="3684C522" w14:textId="17F11A76" w:rsidR="00EE3D7C" w:rsidRPr="00FB01C4" w:rsidRDefault="00B26322" w:rsidP="00EE3D7C">
            <w:pPr>
              <w:tabs>
                <w:tab w:val="left" w:pos="-720"/>
              </w:tabs>
              <w:suppressAutoHyphens/>
              <w:spacing w:after="0" w:line="240" w:lineRule="auto"/>
              <w:ind w:right="-5"/>
              <w:jc w:val="right"/>
              <w:rPr>
                <w:rFonts w:cs="Arial"/>
                <w:sz w:val="19"/>
                <w:szCs w:val="19"/>
              </w:rPr>
            </w:pPr>
            <w:r w:rsidRPr="00B26322">
              <w:rPr>
                <w:rFonts w:cs="Arial"/>
                <w:sz w:val="19"/>
                <w:szCs w:val="19"/>
              </w:rPr>
              <w:t>1.852</w:t>
            </w:r>
          </w:p>
        </w:tc>
        <w:tc>
          <w:tcPr>
            <w:tcW w:w="789" w:type="pct"/>
            <w:tcBorders>
              <w:top w:val="nil"/>
              <w:left w:val="nil"/>
              <w:bottom w:val="nil"/>
              <w:right w:val="nil"/>
            </w:tcBorders>
            <w:shd w:val="clear" w:color="auto" w:fill="auto"/>
            <w:vAlign w:val="bottom"/>
          </w:tcPr>
          <w:p w14:paraId="1E8B75A2" w14:textId="68CF1D9D" w:rsidR="00EE3D7C" w:rsidRPr="00FB01C4" w:rsidRDefault="00EE3D7C" w:rsidP="00EE3D7C">
            <w:pPr>
              <w:tabs>
                <w:tab w:val="left" w:pos="-720"/>
              </w:tabs>
              <w:suppressAutoHyphens/>
              <w:spacing w:after="0" w:line="240" w:lineRule="auto"/>
              <w:ind w:right="-5"/>
              <w:jc w:val="right"/>
              <w:rPr>
                <w:rFonts w:eastAsia="Times New Roman" w:cs="Arial"/>
                <w:sz w:val="19"/>
                <w:szCs w:val="19"/>
              </w:rPr>
            </w:pPr>
            <w:r w:rsidRPr="000E5941">
              <w:rPr>
                <w:rFonts w:ascii="Calibri" w:hAnsi="Calibri"/>
                <w:bCs/>
                <w:color w:val="000000"/>
                <w:sz w:val="19"/>
                <w:szCs w:val="19"/>
              </w:rPr>
              <w:t>3.779</w:t>
            </w:r>
          </w:p>
        </w:tc>
      </w:tr>
      <w:tr w:rsidR="00EE3D7C" w:rsidRPr="00FB01C4" w14:paraId="4848CC58" w14:textId="77777777" w:rsidTr="00EE3D7C">
        <w:trPr>
          <w:trHeight w:hRule="exact" w:val="284"/>
        </w:trPr>
        <w:tc>
          <w:tcPr>
            <w:tcW w:w="1843" w:type="pct"/>
            <w:shd w:val="clear" w:color="auto" w:fill="auto"/>
            <w:vAlign w:val="bottom"/>
          </w:tcPr>
          <w:p w14:paraId="2FFFDD23" w14:textId="77777777" w:rsidR="00EE3D7C" w:rsidRPr="00FB01C4" w:rsidRDefault="00EE3D7C" w:rsidP="00EE3D7C">
            <w:pPr>
              <w:tabs>
                <w:tab w:val="left" w:pos="-720"/>
              </w:tabs>
              <w:suppressAutoHyphens/>
              <w:spacing w:after="0" w:line="240" w:lineRule="exact"/>
              <w:ind w:right="-6"/>
              <w:rPr>
                <w:rFonts w:eastAsia="Times New Roman" w:cs="Arial"/>
                <w:sz w:val="19"/>
                <w:szCs w:val="19"/>
              </w:rPr>
            </w:pPr>
            <w:r w:rsidRPr="00FB01C4">
              <w:rPr>
                <w:rFonts w:eastAsia="Times New Roman" w:cs="Arial"/>
                <w:sz w:val="19"/>
                <w:szCs w:val="19"/>
              </w:rPr>
              <w:t>Beskamatno</w:t>
            </w:r>
          </w:p>
        </w:tc>
        <w:tc>
          <w:tcPr>
            <w:tcW w:w="789" w:type="pct"/>
            <w:tcBorders>
              <w:bottom w:val="single" w:sz="4" w:space="0" w:color="auto"/>
            </w:tcBorders>
            <w:shd w:val="clear" w:color="auto" w:fill="auto"/>
            <w:vAlign w:val="bottom"/>
          </w:tcPr>
          <w:p w14:paraId="05D35EDC" w14:textId="1790EC9F" w:rsidR="00EE3D7C" w:rsidRPr="00FB01C4" w:rsidRDefault="00B26322" w:rsidP="004C4ABF">
            <w:pPr>
              <w:tabs>
                <w:tab w:val="left" w:pos="-720"/>
              </w:tabs>
              <w:suppressAutoHyphens/>
              <w:spacing w:after="0" w:line="240" w:lineRule="auto"/>
              <w:ind w:right="-5"/>
              <w:jc w:val="right"/>
              <w:rPr>
                <w:rFonts w:cs="Arial"/>
                <w:sz w:val="19"/>
                <w:szCs w:val="19"/>
              </w:rPr>
            </w:pPr>
            <w:r w:rsidRPr="00B26322">
              <w:rPr>
                <w:rFonts w:cs="Arial"/>
                <w:sz w:val="19"/>
                <w:szCs w:val="19"/>
              </w:rPr>
              <w:t>11.</w:t>
            </w:r>
            <w:r w:rsidR="00365FCF">
              <w:rPr>
                <w:rFonts w:cs="Arial"/>
                <w:sz w:val="19"/>
                <w:szCs w:val="19"/>
              </w:rPr>
              <w:t>2</w:t>
            </w:r>
            <w:r w:rsidR="004C4ABF">
              <w:rPr>
                <w:rFonts w:cs="Arial"/>
                <w:sz w:val="19"/>
                <w:szCs w:val="19"/>
              </w:rPr>
              <w:t>46</w:t>
            </w:r>
            <w:r w:rsidRPr="00B26322">
              <w:rPr>
                <w:rFonts w:cs="Arial"/>
                <w:sz w:val="19"/>
                <w:szCs w:val="19"/>
              </w:rPr>
              <w:t>.</w:t>
            </w:r>
            <w:r w:rsidR="00365FCF">
              <w:rPr>
                <w:rFonts w:cs="Arial"/>
                <w:sz w:val="19"/>
                <w:szCs w:val="19"/>
              </w:rPr>
              <w:t>072</w:t>
            </w:r>
          </w:p>
        </w:tc>
        <w:tc>
          <w:tcPr>
            <w:tcW w:w="790" w:type="pct"/>
            <w:tcBorders>
              <w:top w:val="nil"/>
              <w:left w:val="nil"/>
              <w:bottom w:val="single" w:sz="4" w:space="0" w:color="auto"/>
              <w:right w:val="nil"/>
            </w:tcBorders>
            <w:shd w:val="clear" w:color="auto" w:fill="auto"/>
            <w:vAlign w:val="bottom"/>
          </w:tcPr>
          <w:p w14:paraId="18EADAEB" w14:textId="738ACA03" w:rsidR="00EE3D7C" w:rsidRPr="00FB01C4" w:rsidRDefault="00EE3D7C" w:rsidP="00EE3D7C">
            <w:pPr>
              <w:tabs>
                <w:tab w:val="left" w:pos="-720"/>
              </w:tabs>
              <w:suppressAutoHyphens/>
              <w:spacing w:after="0" w:line="240" w:lineRule="auto"/>
              <w:ind w:right="-5"/>
              <w:jc w:val="right"/>
              <w:rPr>
                <w:rFonts w:eastAsia="Times New Roman" w:cs="Arial"/>
                <w:sz w:val="19"/>
                <w:szCs w:val="19"/>
              </w:rPr>
            </w:pPr>
            <w:r w:rsidRPr="000E5941">
              <w:rPr>
                <w:rFonts w:cs="Arial"/>
                <w:sz w:val="19"/>
                <w:szCs w:val="19"/>
              </w:rPr>
              <w:t>11.053.454</w:t>
            </w:r>
          </w:p>
        </w:tc>
        <w:tc>
          <w:tcPr>
            <w:tcW w:w="789" w:type="pct"/>
            <w:tcBorders>
              <w:bottom w:val="single" w:sz="4" w:space="0" w:color="auto"/>
            </w:tcBorders>
            <w:shd w:val="clear" w:color="auto" w:fill="auto"/>
            <w:vAlign w:val="bottom"/>
          </w:tcPr>
          <w:p w14:paraId="04DD174E" w14:textId="2DD25BBE" w:rsidR="00EE3D7C" w:rsidRPr="00FB01C4" w:rsidRDefault="00B26322">
            <w:pPr>
              <w:tabs>
                <w:tab w:val="left" w:pos="-720"/>
              </w:tabs>
              <w:suppressAutoHyphens/>
              <w:spacing w:after="0" w:line="240" w:lineRule="auto"/>
              <w:ind w:right="-5"/>
              <w:jc w:val="right"/>
              <w:rPr>
                <w:rFonts w:cs="Arial"/>
                <w:sz w:val="19"/>
                <w:szCs w:val="19"/>
              </w:rPr>
            </w:pPr>
            <w:r w:rsidRPr="00B26322">
              <w:rPr>
                <w:rFonts w:cs="Arial"/>
                <w:sz w:val="19"/>
                <w:szCs w:val="19"/>
              </w:rPr>
              <w:t>11</w:t>
            </w:r>
            <w:r w:rsidR="00FE4533">
              <w:rPr>
                <w:rFonts w:cs="Arial"/>
                <w:sz w:val="19"/>
                <w:szCs w:val="19"/>
              </w:rPr>
              <w:t>.228.204</w:t>
            </w:r>
          </w:p>
        </w:tc>
        <w:tc>
          <w:tcPr>
            <w:tcW w:w="789" w:type="pct"/>
            <w:tcBorders>
              <w:top w:val="nil"/>
              <w:left w:val="nil"/>
              <w:bottom w:val="single" w:sz="4" w:space="0" w:color="auto"/>
              <w:right w:val="nil"/>
            </w:tcBorders>
            <w:shd w:val="clear" w:color="auto" w:fill="auto"/>
            <w:vAlign w:val="bottom"/>
          </w:tcPr>
          <w:p w14:paraId="30D3CC13" w14:textId="6CB00C6A" w:rsidR="00EE3D7C" w:rsidRPr="00FB01C4" w:rsidRDefault="00EE3D7C" w:rsidP="00EE3D7C">
            <w:pPr>
              <w:tabs>
                <w:tab w:val="left" w:pos="-720"/>
              </w:tabs>
              <w:suppressAutoHyphens/>
              <w:spacing w:after="0" w:line="240" w:lineRule="auto"/>
              <w:ind w:right="-5"/>
              <w:jc w:val="right"/>
              <w:rPr>
                <w:rFonts w:eastAsia="Times New Roman" w:cs="Arial"/>
                <w:sz w:val="19"/>
                <w:szCs w:val="19"/>
              </w:rPr>
            </w:pPr>
            <w:r w:rsidRPr="000E5941">
              <w:rPr>
                <w:rFonts w:ascii="Calibri" w:hAnsi="Calibri"/>
                <w:bCs/>
                <w:color w:val="000000"/>
                <w:sz w:val="19"/>
                <w:szCs w:val="19"/>
              </w:rPr>
              <w:t>11.037.548</w:t>
            </w:r>
          </w:p>
        </w:tc>
      </w:tr>
      <w:tr w:rsidR="00EE3D7C" w:rsidRPr="00FB01C4" w14:paraId="510793DB" w14:textId="77777777" w:rsidTr="00EE3D7C">
        <w:trPr>
          <w:trHeight w:hRule="exact" w:val="403"/>
        </w:trPr>
        <w:tc>
          <w:tcPr>
            <w:tcW w:w="1843" w:type="pct"/>
            <w:shd w:val="clear" w:color="auto" w:fill="auto"/>
            <w:vAlign w:val="bottom"/>
          </w:tcPr>
          <w:p w14:paraId="2BD424D6" w14:textId="77777777" w:rsidR="00EE3D7C" w:rsidRPr="00FB01C4" w:rsidRDefault="00EE3D7C" w:rsidP="00EE3D7C">
            <w:pPr>
              <w:tabs>
                <w:tab w:val="left" w:pos="-720"/>
              </w:tabs>
              <w:suppressAutoHyphens/>
              <w:spacing w:after="0" w:line="240" w:lineRule="exact"/>
              <w:ind w:right="-6"/>
              <w:rPr>
                <w:rFonts w:eastAsia="Times New Roman" w:cs="Arial"/>
                <w:sz w:val="19"/>
                <w:szCs w:val="19"/>
              </w:rPr>
            </w:pPr>
            <w:r w:rsidRPr="00FB01C4">
              <w:rPr>
                <w:rFonts w:eastAsia="Times New Roman" w:cs="Arial"/>
                <w:b/>
                <w:sz w:val="19"/>
                <w:szCs w:val="19"/>
              </w:rPr>
              <w:t>Ukupne obveze i glavnica</w:t>
            </w:r>
          </w:p>
        </w:tc>
        <w:tc>
          <w:tcPr>
            <w:tcW w:w="789" w:type="pct"/>
            <w:tcBorders>
              <w:top w:val="single" w:sz="4" w:space="0" w:color="auto"/>
              <w:left w:val="nil"/>
              <w:bottom w:val="single" w:sz="12" w:space="0" w:color="auto"/>
              <w:right w:val="nil"/>
            </w:tcBorders>
            <w:shd w:val="clear" w:color="auto" w:fill="auto"/>
            <w:vAlign w:val="bottom"/>
          </w:tcPr>
          <w:p w14:paraId="0495E98E" w14:textId="7A16428A" w:rsidR="00EE3D7C" w:rsidRPr="00FB01C4" w:rsidRDefault="00B26322" w:rsidP="00EE3D7C">
            <w:pPr>
              <w:tabs>
                <w:tab w:val="left" w:pos="-720"/>
              </w:tabs>
              <w:suppressAutoHyphens/>
              <w:spacing w:after="0" w:line="240" w:lineRule="auto"/>
              <w:ind w:right="-5"/>
              <w:jc w:val="right"/>
              <w:rPr>
                <w:rFonts w:cs="Arial"/>
                <w:b/>
                <w:sz w:val="19"/>
                <w:szCs w:val="19"/>
              </w:rPr>
            </w:pPr>
            <w:r w:rsidRPr="00B26322">
              <w:rPr>
                <w:rFonts w:cs="Arial"/>
                <w:b/>
                <w:sz w:val="19"/>
                <w:szCs w:val="19"/>
              </w:rPr>
              <w:t>27.823.841</w:t>
            </w:r>
          </w:p>
        </w:tc>
        <w:tc>
          <w:tcPr>
            <w:tcW w:w="790" w:type="pct"/>
            <w:tcBorders>
              <w:top w:val="single" w:sz="4" w:space="0" w:color="auto"/>
              <w:left w:val="nil"/>
              <w:bottom w:val="single" w:sz="12" w:space="0" w:color="auto"/>
              <w:right w:val="nil"/>
            </w:tcBorders>
            <w:shd w:val="clear" w:color="auto" w:fill="auto"/>
            <w:vAlign w:val="bottom"/>
          </w:tcPr>
          <w:p w14:paraId="062DAED4" w14:textId="2E74CBED" w:rsidR="00EE3D7C" w:rsidRPr="00FB01C4" w:rsidRDefault="00EE3D7C" w:rsidP="00EE3D7C">
            <w:pPr>
              <w:tabs>
                <w:tab w:val="left" w:pos="-720"/>
              </w:tabs>
              <w:suppressAutoHyphens/>
              <w:spacing w:after="0" w:line="240" w:lineRule="auto"/>
              <w:ind w:right="-5"/>
              <w:jc w:val="right"/>
              <w:rPr>
                <w:rFonts w:eastAsia="Times New Roman" w:cs="Arial"/>
                <w:b/>
                <w:sz w:val="19"/>
                <w:szCs w:val="19"/>
              </w:rPr>
            </w:pPr>
            <w:r w:rsidRPr="000E5941">
              <w:rPr>
                <w:rFonts w:cs="Arial"/>
                <w:b/>
                <w:sz w:val="19"/>
                <w:szCs w:val="19"/>
              </w:rPr>
              <w:t>27.390.822</w:t>
            </w:r>
          </w:p>
        </w:tc>
        <w:tc>
          <w:tcPr>
            <w:tcW w:w="789" w:type="pct"/>
            <w:tcBorders>
              <w:top w:val="single" w:sz="4" w:space="0" w:color="auto"/>
              <w:left w:val="nil"/>
              <w:bottom w:val="single" w:sz="12" w:space="0" w:color="auto"/>
              <w:right w:val="nil"/>
            </w:tcBorders>
            <w:shd w:val="clear" w:color="auto" w:fill="auto"/>
            <w:vAlign w:val="bottom"/>
          </w:tcPr>
          <w:p w14:paraId="21989E02" w14:textId="4303A304" w:rsidR="00EE3D7C" w:rsidRPr="00FB01C4" w:rsidRDefault="00B26322" w:rsidP="00EE3D7C">
            <w:pPr>
              <w:tabs>
                <w:tab w:val="left" w:pos="-720"/>
              </w:tabs>
              <w:suppressAutoHyphens/>
              <w:spacing w:after="0" w:line="240" w:lineRule="auto"/>
              <w:ind w:right="-5"/>
              <w:jc w:val="right"/>
              <w:rPr>
                <w:rFonts w:cs="Arial"/>
                <w:b/>
                <w:sz w:val="19"/>
                <w:szCs w:val="19"/>
              </w:rPr>
            </w:pPr>
            <w:r w:rsidRPr="00B26322">
              <w:rPr>
                <w:rFonts w:cs="Arial"/>
                <w:b/>
                <w:sz w:val="19"/>
                <w:szCs w:val="19"/>
              </w:rPr>
              <w:t>27.805.973</w:t>
            </w:r>
          </w:p>
        </w:tc>
        <w:tc>
          <w:tcPr>
            <w:tcW w:w="789" w:type="pct"/>
            <w:tcBorders>
              <w:top w:val="single" w:sz="4" w:space="0" w:color="auto"/>
              <w:left w:val="nil"/>
              <w:bottom w:val="single" w:sz="12" w:space="0" w:color="auto"/>
              <w:right w:val="nil"/>
            </w:tcBorders>
            <w:shd w:val="clear" w:color="auto" w:fill="auto"/>
            <w:vAlign w:val="bottom"/>
          </w:tcPr>
          <w:p w14:paraId="76F285E5" w14:textId="38D92C6E" w:rsidR="00EE3D7C" w:rsidRPr="00FB01C4" w:rsidRDefault="00EE3D7C" w:rsidP="00EE3D7C">
            <w:pPr>
              <w:tabs>
                <w:tab w:val="left" w:pos="-720"/>
              </w:tabs>
              <w:suppressAutoHyphens/>
              <w:spacing w:after="0" w:line="240" w:lineRule="auto"/>
              <w:ind w:right="-5"/>
              <w:jc w:val="right"/>
              <w:rPr>
                <w:rFonts w:eastAsia="Times New Roman" w:cs="Arial"/>
                <w:b/>
                <w:sz w:val="19"/>
                <w:szCs w:val="19"/>
              </w:rPr>
            </w:pPr>
            <w:r w:rsidRPr="000E5941">
              <w:rPr>
                <w:rFonts w:cs="Arial"/>
                <w:b/>
                <w:sz w:val="19"/>
                <w:szCs w:val="19"/>
              </w:rPr>
              <w:t>27.374.916</w:t>
            </w:r>
          </w:p>
        </w:tc>
      </w:tr>
    </w:tbl>
    <w:p w14:paraId="2AC02787" w14:textId="77777777" w:rsidR="001A6832" w:rsidRDefault="001A6832" w:rsidP="001A6832">
      <w:pPr>
        <w:pStyle w:val="T1"/>
        <w:spacing w:before="0" w:after="0" w:line="240" w:lineRule="auto"/>
        <w:ind w:left="709" w:hanging="709"/>
        <w:rPr>
          <w:rFonts w:asciiTheme="minorHAnsi" w:hAnsiTheme="minorHAnsi" w:cs="Arial"/>
          <w:sz w:val="22"/>
          <w:szCs w:val="22"/>
          <w:lang w:val="hr-HR"/>
        </w:rPr>
      </w:pPr>
    </w:p>
    <w:p w14:paraId="28B94042" w14:textId="77777777" w:rsidR="001A6832" w:rsidRDefault="001A6832" w:rsidP="00D43533">
      <w:pPr>
        <w:pStyle w:val="T1"/>
        <w:spacing w:before="0" w:after="0" w:line="240" w:lineRule="auto"/>
        <w:ind w:left="709" w:hanging="709"/>
        <w:rPr>
          <w:rFonts w:asciiTheme="minorHAnsi" w:hAnsiTheme="minorHAnsi" w:cs="Arial"/>
          <w:sz w:val="22"/>
          <w:szCs w:val="22"/>
          <w:lang w:val="hr-HR"/>
        </w:rPr>
        <w:sectPr w:rsidR="001A6832" w:rsidSect="00296BBE">
          <w:footerReference w:type="first" r:id="rId119"/>
          <w:pgSz w:w="11906" w:h="16838" w:code="9"/>
          <w:pgMar w:top="1418" w:right="1418" w:bottom="595" w:left="1134" w:header="709" w:footer="709" w:gutter="0"/>
          <w:cols w:space="708"/>
          <w:titlePg/>
          <w:docGrid w:linePitch="360"/>
        </w:sectPr>
      </w:pPr>
    </w:p>
    <w:p w14:paraId="65E2F220" w14:textId="77777777" w:rsidR="001A6832" w:rsidRDefault="001A6832" w:rsidP="00F1130C">
      <w:pPr>
        <w:pStyle w:val="T1"/>
        <w:spacing w:before="0" w:after="0" w:line="240" w:lineRule="auto"/>
        <w:rPr>
          <w:rFonts w:asciiTheme="minorHAnsi" w:hAnsiTheme="minorHAnsi" w:cs="Arial"/>
          <w:sz w:val="22"/>
          <w:szCs w:val="22"/>
          <w:lang w:val="hr-HR"/>
        </w:rPr>
      </w:pPr>
    </w:p>
    <w:p w14:paraId="4E6FA0C6" w14:textId="77777777" w:rsidR="00F75302" w:rsidRPr="00F75302" w:rsidRDefault="00F75302" w:rsidP="00F75302">
      <w:pPr>
        <w:keepNext/>
        <w:spacing w:after="0" w:line="240" w:lineRule="auto"/>
        <w:ind w:left="709" w:hanging="709"/>
        <w:jc w:val="both"/>
        <w:rPr>
          <w:rFonts w:eastAsia="Times New Roman" w:cs="Arial"/>
          <w:b/>
          <w:bCs/>
        </w:rPr>
      </w:pPr>
      <w:r w:rsidRPr="00F75302">
        <w:rPr>
          <w:rFonts w:eastAsia="Times New Roman" w:cs="Arial"/>
          <w:b/>
          <w:bCs/>
        </w:rPr>
        <w:t>16.        Upravljanje rizicima (nastavak)</w:t>
      </w:r>
    </w:p>
    <w:p w14:paraId="2B779C08" w14:textId="77777777" w:rsidR="00F75302" w:rsidRPr="00F75302" w:rsidRDefault="00F75302" w:rsidP="00F75302">
      <w:pPr>
        <w:keepNext/>
        <w:spacing w:after="0" w:line="240" w:lineRule="auto"/>
        <w:ind w:left="709" w:hanging="709"/>
        <w:jc w:val="both"/>
        <w:rPr>
          <w:rFonts w:eastAsia="Times New Roman" w:cs="Arial"/>
          <w:b/>
          <w:bCs/>
        </w:rPr>
      </w:pPr>
    </w:p>
    <w:p w14:paraId="26A9990D" w14:textId="77777777" w:rsidR="00F75302" w:rsidRPr="00F75302" w:rsidRDefault="00F75302" w:rsidP="00F75302">
      <w:pPr>
        <w:keepNext/>
        <w:spacing w:after="0" w:line="240" w:lineRule="auto"/>
        <w:ind w:left="709" w:hanging="709"/>
        <w:jc w:val="both"/>
        <w:rPr>
          <w:rFonts w:eastAsia="Times New Roman" w:cs="Arial"/>
          <w:b/>
          <w:bCs/>
        </w:rPr>
      </w:pPr>
      <w:r w:rsidRPr="00F75302">
        <w:rPr>
          <w:rFonts w:eastAsia="Times New Roman" w:cs="Arial"/>
          <w:b/>
          <w:bCs/>
        </w:rPr>
        <w:t>16.4.     Tržišni rizik (nastavak)</w:t>
      </w:r>
    </w:p>
    <w:p w14:paraId="53615FC3" w14:textId="77777777" w:rsidR="00F75302" w:rsidRPr="00F75302" w:rsidRDefault="00F75302" w:rsidP="00F75302">
      <w:pPr>
        <w:keepNext/>
        <w:spacing w:after="0" w:line="240" w:lineRule="auto"/>
        <w:ind w:left="709" w:hanging="709"/>
        <w:jc w:val="both"/>
        <w:rPr>
          <w:rFonts w:eastAsia="Times New Roman" w:cs="Arial"/>
          <w:b/>
          <w:bCs/>
        </w:rPr>
      </w:pPr>
    </w:p>
    <w:p w14:paraId="59A3A616" w14:textId="77777777" w:rsidR="00F75302" w:rsidRPr="00F75302" w:rsidRDefault="00F75302" w:rsidP="00F75302">
      <w:pPr>
        <w:keepNext/>
        <w:spacing w:after="0" w:line="240" w:lineRule="auto"/>
        <w:ind w:left="709" w:hanging="709"/>
        <w:jc w:val="both"/>
        <w:rPr>
          <w:rFonts w:eastAsia="Times New Roman" w:cs="Arial"/>
          <w:b/>
          <w:bCs/>
        </w:rPr>
      </w:pPr>
      <w:r w:rsidRPr="00F75302">
        <w:rPr>
          <w:rFonts w:eastAsia="Times New Roman" w:cs="Arial"/>
          <w:b/>
          <w:bCs/>
        </w:rPr>
        <w:t>16.4.1.  Kamatni rizik u knjizi banke (nastavak)</w:t>
      </w:r>
    </w:p>
    <w:p w14:paraId="7627898F" w14:textId="77777777" w:rsidR="00F75302" w:rsidRPr="00F75302" w:rsidRDefault="00F75302" w:rsidP="00F75302">
      <w:pPr>
        <w:keepNext/>
        <w:spacing w:after="0" w:line="240" w:lineRule="auto"/>
        <w:ind w:left="709" w:hanging="709"/>
        <w:jc w:val="both"/>
        <w:rPr>
          <w:rFonts w:eastAsia="Times New Roman" w:cs="Arial"/>
          <w:b/>
          <w:bCs/>
        </w:rPr>
      </w:pPr>
    </w:p>
    <w:p w14:paraId="65D51E8B" w14:textId="77777777" w:rsidR="00F75302" w:rsidRPr="00F75302" w:rsidRDefault="00F75302" w:rsidP="00F75302">
      <w:pPr>
        <w:spacing w:after="0" w:line="240" w:lineRule="auto"/>
        <w:jc w:val="both"/>
        <w:rPr>
          <w:rFonts w:eastAsia="Times New Roman" w:cs="Arial"/>
          <w:b/>
          <w:bCs/>
        </w:rPr>
      </w:pPr>
      <w:r w:rsidRPr="00F75302">
        <w:rPr>
          <w:rFonts w:eastAsia="Times New Roman" w:cs="Arial"/>
          <w:b/>
          <w:bCs/>
        </w:rPr>
        <w:t>Analiza osjetljivosti</w:t>
      </w:r>
    </w:p>
    <w:p w14:paraId="3C01B468" w14:textId="77777777" w:rsidR="00F75302" w:rsidRPr="00F75302" w:rsidRDefault="00F75302" w:rsidP="00F75302">
      <w:pPr>
        <w:spacing w:after="0" w:line="240" w:lineRule="auto"/>
        <w:jc w:val="both"/>
        <w:rPr>
          <w:rFonts w:eastAsia="Times New Roman" w:cs="Arial"/>
          <w:b/>
          <w:bCs/>
        </w:rPr>
      </w:pPr>
    </w:p>
    <w:p w14:paraId="2872C190" w14:textId="77777777" w:rsidR="00F75302" w:rsidRPr="00F75302" w:rsidRDefault="00F75302" w:rsidP="00F75302">
      <w:pPr>
        <w:keepNext/>
        <w:spacing w:after="0" w:line="240" w:lineRule="auto"/>
        <w:jc w:val="both"/>
        <w:rPr>
          <w:rFonts w:eastAsia="Times New Roman" w:cs="Arial"/>
        </w:rPr>
      </w:pPr>
      <w:r w:rsidRPr="00F75302">
        <w:rPr>
          <w:rFonts w:eastAsia="Times New Roman" w:cs="Arial"/>
        </w:rPr>
        <w:t>Postavke korištene u izradi analize osjetljivosti za kamatni rizik vezane su uz moguće promjene referentnih kamatnih stopa radi procjene hipotetskog utjecaja na dobit HBOR-a.</w:t>
      </w:r>
    </w:p>
    <w:p w14:paraId="55788B9A" w14:textId="77777777" w:rsidR="00F75302" w:rsidRPr="00F75302" w:rsidRDefault="00F75302" w:rsidP="00F75302">
      <w:pPr>
        <w:keepNext/>
        <w:spacing w:after="0" w:line="240" w:lineRule="auto"/>
        <w:jc w:val="both"/>
        <w:rPr>
          <w:rFonts w:eastAsia="Times New Roman" w:cs="Arial"/>
        </w:rPr>
      </w:pPr>
    </w:p>
    <w:p w14:paraId="0C906811" w14:textId="77777777" w:rsidR="00F75302" w:rsidRPr="00F75302" w:rsidRDefault="00F75302" w:rsidP="00F75302">
      <w:pPr>
        <w:keepNext/>
        <w:spacing w:after="0" w:line="240" w:lineRule="auto"/>
        <w:jc w:val="both"/>
        <w:rPr>
          <w:rFonts w:eastAsia="Times New Roman" w:cs="Arial"/>
        </w:rPr>
      </w:pPr>
      <w:r w:rsidRPr="00F75302">
        <w:rPr>
          <w:rFonts w:eastAsia="Times New Roman" w:cs="Arial"/>
        </w:rPr>
        <w:t>Primjenom metode standardne devijacije na dnevne promjene referentnih kamatnih stopa vezanih uz EUR</w:t>
      </w:r>
      <w:r w:rsidRPr="00F75302">
        <w:rPr>
          <w:rFonts w:eastAsia="Times New Roman" w:cs="Times New Roman"/>
        </w:rPr>
        <w:t xml:space="preserve"> </w:t>
      </w:r>
      <w:r w:rsidRPr="00F75302">
        <w:rPr>
          <w:rFonts w:eastAsia="Times New Roman" w:cs="Arial"/>
        </w:rPr>
        <w:t xml:space="preserve">i USD utvrđena je </w:t>
      </w:r>
      <w:proofErr w:type="spellStart"/>
      <w:r w:rsidRPr="00F75302">
        <w:rPr>
          <w:rFonts w:eastAsia="Times New Roman" w:cs="Arial"/>
        </w:rPr>
        <w:t>volatilnost</w:t>
      </w:r>
      <w:proofErr w:type="spellEnd"/>
      <w:r w:rsidRPr="00F75302">
        <w:rPr>
          <w:rFonts w:eastAsia="Times New Roman" w:cs="Arial"/>
        </w:rPr>
        <w:t xml:space="preserve"> navedenih stopa u razdoblju od prethodnih 12 mjeseci. Temeljem ovih </w:t>
      </w:r>
      <w:proofErr w:type="spellStart"/>
      <w:r w:rsidRPr="00F75302">
        <w:rPr>
          <w:rFonts w:eastAsia="Times New Roman" w:cs="Arial"/>
        </w:rPr>
        <w:t>volatilnosti</w:t>
      </w:r>
      <w:proofErr w:type="spellEnd"/>
      <w:r w:rsidRPr="00F75302">
        <w:rPr>
          <w:rFonts w:eastAsia="Times New Roman" w:cs="Arial"/>
        </w:rPr>
        <w:t xml:space="preserve"> utvrđene su veličine mogućih promjena referentnih kamatnih stopa vezanih uz EUR</w:t>
      </w:r>
      <w:r w:rsidRPr="00F75302">
        <w:rPr>
          <w:rFonts w:eastAsia="Times New Roman" w:cs="Times New Roman"/>
        </w:rPr>
        <w:t xml:space="preserve"> </w:t>
      </w:r>
      <w:r w:rsidRPr="00F75302">
        <w:rPr>
          <w:rFonts w:eastAsia="Times New Roman" w:cs="Arial"/>
        </w:rPr>
        <w:t>i USD koje su primijenjene u analizi osjetljivosti.</w:t>
      </w:r>
    </w:p>
    <w:p w14:paraId="1AF514D7" w14:textId="77777777" w:rsidR="00F75302" w:rsidRPr="00F75302" w:rsidRDefault="00F75302" w:rsidP="00F75302">
      <w:pPr>
        <w:keepNext/>
        <w:spacing w:after="0" w:line="240" w:lineRule="auto"/>
        <w:jc w:val="both"/>
        <w:rPr>
          <w:rFonts w:eastAsia="Times New Roman" w:cs="Arial"/>
        </w:rPr>
      </w:pPr>
    </w:p>
    <w:p w14:paraId="472D4C94" w14:textId="77777777" w:rsidR="00F75302" w:rsidRPr="00F75302" w:rsidRDefault="00F75302" w:rsidP="00F75302">
      <w:pPr>
        <w:keepNext/>
        <w:spacing w:after="0" w:line="240" w:lineRule="auto"/>
        <w:jc w:val="both"/>
        <w:rPr>
          <w:rFonts w:eastAsia="Times New Roman" w:cs="Arial"/>
          <w:bCs/>
        </w:rPr>
      </w:pPr>
      <w:r w:rsidRPr="00F75302">
        <w:rPr>
          <w:rFonts w:eastAsia="Times New Roman" w:cs="Arial"/>
          <w:bCs/>
        </w:rPr>
        <w:t>Analiza prikazuje osjetljivost na razumno očekivane promjene bazičnih bodova promjenjivih kamatnih stopa. Sve ostale varijable ostaju nepromijenjene.</w:t>
      </w:r>
    </w:p>
    <w:p w14:paraId="2FDFA6C1" w14:textId="77777777" w:rsidR="00F75302" w:rsidRPr="00F75302" w:rsidRDefault="00F75302" w:rsidP="00F75302">
      <w:pPr>
        <w:keepNext/>
        <w:spacing w:after="0" w:line="240" w:lineRule="auto"/>
        <w:jc w:val="both"/>
        <w:rPr>
          <w:rFonts w:eastAsia="Times New Roman" w:cs="Arial"/>
          <w:bCs/>
        </w:rPr>
      </w:pPr>
    </w:p>
    <w:p w14:paraId="320CFD8D" w14:textId="77777777" w:rsidR="00F75302" w:rsidRPr="00F75302" w:rsidRDefault="00F75302" w:rsidP="00F75302">
      <w:pPr>
        <w:keepNext/>
        <w:spacing w:after="0" w:line="240" w:lineRule="auto"/>
        <w:jc w:val="both"/>
        <w:rPr>
          <w:rFonts w:eastAsia="Times New Roman" w:cs="Arial"/>
          <w:bCs/>
        </w:rPr>
      </w:pPr>
      <w:r w:rsidRPr="00F75302">
        <w:rPr>
          <w:rFonts w:eastAsia="Times New Roman" w:cs="Arial"/>
          <w:bCs/>
        </w:rPr>
        <w:t xml:space="preserve">Osjetljivost dobiti je pod utjecajem pretpostavljenih promjena u kamatnim stopama u razdoblju od godine dana, bazirano na </w:t>
      </w:r>
      <w:proofErr w:type="spellStart"/>
      <w:r w:rsidRPr="00F75302">
        <w:rPr>
          <w:rFonts w:eastAsia="Times New Roman" w:cs="Arial"/>
          <w:bCs/>
        </w:rPr>
        <w:t>kamatonosnoj</w:t>
      </w:r>
      <w:proofErr w:type="spellEnd"/>
      <w:r w:rsidRPr="00F75302">
        <w:rPr>
          <w:rFonts w:eastAsia="Times New Roman" w:cs="Arial"/>
          <w:bCs/>
        </w:rPr>
        <w:t xml:space="preserve"> imovini i obvezama uz promjenjivu kamatnu stopu.</w:t>
      </w:r>
    </w:p>
    <w:p w14:paraId="3767CFFB" w14:textId="77777777" w:rsidR="00F75302" w:rsidRPr="00F75302" w:rsidRDefault="00F75302" w:rsidP="00F75302">
      <w:pPr>
        <w:keepNext/>
        <w:spacing w:after="0" w:line="240" w:lineRule="auto"/>
        <w:jc w:val="both"/>
        <w:rPr>
          <w:rFonts w:eastAsia="Times New Roman" w:cs="Arial"/>
          <w:bCs/>
        </w:rPr>
      </w:pPr>
    </w:p>
    <w:p w14:paraId="24A2AE25" w14:textId="77777777" w:rsidR="00F75302" w:rsidRPr="00F75302" w:rsidRDefault="00F75302" w:rsidP="00F75302">
      <w:pPr>
        <w:keepNext/>
        <w:spacing w:after="0" w:line="240" w:lineRule="auto"/>
        <w:jc w:val="both"/>
        <w:rPr>
          <w:rFonts w:eastAsia="Times New Roman" w:cs="Arial"/>
          <w:bCs/>
        </w:rPr>
      </w:pPr>
    </w:p>
    <w:tbl>
      <w:tblPr>
        <w:tblW w:w="5000" w:type="pct"/>
        <w:jc w:val="center"/>
        <w:tblLook w:val="01E0" w:firstRow="1" w:lastRow="1" w:firstColumn="1" w:lastColumn="1" w:noHBand="0" w:noVBand="0"/>
      </w:tblPr>
      <w:tblGrid>
        <w:gridCol w:w="2412"/>
        <w:gridCol w:w="1734"/>
        <w:gridCol w:w="1736"/>
        <w:gridCol w:w="1736"/>
        <w:gridCol w:w="1736"/>
      </w:tblGrid>
      <w:tr w:rsidR="00F75302" w:rsidRPr="00F75302" w14:paraId="22443DF6" w14:textId="77777777" w:rsidTr="00F75302">
        <w:trPr>
          <w:trHeight w:hRule="exact" w:val="814"/>
          <w:jc w:val="center"/>
        </w:trPr>
        <w:tc>
          <w:tcPr>
            <w:tcW w:w="1289" w:type="pct"/>
            <w:shd w:val="clear" w:color="auto" w:fill="auto"/>
          </w:tcPr>
          <w:p w14:paraId="0FFF92BE" w14:textId="77777777" w:rsidR="00F75302" w:rsidRPr="00F75302" w:rsidRDefault="00F75302" w:rsidP="00F75302">
            <w:pPr>
              <w:spacing w:before="240" w:after="120" w:line="360" w:lineRule="auto"/>
              <w:rPr>
                <w:rFonts w:eastAsia="Times New Roman" w:cs="Arial"/>
                <w:bCs/>
                <w:sz w:val="20"/>
                <w:szCs w:val="20"/>
              </w:rPr>
            </w:pPr>
            <w:r w:rsidRPr="00F75302">
              <w:rPr>
                <w:rFonts w:eastAsia="Times New Roman" w:cs="Arial"/>
                <w:b/>
                <w:bCs/>
                <w:sz w:val="20"/>
                <w:szCs w:val="20"/>
              </w:rPr>
              <w:t>Valuta</w:t>
            </w:r>
          </w:p>
        </w:tc>
        <w:tc>
          <w:tcPr>
            <w:tcW w:w="927" w:type="pct"/>
            <w:shd w:val="clear" w:color="auto" w:fill="auto"/>
          </w:tcPr>
          <w:p w14:paraId="5AAD3992"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bCs/>
                <w:sz w:val="20"/>
                <w:szCs w:val="20"/>
              </w:rPr>
              <w:t xml:space="preserve">Povećanje bazičnih bodova </w:t>
            </w:r>
          </w:p>
          <w:p w14:paraId="428678DF" w14:textId="6BE8C0C2" w:rsidR="00F75302" w:rsidRPr="00F75302" w:rsidRDefault="003E4896">
            <w:pPr>
              <w:spacing w:after="0" w:line="0" w:lineRule="atLeast"/>
              <w:jc w:val="right"/>
              <w:rPr>
                <w:rFonts w:eastAsia="Times New Roman" w:cs="Arial"/>
                <w:b/>
                <w:bCs/>
                <w:sz w:val="20"/>
                <w:szCs w:val="20"/>
              </w:rPr>
            </w:pPr>
            <w:r>
              <w:rPr>
                <w:rFonts w:eastAsia="Times New Roman" w:cs="Arial"/>
                <w:b/>
                <w:bCs/>
                <w:sz w:val="20"/>
                <w:szCs w:val="20"/>
              </w:rPr>
              <w:t xml:space="preserve">1.1. - </w:t>
            </w:r>
            <w:r w:rsidR="00F27563">
              <w:rPr>
                <w:rFonts w:eastAsia="Times New Roman" w:cs="Arial"/>
                <w:b/>
                <w:bCs/>
                <w:sz w:val="20"/>
                <w:szCs w:val="20"/>
              </w:rPr>
              <w:t>30</w:t>
            </w:r>
            <w:r w:rsidR="00EE3D7C">
              <w:rPr>
                <w:rFonts w:eastAsia="Times New Roman" w:cs="Arial"/>
                <w:b/>
                <w:bCs/>
                <w:sz w:val="20"/>
                <w:szCs w:val="20"/>
              </w:rPr>
              <w:t>.</w:t>
            </w:r>
            <w:r w:rsidR="00F27563">
              <w:rPr>
                <w:rFonts w:eastAsia="Times New Roman" w:cs="Arial"/>
                <w:b/>
                <w:bCs/>
                <w:sz w:val="20"/>
                <w:szCs w:val="20"/>
              </w:rPr>
              <w:t>6</w:t>
            </w:r>
            <w:r w:rsidR="00EE3D7C">
              <w:rPr>
                <w:rFonts w:eastAsia="Times New Roman" w:cs="Arial"/>
                <w:b/>
                <w:bCs/>
                <w:sz w:val="20"/>
                <w:szCs w:val="20"/>
              </w:rPr>
              <w:t>.2017.</w:t>
            </w:r>
          </w:p>
        </w:tc>
        <w:tc>
          <w:tcPr>
            <w:tcW w:w="928" w:type="pct"/>
            <w:shd w:val="clear" w:color="auto" w:fill="auto"/>
          </w:tcPr>
          <w:p w14:paraId="3BD7CCE4"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bCs/>
                <w:sz w:val="20"/>
                <w:szCs w:val="20"/>
              </w:rPr>
              <w:t xml:space="preserve">Utjecaj </w:t>
            </w:r>
          </w:p>
          <w:p w14:paraId="60DC2469"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bCs/>
                <w:sz w:val="20"/>
                <w:szCs w:val="20"/>
              </w:rPr>
              <w:t>na dobit</w:t>
            </w:r>
          </w:p>
          <w:p w14:paraId="786DCB53" w14:textId="4B84C1B5" w:rsidR="00F75302" w:rsidRPr="004B42E3" w:rsidRDefault="00491F0E" w:rsidP="004B42E3">
            <w:pPr>
              <w:pStyle w:val="ListParagraph"/>
              <w:numPr>
                <w:ilvl w:val="1"/>
                <w:numId w:val="32"/>
              </w:numPr>
              <w:spacing w:after="0" w:line="0" w:lineRule="atLeast"/>
              <w:jc w:val="right"/>
              <w:rPr>
                <w:rFonts w:eastAsia="Times New Roman" w:cs="Arial"/>
                <w:b/>
                <w:bCs/>
                <w:sz w:val="20"/>
                <w:szCs w:val="20"/>
              </w:rPr>
            </w:pPr>
            <w:r>
              <w:rPr>
                <w:rFonts w:eastAsia="Times New Roman" w:cs="Arial"/>
                <w:b/>
                <w:bCs/>
                <w:sz w:val="20"/>
                <w:szCs w:val="20"/>
              </w:rPr>
              <w:t xml:space="preserve">- </w:t>
            </w:r>
            <w:r w:rsidR="00F27563" w:rsidRPr="004B42E3">
              <w:rPr>
                <w:rFonts w:eastAsia="Times New Roman" w:cs="Arial"/>
                <w:b/>
                <w:bCs/>
                <w:sz w:val="20"/>
                <w:szCs w:val="20"/>
              </w:rPr>
              <w:t>30</w:t>
            </w:r>
            <w:r w:rsidR="00EE3D7C" w:rsidRPr="004B42E3">
              <w:rPr>
                <w:rFonts w:eastAsia="Times New Roman" w:cs="Arial"/>
                <w:b/>
                <w:bCs/>
                <w:sz w:val="20"/>
                <w:szCs w:val="20"/>
              </w:rPr>
              <w:t>.</w:t>
            </w:r>
            <w:r w:rsidR="00F27563" w:rsidRPr="004B42E3">
              <w:rPr>
                <w:rFonts w:eastAsia="Times New Roman" w:cs="Arial"/>
                <w:b/>
                <w:bCs/>
                <w:sz w:val="20"/>
                <w:szCs w:val="20"/>
              </w:rPr>
              <w:t>6</w:t>
            </w:r>
            <w:r w:rsidR="00EE3D7C" w:rsidRPr="004B42E3">
              <w:rPr>
                <w:rFonts w:eastAsia="Times New Roman" w:cs="Arial"/>
                <w:b/>
                <w:bCs/>
                <w:sz w:val="20"/>
                <w:szCs w:val="20"/>
              </w:rPr>
              <w:t>.2017</w:t>
            </w:r>
            <w:r w:rsidR="00F75302" w:rsidRPr="004B42E3">
              <w:rPr>
                <w:rFonts w:eastAsia="Times New Roman" w:cs="Arial"/>
                <w:b/>
                <w:bCs/>
                <w:sz w:val="20"/>
                <w:szCs w:val="20"/>
              </w:rPr>
              <w:t>.</w:t>
            </w:r>
          </w:p>
        </w:tc>
        <w:tc>
          <w:tcPr>
            <w:tcW w:w="928" w:type="pct"/>
            <w:shd w:val="clear" w:color="auto" w:fill="auto"/>
          </w:tcPr>
          <w:p w14:paraId="271E20AC"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bCs/>
                <w:sz w:val="20"/>
                <w:szCs w:val="20"/>
              </w:rPr>
              <w:t xml:space="preserve">Povećanje bazičnih bodova </w:t>
            </w:r>
          </w:p>
          <w:p w14:paraId="49D82127" w14:textId="410976C3" w:rsidR="00F75302" w:rsidRPr="00F75302" w:rsidRDefault="00A44510" w:rsidP="00EE3D7C">
            <w:pPr>
              <w:spacing w:after="0" w:line="0" w:lineRule="atLeast"/>
              <w:jc w:val="right"/>
              <w:rPr>
                <w:rFonts w:eastAsia="Times New Roman" w:cs="Arial"/>
                <w:b/>
                <w:bCs/>
                <w:sz w:val="20"/>
                <w:szCs w:val="20"/>
              </w:rPr>
            </w:pPr>
            <w:r>
              <w:rPr>
                <w:rFonts w:eastAsia="Times New Roman" w:cs="Arial"/>
                <w:b/>
                <w:bCs/>
                <w:sz w:val="20"/>
                <w:szCs w:val="20"/>
              </w:rPr>
              <w:t>1.1. – 31.12.</w:t>
            </w:r>
            <w:r w:rsidR="00F75302" w:rsidRPr="00F75302">
              <w:rPr>
                <w:rFonts w:eastAsia="Times New Roman" w:cs="Arial"/>
                <w:b/>
                <w:bCs/>
                <w:sz w:val="20"/>
                <w:szCs w:val="20"/>
              </w:rPr>
              <w:t>201</w:t>
            </w:r>
            <w:r w:rsidR="00EE3D7C">
              <w:rPr>
                <w:rFonts w:eastAsia="Times New Roman" w:cs="Arial"/>
                <w:b/>
                <w:bCs/>
                <w:sz w:val="20"/>
                <w:szCs w:val="20"/>
              </w:rPr>
              <w:t>6</w:t>
            </w:r>
            <w:r w:rsidR="00F75302" w:rsidRPr="00F75302">
              <w:rPr>
                <w:rFonts w:eastAsia="Times New Roman" w:cs="Arial"/>
                <w:b/>
                <w:bCs/>
                <w:sz w:val="20"/>
                <w:szCs w:val="20"/>
              </w:rPr>
              <w:t>.</w:t>
            </w:r>
          </w:p>
        </w:tc>
        <w:tc>
          <w:tcPr>
            <w:tcW w:w="928" w:type="pct"/>
            <w:shd w:val="clear" w:color="auto" w:fill="auto"/>
          </w:tcPr>
          <w:p w14:paraId="037CB7A1"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bCs/>
                <w:sz w:val="20"/>
                <w:szCs w:val="20"/>
              </w:rPr>
              <w:t xml:space="preserve">Utjecaj </w:t>
            </w:r>
          </w:p>
          <w:p w14:paraId="629D4286"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bCs/>
                <w:sz w:val="20"/>
                <w:szCs w:val="20"/>
              </w:rPr>
              <w:t>na dobit</w:t>
            </w:r>
          </w:p>
          <w:p w14:paraId="460E00DF" w14:textId="70383D4F" w:rsidR="00F75302" w:rsidRPr="00F75302" w:rsidRDefault="00A44510" w:rsidP="00EE3D7C">
            <w:pPr>
              <w:spacing w:after="0" w:line="0" w:lineRule="atLeast"/>
              <w:jc w:val="right"/>
              <w:rPr>
                <w:rFonts w:eastAsia="Times New Roman" w:cs="Arial"/>
                <w:b/>
                <w:bCs/>
                <w:sz w:val="20"/>
                <w:szCs w:val="20"/>
              </w:rPr>
            </w:pPr>
            <w:r>
              <w:rPr>
                <w:rFonts w:eastAsia="Times New Roman" w:cs="Arial"/>
                <w:b/>
                <w:bCs/>
                <w:sz w:val="20"/>
                <w:szCs w:val="20"/>
              </w:rPr>
              <w:t>1.1. – 31.12.</w:t>
            </w:r>
            <w:r w:rsidR="00F75302" w:rsidRPr="00F75302">
              <w:rPr>
                <w:rFonts w:eastAsia="Times New Roman" w:cs="Arial"/>
                <w:b/>
                <w:bCs/>
                <w:sz w:val="20"/>
                <w:szCs w:val="20"/>
              </w:rPr>
              <w:t>201</w:t>
            </w:r>
            <w:r w:rsidR="00EE3D7C">
              <w:rPr>
                <w:rFonts w:eastAsia="Times New Roman" w:cs="Arial"/>
                <w:b/>
                <w:bCs/>
                <w:sz w:val="20"/>
                <w:szCs w:val="20"/>
              </w:rPr>
              <w:t>6</w:t>
            </w:r>
            <w:r w:rsidR="00F75302" w:rsidRPr="00F75302">
              <w:rPr>
                <w:rFonts w:eastAsia="Times New Roman" w:cs="Arial"/>
                <w:b/>
                <w:bCs/>
                <w:sz w:val="20"/>
                <w:szCs w:val="20"/>
              </w:rPr>
              <w:t>.</w:t>
            </w:r>
          </w:p>
        </w:tc>
      </w:tr>
      <w:tr w:rsidR="00F75302" w:rsidRPr="00F75302" w14:paraId="3E3BD353" w14:textId="77777777" w:rsidTr="00F75302">
        <w:trPr>
          <w:trHeight w:hRule="exact" w:val="331"/>
          <w:jc w:val="center"/>
        </w:trPr>
        <w:tc>
          <w:tcPr>
            <w:tcW w:w="1289" w:type="pct"/>
            <w:shd w:val="clear" w:color="auto" w:fill="auto"/>
          </w:tcPr>
          <w:p w14:paraId="2F09BCC4" w14:textId="77777777" w:rsidR="00F75302" w:rsidRPr="00F75302" w:rsidRDefault="00F75302" w:rsidP="00F75302">
            <w:pPr>
              <w:spacing w:before="240" w:after="120" w:line="360" w:lineRule="auto"/>
              <w:jc w:val="both"/>
              <w:rPr>
                <w:rFonts w:eastAsia="Times New Roman" w:cs="Arial"/>
                <w:bCs/>
                <w:sz w:val="20"/>
                <w:szCs w:val="20"/>
              </w:rPr>
            </w:pPr>
          </w:p>
        </w:tc>
        <w:tc>
          <w:tcPr>
            <w:tcW w:w="927" w:type="pct"/>
            <w:shd w:val="clear" w:color="auto" w:fill="auto"/>
            <w:vAlign w:val="center"/>
          </w:tcPr>
          <w:p w14:paraId="239B8019" w14:textId="77777777" w:rsidR="00F75302" w:rsidRPr="00F75302" w:rsidRDefault="00F75302" w:rsidP="00F75302">
            <w:pPr>
              <w:spacing w:after="0" w:line="0" w:lineRule="atLeast"/>
              <w:jc w:val="right"/>
              <w:rPr>
                <w:rFonts w:eastAsia="Times New Roman" w:cs="Arial"/>
                <w:b/>
                <w:bCs/>
                <w:sz w:val="20"/>
                <w:szCs w:val="20"/>
              </w:rPr>
            </w:pPr>
          </w:p>
        </w:tc>
        <w:tc>
          <w:tcPr>
            <w:tcW w:w="928" w:type="pct"/>
            <w:shd w:val="clear" w:color="auto" w:fill="auto"/>
            <w:vAlign w:val="center"/>
          </w:tcPr>
          <w:p w14:paraId="1F8E1135"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sz w:val="20"/>
                <w:szCs w:val="20"/>
              </w:rPr>
              <w:t>000 kuna</w:t>
            </w:r>
          </w:p>
        </w:tc>
        <w:tc>
          <w:tcPr>
            <w:tcW w:w="928" w:type="pct"/>
            <w:shd w:val="clear" w:color="auto" w:fill="auto"/>
            <w:vAlign w:val="center"/>
          </w:tcPr>
          <w:p w14:paraId="2836D4BB" w14:textId="77777777" w:rsidR="00F75302" w:rsidRPr="00F75302" w:rsidRDefault="00F75302" w:rsidP="00F75302">
            <w:pPr>
              <w:spacing w:after="0" w:line="0" w:lineRule="atLeast"/>
              <w:jc w:val="right"/>
              <w:rPr>
                <w:rFonts w:eastAsia="Times New Roman" w:cs="Arial"/>
                <w:b/>
                <w:bCs/>
                <w:sz w:val="20"/>
                <w:szCs w:val="20"/>
              </w:rPr>
            </w:pPr>
          </w:p>
        </w:tc>
        <w:tc>
          <w:tcPr>
            <w:tcW w:w="928" w:type="pct"/>
            <w:shd w:val="clear" w:color="auto" w:fill="auto"/>
            <w:vAlign w:val="center"/>
          </w:tcPr>
          <w:p w14:paraId="5A8BBF6E"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sz w:val="20"/>
                <w:szCs w:val="20"/>
              </w:rPr>
              <w:t>000 kuna</w:t>
            </w:r>
          </w:p>
        </w:tc>
      </w:tr>
      <w:tr w:rsidR="00F75302" w:rsidRPr="00F75302" w14:paraId="57015AF1" w14:textId="77777777" w:rsidTr="00F75302">
        <w:trPr>
          <w:trHeight w:hRule="exact" w:val="113"/>
          <w:jc w:val="center"/>
        </w:trPr>
        <w:tc>
          <w:tcPr>
            <w:tcW w:w="1289" w:type="pct"/>
            <w:shd w:val="clear" w:color="auto" w:fill="auto"/>
          </w:tcPr>
          <w:p w14:paraId="1826F45E" w14:textId="77777777" w:rsidR="00F75302" w:rsidRPr="00F75302" w:rsidRDefault="00F75302" w:rsidP="00F75302">
            <w:pPr>
              <w:spacing w:before="240" w:after="120" w:line="360" w:lineRule="auto"/>
              <w:jc w:val="both"/>
              <w:rPr>
                <w:rFonts w:eastAsia="Times New Roman" w:cs="Arial"/>
                <w:bCs/>
                <w:sz w:val="20"/>
                <w:szCs w:val="20"/>
              </w:rPr>
            </w:pPr>
          </w:p>
        </w:tc>
        <w:tc>
          <w:tcPr>
            <w:tcW w:w="927" w:type="pct"/>
            <w:shd w:val="clear" w:color="auto" w:fill="auto"/>
            <w:vAlign w:val="center"/>
          </w:tcPr>
          <w:p w14:paraId="29796C21" w14:textId="77777777" w:rsidR="00F75302" w:rsidRPr="00F75302" w:rsidRDefault="00F75302" w:rsidP="00F75302">
            <w:pPr>
              <w:spacing w:after="0" w:line="0" w:lineRule="atLeast"/>
              <w:jc w:val="right"/>
              <w:rPr>
                <w:rFonts w:eastAsia="Times New Roman" w:cs="Arial"/>
                <w:b/>
                <w:bCs/>
                <w:sz w:val="20"/>
                <w:szCs w:val="20"/>
              </w:rPr>
            </w:pPr>
          </w:p>
        </w:tc>
        <w:tc>
          <w:tcPr>
            <w:tcW w:w="928" w:type="pct"/>
            <w:shd w:val="clear" w:color="auto" w:fill="auto"/>
            <w:vAlign w:val="center"/>
          </w:tcPr>
          <w:p w14:paraId="3235E762" w14:textId="77777777" w:rsidR="00F75302" w:rsidRPr="00F75302" w:rsidRDefault="00F75302" w:rsidP="00F75302">
            <w:pPr>
              <w:spacing w:after="0" w:line="0" w:lineRule="atLeast"/>
              <w:jc w:val="right"/>
              <w:rPr>
                <w:rFonts w:eastAsia="Times New Roman" w:cs="Arial"/>
                <w:b/>
                <w:sz w:val="20"/>
                <w:szCs w:val="20"/>
              </w:rPr>
            </w:pPr>
          </w:p>
        </w:tc>
        <w:tc>
          <w:tcPr>
            <w:tcW w:w="928" w:type="pct"/>
            <w:shd w:val="clear" w:color="auto" w:fill="auto"/>
            <w:vAlign w:val="center"/>
          </w:tcPr>
          <w:p w14:paraId="58FA79AF" w14:textId="77777777" w:rsidR="00F75302" w:rsidRPr="00F75302" w:rsidRDefault="00F75302" w:rsidP="00F75302">
            <w:pPr>
              <w:spacing w:after="0" w:line="0" w:lineRule="atLeast"/>
              <w:jc w:val="right"/>
              <w:rPr>
                <w:rFonts w:eastAsia="Times New Roman" w:cs="Arial"/>
                <w:b/>
                <w:bCs/>
                <w:sz w:val="20"/>
                <w:szCs w:val="20"/>
              </w:rPr>
            </w:pPr>
          </w:p>
        </w:tc>
        <w:tc>
          <w:tcPr>
            <w:tcW w:w="928" w:type="pct"/>
            <w:shd w:val="clear" w:color="auto" w:fill="auto"/>
            <w:vAlign w:val="center"/>
          </w:tcPr>
          <w:p w14:paraId="1C1B1BAC" w14:textId="77777777" w:rsidR="00F75302" w:rsidRPr="00F75302" w:rsidRDefault="00F75302" w:rsidP="00F75302">
            <w:pPr>
              <w:spacing w:after="0" w:line="0" w:lineRule="atLeast"/>
              <w:jc w:val="right"/>
              <w:rPr>
                <w:rFonts w:eastAsia="Times New Roman" w:cs="Arial"/>
                <w:b/>
                <w:sz w:val="20"/>
                <w:szCs w:val="20"/>
              </w:rPr>
            </w:pPr>
          </w:p>
        </w:tc>
      </w:tr>
      <w:tr w:rsidR="00EE3D7C" w:rsidRPr="00F75302" w14:paraId="097D2D58" w14:textId="77777777" w:rsidTr="00EE3D7C">
        <w:trPr>
          <w:trHeight w:hRule="exact" w:val="284"/>
          <w:jc w:val="center"/>
        </w:trPr>
        <w:tc>
          <w:tcPr>
            <w:tcW w:w="1289" w:type="pct"/>
            <w:shd w:val="clear" w:color="auto" w:fill="auto"/>
            <w:vAlign w:val="center"/>
          </w:tcPr>
          <w:p w14:paraId="6A0AB800" w14:textId="77777777" w:rsidR="00EE3D7C" w:rsidRPr="00F75302" w:rsidRDefault="00EE3D7C" w:rsidP="00EE3D7C">
            <w:pPr>
              <w:spacing w:after="0" w:line="360" w:lineRule="auto"/>
              <w:jc w:val="both"/>
              <w:rPr>
                <w:rFonts w:eastAsia="Times New Roman" w:cs="Arial"/>
                <w:bCs/>
                <w:sz w:val="20"/>
                <w:szCs w:val="20"/>
              </w:rPr>
            </w:pPr>
            <w:r w:rsidRPr="00F75302">
              <w:rPr>
                <w:rFonts w:eastAsia="Times New Roman" w:cs="Arial"/>
                <w:bCs/>
                <w:sz w:val="20"/>
                <w:szCs w:val="20"/>
              </w:rPr>
              <w:t xml:space="preserve">EUR      </w:t>
            </w:r>
          </w:p>
        </w:tc>
        <w:tc>
          <w:tcPr>
            <w:tcW w:w="927" w:type="pct"/>
            <w:shd w:val="clear" w:color="auto" w:fill="auto"/>
            <w:vAlign w:val="center"/>
          </w:tcPr>
          <w:p w14:paraId="3841B9C8" w14:textId="20023A0C" w:rsidR="00EE3D7C" w:rsidRPr="00A06A6F" w:rsidRDefault="00B674DB" w:rsidP="00EE3D7C">
            <w:pPr>
              <w:spacing w:after="0" w:line="360" w:lineRule="auto"/>
              <w:jc w:val="right"/>
              <w:rPr>
                <w:rFonts w:eastAsia="Times New Roman" w:cs="Arial"/>
                <w:bCs/>
                <w:sz w:val="20"/>
                <w:szCs w:val="20"/>
              </w:rPr>
            </w:pPr>
            <w:r>
              <w:rPr>
                <w:rFonts w:eastAsia="Times New Roman" w:cs="Arial"/>
                <w:bCs/>
                <w:sz w:val="20"/>
                <w:szCs w:val="20"/>
              </w:rPr>
              <w:t>+2</w:t>
            </w:r>
          </w:p>
        </w:tc>
        <w:tc>
          <w:tcPr>
            <w:tcW w:w="928" w:type="pct"/>
            <w:shd w:val="clear" w:color="auto" w:fill="auto"/>
            <w:vAlign w:val="center"/>
          </w:tcPr>
          <w:p w14:paraId="4C810911" w14:textId="1079AE16" w:rsidR="00EE3D7C" w:rsidRPr="00A06A6F" w:rsidRDefault="00B674DB" w:rsidP="00EE3D7C">
            <w:pPr>
              <w:spacing w:after="0" w:line="360" w:lineRule="auto"/>
              <w:jc w:val="right"/>
              <w:rPr>
                <w:rFonts w:eastAsia="Times New Roman" w:cs="Arial"/>
                <w:bCs/>
                <w:sz w:val="20"/>
                <w:szCs w:val="20"/>
              </w:rPr>
            </w:pPr>
            <w:r>
              <w:rPr>
                <w:rFonts w:eastAsia="Times New Roman" w:cs="Arial"/>
                <w:bCs/>
                <w:sz w:val="20"/>
                <w:szCs w:val="20"/>
              </w:rPr>
              <w:t>225</w:t>
            </w:r>
          </w:p>
        </w:tc>
        <w:tc>
          <w:tcPr>
            <w:tcW w:w="928" w:type="pct"/>
            <w:shd w:val="clear" w:color="auto" w:fill="auto"/>
            <w:vAlign w:val="center"/>
          </w:tcPr>
          <w:p w14:paraId="0D45C219" w14:textId="3369A718" w:rsidR="00EE3D7C" w:rsidRPr="00F75302" w:rsidRDefault="00EE3D7C" w:rsidP="00EE3D7C">
            <w:pPr>
              <w:spacing w:after="0" w:line="360" w:lineRule="auto"/>
              <w:jc w:val="right"/>
              <w:rPr>
                <w:rFonts w:eastAsia="Times New Roman" w:cs="Arial"/>
                <w:bCs/>
                <w:sz w:val="20"/>
                <w:szCs w:val="20"/>
              </w:rPr>
            </w:pPr>
            <w:r>
              <w:rPr>
                <w:rFonts w:ascii="Calibri" w:hAnsi="Calibri" w:cs="Arial"/>
                <w:bCs/>
                <w:sz w:val="20"/>
                <w:szCs w:val="20"/>
              </w:rPr>
              <w:t>+4</w:t>
            </w:r>
          </w:p>
        </w:tc>
        <w:tc>
          <w:tcPr>
            <w:tcW w:w="928" w:type="pct"/>
            <w:shd w:val="clear" w:color="auto" w:fill="auto"/>
            <w:vAlign w:val="center"/>
          </w:tcPr>
          <w:p w14:paraId="4833E24B" w14:textId="38B2A343" w:rsidR="00EE3D7C" w:rsidRPr="00F75302" w:rsidRDefault="00EE3D7C" w:rsidP="00EE3D7C">
            <w:pPr>
              <w:spacing w:after="0" w:line="360" w:lineRule="auto"/>
              <w:jc w:val="right"/>
              <w:rPr>
                <w:rFonts w:eastAsia="Times New Roman" w:cs="Arial"/>
                <w:bCs/>
                <w:sz w:val="20"/>
                <w:szCs w:val="20"/>
              </w:rPr>
            </w:pPr>
            <w:r>
              <w:rPr>
                <w:rFonts w:ascii="Calibri" w:hAnsi="Calibri" w:cs="Arial"/>
                <w:bCs/>
                <w:sz w:val="20"/>
                <w:szCs w:val="20"/>
              </w:rPr>
              <w:t>535</w:t>
            </w:r>
          </w:p>
        </w:tc>
      </w:tr>
      <w:tr w:rsidR="00EE3D7C" w:rsidRPr="00F75302" w14:paraId="4F4F2BAC" w14:textId="77777777" w:rsidTr="00EE3D7C">
        <w:trPr>
          <w:trHeight w:hRule="exact" w:val="284"/>
          <w:jc w:val="center"/>
        </w:trPr>
        <w:tc>
          <w:tcPr>
            <w:tcW w:w="1289" w:type="pct"/>
            <w:shd w:val="clear" w:color="auto" w:fill="auto"/>
            <w:vAlign w:val="center"/>
          </w:tcPr>
          <w:p w14:paraId="22413122" w14:textId="77777777" w:rsidR="00EE3D7C" w:rsidRPr="00F75302" w:rsidRDefault="00EE3D7C" w:rsidP="00EE3D7C">
            <w:pPr>
              <w:spacing w:after="0" w:line="360" w:lineRule="auto"/>
              <w:jc w:val="both"/>
              <w:rPr>
                <w:rFonts w:eastAsia="Times New Roman" w:cs="Arial"/>
                <w:bCs/>
                <w:sz w:val="20"/>
                <w:szCs w:val="20"/>
              </w:rPr>
            </w:pPr>
            <w:r w:rsidRPr="00F75302">
              <w:rPr>
                <w:rFonts w:eastAsia="Times New Roman" w:cs="Arial"/>
                <w:bCs/>
                <w:sz w:val="20"/>
                <w:szCs w:val="20"/>
              </w:rPr>
              <w:t>USD</w:t>
            </w:r>
          </w:p>
        </w:tc>
        <w:tc>
          <w:tcPr>
            <w:tcW w:w="927" w:type="pct"/>
            <w:shd w:val="clear" w:color="auto" w:fill="auto"/>
            <w:vAlign w:val="center"/>
          </w:tcPr>
          <w:p w14:paraId="3A06A69D" w14:textId="27183FA9" w:rsidR="00EE3D7C" w:rsidRPr="00A06A6F" w:rsidRDefault="00B674DB" w:rsidP="00EE3D7C">
            <w:pPr>
              <w:spacing w:after="0" w:line="360" w:lineRule="auto"/>
              <w:jc w:val="right"/>
              <w:rPr>
                <w:rFonts w:eastAsia="Times New Roman" w:cs="Arial"/>
                <w:bCs/>
                <w:sz w:val="20"/>
                <w:szCs w:val="20"/>
              </w:rPr>
            </w:pPr>
            <w:r>
              <w:rPr>
                <w:rFonts w:eastAsia="Times New Roman" w:cs="Arial"/>
                <w:bCs/>
                <w:sz w:val="20"/>
                <w:szCs w:val="20"/>
              </w:rPr>
              <w:t>+22</w:t>
            </w:r>
          </w:p>
        </w:tc>
        <w:tc>
          <w:tcPr>
            <w:tcW w:w="928" w:type="pct"/>
            <w:shd w:val="clear" w:color="auto" w:fill="auto"/>
            <w:vAlign w:val="center"/>
          </w:tcPr>
          <w:p w14:paraId="2C32B6E5" w14:textId="684EFCAD" w:rsidR="00EE3D7C" w:rsidRPr="00A06A6F" w:rsidRDefault="00B674DB" w:rsidP="00EE3D7C">
            <w:pPr>
              <w:spacing w:after="0" w:line="360" w:lineRule="auto"/>
              <w:jc w:val="right"/>
              <w:rPr>
                <w:rFonts w:eastAsia="Times New Roman" w:cs="Arial"/>
                <w:bCs/>
                <w:sz w:val="20"/>
                <w:szCs w:val="20"/>
              </w:rPr>
            </w:pPr>
            <w:r>
              <w:rPr>
                <w:rFonts w:eastAsia="Times New Roman" w:cs="Arial"/>
                <w:bCs/>
                <w:sz w:val="20"/>
                <w:szCs w:val="20"/>
              </w:rPr>
              <w:t>822</w:t>
            </w:r>
          </w:p>
        </w:tc>
        <w:tc>
          <w:tcPr>
            <w:tcW w:w="928" w:type="pct"/>
            <w:shd w:val="clear" w:color="auto" w:fill="auto"/>
            <w:vAlign w:val="center"/>
          </w:tcPr>
          <w:p w14:paraId="309F2B36" w14:textId="773C177C" w:rsidR="00EE3D7C" w:rsidRPr="00F75302" w:rsidRDefault="00EE3D7C" w:rsidP="00EE3D7C">
            <w:pPr>
              <w:spacing w:after="0" w:line="360" w:lineRule="auto"/>
              <w:jc w:val="right"/>
              <w:rPr>
                <w:rFonts w:eastAsia="Times New Roman" w:cs="Arial"/>
                <w:bCs/>
                <w:sz w:val="20"/>
                <w:szCs w:val="20"/>
              </w:rPr>
            </w:pPr>
            <w:r>
              <w:rPr>
                <w:rFonts w:ascii="Calibri" w:hAnsi="Calibri" w:cs="Arial"/>
                <w:bCs/>
                <w:sz w:val="20"/>
                <w:szCs w:val="20"/>
              </w:rPr>
              <w:t>+11</w:t>
            </w:r>
          </w:p>
        </w:tc>
        <w:tc>
          <w:tcPr>
            <w:tcW w:w="928" w:type="pct"/>
            <w:shd w:val="clear" w:color="auto" w:fill="auto"/>
            <w:vAlign w:val="center"/>
          </w:tcPr>
          <w:p w14:paraId="65497D0C" w14:textId="382E03E1" w:rsidR="00EE3D7C" w:rsidRPr="00F75302" w:rsidRDefault="00EE3D7C" w:rsidP="00EE3D7C">
            <w:pPr>
              <w:spacing w:after="0" w:line="360" w:lineRule="auto"/>
              <w:jc w:val="right"/>
              <w:rPr>
                <w:rFonts w:eastAsia="Times New Roman" w:cs="Arial"/>
                <w:bCs/>
                <w:sz w:val="20"/>
                <w:szCs w:val="20"/>
              </w:rPr>
            </w:pPr>
            <w:r>
              <w:rPr>
                <w:rFonts w:ascii="Calibri" w:hAnsi="Calibri" w:cs="Arial"/>
                <w:bCs/>
                <w:sz w:val="20"/>
                <w:szCs w:val="20"/>
              </w:rPr>
              <w:t>472</w:t>
            </w:r>
          </w:p>
        </w:tc>
      </w:tr>
      <w:tr w:rsidR="00F75302" w:rsidRPr="00F75302" w14:paraId="63340ECA" w14:textId="77777777" w:rsidTr="00F75302">
        <w:trPr>
          <w:trHeight w:hRule="exact" w:val="284"/>
          <w:jc w:val="center"/>
        </w:trPr>
        <w:tc>
          <w:tcPr>
            <w:tcW w:w="1289" w:type="pct"/>
            <w:shd w:val="clear" w:color="auto" w:fill="auto"/>
            <w:vAlign w:val="center"/>
          </w:tcPr>
          <w:p w14:paraId="2B4B380F" w14:textId="77777777" w:rsidR="00F75302" w:rsidRPr="00F75302" w:rsidRDefault="00F75302" w:rsidP="00F75302">
            <w:pPr>
              <w:spacing w:after="0" w:line="360" w:lineRule="auto"/>
              <w:jc w:val="both"/>
              <w:rPr>
                <w:rFonts w:eastAsia="Times New Roman" w:cs="Arial"/>
                <w:bCs/>
                <w:sz w:val="20"/>
                <w:szCs w:val="20"/>
              </w:rPr>
            </w:pPr>
          </w:p>
        </w:tc>
        <w:tc>
          <w:tcPr>
            <w:tcW w:w="927" w:type="pct"/>
            <w:shd w:val="clear" w:color="auto" w:fill="auto"/>
            <w:vAlign w:val="center"/>
          </w:tcPr>
          <w:p w14:paraId="7FB2515D" w14:textId="77777777" w:rsidR="00F75302" w:rsidRPr="00F75302" w:rsidRDefault="00F75302" w:rsidP="00F75302">
            <w:pPr>
              <w:spacing w:after="0" w:line="360" w:lineRule="auto"/>
              <w:jc w:val="right"/>
              <w:rPr>
                <w:rFonts w:eastAsia="Times New Roman" w:cs="Arial"/>
                <w:bCs/>
                <w:sz w:val="20"/>
                <w:szCs w:val="20"/>
              </w:rPr>
            </w:pPr>
          </w:p>
        </w:tc>
        <w:tc>
          <w:tcPr>
            <w:tcW w:w="928" w:type="pct"/>
            <w:shd w:val="clear" w:color="auto" w:fill="auto"/>
            <w:vAlign w:val="center"/>
          </w:tcPr>
          <w:p w14:paraId="76E86CA5" w14:textId="77777777" w:rsidR="00F75302" w:rsidRPr="00F75302" w:rsidRDefault="00F75302" w:rsidP="00F75302">
            <w:pPr>
              <w:spacing w:after="0" w:line="360" w:lineRule="auto"/>
              <w:jc w:val="right"/>
              <w:rPr>
                <w:rFonts w:eastAsia="Times New Roman" w:cs="Arial"/>
                <w:bCs/>
                <w:sz w:val="20"/>
                <w:szCs w:val="20"/>
              </w:rPr>
            </w:pPr>
          </w:p>
        </w:tc>
        <w:tc>
          <w:tcPr>
            <w:tcW w:w="928" w:type="pct"/>
            <w:shd w:val="clear" w:color="auto" w:fill="auto"/>
            <w:vAlign w:val="center"/>
          </w:tcPr>
          <w:p w14:paraId="4D9CEC8D" w14:textId="77777777" w:rsidR="00F75302" w:rsidRPr="00F75302" w:rsidRDefault="00F75302" w:rsidP="00F75302">
            <w:pPr>
              <w:spacing w:after="0" w:line="360" w:lineRule="auto"/>
              <w:jc w:val="right"/>
              <w:rPr>
                <w:rFonts w:eastAsia="Times New Roman" w:cs="Arial"/>
                <w:bCs/>
                <w:sz w:val="20"/>
                <w:szCs w:val="20"/>
              </w:rPr>
            </w:pPr>
          </w:p>
        </w:tc>
        <w:tc>
          <w:tcPr>
            <w:tcW w:w="928" w:type="pct"/>
            <w:shd w:val="clear" w:color="auto" w:fill="auto"/>
            <w:vAlign w:val="center"/>
          </w:tcPr>
          <w:p w14:paraId="182BCBBF" w14:textId="77777777" w:rsidR="00F75302" w:rsidRPr="00F75302" w:rsidRDefault="00F75302" w:rsidP="00F75302">
            <w:pPr>
              <w:spacing w:after="0" w:line="360" w:lineRule="auto"/>
              <w:jc w:val="right"/>
              <w:rPr>
                <w:rFonts w:eastAsia="Times New Roman" w:cs="Arial"/>
                <w:bCs/>
                <w:sz w:val="20"/>
                <w:szCs w:val="20"/>
              </w:rPr>
            </w:pPr>
          </w:p>
        </w:tc>
      </w:tr>
      <w:tr w:rsidR="00F75302" w:rsidRPr="00F75302" w14:paraId="29076437" w14:textId="77777777" w:rsidTr="00F75302">
        <w:trPr>
          <w:trHeight w:hRule="exact" w:val="830"/>
          <w:jc w:val="center"/>
        </w:trPr>
        <w:tc>
          <w:tcPr>
            <w:tcW w:w="1289" w:type="pct"/>
            <w:shd w:val="clear" w:color="auto" w:fill="auto"/>
            <w:vAlign w:val="center"/>
          </w:tcPr>
          <w:p w14:paraId="5F284242" w14:textId="77777777" w:rsidR="00F75302" w:rsidRPr="00F75302" w:rsidRDefault="00F75302" w:rsidP="00F75302">
            <w:pPr>
              <w:spacing w:before="240" w:after="120" w:line="360" w:lineRule="auto"/>
              <w:rPr>
                <w:rFonts w:eastAsia="Times New Roman" w:cs="Arial"/>
                <w:b/>
                <w:bCs/>
                <w:sz w:val="20"/>
                <w:szCs w:val="20"/>
              </w:rPr>
            </w:pPr>
            <w:r w:rsidRPr="00F75302">
              <w:rPr>
                <w:rFonts w:eastAsia="Times New Roman" w:cs="Arial"/>
                <w:b/>
                <w:bCs/>
                <w:sz w:val="20"/>
                <w:szCs w:val="20"/>
              </w:rPr>
              <w:t>Valuta</w:t>
            </w:r>
          </w:p>
        </w:tc>
        <w:tc>
          <w:tcPr>
            <w:tcW w:w="927" w:type="pct"/>
            <w:shd w:val="clear" w:color="auto" w:fill="auto"/>
          </w:tcPr>
          <w:p w14:paraId="2682C6E1"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bCs/>
                <w:sz w:val="20"/>
                <w:szCs w:val="20"/>
              </w:rPr>
              <w:t xml:space="preserve">Smanjenje bazičnih bodova </w:t>
            </w:r>
          </w:p>
          <w:p w14:paraId="0214649B" w14:textId="0EA22433" w:rsidR="00F75302" w:rsidRPr="00F75302" w:rsidRDefault="003E4896">
            <w:pPr>
              <w:spacing w:after="0" w:line="360" w:lineRule="auto"/>
              <w:jc w:val="right"/>
              <w:rPr>
                <w:rFonts w:eastAsia="Times New Roman" w:cs="Arial"/>
                <w:b/>
                <w:bCs/>
                <w:sz w:val="20"/>
                <w:szCs w:val="20"/>
              </w:rPr>
            </w:pPr>
            <w:r>
              <w:rPr>
                <w:rFonts w:eastAsia="Times New Roman" w:cs="Arial"/>
                <w:b/>
                <w:bCs/>
                <w:sz w:val="20"/>
                <w:szCs w:val="20"/>
              </w:rPr>
              <w:t xml:space="preserve">1.1. - </w:t>
            </w:r>
            <w:r w:rsidR="00F27563" w:rsidRPr="00EE3D7C">
              <w:rPr>
                <w:rFonts w:eastAsia="Times New Roman" w:cs="Arial"/>
                <w:b/>
                <w:bCs/>
                <w:sz w:val="20"/>
                <w:szCs w:val="20"/>
              </w:rPr>
              <w:t>3</w:t>
            </w:r>
            <w:r w:rsidR="00F27563">
              <w:rPr>
                <w:rFonts w:eastAsia="Times New Roman" w:cs="Arial"/>
                <w:b/>
                <w:bCs/>
                <w:sz w:val="20"/>
                <w:szCs w:val="20"/>
              </w:rPr>
              <w:t>0</w:t>
            </w:r>
            <w:r w:rsidR="00EE3D7C" w:rsidRPr="00EE3D7C">
              <w:rPr>
                <w:rFonts w:eastAsia="Times New Roman" w:cs="Arial"/>
                <w:b/>
                <w:bCs/>
                <w:sz w:val="20"/>
                <w:szCs w:val="20"/>
              </w:rPr>
              <w:t>.</w:t>
            </w:r>
            <w:r w:rsidR="00F27563">
              <w:rPr>
                <w:rFonts w:eastAsia="Times New Roman" w:cs="Arial"/>
                <w:b/>
                <w:bCs/>
                <w:sz w:val="20"/>
                <w:szCs w:val="20"/>
              </w:rPr>
              <w:t>6</w:t>
            </w:r>
            <w:r w:rsidR="00EE3D7C" w:rsidRPr="00EE3D7C">
              <w:rPr>
                <w:rFonts w:eastAsia="Times New Roman" w:cs="Arial"/>
                <w:b/>
                <w:bCs/>
                <w:sz w:val="20"/>
                <w:szCs w:val="20"/>
              </w:rPr>
              <w:t>.2017.</w:t>
            </w:r>
          </w:p>
        </w:tc>
        <w:tc>
          <w:tcPr>
            <w:tcW w:w="928" w:type="pct"/>
            <w:shd w:val="clear" w:color="auto" w:fill="auto"/>
          </w:tcPr>
          <w:p w14:paraId="636450FE"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bCs/>
                <w:sz w:val="20"/>
                <w:szCs w:val="20"/>
              </w:rPr>
              <w:t xml:space="preserve">Utjecaj </w:t>
            </w:r>
          </w:p>
          <w:p w14:paraId="1A841371"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bCs/>
                <w:sz w:val="20"/>
                <w:szCs w:val="20"/>
              </w:rPr>
              <w:t>na dobit</w:t>
            </w:r>
          </w:p>
          <w:p w14:paraId="57EAA77F" w14:textId="52A40550" w:rsidR="00F75302" w:rsidRPr="004B42E3" w:rsidRDefault="00491F0E" w:rsidP="004B42E3">
            <w:pPr>
              <w:pStyle w:val="ListParagraph"/>
              <w:numPr>
                <w:ilvl w:val="1"/>
                <w:numId w:val="33"/>
              </w:numPr>
              <w:spacing w:after="0" w:line="360" w:lineRule="auto"/>
              <w:jc w:val="right"/>
              <w:rPr>
                <w:rFonts w:eastAsia="Times New Roman" w:cs="Arial"/>
                <w:b/>
                <w:bCs/>
                <w:sz w:val="20"/>
                <w:szCs w:val="20"/>
              </w:rPr>
            </w:pPr>
            <w:r>
              <w:rPr>
                <w:rFonts w:eastAsia="Times New Roman" w:cs="Arial"/>
                <w:b/>
                <w:bCs/>
                <w:sz w:val="20"/>
                <w:szCs w:val="20"/>
              </w:rPr>
              <w:t xml:space="preserve">- </w:t>
            </w:r>
            <w:r w:rsidR="00F27563" w:rsidRPr="004B42E3">
              <w:rPr>
                <w:rFonts w:eastAsia="Times New Roman" w:cs="Arial"/>
                <w:b/>
                <w:bCs/>
                <w:sz w:val="20"/>
                <w:szCs w:val="20"/>
              </w:rPr>
              <w:t>30</w:t>
            </w:r>
            <w:r w:rsidR="00EE3D7C" w:rsidRPr="004B42E3">
              <w:rPr>
                <w:rFonts w:eastAsia="Times New Roman" w:cs="Arial"/>
                <w:b/>
                <w:bCs/>
                <w:sz w:val="20"/>
                <w:szCs w:val="20"/>
              </w:rPr>
              <w:t>.</w:t>
            </w:r>
            <w:r w:rsidR="00F27563" w:rsidRPr="004B42E3">
              <w:rPr>
                <w:rFonts w:eastAsia="Times New Roman" w:cs="Arial"/>
                <w:b/>
                <w:bCs/>
                <w:sz w:val="20"/>
                <w:szCs w:val="20"/>
              </w:rPr>
              <w:t>6</w:t>
            </w:r>
            <w:r w:rsidR="00EE3D7C" w:rsidRPr="004B42E3">
              <w:rPr>
                <w:rFonts w:eastAsia="Times New Roman" w:cs="Arial"/>
                <w:b/>
                <w:bCs/>
                <w:sz w:val="20"/>
                <w:szCs w:val="20"/>
              </w:rPr>
              <w:t>.2017.</w:t>
            </w:r>
          </w:p>
        </w:tc>
        <w:tc>
          <w:tcPr>
            <w:tcW w:w="928" w:type="pct"/>
            <w:shd w:val="clear" w:color="auto" w:fill="auto"/>
          </w:tcPr>
          <w:p w14:paraId="60289DFC"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bCs/>
                <w:sz w:val="20"/>
                <w:szCs w:val="20"/>
              </w:rPr>
              <w:t xml:space="preserve">Smanjenje bazičnih bodova </w:t>
            </w:r>
          </w:p>
          <w:p w14:paraId="1141A723" w14:textId="41C7DF16" w:rsidR="00F75302" w:rsidRPr="00F75302" w:rsidRDefault="00A44510" w:rsidP="00EE3D7C">
            <w:pPr>
              <w:spacing w:after="0" w:line="360" w:lineRule="auto"/>
              <w:jc w:val="right"/>
              <w:rPr>
                <w:rFonts w:eastAsia="Times New Roman" w:cs="Arial"/>
                <w:b/>
                <w:bCs/>
                <w:sz w:val="20"/>
                <w:szCs w:val="20"/>
              </w:rPr>
            </w:pPr>
            <w:r>
              <w:rPr>
                <w:rFonts w:eastAsia="Times New Roman" w:cs="Arial"/>
                <w:b/>
                <w:bCs/>
                <w:sz w:val="20"/>
                <w:szCs w:val="20"/>
              </w:rPr>
              <w:t>1.1. – 31.12.</w:t>
            </w:r>
            <w:r w:rsidR="00F75302" w:rsidRPr="00F75302">
              <w:rPr>
                <w:rFonts w:eastAsia="Times New Roman" w:cs="Arial"/>
                <w:b/>
                <w:bCs/>
                <w:sz w:val="20"/>
                <w:szCs w:val="20"/>
              </w:rPr>
              <w:t>201</w:t>
            </w:r>
            <w:r w:rsidR="00EE3D7C">
              <w:rPr>
                <w:rFonts w:eastAsia="Times New Roman" w:cs="Arial"/>
                <w:b/>
                <w:bCs/>
                <w:sz w:val="20"/>
                <w:szCs w:val="20"/>
              </w:rPr>
              <w:t>6</w:t>
            </w:r>
            <w:r w:rsidR="00F75302" w:rsidRPr="00F75302">
              <w:rPr>
                <w:rFonts w:eastAsia="Times New Roman" w:cs="Arial"/>
                <w:b/>
                <w:bCs/>
                <w:sz w:val="20"/>
                <w:szCs w:val="20"/>
              </w:rPr>
              <w:t>.</w:t>
            </w:r>
          </w:p>
        </w:tc>
        <w:tc>
          <w:tcPr>
            <w:tcW w:w="928" w:type="pct"/>
            <w:shd w:val="clear" w:color="auto" w:fill="auto"/>
          </w:tcPr>
          <w:p w14:paraId="1EB5B459"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bCs/>
                <w:sz w:val="20"/>
                <w:szCs w:val="20"/>
              </w:rPr>
              <w:t xml:space="preserve">Utjecaj </w:t>
            </w:r>
          </w:p>
          <w:p w14:paraId="3BD46A83"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bCs/>
                <w:sz w:val="20"/>
                <w:szCs w:val="20"/>
              </w:rPr>
              <w:t>na dobit</w:t>
            </w:r>
          </w:p>
          <w:p w14:paraId="5F06F58F" w14:textId="73621113" w:rsidR="00F75302" w:rsidRPr="00F75302" w:rsidRDefault="00A44510" w:rsidP="00EE3D7C">
            <w:pPr>
              <w:spacing w:after="0" w:line="360" w:lineRule="auto"/>
              <w:jc w:val="right"/>
              <w:rPr>
                <w:rFonts w:eastAsia="Times New Roman" w:cs="Arial"/>
                <w:b/>
                <w:bCs/>
                <w:sz w:val="20"/>
                <w:szCs w:val="20"/>
              </w:rPr>
            </w:pPr>
            <w:r>
              <w:rPr>
                <w:rFonts w:eastAsia="Times New Roman" w:cs="Arial"/>
                <w:b/>
                <w:bCs/>
                <w:sz w:val="20"/>
                <w:szCs w:val="20"/>
              </w:rPr>
              <w:t>1.1. –</w:t>
            </w:r>
            <w:r w:rsidR="004B42E3">
              <w:rPr>
                <w:rFonts w:eastAsia="Times New Roman" w:cs="Arial"/>
                <w:b/>
                <w:bCs/>
                <w:sz w:val="20"/>
                <w:szCs w:val="20"/>
              </w:rPr>
              <w:t xml:space="preserve"> 31.12.2016.</w:t>
            </w:r>
            <w:r>
              <w:rPr>
                <w:rFonts w:eastAsia="Times New Roman" w:cs="Arial"/>
                <w:b/>
                <w:bCs/>
                <w:sz w:val="20"/>
                <w:szCs w:val="20"/>
              </w:rPr>
              <w:t xml:space="preserve"> 31.12.</w:t>
            </w:r>
            <w:r w:rsidR="00F75302" w:rsidRPr="00F75302">
              <w:rPr>
                <w:rFonts w:eastAsia="Times New Roman" w:cs="Arial"/>
                <w:b/>
                <w:bCs/>
                <w:sz w:val="20"/>
                <w:szCs w:val="20"/>
              </w:rPr>
              <w:t>201</w:t>
            </w:r>
            <w:r w:rsidR="00EE3D7C">
              <w:rPr>
                <w:rFonts w:eastAsia="Times New Roman" w:cs="Arial"/>
                <w:b/>
                <w:bCs/>
                <w:sz w:val="20"/>
                <w:szCs w:val="20"/>
              </w:rPr>
              <w:t>6</w:t>
            </w:r>
            <w:r w:rsidR="00F75302" w:rsidRPr="00F75302">
              <w:rPr>
                <w:rFonts w:eastAsia="Times New Roman" w:cs="Arial"/>
                <w:b/>
                <w:bCs/>
                <w:sz w:val="20"/>
                <w:szCs w:val="20"/>
              </w:rPr>
              <w:t>.</w:t>
            </w:r>
          </w:p>
        </w:tc>
      </w:tr>
      <w:tr w:rsidR="00F75302" w:rsidRPr="00F75302" w14:paraId="594A1395" w14:textId="77777777" w:rsidTr="00F75302">
        <w:trPr>
          <w:trHeight w:hRule="exact" w:val="279"/>
          <w:jc w:val="center"/>
        </w:trPr>
        <w:tc>
          <w:tcPr>
            <w:tcW w:w="1289" w:type="pct"/>
            <w:shd w:val="clear" w:color="auto" w:fill="auto"/>
            <w:vAlign w:val="bottom"/>
          </w:tcPr>
          <w:p w14:paraId="1B9C4FB9" w14:textId="77777777" w:rsidR="00F75302" w:rsidRPr="00F75302" w:rsidRDefault="00F75302" w:rsidP="00F75302">
            <w:pPr>
              <w:spacing w:after="0" w:line="360" w:lineRule="auto"/>
              <w:jc w:val="both"/>
              <w:rPr>
                <w:rFonts w:eastAsia="Times New Roman" w:cs="Arial"/>
                <w:b/>
                <w:bCs/>
                <w:sz w:val="20"/>
                <w:szCs w:val="20"/>
              </w:rPr>
            </w:pPr>
          </w:p>
        </w:tc>
        <w:tc>
          <w:tcPr>
            <w:tcW w:w="927" w:type="pct"/>
            <w:shd w:val="clear" w:color="auto" w:fill="auto"/>
            <w:vAlign w:val="center"/>
          </w:tcPr>
          <w:p w14:paraId="56AB3975" w14:textId="77777777" w:rsidR="00F75302" w:rsidRPr="00F75302" w:rsidRDefault="00F75302" w:rsidP="00F75302">
            <w:pPr>
              <w:spacing w:after="0" w:line="0" w:lineRule="atLeast"/>
              <w:jc w:val="right"/>
              <w:rPr>
                <w:rFonts w:eastAsia="Times New Roman" w:cs="Arial"/>
                <w:b/>
                <w:bCs/>
                <w:sz w:val="20"/>
                <w:szCs w:val="20"/>
              </w:rPr>
            </w:pPr>
          </w:p>
        </w:tc>
        <w:tc>
          <w:tcPr>
            <w:tcW w:w="928" w:type="pct"/>
            <w:shd w:val="clear" w:color="auto" w:fill="auto"/>
            <w:vAlign w:val="center"/>
          </w:tcPr>
          <w:p w14:paraId="01C821C3"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sz w:val="20"/>
                <w:szCs w:val="20"/>
              </w:rPr>
              <w:t>000 kuna</w:t>
            </w:r>
          </w:p>
        </w:tc>
        <w:tc>
          <w:tcPr>
            <w:tcW w:w="928" w:type="pct"/>
            <w:shd w:val="clear" w:color="auto" w:fill="auto"/>
            <w:vAlign w:val="center"/>
          </w:tcPr>
          <w:p w14:paraId="75C3EAA9" w14:textId="77777777" w:rsidR="00F75302" w:rsidRPr="00F75302" w:rsidRDefault="00F75302" w:rsidP="00F75302">
            <w:pPr>
              <w:spacing w:after="0" w:line="0" w:lineRule="atLeast"/>
              <w:jc w:val="right"/>
              <w:rPr>
                <w:rFonts w:eastAsia="Times New Roman" w:cs="Arial"/>
                <w:b/>
                <w:bCs/>
                <w:sz w:val="20"/>
                <w:szCs w:val="20"/>
              </w:rPr>
            </w:pPr>
          </w:p>
        </w:tc>
        <w:tc>
          <w:tcPr>
            <w:tcW w:w="928" w:type="pct"/>
            <w:shd w:val="clear" w:color="auto" w:fill="auto"/>
            <w:vAlign w:val="center"/>
          </w:tcPr>
          <w:p w14:paraId="780E57C5" w14:textId="77777777" w:rsidR="00F75302" w:rsidRPr="00F75302" w:rsidRDefault="00F75302" w:rsidP="00F75302">
            <w:pPr>
              <w:spacing w:after="0" w:line="0" w:lineRule="atLeast"/>
              <w:jc w:val="right"/>
              <w:rPr>
                <w:rFonts w:eastAsia="Times New Roman" w:cs="Arial"/>
                <w:b/>
                <w:bCs/>
                <w:sz w:val="20"/>
                <w:szCs w:val="20"/>
              </w:rPr>
            </w:pPr>
            <w:r w:rsidRPr="00F75302">
              <w:rPr>
                <w:rFonts w:eastAsia="Times New Roman" w:cs="Arial"/>
                <w:b/>
                <w:sz w:val="20"/>
                <w:szCs w:val="20"/>
              </w:rPr>
              <w:t>000 kuna</w:t>
            </w:r>
          </w:p>
        </w:tc>
      </w:tr>
      <w:tr w:rsidR="00F75302" w:rsidRPr="00F75302" w14:paraId="4B2B7335" w14:textId="77777777" w:rsidTr="00F75302">
        <w:trPr>
          <w:trHeight w:hRule="exact" w:val="113"/>
          <w:jc w:val="center"/>
        </w:trPr>
        <w:tc>
          <w:tcPr>
            <w:tcW w:w="1289" w:type="pct"/>
            <w:shd w:val="clear" w:color="auto" w:fill="auto"/>
            <w:vAlign w:val="center"/>
          </w:tcPr>
          <w:p w14:paraId="09DE0E14" w14:textId="77777777" w:rsidR="00F75302" w:rsidRPr="00F75302" w:rsidRDefault="00F75302" w:rsidP="00F75302">
            <w:pPr>
              <w:spacing w:after="0" w:line="360" w:lineRule="auto"/>
              <w:jc w:val="both"/>
              <w:rPr>
                <w:rFonts w:eastAsia="Times New Roman" w:cs="Arial"/>
                <w:bCs/>
                <w:sz w:val="20"/>
                <w:szCs w:val="20"/>
              </w:rPr>
            </w:pPr>
          </w:p>
        </w:tc>
        <w:tc>
          <w:tcPr>
            <w:tcW w:w="927" w:type="pct"/>
            <w:shd w:val="clear" w:color="auto" w:fill="auto"/>
            <w:vAlign w:val="center"/>
          </w:tcPr>
          <w:p w14:paraId="26CECBAA" w14:textId="77777777" w:rsidR="00F75302" w:rsidRPr="00F75302" w:rsidRDefault="00F75302" w:rsidP="00F75302">
            <w:pPr>
              <w:spacing w:after="0" w:line="360" w:lineRule="auto"/>
              <w:jc w:val="right"/>
              <w:rPr>
                <w:rFonts w:eastAsia="Times New Roman" w:cs="Arial"/>
                <w:bCs/>
                <w:sz w:val="20"/>
                <w:szCs w:val="20"/>
              </w:rPr>
            </w:pPr>
          </w:p>
        </w:tc>
        <w:tc>
          <w:tcPr>
            <w:tcW w:w="928" w:type="pct"/>
            <w:shd w:val="clear" w:color="auto" w:fill="auto"/>
            <w:vAlign w:val="center"/>
          </w:tcPr>
          <w:p w14:paraId="66680DA6" w14:textId="77777777" w:rsidR="00F75302" w:rsidRPr="00F75302" w:rsidRDefault="00F75302" w:rsidP="00F75302">
            <w:pPr>
              <w:spacing w:after="0" w:line="360" w:lineRule="auto"/>
              <w:jc w:val="right"/>
              <w:rPr>
                <w:rFonts w:eastAsia="Times New Roman" w:cs="Arial"/>
                <w:bCs/>
                <w:sz w:val="20"/>
                <w:szCs w:val="20"/>
              </w:rPr>
            </w:pPr>
          </w:p>
        </w:tc>
        <w:tc>
          <w:tcPr>
            <w:tcW w:w="928" w:type="pct"/>
            <w:shd w:val="clear" w:color="auto" w:fill="auto"/>
            <w:vAlign w:val="center"/>
          </w:tcPr>
          <w:p w14:paraId="40E091CA" w14:textId="77777777" w:rsidR="00F75302" w:rsidRPr="00F75302" w:rsidRDefault="00F75302" w:rsidP="00F75302">
            <w:pPr>
              <w:spacing w:after="0" w:line="360" w:lineRule="auto"/>
              <w:jc w:val="right"/>
              <w:rPr>
                <w:rFonts w:eastAsia="Times New Roman" w:cs="Arial"/>
                <w:bCs/>
                <w:sz w:val="20"/>
                <w:szCs w:val="20"/>
              </w:rPr>
            </w:pPr>
          </w:p>
        </w:tc>
        <w:tc>
          <w:tcPr>
            <w:tcW w:w="928" w:type="pct"/>
            <w:shd w:val="clear" w:color="auto" w:fill="auto"/>
            <w:vAlign w:val="center"/>
          </w:tcPr>
          <w:p w14:paraId="0245CF39" w14:textId="77777777" w:rsidR="00F75302" w:rsidRPr="00F75302" w:rsidRDefault="00F75302" w:rsidP="00F75302">
            <w:pPr>
              <w:spacing w:after="0" w:line="360" w:lineRule="auto"/>
              <w:jc w:val="right"/>
              <w:rPr>
                <w:rFonts w:eastAsia="Times New Roman" w:cs="Arial"/>
                <w:bCs/>
                <w:sz w:val="20"/>
                <w:szCs w:val="20"/>
              </w:rPr>
            </w:pPr>
          </w:p>
        </w:tc>
      </w:tr>
      <w:tr w:rsidR="00EE3D7C" w:rsidRPr="00F75302" w14:paraId="5B11A411" w14:textId="77777777" w:rsidTr="00EE3D7C">
        <w:trPr>
          <w:trHeight w:hRule="exact" w:val="284"/>
          <w:jc w:val="center"/>
        </w:trPr>
        <w:tc>
          <w:tcPr>
            <w:tcW w:w="1289" w:type="pct"/>
            <w:shd w:val="clear" w:color="auto" w:fill="auto"/>
            <w:vAlign w:val="center"/>
          </w:tcPr>
          <w:p w14:paraId="5CEF8641" w14:textId="77777777" w:rsidR="00EE3D7C" w:rsidRPr="00F75302" w:rsidRDefault="00EE3D7C" w:rsidP="00EE3D7C">
            <w:pPr>
              <w:spacing w:after="0" w:line="360" w:lineRule="auto"/>
              <w:jc w:val="both"/>
              <w:rPr>
                <w:rFonts w:eastAsia="Times New Roman" w:cs="Arial"/>
                <w:bCs/>
                <w:sz w:val="20"/>
                <w:szCs w:val="20"/>
              </w:rPr>
            </w:pPr>
            <w:r w:rsidRPr="00F75302">
              <w:rPr>
                <w:rFonts w:eastAsia="Times New Roman" w:cs="Arial"/>
                <w:bCs/>
                <w:sz w:val="20"/>
                <w:szCs w:val="20"/>
              </w:rPr>
              <w:t>EUR</w:t>
            </w:r>
          </w:p>
        </w:tc>
        <w:tc>
          <w:tcPr>
            <w:tcW w:w="927" w:type="pct"/>
            <w:shd w:val="clear" w:color="auto" w:fill="auto"/>
            <w:vAlign w:val="center"/>
          </w:tcPr>
          <w:p w14:paraId="6BFE5FD3" w14:textId="7302B5EA" w:rsidR="00EE3D7C" w:rsidRPr="00A06A6F" w:rsidRDefault="00B674DB" w:rsidP="00EE3D7C">
            <w:pPr>
              <w:spacing w:after="0" w:line="360" w:lineRule="auto"/>
              <w:jc w:val="right"/>
              <w:rPr>
                <w:rFonts w:eastAsia="Times New Roman" w:cs="Arial"/>
                <w:bCs/>
                <w:sz w:val="20"/>
                <w:szCs w:val="20"/>
              </w:rPr>
            </w:pPr>
            <w:r>
              <w:rPr>
                <w:rFonts w:eastAsia="Times New Roman" w:cs="Arial"/>
                <w:bCs/>
                <w:sz w:val="20"/>
                <w:szCs w:val="20"/>
              </w:rPr>
              <w:t>-2</w:t>
            </w:r>
          </w:p>
        </w:tc>
        <w:tc>
          <w:tcPr>
            <w:tcW w:w="928" w:type="pct"/>
            <w:shd w:val="clear" w:color="auto" w:fill="auto"/>
            <w:vAlign w:val="center"/>
          </w:tcPr>
          <w:p w14:paraId="18AF174B" w14:textId="4A09BF8D" w:rsidR="00EE3D7C" w:rsidRPr="00A06A6F" w:rsidRDefault="00B674DB" w:rsidP="00EE3D7C">
            <w:pPr>
              <w:spacing w:after="0" w:line="360" w:lineRule="auto"/>
              <w:jc w:val="right"/>
              <w:rPr>
                <w:rFonts w:eastAsia="Times New Roman" w:cs="Arial"/>
                <w:bCs/>
                <w:sz w:val="20"/>
                <w:szCs w:val="20"/>
              </w:rPr>
            </w:pPr>
            <w:r>
              <w:rPr>
                <w:rFonts w:eastAsia="Times New Roman" w:cs="Arial"/>
                <w:bCs/>
                <w:sz w:val="20"/>
                <w:szCs w:val="20"/>
              </w:rPr>
              <w:t>(225)</w:t>
            </w:r>
          </w:p>
        </w:tc>
        <w:tc>
          <w:tcPr>
            <w:tcW w:w="928" w:type="pct"/>
            <w:shd w:val="clear" w:color="auto" w:fill="auto"/>
            <w:vAlign w:val="center"/>
          </w:tcPr>
          <w:p w14:paraId="101D529E" w14:textId="6ECA1D22" w:rsidR="00EE3D7C" w:rsidRPr="00F75302" w:rsidRDefault="00EE3D7C" w:rsidP="00EE3D7C">
            <w:pPr>
              <w:spacing w:after="0" w:line="360" w:lineRule="auto"/>
              <w:jc w:val="right"/>
              <w:rPr>
                <w:rFonts w:eastAsia="Times New Roman" w:cs="Arial"/>
                <w:bCs/>
                <w:sz w:val="20"/>
                <w:szCs w:val="20"/>
              </w:rPr>
            </w:pPr>
            <w:r>
              <w:rPr>
                <w:rFonts w:ascii="Calibri" w:hAnsi="Calibri" w:cs="Arial"/>
                <w:bCs/>
                <w:sz w:val="20"/>
                <w:szCs w:val="20"/>
              </w:rPr>
              <w:t>-4</w:t>
            </w:r>
          </w:p>
        </w:tc>
        <w:tc>
          <w:tcPr>
            <w:tcW w:w="928" w:type="pct"/>
            <w:shd w:val="clear" w:color="auto" w:fill="auto"/>
            <w:vAlign w:val="center"/>
          </w:tcPr>
          <w:p w14:paraId="4FF73DFB" w14:textId="5ACCA3F3" w:rsidR="00EE3D7C" w:rsidRPr="00F75302" w:rsidRDefault="00EE3D7C" w:rsidP="00EE3D7C">
            <w:pPr>
              <w:spacing w:after="0" w:line="360" w:lineRule="auto"/>
              <w:jc w:val="right"/>
              <w:rPr>
                <w:rFonts w:eastAsia="Times New Roman" w:cs="Arial"/>
                <w:bCs/>
                <w:sz w:val="20"/>
                <w:szCs w:val="20"/>
              </w:rPr>
            </w:pPr>
            <w:r>
              <w:rPr>
                <w:rFonts w:ascii="Calibri" w:hAnsi="Calibri" w:cs="Arial"/>
                <w:bCs/>
                <w:sz w:val="20"/>
                <w:szCs w:val="20"/>
              </w:rPr>
              <w:t>(535)</w:t>
            </w:r>
          </w:p>
        </w:tc>
      </w:tr>
      <w:tr w:rsidR="00EE3D7C" w:rsidRPr="00F75302" w14:paraId="440F112C" w14:textId="77777777" w:rsidTr="00EE3D7C">
        <w:trPr>
          <w:trHeight w:hRule="exact" w:val="284"/>
          <w:jc w:val="center"/>
        </w:trPr>
        <w:tc>
          <w:tcPr>
            <w:tcW w:w="1289" w:type="pct"/>
            <w:shd w:val="clear" w:color="auto" w:fill="auto"/>
            <w:vAlign w:val="center"/>
          </w:tcPr>
          <w:p w14:paraId="4ED010DE" w14:textId="77777777" w:rsidR="00EE3D7C" w:rsidRPr="00F75302" w:rsidRDefault="00EE3D7C" w:rsidP="00EE3D7C">
            <w:pPr>
              <w:spacing w:after="0" w:line="360" w:lineRule="auto"/>
              <w:jc w:val="both"/>
              <w:rPr>
                <w:rFonts w:eastAsia="Times New Roman" w:cs="Arial"/>
                <w:bCs/>
                <w:sz w:val="20"/>
                <w:szCs w:val="20"/>
              </w:rPr>
            </w:pPr>
            <w:r w:rsidRPr="00F75302">
              <w:rPr>
                <w:rFonts w:eastAsia="Times New Roman" w:cs="Arial"/>
                <w:bCs/>
                <w:sz w:val="20"/>
                <w:szCs w:val="20"/>
              </w:rPr>
              <w:t>USD</w:t>
            </w:r>
          </w:p>
        </w:tc>
        <w:tc>
          <w:tcPr>
            <w:tcW w:w="927" w:type="pct"/>
            <w:shd w:val="clear" w:color="auto" w:fill="auto"/>
            <w:vAlign w:val="center"/>
          </w:tcPr>
          <w:p w14:paraId="1F23F5AF" w14:textId="730673A3" w:rsidR="00EE3D7C" w:rsidRPr="00A06A6F" w:rsidRDefault="00B674DB" w:rsidP="00EE3D7C">
            <w:pPr>
              <w:spacing w:after="0" w:line="360" w:lineRule="auto"/>
              <w:jc w:val="right"/>
              <w:rPr>
                <w:rFonts w:eastAsia="Times New Roman" w:cs="Arial"/>
                <w:bCs/>
                <w:sz w:val="20"/>
                <w:szCs w:val="20"/>
              </w:rPr>
            </w:pPr>
            <w:r>
              <w:rPr>
                <w:rFonts w:eastAsia="Times New Roman" w:cs="Arial"/>
                <w:bCs/>
                <w:sz w:val="20"/>
                <w:szCs w:val="20"/>
              </w:rPr>
              <w:t>-22</w:t>
            </w:r>
          </w:p>
        </w:tc>
        <w:tc>
          <w:tcPr>
            <w:tcW w:w="928" w:type="pct"/>
            <w:shd w:val="clear" w:color="auto" w:fill="auto"/>
            <w:vAlign w:val="center"/>
          </w:tcPr>
          <w:p w14:paraId="4194F6AB" w14:textId="0BD98C0E" w:rsidR="00EE3D7C" w:rsidRPr="00A06A6F" w:rsidRDefault="00B674DB">
            <w:pPr>
              <w:spacing w:after="0" w:line="360" w:lineRule="auto"/>
              <w:jc w:val="right"/>
              <w:rPr>
                <w:rFonts w:eastAsia="Times New Roman" w:cs="Arial"/>
                <w:bCs/>
                <w:sz w:val="20"/>
                <w:szCs w:val="20"/>
              </w:rPr>
            </w:pPr>
            <w:r>
              <w:rPr>
                <w:rFonts w:eastAsia="Times New Roman" w:cs="Arial"/>
                <w:bCs/>
                <w:sz w:val="20"/>
                <w:szCs w:val="20"/>
              </w:rPr>
              <w:t>(822)</w:t>
            </w:r>
          </w:p>
        </w:tc>
        <w:tc>
          <w:tcPr>
            <w:tcW w:w="928" w:type="pct"/>
            <w:shd w:val="clear" w:color="auto" w:fill="auto"/>
            <w:vAlign w:val="center"/>
          </w:tcPr>
          <w:p w14:paraId="0AC7CB87" w14:textId="77BA9231" w:rsidR="00EE3D7C" w:rsidRPr="00F75302" w:rsidRDefault="00EE3D7C" w:rsidP="00EE3D7C">
            <w:pPr>
              <w:spacing w:after="0" w:line="360" w:lineRule="auto"/>
              <w:jc w:val="right"/>
              <w:rPr>
                <w:rFonts w:eastAsia="Times New Roman" w:cs="Arial"/>
                <w:bCs/>
                <w:sz w:val="20"/>
                <w:szCs w:val="20"/>
              </w:rPr>
            </w:pPr>
            <w:r>
              <w:rPr>
                <w:rFonts w:ascii="Calibri" w:hAnsi="Calibri" w:cs="Arial"/>
                <w:bCs/>
                <w:sz w:val="20"/>
                <w:szCs w:val="20"/>
              </w:rPr>
              <w:t>-11</w:t>
            </w:r>
          </w:p>
        </w:tc>
        <w:tc>
          <w:tcPr>
            <w:tcW w:w="928" w:type="pct"/>
            <w:shd w:val="clear" w:color="auto" w:fill="auto"/>
            <w:vAlign w:val="center"/>
          </w:tcPr>
          <w:p w14:paraId="2DD79F82" w14:textId="4B8757BD" w:rsidR="00EE3D7C" w:rsidRPr="00F75302" w:rsidRDefault="00EE3D7C" w:rsidP="00EE3D7C">
            <w:pPr>
              <w:spacing w:after="0" w:line="360" w:lineRule="auto"/>
              <w:jc w:val="right"/>
              <w:rPr>
                <w:rFonts w:eastAsia="Times New Roman" w:cs="Arial"/>
                <w:bCs/>
                <w:sz w:val="20"/>
                <w:szCs w:val="20"/>
              </w:rPr>
            </w:pPr>
            <w:r>
              <w:rPr>
                <w:rFonts w:ascii="Calibri" w:hAnsi="Calibri" w:cs="Arial"/>
                <w:bCs/>
                <w:sz w:val="20"/>
                <w:szCs w:val="20"/>
              </w:rPr>
              <w:t>(472)</w:t>
            </w:r>
          </w:p>
        </w:tc>
      </w:tr>
    </w:tbl>
    <w:p w14:paraId="1112A1C0" w14:textId="77777777" w:rsidR="00F75302" w:rsidRDefault="00F75302" w:rsidP="00D43533">
      <w:pPr>
        <w:pStyle w:val="T1"/>
        <w:spacing w:before="0" w:after="0" w:line="240" w:lineRule="auto"/>
        <w:ind w:left="709" w:hanging="709"/>
        <w:rPr>
          <w:rFonts w:asciiTheme="minorHAnsi" w:hAnsiTheme="minorHAnsi" w:cs="Arial"/>
          <w:sz w:val="22"/>
          <w:szCs w:val="22"/>
          <w:lang w:val="hr-HR"/>
        </w:rPr>
        <w:sectPr w:rsidR="00F75302" w:rsidSect="00D07C59">
          <w:footerReference w:type="first" r:id="rId120"/>
          <w:pgSz w:w="11906" w:h="16838" w:code="9"/>
          <w:pgMar w:top="1418" w:right="1418" w:bottom="595" w:left="1134" w:header="709" w:footer="709" w:gutter="0"/>
          <w:cols w:space="708"/>
          <w:titlePg/>
          <w:docGrid w:linePitch="360"/>
        </w:sectPr>
      </w:pPr>
    </w:p>
    <w:p w14:paraId="12D3F149" w14:textId="77777777" w:rsidR="00F75302" w:rsidRDefault="00F75302" w:rsidP="00D43533">
      <w:pPr>
        <w:pStyle w:val="T1"/>
        <w:spacing w:before="0" w:after="0" w:line="240" w:lineRule="auto"/>
        <w:ind w:left="709" w:hanging="709"/>
        <w:rPr>
          <w:rFonts w:asciiTheme="minorHAnsi" w:hAnsiTheme="minorHAnsi" w:cs="Arial"/>
          <w:sz w:val="22"/>
          <w:szCs w:val="22"/>
          <w:lang w:val="hr-HR"/>
        </w:rPr>
      </w:pPr>
    </w:p>
    <w:p w14:paraId="67DC2947" w14:textId="77777777" w:rsidR="00D43533" w:rsidRDefault="00D43533" w:rsidP="00D43533">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        Upravljanje rizicima (nastavak)</w:t>
      </w:r>
    </w:p>
    <w:p w14:paraId="042865A2" w14:textId="77777777" w:rsidR="00D43533" w:rsidRPr="00D43533" w:rsidRDefault="00D43533" w:rsidP="00D43533">
      <w:pPr>
        <w:pStyle w:val="T1"/>
        <w:spacing w:before="0" w:after="0" w:line="240" w:lineRule="auto"/>
        <w:ind w:left="709" w:hanging="709"/>
        <w:rPr>
          <w:rFonts w:asciiTheme="minorHAnsi" w:hAnsiTheme="minorHAnsi" w:cs="Arial"/>
          <w:sz w:val="22"/>
          <w:szCs w:val="22"/>
          <w:lang w:val="hr-HR"/>
        </w:rPr>
      </w:pPr>
    </w:p>
    <w:p w14:paraId="1CCFAD5A" w14:textId="77777777" w:rsidR="00D43533" w:rsidRDefault="00D43533" w:rsidP="00D43533">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.4.     Tržišni rizik (nastavak)</w:t>
      </w:r>
    </w:p>
    <w:p w14:paraId="663A23B2" w14:textId="77777777" w:rsidR="00D43533" w:rsidRPr="00D43533" w:rsidRDefault="00D43533" w:rsidP="00D43533">
      <w:pPr>
        <w:pStyle w:val="T1"/>
        <w:spacing w:before="0" w:after="0" w:line="240" w:lineRule="auto"/>
        <w:ind w:left="709" w:hanging="709"/>
        <w:rPr>
          <w:rFonts w:asciiTheme="minorHAnsi" w:hAnsiTheme="minorHAnsi" w:cs="Arial"/>
          <w:sz w:val="22"/>
          <w:szCs w:val="22"/>
          <w:lang w:val="hr-HR"/>
        </w:rPr>
      </w:pPr>
    </w:p>
    <w:p w14:paraId="5F7840E0" w14:textId="77777777" w:rsidR="00D43533" w:rsidRPr="00D43533" w:rsidRDefault="00D43533" w:rsidP="00D43533">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.4.2.  Valutni rizik</w:t>
      </w:r>
    </w:p>
    <w:p w14:paraId="235DA9B8" w14:textId="77777777" w:rsidR="008D359F" w:rsidRPr="00D43533" w:rsidRDefault="008D359F" w:rsidP="00D43533">
      <w:pPr>
        <w:pStyle w:val="accountingpolicytitle"/>
        <w:rPr>
          <w:rFonts w:asciiTheme="minorHAnsi" w:hAnsiTheme="minorHAnsi" w:cstheme="minorHAnsi"/>
          <w:sz w:val="22"/>
          <w:szCs w:val="22"/>
          <w:lang w:val="hr-HR"/>
        </w:rPr>
      </w:pPr>
    </w:p>
    <w:p w14:paraId="5B44B13D" w14:textId="77777777" w:rsidR="00117564" w:rsidRDefault="00117564" w:rsidP="00D43533">
      <w:pPr>
        <w:tabs>
          <w:tab w:val="left" w:pos="8280"/>
        </w:tabs>
        <w:spacing w:after="0" w:line="240" w:lineRule="auto"/>
        <w:jc w:val="both"/>
        <w:rPr>
          <w:rFonts w:cstheme="minorHAnsi"/>
        </w:rPr>
      </w:pPr>
      <w:r w:rsidRPr="00D43533">
        <w:rPr>
          <w:rFonts w:cstheme="minorHAnsi"/>
        </w:rPr>
        <w:t xml:space="preserve">Temeljna načela i principi upravljanja valutnim rizikom HBOR-a utvrđeni su internim aktima te odlukama i zaključcima Uprave i Odbora za upravljanje aktivom i pasivom. Postavljene su metode za mjerenje, odnosno procjenu, praćenje i upravljanje valutnim rizikom, utvrđeni su limiti, postupci u slučaju naznake, kao i nastupa krize te su definirana izvješća potrebna za cjelovito ovladavanje ovim rizikom. </w:t>
      </w:r>
    </w:p>
    <w:p w14:paraId="7550503E" w14:textId="77777777" w:rsidR="00D43533" w:rsidRPr="00D43533" w:rsidRDefault="00D43533" w:rsidP="00D43533">
      <w:pPr>
        <w:tabs>
          <w:tab w:val="left" w:pos="8280"/>
        </w:tabs>
        <w:spacing w:after="0" w:line="240" w:lineRule="auto"/>
        <w:jc w:val="both"/>
        <w:rPr>
          <w:rFonts w:cstheme="minorHAnsi"/>
        </w:rPr>
      </w:pPr>
    </w:p>
    <w:p w14:paraId="2523479F" w14:textId="77777777" w:rsidR="00D43533" w:rsidRDefault="00117564" w:rsidP="00D43533">
      <w:pPr>
        <w:tabs>
          <w:tab w:val="left" w:pos="8280"/>
        </w:tabs>
        <w:spacing w:after="0" w:line="240" w:lineRule="auto"/>
        <w:jc w:val="both"/>
        <w:rPr>
          <w:rFonts w:cstheme="minorHAnsi"/>
          <w:spacing w:val="-3"/>
        </w:rPr>
      </w:pPr>
      <w:r w:rsidRPr="00D43533">
        <w:rPr>
          <w:rFonts w:cstheme="minorHAnsi"/>
          <w:spacing w:val="-3"/>
        </w:rPr>
        <w:t xml:space="preserve">Za mjerenje izloženosti valutnom riziku Banka prati otvorenost devizne pozicije. Osim dnevnog praćenja otvorenosti devizne pozicije i projiciranja njezinog kretanja, Banka za potrebe procjene i mjerenja valutnog rizika koristi i </w:t>
      </w:r>
      <w:proofErr w:type="spellStart"/>
      <w:r w:rsidRPr="00D43533">
        <w:rPr>
          <w:rFonts w:cstheme="minorHAnsi"/>
          <w:spacing w:val="-3"/>
        </w:rPr>
        <w:t>VaR</w:t>
      </w:r>
      <w:proofErr w:type="spellEnd"/>
      <w:r w:rsidRPr="00D43533">
        <w:rPr>
          <w:rFonts w:cstheme="minorHAnsi"/>
          <w:spacing w:val="-3"/>
        </w:rPr>
        <w:t xml:space="preserve"> model kao pomoćni model te redovito izvještava nadležna tijela o najvećim potencijalnim gubicima po značajnim valutama. Provode se analize scenarija i analize osjetljivosti pod pretpostavkom redovnih i stresnih uvjeta poslovanja.</w:t>
      </w:r>
    </w:p>
    <w:p w14:paraId="557F6438" w14:textId="77777777" w:rsidR="00D43533" w:rsidRDefault="00D43533" w:rsidP="00D43533">
      <w:pPr>
        <w:tabs>
          <w:tab w:val="left" w:pos="8280"/>
        </w:tabs>
        <w:spacing w:after="0" w:line="240" w:lineRule="auto"/>
        <w:jc w:val="both"/>
        <w:rPr>
          <w:rFonts w:cstheme="minorHAnsi"/>
          <w:spacing w:val="-3"/>
        </w:rPr>
      </w:pPr>
    </w:p>
    <w:p w14:paraId="1334A0CC" w14:textId="77777777" w:rsidR="00D43533" w:rsidRDefault="00D43533" w:rsidP="00D43533">
      <w:pPr>
        <w:tabs>
          <w:tab w:val="left" w:pos="8280"/>
        </w:tabs>
        <w:spacing w:after="0" w:line="240" w:lineRule="auto"/>
        <w:jc w:val="both"/>
        <w:rPr>
          <w:rFonts w:cstheme="minorHAnsi"/>
          <w:spacing w:val="-3"/>
        </w:rPr>
      </w:pPr>
    </w:p>
    <w:p w14:paraId="65096D87" w14:textId="77777777" w:rsidR="00D43533" w:rsidRDefault="00D43533" w:rsidP="00117564">
      <w:pPr>
        <w:tabs>
          <w:tab w:val="left" w:pos="8280"/>
        </w:tabs>
        <w:spacing w:after="120" w:line="360" w:lineRule="auto"/>
        <w:jc w:val="both"/>
        <w:rPr>
          <w:rFonts w:cstheme="minorHAnsi"/>
          <w:spacing w:val="-3"/>
        </w:rPr>
        <w:sectPr w:rsidR="00D43533" w:rsidSect="005B722B">
          <w:footerReference w:type="first" r:id="rId121"/>
          <w:pgSz w:w="11906" w:h="16838" w:code="9"/>
          <w:pgMar w:top="1418" w:right="1418" w:bottom="595" w:left="1134" w:header="709" w:footer="709" w:gutter="0"/>
          <w:cols w:space="708"/>
          <w:titlePg/>
          <w:docGrid w:linePitch="360"/>
        </w:sectPr>
      </w:pPr>
    </w:p>
    <w:p w14:paraId="35BBAF75" w14:textId="77777777" w:rsidR="00D43533" w:rsidRDefault="00D43533" w:rsidP="00622C3A">
      <w:pPr>
        <w:pStyle w:val="T1"/>
        <w:spacing w:before="0" w:after="0" w:line="240" w:lineRule="auto"/>
        <w:ind w:left="709" w:hanging="709"/>
        <w:rPr>
          <w:rFonts w:asciiTheme="minorHAnsi" w:hAnsiTheme="minorHAnsi" w:cs="Arial"/>
          <w:sz w:val="22"/>
          <w:szCs w:val="22"/>
          <w:lang w:val="hr-HR"/>
        </w:rPr>
      </w:pPr>
    </w:p>
    <w:p w14:paraId="7C46E60E" w14:textId="77777777" w:rsidR="00D43533" w:rsidRDefault="00D43533" w:rsidP="00622C3A">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        Upravljanje rizicima (nastavak)</w:t>
      </w:r>
    </w:p>
    <w:p w14:paraId="46F49D06" w14:textId="77777777" w:rsidR="00D43533" w:rsidRPr="00D43533" w:rsidRDefault="00D43533" w:rsidP="00622C3A">
      <w:pPr>
        <w:pStyle w:val="T1"/>
        <w:spacing w:before="0" w:after="0" w:line="240" w:lineRule="auto"/>
        <w:ind w:left="709" w:hanging="709"/>
        <w:rPr>
          <w:rFonts w:asciiTheme="minorHAnsi" w:hAnsiTheme="minorHAnsi" w:cs="Arial"/>
          <w:sz w:val="22"/>
          <w:szCs w:val="22"/>
          <w:lang w:val="hr-HR"/>
        </w:rPr>
      </w:pPr>
    </w:p>
    <w:p w14:paraId="3138C56C" w14:textId="77777777" w:rsidR="00D43533" w:rsidRDefault="00D43533" w:rsidP="00622C3A">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.4.     Tržišni rizik (nastavak)</w:t>
      </w:r>
    </w:p>
    <w:p w14:paraId="69FA9CB2" w14:textId="77777777" w:rsidR="00D43533" w:rsidRPr="00D43533" w:rsidRDefault="00D43533" w:rsidP="00622C3A">
      <w:pPr>
        <w:pStyle w:val="T1"/>
        <w:spacing w:before="0" w:after="0" w:line="240" w:lineRule="auto"/>
        <w:ind w:left="709" w:hanging="709"/>
        <w:rPr>
          <w:rFonts w:asciiTheme="minorHAnsi" w:hAnsiTheme="minorHAnsi" w:cs="Arial"/>
          <w:sz w:val="22"/>
          <w:szCs w:val="22"/>
          <w:lang w:val="hr-HR"/>
        </w:rPr>
      </w:pPr>
    </w:p>
    <w:p w14:paraId="4E5A380C" w14:textId="77777777" w:rsidR="00D43533" w:rsidRDefault="00D43533" w:rsidP="00622C3A">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.4.2.  Valutni rizik</w:t>
      </w:r>
      <w:r w:rsidR="00622C3A">
        <w:rPr>
          <w:rFonts w:asciiTheme="minorHAnsi" w:hAnsiTheme="minorHAnsi" w:cs="Arial"/>
          <w:sz w:val="22"/>
          <w:szCs w:val="22"/>
          <w:lang w:val="hr-HR"/>
        </w:rPr>
        <w:t xml:space="preserve"> (nastavak)</w:t>
      </w:r>
    </w:p>
    <w:p w14:paraId="762506F6" w14:textId="77777777" w:rsidR="00622C3A" w:rsidRPr="00D43533" w:rsidRDefault="00622C3A" w:rsidP="00622C3A">
      <w:pPr>
        <w:pStyle w:val="T1"/>
        <w:spacing w:before="0" w:after="0" w:line="240" w:lineRule="auto"/>
        <w:ind w:left="709" w:hanging="709"/>
        <w:rPr>
          <w:rFonts w:asciiTheme="minorHAnsi" w:hAnsiTheme="minorHAnsi" w:cs="Arial"/>
          <w:sz w:val="22"/>
          <w:szCs w:val="22"/>
          <w:lang w:val="hr-HR"/>
        </w:rPr>
      </w:pPr>
    </w:p>
    <w:p w14:paraId="05890D12" w14:textId="36C91308" w:rsidR="00D43533" w:rsidRPr="00D43533" w:rsidRDefault="00D43533" w:rsidP="00622C3A">
      <w:pPr>
        <w:pStyle w:val="T1"/>
        <w:spacing w:before="0" w:after="0" w:line="240" w:lineRule="auto"/>
        <w:rPr>
          <w:rFonts w:asciiTheme="minorHAnsi" w:hAnsiTheme="minorHAnsi" w:cs="Arial"/>
          <w:b w:val="0"/>
          <w:bCs w:val="0"/>
          <w:sz w:val="20"/>
          <w:lang w:val="hr-HR"/>
        </w:rPr>
      </w:pPr>
      <w:r w:rsidRPr="00D43533">
        <w:rPr>
          <w:rFonts w:asciiTheme="minorHAnsi" w:hAnsiTheme="minorHAnsi" w:cs="Arial"/>
          <w:b w:val="0"/>
          <w:bCs w:val="0"/>
          <w:sz w:val="20"/>
          <w:lang w:val="hr-HR"/>
        </w:rPr>
        <w:t xml:space="preserve">Iznos ukupne imovine i ukupnih obveza i glavnice na dan </w:t>
      </w:r>
      <w:r w:rsidR="008849AD">
        <w:rPr>
          <w:rFonts w:asciiTheme="minorHAnsi" w:hAnsiTheme="minorHAnsi" w:cs="Arial"/>
          <w:b w:val="0"/>
          <w:bCs w:val="0"/>
          <w:sz w:val="20"/>
          <w:lang w:val="hr-HR"/>
        </w:rPr>
        <w:t>30</w:t>
      </w:r>
      <w:r w:rsidR="00EE3D7C">
        <w:rPr>
          <w:rFonts w:asciiTheme="minorHAnsi" w:hAnsiTheme="minorHAnsi" w:cs="Arial"/>
          <w:b w:val="0"/>
          <w:bCs w:val="0"/>
          <w:sz w:val="20"/>
          <w:lang w:val="hr-HR"/>
        </w:rPr>
        <w:t xml:space="preserve">. </w:t>
      </w:r>
      <w:r w:rsidR="002B00EA">
        <w:rPr>
          <w:rFonts w:asciiTheme="minorHAnsi" w:hAnsiTheme="minorHAnsi" w:cs="Arial"/>
          <w:b w:val="0"/>
          <w:bCs w:val="0"/>
          <w:sz w:val="20"/>
          <w:lang w:val="hr-HR"/>
        </w:rPr>
        <w:t xml:space="preserve">lipnja </w:t>
      </w:r>
      <w:r w:rsidRPr="00D43533">
        <w:rPr>
          <w:rFonts w:asciiTheme="minorHAnsi" w:hAnsiTheme="minorHAnsi" w:cs="Arial"/>
          <w:b w:val="0"/>
          <w:bCs w:val="0"/>
          <w:sz w:val="20"/>
          <w:lang w:val="hr-HR"/>
        </w:rPr>
        <w:t>201</w:t>
      </w:r>
      <w:r w:rsidR="00EE3D7C">
        <w:rPr>
          <w:rFonts w:asciiTheme="minorHAnsi" w:hAnsiTheme="minorHAnsi" w:cs="Arial"/>
          <w:b w:val="0"/>
          <w:bCs w:val="0"/>
          <w:sz w:val="20"/>
          <w:lang w:val="hr-HR"/>
        </w:rPr>
        <w:t>7</w:t>
      </w:r>
      <w:r w:rsidRPr="00D43533">
        <w:rPr>
          <w:rFonts w:asciiTheme="minorHAnsi" w:hAnsiTheme="minorHAnsi" w:cs="Arial"/>
          <w:b w:val="0"/>
          <w:bCs w:val="0"/>
          <w:sz w:val="20"/>
          <w:lang w:val="hr-HR"/>
        </w:rPr>
        <w:t>. i 31. prosinca 201</w:t>
      </w:r>
      <w:r w:rsidR="00EE3D7C">
        <w:rPr>
          <w:rFonts w:asciiTheme="minorHAnsi" w:hAnsiTheme="minorHAnsi" w:cs="Arial"/>
          <w:b w:val="0"/>
          <w:bCs w:val="0"/>
          <w:sz w:val="20"/>
          <w:lang w:val="hr-HR"/>
        </w:rPr>
        <w:t>6</w:t>
      </w:r>
      <w:r w:rsidRPr="00D43533">
        <w:rPr>
          <w:rFonts w:asciiTheme="minorHAnsi" w:hAnsiTheme="minorHAnsi" w:cs="Arial"/>
          <w:b w:val="0"/>
          <w:bCs w:val="0"/>
          <w:sz w:val="20"/>
          <w:lang w:val="hr-HR"/>
        </w:rPr>
        <w:t>. godine u kunama i devizama:</w:t>
      </w:r>
    </w:p>
    <w:tbl>
      <w:tblPr>
        <w:tblW w:w="5000" w:type="pct"/>
        <w:tblLayout w:type="fixed"/>
        <w:tblCellMar>
          <w:left w:w="120" w:type="dxa"/>
          <w:right w:w="120" w:type="dxa"/>
        </w:tblCellMar>
        <w:tblLook w:val="0000" w:firstRow="0" w:lastRow="0" w:firstColumn="0" w:lastColumn="0" w:noHBand="0" w:noVBand="0"/>
      </w:tblPr>
      <w:tblGrid>
        <w:gridCol w:w="2737"/>
        <w:gridCol w:w="967"/>
        <w:gridCol w:w="1102"/>
        <w:gridCol w:w="1115"/>
        <w:gridCol w:w="1091"/>
        <w:gridCol w:w="1259"/>
        <w:gridCol w:w="1083"/>
      </w:tblGrid>
      <w:tr w:rsidR="00880F6C" w:rsidRPr="00EC1653" w14:paraId="39977A52" w14:textId="77777777" w:rsidTr="00880F6C">
        <w:trPr>
          <w:trHeight w:val="536"/>
        </w:trPr>
        <w:tc>
          <w:tcPr>
            <w:tcW w:w="1463" w:type="pct"/>
            <w:vAlign w:val="bottom"/>
          </w:tcPr>
          <w:p w14:paraId="75C72F32" w14:textId="77777777" w:rsidR="00880F6C" w:rsidRPr="00EC1653" w:rsidRDefault="00880F6C" w:rsidP="00880F6C">
            <w:pPr>
              <w:pStyle w:val="TH"/>
              <w:spacing w:line="220" w:lineRule="exact"/>
              <w:rPr>
                <w:rFonts w:asciiTheme="minorHAnsi" w:hAnsiTheme="minorHAnsi" w:cs="Arial"/>
                <w:sz w:val="18"/>
                <w:szCs w:val="18"/>
                <w:lang w:val="hr-HR"/>
              </w:rPr>
            </w:pPr>
            <w:r w:rsidRPr="00EC1653">
              <w:rPr>
                <w:rFonts w:asciiTheme="minorHAnsi" w:hAnsiTheme="minorHAnsi" w:cs="Arial"/>
                <w:sz w:val="18"/>
                <w:szCs w:val="18"/>
                <w:lang w:val="hr-HR"/>
              </w:rPr>
              <w:t>Grupa</w:t>
            </w:r>
          </w:p>
          <w:p w14:paraId="756A9230" w14:textId="77777777" w:rsidR="00880F6C" w:rsidRPr="00EC1653" w:rsidRDefault="00880F6C" w:rsidP="00880F6C">
            <w:pPr>
              <w:pStyle w:val="TH"/>
              <w:spacing w:line="220" w:lineRule="exact"/>
              <w:rPr>
                <w:rFonts w:asciiTheme="minorHAnsi" w:hAnsiTheme="minorHAnsi" w:cs="Arial"/>
                <w:sz w:val="18"/>
                <w:szCs w:val="18"/>
                <w:lang w:val="hr-HR"/>
              </w:rPr>
            </w:pPr>
          </w:p>
          <w:p w14:paraId="1477338D" w14:textId="26A85271" w:rsidR="00880F6C" w:rsidRPr="00EC1653" w:rsidRDefault="002B00EA">
            <w:pPr>
              <w:pStyle w:val="TH"/>
              <w:spacing w:line="220" w:lineRule="exact"/>
              <w:rPr>
                <w:rFonts w:asciiTheme="minorHAnsi" w:hAnsiTheme="minorHAnsi" w:cs="Arial"/>
                <w:sz w:val="18"/>
                <w:szCs w:val="18"/>
                <w:lang w:val="hr-HR"/>
              </w:rPr>
            </w:pPr>
            <w:r w:rsidRPr="00EC1653">
              <w:rPr>
                <w:rFonts w:asciiTheme="minorHAnsi" w:hAnsiTheme="minorHAnsi" w:cs="Arial"/>
                <w:sz w:val="18"/>
                <w:szCs w:val="18"/>
                <w:lang w:val="hr-HR"/>
              </w:rPr>
              <w:t>3</w:t>
            </w:r>
            <w:r>
              <w:rPr>
                <w:rFonts w:asciiTheme="minorHAnsi" w:hAnsiTheme="minorHAnsi" w:cs="Arial"/>
                <w:sz w:val="18"/>
                <w:szCs w:val="18"/>
                <w:lang w:val="hr-HR"/>
              </w:rPr>
              <w:t>0</w:t>
            </w:r>
            <w:r w:rsidR="00EE3D7C" w:rsidRPr="00EC1653">
              <w:rPr>
                <w:rFonts w:asciiTheme="minorHAnsi" w:hAnsiTheme="minorHAnsi" w:cs="Arial"/>
                <w:sz w:val="18"/>
                <w:szCs w:val="18"/>
                <w:lang w:val="hr-HR"/>
              </w:rPr>
              <w:t>.</w:t>
            </w:r>
            <w:r>
              <w:rPr>
                <w:rFonts w:asciiTheme="minorHAnsi" w:hAnsiTheme="minorHAnsi" w:cs="Arial"/>
                <w:sz w:val="18"/>
                <w:szCs w:val="18"/>
                <w:lang w:val="hr-HR"/>
              </w:rPr>
              <w:t>6</w:t>
            </w:r>
            <w:r w:rsidR="00EE3D7C" w:rsidRPr="00EC1653">
              <w:rPr>
                <w:rFonts w:asciiTheme="minorHAnsi" w:hAnsiTheme="minorHAnsi" w:cs="Arial"/>
                <w:sz w:val="18"/>
                <w:szCs w:val="18"/>
                <w:lang w:val="hr-HR"/>
              </w:rPr>
              <w:t>.2017.</w:t>
            </w:r>
          </w:p>
        </w:tc>
        <w:tc>
          <w:tcPr>
            <w:tcW w:w="517" w:type="pct"/>
          </w:tcPr>
          <w:p w14:paraId="3C01624B" w14:textId="77777777" w:rsidR="00880F6C" w:rsidRPr="00EC1653" w:rsidRDefault="00880F6C" w:rsidP="00880F6C">
            <w:pPr>
              <w:pStyle w:val="TH"/>
              <w:spacing w:line="220" w:lineRule="exact"/>
              <w:jc w:val="right"/>
              <w:rPr>
                <w:rFonts w:asciiTheme="minorHAnsi" w:hAnsiTheme="minorHAnsi" w:cs="Arial"/>
                <w:sz w:val="18"/>
                <w:szCs w:val="18"/>
                <w:lang w:val="hr-HR"/>
              </w:rPr>
            </w:pPr>
            <w:r w:rsidRPr="00EC1653">
              <w:rPr>
                <w:rFonts w:asciiTheme="minorHAnsi" w:hAnsiTheme="minorHAnsi" w:cs="Arial"/>
                <w:sz w:val="18"/>
                <w:szCs w:val="18"/>
                <w:lang w:val="hr-HR"/>
              </w:rPr>
              <w:t>USD</w:t>
            </w:r>
          </w:p>
        </w:tc>
        <w:tc>
          <w:tcPr>
            <w:tcW w:w="589" w:type="pct"/>
          </w:tcPr>
          <w:p w14:paraId="1C24A852" w14:textId="77777777" w:rsidR="00880F6C" w:rsidRPr="00EC1653" w:rsidRDefault="00880F6C" w:rsidP="00880F6C">
            <w:pPr>
              <w:pStyle w:val="TH"/>
              <w:spacing w:line="220" w:lineRule="exact"/>
              <w:jc w:val="right"/>
              <w:rPr>
                <w:rFonts w:asciiTheme="minorHAnsi" w:hAnsiTheme="minorHAnsi" w:cs="Arial"/>
                <w:sz w:val="18"/>
                <w:szCs w:val="18"/>
                <w:lang w:val="hr-HR"/>
              </w:rPr>
            </w:pPr>
            <w:r w:rsidRPr="00EC1653">
              <w:rPr>
                <w:rFonts w:asciiTheme="minorHAnsi" w:hAnsiTheme="minorHAnsi" w:cs="Arial"/>
                <w:sz w:val="18"/>
                <w:szCs w:val="18"/>
                <w:lang w:val="hr-HR"/>
              </w:rPr>
              <w:t xml:space="preserve">EUR </w:t>
            </w:r>
          </w:p>
        </w:tc>
        <w:tc>
          <w:tcPr>
            <w:tcW w:w="596" w:type="pct"/>
          </w:tcPr>
          <w:p w14:paraId="455A19CC" w14:textId="77777777" w:rsidR="00880F6C" w:rsidRPr="00EC1653" w:rsidRDefault="00880F6C" w:rsidP="00880F6C">
            <w:pPr>
              <w:pStyle w:val="TH"/>
              <w:spacing w:line="220" w:lineRule="exact"/>
              <w:jc w:val="right"/>
              <w:rPr>
                <w:rFonts w:asciiTheme="minorHAnsi" w:hAnsiTheme="minorHAnsi" w:cs="Arial"/>
                <w:sz w:val="18"/>
                <w:szCs w:val="18"/>
                <w:lang w:val="hr-HR"/>
              </w:rPr>
            </w:pPr>
            <w:r w:rsidRPr="00EC1653">
              <w:rPr>
                <w:rFonts w:asciiTheme="minorHAnsi" w:hAnsiTheme="minorHAnsi" w:cs="Arial"/>
                <w:sz w:val="18"/>
                <w:szCs w:val="18"/>
                <w:lang w:val="hr-HR"/>
              </w:rPr>
              <w:t>Ostale devize</w:t>
            </w:r>
          </w:p>
        </w:tc>
        <w:tc>
          <w:tcPr>
            <w:tcW w:w="583" w:type="pct"/>
          </w:tcPr>
          <w:p w14:paraId="2C9C6FF1" w14:textId="77777777" w:rsidR="00880F6C" w:rsidRPr="00EC1653" w:rsidRDefault="00880F6C" w:rsidP="00880F6C">
            <w:pPr>
              <w:pStyle w:val="TH"/>
              <w:spacing w:line="220" w:lineRule="exact"/>
              <w:jc w:val="right"/>
              <w:rPr>
                <w:rFonts w:asciiTheme="minorHAnsi" w:hAnsiTheme="minorHAnsi" w:cs="Arial"/>
                <w:sz w:val="18"/>
                <w:szCs w:val="18"/>
                <w:lang w:val="hr-HR"/>
              </w:rPr>
            </w:pPr>
            <w:r w:rsidRPr="00EC1653">
              <w:rPr>
                <w:rFonts w:asciiTheme="minorHAnsi" w:hAnsiTheme="minorHAnsi" w:cs="Arial"/>
                <w:sz w:val="18"/>
                <w:szCs w:val="18"/>
                <w:lang w:val="hr-HR"/>
              </w:rPr>
              <w:t>Ukupno devize</w:t>
            </w:r>
          </w:p>
        </w:tc>
        <w:tc>
          <w:tcPr>
            <w:tcW w:w="673" w:type="pct"/>
          </w:tcPr>
          <w:p w14:paraId="087F394F" w14:textId="77777777" w:rsidR="00880F6C" w:rsidRPr="00EC1653" w:rsidRDefault="00880F6C" w:rsidP="00880F6C">
            <w:pPr>
              <w:pStyle w:val="TH"/>
              <w:spacing w:line="220" w:lineRule="exact"/>
              <w:jc w:val="right"/>
              <w:rPr>
                <w:rFonts w:asciiTheme="minorHAnsi" w:hAnsiTheme="minorHAnsi" w:cs="Arial"/>
                <w:sz w:val="18"/>
                <w:szCs w:val="18"/>
                <w:lang w:val="hr-HR"/>
              </w:rPr>
            </w:pPr>
            <w:r w:rsidRPr="00EC1653">
              <w:rPr>
                <w:rFonts w:asciiTheme="minorHAnsi" w:hAnsiTheme="minorHAnsi" w:cs="Arial"/>
                <w:sz w:val="18"/>
                <w:szCs w:val="18"/>
                <w:lang w:val="hr-HR"/>
              </w:rPr>
              <w:t>Kune</w:t>
            </w:r>
          </w:p>
        </w:tc>
        <w:tc>
          <w:tcPr>
            <w:tcW w:w="579" w:type="pct"/>
          </w:tcPr>
          <w:p w14:paraId="13C64D7D" w14:textId="77777777" w:rsidR="00880F6C" w:rsidRPr="00EC1653" w:rsidRDefault="00880F6C" w:rsidP="00880F6C">
            <w:pPr>
              <w:pStyle w:val="TH"/>
              <w:spacing w:line="220" w:lineRule="exact"/>
              <w:jc w:val="right"/>
              <w:rPr>
                <w:rFonts w:asciiTheme="minorHAnsi" w:hAnsiTheme="minorHAnsi" w:cs="Arial"/>
                <w:sz w:val="18"/>
                <w:szCs w:val="18"/>
                <w:lang w:val="hr-HR"/>
              </w:rPr>
            </w:pPr>
            <w:r w:rsidRPr="00EC1653">
              <w:rPr>
                <w:rFonts w:asciiTheme="minorHAnsi" w:hAnsiTheme="minorHAnsi" w:cs="Arial"/>
                <w:sz w:val="18"/>
                <w:szCs w:val="18"/>
                <w:lang w:val="hr-HR"/>
              </w:rPr>
              <w:t>Ukupno</w:t>
            </w:r>
          </w:p>
        </w:tc>
      </w:tr>
      <w:tr w:rsidR="00880F6C" w:rsidRPr="00EC1653" w14:paraId="5CFCBABB" w14:textId="77777777" w:rsidTr="00880F6C">
        <w:tc>
          <w:tcPr>
            <w:tcW w:w="1463" w:type="pct"/>
          </w:tcPr>
          <w:p w14:paraId="033C6154" w14:textId="77777777" w:rsidR="00880F6C" w:rsidRPr="00EC1653" w:rsidRDefault="00880F6C" w:rsidP="00880F6C">
            <w:pPr>
              <w:pStyle w:val="TH"/>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Imovina</w:t>
            </w:r>
          </w:p>
        </w:tc>
        <w:tc>
          <w:tcPr>
            <w:tcW w:w="517" w:type="pct"/>
            <w:vAlign w:val="bottom"/>
          </w:tcPr>
          <w:p w14:paraId="3E6E7635" w14:textId="77777777" w:rsidR="00880F6C" w:rsidRPr="00EC1653" w:rsidRDefault="00880F6C" w:rsidP="00880F6C">
            <w:pPr>
              <w:spacing w:after="0" w:line="240" w:lineRule="exact"/>
              <w:jc w:val="right"/>
              <w:rPr>
                <w:rFonts w:eastAsia="Arial Unicode MS" w:cs="Arial"/>
                <w:sz w:val="18"/>
                <w:szCs w:val="18"/>
              </w:rPr>
            </w:pPr>
          </w:p>
        </w:tc>
        <w:tc>
          <w:tcPr>
            <w:tcW w:w="589" w:type="pct"/>
            <w:vAlign w:val="bottom"/>
          </w:tcPr>
          <w:p w14:paraId="2EB9ACEB" w14:textId="77777777" w:rsidR="00880F6C" w:rsidRPr="00EC1653" w:rsidRDefault="00880F6C" w:rsidP="00880F6C">
            <w:pPr>
              <w:spacing w:after="0" w:line="240" w:lineRule="exact"/>
              <w:jc w:val="right"/>
              <w:rPr>
                <w:rFonts w:eastAsia="Arial Unicode MS" w:cs="Arial"/>
                <w:sz w:val="18"/>
                <w:szCs w:val="18"/>
              </w:rPr>
            </w:pPr>
          </w:p>
        </w:tc>
        <w:tc>
          <w:tcPr>
            <w:tcW w:w="596" w:type="pct"/>
            <w:vAlign w:val="bottom"/>
          </w:tcPr>
          <w:p w14:paraId="242B7FCD" w14:textId="77777777" w:rsidR="00880F6C" w:rsidRPr="00EC1653" w:rsidRDefault="00880F6C" w:rsidP="00880F6C">
            <w:pPr>
              <w:spacing w:after="0" w:line="240" w:lineRule="exact"/>
              <w:jc w:val="right"/>
              <w:rPr>
                <w:rFonts w:eastAsia="Arial Unicode MS" w:cs="Arial"/>
                <w:sz w:val="18"/>
                <w:szCs w:val="18"/>
              </w:rPr>
            </w:pPr>
          </w:p>
        </w:tc>
        <w:tc>
          <w:tcPr>
            <w:tcW w:w="583" w:type="pct"/>
            <w:vAlign w:val="bottom"/>
          </w:tcPr>
          <w:p w14:paraId="33D29970" w14:textId="77777777" w:rsidR="00880F6C" w:rsidRPr="00EC1653" w:rsidRDefault="00880F6C" w:rsidP="00880F6C">
            <w:pPr>
              <w:spacing w:after="0" w:line="240" w:lineRule="exact"/>
              <w:jc w:val="right"/>
              <w:rPr>
                <w:rFonts w:eastAsia="Arial Unicode MS" w:cs="Arial"/>
                <w:sz w:val="18"/>
                <w:szCs w:val="18"/>
              </w:rPr>
            </w:pPr>
          </w:p>
        </w:tc>
        <w:tc>
          <w:tcPr>
            <w:tcW w:w="673" w:type="pct"/>
            <w:vAlign w:val="bottom"/>
          </w:tcPr>
          <w:p w14:paraId="31553FD8" w14:textId="77777777" w:rsidR="00880F6C" w:rsidRPr="00EC1653" w:rsidRDefault="00880F6C" w:rsidP="00880F6C">
            <w:pPr>
              <w:spacing w:after="0" w:line="240" w:lineRule="exact"/>
              <w:jc w:val="right"/>
              <w:rPr>
                <w:rFonts w:eastAsia="Arial Unicode MS" w:cs="Arial"/>
                <w:sz w:val="18"/>
                <w:szCs w:val="18"/>
              </w:rPr>
            </w:pPr>
          </w:p>
        </w:tc>
        <w:tc>
          <w:tcPr>
            <w:tcW w:w="579" w:type="pct"/>
            <w:vAlign w:val="bottom"/>
          </w:tcPr>
          <w:p w14:paraId="2E7F195C" w14:textId="77777777" w:rsidR="00880F6C" w:rsidRPr="00EC1653" w:rsidRDefault="00880F6C" w:rsidP="00880F6C">
            <w:pPr>
              <w:spacing w:after="0" w:line="240" w:lineRule="exact"/>
              <w:jc w:val="right"/>
              <w:rPr>
                <w:rFonts w:eastAsia="Arial Unicode MS" w:cs="Arial"/>
                <w:sz w:val="18"/>
                <w:szCs w:val="18"/>
              </w:rPr>
            </w:pPr>
          </w:p>
        </w:tc>
      </w:tr>
      <w:tr w:rsidR="00476F87" w:rsidRPr="00EC1653" w14:paraId="7B58A542" w14:textId="77777777" w:rsidTr="00312975">
        <w:tc>
          <w:tcPr>
            <w:tcW w:w="1463" w:type="pct"/>
          </w:tcPr>
          <w:p w14:paraId="66948FBE" w14:textId="77777777" w:rsidR="00476F87" w:rsidRPr="00EC1653" w:rsidRDefault="00476F87" w:rsidP="00476F87">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Novčana sredstva i računi kod banaka</w:t>
            </w:r>
          </w:p>
        </w:tc>
        <w:tc>
          <w:tcPr>
            <w:tcW w:w="517" w:type="pct"/>
            <w:tcBorders>
              <w:top w:val="nil"/>
              <w:left w:val="nil"/>
              <w:bottom w:val="nil"/>
              <w:right w:val="nil"/>
            </w:tcBorders>
            <w:shd w:val="clear" w:color="auto" w:fill="auto"/>
            <w:vAlign w:val="bottom"/>
          </w:tcPr>
          <w:p w14:paraId="6C5B56DE" w14:textId="226F8F25"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8.449</w:t>
            </w:r>
          </w:p>
        </w:tc>
        <w:tc>
          <w:tcPr>
            <w:tcW w:w="589" w:type="pct"/>
            <w:tcBorders>
              <w:top w:val="nil"/>
              <w:left w:val="nil"/>
              <w:bottom w:val="nil"/>
              <w:right w:val="nil"/>
            </w:tcBorders>
            <w:shd w:val="clear" w:color="auto" w:fill="auto"/>
            <w:vAlign w:val="bottom"/>
          </w:tcPr>
          <w:p w14:paraId="0720839B" w14:textId="2CD34CF8"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173.850</w:t>
            </w:r>
          </w:p>
        </w:tc>
        <w:tc>
          <w:tcPr>
            <w:tcW w:w="596" w:type="pct"/>
            <w:tcBorders>
              <w:top w:val="nil"/>
              <w:left w:val="nil"/>
              <w:bottom w:val="nil"/>
              <w:right w:val="nil"/>
            </w:tcBorders>
            <w:shd w:val="clear" w:color="auto" w:fill="auto"/>
            <w:vAlign w:val="bottom"/>
          </w:tcPr>
          <w:p w14:paraId="056575A7" w14:textId="413C875B"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2.090</w:t>
            </w:r>
          </w:p>
        </w:tc>
        <w:tc>
          <w:tcPr>
            <w:tcW w:w="583" w:type="pct"/>
            <w:tcBorders>
              <w:top w:val="nil"/>
              <w:left w:val="nil"/>
              <w:bottom w:val="nil"/>
              <w:right w:val="nil"/>
            </w:tcBorders>
            <w:shd w:val="clear" w:color="auto" w:fill="auto"/>
            <w:vAlign w:val="bottom"/>
          </w:tcPr>
          <w:p w14:paraId="205F3ED1" w14:textId="4A218FEA"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184.389</w:t>
            </w:r>
          </w:p>
        </w:tc>
        <w:tc>
          <w:tcPr>
            <w:tcW w:w="673" w:type="pct"/>
            <w:tcBorders>
              <w:top w:val="nil"/>
              <w:left w:val="nil"/>
              <w:bottom w:val="nil"/>
              <w:right w:val="nil"/>
            </w:tcBorders>
            <w:shd w:val="clear" w:color="auto" w:fill="auto"/>
            <w:vAlign w:val="bottom"/>
          </w:tcPr>
          <w:p w14:paraId="00F9A5C8" w14:textId="049AE665"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1.496.902</w:t>
            </w:r>
          </w:p>
        </w:tc>
        <w:tc>
          <w:tcPr>
            <w:tcW w:w="579" w:type="pct"/>
            <w:tcBorders>
              <w:top w:val="nil"/>
              <w:left w:val="nil"/>
              <w:bottom w:val="nil"/>
            </w:tcBorders>
            <w:shd w:val="clear" w:color="auto" w:fill="auto"/>
            <w:vAlign w:val="bottom"/>
          </w:tcPr>
          <w:p w14:paraId="04599292" w14:textId="458550C3"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1.681.291</w:t>
            </w:r>
          </w:p>
        </w:tc>
      </w:tr>
      <w:tr w:rsidR="00476F87" w:rsidRPr="00EC1653" w14:paraId="3ABE502F" w14:textId="77777777" w:rsidTr="00312975">
        <w:tc>
          <w:tcPr>
            <w:tcW w:w="1463" w:type="pct"/>
          </w:tcPr>
          <w:p w14:paraId="12C8BF7C" w14:textId="77777777" w:rsidR="00476F87" w:rsidRPr="00EC1653" w:rsidRDefault="00476F87" w:rsidP="00476F87">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Depoziti kod drugih banaka</w:t>
            </w:r>
          </w:p>
        </w:tc>
        <w:tc>
          <w:tcPr>
            <w:tcW w:w="517" w:type="pct"/>
            <w:tcBorders>
              <w:top w:val="nil"/>
              <w:left w:val="nil"/>
              <w:bottom w:val="nil"/>
              <w:right w:val="nil"/>
            </w:tcBorders>
            <w:shd w:val="clear" w:color="auto" w:fill="auto"/>
            <w:vAlign w:val="bottom"/>
          </w:tcPr>
          <w:p w14:paraId="3A66BEDB" w14:textId="267818CA" w:rsidR="00476F87" w:rsidRPr="00EC1653" w:rsidRDefault="00476F87" w:rsidP="00476F87">
            <w:pPr>
              <w:spacing w:after="0" w:line="240" w:lineRule="exact"/>
              <w:jc w:val="right"/>
              <w:rPr>
                <w:rFonts w:eastAsia="Arial Unicode MS" w:cs="Arial"/>
                <w:sz w:val="18"/>
                <w:szCs w:val="18"/>
              </w:rPr>
            </w:pPr>
            <w:r w:rsidRPr="003E2E99">
              <w:rPr>
                <w:rFonts w:eastAsia="Arial Unicode MS" w:cs="Arial"/>
                <w:sz w:val="17"/>
                <w:szCs w:val="17"/>
                <w:lang w:val="pl-PL"/>
              </w:rPr>
              <w:t>-</w:t>
            </w:r>
          </w:p>
        </w:tc>
        <w:tc>
          <w:tcPr>
            <w:tcW w:w="589" w:type="pct"/>
            <w:tcBorders>
              <w:top w:val="nil"/>
              <w:left w:val="nil"/>
              <w:bottom w:val="nil"/>
              <w:right w:val="nil"/>
            </w:tcBorders>
            <w:shd w:val="clear" w:color="auto" w:fill="auto"/>
            <w:vAlign w:val="bottom"/>
          </w:tcPr>
          <w:p w14:paraId="12B4A3FD" w14:textId="685BCFF4"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18</w:t>
            </w:r>
          </w:p>
        </w:tc>
        <w:tc>
          <w:tcPr>
            <w:tcW w:w="596" w:type="pct"/>
            <w:tcBorders>
              <w:top w:val="nil"/>
              <w:left w:val="nil"/>
              <w:bottom w:val="nil"/>
              <w:right w:val="nil"/>
            </w:tcBorders>
            <w:shd w:val="clear" w:color="auto" w:fill="auto"/>
            <w:vAlign w:val="bottom"/>
          </w:tcPr>
          <w:p w14:paraId="3703DEE0" w14:textId="2545A3ED"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1.530</w:t>
            </w:r>
          </w:p>
        </w:tc>
        <w:tc>
          <w:tcPr>
            <w:tcW w:w="583" w:type="pct"/>
            <w:tcBorders>
              <w:top w:val="nil"/>
              <w:left w:val="nil"/>
              <w:bottom w:val="nil"/>
              <w:right w:val="nil"/>
            </w:tcBorders>
            <w:shd w:val="clear" w:color="auto" w:fill="auto"/>
            <w:vAlign w:val="bottom"/>
          </w:tcPr>
          <w:p w14:paraId="2A8A1988" w14:textId="7BAE7E3B"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1.548</w:t>
            </w:r>
          </w:p>
        </w:tc>
        <w:tc>
          <w:tcPr>
            <w:tcW w:w="673" w:type="pct"/>
            <w:tcBorders>
              <w:top w:val="nil"/>
              <w:left w:val="nil"/>
              <w:bottom w:val="nil"/>
              <w:right w:val="nil"/>
            </w:tcBorders>
            <w:shd w:val="clear" w:color="auto" w:fill="auto"/>
            <w:vAlign w:val="bottom"/>
          </w:tcPr>
          <w:p w14:paraId="0F024E4D" w14:textId="702D940B"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w:t>
            </w:r>
          </w:p>
        </w:tc>
        <w:tc>
          <w:tcPr>
            <w:tcW w:w="579" w:type="pct"/>
            <w:tcBorders>
              <w:top w:val="nil"/>
              <w:left w:val="nil"/>
              <w:bottom w:val="nil"/>
            </w:tcBorders>
            <w:shd w:val="clear" w:color="auto" w:fill="auto"/>
            <w:vAlign w:val="bottom"/>
          </w:tcPr>
          <w:p w14:paraId="668295EB" w14:textId="1F955885"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1.548</w:t>
            </w:r>
          </w:p>
        </w:tc>
      </w:tr>
      <w:tr w:rsidR="00476F87" w:rsidRPr="00EC1653" w14:paraId="69F2F784" w14:textId="77777777" w:rsidTr="00312975">
        <w:tc>
          <w:tcPr>
            <w:tcW w:w="1463" w:type="pct"/>
          </w:tcPr>
          <w:p w14:paraId="3216DF8F" w14:textId="77777777" w:rsidR="00476F87" w:rsidRPr="00EC1653" w:rsidRDefault="00476F87" w:rsidP="00476F87">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Krediti financijskim institucijama</w:t>
            </w:r>
          </w:p>
        </w:tc>
        <w:tc>
          <w:tcPr>
            <w:tcW w:w="517" w:type="pct"/>
            <w:tcBorders>
              <w:top w:val="nil"/>
              <w:left w:val="nil"/>
              <w:bottom w:val="nil"/>
              <w:right w:val="nil"/>
            </w:tcBorders>
            <w:shd w:val="clear" w:color="auto" w:fill="auto"/>
            <w:vAlign w:val="bottom"/>
          </w:tcPr>
          <w:p w14:paraId="328B4B8A" w14:textId="3F7196CC"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w:t>
            </w:r>
          </w:p>
        </w:tc>
        <w:tc>
          <w:tcPr>
            <w:tcW w:w="589" w:type="pct"/>
            <w:tcBorders>
              <w:top w:val="nil"/>
              <w:left w:val="nil"/>
              <w:bottom w:val="nil"/>
              <w:right w:val="nil"/>
            </w:tcBorders>
            <w:shd w:val="clear" w:color="auto" w:fill="auto"/>
            <w:vAlign w:val="bottom"/>
          </w:tcPr>
          <w:p w14:paraId="24DDB7C3" w14:textId="03B2D798"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6.483.559</w:t>
            </w:r>
          </w:p>
        </w:tc>
        <w:tc>
          <w:tcPr>
            <w:tcW w:w="596" w:type="pct"/>
            <w:tcBorders>
              <w:top w:val="nil"/>
              <w:left w:val="nil"/>
              <w:bottom w:val="nil"/>
              <w:right w:val="nil"/>
            </w:tcBorders>
            <w:shd w:val="clear" w:color="auto" w:fill="auto"/>
            <w:vAlign w:val="bottom"/>
          </w:tcPr>
          <w:p w14:paraId="68DF8A61" w14:textId="7F05A0A1"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w:t>
            </w:r>
          </w:p>
        </w:tc>
        <w:tc>
          <w:tcPr>
            <w:tcW w:w="583" w:type="pct"/>
            <w:tcBorders>
              <w:top w:val="nil"/>
              <w:left w:val="nil"/>
              <w:bottom w:val="nil"/>
              <w:right w:val="nil"/>
            </w:tcBorders>
            <w:shd w:val="clear" w:color="auto" w:fill="auto"/>
            <w:vAlign w:val="bottom"/>
          </w:tcPr>
          <w:p w14:paraId="62CCA392" w14:textId="15F04C75"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6.483.559</w:t>
            </w:r>
          </w:p>
        </w:tc>
        <w:tc>
          <w:tcPr>
            <w:tcW w:w="673" w:type="pct"/>
            <w:tcBorders>
              <w:top w:val="nil"/>
              <w:left w:val="nil"/>
              <w:bottom w:val="nil"/>
              <w:right w:val="nil"/>
            </w:tcBorders>
            <w:shd w:val="clear" w:color="auto" w:fill="auto"/>
            <w:vAlign w:val="bottom"/>
          </w:tcPr>
          <w:p w14:paraId="5FAC0D4D" w14:textId="3EB1E3AB"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4.829.943</w:t>
            </w:r>
          </w:p>
        </w:tc>
        <w:tc>
          <w:tcPr>
            <w:tcW w:w="579" w:type="pct"/>
            <w:tcBorders>
              <w:top w:val="nil"/>
              <w:left w:val="nil"/>
              <w:bottom w:val="nil"/>
            </w:tcBorders>
            <w:shd w:val="clear" w:color="auto" w:fill="auto"/>
            <w:vAlign w:val="bottom"/>
          </w:tcPr>
          <w:p w14:paraId="66872713" w14:textId="4977F5AE"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11.313.502</w:t>
            </w:r>
          </w:p>
        </w:tc>
      </w:tr>
      <w:tr w:rsidR="00476F87" w:rsidRPr="00EC1653" w14:paraId="50C3535E" w14:textId="77777777" w:rsidTr="00312975">
        <w:tc>
          <w:tcPr>
            <w:tcW w:w="1463" w:type="pct"/>
          </w:tcPr>
          <w:p w14:paraId="290E6735" w14:textId="77777777" w:rsidR="00476F87" w:rsidRPr="00EC1653" w:rsidRDefault="00476F87" w:rsidP="00476F87">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Krediti ostalim korisnicima</w:t>
            </w:r>
          </w:p>
        </w:tc>
        <w:tc>
          <w:tcPr>
            <w:tcW w:w="517" w:type="pct"/>
            <w:tcBorders>
              <w:top w:val="nil"/>
              <w:left w:val="nil"/>
              <w:bottom w:val="nil"/>
              <w:right w:val="nil"/>
            </w:tcBorders>
            <w:shd w:val="clear" w:color="auto" w:fill="auto"/>
            <w:vAlign w:val="bottom"/>
          </w:tcPr>
          <w:p w14:paraId="289A3772" w14:textId="1A18F6E5"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460.219</w:t>
            </w:r>
          </w:p>
        </w:tc>
        <w:tc>
          <w:tcPr>
            <w:tcW w:w="589" w:type="pct"/>
            <w:tcBorders>
              <w:top w:val="nil"/>
              <w:left w:val="nil"/>
              <w:bottom w:val="nil"/>
              <w:right w:val="nil"/>
            </w:tcBorders>
            <w:shd w:val="clear" w:color="auto" w:fill="auto"/>
            <w:vAlign w:val="bottom"/>
          </w:tcPr>
          <w:p w14:paraId="3F4DC610" w14:textId="4AC46B22"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8.243.924</w:t>
            </w:r>
          </w:p>
        </w:tc>
        <w:tc>
          <w:tcPr>
            <w:tcW w:w="596" w:type="pct"/>
            <w:tcBorders>
              <w:top w:val="nil"/>
              <w:left w:val="nil"/>
              <w:bottom w:val="nil"/>
              <w:right w:val="nil"/>
            </w:tcBorders>
            <w:shd w:val="clear" w:color="auto" w:fill="auto"/>
            <w:vAlign w:val="bottom"/>
          </w:tcPr>
          <w:p w14:paraId="25B42FC0" w14:textId="6C4EDD2D"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w:t>
            </w:r>
          </w:p>
        </w:tc>
        <w:tc>
          <w:tcPr>
            <w:tcW w:w="583" w:type="pct"/>
            <w:tcBorders>
              <w:top w:val="nil"/>
              <w:left w:val="nil"/>
              <w:bottom w:val="nil"/>
              <w:right w:val="nil"/>
            </w:tcBorders>
            <w:shd w:val="clear" w:color="auto" w:fill="auto"/>
            <w:vAlign w:val="bottom"/>
          </w:tcPr>
          <w:p w14:paraId="0C98ADB9" w14:textId="288801C8"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8.704.143</w:t>
            </w:r>
          </w:p>
        </w:tc>
        <w:tc>
          <w:tcPr>
            <w:tcW w:w="673" w:type="pct"/>
            <w:tcBorders>
              <w:top w:val="nil"/>
              <w:left w:val="nil"/>
              <w:bottom w:val="nil"/>
              <w:right w:val="nil"/>
            </w:tcBorders>
            <w:shd w:val="clear" w:color="auto" w:fill="auto"/>
            <w:vAlign w:val="bottom"/>
          </w:tcPr>
          <w:p w14:paraId="584D44EF" w14:textId="04B92802"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2.942.971</w:t>
            </w:r>
          </w:p>
        </w:tc>
        <w:tc>
          <w:tcPr>
            <w:tcW w:w="579" w:type="pct"/>
            <w:tcBorders>
              <w:top w:val="nil"/>
              <w:left w:val="nil"/>
              <w:bottom w:val="nil"/>
            </w:tcBorders>
            <w:shd w:val="clear" w:color="auto" w:fill="auto"/>
            <w:vAlign w:val="bottom"/>
          </w:tcPr>
          <w:p w14:paraId="275A5D8B" w14:textId="4E4079BE"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11.647.114</w:t>
            </w:r>
          </w:p>
        </w:tc>
      </w:tr>
      <w:tr w:rsidR="00476F87" w:rsidRPr="00EC1653" w14:paraId="1F62B47C" w14:textId="77777777" w:rsidTr="00312975">
        <w:tc>
          <w:tcPr>
            <w:tcW w:w="1463" w:type="pct"/>
          </w:tcPr>
          <w:p w14:paraId="70622DFD" w14:textId="77777777" w:rsidR="00476F87" w:rsidRPr="00EC1653" w:rsidRDefault="00476F87" w:rsidP="00476F87">
            <w:pPr>
              <w:pStyle w:val="TT"/>
              <w:spacing w:line="240" w:lineRule="exact"/>
              <w:rPr>
                <w:rFonts w:asciiTheme="minorHAnsi" w:hAnsiTheme="minorHAnsi" w:cs="Arial"/>
                <w:spacing w:val="-2"/>
                <w:sz w:val="18"/>
                <w:szCs w:val="18"/>
                <w:lang w:val="hr-HR"/>
              </w:rPr>
            </w:pPr>
            <w:r w:rsidRPr="00EC1653">
              <w:rPr>
                <w:rFonts w:asciiTheme="minorHAnsi" w:hAnsiTheme="minorHAnsi" w:cs="Arial"/>
                <w:spacing w:val="-2"/>
                <w:sz w:val="18"/>
                <w:szCs w:val="18"/>
                <w:lang w:val="hr-HR"/>
              </w:rPr>
              <w:t>Financijska imovina po fer vrijednosti kroz izvještaj o dobiti i gubitku</w:t>
            </w:r>
          </w:p>
        </w:tc>
        <w:tc>
          <w:tcPr>
            <w:tcW w:w="517" w:type="pct"/>
            <w:tcBorders>
              <w:top w:val="nil"/>
              <w:left w:val="nil"/>
              <w:bottom w:val="nil"/>
              <w:right w:val="nil"/>
            </w:tcBorders>
            <w:shd w:val="clear" w:color="auto" w:fill="auto"/>
            <w:vAlign w:val="bottom"/>
          </w:tcPr>
          <w:p w14:paraId="018B31E2" w14:textId="1A8B3D86" w:rsidR="00476F87" w:rsidRPr="00EC1653" w:rsidRDefault="00476F87" w:rsidP="00476F87">
            <w:pPr>
              <w:spacing w:after="0" w:line="240" w:lineRule="exact"/>
              <w:jc w:val="right"/>
              <w:rPr>
                <w:rFonts w:eastAsia="Arial Unicode MS" w:cs="Arial"/>
                <w:sz w:val="18"/>
                <w:szCs w:val="18"/>
              </w:rPr>
            </w:pPr>
            <w:r w:rsidRPr="003E2E99">
              <w:rPr>
                <w:rFonts w:eastAsia="Arial Unicode MS" w:cs="Arial"/>
                <w:sz w:val="17"/>
                <w:szCs w:val="17"/>
              </w:rPr>
              <w:t>-</w:t>
            </w:r>
          </w:p>
        </w:tc>
        <w:tc>
          <w:tcPr>
            <w:tcW w:w="589" w:type="pct"/>
            <w:tcBorders>
              <w:top w:val="nil"/>
              <w:left w:val="nil"/>
              <w:bottom w:val="nil"/>
              <w:right w:val="nil"/>
            </w:tcBorders>
            <w:shd w:val="clear" w:color="auto" w:fill="auto"/>
            <w:vAlign w:val="bottom"/>
          </w:tcPr>
          <w:p w14:paraId="54055F07" w14:textId="6AC40CCD"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284</w:t>
            </w:r>
          </w:p>
        </w:tc>
        <w:tc>
          <w:tcPr>
            <w:tcW w:w="596" w:type="pct"/>
            <w:tcBorders>
              <w:top w:val="nil"/>
              <w:left w:val="nil"/>
              <w:bottom w:val="nil"/>
              <w:right w:val="nil"/>
            </w:tcBorders>
            <w:shd w:val="clear" w:color="auto" w:fill="auto"/>
            <w:vAlign w:val="bottom"/>
          </w:tcPr>
          <w:p w14:paraId="6D1B64A9" w14:textId="7E2C0D7A"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w:t>
            </w:r>
          </w:p>
        </w:tc>
        <w:tc>
          <w:tcPr>
            <w:tcW w:w="583" w:type="pct"/>
            <w:tcBorders>
              <w:top w:val="nil"/>
              <w:left w:val="nil"/>
              <w:bottom w:val="nil"/>
              <w:right w:val="nil"/>
            </w:tcBorders>
            <w:shd w:val="clear" w:color="auto" w:fill="auto"/>
            <w:vAlign w:val="bottom"/>
          </w:tcPr>
          <w:p w14:paraId="4EF199E2" w14:textId="7B0E0EEE"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284</w:t>
            </w:r>
          </w:p>
        </w:tc>
        <w:tc>
          <w:tcPr>
            <w:tcW w:w="673" w:type="pct"/>
            <w:tcBorders>
              <w:top w:val="nil"/>
              <w:left w:val="nil"/>
              <w:bottom w:val="nil"/>
              <w:right w:val="nil"/>
            </w:tcBorders>
            <w:shd w:val="clear" w:color="auto" w:fill="auto"/>
            <w:vAlign w:val="bottom"/>
          </w:tcPr>
          <w:p w14:paraId="25A961EC" w14:textId="655FCC5A"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w:t>
            </w:r>
          </w:p>
        </w:tc>
        <w:tc>
          <w:tcPr>
            <w:tcW w:w="579" w:type="pct"/>
            <w:tcBorders>
              <w:top w:val="nil"/>
              <w:left w:val="nil"/>
              <w:bottom w:val="nil"/>
            </w:tcBorders>
            <w:shd w:val="clear" w:color="auto" w:fill="auto"/>
            <w:vAlign w:val="bottom"/>
          </w:tcPr>
          <w:p w14:paraId="6E1E6702" w14:textId="272F7755"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284</w:t>
            </w:r>
          </w:p>
        </w:tc>
      </w:tr>
      <w:tr w:rsidR="00476F87" w:rsidRPr="00EC1653" w14:paraId="2B0E7AB3" w14:textId="77777777" w:rsidTr="00312975">
        <w:tc>
          <w:tcPr>
            <w:tcW w:w="1463" w:type="pct"/>
          </w:tcPr>
          <w:p w14:paraId="28B2BD29" w14:textId="77777777" w:rsidR="00476F87" w:rsidRPr="00EC1653" w:rsidRDefault="00476F87" w:rsidP="00476F87">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Imovina raspoloživa za prodaju</w:t>
            </w:r>
          </w:p>
        </w:tc>
        <w:tc>
          <w:tcPr>
            <w:tcW w:w="517" w:type="pct"/>
            <w:tcBorders>
              <w:top w:val="nil"/>
              <w:left w:val="nil"/>
              <w:bottom w:val="nil"/>
              <w:right w:val="nil"/>
            </w:tcBorders>
            <w:shd w:val="clear" w:color="auto" w:fill="auto"/>
            <w:vAlign w:val="bottom"/>
          </w:tcPr>
          <w:p w14:paraId="6C0F85A4" w14:textId="6301BB2A"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w:t>
            </w:r>
          </w:p>
        </w:tc>
        <w:tc>
          <w:tcPr>
            <w:tcW w:w="589" w:type="pct"/>
            <w:tcBorders>
              <w:top w:val="nil"/>
              <w:left w:val="nil"/>
              <w:bottom w:val="nil"/>
              <w:right w:val="nil"/>
            </w:tcBorders>
            <w:shd w:val="clear" w:color="auto" w:fill="auto"/>
            <w:vAlign w:val="bottom"/>
          </w:tcPr>
          <w:p w14:paraId="2A86C3D0" w14:textId="54761871"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850.684</w:t>
            </w:r>
          </w:p>
        </w:tc>
        <w:tc>
          <w:tcPr>
            <w:tcW w:w="596" w:type="pct"/>
            <w:tcBorders>
              <w:top w:val="nil"/>
              <w:left w:val="nil"/>
              <w:bottom w:val="nil"/>
              <w:right w:val="nil"/>
            </w:tcBorders>
            <w:shd w:val="clear" w:color="auto" w:fill="auto"/>
            <w:vAlign w:val="bottom"/>
          </w:tcPr>
          <w:p w14:paraId="0F12D74F" w14:textId="51948D41"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w:t>
            </w:r>
          </w:p>
        </w:tc>
        <w:tc>
          <w:tcPr>
            <w:tcW w:w="583" w:type="pct"/>
            <w:tcBorders>
              <w:top w:val="nil"/>
              <w:left w:val="nil"/>
              <w:bottom w:val="nil"/>
              <w:right w:val="nil"/>
            </w:tcBorders>
            <w:shd w:val="clear" w:color="auto" w:fill="auto"/>
            <w:vAlign w:val="bottom"/>
          </w:tcPr>
          <w:p w14:paraId="60DAB5E2" w14:textId="4AFBC729" w:rsidR="00476F87" w:rsidRPr="00EC1653" w:rsidRDefault="00476F87" w:rsidP="00476F87">
            <w:pPr>
              <w:spacing w:after="0" w:line="240" w:lineRule="exact"/>
              <w:jc w:val="right"/>
              <w:rPr>
                <w:rFonts w:eastAsia="Arial Unicode MS" w:cs="Arial"/>
                <w:sz w:val="18"/>
                <w:szCs w:val="18"/>
              </w:rPr>
            </w:pPr>
            <w:r w:rsidRPr="002B5DC6">
              <w:rPr>
                <w:rFonts w:eastAsia="Arial Unicode MS" w:cs="Arial"/>
                <w:sz w:val="17"/>
                <w:szCs w:val="17"/>
                <w:lang w:val="pl-PL"/>
              </w:rPr>
              <w:t>850.684</w:t>
            </w:r>
          </w:p>
        </w:tc>
        <w:tc>
          <w:tcPr>
            <w:tcW w:w="673" w:type="pct"/>
            <w:tcBorders>
              <w:top w:val="nil"/>
              <w:left w:val="nil"/>
              <w:bottom w:val="nil"/>
              <w:right w:val="nil"/>
            </w:tcBorders>
            <w:shd w:val="clear" w:color="auto" w:fill="auto"/>
            <w:vAlign w:val="bottom"/>
          </w:tcPr>
          <w:p w14:paraId="4180842E" w14:textId="381453DA"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2.246.465</w:t>
            </w:r>
          </w:p>
        </w:tc>
        <w:tc>
          <w:tcPr>
            <w:tcW w:w="579" w:type="pct"/>
            <w:tcBorders>
              <w:top w:val="nil"/>
              <w:left w:val="nil"/>
              <w:bottom w:val="nil"/>
            </w:tcBorders>
            <w:shd w:val="clear" w:color="auto" w:fill="auto"/>
            <w:vAlign w:val="bottom"/>
          </w:tcPr>
          <w:p w14:paraId="7A5BB3D2" w14:textId="7EE19182"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3.097.149</w:t>
            </w:r>
          </w:p>
        </w:tc>
      </w:tr>
      <w:tr w:rsidR="00476F87" w:rsidRPr="00EC1653" w14:paraId="74A8C649" w14:textId="77777777" w:rsidTr="00312975">
        <w:tc>
          <w:tcPr>
            <w:tcW w:w="1463" w:type="pct"/>
          </w:tcPr>
          <w:p w14:paraId="6585DECC" w14:textId="77777777" w:rsidR="00476F87" w:rsidRPr="00EC1653" w:rsidRDefault="00476F87" w:rsidP="00476F87">
            <w:pPr>
              <w:pStyle w:val="TT"/>
              <w:spacing w:line="240" w:lineRule="exact"/>
              <w:rPr>
                <w:rFonts w:asciiTheme="minorHAnsi" w:hAnsiTheme="minorHAnsi" w:cs="Arial"/>
                <w:spacing w:val="-2"/>
                <w:sz w:val="18"/>
                <w:szCs w:val="18"/>
                <w:lang w:val="hr-HR"/>
              </w:rPr>
            </w:pPr>
            <w:r w:rsidRPr="00EC1653">
              <w:rPr>
                <w:rFonts w:asciiTheme="minorHAnsi" w:hAnsiTheme="minorHAnsi" w:cs="Arial"/>
                <w:spacing w:val="-2"/>
                <w:sz w:val="18"/>
                <w:szCs w:val="18"/>
                <w:lang w:val="hr-HR"/>
              </w:rPr>
              <w:t>Imovina koja se drži do dospijeća</w:t>
            </w:r>
          </w:p>
        </w:tc>
        <w:tc>
          <w:tcPr>
            <w:tcW w:w="517" w:type="pct"/>
            <w:tcBorders>
              <w:top w:val="nil"/>
              <w:left w:val="nil"/>
              <w:bottom w:val="nil"/>
              <w:right w:val="nil"/>
            </w:tcBorders>
            <w:shd w:val="clear" w:color="auto" w:fill="auto"/>
            <w:vAlign w:val="bottom"/>
          </w:tcPr>
          <w:p w14:paraId="5BC113AC" w14:textId="2E9814B9"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w:t>
            </w:r>
          </w:p>
        </w:tc>
        <w:tc>
          <w:tcPr>
            <w:tcW w:w="589" w:type="pct"/>
            <w:tcBorders>
              <w:top w:val="nil"/>
              <w:left w:val="nil"/>
              <w:bottom w:val="nil"/>
              <w:right w:val="nil"/>
            </w:tcBorders>
            <w:shd w:val="clear" w:color="auto" w:fill="auto"/>
            <w:vAlign w:val="bottom"/>
          </w:tcPr>
          <w:p w14:paraId="191C85FA" w14:textId="1B5FD7A6"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1.390</w:t>
            </w:r>
          </w:p>
        </w:tc>
        <w:tc>
          <w:tcPr>
            <w:tcW w:w="596" w:type="pct"/>
            <w:tcBorders>
              <w:top w:val="nil"/>
              <w:left w:val="nil"/>
              <w:bottom w:val="nil"/>
              <w:right w:val="nil"/>
            </w:tcBorders>
            <w:shd w:val="clear" w:color="auto" w:fill="auto"/>
            <w:vAlign w:val="bottom"/>
          </w:tcPr>
          <w:p w14:paraId="764C8F26" w14:textId="46E0B7FF"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w:t>
            </w:r>
          </w:p>
        </w:tc>
        <w:tc>
          <w:tcPr>
            <w:tcW w:w="583" w:type="pct"/>
            <w:tcBorders>
              <w:top w:val="nil"/>
              <w:left w:val="nil"/>
              <w:bottom w:val="nil"/>
              <w:right w:val="nil"/>
            </w:tcBorders>
            <w:shd w:val="clear" w:color="auto" w:fill="auto"/>
            <w:vAlign w:val="bottom"/>
          </w:tcPr>
          <w:p w14:paraId="721CA202" w14:textId="35FF906C"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1.390</w:t>
            </w:r>
          </w:p>
        </w:tc>
        <w:tc>
          <w:tcPr>
            <w:tcW w:w="673" w:type="pct"/>
            <w:tcBorders>
              <w:top w:val="nil"/>
              <w:left w:val="nil"/>
              <w:bottom w:val="nil"/>
              <w:right w:val="nil"/>
            </w:tcBorders>
            <w:shd w:val="clear" w:color="auto" w:fill="auto"/>
            <w:vAlign w:val="bottom"/>
          </w:tcPr>
          <w:p w14:paraId="4F8014A5" w14:textId="28545075"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w:t>
            </w:r>
          </w:p>
        </w:tc>
        <w:tc>
          <w:tcPr>
            <w:tcW w:w="579" w:type="pct"/>
            <w:tcBorders>
              <w:top w:val="nil"/>
              <w:left w:val="nil"/>
              <w:bottom w:val="nil"/>
            </w:tcBorders>
            <w:shd w:val="clear" w:color="auto" w:fill="auto"/>
            <w:vAlign w:val="bottom"/>
          </w:tcPr>
          <w:p w14:paraId="7FA4E9C2" w14:textId="459F6E72"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1.390</w:t>
            </w:r>
          </w:p>
        </w:tc>
      </w:tr>
      <w:tr w:rsidR="00476F87" w:rsidRPr="00EC1653" w14:paraId="41D7F7B5" w14:textId="77777777" w:rsidTr="00312975">
        <w:tc>
          <w:tcPr>
            <w:tcW w:w="1463" w:type="pct"/>
          </w:tcPr>
          <w:p w14:paraId="09CBE6D1" w14:textId="77777777" w:rsidR="00476F87" w:rsidRPr="00EC1653" w:rsidRDefault="00476F87" w:rsidP="00476F87">
            <w:pPr>
              <w:pStyle w:val="TT"/>
              <w:spacing w:line="240" w:lineRule="exact"/>
              <w:rPr>
                <w:rFonts w:asciiTheme="minorHAnsi" w:hAnsiTheme="minorHAnsi" w:cs="Arial"/>
                <w:spacing w:val="-2"/>
                <w:sz w:val="18"/>
                <w:szCs w:val="18"/>
                <w:lang w:val="hr-HR"/>
              </w:rPr>
            </w:pPr>
            <w:r w:rsidRPr="00EC1653">
              <w:rPr>
                <w:rFonts w:asciiTheme="minorHAnsi" w:hAnsiTheme="minorHAnsi" w:cs="Arial"/>
                <w:spacing w:val="-2"/>
                <w:sz w:val="18"/>
                <w:szCs w:val="18"/>
                <w:lang w:val="hr-HR"/>
              </w:rPr>
              <w:t>Ulaganja u pridružena društva</w:t>
            </w:r>
          </w:p>
        </w:tc>
        <w:tc>
          <w:tcPr>
            <w:tcW w:w="517" w:type="pct"/>
            <w:tcBorders>
              <w:top w:val="nil"/>
              <w:left w:val="nil"/>
              <w:bottom w:val="nil"/>
              <w:right w:val="nil"/>
            </w:tcBorders>
            <w:shd w:val="clear" w:color="auto" w:fill="auto"/>
            <w:vAlign w:val="bottom"/>
          </w:tcPr>
          <w:p w14:paraId="6E62A2FC" w14:textId="105CF25E"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w:t>
            </w:r>
          </w:p>
        </w:tc>
        <w:tc>
          <w:tcPr>
            <w:tcW w:w="589" w:type="pct"/>
            <w:tcBorders>
              <w:top w:val="nil"/>
              <w:left w:val="nil"/>
              <w:bottom w:val="nil"/>
              <w:right w:val="nil"/>
            </w:tcBorders>
            <w:shd w:val="clear" w:color="auto" w:fill="auto"/>
            <w:vAlign w:val="bottom"/>
          </w:tcPr>
          <w:p w14:paraId="59138D30" w14:textId="58CAC9A7"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w:t>
            </w:r>
          </w:p>
        </w:tc>
        <w:tc>
          <w:tcPr>
            <w:tcW w:w="596" w:type="pct"/>
            <w:tcBorders>
              <w:top w:val="nil"/>
              <w:left w:val="nil"/>
              <w:bottom w:val="nil"/>
              <w:right w:val="nil"/>
            </w:tcBorders>
            <w:shd w:val="clear" w:color="auto" w:fill="auto"/>
            <w:vAlign w:val="bottom"/>
          </w:tcPr>
          <w:p w14:paraId="5E1C5D27" w14:textId="76A6ECC6"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w:t>
            </w:r>
          </w:p>
        </w:tc>
        <w:tc>
          <w:tcPr>
            <w:tcW w:w="583" w:type="pct"/>
            <w:tcBorders>
              <w:top w:val="nil"/>
              <w:left w:val="nil"/>
              <w:bottom w:val="nil"/>
              <w:right w:val="nil"/>
            </w:tcBorders>
            <w:shd w:val="clear" w:color="auto" w:fill="auto"/>
            <w:vAlign w:val="bottom"/>
          </w:tcPr>
          <w:p w14:paraId="012E7E88" w14:textId="7CD6515A"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w:t>
            </w:r>
          </w:p>
        </w:tc>
        <w:tc>
          <w:tcPr>
            <w:tcW w:w="673" w:type="pct"/>
            <w:tcBorders>
              <w:top w:val="nil"/>
              <w:left w:val="nil"/>
              <w:bottom w:val="nil"/>
              <w:right w:val="nil"/>
            </w:tcBorders>
            <w:shd w:val="clear" w:color="auto" w:fill="auto"/>
            <w:vAlign w:val="bottom"/>
          </w:tcPr>
          <w:p w14:paraId="6FB8E751" w14:textId="44FBD96A"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w:t>
            </w:r>
          </w:p>
        </w:tc>
        <w:tc>
          <w:tcPr>
            <w:tcW w:w="579" w:type="pct"/>
            <w:tcBorders>
              <w:top w:val="nil"/>
              <w:left w:val="nil"/>
              <w:bottom w:val="nil"/>
            </w:tcBorders>
            <w:shd w:val="clear" w:color="auto" w:fill="auto"/>
            <w:vAlign w:val="bottom"/>
          </w:tcPr>
          <w:p w14:paraId="238F0C4F" w14:textId="0CD08AC2"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w:t>
            </w:r>
          </w:p>
        </w:tc>
      </w:tr>
      <w:tr w:rsidR="00476F87" w:rsidRPr="00EC1653" w14:paraId="3E9A6B5D" w14:textId="77777777" w:rsidTr="00312975">
        <w:tc>
          <w:tcPr>
            <w:tcW w:w="1463" w:type="pct"/>
          </w:tcPr>
          <w:p w14:paraId="1546BFC3" w14:textId="1AA0520D" w:rsidR="00476F87" w:rsidRPr="00EC1653" w:rsidRDefault="00476F87" w:rsidP="00476F87">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Nekretnine, postrojenja i oprema i nematerijalna imovina</w:t>
            </w:r>
          </w:p>
        </w:tc>
        <w:tc>
          <w:tcPr>
            <w:tcW w:w="517" w:type="pct"/>
            <w:tcBorders>
              <w:top w:val="nil"/>
              <w:left w:val="nil"/>
              <w:bottom w:val="nil"/>
              <w:right w:val="nil"/>
            </w:tcBorders>
            <w:shd w:val="clear" w:color="auto" w:fill="auto"/>
            <w:vAlign w:val="bottom"/>
          </w:tcPr>
          <w:p w14:paraId="5637499F" w14:textId="3767E063"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w:t>
            </w:r>
          </w:p>
        </w:tc>
        <w:tc>
          <w:tcPr>
            <w:tcW w:w="589" w:type="pct"/>
            <w:tcBorders>
              <w:top w:val="nil"/>
              <w:left w:val="nil"/>
              <w:bottom w:val="nil"/>
              <w:right w:val="nil"/>
            </w:tcBorders>
            <w:shd w:val="clear" w:color="auto" w:fill="auto"/>
            <w:vAlign w:val="bottom"/>
          </w:tcPr>
          <w:p w14:paraId="221031EE" w14:textId="2717FA60"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w:t>
            </w:r>
          </w:p>
        </w:tc>
        <w:tc>
          <w:tcPr>
            <w:tcW w:w="596" w:type="pct"/>
            <w:tcBorders>
              <w:top w:val="nil"/>
              <w:left w:val="nil"/>
              <w:bottom w:val="nil"/>
              <w:right w:val="nil"/>
            </w:tcBorders>
            <w:shd w:val="clear" w:color="auto" w:fill="auto"/>
            <w:vAlign w:val="bottom"/>
          </w:tcPr>
          <w:p w14:paraId="625830C8" w14:textId="5DED087E"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w:t>
            </w:r>
          </w:p>
        </w:tc>
        <w:tc>
          <w:tcPr>
            <w:tcW w:w="583" w:type="pct"/>
            <w:tcBorders>
              <w:top w:val="nil"/>
              <w:left w:val="nil"/>
              <w:bottom w:val="nil"/>
              <w:right w:val="nil"/>
            </w:tcBorders>
            <w:shd w:val="clear" w:color="auto" w:fill="auto"/>
            <w:vAlign w:val="bottom"/>
          </w:tcPr>
          <w:p w14:paraId="6C5440C5" w14:textId="696BBEE2"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w:t>
            </w:r>
          </w:p>
        </w:tc>
        <w:tc>
          <w:tcPr>
            <w:tcW w:w="673" w:type="pct"/>
            <w:tcBorders>
              <w:top w:val="nil"/>
              <w:left w:val="nil"/>
              <w:bottom w:val="nil"/>
              <w:right w:val="nil"/>
            </w:tcBorders>
            <w:shd w:val="clear" w:color="auto" w:fill="auto"/>
            <w:vAlign w:val="bottom"/>
          </w:tcPr>
          <w:p w14:paraId="7745B6C8" w14:textId="6586E0A1"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55.195</w:t>
            </w:r>
          </w:p>
        </w:tc>
        <w:tc>
          <w:tcPr>
            <w:tcW w:w="579" w:type="pct"/>
            <w:tcBorders>
              <w:top w:val="nil"/>
              <w:left w:val="nil"/>
              <w:bottom w:val="nil"/>
            </w:tcBorders>
            <w:shd w:val="clear" w:color="auto" w:fill="auto"/>
            <w:vAlign w:val="bottom"/>
          </w:tcPr>
          <w:p w14:paraId="4882022E" w14:textId="02647C59"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55.195</w:t>
            </w:r>
          </w:p>
        </w:tc>
      </w:tr>
      <w:tr w:rsidR="00476F87" w:rsidRPr="00EC1653" w14:paraId="625AE0E2" w14:textId="77777777" w:rsidTr="00312975">
        <w:tc>
          <w:tcPr>
            <w:tcW w:w="1463" w:type="pct"/>
          </w:tcPr>
          <w:p w14:paraId="4515A1A8" w14:textId="77777777" w:rsidR="00476F87" w:rsidRPr="00EC1653" w:rsidRDefault="00476F87" w:rsidP="00476F87">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Dugotrajna imovina namijenjena prodaji</w:t>
            </w:r>
          </w:p>
        </w:tc>
        <w:tc>
          <w:tcPr>
            <w:tcW w:w="517" w:type="pct"/>
            <w:tcBorders>
              <w:top w:val="nil"/>
              <w:left w:val="nil"/>
              <w:bottom w:val="nil"/>
              <w:right w:val="nil"/>
            </w:tcBorders>
            <w:shd w:val="clear" w:color="auto" w:fill="auto"/>
            <w:vAlign w:val="bottom"/>
          </w:tcPr>
          <w:p w14:paraId="69E77FD2" w14:textId="64031F79"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w:t>
            </w:r>
          </w:p>
        </w:tc>
        <w:tc>
          <w:tcPr>
            <w:tcW w:w="589" w:type="pct"/>
            <w:tcBorders>
              <w:top w:val="nil"/>
              <w:left w:val="nil"/>
              <w:bottom w:val="nil"/>
              <w:right w:val="nil"/>
            </w:tcBorders>
            <w:shd w:val="clear" w:color="auto" w:fill="auto"/>
            <w:vAlign w:val="bottom"/>
          </w:tcPr>
          <w:p w14:paraId="711F9AAA" w14:textId="66DB4730"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w:t>
            </w:r>
          </w:p>
        </w:tc>
        <w:tc>
          <w:tcPr>
            <w:tcW w:w="596" w:type="pct"/>
            <w:tcBorders>
              <w:top w:val="nil"/>
              <w:left w:val="nil"/>
              <w:bottom w:val="nil"/>
              <w:right w:val="nil"/>
            </w:tcBorders>
            <w:shd w:val="clear" w:color="auto" w:fill="auto"/>
            <w:vAlign w:val="bottom"/>
          </w:tcPr>
          <w:p w14:paraId="647D63DE" w14:textId="0546F24E"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w:t>
            </w:r>
          </w:p>
        </w:tc>
        <w:tc>
          <w:tcPr>
            <w:tcW w:w="583" w:type="pct"/>
            <w:tcBorders>
              <w:top w:val="nil"/>
              <w:left w:val="nil"/>
              <w:bottom w:val="nil"/>
              <w:right w:val="nil"/>
            </w:tcBorders>
            <w:shd w:val="clear" w:color="auto" w:fill="auto"/>
            <w:vAlign w:val="bottom"/>
          </w:tcPr>
          <w:p w14:paraId="396D1C15" w14:textId="0DCA431A"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w:t>
            </w:r>
          </w:p>
        </w:tc>
        <w:tc>
          <w:tcPr>
            <w:tcW w:w="673" w:type="pct"/>
            <w:tcBorders>
              <w:top w:val="nil"/>
              <w:left w:val="nil"/>
              <w:bottom w:val="nil"/>
              <w:right w:val="nil"/>
            </w:tcBorders>
            <w:shd w:val="clear" w:color="auto" w:fill="auto"/>
            <w:vAlign w:val="bottom"/>
          </w:tcPr>
          <w:p w14:paraId="29DB22B4" w14:textId="237CE8BB"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17.030</w:t>
            </w:r>
          </w:p>
        </w:tc>
        <w:tc>
          <w:tcPr>
            <w:tcW w:w="579" w:type="pct"/>
            <w:tcBorders>
              <w:top w:val="nil"/>
              <w:left w:val="nil"/>
              <w:bottom w:val="nil"/>
            </w:tcBorders>
            <w:shd w:val="clear" w:color="auto" w:fill="auto"/>
            <w:vAlign w:val="bottom"/>
          </w:tcPr>
          <w:p w14:paraId="56CF1B65" w14:textId="09F90ED3"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17.030</w:t>
            </w:r>
          </w:p>
        </w:tc>
      </w:tr>
      <w:tr w:rsidR="00476F87" w:rsidRPr="00EC1653" w14:paraId="3E935956" w14:textId="77777777" w:rsidTr="00312975">
        <w:tc>
          <w:tcPr>
            <w:tcW w:w="1463" w:type="pct"/>
          </w:tcPr>
          <w:p w14:paraId="53722D38" w14:textId="77777777" w:rsidR="00476F87" w:rsidRPr="00EC1653" w:rsidRDefault="00476F87" w:rsidP="00476F87">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Ostala imovina</w:t>
            </w:r>
          </w:p>
        </w:tc>
        <w:tc>
          <w:tcPr>
            <w:tcW w:w="517" w:type="pct"/>
            <w:tcBorders>
              <w:top w:val="nil"/>
              <w:left w:val="nil"/>
              <w:bottom w:val="nil"/>
              <w:right w:val="nil"/>
            </w:tcBorders>
            <w:shd w:val="clear" w:color="auto" w:fill="auto"/>
            <w:vAlign w:val="bottom"/>
          </w:tcPr>
          <w:p w14:paraId="5E3DA57E" w14:textId="32BA73AB"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w:t>
            </w:r>
          </w:p>
        </w:tc>
        <w:tc>
          <w:tcPr>
            <w:tcW w:w="589" w:type="pct"/>
            <w:tcBorders>
              <w:top w:val="nil"/>
              <w:left w:val="nil"/>
              <w:bottom w:val="nil"/>
              <w:right w:val="nil"/>
            </w:tcBorders>
            <w:shd w:val="clear" w:color="auto" w:fill="auto"/>
            <w:vAlign w:val="bottom"/>
          </w:tcPr>
          <w:p w14:paraId="7E02BF0B" w14:textId="35F437BF"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436</w:t>
            </w:r>
          </w:p>
        </w:tc>
        <w:tc>
          <w:tcPr>
            <w:tcW w:w="596" w:type="pct"/>
            <w:tcBorders>
              <w:top w:val="nil"/>
              <w:left w:val="nil"/>
              <w:bottom w:val="nil"/>
              <w:right w:val="nil"/>
            </w:tcBorders>
            <w:shd w:val="clear" w:color="auto" w:fill="auto"/>
            <w:vAlign w:val="bottom"/>
          </w:tcPr>
          <w:p w14:paraId="4A67F4E4" w14:textId="750B5EF1"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w:t>
            </w:r>
          </w:p>
        </w:tc>
        <w:tc>
          <w:tcPr>
            <w:tcW w:w="583" w:type="pct"/>
            <w:tcBorders>
              <w:top w:val="nil"/>
              <w:left w:val="nil"/>
              <w:bottom w:val="nil"/>
              <w:right w:val="nil"/>
            </w:tcBorders>
            <w:shd w:val="clear" w:color="auto" w:fill="auto"/>
            <w:vAlign w:val="bottom"/>
          </w:tcPr>
          <w:p w14:paraId="112ABE40" w14:textId="50464B78"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rPr>
              <w:t>436</w:t>
            </w:r>
          </w:p>
        </w:tc>
        <w:tc>
          <w:tcPr>
            <w:tcW w:w="673" w:type="pct"/>
            <w:tcBorders>
              <w:top w:val="nil"/>
              <w:left w:val="nil"/>
              <w:bottom w:val="single" w:sz="2" w:space="0" w:color="auto"/>
              <w:right w:val="nil"/>
            </w:tcBorders>
            <w:shd w:val="clear" w:color="auto" w:fill="auto"/>
            <w:vAlign w:val="bottom"/>
          </w:tcPr>
          <w:p w14:paraId="2FD1548C" w14:textId="33CA279E"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8.902</w:t>
            </w:r>
          </w:p>
        </w:tc>
        <w:tc>
          <w:tcPr>
            <w:tcW w:w="579" w:type="pct"/>
            <w:tcBorders>
              <w:top w:val="nil"/>
              <w:left w:val="nil"/>
              <w:bottom w:val="single" w:sz="2" w:space="0" w:color="auto"/>
            </w:tcBorders>
            <w:shd w:val="clear" w:color="auto" w:fill="auto"/>
            <w:vAlign w:val="bottom"/>
          </w:tcPr>
          <w:p w14:paraId="0CA55AA6" w14:textId="6D5E96E3" w:rsidR="00476F87" w:rsidRPr="00EC1653" w:rsidRDefault="00476F87" w:rsidP="00476F87">
            <w:pPr>
              <w:spacing w:after="0" w:line="240" w:lineRule="exact"/>
              <w:jc w:val="right"/>
              <w:rPr>
                <w:rFonts w:eastAsia="Arial Unicode MS" w:cs="Arial"/>
                <w:sz w:val="18"/>
                <w:szCs w:val="18"/>
              </w:rPr>
            </w:pPr>
            <w:r>
              <w:rPr>
                <w:rFonts w:eastAsia="Arial Unicode MS" w:cs="Arial"/>
                <w:sz w:val="17"/>
                <w:szCs w:val="17"/>
                <w:lang w:val="pl-PL"/>
              </w:rPr>
              <w:t>9.338</w:t>
            </w:r>
          </w:p>
        </w:tc>
      </w:tr>
      <w:tr w:rsidR="001E387E" w:rsidRPr="00EC1653" w14:paraId="5CCE702E" w14:textId="77777777" w:rsidTr="00312975">
        <w:tc>
          <w:tcPr>
            <w:tcW w:w="1463" w:type="pct"/>
            <w:vAlign w:val="bottom"/>
          </w:tcPr>
          <w:p w14:paraId="35D71993" w14:textId="77777777" w:rsidR="001E387E" w:rsidRPr="00EC1653" w:rsidRDefault="001E387E" w:rsidP="001E387E">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Ukupna imovina (1)</w:t>
            </w:r>
          </w:p>
        </w:tc>
        <w:tc>
          <w:tcPr>
            <w:tcW w:w="517" w:type="pct"/>
            <w:tcBorders>
              <w:top w:val="single" w:sz="2" w:space="0" w:color="auto"/>
              <w:left w:val="nil"/>
              <w:bottom w:val="single" w:sz="12" w:space="0" w:color="auto"/>
              <w:right w:val="nil"/>
            </w:tcBorders>
            <w:shd w:val="clear" w:color="auto" w:fill="auto"/>
            <w:vAlign w:val="bottom"/>
          </w:tcPr>
          <w:p w14:paraId="17FCF45F" w14:textId="60CF6F09" w:rsidR="001E387E" w:rsidRPr="00EC1653" w:rsidRDefault="001E387E" w:rsidP="001E387E">
            <w:pPr>
              <w:spacing w:after="0" w:line="240" w:lineRule="exact"/>
              <w:jc w:val="right"/>
              <w:rPr>
                <w:rFonts w:eastAsia="Arial Unicode MS" w:cs="Arial"/>
                <w:b/>
                <w:bCs/>
                <w:sz w:val="18"/>
                <w:szCs w:val="18"/>
              </w:rPr>
            </w:pPr>
            <w:r>
              <w:rPr>
                <w:rFonts w:eastAsia="Arial Unicode MS" w:cs="Arial"/>
                <w:b/>
                <w:bCs/>
                <w:sz w:val="17"/>
                <w:szCs w:val="17"/>
              </w:rPr>
              <w:t>468.668</w:t>
            </w:r>
          </w:p>
        </w:tc>
        <w:tc>
          <w:tcPr>
            <w:tcW w:w="589" w:type="pct"/>
            <w:tcBorders>
              <w:top w:val="single" w:sz="2" w:space="0" w:color="auto"/>
              <w:left w:val="nil"/>
              <w:bottom w:val="single" w:sz="12" w:space="0" w:color="auto"/>
              <w:right w:val="nil"/>
            </w:tcBorders>
            <w:shd w:val="clear" w:color="auto" w:fill="auto"/>
            <w:vAlign w:val="bottom"/>
          </w:tcPr>
          <w:p w14:paraId="5E379D6D" w14:textId="10E38DC1" w:rsidR="001E387E" w:rsidRPr="00EC1653" w:rsidRDefault="001E387E" w:rsidP="001E387E">
            <w:pPr>
              <w:spacing w:after="0" w:line="240" w:lineRule="exact"/>
              <w:jc w:val="right"/>
              <w:rPr>
                <w:rFonts w:eastAsia="Arial Unicode MS" w:cs="Arial"/>
                <w:b/>
                <w:bCs/>
                <w:sz w:val="18"/>
                <w:szCs w:val="18"/>
              </w:rPr>
            </w:pPr>
            <w:r>
              <w:rPr>
                <w:rFonts w:eastAsia="Arial Unicode MS" w:cs="Arial"/>
                <w:b/>
                <w:bCs/>
                <w:sz w:val="17"/>
                <w:szCs w:val="17"/>
              </w:rPr>
              <w:t>15.754.145</w:t>
            </w:r>
          </w:p>
        </w:tc>
        <w:tc>
          <w:tcPr>
            <w:tcW w:w="596" w:type="pct"/>
            <w:tcBorders>
              <w:top w:val="single" w:sz="2" w:space="0" w:color="auto"/>
              <w:left w:val="nil"/>
              <w:bottom w:val="single" w:sz="12" w:space="0" w:color="auto"/>
              <w:right w:val="nil"/>
            </w:tcBorders>
            <w:shd w:val="clear" w:color="auto" w:fill="auto"/>
            <w:vAlign w:val="bottom"/>
          </w:tcPr>
          <w:p w14:paraId="169F524A" w14:textId="04C1E4A8" w:rsidR="001E387E" w:rsidRPr="00EC1653" w:rsidRDefault="001E387E" w:rsidP="001E387E">
            <w:pPr>
              <w:spacing w:after="0" w:line="240" w:lineRule="exact"/>
              <w:jc w:val="right"/>
              <w:rPr>
                <w:rFonts w:eastAsia="Arial Unicode MS" w:cs="Arial"/>
                <w:b/>
                <w:bCs/>
                <w:sz w:val="18"/>
                <w:szCs w:val="18"/>
              </w:rPr>
            </w:pPr>
            <w:r>
              <w:rPr>
                <w:rFonts w:eastAsia="Arial Unicode MS" w:cs="Arial"/>
                <w:b/>
                <w:bCs/>
                <w:sz w:val="17"/>
                <w:szCs w:val="17"/>
              </w:rPr>
              <w:t>3.620</w:t>
            </w:r>
          </w:p>
        </w:tc>
        <w:tc>
          <w:tcPr>
            <w:tcW w:w="583" w:type="pct"/>
            <w:tcBorders>
              <w:top w:val="single" w:sz="2" w:space="0" w:color="auto"/>
              <w:left w:val="nil"/>
              <w:bottom w:val="single" w:sz="12" w:space="0" w:color="auto"/>
              <w:right w:val="nil"/>
            </w:tcBorders>
            <w:shd w:val="clear" w:color="auto" w:fill="auto"/>
            <w:vAlign w:val="bottom"/>
          </w:tcPr>
          <w:p w14:paraId="7924A5BD" w14:textId="1D6DB5B5" w:rsidR="001E387E" w:rsidRPr="00EC1653" w:rsidRDefault="001E387E" w:rsidP="001E387E">
            <w:pPr>
              <w:spacing w:after="0" w:line="240" w:lineRule="exact"/>
              <w:jc w:val="right"/>
              <w:rPr>
                <w:rFonts w:eastAsia="Arial Unicode MS" w:cs="Arial"/>
                <w:b/>
                <w:bCs/>
                <w:sz w:val="18"/>
                <w:szCs w:val="18"/>
              </w:rPr>
            </w:pPr>
            <w:r>
              <w:rPr>
                <w:rFonts w:eastAsia="Arial Unicode MS" w:cs="Arial"/>
                <w:b/>
                <w:bCs/>
                <w:sz w:val="17"/>
                <w:szCs w:val="17"/>
              </w:rPr>
              <w:t>16.226.433</w:t>
            </w:r>
          </w:p>
        </w:tc>
        <w:tc>
          <w:tcPr>
            <w:tcW w:w="673" w:type="pct"/>
            <w:tcBorders>
              <w:top w:val="single" w:sz="2" w:space="0" w:color="auto"/>
              <w:left w:val="nil"/>
              <w:bottom w:val="single" w:sz="12" w:space="0" w:color="auto"/>
              <w:right w:val="nil"/>
            </w:tcBorders>
            <w:shd w:val="clear" w:color="auto" w:fill="auto"/>
            <w:vAlign w:val="bottom"/>
          </w:tcPr>
          <w:p w14:paraId="0DF74118" w14:textId="0A9FDF33" w:rsidR="001E387E" w:rsidRPr="00EC1653" w:rsidRDefault="001E387E" w:rsidP="001E387E">
            <w:pPr>
              <w:spacing w:after="0" w:line="240" w:lineRule="exact"/>
              <w:jc w:val="right"/>
              <w:rPr>
                <w:rFonts w:eastAsia="Arial Unicode MS" w:cs="Arial"/>
                <w:b/>
                <w:bCs/>
                <w:sz w:val="18"/>
                <w:szCs w:val="18"/>
              </w:rPr>
            </w:pPr>
            <w:r>
              <w:rPr>
                <w:rFonts w:eastAsia="Arial Unicode MS" w:cs="Arial"/>
                <w:b/>
                <w:bCs/>
                <w:sz w:val="17"/>
                <w:szCs w:val="17"/>
              </w:rPr>
              <w:t>11.597.408*</w:t>
            </w:r>
          </w:p>
        </w:tc>
        <w:tc>
          <w:tcPr>
            <w:tcW w:w="579" w:type="pct"/>
            <w:tcBorders>
              <w:top w:val="single" w:sz="2" w:space="0" w:color="auto"/>
              <w:left w:val="nil"/>
              <w:bottom w:val="single" w:sz="12" w:space="0" w:color="auto"/>
            </w:tcBorders>
            <w:shd w:val="clear" w:color="auto" w:fill="auto"/>
            <w:vAlign w:val="bottom"/>
          </w:tcPr>
          <w:p w14:paraId="6188EBE4" w14:textId="32425562" w:rsidR="001E387E" w:rsidRPr="00EC1653" w:rsidRDefault="001E387E" w:rsidP="001E387E">
            <w:pPr>
              <w:spacing w:after="0" w:line="240" w:lineRule="exact"/>
              <w:jc w:val="right"/>
              <w:rPr>
                <w:rFonts w:eastAsia="Arial Unicode MS" w:cs="Arial"/>
                <w:b/>
                <w:bCs/>
                <w:sz w:val="18"/>
                <w:szCs w:val="18"/>
              </w:rPr>
            </w:pPr>
            <w:r>
              <w:rPr>
                <w:rFonts w:eastAsia="Arial Unicode MS" w:cs="Arial"/>
                <w:b/>
                <w:bCs/>
                <w:sz w:val="17"/>
                <w:szCs w:val="17"/>
              </w:rPr>
              <w:t>27.823.841</w:t>
            </w:r>
          </w:p>
        </w:tc>
      </w:tr>
      <w:tr w:rsidR="00252ABE" w:rsidRPr="00EC1653" w14:paraId="2FFCA335" w14:textId="77777777" w:rsidTr="005F1FBF">
        <w:tc>
          <w:tcPr>
            <w:tcW w:w="1463" w:type="pct"/>
          </w:tcPr>
          <w:p w14:paraId="76B27331" w14:textId="77777777" w:rsidR="00252ABE" w:rsidRPr="00EC1653" w:rsidRDefault="00252ABE" w:rsidP="00252ABE">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Obveze</w:t>
            </w:r>
          </w:p>
        </w:tc>
        <w:tc>
          <w:tcPr>
            <w:tcW w:w="517" w:type="pct"/>
            <w:tcBorders>
              <w:top w:val="single" w:sz="12" w:space="0" w:color="auto"/>
            </w:tcBorders>
            <w:shd w:val="clear" w:color="auto" w:fill="auto"/>
            <w:vAlign w:val="bottom"/>
          </w:tcPr>
          <w:p w14:paraId="36FA20E1" w14:textId="77777777" w:rsidR="00252ABE" w:rsidRPr="00EC1653" w:rsidRDefault="00252ABE" w:rsidP="00252ABE">
            <w:pPr>
              <w:suppressAutoHyphens/>
              <w:spacing w:after="0" w:line="240" w:lineRule="exact"/>
              <w:ind w:left="-123"/>
              <w:jc w:val="right"/>
              <w:rPr>
                <w:rFonts w:cs="Arial"/>
                <w:spacing w:val="-2"/>
                <w:sz w:val="18"/>
                <w:szCs w:val="18"/>
              </w:rPr>
            </w:pPr>
          </w:p>
        </w:tc>
        <w:tc>
          <w:tcPr>
            <w:tcW w:w="589" w:type="pct"/>
            <w:tcBorders>
              <w:top w:val="single" w:sz="12" w:space="0" w:color="auto"/>
            </w:tcBorders>
            <w:shd w:val="clear" w:color="auto" w:fill="auto"/>
            <w:vAlign w:val="bottom"/>
          </w:tcPr>
          <w:p w14:paraId="34CC17CE" w14:textId="77777777" w:rsidR="00252ABE" w:rsidRPr="00EC1653" w:rsidRDefault="00252ABE" w:rsidP="00252ABE">
            <w:pPr>
              <w:suppressAutoHyphens/>
              <w:spacing w:after="0" w:line="240" w:lineRule="exact"/>
              <w:jc w:val="right"/>
              <w:rPr>
                <w:rFonts w:cs="Arial"/>
                <w:spacing w:val="-2"/>
                <w:sz w:val="18"/>
                <w:szCs w:val="18"/>
              </w:rPr>
            </w:pPr>
          </w:p>
        </w:tc>
        <w:tc>
          <w:tcPr>
            <w:tcW w:w="596" w:type="pct"/>
            <w:tcBorders>
              <w:top w:val="single" w:sz="12" w:space="0" w:color="auto"/>
            </w:tcBorders>
            <w:shd w:val="clear" w:color="auto" w:fill="auto"/>
            <w:vAlign w:val="bottom"/>
          </w:tcPr>
          <w:p w14:paraId="14B9F8EE" w14:textId="77777777" w:rsidR="00252ABE" w:rsidRPr="00EC1653" w:rsidRDefault="00252ABE" w:rsidP="00252ABE">
            <w:pPr>
              <w:suppressAutoHyphens/>
              <w:spacing w:after="0" w:line="240" w:lineRule="exact"/>
              <w:jc w:val="right"/>
              <w:rPr>
                <w:rFonts w:cs="Arial"/>
                <w:spacing w:val="-2"/>
                <w:sz w:val="18"/>
                <w:szCs w:val="18"/>
              </w:rPr>
            </w:pPr>
          </w:p>
        </w:tc>
        <w:tc>
          <w:tcPr>
            <w:tcW w:w="583" w:type="pct"/>
            <w:tcBorders>
              <w:top w:val="single" w:sz="12" w:space="0" w:color="auto"/>
            </w:tcBorders>
            <w:shd w:val="clear" w:color="auto" w:fill="auto"/>
            <w:vAlign w:val="bottom"/>
          </w:tcPr>
          <w:p w14:paraId="3D8F73B0" w14:textId="77777777" w:rsidR="00252ABE" w:rsidRPr="00EC1653" w:rsidRDefault="00252ABE" w:rsidP="00252ABE">
            <w:pPr>
              <w:suppressAutoHyphens/>
              <w:spacing w:after="0" w:line="240" w:lineRule="exact"/>
              <w:jc w:val="right"/>
              <w:rPr>
                <w:rFonts w:cs="Arial"/>
                <w:spacing w:val="-2"/>
                <w:sz w:val="18"/>
                <w:szCs w:val="18"/>
              </w:rPr>
            </w:pPr>
          </w:p>
        </w:tc>
        <w:tc>
          <w:tcPr>
            <w:tcW w:w="673" w:type="pct"/>
            <w:tcBorders>
              <w:top w:val="single" w:sz="12" w:space="0" w:color="auto"/>
            </w:tcBorders>
            <w:shd w:val="clear" w:color="auto" w:fill="auto"/>
            <w:vAlign w:val="bottom"/>
          </w:tcPr>
          <w:p w14:paraId="43560DBD" w14:textId="77777777" w:rsidR="00252ABE" w:rsidRPr="00EC1653" w:rsidRDefault="00252ABE" w:rsidP="00252ABE">
            <w:pPr>
              <w:suppressAutoHyphens/>
              <w:spacing w:after="0" w:line="240" w:lineRule="exact"/>
              <w:jc w:val="right"/>
              <w:rPr>
                <w:rFonts w:cs="Arial"/>
                <w:spacing w:val="-2"/>
                <w:sz w:val="18"/>
                <w:szCs w:val="18"/>
              </w:rPr>
            </w:pPr>
          </w:p>
        </w:tc>
        <w:tc>
          <w:tcPr>
            <w:tcW w:w="579" w:type="pct"/>
            <w:tcBorders>
              <w:top w:val="single" w:sz="12" w:space="0" w:color="auto"/>
            </w:tcBorders>
            <w:shd w:val="clear" w:color="auto" w:fill="auto"/>
            <w:vAlign w:val="bottom"/>
          </w:tcPr>
          <w:p w14:paraId="5759ED97" w14:textId="77777777" w:rsidR="00252ABE" w:rsidRPr="00EC1653" w:rsidRDefault="00252ABE" w:rsidP="00252ABE">
            <w:pPr>
              <w:spacing w:after="0" w:line="240" w:lineRule="exact"/>
              <w:jc w:val="right"/>
              <w:rPr>
                <w:rFonts w:cs="Arial"/>
                <w:b/>
                <w:sz w:val="18"/>
                <w:szCs w:val="18"/>
              </w:rPr>
            </w:pPr>
          </w:p>
        </w:tc>
      </w:tr>
      <w:tr w:rsidR="00E94B00" w:rsidRPr="00EC1653" w14:paraId="5281A785" w14:textId="77777777" w:rsidTr="00312975">
        <w:tc>
          <w:tcPr>
            <w:tcW w:w="1463" w:type="pct"/>
          </w:tcPr>
          <w:p w14:paraId="0A0DEA92" w14:textId="77777777" w:rsidR="00E94B00" w:rsidRPr="00EC1653" w:rsidRDefault="00E94B00" w:rsidP="00E94B00">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Obveze po depozitima</w:t>
            </w:r>
          </w:p>
        </w:tc>
        <w:tc>
          <w:tcPr>
            <w:tcW w:w="517" w:type="pct"/>
            <w:tcBorders>
              <w:top w:val="nil"/>
              <w:left w:val="nil"/>
              <w:bottom w:val="nil"/>
              <w:right w:val="nil"/>
            </w:tcBorders>
            <w:shd w:val="clear" w:color="auto" w:fill="auto"/>
            <w:vAlign w:val="bottom"/>
          </w:tcPr>
          <w:p w14:paraId="52EC8D00" w14:textId="35D270BC" w:rsidR="00E94B00" w:rsidRPr="00312975" w:rsidRDefault="00E94B00" w:rsidP="00E94B00">
            <w:pPr>
              <w:spacing w:after="0" w:line="240" w:lineRule="exact"/>
              <w:jc w:val="right"/>
              <w:rPr>
                <w:rFonts w:eastAsia="Arial Unicode MS" w:cs="Arial"/>
                <w:sz w:val="17"/>
                <w:szCs w:val="17"/>
              </w:rPr>
            </w:pPr>
            <w:r>
              <w:rPr>
                <w:rFonts w:eastAsia="Arial Unicode MS" w:cs="Arial"/>
                <w:sz w:val="17"/>
                <w:szCs w:val="17"/>
              </w:rPr>
              <w:t>20.976</w:t>
            </w:r>
          </w:p>
        </w:tc>
        <w:tc>
          <w:tcPr>
            <w:tcW w:w="589" w:type="pct"/>
            <w:tcBorders>
              <w:top w:val="nil"/>
              <w:left w:val="nil"/>
              <w:bottom w:val="nil"/>
              <w:right w:val="nil"/>
            </w:tcBorders>
            <w:shd w:val="clear" w:color="auto" w:fill="auto"/>
            <w:vAlign w:val="bottom"/>
          </w:tcPr>
          <w:p w14:paraId="57EA080C" w14:textId="653BB7DB" w:rsidR="00E94B00" w:rsidRPr="00312975" w:rsidRDefault="00E94B00" w:rsidP="00E94B00">
            <w:pPr>
              <w:spacing w:after="0" w:line="240" w:lineRule="exact"/>
              <w:jc w:val="right"/>
              <w:rPr>
                <w:rFonts w:eastAsia="Arial Unicode MS" w:cs="Arial"/>
                <w:sz w:val="17"/>
                <w:szCs w:val="17"/>
              </w:rPr>
            </w:pPr>
            <w:r>
              <w:rPr>
                <w:rFonts w:eastAsia="Arial Unicode MS" w:cs="Arial"/>
                <w:sz w:val="17"/>
                <w:szCs w:val="17"/>
              </w:rPr>
              <w:t>222.935</w:t>
            </w:r>
          </w:p>
        </w:tc>
        <w:tc>
          <w:tcPr>
            <w:tcW w:w="596" w:type="pct"/>
            <w:tcBorders>
              <w:top w:val="nil"/>
              <w:left w:val="nil"/>
              <w:bottom w:val="nil"/>
              <w:right w:val="nil"/>
            </w:tcBorders>
            <w:shd w:val="clear" w:color="auto" w:fill="auto"/>
            <w:vAlign w:val="bottom"/>
          </w:tcPr>
          <w:p w14:paraId="4843A666" w14:textId="3F094B6A" w:rsidR="00E94B00" w:rsidRPr="00312975" w:rsidRDefault="00E94B00" w:rsidP="00E94B00">
            <w:pPr>
              <w:spacing w:after="0" w:line="240" w:lineRule="exact"/>
              <w:jc w:val="right"/>
              <w:rPr>
                <w:rFonts w:eastAsia="Arial Unicode MS" w:cs="Arial"/>
                <w:sz w:val="17"/>
                <w:szCs w:val="17"/>
              </w:rPr>
            </w:pPr>
            <w:r>
              <w:rPr>
                <w:rFonts w:eastAsia="Arial Unicode MS" w:cs="Arial"/>
                <w:sz w:val="17"/>
                <w:szCs w:val="17"/>
              </w:rPr>
              <w:t>2.300</w:t>
            </w:r>
          </w:p>
        </w:tc>
        <w:tc>
          <w:tcPr>
            <w:tcW w:w="583" w:type="pct"/>
            <w:tcBorders>
              <w:top w:val="nil"/>
              <w:left w:val="nil"/>
              <w:bottom w:val="nil"/>
              <w:right w:val="nil"/>
            </w:tcBorders>
            <w:shd w:val="clear" w:color="auto" w:fill="auto"/>
            <w:vAlign w:val="bottom"/>
          </w:tcPr>
          <w:p w14:paraId="6653826D" w14:textId="629EE8D6" w:rsidR="00E94B00" w:rsidRPr="00312975" w:rsidRDefault="00E94B00" w:rsidP="00E94B00">
            <w:pPr>
              <w:spacing w:after="0" w:line="240" w:lineRule="exact"/>
              <w:jc w:val="right"/>
              <w:rPr>
                <w:rFonts w:eastAsia="Arial Unicode MS" w:cs="Arial"/>
                <w:sz w:val="17"/>
                <w:szCs w:val="17"/>
              </w:rPr>
            </w:pPr>
            <w:r>
              <w:rPr>
                <w:rFonts w:eastAsia="Arial Unicode MS" w:cs="Arial"/>
                <w:sz w:val="17"/>
                <w:szCs w:val="17"/>
              </w:rPr>
              <w:t>246.211</w:t>
            </w:r>
          </w:p>
        </w:tc>
        <w:tc>
          <w:tcPr>
            <w:tcW w:w="673" w:type="pct"/>
            <w:tcBorders>
              <w:top w:val="nil"/>
              <w:left w:val="nil"/>
              <w:bottom w:val="nil"/>
              <w:right w:val="nil"/>
            </w:tcBorders>
            <w:shd w:val="clear" w:color="auto" w:fill="auto"/>
            <w:vAlign w:val="bottom"/>
          </w:tcPr>
          <w:p w14:paraId="2CBF749A" w14:textId="055756F4" w:rsidR="00E94B00" w:rsidRPr="00312975" w:rsidRDefault="00E94B00" w:rsidP="00E94B00">
            <w:pPr>
              <w:spacing w:after="0" w:line="240" w:lineRule="exact"/>
              <w:jc w:val="right"/>
              <w:rPr>
                <w:rFonts w:eastAsia="Arial Unicode MS" w:cs="Arial"/>
                <w:sz w:val="17"/>
                <w:szCs w:val="17"/>
              </w:rPr>
            </w:pPr>
            <w:r>
              <w:rPr>
                <w:rFonts w:eastAsia="Arial Unicode MS" w:cs="Arial"/>
                <w:sz w:val="17"/>
                <w:szCs w:val="17"/>
              </w:rPr>
              <w:t>234.767</w:t>
            </w:r>
          </w:p>
        </w:tc>
        <w:tc>
          <w:tcPr>
            <w:tcW w:w="579" w:type="pct"/>
            <w:tcBorders>
              <w:top w:val="nil"/>
              <w:left w:val="nil"/>
              <w:bottom w:val="nil"/>
            </w:tcBorders>
            <w:shd w:val="clear" w:color="auto" w:fill="auto"/>
            <w:vAlign w:val="bottom"/>
          </w:tcPr>
          <w:p w14:paraId="47E90C17" w14:textId="02AF6FC3" w:rsidR="00E94B00" w:rsidRPr="00312975" w:rsidRDefault="00E94B00" w:rsidP="00E94B00">
            <w:pPr>
              <w:spacing w:after="0" w:line="240" w:lineRule="exact"/>
              <w:jc w:val="right"/>
              <w:rPr>
                <w:rFonts w:eastAsia="Arial Unicode MS" w:cs="Arial"/>
                <w:sz w:val="17"/>
                <w:szCs w:val="17"/>
              </w:rPr>
            </w:pPr>
            <w:r>
              <w:rPr>
                <w:rFonts w:eastAsia="Arial Unicode MS" w:cs="Arial"/>
                <w:sz w:val="17"/>
                <w:szCs w:val="17"/>
              </w:rPr>
              <w:t>480.978</w:t>
            </w:r>
          </w:p>
        </w:tc>
      </w:tr>
      <w:tr w:rsidR="00E94B00" w:rsidRPr="00EC1653" w14:paraId="6A415EED" w14:textId="77777777" w:rsidTr="00312975">
        <w:tc>
          <w:tcPr>
            <w:tcW w:w="1463" w:type="pct"/>
          </w:tcPr>
          <w:p w14:paraId="53047900" w14:textId="77777777" w:rsidR="00E94B00" w:rsidRPr="00EC1653" w:rsidRDefault="00E94B00" w:rsidP="00E94B00">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Obveze po kreditima</w:t>
            </w:r>
          </w:p>
        </w:tc>
        <w:tc>
          <w:tcPr>
            <w:tcW w:w="517" w:type="pct"/>
            <w:tcBorders>
              <w:top w:val="nil"/>
              <w:left w:val="nil"/>
              <w:bottom w:val="nil"/>
              <w:right w:val="nil"/>
            </w:tcBorders>
            <w:shd w:val="clear" w:color="auto" w:fill="auto"/>
            <w:vAlign w:val="bottom"/>
          </w:tcPr>
          <w:p w14:paraId="6DA2CD1D" w14:textId="1F5F4A42" w:rsidR="00E94B00" w:rsidRPr="00312975" w:rsidRDefault="00E94B00" w:rsidP="00E94B00">
            <w:pPr>
              <w:spacing w:after="0" w:line="240" w:lineRule="exact"/>
              <w:jc w:val="right"/>
              <w:rPr>
                <w:rFonts w:eastAsia="Arial Unicode MS" w:cs="Arial"/>
                <w:sz w:val="17"/>
                <w:szCs w:val="17"/>
              </w:rPr>
            </w:pPr>
            <w:r>
              <w:rPr>
                <w:rFonts w:eastAsia="Arial Unicode MS" w:cs="Arial"/>
                <w:sz w:val="17"/>
                <w:szCs w:val="17"/>
              </w:rPr>
              <w:t>313.420</w:t>
            </w:r>
          </w:p>
        </w:tc>
        <w:tc>
          <w:tcPr>
            <w:tcW w:w="589" w:type="pct"/>
            <w:tcBorders>
              <w:top w:val="nil"/>
              <w:left w:val="nil"/>
              <w:bottom w:val="nil"/>
              <w:right w:val="nil"/>
            </w:tcBorders>
            <w:shd w:val="clear" w:color="auto" w:fill="auto"/>
            <w:vAlign w:val="bottom"/>
          </w:tcPr>
          <w:p w14:paraId="19A3C2C1" w14:textId="25B08538" w:rsidR="00E94B00" w:rsidRPr="00312975" w:rsidRDefault="00E94B00" w:rsidP="00E94B00">
            <w:pPr>
              <w:spacing w:after="0" w:line="240" w:lineRule="exact"/>
              <w:jc w:val="right"/>
              <w:rPr>
                <w:rFonts w:eastAsia="Arial Unicode MS" w:cs="Arial"/>
                <w:sz w:val="17"/>
                <w:szCs w:val="17"/>
              </w:rPr>
            </w:pPr>
            <w:r>
              <w:rPr>
                <w:rFonts w:eastAsia="Arial Unicode MS" w:cs="Arial"/>
                <w:sz w:val="17"/>
                <w:szCs w:val="17"/>
              </w:rPr>
              <w:t>15.110.161</w:t>
            </w:r>
          </w:p>
        </w:tc>
        <w:tc>
          <w:tcPr>
            <w:tcW w:w="596" w:type="pct"/>
            <w:tcBorders>
              <w:top w:val="nil"/>
              <w:left w:val="nil"/>
              <w:bottom w:val="nil"/>
              <w:right w:val="nil"/>
            </w:tcBorders>
            <w:shd w:val="clear" w:color="auto" w:fill="auto"/>
            <w:vAlign w:val="bottom"/>
          </w:tcPr>
          <w:p w14:paraId="3A732B46" w14:textId="7FF38B82" w:rsidR="00E94B00" w:rsidRPr="00312975" w:rsidRDefault="00E94B00" w:rsidP="00E94B00">
            <w:pPr>
              <w:spacing w:after="0" w:line="240" w:lineRule="exact"/>
              <w:jc w:val="right"/>
              <w:rPr>
                <w:rFonts w:eastAsia="Arial Unicode MS" w:cs="Arial"/>
                <w:sz w:val="17"/>
                <w:szCs w:val="17"/>
              </w:rPr>
            </w:pPr>
            <w:r>
              <w:rPr>
                <w:rFonts w:eastAsia="Arial Unicode MS" w:cs="Arial"/>
                <w:sz w:val="17"/>
                <w:szCs w:val="17"/>
              </w:rPr>
              <w:t>-</w:t>
            </w:r>
          </w:p>
        </w:tc>
        <w:tc>
          <w:tcPr>
            <w:tcW w:w="583" w:type="pct"/>
            <w:tcBorders>
              <w:top w:val="nil"/>
              <w:left w:val="nil"/>
              <w:bottom w:val="nil"/>
              <w:right w:val="nil"/>
            </w:tcBorders>
            <w:shd w:val="clear" w:color="auto" w:fill="auto"/>
            <w:vAlign w:val="bottom"/>
          </w:tcPr>
          <w:p w14:paraId="6F4FE901" w14:textId="3D3BF615" w:rsidR="00E94B00" w:rsidRPr="00312975" w:rsidRDefault="00E94B00" w:rsidP="00E94B00">
            <w:pPr>
              <w:spacing w:after="0" w:line="240" w:lineRule="exact"/>
              <w:jc w:val="right"/>
              <w:rPr>
                <w:rFonts w:eastAsia="Arial Unicode MS" w:cs="Arial"/>
                <w:sz w:val="17"/>
                <w:szCs w:val="17"/>
              </w:rPr>
            </w:pPr>
            <w:r>
              <w:rPr>
                <w:rFonts w:eastAsia="Arial Unicode MS" w:cs="Arial"/>
                <w:sz w:val="17"/>
                <w:szCs w:val="17"/>
              </w:rPr>
              <w:t>15.423.581</w:t>
            </w:r>
          </w:p>
        </w:tc>
        <w:tc>
          <w:tcPr>
            <w:tcW w:w="673" w:type="pct"/>
            <w:tcBorders>
              <w:top w:val="nil"/>
              <w:left w:val="nil"/>
              <w:bottom w:val="nil"/>
              <w:right w:val="nil"/>
            </w:tcBorders>
            <w:shd w:val="clear" w:color="auto" w:fill="auto"/>
            <w:vAlign w:val="bottom"/>
          </w:tcPr>
          <w:p w14:paraId="67AABDA0" w14:textId="405C6735" w:rsidR="00E94B00" w:rsidRPr="00312975" w:rsidRDefault="00E94B00" w:rsidP="00E94B00">
            <w:pPr>
              <w:spacing w:after="0" w:line="240" w:lineRule="exact"/>
              <w:jc w:val="right"/>
              <w:rPr>
                <w:rFonts w:eastAsia="Arial Unicode MS" w:cs="Arial"/>
                <w:sz w:val="17"/>
                <w:szCs w:val="17"/>
              </w:rPr>
            </w:pPr>
            <w:r>
              <w:rPr>
                <w:rFonts w:eastAsia="Arial Unicode MS" w:cs="Arial"/>
                <w:sz w:val="17"/>
                <w:szCs w:val="17"/>
              </w:rPr>
              <w:t>-</w:t>
            </w:r>
          </w:p>
        </w:tc>
        <w:tc>
          <w:tcPr>
            <w:tcW w:w="579" w:type="pct"/>
            <w:tcBorders>
              <w:top w:val="nil"/>
              <w:left w:val="nil"/>
              <w:bottom w:val="nil"/>
            </w:tcBorders>
            <w:shd w:val="clear" w:color="auto" w:fill="auto"/>
            <w:vAlign w:val="bottom"/>
          </w:tcPr>
          <w:p w14:paraId="1C39A37B" w14:textId="33F04574" w:rsidR="00E94B00" w:rsidRPr="00312975" w:rsidRDefault="00E94B00" w:rsidP="00E94B00">
            <w:pPr>
              <w:spacing w:after="0" w:line="240" w:lineRule="exact"/>
              <w:jc w:val="right"/>
              <w:rPr>
                <w:rFonts w:eastAsia="Arial Unicode MS" w:cs="Arial"/>
                <w:sz w:val="17"/>
                <w:szCs w:val="17"/>
              </w:rPr>
            </w:pPr>
            <w:r>
              <w:rPr>
                <w:rFonts w:eastAsia="Arial Unicode MS" w:cs="Arial"/>
                <w:sz w:val="17"/>
                <w:szCs w:val="17"/>
              </w:rPr>
              <w:t>15.423.581</w:t>
            </w:r>
          </w:p>
        </w:tc>
      </w:tr>
      <w:tr w:rsidR="00E94B00" w:rsidRPr="00EC1653" w14:paraId="35317C04" w14:textId="77777777" w:rsidTr="00312975">
        <w:tc>
          <w:tcPr>
            <w:tcW w:w="1463" w:type="pct"/>
          </w:tcPr>
          <w:p w14:paraId="68E3A19B" w14:textId="77777777" w:rsidR="00E94B00" w:rsidRPr="00EC1653" w:rsidRDefault="00E94B00" w:rsidP="00E94B00">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Obveze za izdane dugoročne vrijednosne papire</w:t>
            </w:r>
          </w:p>
        </w:tc>
        <w:tc>
          <w:tcPr>
            <w:tcW w:w="517" w:type="pct"/>
            <w:tcBorders>
              <w:top w:val="nil"/>
              <w:left w:val="nil"/>
              <w:bottom w:val="nil"/>
              <w:right w:val="nil"/>
            </w:tcBorders>
            <w:shd w:val="clear" w:color="auto" w:fill="auto"/>
            <w:vAlign w:val="bottom"/>
          </w:tcPr>
          <w:p w14:paraId="7FBBACA5" w14:textId="23A54DE1" w:rsidR="00E94B00" w:rsidRPr="00312975" w:rsidRDefault="00E94B00" w:rsidP="00E94B00">
            <w:pPr>
              <w:spacing w:after="0" w:line="240" w:lineRule="exact"/>
              <w:jc w:val="right"/>
              <w:rPr>
                <w:rFonts w:eastAsia="Arial Unicode MS" w:cs="Arial"/>
                <w:sz w:val="17"/>
                <w:szCs w:val="17"/>
              </w:rPr>
            </w:pPr>
            <w:r>
              <w:rPr>
                <w:rFonts w:eastAsia="Arial Unicode MS" w:cs="Arial"/>
                <w:sz w:val="17"/>
                <w:szCs w:val="17"/>
              </w:rPr>
              <w:t>-</w:t>
            </w:r>
          </w:p>
        </w:tc>
        <w:tc>
          <w:tcPr>
            <w:tcW w:w="589" w:type="pct"/>
            <w:tcBorders>
              <w:top w:val="nil"/>
              <w:left w:val="nil"/>
              <w:bottom w:val="nil"/>
              <w:right w:val="nil"/>
            </w:tcBorders>
            <w:shd w:val="clear" w:color="auto" w:fill="auto"/>
            <w:vAlign w:val="bottom"/>
          </w:tcPr>
          <w:p w14:paraId="5DDB2103" w14:textId="17A9894E" w:rsidR="00E94B00" w:rsidRPr="00312975" w:rsidRDefault="00E94B00" w:rsidP="00E94B00">
            <w:pPr>
              <w:spacing w:after="0" w:line="240" w:lineRule="exact"/>
              <w:jc w:val="right"/>
              <w:rPr>
                <w:rFonts w:eastAsia="Arial Unicode MS" w:cs="Arial"/>
                <w:sz w:val="17"/>
                <w:szCs w:val="17"/>
              </w:rPr>
            </w:pPr>
            <w:r>
              <w:rPr>
                <w:rFonts w:eastAsia="Arial Unicode MS" w:cs="Arial"/>
                <w:sz w:val="17"/>
                <w:szCs w:val="17"/>
              </w:rPr>
              <w:t>1.109.764</w:t>
            </w:r>
          </w:p>
        </w:tc>
        <w:tc>
          <w:tcPr>
            <w:tcW w:w="596" w:type="pct"/>
            <w:tcBorders>
              <w:top w:val="nil"/>
              <w:left w:val="nil"/>
              <w:bottom w:val="nil"/>
              <w:right w:val="nil"/>
            </w:tcBorders>
            <w:shd w:val="clear" w:color="auto" w:fill="auto"/>
            <w:vAlign w:val="bottom"/>
          </w:tcPr>
          <w:p w14:paraId="3A8E5FA9" w14:textId="5E0543A2" w:rsidR="00E94B00" w:rsidRPr="00312975" w:rsidRDefault="00E94B00" w:rsidP="00E94B00">
            <w:pPr>
              <w:spacing w:after="0" w:line="240" w:lineRule="exact"/>
              <w:jc w:val="right"/>
              <w:rPr>
                <w:rFonts w:eastAsia="Arial Unicode MS" w:cs="Arial"/>
                <w:sz w:val="17"/>
                <w:szCs w:val="17"/>
              </w:rPr>
            </w:pPr>
            <w:r>
              <w:rPr>
                <w:rFonts w:eastAsia="Arial Unicode MS" w:cs="Arial"/>
                <w:sz w:val="17"/>
                <w:szCs w:val="17"/>
              </w:rPr>
              <w:t>-</w:t>
            </w:r>
          </w:p>
        </w:tc>
        <w:tc>
          <w:tcPr>
            <w:tcW w:w="583" w:type="pct"/>
            <w:tcBorders>
              <w:top w:val="nil"/>
              <w:left w:val="nil"/>
              <w:bottom w:val="nil"/>
              <w:right w:val="nil"/>
            </w:tcBorders>
            <w:shd w:val="clear" w:color="auto" w:fill="auto"/>
            <w:vAlign w:val="bottom"/>
          </w:tcPr>
          <w:p w14:paraId="02F89BA2" w14:textId="0B0096F0" w:rsidR="00E94B00" w:rsidRPr="00312975" w:rsidRDefault="00E94B00" w:rsidP="00E94B00">
            <w:pPr>
              <w:spacing w:after="0" w:line="240" w:lineRule="exact"/>
              <w:jc w:val="right"/>
              <w:rPr>
                <w:rFonts w:eastAsia="Arial Unicode MS" w:cs="Arial"/>
                <w:sz w:val="17"/>
                <w:szCs w:val="17"/>
              </w:rPr>
            </w:pPr>
            <w:r>
              <w:rPr>
                <w:rFonts w:eastAsia="Arial Unicode MS" w:cs="Arial"/>
                <w:sz w:val="17"/>
                <w:szCs w:val="17"/>
              </w:rPr>
              <w:t>1.109.764</w:t>
            </w:r>
          </w:p>
        </w:tc>
        <w:tc>
          <w:tcPr>
            <w:tcW w:w="673" w:type="pct"/>
            <w:tcBorders>
              <w:top w:val="nil"/>
              <w:left w:val="nil"/>
              <w:bottom w:val="nil"/>
              <w:right w:val="nil"/>
            </w:tcBorders>
            <w:shd w:val="clear" w:color="auto" w:fill="auto"/>
            <w:vAlign w:val="bottom"/>
          </w:tcPr>
          <w:p w14:paraId="16774309" w14:textId="30AB3D0C" w:rsidR="00E94B00" w:rsidRPr="00312975" w:rsidRDefault="00E94B00" w:rsidP="00E94B00">
            <w:pPr>
              <w:spacing w:after="0" w:line="240" w:lineRule="exact"/>
              <w:jc w:val="right"/>
              <w:rPr>
                <w:rFonts w:eastAsia="Arial Unicode MS" w:cs="Arial"/>
                <w:sz w:val="17"/>
                <w:szCs w:val="17"/>
              </w:rPr>
            </w:pPr>
            <w:r>
              <w:rPr>
                <w:rFonts w:eastAsia="Arial Unicode MS" w:cs="Arial"/>
                <w:sz w:val="17"/>
                <w:szCs w:val="17"/>
              </w:rPr>
              <w:t>-</w:t>
            </w:r>
          </w:p>
        </w:tc>
        <w:tc>
          <w:tcPr>
            <w:tcW w:w="579" w:type="pct"/>
            <w:tcBorders>
              <w:top w:val="nil"/>
              <w:left w:val="nil"/>
              <w:bottom w:val="nil"/>
            </w:tcBorders>
            <w:shd w:val="clear" w:color="auto" w:fill="auto"/>
            <w:vAlign w:val="bottom"/>
          </w:tcPr>
          <w:p w14:paraId="7853780D" w14:textId="3451B041" w:rsidR="00E94B00" w:rsidRPr="00312975" w:rsidRDefault="00E94B00" w:rsidP="00E94B00">
            <w:pPr>
              <w:spacing w:after="0" w:line="240" w:lineRule="exact"/>
              <w:jc w:val="right"/>
              <w:rPr>
                <w:rFonts w:eastAsia="Arial Unicode MS" w:cs="Arial"/>
                <w:sz w:val="17"/>
                <w:szCs w:val="17"/>
              </w:rPr>
            </w:pPr>
            <w:r>
              <w:rPr>
                <w:rFonts w:eastAsia="Arial Unicode MS" w:cs="Arial"/>
                <w:sz w:val="17"/>
                <w:szCs w:val="17"/>
              </w:rPr>
              <w:t>1.109.764</w:t>
            </w:r>
          </w:p>
        </w:tc>
      </w:tr>
      <w:tr w:rsidR="00E94B00" w:rsidRPr="00EC1653" w14:paraId="3E9979C8" w14:textId="77777777" w:rsidTr="00312975">
        <w:trPr>
          <w:trHeight w:val="145"/>
        </w:trPr>
        <w:tc>
          <w:tcPr>
            <w:tcW w:w="1463" w:type="pct"/>
            <w:vAlign w:val="center"/>
          </w:tcPr>
          <w:p w14:paraId="466F7181" w14:textId="77777777" w:rsidR="00E94B00" w:rsidRPr="00EC1653" w:rsidRDefault="00E94B00" w:rsidP="00E94B00">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Ostale obveze</w:t>
            </w:r>
          </w:p>
        </w:tc>
        <w:tc>
          <w:tcPr>
            <w:tcW w:w="517" w:type="pct"/>
            <w:tcBorders>
              <w:top w:val="nil"/>
              <w:left w:val="nil"/>
              <w:bottom w:val="single" w:sz="2" w:space="0" w:color="auto"/>
              <w:right w:val="nil"/>
            </w:tcBorders>
            <w:shd w:val="clear" w:color="auto" w:fill="auto"/>
            <w:vAlign w:val="bottom"/>
          </w:tcPr>
          <w:p w14:paraId="3C6249B7" w14:textId="3CE37E9C" w:rsidR="00E94B00" w:rsidRPr="00312975" w:rsidRDefault="00E94B00" w:rsidP="00E94B00">
            <w:pPr>
              <w:spacing w:after="0" w:line="240" w:lineRule="exact"/>
              <w:jc w:val="right"/>
              <w:rPr>
                <w:rFonts w:eastAsia="Arial Unicode MS" w:cs="Arial"/>
                <w:sz w:val="17"/>
                <w:szCs w:val="17"/>
              </w:rPr>
            </w:pPr>
            <w:r>
              <w:rPr>
                <w:rFonts w:eastAsia="Arial Unicode MS" w:cs="Arial"/>
                <w:sz w:val="17"/>
                <w:szCs w:val="17"/>
              </w:rPr>
              <w:t>896</w:t>
            </w:r>
          </w:p>
        </w:tc>
        <w:tc>
          <w:tcPr>
            <w:tcW w:w="589" w:type="pct"/>
            <w:tcBorders>
              <w:top w:val="nil"/>
              <w:left w:val="nil"/>
              <w:bottom w:val="single" w:sz="2" w:space="0" w:color="auto"/>
              <w:right w:val="nil"/>
            </w:tcBorders>
            <w:shd w:val="clear" w:color="auto" w:fill="auto"/>
            <w:vAlign w:val="bottom"/>
          </w:tcPr>
          <w:p w14:paraId="21B2C1E1" w14:textId="7E7D0E12" w:rsidR="00E94B00" w:rsidRPr="00312975" w:rsidRDefault="00E94B00" w:rsidP="00E94B00">
            <w:pPr>
              <w:spacing w:after="0" w:line="240" w:lineRule="exact"/>
              <w:jc w:val="right"/>
              <w:rPr>
                <w:rFonts w:eastAsia="Arial Unicode MS" w:cs="Arial"/>
                <w:sz w:val="17"/>
                <w:szCs w:val="17"/>
              </w:rPr>
            </w:pPr>
            <w:r>
              <w:rPr>
                <w:rFonts w:eastAsia="Arial Unicode MS" w:cs="Arial"/>
                <w:sz w:val="17"/>
                <w:szCs w:val="17"/>
              </w:rPr>
              <w:t>10.953</w:t>
            </w:r>
          </w:p>
        </w:tc>
        <w:tc>
          <w:tcPr>
            <w:tcW w:w="596" w:type="pct"/>
            <w:tcBorders>
              <w:top w:val="nil"/>
              <w:left w:val="nil"/>
              <w:bottom w:val="single" w:sz="2" w:space="0" w:color="auto"/>
              <w:right w:val="nil"/>
            </w:tcBorders>
            <w:shd w:val="clear" w:color="auto" w:fill="auto"/>
            <w:vAlign w:val="bottom"/>
          </w:tcPr>
          <w:p w14:paraId="61C4AAC1" w14:textId="1E91BBDB" w:rsidR="00E94B00" w:rsidRPr="00312975" w:rsidRDefault="00E94B00" w:rsidP="00E94B00">
            <w:pPr>
              <w:spacing w:after="0" w:line="240" w:lineRule="exact"/>
              <w:jc w:val="right"/>
              <w:rPr>
                <w:rFonts w:eastAsia="Arial Unicode MS" w:cs="Arial"/>
                <w:sz w:val="17"/>
                <w:szCs w:val="17"/>
              </w:rPr>
            </w:pPr>
            <w:r>
              <w:rPr>
                <w:rFonts w:eastAsia="Arial Unicode MS" w:cs="Arial"/>
                <w:sz w:val="17"/>
                <w:szCs w:val="17"/>
              </w:rPr>
              <w:t>2.688</w:t>
            </w:r>
          </w:p>
        </w:tc>
        <w:tc>
          <w:tcPr>
            <w:tcW w:w="583" w:type="pct"/>
            <w:tcBorders>
              <w:top w:val="nil"/>
              <w:left w:val="nil"/>
              <w:bottom w:val="single" w:sz="2" w:space="0" w:color="auto"/>
              <w:right w:val="nil"/>
            </w:tcBorders>
            <w:shd w:val="clear" w:color="auto" w:fill="auto"/>
            <w:vAlign w:val="bottom"/>
          </w:tcPr>
          <w:p w14:paraId="50D79C08" w14:textId="57E08903" w:rsidR="00E94B00" w:rsidRPr="00312975" w:rsidRDefault="00E94B00" w:rsidP="00E94B00">
            <w:pPr>
              <w:spacing w:after="0" w:line="240" w:lineRule="exact"/>
              <w:jc w:val="right"/>
              <w:rPr>
                <w:rFonts w:eastAsia="Arial Unicode MS" w:cs="Arial"/>
                <w:sz w:val="17"/>
                <w:szCs w:val="17"/>
              </w:rPr>
            </w:pPr>
            <w:r>
              <w:rPr>
                <w:rFonts w:eastAsia="Arial Unicode MS" w:cs="Arial"/>
                <w:sz w:val="17"/>
                <w:szCs w:val="17"/>
              </w:rPr>
              <w:t>14.538</w:t>
            </w:r>
          </w:p>
        </w:tc>
        <w:tc>
          <w:tcPr>
            <w:tcW w:w="673" w:type="pct"/>
            <w:tcBorders>
              <w:top w:val="nil"/>
              <w:left w:val="nil"/>
              <w:bottom w:val="single" w:sz="2" w:space="0" w:color="auto"/>
              <w:right w:val="nil"/>
            </w:tcBorders>
            <w:shd w:val="clear" w:color="auto" w:fill="auto"/>
            <w:vAlign w:val="bottom"/>
          </w:tcPr>
          <w:p w14:paraId="7A89CAA6" w14:textId="5BF52ABB" w:rsidR="00E94B00" w:rsidRPr="00312975" w:rsidRDefault="00E94B00" w:rsidP="00E94B00">
            <w:pPr>
              <w:spacing w:after="0" w:line="240" w:lineRule="exact"/>
              <w:jc w:val="right"/>
              <w:rPr>
                <w:rFonts w:eastAsia="Arial Unicode MS" w:cs="Arial"/>
                <w:sz w:val="17"/>
                <w:szCs w:val="17"/>
              </w:rPr>
            </w:pPr>
            <w:r>
              <w:rPr>
                <w:rFonts w:eastAsia="Arial Unicode MS" w:cs="Arial"/>
                <w:sz w:val="17"/>
                <w:szCs w:val="17"/>
              </w:rPr>
              <w:t>622.315</w:t>
            </w:r>
          </w:p>
        </w:tc>
        <w:tc>
          <w:tcPr>
            <w:tcW w:w="579" w:type="pct"/>
            <w:tcBorders>
              <w:top w:val="nil"/>
              <w:left w:val="nil"/>
              <w:bottom w:val="single" w:sz="2" w:space="0" w:color="auto"/>
            </w:tcBorders>
            <w:shd w:val="clear" w:color="auto" w:fill="auto"/>
            <w:vAlign w:val="bottom"/>
          </w:tcPr>
          <w:p w14:paraId="13304A27" w14:textId="67751E53" w:rsidR="00E94B00" w:rsidRPr="00312975" w:rsidRDefault="00E94B00" w:rsidP="00E94B00">
            <w:pPr>
              <w:spacing w:after="0" w:line="240" w:lineRule="exact"/>
              <w:jc w:val="right"/>
              <w:rPr>
                <w:rFonts w:eastAsia="Arial Unicode MS" w:cs="Arial"/>
                <w:sz w:val="17"/>
                <w:szCs w:val="17"/>
              </w:rPr>
            </w:pPr>
            <w:r>
              <w:rPr>
                <w:rFonts w:eastAsia="Arial Unicode MS" w:cs="Arial"/>
                <w:sz w:val="17"/>
                <w:szCs w:val="17"/>
              </w:rPr>
              <w:t>636.853</w:t>
            </w:r>
          </w:p>
        </w:tc>
      </w:tr>
      <w:tr w:rsidR="001E387E" w:rsidRPr="00EC1653" w14:paraId="45325C71" w14:textId="77777777" w:rsidTr="00312975">
        <w:tc>
          <w:tcPr>
            <w:tcW w:w="1463" w:type="pct"/>
          </w:tcPr>
          <w:p w14:paraId="20E1CFAA" w14:textId="77777777" w:rsidR="001E387E" w:rsidRPr="00EC1653" w:rsidRDefault="001E387E" w:rsidP="001E387E">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Ukupna obveze</w:t>
            </w:r>
          </w:p>
        </w:tc>
        <w:tc>
          <w:tcPr>
            <w:tcW w:w="517" w:type="pct"/>
            <w:tcBorders>
              <w:top w:val="single" w:sz="2" w:space="0" w:color="auto"/>
              <w:left w:val="nil"/>
              <w:bottom w:val="single" w:sz="12" w:space="0" w:color="auto"/>
              <w:right w:val="nil"/>
            </w:tcBorders>
            <w:shd w:val="clear" w:color="auto" w:fill="auto"/>
            <w:vAlign w:val="bottom"/>
          </w:tcPr>
          <w:p w14:paraId="11E876B7" w14:textId="1319408E" w:rsidR="001E387E" w:rsidRPr="00EC1653" w:rsidRDefault="001E387E" w:rsidP="001E387E">
            <w:pPr>
              <w:spacing w:after="0" w:line="240" w:lineRule="exact"/>
              <w:jc w:val="right"/>
              <w:rPr>
                <w:rFonts w:eastAsia="Arial Unicode MS" w:cs="Arial"/>
                <w:b/>
                <w:bCs/>
                <w:sz w:val="18"/>
                <w:szCs w:val="18"/>
              </w:rPr>
            </w:pPr>
            <w:r>
              <w:rPr>
                <w:rFonts w:eastAsia="Arial Unicode MS" w:cs="Arial"/>
                <w:b/>
                <w:bCs/>
                <w:sz w:val="17"/>
                <w:szCs w:val="17"/>
              </w:rPr>
              <w:t>335.292</w:t>
            </w:r>
          </w:p>
        </w:tc>
        <w:tc>
          <w:tcPr>
            <w:tcW w:w="589" w:type="pct"/>
            <w:tcBorders>
              <w:top w:val="single" w:sz="2" w:space="0" w:color="auto"/>
              <w:left w:val="nil"/>
              <w:bottom w:val="single" w:sz="12" w:space="0" w:color="auto"/>
              <w:right w:val="nil"/>
            </w:tcBorders>
            <w:shd w:val="clear" w:color="auto" w:fill="auto"/>
            <w:vAlign w:val="bottom"/>
          </w:tcPr>
          <w:p w14:paraId="1E1F08AC" w14:textId="4ACE385D" w:rsidR="001E387E" w:rsidRPr="00EC1653" w:rsidRDefault="001E387E" w:rsidP="001E387E">
            <w:pPr>
              <w:spacing w:after="0" w:line="240" w:lineRule="exact"/>
              <w:jc w:val="right"/>
              <w:rPr>
                <w:rFonts w:eastAsia="Arial Unicode MS" w:cs="Arial"/>
                <w:b/>
                <w:bCs/>
                <w:sz w:val="18"/>
                <w:szCs w:val="18"/>
              </w:rPr>
            </w:pPr>
            <w:r>
              <w:rPr>
                <w:rFonts w:eastAsia="Arial Unicode MS" w:cs="Arial"/>
                <w:b/>
                <w:bCs/>
                <w:sz w:val="17"/>
                <w:szCs w:val="17"/>
              </w:rPr>
              <w:t>16.453.813</w:t>
            </w:r>
          </w:p>
        </w:tc>
        <w:tc>
          <w:tcPr>
            <w:tcW w:w="596" w:type="pct"/>
            <w:tcBorders>
              <w:top w:val="single" w:sz="2" w:space="0" w:color="auto"/>
              <w:left w:val="nil"/>
              <w:bottom w:val="single" w:sz="12" w:space="0" w:color="auto"/>
              <w:right w:val="nil"/>
            </w:tcBorders>
            <w:shd w:val="clear" w:color="auto" w:fill="auto"/>
            <w:vAlign w:val="bottom"/>
          </w:tcPr>
          <w:p w14:paraId="279C7F2F" w14:textId="64552B23" w:rsidR="001E387E" w:rsidRPr="00EC1653" w:rsidRDefault="001E387E" w:rsidP="001E387E">
            <w:pPr>
              <w:spacing w:after="0" w:line="240" w:lineRule="exact"/>
              <w:jc w:val="right"/>
              <w:rPr>
                <w:rFonts w:eastAsia="Arial Unicode MS" w:cs="Arial"/>
                <w:b/>
                <w:bCs/>
                <w:sz w:val="18"/>
                <w:szCs w:val="18"/>
              </w:rPr>
            </w:pPr>
            <w:r>
              <w:rPr>
                <w:rFonts w:eastAsia="Arial Unicode MS" w:cs="Arial"/>
                <w:b/>
                <w:bCs/>
                <w:sz w:val="17"/>
                <w:szCs w:val="17"/>
              </w:rPr>
              <w:t>4.988</w:t>
            </w:r>
          </w:p>
        </w:tc>
        <w:tc>
          <w:tcPr>
            <w:tcW w:w="583" w:type="pct"/>
            <w:tcBorders>
              <w:top w:val="single" w:sz="2" w:space="0" w:color="auto"/>
              <w:left w:val="nil"/>
              <w:bottom w:val="single" w:sz="12" w:space="0" w:color="auto"/>
              <w:right w:val="nil"/>
            </w:tcBorders>
            <w:shd w:val="clear" w:color="auto" w:fill="auto"/>
            <w:vAlign w:val="bottom"/>
          </w:tcPr>
          <w:p w14:paraId="39C7F99A" w14:textId="3264D860" w:rsidR="001E387E" w:rsidRPr="00EC1653" w:rsidRDefault="001E387E" w:rsidP="001E387E">
            <w:pPr>
              <w:spacing w:after="0" w:line="240" w:lineRule="exact"/>
              <w:jc w:val="right"/>
              <w:rPr>
                <w:rFonts w:eastAsia="Arial Unicode MS" w:cs="Arial"/>
                <w:b/>
                <w:bCs/>
                <w:sz w:val="18"/>
                <w:szCs w:val="18"/>
              </w:rPr>
            </w:pPr>
            <w:r>
              <w:rPr>
                <w:rFonts w:eastAsia="Arial Unicode MS" w:cs="Arial"/>
                <w:b/>
                <w:bCs/>
                <w:sz w:val="17"/>
                <w:szCs w:val="17"/>
              </w:rPr>
              <w:t>16.794.094</w:t>
            </w:r>
          </w:p>
        </w:tc>
        <w:tc>
          <w:tcPr>
            <w:tcW w:w="673" w:type="pct"/>
            <w:tcBorders>
              <w:top w:val="single" w:sz="2" w:space="0" w:color="auto"/>
              <w:left w:val="nil"/>
              <w:bottom w:val="single" w:sz="12" w:space="0" w:color="auto"/>
              <w:right w:val="nil"/>
            </w:tcBorders>
            <w:shd w:val="clear" w:color="auto" w:fill="auto"/>
            <w:vAlign w:val="bottom"/>
          </w:tcPr>
          <w:p w14:paraId="47BF6661" w14:textId="61CD9B9C" w:rsidR="001E387E" w:rsidRPr="00EC1653" w:rsidRDefault="001E387E" w:rsidP="001E387E">
            <w:pPr>
              <w:spacing w:after="0" w:line="240" w:lineRule="exact"/>
              <w:jc w:val="right"/>
              <w:rPr>
                <w:rFonts w:eastAsia="Arial Unicode MS" w:cs="Arial"/>
                <w:b/>
                <w:bCs/>
                <w:sz w:val="18"/>
                <w:szCs w:val="18"/>
              </w:rPr>
            </w:pPr>
            <w:r>
              <w:rPr>
                <w:rFonts w:eastAsia="Arial Unicode MS" w:cs="Arial"/>
                <w:b/>
                <w:bCs/>
                <w:sz w:val="17"/>
                <w:szCs w:val="17"/>
              </w:rPr>
              <w:t>857.082</w:t>
            </w:r>
          </w:p>
        </w:tc>
        <w:tc>
          <w:tcPr>
            <w:tcW w:w="579" w:type="pct"/>
            <w:tcBorders>
              <w:top w:val="single" w:sz="2" w:space="0" w:color="auto"/>
              <w:left w:val="nil"/>
              <w:bottom w:val="single" w:sz="12" w:space="0" w:color="auto"/>
            </w:tcBorders>
            <w:shd w:val="clear" w:color="auto" w:fill="auto"/>
            <w:vAlign w:val="bottom"/>
          </w:tcPr>
          <w:p w14:paraId="14C7847D" w14:textId="27D7AD7A" w:rsidR="001E387E" w:rsidRPr="00EC1653" w:rsidRDefault="001E387E" w:rsidP="001E387E">
            <w:pPr>
              <w:spacing w:after="0" w:line="240" w:lineRule="exact"/>
              <w:jc w:val="right"/>
              <w:rPr>
                <w:rFonts w:eastAsia="Arial Unicode MS" w:cs="Arial"/>
                <w:b/>
                <w:bCs/>
                <w:sz w:val="18"/>
                <w:szCs w:val="18"/>
              </w:rPr>
            </w:pPr>
            <w:r>
              <w:rPr>
                <w:rFonts w:eastAsia="Arial Unicode MS" w:cs="Arial"/>
                <w:b/>
                <w:bCs/>
                <w:sz w:val="17"/>
                <w:szCs w:val="17"/>
              </w:rPr>
              <w:t>17.651.176</w:t>
            </w:r>
          </w:p>
        </w:tc>
      </w:tr>
      <w:tr w:rsidR="00252ABE" w:rsidRPr="00EC1653" w14:paraId="24E32A72" w14:textId="77777777" w:rsidTr="005F1FBF">
        <w:tc>
          <w:tcPr>
            <w:tcW w:w="1463" w:type="pct"/>
          </w:tcPr>
          <w:p w14:paraId="38113B42" w14:textId="77777777" w:rsidR="00252ABE" w:rsidRPr="00EC1653" w:rsidRDefault="00252ABE" w:rsidP="00252ABE">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Kapital</w:t>
            </w:r>
          </w:p>
        </w:tc>
        <w:tc>
          <w:tcPr>
            <w:tcW w:w="517" w:type="pct"/>
            <w:tcBorders>
              <w:top w:val="single" w:sz="12" w:space="0" w:color="auto"/>
            </w:tcBorders>
            <w:shd w:val="clear" w:color="auto" w:fill="auto"/>
            <w:vAlign w:val="bottom"/>
          </w:tcPr>
          <w:p w14:paraId="081B3583" w14:textId="77777777" w:rsidR="00252ABE" w:rsidRPr="00EC1653"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589" w:type="pct"/>
            <w:tcBorders>
              <w:top w:val="single" w:sz="12" w:space="0" w:color="auto"/>
            </w:tcBorders>
            <w:shd w:val="clear" w:color="auto" w:fill="auto"/>
            <w:vAlign w:val="bottom"/>
          </w:tcPr>
          <w:p w14:paraId="16E09099" w14:textId="77777777" w:rsidR="00252ABE" w:rsidRPr="00EC1653"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596" w:type="pct"/>
            <w:tcBorders>
              <w:top w:val="single" w:sz="12" w:space="0" w:color="auto"/>
            </w:tcBorders>
            <w:shd w:val="clear" w:color="auto" w:fill="auto"/>
            <w:vAlign w:val="bottom"/>
          </w:tcPr>
          <w:p w14:paraId="4018054A" w14:textId="77777777" w:rsidR="00252ABE" w:rsidRPr="00EC1653"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583" w:type="pct"/>
            <w:tcBorders>
              <w:top w:val="single" w:sz="12" w:space="0" w:color="auto"/>
            </w:tcBorders>
            <w:shd w:val="clear" w:color="auto" w:fill="auto"/>
            <w:vAlign w:val="bottom"/>
          </w:tcPr>
          <w:p w14:paraId="748FBB33" w14:textId="77777777" w:rsidR="00252ABE" w:rsidRPr="00EC1653"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673" w:type="pct"/>
            <w:tcBorders>
              <w:top w:val="single" w:sz="12" w:space="0" w:color="auto"/>
            </w:tcBorders>
            <w:shd w:val="clear" w:color="auto" w:fill="auto"/>
            <w:vAlign w:val="bottom"/>
          </w:tcPr>
          <w:p w14:paraId="490D9321" w14:textId="77777777" w:rsidR="00252ABE" w:rsidRPr="00EC1653"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579" w:type="pct"/>
            <w:tcBorders>
              <w:top w:val="single" w:sz="12" w:space="0" w:color="auto"/>
            </w:tcBorders>
            <w:shd w:val="clear" w:color="auto" w:fill="auto"/>
            <w:vAlign w:val="bottom"/>
          </w:tcPr>
          <w:p w14:paraId="28D23FB7" w14:textId="77777777" w:rsidR="00252ABE" w:rsidRPr="00EC1653" w:rsidRDefault="00252ABE" w:rsidP="00252ABE">
            <w:pPr>
              <w:pStyle w:val="TT"/>
              <w:tabs>
                <w:tab w:val="clear" w:pos="1202"/>
              </w:tabs>
              <w:spacing w:line="240" w:lineRule="exact"/>
              <w:jc w:val="right"/>
              <w:rPr>
                <w:rFonts w:asciiTheme="minorHAnsi" w:hAnsiTheme="minorHAnsi" w:cs="Arial"/>
                <w:sz w:val="18"/>
                <w:szCs w:val="18"/>
                <w:lang w:val="hr-HR"/>
              </w:rPr>
            </w:pPr>
          </w:p>
        </w:tc>
      </w:tr>
      <w:tr w:rsidR="001E387E" w:rsidRPr="00EC1653" w14:paraId="04B867F7" w14:textId="77777777" w:rsidTr="000E5941">
        <w:tc>
          <w:tcPr>
            <w:tcW w:w="1463" w:type="pct"/>
          </w:tcPr>
          <w:p w14:paraId="39E01E86" w14:textId="77777777" w:rsidR="001E387E" w:rsidRPr="00EC1653" w:rsidRDefault="001E387E" w:rsidP="001E387E">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Osnivački kapital</w:t>
            </w:r>
          </w:p>
        </w:tc>
        <w:tc>
          <w:tcPr>
            <w:tcW w:w="517" w:type="pct"/>
            <w:tcBorders>
              <w:top w:val="nil"/>
              <w:left w:val="nil"/>
              <w:bottom w:val="nil"/>
              <w:right w:val="nil"/>
            </w:tcBorders>
            <w:shd w:val="clear" w:color="auto" w:fill="auto"/>
            <w:vAlign w:val="bottom"/>
          </w:tcPr>
          <w:p w14:paraId="65FFBC9D" w14:textId="604C6EDD" w:rsidR="001E387E" w:rsidRPr="00EC1653" w:rsidRDefault="001E387E" w:rsidP="001E387E">
            <w:pPr>
              <w:pStyle w:val="TT"/>
              <w:spacing w:line="240" w:lineRule="exact"/>
              <w:jc w:val="right"/>
              <w:rPr>
                <w:rFonts w:asciiTheme="minorHAnsi" w:hAnsiTheme="minorHAnsi" w:cs="Arial"/>
                <w:spacing w:val="-2"/>
                <w:sz w:val="18"/>
                <w:szCs w:val="18"/>
                <w:lang w:val="hr-HR"/>
              </w:rPr>
            </w:pPr>
            <w:r w:rsidRPr="00EC1653">
              <w:rPr>
                <w:rFonts w:asciiTheme="minorHAnsi" w:hAnsiTheme="minorHAnsi" w:cs="Arial"/>
                <w:spacing w:val="-2"/>
                <w:sz w:val="18"/>
                <w:szCs w:val="18"/>
                <w:lang w:val="hr-HR"/>
              </w:rPr>
              <w:t>-</w:t>
            </w:r>
          </w:p>
        </w:tc>
        <w:tc>
          <w:tcPr>
            <w:tcW w:w="589" w:type="pct"/>
            <w:tcBorders>
              <w:top w:val="nil"/>
              <w:left w:val="nil"/>
              <w:bottom w:val="nil"/>
              <w:right w:val="nil"/>
            </w:tcBorders>
            <w:shd w:val="clear" w:color="auto" w:fill="auto"/>
          </w:tcPr>
          <w:p w14:paraId="1EF3CD3F" w14:textId="1C5954F1" w:rsidR="001E387E" w:rsidRPr="00EC1653" w:rsidRDefault="001E387E" w:rsidP="001E387E">
            <w:pPr>
              <w:pStyle w:val="TT"/>
              <w:spacing w:line="240" w:lineRule="exact"/>
              <w:jc w:val="right"/>
              <w:rPr>
                <w:rFonts w:asciiTheme="minorHAnsi" w:hAnsiTheme="minorHAnsi" w:cs="Arial"/>
                <w:spacing w:val="-2"/>
                <w:sz w:val="18"/>
                <w:szCs w:val="18"/>
                <w:lang w:val="hr-HR"/>
              </w:rPr>
            </w:pPr>
            <w:r w:rsidRPr="00EC1653">
              <w:rPr>
                <w:rFonts w:asciiTheme="minorHAnsi" w:hAnsiTheme="minorHAnsi" w:cs="Arial"/>
                <w:spacing w:val="-2"/>
                <w:sz w:val="18"/>
                <w:szCs w:val="18"/>
                <w:lang w:val="hr-HR"/>
              </w:rPr>
              <w:t>-</w:t>
            </w:r>
          </w:p>
        </w:tc>
        <w:tc>
          <w:tcPr>
            <w:tcW w:w="596" w:type="pct"/>
            <w:tcBorders>
              <w:top w:val="nil"/>
              <w:left w:val="nil"/>
              <w:bottom w:val="nil"/>
              <w:right w:val="nil"/>
            </w:tcBorders>
            <w:shd w:val="clear" w:color="auto" w:fill="auto"/>
          </w:tcPr>
          <w:p w14:paraId="0A15A72F" w14:textId="2A1C6669" w:rsidR="001E387E" w:rsidRPr="00EC1653" w:rsidRDefault="001E387E" w:rsidP="001E387E">
            <w:pPr>
              <w:pStyle w:val="TT"/>
              <w:spacing w:line="240" w:lineRule="exact"/>
              <w:jc w:val="right"/>
              <w:rPr>
                <w:rFonts w:asciiTheme="minorHAnsi" w:hAnsiTheme="minorHAnsi" w:cs="Arial"/>
                <w:spacing w:val="-2"/>
                <w:sz w:val="18"/>
                <w:szCs w:val="18"/>
                <w:lang w:val="hr-HR"/>
              </w:rPr>
            </w:pPr>
            <w:r w:rsidRPr="00EC1653">
              <w:rPr>
                <w:rFonts w:asciiTheme="minorHAnsi" w:hAnsiTheme="minorHAnsi" w:cs="Arial"/>
                <w:spacing w:val="-2"/>
                <w:sz w:val="18"/>
                <w:szCs w:val="18"/>
                <w:lang w:val="hr-HR"/>
              </w:rPr>
              <w:t>-</w:t>
            </w:r>
          </w:p>
        </w:tc>
        <w:tc>
          <w:tcPr>
            <w:tcW w:w="583" w:type="pct"/>
            <w:tcBorders>
              <w:top w:val="nil"/>
              <w:left w:val="nil"/>
              <w:bottom w:val="nil"/>
              <w:right w:val="nil"/>
            </w:tcBorders>
            <w:shd w:val="clear" w:color="auto" w:fill="auto"/>
          </w:tcPr>
          <w:p w14:paraId="7BBB5983" w14:textId="1E91A137" w:rsidR="001E387E" w:rsidRPr="00EC1653" w:rsidRDefault="001E387E" w:rsidP="001E387E">
            <w:pPr>
              <w:pStyle w:val="TT"/>
              <w:spacing w:line="240" w:lineRule="exact"/>
              <w:jc w:val="right"/>
              <w:rPr>
                <w:rFonts w:asciiTheme="minorHAnsi" w:hAnsiTheme="minorHAnsi" w:cs="Arial"/>
                <w:spacing w:val="-2"/>
                <w:sz w:val="18"/>
                <w:szCs w:val="18"/>
                <w:lang w:val="hr-HR"/>
              </w:rPr>
            </w:pPr>
            <w:r w:rsidRPr="00EC1653">
              <w:rPr>
                <w:rFonts w:asciiTheme="minorHAnsi" w:hAnsiTheme="minorHAnsi" w:cs="Arial"/>
                <w:spacing w:val="-2"/>
                <w:sz w:val="18"/>
                <w:szCs w:val="18"/>
                <w:lang w:val="hr-HR"/>
              </w:rPr>
              <w:t>-</w:t>
            </w:r>
          </w:p>
        </w:tc>
        <w:tc>
          <w:tcPr>
            <w:tcW w:w="673" w:type="pct"/>
            <w:tcBorders>
              <w:top w:val="nil"/>
              <w:left w:val="nil"/>
              <w:bottom w:val="nil"/>
              <w:right w:val="nil"/>
            </w:tcBorders>
            <w:shd w:val="clear" w:color="auto" w:fill="auto"/>
            <w:vAlign w:val="bottom"/>
          </w:tcPr>
          <w:p w14:paraId="5D65F392" w14:textId="1826FA30" w:rsidR="001E387E" w:rsidRPr="00312975" w:rsidRDefault="001E387E" w:rsidP="00312975">
            <w:pPr>
              <w:spacing w:after="0" w:line="240" w:lineRule="exact"/>
              <w:jc w:val="right"/>
              <w:rPr>
                <w:rFonts w:eastAsia="Arial Unicode MS" w:cs="Arial"/>
                <w:sz w:val="17"/>
                <w:szCs w:val="17"/>
              </w:rPr>
            </w:pPr>
            <w:r w:rsidRPr="00312975">
              <w:rPr>
                <w:rFonts w:eastAsia="Arial Unicode MS" w:cs="Arial"/>
                <w:sz w:val="17"/>
                <w:szCs w:val="17"/>
              </w:rPr>
              <w:t>6.959.632</w:t>
            </w:r>
          </w:p>
        </w:tc>
        <w:tc>
          <w:tcPr>
            <w:tcW w:w="579" w:type="pct"/>
            <w:tcBorders>
              <w:top w:val="nil"/>
              <w:left w:val="nil"/>
              <w:bottom w:val="nil"/>
              <w:right w:val="nil"/>
            </w:tcBorders>
            <w:shd w:val="clear" w:color="auto" w:fill="auto"/>
            <w:vAlign w:val="bottom"/>
          </w:tcPr>
          <w:p w14:paraId="2B3E00FB" w14:textId="2A58C740" w:rsidR="001E387E" w:rsidRPr="00312975" w:rsidRDefault="001E387E" w:rsidP="00312975">
            <w:pPr>
              <w:spacing w:after="0" w:line="240" w:lineRule="exact"/>
              <w:jc w:val="right"/>
              <w:rPr>
                <w:rFonts w:eastAsia="Arial Unicode MS" w:cs="Arial"/>
                <w:sz w:val="17"/>
                <w:szCs w:val="17"/>
              </w:rPr>
            </w:pPr>
            <w:r w:rsidRPr="00312975">
              <w:rPr>
                <w:rFonts w:eastAsia="Arial Unicode MS" w:cs="Arial"/>
                <w:sz w:val="17"/>
                <w:szCs w:val="17"/>
              </w:rPr>
              <w:t>6.959.632</w:t>
            </w:r>
          </w:p>
        </w:tc>
      </w:tr>
      <w:tr w:rsidR="001E387E" w:rsidRPr="00EC1653" w14:paraId="72E6ABB9" w14:textId="77777777" w:rsidTr="000E5941">
        <w:tc>
          <w:tcPr>
            <w:tcW w:w="1463" w:type="pct"/>
          </w:tcPr>
          <w:p w14:paraId="31792CD9" w14:textId="77777777" w:rsidR="001E387E" w:rsidRPr="00EC1653" w:rsidRDefault="001E387E" w:rsidP="001E387E">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Zadržana dobit i rezerve</w:t>
            </w:r>
          </w:p>
        </w:tc>
        <w:tc>
          <w:tcPr>
            <w:tcW w:w="517" w:type="pct"/>
            <w:tcBorders>
              <w:top w:val="nil"/>
              <w:left w:val="nil"/>
              <w:bottom w:val="nil"/>
              <w:right w:val="nil"/>
            </w:tcBorders>
            <w:shd w:val="clear" w:color="auto" w:fill="auto"/>
            <w:vAlign w:val="bottom"/>
          </w:tcPr>
          <w:p w14:paraId="10BA4A91" w14:textId="4D060C98" w:rsidR="001E387E" w:rsidRPr="00EC1653" w:rsidRDefault="001E387E" w:rsidP="001E387E">
            <w:pPr>
              <w:spacing w:after="0" w:line="240" w:lineRule="exact"/>
              <w:jc w:val="right"/>
              <w:rPr>
                <w:rFonts w:eastAsia="Arial Unicode MS" w:cs="Arial"/>
                <w:sz w:val="18"/>
                <w:szCs w:val="18"/>
              </w:rPr>
            </w:pPr>
            <w:r w:rsidRPr="00EC1653">
              <w:rPr>
                <w:rFonts w:cs="Arial"/>
                <w:spacing w:val="-2"/>
                <w:sz w:val="18"/>
                <w:szCs w:val="18"/>
              </w:rPr>
              <w:t>-</w:t>
            </w:r>
          </w:p>
        </w:tc>
        <w:tc>
          <w:tcPr>
            <w:tcW w:w="589" w:type="pct"/>
            <w:tcBorders>
              <w:top w:val="nil"/>
              <w:left w:val="nil"/>
              <w:bottom w:val="nil"/>
              <w:right w:val="nil"/>
            </w:tcBorders>
            <w:shd w:val="clear" w:color="auto" w:fill="auto"/>
          </w:tcPr>
          <w:p w14:paraId="55CB45F6" w14:textId="7C1DFCC1" w:rsidR="001E387E" w:rsidRPr="00EC1653" w:rsidRDefault="001E387E" w:rsidP="001E387E">
            <w:pPr>
              <w:spacing w:after="0" w:line="240" w:lineRule="exact"/>
              <w:jc w:val="right"/>
              <w:rPr>
                <w:rFonts w:eastAsia="Arial Unicode MS" w:cs="Arial"/>
                <w:sz w:val="18"/>
                <w:szCs w:val="18"/>
              </w:rPr>
            </w:pPr>
            <w:r w:rsidRPr="00EC1653">
              <w:rPr>
                <w:rFonts w:cs="Arial"/>
                <w:spacing w:val="-2"/>
                <w:sz w:val="18"/>
                <w:szCs w:val="18"/>
              </w:rPr>
              <w:t>-</w:t>
            </w:r>
          </w:p>
        </w:tc>
        <w:tc>
          <w:tcPr>
            <w:tcW w:w="596" w:type="pct"/>
            <w:tcBorders>
              <w:top w:val="nil"/>
              <w:left w:val="nil"/>
              <w:bottom w:val="nil"/>
              <w:right w:val="nil"/>
            </w:tcBorders>
            <w:shd w:val="clear" w:color="auto" w:fill="auto"/>
          </w:tcPr>
          <w:p w14:paraId="7247CB6D" w14:textId="25767AA4" w:rsidR="001E387E" w:rsidRPr="00EC1653" w:rsidRDefault="001E387E" w:rsidP="001E387E">
            <w:pPr>
              <w:spacing w:after="0" w:line="240" w:lineRule="exact"/>
              <w:jc w:val="right"/>
              <w:rPr>
                <w:rFonts w:eastAsia="Arial Unicode MS" w:cs="Arial"/>
                <w:sz w:val="18"/>
                <w:szCs w:val="18"/>
              </w:rPr>
            </w:pPr>
            <w:r w:rsidRPr="00EC1653">
              <w:rPr>
                <w:rFonts w:cs="Arial"/>
                <w:spacing w:val="-2"/>
                <w:sz w:val="18"/>
                <w:szCs w:val="18"/>
              </w:rPr>
              <w:t>-</w:t>
            </w:r>
          </w:p>
        </w:tc>
        <w:tc>
          <w:tcPr>
            <w:tcW w:w="583" w:type="pct"/>
            <w:tcBorders>
              <w:top w:val="nil"/>
              <w:left w:val="nil"/>
              <w:bottom w:val="nil"/>
              <w:right w:val="nil"/>
            </w:tcBorders>
            <w:shd w:val="clear" w:color="auto" w:fill="auto"/>
          </w:tcPr>
          <w:p w14:paraId="4754055D" w14:textId="4D4BA93D" w:rsidR="001E387E" w:rsidRPr="00EC1653" w:rsidRDefault="001E387E" w:rsidP="001E387E">
            <w:pPr>
              <w:spacing w:after="0" w:line="240" w:lineRule="exact"/>
              <w:jc w:val="right"/>
              <w:rPr>
                <w:rFonts w:eastAsia="Arial Unicode MS" w:cs="Arial"/>
                <w:sz w:val="18"/>
                <w:szCs w:val="18"/>
              </w:rPr>
            </w:pPr>
            <w:r w:rsidRPr="00EC1653">
              <w:rPr>
                <w:rFonts w:cs="Arial"/>
                <w:spacing w:val="-2"/>
                <w:sz w:val="18"/>
                <w:szCs w:val="18"/>
              </w:rPr>
              <w:t>-</w:t>
            </w:r>
          </w:p>
        </w:tc>
        <w:tc>
          <w:tcPr>
            <w:tcW w:w="673" w:type="pct"/>
            <w:tcBorders>
              <w:top w:val="nil"/>
              <w:left w:val="nil"/>
              <w:bottom w:val="nil"/>
              <w:right w:val="nil"/>
            </w:tcBorders>
            <w:shd w:val="clear" w:color="auto" w:fill="auto"/>
            <w:vAlign w:val="bottom"/>
          </w:tcPr>
          <w:p w14:paraId="7D5EA8DB" w14:textId="2AE0A47D" w:rsidR="001E387E" w:rsidRPr="00312975" w:rsidRDefault="001E387E" w:rsidP="001E387E">
            <w:pPr>
              <w:spacing w:after="0" w:line="240" w:lineRule="exact"/>
              <w:jc w:val="right"/>
              <w:rPr>
                <w:rFonts w:eastAsia="Arial Unicode MS" w:cs="Arial"/>
                <w:sz w:val="17"/>
                <w:szCs w:val="17"/>
              </w:rPr>
            </w:pPr>
            <w:r>
              <w:rPr>
                <w:rFonts w:eastAsia="Arial Unicode MS" w:cs="Arial"/>
                <w:sz w:val="17"/>
                <w:szCs w:val="17"/>
              </w:rPr>
              <w:t>2.996.968</w:t>
            </w:r>
          </w:p>
        </w:tc>
        <w:tc>
          <w:tcPr>
            <w:tcW w:w="579" w:type="pct"/>
            <w:tcBorders>
              <w:top w:val="nil"/>
              <w:left w:val="nil"/>
              <w:bottom w:val="nil"/>
              <w:right w:val="nil"/>
            </w:tcBorders>
            <w:shd w:val="clear" w:color="auto" w:fill="auto"/>
            <w:vAlign w:val="bottom"/>
          </w:tcPr>
          <w:p w14:paraId="3380E53A" w14:textId="071318C5" w:rsidR="001E387E" w:rsidRPr="00312975" w:rsidRDefault="001E387E" w:rsidP="001E387E">
            <w:pPr>
              <w:spacing w:after="0" w:line="240" w:lineRule="exact"/>
              <w:jc w:val="right"/>
              <w:rPr>
                <w:rFonts w:eastAsia="Arial Unicode MS" w:cs="Arial"/>
                <w:sz w:val="17"/>
                <w:szCs w:val="17"/>
              </w:rPr>
            </w:pPr>
            <w:r w:rsidRPr="00366409">
              <w:rPr>
                <w:rFonts w:eastAsia="Arial Unicode MS" w:cs="Arial"/>
                <w:sz w:val="17"/>
                <w:szCs w:val="17"/>
              </w:rPr>
              <w:t>2.996.968</w:t>
            </w:r>
          </w:p>
        </w:tc>
      </w:tr>
      <w:tr w:rsidR="001E387E" w:rsidRPr="00EC1653" w14:paraId="527C3167" w14:textId="77777777" w:rsidTr="00312975">
        <w:tc>
          <w:tcPr>
            <w:tcW w:w="1463" w:type="pct"/>
          </w:tcPr>
          <w:p w14:paraId="1656C741" w14:textId="77777777" w:rsidR="001E387E" w:rsidRPr="00EC1653" w:rsidRDefault="001E387E" w:rsidP="001E387E">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Ostale rezerve</w:t>
            </w:r>
          </w:p>
        </w:tc>
        <w:tc>
          <w:tcPr>
            <w:tcW w:w="517" w:type="pct"/>
            <w:tcBorders>
              <w:top w:val="nil"/>
              <w:left w:val="nil"/>
              <w:right w:val="nil"/>
            </w:tcBorders>
            <w:shd w:val="clear" w:color="auto" w:fill="auto"/>
            <w:vAlign w:val="bottom"/>
          </w:tcPr>
          <w:p w14:paraId="1A26C396" w14:textId="680FDF75" w:rsidR="001E387E" w:rsidRPr="00EC1653" w:rsidRDefault="001E387E" w:rsidP="001E387E">
            <w:pPr>
              <w:spacing w:after="0" w:line="240" w:lineRule="exact"/>
              <w:jc w:val="right"/>
              <w:rPr>
                <w:rFonts w:eastAsia="Arial Unicode MS" w:cs="Arial"/>
                <w:sz w:val="18"/>
                <w:szCs w:val="18"/>
              </w:rPr>
            </w:pPr>
            <w:r w:rsidRPr="00EC1653">
              <w:rPr>
                <w:rFonts w:cs="Arial"/>
                <w:spacing w:val="-2"/>
                <w:sz w:val="18"/>
                <w:szCs w:val="18"/>
              </w:rPr>
              <w:t>-</w:t>
            </w:r>
          </w:p>
        </w:tc>
        <w:tc>
          <w:tcPr>
            <w:tcW w:w="589" w:type="pct"/>
            <w:tcBorders>
              <w:top w:val="nil"/>
              <w:left w:val="nil"/>
              <w:right w:val="nil"/>
            </w:tcBorders>
            <w:shd w:val="clear" w:color="auto" w:fill="auto"/>
          </w:tcPr>
          <w:p w14:paraId="5C2A0318" w14:textId="43FC81BE" w:rsidR="001E387E" w:rsidRPr="00EC1653" w:rsidRDefault="001E387E" w:rsidP="001E387E">
            <w:pPr>
              <w:spacing w:after="0" w:line="240" w:lineRule="exact"/>
              <w:jc w:val="right"/>
              <w:rPr>
                <w:rFonts w:eastAsia="Arial Unicode MS" w:cs="Arial"/>
                <w:sz w:val="18"/>
                <w:szCs w:val="18"/>
              </w:rPr>
            </w:pPr>
            <w:r w:rsidRPr="00EC1653">
              <w:rPr>
                <w:rFonts w:cs="Arial"/>
                <w:spacing w:val="-2"/>
                <w:sz w:val="18"/>
                <w:szCs w:val="18"/>
              </w:rPr>
              <w:t>-</w:t>
            </w:r>
          </w:p>
        </w:tc>
        <w:tc>
          <w:tcPr>
            <w:tcW w:w="596" w:type="pct"/>
            <w:tcBorders>
              <w:top w:val="nil"/>
              <w:left w:val="nil"/>
              <w:right w:val="nil"/>
            </w:tcBorders>
            <w:shd w:val="clear" w:color="auto" w:fill="auto"/>
          </w:tcPr>
          <w:p w14:paraId="52C592FF" w14:textId="490A2D17" w:rsidR="001E387E" w:rsidRPr="00EC1653" w:rsidRDefault="001E387E" w:rsidP="001E387E">
            <w:pPr>
              <w:spacing w:after="0" w:line="240" w:lineRule="exact"/>
              <w:jc w:val="right"/>
              <w:rPr>
                <w:rFonts w:eastAsia="Arial Unicode MS" w:cs="Arial"/>
                <w:sz w:val="18"/>
                <w:szCs w:val="18"/>
              </w:rPr>
            </w:pPr>
            <w:r w:rsidRPr="00EC1653">
              <w:rPr>
                <w:rFonts w:cs="Arial"/>
                <w:spacing w:val="-2"/>
                <w:sz w:val="18"/>
                <w:szCs w:val="18"/>
              </w:rPr>
              <w:t>-</w:t>
            </w:r>
          </w:p>
        </w:tc>
        <w:tc>
          <w:tcPr>
            <w:tcW w:w="583" w:type="pct"/>
            <w:tcBorders>
              <w:top w:val="nil"/>
              <w:left w:val="nil"/>
              <w:right w:val="nil"/>
            </w:tcBorders>
            <w:shd w:val="clear" w:color="auto" w:fill="auto"/>
          </w:tcPr>
          <w:p w14:paraId="00A53455" w14:textId="2670A7BE" w:rsidR="001E387E" w:rsidRPr="00EC1653" w:rsidRDefault="001E387E" w:rsidP="001E387E">
            <w:pPr>
              <w:spacing w:after="0" w:line="240" w:lineRule="exact"/>
              <w:jc w:val="right"/>
              <w:rPr>
                <w:rFonts w:eastAsia="Arial Unicode MS" w:cs="Arial"/>
                <w:sz w:val="18"/>
                <w:szCs w:val="18"/>
              </w:rPr>
            </w:pPr>
            <w:r w:rsidRPr="00EC1653">
              <w:rPr>
                <w:rFonts w:cs="Arial"/>
                <w:spacing w:val="-2"/>
                <w:sz w:val="18"/>
                <w:szCs w:val="18"/>
              </w:rPr>
              <w:t>-</w:t>
            </w:r>
          </w:p>
        </w:tc>
        <w:tc>
          <w:tcPr>
            <w:tcW w:w="673" w:type="pct"/>
            <w:tcBorders>
              <w:top w:val="nil"/>
              <w:left w:val="nil"/>
              <w:bottom w:val="nil"/>
              <w:right w:val="nil"/>
            </w:tcBorders>
            <w:shd w:val="clear" w:color="auto" w:fill="auto"/>
            <w:vAlign w:val="bottom"/>
          </w:tcPr>
          <w:p w14:paraId="5CD53F60" w14:textId="02A9EA61" w:rsidR="001E387E" w:rsidRPr="00312975" w:rsidRDefault="001E387E" w:rsidP="001E387E">
            <w:pPr>
              <w:spacing w:after="0" w:line="240" w:lineRule="exact"/>
              <w:jc w:val="right"/>
              <w:rPr>
                <w:rFonts w:eastAsia="Arial Unicode MS" w:cs="Arial"/>
                <w:sz w:val="17"/>
                <w:szCs w:val="17"/>
              </w:rPr>
            </w:pPr>
            <w:r>
              <w:rPr>
                <w:rFonts w:eastAsia="Arial Unicode MS" w:cs="Arial"/>
                <w:sz w:val="17"/>
                <w:szCs w:val="17"/>
              </w:rPr>
              <w:t>73.187</w:t>
            </w:r>
          </w:p>
        </w:tc>
        <w:tc>
          <w:tcPr>
            <w:tcW w:w="579" w:type="pct"/>
            <w:tcBorders>
              <w:top w:val="nil"/>
              <w:left w:val="nil"/>
              <w:bottom w:val="nil"/>
              <w:right w:val="nil"/>
            </w:tcBorders>
            <w:shd w:val="clear" w:color="auto" w:fill="auto"/>
            <w:vAlign w:val="bottom"/>
          </w:tcPr>
          <w:p w14:paraId="7BED1CF1" w14:textId="4B91302D" w:rsidR="001E387E" w:rsidRPr="00312975" w:rsidRDefault="001E387E" w:rsidP="001E387E">
            <w:pPr>
              <w:spacing w:after="0" w:line="240" w:lineRule="exact"/>
              <w:jc w:val="right"/>
              <w:rPr>
                <w:rFonts w:eastAsia="Arial Unicode MS" w:cs="Arial"/>
                <w:sz w:val="17"/>
                <w:szCs w:val="17"/>
              </w:rPr>
            </w:pPr>
            <w:r>
              <w:rPr>
                <w:rFonts w:eastAsia="Arial Unicode MS" w:cs="Arial"/>
                <w:sz w:val="17"/>
                <w:szCs w:val="17"/>
              </w:rPr>
              <w:t>73.187</w:t>
            </w:r>
          </w:p>
        </w:tc>
      </w:tr>
      <w:tr w:rsidR="001E387E" w:rsidRPr="00EC1653" w14:paraId="084CF472" w14:textId="77777777" w:rsidTr="00312975">
        <w:tc>
          <w:tcPr>
            <w:tcW w:w="1463" w:type="pct"/>
          </w:tcPr>
          <w:p w14:paraId="01800CF8" w14:textId="77777777" w:rsidR="001E387E" w:rsidRPr="00EC1653" w:rsidRDefault="001E387E" w:rsidP="001E387E">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Dobit tekuće godine</w:t>
            </w:r>
          </w:p>
        </w:tc>
        <w:tc>
          <w:tcPr>
            <w:tcW w:w="517" w:type="pct"/>
            <w:tcBorders>
              <w:top w:val="nil"/>
              <w:left w:val="nil"/>
              <w:bottom w:val="single" w:sz="8" w:space="0" w:color="auto"/>
              <w:right w:val="nil"/>
            </w:tcBorders>
            <w:shd w:val="clear" w:color="auto" w:fill="auto"/>
            <w:vAlign w:val="bottom"/>
          </w:tcPr>
          <w:p w14:paraId="287E43B0" w14:textId="47894A3F" w:rsidR="001E387E" w:rsidRPr="00EC1653" w:rsidRDefault="001E387E" w:rsidP="001E387E">
            <w:pPr>
              <w:spacing w:after="0" w:line="240" w:lineRule="exact"/>
              <w:jc w:val="right"/>
              <w:rPr>
                <w:rFonts w:eastAsia="Arial Unicode MS" w:cs="Arial"/>
                <w:sz w:val="18"/>
                <w:szCs w:val="18"/>
              </w:rPr>
            </w:pPr>
            <w:r w:rsidRPr="00EC1653">
              <w:rPr>
                <w:rFonts w:cs="Arial"/>
                <w:spacing w:val="-2"/>
                <w:sz w:val="18"/>
                <w:szCs w:val="18"/>
              </w:rPr>
              <w:t>-</w:t>
            </w:r>
          </w:p>
        </w:tc>
        <w:tc>
          <w:tcPr>
            <w:tcW w:w="589" w:type="pct"/>
            <w:tcBorders>
              <w:top w:val="nil"/>
              <w:left w:val="nil"/>
              <w:bottom w:val="single" w:sz="8" w:space="0" w:color="auto"/>
              <w:right w:val="nil"/>
            </w:tcBorders>
            <w:shd w:val="clear" w:color="auto" w:fill="auto"/>
          </w:tcPr>
          <w:p w14:paraId="0EF77642" w14:textId="78F22647" w:rsidR="001E387E" w:rsidRPr="00EC1653" w:rsidRDefault="001E387E" w:rsidP="001E387E">
            <w:pPr>
              <w:spacing w:after="0" w:line="240" w:lineRule="exact"/>
              <w:jc w:val="right"/>
              <w:rPr>
                <w:rFonts w:eastAsia="Arial Unicode MS" w:cs="Arial"/>
                <w:sz w:val="18"/>
                <w:szCs w:val="18"/>
              </w:rPr>
            </w:pPr>
            <w:r w:rsidRPr="00EC1653">
              <w:rPr>
                <w:rFonts w:cs="Arial"/>
                <w:spacing w:val="-2"/>
                <w:sz w:val="18"/>
                <w:szCs w:val="18"/>
              </w:rPr>
              <w:t>-</w:t>
            </w:r>
          </w:p>
        </w:tc>
        <w:tc>
          <w:tcPr>
            <w:tcW w:w="596" w:type="pct"/>
            <w:tcBorders>
              <w:top w:val="nil"/>
              <w:left w:val="nil"/>
              <w:bottom w:val="single" w:sz="8" w:space="0" w:color="auto"/>
              <w:right w:val="nil"/>
            </w:tcBorders>
            <w:shd w:val="clear" w:color="auto" w:fill="auto"/>
          </w:tcPr>
          <w:p w14:paraId="46806D3F" w14:textId="7CB3785C" w:rsidR="001E387E" w:rsidRPr="00EC1653" w:rsidRDefault="001E387E" w:rsidP="001E387E">
            <w:pPr>
              <w:spacing w:after="0" w:line="240" w:lineRule="exact"/>
              <w:jc w:val="right"/>
              <w:rPr>
                <w:rFonts w:eastAsia="Arial Unicode MS" w:cs="Arial"/>
                <w:sz w:val="18"/>
                <w:szCs w:val="18"/>
              </w:rPr>
            </w:pPr>
            <w:r w:rsidRPr="00EC1653">
              <w:rPr>
                <w:rFonts w:cs="Arial"/>
                <w:spacing w:val="-2"/>
                <w:sz w:val="18"/>
                <w:szCs w:val="18"/>
              </w:rPr>
              <w:t>-</w:t>
            </w:r>
          </w:p>
        </w:tc>
        <w:tc>
          <w:tcPr>
            <w:tcW w:w="583" w:type="pct"/>
            <w:tcBorders>
              <w:top w:val="nil"/>
              <w:left w:val="nil"/>
              <w:bottom w:val="single" w:sz="8" w:space="0" w:color="auto"/>
              <w:right w:val="nil"/>
            </w:tcBorders>
            <w:shd w:val="clear" w:color="auto" w:fill="auto"/>
          </w:tcPr>
          <w:p w14:paraId="47EBF2F9" w14:textId="0C1D6A52" w:rsidR="001E387E" w:rsidRPr="00EC1653" w:rsidRDefault="001E387E" w:rsidP="001E387E">
            <w:pPr>
              <w:spacing w:after="0" w:line="240" w:lineRule="exact"/>
              <w:jc w:val="right"/>
              <w:rPr>
                <w:rFonts w:eastAsia="Arial Unicode MS" w:cs="Arial"/>
                <w:sz w:val="18"/>
                <w:szCs w:val="18"/>
              </w:rPr>
            </w:pPr>
            <w:r w:rsidRPr="00EC1653">
              <w:rPr>
                <w:rFonts w:cs="Arial"/>
                <w:spacing w:val="-2"/>
                <w:sz w:val="18"/>
                <w:szCs w:val="18"/>
              </w:rPr>
              <w:t>-</w:t>
            </w:r>
          </w:p>
        </w:tc>
        <w:tc>
          <w:tcPr>
            <w:tcW w:w="673" w:type="pct"/>
            <w:tcBorders>
              <w:top w:val="nil"/>
              <w:left w:val="nil"/>
              <w:bottom w:val="single" w:sz="4" w:space="0" w:color="auto"/>
              <w:right w:val="nil"/>
            </w:tcBorders>
            <w:shd w:val="clear" w:color="auto" w:fill="auto"/>
            <w:vAlign w:val="bottom"/>
          </w:tcPr>
          <w:p w14:paraId="41D51DF6" w14:textId="1BF21D3F" w:rsidR="001E387E" w:rsidRPr="00312975" w:rsidRDefault="001E387E" w:rsidP="001E387E">
            <w:pPr>
              <w:spacing w:after="0" w:line="240" w:lineRule="exact"/>
              <w:jc w:val="right"/>
              <w:rPr>
                <w:rFonts w:eastAsia="Arial Unicode MS" w:cs="Arial"/>
                <w:sz w:val="17"/>
                <w:szCs w:val="17"/>
              </w:rPr>
            </w:pPr>
            <w:r>
              <w:rPr>
                <w:rFonts w:eastAsia="Arial Unicode MS" w:cs="Arial"/>
                <w:sz w:val="17"/>
                <w:szCs w:val="17"/>
              </w:rPr>
              <w:t>130.750</w:t>
            </w:r>
          </w:p>
        </w:tc>
        <w:tc>
          <w:tcPr>
            <w:tcW w:w="579" w:type="pct"/>
            <w:tcBorders>
              <w:top w:val="nil"/>
              <w:left w:val="nil"/>
              <w:bottom w:val="single" w:sz="4" w:space="0" w:color="auto"/>
              <w:right w:val="nil"/>
            </w:tcBorders>
            <w:shd w:val="clear" w:color="auto" w:fill="auto"/>
            <w:vAlign w:val="bottom"/>
          </w:tcPr>
          <w:p w14:paraId="27EB489A" w14:textId="3258BDC6" w:rsidR="001E387E" w:rsidRPr="00312975" w:rsidRDefault="001E387E" w:rsidP="001E387E">
            <w:pPr>
              <w:spacing w:after="0" w:line="240" w:lineRule="exact"/>
              <w:jc w:val="right"/>
              <w:rPr>
                <w:rFonts w:eastAsia="Arial Unicode MS" w:cs="Arial"/>
                <w:sz w:val="17"/>
                <w:szCs w:val="17"/>
              </w:rPr>
            </w:pPr>
            <w:r>
              <w:rPr>
                <w:rFonts w:eastAsia="Arial Unicode MS" w:cs="Arial"/>
                <w:sz w:val="17"/>
                <w:szCs w:val="17"/>
              </w:rPr>
              <w:t>130.750</w:t>
            </w:r>
          </w:p>
        </w:tc>
      </w:tr>
      <w:tr w:rsidR="001E387E" w:rsidRPr="00EC1653" w14:paraId="414C9BCD" w14:textId="77777777" w:rsidTr="000E5941">
        <w:tc>
          <w:tcPr>
            <w:tcW w:w="1463" w:type="pct"/>
          </w:tcPr>
          <w:p w14:paraId="0B4A6B3F" w14:textId="77777777" w:rsidR="001E387E" w:rsidRPr="00EC1653" w:rsidRDefault="001E387E" w:rsidP="001E387E">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Ukupni kapital koji pripada vlasnicima društva</w:t>
            </w:r>
          </w:p>
        </w:tc>
        <w:tc>
          <w:tcPr>
            <w:tcW w:w="517" w:type="pct"/>
            <w:tcBorders>
              <w:top w:val="single" w:sz="8" w:space="0" w:color="auto"/>
              <w:left w:val="nil"/>
              <w:bottom w:val="nil"/>
              <w:right w:val="nil"/>
            </w:tcBorders>
            <w:shd w:val="clear" w:color="auto" w:fill="auto"/>
            <w:vAlign w:val="bottom"/>
          </w:tcPr>
          <w:p w14:paraId="4100FB58" w14:textId="5C6AF58E" w:rsidR="001E387E" w:rsidRPr="00EC1653" w:rsidRDefault="001E387E" w:rsidP="001E387E">
            <w:pPr>
              <w:pStyle w:val="Tot"/>
              <w:tabs>
                <w:tab w:val="clear" w:pos="1202"/>
              </w:tabs>
              <w:spacing w:line="240" w:lineRule="exact"/>
              <w:jc w:val="right"/>
              <w:rPr>
                <w:rFonts w:asciiTheme="minorHAnsi" w:hAnsiTheme="minorHAnsi" w:cs="Arial"/>
                <w:b/>
                <w:bCs/>
                <w:sz w:val="18"/>
                <w:szCs w:val="18"/>
                <w:lang w:val="hr-HR"/>
              </w:rPr>
            </w:pPr>
            <w:r w:rsidRPr="00EC1653">
              <w:rPr>
                <w:rFonts w:asciiTheme="minorHAnsi" w:hAnsiTheme="minorHAnsi" w:cs="Arial"/>
                <w:spacing w:val="-2"/>
                <w:sz w:val="18"/>
                <w:szCs w:val="18"/>
                <w:lang w:val="hr-HR"/>
              </w:rPr>
              <w:t>-</w:t>
            </w:r>
          </w:p>
        </w:tc>
        <w:tc>
          <w:tcPr>
            <w:tcW w:w="589" w:type="pct"/>
            <w:tcBorders>
              <w:top w:val="single" w:sz="8" w:space="0" w:color="auto"/>
              <w:left w:val="nil"/>
              <w:bottom w:val="nil"/>
              <w:right w:val="nil"/>
            </w:tcBorders>
            <w:shd w:val="clear" w:color="auto" w:fill="auto"/>
            <w:vAlign w:val="bottom"/>
          </w:tcPr>
          <w:p w14:paraId="5DB7464B" w14:textId="0E5B2966" w:rsidR="001E387E" w:rsidRPr="00EC1653" w:rsidRDefault="001E387E" w:rsidP="001E387E">
            <w:pPr>
              <w:pStyle w:val="Tot"/>
              <w:tabs>
                <w:tab w:val="clear" w:pos="1202"/>
              </w:tabs>
              <w:spacing w:line="240" w:lineRule="exact"/>
              <w:jc w:val="right"/>
              <w:rPr>
                <w:rFonts w:asciiTheme="minorHAnsi" w:hAnsiTheme="minorHAnsi" w:cs="Arial"/>
                <w:b/>
                <w:bCs/>
                <w:sz w:val="18"/>
                <w:szCs w:val="18"/>
                <w:lang w:val="hr-HR"/>
              </w:rPr>
            </w:pPr>
            <w:r w:rsidRPr="00EC1653">
              <w:rPr>
                <w:rFonts w:asciiTheme="minorHAnsi" w:hAnsiTheme="minorHAnsi" w:cs="Arial"/>
                <w:spacing w:val="-2"/>
                <w:sz w:val="18"/>
                <w:szCs w:val="18"/>
                <w:lang w:val="hr-HR"/>
              </w:rPr>
              <w:t>-</w:t>
            </w:r>
          </w:p>
        </w:tc>
        <w:tc>
          <w:tcPr>
            <w:tcW w:w="596" w:type="pct"/>
            <w:tcBorders>
              <w:top w:val="single" w:sz="8" w:space="0" w:color="auto"/>
              <w:left w:val="nil"/>
              <w:bottom w:val="nil"/>
              <w:right w:val="nil"/>
            </w:tcBorders>
            <w:shd w:val="clear" w:color="auto" w:fill="auto"/>
            <w:vAlign w:val="bottom"/>
          </w:tcPr>
          <w:p w14:paraId="5B109797" w14:textId="5A4FD53E" w:rsidR="001E387E" w:rsidRPr="00EC1653" w:rsidRDefault="001E387E" w:rsidP="001E387E">
            <w:pPr>
              <w:pStyle w:val="Tot"/>
              <w:tabs>
                <w:tab w:val="clear" w:pos="1202"/>
              </w:tabs>
              <w:spacing w:line="240" w:lineRule="exact"/>
              <w:jc w:val="right"/>
              <w:rPr>
                <w:rFonts w:asciiTheme="minorHAnsi" w:hAnsiTheme="minorHAnsi" w:cs="Arial"/>
                <w:b/>
                <w:bCs/>
                <w:sz w:val="18"/>
                <w:szCs w:val="18"/>
                <w:lang w:val="hr-HR"/>
              </w:rPr>
            </w:pPr>
            <w:r w:rsidRPr="00EC1653">
              <w:rPr>
                <w:rFonts w:asciiTheme="minorHAnsi" w:hAnsiTheme="minorHAnsi" w:cs="Arial"/>
                <w:spacing w:val="-2"/>
                <w:sz w:val="18"/>
                <w:szCs w:val="18"/>
                <w:lang w:val="hr-HR"/>
              </w:rPr>
              <w:t>-</w:t>
            </w:r>
          </w:p>
        </w:tc>
        <w:tc>
          <w:tcPr>
            <w:tcW w:w="583" w:type="pct"/>
            <w:tcBorders>
              <w:top w:val="single" w:sz="8" w:space="0" w:color="auto"/>
              <w:left w:val="nil"/>
              <w:bottom w:val="nil"/>
              <w:right w:val="nil"/>
            </w:tcBorders>
            <w:shd w:val="clear" w:color="auto" w:fill="auto"/>
            <w:vAlign w:val="bottom"/>
          </w:tcPr>
          <w:p w14:paraId="26946EB9" w14:textId="43B4854A" w:rsidR="001E387E" w:rsidRPr="00EC1653" w:rsidRDefault="001E387E" w:rsidP="001E387E">
            <w:pPr>
              <w:pStyle w:val="Tot"/>
              <w:tabs>
                <w:tab w:val="clear" w:pos="1202"/>
              </w:tabs>
              <w:spacing w:line="240" w:lineRule="exact"/>
              <w:jc w:val="right"/>
              <w:rPr>
                <w:rFonts w:asciiTheme="minorHAnsi" w:hAnsiTheme="minorHAnsi" w:cs="Arial"/>
                <w:b/>
                <w:bCs/>
                <w:sz w:val="18"/>
                <w:szCs w:val="18"/>
                <w:lang w:val="hr-HR"/>
              </w:rPr>
            </w:pPr>
            <w:r w:rsidRPr="00EC1653">
              <w:rPr>
                <w:rFonts w:asciiTheme="minorHAnsi" w:hAnsiTheme="minorHAnsi" w:cs="Arial"/>
                <w:spacing w:val="-2"/>
                <w:sz w:val="18"/>
                <w:szCs w:val="18"/>
                <w:lang w:val="hr-HR"/>
              </w:rPr>
              <w:t>-</w:t>
            </w:r>
          </w:p>
        </w:tc>
        <w:tc>
          <w:tcPr>
            <w:tcW w:w="673" w:type="pct"/>
            <w:tcBorders>
              <w:top w:val="single" w:sz="8" w:space="0" w:color="auto"/>
              <w:left w:val="nil"/>
              <w:bottom w:val="single" w:sz="12" w:space="0" w:color="auto"/>
              <w:right w:val="nil"/>
            </w:tcBorders>
            <w:shd w:val="clear" w:color="auto" w:fill="auto"/>
            <w:vAlign w:val="bottom"/>
          </w:tcPr>
          <w:p w14:paraId="27687425" w14:textId="11751E23" w:rsidR="001E387E" w:rsidRPr="00312975" w:rsidRDefault="001E387E" w:rsidP="001E387E">
            <w:pPr>
              <w:spacing w:after="0" w:line="240" w:lineRule="exact"/>
              <w:jc w:val="right"/>
              <w:rPr>
                <w:rFonts w:eastAsia="Arial Unicode MS" w:cs="Arial"/>
                <w:b/>
                <w:bCs/>
                <w:sz w:val="17"/>
                <w:szCs w:val="17"/>
              </w:rPr>
            </w:pPr>
            <w:r w:rsidRPr="00312975">
              <w:rPr>
                <w:rFonts w:eastAsia="Arial Unicode MS" w:cs="Arial"/>
                <w:b/>
                <w:bCs/>
                <w:sz w:val="17"/>
                <w:szCs w:val="17"/>
              </w:rPr>
              <w:t>10.160.537</w:t>
            </w:r>
          </w:p>
        </w:tc>
        <w:tc>
          <w:tcPr>
            <w:tcW w:w="579" w:type="pct"/>
            <w:tcBorders>
              <w:top w:val="single" w:sz="8" w:space="0" w:color="auto"/>
              <w:left w:val="nil"/>
              <w:bottom w:val="single" w:sz="12" w:space="0" w:color="auto"/>
              <w:right w:val="nil"/>
            </w:tcBorders>
            <w:shd w:val="clear" w:color="auto" w:fill="auto"/>
            <w:vAlign w:val="bottom"/>
          </w:tcPr>
          <w:p w14:paraId="6D3C671C" w14:textId="5511E9F3" w:rsidR="001E387E" w:rsidRPr="00312975" w:rsidRDefault="001E387E" w:rsidP="001E387E">
            <w:pPr>
              <w:spacing w:after="0" w:line="240" w:lineRule="exact"/>
              <w:jc w:val="right"/>
              <w:rPr>
                <w:rFonts w:eastAsia="Arial Unicode MS" w:cs="Arial"/>
                <w:b/>
                <w:bCs/>
                <w:sz w:val="17"/>
                <w:szCs w:val="17"/>
              </w:rPr>
            </w:pPr>
            <w:r w:rsidRPr="00312975">
              <w:rPr>
                <w:rFonts w:eastAsia="Arial Unicode MS" w:cs="Arial"/>
                <w:b/>
                <w:bCs/>
                <w:sz w:val="17"/>
                <w:szCs w:val="17"/>
              </w:rPr>
              <w:t>10.160.537</w:t>
            </w:r>
          </w:p>
        </w:tc>
      </w:tr>
      <w:tr w:rsidR="00252ABE" w:rsidRPr="00EC1653" w14:paraId="10E33DE5" w14:textId="77777777" w:rsidTr="005F1FBF">
        <w:tc>
          <w:tcPr>
            <w:tcW w:w="1463" w:type="pct"/>
            <w:vAlign w:val="bottom"/>
          </w:tcPr>
          <w:p w14:paraId="3301E06A" w14:textId="77777777" w:rsidR="00252ABE" w:rsidRPr="00EC1653" w:rsidRDefault="00252ABE" w:rsidP="00252ABE">
            <w:pPr>
              <w:spacing w:after="0" w:line="240" w:lineRule="exact"/>
              <w:rPr>
                <w:rFonts w:cs="Arial"/>
                <w:bCs/>
                <w:sz w:val="18"/>
                <w:szCs w:val="18"/>
              </w:rPr>
            </w:pPr>
            <w:r w:rsidRPr="00EC1653">
              <w:rPr>
                <w:rFonts w:cs="Arial"/>
                <w:bCs/>
                <w:sz w:val="18"/>
                <w:szCs w:val="18"/>
              </w:rPr>
              <w:t>Garantni fond</w:t>
            </w:r>
          </w:p>
        </w:tc>
        <w:tc>
          <w:tcPr>
            <w:tcW w:w="517" w:type="pct"/>
            <w:tcBorders>
              <w:top w:val="single" w:sz="12" w:space="0" w:color="auto"/>
              <w:left w:val="nil"/>
              <w:bottom w:val="single" w:sz="12" w:space="0" w:color="auto"/>
              <w:right w:val="nil"/>
            </w:tcBorders>
            <w:shd w:val="clear" w:color="auto" w:fill="auto"/>
            <w:vAlign w:val="bottom"/>
          </w:tcPr>
          <w:p w14:paraId="6A0B0D49" w14:textId="753F2E36" w:rsidR="00252ABE" w:rsidRPr="00EC1653" w:rsidRDefault="00E14C8D" w:rsidP="00252ABE">
            <w:pPr>
              <w:pStyle w:val="Tot"/>
              <w:spacing w:line="240" w:lineRule="exact"/>
              <w:jc w:val="right"/>
              <w:rPr>
                <w:rFonts w:asciiTheme="minorHAnsi" w:hAnsiTheme="minorHAnsi" w:cs="Arial"/>
                <w:bCs/>
                <w:spacing w:val="-2"/>
                <w:sz w:val="18"/>
                <w:szCs w:val="18"/>
                <w:lang w:val="hr-HR"/>
              </w:rPr>
            </w:pPr>
            <w:r w:rsidRPr="00EC1653">
              <w:rPr>
                <w:rFonts w:asciiTheme="minorHAnsi" w:hAnsiTheme="minorHAnsi" w:cs="Arial"/>
                <w:bCs/>
                <w:spacing w:val="-2"/>
                <w:sz w:val="18"/>
                <w:szCs w:val="18"/>
                <w:lang w:val="hr-HR"/>
              </w:rPr>
              <w:t>-</w:t>
            </w:r>
          </w:p>
        </w:tc>
        <w:tc>
          <w:tcPr>
            <w:tcW w:w="589" w:type="pct"/>
            <w:tcBorders>
              <w:top w:val="single" w:sz="12" w:space="0" w:color="auto"/>
              <w:left w:val="nil"/>
              <w:bottom w:val="single" w:sz="12" w:space="0" w:color="auto"/>
              <w:right w:val="nil"/>
            </w:tcBorders>
            <w:shd w:val="clear" w:color="auto" w:fill="auto"/>
            <w:vAlign w:val="bottom"/>
          </w:tcPr>
          <w:p w14:paraId="45098E00" w14:textId="2B48E2D3" w:rsidR="00252ABE" w:rsidRPr="00EC1653" w:rsidRDefault="001E387E" w:rsidP="00252ABE">
            <w:pPr>
              <w:spacing w:after="0" w:line="240" w:lineRule="exact"/>
              <w:jc w:val="right"/>
              <w:rPr>
                <w:rFonts w:eastAsia="Arial Unicode MS" w:cs="Arial"/>
                <w:bCs/>
                <w:sz w:val="18"/>
                <w:szCs w:val="18"/>
              </w:rPr>
            </w:pPr>
            <w:r>
              <w:rPr>
                <w:rFonts w:eastAsia="Arial Unicode MS" w:cs="Arial"/>
                <w:bCs/>
                <w:sz w:val="18"/>
                <w:szCs w:val="18"/>
              </w:rPr>
              <w:t>12.128</w:t>
            </w:r>
          </w:p>
        </w:tc>
        <w:tc>
          <w:tcPr>
            <w:tcW w:w="596" w:type="pct"/>
            <w:tcBorders>
              <w:top w:val="single" w:sz="12" w:space="0" w:color="auto"/>
              <w:left w:val="nil"/>
              <w:bottom w:val="single" w:sz="12" w:space="0" w:color="auto"/>
              <w:right w:val="nil"/>
            </w:tcBorders>
            <w:shd w:val="clear" w:color="auto" w:fill="auto"/>
            <w:vAlign w:val="bottom"/>
          </w:tcPr>
          <w:p w14:paraId="1A995FBB" w14:textId="173B7559" w:rsidR="00252ABE" w:rsidRPr="00EC1653" w:rsidRDefault="00E14C8D" w:rsidP="00252ABE">
            <w:pPr>
              <w:spacing w:after="0" w:line="240" w:lineRule="exact"/>
              <w:jc w:val="right"/>
              <w:rPr>
                <w:rFonts w:eastAsia="Arial Unicode MS" w:cs="Arial"/>
                <w:bCs/>
                <w:sz w:val="18"/>
                <w:szCs w:val="18"/>
              </w:rPr>
            </w:pPr>
            <w:r w:rsidRPr="00EC1653">
              <w:rPr>
                <w:rFonts w:eastAsia="Arial Unicode MS" w:cs="Arial"/>
                <w:bCs/>
                <w:sz w:val="18"/>
                <w:szCs w:val="18"/>
              </w:rPr>
              <w:t>-</w:t>
            </w:r>
          </w:p>
        </w:tc>
        <w:tc>
          <w:tcPr>
            <w:tcW w:w="583" w:type="pct"/>
            <w:tcBorders>
              <w:top w:val="single" w:sz="12" w:space="0" w:color="auto"/>
              <w:left w:val="nil"/>
              <w:bottom w:val="single" w:sz="12" w:space="0" w:color="auto"/>
              <w:right w:val="nil"/>
            </w:tcBorders>
            <w:shd w:val="clear" w:color="auto" w:fill="auto"/>
            <w:vAlign w:val="bottom"/>
          </w:tcPr>
          <w:p w14:paraId="08FA5896" w14:textId="26328070" w:rsidR="00252ABE" w:rsidRPr="00EC1653" w:rsidRDefault="001E387E" w:rsidP="00252ABE">
            <w:pPr>
              <w:spacing w:after="0" w:line="240" w:lineRule="exact"/>
              <w:jc w:val="right"/>
              <w:rPr>
                <w:rFonts w:eastAsia="Arial Unicode MS" w:cs="Arial"/>
                <w:bCs/>
                <w:sz w:val="18"/>
                <w:szCs w:val="18"/>
              </w:rPr>
            </w:pPr>
            <w:r>
              <w:rPr>
                <w:rFonts w:eastAsia="Arial Unicode MS" w:cs="Arial"/>
                <w:bCs/>
                <w:sz w:val="18"/>
                <w:szCs w:val="18"/>
              </w:rPr>
              <w:t>12.128</w:t>
            </w:r>
          </w:p>
        </w:tc>
        <w:tc>
          <w:tcPr>
            <w:tcW w:w="673" w:type="pct"/>
            <w:tcBorders>
              <w:top w:val="single" w:sz="12" w:space="0" w:color="auto"/>
              <w:left w:val="nil"/>
              <w:bottom w:val="single" w:sz="12" w:space="0" w:color="auto"/>
              <w:right w:val="nil"/>
            </w:tcBorders>
            <w:shd w:val="clear" w:color="auto" w:fill="auto"/>
            <w:vAlign w:val="bottom"/>
          </w:tcPr>
          <w:p w14:paraId="07252932" w14:textId="41E3F7E5" w:rsidR="00252ABE" w:rsidRPr="00EC1653" w:rsidRDefault="00E14C8D" w:rsidP="00252ABE">
            <w:pPr>
              <w:spacing w:after="0" w:line="240" w:lineRule="exact"/>
              <w:jc w:val="right"/>
              <w:rPr>
                <w:rFonts w:eastAsia="Arial Unicode MS" w:cs="Arial"/>
                <w:bCs/>
                <w:sz w:val="18"/>
                <w:szCs w:val="18"/>
              </w:rPr>
            </w:pPr>
            <w:r w:rsidRPr="00EC1653">
              <w:rPr>
                <w:rFonts w:eastAsia="Arial Unicode MS" w:cs="Arial"/>
                <w:bCs/>
                <w:sz w:val="18"/>
                <w:szCs w:val="18"/>
              </w:rPr>
              <w:t>-</w:t>
            </w:r>
          </w:p>
        </w:tc>
        <w:tc>
          <w:tcPr>
            <w:tcW w:w="579" w:type="pct"/>
            <w:tcBorders>
              <w:top w:val="single" w:sz="12" w:space="0" w:color="auto"/>
              <w:left w:val="nil"/>
              <w:bottom w:val="single" w:sz="12" w:space="0" w:color="auto"/>
              <w:right w:val="nil"/>
            </w:tcBorders>
            <w:shd w:val="clear" w:color="auto" w:fill="auto"/>
            <w:vAlign w:val="bottom"/>
          </w:tcPr>
          <w:p w14:paraId="37AA0735" w14:textId="7A75FC9C" w:rsidR="00252ABE" w:rsidRPr="009620BF" w:rsidRDefault="009620BF" w:rsidP="00252ABE">
            <w:pPr>
              <w:spacing w:after="0" w:line="240" w:lineRule="exact"/>
              <w:jc w:val="right"/>
              <w:rPr>
                <w:rFonts w:eastAsia="Arial Unicode MS" w:cs="Arial"/>
                <w:bCs/>
                <w:sz w:val="18"/>
                <w:szCs w:val="18"/>
              </w:rPr>
            </w:pPr>
            <w:r w:rsidRPr="00312975">
              <w:rPr>
                <w:rFonts w:eastAsia="Arial Unicode MS" w:cs="Arial"/>
                <w:bCs/>
                <w:sz w:val="17"/>
                <w:szCs w:val="17"/>
              </w:rPr>
              <w:t>12.128</w:t>
            </w:r>
          </w:p>
        </w:tc>
      </w:tr>
      <w:tr w:rsidR="00136468" w:rsidRPr="00EC1653" w14:paraId="0E379601" w14:textId="77777777" w:rsidTr="00312975">
        <w:tc>
          <w:tcPr>
            <w:tcW w:w="1463" w:type="pct"/>
          </w:tcPr>
          <w:p w14:paraId="78CA3229" w14:textId="77777777" w:rsidR="00136468" w:rsidRPr="00EC1653" w:rsidRDefault="00136468" w:rsidP="00136468">
            <w:pPr>
              <w:spacing w:after="0" w:line="240" w:lineRule="exact"/>
              <w:rPr>
                <w:rFonts w:cs="Arial"/>
                <w:b/>
                <w:bCs/>
                <w:sz w:val="18"/>
                <w:szCs w:val="18"/>
              </w:rPr>
            </w:pPr>
            <w:r w:rsidRPr="00EC1653">
              <w:rPr>
                <w:rFonts w:cs="Arial"/>
                <w:b/>
                <w:bCs/>
                <w:sz w:val="18"/>
                <w:szCs w:val="18"/>
              </w:rPr>
              <w:t>Ukupna glavnica</w:t>
            </w:r>
          </w:p>
        </w:tc>
        <w:tc>
          <w:tcPr>
            <w:tcW w:w="517" w:type="pct"/>
            <w:tcBorders>
              <w:top w:val="single" w:sz="12" w:space="0" w:color="auto"/>
              <w:left w:val="nil"/>
              <w:bottom w:val="single" w:sz="12" w:space="0" w:color="auto"/>
              <w:right w:val="nil"/>
            </w:tcBorders>
            <w:shd w:val="clear" w:color="auto" w:fill="auto"/>
            <w:vAlign w:val="bottom"/>
          </w:tcPr>
          <w:p w14:paraId="7FF34308" w14:textId="4B978D59" w:rsidR="00136468" w:rsidRPr="00312975" w:rsidRDefault="00136468" w:rsidP="00136468">
            <w:pPr>
              <w:spacing w:after="0" w:line="240" w:lineRule="exact"/>
              <w:jc w:val="right"/>
              <w:rPr>
                <w:rFonts w:eastAsia="Arial Unicode MS" w:cs="Arial"/>
                <w:b/>
                <w:bCs/>
                <w:sz w:val="17"/>
                <w:szCs w:val="17"/>
              </w:rPr>
            </w:pPr>
            <w:r w:rsidRPr="00312975">
              <w:rPr>
                <w:rFonts w:eastAsia="Arial Unicode MS" w:cs="Arial"/>
                <w:b/>
                <w:bCs/>
                <w:sz w:val="17"/>
                <w:szCs w:val="17"/>
              </w:rPr>
              <w:t>-</w:t>
            </w:r>
          </w:p>
        </w:tc>
        <w:tc>
          <w:tcPr>
            <w:tcW w:w="589" w:type="pct"/>
            <w:tcBorders>
              <w:top w:val="single" w:sz="12" w:space="0" w:color="auto"/>
              <w:left w:val="nil"/>
              <w:bottom w:val="single" w:sz="12" w:space="0" w:color="auto"/>
              <w:right w:val="nil"/>
            </w:tcBorders>
            <w:shd w:val="clear" w:color="auto" w:fill="auto"/>
            <w:vAlign w:val="bottom"/>
          </w:tcPr>
          <w:p w14:paraId="325F78BA" w14:textId="1B68E828" w:rsidR="00136468" w:rsidRPr="00312975" w:rsidRDefault="00136468" w:rsidP="00136468">
            <w:pPr>
              <w:spacing w:after="0" w:line="240" w:lineRule="exact"/>
              <w:jc w:val="right"/>
              <w:rPr>
                <w:rFonts w:eastAsia="Arial Unicode MS" w:cs="Arial"/>
                <w:b/>
                <w:bCs/>
                <w:sz w:val="17"/>
                <w:szCs w:val="17"/>
              </w:rPr>
            </w:pPr>
            <w:r w:rsidRPr="00312975">
              <w:rPr>
                <w:rFonts w:eastAsia="Arial Unicode MS" w:cs="Arial"/>
                <w:b/>
                <w:bCs/>
                <w:sz w:val="17"/>
                <w:szCs w:val="17"/>
              </w:rPr>
              <w:t>12.128</w:t>
            </w:r>
          </w:p>
        </w:tc>
        <w:tc>
          <w:tcPr>
            <w:tcW w:w="596" w:type="pct"/>
            <w:tcBorders>
              <w:top w:val="single" w:sz="12" w:space="0" w:color="auto"/>
              <w:left w:val="nil"/>
              <w:bottom w:val="single" w:sz="12" w:space="0" w:color="auto"/>
              <w:right w:val="nil"/>
            </w:tcBorders>
            <w:shd w:val="clear" w:color="auto" w:fill="auto"/>
            <w:vAlign w:val="bottom"/>
          </w:tcPr>
          <w:p w14:paraId="13A743ED" w14:textId="48181FC9" w:rsidR="00136468" w:rsidRPr="00312975" w:rsidRDefault="00136468" w:rsidP="00136468">
            <w:pPr>
              <w:spacing w:after="0" w:line="240" w:lineRule="exact"/>
              <w:jc w:val="right"/>
              <w:rPr>
                <w:rFonts w:eastAsia="Arial Unicode MS" w:cs="Arial"/>
                <w:b/>
                <w:bCs/>
                <w:sz w:val="17"/>
                <w:szCs w:val="17"/>
              </w:rPr>
            </w:pPr>
            <w:r w:rsidRPr="00312975">
              <w:rPr>
                <w:rFonts w:eastAsia="Arial Unicode MS" w:cs="Arial"/>
                <w:b/>
                <w:bCs/>
                <w:sz w:val="17"/>
                <w:szCs w:val="17"/>
              </w:rPr>
              <w:t>-</w:t>
            </w:r>
          </w:p>
        </w:tc>
        <w:tc>
          <w:tcPr>
            <w:tcW w:w="583" w:type="pct"/>
            <w:tcBorders>
              <w:top w:val="single" w:sz="12" w:space="0" w:color="auto"/>
              <w:left w:val="nil"/>
              <w:bottom w:val="single" w:sz="12" w:space="0" w:color="auto"/>
              <w:right w:val="nil"/>
            </w:tcBorders>
            <w:shd w:val="clear" w:color="auto" w:fill="auto"/>
            <w:vAlign w:val="bottom"/>
          </w:tcPr>
          <w:p w14:paraId="12E59219" w14:textId="229F0732" w:rsidR="00136468" w:rsidRPr="00312975" w:rsidRDefault="00136468" w:rsidP="00136468">
            <w:pPr>
              <w:spacing w:after="0" w:line="240" w:lineRule="exact"/>
              <w:jc w:val="right"/>
              <w:rPr>
                <w:rFonts w:eastAsia="Arial Unicode MS" w:cs="Arial"/>
                <w:b/>
                <w:bCs/>
                <w:sz w:val="17"/>
                <w:szCs w:val="17"/>
              </w:rPr>
            </w:pPr>
            <w:r w:rsidRPr="00312975">
              <w:rPr>
                <w:rFonts w:eastAsia="Arial Unicode MS" w:cs="Arial"/>
                <w:b/>
                <w:bCs/>
                <w:sz w:val="17"/>
                <w:szCs w:val="17"/>
              </w:rPr>
              <w:t>12.128</w:t>
            </w:r>
          </w:p>
        </w:tc>
        <w:tc>
          <w:tcPr>
            <w:tcW w:w="673" w:type="pct"/>
            <w:tcBorders>
              <w:top w:val="single" w:sz="12" w:space="0" w:color="auto"/>
              <w:left w:val="nil"/>
              <w:bottom w:val="single" w:sz="12" w:space="0" w:color="auto"/>
              <w:right w:val="nil"/>
            </w:tcBorders>
            <w:shd w:val="clear" w:color="auto" w:fill="auto"/>
            <w:vAlign w:val="bottom"/>
          </w:tcPr>
          <w:p w14:paraId="0C228900" w14:textId="49E3D9A3" w:rsidR="00136468" w:rsidRPr="00312975" w:rsidRDefault="00136468" w:rsidP="00136468">
            <w:pPr>
              <w:spacing w:after="0" w:line="240" w:lineRule="exact"/>
              <w:jc w:val="right"/>
              <w:rPr>
                <w:rFonts w:eastAsia="Arial Unicode MS" w:cs="Arial"/>
                <w:b/>
                <w:bCs/>
                <w:sz w:val="17"/>
                <w:szCs w:val="17"/>
              </w:rPr>
            </w:pPr>
            <w:r>
              <w:rPr>
                <w:rFonts w:eastAsia="Arial Unicode MS" w:cs="Arial"/>
                <w:b/>
                <w:bCs/>
                <w:sz w:val="17"/>
                <w:szCs w:val="17"/>
              </w:rPr>
              <w:t>10.160.537</w:t>
            </w:r>
          </w:p>
        </w:tc>
        <w:tc>
          <w:tcPr>
            <w:tcW w:w="579" w:type="pct"/>
            <w:tcBorders>
              <w:top w:val="single" w:sz="12" w:space="0" w:color="auto"/>
              <w:left w:val="nil"/>
              <w:bottom w:val="single" w:sz="12" w:space="0" w:color="auto"/>
              <w:right w:val="nil"/>
            </w:tcBorders>
            <w:shd w:val="clear" w:color="auto" w:fill="auto"/>
            <w:vAlign w:val="bottom"/>
          </w:tcPr>
          <w:p w14:paraId="23EE7628" w14:textId="45211F33" w:rsidR="00136468" w:rsidRPr="00312975" w:rsidRDefault="00136468" w:rsidP="00136468">
            <w:pPr>
              <w:spacing w:after="0" w:line="240" w:lineRule="exact"/>
              <w:jc w:val="right"/>
              <w:rPr>
                <w:rFonts w:eastAsia="Arial Unicode MS" w:cs="Arial"/>
                <w:b/>
                <w:bCs/>
                <w:sz w:val="17"/>
                <w:szCs w:val="17"/>
              </w:rPr>
            </w:pPr>
            <w:r>
              <w:rPr>
                <w:rFonts w:eastAsia="Arial Unicode MS" w:cs="Arial"/>
                <w:b/>
                <w:bCs/>
                <w:sz w:val="17"/>
                <w:szCs w:val="17"/>
              </w:rPr>
              <w:t>10.172.665</w:t>
            </w:r>
          </w:p>
        </w:tc>
      </w:tr>
      <w:tr w:rsidR="001E387E" w:rsidRPr="00EC1653" w14:paraId="2C37D583" w14:textId="77777777" w:rsidTr="00312975">
        <w:tc>
          <w:tcPr>
            <w:tcW w:w="1463" w:type="pct"/>
          </w:tcPr>
          <w:p w14:paraId="0582640E" w14:textId="77777777" w:rsidR="001E387E" w:rsidRPr="00EC1653" w:rsidRDefault="001E387E" w:rsidP="001E387E">
            <w:pPr>
              <w:spacing w:after="0" w:line="240" w:lineRule="exact"/>
              <w:rPr>
                <w:rFonts w:cs="Arial"/>
                <w:b/>
                <w:bCs/>
                <w:sz w:val="18"/>
                <w:szCs w:val="18"/>
              </w:rPr>
            </w:pPr>
            <w:r w:rsidRPr="00EC1653">
              <w:rPr>
                <w:rFonts w:cs="Arial"/>
                <w:b/>
                <w:bCs/>
                <w:sz w:val="18"/>
                <w:szCs w:val="18"/>
              </w:rPr>
              <w:t>Ukupne obveze i glavnica (2)</w:t>
            </w:r>
          </w:p>
        </w:tc>
        <w:tc>
          <w:tcPr>
            <w:tcW w:w="517" w:type="pct"/>
            <w:tcBorders>
              <w:top w:val="single" w:sz="4" w:space="0" w:color="auto"/>
              <w:left w:val="nil"/>
              <w:bottom w:val="single" w:sz="12" w:space="0" w:color="auto"/>
              <w:right w:val="nil"/>
            </w:tcBorders>
            <w:shd w:val="clear" w:color="auto" w:fill="auto"/>
            <w:vAlign w:val="bottom"/>
          </w:tcPr>
          <w:p w14:paraId="76452FB2" w14:textId="22B6D154" w:rsidR="001E387E" w:rsidRPr="00EC1653" w:rsidRDefault="001E387E" w:rsidP="001E387E">
            <w:pPr>
              <w:spacing w:after="0" w:line="240" w:lineRule="exact"/>
              <w:jc w:val="right"/>
              <w:rPr>
                <w:rFonts w:eastAsia="Arial Unicode MS" w:cs="Arial"/>
                <w:b/>
                <w:bCs/>
                <w:sz w:val="18"/>
                <w:szCs w:val="18"/>
              </w:rPr>
            </w:pPr>
            <w:r>
              <w:rPr>
                <w:rFonts w:cs="Arial"/>
                <w:b/>
                <w:bCs/>
                <w:spacing w:val="-2"/>
                <w:sz w:val="17"/>
                <w:szCs w:val="17"/>
              </w:rPr>
              <w:t>335.292</w:t>
            </w:r>
          </w:p>
        </w:tc>
        <w:tc>
          <w:tcPr>
            <w:tcW w:w="589" w:type="pct"/>
            <w:tcBorders>
              <w:top w:val="single" w:sz="4" w:space="0" w:color="auto"/>
              <w:left w:val="nil"/>
              <w:bottom w:val="single" w:sz="12" w:space="0" w:color="auto"/>
              <w:right w:val="nil"/>
            </w:tcBorders>
            <w:shd w:val="clear" w:color="auto" w:fill="auto"/>
            <w:vAlign w:val="bottom"/>
          </w:tcPr>
          <w:p w14:paraId="5743ABDC" w14:textId="5A894946" w:rsidR="001E387E" w:rsidRPr="00EC1653" w:rsidRDefault="001E387E" w:rsidP="001E387E">
            <w:pPr>
              <w:spacing w:after="0" w:line="240" w:lineRule="exact"/>
              <w:jc w:val="right"/>
              <w:rPr>
                <w:rFonts w:eastAsia="Arial Unicode MS" w:cs="Arial"/>
                <w:b/>
                <w:bCs/>
                <w:sz w:val="18"/>
                <w:szCs w:val="18"/>
              </w:rPr>
            </w:pPr>
            <w:r>
              <w:rPr>
                <w:rFonts w:eastAsia="Arial Unicode MS" w:cs="Arial"/>
                <w:b/>
                <w:bCs/>
                <w:sz w:val="17"/>
                <w:szCs w:val="17"/>
                <w:lang w:val="pl-PL"/>
              </w:rPr>
              <w:t>16.465.941</w:t>
            </w:r>
          </w:p>
        </w:tc>
        <w:tc>
          <w:tcPr>
            <w:tcW w:w="596" w:type="pct"/>
            <w:tcBorders>
              <w:top w:val="single" w:sz="4" w:space="0" w:color="auto"/>
              <w:left w:val="nil"/>
              <w:bottom w:val="single" w:sz="12" w:space="0" w:color="auto"/>
              <w:right w:val="nil"/>
            </w:tcBorders>
            <w:shd w:val="clear" w:color="auto" w:fill="auto"/>
            <w:vAlign w:val="bottom"/>
          </w:tcPr>
          <w:p w14:paraId="5A24FBD9" w14:textId="5FCCE063" w:rsidR="001E387E" w:rsidRPr="00EC1653" w:rsidRDefault="001E387E" w:rsidP="001E387E">
            <w:pPr>
              <w:spacing w:after="0" w:line="240" w:lineRule="exact"/>
              <w:jc w:val="right"/>
              <w:rPr>
                <w:rFonts w:eastAsia="Arial Unicode MS" w:cs="Arial"/>
                <w:b/>
                <w:bCs/>
                <w:sz w:val="18"/>
                <w:szCs w:val="18"/>
              </w:rPr>
            </w:pPr>
            <w:r>
              <w:rPr>
                <w:rFonts w:eastAsia="Arial Unicode MS" w:cs="Arial"/>
                <w:b/>
                <w:bCs/>
                <w:sz w:val="17"/>
                <w:szCs w:val="17"/>
                <w:lang w:val="pl-PL"/>
              </w:rPr>
              <w:t>4.988</w:t>
            </w:r>
          </w:p>
        </w:tc>
        <w:tc>
          <w:tcPr>
            <w:tcW w:w="583" w:type="pct"/>
            <w:tcBorders>
              <w:top w:val="single" w:sz="4" w:space="0" w:color="auto"/>
              <w:left w:val="nil"/>
              <w:bottom w:val="single" w:sz="12" w:space="0" w:color="auto"/>
              <w:right w:val="nil"/>
            </w:tcBorders>
            <w:shd w:val="clear" w:color="auto" w:fill="auto"/>
            <w:vAlign w:val="bottom"/>
          </w:tcPr>
          <w:p w14:paraId="57DEA75F" w14:textId="51C92DA0" w:rsidR="001E387E" w:rsidRPr="00EC1653" w:rsidRDefault="001E387E" w:rsidP="001E387E">
            <w:pPr>
              <w:spacing w:after="0" w:line="240" w:lineRule="exact"/>
              <w:jc w:val="right"/>
              <w:rPr>
                <w:rFonts w:eastAsia="Arial Unicode MS" w:cs="Arial"/>
                <w:b/>
                <w:bCs/>
                <w:sz w:val="18"/>
                <w:szCs w:val="18"/>
              </w:rPr>
            </w:pPr>
            <w:r>
              <w:rPr>
                <w:rFonts w:eastAsia="Arial Unicode MS" w:cs="Arial"/>
                <w:b/>
                <w:bCs/>
                <w:sz w:val="17"/>
                <w:szCs w:val="17"/>
                <w:lang w:val="pl-PL"/>
              </w:rPr>
              <w:t>16.806.222</w:t>
            </w:r>
          </w:p>
        </w:tc>
        <w:tc>
          <w:tcPr>
            <w:tcW w:w="673" w:type="pct"/>
            <w:tcBorders>
              <w:top w:val="single" w:sz="4" w:space="0" w:color="auto"/>
              <w:left w:val="nil"/>
              <w:bottom w:val="single" w:sz="12" w:space="0" w:color="auto"/>
              <w:right w:val="nil"/>
            </w:tcBorders>
            <w:shd w:val="clear" w:color="auto" w:fill="auto"/>
            <w:vAlign w:val="bottom"/>
          </w:tcPr>
          <w:p w14:paraId="13C7C4CD" w14:textId="2DE8300A" w:rsidR="001E387E" w:rsidRPr="00EC1653" w:rsidRDefault="001E387E" w:rsidP="001E387E">
            <w:pPr>
              <w:spacing w:after="0" w:line="240" w:lineRule="exact"/>
              <w:jc w:val="right"/>
              <w:rPr>
                <w:rFonts w:eastAsia="Arial Unicode MS" w:cs="Arial"/>
                <w:b/>
                <w:bCs/>
                <w:sz w:val="18"/>
                <w:szCs w:val="18"/>
              </w:rPr>
            </w:pPr>
            <w:r>
              <w:rPr>
                <w:rFonts w:eastAsia="Arial Unicode MS" w:cs="Arial"/>
                <w:b/>
                <w:bCs/>
                <w:sz w:val="17"/>
                <w:szCs w:val="17"/>
                <w:lang w:val="pl-PL"/>
              </w:rPr>
              <w:t>11.017.619</w:t>
            </w:r>
          </w:p>
        </w:tc>
        <w:tc>
          <w:tcPr>
            <w:tcW w:w="579" w:type="pct"/>
            <w:tcBorders>
              <w:top w:val="single" w:sz="4" w:space="0" w:color="auto"/>
              <w:left w:val="nil"/>
              <w:bottom w:val="single" w:sz="12" w:space="0" w:color="auto"/>
            </w:tcBorders>
            <w:shd w:val="clear" w:color="auto" w:fill="auto"/>
            <w:vAlign w:val="bottom"/>
          </w:tcPr>
          <w:p w14:paraId="71D5A56A" w14:textId="3F87AC1A" w:rsidR="001E387E" w:rsidRPr="00EC1653" w:rsidRDefault="001E387E" w:rsidP="001E387E">
            <w:pPr>
              <w:spacing w:after="0" w:line="240" w:lineRule="exact"/>
              <w:jc w:val="right"/>
              <w:rPr>
                <w:rFonts w:eastAsia="Arial Unicode MS" w:cs="Arial"/>
                <w:b/>
                <w:bCs/>
                <w:sz w:val="18"/>
                <w:szCs w:val="18"/>
              </w:rPr>
            </w:pPr>
            <w:r>
              <w:rPr>
                <w:rFonts w:eastAsia="Arial Unicode MS" w:cs="Arial"/>
                <w:b/>
                <w:bCs/>
                <w:sz w:val="17"/>
                <w:szCs w:val="17"/>
              </w:rPr>
              <w:t>27.823.841</w:t>
            </w:r>
          </w:p>
        </w:tc>
      </w:tr>
      <w:tr w:rsidR="001E387E" w:rsidRPr="00EC1653" w14:paraId="20A037C5" w14:textId="77777777" w:rsidTr="00312975">
        <w:tc>
          <w:tcPr>
            <w:tcW w:w="1463" w:type="pct"/>
          </w:tcPr>
          <w:p w14:paraId="7506BBC2" w14:textId="77777777" w:rsidR="001E387E" w:rsidRPr="00EC1653" w:rsidRDefault="001E387E" w:rsidP="001E387E">
            <w:pPr>
              <w:spacing w:after="0" w:line="240" w:lineRule="exact"/>
              <w:rPr>
                <w:rFonts w:cs="Arial"/>
                <w:b/>
                <w:bCs/>
                <w:sz w:val="18"/>
                <w:szCs w:val="18"/>
              </w:rPr>
            </w:pPr>
            <w:r w:rsidRPr="00EC1653">
              <w:rPr>
                <w:rFonts w:cs="Arial"/>
                <w:b/>
                <w:bCs/>
                <w:sz w:val="18"/>
                <w:szCs w:val="18"/>
              </w:rPr>
              <w:t>Neto ukupna imovina/ukupne obveze i glavnica (1) – (2)</w:t>
            </w:r>
          </w:p>
        </w:tc>
        <w:tc>
          <w:tcPr>
            <w:tcW w:w="517" w:type="pct"/>
            <w:tcBorders>
              <w:top w:val="single" w:sz="12" w:space="0" w:color="auto"/>
              <w:left w:val="nil"/>
              <w:bottom w:val="single" w:sz="12" w:space="0" w:color="auto"/>
              <w:right w:val="nil"/>
            </w:tcBorders>
            <w:shd w:val="clear" w:color="auto" w:fill="auto"/>
            <w:vAlign w:val="bottom"/>
          </w:tcPr>
          <w:p w14:paraId="1E5DF205" w14:textId="52E22B53" w:rsidR="001E387E" w:rsidRPr="00EC1653" w:rsidRDefault="001E387E" w:rsidP="001E387E">
            <w:pPr>
              <w:spacing w:after="0" w:line="240" w:lineRule="exact"/>
              <w:jc w:val="right"/>
              <w:rPr>
                <w:rFonts w:eastAsia="Arial Unicode MS" w:cs="Arial"/>
                <w:b/>
                <w:bCs/>
                <w:sz w:val="18"/>
                <w:szCs w:val="18"/>
              </w:rPr>
            </w:pPr>
            <w:r>
              <w:rPr>
                <w:rFonts w:eastAsia="Arial Unicode MS" w:cs="Arial"/>
                <w:b/>
                <w:bCs/>
                <w:sz w:val="17"/>
                <w:szCs w:val="17"/>
                <w:lang w:val="pl-PL"/>
              </w:rPr>
              <w:t>133.376</w:t>
            </w:r>
          </w:p>
        </w:tc>
        <w:tc>
          <w:tcPr>
            <w:tcW w:w="589" w:type="pct"/>
            <w:tcBorders>
              <w:top w:val="single" w:sz="12" w:space="0" w:color="auto"/>
              <w:left w:val="nil"/>
              <w:bottom w:val="single" w:sz="12" w:space="0" w:color="auto"/>
              <w:right w:val="nil"/>
            </w:tcBorders>
            <w:shd w:val="clear" w:color="auto" w:fill="auto"/>
            <w:vAlign w:val="bottom"/>
          </w:tcPr>
          <w:p w14:paraId="151A7D11" w14:textId="49A4ECBD" w:rsidR="001E387E" w:rsidRPr="00EC1653" w:rsidRDefault="001E387E" w:rsidP="001E387E">
            <w:pPr>
              <w:spacing w:after="0" w:line="240" w:lineRule="exact"/>
              <w:jc w:val="right"/>
              <w:rPr>
                <w:rFonts w:eastAsia="Arial Unicode MS" w:cs="Arial"/>
                <w:b/>
                <w:bCs/>
                <w:sz w:val="18"/>
                <w:szCs w:val="18"/>
              </w:rPr>
            </w:pPr>
            <w:r>
              <w:rPr>
                <w:rFonts w:eastAsia="Arial Unicode MS" w:cs="Arial"/>
                <w:b/>
                <w:bCs/>
                <w:sz w:val="17"/>
                <w:szCs w:val="17"/>
                <w:lang w:val="pl-PL"/>
              </w:rPr>
              <w:t>(711.796)</w:t>
            </w:r>
          </w:p>
        </w:tc>
        <w:tc>
          <w:tcPr>
            <w:tcW w:w="596" w:type="pct"/>
            <w:tcBorders>
              <w:top w:val="single" w:sz="12" w:space="0" w:color="auto"/>
              <w:left w:val="nil"/>
              <w:bottom w:val="single" w:sz="12" w:space="0" w:color="auto"/>
              <w:right w:val="nil"/>
            </w:tcBorders>
            <w:shd w:val="clear" w:color="auto" w:fill="auto"/>
            <w:vAlign w:val="bottom"/>
          </w:tcPr>
          <w:p w14:paraId="343CA116" w14:textId="3D95B0D6" w:rsidR="001E387E" w:rsidRPr="00EC1653" w:rsidRDefault="001E387E" w:rsidP="001E387E">
            <w:pPr>
              <w:spacing w:after="0" w:line="240" w:lineRule="exact"/>
              <w:jc w:val="right"/>
              <w:rPr>
                <w:rFonts w:eastAsia="Arial Unicode MS" w:cs="Arial"/>
                <w:b/>
                <w:bCs/>
                <w:sz w:val="18"/>
                <w:szCs w:val="18"/>
              </w:rPr>
            </w:pPr>
            <w:r>
              <w:rPr>
                <w:rFonts w:eastAsia="Arial Unicode MS" w:cs="Arial"/>
                <w:b/>
                <w:bCs/>
                <w:sz w:val="17"/>
                <w:szCs w:val="17"/>
                <w:lang w:val="pl-PL"/>
              </w:rPr>
              <w:t>(1.368)**</w:t>
            </w:r>
          </w:p>
        </w:tc>
        <w:tc>
          <w:tcPr>
            <w:tcW w:w="583" w:type="pct"/>
            <w:tcBorders>
              <w:top w:val="single" w:sz="12" w:space="0" w:color="auto"/>
              <w:left w:val="nil"/>
              <w:bottom w:val="single" w:sz="12" w:space="0" w:color="auto"/>
              <w:right w:val="nil"/>
            </w:tcBorders>
            <w:shd w:val="clear" w:color="auto" w:fill="auto"/>
            <w:vAlign w:val="bottom"/>
          </w:tcPr>
          <w:p w14:paraId="14FC8D68" w14:textId="53DEC884" w:rsidR="001E387E" w:rsidRPr="00EC1653" w:rsidRDefault="001E387E" w:rsidP="001E387E">
            <w:pPr>
              <w:spacing w:after="0" w:line="240" w:lineRule="exact"/>
              <w:jc w:val="right"/>
              <w:rPr>
                <w:rFonts w:eastAsia="Arial Unicode MS" w:cs="Arial"/>
                <w:b/>
                <w:bCs/>
                <w:sz w:val="18"/>
                <w:szCs w:val="18"/>
              </w:rPr>
            </w:pPr>
            <w:r>
              <w:rPr>
                <w:rFonts w:eastAsia="Arial Unicode MS" w:cs="Arial"/>
                <w:b/>
                <w:bCs/>
                <w:sz w:val="17"/>
                <w:szCs w:val="17"/>
                <w:lang w:val="pl-PL"/>
              </w:rPr>
              <w:t>(579.789)</w:t>
            </w:r>
          </w:p>
        </w:tc>
        <w:tc>
          <w:tcPr>
            <w:tcW w:w="673" w:type="pct"/>
            <w:tcBorders>
              <w:top w:val="single" w:sz="12" w:space="0" w:color="auto"/>
              <w:left w:val="nil"/>
              <w:bottom w:val="single" w:sz="12" w:space="0" w:color="auto"/>
              <w:right w:val="nil"/>
            </w:tcBorders>
            <w:shd w:val="clear" w:color="auto" w:fill="auto"/>
            <w:vAlign w:val="bottom"/>
          </w:tcPr>
          <w:p w14:paraId="37C97C0A" w14:textId="24BF417A" w:rsidR="001E387E" w:rsidRPr="00EC1653" w:rsidRDefault="001E387E" w:rsidP="001E387E">
            <w:pPr>
              <w:spacing w:after="0" w:line="240" w:lineRule="exact"/>
              <w:jc w:val="right"/>
              <w:rPr>
                <w:rFonts w:eastAsia="Arial Unicode MS" w:cs="Arial"/>
                <w:b/>
                <w:bCs/>
                <w:sz w:val="18"/>
                <w:szCs w:val="18"/>
              </w:rPr>
            </w:pPr>
            <w:r>
              <w:rPr>
                <w:rFonts w:eastAsia="Arial Unicode MS" w:cs="Arial"/>
                <w:b/>
                <w:bCs/>
                <w:sz w:val="17"/>
                <w:szCs w:val="17"/>
                <w:lang w:val="pl-PL"/>
              </w:rPr>
              <w:t>579.789</w:t>
            </w:r>
          </w:p>
        </w:tc>
        <w:tc>
          <w:tcPr>
            <w:tcW w:w="579" w:type="pct"/>
            <w:tcBorders>
              <w:top w:val="single" w:sz="12" w:space="0" w:color="auto"/>
              <w:left w:val="nil"/>
              <w:bottom w:val="single" w:sz="12" w:space="0" w:color="auto"/>
            </w:tcBorders>
            <w:shd w:val="clear" w:color="auto" w:fill="auto"/>
            <w:vAlign w:val="bottom"/>
          </w:tcPr>
          <w:p w14:paraId="47A85A62" w14:textId="583FB0C6" w:rsidR="001E387E" w:rsidRPr="00EC1653" w:rsidRDefault="001E387E" w:rsidP="001E387E">
            <w:pPr>
              <w:spacing w:after="0" w:line="240" w:lineRule="exact"/>
              <w:jc w:val="right"/>
              <w:rPr>
                <w:rFonts w:eastAsia="Arial Unicode MS" w:cs="Arial"/>
                <w:b/>
                <w:bCs/>
                <w:sz w:val="18"/>
                <w:szCs w:val="18"/>
              </w:rPr>
            </w:pPr>
            <w:r>
              <w:rPr>
                <w:rFonts w:eastAsia="Arial Unicode MS" w:cs="Arial"/>
                <w:b/>
                <w:bCs/>
                <w:sz w:val="17"/>
                <w:szCs w:val="17"/>
                <w:lang w:val="pl-PL"/>
              </w:rPr>
              <w:t>-</w:t>
            </w:r>
          </w:p>
        </w:tc>
      </w:tr>
    </w:tbl>
    <w:p w14:paraId="3D88560F" w14:textId="77777777" w:rsidR="003859EA" w:rsidRPr="00622C3A" w:rsidRDefault="003859EA" w:rsidP="00622C3A">
      <w:pPr>
        <w:pStyle w:val="TT"/>
        <w:spacing w:line="240" w:lineRule="auto"/>
        <w:rPr>
          <w:rFonts w:asciiTheme="minorHAnsi" w:hAnsiTheme="minorHAnsi"/>
          <w:i/>
          <w:sz w:val="18"/>
          <w:szCs w:val="18"/>
          <w:lang w:val="hr-HR"/>
        </w:rPr>
      </w:pPr>
    </w:p>
    <w:p w14:paraId="504652DF" w14:textId="1E6D7266" w:rsidR="00F75302" w:rsidRPr="00622C3A" w:rsidRDefault="00880F6C" w:rsidP="00682ABB">
      <w:pPr>
        <w:pStyle w:val="TT"/>
        <w:spacing w:line="240" w:lineRule="auto"/>
        <w:jc w:val="both"/>
        <w:rPr>
          <w:rFonts w:asciiTheme="minorHAnsi" w:hAnsiTheme="minorHAnsi"/>
          <w:i/>
          <w:sz w:val="18"/>
          <w:szCs w:val="18"/>
          <w:lang w:val="hr-HR"/>
        </w:rPr>
      </w:pPr>
      <w:r w:rsidRPr="00F20469">
        <w:rPr>
          <w:rFonts w:asciiTheme="minorHAnsi" w:hAnsiTheme="minorHAnsi"/>
          <w:i/>
          <w:sz w:val="18"/>
          <w:szCs w:val="18"/>
          <w:lang w:val="hr-HR"/>
        </w:rPr>
        <w:t xml:space="preserve">*Iznosi vezani uz jednosmjernu valutnu klauzulu iznose </w:t>
      </w:r>
      <w:r w:rsidR="000606E8">
        <w:rPr>
          <w:rFonts w:asciiTheme="minorHAnsi" w:hAnsiTheme="minorHAnsi"/>
          <w:i/>
          <w:sz w:val="18"/>
          <w:szCs w:val="18"/>
          <w:lang w:val="hr-HR"/>
        </w:rPr>
        <w:t>201.288</w:t>
      </w:r>
      <w:r w:rsidRPr="00F20469">
        <w:rPr>
          <w:rFonts w:asciiTheme="minorHAnsi" w:hAnsiTheme="minorHAnsi"/>
          <w:i/>
          <w:sz w:val="18"/>
          <w:szCs w:val="18"/>
          <w:lang w:val="hr-HR"/>
        </w:rPr>
        <w:t xml:space="preserve"> tisuća kuna</w:t>
      </w:r>
      <w:r w:rsidRPr="00622C3A">
        <w:rPr>
          <w:rFonts w:asciiTheme="minorHAnsi" w:hAnsiTheme="minorHAnsi"/>
          <w:i/>
          <w:sz w:val="18"/>
          <w:szCs w:val="18"/>
          <w:lang w:val="hr-HR"/>
        </w:rPr>
        <w:t>.</w:t>
      </w:r>
      <w:r w:rsidRPr="00622C3A" w:rsidDel="00597E6E">
        <w:rPr>
          <w:rFonts w:asciiTheme="minorHAnsi" w:hAnsiTheme="minorHAnsi"/>
          <w:i/>
          <w:sz w:val="18"/>
          <w:szCs w:val="18"/>
          <w:lang w:val="hr-HR"/>
        </w:rPr>
        <w:t xml:space="preserve"> </w:t>
      </w:r>
    </w:p>
    <w:p w14:paraId="34E613DF" w14:textId="77777777" w:rsidR="00D43533" w:rsidRPr="00622C3A" w:rsidRDefault="00D43533" w:rsidP="00682ABB">
      <w:pPr>
        <w:pStyle w:val="TT"/>
        <w:spacing w:line="240" w:lineRule="auto"/>
        <w:jc w:val="both"/>
        <w:rPr>
          <w:rFonts w:asciiTheme="minorHAnsi" w:hAnsiTheme="minorHAnsi"/>
          <w:i/>
          <w:sz w:val="18"/>
          <w:szCs w:val="18"/>
          <w:lang w:val="hr-HR"/>
        </w:rPr>
        <w:sectPr w:rsidR="00D43533" w:rsidRPr="00622C3A" w:rsidSect="00312975">
          <w:footerReference w:type="default" r:id="rId122"/>
          <w:pgSz w:w="11906" w:h="16838" w:code="9"/>
          <w:pgMar w:top="1418" w:right="1418" w:bottom="595" w:left="1134" w:header="851" w:footer="851" w:gutter="0"/>
          <w:cols w:space="720"/>
          <w:noEndnote/>
          <w:docGrid w:linePitch="299"/>
        </w:sectPr>
      </w:pPr>
      <w:r w:rsidRPr="00622C3A">
        <w:rPr>
          <w:rFonts w:asciiTheme="minorHAnsi" w:hAnsiTheme="minorHAnsi"/>
          <w:i/>
          <w:sz w:val="18"/>
          <w:szCs w:val="18"/>
          <w:lang w:val="hr-HR"/>
        </w:rPr>
        <w:t>**Iskazani jaz rezultat je obavljenih rezerviranja po izdanim deviznim garancijama u ostalim devizama koja se iskazuju na poziciji „Ostale obveze“.</w:t>
      </w:r>
    </w:p>
    <w:p w14:paraId="79952A33" w14:textId="77777777" w:rsidR="00472182" w:rsidRDefault="00472182" w:rsidP="00472182">
      <w:pPr>
        <w:pStyle w:val="T1"/>
        <w:spacing w:before="0" w:after="0" w:line="240" w:lineRule="auto"/>
        <w:ind w:left="709" w:hanging="709"/>
        <w:rPr>
          <w:rFonts w:asciiTheme="minorHAnsi" w:hAnsiTheme="minorHAnsi" w:cs="Arial"/>
          <w:sz w:val="22"/>
          <w:szCs w:val="22"/>
          <w:lang w:val="hr-HR"/>
        </w:rPr>
      </w:pPr>
    </w:p>
    <w:p w14:paraId="6A80DEB6" w14:textId="77777777" w:rsidR="00472182" w:rsidRDefault="00472182" w:rsidP="00472182">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        Upravljanje rizicima (nastavak)</w:t>
      </w:r>
    </w:p>
    <w:p w14:paraId="6CECD371" w14:textId="77777777" w:rsidR="00472182" w:rsidRPr="00D43533" w:rsidRDefault="00472182" w:rsidP="00472182">
      <w:pPr>
        <w:pStyle w:val="T1"/>
        <w:spacing w:before="0" w:after="0" w:line="240" w:lineRule="auto"/>
        <w:ind w:left="709" w:hanging="709"/>
        <w:rPr>
          <w:rFonts w:asciiTheme="minorHAnsi" w:hAnsiTheme="minorHAnsi" w:cs="Arial"/>
          <w:sz w:val="22"/>
          <w:szCs w:val="22"/>
          <w:lang w:val="hr-HR"/>
        </w:rPr>
      </w:pPr>
    </w:p>
    <w:p w14:paraId="54788265" w14:textId="77777777" w:rsidR="00472182" w:rsidRDefault="00472182" w:rsidP="00472182">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.4.     Tržišni rizik (nastavak)</w:t>
      </w:r>
    </w:p>
    <w:p w14:paraId="2E2F4FB5" w14:textId="77777777" w:rsidR="00472182" w:rsidRPr="00D43533" w:rsidRDefault="00472182" w:rsidP="00472182">
      <w:pPr>
        <w:pStyle w:val="T1"/>
        <w:spacing w:before="0" w:after="0" w:line="240" w:lineRule="auto"/>
        <w:ind w:left="709" w:hanging="709"/>
        <w:rPr>
          <w:rFonts w:asciiTheme="minorHAnsi" w:hAnsiTheme="minorHAnsi" w:cs="Arial"/>
          <w:sz w:val="22"/>
          <w:szCs w:val="22"/>
          <w:lang w:val="hr-HR"/>
        </w:rPr>
      </w:pPr>
    </w:p>
    <w:p w14:paraId="6811A59F" w14:textId="77777777" w:rsidR="00472182" w:rsidRDefault="00472182" w:rsidP="00472182">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D43533">
        <w:rPr>
          <w:rFonts w:asciiTheme="minorHAnsi" w:hAnsiTheme="minorHAnsi" w:cs="Arial"/>
          <w:sz w:val="22"/>
          <w:szCs w:val="22"/>
          <w:lang w:val="hr-HR"/>
        </w:rPr>
        <w:t>.4.2.  Valutni rizik</w:t>
      </w:r>
      <w:r>
        <w:rPr>
          <w:rFonts w:asciiTheme="minorHAnsi" w:hAnsiTheme="minorHAnsi" w:cs="Arial"/>
          <w:sz w:val="22"/>
          <w:szCs w:val="22"/>
          <w:lang w:val="hr-HR"/>
        </w:rPr>
        <w:t xml:space="preserve"> (nastavak)</w:t>
      </w:r>
    </w:p>
    <w:p w14:paraId="080BC0EC" w14:textId="77777777" w:rsidR="00472182" w:rsidRPr="00D43533" w:rsidRDefault="00472182" w:rsidP="00472182">
      <w:pPr>
        <w:pStyle w:val="T1"/>
        <w:spacing w:before="0" w:after="0" w:line="240" w:lineRule="auto"/>
        <w:ind w:left="709" w:hanging="709"/>
        <w:rPr>
          <w:rFonts w:asciiTheme="minorHAnsi" w:hAnsiTheme="minorHAnsi" w:cs="Arial"/>
          <w:sz w:val="22"/>
          <w:szCs w:val="22"/>
          <w:lang w:val="hr-HR"/>
        </w:rPr>
      </w:pPr>
    </w:p>
    <w:tbl>
      <w:tblPr>
        <w:tblW w:w="5227" w:type="pct"/>
        <w:tblInd w:w="-142" w:type="dxa"/>
        <w:tblLayout w:type="fixed"/>
        <w:tblCellMar>
          <w:left w:w="120" w:type="dxa"/>
          <w:right w:w="120" w:type="dxa"/>
        </w:tblCellMar>
        <w:tblLook w:val="0000" w:firstRow="0" w:lastRow="0" w:firstColumn="0" w:lastColumn="0" w:noHBand="0" w:noVBand="0"/>
      </w:tblPr>
      <w:tblGrid>
        <w:gridCol w:w="2696"/>
        <w:gridCol w:w="1180"/>
        <w:gridCol w:w="1182"/>
        <w:gridCol w:w="1182"/>
        <w:gridCol w:w="1179"/>
        <w:gridCol w:w="1181"/>
        <w:gridCol w:w="1179"/>
      </w:tblGrid>
      <w:tr w:rsidR="00EE3D7C" w:rsidRPr="00EC1653" w14:paraId="35F2AB65" w14:textId="77777777" w:rsidTr="00EE3D7C">
        <w:trPr>
          <w:trHeight w:val="536"/>
        </w:trPr>
        <w:tc>
          <w:tcPr>
            <w:tcW w:w="1378" w:type="pct"/>
            <w:vAlign w:val="bottom"/>
          </w:tcPr>
          <w:p w14:paraId="7C3C96DE" w14:textId="77777777" w:rsidR="00EE3D7C" w:rsidRPr="00EC1653" w:rsidRDefault="00EE3D7C" w:rsidP="00EE3D7C">
            <w:pPr>
              <w:pStyle w:val="TH"/>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Grupa</w:t>
            </w:r>
          </w:p>
          <w:p w14:paraId="3B74CEC4" w14:textId="77777777" w:rsidR="00EE3D7C" w:rsidRPr="00EC1653" w:rsidRDefault="00EE3D7C" w:rsidP="00EE3D7C">
            <w:pPr>
              <w:pStyle w:val="TH"/>
              <w:spacing w:line="240" w:lineRule="auto"/>
              <w:rPr>
                <w:rFonts w:asciiTheme="minorHAnsi" w:hAnsiTheme="minorHAnsi" w:cs="Arial"/>
                <w:sz w:val="18"/>
                <w:szCs w:val="18"/>
                <w:lang w:val="hr-HR"/>
              </w:rPr>
            </w:pPr>
          </w:p>
          <w:p w14:paraId="0B2D0275" w14:textId="518A9033" w:rsidR="00EE3D7C" w:rsidRPr="00EC1653" w:rsidRDefault="00EE3D7C" w:rsidP="00EE3D7C">
            <w:pPr>
              <w:pStyle w:val="TH"/>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31.12.2016.</w:t>
            </w:r>
          </w:p>
        </w:tc>
        <w:tc>
          <w:tcPr>
            <w:tcW w:w="603" w:type="pct"/>
          </w:tcPr>
          <w:p w14:paraId="58C40065" w14:textId="77777777" w:rsidR="00EE3D7C" w:rsidRPr="00EC1653" w:rsidRDefault="00EE3D7C" w:rsidP="00EE3D7C">
            <w:pPr>
              <w:pStyle w:val="TH"/>
              <w:spacing w:line="240" w:lineRule="auto"/>
              <w:jc w:val="right"/>
              <w:rPr>
                <w:rFonts w:asciiTheme="minorHAnsi" w:hAnsiTheme="minorHAnsi" w:cs="Arial"/>
                <w:sz w:val="18"/>
                <w:szCs w:val="18"/>
                <w:lang w:val="hr-HR"/>
              </w:rPr>
            </w:pPr>
            <w:r w:rsidRPr="00EC1653">
              <w:rPr>
                <w:rFonts w:asciiTheme="minorHAnsi" w:hAnsiTheme="minorHAnsi" w:cs="Arial"/>
                <w:sz w:val="18"/>
                <w:szCs w:val="18"/>
                <w:lang w:val="hr-HR"/>
              </w:rPr>
              <w:t>USD</w:t>
            </w:r>
          </w:p>
        </w:tc>
        <w:tc>
          <w:tcPr>
            <w:tcW w:w="604" w:type="pct"/>
          </w:tcPr>
          <w:p w14:paraId="724FFDE0" w14:textId="77777777" w:rsidR="00EE3D7C" w:rsidRPr="00EC1653" w:rsidRDefault="00EE3D7C" w:rsidP="00EE3D7C">
            <w:pPr>
              <w:pStyle w:val="TH"/>
              <w:spacing w:line="240" w:lineRule="auto"/>
              <w:jc w:val="right"/>
              <w:rPr>
                <w:rFonts w:asciiTheme="minorHAnsi" w:hAnsiTheme="minorHAnsi" w:cs="Arial"/>
                <w:sz w:val="18"/>
                <w:szCs w:val="18"/>
                <w:lang w:val="hr-HR"/>
              </w:rPr>
            </w:pPr>
            <w:r w:rsidRPr="00EC1653">
              <w:rPr>
                <w:rFonts w:asciiTheme="minorHAnsi" w:hAnsiTheme="minorHAnsi" w:cs="Arial"/>
                <w:sz w:val="18"/>
                <w:szCs w:val="18"/>
                <w:lang w:val="hr-HR"/>
              </w:rPr>
              <w:t xml:space="preserve">EUR </w:t>
            </w:r>
          </w:p>
        </w:tc>
        <w:tc>
          <w:tcPr>
            <w:tcW w:w="604" w:type="pct"/>
          </w:tcPr>
          <w:p w14:paraId="01CB7CC1" w14:textId="77777777" w:rsidR="00EE3D7C" w:rsidRPr="00EC1653" w:rsidRDefault="00EE3D7C" w:rsidP="00EE3D7C">
            <w:pPr>
              <w:pStyle w:val="TH"/>
              <w:spacing w:line="240" w:lineRule="auto"/>
              <w:jc w:val="right"/>
              <w:rPr>
                <w:rFonts w:asciiTheme="minorHAnsi" w:hAnsiTheme="minorHAnsi" w:cs="Arial"/>
                <w:sz w:val="18"/>
                <w:szCs w:val="18"/>
                <w:lang w:val="hr-HR"/>
              </w:rPr>
            </w:pPr>
            <w:r w:rsidRPr="00EC1653">
              <w:rPr>
                <w:rFonts w:asciiTheme="minorHAnsi" w:hAnsiTheme="minorHAnsi" w:cs="Arial"/>
                <w:sz w:val="18"/>
                <w:szCs w:val="18"/>
                <w:lang w:val="hr-HR"/>
              </w:rPr>
              <w:t>Ostale devize</w:t>
            </w:r>
          </w:p>
        </w:tc>
        <w:tc>
          <w:tcPr>
            <w:tcW w:w="603" w:type="pct"/>
          </w:tcPr>
          <w:p w14:paraId="767DADAF" w14:textId="77777777" w:rsidR="00EE3D7C" w:rsidRPr="00EC1653" w:rsidRDefault="00EE3D7C" w:rsidP="00EE3D7C">
            <w:pPr>
              <w:pStyle w:val="TH"/>
              <w:spacing w:line="240" w:lineRule="auto"/>
              <w:jc w:val="right"/>
              <w:rPr>
                <w:rFonts w:asciiTheme="minorHAnsi" w:hAnsiTheme="minorHAnsi" w:cs="Arial"/>
                <w:sz w:val="18"/>
                <w:szCs w:val="18"/>
                <w:lang w:val="hr-HR"/>
              </w:rPr>
            </w:pPr>
            <w:r w:rsidRPr="00EC1653">
              <w:rPr>
                <w:rFonts w:asciiTheme="minorHAnsi" w:hAnsiTheme="minorHAnsi" w:cs="Arial"/>
                <w:sz w:val="18"/>
                <w:szCs w:val="18"/>
                <w:lang w:val="hr-HR"/>
              </w:rPr>
              <w:t>Ukupno devize</w:t>
            </w:r>
          </w:p>
        </w:tc>
        <w:tc>
          <w:tcPr>
            <w:tcW w:w="604" w:type="pct"/>
          </w:tcPr>
          <w:p w14:paraId="4E7D0DE8" w14:textId="77777777" w:rsidR="00EE3D7C" w:rsidRPr="00EC1653" w:rsidRDefault="00EE3D7C" w:rsidP="00EE3D7C">
            <w:pPr>
              <w:pStyle w:val="TH"/>
              <w:spacing w:line="240" w:lineRule="auto"/>
              <w:jc w:val="right"/>
              <w:rPr>
                <w:rFonts w:asciiTheme="minorHAnsi" w:hAnsiTheme="minorHAnsi" w:cs="Arial"/>
                <w:sz w:val="18"/>
                <w:szCs w:val="18"/>
                <w:lang w:val="hr-HR"/>
              </w:rPr>
            </w:pPr>
            <w:r w:rsidRPr="00EC1653">
              <w:rPr>
                <w:rFonts w:asciiTheme="minorHAnsi" w:hAnsiTheme="minorHAnsi" w:cs="Arial"/>
                <w:sz w:val="18"/>
                <w:szCs w:val="18"/>
                <w:lang w:val="hr-HR"/>
              </w:rPr>
              <w:t>Kune</w:t>
            </w:r>
          </w:p>
        </w:tc>
        <w:tc>
          <w:tcPr>
            <w:tcW w:w="603" w:type="pct"/>
          </w:tcPr>
          <w:p w14:paraId="2E8B6D73" w14:textId="77777777" w:rsidR="00EE3D7C" w:rsidRPr="00EC1653" w:rsidRDefault="00EE3D7C" w:rsidP="00EE3D7C">
            <w:pPr>
              <w:pStyle w:val="TH"/>
              <w:spacing w:line="240" w:lineRule="auto"/>
              <w:jc w:val="right"/>
              <w:rPr>
                <w:rFonts w:asciiTheme="minorHAnsi" w:hAnsiTheme="minorHAnsi" w:cs="Arial"/>
                <w:sz w:val="18"/>
                <w:szCs w:val="18"/>
                <w:lang w:val="hr-HR"/>
              </w:rPr>
            </w:pPr>
            <w:r w:rsidRPr="00EC1653">
              <w:rPr>
                <w:rFonts w:asciiTheme="minorHAnsi" w:hAnsiTheme="minorHAnsi" w:cs="Arial"/>
                <w:sz w:val="18"/>
                <w:szCs w:val="18"/>
                <w:lang w:val="hr-HR"/>
              </w:rPr>
              <w:t>Ukupno</w:t>
            </w:r>
          </w:p>
        </w:tc>
      </w:tr>
      <w:tr w:rsidR="00EE3D7C" w:rsidRPr="00EC1653" w14:paraId="316BA66A" w14:textId="77777777" w:rsidTr="00EE3D7C">
        <w:tc>
          <w:tcPr>
            <w:tcW w:w="1378" w:type="pct"/>
          </w:tcPr>
          <w:p w14:paraId="3CAA0F62" w14:textId="77777777" w:rsidR="00EE3D7C" w:rsidRPr="00EC1653" w:rsidRDefault="00EE3D7C" w:rsidP="00EE3D7C">
            <w:pPr>
              <w:pStyle w:val="TH"/>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Imovina</w:t>
            </w:r>
          </w:p>
        </w:tc>
        <w:tc>
          <w:tcPr>
            <w:tcW w:w="603" w:type="pct"/>
            <w:vAlign w:val="bottom"/>
          </w:tcPr>
          <w:p w14:paraId="631CF060" w14:textId="77777777" w:rsidR="00EE3D7C" w:rsidRPr="00EC1653" w:rsidRDefault="00EE3D7C" w:rsidP="00EE3D7C">
            <w:pPr>
              <w:spacing w:after="0" w:line="240" w:lineRule="auto"/>
              <w:jc w:val="right"/>
              <w:rPr>
                <w:rFonts w:eastAsia="Arial Unicode MS" w:cs="Arial"/>
                <w:sz w:val="18"/>
                <w:szCs w:val="18"/>
              </w:rPr>
            </w:pPr>
          </w:p>
        </w:tc>
        <w:tc>
          <w:tcPr>
            <w:tcW w:w="604" w:type="pct"/>
            <w:vAlign w:val="bottom"/>
          </w:tcPr>
          <w:p w14:paraId="683E818B" w14:textId="77777777" w:rsidR="00EE3D7C" w:rsidRPr="00EC1653" w:rsidRDefault="00EE3D7C" w:rsidP="00EE3D7C">
            <w:pPr>
              <w:spacing w:after="0" w:line="240" w:lineRule="auto"/>
              <w:jc w:val="right"/>
              <w:rPr>
                <w:rFonts w:eastAsia="Arial Unicode MS" w:cs="Arial"/>
                <w:sz w:val="18"/>
                <w:szCs w:val="18"/>
              </w:rPr>
            </w:pPr>
          </w:p>
        </w:tc>
        <w:tc>
          <w:tcPr>
            <w:tcW w:w="604" w:type="pct"/>
            <w:vAlign w:val="bottom"/>
          </w:tcPr>
          <w:p w14:paraId="40FC9633" w14:textId="77777777" w:rsidR="00EE3D7C" w:rsidRPr="00EC1653" w:rsidRDefault="00EE3D7C" w:rsidP="00EE3D7C">
            <w:pPr>
              <w:spacing w:after="0" w:line="240" w:lineRule="auto"/>
              <w:jc w:val="right"/>
              <w:rPr>
                <w:rFonts w:eastAsia="Arial Unicode MS" w:cs="Arial"/>
                <w:sz w:val="18"/>
                <w:szCs w:val="18"/>
              </w:rPr>
            </w:pPr>
          </w:p>
        </w:tc>
        <w:tc>
          <w:tcPr>
            <w:tcW w:w="603" w:type="pct"/>
            <w:vAlign w:val="bottom"/>
          </w:tcPr>
          <w:p w14:paraId="351B012A" w14:textId="77777777" w:rsidR="00EE3D7C" w:rsidRPr="00EC1653" w:rsidRDefault="00EE3D7C" w:rsidP="00EE3D7C">
            <w:pPr>
              <w:spacing w:after="0" w:line="240" w:lineRule="auto"/>
              <w:jc w:val="right"/>
              <w:rPr>
                <w:rFonts w:eastAsia="Arial Unicode MS" w:cs="Arial"/>
                <w:sz w:val="18"/>
                <w:szCs w:val="18"/>
              </w:rPr>
            </w:pPr>
          </w:p>
        </w:tc>
        <w:tc>
          <w:tcPr>
            <w:tcW w:w="604" w:type="pct"/>
            <w:vAlign w:val="bottom"/>
          </w:tcPr>
          <w:p w14:paraId="68086B8B" w14:textId="77777777" w:rsidR="00EE3D7C" w:rsidRPr="00EC1653" w:rsidRDefault="00EE3D7C" w:rsidP="00EE3D7C">
            <w:pPr>
              <w:spacing w:after="0" w:line="240" w:lineRule="auto"/>
              <w:jc w:val="right"/>
              <w:rPr>
                <w:rFonts w:eastAsia="Arial Unicode MS" w:cs="Arial"/>
                <w:sz w:val="18"/>
                <w:szCs w:val="18"/>
              </w:rPr>
            </w:pPr>
          </w:p>
        </w:tc>
        <w:tc>
          <w:tcPr>
            <w:tcW w:w="603" w:type="pct"/>
            <w:vAlign w:val="bottom"/>
          </w:tcPr>
          <w:p w14:paraId="261291AF" w14:textId="77777777" w:rsidR="00EE3D7C" w:rsidRPr="00EC1653" w:rsidRDefault="00EE3D7C" w:rsidP="00EE3D7C">
            <w:pPr>
              <w:spacing w:after="0" w:line="240" w:lineRule="auto"/>
              <w:jc w:val="right"/>
              <w:rPr>
                <w:rFonts w:eastAsia="Arial Unicode MS" w:cs="Arial"/>
                <w:sz w:val="18"/>
                <w:szCs w:val="18"/>
              </w:rPr>
            </w:pPr>
          </w:p>
        </w:tc>
      </w:tr>
      <w:tr w:rsidR="00EE3D7C" w:rsidRPr="00EC1653" w14:paraId="2216BB3E" w14:textId="77777777" w:rsidTr="00EE3D7C">
        <w:tc>
          <w:tcPr>
            <w:tcW w:w="1378" w:type="pct"/>
          </w:tcPr>
          <w:p w14:paraId="09DC010F"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pacing w:val="-2"/>
                <w:sz w:val="18"/>
                <w:szCs w:val="18"/>
                <w:lang w:val="hr-HR"/>
              </w:rPr>
              <w:t>Novčana sredstva i računi kod banaka</w:t>
            </w:r>
          </w:p>
        </w:tc>
        <w:tc>
          <w:tcPr>
            <w:tcW w:w="603" w:type="pct"/>
            <w:tcBorders>
              <w:top w:val="nil"/>
              <w:left w:val="nil"/>
              <w:bottom w:val="nil"/>
              <w:right w:val="nil"/>
            </w:tcBorders>
            <w:shd w:val="clear" w:color="auto" w:fill="auto"/>
            <w:vAlign w:val="bottom"/>
          </w:tcPr>
          <w:p w14:paraId="58215A0A" w14:textId="5CF7DBF0"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1.606</w:t>
            </w:r>
          </w:p>
        </w:tc>
        <w:tc>
          <w:tcPr>
            <w:tcW w:w="604" w:type="pct"/>
            <w:tcBorders>
              <w:top w:val="nil"/>
              <w:left w:val="nil"/>
              <w:bottom w:val="nil"/>
              <w:right w:val="nil"/>
            </w:tcBorders>
            <w:shd w:val="clear" w:color="auto" w:fill="auto"/>
            <w:vAlign w:val="bottom"/>
          </w:tcPr>
          <w:p w14:paraId="12881750"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301.338</w:t>
            </w:r>
          </w:p>
        </w:tc>
        <w:tc>
          <w:tcPr>
            <w:tcW w:w="604" w:type="pct"/>
            <w:tcBorders>
              <w:top w:val="nil"/>
              <w:left w:val="nil"/>
              <w:bottom w:val="nil"/>
              <w:right w:val="nil"/>
            </w:tcBorders>
            <w:shd w:val="clear" w:color="auto" w:fill="auto"/>
            <w:vAlign w:val="bottom"/>
          </w:tcPr>
          <w:p w14:paraId="09F31E33"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1.584</w:t>
            </w:r>
          </w:p>
        </w:tc>
        <w:tc>
          <w:tcPr>
            <w:tcW w:w="603" w:type="pct"/>
            <w:tcBorders>
              <w:top w:val="nil"/>
              <w:left w:val="nil"/>
              <w:bottom w:val="nil"/>
              <w:right w:val="nil"/>
            </w:tcBorders>
            <w:shd w:val="clear" w:color="auto" w:fill="auto"/>
            <w:vAlign w:val="bottom"/>
          </w:tcPr>
          <w:p w14:paraId="4EDA3E9A"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304.528</w:t>
            </w:r>
          </w:p>
        </w:tc>
        <w:tc>
          <w:tcPr>
            <w:tcW w:w="604" w:type="pct"/>
            <w:tcBorders>
              <w:top w:val="nil"/>
              <w:left w:val="nil"/>
              <w:bottom w:val="nil"/>
              <w:right w:val="nil"/>
            </w:tcBorders>
            <w:shd w:val="clear" w:color="auto" w:fill="auto"/>
            <w:vAlign w:val="bottom"/>
          </w:tcPr>
          <w:p w14:paraId="25A07D01"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186.718</w:t>
            </w:r>
          </w:p>
        </w:tc>
        <w:tc>
          <w:tcPr>
            <w:tcW w:w="603" w:type="pct"/>
            <w:tcBorders>
              <w:top w:val="nil"/>
              <w:left w:val="nil"/>
              <w:bottom w:val="nil"/>
              <w:right w:val="nil"/>
            </w:tcBorders>
            <w:shd w:val="clear" w:color="auto" w:fill="auto"/>
            <w:vAlign w:val="bottom"/>
          </w:tcPr>
          <w:p w14:paraId="18E847C9"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491.246</w:t>
            </w:r>
          </w:p>
        </w:tc>
      </w:tr>
      <w:tr w:rsidR="00EE3D7C" w:rsidRPr="00EC1653" w14:paraId="5D5E5708" w14:textId="77777777" w:rsidTr="00EE3D7C">
        <w:tc>
          <w:tcPr>
            <w:tcW w:w="1378" w:type="pct"/>
          </w:tcPr>
          <w:p w14:paraId="5D1A0F77"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pacing w:val="-2"/>
                <w:sz w:val="18"/>
                <w:szCs w:val="18"/>
                <w:lang w:val="hr-HR"/>
              </w:rPr>
              <w:t>Depoziti kod drugih banaka</w:t>
            </w:r>
          </w:p>
        </w:tc>
        <w:tc>
          <w:tcPr>
            <w:tcW w:w="603" w:type="pct"/>
            <w:tcBorders>
              <w:top w:val="nil"/>
              <w:left w:val="nil"/>
              <w:bottom w:val="nil"/>
              <w:right w:val="nil"/>
            </w:tcBorders>
            <w:shd w:val="clear" w:color="auto" w:fill="auto"/>
            <w:vAlign w:val="bottom"/>
          </w:tcPr>
          <w:p w14:paraId="4BD02F2E" w14:textId="2BBD5DDB"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20.581</w:t>
            </w:r>
          </w:p>
        </w:tc>
        <w:tc>
          <w:tcPr>
            <w:tcW w:w="604" w:type="pct"/>
            <w:tcBorders>
              <w:top w:val="nil"/>
              <w:left w:val="nil"/>
              <w:bottom w:val="nil"/>
              <w:right w:val="nil"/>
            </w:tcBorders>
            <w:shd w:val="clear" w:color="auto" w:fill="auto"/>
            <w:vAlign w:val="bottom"/>
          </w:tcPr>
          <w:p w14:paraId="0CAEE795"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2CF6F9E0"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3.291</w:t>
            </w:r>
          </w:p>
        </w:tc>
        <w:tc>
          <w:tcPr>
            <w:tcW w:w="603" w:type="pct"/>
            <w:tcBorders>
              <w:top w:val="nil"/>
              <w:left w:val="nil"/>
              <w:bottom w:val="nil"/>
              <w:right w:val="nil"/>
            </w:tcBorders>
            <w:shd w:val="clear" w:color="auto" w:fill="auto"/>
            <w:vAlign w:val="bottom"/>
          </w:tcPr>
          <w:p w14:paraId="19DCC970"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23.872</w:t>
            </w:r>
          </w:p>
        </w:tc>
        <w:tc>
          <w:tcPr>
            <w:tcW w:w="604" w:type="pct"/>
            <w:tcBorders>
              <w:top w:val="nil"/>
              <w:left w:val="nil"/>
              <w:bottom w:val="nil"/>
              <w:right w:val="nil"/>
            </w:tcBorders>
            <w:shd w:val="clear" w:color="auto" w:fill="auto"/>
            <w:vAlign w:val="bottom"/>
          </w:tcPr>
          <w:p w14:paraId="462896F8"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1E34744C"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23.872</w:t>
            </w:r>
          </w:p>
        </w:tc>
      </w:tr>
      <w:tr w:rsidR="00EE3D7C" w:rsidRPr="00EC1653" w14:paraId="5C294FD9" w14:textId="77777777" w:rsidTr="00EE3D7C">
        <w:tc>
          <w:tcPr>
            <w:tcW w:w="1378" w:type="pct"/>
          </w:tcPr>
          <w:p w14:paraId="073DBC6E"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pacing w:val="-2"/>
                <w:sz w:val="18"/>
                <w:szCs w:val="18"/>
                <w:lang w:val="hr-HR"/>
              </w:rPr>
              <w:t>Krediti financijskim institucijama</w:t>
            </w:r>
          </w:p>
        </w:tc>
        <w:tc>
          <w:tcPr>
            <w:tcW w:w="603" w:type="pct"/>
            <w:tcBorders>
              <w:top w:val="nil"/>
              <w:left w:val="nil"/>
              <w:bottom w:val="nil"/>
              <w:right w:val="nil"/>
            </w:tcBorders>
            <w:shd w:val="clear" w:color="auto" w:fill="auto"/>
            <w:vAlign w:val="bottom"/>
          </w:tcPr>
          <w:p w14:paraId="6672785D"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50806EA9"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6.655.483</w:t>
            </w:r>
          </w:p>
        </w:tc>
        <w:tc>
          <w:tcPr>
            <w:tcW w:w="604" w:type="pct"/>
            <w:tcBorders>
              <w:top w:val="nil"/>
              <w:left w:val="nil"/>
              <w:bottom w:val="nil"/>
              <w:right w:val="nil"/>
            </w:tcBorders>
            <w:shd w:val="clear" w:color="auto" w:fill="auto"/>
            <w:vAlign w:val="bottom"/>
          </w:tcPr>
          <w:p w14:paraId="6A22324B"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3CF04C7A"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6.655.483</w:t>
            </w:r>
          </w:p>
        </w:tc>
        <w:tc>
          <w:tcPr>
            <w:tcW w:w="604" w:type="pct"/>
            <w:tcBorders>
              <w:top w:val="nil"/>
              <w:left w:val="nil"/>
              <w:bottom w:val="nil"/>
              <w:right w:val="nil"/>
            </w:tcBorders>
            <w:shd w:val="clear" w:color="auto" w:fill="auto"/>
            <w:vAlign w:val="bottom"/>
          </w:tcPr>
          <w:p w14:paraId="69B2A701"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5.233.628</w:t>
            </w:r>
          </w:p>
        </w:tc>
        <w:tc>
          <w:tcPr>
            <w:tcW w:w="603" w:type="pct"/>
            <w:tcBorders>
              <w:top w:val="nil"/>
              <w:left w:val="nil"/>
              <w:bottom w:val="nil"/>
              <w:right w:val="nil"/>
            </w:tcBorders>
            <w:shd w:val="clear" w:color="auto" w:fill="auto"/>
            <w:vAlign w:val="bottom"/>
          </w:tcPr>
          <w:p w14:paraId="05BDC488"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11.889.111</w:t>
            </w:r>
          </w:p>
        </w:tc>
      </w:tr>
      <w:tr w:rsidR="00EE3D7C" w:rsidRPr="00EC1653" w14:paraId="47D1C5C1" w14:textId="77777777" w:rsidTr="00EE3D7C">
        <w:tc>
          <w:tcPr>
            <w:tcW w:w="1378" w:type="pct"/>
          </w:tcPr>
          <w:p w14:paraId="37E92BBF"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pacing w:val="-2"/>
                <w:sz w:val="18"/>
                <w:szCs w:val="18"/>
                <w:lang w:val="hr-HR"/>
              </w:rPr>
              <w:t>Krediti ostalim korisnicima</w:t>
            </w:r>
          </w:p>
        </w:tc>
        <w:tc>
          <w:tcPr>
            <w:tcW w:w="603" w:type="pct"/>
            <w:tcBorders>
              <w:top w:val="nil"/>
              <w:left w:val="nil"/>
              <w:bottom w:val="nil"/>
              <w:right w:val="nil"/>
            </w:tcBorders>
            <w:shd w:val="clear" w:color="auto" w:fill="auto"/>
            <w:vAlign w:val="bottom"/>
          </w:tcPr>
          <w:p w14:paraId="07401828" w14:textId="1AC661F8"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527.661</w:t>
            </w:r>
          </w:p>
        </w:tc>
        <w:tc>
          <w:tcPr>
            <w:tcW w:w="604" w:type="pct"/>
            <w:tcBorders>
              <w:top w:val="nil"/>
              <w:left w:val="nil"/>
              <w:bottom w:val="nil"/>
              <w:right w:val="nil"/>
            </w:tcBorders>
            <w:shd w:val="clear" w:color="auto" w:fill="auto"/>
            <w:vAlign w:val="bottom"/>
          </w:tcPr>
          <w:p w14:paraId="40EB5ADF"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7.768.328</w:t>
            </w:r>
          </w:p>
        </w:tc>
        <w:tc>
          <w:tcPr>
            <w:tcW w:w="604" w:type="pct"/>
            <w:tcBorders>
              <w:top w:val="nil"/>
              <w:left w:val="nil"/>
              <w:bottom w:val="nil"/>
              <w:right w:val="nil"/>
            </w:tcBorders>
            <w:shd w:val="clear" w:color="auto" w:fill="auto"/>
            <w:vAlign w:val="bottom"/>
          </w:tcPr>
          <w:p w14:paraId="2009FA86"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39DCB488"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8.295.989</w:t>
            </w:r>
          </w:p>
        </w:tc>
        <w:tc>
          <w:tcPr>
            <w:tcW w:w="604" w:type="pct"/>
            <w:tcBorders>
              <w:top w:val="nil"/>
              <w:left w:val="nil"/>
              <w:bottom w:val="nil"/>
              <w:right w:val="nil"/>
            </w:tcBorders>
            <w:shd w:val="clear" w:color="auto" w:fill="auto"/>
            <w:vAlign w:val="bottom"/>
          </w:tcPr>
          <w:p w14:paraId="630694AE"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3.215.205</w:t>
            </w:r>
          </w:p>
        </w:tc>
        <w:tc>
          <w:tcPr>
            <w:tcW w:w="603" w:type="pct"/>
            <w:tcBorders>
              <w:top w:val="nil"/>
              <w:left w:val="nil"/>
              <w:bottom w:val="nil"/>
              <w:right w:val="nil"/>
            </w:tcBorders>
            <w:shd w:val="clear" w:color="auto" w:fill="auto"/>
            <w:vAlign w:val="bottom"/>
          </w:tcPr>
          <w:p w14:paraId="0E82B7CC"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11.511.194</w:t>
            </w:r>
          </w:p>
        </w:tc>
      </w:tr>
      <w:tr w:rsidR="00EE3D7C" w:rsidRPr="00EC1653" w14:paraId="49443A2E" w14:textId="77777777" w:rsidTr="00EE3D7C">
        <w:tc>
          <w:tcPr>
            <w:tcW w:w="1378" w:type="pct"/>
          </w:tcPr>
          <w:p w14:paraId="559C633D" w14:textId="77777777" w:rsidR="00EE3D7C" w:rsidRPr="00EC1653" w:rsidRDefault="00EE3D7C" w:rsidP="00EE3D7C">
            <w:pPr>
              <w:pStyle w:val="TT"/>
              <w:spacing w:line="240" w:lineRule="auto"/>
              <w:rPr>
                <w:rFonts w:asciiTheme="minorHAnsi" w:hAnsiTheme="minorHAnsi" w:cs="Arial"/>
                <w:spacing w:val="-2"/>
                <w:sz w:val="18"/>
                <w:szCs w:val="18"/>
                <w:lang w:val="hr-HR"/>
              </w:rPr>
            </w:pPr>
            <w:r w:rsidRPr="00EC1653">
              <w:rPr>
                <w:rFonts w:asciiTheme="minorHAnsi" w:hAnsiTheme="minorHAnsi" w:cs="Arial"/>
                <w:spacing w:val="-2"/>
                <w:sz w:val="18"/>
                <w:szCs w:val="18"/>
                <w:lang w:val="hr-HR"/>
              </w:rPr>
              <w:t>Financijska imovina po fer vrijednosti kroz izvještaj o dobiti i gubitku</w:t>
            </w:r>
          </w:p>
        </w:tc>
        <w:tc>
          <w:tcPr>
            <w:tcW w:w="603" w:type="pct"/>
            <w:tcBorders>
              <w:top w:val="nil"/>
              <w:left w:val="nil"/>
              <w:bottom w:val="nil"/>
              <w:right w:val="nil"/>
            </w:tcBorders>
            <w:shd w:val="clear" w:color="auto" w:fill="auto"/>
            <w:vAlign w:val="bottom"/>
          </w:tcPr>
          <w:p w14:paraId="6B980B1A"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42EECC85"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286</w:t>
            </w:r>
          </w:p>
        </w:tc>
        <w:tc>
          <w:tcPr>
            <w:tcW w:w="604" w:type="pct"/>
            <w:tcBorders>
              <w:top w:val="nil"/>
              <w:left w:val="nil"/>
              <w:bottom w:val="nil"/>
              <w:right w:val="nil"/>
            </w:tcBorders>
            <w:shd w:val="clear" w:color="auto" w:fill="auto"/>
            <w:vAlign w:val="bottom"/>
          </w:tcPr>
          <w:p w14:paraId="5E28EFB1"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63805049"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286</w:t>
            </w:r>
          </w:p>
        </w:tc>
        <w:tc>
          <w:tcPr>
            <w:tcW w:w="604" w:type="pct"/>
            <w:tcBorders>
              <w:top w:val="nil"/>
              <w:left w:val="nil"/>
              <w:bottom w:val="nil"/>
              <w:right w:val="nil"/>
            </w:tcBorders>
            <w:shd w:val="clear" w:color="auto" w:fill="auto"/>
            <w:vAlign w:val="bottom"/>
          </w:tcPr>
          <w:p w14:paraId="4C94EB71"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08192F9C"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286</w:t>
            </w:r>
          </w:p>
        </w:tc>
      </w:tr>
      <w:tr w:rsidR="00EE3D7C" w:rsidRPr="00EC1653" w14:paraId="6551741E" w14:textId="77777777" w:rsidTr="00EE3D7C">
        <w:tc>
          <w:tcPr>
            <w:tcW w:w="1378" w:type="pct"/>
          </w:tcPr>
          <w:p w14:paraId="5978CDA0"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pacing w:val="-2"/>
                <w:sz w:val="18"/>
                <w:szCs w:val="18"/>
                <w:lang w:val="hr-HR"/>
              </w:rPr>
              <w:t>Imovina raspoloživa za prodaju</w:t>
            </w:r>
          </w:p>
        </w:tc>
        <w:tc>
          <w:tcPr>
            <w:tcW w:w="603" w:type="pct"/>
            <w:tcBorders>
              <w:top w:val="nil"/>
              <w:left w:val="nil"/>
              <w:bottom w:val="nil"/>
              <w:right w:val="nil"/>
            </w:tcBorders>
            <w:shd w:val="clear" w:color="auto" w:fill="auto"/>
            <w:vAlign w:val="bottom"/>
          </w:tcPr>
          <w:p w14:paraId="0A7567F1" w14:textId="47A91E8A"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14.686</w:t>
            </w:r>
          </w:p>
        </w:tc>
        <w:tc>
          <w:tcPr>
            <w:tcW w:w="604" w:type="pct"/>
            <w:tcBorders>
              <w:top w:val="nil"/>
              <w:left w:val="nil"/>
              <w:bottom w:val="nil"/>
              <w:right w:val="nil"/>
            </w:tcBorders>
            <w:shd w:val="clear" w:color="auto" w:fill="auto"/>
            <w:vAlign w:val="bottom"/>
          </w:tcPr>
          <w:p w14:paraId="552142D8"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1.100.197</w:t>
            </w:r>
          </w:p>
        </w:tc>
        <w:tc>
          <w:tcPr>
            <w:tcW w:w="604" w:type="pct"/>
            <w:tcBorders>
              <w:top w:val="nil"/>
              <w:left w:val="nil"/>
              <w:bottom w:val="nil"/>
              <w:right w:val="nil"/>
            </w:tcBorders>
            <w:shd w:val="clear" w:color="auto" w:fill="auto"/>
            <w:vAlign w:val="bottom"/>
          </w:tcPr>
          <w:p w14:paraId="780E3E71"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557E7D6B"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1.114.883</w:t>
            </w:r>
          </w:p>
        </w:tc>
        <w:tc>
          <w:tcPr>
            <w:tcW w:w="604" w:type="pct"/>
            <w:tcBorders>
              <w:top w:val="nil"/>
              <w:left w:val="nil"/>
              <w:bottom w:val="nil"/>
              <w:right w:val="nil"/>
            </w:tcBorders>
            <w:shd w:val="clear" w:color="auto" w:fill="auto"/>
            <w:vAlign w:val="bottom"/>
          </w:tcPr>
          <w:p w14:paraId="709E6230"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2.275.151</w:t>
            </w:r>
          </w:p>
        </w:tc>
        <w:tc>
          <w:tcPr>
            <w:tcW w:w="603" w:type="pct"/>
            <w:tcBorders>
              <w:top w:val="nil"/>
              <w:left w:val="nil"/>
              <w:bottom w:val="nil"/>
              <w:right w:val="nil"/>
            </w:tcBorders>
            <w:shd w:val="clear" w:color="auto" w:fill="auto"/>
            <w:vAlign w:val="bottom"/>
          </w:tcPr>
          <w:p w14:paraId="0729AFFF"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3.390.034</w:t>
            </w:r>
          </w:p>
        </w:tc>
      </w:tr>
      <w:tr w:rsidR="00EE3D7C" w:rsidRPr="00EC1653" w14:paraId="62CE3524" w14:textId="77777777" w:rsidTr="00EE3D7C">
        <w:tc>
          <w:tcPr>
            <w:tcW w:w="1378" w:type="pct"/>
          </w:tcPr>
          <w:p w14:paraId="00E0A2BB" w14:textId="77777777" w:rsidR="00EE3D7C" w:rsidRPr="00EC1653" w:rsidRDefault="00EE3D7C" w:rsidP="00EE3D7C">
            <w:pPr>
              <w:pStyle w:val="TT"/>
              <w:spacing w:line="240" w:lineRule="auto"/>
              <w:rPr>
                <w:rFonts w:asciiTheme="minorHAnsi" w:hAnsiTheme="minorHAnsi" w:cs="Arial"/>
                <w:spacing w:val="-2"/>
                <w:sz w:val="18"/>
                <w:szCs w:val="18"/>
                <w:lang w:val="hr-HR"/>
              </w:rPr>
            </w:pPr>
            <w:r w:rsidRPr="00EC1653">
              <w:rPr>
                <w:rFonts w:asciiTheme="minorHAnsi" w:hAnsiTheme="minorHAnsi" w:cs="Arial"/>
                <w:spacing w:val="-2"/>
                <w:sz w:val="18"/>
                <w:szCs w:val="18"/>
                <w:lang w:val="hr-HR"/>
              </w:rPr>
              <w:t>Imovina koja se drži do dospijeća</w:t>
            </w:r>
          </w:p>
        </w:tc>
        <w:tc>
          <w:tcPr>
            <w:tcW w:w="603" w:type="pct"/>
            <w:tcBorders>
              <w:top w:val="nil"/>
              <w:left w:val="nil"/>
              <w:bottom w:val="nil"/>
              <w:right w:val="nil"/>
            </w:tcBorders>
            <w:shd w:val="clear" w:color="auto" w:fill="auto"/>
            <w:vAlign w:val="bottom"/>
          </w:tcPr>
          <w:p w14:paraId="44CF8EC4"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69A4BCD5"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1.422</w:t>
            </w:r>
          </w:p>
        </w:tc>
        <w:tc>
          <w:tcPr>
            <w:tcW w:w="604" w:type="pct"/>
            <w:tcBorders>
              <w:top w:val="nil"/>
              <w:left w:val="nil"/>
              <w:bottom w:val="nil"/>
              <w:right w:val="nil"/>
            </w:tcBorders>
            <w:shd w:val="clear" w:color="auto" w:fill="auto"/>
            <w:vAlign w:val="bottom"/>
          </w:tcPr>
          <w:p w14:paraId="6FED358E"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7A2C844A"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1.422</w:t>
            </w:r>
          </w:p>
        </w:tc>
        <w:tc>
          <w:tcPr>
            <w:tcW w:w="604" w:type="pct"/>
            <w:tcBorders>
              <w:top w:val="nil"/>
              <w:left w:val="nil"/>
              <w:bottom w:val="nil"/>
              <w:right w:val="nil"/>
            </w:tcBorders>
            <w:shd w:val="clear" w:color="auto" w:fill="auto"/>
            <w:vAlign w:val="bottom"/>
          </w:tcPr>
          <w:p w14:paraId="18DC06E4"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4C0123FB"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1.422</w:t>
            </w:r>
          </w:p>
        </w:tc>
      </w:tr>
      <w:tr w:rsidR="00EE3D7C" w:rsidRPr="00EC1653" w14:paraId="41A11B1D" w14:textId="77777777" w:rsidTr="00EE3D7C">
        <w:tc>
          <w:tcPr>
            <w:tcW w:w="1378" w:type="pct"/>
          </w:tcPr>
          <w:p w14:paraId="1BD98191" w14:textId="77777777" w:rsidR="00EE3D7C" w:rsidRPr="00EC1653" w:rsidRDefault="00EE3D7C" w:rsidP="00EE3D7C">
            <w:pPr>
              <w:pStyle w:val="TT"/>
              <w:spacing w:line="240" w:lineRule="auto"/>
              <w:rPr>
                <w:rFonts w:asciiTheme="minorHAnsi" w:hAnsiTheme="minorHAnsi" w:cs="Arial"/>
                <w:spacing w:val="-2"/>
                <w:sz w:val="18"/>
                <w:szCs w:val="18"/>
                <w:lang w:val="hr-HR"/>
              </w:rPr>
            </w:pPr>
            <w:r w:rsidRPr="00EC1653">
              <w:rPr>
                <w:rFonts w:asciiTheme="minorHAnsi" w:hAnsiTheme="minorHAnsi" w:cs="Arial"/>
                <w:spacing w:val="-2"/>
                <w:sz w:val="18"/>
                <w:szCs w:val="18"/>
                <w:lang w:val="hr-HR"/>
              </w:rPr>
              <w:t>Ulaganja u pridružena društva</w:t>
            </w:r>
          </w:p>
        </w:tc>
        <w:tc>
          <w:tcPr>
            <w:tcW w:w="603" w:type="pct"/>
            <w:tcBorders>
              <w:top w:val="nil"/>
              <w:left w:val="nil"/>
              <w:bottom w:val="nil"/>
              <w:right w:val="nil"/>
            </w:tcBorders>
            <w:shd w:val="clear" w:color="auto" w:fill="auto"/>
            <w:vAlign w:val="bottom"/>
          </w:tcPr>
          <w:p w14:paraId="024C6934"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486C94FB"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089C37A8"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6C0FE3AC"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389E2DCD"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274FF61A"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r>
      <w:tr w:rsidR="00EE3D7C" w:rsidRPr="00EC1653" w14:paraId="56352916" w14:textId="77777777" w:rsidTr="00EE3D7C">
        <w:tc>
          <w:tcPr>
            <w:tcW w:w="1378" w:type="pct"/>
          </w:tcPr>
          <w:p w14:paraId="5C99EEF1"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pacing w:val="-2"/>
                <w:sz w:val="18"/>
                <w:szCs w:val="18"/>
                <w:lang w:val="hr-HR"/>
              </w:rPr>
              <w:t>Nekretnine, postrojenja i oprema i nematerijalna imovina</w:t>
            </w:r>
          </w:p>
        </w:tc>
        <w:tc>
          <w:tcPr>
            <w:tcW w:w="603" w:type="pct"/>
            <w:tcBorders>
              <w:top w:val="nil"/>
              <w:left w:val="nil"/>
              <w:bottom w:val="nil"/>
              <w:right w:val="nil"/>
            </w:tcBorders>
            <w:shd w:val="clear" w:color="auto" w:fill="auto"/>
            <w:vAlign w:val="bottom"/>
          </w:tcPr>
          <w:p w14:paraId="1870715D"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2CB9C026"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6D0D3098"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2E0E194D"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6DED6FF8"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57.305</w:t>
            </w:r>
          </w:p>
        </w:tc>
        <w:tc>
          <w:tcPr>
            <w:tcW w:w="603" w:type="pct"/>
            <w:tcBorders>
              <w:top w:val="nil"/>
              <w:left w:val="nil"/>
              <w:bottom w:val="nil"/>
              <w:right w:val="nil"/>
            </w:tcBorders>
            <w:shd w:val="clear" w:color="auto" w:fill="auto"/>
            <w:vAlign w:val="bottom"/>
          </w:tcPr>
          <w:p w14:paraId="48ED647F"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57.305</w:t>
            </w:r>
          </w:p>
        </w:tc>
      </w:tr>
      <w:tr w:rsidR="00EE3D7C" w:rsidRPr="00EC1653" w14:paraId="368C416D" w14:textId="77777777" w:rsidTr="00EE3D7C">
        <w:tc>
          <w:tcPr>
            <w:tcW w:w="1378" w:type="pct"/>
          </w:tcPr>
          <w:p w14:paraId="50761FBC"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pacing w:val="-2"/>
                <w:sz w:val="18"/>
                <w:szCs w:val="18"/>
                <w:lang w:val="hr-HR"/>
              </w:rPr>
              <w:t>Dugotrajna imovina namijenjena prodaji</w:t>
            </w:r>
          </w:p>
        </w:tc>
        <w:tc>
          <w:tcPr>
            <w:tcW w:w="603" w:type="pct"/>
            <w:tcBorders>
              <w:top w:val="nil"/>
              <w:left w:val="nil"/>
              <w:bottom w:val="nil"/>
              <w:right w:val="nil"/>
            </w:tcBorders>
            <w:shd w:val="clear" w:color="auto" w:fill="auto"/>
            <w:vAlign w:val="bottom"/>
          </w:tcPr>
          <w:p w14:paraId="5EAC5AF8"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152AB69C"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22AC4256"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4579918B"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63D15317"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17.230</w:t>
            </w:r>
          </w:p>
        </w:tc>
        <w:tc>
          <w:tcPr>
            <w:tcW w:w="603" w:type="pct"/>
            <w:tcBorders>
              <w:top w:val="nil"/>
              <w:left w:val="nil"/>
              <w:bottom w:val="nil"/>
              <w:right w:val="nil"/>
            </w:tcBorders>
            <w:shd w:val="clear" w:color="auto" w:fill="auto"/>
            <w:vAlign w:val="bottom"/>
          </w:tcPr>
          <w:p w14:paraId="706D9223"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17.230</w:t>
            </w:r>
          </w:p>
        </w:tc>
      </w:tr>
      <w:tr w:rsidR="00EE3D7C" w:rsidRPr="00EC1653" w14:paraId="2F43D15C" w14:textId="77777777" w:rsidTr="00EE3D7C">
        <w:tc>
          <w:tcPr>
            <w:tcW w:w="1378" w:type="pct"/>
          </w:tcPr>
          <w:p w14:paraId="3DB6BE0D"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pacing w:val="-2"/>
                <w:sz w:val="18"/>
                <w:szCs w:val="18"/>
                <w:lang w:val="hr-HR"/>
              </w:rPr>
              <w:t>Ostala imovina</w:t>
            </w:r>
          </w:p>
        </w:tc>
        <w:tc>
          <w:tcPr>
            <w:tcW w:w="603" w:type="pct"/>
            <w:tcBorders>
              <w:top w:val="nil"/>
              <w:left w:val="nil"/>
              <w:bottom w:val="nil"/>
              <w:right w:val="nil"/>
            </w:tcBorders>
            <w:shd w:val="clear" w:color="auto" w:fill="auto"/>
            <w:vAlign w:val="bottom"/>
          </w:tcPr>
          <w:p w14:paraId="26A5CF31"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420A55CE"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369</w:t>
            </w:r>
          </w:p>
        </w:tc>
        <w:tc>
          <w:tcPr>
            <w:tcW w:w="604" w:type="pct"/>
            <w:tcBorders>
              <w:top w:val="nil"/>
              <w:left w:val="nil"/>
              <w:bottom w:val="nil"/>
              <w:right w:val="nil"/>
            </w:tcBorders>
            <w:shd w:val="clear" w:color="auto" w:fill="auto"/>
            <w:vAlign w:val="bottom"/>
          </w:tcPr>
          <w:p w14:paraId="218A92DC"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5C30BF49"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369</w:t>
            </w:r>
          </w:p>
        </w:tc>
        <w:tc>
          <w:tcPr>
            <w:tcW w:w="604" w:type="pct"/>
            <w:tcBorders>
              <w:top w:val="nil"/>
              <w:left w:val="nil"/>
              <w:bottom w:val="nil"/>
              <w:right w:val="nil"/>
            </w:tcBorders>
            <w:shd w:val="clear" w:color="auto" w:fill="auto"/>
            <w:vAlign w:val="bottom"/>
          </w:tcPr>
          <w:p w14:paraId="55274AA8"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8.753</w:t>
            </w:r>
          </w:p>
        </w:tc>
        <w:tc>
          <w:tcPr>
            <w:tcW w:w="603" w:type="pct"/>
            <w:tcBorders>
              <w:top w:val="nil"/>
              <w:left w:val="nil"/>
              <w:bottom w:val="nil"/>
              <w:right w:val="nil"/>
            </w:tcBorders>
            <w:shd w:val="clear" w:color="auto" w:fill="auto"/>
            <w:vAlign w:val="bottom"/>
          </w:tcPr>
          <w:p w14:paraId="5F67E187"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9.122</w:t>
            </w:r>
          </w:p>
        </w:tc>
      </w:tr>
      <w:tr w:rsidR="00EE3D7C" w:rsidRPr="00EC1653" w14:paraId="00573919" w14:textId="77777777" w:rsidTr="00EE3D7C">
        <w:tc>
          <w:tcPr>
            <w:tcW w:w="1378" w:type="pct"/>
            <w:vAlign w:val="bottom"/>
          </w:tcPr>
          <w:p w14:paraId="57C37DAD" w14:textId="77777777" w:rsidR="00EE3D7C" w:rsidRPr="00EC1653" w:rsidRDefault="00EE3D7C" w:rsidP="00EE3D7C">
            <w:pPr>
              <w:pStyle w:val="TT"/>
              <w:spacing w:line="240" w:lineRule="auto"/>
              <w:rPr>
                <w:rFonts w:asciiTheme="minorHAnsi" w:hAnsiTheme="minorHAnsi" w:cs="Arial"/>
                <w:b/>
                <w:bCs/>
                <w:sz w:val="18"/>
                <w:szCs w:val="18"/>
                <w:lang w:val="hr-HR"/>
              </w:rPr>
            </w:pPr>
            <w:r w:rsidRPr="00EC1653">
              <w:rPr>
                <w:rFonts w:asciiTheme="minorHAnsi" w:hAnsiTheme="minorHAnsi" w:cs="Arial"/>
                <w:b/>
                <w:bCs/>
                <w:sz w:val="18"/>
                <w:szCs w:val="18"/>
                <w:lang w:val="hr-HR"/>
              </w:rPr>
              <w:t>Ukupna imovina (1)</w:t>
            </w:r>
          </w:p>
        </w:tc>
        <w:tc>
          <w:tcPr>
            <w:tcW w:w="603" w:type="pct"/>
            <w:tcBorders>
              <w:top w:val="single" w:sz="4" w:space="0" w:color="auto"/>
              <w:left w:val="nil"/>
              <w:bottom w:val="single" w:sz="8" w:space="0" w:color="auto"/>
              <w:right w:val="nil"/>
            </w:tcBorders>
            <w:shd w:val="clear" w:color="auto" w:fill="auto"/>
            <w:vAlign w:val="bottom"/>
          </w:tcPr>
          <w:p w14:paraId="01B94C17"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564.534</w:t>
            </w:r>
          </w:p>
        </w:tc>
        <w:tc>
          <w:tcPr>
            <w:tcW w:w="604" w:type="pct"/>
            <w:tcBorders>
              <w:top w:val="single" w:sz="4" w:space="0" w:color="auto"/>
              <w:left w:val="nil"/>
              <w:bottom w:val="single" w:sz="8" w:space="0" w:color="auto"/>
              <w:right w:val="nil"/>
            </w:tcBorders>
            <w:shd w:val="clear" w:color="auto" w:fill="auto"/>
            <w:vAlign w:val="bottom"/>
          </w:tcPr>
          <w:p w14:paraId="3CA8B398"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15.827.423</w:t>
            </w:r>
          </w:p>
        </w:tc>
        <w:tc>
          <w:tcPr>
            <w:tcW w:w="604" w:type="pct"/>
            <w:tcBorders>
              <w:top w:val="single" w:sz="4" w:space="0" w:color="auto"/>
              <w:left w:val="nil"/>
              <w:bottom w:val="single" w:sz="8" w:space="0" w:color="auto"/>
              <w:right w:val="nil"/>
            </w:tcBorders>
            <w:shd w:val="clear" w:color="auto" w:fill="auto"/>
            <w:vAlign w:val="bottom"/>
          </w:tcPr>
          <w:p w14:paraId="2EFEB2A0"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4.875</w:t>
            </w:r>
          </w:p>
        </w:tc>
        <w:tc>
          <w:tcPr>
            <w:tcW w:w="603" w:type="pct"/>
            <w:tcBorders>
              <w:top w:val="single" w:sz="4" w:space="0" w:color="auto"/>
              <w:left w:val="nil"/>
              <w:bottom w:val="single" w:sz="8" w:space="0" w:color="auto"/>
              <w:right w:val="nil"/>
            </w:tcBorders>
            <w:shd w:val="clear" w:color="auto" w:fill="auto"/>
            <w:vAlign w:val="bottom"/>
          </w:tcPr>
          <w:p w14:paraId="7C177DE3"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16.396.832</w:t>
            </w:r>
          </w:p>
        </w:tc>
        <w:tc>
          <w:tcPr>
            <w:tcW w:w="604" w:type="pct"/>
            <w:tcBorders>
              <w:top w:val="single" w:sz="4" w:space="0" w:color="auto"/>
              <w:left w:val="nil"/>
              <w:bottom w:val="single" w:sz="8" w:space="0" w:color="auto"/>
              <w:right w:val="nil"/>
            </w:tcBorders>
            <w:shd w:val="clear" w:color="auto" w:fill="auto"/>
            <w:vAlign w:val="bottom"/>
          </w:tcPr>
          <w:p w14:paraId="2C455E88"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10.993.990*</w:t>
            </w:r>
          </w:p>
        </w:tc>
        <w:tc>
          <w:tcPr>
            <w:tcW w:w="603" w:type="pct"/>
            <w:tcBorders>
              <w:top w:val="single" w:sz="4" w:space="0" w:color="auto"/>
              <w:left w:val="nil"/>
              <w:bottom w:val="single" w:sz="8" w:space="0" w:color="auto"/>
              <w:right w:val="nil"/>
            </w:tcBorders>
            <w:shd w:val="clear" w:color="auto" w:fill="auto"/>
            <w:vAlign w:val="bottom"/>
          </w:tcPr>
          <w:p w14:paraId="7C4864FD"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27.390.822</w:t>
            </w:r>
          </w:p>
        </w:tc>
      </w:tr>
      <w:tr w:rsidR="00EE3D7C" w:rsidRPr="00EC1653" w14:paraId="48C8563F" w14:textId="77777777" w:rsidTr="00EE3D7C">
        <w:trPr>
          <w:trHeight w:hRule="exact" w:val="113"/>
        </w:trPr>
        <w:tc>
          <w:tcPr>
            <w:tcW w:w="1378" w:type="pct"/>
          </w:tcPr>
          <w:p w14:paraId="2D3618E0" w14:textId="77777777" w:rsidR="00EE3D7C" w:rsidRPr="00EC1653" w:rsidRDefault="00EE3D7C" w:rsidP="00EE3D7C">
            <w:pPr>
              <w:pStyle w:val="Thick"/>
              <w:spacing w:line="240" w:lineRule="auto"/>
              <w:rPr>
                <w:rFonts w:asciiTheme="minorHAnsi" w:hAnsiTheme="minorHAnsi" w:cs="Arial"/>
                <w:sz w:val="18"/>
                <w:szCs w:val="18"/>
                <w:lang w:val="hr-HR"/>
              </w:rPr>
            </w:pPr>
          </w:p>
        </w:tc>
        <w:tc>
          <w:tcPr>
            <w:tcW w:w="603" w:type="pct"/>
            <w:tcBorders>
              <w:top w:val="single" w:sz="12" w:space="0" w:color="auto"/>
            </w:tcBorders>
            <w:vAlign w:val="bottom"/>
          </w:tcPr>
          <w:p w14:paraId="0F6503F9" w14:textId="77777777" w:rsidR="00EE3D7C" w:rsidRPr="00EC1653" w:rsidRDefault="00EE3D7C" w:rsidP="00EE3D7C">
            <w:pPr>
              <w:pStyle w:val="Thick"/>
              <w:tabs>
                <w:tab w:val="clear" w:pos="1202"/>
              </w:tabs>
              <w:spacing w:line="240" w:lineRule="auto"/>
              <w:jc w:val="right"/>
              <w:rPr>
                <w:rFonts w:asciiTheme="minorHAnsi" w:hAnsiTheme="minorHAnsi" w:cs="Arial"/>
                <w:sz w:val="18"/>
                <w:szCs w:val="18"/>
                <w:lang w:val="hr-HR"/>
              </w:rPr>
            </w:pPr>
          </w:p>
        </w:tc>
        <w:tc>
          <w:tcPr>
            <w:tcW w:w="604" w:type="pct"/>
            <w:tcBorders>
              <w:top w:val="single" w:sz="12" w:space="0" w:color="auto"/>
            </w:tcBorders>
            <w:vAlign w:val="bottom"/>
          </w:tcPr>
          <w:p w14:paraId="31562AF8" w14:textId="77777777" w:rsidR="00EE3D7C" w:rsidRPr="00EC1653" w:rsidRDefault="00EE3D7C" w:rsidP="00EE3D7C">
            <w:pPr>
              <w:pStyle w:val="Thick"/>
              <w:tabs>
                <w:tab w:val="clear" w:pos="1202"/>
              </w:tabs>
              <w:spacing w:line="240" w:lineRule="auto"/>
              <w:jc w:val="right"/>
              <w:rPr>
                <w:rFonts w:asciiTheme="minorHAnsi" w:hAnsiTheme="minorHAnsi" w:cs="Arial"/>
                <w:sz w:val="18"/>
                <w:szCs w:val="18"/>
                <w:lang w:val="hr-HR"/>
              </w:rPr>
            </w:pPr>
          </w:p>
        </w:tc>
        <w:tc>
          <w:tcPr>
            <w:tcW w:w="604" w:type="pct"/>
            <w:tcBorders>
              <w:top w:val="single" w:sz="12" w:space="0" w:color="auto"/>
            </w:tcBorders>
            <w:vAlign w:val="bottom"/>
          </w:tcPr>
          <w:p w14:paraId="51BB38D2" w14:textId="77777777" w:rsidR="00EE3D7C" w:rsidRPr="00EC1653" w:rsidRDefault="00EE3D7C" w:rsidP="00EE3D7C">
            <w:pPr>
              <w:pStyle w:val="Thick"/>
              <w:tabs>
                <w:tab w:val="clear" w:pos="1202"/>
              </w:tabs>
              <w:spacing w:line="240" w:lineRule="auto"/>
              <w:jc w:val="right"/>
              <w:rPr>
                <w:rFonts w:asciiTheme="minorHAnsi" w:hAnsiTheme="minorHAnsi" w:cs="Arial"/>
                <w:sz w:val="18"/>
                <w:szCs w:val="18"/>
                <w:lang w:val="hr-HR"/>
              </w:rPr>
            </w:pPr>
          </w:p>
        </w:tc>
        <w:tc>
          <w:tcPr>
            <w:tcW w:w="603" w:type="pct"/>
            <w:tcBorders>
              <w:top w:val="single" w:sz="12" w:space="0" w:color="auto"/>
            </w:tcBorders>
            <w:vAlign w:val="bottom"/>
          </w:tcPr>
          <w:p w14:paraId="167FAA22" w14:textId="77777777" w:rsidR="00EE3D7C" w:rsidRPr="00EC1653" w:rsidRDefault="00EE3D7C" w:rsidP="00EE3D7C">
            <w:pPr>
              <w:pStyle w:val="Thick"/>
              <w:tabs>
                <w:tab w:val="clear" w:pos="1202"/>
              </w:tabs>
              <w:spacing w:line="240" w:lineRule="auto"/>
              <w:jc w:val="right"/>
              <w:rPr>
                <w:rFonts w:asciiTheme="minorHAnsi" w:hAnsiTheme="minorHAnsi" w:cs="Arial"/>
                <w:sz w:val="18"/>
                <w:szCs w:val="18"/>
                <w:lang w:val="hr-HR"/>
              </w:rPr>
            </w:pPr>
          </w:p>
        </w:tc>
        <w:tc>
          <w:tcPr>
            <w:tcW w:w="604" w:type="pct"/>
            <w:tcBorders>
              <w:top w:val="single" w:sz="12" w:space="0" w:color="auto"/>
            </w:tcBorders>
            <w:vAlign w:val="bottom"/>
          </w:tcPr>
          <w:p w14:paraId="3AAE85A9" w14:textId="77777777" w:rsidR="00EE3D7C" w:rsidRPr="00EC1653" w:rsidRDefault="00EE3D7C" w:rsidP="00EE3D7C">
            <w:pPr>
              <w:pStyle w:val="Thick"/>
              <w:tabs>
                <w:tab w:val="clear" w:pos="1202"/>
              </w:tabs>
              <w:spacing w:line="240" w:lineRule="auto"/>
              <w:jc w:val="right"/>
              <w:rPr>
                <w:rFonts w:asciiTheme="minorHAnsi" w:hAnsiTheme="minorHAnsi" w:cs="Arial"/>
                <w:sz w:val="18"/>
                <w:szCs w:val="18"/>
                <w:lang w:val="hr-HR"/>
              </w:rPr>
            </w:pPr>
          </w:p>
        </w:tc>
        <w:tc>
          <w:tcPr>
            <w:tcW w:w="603" w:type="pct"/>
            <w:tcBorders>
              <w:top w:val="single" w:sz="12" w:space="0" w:color="auto"/>
            </w:tcBorders>
            <w:vAlign w:val="bottom"/>
          </w:tcPr>
          <w:p w14:paraId="544A7DC8" w14:textId="77777777" w:rsidR="00EE3D7C" w:rsidRPr="00EC1653" w:rsidRDefault="00EE3D7C" w:rsidP="00EE3D7C">
            <w:pPr>
              <w:pStyle w:val="Thick"/>
              <w:tabs>
                <w:tab w:val="clear" w:pos="1202"/>
              </w:tabs>
              <w:spacing w:line="240" w:lineRule="auto"/>
              <w:jc w:val="right"/>
              <w:rPr>
                <w:rFonts w:asciiTheme="minorHAnsi" w:hAnsiTheme="minorHAnsi" w:cs="Arial"/>
                <w:sz w:val="18"/>
                <w:szCs w:val="18"/>
                <w:lang w:val="hr-HR"/>
              </w:rPr>
            </w:pPr>
          </w:p>
        </w:tc>
      </w:tr>
      <w:tr w:rsidR="00EE3D7C" w:rsidRPr="00EC1653" w14:paraId="3682845C" w14:textId="77777777" w:rsidTr="00EE3D7C">
        <w:tc>
          <w:tcPr>
            <w:tcW w:w="1378" w:type="pct"/>
          </w:tcPr>
          <w:p w14:paraId="48A17AA4" w14:textId="77777777" w:rsidR="00EE3D7C" w:rsidRPr="00EC1653" w:rsidRDefault="00EE3D7C" w:rsidP="00EE3D7C">
            <w:pPr>
              <w:pStyle w:val="TT"/>
              <w:spacing w:line="240" w:lineRule="auto"/>
              <w:rPr>
                <w:rFonts w:asciiTheme="minorHAnsi" w:hAnsiTheme="minorHAnsi" w:cs="Arial"/>
                <w:b/>
                <w:bCs/>
                <w:sz w:val="18"/>
                <w:szCs w:val="18"/>
                <w:lang w:val="hr-HR"/>
              </w:rPr>
            </w:pPr>
            <w:r w:rsidRPr="00EC1653">
              <w:rPr>
                <w:rFonts w:asciiTheme="minorHAnsi" w:hAnsiTheme="minorHAnsi" w:cs="Arial"/>
                <w:b/>
                <w:bCs/>
                <w:sz w:val="18"/>
                <w:szCs w:val="18"/>
                <w:lang w:val="hr-HR"/>
              </w:rPr>
              <w:t>Obveze</w:t>
            </w:r>
          </w:p>
        </w:tc>
        <w:tc>
          <w:tcPr>
            <w:tcW w:w="603" w:type="pct"/>
            <w:vAlign w:val="bottom"/>
          </w:tcPr>
          <w:p w14:paraId="75EAB18D" w14:textId="77777777" w:rsidR="00EE3D7C" w:rsidRPr="00EC1653" w:rsidRDefault="00EE3D7C" w:rsidP="00EE3D7C">
            <w:pPr>
              <w:suppressAutoHyphens/>
              <w:spacing w:after="0" w:line="240" w:lineRule="auto"/>
              <w:ind w:left="-123"/>
              <w:jc w:val="right"/>
              <w:rPr>
                <w:rFonts w:cs="Arial"/>
                <w:spacing w:val="-2"/>
                <w:sz w:val="18"/>
                <w:szCs w:val="18"/>
              </w:rPr>
            </w:pPr>
          </w:p>
        </w:tc>
        <w:tc>
          <w:tcPr>
            <w:tcW w:w="604" w:type="pct"/>
            <w:vAlign w:val="bottom"/>
          </w:tcPr>
          <w:p w14:paraId="47AA7578" w14:textId="77777777" w:rsidR="00EE3D7C" w:rsidRPr="00EC1653" w:rsidRDefault="00EE3D7C" w:rsidP="00EE3D7C">
            <w:pPr>
              <w:suppressAutoHyphens/>
              <w:spacing w:after="0" w:line="240" w:lineRule="auto"/>
              <w:jc w:val="right"/>
              <w:rPr>
                <w:rFonts w:cs="Arial"/>
                <w:spacing w:val="-2"/>
                <w:sz w:val="18"/>
                <w:szCs w:val="18"/>
              </w:rPr>
            </w:pPr>
          </w:p>
        </w:tc>
        <w:tc>
          <w:tcPr>
            <w:tcW w:w="604" w:type="pct"/>
            <w:vAlign w:val="bottom"/>
          </w:tcPr>
          <w:p w14:paraId="7169512F" w14:textId="77777777" w:rsidR="00EE3D7C" w:rsidRPr="00EC1653" w:rsidRDefault="00EE3D7C" w:rsidP="00EE3D7C">
            <w:pPr>
              <w:suppressAutoHyphens/>
              <w:spacing w:after="0" w:line="240" w:lineRule="auto"/>
              <w:jc w:val="right"/>
              <w:rPr>
                <w:rFonts w:cs="Arial"/>
                <w:spacing w:val="-2"/>
                <w:sz w:val="18"/>
                <w:szCs w:val="18"/>
              </w:rPr>
            </w:pPr>
          </w:p>
        </w:tc>
        <w:tc>
          <w:tcPr>
            <w:tcW w:w="603" w:type="pct"/>
            <w:vAlign w:val="bottom"/>
          </w:tcPr>
          <w:p w14:paraId="705C7B0C" w14:textId="77777777" w:rsidR="00EE3D7C" w:rsidRPr="00EC1653" w:rsidRDefault="00EE3D7C" w:rsidP="00EE3D7C">
            <w:pPr>
              <w:suppressAutoHyphens/>
              <w:spacing w:after="0" w:line="240" w:lineRule="auto"/>
              <w:jc w:val="right"/>
              <w:rPr>
                <w:rFonts w:cs="Arial"/>
                <w:spacing w:val="-2"/>
                <w:sz w:val="18"/>
                <w:szCs w:val="18"/>
              </w:rPr>
            </w:pPr>
          </w:p>
        </w:tc>
        <w:tc>
          <w:tcPr>
            <w:tcW w:w="604" w:type="pct"/>
            <w:vAlign w:val="bottom"/>
          </w:tcPr>
          <w:p w14:paraId="26E968AE" w14:textId="77777777" w:rsidR="00EE3D7C" w:rsidRPr="00EC1653" w:rsidRDefault="00EE3D7C" w:rsidP="00EE3D7C">
            <w:pPr>
              <w:suppressAutoHyphens/>
              <w:spacing w:after="0" w:line="240" w:lineRule="auto"/>
              <w:jc w:val="right"/>
              <w:rPr>
                <w:rFonts w:cs="Arial"/>
                <w:spacing w:val="-2"/>
                <w:sz w:val="18"/>
                <w:szCs w:val="18"/>
              </w:rPr>
            </w:pPr>
          </w:p>
        </w:tc>
        <w:tc>
          <w:tcPr>
            <w:tcW w:w="603" w:type="pct"/>
            <w:vAlign w:val="bottom"/>
          </w:tcPr>
          <w:p w14:paraId="6361B5A6" w14:textId="77777777" w:rsidR="00EE3D7C" w:rsidRPr="00EC1653" w:rsidRDefault="00EE3D7C" w:rsidP="00EE3D7C">
            <w:pPr>
              <w:spacing w:after="0" w:line="240" w:lineRule="auto"/>
              <w:jc w:val="right"/>
              <w:rPr>
                <w:rFonts w:cs="Arial"/>
                <w:b/>
                <w:sz w:val="18"/>
                <w:szCs w:val="18"/>
              </w:rPr>
            </w:pPr>
          </w:p>
        </w:tc>
      </w:tr>
      <w:tr w:rsidR="00EE3D7C" w:rsidRPr="00EC1653" w14:paraId="4D80D7D4" w14:textId="77777777" w:rsidTr="00EE3D7C">
        <w:tc>
          <w:tcPr>
            <w:tcW w:w="1378" w:type="pct"/>
          </w:tcPr>
          <w:p w14:paraId="481C9C35"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Obveze po depozitima</w:t>
            </w:r>
          </w:p>
        </w:tc>
        <w:tc>
          <w:tcPr>
            <w:tcW w:w="603" w:type="pct"/>
            <w:tcBorders>
              <w:top w:val="nil"/>
              <w:left w:val="nil"/>
              <w:bottom w:val="nil"/>
              <w:right w:val="nil"/>
            </w:tcBorders>
            <w:shd w:val="clear" w:color="auto" w:fill="auto"/>
            <w:vAlign w:val="bottom"/>
          </w:tcPr>
          <w:p w14:paraId="0CA16E7B"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48.380</w:t>
            </w:r>
          </w:p>
        </w:tc>
        <w:tc>
          <w:tcPr>
            <w:tcW w:w="604" w:type="pct"/>
            <w:tcBorders>
              <w:top w:val="nil"/>
              <w:left w:val="nil"/>
              <w:bottom w:val="nil"/>
              <w:right w:val="nil"/>
            </w:tcBorders>
            <w:shd w:val="clear" w:color="auto" w:fill="auto"/>
            <w:vAlign w:val="bottom"/>
          </w:tcPr>
          <w:p w14:paraId="28181444"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42.778</w:t>
            </w:r>
          </w:p>
        </w:tc>
        <w:tc>
          <w:tcPr>
            <w:tcW w:w="604" w:type="pct"/>
            <w:tcBorders>
              <w:top w:val="nil"/>
              <w:left w:val="nil"/>
              <w:bottom w:val="nil"/>
              <w:right w:val="nil"/>
            </w:tcBorders>
            <w:shd w:val="clear" w:color="auto" w:fill="auto"/>
            <w:vAlign w:val="bottom"/>
          </w:tcPr>
          <w:p w14:paraId="3ECE354B"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3.459</w:t>
            </w:r>
          </w:p>
        </w:tc>
        <w:tc>
          <w:tcPr>
            <w:tcW w:w="603" w:type="pct"/>
            <w:tcBorders>
              <w:top w:val="nil"/>
              <w:left w:val="nil"/>
              <w:bottom w:val="nil"/>
              <w:right w:val="nil"/>
            </w:tcBorders>
            <w:shd w:val="clear" w:color="auto" w:fill="auto"/>
            <w:vAlign w:val="bottom"/>
          </w:tcPr>
          <w:p w14:paraId="07DF47C1"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94.617</w:t>
            </w:r>
          </w:p>
        </w:tc>
        <w:tc>
          <w:tcPr>
            <w:tcW w:w="604" w:type="pct"/>
            <w:tcBorders>
              <w:top w:val="nil"/>
              <w:left w:val="nil"/>
              <w:bottom w:val="nil"/>
              <w:right w:val="nil"/>
            </w:tcBorders>
            <w:shd w:val="clear" w:color="auto" w:fill="auto"/>
            <w:vAlign w:val="bottom"/>
          </w:tcPr>
          <w:p w14:paraId="1BD071DC"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48.227</w:t>
            </w:r>
          </w:p>
        </w:tc>
        <w:tc>
          <w:tcPr>
            <w:tcW w:w="603" w:type="pct"/>
            <w:tcBorders>
              <w:top w:val="nil"/>
              <w:left w:val="nil"/>
              <w:bottom w:val="nil"/>
              <w:right w:val="nil"/>
            </w:tcBorders>
            <w:shd w:val="clear" w:color="auto" w:fill="auto"/>
            <w:vAlign w:val="bottom"/>
          </w:tcPr>
          <w:p w14:paraId="26ACC7FC"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142.844</w:t>
            </w:r>
          </w:p>
        </w:tc>
      </w:tr>
      <w:tr w:rsidR="00EE3D7C" w:rsidRPr="00EC1653" w14:paraId="3609E8BC" w14:textId="77777777" w:rsidTr="00EE3D7C">
        <w:tc>
          <w:tcPr>
            <w:tcW w:w="1378" w:type="pct"/>
          </w:tcPr>
          <w:p w14:paraId="62E4AC37"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Obveze po kreditima</w:t>
            </w:r>
          </w:p>
        </w:tc>
        <w:tc>
          <w:tcPr>
            <w:tcW w:w="603" w:type="pct"/>
            <w:tcBorders>
              <w:top w:val="nil"/>
              <w:left w:val="nil"/>
              <w:bottom w:val="nil"/>
              <w:right w:val="nil"/>
            </w:tcBorders>
            <w:shd w:val="clear" w:color="auto" w:fill="auto"/>
            <w:vAlign w:val="bottom"/>
          </w:tcPr>
          <w:p w14:paraId="79AFAFC4"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315.434</w:t>
            </w:r>
          </w:p>
        </w:tc>
        <w:tc>
          <w:tcPr>
            <w:tcW w:w="604" w:type="pct"/>
            <w:tcBorders>
              <w:top w:val="nil"/>
              <w:left w:val="nil"/>
              <w:bottom w:val="nil"/>
              <w:right w:val="nil"/>
            </w:tcBorders>
            <w:shd w:val="clear" w:color="auto" w:fill="auto"/>
            <w:vAlign w:val="bottom"/>
          </w:tcPr>
          <w:p w14:paraId="63F6E0B8" w14:textId="77777777" w:rsidR="00EE3D7C" w:rsidRPr="00EC1653" w:rsidRDefault="00EE3D7C" w:rsidP="00EE3D7C">
            <w:pPr>
              <w:spacing w:after="0" w:line="240" w:lineRule="auto"/>
              <w:jc w:val="right"/>
              <w:rPr>
                <w:rFonts w:eastAsia="Arial Unicode MS" w:cs="Arial"/>
                <w:sz w:val="18"/>
                <w:szCs w:val="18"/>
              </w:rPr>
            </w:pPr>
            <w:r w:rsidRPr="00EC1653">
              <w:rPr>
                <w:sz w:val="18"/>
                <w:szCs w:val="18"/>
              </w:rPr>
              <w:t>13.076.315</w:t>
            </w:r>
          </w:p>
        </w:tc>
        <w:tc>
          <w:tcPr>
            <w:tcW w:w="604" w:type="pct"/>
            <w:tcBorders>
              <w:top w:val="nil"/>
              <w:left w:val="nil"/>
              <w:bottom w:val="nil"/>
              <w:right w:val="nil"/>
            </w:tcBorders>
            <w:shd w:val="clear" w:color="auto" w:fill="auto"/>
            <w:vAlign w:val="bottom"/>
          </w:tcPr>
          <w:p w14:paraId="1117F00D" w14:textId="77777777" w:rsidR="00EE3D7C" w:rsidRPr="00EC1653" w:rsidRDefault="00EE3D7C" w:rsidP="00EE3D7C">
            <w:pPr>
              <w:spacing w:after="0" w:line="240" w:lineRule="auto"/>
              <w:jc w:val="right"/>
              <w:rPr>
                <w:rFonts w:eastAsia="Arial Unicode MS" w:cs="Arial"/>
                <w:sz w:val="18"/>
                <w:szCs w:val="18"/>
              </w:rPr>
            </w:pPr>
            <w:r w:rsidRPr="00EC1653">
              <w:rPr>
                <w:sz w:val="18"/>
                <w:szCs w:val="18"/>
              </w:rPr>
              <w:t>-</w:t>
            </w:r>
          </w:p>
        </w:tc>
        <w:tc>
          <w:tcPr>
            <w:tcW w:w="603" w:type="pct"/>
            <w:tcBorders>
              <w:top w:val="nil"/>
              <w:left w:val="nil"/>
              <w:bottom w:val="nil"/>
              <w:right w:val="nil"/>
            </w:tcBorders>
            <w:shd w:val="clear" w:color="auto" w:fill="auto"/>
            <w:vAlign w:val="bottom"/>
          </w:tcPr>
          <w:p w14:paraId="5E60EA34" w14:textId="77777777" w:rsidR="00EE3D7C" w:rsidRPr="00EC1653" w:rsidRDefault="00EE3D7C" w:rsidP="00EE3D7C">
            <w:pPr>
              <w:spacing w:after="0" w:line="240" w:lineRule="auto"/>
              <w:jc w:val="right"/>
              <w:rPr>
                <w:rFonts w:eastAsia="Arial Unicode MS" w:cs="Arial"/>
                <w:sz w:val="18"/>
                <w:szCs w:val="18"/>
              </w:rPr>
            </w:pPr>
            <w:r w:rsidRPr="00EC1653">
              <w:rPr>
                <w:sz w:val="18"/>
                <w:szCs w:val="18"/>
              </w:rPr>
              <w:t>13.391.749</w:t>
            </w:r>
          </w:p>
        </w:tc>
        <w:tc>
          <w:tcPr>
            <w:tcW w:w="604" w:type="pct"/>
            <w:tcBorders>
              <w:top w:val="nil"/>
              <w:left w:val="nil"/>
              <w:bottom w:val="nil"/>
              <w:right w:val="nil"/>
            </w:tcBorders>
            <w:shd w:val="clear" w:color="auto" w:fill="auto"/>
            <w:vAlign w:val="bottom"/>
          </w:tcPr>
          <w:p w14:paraId="4705B1AB" w14:textId="77777777" w:rsidR="00EE3D7C" w:rsidRPr="00EC1653" w:rsidRDefault="00EE3D7C" w:rsidP="00EE3D7C">
            <w:pPr>
              <w:spacing w:after="0" w:line="240" w:lineRule="auto"/>
              <w:jc w:val="right"/>
              <w:rPr>
                <w:rFonts w:eastAsia="Arial Unicode MS" w:cs="Arial"/>
                <w:sz w:val="18"/>
                <w:szCs w:val="18"/>
              </w:rPr>
            </w:pPr>
            <w:r w:rsidRPr="00EC1653">
              <w:rPr>
                <w:sz w:val="18"/>
                <w:szCs w:val="18"/>
              </w:rPr>
              <w:t>-</w:t>
            </w:r>
          </w:p>
        </w:tc>
        <w:tc>
          <w:tcPr>
            <w:tcW w:w="603" w:type="pct"/>
            <w:tcBorders>
              <w:top w:val="nil"/>
              <w:left w:val="nil"/>
              <w:bottom w:val="nil"/>
              <w:right w:val="nil"/>
            </w:tcBorders>
            <w:shd w:val="clear" w:color="auto" w:fill="auto"/>
            <w:vAlign w:val="bottom"/>
          </w:tcPr>
          <w:p w14:paraId="407DD2B9" w14:textId="77777777" w:rsidR="00EE3D7C" w:rsidRPr="00EC1653" w:rsidRDefault="00EE3D7C" w:rsidP="00EE3D7C">
            <w:pPr>
              <w:spacing w:after="0" w:line="240" w:lineRule="auto"/>
              <w:jc w:val="right"/>
              <w:rPr>
                <w:rFonts w:eastAsia="Arial Unicode MS" w:cs="Arial"/>
                <w:sz w:val="18"/>
                <w:szCs w:val="18"/>
              </w:rPr>
            </w:pPr>
            <w:r w:rsidRPr="00EC1653">
              <w:rPr>
                <w:sz w:val="18"/>
                <w:szCs w:val="18"/>
              </w:rPr>
              <w:t>13.391.749</w:t>
            </w:r>
          </w:p>
        </w:tc>
      </w:tr>
      <w:tr w:rsidR="00EE3D7C" w:rsidRPr="00EC1653" w14:paraId="6288F16E" w14:textId="77777777" w:rsidTr="00EE3D7C">
        <w:tc>
          <w:tcPr>
            <w:tcW w:w="1378" w:type="pct"/>
          </w:tcPr>
          <w:p w14:paraId="353252DB"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Obveze za izdane dugoročne vrijednosne papire</w:t>
            </w:r>
          </w:p>
        </w:tc>
        <w:tc>
          <w:tcPr>
            <w:tcW w:w="603" w:type="pct"/>
            <w:tcBorders>
              <w:top w:val="nil"/>
              <w:left w:val="nil"/>
              <w:bottom w:val="nil"/>
              <w:right w:val="nil"/>
            </w:tcBorders>
            <w:shd w:val="clear" w:color="auto" w:fill="auto"/>
            <w:vAlign w:val="bottom"/>
          </w:tcPr>
          <w:p w14:paraId="66A17E3D"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5C74CC77" w14:textId="77777777" w:rsidR="00EE3D7C" w:rsidRPr="00EC1653" w:rsidRDefault="00EE3D7C" w:rsidP="00EE3D7C">
            <w:pPr>
              <w:spacing w:after="0" w:line="240" w:lineRule="auto"/>
              <w:jc w:val="right"/>
              <w:rPr>
                <w:rFonts w:eastAsia="Arial Unicode MS" w:cs="Arial"/>
                <w:sz w:val="18"/>
                <w:szCs w:val="18"/>
              </w:rPr>
            </w:pPr>
            <w:r w:rsidRPr="00EC1653">
              <w:rPr>
                <w:sz w:val="18"/>
                <w:szCs w:val="18"/>
              </w:rPr>
              <w:t>3.105.569</w:t>
            </w:r>
          </w:p>
        </w:tc>
        <w:tc>
          <w:tcPr>
            <w:tcW w:w="604" w:type="pct"/>
            <w:tcBorders>
              <w:top w:val="nil"/>
              <w:left w:val="nil"/>
              <w:bottom w:val="nil"/>
              <w:right w:val="nil"/>
            </w:tcBorders>
            <w:shd w:val="clear" w:color="auto" w:fill="auto"/>
            <w:vAlign w:val="bottom"/>
          </w:tcPr>
          <w:p w14:paraId="07D4D710" w14:textId="77777777" w:rsidR="00EE3D7C" w:rsidRPr="00EC1653" w:rsidRDefault="00EE3D7C" w:rsidP="00EE3D7C">
            <w:pPr>
              <w:spacing w:after="0" w:line="240" w:lineRule="auto"/>
              <w:jc w:val="right"/>
              <w:rPr>
                <w:rFonts w:eastAsia="Arial Unicode MS" w:cs="Arial"/>
                <w:sz w:val="18"/>
                <w:szCs w:val="18"/>
              </w:rPr>
            </w:pPr>
            <w:r w:rsidRPr="00EC1653">
              <w:rPr>
                <w:sz w:val="18"/>
                <w:szCs w:val="18"/>
              </w:rPr>
              <w:t>-</w:t>
            </w:r>
          </w:p>
        </w:tc>
        <w:tc>
          <w:tcPr>
            <w:tcW w:w="603" w:type="pct"/>
            <w:tcBorders>
              <w:top w:val="nil"/>
              <w:left w:val="nil"/>
              <w:bottom w:val="nil"/>
              <w:right w:val="nil"/>
            </w:tcBorders>
            <w:shd w:val="clear" w:color="auto" w:fill="auto"/>
            <w:vAlign w:val="bottom"/>
          </w:tcPr>
          <w:p w14:paraId="0B4B2E86" w14:textId="77777777" w:rsidR="00EE3D7C" w:rsidRPr="00EC1653" w:rsidRDefault="00EE3D7C" w:rsidP="00EE3D7C">
            <w:pPr>
              <w:spacing w:after="0" w:line="240" w:lineRule="auto"/>
              <w:jc w:val="right"/>
              <w:rPr>
                <w:rFonts w:eastAsia="Arial Unicode MS" w:cs="Arial"/>
                <w:sz w:val="18"/>
                <w:szCs w:val="18"/>
              </w:rPr>
            </w:pPr>
            <w:r w:rsidRPr="00EC1653">
              <w:rPr>
                <w:sz w:val="18"/>
                <w:szCs w:val="18"/>
              </w:rPr>
              <w:t>3.105.569</w:t>
            </w:r>
          </w:p>
        </w:tc>
        <w:tc>
          <w:tcPr>
            <w:tcW w:w="604" w:type="pct"/>
            <w:tcBorders>
              <w:top w:val="nil"/>
              <w:left w:val="nil"/>
              <w:bottom w:val="nil"/>
              <w:right w:val="nil"/>
            </w:tcBorders>
            <w:shd w:val="clear" w:color="auto" w:fill="auto"/>
            <w:vAlign w:val="bottom"/>
          </w:tcPr>
          <w:p w14:paraId="5E447683" w14:textId="77777777" w:rsidR="00EE3D7C" w:rsidRPr="00EC1653" w:rsidRDefault="00EE3D7C" w:rsidP="00EE3D7C">
            <w:pPr>
              <w:spacing w:after="0" w:line="240" w:lineRule="auto"/>
              <w:jc w:val="right"/>
              <w:rPr>
                <w:rFonts w:eastAsia="Arial Unicode MS" w:cs="Arial"/>
                <w:sz w:val="18"/>
                <w:szCs w:val="18"/>
              </w:rPr>
            </w:pPr>
            <w:r w:rsidRPr="00EC1653">
              <w:rPr>
                <w:sz w:val="18"/>
                <w:szCs w:val="18"/>
              </w:rPr>
              <w:t>-</w:t>
            </w:r>
          </w:p>
        </w:tc>
        <w:tc>
          <w:tcPr>
            <w:tcW w:w="603" w:type="pct"/>
            <w:tcBorders>
              <w:top w:val="nil"/>
              <w:left w:val="nil"/>
              <w:bottom w:val="nil"/>
              <w:right w:val="nil"/>
            </w:tcBorders>
            <w:shd w:val="clear" w:color="auto" w:fill="auto"/>
            <w:vAlign w:val="bottom"/>
          </w:tcPr>
          <w:p w14:paraId="03836366" w14:textId="77777777" w:rsidR="00EE3D7C" w:rsidRPr="00EC1653" w:rsidRDefault="00EE3D7C" w:rsidP="00EE3D7C">
            <w:pPr>
              <w:spacing w:after="0" w:line="240" w:lineRule="auto"/>
              <w:jc w:val="right"/>
              <w:rPr>
                <w:rFonts w:eastAsia="Arial Unicode MS" w:cs="Arial"/>
                <w:sz w:val="18"/>
                <w:szCs w:val="18"/>
              </w:rPr>
            </w:pPr>
            <w:r w:rsidRPr="00EC1653">
              <w:rPr>
                <w:sz w:val="18"/>
                <w:szCs w:val="18"/>
              </w:rPr>
              <w:t>3.105.569</w:t>
            </w:r>
          </w:p>
        </w:tc>
      </w:tr>
      <w:tr w:rsidR="00EE3D7C" w:rsidRPr="00EC1653" w14:paraId="6F11DAD1" w14:textId="77777777" w:rsidTr="00EE3D7C">
        <w:trPr>
          <w:trHeight w:val="145"/>
        </w:trPr>
        <w:tc>
          <w:tcPr>
            <w:tcW w:w="1378" w:type="pct"/>
            <w:vAlign w:val="center"/>
          </w:tcPr>
          <w:p w14:paraId="3AA2FDB3"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Ostale obveze</w:t>
            </w:r>
          </w:p>
        </w:tc>
        <w:tc>
          <w:tcPr>
            <w:tcW w:w="603" w:type="pct"/>
            <w:tcBorders>
              <w:top w:val="nil"/>
              <w:left w:val="nil"/>
              <w:bottom w:val="nil"/>
              <w:right w:val="nil"/>
            </w:tcBorders>
            <w:shd w:val="clear" w:color="auto" w:fill="auto"/>
            <w:vAlign w:val="bottom"/>
          </w:tcPr>
          <w:p w14:paraId="19EB95B8"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163</w:t>
            </w:r>
          </w:p>
        </w:tc>
        <w:tc>
          <w:tcPr>
            <w:tcW w:w="604" w:type="pct"/>
            <w:tcBorders>
              <w:top w:val="nil"/>
              <w:left w:val="nil"/>
              <w:bottom w:val="nil"/>
              <w:right w:val="nil"/>
            </w:tcBorders>
            <w:shd w:val="clear" w:color="auto" w:fill="auto"/>
            <w:vAlign w:val="bottom"/>
          </w:tcPr>
          <w:p w14:paraId="7DDB7793"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9.664</w:t>
            </w:r>
          </w:p>
        </w:tc>
        <w:tc>
          <w:tcPr>
            <w:tcW w:w="604" w:type="pct"/>
            <w:tcBorders>
              <w:top w:val="nil"/>
              <w:left w:val="nil"/>
              <w:bottom w:val="nil"/>
              <w:right w:val="nil"/>
            </w:tcBorders>
            <w:shd w:val="clear" w:color="auto" w:fill="auto"/>
            <w:vAlign w:val="bottom"/>
          </w:tcPr>
          <w:p w14:paraId="67874A65"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2.885</w:t>
            </w:r>
          </w:p>
        </w:tc>
        <w:tc>
          <w:tcPr>
            <w:tcW w:w="603" w:type="pct"/>
            <w:tcBorders>
              <w:top w:val="nil"/>
              <w:left w:val="nil"/>
              <w:bottom w:val="nil"/>
              <w:right w:val="nil"/>
            </w:tcBorders>
            <w:shd w:val="clear" w:color="auto" w:fill="auto"/>
            <w:vAlign w:val="bottom"/>
          </w:tcPr>
          <w:p w14:paraId="4C3DF89B"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12.712</w:t>
            </w:r>
          </w:p>
        </w:tc>
        <w:tc>
          <w:tcPr>
            <w:tcW w:w="604" w:type="pct"/>
            <w:tcBorders>
              <w:top w:val="nil"/>
              <w:left w:val="nil"/>
              <w:bottom w:val="nil"/>
              <w:right w:val="nil"/>
            </w:tcBorders>
            <w:shd w:val="clear" w:color="auto" w:fill="auto"/>
            <w:vAlign w:val="bottom"/>
          </w:tcPr>
          <w:p w14:paraId="00772C14"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695.240</w:t>
            </w:r>
          </w:p>
        </w:tc>
        <w:tc>
          <w:tcPr>
            <w:tcW w:w="603" w:type="pct"/>
            <w:tcBorders>
              <w:top w:val="nil"/>
              <w:left w:val="nil"/>
              <w:bottom w:val="nil"/>
              <w:right w:val="nil"/>
            </w:tcBorders>
            <w:shd w:val="clear" w:color="auto" w:fill="auto"/>
            <w:vAlign w:val="bottom"/>
          </w:tcPr>
          <w:p w14:paraId="76E29F9A"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707.952</w:t>
            </w:r>
          </w:p>
        </w:tc>
      </w:tr>
      <w:tr w:rsidR="00EE3D7C" w:rsidRPr="00EC1653" w14:paraId="084BE5BC" w14:textId="77777777" w:rsidTr="00EE3D7C">
        <w:tc>
          <w:tcPr>
            <w:tcW w:w="1378" w:type="pct"/>
          </w:tcPr>
          <w:p w14:paraId="1B0483AE" w14:textId="77777777" w:rsidR="00EE3D7C" w:rsidRPr="00EC1653" w:rsidRDefault="00EE3D7C" w:rsidP="00EE3D7C">
            <w:pPr>
              <w:pStyle w:val="TT"/>
              <w:spacing w:line="240" w:lineRule="auto"/>
              <w:rPr>
                <w:rFonts w:asciiTheme="minorHAnsi" w:hAnsiTheme="minorHAnsi" w:cs="Arial"/>
                <w:b/>
                <w:bCs/>
                <w:sz w:val="18"/>
                <w:szCs w:val="18"/>
                <w:lang w:val="hr-HR"/>
              </w:rPr>
            </w:pPr>
            <w:r w:rsidRPr="00EC1653">
              <w:rPr>
                <w:rFonts w:asciiTheme="minorHAnsi" w:hAnsiTheme="minorHAnsi" w:cs="Arial"/>
                <w:b/>
                <w:bCs/>
                <w:sz w:val="18"/>
                <w:szCs w:val="18"/>
                <w:lang w:val="hr-HR"/>
              </w:rPr>
              <w:t>Ukupne obveze</w:t>
            </w:r>
          </w:p>
        </w:tc>
        <w:tc>
          <w:tcPr>
            <w:tcW w:w="603" w:type="pct"/>
            <w:tcBorders>
              <w:top w:val="single" w:sz="4" w:space="0" w:color="auto"/>
              <w:left w:val="nil"/>
              <w:bottom w:val="single" w:sz="8" w:space="0" w:color="auto"/>
              <w:right w:val="nil"/>
            </w:tcBorders>
            <w:shd w:val="clear" w:color="auto" w:fill="auto"/>
            <w:vAlign w:val="bottom"/>
          </w:tcPr>
          <w:p w14:paraId="173C7884"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363.977</w:t>
            </w:r>
          </w:p>
        </w:tc>
        <w:tc>
          <w:tcPr>
            <w:tcW w:w="604" w:type="pct"/>
            <w:tcBorders>
              <w:top w:val="single" w:sz="4" w:space="0" w:color="auto"/>
              <w:left w:val="nil"/>
              <w:bottom w:val="single" w:sz="8" w:space="0" w:color="auto"/>
              <w:right w:val="nil"/>
            </w:tcBorders>
            <w:shd w:val="clear" w:color="auto" w:fill="auto"/>
            <w:vAlign w:val="bottom"/>
          </w:tcPr>
          <w:p w14:paraId="05E80C51"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16.234.326</w:t>
            </w:r>
          </w:p>
        </w:tc>
        <w:tc>
          <w:tcPr>
            <w:tcW w:w="604" w:type="pct"/>
            <w:tcBorders>
              <w:top w:val="single" w:sz="4" w:space="0" w:color="auto"/>
              <w:left w:val="nil"/>
              <w:bottom w:val="single" w:sz="8" w:space="0" w:color="auto"/>
              <w:right w:val="nil"/>
            </w:tcBorders>
            <w:shd w:val="clear" w:color="auto" w:fill="auto"/>
            <w:vAlign w:val="bottom"/>
          </w:tcPr>
          <w:p w14:paraId="322D20EB"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6.344</w:t>
            </w:r>
          </w:p>
        </w:tc>
        <w:tc>
          <w:tcPr>
            <w:tcW w:w="603" w:type="pct"/>
            <w:tcBorders>
              <w:top w:val="single" w:sz="4" w:space="0" w:color="auto"/>
              <w:left w:val="nil"/>
              <w:bottom w:val="single" w:sz="8" w:space="0" w:color="auto"/>
              <w:right w:val="nil"/>
            </w:tcBorders>
            <w:shd w:val="clear" w:color="auto" w:fill="auto"/>
            <w:vAlign w:val="bottom"/>
          </w:tcPr>
          <w:p w14:paraId="0854B8A2"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16.604.647</w:t>
            </w:r>
          </w:p>
        </w:tc>
        <w:tc>
          <w:tcPr>
            <w:tcW w:w="604" w:type="pct"/>
            <w:tcBorders>
              <w:top w:val="single" w:sz="4" w:space="0" w:color="auto"/>
              <w:left w:val="nil"/>
              <w:bottom w:val="single" w:sz="8" w:space="0" w:color="auto"/>
              <w:right w:val="nil"/>
            </w:tcBorders>
            <w:shd w:val="clear" w:color="auto" w:fill="auto"/>
            <w:vAlign w:val="bottom"/>
          </w:tcPr>
          <w:p w14:paraId="353BC97D"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743.467</w:t>
            </w:r>
          </w:p>
        </w:tc>
        <w:tc>
          <w:tcPr>
            <w:tcW w:w="603" w:type="pct"/>
            <w:tcBorders>
              <w:top w:val="single" w:sz="4" w:space="0" w:color="auto"/>
              <w:left w:val="nil"/>
              <w:bottom w:val="single" w:sz="8" w:space="0" w:color="auto"/>
              <w:right w:val="nil"/>
            </w:tcBorders>
            <w:shd w:val="clear" w:color="auto" w:fill="auto"/>
            <w:vAlign w:val="bottom"/>
          </w:tcPr>
          <w:p w14:paraId="51AD8172"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17.348.114</w:t>
            </w:r>
          </w:p>
        </w:tc>
      </w:tr>
      <w:tr w:rsidR="00EE3D7C" w:rsidRPr="00EC1653" w14:paraId="4899FECF" w14:textId="77777777" w:rsidTr="00EE3D7C">
        <w:trPr>
          <w:trHeight w:hRule="exact" w:val="113"/>
        </w:trPr>
        <w:tc>
          <w:tcPr>
            <w:tcW w:w="1378" w:type="pct"/>
          </w:tcPr>
          <w:p w14:paraId="62B8FF50" w14:textId="77777777" w:rsidR="00EE3D7C" w:rsidRPr="00EC1653" w:rsidRDefault="00EE3D7C" w:rsidP="00EE3D7C">
            <w:pPr>
              <w:pStyle w:val="Thin"/>
              <w:spacing w:line="240" w:lineRule="auto"/>
              <w:rPr>
                <w:rFonts w:asciiTheme="minorHAnsi" w:hAnsiTheme="minorHAnsi" w:cs="Arial"/>
                <w:sz w:val="18"/>
                <w:szCs w:val="18"/>
                <w:lang w:val="hr-HR"/>
              </w:rPr>
            </w:pPr>
          </w:p>
        </w:tc>
        <w:tc>
          <w:tcPr>
            <w:tcW w:w="603" w:type="pct"/>
            <w:tcBorders>
              <w:top w:val="single" w:sz="12" w:space="0" w:color="auto"/>
            </w:tcBorders>
            <w:vAlign w:val="bottom"/>
          </w:tcPr>
          <w:p w14:paraId="6E278BBB" w14:textId="77777777" w:rsidR="00EE3D7C" w:rsidRPr="00EC1653" w:rsidRDefault="00EE3D7C" w:rsidP="00EE3D7C">
            <w:pPr>
              <w:pStyle w:val="Thin"/>
              <w:spacing w:line="240" w:lineRule="auto"/>
              <w:jc w:val="right"/>
              <w:rPr>
                <w:rFonts w:asciiTheme="minorHAnsi" w:hAnsiTheme="minorHAnsi" w:cs="Arial"/>
                <w:spacing w:val="-2"/>
                <w:sz w:val="18"/>
                <w:szCs w:val="18"/>
                <w:lang w:val="hr-HR"/>
              </w:rPr>
            </w:pPr>
          </w:p>
        </w:tc>
        <w:tc>
          <w:tcPr>
            <w:tcW w:w="604" w:type="pct"/>
            <w:tcBorders>
              <w:top w:val="single" w:sz="12" w:space="0" w:color="auto"/>
            </w:tcBorders>
            <w:vAlign w:val="bottom"/>
          </w:tcPr>
          <w:p w14:paraId="7E2885CF" w14:textId="77777777" w:rsidR="00EE3D7C" w:rsidRPr="00EC1653" w:rsidRDefault="00EE3D7C" w:rsidP="00EE3D7C">
            <w:pPr>
              <w:pStyle w:val="Thin"/>
              <w:spacing w:line="240" w:lineRule="auto"/>
              <w:jc w:val="right"/>
              <w:rPr>
                <w:rFonts w:asciiTheme="minorHAnsi" w:hAnsiTheme="minorHAnsi" w:cs="Arial"/>
                <w:spacing w:val="-2"/>
                <w:sz w:val="18"/>
                <w:szCs w:val="18"/>
                <w:lang w:val="hr-HR"/>
              </w:rPr>
            </w:pPr>
          </w:p>
        </w:tc>
        <w:tc>
          <w:tcPr>
            <w:tcW w:w="604" w:type="pct"/>
            <w:tcBorders>
              <w:top w:val="single" w:sz="12" w:space="0" w:color="auto"/>
            </w:tcBorders>
            <w:vAlign w:val="bottom"/>
          </w:tcPr>
          <w:p w14:paraId="73A24038" w14:textId="77777777" w:rsidR="00EE3D7C" w:rsidRPr="00EC1653" w:rsidRDefault="00EE3D7C" w:rsidP="00EE3D7C">
            <w:pPr>
              <w:pStyle w:val="Thin"/>
              <w:spacing w:line="240" w:lineRule="auto"/>
              <w:jc w:val="right"/>
              <w:rPr>
                <w:rFonts w:asciiTheme="minorHAnsi" w:hAnsiTheme="minorHAnsi" w:cs="Arial"/>
                <w:spacing w:val="-2"/>
                <w:sz w:val="18"/>
                <w:szCs w:val="18"/>
                <w:lang w:val="hr-HR"/>
              </w:rPr>
            </w:pPr>
          </w:p>
        </w:tc>
        <w:tc>
          <w:tcPr>
            <w:tcW w:w="603" w:type="pct"/>
            <w:tcBorders>
              <w:top w:val="single" w:sz="12" w:space="0" w:color="auto"/>
            </w:tcBorders>
            <w:vAlign w:val="bottom"/>
          </w:tcPr>
          <w:p w14:paraId="3286A572" w14:textId="77777777" w:rsidR="00EE3D7C" w:rsidRPr="00EC1653" w:rsidRDefault="00EE3D7C" w:rsidP="00EE3D7C">
            <w:pPr>
              <w:pStyle w:val="Thin"/>
              <w:spacing w:line="240" w:lineRule="auto"/>
              <w:jc w:val="right"/>
              <w:rPr>
                <w:rFonts w:asciiTheme="minorHAnsi" w:hAnsiTheme="minorHAnsi" w:cs="Arial"/>
                <w:spacing w:val="-2"/>
                <w:sz w:val="18"/>
                <w:szCs w:val="18"/>
                <w:lang w:val="hr-HR"/>
              </w:rPr>
            </w:pPr>
          </w:p>
        </w:tc>
        <w:tc>
          <w:tcPr>
            <w:tcW w:w="604" w:type="pct"/>
            <w:tcBorders>
              <w:top w:val="single" w:sz="12" w:space="0" w:color="auto"/>
            </w:tcBorders>
            <w:vAlign w:val="bottom"/>
          </w:tcPr>
          <w:p w14:paraId="7285DF0D" w14:textId="77777777" w:rsidR="00EE3D7C" w:rsidRPr="00EC1653" w:rsidRDefault="00EE3D7C" w:rsidP="00EE3D7C">
            <w:pPr>
              <w:pStyle w:val="Thin"/>
              <w:spacing w:line="240" w:lineRule="auto"/>
              <w:jc w:val="right"/>
              <w:rPr>
                <w:rFonts w:asciiTheme="minorHAnsi" w:hAnsiTheme="minorHAnsi" w:cs="Arial"/>
                <w:spacing w:val="-2"/>
                <w:sz w:val="18"/>
                <w:szCs w:val="18"/>
                <w:lang w:val="hr-HR"/>
              </w:rPr>
            </w:pPr>
          </w:p>
        </w:tc>
        <w:tc>
          <w:tcPr>
            <w:tcW w:w="603" w:type="pct"/>
            <w:tcBorders>
              <w:top w:val="single" w:sz="12" w:space="0" w:color="auto"/>
            </w:tcBorders>
            <w:vAlign w:val="bottom"/>
          </w:tcPr>
          <w:p w14:paraId="14CAF15B" w14:textId="77777777" w:rsidR="00EE3D7C" w:rsidRPr="00EC1653" w:rsidRDefault="00EE3D7C" w:rsidP="00EE3D7C">
            <w:pPr>
              <w:pStyle w:val="Thin"/>
              <w:spacing w:line="240" w:lineRule="auto"/>
              <w:jc w:val="right"/>
              <w:rPr>
                <w:rFonts w:asciiTheme="minorHAnsi" w:hAnsiTheme="minorHAnsi" w:cs="Arial"/>
                <w:spacing w:val="-2"/>
                <w:sz w:val="18"/>
                <w:szCs w:val="18"/>
                <w:lang w:val="hr-HR"/>
              </w:rPr>
            </w:pPr>
          </w:p>
        </w:tc>
      </w:tr>
      <w:tr w:rsidR="00EE3D7C" w:rsidRPr="00EC1653" w14:paraId="448913DD" w14:textId="77777777" w:rsidTr="00EE3D7C">
        <w:tc>
          <w:tcPr>
            <w:tcW w:w="1378" w:type="pct"/>
          </w:tcPr>
          <w:p w14:paraId="56D1215E" w14:textId="77777777" w:rsidR="00EE3D7C" w:rsidRPr="00EC1653" w:rsidRDefault="00EE3D7C" w:rsidP="00EE3D7C">
            <w:pPr>
              <w:pStyle w:val="TT"/>
              <w:spacing w:line="240" w:lineRule="auto"/>
              <w:rPr>
                <w:rFonts w:asciiTheme="minorHAnsi" w:hAnsiTheme="minorHAnsi" w:cs="Arial"/>
                <w:b/>
                <w:bCs/>
                <w:sz w:val="18"/>
                <w:szCs w:val="18"/>
                <w:lang w:val="hr-HR"/>
              </w:rPr>
            </w:pPr>
            <w:r w:rsidRPr="00EC1653">
              <w:rPr>
                <w:rFonts w:asciiTheme="minorHAnsi" w:hAnsiTheme="minorHAnsi" w:cs="Arial"/>
                <w:b/>
                <w:bCs/>
                <w:sz w:val="18"/>
                <w:szCs w:val="18"/>
                <w:lang w:val="hr-HR"/>
              </w:rPr>
              <w:t>Kapital</w:t>
            </w:r>
          </w:p>
        </w:tc>
        <w:tc>
          <w:tcPr>
            <w:tcW w:w="603" w:type="pct"/>
            <w:vAlign w:val="bottom"/>
          </w:tcPr>
          <w:p w14:paraId="2FF9E8A5" w14:textId="77777777" w:rsidR="00EE3D7C" w:rsidRPr="00EC1653" w:rsidRDefault="00EE3D7C" w:rsidP="00EE3D7C">
            <w:pPr>
              <w:pStyle w:val="TT"/>
              <w:tabs>
                <w:tab w:val="clear" w:pos="1202"/>
              </w:tabs>
              <w:spacing w:line="240" w:lineRule="auto"/>
              <w:jc w:val="right"/>
              <w:rPr>
                <w:rFonts w:asciiTheme="minorHAnsi" w:hAnsiTheme="minorHAnsi" w:cs="Arial"/>
                <w:sz w:val="18"/>
                <w:szCs w:val="18"/>
                <w:lang w:val="hr-HR"/>
              </w:rPr>
            </w:pPr>
          </w:p>
        </w:tc>
        <w:tc>
          <w:tcPr>
            <w:tcW w:w="604" w:type="pct"/>
            <w:vAlign w:val="bottom"/>
          </w:tcPr>
          <w:p w14:paraId="215EBF16" w14:textId="77777777" w:rsidR="00EE3D7C" w:rsidRPr="00EC1653" w:rsidRDefault="00EE3D7C" w:rsidP="00EE3D7C">
            <w:pPr>
              <w:pStyle w:val="TT"/>
              <w:tabs>
                <w:tab w:val="clear" w:pos="1202"/>
              </w:tabs>
              <w:spacing w:line="240" w:lineRule="auto"/>
              <w:jc w:val="right"/>
              <w:rPr>
                <w:rFonts w:asciiTheme="minorHAnsi" w:hAnsiTheme="minorHAnsi" w:cs="Arial"/>
                <w:sz w:val="18"/>
                <w:szCs w:val="18"/>
                <w:lang w:val="hr-HR"/>
              </w:rPr>
            </w:pPr>
          </w:p>
        </w:tc>
        <w:tc>
          <w:tcPr>
            <w:tcW w:w="604" w:type="pct"/>
            <w:vAlign w:val="bottom"/>
          </w:tcPr>
          <w:p w14:paraId="4AD56ADC" w14:textId="77777777" w:rsidR="00EE3D7C" w:rsidRPr="00EC1653" w:rsidRDefault="00EE3D7C" w:rsidP="00EE3D7C">
            <w:pPr>
              <w:pStyle w:val="TT"/>
              <w:tabs>
                <w:tab w:val="clear" w:pos="1202"/>
              </w:tabs>
              <w:spacing w:line="240" w:lineRule="auto"/>
              <w:jc w:val="right"/>
              <w:rPr>
                <w:rFonts w:asciiTheme="minorHAnsi" w:hAnsiTheme="minorHAnsi" w:cs="Arial"/>
                <w:sz w:val="18"/>
                <w:szCs w:val="18"/>
                <w:lang w:val="hr-HR"/>
              </w:rPr>
            </w:pPr>
          </w:p>
        </w:tc>
        <w:tc>
          <w:tcPr>
            <w:tcW w:w="603" w:type="pct"/>
            <w:vAlign w:val="bottom"/>
          </w:tcPr>
          <w:p w14:paraId="787158C7" w14:textId="77777777" w:rsidR="00EE3D7C" w:rsidRPr="00EC1653" w:rsidRDefault="00EE3D7C" w:rsidP="00EE3D7C">
            <w:pPr>
              <w:pStyle w:val="TT"/>
              <w:tabs>
                <w:tab w:val="clear" w:pos="1202"/>
              </w:tabs>
              <w:spacing w:line="240" w:lineRule="auto"/>
              <w:jc w:val="right"/>
              <w:rPr>
                <w:rFonts w:asciiTheme="minorHAnsi" w:hAnsiTheme="minorHAnsi" w:cs="Arial"/>
                <w:sz w:val="18"/>
                <w:szCs w:val="18"/>
                <w:lang w:val="hr-HR"/>
              </w:rPr>
            </w:pPr>
          </w:p>
        </w:tc>
        <w:tc>
          <w:tcPr>
            <w:tcW w:w="604" w:type="pct"/>
            <w:vAlign w:val="bottom"/>
          </w:tcPr>
          <w:p w14:paraId="2F67C8D9" w14:textId="77777777" w:rsidR="00EE3D7C" w:rsidRPr="00EC1653" w:rsidRDefault="00EE3D7C" w:rsidP="00EE3D7C">
            <w:pPr>
              <w:pStyle w:val="TT"/>
              <w:tabs>
                <w:tab w:val="clear" w:pos="1202"/>
              </w:tabs>
              <w:spacing w:line="240" w:lineRule="auto"/>
              <w:jc w:val="right"/>
              <w:rPr>
                <w:rFonts w:asciiTheme="minorHAnsi" w:hAnsiTheme="minorHAnsi" w:cs="Arial"/>
                <w:sz w:val="18"/>
                <w:szCs w:val="18"/>
                <w:lang w:val="hr-HR"/>
              </w:rPr>
            </w:pPr>
          </w:p>
        </w:tc>
        <w:tc>
          <w:tcPr>
            <w:tcW w:w="603" w:type="pct"/>
            <w:vAlign w:val="bottom"/>
          </w:tcPr>
          <w:p w14:paraId="3B90FEBB" w14:textId="77777777" w:rsidR="00EE3D7C" w:rsidRPr="00EC1653" w:rsidRDefault="00EE3D7C" w:rsidP="00EE3D7C">
            <w:pPr>
              <w:pStyle w:val="TT"/>
              <w:tabs>
                <w:tab w:val="clear" w:pos="1202"/>
              </w:tabs>
              <w:spacing w:line="240" w:lineRule="auto"/>
              <w:jc w:val="right"/>
              <w:rPr>
                <w:rFonts w:asciiTheme="minorHAnsi" w:hAnsiTheme="minorHAnsi" w:cs="Arial"/>
                <w:sz w:val="18"/>
                <w:szCs w:val="18"/>
                <w:lang w:val="hr-HR"/>
              </w:rPr>
            </w:pPr>
          </w:p>
        </w:tc>
      </w:tr>
      <w:tr w:rsidR="00EE3D7C" w:rsidRPr="00EC1653" w14:paraId="23E6E3A3" w14:textId="77777777" w:rsidTr="00EE3D7C">
        <w:tc>
          <w:tcPr>
            <w:tcW w:w="1378" w:type="pct"/>
          </w:tcPr>
          <w:p w14:paraId="59CBED82"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Osnivački kapital</w:t>
            </w:r>
          </w:p>
        </w:tc>
        <w:tc>
          <w:tcPr>
            <w:tcW w:w="603" w:type="pct"/>
            <w:tcBorders>
              <w:top w:val="nil"/>
              <w:left w:val="nil"/>
              <w:bottom w:val="nil"/>
              <w:right w:val="nil"/>
            </w:tcBorders>
            <w:shd w:val="clear" w:color="auto" w:fill="auto"/>
            <w:vAlign w:val="bottom"/>
          </w:tcPr>
          <w:p w14:paraId="7F638776" w14:textId="77777777" w:rsidR="00EE3D7C" w:rsidRPr="00EC1653" w:rsidRDefault="00EE3D7C" w:rsidP="00EE3D7C">
            <w:pPr>
              <w:pStyle w:val="TT"/>
              <w:spacing w:line="240" w:lineRule="auto"/>
              <w:jc w:val="right"/>
              <w:rPr>
                <w:rFonts w:asciiTheme="minorHAnsi" w:hAnsiTheme="minorHAnsi" w:cs="Arial"/>
                <w:spacing w:val="-2"/>
                <w:sz w:val="18"/>
                <w:szCs w:val="18"/>
                <w:lang w:val="hr-HR"/>
              </w:rPr>
            </w:pPr>
            <w:r w:rsidRPr="00EC1653">
              <w:rPr>
                <w:rFonts w:asciiTheme="minorHAnsi" w:hAnsiTheme="minorHAnsi"/>
                <w:color w:val="000000"/>
                <w:sz w:val="18"/>
                <w:szCs w:val="18"/>
              </w:rPr>
              <w:t>-</w:t>
            </w:r>
          </w:p>
        </w:tc>
        <w:tc>
          <w:tcPr>
            <w:tcW w:w="604" w:type="pct"/>
            <w:tcBorders>
              <w:top w:val="nil"/>
              <w:left w:val="nil"/>
              <w:bottom w:val="nil"/>
              <w:right w:val="nil"/>
            </w:tcBorders>
            <w:shd w:val="clear" w:color="auto" w:fill="auto"/>
            <w:vAlign w:val="bottom"/>
          </w:tcPr>
          <w:p w14:paraId="2850C802" w14:textId="77777777" w:rsidR="00EE3D7C" w:rsidRPr="00EC1653" w:rsidRDefault="00EE3D7C" w:rsidP="00EE3D7C">
            <w:pPr>
              <w:pStyle w:val="TT"/>
              <w:spacing w:line="240" w:lineRule="auto"/>
              <w:jc w:val="right"/>
              <w:rPr>
                <w:rFonts w:asciiTheme="minorHAnsi" w:hAnsiTheme="minorHAnsi" w:cs="Arial"/>
                <w:spacing w:val="-2"/>
                <w:sz w:val="18"/>
                <w:szCs w:val="18"/>
                <w:lang w:val="hr-HR"/>
              </w:rPr>
            </w:pPr>
            <w:r w:rsidRPr="00EC1653">
              <w:rPr>
                <w:rFonts w:asciiTheme="minorHAnsi" w:hAnsiTheme="minorHAnsi"/>
                <w:color w:val="000000"/>
                <w:sz w:val="18"/>
                <w:szCs w:val="18"/>
              </w:rPr>
              <w:t>-</w:t>
            </w:r>
          </w:p>
        </w:tc>
        <w:tc>
          <w:tcPr>
            <w:tcW w:w="604" w:type="pct"/>
            <w:tcBorders>
              <w:top w:val="nil"/>
              <w:left w:val="nil"/>
              <w:bottom w:val="nil"/>
              <w:right w:val="nil"/>
            </w:tcBorders>
            <w:shd w:val="clear" w:color="auto" w:fill="auto"/>
            <w:vAlign w:val="bottom"/>
          </w:tcPr>
          <w:p w14:paraId="3E15BE3B" w14:textId="77777777" w:rsidR="00EE3D7C" w:rsidRPr="00EC1653" w:rsidRDefault="00EE3D7C" w:rsidP="00EE3D7C">
            <w:pPr>
              <w:pStyle w:val="TT"/>
              <w:spacing w:line="240" w:lineRule="auto"/>
              <w:jc w:val="right"/>
              <w:rPr>
                <w:rFonts w:asciiTheme="minorHAnsi" w:hAnsiTheme="minorHAnsi" w:cs="Arial"/>
                <w:spacing w:val="-2"/>
                <w:sz w:val="18"/>
                <w:szCs w:val="18"/>
                <w:lang w:val="hr-HR"/>
              </w:rPr>
            </w:pPr>
            <w:r w:rsidRPr="00EC1653">
              <w:rPr>
                <w:rFonts w:asciiTheme="minorHAnsi" w:hAnsiTheme="minorHAnsi"/>
                <w:color w:val="000000"/>
                <w:sz w:val="18"/>
                <w:szCs w:val="18"/>
              </w:rPr>
              <w:t>-</w:t>
            </w:r>
          </w:p>
        </w:tc>
        <w:tc>
          <w:tcPr>
            <w:tcW w:w="603" w:type="pct"/>
            <w:tcBorders>
              <w:top w:val="nil"/>
              <w:left w:val="nil"/>
              <w:bottom w:val="nil"/>
              <w:right w:val="nil"/>
            </w:tcBorders>
            <w:shd w:val="clear" w:color="auto" w:fill="auto"/>
            <w:vAlign w:val="bottom"/>
          </w:tcPr>
          <w:p w14:paraId="632FBE8A" w14:textId="77777777" w:rsidR="00EE3D7C" w:rsidRPr="00EC1653" w:rsidRDefault="00EE3D7C" w:rsidP="00EE3D7C">
            <w:pPr>
              <w:pStyle w:val="TT"/>
              <w:spacing w:line="240" w:lineRule="auto"/>
              <w:jc w:val="right"/>
              <w:rPr>
                <w:rFonts w:asciiTheme="minorHAnsi" w:hAnsiTheme="minorHAnsi" w:cs="Arial"/>
                <w:spacing w:val="-2"/>
                <w:sz w:val="18"/>
                <w:szCs w:val="18"/>
                <w:lang w:val="hr-HR"/>
              </w:rPr>
            </w:pPr>
            <w:r w:rsidRPr="00EC1653">
              <w:rPr>
                <w:rFonts w:asciiTheme="minorHAnsi" w:hAnsiTheme="minorHAnsi"/>
                <w:color w:val="000000"/>
                <w:sz w:val="18"/>
                <w:szCs w:val="18"/>
              </w:rPr>
              <w:t>-</w:t>
            </w:r>
          </w:p>
        </w:tc>
        <w:tc>
          <w:tcPr>
            <w:tcW w:w="604" w:type="pct"/>
            <w:tcBorders>
              <w:top w:val="nil"/>
              <w:left w:val="nil"/>
              <w:bottom w:val="nil"/>
              <w:right w:val="nil"/>
            </w:tcBorders>
            <w:shd w:val="clear" w:color="auto" w:fill="auto"/>
            <w:vAlign w:val="bottom"/>
          </w:tcPr>
          <w:p w14:paraId="39AD9D8F" w14:textId="77777777" w:rsidR="00EE3D7C" w:rsidRPr="00EC1653" w:rsidRDefault="00EE3D7C" w:rsidP="00EE3D7C">
            <w:pPr>
              <w:pStyle w:val="TT"/>
              <w:spacing w:line="240" w:lineRule="auto"/>
              <w:jc w:val="right"/>
              <w:rPr>
                <w:rFonts w:asciiTheme="minorHAnsi" w:hAnsiTheme="minorHAnsi" w:cs="Arial"/>
                <w:spacing w:val="-2"/>
                <w:sz w:val="18"/>
                <w:szCs w:val="18"/>
                <w:lang w:val="hr-HR"/>
              </w:rPr>
            </w:pPr>
            <w:r w:rsidRPr="00EC1653">
              <w:rPr>
                <w:rFonts w:asciiTheme="minorHAnsi" w:hAnsiTheme="minorHAnsi"/>
                <w:color w:val="000000"/>
                <w:sz w:val="18"/>
                <w:szCs w:val="18"/>
              </w:rPr>
              <w:t>6.959.632</w:t>
            </w:r>
          </w:p>
        </w:tc>
        <w:tc>
          <w:tcPr>
            <w:tcW w:w="603" w:type="pct"/>
            <w:tcBorders>
              <w:top w:val="nil"/>
              <w:left w:val="nil"/>
              <w:bottom w:val="nil"/>
              <w:right w:val="nil"/>
            </w:tcBorders>
            <w:shd w:val="clear" w:color="auto" w:fill="auto"/>
            <w:vAlign w:val="bottom"/>
          </w:tcPr>
          <w:p w14:paraId="5482403A" w14:textId="77777777" w:rsidR="00EE3D7C" w:rsidRPr="00EC1653" w:rsidRDefault="00EE3D7C" w:rsidP="00EE3D7C">
            <w:pPr>
              <w:pStyle w:val="TT"/>
              <w:spacing w:line="240" w:lineRule="auto"/>
              <w:jc w:val="right"/>
              <w:rPr>
                <w:rFonts w:asciiTheme="minorHAnsi" w:hAnsiTheme="minorHAnsi" w:cs="Arial"/>
                <w:spacing w:val="-2"/>
                <w:sz w:val="18"/>
                <w:szCs w:val="18"/>
                <w:lang w:val="hr-HR"/>
              </w:rPr>
            </w:pPr>
            <w:r w:rsidRPr="00EC1653">
              <w:rPr>
                <w:rFonts w:asciiTheme="minorHAnsi" w:hAnsiTheme="minorHAnsi"/>
                <w:color w:val="000000"/>
                <w:sz w:val="18"/>
                <w:szCs w:val="18"/>
              </w:rPr>
              <w:t>6.959.632</w:t>
            </w:r>
          </w:p>
        </w:tc>
      </w:tr>
      <w:tr w:rsidR="00EE3D7C" w:rsidRPr="00EC1653" w14:paraId="2A532B4A" w14:textId="77777777" w:rsidTr="00EE3D7C">
        <w:tc>
          <w:tcPr>
            <w:tcW w:w="1378" w:type="pct"/>
          </w:tcPr>
          <w:p w14:paraId="6BB7B3A3"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Zadržana dobit i rezerve</w:t>
            </w:r>
          </w:p>
        </w:tc>
        <w:tc>
          <w:tcPr>
            <w:tcW w:w="603" w:type="pct"/>
            <w:tcBorders>
              <w:top w:val="nil"/>
              <w:left w:val="nil"/>
              <w:bottom w:val="nil"/>
              <w:right w:val="nil"/>
            </w:tcBorders>
            <w:shd w:val="clear" w:color="auto" w:fill="auto"/>
            <w:vAlign w:val="bottom"/>
          </w:tcPr>
          <w:p w14:paraId="017362BD"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429F9D24"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005C3591"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6C7F9F30"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770AF862"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2.682.127</w:t>
            </w:r>
          </w:p>
        </w:tc>
        <w:tc>
          <w:tcPr>
            <w:tcW w:w="603" w:type="pct"/>
            <w:tcBorders>
              <w:top w:val="nil"/>
              <w:left w:val="nil"/>
              <w:bottom w:val="nil"/>
              <w:right w:val="nil"/>
            </w:tcBorders>
            <w:shd w:val="clear" w:color="auto" w:fill="auto"/>
            <w:vAlign w:val="bottom"/>
          </w:tcPr>
          <w:p w14:paraId="7AE7D13E"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2.682.127</w:t>
            </w:r>
          </w:p>
        </w:tc>
      </w:tr>
      <w:tr w:rsidR="00EE3D7C" w:rsidRPr="00EC1653" w14:paraId="27E26AE3" w14:textId="77777777" w:rsidTr="00EE3D7C">
        <w:tc>
          <w:tcPr>
            <w:tcW w:w="1378" w:type="pct"/>
          </w:tcPr>
          <w:p w14:paraId="53B081C9"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Ostale rezerve</w:t>
            </w:r>
          </w:p>
        </w:tc>
        <w:tc>
          <w:tcPr>
            <w:tcW w:w="603" w:type="pct"/>
            <w:tcBorders>
              <w:top w:val="nil"/>
              <w:left w:val="nil"/>
              <w:bottom w:val="nil"/>
              <w:right w:val="nil"/>
            </w:tcBorders>
            <w:shd w:val="clear" w:color="auto" w:fill="auto"/>
            <w:vAlign w:val="bottom"/>
          </w:tcPr>
          <w:p w14:paraId="356FD5EF"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1E6F0A77"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24F14C80"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58109919"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0FCE42AE"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73.733</w:t>
            </w:r>
          </w:p>
        </w:tc>
        <w:tc>
          <w:tcPr>
            <w:tcW w:w="603" w:type="pct"/>
            <w:tcBorders>
              <w:top w:val="nil"/>
              <w:left w:val="nil"/>
              <w:bottom w:val="nil"/>
              <w:right w:val="nil"/>
            </w:tcBorders>
            <w:shd w:val="clear" w:color="auto" w:fill="auto"/>
            <w:vAlign w:val="bottom"/>
          </w:tcPr>
          <w:p w14:paraId="76E0C494"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73.733</w:t>
            </w:r>
          </w:p>
        </w:tc>
      </w:tr>
      <w:tr w:rsidR="00EE3D7C" w:rsidRPr="00EC1653" w14:paraId="0D3AA48E" w14:textId="77777777" w:rsidTr="00EE3D7C">
        <w:tc>
          <w:tcPr>
            <w:tcW w:w="1378" w:type="pct"/>
          </w:tcPr>
          <w:p w14:paraId="342B4987" w14:textId="77777777" w:rsidR="00EE3D7C" w:rsidRPr="00EC1653" w:rsidRDefault="00EE3D7C" w:rsidP="00EE3D7C">
            <w:pPr>
              <w:pStyle w:val="TT"/>
              <w:spacing w:line="240" w:lineRule="auto"/>
              <w:rPr>
                <w:rFonts w:asciiTheme="minorHAnsi" w:hAnsiTheme="minorHAnsi" w:cs="Arial"/>
                <w:sz w:val="18"/>
                <w:szCs w:val="18"/>
                <w:lang w:val="hr-HR"/>
              </w:rPr>
            </w:pPr>
            <w:r w:rsidRPr="00EC1653">
              <w:rPr>
                <w:rFonts w:asciiTheme="minorHAnsi" w:hAnsiTheme="minorHAnsi" w:cs="Arial"/>
                <w:sz w:val="18"/>
                <w:szCs w:val="18"/>
                <w:lang w:val="hr-HR"/>
              </w:rPr>
              <w:t>Dobit tekuće godine</w:t>
            </w:r>
          </w:p>
        </w:tc>
        <w:tc>
          <w:tcPr>
            <w:tcW w:w="603" w:type="pct"/>
            <w:tcBorders>
              <w:top w:val="nil"/>
              <w:left w:val="nil"/>
              <w:bottom w:val="nil"/>
              <w:right w:val="nil"/>
            </w:tcBorders>
            <w:shd w:val="clear" w:color="auto" w:fill="auto"/>
            <w:vAlign w:val="bottom"/>
          </w:tcPr>
          <w:p w14:paraId="7BB08952"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3E91015B"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5BEDCF8E"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4D407013"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w:t>
            </w:r>
          </w:p>
        </w:tc>
        <w:tc>
          <w:tcPr>
            <w:tcW w:w="604" w:type="pct"/>
            <w:tcBorders>
              <w:top w:val="nil"/>
              <w:left w:val="nil"/>
              <w:bottom w:val="nil"/>
              <w:right w:val="nil"/>
            </w:tcBorders>
            <w:shd w:val="clear" w:color="auto" w:fill="auto"/>
            <w:vAlign w:val="bottom"/>
          </w:tcPr>
          <w:p w14:paraId="3C185B8C"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314.841</w:t>
            </w:r>
          </w:p>
        </w:tc>
        <w:tc>
          <w:tcPr>
            <w:tcW w:w="603" w:type="pct"/>
            <w:tcBorders>
              <w:top w:val="nil"/>
              <w:left w:val="nil"/>
              <w:bottom w:val="nil"/>
              <w:right w:val="nil"/>
            </w:tcBorders>
            <w:shd w:val="clear" w:color="auto" w:fill="auto"/>
            <w:vAlign w:val="bottom"/>
          </w:tcPr>
          <w:p w14:paraId="0D7CF11D" w14:textId="77777777" w:rsidR="00EE3D7C" w:rsidRPr="00EC1653" w:rsidRDefault="00EE3D7C" w:rsidP="00EE3D7C">
            <w:pPr>
              <w:spacing w:after="0" w:line="240" w:lineRule="auto"/>
              <w:jc w:val="right"/>
              <w:rPr>
                <w:rFonts w:eastAsia="Arial Unicode MS" w:cs="Arial"/>
                <w:sz w:val="18"/>
                <w:szCs w:val="18"/>
              </w:rPr>
            </w:pPr>
            <w:r w:rsidRPr="00EC1653">
              <w:rPr>
                <w:color w:val="000000"/>
                <w:sz w:val="18"/>
                <w:szCs w:val="18"/>
              </w:rPr>
              <w:t>314.841</w:t>
            </w:r>
          </w:p>
        </w:tc>
      </w:tr>
      <w:tr w:rsidR="00EE3D7C" w:rsidRPr="00EC1653" w14:paraId="67EFA41F" w14:textId="77777777" w:rsidTr="00EE3D7C">
        <w:tc>
          <w:tcPr>
            <w:tcW w:w="1378" w:type="pct"/>
          </w:tcPr>
          <w:p w14:paraId="1DC785D9" w14:textId="77777777" w:rsidR="00EE3D7C" w:rsidRPr="00EC1653" w:rsidRDefault="00EE3D7C" w:rsidP="00EE3D7C">
            <w:pPr>
              <w:pStyle w:val="TT"/>
              <w:spacing w:line="240" w:lineRule="auto"/>
              <w:rPr>
                <w:rFonts w:asciiTheme="minorHAnsi" w:hAnsiTheme="minorHAnsi" w:cs="Arial"/>
                <w:b/>
                <w:bCs/>
                <w:sz w:val="18"/>
                <w:szCs w:val="18"/>
                <w:lang w:val="hr-HR"/>
              </w:rPr>
            </w:pPr>
            <w:r w:rsidRPr="00EC1653">
              <w:rPr>
                <w:rFonts w:asciiTheme="minorHAnsi" w:hAnsiTheme="minorHAnsi" w:cs="Arial"/>
                <w:b/>
                <w:bCs/>
                <w:sz w:val="18"/>
                <w:szCs w:val="18"/>
                <w:lang w:val="hr-HR"/>
              </w:rPr>
              <w:t>Ukupni kapital  koji pripada vlasnicima društva</w:t>
            </w:r>
          </w:p>
        </w:tc>
        <w:tc>
          <w:tcPr>
            <w:tcW w:w="603" w:type="pct"/>
            <w:tcBorders>
              <w:top w:val="single" w:sz="4" w:space="0" w:color="auto"/>
              <w:left w:val="nil"/>
              <w:bottom w:val="single" w:sz="8" w:space="0" w:color="auto"/>
              <w:right w:val="nil"/>
            </w:tcBorders>
            <w:shd w:val="clear" w:color="auto" w:fill="auto"/>
            <w:vAlign w:val="bottom"/>
          </w:tcPr>
          <w:p w14:paraId="0A669A65" w14:textId="77777777" w:rsidR="00EE3D7C" w:rsidRPr="00EC1653" w:rsidRDefault="00EE3D7C" w:rsidP="00EE3D7C">
            <w:pPr>
              <w:pStyle w:val="Tot"/>
              <w:tabs>
                <w:tab w:val="clear" w:pos="1202"/>
              </w:tabs>
              <w:spacing w:line="240" w:lineRule="auto"/>
              <w:jc w:val="right"/>
              <w:rPr>
                <w:rFonts w:asciiTheme="minorHAnsi" w:hAnsiTheme="minorHAnsi" w:cs="Arial"/>
                <w:b/>
                <w:bCs/>
                <w:sz w:val="18"/>
                <w:szCs w:val="18"/>
                <w:lang w:val="hr-HR"/>
              </w:rPr>
            </w:pPr>
            <w:r w:rsidRPr="00EC1653">
              <w:rPr>
                <w:rFonts w:asciiTheme="minorHAnsi" w:hAnsiTheme="minorHAnsi"/>
                <w:b/>
                <w:bCs/>
                <w:color w:val="000000"/>
                <w:sz w:val="18"/>
                <w:szCs w:val="18"/>
              </w:rPr>
              <w:t>-</w:t>
            </w:r>
          </w:p>
        </w:tc>
        <w:tc>
          <w:tcPr>
            <w:tcW w:w="604" w:type="pct"/>
            <w:tcBorders>
              <w:top w:val="single" w:sz="4" w:space="0" w:color="auto"/>
              <w:left w:val="nil"/>
              <w:bottom w:val="single" w:sz="8" w:space="0" w:color="auto"/>
              <w:right w:val="nil"/>
            </w:tcBorders>
            <w:shd w:val="clear" w:color="auto" w:fill="auto"/>
            <w:vAlign w:val="bottom"/>
          </w:tcPr>
          <w:p w14:paraId="1D3DCFE3" w14:textId="77777777" w:rsidR="00EE3D7C" w:rsidRPr="00EC1653" w:rsidRDefault="00EE3D7C" w:rsidP="00EE3D7C">
            <w:pPr>
              <w:pStyle w:val="Tot"/>
              <w:tabs>
                <w:tab w:val="clear" w:pos="1202"/>
              </w:tabs>
              <w:spacing w:line="240" w:lineRule="auto"/>
              <w:jc w:val="right"/>
              <w:rPr>
                <w:rFonts w:asciiTheme="minorHAnsi" w:hAnsiTheme="minorHAnsi" w:cs="Arial"/>
                <w:b/>
                <w:bCs/>
                <w:sz w:val="18"/>
                <w:szCs w:val="18"/>
                <w:lang w:val="hr-HR"/>
              </w:rPr>
            </w:pPr>
            <w:r w:rsidRPr="00EC1653">
              <w:rPr>
                <w:rFonts w:asciiTheme="minorHAnsi" w:hAnsiTheme="minorHAnsi"/>
                <w:b/>
                <w:bCs/>
                <w:color w:val="000000"/>
                <w:sz w:val="18"/>
                <w:szCs w:val="18"/>
              </w:rPr>
              <w:t>-</w:t>
            </w:r>
          </w:p>
        </w:tc>
        <w:tc>
          <w:tcPr>
            <w:tcW w:w="604" w:type="pct"/>
            <w:tcBorders>
              <w:top w:val="single" w:sz="4" w:space="0" w:color="auto"/>
              <w:left w:val="nil"/>
              <w:bottom w:val="single" w:sz="8" w:space="0" w:color="auto"/>
              <w:right w:val="nil"/>
            </w:tcBorders>
            <w:shd w:val="clear" w:color="auto" w:fill="auto"/>
            <w:vAlign w:val="bottom"/>
          </w:tcPr>
          <w:p w14:paraId="675CFDF8" w14:textId="77777777" w:rsidR="00EE3D7C" w:rsidRPr="00EC1653" w:rsidRDefault="00EE3D7C" w:rsidP="00EE3D7C">
            <w:pPr>
              <w:pStyle w:val="Tot"/>
              <w:tabs>
                <w:tab w:val="clear" w:pos="1202"/>
              </w:tabs>
              <w:spacing w:line="240" w:lineRule="auto"/>
              <w:jc w:val="right"/>
              <w:rPr>
                <w:rFonts w:asciiTheme="minorHAnsi" w:hAnsiTheme="minorHAnsi" w:cs="Arial"/>
                <w:b/>
                <w:bCs/>
                <w:sz w:val="18"/>
                <w:szCs w:val="18"/>
                <w:lang w:val="hr-HR"/>
              </w:rPr>
            </w:pPr>
            <w:r w:rsidRPr="00EC1653">
              <w:rPr>
                <w:rFonts w:asciiTheme="minorHAnsi" w:hAnsiTheme="minorHAnsi"/>
                <w:b/>
                <w:bCs/>
                <w:color w:val="000000"/>
                <w:sz w:val="18"/>
                <w:szCs w:val="18"/>
              </w:rPr>
              <w:t>-</w:t>
            </w:r>
          </w:p>
        </w:tc>
        <w:tc>
          <w:tcPr>
            <w:tcW w:w="603" w:type="pct"/>
            <w:tcBorders>
              <w:top w:val="single" w:sz="4" w:space="0" w:color="auto"/>
              <w:left w:val="nil"/>
              <w:bottom w:val="single" w:sz="8" w:space="0" w:color="auto"/>
              <w:right w:val="nil"/>
            </w:tcBorders>
            <w:shd w:val="clear" w:color="auto" w:fill="auto"/>
            <w:vAlign w:val="bottom"/>
          </w:tcPr>
          <w:p w14:paraId="7588105F" w14:textId="77777777" w:rsidR="00EE3D7C" w:rsidRPr="00EC1653" w:rsidRDefault="00EE3D7C" w:rsidP="00EE3D7C">
            <w:pPr>
              <w:pStyle w:val="Tot"/>
              <w:tabs>
                <w:tab w:val="clear" w:pos="1202"/>
              </w:tabs>
              <w:spacing w:line="240" w:lineRule="auto"/>
              <w:jc w:val="right"/>
              <w:rPr>
                <w:rFonts w:asciiTheme="minorHAnsi" w:hAnsiTheme="minorHAnsi" w:cs="Arial"/>
                <w:b/>
                <w:bCs/>
                <w:sz w:val="18"/>
                <w:szCs w:val="18"/>
                <w:lang w:val="hr-HR"/>
              </w:rPr>
            </w:pPr>
            <w:r w:rsidRPr="00EC1653">
              <w:rPr>
                <w:rFonts w:asciiTheme="minorHAnsi" w:hAnsiTheme="minorHAnsi"/>
                <w:b/>
                <w:bCs/>
                <w:color w:val="000000"/>
                <w:sz w:val="18"/>
                <w:szCs w:val="18"/>
              </w:rPr>
              <w:t>-</w:t>
            </w:r>
          </w:p>
        </w:tc>
        <w:tc>
          <w:tcPr>
            <w:tcW w:w="604" w:type="pct"/>
            <w:tcBorders>
              <w:top w:val="single" w:sz="4" w:space="0" w:color="auto"/>
              <w:left w:val="nil"/>
              <w:bottom w:val="single" w:sz="8" w:space="0" w:color="auto"/>
              <w:right w:val="nil"/>
            </w:tcBorders>
            <w:shd w:val="clear" w:color="auto" w:fill="auto"/>
            <w:vAlign w:val="bottom"/>
          </w:tcPr>
          <w:p w14:paraId="7FE90152"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10.030.333</w:t>
            </w:r>
          </w:p>
        </w:tc>
        <w:tc>
          <w:tcPr>
            <w:tcW w:w="603" w:type="pct"/>
            <w:tcBorders>
              <w:top w:val="single" w:sz="4" w:space="0" w:color="auto"/>
              <w:left w:val="nil"/>
              <w:bottom w:val="single" w:sz="8" w:space="0" w:color="auto"/>
              <w:right w:val="nil"/>
            </w:tcBorders>
            <w:shd w:val="clear" w:color="auto" w:fill="auto"/>
            <w:vAlign w:val="bottom"/>
          </w:tcPr>
          <w:p w14:paraId="28E4ADE3"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10.030.333</w:t>
            </w:r>
          </w:p>
        </w:tc>
      </w:tr>
      <w:tr w:rsidR="00EE3D7C" w:rsidRPr="00EC1653" w14:paraId="2CB62A83" w14:textId="77777777" w:rsidTr="00EE3D7C">
        <w:trPr>
          <w:trHeight w:hRule="exact" w:val="57"/>
        </w:trPr>
        <w:tc>
          <w:tcPr>
            <w:tcW w:w="1378" w:type="pct"/>
          </w:tcPr>
          <w:p w14:paraId="6F781E1D" w14:textId="77777777" w:rsidR="00EE3D7C" w:rsidRPr="00EC1653" w:rsidRDefault="00EE3D7C" w:rsidP="00EE3D7C">
            <w:pPr>
              <w:pStyle w:val="TT"/>
              <w:spacing w:line="240" w:lineRule="auto"/>
              <w:rPr>
                <w:rFonts w:asciiTheme="minorHAnsi" w:hAnsiTheme="minorHAnsi" w:cs="Arial"/>
                <w:sz w:val="18"/>
                <w:szCs w:val="18"/>
                <w:lang w:val="hr-HR"/>
              </w:rPr>
            </w:pPr>
          </w:p>
        </w:tc>
        <w:tc>
          <w:tcPr>
            <w:tcW w:w="603" w:type="pct"/>
            <w:tcBorders>
              <w:top w:val="single" w:sz="12" w:space="0" w:color="auto"/>
            </w:tcBorders>
            <w:vAlign w:val="bottom"/>
          </w:tcPr>
          <w:p w14:paraId="6E282B1B" w14:textId="77777777" w:rsidR="00EE3D7C" w:rsidRPr="00EC1653" w:rsidRDefault="00EE3D7C" w:rsidP="00EE3D7C">
            <w:pPr>
              <w:pStyle w:val="TT"/>
              <w:spacing w:line="240" w:lineRule="auto"/>
              <w:jc w:val="right"/>
              <w:rPr>
                <w:rFonts w:asciiTheme="minorHAnsi" w:hAnsiTheme="minorHAnsi" w:cs="Arial"/>
                <w:spacing w:val="-2"/>
                <w:sz w:val="18"/>
                <w:szCs w:val="18"/>
                <w:lang w:val="hr-HR"/>
              </w:rPr>
            </w:pPr>
          </w:p>
        </w:tc>
        <w:tc>
          <w:tcPr>
            <w:tcW w:w="604" w:type="pct"/>
            <w:tcBorders>
              <w:top w:val="single" w:sz="12" w:space="0" w:color="auto"/>
            </w:tcBorders>
            <w:vAlign w:val="bottom"/>
          </w:tcPr>
          <w:p w14:paraId="160A8C4B" w14:textId="77777777" w:rsidR="00EE3D7C" w:rsidRPr="00EC1653" w:rsidRDefault="00EE3D7C" w:rsidP="00EE3D7C">
            <w:pPr>
              <w:spacing w:after="0" w:line="240" w:lineRule="auto"/>
              <w:jc w:val="right"/>
              <w:rPr>
                <w:rFonts w:eastAsia="Arial Unicode MS" w:cs="Arial"/>
                <w:sz w:val="18"/>
                <w:szCs w:val="18"/>
              </w:rPr>
            </w:pPr>
          </w:p>
        </w:tc>
        <w:tc>
          <w:tcPr>
            <w:tcW w:w="604" w:type="pct"/>
            <w:tcBorders>
              <w:top w:val="single" w:sz="12" w:space="0" w:color="auto"/>
            </w:tcBorders>
            <w:vAlign w:val="bottom"/>
          </w:tcPr>
          <w:p w14:paraId="2DB4D8DD" w14:textId="77777777" w:rsidR="00EE3D7C" w:rsidRPr="00EC1653" w:rsidRDefault="00EE3D7C" w:rsidP="00EE3D7C">
            <w:pPr>
              <w:spacing w:after="0" w:line="240" w:lineRule="auto"/>
              <w:jc w:val="right"/>
              <w:rPr>
                <w:rFonts w:eastAsia="Arial Unicode MS" w:cs="Arial"/>
                <w:sz w:val="18"/>
                <w:szCs w:val="18"/>
              </w:rPr>
            </w:pPr>
          </w:p>
        </w:tc>
        <w:tc>
          <w:tcPr>
            <w:tcW w:w="603" w:type="pct"/>
            <w:tcBorders>
              <w:top w:val="single" w:sz="12" w:space="0" w:color="auto"/>
            </w:tcBorders>
            <w:vAlign w:val="bottom"/>
          </w:tcPr>
          <w:p w14:paraId="0DF051EE" w14:textId="77777777" w:rsidR="00EE3D7C" w:rsidRPr="00EC1653" w:rsidRDefault="00EE3D7C" w:rsidP="00EE3D7C">
            <w:pPr>
              <w:spacing w:after="0" w:line="240" w:lineRule="auto"/>
              <w:jc w:val="right"/>
              <w:rPr>
                <w:rFonts w:eastAsia="Arial Unicode MS" w:cs="Arial"/>
                <w:sz w:val="18"/>
                <w:szCs w:val="18"/>
              </w:rPr>
            </w:pPr>
          </w:p>
        </w:tc>
        <w:tc>
          <w:tcPr>
            <w:tcW w:w="604" w:type="pct"/>
            <w:tcBorders>
              <w:top w:val="single" w:sz="12" w:space="0" w:color="auto"/>
            </w:tcBorders>
            <w:vAlign w:val="bottom"/>
          </w:tcPr>
          <w:p w14:paraId="5783E16A" w14:textId="77777777" w:rsidR="00EE3D7C" w:rsidRPr="00EC1653" w:rsidRDefault="00EE3D7C" w:rsidP="00EE3D7C">
            <w:pPr>
              <w:spacing w:after="0" w:line="240" w:lineRule="auto"/>
              <w:jc w:val="right"/>
              <w:rPr>
                <w:rFonts w:eastAsia="Arial Unicode MS" w:cs="Arial"/>
                <w:sz w:val="18"/>
                <w:szCs w:val="18"/>
              </w:rPr>
            </w:pPr>
          </w:p>
        </w:tc>
        <w:tc>
          <w:tcPr>
            <w:tcW w:w="603" w:type="pct"/>
            <w:tcBorders>
              <w:top w:val="single" w:sz="12" w:space="0" w:color="auto"/>
            </w:tcBorders>
            <w:vAlign w:val="bottom"/>
          </w:tcPr>
          <w:p w14:paraId="796B840F" w14:textId="77777777" w:rsidR="00EE3D7C" w:rsidRPr="00EC1653" w:rsidRDefault="00EE3D7C" w:rsidP="00EE3D7C">
            <w:pPr>
              <w:spacing w:after="0" w:line="240" w:lineRule="auto"/>
              <w:jc w:val="right"/>
              <w:rPr>
                <w:rFonts w:eastAsia="Arial Unicode MS" w:cs="Arial"/>
                <w:sz w:val="18"/>
                <w:szCs w:val="18"/>
              </w:rPr>
            </w:pPr>
          </w:p>
        </w:tc>
      </w:tr>
      <w:tr w:rsidR="00EE3D7C" w:rsidRPr="00EC1653" w14:paraId="250F520B" w14:textId="77777777" w:rsidTr="00EE3D7C">
        <w:trPr>
          <w:trHeight w:val="253"/>
        </w:trPr>
        <w:tc>
          <w:tcPr>
            <w:tcW w:w="1378" w:type="pct"/>
            <w:vAlign w:val="bottom"/>
          </w:tcPr>
          <w:p w14:paraId="6389AF31" w14:textId="77777777" w:rsidR="00EE3D7C" w:rsidRPr="00EC1653" w:rsidRDefault="00EE3D7C" w:rsidP="00EE3D7C">
            <w:pPr>
              <w:spacing w:after="0" w:line="240" w:lineRule="auto"/>
              <w:rPr>
                <w:rFonts w:cs="Arial"/>
                <w:bCs/>
                <w:sz w:val="18"/>
                <w:szCs w:val="18"/>
              </w:rPr>
            </w:pPr>
            <w:r w:rsidRPr="00EC1653">
              <w:rPr>
                <w:rFonts w:cs="Arial"/>
                <w:bCs/>
                <w:sz w:val="18"/>
                <w:szCs w:val="18"/>
              </w:rPr>
              <w:t>Garantni fond</w:t>
            </w:r>
          </w:p>
        </w:tc>
        <w:tc>
          <w:tcPr>
            <w:tcW w:w="603" w:type="pct"/>
            <w:tcBorders>
              <w:top w:val="nil"/>
              <w:left w:val="nil"/>
              <w:bottom w:val="nil"/>
              <w:right w:val="nil"/>
            </w:tcBorders>
            <w:shd w:val="clear" w:color="auto" w:fill="auto"/>
            <w:vAlign w:val="bottom"/>
          </w:tcPr>
          <w:p w14:paraId="3412CF35" w14:textId="77777777" w:rsidR="00EE3D7C" w:rsidRPr="00EC1653" w:rsidRDefault="00EE3D7C" w:rsidP="00EE3D7C">
            <w:pPr>
              <w:pStyle w:val="Tot"/>
              <w:spacing w:line="240" w:lineRule="auto"/>
              <w:jc w:val="right"/>
              <w:rPr>
                <w:rFonts w:asciiTheme="minorHAnsi" w:hAnsiTheme="minorHAnsi" w:cs="Arial"/>
                <w:bCs/>
                <w:spacing w:val="-2"/>
                <w:sz w:val="18"/>
                <w:szCs w:val="18"/>
                <w:lang w:val="hr-HR"/>
              </w:rPr>
            </w:pPr>
            <w:r w:rsidRPr="00EC1653">
              <w:rPr>
                <w:rFonts w:asciiTheme="minorHAnsi" w:hAnsiTheme="minorHAnsi"/>
                <w:color w:val="000000"/>
                <w:sz w:val="18"/>
                <w:szCs w:val="18"/>
              </w:rPr>
              <w:t>-</w:t>
            </w:r>
          </w:p>
        </w:tc>
        <w:tc>
          <w:tcPr>
            <w:tcW w:w="604" w:type="pct"/>
            <w:tcBorders>
              <w:top w:val="nil"/>
              <w:left w:val="nil"/>
              <w:bottom w:val="nil"/>
              <w:right w:val="nil"/>
            </w:tcBorders>
            <w:shd w:val="clear" w:color="auto" w:fill="auto"/>
            <w:vAlign w:val="bottom"/>
          </w:tcPr>
          <w:p w14:paraId="50A3E704" w14:textId="77777777" w:rsidR="00EE3D7C" w:rsidRPr="00EC1653" w:rsidRDefault="00EE3D7C" w:rsidP="00EE3D7C">
            <w:pPr>
              <w:spacing w:after="0" w:line="240" w:lineRule="auto"/>
              <w:jc w:val="right"/>
              <w:rPr>
                <w:rFonts w:eastAsia="Arial Unicode MS" w:cs="Arial"/>
                <w:bCs/>
                <w:sz w:val="18"/>
                <w:szCs w:val="18"/>
              </w:rPr>
            </w:pPr>
            <w:r w:rsidRPr="00EC1653">
              <w:rPr>
                <w:color w:val="000000"/>
                <w:sz w:val="18"/>
                <w:szCs w:val="18"/>
              </w:rPr>
              <w:t>12.375</w:t>
            </w:r>
          </w:p>
        </w:tc>
        <w:tc>
          <w:tcPr>
            <w:tcW w:w="604" w:type="pct"/>
            <w:tcBorders>
              <w:top w:val="nil"/>
              <w:left w:val="nil"/>
              <w:bottom w:val="nil"/>
              <w:right w:val="nil"/>
            </w:tcBorders>
            <w:shd w:val="clear" w:color="auto" w:fill="auto"/>
            <w:vAlign w:val="bottom"/>
          </w:tcPr>
          <w:p w14:paraId="3AE25839" w14:textId="77777777" w:rsidR="00EE3D7C" w:rsidRPr="00EC1653" w:rsidRDefault="00EE3D7C" w:rsidP="00EE3D7C">
            <w:pPr>
              <w:spacing w:after="0" w:line="240" w:lineRule="auto"/>
              <w:jc w:val="right"/>
              <w:rPr>
                <w:rFonts w:eastAsia="Arial Unicode MS" w:cs="Arial"/>
                <w:bCs/>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185F5F65" w14:textId="77777777" w:rsidR="00EE3D7C" w:rsidRPr="00EC1653" w:rsidRDefault="00EE3D7C" w:rsidP="00EE3D7C">
            <w:pPr>
              <w:spacing w:after="0" w:line="240" w:lineRule="auto"/>
              <w:jc w:val="right"/>
              <w:rPr>
                <w:rFonts w:eastAsia="Arial Unicode MS" w:cs="Arial"/>
                <w:bCs/>
                <w:sz w:val="18"/>
                <w:szCs w:val="18"/>
              </w:rPr>
            </w:pPr>
            <w:r w:rsidRPr="00EC1653">
              <w:rPr>
                <w:color w:val="000000"/>
                <w:sz w:val="18"/>
                <w:szCs w:val="18"/>
              </w:rPr>
              <w:t>12.375</w:t>
            </w:r>
          </w:p>
        </w:tc>
        <w:tc>
          <w:tcPr>
            <w:tcW w:w="604" w:type="pct"/>
            <w:tcBorders>
              <w:top w:val="nil"/>
              <w:left w:val="nil"/>
              <w:bottom w:val="nil"/>
              <w:right w:val="nil"/>
            </w:tcBorders>
            <w:shd w:val="clear" w:color="auto" w:fill="auto"/>
            <w:vAlign w:val="bottom"/>
          </w:tcPr>
          <w:p w14:paraId="1DDB739F" w14:textId="77777777" w:rsidR="00EE3D7C" w:rsidRPr="00EC1653" w:rsidRDefault="00EE3D7C" w:rsidP="00EE3D7C">
            <w:pPr>
              <w:spacing w:after="0" w:line="240" w:lineRule="auto"/>
              <w:jc w:val="right"/>
              <w:rPr>
                <w:rFonts w:eastAsia="Arial Unicode MS" w:cs="Arial"/>
                <w:bCs/>
                <w:sz w:val="18"/>
                <w:szCs w:val="18"/>
              </w:rPr>
            </w:pPr>
            <w:r w:rsidRPr="00EC1653">
              <w:rPr>
                <w:color w:val="000000"/>
                <w:sz w:val="18"/>
                <w:szCs w:val="18"/>
              </w:rPr>
              <w:t>-</w:t>
            </w:r>
          </w:p>
        </w:tc>
        <w:tc>
          <w:tcPr>
            <w:tcW w:w="603" w:type="pct"/>
            <w:tcBorders>
              <w:top w:val="nil"/>
              <w:left w:val="nil"/>
              <w:bottom w:val="nil"/>
              <w:right w:val="nil"/>
            </w:tcBorders>
            <w:shd w:val="clear" w:color="auto" w:fill="auto"/>
            <w:vAlign w:val="bottom"/>
          </w:tcPr>
          <w:p w14:paraId="06EF4AA5" w14:textId="77777777" w:rsidR="00EE3D7C" w:rsidRPr="00EC1653" w:rsidRDefault="00EE3D7C" w:rsidP="00EE3D7C">
            <w:pPr>
              <w:spacing w:after="0" w:line="240" w:lineRule="auto"/>
              <w:jc w:val="right"/>
              <w:rPr>
                <w:rFonts w:eastAsia="Arial Unicode MS" w:cs="Arial"/>
                <w:bCs/>
                <w:sz w:val="18"/>
                <w:szCs w:val="18"/>
              </w:rPr>
            </w:pPr>
            <w:r w:rsidRPr="00EC1653">
              <w:rPr>
                <w:color w:val="000000"/>
                <w:sz w:val="18"/>
                <w:szCs w:val="18"/>
              </w:rPr>
              <w:t>12.375</w:t>
            </w:r>
          </w:p>
        </w:tc>
      </w:tr>
      <w:tr w:rsidR="00EE3D7C" w:rsidRPr="00EC1653" w14:paraId="1432C9CB" w14:textId="77777777" w:rsidTr="00EE3D7C">
        <w:trPr>
          <w:trHeight w:hRule="exact" w:val="66"/>
        </w:trPr>
        <w:tc>
          <w:tcPr>
            <w:tcW w:w="1378" w:type="pct"/>
            <w:vAlign w:val="bottom"/>
          </w:tcPr>
          <w:p w14:paraId="57CB2904" w14:textId="77777777" w:rsidR="00EE3D7C" w:rsidRPr="00EC1653" w:rsidRDefault="00EE3D7C" w:rsidP="00EE3D7C">
            <w:pPr>
              <w:spacing w:after="0" w:line="240" w:lineRule="auto"/>
              <w:rPr>
                <w:rFonts w:cs="Arial"/>
                <w:b/>
                <w:bCs/>
                <w:sz w:val="18"/>
                <w:szCs w:val="18"/>
              </w:rPr>
            </w:pPr>
          </w:p>
        </w:tc>
        <w:tc>
          <w:tcPr>
            <w:tcW w:w="603" w:type="pct"/>
            <w:tcBorders>
              <w:bottom w:val="single" w:sz="8" w:space="0" w:color="auto"/>
            </w:tcBorders>
            <w:vAlign w:val="bottom"/>
          </w:tcPr>
          <w:p w14:paraId="27F16110" w14:textId="77777777" w:rsidR="00EE3D7C" w:rsidRPr="00EC1653" w:rsidRDefault="00EE3D7C" w:rsidP="00EE3D7C">
            <w:pPr>
              <w:pStyle w:val="Tot"/>
              <w:spacing w:line="240" w:lineRule="auto"/>
              <w:jc w:val="right"/>
              <w:rPr>
                <w:rFonts w:asciiTheme="minorHAnsi" w:hAnsiTheme="minorHAnsi" w:cs="Arial"/>
                <w:b/>
                <w:bCs/>
                <w:spacing w:val="-2"/>
                <w:sz w:val="18"/>
                <w:szCs w:val="18"/>
                <w:lang w:val="hr-HR"/>
              </w:rPr>
            </w:pPr>
          </w:p>
        </w:tc>
        <w:tc>
          <w:tcPr>
            <w:tcW w:w="604" w:type="pct"/>
            <w:tcBorders>
              <w:bottom w:val="single" w:sz="8" w:space="0" w:color="auto"/>
            </w:tcBorders>
            <w:vAlign w:val="bottom"/>
          </w:tcPr>
          <w:p w14:paraId="722557C9" w14:textId="77777777" w:rsidR="00EE3D7C" w:rsidRPr="00EC1653" w:rsidRDefault="00EE3D7C" w:rsidP="00EE3D7C">
            <w:pPr>
              <w:spacing w:after="0" w:line="240" w:lineRule="auto"/>
              <w:jc w:val="right"/>
              <w:rPr>
                <w:rFonts w:eastAsia="Arial Unicode MS" w:cs="Arial"/>
                <w:b/>
                <w:bCs/>
                <w:sz w:val="18"/>
                <w:szCs w:val="18"/>
              </w:rPr>
            </w:pPr>
          </w:p>
        </w:tc>
        <w:tc>
          <w:tcPr>
            <w:tcW w:w="604" w:type="pct"/>
            <w:tcBorders>
              <w:bottom w:val="single" w:sz="8" w:space="0" w:color="auto"/>
            </w:tcBorders>
            <w:vAlign w:val="bottom"/>
          </w:tcPr>
          <w:p w14:paraId="1DA5A3F8" w14:textId="77777777" w:rsidR="00EE3D7C" w:rsidRPr="00EC1653" w:rsidRDefault="00EE3D7C" w:rsidP="00EE3D7C">
            <w:pPr>
              <w:spacing w:after="0" w:line="240" w:lineRule="auto"/>
              <w:jc w:val="right"/>
              <w:rPr>
                <w:rFonts w:eastAsia="Arial Unicode MS" w:cs="Arial"/>
                <w:b/>
                <w:bCs/>
                <w:sz w:val="18"/>
                <w:szCs w:val="18"/>
              </w:rPr>
            </w:pPr>
          </w:p>
        </w:tc>
        <w:tc>
          <w:tcPr>
            <w:tcW w:w="603" w:type="pct"/>
            <w:tcBorders>
              <w:bottom w:val="single" w:sz="8" w:space="0" w:color="auto"/>
            </w:tcBorders>
            <w:vAlign w:val="bottom"/>
          </w:tcPr>
          <w:p w14:paraId="769034EF" w14:textId="77777777" w:rsidR="00EE3D7C" w:rsidRPr="00EC1653" w:rsidRDefault="00EE3D7C" w:rsidP="00EE3D7C">
            <w:pPr>
              <w:spacing w:after="0" w:line="240" w:lineRule="auto"/>
              <w:jc w:val="right"/>
              <w:rPr>
                <w:rFonts w:eastAsia="Arial Unicode MS" w:cs="Arial"/>
                <w:b/>
                <w:bCs/>
                <w:sz w:val="18"/>
                <w:szCs w:val="18"/>
              </w:rPr>
            </w:pPr>
          </w:p>
        </w:tc>
        <w:tc>
          <w:tcPr>
            <w:tcW w:w="604" w:type="pct"/>
            <w:tcBorders>
              <w:bottom w:val="single" w:sz="8" w:space="0" w:color="auto"/>
            </w:tcBorders>
            <w:vAlign w:val="bottom"/>
          </w:tcPr>
          <w:p w14:paraId="154BBED8" w14:textId="77777777" w:rsidR="00EE3D7C" w:rsidRPr="00EC1653" w:rsidRDefault="00EE3D7C" w:rsidP="00EE3D7C">
            <w:pPr>
              <w:spacing w:after="0" w:line="240" w:lineRule="auto"/>
              <w:jc w:val="right"/>
              <w:rPr>
                <w:rFonts w:eastAsia="Arial Unicode MS" w:cs="Arial"/>
                <w:b/>
                <w:bCs/>
                <w:sz w:val="18"/>
                <w:szCs w:val="18"/>
              </w:rPr>
            </w:pPr>
          </w:p>
        </w:tc>
        <w:tc>
          <w:tcPr>
            <w:tcW w:w="603" w:type="pct"/>
            <w:tcBorders>
              <w:bottom w:val="single" w:sz="8" w:space="0" w:color="auto"/>
            </w:tcBorders>
            <w:vAlign w:val="bottom"/>
          </w:tcPr>
          <w:p w14:paraId="15E52E6D" w14:textId="77777777" w:rsidR="00EE3D7C" w:rsidRPr="00EC1653" w:rsidRDefault="00EE3D7C" w:rsidP="00EE3D7C">
            <w:pPr>
              <w:spacing w:after="0" w:line="240" w:lineRule="auto"/>
              <w:jc w:val="right"/>
              <w:rPr>
                <w:rFonts w:eastAsia="Arial Unicode MS" w:cs="Arial"/>
                <w:b/>
                <w:bCs/>
                <w:sz w:val="18"/>
                <w:szCs w:val="18"/>
              </w:rPr>
            </w:pPr>
          </w:p>
        </w:tc>
      </w:tr>
      <w:tr w:rsidR="00EE3D7C" w:rsidRPr="00EC1653" w14:paraId="37F59E3A" w14:textId="77777777" w:rsidTr="00EE3D7C">
        <w:tc>
          <w:tcPr>
            <w:tcW w:w="1378" w:type="pct"/>
          </w:tcPr>
          <w:p w14:paraId="7B741B14" w14:textId="77777777" w:rsidR="00EE3D7C" w:rsidRPr="00EC1653" w:rsidRDefault="00EE3D7C" w:rsidP="00EE3D7C">
            <w:pPr>
              <w:spacing w:after="0" w:line="240" w:lineRule="auto"/>
              <w:rPr>
                <w:rFonts w:cs="Arial"/>
                <w:b/>
                <w:bCs/>
                <w:sz w:val="18"/>
                <w:szCs w:val="18"/>
              </w:rPr>
            </w:pPr>
            <w:r w:rsidRPr="00EC1653">
              <w:rPr>
                <w:rFonts w:cs="Arial"/>
                <w:b/>
                <w:bCs/>
                <w:sz w:val="18"/>
                <w:szCs w:val="18"/>
              </w:rPr>
              <w:t>Ukupna glavnica</w:t>
            </w:r>
          </w:p>
        </w:tc>
        <w:tc>
          <w:tcPr>
            <w:tcW w:w="603" w:type="pct"/>
            <w:tcBorders>
              <w:top w:val="single" w:sz="4" w:space="0" w:color="auto"/>
              <w:left w:val="nil"/>
              <w:bottom w:val="single" w:sz="8" w:space="0" w:color="auto"/>
              <w:right w:val="nil"/>
            </w:tcBorders>
            <w:shd w:val="clear" w:color="auto" w:fill="auto"/>
            <w:vAlign w:val="bottom"/>
          </w:tcPr>
          <w:p w14:paraId="303FC028"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w:t>
            </w:r>
          </w:p>
        </w:tc>
        <w:tc>
          <w:tcPr>
            <w:tcW w:w="604" w:type="pct"/>
            <w:tcBorders>
              <w:top w:val="single" w:sz="4" w:space="0" w:color="auto"/>
              <w:left w:val="nil"/>
              <w:bottom w:val="single" w:sz="8" w:space="0" w:color="auto"/>
              <w:right w:val="nil"/>
            </w:tcBorders>
            <w:shd w:val="clear" w:color="auto" w:fill="auto"/>
            <w:vAlign w:val="bottom"/>
          </w:tcPr>
          <w:p w14:paraId="18BB9BF8"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12.375</w:t>
            </w:r>
          </w:p>
        </w:tc>
        <w:tc>
          <w:tcPr>
            <w:tcW w:w="604" w:type="pct"/>
            <w:tcBorders>
              <w:top w:val="single" w:sz="4" w:space="0" w:color="auto"/>
              <w:left w:val="nil"/>
              <w:bottom w:val="single" w:sz="8" w:space="0" w:color="auto"/>
              <w:right w:val="nil"/>
            </w:tcBorders>
            <w:shd w:val="clear" w:color="auto" w:fill="auto"/>
            <w:vAlign w:val="bottom"/>
          </w:tcPr>
          <w:p w14:paraId="705B3FF9"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w:t>
            </w:r>
          </w:p>
        </w:tc>
        <w:tc>
          <w:tcPr>
            <w:tcW w:w="603" w:type="pct"/>
            <w:tcBorders>
              <w:top w:val="single" w:sz="4" w:space="0" w:color="auto"/>
              <w:left w:val="nil"/>
              <w:bottom w:val="single" w:sz="8" w:space="0" w:color="auto"/>
              <w:right w:val="nil"/>
            </w:tcBorders>
            <w:shd w:val="clear" w:color="auto" w:fill="auto"/>
            <w:vAlign w:val="bottom"/>
          </w:tcPr>
          <w:p w14:paraId="77B22D36"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12.375</w:t>
            </w:r>
          </w:p>
        </w:tc>
        <w:tc>
          <w:tcPr>
            <w:tcW w:w="604" w:type="pct"/>
            <w:tcBorders>
              <w:top w:val="single" w:sz="4" w:space="0" w:color="auto"/>
              <w:left w:val="nil"/>
              <w:bottom w:val="single" w:sz="8" w:space="0" w:color="auto"/>
              <w:right w:val="nil"/>
            </w:tcBorders>
            <w:shd w:val="clear" w:color="auto" w:fill="auto"/>
            <w:vAlign w:val="bottom"/>
          </w:tcPr>
          <w:p w14:paraId="097D7744"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10.030.333</w:t>
            </w:r>
          </w:p>
        </w:tc>
        <w:tc>
          <w:tcPr>
            <w:tcW w:w="603" w:type="pct"/>
            <w:tcBorders>
              <w:top w:val="single" w:sz="4" w:space="0" w:color="auto"/>
              <w:left w:val="nil"/>
              <w:bottom w:val="single" w:sz="8" w:space="0" w:color="auto"/>
              <w:right w:val="nil"/>
            </w:tcBorders>
            <w:shd w:val="clear" w:color="auto" w:fill="auto"/>
            <w:vAlign w:val="bottom"/>
          </w:tcPr>
          <w:p w14:paraId="2D552EEA"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10.042.708</w:t>
            </w:r>
          </w:p>
        </w:tc>
      </w:tr>
      <w:tr w:rsidR="00EE3D7C" w:rsidRPr="00EC1653" w14:paraId="3CF999F9" w14:textId="77777777" w:rsidTr="00EE3D7C">
        <w:tc>
          <w:tcPr>
            <w:tcW w:w="1378" w:type="pct"/>
          </w:tcPr>
          <w:p w14:paraId="64C3DB07" w14:textId="77777777" w:rsidR="00EE3D7C" w:rsidRPr="00EC1653" w:rsidRDefault="00EE3D7C" w:rsidP="00EE3D7C">
            <w:pPr>
              <w:spacing w:after="0" w:line="240" w:lineRule="auto"/>
              <w:rPr>
                <w:rFonts w:cs="Arial"/>
                <w:b/>
                <w:bCs/>
                <w:sz w:val="18"/>
                <w:szCs w:val="18"/>
              </w:rPr>
            </w:pPr>
            <w:r w:rsidRPr="00EC1653">
              <w:rPr>
                <w:rFonts w:cs="Arial"/>
                <w:b/>
                <w:bCs/>
                <w:sz w:val="18"/>
                <w:szCs w:val="18"/>
              </w:rPr>
              <w:t>Ukupne obveze i glavnica (2)</w:t>
            </w:r>
          </w:p>
        </w:tc>
        <w:tc>
          <w:tcPr>
            <w:tcW w:w="603" w:type="pct"/>
            <w:tcBorders>
              <w:top w:val="single" w:sz="8" w:space="0" w:color="auto"/>
              <w:left w:val="nil"/>
              <w:bottom w:val="single" w:sz="12" w:space="0" w:color="auto"/>
              <w:right w:val="nil"/>
            </w:tcBorders>
            <w:shd w:val="clear" w:color="auto" w:fill="auto"/>
            <w:vAlign w:val="bottom"/>
          </w:tcPr>
          <w:p w14:paraId="48B69214"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363.977</w:t>
            </w:r>
          </w:p>
        </w:tc>
        <w:tc>
          <w:tcPr>
            <w:tcW w:w="604" w:type="pct"/>
            <w:tcBorders>
              <w:top w:val="single" w:sz="8" w:space="0" w:color="auto"/>
              <w:left w:val="nil"/>
              <w:bottom w:val="single" w:sz="12" w:space="0" w:color="auto"/>
              <w:right w:val="nil"/>
            </w:tcBorders>
            <w:shd w:val="clear" w:color="auto" w:fill="auto"/>
            <w:vAlign w:val="bottom"/>
          </w:tcPr>
          <w:p w14:paraId="1F0EF0BE"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16.246.701</w:t>
            </w:r>
          </w:p>
        </w:tc>
        <w:tc>
          <w:tcPr>
            <w:tcW w:w="604" w:type="pct"/>
            <w:tcBorders>
              <w:top w:val="single" w:sz="8" w:space="0" w:color="auto"/>
              <w:left w:val="nil"/>
              <w:bottom w:val="single" w:sz="12" w:space="0" w:color="auto"/>
              <w:right w:val="nil"/>
            </w:tcBorders>
            <w:shd w:val="clear" w:color="auto" w:fill="auto"/>
            <w:vAlign w:val="bottom"/>
          </w:tcPr>
          <w:p w14:paraId="1B367CF2"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6.344</w:t>
            </w:r>
          </w:p>
        </w:tc>
        <w:tc>
          <w:tcPr>
            <w:tcW w:w="603" w:type="pct"/>
            <w:tcBorders>
              <w:top w:val="single" w:sz="8" w:space="0" w:color="auto"/>
              <w:left w:val="nil"/>
              <w:bottom w:val="single" w:sz="12" w:space="0" w:color="auto"/>
              <w:right w:val="nil"/>
            </w:tcBorders>
            <w:shd w:val="clear" w:color="auto" w:fill="auto"/>
            <w:vAlign w:val="bottom"/>
          </w:tcPr>
          <w:p w14:paraId="1464142D"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16.617.022</w:t>
            </w:r>
          </w:p>
        </w:tc>
        <w:tc>
          <w:tcPr>
            <w:tcW w:w="604" w:type="pct"/>
            <w:tcBorders>
              <w:top w:val="single" w:sz="8" w:space="0" w:color="auto"/>
              <w:left w:val="nil"/>
              <w:bottom w:val="single" w:sz="12" w:space="0" w:color="auto"/>
              <w:right w:val="nil"/>
            </w:tcBorders>
            <w:shd w:val="clear" w:color="auto" w:fill="auto"/>
            <w:vAlign w:val="bottom"/>
          </w:tcPr>
          <w:p w14:paraId="5E66C808"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10.773.800</w:t>
            </w:r>
          </w:p>
        </w:tc>
        <w:tc>
          <w:tcPr>
            <w:tcW w:w="603" w:type="pct"/>
            <w:tcBorders>
              <w:top w:val="single" w:sz="8" w:space="0" w:color="auto"/>
              <w:left w:val="nil"/>
              <w:bottom w:val="single" w:sz="12" w:space="0" w:color="auto"/>
              <w:right w:val="nil"/>
            </w:tcBorders>
            <w:shd w:val="clear" w:color="auto" w:fill="auto"/>
            <w:vAlign w:val="bottom"/>
          </w:tcPr>
          <w:p w14:paraId="2814B1E6"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27.390.822</w:t>
            </w:r>
          </w:p>
        </w:tc>
      </w:tr>
      <w:tr w:rsidR="00EE3D7C" w:rsidRPr="00EC1653" w14:paraId="1360A3E0" w14:textId="77777777" w:rsidTr="00EE3D7C">
        <w:tc>
          <w:tcPr>
            <w:tcW w:w="1378" w:type="pct"/>
          </w:tcPr>
          <w:p w14:paraId="4E94C1FE" w14:textId="77777777" w:rsidR="00EE3D7C" w:rsidRPr="00EC1653" w:rsidRDefault="00EE3D7C" w:rsidP="00EE3D7C">
            <w:pPr>
              <w:spacing w:after="0" w:line="240" w:lineRule="auto"/>
              <w:rPr>
                <w:rFonts w:cs="Arial"/>
                <w:b/>
                <w:bCs/>
                <w:sz w:val="18"/>
                <w:szCs w:val="18"/>
              </w:rPr>
            </w:pPr>
            <w:r w:rsidRPr="00EC1653">
              <w:rPr>
                <w:rFonts w:cs="Arial"/>
                <w:b/>
                <w:bCs/>
                <w:sz w:val="18"/>
                <w:szCs w:val="18"/>
              </w:rPr>
              <w:t>Neto ukupna imovina/ukupne obveze i glavnica (1) – (2)</w:t>
            </w:r>
          </w:p>
        </w:tc>
        <w:tc>
          <w:tcPr>
            <w:tcW w:w="603" w:type="pct"/>
            <w:tcBorders>
              <w:top w:val="single" w:sz="12" w:space="0" w:color="auto"/>
              <w:left w:val="nil"/>
              <w:bottom w:val="single" w:sz="12" w:space="0" w:color="auto"/>
              <w:right w:val="nil"/>
            </w:tcBorders>
            <w:shd w:val="clear" w:color="auto" w:fill="auto"/>
            <w:vAlign w:val="bottom"/>
          </w:tcPr>
          <w:p w14:paraId="3BE313A0"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200.557</w:t>
            </w:r>
          </w:p>
        </w:tc>
        <w:tc>
          <w:tcPr>
            <w:tcW w:w="604" w:type="pct"/>
            <w:tcBorders>
              <w:top w:val="single" w:sz="12" w:space="0" w:color="auto"/>
              <w:left w:val="nil"/>
              <w:bottom w:val="single" w:sz="12" w:space="0" w:color="auto"/>
              <w:right w:val="nil"/>
            </w:tcBorders>
            <w:shd w:val="clear" w:color="auto" w:fill="auto"/>
            <w:vAlign w:val="bottom"/>
          </w:tcPr>
          <w:p w14:paraId="1174BF9D"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(419.278)</w:t>
            </w:r>
          </w:p>
        </w:tc>
        <w:tc>
          <w:tcPr>
            <w:tcW w:w="604" w:type="pct"/>
            <w:tcBorders>
              <w:top w:val="single" w:sz="12" w:space="0" w:color="auto"/>
              <w:left w:val="nil"/>
              <w:bottom w:val="single" w:sz="12" w:space="0" w:color="auto"/>
              <w:right w:val="nil"/>
            </w:tcBorders>
            <w:shd w:val="clear" w:color="auto" w:fill="auto"/>
            <w:vAlign w:val="bottom"/>
          </w:tcPr>
          <w:p w14:paraId="46E79F62"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(1.469)**</w:t>
            </w:r>
          </w:p>
        </w:tc>
        <w:tc>
          <w:tcPr>
            <w:tcW w:w="603" w:type="pct"/>
            <w:tcBorders>
              <w:top w:val="single" w:sz="12" w:space="0" w:color="auto"/>
              <w:left w:val="nil"/>
              <w:bottom w:val="single" w:sz="12" w:space="0" w:color="auto"/>
              <w:right w:val="nil"/>
            </w:tcBorders>
            <w:shd w:val="clear" w:color="auto" w:fill="auto"/>
            <w:vAlign w:val="bottom"/>
          </w:tcPr>
          <w:p w14:paraId="3EDA5907"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(220.190)</w:t>
            </w:r>
          </w:p>
        </w:tc>
        <w:tc>
          <w:tcPr>
            <w:tcW w:w="604" w:type="pct"/>
            <w:tcBorders>
              <w:top w:val="single" w:sz="12" w:space="0" w:color="auto"/>
              <w:left w:val="nil"/>
              <w:bottom w:val="single" w:sz="12" w:space="0" w:color="auto"/>
              <w:right w:val="nil"/>
            </w:tcBorders>
            <w:shd w:val="clear" w:color="auto" w:fill="auto"/>
            <w:vAlign w:val="bottom"/>
          </w:tcPr>
          <w:p w14:paraId="599646FF"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220.190</w:t>
            </w:r>
          </w:p>
        </w:tc>
        <w:tc>
          <w:tcPr>
            <w:tcW w:w="603" w:type="pct"/>
            <w:tcBorders>
              <w:top w:val="single" w:sz="12" w:space="0" w:color="auto"/>
              <w:left w:val="nil"/>
              <w:bottom w:val="single" w:sz="12" w:space="0" w:color="auto"/>
              <w:right w:val="nil"/>
            </w:tcBorders>
            <w:shd w:val="clear" w:color="auto" w:fill="auto"/>
            <w:vAlign w:val="bottom"/>
          </w:tcPr>
          <w:p w14:paraId="752E7C3A" w14:textId="77777777" w:rsidR="00EE3D7C" w:rsidRPr="00EC1653" w:rsidRDefault="00EE3D7C" w:rsidP="00EE3D7C">
            <w:pPr>
              <w:spacing w:after="0" w:line="240" w:lineRule="auto"/>
              <w:jc w:val="right"/>
              <w:rPr>
                <w:rFonts w:eastAsia="Arial Unicode MS" w:cs="Arial"/>
                <w:b/>
                <w:bCs/>
                <w:sz w:val="18"/>
                <w:szCs w:val="18"/>
              </w:rPr>
            </w:pPr>
            <w:r w:rsidRPr="00EC1653">
              <w:rPr>
                <w:b/>
                <w:bCs/>
                <w:color w:val="000000"/>
                <w:sz w:val="18"/>
                <w:szCs w:val="18"/>
              </w:rPr>
              <w:t>-</w:t>
            </w:r>
          </w:p>
        </w:tc>
      </w:tr>
    </w:tbl>
    <w:p w14:paraId="105FA485" w14:textId="77777777" w:rsidR="00472182" w:rsidRPr="00622C3A" w:rsidRDefault="00472182" w:rsidP="00472182">
      <w:pPr>
        <w:pStyle w:val="TT"/>
        <w:spacing w:line="240" w:lineRule="auto"/>
        <w:rPr>
          <w:rFonts w:asciiTheme="minorHAnsi" w:hAnsiTheme="minorHAnsi"/>
          <w:i/>
          <w:sz w:val="18"/>
          <w:szCs w:val="18"/>
          <w:lang w:val="hr-HR"/>
        </w:rPr>
      </w:pPr>
    </w:p>
    <w:p w14:paraId="225F2FAD" w14:textId="5474BD6F" w:rsidR="00F75302" w:rsidRPr="00667F3A" w:rsidRDefault="00472182" w:rsidP="00682ABB">
      <w:pPr>
        <w:pStyle w:val="TT"/>
        <w:spacing w:line="240" w:lineRule="auto"/>
        <w:jc w:val="both"/>
        <w:rPr>
          <w:rFonts w:asciiTheme="minorHAnsi" w:hAnsiTheme="minorHAnsi"/>
          <w:i/>
          <w:sz w:val="18"/>
          <w:szCs w:val="18"/>
          <w:lang w:val="hr-HR"/>
        </w:rPr>
      </w:pPr>
      <w:r w:rsidRPr="00622C3A">
        <w:rPr>
          <w:rFonts w:asciiTheme="minorHAnsi" w:hAnsiTheme="minorHAnsi"/>
          <w:i/>
          <w:sz w:val="18"/>
          <w:szCs w:val="18"/>
          <w:lang w:val="hr-HR"/>
        </w:rPr>
        <w:t xml:space="preserve">*Iznosi vezani uz jednosmjernu valutnu klauzulu iznose </w:t>
      </w:r>
      <w:r w:rsidR="00EE3D7C" w:rsidRPr="00EE3D7C">
        <w:rPr>
          <w:rFonts w:asciiTheme="minorHAnsi" w:hAnsiTheme="minorHAnsi"/>
          <w:i/>
          <w:sz w:val="18"/>
          <w:szCs w:val="18"/>
          <w:lang w:val="hr-HR"/>
        </w:rPr>
        <w:t>249.278</w:t>
      </w:r>
      <w:r w:rsidR="00F75302" w:rsidRPr="00F75302">
        <w:rPr>
          <w:rFonts w:asciiTheme="minorHAnsi" w:hAnsiTheme="minorHAnsi"/>
          <w:i/>
          <w:sz w:val="18"/>
          <w:szCs w:val="18"/>
          <w:lang w:val="hr-HR"/>
        </w:rPr>
        <w:t xml:space="preserve"> </w:t>
      </w:r>
      <w:r w:rsidRPr="00622C3A">
        <w:rPr>
          <w:rFonts w:asciiTheme="minorHAnsi" w:hAnsiTheme="minorHAnsi"/>
          <w:i/>
          <w:sz w:val="18"/>
          <w:szCs w:val="18"/>
          <w:lang w:val="hr-HR"/>
        </w:rPr>
        <w:t>tisuća kuna.</w:t>
      </w:r>
      <w:r w:rsidRPr="00622C3A" w:rsidDel="00597E6E">
        <w:rPr>
          <w:rFonts w:asciiTheme="minorHAnsi" w:hAnsiTheme="minorHAnsi"/>
          <w:i/>
          <w:sz w:val="18"/>
          <w:szCs w:val="18"/>
          <w:lang w:val="hr-HR"/>
        </w:rPr>
        <w:t xml:space="preserve"> </w:t>
      </w:r>
    </w:p>
    <w:p w14:paraId="38B4CFCC" w14:textId="77777777" w:rsidR="00472182" w:rsidRPr="00622C3A" w:rsidRDefault="00472182" w:rsidP="00682ABB">
      <w:pPr>
        <w:pStyle w:val="TT"/>
        <w:spacing w:line="240" w:lineRule="auto"/>
        <w:jc w:val="both"/>
        <w:rPr>
          <w:rFonts w:asciiTheme="minorHAnsi" w:hAnsiTheme="minorHAnsi"/>
          <w:i/>
          <w:sz w:val="18"/>
          <w:szCs w:val="18"/>
          <w:lang w:val="hr-HR"/>
        </w:rPr>
        <w:sectPr w:rsidR="00472182" w:rsidRPr="00622C3A" w:rsidSect="00312975">
          <w:footerReference w:type="default" r:id="rId123"/>
          <w:pgSz w:w="11906" w:h="16838" w:code="9"/>
          <w:pgMar w:top="1418" w:right="1418" w:bottom="595" w:left="1134" w:header="851" w:footer="851" w:gutter="0"/>
          <w:cols w:space="720"/>
          <w:noEndnote/>
          <w:docGrid w:linePitch="299"/>
        </w:sectPr>
      </w:pPr>
      <w:r w:rsidRPr="00622C3A">
        <w:rPr>
          <w:rFonts w:asciiTheme="minorHAnsi" w:hAnsiTheme="minorHAnsi"/>
          <w:i/>
          <w:sz w:val="18"/>
          <w:szCs w:val="18"/>
          <w:lang w:val="hr-HR"/>
        </w:rPr>
        <w:t>**Iskazani jaz rezultat je obavljenih rezerviranja po izdanim deviznim garancijama u ostalim devizama koja se iskazuju na poziciji „Ostale obveze“.</w:t>
      </w:r>
    </w:p>
    <w:p w14:paraId="0B9497AF" w14:textId="77777777" w:rsidR="003706C8" w:rsidRDefault="003706C8" w:rsidP="003706C8">
      <w:pPr>
        <w:pStyle w:val="T1"/>
        <w:spacing w:before="0" w:after="0" w:line="240" w:lineRule="auto"/>
        <w:ind w:left="709" w:hanging="709"/>
        <w:rPr>
          <w:rFonts w:asciiTheme="minorHAnsi" w:hAnsiTheme="minorHAnsi" w:cs="Arial"/>
          <w:sz w:val="22"/>
          <w:szCs w:val="22"/>
          <w:lang w:val="hr-HR"/>
        </w:rPr>
      </w:pPr>
    </w:p>
    <w:p w14:paraId="5E8BCE7E" w14:textId="77777777" w:rsidR="006B337B" w:rsidRDefault="003706C8" w:rsidP="003706C8">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006B337B" w:rsidRPr="003706C8">
        <w:rPr>
          <w:rFonts w:asciiTheme="minorHAnsi" w:hAnsiTheme="minorHAnsi" w:cs="Arial"/>
          <w:sz w:val="22"/>
          <w:szCs w:val="22"/>
          <w:lang w:val="hr-HR"/>
        </w:rPr>
        <w:t>.        Upravljanje rizicima (nastavak)</w:t>
      </w:r>
    </w:p>
    <w:p w14:paraId="347DA146" w14:textId="77777777" w:rsidR="003706C8" w:rsidRPr="003706C8" w:rsidRDefault="003706C8" w:rsidP="003706C8">
      <w:pPr>
        <w:pStyle w:val="T1"/>
        <w:spacing w:before="0" w:after="0" w:line="240" w:lineRule="auto"/>
        <w:ind w:left="709" w:hanging="709"/>
        <w:rPr>
          <w:rFonts w:asciiTheme="minorHAnsi" w:hAnsiTheme="minorHAnsi" w:cs="Arial"/>
          <w:sz w:val="22"/>
          <w:szCs w:val="22"/>
          <w:lang w:val="hr-HR"/>
        </w:rPr>
      </w:pPr>
    </w:p>
    <w:p w14:paraId="52A0CAAD" w14:textId="77777777" w:rsidR="006B337B" w:rsidRDefault="003706C8" w:rsidP="003706C8">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006B337B" w:rsidRPr="003706C8">
        <w:rPr>
          <w:rFonts w:asciiTheme="minorHAnsi" w:hAnsiTheme="minorHAnsi" w:cs="Arial"/>
          <w:sz w:val="22"/>
          <w:szCs w:val="22"/>
          <w:lang w:val="hr-HR"/>
        </w:rPr>
        <w:t>.4.     Tržišni rizik (nastavak)</w:t>
      </w:r>
    </w:p>
    <w:p w14:paraId="7D8C3D4A" w14:textId="77777777" w:rsidR="003706C8" w:rsidRPr="003706C8" w:rsidRDefault="003706C8" w:rsidP="003706C8">
      <w:pPr>
        <w:pStyle w:val="T1"/>
        <w:spacing w:before="0" w:after="0" w:line="240" w:lineRule="auto"/>
        <w:ind w:left="709" w:hanging="709"/>
        <w:rPr>
          <w:rFonts w:asciiTheme="minorHAnsi" w:hAnsiTheme="minorHAnsi" w:cs="Arial"/>
          <w:sz w:val="22"/>
          <w:szCs w:val="22"/>
          <w:lang w:val="hr-HR"/>
        </w:rPr>
      </w:pPr>
    </w:p>
    <w:p w14:paraId="0818360C" w14:textId="77777777" w:rsidR="006B337B" w:rsidRDefault="003706C8" w:rsidP="003706C8">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006B337B" w:rsidRPr="003706C8">
        <w:rPr>
          <w:rFonts w:asciiTheme="minorHAnsi" w:hAnsiTheme="minorHAnsi" w:cs="Arial"/>
          <w:sz w:val="22"/>
          <w:szCs w:val="22"/>
          <w:lang w:val="hr-HR"/>
        </w:rPr>
        <w:t>.4.2.  Valutni rizik (nastavak)</w:t>
      </w:r>
    </w:p>
    <w:p w14:paraId="23DE2F12" w14:textId="77777777" w:rsidR="003706C8" w:rsidRPr="003706C8" w:rsidRDefault="003706C8" w:rsidP="003706C8">
      <w:pPr>
        <w:pStyle w:val="T1"/>
        <w:spacing w:before="0" w:after="0" w:line="240" w:lineRule="auto"/>
        <w:ind w:left="709" w:hanging="709"/>
        <w:rPr>
          <w:rFonts w:asciiTheme="minorHAnsi" w:hAnsiTheme="minorHAnsi" w:cs="Arial"/>
          <w:sz w:val="22"/>
          <w:szCs w:val="22"/>
          <w:lang w:val="hr-HR"/>
        </w:rPr>
      </w:pPr>
    </w:p>
    <w:p w14:paraId="1DC08EAC" w14:textId="5E52D878" w:rsidR="003706C8" w:rsidRPr="00D43533" w:rsidRDefault="003706C8" w:rsidP="003706C8">
      <w:pPr>
        <w:pStyle w:val="T1"/>
        <w:spacing w:before="0" w:after="0" w:line="240" w:lineRule="auto"/>
        <w:rPr>
          <w:rFonts w:asciiTheme="minorHAnsi" w:hAnsiTheme="minorHAnsi" w:cs="Arial"/>
          <w:b w:val="0"/>
          <w:bCs w:val="0"/>
          <w:sz w:val="20"/>
          <w:lang w:val="hr-HR"/>
        </w:rPr>
      </w:pPr>
      <w:r w:rsidRPr="00D43533">
        <w:rPr>
          <w:rFonts w:asciiTheme="minorHAnsi" w:hAnsiTheme="minorHAnsi" w:cs="Arial"/>
          <w:b w:val="0"/>
          <w:bCs w:val="0"/>
          <w:sz w:val="20"/>
          <w:lang w:val="hr-HR"/>
        </w:rPr>
        <w:t>Iznos ukupne imovine i uku</w:t>
      </w:r>
      <w:r w:rsidR="003B49EC">
        <w:rPr>
          <w:rFonts w:asciiTheme="minorHAnsi" w:hAnsiTheme="minorHAnsi" w:cs="Arial"/>
          <w:b w:val="0"/>
          <w:bCs w:val="0"/>
          <w:sz w:val="20"/>
          <w:lang w:val="hr-HR"/>
        </w:rPr>
        <w:t xml:space="preserve">pnih obveza i glavnice na dan </w:t>
      </w:r>
      <w:r w:rsidR="00151A86">
        <w:rPr>
          <w:rFonts w:asciiTheme="minorHAnsi" w:hAnsiTheme="minorHAnsi" w:cs="Arial"/>
          <w:b w:val="0"/>
          <w:bCs w:val="0"/>
          <w:sz w:val="20"/>
          <w:lang w:val="hr-HR"/>
        </w:rPr>
        <w:t>30</w:t>
      </w:r>
      <w:r w:rsidR="00EE3D7C">
        <w:rPr>
          <w:rFonts w:asciiTheme="minorHAnsi" w:hAnsiTheme="minorHAnsi" w:cs="Arial"/>
          <w:b w:val="0"/>
          <w:bCs w:val="0"/>
          <w:sz w:val="20"/>
          <w:lang w:val="hr-HR"/>
        </w:rPr>
        <w:t xml:space="preserve">. </w:t>
      </w:r>
      <w:r w:rsidR="00151A86">
        <w:rPr>
          <w:rFonts w:asciiTheme="minorHAnsi" w:hAnsiTheme="minorHAnsi" w:cs="Arial"/>
          <w:b w:val="0"/>
          <w:bCs w:val="0"/>
          <w:sz w:val="20"/>
          <w:lang w:val="hr-HR"/>
        </w:rPr>
        <w:t xml:space="preserve">lipnja </w:t>
      </w:r>
      <w:r w:rsidR="00EE3D7C">
        <w:rPr>
          <w:rFonts w:asciiTheme="minorHAnsi" w:hAnsiTheme="minorHAnsi" w:cs="Arial"/>
          <w:b w:val="0"/>
          <w:bCs w:val="0"/>
          <w:sz w:val="20"/>
          <w:lang w:val="hr-HR"/>
        </w:rPr>
        <w:t>2017.</w:t>
      </w:r>
      <w:r w:rsidRPr="00D43533">
        <w:rPr>
          <w:rFonts w:asciiTheme="minorHAnsi" w:hAnsiTheme="minorHAnsi" w:cs="Arial"/>
          <w:b w:val="0"/>
          <w:bCs w:val="0"/>
          <w:sz w:val="20"/>
          <w:lang w:val="hr-HR"/>
        </w:rPr>
        <w:t xml:space="preserve"> i 31. prosinca 201</w:t>
      </w:r>
      <w:r w:rsidR="00EE3D7C">
        <w:rPr>
          <w:rFonts w:asciiTheme="minorHAnsi" w:hAnsiTheme="minorHAnsi" w:cs="Arial"/>
          <w:b w:val="0"/>
          <w:bCs w:val="0"/>
          <w:sz w:val="20"/>
          <w:lang w:val="hr-HR"/>
        </w:rPr>
        <w:t>6</w:t>
      </w:r>
      <w:r w:rsidRPr="00D43533">
        <w:rPr>
          <w:rFonts w:asciiTheme="minorHAnsi" w:hAnsiTheme="minorHAnsi" w:cs="Arial"/>
          <w:b w:val="0"/>
          <w:bCs w:val="0"/>
          <w:sz w:val="20"/>
          <w:lang w:val="hr-HR"/>
        </w:rPr>
        <w:t>. godine u kunama i devizama:</w:t>
      </w:r>
    </w:p>
    <w:tbl>
      <w:tblPr>
        <w:tblW w:w="4986" w:type="pct"/>
        <w:tblLayout w:type="fixed"/>
        <w:tblCellMar>
          <w:left w:w="120" w:type="dxa"/>
          <w:right w:w="120" w:type="dxa"/>
        </w:tblCellMar>
        <w:tblLook w:val="0000" w:firstRow="0" w:lastRow="0" w:firstColumn="0" w:lastColumn="0" w:noHBand="0" w:noVBand="0"/>
      </w:tblPr>
      <w:tblGrid>
        <w:gridCol w:w="2521"/>
        <w:gridCol w:w="1165"/>
        <w:gridCol w:w="1134"/>
        <w:gridCol w:w="994"/>
        <w:gridCol w:w="1134"/>
        <w:gridCol w:w="1276"/>
        <w:gridCol w:w="1104"/>
      </w:tblGrid>
      <w:tr w:rsidR="009305DB" w:rsidRPr="00EC1653" w14:paraId="50005DAC" w14:textId="77777777" w:rsidTr="00312975">
        <w:trPr>
          <w:trHeight w:val="714"/>
        </w:trPr>
        <w:tc>
          <w:tcPr>
            <w:tcW w:w="1351" w:type="pct"/>
            <w:vAlign w:val="bottom"/>
          </w:tcPr>
          <w:p w14:paraId="7F2E1ABF" w14:textId="77777777" w:rsidR="00880F6C" w:rsidRPr="00EC1653" w:rsidRDefault="00880F6C" w:rsidP="00880F6C">
            <w:pPr>
              <w:pStyle w:val="TH"/>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Banka</w:t>
            </w:r>
          </w:p>
          <w:p w14:paraId="26C50F6B" w14:textId="77777777" w:rsidR="00880F6C" w:rsidRPr="00EC1653" w:rsidRDefault="00880F6C" w:rsidP="00880F6C">
            <w:pPr>
              <w:pStyle w:val="TH"/>
              <w:spacing w:line="240" w:lineRule="exact"/>
              <w:rPr>
                <w:rFonts w:asciiTheme="minorHAnsi" w:hAnsiTheme="minorHAnsi" w:cs="Arial"/>
                <w:sz w:val="18"/>
                <w:szCs w:val="18"/>
                <w:lang w:val="hr-HR"/>
              </w:rPr>
            </w:pPr>
          </w:p>
          <w:p w14:paraId="70ED436D" w14:textId="6AEDDBEC" w:rsidR="00880F6C" w:rsidRPr="00EC1653" w:rsidRDefault="004B6362">
            <w:pPr>
              <w:pStyle w:val="TH"/>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3</w:t>
            </w:r>
            <w:r>
              <w:rPr>
                <w:rFonts w:asciiTheme="minorHAnsi" w:hAnsiTheme="minorHAnsi" w:cs="Arial"/>
                <w:sz w:val="18"/>
                <w:szCs w:val="18"/>
                <w:lang w:val="hr-HR"/>
              </w:rPr>
              <w:t>0</w:t>
            </w:r>
            <w:r w:rsidR="00EE3D7C" w:rsidRPr="00EC1653">
              <w:rPr>
                <w:rFonts w:asciiTheme="minorHAnsi" w:hAnsiTheme="minorHAnsi" w:cs="Arial"/>
                <w:sz w:val="18"/>
                <w:szCs w:val="18"/>
                <w:lang w:val="hr-HR"/>
              </w:rPr>
              <w:t>.</w:t>
            </w:r>
            <w:r>
              <w:rPr>
                <w:rFonts w:asciiTheme="minorHAnsi" w:hAnsiTheme="minorHAnsi" w:cs="Arial"/>
                <w:sz w:val="18"/>
                <w:szCs w:val="18"/>
                <w:lang w:val="hr-HR"/>
              </w:rPr>
              <w:t>6</w:t>
            </w:r>
            <w:r w:rsidR="00EE3D7C" w:rsidRPr="00EC1653">
              <w:rPr>
                <w:rFonts w:asciiTheme="minorHAnsi" w:hAnsiTheme="minorHAnsi" w:cs="Arial"/>
                <w:sz w:val="18"/>
                <w:szCs w:val="18"/>
                <w:lang w:val="hr-HR"/>
              </w:rPr>
              <w:t>.2017.</w:t>
            </w:r>
          </w:p>
        </w:tc>
        <w:tc>
          <w:tcPr>
            <w:tcW w:w="624" w:type="pct"/>
          </w:tcPr>
          <w:p w14:paraId="59409858" w14:textId="77777777" w:rsidR="00880F6C" w:rsidRPr="00EC1653" w:rsidRDefault="00880F6C" w:rsidP="00880F6C">
            <w:pPr>
              <w:pStyle w:val="TH"/>
              <w:spacing w:line="240" w:lineRule="exact"/>
              <w:jc w:val="right"/>
              <w:rPr>
                <w:rFonts w:asciiTheme="minorHAnsi" w:hAnsiTheme="minorHAnsi" w:cs="Arial"/>
                <w:sz w:val="18"/>
                <w:szCs w:val="18"/>
                <w:lang w:val="hr-HR"/>
              </w:rPr>
            </w:pPr>
            <w:r w:rsidRPr="00EC1653">
              <w:rPr>
                <w:rFonts w:asciiTheme="minorHAnsi" w:hAnsiTheme="minorHAnsi" w:cs="Arial"/>
                <w:sz w:val="18"/>
                <w:szCs w:val="18"/>
                <w:lang w:val="hr-HR"/>
              </w:rPr>
              <w:t>USD</w:t>
            </w:r>
          </w:p>
        </w:tc>
        <w:tc>
          <w:tcPr>
            <w:tcW w:w="608" w:type="pct"/>
          </w:tcPr>
          <w:p w14:paraId="1E21499A" w14:textId="77777777" w:rsidR="00880F6C" w:rsidRPr="00EC1653" w:rsidRDefault="00880F6C" w:rsidP="00880F6C">
            <w:pPr>
              <w:pStyle w:val="TH"/>
              <w:spacing w:line="240" w:lineRule="exact"/>
              <w:jc w:val="right"/>
              <w:rPr>
                <w:rFonts w:asciiTheme="minorHAnsi" w:hAnsiTheme="minorHAnsi" w:cs="Arial"/>
                <w:sz w:val="18"/>
                <w:szCs w:val="18"/>
                <w:lang w:val="hr-HR"/>
              </w:rPr>
            </w:pPr>
            <w:r w:rsidRPr="00EC1653">
              <w:rPr>
                <w:rFonts w:asciiTheme="minorHAnsi" w:hAnsiTheme="minorHAnsi" w:cs="Arial"/>
                <w:sz w:val="18"/>
                <w:szCs w:val="18"/>
                <w:lang w:val="hr-HR"/>
              </w:rPr>
              <w:t xml:space="preserve">EUR </w:t>
            </w:r>
          </w:p>
        </w:tc>
        <w:tc>
          <w:tcPr>
            <w:tcW w:w="533" w:type="pct"/>
          </w:tcPr>
          <w:p w14:paraId="7E11666B" w14:textId="77777777" w:rsidR="00880F6C" w:rsidRPr="00EC1653" w:rsidRDefault="00880F6C" w:rsidP="00880F6C">
            <w:pPr>
              <w:pStyle w:val="TH"/>
              <w:spacing w:line="240" w:lineRule="exact"/>
              <w:jc w:val="right"/>
              <w:rPr>
                <w:rFonts w:asciiTheme="minorHAnsi" w:hAnsiTheme="minorHAnsi" w:cs="Arial"/>
                <w:sz w:val="18"/>
                <w:szCs w:val="18"/>
                <w:lang w:val="hr-HR"/>
              </w:rPr>
            </w:pPr>
            <w:r w:rsidRPr="00EC1653">
              <w:rPr>
                <w:rFonts w:asciiTheme="minorHAnsi" w:hAnsiTheme="minorHAnsi" w:cs="Arial"/>
                <w:sz w:val="18"/>
                <w:szCs w:val="18"/>
                <w:lang w:val="hr-HR"/>
              </w:rPr>
              <w:t>Ostale devize</w:t>
            </w:r>
          </w:p>
        </w:tc>
        <w:tc>
          <w:tcPr>
            <w:tcW w:w="608" w:type="pct"/>
          </w:tcPr>
          <w:p w14:paraId="7C931007" w14:textId="77777777" w:rsidR="00880F6C" w:rsidRPr="00EC1653" w:rsidRDefault="00880F6C" w:rsidP="00880F6C">
            <w:pPr>
              <w:pStyle w:val="TH"/>
              <w:spacing w:line="240" w:lineRule="exact"/>
              <w:jc w:val="right"/>
              <w:rPr>
                <w:rFonts w:asciiTheme="minorHAnsi" w:hAnsiTheme="minorHAnsi" w:cs="Arial"/>
                <w:sz w:val="18"/>
                <w:szCs w:val="18"/>
                <w:lang w:val="hr-HR"/>
              </w:rPr>
            </w:pPr>
            <w:r w:rsidRPr="00EC1653">
              <w:rPr>
                <w:rFonts w:asciiTheme="minorHAnsi" w:hAnsiTheme="minorHAnsi" w:cs="Arial"/>
                <w:sz w:val="18"/>
                <w:szCs w:val="18"/>
                <w:lang w:val="hr-HR"/>
              </w:rPr>
              <w:t>Ukupno devize</w:t>
            </w:r>
          </w:p>
        </w:tc>
        <w:tc>
          <w:tcPr>
            <w:tcW w:w="684" w:type="pct"/>
          </w:tcPr>
          <w:p w14:paraId="30DAD1CF" w14:textId="77777777" w:rsidR="00880F6C" w:rsidRPr="00EC1653" w:rsidRDefault="00880F6C" w:rsidP="00880F6C">
            <w:pPr>
              <w:pStyle w:val="TH"/>
              <w:spacing w:line="240" w:lineRule="exact"/>
              <w:jc w:val="right"/>
              <w:rPr>
                <w:rFonts w:asciiTheme="minorHAnsi" w:hAnsiTheme="minorHAnsi" w:cs="Arial"/>
                <w:sz w:val="18"/>
                <w:szCs w:val="18"/>
                <w:lang w:val="hr-HR"/>
              </w:rPr>
            </w:pPr>
            <w:r w:rsidRPr="00EC1653">
              <w:rPr>
                <w:rFonts w:asciiTheme="minorHAnsi" w:hAnsiTheme="minorHAnsi" w:cs="Arial"/>
                <w:sz w:val="18"/>
                <w:szCs w:val="18"/>
                <w:lang w:val="hr-HR"/>
              </w:rPr>
              <w:t>Kune</w:t>
            </w:r>
          </w:p>
        </w:tc>
        <w:tc>
          <w:tcPr>
            <w:tcW w:w="592" w:type="pct"/>
          </w:tcPr>
          <w:p w14:paraId="55AFB004" w14:textId="77777777" w:rsidR="00880F6C" w:rsidRPr="00EC1653" w:rsidRDefault="00880F6C" w:rsidP="00880F6C">
            <w:pPr>
              <w:pStyle w:val="TH"/>
              <w:spacing w:line="240" w:lineRule="exact"/>
              <w:jc w:val="right"/>
              <w:rPr>
                <w:rFonts w:asciiTheme="minorHAnsi" w:hAnsiTheme="minorHAnsi" w:cs="Arial"/>
                <w:sz w:val="18"/>
                <w:szCs w:val="18"/>
                <w:lang w:val="hr-HR"/>
              </w:rPr>
            </w:pPr>
            <w:r w:rsidRPr="00EC1653">
              <w:rPr>
                <w:rFonts w:asciiTheme="minorHAnsi" w:hAnsiTheme="minorHAnsi" w:cs="Arial"/>
                <w:sz w:val="18"/>
                <w:szCs w:val="18"/>
                <w:lang w:val="hr-HR"/>
              </w:rPr>
              <w:t>Ukupno</w:t>
            </w:r>
          </w:p>
        </w:tc>
      </w:tr>
      <w:tr w:rsidR="009305DB" w:rsidRPr="00EC1653" w14:paraId="08EC2BC2" w14:textId="77777777" w:rsidTr="00312975">
        <w:trPr>
          <w:trHeight w:val="234"/>
        </w:trPr>
        <w:tc>
          <w:tcPr>
            <w:tcW w:w="1351" w:type="pct"/>
          </w:tcPr>
          <w:p w14:paraId="39166F9E" w14:textId="77777777" w:rsidR="00880F6C" w:rsidRPr="00EC1653" w:rsidRDefault="00880F6C" w:rsidP="00880F6C">
            <w:pPr>
              <w:pStyle w:val="TH"/>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Imovina</w:t>
            </w:r>
          </w:p>
        </w:tc>
        <w:tc>
          <w:tcPr>
            <w:tcW w:w="624" w:type="pct"/>
            <w:vAlign w:val="bottom"/>
          </w:tcPr>
          <w:p w14:paraId="2CC4DBF6" w14:textId="77777777" w:rsidR="00880F6C" w:rsidRPr="00EC1653" w:rsidRDefault="00880F6C" w:rsidP="00880F6C">
            <w:pPr>
              <w:spacing w:after="0" w:line="240" w:lineRule="exact"/>
              <w:jc w:val="right"/>
              <w:rPr>
                <w:rFonts w:eastAsia="Arial Unicode MS" w:cs="Arial"/>
                <w:sz w:val="18"/>
                <w:szCs w:val="18"/>
              </w:rPr>
            </w:pPr>
          </w:p>
        </w:tc>
        <w:tc>
          <w:tcPr>
            <w:tcW w:w="608" w:type="pct"/>
            <w:vAlign w:val="bottom"/>
          </w:tcPr>
          <w:p w14:paraId="173744DC" w14:textId="77777777" w:rsidR="00880F6C" w:rsidRPr="00EC1653" w:rsidRDefault="00880F6C" w:rsidP="00880F6C">
            <w:pPr>
              <w:spacing w:after="0" w:line="240" w:lineRule="exact"/>
              <w:jc w:val="right"/>
              <w:rPr>
                <w:rFonts w:eastAsia="Arial Unicode MS" w:cs="Arial"/>
                <w:sz w:val="18"/>
                <w:szCs w:val="18"/>
              </w:rPr>
            </w:pPr>
          </w:p>
        </w:tc>
        <w:tc>
          <w:tcPr>
            <w:tcW w:w="533" w:type="pct"/>
            <w:vAlign w:val="bottom"/>
          </w:tcPr>
          <w:p w14:paraId="3E597341" w14:textId="77777777" w:rsidR="00880F6C" w:rsidRPr="00EC1653" w:rsidRDefault="00880F6C" w:rsidP="00880F6C">
            <w:pPr>
              <w:spacing w:after="0" w:line="240" w:lineRule="exact"/>
              <w:jc w:val="right"/>
              <w:rPr>
                <w:rFonts w:eastAsia="Arial Unicode MS" w:cs="Arial"/>
                <w:sz w:val="18"/>
                <w:szCs w:val="18"/>
              </w:rPr>
            </w:pPr>
          </w:p>
        </w:tc>
        <w:tc>
          <w:tcPr>
            <w:tcW w:w="608" w:type="pct"/>
            <w:vAlign w:val="bottom"/>
          </w:tcPr>
          <w:p w14:paraId="08A75B75" w14:textId="77777777" w:rsidR="00880F6C" w:rsidRPr="00EC1653" w:rsidRDefault="00880F6C" w:rsidP="00880F6C">
            <w:pPr>
              <w:spacing w:after="0" w:line="240" w:lineRule="exact"/>
              <w:jc w:val="right"/>
              <w:rPr>
                <w:rFonts w:eastAsia="Arial Unicode MS" w:cs="Arial"/>
                <w:sz w:val="18"/>
                <w:szCs w:val="18"/>
              </w:rPr>
            </w:pPr>
          </w:p>
        </w:tc>
        <w:tc>
          <w:tcPr>
            <w:tcW w:w="684" w:type="pct"/>
            <w:vAlign w:val="bottom"/>
          </w:tcPr>
          <w:p w14:paraId="176C5EFD" w14:textId="77777777" w:rsidR="00880F6C" w:rsidRPr="00EC1653" w:rsidRDefault="00880F6C" w:rsidP="00880F6C">
            <w:pPr>
              <w:spacing w:after="0" w:line="240" w:lineRule="exact"/>
              <w:jc w:val="right"/>
              <w:rPr>
                <w:rFonts w:eastAsia="Arial Unicode MS" w:cs="Arial"/>
                <w:sz w:val="18"/>
                <w:szCs w:val="18"/>
              </w:rPr>
            </w:pPr>
          </w:p>
        </w:tc>
        <w:tc>
          <w:tcPr>
            <w:tcW w:w="592" w:type="pct"/>
            <w:vAlign w:val="bottom"/>
          </w:tcPr>
          <w:p w14:paraId="3384CE54" w14:textId="77777777" w:rsidR="00880F6C" w:rsidRPr="00EC1653" w:rsidRDefault="00880F6C" w:rsidP="00880F6C">
            <w:pPr>
              <w:spacing w:after="0" w:line="240" w:lineRule="exact"/>
              <w:jc w:val="right"/>
              <w:rPr>
                <w:rFonts w:eastAsia="Arial Unicode MS" w:cs="Arial"/>
                <w:sz w:val="18"/>
                <w:szCs w:val="18"/>
              </w:rPr>
            </w:pPr>
          </w:p>
        </w:tc>
      </w:tr>
      <w:tr w:rsidR="009305DB" w:rsidRPr="00EC1653" w14:paraId="17D0216E" w14:textId="77777777" w:rsidTr="00312975">
        <w:trPr>
          <w:trHeight w:val="468"/>
        </w:trPr>
        <w:tc>
          <w:tcPr>
            <w:tcW w:w="1351" w:type="pct"/>
          </w:tcPr>
          <w:p w14:paraId="675770A4" w14:textId="77777777" w:rsidR="00A77BD1" w:rsidRPr="00EC1653" w:rsidRDefault="00A77BD1" w:rsidP="00A77BD1">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Novčana sredstva i računi kod banaka</w:t>
            </w:r>
          </w:p>
        </w:tc>
        <w:tc>
          <w:tcPr>
            <w:tcW w:w="624" w:type="pct"/>
            <w:tcBorders>
              <w:top w:val="nil"/>
              <w:left w:val="nil"/>
              <w:bottom w:val="nil"/>
              <w:right w:val="nil"/>
            </w:tcBorders>
            <w:shd w:val="clear" w:color="auto" w:fill="auto"/>
            <w:vAlign w:val="bottom"/>
          </w:tcPr>
          <w:p w14:paraId="20892224" w14:textId="421AE598"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8.449</w:t>
            </w:r>
          </w:p>
        </w:tc>
        <w:tc>
          <w:tcPr>
            <w:tcW w:w="608" w:type="pct"/>
            <w:tcBorders>
              <w:top w:val="nil"/>
              <w:left w:val="nil"/>
              <w:bottom w:val="nil"/>
              <w:right w:val="nil"/>
            </w:tcBorders>
            <w:shd w:val="clear" w:color="auto" w:fill="auto"/>
            <w:vAlign w:val="bottom"/>
          </w:tcPr>
          <w:p w14:paraId="47EF7B65" w14:textId="1CE6D19C"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173.850</w:t>
            </w:r>
          </w:p>
        </w:tc>
        <w:tc>
          <w:tcPr>
            <w:tcW w:w="533" w:type="pct"/>
            <w:tcBorders>
              <w:top w:val="nil"/>
              <w:left w:val="nil"/>
              <w:bottom w:val="nil"/>
              <w:right w:val="nil"/>
            </w:tcBorders>
            <w:shd w:val="clear" w:color="auto" w:fill="auto"/>
            <w:vAlign w:val="bottom"/>
          </w:tcPr>
          <w:p w14:paraId="495DB3FF" w14:textId="5E041BE5"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2.090</w:t>
            </w:r>
          </w:p>
        </w:tc>
        <w:tc>
          <w:tcPr>
            <w:tcW w:w="608" w:type="pct"/>
            <w:tcBorders>
              <w:top w:val="nil"/>
              <w:left w:val="nil"/>
              <w:bottom w:val="nil"/>
              <w:right w:val="nil"/>
            </w:tcBorders>
            <w:shd w:val="clear" w:color="auto" w:fill="auto"/>
            <w:vAlign w:val="bottom"/>
          </w:tcPr>
          <w:p w14:paraId="2ACF2377" w14:textId="5EAF124E"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184.389</w:t>
            </w:r>
          </w:p>
        </w:tc>
        <w:tc>
          <w:tcPr>
            <w:tcW w:w="684" w:type="pct"/>
            <w:tcBorders>
              <w:top w:val="nil"/>
              <w:left w:val="nil"/>
              <w:bottom w:val="nil"/>
              <w:right w:val="nil"/>
            </w:tcBorders>
            <w:shd w:val="clear" w:color="auto" w:fill="auto"/>
            <w:vAlign w:val="bottom"/>
          </w:tcPr>
          <w:p w14:paraId="6790604C" w14:textId="7D5E2CAC"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1.495.644</w:t>
            </w:r>
          </w:p>
        </w:tc>
        <w:tc>
          <w:tcPr>
            <w:tcW w:w="592" w:type="pct"/>
            <w:tcBorders>
              <w:top w:val="nil"/>
              <w:left w:val="nil"/>
              <w:bottom w:val="nil"/>
            </w:tcBorders>
            <w:shd w:val="clear" w:color="auto" w:fill="auto"/>
            <w:vAlign w:val="bottom"/>
          </w:tcPr>
          <w:p w14:paraId="28CB3C2C" w14:textId="20E4C9BB"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1.680.033</w:t>
            </w:r>
          </w:p>
        </w:tc>
      </w:tr>
      <w:tr w:rsidR="009305DB" w:rsidRPr="00EC1653" w14:paraId="0444E2A4" w14:textId="77777777" w:rsidTr="00312975">
        <w:trPr>
          <w:trHeight w:val="234"/>
        </w:trPr>
        <w:tc>
          <w:tcPr>
            <w:tcW w:w="1351" w:type="pct"/>
          </w:tcPr>
          <w:p w14:paraId="269F2A57" w14:textId="77777777" w:rsidR="00A77BD1" w:rsidRPr="00EC1653" w:rsidRDefault="00A77BD1" w:rsidP="00A77BD1">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Depoziti kod drugih banaka</w:t>
            </w:r>
          </w:p>
        </w:tc>
        <w:tc>
          <w:tcPr>
            <w:tcW w:w="624" w:type="pct"/>
            <w:tcBorders>
              <w:top w:val="nil"/>
              <w:left w:val="nil"/>
              <w:bottom w:val="nil"/>
              <w:right w:val="nil"/>
            </w:tcBorders>
            <w:shd w:val="clear" w:color="auto" w:fill="auto"/>
            <w:vAlign w:val="bottom"/>
          </w:tcPr>
          <w:p w14:paraId="432819FB" w14:textId="041BDF88"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w:t>
            </w:r>
          </w:p>
        </w:tc>
        <w:tc>
          <w:tcPr>
            <w:tcW w:w="608" w:type="pct"/>
            <w:tcBorders>
              <w:top w:val="nil"/>
              <w:left w:val="nil"/>
              <w:bottom w:val="nil"/>
              <w:right w:val="nil"/>
            </w:tcBorders>
            <w:shd w:val="clear" w:color="auto" w:fill="auto"/>
            <w:vAlign w:val="bottom"/>
          </w:tcPr>
          <w:p w14:paraId="74798BDF" w14:textId="3C5B1AA8"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18</w:t>
            </w:r>
          </w:p>
        </w:tc>
        <w:tc>
          <w:tcPr>
            <w:tcW w:w="533" w:type="pct"/>
            <w:tcBorders>
              <w:top w:val="nil"/>
              <w:left w:val="nil"/>
              <w:bottom w:val="nil"/>
              <w:right w:val="nil"/>
            </w:tcBorders>
            <w:shd w:val="clear" w:color="auto" w:fill="auto"/>
            <w:vAlign w:val="bottom"/>
          </w:tcPr>
          <w:p w14:paraId="75F7D41B" w14:textId="0E1A65FE"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1.530</w:t>
            </w:r>
          </w:p>
        </w:tc>
        <w:tc>
          <w:tcPr>
            <w:tcW w:w="608" w:type="pct"/>
            <w:tcBorders>
              <w:top w:val="nil"/>
              <w:left w:val="nil"/>
              <w:bottom w:val="nil"/>
              <w:right w:val="nil"/>
            </w:tcBorders>
            <w:shd w:val="clear" w:color="auto" w:fill="auto"/>
            <w:vAlign w:val="bottom"/>
          </w:tcPr>
          <w:p w14:paraId="3F9117CE" w14:textId="25C77547"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1.548</w:t>
            </w:r>
          </w:p>
        </w:tc>
        <w:tc>
          <w:tcPr>
            <w:tcW w:w="684" w:type="pct"/>
            <w:tcBorders>
              <w:top w:val="nil"/>
              <w:left w:val="nil"/>
              <w:bottom w:val="nil"/>
              <w:right w:val="nil"/>
            </w:tcBorders>
            <w:shd w:val="clear" w:color="auto" w:fill="auto"/>
            <w:vAlign w:val="bottom"/>
          </w:tcPr>
          <w:p w14:paraId="3C4B0763" w14:textId="6FEADA84"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w:t>
            </w:r>
          </w:p>
        </w:tc>
        <w:tc>
          <w:tcPr>
            <w:tcW w:w="592" w:type="pct"/>
            <w:tcBorders>
              <w:top w:val="nil"/>
              <w:left w:val="nil"/>
              <w:bottom w:val="nil"/>
            </w:tcBorders>
            <w:shd w:val="clear" w:color="auto" w:fill="auto"/>
            <w:vAlign w:val="bottom"/>
          </w:tcPr>
          <w:p w14:paraId="25673ABB" w14:textId="1FCDDCDC"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1.548</w:t>
            </w:r>
          </w:p>
        </w:tc>
      </w:tr>
      <w:tr w:rsidR="009305DB" w:rsidRPr="00EC1653" w14:paraId="17F16EA9" w14:textId="77777777" w:rsidTr="00312975">
        <w:trPr>
          <w:trHeight w:val="234"/>
        </w:trPr>
        <w:tc>
          <w:tcPr>
            <w:tcW w:w="1351" w:type="pct"/>
          </w:tcPr>
          <w:p w14:paraId="61B764B9" w14:textId="77777777" w:rsidR="00A77BD1" w:rsidRPr="00EC1653" w:rsidRDefault="00A77BD1" w:rsidP="00A77BD1">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Krediti financijskim institucijama</w:t>
            </w:r>
          </w:p>
        </w:tc>
        <w:tc>
          <w:tcPr>
            <w:tcW w:w="624" w:type="pct"/>
            <w:tcBorders>
              <w:top w:val="nil"/>
              <w:left w:val="nil"/>
              <w:bottom w:val="nil"/>
              <w:right w:val="nil"/>
            </w:tcBorders>
            <w:shd w:val="clear" w:color="auto" w:fill="auto"/>
            <w:vAlign w:val="bottom"/>
          </w:tcPr>
          <w:p w14:paraId="53A0016C" w14:textId="379EB4C5"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w:t>
            </w:r>
          </w:p>
        </w:tc>
        <w:tc>
          <w:tcPr>
            <w:tcW w:w="608" w:type="pct"/>
            <w:tcBorders>
              <w:top w:val="nil"/>
              <w:left w:val="nil"/>
              <w:bottom w:val="nil"/>
              <w:right w:val="nil"/>
            </w:tcBorders>
            <w:shd w:val="clear" w:color="auto" w:fill="auto"/>
            <w:vAlign w:val="bottom"/>
          </w:tcPr>
          <w:p w14:paraId="3C635B82" w14:textId="5E89C307"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6.483.559</w:t>
            </w:r>
          </w:p>
        </w:tc>
        <w:tc>
          <w:tcPr>
            <w:tcW w:w="533" w:type="pct"/>
            <w:tcBorders>
              <w:top w:val="nil"/>
              <w:left w:val="nil"/>
              <w:bottom w:val="nil"/>
              <w:right w:val="nil"/>
            </w:tcBorders>
            <w:shd w:val="clear" w:color="auto" w:fill="auto"/>
            <w:vAlign w:val="bottom"/>
          </w:tcPr>
          <w:p w14:paraId="4ABA6ACF" w14:textId="660BDF19"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608" w:type="pct"/>
            <w:tcBorders>
              <w:top w:val="nil"/>
              <w:left w:val="nil"/>
              <w:bottom w:val="nil"/>
              <w:right w:val="nil"/>
            </w:tcBorders>
            <w:shd w:val="clear" w:color="auto" w:fill="auto"/>
            <w:vAlign w:val="bottom"/>
          </w:tcPr>
          <w:p w14:paraId="6CA06635" w14:textId="707AB013"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6.483.559</w:t>
            </w:r>
          </w:p>
        </w:tc>
        <w:tc>
          <w:tcPr>
            <w:tcW w:w="684" w:type="pct"/>
            <w:tcBorders>
              <w:top w:val="nil"/>
              <w:left w:val="nil"/>
              <w:bottom w:val="nil"/>
              <w:right w:val="nil"/>
            </w:tcBorders>
            <w:shd w:val="clear" w:color="auto" w:fill="auto"/>
            <w:vAlign w:val="bottom"/>
          </w:tcPr>
          <w:p w14:paraId="607DE561" w14:textId="2DC1BB9E"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4.829.943</w:t>
            </w:r>
          </w:p>
        </w:tc>
        <w:tc>
          <w:tcPr>
            <w:tcW w:w="592" w:type="pct"/>
            <w:tcBorders>
              <w:top w:val="nil"/>
              <w:left w:val="nil"/>
              <w:bottom w:val="nil"/>
            </w:tcBorders>
            <w:shd w:val="clear" w:color="auto" w:fill="auto"/>
            <w:vAlign w:val="bottom"/>
          </w:tcPr>
          <w:p w14:paraId="58D5AA41" w14:textId="7C4779D5"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11.313.502</w:t>
            </w:r>
          </w:p>
        </w:tc>
      </w:tr>
      <w:tr w:rsidR="009305DB" w:rsidRPr="00EC1653" w14:paraId="3453EF2A" w14:textId="77777777" w:rsidTr="00312975">
        <w:trPr>
          <w:trHeight w:val="245"/>
        </w:trPr>
        <w:tc>
          <w:tcPr>
            <w:tcW w:w="1351" w:type="pct"/>
          </w:tcPr>
          <w:p w14:paraId="242F0437" w14:textId="77777777" w:rsidR="00A77BD1" w:rsidRPr="00EC1653" w:rsidRDefault="00A77BD1" w:rsidP="00A77BD1">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Krediti ostalim korisnicima</w:t>
            </w:r>
          </w:p>
        </w:tc>
        <w:tc>
          <w:tcPr>
            <w:tcW w:w="624" w:type="pct"/>
            <w:tcBorders>
              <w:top w:val="nil"/>
              <w:left w:val="nil"/>
              <w:bottom w:val="nil"/>
              <w:right w:val="nil"/>
            </w:tcBorders>
            <w:shd w:val="clear" w:color="auto" w:fill="auto"/>
            <w:vAlign w:val="bottom"/>
          </w:tcPr>
          <w:p w14:paraId="3AC17C03" w14:textId="5D19CD9F"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460.219</w:t>
            </w:r>
          </w:p>
        </w:tc>
        <w:tc>
          <w:tcPr>
            <w:tcW w:w="608" w:type="pct"/>
            <w:tcBorders>
              <w:top w:val="nil"/>
              <w:left w:val="nil"/>
              <w:bottom w:val="nil"/>
              <w:right w:val="nil"/>
            </w:tcBorders>
            <w:shd w:val="clear" w:color="auto" w:fill="auto"/>
            <w:vAlign w:val="bottom"/>
          </w:tcPr>
          <w:p w14:paraId="2BBF4440" w14:textId="41F246AC"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8.243.924</w:t>
            </w:r>
          </w:p>
        </w:tc>
        <w:tc>
          <w:tcPr>
            <w:tcW w:w="533" w:type="pct"/>
            <w:tcBorders>
              <w:top w:val="nil"/>
              <w:left w:val="nil"/>
              <w:bottom w:val="nil"/>
              <w:right w:val="nil"/>
            </w:tcBorders>
            <w:shd w:val="clear" w:color="auto" w:fill="auto"/>
            <w:vAlign w:val="bottom"/>
          </w:tcPr>
          <w:p w14:paraId="63AA17D3" w14:textId="068DFC45"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608" w:type="pct"/>
            <w:tcBorders>
              <w:top w:val="nil"/>
              <w:left w:val="nil"/>
              <w:bottom w:val="nil"/>
              <w:right w:val="nil"/>
            </w:tcBorders>
            <w:shd w:val="clear" w:color="auto" w:fill="auto"/>
            <w:vAlign w:val="bottom"/>
          </w:tcPr>
          <w:p w14:paraId="0F60EBEC" w14:textId="101396FF"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8.704.143</w:t>
            </w:r>
          </w:p>
        </w:tc>
        <w:tc>
          <w:tcPr>
            <w:tcW w:w="684" w:type="pct"/>
            <w:tcBorders>
              <w:top w:val="nil"/>
              <w:left w:val="nil"/>
              <w:bottom w:val="nil"/>
              <w:right w:val="nil"/>
            </w:tcBorders>
            <w:shd w:val="clear" w:color="auto" w:fill="auto"/>
            <w:vAlign w:val="bottom"/>
          </w:tcPr>
          <w:p w14:paraId="1447704A" w14:textId="5A946364"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2.942.971</w:t>
            </w:r>
          </w:p>
        </w:tc>
        <w:tc>
          <w:tcPr>
            <w:tcW w:w="592" w:type="pct"/>
            <w:tcBorders>
              <w:top w:val="nil"/>
              <w:left w:val="nil"/>
              <w:bottom w:val="nil"/>
            </w:tcBorders>
            <w:shd w:val="clear" w:color="auto" w:fill="auto"/>
            <w:vAlign w:val="bottom"/>
          </w:tcPr>
          <w:p w14:paraId="13AB792A" w14:textId="09B5DA5C"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11.647.114</w:t>
            </w:r>
          </w:p>
        </w:tc>
      </w:tr>
      <w:tr w:rsidR="009305DB" w:rsidRPr="00EC1653" w14:paraId="60702823" w14:textId="77777777" w:rsidTr="00312975">
        <w:trPr>
          <w:trHeight w:val="234"/>
        </w:trPr>
        <w:tc>
          <w:tcPr>
            <w:tcW w:w="1351" w:type="pct"/>
          </w:tcPr>
          <w:p w14:paraId="130AECDC" w14:textId="77777777" w:rsidR="00A77BD1" w:rsidRPr="00EC1653" w:rsidRDefault="00A77BD1" w:rsidP="00A77BD1">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Imovina raspoloživa za prodaju</w:t>
            </w:r>
          </w:p>
        </w:tc>
        <w:tc>
          <w:tcPr>
            <w:tcW w:w="624" w:type="pct"/>
            <w:tcBorders>
              <w:top w:val="nil"/>
              <w:left w:val="nil"/>
              <w:bottom w:val="nil"/>
              <w:right w:val="nil"/>
            </w:tcBorders>
            <w:shd w:val="clear" w:color="auto" w:fill="auto"/>
            <w:vAlign w:val="bottom"/>
          </w:tcPr>
          <w:p w14:paraId="252D7C28" w14:textId="2086A589"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608" w:type="pct"/>
            <w:tcBorders>
              <w:top w:val="nil"/>
              <w:left w:val="nil"/>
              <w:bottom w:val="nil"/>
              <w:right w:val="nil"/>
            </w:tcBorders>
            <w:shd w:val="clear" w:color="auto" w:fill="auto"/>
            <w:vAlign w:val="bottom"/>
          </w:tcPr>
          <w:p w14:paraId="5D00C1E7" w14:textId="68892F64"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838.568</w:t>
            </w:r>
          </w:p>
        </w:tc>
        <w:tc>
          <w:tcPr>
            <w:tcW w:w="533" w:type="pct"/>
            <w:tcBorders>
              <w:top w:val="nil"/>
              <w:left w:val="nil"/>
              <w:bottom w:val="nil"/>
              <w:right w:val="nil"/>
            </w:tcBorders>
            <w:shd w:val="clear" w:color="auto" w:fill="auto"/>
            <w:vAlign w:val="bottom"/>
          </w:tcPr>
          <w:p w14:paraId="011B9DAD" w14:textId="71EBF920"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608" w:type="pct"/>
            <w:tcBorders>
              <w:top w:val="nil"/>
              <w:left w:val="nil"/>
              <w:bottom w:val="nil"/>
              <w:right w:val="nil"/>
            </w:tcBorders>
            <w:shd w:val="clear" w:color="auto" w:fill="auto"/>
            <w:vAlign w:val="bottom"/>
          </w:tcPr>
          <w:p w14:paraId="1B7CB8C3" w14:textId="04C12CC0"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838.568</w:t>
            </w:r>
          </w:p>
        </w:tc>
        <w:tc>
          <w:tcPr>
            <w:tcW w:w="684" w:type="pct"/>
            <w:tcBorders>
              <w:top w:val="nil"/>
              <w:left w:val="nil"/>
              <w:bottom w:val="nil"/>
              <w:right w:val="nil"/>
            </w:tcBorders>
            <w:shd w:val="clear" w:color="auto" w:fill="auto"/>
            <w:vAlign w:val="bottom"/>
          </w:tcPr>
          <w:p w14:paraId="1AC8CC30" w14:textId="01DE796D"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2.209.356</w:t>
            </w:r>
          </w:p>
        </w:tc>
        <w:tc>
          <w:tcPr>
            <w:tcW w:w="592" w:type="pct"/>
            <w:tcBorders>
              <w:top w:val="nil"/>
              <w:left w:val="nil"/>
              <w:bottom w:val="nil"/>
            </w:tcBorders>
            <w:shd w:val="clear" w:color="auto" w:fill="auto"/>
            <w:vAlign w:val="bottom"/>
          </w:tcPr>
          <w:p w14:paraId="244E0706" w14:textId="4EE4FC80"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3.047.924</w:t>
            </w:r>
          </w:p>
        </w:tc>
      </w:tr>
      <w:tr w:rsidR="009305DB" w:rsidRPr="00EC1653" w14:paraId="68D8BDE0" w14:textId="77777777" w:rsidTr="00312975">
        <w:trPr>
          <w:trHeight w:val="234"/>
        </w:trPr>
        <w:tc>
          <w:tcPr>
            <w:tcW w:w="1351" w:type="pct"/>
          </w:tcPr>
          <w:p w14:paraId="49C0BCB0" w14:textId="77777777" w:rsidR="00A77BD1" w:rsidRPr="00EC1653" w:rsidRDefault="00A77BD1" w:rsidP="00A77BD1">
            <w:pPr>
              <w:pStyle w:val="TT"/>
              <w:spacing w:line="240" w:lineRule="exact"/>
              <w:rPr>
                <w:rFonts w:asciiTheme="minorHAnsi" w:hAnsiTheme="minorHAnsi" w:cs="Arial"/>
                <w:spacing w:val="-2"/>
                <w:sz w:val="18"/>
                <w:szCs w:val="18"/>
                <w:lang w:val="hr-HR"/>
              </w:rPr>
            </w:pPr>
            <w:r w:rsidRPr="00EC1653">
              <w:rPr>
                <w:rFonts w:asciiTheme="minorHAnsi" w:hAnsiTheme="minorHAnsi" w:cs="Arial"/>
                <w:spacing w:val="-2"/>
                <w:sz w:val="18"/>
                <w:szCs w:val="18"/>
                <w:lang w:val="hr-HR"/>
              </w:rPr>
              <w:t>Ulaganja u ovisna društva</w:t>
            </w:r>
          </w:p>
        </w:tc>
        <w:tc>
          <w:tcPr>
            <w:tcW w:w="624" w:type="pct"/>
            <w:tcBorders>
              <w:top w:val="nil"/>
              <w:left w:val="nil"/>
              <w:bottom w:val="nil"/>
              <w:right w:val="nil"/>
            </w:tcBorders>
            <w:shd w:val="clear" w:color="auto" w:fill="auto"/>
            <w:vAlign w:val="bottom"/>
          </w:tcPr>
          <w:p w14:paraId="021398BD" w14:textId="41B7934B"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608" w:type="pct"/>
            <w:tcBorders>
              <w:top w:val="nil"/>
              <w:left w:val="nil"/>
              <w:bottom w:val="nil"/>
              <w:right w:val="nil"/>
            </w:tcBorders>
            <w:shd w:val="clear" w:color="auto" w:fill="auto"/>
            <w:vAlign w:val="bottom"/>
          </w:tcPr>
          <w:p w14:paraId="44D7343F" w14:textId="3A9A7817"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533" w:type="pct"/>
            <w:tcBorders>
              <w:top w:val="nil"/>
              <w:left w:val="nil"/>
              <w:bottom w:val="nil"/>
              <w:right w:val="nil"/>
            </w:tcBorders>
            <w:shd w:val="clear" w:color="auto" w:fill="auto"/>
            <w:vAlign w:val="bottom"/>
          </w:tcPr>
          <w:p w14:paraId="0EFC2777" w14:textId="52FDEE02"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608" w:type="pct"/>
            <w:tcBorders>
              <w:top w:val="nil"/>
              <w:left w:val="nil"/>
              <w:bottom w:val="nil"/>
              <w:right w:val="nil"/>
            </w:tcBorders>
            <w:shd w:val="clear" w:color="auto" w:fill="auto"/>
            <w:vAlign w:val="bottom"/>
          </w:tcPr>
          <w:p w14:paraId="7A82AAC9" w14:textId="72A0B2E4"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w:t>
            </w:r>
          </w:p>
        </w:tc>
        <w:tc>
          <w:tcPr>
            <w:tcW w:w="684" w:type="pct"/>
            <w:tcBorders>
              <w:top w:val="nil"/>
              <w:left w:val="nil"/>
              <w:bottom w:val="nil"/>
              <w:right w:val="nil"/>
            </w:tcBorders>
            <w:shd w:val="clear" w:color="auto" w:fill="auto"/>
            <w:vAlign w:val="bottom"/>
          </w:tcPr>
          <w:p w14:paraId="01DEE7D2" w14:textId="19FBD1D0"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36.124</w:t>
            </w:r>
          </w:p>
        </w:tc>
        <w:tc>
          <w:tcPr>
            <w:tcW w:w="592" w:type="pct"/>
            <w:tcBorders>
              <w:top w:val="nil"/>
              <w:left w:val="nil"/>
              <w:bottom w:val="nil"/>
            </w:tcBorders>
            <w:shd w:val="clear" w:color="auto" w:fill="auto"/>
            <w:vAlign w:val="bottom"/>
          </w:tcPr>
          <w:p w14:paraId="5F700E12" w14:textId="6CACCB23"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36.124</w:t>
            </w:r>
          </w:p>
        </w:tc>
      </w:tr>
      <w:tr w:rsidR="009305DB" w:rsidRPr="00EC1653" w14:paraId="3C9044B8" w14:textId="77777777" w:rsidTr="00312975">
        <w:trPr>
          <w:trHeight w:val="234"/>
        </w:trPr>
        <w:tc>
          <w:tcPr>
            <w:tcW w:w="1351" w:type="pct"/>
          </w:tcPr>
          <w:p w14:paraId="5DF93C73" w14:textId="11C06243" w:rsidR="00A77BD1" w:rsidRPr="00EC1653" w:rsidRDefault="00A77BD1" w:rsidP="00A77BD1">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Ulaganja u pridružena društva</w:t>
            </w:r>
          </w:p>
        </w:tc>
        <w:tc>
          <w:tcPr>
            <w:tcW w:w="624" w:type="pct"/>
            <w:tcBorders>
              <w:top w:val="nil"/>
              <w:left w:val="nil"/>
              <w:bottom w:val="nil"/>
              <w:right w:val="nil"/>
            </w:tcBorders>
            <w:shd w:val="clear" w:color="auto" w:fill="auto"/>
            <w:vAlign w:val="bottom"/>
          </w:tcPr>
          <w:p w14:paraId="3D90EE34" w14:textId="3BF9EEDB"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608" w:type="pct"/>
            <w:tcBorders>
              <w:top w:val="nil"/>
              <w:left w:val="nil"/>
              <w:bottom w:val="nil"/>
              <w:right w:val="nil"/>
            </w:tcBorders>
            <w:shd w:val="clear" w:color="auto" w:fill="auto"/>
            <w:vAlign w:val="bottom"/>
          </w:tcPr>
          <w:p w14:paraId="7C0F2657" w14:textId="7E4D2C2F"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533" w:type="pct"/>
            <w:tcBorders>
              <w:top w:val="nil"/>
              <w:left w:val="nil"/>
              <w:bottom w:val="nil"/>
              <w:right w:val="nil"/>
            </w:tcBorders>
            <w:shd w:val="clear" w:color="auto" w:fill="auto"/>
            <w:vAlign w:val="bottom"/>
          </w:tcPr>
          <w:p w14:paraId="6C3ED58F" w14:textId="71A5051A"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608" w:type="pct"/>
            <w:tcBorders>
              <w:top w:val="nil"/>
              <w:left w:val="nil"/>
              <w:bottom w:val="nil"/>
              <w:right w:val="nil"/>
            </w:tcBorders>
            <w:shd w:val="clear" w:color="auto" w:fill="auto"/>
            <w:vAlign w:val="bottom"/>
          </w:tcPr>
          <w:p w14:paraId="4193B5D3" w14:textId="62C1A45D"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684" w:type="pct"/>
            <w:tcBorders>
              <w:top w:val="nil"/>
              <w:left w:val="nil"/>
              <w:bottom w:val="nil"/>
              <w:right w:val="nil"/>
            </w:tcBorders>
            <w:shd w:val="clear" w:color="auto" w:fill="auto"/>
            <w:vAlign w:val="bottom"/>
          </w:tcPr>
          <w:p w14:paraId="5AB348A0" w14:textId="39CB6F9C"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w:t>
            </w:r>
          </w:p>
        </w:tc>
        <w:tc>
          <w:tcPr>
            <w:tcW w:w="592" w:type="pct"/>
            <w:tcBorders>
              <w:top w:val="nil"/>
              <w:left w:val="nil"/>
              <w:bottom w:val="nil"/>
            </w:tcBorders>
            <w:shd w:val="clear" w:color="auto" w:fill="auto"/>
            <w:vAlign w:val="bottom"/>
          </w:tcPr>
          <w:p w14:paraId="2AF60E53" w14:textId="4C8575C2"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w:t>
            </w:r>
          </w:p>
        </w:tc>
      </w:tr>
      <w:tr w:rsidR="009305DB" w:rsidRPr="00EC1653" w14:paraId="530CB4C2" w14:textId="77777777" w:rsidTr="00312975">
        <w:trPr>
          <w:trHeight w:val="468"/>
        </w:trPr>
        <w:tc>
          <w:tcPr>
            <w:tcW w:w="1351" w:type="pct"/>
          </w:tcPr>
          <w:p w14:paraId="05A91406" w14:textId="77777777" w:rsidR="00A77BD1" w:rsidRPr="00EC1653" w:rsidRDefault="00A77BD1" w:rsidP="00A77BD1">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Nekretnine, postrojenja i oprema i nematerijalna imovina</w:t>
            </w:r>
          </w:p>
        </w:tc>
        <w:tc>
          <w:tcPr>
            <w:tcW w:w="624" w:type="pct"/>
            <w:tcBorders>
              <w:top w:val="nil"/>
              <w:left w:val="nil"/>
              <w:bottom w:val="nil"/>
              <w:right w:val="nil"/>
            </w:tcBorders>
            <w:shd w:val="clear" w:color="auto" w:fill="auto"/>
            <w:vAlign w:val="bottom"/>
          </w:tcPr>
          <w:p w14:paraId="4271E11A" w14:textId="37037542"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rPr>
              <w:t>-</w:t>
            </w:r>
          </w:p>
        </w:tc>
        <w:tc>
          <w:tcPr>
            <w:tcW w:w="608" w:type="pct"/>
            <w:tcBorders>
              <w:top w:val="nil"/>
              <w:left w:val="nil"/>
              <w:bottom w:val="nil"/>
              <w:right w:val="nil"/>
            </w:tcBorders>
            <w:shd w:val="clear" w:color="auto" w:fill="auto"/>
            <w:vAlign w:val="bottom"/>
          </w:tcPr>
          <w:p w14:paraId="25D581C2" w14:textId="1AB64064"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rPr>
              <w:t>-</w:t>
            </w:r>
          </w:p>
        </w:tc>
        <w:tc>
          <w:tcPr>
            <w:tcW w:w="533" w:type="pct"/>
            <w:tcBorders>
              <w:top w:val="nil"/>
              <w:left w:val="nil"/>
              <w:bottom w:val="nil"/>
              <w:right w:val="nil"/>
            </w:tcBorders>
            <w:shd w:val="clear" w:color="auto" w:fill="auto"/>
            <w:vAlign w:val="bottom"/>
          </w:tcPr>
          <w:p w14:paraId="0ADFA4C1" w14:textId="5CD106E1"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rPr>
              <w:t>-</w:t>
            </w:r>
          </w:p>
        </w:tc>
        <w:tc>
          <w:tcPr>
            <w:tcW w:w="608" w:type="pct"/>
            <w:tcBorders>
              <w:top w:val="nil"/>
              <w:left w:val="nil"/>
              <w:bottom w:val="nil"/>
              <w:right w:val="nil"/>
            </w:tcBorders>
            <w:shd w:val="clear" w:color="auto" w:fill="auto"/>
            <w:vAlign w:val="bottom"/>
          </w:tcPr>
          <w:p w14:paraId="40C03935" w14:textId="5A01DBAD"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rPr>
              <w:t>-</w:t>
            </w:r>
          </w:p>
        </w:tc>
        <w:tc>
          <w:tcPr>
            <w:tcW w:w="684" w:type="pct"/>
            <w:tcBorders>
              <w:top w:val="nil"/>
              <w:left w:val="nil"/>
              <w:bottom w:val="nil"/>
              <w:right w:val="nil"/>
            </w:tcBorders>
            <w:shd w:val="clear" w:color="auto" w:fill="auto"/>
            <w:vAlign w:val="bottom"/>
          </w:tcPr>
          <w:p w14:paraId="295F8FD4" w14:textId="145551F1"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55.126</w:t>
            </w:r>
          </w:p>
        </w:tc>
        <w:tc>
          <w:tcPr>
            <w:tcW w:w="592" w:type="pct"/>
            <w:tcBorders>
              <w:top w:val="nil"/>
              <w:left w:val="nil"/>
              <w:bottom w:val="nil"/>
            </w:tcBorders>
            <w:shd w:val="clear" w:color="auto" w:fill="auto"/>
            <w:vAlign w:val="bottom"/>
          </w:tcPr>
          <w:p w14:paraId="521D8F3B" w14:textId="28355914"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55.126</w:t>
            </w:r>
          </w:p>
        </w:tc>
      </w:tr>
      <w:tr w:rsidR="009305DB" w:rsidRPr="00EC1653" w14:paraId="365173E7" w14:textId="77777777" w:rsidTr="00312975">
        <w:trPr>
          <w:trHeight w:val="480"/>
        </w:trPr>
        <w:tc>
          <w:tcPr>
            <w:tcW w:w="1351" w:type="pct"/>
          </w:tcPr>
          <w:p w14:paraId="297F46A7" w14:textId="77777777" w:rsidR="00A77BD1" w:rsidRPr="00EC1653" w:rsidRDefault="00A77BD1" w:rsidP="00A77BD1">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Dugotrajna imovina namijenjena prodaji</w:t>
            </w:r>
          </w:p>
        </w:tc>
        <w:tc>
          <w:tcPr>
            <w:tcW w:w="624" w:type="pct"/>
            <w:tcBorders>
              <w:top w:val="nil"/>
              <w:left w:val="nil"/>
              <w:bottom w:val="nil"/>
              <w:right w:val="nil"/>
            </w:tcBorders>
            <w:shd w:val="clear" w:color="auto" w:fill="auto"/>
            <w:vAlign w:val="bottom"/>
          </w:tcPr>
          <w:p w14:paraId="12C635C9" w14:textId="21A71588"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608" w:type="pct"/>
            <w:tcBorders>
              <w:top w:val="nil"/>
              <w:left w:val="nil"/>
              <w:bottom w:val="nil"/>
              <w:right w:val="nil"/>
            </w:tcBorders>
            <w:shd w:val="clear" w:color="auto" w:fill="auto"/>
            <w:vAlign w:val="bottom"/>
          </w:tcPr>
          <w:p w14:paraId="590A0D93" w14:textId="21F1BDE7"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533" w:type="pct"/>
            <w:tcBorders>
              <w:top w:val="nil"/>
              <w:left w:val="nil"/>
              <w:bottom w:val="nil"/>
              <w:right w:val="nil"/>
            </w:tcBorders>
            <w:shd w:val="clear" w:color="auto" w:fill="auto"/>
            <w:vAlign w:val="bottom"/>
          </w:tcPr>
          <w:p w14:paraId="71B7AB06" w14:textId="520F02EF"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608" w:type="pct"/>
            <w:tcBorders>
              <w:top w:val="nil"/>
              <w:left w:val="nil"/>
              <w:bottom w:val="nil"/>
              <w:right w:val="nil"/>
            </w:tcBorders>
            <w:shd w:val="clear" w:color="auto" w:fill="auto"/>
            <w:vAlign w:val="bottom"/>
          </w:tcPr>
          <w:p w14:paraId="2E28F13A" w14:textId="24F0779F"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684" w:type="pct"/>
            <w:tcBorders>
              <w:top w:val="nil"/>
              <w:left w:val="nil"/>
              <w:bottom w:val="nil"/>
              <w:right w:val="nil"/>
            </w:tcBorders>
            <w:shd w:val="clear" w:color="auto" w:fill="auto"/>
            <w:vAlign w:val="bottom"/>
          </w:tcPr>
          <w:p w14:paraId="73BB1536" w14:textId="3829DEB6"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17.030</w:t>
            </w:r>
          </w:p>
        </w:tc>
        <w:tc>
          <w:tcPr>
            <w:tcW w:w="592" w:type="pct"/>
            <w:tcBorders>
              <w:top w:val="nil"/>
              <w:left w:val="nil"/>
              <w:bottom w:val="nil"/>
            </w:tcBorders>
            <w:shd w:val="clear" w:color="auto" w:fill="auto"/>
            <w:vAlign w:val="bottom"/>
          </w:tcPr>
          <w:p w14:paraId="6B299BF8" w14:textId="3951BEB0"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17.030</w:t>
            </w:r>
          </w:p>
        </w:tc>
      </w:tr>
      <w:tr w:rsidR="009305DB" w:rsidRPr="00EC1653" w14:paraId="36C7BE97" w14:textId="77777777" w:rsidTr="00312975">
        <w:trPr>
          <w:trHeight w:val="234"/>
        </w:trPr>
        <w:tc>
          <w:tcPr>
            <w:tcW w:w="1351" w:type="pct"/>
          </w:tcPr>
          <w:p w14:paraId="6DD833AA" w14:textId="77777777" w:rsidR="00A77BD1" w:rsidRPr="00EC1653" w:rsidRDefault="00A77BD1" w:rsidP="00A77BD1">
            <w:pPr>
              <w:pStyle w:val="TT"/>
              <w:spacing w:line="240" w:lineRule="exact"/>
              <w:rPr>
                <w:rFonts w:asciiTheme="minorHAnsi" w:hAnsiTheme="minorHAnsi" w:cs="Arial"/>
                <w:sz w:val="18"/>
                <w:szCs w:val="18"/>
                <w:lang w:val="hr-HR"/>
              </w:rPr>
            </w:pPr>
            <w:r w:rsidRPr="00EC1653">
              <w:rPr>
                <w:rFonts w:asciiTheme="minorHAnsi" w:hAnsiTheme="minorHAnsi" w:cs="Arial"/>
                <w:spacing w:val="-2"/>
                <w:sz w:val="18"/>
                <w:szCs w:val="18"/>
                <w:lang w:val="hr-HR"/>
              </w:rPr>
              <w:t>Ostala imovina</w:t>
            </w:r>
          </w:p>
        </w:tc>
        <w:tc>
          <w:tcPr>
            <w:tcW w:w="624" w:type="pct"/>
            <w:tcBorders>
              <w:top w:val="nil"/>
              <w:left w:val="nil"/>
              <w:bottom w:val="nil"/>
              <w:right w:val="nil"/>
            </w:tcBorders>
            <w:shd w:val="clear" w:color="auto" w:fill="auto"/>
            <w:vAlign w:val="bottom"/>
          </w:tcPr>
          <w:p w14:paraId="1A42FD4B" w14:textId="100D4639"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608" w:type="pct"/>
            <w:tcBorders>
              <w:top w:val="nil"/>
              <w:left w:val="nil"/>
              <w:bottom w:val="nil"/>
              <w:right w:val="nil"/>
            </w:tcBorders>
            <w:shd w:val="clear" w:color="auto" w:fill="auto"/>
            <w:vAlign w:val="bottom"/>
          </w:tcPr>
          <w:p w14:paraId="16FBD587" w14:textId="684BBBD7"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533" w:type="pct"/>
            <w:tcBorders>
              <w:top w:val="nil"/>
              <w:left w:val="nil"/>
              <w:bottom w:val="nil"/>
              <w:right w:val="nil"/>
            </w:tcBorders>
            <w:shd w:val="clear" w:color="auto" w:fill="auto"/>
            <w:vAlign w:val="bottom"/>
          </w:tcPr>
          <w:p w14:paraId="563B671F" w14:textId="3C721DB8"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608" w:type="pct"/>
            <w:tcBorders>
              <w:top w:val="nil"/>
              <w:left w:val="nil"/>
              <w:bottom w:val="nil"/>
              <w:right w:val="nil"/>
            </w:tcBorders>
            <w:shd w:val="clear" w:color="auto" w:fill="auto"/>
            <w:vAlign w:val="bottom"/>
          </w:tcPr>
          <w:p w14:paraId="3FEFEA40" w14:textId="00EAE3EE"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684" w:type="pct"/>
            <w:tcBorders>
              <w:top w:val="nil"/>
              <w:left w:val="nil"/>
              <w:bottom w:val="single" w:sz="2" w:space="0" w:color="auto"/>
              <w:right w:val="nil"/>
            </w:tcBorders>
            <w:shd w:val="clear" w:color="auto" w:fill="auto"/>
            <w:vAlign w:val="bottom"/>
          </w:tcPr>
          <w:p w14:paraId="71FA78DB" w14:textId="4E36CAE5"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7.572</w:t>
            </w:r>
          </w:p>
        </w:tc>
        <w:tc>
          <w:tcPr>
            <w:tcW w:w="592" w:type="pct"/>
            <w:tcBorders>
              <w:top w:val="nil"/>
              <w:left w:val="nil"/>
              <w:bottom w:val="single" w:sz="2" w:space="0" w:color="auto"/>
            </w:tcBorders>
            <w:shd w:val="clear" w:color="auto" w:fill="auto"/>
            <w:vAlign w:val="bottom"/>
          </w:tcPr>
          <w:p w14:paraId="30FB6112" w14:textId="27129E31" w:rsidR="00A77BD1" w:rsidRPr="009305DB" w:rsidRDefault="00A77BD1" w:rsidP="00A77BD1">
            <w:pPr>
              <w:spacing w:after="0" w:line="240" w:lineRule="exact"/>
              <w:jc w:val="right"/>
              <w:rPr>
                <w:rFonts w:eastAsia="Arial Unicode MS" w:cs="Arial"/>
                <w:sz w:val="18"/>
                <w:szCs w:val="18"/>
                <w:lang w:val="pl-PL"/>
              </w:rPr>
            </w:pPr>
            <w:r w:rsidRPr="00312975">
              <w:rPr>
                <w:rFonts w:eastAsia="Arial Unicode MS" w:cs="Arial"/>
                <w:sz w:val="18"/>
                <w:szCs w:val="18"/>
                <w:lang w:val="pl-PL"/>
              </w:rPr>
              <w:t>7.572</w:t>
            </w:r>
          </w:p>
        </w:tc>
      </w:tr>
      <w:tr w:rsidR="009305DB" w:rsidRPr="00EC1653" w14:paraId="5D9ED352" w14:textId="77777777" w:rsidTr="00312975">
        <w:trPr>
          <w:trHeight w:val="234"/>
        </w:trPr>
        <w:tc>
          <w:tcPr>
            <w:tcW w:w="1351" w:type="pct"/>
            <w:vAlign w:val="bottom"/>
          </w:tcPr>
          <w:p w14:paraId="27E77289" w14:textId="77777777" w:rsidR="00A77BD1" w:rsidRPr="00EC1653" w:rsidRDefault="00A77BD1" w:rsidP="00A77BD1">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Ukupna imovina (1)</w:t>
            </w:r>
          </w:p>
        </w:tc>
        <w:tc>
          <w:tcPr>
            <w:tcW w:w="624" w:type="pct"/>
            <w:tcBorders>
              <w:top w:val="single" w:sz="2" w:space="0" w:color="auto"/>
              <w:left w:val="nil"/>
              <w:bottom w:val="single" w:sz="12" w:space="0" w:color="auto"/>
              <w:right w:val="nil"/>
            </w:tcBorders>
            <w:shd w:val="clear" w:color="auto" w:fill="auto"/>
            <w:vAlign w:val="bottom"/>
          </w:tcPr>
          <w:p w14:paraId="7521B6C7" w14:textId="104B8B6E" w:rsidR="00A77BD1" w:rsidRPr="009305DB" w:rsidRDefault="00A77BD1" w:rsidP="00A77BD1">
            <w:pPr>
              <w:spacing w:after="0" w:line="240" w:lineRule="exact"/>
              <w:jc w:val="right"/>
              <w:rPr>
                <w:rFonts w:eastAsia="Arial Unicode MS" w:cs="Arial"/>
                <w:b/>
                <w:bCs/>
                <w:sz w:val="18"/>
                <w:szCs w:val="18"/>
              </w:rPr>
            </w:pPr>
            <w:r w:rsidRPr="00312975">
              <w:rPr>
                <w:rFonts w:eastAsia="Arial Unicode MS" w:cs="Arial"/>
                <w:b/>
                <w:bCs/>
                <w:sz w:val="18"/>
                <w:szCs w:val="18"/>
              </w:rPr>
              <w:t>468.668</w:t>
            </w:r>
          </w:p>
        </w:tc>
        <w:tc>
          <w:tcPr>
            <w:tcW w:w="608" w:type="pct"/>
            <w:tcBorders>
              <w:top w:val="single" w:sz="2" w:space="0" w:color="auto"/>
              <w:left w:val="nil"/>
              <w:bottom w:val="single" w:sz="12" w:space="0" w:color="auto"/>
              <w:right w:val="nil"/>
            </w:tcBorders>
            <w:shd w:val="clear" w:color="auto" w:fill="auto"/>
            <w:vAlign w:val="bottom"/>
          </w:tcPr>
          <w:p w14:paraId="296DD54C" w14:textId="3D30B555" w:rsidR="00A77BD1" w:rsidRPr="009305DB" w:rsidRDefault="00A77BD1" w:rsidP="00A77BD1">
            <w:pPr>
              <w:spacing w:after="0" w:line="240" w:lineRule="exact"/>
              <w:jc w:val="right"/>
              <w:rPr>
                <w:rFonts w:eastAsia="Arial Unicode MS" w:cs="Arial"/>
                <w:b/>
                <w:bCs/>
                <w:sz w:val="18"/>
                <w:szCs w:val="18"/>
              </w:rPr>
            </w:pPr>
            <w:r w:rsidRPr="00312975">
              <w:rPr>
                <w:rFonts w:eastAsia="Arial Unicode MS" w:cs="Arial"/>
                <w:b/>
                <w:bCs/>
                <w:sz w:val="18"/>
                <w:szCs w:val="18"/>
              </w:rPr>
              <w:t>15.739.919</w:t>
            </w:r>
          </w:p>
        </w:tc>
        <w:tc>
          <w:tcPr>
            <w:tcW w:w="533" w:type="pct"/>
            <w:tcBorders>
              <w:top w:val="single" w:sz="2" w:space="0" w:color="auto"/>
              <w:left w:val="nil"/>
              <w:bottom w:val="single" w:sz="12" w:space="0" w:color="auto"/>
              <w:right w:val="nil"/>
            </w:tcBorders>
            <w:shd w:val="clear" w:color="auto" w:fill="auto"/>
            <w:vAlign w:val="bottom"/>
          </w:tcPr>
          <w:p w14:paraId="759C98C0" w14:textId="10A94477" w:rsidR="00A77BD1" w:rsidRPr="009305DB" w:rsidRDefault="00A77BD1" w:rsidP="00A77BD1">
            <w:pPr>
              <w:spacing w:after="0" w:line="240" w:lineRule="exact"/>
              <w:jc w:val="right"/>
              <w:rPr>
                <w:rFonts w:eastAsia="Arial Unicode MS" w:cs="Arial"/>
                <w:b/>
                <w:bCs/>
                <w:sz w:val="18"/>
                <w:szCs w:val="18"/>
              </w:rPr>
            </w:pPr>
            <w:r w:rsidRPr="00312975">
              <w:rPr>
                <w:rFonts w:eastAsia="Arial Unicode MS" w:cs="Arial"/>
                <w:b/>
                <w:bCs/>
                <w:sz w:val="18"/>
                <w:szCs w:val="18"/>
              </w:rPr>
              <w:t>3.620</w:t>
            </w:r>
          </w:p>
        </w:tc>
        <w:tc>
          <w:tcPr>
            <w:tcW w:w="608" w:type="pct"/>
            <w:tcBorders>
              <w:top w:val="single" w:sz="2" w:space="0" w:color="auto"/>
              <w:left w:val="nil"/>
              <w:bottom w:val="single" w:sz="12" w:space="0" w:color="auto"/>
              <w:right w:val="nil"/>
            </w:tcBorders>
            <w:shd w:val="clear" w:color="auto" w:fill="auto"/>
            <w:vAlign w:val="bottom"/>
          </w:tcPr>
          <w:p w14:paraId="139CFD48" w14:textId="48B440C1" w:rsidR="00A77BD1" w:rsidRPr="009305DB" w:rsidRDefault="00A77BD1" w:rsidP="00A77BD1">
            <w:pPr>
              <w:spacing w:after="0" w:line="240" w:lineRule="exact"/>
              <w:jc w:val="right"/>
              <w:rPr>
                <w:rFonts w:eastAsia="Arial Unicode MS" w:cs="Arial"/>
                <w:b/>
                <w:bCs/>
                <w:sz w:val="18"/>
                <w:szCs w:val="18"/>
              </w:rPr>
            </w:pPr>
            <w:r w:rsidRPr="00312975">
              <w:rPr>
                <w:rFonts w:eastAsia="Arial Unicode MS" w:cs="Arial"/>
                <w:b/>
                <w:bCs/>
                <w:sz w:val="18"/>
                <w:szCs w:val="18"/>
              </w:rPr>
              <w:t>16.212.207</w:t>
            </w:r>
          </w:p>
        </w:tc>
        <w:tc>
          <w:tcPr>
            <w:tcW w:w="684" w:type="pct"/>
            <w:tcBorders>
              <w:top w:val="single" w:sz="2" w:space="0" w:color="auto"/>
              <w:left w:val="nil"/>
              <w:bottom w:val="single" w:sz="12" w:space="0" w:color="auto"/>
              <w:right w:val="nil"/>
            </w:tcBorders>
            <w:shd w:val="clear" w:color="auto" w:fill="auto"/>
            <w:vAlign w:val="bottom"/>
          </w:tcPr>
          <w:p w14:paraId="08AD6CA1" w14:textId="130F2E16" w:rsidR="00A77BD1" w:rsidRPr="009305DB" w:rsidRDefault="00A77BD1" w:rsidP="00A77BD1">
            <w:pPr>
              <w:spacing w:after="0" w:line="240" w:lineRule="exact"/>
              <w:jc w:val="right"/>
              <w:rPr>
                <w:rFonts w:eastAsia="Arial Unicode MS" w:cs="Arial"/>
                <w:b/>
                <w:bCs/>
                <w:sz w:val="18"/>
                <w:szCs w:val="18"/>
              </w:rPr>
            </w:pPr>
            <w:r w:rsidRPr="00312975">
              <w:rPr>
                <w:rFonts w:eastAsia="Arial Unicode MS" w:cs="Arial"/>
                <w:b/>
                <w:bCs/>
                <w:sz w:val="18"/>
                <w:szCs w:val="18"/>
              </w:rPr>
              <w:t>11.593.766*</w:t>
            </w:r>
          </w:p>
        </w:tc>
        <w:tc>
          <w:tcPr>
            <w:tcW w:w="592" w:type="pct"/>
            <w:tcBorders>
              <w:top w:val="single" w:sz="2" w:space="0" w:color="auto"/>
              <w:left w:val="nil"/>
              <w:bottom w:val="single" w:sz="12" w:space="0" w:color="auto"/>
            </w:tcBorders>
            <w:shd w:val="clear" w:color="auto" w:fill="auto"/>
            <w:vAlign w:val="bottom"/>
          </w:tcPr>
          <w:p w14:paraId="002D1C2E" w14:textId="4867BE16" w:rsidR="00A77BD1" w:rsidRPr="009305DB" w:rsidRDefault="00A77BD1" w:rsidP="00A77BD1">
            <w:pPr>
              <w:spacing w:after="0" w:line="240" w:lineRule="exact"/>
              <w:jc w:val="right"/>
              <w:rPr>
                <w:rFonts w:eastAsia="Arial Unicode MS" w:cs="Arial"/>
                <w:b/>
                <w:bCs/>
                <w:sz w:val="18"/>
                <w:szCs w:val="18"/>
              </w:rPr>
            </w:pPr>
            <w:r w:rsidRPr="00312975">
              <w:rPr>
                <w:rFonts w:eastAsia="Arial Unicode MS" w:cs="Arial"/>
                <w:b/>
                <w:bCs/>
                <w:sz w:val="18"/>
                <w:szCs w:val="18"/>
              </w:rPr>
              <w:t>27.805.973</w:t>
            </w:r>
          </w:p>
        </w:tc>
      </w:tr>
      <w:tr w:rsidR="009305DB" w:rsidRPr="00EC1653" w14:paraId="51FA176E" w14:textId="77777777" w:rsidTr="00312975">
        <w:trPr>
          <w:trHeight w:val="234"/>
        </w:trPr>
        <w:tc>
          <w:tcPr>
            <w:tcW w:w="1351" w:type="pct"/>
          </w:tcPr>
          <w:p w14:paraId="311DDCFD" w14:textId="77777777" w:rsidR="00252ABE" w:rsidRPr="00EC1653" w:rsidRDefault="00252ABE" w:rsidP="00252ABE">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Obveze</w:t>
            </w:r>
          </w:p>
        </w:tc>
        <w:tc>
          <w:tcPr>
            <w:tcW w:w="624" w:type="pct"/>
            <w:tcBorders>
              <w:top w:val="single" w:sz="12" w:space="0" w:color="auto"/>
            </w:tcBorders>
            <w:vAlign w:val="bottom"/>
          </w:tcPr>
          <w:p w14:paraId="61B3A2DC" w14:textId="77777777" w:rsidR="00252ABE" w:rsidRPr="009305DB" w:rsidRDefault="00252ABE" w:rsidP="00252ABE">
            <w:pPr>
              <w:suppressAutoHyphens/>
              <w:spacing w:after="0" w:line="240" w:lineRule="exact"/>
              <w:ind w:left="-123"/>
              <w:jc w:val="right"/>
              <w:rPr>
                <w:rFonts w:cs="Arial"/>
                <w:spacing w:val="-2"/>
                <w:sz w:val="18"/>
                <w:szCs w:val="18"/>
              </w:rPr>
            </w:pPr>
          </w:p>
        </w:tc>
        <w:tc>
          <w:tcPr>
            <w:tcW w:w="608" w:type="pct"/>
            <w:tcBorders>
              <w:top w:val="single" w:sz="12" w:space="0" w:color="auto"/>
            </w:tcBorders>
            <w:vAlign w:val="bottom"/>
          </w:tcPr>
          <w:p w14:paraId="437BC0AA" w14:textId="77777777" w:rsidR="00252ABE" w:rsidRPr="009305DB" w:rsidRDefault="00252ABE" w:rsidP="00252ABE">
            <w:pPr>
              <w:suppressAutoHyphens/>
              <w:spacing w:after="0" w:line="240" w:lineRule="exact"/>
              <w:jc w:val="right"/>
              <w:rPr>
                <w:rFonts w:cs="Arial"/>
                <w:spacing w:val="-2"/>
                <w:sz w:val="18"/>
                <w:szCs w:val="18"/>
              </w:rPr>
            </w:pPr>
          </w:p>
        </w:tc>
        <w:tc>
          <w:tcPr>
            <w:tcW w:w="533" w:type="pct"/>
            <w:tcBorders>
              <w:top w:val="single" w:sz="12" w:space="0" w:color="auto"/>
            </w:tcBorders>
            <w:vAlign w:val="bottom"/>
          </w:tcPr>
          <w:p w14:paraId="7D9B256D" w14:textId="77777777" w:rsidR="00252ABE" w:rsidRPr="009305DB" w:rsidRDefault="00252ABE" w:rsidP="00252ABE">
            <w:pPr>
              <w:suppressAutoHyphens/>
              <w:spacing w:after="0" w:line="240" w:lineRule="exact"/>
              <w:jc w:val="right"/>
              <w:rPr>
                <w:rFonts w:cs="Arial"/>
                <w:spacing w:val="-2"/>
                <w:sz w:val="18"/>
                <w:szCs w:val="18"/>
              </w:rPr>
            </w:pPr>
          </w:p>
        </w:tc>
        <w:tc>
          <w:tcPr>
            <w:tcW w:w="608" w:type="pct"/>
            <w:tcBorders>
              <w:top w:val="single" w:sz="12" w:space="0" w:color="auto"/>
            </w:tcBorders>
            <w:vAlign w:val="bottom"/>
          </w:tcPr>
          <w:p w14:paraId="43F7C779" w14:textId="77777777" w:rsidR="00252ABE" w:rsidRPr="009305DB" w:rsidRDefault="00252ABE" w:rsidP="00252ABE">
            <w:pPr>
              <w:suppressAutoHyphens/>
              <w:spacing w:after="0" w:line="240" w:lineRule="exact"/>
              <w:jc w:val="right"/>
              <w:rPr>
                <w:rFonts w:cs="Arial"/>
                <w:spacing w:val="-2"/>
                <w:sz w:val="18"/>
                <w:szCs w:val="18"/>
              </w:rPr>
            </w:pPr>
          </w:p>
        </w:tc>
        <w:tc>
          <w:tcPr>
            <w:tcW w:w="684" w:type="pct"/>
            <w:tcBorders>
              <w:top w:val="single" w:sz="12" w:space="0" w:color="auto"/>
            </w:tcBorders>
            <w:vAlign w:val="bottom"/>
          </w:tcPr>
          <w:p w14:paraId="13AC56FC" w14:textId="77777777" w:rsidR="00252ABE" w:rsidRPr="009305DB" w:rsidRDefault="00252ABE" w:rsidP="00252ABE">
            <w:pPr>
              <w:suppressAutoHyphens/>
              <w:spacing w:after="0" w:line="240" w:lineRule="exact"/>
              <w:jc w:val="right"/>
              <w:rPr>
                <w:rFonts w:cs="Arial"/>
                <w:spacing w:val="-2"/>
                <w:sz w:val="18"/>
                <w:szCs w:val="18"/>
              </w:rPr>
            </w:pPr>
          </w:p>
        </w:tc>
        <w:tc>
          <w:tcPr>
            <w:tcW w:w="592" w:type="pct"/>
            <w:tcBorders>
              <w:top w:val="single" w:sz="12" w:space="0" w:color="auto"/>
            </w:tcBorders>
            <w:vAlign w:val="bottom"/>
          </w:tcPr>
          <w:p w14:paraId="5591B5D9" w14:textId="77777777" w:rsidR="00252ABE" w:rsidRPr="009305DB" w:rsidRDefault="00252ABE" w:rsidP="00252ABE">
            <w:pPr>
              <w:spacing w:after="0" w:line="240" w:lineRule="exact"/>
              <w:jc w:val="right"/>
              <w:rPr>
                <w:rFonts w:cs="Arial"/>
                <w:b/>
                <w:sz w:val="18"/>
                <w:szCs w:val="18"/>
              </w:rPr>
            </w:pPr>
          </w:p>
        </w:tc>
      </w:tr>
      <w:tr w:rsidR="009305DB" w:rsidRPr="00EC1653" w14:paraId="5F762F7C" w14:textId="77777777" w:rsidTr="00312975">
        <w:trPr>
          <w:trHeight w:val="234"/>
        </w:trPr>
        <w:tc>
          <w:tcPr>
            <w:tcW w:w="1351" w:type="pct"/>
          </w:tcPr>
          <w:p w14:paraId="0261A963" w14:textId="77777777" w:rsidR="00A77BD1" w:rsidRPr="00EC1653" w:rsidRDefault="00A77BD1" w:rsidP="00A77BD1">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Obveze po depozitima</w:t>
            </w:r>
          </w:p>
        </w:tc>
        <w:tc>
          <w:tcPr>
            <w:tcW w:w="624" w:type="pct"/>
            <w:tcBorders>
              <w:top w:val="nil"/>
              <w:left w:val="nil"/>
              <w:bottom w:val="nil"/>
              <w:right w:val="nil"/>
            </w:tcBorders>
            <w:shd w:val="clear" w:color="auto" w:fill="auto"/>
            <w:vAlign w:val="bottom"/>
          </w:tcPr>
          <w:p w14:paraId="77ABE6F2" w14:textId="4EF41F64"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20.976</w:t>
            </w:r>
          </w:p>
        </w:tc>
        <w:tc>
          <w:tcPr>
            <w:tcW w:w="608" w:type="pct"/>
            <w:tcBorders>
              <w:top w:val="nil"/>
              <w:left w:val="nil"/>
              <w:bottom w:val="nil"/>
              <w:right w:val="nil"/>
            </w:tcBorders>
            <w:shd w:val="clear" w:color="auto" w:fill="auto"/>
            <w:vAlign w:val="bottom"/>
          </w:tcPr>
          <w:p w14:paraId="18C7C3A9" w14:textId="06653186"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222.935</w:t>
            </w:r>
          </w:p>
        </w:tc>
        <w:tc>
          <w:tcPr>
            <w:tcW w:w="533" w:type="pct"/>
            <w:tcBorders>
              <w:top w:val="nil"/>
              <w:left w:val="nil"/>
              <w:bottom w:val="nil"/>
              <w:right w:val="nil"/>
            </w:tcBorders>
            <w:shd w:val="clear" w:color="auto" w:fill="auto"/>
            <w:vAlign w:val="bottom"/>
          </w:tcPr>
          <w:p w14:paraId="42A9EA9C" w14:textId="73298E42"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2.300</w:t>
            </w:r>
          </w:p>
        </w:tc>
        <w:tc>
          <w:tcPr>
            <w:tcW w:w="608" w:type="pct"/>
            <w:tcBorders>
              <w:top w:val="nil"/>
              <w:left w:val="nil"/>
              <w:bottom w:val="nil"/>
              <w:right w:val="nil"/>
            </w:tcBorders>
            <w:shd w:val="clear" w:color="auto" w:fill="auto"/>
            <w:vAlign w:val="bottom"/>
          </w:tcPr>
          <w:p w14:paraId="0B9A2FB4" w14:textId="1C437D1B"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246.211</w:t>
            </w:r>
          </w:p>
        </w:tc>
        <w:tc>
          <w:tcPr>
            <w:tcW w:w="684" w:type="pct"/>
            <w:tcBorders>
              <w:top w:val="nil"/>
              <w:left w:val="nil"/>
              <w:bottom w:val="nil"/>
              <w:right w:val="nil"/>
            </w:tcBorders>
            <w:shd w:val="clear" w:color="auto" w:fill="auto"/>
            <w:vAlign w:val="bottom"/>
          </w:tcPr>
          <w:p w14:paraId="3524B561" w14:textId="6423237D"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234.767</w:t>
            </w:r>
          </w:p>
        </w:tc>
        <w:tc>
          <w:tcPr>
            <w:tcW w:w="592" w:type="pct"/>
            <w:tcBorders>
              <w:top w:val="nil"/>
              <w:left w:val="nil"/>
              <w:bottom w:val="nil"/>
            </w:tcBorders>
            <w:shd w:val="clear" w:color="auto" w:fill="auto"/>
            <w:vAlign w:val="bottom"/>
          </w:tcPr>
          <w:p w14:paraId="5C4F0B6D" w14:textId="33155278"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480.978</w:t>
            </w:r>
          </w:p>
        </w:tc>
      </w:tr>
      <w:tr w:rsidR="009305DB" w:rsidRPr="00EC1653" w14:paraId="3893E9E7" w14:textId="77777777" w:rsidTr="00312975">
        <w:trPr>
          <w:trHeight w:val="234"/>
        </w:trPr>
        <w:tc>
          <w:tcPr>
            <w:tcW w:w="1351" w:type="pct"/>
          </w:tcPr>
          <w:p w14:paraId="54088E8C" w14:textId="77777777" w:rsidR="00A77BD1" w:rsidRPr="00EC1653" w:rsidRDefault="00A77BD1" w:rsidP="00A77BD1">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Obveze po kreditima</w:t>
            </w:r>
          </w:p>
        </w:tc>
        <w:tc>
          <w:tcPr>
            <w:tcW w:w="624" w:type="pct"/>
            <w:tcBorders>
              <w:top w:val="nil"/>
              <w:left w:val="nil"/>
              <w:bottom w:val="nil"/>
              <w:right w:val="nil"/>
            </w:tcBorders>
            <w:shd w:val="clear" w:color="auto" w:fill="auto"/>
            <w:vAlign w:val="bottom"/>
          </w:tcPr>
          <w:p w14:paraId="67517D47" w14:textId="54099A30"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313.420</w:t>
            </w:r>
          </w:p>
        </w:tc>
        <w:tc>
          <w:tcPr>
            <w:tcW w:w="608" w:type="pct"/>
            <w:tcBorders>
              <w:top w:val="nil"/>
              <w:left w:val="nil"/>
              <w:bottom w:val="nil"/>
              <w:right w:val="nil"/>
            </w:tcBorders>
            <w:shd w:val="clear" w:color="auto" w:fill="auto"/>
            <w:vAlign w:val="bottom"/>
          </w:tcPr>
          <w:p w14:paraId="3C4006A0" w14:textId="0F6D000D"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15.110.161</w:t>
            </w:r>
          </w:p>
        </w:tc>
        <w:tc>
          <w:tcPr>
            <w:tcW w:w="533" w:type="pct"/>
            <w:tcBorders>
              <w:top w:val="nil"/>
              <w:left w:val="nil"/>
              <w:bottom w:val="nil"/>
              <w:right w:val="nil"/>
            </w:tcBorders>
            <w:shd w:val="clear" w:color="auto" w:fill="auto"/>
            <w:vAlign w:val="bottom"/>
          </w:tcPr>
          <w:p w14:paraId="7F4B0F4C" w14:textId="63A7B9AE"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608" w:type="pct"/>
            <w:tcBorders>
              <w:top w:val="nil"/>
              <w:left w:val="nil"/>
              <w:bottom w:val="nil"/>
              <w:right w:val="nil"/>
            </w:tcBorders>
            <w:shd w:val="clear" w:color="auto" w:fill="auto"/>
            <w:vAlign w:val="bottom"/>
          </w:tcPr>
          <w:p w14:paraId="7D96DB61" w14:textId="348B2293"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15.423.581</w:t>
            </w:r>
          </w:p>
        </w:tc>
        <w:tc>
          <w:tcPr>
            <w:tcW w:w="684" w:type="pct"/>
            <w:tcBorders>
              <w:top w:val="nil"/>
              <w:left w:val="nil"/>
              <w:bottom w:val="nil"/>
              <w:right w:val="nil"/>
            </w:tcBorders>
            <w:shd w:val="clear" w:color="auto" w:fill="auto"/>
            <w:vAlign w:val="bottom"/>
          </w:tcPr>
          <w:p w14:paraId="1F6B1359" w14:textId="58BA3D7D"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592" w:type="pct"/>
            <w:tcBorders>
              <w:top w:val="nil"/>
              <w:left w:val="nil"/>
              <w:bottom w:val="nil"/>
            </w:tcBorders>
            <w:shd w:val="clear" w:color="auto" w:fill="auto"/>
            <w:vAlign w:val="bottom"/>
          </w:tcPr>
          <w:p w14:paraId="69D20197" w14:textId="7BD5C750"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15.423.581</w:t>
            </w:r>
          </w:p>
        </w:tc>
      </w:tr>
      <w:tr w:rsidR="009305DB" w:rsidRPr="00EC1653" w14:paraId="72B4939C" w14:textId="77777777" w:rsidTr="00312975">
        <w:trPr>
          <w:trHeight w:val="480"/>
        </w:trPr>
        <w:tc>
          <w:tcPr>
            <w:tcW w:w="1351" w:type="pct"/>
          </w:tcPr>
          <w:p w14:paraId="1D8119EA" w14:textId="77777777" w:rsidR="00A77BD1" w:rsidRPr="00EC1653" w:rsidRDefault="00A77BD1" w:rsidP="00A77BD1">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Obveze za izdane dugoročne vrijednosne papire</w:t>
            </w:r>
          </w:p>
        </w:tc>
        <w:tc>
          <w:tcPr>
            <w:tcW w:w="624" w:type="pct"/>
            <w:tcBorders>
              <w:top w:val="nil"/>
              <w:left w:val="nil"/>
              <w:bottom w:val="nil"/>
              <w:right w:val="nil"/>
            </w:tcBorders>
            <w:shd w:val="clear" w:color="auto" w:fill="auto"/>
            <w:vAlign w:val="bottom"/>
          </w:tcPr>
          <w:p w14:paraId="7CCBD50F" w14:textId="534C3F46"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608" w:type="pct"/>
            <w:tcBorders>
              <w:top w:val="nil"/>
              <w:left w:val="nil"/>
              <w:bottom w:val="nil"/>
              <w:right w:val="nil"/>
            </w:tcBorders>
            <w:shd w:val="clear" w:color="auto" w:fill="auto"/>
            <w:vAlign w:val="bottom"/>
          </w:tcPr>
          <w:p w14:paraId="32B9A35A" w14:textId="2F2439F8"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1.109.764</w:t>
            </w:r>
          </w:p>
        </w:tc>
        <w:tc>
          <w:tcPr>
            <w:tcW w:w="533" w:type="pct"/>
            <w:tcBorders>
              <w:top w:val="nil"/>
              <w:left w:val="nil"/>
              <w:bottom w:val="nil"/>
              <w:right w:val="nil"/>
            </w:tcBorders>
            <w:shd w:val="clear" w:color="auto" w:fill="auto"/>
            <w:vAlign w:val="bottom"/>
          </w:tcPr>
          <w:p w14:paraId="16BC73C3" w14:textId="1BD0BB42"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608" w:type="pct"/>
            <w:tcBorders>
              <w:top w:val="nil"/>
              <w:left w:val="nil"/>
              <w:bottom w:val="nil"/>
              <w:right w:val="nil"/>
            </w:tcBorders>
            <w:shd w:val="clear" w:color="auto" w:fill="auto"/>
            <w:vAlign w:val="bottom"/>
          </w:tcPr>
          <w:p w14:paraId="56B1BEEE" w14:textId="31AC967D"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1.109.764</w:t>
            </w:r>
          </w:p>
        </w:tc>
        <w:tc>
          <w:tcPr>
            <w:tcW w:w="684" w:type="pct"/>
            <w:tcBorders>
              <w:top w:val="nil"/>
              <w:left w:val="nil"/>
              <w:bottom w:val="nil"/>
              <w:right w:val="nil"/>
            </w:tcBorders>
            <w:shd w:val="clear" w:color="auto" w:fill="auto"/>
            <w:vAlign w:val="bottom"/>
          </w:tcPr>
          <w:p w14:paraId="7BF6880C" w14:textId="45160623"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592" w:type="pct"/>
            <w:tcBorders>
              <w:top w:val="nil"/>
              <w:left w:val="nil"/>
              <w:bottom w:val="nil"/>
            </w:tcBorders>
            <w:shd w:val="clear" w:color="auto" w:fill="auto"/>
            <w:vAlign w:val="bottom"/>
          </w:tcPr>
          <w:p w14:paraId="3BCE4186" w14:textId="78F6468D"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1.109.764</w:t>
            </w:r>
          </w:p>
        </w:tc>
      </w:tr>
      <w:tr w:rsidR="009305DB" w:rsidRPr="00EC1653" w14:paraId="40E62D8C" w14:textId="77777777" w:rsidTr="00312975">
        <w:trPr>
          <w:trHeight w:val="172"/>
        </w:trPr>
        <w:tc>
          <w:tcPr>
            <w:tcW w:w="1351" w:type="pct"/>
            <w:vAlign w:val="center"/>
          </w:tcPr>
          <w:p w14:paraId="148FB106" w14:textId="77777777" w:rsidR="00A77BD1" w:rsidRPr="00EC1653" w:rsidRDefault="00A77BD1" w:rsidP="00A77BD1">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Ostale obveze</w:t>
            </w:r>
          </w:p>
        </w:tc>
        <w:tc>
          <w:tcPr>
            <w:tcW w:w="624" w:type="pct"/>
            <w:tcBorders>
              <w:top w:val="nil"/>
              <w:left w:val="nil"/>
              <w:bottom w:val="single" w:sz="2" w:space="0" w:color="auto"/>
              <w:right w:val="nil"/>
            </w:tcBorders>
            <w:shd w:val="clear" w:color="auto" w:fill="auto"/>
            <w:vAlign w:val="bottom"/>
          </w:tcPr>
          <w:p w14:paraId="6786F5A4" w14:textId="1AFD8743"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700</w:t>
            </w:r>
          </w:p>
        </w:tc>
        <w:tc>
          <w:tcPr>
            <w:tcW w:w="608" w:type="pct"/>
            <w:tcBorders>
              <w:top w:val="nil"/>
              <w:left w:val="nil"/>
              <w:bottom w:val="single" w:sz="2" w:space="0" w:color="auto"/>
              <w:right w:val="nil"/>
            </w:tcBorders>
            <w:shd w:val="clear" w:color="auto" w:fill="auto"/>
            <w:vAlign w:val="bottom"/>
          </w:tcPr>
          <w:p w14:paraId="3F8A72D7" w14:textId="0B3AC885"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4.242</w:t>
            </w:r>
          </w:p>
        </w:tc>
        <w:tc>
          <w:tcPr>
            <w:tcW w:w="533" w:type="pct"/>
            <w:tcBorders>
              <w:top w:val="nil"/>
              <w:left w:val="nil"/>
              <w:bottom w:val="single" w:sz="2" w:space="0" w:color="auto"/>
              <w:right w:val="nil"/>
            </w:tcBorders>
            <w:shd w:val="clear" w:color="auto" w:fill="auto"/>
            <w:vAlign w:val="bottom"/>
          </w:tcPr>
          <w:p w14:paraId="3D6468EA" w14:textId="692B4C1D"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2.641</w:t>
            </w:r>
          </w:p>
        </w:tc>
        <w:tc>
          <w:tcPr>
            <w:tcW w:w="608" w:type="pct"/>
            <w:tcBorders>
              <w:top w:val="nil"/>
              <w:left w:val="nil"/>
              <w:bottom w:val="single" w:sz="2" w:space="0" w:color="auto"/>
              <w:right w:val="nil"/>
            </w:tcBorders>
            <w:shd w:val="clear" w:color="auto" w:fill="auto"/>
            <w:vAlign w:val="bottom"/>
          </w:tcPr>
          <w:p w14:paraId="5019A56F" w14:textId="3D13DE69"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7.583</w:t>
            </w:r>
          </w:p>
        </w:tc>
        <w:tc>
          <w:tcPr>
            <w:tcW w:w="684" w:type="pct"/>
            <w:tcBorders>
              <w:top w:val="nil"/>
              <w:left w:val="nil"/>
              <w:bottom w:val="single" w:sz="2" w:space="0" w:color="auto"/>
              <w:right w:val="nil"/>
            </w:tcBorders>
            <w:shd w:val="clear" w:color="auto" w:fill="auto"/>
            <w:vAlign w:val="bottom"/>
          </w:tcPr>
          <w:p w14:paraId="02EC77A8" w14:textId="3E482EDF"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617.640</w:t>
            </w:r>
          </w:p>
        </w:tc>
        <w:tc>
          <w:tcPr>
            <w:tcW w:w="592" w:type="pct"/>
            <w:tcBorders>
              <w:top w:val="nil"/>
              <w:left w:val="nil"/>
              <w:bottom w:val="single" w:sz="2" w:space="0" w:color="auto"/>
            </w:tcBorders>
            <w:shd w:val="clear" w:color="auto" w:fill="auto"/>
            <w:vAlign w:val="bottom"/>
          </w:tcPr>
          <w:p w14:paraId="44B723D3" w14:textId="723AFAD9"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625.223</w:t>
            </w:r>
          </w:p>
        </w:tc>
      </w:tr>
      <w:tr w:rsidR="009305DB" w:rsidRPr="00EC1653" w14:paraId="4ED4B9DA" w14:textId="77777777" w:rsidTr="00312975">
        <w:trPr>
          <w:trHeight w:val="234"/>
        </w:trPr>
        <w:tc>
          <w:tcPr>
            <w:tcW w:w="1351" w:type="pct"/>
          </w:tcPr>
          <w:p w14:paraId="596E20CF" w14:textId="77777777" w:rsidR="00A77BD1" w:rsidRPr="00EC1653" w:rsidRDefault="00A77BD1" w:rsidP="00A77BD1">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Ukupne obveze</w:t>
            </w:r>
          </w:p>
        </w:tc>
        <w:tc>
          <w:tcPr>
            <w:tcW w:w="624" w:type="pct"/>
            <w:tcBorders>
              <w:top w:val="single" w:sz="2" w:space="0" w:color="auto"/>
              <w:left w:val="nil"/>
              <w:bottom w:val="single" w:sz="12" w:space="0" w:color="auto"/>
              <w:right w:val="nil"/>
            </w:tcBorders>
            <w:shd w:val="clear" w:color="auto" w:fill="auto"/>
            <w:vAlign w:val="bottom"/>
          </w:tcPr>
          <w:p w14:paraId="70ED93F1" w14:textId="5BB64EDE" w:rsidR="00A77BD1" w:rsidRPr="009305DB" w:rsidRDefault="00A77BD1" w:rsidP="00A77BD1">
            <w:pPr>
              <w:spacing w:after="0" w:line="240" w:lineRule="exact"/>
              <w:jc w:val="right"/>
              <w:rPr>
                <w:rFonts w:eastAsia="Arial Unicode MS" w:cs="Arial"/>
                <w:b/>
                <w:bCs/>
                <w:sz w:val="18"/>
                <w:szCs w:val="18"/>
              </w:rPr>
            </w:pPr>
            <w:r w:rsidRPr="00312975">
              <w:rPr>
                <w:rFonts w:eastAsia="Arial Unicode MS" w:cs="Arial"/>
                <w:b/>
                <w:bCs/>
                <w:sz w:val="18"/>
                <w:szCs w:val="18"/>
              </w:rPr>
              <w:t>335.096</w:t>
            </w:r>
          </w:p>
        </w:tc>
        <w:tc>
          <w:tcPr>
            <w:tcW w:w="608" w:type="pct"/>
            <w:tcBorders>
              <w:top w:val="single" w:sz="2" w:space="0" w:color="auto"/>
              <w:left w:val="nil"/>
              <w:bottom w:val="single" w:sz="12" w:space="0" w:color="auto"/>
              <w:right w:val="nil"/>
            </w:tcBorders>
            <w:shd w:val="clear" w:color="auto" w:fill="auto"/>
            <w:vAlign w:val="bottom"/>
          </w:tcPr>
          <w:p w14:paraId="65517039" w14:textId="7BFC742F" w:rsidR="00A77BD1" w:rsidRPr="009305DB" w:rsidRDefault="00A77BD1" w:rsidP="00A77BD1">
            <w:pPr>
              <w:spacing w:after="0" w:line="240" w:lineRule="exact"/>
              <w:jc w:val="right"/>
              <w:rPr>
                <w:rFonts w:eastAsia="Arial Unicode MS" w:cs="Arial"/>
                <w:b/>
                <w:bCs/>
                <w:sz w:val="18"/>
                <w:szCs w:val="18"/>
              </w:rPr>
            </w:pPr>
            <w:r w:rsidRPr="00312975">
              <w:rPr>
                <w:rFonts w:eastAsia="Arial Unicode MS" w:cs="Arial"/>
                <w:b/>
                <w:bCs/>
                <w:sz w:val="18"/>
                <w:szCs w:val="18"/>
              </w:rPr>
              <w:t>16.447.102</w:t>
            </w:r>
          </w:p>
        </w:tc>
        <w:tc>
          <w:tcPr>
            <w:tcW w:w="533" w:type="pct"/>
            <w:tcBorders>
              <w:top w:val="single" w:sz="2" w:space="0" w:color="auto"/>
              <w:left w:val="nil"/>
              <w:bottom w:val="single" w:sz="12" w:space="0" w:color="auto"/>
              <w:right w:val="nil"/>
            </w:tcBorders>
            <w:shd w:val="clear" w:color="auto" w:fill="auto"/>
            <w:vAlign w:val="bottom"/>
          </w:tcPr>
          <w:p w14:paraId="004B154D" w14:textId="1F02319A" w:rsidR="00A77BD1" w:rsidRPr="009305DB" w:rsidRDefault="00A77BD1" w:rsidP="00A77BD1">
            <w:pPr>
              <w:spacing w:after="0" w:line="240" w:lineRule="exact"/>
              <w:jc w:val="right"/>
              <w:rPr>
                <w:rFonts w:eastAsia="Arial Unicode MS" w:cs="Arial"/>
                <w:b/>
                <w:bCs/>
                <w:sz w:val="18"/>
                <w:szCs w:val="18"/>
              </w:rPr>
            </w:pPr>
            <w:r w:rsidRPr="00312975">
              <w:rPr>
                <w:rFonts w:eastAsia="Arial Unicode MS" w:cs="Arial"/>
                <w:b/>
                <w:bCs/>
                <w:sz w:val="18"/>
                <w:szCs w:val="18"/>
              </w:rPr>
              <w:t>4.941</w:t>
            </w:r>
          </w:p>
        </w:tc>
        <w:tc>
          <w:tcPr>
            <w:tcW w:w="608" w:type="pct"/>
            <w:tcBorders>
              <w:top w:val="single" w:sz="2" w:space="0" w:color="auto"/>
              <w:left w:val="nil"/>
              <w:bottom w:val="single" w:sz="12" w:space="0" w:color="auto"/>
              <w:right w:val="nil"/>
            </w:tcBorders>
            <w:shd w:val="clear" w:color="auto" w:fill="auto"/>
            <w:vAlign w:val="bottom"/>
          </w:tcPr>
          <w:p w14:paraId="5B7CCF3D" w14:textId="3235A49B" w:rsidR="00A77BD1" w:rsidRPr="009305DB" w:rsidRDefault="00A77BD1" w:rsidP="00A77BD1">
            <w:pPr>
              <w:spacing w:after="0" w:line="240" w:lineRule="exact"/>
              <w:jc w:val="right"/>
              <w:rPr>
                <w:rFonts w:eastAsia="Arial Unicode MS" w:cs="Arial"/>
                <w:b/>
                <w:bCs/>
                <w:sz w:val="18"/>
                <w:szCs w:val="18"/>
              </w:rPr>
            </w:pPr>
            <w:r w:rsidRPr="00312975">
              <w:rPr>
                <w:rFonts w:eastAsia="Arial Unicode MS" w:cs="Arial"/>
                <w:b/>
                <w:bCs/>
                <w:sz w:val="18"/>
                <w:szCs w:val="18"/>
              </w:rPr>
              <w:t>16.787.139</w:t>
            </w:r>
          </w:p>
        </w:tc>
        <w:tc>
          <w:tcPr>
            <w:tcW w:w="684" w:type="pct"/>
            <w:tcBorders>
              <w:top w:val="single" w:sz="2" w:space="0" w:color="auto"/>
              <w:left w:val="nil"/>
              <w:bottom w:val="single" w:sz="12" w:space="0" w:color="auto"/>
              <w:right w:val="nil"/>
            </w:tcBorders>
            <w:shd w:val="clear" w:color="auto" w:fill="auto"/>
            <w:vAlign w:val="bottom"/>
          </w:tcPr>
          <w:p w14:paraId="5E272DB4" w14:textId="4EF8A8F9" w:rsidR="00A77BD1" w:rsidRPr="009305DB" w:rsidRDefault="00A77BD1" w:rsidP="00A77BD1">
            <w:pPr>
              <w:spacing w:after="0" w:line="240" w:lineRule="exact"/>
              <w:jc w:val="right"/>
              <w:rPr>
                <w:rFonts w:eastAsia="Arial Unicode MS" w:cs="Arial"/>
                <w:b/>
                <w:bCs/>
                <w:sz w:val="18"/>
                <w:szCs w:val="18"/>
              </w:rPr>
            </w:pPr>
            <w:r w:rsidRPr="00312975">
              <w:rPr>
                <w:rFonts w:eastAsia="Arial Unicode MS" w:cs="Arial"/>
                <w:b/>
                <w:bCs/>
                <w:sz w:val="18"/>
                <w:szCs w:val="18"/>
              </w:rPr>
              <w:t>852.407</w:t>
            </w:r>
          </w:p>
        </w:tc>
        <w:tc>
          <w:tcPr>
            <w:tcW w:w="592" w:type="pct"/>
            <w:tcBorders>
              <w:top w:val="single" w:sz="2" w:space="0" w:color="auto"/>
              <w:left w:val="nil"/>
              <w:bottom w:val="single" w:sz="12" w:space="0" w:color="auto"/>
            </w:tcBorders>
            <w:shd w:val="clear" w:color="auto" w:fill="auto"/>
            <w:vAlign w:val="bottom"/>
          </w:tcPr>
          <w:p w14:paraId="201132C0" w14:textId="34772A0E" w:rsidR="00A77BD1" w:rsidRPr="009305DB" w:rsidRDefault="00A77BD1" w:rsidP="00A77BD1">
            <w:pPr>
              <w:spacing w:after="0" w:line="240" w:lineRule="exact"/>
              <w:jc w:val="right"/>
              <w:rPr>
                <w:rFonts w:eastAsia="Arial Unicode MS" w:cs="Arial"/>
                <w:b/>
                <w:bCs/>
                <w:sz w:val="18"/>
                <w:szCs w:val="18"/>
              </w:rPr>
            </w:pPr>
            <w:r w:rsidRPr="00312975">
              <w:rPr>
                <w:rFonts w:eastAsia="Arial Unicode MS" w:cs="Arial"/>
                <w:b/>
                <w:bCs/>
                <w:sz w:val="18"/>
                <w:szCs w:val="18"/>
              </w:rPr>
              <w:t>17.639.546</w:t>
            </w:r>
          </w:p>
        </w:tc>
      </w:tr>
      <w:tr w:rsidR="009305DB" w:rsidRPr="00EC1653" w14:paraId="6E3F72D8" w14:textId="77777777" w:rsidTr="00312975">
        <w:trPr>
          <w:trHeight w:val="245"/>
        </w:trPr>
        <w:tc>
          <w:tcPr>
            <w:tcW w:w="1351" w:type="pct"/>
          </w:tcPr>
          <w:p w14:paraId="51EAD2AF" w14:textId="77777777" w:rsidR="00252ABE" w:rsidRPr="00EC1653" w:rsidRDefault="00252ABE" w:rsidP="00252ABE">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Kapital</w:t>
            </w:r>
          </w:p>
        </w:tc>
        <w:tc>
          <w:tcPr>
            <w:tcW w:w="624" w:type="pct"/>
            <w:tcBorders>
              <w:top w:val="single" w:sz="12" w:space="0" w:color="auto"/>
              <w:left w:val="nil"/>
              <w:right w:val="nil"/>
            </w:tcBorders>
            <w:vAlign w:val="bottom"/>
          </w:tcPr>
          <w:p w14:paraId="38A17265" w14:textId="77777777" w:rsidR="00252ABE" w:rsidRPr="009305DB"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608" w:type="pct"/>
            <w:tcBorders>
              <w:top w:val="single" w:sz="12" w:space="0" w:color="auto"/>
              <w:left w:val="nil"/>
              <w:right w:val="nil"/>
            </w:tcBorders>
            <w:vAlign w:val="bottom"/>
          </w:tcPr>
          <w:p w14:paraId="24AE58F8" w14:textId="77777777" w:rsidR="00252ABE" w:rsidRPr="009305DB"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533" w:type="pct"/>
            <w:tcBorders>
              <w:top w:val="single" w:sz="12" w:space="0" w:color="auto"/>
              <w:left w:val="nil"/>
              <w:right w:val="nil"/>
            </w:tcBorders>
            <w:vAlign w:val="bottom"/>
          </w:tcPr>
          <w:p w14:paraId="4F97F87C" w14:textId="77777777" w:rsidR="00252ABE" w:rsidRPr="009305DB"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608" w:type="pct"/>
            <w:tcBorders>
              <w:top w:val="single" w:sz="12" w:space="0" w:color="auto"/>
              <w:left w:val="nil"/>
              <w:right w:val="nil"/>
            </w:tcBorders>
            <w:vAlign w:val="bottom"/>
          </w:tcPr>
          <w:p w14:paraId="14249773" w14:textId="77777777" w:rsidR="00252ABE" w:rsidRPr="009305DB"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684" w:type="pct"/>
            <w:tcBorders>
              <w:top w:val="single" w:sz="12" w:space="0" w:color="auto"/>
              <w:left w:val="nil"/>
              <w:right w:val="nil"/>
            </w:tcBorders>
            <w:vAlign w:val="bottom"/>
          </w:tcPr>
          <w:p w14:paraId="5AD2C78E" w14:textId="77777777" w:rsidR="00252ABE" w:rsidRPr="009305DB" w:rsidRDefault="00252ABE" w:rsidP="00252ABE">
            <w:pPr>
              <w:pStyle w:val="TT"/>
              <w:tabs>
                <w:tab w:val="clear" w:pos="1202"/>
              </w:tabs>
              <w:spacing w:line="240" w:lineRule="exact"/>
              <w:jc w:val="right"/>
              <w:rPr>
                <w:rFonts w:asciiTheme="minorHAnsi" w:hAnsiTheme="minorHAnsi" w:cs="Arial"/>
                <w:sz w:val="18"/>
                <w:szCs w:val="18"/>
                <w:lang w:val="hr-HR"/>
              </w:rPr>
            </w:pPr>
          </w:p>
        </w:tc>
        <w:tc>
          <w:tcPr>
            <w:tcW w:w="592" w:type="pct"/>
            <w:tcBorders>
              <w:top w:val="single" w:sz="12" w:space="0" w:color="auto"/>
              <w:left w:val="nil"/>
              <w:right w:val="nil"/>
            </w:tcBorders>
            <w:vAlign w:val="bottom"/>
          </w:tcPr>
          <w:p w14:paraId="633E75F0" w14:textId="77777777" w:rsidR="00252ABE" w:rsidRPr="009305DB" w:rsidRDefault="00252ABE" w:rsidP="00252ABE">
            <w:pPr>
              <w:pStyle w:val="TT"/>
              <w:tabs>
                <w:tab w:val="clear" w:pos="1202"/>
              </w:tabs>
              <w:spacing w:line="240" w:lineRule="exact"/>
              <w:jc w:val="right"/>
              <w:rPr>
                <w:rFonts w:asciiTheme="minorHAnsi" w:hAnsiTheme="minorHAnsi" w:cs="Arial"/>
                <w:sz w:val="18"/>
                <w:szCs w:val="18"/>
                <w:lang w:val="hr-HR"/>
              </w:rPr>
            </w:pPr>
          </w:p>
        </w:tc>
      </w:tr>
      <w:tr w:rsidR="009305DB" w:rsidRPr="00EC1653" w14:paraId="3D736E47" w14:textId="77777777" w:rsidTr="00312975">
        <w:trPr>
          <w:trHeight w:val="213"/>
        </w:trPr>
        <w:tc>
          <w:tcPr>
            <w:tcW w:w="1351" w:type="pct"/>
            <w:vAlign w:val="bottom"/>
          </w:tcPr>
          <w:p w14:paraId="1325AF93" w14:textId="77777777" w:rsidR="00A77BD1" w:rsidRPr="00EC1653" w:rsidRDefault="00A77BD1" w:rsidP="00A77BD1">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Osnivački kapital</w:t>
            </w:r>
          </w:p>
        </w:tc>
        <w:tc>
          <w:tcPr>
            <w:tcW w:w="624" w:type="pct"/>
            <w:tcBorders>
              <w:top w:val="nil"/>
              <w:left w:val="nil"/>
              <w:bottom w:val="nil"/>
              <w:right w:val="nil"/>
            </w:tcBorders>
            <w:shd w:val="clear" w:color="auto" w:fill="auto"/>
            <w:vAlign w:val="bottom"/>
          </w:tcPr>
          <w:p w14:paraId="27CD4B7B" w14:textId="7C6B0B1D" w:rsidR="00A77BD1" w:rsidRPr="009305DB" w:rsidRDefault="00A77BD1" w:rsidP="00A77BD1">
            <w:pPr>
              <w:spacing w:after="0" w:line="240" w:lineRule="exact"/>
              <w:jc w:val="right"/>
              <w:rPr>
                <w:rFonts w:eastAsia="Arial Unicode MS" w:cs="Arial"/>
                <w:sz w:val="18"/>
                <w:szCs w:val="18"/>
              </w:rPr>
            </w:pPr>
            <w:r w:rsidRPr="009305DB">
              <w:rPr>
                <w:rFonts w:eastAsia="Arial Unicode MS" w:cs="Arial"/>
                <w:sz w:val="18"/>
                <w:szCs w:val="18"/>
              </w:rPr>
              <w:t>-</w:t>
            </w:r>
          </w:p>
        </w:tc>
        <w:tc>
          <w:tcPr>
            <w:tcW w:w="608" w:type="pct"/>
            <w:tcBorders>
              <w:top w:val="nil"/>
              <w:left w:val="nil"/>
              <w:bottom w:val="nil"/>
              <w:right w:val="nil"/>
            </w:tcBorders>
            <w:shd w:val="clear" w:color="auto" w:fill="auto"/>
          </w:tcPr>
          <w:p w14:paraId="09D5868D" w14:textId="3196599D" w:rsidR="00A77BD1" w:rsidRPr="009305DB" w:rsidRDefault="00A77BD1" w:rsidP="00A77BD1">
            <w:pPr>
              <w:spacing w:after="0" w:line="240" w:lineRule="exact"/>
              <w:jc w:val="right"/>
              <w:rPr>
                <w:rFonts w:eastAsia="Arial Unicode MS" w:cs="Arial"/>
                <w:sz w:val="18"/>
                <w:szCs w:val="18"/>
              </w:rPr>
            </w:pPr>
            <w:r w:rsidRPr="009305DB">
              <w:rPr>
                <w:rFonts w:eastAsia="Arial Unicode MS" w:cs="Arial"/>
                <w:sz w:val="18"/>
                <w:szCs w:val="18"/>
              </w:rPr>
              <w:t>-</w:t>
            </w:r>
          </w:p>
        </w:tc>
        <w:tc>
          <w:tcPr>
            <w:tcW w:w="533" w:type="pct"/>
            <w:tcBorders>
              <w:top w:val="nil"/>
              <w:left w:val="nil"/>
              <w:bottom w:val="nil"/>
              <w:right w:val="nil"/>
            </w:tcBorders>
            <w:shd w:val="clear" w:color="auto" w:fill="auto"/>
          </w:tcPr>
          <w:p w14:paraId="5F979308" w14:textId="6FF89C19" w:rsidR="00A77BD1" w:rsidRPr="009305DB" w:rsidRDefault="00A77BD1" w:rsidP="00A77BD1">
            <w:pPr>
              <w:spacing w:after="0" w:line="240" w:lineRule="exact"/>
              <w:jc w:val="right"/>
              <w:rPr>
                <w:rFonts w:eastAsia="Arial Unicode MS" w:cs="Arial"/>
                <w:sz w:val="18"/>
                <w:szCs w:val="18"/>
              </w:rPr>
            </w:pPr>
            <w:r w:rsidRPr="009305DB">
              <w:rPr>
                <w:rFonts w:eastAsia="Arial Unicode MS" w:cs="Arial"/>
                <w:sz w:val="18"/>
                <w:szCs w:val="18"/>
              </w:rPr>
              <w:t>-</w:t>
            </w:r>
          </w:p>
        </w:tc>
        <w:tc>
          <w:tcPr>
            <w:tcW w:w="608" w:type="pct"/>
            <w:tcBorders>
              <w:top w:val="nil"/>
              <w:left w:val="nil"/>
              <w:bottom w:val="nil"/>
              <w:right w:val="nil"/>
            </w:tcBorders>
            <w:shd w:val="clear" w:color="auto" w:fill="auto"/>
          </w:tcPr>
          <w:p w14:paraId="54F08281" w14:textId="2F895089" w:rsidR="00A77BD1" w:rsidRPr="009305DB" w:rsidRDefault="00A77BD1" w:rsidP="00A77BD1">
            <w:pPr>
              <w:spacing w:after="0" w:line="240" w:lineRule="exact"/>
              <w:jc w:val="right"/>
              <w:rPr>
                <w:rFonts w:eastAsia="Arial Unicode MS" w:cs="Arial"/>
                <w:sz w:val="18"/>
                <w:szCs w:val="18"/>
              </w:rPr>
            </w:pPr>
            <w:r w:rsidRPr="009305DB">
              <w:rPr>
                <w:rFonts w:eastAsia="Arial Unicode MS" w:cs="Arial"/>
                <w:sz w:val="18"/>
                <w:szCs w:val="18"/>
              </w:rPr>
              <w:t>-</w:t>
            </w:r>
          </w:p>
        </w:tc>
        <w:tc>
          <w:tcPr>
            <w:tcW w:w="684" w:type="pct"/>
            <w:tcBorders>
              <w:top w:val="nil"/>
              <w:left w:val="nil"/>
              <w:bottom w:val="nil"/>
              <w:right w:val="nil"/>
            </w:tcBorders>
            <w:shd w:val="clear" w:color="auto" w:fill="auto"/>
            <w:vAlign w:val="bottom"/>
          </w:tcPr>
          <w:p w14:paraId="29CB7E95" w14:textId="5A952D81" w:rsidR="00A77BD1" w:rsidRPr="009305DB" w:rsidRDefault="00A77BD1" w:rsidP="00A77BD1">
            <w:pPr>
              <w:spacing w:after="0" w:line="240" w:lineRule="exact"/>
              <w:jc w:val="right"/>
              <w:rPr>
                <w:rFonts w:cs="Arial"/>
                <w:sz w:val="18"/>
                <w:szCs w:val="18"/>
              </w:rPr>
            </w:pPr>
            <w:r w:rsidRPr="00312975">
              <w:rPr>
                <w:rFonts w:cs="Arial"/>
                <w:sz w:val="18"/>
                <w:szCs w:val="18"/>
              </w:rPr>
              <w:t>6.959.632</w:t>
            </w:r>
          </w:p>
        </w:tc>
        <w:tc>
          <w:tcPr>
            <w:tcW w:w="592" w:type="pct"/>
            <w:tcBorders>
              <w:top w:val="nil"/>
              <w:left w:val="nil"/>
              <w:bottom w:val="nil"/>
              <w:right w:val="nil"/>
            </w:tcBorders>
            <w:shd w:val="clear" w:color="auto" w:fill="auto"/>
            <w:vAlign w:val="bottom"/>
          </w:tcPr>
          <w:p w14:paraId="7EC3ED4C" w14:textId="27FFA693" w:rsidR="00A77BD1" w:rsidRPr="009305DB" w:rsidRDefault="00A77BD1" w:rsidP="00A77BD1">
            <w:pPr>
              <w:spacing w:after="0" w:line="240" w:lineRule="exact"/>
              <w:jc w:val="right"/>
              <w:rPr>
                <w:rFonts w:cs="Arial"/>
                <w:sz w:val="18"/>
                <w:szCs w:val="18"/>
              </w:rPr>
            </w:pPr>
            <w:r w:rsidRPr="00312975">
              <w:rPr>
                <w:rFonts w:cs="Arial"/>
                <w:sz w:val="18"/>
                <w:szCs w:val="18"/>
              </w:rPr>
              <w:t>6.959.632</w:t>
            </w:r>
          </w:p>
        </w:tc>
      </w:tr>
      <w:tr w:rsidR="009305DB" w:rsidRPr="00EC1653" w14:paraId="749622BF" w14:textId="77777777" w:rsidTr="00312975">
        <w:trPr>
          <w:trHeight w:val="234"/>
        </w:trPr>
        <w:tc>
          <w:tcPr>
            <w:tcW w:w="1351" w:type="pct"/>
          </w:tcPr>
          <w:p w14:paraId="105A6267" w14:textId="77777777" w:rsidR="00A77BD1" w:rsidRPr="00EC1653" w:rsidRDefault="00A77BD1" w:rsidP="00A77BD1">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Zadržana dobit i rezerve</w:t>
            </w:r>
          </w:p>
        </w:tc>
        <w:tc>
          <w:tcPr>
            <w:tcW w:w="624" w:type="pct"/>
            <w:tcBorders>
              <w:top w:val="nil"/>
              <w:left w:val="nil"/>
              <w:bottom w:val="nil"/>
              <w:right w:val="nil"/>
            </w:tcBorders>
            <w:shd w:val="clear" w:color="auto" w:fill="auto"/>
            <w:vAlign w:val="bottom"/>
          </w:tcPr>
          <w:p w14:paraId="767DBD44" w14:textId="41E36F83" w:rsidR="00A77BD1" w:rsidRPr="009305DB" w:rsidRDefault="00A77BD1" w:rsidP="00A77BD1">
            <w:pPr>
              <w:spacing w:after="0" w:line="240" w:lineRule="exact"/>
              <w:jc w:val="right"/>
              <w:rPr>
                <w:rFonts w:eastAsia="Arial Unicode MS" w:cs="Arial"/>
                <w:sz w:val="18"/>
                <w:szCs w:val="18"/>
              </w:rPr>
            </w:pPr>
            <w:r w:rsidRPr="009305DB">
              <w:rPr>
                <w:rFonts w:eastAsia="Arial Unicode MS" w:cs="Arial"/>
                <w:sz w:val="18"/>
                <w:szCs w:val="18"/>
              </w:rPr>
              <w:t>-</w:t>
            </w:r>
          </w:p>
        </w:tc>
        <w:tc>
          <w:tcPr>
            <w:tcW w:w="608" w:type="pct"/>
            <w:tcBorders>
              <w:top w:val="nil"/>
              <w:left w:val="nil"/>
              <w:bottom w:val="nil"/>
              <w:right w:val="nil"/>
            </w:tcBorders>
            <w:shd w:val="clear" w:color="auto" w:fill="auto"/>
            <w:vAlign w:val="bottom"/>
          </w:tcPr>
          <w:p w14:paraId="50D2CE37" w14:textId="4D39C2F7" w:rsidR="00A77BD1" w:rsidRPr="009305DB" w:rsidRDefault="00A77BD1" w:rsidP="00A77BD1">
            <w:pPr>
              <w:spacing w:after="0" w:line="240" w:lineRule="exact"/>
              <w:jc w:val="right"/>
              <w:rPr>
                <w:rFonts w:eastAsia="Arial Unicode MS" w:cs="Arial"/>
                <w:sz w:val="18"/>
                <w:szCs w:val="18"/>
              </w:rPr>
            </w:pPr>
            <w:r w:rsidRPr="009305DB">
              <w:rPr>
                <w:rFonts w:eastAsia="Arial Unicode MS" w:cs="Arial"/>
                <w:sz w:val="18"/>
                <w:szCs w:val="18"/>
              </w:rPr>
              <w:t>-</w:t>
            </w:r>
          </w:p>
        </w:tc>
        <w:tc>
          <w:tcPr>
            <w:tcW w:w="533" w:type="pct"/>
            <w:tcBorders>
              <w:top w:val="nil"/>
              <w:left w:val="nil"/>
              <w:bottom w:val="nil"/>
              <w:right w:val="nil"/>
            </w:tcBorders>
            <w:shd w:val="clear" w:color="auto" w:fill="auto"/>
            <w:vAlign w:val="bottom"/>
          </w:tcPr>
          <w:p w14:paraId="423DFF34" w14:textId="3BF9576C" w:rsidR="00A77BD1" w:rsidRPr="009305DB" w:rsidRDefault="00A77BD1" w:rsidP="00A77BD1">
            <w:pPr>
              <w:spacing w:after="0" w:line="240" w:lineRule="exact"/>
              <w:jc w:val="right"/>
              <w:rPr>
                <w:rFonts w:eastAsia="Arial Unicode MS" w:cs="Arial"/>
                <w:sz w:val="18"/>
                <w:szCs w:val="18"/>
              </w:rPr>
            </w:pPr>
            <w:r w:rsidRPr="009305DB">
              <w:rPr>
                <w:rFonts w:eastAsia="Arial Unicode MS" w:cs="Arial"/>
                <w:sz w:val="18"/>
                <w:szCs w:val="18"/>
              </w:rPr>
              <w:t>-</w:t>
            </w:r>
          </w:p>
        </w:tc>
        <w:tc>
          <w:tcPr>
            <w:tcW w:w="608" w:type="pct"/>
            <w:tcBorders>
              <w:top w:val="nil"/>
              <w:left w:val="nil"/>
              <w:bottom w:val="nil"/>
              <w:right w:val="nil"/>
            </w:tcBorders>
            <w:shd w:val="clear" w:color="auto" w:fill="auto"/>
            <w:vAlign w:val="bottom"/>
          </w:tcPr>
          <w:p w14:paraId="5F7444F5" w14:textId="679B8DF8" w:rsidR="00A77BD1" w:rsidRPr="009305DB" w:rsidRDefault="00A77BD1" w:rsidP="00A77BD1">
            <w:pPr>
              <w:spacing w:after="0" w:line="240" w:lineRule="exact"/>
              <w:jc w:val="right"/>
              <w:rPr>
                <w:rFonts w:eastAsia="Arial Unicode MS" w:cs="Arial"/>
                <w:sz w:val="18"/>
                <w:szCs w:val="18"/>
              </w:rPr>
            </w:pPr>
            <w:r w:rsidRPr="009305DB">
              <w:rPr>
                <w:rFonts w:eastAsia="Arial Unicode MS" w:cs="Arial"/>
                <w:sz w:val="18"/>
                <w:szCs w:val="18"/>
              </w:rPr>
              <w:t>-</w:t>
            </w:r>
          </w:p>
        </w:tc>
        <w:tc>
          <w:tcPr>
            <w:tcW w:w="684" w:type="pct"/>
            <w:tcBorders>
              <w:top w:val="nil"/>
              <w:left w:val="nil"/>
              <w:bottom w:val="nil"/>
              <w:right w:val="nil"/>
            </w:tcBorders>
            <w:shd w:val="clear" w:color="auto" w:fill="auto"/>
            <w:vAlign w:val="bottom"/>
          </w:tcPr>
          <w:p w14:paraId="0A864765" w14:textId="15A620C8"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2.995.656</w:t>
            </w:r>
          </w:p>
        </w:tc>
        <w:tc>
          <w:tcPr>
            <w:tcW w:w="592" w:type="pct"/>
            <w:tcBorders>
              <w:top w:val="nil"/>
              <w:left w:val="nil"/>
              <w:bottom w:val="nil"/>
              <w:right w:val="nil"/>
            </w:tcBorders>
            <w:shd w:val="clear" w:color="auto" w:fill="auto"/>
            <w:vAlign w:val="bottom"/>
          </w:tcPr>
          <w:p w14:paraId="5C6D9FBE" w14:textId="21446828"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2.995.656</w:t>
            </w:r>
          </w:p>
        </w:tc>
      </w:tr>
      <w:tr w:rsidR="009305DB" w:rsidRPr="00EC1653" w14:paraId="17963227" w14:textId="77777777" w:rsidTr="00312975">
        <w:trPr>
          <w:trHeight w:val="234"/>
        </w:trPr>
        <w:tc>
          <w:tcPr>
            <w:tcW w:w="1351" w:type="pct"/>
          </w:tcPr>
          <w:p w14:paraId="3EBFFAB7" w14:textId="77777777" w:rsidR="00A77BD1" w:rsidRPr="00EC1653" w:rsidRDefault="00A77BD1" w:rsidP="00A77BD1">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Ostale rezerve</w:t>
            </w:r>
          </w:p>
        </w:tc>
        <w:tc>
          <w:tcPr>
            <w:tcW w:w="624" w:type="pct"/>
            <w:tcBorders>
              <w:top w:val="nil"/>
              <w:left w:val="nil"/>
              <w:bottom w:val="nil"/>
              <w:right w:val="nil"/>
            </w:tcBorders>
            <w:shd w:val="clear" w:color="auto" w:fill="auto"/>
            <w:vAlign w:val="bottom"/>
          </w:tcPr>
          <w:p w14:paraId="660205BC" w14:textId="55A244B9" w:rsidR="00A77BD1" w:rsidRPr="009305DB" w:rsidRDefault="00A77BD1" w:rsidP="00A77BD1">
            <w:pPr>
              <w:spacing w:after="0" w:line="240" w:lineRule="exact"/>
              <w:jc w:val="right"/>
              <w:rPr>
                <w:rFonts w:eastAsia="Arial Unicode MS" w:cs="Arial"/>
                <w:sz w:val="18"/>
                <w:szCs w:val="18"/>
              </w:rPr>
            </w:pPr>
            <w:r w:rsidRPr="009305DB">
              <w:rPr>
                <w:rFonts w:eastAsia="Arial Unicode MS" w:cs="Arial"/>
                <w:sz w:val="18"/>
                <w:szCs w:val="18"/>
              </w:rPr>
              <w:t>-</w:t>
            </w:r>
          </w:p>
        </w:tc>
        <w:tc>
          <w:tcPr>
            <w:tcW w:w="608" w:type="pct"/>
            <w:tcBorders>
              <w:top w:val="nil"/>
              <w:left w:val="nil"/>
              <w:bottom w:val="nil"/>
              <w:right w:val="nil"/>
            </w:tcBorders>
            <w:shd w:val="clear" w:color="auto" w:fill="auto"/>
            <w:vAlign w:val="bottom"/>
          </w:tcPr>
          <w:p w14:paraId="76A2F388" w14:textId="4D33610C" w:rsidR="00A77BD1" w:rsidRPr="009305DB" w:rsidRDefault="00A77BD1" w:rsidP="00A77BD1">
            <w:pPr>
              <w:spacing w:after="0" w:line="240" w:lineRule="exact"/>
              <w:jc w:val="right"/>
              <w:rPr>
                <w:rFonts w:eastAsia="Arial Unicode MS" w:cs="Arial"/>
                <w:sz w:val="18"/>
                <w:szCs w:val="18"/>
              </w:rPr>
            </w:pPr>
            <w:r w:rsidRPr="009305DB">
              <w:rPr>
                <w:rFonts w:eastAsia="Arial Unicode MS" w:cs="Arial"/>
                <w:sz w:val="18"/>
                <w:szCs w:val="18"/>
              </w:rPr>
              <w:t>-</w:t>
            </w:r>
          </w:p>
        </w:tc>
        <w:tc>
          <w:tcPr>
            <w:tcW w:w="533" w:type="pct"/>
            <w:tcBorders>
              <w:top w:val="nil"/>
              <w:left w:val="nil"/>
              <w:bottom w:val="nil"/>
              <w:right w:val="nil"/>
            </w:tcBorders>
            <w:shd w:val="clear" w:color="auto" w:fill="auto"/>
            <w:vAlign w:val="bottom"/>
          </w:tcPr>
          <w:p w14:paraId="64659A5F" w14:textId="471EDC28" w:rsidR="00A77BD1" w:rsidRPr="009305DB" w:rsidRDefault="00A77BD1" w:rsidP="00A77BD1">
            <w:pPr>
              <w:spacing w:after="0" w:line="240" w:lineRule="exact"/>
              <w:jc w:val="right"/>
              <w:rPr>
                <w:rFonts w:eastAsia="Arial Unicode MS" w:cs="Arial"/>
                <w:sz w:val="18"/>
                <w:szCs w:val="18"/>
              </w:rPr>
            </w:pPr>
            <w:r w:rsidRPr="009305DB">
              <w:rPr>
                <w:rFonts w:eastAsia="Arial Unicode MS" w:cs="Arial"/>
                <w:sz w:val="18"/>
                <w:szCs w:val="18"/>
              </w:rPr>
              <w:t>-</w:t>
            </w:r>
          </w:p>
        </w:tc>
        <w:tc>
          <w:tcPr>
            <w:tcW w:w="608" w:type="pct"/>
            <w:tcBorders>
              <w:top w:val="nil"/>
              <w:left w:val="nil"/>
              <w:bottom w:val="nil"/>
              <w:right w:val="nil"/>
            </w:tcBorders>
            <w:shd w:val="clear" w:color="auto" w:fill="auto"/>
            <w:vAlign w:val="bottom"/>
          </w:tcPr>
          <w:p w14:paraId="28E012FE" w14:textId="05F0B95C" w:rsidR="00A77BD1" w:rsidRPr="009305DB" w:rsidRDefault="00A77BD1" w:rsidP="00A77BD1">
            <w:pPr>
              <w:spacing w:after="0" w:line="240" w:lineRule="exact"/>
              <w:jc w:val="right"/>
              <w:rPr>
                <w:rFonts w:eastAsia="Arial Unicode MS" w:cs="Arial"/>
                <w:sz w:val="18"/>
                <w:szCs w:val="18"/>
              </w:rPr>
            </w:pPr>
            <w:r w:rsidRPr="009305DB">
              <w:rPr>
                <w:rFonts w:eastAsia="Arial Unicode MS" w:cs="Arial"/>
                <w:sz w:val="18"/>
                <w:szCs w:val="18"/>
              </w:rPr>
              <w:t>-</w:t>
            </w:r>
          </w:p>
        </w:tc>
        <w:tc>
          <w:tcPr>
            <w:tcW w:w="684" w:type="pct"/>
            <w:tcBorders>
              <w:top w:val="nil"/>
              <w:left w:val="nil"/>
              <w:bottom w:val="nil"/>
              <w:right w:val="nil"/>
            </w:tcBorders>
            <w:shd w:val="clear" w:color="auto" w:fill="auto"/>
            <w:vAlign w:val="bottom"/>
          </w:tcPr>
          <w:p w14:paraId="37456401" w14:textId="585C95A8"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69.655</w:t>
            </w:r>
          </w:p>
        </w:tc>
        <w:tc>
          <w:tcPr>
            <w:tcW w:w="592" w:type="pct"/>
            <w:tcBorders>
              <w:top w:val="nil"/>
              <w:left w:val="nil"/>
              <w:bottom w:val="nil"/>
              <w:right w:val="nil"/>
            </w:tcBorders>
            <w:shd w:val="clear" w:color="auto" w:fill="auto"/>
            <w:vAlign w:val="bottom"/>
          </w:tcPr>
          <w:p w14:paraId="7C1A4A02" w14:textId="72E620AD"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69.655</w:t>
            </w:r>
          </w:p>
        </w:tc>
      </w:tr>
      <w:tr w:rsidR="009305DB" w:rsidRPr="00EC1653" w14:paraId="62FC6870" w14:textId="77777777" w:rsidTr="00312975">
        <w:trPr>
          <w:trHeight w:val="234"/>
        </w:trPr>
        <w:tc>
          <w:tcPr>
            <w:tcW w:w="1351" w:type="pct"/>
          </w:tcPr>
          <w:p w14:paraId="780ECCB8" w14:textId="77777777" w:rsidR="00A77BD1" w:rsidRPr="00EC1653" w:rsidRDefault="00A77BD1" w:rsidP="00A77BD1">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Dobit tekuće godine</w:t>
            </w:r>
          </w:p>
        </w:tc>
        <w:tc>
          <w:tcPr>
            <w:tcW w:w="624" w:type="pct"/>
            <w:tcBorders>
              <w:top w:val="nil"/>
              <w:left w:val="nil"/>
              <w:bottom w:val="single" w:sz="4" w:space="0" w:color="auto"/>
              <w:right w:val="nil"/>
            </w:tcBorders>
            <w:shd w:val="clear" w:color="auto" w:fill="auto"/>
            <w:vAlign w:val="bottom"/>
          </w:tcPr>
          <w:p w14:paraId="6AD0A4C7" w14:textId="583757AF" w:rsidR="00A77BD1" w:rsidRPr="009305DB" w:rsidRDefault="00A77BD1" w:rsidP="00A77BD1">
            <w:pPr>
              <w:spacing w:after="0" w:line="240" w:lineRule="exact"/>
              <w:jc w:val="right"/>
              <w:rPr>
                <w:rFonts w:eastAsia="Arial Unicode MS" w:cs="Arial"/>
                <w:sz w:val="18"/>
                <w:szCs w:val="18"/>
              </w:rPr>
            </w:pPr>
            <w:r w:rsidRPr="009305DB">
              <w:rPr>
                <w:rFonts w:eastAsia="Arial Unicode MS" w:cs="Arial"/>
                <w:sz w:val="18"/>
                <w:szCs w:val="18"/>
              </w:rPr>
              <w:t>-</w:t>
            </w:r>
          </w:p>
        </w:tc>
        <w:tc>
          <w:tcPr>
            <w:tcW w:w="608" w:type="pct"/>
            <w:tcBorders>
              <w:top w:val="nil"/>
              <w:left w:val="nil"/>
              <w:bottom w:val="single" w:sz="4" w:space="0" w:color="auto"/>
              <w:right w:val="nil"/>
            </w:tcBorders>
            <w:shd w:val="clear" w:color="auto" w:fill="auto"/>
            <w:vAlign w:val="bottom"/>
          </w:tcPr>
          <w:p w14:paraId="614E62E6" w14:textId="5E2BB71A" w:rsidR="00A77BD1" w:rsidRPr="009305DB" w:rsidRDefault="00A77BD1" w:rsidP="00A77BD1">
            <w:pPr>
              <w:spacing w:after="0" w:line="240" w:lineRule="exact"/>
              <w:jc w:val="right"/>
              <w:rPr>
                <w:rFonts w:eastAsia="Arial Unicode MS" w:cs="Arial"/>
                <w:sz w:val="18"/>
                <w:szCs w:val="18"/>
              </w:rPr>
            </w:pPr>
            <w:r w:rsidRPr="009305DB">
              <w:rPr>
                <w:rFonts w:eastAsia="Arial Unicode MS" w:cs="Arial"/>
                <w:sz w:val="18"/>
                <w:szCs w:val="18"/>
              </w:rPr>
              <w:t>-</w:t>
            </w:r>
          </w:p>
        </w:tc>
        <w:tc>
          <w:tcPr>
            <w:tcW w:w="533" w:type="pct"/>
            <w:tcBorders>
              <w:top w:val="nil"/>
              <w:left w:val="nil"/>
              <w:bottom w:val="single" w:sz="4" w:space="0" w:color="auto"/>
              <w:right w:val="nil"/>
            </w:tcBorders>
            <w:shd w:val="clear" w:color="auto" w:fill="auto"/>
            <w:vAlign w:val="bottom"/>
          </w:tcPr>
          <w:p w14:paraId="1734EE18" w14:textId="4E1C5B2D" w:rsidR="00A77BD1" w:rsidRPr="009305DB" w:rsidRDefault="00A77BD1" w:rsidP="00A77BD1">
            <w:pPr>
              <w:spacing w:after="0" w:line="240" w:lineRule="exact"/>
              <w:jc w:val="right"/>
              <w:rPr>
                <w:rFonts w:eastAsia="Arial Unicode MS" w:cs="Arial"/>
                <w:sz w:val="18"/>
                <w:szCs w:val="18"/>
              </w:rPr>
            </w:pPr>
            <w:r w:rsidRPr="009305DB">
              <w:rPr>
                <w:rFonts w:eastAsia="Arial Unicode MS" w:cs="Arial"/>
                <w:sz w:val="18"/>
                <w:szCs w:val="18"/>
              </w:rPr>
              <w:t>-</w:t>
            </w:r>
          </w:p>
        </w:tc>
        <w:tc>
          <w:tcPr>
            <w:tcW w:w="608" w:type="pct"/>
            <w:tcBorders>
              <w:top w:val="nil"/>
              <w:left w:val="nil"/>
              <w:bottom w:val="single" w:sz="4" w:space="0" w:color="auto"/>
              <w:right w:val="nil"/>
            </w:tcBorders>
            <w:shd w:val="clear" w:color="auto" w:fill="auto"/>
            <w:vAlign w:val="bottom"/>
          </w:tcPr>
          <w:p w14:paraId="649ECEB5" w14:textId="30E2BB6B" w:rsidR="00A77BD1" w:rsidRPr="009305DB" w:rsidRDefault="00A77BD1" w:rsidP="00A77BD1">
            <w:pPr>
              <w:spacing w:after="0" w:line="240" w:lineRule="exact"/>
              <w:jc w:val="right"/>
              <w:rPr>
                <w:rFonts w:eastAsia="Arial Unicode MS" w:cs="Arial"/>
                <w:sz w:val="18"/>
                <w:szCs w:val="18"/>
              </w:rPr>
            </w:pPr>
            <w:r w:rsidRPr="009305DB">
              <w:rPr>
                <w:rFonts w:eastAsia="Arial Unicode MS" w:cs="Arial"/>
                <w:sz w:val="18"/>
                <w:szCs w:val="18"/>
              </w:rPr>
              <w:t>-</w:t>
            </w:r>
          </w:p>
        </w:tc>
        <w:tc>
          <w:tcPr>
            <w:tcW w:w="684" w:type="pct"/>
            <w:tcBorders>
              <w:top w:val="nil"/>
              <w:left w:val="nil"/>
              <w:bottom w:val="single" w:sz="4" w:space="0" w:color="auto"/>
              <w:right w:val="nil"/>
            </w:tcBorders>
            <w:shd w:val="clear" w:color="auto" w:fill="auto"/>
            <w:vAlign w:val="bottom"/>
          </w:tcPr>
          <w:p w14:paraId="3B6CD43D" w14:textId="0180741A"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129.356</w:t>
            </w:r>
          </w:p>
        </w:tc>
        <w:tc>
          <w:tcPr>
            <w:tcW w:w="592" w:type="pct"/>
            <w:tcBorders>
              <w:top w:val="nil"/>
              <w:left w:val="nil"/>
              <w:bottom w:val="single" w:sz="4" w:space="0" w:color="auto"/>
              <w:right w:val="nil"/>
            </w:tcBorders>
            <w:shd w:val="clear" w:color="auto" w:fill="auto"/>
            <w:vAlign w:val="bottom"/>
          </w:tcPr>
          <w:p w14:paraId="591703DF" w14:textId="37F2C89C"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129.356</w:t>
            </w:r>
          </w:p>
        </w:tc>
      </w:tr>
      <w:tr w:rsidR="009305DB" w:rsidRPr="00EC1653" w14:paraId="6E01468F" w14:textId="77777777" w:rsidTr="00312975">
        <w:trPr>
          <w:trHeight w:val="245"/>
        </w:trPr>
        <w:tc>
          <w:tcPr>
            <w:tcW w:w="1351" w:type="pct"/>
            <w:vAlign w:val="bottom"/>
          </w:tcPr>
          <w:p w14:paraId="083F7625" w14:textId="77777777" w:rsidR="00A77BD1" w:rsidRPr="00EC1653" w:rsidRDefault="00A77BD1" w:rsidP="00A77BD1">
            <w:pPr>
              <w:pStyle w:val="TT"/>
              <w:spacing w:line="240" w:lineRule="exact"/>
              <w:rPr>
                <w:rFonts w:asciiTheme="minorHAnsi" w:hAnsiTheme="minorHAnsi" w:cs="Arial"/>
                <w:b/>
                <w:bCs/>
                <w:sz w:val="18"/>
                <w:szCs w:val="18"/>
                <w:lang w:val="hr-HR"/>
              </w:rPr>
            </w:pPr>
            <w:r w:rsidRPr="00EC1653">
              <w:rPr>
                <w:rFonts w:asciiTheme="minorHAnsi" w:hAnsiTheme="minorHAnsi" w:cs="Arial"/>
                <w:b/>
                <w:bCs/>
                <w:sz w:val="18"/>
                <w:szCs w:val="18"/>
                <w:lang w:val="hr-HR"/>
              </w:rPr>
              <w:t xml:space="preserve">Ukupni kapital </w:t>
            </w:r>
          </w:p>
        </w:tc>
        <w:tc>
          <w:tcPr>
            <w:tcW w:w="624" w:type="pct"/>
            <w:tcBorders>
              <w:top w:val="single" w:sz="4" w:space="0" w:color="auto"/>
              <w:left w:val="nil"/>
              <w:bottom w:val="single" w:sz="12" w:space="0" w:color="auto"/>
              <w:right w:val="nil"/>
            </w:tcBorders>
            <w:shd w:val="clear" w:color="auto" w:fill="auto"/>
            <w:vAlign w:val="bottom"/>
          </w:tcPr>
          <w:p w14:paraId="05A41AAC" w14:textId="053CCB32" w:rsidR="00A77BD1" w:rsidRPr="009305DB" w:rsidRDefault="00A77BD1" w:rsidP="00A77BD1">
            <w:pPr>
              <w:pStyle w:val="Tot"/>
              <w:tabs>
                <w:tab w:val="clear" w:pos="1202"/>
              </w:tabs>
              <w:spacing w:line="240" w:lineRule="exact"/>
              <w:jc w:val="right"/>
              <w:rPr>
                <w:rFonts w:asciiTheme="minorHAnsi" w:hAnsiTheme="minorHAnsi" w:cs="Arial"/>
                <w:b/>
                <w:bCs/>
                <w:sz w:val="18"/>
                <w:szCs w:val="18"/>
                <w:lang w:val="hr-HR"/>
              </w:rPr>
            </w:pPr>
            <w:r w:rsidRPr="009305DB">
              <w:rPr>
                <w:rFonts w:asciiTheme="minorHAnsi" w:hAnsiTheme="minorHAnsi" w:cs="Arial"/>
                <w:b/>
                <w:bCs/>
                <w:sz w:val="18"/>
                <w:szCs w:val="18"/>
                <w:lang w:val="hr-HR"/>
              </w:rPr>
              <w:t>-</w:t>
            </w:r>
          </w:p>
        </w:tc>
        <w:tc>
          <w:tcPr>
            <w:tcW w:w="608" w:type="pct"/>
            <w:tcBorders>
              <w:top w:val="single" w:sz="4" w:space="0" w:color="auto"/>
              <w:left w:val="nil"/>
              <w:bottom w:val="single" w:sz="12" w:space="0" w:color="auto"/>
              <w:right w:val="nil"/>
            </w:tcBorders>
            <w:shd w:val="clear" w:color="auto" w:fill="auto"/>
            <w:vAlign w:val="bottom"/>
          </w:tcPr>
          <w:p w14:paraId="039FF8ED" w14:textId="084BF00B" w:rsidR="00A77BD1" w:rsidRPr="009305DB" w:rsidRDefault="00A77BD1" w:rsidP="00A77BD1">
            <w:pPr>
              <w:pStyle w:val="Tot"/>
              <w:tabs>
                <w:tab w:val="clear" w:pos="1202"/>
              </w:tabs>
              <w:spacing w:line="240" w:lineRule="exact"/>
              <w:jc w:val="right"/>
              <w:rPr>
                <w:rFonts w:asciiTheme="minorHAnsi" w:hAnsiTheme="minorHAnsi" w:cs="Arial"/>
                <w:b/>
                <w:bCs/>
                <w:sz w:val="18"/>
                <w:szCs w:val="18"/>
                <w:lang w:val="hr-HR"/>
              </w:rPr>
            </w:pPr>
            <w:r w:rsidRPr="009305DB">
              <w:rPr>
                <w:rFonts w:asciiTheme="minorHAnsi" w:hAnsiTheme="minorHAnsi" w:cs="Arial"/>
                <w:b/>
                <w:bCs/>
                <w:sz w:val="18"/>
                <w:szCs w:val="18"/>
                <w:lang w:val="hr-HR"/>
              </w:rPr>
              <w:t>-</w:t>
            </w:r>
          </w:p>
        </w:tc>
        <w:tc>
          <w:tcPr>
            <w:tcW w:w="533" w:type="pct"/>
            <w:tcBorders>
              <w:top w:val="single" w:sz="4" w:space="0" w:color="auto"/>
              <w:left w:val="nil"/>
              <w:bottom w:val="single" w:sz="12" w:space="0" w:color="auto"/>
              <w:right w:val="nil"/>
            </w:tcBorders>
            <w:shd w:val="clear" w:color="auto" w:fill="auto"/>
            <w:vAlign w:val="bottom"/>
          </w:tcPr>
          <w:p w14:paraId="2B1D57AB" w14:textId="64449648" w:rsidR="00A77BD1" w:rsidRPr="009305DB" w:rsidRDefault="00A77BD1" w:rsidP="00A77BD1">
            <w:pPr>
              <w:pStyle w:val="Tot"/>
              <w:tabs>
                <w:tab w:val="clear" w:pos="1202"/>
              </w:tabs>
              <w:spacing w:line="240" w:lineRule="exact"/>
              <w:jc w:val="right"/>
              <w:rPr>
                <w:rFonts w:asciiTheme="minorHAnsi" w:hAnsiTheme="minorHAnsi" w:cs="Arial"/>
                <w:b/>
                <w:bCs/>
                <w:sz w:val="18"/>
                <w:szCs w:val="18"/>
                <w:lang w:val="hr-HR"/>
              </w:rPr>
            </w:pPr>
            <w:r w:rsidRPr="009305DB">
              <w:rPr>
                <w:rFonts w:asciiTheme="minorHAnsi" w:hAnsiTheme="minorHAnsi" w:cs="Arial"/>
                <w:b/>
                <w:bCs/>
                <w:sz w:val="18"/>
                <w:szCs w:val="18"/>
                <w:lang w:val="hr-HR"/>
              </w:rPr>
              <w:t>-</w:t>
            </w:r>
          </w:p>
        </w:tc>
        <w:tc>
          <w:tcPr>
            <w:tcW w:w="608" w:type="pct"/>
            <w:tcBorders>
              <w:top w:val="single" w:sz="4" w:space="0" w:color="auto"/>
              <w:left w:val="nil"/>
              <w:bottom w:val="single" w:sz="12" w:space="0" w:color="auto"/>
              <w:right w:val="nil"/>
            </w:tcBorders>
            <w:shd w:val="clear" w:color="auto" w:fill="auto"/>
            <w:vAlign w:val="bottom"/>
          </w:tcPr>
          <w:p w14:paraId="1FB8FE1C" w14:textId="36464284" w:rsidR="00A77BD1" w:rsidRPr="009305DB" w:rsidRDefault="00A77BD1" w:rsidP="00A77BD1">
            <w:pPr>
              <w:pStyle w:val="Tot"/>
              <w:tabs>
                <w:tab w:val="clear" w:pos="1202"/>
              </w:tabs>
              <w:spacing w:line="240" w:lineRule="exact"/>
              <w:jc w:val="right"/>
              <w:rPr>
                <w:rFonts w:asciiTheme="minorHAnsi" w:hAnsiTheme="minorHAnsi" w:cs="Arial"/>
                <w:b/>
                <w:bCs/>
                <w:sz w:val="18"/>
                <w:szCs w:val="18"/>
                <w:lang w:val="hr-HR"/>
              </w:rPr>
            </w:pPr>
            <w:r w:rsidRPr="009305DB">
              <w:rPr>
                <w:rFonts w:asciiTheme="minorHAnsi" w:hAnsiTheme="minorHAnsi" w:cs="Arial"/>
                <w:b/>
                <w:bCs/>
                <w:sz w:val="18"/>
                <w:szCs w:val="18"/>
                <w:lang w:val="hr-HR"/>
              </w:rPr>
              <w:t>-</w:t>
            </w:r>
          </w:p>
        </w:tc>
        <w:tc>
          <w:tcPr>
            <w:tcW w:w="684" w:type="pct"/>
            <w:tcBorders>
              <w:top w:val="single" w:sz="4" w:space="0" w:color="auto"/>
              <w:left w:val="nil"/>
              <w:bottom w:val="single" w:sz="12" w:space="0" w:color="auto"/>
              <w:right w:val="nil"/>
            </w:tcBorders>
            <w:shd w:val="clear" w:color="auto" w:fill="auto"/>
            <w:vAlign w:val="bottom"/>
          </w:tcPr>
          <w:p w14:paraId="16F93A7C" w14:textId="7806E73B" w:rsidR="00A77BD1" w:rsidRPr="009305DB" w:rsidRDefault="00A77BD1" w:rsidP="00A77BD1">
            <w:pPr>
              <w:spacing w:after="0" w:line="240" w:lineRule="exact"/>
              <w:jc w:val="right"/>
              <w:rPr>
                <w:rFonts w:eastAsia="Arial Unicode MS" w:cs="Arial"/>
                <w:b/>
                <w:bCs/>
                <w:sz w:val="18"/>
                <w:szCs w:val="18"/>
              </w:rPr>
            </w:pPr>
            <w:r w:rsidRPr="00312975">
              <w:rPr>
                <w:rFonts w:eastAsia="Arial Unicode MS" w:cs="Arial"/>
                <w:b/>
                <w:bCs/>
                <w:sz w:val="18"/>
                <w:szCs w:val="18"/>
              </w:rPr>
              <w:t>10.154.299</w:t>
            </w:r>
          </w:p>
        </w:tc>
        <w:tc>
          <w:tcPr>
            <w:tcW w:w="592" w:type="pct"/>
            <w:tcBorders>
              <w:top w:val="single" w:sz="4" w:space="0" w:color="auto"/>
              <w:left w:val="nil"/>
              <w:bottom w:val="single" w:sz="12" w:space="0" w:color="auto"/>
            </w:tcBorders>
            <w:shd w:val="clear" w:color="auto" w:fill="auto"/>
            <w:vAlign w:val="bottom"/>
          </w:tcPr>
          <w:p w14:paraId="7245775E" w14:textId="3BE1B094" w:rsidR="00A77BD1" w:rsidRPr="009305DB" w:rsidRDefault="00A77BD1" w:rsidP="00A77BD1">
            <w:pPr>
              <w:spacing w:after="0" w:line="240" w:lineRule="exact"/>
              <w:jc w:val="right"/>
              <w:rPr>
                <w:rFonts w:eastAsia="Arial Unicode MS" w:cs="Arial"/>
                <w:b/>
                <w:bCs/>
                <w:sz w:val="18"/>
                <w:szCs w:val="18"/>
              </w:rPr>
            </w:pPr>
            <w:r w:rsidRPr="00312975">
              <w:rPr>
                <w:rFonts w:eastAsia="Arial Unicode MS" w:cs="Arial"/>
                <w:b/>
                <w:bCs/>
                <w:sz w:val="18"/>
                <w:szCs w:val="18"/>
              </w:rPr>
              <w:t>10.154.299</w:t>
            </w:r>
          </w:p>
        </w:tc>
      </w:tr>
      <w:tr w:rsidR="009305DB" w:rsidRPr="00EC1653" w14:paraId="79B00836" w14:textId="77777777" w:rsidTr="00312975">
        <w:trPr>
          <w:trHeight w:val="234"/>
        </w:trPr>
        <w:tc>
          <w:tcPr>
            <w:tcW w:w="1351" w:type="pct"/>
            <w:vAlign w:val="bottom"/>
          </w:tcPr>
          <w:p w14:paraId="41FCCE11" w14:textId="77777777" w:rsidR="00A77BD1" w:rsidRPr="00EC1653" w:rsidRDefault="00A77BD1" w:rsidP="00A77BD1">
            <w:pPr>
              <w:pStyle w:val="TT"/>
              <w:spacing w:line="240" w:lineRule="exact"/>
              <w:rPr>
                <w:rFonts w:asciiTheme="minorHAnsi" w:hAnsiTheme="minorHAnsi" w:cs="Arial"/>
                <w:sz w:val="18"/>
                <w:szCs w:val="18"/>
                <w:lang w:val="hr-HR"/>
              </w:rPr>
            </w:pPr>
            <w:r w:rsidRPr="00EC1653">
              <w:rPr>
                <w:rFonts w:asciiTheme="minorHAnsi" w:hAnsiTheme="minorHAnsi" w:cs="Arial"/>
                <w:sz w:val="18"/>
                <w:szCs w:val="18"/>
                <w:lang w:val="hr-HR"/>
              </w:rPr>
              <w:t>Garantni fond</w:t>
            </w:r>
          </w:p>
        </w:tc>
        <w:tc>
          <w:tcPr>
            <w:tcW w:w="624" w:type="pct"/>
            <w:tcBorders>
              <w:top w:val="single" w:sz="12" w:space="0" w:color="auto"/>
              <w:left w:val="nil"/>
              <w:bottom w:val="single" w:sz="4" w:space="0" w:color="auto"/>
              <w:right w:val="nil"/>
            </w:tcBorders>
            <w:shd w:val="clear" w:color="auto" w:fill="auto"/>
            <w:vAlign w:val="bottom"/>
          </w:tcPr>
          <w:p w14:paraId="1A7A2E3B" w14:textId="5C3FF834" w:rsidR="00A77BD1" w:rsidRPr="009305DB" w:rsidRDefault="00A77BD1" w:rsidP="00A77BD1">
            <w:pPr>
              <w:pStyle w:val="TT"/>
              <w:spacing w:line="240" w:lineRule="exact"/>
              <w:jc w:val="right"/>
              <w:rPr>
                <w:rFonts w:asciiTheme="minorHAnsi" w:hAnsiTheme="minorHAnsi" w:cs="Arial"/>
                <w:spacing w:val="-2"/>
                <w:sz w:val="18"/>
                <w:szCs w:val="18"/>
                <w:lang w:val="hr-HR"/>
              </w:rPr>
            </w:pPr>
            <w:r w:rsidRPr="00312975">
              <w:rPr>
                <w:rFonts w:asciiTheme="minorHAnsi" w:hAnsiTheme="minorHAnsi" w:cs="Arial"/>
                <w:spacing w:val="-2"/>
                <w:sz w:val="18"/>
                <w:szCs w:val="18"/>
                <w:lang w:val="hr-HR"/>
              </w:rPr>
              <w:t>-</w:t>
            </w:r>
          </w:p>
        </w:tc>
        <w:tc>
          <w:tcPr>
            <w:tcW w:w="608" w:type="pct"/>
            <w:tcBorders>
              <w:top w:val="single" w:sz="12" w:space="0" w:color="auto"/>
              <w:left w:val="nil"/>
              <w:bottom w:val="single" w:sz="4" w:space="0" w:color="auto"/>
              <w:right w:val="nil"/>
            </w:tcBorders>
            <w:shd w:val="clear" w:color="auto" w:fill="auto"/>
            <w:vAlign w:val="bottom"/>
          </w:tcPr>
          <w:p w14:paraId="5C4C4EEB" w14:textId="1D21C5F3"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12.128</w:t>
            </w:r>
          </w:p>
        </w:tc>
        <w:tc>
          <w:tcPr>
            <w:tcW w:w="533" w:type="pct"/>
            <w:tcBorders>
              <w:top w:val="single" w:sz="12" w:space="0" w:color="auto"/>
              <w:left w:val="nil"/>
              <w:bottom w:val="single" w:sz="4" w:space="0" w:color="auto"/>
              <w:right w:val="nil"/>
            </w:tcBorders>
            <w:shd w:val="clear" w:color="auto" w:fill="auto"/>
            <w:vAlign w:val="bottom"/>
          </w:tcPr>
          <w:p w14:paraId="767C8421" w14:textId="33B3B3B3"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608" w:type="pct"/>
            <w:tcBorders>
              <w:top w:val="single" w:sz="12" w:space="0" w:color="auto"/>
              <w:left w:val="nil"/>
              <w:bottom w:val="single" w:sz="4" w:space="0" w:color="auto"/>
              <w:right w:val="nil"/>
            </w:tcBorders>
            <w:shd w:val="clear" w:color="auto" w:fill="auto"/>
            <w:vAlign w:val="bottom"/>
          </w:tcPr>
          <w:p w14:paraId="21E5E25F" w14:textId="1001AB41"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12.128</w:t>
            </w:r>
          </w:p>
        </w:tc>
        <w:tc>
          <w:tcPr>
            <w:tcW w:w="684" w:type="pct"/>
            <w:tcBorders>
              <w:top w:val="single" w:sz="12" w:space="0" w:color="auto"/>
              <w:left w:val="nil"/>
              <w:bottom w:val="single" w:sz="4" w:space="0" w:color="auto"/>
              <w:right w:val="nil"/>
            </w:tcBorders>
            <w:shd w:val="clear" w:color="auto" w:fill="auto"/>
            <w:vAlign w:val="bottom"/>
          </w:tcPr>
          <w:p w14:paraId="0B2A1E12" w14:textId="2B138C32"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w:t>
            </w:r>
          </w:p>
        </w:tc>
        <w:tc>
          <w:tcPr>
            <w:tcW w:w="592" w:type="pct"/>
            <w:tcBorders>
              <w:top w:val="single" w:sz="12" w:space="0" w:color="auto"/>
              <w:left w:val="nil"/>
              <w:bottom w:val="single" w:sz="4" w:space="0" w:color="auto"/>
            </w:tcBorders>
            <w:shd w:val="clear" w:color="auto" w:fill="auto"/>
            <w:vAlign w:val="bottom"/>
          </w:tcPr>
          <w:p w14:paraId="69D05DEC" w14:textId="27F61AC1" w:rsidR="00A77BD1" w:rsidRPr="009305DB" w:rsidRDefault="00A77BD1" w:rsidP="00A77BD1">
            <w:pPr>
              <w:spacing w:after="0" w:line="240" w:lineRule="exact"/>
              <w:jc w:val="right"/>
              <w:rPr>
                <w:rFonts w:eastAsia="Arial Unicode MS" w:cs="Arial"/>
                <w:sz w:val="18"/>
                <w:szCs w:val="18"/>
              </w:rPr>
            </w:pPr>
            <w:r w:rsidRPr="00312975">
              <w:rPr>
                <w:rFonts w:eastAsia="Arial Unicode MS" w:cs="Arial"/>
                <w:sz w:val="18"/>
                <w:szCs w:val="18"/>
              </w:rPr>
              <w:t>12.188</w:t>
            </w:r>
          </w:p>
        </w:tc>
      </w:tr>
      <w:tr w:rsidR="009305DB" w:rsidRPr="00EC1653" w14:paraId="73BBFB28" w14:textId="77777777" w:rsidTr="00312975">
        <w:trPr>
          <w:trHeight w:val="245"/>
        </w:trPr>
        <w:tc>
          <w:tcPr>
            <w:tcW w:w="1351" w:type="pct"/>
            <w:vAlign w:val="bottom"/>
          </w:tcPr>
          <w:p w14:paraId="71380BE1" w14:textId="77777777" w:rsidR="00A77BD1" w:rsidRPr="00EC1653" w:rsidRDefault="00A77BD1" w:rsidP="00A77BD1">
            <w:pPr>
              <w:spacing w:after="0" w:line="240" w:lineRule="exact"/>
              <w:rPr>
                <w:rFonts w:cs="Arial"/>
                <w:b/>
                <w:bCs/>
                <w:sz w:val="18"/>
                <w:szCs w:val="18"/>
              </w:rPr>
            </w:pPr>
            <w:r w:rsidRPr="00EC1653">
              <w:rPr>
                <w:rFonts w:cs="Arial"/>
                <w:b/>
                <w:bCs/>
                <w:sz w:val="18"/>
                <w:szCs w:val="18"/>
              </w:rPr>
              <w:t>Ukupna glavnica</w:t>
            </w:r>
          </w:p>
        </w:tc>
        <w:tc>
          <w:tcPr>
            <w:tcW w:w="624" w:type="pct"/>
            <w:tcBorders>
              <w:top w:val="single" w:sz="4" w:space="0" w:color="auto"/>
              <w:left w:val="nil"/>
              <w:bottom w:val="single" w:sz="12" w:space="0" w:color="auto"/>
              <w:right w:val="nil"/>
            </w:tcBorders>
            <w:shd w:val="clear" w:color="auto" w:fill="auto"/>
            <w:vAlign w:val="bottom"/>
          </w:tcPr>
          <w:p w14:paraId="0E2CB825" w14:textId="276D279F" w:rsidR="00A77BD1" w:rsidRPr="009305DB" w:rsidRDefault="00A77BD1" w:rsidP="00A77BD1">
            <w:pPr>
              <w:pStyle w:val="Tot"/>
              <w:spacing w:line="240" w:lineRule="exact"/>
              <w:jc w:val="right"/>
              <w:rPr>
                <w:rFonts w:asciiTheme="minorHAnsi" w:hAnsiTheme="minorHAnsi" w:cs="Arial"/>
                <w:b/>
                <w:bCs/>
                <w:spacing w:val="-2"/>
                <w:sz w:val="18"/>
                <w:szCs w:val="18"/>
                <w:lang w:val="hr-HR"/>
              </w:rPr>
            </w:pPr>
            <w:r w:rsidRPr="00312975">
              <w:rPr>
                <w:rFonts w:asciiTheme="minorHAnsi" w:hAnsiTheme="minorHAnsi" w:cs="Arial"/>
                <w:b/>
                <w:bCs/>
                <w:spacing w:val="-2"/>
                <w:sz w:val="18"/>
                <w:szCs w:val="18"/>
                <w:lang w:val="hr-HR"/>
              </w:rPr>
              <w:t>-</w:t>
            </w:r>
          </w:p>
        </w:tc>
        <w:tc>
          <w:tcPr>
            <w:tcW w:w="608" w:type="pct"/>
            <w:tcBorders>
              <w:top w:val="single" w:sz="4" w:space="0" w:color="auto"/>
              <w:left w:val="nil"/>
              <w:bottom w:val="single" w:sz="12" w:space="0" w:color="auto"/>
              <w:right w:val="nil"/>
            </w:tcBorders>
            <w:shd w:val="clear" w:color="auto" w:fill="auto"/>
            <w:vAlign w:val="bottom"/>
          </w:tcPr>
          <w:p w14:paraId="64A10B3A" w14:textId="2195B982" w:rsidR="00A77BD1" w:rsidRPr="009305DB" w:rsidRDefault="00A77BD1" w:rsidP="00A77BD1">
            <w:pPr>
              <w:spacing w:after="0" w:line="240" w:lineRule="exact"/>
              <w:jc w:val="right"/>
              <w:rPr>
                <w:rFonts w:eastAsia="Arial Unicode MS" w:cs="Arial"/>
                <w:b/>
                <w:bCs/>
                <w:sz w:val="18"/>
                <w:szCs w:val="18"/>
                <w:lang w:val="pl-PL"/>
              </w:rPr>
            </w:pPr>
            <w:r w:rsidRPr="00312975">
              <w:rPr>
                <w:rFonts w:eastAsia="Arial Unicode MS" w:cs="Arial"/>
                <w:b/>
                <w:bCs/>
                <w:sz w:val="18"/>
                <w:szCs w:val="18"/>
                <w:lang w:val="pl-PL"/>
              </w:rPr>
              <w:t>12.128</w:t>
            </w:r>
          </w:p>
        </w:tc>
        <w:tc>
          <w:tcPr>
            <w:tcW w:w="533" w:type="pct"/>
            <w:tcBorders>
              <w:top w:val="single" w:sz="4" w:space="0" w:color="auto"/>
              <w:left w:val="nil"/>
              <w:bottom w:val="single" w:sz="12" w:space="0" w:color="auto"/>
              <w:right w:val="nil"/>
            </w:tcBorders>
            <w:shd w:val="clear" w:color="auto" w:fill="auto"/>
            <w:vAlign w:val="bottom"/>
          </w:tcPr>
          <w:p w14:paraId="11389B39" w14:textId="07FA734B" w:rsidR="00A77BD1" w:rsidRPr="009305DB" w:rsidRDefault="00A77BD1" w:rsidP="00A77BD1">
            <w:pPr>
              <w:spacing w:after="0" w:line="240" w:lineRule="exact"/>
              <w:jc w:val="right"/>
              <w:rPr>
                <w:rFonts w:eastAsia="Arial Unicode MS" w:cs="Arial"/>
                <w:b/>
                <w:bCs/>
                <w:sz w:val="18"/>
                <w:szCs w:val="18"/>
                <w:lang w:val="pl-PL"/>
              </w:rPr>
            </w:pPr>
            <w:r w:rsidRPr="00312975">
              <w:rPr>
                <w:rFonts w:eastAsia="Arial Unicode MS" w:cs="Arial"/>
                <w:b/>
                <w:bCs/>
                <w:sz w:val="18"/>
                <w:szCs w:val="18"/>
                <w:lang w:val="pl-PL"/>
              </w:rPr>
              <w:t>-</w:t>
            </w:r>
          </w:p>
        </w:tc>
        <w:tc>
          <w:tcPr>
            <w:tcW w:w="608" w:type="pct"/>
            <w:tcBorders>
              <w:top w:val="single" w:sz="4" w:space="0" w:color="auto"/>
              <w:left w:val="nil"/>
              <w:bottom w:val="single" w:sz="12" w:space="0" w:color="auto"/>
              <w:right w:val="nil"/>
            </w:tcBorders>
            <w:shd w:val="clear" w:color="auto" w:fill="auto"/>
            <w:vAlign w:val="bottom"/>
          </w:tcPr>
          <w:p w14:paraId="43A78371" w14:textId="2E25A72A" w:rsidR="00A77BD1" w:rsidRPr="009305DB" w:rsidRDefault="00A77BD1" w:rsidP="00A77BD1">
            <w:pPr>
              <w:spacing w:after="0" w:line="240" w:lineRule="exact"/>
              <w:jc w:val="right"/>
              <w:rPr>
                <w:rFonts w:eastAsia="Arial Unicode MS" w:cs="Arial"/>
                <w:b/>
                <w:bCs/>
                <w:sz w:val="18"/>
                <w:szCs w:val="18"/>
                <w:lang w:val="pl-PL"/>
              </w:rPr>
            </w:pPr>
            <w:r w:rsidRPr="00312975">
              <w:rPr>
                <w:rFonts w:eastAsia="Arial Unicode MS" w:cs="Arial"/>
                <w:b/>
                <w:bCs/>
                <w:sz w:val="18"/>
                <w:szCs w:val="18"/>
                <w:lang w:val="pl-PL"/>
              </w:rPr>
              <w:t>12.128</w:t>
            </w:r>
          </w:p>
        </w:tc>
        <w:tc>
          <w:tcPr>
            <w:tcW w:w="684" w:type="pct"/>
            <w:tcBorders>
              <w:top w:val="single" w:sz="4" w:space="0" w:color="auto"/>
              <w:left w:val="nil"/>
              <w:bottom w:val="single" w:sz="12" w:space="0" w:color="auto"/>
              <w:right w:val="nil"/>
            </w:tcBorders>
            <w:shd w:val="clear" w:color="auto" w:fill="auto"/>
            <w:vAlign w:val="bottom"/>
          </w:tcPr>
          <w:p w14:paraId="0C6A6690" w14:textId="758AC275" w:rsidR="00A77BD1" w:rsidRPr="009305DB" w:rsidRDefault="00A77BD1" w:rsidP="00A77BD1">
            <w:pPr>
              <w:spacing w:after="0" w:line="240" w:lineRule="exact"/>
              <w:jc w:val="right"/>
              <w:rPr>
                <w:rFonts w:eastAsia="Arial Unicode MS" w:cs="Arial"/>
                <w:b/>
                <w:bCs/>
                <w:sz w:val="18"/>
                <w:szCs w:val="18"/>
                <w:lang w:val="pl-PL"/>
              </w:rPr>
            </w:pPr>
            <w:r w:rsidRPr="00312975">
              <w:rPr>
                <w:rFonts w:eastAsia="Arial Unicode MS" w:cs="Arial"/>
                <w:b/>
                <w:bCs/>
                <w:sz w:val="18"/>
                <w:szCs w:val="18"/>
                <w:lang w:val="pl-PL"/>
              </w:rPr>
              <w:t>10.154.299</w:t>
            </w:r>
          </w:p>
        </w:tc>
        <w:tc>
          <w:tcPr>
            <w:tcW w:w="592" w:type="pct"/>
            <w:tcBorders>
              <w:top w:val="single" w:sz="4" w:space="0" w:color="auto"/>
              <w:left w:val="nil"/>
              <w:bottom w:val="single" w:sz="12" w:space="0" w:color="auto"/>
            </w:tcBorders>
            <w:shd w:val="clear" w:color="auto" w:fill="auto"/>
            <w:vAlign w:val="bottom"/>
          </w:tcPr>
          <w:p w14:paraId="68ED53FD" w14:textId="6752F84A" w:rsidR="00A77BD1" w:rsidRPr="009305DB" w:rsidRDefault="00A77BD1" w:rsidP="00A77BD1">
            <w:pPr>
              <w:spacing w:after="0" w:line="240" w:lineRule="exact"/>
              <w:jc w:val="right"/>
              <w:rPr>
                <w:rFonts w:eastAsia="Arial Unicode MS" w:cs="Arial"/>
                <w:b/>
                <w:bCs/>
                <w:sz w:val="18"/>
                <w:szCs w:val="18"/>
              </w:rPr>
            </w:pPr>
            <w:r w:rsidRPr="00312975">
              <w:rPr>
                <w:rFonts w:eastAsia="Arial Unicode MS" w:cs="Arial"/>
                <w:b/>
                <w:bCs/>
                <w:sz w:val="18"/>
                <w:szCs w:val="18"/>
              </w:rPr>
              <w:t>10.166.427</w:t>
            </w:r>
          </w:p>
        </w:tc>
      </w:tr>
      <w:tr w:rsidR="009305DB" w:rsidRPr="00EC1653" w14:paraId="7498BD0D" w14:textId="77777777" w:rsidTr="00312975">
        <w:trPr>
          <w:trHeight w:val="234"/>
        </w:trPr>
        <w:tc>
          <w:tcPr>
            <w:tcW w:w="1351" w:type="pct"/>
          </w:tcPr>
          <w:p w14:paraId="0D9F1D1A" w14:textId="77777777" w:rsidR="00A77BD1" w:rsidRPr="00EC1653" w:rsidRDefault="00A77BD1" w:rsidP="00A77BD1">
            <w:pPr>
              <w:spacing w:after="0" w:line="240" w:lineRule="exact"/>
              <w:rPr>
                <w:rFonts w:cs="Arial"/>
                <w:b/>
                <w:bCs/>
                <w:sz w:val="18"/>
                <w:szCs w:val="18"/>
              </w:rPr>
            </w:pPr>
            <w:r w:rsidRPr="00EC1653">
              <w:rPr>
                <w:rFonts w:cs="Arial"/>
                <w:b/>
                <w:bCs/>
                <w:sz w:val="18"/>
                <w:szCs w:val="18"/>
              </w:rPr>
              <w:t>Ukupne obveze i glavnica (2)</w:t>
            </w:r>
          </w:p>
        </w:tc>
        <w:tc>
          <w:tcPr>
            <w:tcW w:w="624" w:type="pct"/>
            <w:tcBorders>
              <w:top w:val="single" w:sz="12" w:space="0" w:color="auto"/>
              <w:left w:val="nil"/>
              <w:bottom w:val="single" w:sz="12" w:space="0" w:color="auto"/>
              <w:right w:val="nil"/>
            </w:tcBorders>
            <w:shd w:val="clear" w:color="auto" w:fill="auto"/>
            <w:vAlign w:val="bottom"/>
          </w:tcPr>
          <w:p w14:paraId="2C2C33C1" w14:textId="750C1D66" w:rsidR="00A77BD1" w:rsidRPr="009305DB" w:rsidRDefault="00A77BD1" w:rsidP="00A77BD1">
            <w:pPr>
              <w:spacing w:after="0" w:line="240" w:lineRule="exact"/>
              <w:jc w:val="right"/>
              <w:rPr>
                <w:rFonts w:eastAsia="Arial Unicode MS" w:cs="Arial"/>
                <w:b/>
                <w:bCs/>
                <w:sz w:val="18"/>
                <w:szCs w:val="18"/>
                <w:lang w:val="pl-PL"/>
              </w:rPr>
            </w:pPr>
            <w:r w:rsidRPr="00312975">
              <w:rPr>
                <w:rFonts w:eastAsia="Arial Unicode MS" w:cs="Arial"/>
                <w:b/>
                <w:bCs/>
                <w:sz w:val="18"/>
                <w:szCs w:val="18"/>
                <w:lang w:val="pl-PL"/>
              </w:rPr>
              <w:t>335.096</w:t>
            </w:r>
          </w:p>
        </w:tc>
        <w:tc>
          <w:tcPr>
            <w:tcW w:w="608" w:type="pct"/>
            <w:tcBorders>
              <w:top w:val="single" w:sz="12" w:space="0" w:color="auto"/>
              <w:left w:val="nil"/>
              <w:bottom w:val="single" w:sz="12" w:space="0" w:color="auto"/>
              <w:right w:val="nil"/>
            </w:tcBorders>
            <w:shd w:val="clear" w:color="auto" w:fill="auto"/>
            <w:vAlign w:val="bottom"/>
          </w:tcPr>
          <w:p w14:paraId="36CA4DA1" w14:textId="6CD0CF2F" w:rsidR="00A77BD1" w:rsidRPr="009305DB" w:rsidRDefault="00A77BD1" w:rsidP="00A77BD1">
            <w:pPr>
              <w:spacing w:after="0" w:line="240" w:lineRule="exact"/>
              <w:jc w:val="right"/>
              <w:rPr>
                <w:rFonts w:eastAsia="Arial Unicode MS" w:cs="Arial"/>
                <w:b/>
                <w:bCs/>
                <w:sz w:val="18"/>
                <w:szCs w:val="18"/>
                <w:lang w:val="pl-PL"/>
              </w:rPr>
            </w:pPr>
            <w:r w:rsidRPr="00312975">
              <w:rPr>
                <w:rFonts w:eastAsia="Arial Unicode MS" w:cs="Arial"/>
                <w:b/>
                <w:bCs/>
                <w:sz w:val="18"/>
                <w:szCs w:val="18"/>
                <w:lang w:val="pl-PL"/>
              </w:rPr>
              <w:t>16.459.230</w:t>
            </w:r>
          </w:p>
        </w:tc>
        <w:tc>
          <w:tcPr>
            <w:tcW w:w="533" w:type="pct"/>
            <w:tcBorders>
              <w:top w:val="single" w:sz="12" w:space="0" w:color="auto"/>
              <w:left w:val="nil"/>
              <w:bottom w:val="single" w:sz="12" w:space="0" w:color="auto"/>
              <w:right w:val="nil"/>
            </w:tcBorders>
            <w:shd w:val="clear" w:color="auto" w:fill="auto"/>
            <w:vAlign w:val="bottom"/>
          </w:tcPr>
          <w:p w14:paraId="0A10DD27" w14:textId="21A9251A" w:rsidR="00A77BD1" w:rsidRPr="009305DB" w:rsidRDefault="00A77BD1" w:rsidP="00A77BD1">
            <w:pPr>
              <w:spacing w:after="0" w:line="240" w:lineRule="exact"/>
              <w:jc w:val="right"/>
              <w:rPr>
                <w:rFonts w:eastAsia="Arial Unicode MS" w:cs="Arial"/>
                <w:b/>
                <w:bCs/>
                <w:sz w:val="18"/>
                <w:szCs w:val="18"/>
                <w:lang w:val="pl-PL"/>
              </w:rPr>
            </w:pPr>
            <w:r w:rsidRPr="00312975">
              <w:rPr>
                <w:rFonts w:eastAsia="Arial Unicode MS" w:cs="Arial"/>
                <w:b/>
                <w:bCs/>
                <w:sz w:val="18"/>
                <w:szCs w:val="18"/>
                <w:lang w:val="pl-PL"/>
              </w:rPr>
              <w:t>4.941</w:t>
            </w:r>
          </w:p>
        </w:tc>
        <w:tc>
          <w:tcPr>
            <w:tcW w:w="608" w:type="pct"/>
            <w:tcBorders>
              <w:top w:val="single" w:sz="12" w:space="0" w:color="auto"/>
              <w:left w:val="nil"/>
              <w:bottom w:val="single" w:sz="12" w:space="0" w:color="auto"/>
              <w:right w:val="nil"/>
            </w:tcBorders>
            <w:shd w:val="clear" w:color="auto" w:fill="auto"/>
            <w:vAlign w:val="bottom"/>
          </w:tcPr>
          <w:p w14:paraId="4400D578" w14:textId="710126FE" w:rsidR="00A77BD1" w:rsidRPr="009305DB" w:rsidRDefault="00A77BD1" w:rsidP="00A77BD1">
            <w:pPr>
              <w:spacing w:after="0" w:line="240" w:lineRule="exact"/>
              <w:jc w:val="right"/>
              <w:rPr>
                <w:rFonts w:eastAsia="Arial Unicode MS" w:cs="Arial"/>
                <w:b/>
                <w:bCs/>
                <w:sz w:val="18"/>
                <w:szCs w:val="18"/>
                <w:lang w:val="pl-PL"/>
              </w:rPr>
            </w:pPr>
            <w:r w:rsidRPr="00312975">
              <w:rPr>
                <w:rFonts w:eastAsia="Arial Unicode MS" w:cs="Arial"/>
                <w:b/>
                <w:bCs/>
                <w:sz w:val="18"/>
                <w:szCs w:val="18"/>
                <w:lang w:val="pl-PL"/>
              </w:rPr>
              <w:t>16.799.267</w:t>
            </w:r>
          </w:p>
        </w:tc>
        <w:tc>
          <w:tcPr>
            <w:tcW w:w="684" w:type="pct"/>
            <w:tcBorders>
              <w:top w:val="single" w:sz="12" w:space="0" w:color="auto"/>
              <w:left w:val="nil"/>
              <w:bottom w:val="single" w:sz="12" w:space="0" w:color="auto"/>
              <w:right w:val="nil"/>
            </w:tcBorders>
            <w:shd w:val="clear" w:color="auto" w:fill="auto"/>
            <w:vAlign w:val="bottom"/>
          </w:tcPr>
          <w:p w14:paraId="6F0A2E30" w14:textId="5441C23A" w:rsidR="00A77BD1" w:rsidRPr="009305DB" w:rsidRDefault="00A77BD1" w:rsidP="00A77BD1">
            <w:pPr>
              <w:spacing w:after="0" w:line="240" w:lineRule="exact"/>
              <w:jc w:val="right"/>
              <w:rPr>
                <w:rFonts w:eastAsia="Arial Unicode MS" w:cs="Arial"/>
                <w:b/>
                <w:bCs/>
                <w:sz w:val="18"/>
                <w:szCs w:val="18"/>
                <w:lang w:val="pl-PL"/>
              </w:rPr>
            </w:pPr>
            <w:r w:rsidRPr="00312975">
              <w:rPr>
                <w:rFonts w:eastAsia="Arial Unicode MS" w:cs="Arial"/>
                <w:b/>
                <w:bCs/>
                <w:sz w:val="18"/>
                <w:szCs w:val="18"/>
                <w:lang w:val="pl-PL"/>
              </w:rPr>
              <w:t>11.006.706</w:t>
            </w:r>
          </w:p>
        </w:tc>
        <w:tc>
          <w:tcPr>
            <w:tcW w:w="592" w:type="pct"/>
            <w:tcBorders>
              <w:top w:val="single" w:sz="12" w:space="0" w:color="auto"/>
              <w:left w:val="nil"/>
              <w:bottom w:val="single" w:sz="12" w:space="0" w:color="auto"/>
            </w:tcBorders>
            <w:shd w:val="clear" w:color="auto" w:fill="auto"/>
            <w:vAlign w:val="bottom"/>
          </w:tcPr>
          <w:p w14:paraId="749AE038" w14:textId="79C510E5" w:rsidR="00A77BD1" w:rsidRPr="009305DB" w:rsidRDefault="00A77BD1" w:rsidP="00A77BD1">
            <w:pPr>
              <w:spacing w:after="0" w:line="240" w:lineRule="exact"/>
              <w:jc w:val="right"/>
              <w:rPr>
                <w:rFonts w:eastAsia="Arial Unicode MS" w:cs="Arial"/>
                <w:b/>
                <w:bCs/>
                <w:sz w:val="18"/>
                <w:szCs w:val="18"/>
                <w:lang w:val="pl-PL"/>
              </w:rPr>
            </w:pPr>
            <w:r w:rsidRPr="00312975">
              <w:rPr>
                <w:rFonts w:eastAsia="Arial Unicode MS" w:cs="Arial"/>
                <w:b/>
                <w:bCs/>
                <w:sz w:val="18"/>
                <w:szCs w:val="18"/>
                <w:lang w:val="pl-PL"/>
              </w:rPr>
              <w:t>27.805.973</w:t>
            </w:r>
          </w:p>
        </w:tc>
      </w:tr>
      <w:tr w:rsidR="009305DB" w:rsidRPr="00EC1653" w14:paraId="3FBCD881" w14:textId="77777777" w:rsidTr="00312975">
        <w:trPr>
          <w:trHeight w:val="523"/>
        </w:trPr>
        <w:tc>
          <w:tcPr>
            <w:tcW w:w="1351" w:type="pct"/>
            <w:vAlign w:val="bottom"/>
          </w:tcPr>
          <w:p w14:paraId="22998D8A" w14:textId="77777777" w:rsidR="00A77BD1" w:rsidRPr="00EC1653" w:rsidRDefault="00A77BD1" w:rsidP="00A77BD1">
            <w:pPr>
              <w:spacing w:after="0" w:line="240" w:lineRule="exact"/>
              <w:rPr>
                <w:rFonts w:cs="Arial"/>
                <w:b/>
                <w:bCs/>
                <w:spacing w:val="-2"/>
                <w:sz w:val="18"/>
                <w:szCs w:val="18"/>
              </w:rPr>
            </w:pPr>
            <w:r w:rsidRPr="00EC1653">
              <w:rPr>
                <w:rFonts w:cs="Arial"/>
                <w:b/>
                <w:bCs/>
                <w:spacing w:val="-2"/>
                <w:sz w:val="18"/>
                <w:szCs w:val="18"/>
              </w:rPr>
              <w:t xml:space="preserve">Neto ukupna </w:t>
            </w:r>
            <w:r w:rsidRPr="00EC1653">
              <w:rPr>
                <w:rFonts w:eastAsia="Arial Unicode MS" w:cs="Arial"/>
                <w:b/>
                <w:bCs/>
                <w:sz w:val="18"/>
                <w:szCs w:val="18"/>
              </w:rPr>
              <w:t>imovina</w:t>
            </w:r>
            <w:r w:rsidRPr="00EC1653">
              <w:rPr>
                <w:rFonts w:cs="Arial"/>
                <w:b/>
                <w:bCs/>
                <w:spacing w:val="-2"/>
                <w:sz w:val="18"/>
                <w:szCs w:val="18"/>
              </w:rPr>
              <w:t>/ukupne obveze i glavnica (1) – (2)</w:t>
            </w:r>
          </w:p>
        </w:tc>
        <w:tc>
          <w:tcPr>
            <w:tcW w:w="624" w:type="pct"/>
            <w:tcBorders>
              <w:top w:val="single" w:sz="12" w:space="0" w:color="auto"/>
              <w:left w:val="nil"/>
              <w:bottom w:val="nil"/>
              <w:right w:val="nil"/>
            </w:tcBorders>
            <w:shd w:val="clear" w:color="auto" w:fill="auto"/>
            <w:vAlign w:val="bottom"/>
          </w:tcPr>
          <w:p w14:paraId="77D7BDAC" w14:textId="18261BA1" w:rsidR="00A77BD1" w:rsidRPr="009305DB" w:rsidRDefault="00A77BD1" w:rsidP="00A77BD1">
            <w:pPr>
              <w:spacing w:after="0" w:line="240" w:lineRule="exact"/>
              <w:jc w:val="right"/>
              <w:rPr>
                <w:rFonts w:eastAsia="Arial Unicode MS" w:cs="Arial"/>
                <w:b/>
                <w:bCs/>
                <w:sz w:val="18"/>
                <w:szCs w:val="18"/>
              </w:rPr>
            </w:pPr>
            <w:r w:rsidRPr="00312975">
              <w:rPr>
                <w:rFonts w:eastAsia="Arial Unicode MS" w:cs="Arial"/>
                <w:b/>
                <w:bCs/>
                <w:sz w:val="18"/>
                <w:szCs w:val="18"/>
              </w:rPr>
              <w:t>133.572</w:t>
            </w:r>
          </w:p>
        </w:tc>
        <w:tc>
          <w:tcPr>
            <w:tcW w:w="608" w:type="pct"/>
            <w:tcBorders>
              <w:top w:val="single" w:sz="12" w:space="0" w:color="auto"/>
              <w:left w:val="nil"/>
              <w:bottom w:val="nil"/>
              <w:right w:val="nil"/>
            </w:tcBorders>
            <w:shd w:val="clear" w:color="auto" w:fill="auto"/>
            <w:vAlign w:val="bottom"/>
          </w:tcPr>
          <w:p w14:paraId="2A9467D2" w14:textId="08FE9B7A" w:rsidR="00A77BD1" w:rsidRPr="009305DB" w:rsidRDefault="00A77BD1" w:rsidP="00A77BD1">
            <w:pPr>
              <w:spacing w:after="0" w:line="240" w:lineRule="exact"/>
              <w:jc w:val="right"/>
              <w:rPr>
                <w:rFonts w:eastAsia="Arial Unicode MS" w:cs="Arial"/>
                <w:b/>
                <w:bCs/>
                <w:sz w:val="18"/>
                <w:szCs w:val="18"/>
              </w:rPr>
            </w:pPr>
            <w:r w:rsidRPr="00312975">
              <w:rPr>
                <w:rFonts w:eastAsia="Arial Unicode MS" w:cs="Arial"/>
                <w:b/>
                <w:bCs/>
                <w:sz w:val="18"/>
                <w:szCs w:val="18"/>
              </w:rPr>
              <w:t>(719.311)</w:t>
            </w:r>
          </w:p>
        </w:tc>
        <w:tc>
          <w:tcPr>
            <w:tcW w:w="533" w:type="pct"/>
            <w:tcBorders>
              <w:top w:val="single" w:sz="12" w:space="0" w:color="auto"/>
              <w:left w:val="nil"/>
              <w:bottom w:val="nil"/>
              <w:right w:val="nil"/>
            </w:tcBorders>
            <w:shd w:val="clear" w:color="auto" w:fill="auto"/>
            <w:vAlign w:val="bottom"/>
          </w:tcPr>
          <w:p w14:paraId="1A5FB257" w14:textId="39DA7EBE" w:rsidR="00A77BD1" w:rsidRPr="009305DB" w:rsidRDefault="00A77BD1" w:rsidP="00A77BD1">
            <w:pPr>
              <w:spacing w:after="0" w:line="240" w:lineRule="exact"/>
              <w:jc w:val="right"/>
              <w:rPr>
                <w:rFonts w:eastAsia="Arial Unicode MS" w:cs="Arial"/>
                <w:b/>
                <w:bCs/>
                <w:sz w:val="18"/>
                <w:szCs w:val="18"/>
              </w:rPr>
            </w:pPr>
            <w:r w:rsidRPr="00312975">
              <w:rPr>
                <w:rFonts w:eastAsia="Arial Unicode MS" w:cs="Arial"/>
                <w:b/>
                <w:bCs/>
                <w:sz w:val="18"/>
                <w:szCs w:val="18"/>
              </w:rPr>
              <w:t>(1.321)**</w:t>
            </w:r>
          </w:p>
        </w:tc>
        <w:tc>
          <w:tcPr>
            <w:tcW w:w="608" w:type="pct"/>
            <w:tcBorders>
              <w:top w:val="single" w:sz="12" w:space="0" w:color="auto"/>
              <w:left w:val="nil"/>
              <w:bottom w:val="nil"/>
              <w:right w:val="nil"/>
            </w:tcBorders>
            <w:shd w:val="clear" w:color="auto" w:fill="auto"/>
            <w:vAlign w:val="bottom"/>
          </w:tcPr>
          <w:p w14:paraId="64497F48" w14:textId="57549A73" w:rsidR="00A77BD1" w:rsidRPr="009305DB" w:rsidRDefault="00A77BD1" w:rsidP="00A77BD1">
            <w:pPr>
              <w:spacing w:after="0" w:line="240" w:lineRule="exact"/>
              <w:jc w:val="right"/>
              <w:rPr>
                <w:rFonts w:eastAsia="Arial Unicode MS" w:cs="Arial"/>
                <w:b/>
                <w:bCs/>
                <w:sz w:val="18"/>
                <w:szCs w:val="18"/>
              </w:rPr>
            </w:pPr>
            <w:r w:rsidRPr="00312975">
              <w:rPr>
                <w:rFonts w:eastAsia="Arial Unicode MS" w:cs="Arial"/>
                <w:b/>
                <w:bCs/>
                <w:sz w:val="18"/>
                <w:szCs w:val="18"/>
              </w:rPr>
              <w:t>(587.060)</w:t>
            </w:r>
          </w:p>
        </w:tc>
        <w:tc>
          <w:tcPr>
            <w:tcW w:w="684" w:type="pct"/>
            <w:tcBorders>
              <w:top w:val="single" w:sz="12" w:space="0" w:color="auto"/>
              <w:left w:val="nil"/>
              <w:bottom w:val="nil"/>
              <w:right w:val="nil"/>
            </w:tcBorders>
            <w:shd w:val="clear" w:color="auto" w:fill="auto"/>
            <w:vAlign w:val="bottom"/>
          </w:tcPr>
          <w:p w14:paraId="72A4D887" w14:textId="63B61507" w:rsidR="00A77BD1" w:rsidRPr="009305DB" w:rsidRDefault="00A77BD1" w:rsidP="00A77BD1">
            <w:pPr>
              <w:spacing w:after="0" w:line="240" w:lineRule="exact"/>
              <w:jc w:val="right"/>
              <w:rPr>
                <w:rFonts w:eastAsia="Arial Unicode MS" w:cs="Arial"/>
                <w:b/>
                <w:bCs/>
                <w:sz w:val="18"/>
                <w:szCs w:val="18"/>
              </w:rPr>
            </w:pPr>
            <w:r w:rsidRPr="00312975">
              <w:rPr>
                <w:rFonts w:eastAsia="Arial Unicode MS" w:cs="Arial"/>
                <w:b/>
                <w:bCs/>
                <w:sz w:val="18"/>
                <w:szCs w:val="18"/>
              </w:rPr>
              <w:t>587.060</w:t>
            </w:r>
          </w:p>
        </w:tc>
        <w:tc>
          <w:tcPr>
            <w:tcW w:w="592" w:type="pct"/>
            <w:tcBorders>
              <w:top w:val="single" w:sz="12" w:space="0" w:color="auto"/>
              <w:left w:val="nil"/>
              <w:bottom w:val="nil"/>
              <w:right w:val="nil"/>
            </w:tcBorders>
            <w:shd w:val="clear" w:color="auto" w:fill="auto"/>
            <w:vAlign w:val="bottom"/>
          </w:tcPr>
          <w:p w14:paraId="3913980C" w14:textId="6FA983B8" w:rsidR="00A77BD1" w:rsidRPr="009305DB" w:rsidRDefault="00A77BD1" w:rsidP="00A77BD1">
            <w:pPr>
              <w:spacing w:after="0" w:line="240" w:lineRule="exact"/>
              <w:jc w:val="right"/>
              <w:rPr>
                <w:rFonts w:eastAsia="Arial Unicode MS" w:cs="Arial"/>
                <w:b/>
                <w:bCs/>
                <w:sz w:val="18"/>
                <w:szCs w:val="18"/>
              </w:rPr>
            </w:pPr>
            <w:r w:rsidRPr="009305DB">
              <w:rPr>
                <w:rFonts w:eastAsia="Arial Unicode MS" w:cs="Arial"/>
                <w:b/>
                <w:bCs/>
                <w:sz w:val="18"/>
                <w:szCs w:val="18"/>
              </w:rPr>
              <w:t>-</w:t>
            </w:r>
          </w:p>
        </w:tc>
      </w:tr>
      <w:tr w:rsidR="009305DB" w:rsidRPr="00EC1653" w14:paraId="107451DE" w14:textId="77777777" w:rsidTr="00312975">
        <w:trPr>
          <w:trHeight w:val="234"/>
        </w:trPr>
        <w:tc>
          <w:tcPr>
            <w:tcW w:w="1351" w:type="pct"/>
            <w:vAlign w:val="bottom"/>
          </w:tcPr>
          <w:p w14:paraId="4ACAA607" w14:textId="77777777" w:rsidR="00880F6C" w:rsidRPr="00EC1653" w:rsidRDefault="00880F6C" w:rsidP="00880F6C">
            <w:pPr>
              <w:pStyle w:val="TH"/>
              <w:spacing w:line="240" w:lineRule="exact"/>
              <w:rPr>
                <w:rFonts w:asciiTheme="minorHAnsi" w:hAnsiTheme="minorHAnsi" w:cs="Arial"/>
                <w:sz w:val="18"/>
                <w:szCs w:val="18"/>
                <w:lang w:val="hr-HR"/>
              </w:rPr>
            </w:pPr>
          </w:p>
        </w:tc>
        <w:tc>
          <w:tcPr>
            <w:tcW w:w="624" w:type="pct"/>
            <w:tcBorders>
              <w:top w:val="single" w:sz="12" w:space="0" w:color="auto"/>
            </w:tcBorders>
          </w:tcPr>
          <w:p w14:paraId="5B503A3A" w14:textId="77777777" w:rsidR="00880F6C" w:rsidRPr="00EC1653" w:rsidRDefault="00880F6C" w:rsidP="00880F6C">
            <w:pPr>
              <w:pStyle w:val="TH"/>
              <w:spacing w:line="240" w:lineRule="exact"/>
              <w:jc w:val="right"/>
              <w:rPr>
                <w:rFonts w:asciiTheme="minorHAnsi" w:hAnsiTheme="minorHAnsi" w:cs="Arial"/>
                <w:sz w:val="18"/>
                <w:szCs w:val="18"/>
                <w:lang w:val="hr-HR"/>
              </w:rPr>
            </w:pPr>
          </w:p>
        </w:tc>
        <w:tc>
          <w:tcPr>
            <w:tcW w:w="608" w:type="pct"/>
            <w:tcBorders>
              <w:top w:val="single" w:sz="12" w:space="0" w:color="auto"/>
            </w:tcBorders>
          </w:tcPr>
          <w:p w14:paraId="2FD69B30" w14:textId="77777777" w:rsidR="00880F6C" w:rsidRPr="00EC1653" w:rsidRDefault="00880F6C" w:rsidP="00880F6C">
            <w:pPr>
              <w:pStyle w:val="TH"/>
              <w:spacing w:line="240" w:lineRule="exact"/>
              <w:jc w:val="right"/>
              <w:rPr>
                <w:rFonts w:asciiTheme="minorHAnsi" w:hAnsiTheme="minorHAnsi" w:cs="Arial"/>
                <w:sz w:val="18"/>
                <w:szCs w:val="18"/>
                <w:lang w:val="hr-HR"/>
              </w:rPr>
            </w:pPr>
          </w:p>
        </w:tc>
        <w:tc>
          <w:tcPr>
            <w:tcW w:w="533" w:type="pct"/>
            <w:tcBorders>
              <w:top w:val="single" w:sz="12" w:space="0" w:color="auto"/>
            </w:tcBorders>
          </w:tcPr>
          <w:p w14:paraId="570C4B4A" w14:textId="77777777" w:rsidR="00880F6C" w:rsidRPr="00EC1653" w:rsidRDefault="00880F6C" w:rsidP="00880F6C">
            <w:pPr>
              <w:pStyle w:val="TH"/>
              <w:spacing w:line="240" w:lineRule="exact"/>
              <w:jc w:val="right"/>
              <w:rPr>
                <w:rFonts w:asciiTheme="minorHAnsi" w:hAnsiTheme="minorHAnsi" w:cs="Arial"/>
                <w:sz w:val="18"/>
                <w:szCs w:val="18"/>
                <w:lang w:val="hr-HR"/>
              </w:rPr>
            </w:pPr>
          </w:p>
        </w:tc>
        <w:tc>
          <w:tcPr>
            <w:tcW w:w="608" w:type="pct"/>
            <w:tcBorders>
              <w:top w:val="single" w:sz="12" w:space="0" w:color="auto"/>
            </w:tcBorders>
          </w:tcPr>
          <w:p w14:paraId="0DB14155" w14:textId="77777777" w:rsidR="00880F6C" w:rsidRPr="00EC1653" w:rsidRDefault="00880F6C" w:rsidP="00880F6C">
            <w:pPr>
              <w:pStyle w:val="TH"/>
              <w:spacing w:line="240" w:lineRule="exact"/>
              <w:jc w:val="right"/>
              <w:rPr>
                <w:rFonts w:asciiTheme="minorHAnsi" w:hAnsiTheme="minorHAnsi" w:cs="Arial"/>
                <w:sz w:val="18"/>
                <w:szCs w:val="18"/>
                <w:lang w:val="hr-HR"/>
              </w:rPr>
            </w:pPr>
          </w:p>
        </w:tc>
        <w:tc>
          <w:tcPr>
            <w:tcW w:w="684" w:type="pct"/>
            <w:tcBorders>
              <w:top w:val="single" w:sz="12" w:space="0" w:color="auto"/>
            </w:tcBorders>
          </w:tcPr>
          <w:p w14:paraId="64241F7C" w14:textId="77777777" w:rsidR="00880F6C" w:rsidRPr="00EC1653" w:rsidRDefault="00880F6C" w:rsidP="00880F6C">
            <w:pPr>
              <w:pStyle w:val="TH"/>
              <w:spacing w:line="240" w:lineRule="exact"/>
              <w:jc w:val="right"/>
              <w:rPr>
                <w:rFonts w:asciiTheme="minorHAnsi" w:hAnsiTheme="minorHAnsi" w:cs="Arial"/>
                <w:sz w:val="18"/>
                <w:szCs w:val="18"/>
                <w:lang w:val="hr-HR"/>
              </w:rPr>
            </w:pPr>
          </w:p>
        </w:tc>
        <w:tc>
          <w:tcPr>
            <w:tcW w:w="592" w:type="pct"/>
            <w:tcBorders>
              <w:top w:val="single" w:sz="12" w:space="0" w:color="auto"/>
            </w:tcBorders>
          </w:tcPr>
          <w:p w14:paraId="58D8CE6F" w14:textId="77777777" w:rsidR="00880F6C" w:rsidRPr="00EC1653" w:rsidRDefault="00880F6C" w:rsidP="00880F6C">
            <w:pPr>
              <w:pStyle w:val="TH"/>
              <w:spacing w:line="240" w:lineRule="exact"/>
              <w:rPr>
                <w:rFonts w:asciiTheme="minorHAnsi" w:hAnsiTheme="minorHAnsi" w:cs="Arial"/>
                <w:b w:val="0"/>
                <w:i/>
                <w:sz w:val="18"/>
                <w:szCs w:val="18"/>
                <w:lang w:val="hr-HR"/>
              </w:rPr>
            </w:pPr>
          </w:p>
        </w:tc>
      </w:tr>
    </w:tbl>
    <w:p w14:paraId="59756772" w14:textId="77777777" w:rsidR="003706C8" w:rsidRDefault="003706C8" w:rsidP="003706C8">
      <w:pPr>
        <w:pStyle w:val="TT"/>
        <w:spacing w:line="240" w:lineRule="auto"/>
        <w:rPr>
          <w:rFonts w:asciiTheme="minorHAnsi" w:hAnsiTheme="minorHAnsi"/>
          <w:i/>
          <w:sz w:val="18"/>
          <w:szCs w:val="18"/>
          <w:lang w:val="hr-HR"/>
        </w:rPr>
      </w:pPr>
    </w:p>
    <w:p w14:paraId="2C10659C" w14:textId="5B5192EB" w:rsidR="00F75302" w:rsidRDefault="00880F6C" w:rsidP="00682ABB">
      <w:pPr>
        <w:pStyle w:val="TT"/>
        <w:spacing w:line="240" w:lineRule="auto"/>
        <w:jc w:val="both"/>
        <w:rPr>
          <w:rFonts w:asciiTheme="minorHAnsi" w:hAnsiTheme="minorHAnsi"/>
          <w:i/>
          <w:sz w:val="18"/>
          <w:szCs w:val="18"/>
          <w:lang w:val="hr-HR"/>
        </w:rPr>
      </w:pPr>
      <w:r w:rsidRPr="003706C8">
        <w:rPr>
          <w:rFonts w:asciiTheme="minorHAnsi" w:hAnsiTheme="minorHAnsi"/>
          <w:i/>
          <w:sz w:val="18"/>
          <w:szCs w:val="18"/>
          <w:lang w:val="hr-HR"/>
        </w:rPr>
        <w:t xml:space="preserve">*Iznosi vezani uz jednosmjernu valutnu </w:t>
      </w:r>
      <w:r w:rsidRPr="00F20469">
        <w:rPr>
          <w:rFonts w:asciiTheme="minorHAnsi" w:hAnsiTheme="minorHAnsi"/>
          <w:i/>
          <w:sz w:val="18"/>
          <w:szCs w:val="18"/>
          <w:lang w:val="hr-HR"/>
        </w:rPr>
        <w:t xml:space="preserve">klauzulu iznose </w:t>
      </w:r>
      <w:r w:rsidR="000606E8">
        <w:rPr>
          <w:rFonts w:asciiTheme="minorHAnsi" w:hAnsiTheme="minorHAnsi"/>
          <w:i/>
          <w:sz w:val="18"/>
          <w:szCs w:val="18"/>
          <w:lang w:val="hr-HR"/>
        </w:rPr>
        <w:t>201.288</w:t>
      </w:r>
      <w:r w:rsidRPr="00F20469">
        <w:rPr>
          <w:rFonts w:asciiTheme="minorHAnsi" w:hAnsiTheme="minorHAnsi"/>
          <w:i/>
          <w:sz w:val="18"/>
          <w:szCs w:val="18"/>
          <w:lang w:val="hr-HR"/>
        </w:rPr>
        <w:t xml:space="preserve"> tisuća kuna.</w:t>
      </w:r>
    </w:p>
    <w:p w14:paraId="0C16EB84" w14:textId="77777777" w:rsidR="006B337B" w:rsidRPr="003706C8" w:rsidRDefault="006B337B" w:rsidP="00682ABB">
      <w:pPr>
        <w:pStyle w:val="TT"/>
        <w:spacing w:line="240" w:lineRule="auto"/>
        <w:jc w:val="both"/>
        <w:rPr>
          <w:rFonts w:asciiTheme="minorHAnsi" w:hAnsiTheme="minorHAnsi"/>
          <w:i/>
          <w:sz w:val="18"/>
          <w:szCs w:val="18"/>
          <w:lang w:val="hr-HR"/>
        </w:rPr>
        <w:sectPr w:rsidR="006B337B" w:rsidRPr="003706C8" w:rsidSect="00312975">
          <w:footerReference w:type="default" r:id="rId124"/>
          <w:pgSz w:w="11906" w:h="16838" w:code="9"/>
          <w:pgMar w:top="1418" w:right="1418" w:bottom="595" w:left="1134" w:header="851" w:footer="851" w:gutter="0"/>
          <w:cols w:space="720"/>
          <w:noEndnote/>
          <w:docGrid w:linePitch="299"/>
        </w:sectPr>
      </w:pPr>
      <w:r w:rsidRPr="003706C8">
        <w:rPr>
          <w:rFonts w:asciiTheme="minorHAnsi" w:hAnsiTheme="minorHAnsi"/>
          <w:i/>
          <w:sz w:val="18"/>
          <w:szCs w:val="18"/>
          <w:lang w:val="hr-HR"/>
        </w:rPr>
        <w:t>**Iskazani jaz rezultat je obavljenih rezerviranja po izdanim deviznim garancijama u ostalim devizama koja se iskazuju na poziciji „Ostale obveze“.</w:t>
      </w:r>
    </w:p>
    <w:p w14:paraId="6655D242" w14:textId="77777777" w:rsidR="00063AEF" w:rsidRDefault="00063AEF" w:rsidP="00063AEF">
      <w:pPr>
        <w:pStyle w:val="T1"/>
        <w:spacing w:before="0" w:after="0" w:line="240" w:lineRule="auto"/>
        <w:ind w:left="709" w:hanging="709"/>
        <w:rPr>
          <w:rFonts w:asciiTheme="minorHAnsi" w:hAnsiTheme="minorHAnsi" w:cs="Arial"/>
          <w:sz w:val="22"/>
          <w:szCs w:val="22"/>
          <w:lang w:val="hr-HR"/>
        </w:rPr>
      </w:pPr>
    </w:p>
    <w:p w14:paraId="05702DBC" w14:textId="77777777" w:rsidR="00063AEF" w:rsidRDefault="00063AEF" w:rsidP="00063AEF">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3706C8">
        <w:rPr>
          <w:rFonts w:asciiTheme="minorHAnsi" w:hAnsiTheme="minorHAnsi" w:cs="Arial"/>
          <w:sz w:val="22"/>
          <w:szCs w:val="22"/>
          <w:lang w:val="hr-HR"/>
        </w:rPr>
        <w:t>.        Upravljanje rizicima (nastavak)</w:t>
      </w:r>
    </w:p>
    <w:p w14:paraId="3B972D29" w14:textId="77777777" w:rsidR="00063AEF" w:rsidRPr="003706C8" w:rsidRDefault="00063AEF" w:rsidP="00063AEF">
      <w:pPr>
        <w:pStyle w:val="T1"/>
        <w:spacing w:before="0" w:after="0" w:line="240" w:lineRule="auto"/>
        <w:ind w:left="709" w:hanging="709"/>
        <w:rPr>
          <w:rFonts w:asciiTheme="minorHAnsi" w:hAnsiTheme="minorHAnsi" w:cs="Arial"/>
          <w:sz w:val="22"/>
          <w:szCs w:val="22"/>
          <w:lang w:val="hr-HR"/>
        </w:rPr>
      </w:pPr>
    </w:p>
    <w:p w14:paraId="31AC49A6" w14:textId="77777777" w:rsidR="00063AEF" w:rsidRDefault="00063AEF" w:rsidP="00063AEF">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3706C8">
        <w:rPr>
          <w:rFonts w:asciiTheme="minorHAnsi" w:hAnsiTheme="minorHAnsi" w:cs="Arial"/>
          <w:sz w:val="22"/>
          <w:szCs w:val="22"/>
          <w:lang w:val="hr-HR"/>
        </w:rPr>
        <w:t>.4.     Tržišni rizik (nastavak)</w:t>
      </w:r>
    </w:p>
    <w:p w14:paraId="39923148" w14:textId="77777777" w:rsidR="00063AEF" w:rsidRPr="003706C8" w:rsidRDefault="00063AEF" w:rsidP="00063AEF">
      <w:pPr>
        <w:pStyle w:val="T1"/>
        <w:spacing w:before="0" w:after="0" w:line="240" w:lineRule="auto"/>
        <w:ind w:left="709" w:hanging="709"/>
        <w:rPr>
          <w:rFonts w:asciiTheme="minorHAnsi" w:hAnsiTheme="minorHAnsi" w:cs="Arial"/>
          <w:sz w:val="22"/>
          <w:szCs w:val="22"/>
          <w:lang w:val="hr-HR"/>
        </w:rPr>
      </w:pPr>
    </w:p>
    <w:p w14:paraId="3879780A" w14:textId="77777777" w:rsidR="00063AEF" w:rsidRDefault="00063AEF" w:rsidP="00063AEF">
      <w:pPr>
        <w:pStyle w:val="T1"/>
        <w:spacing w:before="0" w:after="0" w:line="240" w:lineRule="auto"/>
        <w:ind w:left="709" w:hanging="709"/>
        <w:rPr>
          <w:rFonts w:asciiTheme="minorHAnsi" w:hAnsiTheme="minorHAnsi" w:cs="Arial"/>
          <w:sz w:val="22"/>
          <w:szCs w:val="22"/>
          <w:lang w:val="hr-HR"/>
        </w:rPr>
      </w:pPr>
      <w:r>
        <w:rPr>
          <w:rFonts w:asciiTheme="minorHAnsi" w:hAnsiTheme="minorHAnsi" w:cs="Arial"/>
          <w:sz w:val="22"/>
          <w:szCs w:val="22"/>
          <w:lang w:val="hr-HR"/>
        </w:rPr>
        <w:t>1</w:t>
      </w:r>
      <w:r w:rsidR="00D235E1">
        <w:rPr>
          <w:rFonts w:asciiTheme="minorHAnsi" w:hAnsiTheme="minorHAnsi" w:cs="Arial"/>
          <w:sz w:val="22"/>
          <w:szCs w:val="22"/>
          <w:lang w:val="hr-HR"/>
        </w:rPr>
        <w:t>6</w:t>
      </w:r>
      <w:r w:rsidRPr="003706C8">
        <w:rPr>
          <w:rFonts w:asciiTheme="minorHAnsi" w:hAnsiTheme="minorHAnsi" w:cs="Arial"/>
          <w:sz w:val="22"/>
          <w:szCs w:val="22"/>
          <w:lang w:val="hr-HR"/>
        </w:rPr>
        <w:t>.4.2.  Valutni rizik (nastavak)</w:t>
      </w:r>
    </w:p>
    <w:p w14:paraId="26FEEC27" w14:textId="77777777" w:rsidR="00063AEF" w:rsidRPr="003706C8" w:rsidRDefault="00063AEF" w:rsidP="00063AEF">
      <w:pPr>
        <w:pStyle w:val="T1"/>
        <w:spacing w:before="0" w:after="0" w:line="240" w:lineRule="auto"/>
        <w:ind w:left="709" w:hanging="709"/>
        <w:rPr>
          <w:rFonts w:asciiTheme="minorHAnsi" w:hAnsiTheme="minorHAnsi" w:cs="Arial"/>
          <w:sz w:val="22"/>
          <w:szCs w:val="22"/>
          <w:lang w:val="hr-HR"/>
        </w:rPr>
      </w:pPr>
    </w:p>
    <w:tbl>
      <w:tblPr>
        <w:tblW w:w="5331" w:type="pct"/>
        <w:tblInd w:w="-284" w:type="dxa"/>
        <w:tblLayout w:type="fixed"/>
        <w:tblCellMar>
          <w:left w:w="120" w:type="dxa"/>
          <w:right w:w="120" w:type="dxa"/>
        </w:tblCellMar>
        <w:tblLook w:val="0000" w:firstRow="0" w:lastRow="0" w:firstColumn="0" w:lastColumn="0" w:noHBand="0" w:noVBand="0"/>
      </w:tblPr>
      <w:tblGrid>
        <w:gridCol w:w="3099"/>
        <w:gridCol w:w="1009"/>
        <w:gridCol w:w="1167"/>
        <w:gridCol w:w="1139"/>
        <w:gridCol w:w="1141"/>
        <w:gridCol w:w="1283"/>
        <w:gridCol w:w="1135"/>
      </w:tblGrid>
      <w:tr w:rsidR="000F37EF" w:rsidRPr="00FD645D" w14:paraId="23EE47DC" w14:textId="77777777" w:rsidTr="000F37EF">
        <w:trPr>
          <w:trHeight w:val="686"/>
        </w:trPr>
        <w:tc>
          <w:tcPr>
            <w:tcW w:w="1554" w:type="pct"/>
            <w:vAlign w:val="bottom"/>
          </w:tcPr>
          <w:p w14:paraId="7A2955F6" w14:textId="77777777" w:rsidR="000F37EF" w:rsidRPr="00FD645D" w:rsidRDefault="000F37EF" w:rsidP="000F37EF">
            <w:pPr>
              <w:pStyle w:val="TH"/>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Banka</w:t>
            </w:r>
          </w:p>
          <w:p w14:paraId="1ED3AF10" w14:textId="77777777" w:rsidR="000F37EF" w:rsidRPr="00FD645D" w:rsidRDefault="000F37EF" w:rsidP="000F37EF">
            <w:pPr>
              <w:pStyle w:val="TH"/>
              <w:spacing w:line="240" w:lineRule="auto"/>
              <w:rPr>
                <w:rFonts w:asciiTheme="minorHAnsi" w:hAnsiTheme="minorHAnsi" w:cs="Arial"/>
                <w:sz w:val="17"/>
                <w:szCs w:val="17"/>
                <w:lang w:val="hr-HR"/>
              </w:rPr>
            </w:pPr>
          </w:p>
          <w:p w14:paraId="39EFB37B" w14:textId="72E69640" w:rsidR="000F37EF" w:rsidRPr="00FD645D" w:rsidRDefault="000F37EF" w:rsidP="000F37EF">
            <w:pPr>
              <w:pStyle w:val="TH"/>
              <w:spacing w:line="240" w:lineRule="auto"/>
              <w:rPr>
                <w:rFonts w:asciiTheme="minorHAnsi" w:hAnsiTheme="minorHAnsi" w:cs="Arial"/>
                <w:sz w:val="17"/>
                <w:szCs w:val="17"/>
                <w:lang w:val="hr-HR"/>
              </w:rPr>
            </w:pPr>
            <w:r>
              <w:rPr>
                <w:rFonts w:asciiTheme="minorHAnsi" w:hAnsiTheme="minorHAnsi" w:cs="Arial"/>
                <w:sz w:val="17"/>
                <w:szCs w:val="17"/>
                <w:lang w:val="hr-HR"/>
              </w:rPr>
              <w:t>31.12.2016.</w:t>
            </w:r>
          </w:p>
        </w:tc>
        <w:tc>
          <w:tcPr>
            <w:tcW w:w="506" w:type="pct"/>
          </w:tcPr>
          <w:p w14:paraId="3BC55824" w14:textId="77777777" w:rsidR="000F37EF" w:rsidRPr="00FD645D" w:rsidRDefault="000F37EF" w:rsidP="000F37EF">
            <w:pPr>
              <w:pStyle w:val="TH"/>
              <w:spacing w:line="240" w:lineRule="auto"/>
              <w:jc w:val="right"/>
              <w:rPr>
                <w:rFonts w:asciiTheme="minorHAnsi" w:hAnsiTheme="minorHAnsi" w:cs="Arial"/>
                <w:sz w:val="17"/>
                <w:szCs w:val="17"/>
                <w:lang w:val="hr-HR"/>
              </w:rPr>
            </w:pPr>
            <w:r w:rsidRPr="00FD645D">
              <w:rPr>
                <w:rFonts w:asciiTheme="minorHAnsi" w:hAnsiTheme="minorHAnsi" w:cs="Arial"/>
                <w:sz w:val="17"/>
                <w:szCs w:val="17"/>
                <w:lang w:val="hr-HR"/>
              </w:rPr>
              <w:t>USD</w:t>
            </w:r>
          </w:p>
        </w:tc>
        <w:tc>
          <w:tcPr>
            <w:tcW w:w="585" w:type="pct"/>
          </w:tcPr>
          <w:p w14:paraId="1CD32A7B" w14:textId="77777777" w:rsidR="000F37EF" w:rsidRPr="00FD645D" w:rsidRDefault="000F37EF" w:rsidP="000F37EF">
            <w:pPr>
              <w:pStyle w:val="TH"/>
              <w:spacing w:line="240" w:lineRule="auto"/>
              <w:jc w:val="right"/>
              <w:rPr>
                <w:rFonts w:asciiTheme="minorHAnsi" w:hAnsiTheme="minorHAnsi" w:cs="Arial"/>
                <w:sz w:val="17"/>
                <w:szCs w:val="17"/>
                <w:lang w:val="hr-HR"/>
              </w:rPr>
            </w:pPr>
            <w:r w:rsidRPr="00FD645D">
              <w:rPr>
                <w:rFonts w:asciiTheme="minorHAnsi" w:hAnsiTheme="minorHAnsi" w:cs="Arial"/>
                <w:sz w:val="17"/>
                <w:szCs w:val="17"/>
                <w:lang w:val="hr-HR"/>
              </w:rPr>
              <w:t xml:space="preserve">EUR </w:t>
            </w:r>
          </w:p>
        </w:tc>
        <w:tc>
          <w:tcPr>
            <w:tcW w:w="571" w:type="pct"/>
          </w:tcPr>
          <w:p w14:paraId="6C117C82" w14:textId="77777777" w:rsidR="000F37EF" w:rsidRPr="00FD645D" w:rsidRDefault="000F37EF" w:rsidP="000F37EF">
            <w:pPr>
              <w:pStyle w:val="TH"/>
              <w:spacing w:line="240" w:lineRule="auto"/>
              <w:jc w:val="right"/>
              <w:rPr>
                <w:rFonts w:asciiTheme="minorHAnsi" w:hAnsiTheme="minorHAnsi" w:cs="Arial"/>
                <w:sz w:val="17"/>
                <w:szCs w:val="17"/>
                <w:lang w:val="hr-HR"/>
              </w:rPr>
            </w:pPr>
            <w:r w:rsidRPr="00FD645D">
              <w:rPr>
                <w:rFonts w:asciiTheme="minorHAnsi" w:hAnsiTheme="minorHAnsi" w:cs="Arial"/>
                <w:sz w:val="17"/>
                <w:szCs w:val="17"/>
                <w:lang w:val="hr-HR"/>
              </w:rPr>
              <w:t>Ostale devize</w:t>
            </w:r>
          </w:p>
        </w:tc>
        <w:tc>
          <w:tcPr>
            <w:tcW w:w="572" w:type="pct"/>
          </w:tcPr>
          <w:p w14:paraId="75E28088" w14:textId="77777777" w:rsidR="000F37EF" w:rsidRPr="00FD645D" w:rsidRDefault="000F37EF" w:rsidP="000F37EF">
            <w:pPr>
              <w:pStyle w:val="TH"/>
              <w:spacing w:line="240" w:lineRule="auto"/>
              <w:jc w:val="right"/>
              <w:rPr>
                <w:rFonts w:asciiTheme="minorHAnsi" w:hAnsiTheme="minorHAnsi" w:cs="Arial"/>
                <w:sz w:val="17"/>
                <w:szCs w:val="17"/>
                <w:lang w:val="hr-HR"/>
              </w:rPr>
            </w:pPr>
            <w:r w:rsidRPr="00FD645D">
              <w:rPr>
                <w:rFonts w:asciiTheme="minorHAnsi" w:hAnsiTheme="minorHAnsi" w:cs="Arial"/>
                <w:sz w:val="17"/>
                <w:szCs w:val="17"/>
                <w:lang w:val="hr-HR"/>
              </w:rPr>
              <w:t>Ukupno devize</w:t>
            </w:r>
          </w:p>
        </w:tc>
        <w:tc>
          <w:tcPr>
            <w:tcW w:w="643" w:type="pct"/>
          </w:tcPr>
          <w:p w14:paraId="0D69E49C" w14:textId="77777777" w:rsidR="000F37EF" w:rsidRPr="00FD645D" w:rsidRDefault="000F37EF" w:rsidP="000F37EF">
            <w:pPr>
              <w:pStyle w:val="TH"/>
              <w:spacing w:line="240" w:lineRule="auto"/>
              <w:jc w:val="right"/>
              <w:rPr>
                <w:rFonts w:asciiTheme="minorHAnsi" w:hAnsiTheme="minorHAnsi" w:cs="Arial"/>
                <w:sz w:val="17"/>
                <w:szCs w:val="17"/>
                <w:lang w:val="hr-HR"/>
              </w:rPr>
            </w:pPr>
            <w:r w:rsidRPr="00FD645D">
              <w:rPr>
                <w:rFonts w:asciiTheme="minorHAnsi" w:hAnsiTheme="minorHAnsi" w:cs="Arial"/>
                <w:sz w:val="17"/>
                <w:szCs w:val="17"/>
                <w:lang w:val="hr-HR"/>
              </w:rPr>
              <w:t>Kune</w:t>
            </w:r>
          </w:p>
        </w:tc>
        <w:tc>
          <w:tcPr>
            <w:tcW w:w="569" w:type="pct"/>
          </w:tcPr>
          <w:p w14:paraId="3273EA3F" w14:textId="77777777" w:rsidR="000F37EF" w:rsidRPr="00FD645D" w:rsidRDefault="000F37EF" w:rsidP="000F37EF">
            <w:pPr>
              <w:pStyle w:val="TH"/>
              <w:spacing w:line="240" w:lineRule="auto"/>
              <w:jc w:val="right"/>
              <w:rPr>
                <w:rFonts w:asciiTheme="minorHAnsi" w:hAnsiTheme="minorHAnsi" w:cs="Arial"/>
                <w:sz w:val="17"/>
                <w:szCs w:val="17"/>
                <w:lang w:val="hr-HR"/>
              </w:rPr>
            </w:pPr>
            <w:r w:rsidRPr="00FD645D">
              <w:rPr>
                <w:rFonts w:asciiTheme="minorHAnsi" w:hAnsiTheme="minorHAnsi" w:cs="Arial"/>
                <w:sz w:val="17"/>
                <w:szCs w:val="17"/>
                <w:lang w:val="hr-HR"/>
              </w:rPr>
              <w:t>Ukupno</w:t>
            </w:r>
          </w:p>
        </w:tc>
      </w:tr>
      <w:tr w:rsidR="000F37EF" w:rsidRPr="00FD645D" w14:paraId="0804AA4F" w14:textId="77777777" w:rsidTr="000F37EF">
        <w:trPr>
          <w:trHeight w:val="227"/>
        </w:trPr>
        <w:tc>
          <w:tcPr>
            <w:tcW w:w="1554" w:type="pct"/>
          </w:tcPr>
          <w:p w14:paraId="5DB750BE" w14:textId="77777777" w:rsidR="000F37EF" w:rsidRPr="00FD645D" w:rsidRDefault="000F37EF" w:rsidP="000F37EF">
            <w:pPr>
              <w:pStyle w:val="TH"/>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Imovina</w:t>
            </w:r>
          </w:p>
        </w:tc>
        <w:tc>
          <w:tcPr>
            <w:tcW w:w="506" w:type="pct"/>
            <w:vAlign w:val="bottom"/>
          </w:tcPr>
          <w:p w14:paraId="5CA17777" w14:textId="77777777" w:rsidR="000F37EF" w:rsidRPr="00FD645D" w:rsidRDefault="000F37EF" w:rsidP="000F37EF">
            <w:pPr>
              <w:spacing w:after="0" w:line="240" w:lineRule="auto"/>
              <w:jc w:val="right"/>
              <w:rPr>
                <w:rFonts w:eastAsia="Arial Unicode MS" w:cs="Arial"/>
                <w:sz w:val="17"/>
                <w:szCs w:val="17"/>
              </w:rPr>
            </w:pPr>
          </w:p>
        </w:tc>
        <w:tc>
          <w:tcPr>
            <w:tcW w:w="585" w:type="pct"/>
            <w:vAlign w:val="bottom"/>
          </w:tcPr>
          <w:p w14:paraId="39710665" w14:textId="77777777" w:rsidR="000F37EF" w:rsidRPr="00FD645D" w:rsidRDefault="000F37EF" w:rsidP="000F37EF">
            <w:pPr>
              <w:spacing w:after="0" w:line="240" w:lineRule="auto"/>
              <w:jc w:val="right"/>
              <w:rPr>
                <w:rFonts w:eastAsia="Arial Unicode MS" w:cs="Arial"/>
                <w:sz w:val="17"/>
                <w:szCs w:val="17"/>
              </w:rPr>
            </w:pPr>
          </w:p>
        </w:tc>
        <w:tc>
          <w:tcPr>
            <w:tcW w:w="571" w:type="pct"/>
            <w:vAlign w:val="bottom"/>
          </w:tcPr>
          <w:p w14:paraId="400F1553" w14:textId="77777777" w:rsidR="000F37EF" w:rsidRPr="00FD645D" w:rsidRDefault="000F37EF" w:rsidP="000F37EF">
            <w:pPr>
              <w:spacing w:after="0" w:line="240" w:lineRule="auto"/>
              <w:jc w:val="right"/>
              <w:rPr>
                <w:rFonts w:eastAsia="Arial Unicode MS" w:cs="Arial"/>
                <w:sz w:val="17"/>
                <w:szCs w:val="17"/>
              </w:rPr>
            </w:pPr>
          </w:p>
        </w:tc>
        <w:tc>
          <w:tcPr>
            <w:tcW w:w="572" w:type="pct"/>
            <w:vAlign w:val="bottom"/>
          </w:tcPr>
          <w:p w14:paraId="1DB1F9AE" w14:textId="77777777" w:rsidR="000F37EF" w:rsidRPr="00FD645D" w:rsidRDefault="000F37EF" w:rsidP="000F37EF">
            <w:pPr>
              <w:spacing w:after="0" w:line="240" w:lineRule="auto"/>
              <w:jc w:val="right"/>
              <w:rPr>
                <w:rFonts w:eastAsia="Arial Unicode MS" w:cs="Arial"/>
                <w:sz w:val="17"/>
                <w:szCs w:val="17"/>
              </w:rPr>
            </w:pPr>
          </w:p>
        </w:tc>
        <w:tc>
          <w:tcPr>
            <w:tcW w:w="643" w:type="pct"/>
            <w:vAlign w:val="bottom"/>
          </w:tcPr>
          <w:p w14:paraId="4FC44A99" w14:textId="77777777" w:rsidR="000F37EF" w:rsidRPr="00FD645D" w:rsidRDefault="000F37EF" w:rsidP="000F37EF">
            <w:pPr>
              <w:spacing w:after="0" w:line="240" w:lineRule="auto"/>
              <w:jc w:val="right"/>
              <w:rPr>
                <w:rFonts w:eastAsia="Arial Unicode MS" w:cs="Arial"/>
                <w:sz w:val="17"/>
                <w:szCs w:val="17"/>
              </w:rPr>
            </w:pPr>
          </w:p>
        </w:tc>
        <w:tc>
          <w:tcPr>
            <w:tcW w:w="569" w:type="pct"/>
            <w:vAlign w:val="bottom"/>
          </w:tcPr>
          <w:p w14:paraId="386EA6E0" w14:textId="77777777" w:rsidR="000F37EF" w:rsidRPr="00FD645D" w:rsidRDefault="000F37EF" w:rsidP="000F37EF">
            <w:pPr>
              <w:spacing w:after="0" w:line="240" w:lineRule="auto"/>
              <w:jc w:val="right"/>
              <w:rPr>
                <w:rFonts w:eastAsia="Arial Unicode MS" w:cs="Arial"/>
                <w:sz w:val="17"/>
                <w:szCs w:val="17"/>
              </w:rPr>
            </w:pPr>
          </w:p>
        </w:tc>
      </w:tr>
      <w:tr w:rsidR="000F37EF" w:rsidRPr="00FD645D" w14:paraId="12320640" w14:textId="77777777" w:rsidTr="000F37EF">
        <w:trPr>
          <w:trHeight w:val="219"/>
        </w:trPr>
        <w:tc>
          <w:tcPr>
            <w:tcW w:w="1554" w:type="pct"/>
          </w:tcPr>
          <w:p w14:paraId="36063E64"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Novčana sredstva i računi kod banaka</w:t>
            </w:r>
          </w:p>
        </w:tc>
        <w:tc>
          <w:tcPr>
            <w:tcW w:w="506" w:type="pct"/>
            <w:tcBorders>
              <w:top w:val="nil"/>
              <w:left w:val="nil"/>
              <w:bottom w:val="nil"/>
              <w:right w:val="nil"/>
            </w:tcBorders>
            <w:shd w:val="clear" w:color="auto" w:fill="auto"/>
            <w:vAlign w:val="bottom"/>
          </w:tcPr>
          <w:p w14:paraId="289443D1"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1.606</w:t>
            </w:r>
          </w:p>
        </w:tc>
        <w:tc>
          <w:tcPr>
            <w:tcW w:w="585" w:type="pct"/>
            <w:tcBorders>
              <w:top w:val="nil"/>
              <w:left w:val="nil"/>
              <w:bottom w:val="nil"/>
              <w:right w:val="nil"/>
            </w:tcBorders>
            <w:shd w:val="clear" w:color="auto" w:fill="auto"/>
            <w:vAlign w:val="bottom"/>
          </w:tcPr>
          <w:p w14:paraId="5AFA7953"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301.338</w:t>
            </w:r>
          </w:p>
        </w:tc>
        <w:tc>
          <w:tcPr>
            <w:tcW w:w="571" w:type="pct"/>
            <w:tcBorders>
              <w:top w:val="nil"/>
              <w:left w:val="nil"/>
              <w:bottom w:val="nil"/>
              <w:right w:val="nil"/>
            </w:tcBorders>
            <w:shd w:val="clear" w:color="auto" w:fill="auto"/>
            <w:vAlign w:val="bottom"/>
          </w:tcPr>
          <w:p w14:paraId="560D3B2B"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1.584</w:t>
            </w:r>
          </w:p>
        </w:tc>
        <w:tc>
          <w:tcPr>
            <w:tcW w:w="572" w:type="pct"/>
            <w:tcBorders>
              <w:top w:val="nil"/>
              <w:left w:val="nil"/>
              <w:bottom w:val="nil"/>
              <w:right w:val="nil"/>
            </w:tcBorders>
            <w:shd w:val="clear" w:color="auto" w:fill="auto"/>
            <w:vAlign w:val="bottom"/>
          </w:tcPr>
          <w:p w14:paraId="54A3CE8A"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304.528</w:t>
            </w:r>
          </w:p>
        </w:tc>
        <w:tc>
          <w:tcPr>
            <w:tcW w:w="643" w:type="pct"/>
            <w:tcBorders>
              <w:top w:val="nil"/>
              <w:left w:val="nil"/>
              <w:bottom w:val="nil"/>
              <w:right w:val="nil"/>
            </w:tcBorders>
            <w:shd w:val="clear" w:color="auto" w:fill="auto"/>
            <w:vAlign w:val="bottom"/>
          </w:tcPr>
          <w:p w14:paraId="2B376FE2"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186.167</w:t>
            </w:r>
          </w:p>
        </w:tc>
        <w:tc>
          <w:tcPr>
            <w:tcW w:w="569" w:type="pct"/>
            <w:tcBorders>
              <w:top w:val="nil"/>
              <w:left w:val="nil"/>
              <w:bottom w:val="nil"/>
            </w:tcBorders>
            <w:shd w:val="clear" w:color="auto" w:fill="auto"/>
            <w:vAlign w:val="bottom"/>
          </w:tcPr>
          <w:p w14:paraId="08CBEC39"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490.695</w:t>
            </w:r>
          </w:p>
        </w:tc>
      </w:tr>
      <w:tr w:rsidR="000F37EF" w:rsidRPr="00FD645D" w14:paraId="0EF800AD" w14:textId="77777777" w:rsidTr="000F37EF">
        <w:trPr>
          <w:trHeight w:val="227"/>
        </w:trPr>
        <w:tc>
          <w:tcPr>
            <w:tcW w:w="1554" w:type="pct"/>
          </w:tcPr>
          <w:p w14:paraId="242679ED"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Depoziti kod drugih banaka</w:t>
            </w:r>
          </w:p>
        </w:tc>
        <w:tc>
          <w:tcPr>
            <w:tcW w:w="506" w:type="pct"/>
            <w:tcBorders>
              <w:top w:val="nil"/>
              <w:left w:val="nil"/>
              <w:bottom w:val="nil"/>
              <w:right w:val="nil"/>
            </w:tcBorders>
            <w:shd w:val="clear" w:color="auto" w:fill="auto"/>
            <w:vAlign w:val="bottom"/>
          </w:tcPr>
          <w:p w14:paraId="7320472C"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20.581</w:t>
            </w:r>
          </w:p>
        </w:tc>
        <w:tc>
          <w:tcPr>
            <w:tcW w:w="585" w:type="pct"/>
            <w:tcBorders>
              <w:top w:val="nil"/>
              <w:left w:val="nil"/>
              <w:bottom w:val="nil"/>
              <w:right w:val="nil"/>
            </w:tcBorders>
            <w:shd w:val="clear" w:color="auto" w:fill="auto"/>
            <w:vAlign w:val="bottom"/>
          </w:tcPr>
          <w:p w14:paraId="3857472A"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1" w:type="pct"/>
            <w:tcBorders>
              <w:top w:val="nil"/>
              <w:left w:val="nil"/>
              <w:bottom w:val="nil"/>
              <w:right w:val="nil"/>
            </w:tcBorders>
            <w:shd w:val="clear" w:color="auto" w:fill="auto"/>
            <w:vAlign w:val="bottom"/>
          </w:tcPr>
          <w:p w14:paraId="0751EA8E"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3.291</w:t>
            </w:r>
          </w:p>
        </w:tc>
        <w:tc>
          <w:tcPr>
            <w:tcW w:w="572" w:type="pct"/>
            <w:tcBorders>
              <w:top w:val="nil"/>
              <w:left w:val="nil"/>
              <w:bottom w:val="nil"/>
              <w:right w:val="nil"/>
            </w:tcBorders>
            <w:shd w:val="clear" w:color="auto" w:fill="auto"/>
            <w:vAlign w:val="bottom"/>
          </w:tcPr>
          <w:p w14:paraId="6CA00A52"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23.872</w:t>
            </w:r>
          </w:p>
        </w:tc>
        <w:tc>
          <w:tcPr>
            <w:tcW w:w="643" w:type="pct"/>
            <w:tcBorders>
              <w:top w:val="nil"/>
              <w:left w:val="nil"/>
              <w:bottom w:val="nil"/>
              <w:right w:val="nil"/>
            </w:tcBorders>
            <w:shd w:val="clear" w:color="auto" w:fill="auto"/>
            <w:vAlign w:val="bottom"/>
          </w:tcPr>
          <w:p w14:paraId="52B8E998"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69" w:type="pct"/>
            <w:tcBorders>
              <w:top w:val="nil"/>
              <w:left w:val="nil"/>
              <w:bottom w:val="nil"/>
            </w:tcBorders>
            <w:shd w:val="clear" w:color="auto" w:fill="auto"/>
            <w:vAlign w:val="bottom"/>
          </w:tcPr>
          <w:p w14:paraId="1AE64529"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23.872</w:t>
            </w:r>
          </w:p>
        </w:tc>
      </w:tr>
      <w:tr w:rsidR="000F37EF" w:rsidRPr="00FD645D" w14:paraId="40BEDC4C" w14:textId="77777777" w:rsidTr="000F37EF">
        <w:trPr>
          <w:trHeight w:val="227"/>
        </w:trPr>
        <w:tc>
          <w:tcPr>
            <w:tcW w:w="1554" w:type="pct"/>
          </w:tcPr>
          <w:p w14:paraId="5B3EAAF6"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Krediti financijskim institucijama</w:t>
            </w:r>
          </w:p>
        </w:tc>
        <w:tc>
          <w:tcPr>
            <w:tcW w:w="506" w:type="pct"/>
            <w:tcBorders>
              <w:top w:val="nil"/>
              <w:left w:val="nil"/>
              <w:bottom w:val="nil"/>
              <w:right w:val="nil"/>
            </w:tcBorders>
            <w:shd w:val="clear" w:color="auto" w:fill="auto"/>
            <w:vAlign w:val="bottom"/>
          </w:tcPr>
          <w:p w14:paraId="0E318F77"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85" w:type="pct"/>
            <w:tcBorders>
              <w:top w:val="nil"/>
              <w:left w:val="nil"/>
              <w:bottom w:val="nil"/>
              <w:right w:val="nil"/>
            </w:tcBorders>
            <w:shd w:val="clear" w:color="auto" w:fill="auto"/>
            <w:vAlign w:val="bottom"/>
          </w:tcPr>
          <w:p w14:paraId="1E597185"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6.655.483</w:t>
            </w:r>
          </w:p>
        </w:tc>
        <w:tc>
          <w:tcPr>
            <w:tcW w:w="571" w:type="pct"/>
            <w:tcBorders>
              <w:top w:val="nil"/>
              <w:left w:val="nil"/>
              <w:bottom w:val="nil"/>
              <w:right w:val="nil"/>
            </w:tcBorders>
            <w:shd w:val="clear" w:color="auto" w:fill="auto"/>
            <w:vAlign w:val="bottom"/>
          </w:tcPr>
          <w:p w14:paraId="6864B203"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7A0E0DDB"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6.655.483</w:t>
            </w:r>
          </w:p>
        </w:tc>
        <w:tc>
          <w:tcPr>
            <w:tcW w:w="643" w:type="pct"/>
            <w:tcBorders>
              <w:top w:val="nil"/>
              <w:left w:val="nil"/>
              <w:bottom w:val="nil"/>
              <w:right w:val="nil"/>
            </w:tcBorders>
            <w:shd w:val="clear" w:color="auto" w:fill="auto"/>
            <w:vAlign w:val="bottom"/>
          </w:tcPr>
          <w:p w14:paraId="08367290"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5.233.628</w:t>
            </w:r>
          </w:p>
        </w:tc>
        <w:tc>
          <w:tcPr>
            <w:tcW w:w="569" w:type="pct"/>
            <w:tcBorders>
              <w:top w:val="nil"/>
              <w:left w:val="nil"/>
              <w:bottom w:val="nil"/>
            </w:tcBorders>
            <w:shd w:val="clear" w:color="auto" w:fill="auto"/>
            <w:vAlign w:val="bottom"/>
          </w:tcPr>
          <w:p w14:paraId="2BD5B649"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11.889.111</w:t>
            </w:r>
          </w:p>
        </w:tc>
      </w:tr>
      <w:tr w:rsidR="000F37EF" w:rsidRPr="00FD645D" w14:paraId="0F284336" w14:textId="77777777" w:rsidTr="000F37EF">
        <w:trPr>
          <w:trHeight w:val="216"/>
        </w:trPr>
        <w:tc>
          <w:tcPr>
            <w:tcW w:w="1554" w:type="pct"/>
          </w:tcPr>
          <w:p w14:paraId="751617EA"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Krediti ostalim korisnicima</w:t>
            </w:r>
          </w:p>
        </w:tc>
        <w:tc>
          <w:tcPr>
            <w:tcW w:w="506" w:type="pct"/>
            <w:tcBorders>
              <w:top w:val="nil"/>
              <w:left w:val="nil"/>
              <w:bottom w:val="nil"/>
              <w:right w:val="nil"/>
            </w:tcBorders>
            <w:shd w:val="clear" w:color="auto" w:fill="auto"/>
            <w:vAlign w:val="bottom"/>
          </w:tcPr>
          <w:p w14:paraId="6BA050B6"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527.661</w:t>
            </w:r>
          </w:p>
        </w:tc>
        <w:tc>
          <w:tcPr>
            <w:tcW w:w="585" w:type="pct"/>
            <w:tcBorders>
              <w:top w:val="nil"/>
              <w:left w:val="nil"/>
              <w:bottom w:val="nil"/>
              <w:right w:val="nil"/>
            </w:tcBorders>
            <w:shd w:val="clear" w:color="auto" w:fill="auto"/>
            <w:vAlign w:val="bottom"/>
          </w:tcPr>
          <w:p w14:paraId="004534C1"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7.768.328</w:t>
            </w:r>
          </w:p>
        </w:tc>
        <w:tc>
          <w:tcPr>
            <w:tcW w:w="571" w:type="pct"/>
            <w:tcBorders>
              <w:top w:val="nil"/>
              <w:left w:val="nil"/>
              <w:bottom w:val="nil"/>
              <w:right w:val="nil"/>
            </w:tcBorders>
            <w:shd w:val="clear" w:color="auto" w:fill="auto"/>
            <w:vAlign w:val="bottom"/>
          </w:tcPr>
          <w:p w14:paraId="7A059378"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42F76E1D"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8.295.989</w:t>
            </w:r>
          </w:p>
        </w:tc>
        <w:tc>
          <w:tcPr>
            <w:tcW w:w="643" w:type="pct"/>
            <w:tcBorders>
              <w:top w:val="nil"/>
              <w:left w:val="nil"/>
              <w:bottom w:val="nil"/>
              <w:right w:val="nil"/>
            </w:tcBorders>
            <w:shd w:val="clear" w:color="auto" w:fill="auto"/>
            <w:vAlign w:val="bottom"/>
          </w:tcPr>
          <w:p w14:paraId="294818A4"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3.215.205</w:t>
            </w:r>
          </w:p>
        </w:tc>
        <w:tc>
          <w:tcPr>
            <w:tcW w:w="569" w:type="pct"/>
            <w:tcBorders>
              <w:top w:val="nil"/>
              <w:left w:val="nil"/>
              <w:bottom w:val="nil"/>
            </w:tcBorders>
            <w:shd w:val="clear" w:color="auto" w:fill="auto"/>
            <w:vAlign w:val="bottom"/>
          </w:tcPr>
          <w:p w14:paraId="4DE617B4"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11.511.194</w:t>
            </w:r>
          </w:p>
        </w:tc>
      </w:tr>
      <w:tr w:rsidR="000F37EF" w:rsidRPr="00FD645D" w14:paraId="6F4241DF" w14:textId="77777777" w:rsidTr="000F37EF">
        <w:trPr>
          <w:trHeight w:val="227"/>
        </w:trPr>
        <w:tc>
          <w:tcPr>
            <w:tcW w:w="1554" w:type="pct"/>
          </w:tcPr>
          <w:p w14:paraId="16A73AE6"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Imovina raspoloživa za prodaju</w:t>
            </w:r>
          </w:p>
        </w:tc>
        <w:tc>
          <w:tcPr>
            <w:tcW w:w="506" w:type="pct"/>
            <w:tcBorders>
              <w:top w:val="nil"/>
              <w:left w:val="nil"/>
              <w:bottom w:val="nil"/>
              <w:right w:val="nil"/>
            </w:tcBorders>
            <w:shd w:val="clear" w:color="auto" w:fill="auto"/>
            <w:vAlign w:val="bottom"/>
          </w:tcPr>
          <w:p w14:paraId="288B3996"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14.686</w:t>
            </w:r>
          </w:p>
        </w:tc>
        <w:tc>
          <w:tcPr>
            <w:tcW w:w="585" w:type="pct"/>
            <w:tcBorders>
              <w:top w:val="nil"/>
              <w:left w:val="nil"/>
              <w:bottom w:val="nil"/>
              <w:right w:val="nil"/>
            </w:tcBorders>
            <w:shd w:val="clear" w:color="auto" w:fill="auto"/>
            <w:vAlign w:val="bottom"/>
          </w:tcPr>
          <w:p w14:paraId="002CF388"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1.089.520</w:t>
            </w:r>
          </w:p>
        </w:tc>
        <w:tc>
          <w:tcPr>
            <w:tcW w:w="571" w:type="pct"/>
            <w:tcBorders>
              <w:top w:val="nil"/>
              <w:left w:val="nil"/>
              <w:bottom w:val="nil"/>
              <w:right w:val="nil"/>
            </w:tcBorders>
            <w:shd w:val="clear" w:color="auto" w:fill="auto"/>
            <w:vAlign w:val="bottom"/>
          </w:tcPr>
          <w:p w14:paraId="5787592F"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7E75436D"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1.104.206</w:t>
            </w:r>
          </w:p>
        </w:tc>
        <w:tc>
          <w:tcPr>
            <w:tcW w:w="643" w:type="pct"/>
            <w:tcBorders>
              <w:top w:val="nil"/>
              <w:left w:val="nil"/>
              <w:bottom w:val="nil"/>
              <w:right w:val="nil"/>
            </w:tcBorders>
            <w:shd w:val="clear" w:color="auto" w:fill="auto"/>
            <w:vAlign w:val="bottom"/>
          </w:tcPr>
          <w:p w14:paraId="73A8B5A4"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2.239.368</w:t>
            </w:r>
          </w:p>
        </w:tc>
        <w:tc>
          <w:tcPr>
            <w:tcW w:w="569" w:type="pct"/>
            <w:tcBorders>
              <w:top w:val="nil"/>
              <w:left w:val="nil"/>
              <w:bottom w:val="nil"/>
            </w:tcBorders>
            <w:shd w:val="clear" w:color="auto" w:fill="auto"/>
            <w:vAlign w:val="bottom"/>
          </w:tcPr>
          <w:p w14:paraId="2A4D36F6"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3.343.574</w:t>
            </w:r>
          </w:p>
        </w:tc>
      </w:tr>
      <w:tr w:rsidR="000F37EF" w:rsidRPr="00FD645D" w14:paraId="5B775AC9" w14:textId="77777777" w:rsidTr="000F37EF">
        <w:trPr>
          <w:trHeight w:val="227"/>
        </w:trPr>
        <w:tc>
          <w:tcPr>
            <w:tcW w:w="1554" w:type="pct"/>
          </w:tcPr>
          <w:p w14:paraId="5BE6054A" w14:textId="77777777" w:rsidR="000F37EF" w:rsidRPr="00FD645D" w:rsidRDefault="000F37EF" w:rsidP="000F37EF">
            <w:pPr>
              <w:pStyle w:val="TT"/>
              <w:spacing w:line="240" w:lineRule="auto"/>
              <w:rPr>
                <w:rFonts w:asciiTheme="minorHAnsi" w:hAnsiTheme="minorHAnsi" w:cs="Arial"/>
                <w:spacing w:val="-2"/>
                <w:sz w:val="17"/>
                <w:szCs w:val="17"/>
                <w:lang w:val="hr-HR"/>
              </w:rPr>
            </w:pPr>
            <w:r w:rsidRPr="00FD645D">
              <w:rPr>
                <w:rFonts w:asciiTheme="minorHAnsi" w:hAnsiTheme="minorHAnsi" w:cs="Arial"/>
                <w:spacing w:val="-2"/>
                <w:sz w:val="17"/>
                <w:szCs w:val="17"/>
                <w:lang w:val="hr-HR"/>
              </w:rPr>
              <w:t>Ulaganja u ovisna društva</w:t>
            </w:r>
          </w:p>
        </w:tc>
        <w:tc>
          <w:tcPr>
            <w:tcW w:w="506" w:type="pct"/>
            <w:tcBorders>
              <w:top w:val="nil"/>
              <w:left w:val="nil"/>
              <w:bottom w:val="nil"/>
              <w:right w:val="nil"/>
            </w:tcBorders>
            <w:shd w:val="clear" w:color="auto" w:fill="auto"/>
            <w:vAlign w:val="bottom"/>
          </w:tcPr>
          <w:p w14:paraId="2265DCB3"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85" w:type="pct"/>
            <w:tcBorders>
              <w:top w:val="nil"/>
              <w:left w:val="nil"/>
              <w:bottom w:val="nil"/>
              <w:right w:val="nil"/>
            </w:tcBorders>
            <w:shd w:val="clear" w:color="auto" w:fill="auto"/>
            <w:vAlign w:val="bottom"/>
          </w:tcPr>
          <w:p w14:paraId="38D07953"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1" w:type="pct"/>
            <w:tcBorders>
              <w:top w:val="nil"/>
              <w:left w:val="nil"/>
              <w:bottom w:val="nil"/>
              <w:right w:val="nil"/>
            </w:tcBorders>
            <w:shd w:val="clear" w:color="auto" w:fill="auto"/>
            <w:vAlign w:val="bottom"/>
          </w:tcPr>
          <w:p w14:paraId="30CB24C5"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7C4E5535"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643" w:type="pct"/>
            <w:tcBorders>
              <w:top w:val="nil"/>
              <w:left w:val="nil"/>
              <w:bottom w:val="nil"/>
              <w:right w:val="nil"/>
            </w:tcBorders>
            <w:shd w:val="clear" w:color="auto" w:fill="auto"/>
            <w:vAlign w:val="bottom"/>
          </w:tcPr>
          <w:p w14:paraId="6427C292"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36.124</w:t>
            </w:r>
          </w:p>
        </w:tc>
        <w:tc>
          <w:tcPr>
            <w:tcW w:w="569" w:type="pct"/>
            <w:tcBorders>
              <w:top w:val="nil"/>
              <w:left w:val="nil"/>
              <w:bottom w:val="nil"/>
            </w:tcBorders>
            <w:shd w:val="clear" w:color="auto" w:fill="auto"/>
            <w:vAlign w:val="bottom"/>
          </w:tcPr>
          <w:p w14:paraId="64603FAA"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36.124</w:t>
            </w:r>
          </w:p>
        </w:tc>
      </w:tr>
      <w:tr w:rsidR="000F37EF" w:rsidRPr="00FD645D" w14:paraId="0A2C9A5F" w14:textId="77777777" w:rsidTr="000F37EF">
        <w:trPr>
          <w:trHeight w:val="227"/>
        </w:trPr>
        <w:tc>
          <w:tcPr>
            <w:tcW w:w="1554" w:type="pct"/>
          </w:tcPr>
          <w:p w14:paraId="0CE2BECB"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Ulaganja u pridružena društva</w:t>
            </w:r>
          </w:p>
        </w:tc>
        <w:tc>
          <w:tcPr>
            <w:tcW w:w="506" w:type="pct"/>
            <w:tcBorders>
              <w:top w:val="nil"/>
              <w:left w:val="nil"/>
              <w:bottom w:val="nil"/>
              <w:right w:val="nil"/>
            </w:tcBorders>
            <w:shd w:val="clear" w:color="auto" w:fill="auto"/>
            <w:vAlign w:val="bottom"/>
          </w:tcPr>
          <w:p w14:paraId="71BE2931"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85" w:type="pct"/>
            <w:tcBorders>
              <w:top w:val="nil"/>
              <w:left w:val="nil"/>
              <w:bottom w:val="nil"/>
              <w:right w:val="nil"/>
            </w:tcBorders>
            <w:shd w:val="clear" w:color="auto" w:fill="auto"/>
            <w:vAlign w:val="bottom"/>
          </w:tcPr>
          <w:p w14:paraId="273F2687"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1" w:type="pct"/>
            <w:tcBorders>
              <w:top w:val="nil"/>
              <w:left w:val="nil"/>
              <w:bottom w:val="nil"/>
              <w:right w:val="nil"/>
            </w:tcBorders>
            <w:shd w:val="clear" w:color="auto" w:fill="auto"/>
            <w:vAlign w:val="bottom"/>
          </w:tcPr>
          <w:p w14:paraId="3CB5C7E9"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24C2F855"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643" w:type="pct"/>
            <w:tcBorders>
              <w:top w:val="nil"/>
              <w:left w:val="nil"/>
              <w:bottom w:val="nil"/>
              <w:right w:val="nil"/>
            </w:tcBorders>
            <w:shd w:val="clear" w:color="auto" w:fill="auto"/>
            <w:vAlign w:val="bottom"/>
          </w:tcPr>
          <w:p w14:paraId="66BDA1AE"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69" w:type="pct"/>
            <w:tcBorders>
              <w:top w:val="nil"/>
              <w:left w:val="nil"/>
              <w:bottom w:val="nil"/>
            </w:tcBorders>
            <w:shd w:val="clear" w:color="auto" w:fill="auto"/>
            <w:vAlign w:val="bottom"/>
          </w:tcPr>
          <w:p w14:paraId="13F07105"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r>
      <w:tr w:rsidR="000F37EF" w:rsidRPr="00FD645D" w14:paraId="76086024" w14:textId="77777777" w:rsidTr="000F37EF">
        <w:trPr>
          <w:trHeight w:val="456"/>
        </w:trPr>
        <w:tc>
          <w:tcPr>
            <w:tcW w:w="1554" w:type="pct"/>
          </w:tcPr>
          <w:p w14:paraId="6C2AE1E9"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Nekretnine, postrojenja i oprema i nematerijalna imovina</w:t>
            </w:r>
          </w:p>
        </w:tc>
        <w:tc>
          <w:tcPr>
            <w:tcW w:w="506" w:type="pct"/>
            <w:tcBorders>
              <w:top w:val="nil"/>
              <w:left w:val="nil"/>
              <w:bottom w:val="nil"/>
              <w:right w:val="nil"/>
            </w:tcBorders>
            <w:shd w:val="clear" w:color="auto" w:fill="auto"/>
            <w:vAlign w:val="bottom"/>
          </w:tcPr>
          <w:p w14:paraId="442998B6"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85" w:type="pct"/>
            <w:tcBorders>
              <w:top w:val="nil"/>
              <w:left w:val="nil"/>
              <w:bottom w:val="nil"/>
              <w:right w:val="nil"/>
            </w:tcBorders>
            <w:shd w:val="clear" w:color="auto" w:fill="auto"/>
            <w:vAlign w:val="bottom"/>
          </w:tcPr>
          <w:p w14:paraId="0AD45BB5"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1" w:type="pct"/>
            <w:tcBorders>
              <w:top w:val="nil"/>
              <w:left w:val="nil"/>
              <w:bottom w:val="nil"/>
              <w:right w:val="nil"/>
            </w:tcBorders>
            <w:shd w:val="clear" w:color="auto" w:fill="auto"/>
            <w:vAlign w:val="bottom"/>
          </w:tcPr>
          <w:p w14:paraId="0FCEDD36"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0E092BC6"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643" w:type="pct"/>
            <w:tcBorders>
              <w:top w:val="nil"/>
              <w:left w:val="nil"/>
              <w:bottom w:val="nil"/>
              <w:right w:val="nil"/>
            </w:tcBorders>
            <w:shd w:val="clear" w:color="auto" w:fill="auto"/>
            <w:vAlign w:val="bottom"/>
          </w:tcPr>
          <w:p w14:paraId="10E10587"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57.216</w:t>
            </w:r>
          </w:p>
        </w:tc>
        <w:tc>
          <w:tcPr>
            <w:tcW w:w="569" w:type="pct"/>
            <w:tcBorders>
              <w:top w:val="nil"/>
              <w:left w:val="nil"/>
              <w:bottom w:val="nil"/>
            </w:tcBorders>
            <w:shd w:val="clear" w:color="auto" w:fill="auto"/>
            <w:vAlign w:val="bottom"/>
          </w:tcPr>
          <w:p w14:paraId="239DC12B"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57.216</w:t>
            </w:r>
          </w:p>
        </w:tc>
      </w:tr>
      <w:tr w:rsidR="000F37EF" w:rsidRPr="00FD645D" w14:paraId="474B2361" w14:textId="77777777" w:rsidTr="000F37EF">
        <w:trPr>
          <w:trHeight w:val="224"/>
        </w:trPr>
        <w:tc>
          <w:tcPr>
            <w:tcW w:w="1554" w:type="pct"/>
          </w:tcPr>
          <w:p w14:paraId="3A5D36E5"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Dugotrajna imovina namijenjena prodaji</w:t>
            </w:r>
          </w:p>
        </w:tc>
        <w:tc>
          <w:tcPr>
            <w:tcW w:w="506" w:type="pct"/>
            <w:tcBorders>
              <w:top w:val="nil"/>
              <w:left w:val="nil"/>
              <w:bottom w:val="nil"/>
              <w:right w:val="nil"/>
            </w:tcBorders>
            <w:shd w:val="clear" w:color="auto" w:fill="auto"/>
            <w:vAlign w:val="bottom"/>
          </w:tcPr>
          <w:p w14:paraId="250FC5BC"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85" w:type="pct"/>
            <w:tcBorders>
              <w:top w:val="nil"/>
              <w:left w:val="nil"/>
              <w:bottom w:val="nil"/>
              <w:right w:val="nil"/>
            </w:tcBorders>
            <w:shd w:val="clear" w:color="auto" w:fill="auto"/>
            <w:vAlign w:val="bottom"/>
          </w:tcPr>
          <w:p w14:paraId="69218F44"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1" w:type="pct"/>
            <w:tcBorders>
              <w:top w:val="nil"/>
              <w:left w:val="nil"/>
              <w:bottom w:val="nil"/>
              <w:right w:val="nil"/>
            </w:tcBorders>
            <w:shd w:val="clear" w:color="auto" w:fill="auto"/>
            <w:vAlign w:val="bottom"/>
          </w:tcPr>
          <w:p w14:paraId="478218F7"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65049FD5"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643" w:type="pct"/>
            <w:tcBorders>
              <w:top w:val="nil"/>
              <w:left w:val="nil"/>
              <w:bottom w:val="nil"/>
              <w:right w:val="nil"/>
            </w:tcBorders>
            <w:shd w:val="clear" w:color="auto" w:fill="auto"/>
            <w:vAlign w:val="bottom"/>
          </w:tcPr>
          <w:p w14:paraId="7D74A1FD"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17.230</w:t>
            </w:r>
          </w:p>
        </w:tc>
        <w:tc>
          <w:tcPr>
            <w:tcW w:w="569" w:type="pct"/>
            <w:tcBorders>
              <w:top w:val="nil"/>
              <w:left w:val="nil"/>
              <w:bottom w:val="nil"/>
            </w:tcBorders>
            <w:shd w:val="clear" w:color="auto" w:fill="auto"/>
            <w:vAlign w:val="bottom"/>
          </w:tcPr>
          <w:p w14:paraId="7E777186"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17.230</w:t>
            </w:r>
          </w:p>
        </w:tc>
      </w:tr>
      <w:tr w:rsidR="000F37EF" w:rsidRPr="00FD645D" w14:paraId="6F0BCE53" w14:textId="77777777" w:rsidTr="000F37EF">
        <w:trPr>
          <w:trHeight w:val="227"/>
        </w:trPr>
        <w:tc>
          <w:tcPr>
            <w:tcW w:w="1554" w:type="pct"/>
          </w:tcPr>
          <w:p w14:paraId="28992A43"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pacing w:val="-2"/>
                <w:sz w:val="17"/>
                <w:szCs w:val="17"/>
                <w:lang w:val="hr-HR"/>
              </w:rPr>
              <w:t>Ostala imovina</w:t>
            </w:r>
          </w:p>
        </w:tc>
        <w:tc>
          <w:tcPr>
            <w:tcW w:w="506" w:type="pct"/>
            <w:tcBorders>
              <w:top w:val="nil"/>
              <w:left w:val="nil"/>
              <w:bottom w:val="nil"/>
              <w:right w:val="nil"/>
            </w:tcBorders>
            <w:shd w:val="clear" w:color="auto" w:fill="auto"/>
            <w:vAlign w:val="bottom"/>
          </w:tcPr>
          <w:p w14:paraId="16F72702"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85" w:type="pct"/>
            <w:tcBorders>
              <w:top w:val="nil"/>
              <w:left w:val="nil"/>
              <w:bottom w:val="nil"/>
              <w:right w:val="nil"/>
            </w:tcBorders>
            <w:shd w:val="clear" w:color="auto" w:fill="auto"/>
            <w:vAlign w:val="bottom"/>
          </w:tcPr>
          <w:p w14:paraId="22A022F6"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1" w:type="pct"/>
            <w:tcBorders>
              <w:top w:val="nil"/>
              <w:left w:val="nil"/>
              <w:bottom w:val="nil"/>
              <w:right w:val="nil"/>
            </w:tcBorders>
            <w:shd w:val="clear" w:color="auto" w:fill="auto"/>
            <w:vAlign w:val="bottom"/>
          </w:tcPr>
          <w:p w14:paraId="746A09C9"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23065CBB"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643" w:type="pct"/>
            <w:tcBorders>
              <w:top w:val="nil"/>
              <w:left w:val="nil"/>
              <w:bottom w:val="nil"/>
              <w:right w:val="nil"/>
            </w:tcBorders>
            <w:shd w:val="clear" w:color="auto" w:fill="auto"/>
            <w:vAlign w:val="bottom"/>
          </w:tcPr>
          <w:p w14:paraId="46203D63"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5.900</w:t>
            </w:r>
          </w:p>
        </w:tc>
        <w:tc>
          <w:tcPr>
            <w:tcW w:w="569" w:type="pct"/>
            <w:tcBorders>
              <w:top w:val="nil"/>
              <w:left w:val="nil"/>
              <w:bottom w:val="nil"/>
            </w:tcBorders>
            <w:shd w:val="clear" w:color="auto" w:fill="auto"/>
            <w:vAlign w:val="bottom"/>
          </w:tcPr>
          <w:p w14:paraId="5DDFD56E"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5.900</w:t>
            </w:r>
          </w:p>
        </w:tc>
      </w:tr>
      <w:tr w:rsidR="000F37EF" w:rsidRPr="00FD645D" w14:paraId="6C28E012" w14:textId="77777777" w:rsidTr="000F37EF">
        <w:trPr>
          <w:trHeight w:val="297"/>
        </w:trPr>
        <w:tc>
          <w:tcPr>
            <w:tcW w:w="1554" w:type="pct"/>
            <w:vAlign w:val="center"/>
          </w:tcPr>
          <w:p w14:paraId="32F73F8A" w14:textId="77777777" w:rsidR="000F37EF" w:rsidRPr="00FD645D" w:rsidRDefault="000F37EF" w:rsidP="000F37EF">
            <w:pPr>
              <w:pStyle w:val="TT"/>
              <w:spacing w:line="240" w:lineRule="auto"/>
              <w:rPr>
                <w:rFonts w:asciiTheme="minorHAnsi" w:hAnsiTheme="minorHAnsi" w:cs="Arial"/>
                <w:b/>
                <w:bCs/>
                <w:sz w:val="17"/>
                <w:szCs w:val="17"/>
                <w:lang w:val="hr-HR"/>
              </w:rPr>
            </w:pPr>
            <w:r w:rsidRPr="00FD645D">
              <w:rPr>
                <w:rFonts w:asciiTheme="minorHAnsi" w:hAnsiTheme="minorHAnsi" w:cs="Arial"/>
                <w:b/>
                <w:bCs/>
                <w:sz w:val="17"/>
                <w:szCs w:val="17"/>
                <w:lang w:val="hr-HR"/>
              </w:rPr>
              <w:t>Ukupna imovina (1)</w:t>
            </w:r>
          </w:p>
        </w:tc>
        <w:tc>
          <w:tcPr>
            <w:tcW w:w="506" w:type="pct"/>
            <w:tcBorders>
              <w:top w:val="single" w:sz="4" w:space="0" w:color="auto"/>
              <w:left w:val="nil"/>
              <w:bottom w:val="single" w:sz="4" w:space="0" w:color="auto"/>
              <w:right w:val="nil"/>
            </w:tcBorders>
            <w:shd w:val="clear" w:color="auto" w:fill="auto"/>
            <w:vAlign w:val="center"/>
          </w:tcPr>
          <w:p w14:paraId="524D4E80"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564.534</w:t>
            </w:r>
          </w:p>
        </w:tc>
        <w:tc>
          <w:tcPr>
            <w:tcW w:w="585" w:type="pct"/>
            <w:tcBorders>
              <w:top w:val="single" w:sz="4" w:space="0" w:color="auto"/>
              <w:left w:val="nil"/>
              <w:bottom w:val="single" w:sz="4" w:space="0" w:color="auto"/>
              <w:right w:val="nil"/>
            </w:tcBorders>
            <w:shd w:val="clear" w:color="auto" w:fill="auto"/>
            <w:vAlign w:val="center"/>
          </w:tcPr>
          <w:p w14:paraId="7AC95545"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15.814.669</w:t>
            </w:r>
          </w:p>
        </w:tc>
        <w:tc>
          <w:tcPr>
            <w:tcW w:w="571" w:type="pct"/>
            <w:tcBorders>
              <w:top w:val="single" w:sz="4" w:space="0" w:color="auto"/>
              <w:left w:val="nil"/>
              <w:bottom w:val="single" w:sz="4" w:space="0" w:color="auto"/>
              <w:right w:val="nil"/>
            </w:tcBorders>
            <w:shd w:val="clear" w:color="auto" w:fill="auto"/>
            <w:vAlign w:val="center"/>
          </w:tcPr>
          <w:p w14:paraId="18D930EE"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4.875</w:t>
            </w:r>
          </w:p>
        </w:tc>
        <w:tc>
          <w:tcPr>
            <w:tcW w:w="572" w:type="pct"/>
            <w:tcBorders>
              <w:top w:val="single" w:sz="4" w:space="0" w:color="auto"/>
              <w:left w:val="nil"/>
              <w:bottom w:val="single" w:sz="4" w:space="0" w:color="auto"/>
              <w:right w:val="nil"/>
            </w:tcBorders>
            <w:shd w:val="clear" w:color="auto" w:fill="auto"/>
            <w:vAlign w:val="center"/>
          </w:tcPr>
          <w:p w14:paraId="5F36CD7C"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16.384.078</w:t>
            </w:r>
          </w:p>
        </w:tc>
        <w:tc>
          <w:tcPr>
            <w:tcW w:w="643" w:type="pct"/>
            <w:tcBorders>
              <w:top w:val="single" w:sz="4" w:space="0" w:color="auto"/>
              <w:left w:val="nil"/>
              <w:bottom w:val="single" w:sz="4" w:space="0" w:color="auto"/>
              <w:right w:val="nil"/>
            </w:tcBorders>
            <w:shd w:val="clear" w:color="auto" w:fill="auto"/>
            <w:vAlign w:val="center"/>
          </w:tcPr>
          <w:p w14:paraId="547602A2"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10.990.838*</w:t>
            </w:r>
          </w:p>
        </w:tc>
        <w:tc>
          <w:tcPr>
            <w:tcW w:w="569" w:type="pct"/>
            <w:tcBorders>
              <w:top w:val="single" w:sz="4" w:space="0" w:color="auto"/>
              <w:left w:val="nil"/>
              <w:bottom w:val="single" w:sz="4" w:space="0" w:color="auto"/>
            </w:tcBorders>
            <w:shd w:val="clear" w:color="auto" w:fill="auto"/>
            <w:vAlign w:val="center"/>
          </w:tcPr>
          <w:p w14:paraId="4E4FF2F8"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27.374.916</w:t>
            </w:r>
          </w:p>
        </w:tc>
      </w:tr>
      <w:tr w:rsidR="000F37EF" w:rsidRPr="00FD645D" w14:paraId="549AD990" w14:textId="77777777" w:rsidTr="000F37EF">
        <w:tblPrEx>
          <w:tblCellMar>
            <w:left w:w="108" w:type="dxa"/>
            <w:right w:w="108" w:type="dxa"/>
          </w:tblCellMar>
        </w:tblPrEx>
        <w:trPr>
          <w:trHeight w:hRule="exact" w:val="146"/>
        </w:trPr>
        <w:tc>
          <w:tcPr>
            <w:tcW w:w="1554" w:type="pct"/>
          </w:tcPr>
          <w:p w14:paraId="7728F36B" w14:textId="77777777" w:rsidR="000F37EF" w:rsidRPr="00FD645D" w:rsidRDefault="000F37EF" w:rsidP="000F37EF">
            <w:pPr>
              <w:pStyle w:val="Thick"/>
              <w:spacing w:line="240" w:lineRule="auto"/>
              <w:rPr>
                <w:rFonts w:asciiTheme="minorHAnsi" w:hAnsiTheme="minorHAnsi" w:cs="Arial"/>
                <w:sz w:val="17"/>
                <w:szCs w:val="17"/>
                <w:lang w:val="hr-HR"/>
              </w:rPr>
            </w:pPr>
          </w:p>
        </w:tc>
        <w:tc>
          <w:tcPr>
            <w:tcW w:w="506" w:type="pct"/>
            <w:tcBorders>
              <w:top w:val="single" w:sz="12" w:space="0" w:color="auto"/>
            </w:tcBorders>
            <w:vAlign w:val="bottom"/>
          </w:tcPr>
          <w:p w14:paraId="790F4AD3" w14:textId="77777777" w:rsidR="000F37EF" w:rsidRPr="00FD645D" w:rsidRDefault="000F37EF" w:rsidP="000F37EF">
            <w:pPr>
              <w:pStyle w:val="Thick"/>
              <w:tabs>
                <w:tab w:val="clear" w:pos="1202"/>
              </w:tabs>
              <w:spacing w:line="240" w:lineRule="auto"/>
              <w:jc w:val="right"/>
              <w:rPr>
                <w:rFonts w:asciiTheme="minorHAnsi" w:hAnsiTheme="minorHAnsi" w:cs="Arial"/>
                <w:sz w:val="17"/>
                <w:szCs w:val="17"/>
                <w:lang w:val="hr-HR"/>
              </w:rPr>
            </w:pPr>
          </w:p>
        </w:tc>
        <w:tc>
          <w:tcPr>
            <w:tcW w:w="585" w:type="pct"/>
            <w:tcBorders>
              <w:top w:val="single" w:sz="12" w:space="0" w:color="auto"/>
            </w:tcBorders>
            <w:vAlign w:val="bottom"/>
          </w:tcPr>
          <w:p w14:paraId="5AB683B3" w14:textId="77777777" w:rsidR="000F37EF" w:rsidRPr="00FD645D" w:rsidRDefault="000F37EF" w:rsidP="000F37EF">
            <w:pPr>
              <w:pStyle w:val="Thick"/>
              <w:tabs>
                <w:tab w:val="clear" w:pos="1202"/>
              </w:tabs>
              <w:spacing w:line="240" w:lineRule="auto"/>
              <w:jc w:val="right"/>
              <w:rPr>
                <w:rFonts w:asciiTheme="minorHAnsi" w:hAnsiTheme="minorHAnsi" w:cs="Arial"/>
                <w:sz w:val="17"/>
                <w:szCs w:val="17"/>
                <w:lang w:val="hr-HR"/>
              </w:rPr>
            </w:pPr>
          </w:p>
        </w:tc>
        <w:tc>
          <w:tcPr>
            <w:tcW w:w="571" w:type="pct"/>
            <w:tcBorders>
              <w:top w:val="single" w:sz="12" w:space="0" w:color="auto"/>
            </w:tcBorders>
            <w:vAlign w:val="bottom"/>
          </w:tcPr>
          <w:p w14:paraId="26E75E65" w14:textId="77777777" w:rsidR="000F37EF" w:rsidRPr="00FD645D" w:rsidRDefault="000F37EF" w:rsidP="000F37EF">
            <w:pPr>
              <w:pStyle w:val="Thick"/>
              <w:tabs>
                <w:tab w:val="clear" w:pos="1202"/>
              </w:tabs>
              <w:spacing w:line="240" w:lineRule="auto"/>
              <w:jc w:val="right"/>
              <w:rPr>
                <w:rFonts w:asciiTheme="minorHAnsi" w:hAnsiTheme="minorHAnsi" w:cs="Arial"/>
                <w:sz w:val="17"/>
                <w:szCs w:val="17"/>
                <w:lang w:val="hr-HR"/>
              </w:rPr>
            </w:pPr>
          </w:p>
        </w:tc>
        <w:tc>
          <w:tcPr>
            <w:tcW w:w="572" w:type="pct"/>
            <w:tcBorders>
              <w:top w:val="single" w:sz="12" w:space="0" w:color="auto"/>
            </w:tcBorders>
            <w:vAlign w:val="bottom"/>
          </w:tcPr>
          <w:p w14:paraId="151CFF8B" w14:textId="77777777" w:rsidR="000F37EF" w:rsidRPr="00FD645D" w:rsidRDefault="000F37EF" w:rsidP="000F37EF">
            <w:pPr>
              <w:pStyle w:val="Thick"/>
              <w:tabs>
                <w:tab w:val="clear" w:pos="1202"/>
              </w:tabs>
              <w:spacing w:line="240" w:lineRule="auto"/>
              <w:jc w:val="right"/>
              <w:rPr>
                <w:rFonts w:asciiTheme="minorHAnsi" w:hAnsiTheme="minorHAnsi" w:cs="Arial"/>
                <w:sz w:val="17"/>
                <w:szCs w:val="17"/>
                <w:lang w:val="hr-HR"/>
              </w:rPr>
            </w:pPr>
          </w:p>
        </w:tc>
        <w:tc>
          <w:tcPr>
            <w:tcW w:w="643" w:type="pct"/>
            <w:tcBorders>
              <w:top w:val="single" w:sz="12" w:space="0" w:color="auto"/>
            </w:tcBorders>
            <w:vAlign w:val="bottom"/>
          </w:tcPr>
          <w:p w14:paraId="1484297A" w14:textId="77777777" w:rsidR="000F37EF" w:rsidRPr="00FD645D" w:rsidRDefault="000F37EF" w:rsidP="000F37EF">
            <w:pPr>
              <w:pStyle w:val="Thick"/>
              <w:tabs>
                <w:tab w:val="clear" w:pos="1202"/>
              </w:tabs>
              <w:spacing w:line="240" w:lineRule="auto"/>
              <w:jc w:val="right"/>
              <w:rPr>
                <w:rFonts w:asciiTheme="minorHAnsi" w:hAnsiTheme="minorHAnsi" w:cs="Arial"/>
                <w:sz w:val="17"/>
                <w:szCs w:val="17"/>
                <w:lang w:val="hr-HR"/>
              </w:rPr>
            </w:pPr>
          </w:p>
        </w:tc>
        <w:tc>
          <w:tcPr>
            <w:tcW w:w="569" w:type="pct"/>
            <w:tcBorders>
              <w:top w:val="single" w:sz="12" w:space="0" w:color="auto"/>
            </w:tcBorders>
            <w:vAlign w:val="bottom"/>
          </w:tcPr>
          <w:p w14:paraId="2D37E6B8" w14:textId="77777777" w:rsidR="000F37EF" w:rsidRPr="00FD645D" w:rsidRDefault="000F37EF" w:rsidP="000F37EF">
            <w:pPr>
              <w:pStyle w:val="Thick"/>
              <w:tabs>
                <w:tab w:val="clear" w:pos="1202"/>
              </w:tabs>
              <w:spacing w:line="240" w:lineRule="auto"/>
              <w:jc w:val="right"/>
              <w:rPr>
                <w:rFonts w:asciiTheme="minorHAnsi" w:hAnsiTheme="minorHAnsi" w:cs="Arial"/>
                <w:sz w:val="17"/>
                <w:szCs w:val="17"/>
                <w:lang w:val="hr-HR"/>
              </w:rPr>
            </w:pPr>
          </w:p>
        </w:tc>
      </w:tr>
      <w:tr w:rsidR="000F37EF" w:rsidRPr="00FD645D" w14:paraId="2E7851D8" w14:textId="77777777" w:rsidTr="000F37EF">
        <w:trPr>
          <w:trHeight w:val="227"/>
        </w:trPr>
        <w:tc>
          <w:tcPr>
            <w:tcW w:w="1554" w:type="pct"/>
          </w:tcPr>
          <w:p w14:paraId="53995668" w14:textId="77777777" w:rsidR="000F37EF" w:rsidRPr="00FD645D" w:rsidRDefault="000F37EF" w:rsidP="000F37EF">
            <w:pPr>
              <w:pStyle w:val="TT"/>
              <w:spacing w:line="240" w:lineRule="auto"/>
              <w:rPr>
                <w:rFonts w:asciiTheme="minorHAnsi" w:hAnsiTheme="minorHAnsi" w:cs="Arial"/>
                <w:b/>
                <w:bCs/>
                <w:sz w:val="17"/>
                <w:szCs w:val="17"/>
                <w:lang w:val="hr-HR"/>
              </w:rPr>
            </w:pPr>
            <w:r w:rsidRPr="00FD645D">
              <w:rPr>
                <w:rFonts w:asciiTheme="minorHAnsi" w:hAnsiTheme="minorHAnsi" w:cs="Arial"/>
                <w:b/>
                <w:bCs/>
                <w:sz w:val="17"/>
                <w:szCs w:val="17"/>
                <w:lang w:val="hr-HR"/>
              </w:rPr>
              <w:t>Obveze</w:t>
            </w:r>
          </w:p>
        </w:tc>
        <w:tc>
          <w:tcPr>
            <w:tcW w:w="506" w:type="pct"/>
            <w:vAlign w:val="bottom"/>
          </w:tcPr>
          <w:p w14:paraId="3C94BF9B" w14:textId="77777777" w:rsidR="000F37EF" w:rsidRPr="00FD645D" w:rsidRDefault="000F37EF" w:rsidP="000F37EF">
            <w:pPr>
              <w:suppressAutoHyphens/>
              <w:spacing w:after="0" w:line="240" w:lineRule="auto"/>
              <w:ind w:left="-123"/>
              <w:jc w:val="right"/>
              <w:rPr>
                <w:rFonts w:cs="Arial"/>
                <w:spacing w:val="-2"/>
                <w:sz w:val="17"/>
                <w:szCs w:val="17"/>
              </w:rPr>
            </w:pPr>
          </w:p>
        </w:tc>
        <w:tc>
          <w:tcPr>
            <w:tcW w:w="585" w:type="pct"/>
            <w:vAlign w:val="bottom"/>
          </w:tcPr>
          <w:p w14:paraId="31875F66" w14:textId="77777777" w:rsidR="000F37EF" w:rsidRPr="00FD645D" w:rsidRDefault="000F37EF" w:rsidP="000F37EF">
            <w:pPr>
              <w:suppressAutoHyphens/>
              <w:spacing w:after="0" w:line="240" w:lineRule="auto"/>
              <w:jc w:val="right"/>
              <w:rPr>
                <w:rFonts w:cs="Arial"/>
                <w:spacing w:val="-2"/>
                <w:sz w:val="17"/>
                <w:szCs w:val="17"/>
              </w:rPr>
            </w:pPr>
          </w:p>
        </w:tc>
        <w:tc>
          <w:tcPr>
            <w:tcW w:w="571" w:type="pct"/>
            <w:vAlign w:val="bottom"/>
          </w:tcPr>
          <w:p w14:paraId="31638779" w14:textId="77777777" w:rsidR="000F37EF" w:rsidRPr="00FD645D" w:rsidRDefault="000F37EF" w:rsidP="000F37EF">
            <w:pPr>
              <w:suppressAutoHyphens/>
              <w:spacing w:after="0" w:line="240" w:lineRule="auto"/>
              <w:jc w:val="right"/>
              <w:rPr>
                <w:rFonts w:cs="Arial"/>
                <w:spacing w:val="-2"/>
                <w:sz w:val="17"/>
                <w:szCs w:val="17"/>
              </w:rPr>
            </w:pPr>
          </w:p>
        </w:tc>
        <w:tc>
          <w:tcPr>
            <w:tcW w:w="572" w:type="pct"/>
            <w:vAlign w:val="bottom"/>
          </w:tcPr>
          <w:p w14:paraId="5251085E" w14:textId="77777777" w:rsidR="000F37EF" w:rsidRPr="00FD645D" w:rsidRDefault="000F37EF" w:rsidP="000F37EF">
            <w:pPr>
              <w:suppressAutoHyphens/>
              <w:spacing w:after="0" w:line="240" w:lineRule="auto"/>
              <w:jc w:val="right"/>
              <w:rPr>
                <w:rFonts w:cs="Arial"/>
                <w:spacing w:val="-2"/>
                <w:sz w:val="17"/>
                <w:szCs w:val="17"/>
              </w:rPr>
            </w:pPr>
          </w:p>
        </w:tc>
        <w:tc>
          <w:tcPr>
            <w:tcW w:w="643" w:type="pct"/>
            <w:vAlign w:val="bottom"/>
          </w:tcPr>
          <w:p w14:paraId="09BAEF12" w14:textId="77777777" w:rsidR="000F37EF" w:rsidRPr="00FD645D" w:rsidRDefault="000F37EF" w:rsidP="000F37EF">
            <w:pPr>
              <w:suppressAutoHyphens/>
              <w:spacing w:after="0" w:line="240" w:lineRule="auto"/>
              <w:jc w:val="right"/>
              <w:rPr>
                <w:rFonts w:cs="Arial"/>
                <w:spacing w:val="-2"/>
                <w:sz w:val="17"/>
                <w:szCs w:val="17"/>
              </w:rPr>
            </w:pPr>
          </w:p>
        </w:tc>
        <w:tc>
          <w:tcPr>
            <w:tcW w:w="569" w:type="pct"/>
            <w:vAlign w:val="bottom"/>
          </w:tcPr>
          <w:p w14:paraId="63722EBF" w14:textId="77777777" w:rsidR="000F37EF" w:rsidRPr="00FD645D" w:rsidRDefault="000F37EF" w:rsidP="000F37EF">
            <w:pPr>
              <w:spacing w:after="0" w:line="240" w:lineRule="auto"/>
              <w:jc w:val="right"/>
              <w:rPr>
                <w:rFonts w:cs="Arial"/>
                <w:b/>
                <w:sz w:val="17"/>
                <w:szCs w:val="17"/>
              </w:rPr>
            </w:pPr>
          </w:p>
        </w:tc>
      </w:tr>
      <w:tr w:rsidR="000F37EF" w:rsidRPr="00FD645D" w14:paraId="058BCD3D" w14:textId="77777777" w:rsidTr="000F37EF">
        <w:trPr>
          <w:trHeight w:val="227"/>
        </w:trPr>
        <w:tc>
          <w:tcPr>
            <w:tcW w:w="1554" w:type="pct"/>
          </w:tcPr>
          <w:p w14:paraId="58E899FE"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Obveze po depozitima</w:t>
            </w:r>
          </w:p>
        </w:tc>
        <w:tc>
          <w:tcPr>
            <w:tcW w:w="506" w:type="pct"/>
            <w:tcBorders>
              <w:top w:val="nil"/>
              <w:left w:val="nil"/>
              <w:bottom w:val="nil"/>
              <w:right w:val="nil"/>
            </w:tcBorders>
            <w:shd w:val="clear" w:color="auto" w:fill="auto"/>
            <w:vAlign w:val="bottom"/>
          </w:tcPr>
          <w:p w14:paraId="6E688CE6"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48.380</w:t>
            </w:r>
          </w:p>
        </w:tc>
        <w:tc>
          <w:tcPr>
            <w:tcW w:w="585" w:type="pct"/>
            <w:tcBorders>
              <w:top w:val="nil"/>
              <w:left w:val="nil"/>
              <w:bottom w:val="nil"/>
              <w:right w:val="nil"/>
            </w:tcBorders>
            <w:shd w:val="clear" w:color="auto" w:fill="auto"/>
            <w:vAlign w:val="bottom"/>
          </w:tcPr>
          <w:p w14:paraId="3BF23569"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42.778</w:t>
            </w:r>
          </w:p>
        </w:tc>
        <w:tc>
          <w:tcPr>
            <w:tcW w:w="571" w:type="pct"/>
            <w:tcBorders>
              <w:top w:val="nil"/>
              <w:left w:val="nil"/>
              <w:bottom w:val="nil"/>
              <w:right w:val="nil"/>
            </w:tcBorders>
            <w:shd w:val="clear" w:color="auto" w:fill="auto"/>
            <w:vAlign w:val="bottom"/>
          </w:tcPr>
          <w:p w14:paraId="55F7DFAD"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3.459</w:t>
            </w:r>
          </w:p>
        </w:tc>
        <w:tc>
          <w:tcPr>
            <w:tcW w:w="572" w:type="pct"/>
            <w:tcBorders>
              <w:top w:val="nil"/>
              <w:left w:val="nil"/>
              <w:bottom w:val="nil"/>
              <w:right w:val="nil"/>
            </w:tcBorders>
            <w:shd w:val="clear" w:color="auto" w:fill="auto"/>
            <w:vAlign w:val="bottom"/>
          </w:tcPr>
          <w:p w14:paraId="214CC438"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94.617</w:t>
            </w:r>
          </w:p>
        </w:tc>
        <w:tc>
          <w:tcPr>
            <w:tcW w:w="643" w:type="pct"/>
            <w:tcBorders>
              <w:top w:val="nil"/>
              <w:left w:val="nil"/>
              <w:bottom w:val="nil"/>
              <w:right w:val="nil"/>
            </w:tcBorders>
            <w:shd w:val="clear" w:color="auto" w:fill="auto"/>
            <w:vAlign w:val="bottom"/>
          </w:tcPr>
          <w:p w14:paraId="1910600E"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48.227</w:t>
            </w:r>
          </w:p>
        </w:tc>
        <w:tc>
          <w:tcPr>
            <w:tcW w:w="569" w:type="pct"/>
            <w:tcBorders>
              <w:top w:val="nil"/>
              <w:left w:val="nil"/>
              <w:bottom w:val="nil"/>
            </w:tcBorders>
            <w:shd w:val="clear" w:color="auto" w:fill="auto"/>
            <w:vAlign w:val="bottom"/>
          </w:tcPr>
          <w:p w14:paraId="2441A60C"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142.844</w:t>
            </w:r>
          </w:p>
        </w:tc>
      </w:tr>
      <w:tr w:rsidR="000F37EF" w:rsidRPr="00FD645D" w14:paraId="172299A1" w14:textId="77777777" w:rsidTr="000F37EF">
        <w:trPr>
          <w:trHeight w:val="227"/>
        </w:trPr>
        <w:tc>
          <w:tcPr>
            <w:tcW w:w="1554" w:type="pct"/>
          </w:tcPr>
          <w:p w14:paraId="5F4D5D72"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Obveze po kreditima</w:t>
            </w:r>
          </w:p>
        </w:tc>
        <w:tc>
          <w:tcPr>
            <w:tcW w:w="506" w:type="pct"/>
            <w:tcBorders>
              <w:top w:val="nil"/>
              <w:left w:val="nil"/>
              <w:bottom w:val="nil"/>
              <w:right w:val="nil"/>
            </w:tcBorders>
            <w:shd w:val="clear" w:color="auto" w:fill="auto"/>
            <w:vAlign w:val="bottom"/>
          </w:tcPr>
          <w:p w14:paraId="3606D8C6"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315.433</w:t>
            </w:r>
          </w:p>
        </w:tc>
        <w:tc>
          <w:tcPr>
            <w:tcW w:w="585" w:type="pct"/>
            <w:tcBorders>
              <w:top w:val="nil"/>
              <w:left w:val="nil"/>
              <w:bottom w:val="nil"/>
              <w:right w:val="nil"/>
            </w:tcBorders>
            <w:shd w:val="clear" w:color="auto" w:fill="auto"/>
            <w:vAlign w:val="bottom"/>
          </w:tcPr>
          <w:p w14:paraId="3FB6EF28"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13.076.316</w:t>
            </w:r>
          </w:p>
        </w:tc>
        <w:tc>
          <w:tcPr>
            <w:tcW w:w="571" w:type="pct"/>
            <w:tcBorders>
              <w:top w:val="nil"/>
              <w:left w:val="nil"/>
              <w:bottom w:val="nil"/>
              <w:right w:val="nil"/>
            </w:tcBorders>
            <w:shd w:val="clear" w:color="auto" w:fill="auto"/>
            <w:vAlign w:val="bottom"/>
          </w:tcPr>
          <w:p w14:paraId="6801B974"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253494DF"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13.391.749</w:t>
            </w:r>
          </w:p>
        </w:tc>
        <w:tc>
          <w:tcPr>
            <w:tcW w:w="643" w:type="pct"/>
            <w:tcBorders>
              <w:top w:val="nil"/>
              <w:left w:val="nil"/>
              <w:bottom w:val="nil"/>
              <w:right w:val="nil"/>
            </w:tcBorders>
            <w:shd w:val="clear" w:color="auto" w:fill="auto"/>
            <w:vAlign w:val="bottom"/>
          </w:tcPr>
          <w:p w14:paraId="6D4000E8"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69" w:type="pct"/>
            <w:tcBorders>
              <w:top w:val="nil"/>
              <w:left w:val="nil"/>
              <w:bottom w:val="nil"/>
            </w:tcBorders>
            <w:shd w:val="clear" w:color="auto" w:fill="auto"/>
            <w:vAlign w:val="bottom"/>
          </w:tcPr>
          <w:p w14:paraId="4B6FB293"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13.391.749</w:t>
            </w:r>
          </w:p>
        </w:tc>
      </w:tr>
      <w:tr w:rsidR="000F37EF" w:rsidRPr="00FD645D" w14:paraId="53C74FCD" w14:textId="77777777" w:rsidTr="000F37EF">
        <w:trPr>
          <w:trHeight w:val="456"/>
        </w:trPr>
        <w:tc>
          <w:tcPr>
            <w:tcW w:w="1554" w:type="pct"/>
          </w:tcPr>
          <w:p w14:paraId="256C825E"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Obveze za izdane dugoročne vrijednosne papire</w:t>
            </w:r>
          </w:p>
        </w:tc>
        <w:tc>
          <w:tcPr>
            <w:tcW w:w="506" w:type="pct"/>
            <w:tcBorders>
              <w:top w:val="nil"/>
              <w:left w:val="nil"/>
              <w:bottom w:val="nil"/>
              <w:right w:val="nil"/>
            </w:tcBorders>
            <w:shd w:val="clear" w:color="auto" w:fill="auto"/>
            <w:vAlign w:val="bottom"/>
          </w:tcPr>
          <w:p w14:paraId="4ED2118F"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85" w:type="pct"/>
            <w:tcBorders>
              <w:top w:val="nil"/>
              <w:left w:val="nil"/>
              <w:bottom w:val="nil"/>
              <w:right w:val="nil"/>
            </w:tcBorders>
            <w:shd w:val="clear" w:color="auto" w:fill="auto"/>
            <w:vAlign w:val="bottom"/>
          </w:tcPr>
          <w:p w14:paraId="6BF88ABD"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3.105.569</w:t>
            </w:r>
          </w:p>
        </w:tc>
        <w:tc>
          <w:tcPr>
            <w:tcW w:w="571" w:type="pct"/>
            <w:tcBorders>
              <w:top w:val="nil"/>
              <w:left w:val="nil"/>
              <w:bottom w:val="nil"/>
              <w:right w:val="nil"/>
            </w:tcBorders>
            <w:shd w:val="clear" w:color="auto" w:fill="auto"/>
            <w:vAlign w:val="bottom"/>
          </w:tcPr>
          <w:p w14:paraId="38EF752A"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2" w:type="pct"/>
            <w:tcBorders>
              <w:top w:val="nil"/>
              <w:left w:val="nil"/>
              <w:bottom w:val="nil"/>
              <w:right w:val="nil"/>
            </w:tcBorders>
            <w:shd w:val="clear" w:color="auto" w:fill="auto"/>
            <w:vAlign w:val="bottom"/>
          </w:tcPr>
          <w:p w14:paraId="556E9383"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3.105.569</w:t>
            </w:r>
          </w:p>
        </w:tc>
        <w:tc>
          <w:tcPr>
            <w:tcW w:w="643" w:type="pct"/>
            <w:tcBorders>
              <w:top w:val="nil"/>
              <w:left w:val="nil"/>
              <w:bottom w:val="nil"/>
              <w:right w:val="nil"/>
            </w:tcBorders>
            <w:shd w:val="clear" w:color="auto" w:fill="auto"/>
            <w:vAlign w:val="bottom"/>
          </w:tcPr>
          <w:p w14:paraId="0E1DFED4"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69" w:type="pct"/>
            <w:tcBorders>
              <w:top w:val="nil"/>
              <w:left w:val="nil"/>
              <w:bottom w:val="nil"/>
            </w:tcBorders>
            <w:shd w:val="clear" w:color="auto" w:fill="auto"/>
            <w:vAlign w:val="bottom"/>
          </w:tcPr>
          <w:p w14:paraId="2FC5D69F"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3.105.569</w:t>
            </w:r>
          </w:p>
        </w:tc>
      </w:tr>
      <w:tr w:rsidR="000F37EF" w:rsidRPr="00FD645D" w14:paraId="21285949" w14:textId="77777777" w:rsidTr="000F37EF">
        <w:trPr>
          <w:trHeight w:val="163"/>
        </w:trPr>
        <w:tc>
          <w:tcPr>
            <w:tcW w:w="1554" w:type="pct"/>
            <w:vAlign w:val="center"/>
          </w:tcPr>
          <w:p w14:paraId="204D5499"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Ostale obveze</w:t>
            </w:r>
          </w:p>
        </w:tc>
        <w:tc>
          <w:tcPr>
            <w:tcW w:w="506" w:type="pct"/>
            <w:tcBorders>
              <w:top w:val="nil"/>
              <w:left w:val="nil"/>
              <w:bottom w:val="single" w:sz="4" w:space="0" w:color="auto"/>
              <w:right w:val="nil"/>
            </w:tcBorders>
            <w:shd w:val="clear" w:color="auto" w:fill="auto"/>
            <w:vAlign w:val="bottom"/>
          </w:tcPr>
          <w:p w14:paraId="51B3455A"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85" w:type="pct"/>
            <w:tcBorders>
              <w:top w:val="nil"/>
              <w:left w:val="nil"/>
              <w:bottom w:val="single" w:sz="4" w:space="0" w:color="auto"/>
              <w:right w:val="nil"/>
            </w:tcBorders>
            <w:shd w:val="clear" w:color="auto" w:fill="auto"/>
            <w:vAlign w:val="bottom"/>
          </w:tcPr>
          <w:p w14:paraId="65786A61"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2.895</w:t>
            </w:r>
          </w:p>
        </w:tc>
        <w:tc>
          <w:tcPr>
            <w:tcW w:w="571" w:type="pct"/>
            <w:tcBorders>
              <w:top w:val="nil"/>
              <w:left w:val="nil"/>
              <w:bottom w:val="single" w:sz="4" w:space="0" w:color="auto"/>
              <w:right w:val="nil"/>
            </w:tcBorders>
            <w:shd w:val="clear" w:color="auto" w:fill="auto"/>
            <w:vAlign w:val="bottom"/>
          </w:tcPr>
          <w:p w14:paraId="5795FF87"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2.840</w:t>
            </w:r>
          </w:p>
        </w:tc>
        <w:tc>
          <w:tcPr>
            <w:tcW w:w="572" w:type="pct"/>
            <w:tcBorders>
              <w:top w:val="nil"/>
              <w:left w:val="nil"/>
              <w:bottom w:val="single" w:sz="4" w:space="0" w:color="auto"/>
              <w:right w:val="nil"/>
            </w:tcBorders>
            <w:shd w:val="clear" w:color="auto" w:fill="auto"/>
            <w:vAlign w:val="bottom"/>
          </w:tcPr>
          <w:p w14:paraId="3078B449"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5.735</w:t>
            </w:r>
          </w:p>
        </w:tc>
        <w:tc>
          <w:tcPr>
            <w:tcW w:w="643" w:type="pct"/>
            <w:tcBorders>
              <w:top w:val="nil"/>
              <w:left w:val="nil"/>
              <w:bottom w:val="single" w:sz="4" w:space="0" w:color="auto"/>
              <w:right w:val="nil"/>
            </w:tcBorders>
            <w:shd w:val="clear" w:color="auto" w:fill="auto"/>
            <w:vAlign w:val="bottom"/>
          </w:tcPr>
          <w:p w14:paraId="21A930FC"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691.039</w:t>
            </w:r>
          </w:p>
        </w:tc>
        <w:tc>
          <w:tcPr>
            <w:tcW w:w="569" w:type="pct"/>
            <w:tcBorders>
              <w:top w:val="nil"/>
              <w:left w:val="nil"/>
              <w:bottom w:val="single" w:sz="4" w:space="0" w:color="auto"/>
            </w:tcBorders>
            <w:shd w:val="clear" w:color="auto" w:fill="auto"/>
            <w:vAlign w:val="bottom"/>
          </w:tcPr>
          <w:p w14:paraId="72C8EC91"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696.774</w:t>
            </w:r>
          </w:p>
        </w:tc>
      </w:tr>
      <w:tr w:rsidR="000F37EF" w:rsidRPr="00FD645D" w14:paraId="68B38D9A" w14:textId="77777777" w:rsidTr="000F37EF">
        <w:trPr>
          <w:trHeight w:val="323"/>
        </w:trPr>
        <w:tc>
          <w:tcPr>
            <w:tcW w:w="1554" w:type="pct"/>
            <w:vAlign w:val="center"/>
          </w:tcPr>
          <w:p w14:paraId="23F5FA7F" w14:textId="77777777" w:rsidR="000F37EF" w:rsidRPr="00FD645D" w:rsidRDefault="000F37EF" w:rsidP="000F37EF">
            <w:pPr>
              <w:pStyle w:val="TT"/>
              <w:spacing w:line="240" w:lineRule="auto"/>
              <w:rPr>
                <w:rFonts w:asciiTheme="minorHAnsi" w:hAnsiTheme="minorHAnsi" w:cs="Arial"/>
                <w:b/>
                <w:bCs/>
                <w:sz w:val="17"/>
                <w:szCs w:val="17"/>
                <w:lang w:val="hr-HR"/>
              </w:rPr>
            </w:pPr>
            <w:r w:rsidRPr="00FD645D">
              <w:rPr>
                <w:rFonts w:asciiTheme="minorHAnsi" w:hAnsiTheme="minorHAnsi" w:cs="Arial"/>
                <w:b/>
                <w:bCs/>
                <w:sz w:val="17"/>
                <w:szCs w:val="17"/>
                <w:lang w:val="hr-HR"/>
              </w:rPr>
              <w:t>Ukupne obveze</w:t>
            </w:r>
          </w:p>
        </w:tc>
        <w:tc>
          <w:tcPr>
            <w:tcW w:w="506" w:type="pct"/>
            <w:tcBorders>
              <w:top w:val="single" w:sz="4" w:space="0" w:color="auto"/>
              <w:left w:val="nil"/>
              <w:bottom w:val="single" w:sz="12" w:space="0" w:color="auto"/>
              <w:right w:val="nil"/>
            </w:tcBorders>
            <w:shd w:val="clear" w:color="auto" w:fill="auto"/>
            <w:vAlign w:val="center"/>
          </w:tcPr>
          <w:p w14:paraId="2E979DB9"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363.813</w:t>
            </w:r>
          </w:p>
        </w:tc>
        <w:tc>
          <w:tcPr>
            <w:tcW w:w="585" w:type="pct"/>
            <w:tcBorders>
              <w:top w:val="single" w:sz="4" w:space="0" w:color="auto"/>
              <w:left w:val="nil"/>
              <w:bottom w:val="single" w:sz="12" w:space="0" w:color="auto"/>
              <w:right w:val="nil"/>
            </w:tcBorders>
            <w:shd w:val="clear" w:color="auto" w:fill="auto"/>
            <w:vAlign w:val="center"/>
          </w:tcPr>
          <w:p w14:paraId="098A95E8"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16.227.558</w:t>
            </w:r>
          </w:p>
        </w:tc>
        <w:tc>
          <w:tcPr>
            <w:tcW w:w="571" w:type="pct"/>
            <w:tcBorders>
              <w:top w:val="single" w:sz="4" w:space="0" w:color="auto"/>
              <w:left w:val="nil"/>
              <w:bottom w:val="single" w:sz="12" w:space="0" w:color="auto"/>
              <w:right w:val="nil"/>
            </w:tcBorders>
            <w:shd w:val="clear" w:color="auto" w:fill="auto"/>
            <w:vAlign w:val="center"/>
          </w:tcPr>
          <w:p w14:paraId="24A594A3"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6.299</w:t>
            </w:r>
          </w:p>
        </w:tc>
        <w:tc>
          <w:tcPr>
            <w:tcW w:w="572" w:type="pct"/>
            <w:tcBorders>
              <w:top w:val="single" w:sz="4" w:space="0" w:color="auto"/>
              <w:left w:val="nil"/>
              <w:bottom w:val="single" w:sz="12" w:space="0" w:color="auto"/>
              <w:right w:val="nil"/>
            </w:tcBorders>
            <w:shd w:val="clear" w:color="auto" w:fill="auto"/>
            <w:vAlign w:val="center"/>
          </w:tcPr>
          <w:p w14:paraId="7F440342"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16.597.670</w:t>
            </w:r>
          </w:p>
        </w:tc>
        <w:tc>
          <w:tcPr>
            <w:tcW w:w="643" w:type="pct"/>
            <w:tcBorders>
              <w:top w:val="single" w:sz="4" w:space="0" w:color="auto"/>
              <w:left w:val="nil"/>
              <w:bottom w:val="single" w:sz="12" w:space="0" w:color="auto"/>
              <w:right w:val="nil"/>
            </w:tcBorders>
            <w:shd w:val="clear" w:color="auto" w:fill="auto"/>
            <w:vAlign w:val="center"/>
          </w:tcPr>
          <w:p w14:paraId="6F3DF735"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739.266</w:t>
            </w:r>
          </w:p>
        </w:tc>
        <w:tc>
          <w:tcPr>
            <w:tcW w:w="569" w:type="pct"/>
            <w:tcBorders>
              <w:top w:val="single" w:sz="4" w:space="0" w:color="auto"/>
              <w:left w:val="nil"/>
              <w:bottom w:val="single" w:sz="12" w:space="0" w:color="auto"/>
            </w:tcBorders>
            <w:shd w:val="clear" w:color="auto" w:fill="auto"/>
            <w:vAlign w:val="center"/>
          </w:tcPr>
          <w:p w14:paraId="37418C63"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17.336.936</w:t>
            </w:r>
          </w:p>
        </w:tc>
      </w:tr>
      <w:tr w:rsidR="000F37EF" w:rsidRPr="00FD645D" w14:paraId="1A3F0C21" w14:textId="77777777" w:rsidTr="000F37EF">
        <w:trPr>
          <w:trHeight w:hRule="exact" w:val="146"/>
        </w:trPr>
        <w:tc>
          <w:tcPr>
            <w:tcW w:w="1554" w:type="pct"/>
          </w:tcPr>
          <w:p w14:paraId="4B4C2C67" w14:textId="77777777" w:rsidR="000F37EF" w:rsidRPr="00FD645D" w:rsidRDefault="000F37EF" w:rsidP="000F37EF">
            <w:pPr>
              <w:pStyle w:val="Thin"/>
              <w:spacing w:line="240" w:lineRule="auto"/>
              <w:rPr>
                <w:rFonts w:asciiTheme="minorHAnsi" w:hAnsiTheme="minorHAnsi" w:cs="Arial"/>
                <w:sz w:val="17"/>
                <w:szCs w:val="17"/>
                <w:lang w:val="hr-HR"/>
              </w:rPr>
            </w:pPr>
          </w:p>
        </w:tc>
        <w:tc>
          <w:tcPr>
            <w:tcW w:w="506" w:type="pct"/>
            <w:tcBorders>
              <w:top w:val="single" w:sz="12" w:space="0" w:color="auto"/>
            </w:tcBorders>
            <w:vAlign w:val="bottom"/>
          </w:tcPr>
          <w:p w14:paraId="445054FE" w14:textId="77777777" w:rsidR="000F37EF" w:rsidRPr="00FD645D" w:rsidRDefault="000F37EF" w:rsidP="000F37EF">
            <w:pPr>
              <w:pStyle w:val="Thin"/>
              <w:spacing w:line="240" w:lineRule="auto"/>
              <w:jc w:val="right"/>
              <w:rPr>
                <w:rFonts w:asciiTheme="minorHAnsi" w:hAnsiTheme="minorHAnsi" w:cs="Arial"/>
                <w:spacing w:val="-2"/>
                <w:sz w:val="17"/>
                <w:szCs w:val="17"/>
                <w:lang w:val="hr-HR"/>
              </w:rPr>
            </w:pPr>
          </w:p>
        </w:tc>
        <w:tc>
          <w:tcPr>
            <w:tcW w:w="585" w:type="pct"/>
            <w:tcBorders>
              <w:top w:val="single" w:sz="12" w:space="0" w:color="auto"/>
            </w:tcBorders>
            <w:vAlign w:val="bottom"/>
          </w:tcPr>
          <w:p w14:paraId="58D96B7D" w14:textId="77777777" w:rsidR="000F37EF" w:rsidRPr="00FD645D" w:rsidRDefault="000F37EF" w:rsidP="000F37EF">
            <w:pPr>
              <w:pStyle w:val="Thin"/>
              <w:spacing w:line="240" w:lineRule="auto"/>
              <w:jc w:val="right"/>
              <w:rPr>
                <w:rFonts w:asciiTheme="minorHAnsi" w:hAnsiTheme="minorHAnsi" w:cs="Arial"/>
                <w:spacing w:val="-2"/>
                <w:sz w:val="17"/>
                <w:szCs w:val="17"/>
                <w:lang w:val="hr-HR"/>
              </w:rPr>
            </w:pPr>
          </w:p>
        </w:tc>
        <w:tc>
          <w:tcPr>
            <w:tcW w:w="571" w:type="pct"/>
            <w:tcBorders>
              <w:top w:val="single" w:sz="12" w:space="0" w:color="auto"/>
            </w:tcBorders>
            <w:vAlign w:val="bottom"/>
          </w:tcPr>
          <w:p w14:paraId="27FD84BC" w14:textId="77777777" w:rsidR="000F37EF" w:rsidRPr="00FD645D" w:rsidRDefault="000F37EF" w:rsidP="000F37EF">
            <w:pPr>
              <w:pStyle w:val="Thin"/>
              <w:spacing w:line="240" w:lineRule="auto"/>
              <w:jc w:val="right"/>
              <w:rPr>
                <w:rFonts w:asciiTheme="minorHAnsi" w:hAnsiTheme="minorHAnsi" w:cs="Arial"/>
                <w:spacing w:val="-2"/>
                <w:sz w:val="17"/>
                <w:szCs w:val="17"/>
                <w:lang w:val="hr-HR"/>
              </w:rPr>
            </w:pPr>
          </w:p>
        </w:tc>
        <w:tc>
          <w:tcPr>
            <w:tcW w:w="572" w:type="pct"/>
            <w:tcBorders>
              <w:top w:val="single" w:sz="12" w:space="0" w:color="auto"/>
            </w:tcBorders>
            <w:vAlign w:val="bottom"/>
          </w:tcPr>
          <w:p w14:paraId="43D9F078" w14:textId="77777777" w:rsidR="000F37EF" w:rsidRPr="00FD645D" w:rsidRDefault="000F37EF" w:rsidP="000F37EF">
            <w:pPr>
              <w:pStyle w:val="Thin"/>
              <w:spacing w:line="240" w:lineRule="auto"/>
              <w:jc w:val="right"/>
              <w:rPr>
                <w:rFonts w:asciiTheme="minorHAnsi" w:hAnsiTheme="minorHAnsi" w:cs="Arial"/>
                <w:spacing w:val="-2"/>
                <w:sz w:val="17"/>
                <w:szCs w:val="17"/>
                <w:lang w:val="hr-HR"/>
              </w:rPr>
            </w:pPr>
          </w:p>
        </w:tc>
        <w:tc>
          <w:tcPr>
            <w:tcW w:w="643" w:type="pct"/>
            <w:tcBorders>
              <w:top w:val="single" w:sz="12" w:space="0" w:color="auto"/>
            </w:tcBorders>
            <w:vAlign w:val="bottom"/>
          </w:tcPr>
          <w:p w14:paraId="1AEB1313" w14:textId="77777777" w:rsidR="000F37EF" w:rsidRPr="00FD645D" w:rsidRDefault="000F37EF" w:rsidP="000F37EF">
            <w:pPr>
              <w:pStyle w:val="Thin"/>
              <w:spacing w:line="240" w:lineRule="auto"/>
              <w:jc w:val="right"/>
              <w:rPr>
                <w:rFonts w:asciiTheme="minorHAnsi" w:hAnsiTheme="minorHAnsi" w:cs="Arial"/>
                <w:spacing w:val="-2"/>
                <w:sz w:val="17"/>
                <w:szCs w:val="17"/>
                <w:lang w:val="hr-HR"/>
              </w:rPr>
            </w:pPr>
          </w:p>
        </w:tc>
        <w:tc>
          <w:tcPr>
            <w:tcW w:w="569" w:type="pct"/>
            <w:tcBorders>
              <w:top w:val="single" w:sz="12" w:space="0" w:color="auto"/>
            </w:tcBorders>
            <w:vAlign w:val="bottom"/>
          </w:tcPr>
          <w:p w14:paraId="47476D75" w14:textId="77777777" w:rsidR="000F37EF" w:rsidRPr="00FD645D" w:rsidRDefault="000F37EF" w:rsidP="000F37EF">
            <w:pPr>
              <w:pStyle w:val="Thin"/>
              <w:spacing w:line="240" w:lineRule="auto"/>
              <w:jc w:val="right"/>
              <w:rPr>
                <w:rFonts w:asciiTheme="minorHAnsi" w:hAnsiTheme="minorHAnsi" w:cs="Arial"/>
                <w:spacing w:val="-2"/>
                <w:sz w:val="17"/>
                <w:szCs w:val="17"/>
                <w:lang w:val="hr-HR"/>
              </w:rPr>
            </w:pPr>
          </w:p>
        </w:tc>
      </w:tr>
      <w:tr w:rsidR="000F37EF" w:rsidRPr="00FD645D" w14:paraId="37006C64" w14:textId="77777777" w:rsidTr="000F37EF">
        <w:trPr>
          <w:trHeight w:val="227"/>
        </w:trPr>
        <w:tc>
          <w:tcPr>
            <w:tcW w:w="1554" w:type="pct"/>
          </w:tcPr>
          <w:p w14:paraId="7FC113AB" w14:textId="77777777" w:rsidR="000F37EF" w:rsidRPr="00FD645D" w:rsidRDefault="000F37EF" w:rsidP="000F37EF">
            <w:pPr>
              <w:pStyle w:val="TT"/>
              <w:spacing w:line="240" w:lineRule="auto"/>
              <w:rPr>
                <w:rFonts w:asciiTheme="minorHAnsi" w:hAnsiTheme="minorHAnsi" w:cs="Arial"/>
                <w:b/>
                <w:bCs/>
                <w:sz w:val="17"/>
                <w:szCs w:val="17"/>
                <w:lang w:val="hr-HR"/>
              </w:rPr>
            </w:pPr>
            <w:r w:rsidRPr="00FD645D">
              <w:rPr>
                <w:rFonts w:asciiTheme="minorHAnsi" w:hAnsiTheme="minorHAnsi" w:cs="Arial"/>
                <w:b/>
                <w:bCs/>
                <w:sz w:val="17"/>
                <w:szCs w:val="17"/>
                <w:lang w:val="hr-HR"/>
              </w:rPr>
              <w:t>Kapital</w:t>
            </w:r>
          </w:p>
        </w:tc>
        <w:tc>
          <w:tcPr>
            <w:tcW w:w="506" w:type="pct"/>
            <w:vAlign w:val="bottom"/>
          </w:tcPr>
          <w:p w14:paraId="2D1C847A" w14:textId="77777777" w:rsidR="000F37EF" w:rsidRPr="00FD645D" w:rsidRDefault="000F37EF" w:rsidP="000F37EF">
            <w:pPr>
              <w:pStyle w:val="TT"/>
              <w:tabs>
                <w:tab w:val="clear" w:pos="1202"/>
              </w:tabs>
              <w:spacing w:line="240" w:lineRule="auto"/>
              <w:jc w:val="right"/>
              <w:rPr>
                <w:rFonts w:asciiTheme="minorHAnsi" w:hAnsiTheme="minorHAnsi" w:cs="Arial"/>
                <w:sz w:val="17"/>
                <w:szCs w:val="17"/>
                <w:lang w:val="hr-HR"/>
              </w:rPr>
            </w:pPr>
          </w:p>
        </w:tc>
        <w:tc>
          <w:tcPr>
            <w:tcW w:w="585" w:type="pct"/>
            <w:vAlign w:val="bottom"/>
          </w:tcPr>
          <w:p w14:paraId="3A1311D0" w14:textId="77777777" w:rsidR="000F37EF" w:rsidRPr="00FD645D" w:rsidRDefault="000F37EF" w:rsidP="000F37EF">
            <w:pPr>
              <w:pStyle w:val="TT"/>
              <w:tabs>
                <w:tab w:val="clear" w:pos="1202"/>
              </w:tabs>
              <w:spacing w:line="240" w:lineRule="auto"/>
              <w:jc w:val="right"/>
              <w:rPr>
                <w:rFonts w:asciiTheme="minorHAnsi" w:hAnsiTheme="minorHAnsi" w:cs="Arial"/>
                <w:sz w:val="17"/>
                <w:szCs w:val="17"/>
                <w:lang w:val="hr-HR"/>
              </w:rPr>
            </w:pPr>
          </w:p>
        </w:tc>
        <w:tc>
          <w:tcPr>
            <w:tcW w:w="571" w:type="pct"/>
            <w:vAlign w:val="bottom"/>
          </w:tcPr>
          <w:p w14:paraId="089F3C12" w14:textId="77777777" w:rsidR="000F37EF" w:rsidRPr="00FD645D" w:rsidRDefault="000F37EF" w:rsidP="000F37EF">
            <w:pPr>
              <w:pStyle w:val="TT"/>
              <w:tabs>
                <w:tab w:val="clear" w:pos="1202"/>
              </w:tabs>
              <w:spacing w:line="240" w:lineRule="auto"/>
              <w:jc w:val="right"/>
              <w:rPr>
                <w:rFonts w:asciiTheme="minorHAnsi" w:hAnsiTheme="minorHAnsi" w:cs="Arial"/>
                <w:sz w:val="17"/>
                <w:szCs w:val="17"/>
                <w:lang w:val="hr-HR"/>
              </w:rPr>
            </w:pPr>
          </w:p>
        </w:tc>
        <w:tc>
          <w:tcPr>
            <w:tcW w:w="572" w:type="pct"/>
            <w:vAlign w:val="bottom"/>
          </w:tcPr>
          <w:p w14:paraId="5FD03A68" w14:textId="77777777" w:rsidR="000F37EF" w:rsidRPr="00FD645D" w:rsidRDefault="000F37EF" w:rsidP="000F37EF">
            <w:pPr>
              <w:pStyle w:val="TT"/>
              <w:tabs>
                <w:tab w:val="clear" w:pos="1202"/>
              </w:tabs>
              <w:spacing w:line="240" w:lineRule="auto"/>
              <w:jc w:val="right"/>
              <w:rPr>
                <w:rFonts w:asciiTheme="minorHAnsi" w:hAnsiTheme="minorHAnsi" w:cs="Arial"/>
                <w:sz w:val="17"/>
                <w:szCs w:val="17"/>
                <w:lang w:val="hr-HR"/>
              </w:rPr>
            </w:pPr>
          </w:p>
        </w:tc>
        <w:tc>
          <w:tcPr>
            <w:tcW w:w="643" w:type="pct"/>
            <w:vAlign w:val="bottom"/>
          </w:tcPr>
          <w:p w14:paraId="525D86A4" w14:textId="77777777" w:rsidR="000F37EF" w:rsidRPr="00FD645D" w:rsidRDefault="000F37EF" w:rsidP="000F37EF">
            <w:pPr>
              <w:pStyle w:val="TT"/>
              <w:tabs>
                <w:tab w:val="clear" w:pos="1202"/>
              </w:tabs>
              <w:spacing w:line="240" w:lineRule="auto"/>
              <w:jc w:val="right"/>
              <w:rPr>
                <w:rFonts w:asciiTheme="minorHAnsi" w:hAnsiTheme="minorHAnsi" w:cs="Arial"/>
                <w:sz w:val="17"/>
                <w:szCs w:val="17"/>
                <w:lang w:val="hr-HR"/>
              </w:rPr>
            </w:pPr>
          </w:p>
        </w:tc>
        <w:tc>
          <w:tcPr>
            <w:tcW w:w="569" w:type="pct"/>
            <w:vAlign w:val="bottom"/>
          </w:tcPr>
          <w:p w14:paraId="690319C4" w14:textId="77777777" w:rsidR="000F37EF" w:rsidRPr="00FD645D" w:rsidRDefault="000F37EF" w:rsidP="000F37EF">
            <w:pPr>
              <w:pStyle w:val="TT"/>
              <w:tabs>
                <w:tab w:val="clear" w:pos="1202"/>
              </w:tabs>
              <w:spacing w:line="240" w:lineRule="auto"/>
              <w:jc w:val="right"/>
              <w:rPr>
                <w:rFonts w:asciiTheme="minorHAnsi" w:hAnsiTheme="minorHAnsi" w:cs="Arial"/>
                <w:sz w:val="17"/>
                <w:szCs w:val="17"/>
                <w:lang w:val="hr-HR"/>
              </w:rPr>
            </w:pPr>
          </w:p>
        </w:tc>
      </w:tr>
      <w:tr w:rsidR="000F37EF" w:rsidRPr="00FD645D" w14:paraId="3726175B" w14:textId="77777777" w:rsidTr="000F37EF">
        <w:trPr>
          <w:trHeight w:val="203"/>
        </w:trPr>
        <w:tc>
          <w:tcPr>
            <w:tcW w:w="1554" w:type="pct"/>
            <w:vAlign w:val="bottom"/>
          </w:tcPr>
          <w:p w14:paraId="264AF94B"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Osnivački kapital</w:t>
            </w:r>
          </w:p>
        </w:tc>
        <w:tc>
          <w:tcPr>
            <w:tcW w:w="506" w:type="pct"/>
            <w:vAlign w:val="bottom"/>
          </w:tcPr>
          <w:p w14:paraId="254A783B"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585" w:type="pct"/>
            <w:vAlign w:val="bottom"/>
          </w:tcPr>
          <w:p w14:paraId="34F33BF0"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571" w:type="pct"/>
            <w:vAlign w:val="bottom"/>
          </w:tcPr>
          <w:p w14:paraId="724F2B1E"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572" w:type="pct"/>
            <w:vAlign w:val="bottom"/>
          </w:tcPr>
          <w:p w14:paraId="6236224C"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643" w:type="pct"/>
            <w:tcBorders>
              <w:top w:val="nil"/>
              <w:left w:val="nil"/>
              <w:bottom w:val="nil"/>
              <w:right w:val="nil"/>
            </w:tcBorders>
            <w:shd w:val="clear" w:color="auto" w:fill="auto"/>
            <w:vAlign w:val="bottom"/>
          </w:tcPr>
          <w:p w14:paraId="51CE95F3" w14:textId="77777777" w:rsidR="000F37EF" w:rsidRPr="00FD645D" w:rsidRDefault="000F37EF" w:rsidP="000F37EF">
            <w:pPr>
              <w:spacing w:after="0" w:line="240" w:lineRule="auto"/>
              <w:jc w:val="right"/>
              <w:rPr>
                <w:rFonts w:cs="Arial"/>
                <w:sz w:val="17"/>
                <w:szCs w:val="17"/>
              </w:rPr>
            </w:pPr>
            <w:r w:rsidRPr="00730151">
              <w:rPr>
                <w:rFonts w:cs="Arial"/>
                <w:sz w:val="18"/>
                <w:szCs w:val="18"/>
              </w:rPr>
              <w:t>6.959.632</w:t>
            </w:r>
          </w:p>
        </w:tc>
        <w:tc>
          <w:tcPr>
            <w:tcW w:w="569" w:type="pct"/>
            <w:tcBorders>
              <w:top w:val="nil"/>
              <w:left w:val="nil"/>
              <w:bottom w:val="nil"/>
            </w:tcBorders>
            <w:shd w:val="clear" w:color="auto" w:fill="auto"/>
            <w:vAlign w:val="bottom"/>
          </w:tcPr>
          <w:p w14:paraId="7D5B6B08" w14:textId="77777777" w:rsidR="000F37EF" w:rsidRPr="00FD645D" w:rsidRDefault="000F37EF" w:rsidP="000F37EF">
            <w:pPr>
              <w:spacing w:after="0" w:line="240" w:lineRule="auto"/>
              <w:jc w:val="right"/>
              <w:rPr>
                <w:rFonts w:cs="Arial"/>
                <w:sz w:val="17"/>
                <w:szCs w:val="17"/>
              </w:rPr>
            </w:pPr>
            <w:r w:rsidRPr="00730151">
              <w:rPr>
                <w:rFonts w:cs="Arial"/>
                <w:sz w:val="18"/>
                <w:szCs w:val="18"/>
              </w:rPr>
              <w:t>6.959.632</w:t>
            </w:r>
          </w:p>
        </w:tc>
      </w:tr>
      <w:tr w:rsidR="000F37EF" w:rsidRPr="00FD645D" w14:paraId="6717222C" w14:textId="77777777" w:rsidTr="000F37EF">
        <w:trPr>
          <w:trHeight w:val="227"/>
        </w:trPr>
        <w:tc>
          <w:tcPr>
            <w:tcW w:w="1554" w:type="pct"/>
          </w:tcPr>
          <w:p w14:paraId="4B5AC4DE"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Zadržana dobit i rezerve</w:t>
            </w:r>
          </w:p>
        </w:tc>
        <w:tc>
          <w:tcPr>
            <w:tcW w:w="506" w:type="pct"/>
            <w:vAlign w:val="bottom"/>
          </w:tcPr>
          <w:p w14:paraId="743F4513"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585" w:type="pct"/>
            <w:vAlign w:val="bottom"/>
          </w:tcPr>
          <w:p w14:paraId="3A49CE3B"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571" w:type="pct"/>
            <w:vAlign w:val="bottom"/>
          </w:tcPr>
          <w:p w14:paraId="3C798FAA"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572" w:type="pct"/>
            <w:vAlign w:val="bottom"/>
          </w:tcPr>
          <w:p w14:paraId="1E894B9F"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643" w:type="pct"/>
            <w:tcBorders>
              <w:top w:val="nil"/>
              <w:left w:val="nil"/>
              <w:bottom w:val="nil"/>
              <w:right w:val="nil"/>
            </w:tcBorders>
            <w:shd w:val="clear" w:color="auto" w:fill="auto"/>
            <w:vAlign w:val="bottom"/>
          </w:tcPr>
          <w:p w14:paraId="1426C498"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2.682.131</w:t>
            </w:r>
          </w:p>
        </w:tc>
        <w:tc>
          <w:tcPr>
            <w:tcW w:w="569" w:type="pct"/>
            <w:tcBorders>
              <w:top w:val="nil"/>
              <w:left w:val="nil"/>
              <w:bottom w:val="nil"/>
            </w:tcBorders>
            <w:shd w:val="clear" w:color="auto" w:fill="auto"/>
            <w:vAlign w:val="bottom"/>
          </w:tcPr>
          <w:p w14:paraId="2E50A6AE"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2.682.131</w:t>
            </w:r>
          </w:p>
        </w:tc>
      </w:tr>
      <w:tr w:rsidR="000F37EF" w:rsidRPr="00FD645D" w14:paraId="47222BE9" w14:textId="77777777" w:rsidTr="000F37EF">
        <w:trPr>
          <w:trHeight w:val="227"/>
        </w:trPr>
        <w:tc>
          <w:tcPr>
            <w:tcW w:w="1554" w:type="pct"/>
          </w:tcPr>
          <w:p w14:paraId="7D86DE54"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Ostale rezerve</w:t>
            </w:r>
          </w:p>
        </w:tc>
        <w:tc>
          <w:tcPr>
            <w:tcW w:w="506" w:type="pct"/>
            <w:vAlign w:val="bottom"/>
          </w:tcPr>
          <w:p w14:paraId="3A0C2F62"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585" w:type="pct"/>
            <w:vAlign w:val="bottom"/>
          </w:tcPr>
          <w:p w14:paraId="0082879D"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571" w:type="pct"/>
            <w:vAlign w:val="bottom"/>
          </w:tcPr>
          <w:p w14:paraId="2A9950AD"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572" w:type="pct"/>
            <w:vAlign w:val="bottom"/>
          </w:tcPr>
          <w:p w14:paraId="56B8D0FE"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643" w:type="pct"/>
            <w:tcBorders>
              <w:top w:val="nil"/>
              <w:left w:val="nil"/>
              <w:right w:val="nil"/>
            </w:tcBorders>
            <w:shd w:val="clear" w:color="auto" w:fill="auto"/>
            <w:vAlign w:val="bottom"/>
          </w:tcPr>
          <w:p w14:paraId="0B3684F1"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70.317</w:t>
            </w:r>
          </w:p>
        </w:tc>
        <w:tc>
          <w:tcPr>
            <w:tcW w:w="569" w:type="pct"/>
            <w:tcBorders>
              <w:top w:val="nil"/>
              <w:left w:val="nil"/>
            </w:tcBorders>
            <w:shd w:val="clear" w:color="auto" w:fill="auto"/>
            <w:vAlign w:val="bottom"/>
          </w:tcPr>
          <w:p w14:paraId="4596D97B"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70.317</w:t>
            </w:r>
          </w:p>
        </w:tc>
      </w:tr>
      <w:tr w:rsidR="000F37EF" w:rsidRPr="00FD645D" w14:paraId="39F70F16" w14:textId="77777777" w:rsidTr="000F37EF">
        <w:trPr>
          <w:trHeight w:val="227"/>
        </w:trPr>
        <w:tc>
          <w:tcPr>
            <w:tcW w:w="1554" w:type="pct"/>
          </w:tcPr>
          <w:p w14:paraId="04FB5686"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Dobit tekuće godine</w:t>
            </w:r>
          </w:p>
        </w:tc>
        <w:tc>
          <w:tcPr>
            <w:tcW w:w="506" w:type="pct"/>
            <w:tcBorders>
              <w:bottom w:val="single" w:sz="4" w:space="0" w:color="auto"/>
            </w:tcBorders>
            <w:vAlign w:val="bottom"/>
          </w:tcPr>
          <w:p w14:paraId="39331418"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585" w:type="pct"/>
            <w:tcBorders>
              <w:bottom w:val="single" w:sz="4" w:space="0" w:color="auto"/>
            </w:tcBorders>
            <w:vAlign w:val="bottom"/>
          </w:tcPr>
          <w:p w14:paraId="7796A625"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571" w:type="pct"/>
            <w:tcBorders>
              <w:bottom w:val="single" w:sz="4" w:space="0" w:color="auto"/>
            </w:tcBorders>
            <w:vAlign w:val="bottom"/>
          </w:tcPr>
          <w:p w14:paraId="6970D9F1"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572" w:type="pct"/>
            <w:tcBorders>
              <w:bottom w:val="single" w:sz="4" w:space="0" w:color="auto"/>
            </w:tcBorders>
            <w:vAlign w:val="bottom"/>
          </w:tcPr>
          <w:p w14:paraId="2965E02C" w14:textId="77777777" w:rsidR="000F37EF" w:rsidRPr="00FD645D" w:rsidRDefault="000F37EF" w:rsidP="000F37EF">
            <w:pPr>
              <w:spacing w:after="0" w:line="240" w:lineRule="auto"/>
              <w:jc w:val="right"/>
              <w:rPr>
                <w:rFonts w:eastAsia="Arial Unicode MS" w:cs="Arial"/>
                <w:sz w:val="17"/>
                <w:szCs w:val="17"/>
              </w:rPr>
            </w:pPr>
            <w:r w:rsidRPr="00730151">
              <w:rPr>
                <w:rFonts w:eastAsia="Arial Unicode MS" w:cs="Arial"/>
                <w:sz w:val="18"/>
                <w:szCs w:val="18"/>
              </w:rPr>
              <w:t>-</w:t>
            </w:r>
          </w:p>
        </w:tc>
        <w:tc>
          <w:tcPr>
            <w:tcW w:w="643" w:type="pct"/>
            <w:tcBorders>
              <w:top w:val="nil"/>
              <w:left w:val="nil"/>
              <w:bottom w:val="single" w:sz="4" w:space="0" w:color="auto"/>
              <w:right w:val="nil"/>
            </w:tcBorders>
            <w:shd w:val="clear" w:color="auto" w:fill="auto"/>
            <w:vAlign w:val="bottom"/>
          </w:tcPr>
          <w:p w14:paraId="4455C7DC" w14:textId="69A346CF" w:rsidR="000F37EF" w:rsidRPr="00FD645D" w:rsidRDefault="000F37EF" w:rsidP="00587A8D">
            <w:pPr>
              <w:spacing w:after="0" w:line="240" w:lineRule="auto"/>
              <w:jc w:val="right"/>
              <w:rPr>
                <w:rFonts w:eastAsia="Arial Unicode MS" w:cs="Arial"/>
                <w:sz w:val="17"/>
                <w:szCs w:val="17"/>
              </w:rPr>
            </w:pPr>
            <w:r w:rsidRPr="00730151">
              <w:rPr>
                <w:rFonts w:cs="Arial"/>
                <w:sz w:val="18"/>
                <w:szCs w:val="18"/>
              </w:rPr>
              <w:t>31</w:t>
            </w:r>
            <w:r w:rsidR="00587A8D">
              <w:rPr>
                <w:rFonts w:cs="Arial"/>
                <w:sz w:val="18"/>
                <w:szCs w:val="18"/>
              </w:rPr>
              <w:t>3</w:t>
            </w:r>
            <w:r w:rsidRPr="00730151">
              <w:rPr>
                <w:rFonts w:cs="Arial"/>
                <w:sz w:val="18"/>
                <w:szCs w:val="18"/>
              </w:rPr>
              <w:t>.525</w:t>
            </w:r>
          </w:p>
        </w:tc>
        <w:tc>
          <w:tcPr>
            <w:tcW w:w="569" w:type="pct"/>
            <w:tcBorders>
              <w:top w:val="nil"/>
              <w:left w:val="nil"/>
              <w:bottom w:val="single" w:sz="4" w:space="0" w:color="auto"/>
            </w:tcBorders>
            <w:shd w:val="clear" w:color="auto" w:fill="auto"/>
            <w:vAlign w:val="bottom"/>
          </w:tcPr>
          <w:p w14:paraId="29E10E87" w14:textId="3487D854" w:rsidR="000F37EF" w:rsidRPr="00FD645D" w:rsidRDefault="000F37EF" w:rsidP="00587A8D">
            <w:pPr>
              <w:spacing w:after="0" w:line="240" w:lineRule="auto"/>
              <w:jc w:val="right"/>
              <w:rPr>
                <w:rFonts w:eastAsia="Arial Unicode MS" w:cs="Arial"/>
                <w:sz w:val="17"/>
                <w:szCs w:val="17"/>
              </w:rPr>
            </w:pPr>
            <w:r w:rsidRPr="00730151">
              <w:rPr>
                <w:rFonts w:cs="Arial"/>
                <w:sz w:val="18"/>
                <w:szCs w:val="18"/>
              </w:rPr>
              <w:t>31</w:t>
            </w:r>
            <w:r w:rsidR="00587A8D">
              <w:rPr>
                <w:rFonts w:cs="Arial"/>
                <w:sz w:val="18"/>
                <w:szCs w:val="18"/>
              </w:rPr>
              <w:t>3</w:t>
            </w:r>
            <w:r w:rsidRPr="00730151">
              <w:rPr>
                <w:rFonts w:cs="Arial"/>
                <w:sz w:val="18"/>
                <w:szCs w:val="18"/>
              </w:rPr>
              <w:t>.525</w:t>
            </w:r>
          </w:p>
        </w:tc>
      </w:tr>
      <w:tr w:rsidR="000F37EF" w:rsidRPr="00FD645D" w14:paraId="6D3D3CEE" w14:textId="77777777" w:rsidTr="000F37EF">
        <w:trPr>
          <w:trHeight w:val="387"/>
        </w:trPr>
        <w:tc>
          <w:tcPr>
            <w:tcW w:w="1554" w:type="pct"/>
            <w:vAlign w:val="center"/>
          </w:tcPr>
          <w:p w14:paraId="560A81C1" w14:textId="77777777" w:rsidR="000F37EF" w:rsidRPr="00FD645D" w:rsidRDefault="000F37EF" w:rsidP="000F37EF">
            <w:pPr>
              <w:pStyle w:val="TT"/>
              <w:spacing w:line="240" w:lineRule="auto"/>
              <w:rPr>
                <w:rFonts w:asciiTheme="minorHAnsi" w:hAnsiTheme="minorHAnsi" w:cs="Arial"/>
                <w:b/>
                <w:bCs/>
                <w:sz w:val="17"/>
                <w:szCs w:val="17"/>
                <w:lang w:val="hr-HR"/>
              </w:rPr>
            </w:pPr>
            <w:r w:rsidRPr="00FD645D">
              <w:rPr>
                <w:rFonts w:asciiTheme="minorHAnsi" w:hAnsiTheme="minorHAnsi" w:cs="Arial"/>
                <w:b/>
                <w:bCs/>
                <w:sz w:val="17"/>
                <w:szCs w:val="17"/>
                <w:lang w:val="hr-HR"/>
              </w:rPr>
              <w:t xml:space="preserve">Ukupni kapital </w:t>
            </w:r>
          </w:p>
        </w:tc>
        <w:tc>
          <w:tcPr>
            <w:tcW w:w="506" w:type="pct"/>
            <w:tcBorders>
              <w:top w:val="single" w:sz="4" w:space="0" w:color="auto"/>
              <w:bottom w:val="single" w:sz="12" w:space="0" w:color="auto"/>
            </w:tcBorders>
            <w:vAlign w:val="center"/>
          </w:tcPr>
          <w:p w14:paraId="6C209CE1" w14:textId="77777777" w:rsidR="000F37EF" w:rsidRPr="00FD645D" w:rsidRDefault="000F37EF" w:rsidP="000F37EF">
            <w:pPr>
              <w:pStyle w:val="Tot"/>
              <w:tabs>
                <w:tab w:val="clear" w:pos="1202"/>
              </w:tabs>
              <w:spacing w:line="240" w:lineRule="auto"/>
              <w:jc w:val="right"/>
              <w:rPr>
                <w:rFonts w:asciiTheme="minorHAnsi" w:hAnsiTheme="minorHAnsi" w:cs="Arial"/>
                <w:b/>
                <w:bCs/>
                <w:sz w:val="17"/>
                <w:szCs w:val="17"/>
                <w:lang w:val="hr-HR"/>
              </w:rPr>
            </w:pPr>
            <w:r w:rsidRPr="00730151">
              <w:rPr>
                <w:rFonts w:asciiTheme="minorHAnsi" w:hAnsiTheme="minorHAnsi" w:cs="Arial"/>
                <w:b/>
                <w:bCs/>
                <w:sz w:val="18"/>
                <w:szCs w:val="18"/>
                <w:lang w:val="hr-HR"/>
              </w:rPr>
              <w:t>-</w:t>
            </w:r>
          </w:p>
        </w:tc>
        <w:tc>
          <w:tcPr>
            <w:tcW w:w="585" w:type="pct"/>
            <w:tcBorders>
              <w:top w:val="single" w:sz="4" w:space="0" w:color="auto"/>
              <w:bottom w:val="single" w:sz="12" w:space="0" w:color="auto"/>
            </w:tcBorders>
            <w:vAlign w:val="center"/>
          </w:tcPr>
          <w:p w14:paraId="3A2F66CA" w14:textId="77777777" w:rsidR="000F37EF" w:rsidRPr="00FD645D" w:rsidRDefault="000F37EF" w:rsidP="000F37EF">
            <w:pPr>
              <w:pStyle w:val="Tot"/>
              <w:tabs>
                <w:tab w:val="clear" w:pos="1202"/>
              </w:tabs>
              <w:spacing w:line="240" w:lineRule="auto"/>
              <w:jc w:val="right"/>
              <w:rPr>
                <w:rFonts w:asciiTheme="minorHAnsi" w:hAnsiTheme="minorHAnsi" w:cs="Arial"/>
                <w:b/>
                <w:bCs/>
                <w:sz w:val="17"/>
                <w:szCs w:val="17"/>
                <w:lang w:val="hr-HR"/>
              </w:rPr>
            </w:pPr>
            <w:r w:rsidRPr="00730151">
              <w:rPr>
                <w:rFonts w:asciiTheme="minorHAnsi" w:hAnsiTheme="minorHAnsi" w:cs="Arial"/>
                <w:b/>
                <w:bCs/>
                <w:sz w:val="18"/>
                <w:szCs w:val="18"/>
                <w:lang w:val="hr-HR"/>
              </w:rPr>
              <w:t>-</w:t>
            </w:r>
          </w:p>
        </w:tc>
        <w:tc>
          <w:tcPr>
            <w:tcW w:w="571" w:type="pct"/>
            <w:tcBorders>
              <w:top w:val="single" w:sz="4" w:space="0" w:color="auto"/>
              <w:bottom w:val="single" w:sz="12" w:space="0" w:color="auto"/>
            </w:tcBorders>
            <w:vAlign w:val="center"/>
          </w:tcPr>
          <w:p w14:paraId="47872162" w14:textId="77777777" w:rsidR="000F37EF" w:rsidRPr="00FD645D" w:rsidRDefault="000F37EF" w:rsidP="000F37EF">
            <w:pPr>
              <w:pStyle w:val="Tot"/>
              <w:tabs>
                <w:tab w:val="clear" w:pos="1202"/>
              </w:tabs>
              <w:spacing w:line="240" w:lineRule="auto"/>
              <w:jc w:val="right"/>
              <w:rPr>
                <w:rFonts w:asciiTheme="minorHAnsi" w:hAnsiTheme="minorHAnsi" w:cs="Arial"/>
                <w:b/>
                <w:bCs/>
                <w:sz w:val="17"/>
                <w:szCs w:val="17"/>
                <w:lang w:val="hr-HR"/>
              </w:rPr>
            </w:pPr>
            <w:r w:rsidRPr="00730151">
              <w:rPr>
                <w:rFonts w:asciiTheme="minorHAnsi" w:hAnsiTheme="minorHAnsi" w:cs="Arial"/>
                <w:b/>
                <w:bCs/>
                <w:sz w:val="18"/>
                <w:szCs w:val="18"/>
                <w:lang w:val="hr-HR"/>
              </w:rPr>
              <w:t>-</w:t>
            </w:r>
          </w:p>
        </w:tc>
        <w:tc>
          <w:tcPr>
            <w:tcW w:w="572" w:type="pct"/>
            <w:tcBorders>
              <w:top w:val="single" w:sz="4" w:space="0" w:color="auto"/>
              <w:bottom w:val="single" w:sz="12" w:space="0" w:color="auto"/>
            </w:tcBorders>
            <w:vAlign w:val="center"/>
          </w:tcPr>
          <w:p w14:paraId="261889D0" w14:textId="77777777" w:rsidR="000F37EF" w:rsidRPr="00FD645D" w:rsidRDefault="000F37EF" w:rsidP="000F37EF">
            <w:pPr>
              <w:pStyle w:val="Tot"/>
              <w:tabs>
                <w:tab w:val="clear" w:pos="1202"/>
              </w:tabs>
              <w:spacing w:line="240" w:lineRule="auto"/>
              <w:jc w:val="right"/>
              <w:rPr>
                <w:rFonts w:asciiTheme="minorHAnsi" w:hAnsiTheme="minorHAnsi" w:cs="Arial"/>
                <w:b/>
                <w:bCs/>
                <w:sz w:val="17"/>
                <w:szCs w:val="17"/>
                <w:lang w:val="hr-HR"/>
              </w:rPr>
            </w:pPr>
            <w:r w:rsidRPr="00730151">
              <w:rPr>
                <w:rFonts w:asciiTheme="minorHAnsi" w:hAnsiTheme="minorHAnsi" w:cs="Arial"/>
                <w:b/>
                <w:bCs/>
                <w:sz w:val="18"/>
                <w:szCs w:val="18"/>
                <w:lang w:val="hr-HR"/>
              </w:rPr>
              <w:t>-</w:t>
            </w:r>
          </w:p>
        </w:tc>
        <w:tc>
          <w:tcPr>
            <w:tcW w:w="643" w:type="pct"/>
            <w:tcBorders>
              <w:top w:val="single" w:sz="4" w:space="0" w:color="auto"/>
              <w:left w:val="nil"/>
              <w:bottom w:val="single" w:sz="4" w:space="0" w:color="auto"/>
              <w:right w:val="nil"/>
            </w:tcBorders>
            <w:shd w:val="clear" w:color="auto" w:fill="auto"/>
            <w:vAlign w:val="center"/>
          </w:tcPr>
          <w:p w14:paraId="166BC8E8"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10.025.605</w:t>
            </w:r>
          </w:p>
        </w:tc>
        <w:tc>
          <w:tcPr>
            <w:tcW w:w="569" w:type="pct"/>
            <w:tcBorders>
              <w:top w:val="single" w:sz="4" w:space="0" w:color="auto"/>
              <w:left w:val="nil"/>
              <w:bottom w:val="single" w:sz="4" w:space="0" w:color="auto"/>
            </w:tcBorders>
            <w:shd w:val="clear" w:color="auto" w:fill="auto"/>
            <w:vAlign w:val="center"/>
          </w:tcPr>
          <w:p w14:paraId="400725AD"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10.025.605</w:t>
            </w:r>
          </w:p>
        </w:tc>
      </w:tr>
      <w:tr w:rsidR="000F37EF" w:rsidRPr="00FD645D" w14:paraId="2B5FCEB3" w14:textId="77777777" w:rsidTr="000F37EF">
        <w:trPr>
          <w:trHeight w:hRule="exact" w:val="395"/>
        </w:trPr>
        <w:tc>
          <w:tcPr>
            <w:tcW w:w="1554" w:type="pct"/>
            <w:vAlign w:val="bottom"/>
          </w:tcPr>
          <w:p w14:paraId="6157638E" w14:textId="77777777" w:rsidR="000F37EF" w:rsidRPr="00FD645D" w:rsidRDefault="000F37EF" w:rsidP="000F37EF">
            <w:pPr>
              <w:pStyle w:val="TT"/>
              <w:spacing w:line="240" w:lineRule="auto"/>
              <w:rPr>
                <w:rFonts w:asciiTheme="minorHAnsi" w:hAnsiTheme="minorHAnsi" w:cs="Arial"/>
                <w:sz w:val="17"/>
                <w:szCs w:val="17"/>
                <w:lang w:val="hr-HR"/>
              </w:rPr>
            </w:pPr>
            <w:r w:rsidRPr="00FD645D">
              <w:rPr>
                <w:rFonts w:asciiTheme="minorHAnsi" w:hAnsiTheme="minorHAnsi" w:cs="Arial"/>
                <w:sz w:val="17"/>
                <w:szCs w:val="17"/>
                <w:lang w:val="hr-HR"/>
              </w:rPr>
              <w:t>Garantni fond</w:t>
            </w:r>
          </w:p>
        </w:tc>
        <w:tc>
          <w:tcPr>
            <w:tcW w:w="506" w:type="pct"/>
            <w:tcBorders>
              <w:top w:val="single" w:sz="12" w:space="0" w:color="auto"/>
              <w:left w:val="nil"/>
              <w:bottom w:val="single" w:sz="4" w:space="0" w:color="auto"/>
              <w:right w:val="nil"/>
            </w:tcBorders>
            <w:shd w:val="clear" w:color="auto" w:fill="auto"/>
            <w:vAlign w:val="bottom"/>
          </w:tcPr>
          <w:p w14:paraId="70932A68" w14:textId="77777777" w:rsidR="000F37EF" w:rsidRPr="00FD645D" w:rsidRDefault="000F37EF" w:rsidP="000F37EF">
            <w:pPr>
              <w:pStyle w:val="TT"/>
              <w:spacing w:line="240" w:lineRule="auto"/>
              <w:jc w:val="right"/>
              <w:rPr>
                <w:rFonts w:asciiTheme="minorHAnsi" w:hAnsiTheme="minorHAnsi" w:cs="Arial"/>
                <w:spacing w:val="-2"/>
                <w:sz w:val="17"/>
                <w:szCs w:val="17"/>
                <w:lang w:val="hr-HR"/>
              </w:rPr>
            </w:pPr>
            <w:r w:rsidRPr="00730151">
              <w:rPr>
                <w:rFonts w:asciiTheme="minorHAnsi" w:hAnsiTheme="minorHAnsi" w:cs="Arial"/>
                <w:sz w:val="18"/>
                <w:szCs w:val="18"/>
              </w:rPr>
              <w:t>-</w:t>
            </w:r>
          </w:p>
        </w:tc>
        <w:tc>
          <w:tcPr>
            <w:tcW w:w="585" w:type="pct"/>
            <w:tcBorders>
              <w:top w:val="single" w:sz="12" w:space="0" w:color="auto"/>
              <w:left w:val="nil"/>
              <w:bottom w:val="single" w:sz="4" w:space="0" w:color="auto"/>
              <w:right w:val="nil"/>
            </w:tcBorders>
            <w:shd w:val="clear" w:color="auto" w:fill="auto"/>
            <w:vAlign w:val="bottom"/>
          </w:tcPr>
          <w:p w14:paraId="58CEC03B"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12.375</w:t>
            </w:r>
          </w:p>
        </w:tc>
        <w:tc>
          <w:tcPr>
            <w:tcW w:w="571" w:type="pct"/>
            <w:tcBorders>
              <w:top w:val="single" w:sz="12" w:space="0" w:color="auto"/>
              <w:left w:val="nil"/>
              <w:bottom w:val="single" w:sz="4" w:space="0" w:color="auto"/>
              <w:right w:val="nil"/>
            </w:tcBorders>
            <w:shd w:val="clear" w:color="auto" w:fill="auto"/>
            <w:vAlign w:val="bottom"/>
          </w:tcPr>
          <w:p w14:paraId="0EB1795E"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72" w:type="pct"/>
            <w:tcBorders>
              <w:top w:val="single" w:sz="12" w:space="0" w:color="auto"/>
              <w:left w:val="nil"/>
              <w:bottom w:val="single" w:sz="4" w:space="0" w:color="auto"/>
              <w:right w:val="nil"/>
            </w:tcBorders>
            <w:shd w:val="clear" w:color="auto" w:fill="auto"/>
            <w:vAlign w:val="bottom"/>
          </w:tcPr>
          <w:p w14:paraId="4989CE22"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12.375</w:t>
            </w:r>
          </w:p>
        </w:tc>
        <w:tc>
          <w:tcPr>
            <w:tcW w:w="643" w:type="pct"/>
            <w:tcBorders>
              <w:top w:val="single" w:sz="12" w:space="0" w:color="auto"/>
              <w:left w:val="nil"/>
              <w:bottom w:val="single" w:sz="4" w:space="0" w:color="auto"/>
              <w:right w:val="nil"/>
            </w:tcBorders>
            <w:shd w:val="clear" w:color="auto" w:fill="auto"/>
            <w:vAlign w:val="bottom"/>
          </w:tcPr>
          <w:p w14:paraId="46B5D707"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w:t>
            </w:r>
          </w:p>
        </w:tc>
        <w:tc>
          <w:tcPr>
            <w:tcW w:w="569" w:type="pct"/>
            <w:tcBorders>
              <w:top w:val="single" w:sz="12" w:space="0" w:color="auto"/>
              <w:left w:val="nil"/>
              <w:bottom w:val="single" w:sz="4" w:space="0" w:color="auto"/>
            </w:tcBorders>
            <w:shd w:val="clear" w:color="auto" w:fill="auto"/>
            <w:vAlign w:val="bottom"/>
          </w:tcPr>
          <w:p w14:paraId="4906F7DE" w14:textId="77777777" w:rsidR="000F37EF" w:rsidRPr="00FD645D" w:rsidRDefault="000F37EF" w:rsidP="000F37EF">
            <w:pPr>
              <w:spacing w:after="0" w:line="240" w:lineRule="auto"/>
              <w:jc w:val="right"/>
              <w:rPr>
                <w:rFonts w:eastAsia="Arial Unicode MS" w:cs="Arial"/>
                <w:sz w:val="17"/>
                <w:szCs w:val="17"/>
              </w:rPr>
            </w:pPr>
            <w:r w:rsidRPr="00730151">
              <w:rPr>
                <w:rFonts w:cs="Arial"/>
                <w:sz w:val="18"/>
                <w:szCs w:val="18"/>
              </w:rPr>
              <w:t>12.375</w:t>
            </w:r>
          </w:p>
        </w:tc>
      </w:tr>
      <w:tr w:rsidR="000F37EF" w:rsidRPr="00FD645D" w14:paraId="2007C127" w14:textId="77777777" w:rsidTr="000F37EF">
        <w:trPr>
          <w:trHeight w:hRule="exact" w:val="311"/>
        </w:trPr>
        <w:tc>
          <w:tcPr>
            <w:tcW w:w="1554" w:type="pct"/>
            <w:vAlign w:val="bottom"/>
          </w:tcPr>
          <w:p w14:paraId="158974B5" w14:textId="77777777" w:rsidR="000F37EF" w:rsidRPr="00FD645D" w:rsidRDefault="000F37EF" w:rsidP="000F37EF">
            <w:pPr>
              <w:spacing w:after="0" w:line="240" w:lineRule="auto"/>
              <w:rPr>
                <w:rFonts w:cs="Arial"/>
                <w:b/>
                <w:bCs/>
                <w:sz w:val="17"/>
                <w:szCs w:val="17"/>
              </w:rPr>
            </w:pPr>
            <w:r w:rsidRPr="00FD645D">
              <w:rPr>
                <w:rFonts w:cs="Arial"/>
                <w:b/>
                <w:bCs/>
                <w:sz w:val="17"/>
                <w:szCs w:val="17"/>
              </w:rPr>
              <w:t>Ukupna glavnica</w:t>
            </w:r>
          </w:p>
        </w:tc>
        <w:tc>
          <w:tcPr>
            <w:tcW w:w="506" w:type="pct"/>
            <w:tcBorders>
              <w:top w:val="single" w:sz="4" w:space="0" w:color="auto"/>
              <w:left w:val="nil"/>
              <w:bottom w:val="single" w:sz="4" w:space="0" w:color="auto"/>
              <w:right w:val="nil"/>
            </w:tcBorders>
            <w:shd w:val="clear" w:color="auto" w:fill="auto"/>
            <w:vAlign w:val="bottom"/>
          </w:tcPr>
          <w:p w14:paraId="554F08C3" w14:textId="77777777" w:rsidR="000F37EF" w:rsidRPr="00FD645D" w:rsidRDefault="000F37EF" w:rsidP="000F37EF">
            <w:pPr>
              <w:pStyle w:val="Tot"/>
              <w:spacing w:line="240" w:lineRule="auto"/>
              <w:jc w:val="right"/>
              <w:rPr>
                <w:rFonts w:asciiTheme="minorHAnsi" w:hAnsiTheme="minorHAnsi" w:cs="Arial"/>
                <w:b/>
                <w:bCs/>
                <w:spacing w:val="-2"/>
                <w:sz w:val="17"/>
                <w:szCs w:val="17"/>
                <w:lang w:val="hr-HR"/>
              </w:rPr>
            </w:pPr>
            <w:r w:rsidRPr="00730151">
              <w:rPr>
                <w:rFonts w:asciiTheme="minorHAnsi" w:hAnsiTheme="minorHAnsi" w:cs="Arial"/>
                <w:b/>
                <w:sz w:val="18"/>
                <w:szCs w:val="18"/>
              </w:rPr>
              <w:t>-</w:t>
            </w:r>
          </w:p>
        </w:tc>
        <w:tc>
          <w:tcPr>
            <w:tcW w:w="585" w:type="pct"/>
            <w:tcBorders>
              <w:top w:val="single" w:sz="4" w:space="0" w:color="auto"/>
              <w:left w:val="nil"/>
              <w:bottom w:val="single" w:sz="4" w:space="0" w:color="auto"/>
              <w:right w:val="nil"/>
            </w:tcBorders>
            <w:shd w:val="clear" w:color="auto" w:fill="auto"/>
            <w:vAlign w:val="bottom"/>
          </w:tcPr>
          <w:p w14:paraId="541005D8"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12.375</w:t>
            </w:r>
          </w:p>
        </w:tc>
        <w:tc>
          <w:tcPr>
            <w:tcW w:w="571" w:type="pct"/>
            <w:tcBorders>
              <w:top w:val="single" w:sz="4" w:space="0" w:color="auto"/>
              <w:left w:val="nil"/>
              <w:bottom w:val="single" w:sz="4" w:space="0" w:color="auto"/>
              <w:right w:val="nil"/>
            </w:tcBorders>
            <w:shd w:val="clear" w:color="auto" w:fill="auto"/>
            <w:vAlign w:val="bottom"/>
          </w:tcPr>
          <w:p w14:paraId="05BD039E"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w:t>
            </w:r>
          </w:p>
        </w:tc>
        <w:tc>
          <w:tcPr>
            <w:tcW w:w="572" w:type="pct"/>
            <w:tcBorders>
              <w:top w:val="single" w:sz="4" w:space="0" w:color="auto"/>
              <w:left w:val="nil"/>
              <w:bottom w:val="single" w:sz="4" w:space="0" w:color="auto"/>
              <w:right w:val="nil"/>
            </w:tcBorders>
            <w:shd w:val="clear" w:color="auto" w:fill="auto"/>
            <w:vAlign w:val="bottom"/>
          </w:tcPr>
          <w:p w14:paraId="3F407733"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12.375</w:t>
            </w:r>
          </w:p>
        </w:tc>
        <w:tc>
          <w:tcPr>
            <w:tcW w:w="643" w:type="pct"/>
            <w:tcBorders>
              <w:top w:val="single" w:sz="4" w:space="0" w:color="auto"/>
              <w:left w:val="nil"/>
              <w:bottom w:val="single" w:sz="4" w:space="0" w:color="auto"/>
              <w:right w:val="nil"/>
            </w:tcBorders>
            <w:shd w:val="clear" w:color="auto" w:fill="auto"/>
            <w:vAlign w:val="bottom"/>
          </w:tcPr>
          <w:p w14:paraId="2729BF36"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10.025.605</w:t>
            </w:r>
          </w:p>
        </w:tc>
        <w:tc>
          <w:tcPr>
            <w:tcW w:w="569" w:type="pct"/>
            <w:tcBorders>
              <w:top w:val="single" w:sz="4" w:space="0" w:color="auto"/>
              <w:left w:val="nil"/>
              <w:bottom w:val="single" w:sz="4" w:space="0" w:color="auto"/>
            </w:tcBorders>
            <w:shd w:val="clear" w:color="auto" w:fill="auto"/>
            <w:vAlign w:val="bottom"/>
          </w:tcPr>
          <w:p w14:paraId="079952BD"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10.037.980</w:t>
            </w:r>
          </w:p>
        </w:tc>
      </w:tr>
      <w:tr w:rsidR="000F37EF" w:rsidRPr="00FD645D" w14:paraId="3B29AADF" w14:textId="77777777" w:rsidTr="000F37EF">
        <w:trPr>
          <w:trHeight w:val="305"/>
        </w:trPr>
        <w:tc>
          <w:tcPr>
            <w:tcW w:w="1554" w:type="pct"/>
            <w:vAlign w:val="center"/>
          </w:tcPr>
          <w:p w14:paraId="6489BA40" w14:textId="77777777" w:rsidR="000F37EF" w:rsidRPr="00FD645D" w:rsidRDefault="000F37EF" w:rsidP="000F37EF">
            <w:pPr>
              <w:spacing w:after="0" w:line="240" w:lineRule="auto"/>
              <w:rPr>
                <w:rFonts w:cs="Arial"/>
                <w:b/>
                <w:bCs/>
                <w:sz w:val="17"/>
                <w:szCs w:val="17"/>
              </w:rPr>
            </w:pPr>
            <w:r w:rsidRPr="00FD645D">
              <w:rPr>
                <w:rFonts w:cs="Arial"/>
                <w:b/>
                <w:bCs/>
                <w:sz w:val="17"/>
                <w:szCs w:val="17"/>
              </w:rPr>
              <w:t>Ukupne obveze i glavnica (2)</w:t>
            </w:r>
          </w:p>
        </w:tc>
        <w:tc>
          <w:tcPr>
            <w:tcW w:w="506" w:type="pct"/>
            <w:tcBorders>
              <w:top w:val="single" w:sz="4" w:space="0" w:color="auto"/>
              <w:left w:val="nil"/>
              <w:bottom w:val="single" w:sz="12" w:space="0" w:color="auto"/>
              <w:right w:val="nil"/>
            </w:tcBorders>
            <w:shd w:val="clear" w:color="auto" w:fill="auto"/>
            <w:vAlign w:val="center"/>
          </w:tcPr>
          <w:p w14:paraId="12BB153A"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363.813</w:t>
            </w:r>
          </w:p>
        </w:tc>
        <w:tc>
          <w:tcPr>
            <w:tcW w:w="585" w:type="pct"/>
            <w:tcBorders>
              <w:top w:val="single" w:sz="4" w:space="0" w:color="auto"/>
              <w:left w:val="nil"/>
              <w:bottom w:val="single" w:sz="12" w:space="0" w:color="auto"/>
              <w:right w:val="nil"/>
            </w:tcBorders>
            <w:shd w:val="clear" w:color="auto" w:fill="auto"/>
            <w:vAlign w:val="center"/>
          </w:tcPr>
          <w:p w14:paraId="2E29FBBB"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16.239.933</w:t>
            </w:r>
          </w:p>
        </w:tc>
        <w:tc>
          <w:tcPr>
            <w:tcW w:w="571" w:type="pct"/>
            <w:tcBorders>
              <w:top w:val="single" w:sz="4" w:space="0" w:color="auto"/>
              <w:left w:val="nil"/>
              <w:bottom w:val="single" w:sz="12" w:space="0" w:color="auto"/>
              <w:right w:val="nil"/>
            </w:tcBorders>
            <w:shd w:val="clear" w:color="auto" w:fill="auto"/>
            <w:vAlign w:val="center"/>
          </w:tcPr>
          <w:p w14:paraId="1BAB0E7A"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6.299</w:t>
            </w:r>
          </w:p>
        </w:tc>
        <w:tc>
          <w:tcPr>
            <w:tcW w:w="572" w:type="pct"/>
            <w:tcBorders>
              <w:top w:val="single" w:sz="4" w:space="0" w:color="auto"/>
              <w:left w:val="nil"/>
              <w:bottom w:val="single" w:sz="12" w:space="0" w:color="auto"/>
              <w:right w:val="nil"/>
            </w:tcBorders>
            <w:shd w:val="clear" w:color="auto" w:fill="auto"/>
            <w:vAlign w:val="center"/>
          </w:tcPr>
          <w:p w14:paraId="0C57141F"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16.610.045</w:t>
            </w:r>
          </w:p>
        </w:tc>
        <w:tc>
          <w:tcPr>
            <w:tcW w:w="643" w:type="pct"/>
            <w:tcBorders>
              <w:top w:val="single" w:sz="4" w:space="0" w:color="auto"/>
              <w:left w:val="nil"/>
              <w:bottom w:val="single" w:sz="12" w:space="0" w:color="auto"/>
              <w:right w:val="nil"/>
            </w:tcBorders>
            <w:shd w:val="clear" w:color="auto" w:fill="auto"/>
            <w:vAlign w:val="center"/>
          </w:tcPr>
          <w:p w14:paraId="03ABACC7"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10.764.871</w:t>
            </w:r>
          </w:p>
        </w:tc>
        <w:tc>
          <w:tcPr>
            <w:tcW w:w="569" w:type="pct"/>
            <w:tcBorders>
              <w:top w:val="single" w:sz="4" w:space="0" w:color="auto"/>
              <w:left w:val="nil"/>
              <w:bottom w:val="single" w:sz="12" w:space="0" w:color="auto"/>
            </w:tcBorders>
            <w:shd w:val="clear" w:color="auto" w:fill="auto"/>
            <w:vAlign w:val="center"/>
          </w:tcPr>
          <w:p w14:paraId="6C0FF4A7"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27.374.916</w:t>
            </w:r>
          </w:p>
        </w:tc>
      </w:tr>
      <w:tr w:rsidR="000F37EF" w:rsidRPr="00FD645D" w14:paraId="7F020F97" w14:textId="77777777" w:rsidTr="000F37EF">
        <w:trPr>
          <w:trHeight w:val="380"/>
        </w:trPr>
        <w:tc>
          <w:tcPr>
            <w:tcW w:w="1554" w:type="pct"/>
            <w:vAlign w:val="bottom"/>
          </w:tcPr>
          <w:p w14:paraId="488CFEC2" w14:textId="77777777" w:rsidR="000F37EF" w:rsidRPr="00FD645D" w:rsidRDefault="000F37EF" w:rsidP="000F37EF">
            <w:pPr>
              <w:spacing w:after="0" w:line="240" w:lineRule="auto"/>
              <w:rPr>
                <w:rFonts w:cs="Arial"/>
                <w:b/>
                <w:bCs/>
                <w:spacing w:val="-2"/>
                <w:sz w:val="17"/>
                <w:szCs w:val="17"/>
              </w:rPr>
            </w:pPr>
            <w:r w:rsidRPr="00FD645D">
              <w:rPr>
                <w:rFonts w:cs="Arial"/>
                <w:b/>
                <w:bCs/>
                <w:spacing w:val="-2"/>
                <w:sz w:val="17"/>
                <w:szCs w:val="17"/>
              </w:rPr>
              <w:t xml:space="preserve">Neto ukupna </w:t>
            </w:r>
            <w:r w:rsidRPr="00FD645D">
              <w:rPr>
                <w:rFonts w:eastAsia="Arial Unicode MS" w:cs="Arial"/>
                <w:b/>
                <w:bCs/>
                <w:sz w:val="17"/>
                <w:szCs w:val="17"/>
              </w:rPr>
              <w:t>imovina</w:t>
            </w:r>
            <w:r w:rsidRPr="00FD645D">
              <w:rPr>
                <w:rFonts w:cs="Arial"/>
                <w:b/>
                <w:bCs/>
                <w:spacing w:val="-2"/>
                <w:sz w:val="17"/>
                <w:szCs w:val="17"/>
              </w:rPr>
              <w:t>/ukupne obveze i glavnica (1) – (2)</w:t>
            </w:r>
          </w:p>
        </w:tc>
        <w:tc>
          <w:tcPr>
            <w:tcW w:w="506" w:type="pct"/>
            <w:tcBorders>
              <w:top w:val="single" w:sz="12" w:space="0" w:color="auto"/>
              <w:left w:val="nil"/>
              <w:bottom w:val="single" w:sz="12" w:space="0" w:color="auto"/>
              <w:right w:val="nil"/>
            </w:tcBorders>
            <w:shd w:val="clear" w:color="auto" w:fill="auto"/>
            <w:vAlign w:val="bottom"/>
          </w:tcPr>
          <w:p w14:paraId="641638D5"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 xml:space="preserve">200.721 </w:t>
            </w:r>
          </w:p>
        </w:tc>
        <w:tc>
          <w:tcPr>
            <w:tcW w:w="585" w:type="pct"/>
            <w:tcBorders>
              <w:top w:val="single" w:sz="12" w:space="0" w:color="auto"/>
              <w:left w:val="nil"/>
              <w:bottom w:val="single" w:sz="12" w:space="0" w:color="auto"/>
              <w:right w:val="nil"/>
            </w:tcBorders>
            <w:shd w:val="clear" w:color="auto" w:fill="auto"/>
            <w:vAlign w:val="bottom"/>
          </w:tcPr>
          <w:p w14:paraId="438F33D9"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 xml:space="preserve"> (425.264)</w:t>
            </w:r>
          </w:p>
        </w:tc>
        <w:tc>
          <w:tcPr>
            <w:tcW w:w="571" w:type="pct"/>
            <w:tcBorders>
              <w:top w:val="single" w:sz="12" w:space="0" w:color="auto"/>
              <w:left w:val="nil"/>
              <w:bottom w:val="single" w:sz="12" w:space="0" w:color="auto"/>
              <w:right w:val="nil"/>
            </w:tcBorders>
            <w:shd w:val="clear" w:color="auto" w:fill="auto"/>
            <w:vAlign w:val="bottom"/>
          </w:tcPr>
          <w:p w14:paraId="67C4D7F5"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 xml:space="preserve"> (1.424)**</w:t>
            </w:r>
          </w:p>
        </w:tc>
        <w:tc>
          <w:tcPr>
            <w:tcW w:w="572" w:type="pct"/>
            <w:tcBorders>
              <w:top w:val="single" w:sz="12" w:space="0" w:color="auto"/>
              <w:left w:val="nil"/>
              <w:bottom w:val="single" w:sz="12" w:space="0" w:color="auto"/>
              <w:right w:val="nil"/>
            </w:tcBorders>
            <w:shd w:val="clear" w:color="auto" w:fill="auto"/>
            <w:vAlign w:val="bottom"/>
          </w:tcPr>
          <w:p w14:paraId="059DC0D4"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 xml:space="preserve"> (225.967)</w:t>
            </w:r>
          </w:p>
        </w:tc>
        <w:tc>
          <w:tcPr>
            <w:tcW w:w="643" w:type="pct"/>
            <w:tcBorders>
              <w:top w:val="single" w:sz="12" w:space="0" w:color="auto"/>
              <w:left w:val="nil"/>
              <w:bottom w:val="single" w:sz="12" w:space="0" w:color="auto"/>
              <w:right w:val="nil"/>
            </w:tcBorders>
            <w:shd w:val="clear" w:color="auto" w:fill="auto"/>
            <w:vAlign w:val="bottom"/>
          </w:tcPr>
          <w:p w14:paraId="0FFB2AEF"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 xml:space="preserve">225.967 </w:t>
            </w:r>
          </w:p>
        </w:tc>
        <w:tc>
          <w:tcPr>
            <w:tcW w:w="569" w:type="pct"/>
            <w:tcBorders>
              <w:top w:val="single" w:sz="12" w:space="0" w:color="auto"/>
              <w:left w:val="nil"/>
              <w:bottom w:val="single" w:sz="12" w:space="0" w:color="auto"/>
              <w:right w:val="nil"/>
            </w:tcBorders>
            <w:shd w:val="clear" w:color="auto" w:fill="auto"/>
            <w:vAlign w:val="bottom"/>
          </w:tcPr>
          <w:p w14:paraId="31AAC2DB" w14:textId="77777777" w:rsidR="000F37EF" w:rsidRPr="00FD645D" w:rsidRDefault="000F37EF" w:rsidP="000F37EF">
            <w:pPr>
              <w:spacing w:after="0" w:line="240" w:lineRule="auto"/>
              <w:jc w:val="right"/>
              <w:rPr>
                <w:rFonts w:eastAsia="Arial Unicode MS" w:cs="Arial"/>
                <w:b/>
                <w:bCs/>
                <w:sz w:val="17"/>
                <w:szCs w:val="17"/>
              </w:rPr>
            </w:pPr>
            <w:r w:rsidRPr="00730151">
              <w:rPr>
                <w:rFonts w:cs="Arial"/>
                <w:b/>
                <w:sz w:val="18"/>
                <w:szCs w:val="18"/>
              </w:rPr>
              <w:t>-</w:t>
            </w:r>
          </w:p>
        </w:tc>
      </w:tr>
      <w:tr w:rsidR="000F37EF" w:rsidRPr="00FD645D" w14:paraId="45565ADB" w14:textId="77777777" w:rsidTr="000F37EF">
        <w:trPr>
          <w:trHeight w:hRule="exact" w:val="123"/>
        </w:trPr>
        <w:tc>
          <w:tcPr>
            <w:tcW w:w="1554" w:type="pct"/>
            <w:vAlign w:val="bottom"/>
          </w:tcPr>
          <w:p w14:paraId="0D1D115D" w14:textId="77777777" w:rsidR="000F37EF" w:rsidRPr="00FD645D" w:rsidRDefault="000F37EF" w:rsidP="000F37EF">
            <w:pPr>
              <w:pStyle w:val="TH"/>
              <w:spacing w:line="240" w:lineRule="auto"/>
              <w:rPr>
                <w:rFonts w:asciiTheme="minorHAnsi" w:hAnsiTheme="minorHAnsi" w:cs="Arial"/>
                <w:sz w:val="17"/>
                <w:szCs w:val="17"/>
                <w:lang w:val="hr-HR"/>
              </w:rPr>
            </w:pPr>
          </w:p>
        </w:tc>
        <w:tc>
          <w:tcPr>
            <w:tcW w:w="506" w:type="pct"/>
            <w:tcBorders>
              <w:top w:val="single" w:sz="12" w:space="0" w:color="auto"/>
            </w:tcBorders>
          </w:tcPr>
          <w:p w14:paraId="2F2FD9DA" w14:textId="77777777" w:rsidR="000F37EF" w:rsidRPr="00FD645D" w:rsidRDefault="000F37EF" w:rsidP="000F37EF">
            <w:pPr>
              <w:pStyle w:val="TH"/>
              <w:spacing w:line="240" w:lineRule="auto"/>
              <w:jc w:val="right"/>
              <w:rPr>
                <w:rFonts w:asciiTheme="minorHAnsi" w:hAnsiTheme="minorHAnsi" w:cs="Arial"/>
                <w:sz w:val="17"/>
                <w:szCs w:val="17"/>
                <w:lang w:val="hr-HR"/>
              </w:rPr>
            </w:pPr>
          </w:p>
        </w:tc>
        <w:tc>
          <w:tcPr>
            <w:tcW w:w="585" w:type="pct"/>
            <w:tcBorders>
              <w:top w:val="single" w:sz="12" w:space="0" w:color="auto"/>
            </w:tcBorders>
          </w:tcPr>
          <w:p w14:paraId="59C55B75" w14:textId="77777777" w:rsidR="000F37EF" w:rsidRPr="00FD645D" w:rsidRDefault="000F37EF" w:rsidP="000F37EF">
            <w:pPr>
              <w:pStyle w:val="TH"/>
              <w:spacing w:line="240" w:lineRule="auto"/>
              <w:jc w:val="right"/>
              <w:rPr>
                <w:rFonts w:asciiTheme="minorHAnsi" w:hAnsiTheme="minorHAnsi" w:cs="Arial"/>
                <w:sz w:val="17"/>
                <w:szCs w:val="17"/>
                <w:lang w:val="hr-HR"/>
              </w:rPr>
            </w:pPr>
          </w:p>
        </w:tc>
        <w:tc>
          <w:tcPr>
            <w:tcW w:w="571" w:type="pct"/>
            <w:tcBorders>
              <w:top w:val="single" w:sz="12" w:space="0" w:color="auto"/>
            </w:tcBorders>
          </w:tcPr>
          <w:p w14:paraId="03527A7D" w14:textId="77777777" w:rsidR="000F37EF" w:rsidRPr="00FD645D" w:rsidRDefault="000F37EF" w:rsidP="000F37EF">
            <w:pPr>
              <w:pStyle w:val="TH"/>
              <w:spacing w:line="240" w:lineRule="auto"/>
              <w:jc w:val="right"/>
              <w:rPr>
                <w:rFonts w:asciiTheme="minorHAnsi" w:hAnsiTheme="minorHAnsi" w:cs="Arial"/>
                <w:sz w:val="17"/>
                <w:szCs w:val="17"/>
                <w:lang w:val="hr-HR"/>
              </w:rPr>
            </w:pPr>
          </w:p>
        </w:tc>
        <w:tc>
          <w:tcPr>
            <w:tcW w:w="572" w:type="pct"/>
            <w:tcBorders>
              <w:top w:val="single" w:sz="12" w:space="0" w:color="auto"/>
            </w:tcBorders>
          </w:tcPr>
          <w:p w14:paraId="0E31BEDE" w14:textId="77777777" w:rsidR="000F37EF" w:rsidRPr="00FD645D" w:rsidRDefault="000F37EF" w:rsidP="000F37EF">
            <w:pPr>
              <w:pStyle w:val="TH"/>
              <w:spacing w:line="240" w:lineRule="auto"/>
              <w:jc w:val="right"/>
              <w:rPr>
                <w:rFonts w:asciiTheme="minorHAnsi" w:hAnsiTheme="minorHAnsi" w:cs="Arial"/>
                <w:sz w:val="17"/>
                <w:szCs w:val="17"/>
                <w:lang w:val="hr-HR"/>
              </w:rPr>
            </w:pPr>
          </w:p>
        </w:tc>
        <w:tc>
          <w:tcPr>
            <w:tcW w:w="643" w:type="pct"/>
            <w:tcBorders>
              <w:top w:val="single" w:sz="12" w:space="0" w:color="auto"/>
            </w:tcBorders>
          </w:tcPr>
          <w:p w14:paraId="2573F9A2" w14:textId="77777777" w:rsidR="000F37EF" w:rsidRPr="00FD645D" w:rsidRDefault="000F37EF" w:rsidP="000F37EF">
            <w:pPr>
              <w:pStyle w:val="TH"/>
              <w:spacing w:line="240" w:lineRule="auto"/>
              <w:jc w:val="right"/>
              <w:rPr>
                <w:rFonts w:asciiTheme="minorHAnsi" w:hAnsiTheme="minorHAnsi" w:cs="Arial"/>
                <w:sz w:val="17"/>
                <w:szCs w:val="17"/>
                <w:lang w:val="hr-HR"/>
              </w:rPr>
            </w:pPr>
          </w:p>
        </w:tc>
        <w:tc>
          <w:tcPr>
            <w:tcW w:w="569" w:type="pct"/>
            <w:tcBorders>
              <w:top w:val="single" w:sz="12" w:space="0" w:color="auto"/>
            </w:tcBorders>
          </w:tcPr>
          <w:p w14:paraId="6D3C820F" w14:textId="77777777" w:rsidR="000F37EF" w:rsidRPr="00FD645D" w:rsidRDefault="000F37EF" w:rsidP="000F37EF">
            <w:pPr>
              <w:pStyle w:val="TH"/>
              <w:spacing w:line="240" w:lineRule="auto"/>
              <w:rPr>
                <w:rFonts w:asciiTheme="minorHAnsi" w:hAnsiTheme="minorHAnsi" w:cs="Arial"/>
                <w:b w:val="0"/>
                <w:i/>
                <w:sz w:val="17"/>
                <w:szCs w:val="17"/>
                <w:lang w:val="hr-HR"/>
              </w:rPr>
            </w:pPr>
          </w:p>
        </w:tc>
      </w:tr>
    </w:tbl>
    <w:p w14:paraId="0A5EBD7A" w14:textId="77777777" w:rsidR="00063AEF" w:rsidRDefault="00063AEF" w:rsidP="00063AEF">
      <w:pPr>
        <w:pStyle w:val="TT"/>
        <w:spacing w:line="240" w:lineRule="auto"/>
        <w:rPr>
          <w:rFonts w:asciiTheme="minorHAnsi" w:hAnsiTheme="minorHAnsi"/>
          <w:i/>
          <w:sz w:val="18"/>
          <w:szCs w:val="18"/>
          <w:lang w:val="hr-HR"/>
        </w:rPr>
      </w:pPr>
    </w:p>
    <w:p w14:paraId="2791582C" w14:textId="3BC1E7AA" w:rsidR="00F75302" w:rsidRPr="003706C8" w:rsidRDefault="00063AEF" w:rsidP="00682ABB">
      <w:pPr>
        <w:pStyle w:val="TT"/>
        <w:spacing w:line="240" w:lineRule="auto"/>
        <w:jc w:val="both"/>
        <w:rPr>
          <w:rFonts w:asciiTheme="minorHAnsi" w:hAnsiTheme="minorHAnsi"/>
          <w:i/>
          <w:sz w:val="18"/>
          <w:szCs w:val="18"/>
          <w:lang w:val="hr-HR"/>
        </w:rPr>
      </w:pPr>
      <w:r w:rsidRPr="003706C8">
        <w:rPr>
          <w:rFonts w:asciiTheme="minorHAnsi" w:hAnsiTheme="minorHAnsi"/>
          <w:i/>
          <w:sz w:val="18"/>
          <w:szCs w:val="18"/>
          <w:lang w:val="hr-HR"/>
        </w:rPr>
        <w:t xml:space="preserve">*Iznosi vezani uz jednosmjernu valutnu klauzulu iznose </w:t>
      </w:r>
      <w:r w:rsidR="000F37EF" w:rsidRPr="000F37EF">
        <w:rPr>
          <w:rFonts w:asciiTheme="minorHAnsi" w:hAnsiTheme="minorHAnsi"/>
          <w:i/>
          <w:sz w:val="18"/>
          <w:szCs w:val="18"/>
          <w:lang w:val="hr-HR"/>
        </w:rPr>
        <w:t xml:space="preserve">249.278 </w:t>
      </w:r>
      <w:r w:rsidR="00F75302" w:rsidRPr="00F75302">
        <w:rPr>
          <w:rFonts w:asciiTheme="minorHAnsi" w:hAnsiTheme="minorHAnsi"/>
          <w:i/>
          <w:sz w:val="18"/>
          <w:szCs w:val="18"/>
          <w:lang w:val="hr-HR"/>
        </w:rPr>
        <w:t xml:space="preserve"> </w:t>
      </w:r>
      <w:r w:rsidRPr="003706C8">
        <w:rPr>
          <w:rFonts w:asciiTheme="minorHAnsi" w:hAnsiTheme="minorHAnsi"/>
          <w:i/>
          <w:sz w:val="18"/>
          <w:szCs w:val="18"/>
          <w:lang w:val="hr-HR"/>
        </w:rPr>
        <w:t>tisuća kuna.</w:t>
      </w:r>
    </w:p>
    <w:p w14:paraId="0DF04F74" w14:textId="77777777" w:rsidR="00063AEF" w:rsidRPr="003706C8" w:rsidRDefault="00063AEF" w:rsidP="00682ABB">
      <w:pPr>
        <w:pStyle w:val="TT"/>
        <w:spacing w:line="240" w:lineRule="auto"/>
        <w:jc w:val="both"/>
        <w:rPr>
          <w:rFonts w:asciiTheme="minorHAnsi" w:hAnsiTheme="minorHAnsi"/>
          <w:i/>
          <w:sz w:val="18"/>
          <w:szCs w:val="18"/>
          <w:lang w:val="hr-HR"/>
        </w:rPr>
        <w:sectPr w:rsidR="00063AEF" w:rsidRPr="003706C8" w:rsidSect="00312975">
          <w:footerReference w:type="default" r:id="rId125"/>
          <w:pgSz w:w="11906" w:h="16838" w:code="9"/>
          <w:pgMar w:top="1418" w:right="1418" w:bottom="595" w:left="1134" w:header="851" w:footer="851" w:gutter="0"/>
          <w:cols w:space="720"/>
          <w:noEndnote/>
          <w:docGrid w:linePitch="299"/>
        </w:sectPr>
      </w:pPr>
      <w:r w:rsidRPr="003706C8">
        <w:rPr>
          <w:rFonts w:asciiTheme="minorHAnsi" w:hAnsiTheme="minorHAnsi"/>
          <w:i/>
          <w:sz w:val="18"/>
          <w:szCs w:val="18"/>
          <w:lang w:val="hr-HR"/>
        </w:rPr>
        <w:t>**Iskazani jaz rezultat je obavljenih rezerviranja po izdanim deviznim garancijama u ostalim devizama koja se iskazuju na poziciji „Ostale obveze“.</w:t>
      </w:r>
    </w:p>
    <w:p w14:paraId="5724C2D9" w14:textId="77777777" w:rsidR="00A37280" w:rsidRPr="00A37280" w:rsidRDefault="00A37280" w:rsidP="00A37280">
      <w:pPr>
        <w:pStyle w:val="T1"/>
        <w:spacing w:before="0" w:after="0" w:line="240" w:lineRule="auto"/>
        <w:ind w:left="709" w:hanging="709"/>
        <w:rPr>
          <w:rFonts w:asciiTheme="minorHAnsi" w:hAnsiTheme="minorHAnsi" w:cs="Arial"/>
          <w:sz w:val="22"/>
          <w:szCs w:val="22"/>
          <w:lang w:val="hr-HR"/>
        </w:rPr>
      </w:pPr>
    </w:p>
    <w:p w14:paraId="3853D107" w14:textId="77777777" w:rsidR="00F75302" w:rsidRPr="00F75302" w:rsidRDefault="00F75302" w:rsidP="00F75302">
      <w:pPr>
        <w:keepNext/>
        <w:spacing w:after="0" w:line="240" w:lineRule="auto"/>
        <w:ind w:left="709" w:hanging="709"/>
        <w:jc w:val="both"/>
        <w:rPr>
          <w:rFonts w:eastAsia="Times New Roman" w:cs="Arial"/>
          <w:b/>
          <w:bCs/>
        </w:rPr>
      </w:pPr>
      <w:r w:rsidRPr="00F75302">
        <w:rPr>
          <w:rFonts w:eastAsia="Times New Roman" w:cs="Arial"/>
          <w:b/>
          <w:bCs/>
        </w:rPr>
        <w:t>16.        Upravljanje rizicima (nastavak)</w:t>
      </w:r>
    </w:p>
    <w:p w14:paraId="0286DD5A" w14:textId="77777777" w:rsidR="00F75302" w:rsidRPr="00F75302" w:rsidRDefault="00F75302" w:rsidP="00F75302">
      <w:pPr>
        <w:keepNext/>
        <w:spacing w:after="0" w:line="240" w:lineRule="auto"/>
        <w:ind w:left="709" w:hanging="709"/>
        <w:jc w:val="both"/>
        <w:rPr>
          <w:rFonts w:eastAsia="Times New Roman" w:cs="Arial"/>
          <w:b/>
          <w:bCs/>
        </w:rPr>
      </w:pPr>
    </w:p>
    <w:p w14:paraId="0AE67714" w14:textId="77777777" w:rsidR="00F75302" w:rsidRPr="00F75302" w:rsidRDefault="00F75302" w:rsidP="00F75302">
      <w:pPr>
        <w:keepNext/>
        <w:spacing w:after="0" w:line="240" w:lineRule="auto"/>
        <w:ind w:left="709" w:hanging="709"/>
        <w:jc w:val="both"/>
        <w:rPr>
          <w:rFonts w:eastAsia="Times New Roman" w:cs="Arial"/>
          <w:b/>
          <w:bCs/>
        </w:rPr>
      </w:pPr>
      <w:r w:rsidRPr="00F75302">
        <w:rPr>
          <w:rFonts w:eastAsia="Times New Roman" w:cs="Arial"/>
          <w:b/>
          <w:bCs/>
        </w:rPr>
        <w:t>16.4.     Tržišni rizik (nastavak)</w:t>
      </w:r>
    </w:p>
    <w:p w14:paraId="4672E248" w14:textId="77777777" w:rsidR="00F75302" w:rsidRPr="00F75302" w:rsidRDefault="00F75302" w:rsidP="00F75302">
      <w:pPr>
        <w:keepNext/>
        <w:spacing w:after="0" w:line="240" w:lineRule="auto"/>
        <w:ind w:left="709" w:hanging="709"/>
        <w:jc w:val="both"/>
        <w:rPr>
          <w:rFonts w:eastAsia="Times New Roman" w:cs="Arial"/>
          <w:b/>
          <w:bCs/>
        </w:rPr>
      </w:pPr>
    </w:p>
    <w:p w14:paraId="405FAE7A" w14:textId="77777777" w:rsidR="00F75302" w:rsidRPr="00F75302" w:rsidRDefault="00F75302" w:rsidP="00F75302">
      <w:pPr>
        <w:keepNext/>
        <w:spacing w:after="0" w:line="240" w:lineRule="auto"/>
        <w:ind w:left="709" w:hanging="709"/>
        <w:jc w:val="both"/>
        <w:rPr>
          <w:rFonts w:eastAsia="Times New Roman" w:cs="Arial"/>
          <w:b/>
          <w:bCs/>
        </w:rPr>
      </w:pPr>
      <w:r w:rsidRPr="00F75302">
        <w:rPr>
          <w:rFonts w:eastAsia="Times New Roman" w:cs="Arial"/>
          <w:b/>
          <w:bCs/>
        </w:rPr>
        <w:t>16.4.2.  Valutni rizik (nastavak)</w:t>
      </w:r>
    </w:p>
    <w:p w14:paraId="31B55011" w14:textId="77777777" w:rsidR="00F75302" w:rsidRPr="00F75302" w:rsidRDefault="00F75302" w:rsidP="00F75302">
      <w:pPr>
        <w:tabs>
          <w:tab w:val="left" w:pos="8280"/>
        </w:tabs>
        <w:spacing w:after="0" w:line="240" w:lineRule="auto"/>
        <w:jc w:val="both"/>
        <w:rPr>
          <w:rFonts w:cstheme="minorHAnsi"/>
          <w:spacing w:val="-3"/>
        </w:rPr>
      </w:pPr>
    </w:p>
    <w:p w14:paraId="13CD7C89" w14:textId="77777777" w:rsidR="00F75302" w:rsidRPr="00F75302" w:rsidRDefault="00F75302" w:rsidP="00F75302">
      <w:pPr>
        <w:tabs>
          <w:tab w:val="left" w:pos="8280"/>
        </w:tabs>
        <w:spacing w:after="0" w:line="240" w:lineRule="auto"/>
        <w:jc w:val="both"/>
        <w:rPr>
          <w:rFonts w:cstheme="minorHAnsi"/>
          <w:b/>
          <w:spacing w:val="-3"/>
        </w:rPr>
      </w:pPr>
      <w:r w:rsidRPr="00F75302">
        <w:rPr>
          <w:rFonts w:cstheme="minorHAnsi"/>
          <w:b/>
          <w:spacing w:val="-3"/>
        </w:rPr>
        <w:t>Analiza osjetljivosti</w:t>
      </w:r>
    </w:p>
    <w:p w14:paraId="4D2F5DE0" w14:textId="77777777" w:rsidR="00F75302" w:rsidRPr="00F75302" w:rsidRDefault="00F75302" w:rsidP="00F75302">
      <w:pPr>
        <w:tabs>
          <w:tab w:val="left" w:pos="8280"/>
        </w:tabs>
        <w:spacing w:after="0" w:line="240" w:lineRule="auto"/>
        <w:jc w:val="both"/>
        <w:rPr>
          <w:rFonts w:cstheme="minorHAnsi"/>
          <w:spacing w:val="-3"/>
        </w:rPr>
      </w:pPr>
    </w:p>
    <w:p w14:paraId="2D312681" w14:textId="77777777" w:rsidR="00F75302" w:rsidRPr="00F75302" w:rsidRDefault="00F75302" w:rsidP="00F75302">
      <w:pPr>
        <w:spacing w:after="0" w:line="240" w:lineRule="auto"/>
        <w:jc w:val="both"/>
        <w:rPr>
          <w:rFonts w:eastAsia="Times New Roman" w:cs="Arial"/>
          <w:bCs/>
        </w:rPr>
      </w:pPr>
      <w:r w:rsidRPr="00F75302">
        <w:rPr>
          <w:rFonts w:eastAsia="Times New Roman" w:cs="Arial"/>
          <w:bCs/>
        </w:rPr>
        <w:t xml:space="preserve">Analiza osjetljivosti ukupne imovine i ukupnih obveza Banke na promjene deviznih tečajeva provodi se za one strane valute koje na izvještajni datum predstavljaju značajnu valutu Banke. </w:t>
      </w:r>
    </w:p>
    <w:p w14:paraId="519EEB51" w14:textId="77777777" w:rsidR="00F75302" w:rsidRPr="00F75302" w:rsidRDefault="00F75302" w:rsidP="00F75302">
      <w:pPr>
        <w:spacing w:after="0" w:line="240" w:lineRule="auto"/>
        <w:jc w:val="both"/>
        <w:rPr>
          <w:rFonts w:eastAsia="Times New Roman" w:cs="Arial"/>
          <w:bCs/>
        </w:rPr>
      </w:pPr>
    </w:p>
    <w:p w14:paraId="58B67511" w14:textId="7C44E5FA" w:rsidR="00F75302" w:rsidRPr="00F75302" w:rsidRDefault="00F75302" w:rsidP="00F75302">
      <w:pPr>
        <w:keepNext/>
        <w:spacing w:after="0" w:line="240" w:lineRule="auto"/>
        <w:jc w:val="both"/>
        <w:rPr>
          <w:rFonts w:eastAsia="Times New Roman" w:cs="Arial"/>
          <w:bCs/>
        </w:rPr>
      </w:pPr>
      <w:r w:rsidRPr="00F75302">
        <w:rPr>
          <w:rFonts w:eastAsia="Times New Roman" w:cs="Arial"/>
          <w:bCs/>
        </w:rPr>
        <w:t xml:space="preserve">U analizi osjetljivosti za valutni rizik primijenjena je pretpostavka razumno moguće promjene tečaja EUR u odnosu na kunu, uz ostale varijable stabilne, radi procjene hipotetskog utjecaja na dobit HBOR-a na </w:t>
      </w:r>
      <w:r w:rsidR="00000848">
        <w:rPr>
          <w:rFonts w:eastAsia="Times New Roman" w:cs="Arial"/>
          <w:bCs/>
        </w:rPr>
        <w:t>30</w:t>
      </w:r>
      <w:r w:rsidR="000F37EF">
        <w:rPr>
          <w:rFonts w:eastAsia="Times New Roman" w:cs="Arial"/>
          <w:bCs/>
        </w:rPr>
        <w:t>.</w:t>
      </w:r>
      <w:r w:rsidR="00000848">
        <w:rPr>
          <w:rFonts w:eastAsia="Times New Roman" w:cs="Arial"/>
          <w:bCs/>
        </w:rPr>
        <w:t>6</w:t>
      </w:r>
      <w:r w:rsidR="000F37EF">
        <w:rPr>
          <w:rFonts w:eastAsia="Times New Roman" w:cs="Arial"/>
          <w:bCs/>
        </w:rPr>
        <w:t>.2017</w:t>
      </w:r>
      <w:r w:rsidRPr="00F75302">
        <w:rPr>
          <w:rFonts w:eastAsia="Times New Roman" w:cs="Arial"/>
          <w:bCs/>
        </w:rPr>
        <w:t xml:space="preserve">. godine. </w:t>
      </w:r>
    </w:p>
    <w:p w14:paraId="6AB5E391" w14:textId="77777777" w:rsidR="00F75302" w:rsidRPr="00F75302" w:rsidRDefault="00F75302" w:rsidP="00F75302">
      <w:pPr>
        <w:keepNext/>
        <w:spacing w:after="0" w:line="240" w:lineRule="auto"/>
        <w:jc w:val="both"/>
        <w:rPr>
          <w:rFonts w:eastAsia="Times New Roman" w:cs="Arial"/>
          <w:bCs/>
        </w:rPr>
      </w:pPr>
    </w:p>
    <w:p w14:paraId="5EE81C13" w14:textId="7A37AFBD" w:rsidR="00F75302" w:rsidRPr="00F75302" w:rsidRDefault="00F75302" w:rsidP="00F75302">
      <w:pPr>
        <w:keepNext/>
        <w:spacing w:after="0" w:line="240" w:lineRule="auto"/>
        <w:jc w:val="both"/>
        <w:rPr>
          <w:rFonts w:eastAsia="Times New Roman" w:cs="Arial"/>
        </w:rPr>
      </w:pPr>
      <w:r w:rsidRPr="00F75302">
        <w:rPr>
          <w:rFonts w:eastAsia="Times New Roman" w:cs="Arial"/>
          <w:bCs/>
        </w:rPr>
        <w:t xml:space="preserve">Primjenom metode standardne </w:t>
      </w:r>
      <w:r w:rsidRPr="00F75302">
        <w:rPr>
          <w:rFonts w:eastAsia="Times New Roman" w:cs="Arial"/>
        </w:rPr>
        <w:t xml:space="preserve">devijacije na promjene tečaja EUR/HRK utvrđena je </w:t>
      </w:r>
      <w:proofErr w:type="spellStart"/>
      <w:r w:rsidRPr="00F75302">
        <w:rPr>
          <w:rFonts w:eastAsia="Times New Roman" w:cs="Arial"/>
        </w:rPr>
        <w:t>volatilnost</w:t>
      </w:r>
      <w:proofErr w:type="spellEnd"/>
      <w:r w:rsidRPr="00F75302">
        <w:rPr>
          <w:rFonts w:eastAsia="Times New Roman" w:cs="Arial"/>
        </w:rPr>
        <w:t xml:space="preserve"> tečaja </w:t>
      </w:r>
      <w:r w:rsidRPr="001E2337">
        <w:rPr>
          <w:rFonts w:eastAsia="Times New Roman" w:cs="Arial"/>
        </w:rPr>
        <w:t xml:space="preserve">EUR/HRK koja je u razdoblju od prethodnih 12 mjeseci iznosila </w:t>
      </w:r>
      <w:proofErr w:type="spellStart"/>
      <w:r w:rsidRPr="00D20300">
        <w:rPr>
          <w:rFonts w:eastAsia="Times New Roman" w:cs="Arial"/>
        </w:rPr>
        <w:t>iznosila</w:t>
      </w:r>
      <w:proofErr w:type="spellEnd"/>
      <w:r w:rsidRPr="00D20300">
        <w:rPr>
          <w:rFonts w:eastAsia="Times New Roman" w:cs="Arial"/>
        </w:rPr>
        <w:t xml:space="preserve"> </w:t>
      </w:r>
      <w:r w:rsidRPr="009273DC">
        <w:rPr>
          <w:rFonts w:eastAsia="Times New Roman" w:cs="Arial"/>
        </w:rPr>
        <w:t>1,</w:t>
      </w:r>
      <w:r w:rsidR="00322AAA">
        <w:rPr>
          <w:rFonts w:eastAsia="Times New Roman" w:cs="Arial"/>
        </w:rPr>
        <w:t>5</w:t>
      </w:r>
      <w:r w:rsidRPr="000E5941">
        <w:rPr>
          <w:rFonts w:eastAsia="Times New Roman" w:cs="Arial"/>
        </w:rPr>
        <w:t>%</w:t>
      </w:r>
      <w:r w:rsidR="001E2337" w:rsidRPr="000E5941">
        <w:rPr>
          <w:rFonts w:eastAsia="Times New Roman" w:cs="Arial"/>
        </w:rPr>
        <w:t>.</w:t>
      </w:r>
      <w:r w:rsidRPr="00F75302">
        <w:rPr>
          <w:rFonts w:eastAsia="Times New Roman" w:cs="Arial"/>
        </w:rPr>
        <w:t xml:space="preserve"> </w:t>
      </w:r>
    </w:p>
    <w:p w14:paraId="0989DC0C" w14:textId="77777777" w:rsidR="00F75302" w:rsidRPr="00F75302" w:rsidRDefault="00F75302" w:rsidP="00F75302">
      <w:pPr>
        <w:keepNext/>
        <w:spacing w:after="0" w:line="240" w:lineRule="auto"/>
        <w:jc w:val="both"/>
        <w:rPr>
          <w:rFonts w:eastAsia="Times New Roman" w:cs="Arial"/>
        </w:rPr>
      </w:pPr>
    </w:p>
    <w:p w14:paraId="08CB755B" w14:textId="77777777" w:rsidR="00F75302" w:rsidRPr="00F75302" w:rsidRDefault="00F75302" w:rsidP="00F75302">
      <w:pPr>
        <w:spacing w:after="0" w:line="240" w:lineRule="auto"/>
        <w:jc w:val="both"/>
        <w:rPr>
          <w:rFonts w:eastAsia="Times New Roman" w:cs="Arial"/>
          <w:bCs/>
        </w:rPr>
      </w:pPr>
      <w:r w:rsidRPr="00F75302">
        <w:rPr>
          <w:rFonts w:eastAsia="Times New Roman" w:cs="Arial"/>
          <w:bCs/>
        </w:rPr>
        <w:t>U nastavku se iskazuje utjecaj pretpostavljene promjene tečaja EUR/HRK, po stavkama ukupne imovine i ukupnih obveza i glavnice denominiranim ili vezanim uz EUR,</w:t>
      </w:r>
      <w:r w:rsidRPr="00F75302" w:rsidDel="007E1CF7">
        <w:rPr>
          <w:rFonts w:eastAsia="Times New Roman" w:cs="Arial"/>
          <w:bCs/>
        </w:rPr>
        <w:t xml:space="preserve"> </w:t>
      </w:r>
      <w:r w:rsidRPr="00F75302">
        <w:rPr>
          <w:rFonts w:eastAsia="Times New Roman" w:cs="Arial"/>
          <w:bCs/>
        </w:rPr>
        <w:t>na dobit HBOR-a.</w:t>
      </w:r>
    </w:p>
    <w:p w14:paraId="0061D1FE" w14:textId="77777777" w:rsidR="00F75302" w:rsidRPr="00F75302" w:rsidRDefault="00F75302" w:rsidP="00F75302">
      <w:pPr>
        <w:spacing w:after="0" w:line="240" w:lineRule="auto"/>
        <w:jc w:val="both"/>
        <w:rPr>
          <w:rFonts w:eastAsia="Times New Roman" w:cs="Arial"/>
          <w:bCs/>
        </w:rPr>
      </w:pPr>
    </w:p>
    <w:tbl>
      <w:tblPr>
        <w:tblW w:w="5000" w:type="pct"/>
        <w:jc w:val="center"/>
        <w:tblLook w:val="01E0" w:firstRow="1" w:lastRow="1" w:firstColumn="1" w:lastColumn="1" w:noHBand="0" w:noVBand="0"/>
      </w:tblPr>
      <w:tblGrid>
        <w:gridCol w:w="2352"/>
        <w:gridCol w:w="1689"/>
        <w:gridCol w:w="1822"/>
        <w:gridCol w:w="1704"/>
        <w:gridCol w:w="1787"/>
      </w:tblGrid>
      <w:tr w:rsidR="00F75302" w:rsidRPr="00F75302" w14:paraId="35F9BF71" w14:textId="77777777" w:rsidTr="00F75302">
        <w:trPr>
          <w:trHeight w:hRule="exact" w:val="810"/>
          <w:jc w:val="center"/>
        </w:trPr>
        <w:tc>
          <w:tcPr>
            <w:tcW w:w="1257" w:type="pct"/>
          </w:tcPr>
          <w:p w14:paraId="43C1BE03" w14:textId="77777777" w:rsidR="00F75302" w:rsidRPr="00F75302" w:rsidRDefault="00F75302" w:rsidP="00F75302">
            <w:pPr>
              <w:spacing w:before="240" w:after="120" w:line="360" w:lineRule="auto"/>
              <w:rPr>
                <w:rFonts w:eastAsia="Times New Roman" w:cs="Arial"/>
                <w:b/>
                <w:bCs/>
                <w:sz w:val="20"/>
                <w:szCs w:val="20"/>
              </w:rPr>
            </w:pPr>
            <w:r w:rsidRPr="00F75302">
              <w:rPr>
                <w:rFonts w:eastAsia="Times New Roman" w:cs="Arial"/>
                <w:b/>
                <w:bCs/>
                <w:sz w:val="20"/>
                <w:szCs w:val="20"/>
              </w:rPr>
              <w:t>Valuta</w:t>
            </w:r>
          </w:p>
        </w:tc>
        <w:tc>
          <w:tcPr>
            <w:tcW w:w="903" w:type="pct"/>
          </w:tcPr>
          <w:p w14:paraId="7AA35088" w14:textId="77777777" w:rsidR="00F75302" w:rsidRPr="00F75302" w:rsidRDefault="00F75302" w:rsidP="00F75302">
            <w:pPr>
              <w:spacing w:after="0" w:line="240" w:lineRule="auto"/>
              <w:jc w:val="right"/>
              <w:rPr>
                <w:rFonts w:eastAsia="Times New Roman" w:cs="Arial"/>
                <w:b/>
                <w:bCs/>
                <w:sz w:val="20"/>
                <w:szCs w:val="20"/>
              </w:rPr>
            </w:pPr>
            <w:r w:rsidRPr="00F75302">
              <w:rPr>
                <w:rFonts w:eastAsia="Times New Roman" w:cs="Arial"/>
                <w:b/>
                <w:bCs/>
                <w:sz w:val="20"/>
                <w:szCs w:val="20"/>
              </w:rPr>
              <w:t xml:space="preserve">Promjene tečaja valute u </w:t>
            </w:r>
          </w:p>
          <w:p w14:paraId="665558A8" w14:textId="2B7963B3" w:rsidR="00F75302" w:rsidRPr="00F75302" w:rsidRDefault="003E4896">
            <w:pPr>
              <w:spacing w:after="0" w:line="240" w:lineRule="auto"/>
              <w:jc w:val="right"/>
              <w:rPr>
                <w:rFonts w:eastAsia="Times New Roman" w:cs="Arial"/>
                <w:b/>
                <w:bCs/>
                <w:sz w:val="20"/>
                <w:szCs w:val="20"/>
              </w:rPr>
            </w:pPr>
            <w:r>
              <w:rPr>
                <w:rFonts w:eastAsia="Times New Roman" w:cs="Arial"/>
                <w:b/>
                <w:bCs/>
                <w:sz w:val="20"/>
                <w:szCs w:val="20"/>
              </w:rPr>
              <w:t xml:space="preserve">1.1. - </w:t>
            </w:r>
            <w:r w:rsidR="00000848">
              <w:rPr>
                <w:rFonts w:eastAsia="Times New Roman" w:cs="Arial"/>
                <w:b/>
                <w:bCs/>
                <w:sz w:val="20"/>
                <w:szCs w:val="20"/>
              </w:rPr>
              <w:t>30</w:t>
            </w:r>
            <w:r w:rsidR="00F75302" w:rsidRPr="00F75302">
              <w:rPr>
                <w:rFonts w:eastAsia="Times New Roman" w:cs="Arial"/>
                <w:b/>
                <w:bCs/>
                <w:sz w:val="20"/>
                <w:szCs w:val="20"/>
              </w:rPr>
              <w:t>.</w:t>
            </w:r>
            <w:r w:rsidR="00000848">
              <w:rPr>
                <w:rFonts w:eastAsia="Times New Roman" w:cs="Arial"/>
                <w:b/>
                <w:bCs/>
                <w:sz w:val="20"/>
                <w:szCs w:val="20"/>
              </w:rPr>
              <w:t>6</w:t>
            </w:r>
            <w:r w:rsidR="000F37EF">
              <w:rPr>
                <w:rFonts w:eastAsia="Times New Roman" w:cs="Arial"/>
                <w:b/>
                <w:bCs/>
                <w:sz w:val="20"/>
                <w:szCs w:val="20"/>
              </w:rPr>
              <w:t>.2017.</w:t>
            </w:r>
          </w:p>
        </w:tc>
        <w:tc>
          <w:tcPr>
            <w:tcW w:w="974" w:type="pct"/>
          </w:tcPr>
          <w:p w14:paraId="73370A8E" w14:textId="77777777" w:rsidR="00F75302" w:rsidRPr="00F75302" w:rsidRDefault="00F75302" w:rsidP="00F75302">
            <w:pPr>
              <w:spacing w:after="0" w:line="240" w:lineRule="auto"/>
              <w:jc w:val="right"/>
              <w:rPr>
                <w:rFonts w:eastAsia="Times New Roman" w:cs="Arial"/>
                <w:b/>
                <w:bCs/>
                <w:sz w:val="20"/>
                <w:szCs w:val="20"/>
              </w:rPr>
            </w:pPr>
            <w:r w:rsidRPr="00F75302">
              <w:rPr>
                <w:rFonts w:eastAsia="Times New Roman" w:cs="Arial"/>
                <w:b/>
                <w:bCs/>
                <w:sz w:val="20"/>
                <w:szCs w:val="20"/>
              </w:rPr>
              <w:t xml:space="preserve">Utjecaj </w:t>
            </w:r>
          </w:p>
          <w:p w14:paraId="219CEE83" w14:textId="77777777" w:rsidR="00F75302" w:rsidRPr="00F75302" w:rsidRDefault="00F75302" w:rsidP="00F75302">
            <w:pPr>
              <w:spacing w:after="0" w:line="240" w:lineRule="auto"/>
              <w:jc w:val="right"/>
              <w:rPr>
                <w:rFonts w:eastAsia="Times New Roman" w:cs="Arial"/>
                <w:b/>
                <w:bCs/>
                <w:sz w:val="20"/>
                <w:szCs w:val="20"/>
              </w:rPr>
            </w:pPr>
            <w:r w:rsidRPr="00F75302">
              <w:rPr>
                <w:rFonts w:eastAsia="Times New Roman" w:cs="Arial"/>
                <w:b/>
                <w:bCs/>
                <w:sz w:val="20"/>
                <w:szCs w:val="20"/>
              </w:rPr>
              <w:t>na dobit</w:t>
            </w:r>
          </w:p>
          <w:p w14:paraId="1C76D40F" w14:textId="6C4DFFFA" w:rsidR="00F75302" w:rsidRPr="00F75302" w:rsidRDefault="003E4896">
            <w:pPr>
              <w:spacing w:after="0" w:line="240" w:lineRule="auto"/>
              <w:jc w:val="right"/>
              <w:rPr>
                <w:rFonts w:eastAsia="Times New Roman" w:cs="Arial"/>
                <w:b/>
                <w:bCs/>
                <w:sz w:val="20"/>
                <w:szCs w:val="20"/>
              </w:rPr>
            </w:pPr>
            <w:r>
              <w:rPr>
                <w:rFonts w:eastAsia="Times New Roman" w:cs="Arial"/>
                <w:b/>
                <w:bCs/>
                <w:sz w:val="20"/>
                <w:szCs w:val="20"/>
              </w:rPr>
              <w:t xml:space="preserve">1.1. - </w:t>
            </w:r>
            <w:r w:rsidR="00000848">
              <w:rPr>
                <w:rFonts w:eastAsia="Times New Roman" w:cs="Arial"/>
                <w:b/>
                <w:bCs/>
                <w:sz w:val="20"/>
                <w:szCs w:val="20"/>
              </w:rPr>
              <w:t>30</w:t>
            </w:r>
            <w:r w:rsidR="000F37EF">
              <w:rPr>
                <w:rFonts w:eastAsia="Times New Roman" w:cs="Arial"/>
                <w:b/>
                <w:bCs/>
                <w:sz w:val="20"/>
                <w:szCs w:val="20"/>
              </w:rPr>
              <w:t>.</w:t>
            </w:r>
            <w:r w:rsidR="00000848">
              <w:rPr>
                <w:rFonts w:eastAsia="Times New Roman" w:cs="Arial"/>
                <w:b/>
                <w:bCs/>
                <w:sz w:val="20"/>
                <w:szCs w:val="20"/>
              </w:rPr>
              <w:t>6</w:t>
            </w:r>
            <w:r w:rsidR="000F37EF">
              <w:rPr>
                <w:rFonts w:eastAsia="Times New Roman" w:cs="Arial"/>
                <w:b/>
                <w:bCs/>
                <w:sz w:val="20"/>
                <w:szCs w:val="20"/>
              </w:rPr>
              <w:t>.2017</w:t>
            </w:r>
            <w:r w:rsidR="00F75302" w:rsidRPr="00F75302">
              <w:rPr>
                <w:rFonts w:eastAsia="Times New Roman" w:cs="Arial"/>
                <w:b/>
                <w:bCs/>
                <w:sz w:val="20"/>
                <w:szCs w:val="20"/>
              </w:rPr>
              <w:t>.</w:t>
            </w:r>
          </w:p>
        </w:tc>
        <w:tc>
          <w:tcPr>
            <w:tcW w:w="911" w:type="pct"/>
          </w:tcPr>
          <w:p w14:paraId="15B20D55" w14:textId="77777777" w:rsidR="00F75302" w:rsidRPr="00F75302" w:rsidRDefault="00F75302" w:rsidP="00F75302">
            <w:pPr>
              <w:spacing w:after="0" w:line="240" w:lineRule="auto"/>
              <w:jc w:val="right"/>
              <w:rPr>
                <w:rFonts w:eastAsia="Times New Roman" w:cs="Arial"/>
                <w:b/>
                <w:bCs/>
                <w:sz w:val="20"/>
                <w:szCs w:val="20"/>
              </w:rPr>
            </w:pPr>
            <w:r w:rsidRPr="00F75302">
              <w:rPr>
                <w:rFonts w:eastAsia="Times New Roman" w:cs="Arial"/>
                <w:b/>
                <w:bCs/>
                <w:sz w:val="20"/>
                <w:szCs w:val="20"/>
              </w:rPr>
              <w:t>Promjene tečaja valute u %</w:t>
            </w:r>
          </w:p>
          <w:p w14:paraId="6AB62D19" w14:textId="38731FA8" w:rsidR="00F75302" w:rsidRPr="00F75302" w:rsidRDefault="003E4896">
            <w:pPr>
              <w:spacing w:after="0" w:line="240" w:lineRule="auto"/>
              <w:jc w:val="right"/>
              <w:rPr>
                <w:rFonts w:eastAsia="Times New Roman" w:cs="Arial"/>
                <w:b/>
                <w:bCs/>
                <w:sz w:val="20"/>
                <w:szCs w:val="20"/>
              </w:rPr>
            </w:pPr>
            <w:r>
              <w:rPr>
                <w:rFonts w:eastAsia="Times New Roman" w:cs="Arial"/>
                <w:b/>
                <w:bCs/>
                <w:sz w:val="20"/>
                <w:szCs w:val="20"/>
              </w:rPr>
              <w:t xml:space="preserve">1.1. - </w:t>
            </w:r>
            <w:r w:rsidR="00000848">
              <w:rPr>
                <w:rFonts w:eastAsia="Times New Roman" w:cs="Arial"/>
                <w:b/>
                <w:bCs/>
                <w:sz w:val="20"/>
                <w:szCs w:val="20"/>
              </w:rPr>
              <w:t>3</w:t>
            </w:r>
            <w:r>
              <w:rPr>
                <w:rFonts w:eastAsia="Times New Roman" w:cs="Arial"/>
                <w:b/>
                <w:bCs/>
                <w:sz w:val="20"/>
                <w:szCs w:val="20"/>
              </w:rPr>
              <w:t>1</w:t>
            </w:r>
            <w:r w:rsidR="000F37EF">
              <w:rPr>
                <w:rFonts w:eastAsia="Times New Roman" w:cs="Arial"/>
                <w:b/>
                <w:bCs/>
                <w:sz w:val="20"/>
                <w:szCs w:val="20"/>
              </w:rPr>
              <w:t>.</w:t>
            </w:r>
            <w:r>
              <w:rPr>
                <w:rFonts w:eastAsia="Times New Roman" w:cs="Arial"/>
                <w:b/>
                <w:bCs/>
                <w:sz w:val="20"/>
                <w:szCs w:val="20"/>
              </w:rPr>
              <w:t>12</w:t>
            </w:r>
            <w:r w:rsidR="000F37EF">
              <w:rPr>
                <w:rFonts w:eastAsia="Times New Roman" w:cs="Arial"/>
                <w:b/>
                <w:bCs/>
                <w:sz w:val="20"/>
                <w:szCs w:val="20"/>
              </w:rPr>
              <w:t>.2016.</w:t>
            </w:r>
          </w:p>
        </w:tc>
        <w:tc>
          <w:tcPr>
            <w:tcW w:w="955" w:type="pct"/>
          </w:tcPr>
          <w:p w14:paraId="69ED1343" w14:textId="77777777" w:rsidR="00F75302" w:rsidRPr="00F75302" w:rsidRDefault="00F75302" w:rsidP="00F75302">
            <w:pPr>
              <w:spacing w:after="0" w:line="240" w:lineRule="auto"/>
              <w:jc w:val="right"/>
              <w:rPr>
                <w:rFonts w:eastAsia="Times New Roman" w:cs="Arial"/>
                <w:b/>
                <w:bCs/>
                <w:sz w:val="20"/>
                <w:szCs w:val="20"/>
              </w:rPr>
            </w:pPr>
            <w:r w:rsidRPr="00F75302">
              <w:rPr>
                <w:rFonts w:eastAsia="Times New Roman" w:cs="Arial"/>
                <w:b/>
                <w:bCs/>
                <w:sz w:val="20"/>
                <w:szCs w:val="20"/>
              </w:rPr>
              <w:t xml:space="preserve">Utjecaj </w:t>
            </w:r>
          </w:p>
          <w:p w14:paraId="4708E2DB" w14:textId="77777777" w:rsidR="00F75302" w:rsidRPr="00F75302" w:rsidRDefault="00F75302" w:rsidP="00F75302">
            <w:pPr>
              <w:spacing w:after="0" w:line="240" w:lineRule="auto"/>
              <w:jc w:val="right"/>
              <w:rPr>
                <w:rFonts w:eastAsia="Times New Roman" w:cs="Arial"/>
                <w:b/>
                <w:bCs/>
                <w:sz w:val="20"/>
                <w:szCs w:val="20"/>
              </w:rPr>
            </w:pPr>
            <w:r w:rsidRPr="00F75302">
              <w:rPr>
                <w:rFonts w:eastAsia="Times New Roman" w:cs="Arial"/>
                <w:b/>
                <w:bCs/>
                <w:sz w:val="20"/>
                <w:szCs w:val="20"/>
              </w:rPr>
              <w:t>na dobit</w:t>
            </w:r>
          </w:p>
          <w:p w14:paraId="3AF3CC84" w14:textId="0DE0E4EC" w:rsidR="00F75302" w:rsidRPr="00F75302" w:rsidRDefault="003E4896">
            <w:pPr>
              <w:spacing w:after="0" w:line="240" w:lineRule="auto"/>
              <w:jc w:val="right"/>
              <w:rPr>
                <w:rFonts w:eastAsia="Times New Roman" w:cs="Arial"/>
                <w:b/>
                <w:bCs/>
                <w:sz w:val="20"/>
                <w:szCs w:val="20"/>
              </w:rPr>
            </w:pPr>
            <w:r>
              <w:rPr>
                <w:rFonts w:eastAsia="Times New Roman" w:cs="Arial"/>
                <w:b/>
                <w:bCs/>
                <w:sz w:val="20"/>
                <w:szCs w:val="20"/>
              </w:rPr>
              <w:t xml:space="preserve">1.1. - </w:t>
            </w:r>
            <w:r w:rsidR="00000848">
              <w:rPr>
                <w:rFonts w:eastAsia="Times New Roman" w:cs="Arial"/>
                <w:b/>
                <w:bCs/>
                <w:sz w:val="20"/>
                <w:szCs w:val="20"/>
              </w:rPr>
              <w:t>3</w:t>
            </w:r>
            <w:r>
              <w:rPr>
                <w:rFonts w:eastAsia="Times New Roman" w:cs="Arial"/>
                <w:b/>
                <w:bCs/>
                <w:sz w:val="20"/>
                <w:szCs w:val="20"/>
              </w:rPr>
              <w:t>1</w:t>
            </w:r>
            <w:r w:rsidR="000F37EF">
              <w:rPr>
                <w:rFonts w:eastAsia="Times New Roman" w:cs="Arial"/>
                <w:b/>
                <w:bCs/>
                <w:sz w:val="20"/>
                <w:szCs w:val="20"/>
              </w:rPr>
              <w:t>.</w:t>
            </w:r>
            <w:r>
              <w:rPr>
                <w:rFonts w:eastAsia="Times New Roman" w:cs="Arial"/>
                <w:b/>
                <w:bCs/>
                <w:sz w:val="20"/>
                <w:szCs w:val="20"/>
              </w:rPr>
              <w:t>12</w:t>
            </w:r>
            <w:r w:rsidR="000F37EF">
              <w:rPr>
                <w:rFonts w:eastAsia="Times New Roman" w:cs="Arial"/>
                <w:b/>
                <w:bCs/>
                <w:sz w:val="20"/>
                <w:szCs w:val="20"/>
              </w:rPr>
              <w:t>.2016.</w:t>
            </w:r>
          </w:p>
        </w:tc>
      </w:tr>
      <w:tr w:rsidR="00F75302" w:rsidRPr="00F75302" w14:paraId="4DAB0478" w14:textId="77777777" w:rsidTr="00F75302">
        <w:trPr>
          <w:trHeight w:hRule="exact" w:val="221"/>
          <w:jc w:val="center"/>
        </w:trPr>
        <w:tc>
          <w:tcPr>
            <w:tcW w:w="1257" w:type="pct"/>
          </w:tcPr>
          <w:p w14:paraId="49322393" w14:textId="77777777" w:rsidR="00F75302" w:rsidRPr="00F75302" w:rsidRDefault="00F75302" w:rsidP="00F75302">
            <w:pPr>
              <w:spacing w:after="0" w:line="360" w:lineRule="auto"/>
              <w:jc w:val="both"/>
              <w:rPr>
                <w:rFonts w:eastAsia="Times New Roman" w:cs="Arial"/>
                <w:bCs/>
                <w:sz w:val="20"/>
                <w:szCs w:val="20"/>
              </w:rPr>
            </w:pPr>
          </w:p>
        </w:tc>
        <w:tc>
          <w:tcPr>
            <w:tcW w:w="903" w:type="pct"/>
          </w:tcPr>
          <w:p w14:paraId="238B89DB" w14:textId="77777777" w:rsidR="00F75302" w:rsidRPr="00F75302" w:rsidRDefault="00F75302" w:rsidP="00F75302">
            <w:pPr>
              <w:spacing w:after="0" w:line="360" w:lineRule="auto"/>
              <w:jc w:val="right"/>
              <w:rPr>
                <w:rFonts w:eastAsia="Times New Roman" w:cs="Arial"/>
                <w:b/>
                <w:bCs/>
                <w:sz w:val="20"/>
                <w:szCs w:val="20"/>
              </w:rPr>
            </w:pPr>
            <w:r w:rsidRPr="00F75302">
              <w:rPr>
                <w:rFonts w:eastAsia="Times New Roman" w:cs="Arial"/>
                <w:b/>
                <w:bCs/>
                <w:sz w:val="20"/>
                <w:szCs w:val="20"/>
              </w:rPr>
              <w:t>%</w:t>
            </w:r>
          </w:p>
        </w:tc>
        <w:tc>
          <w:tcPr>
            <w:tcW w:w="974" w:type="pct"/>
            <w:vAlign w:val="center"/>
          </w:tcPr>
          <w:p w14:paraId="3B346D07" w14:textId="77777777" w:rsidR="00F75302" w:rsidRPr="00F75302" w:rsidRDefault="00F75302" w:rsidP="00F75302">
            <w:pPr>
              <w:spacing w:after="0" w:line="360" w:lineRule="auto"/>
              <w:jc w:val="right"/>
              <w:rPr>
                <w:rFonts w:eastAsia="Times New Roman" w:cs="Arial"/>
                <w:b/>
                <w:bCs/>
                <w:sz w:val="20"/>
                <w:szCs w:val="20"/>
              </w:rPr>
            </w:pPr>
            <w:r w:rsidRPr="00F75302">
              <w:rPr>
                <w:rFonts w:eastAsia="Times New Roman" w:cs="Arial"/>
                <w:b/>
                <w:sz w:val="20"/>
                <w:szCs w:val="20"/>
              </w:rPr>
              <w:t>000 kuna</w:t>
            </w:r>
          </w:p>
        </w:tc>
        <w:tc>
          <w:tcPr>
            <w:tcW w:w="911" w:type="pct"/>
          </w:tcPr>
          <w:p w14:paraId="6547708B" w14:textId="77777777" w:rsidR="00F75302" w:rsidRPr="00F75302" w:rsidRDefault="00F75302" w:rsidP="00F75302">
            <w:pPr>
              <w:spacing w:after="0" w:line="360" w:lineRule="auto"/>
              <w:jc w:val="right"/>
              <w:rPr>
                <w:rFonts w:eastAsia="Times New Roman" w:cs="Arial"/>
                <w:b/>
                <w:bCs/>
                <w:sz w:val="20"/>
                <w:szCs w:val="20"/>
              </w:rPr>
            </w:pPr>
            <w:r w:rsidRPr="00F75302">
              <w:rPr>
                <w:rFonts w:eastAsia="Times New Roman" w:cs="Arial"/>
                <w:b/>
                <w:bCs/>
                <w:sz w:val="20"/>
                <w:szCs w:val="20"/>
              </w:rPr>
              <w:t>%</w:t>
            </w:r>
          </w:p>
        </w:tc>
        <w:tc>
          <w:tcPr>
            <w:tcW w:w="955" w:type="pct"/>
            <w:vAlign w:val="center"/>
          </w:tcPr>
          <w:p w14:paraId="00B57DE2" w14:textId="77777777" w:rsidR="00F75302" w:rsidRPr="00F75302" w:rsidRDefault="00F75302" w:rsidP="00F75302">
            <w:pPr>
              <w:spacing w:after="0" w:line="360" w:lineRule="auto"/>
              <w:jc w:val="right"/>
              <w:rPr>
                <w:rFonts w:eastAsia="Times New Roman" w:cs="Arial"/>
                <w:b/>
                <w:bCs/>
                <w:sz w:val="20"/>
                <w:szCs w:val="20"/>
              </w:rPr>
            </w:pPr>
            <w:r w:rsidRPr="00F75302">
              <w:rPr>
                <w:rFonts w:eastAsia="Times New Roman" w:cs="Arial"/>
                <w:b/>
                <w:sz w:val="20"/>
                <w:szCs w:val="20"/>
              </w:rPr>
              <w:t>000 kuna</w:t>
            </w:r>
          </w:p>
        </w:tc>
      </w:tr>
      <w:tr w:rsidR="00F75302" w:rsidRPr="00F75302" w14:paraId="38D58C8B" w14:textId="77777777" w:rsidTr="00F75302">
        <w:trPr>
          <w:trHeight w:hRule="exact" w:val="175"/>
          <w:jc w:val="center"/>
        </w:trPr>
        <w:tc>
          <w:tcPr>
            <w:tcW w:w="1257" w:type="pct"/>
          </w:tcPr>
          <w:p w14:paraId="34D7405E" w14:textId="77777777" w:rsidR="00F75302" w:rsidRPr="00F75302" w:rsidRDefault="00F75302" w:rsidP="00F75302">
            <w:pPr>
              <w:spacing w:after="0" w:line="360" w:lineRule="auto"/>
              <w:jc w:val="both"/>
              <w:rPr>
                <w:rFonts w:eastAsia="Times New Roman" w:cs="Arial"/>
                <w:bCs/>
                <w:sz w:val="20"/>
                <w:szCs w:val="20"/>
              </w:rPr>
            </w:pPr>
          </w:p>
        </w:tc>
        <w:tc>
          <w:tcPr>
            <w:tcW w:w="903" w:type="pct"/>
          </w:tcPr>
          <w:p w14:paraId="40CD341C" w14:textId="77777777" w:rsidR="00F75302" w:rsidRPr="00F75302" w:rsidRDefault="00F75302" w:rsidP="00F75302">
            <w:pPr>
              <w:spacing w:after="0" w:line="360" w:lineRule="auto"/>
              <w:jc w:val="center"/>
              <w:rPr>
                <w:rFonts w:eastAsia="Times New Roman" w:cs="Arial"/>
                <w:bCs/>
                <w:sz w:val="20"/>
                <w:szCs w:val="20"/>
              </w:rPr>
            </w:pPr>
          </w:p>
        </w:tc>
        <w:tc>
          <w:tcPr>
            <w:tcW w:w="974" w:type="pct"/>
            <w:vAlign w:val="center"/>
          </w:tcPr>
          <w:p w14:paraId="1B54E779" w14:textId="77777777" w:rsidR="00F75302" w:rsidRPr="00F75302" w:rsidRDefault="00F75302" w:rsidP="00F75302">
            <w:pPr>
              <w:spacing w:after="0" w:line="360" w:lineRule="auto"/>
              <w:jc w:val="right"/>
              <w:rPr>
                <w:rFonts w:eastAsia="Times New Roman" w:cs="Arial"/>
                <w:b/>
                <w:sz w:val="20"/>
                <w:szCs w:val="20"/>
              </w:rPr>
            </w:pPr>
          </w:p>
        </w:tc>
        <w:tc>
          <w:tcPr>
            <w:tcW w:w="911" w:type="pct"/>
          </w:tcPr>
          <w:p w14:paraId="2340C382" w14:textId="77777777" w:rsidR="00F75302" w:rsidRPr="00F75302" w:rsidRDefault="00F75302" w:rsidP="00F75302">
            <w:pPr>
              <w:spacing w:after="0" w:line="360" w:lineRule="auto"/>
              <w:jc w:val="right"/>
              <w:rPr>
                <w:rFonts w:eastAsia="Times New Roman" w:cs="Arial"/>
                <w:bCs/>
                <w:sz w:val="20"/>
                <w:szCs w:val="20"/>
              </w:rPr>
            </w:pPr>
          </w:p>
        </w:tc>
        <w:tc>
          <w:tcPr>
            <w:tcW w:w="955" w:type="pct"/>
            <w:vAlign w:val="center"/>
          </w:tcPr>
          <w:p w14:paraId="06990EB3" w14:textId="77777777" w:rsidR="00F75302" w:rsidRPr="00F75302" w:rsidRDefault="00F75302" w:rsidP="00F75302">
            <w:pPr>
              <w:spacing w:after="0" w:line="360" w:lineRule="auto"/>
              <w:jc w:val="right"/>
              <w:rPr>
                <w:rFonts w:eastAsia="Times New Roman" w:cs="Arial"/>
                <w:b/>
                <w:sz w:val="20"/>
                <w:szCs w:val="20"/>
              </w:rPr>
            </w:pPr>
          </w:p>
        </w:tc>
      </w:tr>
      <w:tr w:rsidR="00000848" w:rsidRPr="00F75302" w14:paraId="7A993FF1" w14:textId="77777777" w:rsidTr="00F75302">
        <w:trPr>
          <w:trHeight w:hRule="exact" w:val="284"/>
          <w:jc w:val="center"/>
        </w:trPr>
        <w:tc>
          <w:tcPr>
            <w:tcW w:w="1257" w:type="pct"/>
            <w:vAlign w:val="center"/>
          </w:tcPr>
          <w:p w14:paraId="737D8E14" w14:textId="77777777" w:rsidR="00000848" w:rsidRPr="00F75302" w:rsidRDefault="00000848" w:rsidP="00000848">
            <w:pPr>
              <w:spacing w:after="0" w:line="360" w:lineRule="auto"/>
              <w:jc w:val="both"/>
              <w:rPr>
                <w:rFonts w:eastAsia="Times New Roman" w:cs="Arial"/>
                <w:bCs/>
                <w:sz w:val="20"/>
                <w:szCs w:val="20"/>
              </w:rPr>
            </w:pPr>
            <w:r w:rsidRPr="00F75302">
              <w:rPr>
                <w:rFonts w:eastAsia="Times New Roman" w:cs="Arial"/>
                <w:bCs/>
                <w:sz w:val="20"/>
                <w:szCs w:val="20"/>
              </w:rPr>
              <w:t>EUR</w:t>
            </w:r>
          </w:p>
        </w:tc>
        <w:tc>
          <w:tcPr>
            <w:tcW w:w="903" w:type="pct"/>
          </w:tcPr>
          <w:p w14:paraId="32C09073" w14:textId="0545158E" w:rsidR="00000848" w:rsidRPr="001E2337" w:rsidRDefault="009273DC" w:rsidP="00322AAA">
            <w:pPr>
              <w:spacing w:after="0" w:line="360" w:lineRule="auto"/>
              <w:jc w:val="right"/>
              <w:rPr>
                <w:rFonts w:cs="Arial"/>
                <w:sz w:val="20"/>
                <w:szCs w:val="20"/>
              </w:rPr>
            </w:pPr>
            <w:r>
              <w:rPr>
                <w:rFonts w:cs="Arial"/>
                <w:sz w:val="20"/>
                <w:szCs w:val="20"/>
              </w:rPr>
              <w:t>+1,</w:t>
            </w:r>
            <w:r w:rsidR="00322AAA">
              <w:rPr>
                <w:rFonts w:cs="Arial"/>
                <w:sz w:val="20"/>
                <w:szCs w:val="20"/>
              </w:rPr>
              <w:t>5</w:t>
            </w:r>
          </w:p>
        </w:tc>
        <w:tc>
          <w:tcPr>
            <w:tcW w:w="974" w:type="pct"/>
          </w:tcPr>
          <w:p w14:paraId="207256EF" w14:textId="4E56FB48" w:rsidR="00000848" w:rsidRPr="001E2337" w:rsidRDefault="00322AAA" w:rsidP="00000848">
            <w:pPr>
              <w:spacing w:after="0" w:line="360" w:lineRule="auto"/>
              <w:jc w:val="right"/>
              <w:rPr>
                <w:rFonts w:cs="Arial"/>
                <w:sz w:val="20"/>
                <w:szCs w:val="20"/>
              </w:rPr>
            </w:pPr>
            <w:r>
              <w:rPr>
                <w:rFonts w:cs="Arial"/>
                <w:sz w:val="20"/>
                <w:szCs w:val="20"/>
              </w:rPr>
              <w:t>(2.954)</w:t>
            </w:r>
          </w:p>
        </w:tc>
        <w:tc>
          <w:tcPr>
            <w:tcW w:w="911" w:type="pct"/>
          </w:tcPr>
          <w:p w14:paraId="5D7DC96B" w14:textId="07BAD8B3" w:rsidR="00000848" w:rsidRPr="00C559D5" w:rsidRDefault="00000848" w:rsidP="00000848">
            <w:pPr>
              <w:spacing w:after="0" w:line="360" w:lineRule="auto"/>
              <w:jc w:val="right"/>
              <w:rPr>
                <w:rFonts w:cs="Arial"/>
                <w:sz w:val="20"/>
                <w:szCs w:val="20"/>
              </w:rPr>
            </w:pPr>
            <w:r w:rsidRPr="002B2DDF">
              <w:rPr>
                <w:rFonts w:cs="Arial"/>
                <w:sz w:val="20"/>
                <w:szCs w:val="20"/>
              </w:rPr>
              <w:t>+1,</w:t>
            </w:r>
            <w:r w:rsidR="003E4896">
              <w:rPr>
                <w:rFonts w:cs="Arial"/>
                <w:sz w:val="20"/>
                <w:szCs w:val="20"/>
              </w:rPr>
              <w:t>5</w:t>
            </w:r>
            <w:r w:rsidRPr="002B2DDF">
              <w:rPr>
                <w:rFonts w:cs="Arial"/>
                <w:sz w:val="20"/>
                <w:szCs w:val="20"/>
              </w:rPr>
              <w:t>%</w:t>
            </w:r>
          </w:p>
        </w:tc>
        <w:tc>
          <w:tcPr>
            <w:tcW w:w="955" w:type="pct"/>
          </w:tcPr>
          <w:p w14:paraId="3DA4E95C" w14:textId="04264E89" w:rsidR="00000848" w:rsidRPr="00C559D5" w:rsidRDefault="00000848" w:rsidP="00000848">
            <w:pPr>
              <w:spacing w:after="0" w:line="360" w:lineRule="auto"/>
              <w:jc w:val="right"/>
              <w:rPr>
                <w:rFonts w:cs="Arial"/>
                <w:sz w:val="20"/>
                <w:szCs w:val="20"/>
              </w:rPr>
            </w:pPr>
            <w:r w:rsidRPr="002B2DDF">
              <w:rPr>
                <w:rFonts w:cs="Arial"/>
                <w:sz w:val="20"/>
                <w:szCs w:val="20"/>
              </w:rPr>
              <w:t xml:space="preserve">                </w:t>
            </w:r>
            <w:r w:rsidR="003E4896">
              <w:rPr>
                <w:rFonts w:cs="Arial"/>
                <w:sz w:val="20"/>
                <w:szCs w:val="20"/>
              </w:rPr>
              <w:t>5</w:t>
            </w:r>
            <w:r w:rsidRPr="002B2DDF">
              <w:rPr>
                <w:rFonts w:cs="Arial"/>
                <w:sz w:val="20"/>
                <w:szCs w:val="20"/>
              </w:rPr>
              <w:t>.</w:t>
            </w:r>
            <w:r w:rsidR="003E4896">
              <w:rPr>
                <w:rFonts w:cs="Arial"/>
                <w:sz w:val="20"/>
                <w:szCs w:val="20"/>
              </w:rPr>
              <w:t>912</w:t>
            </w:r>
          </w:p>
        </w:tc>
      </w:tr>
      <w:tr w:rsidR="00000848" w:rsidRPr="00F75302" w14:paraId="46F20D03" w14:textId="77777777" w:rsidTr="00F75302">
        <w:trPr>
          <w:trHeight w:hRule="exact" w:val="103"/>
          <w:jc w:val="center"/>
        </w:trPr>
        <w:tc>
          <w:tcPr>
            <w:tcW w:w="1257" w:type="pct"/>
            <w:vAlign w:val="center"/>
          </w:tcPr>
          <w:p w14:paraId="6436F25D" w14:textId="77777777" w:rsidR="00000848" w:rsidRPr="00F75302" w:rsidRDefault="00000848" w:rsidP="00000848">
            <w:pPr>
              <w:spacing w:after="0" w:line="360" w:lineRule="auto"/>
              <w:jc w:val="both"/>
              <w:rPr>
                <w:rFonts w:eastAsia="Times New Roman" w:cs="Arial"/>
                <w:bCs/>
                <w:sz w:val="20"/>
                <w:szCs w:val="20"/>
              </w:rPr>
            </w:pPr>
          </w:p>
        </w:tc>
        <w:tc>
          <w:tcPr>
            <w:tcW w:w="903" w:type="pct"/>
          </w:tcPr>
          <w:p w14:paraId="2AFCD6B1" w14:textId="77777777" w:rsidR="00000848" w:rsidRPr="001E2337" w:rsidRDefault="00000848" w:rsidP="00000848">
            <w:pPr>
              <w:spacing w:after="0" w:line="360" w:lineRule="auto"/>
              <w:jc w:val="right"/>
              <w:rPr>
                <w:rFonts w:eastAsia="Times New Roman" w:cs="Arial"/>
                <w:bCs/>
                <w:sz w:val="20"/>
                <w:szCs w:val="20"/>
              </w:rPr>
            </w:pPr>
          </w:p>
        </w:tc>
        <w:tc>
          <w:tcPr>
            <w:tcW w:w="974" w:type="pct"/>
          </w:tcPr>
          <w:p w14:paraId="40C51646" w14:textId="77777777" w:rsidR="00000848" w:rsidRPr="00C559D5" w:rsidRDefault="00000848" w:rsidP="00000848">
            <w:pPr>
              <w:spacing w:after="0" w:line="360" w:lineRule="auto"/>
              <w:jc w:val="right"/>
              <w:rPr>
                <w:rFonts w:eastAsia="Times New Roman" w:cs="Arial"/>
                <w:bCs/>
                <w:sz w:val="20"/>
                <w:szCs w:val="20"/>
              </w:rPr>
            </w:pPr>
          </w:p>
        </w:tc>
        <w:tc>
          <w:tcPr>
            <w:tcW w:w="911" w:type="pct"/>
          </w:tcPr>
          <w:p w14:paraId="63F44A54" w14:textId="77777777" w:rsidR="00000848" w:rsidRPr="00681A09" w:rsidRDefault="00000848" w:rsidP="00000848">
            <w:pPr>
              <w:spacing w:after="0" w:line="360" w:lineRule="auto"/>
              <w:jc w:val="right"/>
              <w:rPr>
                <w:rFonts w:eastAsia="Times New Roman" w:cs="Arial"/>
                <w:bCs/>
                <w:sz w:val="20"/>
                <w:szCs w:val="20"/>
              </w:rPr>
            </w:pPr>
          </w:p>
        </w:tc>
        <w:tc>
          <w:tcPr>
            <w:tcW w:w="955" w:type="pct"/>
          </w:tcPr>
          <w:p w14:paraId="2DD45C9F" w14:textId="77777777" w:rsidR="00000848" w:rsidRPr="005B3D6C" w:rsidRDefault="00000848" w:rsidP="00000848">
            <w:pPr>
              <w:spacing w:after="0" w:line="360" w:lineRule="auto"/>
              <w:jc w:val="right"/>
              <w:rPr>
                <w:rFonts w:eastAsia="Times New Roman" w:cs="Arial"/>
                <w:bCs/>
                <w:sz w:val="20"/>
                <w:szCs w:val="20"/>
              </w:rPr>
            </w:pPr>
          </w:p>
        </w:tc>
      </w:tr>
      <w:tr w:rsidR="00000848" w:rsidRPr="00F75302" w14:paraId="0DA88E57" w14:textId="77777777" w:rsidTr="00F75302">
        <w:trPr>
          <w:trHeight w:hRule="exact" w:val="284"/>
          <w:jc w:val="center"/>
        </w:trPr>
        <w:tc>
          <w:tcPr>
            <w:tcW w:w="1257" w:type="pct"/>
            <w:vAlign w:val="center"/>
          </w:tcPr>
          <w:p w14:paraId="4EEA1058" w14:textId="77777777" w:rsidR="00000848" w:rsidRPr="00F75302" w:rsidRDefault="00000848" w:rsidP="00000848">
            <w:pPr>
              <w:spacing w:after="0" w:line="360" w:lineRule="auto"/>
              <w:jc w:val="both"/>
              <w:rPr>
                <w:rFonts w:eastAsia="Times New Roman" w:cs="Arial"/>
                <w:bCs/>
                <w:sz w:val="20"/>
                <w:szCs w:val="20"/>
              </w:rPr>
            </w:pPr>
            <w:r w:rsidRPr="00F75302">
              <w:rPr>
                <w:rFonts w:eastAsia="Times New Roman" w:cs="Arial"/>
                <w:bCs/>
                <w:sz w:val="20"/>
                <w:szCs w:val="20"/>
              </w:rPr>
              <w:t>EUR</w:t>
            </w:r>
          </w:p>
        </w:tc>
        <w:tc>
          <w:tcPr>
            <w:tcW w:w="903" w:type="pct"/>
          </w:tcPr>
          <w:p w14:paraId="0481DB29" w14:textId="2960191C" w:rsidR="00000848" w:rsidRPr="001E2337" w:rsidRDefault="009273DC" w:rsidP="00322AAA">
            <w:pPr>
              <w:spacing w:after="0" w:line="360" w:lineRule="auto"/>
              <w:jc w:val="right"/>
              <w:rPr>
                <w:rFonts w:eastAsia="Times New Roman" w:cs="Arial"/>
                <w:bCs/>
                <w:sz w:val="20"/>
                <w:szCs w:val="20"/>
              </w:rPr>
            </w:pPr>
            <w:r>
              <w:rPr>
                <w:rFonts w:eastAsia="Times New Roman" w:cs="Arial"/>
                <w:bCs/>
                <w:sz w:val="20"/>
                <w:szCs w:val="20"/>
              </w:rPr>
              <w:t>-1,</w:t>
            </w:r>
            <w:r w:rsidR="00322AAA">
              <w:rPr>
                <w:rFonts w:eastAsia="Times New Roman" w:cs="Arial"/>
                <w:bCs/>
                <w:sz w:val="20"/>
                <w:szCs w:val="20"/>
              </w:rPr>
              <w:t>5</w:t>
            </w:r>
          </w:p>
        </w:tc>
        <w:tc>
          <w:tcPr>
            <w:tcW w:w="974" w:type="pct"/>
          </w:tcPr>
          <w:p w14:paraId="04C1698C" w14:textId="0FCFF9C8" w:rsidR="00000848" w:rsidRPr="001E2337" w:rsidRDefault="00322AAA" w:rsidP="00000848">
            <w:pPr>
              <w:spacing w:after="0" w:line="360" w:lineRule="auto"/>
              <w:jc w:val="right"/>
              <w:rPr>
                <w:rFonts w:eastAsia="Times New Roman" w:cs="Arial"/>
                <w:bCs/>
                <w:sz w:val="20"/>
                <w:szCs w:val="20"/>
              </w:rPr>
            </w:pPr>
            <w:r>
              <w:rPr>
                <w:rFonts w:eastAsia="Times New Roman" w:cs="Arial"/>
                <w:bCs/>
                <w:sz w:val="20"/>
                <w:szCs w:val="20"/>
              </w:rPr>
              <w:t>4.341</w:t>
            </w:r>
          </w:p>
        </w:tc>
        <w:tc>
          <w:tcPr>
            <w:tcW w:w="911" w:type="pct"/>
          </w:tcPr>
          <w:p w14:paraId="0AFAD570" w14:textId="4C9F93CB" w:rsidR="00000848" w:rsidRPr="00C559D5" w:rsidRDefault="00000848" w:rsidP="00000848">
            <w:pPr>
              <w:spacing w:after="0" w:line="360" w:lineRule="auto"/>
              <w:jc w:val="right"/>
              <w:rPr>
                <w:rFonts w:eastAsia="Times New Roman" w:cs="Arial"/>
                <w:bCs/>
                <w:sz w:val="20"/>
                <w:szCs w:val="20"/>
              </w:rPr>
            </w:pPr>
            <w:r w:rsidRPr="002B2DDF">
              <w:rPr>
                <w:rFonts w:cs="Arial"/>
                <w:sz w:val="20"/>
                <w:szCs w:val="20"/>
              </w:rPr>
              <w:t>-1,</w:t>
            </w:r>
            <w:r w:rsidR="003E4896">
              <w:rPr>
                <w:rFonts w:cs="Arial"/>
                <w:sz w:val="20"/>
                <w:szCs w:val="20"/>
              </w:rPr>
              <w:t>5</w:t>
            </w:r>
            <w:r w:rsidRPr="002B2DDF">
              <w:rPr>
                <w:rFonts w:cs="Arial"/>
                <w:sz w:val="20"/>
                <w:szCs w:val="20"/>
              </w:rPr>
              <w:t>%</w:t>
            </w:r>
          </w:p>
        </w:tc>
        <w:tc>
          <w:tcPr>
            <w:tcW w:w="955" w:type="pct"/>
          </w:tcPr>
          <w:p w14:paraId="53DAD84B" w14:textId="0BB42AA0" w:rsidR="00000848" w:rsidRPr="00C559D5" w:rsidRDefault="00000848" w:rsidP="00000848">
            <w:pPr>
              <w:spacing w:after="0" w:line="360" w:lineRule="auto"/>
              <w:jc w:val="right"/>
              <w:rPr>
                <w:rFonts w:eastAsia="Times New Roman" w:cs="Arial"/>
                <w:bCs/>
                <w:sz w:val="20"/>
                <w:szCs w:val="20"/>
              </w:rPr>
            </w:pPr>
            <w:r w:rsidRPr="002B2DDF">
              <w:rPr>
                <w:rFonts w:cs="Arial"/>
                <w:sz w:val="20"/>
                <w:szCs w:val="20"/>
              </w:rPr>
              <w:t xml:space="preserve">              (</w:t>
            </w:r>
            <w:r w:rsidR="0006716C">
              <w:rPr>
                <w:rFonts w:cs="Arial"/>
                <w:sz w:val="20"/>
                <w:szCs w:val="20"/>
              </w:rPr>
              <w:t>5</w:t>
            </w:r>
            <w:r w:rsidRPr="002B2DDF">
              <w:rPr>
                <w:rFonts w:cs="Arial"/>
                <w:sz w:val="20"/>
                <w:szCs w:val="20"/>
              </w:rPr>
              <w:t>.</w:t>
            </w:r>
            <w:r w:rsidR="0006716C">
              <w:rPr>
                <w:rFonts w:cs="Arial"/>
                <w:sz w:val="20"/>
                <w:szCs w:val="20"/>
              </w:rPr>
              <w:t>020</w:t>
            </w:r>
            <w:r w:rsidRPr="002B2DDF">
              <w:rPr>
                <w:rFonts w:cs="Arial"/>
                <w:sz w:val="20"/>
                <w:szCs w:val="20"/>
              </w:rPr>
              <w:t>)</w:t>
            </w:r>
          </w:p>
        </w:tc>
      </w:tr>
    </w:tbl>
    <w:p w14:paraId="166951F6" w14:textId="77777777" w:rsidR="00F75302" w:rsidRDefault="00F75302" w:rsidP="00A37280">
      <w:pPr>
        <w:pStyle w:val="accountingpolicytitle"/>
        <w:rPr>
          <w:rFonts w:asciiTheme="minorHAnsi" w:hAnsiTheme="minorHAnsi" w:cstheme="minorHAnsi"/>
          <w:sz w:val="22"/>
          <w:szCs w:val="22"/>
          <w:lang w:val="hr-HR"/>
        </w:rPr>
      </w:pPr>
    </w:p>
    <w:p w14:paraId="617A003D" w14:textId="77777777" w:rsidR="00117564" w:rsidRDefault="00A37280" w:rsidP="00A37280">
      <w:pPr>
        <w:pStyle w:val="accountingpolicytitle"/>
        <w:rPr>
          <w:rFonts w:asciiTheme="minorHAnsi" w:hAnsiTheme="minorHAnsi" w:cstheme="minorHAnsi"/>
          <w:sz w:val="22"/>
          <w:szCs w:val="22"/>
          <w:lang w:val="hr-HR"/>
        </w:rPr>
      </w:pPr>
      <w:r>
        <w:rPr>
          <w:rFonts w:asciiTheme="minorHAnsi" w:hAnsiTheme="minorHAnsi" w:cstheme="minorHAnsi"/>
          <w:sz w:val="22"/>
          <w:szCs w:val="22"/>
          <w:lang w:val="hr-HR"/>
        </w:rPr>
        <w:t>1</w:t>
      </w:r>
      <w:r w:rsidR="00A249B7">
        <w:rPr>
          <w:rFonts w:asciiTheme="minorHAnsi" w:hAnsiTheme="minorHAnsi" w:cstheme="minorHAnsi"/>
          <w:sz w:val="22"/>
          <w:szCs w:val="22"/>
          <w:lang w:val="hr-HR"/>
        </w:rPr>
        <w:t>6</w:t>
      </w:r>
      <w:r>
        <w:rPr>
          <w:rFonts w:asciiTheme="minorHAnsi" w:hAnsiTheme="minorHAnsi" w:cstheme="minorHAnsi"/>
          <w:sz w:val="22"/>
          <w:szCs w:val="22"/>
          <w:lang w:val="hr-HR"/>
        </w:rPr>
        <w:t xml:space="preserve">.5.   </w:t>
      </w:r>
      <w:r w:rsidR="00117564" w:rsidRPr="00A37280">
        <w:rPr>
          <w:rFonts w:asciiTheme="minorHAnsi" w:hAnsiTheme="minorHAnsi" w:cstheme="minorHAnsi"/>
          <w:sz w:val="22"/>
          <w:szCs w:val="22"/>
          <w:lang w:val="hr-HR"/>
        </w:rPr>
        <w:t xml:space="preserve">Operativni rizik </w:t>
      </w:r>
    </w:p>
    <w:p w14:paraId="20681501" w14:textId="77777777" w:rsidR="00A37280" w:rsidRPr="00A37280" w:rsidRDefault="00A37280" w:rsidP="00A37280">
      <w:pPr>
        <w:pStyle w:val="accountingpolicytitle"/>
        <w:rPr>
          <w:rFonts w:asciiTheme="minorHAnsi" w:hAnsiTheme="minorHAnsi" w:cstheme="minorHAnsi"/>
          <w:sz w:val="22"/>
          <w:szCs w:val="22"/>
          <w:lang w:val="hr-HR"/>
        </w:rPr>
      </w:pPr>
    </w:p>
    <w:p w14:paraId="53FA8FF8" w14:textId="77777777" w:rsidR="00117564" w:rsidRDefault="00117564" w:rsidP="00A37280">
      <w:pPr>
        <w:widowControl w:val="0"/>
        <w:spacing w:after="0" w:line="240" w:lineRule="auto"/>
        <w:jc w:val="both"/>
        <w:rPr>
          <w:rFonts w:cstheme="minorHAnsi"/>
        </w:rPr>
      </w:pPr>
      <w:r w:rsidRPr="00A37280">
        <w:rPr>
          <w:rFonts w:cstheme="minorHAnsi"/>
        </w:rPr>
        <w:t xml:space="preserve">Banka ima uspostavljen okvir za upravljanje operativnim rizikom </w:t>
      </w:r>
      <w:r w:rsidR="00182B50">
        <w:rPr>
          <w:rFonts w:cstheme="minorHAnsi"/>
        </w:rPr>
        <w:t>koji je u značajnoj mjeri</w:t>
      </w:r>
      <w:r w:rsidR="00A234AF">
        <w:rPr>
          <w:rFonts w:cstheme="minorHAnsi"/>
        </w:rPr>
        <w:t xml:space="preserve"> </w:t>
      </w:r>
      <w:r w:rsidR="00182B50">
        <w:rPr>
          <w:rFonts w:cstheme="minorHAnsi"/>
        </w:rPr>
        <w:t>usklađen sa</w:t>
      </w:r>
      <w:r w:rsidR="00A234AF">
        <w:rPr>
          <w:rFonts w:cstheme="minorHAnsi"/>
        </w:rPr>
        <w:t xml:space="preserve"> </w:t>
      </w:r>
      <w:r w:rsidRPr="00A37280">
        <w:rPr>
          <w:rFonts w:cstheme="minorHAnsi"/>
        </w:rPr>
        <w:t>regulativ</w:t>
      </w:r>
      <w:r w:rsidR="00182B50">
        <w:rPr>
          <w:rFonts w:cstheme="minorHAnsi"/>
        </w:rPr>
        <w:t>om</w:t>
      </w:r>
      <w:r w:rsidRPr="00A37280">
        <w:rPr>
          <w:rFonts w:cstheme="minorHAnsi"/>
        </w:rPr>
        <w:t xml:space="preserve"> HNB-a primjenjivo</w:t>
      </w:r>
      <w:r w:rsidR="00A234AF">
        <w:rPr>
          <w:rFonts w:cstheme="minorHAnsi"/>
        </w:rPr>
        <w:t>j</w:t>
      </w:r>
      <w:r w:rsidRPr="00A37280">
        <w:rPr>
          <w:rFonts w:cstheme="minorHAnsi"/>
        </w:rPr>
        <w:t xml:space="preserve"> na poslovanje Banke i dobrim bankarskim praksama u dijelu upravljanja rizicima</w:t>
      </w:r>
      <w:r w:rsidR="00E31017" w:rsidRPr="00E31017">
        <w:rPr>
          <w:rFonts w:cstheme="minorHAnsi"/>
        </w:rPr>
        <w:t xml:space="preserve">, koji je uveden 2012. godine. </w:t>
      </w:r>
      <w:r w:rsidRPr="00A37280">
        <w:rPr>
          <w:rFonts w:cstheme="minorHAnsi"/>
        </w:rPr>
        <w:t xml:space="preserve"> </w:t>
      </w:r>
    </w:p>
    <w:p w14:paraId="04CDB359" w14:textId="77777777" w:rsidR="00E46421" w:rsidRPr="00A37280" w:rsidRDefault="00E46421" w:rsidP="00A37280">
      <w:pPr>
        <w:widowControl w:val="0"/>
        <w:spacing w:after="0" w:line="240" w:lineRule="auto"/>
        <w:jc w:val="both"/>
        <w:rPr>
          <w:rFonts w:cstheme="minorHAnsi"/>
        </w:rPr>
      </w:pPr>
    </w:p>
    <w:p w14:paraId="4E71F74F" w14:textId="6CD1D7BE" w:rsidR="00C13D97" w:rsidRDefault="00117564" w:rsidP="00C13D97">
      <w:pPr>
        <w:spacing w:after="0" w:line="240" w:lineRule="auto"/>
        <w:jc w:val="both"/>
        <w:rPr>
          <w:rFonts w:cstheme="minorHAnsi"/>
        </w:rPr>
      </w:pPr>
      <w:r w:rsidRPr="00A37280">
        <w:rPr>
          <w:rFonts w:cstheme="minorHAnsi"/>
        </w:rPr>
        <w:t xml:space="preserve">Temeljna načela upravljanja operativnim rizikom utvrđena su krovnim aktom Politike upravljanja operativnim rizikom, uspostavljena je struktura upravljanja i odgovornosti u sustavu, utvrđen pristup za </w:t>
      </w:r>
      <w:r w:rsidR="00C13D97" w:rsidRPr="00A37280">
        <w:rPr>
          <w:rFonts w:cstheme="minorHAnsi"/>
        </w:rPr>
        <w:t>izračun kapitalnog zahtjeva za operativni rizik</w:t>
      </w:r>
      <w:r w:rsidR="00E23847">
        <w:rPr>
          <w:rFonts w:cstheme="minorHAnsi"/>
        </w:rPr>
        <w:t>,</w:t>
      </w:r>
      <w:r w:rsidR="00C13D97" w:rsidRPr="00A37280">
        <w:rPr>
          <w:rFonts w:cstheme="minorHAnsi"/>
        </w:rPr>
        <w:t xml:space="preserve"> uspostavljen sustav </w:t>
      </w:r>
      <w:r w:rsidR="00C13D97">
        <w:rPr>
          <w:rFonts w:cstheme="minorHAnsi"/>
        </w:rPr>
        <w:t xml:space="preserve">evidentiranja i </w:t>
      </w:r>
      <w:r w:rsidR="00C13D97" w:rsidRPr="00A37280">
        <w:rPr>
          <w:rFonts w:cstheme="minorHAnsi"/>
        </w:rPr>
        <w:t>izvještavanja</w:t>
      </w:r>
      <w:r w:rsidR="00E23847">
        <w:rPr>
          <w:rFonts w:cstheme="minorHAnsi"/>
        </w:rPr>
        <w:t xml:space="preserve"> te uspostavljeno utvrđivanje, mjerenje, procjenjivanje, ovladavanje i praćenje operativnog rizika</w:t>
      </w:r>
      <w:r w:rsidR="00C13D97" w:rsidRPr="00A37280">
        <w:rPr>
          <w:rFonts w:cstheme="minorHAnsi"/>
        </w:rPr>
        <w:t>.</w:t>
      </w:r>
    </w:p>
    <w:p w14:paraId="05295FDA" w14:textId="77777777" w:rsidR="00A37280" w:rsidRPr="00A37280" w:rsidRDefault="00A37280" w:rsidP="00A37280">
      <w:pPr>
        <w:spacing w:after="0" w:line="240" w:lineRule="auto"/>
        <w:jc w:val="both"/>
        <w:rPr>
          <w:rFonts w:cstheme="minorHAnsi"/>
        </w:rPr>
      </w:pPr>
    </w:p>
    <w:p w14:paraId="1F4EF2FB" w14:textId="77777777" w:rsidR="00117564" w:rsidRPr="00A37280" w:rsidRDefault="00117564" w:rsidP="00A37280">
      <w:pPr>
        <w:spacing w:after="0" w:line="240" w:lineRule="auto"/>
        <w:jc w:val="both"/>
        <w:rPr>
          <w:rFonts w:cstheme="minorHAnsi"/>
        </w:rPr>
      </w:pPr>
      <w:r w:rsidRPr="00A37280">
        <w:rPr>
          <w:rFonts w:cstheme="minorHAnsi"/>
        </w:rPr>
        <w:t>Za praćenje i nadziranje rada informacijskog sustava zadužen je Odbor za upravljanje informacijskim sustavom HBOR-a čiji je osnovni cilj upravljanje resursima informacijskog sustava uz uspostavljanje odgovarajuće razine učinkovitosti i sigurnosti informacijskog sustava kako bi se osiguralo, između ostalog, primjereno upravljanje rizicima koji proizlaze iz korištenja informacijske tehnologije. Nadzor nad sigurnošću informacijskog sustava obavlja funkcija</w:t>
      </w:r>
      <w:r w:rsidR="00C13D97">
        <w:rPr>
          <w:rFonts w:cstheme="minorHAnsi"/>
        </w:rPr>
        <w:t xml:space="preserve"> </w:t>
      </w:r>
      <w:r w:rsidR="00E31017">
        <w:rPr>
          <w:rFonts w:cstheme="minorHAnsi"/>
        </w:rPr>
        <w:t>kontrole</w:t>
      </w:r>
      <w:r w:rsidR="00E31017" w:rsidRPr="00A37280">
        <w:rPr>
          <w:rFonts w:cstheme="minorHAnsi"/>
        </w:rPr>
        <w:t xml:space="preserve"> </w:t>
      </w:r>
      <w:r w:rsidRPr="00A37280">
        <w:rPr>
          <w:rFonts w:cstheme="minorHAnsi"/>
        </w:rPr>
        <w:t>sigurnosti informacijskog sustava. U okviru ove funkcije uspostavljen je sustav upravljanja kontinuitetom poslovanja.</w:t>
      </w:r>
    </w:p>
    <w:p w14:paraId="32CC5748" w14:textId="77777777" w:rsidR="00F75302" w:rsidRDefault="00F75302" w:rsidP="00A37280">
      <w:pPr>
        <w:spacing w:after="0" w:line="240" w:lineRule="auto"/>
        <w:jc w:val="both"/>
        <w:rPr>
          <w:rFonts w:cstheme="minorHAnsi"/>
        </w:rPr>
        <w:sectPr w:rsidR="00F75302" w:rsidSect="00000848">
          <w:footerReference w:type="first" r:id="rId126"/>
          <w:pgSz w:w="11906" w:h="16838" w:code="9"/>
          <w:pgMar w:top="1418" w:right="1418" w:bottom="595" w:left="1134" w:header="709" w:footer="709" w:gutter="0"/>
          <w:cols w:space="708"/>
          <w:titlePg/>
          <w:docGrid w:linePitch="360"/>
        </w:sectPr>
      </w:pPr>
    </w:p>
    <w:p w14:paraId="643D45A9" w14:textId="77777777" w:rsidR="00117564" w:rsidRPr="00A37280" w:rsidRDefault="00117564" w:rsidP="00A37280">
      <w:pPr>
        <w:spacing w:after="0" w:line="240" w:lineRule="auto"/>
        <w:jc w:val="both"/>
        <w:rPr>
          <w:rFonts w:cstheme="minorHAnsi"/>
        </w:rPr>
      </w:pPr>
    </w:p>
    <w:p w14:paraId="19F2F32B" w14:textId="77777777" w:rsidR="00050D24" w:rsidRPr="00F75302" w:rsidRDefault="00050D24" w:rsidP="00050D24">
      <w:pPr>
        <w:keepNext/>
        <w:spacing w:after="0" w:line="240" w:lineRule="auto"/>
        <w:ind w:left="709" w:hanging="709"/>
        <w:jc w:val="both"/>
        <w:rPr>
          <w:rFonts w:eastAsia="Times New Roman" w:cs="Arial"/>
          <w:b/>
          <w:bCs/>
        </w:rPr>
      </w:pPr>
      <w:r w:rsidRPr="00F75302">
        <w:rPr>
          <w:rFonts w:eastAsia="Times New Roman" w:cs="Arial"/>
          <w:b/>
          <w:bCs/>
        </w:rPr>
        <w:t>16.        Upravljanje rizicima (nastavak)</w:t>
      </w:r>
    </w:p>
    <w:p w14:paraId="3C5BF8D0" w14:textId="77777777" w:rsidR="00050D24" w:rsidRDefault="00050D24" w:rsidP="00A37280">
      <w:pPr>
        <w:pStyle w:val="t-9-8"/>
        <w:spacing w:before="0" w:beforeAutospacing="0" w:after="0" w:afterAutospacing="0"/>
        <w:jc w:val="both"/>
        <w:rPr>
          <w:rFonts w:asciiTheme="minorHAnsi" w:hAnsiTheme="minorHAnsi" w:cstheme="minorHAnsi"/>
          <w:b/>
          <w:sz w:val="22"/>
          <w:szCs w:val="22"/>
        </w:rPr>
      </w:pPr>
    </w:p>
    <w:p w14:paraId="1DA662CD" w14:textId="77777777" w:rsidR="00117564" w:rsidRDefault="00A37280" w:rsidP="00A37280">
      <w:pPr>
        <w:pStyle w:val="t-9-8"/>
        <w:spacing w:before="0" w:beforeAutospacing="0" w:after="0" w:afterAutospacing="0"/>
        <w:jc w:val="both"/>
        <w:rPr>
          <w:rFonts w:asciiTheme="minorHAnsi" w:hAnsiTheme="minorHAnsi" w:cstheme="minorHAnsi"/>
          <w:b/>
          <w:sz w:val="22"/>
          <w:szCs w:val="22"/>
        </w:rPr>
      </w:pPr>
      <w:r>
        <w:rPr>
          <w:rFonts w:asciiTheme="minorHAnsi" w:hAnsiTheme="minorHAnsi" w:cstheme="minorHAnsi"/>
          <w:b/>
          <w:sz w:val="22"/>
          <w:szCs w:val="22"/>
        </w:rPr>
        <w:t>1</w:t>
      </w:r>
      <w:r w:rsidR="00A249B7">
        <w:rPr>
          <w:rFonts w:asciiTheme="minorHAnsi" w:hAnsiTheme="minorHAnsi" w:cstheme="minorHAnsi"/>
          <w:b/>
          <w:sz w:val="22"/>
          <w:szCs w:val="22"/>
        </w:rPr>
        <w:t>6</w:t>
      </w:r>
      <w:r>
        <w:rPr>
          <w:rFonts w:asciiTheme="minorHAnsi" w:hAnsiTheme="minorHAnsi" w:cstheme="minorHAnsi"/>
          <w:b/>
          <w:sz w:val="22"/>
          <w:szCs w:val="22"/>
        </w:rPr>
        <w:t xml:space="preserve">.6.   </w:t>
      </w:r>
      <w:r w:rsidR="00117564" w:rsidRPr="00A37280">
        <w:rPr>
          <w:rFonts w:asciiTheme="minorHAnsi" w:hAnsiTheme="minorHAnsi" w:cstheme="minorHAnsi"/>
          <w:b/>
          <w:sz w:val="22"/>
          <w:szCs w:val="22"/>
        </w:rPr>
        <w:t>Rizik eksternalizacije</w:t>
      </w:r>
    </w:p>
    <w:p w14:paraId="1329165C" w14:textId="77777777" w:rsidR="00A37280" w:rsidRPr="00A37280" w:rsidRDefault="00A37280" w:rsidP="00A37280">
      <w:pPr>
        <w:pStyle w:val="t-9-8"/>
        <w:spacing w:before="0" w:beforeAutospacing="0" w:after="0" w:afterAutospacing="0"/>
        <w:jc w:val="both"/>
        <w:rPr>
          <w:rFonts w:asciiTheme="minorHAnsi" w:hAnsiTheme="minorHAnsi" w:cstheme="minorHAnsi"/>
          <w:b/>
          <w:sz w:val="22"/>
          <w:szCs w:val="22"/>
        </w:rPr>
      </w:pPr>
    </w:p>
    <w:p w14:paraId="2A4B90A1" w14:textId="77777777" w:rsidR="00117564" w:rsidRDefault="00117564" w:rsidP="00C13D97">
      <w:pPr>
        <w:pStyle w:val="t-9-8"/>
        <w:spacing w:before="0" w:beforeAutospacing="0" w:after="0" w:afterAutospacing="0"/>
        <w:jc w:val="both"/>
        <w:rPr>
          <w:rFonts w:asciiTheme="minorHAnsi" w:hAnsiTheme="minorHAnsi" w:cstheme="minorHAnsi"/>
          <w:sz w:val="22"/>
          <w:szCs w:val="22"/>
        </w:rPr>
      </w:pPr>
      <w:r w:rsidRPr="00A37280">
        <w:rPr>
          <w:rFonts w:asciiTheme="minorHAnsi" w:hAnsiTheme="minorHAnsi" w:cstheme="minorHAnsi"/>
          <w:sz w:val="22"/>
          <w:szCs w:val="22"/>
        </w:rPr>
        <w:t xml:space="preserve">Eksternalizacija se provodi s ciljem snižavanja troškova poslovanja, postizanja više razine usluga </w:t>
      </w:r>
      <w:r w:rsidRPr="00E31017">
        <w:rPr>
          <w:rFonts w:asciiTheme="minorHAnsi" w:hAnsiTheme="minorHAnsi" w:cstheme="minorHAnsi"/>
          <w:sz w:val="22"/>
          <w:szCs w:val="22"/>
        </w:rPr>
        <w:t>i</w:t>
      </w:r>
      <w:r w:rsidRPr="00A37280">
        <w:rPr>
          <w:rFonts w:asciiTheme="minorHAnsi" w:hAnsiTheme="minorHAnsi" w:cstheme="minorHAnsi"/>
          <w:sz w:val="22"/>
          <w:szCs w:val="22"/>
        </w:rPr>
        <w:t xml:space="preserve"> korištenja specijaliziranih stručnih znanja pružatelja usluga za obavljanje svakodnevnih djelatnosti.</w:t>
      </w:r>
    </w:p>
    <w:p w14:paraId="2FF835B9" w14:textId="77777777" w:rsidR="00A37280" w:rsidRPr="00A37280" w:rsidRDefault="00A37280" w:rsidP="00C13D97">
      <w:pPr>
        <w:pStyle w:val="t-9-8"/>
        <w:spacing w:before="0" w:beforeAutospacing="0" w:after="0" w:afterAutospacing="0"/>
        <w:jc w:val="both"/>
        <w:rPr>
          <w:rFonts w:asciiTheme="minorHAnsi" w:hAnsiTheme="minorHAnsi" w:cstheme="minorHAnsi"/>
          <w:sz w:val="22"/>
          <w:szCs w:val="22"/>
        </w:rPr>
      </w:pPr>
    </w:p>
    <w:p w14:paraId="6031CDC0" w14:textId="33FE083A" w:rsidR="00C13D97" w:rsidRPr="00DD0B81" w:rsidRDefault="00C13D97" w:rsidP="00C13D97">
      <w:pPr>
        <w:tabs>
          <w:tab w:val="left" w:pos="709"/>
        </w:tabs>
        <w:spacing w:after="0" w:line="240" w:lineRule="auto"/>
        <w:jc w:val="both"/>
        <w:rPr>
          <w:rFonts w:ascii="Arial" w:eastAsia="Times New Roman" w:hAnsi="Arial" w:cs="Arial"/>
          <w:sz w:val="19"/>
          <w:szCs w:val="19"/>
        </w:rPr>
      </w:pPr>
      <w:r w:rsidRPr="00A37280">
        <w:rPr>
          <w:rFonts w:cstheme="minorHAnsi"/>
        </w:rPr>
        <w:t xml:space="preserve">Banka upravlja rizikom eksternalizacije temeljem internih akata usklađenih s regulativom HNB-a i dobrim bankarskim praksama primjenjivom na njezino poslovanje. </w:t>
      </w:r>
      <w:r w:rsidR="00E46421">
        <w:rPr>
          <w:rFonts w:cstheme="minorHAnsi"/>
        </w:rPr>
        <w:t>I</w:t>
      </w:r>
      <w:r w:rsidRPr="00A37280">
        <w:rPr>
          <w:rFonts w:cstheme="minorHAnsi"/>
        </w:rPr>
        <w:t xml:space="preserve">nternim aktima </w:t>
      </w:r>
      <w:r w:rsidR="00E46421">
        <w:rPr>
          <w:rFonts w:cstheme="minorHAnsi"/>
        </w:rPr>
        <w:t xml:space="preserve">je </w:t>
      </w:r>
      <w:r w:rsidRPr="00A37280">
        <w:rPr>
          <w:rFonts w:cstheme="minorHAnsi"/>
        </w:rPr>
        <w:t>propisa</w:t>
      </w:r>
      <w:r w:rsidR="00E46421">
        <w:rPr>
          <w:rFonts w:cstheme="minorHAnsi"/>
        </w:rPr>
        <w:t>no</w:t>
      </w:r>
      <w:r w:rsidRPr="00A37280">
        <w:rPr>
          <w:rFonts w:cstheme="minorHAnsi"/>
        </w:rPr>
        <w:t xml:space="preserve"> upravljanje ovim rizikom</w:t>
      </w:r>
      <w:r w:rsidR="00E46421">
        <w:rPr>
          <w:rFonts w:cstheme="minorHAnsi"/>
        </w:rPr>
        <w:t>,</w:t>
      </w:r>
      <w:r w:rsidR="00893B41">
        <w:rPr>
          <w:rFonts w:cstheme="minorHAnsi"/>
        </w:rPr>
        <w:t xml:space="preserve"> </w:t>
      </w:r>
      <w:r w:rsidRPr="00A37280">
        <w:rPr>
          <w:rFonts w:cstheme="minorHAnsi"/>
        </w:rPr>
        <w:t xml:space="preserve">utvrđeni </w:t>
      </w:r>
      <w:r w:rsidR="00893B41">
        <w:rPr>
          <w:rFonts w:cstheme="minorHAnsi"/>
        </w:rPr>
        <w:t xml:space="preserve">su </w:t>
      </w:r>
      <w:r w:rsidRPr="00A37280">
        <w:rPr>
          <w:rFonts w:cstheme="minorHAnsi"/>
        </w:rPr>
        <w:t>postupci provođenja</w:t>
      </w:r>
      <w:r w:rsidRPr="003851E1">
        <w:rPr>
          <w:rFonts w:cstheme="minorHAnsi"/>
        </w:rPr>
        <w:t xml:space="preserve"> eksternaliziranih aktivnosti, upravljanje odnosima s pružateljima usluga </w:t>
      </w:r>
      <w:r>
        <w:rPr>
          <w:rFonts w:cstheme="minorHAnsi"/>
        </w:rPr>
        <w:t>i</w:t>
      </w:r>
      <w:r w:rsidRPr="003851E1">
        <w:rPr>
          <w:rFonts w:cstheme="minorHAnsi"/>
        </w:rPr>
        <w:t xml:space="preserve"> svođenje rizika na najmanju mjeru.</w:t>
      </w:r>
      <w:r w:rsidRPr="008F4E4D">
        <w:rPr>
          <w:rFonts w:eastAsia="Times New Roman" w:cs="Arial"/>
        </w:rPr>
        <w:t xml:space="preserve"> </w:t>
      </w:r>
    </w:p>
    <w:p w14:paraId="71AF2CE4" w14:textId="77777777" w:rsidR="00A37280" w:rsidRPr="003851E1" w:rsidRDefault="00A37280" w:rsidP="00C13D97">
      <w:pPr>
        <w:widowControl w:val="0"/>
        <w:spacing w:after="0" w:line="240" w:lineRule="auto"/>
        <w:jc w:val="both"/>
        <w:rPr>
          <w:rFonts w:cstheme="minorHAnsi"/>
        </w:rPr>
      </w:pPr>
    </w:p>
    <w:p w14:paraId="685A277A" w14:textId="77777777" w:rsidR="00117564" w:rsidRPr="003851E1" w:rsidRDefault="00117564" w:rsidP="00C13D97">
      <w:pPr>
        <w:tabs>
          <w:tab w:val="left" w:pos="709"/>
        </w:tabs>
        <w:spacing w:after="0" w:line="240" w:lineRule="auto"/>
        <w:jc w:val="both"/>
        <w:rPr>
          <w:rFonts w:cstheme="minorHAnsi"/>
        </w:rPr>
      </w:pPr>
      <w:r w:rsidRPr="003851E1">
        <w:rPr>
          <w:rFonts w:cstheme="minorHAnsi"/>
        </w:rPr>
        <w:t>Uspostavljena je centralna evidencija o eksternaliziranim aktivnostima</w:t>
      </w:r>
      <w:r w:rsidR="00E31017">
        <w:rPr>
          <w:rFonts w:cstheme="minorHAnsi"/>
        </w:rPr>
        <w:t>, a</w:t>
      </w:r>
      <w:r w:rsidRPr="003851E1">
        <w:rPr>
          <w:rFonts w:cstheme="minorHAnsi"/>
        </w:rPr>
        <w:t xml:space="preserve"> o </w:t>
      </w:r>
      <w:r w:rsidR="00E31017">
        <w:rPr>
          <w:rFonts w:cstheme="minorHAnsi"/>
        </w:rPr>
        <w:t>materijalno značajnim eksternalizacijama</w:t>
      </w:r>
      <w:r w:rsidRPr="003851E1">
        <w:rPr>
          <w:rFonts w:cstheme="minorHAnsi"/>
        </w:rPr>
        <w:t xml:space="preserve"> godišnje </w:t>
      </w:r>
      <w:r w:rsidR="00E31017">
        <w:rPr>
          <w:rFonts w:cstheme="minorHAnsi"/>
        </w:rPr>
        <w:t xml:space="preserve">se </w:t>
      </w:r>
      <w:r w:rsidRPr="003851E1">
        <w:rPr>
          <w:rFonts w:cstheme="minorHAnsi"/>
        </w:rPr>
        <w:t xml:space="preserve">izvještava </w:t>
      </w:r>
      <w:r w:rsidR="00E31017" w:rsidRPr="003851E1">
        <w:rPr>
          <w:rFonts w:cstheme="minorHAnsi"/>
        </w:rPr>
        <w:t>Uprav</w:t>
      </w:r>
      <w:r w:rsidR="00E31017">
        <w:rPr>
          <w:rFonts w:cstheme="minorHAnsi"/>
        </w:rPr>
        <w:t>u</w:t>
      </w:r>
      <w:r w:rsidR="00E31017" w:rsidRPr="003851E1">
        <w:rPr>
          <w:rFonts w:cstheme="minorHAnsi"/>
        </w:rPr>
        <w:t xml:space="preserve"> </w:t>
      </w:r>
      <w:r w:rsidRPr="003851E1">
        <w:rPr>
          <w:rFonts w:cstheme="minorHAnsi"/>
        </w:rPr>
        <w:t xml:space="preserve">i Nadzorni odbor Banke.  </w:t>
      </w:r>
    </w:p>
    <w:p w14:paraId="65A96EE0" w14:textId="77777777" w:rsidR="00117564" w:rsidRPr="003851E1" w:rsidRDefault="00117564" w:rsidP="00C13D97">
      <w:pPr>
        <w:spacing w:after="0" w:line="240" w:lineRule="auto"/>
        <w:jc w:val="both"/>
        <w:rPr>
          <w:rFonts w:cstheme="minorHAnsi"/>
        </w:rPr>
      </w:pPr>
    </w:p>
    <w:p w14:paraId="300F755F" w14:textId="77777777" w:rsidR="00117564" w:rsidRDefault="00117564" w:rsidP="00117564">
      <w:pPr>
        <w:rPr>
          <w:rFonts w:cstheme="minorHAnsi"/>
          <w:b/>
        </w:rPr>
      </w:pPr>
    </w:p>
    <w:p w14:paraId="5C1689DD" w14:textId="77777777" w:rsidR="00D01DD2" w:rsidRPr="00ED4731" w:rsidRDefault="00D01DD2" w:rsidP="00E604A2">
      <w:pPr>
        <w:tabs>
          <w:tab w:val="left" w:pos="709"/>
        </w:tabs>
        <w:spacing w:after="0" w:line="240" w:lineRule="auto"/>
        <w:jc w:val="both"/>
        <w:rPr>
          <w:rFonts w:eastAsia="Times New Roman" w:cs="Arial"/>
        </w:rPr>
        <w:sectPr w:rsidR="00D01DD2" w:rsidRPr="00ED4731" w:rsidSect="00000848">
          <w:footerReference w:type="first" r:id="rId127"/>
          <w:pgSz w:w="11906" w:h="16838" w:code="9"/>
          <w:pgMar w:top="1418" w:right="1418" w:bottom="595" w:left="1134" w:header="709" w:footer="709" w:gutter="0"/>
          <w:cols w:space="708"/>
          <w:titlePg/>
          <w:docGrid w:linePitch="360"/>
        </w:sectPr>
      </w:pPr>
    </w:p>
    <w:p w14:paraId="67B3C0A5" w14:textId="77777777" w:rsidR="005F316D" w:rsidRDefault="005F316D" w:rsidP="00A37280">
      <w:pPr>
        <w:tabs>
          <w:tab w:val="left" w:pos="709"/>
        </w:tabs>
        <w:spacing w:after="0" w:line="240" w:lineRule="auto"/>
        <w:jc w:val="both"/>
        <w:rPr>
          <w:rFonts w:eastAsia="Times New Roman" w:cs="Arial"/>
          <w:sz w:val="24"/>
          <w:szCs w:val="24"/>
        </w:rPr>
      </w:pPr>
    </w:p>
    <w:p w14:paraId="75F26037" w14:textId="77777777" w:rsidR="002A4A84" w:rsidRDefault="009167D7" w:rsidP="0026529E">
      <w:pPr>
        <w:keepNext/>
        <w:spacing w:after="0" w:line="240" w:lineRule="auto"/>
        <w:ind w:left="708" w:hanging="708"/>
        <w:jc w:val="both"/>
        <w:rPr>
          <w:rFonts w:eastAsia="Times New Roman" w:cs="Arial"/>
          <w:b/>
          <w:bCs/>
          <w:spacing w:val="-3"/>
        </w:rPr>
      </w:pPr>
      <w:r w:rsidRPr="00ED4731">
        <w:rPr>
          <w:rFonts w:eastAsia="Times New Roman" w:cs="Arial"/>
          <w:b/>
          <w:bCs/>
          <w:spacing w:val="-3"/>
        </w:rPr>
        <w:t>1</w:t>
      </w:r>
      <w:r w:rsidR="00A249B7">
        <w:rPr>
          <w:rFonts w:eastAsia="Times New Roman" w:cs="Arial"/>
          <w:b/>
          <w:bCs/>
          <w:spacing w:val="-3"/>
        </w:rPr>
        <w:t>7</w:t>
      </w:r>
      <w:r w:rsidR="002A4A84" w:rsidRPr="00ED4731">
        <w:rPr>
          <w:rFonts w:eastAsia="Times New Roman" w:cs="Arial"/>
          <w:b/>
          <w:bCs/>
          <w:spacing w:val="-3"/>
        </w:rPr>
        <w:t xml:space="preserve">. </w:t>
      </w:r>
      <w:r w:rsidR="002A4A84" w:rsidRPr="00ED4731">
        <w:rPr>
          <w:rFonts w:eastAsia="Times New Roman" w:cs="Arial"/>
          <w:b/>
          <w:bCs/>
          <w:spacing w:val="-3"/>
        </w:rPr>
        <w:tab/>
      </w:r>
      <w:r w:rsidR="00AA3EA3" w:rsidRPr="00ED4731">
        <w:rPr>
          <w:rFonts w:eastAsia="Times New Roman" w:cs="Arial"/>
          <w:b/>
          <w:bCs/>
          <w:spacing w:val="-3"/>
        </w:rPr>
        <w:t xml:space="preserve">Fer vrijednost financijske imovine i financijskih obveza koji su nakon početnog priznavanja svedeni na fer vrijednost </w:t>
      </w:r>
    </w:p>
    <w:p w14:paraId="6E621BDC" w14:textId="77777777" w:rsidR="00A37280" w:rsidRPr="00ED4731" w:rsidRDefault="00A37280" w:rsidP="00A37280">
      <w:pPr>
        <w:keepNext/>
        <w:spacing w:after="0" w:line="240" w:lineRule="auto"/>
        <w:jc w:val="both"/>
        <w:rPr>
          <w:rFonts w:eastAsia="Times New Roman" w:cs="Arial"/>
          <w:b/>
          <w:bCs/>
          <w:spacing w:val="-3"/>
        </w:rPr>
      </w:pPr>
    </w:p>
    <w:p w14:paraId="44D3A6C1" w14:textId="77777777" w:rsidR="00493F09" w:rsidRDefault="00493F09" w:rsidP="00A37280">
      <w:pPr>
        <w:spacing w:after="0" w:line="240" w:lineRule="auto"/>
        <w:jc w:val="both"/>
        <w:rPr>
          <w:rFonts w:cs="Arial"/>
          <w:bCs/>
        </w:rPr>
      </w:pPr>
      <w:r w:rsidRPr="00493F09">
        <w:rPr>
          <w:rFonts w:cs="Arial"/>
          <w:bCs/>
        </w:rPr>
        <w:t xml:space="preserve">Fer vrijednost je cijena koja bi bila ostvarena na datum mjerenja prodajom neke stavke imovine ili plaćena za prijenos neke obveze Grupe u urednoj transakciji na glavnom, odnosno najpovoljnijem tržištu pod postojećim tržišnim uvjetima. </w:t>
      </w:r>
    </w:p>
    <w:p w14:paraId="06B1203F" w14:textId="77777777" w:rsidR="00A37280" w:rsidRPr="00493F09" w:rsidRDefault="00A37280" w:rsidP="00A37280">
      <w:pPr>
        <w:spacing w:after="0" w:line="240" w:lineRule="auto"/>
        <w:jc w:val="both"/>
        <w:rPr>
          <w:rFonts w:cs="Arial"/>
          <w:bCs/>
        </w:rPr>
      </w:pPr>
    </w:p>
    <w:p w14:paraId="542EB41A" w14:textId="77777777" w:rsidR="00493F09" w:rsidRDefault="00493F09" w:rsidP="00A37280">
      <w:pPr>
        <w:spacing w:after="0" w:line="240" w:lineRule="auto"/>
        <w:jc w:val="both"/>
        <w:rPr>
          <w:rFonts w:cs="Arial"/>
          <w:bCs/>
        </w:rPr>
      </w:pPr>
      <w:r w:rsidRPr="00493F09">
        <w:rPr>
          <w:rFonts w:cs="Arial"/>
          <w:bCs/>
        </w:rPr>
        <w:t>Osnovnu cijenu predstavlja izlazna cijena, neovisno o tome da li je ona neposredno vidljiva ili procijenjena nekom drugom metodom vrednovanja.</w:t>
      </w:r>
    </w:p>
    <w:p w14:paraId="1EC03186" w14:textId="77777777" w:rsidR="00A37280" w:rsidRPr="00493F09" w:rsidRDefault="00A37280" w:rsidP="00A37280">
      <w:pPr>
        <w:spacing w:after="0" w:line="240" w:lineRule="auto"/>
        <w:jc w:val="both"/>
        <w:rPr>
          <w:rFonts w:cs="Arial"/>
          <w:bCs/>
        </w:rPr>
      </w:pPr>
    </w:p>
    <w:p w14:paraId="4E38A09E" w14:textId="77777777" w:rsidR="00493F09" w:rsidRPr="00493F09" w:rsidRDefault="00493F09" w:rsidP="00A37280">
      <w:pPr>
        <w:spacing w:after="0" w:line="240" w:lineRule="auto"/>
        <w:jc w:val="both"/>
        <w:rPr>
          <w:rFonts w:cs="Arial"/>
        </w:rPr>
      </w:pPr>
      <w:r w:rsidRPr="00493F09">
        <w:rPr>
          <w:rFonts w:cs="Arial"/>
        </w:rPr>
        <w:t>Pri početnom priznavanju, kad</w:t>
      </w:r>
      <w:r w:rsidR="00A366C7">
        <w:rPr>
          <w:rFonts w:cs="Arial"/>
        </w:rPr>
        <w:t>a</w:t>
      </w:r>
      <w:r w:rsidRPr="00493F09">
        <w:rPr>
          <w:rFonts w:cs="Arial"/>
        </w:rPr>
        <w:t xml:space="preserve"> je neka stavka financijske imovine stečena ili neka obveza preuzeta u razmjeni za tu stavku imovine, odnosno obvezu, transakcijska cijena je cijena plaćena za stjecanje predmetne stavke imovine, odnosno primljena za preuzimanje predmetne obveze (ulazna cijena). </w:t>
      </w:r>
    </w:p>
    <w:p w14:paraId="6D76BD6A" w14:textId="77777777" w:rsidR="00493F09" w:rsidRPr="00D02F3F" w:rsidRDefault="00493F09" w:rsidP="00A37280">
      <w:pPr>
        <w:pStyle w:val="accountingpolicytitle"/>
        <w:rPr>
          <w:rFonts w:asciiTheme="minorHAnsi" w:hAnsiTheme="minorHAnsi" w:cs="Arial"/>
          <w:b w:val="0"/>
          <w:sz w:val="22"/>
          <w:szCs w:val="22"/>
          <w:lang w:val="hr-HR"/>
        </w:rPr>
      </w:pPr>
      <w:r w:rsidRPr="00D02F3F">
        <w:rPr>
          <w:rFonts w:asciiTheme="minorHAnsi" w:hAnsiTheme="minorHAnsi" w:cs="Arial"/>
          <w:b w:val="0"/>
          <w:sz w:val="22"/>
          <w:szCs w:val="22"/>
          <w:lang w:val="hr-HR"/>
        </w:rPr>
        <w:t>Fer vrijednost imovine ili obveze je cijena koja bi bila ostvarena prodajom imovine, odnosno plaćena za prijenos obveze (izlazna cijena).</w:t>
      </w:r>
    </w:p>
    <w:p w14:paraId="7F4D7A8C" w14:textId="77777777" w:rsidR="00A37280" w:rsidRPr="00493F09" w:rsidRDefault="00A37280" w:rsidP="00A37280">
      <w:pPr>
        <w:pStyle w:val="accountingpolicytitle"/>
        <w:rPr>
          <w:rFonts w:asciiTheme="minorHAnsi" w:hAnsiTheme="minorHAnsi" w:cs="Arial"/>
          <w:b w:val="0"/>
          <w:sz w:val="22"/>
          <w:szCs w:val="22"/>
        </w:rPr>
      </w:pPr>
    </w:p>
    <w:p w14:paraId="5A63548E" w14:textId="77777777" w:rsidR="00493F09" w:rsidRDefault="00493F09" w:rsidP="00A37280">
      <w:pPr>
        <w:spacing w:after="0" w:line="240" w:lineRule="auto"/>
        <w:jc w:val="both"/>
        <w:rPr>
          <w:rFonts w:cs="Arial"/>
        </w:rPr>
      </w:pPr>
      <w:r w:rsidRPr="00493F09">
        <w:rPr>
          <w:rFonts w:cs="Arial"/>
        </w:rPr>
        <w:t>Ako odredbe nekog MSFI-ja ili zakonske odredbe propisuju ili dopuštaju mjerenje neke stavke imovine ili obveze kod prvog knjiženja po fer vrijednosti i ako se u tome slučaju transakcijska cijena razlikuje od fer vrijednosti, Grupa tako nastale dobitke i gubitke uračunava u dobit i gubitak, osim ako nije propisano drugačije.</w:t>
      </w:r>
    </w:p>
    <w:p w14:paraId="2FAFA3A1" w14:textId="77777777" w:rsidR="00A37280" w:rsidRPr="00493F09" w:rsidRDefault="00A37280" w:rsidP="00A37280">
      <w:pPr>
        <w:spacing w:after="0" w:line="240" w:lineRule="auto"/>
        <w:jc w:val="both"/>
        <w:rPr>
          <w:rFonts w:cs="Arial"/>
        </w:rPr>
      </w:pPr>
    </w:p>
    <w:p w14:paraId="00251B61" w14:textId="77777777" w:rsidR="00493F09" w:rsidRDefault="00493F09" w:rsidP="00A37280">
      <w:pPr>
        <w:spacing w:after="0" w:line="240" w:lineRule="auto"/>
        <w:jc w:val="both"/>
        <w:rPr>
          <w:rFonts w:cs="Arial"/>
          <w:bCs/>
        </w:rPr>
      </w:pPr>
      <w:r w:rsidRPr="00493F09">
        <w:rPr>
          <w:rFonts w:cs="Arial"/>
          <w:bCs/>
        </w:rPr>
        <w:t>Pri utvrđivanju fer vrijednosti Grupa koristi što više relevantnih vidljivih ulaznih podataka, a što manje ulaznih podataka koji nisu vidljivi.</w:t>
      </w:r>
    </w:p>
    <w:p w14:paraId="2A97FB15" w14:textId="77777777" w:rsidR="00A37280" w:rsidRPr="00DD1304" w:rsidRDefault="00A37280" w:rsidP="00DD1304">
      <w:pPr>
        <w:spacing w:after="0" w:line="240" w:lineRule="auto"/>
        <w:jc w:val="both"/>
        <w:rPr>
          <w:rFonts w:cs="Arial"/>
          <w:bCs/>
        </w:rPr>
      </w:pPr>
    </w:p>
    <w:p w14:paraId="238819DE" w14:textId="77777777" w:rsidR="00DD1304" w:rsidRDefault="00DD1304" w:rsidP="00DD1304">
      <w:pPr>
        <w:spacing w:after="0" w:line="240" w:lineRule="auto"/>
        <w:jc w:val="both"/>
        <w:rPr>
          <w:rFonts w:cs="Arial"/>
        </w:rPr>
      </w:pPr>
      <w:r w:rsidRPr="00DD1304">
        <w:rPr>
          <w:rFonts w:cs="Arial"/>
        </w:rPr>
        <w:t xml:space="preserve">Grupa odabire ulazne podatke prema obilježjima stavke imovine ili obveze koje bi tržišni sudionici uzeli u obzir u transakciji predmetnom imovinom, odnosno obvezom. </w:t>
      </w:r>
    </w:p>
    <w:p w14:paraId="37551538" w14:textId="77777777" w:rsidR="00DD1304" w:rsidRPr="00DD1304" w:rsidRDefault="00DD1304" w:rsidP="00DD1304">
      <w:pPr>
        <w:spacing w:after="0" w:line="240" w:lineRule="auto"/>
        <w:jc w:val="both"/>
        <w:rPr>
          <w:rFonts w:cs="Arial"/>
        </w:rPr>
      </w:pPr>
    </w:p>
    <w:p w14:paraId="561BC854" w14:textId="77777777" w:rsidR="00DD1304" w:rsidRDefault="00DD1304" w:rsidP="00DD1304">
      <w:pPr>
        <w:spacing w:after="0" w:line="240" w:lineRule="auto"/>
        <w:jc w:val="both"/>
        <w:rPr>
          <w:rFonts w:cs="Arial"/>
        </w:rPr>
      </w:pPr>
      <w:r w:rsidRPr="00DD1304">
        <w:rPr>
          <w:rFonts w:cs="Arial"/>
        </w:rPr>
        <w:t>Ako neka stavka imovine ili neka obveza mjerena po fer vrijednosti ima kupovnu cijenu i prodajnu cijenu (npr. ulazni podatak s dilerskog tržišta), za mjerenje fer vrijednosti koristi se cijena unutar raspona između kupovne i prodajne cijene koja najreprezentativnije odražava fer vrijednost.</w:t>
      </w:r>
    </w:p>
    <w:p w14:paraId="02E12732" w14:textId="77777777" w:rsidR="00DD1304" w:rsidRPr="00DD1304" w:rsidRDefault="00DD1304" w:rsidP="00DD1304">
      <w:pPr>
        <w:spacing w:after="0" w:line="240" w:lineRule="auto"/>
        <w:jc w:val="both"/>
        <w:rPr>
          <w:rFonts w:cs="Arial"/>
        </w:rPr>
      </w:pPr>
    </w:p>
    <w:p w14:paraId="12A95321" w14:textId="77777777" w:rsidR="00DD1304" w:rsidRDefault="00DD1304" w:rsidP="00DD1304">
      <w:pPr>
        <w:spacing w:after="0" w:line="240" w:lineRule="auto"/>
        <w:jc w:val="both"/>
        <w:rPr>
          <w:rFonts w:cs="Arial"/>
        </w:rPr>
      </w:pPr>
      <w:r w:rsidRPr="00DD1304">
        <w:rPr>
          <w:rFonts w:cs="Arial"/>
        </w:rPr>
        <w:t>Sukladno navedenome, knjigovodstveni iznosi novca i stanja na računu kod Hrvatske narodne banke općenito su približno iskazani po njihovim fer vrijednostima.</w:t>
      </w:r>
    </w:p>
    <w:p w14:paraId="04E6C1AE" w14:textId="77777777" w:rsidR="00DD1304" w:rsidRPr="00DD1304" w:rsidRDefault="00DD1304" w:rsidP="00DD1304">
      <w:pPr>
        <w:spacing w:after="0" w:line="240" w:lineRule="auto"/>
        <w:jc w:val="both"/>
        <w:rPr>
          <w:rFonts w:cs="Arial"/>
        </w:rPr>
      </w:pPr>
    </w:p>
    <w:p w14:paraId="23A0EC88" w14:textId="77777777" w:rsidR="00DD1304" w:rsidRDefault="00DD1304" w:rsidP="00DD1304">
      <w:pPr>
        <w:spacing w:after="0" w:line="240" w:lineRule="auto"/>
        <w:jc w:val="both"/>
        <w:rPr>
          <w:rFonts w:cs="Arial"/>
          <w:bCs/>
        </w:rPr>
      </w:pPr>
      <w:r w:rsidRPr="00DD1304">
        <w:rPr>
          <w:rFonts w:cs="Arial"/>
          <w:bCs/>
        </w:rPr>
        <w:t>Procijenjena fer vrijednost depozita kod drugih banaka približna je njihovim knjigovodstvenim iznosima, s obzirom da svi iznosi dospijevaju najkasnije do 90 dana.</w:t>
      </w:r>
    </w:p>
    <w:p w14:paraId="6F9ED959" w14:textId="77777777" w:rsidR="00DD1304" w:rsidRPr="00DD1304" w:rsidRDefault="00DD1304" w:rsidP="00DD1304">
      <w:pPr>
        <w:spacing w:after="0" w:line="240" w:lineRule="auto"/>
        <w:jc w:val="both"/>
        <w:rPr>
          <w:rFonts w:cs="Arial"/>
          <w:bCs/>
        </w:rPr>
      </w:pPr>
    </w:p>
    <w:p w14:paraId="3C051129" w14:textId="77777777" w:rsidR="00DD1304" w:rsidRPr="004032D9" w:rsidRDefault="00DD1304" w:rsidP="00DD1304">
      <w:pPr>
        <w:spacing w:after="0" w:line="240" w:lineRule="auto"/>
        <w:jc w:val="both"/>
        <w:rPr>
          <w:rFonts w:cs="Arial"/>
        </w:rPr>
      </w:pPr>
      <w:r w:rsidRPr="00DD1304">
        <w:rPr>
          <w:rFonts w:cs="Arial"/>
        </w:rPr>
        <w:t xml:space="preserve">Krediti i predujmovi </w:t>
      </w:r>
      <w:r w:rsidR="00E31017">
        <w:rPr>
          <w:rFonts w:cs="Arial"/>
        </w:rPr>
        <w:t>financijskim institucijama</w:t>
      </w:r>
      <w:r w:rsidR="00E31017" w:rsidRPr="00DD1304">
        <w:rPr>
          <w:rFonts w:cs="Arial"/>
        </w:rPr>
        <w:t xml:space="preserve"> </w:t>
      </w:r>
      <w:r w:rsidRPr="00DD1304">
        <w:rPr>
          <w:rFonts w:cs="Arial"/>
        </w:rPr>
        <w:t>i ostalim klijentima su iskazani u neto vrijednosti, odnosno umanjeni za iznos rezerviranja radi umanjenja vrijednosti. Njihova procijenjena fer vrijednost predstavlja diskontirani iznos procijenjenih očekivanih budućih priljeva novca. Prilikom sagledavanja fer vrijednosti uzima se u obzir i subvencionirana kamata koja je u diskontiranom iznosu prikazana kao odgođeno priznavanje kamatnih prihoda u ostalim obvezama</w:t>
      </w:r>
      <w:r w:rsidRPr="004032D9">
        <w:rPr>
          <w:rFonts w:cs="Arial"/>
        </w:rPr>
        <w:t>. Kod kredita nastalih u kunama koji su jednosmjernom valutnom klauzulom vezani uz stranu valutu, pri procjeni fer vrijednosti ove opcije primjenjuje se postupak opisan pod „Transakcije u stranim valutama i uz valutnu klauzulu“.</w:t>
      </w:r>
    </w:p>
    <w:p w14:paraId="2970260A" w14:textId="77777777" w:rsidR="00DD1304" w:rsidRPr="004032D9" w:rsidRDefault="00DD1304" w:rsidP="00DD1304">
      <w:pPr>
        <w:spacing w:after="0" w:line="240" w:lineRule="auto"/>
        <w:jc w:val="both"/>
        <w:rPr>
          <w:rFonts w:cs="Arial"/>
        </w:rPr>
        <w:sectPr w:rsidR="00DD1304" w:rsidRPr="004032D9" w:rsidSect="00B46EF4">
          <w:footerReference w:type="first" r:id="rId128"/>
          <w:pgSz w:w="11906" w:h="16838" w:code="9"/>
          <w:pgMar w:top="1418" w:right="1418" w:bottom="595" w:left="1134" w:header="709" w:footer="709" w:gutter="0"/>
          <w:cols w:space="708"/>
          <w:titlePg/>
          <w:docGrid w:linePitch="360"/>
        </w:sectPr>
      </w:pPr>
    </w:p>
    <w:p w14:paraId="4E7026CC" w14:textId="77777777" w:rsidR="009075FE" w:rsidRDefault="009075FE" w:rsidP="009075FE">
      <w:pPr>
        <w:keepNext/>
        <w:tabs>
          <w:tab w:val="left" w:pos="567"/>
        </w:tabs>
        <w:spacing w:after="0" w:line="240" w:lineRule="auto"/>
        <w:jc w:val="both"/>
        <w:rPr>
          <w:rFonts w:eastAsia="Times New Roman" w:cs="Arial"/>
          <w:b/>
          <w:bCs/>
          <w:spacing w:val="-3"/>
        </w:rPr>
      </w:pPr>
    </w:p>
    <w:p w14:paraId="3F8D3FCB" w14:textId="77777777" w:rsidR="00DD1304" w:rsidRDefault="00DD1304" w:rsidP="00DD1304">
      <w:pPr>
        <w:keepNext/>
        <w:spacing w:after="0" w:line="240" w:lineRule="auto"/>
        <w:ind w:left="708" w:hanging="708"/>
        <w:jc w:val="both"/>
        <w:rPr>
          <w:rFonts w:eastAsia="Times New Roman" w:cs="Arial"/>
          <w:b/>
          <w:bCs/>
          <w:spacing w:val="-3"/>
        </w:rPr>
      </w:pPr>
      <w:r w:rsidRPr="00ED4731">
        <w:rPr>
          <w:rFonts w:eastAsia="Times New Roman" w:cs="Arial"/>
          <w:b/>
          <w:bCs/>
          <w:spacing w:val="-3"/>
        </w:rPr>
        <w:t>1</w:t>
      </w:r>
      <w:r>
        <w:rPr>
          <w:rFonts w:eastAsia="Times New Roman" w:cs="Arial"/>
          <w:b/>
          <w:bCs/>
          <w:spacing w:val="-3"/>
        </w:rPr>
        <w:t>7</w:t>
      </w:r>
      <w:r w:rsidRPr="00ED4731">
        <w:rPr>
          <w:rFonts w:eastAsia="Times New Roman" w:cs="Arial"/>
          <w:b/>
          <w:bCs/>
          <w:spacing w:val="-3"/>
        </w:rPr>
        <w:t xml:space="preserve">. </w:t>
      </w:r>
      <w:r w:rsidRPr="00ED4731">
        <w:rPr>
          <w:rFonts w:eastAsia="Times New Roman" w:cs="Arial"/>
          <w:b/>
          <w:bCs/>
          <w:spacing w:val="-3"/>
        </w:rPr>
        <w:tab/>
        <w:t xml:space="preserve">Fer vrijednost financijske imovine i financijskih obveza koji su nakon početnog priznavanja svedeni na fer vrijednost (nastavak) </w:t>
      </w:r>
    </w:p>
    <w:p w14:paraId="28D526DD" w14:textId="77777777" w:rsidR="00DD1304" w:rsidRDefault="00DD1304" w:rsidP="00DD1304">
      <w:pPr>
        <w:spacing w:after="0" w:line="240" w:lineRule="auto"/>
        <w:jc w:val="both"/>
        <w:rPr>
          <w:rFonts w:cs="Arial"/>
        </w:rPr>
      </w:pPr>
    </w:p>
    <w:p w14:paraId="1440B724" w14:textId="77777777" w:rsidR="00DD1304" w:rsidRDefault="00DD1304" w:rsidP="00DD1304">
      <w:pPr>
        <w:spacing w:after="0" w:line="240" w:lineRule="auto"/>
        <w:jc w:val="both"/>
        <w:rPr>
          <w:rFonts w:cs="Arial"/>
        </w:rPr>
      </w:pPr>
      <w:r w:rsidRPr="00DD1304">
        <w:rPr>
          <w:rFonts w:cs="Arial"/>
        </w:rPr>
        <w:t xml:space="preserve">Tržišne cijene za dugoročne kredite koje je Grupa primila nisu dostupne te se njihova fer vrijednost procjenjuje kao sadašnja vrijednost budućih novčanih tokova diskontiranih primjenom važećih kamatnih stopa na datum izvještaja o financijskom položaju za nove kredite sa sličnim uvjetima i preostalim dospijećem. Isto tako, s obzirom da dugoročni krediti odobreni Grupi nose promjenjivu stopu, nema značajne razlike između njihovih fer vrijednosti i knjigovodstvenih iznosa. </w:t>
      </w:r>
    </w:p>
    <w:p w14:paraId="11BEA52A" w14:textId="77777777" w:rsidR="00DD1304" w:rsidRPr="00DD1304" w:rsidRDefault="00DD1304" w:rsidP="00DD1304">
      <w:pPr>
        <w:spacing w:after="0" w:line="240" w:lineRule="auto"/>
        <w:jc w:val="both"/>
        <w:rPr>
          <w:rFonts w:cs="Arial"/>
        </w:rPr>
      </w:pPr>
    </w:p>
    <w:p w14:paraId="59D301DD" w14:textId="63096732" w:rsidR="00DD1304" w:rsidRDefault="00DD1304" w:rsidP="00DD1304">
      <w:pPr>
        <w:spacing w:after="0" w:line="240" w:lineRule="auto"/>
        <w:jc w:val="both"/>
        <w:rPr>
          <w:rFonts w:cs="Arial"/>
        </w:rPr>
      </w:pPr>
      <w:r w:rsidRPr="00DD1304">
        <w:rPr>
          <w:rFonts w:cs="Arial"/>
        </w:rPr>
        <w:t xml:space="preserve">Fer vrijednost obveznica izdanih od strane HBOR-a prezentira se korištenjem ulaznih podataka 2. razine u vidu tržišno potkrijepljenih podataka vidljivih na </w:t>
      </w:r>
      <w:proofErr w:type="spellStart"/>
      <w:r w:rsidRPr="00DD1304">
        <w:rPr>
          <w:rFonts w:cs="Arial"/>
        </w:rPr>
        <w:t>Bloomberg</w:t>
      </w:r>
      <w:proofErr w:type="spellEnd"/>
      <w:r w:rsidRPr="00DD1304">
        <w:rPr>
          <w:rFonts w:cs="Arial"/>
        </w:rPr>
        <w:t xml:space="preserve"> servisu, korištenjem „</w:t>
      </w:r>
      <w:proofErr w:type="spellStart"/>
      <w:r w:rsidRPr="00DD1304">
        <w:rPr>
          <w:rFonts w:cs="Arial"/>
        </w:rPr>
        <w:t>Bloomberg</w:t>
      </w:r>
      <w:proofErr w:type="spellEnd"/>
      <w:r w:rsidRPr="00DD1304">
        <w:rPr>
          <w:rFonts w:cs="Arial"/>
        </w:rPr>
        <w:t xml:space="preserve"> </w:t>
      </w:r>
      <w:proofErr w:type="spellStart"/>
      <w:r w:rsidRPr="00DD1304">
        <w:rPr>
          <w:rFonts w:cs="Arial"/>
        </w:rPr>
        <w:t>Generic</w:t>
      </w:r>
      <w:proofErr w:type="spellEnd"/>
      <w:r w:rsidRPr="00DD1304">
        <w:rPr>
          <w:rFonts w:cs="Arial"/>
        </w:rPr>
        <w:t xml:space="preserve"> </w:t>
      </w:r>
      <w:proofErr w:type="spellStart"/>
      <w:r w:rsidRPr="00B941AF">
        <w:rPr>
          <w:rFonts w:cs="Arial"/>
        </w:rPr>
        <w:t>prices</w:t>
      </w:r>
      <w:proofErr w:type="spellEnd"/>
      <w:r w:rsidRPr="00B941AF">
        <w:rPr>
          <w:rFonts w:cs="Arial"/>
        </w:rPr>
        <w:t xml:space="preserve">“ (BGN) </w:t>
      </w:r>
      <w:proofErr w:type="spellStart"/>
      <w:r w:rsidRPr="00B941AF">
        <w:rPr>
          <w:rFonts w:cs="Arial"/>
        </w:rPr>
        <w:t>mid</w:t>
      </w:r>
      <w:proofErr w:type="spellEnd"/>
      <w:r w:rsidRPr="00B941AF">
        <w:rPr>
          <w:rFonts w:cs="Arial"/>
        </w:rPr>
        <w:t xml:space="preserve"> cijene te je na dan </w:t>
      </w:r>
      <w:r w:rsidR="00B46EF4" w:rsidRPr="00B941AF">
        <w:rPr>
          <w:rFonts w:cs="Arial"/>
        </w:rPr>
        <w:t>3</w:t>
      </w:r>
      <w:r w:rsidR="00B46EF4">
        <w:rPr>
          <w:rFonts w:cs="Arial"/>
        </w:rPr>
        <w:t>0</w:t>
      </w:r>
      <w:r w:rsidRPr="00B941AF">
        <w:rPr>
          <w:rFonts w:cs="Arial"/>
        </w:rPr>
        <w:t xml:space="preserve">. </w:t>
      </w:r>
      <w:r w:rsidR="00B46EF4">
        <w:rPr>
          <w:rFonts w:cs="Arial"/>
        </w:rPr>
        <w:t>lipnja</w:t>
      </w:r>
      <w:r w:rsidR="00B46EF4" w:rsidRPr="00B941AF">
        <w:rPr>
          <w:rFonts w:cs="Arial"/>
        </w:rPr>
        <w:t xml:space="preserve"> </w:t>
      </w:r>
      <w:r w:rsidRPr="00B941AF">
        <w:rPr>
          <w:rFonts w:cs="Arial"/>
        </w:rPr>
        <w:t>201</w:t>
      </w:r>
      <w:r w:rsidR="000B47D7">
        <w:rPr>
          <w:rFonts w:cs="Arial"/>
        </w:rPr>
        <w:t>7</w:t>
      </w:r>
      <w:r w:rsidRPr="00005D85">
        <w:rPr>
          <w:rFonts w:cs="Arial"/>
        </w:rPr>
        <w:t xml:space="preserve">. godine </w:t>
      </w:r>
      <w:r w:rsidRPr="00B941AF">
        <w:rPr>
          <w:rFonts w:cs="Arial"/>
        </w:rPr>
        <w:t xml:space="preserve">iskazana u </w:t>
      </w:r>
      <w:r w:rsidR="00A313DB">
        <w:rPr>
          <w:rFonts w:cs="Arial"/>
        </w:rPr>
        <w:t>B</w:t>
      </w:r>
      <w:r w:rsidRPr="00B941AF">
        <w:rPr>
          <w:rFonts w:cs="Arial"/>
        </w:rPr>
        <w:t xml:space="preserve">ilješci </w:t>
      </w:r>
      <w:r w:rsidR="00B3588C" w:rsidRPr="00B941AF">
        <w:rPr>
          <w:rFonts w:cs="Arial"/>
        </w:rPr>
        <w:t>13</w:t>
      </w:r>
      <w:r w:rsidRPr="00B941AF">
        <w:rPr>
          <w:rFonts w:cs="Arial"/>
        </w:rPr>
        <w:t>.</w:t>
      </w:r>
    </w:p>
    <w:p w14:paraId="0EFB71AD" w14:textId="77777777" w:rsidR="00DD1304" w:rsidRPr="00DD1304" w:rsidRDefault="00DD1304" w:rsidP="00DD1304">
      <w:pPr>
        <w:spacing w:after="0" w:line="240" w:lineRule="auto"/>
        <w:jc w:val="both"/>
        <w:rPr>
          <w:rFonts w:cs="Arial"/>
          <w:b/>
        </w:rPr>
      </w:pPr>
    </w:p>
    <w:p w14:paraId="5F44AD06" w14:textId="77777777" w:rsidR="00DD1304" w:rsidRPr="00DD1304" w:rsidRDefault="00DD1304" w:rsidP="00DD1304">
      <w:pPr>
        <w:spacing w:after="0" w:line="240" w:lineRule="auto"/>
        <w:jc w:val="both"/>
        <w:rPr>
          <w:rFonts w:cs="Arial"/>
        </w:rPr>
      </w:pPr>
      <w:r w:rsidRPr="00DD1304">
        <w:rPr>
          <w:rFonts w:cs="Arial"/>
        </w:rPr>
        <w:t>BGN ili „</w:t>
      </w:r>
      <w:proofErr w:type="spellStart"/>
      <w:r w:rsidRPr="00DD1304">
        <w:rPr>
          <w:rFonts w:cs="Arial"/>
        </w:rPr>
        <w:t>Bloomberg</w:t>
      </w:r>
      <w:proofErr w:type="spellEnd"/>
      <w:r w:rsidRPr="00DD1304">
        <w:rPr>
          <w:rFonts w:cs="Arial"/>
        </w:rPr>
        <w:t xml:space="preserve"> </w:t>
      </w:r>
      <w:proofErr w:type="spellStart"/>
      <w:r w:rsidRPr="00DD1304">
        <w:rPr>
          <w:rFonts w:cs="Arial"/>
        </w:rPr>
        <w:t>Generic</w:t>
      </w:r>
      <w:proofErr w:type="spellEnd"/>
      <w:r w:rsidRPr="00DD1304">
        <w:rPr>
          <w:rFonts w:cs="Arial"/>
        </w:rPr>
        <w:t xml:space="preserve"> </w:t>
      </w:r>
      <w:proofErr w:type="spellStart"/>
      <w:r w:rsidRPr="00DD1304">
        <w:rPr>
          <w:rFonts w:cs="Arial"/>
        </w:rPr>
        <w:t>prices</w:t>
      </w:r>
      <w:proofErr w:type="spellEnd"/>
      <w:r w:rsidRPr="00DD1304">
        <w:rPr>
          <w:rFonts w:cs="Arial"/>
        </w:rPr>
        <w:t>“ predstavlja jednostavni prosjek cijena uključujući indikativne i izvršne cijene. „</w:t>
      </w:r>
      <w:proofErr w:type="spellStart"/>
      <w:r w:rsidRPr="00DD1304">
        <w:rPr>
          <w:rFonts w:cs="Arial"/>
        </w:rPr>
        <w:t>Mid</w:t>
      </w:r>
      <w:proofErr w:type="spellEnd"/>
      <w:r w:rsidRPr="00DD1304">
        <w:rPr>
          <w:rFonts w:cs="Arial"/>
        </w:rPr>
        <w:t>“ cijena predstavlja prosjek kotirane „</w:t>
      </w:r>
      <w:proofErr w:type="spellStart"/>
      <w:r w:rsidRPr="00DD1304">
        <w:rPr>
          <w:rFonts w:cs="Arial"/>
        </w:rPr>
        <w:t>ask</w:t>
      </w:r>
      <w:proofErr w:type="spellEnd"/>
      <w:r w:rsidRPr="00DD1304">
        <w:rPr>
          <w:rFonts w:cs="Arial"/>
        </w:rPr>
        <w:t>“ i „</w:t>
      </w:r>
      <w:proofErr w:type="spellStart"/>
      <w:r w:rsidRPr="00DD1304">
        <w:rPr>
          <w:rFonts w:cs="Arial"/>
        </w:rPr>
        <w:t>bid</w:t>
      </w:r>
      <w:proofErr w:type="spellEnd"/>
      <w:r w:rsidRPr="00DD1304">
        <w:rPr>
          <w:rFonts w:cs="Arial"/>
        </w:rPr>
        <w:t>“ cijene.</w:t>
      </w:r>
    </w:p>
    <w:p w14:paraId="68AE9B57" w14:textId="77777777" w:rsidR="00DD1304" w:rsidRPr="00DD1304" w:rsidRDefault="00DD1304" w:rsidP="00DD1304">
      <w:pPr>
        <w:spacing w:after="0" w:line="240" w:lineRule="auto"/>
        <w:jc w:val="both"/>
        <w:rPr>
          <w:rFonts w:cs="Arial"/>
          <w:bCs/>
        </w:rPr>
      </w:pPr>
    </w:p>
    <w:p w14:paraId="0D8A427C" w14:textId="77777777" w:rsidR="00493F09" w:rsidRDefault="00493F09" w:rsidP="00DD1304">
      <w:pPr>
        <w:spacing w:after="0" w:line="240" w:lineRule="auto"/>
        <w:jc w:val="both"/>
        <w:rPr>
          <w:rFonts w:cs="Arial"/>
          <w:bCs/>
        </w:rPr>
      </w:pPr>
      <w:r w:rsidRPr="00DD1304">
        <w:rPr>
          <w:rFonts w:cs="Arial"/>
          <w:bCs/>
        </w:rPr>
        <w:t>Grupa vodi računa o prezentiranju hijerarhije fer vrijednosti koja se sastoji od tri razine podataka koji</w:t>
      </w:r>
      <w:r w:rsidRPr="00493F09">
        <w:rPr>
          <w:rFonts w:cs="Arial"/>
          <w:bCs/>
        </w:rPr>
        <w:t xml:space="preserve"> ulaze u tehnike vrednovanja na način kako slijedi:</w:t>
      </w:r>
    </w:p>
    <w:p w14:paraId="0C25356A" w14:textId="77777777" w:rsidR="00A37280" w:rsidRPr="00493F09" w:rsidRDefault="00A37280" w:rsidP="00A37280">
      <w:pPr>
        <w:spacing w:after="0" w:line="240" w:lineRule="auto"/>
        <w:jc w:val="both"/>
        <w:rPr>
          <w:rFonts w:cs="Arial"/>
          <w:bC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2"/>
        <w:gridCol w:w="2551"/>
        <w:gridCol w:w="2410"/>
      </w:tblGrid>
      <w:tr w:rsidR="00493F09" w:rsidRPr="00ED4731" w14:paraId="37E1366F" w14:textId="77777777" w:rsidTr="00DC4CDD">
        <w:trPr>
          <w:trHeight w:val="389"/>
          <w:jc w:val="center"/>
        </w:trPr>
        <w:tc>
          <w:tcPr>
            <w:tcW w:w="1985" w:type="dxa"/>
            <w:tcBorders>
              <w:top w:val="nil"/>
              <w:left w:val="nil"/>
            </w:tcBorders>
            <w:shd w:val="clear" w:color="auto" w:fill="auto"/>
          </w:tcPr>
          <w:p w14:paraId="0A7ED6FD" w14:textId="77777777" w:rsidR="00493F09" w:rsidRPr="00493F09" w:rsidRDefault="00493F09" w:rsidP="00A37280">
            <w:pPr>
              <w:spacing w:after="0" w:line="240" w:lineRule="auto"/>
              <w:jc w:val="both"/>
              <w:rPr>
                <w:rFonts w:cs="Arial"/>
                <w:b/>
                <w:bCs/>
                <w:sz w:val="20"/>
                <w:szCs w:val="20"/>
              </w:rPr>
            </w:pPr>
            <w:r w:rsidRPr="00493F09">
              <w:rPr>
                <w:rFonts w:cs="Arial"/>
                <w:sz w:val="20"/>
                <w:szCs w:val="20"/>
              </w:rPr>
              <w:br w:type="page"/>
            </w:r>
            <w:r w:rsidRPr="00493F09">
              <w:rPr>
                <w:rFonts w:cs="Arial"/>
                <w:bCs/>
                <w:sz w:val="20"/>
                <w:szCs w:val="20"/>
              </w:rPr>
              <w:br w:type="page"/>
            </w:r>
          </w:p>
        </w:tc>
        <w:tc>
          <w:tcPr>
            <w:tcW w:w="2552" w:type="dxa"/>
            <w:shd w:val="clear" w:color="auto" w:fill="auto"/>
          </w:tcPr>
          <w:p w14:paraId="3F0A5338" w14:textId="77777777" w:rsidR="00493F09" w:rsidRPr="00493F09" w:rsidRDefault="00493F09" w:rsidP="00A37280">
            <w:pPr>
              <w:spacing w:after="0" w:line="240" w:lineRule="auto"/>
              <w:jc w:val="both"/>
              <w:rPr>
                <w:rFonts w:cs="Arial"/>
                <w:b/>
                <w:bCs/>
                <w:sz w:val="20"/>
                <w:szCs w:val="20"/>
              </w:rPr>
            </w:pPr>
            <w:r w:rsidRPr="00493F09">
              <w:rPr>
                <w:rFonts w:cs="Arial"/>
                <w:b/>
                <w:bCs/>
                <w:sz w:val="20"/>
                <w:szCs w:val="20"/>
              </w:rPr>
              <w:t>Razina 1</w:t>
            </w:r>
          </w:p>
        </w:tc>
        <w:tc>
          <w:tcPr>
            <w:tcW w:w="2551" w:type="dxa"/>
            <w:shd w:val="clear" w:color="auto" w:fill="auto"/>
          </w:tcPr>
          <w:p w14:paraId="0A2764BD" w14:textId="77777777" w:rsidR="00493F09" w:rsidRPr="00493F09" w:rsidRDefault="00493F09" w:rsidP="00A37280">
            <w:pPr>
              <w:spacing w:after="0" w:line="240" w:lineRule="auto"/>
              <w:jc w:val="both"/>
              <w:rPr>
                <w:rFonts w:cs="Arial"/>
                <w:b/>
                <w:bCs/>
                <w:sz w:val="20"/>
                <w:szCs w:val="20"/>
              </w:rPr>
            </w:pPr>
            <w:r w:rsidRPr="00493F09">
              <w:rPr>
                <w:rFonts w:cs="Arial"/>
                <w:b/>
                <w:bCs/>
                <w:sz w:val="20"/>
                <w:szCs w:val="20"/>
              </w:rPr>
              <w:t>Razina 2</w:t>
            </w:r>
          </w:p>
        </w:tc>
        <w:tc>
          <w:tcPr>
            <w:tcW w:w="2410" w:type="dxa"/>
            <w:shd w:val="clear" w:color="auto" w:fill="auto"/>
          </w:tcPr>
          <w:p w14:paraId="24504E86" w14:textId="77777777" w:rsidR="00493F09" w:rsidRPr="00493F09" w:rsidRDefault="00493F09" w:rsidP="00A37280">
            <w:pPr>
              <w:spacing w:after="0" w:line="240" w:lineRule="auto"/>
              <w:jc w:val="both"/>
              <w:rPr>
                <w:rFonts w:cs="Arial"/>
                <w:b/>
                <w:bCs/>
                <w:sz w:val="20"/>
                <w:szCs w:val="20"/>
              </w:rPr>
            </w:pPr>
            <w:r w:rsidRPr="00493F09">
              <w:rPr>
                <w:rFonts w:cs="Arial"/>
                <w:b/>
                <w:bCs/>
                <w:sz w:val="20"/>
                <w:szCs w:val="20"/>
              </w:rPr>
              <w:t>Razina 3</w:t>
            </w:r>
          </w:p>
        </w:tc>
      </w:tr>
      <w:tr w:rsidR="00493F09" w:rsidRPr="00ED4731" w14:paraId="3386EDB9" w14:textId="77777777" w:rsidTr="00DC4CDD">
        <w:trPr>
          <w:trHeight w:val="376"/>
          <w:jc w:val="center"/>
        </w:trPr>
        <w:tc>
          <w:tcPr>
            <w:tcW w:w="1985" w:type="dxa"/>
            <w:tcBorders>
              <w:bottom w:val="single" w:sz="4" w:space="0" w:color="auto"/>
            </w:tcBorders>
            <w:shd w:val="clear" w:color="auto" w:fill="auto"/>
          </w:tcPr>
          <w:p w14:paraId="55F20C4D" w14:textId="77777777" w:rsidR="00493F09" w:rsidRPr="00493F09" w:rsidRDefault="00493F09" w:rsidP="00A37280">
            <w:pPr>
              <w:spacing w:after="0" w:line="240" w:lineRule="auto"/>
              <w:rPr>
                <w:rFonts w:cs="Arial"/>
                <w:b/>
                <w:bCs/>
                <w:sz w:val="20"/>
                <w:szCs w:val="20"/>
              </w:rPr>
            </w:pPr>
            <w:r w:rsidRPr="00493F09">
              <w:rPr>
                <w:rFonts w:cs="Arial"/>
                <w:b/>
                <w:bCs/>
                <w:sz w:val="20"/>
                <w:szCs w:val="20"/>
              </w:rPr>
              <w:t>Definicija ulaznih podataka:</w:t>
            </w:r>
          </w:p>
        </w:tc>
        <w:tc>
          <w:tcPr>
            <w:tcW w:w="2552" w:type="dxa"/>
            <w:tcBorders>
              <w:bottom w:val="single" w:sz="4" w:space="0" w:color="auto"/>
            </w:tcBorders>
            <w:shd w:val="clear" w:color="auto" w:fill="auto"/>
          </w:tcPr>
          <w:p w14:paraId="41CEC6DB" w14:textId="77777777" w:rsidR="00493F09" w:rsidRPr="00493F09" w:rsidRDefault="00493F09" w:rsidP="00A37280">
            <w:pPr>
              <w:spacing w:after="0" w:line="240" w:lineRule="auto"/>
              <w:rPr>
                <w:rFonts w:cs="Arial"/>
                <w:bCs/>
                <w:sz w:val="20"/>
                <w:szCs w:val="20"/>
              </w:rPr>
            </w:pPr>
            <w:r w:rsidRPr="00493F09">
              <w:rPr>
                <w:rFonts w:cs="Arial"/>
                <w:bCs/>
                <w:sz w:val="20"/>
                <w:szCs w:val="20"/>
              </w:rPr>
              <w:t>Kotirane (neusklađene) cijene na aktivnim tržištima za identičnu imovinu, odnosno identične obveze i koje su dostupne na datum mjerenja.</w:t>
            </w:r>
          </w:p>
        </w:tc>
        <w:tc>
          <w:tcPr>
            <w:tcW w:w="2551" w:type="dxa"/>
            <w:tcBorders>
              <w:bottom w:val="single" w:sz="4" w:space="0" w:color="auto"/>
            </w:tcBorders>
            <w:shd w:val="clear" w:color="auto" w:fill="auto"/>
          </w:tcPr>
          <w:p w14:paraId="34AF9414" w14:textId="77777777" w:rsidR="00493F09" w:rsidRPr="00493F09" w:rsidRDefault="00493F09">
            <w:pPr>
              <w:spacing w:after="0" w:line="240" w:lineRule="auto"/>
              <w:rPr>
                <w:rFonts w:cs="Arial"/>
                <w:bCs/>
                <w:sz w:val="20"/>
                <w:szCs w:val="20"/>
              </w:rPr>
            </w:pPr>
            <w:r w:rsidRPr="00493F09">
              <w:rPr>
                <w:rFonts w:cs="Arial"/>
                <w:bCs/>
                <w:sz w:val="20"/>
                <w:szCs w:val="20"/>
              </w:rPr>
              <w:t xml:space="preserve">Ulazni podaci, osim kotiranih iz 1. razine koje su, bilo izravno, bilo neizravno, </w:t>
            </w:r>
            <w:r w:rsidR="00236E35" w:rsidRPr="00493F09">
              <w:rPr>
                <w:rFonts w:cs="Arial"/>
                <w:bCs/>
                <w:sz w:val="20"/>
                <w:szCs w:val="20"/>
              </w:rPr>
              <w:t>vidljiv</w:t>
            </w:r>
            <w:r w:rsidR="00236E35">
              <w:rPr>
                <w:rFonts w:cs="Arial"/>
                <w:bCs/>
                <w:sz w:val="20"/>
                <w:szCs w:val="20"/>
              </w:rPr>
              <w:t>i</w:t>
            </w:r>
            <w:r w:rsidR="00236E35" w:rsidRPr="00493F09">
              <w:rPr>
                <w:rFonts w:cs="Arial"/>
                <w:bCs/>
                <w:sz w:val="20"/>
                <w:szCs w:val="20"/>
              </w:rPr>
              <w:t xml:space="preserve"> </w:t>
            </w:r>
            <w:r w:rsidRPr="00493F09">
              <w:rPr>
                <w:rFonts w:cs="Arial"/>
                <w:bCs/>
                <w:sz w:val="20"/>
                <w:szCs w:val="20"/>
              </w:rPr>
              <w:t>za predmetnu imovinu, odnosno obvezu.</w:t>
            </w:r>
          </w:p>
        </w:tc>
        <w:tc>
          <w:tcPr>
            <w:tcW w:w="2410" w:type="dxa"/>
            <w:tcBorders>
              <w:bottom w:val="single" w:sz="4" w:space="0" w:color="auto"/>
            </w:tcBorders>
            <w:shd w:val="clear" w:color="auto" w:fill="auto"/>
          </w:tcPr>
          <w:p w14:paraId="4ED098E8" w14:textId="77777777" w:rsidR="00493F09" w:rsidRPr="00493F09" w:rsidRDefault="00493F09" w:rsidP="00A37280">
            <w:pPr>
              <w:spacing w:after="0" w:line="240" w:lineRule="auto"/>
              <w:rPr>
                <w:rFonts w:cs="Arial"/>
                <w:bCs/>
                <w:sz w:val="20"/>
                <w:szCs w:val="20"/>
              </w:rPr>
            </w:pPr>
            <w:r w:rsidRPr="00493F09">
              <w:rPr>
                <w:rFonts w:cs="Arial"/>
                <w:bCs/>
                <w:sz w:val="20"/>
                <w:szCs w:val="20"/>
              </w:rPr>
              <w:t>Ulazni podaci o predmetnoj imovini, odnosno obvezi koji nisu vidljivi, odnosno koji su izvedeni iz tržišnih podataka</w:t>
            </w:r>
            <w:r w:rsidRPr="00493F09">
              <w:rPr>
                <w:rFonts w:cs="Arial"/>
                <w:b/>
                <w:bCs/>
                <w:sz w:val="20"/>
                <w:szCs w:val="20"/>
              </w:rPr>
              <w:t>.</w:t>
            </w:r>
          </w:p>
        </w:tc>
      </w:tr>
    </w:tbl>
    <w:p w14:paraId="5A5AAC32" w14:textId="77777777" w:rsidR="00A37280" w:rsidRDefault="00A37280" w:rsidP="00DD1304">
      <w:pPr>
        <w:keepNext/>
        <w:spacing w:after="0" w:line="240" w:lineRule="auto"/>
        <w:jc w:val="both"/>
        <w:rPr>
          <w:rFonts w:eastAsia="Times New Roman" w:cs="Arial"/>
          <w:spacing w:val="-3"/>
          <w:sz w:val="24"/>
          <w:szCs w:val="24"/>
        </w:rPr>
      </w:pPr>
    </w:p>
    <w:p w14:paraId="638CD9C5" w14:textId="77777777" w:rsidR="00DD1304" w:rsidRPr="00DD1304" w:rsidRDefault="00DD1304" w:rsidP="00DD1304">
      <w:pPr>
        <w:spacing w:after="0" w:line="240" w:lineRule="auto"/>
        <w:jc w:val="both"/>
        <w:rPr>
          <w:rFonts w:cs="Arial"/>
          <w:bCs/>
        </w:rPr>
      </w:pPr>
      <w:r w:rsidRPr="00DD1304">
        <w:rPr>
          <w:rFonts w:cs="Arial"/>
          <w:bCs/>
        </w:rPr>
        <w:t>Grupa iskazuje prijenose između razina fer vrijednosti na kraju izvještajnog razdoblja tijekom kojeg se promjena dogodila.</w:t>
      </w:r>
    </w:p>
    <w:p w14:paraId="2D8B5214" w14:textId="77777777" w:rsidR="00DD1304" w:rsidRPr="00C75EB5" w:rsidRDefault="00DD1304" w:rsidP="00DD1304">
      <w:pPr>
        <w:spacing w:before="120" w:line="300" w:lineRule="exact"/>
        <w:jc w:val="both"/>
        <w:rPr>
          <w:rFonts w:ascii="Arial" w:hAnsi="Arial" w:cs="Arial"/>
          <w:sz w:val="19"/>
          <w:szCs w:val="19"/>
        </w:rPr>
      </w:pPr>
    </w:p>
    <w:p w14:paraId="54D8983D" w14:textId="77777777" w:rsidR="00DD1304" w:rsidRDefault="00DD1304" w:rsidP="00A37280">
      <w:pPr>
        <w:keepNext/>
        <w:spacing w:after="0" w:line="240" w:lineRule="auto"/>
        <w:jc w:val="both"/>
        <w:rPr>
          <w:rFonts w:eastAsia="Times New Roman" w:cs="Arial"/>
          <w:spacing w:val="-3"/>
          <w:sz w:val="24"/>
          <w:szCs w:val="24"/>
        </w:rPr>
      </w:pPr>
    </w:p>
    <w:p w14:paraId="1455473C" w14:textId="77777777" w:rsidR="00DD1304" w:rsidRDefault="00DD1304" w:rsidP="00A37280">
      <w:pPr>
        <w:keepNext/>
        <w:spacing w:after="0" w:line="240" w:lineRule="auto"/>
        <w:jc w:val="both"/>
        <w:rPr>
          <w:rFonts w:eastAsia="Times New Roman" w:cs="Arial"/>
          <w:spacing w:val="-3"/>
          <w:sz w:val="24"/>
          <w:szCs w:val="24"/>
        </w:rPr>
      </w:pPr>
    </w:p>
    <w:p w14:paraId="269A91EE" w14:textId="77777777" w:rsidR="00DD1304" w:rsidRDefault="00DD1304" w:rsidP="00A37280">
      <w:pPr>
        <w:keepNext/>
        <w:spacing w:after="0" w:line="240" w:lineRule="auto"/>
        <w:jc w:val="both"/>
        <w:rPr>
          <w:rFonts w:eastAsia="Times New Roman" w:cs="Arial"/>
          <w:spacing w:val="-3"/>
          <w:sz w:val="24"/>
          <w:szCs w:val="24"/>
        </w:rPr>
      </w:pPr>
    </w:p>
    <w:p w14:paraId="12DD15BB" w14:textId="77777777" w:rsidR="00DD1304" w:rsidRDefault="00DD1304" w:rsidP="00A37280">
      <w:pPr>
        <w:keepNext/>
        <w:spacing w:after="0" w:line="240" w:lineRule="auto"/>
        <w:jc w:val="both"/>
        <w:rPr>
          <w:rFonts w:eastAsia="Times New Roman" w:cs="Arial"/>
          <w:spacing w:val="-3"/>
          <w:sz w:val="24"/>
          <w:szCs w:val="24"/>
        </w:rPr>
        <w:sectPr w:rsidR="00DD1304" w:rsidSect="00B46EF4">
          <w:footerReference w:type="first" r:id="rId129"/>
          <w:pgSz w:w="11906" w:h="16838" w:code="9"/>
          <w:pgMar w:top="1418" w:right="1418" w:bottom="595" w:left="1134" w:header="709" w:footer="709" w:gutter="0"/>
          <w:cols w:space="708"/>
          <w:titlePg/>
          <w:docGrid w:linePitch="360"/>
        </w:sectPr>
      </w:pPr>
    </w:p>
    <w:p w14:paraId="4697583D" w14:textId="77777777" w:rsidR="009075FE" w:rsidRDefault="009075FE" w:rsidP="009075FE">
      <w:pPr>
        <w:keepNext/>
        <w:tabs>
          <w:tab w:val="left" w:pos="567"/>
        </w:tabs>
        <w:spacing w:after="0" w:line="240" w:lineRule="auto"/>
        <w:jc w:val="both"/>
        <w:rPr>
          <w:rFonts w:eastAsia="Times New Roman" w:cs="Arial"/>
          <w:b/>
          <w:bCs/>
          <w:spacing w:val="-3"/>
        </w:rPr>
      </w:pPr>
    </w:p>
    <w:p w14:paraId="3720E391" w14:textId="77777777" w:rsidR="00493F09" w:rsidRDefault="00493F09" w:rsidP="00F75302">
      <w:pPr>
        <w:keepNext/>
        <w:spacing w:after="120" w:line="240" w:lineRule="auto"/>
        <w:ind w:left="567" w:hanging="567"/>
        <w:jc w:val="both"/>
        <w:rPr>
          <w:rFonts w:eastAsia="Times New Roman" w:cs="Arial"/>
          <w:b/>
          <w:bCs/>
          <w:spacing w:val="-3"/>
        </w:rPr>
      </w:pPr>
      <w:r w:rsidRPr="00ED4731">
        <w:rPr>
          <w:rFonts w:eastAsia="Times New Roman" w:cs="Arial"/>
          <w:b/>
          <w:bCs/>
          <w:spacing w:val="-3"/>
        </w:rPr>
        <w:t>1</w:t>
      </w:r>
      <w:r w:rsidR="00A249B7">
        <w:rPr>
          <w:rFonts w:eastAsia="Times New Roman" w:cs="Arial"/>
          <w:b/>
          <w:bCs/>
          <w:spacing w:val="-3"/>
        </w:rPr>
        <w:t>7</w:t>
      </w:r>
      <w:r w:rsidR="009075FE">
        <w:rPr>
          <w:rFonts w:eastAsia="Times New Roman" w:cs="Arial"/>
          <w:b/>
          <w:bCs/>
          <w:spacing w:val="-3"/>
        </w:rPr>
        <w:t>.</w:t>
      </w:r>
      <w:r w:rsidRPr="00ED4731">
        <w:rPr>
          <w:rFonts w:eastAsia="Times New Roman" w:cs="Arial"/>
          <w:b/>
          <w:bCs/>
          <w:spacing w:val="-3"/>
        </w:rPr>
        <w:t xml:space="preserve"> </w:t>
      </w:r>
      <w:r w:rsidRPr="00ED4731">
        <w:rPr>
          <w:rFonts w:eastAsia="Times New Roman" w:cs="Arial"/>
          <w:b/>
          <w:bCs/>
          <w:spacing w:val="-3"/>
        </w:rPr>
        <w:tab/>
        <w:t xml:space="preserve">Fer vrijednost financijske imovine i financijskih obveza koji su nakon početnog priznavanja svedeni na fer vrijednost (nastavak) </w:t>
      </w:r>
    </w:p>
    <w:p w14:paraId="03C70F7D" w14:textId="77777777" w:rsidR="003A43EB" w:rsidRPr="00ED4731" w:rsidRDefault="002A4A84" w:rsidP="00A37280">
      <w:pPr>
        <w:keepNext/>
        <w:spacing w:after="0" w:line="240" w:lineRule="auto"/>
        <w:jc w:val="both"/>
        <w:rPr>
          <w:rFonts w:eastAsia="Times New Roman" w:cs="Arial"/>
          <w:spacing w:val="-3"/>
        </w:rPr>
      </w:pPr>
      <w:r w:rsidRPr="00ED4731">
        <w:rPr>
          <w:rFonts w:eastAsia="Times New Roman" w:cs="Arial"/>
          <w:spacing w:val="-3"/>
        </w:rPr>
        <w:t xml:space="preserve">Grupa određenu financijsku imovinu i financijske obveze mjeri po fer vrijednosti na kraju svakog izvještajnog </w:t>
      </w:r>
      <w:r w:rsidR="003A43EB" w:rsidRPr="00ED4731">
        <w:rPr>
          <w:rFonts w:eastAsia="Times New Roman" w:cs="Arial"/>
          <w:spacing w:val="-3"/>
        </w:rPr>
        <w:t xml:space="preserve">razdoblja: </w:t>
      </w:r>
    </w:p>
    <w:tbl>
      <w:tblPr>
        <w:tblW w:w="10119" w:type="dxa"/>
        <w:jc w:val="center"/>
        <w:tblLayout w:type="fixed"/>
        <w:tblCellMar>
          <w:left w:w="122" w:type="dxa"/>
          <w:right w:w="122" w:type="dxa"/>
        </w:tblCellMar>
        <w:tblLook w:val="0000" w:firstRow="0" w:lastRow="0" w:firstColumn="0" w:lastColumn="0" w:noHBand="0" w:noVBand="0"/>
      </w:tblPr>
      <w:tblGrid>
        <w:gridCol w:w="3686"/>
        <w:gridCol w:w="1072"/>
        <w:gridCol w:w="1072"/>
        <w:gridCol w:w="1072"/>
        <w:gridCol w:w="1072"/>
        <w:gridCol w:w="1072"/>
        <w:gridCol w:w="1073"/>
      </w:tblGrid>
      <w:tr w:rsidR="00F75302" w:rsidRPr="00F75302" w14:paraId="3D436805" w14:textId="77777777" w:rsidTr="00F75302">
        <w:trPr>
          <w:trHeight w:val="149"/>
          <w:jc w:val="center"/>
        </w:trPr>
        <w:tc>
          <w:tcPr>
            <w:tcW w:w="3686" w:type="dxa"/>
          </w:tcPr>
          <w:p w14:paraId="06A9F1C6" w14:textId="77777777" w:rsidR="00F75302" w:rsidRPr="00F75302" w:rsidRDefault="00F75302" w:rsidP="00F75302">
            <w:pPr>
              <w:tabs>
                <w:tab w:val="right" w:pos="1202"/>
              </w:tabs>
              <w:spacing w:after="0" w:line="301" w:lineRule="exact"/>
              <w:outlineLvl w:val="0"/>
              <w:rPr>
                <w:rFonts w:eastAsia="Times New Roman" w:cs="Arial"/>
                <w:sz w:val="17"/>
                <w:szCs w:val="17"/>
              </w:rPr>
            </w:pPr>
            <w:r w:rsidRPr="00F75302">
              <w:rPr>
                <w:rFonts w:eastAsia="Times New Roman" w:cs="Arial"/>
                <w:b/>
                <w:sz w:val="17"/>
                <w:szCs w:val="17"/>
              </w:rPr>
              <w:t>Grupa</w:t>
            </w:r>
          </w:p>
        </w:tc>
        <w:tc>
          <w:tcPr>
            <w:tcW w:w="3216" w:type="dxa"/>
            <w:gridSpan w:val="3"/>
          </w:tcPr>
          <w:p w14:paraId="40ACF7B8" w14:textId="059FB000" w:rsidR="00F75302" w:rsidRPr="00F75302" w:rsidRDefault="005F169D">
            <w:pPr>
              <w:tabs>
                <w:tab w:val="right" w:pos="1202"/>
              </w:tabs>
              <w:spacing w:after="0" w:line="301" w:lineRule="exact"/>
              <w:jc w:val="right"/>
              <w:outlineLvl w:val="0"/>
              <w:rPr>
                <w:rFonts w:eastAsia="Times New Roman" w:cs="Arial"/>
                <w:b/>
                <w:bCs/>
                <w:sz w:val="17"/>
                <w:szCs w:val="17"/>
              </w:rPr>
            </w:pPr>
            <w:r>
              <w:rPr>
                <w:rFonts w:eastAsia="Times New Roman" w:cs="Arial"/>
                <w:b/>
                <w:bCs/>
                <w:sz w:val="17"/>
                <w:szCs w:val="17"/>
              </w:rPr>
              <w:t>30</w:t>
            </w:r>
            <w:r w:rsidR="009E2A3F">
              <w:rPr>
                <w:rFonts w:eastAsia="Times New Roman" w:cs="Arial"/>
                <w:b/>
                <w:bCs/>
                <w:sz w:val="17"/>
                <w:szCs w:val="17"/>
              </w:rPr>
              <w:t>.</w:t>
            </w:r>
            <w:r>
              <w:rPr>
                <w:rFonts w:eastAsia="Times New Roman" w:cs="Arial"/>
                <w:b/>
                <w:bCs/>
                <w:sz w:val="17"/>
                <w:szCs w:val="17"/>
              </w:rPr>
              <w:t>6</w:t>
            </w:r>
            <w:r w:rsidR="009E2A3F">
              <w:rPr>
                <w:rFonts w:eastAsia="Times New Roman" w:cs="Arial"/>
                <w:b/>
                <w:bCs/>
                <w:sz w:val="17"/>
                <w:szCs w:val="17"/>
              </w:rPr>
              <w:t>.2017.</w:t>
            </w:r>
          </w:p>
        </w:tc>
        <w:tc>
          <w:tcPr>
            <w:tcW w:w="3217" w:type="dxa"/>
            <w:gridSpan w:val="3"/>
          </w:tcPr>
          <w:p w14:paraId="46A82FED" w14:textId="64A8EFA0" w:rsidR="00F75302" w:rsidRPr="00F75302" w:rsidRDefault="00F75302" w:rsidP="009E2A3F">
            <w:pPr>
              <w:tabs>
                <w:tab w:val="right" w:pos="1202"/>
              </w:tabs>
              <w:spacing w:after="0" w:line="301" w:lineRule="exact"/>
              <w:jc w:val="right"/>
              <w:outlineLvl w:val="0"/>
              <w:rPr>
                <w:rFonts w:eastAsia="Times New Roman" w:cs="Arial"/>
                <w:b/>
                <w:bCs/>
                <w:sz w:val="17"/>
                <w:szCs w:val="17"/>
              </w:rPr>
            </w:pPr>
            <w:r w:rsidRPr="00F75302">
              <w:rPr>
                <w:rFonts w:eastAsia="Times New Roman" w:cs="Arial"/>
                <w:b/>
                <w:bCs/>
                <w:sz w:val="17"/>
                <w:szCs w:val="17"/>
              </w:rPr>
              <w:t>31.12.20</w:t>
            </w:r>
            <w:r w:rsidR="009E2A3F">
              <w:rPr>
                <w:rFonts w:eastAsia="Times New Roman" w:cs="Arial"/>
                <w:b/>
                <w:bCs/>
                <w:sz w:val="17"/>
                <w:szCs w:val="17"/>
              </w:rPr>
              <w:t>16</w:t>
            </w:r>
            <w:r w:rsidRPr="00F75302">
              <w:rPr>
                <w:rFonts w:eastAsia="Times New Roman" w:cs="Arial"/>
                <w:b/>
                <w:bCs/>
                <w:sz w:val="17"/>
                <w:szCs w:val="17"/>
              </w:rPr>
              <w:t>.</w:t>
            </w:r>
          </w:p>
        </w:tc>
      </w:tr>
      <w:tr w:rsidR="00F75302" w:rsidRPr="00F75302" w14:paraId="5D00796B" w14:textId="77777777" w:rsidTr="00F75302">
        <w:trPr>
          <w:trHeight w:val="139"/>
          <w:jc w:val="center"/>
        </w:trPr>
        <w:tc>
          <w:tcPr>
            <w:tcW w:w="3686" w:type="dxa"/>
            <w:vAlign w:val="bottom"/>
          </w:tcPr>
          <w:p w14:paraId="5DFA683F" w14:textId="77777777" w:rsidR="00F75302" w:rsidRPr="00F75302" w:rsidRDefault="00F75302" w:rsidP="00F75302">
            <w:pPr>
              <w:tabs>
                <w:tab w:val="right" w:pos="1202"/>
              </w:tabs>
              <w:spacing w:after="0" w:line="301" w:lineRule="exact"/>
              <w:outlineLvl w:val="0"/>
              <w:rPr>
                <w:rFonts w:eastAsia="Times New Roman" w:cs="Arial"/>
                <w:spacing w:val="-2"/>
                <w:sz w:val="17"/>
                <w:szCs w:val="17"/>
              </w:rPr>
            </w:pPr>
          </w:p>
        </w:tc>
        <w:tc>
          <w:tcPr>
            <w:tcW w:w="1072" w:type="dxa"/>
            <w:vAlign w:val="bottom"/>
          </w:tcPr>
          <w:p w14:paraId="6A7E3052" w14:textId="77777777" w:rsidR="00F75302" w:rsidRPr="00F75302" w:rsidRDefault="00F75302" w:rsidP="00F75302">
            <w:pPr>
              <w:tabs>
                <w:tab w:val="right" w:pos="1202"/>
              </w:tabs>
              <w:spacing w:after="0" w:line="301" w:lineRule="exact"/>
              <w:jc w:val="right"/>
              <w:outlineLvl w:val="0"/>
              <w:rPr>
                <w:rFonts w:eastAsia="Times New Roman" w:cs="Arial"/>
                <w:b/>
                <w:spacing w:val="-2"/>
                <w:sz w:val="17"/>
                <w:szCs w:val="17"/>
              </w:rPr>
            </w:pPr>
            <w:r w:rsidRPr="00F75302">
              <w:rPr>
                <w:rFonts w:eastAsia="Times New Roman" w:cs="Arial"/>
                <w:b/>
                <w:spacing w:val="-2"/>
                <w:sz w:val="17"/>
                <w:szCs w:val="17"/>
              </w:rPr>
              <w:t>Razina 1</w:t>
            </w:r>
          </w:p>
        </w:tc>
        <w:tc>
          <w:tcPr>
            <w:tcW w:w="1072" w:type="dxa"/>
            <w:vAlign w:val="bottom"/>
          </w:tcPr>
          <w:p w14:paraId="0610A82A" w14:textId="77777777" w:rsidR="00F75302" w:rsidRPr="00F75302" w:rsidRDefault="00F75302" w:rsidP="00F75302">
            <w:pPr>
              <w:tabs>
                <w:tab w:val="right" w:pos="1202"/>
              </w:tabs>
              <w:spacing w:after="0" w:line="301" w:lineRule="exact"/>
              <w:jc w:val="right"/>
              <w:outlineLvl w:val="0"/>
              <w:rPr>
                <w:rFonts w:eastAsia="Times New Roman" w:cs="Arial"/>
                <w:b/>
                <w:spacing w:val="-2"/>
                <w:sz w:val="17"/>
                <w:szCs w:val="17"/>
              </w:rPr>
            </w:pPr>
            <w:r w:rsidRPr="00F75302">
              <w:rPr>
                <w:rFonts w:eastAsia="Times New Roman" w:cs="Arial"/>
                <w:b/>
                <w:spacing w:val="-2"/>
                <w:sz w:val="17"/>
                <w:szCs w:val="17"/>
              </w:rPr>
              <w:t>Razina 2</w:t>
            </w:r>
          </w:p>
        </w:tc>
        <w:tc>
          <w:tcPr>
            <w:tcW w:w="1072" w:type="dxa"/>
            <w:vAlign w:val="bottom"/>
          </w:tcPr>
          <w:p w14:paraId="480FF5BA" w14:textId="77777777" w:rsidR="00F75302" w:rsidRPr="00F75302" w:rsidRDefault="00F75302" w:rsidP="00F75302">
            <w:pPr>
              <w:tabs>
                <w:tab w:val="right" w:pos="1202"/>
              </w:tabs>
              <w:spacing w:after="0" w:line="301" w:lineRule="exact"/>
              <w:jc w:val="right"/>
              <w:outlineLvl w:val="0"/>
              <w:rPr>
                <w:rFonts w:eastAsia="Times New Roman" w:cs="Arial"/>
                <w:b/>
                <w:spacing w:val="-2"/>
                <w:sz w:val="17"/>
                <w:szCs w:val="17"/>
              </w:rPr>
            </w:pPr>
            <w:r w:rsidRPr="00F75302">
              <w:rPr>
                <w:rFonts w:eastAsia="Times New Roman" w:cs="Arial"/>
                <w:b/>
                <w:spacing w:val="-2"/>
                <w:sz w:val="17"/>
                <w:szCs w:val="17"/>
              </w:rPr>
              <w:t>Razina 3</w:t>
            </w:r>
          </w:p>
        </w:tc>
        <w:tc>
          <w:tcPr>
            <w:tcW w:w="1072" w:type="dxa"/>
            <w:vAlign w:val="bottom"/>
          </w:tcPr>
          <w:p w14:paraId="2752A954" w14:textId="77777777" w:rsidR="00F75302" w:rsidRPr="00F75302" w:rsidRDefault="00F75302" w:rsidP="00F75302">
            <w:pPr>
              <w:tabs>
                <w:tab w:val="right" w:pos="1202"/>
              </w:tabs>
              <w:spacing w:after="0" w:line="301" w:lineRule="exact"/>
              <w:jc w:val="right"/>
              <w:outlineLvl w:val="0"/>
              <w:rPr>
                <w:rFonts w:eastAsia="Times New Roman" w:cs="Arial"/>
                <w:b/>
                <w:spacing w:val="-2"/>
                <w:sz w:val="17"/>
                <w:szCs w:val="17"/>
              </w:rPr>
            </w:pPr>
            <w:r w:rsidRPr="00F75302">
              <w:rPr>
                <w:rFonts w:eastAsia="Times New Roman" w:cs="Arial"/>
                <w:b/>
                <w:spacing w:val="-2"/>
                <w:sz w:val="17"/>
                <w:szCs w:val="17"/>
              </w:rPr>
              <w:t>Razina 1</w:t>
            </w:r>
          </w:p>
        </w:tc>
        <w:tc>
          <w:tcPr>
            <w:tcW w:w="1072" w:type="dxa"/>
            <w:vAlign w:val="bottom"/>
          </w:tcPr>
          <w:p w14:paraId="2936BD4E" w14:textId="77777777" w:rsidR="00F75302" w:rsidRPr="00F75302" w:rsidRDefault="00F75302" w:rsidP="00F75302">
            <w:pPr>
              <w:tabs>
                <w:tab w:val="right" w:pos="1202"/>
              </w:tabs>
              <w:spacing w:after="0" w:line="301" w:lineRule="exact"/>
              <w:jc w:val="right"/>
              <w:outlineLvl w:val="0"/>
              <w:rPr>
                <w:rFonts w:eastAsia="Times New Roman" w:cs="Arial"/>
                <w:b/>
                <w:spacing w:val="-2"/>
                <w:sz w:val="17"/>
                <w:szCs w:val="17"/>
              </w:rPr>
            </w:pPr>
            <w:r w:rsidRPr="00F75302">
              <w:rPr>
                <w:rFonts w:eastAsia="Times New Roman" w:cs="Arial"/>
                <w:b/>
                <w:spacing w:val="-2"/>
                <w:sz w:val="17"/>
                <w:szCs w:val="17"/>
              </w:rPr>
              <w:t>Razina 2</w:t>
            </w:r>
          </w:p>
        </w:tc>
        <w:tc>
          <w:tcPr>
            <w:tcW w:w="1073" w:type="dxa"/>
            <w:vAlign w:val="bottom"/>
          </w:tcPr>
          <w:p w14:paraId="34091F3F" w14:textId="77777777" w:rsidR="00F75302" w:rsidRPr="00F75302" w:rsidRDefault="00F75302" w:rsidP="00F75302">
            <w:pPr>
              <w:tabs>
                <w:tab w:val="right" w:pos="1202"/>
              </w:tabs>
              <w:spacing w:after="0" w:line="301" w:lineRule="exact"/>
              <w:jc w:val="right"/>
              <w:outlineLvl w:val="0"/>
              <w:rPr>
                <w:rFonts w:eastAsia="Times New Roman" w:cs="Arial"/>
                <w:b/>
                <w:spacing w:val="-2"/>
                <w:sz w:val="17"/>
                <w:szCs w:val="17"/>
              </w:rPr>
            </w:pPr>
            <w:r w:rsidRPr="00F75302">
              <w:rPr>
                <w:rFonts w:eastAsia="Times New Roman" w:cs="Arial"/>
                <w:b/>
                <w:spacing w:val="-2"/>
                <w:sz w:val="17"/>
                <w:szCs w:val="17"/>
              </w:rPr>
              <w:t>Razina 3</w:t>
            </w:r>
          </w:p>
        </w:tc>
      </w:tr>
      <w:tr w:rsidR="00F75302" w:rsidRPr="00F75302" w14:paraId="75181900" w14:textId="77777777" w:rsidTr="00F75302">
        <w:trPr>
          <w:trHeight w:val="444"/>
          <w:jc w:val="center"/>
        </w:trPr>
        <w:tc>
          <w:tcPr>
            <w:tcW w:w="3686" w:type="dxa"/>
            <w:vAlign w:val="bottom"/>
          </w:tcPr>
          <w:p w14:paraId="763EED49" w14:textId="77777777" w:rsidR="00F75302" w:rsidRPr="00F75302" w:rsidRDefault="00F75302" w:rsidP="00F75302">
            <w:pPr>
              <w:tabs>
                <w:tab w:val="right" w:pos="1202"/>
              </w:tabs>
              <w:spacing w:after="0" w:line="240" w:lineRule="auto"/>
              <w:outlineLvl w:val="0"/>
              <w:rPr>
                <w:rFonts w:eastAsia="Times New Roman" w:cs="Arial"/>
                <w:spacing w:val="-2"/>
                <w:sz w:val="17"/>
                <w:szCs w:val="17"/>
              </w:rPr>
            </w:pPr>
            <w:r w:rsidRPr="00F75302">
              <w:rPr>
                <w:rFonts w:eastAsia="Times New Roman" w:cs="Arial"/>
                <w:b/>
                <w:sz w:val="17"/>
                <w:szCs w:val="17"/>
              </w:rPr>
              <w:t>Financijska imovina po fer vrijednosti kroz izvještaj o dobiti i gubitku:</w:t>
            </w:r>
          </w:p>
        </w:tc>
        <w:tc>
          <w:tcPr>
            <w:tcW w:w="1072" w:type="dxa"/>
            <w:vAlign w:val="bottom"/>
          </w:tcPr>
          <w:p w14:paraId="67220D8B" w14:textId="77777777" w:rsidR="00F75302" w:rsidRPr="00F75302" w:rsidRDefault="00F75302" w:rsidP="00F75302">
            <w:pPr>
              <w:tabs>
                <w:tab w:val="right" w:pos="1202"/>
              </w:tabs>
              <w:spacing w:after="0" w:line="240" w:lineRule="auto"/>
              <w:jc w:val="right"/>
              <w:outlineLvl w:val="0"/>
              <w:rPr>
                <w:rFonts w:eastAsia="Times New Roman" w:cs="Arial"/>
                <w:b/>
                <w:spacing w:val="-2"/>
                <w:sz w:val="17"/>
                <w:szCs w:val="17"/>
              </w:rPr>
            </w:pPr>
          </w:p>
        </w:tc>
        <w:tc>
          <w:tcPr>
            <w:tcW w:w="1072" w:type="dxa"/>
            <w:vAlign w:val="bottom"/>
          </w:tcPr>
          <w:p w14:paraId="206E696F" w14:textId="77777777" w:rsidR="00F75302" w:rsidRPr="00F75302" w:rsidRDefault="00F75302" w:rsidP="00F75302">
            <w:pPr>
              <w:tabs>
                <w:tab w:val="right" w:pos="1202"/>
              </w:tabs>
              <w:spacing w:after="0" w:line="240" w:lineRule="auto"/>
              <w:jc w:val="right"/>
              <w:outlineLvl w:val="0"/>
              <w:rPr>
                <w:rFonts w:eastAsia="Times New Roman" w:cs="Arial"/>
                <w:b/>
                <w:spacing w:val="-2"/>
                <w:sz w:val="17"/>
                <w:szCs w:val="17"/>
              </w:rPr>
            </w:pPr>
          </w:p>
        </w:tc>
        <w:tc>
          <w:tcPr>
            <w:tcW w:w="1072" w:type="dxa"/>
            <w:vAlign w:val="bottom"/>
          </w:tcPr>
          <w:p w14:paraId="46CF9C4B" w14:textId="77777777" w:rsidR="00F75302" w:rsidRPr="00F75302" w:rsidRDefault="00F75302" w:rsidP="00F75302">
            <w:pPr>
              <w:tabs>
                <w:tab w:val="right" w:pos="1202"/>
              </w:tabs>
              <w:spacing w:after="0" w:line="240" w:lineRule="auto"/>
              <w:jc w:val="right"/>
              <w:outlineLvl w:val="0"/>
              <w:rPr>
                <w:rFonts w:eastAsia="Times New Roman" w:cs="Arial"/>
                <w:b/>
                <w:spacing w:val="-2"/>
                <w:sz w:val="17"/>
                <w:szCs w:val="17"/>
              </w:rPr>
            </w:pPr>
          </w:p>
        </w:tc>
        <w:tc>
          <w:tcPr>
            <w:tcW w:w="1072" w:type="dxa"/>
            <w:vAlign w:val="bottom"/>
          </w:tcPr>
          <w:p w14:paraId="25ABC256" w14:textId="77777777" w:rsidR="00F75302" w:rsidRPr="00F75302" w:rsidRDefault="00F75302" w:rsidP="00F75302">
            <w:pPr>
              <w:tabs>
                <w:tab w:val="right" w:pos="1202"/>
              </w:tabs>
              <w:spacing w:after="0" w:line="240" w:lineRule="auto"/>
              <w:jc w:val="right"/>
              <w:outlineLvl w:val="0"/>
              <w:rPr>
                <w:rFonts w:eastAsia="Times New Roman" w:cs="Arial"/>
                <w:b/>
                <w:spacing w:val="-2"/>
                <w:sz w:val="17"/>
                <w:szCs w:val="17"/>
              </w:rPr>
            </w:pPr>
          </w:p>
        </w:tc>
        <w:tc>
          <w:tcPr>
            <w:tcW w:w="1072" w:type="dxa"/>
            <w:vAlign w:val="bottom"/>
          </w:tcPr>
          <w:p w14:paraId="494B35F5" w14:textId="77777777" w:rsidR="00F75302" w:rsidRPr="00F75302" w:rsidRDefault="00F75302" w:rsidP="00F75302">
            <w:pPr>
              <w:tabs>
                <w:tab w:val="right" w:pos="1202"/>
              </w:tabs>
              <w:spacing w:after="0" w:line="240" w:lineRule="auto"/>
              <w:jc w:val="right"/>
              <w:outlineLvl w:val="0"/>
              <w:rPr>
                <w:rFonts w:eastAsia="Times New Roman" w:cs="Arial"/>
                <w:b/>
                <w:spacing w:val="-2"/>
                <w:sz w:val="17"/>
                <w:szCs w:val="17"/>
              </w:rPr>
            </w:pPr>
          </w:p>
        </w:tc>
        <w:tc>
          <w:tcPr>
            <w:tcW w:w="1073" w:type="dxa"/>
            <w:vAlign w:val="bottom"/>
          </w:tcPr>
          <w:p w14:paraId="6561D43D" w14:textId="77777777" w:rsidR="00F75302" w:rsidRPr="00F75302" w:rsidRDefault="00F75302" w:rsidP="00F75302">
            <w:pPr>
              <w:tabs>
                <w:tab w:val="right" w:pos="1202"/>
              </w:tabs>
              <w:spacing w:after="0" w:line="240" w:lineRule="auto"/>
              <w:jc w:val="right"/>
              <w:outlineLvl w:val="0"/>
              <w:rPr>
                <w:rFonts w:eastAsia="Times New Roman" w:cs="Arial"/>
                <w:b/>
                <w:spacing w:val="-2"/>
                <w:sz w:val="17"/>
                <w:szCs w:val="17"/>
              </w:rPr>
            </w:pPr>
          </w:p>
        </w:tc>
      </w:tr>
      <w:tr w:rsidR="009E2A3F" w:rsidRPr="00F75302" w14:paraId="3F0F2303" w14:textId="77777777" w:rsidTr="009E2A3F">
        <w:trPr>
          <w:trHeight w:val="216"/>
          <w:jc w:val="center"/>
        </w:trPr>
        <w:tc>
          <w:tcPr>
            <w:tcW w:w="3686" w:type="dxa"/>
            <w:vAlign w:val="bottom"/>
          </w:tcPr>
          <w:p w14:paraId="388403F8" w14:textId="77777777" w:rsidR="009E2A3F" w:rsidRPr="00F75302" w:rsidRDefault="009E2A3F" w:rsidP="009E2A3F">
            <w:pPr>
              <w:tabs>
                <w:tab w:val="right" w:pos="1202"/>
              </w:tabs>
              <w:spacing w:after="0" w:line="240" w:lineRule="auto"/>
              <w:outlineLvl w:val="0"/>
              <w:rPr>
                <w:rFonts w:eastAsia="Times New Roman" w:cs="Arial"/>
                <w:b/>
                <w:i/>
                <w:sz w:val="17"/>
                <w:szCs w:val="17"/>
              </w:rPr>
            </w:pPr>
            <w:r w:rsidRPr="00F75302">
              <w:rPr>
                <w:rFonts w:eastAsia="Times New Roman" w:cs="Arial"/>
                <w:sz w:val="17"/>
                <w:szCs w:val="17"/>
              </w:rPr>
              <w:t>Ulaganja u investicijske fondove</w:t>
            </w:r>
          </w:p>
        </w:tc>
        <w:tc>
          <w:tcPr>
            <w:tcW w:w="1072" w:type="dxa"/>
            <w:tcBorders>
              <w:top w:val="nil"/>
              <w:left w:val="nil"/>
              <w:bottom w:val="nil"/>
              <w:right w:val="nil"/>
            </w:tcBorders>
            <w:shd w:val="clear" w:color="auto" w:fill="auto"/>
            <w:vAlign w:val="bottom"/>
          </w:tcPr>
          <w:p w14:paraId="3B991B62" w14:textId="5A2FAB91" w:rsidR="009E2A3F" w:rsidRPr="00F75302" w:rsidRDefault="00234B5B" w:rsidP="009E2A3F">
            <w:pPr>
              <w:tabs>
                <w:tab w:val="right" w:pos="1202"/>
              </w:tabs>
              <w:spacing w:after="0" w:line="240" w:lineRule="auto"/>
              <w:jc w:val="right"/>
              <w:outlineLvl w:val="0"/>
              <w:rPr>
                <w:rFonts w:eastAsia="Times New Roman" w:cs="Arial"/>
                <w:sz w:val="17"/>
                <w:szCs w:val="17"/>
              </w:rPr>
            </w:pPr>
            <w:r>
              <w:rPr>
                <w:rFonts w:eastAsia="Times New Roman" w:cs="Arial"/>
                <w:sz w:val="17"/>
                <w:szCs w:val="17"/>
              </w:rPr>
              <w:t>284</w:t>
            </w:r>
          </w:p>
        </w:tc>
        <w:tc>
          <w:tcPr>
            <w:tcW w:w="1072" w:type="dxa"/>
            <w:tcBorders>
              <w:top w:val="nil"/>
              <w:left w:val="nil"/>
              <w:bottom w:val="nil"/>
              <w:right w:val="nil"/>
            </w:tcBorders>
            <w:shd w:val="clear" w:color="auto" w:fill="auto"/>
            <w:vAlign w:val="bottom"/>
          </w:tcPr>
          <w:p w14:paraId="7BBC53B7" w14:textId="55B674B8" w:rsidR="009E2A3F" w:rsidRPr="00F75302" w:rsidRDefault="00387E37" w:rsidP="009E2A3F">
            <w:pPr>
              <w:tabs>
                <w:tab w:val="right" w:pos="1202"/>
              </w:tabs>
              <w:spacing w:after="0" w:line="240" w:lineRule="auto"/>
              <w:jc w:val="right"/>
              <w:outlineLvl w:val="0"/>
              <w:rPr>
                <w:rFonts w:eastAsia="Times New Roman" w:cs="Arial"/>
                <w:sz w:val="17"/>
                <w:szCs w:val="17"/>
              </w:rPr>
            </w:pPr>
            <w:r>
              <w:rPr>
                <w:rFonts w:eastAsia="Times New Roman" w:cs="Arial"/>
                <w:sz w:val="17"/>
                <w:szCs w:val="17"/>
              </w:rPr>
              <w:t>-</w:t>
            </w:r>
          </w:p>
        </w:tc>
        <w:tc>
          <w:tcPr>
            <w:tcW w:w="1072" w:type="dxa"/>
            <w:tcBorders>
              <w:top w:val="nil"/>
              <w:left w:val="nil"/>
              <w:bottom w:val="nil"/>
              <w:right w:val="nil"/>
            </w:tcBorders>
            <w:shd w:val="clear" w:color="auto" w:fill="auto"/>
            <w:vAlign w:val="bottom"/>
          </w:tcPr>
          <w:p w14:paraId="02E4A0E0" w14:textId="53A892B4" w:rsidR="009E2A3F" w:rsidRPr="00F75302" w:rsidRDefault="00387E37" w:rsidP="009E2A3F">
            <w:pPr>
              <w:tabs>
                <w:tab w:val="right" w:pos="1202"/>
              </w:tabs>
              <w:spacing w:after="0" w:line="240" w:lineRule="auto"/>
              <w:jc w:val="right"/>
              <w:outlineLvl w:val="0"/>
              <w:rPr>
                <w:rFonts w:eastAsia="Times New Roman" w:cs="Arial"/>
                <w:sz w:val="17"/>
                <w:szCs w:val="17"/>
              </w:rPr>
            </w:pPr>
            <w:r>
              <w:rPr>
                <w:rFonts w:eastAsia="Times New Roman" w:cs="Arial"/>
                <w:sz w:val="17"/>
                <w:szCs w:val="17"/>
              </w:rPr>
              <w:t>-</w:t>
            </w:r>
          </w:p>
        </w:tc>
        <w:tc>
          <w:tcPr>
            <w:tcW w:w="1072" w:type="dxa"/>
            <w:tcBorders>
              <w:top w:val="nil"/>
              <w:left w:val="nil"/>
              <w:bottom w:val="nil"/>
              <w:right w:val="nil"/>
            </w:tcBorders>
            <w:shd w:val="clear" w:color="auto" w:fill="auto"/>
            <w:vAlign w:val="bottom"/>
          </w:tcPr>
          <w:p w14:paraId="17FC5B90" w14:textId="6338FD2D" w:rsidR="009E2A3F" w:rsidRPr="00F75302" w:rsidRDefault="009E2A3F" w:rsidP="009E2A3F">
            <w:pPr>
              <w:tabs>
                <w:tab w:val="right" w:pos="1202"/>
              </w:tabs>
              <w:spacing w:after="0" w:line="240" w:lineRule="auto"/>
              <w:jc w:val="right"/>
              <w:outlineLvl w:val="0"/>
              <w:rPr>
                <w:rFonts w:eastAsia="Times New Roman" w:cs="Arial"/>
                <w:sz w:val="17"/>
                <w:szCs w:val="17"/>
              </w:rPr>
            </w:pPr>
            <w:r w:rsidRPr="00411BE0">
              <w:rPr>
                <w:rFonts w:ascii="Calibri" w:hAnsi="Calibri" w:cs="Arial"/>
                <w:sz w:val="17"/>
                <w:szCs w:val="17"/>
              </w:rPr>
              <w:t>286</w:t>
            </w:r>
          </w:p>
        </w:tc>
        <w:tc>
          <w:tcPr>
            <w:tcW w:w="1072" w:type="dxa"/>
            <w:tcBorders>
              <w:top w:val="nil"/>
              <w:left w:val="nil"/>
              <w:bottom w:val="nil"/>
              <w:right w:val="nil"/>
            </w:tcBorders>
            <w:shd w:val="clear" w:color="auto" w:fill="auto"/>
            <w:vAlign w:val="bottom"/>
          </w:tcPr>
          <w:p w14:paraId="475160E8" w14:textId="1C3AA735" w:rsidR="009E2A3F" w:rsidRPr="00F75302" w:rsidRDefault="009E2A3F" w:rsidP="009E2A3F">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c>
          <w:tcPr>
            <w:tcW w:w="1073" w:type="dxa"/>
            <w:tcBorders>
              <w:top w:val="nil"/>
              <w:left w:val="nil"/>
              <w:bottom w:val="nil"/>
              <w:right w:val="nil"/>
            </w:tcBorders>
            <w:shd w:val="clear" w:color="auto" w:fill="auto"/>
            <w:vAlign w:val="bottom"/>
          </w:tcPr>
          <w:p w14:paraId="17FF7A9A" w14:textId="16801AC2" w:rsidR="009E2A3F" w:rsidRPr="00F75302" w:rsidRDefault="009E2A3F" w:rsidP="009E2A3F">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r>
      <w:tr w:rsidR="00387E37" w:rsidRPr="00F75302" w14:paraId="706E3FC3" w14:textId="77777777" w:rsidTr="000E5941">
        <w:trPr>
          <w:trHeight w:val="416"/>
          <w:jc w:val="center"/>
        </w:trPr>
        <w:tc>
          <w:tcPr>
            <w:tcW w:w="3686" w:type="dxa"/>
            <w:vAlign w:val="bottom"/>
          </w:tcPr>
          <w:p w14:paraId="42BF055A" w14:textId="77777777" w:rsidR="00387E37" w:rsidRPr="00F75302" w:rsidRDefault="00387E37" w:rsidP="00387E37">
            <w:pPr>
              <w:tabs>
                <w:tab w:val="right" w:pos="1202"/>
              </w:tabs>
              <w:spacing w:after="0" w:line="240" w:lineRule="auto"/>
              <w:outlineLvl w:val="0"/>
              <w:rPr>
                <w:rFonts w:eastAsia="Times New Roman" w:cs="Arial"/>
                <w:sz w:val="17"/>
                <w:szCs w:val="17"/>
              </w:rPr>
            </w:pPr>
            <w:r w:rsidRPr="00F75302">
              <w:rPr>
                <w:rFonts w:eastAsia="Times New Roman" w:cs="Arial"/>
                <w:b/>
                <w:sz w:val="17"/>
                <w:szCs w:val="17"/>
              </w:rPr>
              <w:t>Ukupno financijska imovina po fer vrijednosti kroz izvještaj o dobiti i gubitku</w:t>
            </w:r>
          </w:p>
        </w:tc>
        <w:tc>
          <w:tcPr>
            <w:tcW w:w="1072" w:type="dxa"/>
            <w:tcBorders>
              <w:top w:val="single" w:sz="4" w:space="0" w:color="auto"/>
              <w:left w:val="nil"/>
              <w:bottom w:val="single" w:sz="8" w:space="0" w:color="auto"/>
              <w:right w:val="nil"/>
            </w:tcBorders>
            <w:shd w:val="clear" w:color="auto" w:fill="auto"/>
            <w:vAlign w:val="bottom"/>
          </w:tcPr>
          <w:p w14:paraId="353D30AD" w14:textId="71D5C306" w:rsidR="00387E37" w:rsidRPr="00F75302" w:rsidRDefault="00234B5B" w:rsidP="00387E37">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284</w:t>
            </w:r>
          </w:p>
        </w:tc>
        <w:tc>
          <w:tcPr>
            <w:tcW w:w="1072" w:type="dxa"/>
            <w:tcBorders>
              <w:top w:val="single" w:sz="4" w:space="0" w:color="auto"/>
              <w:left w:val="nil"/>
              <w:bottom w:val="single" w:sz="8" w:space="0" w:color="auto"/>
              <w:right w:val="nil"/>
            </w:tcBorders>
            <w:shd w:val="clear" w:color="auto" w:fill="auto"/>
            <w:vAlign w:val="bottom"/>
          </w:tcPr>
          <w:p w14:paraId="078134AB" w14:textId="629F9E05" w:rsidR="00387E37" w:rsidRPr="00F75302" w:rsidRDefault="00387E37" w:rsidP="00387E37">
            <w:pPr>
              <w:tabs>
                <w:tab w:val="right" w:pos="1202"/>
              </w:tabs>
              <w:spacing w:after="0" w:line="240" w:lineRule="auto"/>
              <w:jc w:val="right"/>
              <w:outlineLvl w:val="0"/>
              <w:rPr>
                <w:rFonts w:eastAsia="Times New Roman" w:cs="Arial"/>
                <w:b/>
                <w:sz w:val="17"/>
                <w:szCs w:val="17"/>
              </w:rPr>
            </w:pPr>
            <w:r w:rsidRPr="001907A5">
              <w:t>-</w:t>
            </w:r>
          </w:p>
        </w:tc>
        <w:tc>
          <w:tcPr>
            <w:tcW w:w="1072" w:type="dxa"/>
            <w:tcBorders>
              <w:top w:val="single" w:sz="4" w:space="0" w:color="auto"/>
              <w:left w:val="nil"/>
              <w:bottom w:val="single" w:sz="8" w:space="0" w:color="auto"/>
              <w:right w:val="nil"/>
            </w:tcBorders>
            <w:shd w:val="clear" w:color="auto" w:fill="auto"/>
            <w:vAlign w:val="bottom"/>
          </w:tcPr>
          <w:p w14:paraId="02CE331B" w14:textId="207E15B0" w:rsidR="00387E37" w:rsidRPr="00F75302" w:rsidRDefault="00387E37" w:rsidP="00387E37">
            <w:pPr>
              <w:tabs>
                <w:tab w:val="right" w:pos="1202"/>
              </w:tabs>
              <w:spacing w:after="0" w:line="240" w:lineRule="auto"/>
              <w:jc w:val="right"/>
              <w:outlineLvl w:val="0"/>
              <w:rPr>
                <w:rFonts w:eastAsia="Times New Roman" w:cs="Arial"/>
                <w:b/>
                <w:sz w:val="17"/>
                <w:szCs w:val="17"/>
              </w:rPr>
            </w:pPr>
            <w:r w:rsidRPr="001907A5">
              <w:t>-</w:t>
            </w:r>
          </w:p>
        </w:tc>
        <w:tc>
          <w:tcPr>
            <w:tcW w:w="1072" w:type="dxa"/>
            <w:tcBorders>
              <w:top w:val="single" w:sz="4" w:space="0" w:color="auto"/>
              <w:left w:val="nil"/>
              <w:bottom w:val="single" w:sz="8" w:space="0" w:color="auto"/>
              <w:right w:val="nil"/>
            </w:tcBorders>
            <w:shd w:val="clear" w:color="auto" w:fill="auto"/>
            <w:vAlign w:val="bottom"/>
          </w:tcPr>
          <w:p w14:paraId="3B8B4204" w14:textId="51C6CD46" w:rsidR="00387E37" w:rsidRPr="00F75302" w:rsidRDefault="00387E37" w:rsidP="00387E37">
            <w:pPr>
              <w:tabs>
                <w:tab w:val="right" w:pos="1202"/>
              </w:tabs>
              <w:spacing w:after="0" w:line="240" w:lineRule="auto"/>
              <w:jc w:val="right"/>
              <w:outlineLvl w:val="0"/>
              <w:rPr>
                <w:rFonts w:eastAsia="Times New Roman" w:cs="Arial"/>
                <w:b/>
                <w:sz w:val="17"/>
                <w:szCs w:val="17"/>
              </w:rPr>
            </w:pPr>
            <w:r w:rsidRPr="00411BE0">
              <w:rPr>
                <w:rFonts w:ascii="Calibri" w:hAnsi="Calibri" w:cs="Arial"/>
                <w:b/>
                <w:sz w:val="17"/>
                <w:szCs w:val="17"/>
              </w:rPr>
              <w:t>286</w:t>
            </w:r>
          </w:p>
        </w:tc>
        <w:tc>
          <w:tcPr>
            <w:tcW w:w="1072" w:type="dxa"/>
            <w:tcBorders>
              <w:top w:val="single" w:sz="4" w:space="0" w:color="auto"/>
              <w:left w:val="nil"/>
              <w:bottom w:val="single" w:sz="8" w:space="0" w:color="auto"/>
              <w:right w:val="nil"/>
            </w:tcBorders>
            <w:shd w:val="clear" w:color="auto" w:fill="auto"/>
            <w:vAlign w:val="bottom"/>
          </w:tcPr>
          <w:p w14:paraId="68705790" w14:textId="5AC2CC82" w:rsidR="00387E37" w:rsidRPr="00F75302" w:rsidRDefault="00387E37" w:rsidP="00387E37">
            <w:pPr>
              <w:tabs>
                <w:tab w:val="right" w:pos="1202"/>
              </w:tabs>
              <w:spacing w:after="0" w:line="240" w:lineRule="auto"/>
              <w:jc w:val="right"/>
              <w:outlineLvl w:val="0"/>
              <w:rPr>
                <w:rFonts w:eastAsia="Times New Roman" w:cs="Arial"/>
                <w:b/>
                <w:sz w:val="17"/>
                <w:szCs w:val="17"/>
              </w:rPr>
            </w:pPr>
            <w:r>
              <w:rPr>
                <w:rFonts w:ascii="Calibri" w:hAnsi="Calibri" w:cs="Arial"/>
                <w:b/>
                <w:sz w:val="17"/>
                <w:szCs w:val="17"/>
              </w:rPr>
              <w:t>-</w:t>
            </w:r>
          </w:p>
        </w:tc>
        <w:tc>
          <w:tcPr>
            <w:tcW w:w="1073" w:type="dxa"/>
            <w:tcBorders>
              <w:top w:val="single" w:sz="4" w:space="0" w:color="auto"/>
              <w:left w:val="nil"/>
              <w:bottom w:val="single" w:sz="8" w:space="0" w:color="auto"/>
              <w:right w:val="nil"/>
            </w:tcBorders>
            <w:shd w:val="clear" w:color="auto" w:fill="auto"/>
            <w:vAlign w:val="bottom"/>
          </w:tcPr>
          <w:p w14:paraId="38DC246D" w14:textId="0B6A5A4C" w:rsidR="00387E37" w:rsidRPr="00F75302" w:rsidRDefault="00387E37" w:rsidP="00387E37">
            <w:pPr>
              <w:tabs>
                <w:tab w:val="right" w:pos="1202"/>
              </w:tabs>
              <w:spacing w:after="0" w:line="240" w:lineRule="auto"/>
              <w:jc w:val="right"/>
              <w:outlineLvl w:val="0"/>
              <w:rPr>
                <w:rFonts w:eastAsia="Times New Roman" w:cs="Arial"/>
                <w:b/>
                <w:sz w:val="17"/>
                <w:szCs w:val="17"/>
              </w:rPr>
            </w:pPr>
            <w:r>
              <w:rPr>
                <w:rFonts w:ascii="Calibri" w:hAnsi="Calibri" w:cs="Arial"/>
                <w:b/>
                <w:sz w:val="17"/>
                <w:szCs w:val="17"/>
              </w:rPr>
              <w:t>-</w:t>
            </w:r>
          </w:p>
        </w:tc>
      </w:tr>
      <w:tr w:rsidR="00F75302" w:rsidRPr="00F75302" w14:paraId="7F8671EB" w14:textId="77777777" w:rsidTr="00F75302">
        <w:trPr>
          <w:trHeight w:hRule="exact" w:val="99"/>
          <w:jc w:val="center"/>
        </w:trPr>
        <w:tc>
          <w:tcPr>
            <w:tcW w:w="3686" w:type="dxa"/>
            <w:vAlign w:val="bottom"/>
          </w:tcPr>
          <w:p w14:paraId="509117B2" w14:textId="77777777" w:rsidR="00F75302" w:rsidRPr="00F75302" w:rsidRDefault="00F75302" w:rsidP="00F75302">
            <w:pPr>
              <w:keepNext/>
              <w:keepLines/>
              <w:tabs>
                <w:tab w:val="decimal" w:pos="1202"/>
              </w:tabs>
              <w:spacing w:after="0" w:line="240" w:lineRule="auto"/>
              <w:rPr>
                <w:rFonts w:eastAsia="Times New Roman" w:cs="Arial"/>
                <w:b/>
                <w:bCs/>
                <w:spacing w:val="-2"/>
                <w:position w:val="4"/>
                <w:sz w:val="17"/>
                <w:szCs w:val="17"/>
              </w:rPr>
            </w:pPr>
          </w:p>
        </w:tc>
        <w:tc>
          <w:tcPr>
            <w:tcW w:w="1072" w:type="dxa"/>
            <w:tcBorders>
              <w:top w:val="single" w:sz="12" w:space="0" w:color="auto"/>
            </w:tcBorders>
            <w:vAlign w:val="bottom"/>
          </w:tcPr>
          <w:p w14:paraId="6946EB3E" w14:textId="77777777" w:rsidR="00F75302" w:rsidRPr="00F75302" w:rsidDel="00561A80" w:rsidRDefault="00F75302" w:rsidP="00F75302">
            <w:pPr>
              <w:keepNext/>
              <w:keepLines/>
              <w:tabs>
                <w:tab w:val="decimal" w:pos="1202"/>
              </w:tabs>
              <w:spacing w:after="0" w:line="240" w:lineRule="auto"/>
              <w:jc w:val="right"/>
              <w:rPr>
                <w:rFonts w:eastAsia="Times New Roman" w:cs="Arial"/>
                <w:b/>
                <w:bCs/>
                <w:spacing w:val="-2"/>
                <w:position w:val="4"/>
                <w:sz w:val="17"/>
                <w:szCs w:val="17"/>
              </w:rPr>
            </w:pPr>
          </w:p>
        </w:tc>
        <w:tc>
          <w:tcPr>
            <w:tcW w:w="1072" w:type="dxa"/>
            <w:tcBorders>
              <w:top w:val="single" w:sz="12" w:space="0" w:color="auto"/>
            </w:tcBorders>
            <w:vAlign w:val="bottom"/>
          </w:tcPr>
          <w:p w14:paraId="60BB92B9" w14:textId="77777777" w:rsidR="00F75302" w:rsidRPr="00F75302" w:rsidDel="00561A80" w:rsidRDefault="00F75302" w:rsidP="00F75302">
            <w:pPr>
              <w:keepNext/>
              <w:keepLines/>
              <w:tabs>
                <w:tab w:val="decimal" w:pos="1202"/>
              </w:tabs>
              <w:spacing w:after="0" w:line="240" w:lineRule="auto"/>
              <w:jc w:val="right"/>
              <w:rPr>
                <w:rFonts w:eastAsia="Times New Roman" w:cs="Arial"/>
                <w:b/>
                <w:bCs/>
                <w:spacing w:val="-2"/>
                <w:position w:val="4"/>
                <w:sz w:val="17"/>
                <w:szCs w:val="17"/>
              </w:rPr>
            </w:pPr>
          </w:p>
        </w:tc>
        <w:tc>
          <w:tcPr>
            <w:tcW w:w="1072" w:type="dxa"/>
            <w:tcBorders>
              <w:top w:val="single" w:sz="12" w:space="0" w:color="auto"/>
            </w:tcBorders>
            <w:vAlign w:val="bottom"/>
          </w:tcPr>
          <w:p w14:paraId="16F89DF3" w14:textId="77777777" w:rsidR="00F75302" w:rsidRPr="00F75302" w:rsidDel="00561A80" w:rsidRDefault="00F75302" w:rsidP="00F75302">
            <w:pPr>
              <w:keepNext/>
              <w:keepLines/>
              <w:tabs>
                <w:tab w:val="decimal" w:pos="1202"/>
              </w:tabs>
              <w:spacing w:after="0" w:line="240" w:lineRule="auto"/>
              <w:jc w:val="right"/>
              <w:rPr>
                <w:rFonts w:eastAsia="Times New Roman" w:cs="Arial"/>
                <w:b/>
                <w:bCs/>
                <w:spacing w:val="-2"/>
                <w:position w:val="4"/>
                <w:sz w:val="17"/>
                <w:szCs w:val="17"/>
              </w:rPr>
            </w:pPr>
          </w:p>
        </w:tc>
        <w:tc>
          <w:tcPr>
            <w:tcW w:w="1072" w:type="dxa"/>
            <w:tcBorders>
              <w:top w:val="single" w:sz="12" w:space="0" w:color="auto"/>
            </w:tcBorders>
            <w:vAlign w:val="bottom"/>
          </w:tcPr>
          <w:p w14:paraId="5AD0257A" w14:textId="77777777" w:rsidR="00F75302" w:rsidRPr="00F75302" w:rsidDel="00561A80" w:rsidRDefault="00F75302" w:rsidP="00F75302">
            <w:pPr>
              <w:keepNext/>
              <w:keepLines/>
              <w:tabs>
                <w:tab w:val="decimal" w:pos="1202"/>
              </w:tabs>
              <w:spacing w:after="0" w:line="240" w:lineRule="auto"/>
              <w:jc w:val="right"/>
              <w:rPr>
                <w:rFonts w:eastAsia="Times New Roman" w:cs="Arial"/>
                <w:b/>
                <w:bCs/>
                <w:spacing w:val="-2"/>
                <w:position w:val="4"/>
                <w:sz w:val="17"/>
                <w:szCs w:val="17"/>
              </w:rPr>
            </w:pPr>
          </w:p>
        </w:tc>
        <w:tc>
          <w:tcPr>
            <w:tcW w:w="1072" w:type="dxa"/>
            <w:tcBorders>
              <w:top w:val="single" w:sz="12" w:space="0" w:color="auto"/>
            </w:tcBorders>
            <w:vAlign w:val="bottom"/>
          </w:tcPr>
          <w:p w14:paraId="7E3AADFB" w14:textId="77777777" w:rsidR="00F75302" w:rsidRPr="00F75302" w:rsidDel="00561A80" w:rsidRDefault="00F75302" w:rsidP="00F75302">
            <w:pPr>
              <w:keepNext/>
              <w:keepLines/>
              <w:tabs>
                <w:tab w:val="decimal" w:pos="1202"/>
              </w:tabs>
              <w:spacing w:after="0" w:line="240" w:lineRule="auto"/>
              <w:jc w:val="right"/>
              <w:rPr>
                <w:rFonts w:eastAsia="Times New Roman" w:cs="Arial"/>
                <w:b/>
                <w:bCs/>
                <w:spacing w:val="-2"/>
                <w:position w:val="4"/>
                <w:sz w:val="17"/>
                <w:szCs w:val="17"/>
              </w:rPr>
            </w:pPr>
          </w:p>
        </w:tc>
        <w:tc>
          <w:tcPr>
            <w:tcW w:w="1073" w:type="dxa"/>
            <w:tcBorders>
              <w:top w:val="single" w:sz="12" w:space="0" w:color="auto"/>
            </w:tcBorders>
            <w:vAlign w:val="bottom"/>
          </w:tcPr>
          <w:p w14:paraId="2C316F45" w14:textId="77777777" w:rsidR="00F75302" w:rsidRPr="00F75302" w:rsidDel="00561A80" w:rsidRDefault="00F75302" w:rsidP="00F75302">
            <w:pPr>
              <w:keepNext/>
              <w:keepLines/>
              <w:tabs>
                <w:tab w:val="decimal" w:pos="1202"/>
              </w:tabs>
              <w:spacing w:after="0" w:line="240" w:lineRule="auto"/>
              <w:jc w:val="right"/>
              <w:rPr>
                <w:rFonts w:eastAsia="Times New Roman" w:cs="Arial"/>
                <w:b/>
                <w:bCs/>
                <w:spacing w:val="-2"/>
                <w:position w:val="4"/>
                <w:sz w:val="17"/>
                <w:szCs w:val="17"/>
              </w:rPr>
            </w:pPr>
          </w:p>
        </w:tc>
      </w:tr>
      <w:tr w:rsidR="00F75302" w:rsidRPr="00F75302" w14:paraId="36F5DA70" w14:textId="77777777" w:rsidTr="00F75302">
        <w:trPr>
          <w:trHeight w:hRule="exact" w:val="340"/>
          <w:jc w:val="center"/>
        </w:trPr>
        <w:tc>
          <w:tcPr>
            <w:tcW w:w="3686" w:type="dxa"/>
            <w:vAlign w:val="bottom"/>
          </w:tcPr>
          <w:p w14:paraId="63CD4BFD" w14:textId="77777777" w:rsidR="00F75302" w:rsidRPr="00F75302" w:rsidRDefault="00F75302" w:rsidP="00F75302">
            <w:pPr>
              <w:tabs>
                <w:tab w:val="right" w:pos="1202"/>
              </w:tabs>
              <w:spacing w:after="0" w:line="240" w:lineRule="auto"/>
              <w:outlineLvl w:val="0"/>
              <w:rPr>
                <w:rFonts w:eastAsia="Times New Roman" w:cs="Arial"/>
                <w:b/>
                <w:sz w:val="17"/>
                <w:szCs w:val="17"/>
              </w:rPr>
            </w:pPr>
            <w:r w:rsidRPr="00F75302">
              <w:rPr>
                <w:rFonts w:eastAsia="Times New Roman" w:cs="Arial"/>
                <w:b/>
                <w:sz w:val="17"/>
                <w:szCs w:val="17"/>
              </w:rPr>
              <w:t>Imovina raspoloživa za prodaju:</w:t>
            </w:r>
          </w:p>
        </w:tc>
        <w:tc>
          <w:tcPr>
            <w:tcW w:w="1072" w:type="dxa"/>
            <w:vAlign w:val="bottom"/>
          </w:tcPr>
          <w:p w14:paraId="55E9206B"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vAlign w:val="bottom"/>
          </w:tcPr>
          <w:p w14:paraId="6B8D9E35"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vAlign w:val="bottom"/>
          </w:tcPr>
          <w:p w14:paraId="32FB4254"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vAlign w:val="bottom"/>
          </w:tcPr>
          <w:p w14:paraId="6C2C59B8"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vAlign w:val="bottom"/>
          </w:tcPr>
          <w:p w14:paraId="7C7AD370"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3" w:type="dxa"/>
            <w:vAlign w:val="bottom"/>
          </w:tcPr>
          <w:p w14:paraId="0F0E6999"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r>
      <w:tr w:rsidR="00F75302" w:rsidRPr="00F75302" w14:paraId="6CA424DD" w14:textId="77777777" w:rsidTr="00F75302">
        <w:trPr>
          <w:trHeight w:val="267"/>
          <w:jc w:val="center"/>
        </w:trPr>
        <w:tc>
          <w:tcPr>
            <w:tcW w:w="3686" w:type="dxa"/>
            <w:vAlign w:val="bottom"/>
          </w:tcPr>
          <w:p w14:paraId="10C9DBF3" w14:textId="77777777" w:rsidR="00F75302" w:rsidRPr="00F75302" w:rsidRDefault="00F75302" w:rsidP="00F75302">
            <w:pPr>
              <w:tabs>
                <w:tab w:val="right" w:pos="1202"/>
              </w:tabs>
              <w:spacing w:after="0" w:line="240" w:lineRule="auto"/>
              <w:outlineLvl w:val="0"/>
              <w:rPr>
                <w:rFonts w:eastAsia="Times New Roman" w:cs="Arial"/>
                <w:b/>
                <w:sz w:val="17"/>
                <w:szCs w:val="17"/>
              </w:rPr>
            </w:pPr>
            <w:r w:rsidRPr="00F75302">
              <w:rPr>
                <w:rFonts w:eastAsia="Times New Roman" w:cs="Arial"/>
                <w:b/>
                <w:sz w:val="17"/>
                <w:szCs w:val="17"/>
              </w:rPr>
              <w:t>Dužnički vrijednosni papiri:</w:t>
            </w:r>
          </w:p>
        </w:tc>
        <w:tc>
          <w:tcPr>
            <w:tcW w:w="1072" w:type="dxa"/>
            <w:vAlign w:val="bottom"/>
          </w:tcPr>
          <w:p w14:paraId="2B07A3EA"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vAlign w:val="bottom"/>
          </w:tcPr>
          <w:p w14:paraId="5F28090B"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vAlign w:val="bottom"/>
          </w:tcPr>
          <w:p w14:paraId="1DEFDE50"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vAlign w:val="bottom"/>
          </w:tcPr>
          <w:p w14:paraId="16306B72"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vAlign w:val="bottom"/>
          </w:tcPr>
          <w:p w14:paraId="5A96B9B9"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3" w:type="dxa"/>
            <w:vAlign w:val="bottom"/>
          </w:tcPr>
          <w:p w14:paraId="635FC8B8"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r>
      <w:tr w:rsidR="00F75302" w:rsidRPr="00F75302" w14:paraId="61781607" w14:textId="77777777" w:rsidTr="00F75302">
        <w:trPr>
          <w:trHeight w:val="216"/>
          <w:jc w:val="center"/>
        </w:trPr>
        <w:tc>
          <w:tcPr>
            <w:tcW w:w="3686" w:type="dxa"/>
            <w:vAlign w:val="bottom"/>
          </w:tcPr>
          <w:p w14:paraId="7027334F" w14:textId="77777777" w:rsidR="00F75302" w:rsidRPr="00F75302" w:rsidRDefault="00F75302" w:rsidP="00F75302">
            <w:pPr>
              <w:tabs>
                <w:tab w:val="right" w:pos="1202"/>
              </w:tabs>
              <w:spacing w:after="0" w:line="240" w:lineRule="auto"/>
              <w:outlineLvl w:val="0"/>
              <w:rPr>
                <w:rFonts w:eastAsia="Times New Roman" w:cs="Arial"/>
                <w:b/>
                <w:i/>
                <w:spacing w:val="-2"/>
                <w:sz w:val="17"/>
                <w:szCs w:val="17"/>
              </w:rPr>
            </w:pPr>
            <w:r w:rsidRPr="00F75302">
              <w:rPr>
                <w:rFonts w:eastAsia="Times New Roman" w:cs="Arial"/>
                <w:b/>
                <w:i/>
                <w:spacing w:val="-2"/>
                <w:sz w:val="17"/>
                <w:szCs w:val="17"/>
              </w:rPr>
              <w:t>Dužnički vrijednosni papiri koji kotiraju:</w:t>
            </w:r>
          </w:p>
        </w:tc>
        <w:tc>
          <w:tcPr>
            <w:tcW w:w="1072" w:type="dxa"/>
            <w:vAlign w:val="bottom"/>
          </w:tcPr>
          <w:p w14:paraId="2AE855D0"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vAlign w:val="bottom"/>
          </w:tcPr>
          <w:p w14:paraId="2E30C6A2"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vAlign w:val="bottom"/>
          </w:tcPr>
          <w:p w14:paraId="204105ED"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vAlign w:val="bottom"/>
          </w:tcPr>
          <w:p w14:paraId="798D1D1A"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vAlign w:val="bottom"/>
          </w:tcPr>
          <w:p w14:paraId="35A25DA4"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3" w:type="dxa"/>
            <w:vAlign w:val="bottom"/>
          </w:tcPr>
          <w:p w14:paraId="30EF2556"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r>
      <w:tr w:rsidR="00234B5B" w:rsidRPr="00F75302" w14:paraId="2BEAF2EF" w14:textId="77777777" w:rsidTr="00312975">
        <w:trPr>
          <w:trHeight w:val="216"/>
          <w:jc w:val="center"/>
        </w:trPr>
        <w:tc>
          <w:tcPr>
            <w:tcW w:w="3686" w:type="dxa"/>
            <w:vAlign w:val="bottom"/>
          </w:tcPr>
          <w:p w14:paraId="56F1F6D0" w14:textId="77777777" w:rsidR="00234B5B" w:rsidRPr="00F75302" w:rsidRDefault="00234B5B" w:rsidP="00234B5B">
            <w:pPr>
              <w:tabs>
                <w:tab w:val="right" w:pos="1202"/>
              </w:tabs>
              <w:spacing w:after="0" w:line="240" w:lineRule="auto"/>
              <w:outlineLvl w:val="0"/>
              <w:rPr>
                <w:rFonts w:eastAsia="Times New Roman" w:cs="Arial"/>
                <w:spacing w:val="-2"/>
                <w:sz w:val="17"/>
                <w:szCs w:val="17"/>
              </w:rPr>
            </w:pPr>
            <w:r w:rsidRPr="00F75302">
              <w:rPr>
                <w:rFonts w:eastAsia="Times New Roman" w:cs="Arial"/>
                <w:spacing w:val="-2"/>
                <w:sz w:val="17"/>
                <w:szCs w:val="17"/>
              </w:rPr>
              <w:t>Obveznice Republike Hrvatske</w:t>
            </w:r>
          </w:p>
        </w:tc>
        <w:tc>
          <w:tcPr>
            <w:tcW w:w="1072" w:type="dxa"/>
            <w:tcBorders>
              <w:top w:val="nil"/>
              <w:left w:val="nil"/>
              <w:bottom w:val="nil"/>
              <w:right w:val="nil"/>
            </w:tcBorders>
            <w:shd w:val="clear" w:color="auto" w:fill="auto"/>
            <w:vAlign w:val="center"/>
          </w:tcPr>
          <w:p w14:paraId="1B967576" w14:textId="30A7A5DB" w:rsidR="00234B5B" w:rsidRPr="00312975" w:rsidRDefault="00234B5B" w:rsidP="00234B5B">
            <w:pPr>
              <w:tabs>
                <w:tab w:val="right" w:pos="1202"/>
              </w:tabs>
              <w:spacing w:after="0" w:line="240" w:lineRule="auto"/>
              <w:jc w:val="right"/>
              <w:outlineLvl w:val="0"/>
              <w:rPr>
                <w:rFonts w:ascii="Calibri" w:hAnsi="Calibri"/>
                <w:color w:val="000000"/>
                <w:sz w:val="17"/>
                <w:szCs w:val="17"/>
              </w:rPr>
            </w:pPr>
            <w:r w:rsidRPr="00312975">
              <w:rPr>
                <w:rFonts w:ascii="Calibri" w:hAnsi="Calibri"/>
                <w:color w:val="000000"/>
                <w:sz w:val="17"/>
                <w:szCs w:val="17"/>
              </w:rPr>
              <w:t>884.031</w:t>
            </w:r>
          </w:p>
        </w:tc>
        <w:tc>
          <w:tcPr>
            <w:tcW w:w="1072" w:type="dxa"/>
            <w:tcBorders>
              <w:top w:val="nil"/>
              <w:left w:val="nil"/>
              <w:bottom w:val="nil"/>
              <w:right w:val="nil"/>
            </w:tcBorders>
            <w:shd w:val="clear" w:color="auto" w:fill="auto"/>
          </w:tcPr>
          <w:p w14:paraId="7624F8EB" w14:textId="11D7FB63" w:rsidR="00234B5B" w:rsidRPr="000E5941" w:rsidRDefault="00234B5B" w:rsidP="00234B5B">
            <w:pPr>
              <w:tabs>
                <w:tab w:val="right" w:pos="1202"/>
              </w:tabs>
              <w:spacing w:after="0" w:line="240" w:lineRule="auto"/>
              <w:jc w:val="right"/>
              <w:outlineLvl w:val="0"/>
              <w:rPr>
                <w:rFonts w:ascii="Calibri" w:hAnsi="Calibri" w:cs="Arial"/>
                <w:spacing w:val="-2"/>
                <w:sz w:val="17"/>
                <w:szCs w:val="17"/>
              </w:rPr>
            </w:pPr>
            <w:r w:rsidRPr="000E5941">
              <w:rPr>
                <w:rFonts w:ascii="Calibri" w:hAnsi="Calibri" w:cs="Arial"/>
                <w:spacing w:val="-2"/>
                <w:sz w:val="17"/>
                <w:szCs w:val="17"/>
              </w:rPr>
              <w:t>-</w:t>
            </w:r>
          </w:p>
        </w:tc>
        <w:tc>
          <w:tcPr>
            <w:tcW w:w="1072" w:type="dxa"/>
            <w:tcBorders>
              <w:top w:val="nil"/>
              <w:left w:val="nil"/>
              <w:bottom w:val="nil"/>
              <w:right w:val="nil"/>
            </w:tcBorders>
            <w:shd w:val="clear" w:color="auto" w:fill="auto"/>
          </w:tcPr>
          <w:p w14:paraId="036E5366" w14:textId="25D3C6AE" w:rsidR="00234B5B" w:rsidRPr="000E5941" w:rsidRDefault="00234B5B" w:rsidP="00234B5B">
            <w:pPr>
              <w:tabs>
                <w:tab w:val="right" w:pos="1202"/>
              </w:tabs>
              <w:spacing w:after="0" w:line="240" w:lineRule="auto"/>
              <w:jc w:val="right"/>
              <w:outlineLvl w:val="0"/>
              <w:rPr>
                <w:rFonts w:ascii="Calibri" w:hAnsi="Calibri" w:cs="Arial"/>
                <w:spacing w:val="-2"/>
                <w:sz w:val="17"/>
                <w:szCs w:val="17"/>
              </w:rPr>
            </w:pPr>
            <w:r w:rsidRPr="000E5941">
              <w:rPr>
                <w:rFonts w:ascii="Calibri" w:hAnsi="Calibri" w:cs="Arial"/>
                <w:spacing w:val="-2"/>
                <w:sz w:val="17"/>
                <w:szCs w:val="17"/>
              </w:rPr>
              <w:t>-</w:t>
            </w:r>
          </w:p>
        </w:tc>
        <w:tc>
          <w:tcPr>
            <w:tcW w:w="1072" w:type="dxa"/>
            <w:tcBorders>
              <w:top w:val="nil"/>
              <w:left w:val="nil"/>
              <w:bottom w:val="nil"/>
              <w:right w:val="nil"/>
            </w:tcBorders>
            <w:shd w:val="clear" w:color="auto" w:fill="auto"/>
            <w:vAlign w:val="center"/>
          </w:tcPr>
          <w:p w14:paraId="3A8225A1" w14:textId="31883425" w:rsidR="00234B5B" w:rsidRPr="00F75302" w:rsidRDefault="00234B5B" w:rsidP="00234B5B">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925.887</w:t>
            </w:r>
          </w:p>
        </w:tc>
        <w:tc>
          <w:tcPr>
            <w:tcW w:w="1072" w:type="dxa"/>
            <w:tcBorders>
              <w:top w:val="nil"/>
              <w:left w:val="nil"/>
              <w:bottom w:val="nil"/>
              <w:right w:val="nil"/>
            </w:tcBorders>
            <w:shd w:val="clear" w:color="auto" w:fill="auto"/>
            <w:vAlign w:val="bottom"/>
          </w:tcPr>
          <w:p w14:paraId="2DEA6675" w14:textId="6861549D" w:rsidR="00234B5B" w:rsidRPr="00F75302" w:rsidRDefault="00234B5B" w:rsidP="00234B5B">
            <w:pPr>
              <w:tabs>
                <w:tab w:val="right" w:pos="1202"/>
              </w:tabs>
              <w:spacing w:after="0" w:line="240" w:lineRule="auto"/>
              <w:jc w:val="right"/>
              <w:outlineLvl w:val="0"/>
              <w:rPr>
                <w:rFonts w:eastAsia="Times New Roman" w:cs="Arial"/>
                <w:spacing w:val="-2"/>
                <w:sz w:val="17"/>
                <w:szCs w:val="17"/>
              </w:rPr>
            </w:pPr>
            <w:r w:rsidRPr="001B0375">
              <w:rPr>
                <w:rFonts w:ascii="Calibri" w:hAnsi="Calibri" w:cs="Arial"/>
                <w:spacing w:val="-2"/>
                <w:sz w:val="17"/>
                <w:szCs w:val="17"/>
              </w:rPr>
              <w:t>-</w:t>
            </w:r>
          </w:p>
        </w:tc>
        <w:tc>
          <w:tcPr>
            <w:tcW w:w="1073" w:type="dxa"/>
            <w:tcBorders>
              <w:top w:val="nil"/>
              <w:left w:val="nil"/>
              <w:bottom w:val="nil"/>
              <w:right w:val="nil"/>
            </w:tcBorders>
            <w:shd w:val="clear" w:color="auto" w:fill="auto"/>
            <w:vAlign w:val="bottom"/>
          </w:tcPr>
          <w:p w14:paraId="14696F99" w14:textId="5B83FAFB" w:rsidR="00234B5B" w:rsidRPr="00F75302" w:rsidRDefault="00234B5B" w:rsidP="00234B5B">
            <w:pPr>
              <w:tabs>
                <w:tab w:val="right" w:pos="1202"/>
              </w:tabs>
              <w:spacing w:after="0" w:line="240" w:lineRule="auto"/>
              <w:jc w:val="right"/>
              <w:outlineLvl w:val="0"/>
              <w:rPr>
                <w:rFonts w:eastAsia="Times New Roman" w:cs="Arial"/>
                <w:spacing w:val="-2"/>
                <w:sz w:val="17"/>
                <w:szCs w:val="17"/>
              </w:rPr>
            </w:pPr>
            <w:r w:rsidRPr="001B0375">
              <w:rPr>
                <w:rFonts w:ascii="Calibri" w:hAnsi="Calibri" w:cs="Arial"/>
                <w:spacing w:val="-2"/>
                <w:sz w:val="17"/>
                <w:szCs w:val="17"/>
              </w:rPr>
              <w:t>-</w:t>
            </w:r>
          </w:p>
        </w:tc>
      </w:tr>
      <w:tr w:rsidR="00234B5B" w:rsidRPr="00F75302" w14:paraId="1EE59930" w14:textId="77777777" w:rsidTr="00312975">
        <w:trPr>
          <w:trHeight w:val="85"/>
          <w:jc w:val="center"/>
        </w:trPr>
        <w:tc>
          <w:tcPr>
            <w:tcW w:w="3686" w:type="dxa"/>
            <w:vAlign w:val="bottom"/>
          </w:tcPr>
          <w:p w14:paraId="6F76970F" w14:textId="77777777" w:rsidR="00234B5B" w:rsidRPr="00F75302" w:rsidRDefault="00234B5B" w:rsidP="00234B5B">
            <w:pPr>
              <w:tabs>
                <w:tab w:val="right" w:pos="1202"/>
              </w:tabs>
              <w:spacing w:after="0" w:line="240" w:lineRule="auto"/>
              <w:outlineLvl w:val="0"/>
              <w:rPr>
                <w:rFonts w:eastAsia="Times New Roman" w:cs="Arial"/>
                <w:spacing w:val="-2"/>
                <w:sz w:val="17"/>
                <w:szCs w:val="17"/>
              </w:rPr>
            </w:pPr>
            <w:r w:rsidRPr="00F75302">
              <w:rPr>
                <w:rFonts w:eastAsia="Times New Roman" w:cs="Arial"/>
                <w:spacing w:val="-2"/>
                <w:sz w:val="17"/>
                <w:szCs w:val="17"/>
              </w:rPr>
              <w:t>Obveznice financijskih institucija</w:t>
            </w:r>
          </w:p>
        </w:tc>
        <w:tc>
          <w:tcPr>
            <w:tcW w:w="1072" w:type="dxa"/>
            <w:tcBorders>
              <w:top w:val="nil"/>
              <w:left w:val="nil"/>
              <w:bottom w:val="nil"/>
              <w:right w:val="nil"/>
            </w:tcBorders>
            <w:shd w:val="clear" w:color="auto" w:fill="auto"/>
            <w:vAlign w:val="center"/>
          </w:tcPr>
          <w:p w14:paraId="338E0B4B" w14:textId="2A9292F5" w:rsidR="00234B5B" w:rsidRPr="00312975" w:rsidRDefault="00234B5B" w:rsidP="00234B5B">
            <w:pPr>
              <w:tabs>
                <w:tab w:val="right" w:pos="1202"/>
              </w:tabs>
              <w:spacing w:after="0" w:line="240" w:lineRule="auto"/>
              <w:jc w:val="right"/>
              <w:outlineLvl w:val="0"/>
              <w:rPr>
                <w:rFonts w:ascii="Calibri" w:hAnsi="Calibri"/>
                <w:color w:val="000000"/>
                <w:sz w:val="17"/>
                <w:szCs w:val="17"/>
              </w:rPr>
            </w:pPr>
            <w:r w:rsidRPr="00312975">
              <w:rPr>
                <w:rFonts w:ascii="Calibri" w:hAnsi="Calibri"/>
                <w:color w:val="000000"/>
                <w:sz w:val="17"/>
                <w:szCs w:val="17"/>
              </w:rPr>
              <w:t>878</w:t>
            </w:r>
          </w:p>
        </w:tc>
        <w:tc>
          <w:tcPr>
            <w:tcW w:w="1072" w:type="dxa"/>
            <w:tcBorders>
              <w:top w:val="nil"/>
              <w:left w:val="nil"/>
              <w:bottom w:val="nil"/>
              <w:right w:val="nil"/>
            </w:tcBorders>
            <w:shd w:val="clear" w:color="auto" w:fill="auto"/>
          </w:tcPr>
          <w:p w14:paraId="6B540500" w14:textId="4879C027" w:rsidR="00234B5B" w:rsidRPr="000E5941" w:rsidRDefault="00234B5B" w:rsidP="00234B5B">
            <w:pPr>
              <w:tabs>
                <w:tab w:val="right" w:pos="1202"/>
              </w:tabs>
              <w:spacing w:after="0" w:line="240" w:lineRule="auto"/>
              <w:jc w:val="right"/>
              <w:outlineLvl w:val="0"/>
              <w:rPr>
                <w:rFonts w:ascii="Calibri" w:hAnsi="Calibri" w:cs="Arial"/>
                <w:spacing w:val="-2"/>
                <w:sz w:val="17"/>
                <w:szCs w:val="17"/>
              </w:rPr>
            </w:pPr>
            <w:r w:rsidRPr="000E5941">
              <w:rPr>
                <w:rFonts w:ascii="Calibri" w:hAnsi="Calibri" w:cs="Arial"/>
                <w:spacing w:val="-2"/>
                <w:sz w:val="17"/>
                <w:szCs w:val="17"/>
              </w:rPr>
              <w:t>-</w:t>
            </w:r>
          </w:p>
        </w:tc>
        <w:tc>
          <w:tcPr>
            <w:tcW w:w="1072" w:type="dxa"/>
            <w:tcBorders>
              <w:top w:val="nil"/>
              <w:left w:val="nil"/>
              <w:bottom w:val="nil"/>
              <w:right w:val="nil"/>
            </w:tcBorders>
            <w:shd w:val="clear" w:color="auto" w:fill="auto"/>
          </w:tcPr>
          <w:p w14:paraId="1150B927" w14:textId="01CD61D4" w:rsidR="00234B5B" w:rsidRPr="000E5941" w:rsidRDefault="00234B5B" w:rsidP="00234B5B">
            <w:pPr>
              <w:tabs>
                <w:tab w:val="right" w:pos="1202"/>
              </w:tabs>
              <w:spacing w:after="0" w:line="240" w:lineRule="auto"/>
              <w:jc w:val="right"/>
              <w:outlineLvl w:val="0"/>
              <w:rPr>
                <w:rFonts w:ascii="Calibri" w:hAnsi="Calibri" w:cs="Arial"/>
                <w:spacing w:val="-2"/>
                <w:sz w:val="17"/>
                <w:szCs w:val="17"/>
              </w:rPr>
            </w:pPr>
            <w:r w:rsidRPr="000E5941">
              <w:rPr>
                <w:rFonts w:ascii="Calibri" w:hAnsi="Calibri" w:cs="Arial"/>
                <w:spacing w:val="-2"/>
                <w:sz w:val="17"/>
                <w:szCs w:val="17"/>
              </w:rPr>
              <w:t>-</w:t>
            </w:r>
          </w:p>
        </w:tc>
        <w:tc>
          <w:tcPr>
            <w:tcW w:w="1072" w:type="dxa"/>
            <w:tcBorders>
              <w:top w:val="nil"/>
              <w:left w:val="nil"/>
              <w:bottom w:val="nil"/>
              <w:right w:val="nil"/>
            </w:tcBorders>
            <w:shd w:val="clear" w:color="auto" w:fill="auto"/>
            <w:vAlign w:val="center"/>
          </w:tcPr>
          <w:p w14:paraId="60DBD339" w14:textId="4E268FD8" w:rsidR="00234B5B" w:rsidRPr="00F75302" w:rsidRDefault="00234B5B" w:rsidP="00234B5B">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910</w:t>
            </w:r>
          </w:p>
        </w:tc>
        <w:tc>
          <w:tcPr>
            <w:tcW w:w="1072" w:type="dxa"/>
            <w:tcBorders>
              <w:top w:val="nil"/>
              <w:left w:val="nil"/>
              <w:bottom w:val="nil"/>
              <w:right w:val="nil"/>
            </w:tcBorders>
            <w:shd w:val="clear" w:color="auto" w:fill="auto"/>
            <w:vAlign w:val="bottom"/>
          </w:tcPr>
          <w:p w14:paraId="6C432B8A" w14:textId="39301F06" w:rsidR="00234B5B" w:rsidRPr="00F75302" w:rsidRDefault="00234B5B" w:rsidP="00234B5B">
            <w:pPr>
              <w:tabs>
                <w:tab w:val="right" w:pos="1202"/>
              </w:tabs>
              <w:spacing w:after="0" w:line="240" w:lineRule="auto"/>
              <w:jc w:val="right"/>
              <w:outlineLvl w:val="0"/>
              <w:rPr>
                <w:rFonts w:eastAsia="Times New Roman" w:cs="Arial"/>
                <w:spacing w:val="-2"/>
                <w:sz w:val="17"/>
                <w:szCs w:val="17"/>
              </w:rPr>
            </w:pPr>
            <w:r w:rsidRPr="001B0375">
              <w:rPr>
                <w:rFonts w:ascii="Calibri" w:hAnsi="Calibri" w:cs="Arial"/>
                <w:spacing w:val="-2"/>
                <w:sz w:val="17"/>
                <w:szCs w:val="17"/>
              </w:rPr>
              <w:t>-</w:t>
            </w:r>
          </w:p>
        </w:tc>
        <w:tc>
          <w:tcPr>
            <w:tcW w:w="1073" w:type="dxa"/>
            <w:tcBorders>
              <w:top w:val="nil"/>
              <w:left w:val="nil"/>
              <w:bottom w:val="nil"/>
              <w:right w:val="nil"/>
            </w:tcBorders>
            <w:shd w:val="clear" w:color="auto" w:fill="auto"/>
            <w:vAlign w:val="bottom"/>
          </w:tcPr>
          <w:p w14:paraId="67EA344F" w14:textId="052F8B69" w:rsidR="00234B5B" w:rsidRPr="00F75302" w:rsidRDefault="00234B5B" w:rsidP="00234B5B">
            <w:pPr>
              <w:tabs>
                <w:tab w:val="right" w:pos="1202"/>
              </w:tabs>
              <w:spacing w:after="0" w:line="240" w:lineRule="auto"/>
              <w:jc w:val="right"/>
              <w:outlineLvl w:val="0"/>
              <w:rPr>
                <w:rFonts w:eastAsia="Times New Roman" w:cs="Arial"/>
                <w:spacing w:val="-2"/>
                <w:sz w:val="17"/>
                <w:szCs w:val="17"/>
              </w:rPr>
            </w:pPr>
            <w:r w:rsidRPr="001B0375">
              <w:rPr>
                <w:rFonts w:ascii="Calibri" w:hAnsi="Calibri" w:cs="Arial"/>
                <w:spacing w:val="-2"/>
                <w:sz w:val="17"/>
                <w:szCs w:val="17"/>
              </w:rPr>
              <w:t>-</w:t>
            </w:r>
          </w:p>
        </w:tc>
      </w:tr>
      <w:tr w:rsidR="00234B5B" w:rsidRPr="00F75302" w14:paraId="558796E1" w14:textId="77777777" w:rsidTr="00312975">
        <w:trPr>
          <w:trHeight w:val="85"/>
          <w:jc w:val="center"/>
        </w:trPr>
        <w:tc>
          <w:tcPr>
            <w:tcW w:w="3686" w:type="dxa"/>
            <w:vAlign w:val="bottom"/>
          </w:tcPr>
          <w:p w14:paraId="69327BC9" w14:textId="77777777" w:rsidR="00234B5B" w:rsidRPr="00F75302" w:rsidRDefault="00234B5B" w:rsidP="00234B5B">
            <w:pPr>
              <w:tabs>
                <w:tab w:val="right" w:pos="1202"/>
              </w:tabs>
              <w:spacing w:after="0" w:line="240" w:lineRule="auto"/>
              <w:outlineLvl w:val="0"/>
              <w:rPr>
                <w:rFonts w:eastAsia="Times New Roman" w:cs="Arial"/>
                <w:spacing w:val="-2"/>
                <w:sz w:val="17"/>
                <w:szCs w:val="17"/>
              </w:rPr>
            </w:pPr>
            <w:r w:rsidRPr="00F75302">
              <w:rPr>
                <w:rFonts w:eastAsia="Times New Roman" w:cs="Arial"/>
                <w:spacing w:val="-2"/>
                <w:sz w:val="17"/>
                <w:szCs w:val="17"/>
              </w:rPr>
              <w:t>Obveznice trgovačkih društava</w:t>
            </w:r>
          </w:p>
        </w:tc>
        <w:tc>
          <w:tcPr>
            <w:tcW w:w="1072" w:type="dxa"/>
            <w:tcBorders>
              <w:top w:val="nil"/>
              <w:left w:val="nil"/>
              <w:bottom w:val="nil"/>
              <w:right w:val="nil"/>
            </w:tcBorders>
            <w:shd w:val="clear" w:color="auto" w:fill="auto"/>
            <w:vAlign w:val="center"/>
          </w:tcPr>
          <w:p w14:paraId="50C3B472" w14:textId="541C9705" w:rsidR="00234B5B" w:rsidRPr="00312975" w:rsidRDefault="00234B5B" w:rsidP="00234B5B">
            <w:pPr>
              <w:tabs>
                <w:tab w:val="right" w:pos="1202"/>
              </w:tabs>
              <w:spacing w:after="0" w:line="240" w:lineRule="auto"/>
              <w:jc w:val="right"/>
              <w:outlineLvl w:val="0"/>
              <w:rPr>
                <w:rFonts w:ascii="Calibri" w:hAnsi="Calibri"/>
                <w:color w:val="000000"/>
                <w:sz w:val="17"/>
                <w:szCs w:val="17"/>
              </w:rPr>
            </w:pPr>
            <w:r w:rsidRPr="00312975">
              <w:rPr>
                <w:rFonts w:ascii="Calibri" w:hAnsi="Calibri"/>
                <w:color w:val="000000"/>
                <w:sz w:val="17"/>
                <w:szCs w:val="17"/>
              </w:rPr>
              <w:t>1.143</w:t>
            </w:r>
          </w:p>
        </w:tc>
        <w:tc>
          <w:tcPr>
            <w:tcW w:w="1072" w:type="dxa"/>
            <w:tcBorders>
              <w:top w:val="nil"/>
              <w:left w:val="nil"/>
              <w:bottom w:val="nil"/>
              <w:right w:val="nil"/>
            </w:tcBorders>
            <w:shd w:val="clear" w:color="auto" w:fill="auto"/>
          </w:tcPr>
          <w:p w14:paraId="7EEE5EDD" w14:textId="3F2EA455" w:rsidR="00234B5B" w:rsidRPr="000E5941" w:rsidRDefault="00234B5B" w:rsidP="00234B5B">
            <w:pPr>
              <w:tabs>
                <w:tab w:val="right" w:pos="1202"/>
              </w:tabs>
              <w:spacing w:after="0" w:line="240" w:lineRule="auto"/>
              <w:jc w:val="right"/>
              <w:outlineLvl w:val="0"/>
              <w:rPr>
                <w:rFonts w:ascii="Calibri" w:hAnsi="Calibri" w:cs="Arial"/>
                <w:spacing w:val="-2"/>
                <w:sz w:val="17"/>
                <w:szCs w:val="17"/>
              </w:rPr>
            </w:pPr>
            <w:r w:rsidRPr="000E5941">
              <w:rPr>
                <w:rFonts w:ascii="Calibri" w:hAnsi="Calibri" w:cs="Arial"/>
                <w:spacing w:val="-2"/>
                <w:sz w:val="17"/>
                <w:szCs w:val="17"/>
              </w:rPr>
              <w:t>-</w:t>
            </w:r>
          </w:p>
        </w:tc>
        <w:tc>
          <w:tcPr>
            <w:tcW w:w="1072" w:type="dxa"/>
            <w:tcBorders>
              <w:top w:val="nil"/>
              <w:left w:val="nil"/>
              <w:bottom w:val="nil"/>
              <w:right w:val="nil"/>
            </w:tcBorders>
            <w:shd w:val="clear" w:color="auto" w:fill="auto"/>
          </w:tcPr>
          <w:p w14:paraId="19BA423E" w14:textId="7B63320F" w:rsidR="00234B5B" w:rsidRPr="000E5941" w:rsidRDefault="00234B5B" w:rsidP="00234B5B">
            <w:pPr>
              <w:tabs>
                <w:tab w:val="right" w:pos="1202"/>
              </w:tabs>
              <w:spacing w:after="0" w:line="240" w:lineRule="auto"/>
              <w:jc w:val="right"/>
              <w:outlineLvl w:val="0"/>
              <w:rPr>
                <w:rFonts w:ascii="Calibri" w:hAnsi="Calibri" w:cs="Arial"/>
                <w:spacing w:val="-2"/>
                <w:sz w:val="17"/>
                <w:szCs w:val="17"/>
              </w:rPr>
            </w:pPr>
            <w:r w:rsidRPr="000E5941">
              <w:rPr>
                <w:rFonts w:ascii="Calibri" w:hAnsi="Calibri" w:cs="Arial"/>
                <w:spacing w:val="-2"/>
                <w:sz w:val="17"/>
                <w:szCs w:val="17"/>
              </w:rPr>
              <w:t>-</w:t>
            </w:r>
          </w:p>
        </w:tc>
        <w:tc>
          <w:tcPr>
            <w:tcW w:w="1072" w:type="dxa"/>
            <w:tcBorders>
              <w:top w:val="nil"/>
              <w:left w:val="nil"/>
              <w:bottom w:val="nil"/>
              <w:right w:val="nil"/>
            </w:tcBorders>
            <w:shd w:val="clear" w:color="auto" w:fill="auto"/>
            <w:vAlign w:val="center"/>
          </w:tcPr>
          <w:p w14:paraId="198C050A" w14:textId="0DDA9BF4" w:rsidR="00234B5B" w:rsidRPr="00F75302" w:rsidRDefault="00234B5B" w:rsidP="00234B5B">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1.161</w:t>
            </w:r>
          </w:p>
        </w:tc>
        <w:tc>
          <w:tcPr>
            <w:tcW w:w="1072" w:type="dxa"/>
            <w:tcBorders>
              <w:top w:val="nil"/>
              <w:left w:val="nil"/>
              <w:bottom w:val="nil"/>
              <w:right w:val="nil"/>
            </w:tcBorders>
            <w:shd w:val="clear" w:color="auto" w:fill="auto"/>
            <w:vAlign w:val="bottom"/>
          </w:tcPr>
          <w:p w14:paraId="2BAA132C" w14:textId="3888DBE5" w:rsidR="00234B5B" w:rsidRPr="00F75302" w:rsidRDefault="00234B5B" w:rsidP="00234B5B">
            <w:pPr>
              <w:tabs>
                <w:tab w:val="right" w:pos="1202"/>
              </w:tabs>
              <w:spacing w:after="0" w:line="240" w:lineRule="auto"/>
              <w:jc w:val="right"/>
              <w:outlineLvl w:val="0"/>
              <w:rPr>
                <w:rFonts w:eastAsia="Times New Roman" w:cs="Arial"/>
                <w:spacing w:val="-2"/>
                <w:sz w:val="17"/>
                <w:szCs w:val="17"/>
              </w:rPr>
            </w:pPr>
            <w:r w:rsidRPr="001B0375">
              <w:rPr>
                <w:rFonts w:ascii="Calibri" w:hAnsi="Calibri" w:cs="Arial"/>
                <w:spacing w:val="-2"/>
                <w:sz w:val="17"/>
                <w:szCs w:val="17"/>
              </w:rPr>
              <w:t>-</w:t>
            </w:r>
          </w:p>
        </w:tc>
        <w:tc>
          <w:tcPr>
            <w:tcW w:w="1073" w:type="dxa"/>
            <w:tcBorders>
              <w:top w:val="nil"/>
              <w:left w:val="nil"/>
              <w:bottom w:val="nil"/>
              <w:right w:val="nil"/>
            </w:tcBorders>
            <w:shd w:val="clear" w:color="auto" w:fill="auto"/>
            <w:vAlign w:val="bottom"/>
          </w:tcPr>
          <w:p w14:paraId="36AE3DDA" w14:textId="4DB59694" w:rsidR="00234B5B" w:rsidRPr="00F75302" w:rsidRDefault="00234B5B" w:rsidP="00234B5B">
            <w:pPr>
              <w:tabs>
                <w:tab w:val="right" w:pos="1202"/>
              </w:tabs>
              <w:spacing w:after="0" w:line="240" w:lineRule="auto"/>
              <w:jc w:val="right"/>
              <w:outlineLvl w:val="0"/>
              <w:rPr>
                <w:rFonts w:eastAsia="Times New Roman" w:cs="Arial"/>
                <w:spacing w:val="-2"/>
                <w:sz w:val="17"/>
                <w:szCs w:val="17"/>
              </w:rPr>
            </w:pPr>
            <w:r w:rsidRPr="001B0375">
              <w:rPr>
                <w:rFonts w:ascii="Calibri" w:hAnsi="Calibri" w:cs="Arial"/>
                <w:spacing w:val="-2"/>
                <w:sz w:val="17"/>
                <w:szCs w:val="17"/>
              </w:rPr>
              <w:t>-</w:t>
            </w:r>
          </w:p>
        </w:tc>
      </w:tr>
      <w:tr w:rsidR="00234B5B" w:rsidRPr="00F75302" w14:paraId="6336708E" w14:textId="77777777" w:rsidTr="00312975">
        <w:trPr>
          <w:trHeight w:val="85"/>
          <w:jc w:val="center"/>
        </w:trPr>
        <w:tc>
          <w:tcPr>
            <w:tcW w:w="3686" w:type="dxa"/>
            <w:vAlign w:val="bottom"/>
          </w:tcPr>
          <w:p w14:paraId="4DB428E7" w14:textId="77777777" w:rsidR="00234B5B" w:rsidRPr="00F75302" w:rsidRDefault="00234B5B" w:rsidP="00234B5B">
            <w:pPr>
              <w:tabs>
                <w:tab w:val="right" w:pos="1202"/>
              </w:tabs>
              <w:spacing w:after="0" w:line="240" w:lineRule="auto"/>
              <w:outlineLvl w:val="0"/>
              <w:rPr>
                <w:rFonts w:eastAsia="Times New Roman" w:cs="Arial"/>
                <w:spacing w:val="-2"/>
                <w:sz w:val="17"/>
                <w:szCs w:val="17"/>
              </w:rPr>
            </w:pPr>
            <w:r w:rsidRPr="00F75302">
              <w:rPr>
                <w:rFonts w:eastAsia="Times New Roman" w:cs="Arial"/>
                <w:spacing w:val="-2"/>
                <w:sz w:val="17"/>
                <w:szCs w:val="17"/>
              </w:rPr>
              <w:t>Trezorski zapisi Ministarstva financija</w:t>
            </w:r>
          </w:p>
        </w:tc>
        <w:tc>
          <w:tcPr>
            <w:tcW w:w="1072" w:type="dxa"/>
            <w:tcBorders>
              <w:top w:val="nil"/>
              <w:left w:val="nil"/>
              <w:bottom w:val="nil"/>
              <w:right w:val="nil"/>
            </w:tcBorders>
            <w:shd w:val="clear" w:color="auto" w:fill="auto"/>
            <w:vAlign w:val="center"/>
          </w:tcPr>
          <w:p w14:paraId="139206BA" w14:textId="67DA88BC" w:rsidR="00234B5B" w:rsidRPr="00312975" w:rsidRDefault="00234B5B" w:rsidP="00234B5B">
            <w:pPr>
              <w:tabs>
                <w:tab w:val="right" w:pos="1202"/>
              </w:tabs>
              <w:spacing w:after="0" w:line="240" w:lineRule="auto"/>
              <w:jc w:val="right"/>
              <w:outlineLvl w:val="0"/>
              <w:rPr>
                <w:rFonts w:ascii="Calibri" w:hAnsi="Calibri"/>
                <w:color w:val="000000"/>
                <w:sz w:val="17"/>
                <w:szCs w:val="17"/>
              </w:rPr>
            </w:pPr>
            <w:r w:rsidRPr="00312975">
              <w:rPr>
                <w:rFonts w:ascii="Calibri" w:hAnsi="Calibri"/>
                <w:color w:val="000000"/>
                <w:sz w:val="17"/>
                <w:szCs w:val="17"/>
              </w:rPr>
              <w:t>1.293.042</w:t>
            </w:r>
          </w:p>
        </w:tc>
        <w:tc>
          <w:tcPr>
            <w:tcW w:w="1072" w:type="dxa"/>
            <w:tcBorders>
              <w:top w:val="nil"/>
              <w:left w:val="nil"/>
              <w:bottom w:val="nil"/>
              <w:right w:val="nil"/>
            </w:tcBorders>
            <w:shd w:val="clear" w:color="auto" w:fill="auto"/>
          </w:tcPr>
          <w:p w14:paraId="6418DB1F" w14:textId="278470D9" w:rsidR="00234B5B" w:rsidRPr="000E5941" w:rsidRDefault="00234B5B" w:rsidP="00234B5B">
            <w:pPr>
              <w:tabs>
                <w:tab w:val="right" w:pos="1202"/>
              </w:tabs>
              <w:spacing w:after="0" w:line="240" w:lineRule="auto"/>
              <w:jc w:val="right"/>
              <w:outlineLvl w:val="0"/>
              <w:rPr>
                <w:rFonts w:ascii="Calibri" w:hAnsi="Calibri" w:cs="Arial"/>
                <w:spacing w:val="-2"/>
                <w:sz w:val="17"/>
                <w:szCs w:val="17"/>
              </w:rPr>
            </w:pPr>
            <w:r w:rsidRPr="000E5941">
              <w:rPr>
                <w:rFonts w:ascii="Calibri" w:hAnsi="Calibri" w:cs="Arial"/>
                <w:spacing w:val="-2"/>
                <w:sz w:val="17"/>
                <w:szCs w:val="17"/>
              </w:rPr>
              <w:t>-</w:t>
            </w:r>
          </w:p>
        </w:tc>
        <w:tc>
          <w:tcPr>
            <w:tcW w:w="1072" w:type="dxa"/>
            <w:tcBorders>
              <w:top w:val="nil"/>
              <w:left w:val="nil"/>
              <w:bottom w:val="nil"/>
              <w:right w:val="nil"/>
            </w:tcBorders>
            <w:shd w:val="clear" w:color="auto" w:fill="auto"/>
          </w:tcPr>
          <w:p w14:paraId="289B0E07" w14:textId="1EE9F100" w:rsidR="00234B5B" w:rsidRPr="000E5941" w:rsidRDefault="00234B5B" w:rsidP="00234B5B">
            <w:pPr>
              <w:tabs>
                <w:tab w:val="right" w:pos="1202"/>
              </w:tabs>
              <w:spacing w:after="0" w:line="240" w:lineRule="auto"/>
              <w:jc w:val="right"/>
              <w:outlineLvl w:val="0"/>
              <w:rPr>
                <w:rFonts w:ascii="Calibri" w:hAnsi="Calibri" w:cs="Arial"/>
                <w:spacing w:val="-2"/>
                <w:sz w:val="17"/>
                <w:szCs w:val="17"/>
              </w:rPr>
            </w:pPr>
            <w:r w:rsidRPr="000E5941">
              <w:rPr>
                <w:rFonts w:ascii="Calibri" w:hAnsi="Calibri" w:cs="Arial"/>
                <w:spacing w:val="-2"/>
                <w:sz w:val="17"/>
                <w:szCs w:val="17"/>
              </w:rPr>
              <w:t>-</w:t>
            </w:r>
          </w:p>
        </w:tc>
        <w:tc>
          <w:tcPr>
            <w:tcW w:w="1072" w:type="dxa"/>
            <w:tcBorders>
              <w:top w:val="nil"/>
              <w:left w:val="nil"/>
              <w:bottom w:val="nil"/>
              <w:right w:val="nil"/>
            </w:tcBorders>
            <w:shd w:val="clear" w:color="auto" w:fill="auto"/>
            <w:vAlign w:val="center"/>
          </w:tcPr>
          <w:p w14:paraId="5F75ED3F" w14:textId="272CDD80" w:rsidR="00234B5B" w:rsidRPr="00F75302" w:rsidRDefault="00234B5B" w:rsidP="00234B5B">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1.500.420</w:t>
            </w:r>
          </w:p>
        </w:tc>
        <w:tc>
          <w:tcPr>
            <w:tcW w:w="1072" w:type="dxa"/>
            <w:tcBorders>
              <w:top w:val="nil"/>
              <w:left w:val="nil"/>
              <w:bottom w:val="nil"/>
              <w:right w:val="nil"/>
            </w:tcBorders>
            <w:shd w:val="clear" w:color="auto" w:fill="auto"/>
            <w:vAlign w:val="bottom"/>
          </w:tcPr>
          <w:p w14:paraId="4A1B6766" w14:textId="77F6AED0" w:rsidR="00234B5B" w:rsidRPr="00F75302" w:rsidRDefault="00234B5B" w:rsidP="00234B5B">
            <w:pPr>
              <w:tabs>
                <w:tab w:val="right" w:pos="1202"/>
              </w:tabs>
              <w:spacing w:after="0" w:line="240" w:lineRule="auto"/>
              <w:jc w:val="right"/>
              <w:outlineLvl w:val="0"/>
              <w:rPr>
                <w:rFonts w:eastAsia="Times New Roman" w:cs="Arial"/>
                <w:spacing w:val="-2"/>
                <w:sz w:val="17"/>
                <w:szCs w:val="17"/>
              </w:rPr>
            </w:pPr>
            <w:r w:rsidRPr="001B0375">
              <w:rPr>
                <w:rFonts w:ascii="Calibri" w:hAnsi="Calibri" w:cs="Arial"/>
                <w:spacing w:val="-2"/>
                <w:sz w:val="17"/>
                <w:szCs w:val="17"/>
              </w:rPr>
              <w:t>-</w:t>
            </w:r>
          </w:p>
        </w:tc>
        <w:tc>
          <w:tcPr>
            <w:tcW w:w="1073" w:type="dxa"/>
            <w:tcBorders>
              <w:top w:val="nil"/>
              <w:left w:val="nil"/>
              <w:bottom w:val="nil"/>
              <w:right w:val="nil"/>
            </w:tcBorders>
            <w:shd w:val="clear" w:color="auto" w:fill="auto"/>
            <w:vAlign w:val="bottom"/>
          </w:tcPr>
          <w:p w14:paraId="185A81E8" w14:textId="29BC6DF4" w:rsidR="00234B5B" w:rsidRPr="00F75302" w:rsidRDefault="00234B5B" w:rsidP="00234B5B">
            <w:pPr>
              <w:tabs>
                <w:tab w:val="right" w:pos="1202"/>
              </w:tabs>
              <w:spacing w:after="0" w:line="240" w:lineRule="auto"/>
              <w:jc w:val="right"/>
              <w:outlineLvl w:val="0"/>
              <w:rPr>
                <w:rFonts w:eastAsia="Times New Roman" w:cs="Arial"/>
                <w:spacing w:val="-2"/>
                <w:sz w:val="17"/>
                <w:szCs w:val="17"/>
              </w:rPr>
            </w:pPr>
            <w:r w:rsidRPr="001B0375">
              <w:rPr>
                <w:rFonts w:ascii="Calibri" w:hAnsi="Calibri" w:cs="Arial"/>
                <w:spacing w:val="-2"/>
                <w:sz w:val="17"/>
                <w:szCs w:val="17"/>
              </w:rPr>
              <w:t>-</w:t>
            </w:r>
          </w:p>
        </w:tc>
      </w:tr>
      <w:tr w:rsidR="00234B5B" w:rsidRPr="00F75302" w14:paraId="756569D5" w14:textId="77777777" w:rsidTr="00312975">
        <w:trPr>
          <w:trHeight w:val="216"/>
          <w:jc w:val="center"/>
        </w:trPr>
        <w:tc>
          <w:tcPr>
            <w:tcW w:w="3686" w:type="dxa"/>
            <w:vAlign w:val="bottom"/>
          </w:tcPr>
          <w:p w14:paraId="3A88D82B" w14:textId="77777777" w:rsidR="00234B5B" w:rsidRPr="00F75302" w:rsidRDefault="00234B5B" w:rsidP="00234B5B">
            <w:pPr>
              <w:tabs>
                <w:tab w:val="right" w:pos="1202"/>
              </w:tabs>
              <w:spacing w:after="0" w:line="240" w:lineRule="auto"/>
              <w:outlineLvl w:val="0"/>
              <w:rPr>
                <w:rFonts w:eastAsia="Times New Roman" w:cs="Arial"/>
                <w:spacing w:val="-2"/>
                <w:sz w:val="17"/>
                <w:szCs w:val="17"/>
              </w:rPr>
            </w:pPr>
            <w:r w:rsidRPr="00F75302">
              <w:rPr>
                <w:rFonts w:eastAsia="Times New Roman" w:cs="Arial"/>
                <w:spacing w:val="-2"/>
                <w:sz w:val="17"/>
                <w:szCs w:val="17"/>
              </w:rPr>
              <w:t xml:space="preserve">Obračunana kamata </w:t>
            </w:r>
          </w:p>
        </w:tc>
        <w:tc>
          <w:tcPr>
            <w:tcW w:w="1072" w:type="dxa"/>
            <w:tcBorders>
              <w:top w:val="nil"/>
              <w:left w:val="nil"/>
              <w:bottom w:val="nil"/>
              <w:right w:val="nil"/>
            </w:tcBorders>
            <w:shd w:val="clear" w:color="auto" w:fill="auto"/>
            <w:vAlign w:val="center"/>
          </w:tcPr>
          <w:p w14:paraId="2ED9C8A2" w14:textId="45BC800B" w:rsidR="00234B5B" w:rsidRPr="00312975" w:rsidRDefault="00234B5B" w:rsidP="00234B5B">
            <w:pPr>
              <w:tabs>
                <w:tab w:val="right" w:pos="1202"/>
              </w:tabs>
              <w:spacing w:after="0" w:line="240" w:lineRule="auto"/>
              <w:jc w:val="right"/>
              <w:outlineLvl w:val="0"/>
              <w:rPr>
                <w:rFonts w:ascii="Calibri" w:hAnsi="Calibri"/>
                <w:color w:val="000000"/>
                <w:sz w:val="17"/>
                <w:szCs w:val="17"/>
              </w:rPr>
            </w:pPr>
            <w:r w:rsidRPr="00312975">
              <w:rPr>
                <w:rFonts w:ascii="Calibri" w:hAnsi="Calibri"/>
                <w:color w:val="000000"/>
                <w:sz w:val="17"/>
                <w:szCs w:val="17"/>
              </w:rPr>
              <w:t>13.802</w:t>
            </w:r>
          </w:p>
        </w:tc>
        <w:tc>
          <w:tcPr>
            <w:tcW w:w="1072" w:type="dxa"/>
            <w:tcBorders>
              <w:top w:val="nil"/>
              <w:left w:val="nil"/>
              <w:bottom w:val="nil"/>
              <w:right w:val="nil"/>
            </w:tcBorders>
            <w:shd w:val="clear" w:color="auto" w:fill="auto"/>
          </w:tcPr>
          <w:p w14:paraId="73F2AE9D" w14:textId="0FCF615F" w:rsidR="00234B5B" w:rsidRPr="000E5941" w:rsidRDefault="00234B5B" w:rsidP="00234B5B">
            <w:pPr>
              <w:tabs>
                <w:tab w:val="right" w:pos="1202"/>
              </w:tabs>
              <w:spacing w:after="0" w:line="240" w:lineRule="auto"/>
              <w:jc w:val="right"/>
              <w:outlineLvl w:val="0"/>
              <w:rPr>
                <w:rFonts w:ascii="Calibri" w:hAnsi="Calibri" w:cs="Arial"/>
                <w:spacing w:val="-2"/>
                <w:sz w:val="17"/>
                <w:szCs w:val="17"/>
              </w:rPr>
            </w:pPr>
            <w:r w:rsidRPr="000E5941">
              <w:rPr>
                <w:rFonts w:ascii="Calibri" w:hAnsi="Calibri" w:cs="Arial"/>
                <w:spacing w:val="-2"/>
                <w:sz w:val="17"/>
                <w:szCs w:val="17"/>
              </w:rPr>
              <w:t>-</w:t>
            </w:r>
          </w:p>
        </w:tc>
        <w:tc>
          <w:tcPr>
            <w:tcW w:w="1072" w:type="dxa"/>
            <w:tcBorders>
              <w:top w:val="nil"/>
              <w:left w:val="nil"/>
              <w:bottom w:val="nil"/>
              <w:right w:val="nil"/>
            </w:tcBorders>
            <w:shd w:val="clear" w:color="auto" w:fill="auto"/>
          </w:tcPr>
          <w:p w14:paraId="4021ACFA" w14:textId="21D74138" w:rsidR="00234B5B" w:rsidRPr="000E5941" w:rsidRDefault="00234B5B" w:rsidP="00234B5B">
            <w:pPr>
              <w:tabs>
                <w:tab w:val="right" w:pos="1202"/>
              </w:tabs>
              <w:spacing w:after="0" w:line="240" w:lineRule="auto"/>
              <w:jc w:val="right"/>
              <w:outlineLvl w:val="0"/>
              <w:rPr>
                <w:rFonts w:ascii="Calibri" w:hAnsi="Calibri" w:cs="Arial"/>
                <w:spacing w:val="-2"/>
                <w:sz w:val="17"/>
                <w:szCs w:val="17"/>
              </w:rPr>
            </w:pPr>
            <w:r w:rsidRPr="000E5941">
              <w:rPr>
                <w:rFonts w:ascii="Calibri" w:hAnsi="Calibri" w:cs="Arial"/>
                <w:spacing w:val="-2"/>
                <w:sz w:val="17"/>
                <w:szCs w:val="17"/>
              </w:rPr>
              <w:t>-</w:t>
            </w:r>
          </w:p>
        </w:tc>
        <w:tc>
          <w:tcPr>
            <w:tcW w:w="1072" w:type="dxa"/>
            <w:tcBorders>
              <w:top w:val="nil"/>
              <w:left w:val="nil"/>
              <w:bottom w:val="nil"/>
              <w:right w:val="nil"/>
            </w:tcBorders>
            <w:shd w:val="clear" w:color="auto" w:fill="auto"/>
            <w:vAlign w:val="center"/>
          </w:tcPr>
          <w:p w14:paraId="66F5DB0B" w14:textId="0173AE53" w:rsidR="00234B5B" w:rsidRPr="00F75302" w:rsidRDefault="00234B5B" w:rsidP="00234B5B">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14.495</w:t>
            </w:r>
          </w:p>
        </w:tc>
        <w:tc>
          <w:tcPr>
            <w:tcW w:w="1072" w:type="dxa"/>
            <w:tcBorders>
              <w:top w:val="nil"/>
              <w:left w:val="nil"/>
              <w:bottom w:val="nil"/>
              <w:right w:val="nil"/>
            </w:tcBorders>
            <w:shd w:val="clear" w:color="auto" w:fill="auto"/>
            <w:vAlign w:val="bottom"/>
          </w:tcPr>
          <w:p w14:paraId="00E1283D" w14:textId="09B43ED5" w:rsidR="00234B5B" w:rsidRPr="00F75302" w:rsidRDefault="00234B5B" w:rsidP="00234B5B">
            <w:pPr>
              <w:tabs>
                <w:tab w:val="right" w:pos="1202"/>
              </w:tabs>
              <w:spacing w:after="0" w:line="240" w:lineRule="auto"/>
              <w:jc w:val="right"/>
              <w:outlineLvl w:val="0"/>
              <w:rPr>
                <w:rFonts w:eastAsia="Times New Roman" w:cs="Arial"/>
                <w:spacing w:val="-2"/>
                <w:sz w:val="17"/>
                <w:szCs w:val="17"/>
              </w:rPr>
            </w:pPr>
            <w:r w:rsidRPr="001B0375">
              <w:rPr>
                <w:rFonts w:ascii="Calibri" w:hAnsi="Calibri" w:cs="Arial"/>
                <w:spacing w:val="-2"/>
                <w:sz w:val="17"/>
                <w:szCs w:val="17"/>
              </w:rPr>
              <w:t>-</w:t>
            </w:r>
          </w:p>
        </w:tc>
        <w:tc>
          <w:tcPr>
            <w:tcW w:w="1073" w:type="dxa"/>
            <w:tcBorders>
              <w:top w:val="nil"/>
              <w:left w:val="nil"/>
              <w:bottom w:val="nil"/>
              <w:right w:val="nil"/>
            </w:tcBorders>
            <w:shd w:val="clear" w:color="auto" w:fill="auto"/>
            <w:vAlign w:val="bottom"/>
          </w:tcPr>
          <w:p w14:paraId="58D16D92" w14:textId="0BD13ADB" w:rsidR="00234B5B" w:rsidRPr="00F75302" w:rsidRDefault="00234B5B" w:rsidP="00234B5B">
            <w:pPr>
              <w:tabs>
                <w:tab w:val="right" w:pos="1202"/>
              </w:tabs>
              <w:spacing w:after="0" w:line="240" w:lineRule="auto"/>
              <w:jc w:val="right"/>
              <w:outlineLvl w:val="0"/>
              <w:rPr>
                <w:rFonts w:eastAsia="Times New Roman" w:cs="Arial"/>
                <w:spacing w:val="-2"/>
                <w:sz w:val="17"/>
                <w:szCs w:val="17"/>
              </w:rPr>
            </w:pPr>
            <w:r w:rsidRPr="001B0375">
              <w:rPr>
                <w:rFonts w:ascii="Calibri" w:hAnsi="Calibri" w:cs="Arial"/>
                <w:spacing w:val="-2"/>
                <w:sz w:val="17"/>
                <w:szCs w:val="17"/>
              </w:rPr>
              <w:t>-</w:t>
            </w:r>
          </w:p>
        </w:tc>
      </w:tr>
      <w:tr w:rsidR="00234B5B" w:rsidRPr="00F75302" w14:paraId="687798DF" w14:textId="77777777" w:rsidTr="00312975">
        <w:trPr>
          <w:trHeight w:val="216"/>
          <w:jc w:val="center"/>
        </w:trPr>
        <w:tc>
          <w:tcPr>
            <w:tcW w:w="3686" w:type="dxa"/>
            <w:tcBorders>
              <w:top w:val="nil"/>
              <w:left w:val="nil"/>
              <w:bottom w:val="nil"/>
              <w:right w:val="nil"/>
            </w:tcBorders>
            <w:shd w:val="clear" w:color="auto" w:fill="auto"/>
            <w:vAlign w:val="bottom"/>
          </w:tcPr>
          <w:p w14:paraId="4E99F5FB" w14:textId="77777777" w:rsidR="00234B5B" w:rsidRPr="00F75302" w:rsidRDefault="00234B5B" w:rsidP="00234B5B">
            <w:pPr>
              <w:tabs>
                <w:tab w:val="right" w:pos="1202"/>
              </w:tabs>
              <w:spacing w:after="0" w:line="240" w:lineRule="auto"/>
              <w:outlineLvl w:val="0"/>
              <w:rPr>
                <w:rFonts w:eastAsia="Times New Roman" w:cs="Arial"/>
                <w:spacing w:val="-2"/>
                <w:sz w:val="17"/>
                <w:szCs w:val="17"/>
              </w:rPr>
            </w:pPr>
            <w:r w:rsidRPr="00F75302">
              <w:rPr>
                <w:b/>
                <w:bCs/>
                <w:i/>
                <w:iCs/>
                <w:color w:val="000000"/>
                <w:sz w:val="17"/>
                <w:szCs w:val="17"/>
              </w:rPr>
              <w:t>Dužnički vrijednosni papiri koji ne kotiraju:</w:t>
            </w:r>
          </w:p>
        </w:tc>
        <w:tc>
          <w:tcPr>
            <w:tcW w:w="1072" w:type="dxa"/>
            <w:tcBorders>
              <w:top w:val="nil"/>
              <w:left w:val="nil"/>
              <w:bottom w:val="nil"/>
              <w:right w:val="nil"/>
            </w:tcBorders>
            <w:shd w:val="clear" w:color="auto" w:fill="auto"/>
            <w:vAlign w:val="center"/>
          </w:tcPr>
          <w:p w14:paraId="037E83B7" w14:textId="452B6BFE" w:rsidR="00234B5B" w:rsidRPr="00312975" w:rsidRDefault="00234B5B" w:rsidP="00234B5B">
            <w:pPr>
              <w:tabs>
                <w:tab w:val="right" w:pos="1202"/>
              </w:tabs>
              <w:spacing w:after="0" w:line="240" w:lineRule="auto"/>
              <w:jc w:val="right"/>
              <w:outlineLvl w:val="0"/>
              <w:rPr>
                <w:rFonts w:ascii="Calibri" w:hAnsi="Calibri"/>
                <w:color w:val="000000"/>
                <w:sz w:val="17"/>
                <w:szCs w:val="17"/>
              </w:rPr>
            </w:pPr>
          </w:p>
        </w:tc>
        <w:tc>
          <w:tcPr>
            <w:tcW w:w="1072" w:type="dxa"/>
            <w:tcBorders>
              <w:top w:val="nil"/>
              <w:left w:val="nil"/>
              <w:bottom w:val="nil"/>
              <w:right w:val="nil"/>
            </w:tcBorders>
            <w:shd w:val="clear" w:color="auto" w:fill="auto"/>
            <w:vAlign w:val="bottom"/>
          </w:tcPr>
          <w:p w14:paraId="278FBBAE" w14:textId="77777777" w:rsidR="00234B5B" w:rsidRPr="00F75302" w:rsidRDefault="00234B5B" w:rsidP="00234B5B">
            <w:pPr>
              <w:tabs>
                <w:tab w:val="right" w:pos="1202"/>
              </w:tabs>
              <w:spacing w:after="0" w:line="240" w:lineRule="auto"/>
              <w:jc w:val="right"/>
              <w:outlineLvl w:val="0"/>
              <w:rPr>
                <w:rFonts w:eastAsia="Times New Roman" w:cs="Arial"/>
                <w:spacing w:val="-2"/>
                <w:sz w:val="17"/>
                <w:szCs w:val="17"/>
              </w:rPr>
            </w:pPr>
          </w:p>
        </w:tc>
        <w:tc>
          <w:tcPr>
            <w:tcW w:w="1072" w:type="dxa"/>
            <w:tcBorders>
              <w:top w:val="nil"/>
              <w:left w:val="nil"/>
              <w:bottom w:val="nil"/>
              <w:right w:val="nil"/>
            </w:tcBorders>
            <w:shd w:val="clear" w:color="auto" w:fill="auto"/>
            <w:vAlign w:val="bottom"/>
          </w:tcPr>
          <w:p w14:paraId="501FBE87" w14:textId="77777777" w:rsidR="00234B5B" w:rsidRPr="00F75302" w:rsidRDefault="00234B5B" w:rsidP="00234B5B">
            <w:pPr>
              <w:tabs>
                <w:tab w:val="right" w:pos="1202"/>
              </w:tabs>
              <w:spacing w:after="0" w:line="240" w:lineRule="auto"/>
              <w:jc w:val="right"/>
              <w:outlineLvl w:val="0"/>
              <w:rPr>
                <w:rFonts w:eastAsia="Times New Roman" w:cs="Arial"/>
                <w:spacing w:val="-2"/>
                <w:sz w:val="17"/>
                <w:szCs w:val="17"/>
              </w:rPr>
            </w:pPr>
          </w:p>
        </w:tc>
        <w:tc>
          <w:tcPr>
            <w:tcW w:w="1072" w:type="dxa"/>
            <w:tcBorders>
              <w:top w:val="nil"/>
              <w:left w:val="nil"/>
              <w:bottom w:val="nil"/>
              <w:right w:val="nil"/>
            </w:tcBorders>
            <w:shd w:val="clear" w:color="auto" w:fill="auto"/>
            <w:vAlign w:val="bottom"/>
          </w:tcPr>
          <w:p w14:paraId="6CDD2359" w14:textId="77777777" w:rsidR="00234B5B" w:rsidRPr="00F75302" w:rsidRDefault="00234B5B" w:rsidP="00234B5B">
            <w:pPr>
              <w:tabs>
                <w:tab w:val="right" w:pos="1202"/>
              </w:tabs>
              <w:spacing w:after="0" w:line="240" w:lineRule="auto"/>
              <w:jc w:val="right"/>
              <w:outlineLvl w:val="0"/>
              <w:rPr>
                <w:rFonts w:eastAsia="Times New Roman" w:cs="Arial"/>
                <w:spacing w:val="-2"/>
                <w:sz w:val="17"/>
                <w:szCs w:val="17"/>
              </w:rPr>
            </w:pPr>
          </w:p>
        </w:tc>
        <w:tc>
          <w:tcPr>
            <w:tcW w:w="1072" w:type="dxa"/>
            <w:tcBorders>
              <w:top w:val="nil"/>
              <w:left w:val="nil"/>
              <w:bottom w:val="nil"/>
              <w:right w:val="nil"/>
            </w:tcBorders>
            <w:shd w:val="clear" w:color="auto" w:fill="auto"/>
            <w:vAlign w:val="bottom"/>
          </w:tcPr>
          <w:p w14:paraId="7AA1F328" w14:textId="77777777" w:rsidR="00234B5B" w:rsidRPr="00F75302" w:rsidRDefault="00234B5B" w:rsidP="00234B5B">
            <w:pPr>
              <w:tabs>
                <w:tab w:val="right" w:pos="1202"/>
              </w:tabs>
              <w:spacing w:after="0" w:line="240" w:lineRule="auto"/>
              <w:jc w:val="right"/>
              <w:outlineLvl w:val="0"/>
              <w:rPr>
                <w:rFonts w:eastAsia="Times New Roman" w:cs="Arial"/>
                <w:spacing w:val="-2"/>
                <w:sz w:val="17"/>
                <w:szCs w:val="17"/>
              </w:rPr>
            </w:pPr>
          </w:p>
        </w:tc>
        <w:tc>
          <w:tcPr>
            <w:tcW w:w="1073" w:type="dxa"/>
            <w:tcBorders>
              <w:top w:val="nil"/>
              <w:left w:val="nil"/>
              <w:bottom w:val="nil"/>
              <w:right w:val="nil"/>
            </w:tcBorders>
            <w:shd w:val="clear" w:color="auto" w:fill="auto"/>
            <w:vAlign w:val="bottom"/>
          </w:tcPr>
          <w:p w14:paraId="31FA400A" w14:textId="77777777" w:rsidR="00234B5B" w:rsidRPr="00F75302" w:rsidRDefault="00234B5B" w:rsidP="00234B5B">
            <w:pPr>
              <w:tabs>
                <w:tab w:val="right" w:pos="1202"/>
              </w:tabs>
              <w:spacing w:after="0" w:line="240" w:lineRule="auto"/>
              <w:jc w:val="right"/>
              <w:outlineLvl w:val="0"/>
              <w:rPr>
                <w:rFonts w:eastAsia="Times New Roman" w:cs="Arial"/>
                <w:spacing w:val="-2"/>
                <w:sz w:val="17"/>
                <w:szCs w:val="17"/>
              </w:rPr>
            </w:pPr>
          </w:p>
        </w:tc>
      </w:tr>
      <w:tr w:rsidR="00387E37" w:rsidRPr="00F75302" w14:paraId="49EA3324" w14:textId="77777777" w:rsidTr="000E5941">
        <w:trPr>
          <w:trHeight w:val="216"/>
          <w:jc w:val="center"/>
        </w:trPr>
        <w:tc>
          <w:tcPr>
            <w:tcW w:w="3686" w:type="dxa"/>
            <w:tcBorders>
              <w:top w:val="nil"/>
              <w:left w:val="nil"/>
              <w:bottom w:val="nil"/>
              <w:right w:val="nil"/>
            </w:tcBorders>
            <w:shd w:val="clear" w:color="auto" w:fill="auto"/>
            <w:vAlign w:val="bottom"/>
          </w:tcPr>
          <w:p w14:paraId="4F3089AA" w14:textId="77777777" w:rsidR="00387E37" w:rsidRPr="00F75302" w:rsidRDefault="00387E37" w:rsidP="00387E37">
            <w:pPr>
              <w:tabs>
                <w:tab w:val="right" w:pos="1202"/>
              </w:tabs>
              <w:spacing w:after="0" w:line="240" w:lineRule="auto"/>
              <w:outlineLvl w:val="0"/>
              <w:rPr>
                <w:rFonts w:eastAsia="Times New Roman" w:cs="Arial"/>
                <w:spacing w:val="-2"/>
                <w:sz w:val="17"/>
                <w:szCs w:val="17"/>
              </w:rPr>
            </w:pPr>
            <w:r w:rsidRPr="00F75302">
              <w:rPr>
                <w:color w:val="000000"/>
                <w:sz w:val="17"/>
                <w:szCs w:val="17"/>
              </w:rPr>
              <w:t xml:space="preserve">Obveznice trgovačkih društava </w:t>
            </w:r>
          </w:p>
        </w:tc>
        <w:tc>
          <w:tcPr>
            <w:tcW w:w="1072" w:type="dxa"/>
            <w:tcBorders>
              <w:top w:val="nil"/>
              <w:left w:val="nil"/>
              <w:bottom w:val="nil"/>
              <w:right w:val="nil"/>
            </w:tcBorders>
            <w:shd w:val="clear" w:color="auto" w:fill="auto"/>
          </w:tcPr>
          <w:p w14:paraId="141E12C1" w14:textId="3E56F084" w:rsidR="00387E37" w:rsidRPr="000E5941" w:rsidRDefault="00387E37" w:rsidP="00387E37">
            <w:pPr>
              <w:tabs>
                <w:tab w:val="right" w:pos="1202"/>
              </w:tabs>
              <w:spacing w:after="0" w:line="240" w:lineRule="auto"/>
              <w:jc w:val="right"/>
              <w:outlineLvl w:val="0"/>
              <w:rPr>
                <w:rFonts w:ascii="Calibri" w:eastAsia="Calibri" w:hAnsi="Calibri"/>
                <w:color w:val="000000"/>
                <w:sz w:val="17"/>
                <w:szCs w:val="17"/>
              </w:rPr>
            </w:pPr>
            <w:r w:rsidRPr="000E5941">
              <w:rPr>
                <w:rFonts w:ascii="Calibri" w:eastAsia="Calibri" w:hAnsi="Calibri"/>
                <w:color w:val="000000"/>
                <w:sz w:val="17"/>
                <w:szCs w:val="17"/>
              </w:rPr>
              <w:t>-</w:t>
            </w:r>
          </w:p>
        </w:tc>
        <w:tc>
          <w:tcPr>
            <w:tcW w:w="1072" w:type="dxa"/>
            <w:tcBorders>
              <w:top w:val="nil"/>
              <w:left w:val="nil"/>
              <w:bottom w:val="nil"/>
              <w:right w:val="nil"/>
            </w:tcBorders>
            <w:shd w:val="clear" w:color="auto" w:fill="auto"/>
          </w:tcPr>
          <w:p w14:paraId="60C24157" w14:textId="2855C295" w:rsidR="00387E37" w:rsidRPr="000E5941" w:rsidRDefault="00387E37" w:rsidP="00387E37">
            <w:pPr>
              <w:tabs>
                <w:tab w:val="right" w:pos="1202"/>
              </w:tabs>
              <w:spacing w:after="0" w:line="240" w:lineRule="auto"/>
              <w:jc w:val="right"/>
              <w:outlineLvl w:val="0"/>
              <w:rPr>
                <w:rFonts w:ascii="Calibri" w:eastAsia="Calibri" w:hAnsi="Calibri"/>
                <w:color w:val="000000"/>
                <w:sz w:val="17"/>
                <w:szCs w:val="17"/>
              </w:rPr>
            </w:pPr>
            <w:r w:rsidRPr="000E5941">
              <w:rPr>
                <w:rFonts w:ascii="Calibri" w:eastAsia="Calibri" w:hAnsi="Calibri"/>
                <w:color w:val="000000"/>
                <w:sz w:val="17"/>
                <w:szCs w:val="17"/>
              </w:rPr>
              <w:t>-</w:t>
            </w:r>
          </w:p>
        </w:tc>
        <w:tc>
          <w:tcPr>
            <w:tcW w:w="1072" w:type="dxa"/>
            <w:tcBorders>
              <w:top w:val="nil"/>
              <w:left w:val="nil"/>
              <w:bottom w:val="nil"/>
              <w:right w:val="nil"/>
            </w:tcBorders>
            <w:shd w:val="clear" w:color="auto" w:fill="auto"/>
            <w:vAlign w:val="bottom"/>
          </w:tcPr>
          <w:p w14:paraId="17518E89" w14:textId="6B89077A" w:rsidR="00387E37" w:rsidRPr="00F75302" w:rsidRDefault="00234B5B" w:rsidP="00387E37">
            <w:pPr>
              <w:tabs>
                <w:tab w:val="right" w:pos="1202"/>
              </w:tabs>
              <w:spacing w:after="0" w:line="240" w:lineRule="auto"/>
              <w:jc w:val="right"/>
              <w:outlineLvl w:val="0"/>
              <w:rPr>
                <w:rFonts w:eastAsia="Times New Roman" w:cs="Arial"/>
                <w:spacing w:val="-2"/>
                <w:sz w:val="17"/>
                <w:szCs w:val="17"/>
              </w:rPr>
            </w:pPr>
            <w:r>
              <w:rPr>
                <w:rFonts w:eastAsia="Times New Roman" w:cs="Arial"/>
                <w:spacing w:val="-2"/>
                <w:sz w:val="17"/>
                <w:szCs w:val="17"/>
              </w:rPr>
              <w:t>496</w:t>
            </w:r>
          </w:p>
        </w:tc>
        <w:tc>
          <w:tcPr>
            <w:tcW w:w="1072" w:type="dxa"/>
            <w:tcBorders>
              <w:top w:val="nil"/>
              <w:left w:val="nil"/>
              <w:bottom w:val="nil"/>
              <w:right w:val="nil"/>
            </w:tcBorders>
            <w:shd w:val="clear" w:color="auto" w:fill="auto"/>
            <w:vAlign w:val="bottom"/>
          </w:tcPr>
          <w:p w14:paraId="2ED5CEC6" w14:textId="41684633"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1B0375">
              <w:rPr>
                <w:rFonts w:ascii="Calibri" w:eastAsia="Calibri" w:hAnsi="Calibri"/>
                <w:color w:val="000000"/>
                <w:sz w:val="17"/>
                <w:szCs w:val="17"/>
              </w:rPr>
              <w:t>-</w:t>
            </w:r>
          </w:p>
        </w:tc>
        <w:tc>
          <w:tcPr>
            <w:tcW w:w="1072" w:type="dxa"/>
            <w:tcBorders>
              <w:top w:val="nil"/>
              <w:left w:val="nil"/>
              <w:bottom w:val="nil"/>
              <w:right w:val="nil"/>
            </w:tcBorders>
            <w:shd w:val="clear" w:color="auto" w:fill="auto"/>
            <w:vAlign w:val="bottom"/>
          </w:tcPr>
          <w:p w14:paraId="5B6A53D3" w14:textId="0DF89660"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1B0375">
              <w:rPr>
                <w:rFonts w:ascii="Calibri" w:hAnsi="Calibri" w:cs="Arial"/>
                <w:spacing w:val="-2"/>
                <w:sz w:val="17"/>
                <w:szCs w:val="17"/>
              </w:rPr>
              <w:t>-</w:t>
            </w:r>
          </w:p>
        </w:tc>
        <w:tc>
          <w:tcPr>
            <w:tcW w:w="1073" w:type="dxa"/>
            <w:tcBorders>
              <w:top w:val="nil"/>
              <w:left w:val="nil"/>
              <w:bottom w:val="nil"/>
              <w:right w:val="nil"/>
            </w:tcBorders>
            <w:shd w:val="clear" w:color="auto" w:fill="auto"/>
            <w:vAlign w:val="center"/>
          </w:tcPr>
          <w:p w14:paraId="191EB3F3" w14:textId="6112DE86"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502</w:t>
            </w:r>
          </w:p>
        </w:tc>
      </w:tr>
      <w:tr w:rsidR="00387E37" w:rsidRPr="00F75302" w14:paraId="651412FC" w14:textId="77777777" w:rsidTr="000E5941">
        <w:trPr>
          <w:trHeight w:val="216"/>
          <w:jc w:val="center"/>
        </w:trPr>
        <w:tc>
          <w:tcPr>
            <w:tcW w:w="3686" w:type="dxa"/>
            <w:tcBorders>
              <w:top w:val="nil"/>
              <w:left w:val="nil"/>
              <w:bottom w:val="nil"/>
              <w:right w:val="nil"/>
            </w:tcBorders>
            <w:shd w:val="clear" w:color="auto" w:fill="auto"/>
            <w:vAlign w:val="bottom"/>
          </w:tcPr>
          <w:p w14:paraId="38B8B8F5" w14:textId="77777777" w:rsidR="00387E37" w:rsidRPr="00F75302" w:rsidRDefault="00387E37" w:rsidP="00387E37">
            <w:pPr>
              <w:tabs>
                <w:tab w:val="right" w:pos="1202"/>
              </w:tabs>
              <w:spacing w:after="0" w:line="240" w:lineRule="auto"/>
              <w:outlineLvl w:val="0"/>
              <w:rPr>
                <w:rFonts w:eastAsia="Times New Roman" w:cs="Arial"/>
                <w:spacing w:val="-2"/>
                <w:sz w:val="17"/>
                <w:szCs w:val="17"/>
              </w:rPr>
            </w:pPr>
            <w:r w:rsidRPr="00F75302">
              <w:rPr>
                <w:color w:val="000000"/>
                <w:sz w:val="17"/>
                <w:szCs w:val="17"/>
              </w:rPr>
              <w:t>Obračunata kamata</w:t>
            </w:r>
          </w:p>
        </w:tc>
        <w:tc>
          <w:tcPr>
            <w:tcW w:w="1072" w:type="dxa"/>
            <w:tcBorders>
              <w:top w:val="nil"/>
              <w:left w:val="nil"/>
              <w:bottom w:val="nil"/>
              <w:right w:val="nil"/>
            </w:tcBorders>
            <w:shd w:val="clear" w:color="auto" w:fill="auto"/>
          </w:tcPr>
          <w:p w14:paraId="219C506B" w14:textId="7D16A4AB" w:rsidR="00387E37" w:rsidRPr="000E5941" w:rsidRDefault="00387E37" w:rsidP="00387E37">
            <w:pPr>
              <w:tabs>
                <w:tab w:val="right" w:pos="1202"/>
              </w:tabs>
              <w:spacing w:after="0" w:line="240" w:lineRule="auto"/>
              <w:jc w:val="right"/>
              <w:outlineLvl w:val="0"/>
              <w:rPr>
                <w:rFonts w:ascii="Calibri" w:eastAsia="Calibri" w:hAnsi="Calibri"/>
                <w:color w:val="000000"/>
                <w:sz w:val="17"/>
                <w:szCs w:val="17"/>
              </w:rPr>
            </w:pPr>
            <w:r w:rsidRPr="000E5941">
              <w:rPr>
                <w:rFonts w:ascii="Calibri" w:eastAsia="Calibri" w:hAnsi="Calibri"/>
                <w:color w:val="000000"/>
                <w:sz w:val="17"/>
                <w:szCs w:val="17"/>
              </w:rPr>
              <w:t>-</w:t>
            </w:r>
          </w:p>
        </w:tc>
        <w:tc>
          <w:tcPr>
            <w:tcW w:w="1072" w:type="dxa"/>
            <w:tcBorders>
              <w:top w:val="nil"/>
              <w:left w:val="nil"/>
              <w:bottom w:val="nil"/>
              <w:right w:val="nil"/>
            </w:tcBorders>
            <w:shd w:val="clear" w:color="auto" w:fill="auto"/>
          </w:tcPr>
          <w:p w14:paraId="04C5E24E" w14:textId="68B82C74" w:rsidR="00387E37" w:rsidRPr="000E5941" w:rsidRDefault="00387E37" w:rsidP="00387E37">
            <w:pPr>
              <w:tabs>
                <w:tab w:val="right" w:pos="1202"/>
              </w:tabs>
              <w:spacing w:after="0" w:line="240" w:lineRule="auto"/>
              <w:jc w:val="right"/>
              <w:outlineLvl w:val="0"/>
              <w:rPr>
                <w:rFonts w:ascii="Calibri" w:eastAsia="Calibri" w:hAnsi="Calibri"/>
                <w:color w:val="000000"/>
                <w:sz w:val="17"/>
                <w:szCs w:val="17"/>
              </w:rPr>
            </w:pPr>
            <w:r w:rsidRPr="000E5941">
              <w:rPr>
                <w:rFonts w:ascii="Calibri" w:eastAsia="Calibri" w:hAnsi="Calibri"/>
                <w:color w:val="000000"/>
                <w:sz w:val="17"/>
                <w:szCs w:val="17"/>
              </w:rPr>
              <w:t>-</w:t>
            </w:r>
          </w:p>
        </w:tc>
        <w:tc>
          <w:tcPr>
            <w:tcW w:w="1072" w:type="dxa"/>
            <w:tcBorders>
              <w:top w:val="nil"/>
              <w:left w:val="nil"/>
              <w:bottom w:val="nil"/>
              <w:right w:val="nil"/>
            </w:tcBorders>
            <w:shd w:val="clear" w:color="auto" w:fill="auto"/>
            <w:vAlign w:val="bottom"/>
          </w:tcPr>
          <w:p w14:paraId="36877E1D" w14:textId="02F0B93A" w:rsidR="00387E37" w:rsidRPr="00F75302" w:rsidRDefault="00234B5B" w:rsidP="00387E37">
            <w:pPr>
              <w:tabs>
                <w:tab w:val="right" w:pos="1202"/>
              </w:tabs>
              <w:spacing w:after="0" w:line="240" w:lineRule="auto"/>
              <w:jc w:val="right"/>
              <w:outlineLvl w:val="0"/>
              <w:rPr>
                <w:rFonts w:eastAsia="Times New Roman" w:cs="Arial"/>
                <w:spacing w:val="-2"/>
                <w:sz w:val="17"/>
                <w:szCs w:val="17"/>
              </w:rPr>
            </w:pPr>
            <w:r>
              <w:rPr>
                <w:rFonts w:eastAsia="Times New Roman" w:cs="Arial"/>
                <w:spacing w:val="-2"/>
                <w:sz w:val="17"/>
                <w:szCs w:val="17"/>
              </w:rPr>
              <w:t>131</w:t>
            </w:r>
          </w:p>
        </w:tc>
        <w:tc>
          <w:tcPr>
            <w:tcW w:w="1072" w:type="dxa"/>
            <w:tcBorders>
              <w:top w:val="nil"/>
              <w:left w:val="nil"/>
              <w:bottom w:val="nil"/>
              <w:right w:val="nil"/>
            </w:tcBorders>
            <w:shd w:val="clear" w:color="auto" w:fill="auto"/>
            <w:vAlign w:val="bottom"/>
          </w:tcPr>
          <w:p w14:paraId="06FDE5B9" w14:textId="219FFE4D"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1B0375">
              <w:rPr>
                <w:rFonts w:ascii="Calibri" w:eastAsia="Calibri" w:hAnsi="Calibri"/>
                <w:color w:val="000000"/>
                <w:sz w:val="17"/>
                <w:szCs w:val="17"/>
              </w:rPr>
              <w:t>-</w:t>
            </w:r>
          </w:p>
        </w:tc>
        <w:tc>
          <w:tcPr>
            <w:tcW w:w="1072" w:type="dxa"/>
            <w:tcBorders>
              <w:top w:val="nil"/>
              <w:left w:val="nil"/>
              <w:bottom w:val="nil"/>
              <w:right w:val="nil"/>
            </w:tcBorders>
            <w:shd w:val="clear" w:color="auto" w:fill="auto"/>
            <w:vAlign w:val="bottom"/>
          </w:tcPr>
          <w:p w14:paraId="55628CBF" w14:textId="149FD31F"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1B0375">
              <w:rPr>
                <w:rFonts w:ascii="Calibri" w:hAnsi="Calibri" w:cs="Arial"/>
                <w:spacing w:val="-2"/>
                <w:sz w:val="17"/>
                <w:szCs w:val="17"/>
              </w:rPr>
              <w:t>-</w:t>
            </w:r>
          </w:p>
        </w:tc>
        <w:tc>
          <w:tcPr>
            <w:tcW w:w="1073" w:type="dxa"/>
            <w:tcBorders>
              <w:top w:val="nil"/>
              <w:left w:val="nil"/>
              <w:bottom w:val="nil"/>
              <w:right w:val="nil"/>
            </w:tcBorders>
            <w:shd w:val="clear" w:color="auto" w:fill="auto"/>
            <w:vAlign w:val="center"/>
          </w:tcPr>
          <w:p w14:paraId="40BE7179" w14:textId="2433A005" w:rsidR="00387E37" w:rsidRPr="00F75302" w:rsidRDefault="00387E37" w:rsidP="00387E37">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99</w:t>
            </w:r>
          </w:p>
        </w:tc>
      </w:tr>
      <w:tr w:rsidR="009E2A3F" w:rsidRPr="00F75302" w14:paraId="1B56813A" w14:textId="77777777" w:rsidTr="009E2A3F">
        <w:trPr>
          <w:trHeight w:hRule="exact" w:val="284"/>
          <w:jc w:val="center"/>
        </w:trPr>
        <w:tc>
          <w:tcPr>
            <w:tcW w:w="3686" w:type="dxa"/>
            <w:vAlign w:val="bottom"/>
          </w:tcPr>
          <w:p w14:paraId="4E293A31" w14:textId="77777777" w:rsidR="009E2A3F" w:rsidRPr="00F75302" w:rsidRDefault="009E2A3F" w:rsidP="009E2A3F">
            <w:pPr>
              <w:tabs>
                <w:tab w:val="right" w:pos="1202"/>
              </w:tabs>
              <w:spacing w:after="0" w:line="240" w:lineRule="auto"/>
              <w:outlineLvl w:val="0"/>
              <w:rPr>
                <w:rFonts w:eastAsia="Times New Roman" w:cs="Arial"/>
                <w:b/>
                <w:sz w:val="17"/>
                <w:szCs w:val="17"/>
              </w:rPr>
            </w:pPr>
            <w:r w:rsidRPr="00F75302">
              <w:rPr>
                <w:rFonts w:eastAsia="Times New Roman" w:cs="Arial"/>
                <w:b/>
                <w:sz w:val="17"/>
                <w:szCs w:val="17"/>
              </w:rPr>
              <w:t>Ukupno dužnički vrijednosni papiri</w:t>
            </w:r>
          </w:p>
        </w:tc>
        <w:tc>
          <w:tcPr>
            <w:tcW w:w="1072" w:type="dxa"/>
            <w:tcBorders>
              <w:top w:val="single" w:sz="4" w:space="0" w:color="auto"/>
              <w:left w:val="nil"/>
              <w:bottom w:val="single" w:sz="8" w:space="0" w:color="auto"/>
              <w:right w:val="nil"/>
            </w:tcBorders>
            <w:shd w:val="clear" w:color="auto" w:fill="auto"/>
            <w:vAlign w:val="bottom"/>
          </w:tcPr>
          <w:p w14:paraId="1EAA522E" w14:textId="67FE9ABE" w:rsidR="009E2A3F" w:rsidRPr="00F75302" w:rsidRDefault="00234B5B"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2.192.896</w:t>
            </w:r>
          </w:p>
        </w:tc>
        <w:tc>
          <w:tcPr>
            <w:tcW w:w="1072" w:type="dxa"/>
            <w:tcBorders>
              <w:top w:val="single" w:sz="4" w:space="0" w:color="auto"/>
              <w:left w:val="nil"/>
              <w:bottom w:val="single" w:sz="8" w:space="0" w:color="auto"/>
              <w:right w:val="nil"/>
            </w:tcBorders>
            <w:shd w:val="clear" w:color="auto" w:fill="auto"/>
            <w:vAlign w:val="bottom"/>
          </w:tcPr>
          <w:p w14:paraId="071F632A" w14:textId="064A75F1" w:rsidR="009E2A3F" w:rsidRPr="00F75302" w:rsidRDefault="00387E37"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w:t>
            </w:r>
          </w:p>
        </w:tc>
        <w:tc>
          <w:tcPr>
            <w:tcW w:w="1072" w:type="dxa"/>
            <w:tcBorders>
              <w:top w:val="single" w:sz="4" w:space="0" w:color="auto"/>
              <w:left w:val="nil"/>
              <w:bottom w:val="single" w:sz="8" w:space="0" w:color="auto"/>
              <w:right w:val="nil"/>
            </w:tcBorders>
            <w:shd w:val="clear" w:color="auto" w:fill="auto"/>
            <w:vAlign w:val="bottom"/>
          </w:tcPr>
          <w:p w14:paraId="5A2BFB6D" w14:textId="2D835F77" w:rsidR="009E2A3F" w:rsidRPr="00F75302" w:rsidRDefault="00AB5059"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627</w:t>
            </w:r>
          </w:p>
        </w:tc>
        <w:tc>
          <w:tcPr>
            <w:tcW w:w="1072" w:type="dxa"/>
            <w:tcBorders>
              <w:top w:val="single" w:sz="4" w:space="0" w:color="auto"/>
              <w:left w:val="nil"/>
              <w:bottom w:val="single" w:sz="8" w:space="0" w:color="auto"/>
              <w:right w:val="nil"/>
            </w:tcBorders>
            <w:shd w:val="clear" w:color="auto" w:fill="auto"/>
            <w:vAlign w:val="bottom"/>
          </w:tcPr>
          <w:p w14:paraId="64597523" w14:textId="31F5438D" w:rsidR="009E2A3F" w:rsidRPr="00F75302" w:rsidRDefault="009E2A3F" w:rsidP="009E2A3F">
            <w:pPr>
              <w:tabs>
                <w:tab w:val="right" w:pos="1202"/>
              </w:tabs>
              <w:spacing w:after="0" w:line="240" w:lineRule="auto"/>
              <w:jc w:val="right"/>
              <w:outlineLvl w:val="0"/>
              <w:rPr>
                <w:rFonts w:cs="Arial"/>
                <w:b/>
                <w:sz w:val="17"/>
                <w:szCs w:val="17"/>
              </w:rPr>
            </w:pPr>
            <w:r w:rsidRPr="001B0375">
              <w:rPr>
                <w:rFonts w:ascii="Calibri" w:hAnsi="Calibri" w:cs="Arial"/>
                <w:b/>
                <w:sz w:val="17"/>
                <w:szCs w:val="17"/>
              </w:rPr>
              <w:t>2.442.873</w:t>
            </w:r>
          </w:p>
        </w:tc>
        <w:tc>
          <w:tcPr>
            <w:tcW w:w="1072" w:type="dxa"/>
            <w:tcBorders>
              <w:top w:val="single" w:sz="4" w:space="0" w:color="auto"/>
              <w:left w:val="nil"/>
              <w:bottom w:val="single" w:sz="8" w:space="0" w:color="auto"/>
              <w:right w:val="nil"/>
            </w:tcBorders>
            <w:shd w:val="clear" w:color="auto" w:fill="auto"/>
            <w:vAlign w:val="bottom"/>
          </w:tcPr>
          <w:p w14:paraId="56EFB92C" w14:textId="47BB23A0" w:rsidR="009E2A3F" w:rsidRPr="00F75302" w:rsidRDefault="009E2A3F" w:rsidP="009E2A3F">
            <w:pPr>
              <w:tabs>
                <w:tab w:val="right" w:pos="1202"/>
              </w:tabs>
              <w:spacing w:after="0" w:line="240" w:lineRule="auto"/>
              <w:jc w:val="right"/>
              <w:outlineLvl w:val="0"/>
              <w:rPr>
                <w:rFonts w:cs="Arial"/>
                <w:b/>
                <w:sz w:val="17"/>
                <w:szCs w:val="17"/>
              </w:rPr>
            </w:pPr>
            <w:r>
              <w:rPr>
                <w:rFonts w:ascii="Calibri" w:hAnsi="Calibri" w:cs="Arial"/>
                <w:b/>
                <w:sz w:val="17"/>
                <w:szCs w:val="17"/>
              </w:rPr>
              <w:t>-</w:t>
            </w:r>
          </w:p>
        </w:tc>
        <w:tc>
          <w:tcPr>
            <w:tcW w:w="1073" w:type="dxa"/>
            <w:tcBorders>
              <w:top w:val="single" w:sz="4" w:space="0" w:color="auto"/>
              <w:left w:val="nil"/>
              <w:bottom w:val="single" w:sz="8" w:space="0" w:color="auto"/>
              <w:right w:val="nil"/>
            </w:tcBorders>
            <w:shd w:val="clear" w:color="auto" w:fill="auto"/>
            <w:vAlign w:val="bottom"/>
          </w:tcPr>
          <w:p w14:paraId="459FB7AF" w14:textId="08A9A063" w:rsidR="009E2A3F" w:rsidRPr="00F75302" w:rsidRDefault="009E2A3F" w:rsidP="009E2A3F">
            <w:pPr>
              <w:tabs>
                <w:tab w:val="right" w:pos="1202"/>
              </w:tabs>
              <w:spacing w:after="0" w:line="240" w:lineRule="auto"/>
              <w:jc w:val="right"/>
              <w:outlineLvl w:val="0"/>
              <w:rPr>
                <w:rFonts w:cs="Arial"/>
                <w:b/>
                <w:sz w:val="17"/>
                <w:szCs w:val="17"/>
              </w:rPr>
            </w:pPr>
            <w:r>
              <w:rPr>
                <w:rFonts w:ascii="Calibri" w:hAnsi="Calibri" w:cs="Arial"/>
                <w:b/>
                <w:sz w:val="17"/>
                <w:szCs w:val="17"/>
              </w:rPr>
              <w:t>601</w:t>
            </w:r>
          </w:p>
        </w:tc>
      </w:tr>
      <w:tr w:rsidR="00F75302" w:rsidRPr="00F75302" w14:paraId="409FC8AC" w14:textId="77777777" w:rsidTr="00F75302">
        <w:trPr>
          <w:trHeight w:hRule="exact" w:val="340"/>
          <w:jc w:val="center"/>
        </w:trPr>
        <w:tc>
          <w:tcPr>
            <w:tcW w:w="3686" w:type="dxa"/>
            <w:vAlign w:val="bottom"/>
          </w:tcPr>
          <w:p w14:paraId="60A860F0" w14:textId="77777777" w:rsidR="00F75302" w:rsidRPr="00F75302" w:rsidRDefault="00F75302" w:rsidP="00F75302">
            <w:pPr>
              <w:tabs>
                <w:tab w:val="right" w:pos="1202"/>
              </w:tabs>
              <w:spacing w:after="0" w:line="240" w:lineRule="auto"/>
              <w:outlineLvl w:val="0"/>
              <w:rPr>
                <w:rFonts w:eastAsia="Times New Roman" w:cs="Arial"/>
                <w:b/>
                <w:sz w:val="17"/>
                <w:szCs w:val="17"/>
              </w:rPr>
            </w:pPr>
            <w:r w:rsidRPr="00F75302">
              <w:rPr>
                <w:rFonts w:eastAsia="Times New Roman" w:cs="Arial"/>
                <w:b/>
                <w:sz w:val="17"/>
                <w:szCs w:val="17"/>
              </w:rPr>
              <w:t>Vlasnički vrijednosni papiri:</w:t>
            </w:r>
          </w:p>
        </w:tc>
        <w:tc>
          <w:tcPr>
            <w:tcW w:w="1072" w:type="dxa"/>
            <w:tcBorders>
              <w:top w:val="single" w:sz="12" w:space="0" w:color="auto"/>
            </w:tcBorders>
            <w:vAlign w:val="bottom"/>
          </w:tcPr>
          <w:p w14:paraId="369BD358"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tcBorders>
              <w:top w:val="single" w:sz="12" w:space="0" w:color="auto"/>
            </w:tcBorders>
            <w:vAlign w:val="bottom"/>
          </w:tcPr>
          <w:p w14:paraId="1307AFFD"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tcBorders>
              <w:top w:val="single" w:sz="12" w:space="0" w:color="auto"/>
            </w:tcBorders>
            <w:vAlign w:val="bottom"/>
          </w:tcPr>
          <w:p w14:paraId="28F7284C"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tcBorders>
              <w:top w:val="single" w:sz="12" w:space="0" w:color="auto"/>
            </w:tcBorders>
            <w:vAlign w:val="bottom"/>
          </w:tcPr>
          <w:p w14:paraId="2CD1A59B"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tcBorders>
              <w:top w:val="single" w:sz="12" w:space="0" w:color="auto"/>
            </w:tcBorders>
            <w:vAlign w:val="bottom"/>
          </w:tcPr>
          <w:p w14:paraId="01CAF56B"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3" w:type="dxa"/>
            <w:tcBorders>
              <w:top w:val="single" w:sz="12" w:space="0" w:color="auto"/>
            </w:tcBorders>
            <w:vAlign w:val="bottom"/>
          </w:tcPr>
          <w:p w14:paraId="6235AFA2"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r>
      <w:tr w:rsidR="00F75302" w:rsidRPr="00F75302" w14:paraId="6308D586" w14:textId="77777777" w:rsidTr="00F75302">
        <w:trPr>
          <w:trHeight w:val="224"/>
          <w:jc w:val="center"/>
        </w:trPr>
        <w:tc>
          <w:tcPr>
            <w:tcW w:w="3686" w:type="dxa"/>
            <w:vAlign w:val="bottom"/>
          </w:tcPr>
          <w:p w14:paraId="4CE251C4" w14:textId="77777777" w:rsidR="00F75302" w:rsidRPr="00F75302" w:rsidRDefault="00F75302" w:rsidP="00F75302">
            <w:pPr>
              <w:tabs>
                <w:tab w:val="right" w:pos="1202"/>
              </w:tabs>
              <w:spacing w:after="0" w:line="240" w:lineRule="auto"/>
              <w:outlineLvl w:val="0"/>
              <w:rPr>
                <w:rFonts w:eastAsia="Times New Roman" w:cs="Arial"/>
                <w:b/>
                <w:i/>
                <w:spacing w:val="-2"/>
                <w:sz w:val="17"/>
                <w:szCs w:val="17"/>
              </w:rPr>
            </w:pPr>
            <w:r w:rsidRPr="00F75302">
              <w:rPr>
                <w:b/>
                <w:i/>
                <w:sz w:val="17"/>
                <w:szCs w:val="17"/>
              </w:rPr>
              <w:t>Vlasnički vrijednosni papiri koji kotiraju:</w:t>
            </w:r>
          </w:p>
        </w:tc>
        <w:tc>
          <w:tcPr>
            <w:tcW w:w="1072" w:type="dxa"/>
            <w:tcBorders>
              <w:bottom w:val="single" w:sz="4" w:space="0" w:color="auto"/>
            </w:tcBorders>
            <w:vAlign w:val="bottom"/>
          </w:tcPr>
          <w:p w14:paraId="21679988"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tcBorders>
              <w:bottom w:val="single" w:sz="4" w:space="0" w:color="auto"/>
            </w:tcBorders>
            <w:vAlign w:val="bottom"/>
          </w:tcPr>
          <w:p w14:paraId="1E79BB45"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tcBorders>
              <w:bottom w:val="single" w:sz="4" w:space="0" w:color="auto"/>
            </w:tcBorders>
            <w:vAlign w:val="bottom"/>
          </w:tcPr>
          <w:p w14:paraId="3F11F6C5"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tcBorders>
              <w:bottom w:val="single" w:sz="4" w:space="0" w:color="auto"/>
            </w:tcBorders>
            <w:vAlign w:val="bottom"/>
          </w:tcPr>
          <w:p w14:paraId="2F34BFF4"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tcBorders>
              <w:bottom w:val="single" w:sz="4" w:space="0" w:color="auto"/>
            </w:tcBorders>
            <w:vAlign w:val="bottom"/>
          </w:tcPr>
          <w:p w14:paraId="15B4CC0F"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3" w:type="dxa"/>
            <w:tcBorders>
              <w:bottom w:val="single" w:sz="4" w:space="0" w:color="auto"/>
            </w:tcBorders>
            <w:vAlign w:val="bottom"/>
          </w:tcPr>
          <w:p w14:paraId="54051BD0"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r>
      <w:tr w:rsidR="009E2A3F" w:rsidRPr="00F75302" w14:paraId="680FB82B" w14:textId="77777777" w:rsidTr="00F75302">
        <w:trPr>
          <w:trHeight w:val="224"/>
          <w:jc w:val="center"/>
        </w:trPr>
        <w:tc>
          <w:tcPr>
            <w:tcW w:w="3686" w:type="dxa"/>
            <w:vAlign w:val="bottom"/>
          </w:tcPr>
          <w:p w14:paraId="64F46326" w14:textId="77777777" w:rsidR="009E2A3F" w:rsidRPr="00F75302" w:rsidRDefault="009E2A3F" w:rsidP="009E2A3F">
            <w:pPr>
              <w:tabs>
                <w:tab w:val="right" w:pos="1202"/>
              </w:tabs>
              <w:spacing w:after="0" w:line="240" w:lineRule="auto"/>
              <w:outlineLvl w:val="0"/>
              <w:rPr>
                <w:rFonts w:eastAsia="Times New Roman" w:cs="Arial"/>
                <w:b/>
                <w:i/>
                <w:spacing w:val="-2"/>
                <w:sz w:val="17"/>
                <w:szCs w:val="17"/>
              </w:rPr>
            </w:pPr>
            <w:r w:rsidRPr="00F75302">
              <w:rPr>
                <w:sz w:val="17"/>
                <w:szCs w:val="17"/>
              </w:rPr>
              <w:t>Dionice trgovačkih društava</w:t>
            </w:r>
          </w:p>
        </w:tc>
        <w:tc>
          <w:tcPr>
            <w:tcW w:w="1072" w:type="dxa"/>
            <w:tcBorders>
              <w:top w:val="single" w:sz="4" w:space="0" w:color="auto"/>
              <w:bottom w:val="single" w:sz="4" w:space="0" w:color="auto"/>
            </w:tcBorders>
            <w:vAlign w:val="bottom"/>
          </w:tcPr>
          <w:p w14:paraId="0E8C911C" w14:textId="23F22D0D" w:rsidR="009E2A3F" w:rsidRPr="00F75302" w:rsidDel="00561A80" w:rsidRDefault="00234B5B" w:rsidP="009E2A3F">
            <w:pPr>
              <w:tabs>
                <w:tab w:val="right" w:pos="1202"/>
              </w:tabs>
              <w:spacing w:after="0" w:line="240" w:lineRule="auto"/>
              <w:jc w:val="right"/>
              <w:outlineLvl w:val="0"/>
              <w:rPr>
                <w:rFonts w:eastAsia="Times New Roman" w:cs="Arial"/>
                <w:spacing w:val="-2"/>
                <w:sz w:val="17"/>
                <w:szCs w:val="17"/>
              </w:rPr>
            </w:pPr>
            <w:r>
              <w:rPr>
                <w:rFonts w:eastAsia="Times New Roman" w:cs="Arial"/>
                <w:spacing w:val="-2"/>
                <w:sz w:val="17"/>
                <w:szCs w:val="17"/>
              </w:rPr>
              <w:t>10.938</w:t>
            </w:r>
          </w:p>
        </w:tc>
        <w:tc>
          <w:tcPr>
            <w:tcW w:w="1072" w:type="dxa"/>
            <w:tcBorders>
              <w:top w:val="single" w:sz="4" w:space="0" w:color="auto"/>
              <w:bottom w:val="single" w:sz="4" w:space="0" w:color="auto"/>
            </w:tcBorders>
            <w:vAlign w:val="bottom"/>
          </w:tcPr>
          <w:p w14:paraId="41A78CA7" w14:textId="235A0AD4" w:rsidR="009E2A3F" w:rsidRPr="000E5941" w:rsidDel="00561A80" w:rsidRDefault="00387E37" w:rsidP="009E2A3F">
            <w:pPr>
              <w:tabs>
                <w:tab w:val="right" w:pos="1202"/>
              </w:tabs>
              <w:spacing w:after="0" w:line="240" w:lineRule="auto"/>
              <w:jc w:val="right"/>
              <w:outlineLvl w:val="0"/>
              <w:rPr>
                <w:rFonts w:ascii="Calibri" w:hAnsi="Calibri" w:cs="Arial"/>
                <w:spacing w:val="-2"/>
                <w:sz w:val="17"/>
                <w:szCs w:val="17"/>
              </w:rPr>
            </w:pPr>
            <w:r>
              <w:rPr>
                <w:rFonts w:ascii="Calibri" w:hAnsi="Calibri" w:cs="Arial"/>
                <w:spacing w:val="-2"/>
                <w:sz w:val="17"/>
                <w:szCs w:val="17"/>
              </w:rPr>
              <w:t>-</w:t>
            </w:r>
          </w:p>
        </w:tc>
        <w:tc>
          <w:tcPr>
            <w:tcW w:w="1072" w:type="dxa"/>
            <w:tcBorders>
              <w:top w:val="single" w:sz="4" w:space="0" w:color="auto"/>
              <w:bottom w:val="single" w:sz="4" w:space="0" w:color="auto"/>
            </w:tcBorders>
            <w:vAlign w:val="bottom"/>
          </w:tcPr>
          <w:p w14:paraId="53CBC652" w14:textId="505E23EF" w:rsidR="009E2A3F" w:rsidRPr="000E5941" w:rsidDel="00561A80" w:rsidRDefault="00387E37" w:rsidP="009E2A3F">
            <w:pPr>
              <w:tabs>
                <w:tab w:val="right" w:pos="1202"/>
              </w:tabs>
              <w:spacing w:after="0" w:line="240" w:lineRule="auto"/>
              <w:jc w:val="right"/>
              <w:outlineLvl w:val="0"/>
              <w:rPr>
                <w:rFonts w:ascii="Calibri" w:hAnsi="Calibri" w:cs="Arial"/>
                <w:spacing w:val="-2"/>
                <w:sz w:val="17"/>
                <w:szCs w:val="17"/>
              </w:rPr>
            </w:pPr>
            <w:r>
              <w:rPr>
                <w:rFonts w:ascii="Calibri" w:hAnsi="Calibri" w:cs="Arial"/>
                <w:spacing w:val="-2"/>
                <w:sz w:val="17"/>
                <w:szCs w:val="17"/>
              </w:rPr>
              <w:t>-</w:t>
            </w:r>
          </w:p>
        </w:tc>
        <w:tc>
          <w:tcPr>
            <w:tcW w:w="1072" w:type="dxa"/>
            <w:tcBorders>
              <w:top w:val="single" w:sz="4" w:space="0" w:color="auto"/>
              <w:bottom w:val="single" w:sz="4" w:space="0" w:color="auto"/>
            </w:tcBorders>
            <w:vAlign w:val="bottom"/>
          </w:tcPr>
          <w:p w14:paraId="4B8427F5" w14:textId="62B92E88" w:rsidR="009E2A3F" w:rsidRPr="00F75302" w:rsidDel="00561A80" w:rsidRDefault="009E2A3F" w:rsidP="009E2A3F">
            <w:pPr>
              <w:tabs>
                <w:tab w:val="right" w:pos="1202"/>
              </w:tabs>
              <w:spacing w:after="0" w:line="240" w:lineRule="auto"/>
              <w:jc w:val="right"/>
              <w:outlineLvl w:val="0"/>
              <w:rPr>
                <w:rFonts w:eastAsia="Times New Roman" w:cs="Arial"/>
                <w:spacing w:val="-2"/>
                <w:sz w:val="17"/>
                <w:szCs w:val="17"/>
              </w:rPr>
            </w:pPr>
            <w:r>
              <w:rPr>
                <w:rFonts w:ascii="Calibri" w:hAnsi="Calibri" w:cs="Arial"/>
                <w:spacing w:val="-2"/>
                <w:sz w:val="17"/>
                <w:szCs w:val="17"/>
              </w:rPr>
              <w:t>10.938</w:t>
            </w:r>
          </w:p>
        </w:tc>
        <w:tc>
          <w:tcPr>
            <w:tcW w:w="1072" w:type="dxa"/>
            <w:tcBorders>
              <w:top w:val="single" w:sz="4" w:space="0" w:color="auto"/>
              <w:bottom w:val="single" w:sz="4" w:space="0" w:color="auto"/>
            </w:tcBorders>
            <w:vAlign w:val="bottom"/>
          </w:tcPr>
          <w:p w14:paraId="27FDB89F" w14:textId="752B42AE" w:rsidR="009E2A3F" w:rsidRPr="00F75302" w:rsidDel="00561A80" w:rsidRDefault="009E2A3F" w:rsidP="009E2A3F">
            <w:pPr>
              <w:tabs>
                <w:tab w:val="right" w:pos="1202"/>
              </w:tabs>
              <w:spacing w:after="0" w:line="240" w:lineRule="auto"/>
              <w:jc w:val="right"/>
              <w:outlineLvl w:val="0"/>
              <w:rPr>
                <w:rFonts w:eastAsia="Times New Roman" w:cs="Arial"/>
                <w:spacing w:val="-2"/>
                <w:sz w:val="17"/>
                <w:szCs w:val="17"/>
              </w:rPr>
            </w:pPr>
            <w:r>
              <w:rPr>
                <w:rFonts w:ascii="Calibri" w:hAnsi="Calibri" w:cs="Arial"/>
                <w:spacing w:val="-2"/>
                <w:sz w:val="17"/>
                <w:szCs w:val="17"/>
              </w:rPr>
              <w:t>-</w:t>
            </w:r>
          </w:p>
        </w:tc>
        <w:tc>
          <w:tcPr>
            <w:tcW w:w="1073" w:type="dxa"/>
            <w:tcBorders>
              <w:top w:val="single" w:sz="4" w:space="0" w:color="auto"/>
              <w:bottom w:val="single" w:sz="4" w:space="0" w:color="auto"/>
            </w:tcBorders>
            <w:vAlign w:val="bottom"/>
          </w:tcPr>
          <w:p w14:paraId="4BA084B4" w14:textId="702DC022" w:rsidR="009E2A3F" w:rsidRPr="00F75302" w:rsidDel="00561A80" w:rsidRDefault="009E2A3F" w:rsidP="009E2A3F">
            <w:pPr>
              <w:tabs>
                <w:tab w:val="right" w:pos="1202"/>
              </w:tabs>
              <w:spacing w:after="0" w:line="240" w:lineRule="auto"/>
              <w:jc w:val="right"/>
              <w:outlineLvl w:val="0"/>
              <w:rPr>
                <w:rFonts w:eastAsia="Times New Roman" w:cs="Arial"/>
                <w:spacing w:val="-2"/>
                <w:sz w:val="17"/>
                <w:szCs w:val="17"/>
              </w:rPr>
            </w:pPr>
            <w:r>
              <w:rPr>
                <w:rFonts w:ascii="Calibri" w:hAnsi="Calibri" w:cs="Arial"/>
                <w:spacing w:val="-2"/>
                <w:sz w:val="17"/>
                <w:szCs w:val="17"/>
              </w:rPr>
              <w:t>-</w:t>
            </w:r>
          </w:p>
        </w:tc>
      </w:tr>
      <w:tr w:rsidR="00F75302" w:rsidRPr="00F75302" w14:paraId="77A36B2A" w14:textId="77777777" w:rsidTr="00F75302">
        <w:trPr>
          <w:trHeight w:val="224"/>
          <w:jc w:val="center"/>
        </w:trPr>
        <w:tc>
          <w:tcPr>
            <w:tcW w:w="3686" w:type="dxa"/>
            <w:vAlign w:val="bottom"/>
          </w:tcPr>
          <w:p w14:paraId="3E192E1A" w14:textId="77777777" w:rsidR="00F75302" w:rsidRPr="00F75302" w:rsidRDefault="00F75302" w:rsidP="00F75302">
            <w:pPr>
              <w:tabs>
                <w:tab w:val="right" w:pos="1202"/>
              </w:tabs>
              <w:spacing w:after="0" w:line="240" w:lineRule="auto"/>
              <w:outlineLvl w:val="0"/>
              <w:rPr>
                <w:b/>
                <w:i/>
                <w:sz w:val="17"/>
                <w:szCs w:val="17"/>
              </w:rPr>
            </w:pPr>
            <w:r w:rsidRPr="00F75302">
              <w:rPr>
                <w:b/>
                <w:i/>
                <w:sz w:val="17"/>
                <w:szCs w:val="17"/>
              </w:rPr>
              <w:t>Vlasnički vrijednosni papiri koji ne kotiraju:</w:t>
            </w:r>
          </w:p>
        </w:tc>
        <w:tc>
          <w:tcPr>
            <w:tcW w:w="1072" w:type="dxa"/>
            <w:tcBorders>
              <w:top w:val="single" w:sz="4" w:space="0" w:color="auto"/>
            </w:tcBorders>
            <w:vAlign w:val="bottom"/>
          </w:tcPr>
          <w:p w14:paraId="670A652C" w14:textId="77777777" w:rsidR="00F75302" w:rsidRPr="00F75302"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tcBorders>
              <w:top w:val="single" w:sz="4" w:space="0" w:color="auto"/>
            </w:tcBorders>
            <w:vAlign w:val="bottom"/>
          </w:tcPr>
          <w:p w14:paraId="14D83F00"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tcBorders>
              <w:top w:val="single" w:sz="4" w:space="0" w:color="auto"/>
            </w:tcBorders>
            <w:vAlign w:val="bottom"/>
          </w:tcPr>
          <w:p w14:paraId="46F599B3"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tcBorders>
              <w:top w:val="single" w:sz="4" w:space="0" w:color="auto"/>
            </w:tcBorders>
            <w:vAlign w:val="bottom"/>
          </w:tcPr>
          <w:p w14:paraId="5716326E"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2" w:type="dxa"/>
            <w:tcBorders>
              <w:top w:val="single" w:sz="4" w:space="0" w:color="auto"/>
            </w:tcBorders>
            <w:vAlign w:val="bottom"/>
          </w:tcPr>
          <w:p w14:paraId="09998DF7"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73" w:type="dxa"/>
            <w:tcBorders>
              <w:top w:val="single" w:sz="4" w:space="0" w:color="auto"/>
            </w:tcBorders>
            <w:vAlign w:val="bottom"/>
          </w:tcPr>
          <w:p w14:paraId="62E7F4B3" w14:textId="77777777" w:rsidR="00F75302" w:rsidRPr="00F75302" w:rsidDel="00561A80" w:rsidRDefault="00F75302" w:rsidP="00F75302">
            <w:pPr>
              <w:tabs>
                <w:tab w:val="right" w:pos="1202"/>
              </w:tabs>
              <w:spacing w:after="0" w:line="240" w:lineRule="auto"/>
              <w:jc w:val="right"/>
              <w:outlineLvl w:val="0"/>
              <w:rPr>
                <w:rFonts w:eastAsia="Times New Roman" w:cs="Arial"/>
                <w:spacing w:val="-2"/>
                <w:sz w:val="17"/>
                <w:szCs w:val="17"/>
              </w:rPr>
            </w:pPr>
          </w:p>
        </w:tc>
      </w:tr>
      <w:tr w:rsidR="001F3BBA" w:rsidRPr="00F75302" w14:paraId="599DC33C" w14:textId="77777777" w:rsidTr="000E5941">
        <w:trPr>
          <w:trHeight w:val="216"/>
          <w:jc w:val="center"/>
        </w:trPr>
        <w:tc>
          <w:tcPr>
            <w:tcW w:w="3686" w:type="dxa"/>
            <w:vAlign w:val="bottom"/>
          </w:tcPr>
          <w:p w14:paraId="535318ED" w14:textId="77777777" w:rsidR="001F3BBA" w:rsidRPr="00F75302" w:rsidRDefault="001F3BBA" w:rsidP="001F3BBA">
            <w:pPr>
              <w:tabs>
                <w:tab w:val="right" w:pos="1202"/>
              </w:tabs>
              <w:spacing w:after="0" w:line="240" w:lineRule="auto"/>
              <w:outlineLvl w:val="0"/>
              <w:rPr>
                <w:rFonts w:eastAsia="Times New Roman" w:cs="Arial"/>
                <w:sz w:val="17"/>
                <w:szCs w:val="17"/>
              </w:rPr>
            </w:pPr>
            <w:r w:rsidRPr="00F75302">
              <w:rPr>
                <w:rFonts w:eastAsia="Times New Roman" w:cs="Arial"/>
                <w:sz w:val="17"/>
                <w:szCs w:val="17"/>
              </w:rPr>
              <w:t>Dionice inozemnih pravnih osoba</w:t>
            </w:r>
          </w:p>
        </w:tc>
        <w:tc>
          <w:tcPr>
            <w:tcW w:w="1072" w:type="dxa"/>
            <w:tcBorders>
              <w:top w:val="nil"/>
              <w:left w:val="nil"/>
              <w:bottom w:val="nil"/>
              <w:right w:val="nil"/>
            </w:tcBorders>
            <w:shd w:val="clear" w:color="auto" w:fill="auto"/>
          </w:tcPr>
          <w:p w14:paraId="35F020E1" w14:textId="21C275AE" w:rsidR="001F3BBA" w:rsidRPr="00F75302" w:rsidRDefault="001F3BBA" w:rsidP="001F3BBA">
            <w:pPr>
              <w:tabs>
                <w:tab w:val="right" w:pos="1202"/>
              </w:tabs>
              <w:spacing w:after="0" w:line="240" w:lineRule="auto"/>
              <w:jc w:val="right"/>
              <w:outlineLvl w:val="0"/>
              <w:rPr>
                <w:rFonts w:eastAsia="Times New Roman" w:cs="Arial"/>
                <w:sz w:val="17"/>
                <w:szCs w:val="17"/>
              </w:rPr>
            </w:pPr>
            <w:r w:rsidRPr="000E5941">
              <w:rPr>
                <w:rFonts w:eastAsia="Times New Roman" w:cs="Arial"/>
                <w:sz w:val="17"/>
                <w:szCs w:val="17"/>
              </w:rPr>
              <w:t>-</w:t>
            </w:r>
          </w:p>
        </w:tc>
        <w:tc>
          <w:tcPr>
            <w:tcW w:w="1072" w:type="dxa"/>
            <w:tcBorders>
              <w:top w:val="nil"/>
              <w:left w:val="nil"/>
              <w:bottom w:val="nil"/>
              <w:right w:val="nil"/>
            </w:tcBorders>
            <w:shd w:val="clear" w:color="auto" w:fill="auto"/>
          </w:tcPr>
          <w:p w14:paraId="582A16FA" w14:textId="1CB716E1" w:rsidR="001F3BBA" w:rsidRPr="000E5941" w:rsidRDefault="00234B5B" w:rsidP="001F3BBA">
            <w:pPr>
              <w:tabs>
                <w:tab w:val="right" w:pos="1202"/>
              </w:tabs>
              <w:spacing w:after="0" w:line="240" w:lineRule="auto"/>
              <w:jc w:val="right"/>
              <w:outlineLvl w:val="0"/>
              <w:rPr>
                <w:rFonts w:ascii="Calibri" w:hAnsi="Calibri"/>
                <w:color w:val="000000"/>
                <w:sz w:val="17"/>
                <w:szCs w:val="17"/>
              </w:rPr>
            </w:pPr>
            <w:r>
              <w:rPr>
                <w:rFonts w:ascii="Calibri" w:hAnsi="Calibri"/>
                <w:color w:val="000000"/>
                <w:sz w:val="17"/>
                <w:szCs w:val="17"/>
              </w:rPr>
              <w:t>32</w:t>
            </w:r>
          </w:p>
        </w:tc>
        <w:tc>
          <w:tcPr>
            <w:tcW w:w="1072" w:type="dxa"/>
            <w:tcBorders>
              <w:top w:val="nil"/>
              <w:left w:val="nil"/>
              <w:bottom w:val="nil"/>
              <w:right w:val="nil"/>
            </w:tcBorders>
            <w:shd w:val="clear" w:color="auto" w:fill="auto"/>
          </w:tcPr>
          <w:p w14:paraId="61C05A59" w14:textId="408132FE" w:rsidR="001F3BBA" w:rsidRPr="00F75302" w:rsidRDefault="001F3BBA" w:rsidP="001F3BBA">
            <w:pPr>
              <w:tabs>
                <w:tab w:val="right" w:pos="1202"/>
              </w:tabs>
              <w:spacing w:after="0" w:line="240" w:lineRule="auto"/>
              <w:jc w:val="right"/>
              <w:outlineLvl w:val="0"/>
              <w:rPr>
                <w:rFonts w:eastAsia="Times New Roman" w:cs="Arial"/>
                <w:sz w:val="17"/>
                <w:szCs w:val="17"/>
              </w:rPr>
            </w:pPr>
            <w:r w:rsidRPr="000E5941">
              <w:rPr>
                <w:rFonts w:eastAsia="Times New Roman" w:cs="Arial"/>
                <w:sz w:val="17"/>
                <w:szCs w:val="17"/>
              </w:rPr>
              <w:t>-</w:t>
            </w:r>
          </w:p>
        </w:tc>
        <w:tc>
          <w:tcPr>
            <w:tcW w:w="1072" w:type="dxa"/>
            <w:vAlign w:val="bottom"/>
          </w:tcPr>
          <w:p w14:paraId="2B56E6E5" w14:textId="77777777" w:rsidR="001F3BBA" w:rsidRPr="00F75302" w:rsidRDefault="001F3BBA" w:rsidP="001F3BBA">
            <w:pPr>
              <w:tabs>
                <w:tab w:val="right" w:pos="1202"/>
              </w:tabs>
              <w:spacing w:after="0" w:line="240" w:lineRule="auto"/>
              <w:jc w:val="right"/>
              <w:outlineLvl w:val="0"/>
              <w:rPr>
                <w:rFonts w:eastAsia="Times New Roman" w:cs="Arial"/>
                <w:sz w:val="17"/>
                <w:szCs w:val="17"/>
              </w:rPr>
            </w:pPr>
            <w:r w:rsidRPr="00F75302">
              <w:rPr>
                <w:rFonts w:eastAsia="Times New Roman" w:cs="Arial"/>
                <w:sz w:val="17"/>
                <w:szCs w:val="17"/>
              </w:rPr>
              <w:t>-</w:t>
            </w:r>
          </w:p>
        </w:tc>
        <w:tc>
          <w:tcPr>
            <w:tcW w:w="1072" w:type="dxa"/>
            <w:tcBorders>
              <w:top w:val="nil"/>
              <w:left w:val="nil"/>
              <w:bottom w:val="nil"/>
              <w:right w:val="nil"/>
            </w:tcBorders>
            <w:shd w:val="clear" w:color="auto" w:fill="auto"/>
            <w:vAlign w:val="center"/>
          </w:tcPr>
          <w:p w14:paraId="3FE49B82" w14:textId="35FC5A25" w:rsidR="001F3BBA" w:rsidRPr="00F75302" w:rsidRDefault="001F3BBA" w:rsidP="001F3BBA">
            <w:pPr>
              <w:tabs>
                <w:tab w:val="right" w:pos="1202"/>
              </w:tabs>
              <w:spacing w:after="0" w:line="240" w:lineRule="auto"/>
              <w:jc w:val="right"/>
              <w:outlineLvl w:val="0"/>
              <w:rPr>
                <w:rFonts w:eastAsia="Times New Roman" w:cs="Arial"/>
                <w:sz w:val="17"/>
                <w:szCs w:val="17"/>
              </w:rPr>
            </w:pPr>
            <w:r w:rsidRPr="002A3E38">
              <w:rPr>
                <w:rFonts w:ascii="Calibri" w:hAnsi="Calibri"/>
                <w:color w:val="000000"/>
                <w:sz w:val="17"/>
                <w:szCs w:val="17"/>
              </w:rPr>
              <w:t>32</w:t>
            </w:r>
          </w:p>
        </w:tc>
        <w:tc>
          <w:tcPr>
            <w:tcW w:w="1073" w:type="dxa"/>
            <w:vAlign w:val="bottom"/>
          </w:tcPr>
          <w:p w14:paraId="402EAC88" w14:textId="77777777" w:rsidR="001F3BBA" w:rsidRPr="00F75302" w:rsidRDefault="001F3BBA" w:rsidP="001F3BBA">
            <w:pPr>
              <w:tabs>
                <w:tab w:val="right" w:pos="1202"/>
              </w:tabs>
              <w:spacing w:after="0" w:line="240" w:lineRule="auto"/>
              <w:jc w:val="right"/>
              <w:outlineLvl w:val="0"/>
              <w:rPr>
                <w:rFonts w:eastAsia="Times New Roman" w:cs="Arial"/>
                <w:sz w:val="17"/>
                <w:szCs w:val="17"/>
              </w:rPr>
            </w:pPr>
            <w:r w:rsidRPr="00F75302">
              <w:rPr>
                <w:rFonts w:eastAsia="Times New Roman" w:cs="Arial"/>
                <w:sz w:val="17"/>
                <w:szCs w:val="17"/>
              </w:rPr>
              <w:t>-</w:t>
            </w:r>
          </w:p>
        </w:tc>
      </w:tr>
      <w:tr w:rsidR="001F3BBA" w:rsidRPr="00F75302" w14:paraId="6152F8F2" w14:textId="77777777" w:rsidTr="000E5941">
        <w:trPr>
          <w:trHeight w:val="216"/>
          <w:jc w:val="center"/>
        </w:trPr>
        <w:tc>
          <w:tcPr>
            <w:tcW w:w="3686" w:type="dxa"/>
            <w:vAlign w:val="bottom"/>
          </w:tcPr>
          <w:p w14:paraId="1457A8DF" w14:textId="77777777" w:rsidR="001F3BBA" w:rsidRPr="00F75302" w:rsidRDefault="001F3BBA" w:rsidP="001F3BBA">
            <w:pPr>
              <w:tabs>
                <w:tab w:val="right" w:pos="1202"/>
              </w:tabs>
              <w:spacing w:after="0" w:line="240" w:lineRule="auto"/>
              <w:outlineLvl w:val="0"/>
              <w:rPr>
                <w:rFonts w:eastAsia="Times New Roman" w:cs="Arial"/>
                <w:sz w:val="17"/>
                <w:szCs w:val="17"/>
              </w:rPr>
            </w:pPr>
            <w:r w:rsidRPr="00F75302">
              <w:rPr>
                <w:rFonts w:eastAsia="Times New Roman" w:cs="Arial"/>
                <w:sz w:val="17"/>
                <w:szCs w:val="17"/>
              </w:rPr>
              <w:t xml:space="preserve">Dionice financijskih institucija </w:t>
            </w:r>
          </w:p>
        </w:tc>
        <w:tc>
          <w:tcPr>
            <w:tcW w:w="1072" w:type="dxa"/>
            <w:tcBorders>
              <w:top w:val="nil"/>
              <w:left w:val="nil"/>
              <w:bottom w:val="nil"/>
              <w:right w:val="nil"/>
            </w:tcBorders>
            <w:shd w:val="clear" w:color="auto" w:fill="auto"/>
          </w:tcPr>
          <w:p w14:paraId="01F61ED9" w14:textId="3C294D02" w:rsidR="001F3BBA" w:rsidRPr="00F75302" w:rsidRDefault="001F3BBA" w:rsidP="001F3BBA">
            <w:pPr>
              <w:tabs>
                <w:tab w:val="right" w:pos="1202"/>
              </w:tabs>
              <w:spacing w:after="0" w:line="240" w:lineRule="auto"/>
              <w:jc w:val="right"/>
              <w:outlineLvl w:val="0"/>
              <w:rPr>
                <w:rFonts w:eastAsia="Times New Roman" w:cs="Arial"/>
                <w:sz w:val="17"/>
                <w:szCs w:val="17"/>
              </w:rPr>
            </w:pPr>
            <w:r w:rsidRPr="000E5941">
              <w:rPr>
                <w:rFonts w:eastAsia="Times New Roman" w:cs="Arial"/>
                <w:sz w:val="17"/>
                <w:szCs w:val="17"/>
              </w:rPr>
              <w:t>-</w:t>
            </w:r>
          </w:p>
        </w:tc>
        <w:tc>
          <w:tcPr>
            <w:tcW w:w="1072" w:type="dxa"/>
            <w:tcBorders>
              <w:top w:val="nil"/>
              <w:left w:val="nil"/>
              <w:bottom w:val="nil"/>
              <w:right w:val="nil"/>
            </w:tcBorders>
            <w:shd w:val="clear" w:color="auto" w:fill="auto"/>
          </w:tcPr>
          <w:p w14:paraId="5A0A2846" w14:textId="36F57055" w:rsidR="001F3BBA" w:rsidRPr="000E5941" w:rsidRDefault="00234B5B" w:rsidP="001F3BBA">
            <w:pPr>
              <w:tabs>
                <w:tab w:val="right" w:pos="1202"/>
              </w:tabs>
              <w:spacing w:after="0" w:line="240" w:lineRule="auto"/>
              <w:jc w:val="right"/>
              <w:outlineLvl w:val="0"/>
              <w:rPr>
                <w:rFonts w:ascii="Calibri" w:hAnsi="Calibri"/>
                <w:color w:val="000000"/>
                <w:sz w:val="17"/>
                <w:szCs w:val="17"/>
              </w:rPr>
            </w:pPr>
            <w:r>
              <w:rPr>
                <w:rFonts w:ascii="Calibri" w:hAnsi="Calibri"/>
                <w:color w:val="000000"/>
                <w:sz w:val="17"/>
                <w:szCs w:val="17"/>
              </w:rPr>
              <w:t>161</w:t>
            </w:r>
          </w:p>
        </w:tc>
        <w:tc>
          <w:tcPr>
            <w:tcW w:w="1072" w:type="dxa"/>
            <w:tcBorders>
              <w:top w:val="nil"/>
              <w:left w:val="nil"/>
              <w:bottom w:val="nil"/>
              <w:right w:val="nil"/>
            </w:tcBorders>
            <w:shd w:val="clear" w:color="auto" w:fill="auto"/>
          </w:tcPr>
          <w:p w14:paraId="52B7DD2C" w14:textId="378E14B6" w:rsidR="001F3BBA" w:rsidRPr="00F75302" w:rsidRDefault="001F3BBA" w:rsidP="001F3BBA">
            <w:pPr>
              <w:tabs>
                <w:tab w:val="right" w:pos="1202"/>
              </w:tabs>
              <w:spacing w:after="0" w:line="240" w:lineRule="auto"/>
              <w:jc w:val="right"/>
              <w:outlineLvl w:val="0"/>
              <w:rPr>
                <w:rFonts w:eastAsia="Times New Roman" w:cs="Arial"/>
                <w:sz w:val="17"/>
                <w:szCs w:val="17"/>
              </w:rPr>
            </w:pPr>
            <w:r w:rsidRPr="000E5941">
              <w:rPr>
                <w:rFonts w:eastAsia="Times New Roman" w:cs="Arial"/>
                <w:sz w:val="17"/>
                <w:szCs w:val="17"/>
              </w:rPr>
              <w:t>-</w:t>
            </w:r>
          </w:p>
        </w:tc>
        <w:tc>
          <w:tcPr>
            <w:tcW w:w="1072" w:type="dxa"/>
            <w:vAlign w:val="bottom"/>
          </w:tcPr>
          <w:p w14:paraId="72ACC65C" w14:textId="77777777" w:rsidR="001F3BBA" w:rsidRPr="00F75302" w:rsidRDefault="001F3BBA" w:rsidP="001F3BBA">
            <w:pPr>
              <w:tabs>
                <w:tab w:val="right" w:pos="1202"/>
              </w:tabs>
              <w:spacing w:after="0" w:line="240" w:lineRule="auto"/>
              <w:jc w:val="right"/>
              <w:outlineLvl w:val="0"/>
              <w:rPr>
                <w:rFonts w:eastAsia="Times New Roman" w:cs="Arial"/>
                <w:sz w:val="17"/>
                <w:szCs w:val="17"/>
              </w:rPr>
            </w:pPr>
            <w:r w:rsidRPr="00F75302">
              <w:rPr>
                <w:rFonts w:eastAsia="Times New Roman" w:cs="Arial"/>
                <w:sz w:val="17"/>
                <w:szCs w:val="17"/>
              </w:rPr>
              <w:t>-</w:t>
            </w:r>
          </w:p>
        </w:tc>
        <w:tc>
          <w:tcPr>
            <w:tcW w:w="1072" w:type="dxa"/>
            <w:tcBorders>
              <w:top w:val="nil"/>
              <w:left w:val="nil"/>
              <w:bottom w:val="nil"/>
              <w:right w:val="nil"/>
            </w:tcBorders>
            <w:shd w:val="clear" w:color="auto" w:fill="auto"/>
            <w:vAlign w:val="center"/>
          </w:tcPr>
          <w:p w14:paraId="6942AE68" w14:textId="026D4170" w:rsidR="001F3BBA" w:rsidRPr="00F75302" w:rsidRDefault="001F3BBA" w:rsidP="001F3BBA">
            <w:pPr>
              <w:tabs>
                <w:tab w:val="right" w:pos="1202"/>
              </w:tabs>
              <w:spacing w:after="0" w:line="240" w:lineRule="auto"/>
              <w:jc w:val="right"/>
              <w:outlineLvl w:val="0"/>
              <w:rPr>
                <w:rFonts w:eastAsia="Times New Roman" w:cs="Arial"/>
                <w:sz w:val="17"/>
                <w:szCs w:val="17"/>
              </w:rPr>
            </w:pPr>
            <w:r w:rsidRPr="002A3E38">
              <w:rPr>
                <w:rFonts w:ascii="Calibri" w:hAnsi="Calibri"/>
                <w:color w:val="000000"/>
                <w:sz w:val="17"/>
                <w:szCs w:val="17"/>
              </w:rPr>
              <w:t>161</w:t>
            </w:r>
          </w:p>
        </w:tc>
        <w:tc>
          <w:tcPr>
            <w:tcW w:w="1073" w:type="dxa"/>
            <w:vAlign w:val="bottom"/>
          </w:tcPr>
          <w:p w14:paraId="3E29B6B4" w14:textId="77777777" w:rsidR="001F3BBA" w:rsidRPr="00F75302" w:rsidRDefault="001F3BBA" w:rsidP="001F3BBA">
            <w:pPr>
              <w:tabs>
                <w:tab w:val="right" w:pos="1202"/>
              </w:tabs>
              <w:spacing w:after="0" w:line="240" w:lineRule="auto"/>
              <w:jc w:val="right"/>
              <w:outlineLvl w:val="0"/>
              <w:rPr>
                <w:rFonts w:eastAsia="Times New Roman" w:cs="Arial"/>
                <w:sz w:val="17"/>
                <w:szCs w:val="17"/>
              </w:rPr>
            </w:pPr>
            <w:r w:rsidRPr="00F75302">
              <w:rPr>
                <w:rFonts w:eastAsia="Times New Roman" w:cs="Arial"/>
                <w:sz w:val="17"/>
                <w:szCs w:val="17"/>
              </w:rPr>
              <w:t>-</w:t>
            </w:r>
          </w:p>
        </w:tc>
      </w:tr>
      <w:tr w:rsidR="001F3BBA" w:rsidRPr="00F75302" w14:paraId="66D8290A" w14:textId="77777777" w:rsidTr="000E5941">
        <w:trPr>
          <w:trHeight w:val="216"/>
          <w:jc w:val="center"/>
        </w:trPr>
        <w:tc>
          <w:tcPr>
            <w:tcW w:w="3686" w:type="dxa"/>
            <w:vAlign w:val="bottom"/>
          </w:tcPr>
          <w:p w14:paraId="472548C9" w14:textId="77777777" w:rsidR="001F3BBA" w:rsidRPr="00F75302" w:rsidRDefault="001F3BBA" w:rsidP="001F3BBA">
            <w:pPr>
              <w:tabs>
                <w:tab w:val="right" w:pos="1202"/>
              </w:tabs>
              <w:spacing w:after="0" w:line="240" w:lineRule="auto"/>
              <w:outlineLvl w:val="0"/>
              <w:rPr>
                <w:rFonts w:eastAsia="Times New Roman" w:cs="Arial"/>
                <w:sz w:val="17"/>
                <w:szCs w:val="17"/>
              </w:rPr>
            </w:pPr>
            <w:r w:rsidRPr="00F75302">
              <w:rPr>
                <w:rFonts w:eastAsia="Times New Roman" w:cs="Arial"/>
                <w:sz w:val="17"/>
                <w:szCs w:val="17"/>
              </w:rPr>
              <w:t>Dionice inozemnih financijskih institucija – EIF</w:t>
            </w:r>
          </w:p>
        </w:tc>
        <w:tc>
          <w:tcPr>
            <w:tcW w:w="1072" w:type="dxa"/>
            <w:tcBorders>
              <w:top w:val="nil"/>
              <w:left w:val="nil"/>
              <w:bottom w:val="nil"/>
              <w:right w:val="nil"/>
            </w:tcBorders>
            <w:shd w:val="clear" w:color="auto" w:fill="auto"/>
          </w:tcPr>
          <w:p w14:paraId="7C661DEF" w14:textId="177C136E" w:rsidR="001F3BBA" w:rsidRPr="00F75302" w:rsidRDefault="001F3BBA" w:rsidP="001F3BBA">
            <w:pPr>
              <w:tabs>
                <w:tab w:val="right" w:pos="1202"/>
              </w:tabs>
              <w:spacing w:after="0" w:line="240" w:lineRule="auto"/>
              <w:jc w:val="right"/>
              <w:outlineLvl w:val="0"/>
              <w:rPr>
                <w:rFonts w:eastAsia="Times New Roman" w:cs="Arial"/>
                <w:sz w:val="17"/>
                <w:szCs w:val="17"/>
              </w:rPr>
            </w:pPr>
            <w:r w:rsidRPr="000E5941">
              <w:rPr>
                <w:rFonts w:eastAsia="Times New Roman" w:cs="Arial"/>
                <w:sz w:val="17"/>
                <w:szCs w:val="17"/>
              </w:rPr>
              <w:t>-</w:t>
            </w:r>
          </w:p>
        </w:tc>
        <w:tc>
          <w:tcPr>
            <w:tcW w:w="1072" w:type="dxa"/>
            <w:tcBorders>
              <w:top w:val="nil"/>
              <w:left w:val="nil"/>
              <w:bottom w:val="nil"/>
              <w:right w:val="nil"/>
            </w:tcBorders>
            <w:shd w:val="clear" w:color="auto" w:fill="auto"/>
          </w:tcPr>
          <w:p w14:paraId="74974EA2" w14:textId="00E3485F" w:rsidR="001F3BBA" w:rsidRPr="000E5941" w:rsidRDefault="00143790" w:rsidP="001F3BBA">
            <w:pPr>
              <w:tabs>
                <w:tab w:val="right" w:pos="1202"/>
              </w:tabs>
              <w:spacing w:after="0" w:line="240" w:lineRule="auto"/>
              <w:jc w:val="right"/>
              <w:outlineLvl w:val="0"/>
              <w:rPr>
                <w:rFonts w:ascii="Calibri" w:hAnsi="Calibri"/>
                <w:color w:val="000000"/>
                <w:sz w:val="17"/>
                <w:szCs w:val="17"/>
              </w:rPr>
            </w:pPr>
            <w:r>
              <w:rPr>
                <w:rFonts w:ascii="Calibri" w:hAnsi="Calibri"/>
                <w:color w:val="000000"/>
                <w:sz w:val="17"/>
                <w:szCs w:val="17"/>
              </w:rPr>
              <w:t>25.065</w:t>
            </w:r>
          </w:p>
        </w:tc>
        <w:tc>
          <w:tcPr>
            <w:tcW w:w="1072" w:type="dxa"/>
            <w:tcBorders>
              <w:top w:val="nil"/>
              <w:left w:val="nil"/>
              <w:bottom w:val="nil"/>
              <w:right w:val="nil"/>
            </w:tcBorders>
            <w:shd w:val="clear" w:color="auto" w:fill="auto"/>
          </w:tcPr>
          <w:p w14:paraId="6BB0A3F2" w14:textId="60BD6D2C" w:rsidR="001F3BBA" w:rsidRPr="00F75302" w:rsidRDefault="001F3BBA" w:rsidP="001F3BBA">
            <w:pPr>
              <w:tabs>
                <w:tab w:val="right" w:pos="1202"/>
              </w:tabs>
              <w:spacing w:after="0" w:line="240" w:lineRule="auto"/>
              <w:jc w:val="right"/>
              <w:outlineLvl w:val="0"/>
              <w:rPr>
                <w:rFonts w:eastAsia="Times New Roman" w:cs="Arial"/>
                <w:sz w:val="17"/>
                <w:szCs w:val="17"/>
              </w:rPr>
            </w:pPr>
            <w:r w:rsidRPr="000E5941">
              <w:rPr>
                <w:rFonts w:eastAsia="Times New Roman" w:cs="Arial"/>
                <w:sz w:val="17"/>
                <w:szCs w:val="17"/>
              </w:rPr>
              <w:t>-</w:t>
            </w:r>
          </w:p>
        </w:tc>
        <w:tc>
          <w:tcPr>
            <w:tcW w:w="1072" w:type="dxa"/>
            <w:vAlign w:val="bottom"/>
          </w:tcPr>
          <w:p w14:paraId="728E67EF" w14:textId="77777777" w:rsidR="001F3BBA" w:rsidRPr="00F75302" w:rsidRDefault="001F3BBA" w:rsidP="001F3BBA">
            <w:pPr>
              <w:tabs>
                <w:tab w:val="right" w:pos="1202"/>
              </w:tabs>
              <w:spacing w:after="0" w:line="240" w:lineRule="auto"/>
              <w:jc w:val="right"/>
              <w:outlineLvl w:val="0"/>
              <w:rPr>
                <w:rFonts w:eastAsia="Times New Roman" w:cs="Arial"/>
                <w:sz w:val="17"/>
                <w:szCs w:val="17"/>
              </w:rPr>
            </w:pPr>
            <w:r w:rsidRPr="00F75302">
              <w:rPr>
                <w:rFonts w:eastAsia="Times New Roman" w:cs="Arial"/>
                <w:sz w:val="17"/>
                <w:szCs w:val="17"/>
              </w:rPr>
              <w:t>-</w:t>
            </w:r>
          </w:p>
        </w:tc>
        <w:tc>
          <w:tcPr>
            <w:tcW w:w="1072" w:type="dxa"/>
            <w:tcBorders>
              <w:top w:val="nil"/>
              <w:left w:val="nil"/>
              <w:bottom w:val="nil"/>
              <w:right w:val="nil"/>
            </w:tcBorders>
            <w:shd w:val="clear" w:color="auto" w:fill="auto"/>
            <w:vAlign w:val="center"/>
          </w:tcPr>
          <w:p w14:paraId="5C3620C0" w14:textId="63CB3F61" w:rsidR="001F3BBA" w:rsidRPr="00F75302" w:rsidRDefault="001F3BBA" w:rsidP="001F3BBA">
            <w:pPr>
              <w:tabs>
                <w:tab w:val="right" w:pos="1202"/>
              </w:tabs>
              <w:spacing w:after="0" w:line="240" w:lineRule="auto"/>
              <w:jc w:val="right"/>
              <w:outlineLvl w:val="0"/>
              <w:rPr>
                <w:rFonts w:eastAsia="Times New Roman" w:cs="Arial"/>
                <w:sz w:val="17"/>
                <w:szCs w:val="17"/>
              </w:rPr>
            </w:pPr>
            <w:r w:rsidRPr="002A3E38">
              <w:rPr>
                <w:rFonts w:ascii="Calibri" w:hAnsi="Calibri"/>
                <w:color w:val="000000"/>
                <w:sz w:val="17"/>
                <w:szCs w:val="17"/>
              </w:rPr>
              <w:t>25.815</w:t>
            </w:r>
          </w:p>
        </w:tc>
        <w:tc>
          <w:tcPr>
            <w:tcW w:w="1073" w:type="dxa"/>
            <w:vAlign w:val="bottom"/>
          </w:tcPr>
          <w:p w14:paraId="2393595E" w14:textId="77777777" w:rsidR="001F3BBA" w:rsidRPr="00F75302" w:rsidRDefault="001F3BBA" w:rsidP="001F3BBA">
            <w:pPr>
              <w:tabs>
                <w:tab w:val="right" w:pos="1202"/>
              </w:tabs>
              <w:spacing w:after="0" w:line="240" w:lineRule="auto"/>
              <w:jc w:val="right"/>
              <w:outlineLvl w:val="0"/>
              <w:rPr>
                <w:rFonts w:eastAsia="Times New Roman" w:cs="Arial"/>
                <w:sz w:val="17"/>
                <w:szCs w:val="17"/>
              </w:rPr>
            </w:pPr>
            <w:r w:rsidRPr="00F75302">
              <w:rPr>
                <w:rFonts w:eastAsia="Times New Roman" w:cs="Arial"/>
                <w:sz w:val="17"/>
                <w:szCs w:val="17"/>
              </w:rPr>
              <w:t>-</w:t>
            </w:r>
          </w:p>
        </w:tc>
      </w:tr>
      <w:tr w:rsidR="001F3BBA" w:rsidRPr="00F75302" w14:paraId="3C7EA451" w14:textId="77777777" w:rsidTr="000E5941">
        <w:trPr>
          <w:trHeight w:val="216"/>
          <w:jc w:val="center"/>
        </w:trPr>
        <w:tc>
          <w:tcPr>
            <w:tcW w:w="3686" w:type="dxa"/>
            <w:vAlign w:val="bottom"/>
          </w:tcPr>
          <w:p w14:paraId="0DAB3FD3" w14:textId="77777777" w:rsidR="001F3BBA" w:rsidRPr="00F75302" w:rsidRDefault="001F3BBA" w:rsidP="001F3BBA">
            <w:pPr>
              <w:tabs>
                <w:tab w:val="right" w:pos="1202"/>
              </w:tabs>
              <w:spacing w:after="0" w:line="240" w:lineRule="auto"/>
              <w:outlineLvl w:val="0"/>
              <w:rPr>
                <w:rFonts w:eastAsia="Times New Roman" w:cs="Arial"/>
                <w:spacing w:val="-2"/>
                <w:sz w:val="17"/>
                <w:szCs w:val="17"/>
              </w:rPr>
            </w:pPr>
            <w:r w:rsidRPr="00F75302">
              <w:rPr>
                <w:rFonts w:eastAsia="Times New Roman" w:cs="Arial"/>
                <w:spacing w:val="-2"/>
                <w:sz w:val="17"/>
                <w:szCs w:val="17"/>
              </w:rPr>
              <w:t>Dionice trgovačkih društava</w:t>
            </w:r>
          </w:p>
        </w:tc>
        <w:tc>
          <w:tcPr>
            <w:tcW w:w="1072" w:type="dxa"/>
            <w:tcBorders>
              <w:top w:val="nil"/>
              <w:left w:val="nil"/>
              <w:bottom w:val="nil"/>
              <w:right w:val="nil"/>
            </w:tcBorders>
            <w:shd w:val="clear" w:color="auto" w:fill="auto"/>
          </w:tcPr>
          <w:p w14:paraId="7DBC374C" w14:textId="0E02244D" w:rsidR="001F3BBA" w:rsidRPr="00F75302" w:rsidRDefault="001F3BBA" w:rsidP="001F3BBA">
            <w:pPr>
              <w:tabs>
                <w:tab w:val="right" w:pos="1202"/>
              </w:tabs>
              <w:spacing w:after="0" w:line="240" w:lineRule="auto"/>
              <w:jc w:val="right"/>
              <w:outlineLvl w:val="0"/>
              <w:rPr>
                <w:rFonts w:eastAsia="Times New Roman" w:cs="Arial"/>
                <w:sz w:val="17"/>
                <w:szCs w:val="17"/>
              </w:rPr>
            </w:pPr>
            <w:r w:rsidRPr="000E5941">
              <w:rPr>
                <w:rFonts w:eastAsia="Times New Roman" w:cs="Arial"/>
                <w:sz w:val="17"/>
                <w:szCs w:val="17"/>
              </w:rPr>
              <w:t>-</w:t>
            </w:r>
          </w:p>
        </w:tc>
        <w:tc>
          <w:tcPr>
            <w:tcW w:w="1072" w:type="dxa"/>
            <w:tcBorders>
              <w:top w:val="nil"/>
              <w:left w:val="nil"/>
              <w:bottom w:val="nil"/>
              <w:right w:val="nil"/>
            </w:tcBorders>
            <w:shd w:val="clear" w:color="auto" w:fill="auto"/>
            <w:vAlign w:val="bottom"/>
          </w:tcPr>
          <w:p w14:paraId="38A260E9" w14:textId="2984454F" w:rsidR="001F3BBA" w:rsidRPr="00F75302" w:rsidRDefault="00234B5B" w:rsidP="001F3BBA">
            <w:pPr>
              <w:tabs>
                <w:tab w:val="right" w:pos="1202"/>
              </w:tabs>
              <w:spacing w:after="0" w:line="240" w:lineRule="auto"/>
              <w:jc w:val="right"/>
              <w:outlineLvl w:val="0"/>
              <w:rPr>
                <w:rFonts w:eastAsia="Times New Roman" w:cs="Arial"/>
                <w:sz w:val="17"/>
                <w:szCs w:val="17"/>
              </w:rPr>
            </w:pPr>
            <w:r>
              <w:rPr>
                <w:rFonts w:eastAsia="Times New Roman" w:cs="Arial"/>
                <w:sz w:val="17"/>
                <w:szCs w:val="17"/>
              </w:rPr>
              <w:t>-</w:t>
            </w:r>
          </w:p>
        </w:tc>
        <w:tc>
          <w:tcPr>
            <w:tcW w:w="1072" w:type="dxa"/>
            <w:tcBorders>
              <w:top w:val="nil"/>
              <w:left w:val="nil"/>
              <w:bottom w:val="nil"/>
              <w:right w:val="nil"/>
            </w:tcBorders>
            <w:shd w:val="clear" w:color="auto" w:fill="auto"/>
          </w:tcPr>
          <w:p w14:paraId="486C9FB0" w14:textId="5E120FC4" w:rsidR="001F3BBA" w:rsidRPr="00F75302" w:rsidRDefault="001F3BBA" w:rsidP="001F3BBA">
            <w:pPr>
              <w:tabs>
                <w:tab w:val="right" w:pos="1202"/>
              </w:tabs>
              <w:spacing w:after="0" w:line="240" w:lineRule="auto"/>
              <w:jc w:val="right"/>
              <w:outlineLvl w:val="0"/>
              <w:rPr>
                <w:rFonts w:eastAsia="Times New Roman" w:cs="Arial"/>
                <w:sz w:val="17"/>
                <w:szCs w:val="17"/>
              </w:rPr>
            </w:pPr>
            <w:r w:rsidRPr="000E5941">
              <w:rPr>
                <w:rFonts w:eastAsia="Times New Roman" w:cs="Arial"/>
                <w:sz w:val="17"/>
                <w:szCs w:val="17"/>
              </w:rPr>
              <w:t>-</w:t>
            </w:r>
          </w:p>
        </w:tc>
        <w:tc>
          <w:tcPr>
            <w:tcW w:w="1072" w:type="dxa"/>
            <w:vAlign w:val="bottom"/>
          </w:tcPr>
          <w:p w14:paraId="0A370300" w14:textId="77777777" w:rsidR="001F3BBA" w:rsidRPr="00F75302" w:rsidRDefault="001F3BBA" w:rsidP="001F3BBA">
            <w:pPr>
              <w:tabs>
                <w:tab w:val="right" w:pos="1202"/>
              </w:tabs>
              <w:spacing w:after="0" w:line="240" w:lineRule="auto"/>
              <w:jc w:val="right"/>
              <w:outlineLvl w:val="0"/>
              <w:rPr>
                <w:rFonts w:eastAsia="Times New Roman" w:cs="Arial"/>
                <w:sz w:val="17"/>
                <w:szCs w:val="17"/>
              </w:rPr>
            </w:pPr>
            <w:r w:rsidRPr="00F75302">
              <w:rPr>
                <w:rFonts w:eastAsia="Times New Roman" w:cs="Arial"/>
                <w:sz w:val="17"/>
                <w:szCs w:val="17"/>
              </w:rPr>
              <w:t>-</w:t>
            </w:r>
          </w:p>
        </w:tc>
        <w:tc>
          <w:tcPr>
            <w:tcW w:w="1072" w:type="dxa"/>
            <w:vAlign w:val="bottom"/>
          </w:tcPr>
          <w:p w14:paraId="7B7AC53A" w14:textId="77777777" w:rsidR="001F3BBA" w:rsidRPr="00F75302" w:rsidRDefault="001F3BBA" w:rsidP="001F3BBA">
            <w:pPr>
              <w:tabs>
                <w:tab w:val="right" w:pos="1202"/>
              </w:tabs>
              <w:spacing w:after="0" w:line="240" w:lineRule="auto"/>
              <w:jc w:val="right"/>
              <w:outlineLvl w:val="0"/>
              <w:rPr>
                <w:rFonts w:eastAsia="Times New Roman" w:cs="Arial"/>
                <w:sz w:val="17"/>
                <w:szCs w:val="17"/>
              </w:rPr>
            </w:pPr>
            <w:r w:rsidRPr="00F75302">
              <w:rPr>
                <w:rFonts w:eastAsia="Times New Roman" w:cs="Arial"/>
                <w:sz w:val="17"/>
                <w:szCs w:val="17"/>
              </w:rPr>
              <w:t>-</w:t>
            </w:r>
          </w:p>
        </w:tc>
        <w:tc>
          <w:tcPr>
            <w:tcW w:w="1073" w:type="dxa"/>
            <w:vAlign w:val="bottom"/>
          </w:tcPr>
          <w:p w14:paraId="2FED450C" w14:textId="77777777" w:rsidR="001F3BBA" w:rsidRPr="00F75302" w:rsidRDefault="001F3BBA" w:rsidP="001F3BBA">
            <w:pPr>
              <w:tabs>
                <w:tab w:val="right" w:pos="1202"/>
              </w:tabs>
              <w:spacing w:after="0" w:line="240" w:lineRule="auto"/>
              <w:jc w:val="right"/>
              <w:outlineLvl w:val="0"/>
              <w:rPr>
                <w:rFonts w:eastAsia="Times New Roman" w:cs="Arial"/>
                <w:sz w:val="17"/>
                <w:szCs w:val="17"/>
              </w:rPr>
            </w:pPr>
            <w:r w:rsidRPr="00F75302">
              <w:rPr>
                <w:rFonts w:eastAsia="Times New Roman" w:cs="Arial"/>
                <w:sz w:val="17"/>
                <w:szCs w:val="17"/>
              </w:rPr>
              <w:t>-</w:t>
            </w:r>
          </w:p>
        </w:tc>
      </w:tr>
      <w:tr w:rsidR="009E2A3F" w:rsidRPr="00F75302" w14:paraId="3B1BFCB2" w14:textId="77777777" w:rsidTr="009E2A3F">
        <w:trPr>
          <w:trHeight w:hRule="exact" w:val="284"/>
          <w:jc w:val="center"/>
        </w:trPr>
        <w:tc>
          <w:tcPr>
            <w:tcW w:w="3686" w:type="dxa"/>
            <w:vAlign w:val="bottom"/>
          </w:tcPr>
          <w:p w14:paraId="617291CA" w14:textId="77777777" w:rsidR="009E2A3F" w:rsidRPr="00F75302" w:rsidRDefault="009E2A3F" w:rsidP="009E2A3F">
            <w:pPr>
              <w:tabs>
                <w:tab w:val="right" w:pos="1202"/>
              </w:tabs>
              <w:spacing w:after="0" w:line="240" w:lineRule="auto"/>
              <w:outlineLvl w:val="0"/>
              <w:rPr>
                <w:rFonts w:eastAsia="Times New Roman" w:cs="Arial"/>
                <w:b/>
                <w:sz w:val="17"/>
                <w:szCs w:val="17"/>
              </w:rPr>
            </w:pPr>
            <w:r w:rsidRPr="00F75302">
              <w:rPr>
                <w:rFonts w:eastAsia="Times New Roman" w:cs="Arial"/>
                <w:b/>
                <w:sz w:val="17"/>
                <w:szCs w:val="17"/>
              </w:rPr>
              <w:t>Ukupno vlasnički vrijednosni papiri</w:t>
            </w:r>
          </w:p>
        </w:tc>
        <w:tc>
          <w:tcPr>
            <w:tcW w:w="1072" w:type="dxa"/>
            <w:tcBorders>
              <w:top w:val="single" w:sz="4" w:space="0" w:color="auto"/>
              <w:left w:val="nil"/>
              <w:bottom w:val="single" w:sz="8" w:space="0" w:color="auto"/>
              <w:right w:val="nil"/>
            </w:tcBorders>
            <w:shd w:val="clear" w:color="auto" w:fill="auto"/>
            <w:vAlign w:val="bottom"/>
          </w:tcPr>
          <w:p w14:paraId="034FCE79" w14:textId="2A5C0FAC" w:rsidR="009E2A3F" w:rsidRPr="00F75302" w:rsidRDefault="00234B5B"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10.938</w:t>
            </w:r>
          </w:p>
        </w:tc>
        <w:tc>
          <w:tcPr>
            <w:tcW w:w="1072" w:type="dxa"/>
            <w:tcBorders>
              <w:top w:val="single" w:sz="4" w:space="0" w:color="auto"/>
              <w:left w:val="nil"/>
              <w:bottom w:val="single" w:sz="8" w:space="0" w:color="auto"/>
              <w:right w:val="nil"/>
            </w:tcBorders>
            <w:shd w:val="clear" w:color="auto" w:fill="auto"/>
            <w:vAlign w:val="bottom"/>
          </w:tcPr>
          <w:p w14:paraId="27B0B480" w14:textId="28D204F1" w:rsidR="009E2A3F" w:rsidRPr="00F75302" w:rsidRDefault="00234B5B"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25.258</w:t>
            </w:r>
          </w:p>
        </w:tc>
        <w:tc>
          <w:tcPr>
            <w:tcW w:w="1072" w:type="dxa"/>
            <w:tcBorders>
              <w:top w:val="single" w:sz="4" w:space="0" w:color="auto"/>
              <w:left w:val="nil"/>
              <w:bottom w:val="single" w:sz="8" w:space="0" w:color="auto"/>
              <w:right w:val="nil"/>
            </w:tcBorders>
            <w:shd w:val="clear" w:color="auto" w:fill="auto"/>
            <w:vAlign w:val="bottom"/>
          </w:tcPr>
          <w:p w14:paraId="4109635A" w14:textId="09947ECD" w:rsidR="009E2A3F" w:rsidRPr="00F75302" w:rsidRDefault="00CC2AD1"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w:t>
            </w:r>
          </w:p>
        </w:tc>
        <w:tc>
          <w:tcPr>
            <w:tcW w:w="1072" w:type="dxa"/>
            <w:tcBorders>
              <w:top w:val="single" w:sz="4" w:space="0" w:color="auto"/>
              <w:left w:val="nil"/>
              <w:bottom w:val="single" w:sz="8" w:space="0" w:color="auto"/>
              <w:right w:val="nil"/>
            </w:tcBorders>
            <w:shd w:val="clear" w:color="auto" w:fill="auto"/>
            <w:vAlign w:val="bottom"/>
          </w:tcPr>
          <w:p w14:paraId="20353DCD" w14:textId="41FAD6AE" w:rsidR="009E2A3F" w:rsidRPr="00F75302" w:rsidRDefault="009E2A3F" w:rsidP="009E2A3F">
            <w:pPr>
              <w:tabs>
                <w:tab w:val="right" w:pos="1202"/>
              </w:tabs>
              <w:spacing w:after="0" w:line="240" w:lineRule="auto"/>
              <w:jc w:val="right"/>
              <w:outlineLvl w:val="0"/>
              <w:rPr>
                <w:rFonts w:eastAsia="Times New Roman" w:cs="Arial"/>
                <w:b/>
                <w:sz w:val="17"/>
                <w:szCs w:val="17"/>
              </w:rPr>
            </w:pPr>
            <w:r w:rsidRPr="002A3E38">
              <w:rPr>
                <w:rFonts w:ascii="Calibri" w:hAnsi="Calibri" w:cs="Arial"/>
                <w:b/>
                <w:sz w:val="17"/>
                <w:szCs w:val="17"/>
              </w:rPr>
              <w:t>10.938</w:t>
            </w:r>
          </w:p>
        </w:tc>
        <w:tc>
          <w:tcPr>
            <w:tcW w:w="1072" w:type="dxa"/>
            <w:tcBorders>
              <w:top w:val="single" w:sz="4" w:space="0" w:color="auto"/>
              <w:left w:val="nil"/>
              <w:bottom w:val="single" w:sz="8" w:space="0" w:color="auto"/>
              <w:right w:val="nil"/>
            </w:tcBorders>
            <w:shd w:val="clear" w:color="auto" w:fill="auto"/>
            <w:vAlign w:val="bottom"/>
          </w:tcPr>
          <w:p w14:paraId="3590AD9A" w14:textId="66486F4A" w:rsidR="009E2A3F" w:rsidRPr="00F75302" w:rsidRDefault="009E2A3F" w:rsidP="009E2A3F">
            <w:pPr>
              <w:tabs>
                <w:tab w:val="right" w:pos="1202"/>
              </w:tabs>
              <w:spacing w:after="0" w:line="240" w:lineRule="auto"/>
              <w:jc w:val="right"/>
              <w:outlineLvl w:val="0"/>
              <w:rPr>
                <w:rFonts w:eastAsia="Times New Roman" w:cs="Arial"/>
                <w:b/>
                <w:sz w:val="17"/>
                <w:szCs w:val="17"/>
              </w:rPr>
            </w:pPr>
            <w:r w:rsidRPr="002A3E38">
              <w:rPr>
                <w:rFonts w:ascii="Calibri" w:hAnsi="Calibri" w:cs="Arial"/>
                <w:b/>
                <w:sz w:val="17"/>
                <w:szCs w:val="17"/>
              </w:rPr>
              <w:t>26.008</w:t>
            </w:r>
          </w:p>
        </w:tc>
        <w:tc>
          <w:tcPr>
            <w:tcW w:w="1073" w:type="dxa"/>
            <w:tcBorders>
              <w:top w:val="single" w:sz="4" w:space="0" w:color="auto"/>
              <w:left w:val="nil"/>
              <w:bottom w:val="single" w:sz="8" w:space="0" w:color="auto"/>
              <w:right w:val="nil"/>
            </w:tcBorders>
            <w:shd w:val="clear" w:color="auto" w:fill="auto"/>
            <w:vAlign w:val="bottom"/>
          </w:tcPr>
          <w:p w14:paraId="0A60B568" w14:textId="1F4EE834" w:rsidR="009E2A3F" w:rsidRPr="00F75302" w:rsidRDefault="009E2A3F" w:rsidP="009E2A3F">
            <w:pPr>
              <w:tabs>
                <w:tab w:val="right" w:pos="1202"/>
              </w:tabs>
              <w:spacing w:after="0" w:line="240" w:lineRule="auto"/>
              <w:jc w:val="right"/>
              <w:outlineLvl w:val="0"/>
              <w:rPr>
                <w:rFonts w:eastAsia="Times New Roman" w:cs="Arial"/>
                <w:b/>
                <w:sz w:val="17"/>
                <w:szCs w:val="17"/>
              </w:rPr>
            </w:pPr>
            <w:r>
              <w:rPr>
                <w:rFonts w:ascii="Calibri" w:hAnsi="Calibri" w:cs="Arial"/>
                <w:b/>
                <w:sz w:val="17"/>
                <w:szCs w:val="17"/>
              </w:rPr>
              <w:t>-</w:t>
            </w:r>
          </w:p>
        </w:tc>
      </w:tr>
      <w:tr w:rsidR="00F75302" w:rsidRPr="00F75302" w14:paraId="1F3945E5" w14:textId="77777777" w:rsidTr="00F75302">
        <w:trPr>
          <w:trHeight w:hRule="exact" w:val="351"/>
          <w:jc w:val="center"/>
        </w:trPr>
        <w:tc>
          <w:tcPr>
            <w:tcW w:w="3686" w:type="dxa"/>
            <w:vAlign w:val="bottom"/>
          </w:tcPr>
          <w:p w14:paraId="3BBA0F0F" w14:textId="77777777" w:rsidR="00F75302" w:rsidRPr="00F75302" w:rsidRDefault="00F75302" w:rsidP="00F75302">
            <w:pPr>
              <w:tabs>
                <w:tab w:val="right" w:pos="1202"/>
              </w:tabs>
              <w:spacing w:after="0" w:line="240" w:lineRule="auto"/>
              <w:outlineLvl w:val="0"/>
              <w:rPr>
                <w:rFonts w:eastAsia="Times New Roman" w:cs="Arial"/>
                <w:b/>
                <w:sz w:val="17"/>
                <w:szCs w:val="17"/>
              </w:rPr>
            </w:pPr>
            <w:r w:rsidRPr="00F75302">
              <w:rPr>
                <w:rFonts w:eastAsia="Times New Roman" w:cs="Arial"/>
                <w:b/>
                <w:sz w:val="17"/>
                <w:szCs w:val="17"/>
              </w:rPr>
              <w:t>Ulaganja u investicijske fondove:</w:t>
            </w:r>
          </w:p>
        </w:tc>
        <w:tc>
          <w:tcPr>
            <w:tcW w:w="1072" w:type="dxa"/>
            <w:tcBorders>
              <w:top w:val="single" w:sz="12" w:space="0" w:color="auto"/>
            </w:tcBorders>
            <w:vAlign w:val="bottom"/>
          </w:tcPr>
          <w:p w14:paraId="6BE0767B" w14:textId="77777777" w:rsidR="00F75302" w:rsidRPr="00F75302" w:rsidRDefault="00F75302" w:rsidP="00F75302">
            <w:pPr>
              <w:tabs>
                <w:tab w:val="right" w:pos="1202"/>
              </w:tabs>
              <w:spacing w:after="0" w:line="240" w:lineRule="auto"/>
              <w:jc w:val="right"/>
              <w:outlineLvl w:val="0"/>
              <w:rPr>
                <w:rFonts w:eastAsia="Times New Roman" w:cs="Arial"/>
                <w:b/>
                <w:sz w:val="17"/>
                <w:szCs w:val="17"/>
              </w:rPr>
            </w:pPr>
          </w:p>
        </w:tc>
        <w:tc>
          <w:tcPr>
            <w:tcW w:w="1072" w:type="dxa"/>
            <w:tcBorders>
              <w:top w:val="single" w:sz="12" w:space="0" w:color="auto"/>
            </w:tcBorders>
            <w:vAlign w:val="bottom"/>
          </w:tcPr>
          <w:p w14:paraId="1D2E4A31" w14:textId="77777777" w:rsidR="00F75302" w:rsidRPr="00F75302" w:rsidRDefault="00F75302" w:rsidP="00F75302">
            <w:pPr>
              <w:tabs>
                <w:tab w:val="right" w:pos="1202"/>
              </w:tabs>
              <w:spacing w:after="0" w:line="240" w:lineRule="auto"/>
              <w:jc w:val="right"/>
              <w:outlineLvl w:val="0"/>
              <w:rPr>
                <w:rFonts w:eastAsia="Times New Roman" w:cs="Arial"/>
                <w:b/>
                <w:sz w:val="17"/>
                <w:szCs w:val="17"/>
              </w:rPr>
            </w:pPr>
          </w:p>
        </w:tc>
        <w:tc>
          <w:tcPr>
            <w:tcW w:w="1072" w:type="dxa"/>
            <w:tcBorders>
              <w:top w:val="single" w:sz="12" w:space="0" w:color="auto"/>
            </w:tcBorders>
            <w:vAlign w:val="bottom"/>
          </w:tcPr>
          <w:p w14:paraId="13E0F6DF" w14:textId="77777777" w:rsidR="00F75302" w:rsidRPr="00F75302" w:rsidRDefault="00F75302" w:rsidP="00F75302">
            <w:pPr>
              <w:tabs>
                <w:tab w:val="right" w:pos="1202"/>
              </w:tabs>
              <w:spacing w:after="0" w:line="240" w:lineRule="auto"/>
              <w:jc w:val="right"/>
              <w:outlineLvl w:val="0"/>
              <w:rPr>
                <w:rFonts w:eastAsia="Times New Roman" w:cs="Arial"/>
                <w:b/>
                <w:sz w:val="17"/>
                <w:szCs w:val="17"/>
              </w:rPr>
            </w:pPr>
          </w:p>
        </w:tc>
        <w:tc>
          <w:tcPr>
            <w:tcW w:w="1072" w:type="dxa"/>
            <w:tcBorders>
              <w:top w:val="single" w:sz="12" w:space="0" w:color="auto"/>
            </w:tcBorders>
            <w:vAlign w:val="bottom"/>
          </w:tcPr>
          <w:p w14:paraId="386B7DE9" w14:textId="77777777" w:rsidR="00F75302" w:rsidRPr="00F75302" w:rsidRDefault="00F75302" w:rsidP="00F75302">
            <w:pPr>
              <w:tabs>
                <w:tab w:val="right" w:pos="1202"/>
              </w:tabs>
              <w:spacing w:after="0" w:line="240" w:lineRule="auto"/>
              <w:jc w:val="right"/>
              <w:outlineLvl w:val="0"/>
              <w:rPr>
                <w:rFonts w:eastAsia="Times New Roman" w:cs="Arial"/>
                <w:b/>
                <w:sz w:val="17"/>
                <w:szCs w:val="17"/>
              </w:rPr>
            </w:pPr>
          </w:p>
        </w:tc>
        <w:tc>
          <w:tcPr>
            <w:tcW w:w="1072" w:type="dxa"/>
            <w:tcBorders>
              <w:top w:val="single" w:sz="12" w:space="0" w:color="auto"/>
            </w:tcBorders>
            <w:vAlign w:val="bottom"/>
          </w:tcPr>
          <w:p w14:paraId="0ECA36A1" w14:textId="77777777" w:rsidR="00F75302" w:rsidRPr="00F75302" w:rsidRDefault="00F75302" w:rsidP="00F75302">
            <w:pPr>
              <w:tabs>
                <w:tab w:val="right" w:pos="1202"/>
              </w:tabs>
              <w:spacing w:after="0" w:line="240" w:lineRule="auto"/>
              <w:jc w:val="right"/>
              <w:outlineLvl w:val="0"/>
              <w:rPr>
                <w:rFonts w:eastAsia="Times New Roman" w:cs="Arial"/>
                <w:b/>
                <w:sz w:val="17"/>
                <w:szCs w:val="17"/>
              </w:rPr>
            </w:pPr>
          </w:p>
        </w:tc>
        <w:tc>
          <w:tcPr>
            <w:tcW w:w="1073" w:type="dxa"/>
            <w:tcBorders>
              <w:top w:val="single" w:sz="12" w:space="0" w:color="auto"/>
            </w:tcBorders>
            <w:vAlign w:val="bottom"/>
          </w:tcPr>
          <w:p w14:paraId="7E9E6FF0" w14:textId="77777777" w:rsidR="00F75302" w:rsidRPr="00F75302" w:rsidRDefault="00F75302" w:rsidP="00F75302">
            <w:pPr>
              <w:tabs>
                <w:tab w:val="right" w:pos="1202"/>
              </w:tabs>
              <w:spacing w:after="0" w:line="240" w:lineRule="auto"/>
              <w:jc w:val="right"/>
              <w:outlineLvl w:val="0"/>
              <w:rPr>
                <w:rFonts w:eastAsia="Times New Roman" w:cs="Arial"/>
                <w:b/>
                <w:sz w:val="17"/>
                <w:szCs w:val="17"/>
              </w:rPr>
            </w:pPr>
          </w:p>
        </w:tc>
      </w:tr>
      <w:tr w:rsidR="009E2A3F" w:rsidRPr="00F75302" w14:paraId="74F7AE12" w14:textId="77777777" w:rsidTr="009E2A3F">
        <w:trPr>
          <w:trHeight w:hRule="exact" w:val="494"/>
          <w:jc w:val="center"/>
        </w:trPr>
        <w:tc>
          <w:tcPr>
            <w:tcW w:w="3686" w:type="dxa"/>
            <w:vAlign w:val="bottom"/>
          </w:tcPr>
          <w:p w14:paraId="733B37D5" w14:textId="77777777" w:rsidR="009E2A3F" w:rsidRPr="00F75302" w:rsidRDefault="009E2A3F" w:rsidP="009E2A3F">
            <w:pPr>
              <w:tabs>
                <w:tab w:val="right" w:pos="1202"/>
              </w:tabs>
              <w:spacing w:after="0" w:line="240" w:lineRule="auto"/>
              <w:outlineLvl w:val="0"/>
              <w:rPr>
                <w:rFonts w:eastAsia="Times New Roman" w:cs="Arial"/>
                <w:b/>
                <w:i/>
                <w:sz w:val="17"/>
                <w:szCs w:val="17"/>
              </w:rPr>
            </w:pPr>
            <w:r w:rsidRPr="00F75302">
              <w:rPr>
                <w:rFonts w:eastAsia="Times New Roman" w:cs="Arial"/>
                <w:sz w:val="17"/>
                <w:szCs w:val="17"/>
              </w:rPr>
              <w:t>Udjeli  raspoređeni u imovinu raspoloživu za prodaju</w:t>
            </w:r>
          </w:p>
        </w:tc>
        <w:tc>
          <w:tcPr>
            <w:tcW w:w="1072" w:type="dxa"/>
            <w:tcBorders>
              <w:top w:val="nil"/>
              <w:left w:val="nil"/>
              <w:bottom w:val="single" w:sz="4" w:space="0" w:color="auto"/>
              <w:right w:val="nil"/>
            </w:tcBorders>
            <w:shd w:val="clear" w:color="auto" w:fill="auto"/>
            <w:vAlign w:val="bottom"/>
          </w:tcPr>
          <w:p w14:paraId="41D9D7D2" w14:textId="1C144D29" w:rsidR="009E2A3F" w:rsidRPr="00F75302" w:rsidRDefault="00234B5B" w:rsidP="009E2A3F">
            <w:pPr>
              <w:tabs>
                <w:tab w:val="right" w:pos="1202"/>
              </w:tabs>
              <w:spacing w:after="0" w:line="240" w:lineRule="auto"/>
              <w:jc w:val="right"/>
              <w:outlineLvl w:val="0"/>
              <w:rPr>
                <w:rFonts w:eastAsia="Times New Roman" w:cs="Arial"/>
                <w:sz w:val="17"/>
                <w:szCs w:val="17"/>
              </w:rPr>
            </w:pPr>
            <w:r>
              <w:rPr>
                <w:rFonts w:eastAsia="Times New Roman" w:cs="Arial"/>
                <w:sz w:val="17"/>
                <w:szCs w:val="17"/>
              </w:rPr>
              <w:t>867.430</w:t>
            </w:r>
          </w:p>
        </w:tc>
        <w:tc>
          <w:tcPr>
            <w:tcW w:w="1072" w:type="dxa"/>
            <w:tcBorders>
              <w:top w:val="nil"/>
              <w:left w:val="nil"/>
              <w:bottom w:val="single" w:sz="4" w:space="0" w:color="auto"/>
              <w:right w:val="nil"/>
            </w:tcBorders>
            <w:shd w:val="clear" w:color="auto" w:fill="auto"/>
            <w:vAlign w:val="bottom"/>
          </w:tcPr>
          <w:p w14:paraId="5D396D6D" w14:textId="54E21231" w:rsidR="009E2A3F" w:rsidRPr="00F75302" w:rsidRDefault="001F3BBA" w:rsidP="009E2A3F">
            <w:pPr>
              <w:tabs>
                <w:tab w:val="right" w:pos="1202"/>
              </w:tabs>
              <w:spacing w:after="0" w:line="240" w:lineRule="auto"/>
              <w:jc w:val="right"/>
              <w:outlineLvl w:val="0"/>
              <w:rPr>
                <w:rFonts w:eastAsia="Times New Roman" w:cs="Arial"/>
                <w:sz w:val="17"/>
                <w:szCs w:val="17"/>
              </w:rPr>
            </w:pPr>
            <w:r>
              <w:rPr>
                <w:rFonts w:eastAsia="Times New Roman" w:cs="Arial"/>
                <w:sz w:val="17"/>
                <w:szCs w:val="17"/>
              </w:rPr>
              <w:t>-</w:t>
            </w:r>
          </w:p>
        </w:tc>
        <w:tc>
          <w:tcPr>
            <w:tcW w:w="1072" w:type="dxa"/>
            <w:tcBorders>
              <w:top w:val="nil"/>
              <w:left w:val="nil"/>
              <w:bottom w:val="single" w:sz="4" w:space="0" w:color="auto"/>
              <w:right w:val="nil"/>
            </w:tcBorders>
            <w:shd w:val="clear" w:color="auto" w:fill="auto"/>
            <w:vAlign w:val="bottom"/>
          </w:tcPr>
          <w:p w14:paraId="7F27DC24" w14:textId="7FE0B99D" w:rsidR="009E2A3F" w:rsidRPr="00F75302" w:rsidRDefault="001F3BBA" w:rsidP="009E2A3F">
            <w:pPr>
              <w:tabs>
                <w:tab w:val="right" w:pos="1202"/>
              </w:tabs>
              <w:spacing w:after="0" w:line="240" w:lineRule="auto"/>
              <w:jc w:val="right"/>
              <w:outlineLvl w:val="0"/>
              <w:rPr>
                <w:rFonts w:eastAsia="Times New Roman" w:cs="Arial"/>
                <w:sz w:val="17"/>
                <w:szCs w:val="17"/>
              </w:rPr>
            </w:pPr>
            <w:r>
              <w:rPr>
                <w:rFonts w:eastAsia="Times New Roman" w:cs="Arial"/>
                <w:sz w:val="17"/>
                <w:szCs w:val="17"/>
              </w:rPr>
              <w:t>-</w:t>
            </w:r>
          </w:p>
        </w:tc>
        <w:tc>
          <w:tcPr>
            <w:tcW w:w="1072" w:type="dxa"/>
            <w:tcBorders>
              <w:top w:val="nil"/>
              <w:left w:val="nil"/>
              <w:bottom w:val="single" w:sz="4" w:space="0" w:color="auto"/>
              <w:right w:val="nil"/>
            </w:tcBorders>
            <w:shd w:val="clear" w:color="auto" w:fill="auto"/>
            <w:vAlign w:val="bottom"/>
          </w:tcPr>
          <w:p w14:paraId="37354059" w14:textId="2ECAC223" w:rsidR="009E2A3F" w:rsidRPr="00F75302" w:rsidRDefault="009E2A3F" w:rsidP="009E2A3F">
            <w:pPr>
              <w:tabs>
                <w:tab w:val="right" w:pos="1202"/>
              </w:tabs>
              <w:spacing w:after="0" w:line="240" w:lineRule="auto"/>
              <w:jc w:val="right"/>
              <w:outlineLvl w:val="0"/>
              <w:rPr>
                <w:rFonts w:eastAsia="Times New Roman" w:cs="Arial"/>
                <w:sz w:val="17"/>
                <w:szCs w:val="17"/>
              </w:rPr>
            </w:pPr>
            <w:r w:rsidRPr="001B0375">
              <w:rPr>
                <w:rFonts w:ascii="Calibri" w:hAnsi="Calibri" w:cs="Arial"/>
                <w:sz w:val="17"/>
                <w:szCs w:val="17"/>
              </w:rPr>
              <w:t>909.614</w:t>
            </w:r>
          </w:p>
        </w:tc>
        <w:tc>
          <w:tcPr>
            <w:tcW w:w="1072" w:type="dxa"/>
            <w:tcBorders>
              <w:top w:val="nil"/>
              <w:left w:val="nil"/>
              <w:bottom w:val="single" w:sz="4" w:space="0" w:color="auto"/>
              <w:right w:val="nil"/>
            </w:tcBorders>
            <w:shd w:val="clear" w:color="auto" w:fill="auto"/>
            <w:vAlign w:val="bottom"/>
          </w:tcPr>
          <w:p w14:paraId="10F26622" w14:textId="4A66BDA4" w:rsidR="009E2A3F" w:rsidRPr="00F75302" w:rsidRDefault="009E2A3F" w:rsidP="009E2A3F">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c>
          <w:tcPr>
            <w:tcW w:w="1073" w:type="dxa"/>
            <w:tcBorders>
              <w:top w:val="nil"/>
              <w:left w:val="nil"/>
              <w:bottom w:val="single" w:sz="4" w:space="0" w:color="auto"/>
              <w:right w:val="nil"/>
            </w:tcBorders>
            <w:shd w:val="clear" w:color="auto" w:fill="auto"/>
            <w:vAlign w:val="bottom"/>
          </w:tcPr>
          <w:p w14:paraId="3E44EAFC" w14:textId="4C871F02" w:rsidR="009E2A3F" w:rsidRPr="00F75302" w:rsidRDefault="009E2A3F" w:rsidP="009E2A3F">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r>
      <w:tr w:rsidR="009E2A3F" w:rsidRPr="00F75302" w14:paraId="6FF8DA3D" w14:textId="77777777" w:rsidTr="009E2A3F">
        <w:trPr>
          <w:trHeight w:hRule="exact" w:val="284"/>
          <w:jc w:val="center"/>
        </w:trPr>
        <w:tc>
          <w:tcPr>
            <w:tcW w:w="3686" w:type="dxa"/>
            <w:vAlign w:val="bottom"/>
          </w:tcPr>
          <w:p w14:paraId="5CDDD14A" w14:textId="77777777" w:rsidR="009E2A3F" w:rsidRPr="00F75302" w:rsidRDefault="009E2A3F" w:rsidP="009E2A3F">
            <w:pPr>
              <w:tabs>
                <w:tab w:val="right" w:pos="1202"/>
              </w:tabs>
              <w:spacing w:after="0" w:line="240" w:lineRule="auto"/>
              <w:outlineLvl w:val="0"/>
              <w:rPr>
                <w:rFonts w:eastAsia="Times New Roman" w:cs="Arial"/>
                <w:b/>
                <w:sz w:val="17"/>
                <w:szCs w:val="17"/>
              </w:rPr>
            </w:pPr>
            <w:r w:rsidRPr="00F75302">
              <w:rPr>
                <w:rFonts w:eastAsia="Times New Roman" w:cs="Arial"/>
                <w:b/>
                <w:sz w:val="17"/>
                <w:szCs w:val="17"/>
              </w:rPr>
              <w:t>Ukupno ulaganja u investicijske fondove</w:t>
            </w:r>
          </w:p>
        </w:tc>
        <w:tc>
          <w:tcPr>
            <w:tcW w:w="1072" w:type="dxa"/>
            <w:tcBorders>
              <w:top w:val="single" w:sz="4" w:space="0" w:color="auto"/>
              <w:left w:val="nil"/>
              <w:bottom w:val="single" w:sz="12" w:space="0" w:color="auto"/>
              <w:right w:val="nil"/>
            </w:tcBorders>
            <w:shd w:val="clear" w:color="auto" w:fill="auto"/>
            <w:vAlign w:val="bottom"/>
          </w:tcPr>
          <w:p w14:paraId="44B2DB53" w14:textId="51E0D12F" w:rsidR="009E2A3F" w:rsidRPr="00F75302" w:rsidRDefault="00234B5B" w:rsidP="009E2A3F">
            <w:pPr>
              <w:tabs>
                <w:tab w:val="right" w:pos="1202"/>
              </w:tabs>
              <w:spacing w:after="0" w:line="240" w:lineRule="auto"/>
              <w:jc w:val="right"/>
              <w:outlineLvl w:val="0"/>
              <w:rPr>
                <w:b/>
                <w:bCs/>
                <w:color w:val="000000"/>
                <w:sz w:val="17"/>
                <w:szCs w:val="17"/>
              </w:rPr>
            </w:pPr>
            <w:r>
              <w:rPr>
                <w:b/>
                <w:bCs/>
                <w:color w:val="000000"/>
                <w:sz w:val="17"/>
                <w:szCs w:val="17"/>
              </w:rPr>
              <w:t>867.430</w:t>
            </w:r>
          </w:p>
        </w:tc>
        <w:tc>
          <w:tcPr>
            <w:tcW w:w="1072" w:type="dxa"/>
            <w:tcBorders>
              <w:top w:val="single" w:sz="4" w:space="0" w:color="auto"/>
              <w:left w:val="nil"/>
              <w:bottom w:val="single" w:sz="12" w:space="0" w:color="auto"/>
              <w:right w:val="nil"/>
            </w:tcBorders>
            <w:shd w:val="clear" w:color="auto" w:fill="auto"/>
            <w:vAlign w:val="bottom"/>
          </w:tcPr>
          <w:p w14:paraId="1C94D805" w14:textId="39BEC9AB" w:rsidR="009E2A3F" w:rsidRPr="00F75302" w:rsidRDefault="001F3BBA" w:rsidP="009E2A3F">
            <w:pPr>
              <w:tabs>
                <w:tab w:val="right" w:pos="1202"/>
              </w:tabs>
              <w:spacing w:after="0" w:line="240" w:lineRule="auto"/>
              <w:jc w:val="right"/>
              <w:outlineLvl w:val="0"/>
              <w:rPr>
                <w:b/>
                <w:bCs/>
                <w:color w:val="000000"/>
                <w:sz w:val="17"/>
                <w:szCs w:val="17"/>
              </w:rPr>
            </w:pPr>
            <w:r>
              <w:rPr>
                <w:b/>
                <w:bCs/>
                <w:color w:val="000000"/>
                <w:sz w:val="17"/>
                <w:szCs w:val="17"/>
              </w:rPr>
              <w:t>-</w:t>
            </w:r>
          </w:p>
        </w:tc>
        <w:tc>
          <w:tcPr>
            <w:tcW w:w="1072" w:type="dxa"/>
            <w:tcBorders>
              <w:top w:val="single" w:sz="4" w:space="0" w:color="auto"/>
              <w:left w:val="nil"/>
              <w:bottom w:val="single" w:sz="12" w:space="0" w:color="auto"/>
              <w:right w:val="nil"/>
            </w:tcBorders>
            <w:shd w:val="clear" w:color="auto" w:fill="auto"/>
            <w:vAlign w:val="bottom"/>
          </w:tcPr>
          <w:p w14:paraId="152FFBA1" w14:textId="4677C774" w:rsidR="001F3BBA" w:rsidRPr="00F75302" w:rsidRDefault="001F3BBA">
            <w:pPr>
              <w:tabs>
                <w:tab w:val="right" w:pos="1202"/>
              </w:tabs>
              <w:spacing w:after="0" w:line="240" w:lineRule="auto"/>
              <w:jc w:val="right"/>
              <w:outlineLvl w:val="0"/>
              <w:rPr>
                <w:b/>
                <w:bCs/>
                <w:color w:val="000000"/>
                <w:sz w:val="17"/>
                <w:szCs w:val="17"/>
              </w:rPr>
            </w:pPr>
            <w:r>
              <w:rPr>
                <w:b/>
                <w:bCs/>
                <w:color w:val="000000"/>
                <w:sz w:val="17"/>
                <w:szCs w:val="17"/>
              </w:rPr>
              <w:t>-</w:t>
            </w:r>
          </w:p>
        </w:tc>
        <w:tc>
          <w:tcPr>
            <w:tcW w:w="1072" w:type="dxa"/>
            <w:tcBorders>
              <w:top w:val="single" w:sz="4" w:space="0" w:color="auto"/>
              <w:left w:val="nil"/>
              <w:bottom w:val="single" w:sz="12" w:space="0" w:color="auto"/>
              <w:right w:val="nil"/>
            </w:tcBorders>
            <w:shd w:val="clear" w:color="auto" w:fill="auto"/>
            <w:vAlign w:val="bottom"/>
          </w:tcPr>
          <w:p w14:paraId="6CD511B9" w14:textId="5D98998D" w:rsidR="009E2A3F" w:rsidRPr="00F75302" w:rsidRDefault="009E2A3F" w:rsidP="009E2A3F">
            <w:pPr>
              <w:tabs>
                <w:tab w:val="right" w:pos="1202"/>
              </w:tabs>
              <w:spacing w:after="0" w:line="240" w:lineRule="auto"/>
              <w:jc w:val="right"/>
              <w:outlineLvl w:val="0"/>
              <w:rPr>
                <w:rFonts w:eastAsia="Times New Roman" w:cs="Arial"/>
                <w:b/>
                <w:sz w:val="17"/>
                <w:szCs w:val="17"/>
              </w:rPr>
            </w:pPr>
            <w:r w:rsidRPr="001B0375">
              <w:rPr>
                <w:rFonts w:ascii="Calibri" w:eastAsia="Calibri" w:hAnsi="Calibri"/>
                <w:b/>
                <w:bCs/>
                <w:color w:val="000000"/>
                <w:sz w:val="17"/>
                <w:szCs w:val="17"/>
              </w:rPr>
              <w:t>909.614</w:t>
            </w:r>
          </w:p>
        </w:tc>
        <w:tc>
          <w:tcPr>
            <w:tcW w:w="1072" w:type="dxa"/>
            <w:tcBorders>
              <w:top w:val="single" w:sz="4" w:space="0" w:color="auto"/>
              <w:left w:val="nil"/>
              <w:bottom w:val="single" w:sz="12" w:space="0" w:color="auto"/>
              <w:right w:val="nil"/>
            </w:tcBorders>
            <w:shd w:val="clear" w:color="auto" w:fill="auto"/>
            <w:vAlign w:val="bottom"/>
          </w:tcPr>
          <w:p w14:paraId="4515D5ED" w14:textId="4FBBF87B" w:rsidR="009E2A3F" w:rsidRPr="00F75302" w:rsidRDefault="009E2A3F" w:rsidP="009E2A3F">
            <w:pPr>
              <w:tabs>
                <w:tab w:val="right" w:pos="1202"/>
              </w:tabs>
              <w:spacing w:after="0" w:line="240" w:lineRule="auto"/>
              <w:jc w:val="right"/>
              <w:outlineLvl w:val="0"/>
              <w:rPr>
                <w:rFonts w:eastAsia="Times New Roman" w:cs="Arial"/>
                <w:b/>
                <w:sz w:val="17"/>
                <w:szCs w:val="17"/>
              </w:rPr>
            </w:pPr>
            <w:r>
              <w:rPr>
                <w:rFonts w:ascii="Calibri" w:eastAsia="Calibri" w:hAnsi="Calibri"/>
                <w:b/>
                <w:bCs/>
                <w:color w:val="000000"/>
                <w:sz w:val="17"/>
                <w:szCs w:val="17"/>
              </w:rPr>
              <w:t>-</w:t>
            </w:r>
          </w:p>
        </w:tc>
        <w:tc>
          <w:tcPr>
            <w:tcW w:w="1073" w:type="dxa"/>
            <w:tcBorders>
              <w:top w:val="single" w:sz="4" w:space="0" w:color="auto"/>
              <w:left w:val="nil"/>
              <w:bottom w:val="single" w:sz="12" w:space="0" w:color="auto"/>
              <w:right w:val="nil"/>
            </w:tcBorders>
            <w:shd w:val="clear" w:color="auto" w:fill="auto"/>
            <w:vAlign w:val="bottom"/>
          </w:tcPr>
          <w:p w14:paraId="71BCB857" w14:textId="05E3E370" w:rsidR="009E2A3F" w:rsidRPr="00F75302" w:rsidRDefault="009E2A3F" w:rsidP="009E2A3F">
            <w:pPr>
              <w:tabs>
                <w:tab w:val="right" w:pos="1202"/>
              </w:tabs>
              <w:spacing w:after="0" w:line="240" w:lineRule="auto"/>
              <w:jc w:val="right"/>
              <w:outlineLvl w:val="0"/>
              <w:rPr>
                <w:rFonts w:eastAsia="Times New Roman" w:cs="Arial"/>
                <w:b/>
                <w:sz w:val="17"/>
                <w:szCs w:val="17"/>
              </w:rPr>
            </w:pPr>
            <w:r>
              <w:rPr>
                <w:rFonts w:ascii="Calibri" w:eastAsia="Calibri" w:hAnsi="Calibri"/>
                <w:b/>
                <w:bCs/>
                <w:color w:val="000000"/>
                <w:sz w:val="17"/>
                <w:szCs w:val="17"/>
              </w:rPr>
              <w:t>-</w:t>
            </w:r>
          </w:p>
        </w:tc>
      </w:tr>
      <w:tr w:rsidR="009E2A3F" w:rsidRPr="00F75302" w14:paraId="5737CF0D" w14:textId="77777777" w:rsidTr="009E2A3F">
        <w:trPr>
          <w:trHeight w:hRule="exact" w:val="284"/>
          <w:jc w:val="center"/>
        </w:trPr>
        <w:tc>
          <w:tcPr>
            <w:tcW w:w="3686" w:type="dxa"/>
            <w:vAlign w:val="bottom"/>
          </w:tcPr>
          <w:p w14:paraId="38D94115" w14:textId="541F0E63" w:rsidR="009E2A3F" w:rsidRPr="00F75302" w:rsidRDefault="009E2A3F" w:rsidP="009E2A3F">
            <w:pPr>
              <w:tabs>
                <w:tab w:val="right" w:pos="1202"/>
              </w:tabs>
              <w:spacing w:after="0" w:line="240" w:lineRule="auto"/>
              <w:outlineLvl w:val="0"/>
              <w:rPr>
                <w:rFonts w:eastAsia="Times New Roman" w:cs="Arial"/>
                <w:b/>
                <w:i/>
                <w:sz w:val="17"/>
                <w:szCs w:val="17"/>
              </w:rPr>
            </w:pPr>
            <w:r w:rsidRPr="00F75302">
              <w:rPr>
                <w:rFonts w:eastAsia="Times New Roman" w:cs="Arial"/>
                <w:b/>
                <w:sz w:val="17"/>
                <w:szCs w:val="17"/>
              </w:rPr>
              <w:t>Ukupno imovina raspoloživa za prodaju</w:t>
            </w:r>
          </w:p>
        </w:tc>
        <w:tc>
          <w:tcPr>
            <w:tcW w:w="1072" w:type="dxa"/>
            <w:tcBorders>
              <w:top w:val="single" w:sz="12" w:space="0" w:color="auto"/>
              <w:left w:val="nil"/>
              <w:bottom w:val="single" w:sz="12" w:space="0" w:color="auto"/>
              <w:right w:val="nil"/>
            </w:tcBorders>
            <w:shd w:val="clear" w:color="auto" w:fill="auto"/>
            <w:vAlign w:val="bottom"/>
          </w:tcPr>
          <w:p w14:paraId="01A2A444" w14:textId="38C5CB82" w:rsidR="009E2A3F" w:rsidRPr="00F75302" w:rsidRDefault="00234B5B" w:rsidP="009E2A3F">
            <w:pPr>
              <w:tabs>
                <w:tab w:val="right" w:pos="1202"/>
              </w:tabs>
              <w:spacing w:after="0" w:line="240" w:lineRule="auto"/>
              <w:jc w:val="right"/>
              <w:outlineLvl w:val="0"/>
              <w:rPr>
                <w:rFonts w:eastAsia="Times New Roman" w:cs="Arial"/>
                <w:b/>
                <w:sz w:val="17"/>
                <w:szCs w:val="17"/>
              </w:rPr>
            </w:pPr>
            <w:r w:rsidRPr="00234B5B">
              <w:rPr>
                <w:rFonts w:eastAsia="Times New Roman" w:cs="Arial"/>
                <w:b/>
                <w:sz w:val="17"/>
                <w:szCs w:val="17"/>
              </w:rPr>
              <w:t>3.071.264</w:t>
            </w:r>
          </w:p>
        </w:tc>
        <w:tc>
          <w:tcPr>
            <w:tcW w:w="1072" w:type="dxa"/>
            <w:tcBorders>
              <w:top w:val="single" w:sz="12" w:space="0" w:color="auto"/>
              <w:left w:val="nil"/>
              <w:bottom w:val="single" w:sz="12" w:space="0" w:color="auto"/>
              <w:right w:val="nil"/>
            </w:tcBorders>
            <w:shd w:val="clear" w:color="auto" w:fill="auto"/>
            <w:vAlign w:val="bottom"/>
          </w:tcPr>
          <w:p w14:paraId="57846BD1" w14:textId="171D0AB4" w:rsidR="009E2A3F" w:rsidRPr="00F75302" w:rsidRDefault="00234B5B"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25.258</w:t>
            </w:r>
          </w:p>
        </w:tc>
        <w:tc>
          <w:tcPr>
            <w:tcW w:w="1072" w:type="dxa"/>
            <w:tcBorders>
              <w:top w:val="single" w:sz="12" w:space="0" w:color="auto"/>
              <w:left w:val="nil"/>
              <w:bottom w:val="single" w:sz="12" w:space="0" w:color="auto"/>
              <w:right w:val="nil"/>
            </w:tcBorders>
            <w:shd w:val="clear" w:color="auto" w:fill="auto"/>
            <w:vAlign w:val="bottom"/>
          </w:tcPr>
          <w:p w14:paraId="0E2903BA" w14:textId="50305203" w:rsidR="009E2A3F" w:rsidRPr="00F75302" w:rsidRDefault="00AB5059"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627</w:t>
            </w:r>
          </w:p>
        </w:tc>
        <w:tc>
          <w:tcPr>
            <w:tcW w:w="1072" w:type="dxa"/>
            <w:tcBorders>
              <w:top w:val="single" w:sz="4" w:space="0" w:color="auto"/>
              <w:left w:val="nil"/>
              <w:bottom w:val="single" w:sz="8" w:space="0" w:color="auto"/>
              <w:right w:val="nil"/>
            </w:tcBorders>
            <w:shd w:val="clear" w:color="auto" w:fill="auto"/>
            <w:vAlign w:val="bottom"/>
          </w:tcPr>
          <w:p w14:paraId="5680AA7F" w14:textId="61D39DDB" w:rsidR="009E2A3F" w:rsidRPr="00F75302" w:rsidRDefault="009E2A3F" w:rsidP="003013A7">
            <w:pPr>
              <w:tabs>
                <w:tab w:val="right" w:pos="1202"/>
              </w:tabs>
              <w:spacing w:after="0" w:line="240" w:lineRule="auto"/>
              <w:jc w:val="right"/>
              <w:outlineLvl w:val="0"/>
              <w:rPr>
                <w:rFonts w:eastAsia="Times New Roman" w:cs="Arial"/>
                <w:b/>
                <w:sz w:val="17"/>
                <w:szCs w:val="17"/>
              </w:rPr>
            </w:pPr>
            <w:r w:rsidRPr="002A3E38">
              <w:rPr>
                <w:rFonts w:ascii="Calibri" w:hAnsi="Calibri"/>
                <w:b/>
                <w:bCs/>
                <w:color w:val="000000"/>
                <w:sz w:val="17"/>
                <w:szCs w:val="17"/>
              </w:rPr>
              <w:t>3.36</w:t>
            </w:r>
            <w:r w:rsidR="003013A7">
              <w:rPr>
                <w:rFonts w:ascii="Calibri" w:hAnsi="Calibri"/>
                <w:b/>
                <w:bCs/>
                <w:color w:val="000000"/>
                <w:sz w:val="17"/>
                <w:szCs w:val="17"/>
              </w:rPr>
              <w:t>3.425</w:t>
            </w:r>
          </w:p>
        </w:tc>
        <w:tc>
          <w:tcPr>
            <w:tcW w:w="1072" w:type="dxa"/>
            <w:tcBorders>
              <w:top w:val="single" w:sz="4" w:space="0" w:color="auto"/>
              <w:left w:val="nil"/>
              <w:bottom w:val="single" w:sz="8" w:space="0" w:color="auto"/>
              <w:right w:val="nil"/>
            </w:tcBorders>
            <w:shd w:val="clear" w:color="auto" w:fill="auto"/>
            <w:vAlign w:val="bottom"/>
          </w:tcPr>
          <w:p w14:paraId="21199F42" w14:textId="6993C429" w:rsidR="009E2A3F" w:rsidRPr="00F75302" w:rsidRDefault="009E2A3F" w:rsidP="009E2A3F">
            <w:pPr>
              <w:tabs>
                <w:tab w:val="right" w:pos="1202"/>
              </w:tabs>
              <w:spacing w:after="0" w:line="240" w:lineRule="auto"/>
              <w:jc w:val="right"/>
              <w:outlineLvl w:val="0"/>
              <w:rPr>
                <w:rFonts w:eastAsia="Times New Roman" w:cs="Arial"/>
                <w:b/>
                <w:sz w:val="17"/>
                <w:szCs w:val="17"/>
              </w:rPr>
            </w:pPr>
            <w:r w:rsidRPr="002A3E38">
              <w:rPr>
                <w:rFonts w:ascii="Calibri" w:hAnsi="Calibri"/>
                <w:b/>
                <w:bCs/>
                <w:color w:val="000000"/>
                <w:sz w:val="17"/>
                <w:szCs w:val="17"/>
              </w:rPr>
              <w:t>26.008</w:t>
            </w:r>
          </w:p>
        </w:tc>
        <w:tc>
          <w:tcPr>
            <w:tcW w:w="1073" w:type="dxa"/>
            <w:tcBorders>
              <w:top w:val="single" w:sz="4" w:space="0" w:color="auto"/>
              <w:left w:val="nil"/>
              <w:bottom w:val="single" w:sz="8" w:space="0" w:color="auto"/>
              <w:right w:val="nil"/>
            </w:tcBorders>
            <w:shd w:val="clear" w:color="auto" w:fill="auto"/>
            <w:vAlign w:val="bottom"/>
          </w:tcPr>
          <w:p w14:paraId="6EFF67A3" w14:textId="003EF124" w:rsidR="009E2A3F" w:rsidRPr="00F75302" w:rsidRDefault="009E2A3F" w:rsidP="009E2A3F">
            <w:pPr>
              <w:tabs>
                <w:tab w:val="right" w:pos="1202"/>
              </w:tabs>
              <w:spacing w:after="0" w:line="240" w:lineRule="auto"/>
              <w:jc w:val="right"/>
              <w:outlineLvl w:val="0"/>
              <w:rPr>
                <w:rFonts w:eastAsia="Times New Roman" w:cs="Arial"/>
                <w:b/>
                <w:sz w:val="17"/>
                <w:szCs w:val="17"/>
              </w:rPr>
            </w:pPr>
            <w:r w:rsidRPr="002A3E38">
              <w:rPr>
                <w:rFonts w:ascii="Calibri" w:hAnsi="Calibri"/>
                <w:b/>
                <w:bCs/>
                <w:color w:val="000000"/>
                <w:sz w:val="17"/>
                <w:szCs w:val="17"/>
              </w:rPr>
              <w:t>601</w:t>
            </w:r>
          </w:p>
        </w:tc>
      </w:tr>
      <w:tr w:rsidR="00F75302" w:rsidRPr="00F75302" w14:paraId="49BA4CD6" w14:textId="77777777" w:rsidTr="00F75302">
        <w:trPr>
          <w:trHeight w:hRule="exact" w:val="102"/>
          <w:jc w:val="center"/>
        </w:trPr>
        <w:tc>
          <w:tcPr>
            <w:tcW w:w="3686" w:type="dxa"/>
            <w:vAlign w:val="bottom"/>
          </w:tcPr>
          <w:p w14:paraId="130F02DD" w14:textId="77777777" w:rsidR="00F75302" w:rsidRPr="00F75302" w:rsidRDefault="00F75302" w:rsidP="00F75302">
            <w:pPr>
              <w:keepNext/>
              <w:keepLines/>
              <w:tabs>
                <w:tab w:val="decimal" w:pos="1202"/>
              </w:tabs>
              <w:spacing w:after="0" w:line="140" w:lineRule="exact"/>
              <w:rPr>
                <w:rFonts w:eastAsia="Times New Roman" w:cs="Arial"/>
                <w:bCs/>
                <w:position w:val="4"/>
                <w:sz w:val="17"/>
                <w:szCs w:val="17"/>
              </w:rPr>
            </w:pPr>
          </w:p>
        </w:tc>
        <w:tc>
          <w:tcPr>
            <w:tcW w:w="1072" w:type="dxa"/>
            <w:tcBorders>
              <w:top w:val="single" w:sz="12" w:space="0" w:color="auto"/>
            </w:tcBorders>
          </w:tcPr>
          <w:p w14:paraId="41ED834B" w14:textId="77777777" w:rsidR="00F75302" w:rsidRPr="00F75302" w:rsidRDefault="00F75302" w:rsidP="00F75302">
            <w:pPr>
              <w:keepNext/>
              <w:keepLines/>
              <w:tabs>
                <w:tab w:val="decimal" w:pos="1202"/>
              </w:tabs>
              <w:spacing w:after="0" w:line="140" w:lineRule="exact"/>
              <w:rPr>
                <w:rFonts w:eastAsia="Times New Roman" w:cs="Arial"/>
                <w:bCs/>
                <w:position w:val="4"/>
                <w:sz w:val="17"/>
                <w:szCs w:val="17"/>
              </w:rPr>
            </w:pPr>
          </w:p>
        </w:tc>
        <w:tc>
          <w:tcPr>
            <w:tcW w:w="1072" w:type="dxa"/>
            <w:tcBorders>
              <w:top w:val="single" w:sz="12" w:space="0" w:color="auto"/>
            </w:tcBorders>
          </w:tcPr>
          <w:p w14:paraId="4FD2B820" w14:textId="77777777" w:rsidR="00F75302" w:rsidRPr="00F75302" w:rsidRDefault="00F75302" w:rsidP="00F75302">
            <w:pPr>
              <w:keepNext/>
              <w:keepLines/>
              <w:tabs>
                <w:tab w:val="decimal" w:pos="1202"/>
              </w:tabs>
              <w:spacing w:after="0" w:line="140" w:lineRule="exact"/>
              <w:rPr>
                <w:rFonts w:eastAsia="Times New Roman" w:cs="Arial"/>
                <w:bCs/>
                <w:position w:val="4"/>
                <w:sz w:val="17"/>
                <w:szCs w:val="17"/>
              </w:rPr>
            </w:pPr>
          </w:p>
        </w:tc>
        <w:tc>
          <w:tcPr>
            <w:tcW w:w="1072" w:type="dxa"/>
            <w:tcBorders>
              <w:top w:val="single" w:sz="12" w:space="0" w:color="auto"/>
            </w:tcBorders>
          </w:tcPr>
          <w:p w14:paraId="61EE8255" w14:textId="77777777" w:rsidR="00F75302" w:rsidRPr="00F75302" w:rsidRDefault="00F75302" w:rsidP="00F75302">
            <w:pPr>
              <w:keepNext/>
              <w:keepLines/>
              <w:tabs>
                <w:tab w:val="decimal" w:pos="1202"/>
              </w:tabs>
              <w:spacing w:after="0" w:line="140" w:lineRule="exact"/>
              <w:rPr>
                <w:rFonts w:eastAsia="Times New Roman" w:cs="Arial"/>
                <w:bCs/>
                <w:position w:val="4"/>
                <w:sz w:val="17"/>
                <w:szCs w:val="17"/>
              </w:rPr>
            </w:pPr>
          </w:p>
        </w:tc>
        <w:tc>
          <w:tcPr>
            <w:tcW w:w="1072" w:type="dxa"/>
            <w:tcBorders>
              <w:top w:val="single" w:sz="12" w:space="0" w:color="auto"/>
            </w:tcBorders>
          </w:tcPr>
          <w:p w14:paraId="160AE780" w14:textId="77777777" w:rsidR="00F75302" w:rsidRPr="00F75302" w:rsidRDefault="00F75302" w:rsidP="00F75302">
            <w:pPr>
              <w:keepNext/>
              <w:keepLines/>
              <w:tabs>
                <w:tab w:val="decimal" w:pos="1202"/>
              </w:tabs>
              <w:spacing w:after="0" w:line="140" w:lineRule="exact"/>
              <w:rPr>
                <w:rFonts w:eastAsia="Times New Roman" w:cs="Arial"/>
                <w:bCs/>
                <w:position w:val="4"/>
                <w:sz w:val="17"/>
                <w:szCs w:val="17"/>
              </w:rPr>
            </w:pPr>
          </w:p>
        </w:tc>
        <w:tc>
          <w:tcPr>
            <w:tcW w:w="1072" w:type="dxa"/>
            <w:tcBorders>
              <w:top w:val="single" w:sz="12" w:space="0" w:color="auto"/>
            </w:tcBorders>
          </w:tcPr>
          <w:p w14:paraId="3B5FCD33" w14:textId="77777777" w:rsidR="00F75302" w:rsidRPr="00F75302" w:rsidRDefault="00F75302" w:rsidP="00F75302">
            <w:pPr>
              <w:keepNext/>
              <w:keepLines/>
              <w:tabs>
                <w:tab w:val="decimal" w:pos="1202"/>
              </w:tabs>
              <w:spacing w:after="0" w:line="140" w:lineRule="exact"/>
              <w:rPr>
                <w:rFonts w:eastAsia="Times New Roman" w:cs="Arial"/>
                <w:bCs/>
                <w:position w:val="4"/>
                <w:sz w:val="17"/>
                <w:szCs w:val="17"/>
              </w:rPr>
            </w:pPr>
          </w:p>
        </w:tc>
        <w:tc>
          <w:tcPr>
            <w:tcW w:w="1073" w:type="dxa"/>
            <w:tcBorders>
              <w:top w:val="single" w:sz="12" w:space="0" w:color="auto"/>
            </w:tcBorders>
          </w:tcPr>
          <w:p w14:paraId="6550041A" w14:textId="77777777" w:rsidR="00F75302" w:rsidRPr="00F75302" w:rsidRDefault="00F75302" w:rsidP="00F75302">
            <w:pPr>
              <w:keepNext/>
              <w:keepLines/>
              <w:tabs>
                <w:tab w:val="decimal" w:pos="1202"/>
              </w:tabs>
              <w:spacing w:after="0" w:line="140" w:lineRule="exact"/>
              <w:rPr>
                <w:rFonts w:eastAsia="Times New Roman" w:cs="Arial"/>
                <w:bCs/>
                <w:position w:val="4"/>
                <w:sz w:val="17"/>
                <w:szCs w:val="17"/>
              </w:rPr>
            </w:pPr>
          </w:p>
        </w:tc>
      </w:tr>
    </w:tbl>
    <w:p w14:paraId="722B75BA" w14:textId="77777777" w:rsidR="002921DA" w:rsidRDefault="002921DA" w:rsidP="00F75302">
      <w:pPr>
        <w:spacing w:before="120" w:after="0" w:line="240" w:lineRule="auto"/>
        <w:jc w:val="both"/>
        <w:rPr>
          <w:rFonts w:cs="FrutigerLTCom-Light"/>
          <w:sz w:val="20"/>
          <w:szCs w:val="20"/>
        </w:rPr>
      </w:pPr>
    </w:p>
    <w:p w14:paraId="0B227D18" w14:textId="3E507A8B" w:rsidR="00F75302" w:rsidRPr="000E5941" w:rsidRDefault="002921DA" w:rsidP="00F75302">
      <w:pPr>
        <w:spacing w:before="120" w:after="0" w:line="240" w:lineRule="auto"/>
        <w:jc w:val="both"/>
        <w:rPr>
          <w:lang w:eastAsia="zh-CN"/>
        </w:rPr>
      </w:pPr>
      <w:r w:rsidRPr="000E5941">
        <w:rPr>
          <w:rFonts w:cs="FrutigerLTCom-Light"/>
        </w:rPr>
        <w:t>T</w:t>
      </w:r>
      <w:r w:rsidR="00F75302" w:rsidRPr="000E5941">
        <w:rPr>
          <w:rFonts w:cs="FrutigerLTCom-Light"/>
        </w:rPr>
        <w:t xml:space="preserve">rezorski zapisi Ministarstva financija </w:t>
      </w:r>
      <w:r w:rsidRPr="000E5941">
        <w:rPr>
          <w:rFonts w:cs="FrutigerLTCom-Light"/>
        </w:rPr>
        <w:t>prikazan</w:t>
      </w:r>
      <w:r w:rsidR="00404088">
        <w:rPr>
          <w:rFonts w:cs="FrutigerLTCom-Light"/>
        </w:rPr>
        <w:t>i</w:t>
      </w:r>
      <w:r w:rsidRPr="000E5941">
        <w:rPr>
          <w:rFonts w:cs="FrutigerLTCom-Light"/>
        </w:rPr>
        <w:t xml:space="preserve"> su na</w:t>
      </w:r>
      <w:r w:rsidR="00F75302" w:rsidRPr="000E5941">
        <w:rPr>
          <w:rFonts w:cs="FrutigerLTCom-Light"/>
        </w:rPr>
        <w:t xml:space="preserve"> razin</w:t>
      </w:r>
      <w:r w:rsidRPr="000E5941">
        <w:rPr>
          <w:rFonts w:cs="FrutigerLTCom-Light"/>
        </w:rPr>
        <w:t>i</w:t>
      </w:r>
      <w:r w:rsidR="00F75302" w:rsidRPr="000E5941">
        <w:rPr>
          <w:rFonts w:cs="FrutigerLTCom-Light"/>
        </w:rPr>
        <w:t xml:space="preserve"> 1 </w:t>
      </w:r>
      <w:r w:rsidRPr="000E5941">
        <w:rPr>
          <w:rFonts w:cs="FrutigerLTCom-Light"/>
        </w:rPr>
        <w:t xml:space="preserve">hijerarhije fer vrijednosti </w:t>
      </w:r>
      <w:r w:rsidR="00F75302" w:rsidRPr="000E5941">
        <w:rPr>
          <w:lang w:eastAsia="zh-CN"/>
        </w:rPr>
        <w:t xml:space="preserve">s obzirom da su kreditne institucije u zemlji počele kotirati cijene na </w:t>
      </w:r>
      <w:proofErr w:type="spellStart"/>
      <w:r w:rsidR="00F75302" w:rsidRPr="000E5941">
        <w:rPr>
          <w:lang w:eastAsia="zh-CN"/>
        </w:rPr>
        <w:t>Bloombergu</w:t>
      </w:r>
      <w:proofErr w:type="spellEnd"/>
      <w:r w:rsidR="00F75302" w:rsidRPr="000E5941">
        <w:rPr>
          <w:lang w:eastAsia="zh-CN"/>
        </w:rPr>
        <w:t xml:space="preserve"> te se kao tehnika vrednovanja </w:t>
      </w:r>
      <w:proofErr w:type="spellStart"/>
      <w:r w:rsidR="00F75302" w:rsidRPr="000E5941">
        <w:rPr>
          <w:lang w:eastAsia="zh-CN"/>
        </w:rPr>
        <w:t>primijen</w:t>
      </w:r>
      <w:r w:rsidRPr="000E5941">
        <w:rPr>
          <w:lang w:eastAsia="zh-CN"/>
        </w:rPr>
        <w:t>juje</w:t>
      </w:r>
      <w:proofErr w:type="spellEnd"/>
      <w:r w:rsidR="00F75302" w:rsidRPr="000E5941">
        <w:rPr>
          <w:lang w:eastAsia="zh-CN"/>
        </w:rPr>
        <w:t xml:space="preserve"> cijena kotirana na tržištu</w:t>
      </w:r>
      <w:r w:rsidRPr="000E5941">
        <w:rPr>
          <w:lang w:eastAsia="zh-CN"/>
        </w:rPr>
        <w:t>.</w:t>
      </w:r>
    </w:p>
    <w:p w14:paraId="4525C2E8" w14:textId="77777777" w:rsidR="00F75302" w:rsidRPr="000E5941" w:rsidRDefault="00F75302" w:rsidP="00F75302">
      <w:pPr>
        <w:keepNext/>
        <w:tabs>
          <w:tab w:val="left" w:pos="567"/>
        </w:tabs>
        <w:spacing w:after="0" w:line="240" w:lineRule="auto"/>
        <w:jc w:val="both"/>
        <w:rPr>
          <w:rFonts w:eastAsia="Times New Roman" w:cs="Arial"/>
          <w:spacing w:val="-3"/>
        </w:rPr>
      </w:pPr>
    </w:p>
    <w:p w14:paraId="54B3192B" w14:textId="6A4AE818" w:rsidR="00F75302" w:rsidRPr="000E5941" w:rsidRDefault="0049023C" w:rsidP="00F75302">
      <w:pPr>
        <w:spacing w:after="0" w:line="240" w:lineRule="auto"/>
        <w:jc w:val="both"/>
        <w:rPr>
          <w:rFonts w:eastAsia="Times New Roman" w:cs="Arial"/>
          <w:lang w:eastAsia="hr-HR"/>
        </w:rPr>
      </w:pPr>
      <w:r w:rsidRPr="000E5941">
        <w:rPr>
          <w:rFonts w:cs="FrutigerLTCom-Light"/>
        </w:rPr>
        <w:t>D</w:t>
      </w:r>
      <w:r w:rsidR="00F75302" w:rsidRPr="000E5941">
        <w:rPr>
          <w:rFonts w:cs="FrutigerLTCom-Light"/>
        </w:rPr>
        <w:t xml:space="preserve">užnički vrijednosni papiri – obveznice trgovačkih društava prikazane su na razini 3 hijerarhije fer vrijednosti. Pri vrednovanju je korištena metoda diskontiranih novčanih tijekova </w:t>
      </w:r>
      <w:r w:rsidR="00F75302" w:rsidRPr="000E5941">
        <w:rPr>
          <w:rFonts w:eastAsia="Times New Roman" w:cs="Arial"/>
          <w:lang w:eastAsia="hr-HR"/>
        </w:rPr>
        <w:t xml:space="preserve">temeljem tržišnih kamatnih stopa, </w:t>
      </w:r>
      <w:proofErr w:type="spellStart"/>
      <w:r w:rsidR="00F75302" w:rsidRPr="000E5941">
        <w:rPr>
          <w:rFonts w:eastAsia="Times New Roman" w:cs="Arial"/>
          <w:lang w:eastAsia="hr-HR"/>
        </w:rPr>
        <w:t>spreada</w:t>
      </w:r>
      <w:proofErr w:type="spellEnd"/>
      <w:r w:rsidR="00F75302" w:rsidRPr="000E5941">
        <w:rPr>
          <w:rFonts w:eastAsia="Times New Roman" w:cs="Arial"/>
          <w:lang w:eastAsia="hr-HR"/>
        </w:rPr>
        <w:t xml:space="preserve"> temeljem internog kreditnog rejtinga i interno definiranog </w:t>
      </w:r>
      <w:proofErr w:type="spellStart"/>
      <w:r w:rsidR="00F75302" w:rsidRPr="000E5941">
        <w:rPr>
          <w:rFonts w:eastAsia="Times New Roman" w:cs="Arial"/>
          <w:lang w:eastAsia="hr-HR"/>
        </w:rPr>
        <w:t>spreada</w:t>
      </w:r>
      <w:proofErr w:type="spellEnd"/>
      <w:r w:rsidR="00F75302" w:rsidRPr="000E5941">
        <w:rPr>
          <w:rFonts w:eastAsia="Times New Roman" w:cs="Arial"/>
          <w:lang w:eastAsia="hr-HR"/>
        </w:rPr>
        <w:t xml:space="preserve"> vezanog uz likvidnost vrijednosnog papira.</w:t>
      </w:r>
    </w:p>
    <w:p w14:paraId="6C3E4F1E" w14:textId="77777777" w:rsidR="00F75302" w:rsidRPr="000E5941" w:rsidRDefault="00F75302" w:rsidP="00F75302">
      <w:pPr>
        <w:spacing w:after="0" w:line="240" w:lineRule="auto"/>
        <w:ind w:left="709" w:hanging="709"/>
        <w:jc w:val="both"/>
        <w:rPr>
          <w:rFonts w:eastAsia="Times New Roman" w:cs="Arial"/>
          <w:b/>
          <w:bCs/>
          <w:spacing w:val="-3"/>
        </w:rPr>
      </w:pPr>
    </w:p>
    <w:p w14:paraId="74D0206F" w14:textId="77777777" w:rsidR="00E604A2" w:rsidRDefault="00E604A2" w:rsidP="00A37280">
      <w:pPr>
        <w:keepNext/>
        <w:tabs>
          <w:tab w:val="left" w:pos="567"/>
        </w:tabs>
        <w:spacing w:after="0" w:line="240" w:lineRule="auto"/>
        <w:jc w:val="both"/>
        <w:rPr>
          <w:rFonts w:eastAsia="Times New Roman" w:cs="Arial"/>
          <w:spacing w:val="-3"/>
          <w:sz w:val="24"/>
          <w:szCs w:val="24"/>
        </w:rPr>
      </w:pPr>
    </w:p>
    <w:p w14:paraId="6F792560" w14:textId="77777777" w:rsidR="00AE09B0" w:rsidRDefault="00AE09B0" w:rsidP="00A37280">
      <w:pPr>
        <w:spacing w:after="0" w:line="240" w:lineRule="auto"/>
        <w:ind w:left="709" w:hanging="709"/>
        <w:jc w:val="both"/>
        <w:rPr>
          <w:rFonts w:eastAsia="Times New Roman" w:cs="Arial"/>
          <w:b/>
          <w:bCs/>
          <w:spacing w:val="-3"/>
          <w:sz w:val="24"/>
          <w:szCs w:val="24"/>
        </w:rPr>
        <w:sectPr w:rsidR="00AE09B0" w:rsidSect="00B46EF4">
          <w:footerReference w:type="first" r:id="rId130"/>
          <w:pgSz w:w="11906" w:h="16838" w:code="9"/>
          <w:pgMar w:top="1418" w:right="1418" w:bottom="595" w:left="1134" w:header="709" w:footer="709" w:gutter="0"/>
          <w:cols w:space="708"/>
          <w:titlePg/>
          <w:docGrid w:linePitch="360"/>
        </w:sectPr>
      </w:pPr>
    </w:p>
    <w:p w14:paraId="159BD92D" w14:textId="77777777" w:rsidR="00E604A2" w:rsidRDefault="00E604A2" w:rsidP="00A37280">
      <w:pPr>
        <w:spacing w:after="0" w:line="240" w:lineRule="auto"/>
        <w:ind w:left="709" w:hanging="709"/>
        <w:jc w:val="both"/>
        <w:rPr>
          <w:rFonts w:eastAsia="Times New Roman" w:cs="Arial"/>
          <w:b/>
          <w:bCs/>
          <w:spacing w:val="-3"/>
          <w:sz w:val="24"/>
          <w:szCs w:val="24"/>
        </w:rPr>
      </w:pPr>
    </w:p>
    <w:p w14:paraId="16E74C39" w14:textId="77777777" w:rsidR="00E604A2" w:rsidRPr="00ED4731" w:rsidRDefault="009167D7" w:rsidP="00A37280">
      <w:pPr>
        <w:keepNext/>
        <w:spacing w:after="0" w:line="240" w:lineRule="auto"/>
        <w:ind w:left="567" w:hanging="567"/>
        <w:jc w:val="both"/>
        <w:rPr>
          <w:rFonts w:eastAsia="Times New Roman" w:cs="Arial"/>
          <w:b/>
          <w:bCs/>
          <w:spacing w:val="-3"/>
        </w:rPr>
      </w:pPr>
      <w:r w:rsidRPr="00ED4731">
        <w:rPr>
          <w:rFonts w:eastAsia="Times New Roman" w:cs="Arial"/>
          <w:b/>
          <w:bCs/>
          <w:spacing w:val="-3"/>
        </w:rPr>
        <w:t>1</w:t>
      </w:r>
      <w:r w:rsidR="0026529E">
        <w:rPr>
          <w:rFonts w:eastAsia="Times New Roman" w:cs="Arial"/>
          <w:b/>
          <w:bCs/>
          <w:spacing w:val="-3"/>
        </w:rPr>
        <w:t>7</w:t>
      </w:r>
      <w:r w:rsidR="00245E97">
        <w:rPr>
          <w:rFonts w:eastAsia="Times New Roman" w:cs="Arial"/>
          <w:b/>
          <w:bCs/>
          <w:spacing w:val="-3"/>
        </w:rPr>
        <w:t>.1</w:t>
      </w:r>
      <w:r w:rsidR="009075FE">
        <w:rPr>
          <w:rFonts w:eastAsia="Times New Roman" w:cs="Arial"/>
          <w:b/>
          <w:bCs/>
          <w:spacing w:val="-3"/>
        </w:rPr>
        <w:t>.</w:t>
      </w:r>
      <w:r w:rsidR="00E604A2" w:rsidRPr="00ED4731">
        <w:rPr>
          <w:rFonts w:eastAsia="Times New Roman" w:cs="Arial"/>
          <w:b/>
          <w:bCs/>
          <w:spacing w:val="-3"/>
        </w:rPr>
        <w:tab/>
        <w:t>Fer vrijednost financijske imovine i financijskih obveza koji su nakon početnog priznavanja svedeni na fer vrijednost (nastavak)</w:t>
      </w:r>
    </w:p>
    <w:p w14:paraId="4263D503" w14:textId="77777777" w:rsidR="00E604A2" w:rsidRPr="00CA37C8" w:rsidRDefault="00E604A2" w:rsidP="00A37280">
      <w:pPr>
        <w:keepNext/>
        <w:spacing w:after="0" w:line="240" w:lineRule="auto"/>
        <w:jc w:val="both"/>
        <w:rPr>
          <w:rFonts w:eastAsia="Times New Roman" w:cs="Arial"/>
          <w:spacing w:val="-3"/>
          <w:sz w:val="24"/>
          <w:szCs w:val="24"/>
        </w:rPr>
      </w:pPr>
    </w:p>
    <w:tbl>
      <w:tblPr>
        <w:tblW w:w="10089" w:type="dxa"/>
        <w:jc w:val="center"/>
        <w:tblLayout w:type="fixed"/>
        <w:tblCellMar>
          <w:left w:w="122" w:type="dxa"/>
          <w:right w:w="122" w:type="dxa"/>
        </w:tblCellMar>
        <w:tblLook w:val="0000" w:firstRow="0" w:lastRow="0" w:firstColumn="0" w:lastColumn="0" w:noHBand="0" w:noVBand="0"/>
      </w:tblPr>
      <w:tblGrid>
        <w:gridCol w:w="3580"/>
        <w:gridCol w:w="1083"/>
        <w:gridCol w:w="1084"/>
        <w:gridCol w:w="1087"/>
        <w:gridCol w:w="1084"/>
        <w:gridCol w:w="1083"/>
        <w:gridCol w:w="1088"/>
      </w:tblGrid>
      <w:tr w:rsidR="00F75302" w:rsidRPr="00831B14" w14:paraId="7CA84B9B" w14:textId="77777777" w:rsidTr="00F75302">
        <w:trPr>
          <w:trHeight w:val="311"/>
          <w:jc w:val="center"/>
        </w:trPr>
        <w:tc>
          <w:tcPr>
            <w:tcW w:w="3580" w:type="dxa"/>
            <w:shd w:val="clear" w:color="auto" w:fill="auto"/>
          </w:tcPr>
          <w:p w14:paraId="0AEFB7AC" w14:textId="77777777" w:rsidR="00F75302" w:rsidRPr="00831B14" w:rsidRDefault="00F75302" w:rsidP="00F75302">
            <w:pPr>
              <w:tabs>
                <w:tab w:val="right" w:pos="1202"/>
              </w:tabs>
              <w:spacing w:after="0" w:line="240" w:lineRule="auto"/>
              <w:outlineLvl w:val="0"/>
              <w:rPr>
                <w:rFonts w:eastAsia="Times New Roman" w:cs="Arial"/>
                <w:sz w:val="17"/>
                <w:szCs w:val="17"/>
              </w:rPr>
            </w:pPr>
            <w:r w:rsidRPr="00831B14">
              <w:rPr>
                <w:rFonts w:eastAsia="Times New Roman" w:cs="Arial"/>
                <w:b/>
                <w:sz w:val="17"/>
                <w:szCs w:val="17"/>
              </w:rPr>
              <w:t>Banka</w:t>
            </w:r>
          </w:p>
        </w:tc>
        <w:tc>
          <w:tcPr>
            <w:tcW w:w="3254" w:type="dxa"/>
            <w:gridSpan w:val="3"/>
          </w:tcPr>
          <w:p w14:paraId="29660452" w14:textId="3B2BBE96" w:rsidR="00F75302" w:rsidRPr="00831B14" w:rsidRDefault="005F169D">
            <w:pPr>
              <w:tabs>
                <w:tab w:val="right" w:pos="1202"/>
              </w:tabs>
              <w:spacing w:after="0" w:line="240" w:lineRule="auto"/>
              <w:jc w:val="right"/>
              <w:outlineLvl w:val="0"/>
              <w:rPr>
                <w:rFonts w:eastAsia="Times New Roman" w:cs="Arial"/>
                <w:b/>
                <w:bCs/>
                <w:sz w:val="17"/>
                <w:szCs w:val="17"/>
              </w:rPr>
            </w:pPr>
            <w:r w:rsidRPr="009E2A3F">
              <w:rPr>
                <w:rFonts w:eastAsia="Times New Roman" w:cs="Arial"/>
                <w:b/>
                <w:bCs/>
                <w:sz w:val="17"/>
                <w:szCs w:val="17"/>
              </w:rPr>
              <w:t>3</w:t>
            </w:r>
            <w:r>
              <w:rPr>
                <w:rFonts w:eastAsia="Times New Roman" w:cs="Arial"/>
                <w:b/>
                <w:bCs/>
                <w:sz w:val="17"/>
                <w:szCs w:val="17"/>
              </w:rPr>
              <w:t>0</w:t>
            </w:r>
            <w:r w:rsidR="009E2A3F" w:rsidRPr="009E2A3F">
              <w:rPr>
                <w:rFonts w:eastAsia="Times New Roman" w:cs="Arial"/>
                <w:b/>
                <w:bCs/>
                <w:sz w:val="17"/>
                <w:szCs w:val="17"/>
              </w:rPr>
              <w:t>.</w:t>
            </w:r>
            <w:r>
              <w:rPr>
                <w:rFonts w:eastAsia="Times New Roman" w:cs="Arial"/>
                <w:b/>
                <w:bCs/>
                <w:sz w:val="17"/>
                <w:szCs w:val="17"/>
              </w:rPr>
              <w:t>6</w:t>
            </w:r>
            <w:r w:rsidR="009E2A3F" w:rsidRPr="009E2A3F">
              <w:rPr>
                <w:rFonts w:eastAsia="Times New Roman" w:cs="Arial"/>
                <w:b/>
                <w:bCs/>
                <w:sz w:val="17"/>
                <w:szCs w:val="17"/>
              </w:rPr>
              <w:t>.2017.</w:t>
            </w:r>
          </w:p>
        </w:tc>
        <w:tc>
          <w:tcPr>
            <w:tcW w:w="3255" w:type="dxa"/>
            <w:gridSpan w:val="3"/>
            <w:shd w:val="clear" w:color="auto" w:fill="auto"/>
          </w:tcPr>
          <w:p w14:paraId="49C09887" w14:textId="7602C3B3" w:rsidR="00F75302" w:rsidRPr="00831B14" w:rsidRDefault="00F75302" w:rsidP="009E2A3F">
            <w:pPr>
              <w:tabs>
                <w:tab w:val="right" w:pos="1202"/>
              </w:tabs>
              <w:spacing w:after="0" w:line="240" w:lineRule="auto"/>
              <w:jc w:val="right"/>
              <w:outlineLvl w:val="0"/>
              <w:rPr>
                <w:rFonts w:eastAsia="Times New Roman" w:cs="Arial"/>
                <w:b/>
                <w:bCs/>
                <w:sz w:val="17"/>
                <w:szCs w:val="17"/>
              </w:rPr>
            </w:pPr>
            <w:r w:rsidRPr="00831B14">
              <w:rPr>
                <w:rFonts w:eastAsia="Times New Roman" w:cs="Arial"/>
                <w:b/>
                <w:bCs/>
                <w:sz w:val="17"/>
                <w:szCs w:val="17"/>
              </w:rPr>
              <w:t>31.12.201</w:t>
            </w:r>
            <w:r w:rsidR="009E2A3F">
              <w:rPr>
                <w:rFonts w:eastAsia="Times New Roman" w:cs="Arial"/>
                <w:b/>
                <w:bCs/>
                <w:sz w:val="17"/>
                <w:szCs w:val="17"/>
              </w:rPr>
              <w:t>6</w:t>
            </w:r>
            <w:r w:rsidRPr="00831B14">
              <w:rPr>
                <w:rFonts w:eastAsia="Times New Roman" w:cs="Arial"/>
                <w:b/>
                <w:bCs/>
                <w:sz w:val="17"/>
                <w:szCs w:val="17"/>
              </w:rPr>
              <w:t>.</w:t>
            </w:r>
          </w:p>
        </w:tc>
      </w:tr>
      <w:tr w:rsidR="00F75302" w:rsidRPr="00831B14" w14:paraId="4D899C6D" w14:textId="77777777" w:rsidTr="009E2A3F">
        <w:trPr>
          <w:trHeight w:val="311"/>
          <w:jc w:val="center"/>
        </w:trPr>
        <w:tc>
          <w:tcPr>
            <w:tcW w:w="3580" w:type="dxa"/>
            <w:shd w:val="clear" w:color="auto" w:fill="auto"/>
            <w:vAlign w:val="bottom"/>
          </w:tcPr>
          <w:p w14:paraId="5F696DF8" w14:textId="77777777" w:rsidR="00F75302" w:rsidRPr="00831B14" w:rsidRDefault="00F75302" w:rsidP="00F75302">
            <w:pPr>
              <w:tabs>
                <w:tab w:val="right" w:pos="1202"/>
              </w:tabs>
              <w:spacing w:after="0" w:line="240" w:lineRule="auto"/>
              <w:outlineLvl w:val="0"/>
              <w:rPr>
                <w:rFonts w:eastAsia="Times New Roman" w:cs="Arial"/>
                <w:spacing w:val="-2"/>
                <w:sz w:val="17"/>
                <w:szCs w:val="17"/>
              </w:rPr>
            </w:pPr>
          </w:p>
        </w:tc>
        <w:tc>
          <w:tcPr>
            <w:tcW w:w="1083" w:type="dxa"/>
            <w:shd w:val="clear" w:color="auto" w:fill="auto"/>
            <w:vAlign w:val="bottom"/>
          </w:tcPr>
          <w:p w14:paraId="6AACBC40" w14:textId="77777777" w:rsidR="00F75302" w:rsidRPr="00831B14" w:rsidRDefault="00F75302" w:rsidP="00F75302">
            <w:pPr>
              <w:tabs>
                <w:tab w:val="right" w:pos="1202"/>
              </w:tabs>
              <w:spacing w:after="0" w:line="240" w:lineRule="auto"/>
              <w:jc w:val="right"/>
              <w:outlineLvl w:val="0"/>
              <w:rPr>
                <w:rFonts w:eastAsia="Times New Roman" w:cs="Arial"/>
                <w:b/>
                <w:spacing w:val="-2"/>
                <w:sz w:val="17"/>
                <w:szCs w:val="17"/>
              </w:rPr>
            </w:pPr>
            <w:r w:rsidRPr="00831B14">
              <w:rPr>
                <w:rFonts w:eastAsia="Times New Roman" w:cs="Arial"/>
                <w:b/>
                <w:spacing w:val="-2"/>
                <w:sz w:val="17"/>
                <w:szCs w:val="17"/>
              </w:rPr>
              <w:t>Razina 1</w:t>
            </w:r>
          </w:p>
        </w:tc>
        <w:tc>
          <w:tcPr>
            <w:tcW w:w="1084" w:type="dxa"/>
            <w:shd w:val="clear" w:color="auto" w:fill="auto"/>
            <w:vAlign w:val="bottom"/>
          </w:tcPr>
          <w:p w14:paraId="7FBED86F" w14:textId="77777777" w:rsidR="00F75302" w:rsidRPr="00831B14" w:rsidRDefault="00F75302" w:rsidP="00F75302">
            <w:pPr>
              <w:tabs>
                <w:tab w:val="right" w:pos="1202"/>
              </w:tabs>
              <w:spacing w:after="0" w:line="240" w:lineRule="auto"/>
              <w:jc w:val="right"/>
              <w:outlineLvl w:val="0"/>
              <w:rPr>
                <w:rFonts w:eastAsia="Times New Roman" w:cs="Arial"/>
                <w:b/>
                <w:spacing w:val="-2"/>
                <w:sz w:val="17"/>
                <w:szCs w:val="17"/>
              </w:rPr>
            </w:pPr>
            <w:r w:rsidRPr="00831B14">
              <w:rPr>
                <w:rFonts w:eastAsia="Times New Roman" w:cs="Arial"/>
                <w:b/>
                <w:spacing w:val="-2"/>
                <w:sz w:val="17"/>
                <w:szCs w:val="17"/>
              </w:rPr>
              <w:t>Razina 2</w:t>
            </w:r>
          </w:p>
        </w:tc>
        <w:tc>
          <w:tcPr>
            <w:tcW w:w="1087" w:type="dxa"/>
            <w:shd w:val="clear" w:color="auto" w:fill="auto"/>
            <w:vAlign w:val="bottom"/>
          </w:tcPr>
          <w:p w14:paraId="57821DD2" w14:textId="77777777" w:rsidR="00F75302" w:rsidRPr="00831B14" w:rsidRDefault="00F75302" w:rsidP="00F75302">
            <w:pPr>
              <w:tabs>
                <w:tab w:val="right" w:pos="1202"/>
              </w:tabs>
              <w:spacing w:after="0" w:line="240" w:lineRule="auto"/>
              <w:jc w:val="right"/>
              <w:outlineLvl w:val="0"/>
              <w:rPr>
                <w:rFonts w:eastAsia="Times New Roman" w:cs="Arial"/>
                <w:b/>
                <w:spacing w:val="-2"/>
                <w:sz w:val="17"/>
                <w:szCs w:val="17"/>
              </w:rPr>
            </w:pPr>
            <w:r w:rsidRPr="00831B14">
              <w:rPr>
                <w:rFonts w:eastAsia="Times New Roman" w:cs="Arial"/>
                <w:b/>
                <w:spacing w:val="-2"/>
                <w:sz w:val="17"/>
                <w:szCs w:val="17"/>
              </w:rPr>
              <w:t>Razina 3</w:t>
            </w:r>
          </w:p>
        </w:tc>
        <w:tc>
          <w:tcPr>
            <w:tcW w:w="1084" w:type="dxa"/>
            <w:shd w:val="clear" w:color="auto" w:fill="auto"/>
            <w:vAlign w:val="bottom"/>
          </w:tcPr>
          <w:p w14:paraId="35BEF91A" w14:textId="77777777" w:rsidR="00F75302" w:rsidRPr="00831B14" w:rsidRDefault="00F75302" w:rsidP="00F75302">
            <w:pPr>
              <w:tabs>
                <w:tab w:val="right" w:pos="1202"/>
              </w:tabs>
              <w:spacing w:after="0" w:line="240" w:lineRule="auto"/>
              <w:jc w:val="right"/>
              <w:outlineLvl w:val="0"/>
              <w:rPr>
                <w:rFonts w:eastAsia="Times New Roman" w:cs="Arial"/>
                <w:b/>
                <w:spacing w:val="-2"/>
                <w:sz w:val="17"/>
                <w:szCs w:val="17"/>
              </w:rPr>
            </w:pPr>
            <w:r w:rsidRPr="00831B14">
              <w:rPr>
                <w:rFonts w:eastAsia="Times New Roman" w:cs="Arial"/>
                <w:b/>
                <w:spacing w:val="-2"/>
                <w:sz w:val="17"/>
                <w:szCs w:val="17"/>
              </w:rPr>
              <w:t>Razina 1</w:t>
            </w:r>
          </w:p>
        </w:tc>
        <w:tc>
          <w:tcPr>
            <w:tcW w:w="1083" w:type="dxa"/>
            <w:shd w:val="clear" w:color="auto" w:fill="auto"/>
            <w:vAlign w:val="bottom"/>
          </w:tcPr>
          <w:p w14:paraId="7A671EED" w14:textId="77777777" w:rsidR="00F75302" w:rsidRPr="00831B14" w:rsidRDefault="00F75302" w:rsidP="00F75302">
            <w:pPr>
              <w:tabs>
                <w:tab w:val="right" w:pos="1202"/>
              </w:tabs>
              <w:spacing w:after="0" w:line="240" w:lineRule="auto"/>
              <w:jc w:val="right"/>
              <w:outlineLvl w:val="0"/>
              <w:rPr>
                <w:rFonts w:eastAsia="Times New Roman" w:cs="Arial"/>
                <w:b/>
                <w:spacing w:val="-2"/>
                <w:sz w:val="17"/>
                <w:szCs w:val="17"/>
              </w:rPr>
            </w:pPr>
            <w:r w:rsidRPr="00831B14">
              <w:rPr>
                <w:rFonts w:eastAsia="Times New Roman" w:cs="Arial"/>
                <w:b/>
                <w:spacing w:val="-2"/>
                <w:sz w:val="17"/>
                <w:szCs w:val="17"/>
              </w:rPr>
              <w:t>Razina 2</w:t>
            </w:r>
          </w:p>
        </w:tc>
        <w:tc>
          <w:tcPr>
            <w:tcW w:w="1088" w:type="dxa"/>
            <w:shd w:val="clear" w:color="auto" w:fill="auto"/>
            <w:vAlign w:val="bottom"/>
          </w:tcPr>
          <w:p w14:paraId="611A6B0C" w14:textId="77777777" w:rsidR="00F75302" w:rsidRPr="00831B14" w:rsidRDefault="00F75302" w:rsidP="00F75302">
            <w:pPr>
              <w:tabs>
                <w:tab w:val="right" w:pos="1202"/>
              </w:tabs>
              <w:spacing w:after="0" w:line="240" w:lineRule="auto"/>
              <w:jc w:val="right"/>
              <w:outlineLvl w:val="0"/>
              <w:rPr>
                <w:rFonts w:eastAsia="Times New Roman" w:cs="Arial"/>
                <w:b/>
                <w:spacing w:val="-2"/>
                <w:sz w:val="17"/>
                <w:szCs w:val="17"/>
              </w:rPr>
            </w:pPr>
            <w:r w:rsidRPr="00831B14">
              <w:rPr>
                <w:rFonts w:eastAsia="Times New Roman" w:cs="Arial"/>
                <w:b/>
                <w:spacing w:val="-2"/>
                <w:sz w:val="17"/>
                <w:szCs w:val="17"/>
              </w:rPr>
              <w:t>Razina 3</w:t>
            </w:r>
          </w:p>
        </w:tc>
      </w:tr>
      <w:tr w:rsidR="00F75302" w:rsidRPr="00831B14" w14:paraId="39702707" w14:textId="77777777" w:rsidTr="009E2A3F">
        <w:trPr>
          <w:trHeight w:val="291"/>
          <w:jc w:val="center"/>
        </w:trPr>
        <w:tc>
          <w:tcPr>
            <w:tcW w:w="3580" w:type="dxa"/>
            <w:shd w:val="clear" w:color="auto" w:fill="auto"/>
            <w:vAlign w:val="bottom"/>
          </w:tcPr>
          <w:p w14:paraId="3342DF1C" w14:textId="77777777" w:rsidR="00F75302" w:rsidRPr="00831B14" w:rsidRDefault="00F75302" w:rsidP="00F75302">
            <w:pPr>
              <w:tabs>
                <w:tab w:val="right" w:pos="1202"/>
              </w:tabs>
              <w:spacing w:after="0" w:line="240" w:lineRule="auto"/>
              <w:outlineLvl w:val="0"/>
              <w:rPr>
                <w:rFonts w:eastAsia="Times New Roman" w:cs="Arial"/>
                <w:b/>
                <w:spacing w:val="-2"/>
                <w:sz w:val="17"/>
                <w:szCs w:val="17"/>
              </w:rPr>
            </w:pPr>
            <w:r w:rsidRPr="00831B14">
              <w:rPr>
                <w:rFonts w:eastAsia="Times New Roman" w:cs="Arial"/>
                <w:b/>
                <w:spacing w:val="-2"/>
                <w:sz w:val="17"/>
                <w:szCs w:val="17"/>
              </w:rPr>
              <w:t>Imovina raspoloživa za prodaju:</w:t>
            </w:r>
          </w:p>
        </w:tc>
        <w:tc>
          <w:tcPr>
            <w:tcW w:w="1083" w:type="dxa"/>
          </w:tcPr>
          <w:p w14:paraId="27760306"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4" w:type="dxa"/>
          </w:tcPr>
          <w:p w14:paraId="755ECC73"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7" w:type="dxa"/>
          </w:tcPr>
          <w:p w14:paraId="50D65EB9"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4" w:type="dxa"/>
            <w:shd w:val="clear" w:color="auto" w:fill="auto"/>
          </w:tcPr>
          <w:p w14:paraId="4AFCBE4A"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3" w:type="dxa"/>
            <w:shd w:val="clear" w:color="auto" w:fill="auto"/>
          </w:tcPr>
          <w:p w14:paraId="5D1D09FA"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8" w:type="dxa"/>
            <w:shd w:val="clear" w:color="auto" w:fill="auto"/>
          </w:tcPr>
          <w:p w14:paraId="3E14A7A4"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r>
      <w:tr w:rsidR="00F75302" w:rsidRPr="00831B14" w14:paraId="06481D99" w14:textId="77777777" w:rsidTr="009E2A3F">
        <w:trPr>
          <w:trHeight w:val="291"/>
          <w:jc w:val="center"/>
        </w:trPr>
        <w:tc>
          <w:tcPr>
            <w:tcW w:w="3580" w:type="dxa"/>
            <w:shd w:val="clear" w:color="auto" w:fill="auto"/>
            <w:vAlign w:val="bottom"/>
          </w:tcPr>
          <w:p w14:paraId="1E961954" w14:textId="77777777" w:rsidR="00F75302" w:rsidRPr="00831B14" w:rsidRDefault="00F75302" w:rsidP="00F75302">
            <w:pPr>
              <w:tabs>
                <w:tab w:val="right" w:pos="1202"/>
              </w:tabs>
              <w:spacing w:after="0" w:line="240" w:lineRule="auto"/>
              <w:outlineLvl w:val="0"/>
              <w:rPr>
                <w:rFonts w:eastAsia="Times New Roman" w:cs="Arial"/>
                <w:b/>
                <w:spacing w:val="-2"/>
                <w:sz w:val="17"/>
                <w:szCs w:val="17"/>
              </w:rPr>
            </w:pPr>
            <w:r w:rsidRPr="00831B14">
              <w:rPr>
                <w:rFonts w:eastAsia="Times New Roman" w:cs="Arial"/>
                <w:b/>
                <w:spacing w:val="-2"/>
                <w:sz w:val="17"/>
                <w:szCs w:val="17"/>
              </w:rPr>
              <w:t>Dužnički vrijednosni papiri:</w:t>
            </w:r>
          </w:p>
        </w:tc>
        <w:tc>
          <w:tcPr>
            <w:tcW w:w="1083" w:type="dxa"/>
          </w:tcPr>
          <w:p w14:paraId="7F566090"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4" w:type="dxa"/>
          </w:tcPr>
          <w:p w14:paraId="2FC3653B"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7" w:type="dxa"/>
          </w:tcPr>
          <w:p w14:paraId="760F5814"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4" w:type="dxa"/>
            <w:shd w:val="clear" w:color="auto" w:fill="auto"/>
          </w:tcPr>
          <w:p w14:paraId="45B2FAB1"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3" w:type="dxa"/>
            <w:shd w:val="clear" w:color="auto" w:fill="auto"/>
          </w:tcPr>
          <w:p w14:paraId="7E4822DA"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8" w:type="dxa"/>
            <w:shd w:val="clear" w:color="auto" w:fill="auto"/>
          </w:tcPr>
          <w:p w14:paraId="306DFB22"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r>
      <w:tr w:rsidR="00F75302" w:rsidRPr="00831B14" w14:paraId="2506E5F2" w14:textId="77777777" w:rsidTr="009E2A3F">
        <w:trPr>
          <w:trHeight w:val="291"/>
          <w:jc w:val="center"/>
        </w:trPr>
        <w:tc>
          <w:tcPr>
            <w:tcW w:w="3580" w:type="dxa"/>
            <w:shd w:val="clear" w:color="auto" w:fill="auto"/>
            <w:vAlign w:val="bottom"/>
          </w:tcPr>
          <w:p w14:paraId="17A42CAF" w14:textId="77777777" w:rsidR="00F75302" w:rsidRPr="00831B14" w:rsidRDefault="00F75302" w:rsidP="00F75302">
            <w:pPr>
              <w:tabs>
                <w:tab w:val="right" w:pos="1202"/>
              </w:tabs>
              <w:spacing w:after="0" w:line="240" w:lineRule="auto"/>
              <w:outlineLvl w:val="0"/>
              <w:rPr>
                <w:rFonts w:eastAsia="Times New Roman" w:cs="Arial"/>
                <w:b/>
                <w:i/>
                <w:spacing w:val="-2"/>
                <w:sz w:val="17"/>
                <w:szCs w:val="17"/>
              </w:rPr>
            </w:pPr>
            <w:r w:rsidRPr="00831B14">
              <w:rPr>
                <w:rFonts w:eastAsia="Times New Roman" w:cs="Arial"/>
                <w:b/>
                <w:i/>
                <w:spacing w:val="-2"/>
                <w:sz w:val="17"/>
                <w:szCs w:val="17"/>
              </w:rPr>
              <w:t>Dužnički vrijednosni papiri koji kotiraju:</w:t>
            </w:r>
          </w:p>
        </w:tc>
        <w:tc>
          <w:tcPr>
            <w:tcW w:w="1083" w:type="dxa"/>
            <w:vAlign w:val="bottom"/>
          </w:tcPr>
          <w:p w14:paraId="1052EE99"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4" w:type="dxa"/>
            <w:vAlign w:val="bottom"/>
          </w:tcPr>
          <w:p w14:paraId="58981FD3"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7" w:type="dxa"/>
            <w:vAlign w:val="bottom"/>
          </w:tcPr>
          <w:p w14:paraId="5F09BCFD"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4" w:type="dxa"/>
            <w:shd w:val="clear" w:color="auto" w:fill="auto"/>
          </w:tcPr>
          <w:p w14:paraId="13A41FDD"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3" w:type="dxa"/>
            <w:shd w:val="clear" w:color="auto" w:fill="auto"/>
          </w:tcPr>
          <w:p w14:paraId="1A670E9F"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8" w:type="dxa"/>
            <w:shd w:val="clear" w:color="auto" w:fill="auto"/>
          </w:tcPr>
          <w:p w14:paraId="7EA8991D"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r>
      <w:tr w:rsidR="00F75E59" w:rsidRPr="00831B14" w14:paraId="7F0AD1F9" w14:textId="77777777" w:rsidTr="00312975">
        <w:trPr>
          <w:trHeight w:val="291"/>
          <w:jc w:val="center"/>
        </w:trPr>
        <w:tc>
          <w:tcPr>
            <w:tcW w:w="3580" w:type="dxa"/>
            <w:shd w:val="clear" w:color="auto" w:fill="auto"/>
            <w:vAlign w:val="bottom"/>
          </w:tcPr>
          <w:p w14:paraId="14B04ADC" w14:textId="77777777" w:rsidR="00F75E59" w:rsidRPr="00831B14" w:rsidRDefault="00F75E59" w:rsidP="00F75E59">
            <w:pPr>
              <w:tabs>
                <w:tab w:val="right" w:pos="1202"/>
              </w:tabs>
              <w:spacing w:after="0" w:line="240" w:lineRule="auto"/>
              <w:outlineLvl w:val="0"/>
              <w:rPr>
                <w:rFonts w:eastAsia="Times New Roman" w:cs="Arial"/>
                <w:spacing w:val="-2"/>
                <w:sz w:val="17"/>
                <w:szCs w:val="17"/>
              </w:rPr>
            </w:pPr>
            <w:r w:rsidRPr="00831B14">
              <w:rPr>
                <w:rFonts w:eastAsia="Times New Roman" w:cs="Arial"/>
                <w:spacing w:val="-2"/>
                <w:sz w:val="17"/>
                <w:szCs w:val="17"/>
              </w:rPr>
              <w:t>Obveznice Republike Hrvatske</w:t>
            </w:r>
          </w:p>
        </w:tc>
        <w:tc>
          <w:tcPr>
            <w:tcW w:w="1083" w:type="dxa"/>
            <w:tcBorders>
              <w:top w:val="nil"/>
              <w:left w:val="nil"/>
              <w:bottom w:val="nil"/>
              <w:right w:val="nil"/>
            </w:tcBorders>
            <w:shd w:val="clear" w:color="auto" w:fill="auto"/>
            <w:vAlign w:val="bottom"/>
          </w:tcPr>
          <w:p w14:paraId="4A349A83" w14:textId="183B5E74" w:rsidR="00F75E59" w:rsidRPr="00831B14" w:rsidRDefault="007D0C69" w:rsidP="00F75E59">
            <w:pPr>
              <w:tabs>
                <w:tab w:val="right" w:pos="1202"/>
              </w:tabs>
              <w:spacing w:after="0" w:line="240" w:lineRule="auto"/>
              <w:jc w:val="right"/>
              <w:outlineLvl w:val="0"/>
              <w:rPr>
                <w:rFonts w:eastAsia="Times New Roman" w:cs="Arial"/>
                <w:sz w:val="17"/>
                <w:szCs w:val="17"/>
                <w:lang w:val="en-GB"/>
              </w:rPr>
            </w:pPr>
            <w:r>
              <w:rPr>
                <w:rFonts w:eastAsia="Times New Roman" w:cs="Arial"/>
                <w:sz w:val="17"/>
                <w:szCs w:val="17"/>
                <w:lang w:val="en-GB"/>
              </w:rPr>
              <w:t>841.975</w:t>
            </w:r>
          </w:p>
        </w:tc>
        <w:tc>
          <w:tcPr>
            <w:tcW w:w="1084" w:type="dxa"/>
            <w:tcBorders>
              <w:top w:val="nil"/>
              <w:left w:val="nil"/>
              <w:bottom w:val="nil"/>
              <w:right w:val="nil"/>
            </w:tcBorders>
            <w:shd w:val="clear" w:color="auto" w:fill="auto"/>
            <w:vAlign w:val="bottom"/>
          </w:tcPr>
          <w:p w14:paraId="5F185D18" w14:textId="2B69BF8F" w:rsidR="00F75E59" w:rsidRPr="000E5941" w:rsidRDefault="00F75E59" w:rsidP="00F75E59">
            <w:pPr>
              <w:tabs>
                <w:tab w:val="right" w:pos="1202"/>
              </w:tabs>
              <w:spacing w:after="0" w:line="240" w:lineRule="auto"/>
              <w:jc w:val="right"/>
              <w:outlineLvl w:val="0"/>
              <w:rPr>
                <w:rFonts w:ascii="Calibri" w:hAnsi="Calibri"/>
                <w:color w:val="000000"/>
                <w:sz w:val="17"/>
                <w:szCs w:val="17"/>
              </w:rPr>
            </w:pPr>
            <w:r w:rsidRPr="000E5941">
              <w:rPr>
                <w:rFonts w:ascii="Calibri" w:hAnsi="Calibri"/>
                <w:color w:val="000000"/>
                <w:sz w:val="17"/>
                <w:szCs w:val="17"/>
              </w:rPr>
              <w:t>-</w:t>
            </w:r>
          </w:p>
        </w:tc>
        <w:tc>
          <w:tcPr>
            <w:tcW w:w="1087" w:type="dxa"/>
            <w:tcBorders>
              <w:top w:val="nil"/>
              <w:left w:val="nil"/>
              <w:bottom w:val="nil"/>
              <w:right w:val="nil"/>
            </w:tcBorders>
            <w:shd w:val="clear" w:color="auto" w:fill="auto"/>
            <w:vAlign w:val="bottom"/>
          </w:tcPr>
          <w:p w14:paraId="44B842D3" w14:textId="12E6A41F" w:rsidR="00F75E59" w:rsidRPr="000E5941" w:rsidRDefault="00F75E59" w:rsidP="00F75E59">
            <w:pPr>
              <w:tabs>
                <w:tab w:val="right" w:pos="1202"/>
              </w:tabs>
              <w:spacing w:after="0" w:line="240" w:lineRule="auto"/>
              <w:jc w:val="right"/>
              <w:outlineLvl w:val="0"/>
              <w:rPr>
                <w:rFonts w:ascii="Calibri" w:hAnsi="Calibri"/>
                <w:color w:val="000000"/>
                <w:sz w:val="17"/>
                <w:szCs w:val="17"/>
              </w:rPr>
            </w:pPr>
            <w:r w:rsidRPr="000E5941">
              <w:rPr>
                <w:rFonts w:ascii="Calibri" w:hAnsi="Calibri"/>
                <w:color w:val="000000"/>
                <w:sz w:val="17"/>
                <w:szCs w:val="17"/>
              </w:rPr>
              <w:t>-</w:t>
            </w:r>
          </w:p>
        </w:tc>
        <w:tc>
          <w:tcPr>
            <w:tcW w:w="1084" w:type="dxa"/>
            <w:tcBorders>
              <w:top w:val="nil"/>
              <w:left w:val="nil"/>
              <w:bottom w:val="nil"/>
              <w:right w:val="nil"/>
            </w:tcBorders>
            <w:shd w:val="clear" w:color="auto" w:fill="auto"/>
            <w:vAlign w:val="bottom"/>
          </w:tcPr>
          <w:p w14:paraId="6BE88213" w14:textId="666DA6AA" w:rsidR="00F75E59" w:rsidRPr="00831B14" w:rsidRDefault="00F75E59" w:rsidP="00F75E59">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884.914</w:t>
            </w:r>
          </w:p>
        </w:tc>
        <w:tc>
          <w:tcPr>
            <w:tcW w:w="1083" w:type="dxa"/>
            <w:tcBorders>
              <w:top w:val="nil"/>
              <w:left w:val="nil"/>
              <w:bottom w:val="nil"/>
              <w:right w:val="nil"/>
            </w:tcBorders>
            <w:shd w:val="clear" w:color="auto" w:fill="auto"/>
            <w:vAlign w:val="bottom"/>
          </w:tcPr>
          <w:p w14:paraId="51D3028B" w14:textId="179FB023" w:rsidR="00F75E59" w:rsidRPr="00831B14" w:rsidRDefault="00F75E59" w:rsidP="00F75E59">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w:t>
            </w:r>
          </w:p>
        </w:tc>
        <w:tc>
          <w:tcPr>
            <w:tcW w:w="1088" w:type="dxa"/>
            <w:tcBorders>
              <w:top w:val="nil"/>
              <w:left w:val="nil"/>
              <w:bottom w:val="nil"/>
              <w:right w:val="nil"/>
            </w:tcBorders>
            <w:shd w:val="clear" w:color="auto" w:fill="auto"/>
            <w:vAlign w:val="bottom"/>
          </w:tcPr>
          <w:p w14:paraId="27158137" w14:textId="6434E32A" w:rsidR="00F75E59" w:rsidRPr="00831B14" w:rsidRDefault="00F75E59" w:rsidP="00F75E59">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w:t>
            </w:r>
          </w:p>
        </w:tc>
      </w:tr>
      <w:tr w:rsidR="00F75E59" w:rsidRPr="00831B14" w14:paraId="57D944A8" w14:textId="77777777" w:rsidTr="00312975">
        <w:trPr>
          <w:trHeight w:val="291"/>
          <w:jc w:val="center"/>
        </w:trPr>
        <w:tc>
          <w:tcPr>
            <w:tcW w:w="3580" w:type="dxa"/>
            <w:shd w:val="clear" w:color="auto" w:fill="auto"/>
            <w:vAlign w:val="bottom"/>
          </w:tcPr>
          <w:p w14:paraId="5D264A19" w14:textId="77777777" w:rsidR="00F75E59" w:rsidRPr="00831B14" w:rsidRDefault="00F75E59" w:rsidP="00F75E59">
            <w:pPr>
              <w:tabs>
                <w:tab w:val="right" w:pos="1202"/>
              </w:tabs>
              <w:spacing w:after="0" w:line="240" w:lineRule="auto"/>
              <w:outlineLvl w:val="0"/>
              <w:rPr>
                <w:rFonts w:eastAsia="Times New Roman" w:cs="Arial"/>
                <w:spacing w:val="-2"/>
                <w:sz w:val="17"/>
                <w:szCs w:val="17"/>
              </w:rPr>
            </w:pPr>
            <w:r w:rsidRPr="00831B14">
              <w:rPr>
                <w:rFonts w:eastAsia="Times New Roman" w:cs="Arial"/>
                <w:spacing w:val="-2"/>
                <w:sz w:val="17"/>
                <w:szCs w:val="17"/>
              </w:rPr>
              <w:t>Trezorski zapisi Ministarstva financija</w:t>
            </w:r>
          </w:p>
        </w:tc>
        <w:tc>
          <w:tcPr>
            <w:tcW w:w="1083" w:type="dxa"/>
            <w:tcBorders>
              <w:top w:val="nil"/>
              <w:left w:val="nil"/>
              <w:bottom w:val="nil"/>
              <w:right w:val="nil"/>
            </w:tcBorders>
            <w:shd w:val="clear" w:color="auto" w:fill="auto"/>
            <w:vAlign w:val="bottom"/>
          </w:tcPr>
          <w:p w14:paraId="20F578AD" w14:textId="38A35970" w:rsidR="00F75E59" w:rsidRPr="00831B14" w:rsidRDefault="007D0C69" w:rsidP="00F75E59">
            <w:pPr>
              <w:tabs>
                <w:tab w:val="right" w:pos="1202"/>
              </w:tabs>
              <w:spacing w:after="0" w:line="240" w:lineRule="auto"/>
              <w:jc w:val="right"/>
              <w:outlineLvl w:val="0"/>
              <w:rPr>
                <w:rFonts w:eastAsia="Times New Roman" w:cs="Arial"/>
                <w:sz w:val="17"/>
                <w:szCs w:val="17"/>
                <w:lang w:val="en-GB"/>
              </w:rPr>
            </w:pPr>
            <w:r>
              <w:rPr>
                <w:rFonts w:eastAsia="Times New Roman" w:cs="Arial"/>
                <w:sz w:val="17"/>
                <w:szCs w:val="17"/>
                <w:lang w:val="en-GB"/>
              </w:rPr>
              <w:t>1.293.042</w:t>
            </w:r>
          </w:p>
        </w:tc>
        <w:tc>
          <w:tcPr>
            <w:tcW w:w="1084" w:type="dxa"/>
            <w:tcBorders>
              <w:top w:val="nil"/>
              <w:left w:val="nil"/>
              <w:bottom w:val="nil"/>
              <w:right w:val="nil"/>
            </w:tcBorders>
            <w:shd w:val="clear" w:color="auto" w:fill="auto"/>
            <w:vAlign w:val="bottom"/>
          </w:tcPr>
          <w:p w14:paraId="0423454A" w14:textId="35330491" w:rsidR="00F75E59" w:rsidRPr="000E5941" w:rsidRDefault="00F75E59" w:rsidP="00F75E59">
            <w:pPr>
              <w:tabs>
                <w:tab w:val="right" w:pos="1202"/>
              </w:tabs>
              <w:spacing w:after="0" w:line="240" w:lineRule="auto"/>
              <w:jc w:val="right"/>
              <w:outlineLvl w:val="0"/>
              <w:rPr>
                <w:rFonts w:ascii="Calibri" w:hAnsi="Calibri"/>
                <w:color w:val="000000"/>
                <w:sz w:val="17"/>
                <w:szCs w:val="17"/>
              </w:rPr>
            </w:pPr>
            <w:r w:rsidRPr="000E5941">
              <w:rPr>
                <w:rFonts w:ascii="Calibri" w:hAnsi="Calibri"/>
                <w:color w:val="000000"/>
                <w:sz w:val="17"/>
                <w:szCs w:val="17"/>
              </w:rPr>
              <w:t>-</w:t>
            </w:r>
          </w:p>
        </w:tc>
        <w:tc>
          <w:tcPr>
            <w:tcW w:w="1087" w:type="dxa"/>
            <w:tcBorders>
              <w:top w:val="nil"/>
              <w:left w:val="nil"/>
              <w:bottom w:val="nil"/>
              <w:right w:val="nil"/>
            </w:tcBorders>
            <w:shd w:val="clear" w:color="auto" w:fill="auto"/>
            <w:vAlign w:val="bottom"/>
          </w:tcPr>
          <w:p w14:paraId="5825E373" w14:textId="0142F736" w:rsidR="00F75E59" w:rsidRPr="000E5941" w:rsidRDefault="00F75E59" w:rsidP="00F75E59">
            <w:pPr>
              <w:tabs>
                <w:tab w:val="right" w:pos="1202"/>
              </w:tabs>
              <w:spacing w:after="0" w:line="240" w:lineRule="auto"/>
              <w:jc w:val="right"/>
              <w:outlineLvl w:val="0"/>
              <w:rPr>
                <w:rFonts w:ascii="Calibri" w:hAnsi="Calibri"/>
                <w:color w:val="000000"/>
                <w:sz w:val="17"/>
                <w:szCs w:val="17"/>
              </w:rPr>
            </w:pPr>
            <w:r w:rsidRPr="000E5941">
              <w:rPr>
                <w:rFonts w:ascii="Calibri" w:hAnsi="Calibri"/>
                <w:color w:val="000000"/>
                <w:sz w:val="17"/>
                <w:szCs w:val="17"/>
              </w:rPr>
              <w:t>-</w:t>
            </w:r>
          </w:p>
        </w:tc>
        <w:tc>
          <w:tcPr>
            <w:tcW w:w="1084" w:type="dxa"/>
            <w:tcBorders>
              <w:top w:val="nil"/>
              <w:left w:val="nil"/>
              <w:bottom w:val="nil"/>
              <w:right w:val="nil"/>
            </w:tcBorders>
            <w:shd w:val="clear" w:color="auto" w:fill="auto"/>
            <w:vAlign w:val="bottom"/>
          </w:tcPr>
          <w:p w14:paraId="40939C20" w14:textId="5BFBA1CA" w:rsidR="00F75E59" w:rsidRPr="00831B14" w:rsidRDefault="00F75E59" w:rsidP="00F75E59">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1.500.420</w:t>
            </w:r>
          </w:p>
        </w:tc>
        <w:tc>
          <w:tcPr>
            <w:tcW w:w="1083" w:type="dxa"/>
            <w:tcBorders>
              <w:top w:val="nil"/>
              <w:left w:val="nil"/>
              <w:bottom w:val="nil"/>
              <w:right w:val="nil"/>
            </w:tcBorders>
            <w:shd w:val="clear" w:color="auto" w:fill="auto"/>
            <w:vAlign w:val="bottom"/>
          </w:tcPr>
          <w:p w14:paraId="79D9604C" w14:textId="5F7AB2EC" w:rsidR="00F75E59" w:rsidRPr="00831B14" w:rsidRDefault="00F75E59" w:rsidP="00F75E59">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w:t>
            </w:r>
          </w:p>
        </w:tc>
        <w:tc>
          <w:tcPr>
            <w:tcW w:w="1088" w:type="dxa"/>
            <w:tcBorders>
              <w:top w:val="nil"/>
              <w:left w:val="nil"/>
              <w:bottom w:val="nil"/>
              <w:right w:val="nil"/>
            </w:tcBorders>
            <w:shd w:val="clear" w:color="auto" w:fill="auto"/>
            <w:vAlign w:val="bottom"/>
          </w:tcPr>
          <w:p w14:paraId="23503A4C" w14:textId="012F0133" w:rsidR="00F75E59" w:rsidRPr="00831B14" w:rsidRDefault="00F75E59" w:rsidP="00F75E59">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w:t>
            </w:r>
          </w:p>
        </w:tc>
      </w:tr>
      <w:tr w:rsidR="00F75E59" w:rsidRPr="00831B14" w14:paraId="3D0554CB" w14:textId="77777777" w:rsidTr="00312975">
        <w:trPr>
          <w:trHeight w:val="291"/>
          <w:jc w:val="center"/>
        </w:trPr>
        <w:tc>
          <w:tcPr>
            <w:tcW w:w="3580" w:type="dxa"/>
            <w:shd w:val="clear" w:color="auto" w:fill="auto"/>
            <w:vAlign w:val="bottom"/>
          </w:tcPr>
          <w:p w14:paraId="452BD312" w14:textId="77777777" w:rsidR="00F75E59" w:rsidRPr="00831B14" w:rsidRDefault="00F75E59" w:rsidP="00F75E59">
            <w:pPr>
              <w:tabs>
                <w:tab w:val="right" w:pos="1202"/>
              </w:tabs>
              <w:spacing w:after="0" w:line="240" w:lineRule="auto"/>
              <w:outlineLvl w:val="0"/>
              <w:rPr>
                <w:rFonts w:eastAsia="Times New Roman" w:cs="Arial"/>
                <w:spacing w:val="-2"/>
                <w:sz w:val="17"/>
                <w:szCs w:val="17"/>
              </w:rPr>
            </w:pPr>
            <w:r w:rsidRPr="00831B14">
              <w:rPr>
                <w:rFonts w:eastAsia="Times New Roman" w:cs="Arial"/>
                <w:spacing w:val="-2"/>
                <w:sz w:val="17"/>
                <w:szCs w:val="17"/>
              </w:rPr>
              <w:t xml:space="preserve">Obračunana kamata </w:t>
            </w:r>
          </w:p>
        </w:tc>
        <w:tc>
          <w:tcPr>
            <w:tcW w:w="1083" w:type="dxa"/>
            <w:tcBorders>
              <w:top w:val="nil"/>
              <w:left w:val="nil"/>
              <w:bottom w:val="nil"/>
              <w:right w:val="nil"/>
            </w:tcBorders>
            <w:shd w:val="clear" w:color="auto" w:fill="auto"/>
            <w:vAlign w:val="bottom"/>
          </w:tcPr>
          <w:p w14:paraId="3D4D44E9" w14:textId="6DAAFA99" w:rsidR="00F75E59" w:rsidRPr="00831B14" w:rsidRDefault="007D0C69" w:rsidP="00F75E59">
            <w:pPr>
              <w:tabs>
                <w:tab w:val="right" w:pos="1202"/>
              </w:tabs>
              <w:spacing w:after="0" w:line="240" w:lineRule="auto"/>
              <w:jc w:val="right"/>
              <w:outlineLvl w:val="0"/>
              <w:rPr>
                <w:rFonts w:eastAsia="Times New Roman" w:cs="Arial"/>
                <w:sz w:val="17"/>
                <w:szCs w:val="17"/>
                <w:lang w:val="en-GB"/>
              </w:rPr>
            </w:pPr>
            <w:r>
              <w:rPr>
                <w:rFonts w:eastAsia="Times New Roman" w:cs="Arial"/>
                <w:sz w:val="17"/>
                <w:szCs w:val="17"/>
                <w:lang w:val="en-GB"/>
              </w:rPr>
              <w:t>13.178</w:t>
            </w:r>
          </w:p>
        </w:tc>
        <w:tc>
          <w:tcPr>
            <w:tcW w:w="1084" w:type="dxa"/>
            <w:tcBorders>
              <w:top w:val="nil"/>
              <w:left w:val="nil"/>
              <w:bottom w:val="nil"/>
              <w:right w:val="nil"/>
            </w:tcBorders>
            <w:shd w:val="clear" w:color="auto" w:fill="auto"/>
            <w:vAlign w:val="bottom"/>
          </w:tcPr>
          <w:p w14:paraId="585983A6" w14:textId="01127F81" w:rsidR="00F75E59" w:rsidRPr="000E5941" w:rsidRDefault="00F75E59" w:rsidP="00F75E59">
            <w:pPr>
              <w:tabs>
                <w:tab w:val="right" w:pos="1202"/>
              </w:tabs>
              <w:spacing w:after="0" w:line="240" w:lineRule="auto"/>
              <w:jc w:val="right"/>
              <w:outlineLvl w:val="0"/>
              <w:rPr>
                <w:rFonts w:ascii="Calibri" w:hAnsi="Calibri"/>
                <w:color w:val="000000"/>
                <w:sz w:val="17"/>
                <w:szCs w:val="17"/>
              </w:rPr>
            </w:pPr>
            <w:r w:rsidRPr="000E5941">
              <w:rPr>
                <w:rFonts w:ascii="Calibri" w:hAnsi="Calibri"/>
                <w:color w:val="000000"/>
                <w:sz w:val="17"/>
                <w:szCs w:val="17"/>
              </w:rPr>
              <w:t>-</w:t>
            </w:r>
          </w:p>
        </w:tc>
        <w:tc>
          <w:tcPr>
            <w:tcW w:w="1087" w:type="dxa"/>
            <w:tcBorders>
              <w:top w:val="nil"/>
              <w:left w:val="nil"/>
              <w:bottom w:val="nil"/>
              <w:right w:val="nil"/>
            </w:tcBorders>
            <w:shd w:val="clear" w:color="auto" w:fill="auto"/>
            <w:vAlign w:val="bottom"/>
          </w:tcPr>
          <w:p w14:paraId="7D1C4B72" w14:textId="3DB223C6" w:rsidR="00F75E59" w:rsidRPr="000E5941" w:rsidRDefault="00F75E59" w:rsidP="00F75E59">
            <w:pPr>
              <w:tabs>
                <w:tab w:val="right" w:pos="1202"/>
              </w:tabs>
              <w:spacing w:after="0" w:line="240" w:lineRule="auto"/>
              <w:jc w:val="right"/>
              <w:outlineLvl w:val="0"/>
              <w:rPr>
                <w:rFonts w:ascii="Calibri" w:hAnsi="Calibri"/>
                <w:color w:val="000000"/>
                <w:sz w:val="17"/>
                <w:szCs w:val="17"/>
              </w:rPr>
            </w:pPr>
            <w:r w:rsidRPr="000E5941">
              <w:rPr>
                <w:rFonts w:ascii="Calibri" w:hAnsi="Calibri"/>
                <w:color w:val="000000"/>
                <w:sz w:val="17"/>
                <w:szCs w:val="17"/>
              </w:rPr>
              <w:t>-</w:t>
            </w:r>
          </w:p>
        </w:tc>
        <w:tc>
          <w:tcPr>
            <w:tcW w:w="1084" w:type="dxa"/>
            <w:tcBorders>
              <w:top w:val="nil"/>
              <w:left w:val="nil"/>
              <w:bottom w:val="nil"/>
              <w:right w:val="nil"/>
            </w:tcBorders>
            <w:shd w:val="clear" w:color="auto" w:fill="auto"/>
            <w:vAlign w:val="bottom"/>
          </w:tcPr>
          <w:p w14:paraId="418753F1" w14:textId="034D9F81" w:rsidR="00F75E59" w:rsidRPr="00831B14" w:rsidRDefault="00F75E59" w:rsidP="00F75E59">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13.890</w:t>
            </w:r>
          </w:p>
        </w:tc>
        <w:tc>
          <w:tcPr>
            <w:tcW w:w="1083" w:type="dxa"/>
            <w:tcBorders>
              <w:top w:val="nil"/>
              <w:left w:val="nil"/>
              <w:bottom w:val="nil"/>
              <w:right w:val="nil"/>
            </w:tcBorders>
            <w:shd w:val="clear" w:color="auto" w:fill="auto"/>
            <w:vAlign w:val="bottom"/>
          </w:tcPr>
          <w:p w14:paraId="7FAC2461" w14:textId="53ECBE27" w:rsidR="00F75E59" w:rsidRPr="00831B14" w:rsidRDefault="00F75E59" w:rsidP="00F75E59">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w:t>
            </w:r>
          </w:p>
        </w:tc>
        <w:tc>
          <w:tcPr>
            <w:tcW w:w="1088" w:type="dxa"/>
            <w:tcBorders>
              <w:top w:val="nil"/>
              <w:left w:val="nil"/>
              <w:bottom w:val="nil"/>
              <w:right w:val="nil"/>
            </w:tcBorders>
            <w:shd w:val="clear" w:color="auto" w:fill="auto"/>
            <w:vAlign w:val="bottom"/>
          </w:tcPr>
          <w:p w14:paraId="09FCA9A8" w14:textId="3C47BC8A" w:rsidR="00F75E59" w:rsidRPr="00831B14" w:rsidRDefault="00F75E59" w:rsidP="00F75E59">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w:t>
            </w:r>
          </w:p>
        </w:tc>
      </w:tr>
      <w:tr w:rsidR="009E2A3F" w:rsidRPr="00831B14" w14:paraId="6FC71DB8" w14:textId="77777777" w:rsidTr="00312975">
        <w:trPr>
          <w:trHeight w:val="291"/>
          <w:jc w:val="center"/>
        </w:trPr>
        <w:tc>
          <w:tcPr>
            <w:tcW w:w="3580" w:type="dxa"/>
            <w:shd w:val="clear" w:color="auto" w:fill="auto"/>
            <w:vAlign w:val="bottom"/>
          </w:tcPr>
          <w:p w14:paraId="1092C385" w14:textId="77777777" w:rsidR="009E2A3F" w:rsidRPr="00831B14" w:rsidRDefault="009E2A3F" w:rsidP="009E2A3F">
            <w:pPr>
              <w:tabs>
                <w:tab w:val="right" w:pos="1202"/>
              </w:tabs>
              <w:spacing w:after="0" w:line="240" w:lineRule="auto"/>
              <w:outlineLvl w:val="0"/>
              <w:rPr>
                <w:rFonts w:eastAsia="Times New Roman" w:cs="Arial"/>
                <w:b/>
                <w:i/>
                <w:spacing w:val="-2"/>
                <w:sz w:val="17"/>
                <w:szCs w:val="17"/>
              </w:rPr>
            </w:pPr>
            <w:r w:rsidRPr="00831B14">
              <w:rPr>
                <w:rFonts w:eastAsia="Times New Roman" w:cs="Arial"/>
                <w:b/>
                <w:i/>
                <w:spacing w:val="-2"/>
                <w:sz w:val="17"/>
                <w:szCs w:val="17"/>
              </w:rPr>
              <w:t>Dužnički vrijednosni papiri koji ne kotiraju:</w:t>
            </w:r>
          </w:p>
        </w:tc>
        <w:tc>
          <w:tcPr>
            <w:tcW w:w="1083" w:type="dxa"/>
            <w:tcBorders>
              <w:top w:val="nil"/>
              <w:left w:val="nil"/>
              <w:bottom w:val="nil"/>
              <w:right w:val="nil"/>
            </w:tcBorders>
            <w:shd w:val="clear" w:color="auto" w:fill="auto"/>
            <w:vAlign w:val="bottom"/>
          </w:tcPr>
          <w:p w14:paraId="69637BA3" w14:textId="77777777" w:rsidR="009E2A3F" w:rsidRPr="00831B14" w:rsidRDefault="009E2A3F" w:rsidP="009E2A3F">
            <w:pPr>
              <w:tabs>
                <w:tab w:val="right" w:pos="1202"/>
              </w:tabs>
              <w:spacing w:after="0" w:line="240" w:lineRule="auto"/>
              <w:jc w:val="right"/>
              <w:outlineLvl w:val="0"/>
              <w:rPr>
                <w:rFonts w:eastAsia="Times New Roman" w:cs="Arial"/>
                <w:sz w:val="17"/>
                <w:szCs w:val="17"/>
              </w:rPr>
            </w:pPr>
          </w:p>
        </w:tc>
        <w:tc>
          <w:tcPr>
            <w:tcW w:w="1084" w:type="dxa"/>
            <w:tcBorders>
              <w:top w:val="nil"/>
              <w:left w:val="nil"/>
              <w:bottom w:val="nil"/>
              <w:right w:val="nil"/>
            </w:tcBorders>
            <w:shd w:val="clear" w:color="auto" w:fill="auto"/>
            <w:vAlign w:val="bottom"/>
          </w:tcPr>
          <w:p w14:paraId="288B1081" w14:textId="77777777" w:rsidR="009E2A3F" w:rsidRPr="00831B14" w:rsidRDefault="009E2A3F" w:rsidP="009E2A3F">
            <w:pPr>
              <w:tabs>
                <w:tab w:val="right" w:pos="1202"/>
              </w:tabs>
              <w:spacing w:after="0" w:line="240" w:lineRule="auto"/>
              <w:jc w:val="right"/>
              <w:outlineLvl w:val="0"/>
              <w:rPr>
                <w:rFonts w:eastAsia="Times New Roman" w:cs="Arial"/>
                <w:spacing w:val="-2"/>
                <w:sz w:val="17"/>
                <w:szCs w:val="17"/>
              </w:rPr>
            </w:pPr>
          </w:p>
        </w:tc>
        <w:tc>
          <w:tcPr>
            <w:tcW w:w="1087" w:type="dxa"/>
            <w:tcBorders>
              <w:top w:val="nil"/>
              <w:left w:val="nil"/>
              <w:bottom w:val="nil"/>
              <w:right w:val="nil"/>
            </w:tcBorders>
            <w:shd w:val="clear" w:color="auto" w:fill="auto"/>
            <w:vAlign w:val="bottom"/>
          </w:tcPr>
          <w:p w14:paraId="7A04FB1A" w14:textId="77777777" w:rsidR="009E2A3F" w:rsidRPr="00831B14" w:rsidRDefault="009E2A3F" w:rsidP="009E2A3F">
            <w:pPr>
              <w:tabs>
                <w:tab w:val="right" w:pos="1202"/>
              </w:tabs>
              <w:spacing w:after="0" w:line="240" w:lineRule="auto"/>
              <w:jc w:val="right"/>
              <w:outlineLvl w:val="0"/>
              <w:rPr>
                <w:rFonts w:eastAsia="Times New Roman" w:cs="Arial"/>
                <w:spacing w:val="-2"/>
                <w:sz w:val="17"/>
                <w:szCs w:val="17"/>
              </w:rPr>
            </w:pPr>
          </w:p>
        </w:tc>
        <w:tc>
          <w:tcPr>
            <w:tcW w:w="1084" w:type="dxa"/>
            <w:tcBorders>
              <w:top w:val="nil"/>
              <w:left w:val="nil"/>
              <w:bottom w:val="nil"/>
              <w:right w:val="nil"/>
            </w:tcBorders>
            <w:shd w:val="clear" w:color="auto" w:fill="auto"/>
            <w:vAlign w:val="bottom"/>
          </w:tcPr>
          <w:p w14:paraId="2C221746" w14:textId="77777777" w:rsidR="009E2A3F" w:rsidRPr="00831B14" w:rsidRDefault="009E2A3F" w:rsidP="00E45CA6">
            <w:pPr>
              <w:tabs>
                <w:tab w:val="right" w:pos="1202"/>
              </w:tabs>
              <w:spacing w:after="0" w:line="240" w:lineRule="auto"/>
              <w:jc w:val="right"/>
              <w:outlineLvl w:val="0"/>
              <w:rPr>
                <w:rFonts w:eastAsia="Times New Roman" w:cs="Arial"/>
                <w:color w:val="000000"/>
                <w:sz w:val="17"/>
                <w:szCs w:val="17"/>
              </w:rPr>
            </w:pPr>
          </w:p>
        </w:tc>
        <w:tc>
          <w:tcPr>
            <w:tcW w:w="1083" w:type="dxa"/>
            <w:tcBorders>
              <w:top w:val="nil"/>
              <w:left w:val="nil"/>
              <w:bottom w:val="nil"/>
              <w:right w:val="nil"/>
            </w:tcBorders>
            <w:shd w:val="clear" w:color="auto" w:fill="auto"/>
            <w:vAlign w:val="bottom"/>
          </w:tcPr>
          <w:p w14:paraId="32E3919A" w14:textId="77777777" w:rsidR="009E2A3F" w:rsidRPr="00831B14" w:rsidRDefault="009E2A3F" w:rsidP="00E45CA6">
            <w:pPr>
              <w:tabs>
                <w:tab w:val="right" w:pos="1202"/>
              </w:tabs>
              <w:spacing w:after="0" w:line="240" w:lineRule="auto"/>
              <w:jc w:val="right"/>
              <w:outlineLvl w:val="0"/>
              <w:rPr>
                <w:rFonts w:eastAsia="Times New Roman" w:cs="Arial"/>
                <w:color w:val="000000"/>
                <w:sz w:val="17"/>
                <w:szCs w:val="17"/>
              </w:rPr>
            </w:pPr>
          </w:p>
        </w:tc>
        <w:tc>
          <w:tcPr>
            <w:tcW w:w="1088" w:type="dxa"/>
            <w:tcBorders>
              <w:top w:val="nil"/>
              <w:left w:val="nil"/>
              <w:bottom w:val="nil"/>
              <w:right w:val="nil"/>
            </w:tcBorders>
            <w:shd w:val="clear" w:color="auto" w:fill="auto"/>
            <w:vAlign w:val="bottom"/>
          </w:tcPr>
          <w:p w14:paraId="5F558B1F" w14:textId="77777777" w:rsidR="009E2A3F" w:rsidRPr="00831B14" w:rsidRDefault="009E2A3F" w:rsidP="00E45CA6">
            <w:pPr>
              <w:tabs>
                <w:tab w:val="right" w:pos="1202"/>
              </w:tabs>
              <w:spacing w:after="0" w:line="240" w:lineRule="auto"/>
              <w:jc w:val="right"/>
              <w:outlineLvl w:val="0"/>
              <w:rPr>
                <w:rFonts w:eastAsia="Times New Roman" w:cs="Arial"/>
                <w:spacing w:val="-2"/>
                <w:sz w:val="17"/>
                <w:szCs w:val="17"/>
              </w:rPr>
            </w:pPr>
          </w:p>
        </w:tc>
      </w:tr>
      <w:tr w:rsidR="009E2A3F" w:rsidRPr="00831B14" w14:paraId="46C35176" w14:textId="77777777" w:rsidTr="00312975">
        <w:trPr>
          <w:trHeight w:val="291"/>
          <w:jc w:val="center"/>
        </w:trPr>
        <w:tc>
          <w:tcPr>
            <w:tcW w:w="3580" w:type="dxa"/>
            <w:shd w:val="clear" w:color="auto" w:fill="auto"/>
            <w:vAlign w:val="bottom"/>
          </w:tcPr>
          <w:p w14:paraId="44CC068B" w14:textId="77777777" w:rsidR="009E2A3F" w:rsidRPr="00831B14" w:rsidRDefault="009E2A3F" w:rsidP="009E2A3F">
            <w:pPr>
              <w:tabs>
                <w:tab w:val="right" w:pos="1202"/>
              </w:tabs>
              <w:spacing w:after="0" w:line="240" w:lineRule="auto"/>
              <w:outlineLvl w:val="0"/>
              <w:rPr>
                <w:rFonts w:eastAsia="Times New Roman" w:cs="Arial"/>
                <w:spacing w:val="-2"/>
                <w:sz w:val="17"/>
                <w:szCs w:val="17"/>
              </w:rPr>
            </w:pPr>
            <w:r w:rsidRPr="00831B14">
              <w:rPr>
                <w:rFonts w:eastAsia="Times New Roman" w:cs="Arial"/>
                <w:spacing w:val="-2"/>
                <w:sz w:val="17"/>
                <w:szCs w:val="17"/>
              </w:rPr>
              <w:t xml:space="preserve">Obveznice trgovačkih društava </w:t>
            </w:r>
          </w:p>
        </w:tc>
        <w:tc>
          <w:tcPr>
            <w:tcW w:w="1083" w:type="dxa"/>
            <w:tcBorders>
              <w:top w:val="nil"/>
              <w:left w:val="nil"/>
              <w:bottom w:val="nil"/>
              <w:right w:val="nil"/>
            </w:tcBorders>
            <w:shd w:val="clear" w:color="auto" w:fill="auto"/>
            <w:vAlign w:val="bottom"/>
          </w:tcPr>
          <w:p w14:paraId="6223CF25" w14:textId="18FBB9DA" w:rsidR="00F75E59" w:rsidRPr="00831B14" w:rsidRDefault="00F75E59">
            <w:pPr>
              <w:tabs>
                <w:tab w:val="right" w:pos="1202"/>
              </w:tabs>
              <w:spacing w:after="0" w:line="240" w:lineRule="auto"/>
              <w:jc w:val="right"/>
              <w:outlineLvl w:val="0"/>
              <w:rPr>
                <w:rFonts w:eastAsia="Times New Roman" w:cs="Arial"/>
                <w:sz w:val="17"/>
                <w:szCs w:val="17"/>
              </w:rPr>
            </w:pPr>
            <w:r>
              <w:rPr>
                <w:rFonts w:eastAsia="Times New Roman" w:cs="Arial"/>
                <w:sz w:val="17"/>
                <w:szCs w:val="17"/>
              </w:rPr>
              <w:t>-</w:t>
            </w:r>
          </w:p>
        </w:tc>
        <w:tc>
          <w:tcPr>
            <w:tcW w:w="1084" w:type="dxa"/>
            <w:tcBorders>
              <w:top w:val="nil"/>
              <w:left w:val="nil"/>
              <w:bottom w:val="nil"/>
              <w:right w:val="nil"/>
            </w:tcBorders>
            <w:shd w:val="clear" w:color="auto" w:fill="auto"/>
            <w:vAlign w:val="bottom"/>
          </w:tcPr>
          <w:p w14:paraId="12CEB7AE" w14:textId="22C864AC" w:rsidR="009E2A3F" w:rsidRPr="000E5941" w:rsidRDefault="00F75E59" w:rsidP="009E2A3F">
            <w:pPr>
              <w:tabs>
                <w:tab w:val="right" w:pos="1202"/>
              </w:tabs>
              <w:spacing w:after="0" w:line="240" w:lineRule="auto"/>
              <w:jc w:val="right"/>
              <w:outlineLvl w:val="0"/>
              <w:rPr>
                <w:rFonts w:ascii="Calibri" w:hAnsi="Calibri"/>
                <w:color w:val="000000"/>
                <w:sz w:val="17"/>
                <w:szCs w:val="17"/>
              </w:rPr>
            </w:pPr>
            <w:r>
              <w:rPr>
                <w:rFonts w:ascii="Calibri" w:hAnsi="Calibri"/>
                <w:color w:val="000000"/>
                <w:sz w:val="17"/>
                <w:szCs w:val="17"/>
              </w:rPr>
              <w:t>-</w:t>
            </w:r>
          </w:p>
        </w:tc>
        <w:tc>
          <w:tcPr>
            <w:tcW w:w="1087" w:type="dxa"/>
            <w:tcBorders>
              <w:top w:val="nil"/>
              <w:left w:val="nil"/>
              <w:bottom w:val="nil"/>
              <w:right w:val="nil"/>
            </w:tcBorders>
            <w:shd w:val="clear" w:color="auto" w:fill="auto"/>
            <w:vAlign w:val="bottom"/>
          </w:tcPr>
          <w:p w14:paraId="1F693DA5" w14:textId="535CA269" w:rsidR="009E2A3F" w:rsidRPr="00831B14" w:rsidRDefault="007D0C69" w:rsidP="009E2A3F">
            <w:pPr>
              <w:tabs>
                <w:tab w:val="right" w:pos="1202"/>
              </w:tabs>
              <w:spacing w:after="0" w:line="240" w:lineRule="auto"/>
              <w:jc w:val="right"/>
              <w:outlineLvl w:val="0"/>
              <w:rPr>
                <w:rFonts w:eastAsia="Times New Roman" w:cs="Arial"/>
                <w:spacing w:val="-2"/>
                <w:sz w:val="17"/>
                <w:szCs w:val="17"/>
              </w:rPr>
            </w:pPr>
            <w:r>
              <w:rPr>
                <w:rFonts w:eastAsia="Times New Roman" w:cs="Arial"/>
                <w:spacing w:val="-2"/>
                <w:sz w:val="17"/>
                <w:szCs w:val="17"/>
              </w:rPr>
              <w:t>496</w:t>
            </w:r>
          </w:p>
        </w:tc>
        <w:tc>
          <w:tcPr>
            <w:tcW w:w="1084" w:type="dxa"/>
            <w:tcBorders>
              <w:top w:val="nil"/>
              <w:left w:val="nil"/>
              <w:bottom w:val="nil"/>
              <w:right w:val="nil"/>
            </w:tcBorders>
            <w:shd w:val="clear" w:color="auto" w:fill="auto"/>
            <w:vAlign w:val="bottom"/>
          </w:tcPr>
          <w:p w14:paraId="236E9598" w14:textId="2718C79C" w:rsidR="009E2A3F" w:rsidRPr="000E5941" w:rsidRDefault="009E2A3F" w:rsidP="00E45CA6">
            <w:pPr>
              <w:tabs>
                <w:tab w:val="right" w:pos="1202"/>
              </w:tabs>
              <w:spacing w:after="0" w:line="240" w:lineRule="auto"/>
              <w:jc w:val="right"/>
              <w:outlineLvl w:val="0"/>
              <w:rPr>
                <w:rFonts w:ascii="Calibri" w:hAnsi="Calibri"/>
                <w:color w:val="000000"/>
                <w:sz w:val="17"/>
                <w:szCs w:val="17"/>
              </w:rPr>
            </w:pPr>
            <w:r w:rsidRPr="000E5941">
              <w:rPr>
                <w:rFonts w:ascii="Calibri" w:hAnsi="Calibri"/>
                <w:color w:val="000000"/>
                <w:sz w:val="17"/>
                <w:szCs w:val="17"/>
              </w:rPr>
              <w:t>-</w:t>
            </w:r>
          </w:p>
        </w:tc>
        <w:tc>
          <w:tcPr>
            <w:tcW w:w="1083" w:type="dxa"/>
            <w:tcBorders>
              <w:top w:val="nil"/>
              <w:left w:val="nil"/>
              <w:bottom w:val="nil"/>
              <w:right w:val="nil"/>
            </w:tcBorders>
            <w:shd w:val="clear" w:color="auto" w:fill="auto"/>
            <w:vAlign w:val="bottom"/>
          </w:tcPr>
          <w:p w14:paraId="646DB9F7" w14:textId="7CAE7E77" w:rsidR="009E2A3F" w:rsidRPr="000E5941" w:rsidRDefault="009E2A3F" w:rsidP="00E45CA6">
            <w:pPr>
              <w:tabs>
                <w:tab w:val="right" w:pos="1202"/>
              </w:tabs>
              <w:spacing w:after="0" w:line="240" w:lineRule="auto"/>
              <w:jc w:val="right"/>
              <w:outlineLvl w:val="0"/>
              <w:rPr>
                <w:rFonts w:ascii="Calibri" w:hAnsi="Calibri"/>
                <w:color w:val="000000"/>
                <w:sz w:val="17"/>
                <w:szCs w:val="17"/>
              </w:rPr>
            </w:pPr>
            <w:r w:rsidRPr="000E5941">
              <w:rPr>
                <w:rFonts w:ascii="Calibri" w:hAnsi="Calibri"/>
                <w:color w:val="000000"/>
                <w:sz w:val="17"/>
                <w:szCs w:val="17"/>
              </w:rPr>
              <w:t>-</w:t>
            </w:r>
          </w:p>
        </w:tc>
        <w:tc>
          <w:tcPr>
            <w:tcW w:w="1088" w:type="dxa"/>
            <w:tcBorders>
              <w:top w:val="nil"/>
              <w:left w:val="nil"/>
              <w:bottom w:val="nil"/>
              <w:right w:val="nil"/>
            </w:tcBorders>
            <w:shd w:val="clear" w:color="auto" w:fill="auto"/>
            <w:vAlign w:val="bottom"/>
          </w:tcPr>
          <w:p w14:paraId="60841916" w14:textId="4D36906B" w:rsidR="009E2A3F" w:rsidRPr="00831B14" w:rsidRDefault="009E2A3F" w:rsidP="00E45CA6">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502</w:t>
            </w:r>
          </w:p>
        </w:tc>
      </w:tr>
      <w:tr w:rsidR="009E2A3F" w:rsidRPr="00831B14" w14:paraId="26D25F8A" w14:textId="77777777" w:rsidTr="00312975">
        <w:trPr>
          <w:trHeight w:val="291"/>
          <w:jc w:val="center"/>
        </w:trPr>
        <w:tc>
          <w:tcPr>
            <w:tcW w:w="3580" w:type="dxa"/>
            <w:shd w:val="clear" w:color="auto" w:fill="auto"/>
            <w:vAlign w:val="bottom"/>
          </w:tcPr>
          <w:p w14:paraId="4E18E7FE" w14:textId="021BE8F8" w:rsidR="009E2A3F" w:rsidRPr="00831B14" w:rsidRDefault="009E2A3F" w:rsidP="009E2A3F">
            <w:pPr>
              <w:tabs>
                <w:tab w:val="right" w:pos="1202"/>
              </w:tabs>
              <w:spacing w:after="0" w:line="240" w:lineRule="auto"/>
              <w:outlineLvl w:val="0"/>
              <w:rPr>
                <w:rFonts w:eastAsia="Times New Roman" w:cs="Arial"/>
                <w:spacing w:val="-2"/>
                <w:sz w:val="17"/>
                <w:szCs w:val="17"/>
              </w:rPr>
            </w:pPr>
            <w:r w:rsidRPr="00831B14">
              <w:rPr>
                <w:rFonts w:eastAsia="Times New Roman" w:cs="Arial"/>
                <w:spacing w:val="-2"/>
                <w:sz w:val="17"/>
                <w:szCs w:val="17"/>
              </w:rPr>
              <w:t>Obračunata kamata</w:t>
            </w:r>
          </w:p>
        </w:tc>
        <w:tc>
          <w:tcPr>
            <w:tcW w:w="1083" w:type="dxa"/>
            <w:tcBorders>
              <w:top w:val="nil"/>
              <w:left w:val="nil"/>
              <w:bottom w:val="nil"/>
              <w:right w:val="nil"/>
            </w:tcBorders>
            <w:shd w:val="clear" w:color="auto" w:fill="auto"/>
            <w:vAlign w:val="bottom"/>
          </w:tcPr>
          <w:p w14:paraId="2C88EA18" w14:textId="560547BB" w:rsidR="00F75E59" w:rsidRPr="00831B14" w:rsidRDefault="00F75E59">
            <w:pPr>
              <w:tabs>
                <w:tab w:val="right" w:pos="1202"/>
              </w:tabs>
              <w:spacing w:after="0" w:line="240" w:lineRule="auto"/>
              <w:jc w:val="right"/>
              <w:outlineLvl w:val="0"/>
              <w:rPr>
                <w:rFonts w:eastAsia="Times New Roman" w:cs="Arial"/>
                <w:sz w:val="17"/>
                <w:szCs w:val="17"/>
              </w:rPr>
            </w:pPr>
            <w:r>
              <w:rPr>
                <w:rFonts w:eastAsia="Times New Roman" w:cs="Arial"/>
                <w:sz w:val="17"/>
                <w:szCs w:val="17"/>
              </w:rPr>
              <w:t>-</w:t>
            </w:r>
          </w:p>
        </w:tc>
        <w:tc>
          <w:tcPr>
            <w:tcW w:w="1084" w:type="dxa"/>
            <w:tcBorders>
              <w:top w:val="nil"/>
              <w:left w:val="nil"/>
              <w:bottom w:val="nil"/>
              <w:right w:val="nil"/>
            </w:tcBorders>
            <w:shd w:val="clear" w:color="auto" w:fill="auto"/>
            <w:vAlign w:val="bottom"/>
          </w:tcPr>
          <w:p w14:paraId="1B896700" w14:textId="7CCAE2DD" w:rsidR="009E2A3F" w:rsidRPr="000E5941" w:rsidRDefault="00F75E59" w:rsidP="009E2A3F">
            <w:pPr>
              <w:tabs>
                <w:tab w:val="right" w:pos="1202"/>
              </w:tabs>
              <w:spacing w:after="0" w:line="240" w:lineRule="auto"/>
              <w:jc w:val="right"/>
              <w:outlineLvl w:val="0"/>
              <w:rPr>
                <w:rFonts w:ascii="Calibri" w:hAnsi="Calibri"/>
                <w:color w:val="000000"/>
                <w:sz w:val="17"/>
                <w:szCs w:val="17"/>
              </w:rPr>
            </w:pPr>
            <w:r>
              <w:rPr>
                <w:rFonts w:ascii="Calibri" w:hAnsi="Calibri"/>
                <w:color w:val="000000"/>
                <w:sz w:val="17"/>
                <w:szCs w:val="17"/>
              </w:rPr>
              <w:t>-</w:t>
            </w:r>
          </w:p>
        </w:tc>
        <w:tc>
          <w:tcPr>
            <w:tcW w:w="1087" w:type="dxa"/>
            <w:tcBorders>
              <w:top w:val="nil"/>
              <w:left w:val="nil"/>
              <w:bottom w:val="nil"/>
              <w:right w:val="nil"/>
            </w:tcBorders>
            <w:shd w:val="clear" w:color="auto" w:fill="auto"/>
            <w:vAlign w:val="bottom"/>
          </w:tcPr>
          <w:p w14:paraId="01411B08" w14:textId="23CF8677" w:rsidR="009E2A3F" w:rsidRPr="00831B14" w:rsidRDefault="007D0C69" w:rsidP="009E2A3F">
            <w:pPr>
              <w:tabs>
                <w:tab w:val="right" w:pos="1202"/>
              </w:tabs>
              <w:spacing w:after="0" w:line="240" w:lineRule="auto"/>
              <w:jc w:val="right"/>
              <w:outlineLvl w:val="0"/>
              <w:rPr>
                <w:rFonts w:eastAsia="Times New Roman" w:cs="Arial"/>
                <w:spacing w:val="-2"/>
                <w:sz w:val="17"/>
                <w:szCs w:val="17"/>
              </w:rPr>
            </w:pPr>
            <w:r>
              <w:rPr>
                <w:rFonts w:eastAsia="Times New Roman" w:cs="Arial"/>
                <w:spacing w:val="-2"/>
                <w:sz w:val="17"/>
                <w:szCs w:val="17"/>
              </w:rPr>
              <w:t>131</w:t>
            </w:r>
          </w:p>
        </w:tc>
        <w:tc>
          <w:tcPr>
            <w:tcW w:w="1084" w:type="dxa"/>
            <w:tcBorders>
              <w:top w:val="nil"/>
              <w:left w:val="nil"/>
              <w:bottom w:val="nil"/>
              <w:right w:val="nil"/>
            </w:tcBorders>
            <w:shd w:val="clear" w:color="auto" w:fill="auto"/>
            <w:vAlign w:val="bottom"/>
          </w:tcPr>
          <w:p w14:paraId="39B6C5F1" w14:textId="414F3602" w:rsidR="009E2A3F" w:rsidRPr="000E5941" w:rsidRDefault="009E2A3F" w:rsidP="00E45CA6">
            <w:pPr>
              <w:tabs>
                <w:tab w:val="right" w:pos="1202"/>
              </w:tabs>
              <w:spacing w:after="0" w:line="240" w:lineRule="auto"/>
              <w:jc w:val="right"/>
              <w:outlineLvl w:val="0"/>
              <w:rPr>
                <w:rFonts w:ascii="Calibri" w:hAnsi="Calibri"/>
                <w:color w:val="000000"/>
                <w:sz w:val="17"/>
                <w:szCs w:val="17"/>
              </w:rPr>
            </w:pPr>
            <w:r w:rsidRPr="000E5941">
              <w:rPr>
                <w:rFonts w:ascii="Calibri" w:hAnsi="Calibri"/>
                <w:color w:val="000000"/>
                <w:sz w:val="17"/>
                <w:szCs w:val="17"/>
              </w:rPr>
              <w:t>-</w:t>
            </w:r>
          </w:p>
        </w:tc>
        <w:tc>
          <w:tcPr>
            <w:tcW w:w="1083" w:type="dxa"/>
            <w:tcBorders>
              <w:top w:val="nil"/>
              <w:left w:val="nil"/>
              <w:bottom w:val="nil"/>
              <w:right w:val="nil"/>
            </w:tcBorders>
            <w:shd w:val="clear" w:color="auto" w:fill="auto"/>
            <w:vAlign w:val="bottom"/>
          </w:tcPr>
          <w:p w14:paraId="33D485B2" w14:textId="16D7BC1A" w:rsidR="009E2A3F" w:rsidRPr="000E5941" w:rsidRDefault="009E2A3F" w:rsidP="00E45CA6">
            <w:pPr>
              <w:tabs>
                <w:tab w:val="right" w:pos="1202"/>
              </w:tabs>
              <w:spacing w:after="0" w:line="240" w:lineRule="auto"/>
              <w:jc w:val="right"/>
              <w:outlineLvl w:val="0"/>
              <w:rPr>
                <w:rFonts w:ascii="Calibri" w:hAnsi="Calibri"/>
                <w:color w:val="000000"/>
                <w:sz w:val="17"/>
                <w:szCs w:val="17"/>
              </w:rPr>
            </w:pPr>
            <w:r w:rsidRPr="000E5941">
              <w:rPr>
                <w:rFonts w:ascii="Calibri" w:hAnsi="Calibri"/>
                <w:color w:val="000000"/>
                <w:sz w:val="17"/>
                <w:szCs w:val="17"/>
              </w:rPr>
              <w:t>-</w:t>
            </w:r>
          </w:p>
        </w:tc>
        <w:tc>
          <w:tcPr>
            <w:tcW w:w="1088" w:type="dxa"/>
            <w:tcBorders>
              <w:top w:val="nil"/>
              <w:left w:val="nil"/>
              <w:bottom w:val="nil"/>
              <w:right w:val="nil"/>
            </w:tcBorders>
            <w:shd w:val="clear" w:color="auto" w:fill="auto"/>
            <w:vAlign w:val="bottom"/>
          </w:tcPr>
          <w:p w14:paraId="7B19C61E" w14:textId="6D57EEF6" w:rsidR="009E2A3F" w:rsidRPr="00831B14" w:rsidRDefault="009E2A3F" w:rsidP="00E45CA6">
            <w:pPr>
              <w:tabs>
                <w:tab w:val="right" w:pos="1202"/>
              </w:tabs>
              <w:spacing w:after="0" w:line="240" w:lineRule="auto"/>
              <w:jc w:val="right"/>
              <w:outlineLvl w:val="0"/>
              <w:rPr>
                <w:rFonts w:eastAsia="Times New Roman" w:cs="Arial"/>
                <w:spacing w:val="-2"/>
                <w:sz w:val="17"/>
                <w:szCs w:val="17"/>
              </w:rPr>
            </w:pPr>
            <w:r w:rsidRPr="002A3E38">
              <w:rPr>
                <w:rFonts w:ascii="Calibri" w:hAnsi="Calibri"/>
                <w:color w:val="000000"/>
                <w:sz w:val="17"/>
                <w:szCs w:val="17"/>
              </w:rPr>
              <w:t>99</w:t>
            </w:r>
          </w:p>
        </w:tc>
      </w:tr>
      <w:tr w:rsidR="009E2A3F" w:rsidRPr="00831B14" w14:paraId="53FD21EB" w14:textId="77777777" w:rsidTr="00E45CA6">
        <w:trPr>
          <w:trHeight w:val="291"/>
          <w:jc w:val="center"/>
        </w:trPr>
        <w:tc>
          <w:tcPr>
            <w:tcW w:w="3580" w:type="dxa"/>
            <w:shd w:val="clear" w:color="auto" w:fill="auto"/>
            <w:vAlign w:val="bottom"/>
          </w:tcPr>
          <w:p w14:paraId="6FA807AC" w14:textId="07616690" w:rsidR="009E2A3F" w:rsidRPr="00831B14" w:rsidRDefault="009E2A3F" w:rsidP="009E2A3F">
            <w:pPr>
              <w:tabs>
                <w:tab w:val="right" w:pos="1202"/>
              </w:tabs>
              <w:spacing w:after="0" w:line="240" w:lineRule="auto"/>
              <w:outlineLvl w:val="0"/>
              <w:rPr>
                <w:rFonts w:eastAsia="Times New Roman" w:cs="Arial"/>
                <w:b/>
                <w:spacing w:val="-2"/>
                <w:sz w:val="17"/>
                <w:szCs w:val="17"/>
              </w:rPr>
            </w:pPr>
            <w:r w:rsidRPr="00831B14">
              <w:rPr>
                <w:rFonts w:eastAsia="Times New Roman" w:cs="Arial"/>
                <w:b/>
                <w:spacing w:val="-2"/>
                <w:sz w:val="17"/>
                <w:szCs w:val="17"/>
              </w:rPr>
              <w:t>Ukupno dužnički vrijednosni papiri</w:t>
            </w:r>
          </w:p>
        </w:tc>
        <w:tc>
          <w:tcPr>
            <w:tcW w:w="1083" w:type="dxa"/>
            <w:tcBorders>
              <w:top w:val="single" w:sz="4" w:space="0" w:color="auto"/>
              <w:left w:val="nil"/>
              <w:bottom w:val="single" w:sz="12" w:space="0" w:color="auto"/>
              <w:right w:val="nil"/>
            </w:tcBorders>
            <w:shd w:val="clear" w:color="auto" w:fill="auto"/>
            <w:vAlign w:val="bottom"/>
          </w:tcPr>
          <w:p w14:paraId="1C3B49D2" w14:textId="6B66416B" w:rsidR="009E2A3F" w:rsidRPr="00831B14" w:rsidRDefault="007D0C69" w:rsidP="009E2A3F">
            <w:pPr>
              <w:tabs>
                <w:tab w:val="right" w:pos="1202"/>
              </w:tabs>
              <w:spacing w:after="0" w:line="240" w:lineRule="auto"/>
              <w:jc w:val="right"/>
              <w:outlineLvl w:val="0"/>
              <w:rPr>
                <w:rFonts w:eastAsia="Times New Roman" w:cs="Arial"/>
                <w:b/>
                <w:noProof/>
                <w:spacing w:val="-2"/>
                <w:sz w:val="17"/>
                <w:szCs w:val="17"/>
                <w:lang w:eastAsia="hr-HR"/>
              </w:rPr>
            </w:pPr>
            <w:r>
              <w:rPr>
                <w:rFonts w:eastAsia="Times New Roman" w:cs="Arial"/>
                <w:b/>
                <w:noProof/>
                <w:spacing w:val="-2"/>
                <w:sz w:val="17"/>
                <w:szCs w:val="17"/>
                <w:lang w:eastAsia="hr-HR"/>
              </w:rPr>
              <w:t>2.148.195</w:t>
            </w:r>
          </w:p>
        </w:tc>
        <w:tc>
          <w:tcPr>
            <w:tcW w:w="1084" w:type="dxa"/>
            <w:tcBorders>
              <w:top w:val="single" w:sz="4" w:space="0" w:color="auto"/>
              <w:left w:val="nil"/>
              <w:bottom w:val="single" w:sz="12" w:space="0" w:color="auto"/>
              <w:right w:val="nil"/>
            </w:tcBorders>
            <w:shd w:val="clear" w:color="auto" w:fill="auto"/>
            <w:vAlign w:val="bottom"/>
          </w:tcPr>
          <w:p w14:paraId="298BCC57" w14:textId="0E6E23F6" w:rsidR="009E2A3F" w:rsidRPr="00831B14" w:rsidRDefault="00F75E59" w:rsidP="009E2A3F">
            <w:pPr>
              <w:tabs>
                <w:tab w:val="right" w:pos="1202"/>
              </w:tabs>
              <w:spacing w:after="0" w:line="240" w:lineRule="auto"/>
              <w:jc w:val="right"/>
              <w:outlineLvl w:val="0"/>
              <w:rPr>
                <w:rFonts w:eastAsia="Times New Roman" w:cs="Arial"/>
                <w:b/>
                <w:noProof/>
                <w:spacing w:val="-2"/>
                <w:sz w:val="17"/>
                <w:szCs w:val="17"/>
                <w:lang w:eastAsia="hr-HR"/>
              </w:rPr>
            </w:pPr>
            <w:r>
              <w:rPr>
                <w:rFonts w:eastAsia="Times New Roman" w:cs="Arial"/>
                <w:b/>
                <w:noProof/>
                <w:spacing w:val="-2"/>
                <w:sz w:val="17"/>
                <w:szCs w:val="17"/>
                <w:lang w:eastAsia="hr-HR"/>
              </w:rPr>
              <w:t>-</w:t>
            </w:r>
          </w:p>
        </w:tc>
        <w:tc>
          <w:tcPr>
            <w:tcW w:w="1087" w:type="dxa"/>
            <w:tcBorders>
              <w:top w:val="single" w:sz="4" w:space="0" w:color="auto"/>
              <w:left w:val="nil"/>
              <w:bottom w:val="single" w:sz="12" w:space="0" w:color="auto"/>
              <w:right w:val="nil"/>
            </w:tcBorders>
            <w:shd w:val="clear" w:color="auto" w:fill="auto"/>
            <w:vAlign w:val="bottom"/>
          </w:tcPr>
          <w:p w14:paraId="732AF148" w14:textId="4CE89CEF" w:rsidR="009E2A3F" w:rsidRPr="00831B14" w:rsidRDefault="007D0C69" w:rsidP="009E2A3F">
            <w:pPr>
              <w:tabs>
                <w:tab w:val="right" w:pos="1202"/>
              </w:tabs>
              <w:spacing w:after="0" w:line="240" w:lineRule="auto"/>
              <w:jc w:val="right"/>
              <w:outlineLvl w:val="0"/>
              <w:rPr>
                <w:rFonts w:eastAsia="Times New Roman" w:cs="Arial"/>
                <w:b/>
                <w:noProof/>
                <w:spacing w:val="-2"/>
                <w:sz w:val="17"/>
                <w:szCs w:val="17"/>
                <w:lang w:eastAsia="hr-HR"/>
              </w:rPr>
            </w:pPr>
            <w:r>
              <w:rPr>
                <w:rFonts w:eastAsia="Times New Roman" w:cs="Arial"/>
                <w:b/>
                <w:noProof/>
                <w:spacing w:val="-2"/>
                <w:sz w:val="17"/>
                <w:szCs w:val="17"/>
                <w:lang w:eastAsia="hr-HR"/>
              </w:rPr>
              <w:t>627</w:t>
            </w:r>
          </w:p>
        </w:tc>
        <w:tc>
          <w:tcPr>
            <w:tcW w:w="1084" w:type="dxa"/>
            <w:tcBorders>
              <w:top w:val="single" w:sz="4" w:space="0" w:color="auto"/>
              <w:left w:val="nil"/>
              <w:bottom w:val="single" w:sz="8" w:space="0" w:color="auto"/>
              <w:right w:val="nil"/>
            </w:tcBorders>
            <w:shd w:val="clear" w:color="auto" w:fill="auto"/>
            <w:vAlign w:val="bottom"/>
          </w:tcPr>
          <w:p w14:paraId="51774287" w14:textId="61773213" w:rsidR="009E2A3F" w:rsidRPr="00831B14" w:rsidRDefault="009E2A3F" w:rsidP="00E45CA6">
            <w:pPr>
              <w:tabs>
                <w:tab w:val="right" w:pos="1202"/>
              </w:tabs>
              <w:spacing w:after="0" w:line="240" w:lineRule="auto"/>
              <w:jc w:val="right"/>
              <w:outlineLvl w:val="0"/>
              <w:rPr>
                <w:rFonts w:eastAsia="Times New Roman" w:cs="Arial"/>
                <w:b/>
                <w:noProof/>
                <w:spacing w:val="-2"/>
                <w:sz w:val="17"/>
                <w:szCs w:val="17"/>
                <w:lang w:eastAsia="hr-HR"/>
              </w:rPr>
            </w:pPr>
            <w:r w:rsidRPr="002A3E38">
              <w:rPr>
                <w:rFonts w:ascii="Calibri" w:hAnsi="Calibri"/>
                <w:b/>
                <w:bCs/>
                <w:color w:val="000000"/>
                <w:sz w:val="17"/>
                <w:szCs w:val="17"/>
              </w:rPr>
              <w:t>2.399.224</w:t>
            </w:r>
          </w:p>
        </w:tc>
        <w:tc>
          <w:tcPr>
            <w:tcW w:w="1083" w:type="dxa"/>
            <w:tcBorders>
              <w:top w:val="single" w:sz="4" w:space="0" w:color="auto"/>
              <w:left w:val="nil"/>
              <w:bottom w:val="single" w:sz="8" w:space="0" w:color="auto"/>
              <w:right w:val="nil"/>
            </w:tcBorders>
            <w:shd w:val="clear" w:color="auto" w:fill="auto"/>
            <w:vAlign w:val="bottom"/>
          </w:tcPr>
          <w:p w14:paraId="67401A1F" w14:textId="34C8F385" w:rsidR="009E2A3F" w:rsidRPr="00831B14" w:rsidRDefault="009E2A3F" w:rsidP="00E45CA6">
            <w:pPr>
              <w:tabs>
                <w:tab w:val="right" w:pos="1202"/>
              </w:tabs>
              <w:spacing w:after="0" w:line="240" w:lineRule="auto"/>
              <w:jc w:val="right"/>
              <w:outlineLvl w:val="0"/>
              <w:rPr>
                <w:rFonts w:eastAsia="Times New Roman" w:cs="Arial"/>
                <w:b/>
                <w:noProof/>
                <w:spacing w:val="-2"/>
                <w:sz w:val="17"/>
                <w:szCs w:val="17"/>
                <w:lang w:eastAsia="hr-HR"/>
              </w:rPr>
            </w:pPr>
            <w:r w:rsidRPr="002A3E38">
              <w:rPr>
                <w:rFonts w:ascii="Calibri" w:hAnsi="Calibri"/>
                <w:b/>
                <w:bCs/>
                <w:color w:val="000000"/>
                <w:sz w:val="17"/>
                <w:szCs w:val="17"/>
              </w:rPr>
              <w:t>-</w:t>
            </w:r>
          </w:p>
        </w:tc>
        <w:tc>
          <w:tcPr>
            <w:tcW w:w="1088" w:type="dxa"/>
            <w:tcBorders>
              <w:top w:val="single" w:sz="4" w:space="0" w:color="auto"/>
              <w:left w:val="nil"/>
              <w:bottom w:val="single" w:sz="8" w:space="0" w:color="auto"/>
              <w:right w:val="nil"/>
            </w:tcBorders>
            <w:shd w:val="clear" w:color="auto" w:fill="auto"/>
            <w:vAlign w:val="bottom"/>
          </w:tcPr>
          <w:p w14:paraId="2136F260" w14:textId="1C330F62" w:rsidR="009E2A3F" w:rsidRPr="00831B14" w:rsidRDefault="009E2A3F" w:rsidP="00E45CA6">
            <w:pPr>
              <w:tabs>
                <w:tab w:val="right" w:pos="1202"/>
              </w:tabs>
              <w:spacing w:after="0" w:line="240" w:lineRule="auto"/>
              <w:jc w:val="right"/>
              <w:outlineLvl w:val="0"/>
              <w:rPr>
                <w:rFonts w:eastAsia="Times New Roman" w:cs="Arial"/>
                <w:b/>
                <w:noProof/>
                <w:spacing w:val="-2"/>
                <w:sz w:val="17"/>
                <w:szCs w:val="17"/>
                <w:lang w:eastAsia="hr-HR"/>
              </w:rPr>
            </w:pPr>
            <w:r w:rsidRPr="002A3E38">
              <w:rPr>
                <w:rFonts w:ascii="Calibri" w:hAnsi="Calibri"/>
                <w:b/>
                <w:bCs/>
                <w:color w:val="000000"/>
                <w:sz w:val="17"/>
                <w:szCs w:val="17"/>
              </w:rPr>
              <w:t>601</w:t>
            </w:r>
          </w:p>
        </w:tc>
      </w:tr>
      <w:tr w:rsidR="00F75302" w:rsidRPr="00831B14" w14:paraId="60501274" w14:textId="77777777" w:rsidTr="00E45CA6">
        <w:trPr>
          <w:trHeight w:val="291"/>
          <w:jc w:val="center"/>
        </w:trPr>
        <w:tc>
          <w:tcPr>
            <w:tcW w:w="3580" w:type="dxa"/>
            <w:shd w:val="clear" w:color="auto" w:fill="auto"/>
            <w:vAlign w:val="bottom"/>
          </w:tcPr>
          <w:p w14:paraId="310B146E" w14:textId="77777777" w:rsidR="00F75302" w:rsidRPr="00831B14" w:rsidRDefault="00F75302" w:rsidP="00F75302">
            <w:pPr>
              <w:tabs>
                <w:tab w:val="right" w:pos="1202"/>
              </w:tabs>
              <w:spacing w:after="0" w:line="240" w:lineRule="auto"/>
              <w:outlineLvl w:val="0"/>
              <w:rPr>
                <w:rFonts w:eastAsia="Times New Roman" w:cs="Arial"/>
                <w:b/>
                <w:spacing w:val="-2"/>
                <w:sz w:val="17"/>
                <w:szCs w:val="17"/>
              </w:rPr>
            </w:pPr>
            <w:r w:rsidRPr="00831B14">
              <w:rPr>
                <w:b/>
                <w:sz w:val="17"/>
                <w:szCs w:val="17"/>
              </w:rPr>
              <w:t>Vlasnički vrijednosni papiri:</w:t>
            </w:r>
          </w:p>
        </w:tc>
        <w:tc>
          <w:tcPr>
            <w:tcW w:w="1083" w:type="dxa"/>
            <w:tcBorders>
              <w:top w:val="single" w:sz="12" w:space="0" w:color="auto"/>
              <w:left w:val="nil"/>
              <w:right w:val="nil"/>
            </w:tcBorders>
            <w:shd w:val="clear" w:color="auto" w:fill="auto"/>
            <w:vAlign w:val="bottom"/>
          </w:tcPr>
          <w:p w14:paraId="111B948F" w14:textId="77777777" w:rsidR="00F75302" w:rsidRPr="00831B14" w:rsidRDefault="00F75302" w:rsidP="00F75302">
            <w:pPr>
              <w:tabs>
                <w:tab w:val="right" w:pos="1202"/>
              </w:tabs>
              <w:spacing w:after="0" w:line="240" w:lineRule="auto"/>
              <w:jc w:val="right"/>
              <w:outlineLvl w:val="0"/>
              <w:rPr>
                <w:sz w:val="17"/>
                <w:szCs w:val="17"/>
              </w:rPr>
            </w:pPr>
          </w:p>
        </w:tc>
        <w:tc>
          <w:tcPr>
            <w:tcW w:w="1084" w:type="dxa"/>
            <w:tcBorders>
              <w:top w:val="single" w:sz="12" w:space="0" w:color="auto"/>
              <w:left w:val="nil"/>
              <w:right w:val="nil"/>
            </w:tcBorders>
            <w:shd w:val="clear" w:color="auto" w:fill="auto"/>
            <w:vAlign w:val="bottom"/>
          </w:tcPr>
          <w:p w14:paraId="6A1EE832" w14:textId="77777777" w:rsidR="00F75302" w:rsidRPr="00831B14" w:rsidRDefault="00F75302" w:rsidP="00F75302">
            <w:pPr>
              <w:tabs>
                <w:tab w:val="right" w:pos="1202"/>
              </w:tabs>
              <w:spacing w:after="0" w:line="240" w:lineRule="auto"/>
              <w:jc w:val="right"/>
              <w:outlineLvl w:val="0"/>
              <w:rPr>
                <w:sz w:val="17"/>
                <w:szCs w:val="17"/>
              </w:rPr>
            </w:pPr>
          </w:p>
        </w:tc>
        <w:tc>
          <w:tcPr>
            <w:tcW w:w="1087" w:type="dxa"/>
            <w:tcBorders>
              <w:top w:val="single" w:sz="12" w:space="0" w:color="auto"/>
              <w:left w:val="nil"/>
              <w:right w:val="nil"/>
            </w:tcBorders>
            <w:shd w:val="clear" w:color="auto" w:fill="auto"/>
            <w:vAlign w:val="bottom"/>
          </w:tcPr>
          <w:p w14:paraId="3EBEB37C" w14:textId="77777777" w:rsidR="00F75302" w:rsidRPr="00831B14" w:rsidRDefault="00F75302" w:rsidP="00F75302">
            <w:pPr>
              <w:tabs>
                <w:tab w:val="right" w:pos="1202"/>
              </w:tabs>
              <w:spacing w:after="0" w:line="240" w:lineRule="auto"/>
              <w:jc w:val="right"/>
              <w:outlineLvl w:val="0"/>
              <w:rPr>
                <w:sz w:val="17"/>
                <w:szCs w:val="17"/>
              </w:rPr>
            </w:pPr>
          </w:p>
        </w:tc>
        <w:tc>
          <w:tcPr>
            <w:tcW w:w="1084" w:type="dxa"/>
            <w:tcBorders>
              <w:top w:val="single" w:sz="12" w:space="0" w:color="auto"/>
            </w:tcBorders>
            <w:vAlign w:val="bottom"/>
          </w:tcPr>
          <w:p w14:paraId="34F87669" w14:textId="77777777" w:rsidR="00F75302" w:rsidRPr="00831B14" w:rsidRDefault="00F75302" w:rsidP="00E45CA6">
            <w:pPr>
              <w:tabs>
                <w:tab w:val="right" w:pos="1202"/>
              </w:tabs>
              <w:spacing w:after="0" w:line="240" w:lineRule="auto"/>
              <w:jc w:val="right"/>
              <w:outlineLvl w:val="0"/>
              <w:rPr>
                <w:rFonts w:eastAsia="Times New Roman" w:cs="Arial"/>
                <w:b/>
                <w:sz w:val="17"/>
                <w:szCs w:val="17"/>
              </w:rPr>
            </w:pPr>
          </w:p>
        </w:tc>
        <w:tc>
          <w:tcPr>
            <w:tcW w:w="1083" w:type="dxa"/>
            <w:tcBorders>
              <w:top w:val="single" w:sz="12" w:space="0" w:color="auto"/>
            </w:tcBorders>
            <w:shd w:val="clear" w:color="auto" w:fill="auto"/>
            <w:vAlign w:val="bottom"/>
          </w:tcPr>
          <w:p w14:paraId="3AE3763B" w14:textId="77777777" w:rsidR="00F75302" w:rsidRPr="00831B14" w:rsidRDefault="00F75302" w:rsidP="00E45CA6">
            <w:pPr>
              <w:tabs>
                <w:tab w:val="right" w:pos="1202"/>
              </w:tabs>
              <w:spacing w:after="0" w:line="240" w:lineRule="auto"/>
              <w:jc w:val="right"/>
              <w:outlineLvl w:val="0"/>
              <w:rPr>
                <w:rFonts w:eastAsia="Times New Roman" w:cs="Arial"/>
                <w:b/>
                <w:sz w:val="17"/>
                <w:szCs w:val="17"/>
              </w:rPr>
            </w:pPr>
          </w:p>
        </w:tc>
        <w:tc>
          <w:tcPr>
            <w:tcW w:w="1088" w:type="dxa"/>
            <w:tcBorders>
              <w:top w:val="single" w:sz="12" w:space="0" w:color="auto"/>
            </w:tcBorders>
            <w:shd w:val="clear" w:color="auto" w:fill="auto"/>
            <w:vAlign w:val="bottom"/>
          </w:tcPr>
          <w:p w14:paraId="433B9857" w14:textId="77777777" w:rsidR="00F75302" w:rsidRPr="00831B14" w:rsidRDefault="00F75302" w:rsidP="00E45CA6">
            <w:pPr>
              <w:tabs>
                <w:tab w:val="right" w:pos="1202"/>
              </w:tabs>
              <w:spacing w:after="0" w:line="240" w:lineRule="auto"/>
              <w:jc w:val="right"/>
              <w:outlineLvl w:val="0"/>
              <w:rPr>
                <w:rFonts w:eastAsia="Times New Roman" w:cs="Arial"/>
                <w:b/>
                <w:noProof/>
                <w:spacing w:val="-2"/>
                <w:sz w:val="17"/>
                <w:szCs w:val="17"/>
                <w:lang w:eastAsia="hr-HR"/>
              </w:rPr>
            </w:pPr>
          </w:p>
        </w:tc>
      </w:tr>
      <w:tr w:rsidR="00F75302" w:rsidRPr="00831B14" w14:paraId="4D168207" w14:textId="77777777" w:rsidTr="00E45CA6">
        <w:trPr>
          <w:trHeight w:val="291"/>
          <w:jc w:val="center"/>
        </w:trPr>
        <w:tc>
          <w:tcPr>
            <w:tcW w:w="3580" w:type="dxa"/>
            <w:shd w:val="clear" w:color="auto" w:fill="auto"/>
            <w:vAlign w:val="bottom"/>
          </w:tcPr>
          <w:p w14:paraId="7AE0C59A" w14:textId="77777777" w:rsidR="00F75302" w:rsidRPr="00831B14" w:rsidRDefault="00F75302" w:rsidP="00F75302">
            <w:pPr>
              <w:tabs>
                <w:tab w:val="right" w:pos="1202"/>
              </w:tabs>
              <w:spacing w:after="0" w:line="240" w:lineRule="auto"/>
              <w:outlineLvl w:val="0"/>
              <w:rPr>
                <w:rFonts w:eastAsia="Times New Roman" w:cs="Arial"/>
                <w:b/>
                <w:i/>
                <w:spacing w:val="-2"/>
                <w:sz w:val="17"/>
                <w:szCs w:val="17"/>
              </w:rPr>
            </w:pPr>
            <w:r w:rsidRPr="00831B14">
              <w:rPr>
                <w:b/>
                <w:i/>
                <w:sz w:val="17"/>
                <w:szCs w:val="17"/>
              </w:rPr>
              <w:t>Vlasnički vrijednosni papiri koji kotiraju:</w:t>
            </w:r>
          </w:p>
        </w:tc>
        <w:tc>
          <w:tcPr>
            <w:tcW w:w="1083" w:type="dxa"/>
            <w:tcBorders>
              <w:left w:val="nil"/>
              <w:bottom w:val="single" w:sz="4" w:space="0" w:color="auto"/>
              <w:right w:val="nil"/>
            </w:tcBorders>
            <w:shd w:val="clear" w:color="auto" w:fill="auto"/>
            <w:vAlign w:val="bottom"/>
          </w:tcPr>
          <w:p w14:paraId="1C09A081" w14:textId="77777777" w:rsidR="00F75302" w:rsidRPr="00831B14" w:rsidRDefault="00F75302" w:rsidP="00F75302">
            <w:pPr>
              <w:tabs>
                <w:tab w:val="right" w:pos="1202"/>
              </w:tabs>
              <w:spacing w:after="0" w:line="240" w:lineRule="auto"/>
              <w:jc w:val="right"/>
              <w:outlineLvl w:val="0"/>
              <w:rPr>
                <w:sz w:val="17"/>
                <w:szCs w:val="17"/>
              </w:rPr>
            </w:pPr>
          </w:p>
        </w:tc>
        <w:tc>
          <w:tcPr>
            <w:tcW w:w="1084" w:type="dxa"/>
            <w:tcBorders>
              <w:left w:val="nil"/>
              <w:bottom w:val="single" w:sz="4" w:space="0" w:color="auto"/>
              <w:right w:val="nil"/>
            </w:tcBorders>
            <w:shd w:val="clear" w:color="auto" w:fill="auto"/>
            <w:vAlign w:val="bottom"/>
          </w:tcPr>
          <w:p w14:paraId="385F3C92" w14:textId="77777777" w:rsidR="00F75302" w:rsidRPr="00831B14" w:rsidRDefault="00F75302" w:rsidP="00F75302">
            <w:pPr>
              <w:tabs>
                <w:tab w:val="right" w:pos="1202"/>
              </w:tabs>
              <w:spacing w:after="0" w:line="240" w:lineRule="auto"/>
              <w:jc w:val="right"/>
              <w:outlineLvl w:val="0"/>
              <w:rPr>
                <w:sz w:val="17"/>
                <w:szCs w:val="17"/>
              </w:rPr>
            </w:pPr>
          </w:p>
        </w:tc>
        <w:tc>
          <w:tcPr>
            <w:tcW w:w="1087" w:type="dxa"/>
            <w:tcBorders>
              <w:left w:val="nil"/>
              <w:bottom w:val="single" w:sz="4" w:space="0" w:color="auto"/>
              <w:right w:val="nil"/>
            </w:tcBorders>
            <w:shd w:val="clear" w:color="auto" w:fill="auto"/>
            <w:vAlign w:val="bottom"/>
          </w:tcPr>
          <w:p w14:paraId="38A3805C" w14:textId="77777777" w:rsidR="00F75302" w:rsidRPr="00831B14" w:rsidRDefault="00F75302" w:rsidP="00F75302">
            <w:pPr>
              <w:tabs>
                <w:tab w:val="right" w:pos="1202"/>
              </w:tabs>
              <w:spacing w:after="0" w:line="240" w:lineRule="auto"/>
              <w:jc w:val="right"/>
              <w:outlineLvl w:val="0"/>
              <w:rPr>
                <w:sz w:val="17"/>
                <w:szCs w:val="17"/>
              </w:rPr>
            </w:pPr>
          </w:p>
        </w:tc>
        <w:tc>
          <w:tcPr>
            <w:tcW w:w="1084" w:type="dxa"/>
            <w:tcBorders>
              <w:bottom w:val="single" w:sz="4" w:space="0" w:color="auto"/>
            </w:tcBorders>
            <w:vAlign w:val="bottom"/>
          </w:tcPr>
          <w:p w14:paraId="738022A9" w14:textId="77777777" w:rsidR="00F75302" w:rsidRPr="00831B14" w:rsidRDefault="00F75302" w:rsidP="00E45CA6">
            <w:pPr>
              <w:tabs>
                <w:tab w:val="right" w:pos="1202"/>
              </w:tabs>
              <w:spacing w:after="0" w:line="240" w:lineRule="auto"/>
              <w:jc w:val="right"/>
              <w:outlineLvl w:val="0"/>
              <w:rPr>
                <w:rFonts w:eastAsia="Times New Roman" w:cs="Arial"/>
                <w:b/>
                <w:sz w:val="17"/>
                <w:szCs w:val="17"/>
              </w:rPr>
            </w:pPr>
          </w:p>
        </w:tc>
        <w:tc>
          <w:tcPr>
            <w:tcW w:w="1083" w:type="dxa"/>
            <w:tcBorders>
              <w:bottom w:val="single" w:sz="4" w:space="0" w:color="auto"/>
            </w:tcBorders>
            <w:shd w:val="clear" w:color="auto" w:fill="auto"/>
            <w:vAlign w:val="bottom"/>
          </w:tcPr>
          <w:p w14:paraId="15BE940D" w14:textId="77777777" w:rsidR="00F75302" w:rsidRPr="00831B14" w:rsidRDefault="00F75302" w:rsidP="00E45CA6">
            <w:pPr>
              <w:tabs>
                <w:tab w:val="right" w:pos="1202"/>
              </w:tabs>
              <w:spacing w:after="0" w:line="240" w:lineRule="auto"/>
              <w:jc w:val="right"/>
              <w:outlineLvl w:val="0"/>
              <w:rPr>
                <w:rFonts w:eastAsia="Times New Roman" w:cs="Arial"/>
                <w:b/>
                <w:sz w:val="17"/>
                <w:szCs w:val="17"/>
              </w:rPr>
            </w:pPr>
          </w:p>
        </w:tc>
        <w:tc>
          <w:tcPr>
            <w:tcW w:w="1088" w:type="dxa"/>
            <w:tcBorders>
              <w:bottom w:val="single" w:sz="4" w:space="0" w:color="auto"/>
            </w:tcBorders>
            <w:shd w:val="clear" w:color="auto" w:fill="auto"/>
            <w:vAlign w:val="bottom"/>
          </w:tcPr>
          <w:p w14:paraId="4B426481" w14:textId="77777777" w:rsidR="00F75302" w:rsidRPr="00831B14" w:rsidRDefault="00F75302" w:rsidP="00E45CA6">
            <w:pPr>
              <w:tabs>
                <w:tab w:val="right" w:pos="1202"/>
              </w:tabs>
              <w:spacing w:after="0" w:line="240" w:lineRule="auto"/>
              <w:jc w:val="right"/>
              <w:outlineLvl w:val="0"/>
              <w:rPr>
                <w:rFonts w:eastAsia="Times New Roman" w:cs="Arial"/>
                <w:b/>
                <w:noProof/>
                <w:spacing w:val="-2"/>
                <w:sz w:val="17"/>
                <w:szCs w:val="17"/>
                <w:lang w:eastAsia="hr-HR"/>
              </w:rPr>
            </w:pPr>
          </w:p>
        </w:tc>
      </w:tr>
      <w:tr w:rsidR="009E2A3F" w:rsidRPr="00831B14" w14:paraId="3DA9CDBF" w14:textId="77777777" w:rsidTr="00312975">
        <w:trPr>
          <w:trHeight w:val="291"/>
          <w:jc w:val="center"/>
        </w:trPr>
        <w:tc>
          <w:tcPr>
            <w:tcW w:w="3580" w:type="dxa"/>
            <w:shd w:val="clear" w:color="auto" w:fill="auto"/>
            <w:vAlign w:val="bottom"/>
          </w:tcPr>
          <w:p w14:paraId="73872639" w14:textId="77777777" w:rsidR="009E2A3F" w:rsidRPr="00831B14" w:rsidRDefault="009E2A3F" w:rsidP="009E2A3F">
            <w:pPr>
              <w:tabs>
                <w:tab w:val="right" w:pos="1202"/>
              </w:tabs>
              <w:spacing w:after="0" w:line="240" w:lineRule="auto"/>
              <w:outlineLvl w:val="0"/>
              <w:rPr>
                <w:rFonts w:eastAsia="Times New Roman" w:cs="Arial"/>
                <w:b/>
                <w:spacing w:val="-2"/>
                <w:sz w:val="17"/>
                <w:szCs w:val="17"/>
              </w:rPr>
            </w:pPr>
            <w:r w:rsidRPr="00831B14">
              <w:rPr>
                <w:sz w:val="17"/>
                <w:szCs w:val="17"/>
              </w:rPr>
              <w:t>Dionice trgovačkih društava</w:t>
            </w:r>
          </w:p>
        </w:tc>
        <w:tc>
          <w:tcPr>
            <w:tcW w:w="1083" w:type="dxa"/>
            <w:tcBorders>
              <w:top w:val="single" w:sz="4" w:space="0" w:color="auto"/>
              <w:left w:val="nil"/>
              <w:bottom w:val="single" w:sz="4" w:space="0" w:color="auto"/>
              <w:right w:val="nil"/>
            </w:tcBorders>
            <w:shd w:val="clear" w:color="auto" w:fill="auto"/>
            <w:vAlign w:val="bottom"/>
          </w:tcPr>
          <w:p w14:paraId="22D25730" w14:textId="12D9486E" w:rsidR="009E2A3F" w:rsidRPr="00831B14" w:rsidRDefault="007D0C69" w:rsidP="009E2A3F">
            <w:pPr>
              <w:tabs>
                <w:tab w:val="right" w:pos="1202"/>
              </w:tabs>
              <w:spacing w:after="0" w:line="240" w:lineRule="auto"/>
              <w:jc w:val="right"/>
              <w:outlineLvl w:val="0"/>
              <w:rPr>
                <w:sz w:val="17"/>
                <w:szCs w:val="17"/>
              </w:rPr>
            </w:pPr>
            <w:r>
              <w:rPr>
                <w:sz w:val="17"/>
                <w:szCs w:val="17"/>
              </w:rPr>
              <w:t>10.938</w:t>
            </w:r>
          </w:p>
        </w:tc>
        <w:tc>
          <w:tcPr>
            <w:tcW w:w="1084" w:type="dxa"/>
            <w:tcBorders>
              <w:top w:val="single" w:sz="4" w:space="0" w:color="auto"/>
              <w:left w:val="nil"/>
              <w:bottom w:val="single" w:sz="4" w:space="0" w:color="auto"/>
              <w:right w:val="nil"/>
            </w:tcBorders>
            <w:shd w:val="clear" w:color="auto" w:fill="auto"/>
            <w:vAlign w:val="bottom"/>
          </w:tcPr>
          <w:p w14:paraId="7A67974A" w14:textId="7B9B65B6" w:rsidR="009E2A3F" w:rsidRPr="00831B14" w:rsidRDefault="00F75E59" w:rsidP="009E2A3F">
            <w:pPr>
              <w:tabs>
                <w:tab w:val="right" w:pos="1202"/>
              </w:tabs>
              <w:spacing w:after="0" w:line="240" w:lineRule="auto"/>
              <w:jc w:val="right"/>
              <w:outlineLvl w:val="0"/>
              <w:rPr>
                <w:sz w:val="17"/>
                <w:szCs w:val="17"/>
              </w:rPr>
            </w:pPr>
            <w:r>
              <w:rPr>
                <w:sz w:val="17"/>
                <w:szCs w:val="17"/>
              </w:rPr>
              <w:t>-</w:t>
            </w:r>
          </w:p>
        </w:tc>
        <w:tc>
          <w:tcPr>
            <w:tcW w:w="1087" w:type="dxa"/>
            <w:tcBorders>
              <w:top w:val="single" w:sz="4" w:space="0" w:color="auto"/>
              <w:left w:val="nil"/>
              <w:bottom w:val="single" w:sz="4" w:space="0" w:color="auto"/>
              <w:right w:val="nil"/>
            </w:tcBorders>
            <w:shd w:val="clear" w:color="auto" w:fill="auto"/>
            <w:vAlign w:val="bottom"/>
          </w:tcPr>
          <w:p w14:paraId="7323DD54" w14:textId="1399F826" w:rsidR="009E2A3F" w:rsidRPr="00831B14" w:rsidRDefault="00F75E59" w:rsidP="009E2A3F">
            <w:pPr>
              <w:tabs>
                <w:tab w:val="right" w:pos="1202"/>
              </w:tabs>
              <w:spacing w:after="0" w:line="240" w:lineRule="auto"/>
              <w:jc w:val="right"/>
              <w:outlineLvl w:val="0"/>
              <w:rPr>
                <w:sz w:val="17"/>
                <w:szCs w:val="17"/>
              </w:rPr>
            </w:pPr>
            <w:r>
              <w:rPr>
                <w:sz w:val="17"/>
                <w:szCs w:val="17"/>
              </w:rPr>
              <w:t>-</w:t>
            </w:r>
          </w:p>
        </w:tc>
        <w:tc>
          <w:tcPr>
            <w:tcW w:w="1084" w:type="dxa"/>
            <w:tcBorders>
              <w:top w:val="single" w:sz="4" w:space="0" w:color="auto"/>
              <w:left w:val="nil"/>
              <w:bottom w:val="single" w:sz="4" w:space="0" w:color="auto"/>
              <w:right w:val="nil"/>
            </w:tcBorders>
            <w:shd w:val="clear" w:color="auto" w:fill="auto"/>
            <w:vAlign w:val="bottom"/>
          </w:tcPr>
          <w:p w14:paraId="41EECBA3" w14:textId="78F25CA1" w:rsidR="009E2A3F" w:rsidRPr="00831B14" w:rsidRDefault="009E2A3F" w:rsidP="00E45CA6">
            <w:pPr>
              <w:tabs>
                <w:tab w:val="right" w:pos="1202"/>
              </w:tabs>
              <w:spacing w:after="0" w:line="240" w:lineRule="auto"/>
              <w:jc w:val="right"/>
              <w:outlineLvl w:val="0"/>
              <w:rPr>
                <w:rFonts w:eastAsia="Times New Roman" w:cs="Arial"/>
                <w:b/>
                <w:sz w:val="17"/>
                <w:szCs w:val="17"/>
              </w:rPr>
            </w:pPr>
            <w:r w:rsidRPr="001B0375">
              <w:rPr>
                <w:rFonts w:ascii="Calibri" w:eastAsia="Calibri" w:hAnsi="Calibri"/>
                <w:sz w:val="17"/>
                <w:szCs w:val="17"/>
              </w:rPr>
              <w:t>10.938</w:t>
            </w:r>
          </w:p>
        </w:tc>
        <w:tc>
          <w:tcPr>
            <w:tcW w:w="1083" w:type="dxa"/>
            <w:tcBorders>
              <w:top w:val="single" w:sz="4" w:space="0" w:color="auto"/>
              <w:left w:val="nil"/>
              <w:bottom w:val="single" w:sz="4" w:space="0" w:color="auto"/>
              <w:right w:val="nil"/>
            </w:tcBorders>
            <w:shd w:val="clear" w:color="auto" w:fill="auto"/>
            <w:vAlign w:val="bottom"/>
          </w:tcPr>
          <w:p w14:paraId="01070A41" w14:textId="04D872FE" w:rsidR="009E2A3F" w:rsidRPr="00831B14" w:rsidRDefault="009E2A3F" w:rsidP="00E45CA6">
            <w:pPr>
              <w:tabs>
                <w:tab w:val="right" w:pos="1202"/>
              </w:tabs>
              <w:spacing w:after="0" w:line="240" w:lineRule="auto"/>
              <w:jc w:val="right"/>
              <w:outlineLvl w:val="0"/>
              <w:rPr>
                <w:rFonts w:eastAsia="Times New Roman" w:cs="Arial"/>
                <w:b/>
                <w:sz w:val="17"/>
                <w:szCs w:val="17"/>
              </w:rPr>
            </w:pPr>
            <w:r>
              <w:rPr>
                <w:rFonts w:ascii="Calibri" w:eastAsia="Calibri" w:hAnsi="Calibri"/>
                <w:sz w:val="17"/>
                <w:szCs w:val="17"/>
              </w:rPr>
              <w:t>-</w:t>
            </w:r>
          </w:p>
        </w:tc>
        <w:tc>
          <w:tcPr>
            <w:tcW w:w="1088" w:type="dxa"/>
            <w:tcBorders>
              <w:top w:val="single" w:sz="4" w:space="0" w:color="auto"/>
              <w:left w:val="nil"/>
              <w:bottom w:val="single" w:sz="4" w:space="0" w:color="auto"/>
              <w:right w:val="nil"/>
            </w:tcBorders>
            <w:shd w:val="clear" w:color="auto" w:fill="auto"/>
            <w:vAlign w:val="bottom"/>
          </w:tcPr>
          <w:p w14:paraId="06211185" w14:textId="7EC04054" w:rsidR="009E2A3F" w:rsidRPr="00831B14" w:rsidRDefault="009E2A3F" w:rsidP="00E45CA6">
            <w:pPr>
              <w:tabs>
                <w:tab w:val="right" w:pos="1202"/>
              </w:tabs>
              <w:spacing w:after="0" w:line="240" w:lineRule="auto"/>
              <w:jc w:val="right"/>
              <w:outlineLvl w:val="0"/>
              <w:rPr>
                <w:rFonts w:eastAsia="Times New Roman" w:cs="Arial"/>
                <w:b/>
                <w:noProof/>
                <w:spacing w:val="-2"/>
                <w:sz w:val="17"/>
                <w:szCs w:val="17"/>
                <w:lang w:eastAsia="hr-HR"/>
              </w:rPr>
            </w:pPr>
            <w:r>
              <w:rPr>
                <w:rFonts w:ascii="Calibri" w:eastAsia="Calibri" w:hAnsi="Calibri"/>
                <w:sz w:val="17"/>
                <w:szCs w:val="17"/>
              </w:rPr>
              <w:t>-</w:t>
            </w:r>
          </w:p>
        </w:tc>
      </w:tr>
      <w:tr w:rsidR="00F75302" w:rsidRPr="00831B14" w14:paraId="6C7B39DB" w14:textId="77777777" w:rsidTr="00312975">
        <w:trPr>
          <w:trHeight w:val="291"/>
          <w:jc w:val="center"/>
        </w:trPr>
        <w:tc>
          <w:tcPr>
            <w:tcW w:w="3580" w:type="dxa"/>
            <w:shd w:val="clear" w:color="auto" w:fill="auto"/>
            <w:vAlign w:val="bottom"/>
          </w:tcPr>
          <w:p w14:paraId="3646E0BA" w14:textId="77777777" w:rsidR="00F75302" w:rsidRPr="00831B14" w:rsidRDefault="00F75302" w:rsidP="00F75302">
            <w:pPr>
              <w:tabs>
                <w:tab w:val="right" w:pos="1202"/>
              </w:tabs>
              <w:spacing w:after="0" w:line="240" w:lineRule="auto"/>
              <w:outlineLvl w:val="0"/>
              <w:rPr>
                <w:rFonts w:eastAsia="Times New Roman" w:cs="Arial"/>
                <w:b/>
                <w:i/>
                <w:spacing w:val="-2"/>
                <w:sz w:val="17"/>
                <w:szCs w:val="17"/>
              </w:rPr>
            </w:pPr>
            <w:r w:rsidRPr="00831B14">
              <w:rPr>
                <w:rFonts w:eastAsia="Times New Roman" w:cs="Arial"/>
                <w:b/>
                <w:i/>
                <w:spacing w:val="-2"/>
                <w:sz w:val="17"/>
                <w:szCs w:val="17"/>
              </w:rPr>
              <w:t>Vlasnički vrijednosni papiri koji ne kotiraju:</w:t>
            </w:r>
          </w:p>
        </w:tc>
        <w:tc>
          <w:tcPr>
            <w:tcW w:w="1083" w:type="dxa"/>
            <w:tcBorders>
              <w:top w:val="single" w:sz="4" w:space="0" w:color="auto"/>
            </w:tcBorders>
            <w:vAlign w:val="bottom"/>
          </w:tcPr>
          <w:p w14:paraId="58280CF8"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4" w:type="dxa"/>
            <w:tcBorders>
              <w:top w:val="single" w:sz="4" w:space="0" w:color="auto"/>
            </w:tcBorders>
            <w:vAlign w:val="bottom"/>
          </w:tcPr>
          <w:p w14:paraId="1386784A"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7" w:type="dxa"/>
            <w:tcBorders>
              <w:top w:val="single" w:sz="4" w:space="0" w:color="auto"/>
            </w:tcBorders>
            <w:vAlign w:val="bottom"/>
          </w:tcPr>
          <w:p w14:paraId="28C15B78" w14:textId="77777777" w:rsidR="00F75302" w:rsidRPr="00831B14" w:rsidDel="00561A80" w:rsidRDefault="00F75302" w:rsidP="00F75302">
            <w:pPr>
              <w:tabs>
                <w:tab w:val="right" w:pos="1202"/>
              </w:tabs>
              <w:spacing w:after="0" w:line="240" w:lineRule="auto"/>
              <w:jc w:val="right"/>
              <w:outlineLvl w:val="0"/>
              <w:rPr>
                <w:rFonts w:eastAsia="Times New Roman" w:cs="Arial"/>
                <w:spacing w:val="-2"/>
                <w:sz w:val="17"/>
                <w:szCs w:val="17"/>
              </w:rPr>
            </w:pPr>
          </w:p>
        </w:tc>
        <w:tc>
          <w:tcPr>
            <w:tcW w:w="1084" w:type="dxa"/>
            <w:tcBorders>
              <w:top w:val="single" w:sz="4" w:space="0" w:color="auto"/>
            </w:tcBorders>
            <w:vAlign w:val="bottom"/>
          </w:tcPr>
          <w:p w14:paraId="1CDEC0FF" w14:textId="77777777" w:rsidR="00F75302" w:rsidRPr="00831B14" w:rsidDel="00561A80" w:rsidRDefault="00F75302" w:rsidP="00E45CA6">
            <w:pPr>
              <w:tabs>
                <w:tab w:val="right" w:pos="1202"/>
              </w:tabs>
              <w:spacing w:after="0" w:line="240" w:lineRule="auto"/>
              <w:jc w:val="right"/>
              <w:outlineLvl w:val="0"/>
              <w:rPr>
                <w:rFonts w:eastAsia="Times New Roman" w:cs="Arial"/>
                <w:spacing w:val="-2"/>
                <w:sz w:val="17"/>
                <w:szCs w:val="17"/>
              </w:rPr>
            </w:pPr>
          </w:p>
        </w:tc>
        <w:tc>
          <w:tcPr>
            <w:tcW w:w="1083" w:type="dxa"/>
            <w:tcBorders>
              <w:top w:val="single" w:sz="4" w:space="0" w:color="auto"/>
            </w:tcBorders>
            <w:vAlign w:val="bottom"/>
          </w:tcPr>
          <w:p w14:paraId="289EA52B" w14:textId="77777777" w:rsidR="00F75302" w:rsidRPr="00831B14" w:rsidDel="00561A80" w:rsidRDefault="00F75302" w:rsidP="00E45CA6">
            <w:pPr>
              <w:tabs>
                <w:tab w:val="right" w:pos="1202"/>
              </w:tabs>
              <w:spacing w:after="0" w:line="240" w:lineRule="auto"/>
              <w:jc w:val="right"/>
              <w:outlineLvl w:val="0"/>
              <w:rPr>
                <w:rFonts w:eastAsia="Times New Roman" w:cs="Arial"/>
                <w:spacing w:val="-2"/>
                <w:sz w:val="17"/>
                <w:szCs w:val="17"/>
              </w:rPr>
            </w:pPr>
          </w:p>
        </w:tc>
        <w:tc>
          <w:tcPr>
            <w:tcW w:w="1088" w:type="dxa"/>
            <w:tcBorders>
              <w:top w:val="single" w:sz="4" w:space="0" w:color="auto"/>
            </w:tcBorders>
            <w:vAlign w:val="bottom"/>
          </w:tcPr>
          <w:p w14:paraId="693334BE" w14:textId="77777777" w:rsidR="00F75302" w:rsidRPr="00831B14" w:rsidDel="00561A80" w:rsidRDefault="00F75302" w:rsidP="00E45CA6">
            <w:pPr>
              <w:tabs>
                <w:tab w:val="right" w:pos="1202"/>
              </w:tabs>
              <w:spacing w:after="0" w:line="240" w:lineRule="auto"/>
              <w:jc w:val="right"/>
              <w:outlineLvl w:val="0"/>
              <w:rPr>
                <w:rFonts w:eastAsia="Times New Roman" w:cs="Arial"/>
                <w:spacing w:val="-2"/>
                <w:sz w:val="17"/>
                <w:szCs w:val="17"/>
              </w:rPr>
            </w:pPr>
          </w:p>
        </w:tc>
      </w:tr>
      <w:tr w:rsidR="00F75E59" w:rsidRPr="00831B14" w14:paraId="4596D45F" w14:textId="77777777" w:rsidTr="00312975">
        <w:trPr>
          <w:trHeight w:val="291"/>
          <w:jc w:val="center"/>
        </w:trPr>
        <w:tc>
          <w:tcPr>
            <w:tcW w:w="3580" w:type="dxa"/>
            <w:shd w:val="clear" w:color="auto" w:fill="auto"/>
            <w:vAlign w:val="bottom"/>
          </w:tcPr>
          <w:p w14:paraId="4E6788C9" w14:textId="77777777" w:rsidR="00F75E59" w:rsidRPr="00831B14" w:rsidRDefault="00F75E59" w:rsidP="00F75E59">
            <w:pPr>
              <w:tabs>
                <w:tab w:val="right" w:pos="1202"/>
              </w:tabs>
              <w:spacing w:after="0" w:line="240" w:lineRule="auto"/>
              <w:outlineLvl w:val="0"/>
              <w:rPr>
                <w:rFonts w:eastAsia="Times New Roman" w:cs="Arial"/>
                <w:sz w:val="17"/>
                <w:szCs w:val="17"/>
              </w:rPr>
            </w:pPr>
            <w:r w:rsidRPr="00831B14">
              <w:rPr>
                <w:rFonts w:eastAsia="Times New Roman" w:cs="Arial"/>
                <w:sz w:val="17"/>
                <w:szCs w:val="17"/>
              </w:rPr>
              <w:t>Dionice inozemnih pravnih osoba</w:t>
            </w:r>
          </w:p>
        </w:tc>
        <w:tc>
          <w:tcPr>
            <w:tcW w:w="1083" w:type="dxa"/>
            <w:tcBorders>
              <w:top w:val="nil"/>
              <w:left w:val="nil"/>
              <w:bottom w:val="nil"/>
              <w:right w:val="nil"/>
            </w:tcBorders>
            <w:shd w:val="clear" w:color="auto" w:fill="auto"/>
            <w:vAlign w:val="bottom"/>
          </w:tcPr>
          <w:p w14:paraId="74F7552B" w14:textId="5C6D8EEB" w:rsidR="00F75E59" w:rsidRPr="000E5941" w:rsidRDefault="00F75E59" w:rsidP="00F75E59">
            <w:pPr>
              <w:tabs>
                <w:tab w:val="right" w:pos="1202"/>
              </w:tabs>
              <w:spacing w:after="0" w:line="240" w:lineRule="auto"/>
              <w:jc w:val="right"/>
              <w:outlineLvl w:val="0"/>
              <w:rPr>
                <w:rFonts w:ascii="Calibri" w:hAnsi="Calibri" w:cs="Arial"/>
                <w:sz w:val="17"/>
                <w:szCs w:val="17"/>
              </w:rPr>
            </w:pPr>
            <w:r w:rsidRPr="000E5941">
              <w:rPr>
                <w:rFonts w:ascii="Calibri" w:hAnsi="Calibri" w:cs="Arial"/>
                <w:sz w:val="17"/>
                <w:szCs w:val="17"/>
              </w:rPr>
              <w:t>-</w:t>
            </w:r>
          </w:p>
        </w:tc>
        <w:tc>
          <w:tcPr>
            <w:tcW w:w="1084" w:type="dxa"/>
            <w:tcBorders>
              <w:top w:val="nil"/>
              <w:left w:val="nil"/>
              <w:bottom w:val="nil"/>
              <w:right w:val="nil"/>
            </w:tcBorders>
            <w:shd w:val="clear" w:color="auto" w:fill="auto"/>
            <w:vAlign w:val="bottom"/>
          </w:tcPr>
          <w:p w14:paraId="4F8B3DC5" w14:textId="34BC6201" w:rsidR="00F75E59" w:rsidRPr="00831B14" w:rsidRDefault="007D0C69" w:rsidP="00F75E59">
            <w:pPr>
              <w:tabs>
                <w:tab w:val="right" w:pos="1202"/>
              </w:tabs>
              <w:spacing w:after="0" w:line="240" w:lineRule="auto"/>
              <w:jc w:val="right"/>
              <w:outlineLvl w:val="0"/>
              <w:rPr>
                <w:rFonts w:eastAsia="Times New Roman" w:cs="Arial"/>
                <w:sz w:val="17"/>
                <w:szCs w:val="17"/>
              </w:rPr>
            </w:pPr>
            <w:r>
              <w:rPr>
                <w:rFonts w:eastAsia="Times New Roman" w:cs="Arial"/>
                <w:sz w:val="17"/>
                <w:szCs w:val="17"/>
              </w:rPr>
              <w:t>32</w:t>
            </w:r>
          </w:p>
        </w:tc>
        <w:tc>
          <w:tcPr>
            <w:tcW w:w="1087" w:type="dxa"/>
            <w:tcBorders>
              <w:top w:val="nil"/>
              <w:left w:val="nil"/>
              <w:bottom w:val="nil"/>
              <w:right w:val="nil"/>
            </w:tcBorders>
            <w:shd w:val="clear" w:color="auto" w:fill="auto"/>
            <w:vAlign w:val="bottom"/>
          </w:tcPr>
          <w:p w14:paraId="2BCD7ED1" w14:textId="3231AA4A" w:rsidR="00F75E59" w:rsidRPr="00831B14" w:rsidRDefault="007D0C69" w:rsidP="00F75E59">
            <w:pPr>
              <w:tabs>
                <w:tab w:val="right" w:pos="1202"/>
              </w:tabs>
              <w:spacing w:after="0" w:line="240" w:lineRule="auto"/>
              <w:jc w:val="right"/>
              <w:outlineLvl w:val="0"/>
              <w:rPr>
                <w:rFonts w:eastAsia="Times New Roman" w:cs="Arial"/>
                <w:sz w:val="17"/>
                <w:szCs w:val="17"/>
              </w:rPr>
            </w:pPr>
            <w:r>
              <w:rPr>
                <w:rFonts w:eastAsia="Times New Roman" w:cs="Arial"/>
                <w:sz w:val="17"/>
                <w:szCs w:val="17"/>
              </w:rPr>
              <w:t>-</w:t>
            </w:r>
          </w:p>
        </w:tc>
        <w:tc>
          <w:tcPr>
            <w:tcW w:w="1084" w:type="dxa"/>
            <w:tcBorders>
              <w:top w:val="nil"/>
              <w:left w:val="nil"/>
              <w:bottom w:val="nil"/>
              <w:right w:val="nil"/>
            </w:tcBorders>
            <w:shd w:val="clear" w:color="auto" w:fill="auto"/>
            <w:vAlign w:val="bottom"/>
          </w:tcPr>
          <w:p w14:paraId="0586E003" w14:textId="5C700079"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c>
          <w:tcPr>
            <w:tcW w:w="1083" w:type="dxa"/>
            <w:tcBorders>
              <w:top w:val="nil"/>
              <w:left w:val="nil"/>
              <w:bottom w:val="nil"/>
              <w:right w:val="nil"/>
            </w:tcBorders>
            <w:shd w:val="clear" w:color="auto" w:fill="auto"/>
            <w:vAlign w:val="bottom"/>
          </w:tcPr>
          <w:p w14:paraId="224C7C87" w14:textId="4FCEF906" w:rsidR="00F75E59" w:rsidRPr="00831B14" w:rsidRDefault="00F75E59" w:rsidP="00F75E59">
            <w:pPr>
              <w:tabs>
                <w:tab w:val="right" w:pos="1202"/>
              </w:tabs>
              <w:spacing w:after="0" w:line="240" w:lineRule="auto"/>
              <w:jc w:val="right"/>
              <w:outlineLvl w:val="0"/>
              <w:rPr>
                <w:rFonts w:eastAsia="Times New Roman" w:cs="Arial"/>
                <w:sz w:val="17"/>
                <w:szCs w:val="17"/>
              </w:rPr>
            </w:pPr>
            <w:r w:rsidRPr="002A3E38">
              <w:rPr>
                <w:rFonts w:ascii="Calibri" w:hAnsi="Calibri"/>
                <w:color w:val="000000"/>
                <w:sz w:val="17"/>
                <w:szCs w:val="17"/>
              </w:rPr>
              <w:t>32</w:t>
            </w:r>
          </w:p>
        </w:tc>
        <w:tc>
          <w:tcPr>
            <w:tcW w:w="1088" w:type="dxa"/>
            <w:tcBorders>
              <w:top w:val="nil"/>
              <w:left w:val="nil"/>
              <w:bottom w:val="nil"/>
              <w:right w:val="nil"/>
            </w:tcBorders>
            <w:shd w:val="clear" w:color="auto" w:fill="auto"/>
            <w:vAlign w:val="bottom"/>
          </w:tcPr>
          <w:p w14:paraId="6B520BAD" w14:textId="52343791"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r>
      <w:tr w:rsidR="00F75E59" w:rsidRPr="00831B14" w14:paraId="6509357B" w14:textId="77777777" w:rsidTr="00312975">
        <w:trPr>
          <w:trHeight w:val="291"/>
          <w:jc w:val="center"/>
        </w:trPr>
        <w:tc>
          <w:tcPr>
            <w:tcW w:w="3580" w:type="dxa"/>
            <w:shd w:val="clear" w:color="auto" w:fill="auto"/>
            <w:vAlign w:val="bottom"/>
          </w:tcPr>
          <w:p w14:paraId="465E2956" w14:textId="77777777" w:rsidR="00F75E59" w:rsidRPr="00831B14" w:rsidRDefault="00F75E59" w:rsidP="00F75E59">
            <w:pPr>
              <w:tabs>
                <w:tab w:val="right" w:pos="1202"/>
              </w:tabs>
              <w:spacing w:after="0" w:line="240" w:lineRule="auto"/>
              <w:outlineLvl w:val="0"/>
              <w:rPr>
                <w:rFonts w:eastAsia="Times New Roman" w:cs="Arial"/>
                <w:sz w:val="17"/>
                <w:szCs w:val="17"/>
              </w:rPr>
            </w:pPr>
            <w:r w:rsidRPr="00831B14">
              <w:rPr>
                <w:rFonts w:eastAsia="Times New Roman" w:cs="Arial"/>
                <w:sz w:val="17"/>
                <w:szCs w:val="17"/>
              </w:rPr>
              <w:t xml:space="preserve">Dionice financijskih institucija </w:t>
            </w:r>
          </w:p>
        </w:tc>
        <w:tc>
          <w:tcPr>
            <w:tcW w:w="1083" w:type="dxa"/>
            <w:tcBorders>
              <w:top w:val="nil"/>
              <w:left w:val="nil"/>
              <w:bottom w:val="nil"/>
              <w:right w:val="nil"/>
            </w:tcBorders>
            <w:shd w:val="clear" w:color="auto" w:fill="auto"/>
            <w:vAlign w:val="bottom"/>
          </w:tcPr>
          <w:p w14:paraId="2564A681" w14:textId="7210A675" w:rsidR="00F75E59" w:rsidRPr="000E5941" w:rsidRDefault="00F75E59" w:rsidP="00F75E59">
            <w:pPr>
              <w:tabs>
                <w:tab w:val="right" w:pos="1202"/>
              </w:tabs>
              <w:spacing w:after="0" w:line="240" w:lineRule="auto"/>
              <w:jc w:val="right"/>
              <w:outlineLvl w:val="0"/>
              <w:rPr>
                <w:rFonts w:ascii="Calibri" w:hAnsi="Calibri" w:cs="Arial"/>
                <w:sz w:val="17"/>
                <w:szCs w:val="17"/>
              </w:rPr>
            </w:pPr>
            <w:r w:rsidRPr="000E5941">
              <w:rPr>
                <w:rFonts w:ascii="Calibri" w:hAnsi="Calibri" w:cs="Arial"/>
                <w:sz w:val="17"/>
                <w:szCs w:val="17"/>
              </w:rPr>
              <w:t>-</w:t>
            </w:r>
          </w:p>
        </w:tc>
        <w:tc>
          <w:tcPr>
            <w:tcW w:w="1084" w:type="dxa"/>
            <w:tcBorders>
              <w:top w:val="nil"/>
              <w:left w:val="nil"/>
              <w:bottom w:val="nil"/>
              <w:right w:val="nil"/>
            </w:tcBorders>
            <w:shd w:val="clear" w:color="auto" w:fill="auto"/>
            <w:vAlign w:val="bottom"/>
          </w:tcPr>
          <w:p w14:paraId="215469AC" w14:textId="3A088320" w:rsidR="00F75E59" w:rsidRPr="00831B14" w:rsidRDefault="007D0C69" w:rsidP="00F75E59">
            <w:pPr>
              <w:tabs>
                <w:tab w:val="right" w:pos="1202"/>
              </w:tabs>
              <w:spacing w:after="0" w:line="240" w:lineRule="auto"/>
              <w:jc w:val="right"/>
              <w:outlineLvl w:val="0"/>
              <w:rPr>
                <w:rFonts w:eastAsia="Times New Roman" w:cs="Arial"/>
                <w:sz w:val="17"/>
                <w:szCs w:val="17"/>
              </w:rPr>
            </w:pPr>
            <w:r>
              <w:rPr>
                <w:rFonts w:eastAsia="Times New Roman" w:cs="Arial"/>
                <w:sz w:val="17"/>
                <w:szCs w:val="17"/>
              </w:rPr>
              <w:t>161</w:t>
            </w:r>
          </w:p>
        </w:tc>
        <w:tc>
          <w:tcPr>
            <w:tcW w:w="1087" w:type="dxa"/>
            <w:tcBorders>
              <w:top w:val="nil"/>
              <w:left w:val="nil"/>
              <w:bottom w:val="nil"/>
              <w:right w:val="nil"/>
            </w:tcBorders>
            <w:shd w:val="clear" w:color="auto" w:fill="auto"/>
            <w:vAlign w:val="bottom"/>
          </w:tcPr>
          <w:p w14:paraId="3E66B7E9" w14:textId="365EA35D" w:rsidR="00F75E59" w:rsidRPr="00831B14" w:rsidRDefault="007D0C69" w:rsidP="00F75E59">
            <w:pPr>
              <w:tabs>
                <w:tab w:val="right" w:pos="1202"/>
              </w:tabs>
              <w:spacing w:after="0" w:line="240" w:lineRule="auto"/>
              <w:jc w:val="right"/>
              <w:outlineLvl w:val="0"/>
              <w:rPr>
                <w:rFonts w:eastAsia="Times New Roman" w:cs="Arial"/>
                <w:sz w:val="17"/>
                <w:szCs w:val="17"/>
              </w:rPr>
            </w:pPr>
            <w:r>
              <w:rPr>
                <w:rFonts w:eastAsia="Times New Roman" w:cs="Arial"/>
                <w:sz w:val="17"/>
                <w:szCs w:val="17"/>
              </w:rPr>
              <w:t>-</w:t>
            </w:r>
          </w:p>
        </w:tc>
        <w:tc>
          <w:tcPr>
            <w:tcW w:w="1084" w:type="dxa"/>
            <w:tcBorders>
              <w:top w:val="nil"/>
              <w:left w:val="nil"/>
              <w:bottom w:val="nil"/>
              <w:right w:val="nil"/>
            </w:tcBorders>
            <w:shd w:val="clear" w:color="auto" w:fill="auto"/>
            <w:vAlign w:val="bottom"/>
          </w:tcPr>
          <w:p w14:paraId="05AA49FA" w14:textId="38448E18"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c>
          <w:tcPr>
            <w:tcW w:w="1083" w:type="dxa"/>
            <w:tcBorders>
              <w:top w:val="nil"/>
              <w:left w:val="nil"/>
              <w:bottom w:val="nil"/>
              <w:right w:val="nil"/>
            </w:tcBorders>
            <w:shd w:val="clear" w:color="auto" w:fill="auto"/>
            <w:vAlign w:val="bottom"/>
          </w:tcPr>
          <w:p w14:paraId="70E4B79C" w14:textId="390BEF15" w:rsidR="00F75E59" w:rsidRPr="00831B14" w:rsidRDefault="00F75E59" w:rsidP="00F75E59">
            <w:pPr>
              <w:tabs>
                <w:tab w:val="right" w:pos="1202"/>
              </w:tabs>
              <w:spacing w:after="0" w:line="240" w:lineRule="auto"/>
              <w:jc w:val="right"/>
              <w:outlineLvl w:val="0"/>
              <w:rPr>
                <w:rFonts w:eastAsia="Times New Roman" w:cs="Arial"/>
                <w:sz w:val="17"/>
                <w:szCs w:val="17"/>
              </w:rPr>
            </w:pPr>
            <w:r w:rsidRPr="002A3E38">
              <w:rPr>
                <w:rFonts w:ascii="Calibri" w:hAnsi="Calibri"/>
                <w:color w:val="000000"/>
                <w:sz w:val="17"/>
                <w:szCs w:val="17"/>
              </w:rPr>
              <w:t>161</w:t>
            </w:r>
          </w:p>
        </w:tc>
        <w:tc>
          <w:tcPr>
            <w:tcW w:w="1088" w:type="dxa"/>
            <w:tcBorders>
              <w:top w:val="nil"/>
              <w:left w:val="nil"/>
              <w:bottom w:val="nil"/>
              <w:right w:val="nil"/>
            </w:tcBorders>
            <w:shd w:val="clear" w:color="auto" w:fill="auto"/>
            <w:vAlign w:val="bottom"/>
          </w:tcPr>
          <w:p w14:paraId="1164D9EE" w14:textId="19DFD398"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r>
      <w:tr w:rsidR="00F75E59" w:rsidRPr="00831B14" w14:paraId="3D94D27D" w14:textId="77777777" w:rsidTr="00312975">
        <w:trPr>
          <w:trHeight w:val="291"/>
          <w:jc w:val="center"/>
        </w:trPr>
        <w:tc>
          <w:tcPr>
            <w:tcW w:w="3580" w:type="dxa"/>
            <w:shd w:val="clear" w:color="auto" w:fill="auto"/>
            <w:vAlign w:val="bottom"/>
          </w:tcPr>
          <w:p w14:paraId="2D55AE77" w14:textId="77777777" w:rsidR="00F75E59" w:rsidRPr="00831B14" w:rsidRDefault="00F75E59" w:rsidP="00F75E59">
            <w:pPr>
              <w:tabs>
                <w:tab w:val="right" w:pos="1202"/>
              </w:tabs>
              <w:spacing w:after="0" w:line="240" w:lineRule="auto"/>
              <w:outlineLvl w:val="0"/>
              <w:rPr>
                <w:rFonts w:eastAsia="Times New Roman" w:cs="Arial"/>
                <w:sz w:val="17"/>
                <w:szCs w:val="17"/>
              </w:rPr>
            </w:pPr>
            <w:r w:rsidRPr="00831B14">
              <w:rPr>
                <w:rFonts w:eastAsia="Times New Roman" w:cs="Arial"/>
                <w:sz w:val="17"/>
                <w:szCs w:val="17"/>
              </w:rPr>
              <w:t>Dionice inozemnih financijskih institucija – EIF</w:t>
            </w:r>
          </w:p>
        </w:tc>
        <w:tc>
          <w:tcPr>
            <w:tcW w:w="1083" w:type="dxa"/>
            <w:tcBorders>
              <w:top w:val="nil"/>
              <w:left w:val="nil"/>
              <w:bottom w:val="nil"/>
              <w:right w:val="nil"/>
            </w:tcBorders>
            <w:shd w:val="clear" w:color="auto" w:fill="auto"/>
            <w:vAlign w:val="bottom"/>
          </w:tcPr>
          <w:p w14:paraId="4B12CB98" w14:textId="03CED596" w:rsidR="00F75E59" w:rsidRPr="000E5941" w:rsidRDefault="00F75E59" w:rsidP="00F75E59">
            <w:pPr>
              <w:tabs>
                <w:tab w:val="right" w:pos="1202"/>
              </w:tabs>
              <w:spacing w:after="0" w:line="240" w:lineRule="auto"/>
              <w:jc w:val="right"/>
              <w:outlineLvl w:val="0"/>
              <w:rPr>
                <w:rFonts w:ascii="Calibri" w:hAnsi="Calibri" w:cs="Arial"/>
                <w:sz w:val="17"/>
                <w:szCs w:val="17"/>
              </w:rPr>
            </w:pPr>
            <w:r w:rsidRPr="000E5941">
              <w:rPr>
                <w:rFonts w:ascii="Calibri" w:hAnsi="Calibri" w:cs="Arial"/>
                <w:sz w:val="17"/>
                <w:szCs w:val="17"/>
              </w:rPr>
              <w:t>-</w:t>
            </w:r>
          </w:p>
        </w:tc>
        <w:tc>
          <w:tcPr>
            <w:tcW w:w="1084" w:type="dxa"/>
            <w:tcBorders>
              <w:top w:val="nil"/>
              <w:left w:val="nil"/>
              <w:bottom w:val="nil"/>
              <w:right w:val="nil"/>
            </w:tcBorders>
            <w:shd w:val="clear" w:color="auto" w:fill="auto"/>
            <w:vAlign w:val="bottom"/>
          </w:tcPr>
          <w:p w14:paraId="2B19612F" w14:textId="739B3664" w:rsidR="00F75E59" w:rsidRPr="00831B14" w:rsidRDefault="007D0C69" w:rsidP="00F75E59">
            <w:pPr>
              <w:tabs>
                <w:tab w:val="right" w:pos="1202"/>
              </w:tabs>
              <w:spacing w:after="0" w:line="240" w:lineRule="auto"/>
              <w:jc w:val="right"/>
              <w:outlineLvl w:val="0"/>
              <w:rPr>
                <w:rFonts w:eastAsia="Times New Roman" w:cs="Arial"/>
                <w:sz w:val="17"/>
                <w:szCs w:val="17"/>
              </w:rPr>
            </w:pPr>
            <w:r>
              <w:rPr>
                <w:rFonts w:eastAsia="Times New Roman" w:cs="Arial"/>
                <w:sz w:val="17"/>
                <w:szCs w:val="17"/>
              </w:rPr>
              <w:t>25.065</w:t>
            </w:r>
          </w:p>
        </w:tc>
        <w:tc>
          <w:tcPr>
            <w:tcW w:w="1087" w:type="dxa"/>
            <w:tcBorders>
              <w:top w:val="nil"/>
              <w:left w:val="nil"/>
              <w:bottom w:val="nil"/>
              <w:right w:val="nil"/>
            </w:tcBorders>
            <w:shd w:val="clear" w:color="auto" w:fill="auto"/>
            <w:vAlign w:val="bottom"/>
          </w:tcPr>
          <w:p w14:paraId="07B20F2F" w14:textId="67ADEF63" w:rsidR="00F75E59" w:rsidRPr="00831B14" w:rsidRDefault="007D0C69" w:rsidP="00F75E59">
            <w:pPr>
              <w:tabs>
                <w:tab w:val="right" w:pos="1202"/>
              </w:tabs>
              <w:spacing w:after="0" w:line="240" w:lineRule="auto"/>
              <w:jc w:val="right"/>
              <w:outlineLvl w:val="0"/>
              <w:rPr>
                <w:rFonts w:eastAsia="Times New Roman" w:cs="Arial"/>
                <w:sz w:val="17"/>
                <w:szCs w:val="17"/>
              </w:rPr>
            </w:pPr>
            <w:r>
              <w:rPr>
                <w:rFonts w:eastAsia="Times New Roman" w:cs="Arial"/>
                <w:sz w:val="17"/>
                <w:szCs w:val="17"/>
              </w:rPr>
              <w:t>-</w:t>
            </w:r>
          </w:p>
        </w:tc>
        <w:tc>
          <w:tcPr>
            <w:tcW w:w="1084" w:type="dxa"/>
            <w:tcBorders>
              <w:top w:val="nil"/>
              <w:left w:val="nil"/>
              <w:bottom w:val="nil"/>
              <w:right w:val="nil"/>
            </w:tcBorders>
            <w:shd w:val="clear" w:color="auto" w:fill="auto"/>
            <w:vAlign w:val="bottom"/>
          </w:tcPr>
          <w:p w14:paraId="54FD4003" w14:textId="3AC53554"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c>
          <w:tcPr>
            <w:tcW w:w="1083" w:type="dxa"/>
            <w:tcBorders>
              <w:top w:val="nil"/>
              <w:left w:val="nil"/>
              <w:bottom w:val="nil"/>
              <w:right w:val="nil"/>
            </w:tcBorders>
            <w:shd w:val="clear" w:color="auto" w:fill="auto"/>
            <w:vAlign w:val="bottom"/>
          </w:tcPr>
          <w:p w14:paraId="128D86F0" w14:textId="3A9B9974" w:rsidR="00F75E59" w:rsidRPr="00831B14" w:rsidRDefault="00F75E59" w:rsidP="00F75E59">
            <w:pPr>
              <w:tabs>
                <w:tab w:val="right" w:pos="1202"/>
              </w:tabs>
              <w:spacing w:after="0" w:line="240" w:lineRule="auto"/>
              <w:jc w:val="right"/>
              <w:outlineLvl w:val="0"/>
              <w:rPr>
                <w:rFonts w:eastAsia="Times New Roman" w:cs="Arial"/>
                <w:sz w:val="17"/>
                <w:szCs w:val="17"/>
              </w:rPr>
            </w:pPr>
            <w:r w:rsidRPr="002A3E38">
              <w:rPr>
                <w:rFonts w:ascii="Calibri" w:hAnsi="Calibri"/>
                <w:color w:val="000000"/>
                <w:sz w:val="17"/>
                <w:szCs w:val="17"/>
              </w:rPr>
              <w:t>25.815</w:t>
            </w:r>
          </w:p>
        </w:tc>
        <w:tc>
          <w:tcPr>
            <w:tcW w:w="1088" w:type="dxa"/>
            <w:tcBorders>
              <w:top w:val="nil"/>
              <w:left w:val="nil"/>
              <w:bottom w:val="nil"/>
              <w:right w:val="nil"/>
            </w:tcBorders>
            <w:shd w:val="clear" w:color="auto" w:fill="auto"/>
            <w:vAlign w:val="bottom"/>
          </w:tcPr>
          <w:p w14:paraId="5A7E627A" w14:textId="7E5ACAFB"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r>
      <w:tr w:rsidR="00F75E59" w:rsidRPr="00831B14" w14:paraId="64BC31F6" w14:textId="77777777" w:rsidTr="00312975">
        <w:trPr>
          <w:trHeight w:val="291"/>
          <w:jc w:val="center"/>
        </w:trPr>
        <w:tc>
          <w:tcPr>
            <w:tcW w:w="3580" w:type="dxa"/>
            <w:shd w:val="clear" w:color="auto" w:fill="auto"/>
            <w:vAlign w:val="bottom"/>
          </w:tcPr>
          <w:p w14:paraId="115BDC08" w14:textId="77777777" w:rsidR="00F75E59" w:rsidRPr="00831B14" w:rsidRDefault="00F75E59" w:rsidP="00F75E59">
            <w:pPr>
              <w:tabs>
                <w:tab w:val="right" w:pos="1202"/>
              </w:tabs>
              <w:spacing w:after="0" w:line="240" w:lineRule="auto"/>
              <w:outlineLvl w:val="0"/>
              <w:rPr>
                <w:rFonts w:eastAsia="Times New Roman" w:cs="Arial"/>
                <w:spacing w:val="-2"/>
                <w:sz w:val="17"/>
                <w:szCs w:val="17"/>
              </w:rPr>
            </w:pPr>
            <w:r w:rsidRPr="00831B14">
              <w:rPr>
                <w:rFonts w:eastAsia="Times New Roman" w:cs="Arial"/>
                <w:spacing w:val="-2"/>
                <w:sz w:val="17"/>
                <w:szCs w:val="17"/>
              </w:rPr>
              <w:t>Dionice trgovačkih društava</w:t>
            </w:r>
          </w:p>
        </w:tc>
        <w:tc>
          <w:tcPr>
            <w:tcW w:w="1083" w:type="dxa"/>
            <w:tcBorders>
              <w:top w:val="nil"/>
              <w:left w:val="nil"/>
              <w:bottom w:val="nil"/>
              <w:right w:val="nil"/>
            </w:tcBorders>
            <w:shd w:val="clear" w:color="auto" w:fill="auto"/>
            <w:vAlign w:val="bottom"/>
          </w:tcPr>
          <w:p w14:paraId="0C14D17D" w14:textId="30E4915E" w:rsidR="00F75E59" w:rsidRPr="000E5941" w:rsidRDefault="00F75E59" w:rsidP="00F75E59">
            <w:pPr>
              <w:tabs>
                <w:tab w:val="right" w:pos="1202"/>
              </w:tabs>
              <w:spacing w:after="0" w:line="240" w:lineRule="auto"/>
              <w:jc w:val="right"/>
              <w:outlineLvl w:val="0"/>
              <w:rPr>
                <w:rFonts w:ascii="Calibri" w:hAnsi="Calibri" w:cs="Arial"/>
                <w:sz w:val="17"/>
                <w:szCs w:val="17"/>
              </w:rPr>
            </w:pPr>
            <w:r w:rsidRPr="000E5941">
              <w:rPr>
                <w:rFonts w:ascii="Calibri" w:hAnsi="Calibri" w:cs="Arial"/>
                <w:sz w:val="17"/>
                <w:szCs w:val="17"/>
              </w:rPr>
              <w:t>-</w:t>
            </w:r>
          </w:p>
        </w:tc>
        <w:tc>
          <w:tcPr>
            <w:tcW w:w="1084" w:type="dxa"/>
            <w:tcBorders>
              <w:top w:val="nil"/>
              <w:left w:val="nil"/>
              <w:bottom w:val="nil"/>
              <w:right w:val="nil"/>
            </w:tcBorders>
            <w:shd w:val="clear" w:color="auto" w:fill="auto"/>
            <w:vAlign w:val="bottom"/>
          </w:tcPr>
          <w:p w14:paraId="15B54CD4" w14:textId="7AC9CD07"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eastAsia="Times New Roman" w:cs="Arial"/>
                <w:sz w:val="17"/>
                <w:szCs w:val="17"/>
              </w:rPr>
              <w:t>-</w:t>
            </w:r>
          </w:p>
        </w:tc>
        <w:tc>
          <w:tcPr>
            <w:tcW w:w="1087" w:type="dxa"/>
            <w:tcBorders>
              <w:top w:val="nil"/>
              <w:left w:val="nil"/>
              <w:bottom w:val="nil"/>
              <w:right w:val="nil"/>
            </w:tcBorders>
            <w:shd w:val="clear" w:color="auto" w:fill="auto"/>
            <w:vAlign w:val="bottom"/>
          </w:tcPr>
          <w:p w14:paraId="67511F21" w14:textId="16C5A98B" w:rsidR="00F75E59" w:rsidRPr="00831B14" w:rsidRDefault="007D0C69" w:rsidP="00F75E59">
            <w:pPr>
              <w:tabs>
                <w:tab w:val="right" w:pos="1202"/>
              </w:tabs>
              <w:spacing w:after="0" w:line="240" w:lineRule="auto"/>
              <w:jc w:val="right"/>
              <w:outlineLvl w:val="0"/>
              <w:rPr>
                <w:rFonts w:eastAsia="Times New Roman" w:cs="Arial"/>
                <w:sz w:val="17"/>
                <w:szCs w:val="17"/>
              </w:rPr>
            </w:pPr>
            <w:r>
              <w:rPr>
                <w:rFonts w:eastAsia="Times New Roman" w:cs="Arial"/>
                <w:sz w:val="17"/>
                <w:szCs w:val="17"/>
              </w:rPr>
              <w:t>-</w:t>
            </w:r>
          </w:p>
        </w:tc>
        <w:tc>
          <w:tcPr>
            <w:tcW w:w="1084" w:type="dxa"/>
            <w:tcBorders>
              <w:top w:val="nil"/>
              <w:left w:val="nil"/>
              <w:bottom w:val="nil"/>
              <w:right w:val="nil"/>
            </w:tcBorders>
            <w:shd w:val="clear" w:color="auto" w:fill="auto"/>
            <w:vAlign w:val="bottom"/>
          </w:tcPr>
          <w:p w14:paraId="2E242515" w14:textId="7C2A0933"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c>
          <w:tcPr>
            <w:tcW w:w="1083" w:type="dxa"/>
            <w:tcBorders>
              <w:top w:val="nil"/>
              <w:left w:val="nil"/>
              <w:bottom w:val="nil"/>
              <w:right w:val="nil"/>
            </w:tcBorders>
            <w:shd w:val="clear" w:color="auto" w:fill="auto"/>
            <w:vAlign w:val="bottom"/>
          </w:tcPr>
          <w:p w14:paraId="3BAF6647" w14:textId="73AFD9D8"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c>
          <w:tcPr>
            <w:tcW w:w="1088" w:type="dxa"/>
            <w:tcBorders>
              <w:top w:val="nil"/>
              <w:left w:val="nil"/>
              <w:bottom w:val="nil"/>
              <w:right w:val="nil"/>
            </w:tcBorders>
            <w:shd w:val="clear" w:color="auto" w:fill="auto"/>
            <w:vAlign w:val="bottom"/>
          </w:tcPr>
          <w:p w14:paraId="52F38EDA" w14:textId="3C451819"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r>
      <w:tr w:rsidR="009E2A3F" w:rsidRPr="00831B14" w14:paraId="289799D5" w14:textId="77777777" w:rsidTr="00312975">
        <w:trPr>
          <w:trHeight w:val="291"/>
          <w:jc w:val="center"/>
        </w:trPr>
        <w:tc>
          <w:tcPr>
            <w:tcW w:w="3580" w:type="dxa"/>
            <w:shd w:val="clear" w:color="auto" w:fill="auto"/>
            <w:vAlign w:val="bottom"/>
          </w:tcPr>
          <w:p w14:paraId="22D5925F" w14:textId="77777777" w:rsidR="009E2A3F" w:rsidRPr="00831B14" w:rsidRDefault="009E2A3F" w:rsidP="009E2A3F">
            <w:pPr>
              <w:tabs>
                <w:tab w:val="right" w:pos="1202"/>
              </w:tabs>
              <w:spacing w:after="0" w:line="240" w:lineRule="auto"/>
              <w:outlineLvl w:val="0"/>
              <w:rPr>
                <w:rFonts w:eastAsia="Times New Roman" w:cs="Arial"/>
                <w:b/>
                <w:sz w:val="17"/>
                <w:szCs w:val="17"/>
              </w:rPr>
            </w:pPr>
            <w:r w:rsidRPr="00831B14">
              <w:rPr>
                <w:rFonts w:eastAsia="Times New Roman" w:cs="Arial"/>
                <w:b/>
                <w:sz w:val="17"/>
                <w:szCs w:val="17"/>
              </w:rPr>
              <w:t>Ukupno vlasnički vrijednosni papiri</w:t>
            </w:r>
          </w:p>
        </w:tc>
        <w:tc>
          <w:tcPr>
            <w:tcW w:w="1083" w:type="dxa"/>
            <w:tcBorders>
              <w:top w:val="single" w:sz="4" w:space="0" w:color="auto"/>
              <w:left w:val="nil"/>
              <w:bottom w:val="single" w:sz="8" w:space="0" w:color="auto"/>
              <w:right w:val="nil"/>
            </w:tcBorders>
            <w:shd w:val="clear" w:color="auto" w:fill="auto"/>
            <w:vAlign w:val="bottom"/>
          </w:tcPr>
          <w:p w14:paraId="765CFE7B" w14:textId="24829D61" w:rsidR="009E2A3F" w:rsidRPr="00831B14" w:rsidRDefault="007D0C69"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10.938</w:t>
            </w:r>
          </w:p>
        </w:tc>
        <w:tc>
          <w:tcPr>
            <w:tcW w:w="1084" w:type="dxa"/>
            <w:tcBorders>
              <w:top w:val="single" w:sz="4" w:space="0" w:color="auto"/>
              <w:left w:val="nil"/>
              <w:bottom w:val="single" w:sz="8" w:space="0" w:color="auto"/>
              <w:right w:val="nil"/>
            </w:tcBorders>
            <w:shd w:val="clear" w:color="auto" w:fill="auto"/>
            <w:vAlign w:val="bottom"/>
          </w:tcPr>
          <w:p w14:paraId="689BA8D2" w14:textId="41DC603D" w:rsidR="009E2A3F" w:rsidRPr="00831B14" w:rsidRDefault="007D0C69"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25.258</w:t>
            </w:r>
          </w:p>
        </w:tc>
        <w:tc>
          <w:tcPr>
            <w:tcW w:w="1087" w:type="dxa"/>
            <w:tcBorders>
              <w:top w:val="single" w:sz="4" w:space="0" w:color="auto"/>
              <w:left w:val="nil"/>
              <w:bottom w:val="single" w:sz="8" w:space="0" w:color="auto"/>
              <w:right w:val="nil"/>
            </w:tcBorders>
            <w:shd w:val="clear" w:color="auto" w:fill="auto"/>
            <w:vAlign w:val="bottom"/>
          </w:tcPr>
          <w:p w14:paraId="36A86F1C" w14:textId="380607A6" w:rsidR="009E2A3F" w:rsidRPr="00831B14" w:rsidRDefault="007D0C69"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w:t>
            </w:r>
          </w:p>
        </w:tc>
        <w:tc>
          <w:tcPr>
            <w:tcW w:w="1084" w:type="dxa"/>
            <w:tcBorders>
              <w:top w:val="single" w:sz="4" w:space="0" w:color="auto"/>
              <w:left w:val="nil"/>
              <w:bottom w:val="single" w:sz="8" w:space="0" w:color="auto"/>
              <w:right w:val="nil"/>
            </w:tcBorders>
            <w:shd w:val="clear" w:color="auto" w:fill="auto"/>
            <w:vAlign w:val="bottom"/>
          </w:tcPr>
          <w:p w14:paraId="76BB5172" w14:textId="039DC32A" w:rsidR="009E2A3F" w:rsidRPr="00831B14" w:rsidRDefault="009E2A3F" w:rsidP="00E45CA6">
            <w:pPr>
              <w:tabs>
                <w:tab w:val="right" w:pos="1202"/>
              </w:tabs>
              <w:spacing w:after="0" w:line="240" w:lineRule="auto"/>
              <w:jc w:val="right"/>
              <w:outlineLvl w:val="0"/>
              <w:rPr>
                <w:rFonts w:eastAsia="Times New Roman" w:cs="Arial"/>
                <w:b/>
                <w:sz w:val="17"/>
                <w:szCs w:val="17"/>
              </w:rPr>
            </w:pPr>
            <w:r w:rsidRPr="002A3E38">
              <w:rPr>
                <w:rFonts w:ascii="Calibri" w:hAnsi="Calibri"/>
                <w:b/>
                <w:bCs/>
                <w:color w:val="000000"/>
                <w:sz w:val="17"/>
                <w:szCs w:val="17"/>
              </w:rPr>
              <w:t>10.938</w:t>
            </w:r>
          </w:p>
        </w:tc>
        <w:tc>
          <w:tcPr>
            <w:tcW w:w="1083" w:type="dxa"/>
            <w:tcBorders>
              <w:top w:val="single" w:sz="4" w:space="0" w:color="auto"/>
              <w:left w:val="nil"/>
              <w:bottom w:val="single" w:sz="8" w:space="0" w:color="auto"/>
              <w:right w:val="nil"/>
            </w:tcBorders>
            <w:shd w:val="clear" w:color="auto" w:fill="auto"/>
            <w:vAlign w:val="bottom"/>
          </w:tcPr>
          <w:p w14:paraId="0B307F2C" w14:textId="5654CBD8" w:rsidR="009E2A3F" w:rsidRPr="00831B14" w:rsidRDefault="009E2A3F" w:rsidP="00E45CA6">
            <w:pPr>
              <w:tabs>
                <w:tab w:val="right" w:pos="1202"/>
              </w:tabs>
              <w:spacing w:after="0" w:line="240" w:lineRule="auto"/>
              <w:jc w:val="right"/>
              <w:outlineLvl w:val="0"/>
              <w:rPr>
                <w:rFonts w:eastAsia="Times New Roman" w:cs="Arial"/>
                <w:b/>
                <w:sz w:val="17"/>
                <w:szCs w:val="17"/>
              </w:rPr>
            </w:pPr>
            <w:r w:rsidRPr="002A3E38">
              <w:rPr>
                <w:rFonts w:ascii="Calibri" w:hAnsi="Calibri"/>
                <w:b/>
                <w:bCs/>
                <w:color w:val="000000"/>
                <w:sz w:val="17"/>
                <w:szCs w:val="17"/>
              </w:rPr>
              <w:t>26.008</w:t>
            </w:r>
          </w:p>
        </w:tc>
        <w:tc>
          <w:tcPr>
            <w:tcW w:w="1088" w:type="dxa"/>
            <w:tcBorders>
              <w:top w:val="single" w:sz="4" w:space="0" w:color="auto"/>
              <w:left w:val="nil"/>
              <w:bottom w:val="single" w:sz="8" w:space="0" w:color="auto"/>
              <w:right w:val="nil"/>
            </w:tcBorders>
            <w:shd w:val="clear" w:color="auto" w:fill="auto"/>
            <w:vAlign w:val="bottom"/>
          </w:tcPr>
          <w:p w14:paraId="5E8B7F18" w14:textId="1C3B8B4C" w:rsidR="009E2A3F" w:rsidRPr="00831B14" w:rsidRDefault="00866742" w:rsidP="00E45CA6">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w:t>
            </w:r>
          </w:p>
        </w:tc>
      </w:tr>
      <w:tr w:rsidR="00F75302" w:rsidRPr="00831B14" w14:paraId="17F6A5D6" w14:textId="77777777" w:rsidTr="00312975">
        <w:trPr>
          <w:trHeight w:val="291"/>
          <w:jc w:val="center"/>
        </w:trPr>
        <w:tc>
          <w:tcPr>
            <w:tcW w:w="3580" w:type="dxa"/>
            <w:shd w:val="clear" w:color="auto" w:fill="auto"/>
            <w:vAlign w:val="bottom"/>
          </w:tcPr>
          <w:p w14:paraId="5AF53940" w14:textId="77777777" w:rsidR="00F75302" w:rsidRPr="00831B14" w:rsidRDefault="00F75302" w:rsidP="00F75302">
            <w:pPr>
              <w:tabs>
                <w:tab w:val="right" w:pos="1202"/>
              </w:tabs>
              <w:spacing w:after="0" w:line="240" w:lineRule="auto"/>
              <w:outlineLvl w:val="0"/>
              <w:rPr>
                <w:rFonts w:eastAsia="Times New Roman" w:cs="Arial"/>
                <w:b/>
                <w:sz w:val="17"/>
                <w:szCs w:val="17"/>
              </w:rPr>
            </w:pPr>
            <w:r w:rsidRPr="00831B14">
              <w:rPr>
                <w:rFonts w:eastAsia="Times New Roman" w:cs="Arial"/>
                <w:b/>
                <w:sz w:val="17"/>
                <w:szCs w:val="17"/>
              </w:rPr>
              <w:t>Ulaganja u investicijske fondove:</w:t>
            </w:r>
          </w:p>
        </w:tc>
        <w:tc>
          <w:tcPr>
            <w:tcW w:w="1083" w:type="dxa"/>
            <w:tcBorders>
              <w:top w:val="single" w:sz="12" w:space="0" w:color="auto"/>
            </w:tcBorders>
            <w:vAlign w:val="bottom"/>
          </w:tcPr>
          <w:p w14:paraId="0CA220EC" w14:textId="77777777" w:rsidR="00F75302" w:rsidRPr="00831B14" w:rsidRDefault="00F75302" w:rsidP="00F75302">
            <w:pPr>
              <w:tabs>
                <w:tab w:val="right" w:pos="1202"/>
              </w:tabs>
              <w:spacing w:after="0" w:line="240" w:lineRule="auto"/>
              <w:jc w:val="right"/>
              <w:outlineLvl w:val="0"/>
              <w:rPr>
                <w:rFonts w:eastAsia="Times New Roman" w:cs="Arial"/>
                <w:b/>
                <w:sz w:val="17"/>
                <w:szCs w:val="17"/>
              </w:rPr>
            </w:pPr>
          </w:p>
        </w:tc>
        <w:tc>
          <w:tcPr>
            <w:tcW w:w="1084" w:type="dxa"/>
            <w:tcBorders>
              <w:top w:val="single" w:sz="12" w:space="0" w:color="auto"/>
            </w:tcBorders>
            <w:vAlign w:val="bottom"/>
          </w:tcPr>
          <w:p w14:paraId="42D5BAF3" w14:textId="77777777" w:rsidR="00F75302" w:rsidRPr="00831B14" w:rsidRDefault="00F75302" w:rsidP="00F75302">
            <w:pPr>
              <w:tabs>
                <w:tab w:val="right" w:pos="1202"/>
              </w:tabs>
              <w:spacing w:after="0" w:line="240" w:lineRule="auto"/>
              <w:jc w:val="right"/>
              <w:outlineLvl w:val="0"/>
              <w:rPr>
                <w:rFonts w:eastAsia="Times New Roman" w:cs="Arial"/>
                <w:b/>
                <w:sz w:val="17"/>
                <w:szCs w:val="17"/>
              </w:rPr>
            </w:pPr>
          </w:p>
        </w:tc>
        <w:tc>
          <w:tcPr>
            <w:tcW w:w="1087" w:type="dxa"/>
            <w:tcBorders>
              <w:top w:val="single" w:sz="12" w:space="0" w:color="auto"/>
            </w:tcBorders>
            <w:vAlign w:val="bottom"/>
          </w:tcPr>
          <w:p w14:paraId="1C71E57B" w14:textId="77777777" w:rsidR="00F75302" w:rsidRPr="00831B14" w:rsidRDefault="00F75302" w:rsidP="00F75302">
            <w:pPr>
              <w:tabs>
                <w:tab w:val="right" w:pos="1202"/>
              </w:tabs>
              <w:spacing w:after="0" w:line="240" w:lineRule="auto"/>
              <w:jc w:val="right"/>
              <w:outlineLvl w:val="0"/>
              <w:rPr>
                <w:rFonts w:eastAsia="Times New Roman" w:cs="Arial"/>
                <w:b/>
                <w:sz w:val="17"/>
                <w:szCs w:val="17"/>
              </w:rPr>
            </w:pPr>
          </w:p>
        </w:tc>
        <w:tc>
          <w:tcPr>
            <w:tcW w:w="1084" w:type="dxa"/>
            <w:tcBorders>
              <w:top w:val="single" w:sz="12" w:space="0" w:color="auto"/>
            </w:tcBorders>
            <w:vAlign w:val="bottom"/>
          </w:tcPr>
          <w:p w14:paraId="587D540F" w14:textId="77777777" w:rsidR="00F75302" w:rsidRPr="00831B14" w:rsidRDefault="00F75302" w:rsidP="00E45CA6">
            <w:pPr>
              <w:tabs>
                <w:tab w:val="right" w:pos="1202"/>
              </w:tabs>
              <w:spacing w:after="0" w:line="240" w:lineRule="auto"/>
              <w:jc w:val="right"/>
              <w:outlineLvl w:val="0"/>
              <w:rPr>
                <w:rFonts w:eastAsia="Times New Roman" w:cs="Arial"/>
                <w:b/>
                <w:sz w:val="17"/>
                <w:szCs w:val="17"/>
              </w:rPr>
            </w:pPr>
          </w:p>
        </w:tc>
        <w:tc>
          <w:tcPr>
            <w:tcW w:w="1083" w:type="dxa"/>
            <w:tcBorders>
              <w:top w:val="single" w:sz="12" w:space="0" w:color="auto"/>
            </w:tcBorders>
            <w:vAlign w:val="bottom"/>
          </w:tcPr>
          <w:p w14:paraId="5B0E9C03" w14:textId="77777777" w:rsidR="00F75302" w:rsidRPr="00831B14" w:rsidRDefault="00F75302" w:rsidP="00E45CA6">
            <w:pPr>
              <w:tabs>
                <w:tab w:val="right" w:pos="1202"/>
              </w:tabs>
              <w:spacing w:after="0" w:line="240" w:lineRule="auto"/>
              <w:jc w:val="right"/>
              <w:outlineLvl w:val="0"/>
              <w:rPr>
                <w:rFonts w:eastAsia="Times New Roman" w:cs="Arial"/>
                <w:b/>
                <w:sz w:val="17"/>
                <w:szCs w:val="17"/>
              </w:rPr>
            </w:pPr>
          </w:p>
        </w:tc>
        <w:tc>
          <w:tcPr>
            <w:tcW w:w="1088" w:type="dxa"/>
            <w:tcBorders>
              <w:top w:val="single" w:sz="12" w:space="0" w:color="auto"/>
            </w:tcBorders>
            <w:vAlign w:val="bottom"/>
          </w:tcPr>
          <w:p w14:paraId="5A8413C0" w14:textId="77777777" w:rsidR="00F75302" w:rsidRPr="00831B14" w:rsidRDefault="00F75302" w:rsidP="00E45CA6">
            <w:pPr>
              <w:tabs>
                <w:tab w:val="right" w:pos="1202"/>
              </w:tabs>
              <w:spacing w:after="0" w:line="240" w:lineRule="auto"/>
              <w:jc w:val="right"/>
              <w:outlineLvl w:val="0"/>
              <w:rPr>
                <w:rFonts w:eastAsia="Times New Roman" w:cs="Arial"/>
                <w:b/>
                <w:sz w:val="17"/>
                <w:szCs w:val="17"/>
              </w:rPr>
            </w:pPr>
          </w:p>
        </w:tc>
      </w:tr>
      <w:tr w:rsidR="00F75E59" w:rsidRPr="00831B14" w14:paraId="438912CA" w14:textId="77777777" w:rsidTr="00312975">
        <w:trPr>
          <w:trHeight w:val="495"/>
          <w:jc w:val="center"/>
        </w:trPr>
        <w:tc>
          <w:tcPr>
            <w:tcW w:w="3580" w:type="dxa"/>
            <w:shd w:val="clear" w:color="auto" w:fill="auto"/>
            <w:vAlign w:val="bottom"/>
          </w:tcPr>
          <w:p w14:paraId="6C44CA99" w14:textId="77777777" w:rsidR="00F75E59" w:rsidRPr="00831B14" w:rsidRDefault="00F75E59" w:rsidP="00F75E59">
            <w:pPr>
              <w:tabs>
                <w:tab w:val="right" w:pos="1202"/>
              </w:tabs>
              <w:spacing w:after="0" w:line="240" w:lineRule="auto"/>
              <w:outlineLvl w:val="0"/>
              <w:rPr>
                <w:rFonts w:eastAsia="Times New Roman" w:cs="Arial"/>
                <w:b/>
                <w:i/>
                <w:sz w:val="17"/>
                <w:szCs w:val="17"/>
              </w:rPr>
            </w:pPr>
            <w:r w:rsidRPr="00831B14">
              <w:rPr>
                <w:rFonts w:eastAsia="Times New Roman" w:cs="Arial"/>
                <w:sz w:val="17"/>
                <w:szCs w:val="17"/>
              </w:rPr>
              <w:t>Udjeli  raspoređeni u imovinu raspoloživu za prodaju</w:t>
            </w:r>
          </w:p>
        </w:tc>
        <w:tc>
          <w:tcPr>
            <w:tcW w:w="1083" w:type="dxa"/>
            <w:tcBorders>
              <w:bottom w:val="single" w:sz="4" w:space="0" w:color="auto"/>
            </w:tcBorders>
            <w:vAlign w:val="bottom"/>
          </w:tcPr>
          <w:p w14:paraId="261D30D7" w14:textId="3E64E15F" w:rsidR="00F75E59" w:rsidRPr="00831B14" w:rsidRDefault="007D0C69" w:rsidP="00F75E59">
            <w:pPr>
              <w:tabs>
                <w:tab w:val="right" w:pos="1202"/>
              </w:tabs>
              <w:spacing w:after="0" w:line="240" w:lineRule="auto"/>
              <w:jc w:val="right"/>
              <w:outlineLvl w:val="0"/>
              <w:rPr>
                <w:rFonts w:eastAsia="Times New Roman" w:cs="Arial"/>
                <w:sz w:val="17"/>
                <w:szCs w:val="17"/>
              </w:rPr>
            </w:pPr>
            <w:r>
              <w:rPr>
                <w:rFonts w:eastAsia="Times New Roman" w:cs="Arial"/>
                <w:sz w:val="17"/>
                <w:szCs w:val="17"/>
              </w:rPr>
              <w:t>862.906</w:t>
            </w:r>
          </w:p>
        </w:tc>
        <w:tc>
          <w:tcPr>
            <w:tcW w:w="1084" w:type="dxa"/>
            <w:tcBorders>
              <w:bottom w:val="single" w:sz="4" w:space="0" w:color="auto"/>
            </w:tcBorders>
            <w:vAlign w:val="bottom"/>
          </w:tcPr>
          <w:p w14:paraId="48E77941" w14:textId="660F1F68" w:rsidR="00F75E59" w:rsidRPr="000E5941" w:rsidRDefault="00F75E59" w:rsidP="00F75E59">
            <w:pPr>
              <w:tabs>
                <w:tab w:val="right" w:pos="1202"/>
              </w:tabs>
              <w:spacing w:after="0" w:line="240" w:lineRule="auto"/>
              <w:jc w:val="right"/>
              <w:outlineLvl w:val="0"/>
              <w:rPr>
                <w:rFonts w:ascii="Calibri" w:hAnsi="Calibri" w:cs="Arial"/>
                <w:sz w:val="17"/>
                <w:szCs w:val="17"/>
              </w:rPr>
            </w:pPr>
            <w:r w:rsidRPr="000E5941">
              <w:rPr>
                <w:rFonts w:ascii="Calibri" w:hAnsi="Calibri" w:cs="Arial"/>
                <w:sz w:val="17"/>
                <w:szCs w:val="17"/>
              </w:rPr>
              <w:t>-</w:t>
            </w:r>
          </w:p>
        </w:tc>
        <w:tc>
          <w:tcPr>
            <w:tcW w:w="1087" w:type="dxa"/>
            <w:tcBorders>
              <w:bottom w:val="single" w:sz="4" w:space="0" w:color="auto"/>
            </w:tcBorders>
            <w:vAlign w:val="bottom"/>
          </w:tcPr>
          <w:p w14:paraId="73238196" w14:textId="6D34B3F7" w:rsidR="00F75E59" w:rsidRPr="000E5941" w:rsidRDefault="00F75E59" w:rsidP="00F75E59">
            <w:pPr>
              <w:tabs>
                <w:tab w:val="right" w:pos="1202"/>
              </w:tabs>
              <w:spacing w:after="0" w:line="240" w:lineRule="auto"/>
              <w:jc w:val="right"/>
              <w:outlineLvl w:val="0"/>
              <w:rPr>
                <w:rFonts w:ascii="Calibri" w:hAnsi="Calibri" w:cs="Arial"/>
                <w:sz w:val="17"/>
                <w:szCs w:val="17"/>
              </w:rPr>
            </w:pPr>
            <w:r w:rsidRPr="000E5941">
              <w:rPr>
                <w:rFonts w:ascii="Calibri" w:hAnsi="Calibri" w:cs="Arial"/>
                <w:sz w:val="17"/>
                <w:szCs w:val="17"/>
              </w:rPr>
              <w:t>-</w:t>
            </w:r>
          </w:p>
        </w:tc>
        <w:tc>
          <w:tcPr>
            <w:tcW w:w="1084" w:type="dxa"/>
            <w:tcBorders>
              <w:bottom w:val="single" w:sz="4" w:space="0" w:color="auto"/>
            </w:tcBorders>
            <w:vAlign w:val="bottom"/>
          </w:tcPr>
          <w:p w14:paraId="342F4291" w14:textId="61768422" w:rsidR="00F75E59" w:rsidRPr="00831B14" w:rsidRDefault="00F75E59" w:rsidP="00F75E59">
            <w:pPr>
              <w:tabs>
                <w:tab w:val="right" w:pos="1202"/>
              </w:tabs>
              <w:spacing w:after="0" w:line="240" w:lineRule="auto"/>
              <w:jc w:val="right"/>
              <w:outlineLvl w:val="0"/>
              <w:rPr>
                <w:rFonts w:eastAsia="Times New Roman" w:cs="Arial"/>
                <w:sz w:val="17"/>
                <w:szCs w:val="17"/>
              </w:rPr>
            </w:pPr>
            <w:r w:rsidRPr="001B0375">
              <w:rPr>
                <w:rFonts w:ascii="Calibri" w:hAnsi="Calibri" w:cs="Arial"/>
                <w:sz w:val="17"/>
                <w:szCs w:val="17"/>
              </w:rPr>
              <w:t>906.803</w:t>
            </w:r>
          </w:p>
        </w:tc>
        <w:tc>
          <w:tcPr>
            <w:tcW w:w="1083" w:type="dxa"/>
            <w:tcBorders>
              <w:bottom w:val="single" w:sz="4" w:space="0" w:color="auto"/>
            </w:tcBorders>
            <w:vAlign w:val="bottom"/>
          </w:tcPr>
          <w:p w14:paraId="14197DE2" w14:textId="1AB7FDA5"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c>
          <w:tcPr>
            <w:tcW w:w="1088" w:type="dxa"/>
            <w:tcBorders>
              <w:bottom w:val="single" w:sz="4" w:space="0" w:color="auto"/>
            </w:tcBorders>
            <w:vAlign w:val="bottom"/>
          </w:tcPr>
          <w:p w14:paraId="30FF0C56" w14:textId="1F8A6EFF" w:rsidR="00F75E59" w:rsidRPr="00831B14" w:rsidRDefault="00F75E59" w:rsidP="00F75E59">
            <w:pPr>
              <w:tabs>
                <w:tab w:val="right" w:pos="1202"/>
              </w:tabs>
              <w:spacing w:after="0" w:line="240" w:lineRule="auto"/>
              <w:jc w:val="right"/>
              <w:outlineLvl w:val="0"/>
              <w:rPr>
                <w:rFonts w:eastAsia="Times New Roman" w:cs="Arial"/>
                <w:sz w:val="17"/>
                <w:szCs w:val="17"/>
              </w:rPr>
            </w:pPr>
            <w:r>
              <w:rPr>
                <w:rFonts w:ascii="Calibri" w:hAnsi="Calibri" w:cs="Arial"/>
                <w:sz w:val="17"/>
                <w:szCs w:val="17"/>
              </w:rPr>
              <w:t>-</w:t>
            </w:r>
          </w:p>
        </w:tc>
      </w:tr>
      <w:tr w:rsidR="00F75E59" w:rsidRPr="00831B14" w14:paraId="21A51E86" w14:textId="77777777" w:rsidTr="00312975">
        <w:trPr>
          <w:trHeight w:val="312"/>
          <w:jc w:val="center"/>
        </w:trPr>
        <w:tc>
          <w:tcPr>
            <w:tcW w:w="3580" w:type="dxa"/>
            <w:shd w:val="clear" w:color="auto" w:fill="auto"/>
            <w:vAlign w:val="bottom"/>
          </w:tcPr>
          <w:p w14:paraId="7CA29729" w14:textId="77777777" w:rsidR="00F75E59" w:rsidRPr="00831B14" w:rsidRDefault="00F75E59" w:rsidP="00F75E59">
            <w:pPr>
              <w:tabs>
                <w:tab w:val="right" w:pos="1202"/>
              </w:tabs>
              <w:spacing w:after="0" w:line="240" w:lineRule="auto"/>
              <w:outlineLvl w:val="0"/>
              <w:rPr>
                <w:rFonts w:eastAsia="Times New Roman" w:cs="Arial"/>
                <w:b/>
                <w:sz w:val="17"/>
                <w:szCs w:val="17"/>
              </w:rPr>
            </w:pPr>
            <w:r w:rsidRPr="00831B14">
              <w:rPr>
                <w:rFonts w:eastAsia="Times New Roman" w:cs="Arial"/>
                <w:b/>
                <w:sz w:val="17"/>
                <w:szCs w:val="17"/>
              </w:rPr>
              <w:t>Ukupno ulaganja u investicijske fondove</w:t>
            </w:r>
          </w:p>
        </w:tc>
        <w:tc>
          <w:tcPr>
            <w:tcW w:w="1083" w:type="dxa"/>
            <w:tcBorders>
              <w:top w:val="single" w:sz="4" w:space="0" w:color="auto"/>
              <w:left w:val="nil"/>
              <w:bottom w:val="single" w:sz="12" w:space="0" w:color="auto"/>
              <w:right w:val="nil"/>
            </w:tcBorders>
            <w:shd w:val="clear" w:color="auto" w:fill="auto"/>
            <w:vAlign w:val="bottom"/>
          </w:tcPr>
          <w:p w14:paraId="048E008D" w14:textId="3F26D1DA" w:rsidR="00F75E59" w:rsidRPr="00831B14" w:rsidRDefault="007D0C69" w:rsidP="00F75E59">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862.906</w:t>
            </w:r>
          </w:p>
        </w:tc>
        <w:tc>
          <w:tcPr>
            <w:tcW w:w="1084" w:type="dxa"/>
            <w:tcBorders>
              <w:top w:val="single" w:sz="4" w:space="0" w:color="auto"/>
              <w:left w:val="nil"/>
              <w:bottom w:val="single" w:sz="12" w:space="0" w:color="auto"/>
              <w:right w:val="nil"/>
            </w:tcBorders>
            <w:shd w:val="clear" w:color="auto" w:fill="auto"/>
            <w:vAlign w:val="bottom"/>
          </w:tcPr>
          <w:p w14:paraId="56B7D00D" w14:textId="19E90D1C" w:rsidR="00F75E59" w:rsidRPr="000E5941" w:rsidRDefault="00F75E59" w:rsidP="00F75E59">
            <w:pPr>
              <w:tabs>
                <w:tab w:val="right" w:pos="1202"/>
              </w:tabs>
              <w:spacing w:after="0" w:line="240" w:lineRule="auto"/>
              <w:jc w:val="right"/>
              <w:outlineLvl w:val="0"/>
              <w:rPr>
                <w:rFonts w:ascii="Calibri" w:hAnsi="Calibri" w:cs="Arial"/>
                <w:b/>
                <w:sz w:val="17"/>
                <w:szCs w:val="17"/>
              </w:rPr>
            </w:pPr>
            <w:r w:rsidRPr="000E5941">
              <w:rPr>
                <w:rFonts w:ascii="Calibri" w:hAnsi="Calibri" w:cs="Arial"/>
                <w:b/>
                <w:sz w:val="17"/>
                <w:szCs w:val="17"/>
              </w:rPr>
              <w:t>-</w:t>
            </w:r>
          </w:p>
        </w:tc>
        <w:tc>
          <w:tcPr>
            <w:tcW w:w="1087" w:type="dxa"/>
            <w:tcBorders>
              <w:top w:val="single" w:sz="4" w:space="0" w:color="auto"/>
              <w:left w:val="nil"/>
              <w:bottom w:val="single" w:sz="12" w:space="0" w:color="auto"/>
              <w:right w:val="nil"/>
            </w:tcBorders>
            <w:shd w:val="clear" w:color="auto" w:fill="auto"/>
            <w:vAlign w:val="bottom"/>
          </w:tcPr>
          <w:p w14:paraId="64B570B7" w14:textId="1CA8A0C0" w:rsidR="00F75E59" w:rsidRPr="000E5941" w:rsidRDefault="00F75E59" w:rsidP="00F75E59">
            <w:pPr>
              <w:tabs>
                <w:tab w:val="right" w:pos="1202"/>
              </w:tabs>
              <w:spacing w:after="0" w:line="240" w:lineRule="auto"/>
              <w:jc w:val="right"/>
              <w:outlineLvl w:val="0"/>
              <w:rPr>
                <w:rFonts w:ascii="Calibri" w:hAnsi="Calibri" w:cs="Arial"/>
                <w:b/>
                <w:sz w:val="17"/>
                <w:szCs w:val="17"/>
              </w:rPr>
            </w:pPr>
            <w:r w:rsidRPr="000E5941">
              <w:rPr>
                <w:rFonts w:ascii="Calibri" w:hAnsi="Calibri" w:cs="Arial"/>
                <w:b/>
                <w:sz w:val="17"/>
                <w:szCs w:val="17"/>
              </w:rPr>
              <w:t>-</w:t>
            </w:r>
          </w:p>
        </w:tc>
        <w:tc>
          <w:tcPr>
            <w:tcW w:w="1084" w:type="dxa"/>
            <w:tcBorders>
              <w:top w:val="single" w:sz="4" w:space="0" w:color="auto"/>
              <w:left w:val="nil"/>
              <w:bottom w:val="single" w:sz="12" w:space="0" w:color="auto"/>
              <w:right w:val="nil"/>
            </w:tcBorders>
            <w:shd w:val="clear" w:color="auto" w:fill="auto"/>
            <w:vAlign w:val="bottom"/>
          </w:tcPr>
          <w:p w14:paraId="1FB20F33" w14:textId="6E9312F0" w:rsidR="00F75E59" w:rsidRPr="00831B14" w:rsidRDefault="00F75E59" w:rsidP="00F75E59">
            <w:pPr>
              <w:tabs>
                <w:tab w:val="right" w:pos="1202"/>
              </w:tabs>
              <w:spacing w:after="0" w:line="240" w:lineRule="auto"/>
              <w:jc w:val="right"/>
              <w:outlineLvl w:val="0"/>
              <w:rPr>
                <w:rFonts w:eastAsia="Times New Roman" w:cs="Arial"/>
                <w:b/>
                <w:sz w:val="17"/>
                <w:szCs w:val="17"/>
              </w:rPr>
            </w:pPr>
            <w:r w:rsidRPr="001B0375">
              <w:rPr>
                <w:rFonts w:ascii="Calibri" w:hAnsi="Calibri" w:cs="Arial"/>
                <w:b/>
                <w:sz w:val="17"/>
                <w:szCs w:val="17"/>
              </w:rPr>
              <w:t>906.803</w:t>
            </w:r>
          </w:p>
        </w:tc>
        <w:tc>
          <w:tcPr>
            <w:tcW w:w="1083" w:type="dxa"/>
            <w:tcBorders>
              <w:top w:val="single" w:sz="4" w:space="0" w:color="auto"/>
              <w:left w:val="nil"/>
              <w:bottom w:val="single" w:sz="12" w:space="0" w:color="auto"/>
              <w:right w:val="nil"/>
            </w:tcBorders>
            <w:shd w:val="clear" w:color="auto" w:fill="auto"/>
            <w:vAlign w:val="bottom"/>
          </w:tcPr>
          <w:p w14:paraId="0CFDCE87" w14:textId="1B4A7E78" w:rsidR="00F75E59" w:rsidRPr="00831B14" w:rsidRDefault="00F75E59" w:rsidP="00F75E59">
            <w:pPr>
              <w:tabs>
                <w:tab w:val="right" w:pos="1202"/>
              </w:tabs>
              <w:spacing w:after="0" w:line="240" w:lineRule="auto"/>
              <w:jc w:val="right"/>
              <w:outlineLvl w:val="0"/>
              <w:rPr>
                <w:rFonts w:eastAsia="Times New Roman" w:cs="Arial"/>
                <w:b/>
                <w:sz w:val="17"/>
                <w:szCs w:val="17"/>
              </w:rPr>
            </w:pPr>
            <w:r>
              <w:rPr>
                <w:rFonts w:ascii="Calibri" w:hAnsi="Calibri" w:cs="Arial"/>
                <w:b/>
                <w:sz w:val="17"/>
                <w:szCs w:val="17"/>
              </w:rPr>
              <w:t>-</w:t>
            </w:r>
          </w:p>
        </w:tc>
        <w:tc>
          <w:tcPr>
            <w:tcW w:w="1088" w:type="dxa"/>
            <w:tcBorders>
              <w:top w:val="single" w:sz="4" w:space="0" w:color="auto"/>
              <w:left w:val="nil"/>
              <w:bottom w:val="single" w:sz="12" w:space="0" w:color="auto"/>
              <w:right w:val="nil"/>
            </w:tcBorders>
            <w:shd w:val="clear" w:color="auto" w:fill="auto"/>
            <w:vAlign w:val="bottom"/>
          </w:tcPr>
          <w:p w14:paraId="7FE8D0F4" w14:textId="13E2900C" w:rsidR="00F75E59" w:rsidRPr="00831B14" w:rsidRDefault="00F75E59" w:rsidP="00F75E59">
            <w:pPr>
              <w:tabs>
                <w:tab w:val="right" w:pos="1202"/>
              </w:tabs>
              <w:spacing w:after="0" w:line="240" w:lineRule="auto"/>
              <w:jc w:val="right"/>
              <w:outlineLvl w:val="0"/>
              <w:rPr>
                <w:rFonts w:eastAsia="Times New Roman" w:cs="Arial"/>
                <w:b/>
                <w:sz w:val="17"/>
                <w:szCs w:val="17"/>
              </w:rPr>
            </w:pPr>
            <w:r>
              <w:rPr>
                <w:rFonts w:ascii="Calibri" w:hAnsi="Calibri" w:cs="Arial"/>
                <w:b/>
                <w:sz w:val="17"/>
                <w:szCs w:val="17"/>
              </w:rPr>
              <w:t>-</w:t>
            </w:r>
          </w:p>
        </w:tc>
      </w:tr>
      <w:tr w:rsidR="009E2A3F" w:rsidRPr="00831B14" w14:paraId="0DE550D6" w14:textId="77777777" w:rsidTr="00312975">
        <w:trPr>
          <w:trHeight w:val="329"/>
          <w:jc w:val="center"/>
        </w:trPr>
        <w:tc>
          <w:tcPr>
            <w:tcW w:w="3580" w:type="dxa"/>
            <w:shd w:val="clear" w:color="auto" w:fill="auto"/>
            <w:vAlign w:val="bottom"/>
          </w:tcPr>
          <w:p w14:paraId="5690B426" w14:textId="77777777" w:rsidR="009E2A3F" w:rsidRPr="00831B14" w:rsidRDefault="009E2A3F" w:rsidP="009E2A3F">
            <w:pPr>
              <w:tabs>
                <w:tab w:val="right" w:pos="1202"/>
              </w:tabs>
              <w:spacing w:after="0" w:line="240" w:lineRule="auto"/>
              <w:outlineLvl w:val="0"/>
              <w:rPr>
                <w:rFonts w:eastAsia="Times New Roman" w:cs="Arial"/>
                <w:b/>
                <w:sz w:val="17"/>
                <w:szCs w:val="17"/>
              </w:rPr>
            </w:pPr>
            <w:r w:rsidRPr="00831B14">
              <w:rPr>
                <w:rFonts w:eastAsia="Times New Roman" w:cs="Arial"/>
                <w:b/>
                <w:sz w:val="17"/>
                <w:szCs w:val="17"/>
              </w:rPr>
              <w:t>Ukupno imovina raspoloživa za prodaju</w:t>
            </w:r>
          </w:p>
        </w:tc>
        <w:tc>
          <w:tcPr>
            <w:tcW w:w="1083" w:type="dxa"/>
            <w:tcBorders>
              <w:top w:val="single" w:sz="12" w:space="0" w:color="auto"/>
              <w:left w:val="nil"/>
              <w:bottom w:val="single" w:sz="18" w:space="0" w:color="auto"/>
              <w:right w:val="nil"/>
            </w:tcBorders>
            <w:shd w:val="clear" w:color="auto" w:fill="auto"/>
            <w:vAlign w:val="bottom"/>
          </w:tcPr>
          <w:p w14:paraId="085BFBDC" w14:textId="4F4D77F4" w:rsidR="009E2A3F" w:rsidRPr="00831B14" w:rsidRDefault="007D0C69"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3.022.039</w:t>
            </w:r>
          </w:p>
        </w:tc>
        <w:tc>
          <w:tcPr>
            <w:tcW w:w="1084" w:type="dxa"/>
            <w:tcBorders>
              <w:top w:val="single" w:sz="12" w:space="0" w:color="auto"/>
              <w:left w:val="nil"/>
              <w:bottom w:val="single" w:sz="18" w:space="0" w:color="auto"/>
              <w:right w:val="nil"/>
            </w:tcBorders>
            <w:shd w:val="clear" w:color="auto" w:fill="auto"/>
            <w:vAlign w:val="bottom"/>
          </w:tcPr>
          <w:p w14:paraId="4BD9E988" w14:textId="69FFAAB9" w:rsidR="009E2A3F" w:rsidRPr="00831B14" w:rsidRDefault="007D0C69"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25.258</w:t>
            </w:r>
          </w:p>
        </w:tc>
        <w:tc>
          <w:tcPr>
            <w:tcW w:w="1087" w:type="dxa"/>
            <w:tcBorders>
              <w:top w:val="single" w:sz="12" w:space="0" w:color="auto"/>
              <w:left w:val="nil"/>
              <w:bottom w:val="single" w:sz="18" w:space="0" w:color="auto"/>
              <w:right w:val="nil"/>
            </w:tcBorders>
            <w:shd w:val="clear" w:color="auto" w:fill="auto"/>
            <w:vAlign w:val="bottom"/>
          </w:tcPr>
          <w:p w14:paraId="01E0F29B" w14:textId="1045684E" w:rsidR="009E2A3F" w:rsidRPr="00831B14" w:rsidRDefault="007D0C69" w:rsidP="009E2A3F">
            <w:pPr>
              <w:tabs>
                <w:tab w:val="right" w:pos="1202"/>
              </w:tabs>
              <w:spacing w:after="0" w:line="240" w:lineRule="auto"/>
              <w:jc w:val="right"/>
              <w:outlineLvl w:val="0"/>
              <w:rPr>
                <w:rFonts w:eastAsia="Times New Roman" w:cs="Arial"/>
                <w:b/>
                <w:sz w:val="17"/>
                <w:szCs w:val="17"/>
              </w:rPr>
            </w:pPr>
            <w:r>
              <w:rPr>
                <w:rFonts w:eastAsia="Times New Roman" w:cs="Arial"/>
                <w:b/>
                <w:sz w:val="17"/>
                <w:szCs w:val="17"/>
              </w:rPr>
              <w:t>627</w:t>
            </w:r>
          </w:p>
        </w:tc>
        <w:tc>
          <w:tcPr>
            <w:tcW w:w="1084" w:type="dxa"/>
            <w:tcBorders>
              <w:top w:val="single" w:sz="12" w:space="0" w:color="auto"/>
              <w:left w:val="nil"/>
              <w:bottom w:val="single" w:sz="18" w:space="0" w:color="auto"/>
              <w:right w:val="nil"/>
            </w:tcBorders>
            <w:shd w:val="clear" w:color="auto" w:fill="auto"/>
            <w:vAlign w:val="bottom"/>
          </w:tcPr>
          <w:p w14:paraId="2DC7E2E0" w14:textId="4C32DCD5" w:rsidR="009E2A3F" w:rsidRPr="00831B14" w:rsidRDefault="009E2A3F" w:rsidP="00E45CA6">
            <w:pPr>
              <w:tabs>
                <w:tab w:val="right" w:pos="1202"/>
              </w:tabs>
              <w:spacing w:after="0" w:line="240" w:lineRule="auto"/>
              <w:jc w:val="right"/>
              <w:outlineLvl w:val="0"/>
              <w:rPr>
                <w:rFonts w:eastAsia="Times New Roman" w:cs="Arial"/>
                <w:b/>
                <w:sz w:val="17"/>
                <w:szCs w:val="17"/>
              </w:rPr>
            </w:pPr>
            <w:r w:rsidRPr="002A3E38">
              <w:rPr>
                <w:rFonts w:ascii="Calibri" w:hAnsi="Calibri" w:cs="Arial"/>
                <w:b/>
                <w:sz w:val="17"/>
                <w:szCs w:val="17"/>
              </w:rPr>
              <w:t>3.316.965</w:t>
            </w:r>
          </w:p>
        </w:tc>
        <w:tc>
          <w:tcPr>
            <w:tcW w:w="1083" w:type="dxa"/>
            <w:tcBorders>
              <w:top w:val="single" w:sz="12" w:space="0" w:color="auto"/>
              <w:left w:val="nil"/>
              <w:bottom w:val="single" w:sz="18" w:space="0" w:color="auto"/>
              <w:right w:val="nil"/>
            </w:tcBorders>
            <w:shd w:val="clear" w:color="auto" w:fill="auto"/>
            <w:vAlign w:val="bottom"/>
          </w:tcPr>
          <w:p w14:paraId="6857788D" w14:textId="564EC3A6" w:rsidR="009E2A3F" w:rsidRPr="00831B14" w:rsidRDefault="009E2A3F" w:rsidP="00E45CA6">
            <w:pPr>
              <w:tabs>
                <w:tab w:val="right" w:pos="1202"/>
              </w:tabs>
              <w:spacing w:after="0" w:line="240" w:lineRule="auto"/>
              <w:jc w:val="right"/>
              <w:outlineLvl w:val="0"/>
              <w:rPr>
                <w:rFonts w:eastAsia="Times New Roman" w:cs="Arial"/>
                <w:b/>
                <w:sz w:val="17"/>
                <w:szCs w:val="17"/>
              </w:rPr>
            </w:pPr>
            <w:r w:rsidRPr="002A3E38">
              <w:rPr>
                <w:rFonts w:ascii="Calibri" w:hAnsi="Calibri" w:cs="Arial"/>
                <w:b/>
                <w:sz w:val="17"/>
                <w:szCs w:val="17"/>
              </w:rPr>
              <w:t>26.008</w:t>
            </w:r>
          </w:p>
        </w:tc>
        <w:tc>
          <w:tcPr>
            <w:tcW w:w="1088" w:type="dxa"/>
            <w:tcBorders>
              <w:top w:val="single" w:sz="12" w:space="0" w:color="auto"/>
              <w:left w:val="nil"/>
              <w:bottom w:val="single" w:sz="18" w:space="0" w:color="auto"/>
              <w:right w:val="nil"/>
            </w:tcBorders>
            <w:shd w:val="clear" w:color="auto" w:fill="auto"/>
            <w:vAlign w:val="bottom"/>
          </w:tcPr>
          <w:p w14:paraId="7EB8AD82" w14:textId="26B4A334" w:rsidR="009E2A3F" w:rsidRPr="00831B14" w:rsidRDefault="009E2A3F" w:rsidP="00E45CA6">
            <w:pPr>
              <w:tabs>
                <w:tab w:val="right" w:pos="1202"/>
              </w:tabs>
              <w:spacing w:after="0" w:line="240" w:lineRule="auto"/>
              <w:jc w:val="right"/>
              <w:outlineLvl w:val="0"/>
              <w:rPr>
                <w:rFonts w:eastAsia="Times New Roman" w:cs="Arial"/>
                <w:b/>
                <w:sz w:val="17"/>
                <w:szCs w:val="17"/>
              </w:rPr>
            </w:pPr>
            <w:r w:rsidRPr="002A3E38">
              <w:rPr>
                <w:rFonts w:ascii="Calibri" w:hAnsi="Calibri" w:cs="Arial"/>
                <w:b/>
                <w:sz w:val="17"/>
                <w:szCs w:val="17"/>
              </w:rPr>
              <w:t>601</w:t>
            </w:r>
          </w:p>
        </w:tc>
      </w:tr>
    </w:tbl>
    <w:p w14:paraId="315AD7EB" w14:textId="77777777" w:rsidR="00F75302" w:rsidRDefault="00F75302" w:rsidP="00F75302">
      <w:pPr>
        <w:spacing w:after="0" w:line="240" w:lineRule="auto"/>
        <w:jc w:val="both"/>
        <w:rPr>
          <w:rFonts w:eastAsia="Times New Roman" w:cs="Arial"/>
          <w:spacing w:val="-3"/>
          <w:sz w:val="24"/>
          <w:szCs w:val="24"/>
        </w:rPr>
      </w:pPr>
    </w:p>
    <w:p w14:paraId="2489F29D" w14:textId="419DA6AB" w:rsidR="002921DA" w:rsidRPr="000E5941" w:rsidRDefault="002921DA" w:rsidP="002921DA">
      <w:pPr>
        <w:spacing w:before="120" w:after="0" w:line="240" w:lineRule="auto"/>
        <w:jc w:val="both"/>
        <w:rPr>
          <w:lang w:eastAsia="zh-CN"/>
        </w:rPr>
      </w:pPr>
      <w:r w:rsidRPr="000E5941">
        <w:rPr>
          <w:rFonts w:cs="FrutigerLTCom-Light"/>
        </w:rPr>
        <w:t>Trezorski zapisi Ministarstva financija prikazan</w:t>
      </w:r>
      <w:r w:rsidR="00404088">
        <w:rPr>
          <w:rFonts w:cs="FrutigerLTCom-Light"/>
        </w:rPr>
        <w:t>i</w:t>
      </w:r>
      <w:r w:rsidRPr="000E5941">
        <w:rPr>
          <w:rFonts w:cs="FrutigerLTCom-Light"/>
        </w:rPr>
        <w:t xml:space="preserve"> su na razini 1 hijerarhije fer vrijednosti </w:t>
      </w:r>
      <w:r w:rsidRPr="000E5941">
        <w:rPr>
          <w:lang w:eastAsia="zh-CN"/>
        </w:rPr>
        <w:t xml:space="preserve">s obzirom da su kreditne institucije u zemlji počele kotirati cijene na </w:t>
      </w:r>
      <w:proofErr w:type="spellStart"/>
      <w:r w:rsidRPr="000E5941">
        <w:rPr>
          <w:lang w:eastAsia="zh-CN"/>
        </w:rPr>
        <w:t>Bloombergu</w:t>
      </w:r>
      <w:proofErr w:type="spellEnd"/>
      <w:r w:rsidRPr="000E5941">
        <w:rPr>
          <w:lang w:eastAsia="zh-CN"/>
        </w:rPr>
        <w:t xml:space="preserve"> te se kao tehnika vrednovanja </w:t>
      </w:r>
      <w:proofErr w:type="spellStart"/>
      <w:r w:rsidRPr="000E5941">
        <w:rPr>
          <w:lang w:eastAsia="zh-CN"/>
        </w:rPr>
        <w:t>primijenjuje</w:t>
      </w:r>
      <w:proofErr w:type="spellEnd"/>
      <w:r w:rsidRPr="000E5941">
        <w:rPr>
          <w:lang w:eastAsia="zh-CN"/>
        </w:rPr>
        <w:t xml:space="preserve"> cijena kotirana na tržištu.</w:t>
      </w:r>
    </w:p>
    <w:p w14:paraId="543F31E8" w14:textId="77777777" w:rsidR="00F75302" w:rsidRPr="000E5941" w:rsidRDefault="00F75302" w:rsidP="00F75302">
      <w:pPr>
        <w:keepNext/>
        <w:tabs>
          <w:tab w:val="left" w:pos="567"/>
        </w:tabs>
        <w:spacing w:after="0" w:line="240" w:lineRule="auto"/>
        <w:jc w:val="both"/>
        <w:rPr>
          <w:rFonts w:eastAsia="Times New Roman" w:cs="Arial"/>
          <w:spacing w:val="-3"/>
        </w:rPr>
      </w:pPr>
    </w:p>
    <w:p w14:paraId="176A6CFF" w14:textId="50A9C82D" w:rsidR="00F75302" w:rsidRPr="000E5941" w:rsidRDefault="007F5F8E" w:rsidP="00F75302">
      <w:pPr>
        <w:spacing w:after="0" w:line="240" w:lineRule="auto"/>
        <w:jc w:val="both"/>
        <w:rPr>
          <w:rFonts w:eastAsia="Times New Roman" w:cs="Arial"/>
          <w:lang w:eastAsia="hr-HR"/>
        </w:rPr>
      </w:pPr>
      <w:r w:rsidRPr="000E5941">
        <w:rPr>
          <w:rFonts w:cs="FrutigerLTCom-Light"/>
        </w:rPr>
        <w:t>D</w:t>
      </w:r>
      <w:r w:rsidR="00F75302" w:rsidRPr="000E5941">
        <w:rPr>
          <w:rFonts w:cs="FrutigerLTCom-Light"/>
        </w:rPr>
        <w:t xml:space="preserve">užnički vrijednosni papiri – obveznice trgovačkih društava prikazane su na razini 3 hijerarhije fer vrijednosti. Pri vrednovanju je korištena metoda diskontiranih novčanih tijekova </w:t>
      </w:r>
      <w:r w:rsidR="00F75302" w:rsidRPr="000E5941">
        <w:rPr>
          <w:rFonts w:eastAsia="Times New Roman" w:cs="Arial"/>
          <w:lang w:eastAsia="hr-HR"/>
        </w:rPr>
        <w:t xml:space="preserve">temeljem tržišnih kamatnih stopa, </w:t>
      </w:r>
      <w:proofErr w:type="spellStart"/>
      <w:r w:rsidR="00F75302" w:rsidRPr="000E5941">
        <w:rPr>
          <w:rFonts w:eastAsia="Times New Roman" w:cs="Arial"/>
          <w:lang w:eastAsia="hr-HR"/>
        </w:rPr>
        <w:t>spreada</w:t>
      </w:r>
      <w:proofErr w:type="spellEnd"/>
      <w:r w:rsidR="00F75302" w:rsidRPr="000E5941">
        <w:rPr>
          <w:rFonts w:eastAsia="Times New Roman" w:cs="Arial"/>
          <w:lang w:eastAsia="hr-HR"/>
        </w:rPr>
        <w:t xml:space="preserve"> temeljem internog kreditnog rejtinga i interno definiranog </w:t>
      </w:r>
      <w:proofErr w:type="spellStart"/>
      <w:r w:rsidR="00F75302" w:rsidRPr="000E5941">
        <w:rPr>
          <w:rFonts w:eastAsia="Times New Roman" w:cs="Arial"/>
          <w:lang w:eastAsia="hr-HR"/>
        </w:rPr>
        <w:t>spreada</w:t>
      </w:r>
      <w:proofErr w:type="spellEnd"/>
      <w:r w:rsidR="00F75302" w:rsidRPr="000E5941">
        <w:rPr>
          <w:rFonts w:eastAsia="Times New Roman" w:cs="Arial"/>
          <w:lang w:eastAsia="hr-HR"/>
        </w:rPr>
        <w:t xml:space="preserve"> vezanog uz likvidnost vrijednosnog papira.</w:t>
      </w:r>
    </w:p>
    <w:p w14:paraId="7FF26045" w14:textId="77777777" w:rsidR="00F75302" w:rsidRPr="00F75302" w:rsidRDefault="00F75302" w:rsidP="00F75302">
      <w:pPr>
        <w:spacing w:after="0" w:line="240" w:lineRule="auto"/>
        <w:ind w:left="709" w:hanging="709"/>
        <w:jc w:val="both"/>
        <w:rPr>
          <w:rFonts w:eastAsia="Times New Roman" w:cs="Arial"/>
          <w:b/>
          <w:bCs/>
          <w:spacing w:val="-3"/>
          <w:sz w:val="20"/>
          <w:szCs w:val="20"/>
        </w:rPr>
      </w:pPr>
    </w:p>
    <w:p w14:paraId="77C16B2C" w14:textId="77777777" w:rsidR="00E604A2" w:rsidRDefault="00E604A2" w:rsidP="00C4266C">
      <w:pPr>
        <w:spacing w:after="0" w:line="240" w:lineRule="auto"/>
        <w:jc w:val="both"/>
        <w:rPr>
          <w:rFonts w:eastAsia="Times New Roman" w:cs="Arial"/>
          <w:b/>
          <w:bCs/>
          <w:spacing w:val="-3"/>
          <w:sz w:val="18"/>
          <w:szCs w:val="18"/>
        </w:rPr>
      </w:pPr>
    </w:p>
    <w:p w14:paraId="52397B9B" w14:textId="77777777" w:rsidR="00AE09B0" w:rsidRDefault="00AE09B0" w:rsidP="00C4266C">
      <w:pPr>
        <w:spacing w:after="0" w:line="240" w:lineRule="auto"/>
        <w:jc w:val="both"/>
        <w:rPr>
          <w:rFonts w:eastAsia="Times New Roman" w:cs="Arial"/>
          <w:b/>
          <w:bCs/>
          <w:spacing w:val="-3"/>
          <w:sz w:val="18"/>
          <w:szCs w:val="18"/>
        </w:rPr>
        <w:sectPr w:rsidR="00AE09B0" w:rsidSect="005F169D">
          <w:footerReference w:type="first" r:id="rId131"/>
          <w:pgSz w:w="11906" w:h="16838" w:code="9"/>
          <w:pgMar w:top="1418" w:right="1418" w:bottom="595" w:left="1134" w:header="709" w:footer="709" w:gutter="0"/>
          <w:cols w:space="708"/>
          <w:titlePg/>
          <w:docGrid w:linePitch="360"/>
        </w:sectPr>
      </w:pPr>
    </w:p>
    <w:p w14:paraId="0247D6A2" w14:textId="77777777" w:rsidR="00E604A2" w:rsidRPr="00CA37C8" w:rsidRDefault="00E604A2" w:rsidP="00A37280">
      <w:pPr>
        <w:spacing w:after="0" w:line="240" w:lineRule="auto"/>
        <w:jc w:val="both"/>
        <w:rPr>
          <w:rFonts w:eastAsia="Times New Roman" w:cs="Arial"/>
          <w:b/>
          <w:bCs/>
          <w:spacing w:val="-3"/>
          <w:sz w:val="18"/>
          <w:szCs w:val="18"/>
        </w:rPr>
      </w:pPr>
    </w:p>
    <w:p w14:paraId="1901B8DB" w14:textId="77777777" w:rsidR="003A43EB" w:rsidRDefault="009167D7" w:rsidP="00A37280">
      <w:pPr>
        <w:keepNext/>
        <w:tabs>
          <w:tab w:val="left" w:pos="567"/>
        </w:tabs>
        <w:spacing w:after="0" w:line="240" w:lineRule="auto"/>
        <w:jc w:val="both"/>
        <w:rPr>
          <w:rFonts w:eastAsia="Times New Roman" w:cs="Arial"/>
          <w:b/>
          <w:bCs/>
          <w:spacing w:val="-3"/>
        </w:rPr>
      </w:pPr>
      <w:r w:rsidRPr="00ED4731">
        <w:rPr>
          <w:rFonts w:eastAsia="Times New Roman" w:cs="Arial"/>
          <w:b/>
          <w:bCs/>
          <w:spacing w:val="-3"/>
        </w:rPr>
        <w:t>1</w:t>
      </w:r>
      <w:r w:rsidR="00C31C6A">
        <w:rPr>
          <w:rFonts w:eastAsia="Times New Roman" w:cs="Arial"/>
          <w:b/>
          <w:bCs/>
          <w:spacing w:val="-3"/>
        </w:rPr>
        <w:t>7</w:t>
      </w:r>
      <w:r w:rsidR="003A43EB" w:rsidRPr="00ED4731">
        <w:rPr>
          <w:rFonts w:eastAsia="Times New Roman" w:cs="Arial"/>
          <w:b/>
          <w:bCs/>
          <w:spacing w:val="-3"/>
        </w:rPr>
        <w:t xml:space="preserve">. </w:t>
      </w:r>
      <w:r w:rsidR="003A43EB" w:rsidRPr="00ED4731">
        <w:rPr>
          <w:rFonts w:eastAsia="Times New Roman" w:cs="Arial"/>
          <w:b/>
          <w:bCs/>
          <w:spacing w:val="-3"/>
        </w:rPr>
        <w:tab/>
        <w:t>Fer vrijednost financijske imovine i financijskih obveza (nastavak)</w:t>
      </w:r>
    </w:p>
    <w:p w14:paraId="721D5F48" w14:textId="77777777" w:rsidR="00A37280" w:rsidRPr="00ED4731" w:rsidRDefault="00A37280" w:rsidP="00A37280">
      <w:pPr>
        <w:keepNext/>
        <w:tabs>
          <w:tab w:val="left" w:pos="567"/>
        </w:tabs>
        <w:spacing w:after="0" w:line="240" w:lineRule="auto"/>
        <w:jc w:val="both"/>
        <w:rPr>
          <w:rFonts w:eastAsia="Times New Roman" w:cs="Arial"/>
          <w:b/>
          <w:bCs/>
          <w:spacing w:val="-3"/>
        </w:rPr>
      </w:pPr>
    </w:p>
    <w:p w14:paraId="6BDD4710" w14:textId="77777777" w:rsidR="002A4A84" w:rsidRDefault="009167D7" w:rsidP="00A37280">
      <w:pPr>
        <w:tabs>
          <w:tab w:val="left" w:pos="567"/>
        </w:tabs>
        <w:spacing w:after="0" w:line="240" w:lineRule="auto"/>
        <w:ind w:left="709" w:hanging="709"/>
        <w:jc w:val="both"/>
        <w:rPr>
          <w:rFonts w:eastAsia="Times New Roman" w:cs="Arial"/>
          <w:b/>
          <w:bCs/>
          <w:spacing w:val="-3"/>
        </w:rPr>
      </w:pPr>
      <w:r w:rsidRPr="00ED4731">
        <w:rPr>
          <w:rFonts w:eastAsia="Times New Roman" w:cs="Arial"/>
          <w:b/>
          <w:bCs/>
          <w:spacing w:val="-3"/>
        </w:rPr>
        <w:t>1</w:t>
      </w:r>
      <w:r w:rsidR="00C31C6A">
        <w:rPr>
          <w:rFonts w:eastAsia="Times New Roman" w:cs="Arial"/>
          <w:b/>
          <w:bCs/>
          <w:spacing w:val="-3"/>
        </w:rPr>
        <w:t>7</w:t>
      </w:r>
      <w:r w:rsidR="00366539" w:rsidRPr="00ED4731">
        <w:rPr>
          <w:rFonts w:eastAsia="Times New Roman" w:cs="Arial"/>
          <w:b/>
          <w:bCs/>
          <w:spacing w:val="-3"/>
        </w:rPr>
        <w:t>.</w:t>
      </w:r>
      <w:r w:rsidR="009075FE">
        <w:rPr>
          <w:rFonts w:eastAsia="Times New Roman" w:cs="Arial"/>
          <w:b/>
          <w:bCs/>
          <w:spacing w:val="-3"/>
        </w:rPr>
        <w:t>2</w:t>
      </w:r>
      <w:r w:rsidR="002A4A84" w:rsidRPr="00ED4731">
        <w:rPr>
          <w:rFonts w:eastAsia="Times New Roman" w:cs="Arial"/>
          <w:b/>
          <w:bCs/>
          <w:spacing w:val="-3"/>
        </w:rPr>
        <w:t xml:space="preserve">. </w:t>
      </w:r>
      <w:r w:rsidR="002A4A84" w:rsidRPr="00ED4731">
        <w:rPr>
          <w:rFonts w:eastAsia="Times New Roman" w:cs="Arial"/>
          <w:b/>
          <w:bCs/>
          <w:spacing w:val="-3"/>
        </w:rPr>
        <w:tab/>
        <w:t>Fer vrijednost financijske imovine i financijskih obveza koji se vode po amortiziranom trošku</w:t>
      </w:r>
    </w:p>
    <w:p w14:paraId="22FC1F09" w14:textId="77777777" w:rsidR="00A37280" w:rsidRPr="00ED4731" w:rsidRDefault="00A37280" w:rsidP="00A37280">
      <w:pPr>
        <w:tabs>
          <w:tab w:val="left" w:pos="567"/>
        </w:tabs>
        <w:spacing w:after="0" w:line="240" w:lineRule="auto"/>
        <w:ind w:left="709" w:hanging="709"/>
        <w:jc w:val="both"/>
        <w:rPr>
          <w:rFonts w:eastAsia="Times New Roman" w:cs="Arial"/>
          <w:b/>
          <w:bCs/>
          <w:spacing w:val="-3"/>
        </w:rPr>
      </w:pPr>
    </w:p>
    <w:p w14:paraId="3D3F573D" w14:textId="77777777" w:rsidR="003A43EB" w:rsidRPr="00ED4731" w:rsidRDefault="002A4A84" w:rsidP="00A37280">
      <w:pPr>
        <w:spacing w:after="0" w:line="240" w:lineRule="auto"/>
        <w:jc w:val="both"/>
        <w:rPr>
          <w:rFonts w:eastAsia="Times New Roman" w:cs="Arial"/>
          <w:bCs/>
          <w:spacing w:val="-3"/>
        </w:rPr>
      </w:pPr>
      <w:r w:rsidRPr="00ED4731">
        <w:rPr>
          <w:rFonts w:eastAsia="Times New Roman" w:cs="Arial"/>
          <w:bCs/>
          <w:spacing w:val="-3"/>
        </w:rPr>
        <w:t xml:space="preserve">Uprava smatra da su knjigovodstveni iznosi financijske imovine i financijskih obveza koji su u financijskim </w:t>
      </w:r>
      <w:r w:rsidRPr="00005D85">
        <w:rPr>
          <w:rFonts w:eastAsia="Times New Roman" w:cs="Arial"/>
          <w:bCs/>
          <w:spacing w:val="-3"/>
        </w:rPr>
        <w:t>izvještajima iskazani po amortiziranom trošku razumno približ</w:t>
      </w:r>
      <w:r w:rsidR="00B67023" w:rsidRPr="00005D85">
        <w:rPr>
          <w:rFonts w:eastAsia="Times New Roman" w:cs="Arial"/>
          <w:bCs/>
          <w:spacing w:val="-3"/>
        </w:rPr>
        <w:t xml:space="preserve">ni njihovim fer vrijednostima. </w:t>
      </w:r>
      <w:r w:rsidRPr="00005D85">
        <w:rPr>
          <w:rFonts w:eastAsia="Times New Roman" w:cs="Arial"/>
          <w:bCs/>
          <w:spacing w:val="-3"/>
        </w:rPr>
        <w:t xml:space="preserve">U Bilješci </w:t>
      </w:r>
      <w:r w:rsidR="00AA3EA3" w:rsidRPr="00005D85">
        <w:rPr>
          <w:rFonts w:eastAsia="Times New Roman" w:cs="Arial"/>
          <w:bCs/>
          <w:spacing w:val="-3"/>
        </w:rPr>
        <w:t>1</w:t>
      </w:r>
      <w:r w:rsidR="00005D85">
        <w:rPr>
          <w:rFonts w:eastAsia="Times New Roman" w:cs="Arial"/>
          <w:bCs/>
          <w:spacing w:val="-3"/>
        </w:rPr>
        <w:t>3</w:t>
      </w:r>
      <w:r w:rsidR="00A313DB">
        <w:rPr>
          <w:rFonts w:eastAsia="Times New Roman" w:cs="Arial"/>
          <w:bCs/>
          <w:spacing w:val="-3"/>
        </w:rPr>
        <w:t>.</w:t>
      </w:r>
      <w:r w:rsidRPr="00ED4731">
        <w:rPr>
          <w:rFonts w:eastAsia="Times New Roman" w:cs="Arial"/>
          <w:bCs/>
          <w:spacing w:val="-3"/>
        </w:rPr>
        <w:t xml:space="preserve"> prezentirana je fer vrijednost </w:t>
      </w:r>
      <w:r w:rsidRPr="00ED4731">
        <w:rPr>
          <w:rFonts w:eastAsia="Times New Roman" w:cs="Arial"/>
          <w:spacing w:val="-3"/>
        </w:rPr>
        <w:t xml:space="preserve">obveza za izdane dugoročne vrijednosne papire </w:t>
      </w:r>
      <w:r w:rsidRPr="00ED4731">
        <w:rPr>
          <w:rFonts w:eastAsia="Times New Roman" w:cs="Arial"/>
          <w:bCs/>
          <w:spacing w:val="-3"/>
        </w:rPr>
        <w:t>utvrđena prema usklađenim vidljivim cijenama</w:t>
      </w:r>
      <w:r w:rsidR="00AA3EA3" w:rsidRPr="00ED4731">
        <w:rPr>
          <w:rFonts w:eastAsia="Times New Roman" w:cs="Arial"/>
          <w:bCs/>
          <w:spacing w:val="-3"/>
        </w:rPr>
        <w:t>.</w:t>
      </w:r>
    </w:p>
    <w:p w14:paraId="42029720" w14:textId="77777777" w:rsidR="005E6967" w:rsidRPr="00ED4731" w:rsidRDefault="005E6967" w:rsidP="00A37280">
      <w:pPr>
        <w:spacing w:after="0" w:line="240" w:lineRule="auto"/>
        <w:jc w:val="both"/>
        <w:rPr>
          <w:rFonts w:eastAsia="Times New Roman" w:cs="Arial"/>
          <w:b/>
        </w:rPr>
      </w:pPr>
    </w:p>
    <w:p w14:paraId="786C89E7" w14:textId="77777777" w:rsidR="002A4A84" w:rsidRDefault="00366539" w:rsidP="00A37280">
      <w:pPr>
        <w:tabs>
          <w:tab w:val="left" w:pos="567"/>
        </w:tabs>
        <w:spacing w:after="0" w:line="240" w:lineRule="auto"/>
        <w:jc w:val="both"/>
        <w:rPr>
          <w:rFonts w:eastAsia="Times New Roman" w:cs="Arial"/>
          <w:b/>
        </w:rPr>
      </w:pPr>
      <w:r w:rsidRPr="00ED4731">
        <w:rPr>
          <w:rFonts w:eastAsia="Times New Roman" w:cs="Arial"/>
          <w:b/>
        </w:rPr>
        <w:t>1</w:t>
      </w:r>
      <w:r w:rsidR="00C31C6A">
        <w:rPr>
          <w:rFonts w:eastAsia="Times New Roman" w:cs="Arial"/>
          <w:b/>
        </w:rPr>
        <w:t>8</w:t>
      </w:r>
      <w:r w:rsidR="002A4A84" w:rsidRPr="00ED4731">
        <w:rPr>
          <w:rFonts w:eastAsia="Times New Roman" w:cs="Arial"/>
          <w:b/>
        </w:rPr>
        <w:t xml:space="preserve">. </w:t>
      </w:r>
      <w:r w:rsidR="00E604A2" w:rsidRPr="00ED4731">
        <w:rPr>
          <w:rFonts w:eastAsia="Times New Roman" w:cs="Arial"/>
          <w:b/>
        </w:rPr>
        <w:tab/>
      </w:r>
      <w:r w:rsidR="002A4A84" w:rsidRPr="00ED4731">
        <w:rPr>
          <w:rFonts w:eastAsia="Times New Roman" w:cs="Arial"/>
          <w:b/>
        </w:rPr>
        <w:t>Izvještavanje po segmentima</w:t>
      </w:r>
    </w:p>
    <w:p w14:paraId="76F3569B" w14:textId="77777777" w:rsidR="00A366C7" w:rsidRPr="00ED4731" w:rsidRDefault="00A366C7" w:rsidP="00A37280">
      <w:pPr>
        <w:tabs>
          <w:tab w:val="left" w:pos="567"/>
        </w:tabs>
        <w:spacing w:after="0" w:line="240" w:lineRule="auto"/>
        <w:jc w:val="both"/>
        <w:rPr>
          <w:rFonts w:eastAsia="Times New Roman" w:cs="Arial"/>
          <w:b/>
        </w:rPr>
      </w:pPr>
    </w:p>
    <w:p w14:paraId="704E6387" w14:textId="77777777" w:rsidR="00AE1588" w:rsidRDefault="002A4A84" w:rsidP="00A37280">
      <w:pPr>
        <w:spacing w:after="0" w:line="240" w:lineRule="auto"/>
        <w:jc w:val="both"/>
        <w:rPr>
          <w:rFonts w:eastAsia="Times New Roman" w:cs="Arial"/>
        </w:rPr>
      </w:pPr>
      <w:r w:rsidRPr="00ED4731">
        <w:rPr>
          <w:rFonts w:eastAsia="Times New Roman" w:cs="Arial"/>
        </w:rPr>
        <w:t>Osnovne informacije o segmentima su predstavljene u odnosu na poslovne segmente Grupe.</w:t>
      </w:r>
    </w:p>
    <w:p w14:paraId="0A4D2F8D" w14:textId="77777777" w:rsidR="002A4A84" w:rsidRPr="00ED4731" w:rsidRDefault="002A4A84" w:rsidP="00A37280">
      <w:pPr>
        <w:spacing w:after="0" w:line="240" w:lineRule="auto"/>
        <w:jc w:val="both"/>
        <w:rPr>
          <w:rFonts w:eastAsia="Times New Roman" w:cs="Arial"/>
        </w:rPr>
      </w:pPr>
      <w:r w:rsidRPr="00ED4731">
        <w:rPr>
          <w:rFonts w:eastAsia="Times New Roman" w:cs="Arial"/>
        </w:rPr>
        <w:t xml:space="preserve"> </w:t>
      </w:r>
    </w:p>
    <w:p w14:paraId="4E25F14A" w14:textId="77777777" w:rsidR="002A4A84" w:rsidRDefault="002A4A84" w:rsidP="00A37280">
      <w:pPr>
        <w:spacing w:after="0" w:line="240" w:lineRule="auto"/>
        <w:jc w:val="both"/>
        <w:rPr>
          <w:rFonts w:eastAsia="Times New Roman" w:cs="Arial"/>
        </w:rPr>
      </w:pPr>
      <w:r w:rsidRPr="00ED4731">
        <w:rPr>
          <w:rFonts w:eastAsia="Times New Roman" w:cs="Arial"/>
        </w:rPr>
        <w:t>Kako Grupa ne raspoređuje administrativne troškove i glavnicu po segmentima, nije prikazana profitabilnost segmenata.</w:t>
      </w:r>
    </w:p>
    <w:p w14:paraId="20A67F26" w14:textId="77777777" w:rsidR="00AE1588" w:rsidRPr="00ED4731" w:rsidRDefault="00AE1588" w:rsidP="00A37280">
      <w:pPr>
        <w:spacing w:after="0" w:line="240" w:lineRule="auto"/>
        <w:jc w:val="both"/>
        <w:rPr>
          <w:rFonts w:eastAsia="Times New Roman" w:cs="Arial"/>
        </w:rPr>
      </w:pPr>
    </w:p>
    <w:p w14:paraId="2E68916C" w14:textId="77777777" w:rsidR="002A4A84" w:rsidRDefault="002A4A84" w:rsidP="00A37280">
      <w:pPr>
        <w:spacing w:after="0" w:line="240" w:lineRule="auto"/>
        <w:jc w:val="both"/>
        <w:rPr>
          <w:rFonts w:eastAsia="Times New Roman" w:cs="Arial"/>
        </w:rPr>
      </w:pPr>
      <w:r w:rsidRPr="00ED4731">
        <w:rPr>
          <w:rFonts w:eastAsia="Times New Roman" w:cs="Arial"/>
        </w:rPr>
        <w:t xml:space="preserve">Imovina i obveze po segmentima iskazani su neto, tj. bruto nakon umanjenja vrijednosti i rezerviranja, a prije uzimanja u obzir primljenih kolaterala.  </w:t>
      </w:r>
    </w:p>
    <w:p w14:paraId="7C9FB40C" w14:textId="77777777" w:rsidR="00AE1588" w:rsidRPr="00ED4731" w:rsidRDefault="00AE1588" w:rsidP="00A37280">
      <w:pPr>
        <w:spacing w:after="0" w:line="240" w:lineRule="auto"/>
        <w:jc w:val="both"/>
        <w:rPr>
          <w:rFonts w:eastAsia="Times New Roman" w:cs="Arial"/>
        </w:rPr>
      </w:pPr>
    </w:p>
    <w:p w14:paraId="15CB2C12" w14:textId="77777777" w:rsidR="002A4A84" w:rsidRPr="00ED4731" w:rsidRDefault="002A4A84" w:rsidP="00A37280">
      <w:pPr>
        <w:spacing w:after="0" w:line="240" w:lineRule="auto"/>
        <w:jc w:val="both"/>
        <w:rPr>
          <w:rFonts w:eastAsia="Times New Roman" w:cs="Arial"/>
        </w:rPr>
      </w:pPr>
      <w:r w:rsidRPr="00ED4731">
        <w:rPr>
          <w:rFonts w:eastAsia="Times New Roman" w:cs="Arial"/>
        </w:rPr>
        <w:t>Poslovanje segmenata je organizacijski i upravljački odvojeno i svaki segment predstavlja cjelinu koja pruža različite proizvode i usluge i posluje na različitim tržištima.</w:t>
      </w:r>
    </w:p>
    <w:p w14:paraId="2E665DD2" w14:textId="77777777" w:rsidR="00FA4D98" w:rsidRDefault="00FA4D98" w:rsidP="00A37280">
      <w:pPr>
        <w:spacing w:after="0" w:line="240" w:lineRule="auto"/>
        <w:jc w:val="both"/>
        <w:rPr>
          <w:rFonts w:eastAsia="Times New Roman" w:cs="Arial"/>
          <w:b/>
        </w:rPr>
      </w:pPr>
    </w:p>
    <w:p w14:paraId="282A0C5E" w14:textId="77777777" w:rsidR="002A4A84" w:rsidRDefault="002A4A84" w:rsidP="00A37280">
      <w:pPr>
        <w:spacing w:after="0" w:line="240" w:lineRule="auto"/>
        <w:jc w:val="both"/>
        <w:rPr>
          <w:rFonts w:eastAsia="Times New Roman" w:cs="Arial"/>
          <w:b/>
        </w:rPr>
      </w:pPr>
      <w:r w:rsidRPr="00ED4731">
        <w:rPr>
          <w:rFonts w:eastAsia="Times New Roman" w:cs="Arial"/>
          <w:b/>
        </w:rPr>
        <w:t>Poslovni segmenti:</w:t>
      </w:r>
    </w:p>
    <w:p w14:paraId="70294C22" w14:textId="77777777" w:rsidR="00D02F3F" w:rsidRPr="00ED4731" w:rsidRDefault="00D02F3F" w:rsidP="00A37280">
      <w:pPr>
        <w:spacing w:after="0" w:line="240" w:lineRule="auto"/>
        <w:jc w:val="both"/>
        <w:rPr>
          <w:rFonts w:eastAsia="Times New Roman" w:cs="Arial"/>
          <w:b/>
        </w:rPr>
      </w:pPr>
    </w:p>
    <w:p w14:paraId="7B5ABA52" w14:textId="77777777" w:rsidR="002A4A84" w:rsidRDefault="002A4A84" w:rsidP="00A37280">
      <w:pPr>
        <w:spacing w:after="0" w:line="240" w:lineRule="auto"/>
        <w:jc w:val="both"/>
        <w:rPr>
          <w:rFonts w:eastAsia="Times New Roman" w:cs="Arial"/>
        </w:rPr>
      </w:pPr>
      <w:r w:rsidRPr="00ED4731">
        <w:rPr>
          <w:rFonts w:eastAsia="Times New Roman" w:cs="Arial"/>
        </w:rPr>
        <w:t>Grupa ima sljedeće poslovne segmente:</w:t>
      </w:r>
    </w:p>
    <w:p w14:paraId="62AAD34C" w14:textId="77777777" w:rsidR="00FA4D98" w:rsidRPr="00ED4731" w:rsidRDefault="00FA4D98" w:rsidP="00A37280">
      <w:pPr>
        <w:spacing w:after="0" w:line="240" w:lineRule="auto"/>
        <w:jc w:val="both"/>
        <w:rPr>
          <w:rFonts w:eastAsia="Times New Roman" w:cs="Arial"/>
        </w:rPr>
      </w:pPr>
    </w:p>
    <w:tbl>
      <w:tblPr>
        <w:tblW w:w="0" w:type="auto"/>
        <w:tblLook w:val="01E0" w:firstRow="1" w:lastRow="1" w:firstColumn="1" w:lastColumn="1" w:noHBand="0" w:noVBand="0"/>
      </w:tblPr>
      <w:tblGrid>
        <w:gridCol w:w="3528"/>
        <w:gridCol w:w="236"/>
        <w:gridCol w:w="5524"/>
      </w:tblGrid>
      <w:tr w:rsidR="002A4A84" w:rsidRPr="00ED4731" w14:paraId="3D7FD477" w14:textId="77777777" w:rsidTr="002A4A84">
        <w:tc>
          <w:tcPr>
            <w:tcW w:w="3528" w:type="dxa"/>
            <w:shd w:val="clear" w:color="auto" w:fill="auto"/>
          </w:tcPr>
          <w:p w14:paraId="4E790005" w14:textId="77777777" w:rsidR="002A4A84" w:rsidRPr="00ED4731" w:rsidRDefault="002A4A84" w:rsidP="00C4266C">
            <w:pPr>
              <w:spacing w:after="0" w:line="240" w:lineRule="auto"/>
              <w:jc w:val="both"/>
              <w:rPr>
                <w:rFonts w:eastAsia="Times New Roman" w:cs="Arial"/>
                <w:b/>
              </w:rPr>
            </w:pPr>
            <w:r w:rsidRPr="00ED4731">
              <w:rPr>
                <w:rFonts w:eastAsia="Times New Roman" w:cs="Arial"/>
                <w:b/>
              </w:rPr>
              <w:t>Segment:</w:t>
            </w:r>
          </w:p>
        </w:tc>
        <w:tc>
          <w:tcPr>
            <w:tcW w:w="236" w:type="dxa"/>
            <w:shd w:val="clear" w:color="auto" w:fill="auto"/>
          </w:tcPr>
          <w:p w14:paraId="1302B1DC" w14:textId="77777777" w:rsidR="002A4A84" w:rsidRPr="00ED4731" w:rsidRDefault="002A4A84" w:rsidP="00C4266C">
            <w:pPr>
              <w:spacing w:after="0" w:line="240" w:lineRule="auto"/>
              <w:jc w:val="both"/>
              <w:rPr>
                <w:rFonts w:eastAsia="Times New Roman" w:cs="Arial"/>
                <w:b/>
              </w:rPr>
            </w:pPr>
          </w:p>
        </w:tc>
        <w:tc>
          <w:tcPr>
            <w:tcW w:w="5524" w:type="dxa"/>
            <w:shd w:val="clear" w:color="auto" w:fill="auto"/>
          </w:tcPr>
          <w:p w14:paraId="696E09EE" w14:textId="77777777" w:rsidR="002A4A84" w:rsidRPr="00ED4731" w:rsidRDefault="002A4A84" w:rsidP="00C4266C">
            <w:pPr>
              <w:spacing w:after="0" w:line="240" w:lineRule="auto"/>
              <w:jc w:val="both"/>
              <w:rPr>
                <w:rFonts w:eastAsia="Times New Roman" w:cs="Arial"/>
                <w:b/>
                <w:lang w:eastAsia="hr-HR"/>
              </w:rPr>
            </w:pPr>
            <w:r w:rsidRPr="00ED4731">
              <w:rPr>
                <w:rFonts w:eastAsia="Times New Roman" w:cs="Arial"/>
                <w:b/>
                <w:lang w:eastAsia="hr-HR"/>
              </w:rPr>
              <w:t>Poslovne aktivnosti segmenta uključuju:</w:t>
            </w:r>
          </w:p>
        </w:tc>
      </w:tr>
      <w:tr w:rsidR="002A4A84" w:rsidRPr="00ED4731" w14:paraId="2368BB49" w14:textId="77777777" w:rsidTr="002A4A84">
        <w:tc>
          <w:tcPr>
            <w:tcW w:w="3528" w:type="dxa"/>
            <w:shd w:val="clear" w:color="auto" w:fill="auto"/>
          </w:tcPr>
          <w:p w14:paraId="6C06AD5F" w14:textId="77777777" w:rsidR="002A4A84" w:rsidRPr="00ED4731" w:rsidRDefault="002A4A84" w:rsidP="00C4266C">
            <w:pPr>
              <w:spacing w:after="0" w:line="240" w:lineRule="auto"/>
              <w:jc w:val="both"/>
              <w:rPr>
                <w:rFonts w:eastAsia="Times New Roman" w:cs="Arial"/>
              </w:rPr>
            </w:pPr>
          </w:p>
        </w:tc>
        <w:tc>
          <w:tcPr>
            <w:tcW w:w="236" w:type="dxa"/>
            <w:shd w:val="clear" w:color="auto" w:fill="auto"/>
          </w:tcPr>
          <w:p w14:paraId="5736150A" w14:textId="77777777" w:rsidR="002A4A84" w:rsidRPr="00ED4731" w:rsidRDefault="002A4A84" w:rsidP="00C4266C">
            <w:pPr>
              <w:spacing w:after="0" w:line="240" w:lineRule="auto"/>
              <w:jc w:val="both"/>
              <w:rPr>
                <w:rFonts w:eastAsia="Times New Roman" w:cs="Arial"/>
              </w:rPr>
            </w:pPr>
          </w:p>
        </w:tc>
        <w:tc>
          <w:tcPr>
            <w:tcW w:w="5524" w:type="dxa"/>
            <w:shd w:val="clear" w:color="auto" w:fill="auto"/>
          </w:tcPr>
          <w:p w14:paraId="50D20077" w14:textId="77777777" w:rsidR="002A4A84" w:rsidRPr="00ED4731" w:rsidRDefault="002A4A84" w:rsidP="00C4266C">
            <w:pPr>
              <w:spacing w:after="0" w:line="240" w:lineRule="auto"/>
              <w:jc w:val="both"/>
              <w:rPr>
                <w:rFonts w:eastAsia="Times New Roman" w:cs="Arial"/>
                <w:lang w:eastAsia="hr-HR"/>
              </w:rPr>
            </w:pPr>
          </w:p>
        </w:tc>
      </w:tr>
      <w:tr w:rsidR="002A4A84" w:rsidRPr="00ED4731" w14:paraId="7AE49B89" w14:textId="77777777" w:rsidTr="002A4A84">
        <w:tc>
          <w:tcPr>
            <w:tcW w:w="3528" w:type="dxa"/>
            <w:shd w:val="clear" w:color="auto" w:fill="auto"/>
          </w:tcPr>
          <w:p w14:paraId="03E5A223" w14:textId="77777777" w:rsidR="002A4A84" w:rsidRPr="00ED4731" w:rsidRDefault="002A4A84" w:rsidP="00C4266C">
            <w:pPr>
              <w:spacing w:after="0" w:line="240" w:lineRule="auto"/>
              <w:jc w:val="both"/>
              <w:rPr>
                <w:rFonts w:eastAsia="Times New Roman" w:cs="Arial"/>
              </w:rPr>
            </w:pPr>
            <w:r w:rsidRPr="00ED4731">
              <w:rPr>
                <w:rFonts w:eastAsia="Times New Roman" w:cs="Arial"/>
              </w:rPr>
              <w:t>Bankarske aktivnosti</w:t>
            </w:r>
          </w:p>
        </w:tc>
        <w:tc>
          <w:tcPr>
            <w:tcW w:w="236" w:type="dxa"/>
            <w:shd w:val="clear" w:color="auto" w:fill="auto"/>
          </w:tcPr>
          <w:p w14:paraId="1B89B830" w14:textId="77777777" w:rsidR="002A4A84" w:rsidRPr="00ED4731" w:rsidRDefault="002A4A84" w:rsidP="00C4266C">
            <w:pPr>
              <w:spacing w:after="0" w:line="240" w:lineRule="auto"/>
              <w:jc w:val="both"/>
              <w:rPr>
                <w:rFonts w:eastAsia="Times New Roman" w:cs="Arial"/>
              </w:rPr>
            </w:pPr>
          </w:p>
        </w:tc>
        <w:tc>
          <w:tcPr>
            <w:tcW w:w="5524" w:type="dxa"/>
            <w:shd w:val="clear" w:color="auto" w:fill="auto"/>
          </w:tcPr>
          <w:p w14:paraId="0D6BC802" w14:textId="77777777" w:rsidR="002A4A84" w:rsidRPr="00ED4731" w:rsidRDefault="002A4A84" w:rsidP="00C4266C">
            <w:pPr>
              <w:spacing w:after="0" w:line="240" w:lineRule="auto"/>
              <w:jc w:val="both"/>
              <w:rPr>
                <w:rFonts w:eastAsia="Times New Roman" w:cs="Arial"/>
                <w:lang w:eastAsia="hr-HR"/>
              </w:rPr>
            </w:pPr>
            <w:r w:rsidRPr="00ED4731">
              <w:rPr>
                <w:rFonts w:eastAsia="Times New Roman" w:cs="Arial"/>
                <w:lang w:eastAsia="hr-HR"/>
              </w:rPr>
              <w:t>financiranje obnove i razvitka hrvatskoga gospodarstva, financiranje infrastrukture, poticanje izvoza, potporu razvitku malog i srednjeg poduzetništva, poticanje zaštite okoliša, kao i osiguranje izvoza hrvatskih roba i usluga od netržišnih rizika u ime i za račun Republike Hrvatske</w:t>
            </w:r>
            <w:r w:rsidR="00457FE3">
              <w:rPr>
                <w:rFonts w:eastAsia="Times New Roman" w:cs="Arial"/>
                <w:lang w:eastAsia="hr-HR"/>
              </w:rPr>
              <w:t>,</w:t>
            </w:r>
            <w:r w:rsidRPr="00ED4731">
              <w:rPr>
                <w:rFonts w:eastAsia="Times New Roman" w:cs="Arial"/>
                <w:lang w:eastAsia="hr-HR"/>
              </w:rPr>
              <w:t xml:space="preserve"> </w:t>
            </w:r>
          </w:p>
        </w:tc>
      </w:tr>
      <w:tr w:rsidR="002A4A84" w:rsidRPr="00ED4731" w14:paraId="0346C9AF" w14:textId="77777777" w:rsidTr="002A4A84">
        <w:tc>
          <w:tcPr>
            <w:tcW w:w="3528" w:type="dxa"/>
            <w:shd w:val="clear" w:color="auto" w:fill="auto"/>
          </w:tcPr>
          <w:p w14:paraId="2F2FDA6B" w14:textId="77777777" w:rsidR="002A4A84" w:rsidRPr="00ED4731" w:rsidRDefault="002A4A84" w:rsidP="00C4266C">
            <w:pPr>
              <w:spacing w:after="0" w:line="240" w:lineRule="auto"/>
              <w:jc w:val="both"/>
              <w:rPr>
                <w:rFonts w:eastAsia="Times New Roman" w:cs="Arial"/>
              </w:rPr>
            </w:pPr>
          </w:p>
        </w:tc>
        <w:tc>
          <w:tcPr>
            <w:tcW w:w="236" w:type="dxa"/>
            <w:shd w:val="clear" w:color="auto" w:fill="auto"/>
          </w:tcPr>
          <w:p w14:paraId="59DB1A41" w14:textId="77777777" w:rsidR="002A4A84" w:rsidRPr="00ED4731" w:rsidRDefault="002A4A84" w:rsidP="00C4266C">
            <w:pPr>
              <w:spacing w:after="0" w:line="240" w:lineRule="auto"/>
              <w:jc w:val="both"/>
              <w:rPr>
                <w:rFonts w:eastAsia="Times New Roman" w:cs="Arial"/>
              </w:rPr>
            </w:pPr>
          </w:p>
        </w:tc>
        <w:tc>
          <w:tcPr>
            <w:tcW w:w="5524" w:type="dxa"/>
            <w:shd w:val="clear" w:color="auto" w:fill="auto"/>
          </w:tcPr>
          <w:p w14:paraId="458B1238" w14:textId="77777777" w:rsidR="002A4A84" w:rsidRPr="00ED4731" w:rsidRDefault="002A4A84" w:rsidP="00C4266C">
            <w:pPr>
              <w:spacing w:after="0" w:line="240" w:lineRule="auto"/>
              <w:jc w:val="both"/>
              <w:rPr>
                <w:rFonts w:eastAsia="Times New Roman" w:cs="Arial"/>
              </w:rPr>
            </w:pPr>
          </w:p>
        </w:tc>
      </w:tr>
      <w:tr w:rsidR="002A4A84" w:rsidRPr="00ED4731" w14:paraId="550BF1BF" w14:textId="77777777" w:rsidTr="002A4A84">
        <w:tc>
          <w:tcPr>
            <w:tcW w:w="3528" w:type="dxa"/>
            <w:shd w:val="clear" w:color="auto" w:fill="auto"/>
          </w:tcPr>
          <w:p w14:paraId="4DB40229" w14:textId="77777777" w:rsidR="002A4A84" w:rsidRPr="00ED4731" w:rsidRDefault="002A4A84" w:rsidP="00C4266C">
            <w:pPr>
              <w:spacing w:after="0" w:line="240" w:lineRule="auto"/>
              <w:jc w:val="both"/>
              <w:rPr>
                <w:rFonts w:eastAsia="Times New Roman" w:cs="Arial"/>
              </w:rPr>
            </w:pPr>
            <w:proofErr w:type="spellStart"/>
            <w:r w:rsidRPr="00ED4731">
              <w:rPr>
                <w:rFonts w:eastAsia="Times New Roman" w:cs="Arial"/>
              </w:rPr>
              <w:t>Osiguravateljske</w:t>
            </w:r>
            <w:proofErr w:type="spellEnd"/>
            <w:r w:rsidRPr="00ED4731">
              <w:rPr>
                <w:rFonts w:eastAsia="Times New Roman" w:cs="Arial"/>
              </w:rPr>
              <w:t xml:space="preserve"> aktivnosti</w:t>
            </w:r>
          </w:p>
        </w:tc>
        <w:tc>
          <w:tcPr>
            <w:tcW w:w="236" w:type="dxa"/>
            <w:shd w:val="clear" w:color="auto" w:fill="auto"/>
          </w:tcPr>
          <w:p w14:paraId="0DC3B298" w14:textId="77777777" w:rsidR="002A4A84" w:rsidRPr="00ED4731" w:rsidRDefault="002A4A84" w:rsidP="00C4266C">
            <w:pPr>
              <w:spacing w:after="0" w:line="240" w:lineRule="auto"/>
              <w:jc w:val="both"/>
              <w:rPr>
                <w:rFonts w:eastAsia="Times New Roman" w:cs="Arial"/>
              </w:rPr>
            </w:pPr>
          </w:p>
        </w:tc>
        <w:tc>
          <w:tcPr>
            <w:tcW w:w="5524" w:type="dxa"/>
            <w:shd w:val="clear" w:color="auto" w:fill="auto"/>
          </w:tcPr>
          <w:p w14:paraId="27A73794" w14:textId="77777777" w:rsidR="002A4A84" w:rsidRPr="00ED4731" w:rsidRDefault="002A4A84" w:rsidP="00C4266C">
            <w:pPr>
              <w:spacing w:after="0" w:line="240" w:lineRule="auto"/>
              <w:jc w:val="both"/>
              <w:rPr>
                <w:rFonts w:eastAsia="Times New Roman" w:cs="Arial"/>
              </w:rPr>
            </w:pPr>
            <w:r w:rsidRPr="00ED4731">
              <w:rPr>
                <w:rFonts w:eastAsia="Times New Roman" w:cs="Arial"/>
              </w:rPr>
              <w:t>osiguravanje inozemnih i domaćih kratkoročnih potraživanja poslovnih subjekata vezanih za isporuke roba i usluga</w:t>
            </w:r>
            <w:r w:rsidR="00457FE3">
              <w:rPr>
                <w:rFonts w:eastAsia="Times New Roman" w:cs="Arial"/>
              </w:rPr>
              <w:t>,</w:t>
            </w:r>
          </w:p>
        </w:tc>
      </w:tr>
      <w:tr w:rsidR="002A4A84" w:rsidRPr="00ED4731" w14:paraId="39B18238" w14:textId="77777777" w:rsidTr="002A4A84">
        <w:tc>
          <w:tcPr>
            <w:tcW w:w="3528" w:type="dxa"/>
            <w:shd w:val="clear" w:color="auto" w:fill="auto"/>
          </w:tcPr>
          <w:p w14:paraId="46460314" w14:textId="77777777" w:rsidR="002A4A84" w:rsidRPr="00ED4731" w:rsidRDefault="002A4A84" w:rsidP="00C4266C">
            <w:pPr>
              <w:spacing w:after="0" w:line="240" w:lineRule="auto"/>
              <w:jc w:val="both"/>
              <w:rPr>
                <w:rFonts w:eastAsia="Times New Roman" w:cs="Arial"/>
              </w:rPr>
            </w:pPr>
          </w:p>
        </w:tc>
        <w:tc>
          <w:tcPr>
            <w:tcW w:w="236" w:type="dxa"/>
            <w:shd w:val="clear" w:color="auto" w:fill="auto"/>
          </w:tcPr>
          <w:p w14:paraId="06F0F62D" w14:textId="77777777" w:rsidR="002A4A84" w:rsidRPr="00ED4731" w:rsidRDefault="002A4A84" w:rsidP="00C4266C">
            <w:pPr>
              <w:spacing w:after="0" w:line="240" w:lineRule="auto"/>
              <w:jc w:val="both"/>
              <w:rPr>
                <w:rFonts w:eastAsia="Times New Roman" w:cs="Arial"/>
              </w:rPr>
            </w:pPr>
          </w:p>
        </w:tc>
        <w:tc>
          <w:tcPr>
            <w:tcW w:w="5524" w:type="dxa"/>
            <w:shd w:val="clear" w:color="auto" w:fill="auto"/>
          </w:tcPr>
          <w:p w14:paraId="6520E301" w14:textId="77777777" w:rsidR="002A4A84" w:rsidRPr="00ED4731" w:rsidRDefault="002A4A84" w:rsidP="00C4266C">
            <w:pPr>
              <w:spacing w:after="0" w:line="240" w:lineRule="auto"/>
              <w:jc w:val="both"/>
              <w:rPr>
                <w:rFonts w:eastAsia="Times New Roman" w:cs="Arial"/>
              </w:rPr>
            </w:pPr>
          </w:p>
        </w:tc>
      </w:tr>
      <w:tr w:rsidR="002A4A84" w:rsidRPr="00ED4731" w14:paraId="50083778" w14:textId="77777777" w:rsidTr="002A4A84">
        <w:tc>
          <w:tcPr>
            <w:tcW w:w="3528" w:type="dxa"/>
            <w:shd w:val="clear" w:color="auto" w:fill="auto"/>
          </w:tcPr>
          <w:p w14:paraId="69DD648D" w14:textId="77777777" w:rsidR="002A4A84" w:rsidRPr="00ED4731" w:rsidRDefault="002A4A84" w:rsidP="00C4266C">
            <w:pPr>
              <w:spacing w:after="0" w:line="240" w:lineRule="auto"/>
              <w:jc w:val="both"/>
              <w:rPr>
                <w:rFonts w:eastAsia="Times New Roman" w:cs="Arial"/>
              </w:rPr>
            </w:pPr>
            <w:r w:rsidRPr="00ED4731">
              <w:rPr>
                <w:rFonts w:eastAsia="Times New Roman" w:cs="Arial"/>
              </w:rPr>
              <w:t>Ostalo</w:t>
            </w:r>
          </w:p>
        </w:tc>
        <w:tc>
          <w:tcPr>
            <w:tcW w:w="236" w:type="dxa"/>
            <w:shd w:val="clear" w:color="auto" w:fill="auto"/>
          </w:tcPr>
          <w:p w14:paraId="6D6756A1" w14:textId="77777777" w:rsidR="002A4A84" w:rsidRPr="00ED4731" w:rsidRDefault="002A4A84" w:rsidP="00C4266C">
            <w:pPr>
              <w:spacing w:after="0" w:line="240" w:lineRule="auto"/>
              <w:jc w:val="both"/>
              <w:rPr>
                <w:rFonts w:eastAsia="Times New Roman" w:cs="Arial"/>
              </w:rPr>
            </w:pPr>
          </w:p>
        </w:tc>
        <w:tc>
          <w:tcPr>
            <w:tcW w:w="5524" w:type="dxa"/>
            <w:shd w:val="clear" w:color="auto" w:fill="auto"/>
          </w:tcPr>
          <w:p w14:paraId="30733D6C" w14:textId="77777777" w:rsidR="002A4A84" w:rsidRPr="00ED4731" w:rsidRDefault="002A4A84" w:rsidP="00C4266C">
            <w:pPr>
              <w:spacing w:after="0" w:line="240" w:lineRule="auto"/>
              <w:jc w:val="both"/>
              <w:rPr>
                <w:rFonts w:eastAsia="Times New Roman" w:cs="Arial"/>
              </w:rPr>
            </w:pPr>
            <w:r w:rsidRPr="00ED4731">
              <w:rPr>
                <w:rFonts w:eastAsia="Times New Roman" w:cs="Arial"/>
              </w:rPr>
              <w:t>izrade analiza, procjena kreditnih rizika i pružanje informacija o kreditnoj sposobnosti</w:t>
            </w:r>
            <w:r w:rsidR="00457FE3">
              <w:rPr>
                <w:rFonts w:eastAsia="Times New Roman" w:cs="Arial"/>
              </w:rPr>
              <w:t>.</w:t>
            </w:r>
            <w:r w:rsidRPr="00ED4731">
              <w:rPr>
                <w:rFonts w:eastAsia="Times New Roman" w:cs="Arial"/>
              </w:rPr>
              <w:t xml:space="preserve"> </w:t>
            </w:r>
          </w:p>
        </w:tc>
      </w:tr>
    </w:tbl>
    <w:p w14:paraId="6644CB43" w14:textId="77777777" w:rsidR="002A4A84" w:rsidRPr="00ED4731" w:rsidRDefault="002A4A84" w:rsidP="00C4266C">
      <w:pPr>
        <w:spacing w:after="0" w:line="240" w:lineRule="auto"/>
        <w:jc w:val="both"/>
        <w:rPr>
          <w:rFonts w:eastAsia="Times New Roman" w:cs="Calibri"/>
          <w:lang w:eastAsia="hr-HR"/>
        </w:rPr>
      </w:pPr>
    </w:p>
    <w:p w14:paraId="7836ACEB" w14:textId="77777777" w:rsidR="002A4A84" w:rsidRPr="00ED4731" w:rsidRDefault="002A4A84" w:rsidP="00C4266C">
      <w:pPr>
        <w:spacing w:after="0" w:line="240" w:lineRule="auto"/>
        <w:jc w:val="both"/>
        <w:rPr>
          <w:rFonts w:eastAsia="Times New Roman" w:cs="Calibri"/>
          <w:lang w:eastAsia="hr-HR"/>
        </w:rPr>
      </w:pPr>
    </w:p>
    <w:p w14:paraId="64949C92" w14:textId="77777777" w:rsidR="002A4A84" w:rsidRPr="00CA37C8" w:rsidRDefault="002A4A84" w:rsidP="00C4266C">
      <w:pPr>
        <w:spacing w:after="0" w:line="240" w:lineRule="auto"/>
        <w:jc w:val="both"/>
        <w:rPr>
          <w:rFonts w:eastAsia="Times New Roman" w:cs="Calibri"/>
          <w:sz w:val="24"/>
          <w:szCs w:val="24"/>
          <w:lang w:eastAsia="hr-HR"/>
        </w:rPr>
      </w:pPr>
    </w:p>
    <w:p w14:paraId="344767C7" w14:textId="77777777" w:rsidR="00AE09B0" w:rsidRDefault="00AE09B0" w:rsidP="00C4266C">
      <w:pPr>
        <w:spacing w:after="0" w:line="240" w:lineRule="auto"/>
        <w:jc w:val="both"/>
        <w:rPr>
          <w:rFonts w:eastAsia="Times New Roman" w:cs="Calibri"/>
          <w:sz w:val="24"/>
          <w:szCs w:val="24"/>
          <w:lang w:eastAsia="hr-HR"/>
        </w:rPr>
        <w:sectPr w:rsidR="00AE09B0" w:rsidSect="005F169D">
          <w:footerReference w:type="first" r:id="rId132"/>
          <w:pgSz w:w="11906" w:h="16838" w:code="9"/>
          <w:pgMar w:top="1418" w:right="1418" w:bottom="595" w:left="1134" w:header="709" w:footer="709" w:gutter="0"/>
          <w:cols w:space="708"/>
          <w:titlePg/>
          <w:docGrid w:linePitch="360"/>
        </w:sectPr>
      </w:pPr>
    </w:p>
    <w:p w14:paraId="326515DC" w14:textId="77777777" w:rsidR="002A4A84" w:rsidRPr="00CA37C8" w:rsidRDefault="002A4A84" w:rsidP="00C4266C">
      <w:pPr>
        <w:spacing w:after="0" w:line="240" w:lineRule="auto"/>
        <w:jc w:val="both"/>
        <w:rPr>
          <w:rFonts w:eastAsia="Times New Roman" w:cs="Calibri"/>
          <w:sz w:val="24"/>
          <w:szCs w:val="24"/>
          <w:lang w:eastAsia="hr-HR"/>
        </w:rPr>
      </w:pPr>
    </w:p>
    <w:p w14:paraId="6B046738" w14:textId="77777777" w:rsidR="002A4A84" w:rsidRPr="00ED4731" w:rsidRDefault="009167D7" w:rsidP="00682ABB">
      <w:pPr>
        <w:tabs>
          <w:tab w:val="left" w:pos="567"/>
        </w:tabs>
        <w:spacing w:after="0" w:line="240" w:lineRule="auto"/>
        <w:jc w:val="both"/>
        <w:rPr>
          <w:rFonts w:eastAsia="Times New Roman" w:cs="Arial"/>
          <w:b/>
        </w:rPr>
      </w:pPr>
      <w:r w:rsidRPr="00ED4731">
        <w:rPr>
          <w:rFonts w:eastAsia="Times New Roman" w:cs="Arial"/>
          <w:b/>
          <w:spacing w:val="-3"/>
        </w:rPr>
        <w:t>1</w:t>
      </w:r>
      <w:r w:rsidR="00C31C6A">
        <w:rPr>
          <w:rFonts w:eastAsia="Times New Roman" w:cs="Arial"/>
          <w:b/>
          <w:spacing w:val="-3"/>
        </w:rPr>
        <w:t>8</w:t>
      </w:r>
      <w:r w:rsidR="002A4A84" w:rsidRPr="00ED4731">
        <w:rPr>
          <w:rFonts w:eastAsia="Times New Roman" w:cs="Arial"/>
          <w:b/>
          <w:spacing w:val="-3"/>
        </w:rPr>
        <w:t xml:space="preserve">. </w:t>
      </w:r>
      <w:r w:rsidR="002A4A84" w:rsidRPr="00ED4731">
        <w:rPr>
          <w:rFonts w:eastAsia="Times New Roman" w:cs="Arial"/>
          <w:b/>
          <w:spacing w:val="-3"/>
        </w:rPr>
        <w:tab/>
      </w:r>
      <w:r w:rsidR="002A4A84" w:rsidRPr="00ED4731">
        <w:rPr>
          <w:rFonts w:eastAsia="Times New Roman" w:cs="Arial"/>
          <w:b/>
        </w:rPr>
        <w:t>Izvještavanje po segmentima (nastavak)</w:t>
      </w:r>
    </w:p>
    <w:p w14:paraId="22F8C86E" w14:textId="77777777" w:rsidR="002A4A84" w:rsidRPr="00CA37C8" w:rsidRDefault="002A4A84" w:rsidP="00C4266C">
      <w:pPr>
        <w:spacing w:after="0" w:line="240" w:lineRule="auto"/>
        <w:jc w:val="both"/>
        <w:rPr>
          <w:rFonts w:eastAsia="Times New Roman" w:cs="Arial"/>
          <w:b/>
          <w:sz w:val="24"/>
          <w:szCs w:val="24"/>
        </w:rPr>
      </w:pPr>
    </w:p>
    <w:tbl>
      <w:tblPr>
        <w:tblpPr w:leftFromText="181" w:rightFromText="181" w:vertAnchor="text" w:horzAnchor="margin" w:tblpXSpec="center" w:tblpY="1"/>
        <w:tblW w:w="9747" w:type="dxa"/>
        <w:tblLayout w:type="fixed"/>
        <w:tblLook w:val="04A0" w:firstRow="1" w:lastRow="0" w:firstColumn="1" w:lastColumn="0" w:noHBand="0" w:noVBand="1"/>
      </w:tblPr>
      <w:tblGrid>
        <w:gridCol w:w="3085"/>
        <w:gridCol w:w="1332"/>
        <w:gridCol w:w="1503"/>
        <w:gridCol w:w="1162"/>
        <w:gridCol w:w="1332"/>
        <w:gridCol w:w="1333"/>
      </w:tblGrid>
      <w:tr w:rsidR="00511084" w:rsidRPr="00535F46" w14:paraId="6CD624C0" w14:textId="77777777" w:rsidTr="00F1130C">
        <w:trPr>
          <w:trHeight w:val="600"/>
        </w:trPr>
        <w:tc>
          <w:tcPr>
            <w:tcW w:w="3085" w:type="dxa"/>
            <w:tcBorders>
              <w:left w:val="nil"/>
              <w:right w:val="nil"/>
            </w:tcBorders>
            <w:shd w:val="clear" w:color="auto" w:fill="auto"/>
          </w:tcPr>
          <w:p w14:paraId="3D2DEBD1" w14:textId="30B27D33" w:rsidR="00511084" w:rsidRPr="00535F46" w:rsidRDefault="005F169D" w:rsidP="00257CDB">
            <w:pPr>
              <w:spacing w:line="300" w:lineRule="exact"/>
              <w:rPr>
                <w:rFonts w:cs="Arial"/>
                <w:b/>
                <w:bCs/>
                <w:sz w:val="18"/>
                <w:szCs w:val="18"/>
              </w:rPr>
            </w:pPr>
            <w:r>
              <w:rPr>
                <w:rFonts w:cs="Arial"/>
                <w:b/>
                <w:bCs/>
                <w:sz w:val="18"/>
                <w:szCs w:val="18"/>
              </w:rPr>
              <w:t>30</w:t>
            </w:r>
            <w:r w:rsidR="00E45CA6">
              <w:rPr>
                <w:rFonts w:cs="Arial"/>
                <w:b/>
                <w:bCs/>
                <w:sz w:val="18"/>
                <w:szCs w:val="18"/>
              </w:rPr>
              <w:t>.</w:t>
            </w:r>
            <w:r>
              <w:rPr>
                <w:rFonts w:cs="Arial"/>
                <w:b/>
                <w:bCs/>
                <w:sz w:val="18"/>
                <w:szCs w:val="18"/>
              </w:rPr>
              <w:t>6</w:t>
            </w:r>
            <w:r w:rsidR="00E45CA6">
              <w:rPr>
                <w:rFonts w:cs="Arial"/>
                <w:b/>
                <w:bCs/>
                <w:sz w:val="18"/>
                <w:szCs w:val="18"/>
              </w:rPr>
              <w:t>.2017</w:t>
            </w:r>
            <w:r w:rsidR="00CC4087" w:rsidRPr="00535F46">
              <w:rPr>
                <w:rFonts w:cs="Arial"/>
                <w:b/>
                <w:bCs/>
                <w:sz w:val="18"/>
                <w:szCs w:val="18"/>
              </w:rPr>
              <w:t>.</w:t>
            </w:r>
          </w:p>
        </w:tc>
        <w:tc>
          <w:tcPr>
            <w:tcW w:w="1332" w:type="dxa"/>
            <w:tcBorders>
              <w:left w:val="nil"/>
              <w:right w:val="nil"/>
            </w:tcBorders>
            <w:shd w:val="clear" w:color="auto" w:fill="auto"/>
            <w:vAlign w:val="center"/>
          </w:tcPr>
          <w:p w14:paraId="25BC922F" w14:textId="77777777" w:rsidR="00511084" w:rsidRPr="00535F46" w:rsidRDefault="00511084" w:rsidP="00007FC2">
            <w:pPr>
              <w:spacing w:after="0" w:line="240" w:lineRule="exact"/>
              <w:jc w:val="right"/>
              <w:rPr>
                <w:rFonts w:cs="Arial"/>
                <w:b/>
                <w:bCs/>
                <w:sz w:val="18"/>
                <w:szCs w:val="18"/>
              </w:rPr>
            </w:pPr>
            <w:r w:rsidRPr="00535F46">
              <w:rPr>
                <w:rFonts w:cs="Arial"/>
                <w:b/>
                <w:bCs/>
                <w:sz w:val="18"/>
                <w:szCs w:val="18"/>
              </w:rPr>
              <w:t>Bankarske aktivnosti</w:t>
            </w:r>
          </w:p>
        </w:tc>
        <w:tc>
          <w:tcPr>
            <w:tcW w:w="1503" w:type="dxa"/>
            <w:tcBorders>
              <w:left w:val="nil"/>
              <w:right w:val="nil"/>
            </w:tcBorders>
            <w:shd w:val="clear" w:color="auto" w:fill="auto"/>
            <w:vAlign w:val="center"/>
          </w:tcPr>
          <w:p w14:paraId="4E40E612" w14:textId="77777777" w:rsidR="00511084" w:rsidRPr="00535F46" w:rsidRDefault="00511084" w:rsidP="00007FC2">
            <w:pPr>
              <w:spacing w:after="0" w:line="240" w:lineRule="exact"/>
              <w:jc w:val="right"/>
              <w:rPr>
                <w:rFonts w:cs="Arial"/>
                <w:b/>
                <w:bCs/>
                <w:sz w:val="18"/>
                <w:szCs w:val="18"/>
              </w:rPr>
            </w:pPr>
            <w:r w:rsidRPr="00535F46">
              <w:rPr>
                <w:rFonts w:cs="Arial"/>
                <w:b/>
                <w:bCs/>
                <w:sz w:val="18"/>
                <w:szCs w:val="18"/>
              </w:rPr>
              <w:t>Osiguravate</w:t>
            </w:r>
            <w:r w:rsidR="00485D10" w:rsidRPr="00535F46">
              <w:rPr>
                <w:rFonts w:cs="Arial"/>
                <w:b/>
                <w:bCs/>
                <w:sz w:val="18"/>
                <w:szCs w:val="18"/>
              </w:rPr>
              <w:t>-</w:t>
            </w:r>
            <w:proofErr w:type="spellStart"/>
            <w:r w:rsidRPr="00535F46">
              <w:rPr>
                <w:rFonts w:cs="Arial"/>
                <w:b/>
                <w:bCs/>
                <w:sz w:val="18"/>
                <w:szCs w:val="18"/>
              </w:rPr>
              <w:t>ljske</w:t>
            </w:r>
            <w:proofErr w:type="spellEnd"/>
            <w:r w:rsidRPr="00535F46">
              <w:rPr>
                <w:rFonts w:cs="Arial"/>
                <w:b/>
                <w:bCs/>
                <w:sz w:val="18"/>
                <w:szCs w:val="18"/>
              </w:rPr>
              <w:t xml:space="preserve"> aktivnosti</w:t>
            </w:r>
          </w:p>
        </w:tc>
        <w:tc>
          <w:tcPr>
            <w:tcW w:w="1162" w:type="dxa"/>
            <w:tcBorders>
              <w:left w:val="nil"/>
              <w:right w:val="nil"/>
            </w:tcBorders>
            <w:shd w:val="clear" w:color="auto" w:fill="auto"/>
            <w:vAlign w:val="center"/>
          </w:tcPr>
          <w:p w14:paraId="2AC727F1" w14:textId="77777777" w:rsidR="00511084" w:rsidRPr="00535F46" w:rsidRDefault="00511084" w:rsidP="00007FC2">
            <w:pPr>
              <w:spacing w:after="0" w:line="240" w:lineRule="exact"/>
              <w:jc w:val="right"/>
              <w:rPr>
                <w:rFonts w:cs="Arial"/>
                <w:b/>
                <w:bCs/>
                <w:sz w:val="18"/>
                <w:szCs w:val="18"/>
              </w:rPr>
            </w:pPr>
            <w:r w:rsidRPr="00535F46">
              <w:rPr>
                <w:rFonts w:cs="Arial"/>
                <w:b/>
                <w:bCs/>
                <w:sz w:val="18"/>
                <w:szCs w:val="18"/>
              </w:rPr>
              <w:t>Ostale aktivnosti</w:t>
            </w:r>
          </w:p>
        </w:tc>
        <w:tc>
          <w:tcPr>
            <w:tcW w:w="1332" w:type="dxa"/>
            <w:tcBorders>
              <w:left w:val="nil"/>
              <w:right w:val="nil"/>
            </w:tcBorders>
            <w:shd w:val="clear" w:color="auto" w:fill="auto"/>
            <w:vAlign w:val="center"/>
          </w:tcPr>
          <w:p w14:paraId="35541581" w14:textId="77777777" w:rsidR="00D338FE" w:rsidRPr="00535F46" w:rsidRDefault="00511084" w:rsidP="00007FC2">
            <w:pPr>
              <w:spacing w:after="0" w:line="240" w:lineRule="exact"/>
              <w:jc w:val="right"/>
              <w:rPr>
                <w:rFonts w:cs="Arial"/>
                <w:b/>
                <w:bCs/>
                <w:sz w:val="18"/>
                <w:szCs w:val="18"/>
              </w:rPr>
            </w:pPr>
            <w:proofErr w:type="spellStart"/>
            <w:r w:rsidRPr="00535F46">
              <w:rPr>
                <w:rFonts w:cs="Arial"/>
                <w:b/>
                <w:bCs/>
                <w:sz w:val="18"/>
                <w:szCs w:val="18"/>
              </w:rPr>
              <w:t>Neraspore</w:t>
            </w:r>
            <w:proofErr w:type="spellEnd"/>
            <w:r w:rsidR="00D338FE" w:rsidRPr="00535F46">
              <w:rPr>
                <w:rFonts w:cs="Arial"/>
                <w:b/>
                <w:bCs/>
                <w:sz w:val="18"/>
                <w:szCs w:val="18"/>
              </w:rPr>
              <w:t>-</w:t>
            </w:r>
          </w:p>
          <w:p w14:paraId="75C9BE3E" w14:textId="77777777" w:rsidR="00511084" w:rsidRPr="00535F46" w:rsidRDefault="00511084" w:rsidP="00007FC2">
            <w:pPr>
              <w:spacing w:after="0" w:line="240" w:lineRule="exact"/>
              <w:jc w:val="right"/>
              <w:rPr>
                <w:rFonts w:cs="Arial"/>
                <w:b/>
                <w:bCs/>
                <w:sz w:val="18"/>
                <w:szCs w:val="18"/>
              </w:rPr>
            </w:pPr>
            <w:proofErr w:type="spellStart"/>
            <w:r w:rsidRPr="00535F46">
              <w:rPr>
                <w:rFonts w:cs="Arial"/>
                <w:b/>
                <w:bCs/>
                <w:sz w:val="18"/>
                <w:szCs w:val="18"/>
              </w:rPr>
              <w:t>đeno</w:t>
            </w:r>
            <w:proofErr w:type="spellEnd"/>
          </w:p>
        </w:tc>
        <w:tc>
          <w:tcPr>
            <w:tcW w:w="1333" w:type="dxa"/>
            <w:tcBorders>
              <w:left w:val="nil"/>
              <w:right w:val="nil"/>
            </w:tcBorders>
            <w:shd w:val="clear" w:color="auto" w:fill="auto"/>
            <w:vAlign w:val="center"/>
          </w:tcPr>
          <w:p w14:paraId="57943C32" w14:textId="77777777" w:rsidR="00511084" w:rsidRPr="00535F46" w:rsidRDefault="00511084" w:rsidP="00007FC2">
            <w:pPr>
              <w:spacing w:after="0" w:line="240" w:lineRule="exact"/>
              <w:jc w:val="right"/>
              <w:rPr>
                <w:rFonts w:cs="Arial"/>
                <w:b/>
                <w:bCs/>
                <w:sz w:val="18"/>
                <w:szCs w:val="18"/>
              </w:rPr>
            </w:pPr>
            <w:r w:rsidRPr="00535F46">
              <w:rPr>
                <w:rFonts w:cs="Arial"/>
                <w:b/>
                <w:bCs/>
                <w:sz w:val="18"/>
                <w:szCs w:val="18"/>
              </w:rPr>
              <w:t>Ukupno</w:t>
            </w:r>
          </w:p>
        </w:tc>
      </w:tr>
      <w:tr w:rsidR="00A313DB" w:rsidRPr="00535F46" w14:paraId="7B5DE8F5" w14:textId="77777777" w:rsidTr="00F1130C">
        <w:trPr>
          <w:trHeight w:hRule="exact" w:val="170"/>
        </w:trPr>
        <w:tc>
          <w:tcPr>
            <w:tcW w:w="3085" w:type="dxa"/>
            <w:tcBorders>
              <w:top w:val="nil"/>
              <w:left w:val="nil"/>
              <w:bottom w:val="nil"/>
              <w:right w:val="nil"/>
            </w:tcBorders>
            <w:shd w:val="clear" w:color="auto" w:fill="auto"/>
            <w:vAlign w:val="bottom"/>
          </w:tcPr>
          <w:p w14:paraId="6E4CCABD" w14:textId="77777777" w:rsidR="00A313DB" w:rsidRPr="00535F46" w:rsidRDefault="00A313DB" w:rsidP="0083584D">
            <w:pPr>
              <w:spacing w:line="300" w:lineRule="exact"/>
              <w:rPr>
                <w:rFonts w:cs="Arial"/>
                <w:b/>
                <w:bCs/>
                <w:sz w:val="18"/>
                <w:szCs w:val="18"/>
              </w:rPr>
            </w:pPr>
          </w:p>
        </w:tc>
        <w:tc>
          <w:tcPr>
            <w:tcW w:w="1332" w:type="dxa"/>
            <w:tcBorders>
              <w:top w:val="nil"/>
              <w:left w:val="nil"/>
              <w:bottom w:val="nil"/>
              <w:right w:val="nil"/>
            </w:tcBorders>
            <w:shd w:val="clear" w:color="auto" w:fill="auto"/>
            <w:noWrap/>
            <w:vAlign w:val="bottom"/>
          </w:tcPr>
          <w:p w14:paraId="130AB192" w14:textId="77777777" w:rsidR="00A313DB" w:rsidRPr="00535F46" w:rsidRDefault="00A313DB" w:rsidP="0083584D">
            <w:pPr>
              <w:spacing w:line="30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1C4AD9BA" w14:textId="77777777" w:rsidR="00A313DB" w:rsidRPr="00535F46" w:rsidRDefault="00A313DB" w:rsidP="0083584D">
            <w:pPr>
              <w:spacing w:line="30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7E8F6412" w14:textId="77777777" w:rsidR="00A313DB" w:rsidRPr="00535F46" w:rsidRDefault="00A313DB" w:rsidP="0083584D">
            <w:pPr>
              <w:spacing w:line="30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5DFF0CE2" w14:textId="77777777" w:rsidR="00A313DB" w:rsidRPr="00535F46" w:rsidRDefault="00A313DB" w:rsidP="0083584D">
            <w:pPr>
              <w:spacing w:line="30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1C9E2E2B" w14:textId="77777777" w:rsidR="00A313DB" w:rsidRPr="00535F46" w:rsidRDefault="00A313DB" w:rsidP="0083584D">
            <w:pPr>
              <w:spacing w:line="300" w:lineRule="exact"/>
              <w:jc w:val="right"/>
              <w:rPr>
                <w:rFonts w:cs="Arial"/>
                <w:b/>
                <w:bCs/>
                <w:sz w:val="18"/>
                <w:szCs w:val="18"/>
              </w:rPr>
            </w:pPr>
          </w:p>
        </w:tc>
      </w:tr>
      <w:tr w:rsidR="002C691C" w:rsidRPr="00535F46" w14:paraId="037A1724" w14:textId="77777777" w:rsidTr="00312975">
        <w:trPr>
          <w:trHeight w:val="59"/>
        </w:trPr>
        <w:tc>
          <w:tcPr>
            <w:tcW w:w="3085" w:type="dxa"/>
            <w:tcBorders>
              <w:top w:val="nil"/>
              <w:left w:val="nil"/>
              <w:bottom w:val="nil"/>
              <w:right w:val="nil"/>
            </w:tcBorders>
            <w:shd w:val="clear" w:color="auto" w:fill="auto"/>
            <w:vAlign w:val="bottom"/>
          </w:tcPr>
          <w:p w14:paraId="5CBEE7D4" w14:textId="77777777" w:rsidR="002C691C" w:rsidRPr="00535F46" w:rsidRDefault="002C691C" w:rsidP="002C691C">
            <w:pPr>
              <w:spacing w:after="0" w:line="240" w:lineRule="exact"/>
              <w:rPr>
                <w:rFonts w:cs="Arial"/>
                <w:sz w:val="18"/>
                <w:szCs w:val="18"/>
              </w:rPr>
            </w:pPr>
            <w:r w:rsidRPr="00535F46">
              <w:rPr>
                <w:rFonts w:cs="Arial"/>
                <w:sz w:val="18"/>
                <w:szCs w:val="18"/>
              </w:rPr>
              <w:t>Neto prihod od kamata</w:t>
            </w:r>
          </w:p>
        </w:tc>
        <w:tc>
          <w:tcPr>
            <w:tcW w:w="1332" w:type="dxa"/>
            <w:tcBorders>
              <w:top w:val="nil"/>
              <w:left w:val="nil"/>
              <w:bottom w:val="nil"/>
              <w:right w:val="nil"/>
            </w:tcBorders>
            <w:shd w:val="clear" w:color="auto" w:fill="auto"/>
            <w:noWrap/>
            <w:vAlign w:val="bottom"/>
          </w:tcPr>
          <w:p w14:paraId="22D08E5A" w14:textId="4A79C8F2" w:rsidR="002C691C" w:rsidRPr="00535F46" w:rsidRDefault="002C691C" w:rsidP="002C691C">
            <w:pPr>
              <w:spacing w:after="0" w:line="240" w:lineRule="exact"/>
              <w:jc w:val="right"/>
              <w:rPr>
                <w:rFonts w:cs="Arial"/>
                <w:sz w:val="18"/>
                <w:szCs w:val="18"/>
              </w:rPr>
            </w:pPr>
            <w:r w:rsidRPr="00312975">
              <w:rPr>
                <w:rFonts w:cs="Arial"/>
                <w:sz w:val="18"/>
                <w:szCs w:val="18"/>
              </w:rPr>
              <w:t xml:space="preserve"> 235.859 </w:t>
            </w:r>
          </w:p>
        </w:tc>
        <w:tc>
          <w:tcPr>
            <w:tcW w:w="1503" w:type="dxa"/>
            <w:tcBorders>
              <w:top w:val="nil"/>
              <w:left w:val="nil"/>
              <w:bottom w:val="nil"/>
              <w:right w:val="nil"/>
            </w:tcBorders>
            <w:shd w:val="clear" w:color="auto" w:fill="auto"/>
            <w:noWrap/>
            <w:vAlign w:val="bottom"/>
          </w:tcPr>
          <w:p w14:paraId="35F1E079" w14:textId="3D1EC754" w:rsidR="002C691C" w:rsidRPr="00535F46" w:rsidRDefault="002C691C" w:rsidP="002C691C">
            <w:pPr>
              <w:spacing w:after="0" w:line="240" w:lineRule="exact"/>
              <w:jc w:val="right"/>
              <w:rPr>
                <w:rFonts w:cs="Arial"/>
                <w:sz w:val="18"/>
                <w:szCs w:val="18"/>
              </w:rPr>
            </w:pPr>
            <w:r w:rsidRPr="00312975">
              <w:rPr>
                <w:rFonts w:cs="Arial"/>
                <w:sz w:val="18"/>
                <w:szCs w:val="18"/>
              </w:rPr>
              <w:t xml:space="preserve"> 829 </w:t>
            </w:r>
          </w:p>
        </w:tc>
        <w:tc>
          <w:tcPr>
            <w:tcW w:w="1162" w:type="dxa"/>
            <w:tcBorders>
              <w:top w:val="nil"/>
              <w:left w:val="nil"/>
              <w:bottom w:val="nil"/>
              <w:right w:val="nil"/>
            </w:tcBorders>
            <w:shd w:val="clear" w:color="auto" w:fill="auto"/>
            <w:noWrap/>
            <w:vAlign w:val="bottom"/>
          </w:tcPr>
          <w:p w14:paraId="1B3D4A44" w14:textId="60D1AC11" w:rsidR="002C691C" w:rsidRPr="00535F46" w:rsidRDefault="002C691C" w:rsidP="002C691C">
            <w:pPr>
              <w:spacing w:after="0" w:line="240" w:lineRule="exact"/>
              <w:jc w:val="right"/>
              <w:rPr>
                <w:rFonts w:cs="Arial"/>
                <w:sz w:val="18"/>
                <w:szCs w:val="18"/>
              </w:rPr>
            </w:pPr>
            <w:r w:rsidRPr="00312975">
              <w:rPr>
                <w:rFonts w:cs="Arial"/>
                <w:sz w:val="18"/>
                <w:szCs w:val="18"/>
              </w:rPr>
              <w:t xml:space="preserve"> - </w:t>
            </w:r>
          </w:p>
        </w:tc>
        <w:tc>
          <w:tcPr>
            <w:tcW w:w="1332" w:type="dxa"/>
            <w:tcBorders>
              <w:top w:val="nil"/>
              <w:left w:val="nil"/>
              <w:bottom w:val="nil"/>
              <w:right w:val="nil"/>
            </w:tcBorders>
            <w:shd w:val="clear" w:color="auto" w:fill="auto"/>
            <w:noWrap/>
            <w:vAlign w:val="bottom"/>
          </w:tcPr>
          <w:p w14:paraId="1956D10C" w14:textId="66C2FE1C" w:rsidR="002C691C" w:rsidRPr="00535F46" w:rsidRDefault="00967C43" w:rsidP="002C691C">
            <w:pPr>
              <w:spacing w:after="0"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329E71A2" w14:textId="619B74A0" w:rsidR="002C691C" w:rsidRPr="00535F46" w:rsidRDefault="002C691C" w:rsidP="002C691C">
            <w:pPr>
              <w:spacing w:after="0" w:line="240" w:lineRule="exact"/>
              <w:jc w:val="right"/>
              <w:rPr>
                <w:rFonts w:cs="Arial"/>
                <w:sz w:val="18"/>
                <w:szCs w:val="18"/>
              </w:rPr>
            </w:pPr>
            <w:r w:rsidRPr="00312975">
              <w:rPr>
                <w:rFonts w:cs="Arial"/>
                <w:sz w:val="18"/>
                <w:szCs w:val="18"/>
              </w:rPr>
              <w:t>236.688</w:t>
            </w:r>
          </w:p>
        </w:tc>
      </w:tr>
      <w:tr w:rsidR="002C691C" w:rsidRPr="00535F46" w14:paraId="23B0EDBA" w14:textId="77777777" w:rsidTr="00312975">
        <w:trPr>
          <w:trHeight w:val="300"/>
        </w:trPr>
        <w:tc>
          <w:tcPr>
            <w:tcW w:w="3085" w:type="dxa"/>
            <w:tcBorders>
              <w:top w:val="nil"/>
              <w:left w:val="nil"/>
              <w:bottom w:val="nil"/>
              <w:right w:val="nil"/>
            </w:tcBorders>
            <w:shd w:val="clear" w:color="auto" w:fill="auto"/>
            <w:vAlign w:val="bottom"/>
          </w:tcPr>
          <w:p w14:paraId="7DD677E5" w14:textId="77777777" w:rsidR="002C691C" w:rsidRPr="00535F46" w:rsidRDefault="002C691C" w:rsidP="002C691C">
            <w:pPr>
              <w:spacing w:after="0" w:line="240" w:lineRule="exact"/>
              <w:rPr>
                <w:rFonts w:cs="Arial"/>
                <w:sz w:val="18"/>
                <w:szCs w:val="18"/>
              </w:rPr>
            </w:pPr>
            <w:r w:rsidRPr="00535F46">
              <w:rPr>
                <w:rFonts w:cs="Arial"/>
                <w:sz w:val="18"/>
                <w:szCs w:val="18"/>
              </w:rPr>
              <w:t>Neto prihod od naknada</w:t>
            </w:r>
          </w:p>
        </w:tc>
        <w:tc>
          <w:tcPr>
            <w:tcW w:w="1332" w:type="dxa"/>
            <w:tcBorders>
              <w:top w:val="nil"/>
              <w:left w:val="nil"/>
              <w:bottom w:val="nil"/>
              <w:right w:val="nil"/>
            </w:tcBorders>
            <w:shd w:val="clear" w:color="auto" w:fill="auto"/>
            <w:noWrap/>
            <w:vAlign w:val="bottom"/>
          </w:tcPr>
          <w:p w14:paraId="27C298C2" w14:textId="23D61304" w:rsidR="002C691C" w:rsidRPr="00535F46" w:rsidRDefault="002C691C" w:rsidP="002C691C">
            <w:pPr>
              <w:spacing w:after="0" w:line="240" w:lineRule="exact"/>
              <w:jc w:val="right"/>
              <w:rPr>
                <w:rFonts w:cs="Arial"/>
                <w:sz w:val="18"/>
                <w:szCs w:val="18"/>
              </w:rPr>
            </w:pPr>
            <w:r w:rsidRPr="00312975">
              <w:rPr>
                <w:rFonts w:cs="Arial"/>
                <w:sz w:val="18"/>
                <w:szCs w:val="18"/>
              </w:rPr>
              <w:t xml:space="preserve"> 13.383 </w:t>
            </w:r>
          </w:p>
        </w:tc>
        <w:tc>
          <w:tcPr>
            <w:tcW w:w="1503" w:type="dxa"/>
            <w:tcBorders>
              <w:top w:val="nil"/>
              <w:left w:val="nil"/>
              <w:bottom w:val="nil"/>
              <w:right w:val="nil"/>
            </w:tcBorders>
            <w:shd w:val="clear" w:color="auto" w:fill="auto"/>
            <w:noWrap/>
            <w:vAlign w:val="bottom"/>
          </w:tcPr>
          <w:p w14:paraId="6F6B1B06" w14:textId="66A441B7" w:rsidR="002C691C" w:rsidRPr="00535F46" w:rsidRDefault="002C691C" w:rsidP="002C691C">
            <w:pPr>
              <w:spacing w:after="0" w:line="240" w:lineRule="exact"/>
              <w:jc w:val="right"/>
              <w:rPr>
                <w:rFonts w:cs="Arial"/>
                <w:sz w:val="18"/>
                <w:szCs w:val="18"/>
              </w:rPr>
            </w:pPr>
            <w:r w:rsidRPr="00312975">
              <w:rPr>
                <w:rFonts w:cs="Arial"/>
                <w:sz w:val="18"/>
                <w:szCs w:val="18"/>
              </w:rPr>
              <w:t xml:space="preserve"> 661 </w:t>
            </w:r>
          </w:p>
        </w:tc>
        <w:tc>
          <w:tcPr>
            <w:tcW w:w="1162" w:type="dxa"/>
            <w:tcBorders>
              <w:top w:val="nil"/>
              <w:left w:val="nil"/>
              <w:bottom w:val="nil"/>
              <w:right w:val="nil"/>
            </w:tcBorders>
            <w:shd w:val="clear" w:color="auto" w:fill="auto"/>
            <w:noWrap/>
            <w:vAlign w:val="bottom"/>
          </w:tcPr>
          <w:p w14:paraId="7AF89921" w14:textId="4679EB56" w:rsidR="002C691C" w:rsidRPr="00535F46" w:rsidRDefault="002C691C" w:rsidP="002C691C">
            <w:pPr>
              <w:spacing w:after="0" w:line="240" w:lineRule="exact"/>
              <w:jc w:val="right"/>
              <w:rPr>
                <w:rFonts w:cs="Arial"/>
                <w:sz w:val="18"/>
                <w:szCs w:val="18"/>
              </w:rPr>
            </w:pPr>
            <w:r w:rsidRPr="00312975">
              <w:rPr>
                <w:rFonts w:cs="Arial"/>
                <w:sz w:val="18"/>
                <w:szCs w:val="18"/>
              </w:rPr>
              <w:t xml:space="preserve"> 623 </w:t>
            </w:r>
          </w:p>
        </w:tc>
        <w:tc>
          <w:tcPr>
            <w:tcW w:w="1332" w:type="dxa"/>
            <w:tcBorders>
              <w:top w:val="nil"/>
              <w:left w:val="nil"/>
              <w:bottom w:val="nil"/>
              <w:right w:val="nil"/>
            </w:tcBorders>
            <w:shd w:val="clear" w:color="auto" w:fill="auto"/>
            <w:noWrap/>
            <w:vAlign w:val="bottom"/>
          </w:tcPr>
          <w:p w14:paraId="2E17932E" w14:textId="4E46249F" w:rsidR="002C691C" w:rsidRPr="00535F46" w:rsidRDefault="00967C43" w:rsidP="002C691C">
            <w:pPr>
              <w:spacing w:after="0"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59761FDB" w14:textId="73F7D48E" w:rsidR="002C691C" w:rsidRPr="00535F46" w:rsidRDefault="002C691C" w:rsidP="002C691C">
            <w:pPr>
              <w:spacing w:after="0" w:line="240" w:lineRule="exact"/>
              <w:jc w:val="right"/>
              <w:rPr>
                <w:rFonts w:cs="Arial"/>
                <w:sz w:val="18"/>
                <w:szCs w:val="18"/>
              </w:rPr>
            </w:pPr>
            <w:r w:rsidRPr="00312975">
              <w:rPr>
                <w:rFonts w:cs="Arial"/>
                <w:sz w:val="18"/>
                <w:szCs w:val="18"/>
              </w:rPr>
              <w:t>14.667</w:t>
            </w:r>
          </w:p>
        </w:tc>
      </w:tr>
      <w:tr w:rsidR="002C691C" w:rsidRPr="00535F46" w14:paraId="380ADB8F" w14:textId="77777777" w:rsidTr="00312975">
        <w:trPr>
          <w:trHeight w:val="300"/>
        </w:trPr>
        <w:tc>
          <w:tcPr>
            <w:tcW w:w="3085" w:type="dxa"/>
            <w:tcBorders>
              <w:top w:val="nil"/>
              <w:left w:val="nil"/>
              <w:bottom w:val="nil"/>
              <w:right w:val="nil"/>
            </w:tcBorders>
            <w:shd w:val="clear" w:color="auto" w:fill="auto"/>
            <w:vAlign w:val="bottom"/>
          </w:tcPr>
          <w:p w14:paraId="559CB1E4" w14:textId="77777777" w:rsidR="002C691C" w:rsidRPr="00535F46" w:rsidRDefault="002C691C" w:rsidP="002C691C">
            <w:pPr>
              <w:spacing w:after="0" w:line="240" w:lineRule="exact"/>
              <w:rPr>
                <w:rFonts w:cs="Arial"/>
                <w:sz w:val="18"/>
                <w:szCs w:val="18"/>
              </w:rPr>
            </w:pPr>
            <w:r w:rsidRPr="00535F46">
              <w:rPr>
                <w:rFonts w:cs="Arial"/>
                <w:sz w:val="18"/>
                <w:szCs w:val="18"/>
              </w:rPr>
              <w:t xml:space="preserve">Neto prihodi/(rashodi) od financijskih aktivnosti </w:t>
            </w:r>
          </w:p>
        </w:tc>
        <w:tc>
          <w:tcPr>
            <w:tcW w:w="1332" w:type="dxa"/>
            <w:tcBorders>
              <w:top w:val="nil"/>
              <w:left w:val="nil"/>
              <w:bottom w:val="nil"/>
              <w:right w:val="nil"/>
            </w:tcBorders>
            <w:shd w:val="clear" w:color="auto" w:fill="auto"/>
            <w:noWrap/>
            <w:vAlign w:val="bottom"/>
          </w:tcPr>
          <w:p w14:paraId="77614FF1" w14:textId="05A241E7" w:rsidR="002C691C" w:rsidRPr="00535F46" w:rsidRDefault="002C691C" w:rsidP="002C691C">
            <w:pPr>
              <w:spacing w:after="0" w:line="240" w:lineRule="exact"/>
              <w:jc w:val="right"/>
              <w:rPr>
                <w:rFonts w:cs="Arial"/>
                <w:sz w:val="18"/>
                <w:szCs w:val="18"/>
              </w:rPr>
            </w:pPr>
            <w:r w:rsidRPr="00312975">
              <w:rPr>
                <w:rFonts w:cs="Arial"/>
                <w:sz w:val="18"/>
                <w:szCs w:val="18"/>
              </w:rPr>
              <w:t xml:space="preserve"> (7.574)</w:t>
            </w:r>
          </w:p>
        </w:tc>
        <w:tc>
          <w:tcPr>
            <w:tcW w:w="1503" w:type="dxa"/>
            <w:tcBorders>
              <w:top w:val="nil"/>
              <w:left w:val="nil"/>
              <w:bottom w:val="nil"/>
              <w:right w:val="nil"/>
            </w:tcBorders>
            <w:shd w:val="clear" w:color="auto" w:fill="auto"/>
            <w:noWrap/>
            <w:vAlign w:val="bottom"/>
          </w:tcPr>
          <w:p w14:paraId="6B44C1C4" w14:textId="3CC6E733" w:rsidR="002C691C" w:rsidRPr="00535F46" w:rsidRDefault="002C691C" w:rsidP="002C691C">
            <w:pPr>
              <w:spacing w:after="0" w:line="240" w:lineRule="exact"/>
              <w:jc w:val="right"/>
              <w:rPr>
                <w:rFonts w:cs="Arial"/>
                <w:sz w:val="18"/>
                <w:szCs w:val="18"/>
              </w:rPr>
            </w:pPr>
            <w:r w:rsidRPr="00312975">
              <w:rPr>
                <w:rFonts w:cs="Arial"/>
                <w:sz w:val="18"/>
                <w:szCs w:val="18"/>
              </w:rPr>
              <w:t xml:space="preserve"> (237)</w:t>
            </w:r>
          </w:p>
        </w:tc>
        <w:tc>
          <w:tcPr>
            <w:tcW w:w="1162" w:type="dxa"/>
            <w:tcBorders>
              <w:top w:val="nil"/>
              <w:left w:val="nil"/>
              <w:bottom w:val="nil"/>
              <w:right w:val="nil"/>
            </w:tcBorders>
            <w:shd w:val="clear" w:color="auto" w:fill="auto"/>
            <w:noWrap/>
            <w:vAlign w:val="bottom"/>
          </w:tcPr>
          <w:p w14:paraId="47CA67BA" w14:textId="35A076C8" w:rsidR="002C691C" w:rsidRPr="00535F46" w:rsidRDefault="002C691C" w:rsidP="002C691C">
            <w:pPr>
              <w:spacing w:after="0" w:line="240" w:lineRule="exact"/>
              <w:jc w:val="right"/>
              <w:rPr>
                <w:rFonts w:cs="Arial"/>
                <w:sz w:val="18"/>
                <w:szCs w:val="18"/>
              </w:rPr>
            </w:pPr>
            <w:r w:rsidRPr="00312975">
              <w:rPr>
                <w:rFonts w:cs="Arial"/>
                <w:sz w:val="18"/>
                <w:szCs w:val="18"/>
              </w:rPr>
              <w:t xml:space="preserve"> (2)</w:t>
            </w:r>
          </w:p>
        </w:tc>
        <w:tc>
          <w:tcPr>
            <w:tcW w:w="1332" w:type="dxa"/>
            <w:tcBorders>
              <w:top w:val="nil"/>
              <w:left w:val="nil"/>
              <w:bottom w:val="nil"/>
              <w:right w:val="nil"/>
            </w:tcBorders>
            <w:shd w:val="clear" w:color="auto" w:fill="auto"/>
            <w:noWrap/>
            <w:vAlign w:val="bottom"/>
          </w:tcPr>
          <w:p w14:paraId="3AFA1739" w14:textId="67F995AB" w:rsidR="002C691C" w:rsidRPr="00535F46" w:rsidRDefault="00967C43" w:rsidP="002C691C">
            <w:pPr>
              <w:spacing w:after="0"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2759B894" w14:textId="4376CEBB" w:rsidR="002C691C" w:rsidRPr="00535F46" w:rsidRDefault="00E656D4" w:rsidP="002C691C">
            <w:pPr>
              <w:spacing w:after="0" w:line="240" w:lineRule="exact"/>
              <w:jc w:val="right"/>
              <w:rPr>
                <w:rFonts w:cs="Arial"/>
                <w:sz w:val="18"/>
                <w:szCs w:val="18"/>
              </w:rPr>
            </w:pPr>
            <w:r>
              <w:rPr>
                <w:rFonts w:cs="Arial"/>
                <w:sz w:val="18"/>
                <w:szCs w:val="18"/>
              </w:rPr>
              <w:t>(</w:t>
            </w:r>
            <w:r w:rsidR="002C691C" w:rsidRPr="00312975">
              <w:rPr>
                <w:rFonts w:cs="Arial"/>
                <w:sz w:val="18"/>
                <w:szCs w:val="18"/>
              </w:rPr>
              <w:t>7.813</w:t>
            </w:r>
            <w:r>
              <w:rPr>
                <w:rFonts w:cs="Arial"/>
                <w:sz w:val="18"/>
                <w:szCs w:val="18"/>
              </w:rPr>
              <w:t>)</w:t>
            </w:r>
          </w:p>
        </w:tc>
      </w:tr>
      <w:tr w:rsidR="002C691C" w:rsidRPr="00535F46" w14:paraId="1F9F80AE" w14:textId="77777777" w:rsidTr="00312975">
        <w:trPr>
          <w:trHeight w:val="280"/>
        </w:trPr>
        <w:tc>
          <w:tcPr>
            <w:tcW w:w="3085" w:type="dxa"/>
            <w:tcBorders>
              <w:top w:val="nil"/>
              <w:left w:val="nil"/>
              <w:bottom w:val="nil"/>
              <w:right w:val="nil"/>
            </w:tcBorders>
            <w:shd w:val="clear" w:color="auto" w:fill="auto"/>
            <w:vAlign w:val="bottom"/>
          </w:tcPr>
          <w:p w14:paraId="1395D5F8" w14:textId="77777777" w:rsidR="002C691C" w:rsidRPr="00535F46" w:rsidRDefault="002C691C" w:rsidP="002C691C">
            <w:pPr>
              <w:spacing w:after="0" w:line="240" w:lineRule="exact"/>
              <w:rPr>
                <w:rFonts w:cs="Arial"/>
                <w:sz w:val="18"/>
                <w:szCs w:val="18"/>
              </w:rPr>
            </w:pPr>
            <w:r w:rsidRPr="00535F46">
              <w:rPr>
                <w:rFonts w:cs="Arial"/>
                <w:sz w:val="18"/>
                <w:szCs w:val="18"/>
              </w:rPr>
              <w:t>Neto zarađene premije</w:t>
            </w:r>
          </w:p>
        </w:tc>
        <w:tc>
          <w:tcPr>
            <w:tcW w:w="1332" w:type="dxa"/>
            <w:tcBorders>
              <w:top w:val="nil"/>
              <w:left w:val="nil"/>
              <w:bottom w:val="nil"/>
              <w:right w:val="nil"/>
            </w:tcBorders>
            <w:shd w:val="clear" w:color="auto" w:fill="auto"/>
            <w:noWrap/>
            <w:vAlign w:val="bottom"/>
          </w:tcPr>
          <w:p w14:paraId="763E3679" w14:textId="3FE5BD91" w:rsidR="002C691C" w:rsidRPr="00535F46" w:rsidRDefault="002C691C" w:rsidP="002C691C">
            <w:pPr>
              <w:spacing w:after="0" w:line="240" w:lineRule="exact"/>
              <w:jc w:val="right"/>
              <w:rPr>
                <w:rFonts w:cs="Arial"/>
                <w:sz w:val="18"/>
                <w:szCs w:val="18"/>
              </w:rPr>
            </w:pPr>
            <w:r w:rsidRPr="00312975">
              <w:rPr>
                <w:rFonts w:cs="Arial"/>
                <w:sz w:val="18"/>
                <w:szCs w:val="18"/>
              </w:rPr>
              <w:t xml:space="preserve"> - </w:t>
            </w:r>
          </w:p>
        </w:tc>
        <w:tc>
          <w:tcPr>
            <w:tcW w:w="1503" w:type="dxa"/>
            <w:tcBorders>
              <w:top w:val="nil"/>
              <w:left w:val="nil"/>
              <w:bottom w:val="nil"/>
              <w:right w:val="nil"/>
            </w:tcBorders>
            <w:shd w:val="clear" w:color="auto" w:fill="auto"/>
            <w:noWrap/>
            <w:vAlign w:val="bottom"/>
          </w:tcPr>
          <w:p w14:paraId="4BBCC6AD" w14:textId="6BA63126" w:rsidR="002C691C" w:rsidRPr="00535F46" w:rsidRDefault="002C691C" w:rsidP="002C691C">
            <w:pPr>
              <w:spacing w:after="0" w:line="240" w:lineRule="exact"/>
              <w:jc w:val="right"/>
              <w:rPr>
                <w:rFonts w:cs="Arial"/>
                <w:sz w:val="18"/>
                <w:szCs w:val="18"/>
              </w:rPr>
            </w:pPr>
            <w:r w:rsidRPr="00312975">
              <w:rPr>
                <w:rFonts w:cs="Arial"/>
                <w:sz w:val="18"/>
                <w:szCs w:val="18"/>
              </w:rPr>
              <w:t xml:space="preserve"> 3.356 </w:t>
            </w:r>
          </w:p>
        </w:tc>
        <w:tc>
          <w:tcPr>
            <w:tcW w:w="1162" w:type="dxa"/>
            <w:tcBorders>
              <w:top w:val="nil"/>
              <w:left w:val="nil"/>
              <w:bottom w:val="nil"/>
              <w:right w:val="nil"/>
            </w:tcBorders>
            <w:shd w:val="clear" w:color="auto" w:fill="auto"/>
            <w:noWrap/>
            <w:vAlign w:val="bottom"/>
          </w:tcPr>
          <w:p w14:paraId="241ECB78" w14:textId="61B877F6" w:rsidR="002C691C" w:rsidRPr="00535F46" w:rsidRDefault="00967C43" w:rsidP="002C691C">
            <w:pPr>
              <w:spacing w:after="0"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4C706E4B" w14:textId="7CDF0DA0" w:rsidR="002C691C" w:rsidRPr="00535F46" w:rsidRDefault="00967C43" w:rsidP="002C691C">
            <w:pPr>
              <w:spacing w:after="0"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104419D3" w14:textId="141ABD98" w:rsidR="002C691C" w:rsidRPr="00535F46" w:rsidRDefault="002C691C" w:rsidP="002C691C">
            <w:pPr>
              <w:spacing w:after="0" w:line="240" w:lineRule="exact"/>
              <w:jc w:val="right"/>
              <w:rPr>
                <w:rFonts w:cs="Arial"/>
                <w:sz w:val="18"/>
                <w:szCs w:val="18"/>
              </w:rPr>
            </w:pPr>
            <w:r w:rsidRPr="00312975">
              <w:rPr>
                <w:rFonts w:cs="Arial"/>
                <w:sz w:val="18"/>
                <w:szCs w:val="18"/>
              </w:rPr>
              <w:t>3.356</w:t>
            </w:r>
          </w:p>
        </w:tc>
      </w:tr>
      <w:tr w:rsidR="002C691C" w:rsidRPr="00535F46" w14:paraId="783B08C2" w14:textId="77777777" w:rsidTr="00312975">
        <w:trPr>
          <w:trHeight w:val="300"/>
        </w:trPr>
        <w:tc>
          <w:tcPr>
            <w:tcW w:w="3085" w:type="dxa"/>
            <w:tcBorders>
              <w:top w:val="nil"/>
              <w:left w:val="nil"/>
              <w:right w:val="nil"/>
            </w:tcBorders>
            <w:shd w:val="clear" w:color="auto" w:fill="auto"/>
            <w:vAlign w:val="bottom"/>
          </w:tcPr>
          <w:p w14:paraId="4518628F" w14:textId="77777777" w:rsidR="002C691C" w:rsidRPr="00535F46" w:rsidRDefault="002C691C" w:rsidP="002C691C">
            <w:pPr>
              <w:spacing w:after="0" w:line="240" w:lineRule="exact"/>
              <w:rPr>
                <w:rFonts w:cs="Arial"/>
                <w:sz w:val="18"/>
                <w:szCs w:val="18"/>
              </w:rPr>
            </w:pPr>
            <w:r w:rsidRPr="00535F46">
              <w:rPr>
                <w:rFonts w:cs="Arial"/>
                <w:sz w:val="18"/>
                <w:szCs w:val="18"/>
              </w:rPr>
              <w:t>Ostali prihodi</w:t>
            </w:r>
          </w:p>
        </w:tc>
        <w:tc>
          <w:tcPr>
            <w:tcW w:w="1332" w:type="dxa"/>
            <w:tcBorders>
              <w:top w:val="nil"/>
              <w:left w:val="nil"/>
              <w:bottom w:val="single" w:sz="2" w:space="0" w:color="auto"/>
              <w:right w:val="nil"/>
            </w:tcBorders>
            <w:shd w:val="clear" w:color="auto" w:fill="auto"/>
            <w:noWrap/>
            <w:vAlign w:val="bottom"/>
          </w:tcPr>
          <w:p w14:paraId="5389EF80" w14:textId="60E83D78" w:rsidR="002C691C" w:rsidRPr="00535F46" w:rsidRDefault="002C691C" w:rsidP="002C691C">
            <w:pPr>
              <w:spacing w:after="0" w:line="240" w:lineRule="exact"/>
              <w:jc w:val="right"/>
              <w:rPr>
                <w:rFonts w:cs="Arial"/>
                <w:sz w:val="18"/>
                <w:szCs w:val="18"/>
              </w:rPr>
            </w:pPr>
            <w:r w:rsidRPr="00312975">
              <w:rPr>
                <w:rFonts w:cs="Arial"/>
                <w:sz w:val="18"/>
                <w:szCs w:val="18"/>
              </w:rPr>
              <w:t xml:space="preserve"> 4.970 </w:t>
            </w:r>
          </w:p>
        </w:tc>
        <w:tc>
          <w:tcPr>
            <w:tcW w:w="1503" w:type="dxa"/>
            <w:tcBorders>
              <w:top w:val="nil"/>
              <w:left w:val="nil"/>
              <w:bottom w:val="single" w:sz="2" w:space="0" w:color="auto"/>
              <w:right w:val="nil"/>
            </w:tcBorders>
            <w:shd w:val="clear" w:color="auto" w:fill="auto"/>
            <w:noWrap/>
            <w:vAlign w:val="bottom"/>
          </w:tcPr>
          <w:p w14:paraId="6DB5DC63" w14:textId="488B08D9" w:rsidR="002C691C" w:rsidRPr="00535F46" w:rsidRDefault="002C691C" w:rsidP="002C691C">
            <w:pPr>
              <w:spacing w:after="0" w:line="240" w:lineRule="exact"/>
              <w:jc w:val="right"/>
              <w:rPr>
                <w:rFonts w:cs="Arial"/>
                <w:sz w:val="18"/>
                <w:szCs w:val="18"/>
              </w:rPr>
            </w:pPr>
            <w:r w:rsidRPr="00312975">
              <w:rPr>
                <w:rFonts w:cs="Arial"/>
                <w:sz w:val="18"/>
                <w:szCs w:val="18"/>
              </w:rPr>
              <w:t xml:space="preserve"> 42 </w:t>
            </w:r>
          </w:p>
        </w:tc>
        <w:tc>
          <w:tcPr>
            <w:tcW w:w="1162" w:type="dxa"/>
            <w:tcBorders>
              <w:top w:val="nil"/>
              <w:left w:val="nil"/>
              <w:bottom w:val="single" w:sz="2" w:space="0" w:color="auto"/>
              <w:right w:val="nil"/>
            </w:tcBorders>
            <w:shd w:val="clear" w:color="auto" w:fill="auto"/>
            <w:noWrap/>
            <w:vAlign w:val="bottom"/>
          </w:tcPr>
          <w:p w14:paraId="74D4A877" w14:textId="18DF4806" w:rsidR="002C691C" w:rsidRPr="00535F46" w:rsidRDefault="002C691C" w:rsidP="002C691C">
            <w:pPr>
              <w:spacing w:after="0" w:line="240" w:lineRule="exact"/>
              <w:jc w:val="right"/>
              <w:rPr>
                <w:rFonts w:cs="Arial"/>
                <w:sz w:val="18"/>
                <w:szCs w:val="18"/>
              </w:rPr>
            </w:pPr>
            <w:r w:rsidRPr="00312975">
              <w:rPr>
                <w:rFonts w:cs="Arial"/>
                <w:sz w:val="18"/>
                <w:szCs w:val="18"/>
              </w:rPr>
              <w:t xml:space="preserve"> 140 </w:t>
            </w:r>
          </w:p>
        </w:tc>
        <w:tc>
          <w:tcPr>
            <w:tcW w:w="1332" w:type="dxa"/>
            <w:tcBorders>
              <w:top w:val="nil"/>
              <w:left w:val="nil"/>
              <w:bottom w:val="single" w:sz="2" w:space="0" w:color="auto"/>
              <w:right w:val="nil"/>
            </w:tcBorders>
            <w:shd w:val="clear" w:color="auto" w:fill="auto"/>
            <w:noWrap/>
            <w:vAlign w:val="bottom"/>
          </w:tcPr>
          <w:p w14:paraId="1D4FC9A7" w14:textId="48DAC3D4" w:rsidR="002C691C" w:rsidRPr="00535F46" w:rsidRDefault="00E656D4" w:rsidP="002C691C">
            <w:pPr>
              <w:spacing w:after="0" w:line="240" w:lineRule="exact"/>
              <w:jc w:val="right"/>
              <w:rPr>
                <w:rFonts w:cs="Arial"/>
                <w:sz w:val="18"/>
                <w:szCs w:val="18"/>
              </w:rPr>
            </w:pPr>
            <w:r>
              <w:rPr>
                <w:rFonts w:cs="Arial"/>
                <w:sz w:val="18"/>
                <w:szCs w:val="18"/>
              </w:rPr>
              <w:t>(</w:t>
            </w:r>
            <w:r w:rsidR="002C691C" w:rsidRPr="00312975">
              <w:rPr>
                <w:rFonts w:cs="Arial"/>
                <w:sz w:val="18"/>
                <w:szCs w:val="18"/>
              </w:rPr>
              <w:t>146</w:t>
            </w:r>
            <w:r>
              <w:rPr>
                <w:rFonts w:cs="Arial"/>
                <w:sz w:val="18"/>
                <w:szCs w:val="18"/>
              </w:rPr>
              <w:t>)</w:t>
            </w:r>
          </w:p>
        </w:tc>
        <w:tc>
          <w:tcPr>
            <w:tcW w:w="1333" w:type="dxa"/>
            <w:tcBorders>
              <w:top w:val="nil"/>
              <w:left w:val="nil"/>
              <w:bottom w:val="single" w:sz="2" w:space="0" w:color="auto"/>
              <w:right w:val="nil"/>
            </w:tcBorders>
            <w:shd w:val="clear" w:color="auto" w:fill="auto"/>
            <w:noWrap/>
            <w:vAlign w:val="bottom"/>
          </w:tcPr>
          <w:p w14:paraId="18F7DF37" w14:textId="0B9777F5" w:rsidR="002C691C" w:rsidRPr="00535F46" w:rsidRDefault="002C691C" w:rsidP="002C691C">
            <w:pPr>
              <w:spacing w:after="0" w:line="240" w:lineRule="exact"/>
              <w:jc w:val="right"/>
              <w:rPr>
                <w:rFonts w:cs="Arial"/>
                <w:sz w:val="18"/>
                <w:szCs w:val="18"/>
              </w:rPr>
            </w:pPr>
            <w:r w:rsidRPr="00312975">
              <w:rPr>
                <w:rFonts w:cs="Arial"/>
                <w:sz w:val="18"/>
                <w:szCs w:val="18"/>
              </w:rPr>
              <w:t>5.006</w:t>
            </w:r>
          </w:p>
        </w:tc>
      </w:tr>
      <w:tr w:rsidR="002C691C" w:rsidRPr="00535F46" w14:paraId="1DB4A726" w14:textId="77777777" w:rsidTr="00312975">
        <w:trPr>
          <w:trHeight w:val="300"/>
        </w:trPr>
        <w:tc>
          <w:tcPr>
            <w:tcW w:w="3085" w:type="dxa"/>
            <w:tcBorders>
              <w:left w:val="nil"/>
              <w:right w:val="nil"/>
            </w:tcBorders>
            <w:shd w:val="clear" w:color="auto" w:fill="auto"/>
            <w:vAlign w:val="bottom"/>
          </w:tcPr>
          <w:p w14:paraId="0BCBFB22" w14:textId="77777777" w:rsidR="002C691C" w:rsidRPr="00535F46" w:rsidRDefault="002C691C" w:rsidP="002C691C">
            <w:pPr>
              <w:spacing w:after="0" w:line="240" w:lineRule="exact"/>
              <w:rPr>
                <w:rFonts w:cs="Arial"/>
                <w:sz w:val="18"/>
                <w:szCs w:val="18"/>
              </w:rPr>
            </w:pPr>
            <w:r w:rsidRPr="00535F46">
              <w:rPr>
                <w:rFonts w:cs="Arial"/>
                <w:b/>
                <w:bCs/>
                <w:sz w:val="18"/>
                <w:szCs w:val="18"/>
              </w:rPr>
              <w:t>Prihod iz poslovanja</w:t>
            </w:r>
          </w:p>
        </w:tc>
        <w:tc>
          <w:tcPr>
            <w:tcW w:w="1332" w:type="dxa"/>
            <w:tcBorders>
              <w:top w:val="single" w:sz="8" w:space="0" w:color="auto"/>
              <w:left w:val="nil"/>
              <w:bottom w:val="single" w:sz="8" w:space="0" w:color="auto"/>
              <w:right w:val="nil"/>
            </w:tcBorders>
            <w:shd w:val="clear" w:color="auto" w:fill="auto"/>
            <w:noWrap/>
            <w:vAlign w:val="bottom"/>
          </w:tcPr>
          <w:p w14:paraId="2B6DF62F" w14:textId="4CE1A09C" w:rsidR="002C691C" w:rsidRPr="002C691C" w:rsidRDefault="002C691C" w:rsidP="002C691C">
            <w:pPr>
              <w:spacing w:after="0" w:line="240" w:lineRule="exact"/>
              <w:jc w:val="right"/>
              <w:rPr>
                <w:rFonts w:cs="Arial"/>
                <w:b/>
                <w:sz w:val="18"/>
                <w:szCs w:val="18"/>
              </w:rPr>
            </w:pPr>
            <w:r w:rsidRPr="00312975">
              <w:rPr>
                <w:rFonts w:cs="Arial"/>
                <w:b/>
                <w:sz w:val="18"/>
                <w:szCs w:val="18"/>
              </w:rPr>
              <w:t>246.638</w:t>
            </w:r>
          </w:p>
        </w:tc>
        <w:tc>
          <w:tcPr>
            <w:tcW w:w="1503" w:type="dxa"/>
            <w:tcBorders>
              <w:top w:val="single" w:sz="8" w:space="0" w:color="auto"/>
              <w:left w:val="nil"/>
              <w:bottom w:val="single" w:sz="8" w:space="0" w:color="auto"/>
              <w:right w:val="nil"/>
            </w:tcBorders>
            <w:shd w:val="clear" w:color="auto" w:fill="auto"/>
            <w:noWrap/>
            <w:vAlign w:val="bottom"/>
          </w:tcPr>
          <w:p w14:paraId="348A30B5" w14:textId="06DB59C4" w:rsidR="002C691C" w:rsidRPr="002C691C" w:rsidRDefault="002C691C" w:rsidP="002C691C">
            <w:pPr>
              <w:spacing w:after="0" w:line="240" w:lineRule="exact"/>
              <w:jc w:val="right"/>
              <w:rPr>
                <w:rFonts w:cs="Arial"/>
                <w:b/>
                <w:sz w:val="18"/>
                <w:szCs w:val="18"/>
              </w:rPr>
            </w:pPr>
            <w:r w:rsidRPr="00312975">
              <w:rPr>
                <w:rFonts w:cs="Arial"/>
                <w:b/>
                <w:sz w:val="18"/>
                <w:szCs w:val="18"/>
              </w:rPr>
              <w:t>4.651</w:t>
            </w:r>
          </w:p>
        </w:tc>
        <w:tc>
          <w:tcPr>
            <w:tcW w:w="1162" w:type="dxa"/>
            <w:tcBorders>
              <w:top w:val="single" w:sz="8" w:space="0" w:color="auto"/>
              <w:left w:val="nil"/>
              <w:bottom w:val="single" w:sz="8" w:space="0" w:color="auto"/>
              <w:right w:val="nil"/>
            </w:tcBorders>
            <w:shd w:val="clear" w:color="auto" w:fill="auto"/>
            <w:noWrap/>
            <w:vAlign w:val="bottom"/>
          </w:tcPr>
          <w:p w14:paraId="347B5C1B" w14:textId="280F668F" w:rsidR="002C691C" w:rsidRPr="002C691C" w:rsidRDefault="002C691C" w:rsidP="002C691C">
            <w:pPr>
              <w:spacing w:after="0" w:line="240" w:lineRule="exact"/>
              <w:jc w:val="right"/>
              <w:rPr>
                <w:rFonts w:cs="Arial"/>
                <w:b/>
                <w:sz w:val="18"/>
                <w:szCs w:val="18"/>
              </w:rPr>
            </w:pPr>
            <w:r w:rsidRPr="00312975">
              <w:rPr>
                <w:rFonts w:cs="Arial"/>
                <w:b/>
                <w:sz w:val="18"/>
                <w:szCs w:val="18"/>
              </w:rPr>
              <w:t>761</w:t>
            </w:r>
          </w:p>
        </w:tc>
        <w:tc>
          <w:tcPr>
            <w:tcW w:w="1332" w:type="dxa"/>
            <w:tcBorders>
              <w:top w:val="single" w:sz="8" w:space="0" w:color="auto"/>
              <w:left w:val="nil"/>
              <w:bottom w:val="single" w:sz="8" w:space="0" w:color="auto"/>
              <w:right w:val="nil"/>
            </w:tcBorders>
            <w:shd w:val="clear" w:color="auto" w:fill="auto"/>
            <w:noWrap/>
            <w:vAlign w:val="bottom"/>
          </w:tcPr>
          <w:p w14:paraId="7B89552A" w14:textId="71DE31D2" w:rsidR="002C691C" w:rsidRPr="002C691C" w:rsidRDefault="00E656D4" w:rsidP="002C691C">
            <w:pPr>
              <w:spacing w:after="0" w:line="240" w:lineRule="exact"/>
              <w:jc w:val="right"/>
              <w:rPr>
                <w:rFonts w:cs="Arial"/>
                <w:b/>
                <w:sz w:val="18"/>
                <w:szCs w:val="18"/>
              </w:rPr>
            </w:pPr>
            <w:r>
              <w:rPr>
                <w:rFonts w:cs="Arial"/>
                <w:b/>
                <w:sz w:val="18"/>
                <w:szCs w:val="18"/>
              </w:rPr>
              <w:t>(</w:t>
            </w:r>
            <w:r w:rsidR="002C691C" w:rsidRPr="00312975">
              <w:rPr>
                <w:rFonts w:cs="Arial"/>
                <w:b/>
                <w:sz w:val="18"/>
                <w:szCs w:val="18"/>
              </w:rPr>
              <w:t>146</w:t>
            </w:r>
            <w:r>
              <w:rPr>
                <w:rFonts w:cs="Arial"/>
                <w:b/>
                <w:sz w:val="18"/>
                <w:szCs w:val="18"/>
              </w:rPr>
              <w:t>)</w:t>
            </w:r>
          </w:p>
        </w:tc>
        <w:tc>
          <w:tcPr>
            <w:tcW w:w="1333" w:type="dxa"/>
            <w:tcBorders>
              <w:top w:val="single" w:sz="8" w:space="0" w:color="auto"/>
              <w:left w:val="nil"/>
              <w:bottom w:val="single" w:sz="8" w:space="0" w:color="auto"/>
              <w:right w:val="nil"/>
            </w:tcBorders>
            <w:shd w:val="clear" w:color="auto" w:fill="auto"/>
            <w:noWrap/>
            <w:vAlign w:val="bottom"/>
          </w:tcPr>
          <w:p w14:paraId="5E9538E6" w14:textId="742A3621" w:rsidR="002C691C" w:rsidRPr="002C691C" w:rsidRDefault="002C691C" w:rsidP="002C691C">
            <w:pPr>
              <w:spacing w:after="0" w:line="240" w:lineRule="exact"/>
              <w:jc w:val="right"/>
              <w:rPr>
                <w:rFonts w:cs="Arial"/>
                <w:b/>
                <w:sz w:val="18"/>
                <w:szCs w:val="18"/>
              </w:rPr>
            </w:pPr>
            <w:r w:rsidRPr="00312975">
              <w:rPr>
                <w:rFonts w:cs="Arial"/>
                <w:b/>
                <w:sz w:val="18"/>
                <w:szCs w:val="18"/>
              </w:rPr>
              <w:t>251.904</w:t>
            </w:r>
          </w:p>
        </w:tc>
      </w:tr>
      <w:tr w:rsidR="00252ABE" w:rsidRPr="00535F46" w14:paraId="244A9A68" w14:textId="77777777" w:rsidTr="00F1130C">
        <w:trPr>
          <w:trHeight w:val="300"/>
        </w:trPr>
        <w:tc>
          <w:tcPr>
            <w:tcW w:w="3085" w:type="dxa"/>
            <w:tcBorders>
              <w:left w:val="nil"/>
              <w:bottom w:val="nil"/>
              <w:right w:val="nil"/>
            </w:tcBorders>
            <w:shd w:val="clear" w:color="auto" w:fill="auto"/>
            <w:vAlign w:val="bottom"/>
          </w:tcPr>
          <w:p w14:paraId="367D1D3E" w14:textId="77777777" w:rsidR="00252ABE" w:rsidRPr="00535F46" w:rsidRDefault="00252ABE" w:rsidP="00252ABE">
            <w:pPr>
              <w:spacing w:after="0" w:line="240" w:lineRule="exact"/>
              <w:rPr>
                <w:rFonts w:cs="Arial"/>
                <w:b/>
                <w:bCs/>
                <w:sz w:val="18"/>
                <w:szCs w:val="18"/>
              </w:rPr>
            </w:pPr>
          </w:p>
        </w:tc>
        <w:tc>
          <w:tcPr>
            <w:tcW w:w="1332" w:type="dxa"/>
            <w:tcBorders>
              <w:top w:val="nil"/>
              <w:left w:val="nil"/>
              <w:bottom w:val="nil"/>
              <w:right w:val="nil"/>
            </w:tcBorders>
            <w:shd w:val="clear" w:color="auto" w:fill="auto"/>
            <w:noWrap/>
            <w:vAlign w:val="bottom"/>
          </w:tcPr>
          <w:p w14:paraId="78D7B574" w14:textId="77777777" w:rsidR="00252ABE" w:rsidRPr="00535F46" w:rsidRDefault="00252ABE" w:rsidP="00252ABE">
            <w:pPr>
              <w:spacing w:after="0" w:line="24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06590C7E" w14:textId="77777777" w:rsidR="00252ABE" w:rsidRPr="00535F46" w:rsidRDefault="00252ABE" w:rsidP="00252ABE">
            <w:pPr>
              <w:spacing w:after="0" w:line="24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2141003D" w14:textId="77777777" w:rsidR="00252ABE" w:rsidRPr="00535F46" w:rsidRDefault="00252ABE" w:rsidP="00252ABE">
            <w:pPr>
              <w:spacing w:after="0" w:line="24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55B2DC0E" w14:textId="77777777" w:rsidR="00252ABE" w:rsidRPr="00535F46" w:rsidRDefault="00252ABE" w:rsidP="00252ABE">
            <w:pPr>
              <w:spacing w:after="0" w:line="24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49B0F242" w14:textId="77777777" w:rsidR="00252ABE" w:rsidRPr="00535F46" w:rsidRDefault="00252ABE" w:rsidP="00252ABE">
            <w:pPr>
              <w:spacing w:after="0" w:line="240" w:lineRule="exact"/>
              <w:jc w:val="right"/>
              <w:rPr>
                <w:rFonts w:cs="Arial"/>
                <w:b/>
                <w:bCs/>
                <w:sz w:val="18"/>
                <w:szCs w:val="18"/>
              </w:rPr>
            </w:pPr>
          </w:p>
        </w:tc>
      </w:tr>
      <w:tr w:rsidR="002C691C" w:rsidRPr="00535F46" w14:paraId="43638751" w14:textId="77777777" w:rsidTr="00312975">
        <w:trPr>
          <w:trHeight w:val="60"/>
        </w:trPr>
        <w:tc>
          <w:tcPr>
            <w:tcW w:w="3085" w:type="dxa"/>
            <w:tcBorders>
              <w:top w:val="nil"/>
              <w:left w:val="nil"/>
              <w:bottom w:val="nil"/>
              <w:right w:val="nil"/>
            </w:tcBorders>
            <w:shd w:val="clear" w:color="auto" w:fill="auto"/>
            <w:vAlign w:val="bottom"/>
          </w:tcPr>
          <w:p w14:paraId="5D1245BF" w14:textId="77777777" w:rsidR="002C691C" w:rsidRPr="00535F46" w:rsidRDefault="002C691C" w:rsidP="002C691C">
            <w:pPr>
              <w:spacing w:after="0" w:line="240" w:lineRule="exact"/>
              <w:rPr>
                <w:rFonts w:cs="Arial"/>
                <w:sz w:val="18"/>
                <w:szCs w:val="18"/>
              </w:rPr>
            </w:pPr>
            <w:r w:rsidRPr="00535F46">
              <w:rPr>
                <w:rFonts w:cs="Arial"/>
                <w:sz w:val="18"/>
                <w:szCs w:val="18"/>
              </w:rPr>
              <w:t>Operativni troškovi</w:t>
            </w:r>
          </w:p>
        </w:tc>
        <w:tc>
          <w:tcPr>
            <w:tcW w:w="1332" w:type="dxa"/>
            <w:tcBorders>
              <w:top w:val="nil"/>
              <w:left w:val="nil"/>
              <w:bottom w:val="nil"/>
              <w:right w:val="nil"/>
            </w:tcBorders>
            <w:shd w:val="clear" w:color="auto" w:fill="auto"/>
            <w:noWrap/>
            <w:vAlign w:val="bottom"/>
          </w:tcPr>
          <w:p w14:paraId="210A928C" w14:textId="126B7F1C" w:rsidR="002C691C" w:rsidRPr="00535F46" w:rsidRDefault="002C691C" w:rsidP="002C691C">
            <w:pPr>
              <w:spacing w:after="0" w:line="240" w:lineRule="exact"/>
              <w:jc w:val="right"/>
              <w:rPr>
                <w:rFonts w:cs="Arial"/>
                <w:sz w:val="18"/>
                <w:szCs w:val="18"/>
              </w:rPr>
            </w:pPr>
            <w:r w:rsidRPr="00312975">
              <w:rPr>
                <w:rFonts w:cs="Arial"/>
                <w:sz w:val="18"/>
                <w:szCs w:val="18"/>
              </w:rPr>
              <w:t xml:space="preserve"> (74.132)</w:t>
            </w:r>
          </w:p>
        </w:tc>
        <w:tc>
          <w:tcPr>
            <w:tcW w:w="1503" w:type="dxa"/>
            <w:tcBorders>
              <w:top w:val="nil"/>
              <w:left w:val="nil"/>
              <w:bottom w:val="nil"/>
              <w:right w:val="nil"/>
            </w:tcBorders>
            <w:shd w:val="clear" w:color="auto" w:fill="auto"/>
            <w:noWrap/>
            <w:vAlign w:val="bottom"/>
          </w:tcPr>
          <w:p w14:paraId="2DA4B663" w14:textId="40F81709" w:rsidR="002C691C" w:rsidRPr="00535F46" w:rsidRDefault="002C691C" w:rsidP="002C691C">
            <w:pPr>
              <w:spacing w:after="0" w:line="240" w:lineRule="exact"/>
              <w:jc w:val="right"/>
              <w:rPr>
                <w:rFonts w:cs="Arial"/>
                <w:sz w:val="18"/>
                <w:szCs w:val="18"/>
              </w:rPr>
            </w:pPr>
            <w:r w:rsidRPr="00312975">
              <w:rPr>
                <w:rFonts w:cs="Arial"/>
                <w:sz w:val="18"/>
                <w:szCs w:val="18"/>
              </w:rPr>
              <w:t xml:space="preserve"> (2.752)</w:t>
            </w:r>
          </w:p>
        </w:tc>
        <w:tc>
          <w:tcPr>
            <w:tcW w:w="1162" w:type="dxa"/>
            <w:tcBorders>
              <w:top w:val="nil"/>
              <w:left w:val="nil"/>
              <w:bottom w:val="nil"/>
              <w:right w:val="nil"/>
            </w:tcBorders>
            <w:shd w:val="clear" w:color="auto" w:fill="auto"/>
            <w:noWrap/>
            <w:vAlign w:val="bottom"/>
          </w:tcPr>
          <w:p w14:paraId="22F5D047" w14:textId="08988126" w:rsidR="002C691C" w:rsidRPr="00535F46" w:rsidRDefault="002C691C" w:rsidP="002C691C">
            <w:pPr>
              <w:spacing w:after="0" w:line="240" w:lineRule="exact"/>
              <w:jc w:val="right"/>
              <w:rPr>
                <w:rFonts w:cs="Arial"/>
                <w:sz w:val="18"/>
                <w:szCs w:val="18"/>
              </w:rPr>
            </w:pPr>
            <w:r w:rsidRPr="00312975">
              <w:rPr>
                <w:rFonts w:cs="Arial"/>
                <w:sz w:val="18"/>
                <w:szCs w:val="18"/>
              </w:rPr>
              <w:t xml:space="preserve"> (553)</w:t>
            </w:r>
          </w:p>
        </w:tc>
        <w:tc>
          <w:tcPr>
            <w:tcW w:w="1332" w:type="dxa"/>
            <w:tcBorders>
              <w:top w:val="nil"/>
              <w:left w:val="nil"/>
              <w:bottom w:val="nil"/>
              <w:right w:val="nil"/>
            </w:tcBorders>
            <w:shd w:val="clear" w:color="auto" w:fill="auto"/>
            <w:noWrap/>
            <w:vAlign w:val="bottom"/>
          </w:tcPr>
          <w:p w14:paraId="4B44053D" w14:textId="5D9F5037" w:rsidR="002C691C" w:rsidRPr="00535F46" w:rsidRDefault="002C691C" w:rsidP="002C691C">
            <w:pPr>
              <w:spacing w:after="0" w:line="240" w:lineRule="exact"/>
              <w:jc w:val="right"/>
              <w:rPr>
                <w:rFonts w:cs="Arial"/>
                <w:sz w:val="18"/>
                <w:szCs w:val="18"/>
              </w:rPr>
            </w:pPr>
            <w:r w:rsidRPr="00312975">
              <w:rPr>
                <w:rFonts w:cs="Arial"/>
                <w:sz w:val="18"/>
                <w:szCs w:val="18"/>
              </w:rPr>
              <w:t xml:space="preserve"> 146 </w:t>
            </w:r>
          </w:p>
        </w:tc>
        <w:tc>
          <w:tcPr>
            <w:tcW w:w="1333" w:type="dxa"/>
            <w:tcBorders>
              <w:top w:val="nil"/>
              <w:left w:val="nil"/>
              <w:bottom w:val="nil"/>
              <w:right w:val="nil"/>
            </w:tcBorders>
            <w:shd w:val="clear" w:color="auto" w:fill="auto"/>
            <w:noWrap/>
            <w:vAlign w:val="bottom"/>
          </w:tcPr>
          <w:p w14:paraId="0B89E003" w14:textId="43D53DC6" w:rsidR="002C691C" w:rsidRPr="00535F46" w:rsidRDefault="002C691C" w:rsidP="002C691C">
            <w:pPr>
              <w:spacing w:after="0" w:line="240" w:lineRule="exact"/>
              <w:jc w:val="right"/>
              <w:rPr>
                <w:rFonts w:cs="Arial"/>
                <w:sz w:val="18"/>
                <w:szCs w:val="18"/>
              </w:rPr>
            </w:pPr>
            <w:r w:rsidRPr="00312975">
              <w:rPr>
                <w:rFonts w:cs="Arial"/>
                <w:sz w:val="18"/>
                <w:szCs w:val="18"/>
              </w:rPr>
              <w:t xml:space="preserve"> (77.291)</w:t>
            </w:r>
          </w:p>
        </w:tc>
      </w:tr>
      <w:tr w:rsidR="002C691C" w:rsidRPr="00535F46" w14:paraId="07BDB79C" w14:textId="77777777" w:rsidTr="00312975">
        <w:trPr>
          <w:trHeight w:val="300"/>
        </w:trPr>
        <w:tc>
          <w:tcPr>
            <w:tcW w:w="3085" w:type="dxa"/>
            <w:tcBorders>
              <w:top w:val="nil"/>
              <w:left w:val="nil"/>
              <w:bottom w:val="nil"/>
              <w:right w:val="nil"/>
            </w:tcBorders>
            <w:shd w:val="clear" w:color="auto" w:fill="auto"/>
            <w:vAlign w:val="bottom"/>
          </w:tcPr>
          <w:p w14:paraId="5C4AF90E" w14:textId="77777777" w:rsidR="002C691C" w:rsidRPr="00535F46" w:rsidRDefault="002C691C" w:rsidP="002C691C">
            <w:pPr>
              <w:spacing w:after="0" w:line="240" w:lineRule="exact"/>
              <w:rPr>
                <w:rFonts w:cs="Arial"/>
                <w:sz w:val="18"/>
                <w:szCs w:val="18"/>
              </w:rPr>
            </w:pPr>
            <w:r w:rsidRPr="00535F46">
              <w:rPr>
                <w:rFonts w:cs="Arial"/>
                <w:sz w:val="18"/>
                <w:szCs w:val="18"/>
              </w:rPr>
              <w:t>Gubitak od umanjenja vrijednosti i rezerviranja</w:t>
            </w:r>
          </w:p>
        </w:tc>
        <w:tc>
          <w:tcPr>
            <w:tcW w:w="1332" w:type="dxa"/>
            <w:tcBorders>
              <w:top w:val="nil"/>
              <w:left w:val="nil"/>
              <w:bottom w:val="nil"/>
              <w:right w:val="nil"/>
            </w:tcBorders>
            <w:shd w:val="clear" w:color="auto" w:fill="auto"/>
            <w:noWrap/>
            <w:vAlign w:val="bottom"/>
          </w:tcPr>
          <w:p w14:paraId="434164A1" w14:textId="66AFAF11" w:rsidR="002C691C" w:rsidRPr="00535F46" w:rsidRDefault="002C691C" w:rsidP="00257CDB">
            <w:pPr>
              <w:spacing w:after="0" w:line="240" w:lineRule="exact"/>
              <w:jc w:val="right"/>
              <w:rPr>
                <w:rFonts w:cs="Arial"/>
                <w:sz w:val="18"/>
                <w:szCs w:val="18"/>
              </w:rPr>
            </w:pPr>
            <w:r w:rsidRPr="00312975">
              <w:rPr>
                <w:rFonts w:cs="Arial"/>
                <w:sz w:val="18"/>
                <w:szCs w:val="18"/>
              </w:rPr>
              <w:t xml:space="preserve"> (43.150)</w:t>
            </w:r>
          </w:p>
        </w:tc>
        <w:tc>
          <w:tcPr>
            <w:tcW w:w="1503" w:type="dxa"/>
            <w:tcBorders>
              <w:top w:val="nil"/>
              <w:left w:val="nil"/>
              <w:bottom w:val="nil"/>
              <w:right w:val="nil"/>
            </w:tcBorders>
            <w:shd w:val="clear" w:color="auto" w:fill="auto"/>
            <w:noWrap/>
            <w:vAlign w:val="bottom"/>
          </w:tcPr>
          <w:p w14:paraId="3EBE4676" w14:textId="7CDC0CB8" w:rsidR="002C691C" w:rsidRPr="00535F46" w:rsidRDefault="002C691C" w:rsidP="002C691C">
            <w:pPr>
              <w:spacing w:after="0" w:line="240" w:lineRule="exact"/>
              <w:jc w:val="right"/>
              <w:rPr>
                <w:rFonts w:cs="Arial"/>
                <w:sz w:val="18"/>
                <w:szCs w:val="18"/>
              </w:rPr>
            </w:pPr>
            <w:r w:rsidRPr="00312975">
              <w:rPr>
                <w:rFonts w:cs="Arial"/>
                <w:sz w:val="18"/>
                <w:szCs w:val="18"/>
              </w:rPr>
              <w:t xml:space="preserve"> 41 </w:t>
            </w:r>
          </w:p>
        </w:tc>
        <w:tc>
          <w:tcPr>
            <w:tcW w:w="1162" w:type="dxa"/>
            <w:tcBorders>
              <w:top w:val="nil"/>
              <w:left w:val="nil"/>
              <w:bottom w:val="nil"/>
              <w:right w:val="nil"/>
            </w:tcBorders>
            <w:shd w:val="clear" w:color="auto" w:fill="auto"/>
            <w:noWrap/>
            <w:vAlign w:val="bottom"/>
          </w:tcPr>
          <w:p w14:paraId="24A1EBC5" w14:textId="20E0DE1D" w:rsidR="002C691C" w:rsidRPr="00535F46" w:rsidRDefault="002C691C" w:rsidP="002C691C">
            <w:pPr>
              <w:spacing w:after="0" w:line="240" w:lineRule="exact"/>
              <w:jc w:val="right"/>
              <w:rPr>
                <w:rFonts w:cs="Arial"/>
                <w:sz w:val="18"/>
                <w:szCs w:val="18"/>
              </w:rPr>
            </w:pPr>
            <w:r w:rsidRPr="00312975">
              <w:rPr>
                <w:rFonts w:cs="Arial"/>
                <w:sz w:val="18"/>
                <w:szCs w:val="18"/>
              </w:rPr>
              <w:t xml:space="preserve"> (16)</w:t>
            </w:r>
          </w:p>
        </w:tc>
        <w:tc>
          <w:tcPr>
            <w:tcW w:w="1332" w:type="dxa"/>
            <w:tcBorders>
              <w:top w:val="nil"/>
              <w:left w:val="nil"/>
              <w:bottom w:val="nil"/>
              <w:right w:val="nil"/>
            </w:tcBorders>
            <w:shd w:val="clear" w:color="auto" w:fill="auto"/>
            <w:noWrap/>
            <w:vAlign w:val="bottom"/>
          </w:tcPr>
          <w:p w14:paraId="72DEA24E" w14:textId="6DB5CE55" w:rsidR="002C691C" w:rsidRPr="00535F46" w:rsidRDefault="002C691C" w:rsidP="002C691C">
            <w:pPr>
              <w:spacing w:after="0" w:line="240" w:lineRule="exact"/>
              <w:jc w:val="right"/>
              <w:rPr>
                <w:rFonts w:cs="Arial"/>
                <w:sz w:val="18"/>
                <w:szCs w:val="18"/>
              </w:rPr>
            </w:pPr>
            <w:r w:rsidRPr="00312975">
              <w:rPr>
                <w:rFonts w:cs="Arial"/>
                <w:sz w:val="18"/>
                <w:szCs w:val="18"/>
              </w:rPr>
              <w:t xml:space="preserve"> - </w:t>
            </w:r>
          </w:p>
        </w:tc>
        <w:tc>
          <w:tcPr>
            <w:tcW w:w="1333" w:type="dxa"/>
            <w:tcBorders>
              <w:top w:val="nil"/>
              <w:left w:val="nil"/>
              <w:bottom w:val="nil"/>
              <w:right w:val="nil"/>
            </w:tcBorders>
            <w:shd w:val="clear" w:color="auto" w:fill="auto"/>
            <w:noWrap/>
            <w:vAlign w:val="bottom"/>
          </w:tcPr>
          <w:p w14:paraId="62057DF3" w14:textId="72B97DE0" w:rsidR="002C691C" w:rsidRPr="00535F46" w:rsidRDefault="002C691C" w:rsidP="002C691C">
            <w:pPr>
              <w:spacing w:after="0" w:line="240" w:lineRule="exact"/>
              <w:jc w:val="right"/>
              <w:rPr>
                <w:rFonts w:cs="Arial"/>
                <w:sz w:val="18"/>
                <w:szCs w:val="18"/>
              </w:rPr>
            </w:pPr>
            <w:r w:rsidRPr="00312975">
              <w:rPr>
                <w:rFonts w:cs="Arial"/>
                <w:sz w:val="18"/>
                <w:szCs w:val="18"/>
              </w:rPr>
              <w:t xml:space="preserve"> (43.125)</w:t>
            </w:r>
          </w:p>
        </w:tc>
      </w:tr>
      <w:tr w:rsidR="002C691C" w:rsidRPr="00535F46" w14:paraId="0DB54263" w14:textId="77777777" w:rsidTr="00312975">
        <w:trPr>
          <w:trHeight w:val="330"/>
        </w:trPr>
        <w:tc>
          <w:tcPr>
            <w:tcW w:w="3085" w:type="dxa"/>
            <w:tcBorders>
              <w:top w:val="nil"/>
              <w:left w:val="nil"/>
              <w:bottom w:val="nil"/>
              <w:right w:val="nil"/>
            </w:tcBorders>
            <w:shd w:val="clear" w:color="auto" w:fill="auto"/>
            <w:vAlign w:val="bottom"/>
          </w:tcPr>
          <w:p w14:paraId="14399778" w14:textId="77777777" w:rsidR="002C691C" w:rsidRPr="00535F46" w:rsidRDefault="002C691C" w:rsidP="002C691C">
            <w:pPr>
              <w:spacing w:after="0" w:line="240" w:lineRule="exact"/>
              <w:rPr>
                <w:rFonts w:cs="Arial"/>
                <w:sz w:val="18"/>
                <w:szCs w:val="18"/>
              </w:rPr>
            </w:pPr>
            <w:r w:rsidRPr="00535F46">
              <w:rPr>
                <w:rFonts w:cs="Arial"/>
                <w:sz w:val="18"/>
                <w:szCs w:val="18"/>
              </w:rPr>
              <w:t>Izdaci za osigurane slučajeve</w:t>
            </w:r>
          </w:p>
        </w:tc>
        <w:tc>
          <w:tcPr>
            <w:tcW w:w="1332" w:type="dxa"/>
            <w:tcBorders>
              <w:top w:val="nil"/>
              <w:left w:val="nil"/>
              <w:bottom w:val="nil"/>
              <w:right w:val="nil"/>
            </w:tcBorders>
            <w:shd w:val="clear" w:color="auto" w:fill="auto"/>
            <w:noWrap/>
            <w:vAlign w:val="bottom"/>
          </w:tcPr>
          <w:p w14:paraId="00748820" w14:textId="511EE2E6" w:rsidR="002C691C" w:rsidRPr="00535F46" w:rsidRDefault="00967C43" w:rsidP="002C691C">
            <w:pPr>
              <w:spacing w:after="0" w:line="240" w:lineRule="exact"/>
              <w:jc w:val="right"/>
              <w:rPr>
                <w:rFonts w:cs="Arial"/>
                <w:sz w:val="18"/>
                <w:szCs w:val="18"/>
              </w:rPr>
            </w:pPr>
            <w:r>
              <w:rPr>
                <w:rFonts w:cs="Arial"/>
                <w:sz w:val="18"/>
                <w:szCs w:val="18"/>
              </w:rPr>
              <w:t>-</w:t>
            </w:r>
          </w:p>
        </w:tc>
        <w:tc>
          <w:tcPr>
            <w:tcW w:w="1503" w:type="dxa"/>
            <w:tcBorders>
              <w:top w:val="nil"/>
              <w:left w:val="nil"/>
              <w:bottom w:val="nil"/>
              <w:right w:val="nil"/>
            </w:tcBorders>
            <w:shd w:val="clear" w:color="auto" w:fill="auto"/>
            <w:noWrap/>
            <w:vAlign w:val="bottom"/>
          </w:tcPr>
          <w:p w14:paraId="1196E994" w14:textId="28F37A62" w:rsidR="002C691C" w:rsidRPr="00535F46" w:rsidRDefault="002C691C" w:rsidP="002C691C">
            <w:pPr>
              <w:spacing w:after="0" w:line="240" w:lineRule="exact"/>
              <w:jc w:val="right"/>
              <w:rPr>
                <w:rFonts w:cs="Arial"/>
                <w:sz w:val="18"/>
                <w:szCs w:val="18"/>
              </w:rPr>
            </w:pPr>
            <w:r w:rsidRPr="00312975">
              <w:rPr>
                <w:rFonts w:cs="Arial"/>
                <w:sz w:val="18"/>
                <w:szCs w:val="18"/>
              </w:rPr>
              <w:t xml:space="preserve"> (69)</w:t>
            </w:r>
          </w:p>
        </w:tc>
        <w:tc>
          <w:tcPr>
            <w:tcW w:w="1162" w:type="dxa"/>
            <w:tcBorders>
              <w:top w:val="nil"/>
              <w:left w:val="nil"/>
              <w:bottom w:val="nil"/>
              <w:right w:val="nil"/>
            </w:tcBorders>
            <w:shd w:val="clear" w:color="auto" w:fill="auto"/>
            <w:noWrap/>
            <w:vAlign w:val="bottom"/>
          </w:tcPr>
          <w:p w14:paraId="658B7DD9" w14:textId="1FAAB980" w:rsidR="002C691C" w:rsidRPr="00535F46" w:rsidRDefault="00967C43" w:rsidP="002C691C">
            <w:pPr>
              <w:spacing w:after="0"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3367E42F" w14:textId="739B2A4E" w:rsidR="002C691C" w:rsidRPr="00535F46" w:rsidRDefault="00967C43" w:rsidP="002C691C">
            <w:pPr>
              <w:spacing w:after="0"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33A9A1E9" w14:textId="22B2E521" w:rsidR="002C691C" w:rsidRPr="00535F46" w:rsidRDefault="002C691C" w:rsidP="002C691C">
            <w:pPr>
              <w:spacing w:after="0" w:line="240" w:lineRule="exact"/>
              <w:jc w:val="right"/>
              <w:rPr>
                <w:rFonts w:cs="Arial"/>
                <w:sz w:val="18"/>
                <w:szCs w:val="18"/>
              </w:rPr>
            </w:pPr>
            <w:r w:rsidRPr="00312975">
              <w:rPr>
                <w:rFonts w:cs="Arial"/>
                <w:sz w:val="18"/>
                <w:szCs w:val="18"/>
              </w:rPr>
              <w:t xml:space="preserve"> (69)</w:t>
            </w:r>
          </w:p>
        </w:tc>
      </w:tr>
      <w:tr w:rsidR="002C691C" w:rsidRPr="00535F46" w14:paraId="0E60C32D" w14:textId="77777777" w:rsidTr="00312975">
        <w:trPr>
          <w:trHeight w:val="310"/>
        </w:trPr>
        <w:tc>
          <w:tcPr>
            <w:tcW w:w="3085" w:type="dxa"/>
            <w:tcBorders>
              <w:top w:val="nil"/>
              <w:left w:val="nil"/>
              <w:bottom w:val="nil"/>
              <w:right w:val="nil"/>
            </w:tcBorders>
            <w:shd w:val="clear" w:color="auto" w:fill="auto"/>
            <w:vAlign w:val="bottom"/>
          </w:tcPr>
          <w:p w14:paraId="7DC0822A" w14:textId="35C60C7D" w:rsidR="002C691C" w:rsidRPr="00535F46" w:rsidRDefault="002C691C" w:rsidP="002C691C">
            <w:pPr>
              <w:spacing w:after="0" w:line="240" w:lineRule="exact"/>
              <w:rPr>
                <w:rFonts w:cs="Arial"/>
                <w:sz w:val="18"/>
                <w:szCs w:val="18"/>
              </w:rPr>
            </w:pPr>
            <w:r w:rsidRPr="00535F46">
              <w:rPr>
                <w:rFonts w:cs="Arial"/>
                <w:sz w:val="18"/>
                <w:szCs w:val="18"/>
              </w:rPr>
              <w:t>Neto promjena pričuva</w:t>
            </w:r>
          </w:p>
        </w:tc>
        <w:tc>
          <w:tcPr>
            <w:tcW w:w="1332" w:type="dxa"/>
            <w:tcBorders>
              <w:top w:val="nil"/>
              <w:left w:val="nil"/>
              <w:bottom w:val="nil"/>
              <w:right w:val="nil"/>
            </w:tcBorders>
            <w:shd w:val="clear" w:color="auto" w:fill="auto"/>
            <w:noWrap/>
            <w:vAlign w:val="bottom"/>
          </w:tcPr>
          <w:p w14:paraId="5D4E79EB" w14:textId="440CE0F4" w:rsidR="002C691C" w:rsidRPr="00535F46" w:rsidRDefault="00967C43" w:rsidP="002C691C">
            <w:pPr>
              <w:spacing w:after="0" w:line="240" w:lineRule="exact"/>
              <w:jc w:val="right"/>
              <w:rPr>
                <w:rFonts w:cs="Arial"/>
                <w:sz w:val="18"/>
                <w:szCs w:val="18"/>
              </w:rPr>
            </w:pPr>
            <w:r>
              <w:rPr>
                <w:rFonts w:cs="Arial"/>
                <w:sz w:val="18"/>
                <w:szCs w:val="18"/>
              </w:rPr>
              <w:t>-</w:t>
            </w:r>
          </w:p>
        </w:tc>
        <w:tc>
          <w:tcPr>
            <w:tcW w:w="1503" w:type="dxa"/>
            <w:tcBorders>
              <w:top w:val="nil"/>
              <w:left w:val="nil"/>
              <w:bottom w:val="nil"/>
              <w:right w:val="nil"/>
            </w:tcBorders>
            <w:shd w:val="clear" w:color="auto" w:fill="auto"/>
            <w:noWrap/>
            <w:vAlign w:val="bottom"/>
          </w:tcPr>
          <w:p w14:paraId="26A82588" w14:textId="3D1ED2CC" w:rsidR="002C691C" w:rsidRPr="00535F46" w:rsidRDefault="002C691C" w:rsidP="002C691C">
            <w:pPr>
              <w:spacing w:after="0" w:line="240" w:lineRule="exact"/>
              <w:jc w:val="right"/>
              <w:rPr>
                <w:rFonts w:cs="Arial"/>
                <w:sz w:val="18"/>
                <w:szCs w:val="18"/>
              </w:rPr>
            </w:pPr>
            <w:r w:rsidRPr="00312975">
              <w:rPr>
                <w:rFonts w:cs="Arial"/>
                <w:sz w:val="18"/>
                <w:szCs w:val="18"/>
              </w:rPr>
              <w:t xml:space="preserve"> (534)</w:t>
            </w:r>
          </w:p>
        </w:tc>
        <w:tc>
          <w:tcPr>
            <w:tcW w:w="1162" w:type="dxa"/>
            <w:tcBorders>
              <w:top w:val="nil"/>
              <w:left w:val="nil"/>
              <w:bottom w:val="nil"/>
              <w:right w:val="nil"/>
            </w:tcBorders>
            <w:shd w:val="clear" w:color="auto" w:fill="auto"/>
            <w:noWrap/>
            <w:vAlign w:val="bottom"/>
          </w:tcPr>
          <w:p w14:paraId="1BB4A13C" w14:textId="6289B400" w:rsidR="002C691C" w:rsidRPr="00535F46" w:rsidRDefault="00967C43" w:rsidP="002C691C">
            <w:pPr>
              <w:spacing w:after="0"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7B9A3191" w14:textId="57CB404F" w:rsidR="002C691C" w:rsidRPr="00535F46" w:rsidRDefault="002C691C" w:rsidP="002C691C">
            <w:pPr>
              <w:spacing w:after="0" w:line="240" w:lineRule="exact"/>
              <w:jc w:val="right"/>
              <w:rPr>
                <w:rFonts w:cs="Arial"/>
                <w:sz w:val="18"/>
                <w:szCs w:val="18"/>
              </w:rPr>
            </w:pPr>
            <w:r w:rsidRPr="00312975">
              <w:rPr>
                <w:rFonts w:cs="Arial"/>
                <w:sz w:val="18"/>
                <w:szCs w:val="18"/>
              </w:rPr>
              <w:t xml:space="preserve"> - </w:t>
            </w:r>
          </w:p>
        </w:tc>
        <w:tc>
          <w:tcPr>
            <w:tcW w:w="1333" w:type="dxa"/>
            <w:tcBorders>
              <w:top w:val="nil"/>
              <w:left w:val="nil"/>
              <w:bottom w:val="nil"/>
              <w:right w:val="nil"/>
            </w:tcBorders>
            <w:shd w:val="clear" w:color="auto" w:fill="auto"/>
            <w:noWrap/>
            <w:vAlign w:val="bottom"/>
          </w:tcPr>
          <w:p w14:paraId="656C7F69" w14:textId="2B6F0E83" w:rsidR="002C691C" w:rsidRPr="00535F46" w:rsidRDefault="002C691C" w:rsidP="002C691C">
            <w:pPr>
              <w:spacing w:after="0" w:line="240" w:lineRule="exact"/>
              <w:jc w:val="right"/>
              <w:rPr>
                <w:rFonts w:cs="Arial"/>
                <w:sz w:val="18"/>
                <w:szCs w:val="18"/>
              </w:rPr>
            </w:pPr>
            <w:r w:rsidRPr="00312975">
              <w:rPr>
                <w:rFonts w:cs="Arial"/>
                <w:sz w:val="18"/>
                <w:szCs w:val="18"/>
              </w:rPr>
              <w:t xml:space="preserve"> (534)</w:t>
            </w:r>
          </w:p>
        </w:tc>
      </w:tr>
      <w:tr w:rsidR="00252ABE" w:rsidRPr="00535F46" w14:paraId="1B48FB9F" w14:textId="77777777" w:rsidTr="00F1130C">
        <w:trPr>
          <w:trHeight w:val="300"/>
        </w:trPr>
        <w:tc>
          <w:tcPr>
            <w:tcW w:w="3085" w:type="dxa"/>
            <w:tcBorders>
              <w:top w:val="nil"/>
              <w:left w:val="nil"/>
              <w:right w:val="nil"/>
            </w:tcBorders>
            <w:shd w:val="clear" w:color="auto" w:fill="auto"/>
            <w:vAlign w:val="bottom"/>
          </w:tcPr>
          <w:p w14:paraId="312C5BA2" w14:textId="77777777" w:rsidR="00252ABE" w:rsidRPr="00535F46" w:rsidRDefault="00252ABE" w:rsidP="00252ABE">
            <w:pPr>
              <w:spacing w:after="0" w:line="240" w:lineRule="exact"/>
              <w:rPr>
                <w:rFonts w:cs="Arial"/>
                <w:sz w:val="18"/>
                <w:szCs w:val="18"/>
              </w:rPr>
            </w:pPr>
            <w:r w:rsidRPr="00535F46">
              <w:rPr>
                <w:rFonts w:cs="Arial"/>
                <w:sz w:val="18"/>
                <w:szCs w:val="18"/>
              </w:rPr>
              <w:t>Ostali rashodi</w:t>
            </w:r>
          </w:p>
        </w:tc>
        <w:tc>
          <w:tcPr>
            <w:tcW w:w="1332" w:type="dxa"/>
            <w:tcBorders>
              <w:top w:val="nil"/>
              <w:left w:val="nil"/>
              <w:bottom w:val="nil"/>
              <w:right w:val="nil"/>
            </w:tcBorders>
            <w:shd w:val="clear" w:color="auto" w:fill="auto"/>
            <w:noWrap/>
            <w:vAlign w:val="bottom"/>
          </w:tcPr>
          <w:p w14:paraId="0DC417DE" w14:textId="6C848CF9" w:rsidR="00252ABE" w:rsidRPr="00535F46" w:rsidRDefault="007F2102" w:rsidP="00252ABE">
            <w:pPr>
              <w:spacing w:after="0" w:line="240" w:lineRule="exact"/>
              <w:jc w:val="right"/>
              <w:rPr>
                <w:rFonts w:cs="Arial"/>
                <w:sz w:val="18"/>
                <w:szCs w:val="18"/>
              </w:rPr>
            </w:pPr>
            <w:r>
              <w:rPr>
                <w:rFonts w:cs="Arial"/>
                <w:sz w:val="18"/>
                <w:szCs w:val="18"/>
              </w:rPr>
              <w:t>-</w:t>
            </w:r>
          </w:p>
        </w:tc>
        <w:tc>
          <w:tcPr>
            <w:tcW w:w="1503" w:type="dxa"/>
            <w:tcBorders>
              <w:top w:val="nil"/>
              <w:left w:val="nil"/>
              <w:bottom w:val="nil"/>
              <w:right w:val="nil"/>
            </w:tcBorders>
            <w:shd w:val="clear" w:color="auto" w:fill="auto"/>
            <w:noWrap/>
            <w:vAlign w:val="bottom"/>
          </w:tcPr>
          <w:p w14:paraId="36D45419" w14:textId="5E8C7C13" w:rsidR="00252ABE" w:rsidRPr="00535F46" w:rsidRDefault="002C691C" w:rsidP="00252ABE">
            <w:pPr>
              <w:spacing w:after="0" w:line="240" w:lineRule="exact"/>
              <w:jc w:val="right"/>
              <w:rPr>
                <w:rFonts w:cs="Arial"/>
                <w:sz w:val="18"/>
                <w:szCs w:val="18"/>
              </w:rPr>
            </w:pPr>
            <w:r>
              <w:rPr>
                <w:rFonts w:cs="Arial"/>
                <w:sz w:val="18"/>
                <w:szCs w:val="18"/>
              </w:rPr>
              <w:t>(135)</w:t>
            </w:r>
          </w:p>
        </w:tc>
        <w:tc>
          <w:tcPr>
            <w:tcW w:w="1162" w:type="dxa"/>
            <w:tcBorders>
              <w:top w:val="nil"/>
              <w:left w:val="nil"/>
              <w:bottom w:val="nil"/>
              <w:right w:val="nil"/>
            </w:tcBorders>
            <w:shd w:val="clear" w:color="auto" w:fill="auto"/>
            <w:noWrap/>
            <w:vAlign w:val="bottom"/>
          </w:tcPr>
          <w:p w14:paraId="0AAB229F" w14:textId="7622F381" w:rsidR="00252ABE" w:rsidRPr="00535F46" w:rsidRDefault="007F2102" w:rsidP="00252ABE">
            <w:pPr>
              <w:spacing w:after="0"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625BD193" w14:textId="35E485F6" w:rsidR="00252ABE" w:rsidRPr="00535F46" w:rsidRDefault="007F2102" w:rsidP="00252ABE">
            <w:pPr>
              <w:spacing w:after="0"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7783EDDC" w14:textId="4E80BF7D" w:rsidR="00252ABE" w:rsidRPr="00535F46" w:rsidRDefault="002C691C" w:rsidP="00252ABE">
            <w:pPr>
              <w:spacing w:after="0" w:line="240" w:lineRule="exact"/>
              <w:jc w:val="right"/>
              <w:rPr>
                <w:rFonts w:cs="Arial"/>
                <w:sz w:val="18"/>
                <w:szCs w:val="18"/>
              </w:rPr>
            </w:pPr>
            <w:r>
              <w:rPr>
                <w:rFonts w:cs="Arial"/>
                <w:sz w:val="18"/>
                <w:szCs w:val="18"/>
              </w:rPr>
              <w:t>(135)</w:t>
            </w:r>
          </w:p>
        </w:tc>
      </w:tr>
      <w:tr w:rsidR="002C691C" w:rsidRPr="00535F46" w14:paraId="2FF0E84E" w14:textId="77777777" w:rsidTr="00312975">
        <w:trPr>
          <w:trHeight w:val="300"/>
        </w:trPr>
        <w:tc>
          <w:tcPr>
            <w:tcW w:w="3085" w:type="dxa"/>
            <w:tcBorders>
              <w:left w:val="nil"/>
              <w:right w:val="nil"/>
            </w:tcBorders>
            <w:shd w:val="clear" w:color="auto" w:fill="auto"/>
            <w:vAlign w:val="bottom"/>
          </w:tcPr>
          <w:p w14:paraId="59E9CF69" w14:textId="77777777" w:rsidR="002C691C" w:rsidRPr="00535F46" w:rsidRDefault="002C691C" w:rsidP="002C691C">
            <w:pPr>
              <w:spacing w:after="0" w:line="240" w:lineRule="exact"/>
              <w:rPr>
                <w:rFonts w:cs="Arial"/>
                <w:sz w:val="18"/>
                <w:szCs w:val="18"/>
              </w:rPr>
            </w:pPr>
            <w:r w:rsidRPr="00535F46">
              <w:rPr>
                <w:rFonts w:cs="Arial"/>
                <w:b/>
                <w:bCs/>
                <w:sz w:val="18"/>
                <w:szCs w:val="18"/>
              </w:rPr>
              <w:t>Troškovi poslovanja</w:t>
            </w:r>
          </w:p>
        </w:tc>
        <w:tc>
          <w:tcPr>
            <w:tcW w:w="1332" w:type="dxa"/>
            <w:tcBorders>
              <w:top w:val="single" w:sz="4" w:space="0" w:color="auto"/>
              <w:left w:val="nil"/>
              <w:bottom w:val="single" w:sz="8" w:space="0" w:color="auto"/>
              <w:right w:val="nil"/>
            </w:tcBorders>
            <w:shd w:val="clear" w:color="auto" w:fill="auto"/>
            <w:noWrap/>
            <w:vAlign w:val="bottom"/>
          </w:tcPr>
          <w:p w14:paraId="79C6E860" w14:textId="5A3EB8F5" w:rsidR="002C691C" w:rsidRPr="005F1FBF" w:rsidRDefault="002C691C" w:rsidP="002C691C">
            <w:pPr>
              <w:spacing w:after="0" w:line="240" w:lineRule="exact"/>
              <w:jc w:val="right"/>
              <w:rPr>
                <w:rFonts w:cs="Arial"/>
                <w:b/>
                <w:sz w:val="18"/>
                <w:szCs w:val="18"/>
              </w:rPr>
            </w:pPr>
            <w:r w:rsidRPr="00312975">
              <w:rPr>
                <w:rFonts w:cs="Arial"/>
                <w:b/>
                <w:sz w:val="18"/>
                <w:szCs w:val="18"/>
              </w:rPr>
              <w:t xml:space="preserve"> (117.282)</w:t>
            </w:r>
          </w:p>
        </w:tc>
        <w:tc>
          <w:tcPr>
            <w:tcW w:w="1503" w:type="dxa"/>
            <w:tcBorders>
              <w:top w:val="single" w:sz="4" w:space="0" w:color="auto"/>
              <w:left w:val="nil"/>
              <w:bottom w:val="single" w:sz="8" w:space="0" w:color="auto"/>
              <w:right w:val="nil"/>
            </w:tcBorders>
            <w:shd w:val="clear" w:color="auto" w:fill="auto"/>
            <w:noWrap/>
            <w:vAlign w:val="bottom"/>
          </w:tcPr>
          <w:p w14:paraId="5ECDA708" w14:textId="334A8757" w:rsidR="002C691C" w:rsidRPr="005F1FBF" w:rsidRDefault="002C691C" w:rsidP="002C691C">
            <w:pPr>
              <w:spacing w:after="0" w:line="240" w:lineRule="exact"/>
              <w:jc w:val="right"/>
              <w:rPr>
                <w:rFonts w:cs="Arial"/>
                <w:b/>
                <w:sz w:val="18"/>
                <w:szCs w:val="18"/>
              </w:rPr>
            </w:pPr>
            <w:r w:rsidRPr="00312975">
              <w:rPr>
                <w:rFonts w:cs="Arial"/>
                <w:b/>
                <w:sz w:val="18"/>
                <w:szCs w:val="18"/>
              </w:rPr>
              <w:t xml:space="preserve"> (3.449)</w:t>
            </w:r>
          </w:p>
        </w:tc>
        <w:tc>
          <w:tcPr>
            <w:tcW w:w="1162" w:type="dxa"/>
            <w:tcBorders>
              <w:top w:val="single" w:sz="4" w:space="0" w:color="auto"/>
              <w:left w:val="nil"/>
              <w:bottom w:val="single" w:sz="8" w:space="0" w:color="auto"/>
              <w:right w:val="nil"/>
            </w:tcBorders>
            <w:shd w:val="clear" w:color="auto" w:fill="auto"/>
            <w:noWrap/>
            <w:vAlign w:val="bottom"/>
          </w:tcPr>
          <w:p w14:paraId="128DB700" w14:textId="4D36E381" w:rsidR="002C691C" w:rsidRPr="005F1FBF" w:rsidRDefault="002C691C" w:rsidP="002C691C">
            <w:pPr>
              <w:spacing w:after="0" w:line="240" w:lineRule="exact"/>
              <w:jc w:val="right"/>
              <w:rPr>
                <w:rFonts w:cs="Arial"/>
                <w:b/>
                <w:sz w:val="18"/>
                <w:szCs w:val="18"/>
              </w:rPr>
            </w:pPr>
            <w:r w:rsidRPr="00312975">
              <w:rPr>
                <w:rFonts w:cs="Arial"/>
                <w:b/>
                <w:sz w:val="18"/>
                <w:szCs w:val="18"/>
              </w:rPr>
              <w:t xml:space="preserve"> (569)</w:t>
            </w:r>
          </w:p>
        </w:tc>
        <w:tc>
          <w:tcPr>
            <w:tcW w:w="1332" w:type="dxa"/>
            <w:tcBorders>
              <w:top w:val="single" w:sz="4" w:space="0" w:color="auto"/>
              <w:left w:val="nil"/>
              <w:bottom w:val="single" w:sz="8" w:space="0" w:color="auto"/>
              <w:right w:val="nil"/>
            </w:tcBorders>
            <w:shd w:val="clear" w:color="auto" w:fill="auto"/>
            <w:noWrap/>
            <w:vAlign w:val="bottom"/>
          </w:tcPr>
          <w:p w14:paraId="61B22D5A" w14:textId="4DC2AFF8" w:rsidR="002C691C" w:rsidRPr="005F1FBF" w:rsidRDefault="002C691C" w:rsidP="002C691C">
            <w:pPr>
              <w:spacing w:after="0" w:line="240" w:lineRule="exact"/>
              <w:jc w:val="right"/>
              <w:rPr>
                <w:rFonts w:cs="Arial"/>
                <w:b/>
                <w:sz w:val="18"/>
                <w:szCs w:val="18"/>
              </w:rPr>
            </w:pPr>
            <w:r w:rsidRPr="00312975">
              <w:rPr>
                <w:rFonts w:cs="Arial"/>
                <w:b/>
                <w:sz w:val="18"/>
                <w:szCs w:val="18"/>
              </w:rPr>
              <w:t xml:space="preserve"> 146 </w:t>
            </w:r>
          </w:p>
        </w:tc>
        <w:tc>
          <w:tcPr>
            <w:tcW w:w="1333" w:type="dxa"/>
            <w:tcBorders>
              <w:top w:val="single" w:sz="4" w:space="0" w:color="auto"/>
              <w:left w:val="nil"/>
              <w:bottom w:val="single" w:sz="8" w:space="0" w:color="auto"/>
              <w:right w:val="nil"/>
            </w:tcBorders>
            <w:shd w:val="clear" w:color="auto" w:fill="auto"/>
            <w:noWrap/>
            <w:vAlign w:val="bottom"/>
          </w:tcPr>
          <w:p w14:paraId="0B82B1F0" w14:textId="40E58A58" w:rsidR="002C691C" w:rsidRPr="005F1FBF" w:rsidRDefault="002C691C" w:rsidP="002C691C">
            <w:pPr>
              <w:spacing w:after="0" w:line="240" w:lineRule="exact"/>
              <w:jc w:val="right"/>
              <w:rPr>
                <w:rFonts w:cs="Arial"/>
                <w:b/>
                <w:sz w:val="18"/>
                <w:szCs w:val="18"/>
              </w:rPr>
            </w:pPr>
            <w:r w:rsidRPr="00312975">
              <w:rPr>
                <w:rFonts w:cs="Arial"/>
                <w:b/>
                <w:sz w:val="18"/>
                <w:szCs w:val="18"/>
              </w:rPr>
              <w:t xml:space="preserve"> (121.154)</w:t>
            </w:r>
          </w:p>
        </w:tc>
      </w:tr>
      <w:tr w:rsidR="00252ABE" w:rsidRPr="00535F46" w14:paraId="75214EE5" w14:textId="77777777" w:rsidTr="00F1130C">
        <w:trPr>
          <w:trHeight w:val="300"/>
        </w:trPr>
        <w:tc>
          <w:tcPr>
            <w:tcW w:w="3085" w:type="dxa"/>
            <w:tcBorders>
              <w:left w:val="nil"/>
              <w:bottom w:val="nil"/>
              <w:right w:val="nil"/>
            </w:tcBorders>
            <w:shd w:val="clear" w:color="auto" w:fill="auto"/>
            <w:vAlign w:val="bottom"/>
          </w:tcPr>
          <w:p w14:paraId="480CC0F1" w14:textId="77777777" w:rsidR="00252ABE" w:rsidRPr="00535F46" w:rsidRDefault="00252ABE" w:rsidP="00252ABE">
            <w:pPr>
              <w:spacing w:after="0" w:line="240" w:lineRule="exact"/>
              <w:rPr>
                <w:rFonts w:cs="Arial"/>
                <w:b/>
                <w:bCs/>
                <w:sz w:val="18"/>
                <w:szCs w:val="18"/>
              </w:rPr>
            </w:pPr>
          </w:p>
        </w:tc>
        <w:tc>
          <w:tcPr>
            <w:tcW w:w="1332" w:type="dxa"/>
            <w:tcBorders>
              <w:top w:val="single" w:sz="8" w:space="0" w:color="auto"/>
              <w:left w:val="nil"/>
              <w:bottom w:val="nil"/>
              <w:right w:val="nil"/>
            </w:tcBorders>
            <w:shd w:val="clear" w:color="auto" w:fill="auto"/>
            <w:noWrap/>
            <w:vAlign w:val="bottom"/>
          </w:tcPr>
          <w:p w14:paraId="2C52B7C4" w14:textId="77777777" w:rsidR="00252ABE" w:rsidRPr="00535F46" w:rsidRDefault="00252ABE" w:rsidP="00252ABE">
            <w:pPr>
              <w:spacing w:after="0" w:line="240" w:lineRule="exact"/>
              <w:jc w:val="right"/>
              <w:rPr>
                <w:rFonts w:cs="Arial"/>
                <w:b/>
                <w:bCs/>
                <w:sz w:val="18"/>
                <w:szCs w:val="18"/>
              </w:rPr>
            </w:pPr>
          </w:p>
        </w:tc>
        <w:tc>
          <w:tcPr>
            <w:tcW w:w="1503" w:type="dxa"/>
            <w:tcBorders>
              <w:top w:val="single" w:sz="8" w:space="0" w:color="auto"/>
              <w:left w:val="nil"/>
              <w:bottom w:val="nil"/>
              <w:right w:val="nil"/>
            </w:tcBorders>
            <w:shd w:val="clear" w:color="auto" w:fill="auto"/>
            <w:noWrap/>
            <w:vAlign w:val="bottom"/>
          </w:tcPr>
          <w:p w14:paraId="7C60A85A" w14:textId="77777777" w:rsidR="00252ABE" w:rsidRPr="00535F46" w:rsidRDefault="00252ABE" w:rsidP="00252ABE">
            <w:pPr>
              <w:spacing w:after="0" w:line="240" w:lineRule="exact"/>
              <w:jc w:val="right"/>
              <w:rPr>
                <w:rFonts w:cs="Arial"/>
                <w:b/>
                <w:bCs/>
                <w:sz w:val="18"/>
                <w:szCs w:val="18"/>
              </w:rPr>
            </w:pPr>
          </w:p>
        </w:tc>
        <w:tc>
          <w:tcPr>
            <w:tcW w:w="1162" w:type="dxa"/>
            <w:tcBorders>
              <w:top w:val="single" w:sz="8" w:space="0" w:color="auto"/>
              <w:left w:val="nil"/>
              <w:bottom w:val="nil"/>
              <w:right w:val="nil"/>
            </w:tcBorders>
            <w:shd w:val="clear" w:color="auto" w:fill="auto"/>
            <w:noWrap/>
            <w:vAlign w:val="bottom"/>
          </w:tcPr>
          <w:p w14:paraId="23276FD8" w14:textId="77777777" w:rsidR="00252ABE" w:rsidRPr="00535F46" w:rsidRDefault="00252ABE" w:rsidP="00252ABE">
            <w:pPr>
              <w:spacing w:after="0" w:line="240" w:lineRule="exact"/>
              <w:jc w:val="right"/>
              <w:rPr>
                <w:rFonts w:cs="Arial"/>
                <w:b/>
                <w:bCs/>
                <w:sz w:val="18"/>
                <w:szCs w:val="18"/>
              </w:rPr>
            </w:pPr>
          </w:p>
        </w:tc>
        <w:tc>
          <w:tcPr>
            <w:tcW w:w="1332" w:type="dxa"/>
            <w:tcBorders>
              <w:top w:val="single" w:sz="8" w:space="0" w:color="auto"/>
              <w:left w:val="nil"/>
              <w:bottom w:val="nil"/>
              <w:right w:val="nil"/>
            </w:tcBorders>
            <w:shd w:val="clear" w:color="auto" w:fill="auto"/>
            <w:noWrap/>
            <w:vAlign w:val="bottom"/>
          </w:tcPr>
          <w:p w14:paraId="3AFA81B8" w14:textId="77777777" w:rsidR="00252ABE" w:rsidRPr="00535F46" w:rsidRDefault="00252ABE" w:rsidP="00252ABE">
            <w:pPr>
              <w:spacing w:after="0" w:line="240" w:lineRule="exact"/>
              <w:jc w:val="right"/>
              <w:rPr>
                <w:rFonts w:cs="Arial"/>
                <w:b/>
                <w:bCs/>
                <w:sz w:val="18"/>
                <w:szCs w:val="18"/>
              </w:rPr>
            </w:pPr>
          </w:p>
        </w:tc>
        <w:tc>
          <w:tcPr>
            <w:tcW w:w="1333" w:type="dxa"/>
            <w:tcBorders>
              <w:top w:val="single" w:sz="8" w:space="0" w:color="auto"/>
              <w:left w:val="nil"/>
              <w:bottom w:val="nil"/>
              <w:right w:val="nil"/>
            </w:tcBorders>
            <w:shd w:val="clear" w:color="auto" w:fill="auto"/>
            <w:noWrap/>
            <w:vAlign w:val="bottom"/>
          </w:tcPr>
          <w:p w14:paraId="374F37ED" w14:textId="77777777" w:rsidR="00252ABE" w:rsidRPr="00535F46" w:rsidRDefault="00252ABE" w:rsidP="00252ABE">
            <w:pPr>
              <w:spacing w:after="0" w:line="240" w:lineRule="exact"/>
              <w:jc w:val="right"/>
              <w:rPr>
                <w:rFonts w:cs="Arial"/>
                <w:b/>
                <w:bCs/>
                <w:sz w:val="18"/>
                <w:szCs w:val="18"/>
              </w:rPr>
            </w:pPr>
          </w:p>
        </w:tc>
      </w:tr>
      <w:tr w:rsidR="002C691C" w:rsidRPr="00535F46" w14:paraId="5FA1D19C" w14:textId="77777777" w:rsidTr="00312975">
        <w:trPr>
          <w:trHeight w:val="174"/>
        </w:trPr>
        <w:tc>
          <w:tcPr>
            <w:tcW w:w="3085" w:type="dxa"/>
            <w:tcBorders>
              <w:top w:val="nil"/>
              <w:left w:val="nil"/>
              <w:bottom w:val="nil"/>
              <w:right w:val="nil"/>
            </w:tcBorders>
            <w:shd w:val="clear" w:color="auto" w:fill="auto"/>
            <w:vAlign w:val="bottom"/>
          </w:tcPr>
          <w:p w14:paraId="19DC9231" w14:textId="77777777" w:rsidR="002C691C" w:rsidRPr="00535F46" w:rsidRDefault="002C691C" w:rsidP="002C691C">
            <w:pPr>
              <w:spacing w:after="0" w:line="240" w:lineRule="exact"/>
              <w:rPr>
                <w:rFonts w:cs="Arial"/>
                <w:sz w:val="18"/>
                <w:szCs w:val="18"/>
              </w:rPr>
            </w:pPr>
            <w:r w:rsidRPr="00535F46">
              <w:rPr>
                <w:rFonts w:cs="Arial"/>
                <w:b/>
                <w:bCs/>
                <w:sz w:val="18"/>
                <w:szCs w:val="18"/>
              </w:rPr>
              <w:t>Dobit/(gubitak) prije oporezivanja</w:t>
            </w:r>
          </w:p>
        </w:tc>
        <w:tc>
          <w:tcPr>
            <w:tcW w:w="1332" w:type="dxa"/>
            <w:tcBorders>
              <w:top w:val="nil"/>
              <w:left w:val="nil"/>
              <w:bottom w:val="nil"/>
              <w:right w:val="nil"/>
            </w:tcBorders>
            <w:shd w:val="clear" w:color="auto" w:fill="auto"/>
            <w:noWrap/>
            <w:vAlign w:val="bottom"/>
          </w:tcPr>
          <w:p w14:paraId="3DE123F7" w14:textId="40F93639" w:rsidR="002C691C" w:rsidRPr="00312975" w:rsidRDefault="002C691C" w:rsidP="002C691C">
            <w:pPr>
              <w:spacing w:after="0" w:line="240" w:lineRule="exact"/>
              <w:jc w:val="right"/>
              <w:rPr>
                <w:rFonts w:cs="Arial"/>
                <w:b/>
                <w:sz w:val="18"/>
                <w:szCs w:val="18"/>
              </w:rPr>
            </w:pPr>
            <w:r w:rsidRPr="00312975">
              <w:rPr>
                <w:rFonts w:cs="Arial"/>
                <w:b/>
                <w:sz w:val="18"/>
                <w:szCs w:val="18"/>
              </w:rPr>
              <w:t xml:space="preserve"> 129.356 </w:t>
            </w:r>
          </w:p>
        </w:tc>
        <w:tc>
          <w:tcPr>
            <w:tcW w:w="1503" w:type="dxa"/>
            <w:tcBorders>
              <w:top w:val="nil"/>
              <w:left w:val="nil"/>
              <w:bottom w:val="nil"/>
              <w:right w:val="nil"/>
            </w:tcBorders>
            <w:shd w:val="clear" w:color="auto" w:fill="auto"/>
            <w:noWrap/>
            <w:vAlign w:val="bottom"/>
          </w:tcPr>
          <w:p w14:paraId="012D7D1F" w14:textId="33A203E5" w:rsidR="002C691C" w:rsidRPr="00312975" w:rsidRDefault="002C691C" w:rsidP="002C691C">
            <w:pPr>
              <w:spacing w:after="0" w:line="240" w:lineRule="exact"/>
              <w:jc w:val="right"/>
              <w:rPr>
                <w:rFonts w:cs="Arial"/>
                <w:b/>
                <w:sz w:val="18"/>
                <w:szCs w:val="18"/>
              </w:rPr>
            </w:pPr>
            <w:r w:rsidRPr="00312975">
              <w:rPr>
                <w:rFonts w:cs="Arial"/>
                <w:b/>
                <w:sz w:val="18"/>
                <w:szCs w:val="18"/>
              </w:rPr>
              <w:t xml:space="preserve"> 1.202 </w:t>
            </w:r>
          </w:p>
        </w:tc>
        <w:tc>
          <w:tcPr>
            <w:tcW w:w="1162" w:type="dxa"/>
            <w:tcBorders>
              <w:top w:val="nil"/>
              <w:left w:val="nil"/>
              <w:bottom w:val="nil"/>
              <w:right w:val="nil"/>
            </w:tcBorders>
            <w:shd w:val="clear" w:color="auto" w:fill="auto"/>
            <w:noWrap/>
            <w:vAlign w:val="bottom"/>
          </w:tcPr>
          <w:p w14:paraId="4925BF31" w14:textId="697C4433" w:rsidR="002C691C" w:rsidRPr="00312975" w:rsidRDefault="002C691C" w:rsidP="00257CDB">
            <w:pPr>
              <w:spacing w:after="0" w:line="240" w:lineRule="exact"/>
              <w:jc w:val="right"/>
              <w:rPr>
                <w:rFonts w:cs="Arial"/>
                <w:b/>
                <w:sz w:val="18"/>
                <w:szCs w:val="18"/>
              </w:rPr>
            </w:pPr>
            <w:r w:rsidRPr="00312975">
              <w:rPr>
                <w:rFonts w:cs="Arial"/>
                <w:b/>
                <w:sz w:val="18"/>
                <w:szCs w:val="18"/>
              </w:rPr>
              <w:t xml:space="preserve"> 192 </w:t>
            </w:r>
          </w:p>
        </w:tc>
        <w:tc>
          <w:tcPr>
            <w:tcW w:w="1332" w:type="dxa"/>
            <w:tcBorders>
              <w:top w:val="nil"/>
              <w:left w:val="nil"/>
              <w:bottom w:val="nil"/>
              <w:right w:val="nil"/>
            </w:tcBorders>
            <w:shd w:val="clear" w:color="auto" w:fill="auto"/>
            <w:noWrap/>
            <w:vAlign w:val="bottom"/>
          </w:tcPr>
          <w:p w14:paraId="482485BB" w14:textId="5F515AD3" w:rsidR="002C691C" w:rsidRPr="00312975" w:rsidRDefault="002C691C" w:rsidP="002C691C">
            <w:pPr>
              <w:spacing w:after="0" w:line="240" w:lineRule="exact"/>
              <w:jc w:val="right"/>
              <w:rPr>
                <w:rFonts w:cs="Arial"/>
                <w:b/>
                <w:sz w:val="18"/>
                <w:szCs w:val="18"/>
              </w:rPr>
            </w:pPr>
            <w:r w:rsidRPr="00312975">
              <w:rPr>
                <w:rFonts w:cs="Arial"/>
                <w:b/>
                <w:sz w:val="18"/>
                <w:szCs w:val="18"/>
              </w:rPr>
              <w:t xml:space="preserve"> - </w:t>
            </w:r>
          </w:p>
        </w:tc>
        <w:tc>
          <w:tcPr>
            <w:tcW w:w="1333" w:type="dxa"/>
            <w:tcBorders>
              <w:top w:val="nil"/>
              <w:left w:val="nil"/>
              <w:bottom w:val="nil"/>
              <w:right w:val="nil"/>
            </w:tcBorders>
            <w:shd w:val="clear" w:color="auto" w:fill="auto"/>
            <w:noWrap/>
            <w:vAlign w:val="bottom"/>
          </w:tcPr>
          <w:p w14:paraId="3C2B2E73" w14:textId="4F164BFC" w:rsidR="002C691C" w:rsidRPr="00312975" w:rsidRDefault="002C691C" w:rsidP="002C691C">
            <w:pPr>
              <w:spacing w:after="0" w:line="240" w:lineRule="exact"/>
              <w:jc w:val="right"/>
              <w:rPr>
                <w:rFonts w:cs="Arial"/>
                <w:b/>
                <w:sz w:val="18"/>
                <w:szCs w:val="18"/>
              </w:rPr>
            </w:pPr>
            <w:r w:rsidRPr="00312975">
              <w:rPr>
                <w:rFonts w:cs="Arial"/>
                <w:b/>
                <w:sz w:val="18"/>
                <w:szCs w:val="18"/>
              </w:rPr>
              <w:t xml:space="preserve"> 130.750 </w:t>
            </w:r>
          </w:p>
        </w:tc>
      </w:tr>
      <w:tr w:rsidR="00252ABE" w:rsidRPr="00535F46" w14:paraId="31F76CF5" w14:textId="77777777" w:rsidTr="00312975">
        <w:trPr>
          <w:trHeight w:val="300"/>
        </w:trPr>
        <w:tc>
          <w:tcPr>
            <w:tcW w:w="3085" w:type="dxa"/>
            <w:tcBorders>
              <w:top w:val="nil"/>
              <w:left w:val="nil"/>
              <w:right w:val="nil"/>
            </w:tcBorders>
            <w:shd w:val="clear" w:color="auto" w:fill="auto"/>
            <w:vAlign w:val="bottom"/>
          </w:tcPr>
          <w:p w14:paraId="5DF333B9" w14:textId="739DE099" w:rsidR="00252ABE" w:rsidRPr="00535F46" w:rsidRDefault="00252ABE" w:rsidP="00252ABE">
            <w:pPr>
              <w:spacing w:after="0" w:line="240" w:lineRule="exact"/>
              <w:rPr>
                <w:rFonts w:cs="Arial"/>
                <w:b/>
                <w:bCs/>
                <w:sz w:val="18"/>
                <w:szCs w:val="18"/>
              </w:rPr>
            </w:pPr>
            <w:r w:rsidRPr="00535F46">
              <w:rPr>
                <w:rFonts w:cs="Arial"/>
                <w:sz w:val="18"/>
                <w:szCs w:val="18"/>
              </w:rPr>
              <w:t>Porez na dobit</w:t>
            </w:r>
          </w:p>
        </w:tc>
        <w:tc>
          <w:tcPr>
            <w:tcW w:w="1332" w:type="dxa"/>
            <w:tcBorders>
              <w:top w:val="nil"/>
              <w:left w:val="nil"/>
              <w:bottom w:val="nil"/>
              <w:right w:val="nil"/>
            </w:tcBorders>
            <w:shd w:val="clear" w:color="auto" w:fill="auto"/>
            <w:noWrap/>
            <w:vAlign w:val="bottom"/>
          </w:tcPr>
          <w:p w14:paraId="5614292E" w14:textId="46F3360C" w:rsidR="00252ABE" w:rsidRPr="00312975" w:rsidRDefault="007F2102" w:rsidP="00252ABE">
            <w:pPr>
              <w:spacing w:after="0" w:line="240" w:lineRule="exact"/>
              <w:jc w:val="right"/>
              <w:rPr>
                <w:rFonts w:cs="Arial"/>
                <w:bCs/>
                <w:sz w:val="18"/>
                <w:szCs w:val="18"/>
              </w:rPr>
            </w:pPr>
            <w:r w:rsidRPr="00312975">
              <w:rPr>
                <w:rFonts w:cs="Arial"/>
                <w:bCs/>
                <w:sz w:val="18"/>
                <w:szCs w:val="18"/>
              </w:rPr>
              <w:t>-</w:t>
            </w:r>
          </w:p>
        </w:tc>
        <w:tc>
          <w:tcPr>
            <w:tcW w:w="1503" w:type="dxa"/>
            <w:tcBorders>
              <w:top w:val="nil"/>
              <w:left w:val="nil"/>
              <w:bottom w:val="nil"/>
              <w:right w:val="nil"/>
            </w:tcBorders>
            <w:shd w:val="clear" w:color="auto" w:fill="auto"/>
            <w:noWrap/>
            <w:vAlign w:val="bottom"/>
          </w:tcPr>
          <w:p w14:paraId="5E7CB5E8" w14:textId="7B6D4744" w:rsidR="00252ABE" w:rsidRPr="00312975" w:rsidRDefault="007F2102" w:rsidP="00252ABE">
            <w:pPr>
              <w:spacing w:after="0" w:line="240" w:lineRule="exact"/>
              <w:jc w:val="right"/>
              <w:rPr>
                <w:rFonts w:cs="Arial"/>
                <w:bCs/>
                <w:sz w:val="18"/>
                <w:szCs w:val="18"/>
              </w:rPr>
            </w:pPr>
            <w:r w:rsidRPr="00312975">
              <w:rPr>
                <w:rFonts w:cs="Arial"/>
                <w:bCs/>
                <w:sz w:val="18"/>
                <w:szCs w:val="18"/>
              </w:rPr>
              <w:t>-</w:t>
            </w:r>
          </w:p>
        </w:tc>
        <w:tc>
          <w:tcPr>
            <w:tcW w:w="1162" w:type="dxa"/>
            <w:tcBorders>
              <w:top w:val="nil"/>
              <w:left w:val="nil"/>
              <w:bottom w:val="nil"/>
              <w:right w:val="nil"/>
            </w:tcBorders>
            <w:shd w:val="clear" w:color="auto" w:fill="auto"/>
            <w:noWrap/>
            <w:vAlign w:val="bottom"/>
          </w:tcPr>
          <w:p w14:paraId="715B6A35" w14:textId="2A5404E6" w:rsidR="00252ABE" w:rsidRPr="00312975" w:rsidRDefault="007F2102" w:rsidP="00252ABE">
            <w:pPr>
              <w:spacing w:after="0" w:line="240" w:lineRule="exact"/>
              <w:jc w:val="right"/>
              <w:rPr>
                <w:rFonts w:cs="Arial"/>
                <w:bCs/>
                <w:sz w:val="18"/>
                <w:szCs w:val="18"/>
              </w:rPr>
            </w:pPr>
            <w:r w:rsidRPr="00312975">
              <w:rPr>
                <w:rFonts w:cs="Arial"/>
                <w:bCs/>
                <w:sz w:val="18"/>
                <w:szCs w:val="18"/>
              </w:rPr>
              <w:t>-</w:t>
            </w:r>
          </w:p>
        </w:tc>
        <w:tc>
          <w:tcPr>
            <w:tcW w:w="1332" w:type="dxa"/>
            <w:tcBorders>
              <w:top w:val="nil"/>
              <w:left w:val="nil"/>
              <w:bottom w:val="nil"/>
              <w:right w:val="nil"/>
            </w:tcBorders>
            <w:shd w:val="clear" w:color="auto" w:fill="auto"/>
            <w:noWrap/>
            <w:vAlign w:val="bottom"/>
          </w:tcPr>
          <w:p w14:paraId="5B0666CB" w14:textId="744CB582" w:rsidR="00252ABE" w:rsidRPr="00312975" w:rsidRDefault="007F2102" w:rsidP="00252ABE">
            <w:pPr>
              <w:spacing w:after="0" w:line="240" w:lineRule="exact"/>
              <w:jc w:val="right"/>
              <w:rPr>
                <w:rFonts w:cs="Arial"/>
                <w:bCs/>
                <w:sz w:val="18"/>
                <w:szCs w:val="18"/>
              </w:rPr>
            </w:pPr>
            <w:r w:rsidRPr="00312975">
              <w:rPr>
                <w:rFonts w:cs="Arial"/>
                <w:bCs/>
                <w:sz w:val="18"/>
                <w:szCs w:val="18"/>
              </w:rPr>
              <w:t>-</w:t>
            </w:r>
          </w:p>
        </w:tc>
        <w:tc>
          <w:tcPr>
            <w:tcW w:w="1333" w:type="dxa"/>
            <w:tcBorders>
              <w:top w:val="nil"/>
              <w:left w:val="nil"/>
              <w:bottom w:val="nil"/>
              <w:right w:val="nil"/>
            </w:tcBorders>
            <w:shd w:val="clear" w:color="auto" w:fill="auto"/>
            <w:noWrap/>
            <w:vAlign w:val="bottom"/>
          </w:tcPr>
          <w:p w14:paraId="1FA2572F" w14:textId="3DDC20C8" w:rsidR="00252ABE" w:rsidRPr="00312975" w:rsidRDefault="007F2102" w:rsidP="00252ABE">
            <w:pPr>
              <w:spacing w:after="0" w:line="240" w:lineRule="exact"/>
              <w:jc w:val="right"/>
              <w:rPr>
                <w:rFonts w:cs="Arial"/>
                <w:bCs/>
                <w:sz w:val="18"/>
                <w:szCs w:val="18"/>
              </w:rPr>
            </w:pPr>
            <w:r w:rsidRPr="00312975">
              <w:rPr>
                <w:rFonts w:cs="Arial"/>
                <w:bCs/>
                <w:sz w:val="18"/>
                <w:szCs w:val="18"/>
              </w:rPr>
              <w:t>-</w:t>
            </w:r>
          </w:p>
        </w:tc>
      </w:tr>
      <w:tr w:rsidR="002C691C" w:rsidRPr="00535F46" w14:paraId="1438FC0F" w14:textId="77777777" w:rsidTr="00312975">
        <w:trPr>
          <w:trHeight w:val="300"/>
        </w:trPr>
        <w:tc>
          <w:tcPr>
            <w:tcW w:w="3085" w:type="dxa"/>
            <w:tcBorders>
              <w:left w:val="nil"/>
              <w:right w:val="nil"/>
            </w:tcBorders>
            <w:shd w:val="clear" w:color="auto" w:fill="auto"/>
            <w:vAlign w:val="bottom"/>
          </w:tcPr>
          <w:p w14:paraId="7C1BC665" w14:textId="77777777" w:rsidR="002C691C" w:rsidRPr="00535F46" w:rsidRDefault="002C691C" w:rsidP="002C691C">
            <w:pPr>
              <w:spacing w:after="0" w:line="240" w:lineRule="exact"/>
              <w:rPr>
                <w:rFonts w:cs="Arial"/>
                <w:sz w:val="18"/>
                <w:szCs w:val="18"/>
              </w:rPr>
            </w:pPr>
            <w:r w:rsidRPr="00535F46">
              <w:rPr>
                <w:rFonts w:cs="Arial"/>
                <w:b/>
                <w:bCs/>
                <w:sz w:val="18"/>
                <w:szCs w:val="18"/>
              </w:rPr>
              <w:t>Dobit/(gubitak) za godinu</w:t>
            </w:r>
          </w:p>
        </w:tc>
        <w:tc>
          <w:tcPr>
            <w:tcW w:w="1332" w:type="dxa"/>
            <w:tcBorders>
              <w:top w:val="single" w:sz="4" w:space="0" w:color="auto"/>
              <w:left w:val="nil"/>
              <w:bottom w:val="single" w:sz="8" w:space="0" w:color="auto"/>
              <w:right w:val="nil"/>
            </w:tcBorders>
            <w:shd w:val="clear" w:color="auto" w:fill="auto"/>
            <w:noWrap/>
            <w:vAlign w:val="bottom"/>
          </w:tcPr>
          <w:p w14:paraId="50971743" w14:textId="256DDBA3" w:rsidR="002C691C" w:rsidRPr="005F1FBF" w:rsidRDefault="002C691C" w:rsidP="002C691C">
            <w:pPr>
              <w:spacing w:after="0" w:line="240" w:lineRule="exact"/>
              <w:jc w:val="right"/>
              <w:rPr>
                <w:rFonts w:cs="Arial"/>
                <w:b/>
                <w:sz w:val="18"/>
                <w:szCs w:val="18"/>
              </w:rPr>
            </w:pPr>
            <w:r w:rsidRPr="00312975">
              <w:rPr>
                <w:rFonts w:cs="Arial"/>
                <w:b/>
                <w:sz w:val="18"/>
                <w:szCs w:val="18"/>
              </w:rPr>
              <w:t xml:space="preserve"> 129.356 </w:t>
            </w:r>
          </w:p>
        </w:tc>
        <w:tc>
          <w:tcPr>
            <w:tcW w:w="1503" w:type="dxa"/>
            <w:tcBorders>
              <w:top w:val="single" w:sz="4" w:space="0" w:color="auto"/>
              <w:left w:val="nil"/>
              <w:bottom w:val="single" w:sz="8" w:space="0" w:color="auto"/>
              <w:right w:val="nil"/>
            </w:tcBorders>
            <w:shd w:val="clear" w:color="auto" w:fill="auto"/>
            <w:noWrap/>
            <w:vAlign w:val="bottom"/>
          </w:tcPr>
          <w:p w14:paraId="4F6447DF" w14:textId="028FD4EF" w:rsidR="002C691C" w:rsidRPr="005F1FBF" w:rsidRDefault="002C691C" w:rsidP="002C691C">
            <w:pPr>
              <w:spacing w:after="0" w:line="240" w:lineRule="exact"/>
              <w:jc w:val="right"/>
              <w:rPr>
                <w:rFonts w:cs="Arial"/>
                <w:b/>
                <w:sz w:val="18"/>
                <w:szCs w:val="18"/>
              </w:rPr>
            </w:pPr>
            <w:r w:rsidRPr="00312975">
              <w:rPr>
                <w:rFonts w:cs="Arial"/>
                <w:b/>
                <w:sz w:val="18"/>
                <w:szCs w:val="18"/>
              </w:rPr>
              <w:t xml:space="preserve"> 1.202 </w:t>
            </w:r>
          </w:p>
        </w:tc>
        <w:tc>
          <w:tcPr>
            <w:tcW w:w="1162" w:type="dxa"/>
            <w:tcBorders>
              <w:top w:val="single" w:sz="4" w:space="0" w:color="auto"/>
              <w:left w:val="nil"/>
              <w:bottom w:val="single" w:sz="8" w:space="0" w:color="auto"/>
              <w:right w:val="nil"/>
            </w:tcBorders>
            <w:shd w:val="clear" w:color="auto" w:fill="auto"/>
            <w:noWrap/>
            <w:vAlign w:val="bottom"/>
          </w:tcPr>
          <w:p w14:paraId="55260A61" w14:textId="62E88AB2" w:rsidR="002C691C" w:rsidRPr="005F1FBF" w:rsidRDefault="002C691C" w:rsidP="002C691C">
            <w:pPr>
              <w:spacing w:after="0" w:line="240" w:lineRule="exact"/>
              <w:jc w:val="right"/>
              <w:rPr>
                <w:rFonts w:cs="Arial"/>
                <w:b/>
                <w:sz w:val="18"/>
                <w:szCs w:val="18"/>
              </w:rPr>
            </w:pPr>
            <w:r w:rsidRPr="00312975">
              <w:rPr>
                <w:rFonts w:cs="Arial"/>
                <w:b/>
                <w:sz w:val="18"/>
                <w:szCs w:val="18"/>
              </w:rPr>
              <w:t xml:space="preserve"> 192 </w:t>
            </w:r>
          </w:p>
        </w:tc>
        <w:tc>
          <w:tcPr>
            <w:tcW w:w="1332" w:type="dxa"/>
            <w:tcBorders>
              <w:top w:val="single" w:sz="4" w:space="0" w:color="auto"/>
              <w:left w:val="nil"/>
              <w:bottom w:val="single" w:sz="8" w:space="0" w:color="auto"/>
              <w:right w:val="nil"/>
            </w:tcBorders>
            <w:shd w:val="clear" w:color="auto" w:fill="auto"/>
            <w:noWrap/>
            <w:vAlign w:val="bottom"/>
          </w:tcPr>
          <w:p w14:paraId="2F69194F" w14:textId="0E1DBF83" w:rsidR="002C691C" w:rsidRPr="005F1FBF" w:rsidRDefault="002C691C" w:rsidP="002C691C">
            <w:pPr>
              <w:spacing w:after="0" w:line="240" w:lineRule="exact"/>
              <w:jc w:val="right"/>
              <w:rPr>
                <w:rFonts w:cs="Arial"/>
                <w:b/>
                <w:sz w:val="18"/>
                <w:szCs w:val="18"/>
              </w:rPr>
            </w:pPr>
            <w:r w:rsidRPr="00312975">
              <w:rPr>
                <w:rFonts w:cs="Arial"/>
                <w:b/>
                <w:sz w:val="18"/>
                <w:szCs w:val="18"/>
              </w:rPr>
              <w:t xml:space="preserve"> - </w:t>
            </w:r>
          </w:p>
        </w:tc>
        <w:tc>
          <w:tcPr>
            <w:tcW w:w="1333" w:type="dxa"/>
            <w:tcBorders>
              <w:top w:val="single" w:sz="4" w:space="0" w:color="auto"/>
              <w:left w:val="nil"/>
              <w:bottom w:val="single" w:sz="8" w:space="0" w:color="auto"/>
              <w:right w:val="nil"/>
            </w:tcBorders>
            <w:shd w:val="clear" w:color="auto" w:fill="auto"/>
            <w:noWrap/>
            <w:vAlign w:val="bottom"/>
          </w:tcPr>
          <w:p w14:paraId="6DFCBF04" w14:textId="2648BDD6" w:rsidR="002C691C" w:rsidRPr="005F1FBF" w:rsidRDefault="002C691C" w:rsidP="002C691C">
            <w:pPr>
              <w:spacing w:after="0" w:line="240" w:lineRule="exact"/>
              <w:jc w:val="right"/>
              <w:rPr>
                <w:rFonts w:cs="Arial"/>
                <w:b/>
                <w:sz w:val="18"/>
                <w:szCs w:val="18"/>
              </w:rPr>
            </w:pPr>
            <w:r w:rsidRPr="00312975">
              <w:rPr>
                <w:rFonts w:cs="Arial"/>
                <w:b/>
                <w:sz w:val="18"/>
                <w:szCs w:val="18"/>
              </w:rPr>
              <w:t xml:space="preserve"> 130.750 </w:t>
            </w:r>
          </w:p>
        </w:tc>
      </w:tr>
      <w:tr w:rsidR="00252ABE" w:rsidRPr="00535F46" w14:paraId="772C17F4" w14:textId="77777777" w:rsidTr="00312975">
        <w:trPr>
          <w:trHeight w:val="315"/>
        </w:trPr>
        <w:tc>
          <w:tcPr>
            <w:tcW w:w="3085" w:type="dxa"/>
            <w:tcBorders>
              <w:left w:val="nil"/>
              <w:bottom w:val="nil"/>
              <w:right w:val="nil"/>
            </w:tcBorders>
            <w:shd w:val="clear" w:color="auto" w:fill="auto"/>
            <w:vAlign w:val="bottom"/>
          </w:tcPr>
          <w:p w14:paraId="692A8BCF" w14:textId="77777777" w:rsidR="00252ABE" w:rsidRPr="00535F46" w:rsidRDefault="00252ABE" w:rsidP="00252ABE">
            <w:pPr>
              <w:spacing w:after="0" w:line="240" w:lineRule="exact"/>
              <w:rPr>
                <w:rFonts w:cs="Arial"/>
                <w:b/>
                <w:bCs/>
                <w:sz w:val="18"/>
                <w:szCs w:val="18"/>
              </w:rPr>
            </w:pPr>
          </w:p>
        </w:tc>
        <w:tc>
          <w:tcPr>
            <w:tcW w:w="1332" w:type="dxa"/>
            <w:tcBorders>
              <w:top w:val="nil"/>
              <w:left w:val="nil"/>
              <w:bottom w:val="nil"/>
              <w:right w:val="nil"/>
            </w:tcBorders>
            <w:shd w:val="clear" w:color="auto" w:fill="auto"/>
            <w:noWrap/>
            <w:vAlign w:val="bottom"/>
          </w:tcPr>
          <w:p w14:paraId="20428587" w14:textId="77777777" w:rsidR="00252ABE" w:rsidRPr="00535F46" w:rsidRDefault="00252ABE" w:rsidP="00252ABE">
            <w:pPr>
              <w:spacing w:after="0" w:line="24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33095327" w14:textId="77777777" w:rsidR="00252ABE" w:rsidRPr="00535F46" w:rsidRDefault="00252ABE" w:rsidP="00252ABE">
            <w:pPr>
              <w:spacing w:after="0" w:line="24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07C7C11C" w14:textId="77777777" w:rsidR="00252ABE" w:rsidRPr="00535F46" w:rsidRDefault="00252ABE" w:rsidP="00252ABE">
            <w:pPr>
              <w:spacing w:after="0" w:line="24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1547FCA8" w14:textId="77777777" w:rsidR="00252ABE" w:rsidRPr="00535F46" w:rsidRDefault="00252ABE" w:rsidP="00252ABE">
            <w:pPr>
              <w:spacing w:after="0" w:line="24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05B47654" w14:textId="77777777" w:rsidR="00252ABE" w:rsidRPr="00535F46" w:rsidRDefault="00252ABE" w:rsidP="00252ABE">
            <w:pPr>
              <w:spacing w:after="0" w:line="240" w:lineRule="exact"/>
              <w:jc w:val="right"/>
              <w:rPr>
                <w:rFonts w:cs="Arial"/>
                <w:b/>
                <w:bCs/>
                <w:sz w:val="18"/>
                <w:szCs w:val="18"/>
              </w:rPr>
            </w:pPr>
          </w:p>
        </w:tc>
      </w:tr>
      <w:tr w:rsidR="002C691C" w:rsidRPr="00535F46" w14:paraId="357000F0" w14:textId="77777777" w:rsidTr="00312975">
        <w:trPr>
          <w:trHeight w:val="52"/>
        </w:trPr>
        <w:tc>
          <w:tcPr>
            <w:tcW w:w="3085" w:type="dxa"/>
            <w:tcBorders>
              <w:top w:val="nil"/>
              <w:left w:val="nil"/>
              <w:right w:val="nil"/>
            </w:tcBorders>
            <w:shd w:val="clear" w:color="auto" w:fill="auto"/>
            <w:vAlign w:val="bottom"/>
          </w:tcPr>
          <w:p w14:paraId="719FE89E" w14:textId="77777777" w:rsidR="002C691C" w:rsidRPr="00535F46" w:rsidRDefault="002C691C" w:rsidP="002C691C">
            <w:pPr>
              <w:spacing w:after="0" w:line="240" w:lineRule="exact"/>
              <w:rPr>
                <w:rFonts w:cs="Arial"/>
                <w:sz w:val="18"/>
                <w:szCs w:val="18"/>
              </w:rPr>
            </w:pPr>
            <w:r w:rsidRPr="00535F46">
              <w:rPr>
                <w:rFonts w:cs="Arial"/>
                <w:sz w:val="18"/>
                <w:szCs w:val="18"/>
              </w:rPr>
              <w:t>Imovina segmenta</w:t>
            </w:r>
          </w:p>
        </w:tc>
        <w:tc>
          <w:tcPr>
            <w:tcW w:w="1332" w:type="dxa"/>
            <w:tcBorders>
              <w:top w:val="nil"/>
              <w:left w:val="nil"/>
              <w:bottom w:val="single" w:sz="4" w:space="0" w:color="auto"/>
              <w:right w:val="nil"/>
            </w:tcBorders>
            <w:shd w:val="clear" w:color="auto" w:fill="auto"/>
            <w:noWrap/>
            <w:vAlign w:val="bottom"/>
          </w:tcPr>
          <w:p w14:paraId="1EABF4B4" w14:textId="4FA78BE4" w:rsidR="002C691C" w:rsidRPr="00535F46" w:rsidRDefault="002C691C" w:rsidP="002C691C">
            <w:pPr>
              <w:spacing w:after="0" w:line="240" w:lineRule="exact"/>
              <w:jc w:val="right"/>
              <w:rPr>
                <w:rFonts w:cs="Arial"/>
                <w:sz w:val="18"/>
                <w:szCs w:val="18"/>
              </w:rPr>
            </w:pPr>
            <w:r w:rsidRPr="00312975">
              <w:rPr>
                <w:rFonts w:cs="Arial"/>
                <w:sz w:val="18"/>
                <w:szCs w:val="18"/>
              </w:rPr>
              <w:t xml:space="preserve"> 27.805.973 </w:t>
            </w:r>
          </w:p>
        </w:tc>
        <w:tc>
          <w:tcPr>
            <w:tcW w:w="1503" w:type="dxa"/>
            <w:tcBorders>
              <w:top w:val="nil"/>
              <w:left w:val="nil"/>
              <w:bottom w:val="single" w:sz="4" w:space="0" w:color="auto"/>
              <w:right w:val="nil"/>
            </w:tcBorders>
            <w:shd w:val="clear" w:color="auto" w:fill="auto"/>
            <w:noWrap/>
            <w:vAlign w:val="bottom"/>
          </w:tcPr>
          <w:p w14:paraId="45D7683E" w14:textId="69AE78CD" w:rsidR="002C691C" w:rsidRPr="00535F46" w:rsidRDefault="002C691C" w:rsidP="002C691C">
            <w:pPr>
              <w:spacing w:after="0" w:line="240" w:lineRule="exact"/>
              <w:jc w:val="right"/>
              <w:rPr>
                <w:rFonts w:cs="Arial"/>
                <w:sz w:val="18"/>
                <w:szCs w:val="18"/>
              </w:rPr>
            </w:pPr>
            <w:r w:rsidRPr="00312975">
              <w:rPr>
                <w:rFonts w:cs="Arial"/>
                <w:sz w:val="18"/>
                <w:szCs w:val="18"/>
              </w:rPr>
              <w:t xml:space="preserve"> 53.491 </w:t>
            </w:r>
          </w:p>
        </w:tc>
        <w:tc>
          <w:tcPr>
            <w:tcW w:w="1162" w:type="dxa"/>
            <w:tcBorders>
              <w:top w:val="nil"/>
              <w:left w:val="nil"/>
              <w:bottom w:val="single" w:sz="4" w:space="0" w:color="auto"/>
              <w:right w:val="nil"/>
            </w:tcBorders>
            <w:shd w:val="clear" w:color="auto" w:fill="auto"/>
            <w:noWrap/>
            <w:vAlign w:val="bottom"/>
          </w:tcPr>
          <w:p w14:paraId="73C6FDF8" w14:textId="655D3B8B" w:rsidR="002C691C" w:rsidRPr="00535F46" w:rsidRDefault="002C691C" w:rsidP="002C691C">
            <w:pPr>
              <w:spacing w:after="0" w:line="240" w:lineRule="exact"/>
              <w:jc w:val="right"/>
              <w:rPr>
                <w:rFonts w:cs="Arial"/>
                <w:sz w:val="18"/>
                <w:szCs w:val="18"/>
              </w:rPr>
            </w:pPr>
            <w:r w:rsidRPr="00312975">
              <w:rPr>
                <w:rFonts w:cs="Arial"/>
                <w:sz w:val="18"/>
                <w:szCs w:val="18"/>
              </w:rPr>
              <w:t xml:space="preserve"> 1.034 </w:t>
            </w:r>
          </w:p>
        </w:tc>
        <w:tc>
          <w:tcPr>
            <w:tcW w:w="1332" w:type="dxa"/>
            <w:tcBorders>
              <w:top w:val="nil"/>
              <w:left w:val="nil"/>
              <w:bottom w:val="single" w:sz="4" w:space="0" w:color="auto"/>
              <w:right w:val="nil"/>
            </w:tcBorders>
            <w:shd w:val="clear" w:color="auto" w:fill="auto"/>
            <w:noWrap/>
            <w:vAlign w:val="bottom"/>
          </w:tcPr>
          <w:p w14:paraId="3409FF11" w14:textId="44C232FD" w:rsidR="002C691C" w:rsidRPr="00535F46" w:rsidRDefault="002C691C" w:rsidP="002C691C">
            <w:pPr>
              <w:spacing w:after="0" w:line="240" w:lineRule="exact"/>
              <w:jc w:val="right"/>
              <w:rPr>
                <w:rFonts w:cs="Arial"/>
                <w:sz w:val="18"/>
                <w:szCs w:val="18"/>
              </w:rPr>
            </w:pPr>
            <w:r w:rsidRPr="00312975">
              <w:rPr>
                <w:rFonts w:cs="Arial"/>
                <w:sz w:val="18"/>
                <w:szCs w:val="18"/>
              </w:rPr>
              <w:t xml:space="preserve"> (36.657)</w:t>
            </w:r>
          </w:p>
        </w:tc>
        <w:tc>
          <w:tcPr>
            <w:tcW w:w="1333" w:type="dxa"/>
            <w:tcBorders>
              <w:top w:val="nil"/>
              <w:left w:val="nil"/>
              <w:bottom w:val="single" w:sz="4" w:space="0" w:color="auto"/>
              <w:right w:val="nil"/>
            </w:tcBorders>
            <w:shd w:val="clear" w:color="auto" w:fill="auto"/>
            <w:noWrap/>
            <w:vAlign w:val="bottom"/>
          </w:tcPr>
          <w:p w14:paraId="7E8AFF45" w14:textId="692AF889" w:rsidR="002C691C" w:rsidRPr="00535F46" w:rsidRDefault="002C691C" w:rsidP="002C691C">
            <w:pPr>
              <w:spacing w:after="0" w:line="240" w:lineRule="exact"/>
              <w:jc w:val="right"/>
              <w:rPr>
                <w:rFonts w:cs="Arial"/>
                <w:sz w:val="18"/>
                <w:szCs w:val="18"/>
              </w:rPr>
            </w:pPr>
            <w:r w:rsidRPr="00312975">
              <w:rPr>
                <w:rFonts w:cs="Arial"/>
                <w:sz w:val="18"/>
                <w:szCs w:val="18"/>
              </w:rPr>
              <w:t xml:space="preserve"> 27.823.841 </w:t>
            </w:r>
          </w:p>
        </w:tc>
      </w:tr>
      <w:tr w:rsidR="002C691C" w:rsidRPr="00535F46" w14:paraId="1250FE19" w14:textId="77777777" w:rsidTr="00312975">
        <w:trPr>
          <w:trHeight w:val="300"/>
        </w:trPr>
        <w:tc>
          <w:tcPr>
            <w:tcW w:w="3085" w:type="dxa"/>
            <w:tcBorders>
              <w:left w:val="nil"/>
              <w:right w:val="nil"/>
            </w:tcBorders>
            <w:shd w:val="clear" w:color="auto" w:fill="auto"/>
            <w:vAlign w:val="bottom"/>
          </w:tcPr>
          <w:p w14:paraId="24E0CF3B" w14:textId="77777777" w:rsidR="002C691C" w:rsidRPr="00535F46" w:rsidRDefault="002C691C" w:rsidP="002C691C">
            <w:pPr>
              <w:spacing w:after="0" w:line="240" w:lineRule="exact"/>
              <w:rPr>
                <w:rFonts w:cs="Arial"/>
                <w:sz w:val="18"/>
                <w:szCs w:val="18"/>
              </w:rPr>
            </w:pPr>
            <w:r w:rsidRPr="00535F46">
              <w:rPr>
                <w:rFonts w:cs="Arial"/>
                <w:b/>
                <w:bCs/>
                <w:sz w:val="18"/>
                <w:szCs w:val="18"/>
              </w:rPr>
              <w:t>Ukupna imovina</w:t>
            </w:r>
          </w:p>
        </w:tc>
        <w:tc>
          <w:tcPr>
            <w:tcW w:w="1332" w:type="dxa"/>
            <w:tcBorders>
              <w:top w:val="nil"/>
              <w:left w:val="nil"/>
              <w:bottom w:val="single" w:sz="4" w:space="0" w:color="auto"/>
              <w:right w:val="nil"/>
            </w:tcBorders>
            <w:shd w:val="clear" w:color="auto" w:fill="auto"/>
            <w:noWrap/>
            <w:vAlign w:val="bottom"/>
          </w:tcPr>
          <w:p w14:paraId="5F7ACE51" w14:textId="308D9DCD" w:rsidR="002C691C" w:rsidRPr="005F1FBF" w:rsidRDefault="002C691C" w:rsidP="002C691C">
            <w:pPr>
              <w:spacing w:after="0" w:line="240" w:lineRule="exact"/>
              <w:jc w:val="right"/>
              <w:rPr>
                <w:rFonts w:cs="Arial"/>
                <w:b/>
                <w:sz w:val="18"/>
                <w:szCs w:val="18"/>
              </w:rPr>
            </w:pPr>
            <w:r w:rsidRPr="00312975">
              <w:rPr>
                <w:rFonts w:cs="Arial"/>
                <w:b/>
                <w:sz w:val="18"/>
                <w:szCs w:val="18"/>
              </w:rPr>
              <w:t xml:space="preserve"> 27.805.973 </w:t>
            </w:r>
          </w:p>
        </w:tc>
        <w:tc>
          <w:tcPr>
            <w:tcW w:w="1503" w:type="dxa"/>
            <w:tcBorders>
              <w:top w:val="nil"/>
              <w:left w:val="nil"/>
              <w:bottom w:val="single" w:sz="4" w:space="0" w:color="auto"/>
              <w:right w:val="nil"/>
            </w:tcBorders>
            <w:shd w:val="clear" w:color="auto" w:fill="auto"/>
            <w:noWrap/>
            <w:vAlign w:val="bottom"/>
          </w:tcPr>
          <w:p w14:paraId="0549E8FF" w14:textId="43EB88E1" w:rsidR="002C691C" w:rsidRPr="005F1FBF" w:rsidRDefault="002C691C" w:rsidP="002C691C">
            <w:pPr>
              <w:spacing w:after="0" w:line="240" w:lineRule="exact"/>
              <w:jc w:val="right"/>
              <w:rPr>
                <w:rFonts w:cs="Arial"/>
                <w:b/>
                <w:sz w:val="18"/>
                <w:szCs w:val="18"/>
              </w:rPr>
            </w:pPr>
            <w:r w:rsidRPr="00312975">
              <w:rPr>
                <w:rFonts w:cs="Arial"/>
                <w:b/>
                <w:sz w:val="18"/>
                <w:szCs w:val="18"/>
              </w:rPr>
              <w:t xml:space="preserve"> 53.491 </w:t>
            </w:r>
          </w:p>
        </w:tc>
        <w:tc>
          <w:tcPr>
            <w:tcW w:w="1162" w:type="dxa"/>
            <w:tcBorders>
              <w:top w:val="nil"/>
              <w:left w:val="nil"/>
              <w:bottom w:val="single" w:sz="4" w:space="0" w:color="auto"/>
              <w:right w:val="nil"/>
            </w:tcBorders>
            <w:shd w:val="clear" w:color="auto" w:fill="auto"/>
            <w:noWrap/>
            <w:vAlign w:val="bottom"/>
          </w:tcPr>
          <w:p w14:paraId="7F7C43DE" w14:textId="3DEEFD8D" w:rsidR="002C691C" w:rsidRPr="005F1FBF" w:rsidRDefault="002C691C" w:rsidP="002C691C">
            <w:pPr>
              <w:spacing w:after="0" w:line="240" w:lineRule="exact"/>
              <w:jc w:val="right"/>
              <w:rPr>
                <w:rFonts w:cs="Arial"/>
                <w:b/>
                <w:sz w:val="18"/>
                <w:szCs w:val="18"/>
              </w:rPr>
            </w:pPr>
            <w:r w:rsidRPr="00312975">
              <w:rPr>
                <w:rFonts w:cs="Arial"/>
                <w:b/>
                <w:sz w:val="18"/>
                <w:szCs w:val="18"/>
              </w:rPr>
              <w:t xml:space="preserve"> 1.034 </w:t>
            </w:r>
          </w:p>
        </w:tc>
        <w:tc>
          <w:tcPr>
            <w:tcW w:w="1332" w:type="dxa"/>
            <w:tcBorders>
              <w:top w:val="nil"/>
              <w:left w:val="nil"/>
              <w:bottom w:val="single" w:sz="4" w:space="0" w:color="auto"/>
              <w:right w:val="nil"/>
            </w:tcBorders>
            <w:shd w:val="clear" w:color="auto" w:fill="auto"/>
            <w:noWrap/>
            <w:vAlign w:val="bottom"/>
          </w:tcPr>
          <w:p w14:paraId="5D44958E" w14:textId="1481CD96" w:rsidR="002C691C" w:rsidRPr="005F1FBF" w:rsidRDefault="002C691C" w:rsidP="002C691C">
            <w:pPr>
              <w:spacing w:after="0" w:line="240" w:lineRule="exact"/>
              <w:jc w:val="right"/>
              <w:rPr>
                <w:rFonts w:cs="Arial"/>
                <w:b/>
                <w:sz w:val="18"/>
                <w:szCs w:val="18"/>
              </w:rPr>
            </w:pPr>
            <w:r w:rsidRPr="00312975">
              <w:rPr>
                <w:rFonts w:cs="Arial"/>
                <w:b/>
                <w:sz w:val="18"/>
                <w:szCs w:val="18"/>
              </w:rPr>
              <w:t xml:space="preserve"> (36.657)</w:t>
            </w:r>
          </w:p>
        </w:tc>
        <w:tc>
          <w:tcPr>
            <w:tcW w:w="1333" w:type="dxa"/>
            <w:tcBorders>
              <w:top w:val="nil"/>
              <w:left w:val="nil"/>
              <w:bottom w:val="single" w:sz="4" w:space="0" w:color="auto"/>
              <w:right w:val="nil"/>
            </w:tcBorders>
            <w:shd w:val="clear" w:color="auto" w:fill="auto"/>
            <w:noWrap/>
            <w:vAlign w:val="bottom"/>
          </w:tcPr>
          <w:p w14:paraId="2B2A56CF" w14:textId="52B8B248" w:rsidR="002C691C" w:rsidRPr="005F1FBF" w:rsidRDefault="002C691C" w:rsidP="002C691C">
            <w:pPr>
              <w:spacing w:after="0" w:line="240" w:lineRule="exact"/>
              <w:jc w:val="right"/>
              <w:rPr>
                <w:rFonts w:cs="Arial"/>
                <w:b/>
                <w:sz w:val="18"/>
                <w:szCs w:val="18"/>
              </w:rPr>
            </w:pPr>
            <w:r w:rsidRPr="00312975">
              <w:rPr>
                <w:rFonts w:cs="Arial"/>
                <w:b/>
                <w:sz w:val="18"/>
                <w:szCs w:val="18"/>
              </w:rPr>
              <w:t xml:space="preserve"> 27.823.841 </w:t>
            </w:r>
          </w:p>
        </w:tc>
      </w:tr>
      <w:tr w:rsidR="00252ABE" w:rsidRPr="00535F46" w14:paraId="6943ABFB" w14:textId="77777777" w:rsidTr="00312975">
        <w:trPr>
          <w:trHeight w:val="315"/>
        </w:trPr>
        <w:tc>
          <w:tcPr>
            <w:tcW w:w="3085" w:type="dxa"/>
            <w:tcBorders>
              <w:left w:val="nil"/>
              <w:bottom w:val="nil"/>
              <w:right w:val="nil"/>
            </w:tcBorders>
            <w:shd w:val="clear" w:color="auto" w:fill="auto"/>
            <w:vAlign w:val="bottom"/>
          </w:tcPr>
          <w:p w14:paraId="4830AFB7" w14:textId="77777777" w:rsidR="00252ABE" w:rsidRPr="00535F46" w:rsidRDefault="00252ABE" w:rsidP="00252ABE">
            <w:pPr>
              <w:spacing w:after="0" w:line="240" w:lineRule="exact"/>
              <w:rPr>
                <w:rFonts w:cs="Arial"/>
                <w:b/>
                <w:bCs/>
                <w:sz w:val="18"/>
                <w:szCs w:val="18"/>
              </w:rPr>
            </w:pPr>
          </w:p>
        </w:tc>
        <w:tc>
          <w:tcPr>
            <w:tcW w:w="1332" w:type="dxa"/>
            <w:tcBorders>
              <w:top w:val="single" w:sz="8" w:space="0" w:color="auto"/>
              <w:left w:val="nil"/>
              <w:bottom w:val="nil"/>
              <w:right w:val="nil"/>
            </w:tcBorders>
            <w:shd w:val="clear" w:color="auto" w:fill="auto"/>
            <w:noWrap/>
            <w:vAlign w:val="bottom"/>
          </w:tcPr>
          <w:p w14:paraId="0ED1E6E3" w14:textId="77777777" w:rsidR="00252ABE" w:rsidRPr="00535F46" w:rsidRDefault="00252ABE" w:rsidP="00252ABE">
            <w:pPr>
              <w:spacing w:after="0" w:line="240" w:lineRule="exact"/>
              <w:jc w:val="right"/>
              <w:rPr>
                <w:rFonts w:cs="Arial"/>
                <w:b/>
                <w:sz w:val="18"/>
                <w:szCs w:val="18"/>
              </w:rPr>
            </w:pPr>
          </w:p>
        </w:tc>
        <w:tc>
          <w:tcPr>
            <w:tcW w:w="1503" w:type="dxa"/>
            <w:tcBorders>
              <w:top w:val="single" w:sz="8" w:space="0" w:color="auto"/>
              <w:left w:val="nil"/>
              <w:bottom w:val="nil"/>
              <w:right w:val="nil"/>
            </w:tcBorders>
            <w:shd w:val="clear" w:color="auto" w:fill="auto"/>
            <w:noWrap/>
            <w:vAlign w:val="bottom"/>
          </w:tcPr>
          <w:p w14:paraId="2593390E" w14:textId="77777777" w:rsidR="00252ABE" w:rsidRPr="00535F46" w:rsidRDefault="00252ABE" w:rsidP="00252ABE">
            <w:pPr>
              <w:spacing w:after="0" w:line="240" w:lineRule="exact"/>
              <w:jc w:val="right"/>
              <w:rPr>
                <w:rFonts w:cs="Arial"/>
                <w:b/>
                <w:sz w:val="18"/>
                <w:szCs w:val="18"/>
              </w:rPr>
            </w:pPr>
          </w:p>
        </w:tc>
        <w:tc>
          <w:tcPr>
            <w:tcW w:w="1162" w:type="dxa"/>
            <w:tcBorders>
              <w:top w:val="single" w:sz="8" w:space="0" w:color="auto"/>
              <w:left w:val="nil"/>
              <w:bottom w:val="nil"/>
              <w:right w:val="nil"/>
            </w:tcBorders>
            <w:shd w:val="clear" w:color="auto" w:fill="auto"/>
            <w:noWrap/>
            <w:vAlign w:val="bottom"/>
          </w:tcPr>
          <w:p w14:paraId="1C009678" w14:textId="77777777" w:rsidR="00252ABE" w:rsidRPr="00535F46" w:rsidRDefault="00252ABE" w:rsidP="00252ABE">
            <w:pPr>
              <w:spacing w:after="0" w:line="240" w:lineRule="exact"/>
              <w:jc w:val="right"/>
              <w:rPr>
                <w:rFonts w:cs="Arial"/>
                <w:b/>
                <w:sz w:val="18"/>
                <w:szCs w:val="18"/>
              </w:rPr>
            </w:pPr>
          </w:p>
        </w:tc>
        <w:tc>
          <w:tcPr>
            <w:tcW w:w="1332" w:type="dxa"/>
            <w:tcBorders>
              <w:top w:val="single" w:sz="8" w:space="0" w:color="auto"/>
              <w:left w:val="nil"/>
              <w:bottom w:val="nil"/>
              <w:right w:val="nil"/>
            </w:tcBorders>
            <w:shd w:val="clear" w:color="auto" w:fill="auto"/>
            <w:noWrap/>
            <w:vAlign w:val="bottom"/>
          </w:tcPr>
          <w:p w14:paraId="5D993EE7" w14:textId="77777777" w:rsidR="00252ABE" w:rsidRPr="00535F46" w:rsidRDefault="00252ABE" w:rsidP="00252ABE">
            <w:pPr>
              <w:spacing w:after="0" w:line="240" w:lineRule="exact"/>
              <w:jc w:val="right"/>
              <w:rPr>
                <w:rFonts w:cs="Arial"/>
                <w:b/>
                <w:sz w:val="18"/>
                <w:szCs w:val="18"/>
              </w:rPr>
            </w:pPr>
          </w:p>
        </w:tc>
        <w:tc>
          <w:tcPr>
            <w:tcW w:w="1333" w:type="dxa"/>
            <w:tcBorders>
              <w:top w:val="single" w:sz="8" w:space="0" w:color="auto"/>
              <w:left w:val="nil"/>
              <w:bottom w:val="nil"/>
              <w:right w:val="nil"/>
            </w:tcBorders>
            <w:shd w:val="clear" w:color="auto" w:fill="auto"/>
            <w:noWrap/>
            <w:vAlign w:val="bottom"/>
          </w:tcPr>
          <w:p w14:paraId="5B0EFE6E" w14:textId="77777777" w:rsidR="00252ABE" w:rsidRPr="00535F46" w:rsidRDefault="00252ABE" w:rsidP="00252ABE">
            <w:pPr>
              <w:spacing w:after="0" w:line="240" w:lineRule="exact"/>
              <w:jc w:val="right"/>
              <w:rPr>
                <w:rFonts w:cs="Arial"/>
                <w:b/>
                <w:sz w:val="18"/>
                <w:szCs w:val="18"/>
              </w:rPr>
            </w:pPr>
          </w:p>
        </w:tc>
      </w:tr>
      <w:tr w:rsidR="002C691C" w:rsidRPr="00535F46" w14:paraId="6A4FDF6D" w14:textId="77777777" w:rsidTr="00312975">
        <w:trPr>
          <w:trHeight w:val="121"/>
        </w:trPr>
        <w:tc>
          <w:tcPr>
            <w:tcW w:w="3085" w:type="dxa"/>
            <w:tcBorders>
              <w:top w:val="nil"/>
              <w:left w:val="nil"/>
              <w:bottom w:val="nil"/>
              <w:right w:val="nil"/>
            </w:tcBorders>
            <w:shd w:val="clear" w:color="auto" w:fill="auto"/>
            <w:vAlign w:val="bottom"/>
          </w:tcPr>
          <w:p w14:paraId="6429BD35" w14:textId="77777777" w:rsidR="002C691C" w:rsidRPr="00535F46" w:rsidRDefault="002C691C" w:rsidP="002C691C">
            <w:pPr>
              <w:spacing w:after="0" w:line="240" w:lineRule="exact"/>
              <w:rPr>
                <w:rFonts w:cs="Arial"/>
                <w:sz w:val="18"/>
                <w:szCs w:val="18"/>
              </w:rPr>
            </w:pPr>
            <w:r w:rsidRPr="00535F46">
              <w:rPr>
                <w:rFonts w:cs="Arial"/>
                <w:sz w:val="18"/>
                <w:szCs w:val="18"/>
              </w:rPr>
              <w:t>Obveze segmenta</w:t>
            </w:r>
          </w:p>
        </w:tc>
        <w:tc>
          <w:tcPr>
            <w:tcW w:w="1332" w:type="dxa"/>
            <w:tcBorders>
              <w:top w:val="nil"/>
              <w:left w:val="nil"/>
              <w:bottom w:val="nil"/>
              <w:right w:val="nil"/>
            </w:tcBorders>
            <w:shd w:val="clear" w:color="auto" w:fill="auto"/>
            <w:noWrap/>
            <w:vAlign w:val="bottom"/>
          </w:tcPr>
          <w:p w14:paraId="304C9237" w14:textId="129C563E" w:rsidR="002C691C" w:rsidRPr="00535F46" w:rsidRDefault="002C691C" w:rsidP="002C691C">
            <w:pPr>
              <w:spacing w:after="0" w:line="240" w:lineRule="exact"/>
              <w:jc w:val="right"/>
              <w:rPr>
                <w:rFonts w:cs="Arial"/>
                <w:sz w:val="18"/>
                <w:szCs w:val="18"/>
              </w:rPr>
            </w:pPr>
            <w:r w:rsidRPr="00312975">
              <w:rPr>
                <w:rFonts w:cs="Arial"/>
                <w:sz w:val="18"/>
                <w:szCs w:val="18"/>
              </w:rPr>
              <w:t xml:space="preserve"> 17.639.546 </w:t>
            </w:r>
          </w:p>
        </w:tc>
        <w:tc>
          <w:tcPr>
            <w:tcW w:w="1503" w:type="dxa"/>
            <w:tcBorders>
              <w:top w:val="nil"/>
              <w:left w:val="nil"/>
              <w:bottom w:val="nil"/>
              <w:right w:val="nil"/>
            </w:tcBorders>
            <w:shd w:val="clear" w:color="auto" w:fill="auto"/>
            <w:noWrap/>
            <w:vAlign w:val="bottom"/>
          </w:tcPr>
          <w:p w14:paraId="04921A68" w14:textId="12A53316" w:rsidR="002C691C" w:rsidRPr="00535F46" w:rsidRDefault="002C691C" w:rsidP="002C691C">
            <w:pPr>
              <w:spacing w:after="0" w:line="240" w:lineRule="exact"/>
              <w:jc w:val="right"/>
              <w:rPr>
                <w:rFonts w:cs="Arial"/>
                <w:sz w:val="18"/>
                <w:szCs w:val="18"/>
              </w:rPr>
            </w:pPr>
            <w:r w:rsidRPr="00312975">
              <w:rPr>
                <w:rFonts w:cs="Arial"/>
                <w:sz w:val="18"/>
                <w:szCs w:val="18"/>
              </w:rPr>
              <w:t xml:space="preserve"> 11.574 </w:t>
            </w:r>
          </w:p>
        </w:tc>
        <w:tc>
          <w:tcPr>
            <w:tcW w:w="1162" w:type="dxa"/>
            <w:tcBorders>
              <w:top w:val="nil"/>
              <w:left w:val="nil"/>
              <w:bottom w:val="nil"/>
              <w:right w:val="nil"/>
            </w:tcBorders>
            <w:shd w:val="clear" w:color="auto" w:fill="auto"/>
            <w:noWrap/>
            <w:vAlign w:val="bottom"/>
          </w:tcPr>
          <w:p w14:paraId="740BB3C3" w14:textId="66A58D0F" w:rsidR="002C691C" w:rsidRPr="00535F46" w:rsidRDefault="002C691C" w:rsidP="002C691C">
            <w:pPr>
              <w:spacing w:after="0" w:line="240" w:lineRule="exact"/>
              <w:jc w:val="right"/>
              <w:rPr>
                <w:rFonts w:cs="Arial"/>
                <w:sz w:val="18"/>
                <w:szCs w:val="18"/>
              </w:rPr>
            </w:pPr>
            <w:r w:rsidRPr="00312975">
              <w:rPr>
                <w:rFonts w:cs="Arial"/>
                <w:sz w:val="18"/>
                <w:szCs w:val="18"/>
              </w:rPr>
              <w:t xml:space="preserve"> 87 </w:t>
            </w:r>
          </w:p>
        </w:tc>
        <w:tc>
          <w:tcPr>
            <w:tcW w:w="1332" w:type="dxa"/>
            <w:tcBorders>
              <w:top w:val="nil"/>
              <w:left w:val="nil"/>
              <w:bottom w:val="nil"/>
              <w:right w:val="nil"/>
            </w:tcBorders>
            <w:shd w:val="clear" w:color="auto" w:fill="auto"/>
            <w:noWrap/>
            <w:vAlign w:val="bottom"/>
          </w:tcPr>
          <w:p w14:paraId="7FFC3194" w14:textId="78216FE2" w:rsidR="002C691C" w:rsidRPr="00535F46" w:rsidRDefault="002C691C" w:rsidP="002C691C">
            <w:pPr>
              <w:spacing w:after="0" w:line="240" w:lineRule="exact"/>
              <w:jc w:val="right"/>
              <w:rPr>
                <w:rFonts w:cs="Arial"/>
                <w:sz w:val="18"/>
                <w:szCs w:val="18"/>
              </w:rPr>
            </w:pPr>
            <w:r w:rsidRPr="00312975">
              <w:rPr>
                <w:rFonts w:cs="Arial"/>
                <w:sz w:val="18"/>
                <w:szCs w:val="18"/>
              </w:rPr>
              <w:t xml:space="preserve"> (31)</w:t>
            </w:r>
          </w:p>
        </w:tc>
        <w:tc>
          <w:tcPr>
            <w:tcW w:w="1333" w:type="dxa"/>
            <w:tcBorders>
              <w:top w:val="nil"/>
              <w:left w:val="nil"/>
              <w:bottom w:val="nil"/>
              <w:right w:val="nil"/>
            </w:tcBorders>
            <w:shd w:val="clear" w:color="auto" w:fill="auto"/>
            <w:noWrap/>
            <w:vAlign w:val="bottom"/>
          </w:tcPr>
          <w:p w14:paraId="0906F0C8" w14:textId="35CE1F79" w:rsidR="002C691C" w:rsidRPr="00535F46" w:rsidRDefault="002C691C" w:rsidP="002C691C">
            <w:pPr>
              <w:spacing w:after="0" w:line="240" w:lineRule="exact"/>
              <w:jc w:val="right"/>
              <w:rPr>
                <w:rFonts w:cs="Arial"/>
                <w:sz w:val="18"/>
                <w:szCs w:val="18"/>
              </w:rPr>
            </w:pPr>
            <w:r w:rsidRPr="00312975">
              <w:rPr>
                <w:rFonts w:cs="Arial"/>
                <w:sz w:val="18"/>
                <w:szCs w:val="18"/>
              </w:rPr>
              <w:t xml:space="preserve"> 17.651.176 </w:t>
            </w:r>
          </w:p>
        </w:tc>
      </w:tr>
      <w:tr w:rsidR="002C691C" w:rsidRPr="00535F46" w14:paraId="2123328E" w14:textId="77777777" w:rsidTr="00312975">
        <w:trPr>
          <w:trHeight w:val="300"/>
        </w:trPr>
        <w:tc>
          <w:tcPr>
            <w:tcW w:w="3085" w:type="dxa"/>
            <w:tcBorders>
              <w:top w:val="nil"/>
              <w:left w:val="nil"/>
              <w:right w:val="nil"/>
            </w:tcBorders>
            <w:shd w:val="clear" w:color="auto" w:fill="auto"/>
            <w:vAlign w:val="bottom"/>
          </w:tcPr>
          <w:p w14:paraId="153B5056" w14:textId="77777777" w:rsidR="002C691C" w:rsidRPr="00535F46" w:rsidRDefault="002C691C" w:rsidP="002C691C">
            <w:pPr>
              <w:spacing w:after="0" w:line="240" w:lineRule="exact"/>
              <w:rPr>
                <w:rFonts w:cs="Arial"/>
                <w:sz w:val="18"/>
                <w:szCs w:val="18"/>
              </w:rPr>
            </w:pPr>
            <w:r w:rsidRPr="00535F46">
              <w:rPr>
                <w:rFonts w:cs="Arial"/>
                <w:sz w:val="18"/>
                <w:szCs w:val="18"/>
              </w:rPr>
              <w:t>Ukupna glavnica</w:t>
            </w:r>
          </w:p>
        </w:tc>
        <w:tc>
          <w:tcPr>
            <w:tcW w:w="1332" w:type="dxa"/>
            <w:tcBorders>
              <w:top w:val="nil"/>
              <w:left w:val="nil"/>
              <w:bottom w:val="nil"/>
              <w:right w:val="nil"/>
            </w:tcBorders>
            <w:shd w:val="clear" w:color="auto" w:fill="auto"/>
            <w:noWrap/>
            <w:vAlign w:val="bottom"/>
          </w:tcPr>
          <w:p w14:paraId="1F85B0C3" w14:textId="3F9A2DDD" w:rsidR="002C691C" w:rsidRPr="00535F46" w:rsidRDefault="002C691C" w:rsidP="002C691C">
            <w:pPr>
              <w:spacing w:after="0" w:line="240" w:lineRule="exact"/>
              <w:jc w:val="right"/>
              <w:rPr>
                <w:rFonts w:cs="Arial"/>
                <w:sz w:val="18"/>
                <w:szCs w:val="18"/>
              </w:rPr>
            </w:pPr>
            <w:r w:rsidRPr="00312975">
              <w:rPr>
                <w:rFonts w:cs="Arial"/>
                <w:sz w:val="18"/>
                <w:szCs w:val="18"/>
              </w:rPr>
              <w:t xml:space="preserve"> 10.166.427 </w:t>
            </w:r>
          </w:p>
        </w:tc>
        <w:tc>
          <w:tcPr>
            <w:tcW w:w="1503" w:type="dxa"/>
            <w:tcBorders>
              <w:top w:val="nil"/>
              <w:left w:val="nil"/>
              <w:bottom w:val="nil"/>
              <w:right w:val="nil"/>
            </w:tcBorders>
            <w:shd w:val="clear" w:color="auto" w:fill="auto"/>
            <w:noWrap/>
            <w:vAlign w:val="bottom"/>
          </w:tcPr>
          <w:p w14:paraId="66DAE12F" w14:textId="18DE4703" w:rsidR="002C691C" w:rsidRPr="00535F46" w:rsidRDefault="002C691C" w:rsidP="002C691C">
            <w:pPr>
              <w:spacing w:after="0" w:line="240" w:lineRule="exact"/>
              <w:jc w:val="right"/>
              <w:rPr>
                <w:rFonts w:cs="Arial"/>
                <w:sz w:val="18"/>
                <w:szCs w:val="18"/>
              </w:rPr>
            </w:pPr>
            <w:r w:rsidRPr="00312975">
              <w:rPr>
                <w:rFonts w:cs="Arial"/>
                <w:sz w:val="18"/>
                <w:szCs w:val="18"/>
              </w:rPr>
              <w:t xml:space="preserve"> 4.417 </w:t>
            </w:r>
          </w:p>
        </w:tc>
        <w:tc>
          <w:tcPr>
            <w:tcW w:w="1162" w:type="dxa"/>
            <w:tcBorders>
              <w:top w:val="nil"/>
              <w:left w:val="nil"/>
              <w:bottom w:val="nil"/>
              <w:right w:val="nil"/>
            </w:tcBorders>
            <w:shd w:val="clear" w:color="auto" w:fill="auto"/>
            <w:noWrap/>
            <w:vAlign w:val="bottom"/>
          </w:tcPr>
          <w:p w14:paraId="75FDB8B0" w14:textId="2256FBC2" w:rsidR="002C691C" w:rsidRPr="00535F46" w:rsidRDefault="002C691C" w:rsidP="002C691C">
            <w:pPr>
              <w:spacing w:after="0" w:line="240" w:lineRule="exact"/>
              <w:jc w:val="right"/>
              <w:rPr>
                <w:rFonts w:cs="Arial"/>
                <w:sz w:val="18"/>
                <w:szCs w:val="18"/>
              </w:rPr>
            </w:pPr>
            <w:r w:rsidRPr="00312975">
              <w:rPr>
                <w:rFonts w:cs="Arial"/>
                <w:sz w:val="18"/>
                <w:szCs w:val="18"/>
              </w:rPr>
              <w:t xml:space="preserve"> 647 </w:t>
            </w:r>
          </w:p>
        </w:tc>
        <w:tc>
          <w:tcPr>
            <w:tcW w:w="1332" w:type="dxa"/>
            <w:tcBorders>
              <w:top w:val="nil"/>
              <w:left w:val="nil"/>
              <w:bottom w:val="nil"/>
              <w:right w:val="nil"/>
            </w:tcBorders>
            <w:shd w:val="clear" w:color="auto" w:fill="auto"/>
            <w:noWrap/>
            <w:vAlign w:val="bottom"/>
          </w:tcPr>
          <w:p w14:paraId="21A3385E" w14:textId="7E0507C1" w:rsidR="002C691C" w:rsidRPr="00535F46" w:rsidRDefault="002C691C" w:rsidP="002C691C">
            <w:pPr>
              <w:spacing w:after="0" w:line="240" w:lineRule="exact"/>
              <w:jc w:val="right"/>
              <w:rPr>
                <w:rFonts w:cs="Arial"/>
                <w:sz w:val="18"/>
                <w:szCs w:val="18"/>
              </w:rPr>
            </w:pPr>
            <w:r w:rsidRPr="00312975">
              <w:rPr>
                <w:rFonts w:cs="Arial"/>
                <w:sz w:val="18"/>
                <w:szCs w:val="18"/>
              </w:rPr>
              <w:t xml:space="preserve"> 1.174 </w:t>
            </w:r>
          </w:p>
        </w:tc>
        <w:tc>
          <w:tcPr>
            <w:tcW w:w="1333" w:type="dxa"/>
            <w:tcBorders>
              <w:top w:val="nil"/>
              <w:left w:val="nil"/>
              <w:bottom w:val="nil"/>
              <w:right w:val="nil"/>
            </w:tcBorders>
            <w:shd w:val="clear" w:color="auto" w:fill="auto"/>
            <w:noWrap/>
            <w:vAlign w:val="bottom"/>
          </w:tcPr>
          <w:p w14:paraId="0DB62E84" w14:textId="220785DB" w:rsidR="002C691C" w:rsidRPr="00535F46" w:rsidRDefault="002C691C" w:rsidP="002C691C">
            <w:pPr>
              <w:spacing w:after="0" w:line="240" w:lineRule="exact"/>
              <w:jc w:val="right"/>
              <w:rPr>
                <w:rFonts w:cs="Arial"/>
                <w:sz w:val="18"/>
                <w:szCs w:val="18"/>
              </w:rPr>
            </w:pPr>
            <w:r w:rsidRPr="00312975">
              <w:rPr>
                <w:rFonts w:cs="Arial"/>
                <w:sz w:val="18"/>
                <w:szCs w:val="18"/>
              </w:rPr>
              <w:t xml:space="preserve"> 10.172.665 </w:t>
            </w:r>
          </w:p>
        </w:tc>
      </w:tr>
      <w:tr w:rsidR="002C691C" w:rsidRPr="00535F46" w14:paraId="29022F26" w14:textId="77777777" w:rsidTr="00312975">
        <w:trPr>
          <w:trHeight w:val="306"/>
        </w:trPr>
        <w:tc>
          <w:tcPr>
            <w:tcW w:w="3085" w:type="dxa"/>
            <w:tcBorders>
              <w:left w:val="nil"/>
              <w:right w:val="nil"/>
            </w:tcBorders>
            <w:shd w:val="clear" w:color="auto" w:fill="auto"/>
            <w:vAlign w:val="bottom"/>
          </w:tcPr>
          <w:p w14:paraId="5E5738B1" w14:textId="77777777" w:rsidR="002C691C" w:rsidRPr="00535F46" w:rsidRDefault="002C691C" w:rsidP="002C691C">
            <w:pPr>
              <w:spacing w:after="0" w:line="240" w:lineRule="exact"/>
              <w:rPr>
                <w:rFonts w:cs="Arial"/>
                <w:sz w:val="18"/>
                <w:szCs w:val="18"/>
              </w:rPr>
            </w:pPr>
            <w:r w:rsidRPr="00535F46">
              <w:rPr>
                <w:rFonts w:cs="Arial"/>
                <w:b/>
                <w:bCs/>
                <w:sz w:val="18"/>
                <w:szCs w:val="18"/>
              </w:rPr>
              <w:t>Ukupne obveze i glavnica</w:t>
            </w:r>
          </w:p>
        </w:tc>
        <w:tc>
          <w:tcPr>
            <w:tcW w:w="1332" w:type="dxa"/>
            <w:tcBorders>
              <w:top w:val="single" w:sz="4" w:space="0" w:color="auto"/>
              <w:left w:val="nil"/>
              <w:bottom w:val="single" w:sz="8" w:space="0" w:color="auto"/>
              <w:right w:val="nil"/>
            </w:tcBorders>
            <w:shd w:val="clear" w:color="auto" w:fill="auto"/>
            <w:noWrap/>
            <w:vAlign w:val="bottom"/>
          </w:tcPr>
          <w:p w14:paraId="5326C69A" w14:textId="15A6D716" w:rsidR="002C691C" w:rsidRPr="005F1FBF" w:rsidRDefault="002C691C" w:rsidP="002C691C">
            <w:pPr>
              <w:spacing w:after="0" w:line="240" w:lineRule="exact"/>
              <w:jc w:val="right"/>
              <w:rPr>
                <w:rFonts w:cs="Arial"/>
                <w:b/>
                <w:sz w:val="18"/>
                <w:szCs w:val="18"/>
              </w:rPr>
            </w:pPr>
            <w:r w:rsidRPr="00312975">
              <w:rPr>
                <w:rFonts w:cs="Arial"/>
                <w:b/>
                <w:sz w:val="18"/>
                <w:szCs w:val="18"/>
              </w:rPr>
              <w:t xml:space="preserve"> 27.805.973 </w:t>
            </w:r>
          </w:p>
        </w:tc>
        <w:tc>
          <w:tcPr>
            <w:tcW w:w="1503" w:type="dxa"/>
            <w:tcBorders>
              <w:top w:val="single" w:sz="4" w:space="0" w:color="auto"/>
              <w:left w:val="nil"/>
              <w:bottom w:val="single" w:sz="8" w:space="0" w:color="auto"/>
              <w:right w:val="nil"/>
            </w:tcBorders>
            <w:shd w:val="clear" w:color="auto" w:fill="auto"/>
            <w:noWrap/>
            <w:vAlign w:val="bottom"/>
          </w:tcPr>
          <w:p w14:paraId="119DD5CB" w14:textId="3C962722" w:rsidR="002C691C" w:rsidRPr="005F1FBF" w:rsidRDefault="002C691C" w:rsidP="002C691C">
            <w:pPr>
              <w:spacing w:after="0" w:line="240" w:lineRule="exact"/>
              <w:jc w:val="right"/>
              <w:rPr>
                <w:rFonts w:cs="Arial"/>
                <w:b/>
                <w:sz w:val="18"/>
                <w:szCs w:val="18"/>
              </w:rPr>
            </w:pPr>
            <w:r w:rsidRPr="00312975">
              <w:rPr>
                <w:rFonts w:cs="Arial"/>
                <w:b/>
                <w:sz w:val="18"/>
                <w:szCs w:val="18"/>
              </w:rPr>
              <w:t xml:space="preserve"> 15.991 </w:t>
            </w:r>
          </w:p>
        </w:tc>
        <w:tc>
          <w:tcPr>
            <w:tcW w:w="1162" w:type="dxa"/>
            <w:tcBorders>
              <w:top w:val="single" w:sz="4" w:space="0" w:color="auto"/>
              <w:left w:val="nil"/>
              <w:bottom w:val="single" w:sz="8" w:space="0" w:color="auto"/>
              <w:right w:val="nil"/>
            </w:tcBorders>
            <w:shd w:val="clear" w:color="auto" w:fill="auto"/>
            <w:noWrap/>
            <w:vAlign w:val="bottom"/>
          </w:tcPr>
          <w:p w14:paraId="6F1F8A09" w14:textId="67680968" w:rsidR="002C691C" w:rsidRPr="005F1FBF" w:rsidRDefault="002C691C" w:rsidP="002C691C">
            <w:pPr>
              <w:spacing w:after="0" w:line="240" w:lineRule="exact"/>
              <w:jc w:val="right"/>
              <w:rPr>
                <w:rFonts w:cs="Arial"/>
                <w:b/>
                <w:sz w:val="18"/>
                <w:szCs w:val="18"/>
              </w:rPr>
            </w:pPr>
            <w:r w:rsidRPr="00312975">
              <w:rPr>
                <w:rFonts w:cs="Arial"/>
                <w:b/>
                <w:sz w:val="18"/>
                <w:szCs w:val="18"/>
              </w:rPr>
              <w:t xml:space="preserve"> 734 </w:t>
            </w:r>
          </w:p>
        </w:tc>
        <w:tc>
          <w:tcPr>
            <w:tcW w:w="1332" w:type="dxa"/>
            <w:tcBorders>
              <w:top w:val="single" w:sz="4" w:space="0" w:color="auto"/>
              <w:left w:val="nil"/>
              <w:bottom w:val="single" w:sz="8" w:space="0" w:color="auto"/>
              <w:right w:val="nil"/>
            </w:tcBorders>
            <w:shd w:val="clear" w:color="auto" w:fill="auto"/>
            <w:noWrap/>
            <w:vAlign w:val="bottom"/>
          </w:tcPr>
          <w:p w14:paraId="27FF6B70" w14:textId="1D3DD49E" w:rsidR="002C691C" w:rsidRPr="005F1FBF" w:rsidRDefault="002C691C" w:rsidP="002C691C">
            <w:pPr>
              <w:spacing w:after="0" w:line="240" w:lineRule="exact"/>
              <w:jc w:val="right"/>
              <w:rPr>
                <w:rFonts w:cs="Arial"/>
                <w:b/>
                <w:sz w:val="18"/>
                <w:szCs w:val="18"/>
              </w:rPr>
            </w:pPr>
            <w:r w:rsidRPr="00312975">
              <w:rPr>
                <w:rFonts w:cs="Arial"/>
                <w:b/>
                <w:sz w:val="18"/>
                <w:szCs w:val="18"/>
              </w:rPr>
              <w:t xml:space="preserve"> 1.143 </w:t>
            </w:r>
          </w:p>
        </w:tc>
        <w:tc>
          <w:tcPr>
            <w:tcW w:w="1333" w:type="dxa"/>
            <w:tcBorders>
              <w:top w:val="single" w:sz="4" w:space="0" w:color="auto"/>
              <w:left w:val="nil"/>
              <w:bottom w:val="single" w:sz="8" w:space="0" w:color="auto"/>
              <w:right w:val="nil"/>
            </w:tcBorders>
            <w:shd w:val="clear" w:color="auto" w:fill="auto"/>
            <w:noWrap/>
            <w:vAlign w:val="bottom"/>
          </w:tcPr>
          <w:p w14:paraId="0CC97E62" w14:textId="68127236" w:rsidR="002C691C" w:rsidRPr="005F1FBF" w:rsidRDefault="002C691C" w:rsidP="002C691C">
            <w:pPr>
              <w:spacing w:after="0" w:line="240" w:lineRule="exact"/>
              <w:jc w:val="right"/>
              <w:rPr>
                <w:rFonts w:cs="Arial"/>
                <w:b/>
                <w:sz w:val="18"/>
                <w:szCs w:val="18"/>
              </w:rPr>
            </w:pPr>
            <w:r w:rsidRPr="00312975">
              <w:rPr>
                <w:rFonts w:cs="Arial"/>
                <w:b/>
                <w:sz w:val="18"/>
                <w:szCs w:val="18"/>
              </w:rPr>
              <w:t xml:space="preserve"> 27.823.841 </w:t>
            </w:r>
          </w:p>
        </w:tc>
      </w:tr>
      <w:tr w:rsidR="00A313DB" w:rsidRPr="00535F46" w14:paraId="5FC06ED1" w14:textId="77777777" w:rsidTr="00312975">
        <w:trPr>
          <w:trHeight w:hRule="exact" w:val="170"/>
        </w:trPr>
        <w:tc>
          <w:tcPr>
            <w:tcW w:w="3085" w:type="dxa"/>
            <w:tcBorders>
              <w:left w:val="nil"/>
              <w:right w:val="nil"/>
            </w:tcBorders>
            <w:shd w:val="clear" w:color="auto" w:fill="auto"/>
            <w:vAlign w:val="bottom"/>
          </w:tcPr>
          <w:p w14:paraId="53D78B76" w14:textId="77777777" w:rsidR="00A313DB" w:rsidRPr="00535F46" w:rsidRDefault="00A313DB" w:rsidP="00B54003">
            <w:pPr>
              <w:spacing w:after="0" w:line="240" w:lineRule="exact"/>
              <w:rPr>
                <w:rFonts w:cs="Arial"/>
                <w:b/>
                <w:bCs/>
                <w:sz w:val="18"/>
                <w:szCs w:val="18"/>
              </w:rPr>
            </w:pPr>
          </w:p>
        </w:tc>
        <w:tc>
          <w:tcPr>
            <w:tcW w:w="1332" w:type="dxa"/>
            <w:tcBorders>
              <w:top w:val="single" w:sz="12" w:space="0" w:color="auto"/>
              <w:left w:val="nil"/>
              <w:right w:val="nil"/>
            </w:tcBorders>
            <w:shd w:val="clear" w:color="auto" w:fill="auto"/>
            <w:noWrap/>
            <w:vAlign w:val="bottom"/>
          </w:tcPr>
          <w:p w14:paraId="0F0E12B9" w14:textId="77777777" w:rsidR="00A313DB" w:rsidRPr="00535F46" w:rsidRDefault="00A313DB" w:rsidP="00B54003">
            <w:pPr>
              <w:spacing w:after="0" w:line="240" w:lineRule="exact"/>
              <w:jc w:val="right"/>
              <w:rPr>
                <w:rFonts w:cs="Arial"/>
                <w:b/>
                <w:bCs/>
                <w:sz w:val="18"/>
                <w:szCs w:val="18"/>
              </w:rPr>
            </w:pPr>
          </w:p>
        </w:tc>
        <w:tc>
          <w:tcPr>
            <w:tcW w:w="1503" w:type="dxa"/>
            <w:tcBorders>
              <w:top w:val="single" w:sz="12" w:space="0" w:color="auto"/>
              <w:left w:val="nil"/>
              <w:right w:val="nil"/>
            </w:tcBorders>
            <w:shd w:val="clear" w:color="auto" w:fill="auto"/>
            <w:noWrap/>
            <w:vAlign w:val="bottom"/>
          </w:tcPr>
          <w:p w14:paraId="29F1096B" w14:textId="77777777" w:rsidR="00A313DB" w:rsidRPr="00535F46" w:rsidRDefault="00A313DB" w:rsidP="00B54003">
            <w:pPr>
              <w:spacing w:after="0" w:line="240" w:lineRule="exact"/>
              <w:jc w:val="right"/>
              <w:rPr>
                <w:rFonts w:cs="Arial"/>
                <w:b/>
                <w:bCs/>
                <w:sz w:val="18"/>
                <w:szCs w:val="18"/>
              </w:rPr>
            </w:pPr>
          </w:p>
        </w:tc>
        <w:tc>
          <w:tcPr>
            <w:tcW w:w="1162" w:type="dxa"/>
            <w:tcBorders>
              <w:top w:val="single" w:sz="12" w:space="0" w:color="auto"/>
              <w:left w:val="nil"/>
              <w:right w:val="nil"/>
            </w:tcBorders>
            <w:shd w:val="clear" w:color="auto" w:fill="auto"/>
            <w:noWrap/>
            <w:vAlign w:val="bottom"/>
          </w:tcPr>
          <w:p w14:paraId="1F0308EB" w14:textId="77777777" w:rsidR="00A313DB" w:rsidRPr="00535F46" w:rsidRDefault="00A313DB" w:rsidP="00B54003">
            <w:pPr>
              <w:spacing w:after="0" w:line="240" w:lineRule="exact"/>
              <w:jc w:val="right"/>
              <w:rPr>
                <w:rFonts w:cs="Arial"/>
                <w:b/>
                <w:bCs/>
                <w:sz w:val="18"/>
                <w:szCs w:val="18"/>
              </w:rPr>
            </w:pPr>
          </w:p>
        </w:tc>
        <w:tc>
          <w:tcPr>
            <w:tcW w:w="1332" w:type="dxa"/>
            <w:tcBorders>
              <w:top w:val="single" w:sz="12" w:space="0" w:color="auto"/>
              <w:left w:val="nil"/>
              <w:right w:val="nil"/>
            </w:tcBorders>
            <w:shd w:val="clear" w:color="auto" w:fill="auto"/>
            <w:noWrap/>
            <w:vAlign w:val="bottom"/>
          </w:tcPr>
          <w:p w14:paraId="5279D7F1" w14:textId="77777777" w:rsidR="00A313DB" w:rsidRPr="00535F46" w:rsidRDefault="00A313DB" w:rsidP="00B54003">
            <w:pPr>
              <w:spacing w:after="0" w:line="240" w:lineRule="exact"/>
              <w:jc w:val="right"/>
              <w:rPr>
                <w:rFonts w:cs="Arial"/>
                <w:b/>
                <w:bCs/>
                <w:sz w:val="18"/>
                <w:szCs w:val="18"/>
              </w:rPr>
            </w:pPr>
          </w:p>
        </w:tc>
        <w:tc>
          <w:tcPr>
            <w:tcW w:w="1333" w:type="dxa"/>
            <w:tcBorders>
              <w:top w:val="single" w:sz="12" w:space="0" w:color="auto"/>
              <w:left w:val="nil"/>
              <w:right w:val="nil"/>
            </w:tcBorders>
            <w:shd w:val="clear" w:color="auto" w:fill="auto"/>
            <w:noWrap/>
            <w:vAlign w:val="bottom"/>
          </w:tcPr>
          <w:p w14:paraId="275E17B6" w14:textId="77777777" w:rsidR="00A313DB" w:rsidRPr="00535F46" w:rsidRDefault="00A313DB" w:rsidP="00B54003">
            <w:pPr>
              <w:spacing w:after="0" w:line="240" w:lineRule="exact"/>
              <w:jc w:val="right"/>
              <w:rPr>
                <w:rFonts w:cs="Arial"/>
                <w:b/>
                <w:bCs/>
                <w:sz w:val="18"/>
                <w:szCs w:val="18"/>
              </w:rPr>
            </w:pPr>
          </w:p>
        </w:tc>
      </w:tr>
    </w:tbl>
    <w:p w14:paraId="74682FA0" w14:textId="77777777" w:rsidR="003A43EB" w:rsidRPr="00CA37C8" w:rsidRDefault="003A43EB" w:rsidP="00A37280">
      <w:pPr>
        <w:spacing w:after="0" w:line="240" w:lineRule="auto"/>
        <w:jc w:val="both"/>
        <w:rPr>
          <w:rFonts w:eastAsia="Times New Roman" w:cs="Arial"/>
          <w:sz w:val="24"/>
          <w:szCs w:val="24"/>
        </w:rPr>
      </w:pPr>
    </w:p>
    <w:p w14:paraId="5BF7F5F3" w14:textId="77777777" w:rsidR="002A4A84" w:rsidRDefault="002A4A84" w:rsidP="00A37280">
      <w:pPr>
        <w:spacing w:after="0" w:line="240" w:lineRule="auto"/>
        <w:jc w:val="both"/>
        <w:rPr>
          <w:rFonts w:eastAsia="Times New Roman" w:cs="Arial"/>
        </w:rPr>
      </w:pPr>
      <w:r w:rsidRPr="00ED4731">
        <w:rPr>
          <w:rFonts w:eastAsia="Times New Roman" w:cs="Arial"/>
        </w:rPr>
        <w:t>Međusobni odnosi između članica Grupe iskazani su u koloni „Neraspoređeno“.</w:t>
      </w:r>
    </w:p>
    <w:p w14:paraId="52A3499C" w14:textId="77777777" w:rsidR="00A37280" w:rsidRPr="00ED4731" w:rsidRDefault="00A37280" w:rsidP="00A37280">
      <w:pPr>
        <w:spacing w:after="0" w:line="240" w:lineRule="auto"/>
        <w:jc w:val="both"/>
        <w:rPr>
          <w:rFonts w:eastAsia="Times New Roman" w:cs="Arial"/>
        </w:rPr>
      </w:pPr>
    </w:p>
    <w:p w14:paraId="5D4BD9CF" w14:textId="77777777" w:rsidR="002A4A84" w:rsidRPr="00ED4731" w:rsidRDefault="002A4A84" w:rsidP="00A37280">
      <w:pPr>
        <w:spacing w:after="0" w:line="240" w:lineRule="auto"/>
        <w:jc w:val="both"/>
        <w:rPr>
          <w:rFonts w:eastAsia="Times New Roman" w:cs="Arial"/>
        </w:rPr>
      </w:pPr>
      <w:r w:rsidRPr="00ED4731">
        <w:rPr>
          <w:rFonts w:eastAsia="Times New Roman" w:cs="Arial"/>
        </w:rPr>
        <w:t>Za potrebe izrade ove bilješke Neto prihodi/(rashodi) od financijskih aktivnosti iskazuju se kao stavka prihoda, neovisno o ostvarenju, radi usporedivosti veličina iskazanih u Izvještaju o dobiti i gubitku te ostaloj sveobuhvatnoj dobiti.</w:t>
      </w:r>
    </w:p>
    <w:p w14:paraId="41EFC8DE" w14:textId="77777777" w:rsidR="00DE00A1" w:rsidRDefault="00DE00A1" w:rsidP="00A37280">
      <w:pPr>
        <w:spacing w:after="0" w:line="240" w:lineRule="auto"/>
        <w:jc w:val="both"/>
        <w:rPr>
          <w:rFonts w:eastAsia="Times New Roman" w:cs="Calibri"/>
          <w:sz w:val="24"/>
          <w:szCs w:val="24"/>
          <w:lang w:eastAsia="hr-HR"/>
        </w:rPr>
      </w:pPr>
    </w:p>
    <w:p w14:paraId="26F9D15B" w14:textId="19D3F0BA" w:rsidR="00AE1588" w:rsidRPr="00F1130C" w:rsidRDefault="00AE1588" w:rsidP="00A37280">
      <w:pPr>
        <w:spacing w:after="0" w:line="240" w:lineRule="auto"/>
        <w:jc w:val="both"/>
        <w:rPr>
          <w:rFonts w:eastAsia="Times New Roman" w:cs="Calibri"/>
          <w:lang w:eastAsia="hr-HR"/>
        </w:rPr>
        <w:sectPr w:rsidR="00AE1588" w:rsidRPr="00F1130C" w:rsidSect="005F169D">
          <w:footerReference w:type="first" r:id="rId133"/>
          <w:pgSz w:w="11906" w:h="16838" w:code="9"/>
          <w:pgMar w:top="1418" w:right="1418" w:bottom="595" w:left="1134" w:header="709" w:footer="709" w:gutter="0"/>
          <w:cols w:space="708"/>
          <w:titlePg/>
          <w:docGrid w:linePitch="360"/>
        </w:sectPr>
      </w:pPr>
      <w:r w:rsidRPr="00F1130C">
        <w:rPr>
          <w:rFonts w:eastAsia="Times New Roman" w:cs="Calibri"/>
          <w:lang w:eastAsia="hr-HR"/>
        </w:rPr>
        <w:t xml:space="preserve">Grupa se </w:t>
      </w:r>
      <w:r w:rsidR="00670F4A" w:rsidRPr="00F1130C">
        <w:rPr>
          <w:rFonts w:eastAsia="Times New Roman" w:cs="Calibri"/>
          <w:lang w:eastAsia="hr-HR"/>
        </w:rPr>
        <w:t>od</w:t>
      </w:r>
      <w:r w:rsidR="00670F4A">
        <w:rPr>
          <w:rFonts w:eastAsia="Times New Roman" w:cs="Calibri"/>
          <w:lang w:eastAsia="hr-HR"/>
        </w:rPr>
        <w:t>lučila</w:t>
      </w:r>
      <w:r w:rsidR="00670F4A" w:rsidRPr="00F1130C">
        <w:rPr>
          <w:rFonts w:eastAsia="Times New Roman" w:cs="Calibri"/>
          <w:lang w:eastAsia="hr-HR"/>
        </w:rPr>
        <w:t xml:space="preserve"> </w:t>
      </w:r>
      <w:r w:rsidRPr="00F1130C">
        <w:rPr>
          <w:rFonts w:eastAsia="Times New Roman" w:cs="Calibri"/>
          <w:lang w:eastAsia="hr-HR"/>
        </w:rPr>
        <w:t>za jednostavan pristup iskazivanja operativnih segmenata uvažavajući osnovni poslovni model svake članice Grupe kako je prethodno opisano u ovoj bilješci.</w:t>
      </w:r>
    </w:p>
    <w:p w14:paraId="58E14854" w14:textId="77777777" w:rsidR="005E6967" w:rsidRPr="00CA37C8" w:rsidRDefault="005E6967" w:rsidP="00C4266C">
      <w:pPr>
        <w:spacing w:after="0" w:line="240" w:lineRule="auto"/>
        <w:jc w:val="both"/>
        <w:rPr>
          <w:rFonts w:eastAsia="Times New Roman" w:cs="Calibri"/>
          <w:sz w:val="24"/>
          <w:szCs w:val="24"/>
          <w:lang w:eastAsia="hr-HR"/>
        </w:rPr>
      </w:pPr>
    </w:p>
    <w:p w14:paraId="55A0A82A" w14:textId="77777777" w:rsidR="002A4A84" w:rsidRPr="00ED4731" w:rsidRDefault="009167D7" w:rsidP="00682ABB">
      <w:pPr>
        <w:tabs>
          <w:tab w:val="left" w:pos="567"/>
        </w:tabs>
        <w:spacing w:after="0" w:line="240" w:lineRule="auto"/>
        <w:jc w:val="both"/>
        <w:rPr>
          <w:rFonts w:eastAsia="Times New Roman" w:cs="Arial"/>
          <w:b/>
        </w:rPr>
      </w:pPr>
      <w:r w:rsidRPr="00ED4731">
        <w:rPr>
          <w:rFonts w:eastAsia="Times New Roman" w:cs="Arial"/>
          <w:b/>
          <w:spacing w:val="-3"/>
        </w:rPr>
        <w:t>1</w:t>
      </w:r>
      <w:r w:rsidR="00C31C6A">
        <w:rPr>
          <w:rFonts w:eastAsia="Times New Roman" w:cs="Arial"/>
          <w:b/>
          <w:spacing w:val="-3"/>
        </w:rPr>
        <w:t>8</w:t>
      </w:r>
      <w:r w:rsidR="002A4A84" w:rsidRPr="00ED4731">
        <w:rPr>
          <w:rFonts w:eastAsia="Times New Roman" w:cs="Arial"/>
          <w:b/>
          <w:spacing w:val="-3"/>
        </w:rPr>
        <w:t xml:space="preserve">. </w:t>
      </w:r>
      <w:r w:rsidR="002A4A84" w:rsidRPr="00ED4731">
        <w:rPr>
          <w:rFonts w:eastAsia="Times New Roman" w:cs="Arial"/>
          <w:b/>
          <w:spacing w:val="-3"/>
        </w:rPr>
        <w:tab/>
      </w:r>
      <w:r w:rsidR="002A4A84" w:rsidRPr="00ED4731">
        <w:rPr>
          <w:rFonts w:eastAsia="Times New Roman" w:cs="Arial"/>
          <w:b/>
        </w:rPr>
        <w:t>Izvješt</w:t>
      </w:r>
      <w:r w:rsidR="003B0BEE" w:rsidRPr="00ED4731">
        <w:rPr>
          <w:rFonts w:eastAsia="Times New Roman" w:cs="Arial"/>
          <w:b/>
        </w:rPr>
        <w:t>avanje po segmentima (nastavak)</w:t>
      </w:r>
    </w:p>
    <w:p w14:paraId="0F603172" w14:textId="77777777" w:rsidR="002A4A84" w:rsidRPr="00CA37C8" w:rsidRDefault="002A4A84" w:rsidP="00C4266C">
      <w:pPr>
        <w:spacing w:after="0" w:line="240" w:lineRule="auto"/>
        <w:jc w:val="both"/>
        <w:rPr>
          <w:rFonts w:eastAsia="Times New Roman" w:cs="Arial"/>
          <w:sz w:val="24"/>
          <w:szCs w:val="24"/>
        </w:rPr>
      </w:pPr>
    </w:p>
    <w:tbl>
      <w:tblPr>
        <w:tblpPr w:leftFromText="181" w:rightFromText="181" w:vertAnchor="text" w:horzAnchor="margin" w:tblpXSpec="center" w:tblpY="1"/>
        <w:tblW w:w="9747" w:type="dxa"/>
        <w:tblLayout w:type="fixed"/>
        <w:tblLook w:val="04A0" w:firstRow="1" w:lastRow="0" w:firstColumn="1" w:lastColumn="0" w:noHBand="0" w:noVBand="1"/>
      </w:tblPr>
      <w:tblGrid>
        <w:gridCol w:w="3085"/>
        <w:gridCol w:w="1332"/>
        <w:gridCol w:w="1503"/>
        <w:gridCol w:w="1162"/>
        <w:gridCol w:w="1332"/>
        <w:gridCol w:w="1333"/>
      </w:tblGrid>
      <w:tr w:rsidR="00B404A2" w:rsidRPr="00E45CA6" w14:paraId="606C9C5D" w14:textId="77777777" w:rsidTr="00F1130C">
        <w:trPr>
          <w:trHeight w:val="600"/>
        </w:trPr>
        <w:tc>
          <w:tcPr>
            <w:tcW w:w="3085" w:type="dxa"/>
            <w:tcBorders>
              <w:left w:val="nil"/>
              <w:right w:val="nil"/>
            </w:tcBorders>
            <w:shd w:val="clear" w:color="auto" w:fill="auto"/>
          </w:tcPr>
          <w:p w14:paraId="7855A240" w14:textId="70D4C149" w:rsidR="00B404A2" w:rsidRPr="00E45CA6" w:rsidRDefault="001B7E1B" w:rsidP="00257CDB">
            <w:pPr>
              <w:spacing w:after="0" w:line="240" w:lineRule="exact"/>
              <w:rPr>
                <w:rFonts w:cs="Arial"/>
                <w:b/>
                <w:bCs/>
                <w:sz w:val="18"/>
                <w:szCs w:val="18"/>
              </w:rPr>
            </w:pPr>
            <w:r w:rsidRPr="00E45CA6">
              <w:rPr>
                <w:rFonts w:cs="Arial"/>
                <w:b/>
                <w:bCs/>
                <w:sz w:val="18"/>
                <w:szCs w:val="18"/>
              </w:rPr>
              <w:t>3</w:t>
            </w:r>
            <w:r>
              <w:rPr>
                <w:rFonts w:cs="Arial"/>
                <w:b/>
                <w:bCs/>
                <w:sz w:val="18"/>
                <w:szCs w:val="18"/>
              </w:rPr>
              <w:t>0</w:t>
            </w:r>
            <w:r w:rsidR="00E45CA6" w:rsidRPr="00E45CA6">
              <w:rPr>
                <w:rFonts w:cs="Arial"/>
                <w:b/>
                <w:bCs/>
                <w:sz w:val="18"/>
                <w:szCs w:val="18"/>
              </w:rPr>
              <w:t>.</w:t>
            </w:r>
            <w:r>
              <w:rPr>
                <w:rFonts w:cs="Arial"/>
                <w:b/>
                <w:bCs/>
                <w:sz w:val="18"/>
                <w:szCs w:val="18"/>
              </w:rPr>
              <w:t>6</w:t>
            </w:r>
            <w:r w:rsidR="00E45CA6" w:rsidRPr="00E45CA6">
              <w:rPr>
                <w:rFonts w:cs="Arial"/>
                <w:b/>
                <w:bCs/>
                <w:sz w:val="18"/>
                <w:szCs w:val="18"/>
              </w:rPr>
              <w:t>.2016.</w:t>
            </w:r>
          </w:p>
        </w:tc>
        <w:tc>
          <w:tcPr>
            <w:tcW w:w="1332" w:type="dxa"/>
            <w:tcBorders>
              <w:left w:val="nil"/>
              <w:right w:val="nil"/>
            </w:tcBorders>
            <w:shd w:val="clear" w:color="auto" w:fill="auto"/>
          </w:tcPr>
          <w:p w14:paraId="083E682A" w14:textId="77777777" w:rsidR="00B404A2" w:rsidRPr="00E45CA6" w:rsidRDefault="00B404A2" w:rsidP="0021697A">
            <w:pPr>
              <w:spacing w:after="0" w:line="240" w:lineRule="exact"/>
              <w:jc w:val="right"/>
              <w:rPr>
                <w:rFonts w:cs="Arial"/>
                <w:b/>
                <w:bCs/>
                <w:sz w:val="18"/>
                <w:szCs w:val="18"/>
              </w:rPr>
            </w:pPr>
            <w:r w:rsidRPr="00E45CA6">
              <w:rPr>
                <w:rFonts w:cs="Arial"/>
                <w:b/>
                <w:bCs/>
                <w:sz w:val="18"/>
                <w:szCs w:val="18"/>
              </w:rPr>
              <w:t>Bankarske aktivnosti</w:t>
            </w:r>
          </w:p>
        </w:tc>
        <w:tc>
          <w:tcPr>
            <w:tcW w:w="1503" w:type="dxa"/>
            <w:tcBorders>
              <w:left w:val="nil"/>
              <w:right w:val="nil"/>
            </w:tcBorders>
            <w:shd w:val="clear" w:color="auto" w:fill="auto"/>
          </w:tcPr>
          <w:p w14:paraId="5D2ED0EC" w14:textId="77777777" w:rsidR="00B404A2" w:rsidRPr="00E45CA6" w:rsidRDefault="00B404A2" w:rsidP="0021697A">
            <w:pPr>
              <w:spacing w:after="0" w:line="240" w:lineRule="exact"/>
              <w:jc w:val="right"/>
              <w:rPr>
                <w:rFonts w:cs="Arial"/>
                <w:b/>
                <w:bCs/>
                <w:sz w:val="18"/>
                <w:szCs w:val="18"/>
              </w:rPr>
            </w:pPr>
            <w:r w:rsidRPr="00E45CA6">
              <w:rPr>
                <w:rFonts w:cs="Arial"/>
                <w:b/>
                <w:bCs/>
                <w:sz w:val="18"/>
                <w:szCs w:val="18"/>
              </w:rPr>
              <w:t>Osiguravate-</w:t>
            </w:r>
            <w:proofErr w:type="spellStart"/>
            <w:r w:rsidRPr="00E45CA6">
              <w:rPr>
                <w:rFonts w:cs="Arial"/>
                <w:b/>
                <w:bCs/>
                <w:sz w:val="18"/>
                <w:szCs w:val="18"/>
              </w:rPr>
              <w:t>ljske</w:t>
            </w:r>
            <w:proofErr w:type="spellEnd"/>
            <w:r w:rsidRPr="00E45CA6">
              <w:rPr>
                <w:rFonts w:cs="Arial"/>
                <w:b/>
                <w:bCs/>
                <w:sz w:val="18"/>
                <w:szCs w:val="18"/>
              </w:rPr>
              <w:t xml:space="preserve"> aktivnosti</w:t>
            </w:r>
          </w:p>
        </w:tc>
        <w:tc>
          <w:tcPr>
            <w:tcW w:w="1162" w:type="dxa"/>
            <w:tcBorders>
              <w:left w:val="nil"/>
              <w:right w:val="nil"/>
            </w:tcBorders>
            <w:shd w:val="clear" w:color="auto" w:fill="auto"/>
          </w:tcPr>
          <w:p w14:paraId="6811DA61" w14:textId="77777777" w:rsidR="00B404A2" w:rsidRPr="00E45CA6" w:rsidRDefault="00B404A2" w:rsidP="0021697A">
            <w:pPr>
              <w:spacing w:after="0" w:line="240" w:lineRule="exact"/>
              <w:jc w:val="right"/>
              <w:rPr>
                <w:rFonts w:cs="Arial"/>
                <w:b/>
                <w:bCs/>
                <w:sz w:val="18"/>
                <w:szCs w:val="18"/>
              </w:rPr>
            </w:pPr>
            <w:r w:rsidRPr="00E45CA6">
              <w:rPr>
                <w:rFonts w:cs="Arial"/>
                <w:b/>
                <w:bCs/>
                <w:sz w:val="18"/>
                <w:szCs w:val="18"/>
              </w:rPr>
              <w:t>Ostale aktivnosti</w:t>
            </w:r>
          </w:p>
        </w:tc>
        <w:tc>
          <w:tcPr>
            <w:tcW w:w="1332" w:type="dxa"/>
            <w:tcBorders>
              <w:left w:val="nil"/>
              <w:right w:val="nil"/>
            </w:tcBorders>
            <w:shd w:val="clear" w:color="auto" w:fill="auto"/>
          </w:tcPr>
          <w:p w14:paraId="0FF3A39E" w14:textId="77777777" w:rsidR="00B404A2" w:rsidRPr="00E45CA6" w:rsidRDefault="00B404A2" w:rsidP="0021697A">
            <w:pPr>
              <w:spacing w:after="0" w:line="240" w:lineRule="exact"/>
              <w:jc w:val="right"/>
              <w:rPr>
                <w:rFonts w:cs="Arial"/>
                <w:b/>
                <w:bCs/>
                <w:sz w:val="18"/>
                <w:szCs w:val="18"/>
              </w:rPr>
            </w:pPr>
            <w:proofErr w:type="spellStart"/>
            <w:r w:rsidRPr="00E45CA6">
              <w:rPr>
                <w:rFonts w:cs="Arial"/>
                <w:b/>
                <w:bCs/>
                <w:sz w:val="18"/>
                <w:szCs w:val="18"/>
              </w:rPr>
              <w:t>Neraspore-đeno</w:t>
            </w:r>
            <w:proofErr w:type="spellEnd"/>
          </w:p>
        </w:tc>
        <w:tc>
          <w:tcPr>
            <w:tcW w:w="1333" w:type="dxa"/>
            <w:tcBorders>
              <w:left w:val="nil"/>
              <w:right w:val="nil"/>
            </w:tcBorders>
            <w:shd w:val="clear" w:color="auto" w:fill="auto"/>
          </w:tcPr>
          <w:p w14:paraId="10D898DA" w14:textId="77777777" w:rsidR="00B404A2" w:rsidRPr="00E45CA6" w:rsidRDefault="00B404A2" w:rsidP="0021697A">
            <w:pPr>
              <w:spacing w:after="0" w:line="240" w:lineRule="exact"/>
              <w:jc w:val="right"/>
              <w:rPr>
                <w:rFonts w:cs="Arial"/>
                <w:b/>
                <w:bCs/>
                <w:sz w:val="18"/>
                <w:szCs w:val="18"/>
              </w:rPr>
            </w:pPr>
            <w:r w:rsidRPr="00E45CA6">
              <w:rPr>
                <w:rFonts w:cs="Arial"/>
                <w:b/>
                <w:bCs/>
                <w:sz w:val="18"/>
                <w:szCs w:val="18"/>
              </w:rPr>
              <w:t>Ukupno</w:t>
            </w:r>
          </w:p>
        </w:tc>
      </w:tr>
      <w:tr w:rsidR="00B404A2" w:rsidRPr="00E45CA6" w14:paraId="6FFEF3BE" w14:textId="77777777" w:rsidTr="00F1130C">
        <w:trPr>
          <w:trHeight w:hRule="exact" w:val="113"/>
        </w:trPr>
        <w:tc>
          <w:tcPr>
            <w:tcW w:w="3085" w:type="dxa"/>
            <w:tcBorders>
              <w:left w:val="nil"/>
              <w:bottom w:val="nil"/>
              <w:right w:val="nil"/>
            </w:tcBorders>
            <w:shd w:val="clear" w:color="auto" w:fill="auto"/>
            <w:vAlign w:val="bottom"/>
          </w:tcPr>
          <w:p w14:paraId="41B78C54" w14:textId="77777777" w:rsidR="00B404A2" w:rsidRPr="00E45CA6" w:rsidRDefault="00B404A2" w:rsidP="0021697A">
            <w:pPr>
              <w:spacing w:after="0" w:line="240" w:lineRule="exact"/>
              <w:rPr>
                <w:rFonts w:cs="Arial"/>
                <w:b/>
                <w:bCs/>
                <w:sz w:val="18"/>
                <w:szCs w:val="18"/>
              </w:rPr>
            </w:pPr>
          </w:p>
        </w:tc>
        <w:tc>
          <w:tcPr>
            <w:tcW w:w="1332" w:type="dxa"/>
            <w:tcBorders>
              <w:left w:val="nil"/>
              <w:bottom w:val="nil"/>
              <w:right w:val="nil"/>
            </w:tcBorders>
            <w:shd w:val="clear" w:color="auto" w:fill="auto"/>
            <w:noWrap/>
            <w:vAlign w:val="bottom"/>
          </w:tcPr>
          <w:p w14:paraId="398F459D" w14:textId="77777777" w:rsidR="00B404A2" w:rsidRPr="00E45CA6" w:rsidRDefault="00B404A2" w:rsidP="0021697A">
            <w:pPr>
              <w:spacing w:after="0" w:line="240" w:lineRule="exact"/>
              <w:jc w:val="right"/>
              <w:rPr>
                <w:rFonts w:cs="Arial"/>
                <w:b/>
                <w:bCs/>
                <w:sz w:val="18"/>
                <w:szCs w:val="18"/>
              </w:rPr>
            </w:pPr>
          </w:p>
        </w:tc>
        <w:tc>
          <w:tcPr>
            <w:tcW w:w="1503" w:type="dxa"/>
            <w:tcBorders>
              <w:left w:val="nil"/>
              <w:bottom w:val="nil"/>
              <w:right w:val="nil"/>
            </w:tcBorders>
            <w:shd w:val="clear" w:color="auto" w:fill="auto"/>
            <w:noWrap/>
            <w:vAlign w:val="bottom"/>
          </w:tcPr>
          <w:p w14:paraId="486E5C5F" w14:textId="77777777" w:rsidR="00B404A2" w:rsidRPr="00E45CA6" w:rsidRDefault="00B404A2" w:rsidP="0021697A">
            <w:pPr>
              <w:spacing w:after="0" w:line="240" w:lineRule="exact"/>
              <w:jc w:val="right"/>
              <w:rPr>
                <w:rFonts w:cs="Arial"/>
                <w:b/>
                <w:bCs/>
                <w:sz w:val="18"/>
                <w:szCs w:val="18"/>
              </w:rPr>
            </w:pPr>
          </w:p>
        </w:tc>
        <w:tc>
          <w:tcPr>
            <w:tcW w:w="1162" w:type="dxa"/>
            <w:tcBorders>
              <w:left w:val="nil"/>
              <w:bottom w:val="nil"/>
              <w:right w:val="nil"/>
            </w:tcBorders>
            <w:shd w:val="clear" w:color="auto" w:fill="auto"/>
            <w:noWrap/>
            <w:vAlign w:val="bottom"/>
          </w:tcPr>
          <w:p w14:paraId="4CDA752A" w14:textId="77777777" w:rsidR="00B404A2" w:rsidRPr="00E45CA6" w:rsidRDefault="00B404A2" w:rsidP="0021697A">
            <w:pPr>
              <w:spacing w:after="0" w:line="240" w:lineRule="exact"/>
              <w:jc w:val="right"/>
              <w:rPr>
                <w:rFonts w:cs="Arial"/>
                <w:b/>
                <w:bCs/>
                <w:sz w:val="18"/>
                <w:szCs w:val="18"/>
              </w:rPr>
            </w:pPr>
          </w:p>
        </w:tc>
        <w:tc>
          <w:tcPr>
            <w:tcW w:w="1332" w:type="dxa"/>
            <w:tcBorders>
              <w:left w:val="nil"/>
              <w:bottom w:val="nil"/>
              <w:right w:val="nil"/>
            </w:tcBorders>
            <w:shd w:val="clear" w:color="auto" w:fill="auto"/>
            <w:noWrap/>
            <w:vAlign w:val="bottom"/>
          </w:tcPr>
          <w:p w14:paraId="73CD9F20" w14:textId="77777777" w:rsidR="00B404A2" w:rsidRPr="00E45CA6" w:rsidRDefault="00B404A2" w:rsidP="0021697A">
            <w:pPr>
              <w:spacing w:after="0" w:line="240" w:lineRule="exact"/>
              <w:jc w:val="right"/>
              <w:rPr>
                <w:rFonts w:cs="Arial"/>
                <w:b/>
                <w:bCs/>
                <w:sz w:val="18"/>
                <w:szCs w:val="18"/>
              </w:rPr>
            </w:pPr>
          </w:p>
        </w:tc>
        <w:tc>
          <w:tcPr>
            <w:tcW w:w="1333" w:type="dxa"/>
            <w:tcBorders>
              <w:left w:val="nil"/>
              <w:bottom w:val="nil"/>
              <w:right w:val="nil"/>
            </w:tcBorders>
            <w:shd w:val="clear" w:color="auto" w:fill="auto"/>
            <w:noWrap/>
            <w:vAlign w:val="bottom"/>
          </w:tcPr>
          <w:p w14:paraId="325E8AC8" w14:textId="77777777" w:rsidR="00B404A2" w:rsidRPr="00E45CA6" w:rsidRDefault="00B404A2" w:rsidP="0021697A">
            <w:pPr>
              <w:spacing w:after="0" w:line="240" w:lineRule="exact"/>
              <w:jc w:val="right"/>
              <w:rPr>
                <w:rFonts w:cs="Arial"/>
                <w:b/>
                <w:bCs/>
                <w:sz w:val="18"/>
                <w:szCs w:val="18"/>
              </w:rPr>
            </w:pPr>
          </w:p>
        </w:tc>
      </w:tr>
      <w:tr w:rsidR="00B404A2" w:rsidRPr="00E45CA6" w14:paraId="5F30AB97" w14:textId="77777777" w:rsidTr="00F1130C">
        <w:trPr>
          <w:trHeight w:hRule="exact" w:val="113"/>
        </w:trPr>
        <w:tc>
          <w:tcPr>
            <w:tcW w:w="3085" w:type="dxa"/>
            <w:tcBorders>
              <w:top w:val="nil"/>
              <w:left w:val="nil"/>
              <w:bottom w:val="nil"/>
              <w:right w:val="nil"/>
            </w:tcBorders>
            <w:shd w:val="clear" w:color="auto" w:fill="auto"/>
            <w:vAlign w:val="bottom"/>
          </w:tcPr>
          <w:p w14:paraId="22D9BF1B" w14:textId="77777777" w:rsidR="00B404A2" w:rsidRPr="00E45CA6" w:rsidRDefault="00B404A2" w:rsidP="0021697A">
            <w:pPr>
              <w:spacing w:after="0" w:line="240" w:lineRule="exact"/>
              <w:rPr>
                <w:rFonts w:cs="Arial"/>
                <w:sz w:val="18"/>
                <w:szCs w:val="18"/>
              </w:rPr>
            </w:pPr>
          </w:p>
        </w:tc>
        <w:tc>
          <w:tcPr>
            <w:tcW w:w="1332" w:type="dxa"/>
            <w:tcBorders>
              <w:top w:val="nil"/>
              <w:left w:val="nil"/>
              <w:bottom w:val="nil"/>
              <w:right w:val="nil"/>
            </w:tcBorders>
            <w:shd w:val="clear" w:color="auto" w:fill="auto"/>
            <w:noWrap/>
            <w:vAlign w:val="bottom"/>
          </w:tcPr>
          <w:p w14:paraId="168524AF" w14:textId="77777777" w:rsidR="00B404A2" w:rsidRPr="00E45CA6" w:rsidRDefault="00B404A2" w:rsidP="0021697A">
            <w:pPr>
              <w:spacing w:after="0" w:line="240" w:lineRule="exact"/>
              <w:rPr>
                <w:rFonts w:cs="Arial"/>
                <w:sz w:val="18"/>
                <w:szCs w:val="18"/>
              </w:rPr>
            </w:pPr>
          </w:p>
        </w:tc>
        <w:tc>
          <w:tcPr>
            <w:tcW w:w="1503" w:type="dxa"/>
            <w:tcBorders>
              <w:top w:val="nil"/>
              <w:left w:val="nil"/>
              <w:bottom w:val="nil"/>
              <w:right w:val="nil"/>
            </w:tcBorders>
            <w:shd w:val="clear" w:color="auto" w:fill="auto"/>
            <w:noWrap/>
            <w:vAlign w:val="bottom"/>
          </w:tcPr>
          <w:p w14:paraId="0CDD180E" w14:textId="77777777" w:rsidR="00B404A2" w:rsidRPr="00E45CA6" w:rsidRDefault="00B404A2" w:rsidP="0021697A">
            <w:pPr>
              <w:spacing w:after="0" w:line="240" w:lineRule="exact"/>
              <w:rPr>
                <w:rFonts w:cs="Arial"/>
                <w:sz w:val="18"/>
                <w:szCs w:val="18"/>
              </w:rPr>
            </w:pPr>
          </w:p>
        </w:tc>
        <w:tc>
          <w:tcPr>
            <w:tcW w:w="1162" w:type="dxa"/>
            <w:tcBorders>
              <w:top w:val="nil"/>
              <w:left w:val="nil"/>
              <w:bottom w:val="nil"/>
              <w:right w:val="nil"/>
            </w:tcBorders>
            <w:shd w:val="clear" w:color="auto" w:fill="auto"/>
            <w:noWrap/>
            <w:vAlign w:val="bottom"/>
          </w:tcPr>
          <w:p w14:paraId="18F099B2" w14:textId="77777777" w:rsidR="00B404A2" w:rsidRPr="00E45CA6" w:rsidRDefault="00B404A2" w:rsidP="0021697A">
            <w:pPr>
              <w:spacing w:after="0" w:line="240" w:lineRule="exact"/>
              <w:rPr>
                <w:rFonts w:cs="Arial"/>
                <w:sz w:val="18"/>
                <w:szCs w:val="18"/>
              </w:rPr>
            </w:pPr>
          </w:p>
        </w:tc>
        <w:tc>
          <w:tcPr>
            <w:tcW w:w="1332" w:type="dxa"/>
            <w:tcBorders>
              <w:top w:val="nil"/>
              <w:left w:val="nil"/>
              <w:bottom w:val="nil"/>
              <w:right w:val="nil"/>
            </w:tcBorders>
            <w:shd w:val="clear" w:color="auto" w:fill="auto"/>
            <w:noWrap/>
            <w:vAlign w:val="bottom"/>
          </w:tcPr>
          <w:p w14:paraId="6144F583" w14:textId="77777777" w:rsidR="00B404A2" w:rsidRPr="00E45CA6" w:rsidRDefault="00B404A2" w:rsidP="0021697A">
            <w:pPr>
              <w:spacing w:after="0" w:line="240" w:lineRule="exact"/>
              <w:rPr>
                <w:rFonts w:cs="Arial"/>
                <w:sz w:val="18"/>
                <w:szCs w:val="18"/>
              </w:rPr>
            </w:pPr>
          </w:p>
        </w:tc>
        <w:tc>
          <w:tcPr>
            <w:tcW w:w="1333" w:type="dxa"/>
            <w:tcBorders>
              <w:top w:val="nil"/>
              <w:left w:val="nil"/>
              <w:bottom w:val="nil"/>
              <w:right w:val="nil"/>
            </w:tcBorders>
            <w:shd w:val="clear" w:color="auto" w:fill="auto"/>
            <w:noWrap/>
            <w:vAlign w:val="bottom"/>
          </w:tcPr>
          <w:p w14:paraId="2D8B971B" w14:textId="77777777" w:rsidR="00B404A2" w:rsidRPr="00E45CA6" w:rsidRDefault="00B404A2" w:rsidP="0021697A">
            <w:pPr>
              <w:spacing w:after="0" w:line="240" w:lineRule="exact"/>
              <w:rPr>
                <w:rFonts w:cs="Arial"/>
                <w:sz w:val="18"/>
                <w:szCs w:val="18"/>
              </w:rPr>
            </w:pPr>
          </w:p>
        </w:tc>
      </w:tr>
      <w:tr w:rsidR="00FF308B" w:rsidRPr="00E45CA6" w14:paraId="3C7AB5D6" w14:textId="77777777" w:rsidTr="00F1130C">
        <w:trPr>
          <w:trHeight w:val="300"/>
        </w:trPr>
        <w:tc>
          <w:tcPr>
            <w:tcW w:w="3085" w:type="dxa"/>
            <w:tcBorders>
              <w:top w:val="nil"/>
              <w:left w:val="nil"/>
              <w:bottom w:val="nil"/>
              <w:right w:val="nil"/>
            </w:tcBorders>
            <w:shd w:val="clear" w:color="auto" w:fill="auto"/>
            <w:vAlign w:val="bottom"/>
          </w:tcPr>
          <w:p w14:paraId="6933B651" w14:textId="77777777" w:rsidR="00FF308B" w:rsidRPr="00E45CA6" w:rsidRDefault="00FF308B" w:rsidP="00FF308B">
            <w:pPr>
              <w:spacing w:after="0" w:line="240" w:lineRule="exact"/>
              <w:rPr>
                <w:rFonts w:cs="Arial"/>
                <w:sz w:val="18"/>
                <w:szCs w:val="18"/>
              </w:rPr>
            </w:pPr>
            <w:r w:rsidRPr="00E45CA6">
              <w:rPr>
                <w:rFonts w:cs="Arial"/>
                <w:sz w:val="18"/>
                <w:szCs w:val="18"/>
              </w:rPr>
              <w:t>Neto prihod od kamata</w:t>
            </w:r>
          </w:p>
        </w:tc>
        <w:tc>
          <w:tcPr>
            <w:tcW w:w="1332" w:type="dxa"/>
            <w:tcBorders>
              <w:top w:val="nil"/>
              <w:left w:val="nil"/>
              <w:bottom w:val="nil"/>
              <w:right w:val="nil"/>
            </w:tcBorders>
            <w:shd w:val="clear" w:color="auto" w:fill="auto"/>
            <w:noWrap/>
            <w:vAlign w:val="bottom"/>
          </w:tcPr>
          <w:p w14:paraId="7FE621EE" w14:textId="2D07F812" w:rsidR="00FF308B" w:rsidRPr="00E45CA6" w:rsidRDefault="00FF308B" w:rsidP="00FF308B">
            <w:pPr>
              <w:spacing w:after="0" w:line="240" w:lineRule="exact"/>
              <w:jc w:val="right"/>
              <w:rPr>
                <w:rFonts w:cs="Arial"/>
                <w:sz w:val="18"/>
                <w:szCs w:val="18"/>
              </w:rPr>
            </w:pPr>
            <w:r w:rsidRPr="00312975">
              <w:rPr>
                <w:sz w:val="18"/>
                <w:szCs w:val="18"/>
              </w:rPr>
              <w:t>199.953</w:t>
            </w:r>
          </w:p>
        </w:tc>
        <w:tc>
          <w:tcPr>
            <w:tcW w:w="1503" w:type="dxa"/>
            <w:tcBorders>
              <w:top w:val="nil"/>
              <w:left w:val="nil"/>
              <w:bottom w:val="nil"/>
              <w:right w:val="nil"/>
            </w:tcBorders>
            <w:shd w:val="clear" w:color="auto" w:fill="auto"/>
            <w:noWrap/>
            <w:vAlign w:val="bottom"/>
          </w:tcPr>
          <w:p w14:paraId="3AB0A5DE" w14:textId="25C48968" w:rsidR="00FF308B" w:rsidRPr="00E45CA6" w:rsidRDefault="00FF308B" w:rsidP="00FF308B">
            <w:pPr>
              <w:spacing w:after="0" w:line="240" w:lineRule="exact"/>
              <w:jc w:val="right"/>
              <w:rPr>
                <w:rFonts w:cs="Arial"/>
                <w:sz w:val="18"/>
                <w:szCs w:val="18"/>
              </w:rPr>
            </w:pPr>
            <w:r w:rsidRPr="00312975">
              <w:rPr>
                <w:sz w:val="18"/>
                <w:szCs w:val="18"/>
              </w:rPr>
              <w:t>837</w:t>
            </w:r>
          </w:p>
        </w:tc>
        <w:tc>
          <w:tcPr>
            <w:tcW w:w="1162" w:type="dxa"/>
            <w:tcBorders>
              <w:top w:val="nil"/>
              <w:left w:val="nil"/>
              <w:bottom w:val="nil"/>
              <w:right w:val="nil"/>
            </w:tcBorders>
            <w:shd w:val="clear" w:color="auto" w:fill="auto"/>
            <w:noWrap/>
            <w:vAlign w:val="bottom"/>
          </w:tcPr>
          <w:p w14:paraId="25D7F99C" w14:textId="7FD81D77" w:rsidR="00FF308B" w:rsidRPr="00E45CA6" w:rsidRDefault="00FF308B" w:rsidP="00FF308B">
            <w:pPr>
              <w:spacing w:after="0" w:line="240" w:lineRule="exact"/>
              <w:jc w:val="right"/>
              <w:rPr>
                <w:rFonts w:cs="Arial"/>
                <w:sz w:val="18"/>
                <w:szCs w:val="18"/>
              </w:rPr>
            </w:pPr>
            <w:r w:rsidRPr="00EB454A">
              <w:rPr>
                <w:sz w:val="18"/>
                <w:szCs w:val="18"/>
              </w:rPr>
              <w:t>-</w:t>
            </w:r>
          </w:p>
        </w:tc>
        <w:tc>
          <w:tcPr>
            <w:tcW w:w="1332" w:type="dxa"/>
            <w:tcBorders>
              <w:top w:val="nil"/>
              <w:left w:val="nil"/>
              <w:bottom w:val="nil"/>
              <w:right w:val="nil"/>
            </w:tcBorders>
            <w:shd w:val="clear" w:color="auto" w:fill="auto"/>
            <w:noWrap/>
            <w:vAlign w:val="bottom"/>
          </w:tcPr>
          <w:p w14:paraId="698FA5D8" w14:textId="20EF5166" w:rsidR="00FF308B" w:rsidRPr="00E45CA6" w:rsidRDefault="00FF308B" w:rsidP="00FF308B">
            <w:pPr>
              <w:spacing w:after="0" w:line="240" w:lineRule="exact"/>
              <w:jc w:val="right"/>
              <w:rPr>
                <w:rFonts w:cs="Arial"/>
                <w:sz w:val="18"/>
                <w:szCs w:val="18"/>
              </w:rPr>
            </w:pPr>
            <w:r w:rsidRPr="00EB454A">
              <w:rPr>
                <w:rFonts w:cs="Arial"/>
                <w:sz w:val="18"/>
                <w:szCs w:val="18"/>
              </w:rPr>
              <w:t>-</w:t>
            </w:r>
          </w:p>
        </w:tc>
        <w:tc>
          <w:tcPr>
            <w:tcW w:w="1333" w:type="dxa"/>
            <w:tcBorders>
              <w:top w:val="nil"/>
              <w:left w:val="nil"/>
              <w:bottom w:val="nil"/>
              <w:right w:val="nil"/>
            </w:tcBorders>
            <w:shd w:val="clear" w:color="auto" w:fill="auto"/>
            <w:noWrap/>
            <w:vAlign w:val="bottom"/>
          </w:tcPr>
          <w:p w14:paraId="46DA36F2" w14:textId="18127094" w:rsidR="00FF308B" w:rsidRPr="00E45CA6" w:rsidRDefault="00FF308B" w:rsidP="00FF308B">
            <w:pPr>
              <w:spacing w:after="0" w:line="240" w:lineRule="exact"/>
              <w:jc w:val="right"/>
              <w:rPr>
                <w:rFonts w:cs="Arial"/>
                <w:sz w:val="18"/>
                <w:szCs w:val="18"/>
              </w:rPr>
            </w:pPr>
            <w:r w:rsidRPr="00312975">
              <w:rPr>
                <w:sz w:val="18"/>
                <w:szCs w:val="18"/>
              </w:rPr>
              <w:t>200.790</w:t>
            </w:r>
          </w:p>
        </w:tc>
      </w:tr>
      <w:tr w:rsidR="00FF308B" w:rsidRPr="00E45CA6" w14:paraId="4F9BC650" w14:textId="77777777" w:rsidTr="00F1130C">
        <w:trPr>
          <w:trHeight w:val="300"/>
        </w:trPr>
        <w:tc>
          <w:tcPr>
            <w:tcW w:w="3085" w:type="dxa"/>
            <w:tcBorders>
              <w:top w:val="nil"/>
              <w:left w:val="nil"/>
              <w:bottom w:val="nil"/>
              <w:right w:val="nil"/>
            </w:tcBorders>
            <w:shd w:val="clear" w:color="auto" w:fill="auto"/>
            <w:vAlign w:val="bottom"/>
          </w:tcPr>
          <w:p w14:paraId="4A9E9700" w14:textId="77777777" w:rsidR="00FF308B" w:rsidRPr="00E45CA6" w:rsidRDefault="00FF308B" w:rsidP="00FF308B">
            <w:pPr>
              <w:spacing w:after="0" w:line="240" w:lineRule="exact"/>
              <w:rPr>
                <w:rFonts w:cs="Arial"/>
                <w:sz w:val="18"/>
                <w:szCs w:val="18"/>
              </w:rPr>
            </w:pPr>
            <w:r w:rsidRPr="00E45CA6">
              <w:rPr>
                <w:rFonts w:cs="Arial"/>
                <w:sz w:val="18"/>
                <w:szCs w:val="18"/>
              </w:rPr>
              <w:t>Neto prihod od naknada</w:t>
            </w:r>
          </w:p>
        </w:tc>
        <w:tc>
          <w:tcPr>
            <w:tcW w:w="1332" w:type="dxa"/>
            <w:tcBorders>
              <w:top w:val="nil"/>
              <w:left w:val="nil"/>
              <w:bottom w:val="nil"/>
              <w:right w:val="nil"/>
            </w:tcBorders>
            <w:shd w:val="clear" w:color="auto" w:fill="auto"/>
            <w:noWrap/>
            <w:vAlign w:val="bottom"/>
          </w:tcPr>
          <w:p w14:paraId="4113C70C" w14:textId="16758BED" w:rsidR="00FF308B" w:rsidRPr="00E45CA6" w:rsidRDefault="00FF308B" w:rsidP="00FF308B">
            <w:pPr>
              <w:spacing w:after="0" w:line="240" w:lineRule="exact"/>
              <w:jc w:val="right"/>
              <w:rPr>
                <w:rFonts w:cs="Arial"/>
                <w:sz w:val="18"/>
                <w:szCs w:val="18"/>
              </w:rPr>
            </w:pPr>
            <w:r w:rsidRPr="00312975">
              <w:rPr>
                <w:sz w:val="18"/>
                <w:szCs w:val="18"/>
              </w:rPr>
              <w:t>12.601</w:t>
            </w:r>
          </w:p>
        </w:tc>
        <w:tc>
          <w:tcPr>
            <w:tcW w:w="1503" w:type="dxa"/>
            <w:tcBorders>
              <w:top w:val="nil"/>
              <w:left w:val="nil"/>
              <w:bottom w:val="nil"/>
              <w:right w:val="nil"/>
            </w:tcBorders>
            <w:shd w:val="clear" w:color="auto" w:fill="auto"/>
            <w:noWrap/>
            <w:vAlign w:val="bottom"/>
          </w:tcPr>
          <w:p w14:paraId="2EC7EE5A" w14:textId="3685B261" w:rsidR="00FF308B" w:rsidRPr="00E45CA6" w:rsidRDefault="00FF308B" w:rsidP="00FF308B">
            <w:pPr>
              <w:spacing w:after="0" w:line="240" w:lineRule="exact"/>
              <w:jc w:val="right"/>
              <w:rPr>
                <w:rFonts w:cs="Arial"/>
                <w:sz w:val="18"/>
                <w:szCs w:val="18"/>
              </w:rPr>
            </w:pPr>
            <w:r w:rsidRPr="00312975">
              <w:rPr>
                <w:sz w:val="18"/>
                <w:szCs w:val="18"/>
              </w:rPr>
              <w:t>618</w:t>
            </w:r>
          </w:p>
        </w:tc>
        <w:tc>
          <w:tcPr>
            <w:tcW w:w="1162" w:type="dxa"/>
            <w:tcBorders>
              <w:top w:val="nil"/>
              <w:left w:val="nil"/>
              <w:bottom w:val="nil"/>
              <w:right w:val="nil"/>
            </w:tcBorders>
            <w:shd w:val="clear" w:color="auto" w:fill="auto"/>
            <w:noWrap/>
            <w:vAlign w:val="bottom"/>
          </w:tcPr>
          <w:p w14:paraId="470FC81D" w14:textId="4218FE51" w:rsidR="00FF308B" w:rsidRPr="00E45CA6" w:rsidRDefault="00FF308B" w:rsidP="00FF308B">
            <w:pPr>
              <w:spacing w:after="0" w:line="240" w:lineRule="exact"/>
              <w:jc w:val="right"/>
              <w:rPr>
                <w:rFonts w:cs="Arial"/>
                <w:sz w:val="18"/>
                <w:szCs w:val="18"/>
              </w:rPr>
            </w:pPr>
            <w:r w:rsidRPr="00312975">
              <w:rPr>
                <w:sz w:val="18"/>
                <w:szCs w:val="18"/>
              </w:rPr>
              <w:t>488</w:t>
            </w:r>
          </w:p>
        </w:tc>
        <w:tc>
          <w:tcPr>
            <w:tcW w:w="1332" w:type="dxa"/>
            <w:tcBorders>
              <w:top w:val="nil"/>
              <w:left w:val="nil"/>
              <w:bottom w:val="nil"/>
              <w:right w:val="nil"/>
            </w:tcBorders>
            <w:shd w:val="clear" w:color="auto" w:fill="auto"/>
            <w:noWrap/>
            <w:vAlign w:val="bottom"/>
          </w:tcPr>
          <w:p w14:paraId="437CDD12" w14:textId="53E1436A" w:rsidR="00FF308B" w:rsidRPr="00E45CA6" w:rsidRDefault="00FF308B" w:rsidP="00FF308B">
            <w:pPr>
              <w:spacing w:after="0" w:line="240" w:lineRule="exact"/>
              <w:jc w:val="right"/>
              <w:rPr>
                <w:rFonts w:cs="Arial"/>
                <w:sz w:val="18"/>
                <w:szCs w:val="18"/>
              </w:rPr>
            </w:pPr>
            <w:r w:rsidRPr="00EB454A">
              <w:rPr>
                <w:sz w:val="18"/>
                <w:szCs w:val="18"/>
              </w:rPr>
              <w:t>-</w:t>
            </w:r>
          </w:p>
        </w:tc>
        <w:tc>
          <w:tcPr>
            <w:tcW w:w="1333" w:type="dxa"/>
            <w:tcBorders>
              <w:top w:val="nil"/>
              <w:left w:val="nil"/>
              <w:bottom w:val="nil"/>
              <w:right w:val="nil"/>
            </w:tcBorders>
            <w:shd w:val="clear" w:color="auto" w:fill="auto"/>
            <w:noWrap/>
            <w:vAlign w:val="bottom"/>
          </w:tcPr>
          <w:p w14:paraId="2839E1E5" w14:textId="03E4191F" w:rsidR="00FF308B" w:rsidRPr="00E45CA6" w:rsidRDefault="00FF308B" w:rsidP="00FF308B">
            <w:pPr>
              <w:spacing w:after="0" w:line="240" w:lineRule="exact"/>
              <w:jc w:val="right"/>
              <w:rPr>
                <w:rFonts w:cs="Arial"/>
                <w:sz w:val="18"/>
                <w:szCs w:val="18"/>
              </w:rPr>
            </w:pPr>
            <w:r w:rsidRPr="00312975">
              <w:rPr>
                <w:sz w:val="18"/>
                <w:szCs w:val="18"/>
              </w:rPr>
              <w:t>13.707</w:t>
            </w:r>
          </w:p>
        </w:tc>
      </w:tr>
      <w:tr w:rsidR="00FF308B" w:rsidRPr="00E45CA6" w14:paraId="58C6B6AA" w14:textId="77777777" w:rsidTr="00F1130C">
        <w:trPr>
          <w:trHeight w:val="280"/>
        </w:trPr>
        <w:tc>
          <w:tcPr>
            <w:tcW w:w="3085" w:type="dxa"/>
            <w:tcBorders>
              <w:top w:val="nil"/>
              <w:left w:val="nil"/>
              <w:bottom w:val="nil"/>
              <w:right w:val="nil"/>
            </w:tcBorders>
            <w:shd w:val="clear" w:color="auto" w:fill="auto"/>
            <w:vAlign w:val="bottom"/>
          </w:tcPr>
          <w:p w14:paraId="2613C6C7" w14:textId="77777777" w:rsidR="00FF308B" w:rsidRPr="00E45CA6" w:rsidRDefault="00FF308B" w:rsidP="00FF308B">
            <w:pPr>
              <w:spacing w:after="0" w:line="240" w:lineRule="exact"/>
              <w:rPr>
                <w:rFonts w:cs="Arial"/>
                <w:sz w:val="18"/>
                <w:szCs w:val="18"/>
              </w:rPr>
            </w:pPr>
            <w:r w:rsidRPr="00E45CA6">
              <w:rPr>
                <w:rFonts w:cs="Arial"/>
                <w:sz w:val="18"/>
                <w:szCs w:val="18"/>
              </w:rPr>
              <w:t xml:space="preserve">Neto prihodi/(rashodi) od financijskih aktivnosti </w:t>
            </w:r>
          </w:p>
        </w:tc>
        <w:tc>
          <w:tcPr>
            <w:tcW w:w="1332" w:type="dxa"/>
            <w:tcBorders>
              <w:top w:val="nil"/>
              <w:left w:val="nil"/>
              <w:bottom w:val="nil"/>
              <w:right w:val="nil"/>
            </w:tcBorders>
            <w:shd w:val="clear" w:color="auto" w:fill="auto"/>
            <w:noWrap/>
            <w:vAlign w:val="bottom"/>
          </w:tcPr>
          <w:p w14:paraId="5FBD805B" w14:textId="60A4650B" w:rsidR="00FF308B" w:rsidRPr="00E45CA6" w:rsidRDefault="00FF308B" w:rsidP="00FF308B">
            <w:pPr>
              <w:spacing w:after="0" w:line="240" w:lineRule="exact"/>
              <w:jc w:val="right"/>
              <w:rPr>
                <w:rFonts w:cs="Arial"/>
                <w:sz w:val="18"/>
                <w:szCs w:val="18"/>
              </w:rPr>
            </w:pPr>
            <w:r w:rsidRPr="00EB454A">
              <w:rPr>
                <w:sz w:val="18"/>
                <w:szCs w:val="18"/>
              </w:rPr>
              <w:t>(</w:t>
            </w:r>
            <w:r w:rsidRPr="00312975">
              <w:rPr>
                <w:sz w:val="18"/>
                <w:szCs w:val="18"/>
              </w:rPr>
              <w:t>10.816</w:t>
            </w:r>
            <w:r w:rsidRPr="00EB454A">
              <w:rPr>
                <w:sz w:val="18"/>
                <w:szCs w:val="18"/>
              </w:rPr>
              <w:t>)</w:t>
            </w:r>
          </w:p>
        </w:tc>
        <w:tc>
          <w:tcPr>
            <w:tcW w:w="1503" w:type="dxa"/>
            <w:tcBorders>
              <w:top w:val="nil"/>
              <w:left w:val="nil"/>
              <w:bottom w:val="nil"/>
              <w:right w:val="nil"/>
            </w:tcBorders>
            <w:shd w:val="clear" w:color="auto" w:fill="auto"/>
            <w:noWrap/>
            <w:vAlign w:val="bottom"/>
          </w:tcPr>
          <w:p w14:paraId="03F20884" w14:textId="1DC54C56" w:rsidR="00FF308B" w:rsidRPr="00E45CA6" w:rsidRDefault="00FF308B" w:rsidP="00FF308B">
            <w:pPr>
              <w:spacing w:after="0" w:line="240" w:lineRule="exact"/>
              <w:jc w:val="right"/>
              <w:rPr>
                <w:rFonts w:cs="Arial"/>
                <w:sz w:val="18"/>
                <w:szCs w:val="18"/>
              </w:rPr>
            </w:pPr>
            <w:r w:rsidRPr="00312975">
              <w:rPr>
                <w:sz w:val="18"/>
                <w:szCs w:val="18"/>
              </w:rPr>
              <w:t>23</w:t>
            </w:r>
          </w:p>
        </w:tc>
        <w:tc>
          <w:tcPr>
            <w:tcW w:w="1162" w:type="dxa"/>
            <w:tcBorders>
              <w:top w:val="nil"/>
              <w:left w:val="nil"/>
              <w:bottom w:val="nil"/>
              <w:right w:val="nil"/>
            </w:tcBorders>
            <w:shd w:val="clear" w:color="auto" w:fill="auto"/>
            <w:noWrap/>
            <w:vAlign w:val="bottom"/>
          </w:tcPr>
          <w:p w14:paraId="773D612E" w14:textId="350E43F4" w:rsidR="00FF308B" w:rsidRPr="00E45CA6" w:rsidRDefault="00FF308B" w:rsidP="00FF308B">
            <w:pPr>
              <w:spacing w:after="0" w:line="240" w:lineRule="exact"/>
              <w:jc w:val="right"/>
              <w:rPr>
                <w:rFonts w:cs="Arial"/>
                <w:sz w:val="18"/>
                <w:szCs w:val="18"/>
              </w:rPr>
            </w:pPr>
            <w:r w:rsidRPr="00312975">
              <w:rPr>
                <w:sz w:val="18"/>
                <w:szCs w:val="18"/>
              </w:rPr>
              <w:t>2</w:t>
            </w:r>
          </w:p>
        </w:tc>
        <w:tc>
          <w:tcPr>
            <w:tcW w:w="1332" w:type="dxa"/>
            <w:tcBorders>
              <w:top w:val="nil"/>
              <w:left w:val="nil"/>
              <w:bottom w:val="nil"/>
              <w:right w:val="nil"/>
            </w:tcBorders>
            <w:shd w:val="clear" w:color="auto" w:fill="auto"/>
            <w:noWrap/>
            <w:vAlign w:val="bottom"/>
          </w:tcPr>
          <w:p w14:paraId="08C60884" w14:textId="7F51B0C4" w:rsidR="00FF308B" w:rsidRPr="00E45CA6" w:rsidRDefault="00FF308B" w:rsidP="00FF308B">
            <w:pPr>
              <w:spacing w:after="0" w:line="240" w:lineRule="exact"/>
              <w:jc w:val="right"/>
              <w:rPr>
                <w:rFonts w:cs="Arial"/>
                <w:sz w:val="18"/>
                <w:szCs w:val="18"/>
              </w:rPr>
            </w:pPr>
            <w:r w:rsidRPr="00EB454A">
              <w:rPr>
                <w:rFonts w:cs="Arial"/>
                <w:sz w:val="18"/>
                <w:szCs w:val="18"/>
              </w:rPr>
              <w:t>-</w:t>
            </w:r>
          </w:p>
        </w:tc>
        <w:tc>
          <w:tcPr>
            <w:tcW w:w="1333" w:type="dxa"/>
            <w:tcBorders>
              <w:top w:val="nil"/>
              <w:left w:val="nil"/>
              <w:bottom w:val="nil"/>
              <w:right w:val="nil"/>
            </w:tcBorders>
            <w:shd w:val="clear" w:color="auto" w:fill="auto"/>
            <w:noWrap/>
            <w:vAlign w:val="bottom"/>
          </w:tcPr>
          <w:p w14:paraId="30416B86" w14:textId="7BF75A31" w:rsidR="00FF308B" w:rsidRPr="00E45CA6" w:rsidRDefault="00FF308B" w:rsidP="00FF308B">
            <w:pPr>
              <w:spacing w:after="0" w:line="240" w:lineRule="exact"/>
              <w:jc w:val="right"/>
              <w:rPr>
                <w:rFonts w:cs="Arial"/>
                <w:sz w:val="18"/>
                <w:szCs w:val="18"/>
              </w:rPr>
            </w:pPr>
            <w:r w:rsidRPr="000513E4">
              <w:rPr>
                <w:sz w:val="18"/>
                <w:szCs w:val="18"/>
              </w:rPr>
              <w:t>(</w:t>
            </w:r>
            <w:r w:rsidRPr="00312975">
              <w:rPr>
                <w:sz w:val="18"/>
                <w:szCs w:val="18"/>
              </w:rPr>
              <w:t>10.791</w:t>
            </w:r>
            <w:r>
              <w:rPr>
                <w:sz w:val="18"/>
                <w:szCs w:val="18"/>
              </w:rPr>
              <w:t>)</w:t>
            </w:r>
          </w:p>
        </w:tc>
      </w:tr>
      <w:tr w:rsidR="00FF308B" w:rsidRPr="00E45CA6" w14:paraId="1D7E0EC6" w14:textId="77777777" w:rsidTr="00F1130C">
        <w:trPr>
          <w:trHeight w:val="300"/>
        </w:trPr>
        <w:tc>
          <w:tcPr>
            <w:tcW w:w="3085" w:type="dxa"/>
            <w:tcBorders>
              <w:top w:val="nil"/>
              <w:left w:val="nil"/>
              <w:bottom w:val="nil"/>
              <w:right w:val="nil"/>
            </w:tcBorders>
            <w:shd w:val="clear" w:color="auto" w:fill="auto"/>
            <w:vAlign w:val="bottom"/>
          </w:tcPr>
          <w:p w14:paraId="5A5A806E" w14:textId="77777777" w:rsidR="00FF308B" w:rsidRPr="00E45CA6" w:rsidRDefault="00FF308B" w:rsidP="00FF308B">
            <w:pPr>
              <w:spacing w:after="0" w:line="240" w:lineRule="exact"/>
              <w:rPr>
                <w:rFonts w:cs="Arial"/>
                <w:sz w:val="18"/>
                <w:szCs w:val="18"/>
              </w:rPr>
            </w:pPr>
            <w:r w:rsidRPr="00E45CA6">
              <w:rPr>
                <w:rFonts w:cs="Arial"/>
                <w:sz w:val="18"/>
                <w:szCs w:val="18"/>
              </w:rPr>
              <w:t>Neto zarađene premije</w:t>
            </w:r>
          </w:p>
        </w:tc>
        <w:tc>
          <w:tcPr>
            <w:tcW w:w="1332" w:type="dxa"/>
            <w:tcBorders>
              <w:top w:val="nil"/>
              <w:left w:val="nil"/>
              <w:bottom w:val="nil"/>
              <w:right w:val="nil"/>
            </w:tcBorders>
            <w:shd w:val="clear" w:color="auto" w:fill="auto"/>
            <w:noWrap/>
            <w:vAlign w:val="bottom"/>
          </w:tcPr>
          <w:p w14:paraId="5CFDF2A5" w14:textId="5B4C07E7" w:rsidR="00FF308B" w:rsidRPr="00E45CA6" w:rsidRDefault="00FF308B" w:rsidP="00FF308B">
            <w:pPr>
              <w:spacing w:after="0" w:line="240" w:lineRule="exact"/>
              <w:jc w:val="right"/>
              <w:rPr>
                <w:rFonts w:cs="Arial"/>
                <w:sz w:val="18"/>
                <w:szCs w:val="18"/>
              </w:rPr>
            </w:pPr>
            <w:r w:rsidRPr="00EB454A">
              <w:rPr>
                <w:sz w:val="18"/>
                <w:szCs w:val="18"/>
              </w:rPr>
              <w:t>-</w:t>
            </w:r>
          </w:p>
        </w:tc>
        <w:tc>
          <w:tcPr>
            <w:tcW w:w="1503" w:type="dxa"/>
            <w:tcBorders>
              <w:top w:val="nil"/>
              <w:left w:val="nil"/>
              <w:bottom w:val="nil"/>
              <w:right w:val="nil"/>
            </w:tcBorders>
            <w:shd w:val="clear" w:color="auto" w:fill="auto"/>
            <w:noWrap/>
            <w:vAlign w:val="bottom"/>
          </w:tcPr>
          <w:p w14:paraId="1552995B" w14:textId="0ED81DBC" w:rsidR="00FF308B" w:rsidRPr="00E45CA6" w:rsidRDefault="00FF308B" w:rsidP="00FF308B">
            <w:pPr>
              <w:spacing w:after="0" w:line="240" w:lineRule="exact"/>
              <w:jc w:val="right"/>
              <w:rPr>
                <w:rFonts w:cs="Arial"/>
                <w:sz w:val="18"/>
                <w:szCs w:val="18"/>
              </w:rPr>
            </w:pPr>
            <w:r w:rsidRPr="00312975">
              <w:rPr>
                <w:sz w:val="18"/>
                <w:szCs w:val="18"/>
              </w:rPr>
              <w:t>3.257</w:t>
            </w:r>
          </w:p>
        </w:tc>
        <w:tc>
          <w:tcPr>
            <w:tcW w:w="1162" w:type="dxa"/>
            <w:tcBorders>
              <w:top w:val="nil"/>
              <w:left w:val="nil"/>
              <w:bottom w:val="nil"/>
              <w:right w:val="nil"/>
            </w:tcBorders>
            <w:shd w:val="clear" w:color="auto" w:fill="auto"/>
            <w:noWrap/>
            <w:vAlign w:val="bottom"/>
          </w:tcPr>
          <w:p w14:paraId="1CD203BD" w14:textId="13F96F98" w:rsidR="00FF308B" w:rsidRPr="00E45CA6" w:rsidRDefault="00FF308B" w:rsidP="00FF308B">
            <w:pPr>
              <w:spacing w:after="0" w:line="240" w:lineRule="exact"/>
              <w:jc w:val="right"/>
              <w:rPr>
                <w:rFonts w:cs="Arial"/>
                <w:sz w:val="18"/>
                <w:szCs w:val="18"/>
              </w:rPr>
            </w:pPr>
            <w:r w:rsidRPr="00EB454A">
              <w:rPr>
                <w:rFonts w:cs="Arial"/>
                <w:sz w:val="18"/>
                <w:szCs w:val="18"/>
              </w:rPr>
              <w:t>-</w:t>
            </w:r>
          </w:p>
        </w:tc>
        <w:tc>
          <w:tcPr>
            <w:tcW w:w="1332" w:type="dxa"/>
            <w:tcBorders>
              <w:top w:val="nil"/>
              <w:left w:val="nil"/>
              <w:bottom w:val="nil"/>
              <w:right w:val="nil"/>
            </w:tcBorders>
            <w:shd w:val="clear" w:color="auto" w:fill="auto"/>
            <w:noWrap/>
            <w:vAlign w:val="bottom"/>
          </w:tcPr>
          <w:p w14:paraId="3FE62EAB" w14:textId="633AD9D5" w:rsidR="00FF308B" w:rsidRPr="00E45CA6" w:rsidRDefault="00FF308B" w:rsidP="00FF308B">
            <w:pPr>
              <w:spacing w:after="0" w:line="240" w:lineRule="exact"/>
              <w:jc w:val="right"/>
              <w:rPr>
                <w:rFonts w:cs="Arial"/>
                <w:sz w:val="18"/>
                <w:szCs w:val="18"/>
              </w:rPr>
            </w:pPr>
            <w:r w:rsidRPr="00EB454A">
              <w:rPr>
                <w:rFonts w:cs="Arial"/>
                <w:sz w:val="18"/>
                <w:szCs w:val="18"/>
              </w:rPr>
              <w:t>-</w:t>
            </w:r>
          </w:p>
        </w:tc>
        <w:tc>
          <w:tcPr>
            <w:tcW w:w="1333" w:type="dxa"/>
            <w:tcBorders>
              <w:top w:val="nil"/>
              <w:left w:val="nil"/>
              <w:bottom w:val="nil"/>
              <w:right w:val="nil"/>
            </w:tcBorders>
            <w:shd w:val="clear" w:color="auto" w:fill="auto"/>
            <w:noWrap/>
            <w:vAlign w:val="bottom"/>
          </w:tcPr>
          <w:p w14:paraId="7C993B1F" w14:textId="63C3A262" w:rsidR="00FF308B" w:rsidRPr="00E45CA6" w:rsidRDefault="00FF308B" w:rsidP="00FF308B">
            <w:pPr>
              <w:spacing w:after="0" w:line="240" w:lineRule="exact"/>
              <w:jc w:val="right"/>
              <w:rPr>
                <w:rFonts w:cs="Arial"/>
                <w:sz w:val="18"/>
                <w:szCs w:val="18"/>
              </w:rPr>
            </w:pPr>
            <w:r w:rsidRPr="00312975">
              <w:rPr>
                <w:sz w:val="18"/>
                <w:szCs w:val="18"/>
              </w:rPr>
              <w:t>3.257</w:t>
            </w:r>
          </w:p>
        </w:tc>
      </w:tr>
      <w:tr w:rsidR="00FF308B" w:rsidRPr="00E45CA6" w14:paraId="2DD24E5F" w14:textId="77777777" w:rsidTr="00312975">
        <w:trPr>
          <w:trHeight w:val="300"/>
        </w:trPr>
        <w:tc>
          <w:tcPr>
            <w:tcW w:w="3085" w:type="dxa"/>
            <w:tcBorders>
              <w:top w:val="nil"/>
              <w:left w:val="nil"/>
              <w:right w:val="nil"/>
            </w:tcBorders>
            <w:shd w:val="clear" w:color="auto" w:fill="auto"/>
            <w:vAlign w:val="bottom"/>
          </w:tcPr>
          <w:p w14:paraId="080974CF" w14:textId="77777777" w:rsidR="00FF308B" w:rsidRPr="00E45CA6" w:rsidRDefault="00FF308B" w:rsidP="00FF308B">
            <w:pPr>
              <w:spacing w:after="0" w:line="240" w:lineRule="exact"/>
              <w:rPr>
                <w:rFonts w:cs="Arial"/>
                <w:sz w:val="18"/>
                <w:szCs w:val="18"/>
              </w:rPr>
            </w:pPr>
            <w:r w:rsidRPr="00E45CA6">
              <w:rPr>
                <w:rFonts w:cs="Arial"/>
                <w:sz w:val="18"/>
                <w:szCs w:val="18"/>
              </w:rPr>
              <w:t>Ostali prihodi</w:t>
            </w:r>
          </w:p>
        </w:tc>
        <w:tc>
          <w:tcPr>
            <w:tcW w:w="1332" w:type="dxa"/>
            <w:tcBorders>
              <w:top w:val="nil"/>
              <w:left w:val="nil"/>
              <w:bottom w:val="single" w:sz="2" w:space="0" w:color="auto"/>
              <w:right w:val="nil"/>
            </w:tcBorders>
            <w:shd w:val="clear" w:color="auto" w:fill="auto"/>
            <w:noWrap/>
            <w:vAlign w:val="bottom"/>
          </w:tcPr>
          <w:p w14:paraId="6DD2E97C" w14:textId="633979EB" w:rsidR="00FF308B" w:rsidRPr="00E45CA6" w:rsidRDefault="00FF308B" w:rsidP="00FF308B">
            <w:pPr>
              <w:spacing w:after="0" w:line="240" w:lineRule="exact"/>
              <w:jc w:val="right"/>
              <w:rPr>
                <w:rFonts w:cs="Arial"/>
                <w:sz w:val="18"/>
                <w:szCs w:val="18"/>
              </w:rPr>
            </w:pPr>
            <w:r w:rsidRPr="00312975">
              <w:rPr>
                <w:sz w:val="18"/>
                <w:szCs w:val="18"/>
              </w:rPr>
              <w:t>3.547</w:t>
            </w:r>
          </w:p>
        </w:tc>
        <w:tc>
          <w:tcPr>
            <w:tcW w:w="1503" w:type="dxa"/>
            <w:tcBorders>
              <w:top w:val="nil"/>
              <w:left w:val="nil"/>
              <w:bottom w:val="single" w:sz="2" w:space="0" w:color="auto"/>
              <w:right w:val="nil"/>
            </w:tcBorders>
            <w:shd w:val="clear" w:color="auto" w:fill="auto"/>
            <w:noWrap/>
            <w:vAlign w:val="bottom"/>
          </w:tcPr>
          <w:p w14:paraId="4F543467" w14:textId="2F0710ED" w:rsidR="00FF308B" w:rsidRPr="00E45CA6" w:rsidRDefault="00FF308B" w:rsidP="00FF308B">
            <w:pPr>
              <w:spacing w:after="0" w:line="240" w:lineRule="exact"/>
              <w:jc w:val="right"/>
              <w:rPr>
                <w:rFonts w:cs="Arial"/>
                <w:sz w:val="18"/>
                <w:szCs w:val="18"/>
              </w:rPr>
            </w:pPr>
            <w:r w:rsidRPr="00312975">
              <w:rPr>
                <w:sz w:val="18"/>
                <w:szCs w:val="18"/>
              </w:rPr>
              <w:t>33</w:t>
            </w:r>
          </w:p>
        </w:tc>
        <w:tc>
          <w:tcPr>
            <w:tcW w:w="1162" w:type="dxa"/>
            <w:tcBorders>
              <w:top w:val="nil"/>
              <w:left w:val="nil"/>
              <w:bottom w:val="single" w:sz="2" w:space="0" w:color="auto"/>
              <w:right w:val="nil"/>
            </w:tcBorders>
            <w:shd w:val="clear" w:color="auto" w:fill="auto"/>
            <w:noWrap/>
            <w:vAlign w:val="bottom"/>
          </w:tcPr>
          <w:p w14:paraId="6C6B4515" w14:textId="3D2124CC" w:rsidR="00FF308B" w:rsidRPr="00E45CA6" w:rsidRDefault="00FF308B" w:rsidP="00FF308B">
            <w:pPr>
              <w:spacing w:after="0" w:line="240" w:lineRule="exact"/>
              <w:jc w:val="right"/>
              <w:rPr>
                <w:rFonts w:cs="Arial"/>
                <w:sz w:val="18"/>
                <w:szCs w:val="18"/>
              </w:rPr>
            </w:pPr>
            <w:r w:rsidRPr="00312975">
              <w:rPr>
                <w:sz w:val="18"/>
                <w:szCs w:val="18"/>
              </w:rPr>
              <w:t>148</w:t>
            </w:r>
          </w:p>
        </w:tc>
        <w:tc>
          <w:tcPr>
            <w:tcW w:w="1332" w:type="dxa"/>
            <w:tcBorders>
              <w:top w:val="nil"/>
              <w:left w:val="nil"/>
              <w:bottom w:val="single" w:sz="2" w:space="0" w:color="auto"/>
              <w:right w:val="nil"/>
            </w:tcBorders>
            <w:shd w:val="clear" w:color="auto" w:fill="auto"/>
            <w:noWrap/>
            <w:vAlign w:val="bottom"/>
          </w:tcPr>
          <w:p w14:paraId="6A462585" w14:textId="3B8D71A3" w:rsidR="00FF308B" w:rsidRPr="00E45CA6" w:rsidRDefault="00FF308B" w:rsidP="00FF308B">
            <w:pPr>
              <w:spacing w:after="0" w:line="240" w:lineRule="exact"/>
              <w:jc w:val="right"/>
              <w:rPr>
                <w:rFonts w:cs="Arial"/>
                <w:sz w:val="18"/>
                <w:szCs w:val="18"/>
              </w:rPr>
            </w:pPr>
            <w:r w:rsidRPr="00EB454A">
              <w:rPr>
                <w:sz w:val="18"/>
                <w:szCs w:val="18"/>
              </w:rPr>
              <w:t>(</w:t>
            </w:r>
            <w:r w:rsidRPr="00312975">
              <w:rPr>
                <w:sz w:val="18"/>
                <w:szCs w:val="18"/>
              </w:rPr>
              <w:t>156</w:t>
            </w:r>
            <w:r w:rsidRPr="00EB454A">
              <w:rPr>
                <w:sz w:val="18"/>
                <w:szCs w:val="18"/>
              </w:rPr>
              <w:t>)</w:t>
            </w:r>
          </w:p>
        </w:tc>
        <w:tc>
          <w:tcPr>
            <w:tcW w:w="1333" w:type="dxa"/>
            <w:tcBorders>
              <w:top w:val="nil"/>
              <w:left w:val="nil"/>
              <w:bottom w:val="single" w:sz="2" w:space="0" w:color="auto"/>
              <w:right w:val="nil"/>
            </w:tcBorders>
            <w:shd w:val="clear" w:color="auto" w:fill="auto"/>
            <w:noWrap/>
            <w:vAlign w:val="bottom"/>
          </w:tcPr>
          <w:p w14:paraId="201A58ED" w14:textId="3C4D57A7" w:rsidR="00FF308B" w:rsidRPr="00E45CA6" w:rsidRDefault="00FF308B" w:rsidP="00FF308B">
            <w:pPr>
              <w:spacing w:after="0" w:line="240" w:lineRule="exact"/>
              <w:jc w:val="right"/>
              <w:rPr>
                <w:rFonts w:cs="Arial"/>
                <w:sz w:val="18"/>
                <w:szCs w:val="18"/>
              </w:rPr>
            </w:pPr>
            <w:r w:rsidRPr="00312975">
              <w:rPr>
                <w:sz w:val="18"/>
                <w:szCs w:val="18"/>
              </w:rPr>
              <w:t>3.572</w:t>
            </w:r>
          </w:p>
        </w:tc>
      </w:tr>
      <w:tr w:rsidR="00FF308B" w:rsidRPr="00E45CA6" w14:paraId="4F8710DC" w14:textId="77777777" w:rsidTr="00312975">
        <w:trPr>
          <w:trHeight w:val="300"/>
        </w:trPr>
        <w:tc>
          <w:tcPr>
            <w:tcW w:w="3085" w:type="dxa"/>
            <w:tcBorders>
              <w:left w:val="nil"/>
              <w:right w:val="nil"/>
            </w:tcBorders>
            <w:shd w:val="clear" w:color="auto" w:fill="auto"/>
            <w:vAlign w:val="bottom"/>
          </w:tcPr>
          <w:p w14:paraId="781556EB" w14:textId="77777777" w:rsidR="00FF308B" w:rsidRPr="00E45CA6" w:rsidRDefault="00FF308B" w:rsidP="00FF308B">
            <w:pPr>
              <w:spacing w:after="0" w:line="240" w:lineRule="exact"/>
              <w:rPr>
                <w:rFonts w:cs="Arial"/>
                <w:b/>
                <w:bCs/>
                <w:sz w:val="18"/>
                <w:szCs w:val="18"/>
              </w:rPr>
            </w:pPr>
            <w:r w:rsidRPr="00E45CA6">
              <w:rPr>
                <w:rFonts w:cs="Arial"/>
                <w:b/>
                <w:bCs/>
                <w:sz w:val="18"/>
                <w:szCs w:val="18"/>
              </w:rPr>
              <w:t>Prihod iz poslovanja</w:t>
            </w:r>
          </w:p>
        </w:tc>
        <w:tc>
          <w:tcPr>
            <w:tcW w:w="1332" w:type="dxa"/>
            <w:tcBorders>
              <w:top w:val="single" w:sz="2" w:space="0" w:color="auto"/>
              <w:left w:val="nil"/>
              <w:bottom w:val="single" w:sz="8" w:space="0" w:color="auto"/>
              <w:right w:val="nil"/>
            </w:tcBorders>
            <w:shd w:val="clear" w:color="auto" w:fill="auto"/>
            <w:noWrap/>
            <w:vAlign w:val="bottom"/>
          </w:tcPr>
          <w:p w14:paraId="65B46F5A" w14:textId="7E28688C" w:rsidR="00FF308B" w:rsidRPr="00E45CA6" w:rsidRDefault="00FF308B" w:rsidP="00FF308B">
            <w:pPr>
              <w:spacing w:after="0" w:line="240" w:lineRule="exact"/>
              <w:jc w:val="right"/>
              <w:rPr>
                <w:rFonts w:cs="Arial"/>
                <w:sz w:val="18"/>
                <w:szCs w:val="18"/>
              </w:rPr>
            </w:pPr>
            <w:r w:rsidRPr="00312975">
              <w:rPr>
                <w:b/>
                <w:sz w:val="18"/>
                <w:szCs w:val="18"/>
              </w:rPr>
              <w:t>205.285</w:t>
            </w:r>
          </w:p>
        </w:tc>
        <w:tc>
          <w:tcPr>
            <w:tcW w:w="1503" w:type="dxa"/>
            <w:tcBorders>
              <w:top w:val="single" w:sz="2" w:space="0" w:color="auto"/>
              <w:left w:val="nil"/>
              <w:bottom w:val="single" w:sz="8" w:space="0" w:color="auto"/>
              <w:right w:val="nil"/>
            </w:tcBorders>
            <w:shd w:val="clear" w:color="auto" w:fill="auto"/>
            <w:noWrap/>
            <w:vAlign w:val="bottom"/>
          </w:tcPr>
          <w:p w14:paraId="5620C4CF" w14:textId="6F3FBC9E" w:rsidR="00FF308B" w:rsidRPr="00E45CA6" w:rsidRDefault="00FF308B" w:rsidP="00FF308B">
            <w:pPr>
              <w:spacing w:after="0" w:line="240" w:lineRule="exact"/>
              <w:jc w:val="right"/>
              <w:rPr>
                <w:rFonts w:cs="Arial"/>
                <w:sz w:val="18"/>
                <w:szCs w:val="18"/>
              </w:rPr>
            </w:pPr>
            <w:r w:rsidRPr="00312975">
              <w:rPr>
                <w:b/>
                <w:sz w:val="18"/>
                <w:szCs w:val="18"/>
              </w:rPr>
              <w:t>4.768</w:t>
            </w:r>
          </w:p>
        </w:tc>
        <w:tc>
          <w:tcPr>
            <w:tcW w:w="1162" w:type="dxa"/>
            <w:tcBorders>
              <w:top w:val="single" w:sz="2" w:space="0" w:color="auto"/>
              <w:left w:val="nil"/>
              <w:bottom w:val="single" w:sz="8" w:space="0" w:color="auto"/>
              <w:right w:val="nil"/>
            </w:tcBorders>
            <w:shd w:val="clear" w:color="auto" w:fill="auto"/>
            <w:noWrap/>
            <w:vAlign w:val="bottom"/>
          </w:tcPr>
          <w:p w14:paraId="422B0F5E" w14:textId="7B33D9AE" w:rsidR="00FF308B" w:rsidRPr="00E45CA6" w:rsidRDefault="00FF308B" w:rsidP="00FF308B">
            <w:pPr>
              <w:spacing w:after="0" w:line="240" w:lineRule="exact"/>
              <w:jc w:val="right"/>
              <w:rPr>
                <w:rFonts w:cs="Arial"/>
                <w:sz w:val="18"/>
                <w:szCs w:val="18"/>
              </w:rPr>
            </w:pPr>
            <w:r w:rsidRPr="00312975">
              <w:rPr>
                <w:b/>
                <w:sz w:val="18"/>
                <w:szCs w:val="18"/>
              </w:rPr>
              <w:t>638</w:t>
            </w:r>
          </w:p>
        </w:tc>
        <w:tc>
          <w:tcPr>
            <w:tcW w:w="1332" w:type="dxa"/>
            <w:tcBorders>
              <w:top w:val="single" w:sz="2" w:space="0" w:color="auto"/>
              <w:left w:val="nil"/>
              <w:bottom w:val="single" w:sz="8" w:space="0" w:color="auto"/>
              <w:right w:val="nil"/>
            </w:tcBorders>
            <w:shd w:val="clear" w:color="auto" w:fill="auto"/>
            <w:noWrap/>
            <w:vAlign w:val="bottom"/>
          </w:tcPr>
          <w:p w14:paraId="08F95EA5" w14:textId="0F32D1CA" w:rsidR="00FF308B" w:rsidRPr="00E45CA6" w:rsidRDefault="00FF308B" w:rsidP="00FF308B">
            <w:pPr>
              <w:spacing w:after="0" w:line="240" w:lineRule="exact"/>
              <w:jc w:val="right"/>
              <w:rPr>
                <w:rFonts w:cs="Arial"/>
                <w:sz w:val="18"/>
                <w:szCs w:val="18"/>
              </w:rPr>
            </w:pPr>
            <w:r w:rsidRPr="00EB454A">
              <w:rPr>
                <w:b/>
                <w:sz w:val="18"/>
                <w:szCs w:val="18"/>
              </w:rPr>
              <w:t>(</w:t>
            </w:r>
            <w:r w:rsidRPr="00312975">
              <w:rPr>
                <w:b/>
                <w:sz w:val="18"/>
                <w:szCs w:val="18"/>
              </w:rPr>
              <w:t>156</w:t>
            </w:r>
            <w:r w:rsidRPr="00EB454A">
              <w:rPr>
                <w:b/>
                <w:sz w:val="18"/>
                <w:szCs w:val="18"/>
              </w:rPr>
              <w:t>)</w:t>
            </w:r>
          </w:p>
        </w:tc>
        <w:tc>
          <w:tcPr>
            <w:tcW w:w="1333" w:type="dxa"/>
            <w:tcBorders>
              <w:top w:val="single" w:sz="2" w:space="0" w:color="auto"/>
              <w:left w:val="nil"/>
              <w:bottom w:val="single" w:sz="8" w:space="0" w:color="auto"/>
              <w:right w:val="nil"/>
            </w:tcBorders>
            <w:shd w:val="clear" w:color="auto" w:fill="auto"/>
            <w:noWrap/>
            <w:vAlign w:val="bottom"/>
          </w:tcPr>
          <w:p w14:paraId="61B09D15" w14:textId="2BA6E350" w:rsidR="00FF308B" w:rsidRPr="00E45CA6" w:rsidRDefault="00FF308B" w:rsidP="00FF308B">
            <w:pPr>
              <w:spacing w:after="0" w:line="240" w:lineRule="exact"/>
              <w:jc w:val="right"/>
              <w:rPr>
                <w:rFonts w:cs="Arial"/>
                <w:sz w:val="18"/>
                <w:szCs w:val="18"/>
              </w:rPr>
            </w:pPr>
            <w:r w:rsidRPr="00312975">
              <w:rPr>
                <w:b/>
                <w:sz w:val="18"/>
                <w:szCs w:val="18"/>
              </w:rPr>
              <w:t>210.535</w:t>
            </w:r>
          </w:p>
        </w:tc>
      </w:tr>
      <w:tr w:rsidR="00B4610C" w:rsidRPr="00E45CA6" w14:paraId="44C2F887" w14:textId="77777777" w:rsidTr="00F1130C">
        <w:trPr>
          <w:trHeight w:val="60"/>
        </w:trPr>
        <w:tc>
          <w:tcPr>
            <w:tcW w:w="3085" w:type="dxa"/>
            <w:tcBorders>
              <w:left w:val="nil"/>
              <w:bottom w:val="nil"/>
              <w:right w:val="nil"/>
            </w:tcBorders>
            <w:shd w:val="clear" w:color="auto" w:fill="auto"/>
            <w:vAlign w:val="bottom"/>
          </w:tcPr>
          <w:p w14:paraId="0B9EA6C9" w14:textId="77777777" w:rsidR="00B4610C" w:rsidRPr="00E45CA6" w:rsidRDefault="00B4610C" w:rsidP="00B4610C">
            <w:pPr>
              <w:spacing w:after="0" w:line="240" w:lineRule="exact"/>
              <w:rPr>
                <w:rFonts w:cs="Arial"/>
                <w:sz w:val="18"/>
                <w:szCs w:val="18"/>
              </w:rPr>
            </w:pPr>
          </w:p>
        </w:tc>
        <w:tc>
          <w:tcPr>
            <w:tcW w:w="1332" w:type="dxa"/>
            <w:tcBorders>
              <w:top w:val="nil"/>
              <w:left w:val="nil"/>
              <w:bottom w:val="nil"/>
              <w:right w:val="nil"/>
            </w:tcBorders>
            <w:shd w:val="clear" w:color="auto" w:fill="auto"/>
            <w:noWrap/>
            <w:vAlign w:val="bottom"/>
          </w:tcPr>
          <w:p w14:paraId="60711ED8" w14:textId="77777777" w:rsidR="00B4610C" w:rsidRPr="00E45CA6" w:rsidRDefault="00B4610C" w:rsidP="00B4610C">
            <w:pPr>
              <w:spacing w:after="0" w:line="24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6EB93CA7" w14:textId="77777777" w:rsidR="00B4610C" w:rsidRPr="00E45CA6" w:rsidRDefault="00B4610C" w:rsidP="00B4610C">
            <w:pPr>
              <w:spacing w:after="0" w:line="24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5358B9FE" w14:textId="77777777" w:rsidR="00B4610C" w:rsidRPr="00E45CA6" w:rsidRDefault="00B4610C" w:rsidP="00B4610C">
            <w:pPr>
              <w:spacing w:after="0" w:line="24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0DE431B3" w14:textId="77777777" w:rsidR="00B4610C" w:rsidRPr="00E45CA6" w:rsidRDefault="00B4610C" w:rsidP="00B4610C">
            <w:pPr>
              <w:spacing w:after="0" w:line="24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06534D23" w14:textId="77777777" w:rsidR="00B4610C" w:rsidRPr="00E45CA6" w:rsidRDefault="00B4610C" w:rsidP="00B4610C">
            <w:pPr>
              <w:spacing w:after="0" w:line="240" w:lineRule="exact"/>
              <w:jc w:val="right"/>
              <w:rPr>
                <w:rFonts w:cs="Arial"/>
                <w:b/>
                <w:bCs/>
                <w:sz w:val="18"/>
                <w:szCs w:val="18"/>
              </w:rPr>
            </w:pPr>
          </w:p>
        </w:tc>
      </w:tr>
      <w:tr w:rsidR="00FF308B" w:rsidRPr="00E45CA6" w14:paraId="46E7D3BD" w14:textId="77777777" w:rsidTr="00F1130C">
        <w:trPr>
          <w:trHeight w:val="300"/>
        </w:trPr>
        <w:tc>
          <w:tcPr>
            <w:tcW w:w="3085" w:type="dxa"/>
            <w:tcBorders>
              <w:top w:val="nil"/>
              <w:left w:val="nil"/>
              <w:bottom w:val="nil"/>
              <w:right w:val="nil"/>
            </w:tcBorders>
            <w:shd w:val="clear" w:color="auto" w:fill="auto"/>
            <w:vAlign w:val="bottom"/>
          </w:tcPr>
          <w:p w14:paraId="06C53175" w14:textId="77777777" w:rsidR="00FF308B" w:rsidRPr="00E45CA6" w:rsidRDefault="00FF308B" w:rsidP="00FF308B">
            <w:pPr>
              <w:spacing w:after="0" w:line="240" w:lineRule="exact"/>
              <w:rPr>
                <w:rFonts w:cs="Arial"/>
                <w:sz w:val="18"/>
                <w:szCs w:val="18"/>
              </w:rPr>
            </w:pPr>
            <w:r w:rsidRPr="00E45CA6">
              <w:rPr>
                <w:rFonts w:cs="Arial"/>
                <w:sz w:val="18"/>
                <w:szCs w:val="18"/>
              </w:rPr>
              <w:t>Operativni troškovi</w:t>
            </w:r>
          </w:p>
        </w:tc>
        <w:tc>
          <w:tcPr>
            <w:tcW w:w="1332" w:type="dxa"/>
            <w:tcBorders>
              <w:top w:val="nil"/>
              <w:left w:val="nil"/>
              <w:bottom w:val="nil"/>
              <w:right w:val="nil"/>
            </w:tcBorders>
            <w:shd w:val="clear" w:color="auto" w:fill="auto"/>
            <w:noWrap/>
            <w:vAlign w:val="bottom"/>
          </w:tcPr>
          <w:p w14:paraId="560703E2" w14:textId="3C6B3EFE" w:rsidR="00FF308B" w:rsidRPr="00E45CA6" w:rsidRDefault="00FF308B" w:rsidP="00FF308B">
            <w:pPr>
              <w:spacing w:after="0" w:line="240" w:lineRule="exact"/>
              <w:jc w:val="right"/>
              <w:rPr>
                <w:rFonts w:cs="Arial"/>
                <w:sz w:val="18"/>
                <w:szCs w:val="18"/>
              </w:rPr>
            </w:pPr>
            <w:r w:rsidRPr="00EB454A">
              <w:rPr>
                <w:sz w:val="18"/>
                <w:szCs w:val="18"/>
              </w:rPr>
              <w:t>(</w:t>
            </w:r>
            <w:r w:rsidRPr="00312975">
              <w:rPr>
                <w:sz w:val="18"/>
                <w:szCs w:val="18"/>
              </w:rPr>
              <w:t>77.050</w:t>
            </w:r>
            <w:r w:rsidRPr="00EB454A">
              <w:rPr>
                <w:sz w:val="18"/>
                <w:szCs w:val="18"/>
              </w:rPr>
              <w:t>)</w:t>
            </w:r>
          </w:p>
        </w:tc>
        <w:tc>
          <w:tcPr>
            <w:tcW w:w="1503" w:type="dxa"/>
            <w:tcBorders>
              <w:top w:val="nil"/>
              <w:left w:val="nil"/>
              <w:bottom w:val="nil"/>
              <w:right w:val="nil"/>
            </w:tcBorders>
            <w:shd w:val="clear" w:color="auto" w:fill="auto"/>
            <w:noWrap/>
            <w:vAlign w:val="bottom"/>
          </w:tcPr>
          <w:p w14:paraId="662CDFA6" w14:textId="795C6253" w:rsidR="00FF308B" w:rsidRPr="00E45CA6" w:rsidRDefault="00FF308B" w:rsidP="00FF308B">
            <w:pPr>
              <w:spacing w:after="0" w:line="240" w:lineRule="exact"/>
              <w:jc w:val="right"/>
              <w:rPr>
                <w:rFonts w:cs="Arial"/>
                <w:sz w:val="18"/>
                <w:szCs w:val="18"/>
              </w:rPr>
            </w:pPr>
            <w:r w:rsidRPr="00EB454A">
              <w:rPr>
                <w:sz w:val="18"/>
                <w:szCs w:val="18"/>
              </w:rPr>
              <w:t>(</w:t>
            </w:r>
            <w:r w:rsidRPr="00312975">
              <w:rPr>
                <w:sz w:val="18"/>
                <w:szCs w:val="18"/>
              </w:rPr>
              <w:t>2.680</w:t>
            </w:r>
            <w:r w:rsidRPr="00EB454A">
              <w:rPr>
                <w:sz w:val="18"/>
                <w:szCs w:val="18"/>
              </w:rPr>
              <w:t>)</w:t>
            </w:r>
          </w:p>
        </w:tc>
        <w:tc>
          <w:tcPr>
            <w:tcW w:w="1162" w:type="dxa"/>
            <w:tcBorders>
              <w:top w:val="nil"/>
              <w:left w:val="nil"/>
              <w:bottom w:val="nil"/>
              <w:right w:val="nil"/>
            </w:tcBorders>
            <w:shd w:val="clear" w:color="auto" w:fill="auto"/>
            <w:noWrap/>
            <w:vAlign w:val="bottom"/>
          </w:tcPr>
          <w:p w14:paraId="628CC862" w14:textId="6834F200" w:rsidR="00FF308B" w:rsidRPr="00E45CA6" w:rsidRDefault="00FF308B" w:rsidP="00FF308B">
            <w:pPr>
              <w:spacing w:after="0" w:line="240" w:lineRule="exact"/>
              <w:jc w:val="right"/>
              <w:rPr>
                <w:rFonts w:cs="Arial"/>
                <w:sz w:val="18"/>
                <w:szCs w:val="18"/>
              </w:rPr>
            </w:pPr>
            <w:r w:rsidRPr="00EB454A">
              <w:rPr>
                <w:sz w:val="18"/>
                <w:szCs w:val="18"/>
              </w:rPr>
              <w:t>(</w:t>
            </w:r>
            <w:r w:rsidRPr="00312975">
              <w:rPr>
                <w:sz w:val="18"/>
                <w:szCs w:val="18"/>
              </w:rPr>
              <w:t>529</w:t>
            </w:r>
            <w:r w:rsidRPr="00EB454A">
              <w:rPr>
                <w:sz w:val="18"/>
                <w:szCs w:val="18"/>
              </w:rPr>
              <w:t>)</w:t>
            </w:r>
          </w:p>
        </w:tc>
        <w:tc>
          <w:tcPr>
            <w:tcW w:w="1332" w:type="dxa"/>
            <w:tcBorders>
              <w:top w:val="nil"/>
              <w:left w:val="nil"/>
              <w:bottom w:val="nil"/>
              <w:right w:val="nil"/>
            </w:tcBorders>
            <w:shd w:val="clear" w:color="auto" w:fill="auto"/>
            <w:noWrap/>
            <w:vAlign w:val="bottom"/>
          </w:tcPr>
          <w:p w14:paraId="4DF032B7" w14:textId="5234E0E9" w:rsidR="00FF308B" w:rsidRPr="00E45CA6" w:rsidRDefault="00FF308B" w:rsidP="00FF308B">
            <w:pPr>
              <w:spacing w:after="0" w:line="240" w:lineRule="exact"/>
              <w:jc w:val="right"/>
              <w:rPr>
                <w:rFonts w:cs="Arial"/>
                <w:sz w:val="18"/>
                <w:szCs w:val="18"/>
              </w:rPr>
            </w:pPr>
            <w:r w:rsidRPr="00312975">
              <w:rPr>
                <w:sz w:val="18"/>
                <w:szCs w:val="18"/>
              </w:rPr>
              <w:t>156</w:t>
            </w:r>
          </w:p>
        </w:tc>
        <w:tc>
          <w:tcPr>
            <w:tcW w:w="1333" w:type="dxa"/>
            <w:tcBorders>
              <w:top w:val="nil"/>
              <w:left w:val="nil"/>
              <w:bottom w:val="nil"/>
              <w:right w:val="nil"/>
            </w:tcBorders>
            <w:shd w:val="clear" w:color="auto" w:fill="auto"/>
            <w:noWrap/>
            <w:vAlign w:val="bottom"/>
          </w:tcPr>
          <w:p w14:paraId="12D66B87" w14:textId="51A52E99" w:rsidR="00FF308B" w:rsidRPr="00E45CA6" w:rsidRDefault="00FF308B" w:rsidP="00FF308B">
            <w:pPr>
              <w:spacing w:after="0" w:line="240" w:lineRule="exact"/>
              <w:jc w:val="right"/>
              <w:rPr>
                <w:rFonts w:cs="Arial"/>
                <w:sz w:val="18"/>
                <w:szCs w:val="18"/>
              </w:rPr>
            </w:pPr>
            <w:r w:rsidRPr="00EB454A">
              <w:rPr>
                <w:sz w:val="18"/>
                <w:szCs w:val="18"/>
              </w:rPr>
              <w:t>(</w:t>
            </w:r>
            <w:r w:rsidRPr="00312975">
              <w:rPr>
                <w:sz w:val="18"/>
                <w:szCs w:val="18"/>
              </w:rPr>
              <w:t>80.103</w:t>
            </w:r>
            <w:r w:rsidRPr="00EB454A">
              <w:rPr>
                <w:sz w:val="18"/>
                <w:szCs w:val="18"/>
              </w:rPr>
              <w:t>)</w:t>
            </w:r>
          </w:p>
        </w:tc>
      </w:tr>
      <w:tr w:rsidR="00FF308B" w:rsidRPr="00E45CA6" w14:paraId="18F524F0" w14:textId="77777777" w:rsidTr="00F1130C">
        <w:trPr>
          <w:trHeight w:val="600"/>
        </w:trPr>
        <w:tc>
          <w:tcPr>
            <w:tcW w:w="3085" w:type="dxa"/>
            <w:tcBorders>
              <w:top w:val="nil"/>
              <w:left w:val="nil"/>
              <w:bottom w:val="nil"/>
              <w:right w:val="nil"/>
            </w:tcBorders>
            <w:shd w:val="clear" w:color="auto" w:fill="auto"/>
            <w:vAlign w:val="bottom"/>
          </w:tcPr>
          <w:p w14:paraId="46B2CE41" w14:textId="77777777" w:rsidR="00FF308B" w:rsidRPr="00E45CA6" w:rsidRDefault="00FF308B" w:rsidP="00FF308B">
            <w:pPr>
              <w:spacing w:after="0" w:line="240" w:lineRule="exact"/>
              <w:rPr>
                <w:rFonts w:cs="Arial"/>
                <w:sz w:val="18"/>
                <w:szCs w:val="18"/>
              </w:rPr>
            </w:pPr>
            <w:r w:rsidRPr="00E45CA6">
              <w:rPr>
                <w:rFonts w:cs="Arial"/>
                <w:sz w:val="18"/>
                <w:szCs w:val="18"/>
              </w:rPr>
              <w:t>Gubitak od umanjenja vrijednosti i rezerviranja</w:t>
            </w:r>
          </w:p>
        </w:tc>
        <w:tc>
          <w:tcPr>
            <w:tcW w:w="1332" w:type="dxa"/>
            <w:tcBorders>
              <w:top w:val="nil"/>
              <w:left w:val="nil"/>
              <w:bottom w:val="nil"/>
              <w:right w:val="nil"/>
            </w:tcBorders>
            <w:shd w:val="clear" w:color="auto" w:fill="auto"/>
            <w:noWrap/>
            <w:vAlign w:val="bottom"/>
          </w:tcPr>
          <w:p w14:paraId="549F7039" w14:textId="48F98942" w:rsidR="00FF308B" w:rsidRPr="00E45CA6" w:rsidRDefault="00FF308B" w:rsidP="00FF308B">
            <w:pPr>
              <w:spacing w:after="0" w:line="240" w:lineRule="exact"/>
              <w:jc w:val="right"/>
              <w:rPr>
                <w:rFonts w:cs="Arial"/>
                <w:sz w:val="18"/>
                <w:szCs w:val="18"/>
              </w:rPr>
            </w:pPr>
            <w:r w:rsidRPr="00EB454A">
              <w:rPr>
                <w:sz w:val="18"/>
                <w:szCs w:val="18"/>
              </w:rPr>
              <w:t>(</w:t>
            </w:r>
            <w:r w:rsidRPr="00312975">
              <w:rPr>
                <w:sz w:val="18"/>
                <w:szCs w:val="18"/>
              </w:rPr>
              <w:t>21.000</w:t>
            </w:r>
            <w:r w:rsidRPr="00EB454A">
              <w:rPr>
                <w:sz w:val="18"/>
                <w:szCs w:val="18"/>
              </w:rPr>
              <w:t>)</w:t>
            </w:r>
          </w:p>
        </w:tc>
        <w:tc>
          <w:tcPr>
            <w:tcW w:w="1503" w:type="dxa"/>
            <w:tcBorders>
              <w:top w:val="nil"/>
              <w:left w:val="nil"/>
              <w:bottom w:val="nil"/>
              <w:right w:val="nil"/>
            </w:tcBorders>
            <w:shd w:val="clear" w:color="auto" w:fill="auto"/>
            <w:noWrap/>
            <w:vAlign w:val="bottom"/>
          </w:tcPr>
          <w:p w14:paraId="03A12808" w14:textId="28139579" w:rsidR="00FF308B" w:rsidRPr="00E45CA6" w:rsidRDefault="00FF308B" w:rsidP="00FF308B">
            <w:pPr>
              <w:spacing w:after="0" w:line="240" w:lineRule="exact"/>
              <w:jc w:val="right"/>
              <w:rPr>
                <w:rFonts w:cs="Arial"/>
                <w:sz w:val="18"/>
                <w:szCs w:val="18"/>
              </w:rPr>
            </w:pPr>
            <w:r w:rsidRPr="00312975">
              <w:rPr>
                <w:sz w:val="18"/>
                <w:szCs w:val="18"/>
              </w:rPr>
              <w:t>33</w:t>
            </w:r>
          </w:p>
        </w:tc>
        <w:tc>
          <w:tcPr>
            <w:tcW w:w="1162" w:type="dxa"/>
            <w:tcBorders>
              <w:top w:val="nil"/>
              <w:left w:val="nil"/>
              <w:bottom w:val="nil"/>
              <w:right w:val="nil"/>
            </w:tcBorders>
            <w:shd w:val="clear" w:color="auto" w:fill="auto"/>
            <w:noWrap/>
            <w:vAlign w:val="bottom"/>
          </w:tcPr>
          <w:p w14:paraId="58896EE8" w14:textId="125A1D66" w:rsidR="00FF308B" w:rsidRPr="00E45CA6" w:rsidRDefault="00FF308B" w:rsidP="00FF308B">
            <w:pPr>
              <w:spacing w:after="0" w:line="240" w:lineRule="exact"/>
              <w:jc w:val="right"/>
              <w:rPr>
                <w:rFonts w:cs="Arial"/>
                <w:sz w:val="18"/>
                <w:szCs w:val="18"/>
              </w:rPr>
            </w:pPr>
            <w:r w:rsidRPr="00312975">
              <w:rPr>
                <w:sz w:val="18"/>
                <w:szCs w:val="18"/>
              </w:rPr>
              <w:t>9</w:t>
            </w:r>
          </w:p>
        </w:tc>
        <w:tc>
          <w:tcPr>
            <w:tcW w:w="1332" w:type="dxa"/>
            <w:tcBorders>
              <w:top w:val="nil"/>
              <w:left w:val="nil"/>
              <w:bottom w:val="nil"/>
              <w:right w:val="nil"/>
            </w:tcBorders>
            <w:shd w:val="clear" w:color="auto" w:fill="auto"/>
            <w:noWrap/>
            <w:vAlign w:val="bottom"/>
          </w:tcPr>
          <w:p w14:paraId="2B70965F" w14:textId="26268EC0" w:rsidR="00FF308B" w:rsidRPr="00E45CA6" w:rsidRDefault="00FF308B" w:rsidP="00FF308B">
            <w:pPr>
              <w:spacing w:after="0" w:line="240" w:lineRule="exact"/>
              <w:jc w:val="right"/>
              <w:rPr>
                <w:rFonts w:cs="Arial"/>
                <w:sz w:val="18"/>
                <w:szCs w:val="18"/>
              </w:rPr>
            </w:pPr>
            <w:r w:rsidRPr="00EB454A">
              <w:rPr>
                <w:sz w:val="18"/>
                <w:szCs w:val="18"/>
              </w:rPr>
              <w:t>-</w:t>
            </w:r>
          </w:p>
        </w:tc>
        <w:tc>
          <w:tcPr>
            <w:tcW w:w="1333" w:type="dxa"/>
            <w:tcBorders>
              <w:top w:val="nil"/>
              <w:left w:val="nil"/>
              <w:bottom w:val="nil"/>
              <w:right w:val="nil"/>
            </w:tcBorders>
            <w:shd w:val="clear" w:color="auto" w:fill="auto"/>
            <w:noWrap/>
            <w:vAlign w:val="bottom"/>
          </w:tcPr>
          <w:p w14:paraId="1945770E" w14:textId="303F142C" w:rsidR="00FF308B" w:rsidRPr="00E45CA6" w:rsidRDefault="00FF308B" w:rsidP="00FF308B">
            <w:pPr>
              <w:spacing w:after="0" w:line="240" w:lineRule="exact"/>
              <w:jc w:val="right"/>
              <w:rPr>
                <w:rFonts w:cs="Arial"/>
                <w:sz w:val="18"/>
                <w:szCs w:val="18"/>
              </w:rPr>
            </w:pPr>
            <w:r w:rsidRPr="00EB454A">
              <w:rPr>
                <w:sz w:val="18"/>
                <w:szCs w:val="18"/>
              </w:rPr>
              <w:t>(</w:t>
            </w:r>
            <w:r w:rsidRPr="00312975">
              <w:rPr>
                <w:sz w:val="18"/>
                <w:szCs w:val="18"/>
              </w:rPr>
              <w:t>20.958</w:t>
            </w:r>
            <w:r w:rsidRPr="00EB454A">
              <w:rPr>
                <w:sz w:val="18"/>
                <w:szCs w:val="18"/>
              </w:rPr>
              <w:t>)</w:t>
            </w:r>
          </w:p>
        </w:tc>
      </w:tr>
      <w:tr w:rsidR="00FF308B" w:rsidRPr="00E45CA6" w14:paraId="4B65C5E4" w14:textId="77777777" w:rsidTr="00F1130C">
        <w:trPr>
          <w:trHeight w:val="310"/>
        </w:trPr>
        <w:tc>
          <w:tcPr>
            <w:tcW w:w="3085" w:type="dxa"/>
            <w:tcBorders>
              <w:top w:val="nil"/>
              <w:left w:val="nil"/>
              <w:bottom w:val="nil"/>
              <w:right w:val="nil"/>
            </w:tcBorders>
            <w:shd w:val="clear" w:color="auto" w:fill="auto"/>
            <w:vAlign w:val="bottom"/>
          </w:tcPr>
          <w:p w14:paraId="0F96BE4B" w14:textId="77777777" w:rsidR="00FF308B" w:rsidRPr="00E45CA6" w:rsidRDefault="00FF308B" w:rsidP="00FF308B">
            <w:pPr>
              <w:spacing w:after="0" w:line="240" w:lineRule="exact"/>
              <w:rPr>
                <w:rFonts w:cs="Arial"/>
                <w:sz w:val="18"/>
                <w:szCs w:val="18"/>
              </w:rPr>
            </w:pPr>
            <w:r w:rsidRPr="00E45CA6">
              <w:rPr>
                <w:rFonts w:cs="Arial"/>
                <w:sz w:val="18"/>
                <w:szCs w:val="18"/>
              </w:rPr>
              <w:t>Izdaci za osigurane slučajeve</w:t>
            </w:r>
          </w:p>
        </w:tc>
        <w:tc>
          <w:tcPr>
            <w:tcW w:w="1332" w:type="dxa"/>
            <w:tcBorders>
              <w:top w:val="nil"/>
              <w:left w:val="nil"/>
              <w:bottom w:val="nil"/>
              <w:right w:val="nil"/>
            </w:tcBorders>
            <w:shd w:val="clear" w:color="auto" w:fill="auto"/>
            <w:noWrap/>
            <w:vAlign w:val="bottom"/>
          </w:tcPr>
          <w:p w14:paraId="250EF214" w14:textId="7EF5AD34" w:rsidR="00FF308B" w:rsidRPr="00E45CA6" w:rsidRDefault="00FF308B" w:rsidP="00FF308B">
            <w:pPr>
              <w:spacing w:after="0" w:line="240" w:lineRule="exact"/>
              <w:jc w:val="right"/>
              <w:rPr>
                <w:rFonts w:cs="Arial"/>
                <w:sz w:val="18"/>
                <w:szCs w:val="18"/>
              </w:rPr>
            </w:pPr>
            <w:r w:rsidRPr="00EB454A">
              <w:rPr>
                <w:rFonts w:cs="Arial"/>
                <w:sz w:val="18"/>
                <w:szCs w:val="18"/>
              </w:rPr>
              <w:t>-</w:t>
            </w:r>
          </w:p>
        </w:tc>
        <w:tc>
          <w:tcPr>
            <w:tcW w:w="1503" w:type="dxa"/>
            <w:tcBorders>
              <w:top w:val="nil"/>
              <w:left w:val="nil"/>
              <w:bottom w:val="nil"/>
              <w:right w:val="nil"/>
            </w:tcBorders>
            <w:shd w:val="clear" w:color="auto" w:fill="auto"/>
            <w:noWrap/>
            <w:vAlign w:val="bottom"/>
          </w:tcPr>
          <w:p w14:paraId="4969B0E6" w14:textId="3202A033" w:rsidR="00FF308B" w:rsidRPr="00E45CA6" w:rsidRDefault="00FF308B" w:rsidP="00FF308B">
            <w:pPr>
              <w:spacing w:after="0" w:line="240" w:lineRule="exact"/>
              <w:jc w:val="right"/>
              <w:rPr>
                <w:rFonts w:cs="Arial"/>
                <w:sz w:val="18"/>
                <w:szCs w:val="18"/>
              </w:rPr>
            </w:pPr>
            <w:r w:rsidRPr="00EB454A">
              <w:rPr>
                <w:sz w:val="18"/>
                <w:szCs w:val="18"/>
              </w:rPr>
              <w:t>(</w:t>
            </w:r>
            <w:r w:rsidRPr="00312975">
              <w:rPr>
                <w:sz w:val="18"/>
                <w:szCs w:val="18"/>
              </w:rPr>
              <w:t>1.509</w:t>
            </w:r>
            <w:r w:rsidRPr="00EB454A">
              <w:rPr>
                <w:sz w:val="18"/>
                <w:szCs w:val="18"/>
              </w:rPr>
              <w:t>)</w:t>
            </w:r>
          </w:p>
        </w:tc>
        <w:tc>
          <w:tcPr>
            <w:tcW w:w="1162" w:type="dxa"/>
            <w:tcBorders>
              <w:top w:val="nil"/>
              <w:left w:val="nil"/>
              <w:bottom w:val="nil"/>
              <w:right w:val="nil"/>
            </w:tcBorders>
            <w:shd w:val="clear" w:color="auto" w:fill="auto"/>
            <w:noWrap/>
            <w:vAlign w:val="bottom"/>
          </w:tcPr>
          <w:p w14:paraId="76B433E7" w14:textId="29C88531" w:rsidR="00FF308B" w:rsidRPr="00E45CA6" w:rsidRDefault="00FF308B" w:rsidP="00FF308B">
            <w:pPr>
              <w:spacing w:after="0" w:line="240" w:lineRule="exact"/>
              <w:jc w:val="right"/>
              <w:rPr>
                <w:rFonts w:cs="Arial"/>
                <w:sz w:val="18"/>
                <w:szCs w:val="18"/>
              </w:rPr>
            </w:pPr>
            <w:r w:rsidRPr="00EB454A">
              <w:rPr>
                <w:rFonts w:cs="Arial"/>
                <w:sz w:val="18"/>
                <w:szCs w:val="18"/>
              </w:rPr>
              <w:t>-</w:t>
            </w:r>
          </w:p>
        </w:tc>
        <w:tc>
          <w:tcPr>
            <w:tcW w:w="1332" w:type="dxa"/>
            <w:tcBorders>
              <w:top w:val="nil"/>
              <w:left w:val="nil"/>
              <w:bottom w:val="nil"/>
              <w:right w:val="nil"/>
            </w:tcBorders>
            <w:shd w:val="clear" w:color="auto" w:fill="auto"/>
            <w:noWrap/>
            <w:vAlign w:val="bottom"/>
          </w:tcPr>
          <w:p w14:paraId="7A3828A4" w14:textId="0CAA7947" w:rsidR="00FF308B" w:rsidRPr="00E45CA6" w:rsidRDefault="00FF308B" w:rsidP="00FF308B">
            <w:pPr>
              <w:spacing w:after="0" w:line="240" w:lineRule="exact"/>
              <w:jc w:val="right"/>
              <w:rPr>
                <w:rFonts w:cs="Arial"/>
                <w:sz w:val="18"/>
                <w:szCs w:val="18"/>
              </w:rPr>
            </w:pPr>
            <w:r w:rsidRPr="00EB454A">
              <w:rPr>
                <w:rFonts w:cs="Arial"/>
                <w:sz w:val="18"/>
                <w:szCs w:val="18"/>
              </w:rPr>
              <w:t>-</w:t>
            </w:r>
          </w:p>
        </w:tc>
        <w:tc>
          <w:tcPr>
            <w:tcW w:w="1333" w:type="dxa"/>
            <w:tcBorders>
              <w:top w:val="nil"/>
              <w:left w:val="nil"/>
              <w:bottom w:val="nil"/>
              <w:right w:val="nil"/>
            </w:tcBorders>
            <w:shd w:val="clear" w:color="auto" w:fill="auto"/>
            <w:noWrap/>
            <w:vAlign w:val="bottom"/>
          </w:tcPr>
          <w:p w14:paraId="577C0201" w14:textId="02FB4F6B" w:rsidR="00FF308B" w:rsidRPr="00E45CA6" w:rsidRDefault="00FF308B" w:rsidP="00FF308B">
            <w:pPr>
              <w:spacing w:after="0" w:line="240" w:lineRule="exact"/>
              <w:jc w:val="right"/>
              <w:rPr>
                <w:rFonts w:cs="Arial"/>
                <w:sz w:val="18"/>
                <w:szCs w:val="18"/>
              </w:rPr>
            </w:pPr>
            <w:r w:rsidRPr="00EB454A">
              <w:rPr>
                <w:sz w:val="18"/>
                <w:szCs w:val="18"/>
              </w:rPr>
              <w:t>(</w:t>
            </w:r>
            <w:r w:rsidRPr="00312975">
              <w:rPr>
                <w:sz w:val="18"/>
                <w:szCs w:val="18"/>
              </w:rPr>
              <w:t>1.509</w:t>
            </w:r>
            <w:r w:rsidRPr="00EB454A">
              <w:rPr>
                <w:sz w:val="18"/>
                <w:szCs w:val="18"/>
              </w:rPr>
              <w:t>)</w:t>
            </w:r>
          </w:p>
        </w:tc>
      </w:tr>
      <w:tr w:rsidR="00FF308B" w:rsidRPr="00E45CA6" w14:paraId="194BDFAE" w14:textId="77777777" w:rsidTr="00F1130C">
        <w:trPr>
          <w:trHeight w:val="300"/>
        </w:trPr>
        <w:tc>
          <w:tcPr>
            <w:tcW w:w="3085" w:type="dxa"/>
            <w:tcBorders>
              <w:top w:val="nil"/>
              <w:left w:val="nil"/>
              <w:bottom w:val="nil"/>
              <w:right w:val="nil"/>
            </w:tcBorders>
            <w:shd w:val="clear" w:color="auto" w:fill="auto"/>
            <w:vAlign w:val="bottom"/>
          </w:tcPr>
          <w:p w14:paraId="1A659A64" w14:textId="77777777" w:rsidR="00FF308B" w:rsidRPr="00E45CA6" w:rsidRDefault="00FF308B" w:rsidP="00FF308B">
            <w:pPr>
              <w:spacing w:after="0" w:line="240" w:lineRule="exact"/>
              <w:rPr>
                <w:rFonts w:cs="Arial"/>
                <w:sz w:val="18"/>
                <w:szCs w:val="18"/>
              </w:rPr>
            </w:pPr>
            <w:r w:rsidRPr="00E45CA6">
              <w:rPr>
                <w:rFonts w:cs="Arial"/>
                <w:sz w:val="18"/>
                <w:szCs w:val="18"/>
              </w:rPr>
              <w:t>Neto promjena pričuva</w:t>
            </w:r>
          </w:p>
        </w:tc>
        <w:tc>
          <w:tcPr>
            <w:tcW w:w="1332" w:type="dxa"/>
            <w:tcBorders>
              <w:top w:val="nil"/>
              <w:left w:val="nil"/>
              <w:bottom w:val="nil"/>
              <w:right w:val="nil"/>
            </w:tcBorders>
            <w:shd w:val="clear" w:color="auto" w:fill="auto"/>
            <w:noWrap/>
            <w:vAlign w:val="bottom"/>
          </w:tcPr>
          <w:p w14:paraId="46E0AAA5" w14:textId="7E227F4E" w:rsidR="00FF308B" w:rsidRPr="00E45CA6" w:rsidRDefault="00FF308B" w:rsidP="00FF308B">
            <w:pPr>
              <w:spacing w:after="0" w:line="240" w:lineRule="exact"/>
              <w:jc w:val="right"/>
              <w:rPr>
                <w:rFonts w:cs="Arial"/>
                <w:sz w:val="18"/>
                <w:szCs w:val="18"/>
              </w:rPr>
            </w:pPr>
            <w:r w:rsidRPr="00EB454A">
              <w:rPr>
                <w:rFonts w:cs="Arial"/>
                <w:sz w:val="18"/>
                <w:szCs w:val="18"/>
              </w:rPr>
              <w:t>-</w:t>
            </w:r>
          </w:p>
        </w:tc>
        <w:tc>
          <w:tcPr>
            <w:tcW w:w="1503" w:type="dxa"/>
            <w:tcBorders>
              <w:top w:val="nil"/>
              <w:left w:val="nil"/>
              <w:bottom w:val="nil"/>
              <w:right w:val="nil"/>
            </w:tcBorders>
            <w:shd w:val="clear" w:color="auto" w:fill="auto"/>
            <w:noWrap/>
            <w:vAlign w:val="bottom"/>
          </w:tcPr>
          <w:p w14:paraId="33FF5E40" w14:textId="0C7ABF77" w:rsidR="00FF308B" w:rsidRPr="00E45CA6" w:rsidRDefault="00FF308B" w:rsidP="00FF308B">
            <w:pPr>
              <w:spacing w:after="0" w:line="240" w:lineRule="exact"/>
              <w:jc w:val="right"/>
              <w:rPr>
                <w:rFonts w:cs="Arial"/>
                <w:sz w:val="18"/>
                <w:szCs w:val="18"/>
              </w:rPr>
            </w:pPr>
            <w:r w:rsidRPr="00312975">
              <w:rPr>
                <w:sz w:val="18"/>
                <w:szCs w:val="18"/>
              </w:rPr>
              <w:t>57</w:t>
            </w:r>
          </w:p>
        </w:tc>
        <w:tc>
          <w:tcPr>
            <w:tcW w:w="1162" w:type="dxa"/>
            <w:tcBorders>
              <w:top w:val="nil"/>
              <w:left w:val="nil"/>
              <w:bottom w:val="nil"/>
              <w:right w:val="nil"/>
            </w:tcBorders>
            <w:shd w:val="clear" w:color="auto" w:fill="auto"/>
            <w:noWrap/>
            <w:vAlign w:val="bottom"/>
          </w:tcPr>
          <w:p w14:paraId="66CF7CB6" w14:textId="5C0FE077" w:rsidR="00FF308B" w:rsidRPr="00E45CA6" w:rsidRDefault="00FF308B" w:rsidP="00FF308B">
            <w:pPr>
              <w:spacing w:after="0" w:line="240" w:lineRule="exact"/>
              <w:jc w:val="right"/>
              <w:rPr>
                <w:rFonts w:cs="Arial"/>
                <w:sz w:val="18"/>
                <w:szCs w:val="18"/>
              </w:rPr>
            </w:pPr>
            <w:r w:rsidRPr="00EB454A">
              <w:rPr>
                <w:rFonts w:cs="Arial"/>
                <w:sz w:val="18"/>
                <w:szCs w:val="18"/>
              </w:rPr>
              <w:t>-</w:t>
            </w:r>
          </w:p>
        </w:tc>
        <w:tc>
          <w:tcPr>
            <w:tcW w:w="1332" w:type="dxa"/>
            <w:tcBorders>
              <w:top w:val="nil"/>
              <w:left w:val="nil"/>
              <w:bottom w:val="nil"/>
              <w:right w:val="nil"/>
            </w:tcBorders>
            <w:shd w:val="clear" w:color="auto" w:fill="auto"/>
            <w:noWrap/>
            <w:vAlign w:val="bottom"/>
          </w:tcPr>
          <w:p w14:paraId="40F04C8D" w14:textId="682323D3" w:rsidR="00FF308B" w:rsidRPr="00E45CA6" w:rsidRDefault="00FF308B" w:rsidP="00FF308B">
            <w:pPr>
              <w:spacing w:after="0" w:line="240" w:lineRule="exact"/>
              <w:jc w:val="right"/>
              <w:rPr>
                <w:rFonts w:cs="Arial"/>
                <w:sz w:val="18"/>
                <w:szCs w:val="18"/>
              </w:rPr>
            </w:pPr>
            <w:r w:rsidRPr="00EB454A">
              <w:rPr>
                <w:sz w:val="18"/>
                <w:szCs w:val="18"/>
              </w:rPr>
              <w:t>-</w:t>
            </w:r>
          </w:p>
        </w:tc>
        <w:tc>
          <w:tcPr>
            <w:tcW w:w="1333" w:type="dxa"/>
            <w:tcBorders>
              <w:top w:val="nil"/>
              <w:left w:val="nil"/>
              <w:bottom w:val="nil"/>
              <w:right w:val="nil"/>
            </w:tcBorders>
            <w:shd w:val="clear" w:color="auto" w:fill="auto"/>
            <w:noWrap/>
            <w:vAlign w:val="bottom"/>
          </w:tcPr>
          <w:p w14:paraId="5DB58F6B" w14:textId="27223364" w:rsidR="00FF308B" w:rsidRPr="00E45CA6" w:rsidRDefault="00FF308B" w:rsidP="00FF308B">
            <w:pPr>
              <w:spacing w:after="0" w:line="240" w:lineRule="exact"/>
              <w:jc w:val="right"/>
              <w:rPr>
                <w:rFonts w:cs="Arial"/>
                <w:sz w:val="18"/>
                <w:szCs w:val="18"/>
              </w:rPr>
            </w:pPr>
            <w:r w:rsidRPr="00312975">
              <w:rPr>
                <w:sz w:val="18"/>
                <w:szCs w:val="18"/>
              </w:rPr>
              <w:t>57</w:t>
            </w:r>
          </w:p>
        </w:tc>
      </w:tr>
      <w:tr w:rsidR="00FF308B" w:rsidRPr="00E45CA6" w14:paraId="45D37034" w14:textId="77777777" w:rsidTr="00F1130C">
        <w:trPr>
          <w:trHeight w:val="300"/>
        </w:trPr>
        <w:tc>
          <w:tcPr>
            <w:tcW w:w="3085" w:type="dxa"/>
            <w:tcBorders>
              <w:top w:val="nil"/>
              <w:left w:val="nil"/>
              <w:right w:val="nil"/>
            </w:tcBorders>
            <w:shd w:val="clear" w:color="auto" w:fill="auto"/>
            <w:vAlign w:val="bottom"/>
          </w:tcPr>
          <w:p w14:paraId="0ED0C798" w14:textId="77777777" w:rsidR="00FF308B" w:rsidRPr="00E45CA6" w:rsidRDefault="00FF308B" w:rsidP="00FF308B">
            <w:pPr>
              <w:spacing w:after="0" w:line="240" w:lineRule="exact"/>
              <w:rPr>
                <w:rFonts w:cs="Arial"/>
                <w:sz w:val="18"/>
                <w:szCs w:val="18"/>
              </w:rPr>
            </w:pPr>
            <w:r w:rsidRPr="00E45CA6">
              <w:rPr>
                <w:rFonts w:cs="Arial"/>
                <w:sz w:val="18"/>
                <w:szCs w:val="18"/>
              </w:rPr>
              <w:t>Ostali rashodi</w:t>
            </w:r>
          </w:p>
        </w:tc>
        <w:tc>
          <w:tcPr>
            <w:tcW w:w="1332" w:type="dxa"/>
            <w:tcBorders>
              <w:top w:val="nil"/>
              <w:left w:val="nil"/>
              <w:bottom w:val="nil"/>
              <w:right w:val="nil"/>
            </w:tcBorders>
            <w:shd w:val="clear" w:color="auto" w:fill="auto"/>
            <w:noWrap/>
            <w:vAlign w:val="bottom"/>
          </w:tcPr>
          <w:p w14:paraId="7A85BA3A" w14:textId="661A3FB8" w:rsidR="00FF308B" w:rsidRPr="00E45CA6" w:rsidRDefault="00FF308B" w:rsidP="00FF308B">
            <w:pPr>
              <w:spacing w:after="0" w:line="240" w:lineRule="exact"/>
              <w:jc w:val="right"/>
              <w:rPr>
                <w:rFonts w:cs="Arial"/>
                <w:sz w:val="18"/>
                <w:szCs w:val="18"/>
              </w:rPr>
            </w:pPr>
            <w:r w:rsidRPr="00EB454A">
              <w:rPr>
                <w:rFonts w:cs="Arial"/>
                <w:sz w:val="18"/>
                <w:szCs w:val="18"/>
              </w:rPr>
              <w:t>-</w:t>
            </w:r>
          </w:p>
        </w:tc>
        <w:tc>
          <w:tcPr>
            <w:tcW w:w="1503" w:type="dxa"/>
            <w:tcBorders>
              <w:top w:val="nil"/>
              <w:left w:val="nil"/>
              <w:bottom w:val="nil"/>
              <w:right w:val="nil"/>
            </w:tcBorders>
            <w:shd w:val="clear" w:color="auto" w:fill="auto"/>
            <w:noWrap/>
            <w:vAlign w:val="bottom"/>
          </w:tcPr>
          <w:p w14:paraId="7746431F" w14:textId="180B5F1F" w:rsidR="00FF308B" w:rsidRPr="00E45CA6" w:rsidRDefault="00FF308B" w:rsidP="00FF308B">
            <w:pPr>
              <w:spacing w:after="0" w:line="240" w:lineRule="exact"/>
              <w:jc w:val="right"/>
              <w:rPr>
                <w:rFonts w:cs="Arial"/>
                <w:sz w:val="18"/>
                <w:szCs w:val="18"/>
              </w:rPr>
            </w:pPr>
            <w:r w:rsidRPr="00EB454A">
              <w:rPr>
                <w:rFonts w:cs="Arial"/>
                <w:sz w:val="18"/>
                <w:szCs w:val="18"/>
              </w:rPr>
              <w:t>(344)</w:t>
            </w:r>
          </w:p>
        </w:tc>
        <w:tc>
          <w:tcPr>
            <w:tcW w:w="1162" w:type="dxa"/>
            <w:tcBorders>
              <w:top w:val="nil"/>
              <w:left w:val="nil"/>
              <w:bottom w:val="nil"/>
              <w:right w:val="nil"/>
            </w:tcBorders>
            <w:shd w:val="clear" w:color="auto" w:fill="auto"/>
            <w:noWrap/>
            <w:vAlign w:val="bottom"/>
          </w:tcPr>
          <w:p w14:paraId="5D89E66F" w14:textId="074CE39C" w:rsidR="00FF308B" w:rsidRPr="00E45CA6" w:rsidRDefault="00FF308B" w:rsidP="00FF308B">
            <w:pPr>
              <w:spacing w:after="0" w:line="240" w:lineRule="exact"/>
              <w:jc w:val="right"/>
              <w:rPr>
                <w:rFonts w:cs="Arial"/>
                <w:sz w:val="18"/>
                <w:szCs w:val="18"/>
              </w:rPr>
            </w:pPr>
            <w:r w:rsidRPr="00EB454A">
              <w:rPr>
                <w:rFonts w:cs="Arial"/>
                <w:sz w:val="18"/>
                <w:szCs w:val="18"/>
              </w:rPr>
              <w:t>-</w:t>
            </w:r>
          </w:p>
        </w:tc>
        <w:tc>
          <w:tcPr>
            <w:tcW w:w="1332" w:type="dxa"/>
            <w:tcBorders>
              <w:top w:val="nil"/>
              <w:left w:val="nil"/>
              <w:bottom w:val="nil"/>
              <w:right w:val="nil"/>
            </w:tcBorders>
            <w:shd w:val="clear" w:color="auto" w:fill="auto"/>
            <w:noWrap/>
            <w:vAlign w:val="bottom"/>
          </w:tcPr>
          <w:p w14:paraId="0E5A1901" w14:textId="2BC485C1" w:rsidR="00FF308B" w:rsidRPr="00E45CA6" w:rsidRDefault="00FF308B" w:rsidP="00FF308B">
            <w:pPr>
              <w:spacing w:after="0" w:line="240" w:lineRule="exact"/>
              <w:jc w:val="right"/>
              <w:rPr>
                <w:rFonts w:cs="Arial"/>
                <w:sz w:val="18"/>
                <w:szCs w:val="18"/>
              </w:rPr>
            </w:pPr>
            <w:r w:rsidRPr="00EB454A">
              <w:rPr>
                <w:rFonts w:cs="Arial"/>
                <w:sz w:val="18"/>
                <w:szCs w:val="18"/>
              </w:rPr>
              <w:t>-</w:t>
            </w:r>
          </w:p>
        </w:tc>
        <w:tc>
          <w:tcPr>
            <w:tcW w:w="1333" w:type="dxa"/>
            <w:tcBorders>
              <w:top w:val="nil"/>
              <w:left w:val="nil"/>
              <w:bottom w:val="nil"/>
              <w:right w:val="nil"/>
            </w:tcBorders>
            <w:shd w:val="clear" w:color="auto" w:fill="auto"/>
            <w:noWrap/>
            <w:vAlign w:val="bottom"/>
          </w:tcPr>
          <w:p w14:paraId="317DE553" w14:textId="2D4C0BCA" w:rsidR="00FF308B" w:rsidRPr="00E45CA6" w:rsidRDefault="00FF308B" w:rsidP="00FF308B">
            <w:pPr>
              <w:spacing w:after="0" w:line="240" w:lineRule="exact"/>
              <w:jc w:val="right"/>
              <w:rPr>
                <w:rFonts w:cs="Arial"/>
                <w:sz w:val="18"/>
                <w:szCs w:val="18"/>
              </w:rPr>
            </w:pPr>
            <w:r>
              <w:rPr>
                <w:rFonts w:cs="Arial"/>
                <w:sz w:val="18"/>
                <w:szCs w:val="18"/>
              </w:rPr>
              <w:t>(344)</w:t>
            </w:r>
          </w:p>
        </w:tc>
      </w:tr>
      <w:tr w:rsidR="00FF308B" w:rsidRPr="00E45CA6" w14:paraId="4B6C6151" w14:textId="77777777" w:rsidTr="00312975">
        <w:trPr>
          <w:trHeight w:val="300"/>
        </w:trPr>
        <w:tc>
          <w:tcPr>
            <w:tcW w:w="3085" w:type="dxa"/>
            <w:tcBorders>
              <w:left w:val="nil"/>
              <w:right w:val="nil"/>
            </w:tcBorders>
            <w:shd w:val="clear" w:color="auto" w:fill="auto"/>
            <w:vAlign w:val="bottom"/>
          </w:tcPr>
          <w:p w14:paraId="5B844691" w14:textId="77777777" w:rsidR="00FF308B" w:rsidRPr="00E45CA6" w:rsidRDefault="00FF308B" w:rsidP="00FF308B">
            <w:pPr>
              <w:spacing w:after="0" w:line="240" w:lineRule="exact"/>
              <w:rPr>
                <w:rFonts w:cs="Arial"/>
                <w:b/>
                <w:bCs/>
                <w:sz w:val="18"/>
                <w:szCs w:val="18"/>
              </w:rPr>
            </w:pPr>
            <w:r w:rsidRPr="00E45CA6">
              <w:rPr>
                <w:rFonts w:cs="Arial"/>
                <w:b/>
                <w:bCs/>
                <w:sz w:val="18"/>
                <w:szCs w:val="18"/>
              </w:rPr>
              <w:t>Troškovi poslovanja</w:t>
            </w:r>
          </w:p>
        </w:tc>
        <w:tc>
          <w:tcPr>
            <w:tcW w:w="1332" w:type="dxa"/>
            <w:tcBorders>
              <w:top w:val="single" w:sz="4" w:space="0" w:color="auto"/>
              <w:left w:val="nil"/>
              <w:bottom w:val="single" w:sz="8" w:space="0" w:color="auto"/>
              <w:right w:val="nil"/>
            </w:tcBorders>
            <w:shd w:val="clear" w:color="auto" w:fill="auto"/>
            <w:noWrap/>
            <w:vAlign w:val="bottom"/>
          </w:tcPr>
          <w:p w14:paraId="7C94140B" w14:textId="596D1395" w:rsidR="00FF308B" w:rsidRPr="00E45CA6" w:rsidRDefault="00FF308B" w:rsidP="00FF308B">
            <w:pPr>
              <w:spacing w:after="0" w:line="240" w:lineRule="exact"/>
              <w:jc w:val="right"/>
              <w:rPr>
                <w:rFonts w:cs="Arial"/>
                <w:sz w:val="18"/>
                <w:szCs w:val="18"/>
              </w:rPr>
            </w:pPr>
            <w:r w:rsidRPr="00EB454A">
              <w:rPr>
                <w:b/>
                <w:sz w:val="18"/>
                <w:szCs w:val="18"/>
              </w:rPr>
              <w:t>(</w:t>
            </w:r>
            <w:r w:rsidRPr="00312975">
              <w:rPr>
                <w:b/>
                <w:sz w:val="18"/>
                <w:szCs w:val="18"/>
              </w:rPr>
              <w:t>98.050</w:t>
            </w:r>
            <w:r w:rsidRPr="00EB454A">
              <w:rPr>
                <w:b/>
                <w:sz w:val="18"/>
                <w:szCs w:val="18"/>
              </w:rPr>
              <w:t>)</w:t>
            </w:r>
          </w:p>
        </w:tc>
        <w:tc>
          <w:tcPr>
            <w:tcW w:w="1503" w:type="dxa"/>
            <w:tcBorders>
              <w:top w:val="single" w:sz="4" w:space="0" w:color="auto"/>
              <w:left w:val="nil"/>
              <w:bottom w:val="single" w:sz="8" w:space="0" w:color="auto"/>
              <w:right w:val="nil"/>
            </w:tcBorders>
            <w:shd w:val="clear" w:color="auto" w:fill="auto"/>
            <w:noWrap/>
            <w:vAlign w:val="bottom"/>
          </w:tcPr>
          <w:p w14:paraId="57D1F55D" w14:textId="489514BE" w:rsidR="00FF308B" w:rsidRPr="00E45CA6" w:rsidRDefault="00FF308B" w:rsidP="00FF308B">
            <w:pPr>
              <w:spacing w:after="0" w:line="240" w:lineRule="exact"/>
              <w:jc w:val="right"/>
              <w:rPr>
                <w:rFonts w:cs="Arial"/>
                <w:sz w:val="18"/>
                <w:szCs w:val="18"/>
              </w:rPr>
            </w:pPr>
            <w:r w:rsidRPr="00EB454A">
              <w:rPr>
                <w:b/>
                <w:sz w:val="18"/>
                <w:szCs w:val="18"/>
              </w:rPr>
              <w:t>(</w:t>
            </w:r>
            <w:r w:rsidRPr="00312975">
              <w:rPr>
                <w:b/>
                <w:sz w:val="18"/>
                <w:szCs w:val="18"/>
              </w:rPr>
              <w:t>4.443</w:t>
            </w:r>
            <w:r w:rsidRPr="00EB454A">
              <w:rPr>
                <w:b/>
                <w:sz w:val="18"/>
                <w:szCs w:val="18"/>
              </w:rPr>
              <w:t>)</w:t>
            </w:r>
          </w:p>
        </w:tc>
        <w:tc>
          <w:tcPr>
            <w:tcW w:w="1162" w:type="dxa"/>
            <w:tcBorders>
              <w:top w:val="single" w:sz="4" w:space="0" w:color="auto"/>
              <w:left w:val="nil"/>
              <w:bottom w:val="single" w:sz="8" w:space="0" w:color="auto"/>
              <w:right w:val="nil"/>
            </w:tcBorders>
            <w:shd w:val="clear" w:color="auto" w:fill="auto"/>
            <w:noWrap/>
            <w:vAlign w:val="bottom"/>
          </w:tcPr>
          <w:p w14:paraId="2CBEC4EE" w14:textId="1A49A028" w:rsidR="00FF308B" w:rsidRPr="00E45CA6" w:rsidRDefault="00FF308B" w:rsidP="00FF308B">
            <w:pPr>
              <w:spacing w:after="0" w:line="240" w:lineRule="exact"/>
              <w:jc w:val="right"/>
              <w:rPr>
                <w:rFonts w:cs="Arial"/>
                <w:sz w:val="18"/>
                <w:szCs w:val="18"/>
              </w:rPr>
            </w:pPr>
            <w:r w:rsidRPr="00EB454A">
              <w:rPr>
                <w:b/>
                <w:sz w:val="18"/>
                <w:szCs w:val="18"/>
              </w:rPr>
              <w:t>(</w:t>
            </w:r>
            <w:r w:rsidRPr="00312975">
              <w:rPr>
                <w:b/>
                <w:sz w:val="18"/>
                <w:szCs w:val="18"/>
              </w:rPr>
              <w:t>520</w:t>
            </w:r>
            <w:r w:rsidRPr="00EB454A">
              <w:rPr>
                <w:b/>
                <w:sz w:val="18"/>
                <w:szCs w:val="18"/>
              </w:rPr>
              <w:t>)</w:t>
            </w:r>
          </w:p>
        </w:tc>
        <w:tc>
          <w:tcPr>
            <w:tcW w:w="1332" w:type="dxa"/>
            <w:tcBorders>
              <w:top w:val="single" w:sz="4" w:space="0" w:color="auto"/>
              <w:left w:val="nil"/>
              <w:bottom w:val="single" w:sz="8" w:space="0" w:color="auto"/>
              <w:right w:val="nil"/>
            </w:tcBorders>
            <w:shd w:val="clear" w:color="auto" w:fill="auto"/>
            <w:noWrap/>
            <w:vAlign w:val="bottom"/>
          </w:tcPr>
          <w:p w14:paraId="2D95B7A1" w14:textId="1591DDEC" w:rsidR="00FF308B" w:rsidRPr="00E45CA6" w:rsidRDefault="00FF308B" w:rsidP="00FF308B">
            <w:pPr>
              <w:spacing w:after="0" w:line="240" w:lineRule="exact"/>
              <w:jc w:val="right"/>
              <w:rPr>
                <w:rFonts w:cs="Arial"/>
                <w:sz w:val="18"/>
                <w:szCs w:val="18"/>
              </w:rPr>
            </w:pPr>
            <w:r w:rsidRPr="00312975">
              <w:rPr>
                <w:b/>
                <w:sz w:val="18"/>
                <w:szCs w:val="18"/>
              </w:rPr>
              <w:t>156</w:t>
            </w:r>
          </w:p>
        </w:tc>
        <w:tc>
          <w:tcPr>
            <w:tcW w:w="1333" w:type="dxa"/>
            <w:tcBorders>
              <w:top w:val="single" w:sz="4" w:space="0" w:color="auto"/>
              <w:left w:val="nil"/>
              <w:bottom w:val="single" w:sz="8" w:space="0" w:color="auto"/>
              <w:right w:val="nil"/>
            </w:tcBorders>
            <w:shd w:val="clear" w:color="auto" w:fill="auto"/>
            <w:noWrap/>
            <w:vAlign w:val="bottom"/>
          </w:tcPr>
          <w:p w14:paraId="63B254CE" w14:textId="17FB73D7" w:rsidR="00FF308B" w:rsidRPr="00E45CA6" w:rsidRDefault="00FF308B" w:rsidP="00FF308B">
            <w:pPr>
              <w:spacing w:after="0" w:line="240" w:lineRule="exact"/>
              <w:jc w:val="right"/>
              <w:rPr>
                <w:rFonts w:cs="Arial"/>
                <w:sz w:val="18"/>
                <w:szCs w:val="18"/>
              </w:rPr>
            </w:pPr>
            <w:r w:rsidRPr="000513E4">
              <w:rPr>
                <w:b/>
                <w:sz w:val="18"/>
                <w:szCs w:val="18"/>
              </w:rPr>
              <w:t>(</w:t>
            </w:r>
            <w:r w:rsidRPr="00312975">
              <w:rPr>
                <w:b/>
                <w:sz w:val="18"/>
                <w:szCs w:val="18"/>
              </w:rPr>
              <w:t>102.857</w:t>
            </w:r>
            <w:r>
              <w:rPr>
                <w:b/>
                <w:sz w:val="18"/>
                <w:szCs w:val="18"/>
              </w:rPr>
              <w:t>)</w:t>
            </w:r>
          </w:p>
        </w:tc>
      </w:tr>
      <w:tr w:rsidR="00B4610C" w:rsidRPr="00E45CA6" w14:paraId="5CFBD9FE" w14:textId="77777777" w:rsidTr="00E45CA6">
        <w:trPr>
          <w:trHeight w:val="174"/>
        </w:trPr>
        <w:tc>
          <w:tcPr>
            <w:tcW w:w="3085" w:type="dxa"/>
            <w:tcBorders>
              <w:left w:val="nil"/>
              <w:bottom w:val="nil"/>
              <w:right w:val="nil"/>
            </w:tcBorders>
            <w:shd w:val="clear" w:color="auto" w:fill="auto"/>
            <w:vAlign w:val="bottom"/>
          </w:tcPr>
          <w:p w14:paraId="17DE2B48" w14:textId="77777777" w:rsidR="00B4610C" w:rsidRPr="00E45CA6" w:rsidRDefault="00B4610C" w:rsidP="00B4610C">
            <w:pPr>
              <w:spacing w:after="0" w:line="240" w:lineRule="exact"/>
              <w:rPr>
                <w:rFonts w:cs="Arial"/>
                <w:sz w:val="18"/>
                <w:szCs w:val="18"/>
              </w:rPr>
            </w:pPr>
          </w:p>
        </w:tc>
        <w:tc>
          <w:tcPr>
            <w:tcW w:w="1332" w:type="dxa"/>
            <w:tcBorders>
              <w:top w:val="nil"/>
              <w:left w:val="nil"/>
              <w:bottom w:val="nil"/>
              <w:right w:val="nil"/>
            </w:tcBorders>
            <w:shd w:val="clear" w:color="auto" w:fill="auto"/>
            <w:noWrap/>
            <w:vAlign w:val="bottom"/>
          </w:tcPr>
          <w:p w14:paraId="412F2E3E" w14:textId="77777777" w:rsidR="00B4610C" w:rsidRPr="00E45CA6" w:rsidRDefault="00B4610C" w:rsidP="00B4610C">
            <w:pPr>
              <w:spacing w:after="0" w:line="24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4A0DC622" w14:textId="77777777" w:rsidR="00B4610C" w:rsidRPr="00E45CA6" w:rsidRDefault="00B4610C" w:rsidP="00B4610C">
            <w:pPr>
              <w:spacing w:after="0" w:line="24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0D76D661" w14:textId="77777777" w:rsidR="00B4610C" w:rsidRPr="00E45CA6" w:rsidRDefault="00B4610C" w:rsidP="00B4610C">
            <w:pPr>
              <w:spacing w:after="0" w:line="24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230AFA6B" w14:textId="77777777" w:rsidR="00B4610C" w:rsidRPr="00E45CA6" w:rsidRDefault="00B4610C" w:rsidP="00B4610C">
            <w:pPr>
              <w:spacing w:after="0" w:line="24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773590AB" w14:textId="77777777" w:rsidR="00B4610C" w:rsidRPr="00E45CA6" w:rsidRDefault="00B4610C" w:rsidP="00B4610C">
            <w:pPr>
              <w:spacing w:after="0" w:line="240" w:lineRule="exact"/>
              <w:jc w:val="right"/>
              <w:rPr>
                <w:rFonts w:cs="Arial"/>
                <w:b/>
                <w:bCs/>
                <w:sz w:val="18"/>
                <w:szCs w:val="18"/>
              </w:rPr>
            </w:pPr>
          </w:p>
        </w:tc>
      </w:tr>
      <w:tr w:rsidR="00FF308B" w:rsidRPr="00E45CA6" w14:paraId="4919F649" w14:textId="77777777" w:rsidTr="00F1130C">
        <w:trPr>
          <w:trHeight w:val="300"/>
        </w:trPr>
        <w:tc>
          <w:tcPr>
            <w:tcW w:w="3085" w:type="dxa"/>
            <w:tcBorders>
              <w:top w:val="nil"/>
              <w:left w:val="nil"/>
              <w:bottom w:val="nil"/>
              <w:right w:val="nil"/>
            </w:tcBorders>
            <w:shd w:val="clear" w:color="auto" w:fill="auto"/>
            <w:vAlign w:val="bottom"/>
          </w:tcPr>
          <w:p w14:paraId="44E6D870" w14:textId="77777777" w:rsidR="00FF308B" w:rsidRPr="00E45CA6" w:rsidRDefault="00FF308B" w:rsidP="00FF308B">
            <w:pPr>
              <w:spacing w:after="0" w:line="240" w:lineRule="exact"/>
              <w:rPr>
                <w:rFonts w:cs="Arial"/>
                <w:b/>
                <w:bCs/>
                <w:sz w:val="18"/>
                <w:szCs w:val="18"/>
              </w:rPr>
            </w:pPr>
            <w:r w:rsidRPr="00E45CA6">
              <w:rPr>
                <w:rFonts w:cs="Arial"/>
                <w:b/>
                <w:bCs/>
                <w:sz w:val="18"/>
                <w:szCs w:val="18"/>
              </w:rPr>
              <w:t>Dobit/(gubitak) prije oporezivanja</w:t>
            </w:r>
          </w:p>
        </w:tc>
        <w:tc>
          <w:tcPr>
            <w:tcW w:w="1332" w:type="dxa"/>
            <w:tcBorders>
              <w:top w:val="nil"/>
              <w:left w:val="nil"/>
              <w:bottom w:val="nil"/>
              <w:right w:val="nil"/>
            </w:tcBorders>
            <w:shd w:val="clear" w:color="auto" w:fill="auto"/>
            <w:noWrap/>
            <w:vAlign w:val="bottom"/>
          </w:tcPr>
          <w:p w14:paraId="670A217E" w14:textId="2497AF10" w:rsidR="00FF308B" w:rsidRPr="00DF3EB5" w:rsidRDefault="00FF308B" w:rsidP="00FF308B">
            <w:pPr>
              <w:spacing w:after="0" w:line="240" w:lineRule="exact"/>
              <w:jc w:val="right"/>
              <w:rPr>
                <w:rFonts w:cs="Arial"/>
                <w:sz w:val="18"/>
                <w:szCs w:val="18"/>
              </w:rPr>
            </w:pPr>
            <w:r w:rsidRPr="00312975">
              <w:rPr>
                <w:b/>
                <w:sz w:val="18"/>
                <w:szCs w:val="18"/>
              </w:rPr>
              <w:t>107.235</w:t>
            </w:r>
          </w:p>
        </w:tc>
        <w:tc>
          <w:tcPr>
            <w:tcW w:w="1503" w:type="dxa"/>
            <w:tcBorders>
              <w:top w:val="nil"/>
              <w:left w:val="nil"/>
              <w:bottom w:val="nil"/>
              <w:right w:val="nil"/>
            </w:tcBorders>
            <w:shd w:val="clear" w:color="auto" w:fill="auto"/>
            <w:noWrap/>
            <w:vAlign w:val="bottom"/>
          </w:tcPr>
          <w:p w14:paraId="0AB3D2B1" w14:textId="6A23B5E0" w:rsidR="00FF308B" w:rsidRPr="00DF3EB5" w:rsidRDefault="00FF308B" w:rsidP="00FF308B">
            <w:pPr>
              <w:spacing w:after="0" w:line="240" w:lineRule="exact"/>
              <w:jc w:val="right"/>
              <w:rPr>
                <w:rFonts w:cs="Arial"/>
                <w:sz w:val="18"/>
                <w:szCs w:val="18"/>
              </w:rPr>
            </w:pPr>
            <w:r w:rsidRPr="00312975">
              <w:rPr>
                <w:b/>
                <w:sz w:val="18"/>
                <w:szCs w:val="18"/>
              </w:rPr>
              <w:t>325</w:t>
            </w:r>
          </w:p>
        </w:tc>
        <w:tc>
          <w:tcPr>
            <w:tcW w:w="1162" w:type="dxa"/>
            <w:tcBorders>
              <w:top w:val="nil"/>
              <w:left w:val="nil"/>
              <w:bottom w:val="nil"/>
              <w:right w:val="nil"/>
            </w:tcBorders>
            <w:shd w:val="clear" w:color="auto" w:fill="auto"/>
            <w:noWrap/>
            <w:vAlign w:val="bottom"/>
          </w:tcPr>
          <w:p w14:paraId="2FA683B4" w14:textId="770553FF" w:rsidR="00FF308B" w:rsidRPr="00DF3EB5" w:rsidRDefault="00FF308B" w:rsidP="00FF308B">
            <w:pPr>
              <w:spacing w:after="0" w:line="240" w:lineRule="exact"/>
              <w:jc w:val="right"/>
              <w:rPr>
                <w:rFonts w:cs="Arial"/>
                <w:sz w:val="18"/>
                <w:szCs w:val="18"/>
              </w:rPr>
            </w:pPr>
            <w:r w:rsidRPr="00312975">
              <w:rPr>
                <w:b/>
                <w:sz w:val="18"/>
                <w:szCs w:val="18"/>
              </w:rPr>
              <w:t>118</w:t>
            </w:r>
          </w:p>
        </w:tc>
        <w:tc>
          <w:tcPr>
            <w:tcW w:w="1332" w:type="dxa"/>
            <w:tcBorders>
              <w:top w:val="nil"/>
              <w:left w:val="nil"/>
              <w:bottom w:val="nil"/>
              <w:right w:val="nil"/>
            </w:tcBorders>
            <w:shd w:val="clear" w:color="auto" w:fill="auto"/>
            <w:noWrap/>
            <w:vAlign w:val="bottom"/>
          </w:tcPr>
          <w:p w14:paraId="22175B19" w14:textId="227466FB" w:rsidR="00FF308B" w:rsidRPr="00DF3EB5" w:rsidRDefault="00FF308B" w:rsidP="00FF308B">
            <w:pPr>
              <w:spacing w:after="0" w:line="240" w:lineRule="exact"/>
              <w:jc w:val="right"/>
              <w:rPr>
                <w:rFonts w:cs="Arial"/>
                <w:sz w:val="18"/>
                <w:szCs w:val="18"/>
              </w:rPr>
            </w:pPr>
            <w:r w:rsidRPr="00EB454A">
              <w:rPr>
                <w:b/>
                <w:sz w:val="18"/>
                <w:szCs w:val="18"/>
              </w:rPr>
              <w:t>-</w:t>
            </w:r>
          </w:p>
        </w:tc>
        <w:tc>
          <w:tcPr>
            <w:tcW w:w="1333" w:type="dxa"/>
            <w:tcBorders>
              <w:top w:val="nil"/>
              <w:left w:val="nil"/>
              <w:bottom w:val="nil"/>
              <w:right w:val="nil"/>
            </w:tcBorders>
            <w:shd w:val="clear" w:color="auto" w:fill="auto"/>
            <w:noWrap/>
            <w:vAlign w:val="bottom"/>
          </w:tcPr>
          <w:p w14:paraId="750E853A" w14:textId="669F8313" w:rsidR="00FF308B" w:rsidRPr="00DF3EB5" w:rsidRDefault="00FF308B" w:rsidP="00FF308B">
            <w:pPr>
              <w:spacing w:after="0" w:line="240" w:lineRule="exact"/>
              <w:jc w:val="right"/>
              <w:rPr>
                <w:rFonts w:cs="Arial"/>
                <w:sz w:val="18"/>
                <w:szCs w:val="18"/>
              </w:rPr>
            </w:pPr>
            <w:r w:rsidRPr="00312975">
              <w:rPr>
                <w:b/>
                <w:sz w:val="18"/>
                <w:szCs w:val="18"/>
              </w:rPr>
              <w:t>107.678</w:t>
            </w:r>
          </w:p>
        </w:tc>
      </w:tr>
      <w:tr w:rsidR="00FF308B" w:rsidRPr="00E45CA6" w14:paraId="4A0EA39B" w14:textId="77777777" w:rsidTr="00966406">
        <w:trPr>
          <w:trHeight w:val="300"/>
        </w:trPr>
        <w:tc>
          <w:tcPr>
            <w:tcW w:w="3085" w:type="dxa"/>
            <w:tcBorders>
              <w:top w:val="nil"/>
              <w:left w:val="nil"/>
              <w:right w:val="nil"/>
            </w:tcBorders>
            <w:shd w:val="clear" w:color="auto" w:fill="auto"/>
            <w:vAlign w:val="bottom"/>
          </w:tcPr>
          <w:p w14:paraId="040A1DDF" w14:textId="77777777" w:rsidR="00FF308B" w:rsidRPr="00E45CA6" w:rsidRDefault="00FF308B" w:rsidP="00FF308B">
            <w:pPr>
              <w:spacing w:after="0" w:line="240" w:lineRule="exact"/>
              <w:rPr>
                <w:rFonts w:cs="Arial"/>
                <w:sz w:val="18"/>
                <w:szCs w:val="18"/>
              </w:rPr>
            </w:pPr>
            <w:r w:rsidRPr="00E45CA6">
              <w:rPr>
                <w:rFonts w:cs="Arial"/>
                <w:sz w:val="18"/>
                <w:szCs w:val="18"/>
              </w:rPr>
              <w:t>Porez na dobit</w:t>
            </w:r>
          </w:p>
        </w:tc>
        <w:tc>
          <w:tcPr>
            <w:tcW w:w="1332" w:type="dxa"/>
            <w:tcBorders>
              <w:top w:val="nil"/>
              <w:left w:val="nil"/>
              <w:bottom w:val="nil"/>
              <w:right w:val="nil"/>
            </w:tcBorders>
            <w:shd w:val="clear" w:color="auto" w:fill="auto"/>
            <w:noWrap/>
            <w:vAlign w:val="bottom"/>
          </w:tcPr>
          <w:p w14:paraId="1328B534" w14:textId="10744C38" w:rsidR="00FF308B" w:rsidRPr="00312975" w:rsidRDefault="00FF308B" w:rsidP="00FF308B">
            <w:pPr>
              <w:spacing w:after="0" w:line="240" w:lineRule="exact"/>
              <w:jc w:val="right"/>
              <w:rPr>
                <w:rFonts w:cs="Arial"/>
                <w:bCs/>
                <w:sz w:val="18"/>
                <w:szCs w:val="18"/>
              </w:rPr>
            </w:pPr>
            <w:r w:rsidRPr="00312975">
              <w:rPr>
                <w:rFonts w:cs="Arial"/>
                <w:bCs/>
                <w:sz w:val="18"/>
                <w:szCs w:val="18"/>
              </w:rPr>
              <w:t>-</w:t>
            </w:r>
          </w:p>
        </w:tc>
        <w:tc>
          <w:tcPr>
            <w:tcW w:w="1503" w:type="dxa"/>
            <w:tcBorders>
              <w:top w:val="nil"/>
              <w:left w:val="nil"/>
              <w:bottom w:val="nil"/>
              <w:right w:val="nil"/>
            </w:tcBorders>
            <w:shd w:val="clear" w:color="auto" w:fill="auto"/>
            <w:noWrap/>
            <w:vAlign w:val="bottom"/>
          </w:tcPr>
          <w:p w14:paraId="1BBC406B" w14:textId="589CAB6D" w:rsidR="00FF308B" w:rsidRPr="00312975" w:rsidRDefault="00FF308B" w:rsidP="00FF308B">
            <w:pPr>
              <w:spacing w:after="0" w:line="240" w:lineRule="exact"/>
              <w:jc w:val="right"/>
              <w:rPr>
                <w:rFonts w:cs="Arial"/>
                <w:bCs/>
                <w:sz w:val="18"/>
                <w:szCs w:val="18"/>
              </w:rPr>
            </w:pPr>
            <w:r w:rsidRPr="00312975">
              <w:rPr>
                <w:rFonts w:cs="Arial"/>
                <w:bCs/>
                <w:sz w:val="18"/>
                <w:szCs w:val="18"/>
              </w:rPr>
              <w:t>-</w:t>
            </w:r>
          </w:p>
        </w:tc>
        <w:tc>
          <w:tcPr>
            <w:tcW w:w="1162" w:type="dxa"/>
            <w:tcBorders>
              <w:top w:val="nil"/>
              <w:left w:val="nil"/>
              <w:bottom w:val="nil"/>
              <w:right w:val="nil"/>
            </w:tcBorders>
            <w:shd w:val="clear" w:color="auto" w:fill="auto"/>
            <w:noWrap/>
            <w:vAlign w:val="bottom"/>
          </w:tcPr>
          <w:p w14:paraId="20000903" w14:textId="0D695F73" w:rsidR="00FF308B" w:rsidRPr="00312975" w:rsidRDefault="00FF308B" w:rsidP="00FF308B">
            <w:pPr>
              <w:spacing w:after="0" w:line="240" w:lineRule="exact"/>
              <w:jc w:val="right"/>
              <w:rPr>
                <w:rFonts w:cs="Arial"/>
                <w:bCs/>
                <w:sz w:val="18"/>
                <w:szCs w:val="18"/>
              </w:rPr>
            </w:pPr>
            <w:r w:rsidRPr="00312975">
              <w:rPr>
                <w:rFonts w:cs="Arial"/>
                <w:bCs/>
                <w:sz w:val="18"/>
                <w:szCs w:val="18"/>
              </w:rPr>
              <w:t>-</w:t>
            </w:r>
          </w:p>
        </w:tc>
        <w:tc>
          <w:tcPr>
            <w:tcW w:w="1332" w:type="dxa"/>
            <w:tcBorders>
              <w:top w:val="nil"/>
              <w:left w:val="nil"/>
              <w:bottom w:val="nil"/>
              <w:right w:val="nil"/>
            </w:tcBorders>
            <w:shd w:val="clear" w:color="auto" w:fill="auto"/>
            <w:noWrap/>
            <w:vAlign w:val="bottom"/>
          </w:tcPr>
          <w:p w14:paraId="3C667E26" w14:textId="1E7F7301" w:rsidR="00FF308B" w:rsidRPr="00312975" w:rsidRDefault="00FF308B" w:rsidP="00FF308B">
            <w:pPr>
              <w:spacing w:after="0" w:line="240" w:lineRule="exact"/>
              <w:jc w:val="right"/>
              <w:rPr>
                <w:rFonts w:cs="Arial"/>
                <w:bCs/>
                <w:sz w:val="18"/>
                <w:szCs w:val="18"/>
              </w:rPr>
            </w:pPr>
            <w:r w:rsidRPr="00312975">
              <w:rPr>
                <w:rFonts w:cs="Arial"/>
                <w:bCs/>
                <w:sz w:val="18"/>
                <w:szCs w:val="18"/>
              </w:rPr>
              <w:t>-</w:t>
            </w:r>
          </w:p>
        </w:tc>
        <w:tc>
          <w:tcPr>
            <w:tcW w:w="1333" w:type="dxa"/>
            <w:tcBorders>
              <w:top w:val="nil"/>
              <w:left w:val="nil"/>
              <w:bottom w:val="nil"/>
              <w:right w:val="nil"/>
            </w:tcBorders>
            <w:shd w:val="clear" w:color="auto" w:fill="auto"/>
            <w:noWrap/>
            <w:vAlign w:val="bottom"/>
          </w:tcPr>
          <w:p w14:paraId="43024B46" w14:textId="1A6BB7FF" w:rsidR="00FF308B" w:rsidRPr="00312975" w:rsidRDefault="00FF308B" w:rsidP="00FF308B">
            <w:pPr>
              <w:spacing w:after="0" w:line="240" w:lineRule="exact"/>
              <w:jc w:val="right"/>
              <w:rPr>
                <w:rFonts w:cs="Arial"/>
                <w:bCs/>
                <w:sz w:val="18"/>
                <w:szCs w:val="18"/>
              </w:rPr>
            </w:pPr>
            <w:r w:rsidRPr="00312975">
              <w:rPr>
                <w:rFonts w:cs="Arial"/>
                <w:bCs/>
                <w:sz w:val="18"/>
                <w:szCs w:val="18"/>
              </w:rPr>
              <w:t>-</w:t>
            </w:r>
          </w:p>
        </w:tc>
      </w:tr>
      <w:tr w:rsidR="00FF308B" w:rsidRPr="00E45CA6" w14:paraId="4DE80861" w14:textId="77777777" w:rsidTr="00966406">
        <w:trPr>
          <w:trHeight w:val="315"/>
        </w:trPr>
        <w:tc>
          <w:tcPr>
            <w:tcW w:w="3085" w:type="dxa"/>
            <w:tcBorders>
              <w:left w:val="nil"/>
              <w:right w:val="nil"/>
            </w:tcBorders>
            <w:shd w:val="clear" w:color="auto" w:fill="auto"/>
            <w:vAlign w:val="bottom"/>
          </w:tcPr>
          <w:p w14:paraId="2EA74FB8" w14:textId="77777777" w:rsidR="00FF308B" w:rsidRPr="00E45CA6" w:rsidRDefault="00FF308B" w:rsidP="00FF308B">
            <w:pPr>
              <w:spacing w:after="0" w:line="240" w:lineRule="exact"/>
              <w:rPr>
                <w:rFonts w:cs="Arial"/>
                <w:b/>
                <w:bCs/>
                <w:sz w:val="18"/>
                <w:szCs w:val="18"/>
              </w:rPr>
            </w:pPr>
            <w:r w:rsidRPr="00E45CA6">
              <w:rPr>
                <w:rFonts w:cs="Arial"/>
                <w:b/>
                <w:bCs/>
                <w:sz w:val="18"/>
                <w:szCs w:val="18"/>
              </w:rPr>
              <w:t>Dobit/(gubitak) za godinu</w:t>
            </w:r>
          </w:p>
        </w:tc>
        <w:tc>
          <w:tcPr>
            <w:tcW w:w="1332" w:type="dxa"/>
            <w:tcBorders>
              <w:top w:val="single" w:sz="4" w:space="0" w:color="auto"/>
              <w:left w:val="nil"/>
              <w:bottom w:val="single" w:sz="8" w:space="0" w:color="auto"/>
              <w:right w:val="nil"/>
            </w:tcBorders>
            <w:shd w:val="clear" w:color="auto" w:fill="auto"/>
            <w:noWrap/>
            <w:vAlign w:val="bottom"/>
          </w:tcPr>
          <w:p w14:paraId="63AA1A96" w14:textId="317E61D1" w:rsidR="00FF308B" w:rsidRPr="00E45CA6" w:rsidRDefault="00FF308B" w:rsidP="00FF308B">
            <w:pPr>
              <w:spacing w:after="0" w:line="240" w:lineRule="exact"/>
              <w:jc w:val="right"/>
              <w:rPr>
                <w:rFonts w:cs="Arial"/>
                <w:sz w:val="18"/>
                <w:szCs w:val="18"/>
              </w:rPr>
            </w:pPr>
            <w:r w:rsidRPr="00312975">
              <w:rPr>
                <w:b/>
                <w:sz w:val="18"/>
                <w:szCs w:val="18"/>
              </w:rPr>
              <w:t>107.235</w:t>
            </w:r>
          </w:p>
        </w:tc>
        <w:tc>
          <w:tcPr>
            <w:tcW w:w="1503" w:type="dxa"/>
            <w:tcBorders>
              <w:top w:val="single" w:sz="4" w:space="0" w:color="auto"/>
              <w:left w:val="nil"/>
              <w:bottom w:val="single" w:sz="8" w:space="0" w:color="auto"/>
              <w:right w:val="nil"/>
            </w:tcBorders>
            <w:shd w:val="clear" w:color="auto" w:fill="auto"/>
            <w:noWrap/>
            <w:vAlign w:val="bottom"/>
          </w:tcPr>
          <w:p w14:paraId="0FCAD70B" w14:textId="587B60E5" w:rsidR="00FF308B" w:rsidRPr="00E45CA6" w:rsidRDefault="00FF308B" w:rsidP="00FF308B">
            <w:pPr>
              <w:spacing w:after="0" w:line="240" w:lineRule="exact"/>
              <w:jc w:val="right"/>
              <w:rPr>
                <w:rFonts w:cs="Arial"/>
                <w:sz w:val="18"/>
                <w:szCs w:val="18"/>
              </w:rPr>
            </w:pPr>
            <w:r w:rsidRPr="00312975">
              <w:rPr>
                <w:b/>
                <w:sz w:val="18"/>
                <w:szCs w:val="18"/>
              </w:rPr>
              <w:t>325</w:t>
            </w:r>
          </w:p>
        </w:tc>
        <w:tc>
          <w:tcPr>
            <w:tcW w:w="1162" w:type="dxa"/>
            <w:tcBorders>
              <w:top w:val="single" w:sz="4" w:space="0" w:color="auto"/>
              <w:left w:val="nil"/>
              <w:bottom w:val="single" w:sz="8" w:space="0" w:color="auto"/>
              <w:right w:val="nil"/>
            </w:tcBorders>
            <w:shd w:val="clear" w:color="auto" w:fill="auto"/>
            <w:noWrap/>
            <w:vAlign w:val="bottom"/>
          </w:tcPr>
          <w:p w14:paraId="73A87FB5" w14:textId="10412675" w:rsidR="00FF308B" w:rsidRPr="00E45CA6" w:rsidRDefault="00FF308B" w:rsidP="00FF308B">
            <w:pPr>
              <w:spacing w:after="0" w:line="240" w:lineRule="exact"/>
              <w:jc w:val="right"/>
              <w:rPr>
                <w:rFonts w:cs="Arial"/>
                <w:sz w:val="18"/>
                <w:szCs w:val="18"/>
              </w:rPr>
            </w:pPr>
            <w:r w:rsidRPr="00312975">
              <w:rPr>
                <w:b/>
                <w:sz w:val="18"/>
                <w:szCs w:val="18"/>
              </w:rPr>
              <w:t>118</w:t>
            </w:r>
          </w:p>
        </w:tc>
        <w:tc>
          <w:tcPr>
            <w:tcW w:w="1332" w:type="dxa"/>
            <w:tcBorders>
              <w:top w:val="single" w:sz="4" w:space="0" w:color="auto"/>
              <w:left w:val="nil"/>
              <w:bottom w:val="single" w:sz="8" w:space="0" w:color="auto"/>
              <w:right w:val="nil"/>
            </w:tcBorders>
            <w:shd w:val="clear" w:color="auto" w:fill="auto"/>
            <w:noWrap/>
            <w:vAlign w:val="bottom"/>
          </w:tcPr>
          <w:p w14:paraId="2238443B" w14:textId="2E6D143F" w:rsidR="00FF308B" w:rsidRPr="00E45CA6" w:rsidRDefault="00FF308B" w:rsidP="00FF308B">
            <w:pPr>
              <w:spacing w:after="0" w:line="240" w:lineRule="exact"/>
              <w:jc w:val="right"/>
              <w:rPr>
                <w:rFonts w:cs="Arial"/>
                <w:sz w:val="18"/>
                <w:szCs w:val="18"/>
              </w:rPr>
            </w:pPr>
            <w:r w:rsidRPr="00EB454A">
              <w:rPr>
                <w:b/>
                <w:sz w:val="18"/>
                <w:szCs w:val="18"/>
              </w:rPr>
              <w:t>-</w:t>
            </w:r>
          </w:p>
        </w:tc>
        <w:tc>
          <w:tcPr>
            <w:tcW w:w="1333" w:type="dxa"/>
            <w:tcBorders>
              <w:top w:val="single" w:sz="4" w:space="0" w:color="auto"/>
              <w:left w:val="nil"/>
              <w:bottom w:val="single" w:sz="8" w:space="0" w:color="auto"/>
              <w:right w:val="nil"/>
            </w:tcBorders>
            <w:shd w:val="clear" w:color="auto" w:fill="auto"/>
            <w:noWrap/>
            <w:vAlign w:val="bottom"/>
          </w:tcPr>
          <w:p w14:paraId="639E607A" w14:textId="29AE8224" w:rsidR="00FF308B" w:rsidRPr="00E45CA6" w:rsidRDefault="00FF308B" w:rsidP="00FF308B">
            <w:pPr>
              <w:spacing w:after="0" w:line="240" w:lineRule="exact"/>
              <w:jc w:val="right"/>
              <w:rPr>
                <w:rFonts w:cs="Arial"/>
                <w:sz w:val="18"/>
                <w:szCs w:val="18"/>
              </w:rPr>
            </w:pPr>
            <w:r w:rsidRPr="00312975">
              <w:rPr>
                <w:b/>
                <w:sz w:val="18"/>
                <w:szCs w:val="18"/>
              </w:rPr>
              <w:t>107.678</w:t>
            </w:r>
          </w:p>
        </w:tc>
      </w:tr>
      <w:tr w:rsidR="00071AB6" w:rsidRPr="00E45CA6" w14:paraId="558A2254" w14:textId="77777777" w:rsidTr="00F1130C">
        <w:trPr>
          <w:trHeight w:val="234"/>
        </w:trPr>
        <w:tc>
          <w:tcPr>
            <w:tcW w:w="3085" w:type="dxa"/>
            <w:tcBorders>
              <w:left w:val="nil"/>
              <w:bottom w:val="nil"/>
              <w:right w:val="nil"/>
            </w:tcBorders>
            <w:shd w:val="clear" w:color="auto" w:fill="auto"/>
            <w:vAlign w:val="bottom"/>
          </w:tcPr>
          <w:p w14:paraId="599645D5" w14:textId="77777777" w:rsidR="00071AB6" w:rsidRPr="00E45CA6" w:rsidRDefault="00071AB6" w:rsidP="00071AB6">
            <w:pPr>
              <w:spacing w:after="0" w:line="240" w:lineRule="exact"/>
              <w:rPr>
                <w:rFonts w:cs="Arial"/>
                <w:sz w:val="18"/>
                <w:szCs w:val="18"/>
              </w:rPr>
            </w:pPr>
          </w:p>
        </w:tc>
        <w:tc>
          <w:tcPr>
            <w:tcW w:w="1332" w:type="dxa"/>
            <w:tcBorders>
              <w:top w:val="nil"/>
              <w:left w:val="nil"/>
              <w:bottom w:val="nil"/>
              <w:right w:val="nil"/>
            </w:tcBorders>
            <w:shd w:val="clear" w:color="auto" w:fill="auto"/>
            <w:noWrap/>
            <w:vAlign w:val="bottom"/>
          </w:tcPr>
          <w:p w14:paraId="7501D8FD" w14:textId="77777777" w:rsidR="00071AB6" w:rsidRPr="00E45CA6" w:rsidRDefault="00071AB6" w:rsidP="00071AB6">
            <w:pPr>
              <w:spacing w:after="0" w:line="240" w:lineRule="exact"/>
              <w:jc w:val="right"/>
              <w:rPr>
                <w:rFonts w:cs="Arial"/>
                <w:sz w:val="18"/>
                <w:szCs w:val="18"/>
              </w:rPr>
            </w:pPr>
          </w:p>
        </w:tc>
        <w:tc>
          <w:tcPr>
            <w:tcW w:w="1503" w:type="dxa"/>
            <w:tcBorders>
              <w:top w:val="nil"/>
              <w:left w:val="nil"/>
              <w:bottom w:val="nil"/>
              <w:right w:val="nil"/>
            </w:tcBorders>
            <w:shd w:val="clear" w:color="auto" w:fill="auto"/>
            <w:noWrap/>
            <w:vAlign w:val="bottom"/>
          </w:tcPr>
          <w:p w14:paraId="62EE4F3B" w14:textId="77777777" w:rsidR="00071AB6" w:rsidRPr="00E45CA6" w:rsidRDefault="00071AB6" w:rsidP="00071AB6">
            <w:pPr>
              <w:spacing w:after="0" w:line="240" w:lineRule="exact"/>
              <w:jc w:val="right"/>
              <w:rPr>
                <w:rFonts w:cs="Arial"/>
                <w:sz w:val="18"/>
                <w:szCs w:val="18"/>
              </w:rPr>
            </w:pPr>
          </w:p>
        </w:tc>
        <w:tc>
          <w:tcPr>
            <w:tcW w:w="1162" w:type="dxa"/>
            <w:tcBorders>
              <w:top w:val="nil"/>
              <w:left w:val="nil"/>
              <w:bottom w:val="nil"/>
              <w:right w:val="nil"/>
            </w:tcBorders>
            <w:shd w:val="clear" w:color="auto" w:fill="auto"/>
            <w:noWrap/>
            <w:vAlign w:val="bottom"/>
          </w:tcPr>
          <w:p w14:paraId="6B6264DF" w14:textId="77777777" w:rsidR="00071AB6" w:rsidRPr="00E45CA6" w:rsidRDefault="00071AB6" w:rsidP="00071AB6">
            <w:pPr>
              <w:spacing w:after="0" w:line="240" w:lineRule="exact"/>
              <w:jc w:val="right"/>
              <w:rPr>
                <w:rFonts w:cs="Arial"/>
                <w:sz w:val="18"/>
                <w:szCs w:val="18"/>
              </w:rPr>
            </w:pPr>
          </w:p>
        </w:tc>
        <w:tc>
          <w:tcPr>
            <w:tcW w:w="1332" w:type="dxa"/>
            <w:tcBorders>
              <w:top w:val="nil"/>
              <w:left w:val="nil"/>
              <w:bottom w:val="nil"/>
              <w:right w:val="nil"/>
            </w:tcBorders>
            <w:shd w:val="clear" w:color="auto" w:fill="auto"/>
            <w:noWrap/>
            <w:vAlign w:val="bottom"/>
          </w:tcPr>
          <w:p w14:paraId="38C4A211" w14:textId="77777777" w:rsidR="00071AB6" w:rsidRPr="00E45CA6" w:rsidRDefault="00071AB6" w:rsidP="00071AB6">
            <w:pPr>
              <w:spacing w:after="0" w:line="240" w:lineRule="exact"/>
              <w:jc w:val="right"/>
              <w:rPr>
                <w:rFonts w:cs="Arial"/>
                <w:sz w:val="18"/>
                <w:szCs w:val="18"/>
              </w:rPr>
            </w:pPr>
          </w:p>
        </w:tc>
        <w:tc>
          <w:tcPr>
            <w:tcW w:w="1333" w:type="dxa"/>
            <w:tcBorders>
              <w:top w:val="nil"/>
              <w:left w:val="nil"/>
              <w:bottom w:val="nil"/>
              <w:right w:val="nil"/>
            </w:tcBorders>
            <w:shd w:val="clear" w:color="auto" w:fill="auto"/>
            <w:noWrap/>
            <w:vAlign w:val="bottom"/>
          </w:tcPr>
          <w:p w14:paraId="6A8A451C" w14:textId="77777777" w:rsidR="00071AB6" w:rsidRPr="00E45CA6" w:rsidRDefault="00071AB6" w:rsidP="00071AB6">
            <w:pPr>
              <w:spacing w:after="0" w:line="240" w:lineRule="exact"/>
              <w:jc w:val="right"/>
              <w:rPr>
                <w:rFonts w:cs="Arial"/>
                <w:sz w:val="18"/>
                <w:szCs w:val="18"/>
              </w:rPr>
            </w:pPr>
          </w:p>
        </w:tc>
      </w:tr>
      <w:tr w:rsidR="00071AB6" w:rsidRPr="00E45CA6" w14:paraId="4B117131" w14:textId="77777777" w:rsidTr="00F1130C">
        <w:trPr>
          <w:trHeight w:val="287"/>
        </w:trPr>
        <w:tc>
          <w:tcPr>
            <w:tcW w:w="3085" w:type="dxa"/>
            <w:tcBorders>
              <w:left w:val="nil"/>
              <w:bottom w:val="nil"/>
              <w:right w:val="nil"/>
            </w:tcBorders>
            <w:shd w:val="clear" w:color="auto" w:fill="auto"/>
            <w:vAlign w:val="bottom"/>
          </w:tcPr>
          <w:p w14:paraId="2F53E495" w14:textId="77777777" w:rsidR="00071AB6" w:rsidRPr="00E45CA6" w:rsidRDefault="00071AB6" w:rsidP="00071AB6">
            <w:pPr>
              <w:spacing w:after="0" w:line="240" w:lineRule="exact"/>
              <w:rPr>
                <w:rFonts w:cs="Arial"/>
                <w:sz w:val="18"/>
                <w:szCs w:val="18"/>
              </w:rPr>
            </w:pPr>
          </w:p>
        </w:tc>
        <w:tc>
          <w:tcPr>
            <w:tcW w:w="1332" w:type="dxa"/>
            <w:tcBorders>
              <w:top w:val="nil"/>
              <w:left w:val="nil"/>
              <w:bottom w:val="nil"/>
              <w:right w:val="nil"/>
            </w:tcBorders>
            <w:shd w:val="clear" w:color="auto" w:fill="auto"/>
            <w:noWrap/>
            <w:vAlign w:val="bottom"/>
          </w:tcPr>
          <w:p w14:paraId="4074E977" w14:textId="77777777" w:rsidR="00071AB6" w:rsidRPr="00E45CA6" w:rsidRDefault="00071AB6" w:rsidP="00071AB6">
            <w:pPr>
              <w:spacing w:after="0" w:line="240" w:lineRule="exact"/>
              <w:jc w:val="right"/>
              <w:rPr>
                <w:rFonts w:cs="Arial"/>
                <w:sz w:val="18"/>
                <w:szCs w:val="18"/>
              </w:rPr>
            </w:pPr>
          </w:p>
        </w:tc>
        <w:tc>
          <w:tcPr>
            <w:tcW w:w="1503" w:type="dxa"/>
            <w:tcBorders>
              <w:top w:val="nil"/>
              <w:left w:val="nil"/>
              <w:bottom w:val="nil"/>
              <w:right w:val="nil"/>
            </w:tcBorders>
            <w:shd w:val="clear" w:color="auto" w:fill="auto"/>
            <w:noWrap/>
            <w:vAlign w:val="bottom"/>
          </w:tcPr>
          <w:p w14:paraId="602D630E" w14:textId="77777777" w:rsidR="00071AB6" w:rsidRPr="00E45CA6" w:rsidRDefault="00071AB6" w:rsidP="00071AB6">
            <w:pPr>
              <w:spacing w:after="0" w:line="240" w:lineRule="exact"/>
              <w:jc w:val="right"/>
              <w:rPr>
                <w:rFonts w:cs="Arial"/>
                <w:sz w:val="18"/>
                <w:szCs w:val="18"/>
              </w:rPr>
            </w:pPr>
          </w:p>
        </w:tc>
        <w:tc>
          <w:tcPr>
            <w:tcW w:w="1162" w:type="dxa"/>
            <w:tcBorders>
              <w:top w:val="nil"/>
              <w:left w:val="nil"/>
              <w:bottom w:val="nil"/>
              <w:right w:val="nil"/>
            </w:tcBorders>
            <w:shd w:val="clear" w:color="auto" w:fill="auto"/>
            <w:noWrap/>
            <w:vAlign w:val="bottom"/>
          </w:tcPr>
          <w:p w14:paraId="483DEE58" w14:textId="77777777" w:rsidR="00071AB6" w:rsidRPr="00E45CA6" w:rsidRDefault="00071AB6" w:rsidP="00071AB6">
            <w:pPr>
              <w:spacing w:after="0" w:line="240" w:lineRule="exact"/>
              <w:jc w:val="right"/>
              <w:rPr>
                <w:rFonts w:cs="Arial"/>
                <w:sz w:val="18"/>
                <w:szCs w:val="18"/>
              </w:rPr>
            </w:pPr>
          </w:p>
        </w:tc>
        <w:tc>
          <w:tcPr>
            <w:tcW w:w="1332" w:type="dxa"/>
            <w:tcBorders>
              <w:top w:val="nil"/>
              <w:left w:val="nil"/>
              <w:bottom w:val="nil"/>
              <w:right w:val="nil"/>
            </w:tcBorders>
            <w:shd w:val="clear" w:color="auto" w:fill="auto"/>
            <w:noWrap/>
            <w:vAlign w:val="bottom"/>
          </w:tcPr>
          <w:p w14:paraId="0AED9325" w14:textId="77777777" w:rsidR="00071AB6" w:rsidRPr="00E45CA6" w:rsidRDefault="00071AB6" w:rsidP="00071AB6">
            <w:pPr>
              <w:spacing w:after="0" w:line="240" w:lineRule="exact"/>
              <w:jc w:val="right"/>
              <w:rPr>
                <w:rFonts w:cs="Arial"/>
                <w:sz w:val="18"/>
                <w:szCs w:val="18"/>
              </w:rPr>
            </w:pPr>
          </w:p>
        </w:tc>
        <w:tc>
          <w:tcPr>
            <w:tcW w:w="1333" w:type="dxa"/>
            <w:tcBorders>
              <w:top w:val="nil"/>
              <w:left w:val="nil"/>
              <w:bottom w:val="nil"/>
              <w:right w:val="nil"/>
            </w:tcBorders>
            <w:shd w:val="clear" w:color="auto" w:fill="auto"/>
            <w:noWrap/>
            <w:vAlign w:val="bottom"/>
          </w:tcPr>
          <w:p w14:paraId="57329881" w14:textId="77777777" w:rsidR="00071AB6" w:rsidRPr="00E45CA6" w:rsidRDefault="00071AB6" w:rsidP="00071AB6">
            <w:pPr>
              <w:spacing w:after="0" w:line="240" w:lineRule="exact"/>
              <w:jc w:val="right"/>
              <w:rPr>
                <w:rFonts w:cs="Arial"/>
                <w:sz w:val="18"/>
                <w:szCs w:val="18"/>
              </w:rPr>
            </w:pPr>
          </w:p>
        </w:tc>
      </w:tr>
      <w:tr w:rsidR="00071AB6" w:rsidRPr="00E45CA6" w14:paraId="22428EC7" w14:textId="77777777" w:rsidTr="00F1130C">
        <w:trPr>
          <w:trHeight w:val="287"/>
        </w:trPr>
        <w:tc>
          <w:tcPr>
            <w:tcW w:w="3085" w:type="dxa"/>
            <w:tcBorders>
              <w:left w:val="nil"/>
              <w:bottom w:val="nil"/>
              <w:right w:val="nil"/>
            </w:tcBorders>
            <w:shd w:val="clear" w:color="auto" w:fill="auto"/>
            <w:vAlign w:val="bottom"/>
          </w:tcPr>
          <w:p w14:paraId="773046F4" w14:textId="3BE5DD1C" w:rsidR="00071AB6" w:rsidRPr="00E45CA6" w:rsidRDefault="00071AB6" w:rsidP="00BE41D7">
            <w:pPr>
              <w:spacing w:after="0" w:line="240" w:lineRule="exact"/>
              <w:rPr>
                <w:rFonts w:cs="Arial"/>
                <w:sz w:val="18"/>
                <w:szCs w:val="18"/>
              </w:rPr>
            </w:pPr>
            <w:r w:rsidRPr="00E45CA6">
              <w:rPr>
                <w:rFonts w:cs="Arial"/>
                <w:b/>
                <w:bCs/>
                <w:sz w:val="18"/>
                <w:szCs w:val="18"/>
              </w:rPr>
              <w:t>31.12.</w:t>
            </w:r>
            <w:r w:rsidR="00F87602" w:rsidRPr="00E45CA6">
              <w:rPr>
                <w:rFonts w:cs="Arial"/>
                <w:b/>
                <w:bCs/>
                <w:sz w:val="18"/>
                <w:szCs w:val="18"/>
              </w:rPr>
              <w:t>201</w:t>
            </w:r>
            <w:r w:rsidR="00F87602">
              <w:rPr>
                <w:rFonts w:cs="Arial"/>
                <w:b/>
                <w:bCs/>
                <w:sz w:val="18"/>
                <w:szCs w:val="18"/>
              </w:rPr>
              <w:t>6</w:t>
            </w:r>
            <w:r w:rsidRPr="00E45CA6">
              <w:rPr>
                <w:rFonts w:cs="Arial"/>
                <w:b/>
                <w:bCs/>
                <w:sz w:val="18"/>
                <w:szCs w:val="18"/>
              </w:rPr>
              <w:t xml:space="preserve">. </w:t>
            </w:r>
          </w:p>
        </w:tc>
        <w:tc>
          <w:tcPr>
            <w:tcW w:w="1332" w:type="dxa"/>
            <w:tcBorders>
              <w:top w:val="nil"/>
              <w:left w:val="nil"/>
              <w:bottom w:val="nil"/>
              <w:right w:val="nil"/>
            </w:tcBorders>
            <w:shd w:val="clear" w:color="auto" w:fill="auto"/>
            <w:noWrap/>
            <w:vAlign w:val="bottom"/>
          </w:tcPr>
          <w:p w14:paraId="121EFCE6" w14:textId="77777777" w:rsidR="00071AB6" w:rsidRPr="00E45CA6" w:rsidRDefault="00071AB6" w:rsidP="00071AB6">
            <w:pPr>
              <w:spacing w:after="0" w:line="240" w:lineRule="exact"/>
              <w:jc w:val="right"/>
              <w:rPr>
                <w:rFonts w:cs="Arial"/>
                <w:sz w:val="18"/>
                <w:szCs w:val="18"/>
              </w:rPr>
            </w:pPr>
          </w:p>
        </w:tc>
        <w:tc>
          <w:tcPr>
            <w:tcW w:w="1503" w:type="dxa"/>
            <w:tcBorders>
              <w:top w:val="nil"/>
              <w:left w:val="nil"/>
              <w:bottom w:val="nil"/>
              <w:right w:val="nil"/>
            </w:tcBorders>
            <w:shd w:val="clear" w:color="auto" w:fill="auto"/>
            <w:noWrap/>
            <w:vAlign w:val="bottom"/>
          </w:tcPr>
          <w:p w14:paraId="49D8B994" w14:textId="77777777" w:rsidR="00071AB6" w:rsidRPr="00E45CA6" w:rsidRDefault="00071AB6" w:rsidP="00071AB6">
            <w:pPr>
              <w:spacing w:after="0" w:line="240" w:lineRule="exact"/>
              <w:jc w:val="right"/>
              <w:rPr>
                <w:rFonts w:cs="Arial"/>
                <w:sz w:val="18"/>
                <w:szCs w:val="18"/>
              </w:rPr>
            </w:pPr>
          </w:p>
        </w:tc>
        <w:tc>
          <w:tcPr>
            <w:tcW w:w="1162" w:type="dxa"/>
            <w:tcBorders>
              <w:top w:val="nil"/>
              <w:left w:val="nil"/>
              <w:bottom w:val="nil"/>
              <w:right w:val="nil"/>
            </w:tcBorders>
            <w:shd w:val="clear" w:color="auto" w:fill="auto"/>
            <w:noWrap/>
            <w:vAlign w:val="bottom"/>
          </w:tcPr>
          <w:p w14:paraId="1A543B2F" w14:textId="77777777" w:rsidR="00071AB6" w:rsidRPr="00E45CA6" w:rsidRDefault="00071AB6" w:rsidP="00071AB6">
            <w:pPr>
              <w:spacing w:after="0" w:line="240" w:lineRule="exact"/>
              <w:jc w:val="right"/>
              <w:rPr>
                <w:rFonts w:cs="Arial"/>
                <w:sz w:val="18"/>
                <w:szCs w:val="18"/>
              </w:rPr>
            </w:pPr>
          </w:p>
        </w:tc>
        <w:tc>
          <w:tcPr>
            <w:tcW w:w="1332" w:type="dxa"/>
            <w:tcBorders>
              <w:top w:val="nil"/>
              <w:left w:val="nil"/>
              <w:bottom w:val="nil"/>
              <w:right w:val="nil"/>
            </w:tcBorders>
            <w:shd w:val="clear" w:color="auto" w:fill="auto"/>
            <w:noWrap/>
            <w:vAlign w:val="bottom"/>
          </w:tcPr>
          <w:p w14:paraId="2C6F3A70" w14:textId="77777777" w:rsidR="00071AB6" w:rsidRPr="00E45CA6" w:rsidRDefault="00071AB6" w:rsidP="00071AB6">
            <w:pPr>
              <w:spacing w:after="0" w:line="240" w:lineRule="exact"/>
              <w:jc w:val="right"/>
              <w:rPr>
                <w:rFonts w:cs="Arial"/>
                <w:sz w:val="18"/>
                <w:szCs w:val="18"/>
              </w:rPr>
            </w:pPr>
          </w:p>
        </w:tc>
        <w:tc>
          <w:tcPr>
            <w:tcW w:w="1333" w:type="dxa"/>
            <w:tcBorders>
              <w:top w:val="nil"/>
              <w:left w:val="nil"/>
              <w:bottom w:val="nil"/>
              <w:right w:val="nil"/>
            </w:tcBorders>
            <w:shd w:val="clear" w:color="auto" w:fill="auto"/>
            <w:noWrap/>
            <w:vAlign w:val="bottom"/>
          </w:tcPr>
          <w:p w14:paraId="4221B5A7" w14:textId="77777777" w:rsidR="00071AB6" w:rsidRPr="00E45CA6" w:rsidRDefault="00071AB6" w:rsidP="00071AB6">
            <w:pPr>
              <w:spacing w:after="0" w:line="240" w:lineRule="exact"/>
              <w:jc w:val="right"/>
              <w:rPr>
                <w:rFonts w:cs="Arial"/>
                <w:sz w:val="18"/>
                <w:szCs w:val="18"/>
              </w:rPr>
            </w:pPr>
          </w:p>
        </w:tc>
      </w:tr>
      <w:tr w:rsidR="00071AB6" w:rsidRPr="00E45CA6" w14:paraId="059083AB" w14:textId="77777777" w:rsidTr="00F1130C">
        <w:trPr>
          <w:trHeight w:val="287"/>
        </w:trPr>
        <w:tc>
          <w:tcPr>
            <w:tcW w:w="3085" w:type="dxa"/>
            <w:tcBorders>
              <w:left w:val="nil"/>
              <w:bottom w:val="nil"/>
              <w:right w:val="nil"/>
            </w:tcBorders>
            <w:shd w:val="clear" w:color="auto" w:fill="auto"/>
            <w:vAlign w:val="bottom"/>
          </w:tcPr>
          <w:p w14:paraId="6E6C2A3A" w14:textId="77777777" w:rsidR="00071AB6" w:rsidRPr="00E45CA6" w:rsidRDefault="00071AB6" w:rsidP="00071AB6">
            <w:pPr>
              <w:spacing w:after="0" w:line="240" w:lineRule="exact"/>
              <w:rPr>
                <w:rFonts w:cs="Arial"/>
                <w:sz w:val="18"/>
                <w:szCs w:val="18"/>
              </w:rPr>
            </w:pPr>
          </w:p>
        </w:tc>
        <w:tc>
          <w:tcPr>
            <w:tcW w:w="1332" w:type="dxa"/>
            <w:tcBorders>
              <w:top w:val="nil"/>
              <w:left w:val="nil"/>
              <w:bottom w:val="nil"/>
              <w:right w:val="nil"/>
            </w:tcBorders>
            <w:shd w:val="clear" w:color="auto" w:fill="auto"/>
            <w:noWrap/>
            <w:vAlign w:val="bottom"/>
          </w:tcPr>
          <w:p w14:paraId="469CED47" w14:textId="77777777" w:rsidR="00071AB6" w:rsidRPr="00E45CA6" w:rsidRDefault="00071AB6" w:rsidP="00071AB6">
            <w:pPr>
              <w:spacing w:after="0" w:line="240" w:lineRule="exact"/>
              <w:jc w:val="right"/>
              <w:rPr>
                <w:rFonts w:cs="Arial"/>
                <w:sz w:val="18"/>
                <w:szCs w:val="18"/>
              </w:rPr>
            </w:pPr>
          </w:p>
        </w:tc>
        <w:tc>
          <w:tcPr>
            <w:tcW w:w="1503" w:type="dxa"/>
            <w:tcBorders>
              <w:top w:val="nil"/>
              <w:left w:val="nil"/>
              <w:bottom w:val="nil"/>
              <w:right w:val="nil"/>
            </w:tcBorders>
            <w:shd w:val="clear" w:color="auto" w:fill="auto"/>
            <w:noWrap/>
            <w:vAlign w:val="bottom"/>
          </w:tcPr>
          <w:p w14:paraId="0D47A087" w14:textId="77777777" w:rsidR="00071AB6" w:rsidRPr="00E45CA6" w:rsidRDefault="00071AB6" w:rsidP="00071AB6">
            <w:pPr>
              <w:spacing w:after="0" w:line="240" w:lineRule="exact"/>
              <w:jc w:val="right"/>
              <w:rPr>
                <w:rFonts w:cs="Arial"/>
                <w:sz w:val="18"/>
                <w:szCs w:val="18"/>
              </w:rPr>
            </w:pPr>
          </w:p>
        </w:tc>
        <w:tc>
          <w:tcPr>
            <w:tcW w:w="1162" w:type="dxa"/>
            <w:tcBorders>
              <w:top w:val="nil"/>
              <w:left w:val="nil"/>
              <w:bottom w:val="nil"/>
              <w:right w:val="nil"/>
            </w:tcBorders>
            <w:shd w:val="clear" w:color="auto" w:fill="auto"/>
            <w:noWrap/>
            <w:vAlign w:val="bottom"/>
          </w:tcPr>
          <w:p w14:paraId="0FE60575" w14:textId="77777777" w:rsidR="00071AB6" w:rsidRPr="00E45CA6" w:rsidRDefault="00071AB6" w:rsidP="00071AB6">
            <w:pPr>
              <w:spacing w:after="0" w:line="240" w:lineRule="exact"/>
              <w:jc w:val="right"/>
              <w:rPr>
                <w:rFonts w:cs="Arial"/>
                <w:sz w:val="18"/>
                <w:szCs w:val="18"/>
              </w:rPr>
            </w:pPr>
          </w:p>
        </w:tc>
        <w:tc>
          <w:tcPr>
            <w:tcW w:w="1332" w:type="dxa"/>
            <w:tcBorders>
              <w:top w:val="nil"/>
              <w:left w:val="nil"/>
              <w:bottom w:val="nil"/>
              <w:right w:val="nil"/>
            </w:tcBorders>
            <w:shd w:val="clear" w:color="auto" w:fill="auto"/>
            <w:noWrap/>
            <w:vAlign w:val="bottom"/>
          </w:tcPr>
          <w:p w14:paraId="066C05A4" w14:textId="77777777" w:rsidR="00071AB6" w:rsidRPr="00E45CA6" w:rsidRDefault="00071AB6" w:rsidP="00071AB6">
            <w:pPr>
              <w:spacing w:after="0" w:line="240" w:lineRule="exact"/>
              <w:jc w:val="right"/>
              <w:rPr>
                <w:rFonts w:cs="Arial"/>
                <w:sz w:val="18"/>
                <w:szCs w:val="18"/>
              </w:rPr>
            </w:pPr>
          </w:p>
        </w:tc>
        <w:tc>
          <w:tcPr>
            <w:tcW w:w="1333" w:type="dxa"/>
            <w:tcBorders>
              <w:top w:val="nil"/>
              <w:left w:val="nil"/>
              <w:bottom w:val="nil"/>
              <w:right w:val="nil"/>
            </w:tcBorders>
            <w:shd w:val="clear" w:color="auto" w:fill="auto"/>
            <w:noWrap/>
            <w:vAlign w:val="bottom"/>
          </w:tcPr>
          <w:p w14:paraId="79211787" w14:textId="77777777" w:rsidR="00071AB6" w:rsidRPr="00E45CA6" w:rsidRDefault="00071AB6" w:rsidP="00071AB6">
            <w:pPr>
              <w:spacing w:after="0" w:line="240" w:lineRule="exact"/>
              <w:jc w:val="right"/>
              <w:rPr>
                <w:rFonts w:cs="Arial"/>
                <w:sz w:val="18"/>
                <w:szCs w:val="18"/>
              </w:rPr>
            </w:pPr>
          </w:p>
        </w:tc>
      </w:tr>
      <w:tr w:rsidR="00535F46" w:rsidRPr="00E45CA6" w14:paraId="5921E6E4" w14:textId="77777777" w:rsidTr="00F1130C">
        <w:trPr>
          <w:trHeight w:val="300"/>
        </w:trPr>
        <w:tc>
          <w:tcPr>
            <w:tcW w:w="3085" w:type="dxa"/>
            <w:tcBorders>
              <w:top w:val="nil"/>
              <w:left w:val="nil"/>
              <w:right w:val="nil"/>
            </w:tcBorders>
            <w:shd w:val="clear" w:color="auto" w:fill="auto"/>
            <w:vAlign w:val="bottom"/>
          </w:tcPr>
          <w:p w14:paraId="1417E0B6" w14:textId="77777777" w:rsidR="00535F46" w:rsidRPr="00E45CA6" w:rsidRDefault="00535F46" w:rsidP="00535F46">
            <w:pPr>
              <w:spacing w:after="0" w:line="240" w:lineRule="exact"/>
              <w:rPr>
                <w:rFonts w:cs="Arial"/>
                <w:sz w:val="18"/>
                <w:szCs w:val="18"/>
              </w:rPr>
            </w:pPr>
            <w:r w:rsidRPr="00E45CA6">
              <w:rPr>
                <w:rFonts w:cs="Arial"/>
                <w:sz w:val="18"/>
                <w:szCs w:val="18"/>
              </w:rPr>
              <w:t>Imovina segmenta</w:t>
            </w:r>
          </w:p>
        </w:tc>
        <w:tc>
          <w:tcPr>
            <w:tcW w:w="1332" w:type="dxa"/>
            <w:tcBorders>
              <w:top w:val="nil"/>
              <w:left w:val="nil"/>
              <w:bottom w:val="nil"/>
              <w:right w:val="nil"/>
            </w:tcBorders>
            <w:shd w:val="clear" w:color="auto" w:fill="auto"/>
            <w:noWrap/>
            <w:vAlign w:val="bottom"/>
          </w:tcPr>
          <w:p w14:paraId="73145252" w14:textId="7C604280" w:rsidR="00535F46" w:rsidRPr="00E45CA6" w:rsidRDefault="00F87602" w:rsidP="00535F46">
            <w:pPr>
              <w:spacing w:after="0" w:line="240" w:lineRule="exact"/>
              <w:jc w:val="right"/>
              <w:rPr>
                <w:rFonts w:cs="Arial"/>
                <w:sz w:val="18"/>
                <w:szCs w:val="18"/>
              </w:rPr>
            </w:pPr>
            <w:r>
              <w:rPr>
                <w:rFonts w:cs="Arial"/>
                <w:sz w:val="18"/>
                <w:szCs w:val="18"/>
              </w:rPr>
              <w:t>27.374.916</w:t>
            </w:r>
          </w:p>
        </w:tc>
        <w:tc>
          <w:tcPr>
            <w:tcW w:w="1503" w:type="dxa"/>
            <w:tcBorders>
              <w:top w:val="nil"/>
              <w:left w:val="nil"/>
              <w:bottom w:val="nil"/>
              <w:right w:val="nil"/>
            </w:tcBorders>
            <w:shd w:val="clear" w:color="auto" w:fill="auto"/>
            <w:noWrap/>
            <w:vAlign w:val="bottom"/>
          </w:tcPr>
          <w:p w14:paraId="6DA71A6F" w14:textId="13E425B5" w:rsidR="00535F46" w:rsidRPr="00E45CA6" w:rsidRDefault="00F87602" w:rsidP="00535F46">
            <w:pPr>
              <w:spacing w:after="0" w:line="240" w:lineRule="exact"/>
              <w:jc w:val="right"/>
              <w:rPr>
                <w:rFonts w:cs="Arial"/>
                <w:sz w:val="18"/>
                <w:szCs w:val="18"/>
              </w:rPr>
            </w:pPr>
            <w:r>
              <w:rPr>
                <w:rFonts w:cs="Arial"/>
                <w:sz w:val="18"/>
                <w:szCs w:val="18"/>
              </w:rPr>
              <w:t>51.667</w:t>
            </w:r>
          </w:p>
        </w:tc>
        <w:tc>
          <w:tcPr>
            <w:tcW w:w="1162" w:type="dxa"/>
            <w:tcBorders>
              <w:top w:val="nil"/>
              <w:left w:val="nil"/>
              <w:bottom w:val="nil"/>
              <w:right w:val="nil"/>
            </w:tcBorders>
            <w:shd w:val="clear" w:color="auto" w:fill="auto"/>
            <w:noWrap/>
            <w:vAlign w:val="bottom"/>
          </w:tcPr>
          <w:p w14:paraId="3EADFDE6" w14:textId="32875850" w:rsidR="00535F46" w:rsidRPr="00E45CA6" w:rsidRDefault="00F87602" w:rsidP="00535F46">
            <w:pPr>
              <w:spacing w:after="0" w:line="240" w:lineRule="exact"/>
              <w:jc w:val="right"/>
              <w:rPr>
                <w:rFonts w:cs="Arial"/>
                <w:sz w:val="18"/>
                <w:szCs w:val="18"/>
              </w:rPr>
            </w:pPr>
            <w:r>
              <w:rPr>
                <w:rFonts w:cs="Arial"/>
                <w:sz w:val="18"/>
                <w:szCs w:val="18"/>
              </w:rPr>
              <w:t>895</w:t>
            </w:r>
          </w:p>
        </w:tc>
        <w:tc>
          <w:tcPr>
            <w:tcW w:w="1332" w:type="dxa"/>
            <w:tcBorders>
              <w:top w:val="nil"/>
              <w:left w:val="nil"/>
              <w:bottom w:val="nil"/>
              <w:right w:val="nil"/>
            </w:tcBorders>
            <w:shd w:val="clear" w:color="auto" w:fill="auto"/>
            <w:noWrap/>
            <w:vAlign w:val="bottom"/>
          </w:tcPr>
          <w:p w14:paraId="33F237D9" w14:textId="0D53BA73" w:rsidR="00535F46" w:rsidRPr="00E45CA6" w:rsidRDefault="00535F46" w:rsidP="00BE41D7">
            <w:pPr>
              <w:spacing w:after="0" w:line="240" w:lineRule="exact"/>
              <w:jc w:val="right"/>
              <w:rPr>
                <w:rFonts w:cs="Arial"/>
                <w:sz w:val="18"/>
                <w:szCs w:val="18"/>
              </w:rPr>
            </w:pPr>
            <w:r w:rsidRPr="00E45CA6">
              <w:rPr>
                <w:rFonts w:cs="Arial"/>
                <w:sz w:val="18"/>
                <w:szCs w:val="18"/>
              </w:rPr>
              <w:t>(36.</w:t>
            </w:r>
            <w:r w:rsidR="00F87602">
              <w:rPr>
                <w:rFonts w:cs="Arial"/>
                <w:sz w:val="18"/>
                <w:szCs w:val="18"/>
              </w:rPr>
              <w:t>656</w:t>
            </w:r>
            <w:r w:rsidRPr="00E45CA6">
              <w:rPr>
                <w:rFonts w:cs="Arial"/>
                <w:sz w:val="18"/>
                <w:szCs w:val="18"/>
              </w:rPr>
              <w:t>)</w:t>
            </w:r>
          </w:p>
        </w:tc>
        <w:tc>
          <w:tcPr>
            <w:tcW w:w="1333" w:type="dxa"/>
            <w:tcBorders>
              <w:top w:val="nil"/>
              <w:left w:val="nil"/>
              <w:bottom w:val="nil"/>
              <w:right w:val="nil"/>
            </w:tcBorders>
            <w:shd w:val="clear" w:color="auto" w:fill="auto"/>
            <w:noWrap/>
            <w:vAlign w:val="bottom"/>
          </w:tcPr>
          <w:p w14:paraId="6E554AC2" w14:textId="602488E5" w:rsidR="00535F46" w:rsidRPr="00E45CA6" w:rsidRDefault="00F87602" w:rsidP="00535F46">
            <w:pPr>
              <w:spacing w:after="0" w:line="240" w:lineRule="exact"/>
              <w:jc w:val="right"/>
              <w:rPr>
                <w:rFonts w:cs="Arial"/>
                <w:sz w:val="18"/>
                <w:szCs w:val="18"/>
              </w:rPr>
            </w:pPr>
            <w:r>
              <w:rPr>
                <w:rFonts w:cs="Arial"/>
                <w:sz w:val="18"/>
                <w:szCs w:val="18"/>
              </w:rPr>
              <w:t>27.390.822</w:t>
            </w:r>
          </w:p>
        </w:tc>
      </w:tr>
      <w:tr w:rsidR="00535F46" w:rsidRPr="00E45CA6" w14:paraId="610B67FB" w14:textId="77777777" w:rsidTr="00F1130C">
        <w:trPr>
          <w:trHeight w:val="315"/>
        </w:trPr>
        <w:tc>
          <w:tcPr>
            <w:tcW w:w="3085" w:type="dxa"/>
            <w:tcBorders>
              <w:left w:val="nil"/>
              <w:right w:val="nil"/>
            </w:tcBorders>
            <w:shd w:val="clear" w:color="auto" w:fill="auto"/>
            <w:vAlign w:val="bottom"/>
          </w:tcPr>
          <w:p w14:paraId="04A3A0C2" w14:textId="77777777" w:rsidR="00535F46" w:rsidRPr="00E45CA6" w:rsidRDefault="00535F46" w:rsidP="00535F46">
            <w:pPr>
              <w:spacing w:after="0" w:line="240" w:lineRule="exact"/>
              <w:rPr>
                <w:rFonts w:cs="Arial"/>
                <w:b/>
                <w:bCs/>
                <w:sz w:val="18"/>
                <w:szCs w:val="18"/>
              </w:rPr>
            </w:pPr>
            <w:r w:rsidRPr="00E45CA6">
              <w:rPr>
                <w:rFonts w:cs="Arial"/>
                <w:b/>
                <w:bCs/>
                <w:sz w:val="18"/>
                <w:szCs w:val="18"/>
              </w:rPr>
              <w:t>Ukupna imovina</w:t>
            </w:r>
          </w:p>
        </w:tc>
        <w:tc>
          <w:tcPr>
            <w:tcW w:w="1332" w:type="dxa"/>
            <w:tcBorders>
              <w:top w:val="single" w:sz="4" w:space="0" w:color="auto"/>
              <w:left w:val="nil"/>
              <w:bottom w:val="single" w:sz="8" w:space="0" w:color="auto"/>
              <w:right w:val="nil"/>
            </w:tcBorders>
            <w:shd w:val="clear" w:color="auto" w:fill="auto"/>
            <w:noWrap/>
            <w:vAlign w:val="bottom"/>
          </w:tcPr>
          <w:p w14:paraId="145AE37C" w14:textId="74A49F17" w:rsidR="00535F46" w:rsidRPr="000E5941" w:rsidRDefault="00F87602" w:rsidP="00535F46">
            <w:pPr>
              <w:spacing w:after="0" w:line="240" w:lineRule="exact"/>
              <w:jc w:val="right"/>
              <w:rPr>
                <w:rFonts w:cs="Arial"/>
                <w:b/>
                <w:sz w:val="18"/>
                <w:szCs w:val="18"/>
              </w:rPr>
            </w:pPr>
            <w:r w:rsidRPr="000E5941">
              <w:rPr>
                <w:rFonts w:cs="Arial"/>
                <w:b/>
                <w:sz w:val="18"/>
                <w:szCs w:val="18"/>
              </w:rPr>
              <w:t>27.374.916</w:t>
            </w:r>
          </w:p>
        </w:tc>
        <w:tc>
          <w:tcPr>
            <w:tcW w:w="1503" w:type="dxa"/>
            <w:tcBorders>
              <w:top w:val="single" w:sz="4" w:space="0" w:color="auto"/>
              <w:left w:val="nil"/>
              <w:bottom w:val="single" w:sz="8" w:space="0" w:color="auto"/>
              <w:right w:val="nil"/>
            </w:tcBorders>
            <w:shd w:val="clear" w:color="auto" w:fill="auto"/>
            <w:noWrap/>
            <w:vAlign w:val="bottom"/>
          </w:tcPr>
          <w:p w14:paraId="7DD5B794" w14:textId="6A7836C1" w:rsidR="00535F46" w:rsidRPr="00E45CA6" w:rsidRDefault="00F87602" w:rsidP="00535F46">
            <w:pPr>
              <w:spacing w:after="0" w:line="240" w:lineRule="exact"/>
              <w:jc w:val="right"/>
              <w:rPr>
                <w:rFonts w:cs="Arial"/>
                <w:sz w:val="18"/>
                <w:szCs w:val="18"/>
              </w:rPr>
            </w:pPr>
            <w:r>
              <w:rPr>
                <w:rFonts w:cs="Arial"/>
                <w:b/>
                <w:sz w:val="18"/>
                <w:szCs w:val="18"/>
              </w:rPr>
              <w:t>51.667</w:t>
            </w:r>
          </w:p>
        </w:tc>
        <w:tc>
          <w:tcPr>
            <w:tcW w:w="1162" w:type="dxa"/>
            <w:tcBorders>
              <w:top w:val="single" w:sz="4" w:space="0" w:color="auto"/>
              <w:left w:val="nil"/>
              <w:bottom w:val="single" w:sz="8" w:space="0" w:color="auto"/>
              <w:right w:val="nil"/>
            </w:tcBorders>
            <w:shd w:val="clear" w:color="auto" w:fill="auto"/>
            <w:noWrap/>
            <w:vAlign w:val="bottom"/>
          </w:tcPr>
          <w:p w14:paraId="0AF09710" w14:textId="20D97EA1" w:rsidR="00535F46" w:rsidRPr="00E45CA6" w:rsidRDefault="00F87602" w:rsidP="00535F46">
            <w:pPr>
              <w:spacing w:after="0" w:line="240" w:lineRule="exact"/>
              <w:jc w:val="right"/>
              <w:rPr>
                <w:rFonts w:cs="Arial"/>
                <w:sz w:val="18"/>
                <w:szCs w:val="18"/>
              </w:rPr>
            </w:pPr>
            <w:r>
              <w:rPr>
                <w:rFonts w:cs="Arial"/>
                <w:b/>
                <w:sz w:val="18"/>
                <w:szCs w:val="18"/>
              </w:rPr>
              <w:t>895</w:t>
            </w:r>
          </w:p>
        </w:tc>
        <w:tc>
          <w:tcPr>
            <w:tcW w:w="1332" w:type="dxa"/>
            <w:tcBorders>
              <w:top w:val="single" w:sz="4" w:space="0" w:color="auto"/>
              <w:left w:val="nil"/>
              <w:bottom w:val="single" w:sz="8" w:space="0" w:color="auto"/>
              <w:right w:val="nil"/>
            </w:tcBorders>
            <w:shd w:val="clear" w:color="auto" w:fill="auto"/>
            <w:noWrap/>
            <w:vAlign w:val="bottom"/>
          </w:tcPr>
          <w:p w14:paraId="4AE002AD" w14:textId="52DBAB46" w:rsidR="00535F46" w:rsidRPr="00E45CA6" w:rsidRDefault="00535F46" w:rsidP="00BE41D7">
            <w:pPr>
              <w:spacing w:after="0" w:line="240" w:lineRule="exact"/>
              <w:jc w:val="right"/>
              <w:rPr>
                <w:rFonts w:cs="Arial"/>
                <w:sz w:val="18"/>
                <w:szCs w:val="18"/>
              </w:rPr>
            </w:pPr>
            <w:r w:rsidRPr="00E45CA6">
              <w:rPr>
                <w:rFonts w:cs="Arial"/>
                <w:b/>
                <w:sz w:val="18"/>
                <w:szCs w:val="18"/>
              </w:rPr>
              <w:t>(36.</w:t>
            </w:r>
            <w:r w:rsidR="00F87602">
              <w:rPr>
                <w:rFonts w:cs="Arial"/>
                <w:b/>
                <w:sz w:val="18"/>
                <w:szCs w:val="18"/>
              </w:rPr>
              <w:t>656</w:t>
            </w:r>
            <w:r w:rsidRPr="00E45CA6">
              <w:rPr>
                <w:rFonts w:cs="Arial"/>
                <w:b/>
                <w:sz w:val="18"/>
                <w:szCs w:val="18"/>
              </w:rPr>
              <w:t>)</w:t>
            </w:r>
          </w:p>
        </w:tc>
        <w:tc>
          <w:tcPr>
            <w:tcW w:w="1333" w:type="dxa"/>
            <w:tcBorders>
              <w:top w:val="single" w:sz="4" w:space="0" w:color="auto"/>
              <w:left w:val="nil"/>
              <w:bottom w:val="single" w:sz="8" w:space="0" w:color="auto"/>
              <w:right w:val="nil"/>
            </w:tcBorders>
            <w:shd w:val="clear" w:color="auto" w:fill="auto"/>
            <w:noWrap/>
            <w:vAlign w:val="bottom"/>
          </w:tcPr>
          <w:p w14:paraId="0ED373BA" w14:textId="50466C87" w:rsidR="00535F46" w:rsidRPr="00E45CA6" w:rsidRDefault="00F87602" w:rsidP="00535F46">
            <w:pPr>
              <w:spacing w:after="0" w:line="240" w:lineRule="exact"/>
              <w:jc w:val="right"/>
              <w:rPr>
                <w:rFonts w:cs="Arial"/>
                <w:sz w:val="18"/>
                <w:szCs w:val="18"/>
              </w:rPr>
            </w:pPr>
            <w:r>
              <w:rPr>
                <w:rFonts w:cs="Arial"/>
                <w:b/>
                <w:sz w:val="18"/>
                <w:szCs w:val="18"/>
              </w:rPr>
              <w:t>27.390.822</w:t>
            </w:r>
          </w:p>
        </w:tc>
      </w:tr>
      <w:tr w:rsidR="00535F46" w:rsidRPr="00E45CA6" w14:paraId="52A4887E" w14:textId="77777777" w:rsidTr="00966406">
        <w:trPr>
          <w:trHeight w:val="121"/>
        </w:trPr>
        <w:tc>
          <w:tcPr>
            <w:tcW w:w="3085" w:type="dxa"/>
            <w:tcBorders>
              <w:left w:val="nil"/>
              <w:bottom w:val="nil"/>
              <w:right w:val="nil"/>
            </w:tcBorders>
            <w:shd w:val="clear" w:color="auto" w:fill="auto"/>
            <w:vAlign w:val="bottom"/>
          </w:tcPr>
          <w:p w14:paraId="0DA0F7FB" w14:textId="77777777" w:rsidR="00535F46" w:rsidRPr="00E45CA6" w:rsidRDefault="00535F46" w:rsidP="00535F46">
            <w:pPr>
              <w:spacing w:after="0" w:line="240" w:lineRule="exact"/>
              <w:rPr>
                <w:rFonts w:cs="Arial"/>
                <w:sz w:val="18"/>
                <w:szCs w:val="18"/>
              </w:rPr>
            </w:pPr>
          </w:p>
        </w:tc>
        <w:tc>
          <w:tcPr>
            <w:tcW w:w="1332" w:type="dxa"/>
            <w:tcBorders>
              <w:top w:val="single" w:sz="8" w:space="0" w:color="auto"/>
              <w:left w:val="nil"/>
              <w:bottom w:val="nil"/>
              <w:right w:val="nil"/>
            </w:tcBorders>
            <w:shd w:val="clear" w:color="auto" w:fill="auto"/>
            <w:noWrap/>
            <w:vAlign w:val="bottom"/>
          </w:tcPr>
          <w:p w14:paraId="73560BF5" w14:textId="77777777" w:rsidR="00535F46" w:rsidRPr="00E45CA6" w:rsidRDefault="00535F46" w:rsidP="00535F46">
            <w:pPr>
              <w:spacing w:after="0" w:line="240" w:lineRule="exact"/>
              <w:jc w:val="right"/>
              <w:rPr>
                <w:rFonts w:cs="Arial"/>
                <w:b/>
                <w:sz w:val="18"/>
                <w:szCs w:val="18"/>
              </w:rPr>
            </w:pPr>
          </w:p>
        </w:tc>
        <w:tc>
          <w:tcPr>
            <w:tcW w:w="1503" w:type="dxa"/>
            <w:tcBorders>
              <w:top w:val="single" w:sz="8" w:space="0" w:color="auto"/>
              <w:left w:val="nil"/>
              <w:bottom w:val="nil"/>
              <w:right w:val="nil"/>
            </w:tcBorders>
            <w:shd w:val="clear" w:color="auto" w:fill="auto"/>
            <w:noWrap/>
            <w:vAlign w:val="bottom"/>
          </w:tcPr>
          <w:p w14:paraId="4715A38D" w14:textId="77777777" w:rsidR="00535F46" w:rsidRPr="00E45CA6" w:rsidRDefault="00535F46" w:rsidP="00535F46">
            <w:pPr>
              <w:spacing w:after="0" w:line="240" w:lineRule="exact"/>
              <w:jc w:val="right"/>
              <w:rPr>
                <w:rFonts w:cs="Arial"/>
                <w:b/>
                <w:sz w:val="18"/>
                <w:szCs w:val="18"/>
              </w:rPr>
            </w:pPr>
          </w:p>
        </w:tc>
        <w:tc>
          <w:tcPr>
            <w:tcW w:w="1162" w:type="dxa"/>
            <w:tcBorders>
              <w:top w:val="single" w:sz="8" w:space="0" w:color="auto"/>
              <w:left w:val="nil"/>
              <w:bottom w:val="nil"/>
              <w:right w:val="nil"/>
            </w:tcBorders>
            <w:shd w:val="clear" w:color="auto" w:fill="auto"/>
            <w:noWrap/>
            <w:vAlign w:val="bottom"/>
          </w:tcPr>
          <w:p w14:paraId="24302148" w14:textId="77777777" w:rsidR="00535F46" w:rsidRPr="00E45CA6" w:rsidRDefault="00535F46" w:rsidP="00535F46">
            <w:pPr>
              <w:spacing w:after="0" w:line="240" w:lineRule="exact"/>
              <w:jc w:val="right"/>
              <w:rPr>
                <w:rFonts w:cs="Arial"/>
                <w:b/>
                <w:sz w:val="18"/>
                <w:szCs w:val="18"/>
              </w:rPr>
            </w:pPr>
          </w:p>
        </w:tc>
        <w:tc>
          <w:tcPr>
            <w:tcW w:w="1332" w:type="dxa"/>
            <w:tcBorders>
              <w:top w:val="single" w:sz="8" w:space="0" w:color="auto"/>
              <w:left w:val="nil"/>
              <w:bottom w:val="nil"/>
              <w:right w:val="nil"/>
            </w:tcBorders>
            <w:shd w:val="clear" w:color="auto" w:fill="auto"/>
            <w:noWrap/>
            <w:vAlign w:val="bottom"/>
          </w:tcPr>
          <w:p w14:paraId="65797E74" w14:textId="77777777" w:rsidR="00535F46" w:rsidRPr="00E45CA6" w:rsidRDefault="00535F46" w:rsidP="00535F46">
            <w:pPr>
              <w:spacing w:after="0" w:line="240" w:lineRule="exact"/>
              <w:jc w:val="right"/>
              <w:rPr>
                <w:rFonts w:cs="Arial"/>
                <w:b/>
                <w:sz w:val="18"/>
                <w:szCs w:val="18"/>
              </w:rPr>
            </w:pPr>
          </w:p>
        </w:tc>
        <w:tc>
          <w:tcPr>
            <w:tcW w:w="1333" w:type="dxa"/>
            <w:tcBorders>
              <w:top w:val="single" w:sz="8" w:space="0" w:color="auto"/>
              <w:left w:val="nil"/>
              <w:bottom w:val="nil"/>
              <w:right w:val="nil"/>
            </w:tcBorders>
            <w:shd w:val="clear" w:color="auto" w:fill="auto"/>
            <w:noWrap/>
            <w:vAlign w:val="bottom"/>
          </w:tcPr>
          <w:p w14:paraId="00F503EF" w14:textId="77777777" w:rsidR="00535F46" w:rsidRPr="00E45CA6" w:rsidRDefault="00535F46" w:rsidP="00535F46">
            <w:pPr>
              <w:spacing w:after="0" w:line="240" w:lineRule="exact"/>
              <w:jc w:val="right"/>
              <w:rPr>
                <w:rFonts w:cs="Arial"/>
                <w:b/>
                <w:sz w:val="18"/>
                <w:szCs w:val="18"/>
              </w:rPr>
            </w:pPr>
          </w:p>
        </w:tc>
      </w:tr>
      <w:tr w:rsidR="00535F46" w:rsidRPr="00E45CA6" w14:paraId="38B2F39C" w14:textId="77777777" w:rsidTr="00F1130C">
        <w:trPr>
          <w:trHeight w:val="300"/>
        </w:trPr>
        <w:tc>
          <w:tcPr>
            <w:tcW w:w="3085" w:type="dxa"/>
            <w:tcBorders>
              <w:top w:val="nil"/>
              <w:left w:val="nil"/>
              <w:bottom w:val="nil"/>
              <w:right w:val="nil"/>
            </w:tcBorders>
            <w:shd w:val="clear" w:color="auto" w:fill="auto"/>
            <w:vAlign w:val="bottom"/>
          </w:tcPr>
          <w:p w14:paraId="0D152B1C" w14:textId="77777777" w:rsidR="00535F46" w:rsidRPr="00E45CA6" w:rsidRDefault="00535F46" w:rsidP="00535F46">
            <w:pPr>
              <w:spacing w:after="0" w:line="240" w:lineRule="exact"/>
              <w:rPr>
                <w:rFonts w:cs="Arial"/>
                <w:sz w:val="18"/>
                <w:szCs w:val="18"/>
              </w:rPr>
            </w:pPr>
            <w:r w:rsidRPr="00E45CA6">
              <w:rPr>
                <w:rFonts w:cs="Arial"/>
                <w:sz w:val="18"/>
                <w:szCs w:val="18"/>
              </w:rPr>
              <w:t>Obveze segmenta</w:t>
            </w:r>
          </w:p>
        </w:tc>
        <w:tc>
          <w:tcPr>
            <w:tcW w:w="1332" w:type="dxa"/>
            <w:tcBorders>
              <w:top w:val="nil"/>
              <w:left w:val="nil"/>
              <w:bottom w:val="nil"/>
              <w:right w:val="nil"/>
            </w:tcBorders>
            <w:shd w:val="clear" w:color="auto" w:fill="auto"/>
            <w:noWrap/>
            <w:vAlign w:val="bottom"/>
          </w:tcPr>
          <w:p w14:paraId="00238E3E" w14:textId="38BE578D" w:rsidR="00535F46" w:rsidRPr="00E45CA6" w:rsidRDefault="00F87602" w:rsidP="00535F46">
            <w:pPr>
              <w:spacing w:after="0" w:line="240" w:lineRule="exact"/>
              <w:jc w:val="right"/>
              <w:rPr>
                <w:rFonts w:cs="Arial"/>
                <w:sz w:val="18"/>
                <w:szCs w:val="18"/>
              </w:rPr>
            </w:pPr>
            <w:r>
              <w:rPr>
                <w:rFonts w:cs="Arial"/>
                <w:sz w:val="18"/>
                <w:szCs w:val="18"/>
              </w:rPr>
              <w:t>17.336.936</w:t>
            </w:r>
          </w:p>
        </w:tc>
        <w:tc>
          <w:tcPr>
            <w:tcW w:w="1503" w:type="dxa"/>
            <w:tcBorders>
              <w:top w:val="nil"/>
              <w:left w:val="nil"/>
              <w:bottom w:val="nil"/>
              <w:right w:val="nil"/>
            </w:tcBorders>
            <w:shd w:val="clear" w:color="auto" w:fill="auto"/>
            <w:noWrap/>
            <w:vAlign w:val="bottom"/>
          </w:tcPr>
          <w:p w14:paraId="6F14956C" w14:textId="79319443" w:rsidR="00535F46" w:rsidRPr="00E45CA6" w:rsidRDefault="00F87602" w:rsidP="00535F46">
            <w:pPr>
              <w:spacing w:after="0" w:line="240" w:lineRule="exact"/>
              <w:jc w:val="right"/>
              <w:rPr>
                <w:rFonts w:cs="Arial"/>
                <w:sz w:val="18"/>
                <w:szCs w:val="18"/>
              </w:rPr>
            </w:pPr>
            <w:r>
              <w:rPr>
                <w:rFonts w:cs="Arial"/>
                <w:sz w:val="18"/>
                <w:szCs w:val="18"/>
              </w:rPr>
              <w:t>11.049</w:t>
            </w:r>
          </w:p>
        </w:tc>
        <w:tc>
          <w:tcPr>
            <w:tcW w:w="1162" w:type="dxa"/>
            <w:tcBorders>
              <w:top w:val="nil"/>
              <w:left w:val="nil"/>
              <w:bottom w:val="nil"/>
              <w:right w:val="nil"/>
            </w:tcBorders>
            <w:shd w:val="clear" w:color="auto" w:fill="auto"/>
            <w:noWrap/>
            <w:vAlign w:val="bottom"/>
          </w:tcPr>
          <w:p w14:paraId="03B53338" w14:textId="7E11B896" w:rsidR="00535F46" w:rsidRPr="00E45CA6" w:rsidRDefault="00F87602" w:rsidP="00535F46">
            <w:pPr>
              <w:spacing w:after="0" w:line="240" w:lineRule="exact"/>
              <w:jc w:val="right"/>
              <w:rPr>
                <w:rFonts w:cs="Arial"/>
                <w:sz w:val="18"/>
                <w:szCs w:val="18"/>
              </w:rPr>
            </w:pPr>
            <w:r>
              <w:rPr>
                <w:rFonts w:cs="Arial"/>
                <w:sz w:val="18"/>
                <w:szCs w:val="18"/>
              </w:rPr>
              <w:t>159</w:t>
            </w:r>
          </w:p>
        </w:tc>
        <w:tc>
          <w:tcPr>
            <w:tcW w:w="1332" w:type="dxa"/>
            <w:tcBorders>
              <w:top w:val="nil"/>
              <w:left w:val="nil"/>
              <w:bottom w:val="nil"/>
              <w:right w:val="nil"/>
            </w:tcBorders>
            <w:shd w:val="clear" w:color="auto" w:fill="auto"/>
            <w:noWrap/>
            <w:vAlign w:val="bottom"/>
          </w:tcPr>
          <w:p w14:paraId="597AAB42" w14:textId="08E34237" w:rsidR="00535F46" w:rsidRPr="00E45CA6" w:rsidRDefault="00535F46" w:rsidP="00BE41D7">
            <w:pPr>
              <w:spacing w:after="0" w:line="240" w:lineRule="exact"/>
              <w:jc w:val="right"/>
              <w:rPr>
                <w:rFonts w:cs="Arial"/>
                <w:sz w:val="18"/>
                <w:szCs w:val="18"/>
              </w:rPr>
            </w:pPr>
            <w:r w:rsidRPr="00E45CA6">
              <w:rPr>
                <w:rFonts w:cs="Arial"/>
                <w:sz w:val="18"/>
                <w:szCs w:val="18"/>
              </w:rPr>
              <w:t>(</w:t>
            </w:r>
            <w:r w:rsidR="00F87602" w:rsidRPr="00E45CA6">
              <w:rPr>
                <w:rFonts w:cs="Arial"/>
                <w:sz w:val="18"/>
                <w:szCs w:val="18"/>
              </w:rPr>
              <w:t>3</w:t>
            </w:r>
            <w:r w:rsidR="00F87602">
              <w:rPr>
                <w:rFonts w:cs="Arial"/>
                <w:sz w:val="18"/>
                <w:szCs w:val="18"/>
              </w:rPr>
              <w:t>0</w:t>
            </w:r>
            <w:r w:rsidRPr="00E45CA6">
              <w:rPr>
                <w:rFonts w:cs="Arial"/>
                <w:sz w:val="18"/>
                <w:szCs w:val="18"/>
              </w:rPr>
              <w:t>)</w:t>
            </w:r>
          </w:p>
        </w:tc>
        <w:tc>
          <w:tcPr>
            <w:tcW w:w="1333" w:type="dxa"/>
            <w:tcBorders>
              <w:top w:val="nil"/>
              <w:left w:val="nil"/>
              <w:bottom w:val="nil"/>
              <w:right w:val="nil"/>
            </w:tcBorders>
            <w:shd w:val="clear" w:color="auto" w:fill="auto"/>
            <w:noWrap/>
            <w:vAlign w:val="bottom"/>
          </w:tcPr>
          <w:p w14:paraId="5208DA7E" w14:textId="116FE4DE" w:rsidR="00535F46" w:rsidRPr="00E45CA6" w:rsidRDefault="00F87602" w:rsidP="00535F46">
            <w:pPr>
              <w:spacing w:after="0" w:line="240" w:lineRule="exact"/>
              <w:jc w:val="right"/>
              <w:rPr>
                <w:rFonts w:cs="Arial"/>
                <w:sz w:val="18"/>
                <w:szCs w:val="18"/>
              </w:rPr>
            </w:pPr>
            <w:r>
              <w:rPr>
                <w:rFonts w:cs="Arial"/>
                <w:sz w:val="18"/>
                <w:szCs w:val="18"/>
              </w:rPr>
              <w:t>17.348.114</w:t>
            </w:r>
          </w:p>
        </w:tc>
      </w:tr>
      <w:tr w:rsidR="00535F46" w:rsidRPr="00E45CA6" w14:paraId="0E9D9207" w14:textId="77777777" w:rsidTr="00F1130C">
        <w:trPr>
          <w:trHeight w:val="300"/>
        </w:trPr>
        <w:tc>
          <w:tcPr>
            <w:tcW w:w="3085" w:type="dxa"/>
            <w:tcBorders>
              <w:top w:val="nil"/>
              <w:left w:val="nil"/>
              <w:right w:val="nil"/>
            </w:tcBorders>
            <w:shd w:val="clear" w:color="auto" w:fill="auto"/>
            <w:vAlign w:val="bottom"/>
          </w:tcPr>
          <w:p w14:paraId="4438675C" w14:textId="77777777" w:rsidR="00535F46" w:rsidRPr="00E45CA6" w:rsidRDefault="00535F46" w:rsidP="00535F46">
            <w:pPr>
              <w:spacing w:after="0" w:line="240" w:lineRule="exact"/>
              <w:rPr>
                <w:rFonts w:cs="Arial"/>
                <w:sz w:val="18"/>
                <w:szCs w:val="18"/>
              </w:rPr>
            </w:pPr>
            <w:r w:rsidRPr="00E45CA6">
              <w:rPr>
                <w:rFonts w:cs="Arial"/>
                <w:sz w:val="18"/>
                <w:szCs w:val="18"/>
              </w:rPr>
              <w:t>Ukupna glavnica</w:t>
            </w:r>
          </w:p>
        </w:tc>
        <w:tc>
          <w:tcPr>
            <w:tcW w:w="1332" w:type="dxa"/>
            <w:tcBorders>
              <w:top w:val="nil"/>
              <w:left w:val="nil"/>
              <w:bottom w:val="nil"/>
              <w:right w:val="nil"/>
            </w:tcBorders>
            <w:shd w:val="clear" w:color="auto" w:fill="auto"/>
            <w:noWrap/>
            <w:vAlign w:val="bottom"/>
          </w:tcPr>
          <w:p w14:paraId="42E21D66" w14:textId="0CABC48F" w:rsidR="00535F46" w:rsidRPr="00E45CA6" w:rsidRDefault="00F87602" w:rsidP="00535F46">
            <w:pPr>
              <w:spacing w:after="0" w:line="240" w:lineRule="exact"/>
              <w:jc w:val="right"/>
              <w:rPr>
                <w:rFonts w:cs="Arial"/>
                <w:sz w:val="18"/>
                <w:szCs w:val="18"/>
              </w:rPr>
            </w:pPr>
            <w:r>
              <w:rPr>
                <w:rFonts w:cs="Arial"/>
                <w:sz w:val="18"/>
                <w:szCs w:val="18"/>
              </w:rPr>
              <w:t>10.037.980</w:t>
            </w:r>
          </w:p>
        </w:tc>
        <w:tc>
          <w:tcPr>
            <w:tcW w:w="1503" w:type="dxa"/>
            <w:tcBorders>
              <w:top w:val="nil"/>
              <w:left w:val="nil"/>
              <w:bottom w:val="nil"/>
              <w:right w:val="nil"/>
            </w:tcBorders>
            <w:shd w:val="clear" w:color="auto" w:fill="auto"/>
            <w:noWrap/>
            <w:vAlign w:val="bottom"/>
          </w:tcPr>
          <w:p w14:paraId="778E97E3" w14:textId="34A0665C" w:rsidR="00535F46" w:rsidRPr="00E45CA6" w:rsidRDefault="00F87602" w:rsidP="00535F46">
            <w:pPr>
              <w:spacing w:after="0" w:line="240" w:lineRule="exact"/>
              <w:jc w:val="right"/>
              <w:rPr>
                <w:rFonts w:cs="Arial"/>
                <w:sz w:val="18"/>
                <w:szCs w:val="18"/>
              </w:rPr>
            </w:pPr>
            <w:r>
              <w:rPr>
                <w:rFonts w:cs="Arial"/>
                <w:sz w:val="18"/>
                <w:szCs w:val="18"/>
              </w:rPr>
              <w:t>3.119</w:t>
            </w:r>
          </w:p>
        </w:tc>
        <w:tc>
          <w:tcPr>
            <w:tcW w:w="1162" w:type="dxa"/>
            <w:tcBorders>
              <w:top w:val="nil"/>
              <w:left w:val="nil"/>
              <w:bottom w:val="nil"/>
              <w:right w:val="nil"/>
            </w:tcBorders>
            <w:shd w:val="clear" w:color="auto" w:fill="auto"/>
            <w:noWrap/>
            <w:vAlign w:val="bottom"/>
          </w:tcPr>
          <w:p w14:paraId="3465C465" w14:textId="0883AB0C" w:rsidR="00535F46" w:rsidRPr="00E45CA6" w:rsidRDefault="00F87602" w:rsidP="00535F46">
            <w:pPr>
              <w:spacing w:after="0" w:line="240" w:lineRule="exact"/>
              <w:jc w:val="right"/>
              <w:rPr>
                <w:rFonts w:cs="Arial"/>
                <w:sz w:val="18"/>
                <w:szCs w:val="18"/>
              </w:rPr>
            </w:pPr>
            <w:r>
              <w:rPr>
                <w:rFonts w:cs="Arial"/>
                <w:sz w:val="18"/>
                <w:szCs w:val="18"/>
              </w:rPr>
              <w:t>436</w:t>
            </w:r>
          </w:p>
        </w:tc>
        <w:tc>
          <w:tcPr>
            <w:tcW w:w="1332" w:type="dxa"/>
            <w:tcBorders>
              <w:top w:val="nil"/>
              <w:left w:val="nil"/>
              <w:bottom w:val="nil"/>
              <w:right w:val="nil"/>
            </w:tcBorders>
            <w:shd w:val="clear" w:color="auto" w:fill="auto"/>
            <w:noWrap/>
            <w:vAlign w:val="bottom"/>
          </w:tcPr>
          <w:p w14:paraId="3F2C23F1" w14:textId="3E4593BF" w:rsidR="00535F46" w:rsidRPr="00E45CA6" w:rsidRDefault="00535F46" w:rsidP="00535F46">
            <w:pPr>
              <w:spacing w:after="0" w:line="240" w:lineRule="exact"/>
              <w:jc w:val="right"/>
              <w:rPr>
                <w:rFonts w:cs="Arial"/>
                <w:sz w:val="18"/>
                <w:szCs w:val="18"/>
              </w:rPr>
            </w:pPr>
            <w:r w:rsidRPr="00E45CA6">
              <w:rPr>
                <w:rFonts w:cs="Arial"/>
                <w:sz w:val="18"/>
                <w:szCs w:val="18"/>
              </w:rPr>
              <w:t>1.17</w:t>
            </w:r>
            <w:r w:rsidR="00F87602">
              <w:rPr>
                <w:rFonts w:cs="Arial"/>
                <w:sz w:val="18"/>
                <w:szCs w:val="18"/>
              </w:rPr>
              <w:t>3</w:t>
            </w:r>
          </w:p>
        </w:tc>
        <w:tc>
          <w:tcPr>
            <w:tcW w:w="1333" w:type="dxa"/>
            <w:tcBorders>
              <w:top w:val="nil"/>
              <w:left w:val="nil"/>
              <w:bottom w:val="nil"/>
              <w:right w:val="nil"/>
            </w:tcBorders>
            <w:shd w:val="clear" w:color="auto" w:fill="auto"/>
            <w:noWrap/>
            <w:vAlign w:val="bottom"/>
          </w:tcPr>
          <w:p w14:paraId="1B6BB8CF" w14:textId="0E41DC8F" w:rsidR="00535F46" w:rsidRPr="00E45CA6" w:rsidRDefault="00F87602" w:rsidP="00535F46">
            <w:pPr>
              <w:spacing w:after="0" w:line="240" w:lineRule="exact"/>
              <w:jc w:val="right"/>
              <w:rPr>
                <w:rFonts w:cs="Arial"/>
                <w:sz w:val="18"/>
                <w:szCs w:val="18"/>
              </w:rPr>
            </w:pPr>
            <w:r>
              <w:rPr>
                <w:rFonts w:cs="Arial"/>
                <w:sz w:val="18"/>
                <w:szCs w:val="18"/>
              </w:rPr>
              <w:t>10.042.708</w:t>
            </w:r>
          </w:p>
        </w:tc>
      </w:tr>
      <w:tr w:rsidR="00535F46" w:rsidRPr="00E45CA6" w14:paraId="7F1C9749" w14:textId="77777777" w:rsidTr="00F1130C">
        <w:trPr>
          <w:trHeight w:val="315"/>
        </w:trPr>
        <w:tc>
          <w:tcPr>
            <w:tcW w:w="3085" w:type="dxa"/>
            <w:tcBorders>
              <w:left w:val="nil"/>
              <w:right w:val="nil"/>
            </w:tcBorders>
            <w:shd w:val="clear" w:color="auto" w:fill="auto"/>
            <w:vAlign w:val="bottom"/>
          </w:tcPr>
          <w:p w14:paraId="4DF7CC31" w14:textId="77777777" w:rsidR="00535F46" w:rsidRPr="00E45CA6" w:rsidRDefault="00535F46" w:rsidP="00535F46">
            <w:pPr>
              <w:spacing w:after="0" w:line="240" w:lineRule="exact"/>
              <w:rPr>
                <w:rFonts w:cs="Arial"/>
                <w:b/>
                <w:bCs/>
                <w:sz w:val="18"/>
                <w:szCs w:val="18"/>
              </w:rPr>
            </w:pPr>
            <w:r w:rsidRPr="00E45CA6">
              <w:rPr>
                <w:rFonts w:cs="Arial"/>
                <w:b/>
                <w:bCs/>
                <w:sz w:val="18"/>
                <w:szCs w:val="18"/>
              </w:rPr>
              <w:t>Ukupne obveze i glavnica</w:t>
            </w:r>
          </w:p>
        </w:tc>
        <w:tc>
          <w:tcPr>
            <w:tcW w:w="1332" w:type="dxa"/>
            <w:tcBorders>
              <w:top w:val="single" w:sz="4" w:space="0" w:color="auto"/>
              <w:left w:val="nil"/>
              <w:bottom w:val="single" w:sz="8" w:space="0" w:color="auto"/>
              <w:right w:val="nil"/>
            </w:tcBorders>
            <w:shd w:val="clear" w:color="auto" w:fill="auto"/>
            <w:noWrap/>
            <w:vAlign w:val="bottom"/>
          </w:tcPr>
          <w:p w14:paraId="36614FBD" w14:textId="0FB70915" w:rsidR="00535F46" w:rsidRPr="00E45CA6" w:rsidRDefault="00F87602" w:rsidP="00535F46">
            <w:pPr>
              <w:spacing w:after="0" w:line="240" w:lineRule="exact"/>
              <w:jc w:val="right"/>
              <w:rPr>
                <w:rFonts w:cs="Arial"/>
                <w:sz w:val="18"/>
                <w:szCs w:val="18"/>
              </w:rPr>
            </w:pPr>
            <w:r>
              <w:rPr>
                <w:rFonts w:cs="Arial"/>
                <w:b/>
                <w:sz w:val="18"/>
                <w:szCs w:val="18"/>
              </w:rPr>
              <w:t>27.374.916</w:t>
            </w:r>
          </w:p>
        </w:tc>
        <w:tc>
          <w:tcPr>
            <w:tcW w:w="1503" w:type="dxa"/>
            <w:tcBorders>
              <w:top w:val="single" w:sz="4" w:space="0" w:color="auto"/>
              <w:left w:val="nil"/>
              <w:bottom w:val="single" w:sz="8" w:space="0" w:color="auto"/>
              <w:right w:val="nil"/>
            </w:tcBorders>
            <w:shd w:val="clear" w:color="auto" w:fill="auto"/>
            <w:noWrap/>
            <w:vAlign w:val="bottom"/>
          </w:tcPr>
          <w:p w14:paraId="4E3CDAA1" w14:textId="7BE427C4" w:rsidR="00535F46" w:rsidRPr="00E45CA6" w:rsidRDefault="00F87602" w:rsidP="00535F46">
            <w:pPr>
              <w:spacing w:after="0" w:line="240" w:lineRule="exact"/>
              <w:jc w:val="right"/>
              <w:rPr>
                <w:rFonts w:cs="Arial"/>
                <w:sz w:val="18"/>
                <w:szCs w:val="18"/>
              </w:rPr>
            </w:pPr>
            <w:r>
              <w:rPr>
                <w:rFonts w:cs="Arial"/>
                <w:b/>
                <w:sz w:val="18"/>
                <w:szCs w:val="18"/>
              </w:rPr>
              <w:t>14.168</w:t>
            </w:r>
          </w:p>
        </w:tc>
        <w:tc>
          <w:tcPr>
            <w:tcW w:w="1162" w:type="dxa"/>
            <w:tcBorders>
              <w:top w:val="single" w:sz="4" w:space="0" w:color="auto"/>
              <w:left w:val="nil"/>
              <w:bottom w:val="single" w:sz="8" w:space="0" w:color="auto"/>
              <w:right w:val="nil"/>
            </w:tcBorders>
            <w:shd w:val="clear" w:color="auto" w:fill="auto"/>
            <w:noWrap/>
            <w:vAlign w:val="bottom"/>
          </w:tcPr>
          <w:p w14:paraId="0F9C2B95" w14:textId="7AD692CB" w:rsidR="00535F46" w:rsidRPr="00E45CA6" w:rsidRDefault="00F87602" w:rsidP="00535F46">
            <w:pPr>
              <w:spacing w:after="0" w:line="240" w:lineRule="exact"/>
              <w:jc w:val="right"/>
              <w:rPr>
                <w:rFonts w:cs="Arial"/>
                <w:sz w:val="18"/>
                <w:szCs w:val="18"/>
              </w:rPr>
            </w:pPr>
            <w:r>
              <w:rPr>
                <w:rFonts w:cs="Arial"/>
                <w:b/>
                <w:sz w:val="18"/>
                <w:szCs w:val="18"/>
              </w:rPr>
              <w:t>595</w:t>
            </w:r>
          </w:p>
        </w:tc>
        <w:tc>
          <w:tcPr>
            <w:tcW w:w="1332" w:type="dxa"/>
            <w:tcBorders>
              <w:top w:val="single" w:sz="4" w:space="0" w:color="auto"/>
              <w:left w:val="nil"/>
              <w:bottom w:val="single" w:sz="8" w:space="0" w:color="auto"/>
              <w:right w:val="nil"/>
            </w:tcBorders>
            <w:shd w:val="clear" w:color="auto" w:fill="auto"/>
            <w:noWrap/>
            <w:vAlign w:val="bottom"/>
          </w:tcPr>
          <w:p w14:paraId="7540A57A" w14:textId="14CA7B0C" w:rsidR="00535F46" w:rsidRPr="00E45CA6" w:rsidRDefault="00535F46" w:rsidP="00535F46">
            <w:pPr>
              <w:spacing w:after="0" w:line="240" w:lineRule="exact"/>
              <w:jc w:val="right"/>
              <w:rPr>
                <w:rFonts w:cs="Arial"/>
                <w:sz w:val="18"/>
                <w:szCs w:val="18"/>
              </w:rPr>
            </w:pPr>
            <w:r w:rsidRPr="00E45CA6">
              <w:rPr>
                <w:rFonts w:cs="Arial"/>
                <w:b/>
                <w:sz w:val="18"/>
                <w:szCs w:val="18"/>
              </w:rPr>
              <w:t>1.14</w:t>
            </w:r>
            <w:r w:rsidR="00F87602">
              <w:rPr>
                <w:rFonts w:cs="Arial"/>
                <w:b/>
                <w:sz w:val="18"/>
                <w:szCs w:val="18"/>
              </w:rPr>
              <w:t>3</w:t>
            </w:r>
          </w:p>
        </w:tc>
        <w:tc>
          <w:tcPr>
            <w:tcW w:w="1333" w:type="dxa"/>
            <w:tcBorders>
              <w:top w:val="single" w:sz="4" w:space="0" w:color="auto"/>
              <w:left w:val="nil"/>
              <w:bottom w:val="single" w:sz="8" w:space="0" w:color="auto"/>
              <w:right w:val="nil"/>
            </w:tcBorders>
            <w:shd w:val="clear" w:color="auto" w:fill="auto"/>
            <w:noWrap/>
            <w:vAlign w:val="bottom"/>
          </w:tcPr>
          <w:p w14:paraId="4C193BEB" w14:textId="36DF343B" w:rsidR="00535F46" w:rsidRPr="00E45CA6" w:rsidRDefault="00F87602" w:rsidP="00535F46">
            <w:pPr>
              <w:spacing w:after="0" w:line="240" w:lineRule="exact"/>
              <w:jc w:val="right"/>
              <w:rPr>
                <w:rFonts w:cs="Arial"/>
                <w:sz w:val="18"/>
                <w:szCs w:val="18"/>
              </w:rPr>
            </w:pPr>
            <w:r>
              <w:rPr>
                <w:rFonts w:cs="Arial"/>
                <w:b/>
                <w:sz w:val="18"/>
                <w:szCs w:val="18"/>
              </w:rPr>
              <w:t>27.390.822</w:t>
            </w:r>
          </w:p>
        </w:tc>
      </w:tr>
    </w:tbl>
    <w:p w14:paraId="06E4C176" w14:textId="77777777" w:rsidR="00CC445C" w:rsidRDefault="00CC445C" w:rsidP="002445F5">
      <w:pPr>
        <w:spacing w:after="0" w:line="240" w:lineRule="auto"/>
        <w:jc w:val="both"/>
        <w:rPr>
          <w:rFonts w:eastAsia="Times New Roman" w:cs="Calibri"/>
          <w:sz w:val="24"/>
          <w:szCs w:val="24"/>
          <w:lang w:eastAsia="hr-HR"/>
        </w:rPr>
      </w:pPr>
    </w:p>
    <w:p w14:paraId="10DE7BC0" w14:textId="77777777" w:rsidR="00B404A2" w:rsidRPr="00CA37C8" w:rsidRDefault="00B404A2" w:rsidP="002445F5">
      <w:pPr>
        <w:spacing w:after="0" w:line="240" w:lineRule="auto"/>
        <w:jc w:val="both"/>
        <w:rPr>
          <w:rFonts w:eastAsia="Times New Roman" w:cs="Calibri"/>
          <w:sz w:val="24"/>
          <w:szCs w:val="24"/>
          <w:lang w:eastAsia="hr-HR"/>
        </w:rPr>
      </w:pPr>
    </w:p>
    <w:p w14:paraId="423E2AD9" w14:textId="77777777" w:rsidR="003B0BEE" w:rsidRPr="00ED4731" w:rsidRDefault="003B0BEE">
      <w:pPr>
        <w:spacing w:after="0" w:line="240" w:lineRule="auto"/>
        <w:jc w:val="both"/>
        <w:rPr>
          <w:rFonts w:eastAsia="Times New Roman" w:cs="Arial"/>
        </w:rPr>
      </w:pPr>
      <w:r w:rsidRPr="00ED4731">
        <w:rPr>
          <w:rFonts w:eastAsia="Times New Roman" w:cs="Arial"/>
        </w:rPr>
        <w:t>Međusobni odnosi između članica Grupe iskazani su u koloni „Neraspoređeno“.</w:t>
      </w:r>
    </w:p>
    <w:p w14:paraId="65FEA637" w14:textId="77777777" w:rsidR="00261563" w:rsidRPr="00CA37C8" w:rsidRDefault="00261563">
      <w:pPr>
        <w:spacing w:after="0" w:line="240" w:lineRule="auto"/>
        <w:jc w:val="both"/>
        <w:rPr>
          <w:rFonts w:eastAsia="Times New Roman" w:cs="Arial"/>
          <w:sz w:val="24"/>
          <w:szCs w:val="24"/>
        </w:rPr>
      </w:pPr>
    </w:p>
    <w:p w14:paraId="753B6E95" w14:textId="77777777" w:rsidR="00261563" w:rsidRPr="00CA37C8" w:rsidRDefault="00261563">
      <w:pPr>
        <w:spacing w:after="0" w:line="240" w:lineRule="auto"/>
        <w:jc w:val="both"/>
        <w:rPr>
          <w:rFonts w:eastAsia="Times New Roman" w:cs="Arial"/>
          <w:sz w:val="24"/>
          <w:szCs w:val="24"/>
        </w:rPr>
      </w:pPr>
    </w:p>
    <w:p w14:paraId="040E4BD5" w14:textId="77777777" w:rsidR="00DE00A1" w:rsidRDefault="00DE00A1">
      <w:pPr>
        <w:spacing w:after="0" w:line="240" w:lineRule="auto"/>
        <w:jc w:val="both"/>
        <w:rPr>
          <w:rFonts w:eastAsia="Times New Roman" w:cs="Arial"/>
          <w:sz w:val="24"/>
          <w:szCs w:val="24"/>
        </w:rPr>
        <w:sectPr w:rsidR="00DE00A1" w:rsidSect="002753EB">
          <w:footerReference w:type="first" r:id="rId134"/>
          <w:pgSz w:w="11906" w:h="16838" w:code="9"/>
          <w:pgMar w:top="1418" w:right="1418" w:bottom="595" w:left="1134" w:header="709" w:footer="709" w:gutter="0"/>
          <w:cols w:space="708"/>
          <w:titlePg/>
          <w:docGrid w:linePitch="360"/>
        </w:sectPr>
      </w:pPr>
    </w:p>
    <w:p w14:paraId="337FEE0A" w14:textId="77777777" w:rsidR="00261563" w:rsidRPr="002A33EB" w:rsidRDefault="00261563" w:rsidP="002A33EB">
      <w:pPr>
        <w:spacing w:after="0" w:line="240" w:lineRule="auto"/>
        <w:jc w:val="both"/>
        <w:rPr>
          <w:rFonts w:eastAsia="Times New Roman" w:cs="Arial"/>
        </w:rPr>
      </w:pPr>
    </w:p>
    <w:p w14:paraId="4DDBD04C" w14:textId="77777777" w:rsidR="002A33EB" w:rsidRDefault="002A33EB" w:rsidP="00682ABB">
      <w:pPr>
        <w:pStyle w:val="T1"/>
        <w:spacing w:before="0" w:after="0" w:line="240" w:lineRule="auto"/>
        <w:ind w:left="567" w:hanging="567"/>
        <w:rPr>
          <w:rFonts w:asciiTheme="minorHAnsi" w:hAnsiTheme="minorHAnsi" w:cs="Arial"/>
          <w:spacing w:val="-3"/>
          <w:sz w:val="22"/>
          <w:szCs w:val="22"/>
          <w:lang w:val="hr-HR"/>
        </w:rPr>
      </w:pPr>
      <w:r w:rsidRPr="002A33EB">
        <w:rPr>
          <w:rFonts w:asciiTheme="minorHAnsi" w:hAnsiTheme="minorHAnsi" w:cs="Arial"/>
          <w:spacing w:val="-3"/>
          <w:sz w:val="22"/>
          <w:szCs w:val="22"/>
          <w:lang w:val="hr-HR"/>
        </w:rPr>
        <w:t>1</w:t>
      </w:r>
      <w:r w:rsidR="00C31C6A">
        <w:rPr>
          <w:rFonts w:asciiTheme="minorHAnsi" w:hAnsiTheme="minorHAnsi" w:cs="Arial"/>
          <w:spacing w:val="-3"/>
          <w:sz w:val="22"/>
          <w:szCs w:val="22"/>
          <w:lang w:val="hr-HR"/>
        </w:rPr>
        <w:t>9</w:t>
      </w:r>
      <w:r w:rsidRPr="002A33EB">
        <w:rPr>
          <w:rFonts w:asciiTheme="minorHAnsi" w:hAnsiTheme="minorHAnsi" w:cs="Arial"/>
          <w:spacing w:val="-3"/>
          <w:sz w:val="22"/>
          <w:szCs w:val="22"/>
          <w:lang w:val="hr-HR"/>
        </w:rPr>
        <w:t>.</w:t>
      </w:r>
      <w:r w:rsidRPr="002A33EB">
        <w:rPr>
          <w:rFonts w:asciiTheme="minorHAnsi" w:hAnsiTheme="minorHAnsi" w:cs="Arial"/>
          <w:spacing w:val="-3"/>
          <w:sz w:val="22"/>
          <w:szCs w:val="22"/>
          <w:lang w:val="hr-HR"/>
        </w:rPr>
        <w:tab/>
        <w:t>Upravljanje kapitalom</w:t>
      </w:r>
    </w:p>
    <w:p w14:paraId="04D2C536" w14:textId="77777777" w:rsidR="00BD197E" w:rsidRPr="002A33EB" w:rsidRDefault="00BD197E" w:rsidP="002A33EB">
      <w:pPr>
        <w:pStyle w:val="T1"/>
        <w:spacing w:before="0" w:after="0" w:line="240" w:lineRule="auto"/>
        <w:ind w:left="709" w:hanging="709"/>
        <w:rPr>
          <w:rFonts w:asciiTheme="minorHAnsi" w:hAnsiTheme="minorHAnsi" w:cs="Arial"/>
          <w:spacing w:val="-3"/>
          <w:sz w:val="22"/>
          <w:szCs w:val="22"/>
          <w:lang w:val="hr-HR"/>
        </w:rPr>
      </w:pPr>
    </w:p>
    <w:p w14:paraId="24E454AD" w14:textId="77777777" w:rsidR="002A33EB" w:rsidRDefault="002A33EB" w:rsidP="002A33EB">
      <w:pPr>
        <w:pStyle w:val="T1"/>
        <w:tabs>
          <w:tab w:val="right" w:pos="9781"/>
        </w:tabs>
        <w:spacing w:before="0" w:after="0" w:line="240" w:lineRule="auto"/>
        <w:rPr>
          <w:rFonts w:asciiTheme="minorHAnsi" w:hAnsiTheme="minorHAnsi" w:cs="Arial"/>
          <w:b w:val="0"/>
          <w:bCs w:val="0"/>
          <w:sz w:val="22"/>
          <w:szCs w:val="22"/>
          <w:lang w:val="hr-HR"/>
        </w:rPr>
      </w:pPr>
      <w:r w:rsidRPr="002A33EB">
        <w:rPr>
          <w:rFonts w:asciiTheme="minorHAnsi" w:hAnsiTheme="minorHAnsi" w:cs="Arial"/>
          <w:b w:val="0"/>
          <w:bCs w:val="0"/>
          <w:sz w:val="22"/>
          <w:szCs w:val="22"/>
          <w:lang w:val="hr-HR"/>
        </w:rPr>
        <w:t>Osnovni ciljevi Banke u upravljanju kapitalom su osiguravanje pretpostavki neograničenosti poslovanja („</w:t>
      </w:r>
      <w:proofErr w:type="spellStart"/>
      <w:r w:rsidRPr="002A33EB">
        <w:rPr>
          <w:rFonts w:asciiTheme="minorHAnsi" w:hAnsiTheme="minorHAnsi" w:cs="Arial"/>
          <w:b w:val="0"/>
          <w:bCs w:val="0"/>
          <w:sz w:val="22"/>
          <w:szCs w:val="22"/>
          <w:lang w:val="hr-HR"/>
        </w:rPr>
        <w:t>going-concern</w:t>
      </w:r>
      <w:proofErr w:type="spellEnd"/>
      <w:r w:rsidRPr="002A33EB">
        <w:rPr>
          <w:rFonts w:asciiTheme="minorHAnsi" w:hAnsiTheme="minorHAnsi" w:cs="Arial"/>
          <w:b w:val="0"/>
          <w:bCs w:val="0"/>
          <w:sz w:val="22"/>
          <w:szCs w:val="22"/>
          <w:lang w:val="hr-HR"/>
        </w:rPr>
        <w:t>“) i poštivanja regulatornih i ugovornih zahtjeva od strane vjerovnika o održavanju adekvatnosti kapitala.</w:t>
      </w:r>
    </w:p>
    <w:p w14:paraId="66914331" w14:textId="77777777" w:rsidR="00BD197E" w:rsidRPr="002A33EB" w:rsidRDefault="00BD197E" w:rsidP="002A33EB">
      <w:pPr>
        <w:pStyle w:val="T1"/>
        <w:tabs>
          <w:tab w:val="right" w:pos="9781"/>
        </w:tabs>
        <w:spacing w:before="0" w:after="0" w:line="240" w:lineRule="auto"/>
        <w:rPr>
          <w:rFonts w:asciiTheme="minorHAnsi" w:hAnsiTheme="minorHAnsi" w:cs="Arial"/>
          <w:b w:val="0"/>
          <w:bCs w:val="0"/>
          <w:sz w:val="22"/>
          <w:szCs w:val="22"/>
          <w:lang w:val="hr-HR"/>
        </w:rPr>
      </w:pPr>
    </w:p>
    <w:p w14:paraId="6DCBA08A" w14:textId="77777777" w:rsidR="002A33EB" w:rsidRDefault="002A33EB" w:rsidP="002A33EB">
      <w:pPr>
        <w:pStyle w:val="T1"/>
        <w:tabs>
          <w:tab w:val="right" w:pos="9781"/>
        </w:tabs>
        <w:spacing w:before="0" w:after="0" w:line="240" w:lineRule="auto"/>
        <w:rPr>
          <w:rFonts w:asciiTheme="minorHAnsi" w:hAnsiTheme="minorHAnsi" w:cs="Arial"/>
          <w:b w:val="0"/>
          <w:bCs w:val="0"/>
          <w:sz w:val="22"/>
          <w:szCs w:val="22"/>
          <w:lang w:val="hr-HR"/>
        </w:rPr>
      </w:pPr>
      <w:r w:rsidRPr="002A33EB">
        <w:rPr>
          <w:rFonts w:asciiTheme="minorHAnsi" w:hAnsiTheme="minorHAnsi" w:cs="Arial"/>
          <w:b w:val="0"/>
          <w:bCs w:val="0"/>
          <w:sz w:val="22"/>
          <w:szCs w:val="22"/>
          <w:lang w:val="hr-HR"/>
        </w:rPr>
        <w:t>Banka je odredila regulatorni kapital kao kategoriju kapitala kojom upravlja.</w:t>
      </w:r>
    </w:p>
    <w:p w14:paraId="37DAC3FF" w14:textId="77777777" w:rsidR="00BD197E" w:rsidRPr="002A33EB" w:rsidRDefault="00BD197E" w:rsidP="002A33EB">
      <w:pPr>
        <w:pStyle w:val="T1"/>
        <w:tabs>
          <w:tab w:val="right" w:pos="9781"/>
        </w:tabs>
        <w:spacing w:before="0" w:after="0" w:line="240" w:lineRule="auto"/>
        <w:rPr>
          <w:rFonts w:asciiTheme="minorHAnsi" w:hAnsiTheme="minorHAnsi" w:cs="Arial"/>
          <w:b w:val="0"/>
          <w:bCs w:val="0"/>
          <w:sz w:val="22"/>
          <w:szCs w:val="22"/>
          <w:lang w:val="hr-HR"/>
        </w:rPr>
      </w:pPr>
    </w:p>
    <w:p w14:paraId="5E9DDCD6" w14:textId="77777777" w:rsidR="002A33EB" w:rsidRDefault="002A33EB" w:rsidP="002A33EB">
      <w:pPr>
        <w:pStyle w:val="T1"/>
        <w:tabs>
          <w:tab w:val="right" w:pos="9781"/>
        </w:tabs>
        <w:spacing w:before="0" w:after="0" w:line="240" w:lineRule="auto"/>
        <w:rPr>
          <w:rFonts w:asciiTheme="minorHAnsi" w:hAnsiTheme="minorHAnsi" w:cs="Arial"/>
          <w:b w:val="0"/>
          <w:bCs w:val="0"/>
          <w:sz w:val="22"/>
          <w:szCs w:val="22"/>
          <w:lang w:val="hr-HR"/>
        </w:rPr>
      </w:pPr>
      <w:r w:rsidRPr="002A33EB">
        <w:rPr>
          <w:rFonts w:asciiTheme="minorHAnsi" w:hAnsiTheme="minorHAnsi" w:cs="Arial"/>
          <w:b w:val="0"/>
          <w:bCs w:val="0"/>
          <w:sz w:val="22"/>
          <w:szCs w:val="22"/>
          <w:lang w:val="hr-HR"/>
        </w:rPr>
        <w:t xml:space="preserve">Regulatorni kapital u svakome trenutku mora biti najmanje na razini osnivačkog kapitala, odnosno na razini koja osigurava stopu adekvatnosti kapitala na razini od najmanje </w:t>
      </w:r>
      <w:r w:rsidR="00C42B11" w:rsidRPr="00F1130C">
        <w:rPr>
          <w:rFonts w:asciiTheme="minorHAnsi" w:hAnsiTheme="minorHAnsi" w:cs="Arial"/>
          <w:b w:val="0"/>
          <w:bCs w:val="0"/>
          <w:sz w:val="22"/>
          <w:szCs w:val="22"/>
          <w:lang w:val="hr-HR"/>
        </w:rPr>
        <w:t>8</w:t>
      </w:r>
      <w:r w:rsidRPr="00F1130C">
        <w:rPr>
          <w:rFonts w:asciiTheme="minorHAnsi" w:hAnsiTheme="minorHAnsi" w:cs="Arial"/>
          <w:b w:val="0"/>
          <w:bCs w:val="0"/>
          <w:sz w:val="22"/>
          <w:szCs w:val="22"/>
          <w:lang w:val="hr-HR"/>
        </w:rPr>
        <w:t>%</w:t>
      </w:r>
      <w:r w:rsidRPr="00DA1B61">
        <w:rPr>
          <w:rFonts w:asciiTheme="minorHAnsi" w:hAnsiTheme="minorHAnsi" w:cs="Arial"/>
          <w:b w:val="0"/>
          <w:bCs w:val="0"/>
          <w:sz w:val="22"/>
          <w:szCs w:val="22"/>
          <w:lang w:val="hr-HR"/>
        </w:rPr>
        <w:t xml:space="preserve"> te</w:t>
      </w:r>
      <w:r w:rsidRPr="002A33EB">
        <w:rPr>
          <w:rFonts w:asciiTheme="minorHAnsi" w:hAnsiTheme="minorHAnsi" w:cs="Arial"/>
          <w:b w:val="0"/>
          <w:bCs w:val="0"/>
          <w:sz w:val="22"/>
          <w:szCs w:val="22"/>
          <w:lang w:val="hr-HR"/>
        </w:rPr>
        <w:t xml:space="preserve"> dovoljnoj za pokriće kapitalnih zahtjeva za rizike iz poslovanja.</w:t>
      </w:r>
    </w:p>
    <w:p w14:paraId="692DD75B" w14:textId="77777777" w:rsidR="00BD197E" w:rsidRPr="002A33EB" w:rsidRDefault="00BD197E" w:rsidP="002A33EB">
      <w:pPr>
        <w:pStyle w:val="T1"/>
        <w:tabs>
          <w:tab w:val="right" w:pos="9781"/>
        </w:tabs>
        <w:spacing w:before="0" w:after="0" w:line="240" w:lineRule="auto"/>
        <w:rPr>
          <w:rFonts w:asciiTheme="minorHAnsi" w:hAnsiTheme="minorHAnsi" w:cs="Arial"/>
          <w:b w:val="0"/>
          <w:bCs w:val="0"/>
          <w:sz w:val="22"/>
          <w:szCs w:val="22"/>
          <w:lang w:val="hr-HR"/>
        </w:rPr>
      </w:pPr>
    </w:p>
    <w:p w14:paraId="1EABA131" w14:textId="72C6D6AD" w:rsidR="002A33EB" w:rsidRDefault="002A33EB" w:rsidP="002A33EB">
      <w:pPr>
        <w:pStyle w:val="T1"/>
        <w:tabs>
          <w:tab w:val="right" w:pos="9781"/>
        </w:tabs>
        <w:spacing w:before="0" w:after="0" w:line="240" w:lineRule="auto"/>
        <w:rPr>
          <w:rFonts w:asciiTheme="minorHAnsi" w:hAnsiTheme="minorHAnsi" w:cs="Arial"/>
          <w:b w:val="0"/>
          <w:bCs w:val="0"/>
          <w:sz w:val="22"/>
          <w:szCs w:val="22"/>
          <w:lang w:val="hr-HR"/>
        </w:rPr>
      </w:pPr>
      <w:r w:rsidRPr="002A33EB">
        <w:rPr>
          <w:rFonts w:asciiTheme="minorHAnsi" w:hAnsiTheme="minorHAnsi" w:cs="Arial"/>
          <w:b w:val="0"/>
          <w:bCs w:val="0"/>
          <w:sz w:val="22"/>
          <w:szCs w:val="22"/>
          <w:lang w:val="hr-HR"/>
        </w:rPr>
        <w:t>Regulatorni kapital čine primarni kapital (</w:t>
      </w:r>
      <w:proofErr w:type="spellStart"/>
      <w:r w:rsidRPr="002A33EB">
        <w:rPr>
          <w:rFonts w:asciiTheme="minorHAnsi" w:hAnsiTheme="minorHAnsi" w:cs="Arial"/>
          <w:b w:val="0"/>
          <w:bCs w:val="0"/>
          <w:sz w:val="22"/>
          <w:szCs w:val="22"/>
          <w:lang w:val="hr-HR"/>
        </w:rPr>
        <w:t>Tier</w:t>
      </w:r>
      <w:proofErr w:type="spellEnd"/>
      <w:r w:rsidRPr="002A33EB">
        <w:rPr>
          <w:rFonts w:asciiTheme="minorHAnsi" w:hAnsiTheme="minorHAnsi" w:cs="Arial"/>
          <w:b w:val="0"/>
          <w:bCs w:val="0"/>
          <w:sz w:val="22"/>
          <w:szCs w:val="22"/>
          <w:lang w:val="hr-HR"/>
        </w:rPr>
        <w:t xml:space="preserve"> 1) i dopunski kapital (</w:t>
      </w:r>
      <w:proofErr w:type="spellStart"/>
      <w:r w:rsidRPr="002A33EB">
        <w:rPr>
          <w:rFonts w:asciiTheme="minorHAnsi" w:hAnsiTheme="minorHAnsi" w:cs="Arial"/>
          <w:b w:val="0"/>
          <w:bCs w:val="0"/>
          <w:sz w:val="22"/>
          <w:szCs w:val="22"/>
          <w:lang w:val="hr-HR"/>
        </w:rPr>
        <w:t>Tier</w:t>
      </w:r>
      <w:proofErr w:type="spellEnd"/>
      <w:r w:rsidRPr="002A33EB">
        <w:rPr>
          <w:rFonts w:asciiTheme="minorHAnsi" w:hAnsiTheme="minorHAnsi" w:cs="Arial"/>
          <w:b w:val="0"/>
          <w:bCs w:val="0"/>
          <w:sz w:val="22"/>
          <w:szCs w:val="22"/>
          <w:lang w:val="hr-HR"/>
        </w:rPr>
        <w:t xml:space="preserve"> 2)</w:t>
      </w:r>
      <w:r w:rsidR="00491B2D">
        <w:rPr>
          <w:rFonts w:asciiTheme="minorHAnsi" w:hAnsiTheme="minorHAnsi" w:cs="Arial"/>
          <w:b w:val="0"/>
          <w:bCs w:val="0"/>
          <w:sz w:val="22"/>
          <w:szCs w:val="22"/>
          <w:lang w:val="hr-HR"/>
        </w:rPr>
        <w:t>.</w:t>
      </w:r>
    </w:p>
    <w:p w14:paraId="39539431" w14:textId="77777777" w:rsidR="00BD197E" w:rsidRPr="002A33EB" w:rsidRDefault="00BD197E" w:rsidP="002A33EB">
      <w:pPr>
        <w:pStyle w:val="T1"/>
        <w:tabs>
          <w:tab w:val="right" w:pos="9781"/>
        </w:tabs>
        <w:spacing w:before="0" w:after="0" w:line="240" w:lineRule="auto"/>
        <w:rPr>
          <w:rFonts w:asciiTheme="minorHAnsi" w:hAnsiTheme="minorHAnsi" w:cs="Arial"/>
          <w:b w:val="0"/>
          <w:bCs w:val="0"/>
          <w:sz w:val="22"/>
          <w:szCs w:val="22"/>
          <w:lang w:val="hr-HR"/>
        </w:rPr>
      </w:pPr>
    </w:p>
    <w:p w14:paraId="5668E8E7" w14:textId="77777777" w:rsidR="002A33EB" w:rsidRPr="002A33EB" w:rsidRDefault="002A33EB" w:rsidP="002A33EB">
      <w:pPr>
        <w:pStyle w:val="T1"/>
        <w:tabs>
          <w:tab w:val="right" w:pos="9781"/>
        </w:tabs>
        <w:spacing w:before="0" w:after="0" w:line="240" w:lineRule="auto"/>
        <w:rPr>
          <w:rFonts w:asciiTheme="minorHAnsi" w:hAnsiTheme="minorHAnsi" w:cs="Arial"/>
          <w:b w:val="0"/>
          <w:bCs w:val="0"/>
          <w:sz w:val="22"/>
          <w:szCs w:val="22"/>
          <w:lang w:val="hr-HR"/>
        </w:rPr>
      </w:pPr>
      <w:r w:rsidRPr="002A33EB">
        <w:rPr>
          <w:rFonts w:asciiTheme="minorHAnsi" w:hAnsiTheme="minorHAnsi" w:cs="Arial"/>
          <w:b w:val="0"/>
          <w:bCs w:val="0"/>
          <w:sz w:val="22"/>
          <w:szCs w:val="22"/>
          <w:lang w:val="hr-HR"/>
        </w:rPr>
        <w:t>Banka je utvrdila mjere ostvarivanja i praćenja politike upravljanja kapitalom kako slijedi:</w:t>
      </w:r>
    </w:p>
    <w:p w14:paraId="11BBBC3D" w14:textId="77777777" w:rsidR="00BD197E" w:rsidRPr="00BD197E" w:rsidRDefault="002A33EB" w:rsidP="00C800B6">
      <w:pPr>
        <w:pStyle w:val="T1"/>
        <w:numPr>
          <w:ilvl w:val="0"/>
          <w:numId w:val="5"/>
        </w:numPr>
        <w:tabs>
          <w:tab w:val="right" w:pos="9781"/>
        </w:tabs>
        <w:spacing w:before="0" w:after="0" w:line="240" w:lineRule="auto"/>
        <w:ind w:left="714" w:hanging="357"/>
        <w:rPr>
          <w:rFonts w:asciiTheme="minorHAnsi" w:hAnsiTheme="minorHAnsi" w:cs="Arial"/>
          <w:b w:val="0"/>
          <w:bCs w:val="0"/>
          <w:sz w:val="22"/>
          <w:szCs w:val="22"/>
          <w:lang w:val="hr-HR"/>
        </w:rPr>
      </w:pPr>
      <w:r w:rsidRPr="002A33EB">
        <w:rPr>
          <w:rFonts w:asciiTheme="minorHAnsi" w:hAnsiTheme="minorHAnsi" w:cs="Arial"/>
          <w:b w:val="0"/>
          <w:bCs w:val="0"/>
          <w:sz w:val="22"/>
          <w:szCs w:val="22"/>
          <w:lang w:val="hr-HR"/>
        </w:rPr>
        <w:t>Regulatorni kapital na svaki izvještajni datum u visini najmanje jednakoj iznosu osnivačkog kapitala izvještajnog razdoblja.</w:t>
      </w:r>
    </w:p>
    <w:p w14:paraId="6A312D39" w14:textId="77777777" w:rsidR="002A33EB" w:rsidRDefault="002A33EB" w:rsidP="00C800B6">
      <w:pPr>
        <w:pStyle w:val="T1"/>
        <w:numPr>
          <w:ilvl w:val="0"/>
          <w:numId w:val="5"/>
        </w:numPr>
        <w:tabs>
          <w:tab w:val="right" w:pos="9781"/>
        </w:tabs>
        <w:spacing w:before="0" w:after="0" w:line="240" w:lineRule="auto"/>
        <w:ind w:left="714" w:hanging="357"/>
        <w:rPr>
          <w:rFonts w:asciiTheme="minorHAnsi" w:hAnsiTheme="minorHAnsi" w:cs="Arial"/>
          <w:b w:val="0"/>
          <w:bCs w:val="0"/>
          <w:sz w:val="22"/>
          <w:szCs w:val="22"/>
          <w:lang w:val="hr-HR"/>
        </w:rPr>
      </w:pPr>
      <w:r w:rsidRPr="002A33EB">
        <w:rPr>
          <w:rFonts w:asciiTheme="minorHAnsi" w:hAnsiTheme="minorHAnsi" w:cs="Arial"/>
          <w:b w:val="0"/>
          <w:bCs w:val="0"/>
          <w:sz w:val="22"/>
          <w:szCs w:val="22"/>
          <w:lang w:val="hr-HR"/>
        </w:rPr>
        <w:t xml:space="preserve">Stopa adekvatnosti kapitala na izvještajni datum u visini propisanoj za banke u Republici Hrvatskoj i standardnim ugovornim financijskim klauzulama iz ugovora o zaduživanju HBOR-a na financijskim tržištima i ugovorima zaključenima s posebnim financijskim institucijama. </w:t>
      </w:r>
    </w:p>
    <w:p w14:paraId="7BA0E554" w14:textId="77777777" w:rsidR="00BD197E" w:rsidRPr="002A33EB" w:rsidRDefault="00BD197E" w:rsidP="00BD197E">
      <w:pPr>
        <w:pStyle w:val="T1"/>
        <w:tabs>
          <w:tab w:val="right" w:pos="9781"/>
        </w:tabs>
        <w:spacing w:before="0" w:after="0" w:line="240" w:lineRule="auto"/>
        <w:ind w:left="714"/>
        <w:rPr>
          <w:rFonts w:asciiTheme="minorHAnsi" w:hAnsiTheme="minorHAnsi" w:cs="Arial"/>
          <w:b w:val="0"/>
          <w:bCs w:val="0"/>
          <w:sz w:val="22"/>
          <w:szCs w:val="22"/>
          <w:lang w:val="hr-HR"/>
        </w:rPr>
      </w:pPr>
    </w:p>
    <w:p w14:paraId="668AD0DB" w14:textId="3C2E7CE3" w:rsidR="002A33EB" w:rsidRPr="002A33EB" w:rsidRDefault="00491B2D" w:rsidP="002A33EB">
      <w:pPr>
        <w:pStyle w:val="T1"/>
        <w:keepNext w:val="0"/>
        <w:spacing w:before="0" w:after="0" w:line="240" w:lineRule="auto"/>
        <w:rPr>
          <w:rFonts w:asciiTheme="minorHAnsi" w:hAnsiTheme="minorHAnsi" w:cs="Arial"/>
          <w:b w:val="0"/>
          <w:bCs w:val="0"/>
          <w:sz w:val="22"/>
          <w:szCs w:val="22"/>
          <w:lang w:val="hr-HR"/>
        </w:rPr>
      </w:pPr>
      <w:r>
        <w:rPr>
          <w:rFonts w:asciiTheme="minorHAnsi" w:hAnsiTheme="minorHAnsi" w:cs="Arial"/>
          <w:b w:val="0"/>
          <w:bCs w:val="0"/>
          <w:sz w:val="22"/>
          <w:szCs w:val="22"/>
          <w:lang w:val="hr-HR"/>
        </w:rPr>
        <w:t>Pri izračunu</w:t>
      </w:r>
      <w:r w:rsidR="002A33EB" w:rsidRPr="002A33EB">
        <w:rPr>
          <w:rFonts w:asciiTheme="minorHAnsi" w:hAnsiTheme="minorHAnsi" w:cs="Arial"/>
          <w:b w:val="0"/>
          <w:bCs w:val="0"/>
          <w:sz w:val="22"/>
          <w:szCs w:val="22"/>
          <w:lang w:val="hr-HR"/>
        </w:rPr>
        <w:t xml:space="preserve"> stope adekvatnosti kapitala </w:t>
      </w:r>
      <w:r>
        <w:rPr>
          <w:rFonts w:asciiTheme="minorHAnsi" w:hAnsiTheme="minorHAnsi" w:cs="Arial"/>
          <w:b w:val="0"/>
          <w:bCs w:val="0"/>
          <w:sz w:val="22"/>
          <w:szCs w:val="22"/>
          <w:lang w:val="hr-HR"/>
        </w:rPr>
        <w:t xml:space="preserve">HBOR se dobrovoljno odredio za primjenu odgovarajuće </w:t>
      </w:r>
      <w:proofErr w:type="spellStart"/>
      <w:r>
        <w:rPr>
          <w:rFonts w:asciiTheme="minorHAnsi" w:hAnsiTheme="minorHAnsi" w:cs="Arial"/>
          <w:b w:val="0"/>
          <w:bCs w:val="0"/>
          <w:sz w:val="22"/>
          <w:szCs w:val="22"/>
          <w:lang w:val="hr-HR"/>
        </w:rPr>
        <w:t>podzakonske</w:t>
      </w:r>
      <w:proofErr w:type="spellEnd"/>
      <w:r>
        <w:rPr>
          <w:rFonts w:asciiTheme="minorHAnsi" w:hAnsiTheme="minorHAnsi" w:cs="Arial"/>
          <w:b w:val="0"/>
          <w:bCs w:val="0"/>
          <w:sz w:val="22"/>
          <w:szCs w:val="22"/>
          <w:lang w:val="hr-HR"/>
        </w:rPr>
        <w:t xml:space="preserve"> bankarske regulative </w:t>
      </w:r>
      <w:r w:rsidR="004B42E3">
        <w:rPr>
          <w:rFonts w:asciiTheme="minorHAnsi" w:hAnsiTheme="minorHAnsi" w:cs="Arial"/>
          <w:b w:val="0"/>
          <w:bCs w:val="0"/>
          <w:sz w:val="22"/>
          <w:szCs w:val="22"/>
          <w:lang w:val="hr-HR"/>
        </w:rPr>
        <w:t xml:space="preserve">prethodno </w:t>
      </w:r>
      <w:r>
        <w:rPr>
          <w:rFonts w:asciiTheme="minorHAnsi" w:hAnsiTheme="minorHAnsi" w:cs="Arial"/>
          <w:b w:val="0"/>
          <w:bCs w:val="0"/>
          <w:sz w:val="22"/>
          <w:szCs w:val="22"/>
          <w:lang w:val="hr-HR"/>
        </w:rPr>
        <w:t xml:space="preserve">propisane od strane Hrvatske narodne banke, po </w:t>
      </w:r>
      <w:proofErr w:type="spellStart"/>
      <w:r>
        <w:rPr>
          <w:rFonts w:asciiTheme="minorHAnsi" w:hAnsiTheme="minorHAnsi" w:cs="Arial"/>
          <w:b w:val="0"/>
          <w:bCs w:val="0"/>
          <w:sz w:val="22"/>
          <w:szCs w:val="22"/>
          <w:lang w:val="hr-HR"/>
        </w:rPr>
        <w:t>Basel</w:t>
      </w:r>
      <w:proofErr w:type="spellEnd"/>
      <w:r>
        <w:rPr>
          <w:rFonts w:asciiTheme="minorHAnsi" w:hAnsiTheme="minorHAnsi" w:cs="Arial"/>
          <w:b w:val="0"/>
          <w:bCs w:val="0"/>
          <w:sz w:val="22"/>
          <w:szCs w:val="22"/>
          <w:lang w:val="hr-HR"/>
        </w:rPr>
        <w:t xml:space="preserve"> I sporazumu, uz interno propisane akte</w:t>
      </w:r>
      <w:r w:rsidR="002A33EB" w:rsidRPr="002A33EB">
        <w:rPr>
          <w:rFonts w:asciiTheme="minorHAnsi" w:hAnsiTheme="minorHAnsi" w:cs="Arial"/>
          <w:b w:val="0"/>
          <w:bCs w:val="0"/>
          <w:sz w:val="22"/>
          <w:szCs w:val="22"/>
          <w:lang w:val="hr-HR"/>
        </w:rPr>
        <w:t xml:space="preserve">. </w:t>
      </w:r>
    </w:p>
    <w:p w14:paraId="767B5FCF" w14:textId="77777777" w:rsidR="002A33EB" w:rsidRPr="002A33EB" w:rsidRDefault="002A33EB" w:rsidP="002A33EB">
      <w:pPr>
        <w:pStyle w:val="T1"/>
        <w:keepNext w:val="0"/>
        <w:spacing w:before="0" w:after="0" w:line="240" w:lineRule="auto"/>
        <w:rPr>
          <w:rFonts w:asciiTheme="minorHAnsi" w:hAnsiTheme="minorHAnsi" w:cs="Arial"/>
          <w:b w:val="0"/>
          <w:bCs w:val="0"/>
          <w:sz w:val="22"/>
          <w:szCs w:val="22"/>
          <w:highlight w:val="yellow"/>
          <w:lang w:val="hr-HR"/>
        </w:rPr>
      </w:pPr>
    </w:p>
    <w:tbl>
      <w:tblPr>
        <w:tblW w:w="5006" w:type="pct"/>
        <w:jc w:val="center"/>
        <w:tblLayout w:type="fixed"/>
        <w:tblLook w:val="01E0" w:firstRow="1" w:lastRow="1" w:firstColumn="1" w:lastColumn="1" w:noHBand="0" w:noVBand="0"/>
      </w:tblPr>
      <w:tblGrid>
        <w:gridCol w:w="3402"/>
        <w:gridCol w:w="1422"/>
        <w:gridCol w:w="1558"/>
        <w:gridCol w:w="1558"/>
        <w:gridCol w:w="1425"/>
      </w:tblGrid>
      <w:tr w:rsidR="00456E1A" w:rsidRPr="00DA1B61" w14:paraId="30F5B7A5" w14:textId="77777777" w:rsidTr="00312975">
        <w:trPr>
          <w:jc w:val="center"/>
        </w:trPr>
        <w:tc>
          <w:tcPr>
            <w:tcW w:w="1816" w:type="pct"/>
          </w:tcPr>
          <w:p w14:paraId="76178ADF" w14:textId="77777777" w:rsidR="006B0162" w:rsidRPr="00DA1B61" w:rsidRDefault="006B0162" w:rsidP="006B0162">
            <w:pPr>
              <w:tabs>
                <w:tab w:val="right" w:pos="9781"/>
              </w:tabs>
              <w:spacing w:after="0" w:line="240" w:lineRule="auto"/>
              <w:jc w:val="both"/>
              <w:rPr>
                <w:rFonts w:eastAsia="Times New Roman" w:cs="Arial"/>
                <w:sz w:val="20"/>
                <w:szCs w:val="20"/>
              </w:rPr>
            </w:pPr>
          </w:p>
        </w:tc>
        <w:tc>
          <w:tcPr>
            <w:tcW w:w="759" w:type="pct"/>
            <w:vAlign w:val="bottom"/>
          </w:tcPr>
          <w:p w14:paraId="003784D4" w14:textId="77777777" w:rsidR="006B0162" w:rsidRPr="00DA1B61" w:rsidRDefault="006B0162" w:rsidP="006B0162">
            <w:pPr>
              <w:tabs>
                <w:tab w:val="right" w:pos="1202"/>
              </w:tabs>
              <w:spacing w:after="0" w:line="240" w:lineRule="auto"/>
              <w:jc w:val="right"/>
              <w:outlineLvl w:val="0"/>
              <w:rPr>
                <w:rFonts w:eastAsia="Times New Roman" w:cs="Arial"/>
                <w:b/>
                <w:sz w:val="20"/>
                <w:szCs w:val="20"/>
              </w:rPr>
            </w:pPr>
          </w:p>
        </w:tc>
        <w:tc>
          <w:tcPr>
            <w:tcW w:w="832" w:type="pct"/>
            <w:vAlign w:val="bottom"/>
          </w:tcPr>
          <w:p w14:paraId="6CEF5736" w14:textId="77777777" w:rsidR="006B0162" w:rsidRPr="00DA1B61" w:rsidRDefault="006B0162" w:rsidP="006B0162">
            <w:pPr>
              <w:tabs>
                <w:tab w:val="right" w:pos="1202"/>
              </w:tabs>
              <w:spacing w:after="0" w:line="240" w:lineRule="auto"/>
              <w:jc w:val="right"/>
              <w:outlineLvl w:val="0"/>
              <w:rPr>
                <w:rFonts w:eastAsia="Times New Roman" w:cs="Arial"/>
                <w:b/>
                <w:sz w:val="20"/>
                <w:szCs w:val="20"/>
              </w:rPr>
            </w:pPr>
            <w:r w:rsidRPr="00DA1B61">
              <w:rPr>
                <w:rFonts w:eastAsia="Times New Roman" w:cs="Arial"/>
                <w:b/>
                <w:sz w:val="20"/>
                <w:szCs w:val="20"/>
              </w:rPr>
              <w:t>Grupa</w:t>
            </w:r>
          </w:p>
        </w:tc>
        <w:tc>
          <w:tcPr>
            <w:tcW w:w="832" w:type="pct"/>
            <w:vAlign w:val="bottom"/>
          </w:tcPr>
          <w:p w14:paraId="34F1942D" w14:textId="77777777" w:rsidR="006B0162" w:rsidRPr="00DA1B61" w:rsidRDefault="006B0162" w:rsidP="006B0162">
            <w:pPr>
              <w:tabs>
                <w:tab w:val="right" w:pos="1202"/>
              </w:tabs>
              <w:spacing w:after="0" w:line="240" w:lineRule="auto"/>
              <w:jc w:val="right"/>
              <w:outlineLvl w:val="0"/>
              <w:rPr>
                <w:rFonts w:eastAsia="Times New Roman" w:cs="Arial"/>
                <w:b/>
                <w:sz w:val="20"/>
                <w:szCs w:val="20"/>
              </w:rPr>
            </w:pPr>
          </w:p>
        </w:tc>
        <w:tc>
          <w:tcPr>
            <w:tcW w:w="761" w:type="pct"/>
          </w:tcPr>
          <w:p w14:paraId="32CE573E" w14:textId="77777777" w:rsidR="006B0162" w:rsidRPr="00DA1B61" w:rsidRDefault="006B0162" w:rsidP="006B0162">
            <w:pPr>
              <w:tabs>
                <w:tab w:val="right" w:pos="1202"/>
              </w:tabs>
              <w:spacing w:after="0" w:line="240" w:lineRule="auto"/>
              <w:jc w:val="right"/>
              <w:outlineLvl w:val="0"/>
              <w:rPr>
                <w:rFonts w:eastAsia="Times New Roman" w:cs="Arial"/>
                <w:b/>
                <w:sz w:val="20"/>
                <w:szCs w:val="20"/>
              </w:rPr>
            </w:pPr>
            <w:r w:rsidRPr="00DA1B61">
              <w:rPr>
                <w:rFonts w:eastAsia="Times New Roman" w:cs="Arial"/>
                <w:b/>
                <w:sz w:val="20"/>
                <w:szCs w:val="20"/>
              </w:rPr>
              <w:t>Banka</w:t>
            </w:r>
          </w:p>
        </w:tc>
      </w:tr>
      <w:tr w:rsidR="00456E1A" w:rsidRPr="00DA1B61" w14:paraId="0F8C6250" w14:textId="77777777" w:rsidTr="00312975">
        <w:trPr>
          <w:jc w:val="center"/>
        </w:trPr>
        <w:tc>
          <w:tcPr>
            <w:tcW w:w="1816" w:type="pct"/>
          </w:tcPr>
          <w:p w14:paraId="5D9311C7" w14:textId="77777777" w:rsidR="00E45CA6" w:rsidRPr="00DA1B61" w:rsidRDefault="00E45CA6" w:rsidP="00E45CA6">
            <w:pPr>
              <w:tabs>
                <w:tab w:val="right" w:pos="9781"/>
              </w:tabs>
              <w:spacing w:after="0" w:line="240" w:lineRule="auto"/>
              <w:jc w:val="both"/>
              <w:rPr>
                <w:rFonts w:eastAsia="Times New Roman" w:cs="Arial"/>
                <w:sz w:val="20"/>
                <w:szCs w:val="20"/>
              </w:rPr>
            </w:pPr>
          </w:p>
        </w:tc>
        <w:tc>
          <w:tcPr>
            <w:tcW w:w="759" w:type="pct"/>
            <w:vAlign w:val="bottom"/>
          </w:tcPr>
          <w:p w14:paraId="6E1DDB27" w14:textId="2FD27148" w:rsidR="00E45CA6" w:rsidRPr="00DA1B61" w:rsidRDefault="002B7DC6">
            <w:pPr>
              <w:tabs>
                <w:tab w:val="right" w:pos="1202"/>
              </w:tabs>
              <w:spacing w:after="0" w:line="240" w:lineRule="auto"/>
              <w:jc w:val="right"/>
              <w:outlineLvl w:val="0"/>
              <w:rPr>
                <w:rFonts w:eastAsia="Times New Roman" w:cs="Arial"/>
                <w:b/>
                <w:sz w:val="20"/>
                <w:szCs w:val="20"/>
              </w:rPr>
            </w:pPr>
            <w:r>
              <w:rPr>
                <w:rFonts w:eastAsia="Times New Roman" w:cs="Arial"/>
                <w:b/>
                <w:sz w:val="20"/>
                <w:szCs w:val="20"/>
              </w:rPr>
              <w:t>30</w:t>
            </w:r>
            <w:r w:rsidR="00E45CA6">
              <w:rPr>
                <w:rFonts w:eastAsia="Times New Roman" w:cs="Arial"/>
                <w:b/>
                <w:sz w:val="20"/>
                <w:szCs w:val="20"/>
              </w:rPr>
              <w:t>.</w:t>
            </w:r>
            <w:r>
              <w:rPr>
                <w:rFonts w:eastAsia="Times New Roman" w:cs="Arial"/>
                <w:b/>
                <w:sz w:val="20"/>
                <w:szCs w:val="20"/>
              </w:rPr>
              <w:t>6</w:t>
            </w:r>
            <w:r w:rsidR="00E45CA6" w:rsidRPr="00DA1B61">
              <w:rPr>
                <w:rFonts w:eastAsia="Times New Roman" w:cs="Arial"/>
                <w:b/>
                <w:sz w:val="20"/>
                <w:szCs w:val="20"/>
              </w:rPr>
              <w:t>.201</w:t>
            </w:r>
            <w:r w:rsidR="00E45CA6">
              <w:rPr>
                <w:rFonts w:eastAsia="Times New Roman" w:cs="Arial"/>
                <w:b/>
                <w:sz w:val="20"/>
                <w:szCs w:val="20"/>
              </w:rPr>
              <w:t>7</w:t>
            </w:r>
            <w:r w:rsidR="00E45CA6" w:rsidRPr="00DA1B61">
              <w:rPr>
                <w:rFonts w:eastAsia="Times New Roman" w:cs="Arial"/>
                <w:b/>
                <w:sz w:val="20"/>
                <w:szCs w:val="20"/>
              </w:rPr>
              <w:t>.</w:t>
            </w:r>
          </w:p>
        </w:tc>
        <w:tc>
          <w:tcPr>
            <w:tcW w:w="832" w:type="pct"/>
            <w:vAlign w:val="bottom"/>
          </w:tcPr>
          <w:p w14:paraId="0A6D5B89" w14:textId="096AEE86" w:rsidR="00E45CA6" w:rsidRPr="00DA1B61" w:rsidRDefault="00E45CA6" w:rsidP="00E45CA6">
            <w:pPr>
              <w:tabs>
                <w:tab w:val="right" w:pos="1202"/>
              </w:tabs>
              <w:spacing w:after="0" w:line="240" w:lineRule="auto"/>
              <w:jc w:val="right"/>
              <w:outlineLvl w:val="0"/>
              <w:rPr>
                <w:rFonts w:eastAsia="Times New Roman" w:cs="Arial"/>
                <w:b/>
                <w:sz w:val="20"/>
                <w:szCs w:val="20"/>
              </w:rPr>
            </w:pPr>
            <w:r w:rsidRPr="00DA1B61">
              <w:rPr>
                <w:rFonts w:eastAsia="Times New Roman" w:cs="Arial"/>
                <w:b/>
                <w:sz w:val="20"/>
                <w:szCs w:val="20"/>
              </w:rPr>
              <w:t>31.12.201</w:t>
            </w:r>
            <w:r>
              <w:rPr>
                <w:rFonts w:eastAsia="Times New Roman" w:cs="Arial"/>
                <w:b/>
                <w:sz w:val="20"/>
                <w:szCs w:val="20"/>
              </w:rPr>
              <w:t>6</w:t>
            </w:r>
            <w:r w:rsidRPr="00DA1B61">
              <w:rPr>
                <w:rFonts w:eastAsia="Times New Roman" w:cs="Arial"/>
                <w:b/>
                <w:sz w:val="20"/>
                <w:szCs w:val="20"/>
              </w:rPr>
              <w:t>.</w:t>
            </w:r>
          </w:p>
        </w:tc>
        <w:tc>
          <w:tcPr>
            <w:tcW w:w="832" w:type="pct"/>
            <w:vAlign w:val="bottom"/>
          </w:tcPr>
          <w:p w14:paraId="205D4DB2" w14:textId="2DF6548F" w:rsidR="00E45CA6" w:rsidRPr="00DA1B61" w:rsidRDefault="002B7DC6">
            <w:pPr>
              <w:tabs>
                <w:tab w:val="right" w:pos="1202"/>
              </w:tabs>
              <w:spacing w:after="0" w:line="240" w:lineRule="auto"/>
              <w:jc w:val="right"/>
              <w:outlineLvl w:val="0"/>
              <w:rPr>
                <w:rFonts w:eastAsia="Times New Roman" w:cs="Arial"/>
                <w:b/>
                <w:sz w:val="20"/>
                <w:szCs w:val="20"/>
              </w:rPr>
            </w:pPr>
            <w:r>
              <w:rPr>
                <w:rFonts w:eastAsia="Times New Roman" w:cs="Arial"/>
                <w:b/>
                <w:sz w:val="20"/>
                <w:szCs w:val="20"/>
              </w:rPr>
              <w:t>30</w:t>
            </w:r>
            <w:r w:rsidR="00E45CA6">
              <w:rPr>
                <w:rFonts w:eastAsia="Times New Roman" w:cs="Arial"/>
                <w:b/>
                <w:sz w:val="20"/>
                <w:szCs w:val="20"/>
              </w:rPr>
              <w:t>.</w:t>
            </w:r>
            <w:r>
              <w:rPr>
                <w:rFonts w:eastAsia="Times New Roman" w:cs="Arial"/>
                <w:b/>
                <w:sz w:val="20"/>
                <w:szCs w:val="20"/>
              </w:rPr>
              <w:t>6</w:t>
            </w:r>
            <w:r w:rsidR="00E45CA6" w:rsidRPr="00DA1B61">
              <w:rPr>
                <w:rFonts w:eastAsia="Times New Roman" w:cs="Arial"/>
                <w:b/>
                <w:sz w:val="20"/>
                <w:szCs w:val="20"/>
              </w:rPr>
              <w:t>.201</w:t>
            </w:r>
            <w:r w:rsidR="00E45CA6">
              <w:rPr>
                <w:rFonts w:eastAsia="Times New Roman" w:cs="Arial"/>
                <w:b/>
                <w:sz w:val="20"/>
                <w:szCs w:val="20"/>
              </w:rPr>
              <w:t>7</w:t>
            </w:r>
            <w:r w:rsidR="00E45CA6" w:rsidRPr="00DA1B61">
              <w:rPr>
                <w:rFonts w:eastAsia="Times New Roman" w:cs="Arial"/>
                <w:b/>
                <w:sz w:val="20"/>
                <w:szCs w:val="20"/>
              </w:rPr>
              <w:t>.</w:t>
            </w:r>
          </w:p>
        </w:tc>
        <w:tc>
          <w:tcPr>
            <w:tcW w:w="761" w:type="pct"/>
            <w:vAlign w:val="bottom"/>
          </w:tcPr>
          <w:p w14:paraId="367A5E9C" w14:textId="5056ABF4" w:rsidR="00E45CA6" w:rsidRPr="00DA1B61" w:rsidRDefault="00E45CA6" w:rsidP="00E45CA6">
            <w:pPr>
              <w:tabs>
                <w:tab w:val="right" w:pos="1202"/>
              </w:tabs>
              <w:spacing w:after="0" w:line="240" w:lineRule="auto"/>
              <w:jc w:val="right"/>
              <w:outlineLvl w:val="0"/>
              <w:rPr>
                <w:rFonts w:eastAsia="Times New Roman" w:cs="Arial"/>
                <w:b/>
                <w:sz w:val="20"/>
                <w:szCs w:val="20"/>
              </w:rPr>
            </w:pPr>
            <w:r w:rsidRPr="00DA1B61">
              <w:rPr>
                <w:rFonts w:eastAsia="Times New Roman" w:cs="Arial"/>
                <w:b/>
                <w:sz w:val="20"/>
                <w:szCs w:val="20"/>
              </w:rPr>
              <w:t>31.12.201</w:t>
            </w:r>
            <w:r>
              <w:rPr>
                <w:rFonts w:eastAsia="Times New Roman" w:cs="Arial"/>
                <w:b/>
                <w:sz w:val="20"/>
                <w:szCs w:val="20"/>
              </w:rPr>
              <w:t>6</w:t>
            </w:r>
            <w:r w:rsidRPr="00DA1B61">
              <w:rPr>
                <w:rFonts w:eastAsia="Times New Roman" w:cs="Arial"/>
                <w:b/>
                <w:sz w:val="20"/>
                <w:szCs w:val="20"/>
              </w:rPr>
              <w:t>.</w:t>
            </w:r>
          </w:p>
        </w:tc>
      </w:tr>
      <w:tr w:rsidR="00456E1A" w:rsidRPr="00DA1B61" w14:paraId="50F3E8BF" w14:textId="77777777" w:rsidTr="00312975">
        <w:trPr>
          <w:jc w:val="center"/>
        </w:trPr>
        <w:tc>
          <w:tcPr>
            <w:tcW w:w="1816" w:type="pct"/>
            <w:vAlign w:val="bottom"/>
          </w:tcPr>
          <w:p w14:paraId="17A45029" w14:textId="77777777" w:rsidR="00456E1A" w:rsidRPr="00DA1B61" w:rsidRDefault="00456E1A" w:rsidP="00456E1A">
            <w:pPr>
              <w:tabs>
                <w:tab w:val="right" w:pos="1202"/>
                <w:tab w:val="right" w:pos="9781"/>
              </w:tabs>
              <w:spacing w:after="0" w:line="240" w:lineRule="auto"/>
              <w:outlineLvl w:val="0"/>
              <w:rPr>
                <w:rFonts w:eastAsia="Times New Roman" w:cs="Arial"/>
                <w:bCs/>
                <w:sz w:val="20"/>
                <w:szCs w:val="20"/>
              </w:rPr>
            </w:pPr>
            <w:r w:rsidRPr="00DA1B61">
              <w:rPr>
                <w:rFonts w:eastAsia="Times New Roman" w:cs="Arial"/>
                <w:bCs/>
                <w:sz w:val="20"/>
                <w:szCs w:val="20"/>
              </w:rPr>
              <w:t xml:space="preserve">Osnovni kapital – </w:t>
            </w:r>
            <w:proofErr w:type="spellStart"/>
            <w:r w:rsidRPr="00DA1B61">
              <w:rPr>
                <w:rFonts w:eastAsia="Times New Roman" w:cs="Arial"/>
                <w:bCs/>
                <w:sz w:val="20"/>
                <w:szCs w:val="20"/>
              </w:rPr>
              <w:t>Tier</w:t>
            </w:r>
            <w:proofErr w:type="spellEnd"/>
            <w:r w:rsidRPr="00DA1B61">
              <w:rPr>
                <w:rFonts w:eastAsia="Times New Roman" w:cs="Arial"/>
                <w:bCs/>
                <w:sz w:val="20"/>
                <w:szCs w:val="20"/>
              </w:rPr>
              <w:t xml:space="preserve"> 1</w:t>
            </w:r>
          </w:p>
        </w:tc>
        <w:tc>
          <w:tcPr>
            <w:tcW w:w="759" w:type="pct"/>
            <w:tcBorders>
              <w:top w:val="nil"/>
              <w:left w:val="nil"/>
              <w:bottom w:val="nil"/>
              <w:right w:val="nil"/>
            </w:tcBorders>
            <w:shd w:val="clear" w:color="auto" w:fill="auto"/>
            <w:vAlign w:val="bottom"/>
          </w:tcPr>
          <w:p w14:paraId="15A3F81C" w14:textId="5E16C6EB" w:rsidR="00456E1A" w:rsidRPr="000E5941" w:rsidRDefault="00456E1A" w:rsidP="00456E1A">
            <w:pPr>
              <w:pStyle w:val="TT"/>
              <w:jc w:val="right"/>
              <w:rPr>
                <w:rFonts w:ascii="Calibri" w:hAnsi="Calibri"/>
                <w:color w:val="000000"/>
                <w:sz w:val="20"/>
              </w:rPr>
            </w:pPr>
            <w:r>
              <w:rPr>
                <w:rFonts w:ascii="Calibri" w:hAnsi="Calibri"/>
                <w:color w:val="000000"/>
                <w:sz w:val="20"/>
              </w:rPr>
              <w:t>10.086.038</w:t>
            </w:r>
          </w:p>
        </w:tc>
        <w:tc>
          <w:tcPr>
            <w:tcW w:w="832" w:type="pct"/>
            <w:tcBorders>
              <w:top w:val="nil"/>
              <w:left w:val="nil"/>
              <w:bottom w:val="nil"/>
              <w:right w:val="nil"/>
            </w:tcBorders>
            <w:shd w:val="clear" w:color="auto" w:fill="auto"/>
            <w:vAlign w:val="bottom"/>
          </w:tcPr>
          <w:p w14:paraId="4E71FB06" w14:textId="4AF7261F" w:rsidR="00456E1A" w:rsidRPr="007255D5" w:rsidRDefault="00456E1A" w:rsidP="00456E1A">
            <w:pPr>
              <w:pStyle w:val="TT"/>
              <w:jc w:val="right"/>
              <w:rPr>
                <w:rFonts w:asciiTheme="minorHAnsi" w:hAnsiTheme="minorHAnsi" w:cs="Arial"/>
                <w:sz w:val="20"/>
                <w:lang w:val="hr-HR"/>
              </w:rPr>
            </w:pPr>
            <w:r w:rsidRPr="002A3E38">
              <w:rPr>
                <w:rFonts w:ascii="Calibri" w:hAnsi="Calibri"/>
                <w:color w:val="000000"/>
                <w:sz w:val="20"/>
              </w:rPr>
              <w:t>9.956.604</w:t>
            </w:r>
          </w:p>
        </w:tc>
        <w:tc>
          <w:tcPr>
            <w:tcW w:w="832" w:type="pct"/>
            <w:tcBorders>
              <w:top w:val="nil"/>
              <w:left w:val="nil"/>
              <w:bottom w:val="nil"/>
              <w:right w:val="nil"/>
            </w:tcBorders>
            <w:shd w:val="clear" w:color="auto" w:fill="auto"/>
            <w:vAlign w:val="center"/>
          </w:tcPr>
          <w:p w14:paraId="05B7FF82" w14:textId="2AD9FE76" w:rsidR="00456E1A" w:rsidRPr="000E5941" w:rsidRDefault="00456E1A" w:rsidP="00456E1A">
            <w:pPr>
              <w:pStyle w:val="TT"/>
              <w:jc w:val="right"/>
              <w:rPr>
                <w:rFonts w:ascii="Calibri" w:hAnsi="Calibri"/>
                <w:color w:val="000000"/>
                <w:sz w:val="20"/>
              </w:rPr>
            </w:pPr>
            <w:r>
              <w:rPr>
                <w:rFonts w:ascii="Calibri" w:hAnsi="Calibri"/>
                <w:color w:val="000000"/>
                <w:sz w:val="20"/>
              </w:rPr>
              <w:t>10.084.644</w:t>
            </w:r>
          </w:p>
        </w:tc>
        <w:tc>
          <w:tcPr>
            <w:tcW w:w="761" w:type="pct"/>
            <w:tcBorders>
              <w:top w:val="nil"/>
              <w:left w:val="nil"/>
              <w:bottom w:val="nil"/>
              <w:right w:val="nil"/>
            </w:tcBorders>
            <w:shd w:val="clear" w:color="auto" w:fill="auto"/>
            <w:vAlign w:val="bottom"/>
          </w:tcPr>
          <w:p w14:paraId="7ED1C808" w14:textId="709603F3" w:rsidR="00456E1A" w:rsidRPr="007255D5" w:rsidRDefault="00456E1A" w:rsidP="00456E1A">
            <w:pPr>
              <w:pStyle w:val="TT"/>
              <w:jc w:val="right"/>
              <w:rPr>
                <w:rFonts w:asciiTheme="minorHAnsi" w:hAnsiTheme="minorHAnsi" w:cs="Arial"/>
                <w:sz w:val="20"/>
                <w:lang w:val="hr-HR"/>
              </w:rPr>
            </w:pPr>
            <w:r w:rsidRPr="002A3E38">
              <w:rPr>
                <w:rFonts w:ascii="Calibri" w:hAnsi="Calibri"/>
                <w:color w:val="000000"/>
                <w:sz w:val="20"/>
              </w:rPr>
              <w:t>9.955.288</w:t>
            </w:r>
          </w:p>
        </w:tc>
      </w:tr>
      <w:tr w:rsidR="00456E1A" w:rsidRPr="00DA1B61" w14:paraId="245D0D00" w14:textId="77777777" w:rsidTr="00312975">
        <w:trPr>
          <w:jc w:val="center"/>
        </w:trPr>
        <w:tc>
          <w:tcPr>
            <w:tcW w:w="1816" w:type="pct"/>
            <w:vAlign w:val="bottom"/>
          </w:tcPr>
          <w:p w14:paraId="3834BB62" w14:textId="77777777" w:rsidR="00456E1A" w:rsidRPr="00DA1B61" w:rsidRDefault="00456E1A" w:rsidP="00456E1A">
            <w:pPr>
              <w:tabs>
                <w:tab w:val="right" w:pos="1202"/>
                <w:tab w:val="right" w:pos="9781"/>
              </w:tabs>
              <w:spacing w:after="0" w:line="240" w:lineRule="auto"/>
              <w:outlineLvl w:val="0"/>
              <w:rPr>
                <w:rFonts w:eastAsia="Times New Roman" w:cs="Arial"/>
                <w:bCs/>
                <w:sz w:val="20"/>
                <w:szCs w:val="20"/>
              </w:rPr>
            </w:pPr>
            <w:r w:rsidRPr="00DA1B61">
              <w:rPr>
                <w:rFonts w:eastAsia="Times New Roman" w:cs="Arial"/>
                <w:bCs/>
                <w:sz w:val="20"/>
                <w:szCs w:val="20"/>
              </w:rPr>
              <w:t xml:space="preserve">Dopunski kapital – </w:t>
            </w:r>
            <w:proofErr w:type="spellStart"/>
            <w:r w:rsidRPr="00DA1B61">
              <w:rPr>
                <w:rFonts w:eastAsia="Times New Roman" w:cs="Arial"/>
                <w:bCs/>
                <w:sz w:val="20"/>
                <w:szCs w:val="20"/>
              </w:rPr>
              <w:t>Tier</w:t>
            </w:r>
            <w:proofErr w:type="spellEnd"/>
            <w:r w:rsidRPr="00DA1B61">
              <w:rPr>
                <w:rFonts w:eastAsia="Times New Roman" w:cs="Arial"/>
                <w:bCs/>
                <w:sz w:val="20"/>
                <w:szCs w:val="20"/>
              </w:rPr>
              <w:t xml:space="preserve"> 2</w:t>
            </w:r>
          </w:p>
        </w:tc>
        <w:tc>
          <w:tcPr>
            <w:tcW w:w="759" w:type="pct"/>
            <w:tcBorders>
              <w:top w:val="nil"/>
              <w:left w:val="nil"/>
              <w:bottom w:val="nil"/>
              <w:right w:val="nil"/>
            </w:tcBorders>
            <w:shd w:val="clear" w:color="auto" w:fill="auto"/>
            <w:vAlign w:val="bottom"/>
          </w:tcPr>
          <w:p w14:paraId="5A0569D4" w14:textId="0803CD96" w:rsidR="00456E1A" w:rsidRPr="000E5941" w:rsidRDefault="00456E1A" w:rsidP="00456E1A">
            <w:pPr>
              <w:pStyle w:val="TT"/>
              <w:jc w:val="right"/>
              <w:rPr>
                <w:rFonts w:ascii="Calibri" w:hAnsi="Calibri"/>
                <w:color w:val="000000"/>
                <w:sz w:val="20"/>
              </w:rPr>
            </w:pPr>
            <w:r>
              <w:rPr>
                <w:rFonts w:ascii="Calibri" w:hAnsi="Calibri"/>
                <w:color w:val="000000"/>
                <w:sz w:val="20"/>
              </w:rPr>
              <w:t>318.410</w:t>
            </w:r>
          </w:p>
        </w:tc>
        <w:tc>
          <w:tcPr>
            <w:tcW w:w="832" w:type="pct"/>
            <w:tcBorders>
              <w:top w:val="nil"/>
              <w:left w:val="nil"/>
              <w:bottom w:val="nil"/>
              <w:right w:val="nil"/>
            </w:tcBorders>
            <w:shd w:val="clear" w:color="auto" w:fill="auto"/>
            <w:vAlign w:val="bottom"/>
          </w:tcPr>
          <w:p w14:paraId="1CB9D1F2" w14:textId="067E586B" w:rsidR="00456E1A" w:rsidRPr="007255D5" w:rsidRDefault="00456E1A" w:rsidP="00456E1A">
            <w:pPr>
              <w:pStyle w:val="TT"/>
              <w:jc w:val="right"/>
              <w:rPr>
                <w:rFonts w:asciiTheme="minorHAnsi" w:hAnsiTheme="minorHAnsi" w:cs="Arial"/>
                <w:sz w:val="20"/>
                <w:lang w:val="hr-HR"/>
              </w:rPr>
            </w:pPr>
            <w:r w:rsidRPr="002A3E38">
              <w:rPr>
                <w:rFonts w:ascii="Calibri" w:hAnsi="Calibri"/>
                <w:color w:val="000000"/>
                <w:sz w:val="20"/>
              </w:rPr>
              <w:t>333.571</w:t>
            </w:r>
          </w:p>
        </w:tc>
        <w:tc>
          <w:tcPr>
            <w:tcW w:w="832" w:type="pct"/>
            <w:tcBorders>
              <w:top w:val="nil"/>
              <w:left w:val="nil"/>
              <w:bottom w:val="nil"/>
              <w:right w:val="nil"/>
            </w:tcBorders>
            <w:shd w:val="clear" w:color="auto" w:fill="auto"/>
            <w:vAlign w:val="center"/>
          </w:tcPr>
          <w:p w14:paraId="1FB7E1EB" w14:textId="14F2A95E" w:rsidR="00456E1A" w:rsidRPr="000E5941" w:rsidRDefault="00456E1A" w:rsidP="00456E1A">
            <w:pPr>
              <w:pStyle w:val="TT"/>
              <w:jc w:val="right"/>
              <w:rPr>
                <w:rFonts w:ascii="Calibri" w:hAnsi="Calibri"/>
                <w:color w:val="000000"/>
                <w:sz w:val="20"/>
              </w:rPr>
            </w:pPr>
            <w:r>
              <w:rPr>
                <w:rFonts w:ascii="Calibri" w:hAnsi="Calibri"/>
                <w:color w:val="000000"/>
                <w:sz w:val="20"/>
              </w:rPr>
              <w:t>318.410</w:t>
            </w:r>
          </w:p>
        </w:tc>
        <w:tc>
          <w:tcPr>
            <w:tcW w:w="761" w:type="pct"/>
            <w:tcBorders>
              <w:top w:val="nil"/>
              <w:left w:val="nil"/>
              <w:bottom w:val="nil"/>
              <w:right w:val="nil"/>
            </w:tcBorders>
            <w:shd w:val="clear" w:color="auto" w:fill="auto"/>
            <w:vAlign w:val="bottom"/>
          </w:tcPr>
          <w:p w14:paraId="6C62C644" w14:textId="46226B27" w:rsidR="00456E1A" w:rsidRPr="007255D5" w:rsidRDefault="00456E1A" w:rsidP="00456E1A">
            <w:pPr>
              <w:pStyle w:val="TT"/>
              <w:jc w:val="right"/>
              <w:rPr>
                <w:rFonts w:asciiTheme="minorHAnsi" w:hAnsiTheme="minorHAnsi" w:cs="Arial"/>
                <w:sz w:val="20"/>
                <w:lang w:val="hr-HR"/>
              </w:rPr>
            </w:pPr>
            <w:r w:rsidRPr="002A3E38">
              <w:rPr>
                <w:rFonts w:ascii="Calibri" w:hAnsi="Calibri"/>
                <w:color w:val="000000"/>
                <w:sz w:val="20"/>
              </w:rPr>
              <w:t>333.571</w:t>
            </w:r>
          </w:p>
        </w:tc>
      </w:tr>
      <w:tr w:rsidR="00456E1A" w:rsidRPr="00DA1B61" w14:paraId="683027FC" w14:textId="77777777" w:rsidTr="00312975">
        <w:trPr>
          <w:jc w:val="center"/>
        </w:trPr>
        <w:tc>
          <w:tcPr>
            <w:tcW w:w="1816" w:type="pct"/>
            <w:vAlign w:val="bottom"/>
          </w:tcPr>
          <w:p w14:paraId="20C87ADD" w14:textId="77777777" w:rsidR="00456E1A" w:rsidRPr="00DA1B61" w:rsidRDefault="00456E1A" w:rsidP="00456E1A">
            <w:pPr>
              <w:tabs>
                <w:tab w:val="right" w:pos="1202"/>
                <w:tab w:val="right" w:pos="9781"/>
              </w:tabs>
              <w:spacing w:after="0" w:line="240" w:lineRule="auto"/>
              <w:outlineLvl w:val="0"/>
              <w:rPr>
                <w:rFonts w:eastAsia="Times New Roman" w:cs="Arial"/>
                <w:b/>
                <w:bCs/>
                <w:sz w:val="20"/>
                <w:szCs w:val="20"/>
              </w:rPr>
            </w:pPr>
            <w:r w:rsidRPr="00DA1B61">
              <w:rPr>
                <w:rFonts w:eastAsia="Times New Roman" w:cs="Arial"/>
                <w:b/>
                <w:bCs/>
                <w:sz w:val="20"/>
                <w:szCs w:val="20"/>
              </w:rPr>
              <w:t>Ukupni regulatorni kapital</w:t>
            </w:r>
          </w:p>
        </w:tc>
        <w:tc>
          <w:tcPr>
            <w:tcW w:w="759" w:type="pct"/>
            <w:tcBorders>
              <w:top w:val="nil"/>
              <w:left w:val="nil"/>
              <w:bottom w:val="nil"/>
              <w:right w:val="nil"/>
            </w:tcBorders>
            <w:shd w:val="clear" w:color="auto" w:fill="auto"/>
            <w:vAlign w:val="bottom"/>
          </w:tcPr>
          <w:p w14:paraId="461E3D29" w14:textId="3C5845A1" w:rsidR="00456E1A" w:rsidRPr="000E5941" w:rsidRDefault="00456E1A" w:rsidP="00456E1A">
            <w:pPr>
              <w:pStyle w:val="TT"/>
              <w:jc w:val="right"/>
              <w:rPr>
                <w:rFonts w:ascii="Calibri" w:hAnsi="Calibri"/>
                <w:b/>
                <w:color w:val="000000"/>
                <w:sz w:val="20"/>
              </w:rPr>
            </w:pPr>
            <w:r>
              <w:rPr>
                <w:rFonts w:ascii="Calibri" w:hAnsi="Calibri"/>
                <w:b/>
                <w:bCs/>
                <w:color w:val="000000"/>
                <w:sz w:val="20"/>
              </w:rPr>
              <w:t>10.404.448</w:t>
            </w:r>
          </w:p>
        </w:tc>
        <w:tc>
          <w:tcPr>
            <w:tcW w:w="832" w:type="pct"/>
            <w:tcBorders>
              <w:top w:val="nil"/>
              <w:left w:val="nil"/>
              <w:bottom w:val="nil"/>
              <w:right w:val="nil"/>
            </w:tcBorders>
            <w:shd w:val="clear" w:color="auto" w:fill="auto"/>
            <w:vAlign w:val="bottom"/>
          </w:tcPr>
          <w:p w14:paraId="111D35AC" w14:textId="3812BC97" w:rsidR="00456E1A" w:rsidRPr="00E7095A" w:rsidRDefault="00456E1A" w:rsidP="00456E1A">
            <w:pPr>
              <w:pStyle w:val="TT"/>
              <w:jc w:val="right"/>
              <w:rPr>
                <w:rFonts w:asciiTheme="minorHAnsi" w:hAnsiTheme="minorHAnsi" w:cs="Arial"/>
                <w:b/>
                <w:sz w:val="20"/>
                <w:lang w:val="hr-HR"/>
              </w:rPr>
            </w:pPr>
            <w:r w:rsidRPr="00E7095A">
              <w:rPr>
                <w:rFonts w:ascii="Calibri" w:hAnsi="Calibri"/>
                <w:b/>
                <w:bCs/>
                <w:color w:val="000000"/>
                <w:sz w:val="20"/>
              </w:rPr>
              <w:t>10.290.175</w:t>
            </w:r>
          </w:p>
        </w:tc>
        <w:tc>
          <w:tcPr>
            <w:tcW w:w="832" w:type="pct"/>
            <w:tcBorders>
              <w:top w:val="nil"/>
              <w:left w:val="nil"/>
              <w:bottom w:val="nil"/>
              <w:right w:val="nil"/>
            </w:tcBorders>
            <w:shd w:val="clear" w:color="auto" w:fill="auto"/>
            <w:vAlign w:val="center"/>
          </w:tcPr>
          <w:p w14:paraId="28A0D0EA" w14:textId="2173FA19" w:rsidR="00456E1A" w:rsidRPr="000E5941" w:rsidRDefault="00456E1A" w:rsidP="00456E1A">
            <w:pPr>
              <w:pStyle w:val="TT"/>
              <w:jc w:val="right"/>
              <w:rPr>
                <w:rFonts w:ascii="Calibri" w:hAnsi="Calibri"/>
                <w:b/>
                <w:color w:val="000000"/>
                <w:sz w:val="20"/>
              </w:rPr>
            </w:pPr>
            <w:r>
              <w:rPr>
                <w:rFonts w:ascii="Calibri" w:hAnsi="Calibri"/>
                <w:b/>
                <w:bCs/>
                <w:color w:val="000000"/>
                <w:sz w:val="20"/>
              </w:rPr>
              <w:t>10.403.054</w:t>
            </w:r>
          </w:p>
        </w:tc>
        <w:tc>
          <w:tcPr>
            <w:tcW w:w="761" w:type="pct"/>
            <w:tcBorders>
              <w:top w:val="nil"/>
              <w:left w:val="nil"/>
              <w:bottom w:val="nil"/>
              <w:right w:val="nil"/>
            </w:tcBorders>
            <w:shd w:val="clear" w:color="auto" w:fill="auto"/>
            <w:vAlign w:val="bottom"/>
          </w:tcPr>
          <w:p w14:paraId="3C7B7B26" w14:textId="317583F8" w:rsidR="00456E1A" w:rsidRPr="00EB454A" w:rsidRDefault="00456E1A" w:rsidP="00456E1A">
            <w:pPr>
              <w:pStyle w:val="TT"/>
              <w:jc w:val="right"/>
              <w:rPr>
                <w:rFonts w:asciiTheme="minorHAnsi" w:hAnsiTheme="minorHAnsi" w:cs="Arial"/>
                <w:b/>
                <w:sz w:val="20"/>
                <w:lang w:val="hr-HR"/>
              </w:rPr>
            </w:pPr>
            <w:r w:rsidRPr="002A3E38">
              <w:rPr>
                <w:rFonts w:ascii="Calibri" w:hAnsi="Calibri"/>
                <w:b/>
                <w:bCs/>
                <w:color w:val="000000"/>
                <w:sz w:val="20"/>
              </w:rPr>
              <w:t>10.288.859</w:t>
            </w:r>
          </w:p>
        </w:tc>
      </w:tr>
      <w:tr w:rsidR="00456E1A" w:rsidRPr="00DA1B61" w14:paraId="32FF55CA" w14:textId="77777777" w:rsidTr="00312975">
        <w:trPr>
          <w:jc w:val="center"/>
        </w:trPr>
        <w:tc>
          <w:tcPr>
            <w:tcW w:w="1816" w:type="pct"/>
            <w:vAlign w:val="bottom"/>
          </w:tcPr>
          <w:p w14:paraId="1A7ADDD1" w14:textId="77777777" w:rsidR="00456E1A" w:rsidRPr="00DA1B61" w:rsidRDefault="00456E1A" w:rsidP="00456E1A">
            <w:pPr>
              <w:tabs>
                <w:tab w:val="right" w:pos="1202"/>
                <w:tab w:val="right" w:pos="9781"/>
              </w:tabs>
              <w:spacing w:after="0" w:line="240" w:lineRule="auto"/>
              <w:outlineLvl w:val="0"/>
              <w:rPr>
                <w:rFonts w:eastAsia="Times New Roman" w:cs="Arial"/>
                <w:bCs/>
                <w:sz w:val="20"/>
                <w:szCs w:val="20"/>
              </w:rPr>
            </w:pPr>
            <w:r w:rsidRPr="00DA1B61">
              <w:rPr>
                <w:rFonts w:eastAsia="Times New Roman" w:cs="Arial"/>
                <w:bCs/>
                <w:sz w:val="20"/>
                <w:szCs w:val="20"/>
              </w:rPr>
              <w:t>Kreditnim rizikom ponderirana imovina</w:t>
            </w:r>
          </w:p>
        </w:tc>
        <w:tc>
          <w:tcPr>
            <w:tcW w:w="759" w:type="pct"/>
            <w:tcBorders>
              <w:top w:val="nil"/>
              <w:left w:val="nil"/>
              <w:bottom w:val="nil"/>
              <w:right w:val="nil"/>
            </w:tcBorders>
            <w:shd w:val="clear" w:color="auto" w:fill="auto"/>
            <w:vAlign w:val="bottom"/>
          </w:tcPr>
          <w:p w14:paraId="769C6AA5" w14:textId="794E44EE" w:rsidR="00456E1A" w:rsidRPr="000E5941" w:rsidRDefault="00456E1A" w:rsidP="00456E1A">
            <w:pPr>
              <w:pStyle w:val="TT"/>
              <w:jc w:val="right"/>
              <w:rPr>
                <w:rFonts w:ascii="Calibri" w:hAnsi="Calibri"/>
                <w:color w:val="000000"/>
                <w:sz w:val="20"/>
              </w:rPr>
            </w:pPr>
            <w:r>
              <w:rPr>
                <w:rFonts w:ascii="Calibri" w:hAnsi="Calibri"/>
                <w:color w:val="000000"/>
                <w:sz w:val="20"/>
              </w:rPr>
              <w:t>16.385.191</w:t>
            </w:r>
          </w:p>
        </w:tc>
        <w:tc>
          <w:tcPr>
            <w:tcW w:w="832" w:type="pct"/>
            <w:tcBorders>
              <w:top w:val="nil"/>
              <w:left w:val="nil"/>
              <w:bottom w:val="nil"/>
              <w:right w:val="nil"/>
            </w:tcBorders>
            <w:shd w:val="clear" w:color="auto" w:fill="auto"/>
            <w:vAlign w:val="bottom"/>
          </w:tcPr>
          <w:p w14:paraId="69B44655" w14:textId="41D9BDC7" w:rsidR="00456E1A" w:rsidRPr="007255D5" w:rsidRDefault="00456E1A" w:rsidP="00456E1A">
            <w:pPr>
              <w:pStyle w:val="TT"/>
              <w:jc w:val="right"/>
              <w:rPr>
                <w:rFonts w:asciiTheme="minorHAnsi" w:hAnsiTheme="minorHAnsi" w:cs="Arial"/>
                <w:sz w:val="20"/>
                <w:lang w:val="hr-HR"/>
              </w:rPr>
            </w:pPr>
            <w:r w:rsidRPr="002A3E38">
              <w:rPr>
                <w:rFonts w:ascii="Calibri" w:hAnsi="Calibri"/>
                <w:color w:val="000000"/>
                <w:sz w:val="20"/>
              </w:rPr>
              <w:t>16.415.582</w:t>
            </w:r>
          </w:p>
        </w:tc>
        <w:tc>
          <w:tcPr>
            <w:tcW w:w="832" w:type="pct"/>
            <w:tcBorders>
              <w:top w:val="nil"/>
              <w:left w:val="nil"/>
              <w:bottom w:val="nil"/>
              <w:right w:val="nil"/>
            </w:tcBorders>
            <w:shd w:val="clear" w:color="auto" w:fill="auto"/>
            <w:vAlign w:val="center"/>
          </w:tcPr>
          <w:p w14:paraId="43FB179A" w14:textId="4AB752F9" w:rsidR="00456E1A" w:rsidRPr="000E5941" w:rsidRDefault="00456E1A" w:rsidP="00456E1A">
            <w:pPr>
              <w:pStyle w:val="TT"/>
              <w:jc w:val="right"/>
              <w:rPr>
                <w:rFonts w:ascii="Calibri" w:hAnsi="Calibri"/>
                <w:color w:val="000000"/>
                <w:sz w:val="20"/>
              </w:rPr>
            </w:pPr>
            <w:r>
              <w:rPr>
                <w:rFonts w:ascii="Calibri" w:hAnsi="Calibri"/>
                <w:color w:val="000000"/>
                <w:sz w:val="20"/>
              </w:rPr>
              <w:t>16.416.584</w:t>
            </w:r>
          </w:p>
        </w:tc>
        <w:tc>
          <w:tcPr>
            <w:tcW w:w="761" w:type="pct"/>
            <w:tcBorders>
              <w:top w:val="nil"/>
              <w:left w:val="nil"/>
              <w:bottom w:val="nil"/>
              <w:right w:val="nil"/>
            </w:tcBorders>
            <w:shd w:val="clear" w:color="auto" w:fill="auto"/>
            <w:vAlign w:val="bottom"/>
          </w:tcPr>
          <w:p w14:paraId="12C537EE" w14:textId="0454A1E8" w:rsidR="00456E1A" w:rsidRPr="007255D5" w:rsidRDefault="00456E1A" w:rsidP="00456E1A">
            <w:pPr>
              <w:pStyle w:val="TT"/>
              <w:jc w:val="right"/>
              <w:rPr>
                <w:rFonts w:asciiTheme="minorHAnsi" w:hAnsiTheme="minorHAnsi" w:cs="Arial"/>
                <w:sz w:val="20"/>
                <w:lang w:val="hr-HR"/>
              </w:rPr>
            </w:pPr>
            <w:r w:rsidRPr="002A3E38">
              <w:rPr>
                <w:rFonts w:ascii="Calibri" w:hAnsi="Calibri"/>
                <w:color w:val="000000"/>
                <w:sz w:val="20"/>
              </w:rPr>
              <w:t>16.447.428</w:t>
            </w:r>
          </w:p>
        </w:tc>
      </w:tr>
      <w:tr w:rsidR="00456E1A" w:rsidRPr="00DA1B61" w14:paraId="624E3132" w14:textId="77777777" w:rsidTr="00312975">
        <w:trPr>
          <w:jc w:val="center"/>
        </w:trPr>
        <w:tc>
          <w:tcPr>
            <w:tcW w:w="1816" w:type="pct"/>
            <w:vAlign w:val="bottom"/>
          </w:tcPr>
          <w:p w14:paraId="088B064B" w14:textId="77777777" w:rsidR="00456E1A" w:rsidRPr="00DA1B61" w:rsidRDefault="00456E1A" w:rsidP="00456E1A">
            <w:pPr>
              <w:tabs>
                <w:tab w:val="right" w:pos="1202"/>
                <w:tab w:val="right" w:pos="9781"/>
              </w:tabs>
              <w:spacing w:after="0" w:line="240" w:lineRule="auto"/>
              <w:outlineLvl w:val="0"/>
              <w:rPr>
                <w:rFonts w:eastAsia="Times New Roman" w:cs="Arial"/>
                <w:bCs/>
                <w:sz w:val="20"/>
                <w:szCs w:val="20"/>
              </w:rPr>
            </w:pPr>
            <w:r w:rsidRPr="00DA1B61">
              <w:rPr>
                <w:rFonts w:eastAsia="Times New Roman" w:cs="Arial"/>
                <w:bCs/>
                <w:sz w:val="20"/>
                <w:szCs w:val="20"/>
              </w:rPr>
              <w:t>Kapitalni zahtjev za deviznu poziciju (valutni rizik)</w:t>
            </w:r>
          </w:p>
        </w:tc>
        <w:tc>
          <w:tcPr>
            <w:tcW w:w="759" w:type="pct"/>
            <w:tcBorders>
              <w:top w:val="nil"/>
              <w:left w:val="nil"/>
              <w:bottom w:val="nil"/>
              <w:right w:val="nil"/>
            </w:tcBorders>
            <w:shd w:val="clear" w:color="auto" w:fill="auto"/>
            <w:vAlign w:val="bottom"/>
          </w:tcPr>
          <w:p w14:paraId="587D31E7" w14:textId="75F705AD" w:rsidR="00456E1A" w:rsidRPr="000E5941" w:rsidRDefault="00456E1A" w:rsidP="00456E1A">
            <w:pPr>
              <w:pStyle w:val="TT"/>
              <w:jc w:val="right"/>
              <w:rPr>
                <w:rFonts w:ascii="Calibri" w:hAnsi="Calibri"/>
                <w:color w:val="000000"/>
                <w:sz w:val="20"/>
              </w:rPr>
            </w:pPr>
            <w:r>
              <w:rPr>
                <w:rFonts w:ascii="Calibri" w:hAnsi="Calibri"/>
                <w:color w:val="000000"/>
                <w:sz w:val="20"/>
              </w:rPr>
              <w:t xml:space="preserve">                   239.362 </w:t>
            </w:r>
          </w:p>
        </w:tc>
        <w:tc>
          <w:tcPr>
            <w:tcW w:w="832" w:type="pct"/>
            <w:tcBorders>
              <w:top w:val="nil"/>
              <w:left w:val="nil"/>
              <w:bottom w:val="nil"/>
              <w:right w:val="nil"/>
            </w:tcBorders>
            <w:shd w:val="clear" w:color="auto" w:fill="auto"/>
            <w:vAlign w:val="bottom"/>
          </w:tcPr>
          <w:p w14:paraId="55F04FC5" w14:textId="59525BB9" w:rsidR="00456E1A" w:rsidRPr="007255D5" w:rsidRDefault="00456E1A" w:rsidP="00456E1A">
            <w:pPr>
              <w:pStyle w:val="TT"/>
              <w:jc w:val="right"/>
              <w:rPr>
                <w:rFonts w:asciiTheme="minorHAnsi" w:hAnsiTheme="minorHAnsi" w:cs="Arial"/>
                <w:sz w:val="20"/>
                <w:lang w:val="hr-HR"/>
              </w:rPr>
            </w:pPr>
            <w:r w:rsidRPr="002A3E38">
              <w:rPr>
                <w:rFonts w:ascii="Calibri" w:hAnsi="Calibri"/>
                <w:color w:val="000000"/>
                <w:sz w:val="20"/>
              </w:rPr>
              <w:t xml:space="preserve">609.631 </w:t>
            </w:r>
          </w:p>
        </w:tc>
        <w:tc>
          <w:tcPr>
            <w:tcW w:w="832" w:type="pct"/>
            <w:tcBorders>
              <w:top w:val="nil"/>
              <w:left w:val="nil"/>
              <w:bottom w:val="nil"/>
              <w:right w:val="nil"/>
            </w:tcBorders>
            <w:shd w:val="clear" w:color="auto" w:fill="auto"/>
            <w:vAlign w:val="center"/>
          </w:tcPr>
          <w:p w14:paraId="7F312522" w14:textId="20A1BB48" w:rsidR="00456E1A" w:rsidRPr="000E5941" w:rsidRDefault="00456E1A" w:rsidP="00456E1A">
            <w:pPr>
              <w:pStyle w:val="TT"/>
              <w:jc w:val="right"/>
              <w:rPr>
                <w:rFonts w:ascii="Calibri" w:hAnsi="Calibri"/>
                <w:color w:val="000000"/>
                <w:sz w:val="20"/>
              </w:rPr>
            </w:pPr>
            <w:r>
              <w:rPr>
                <w:rFonts w:ascii="Calibri" w:hAnsi="Calibri"/>
                <w:color w:val="000000"/>
                <w:sz w:val="20"/>
              </w:rPr>
              <w:t xml:space="preserve">                   227.348 </w:t>
            </w:r>
          </w:p>
        </w:tc>
        <w:tc>
          <w:tcPr>
            <w:tcW w:w="761" w:type="pct"/>
            <w:tcBorders>
              <w:top w:val="nil"/>
              <w:left w:val="nil"/>
              <w:bottom w:val="nil"/>
              <w:right w:val="nil"/>
            </w:tcBorders>
            <w:shd w:val="clear" w:color="auto" w:fill="auto"/>
            <w:vAlign w:val="bottom"/>
          </w:tcPr>
          <w:p w14:paraId="1B6A9120" w14:textId="3DD3E878" w:rsidR="00456E1A" w:rsidRPr="007255D5" w:rsidRDefault="00456E1A" w:rsidP="00456E1A">
            <w:pPr>
              <w:pStyle w:val="TT"/>
              <w:jc w:val="right"/>
              <w:rPr>
                <w:rFonts w:asciiTheme="minorHAnsi" w:hAnsiTheme="minorHAnsi" w:cs="Arial"/>
                <w:sz w:val="20"/>
                <w:lang w:val="hr-HR"/>
              </w:rPr>
            </w:pPr>
            <w:r w:rsidRPr="002A3E38">
              <w:rPr>
                <w:rFonts w:ascii="Calibri" w:hAnsi="Calibri"/>
                <w:color w:val="000000"/>
                <w:sz w:val="20"/>
              </w:rPr>
              <w:t xml:space="preserve"> 597.377 </w:t>
            </w:r>
          </w:p>
        </w:tc>
      </w:tr>
      <w:tr w:rsidR="00456E1A" w:rsidRPr="00DA1B61" w14:paraId="0DE23B62" w14:textId="77777777" w:rsidTr="00312975">
        <w:trPr>
          <w:jc w:val="center"/>
        </w:trPr>
        <w:tc>
          <w:tcPr>
            <w:tcW w:w="1816" w:type="pct"/>
            <w:vAlign w:val="bottom"/>
          </w:tcPr>
          <w:p w14:paraId="6CC22A52" w14:textId="77777777" w:rsidR="00456E1A" w:rsidRPr="00DA1B61" w:rsidRDefault="00456E1A" w:rsidP="00456E1A">
            <w:pPr>
              <w:tabs>
                <w:tab w:val="right" w:pos="1202"/>
                <w:tab w:val="right" w:pos="9781"/>
              </w:tabs>
              <w:spacing w:after="0" w:line="240" w:lineRule="auto"/>
              <w:outlineLvl w:val="0"/>
              <w:rPr>
                <w:rFonts w:eastAsia="Times New Roman" w:cs="Arial"/>
                <w:b/>
                <w:bCs/>
                <w:sz w:val="20"/>
                <w:szCs w:val="20"/>
              </w:rPr>
            </w:pPr>
            <w:r w:rsidRPr="00DA1B61">
              <w:rPr>
                <w:rFonts w:eastAsia="Times New Roman" w:cs="Arial"/>
                <w:b/>
                <w:bCs/>
                <w:sz w:val="20"/>
                <w:szCs w:val="20"/>
              </w:rPr>
              <w:t>Ukupno kapitalni zahtjevi</w:t>
            </w:r>
          </w:p>
        </w:tc>
        <w:tc>
          <w:tcPr>
            <w:tcW w:w="759" w:type="pct"/>
            <w:tcBorders>
              <w:top w:val="nil"/>
              <w:left w:val="nil"/>
              <w:bottom w:val="nil"/>
              <w:right w:val="nil"/>
            </w:tcBorders>
            <w:shd w:val="clear" w:color="auto" w:fill="auto"/>
            <w:vAlign w:val="bottom"/>
          </w:tcPr>
          <w:p w14:paraId="6FDE7FDA" w14:textId="779A6F54" w:rsidR="00456E1A" w:rsidRPr="000E5941" w:rsidRDefault="00456E1A" w:rsidP="00456E1A">
            <w:pPr>
              <w:pStyle w:val="TT"/>
              <w:jc w:val="right"/>
              <w:rPr>
                <w:rFonts w:ascii="Calibri" w:hAnsi="Calibri"/>
                <w:b/>
                <w:color w:val="000000"/>
                <w:sz w:val="20"/>
              </w:rPr>
            </w:pPr>
            <w:r>
              <w:rPr>
                <w:rFonts w:ascii="Calibri" w:hAnsi="Calibri"/>
                <w:b/>
                <w:bCs/>
                <w:color w:val="000000"/>
                <w:sz w:val="20"/>
              </w:rPr>
              <w:t>16.624.553</w:t>
            </w:r>
          </w:p>
        </w:tc>
        <w:tc>
          <w:tcPr>
            <w:tcW w:w="832" w:type="pct"/>
            <w:tcBorders>
              <w:top w:val="nil"/>
              <w:left w:val="nil"/>
              <w:bottom w:val="nil"/>
              <w:right w:val="nil"/>
            </w:tcBorders>
            <w:shd w:val="clear" w:color="auto" w:fill="auto"/>
            <w:vAlign w:val="bottom"/>
          </w:tcPr>
          <w:p w14:paraId="45DBB5F9" w14:textId="4795BFA5" w:rsidR="00456E1A" w:rsidRPr="00EB454A" w:rsidRDefault="00456E1A" w:rsidP="00456E1A">
            <w:pPr>
              <w:pStyle w:val="TT"/>
              <w:jc w:val="right"/>
              <w:rPr>
                <w:rFonts w:asciiTheme="minorHAnsi" w:hAnsiTheme="minorHAnsi" w:cs="Arial"/>
                <w:b/>
                <w:sz w:val="20"/>
                <w:lang w:val="hr-HR"/>
              </w:rPr>
            </w:pPr>
            <w:r w:rsidRPr="002A3E38">
              <w:rPr>
                <w:rFonts w:ascii="Calibri" w:hAnsi="Calibri"/>
                <w:b/>
                <w:bCs/>
                <w:color w:val="000000"/>
                <w:sz w:val="20"/>
              </w:rPr>
              <w:t>17.025.213</w:t>
            </w:r>
          </w:p>
        </w:tc>
        <w:tc>
          <w:tcPr>
            <w:tcW w:w="832" w:type="pct"/>
            <w:tcBorders>
              <w:top w:val="nil"/>
              <w:left w:val="nil"/>
              <w:bottom w:val="nil"/>
              <w:right w:val="nil"/>
            </w:tcBorders>
            <w:shd w:val="clear" w:color="auto" w:fill="auto"/>
            <w:vAlign w:val="center"/>
          </w:tcPr>
          <w:p w14:paraId="18E0DAF7" w14:textId="7AADCFDD" w:rsidR="00456E1A" w:rsidRPr="000E5941" w:rsidRDefault="00456E1A" w:rsidP="00456E1A">
            <w:pPr>
              <w:pStyle w:val="TT"/>
              <w:jc w:val="right"/>
              <w:rPr>
                <w:rFonts w:ascii="Calibri" w:hAnsi="Calibri"/>
                <w:b/>
                <w:color w:val="000000"/>
                <w:sz w:val="20"/>
              </w:rPr>
            </w:pPr>
            <w:r>
              <w:rPr>
                <w:rFonts w:ascii="Calibri" w:hAnsi="Calibri"/>
                <w:b/>
                <w:bCs/>
                <w:color w:val="000000"/>
                <w:sz w:val="20"/>
              </w:rPr>
              <w:t>16.643.932</w:t>
            </w:r>
          </w:p>
        </w:tc>
        <w:tc>
          <w:tcPr>
            <w:tcW w:w="761" w:type="pct"/>
            <w:tcBorders>
              <w:top w:val="nil"/>
              <w:left w:val="nil"/>
              <w:bottom w:val="nil"/>
              <w:right w:val="nil"/>
            </w:tcBorders>
            <w:shd w:val="clear" w:color="auto" w:fill="auto"/>
            <w:vAlign w:val="bottom"/>
          </w:tcPr>
          <w:p w14:paraId="053CF07A" w14:textId="058A1D5D" w:rsidR="00456E1A" w:rsidRPr="00EB454A" w:rsidRDefault="00456E1A" w:rsidP="00456E1A">
            <w:pPr>
              <w:pStyle w:val="TT"/>
              <w:jc w:val="right"/>
              <w:rPr>
                <w:rFonts w:asciiTheme="minorHAnsi" w:hAnsiTheme="minorHAnsi" w:cs="Arial"/>
                <w:b/>
                <w:sz w:val="20"/>
                <w:lang w:val="hr-HR"/>
              </w:rPr>
            </w:pPr>
            <w:r w:rsidRPr="002A3E38">
              <w:rPr>
                <w:rFonts w:ascii="Calibri" w:hAnsi="Calibri"/>
                <w:b/>
                <w:bCs/>
                <w:color w:val="000000"/>
                <w:sz w:val="20"/>
              </w:rPr>
              <w:t>17.044.805</w:t>
            </w:r>
          </w:p>
        </w:tc>
      </w:tr>
      <w:tr w:rsidR="00456E1A" w:rsidRPr="00DA1B61" w14:paraId="1C572F4C" w14:textId="77777777" w:rsidTr="00312975">
        <w:trPr>
          <w:jc w:val="center"/>
        </w:trPr>
        <w:tc>
          <w:tcPr>
            <w:tcW w:w="1816" w:type="pct"/>
          </w:tcPr>
          <w:p w14:paraId="3B0CE7E2" w14:textId="77777777" w:rsidR="00535F46" w:rsidRPr="00DA1B61" w:rsidRDefault="00535F46" w:rsidP="00535F46">
            <w:pPr>
              <w:tabs>
                <w:tab w:val="right" w:pos="9781"/>
              </w:tabs>
              <w:spacing w:after="0" w:line="140" w:lineRule="exact"/>
              <w:jc w:val="both"/>
              <w:rPr>
                <w:rFonts w:eastAsia="Times New Roman" w:cs="Arial"/>
                <w:sz w:val="20"/>
                <w:szCs w:val="20"/>
              </w:rPr>
            </w:pPr>
          </w:p>
        </w:tc>
        <w:tc>
          <w:tcPr>
            <w:tcW w:w="759" w:type="pct"/>
            <w:vAlign w:val="bottom"/>
          </w:tcPr>
          <w:p w14:paraId="7928954D" w14:textId="77777777" w:rsidR="00535F46" w:rsidRPr="00DA1B61" w:rsidRDefault="00535F46" w:rsidP="00535F46">
            <w:pPr>
              <w:keepNext/>
              <w:keepLines/>
              <w:tabs>
                <w:tab w:val="decimal" w:pos="1202"/>
              </w:tabs>
              <w:spacing w:after="0"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___________</w:t>
            </w:r>
          </w:p>
        </w:tc>
        <w:tc>
          <w:tcPr>
            <w:tcW w:w="832" w:type="pct"/>
            <w:vAlign w:val="bottom"/>
          </w:tcPr>
          <w:p w14:paraId="24F4A0C3" w14:textId="77777777" w:rsidR="00535F46" w:rsidRPr="007255D5" w:rsidRDefault="00535F46" w:rsidP="00535F46">
            <w:pPr>
              <w:pStyle w:val="Thick"/>
              <w:spacing w:line="140" w:lineRule="exact"/>
              <w:jc w:val="right"/>
              <w:rPr>
                <w:rFonts w:asciiTheme="minorHAnsi" w:hAnsiTheme="minorHAnsi" w:cs="Arial"/>
                <w:sz w:val="20"/>
                <w:lang w:val="hr-HR"/>
              </w:rPr>
            </w:pPr>
            <w:r w:rsidRPr="007255D5">
              <w:rPr>
                <w:rFonts w:asciiTheme="minorHAnsi" w:hAnsiTheme="minorHAnsi" w:cs="Arial"/>
                <w:sz w:val="20"/>
                <w:lang w:val="hr-HR"/>
              </w:rPr>
              <w:t>___________</w:t>
            </w:r>
          </w:p>
        </w:tc>
        <w:tc>
          <w:tcPr>
            <w:tcW w:w="832" w:type="pct"/>
            <w:vAlign w:val="bottom"/>
          </w:tcPr>
          <w:p w14:paraId="57C820FF" w14:textId="77777777" w:rsidR="00535F46" w:rsidRPr="00DA1B61" w:rsidRDefault="00535F46" w:rsidP="00535F46">
            <w:pPr>
              <w:keepNext/>
              <w:keepLines/>
              <w:tabs>
                <w:tab w:val="decimal" w:pos="1202"/>
              </w:tabs>
              <w:spacing w:after="0"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w:t>
            </w:r>
          </w:p>
        </w:tc>
        <w:tc>
          <w:tcPr>
            <w:tcW w:w="761" w:type="pct"/>
            <w:vAlign w:val="bottom"/>
          </w:tcPr>
          <w:p w14:paraId="33A6AD68" w14:textId="77777777" w:rsidR="00535F46" w:rsidRPr="007255D5" w:rsidRDefault="00535F46" w:rsidP="00535F46">
            <w:pPr>
              <w:pStyle w:val="Thick"/>
              <w:spacing w:line="140" w:lineRule="exact"/>
              <w:jc w:val="right"/>
              <w:rPr>
                <w:rFonts w:asciiTheme="minorHAnsi" w:hAnsiTheme="minorHAnsi" w:cs="Arial"/>
                <w:sz w:val="20"/>
                <w:lang w:val="hr-HR"/>
              </w:rPr>
            </w:pPr>
            <w:r w:rsidRPr="007255D5">
              <w:rPr>
                <w:rFonts w:asciiTheme="minorHAnsi" w:hAnsiTheme="minorHAnsi" w:cs="Arial"/>
                <w:sz w:val="20"/>
                <w:lang w:val="hr-HR"/>
              </w:rPr>
              <w:t>__________</w:t>
            </w:r>
          </w:p>
        </w:tc>
      </w:tr>
      <w:tr w:rsidR="00456E1A" w:rsidRPr="00DA1B61" w14:paraId="488F9B91" w14:textId="77777777" w:rsidTr="00312975">
        <w:trPr>
          <w:jc w:val="center"/>
        </w:trPr>
        <w:tc>
          <w:tcPr>
            <w:tcW w:w="1816" w:type="pct"/>
          </w:tcPr>
          <w:p w14:paraId="57BE3925" w14:textId="77777777" w:rsidR="00535F46" w:rsidRPr="00DA1B61" w:rsidRDefault="00535F46" w:rsidP="00535F46">
            <w:pPr>
              <w:tabs>
                <w:tab w:val="right" w:pos="9781"/>
              </w:tabs>
              <w:spacing w:after="0" w:line="240" w:lineRule="auto"/>
              <w:jc w:val="both"/>
              <w:rPr>
                <w:rFonts w:eastAsia="Times New Roman" w:cs="Arial"/>
                <w:sz w:val="20"/>
                <w:szCs w:val="20"/>
              </w:rPr>
            </w:pPr>
          </w:p>
        </w:tc>
        <w:tc>
          <w:tcPr>
            <w:tcW w:w="759" w:type="pct"/>
            <w:vAlign w:val="bottom"/>
          </w:tcPr>
          <w:p w14:paraId="37A325AC" w14:textId="77777777" w:rsidR="00535F46" w:rsidRPr="00DA1B61" w:rsidRDefault="00535F46" w:rsidP="00535F46">
            <w:pPr>
              <w:tabs>
                <w:tab w:val="right" w:pos="9781"/>
              </w:tabs>
              <w:spacing w:after="0" w:line="240" w:lineRule="auto"/>
              <w:jc w:val="right"/>
              <w:rPr>
                <w:rFonts w:eastAsia="Times New Roman" w:cs="Arial"/>
                <w:b/>
                <w:sz w:val="20"/>
                <w:szCs w:val="20"/>
              </w:rPr>
            </w:pPr>
            <w:r w:rsidRPr="00DA1B61">
              <w:rPr>
                <w:rFonts w:eastAsia="Times New Roman" w:cs="Arial"/>
                <w:b/>
                <w:sz w:val="20"/>
                <w:szCs w:val="20"/>
              </w:rPr>
              <w:t>%</w:t>
            </w:r>
          </w:p>
        </w:tc>
        <w:tc>
          <w:tcPr>
            <w:tcW w:w="832" w:type="pct"/>
            <w:vAlign w:val="bottom"/>
          </w:tcPr>
          <w:p w14:paraId="08E8FA2D" w14:textId="77777777" w:rsidR="00535F46" w:rsidRPr="007255D5" w:rsidRDefault="00535F46" w:rsidP="00535F46">
            <w:pPr>
              <w:pStyle w:val="T1"/>
              <w:keepNext w:val="0"/>
              <w:tabs>
                <w:tab w:val="right" w:pos="9781"/>
              </w:tabs>
              <w:spacing w:before="0" w:after="0" w:line="240" w:lineRule="auto"/>
              <w:jc w:val="right"/>
              <w:rPr>
                <w:rFonts w:asciiTheme="minorHAnsi" w:hAnsiTheme="minorHAnsi" w:cs="Arial"/>
                <w:bCs w:val="0"/>
                <w:sz w:val="20"/>
                <w:lang w:val="hr-HR"/>
              </w:rPr>
            </w:pPr>
            <w:r w:rsidRPr="007255D5">
              <w:rPr>
                <w:rFonts w:asciiTheme="minorHAnsi" w:hAnsiTheme="minorHAnsi" w:cs="Arial"/>
                <w:bCs w:val="0"/>
                <w:sz w:val="20"/>
                <w:lang w:val="hr-HR"/>
              </w:rPr>
              <w:t>%</w:t>
            </w:r>
          </w:p>
        </w:tc>
        <w:tc>
          <w:tcPr>
            <w:tcW w:w="832" w:type="pct"/>
            <w:vAlign w:val="bottom"/>
          </w:tcPr>
          <w:p w14:paraId="6CD236C9" w14:textId="77777777" w:rsidR="00535F46" w:rsidRPr="00DA1B61" w:rsidRDefault="00535F46" w:rsidP="00535F46">
            <w:pPr>
              <w:tabs>
                <w:tab w:val="right" w:pos="9781"/>
              </w:tabs>
              <w:spacing w:after="0" w:line="240" w:lineRule="auto"/>
              <w:jc w:val="right"/>
              <w:rPr>
                <w:rFonts w:eastAsia="Times New Roman" w:cs="Arial"/>
                <w:b/>
                <w:sz w:val="20"/>
                <w:szCs w:val="20"/>
              </w:rPr>
            </w:pPr>
            <w:r w:rsidRPr="00DA1B61">
              <w:rPr>
                <w:rFonts w:eastAsia="Times New Roman" w:cs="Arial"/>
                <w:b/>
                <w:sz w:val="20"/>
                <w:szCs w:val="20"/>
              </w:rPr>
              <w:t>%</w:t>
            </w:r>
          </w:p>
        </w:tc>
        <w:tc>
          <w:tcPr>
            <w:tcW w:w="761" w:type="pct"/>
            <w:vAlign w:val="bottom"/>
          </w:tcPr>
          <w:p w14:paraId="578C9DD3" w14:textId="77777777" w:rsidR="00535F46" w:rsidRPr="007255D5" w:rsidRDefault="00535F46" w:rsidP="00535F46">
            <w:pPr>
              <w:pStyle w:val="T1"/>
              <w:keepNext w:val="0"/>
              <w:tabs>
                <w:tab w:val="right" w:pos="9781"/>
              </w:tabs>
              <w:spacing w:before="0" w:after="0" w:line="240" w:lineRule="auto"/>
              <w:jc w:val="right"/>
              <w:rPr>
                <w:rFonts w:asciiTheme="minorHAnsi" w:hAnsiTheme="minorHAnsi" w:cs="Arial"/>
                <w:bCs w:val="0"/>
                <w:sz w:val="20"/>
                <w:lang w:val="hr-HR"/>
              </w:rPr>
            </w:pPr>
            <w:r w:rsidRPr="007255D5">
              <w:rPr>
                <w:rFonts w:asciiTheme="minorHAnsi" w:hAnsiTheme="minorHAnsi" w:cs="Arial"/>
                <w:bCs w:val="0"/>
                <w:sz w:val="20"/>
                <w:lang w:val="hr-HR"/>
              </w:rPr>
              <w:t>%</w:t>
            </w:r>
          </w:p>
        </w:tc>
      </w:tr>
      <w:tr w:rsidR="00456E1A" w:rsidRPr="00DA1B61" w14:paraId="59BB232C" w14:textId="77777777" w:rsidTr="00312975">
        <w:trPr>
          <w:jc w:val="center"/>
        </w:trPr>
        <w:tc>
          <w:tcPr>
            <w:tcW w:w="1816" w:type="pct"/>
            <w:vAlign w:val="bottom"/>
          </w:tcPr>
          <w:p w14:paraId="484FE371" w14:textId="77777777" w:rsidR="00E7095A" w:rsidRPr="00DA1B61" w:rsidRDefault="00E7095A" w:rsidP="00E7095A">
            <w:pPr>
              <w:tabs>
                <w:tab w:val="right" w:pos="1202"/>
                <w:tab w:val="right" w:pos="9781"/>
              </w:tabs>
              <w:spacing w:after="0" w:line="240" w:lineRule="auto"/>
              <w:outlineLvl w:val="0"/>
              <w:rPr>
                <w:rFonts w:eastAsia="Times New Roman" w:cs="Arial"/>
                <w:b/>
                <w:bCs/>
                <w:sz w:val="20"/>
                <w:szCs w:val="20"/>
              </w:rPr>
            </w:pPr>
            <w:r w:rsidRPr="00DA1B61">
              <w:rPr>
                <w:rFonts w:eastAsia="Times New Roman" w:cs="Arial"/>
                <w:b/>
                <w:bCs/>
                <w:sz w:val="20"/>
                <w:szCs w:val="20"/>
              </w:rPr>
              <w:t>Pokrivenost kapitalnih zahtjeva Osnovnim kapitalom (</w:t>
            </w:r>
            <w:proofErr w:type="spellStart"/>
            <w:r w:rsidRPr="00DA1B61">
              <w:rPr>
                <w:rFonts w:eastAsia="Times New Roman" w:cs="Arial"/>
                <w:b/>
                <w:bCs/>
                <w:sz w:val="20"/>
                <w:szCs w:val="20"/>
              </w:rPr>
              <w:t>Tier</w:t>
            </w:r>
            <w:proofErr w:type="spellEnd"/>
            <w:r w:rsidRPr="00DA1B61">
              <w:rPr>
                <w:rFonts w:eastAsia="Times New Roman" w:cs="Arial"/>
                <w:b/>
                <w:bCs/>
                <w:sz w:val="20"/>
                <w:szCs w:val="20"/>
              </w:rPr>
              <w:t xml:space="preserve"> 1)</w:t>
            </w:r>
          </w:p>
        </w:tc>
        <w:tc>
          <w:tcPr>
            <w:tcW w:w="759" w:type="pct"/>
            <w:tcBorders>
              <w:top w:val="nil"/>
              <w:left w:val="nil"/>
              <w:bottom w:val="nil"/>
              <w:right w:val="nil"/>
            </w:tcBorders>
            <w:shd w:val="clear" w:color="auto" w:fill="auto"/>
            <w:vAlign w:val="center"/>
          </w:tcPr>
          <w:p w14:paraId="3BD530C1" w14:textId="790C5648" w:rsidR="00E7095A" w:rsidRPr="000E5941" w:rsidRDefault="00456E1A" w:rsidP="000E5941">
            <w:pPr>
              <w:pStyle w:val="Tot"/>
              <w:jc w:val="right"/>
              <w:rPr>
                <w:rFonts w:ascii="Calibri" w:hAnsi="Calibri"/>
                <w:b/>
                <w:bCs/>
                <w:color w:val="000000"/>
                <w:sz w:val="20"/>
              </w:rPr>
            </w:pPr>
            <w:r>
              <w:rPr>
                <w:rFonts w:ascii="Calibri" w:hAnsi="Calibri"/>
                <w:b/>
                <w:bCs/>
                <w:color w:val="000000"/>
                <w:sz w:val="20"/>
              </w:rPr>
              <w:t>60,67</w:t>
            </w:r>
          </w:p>
        </w:tc>
        <w:tc>
          <w:tcPr>
            <w:tcW w:w="832" w:type="pct"/>
            <w:tcBorders>
              <w:top w:val="nil"/>
              <w:left w:val="nil"/>
              <w:bottom w:val="nil"/>
              <w:right w:val="nil"/>
            </w:tcBorders>
            <w:shd w:val="clear" w:color="auto" w:fill="auto"/>
            <w:vAlign w:val="center"/>
          </w:tcPr>
          <w:p w14:paraId="7CBC399F" w14:textId="57389B68" w:rsidR="00E7095A" w:rsidRPr="007255D5" w:rsidRDefault="00E7095A" w:rsidP="00E7095A">
            <w:pPr>
              <w:pStyle w:val="Tot"/>
              <w:jc w:val="right"/>
              <w:rPr>
                <w:rFonts w:asciiTheme="minorHAnsi" w:hAnsiTheme="minorHAnsi" w:cs="Arial"/>
                <w:b/>
                <w:bCs/>
                <w:sz w:val="20"/>
                <w:lang w:val="hr-HR"/>
              </w:rPr>
            </w:pPr>
            <w:r w:rsidRPr="002A3E38">
              <w:rPr>
                <w:rFonts w:ascii="Calibri" w:hAnsi="Calibri"/>
                <w:b/>
                <w:bCs/>
                <w:color w:val="000000"/>
                <w:sz w:val="20"/>
              </w:rPr>
              <w:t>58,48</w:t>
            </w:r>
          </w:p>
        </w:tc>
        <w:tc>
          <w:tcPr>
            <w:tcW w:w="832" w:type="pct"/>
            <w:tcBorders>
              <w:top w:val="nil"/>
              <w:left w:val="nil"/>
              <w:bottom w:val="nil"/>
              <w:right w:val="nil"/>
            </w:tcBorders>
            <w:shd w:val="clear" w:color="auto" w:fill="auto"/>
            <w:vAlign w:val="center"/>
          </w:tcPr>
          <w:p w14:paraId="5BFB7CF9" w14:textId="6956F1E1" w:rsidR="00E7095A" w:rsidRPr="000E5941" w:rsidRDefault="00456E1A" w:rsidP="00E7095A">
            <w:pPr>
              <w:pStyle w:val="Tot"/>
              <w:jc w:val="right"/>
              <w:rPr>
                <w:rFonts w:ascii="Calibri" w:hAnsi="Calibri"/>
                <w:b/>
                <w:bCs/>
                <w:color w:val="000000"/>
                <w:sz w:val="20"/>
              </w:rPr>
            </w:pPr>
            <w:r>
              <w:rPr>
                <w:rFonts w:ascii="Calibri" w:hAnsi="Calibri"/>
                <w:b/>
                <w:bCs/>
                <w:color w:val="000000"/>
                <w:sz w:val="20"/>
              </w:rPr>
              <w:t>60,59</w:t>
            </w:r>
          </w:p>
        </w:tc>
        <w:tc>
          <w:tcPr>
            <w:tcW w:w="761" w:type="pct"/>
            <w:tcBorders>
              <w:top w:val="nil"/>
              <w:left w:val="nil"/>
              <w:bottom w:val="nil"/>
              <w:right w:val="nil"/>
            </w:tcBorders>
            <w:shd w:val="clear" w:color="auto" w:fill="auto"/>
            <w:vAlign w:val="center"/>
          </w:tcPr>
          <w:p w14:paraId="59F6522B" w14:textId="0785D2BA" w:rsidR="00E7095A" w:rsidRPr="007255D5" w:rsidRDefault="00E7095A" w:rsidP="00E7095A">
            <w:pPr>
              <w:pStyle w:val="Tot"/>
              <w:jc w:val="right"/>
              <w:rPr>
                <w:rFonts w:asciiTheme="minorHAnsi" w:hAnsiTheme="minorHAnsi" w:cs="Arial"/>
                <w:b/>
                <w:bCs/>
                <w:sz w:val="20"/>
                <w:lang w:val="hr-HR"/>
              </w:rPr>
            </w:pPr>
            <w:r w:rsidRPr="002A3E38">
              <w:rPr>
                <w:rFonts w:ascii="Calibri" w:hAnsi="Calibri"/>
                <w:b/>
                <w:bCs/>
                <w:color w:val="000000"/>
                <w:sz w:val="20"/>
              </w:rPr>
              <w:t>58,41</w:t>
            </w:r>
          </w:p>
        </w:tc>
      </w:tr>
      <w:tr w:rsidR="00456E1A" w:rsidRPr="00DA1B61" w14:paraId="1AAB5D0A" w14:textId="77777777" w:rsidTr="00312975">
        <w:trPr>
          <w:jc w:val="center"/>
        </w:trPr>
        <w:tc>
          <w:tcPr>
            <w:tcW w:w="1816" w:type="pct"/>
            <w:vAlign w:val="bottom"/>
          </w:tcPr>
          <w:p w14:paraId="7B4129DE" w14:textId="77777777" w:rsidR="00E7095A" w:rsidRPr="00DA1B61" w:rsidRDefault="00E7095A" w:rsidP="00E7095A">
            <w:pPr>
              <w:tabs>
                <w:tab w:val="right" w:pos="1202"/>
                <w:tab w:val="right" w:pos="9781"/>
              </w:tabs>
              <w:spacing w:after="0" w:line="240" w:lineRule="auto"/>
              <w:outlineLvl w:val="0"/>
              <w:rPr>
                <w:rFonts w:eastAsia="Times New Roman" w:cs="Arial"/>
                <w:b/>
                <w:bCs/>
                <w:sz w:val="20"/>
                <w:szCs w:val="20"/>
              </w:rPr>
            </w:pPr>
            <w:r w:rsidRPr="00DA1B61">
              <w:rPr>
                <w:rFonts w:eastAsia="Times New Roman" w:cs="Arial"/>
                <w:b/>
                <w:bCs/>
                <w:sz w:val="20"/>
                <w:szCs w:val="20"/>
              </w:rPr>
              <w:t>Stopa adekvatnosti kapitala</w:t>
            </w:r>
          </w:p>
        </w:tc>
        <w:tc>
          <w:tcPr>
            <w:tcW w:w="759" w:type="pct"/>
            <w:tcBorders>
              <w:top w:val="nil"/>
              <w:left w:val="nil"/>
              <w:bottom w:val="nil"/>
              <w:right w:val="nil"/>
            </w:tcBorders>
            <w:shd w:val="clear" w:color="auto" w:fill="auto"/>
            <w:vAlign w:val="center"/>
          </w:tcPr>
          <w:p w14:paraId="0DF03684" w14:textId="478A29F7" w:rsidR="00E7095A" w:rsidRPr="000E5941" w:rsidRDefault="00456E1A" w:rsidP="000E5941">
            <w:pPr>
              <w:pStyle w:val="Tot"/>
              <w:jc w:val="right"/>
              <w:rPr>
                <w:rFonts w:ascii="Calibri" w:hAnsi="Calibri"/>
                <w:b/>
                <w:bCs/>
                <w:color w:val="000000"/>
                <w:sz w:val="20"/>
              </w:rPr>
            </w:pPr>
            <w:r>
              <w:rPr>
                <w:rFonts w:ascii="Calibri" w:hAnsi="Calibri"/>
                <w:b/>
                <w:bCs/>
                <w:color w:val="000000"/>
                <w:sz w:val="20"/>
              </w:rPr>
              <w:t>62,58</w:t>
            </w:r>
          </w:p>
        </w:tc>
        <w:tc>
          <w:tcPr>
            <w:tcW w:w="832" w:type="pct"/>
            <w:tcBorders>
              <w:top w:val="nil"/>
              <w:left w:val="nil"/>
              <w:bottom w:val="nil"/>
              <w:right w:val="nil"/>
            </w:tcBorders>
            <w:shd w:val="clear" w:color="auto" w:fill="auto"/>
            <w:vAlign w:val="center"/>
          </w:tcPr>
          <w:p w14:paraId="53682C03" w14:textId="31AEBCC0" w:rsidR="00E7095A" w:rsidRPr="007255D5" w:rsidRDefault="00E7095A" w:rsidP="00E7095A">
            <w:pPr>
              <w:pStyle w:val="Tot"/>
              <w:jc w:val="right"/>
              <w:rPr>
                <w:rFonts w:asciiTheme="minorHAnsi" w:hAnsiTheme="minorHAnsi" w:cs="Arial"/>
                <w:b/>
                <w:bCs/>
                <w:sz w:val="20"/>
                <w:lang w:val="hr-HR"/>
              </w:rPr>
            </w:pPr>
            <w:r w:rsidRPr="002A3E38">
              <w:rPr>
                <w:rFonts w:ascii="Calibri" w:hAnsi="Calibri"/>
                <w:b/>
                <w:bCs/>
                <w:color w:val="000000"/>
                <w:sz w:val="20"/>
              </w:rPr>
              <w:t>60,44</w:t>
            </w:r>
          </w:p>
        </w:tc>
        <w:tc>
          <w:tcPr>
            <w:tcW w:w="832" w:type="pct"/>
            <w:tcBorders>
              <w:top w:val="nil"/>
              <w:left w:val="nil"/>
              <w:bottom w:val="nil"/>
              <w:right w:val="nil"/>
            </w:tcBorders>
            <w:shd w:val="clear" w:color="auto" w:fill="auto"/>
            <w:vAlign w:val="center"/>
          </w:tcPr>
          <w:p w14:paraId="5E6D428F" w14:textId="1A78D1C8" w:rsidR="00E7095A" w:rsidRPr="000E5941" w:rsidRDefault="00456E1A" w:rsidP="00E7095A">
            <w:pPr>
              <w:pStyle w:val="Tot"/>
              <w:jc w:val="right"/>
              <w:rPr>
                <w:rFonts w:ascii="Calibri" w:hAnsi="Calibri"/>
                <w:b/>
                <w:bCs/>
                <w:color w:val="000000"/>
                <w:sz w:val="20"/>
              </w:rPr>
            </w:pPr>
            <w:r>
              <w:rPr>
                <w:rFonts w:ascii="Calibri" w:hAnsi="Calibri"/>
                <w:b/>
                <w:bCs/>
                <w:color w:val="000000"/>
                <w:sz w:val="20"/>
              </w:rPr>
              <w:t>62,50</w:t>
            </w:r>
          </w:p>
        </w:tc>
        <w:tc>
          <w:tcPr>
            <w:tcW w:w="761" w:type="pct"/>
            <w:tcBorders>
              <w:top w:val="nil"/>
              <w:left w:val="nil"/>
              <w:bottom w:val="nil"/>
              <w:right w:val="nil"/>
            </w:tcBorders>
            <w:shd w:val="clear" w:color="auto" w:fill="auto"/>
            <w:vAlign w:val="center"/>
          </w:tcPr>
          <w:p w14:paraId="209F4F21" w14:textId="33F1EC08" w:rsidR="00E7095A" w:rsidRPr="007255D5" w:rsidRDefault="00E7095A" w:rsidP="00E7095A">
            <w:pPr>
              <w:pStyle w:val="Tot"/>
              <w:jc w:val="right"/>
              <w:rPr>
                <w:rFonts w:asciiTheme="minorHAnsi" w:hAnsiTheme="minorHAnsi" w:cs="Arial"/>
                <w:b/>
                <w:bCs/>
                <w:sz w:val="20"/>
                <w:lang w:val="hr-HR"/>
              </w:rPr>
            </w:pPr>
            <w:r w:rsidRPr="002A3E38">
              <w:rPr>
                <w:rFonts w:ascii="Calibri" w:hAnsi="Calibri"/>
                <w:b/>
                <w:bCs/>
                <w:color w:val="000000"/>
                <w:sz w:val="20"/>
              </w:rPr>
              <w:t>60,36</w:t>
            </w:r>
          </w:p>
        </w:tc>
      </w:tr>
      <w:tr w:rsidR="00456E1A" w:rsidRPr="00DA1B61" w14:paraId="1C34254B" w14:textId="77777777" w:rsidTr="00312975">
        <w:trPr>
          <w:trHeight w:hRule="exact" w:val="170"/>
          <w:jc w:val="center"/>
        </w:trPr>
        <w:tc>
          <w:tcPr>
            <w:tcW w:w="1816" w:type="pct"/>
            <w:vAlign w:val="bottom"/>
          </w:tcPr>
          <w:p w14:paraId="3B1CF704" w14:textId="77777777" w:rsidR="00535F46" w:rsidRPr="00DA1B61" w:rsidRDefault="00535F46" w:rsidP="00535F46">
            <w:pPr>
              <w:keepLines/>
              <w:tabs>
                <w:tab w:val="decimal" w:pos="1202"/>
                <w:tab w:val="right" w:pos="9781"/>
              </w:tabs>
              <w:spacing w:after="0" w:line="240" w:lineRule="auto"/>
              <w:rPr>
                <w:rFonts w:eastAsia="Times New Roman" w:cs="Arial"/>
                <w:bCs/>
                <w:position w:val="4"/>
                <w:sz w:val="20"/>
                <w:szCs w:val="20"/>
                <w:u w:val="thick"/>
              </w:rPr>
            </w:pPr>
          </w:p>
        </w:tc>
        <w:tc>
          <w:tcPr>
            <w:tcW w:w="759" w:type="pct"/>
            <w:vAlign w:val="bottom"/>
          </w:tcPr>
          <w:p w14:paraId="613D18A3" w14:textId="77777777" w:rsidR="00535F46" w:rsidRPr="00DA1B61" w:rsidRDefault="00535F46" w:rsidP="00535F46">
            <w:pPr>
              <w:keepNext/>
              <w:keepLines/>
              <w:tabs>
                <w:tab w:val="decimal" w:pos="1202"/>
              </w:tabs>
              <w:spacing w:after="0"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___________</w:t>
            </w:r>
          </w:p>
        </w:tc>
        <w:tc>
          <w:tcPr>
            <w:tcW w:w="832" w:type="pct"/>
            <w:vAlign w:val="bottom"/>
          </w:tcPr>
          <w:p w14:paraId="7FE70A4A" w14:textId="77777777" w:rsidR="00535F46" w:rsidRPr="007255D5" w:rsidRDefault="00535F46" w:rsidP="00535F46">
            <w:pPr>
              <w:pStyle w:val="Thick"/>
              <w:spacing w:line="140" w:lineRule="exact"/>
              <w:jc w:val="right"/>
              <w:rPr>
                <w:rFonts w:asciiTheme="minorHAnsi" w:hAnsiTheme="minorHAnsi" w:cs="Arial"/>
                <w:sz w:val="20"/>
                <w:lang w:val="hr-HR"/>
              </w:rPr>
            </w:pPr>
            <w:r w:rsidRPr="007255D5">
              <w:rPr>
                <w:rFonts w:asciiTheme="minorHAnsi" w:hAnsiTheme="minorHAnsi" w:cs="Arial"/>
                <w:sz w:val="20"/>
                <w:lang w:val="hr-HR"/>
              </w:rPr>
              <w:t>___________</w:t>
            </w:r>
          </w:p>
        </w:tc>
        <w:tc>
          <w:tcPr>
            <w:tcW w:w="832" w:type="pct"/>
            <w:vAlign w:val="bottom"/>
          </w:tcPr>
          <w:p w14:paraId="5D82BA5B" w14:textId="77777777" w:rsidR="00535F46" w:rsidRPr="00DA1B61" w:rsidRDefault="00535F46" w:rsidP="00535F46">
            <w:pPr>
              <w:keepNext/>
              <w:keepLines/>
              <w:tabs>
                <w:tab w:val="decimal" w:pos="1202"/>
              </w:tabs>
              <w:spacing w:after="0"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w:t>
            </w:r>
          </w:p>
        </w:tc>
        <w:tc>
          <w:tcPr>
            <w:tcW w:w="761" w:type="pct"/>
            <w:vAlign w:val="bottom"/>
          </w:tcPr>
          <w:p w14:paraId="7B343076" w14:textId="77777777" w:rsidR="00535F46" w:rsidRPr="007255D5" w:rsidRDefault="00535F46" w:rsidP="00535F46">
            <w:pPr>
              <w:pStyle w:val="Thick"/>
              <w:spacing w:line="140" w:lineRule="exact"/>
              <w:jc w:val="right"/>
              <w:rPr>
                <w:rFonts w:asciiTheme="minorHAnsi" w:hAnsiTheme="minorHAnsi" w:cs="Arial"/>
                <w:sz w:val="20"/>
                <w:lang w:val="hr-HR"/>
              </w:rPr>
            </w:pPr>
            <w:r w:rsidRPr="007255D5">
              <w:rPr>
                <w:rFonts w:asciiTheme="minorHAnsi" w:hAnsiTheme="minorHAnsi" w:cs="Arial"/>
                <w:sz w:val="20"/>
                <w:lang w:val="hr-HR"/>
              </w:rPr>
              <w:t>__________</w:t>
            </w:r>
          </w:p>
        </w:tc>
      </w:tr>
      <w:tr w:rsidR="00456E1A" w:rsidRPr="00DA1B61" w14:paraId="3B0983A3" w14:textId="77777777" w:rsidTr="00312975">
        <w:trPr>
          <w:jc w:val="center"/>
        </w:trPr>
        <w:tc>
          <w:tcPr>
            <w:tcW w:w="1816" w:type="pct"/>
            <w:vAlign w:val="bottom"/>
          </w:tcPr>
          <w:p w14:paraId="17875CA1" w14:textId="77777777" w:rsidR="00535F46" w:rsidRPr="00DA1B61" w:rsidRDefault="00535F46" w:rsidP="00535F46">
            <w:pPr>
              <w:keepLines/>
              <w:tabs>
                <w:tab w:val="decimal" w:pos="1202"/>
                <w:tab w:val="right" w:pos="9781"/>
              </w:tabs>
              <w:spacing w:after="0" w:line="240" w:lineRule="auto"/>
              <w:rPr>
                <w:rFonts w:eastAsia="Times New Roman" w:cs="Arial"/>
                <w:bCs/>
                <w:position w:val="4"/>
                <w:sz w:val="20"/>
                <w:szCs w:val="20"/>
                <w:u w:val="thick"/>
              </w:rPr>
            </w:pPr>
          </w:p>
        </w:tc>
        <w:tc>
          <w:tcPr>
            <w:tcW w:w="759" w:type="pct"/>
            <w:vAlign w:val="bottom"/>
          </w:tcPr>
          <w:p w14:paraId="3EF950AC" w14:textId="77777777" w:rsidR="00535F46" w:rsidRPr="00DA1B61" w:rsidRDefault="00535F46" w:rsidP="00535F46">
            <w:pPr>
              <w:keepNext/>
              <w:keepLines/>
              <w:tabs>
                <w:tab w:val="decimal" w:pos="1202"/>
              </w:tabs>
              <w:spacing w:after="0" w:line="240" w:lineRule="auto"/>
              <w:jc w:val="right"/>
              <w:rPr>
                <w:rFonts w:eastAsia="Times New Roman" w:cs="Arial"/>
                <w:b/>
                <w:position w:val="4"/>
                <w:sz w:val="20"/>
                <w:szCs w:val="20"/>
                <w:u w:val="thick"/>
              </w:rPr>
            </w:pPr>
          </w:p>
        </w:tc>
        <w:tc>
          <w:tcPr>
            <w:tcW w:w="832" w:type="pct"/>
            <w:vAlign w:val="bottom"/>
          </w:tcPr>
          <w:p w14:paraId="7D98BB8F" w14:textId="77777777" w:rsidR="00535F46" w:rsidRPr="007255D5" w:rsidRDefault="00535F46" w:rsidP="00535F46">
            <w:pPr>
              <w:pStyle w:val="Thick"/>
              <w:spacing w:line="240" w:lineRule="auto"/>
              <w:jc w:val="right"/>
              <w:rPr>
                <w:rFonts w:asciiTheme="minorHAnsi" w:hAnsiTheme="minorHAnsi" w:cs="Arial"/>
                <w:sz w:val="20"/>
                <w:lang w:val="hr-HR"/>
              </w:rPr>
            </w:pPr>
          </w:p>
        </w:tc>
        <w:tc>
          <w:tcPr>
            <w:tcW w:w="832" w:type="pct"/>
            <w:vAlign w:val="bottom"/>
          </w:tcPr>
          <w:p w14:paraId="67605E6C" w14:textId="77777777" w:rsidR="00535F46" w:rsidRPr="00DA1B61" w:rsidRDefault="00535F46" w:rsidP="00535F46">
            <w:pPr>
              <w:keepNext/>
              <w:keepLines/>
              <w:tabs>
                <w:tab w:val="decimal" w:pos="1202"/>
              </w:tabs>
              <w:spacing w:after="0" w:line="240" w:lineRule="auto"/>
              <w:jc w:val="right"/>
              <w:rPr>
                <w:rFonts w:eastAsia="Times New Roman" w:cs="Arial"/>
                <w:b/>
                <w:position w:val="4"/>
                <w:sz w:val="20"/>
                <w:szCs w:val="20"/>
                <w:u w:val="thick"/>
              </w:rPr>
            </w:pPr>
          </w:p>
        </w:tc>
        <w:tc>
          <w:tcPr>
            <w:tcW w:w="761" w:type="pct"/>
            <w:vAlign w:val="bottom"/>
          </w:tcPr>
          <w:p w14:paraId="771350A3" w14:textId="77777777" w:rsidR="00535F46" w:rsidRPr="007255D5" w:rsidRDefault="00535F46" w:rsidP="00535F46">
            <w:pPr>
              <w:pStyle w:val="Thick"/>
              <w:spacing w:line="240" w:lineRule="auto"/>
              <w:jc w:val="right"/>
              <w:rPr>
                <w:rFonts w:asciiTheme="minorHAnsi" w:hAnsiTheme="minorHAnsi" w:cs="Arial"/>
                <w:sz w:val="20"/>
                <w:lang w:val="hr-HR"/>
              </w:rPr>
            </w:pPr>
          </w:p>
        </w:tc>
      </w:tr>
      <w:tr w:rsidR="00456E1A" w:rsidRPr="00DA1B61" w14:paraId="115DAABC" w14:textId="77777777" w:rsidTr="00312975">
        <w:trPr>
          <w:jc w:val="center"/>
        </w:trPr>
        <w:tc>
          <w:tcPr>
            <w:tcW w:w="1816" w:type="pct"/>
            <w:vAlign w:val="bottom"/>
          </w:tcPr>
          <w:p w14:paraId="770BD8F5" w14:textId="77777777" w:rsidR="00535F46" w:rsidRPr="00DA1B61" w:rsidRDefault="00535F46" w:rsidP="00535F46">
            <w:pPr>
              <w:tabs>
                <w:tab w:val="right" w:pos="9781"/>
              </w:tabs>
              <w:spacing w:after="0" w:line="240" w:lineRule="auto"/>
              <w:rPr>
                <w:rFonts w:eastAsia="Times New Roman" w:cs="Arial"/>
                <w:sz w:val="20"/>
                <w:szCs w:val="20"/>
              </w:rPr>
            </w:pPr>
          </w:p>
        </w:tc>
        <w:tc>
          <w:tcPr>
            <w:tcW w:w="759" w:type="pct"/>
            <w:vAlign w:val="bottom"/>
          </w:tcPr>
          <w:p w14:paraId="1C8F198E" w14:textId="77777777" w:rsidR="00535F46" w:rsidRPr="00DA1B61" w:rsidRDefault="00535F46" w:rsidP="00535F46">
            <w:pPr>
              <w:tabs>
                <w:tab w:val="right" w:pos="1202"/>
              </w:tabs>
              <w:spacing w:after="0" w:line="240" w:lineRule="auto"/>
              <w:jc w:val="right"/>
              <w:outlineLvl w:val="0"/>
              <w:rPr>
                <w:rFonts w:eastAsia="Times New Roman" w:cs="Arial"/>
                <w:b/>
                <w:sz w:val="20"/>
                <w:szCs w:val="20"/>
              </w:rPr>
            </w:pPr>
            <w:r w:rsidRPr="00DA1B61">
              <w:rPr>
                <w:rFonts w:eastAsia="Times New Roman" w:cs="Arial"/>
                <w:b/>
                <w:sz w:val="20"/>
                <w:szCs w:val="20"/>
              </w:rPr>
              <w:t>000 kuna</w:t>
            </w:r>
          </w:p>
        </w:tc>
        <w:tc>
          <w:tcPr>
            <w:tcW w:w="832" w:type="pct"/>
            <w:vAlign w:val="bottom"/>
          </w:tcPr>
          <w:p w14:paraId="38D41B74" w14:textId="77777777" w:rsidR="00535F46" w:rsidRPr="007255D5" w:rsidRDefault="00535F46" w:rsidP="00535F46">
            <w:pPr>
              <w:pStyle w:val="TH"/>
              <w:spacing w:line="240" w:lineRule="auto"/>
              <w:jc w:val="right"/>
              <w:rPr>
                <w:rFonts w:asciiTheme="minorHAnsi" w:hAnsiTheme="minorHAnsi" w:cs="Arial"/>
                <w:sz w:val="20"/>
                <w:lang w:val="hr-HR"/>
              </w:rPr>
            </w:pPr>
            <w:r w:rsidRPr="007255D5">
              <w:rPr>
                <w:rFonts w:asciiTheme="minorHAnsi" w:hAnsiTheme="minorHAnsi" w:cs="Arial"/>
                <w:sz w:val="20"/>
                <w:lang w:val="hr-HR"/>
              </w:rPr>
              <w:t>000 kuna</w:t>
            </w:r>
          </w:p>
        </w:tc>
        <w:tc>
          <w:tcPr>
            <w:tcW w:w="832" w:type="pct"/>
            <w:vAlign w:val="bottom"/>
          </w:tcPr>
          <w:p w14:paraId="3C2DF3D4" w14:textId="77777777" w:rsidR="00535F46" w:rsidRPr="00DA1B61" w:rsidRDefault="00535F46" w:rsidP="00535F46">
            <w:pPr>
              <w:tabs>
                <w:tab w:val="right" w:pos="1202"/>
              </w:tabs>
              <w:spacing w:after="0" w:line="240" w:lineRule="auto"/>
              <w:jc w:val="right"/>
              <w:outlineLvl w:val="0"/>
              <w:rPr>
                <w:rFonts w:eastAsia="Times New Roman" w:cs="Arial"/>
                <w:b/>
                <w:sz w:val="20"/>
                <w:szCs w:val="20"/>
              </w:rPr>
            </w:pPr>
            <w:r w:rsidRPr="00DA1B61">
              <w:rPr>
                <w:rFonts w:eastAsia="Times New Roman" w:cs="Arial"/>
                <w:b/>
                <w:sz w:val="20"/>
                <w:szCs w:val="20"/>
              </w:rPr>
              <w:t>000 kuna</w:t>
            </w:r>
          </w:p>
        </w:tc>
        <w:tc>
          <w:tcPr>
            <w:tcW w:w="761" w:type="pct"/>
            <w:vAlign w:val="bottom"/>
          </w:tcPr>
          <w:p w14:paraId="49EFD8D1" w14:textId="77777777" w:rsidR="00535F46" w:rsidRPr="007255D5" w:rsidRDefault="00535F46" w:rsidP="00535F46">
            <w:pPr>
              <w:pStyle w:val="TH"/>
              <w:spacing w:line="240" w:lineRule="auto"/>
              <w:jc w:val="right"/>
              <w:rPr>
                <w:rFonts w:asciiTheme="minorHAnsi" w:hAnsiTheme="minorHAnsi" w:cs="Arial"/>
                <w:sz w:val="20"/>
                <w:lang w:val="hr-HR"/>
              </w:rPr>
            </w:pPr>
            <w:r w:rsidRPr="007255D5">
              <w:rPr>
                <w:rFonts w:asciiTheme="minorHAnsi" w:hAnsiTheme="minorHAnsi" w:cs="Arial"/>
                <w:sz w:val="20"/>
                <w:lang w:val="hr-HR"/>
              </w:rPr>
              <w:t>000 kuna</w:t>
            </w:r>
          </w:p>
        </w:tc>
      </w:tr>
      <w:tr w:rsidR="00456E1A" w:rsidRPr="00DA1B61" w14:paraId="6E6514C0" w14:textId="77777777" w:rsidTr="00312975">
        <w:trPr>
          <w:jc w:val="center"/>
        </w:trPr>
        <w:tc>
          <w:tcPr>
            <w:tcW w:w="1816" w:type="pct"/>
            <w:vAlign w:val="bottom"/>
          </w:tcPr>
          <w:p w14:paraId="516BBBD9" w14:textId="77777777" w:rsidR="00535F46" w:rsidRPr="00DA1B61" w:rsidRDefault="00535F46" w:rsidP="00535F46">
            <w:pPr>
              <w:tabs>
                <w:tab w:val="right" w:pos="1202"/>
                <w:tab w:val="right" w:pos="9781"/>
              </w:tabs>
              <w:spacing w:after="0" w:line="240" w:lineRule="auto"/>
              <w:outlineLvl w:val="0"/>
              <w:rPr>
                <w:rFonts w:eastAsia="Times New Roman" w:cs="Arial"/>
                <w:b/>
                <w:bCs/>
                <w:sz w:val="20"/>
                <w:szCs w:val="20"/>
              </w:rPr>
            </w:pPr>
            <w:r w:rsidRPr="00DA1B61">
              <w:rPr>
                <w:rFonts w:eastAsia="Times New Roman" w:cs="Arial"/>
                <w:b/>
                <w:bCs/>
                <w:sz w:val="20"/>
                <w:szCs w:val="20"/>
              </w:rPr>
              <w:t>Potreban iznos regulatornog kapitala za pokriće kapitalnih zahtjeva prema regulatornim zahtjevima</w:t>
            </w:r>
          </w:p>
        </w:tc>
        <w:tc>
          <w:tcPr>
            <w:tcW w:w="759" w:type="pct"/>
            <w:vAlign w:val="bottom"/>
          </w:tcPr>
          <w:p w14:paraId="2D124D99" w14:textId="2814B276" w:rsidR="00535F46" w:rsidRPr="00DA1B61" w:rsidRDefault="00456E1A" w:rsidP="00535F46">
            <w:pPr>
              <w:tabs>
                <w:tab w:val="right" w:pos="1202"/>
              </w:tabs>
              <w:spacing w:after="0" w:line="240" w:lineRule="auto"/>
              <w:jc w:val="right"/>
              <w:outlineLvl w:val="0"/>
              <w:rPr>
                <w:rFonts w:eastAsia="Times New Roman" w:cs="Arial"/>
                <w:b/>
                <w:bCs/>
                <w:sz w:val="20"/>
                <w:szCs w:val="20"/>
              </w:rPr>
            </w:pPr>
            <w:r>
              <w:rPr>
                <w:rFonts w:eastAsia="Times New Roman" w:cs="Arial"/>
                <w:b/>
                <w:bCs/>
                <w:sz w:val="20"/>
                <w:szCs w:val="20"/>
              </w:rPr>
              <w:t>1.329.964</w:t>
            </w:r>
          </w:p>
        </w:tc>
        <w:tc>
          <w:tcPr>
            <w:tcW w:w="832" w:type="pct"/>
            <w:vAlign w:val="bottom"/>
          </w:tcPr>
          <w:p w14:paraId="3237B149" w14:textId="403DD86D" w:rsidR="00535F46" w:rsidRPr="007255D5" w:rsidRDefault="00E45CA6" w:rsidP="00535F46">
            <w:pPr>
              <w:pStyle w:val="Tot"/>
              <w:spacing w:line="240" w:lineRule="auto"/>
              <w:jc w:val="right"/>
              <w:rPr>
                <w:rFonts w:asciiTheme="minorHAnsi" w:hAnsiTheme="minorHAnsi" w:cs="Arial"/>
                <w:b/>
                <w:bCs/>
                <w:sz w:val="20"/>
                <w:lang w:val="hr-HR"/>
              </w:rPr>
            </w:pPr>
            <w:r w:rsidRPr="00E45CA6">
              <w:rPr>
                <w:rFonts w:asciiTheme="minorHAnsi" w:hAnsiTheme="minorHAnsi" w:cs="Arial"/>
                <w:b/>
                <w:bCs/>
                <w:sz w:val="20"/>
                <w:lang w:val="hr-HR"/>
              </w:rPr>
              <w:t>1.362.017</w:t>
            </w:r>
          </w:p>
        </w:tc>
        <w:tc>
          <w:tcPr>
            <w:tcW w:w="832" w:type="pct"/>
            <w:vAlign w:val="bottom"/>
          </w:tcPr>
          <w:p w14:paraId="1D991B08" w14:textId="3D0F1350" w:rsidR="00535F46" w:rsidRPr="00DA1B61" w:rsidRDefault="00456E1A" w:rsidP="00535F46">
            <w:pPr>
              <w:tabs>
                <w:tab w:val="right" w:pos="1202"/>
              </w:tabs>
              <w:spacing w:after="0" w:line="240" w:lineRule="auto"/>
              <w:jc w:val="right"/>
              <w:outlineLvl w:val="0"/>
              <w:rPr>
                <w:rFonts w:eastAsia="Times New Roman" w:cs="Arial"/>
                <w:b/>
                <w:bCs/>
                <w:sz w:val="20"/>
                <w:szCs w:val="20"/>
              </w:rPr>
            </w:pPr>
            <w:r>
              <w:rPr>
                <w:rFonts w:eastAsia="Times New Roman" w:cs="Arial"/>
                <w:b/>
                <w:bCs/>
                <w:sz w:val="20"/>
                <w:szCs w:val="20"/>
              </w:rPr>
              <w:t>1.331.515</w:t>
            </w:r>
          </w:p>
        </w:tc>
        <w:tc>
          <w:tcPr>
            <w:tcW w:w="761" w:type="pct"/>
            <w:vAlign w:val="bottom"/>
          </w:tcPr>
          <w:p w14:paraId="15AECFC2" w14:textId="0CF88C83" w:rsidR="00535F46" w:rsidRPr="007255D5" w:rsidRDefault="00E45CA6" w:rsidP="00535F46">
            <w:pPr>
              <w:pStyle w:val="Tot"/>
              <w:spacing w:line="240" w:lineRule="auto"/>
              <w:jc w:val="right"/>
              <w:rPr>
                <w:rFonts w:asciiTheme="minorHAnsi" w:hAnsiTheme="minorHAnsi" w:cs="Arial"/>
                <w:b/>
                <w:bCs/>
                <w:sz w:val="20"/>
                <w:lang w:val="hr-HR"/>
              </w:rPr>
            </w:pPr>
            <w:r w:rsidRPr="00E45CA6">
              <w:rPr>
                <w:rFonts w:asciiTheme="minorHAnsi" w:hAnsiTheme="minorHAnsi" w:cs="Arial"/>
                <w:b/>
                <w:bCs/>
                <w:sz w:val="20"/>
                <w:lang w:val="hr-HR"/>
              </w:rPr>
              <w:t>1.363.584</w:t>
            </w:r>
          </w:p>
        </w:tc>
      </w:tr>
      <w:tr w:rsidR="00456E1A" w:rsidRPr="00DA1B61" w14:paraId="2A6CE8BF" w14:textId="77777777" w:rsidTr="00312975">
        <w:trPr>
          <w:jc w:val="center"/>
        </w:trPr>
        <w:tc>
          <w:tcPr>
            <w:tcW w:w="1816" w:type="pct"/>
          </w:tcPr>
          <w:p w14:paraId="36D9EA55" w14:textId="77777777" w:rsidR="005E04F6" w:rsidRPr="00DA1B61" w:rsidRDefault="005E04F6" w:rsidP="005E04F6">
            <w:pPr>
              <w:keepLines/>
              <w:tabs>
                <w:tab w:val="decimal" w:pos="1202"/>
                <w:tab w:val="right" w:pos="9781"/>
              </w:tabs>
              <w:spacing w:after="0" w:line="140" w:lineRule="exact"/>
              <w:rPr>
                <w:rFonts w:eastAsia="Times New Roman" w:cs="Arial"/>
                <w:bCs/>
                <w:position w:val="4"/>
                <w:sz w:val="20"/>
                <w:szCs w:val="20"/>
                <w:u w:val="thick"/>
              </w:rPr>
            </w:pPr>
          </w:p>
        </w:tc>
        <w:tc>
          <w:tcPr>
            <w:tcW w:w="759" w:type="pct"/>
            <w:vAlign w:val="bottom"/>
          </w:tcPr>
          <w:p w14:paraId="60FF9DF6" w14:textId="77777777" w:rsidR="005E04F6" w:rsidRPr="00DA1B61" w:rsidRDefault="005E04F6" w:rsidP="005E04F6">
            <w:pPr>
              <w:keepNext/>
              <w:keepLines/>
              <w:tabs>
                <w:tab w:val="decimal" w:pos="1202"/>
              </w:tabs>
              <w:spacing w:after="0"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___________</w:t>
            </w:r>
          </w:p>
        </w:tc>
        <w:tc>
          <w:tcPr>
            <w:tcW w:w="832" w:type="pct"/>
            <w:vAlign w:val="bottom"/>
          </w:tcPr>
          <w:p w14:paraId="495BD376" w14:textId="77777777" w:rsidR="005E04F6" w:rsidRPr="00DA1B61" w:rsidRDefault="005E04F6" w:rsidP="005E04F6">
            <w:pPr>
              <w:keepNext/>
              <w:keepLines/>
              <w:tabs>
                <w:tab w:val="decimal" w:pos="1202"/>
              </w:tabs>
              <w:spacing w:after="0"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___________</w:t>
            </w:r>
          </w:p>
        </w:tc>
        <w:tc>
          <w:tcPr>
            <w:tcW w:w="832" w:type="pct"/>
            <w:vAlign w:val="bottom"/>
          </w:tcPr>
          <w:p w14:paraId="62CC41B0" w14:textId="77777777" w:rsidR="005E04F6" w:rsidRPr="00DA1B61" w:rsidRDefault="005E04F6" w:rsidP="005E04F6">
            <w:pPr>
              <w:keepNext/>
              <w:keepLines/>
              <w:tabs>
                <w:tab w:val="decimal" w:pos="1202"/>
              </w:tabs>
              <w:spacing w:after="0"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w:t>
            </w:r>
          </w:p>
        </w:tc>
        <w:tc>
          <w:tcPr>
            <w:tcW w:w="761" w:type="pct"/>
            <w:vAlign w:val="bottom"/>
          </w:tcPr>
          <w:p w14:paraId="5100E563" w14:textId="77777777" w:rsidR="005E04F6" w:rsidRPr="00DA1B61" w:rsidRDefault="005E04F6" w:rsidP="005E04F6">
            <w:pPr>
              <w:keepNext/>
              <w:keepLines/>
              <w:tabs>
                <w:tab w:val="decimal" w:pos="1202"/>
              </w:tabs>
              <w:spacing w:after="0"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___________</w:t>
            </w:r>
          </w:p>
        </w:tc>
      </w:tr>
    </w:tbl>
    <w:p w14:paraId="2F29C2CD" w14:textId="77777777" w:rsidR="00BD197E" w:rsidRDefault="00BD197E" w:rsidP="002A33EB">
      <w:pPr>
        <w:pStyle w:val="T1"/>
        <w:spacing w:before="0" w:after="0" w:line="240" w:lineRule="auto"/>
        <w:rPr>
          <w:rFonts w:asciiTheme="minorHAnsi" w:hAnsiTheme="minorHAnsi"/>
          <w:b w:val="0"/>
          <w:sz w:val="22"/>
          <w:szCs w:val="22"/>
          <w:lang w:val="hr-HR"/>
        </w:rPr>
      </w:pPr>
    </w:p>
    <w:p w14:paraId="7022FD06" w14:textId="45B9AD00" w:rsidR="00BD197E" w:rsidRDefault="002A33EB" w:rsidP="002A33EB">
      <w:pPr>
        <w:pStyle w:val="T1"/>
        <w:spacing w:before="0" w:after="0" w:line="240" w:lineRule="auto"/>
        <w:rPr>
          <w:rFonts w:asciiTheme="minorHAnsi" w:hAnsiTheme="minorHAnsi"/>
          <w:b w:val="0"/>
          <w:sz w:val="22"/>
          <w:szCs w:val="22"/>
          <w:lang w:val="hr-HR"/>
        </w:rPr>
      </w:pPr>
      <w:r w:rsidRPr="007C5E58">
        <w:rPr>
          <w:rFonts w:asciiTheme="minorHAnsi" w:hAnsiTheme="minorHAnsi"/>
          <w:b w:val="0"/>
          <w:sz w:val="22"/>
          <w:szCs w:val="22"/>
          <w:lang w:val="hr-HR"/>
        </w:rPr>
        <w:t xml:space="preserve">Minimalna adekvatnost kapitala na datum izvještaja o financijskom položaju </w:t>
      </w:r>
      <w:r w:rsidR="00073963" w:rsidRPr="007C5E58">
        <w:rPr>
          <w:rFonts w:asciiTheme="minorHAnsi" w:hAnsiTheme="minorHAnsi"/>
          <w:b w:val="0"/>
          <w:sz w:val="22"/>
          <w:szCs w:val="22"/>
          <w:lang w:val="hr-HR"/>
        </w:rPr>
        <w:t xml:space="preserve">bila je </w:t>
      </w:r>
      <w:r w:rsidR="00887BF5" w:rsidRPr="00F1130C">
        <w:rPr>
          <w:rFonts w:asciiTheme="minorHAnsi" w:hAnsiTheme="minorHAnsi"/>
          <w:b w:val="0"/>
          <w:sz w:val="22"/>
          <w:szCs w:val="22"/>
          <w:lang w:val="hr-HR"/>
        </w:rPr>
        <w:t>8</w:t>
      </w:r>
      <w:r w:rsidR="00073963" w:rsidRPr="00DA1B61">
        <w:rPr>
          <w:rFonts w:asciiTheme="minorHAnsi" w:hAnsiTheme="minorHAnsi"/>
          <w:b w:val="0"/>
          <w:sz w:val="22"/>
          <w:szCs w:val="22"/>
          <w:lang w:val="hr-HR"/>
        </w:rPr>
        <w:t>%</w:t>
      </w:r>
      <w:r w:rsidR="00887BF5">
        <w:rPr>
          <w:rFonts w:asciiTheme="minorHAnsi" w:hAnsiTheme="minorHAnsi"/>
          <w:b w:val="0"/>
          <w:sz w:val="22"/>
          <w:szCs w:val="22"/>
          <w:lang w:val="hr-HR"/>
        </w:rPr>
        <w:t xml:space="preserve"> </w:t>
      </w:r>
      <w:r w:rsidR="00073963">
        <w:rPr>
          <w:rFonts w:asciiTheme="minorHAnsi" w:hAnsiTheme="minorHAnsi"/>
          <w:b w:val="0"/>
          <w:sz w:val="22"/>
          <w:szCs w:val="22"/>
          <w:lang w:val="hr-HR"/>
        </w:rPr>
        <w:t>(31.</w:t>
      </w:r>
      <w:r w:rsidR="006B35D1">
        <w:rPr>
          <w:rFonts w:asciiTheme="minorHAnsi" w:hAnsiTheme="minorHAnsi"/>
          <w:b w:val="0"/>
          <w:sz w:val="22"/>
          <w:szCs w:val="22"/>
          <w:lang w:val="hr-HR"/>
        </w:rPr>
        <w:t xml:space="preserve"> prosinca </w:t>
      </w:r>
      <w:r w:rsidR="00073963">
        <w:rPr>
          <w:rFonts w:asciiTheme="minorHAnsi" w:hAnsiTheme="minorHAnsi"/>
          <w:b w:val="0"/>
          <w:sz w:val="22"/>
          <w:szCs w:val="22"/>
          <w:lang w:val="hr-HR"/>
        </w:rPr>
        <w:t>201</w:t>
      </w:r>
      <w:r w:rsidR="00E45CA6">
        <w:rPr>
          <w:rFonts w:asciiTheme="minorHAnsi" w:hAnsiTheme="minorHAnsi"/>
          <w:b w:val="0"/>
          <w:sz w:val="22"/>
          <w:szCs w:val="22"/>
          <w:lang w:val="hr-HR"/>
        </w:rPr>
        <w:t>6</w:t>
      </w:r>
      <w:r w:rsidR="00EB5C92">
        <w:rPr>
          <w:rFonts w:asciiTheme="minorHAnsi" w:hAnsiTheme="minorHAnsi"/>
          <w:b w:val="0"/>
          <w:sz w:val="22"/>
          <w:szCs w:val="22"/>
          <w:lang w:val="hr-HR"/>
        </w:rPr>
        <w:t>.: 8</w:t>
      </w:r>
      <w:r w:rsidR="00073963" w:rsidRPr="002D22DB">
        <w:rPr>
          <w:rFonts w:asciiTheme="minorHAnsi" w:hAnsiTheme="minorHAnsi"/>
          <w:b w:val="0"/>
          <w:sz w:val="22"/>
          <w:szCs w:val="22"/>
          <w:lang w:val="hr-HR"/>
        </w:rPr>
        <w:t>%).</w:t>
      </w:r>
    </w:p>
    <w:p w14:paraId="0951C51F" w14:textId="77777777" w:rsidR="00BD197E" w:rsidRDefault="00BD197E" w:rsidP="002A33EB">
      <w:pPr>
        <w:pStyle w:val="T1"/>
        <w:spacing w:before="0" w:after="0" w:line="240" w:lineRule="auto"/>
        <w:rPr>
          <w:rFonts w:asciiTheme="minorHAnsi" w:hAnsiTheme="minorHAnsi"/>
          <w:b w:val="0"/>
          <w:sz w:val="22"/>
          <w:szCs w:val="22"/>
          <w:lang w:val="hr-HR"/>
        </w:rPr>
        <w:sectPr w:rsidR="00BD197E" w:rsidSect="002B7DC6">
          <w:footerReference w:type="first" r:id="rId135"/>
          <w:pgSz w:w="11906" w:h="16838" w:code="9"/>
          <w:pgMar w:top="1418" w:right="1418" w:bottom="595" w:left="1134" w:header="709" w:footer="709" w:gutter="0"/>
          <w:cols w:space="708"/>
          <w:titlePg/>
          <w:docGrid w:linePitch="360"/>
        </w:sectPr>
      </w:pPr>
    </w:p>
    <w:p w14:paraId="2103E625" w14:textId="77777777" w:rsidR="00BD197E" w:rsidRDefault="00BD197E" w:rsidP="00BD197E">
      <w:pPr>
        <w:pStyle w:val="T1"/>
        <w:spacing w:before="0" w:after="0" w:line="240" w:lineRule="auto"/>
        <w:ind w:left="709" w:hanging="709"/>
        <w:rPr>
          <w:rFonts w:asciiTheme="minorHAnsi" w:hAnsiTheme="minorHAnsi" w:cs="Arial"/>
          <w:spacing w:val="-3"/>
          <w:sz w:val="22"/>
          <w:szCs w:val="22"/>
          <w:lang w:val="hr-HR"/>
        </w:rPr>
      </w:pPr>
    </w:p>
    <w:p w14:paraId="2DA0CF8B" w14:textId="77777777" w:rsidR="00BD197E" w:rsidRDefault="00BD197E" w:rsidP="00682ABB">
      <w:pPr>
        <w:pStyle w:val="T1"/>
        <w:spacing w:before="0" w:after="0" w:line="240" w:lineRule="auto"/>
        <w:ind w:left="567" w:hanging="567"/>
        <w:rPr>
          <w:rFonts w:asciiTheme="minorHAnsi" w:hAnsiTheme="minorHAnsi" w:cs="Arial"/>
          <w:spacing w:val="-3"/>
          <w:sz w:val="22"/>
          <w:szCs w:val="22"/>
          <w:lang w:val="hr-HR"/>
        </w:rPr>
      </w:pPr>
      <w:r>
        <w:rPr>
          <w:rFonts w:asciiTheme="minorHAnsi" w:hAnsiTheme="minorHAnsi" w:cs="Arial"/>
          <w:spacing w:val="-3"/>
          <w:sz w:val="22"/>
          <w:szCs w:val="22"/>
          <w:lang w:val="hr-HR"/>
        </w:rPr>
        <w:t>1</w:t>
      </w:r>
      <w:r w:rsidR="00C31C6A">
        <w:rPr>
          <w:rFonts w:asciiTheme="minorHAnsi" w:hAnsiTheme="minorHAnsi" w:cs="Arial"/>
          <w:spacing w:val="-3"/>
          <w:sz w:val="22"/>
          <w:szCs w:val="22"/>
          <w:lang w:val="hr-HR"/>
        </w:rPr>
        <w:t>9</w:t>
      </w:r>
      <w:r w:rsidRPr="00BD197E">
        <w:rPr>
          <w:rFonts w:asciiTheme="minorHAnsi" w:hAnsiTheme="minorHAnsi" w:cs="Arial"/>
          <w:spacing w:val="-3"/>
          <w:sz w:val="22"/>
          <w:szCs w:val="22"/>
          <w:lang w:val="hr-HR"/>
        </w:rPr>
        <w:t>.</w:t>
      </w:r>
      <w:r w:rsidRPr="00BD197E">
        <w:rPr>
          <w:rFonts w:asciiTheme="minorHAnsi" w:hAnsiTheme="minorHAnsi" w:cs="Arial"/>
          <w:spacing w:val="-3"/>
          <w:sz w:val="22"/>
          <w:szCs w:val="22"/>
          <w:lang w:val="hr-HR"/>
        </w:rPr>
        <w:tab/>
        <w:t>Upravljanje kapitalom (nastavak)</w:t>
      </w:r>
    </w:p>
    <w:p w14:paraId="0D46C085" w14:textId="77777777" w:rsidR="00BD197E" w:rsidRPr="00BD197E" w:rsidRDefault="00BD197E" w:rsidP="00BD197E">
      <w:pPr>
        <w:pStyle w:val="T1"/>
        <w:spacing w:before="0" w:after="0" w:line="240" w:lineRule="auto"/>
        <w:ind w:left="709" w:hanging="709"/>
        <w:rPr>
          <w:rFonts w:asciiTheme="minorHAnsi" w:hAnsiTheme="minorHAnsi" w:cs="Arial"/>
          <w:spacing w:val="-3"/>
          <w:sz w:val="22"/>
          <w:szCs w:val="22"/>
          <w:lang w:val="hr-HR"/>
        </w:rPr>
      </w:pPr>
    </w:p>
    <w:p w14:paraId="6E546A8E" w14:textId="77777777" w:rsidR="00BD197E" w:rsidRPr="00BD197E" w:rsidRDefault="00BD197E" w:rsidP="00BD197E">
      <w:pPr>
        <w:pStyle w:val="T1"/>
        <w:keepNext w:val="0"/>
        <w:spacing w:before="0" w:after="0" w:line="240" w:lineRule="auto"/>
        <w:rPr>
          <w:rFonts w:asciiTheme="minorHAnsi" w:hAnsiTheme="minorHAnsi"/>
          <w:b w:val="0"/>
          <w:sz w:val="22"/>
          <w:szCs w:val="22"/>
          <w:lang w:val="hr-HR"/>
        </w:rPr>
      </w:pPr>
      <w:r w:rsidRPr="00BD197E">
        <w:rPr>
          <w:rFonts w:asciiTheme="minorHAnsi" w:hAnsiTheme="minorHAnsi"/>
          <w:b w:val="0"/>
          <w:sz w:val="22"/>
          <w:szCs w:val="22"/>
          <w:lang w:val="hr-HR"/>
        </w:rPr>
        <w:t xml:space="preserve">Zbog obimnih izmjena u postojećoj aplikativnoj podršci poslovanju Banke, Uprava je produžila prijelazno razdoblje implementacije i testiranja novih zahtjeva </w:t>
      </w:r>
      <w:r w:rsidRPr="00BD197E">
        <w:rPr>
          <w:rFonts w:asciiTheme="minorHAnsi" w:hAnsiTheme="minorHAnsi" w:cs="Arial"/>
          <w:b w:val="0"/>
          <w:bCs w:val="0"/>
          <w:sz w:val="22"/>
          <w:szCs w:val="22"/>
          <w:lang w:val="hr-HR" w:eastAsia="hr-HR"/>
        </w:rPr>
        <w:t xml:space="preserve">te će primjena uslijediti za prvo izvještajno razdoblje nakon uvođenja u rad programskog rješenja za izračun stope adekvatnosti regulatornog kapitala. </w:t>
      </w:r>
      <w:r w:rsidRPr="00BD197E">
        <w:rPr>
          <w:rFonts w:asciiTheme="minorHAnsi" w:hAnsiTheme="minorHAnsi" w:cs="Arial"/>
          <w:b w:val="0"/>
          <w:sz w:val="22"/>
          <w:szCs w:val="22"/>
          <w:lang w:val="hr-HR"/>
        </w:rPr>
        <w:t>Do tada će se izr</w:t>
      </w:r>
      <w:r w:rsidRPr="00BD197E">
        <w:rPr>
          <w:rFonts w:asciiTheme="minorHAnsi" w:hAnsiTheme="minorHAnsi"/>
          <w:b w:val="0"/>
          <w:sz w:val="22"/>
          <w:szCs w:val="22"/>
          <w:lang w:val="hr-HR"/>
        </w:rPr>
        <w:t>ačun stope adekvatnosti kapitala i izloženosti obavljati na postojeći način.</w:t>
      </w:r>
    </w:p>
    <w:p w14:paraId="3788CB4A" w14:textId="77777777" w:rsidR="00A70A72" w:rsidRDefault="00A70A72" w:rsidP="00BD197E">
      <w:pPr>
        <w:pStyle w:val="T1"/>
        <w:keepNext w:val="0"/>
        <w:spacing w:before="0" w:after="0" w:line="240" w:lineRule="auto"/>
        <w:rPr>
          <w:rFonts w:asciiTheme="minorHAnsi" w:hAnsiTheme="minorHAnsi"/>
          <w:b w:val="0"/>
          <w:sz w:val="22"/>
          <w:szCs w:val="22"/>
          <w:lang w:val="hr-HR"/>
        </w:rPr>
      </w:pPr>
    </w:p>
    <w:p w14:paraId="15EB998C" w14:textId="485E5C2D" w:rsidR="00BD197E" w:rsidRPr="00BD197E" w:rsidRDefault="00BD197E" w:rsidP="00BD197E">
      <w:pPr>
        <w:pStyle w:val="T1"/>
        <w:keepNext w:val="0"/>
        <w:spacing w:before="0" w:after="0" w:line="240" w:lineRule="auto"/>
        <w:rPr>
          <w:rFonts w:asciiTheme="minorHAnsi" w:hAnsiTheme="minorHAnsi"/>
          <w:b w:val="0"/>
          <w:sz w:val="22"/>
          <w:szCs w:val="22"/>
          <w:lang w:val="hr-HR"/>
        </w:rPr>
      </w:pPr>
      <w:r w:rsidRPr="00BD197E">
        <w:rPr>
          <w:rFonts w:asciiTheme="minorHAnsi" w:hAnsiTheme="minorHAnsi"/>
          <w:b w:val="0"/>
          <w:sz w:val="22"/>
          <w:szCs w:val="22"/>
          <w:lang w:val="hr-HR"/>
        </w:rPr>
        <w:t xml:space="preserve">Uprava Grupe ne očekuje nepovoljne utjecaje na visinu adekvatnosti regulatornog kapitala slijedom primjene nove regulative za kreditne institucije s obzirom da je stopa adekvatnosti kapitala Banke na </w:t>
      </w:r>
      <w:r>
        <w:rPr>
          <w:rFonts w:asciiTheme="minorHAnsi" w:hAnsiTheme="minorHAnsi"/>
          <w:b w:val="0"/>
          <w:sz w:val="22"/>
          <w:szCs w:val="22"/>
          <w:lang w:val="hr-HR"/>
        </w:rPr>
        <w:t xml:space="preserve">dan </w:t>
      </w:r>
      <w:r w:rsidR="00151A86">
        <w:rPr>
          <w:rFonts w:asciiTheme="minorHAnsi" w:hAnsiTheme="minorHAnsi"/>
          <w:b w:val="0"/>
          <w:sz w:val="22"/>
          <w:szCs w:val="22"/>
          <w:lang w:val="hr-HR"/>
        </w:rPr>
        <w:t>30</w:t>
      </w:r>
      <w:r w:rsidR="000B47D7">
        <w:rPr>
          <w:rFonts w:asciiTheme="minorHAnsi" w:hAnsiTheme="minorHAnsi"/>
          <w:b w:val="0"/>
          <w:sz w:val="22"/>
          <w:szCs w:val="22"/>
          <w:lang w:val="hr-HR"/>
        </w:rPr>
        <w:t xml:space="preserve">. </w:t>
      </w:r>
      <w:r w:rsidR="00151A86">
        <w:rPr>
          <w:rFonts w:asciiTheme="minorHAnsi" w:hAnsiTheme="minorHAnsi"/>
          <w:b w:val="0"/>
          <w:sz w:val="22"/>
          <w:szCs w:val="22"/>
          <w:lang w:val="hr-HR"/>
        </w:rPr>
        <w:t xml:space="preserve">lipnja </w:t>
      </w:r>
      <w:r>
        <w:rPr>
          <w:rFonts w:asciiTheme="minorHAnsi" w:hAnsiTheme="minorHAnsi"/>
          <w:b w:val="0"/>
          <w:sz w:val="22"/>
          <w:szCs w:val="22"/>
          <w:lang w:val="hr-HR"/>
        </w:rPr>
        <w:t>201</w:t>
      </w:r>
      <w:r w:rsidR="000B47D7">
        <w:rPr>
          <w:rFonts w:asciiTheme="minorHAnsi" w:hAnsiTheme="minorHAnsi"/>
          <w:b w:val="0"/>
          <w:sz w:val="22"/>
          <w:szCs w:val="22"/>
          <w:lang w:val="hr-HR"/>
        </w:rPr>
        <w:t>7</w:t>
      </w:r>
      <w:r>
        <w:rPr>
          <w:rFonts w:asciiTheme="minorHAnsi" w:hAnsiTheme="minorHAnsi"/>
          <w:b w:val="0"/>
          <w:sz w:val="22"/>
          <w:szCs w:val="22"/>
          <w:lang w:val="hr-HR"/>
        </w:rPr>
        <w:t xml:space="preserve">. </w:t>
      </w:r>
      <w:r w:rsidRPr="00E7095A">
        <w:rPr>
          <w:rFonts w:asciiTheme="minorHAnsi" w:hAnsiTheme="minorHAnsi"/>
          <w:b w:val="0"/>
          <w:sz w:val="22"/>
          <w:szCs w:val="22"/>
          <w:lang w:val="hr-HR"/>
        </w:rPr>
        <w:t xml:space="preserve">godine </w:t>
      </w:r>
      <w:r w:rsidR="001E7884" w:rsidRPr="0006065C">
        <w:rPr>
          <w:rFonts w:asciiTheme="minorHAnsi" w:hAnsiTheme="minorHAnsi"/>
          <w:b w:val="0"/>
          <w:sz w:val="22"/>
          <w:szCs w:val="22"/>
          <w:lang w:val="hr-HR"/>
        </w:rPr>
        <w:t>8</w:t>
      </w:r>
      <w:r w:rsidR="007C34B5" w:rsidRPr="0006065C">
        <w:rPr>
          <w:rFonts w:asciiTheme="minorHAnsi" w:hAnsiTheme="minorHAnsi"/>
          <w:b w:val="0"/>
          <w:sz w:val="22"/>
          <w:szCs w:val="22"/>
          <w:lang w:val="hr-HR"/>
        </w:rPr>
        <w:t xml:space="preserve"> </w:t>
      </w:r>
      <w:r w:rsidRPr="0006065C">
        <w:rPr>
          <w:rFonts w:asciiTheme="minorHAnsi" w:hAnsiTheme="minorHAnsi"/>
          <w:b w:val="0"/>
          <w:sz w:val="22"/>
          <w:szCs w:val="22"/>
          <w:lang w:val="hr-HR"/>
        </w:rPr>
        <w:t>puta veća</w:t>
      </w:r>
      <w:r w:rsidRPr="00BD197E">
        <w:rPr>
          <w:rFonts w:asciiTheme="minorHAnsi" w:hAnsiTheme="minorHAnsi"/>
          <w:b w:val="0"/>
          <w:sz w:val="22"/>
          <w:szCs w:val="22"/>
          <w:lang w:val="hr-HR"/>
        </w:rPr>
        <w:t xml:space="preserve"> od propisane, prvenstveno zbog modela poslovanja i usmjerenosti na kreditno poslovanje.</w:t>
      </w:r>
    </w:p>
    <w:p w14:paraId="0A6E442A" w14:textId="77777777" w:rsidR="002A33EB" w:rsidRDefault="002A33EB" w:rsidP="00BD197E">
      <w:pPr>
        <w:pStyle w:val="T1"/>
        <w:spacing w:before="0" w:after="0" w:line="240" w:lineRule="auto"/>
        <w:rPr>
          <w:rFonts w:asciiTheme="minorHAnsi" w:hAnsiTheme="minorHAnsi"/>
          <w:b w:val="0"/>
          <w:sz w:val="22"/>
          <w:szCs w:val="22"/>
          <w:lang w:val="hr-HR"/>
        </w:rPr>
      </w:pPr>
    </w:p>
    <w:p w14:paraId="4339AA7E" w14:textId="77777777" w:rsidR="0068599A" w:rsidRPr="0068599A" w:rsidRDefault="0068599A" w:rsidP="00682ABB">
      <w:pPr>
        <w:pStyle w:val="T1"/>
        <w:tabs>
          <w:tab w:val="left" w:pos="567"/>
        </w:tabs>
        <w:spacing w:before="0" w:after="0" w:line="240" w:lineRule="auto"/>
        <w:rPr>
          <w:rFonts w:asciiTheme="minorHAnsi" w:hAnsiTheme="minorHAnsi"/>
          <w:sz w:val="22"/>
          <w:szCs w:val="22"/>
          <w:lang w:val="hr-HR"/>
        </w:rPr>
      </w:pPr>
      <w:r w:rsidRPr="0068599A">
        <w:rPr>
          <w:rFonts w:asciiTheme="minorHAnsi" w:hAnsiTheme="minorHAnsi"/>
          <w:sz w:val="22"/>
          <w:szCs w:val="22"/>
          <w:lang w:val="hr-HR"/>
        </w:rPr>
        <w:t xml:space="preserve">20. </w:t>
      </w:r>
      <w:r w:rsidR="00490462">
        <w:rPr>
          <w:rFonts w:asciiTheme="minorHAnsi" w:hAnsiTheme="minorHAnsi"/>
          <w:sz w:val="22"/>
          <w:szCs w:val="22"/>
          <w:lang w:val="hr-HR"/>
        </w:rPr>
        <w:tab/>
      </w:r>
      <w:r w:rsidRPr="0068599A">
        <w:rPr>
          <w:rFonts w:asciiTheme="minorHAnsi" w:hAnsiTheme="minorHAnsi"/>
          <w:sz w:val="22"/>
          <w:szCs w:val="22"/>
          <w:lang w:val="hr-HR"/>
        </w:rPr>
        <w:t>Događaji nakon datuma izvještajnog razdoblja</w:t>
      </w:r>
    </w:p>
    <w:p w14:paraId="18DC9E16" w14:textId="77777777" w:rsidR="000A52DD" w:rsidRDefault="000A52DD" w:rsidP="000E5941">
      <w:pPr>
        <w:tabs>
          <w:tab w:val="left" w:pos="567"/>
        </w:tabs>
        <w:spacing w:after="0" w:line="240" w:lineRule="auto"/>
        <w:jc w:val="both"/>
        <w:rPr>
          <w:rFonts w:eastAsia="Times New Roman" w:cs="Arial"/>
          <w:b/>
        </w:rPr>
      </w:pPr>
    </w:p>
    <w:p w14:paraId="1A1FFD32" w14:textId="670307DB" w:rsidR="00486D97" w:rsidRDefault="00F33B0A" w:rsidP="00312975">
      <w:pPr>
        <w:tabs>
          <w:tab w:val="left" w:pos="709"/>
        </w:tabs>
        <w:spacing w:after="0" w:line="240" w:lineRule="auto"/>
        <w:jc w:val="both"/>
        <w:rPr>
          <w:rFonts w:eastAsia="Times New Roman" w:cs="Arial"/>
          <w:b/>
        </w:rPr>
      </w:pPr>
      <w:r>
        <w:rPr>
          <w:rFonts w:eastAsia="Times New Roman" w:cs="Arial"/>
          <w:b/>
        </w:rPr>
        <w:t>20.1.</w:t>
      </w:r>
      <w:r>
        <w:rPr>
          <w:rFonts w:eastAsia="Times New Roman" w:cs="Arial"/>
          <w:b/>
        </w:rPr>
        <w:tab/>
      </w:r>
      <w:r w:rsidR="007B14E7">
        <w:rPr>
          <w:rFonts w:eastAsia="Times New Roman" w:cs="Arial"/>
          <w:b/>
        </w:rPr>
        <w:t>Imenovanje Uprave</w:t>
      </w:r>
    </w:p>
    <w:p w14:paraId="138E0E8A" w14:textId="77777777" w:rsidR="000A52DD" w:rsidRDefault="000A52DD" w:rsidP="000E5941">
      <w:pPr>
        <w:tabs>
          <w:tab w:val="left" w:pos="567"/>
        </w:tabs>
        <w:spacing w:after="0" w:line="240" w:lineRule="auto"/>
        <w:jc w:val="both"/>
        <w:rPr>
          <w:rFonts w:eastAsia="Times New Roman" w:cs="Arial"/>
          <w:b/>
        </w:rPr>
      </w:pPr>
    </w:p>
    <w:p w14:paraId="02FF5E25" w14:textId="77777777" w:rsidR="00C74BCE" w:rsidRPr="00F51330" w:rsidRDefault="00C74BCE" w:rsidP="00C74BCE">
      <w:pPr>
        <w:spacing w:after="0" w:line="240" w:lineRule="auto"/>
        <w:jc w:val="both"/>
        <w:rPr>
          <w:rFonts w:ascii="Calibri" w:eastAsia="Times New Roman" w:hAnsi="Calibri" w:cs="Arial"/>
        </w:rPr>
      </w:pPr>
      <w:r>
        <w:rPr>
          <w:rFonts w:ascii="Calibri" w:eastAsia="Times New Roman" w:hAnsi="Calibri" w:cs="Arial"/>
        </w:rPr>
        <w:t xml:space="preserve">Nakon izvještajnog razdoblja, Odlukom Nadzornog odbora od 31. srpnja 2017. godine mr. </w:t>
      </w:r>
      <w:proofErr w:type="spellStart"/>
      <w:r>
        <w:rPr>
          <w:rFonts w:ascii="Calibri" w:eastAsia="Times New Roman" w:hAnsi="Calibri" w:cs="Arial"/>
        </w:rPr>
        <w:t>sc</w:t>
      </w:r>
      <w:proofErr w:type="spellEnd"/>
      <w:r>
        <w:rPr>
          <w:rFonts w:ascii="Calibri" w:eastAsia="Times New Roman" w:hAnsi="Calibri" w:cs="Arial"/>
        </w:rPr>
        <w:t xml:space="preserve">. Tamara </w:t>
      </w:r>
      <w:proofErr w:type="spellStart"/>
      <w:r>
        <w:rPr>
          <w:rFonts w:ascii="Calibri" w:eastAsia="Times New Roman" w:hAnsi="Calibri" w:cs="Arial"/>
        </w:rPr>
        <w:t>Perko</w:t>
      </w:r>
      <w:proofErr w:type="spellEnd"/>
      <w:r>
        <w:rPr>
          <w:rFonts w:ascii="Calibri" w:eastAsia="Times New Roman" w:hAnsi="Calibri" w:cs="Arial"/>
        </w:rPr>
        <w:t xml:space="preserve"> imenuje se za predsjednicu Uprave HBOR-a, a Martina </w:t>
      </w:r>
      <w:proofErr w:type="spellStart"/>
      <w:r>
        <w:rPr>
          <w:rFonts w:ascii="Calibri" w:eastAsia="Times New Roman" w:hAnsi="Calibri" w:cs="Arial"/>
        </w:rPr>
        <w:t>Jus</w:t>
      </w:r>
      <w:proofErr w:type="spellEnd"/>
      <w:r>
        <w:rPr>
          <w:rFonts w:ascii="Calibri" w:eastAsia="Times New Roman" w:hAnsi="Calibri" w:cs="Arial"/>
        </w:rPr>
        <w:t xml:space="preserve"> se imenuje članicom Uprave HBOR-a, obje s danom 1. kolovoza 2017. godine, do provedbe postupka izbora i imenovanja članova Uprave HBOR-a u skladu s Uredbom o kriterijima za provedbu postupaka odabira i imenovanja kandidata za predsjednike i članove uprava trgovačkih društava i drugih pravnih osoba od strateškog i posebnog interesa za Republiku Hrvatsku (NN 19/17), a najviše na vrijeme od šest mjeseci.</w:t>
      </w:r>
    </w:p>
    <w:p w14:paraId="0CFA473D" w14:textId="77777777" w:rsidR="008A7458" w:rsidRDefault="008A7458" w:rsidP="008A7458">
      <w:pPr>
        <w:spacing w:after="0" w:line="240" w:lineRule="auto"/>
        <w:jc w:val="both"/>
        <w:rPr>
          <w:rFonts w:eastAsia="Times New Roman" w:cs="Arial"/>
        </w:rPr>
      </w:pPr>
    </w:p>
    <w:p w14:paraId="7CE3F3D5" w14:textId="49066E36" w:rsidR="008A7458" w:rsidRDefault="00F33B0A" w:rsidP="008A7458">
      <w:pPr>
        <w:spacing w:after="0" w:line="240" w:lineRule="auto"/>
        <w:jc w:val="both"/>
        <w:rPr>
          <w:rFonts w:eastAsia="Times New Roman" w:cs="Calibri"/>
          <w:b/>
          <w:lang w:eastAsia="hr-HR"/>
        </w:rPr>
      </w:pPr>
      <w:r>
        <w:rPr>
          <w:rFonts w:eastAsia="Times New Roman" w:cs="Calibri"/>
          <w:b/>
          <w:lang w:eastAsia="hr-HR"/>
        </w:rPr>
        <w:t>20.2.</w:t>
      </w:r>
      <w:r>
        <w:rPr>
          <w:rFonts w:eastAsia="Times New Roman" w:cs="Calibri"/>
          <w:b/>
          <w:lang w:eastAsia="hr-HR"/>
        </w:rPr>
        <w:tab/>
      </w:r>
      <w:r w:rsidR="0001200B" w:rsidRPr="00312975">
        <w:rPr>
          <w:rFonts w:eastAsia="Times New Roman" w:cs="Calibri"/>
          <w:b/>
          <w:lang w:eastAsia="hr-HR"/>
        </w:rPr>
        <w:t>Imenovanje Revizorskog odbora</w:t>
      </w:r>
    </w:p>
    <w:p w14:paraId="3447FD01" w14:textId="48C1F0FF" w:rsidR="0001200B" w:rsidRPr="00312975" w:rsidRDefault="0001200B" w:rsidP="008A7458">
      <w:pPr>
        <w:spacing w:after="0" w:line="240" w:lineRule="auto"/>
        <w:jc w:val="both"/>
        <w:rPr>
          <w:rFonts w:eastAsia="Times New Roman" w:cs="Calibri"/>
          <w:lang w:eastAsia="hr-HR"/>
        </w:rPr>
      </w:pPr>
    </w:p>
    <w:p w14:paraId="748DE9A2" w14:textId="77777777" w:rsidR="0001200B" w:rsidRDefault="0001200B" w:rsidP="0001200B">
      <w:pPr>
        <w:tabs>
          <w:tab w:val="left" w:pos="426"/>
        </w:tabs>
        <w:spacing w:after="0" w:line="240" w:lineRule="auto"/>
        <w:jc w:val="both"/>
        <w:rPr>
          <w:rFonts w:eastAsia="Times New Roman" w:cs="Arial"/>
          <w:lang w:eastAsia="hr-HR"/>
        </w:rPr>
      </w:pPr>
      <w:r w:rsidRPr="004C0122">
        <w:rPr>
          <w:rFonts w:eastAsia="Times New Roman" w:cs="Arial"/>
          <w:lang w:eastAsia="hr-HR"/>
        </w:rPr>
        <w:t>Nakon izvještajnog razdoblja</w:t>
      </w:r>
      <w:r>
        <w:rPr>
          <w:rFonts w:eastAsia="Times New Roman" w:cs="Arial"/>
          <w:lang w:eastAsia="hr-HR"/>
        </w:rPr>
        <w:t>, Odlukom Nadzornog odbora od 25. srpnja 2017. godine imenovan je Revizorski odbor u sastavu:</w:t>
      </w:r>
    </w:p>
    <w:p w14:paraId="0348D368" w14:textId="77777777" w:rsidR="0001200B" w:rsidRDefault="0001200B" w:rsidP="0001200B">
      <w:pPr>
        <w:tabs>
          <w:tab w:val="left" w:pos="426"/>
        </w:tabs>
        <w:spacing w:after="0" w:line="240" w:lineRule="auto"/>
        <w:jc w:val="both"/>
        <w:rPr>
          <w:rFonts w:eastAsia="Times New Roman" w:cs="Arial"/>
          <w:lang w:eastAsia="hr-HR"/>
        </w:rPr>
      </w:pPr>
    </w:p>
    <w:p w14:paraId="1BE2F175" w14:textId="77777777" w:rsidR="0001200B" w:rsidRDefault="0001200B" w:rsidP="0001200B">
      <w:pPr>
        <w:pStyle w:val="ListParagraph"/>
        <w:numPr>
          <w:ilvl w:val="0"/>
          <w:numId w:val="31"/>
        </w:numPr>
        <w:tabs>
          <w:tab w:val="left" w:pos="426"/>
        </w:tabs>
        <w:spacing w:after="0" w:line="240" w:lineRule="auto"/>
        <w:jc w:val="both"/>
        <w:rPr>
          <w:rFonts w:eastAsia="Times New Roman" w:cs="Arial"/>
          <w:lang w:eastAsia="hr-HR"/>
        </w:rPr>
      </w:pPr>
      <w:r w:rsidRPr="004C0122">
        <w:rPr>
          <w:rFonts w:eastAsia="Times New Roman" w:cs="Arial"/>
          <w:lang w:eastAsia="hr-HR"/>
        </w:rPr>
        <w:t xml:space="preserve">prof. dr. </w:t>
      </w:r>
      <w:proofErr w:type="spellStart"/>
      <w:r w:rsidRPr="004C0122">
        <w:rPr>
          <w:rFonts w:eastAsia="Times New Roman" w:cs="Arial"/>
          <w:lang w:eastAsia="hr-HR"/>
        </w:rPr>
        <w:t>sc</w:t>
      </w:r>
      <w:proofErr w:type="spellEnd"/>
      <w:r w:rsidRPr="004C0122">
        <w:rPr>
          <w:rFonts w:eastAsia="Times New Roman" w:cs="Arial"/>
          <w:lang w:eastAsia="hr-HR"/>
        </w:rPr>
        <w:t xml:space="preserve">. Lajoš </w:t>
      </w:r>
      <w:proofErr w:type="spellStart"/>
      <w:r w:rsidRPr="004C0122">
        <w:rPr>
          <w:rFonts w:eastAsia="Times New Roman" w:cs="Arial"/>
          <w:lang w:eastAsia="hr-HR"/>
        </w:rPr>
        <w:t>Žager</w:t>
      </w:r>
      <w:proofErr w:type="spellEnd"/>
      <w:r w:rsidRPr="004C0122">
        <w:rPr>
          <w:rFonts w:eastAsia="Times New Roman" w:cs="Arial"/>
          <w:lang w:eastAsia="hr-HR"/>
        </w:rPr>
        <w:t xml:space="preserve">, dekan Ekonomskog fakulteta Sveučilišta u Zagrebu, u svojstvu predsjednika Revizorskog odbora, </w:t>
      </w:r>
    </w:p>
    <w:p w14:paraId="6C55E394" w14:textId="77777777" w:rsidR="0001200B" w:rsidRDefault="0001200B" w:rsidP="0001200B">
      <w:pPr>
        <w:pStyle w:val="ListParagraph"/>
        <w:numPr>
          <w:ilvl w:val="0"/>
          <w:numId w:val="31"/>
        </w:numPr>
        <w:tabs>
          <w:tab w:val="left" w:pos="426"/>
        </w:tabs>
        <w:spacing w:after="0" w:line="240" w:lineRule="auto"/>
        <w:jc w:val="both"/>
        <w:rPr>
          <w:rFonts w:eastAsia="Times New Roman" w:cs="Arial"/>
          <w:lang w:eastAsia="hr-HR"/>
        </w:rPr>
      </w:pPr>
      <w:r>
        <w:rPr>
          <w:rFonts w:eastAsia="Times New Roman" w:cs="Arial"/>
          <w:lang w:eastAsia="hr-HR"/>
        </w:rPr>
        <w:t>Grozdana Perić, predsjednica Odbora za financije i državni proračun u Hrvatskom saboru, u svojstvu zamjenice predsjednika Revizorskog odbora,</w:t>
      </w:r>
    </w:p>
    <w:p w14:paraId="36089FF3" w14:textId="77777777" w:rsidR="0001200B" w:rsidRPr="004C0122" w:rsidRDefault="0001200B" w:rsidP="0001200B">
      <w:pPr>
        <w:pStyle w:val="ListParagraph"/>
        <w:numPr>
          <w:ilvl w:val="0"/>
          <w:numId w:val="31"/>
        </w:numPr>
        <w:tabs>
          <w:tab w:val="left" w:pos="426"/>
        </w:tabs>
        <w:spacing w:after="0" w:line="240" w:lineRule="auto"/>
        <w:jc w:val="both"/>
        <w:rPr>
          <w:rFonts w:eastAsia="Times New Roman" w:cs="Arial"/>
          <w:lang w:eastAsia="hr-HR"/>
        </w:rPr>
      </w:pPr>
      <w:r>
        <w:rPr>
          <w:rFonts w:eastAsia="Times New Roman" w:cs="Arial"/>
          <w:lang w:eastAsia="hr-HR"/>
        </w:rPr>
        <w:t>Aurora Volarević, direktorica Interne kontrole, revizije i rizika u Hrvatskom Telekomu d.d., u svojstvu članice Revizorskog odbora.</w:t>
      </w:r>
    </w:p>
    <w:p w14:paraId="03ECF86F" w14:textId="77777777" w:rsidR="0001200B" w:rsidRPr="00670F4A" w:rsidRDefault="0001200B" w:rsidP="0001200B">
      <w:pPr>
        <w:tabs>
          <w:tab w:val="left" w:pos="426"/>
        </w:tabs>
        <w:spacing w:after="0" w:line="240" w:lineRule="auto"/>
        <w:jc w:val="both"/>
        <w:rPr>
          <w:rFonts w:eastAsia="Times New Roman" w:cs="Arial"/>
          <w:lang w:eastAsia="hr-HR"/>
        </w:rPr>
      </w:pPr>
    </w:p>
    <w:p w14:paraId="5347341D" w14:textId="354F1ED7" w:rsidR="0001200B" w:rsidRPr="004B42E3" w:rsidRDefault="00F33B0A" w:rsidP="008A7458">
      <w:pPr>
        <w:spacing w:after="0" w:line="240" w:lineRule="auto"/>
        <w:jc w:val="both"/>
        <w:rPr>
          <w:rFonts w:eastAsia="Times New Roman" w:cs="Calibri"/>
          <w:b/>
          <w:lang w:eastAsia="hr-HR"/>
        </w:rPr>
      </w:pPr>
      <w:r w:rsidRPr="004B42E3">
        <w:rPr>
          <w:rFonts w:eastAsia="Times New Roman" w:cs="Calibri"/>
          <w:b/>
          <w:lang w:eastAsia="hr-HR"/>
        </w:rPr>
        <w:t>20.3.</w:t>
      </w:r>
      <w:r w:rsidRPr="004B42E3">
        <w:rPr>
          <w:rFonts w:eastAsia="Times New Roman" w:cs="Calibri"/>
          <w:b/>
          <w:lang w:eastAsia="hr-HR"/>
        </w:rPr>
        <w:tab/>
        <w:t>I</w:t>
      </w:r>
      <w:r w:rsidR="0001200B" w:rsidRPr="004B42E3">
        <w:rPr>
          <w:rFonts w:eastAsia="Times New Roman" w:cs="Calibri"/>
          <w:b/>
          <w:lang w:eastAsia="hr-HR"/>
        </w:rPr>
        <w:t xml:space="preserve">menovanje </w:t>
      </w:r>
      <w:r w:rsidR="00CD7E7F" w:rsidRPr="004B42E3">
        <w:rPr>
          <w:rFonts w:eastAsia="Times New Roman" w:cs="Calibri"/>
          <w:b/>
          <w:lang w:eastAsia="hr-HR"/>
        </w:rPr>
        <w:t xml:space="preserve">i razrješenje </w:t>
      </w:r>
      <w:r w:rsidR="0001200B" w:rsidRPr="004B42E3">
        <w:rPr>
          <w:rFonts w:eastAsia="Times New Roman" w:cs="Calibri"/>
          <w:b/>
          <w:lang w:eastAsia="hr-HR"/>
        </w:rPr>
        <w:t>član</w:t>
      </w:r>
      <w:r w:rsidRPr="004B42E3">
        <w:rPr>
          <w:rFonts w:eastAsia="Times New Roman" w:cs="Calibri"/>
          <w:b/>
          <w:lang w:eastAsia="hr-HR"/>
        </w:rPr>
        <w:t>ov</w:t>
      </w:r>
      <w:r w:rsidR="0001200B" w:rsidRPr="004B42E3">
        <w:rPr>
          <w:rFonts w:eastAsia="Times New Roman" w:cs="Calibri"/>
          <w:b/>
          <w:lang w:eastAsia="hr-HR"/>
        </w:rPr>
        <w:t>a Nadzornog odbora</w:t>
      </w:r>
    </w:p>
    <w:p w14:paraId="2D311673" w14:textId="77777777" w:rsidR="0001200B" w:rsidRPr="00670F4A" w:rsidRDefault="0001200B" w:rsidP="008A7458">
      <w:pPr>
        <w:spacing w:after="0" w:line="240" w:lineRule="auto"/>
        <w:jc w:val="both"/>
        <w:rPr>
          <w:rFonts w:eastAsia="Times New Roman" w:cs="Calibri"/>
          <w:b/>
          <w:lang w:eastAsia="hr-HR"/>
        </w:rPr>
      </w:pPr>
    </w:p>
    <w:p w14:paraId="75918DB0" w14:textId="375EED61" w:rsidR="0001200B" w:rsidRPr="00670F4A" w:rsidRDefault="0001200B" w:rsidP="0001200B">
      <w:pPr>
        <w:spacing w:after="0" w:line="240" w:lineRule="auto"/>
        <w:jc w:val="both"/>
        <w:rPr>
          <w:rFonts w:eastAsia="Times New Roman" w:cs="Arial"/>
        </w:rPr>
      </w:pPr>
      <w:r w:rsidRPr="00670F4A">
        <w:rPr>
          <w:rFonts w:eastAsia="Times New Roman" w:cs="Arial"/>
        </w:rPr>
        <w:t>Nakon izvještajnog razdoblja, Odlukom Hrvatskog sabora od 14. srpnja 2017. godine, razrješuje se članica Nadzornog odbora iz reda zastupnika Ivana Ninčević-</w:t>
      </w:r>
      <w:proofErr w:type="spellStart"/>
      <w:r w:rsidRPr="00670F4A">
        <w:rPr>
          <w:rFonts w:eastAsia="Times New Roman" w:cs="Arial"/>
        </w:rPr>
        <w:t>Lesandrić</w:t>
      </w:r>
      <w:proofErr w:type="spellEnd"/>
      <w:r w:rsidRPr="00670F4A">
        <w:rPr>
          <w:rFonts w:eastAsia="Times New Roman" w:cs="Arial"/>
        </w:rPr>
        <w:t>. Istom Odlukom se za članicu Nadzornog odbora HBOR-a iz r</w:t>
      </w:r>
      <w:r w:rsidR="00260D75" w:rsidRPr="00670F4A">
        <w:rPr>
          <w:rFonts w:eastAsia="Times New Roman" w:cs="Arial"/>
        </w:rPr>
        <w:t>e</w:t>
      </w:r>
      <w:r w:rsidRPr="00670F4A">
        <w:rPr>
          <w:rFonts w:eastAsia="Times New Roman" w:cs="Arial"/>
        </w:rPr>
        <w:t xml:space="preserve">da zastupnika imenuje Božica Makar. </w:t>
      </w:r>
    </w:p>
    <w:p w14:paraId="2EB38E26" w14:textId="77777777" w:rsidR="00F33B0A" w:rsidRPr="00670F4A" w:rsidRDefault="00F33B0A" w:rsidP="00F33B0A">
      <w:pPr>
        <w:spacing w:after="0" w:line="240" w:lineRule="auto"/>
        <w:jc w:val="both"/>
        <w:rPr>
          <w:rFonts w:eastAsia="Times New Roman" w:cs="Arial"/>
        </w:rPr>
      </w:pPr>
    </w:p>
    <w:p w14:paraId="39611E6C" w14:textId="4A450EC1" w:rsidR="00F33B0A" w:rsidRPr="004B42E3" w:rsidRDefault="00F33B0A" w:rsidP="00F33B0A">
      <w:pPr>
        <w:spacing w:after="0" w:line="240" w:lineRule="auto"/>
        <w:jc w:val="both"/>
        <w:rPr>
          <w:rFonts w:eastAsia="Times New Roman" w:cs="Arial"/>
        </w:rPr>
      </w:pPr>
      <w:r w:rsidRPr="004B42E3">
        <w:rPr>
          <w:rFonts w:eastAsia="Times New Roman" w:cs="Arial"/>
        </w:rPr>
        <w:t xml:space="preserve">Vlada Republike Hrvatske je dana 4. kolovoza 2017. godine donijela Rješenje o imenovanju Predraga </w:t>
      </w:r>
      <w:proofErr w:type="spellStart"/>
      <w:r w:rsidRPr="004B42E3">
        <w:rPr>
          <w:rFonts w:eastAsia="Times New Roman" w:cs="Arial"/>
        </w:rPr>
        <w:t>Štromara</w:t>
      </w:r>
      <w:proofErr w:type="spellEnd"/>
      <w:r w:rsidRPr="004B42E3">
        <w:rPr>
          <w:rFonts w:eastAsia="Times New Roman" w:cs="Arial"/>
        </w:rPr>
        <w:t>, potpredsjednika Vlade Republike Hrvatske i ministra graditeljstva i prostornoga uređenja</w:t>
      </w:r>
      <w:r w:rsidR="008B217F" w:rsidRPr="004B42E3">
        <w:rPr>
          <w:rFonts w:eastAsia="Times New Roman" w:cs="Arial"/>
        </w:rPr>
        <w:t>,</w:t>
      </w:r>
      <w:r w:rsidRPr="004B42E3">
        <w:rPr>
          <w:rFonts w:eastAsia="Times New Roman" w:cs="Arial"/>
        </w:rPr>
        <w:t xml:space="preserve"> članom </w:t>
      </w:r>
      <w:proofErr w:type="spellStart"/>
      <w:r w:rsidRPr="004B42E3">
        <w:rPr>
          <w:rFonts w:eastAsia="Times New Roman" w:cs="Arial"/>
        </w:rPr>
        <w:t>Nadzonog</w:t>
      </w:r>
      <w:proofErr w:type="spellEnd"/>
      <w:r w:rsidRPr="004B42E3">
        <w:rPr>
          <w:rFonts w:eastAsia="Times New Roman" w:cs="Arial"/>
        </w:rPr>
        <w:t xml:space="preserve"> odbora HBOR-a.</w:t>
      </w:r>
    </w:p>
    <w:p w14:paraId="751D068F" w14:textId="77777777" w:rsidR="0001200B" w:rsidRPr="00312975" w:rsidRDefault="0001200B" w:rsidP="008A7458">
      <w:pPr>
        <w:spacing w:after="0" w:line="240" w:lineRule="auto"/>
        <w:jc w:val="both"/>
        <w:rPr>
          <w:rFonts w:eastAsia="Times New Roman" w:cs="Calibri"/>
          <w:lang w:eastAsia="hr-HR"/>
        </w:rPr>
      </w:pPr>
    </w:p>
    <w:p w14:paraId="3D03FEB4" w14:textId="5D4F1C86" w:rsidR="0001200B" w:rsidRPr="00312975" w:rsidRDefault="0001200B" w:rsidP="008A7458">
      <w:pPr>
        <w:spacing w:after="0" w:line="240" w:lineRule="auto"/>
        <w:jc w:val="both"/>
        <w:rPr>
          <w:rFonts w:eastAsia="Times New Roman" w:cs="Calibri"/>
          <w:lang w:eastAsia="hr-HR"/>
        </w:rPr>
      </w:pPr>
    </w:p>
    <w:p w14:paraId="3F06386A" w14:textId="77777777" w:rsidR="0001200B" w:rsidRPr="00312975" w:rsidRDefault="0001200B" w:rsidP="008A7458">
      <w:pPr>
        <w:spacing w:after="0" w:line="240" w:lineRule="auto"/>
        <w:jc w:val="both"/>
        <w:rPr>
          <w:rFonts w:eastAsia="Times New Roman" w:cs="Calibri"/>
          <w:b/>
          <w:lang w:eastAsia="hr-HR"/>
        </w:rPr>
        <w:sectPr w:rsidR="0001200B" w:rsidRPr="00312975" w:rsidSect="00785659">
          <w:footerReference w:type="first" r:id="rId136"/>
          <w:pgSz w:w="11906" w:h="16838" w:code="9"/>
          <w:pgMar w:top="1418" w:right="1418" w:bottom="595" w:left="1134" w:header="709" w:footer="709" w:gutter="0"/>
          <w:cols w:space="708"/>
          <w:titlePg/>
          <w:docGrid w:linePitch="360"/>
        </w:sectPr>
      </w:pPr>
    </w:p>
    <w:p w14:paraId="10589F7C" w14:textId="77777777" w:rsidR="008A7458" w:rsidRPr="000E5941" w:rsidRDefault="008A7458" w:rsidP="000E5941">
      <w:pPr>
        <w:tabs>
          <w:tab w:val="left" w:pos="567"/>
        </w:tabs>
        <w:spacing w:after="0" w:line="240" w:lineRule="auto"/>
        <w:jc w:val="both"/>
        <w:rPr>
          <w:rFonts w:eastAsia="Times New Roman" w:cs="Arial"/>
        </w:rPr>
      </w:pPr>
    </w:p>
    <w:p w14:paraId="78AD358B" w14:textId="77777777" w:rsidR="00D95999" w:rsidRDefault="00D95999" w:rsidP="009F4F01">
      <w:pPr>
        <w:spacing w:after="0" w:line="240" w:lineRule="auto"/>
        <w:jc w:val="both"/>
        <w:rPr>
          <w:rFonts w:eastAsia="Times New Roman" w:cs="Calibri"/>
          <w:lang w:eastAsia="hr-HR"/>
        </w:rPr>
      </w:pPr>
    </w:p>
    <w:tbl>
      <w:tblPr>
        <w:tblpPr w:leftFromText="181" w:rightFromText="181" w:vertAnchor="text" w:horzAnchor="margin" w:tblpXSpec="center" w:tblpY="1"/>
        <w:tblW w:w="8755" w:type="dxa"/>
        <w:tblLayout w:type="fixed"/>
        <w:tblLook w:val="04A0" w:firstRow="1" w:lastRow="0" w:firstColumn="1" w:lastColumn="0" w:noHBand="0" w:noVBand="1"/>
      </w:tblPr>
      <w:tblGrid>
        <w:gridCol w:w="6207"/>
        <w:gridCol w:w="1364"/>
        <w:gridCol w:w="1184"/>
      </w:tblGrid>
      <w:tr w:rsidR="00706D2E" w:rsidRPr="00C9743F" w14:paraId="3A43C691" w14:textId="77777777" w:rsidTr="00706D2E">
        <w:trPr>
          <w:trHeight w:val="108"/>
        </w:trPr>
        <w:tc>
          <w:tcPr>
            <w:tcW w:w="6207" w:type="dxa"/>
            <w:tcBorders>
              <w:left w:val="nil"/>
              <w:bottom w:val="nil"/>
              <w:right w:val="nil"/>
            </w:tcBorders>
            <w:shd w:val="clear" w:color="auto" w:fill="auto"/>
            <w:vAlign w:val="bottom"/>
          </w:tcPr>
          <w:p w14:paraId="27EC122E" w14:textId="77777777" w:rsidR="00706D2E" w:rsidRPr="00FB01C4" w:rsidRDefault="00706D2E" w:rsidP="00706D2E">
            <w:pPr>
              <w:spacing w:after="0" w:line="220" w:lineRule="exact"/>
              <w:rPr>
                <w:rFonts w:eastAsia="Times New Roman" w:cs="Arial"/>
                <w:b/>
                <w:bCs/>
                <w:sz w:val="18"/>
                <w:szCs w:val="18"/>
              </w:rPr>
            </w:pPr>
          </w:p>
        </w:tc>
        <w:tc>
          <w:tcPr>
            <w:tcW w:w="1364" w:type="dxa"/>
            <w:tcBorders>
              <w:left w:val="nil"/>
              <w:bottom w:val="nil"/>
              <w:right w:val="nil"/>
            </w:tcBorders>
            <w:shd w:val="clear" w:color="auto" w:fill="auto"/>
            <w:noWrap/>
            <w:vAlign w:val="bottom"/>
          </w:tcPr>
          <w:p w14:paraId="26822BC8" w14:textId="6738914C" w:rsidR="00706D2E" w:rsidRPr="00C9743F" w:rsidRDefault="00785659" w:rsidP="00257CDB">
            <w:pPr>
              <w:spacing w:after="0" w:line="220" w:lineRule="exact"/>
              <w:jc w:val="right"/>
              <w:rPr>
                <w:rFonts w:eastAsia="Times New Roman" w:cs="Arial"/>
                <w:b/>
                <w:bCs/>
                <w:sz w:val="18"/>
                <w:szCs w:val="18"/>
              </w:rPr>
            </w:pPr>
            <w:r w:rsidRPr="00C9743F">
              <w:rPr>
                <w:rFonts w:eastAsia="Times New Roman" w:cs="Arial"/>
                <w:b/>
                <w:bCs/>
                <w:sz w:val="18"/>
                <w:szCs w:val="18"/>
              </w:rPr>
              <w:t>3</w:t>
            </w:r>
            <w:r>
              <w:rPr>
                <w:rFonts w:eastAsia="Times New Roman" w:cs="Arial"/>
                <w:b/>
                <w:bCs/>
                <w:sz w:val="18"/>
                <w:szCs w:val="18"/>
              </w:rPr>
              <w:t>0</w:t>
            </w:r>
            <w:r w:rsidR="00E45CA6" w:rsidRPr="00C9743F">
              <w:rPr>
                <w:rFonts w:eastAsia="Times New Roman" w:cs="Arial"/>
                <w:b/>
                <w:bCs/>
                <w:sz w:val="18"/>
                <w:szCs w:val="18"/>
              </w:rPr>
              <w:t>.</w:t>
            </w:r>
            <w:r>
              <w:rPr>
                <w:rFonts w:eastAsia="Times New Roman" w:cs="Arial"/>
                <w:b/>
                <w:bCs/>
                <w:sz w:val="18"/>
                <w:szCs w:val="18"/>
              </w:rPr>
              <w:t>6</w:t>
            </w:r>
            <w:r w:rsidR="00706D2E" w:rsidRPr="00C9743F">
              <w:rPr>
                <w:rFonts w:eastAsia="Times New Roman" w:cs="Arial"/>
                <w:b/>
                <w:bCs/>
                <w:sz w:val="18"/>
                <w:szCs w:val="18"/>
              </w:rPr>
              <w:t>.201</w:t>
            </w:r>
            <w:r w:rsidR="00E45CA6" w:rsidRPr="00C9743F">
              <w:rPr>
                <w:rFonts w:eastAsia="Times New Roman" w:cs="Arial"/>
                <w:b/>
                <w:bCs/>
                <w:sz w:val="18"/>
                <w:szCs w:val="18"/>
              </w:rPr>
              <w:t>7</w:t>
            </w:r>
            <w:r w:rsidR="00535F46" w:rsidRPr="00C9743F">
              <w:rPr>
                <w:rFonts w:eastAsia="Times New Roman" w:cs="Arial"/>
                <w:b/>
                <w:bCs/>
                <w:sz w:val="18"/>
                <w:szCs w:val="18"/>
              </w:rPr>
              <w:t>.</w:t>
            </w:r>
          </w:p>
        </w:tc>
        <w:tc>
          <w:tcPr>
            <w:tcW w:w="1184" w:type="dxa"/>
            <w:tcBorders>
              <w:left w:val="nil"/>
              <w:bottom w:val="nil"/>
              <w:right w:val="nil"/>
            </w:tcBorders>
          </w:tcPr>
          <w:p w14:paraId="6AD64C8E" w14:textId="0B487A3E" w:rsidR="00706D2E" w:rsidRPr="00C9743F" w:rsidRDefault="00785659" w:rsidP="00AE31A1">
            <w:pPr>
              <w:spacing w:after="0" w:line="220" w:lineRule="exact"/>
              <w:jc w:val="right"/>
              <w:rPr>
                <w:rFonts w:eastAsia="Times New Roman" w:cs="Arial"/>
                <w:b/>
                <w:bCs/>
                <w:sz w:val="18"/>
                <w:szCs w:val="18"/>
              </w:rPr>
            </w:pPr>
            <w:r w:rsidRPr="00C9743F">
              <w:rPr>
                <w:rFonts w:eastAsia="Times New Roman" w:cs="Arial"/>
                <w:b/>
                <w:bCs/>
                <w:sz w:val="18"/>
                <w:szCs w:val="18"/>
              </w:rPr>
              <w:t>3</w:t>
            </w:r>
            <w:r>
              <w:rPr>
                <w:rFonts w:eastAsia="Times New Roman" w:cs="Arial"/>
                <w:b/>
                <w:bCs/>
                <w:sz w:val="18"/>
                <w:szCs w:val="18"/>
              </w:rPr>
              <w:t>0</w:t>
            </w:r>
            <w:r w:rsidR="00E45CA6" w:rsidRPr="00C9743F">
              <w:rPr>
                <w:rFonts w:eastAsia="Times New Roman" w:cs="Arial"/>
                <w:b/>
                <w:bCs/>
                <w:sz w:val="18"/>
                <w:szCs w:val="18"/>
              </w:rPr>
              <w:t>.</w:t>
            </w:r>
            <w:r>
              <w:rPr>
                <w:rFonts w:eastAsia="Times New Roman" w:cs="Arial"/>
                <w:b/>
                <w:bCs/>
                <w:sz w:val="18"/>
                <w:szCs w:val="18"/>
              </w:rPr>
              <w:t>6</w:t>
            </w:r>
            <w:r w:rsidR="00E45CA6" w:rsidRPr="00C9743F">
              <w:rPr>
                <w:rFonts w:eastAsia="Times New Roman" w:cs="Arial"/>
                <w:b/>
                <w:bCs/>
                <w:sz w:val="18"/>
                <w:szCs w:val="18"/>
              </w:rPr>
              <w:t>.2016</w:t>
            </w:r>
            <w:r w:rsidR="00706D2E" w:rsidRPr="00C9743F">
              <w:rPr>
                <w:rFonts w:eastAsia="Times New Roman" w:cs="Arial"/>
                <w:b/>
                <w:bCs/>
                <w:sz w:val="18"/>
                <w:szCs w:val="18"/>
              </w:rPr>
              <w:t>.</w:t>
            </w:r>
          </w:p>
        </w:tc>
      </w:tr>
      <w:tr w:rsidR="00706D2E" w:rsidRPr="00C9743F" w14:paraId="3AEBC2E8" w14:textId="77777777" w:rsidTr="00706D2E">
        <w:trPr>
          <w:trHeight w:val="86"/>
        </w:trPr>
        <w:tc>
          <w:tcPr>
            <w:tcW w:w="6207" w:type="dxa"/>
            <w:tcBorders>
              <w:left w:val="nil"/>
              <w:bottom w:val="nil"/>
              <w:right w:val="nil"/>
            </w:tcBorders>
            <w:shd w:val="clear" w:color="auto" w:fill="auto"/>
            <w:vAlign w:val="bottom"/>
          </w:tcPr>
          <w:p w14:paraId="55258091" w14:textId="77777777" w:rsidR="00706D2E" w:rsidRPr="00FB01C4" w:rsidRDefault="00706D2E" w:rsidP="00706D2E">
            <w:pPr>
              <w:spacing w:after="0" w:line="220" w:lineRule="exact"/>
              <w:rPr>
                <w:rFonts w:eastAsia="Times New Roman" w:cs="Arial"/>
                <w:b/>
                <w:bCs/>
                <w:sz w:val="18"/>
                <w:szCs w:val="18"/>
              </w:rPr>
            </w:pPr>
          </w:p>
        </w:tc>
        <w:tc>
          <w:tcPr>
            <w:tcW w:w="1364" w:type="dxa"/>
            <w:tcBorders>
              <w:left w:val="nil"/>
              <w:bottom w:val="nil"/>
              <w:right w:val="nil"/>
            </w:tcBorders>
            <w:shd w:val="clear" w:color="auto" w:fill="auto"/>
            <w:noWrap/>
            <w:vAlign w:val="bottom"/>
          </w:tcPr>
          <w:p w14:paraId="1AC216FD" w14:textId="77777777" w:rsidR="00706D2E" w:rsidRPr="00C9743F" w:rsidRDefault="00706D2E" w:rsidP="00706D2E">
            <w:pPr>
              <w:spacing w:after="0" w:line="220" w:lineRule="exact"/>
              <w:jc w:val="right"/>
              <w:rPr>
                <w:rFonts w:eastAsia="Times New Roman" w:cs="Arial"/>
                <w:b/>
                <w:bCs/>
                <w:sz w:val="18"/>
                <w:szCs w:val="18"/>
              </w:rPr>
            </w:pPr>
          </w:p>
        </w:tc>
        <w:tc>
          <w:tcPr>
            <w:tcW w:w="1184" w:type="dxa"/>
            <w:tcBorders>
              <w:left w:val="nil"/>
              <w:bottom w:val="nil"/>
              <w:right w:val="nil"/>
            </w:tcBorders>
          </w:tcPr>
          <w:p w14:paraId="22F8B95C" w14:textId="77777777" w:rsidR="00706D2E" w:rsidRPr="00C9743F" w:rsidRDefault="00706D2E" w:rsidP="00706D2E">
            <w:pPr>
              <w:spacing w:after="0" w:line="220" w:lineRule="exact"/>
              <w:jc w:val="right"/>
              <w:rPr>
                <w:rFonts w:eastAsia="Times New Roman" w:cs="Arial"/>
                <w:b/>
                <w:bCs/>
                <w:sz w:val="18"/>
                <w:szCs w:val="18"/>
              </w:rPr>
            </w:pPr>
          </w:p>
        </w:tc>
      </w:tr>
      <w:tr w:rsidR="00706D2E" w:rsidRPr="00C9743F" w14:paraId="2FB319BC" w14:textId="77777777" w:rsidTr="00706D2E">
        <w:trPr>
          <w:trHeight w:val="53"/>
        </w:trPr>
        <w:tc>
          <w:tcPr>
            <w:tcW w:w="6207" w:type="dxa"/>
            <w:tcBorders>
              <w:top w:val="nil"/>
              <w:left w:val="nil"/>
              <w:bottom w:val="nil"/>
              <w:right w:val="nil"/>
            </w:tcBorders>
            <w:shd w:val="clear" w:color="auto" w:fill="auto"/>
            <w:vAlign w:val="bottom"/>
          </w:tcPr>
          <w:p w14:paraId="01A118E0" w14:textId="77777777" w:rsidR="00706D2E" w:rsidRPr="00FB01C4" w:rsidRDefault="00706D2E" w:rsidP="00706D2E">
            <w:pPr>
              <w:spacing w:after="0" w:line="140" w:lineRule="exact"/>
              <w:rPr>
                <w:rFonts w:eastAsia="Times New Roman" w:cs="Arial"/>
                <w:sz w:val="18"/>
                <w:szCs w:val="18"/>
              </w:rPr>
            </w:pPr>
          </w:p>
        </w:tc>
        <w:tc>
          <w:tcPr>
            <w:tcW w:w="1364" w:type="dxa"/>
            <w:tcBorders>
              <w:top w:val="nil"/>
              <w:left w:val="nil"/>
              <w:bottom w:val="nil"/>
              <w:right w:val="nil"/>
            </w:tcBorders>
            <w:shd w:val="clear" w:color="auto" w:fill="auto"/>
            <w:noWrap/>
            <w:vAlign w:val="bottom"/>
          </w:tcPr>
          <w:p w14:paraId="1C43EDA5" w14:textId="77777777" w:rsidR="00706D2E" w:rsidRPr="00C9743F" w:rsidRDefault="00706D2E" w:rsidP="00706D2E">
            <w:pPr>
              <w:spacing w:after="0" w:line="140" w:lineRule="exact"/>
              <w:rPr>
                <w:rFonts w:eastAsia="Times New Roman" w:cs="Arial"/>
                <w:sz w:val="18"/>
                <w:szCs w:val="18"/>
              </w:rPr>
            </w:pPr>
          </w:p>
        </w:tc>
        <w:tc>
          <w:tcPr>
            <w:tcW w:w="1184" w:type="dxa"/>
            <w:tcBorders>
              <w:top w:val="nil"/>
              <w:left w:val="nil"/>
              <w:bottom w:val="nil"/>
              <w:right w:val="nil"/>
            </w:tcBorders>
          </w:tcPr>
          <w:p w14:paraId="7500831E" w14:textId="77777777" w:rsidR="00706D2E" w:rsidRPr="00C9743F" w:rsidRDefault="00706D2E" w:rsidP="00706D2E">
            <w:pPr>
              <w:spacing w:after="0" w:line="140" w:lineRule="exact"/>
              <w:rPr>
                <w:rFonts w:eastAsia="Times New Roman" w:cs="Arial"/>
                <w:sz w:val="18"/>
                <w:szCs w:val="18"/>
              </w:rPr>
            </w:pPr>
          </w:p>
        </w:tc>
      </w:tr>
      <w:tr w:rsidR="00706D2E" w:rsidRPr="00C9743F" w14:paraId="62CCC56C" w14:textId="77777777" w:rsidTr="00706D2E">
        <w:trPr>
          <w:trHeight w:val="99"/>
        </w:trPr>
        <w:tc>
          <w:tcPr>
            <w:tcW w:w="6207" w:type="dxa"/>
            <w:tcBorders>
              <w:top w:val="nil"/>
              <w:left w:val="nil"/>
              <w:bottom w:val="nil"/>
              <w:right w:val="nil"/>
            </w:tcBorders>
            <w:shd w:val="clear" w:color="auto" w:fill="auto"/>
            <w:vAlign w:val="bottom"/>
          </w:tcPr>
          <w:p w14:paraId="04EF1EE3" w14:textId="77777777" w:rsidR="00706D2E" w:rsidRPr="00FB01C4" w:rsidRDefault="00706D2E" w:rsidP="00706D2E">
            <w:pPr>
              <w:spacing w:after="0" w:line="220" w:lineRule="exact"/>
              <w:rPr>
                <w:rFonts w:eastAsia="Times New Roman" w:cs="Arial"/>
                <w:b/>
                <w:sz w:val="18"/>
                <w:szCs w:val="18"/>
              </w:rPr>
            </w:pPr>
            <w:r w:rsidRPr="00FB01C4">
              <w:rPr>
                <w:rFonts w:eastAsia="Times New Roman" w:cs="Arial"/>
                <w:b/>
                <w:sz w:val="18"/>
                <w:szCs w:val="18"/>
              </w:rPr>
              <w:t>Zarađene premije</w:t>
            </w:r>
          </w:p>
        </w:tc>
        <w:tc>
          <w:tcPr>
            <w:tcW w:w="1364" w:type="dxa"/>
            <w:tcBorders>
              <w:top w:val="nil"/>
              <w:left w:val="nil"/>
              <w:bottom w:val="nil"/>
              <w:right w:val="nil"/>
            </w:tcBorders>
            <w:shd w:val="clear" w:color="auto" w:fill="auto"/>
            <w:noWrap/>
            <w:vAlign w:val="bottom"/>
          </w:tcPr>
          <w:p w14:paraId="648098EB" w14:textId="77777777" w:rsidR="00706D2E" w:rsidRPr="00C9743F" w:rsidRDefault="00706D2E" w:rsidP="00706D2E">
            <w:pPr>
              <w:spacing w:after="0" w:line="220" w:lineRule="exact"/>
              <w:jc w:val="right"/>
              <w:rPr>
                <w:rFonts w:eastAsia="Times New Roman" w:cs="Arial"/>
                <w:sz w:val="18"/>
                <w:szCs w:val="18"/>
              </w:rPr>
            </w:pPr>
          </w:p>
        </w:tc>
        <w:tc>
          <w:tcPr>
            <w:tcW w:w="1184" w:type="dxa"/>
            <w:tcBorders>
              <w:top w:val="nil"/>
              <w:left w:val="nil"/>
              <w:bottom w:val="nil"/>
              <w:right w:val="nil"/>
            </w:tcBorders>
          </w:tcPr>
          <w:p w14:paraId="347760E3" w14:textId="77777777" w:rsidR="00706D2E" w:rsidRPr="00C9743F" w:rsidRDefault="00706D2E" w:rsidP="00706D2E">
            <w:pPr>
              <w:spacing w:after="0" w:line="220" w:lineRule="exact"/>
              <w:jc w:val="right"/>
              <w:rPr>
                <w:rFonts w:eastAsia="Times New Roman" w:cs="Arial"/>
                <w:sz w:val="18"/>
                <w:szCs w:val="18"/>
              </w:rPr>
            </w:pPr>
          </w:p>
        </w:tc>
      </w:tr>
      <w:tr w:rsidR="00BC13C0" w:rsidRPr="00C9743F" w14:paraId="607CFA81" w14:textId="77777777" w:rsidTr="00312975">
        <w:trPr>
          <w:trHeight w:val="60"/>
        </w:trPr>
        <w:tc>
          <w:tcPr>
            <w:tcW w:w="6207" w:type="dxa"/>
            <w:tcBorders>
              <w:top w:val="nil"/>
              <w:left w:val="nil"/>
              <w:bottom w:val="nil"/>
              <w:right w:val="nil"/>
            </w:tcBorders>
            <w:shd w:val="clear" w:color="auto" w:fill="auto"/>
            <w:vAlign w:val="bottom"/>
          </w:tcPr>
          <w:p w14:paraId="64BE9BB8" w14:textId="77777777" w:rsidR="00BC13C0" w:rsidRPr="00FB01C4" w:rsidRDefault="00BC13C0" w:rsidP="00BC13C0">
            <w:pPr>
              <w:spacing w:after="0" w:line="220" w:lineRule="exact"/>
              <w:rPr>
                <w:rFonts w:eastAsia="Times New Roman" w:cs="Arial"/>
                <w:sz w:val="18"/>
                <w:szCs w:val="18"/>
              </w:rPr>
            </w:pPr>
            <w:r w:rsidRPr="00FB01C4">
              <w:rPr>
                <w:rFonts w:eastAsia="Times New Roman" w:cs="Arial"/>
                <w:sz w:val="18"/>
                <w:szCs w:val="18"/>
              </w:rPr>
              <w:t>Zaračunana bruto premija</w:t>
            </w:r>
          </w:p>
        </w:tc>
        <w:tc>
          <w:tcPr>
            <w:tcW w:w="1364" w:type="dxa"/>
            <w:tcBorders>
              <w:top w:val="nil"/>
              <w:left w:val="nil"/>
              <w:bottom w:val="nil"/>
              <w:right w:val="nil"/>
            </w:tcBorders>
            <w:shd w:val="clear" w:color="auto" w:fill="auto"/>
            <w:noWrap/>
            <w:vAlign w:val="center"/>
          </w:tcPr>
          <w:p w14:paraId="7F68D9BA" w14:textId="76865E3C" w:rsidR="00BC13C0" w:rsidRPr="00C9743F" w:rsidRDefault="00BC13C0" w:rsidP="00BC13C0">
            <w:pPr>
              <w:spacing w:after="0" w:line="220" w:lineRule="exact"/>
              <w:jc w:val="right"/>
              <w:rPr>
                <w:rFonts w:eastAsia="Times New Roman" w:cs="Arial"/>
                <w:sz w:val="18"/>
                <w:szCs w:val="18"/>
              </w:rPr>
            </w:pPr>
            <w:r>
              <w:rPr>
                <w:rFonts w:ascii="Calibri" w:eastAsia="Times New Roman" w:hAnsi="Calibri" w:cs="Arial"/>
                <w:sz w:val="18"/>
                <w:szCs w:val="18"/>
              </w:rPr>
              <w:t>5.153</w:t>
            </w:r>
          </w:p>
        </w:tc>
        <w:tc>
          <w:tcPr>
            <w:tcW w:w="1184" w:type="dxa"/>
            <w:tcBorders>
              <w:top w:val="nil"/>
              <w:left w:val="nil"/>
              <w:bottom w:val="nil"/>
              <w:right w:val="nil"/>
            </w:tcBorders>
            <w:shd w:val="clear" w:color="auto" w:fill="auto"/>
            <w:vAlign w:val="bottom"/>
          </w:tcPr>
          <w:p w14:paraId="7475A662" w14:textId="1BDA177B" w:rsidR="00BC13C0" w:rsidRPr="00FB01C4" w:rsidRDefault="00BC13C0" w:rsidP="00BC13C0">
            <w:pPr>
              <w:spacing w:after="0" w:line="220" w:lineRule="exact"/>
              <w:jc w:val="right"/>
              <w:rPr>
                <w:rFonts w:eastAsia="Times New Roman" w:cs="Arial"/>
                <w:sz w:val="18"/>
                <w:szCs w:val="18"/>
              </w:rPr>
            </w:pPr>
            <w:r w:rsidRPr="002B2DDF">
              <w:rPr>
                <w:rFonts w:cs="Arial"/>
                <w:sz w:val="18"/>
                <w:szCs w:val="18"/>
              </w:rPr>
              <w:t>5.956</w:t>
            </w:r>
          </w:p>
        </w:tc>
      </w:tr>
      <w:tr w:rsidR="00BC13C0" w:rsidRPr="00C9743F" w14:paraId="00E4B1D9" w14:textId="77777777" w:rsidTr="00312975">
        <w:trPr>
          <w:trHeight w:val="164"/>
        </w:trPr>
        <w:tc>
          <w:tcPr>
            <w:tcW w:w="6207" w:type="dxa"/>
            <w:tcBorders>
              <w:top w:val="nil"/>
              <w:left w:val="nil"/>
              <w:bottom w:val="nil"/>
              <w:right w:val="nil"/>
            </w:tcBorders>
            <w:shd w:val="clear" w:color="auto" w:fill="auto"/>
            <w:vAlign w:val="bottom"/>
          </w:tcPr>
          <w:p w14:paraId="35A31F46" w14:textId="77777777" w:rsidR="00BC13C0" w:rsidRPr="00FB01C4" w:rsidRDefault="00BC13C0" w:rsidP="00BC13C0">
            <w:pPr>
              <w:spacing w:after="0" w:line="220" w:lineRule="exact"/>
              <w:rPr>
                <w:rFonts w:eastAsia="Times New Roman" w:cs="Arial"/>
                <w:sz w:val="18"/>
                <w:szCs w:val="18"/>
              </w:rPr>
            </w:pPr>
            <w:r w:rsidRPr="00FB01C4">
              <w:rPr>
                <w:rFonts w:eastAsia="Times New Roman" w:cs="Arial"/>
                <w:sz w:val="18"/>
                <w:szCs w:val="18"/>
              </w:rPr>
              <w:t>Ispravak vrijednosti i naplaćeni ispravak premije</w:t>
            </w:r>
          </w:p>
        </w:tc>
        <w:tc>
          <w:tcPr>
            <w:tcW w:w="1364" w:type="dxa"/>
            <w:tcBorders>
              <w:top w:val="nil"/>
              <w:left w:val="nil"/>
              <w:bottom w:val="nil"/>
              <w:right w:val="nil"/>
            </w:tcBorders>
            <w:shd w:val="clear" w:color="auto" w:fill="auto"/>
            <w:noWrap/>
            <w:vAlign w:val="center"/>
          </w:tcPr>
          <w:p w14:paraId="4DF3964C" w14:textId="18C37F69" w:rsidR="00BC13C0" w:rsidRPr="00C9743F" w:rsidRDefault="00BC13C0" w:rsidP="00BC13C0">
            <w:pPr>
              <w:spacing w:after="0" w:line="220" w:lineRule="exact"/>
              <w:jc w:val="right"/>
              <w:rPr>
                <w:rFonts w:eastAsia="Times New Roman" w:cs="Arial"/>
                <w:sz w:val="18"/>
                <w:szCs w:val="18"/>
              </w:rPr>
            </w:pPr>
            <w:r>
              <w:rPr>
                <w:rFonts w:ascii="Calibri" w:eastAsia="Times New Roman" w:hAnsi="Calibri" w:cs="Arial"/>
                <w:sz w:val="18"/>
                <w:szCs w:val="18"/>
              </w:rPr>
              <w:t>(42)</w:t>
            </w:r>
          </w:p>
        </w:tc>
        <w:tc>
          <w:tcPr>
            <w:tcW w:w="1184" w:type="dxa"/>
            <w:tcBorders>
              <w:top w:val="nil"/>
              <w:left w:val="nil"/>
              <w:right w:val="nil"/>
            </w:tcBorders>
            <w:shd w:val="clear" w:color="auto" w:fill="auto"/>
            <w:vAlign w:val="bottom"/>
          </w:tcPr>
          <w:p w14:paraId="14D9C198" w14:textId="1EFB9BB0" w:rsidR="00BC13C0" w:rsidRPr="00FB01C4" w:rsidRDefault="00BC13C0" w:rsidP="00BC13C0">
            <w:pPr>
              <w:spacing w:after="0" w:line="220" w:lineRule="exact"/>
              <w:jc w:val="right"/>
              <w:rPr>
                <w:rFonts w:eastAsia="Times New Roman" w:cs="Arial"/>
                <w:sz w:val="18"/>
                <w:szCs w:val="18"/>
              </w:rPr>
            </w:pPr>
            <w:r w:rsidRPr="002B2DDF">
              <w:rPr>
                <w:rFonts w:cs="Arial"/>
                <w:sz w:val="18"/>
                <w:szCs w:val="18"/>
              </w:rPr>
              <w:t>-</w:t>
            </w:r>
          </w:p>
        </w:tc>
      </w:tr>
      <w:tr w:rsidR="00BC13C0" w:rsidRPr="00C9743F" w14:paraId="5E3A2D02" w14:textId="77777777" w:rsidTr="00312975">
        <w:trPr>
          <w:trHeight w:val="167"/>
        </w:trPr>
        <w:tc>
          <w:tcPr>
            <w:tcW w:w="6207" w:type="dxa"/>
            <w:tcBorders>
              <w:top w:val="nil"/>
              <w:left w:val="nil"/>
              <w:bottom w:val="nil"/>
              <w:right w:val="nil"/>
            </w:tcBorders>
            <w:shd w:val="clear" w:color="auto" w:fill="auto"/>
            <w:vAlign w:val="bottom"/>
          </w:tcPr>
          <w:p w14:paraId="60878C33" w14:textId="77777777" w:rsidR="00BC13C0" w:rsidRPr="00FB01C4" w:rsidRDefault="00BC13C0" w:rsidP="00BC13C0">
            <w:pPr>
              <w:spacing w:after="0" w:line="220" w:lineRule="exact"/>
              <w:rPr>
                <w:rFonts w:eastAsia="Times New Roman" w:cs="Arial"/>
                <w:sz w:val="18"/>
                <w:szCs w:val="18"/>
              </w:rPr>
            </w:pPr>
            <w:r w:rsidRPr="00FB01C4">
              <w:rPr>
                <w:rFonts w:eastAsia="Times New Roman" w:cs="Arial"/>
                <w:sz w:val="18"/>
                <w:szCs w:val="18"/>
              </w:rPr>
              <w:t>Bruto premije predane u reosiguranje</w:t>
            </w:r>
          </w:p>
        </w:tc>
        <w:tc>
          <w:tcPr>
            <w:tcW w:w="1364" w:type="dxa"/>
            <w:tcBorders>
              <w:top w:val="nil"/>
              <w:left w:val="nil"/>
              <w:bottom w:val="nil"/>
              <w:right w:val="nil"/>
            </w:tcBorders>
            <w:shd w:val="clear" w:color="auto" w:fill="auto"/>
            <w:noWrap/>
            <w:vAlign w:val="center"/>
          </w:tcPr>
          <w:p w14:paraId="4B1A6D79" w14:textId="35907FC9" w:rsidR="00BC13C0" w:rsidRPr="00C9743F" w:rsidRDefault="00BC13C0" w:rsidP="00BC13C0">
            <w:pPr>
              <w:spacing w:after="0" w:line="220" w:lineRule="exact"/>
              <w:jc w:val="right"/>
              <w:rPr>
                <w:rFonts w:eastAsia="Times New Roman" w:cs="Arial"/>
                <w:sz w:val="18"/>
                <w:szCs w:val="18"/>
              </w:rPr>
            </w:pPr>
            <w:r>
              <w:rPr>
                <w:rFonts w:ascii="Calibri" w:eastAsia="Times New Roman" w:hAnsi="Calibri" w:cs="Arial"/>
                <w:sz w:val="18"/>
                <w:szCs w:val="18"/>
              </w:rPr>
              <w:t>(2.080)</w:t>
            </w:r>
          </w:p>
        </w:tc>
        <w:tc>
          <w:tcPr>
            <w:tcW w:w="1184" w:type="dxa"/>
            <w:tcBorders>
              <w:top w:val="nil"/>
              <w:left w:val="nil"/>
              <w:bottom w:val="single" w:sz="4" w:space="0" w:color="auto"/>
              <w:right w:val="nil"/>
            </w:tcBorders>
            <w:shd w:val="clear" w:color="auto" w:fill="auto"/>
            <w:vAlign w:val="bottom"/>
          </w:tcPr>
          <w:p w14:paraId="4FE6A44E" w14:textId="03831B7D" w:rsidR="00BC13C0" w:rsidRPr="00FB01C4" w:rsidRDefault="00BC13C0" w:rsidP="00BC13C0">
            <w:pPr>
              <w:spacing w:after="0" w:line="220" w:lineRule="exact"/>
              <w:jc w:val="right"/>
              <w:rPr>
                <w:rFonts w:eastAsia="Times New Roman" w:cs="Arial"/>
                <w:sz w:val="18"/>
                <w:szCs w:val="18"/>
              </w:rPr>
            </w:pPr>
            <w:r w:rsidRPr="002B2DDF">
              <w:rPr>
                <w:rFonts w:cs="Arial"/>
                <w:sz w:val="18"/>
                <w:szCs w:val="18"/>
              </w:rPr>
              <w:t>(2.474)</w:t>
            </w:r>
          </w:p>
        </w:tc>
      </w:tr>
      <w:tr w:rsidR="00BC13C0" w:rsidRPr="00C9743F" w14:paraId="24747F5F" w14:textId="77777777" w:rsidTr="00312975">
        <w:trPr>
          <w:trHeight w:val="149"/>
        </w:trPr>
        <w:tc>
          <w:tcPr>
            <w:tcW w:w="6207" w:type="dxa"/>
            <w:tcBorders>
              <w:left w:val="nil"/>
              <w:right w:val="nil"/>
            </w:tcBorders>
            <w:shd w:val="clear" w:color="auto" w:fill="auto"/>
            <w:vAlign w:val="bottom"/>
          </w:tcPr>
          <w:p w14:paraId="78DD9C69" w14:textId="77777777" w:rsidR="00BC13C0" w:rsidRPr="00AC74E4" w:rsidRDefault="00BC13C0" w:rsidP="00BC13C0">
            <w:pPr>
              <w:spacing w:after="0" w:line="220" w:lineRule="exact"/>
              <w:rPr>
                <w:rFonts w:eastAsia="Times New Roman" w:cs="Arial"/>
                <w:b/>
                <w:sz w:val="18"/>
                <w:szCs w:val="18"/>
              </w:rPr>
            </w:pPr>
            <w:r w:rsidRPr="00FB01C4">
              <w:rPr>
                <w:rFonts w:eastAsia="Times New Roman" w:cs="Arial"/>
                <w:b/>
                <w:sz w:val="18"/>
                <w:szCs w:val="18"/>
              </w:rPr>
              <w:t>Neto zaračunate premije</w:t>
            </w:r>
          </w:p>
        </w:tc>
        <w:tc>
          <w:tcPr>
            <w:tcW w:w="1364" w:type="dxa"/>
            <w:tcBorders>
              <w:top w:val="single" w:sz="4" w:space="0" w:color="auto"/>
              <w:left w:val="nil"/>
              <w:bottom w:val="single" w:sz="12" w:space="0" w:color="auto"/>
              <w:right w:val="nil"/>
            </w:tcBorders>
            <w:shd w:val="clear" w:color="auto" w:fill="auto"/>
            <w:noWrap/>
            <w:vAlign w:val="bottom"/>
          </w:tcPr>
          <w:p w14:paraId="68C65D8E" w14:textId="57C2393D" w:rsidR="00BC13C0" w:rsidRPr="00C9743F" w:rsidRDefault="00BC13C0" w:rsidP="00BC13C0">
            <w:pPr>
              <w:spacing w:after="0" w:line="220" w:lineRule="exact"/>
              <w:jc w:val="right"/>
              <w:rPr>
                <w:rFonts w:eastAsia="Times New Roman" w:cs="Arial"/>
                <w:b/>
                <w:sz w:val="18"/>
                <w:szCs w:val="18"/>
              </w:rPr>
            </w:pPr>
            <w:r>
              <w:rPr>
                <w:rFonts w:ascii="Calibri" w:eastAsia="Times New Roman" w:hAnsi="Calibri" w:cs="Arial"/>
                <w:b/>
                <w:sz w:val="18"/>
                <w:szCs w:val="18"/>
              </w:rPr>
              <w:t>3.031</w:t>
            </w:r>
          </w:p>
        </w:tc>
        <w:tc>
          <w:tcPr>
            <w:tcW w:w="1184" w:type="dxa"/>
            <w:tcBorders>
              <w:top w:val="single" w:sz="4" w:space="0" w:color="auto"/>
              <w:left w:val="nil"/>
              <w:bottom w:val="nil"/>
              <w:right w:val="nil"/>
            </w:tcBorders>
            <w:shd w:val="clear" w:color="auto" w:fill="auto"/>
            <w:vAlign w:val="bottom"/>
          </w:tcPr>
          <w:p w14:paraId="1D0002B4" w14:textId="511AC727" w:rsidR="00BC13C0" w:rsidRPr="00FB01C4" w:rsidRDefault="00BC13C0" w:rsidP="00BC13C0">
            <w:pPr>
              <w:spacing w:after="0" w:line="220" w:lineRule="exact"/>
              <w:jc w:val="right"/>
              <w:rPr>
                <w:rFonts w:eastAsia="Times New Roman" w:cs="Arial"/>
                <w:b/>
                <w:sz w:val="18"/>
                <w:szCs w:val="18"/>
              </w:rPr>
            </w:pPr>
            <w:r w:rsidRPr="002B2DDF">
              <w:rPr>
                <w:rFonts w:cs="Arial"/>
                <w:b/>
                <w:bCs/>
                <w:sz w:val="18"/>
                <w:szCs w:val="18"/>
              </w:rPr>
              <w:t>3.482</w:t>
            </w:r>
          </w:p>
        </w:tc>
      </w:tr>
      <w:tr w:rsidR="00BC13C0" w:rsidRPr="00C9743F" w14:paraId="4AF2B59A" w14:textId="77777777" w:rsidTr="00312975">
        <w:trPr>
          <w:trHeight w:val="54"/>
        </w:trPr>
        <w:tc>
          <w:tcPr>
            <w:tcW w:w="6207" w:type="dxa"/>
            <w:tcBorders>
              <w:left w:val="nil"/>
              <w:bottom w:val="nil"/>
              <w:right w:val="nil"/>
            </w:tcBorders>
            <w:shd w:val="clear" w:color="auto" w:fill="auto"/>
            <w:vAlign w:val="bottom"/>
          </w:tcPr>
          <w:p w14:paraId="24471A08" w14:textId="77777777" w:rsidR="00BC13C0" w:rsidRPr="00FB01C4" w:rsidRDefault="00BC13C0" w:rsidP="00BC13C0">
            <w:pPr>
              <w:spacing w:after="0" w:line="140" w:lineRule="exact"/>
              <w:rPr>
                <w:rFonts w:eastAsia="Times New Roman" w:cs="Arial"/>
                <w:sz w:val="18"/>
                <w:szCs w:val="18"/>
              </w:rPr>
            </w:pPr>
          </w:p>
        </w:tc>
        <w:tc>
          <w:tcPr>
            <w:tcW w:w="1364" w:type="dxa"/>
            <w:tcBorders>
              <w:top w:val="single" w:sz="12" w:space="0" w:color="auto"/>
              <w:left w:val="nil"/>
              <w:bottom w:val="nil"/>
              <w:right w:val="nil"/>
            </w:tcBorders>
            <w:shd w:val="clear" w:color="auto" w:fill="auto"/>
            <w:noWrap/>
          </w:tcPr>
          <w:p w14:paraId="56BE796D" w14:textId="77777777" w:rsidR="00BC13C0" w:rsidRPr="00C9743F" w:rsidRDefault="00BC13C0" w:rsidP="00BC13C0">
            <w:pPr>
              <w:spacing w:after="0" w:line="140" w:lineRule="exact"/>
              <w:jc w:val="right"/>
              <w:rPr>
                <w:rFonts w:eastAsia="Times New Roman" w:cs="Arial"/>
                <w:sz w:val="18"/>
                <w:szCs w:val="18"/>
              </w:rPr>
            </w:pPr>
          </w:p>
        </w:tc>
        <w:tc>
          <w:tcPr>
            <w:tcW w:w="1184" w:type="dxa"/>
            <w:tcBorders>
              <w:top w:val="single" w:sz="12" w:space="0" w:color="auto"/>
              <w:left w:val="nil"/>
              <w:bottom w:val="nil"/>
              <w:right w:val="nil"/>
            </w:tcBorders>
            <w:shd w:val="clear" w:color="auto" w:fill="auto"/>
            <w:vAlign w:val="bottom"/>
          </w:tcPr>
          <w:p w14:paraId="6445203D" w14:textId="77777777" w:rsidR="00BC13C0" w:rsidRPr="00C9743F" w:rsidRDefault="00BC13C0" w:rsidP="00BC13C0">
            <w:pPr>
              <w:spacing w:after="0" w:line="140" w:lineRule="exact"/>
              <w:jc w:val="right"/>
              <w:rPr>
                <w:rFonts w:eastAsia="Times New Roman" w:cs="Arial"/>
                <w:sz w:val="18"/>
                <w:szCs w:val="18"/>
              </w:rPr>
            </w:pPr>
          </w:p>
        </w:tc>
      </w:tr>
      <w:tr w:rsidR="00BC13C0" w:rsidRPr="00C9743F" w14:paraId="55E24DEE" w14:textId="77777777" w:rsidTr="00312975">
        <w:trPr>
          <w:trHeight w:val="135"/>
        </w:trPr>
        <w:tc>
          <w:tcPr>
            <w:tcW w:w="6207" w:type="dxa"/>
            <w:tcBorders>
              <w:top w:val="nil"/>
              <w:left w:val="nil"/>
              <w:bottom w:val="nil"/>
              <w:right w:val="nil"/>
            </w:tcBorders>
            <w:shd w:val="clear" w:color="auto" w:fill="auto"/>
            <w:vAlign w:val="bottom"/>
          </w:tcPr>
          <w:p w14:paraId="5C2DAEEF" w14:textId="77777777" w:rsidR="00BC13C0" w:rsidRPr="00FB01C4" w:rsidRDefault="00BC13C0" w:rsidP="00BC13C0">
            <w:pPr>
              <w:spacing w:after="0" w:line="220" w:lineRule="exact"/>
              <w:rPr>
                <w:rFonts w:eastAsia="Times New Roman" w:cs="Arial"/>
                <w:sz w:val="18"/>
                <w:szCs w:val="18"/>
              </w:rPr>
            </w:pPr>
            <w:r w:rsidRPr="00FB01C4">
              <w:rPr>
                <w:rFonts w:eastAsia="Times New Roman" w:cs="Arial"/>
                <w:sz w:val="18"/>
                <w:szCs w:val="18"/>
              </w:rPr>
              <w:t>Promjena bruto pričuva prijenosnih premija</w:t>
            </w:r>
          </w:p>
        </w:tc>
        <w:tc>
          <w:tcPr>
            <w:tcW w:w="1364" w:type="dxa"/>
            <w:tcBorders>
              <w:top w:val="nil"/>
              <w:left w:val="nil"/>
              <w:bottom w:val="nil"/>
              <w:right w:val="nil"/>
            </w:tcBorders>
            <w:shd w:val="clear" w:color="auto" w:fill="auto"/>
            <w:noWrap/>
          </w:tcPr>
          <w:p w14:paraId="5F9CE66E" w14:textId="0B5715E3" w:rsidR="00BC13C0" w:rsidRPr="00C9743F" w:rsidRDefault="00BC13C0" w:rsidP="00BC13C0">
            <w:pPr>
              <w:spacing w:after="0" w:line="220" w:lineRule="exact"/>
              <w:jc w:val="right"/>
              <w:rPr>
                <w:rFonts w:eastAsia="Times New Roman" w:cs="Arial"/>
                <w:sz w:val="18"/>
                <w:szCs w:val="18"/>
              </w:rPr>
            </w:pPr>
            <w:r>
              <w:rPr>
                <w:rFonts w:ascii="Calibri" w:eastAsia="Times New Roman" w:hAnsi="Calibri" w:cs="Arial"/>
                <w:sz w:val="18"/>
                <w:szCs w:val="18"/>
              </w:rPr>
              <w:t>669</w:t>
            </w:r>
          </w:p>
        </w:tc>
        <w:tc>
          <w:tcPr>
            <w:tcW w:w="1184" w:type="dxa"/>
            <w:tcBorders>
              <w:top w:val="nil"/>
              <w:left w:val="nil"/>
              <w:bottom w:val="nil"/>
              <w:right w:val="nil"/>
            </w:tcBorders>
            <w:shd w:val="clear" w:color="auto" w:fill="auto"/>
            <w:vAlign w:val="bottom"/>
          </w:tcPr>
          <w:p w14:paraId="21410179" w14:textId="26EF5C77" w:rsidR="00BC13C0" w:rsidRPr="00FB01C4" w:rsidRDefault="00BC13C0" w:rsidP="00BC13C0">
            <w:pPr>
              <w:spacing w:after="0" w:line="220" w:lineRule="exact"/>
              <w:jc w:val="right"/>
              <w:rPr>
                <w:rFonts w:eastAsia="Times New Roman" w:cs="Arial"/>
                <w:sz w:val="18"/>
                <w:szCs w:val="18"/>
              </w:rPr>
            </w:pPr>
            <w:r w:rsidRPr="002B2DDF">
              <w:rPr>
                <w:rFonts w:cs="Arial"/>
                <w:sz w:val="18"/>
                <w:szCs w:val="18"/>
              </w:rPr>
              <w:t>84</w:t>
            </w:r>
          </w:p>
        </w:tc>
      </w:tr>
      <w:tr w:rsidR="00BC13C0" w:rsidRPr="00C9743F" w14:paraId="2E3EE4BE" w14:textId="77777777" w:rsidTr="00312975">
        <w:trPr>
          <w:trHeight w:val="231"/>
        </w:trPr>
        <w:tc>
          <w:tcPr>
            <w:tcW w:w="6207" w:type="dxa"/>
            <w:tcBorders>
              <w:top w:val="nil"/>
              <w:left w:val="nil"/>
              <w:bottom w:val="nil"/>
              <w:right w:val="nil"/>
            </w:tcBorders>
            <w:shd w:val="clear" w:color="auto" w:fill="auto"/>
            <w:vAlign w:val="bottom"/>
          </w:tcPr>
          <w:p w14:paraId="65D48E88" w14:textId="77777777" w:rsidR="00BC13C0" w:rsidRPr="00FB01C4" w:rsidRDefault="00BC13C0" w:rsidP="00BC13C0">
            <w:pPr>
              <w:spacing w:after="0" w:line="220" w:lineRule="exact"/>
              <w:rPr>
                <w:rFonts w:eastAsia="Times New Roman" w:cs="Arial"/>
                <w:sz w:val="18"/>
                <w:szCs w:val="18"/>
              </w:rPr>
            </w:pPr>
            <w:r w:rsidRPr="00FB01C4">
              <w:rPr>
                <w:rFonts w:eastAsia="Times New Roman" w:cs="Arial"/>
                <w:sz w:val="18"/>
                <w:szCs w:val="18"/>
              </w:rPr>
              <w:t>Promjena bruto pričuva prijenosnih premija, udio reosiguranja</w:t>
            </w:r>
          </w:p>
        </w:tc>
        <w:tc>
          <w:tcPr>
            <w:tcW w:w="1364" w:type="dxa"/>
            <w:tcBorders>
              <w:top w:val="nil"/>
              <w:left w:val="nil"/>
              <w:bottom w:val="single" w:sz="4" w:space="0" w:color="auto"/>
              <w:right w:val="nil"/>
            </w:tcBorders>
            <w:shd w:val="clear" w:color="auto" w:fill="auto"/>
            <w:noWrap/>
          </w:tcPr>
          <w:p w14:paraId="266CE6E7" w14:textId="47BB0125" w:rsidR="00BC13C0" w:rsidRPr="00C9743F" w:rsidRDefault="00BC13C0" w:rsidP="00BC13C0">
            <w:pPr>
              <w:spacing w:after="0" w:line="220" w:lineRule="exact"/>
              <w:jc w:val="right"/>
              <w:rPr>
                <w:rFonts w:eastAsia="Times New Roman" w:cs="Arial"/>
                <w:sz w:val="18"/>
                <w:szCs w:val="18"/>
              </w:rPr>
            </w:pPr>
            <w:r>
              <w:rPr>
                <w:rFonts w:ascii="Calibri" w:eastAsia="Times New Roman" w:hAnsi="Calibri" w:cs="Arial"/>
                <w:sz w:val="18"/>
                <w:szCs w:val="18"/>
              </w:rPr>
              <w:t>(386)</w:t>
            </w:r>
          </w:p>
        </w:tc>
        <w:tc>
          <w:tcPr>
            <w:tcW w:w="1184" w:type="dxa"/>
            <w:tcBorders>
              <w:top w:val="nil"/>
              <w:left w:val="nil"/>
              <w:bottom w:val="single" w:sz="4" w:space="0" w:color="auto"/>
              <w:right w:val="nil"/>
            </w:tcBorders>
            <w:shd w:val="clear" w:color="auto" w:fill="auto"/>
            <w:vAlign w:val="bottom"/>
          </w:tcPr>
          <w:p w14:paraId="3AE2EA2F" w14:textId="6C27BFF5" w:rsidR="00BC13C0" w:rsidRPr="00FB01C4" w:rsidRDefault="00BC13C0" w:rsidP="00BC13C0">
            <w:pPr>
              <w:spacing w:after="0" w:line="220" w:lineRule="exact"/>
              <w:jc w:val="right"/>
              <w:rPr>
                <w:rFonts w:eastAsia="Times New Roman" w:cs="Arial"/>
                <w:sz w:val="18"/>
                <w:szCs w:val="18"/>
              </w:rPr>
            </w:pPr>
            <w:r w:rsidRPr="002B2DDF">
              <w:rPr>
                <w:rFonts w:cs="Arial"/>
                <w:sz w:val="18"/>
                <w:szCs w:val="18"/>
              </w:rPr>
              <w:t>(309)</w:t>
            </w:r>
          </w:p>
        </w:tc>
      </w:tr>
      <w:tr w:rsidR="00BC13C0" w:rsidRPr="00C9743F" w14:paraId="329E941D" w14:textId="77777777" w:rsidTr="00312975">
        <w:trPr>
          <w:trHeight w:val="173"/>
        </w:trPr>
        <w:tc>
          <w:tcPr>
            <w:tcW w:w="6207" w:type="dxa"/>
            <w:tcBorders>
              <w:left w:val="nil"/>
              <w:right w:val="nil"/>
            </w:tcBorders>
            <w:shd w:val="clear" w:color="auto" w:fill="auto"/>
            <w:vAlign w:val="bottom"/>
          </w:tcPr>
          <w:p w14:paraId="3DDA146E" w14:textId="77777777" w:rsidR="00BC13C0" w:rsidRPr="00FB01C4" w:rsidRDefault="00BC13C0" w:rsidP="00BC13C0">
            <w:pPr>
              <w:spacing w:after="0" w:line="220" w:lineRule="exact"/>
              <w:rPr>
                <w:rFonts w:eastAsia="Times New Roman" w:cs="Arial"/>
                <w:b/>
                <w:bCs/>
                <w:sz w:val="18"/>
                <w:szCs w:val="18"/>
              </w:rPr>
            </w:pPr>
            <w:r w:rsidRPr="00FB01C4">
              <w:rPr>
                <w:rFonts w:eastAsia="Times New Roman" w:cs="Arial"/>
                <w:b/>
                <w:bCs/>
                <w:sz w:val="18"/>
                <w:szCs w:val="18"/>
              </w:rPr>
              <w:t>Neto zarađene premije</w:t>
            </w:r>
          </w:p>
        </w:tc>
        <w:tc>
          <w:tcPr>
            <w:tcW w:w="1364" w:type="dxa"/>
            <w:tcBorders>
              <w:left w:val="nil"/>
              <w:bottom w:val="single" w:sz="12" w:space="0" w:color="auto"/>
              <w:right w:val="nil"/>
            </w:tcBorders>
            <w:shd w:val="clear" w:color="auto" w:fill="auto"/>
            <w:noWrap/>
          </w:tcPr>
          <w:p w14:paraId="724E9DC5" w14:textId="4BFBF9D6" w:rsidR="00BC13C0" w:rsidRPr="00C9743F" w:rsidRDefault="00BC13C0" w:rsidP="00257CDB">
            <w:pPr>
              <w:spacing w:after="0" w:line="220" w:lineRule="exact"/>
              <w:jc w:val="right"/>
              <w:rPr>
                <w:rFonts w:eastAsia="Times New Roman" w:cs="Arial"/>
                <w:b/>
                <w:bCs/>
                <w:sz w:val="18"/>
                <w:szCs w:val="18"/>
              </w:rPr>
            </w:pPr>
            <w:r>
              <w:rPr>
                <w:rFonts w:ascii="Calibri" w:eastAsia="Times New Roman" w:hAnsi="Calibri" w:cs="Arial"/>
                <w:b/>
                <w:bCs/>
                <w:sz w:val="18"/>
                <w:szCs w:val="18"/>
              </w:rPr>
              <w:t>3.314</w:t>
            </w:r>
          </w:p>
        </w:tc>
        <w:tc>
          <w:tcPr>
            <w:tcW w:w="1184" w:type="dxa"/>
            <w:tcBorders>
              <w:left w:val="nil"/>
              <w:bottom w:val="single" w:sz="12" w:space="0" w:color="auto"/>
              <w:right w:val="nil"/>
            </w:tcBorders>
            <w:shd w:val="clear" w:color="auto" w:fill="auto"/>
            <w:vAlign w:val="bottom"/>
          </w:tcPr>
          <w:p w14:paraId="4D07784A" w14:textId="1CAC6CDF" w:rsidR="00BC13C0" w:rsidRPr="00FB01C4" w:rsidRDefault="00BC13C0" w:rsidP="00BC13C0">
            <w:pPr>
              <w:spacing w:after="0" w:line="220" w:lineRule="exact"/>
              <w:jc w:val="right"/>
              <w:rPr>
                <w:rFonts w:eastAsia="Times New Roman" w:cs="Arial"/>
                <w:b/>
                <w:bCs/>
                <w:sz w:val="18"/>
                <w:szCs w:val="18"/>
              </w:rPr>
            </w:pPr>
            <w:r w:rsidRPr="002B2DDF">
              <w:rPr>
                <w:rFonts w:cs="Arial"/>
                <w:b/>
                <w:bCs/>
                <w:sz w:val="18"/>
                <w:szCs w:val="18"/>
              </w:rPr>
              <w:t>3.257</w:t>
            </w:r>
          </w:p>
        </w:tc>
      </w:tr>
      <w:tr w:rsidR="00BC13C0" w:rsidRPr="00C9743F" w14:paraId="77E43CD1" w14:textId="77777777" w:rsidTr="00312975">
        <w:trPr>
          <w:trHeight w:val="51"/>
        </w:trPr>
        <w:tc>
          <w:tcPr>
            <w:tcW w:w="6207" w:type="dxa"/>
            <w:tcBorders>
              <w:left w:val="nil"/>
              <w:bottom w:val="nil"/>
              <w:right w:val="nil"/>
            </w:tcBorders>
            <w:shd w:val="clear" w:color="auto" w:fill="auto"/>
            <w:vAlign w:val="bottom"/>
          </w:tcPr>
          <w:p w14:paraId="08A4DF3A" w14:textId="77777777" w:rsidR="00BC13C0" w:rsidRPr="00FB01C4" w:rsidRDefault="00BC13C0" w:rsidP="00BC13C0">
            <w:pPr>
              <w:spacing w:after="0" w:line="140" w:lineRule="exact"/>
              <w:rPr>
                <w:rFonts w:eastAsia="Times New Roman" w:cs="Arial"/>
                <w:sz w:val="18"/>
                <w:szCs w:val="18"/>
              </w:rPr>
            </w:pPr>
          </w:p>
        </w:tc>
        <w:tc>
          <w:tcPr>
            <w:tcW w:w="1364" w:type="dxa"/>
            <w:tcBorders>
              <w:top w:val="single" w:sz="12" w:space="0" w:color="auto"/>
              <w:left w:val="nil"/>
              <w:bottom w:val="nil"/>
              <w:right w:val="nil"/>
            </w:tcBorders>
            <w:shd w:val="clear" w:color="auto" w:fill="auto"/>
            <w:noWrap/>
          </w:tcPr>
          <w:p w14:paraId="38145A82" w14:textId="77777777" w:rsidR="00BC13C0" w:rsidRPr="00C9743F" w:rsidRDefault="00BC13C0" w:rsidP="00BC13C0">
            <w:pPr>
              <w:spacing w:after="0" w:line="140" w:lineRule="exact"/>
              <w:jc w:val="right"/>
              <w:rPr>
                <w:rFonts w:eastAsia="Times New Roman" w:cs="Arial"/>
                <w:sz w:val="18"/>
                <w:szCs w:val="18"/>
              </w:rPr>
            </w:pPr>
          </w:p>
        </w:tc>
        <w:tc>
          <w:tcPr>
            <w:tcW w:w="1184" w:type="dxa"/>
            <w:tcBorders>
              <w:top w:val="single" w:sz="12" w:space="0" w:color="auto"/>
              <w:left w:val="nil"/>
              <w:bottom w:val="nil"/>
              <w:right w:val="nil"/>
            </w:tcBorders>
            <w:shd w:val="clear" w:color="auto" w:fill="auto"/>
            <w:vAlign w:val="bottom"/>
          </w:tcPr>
          <w:p w14:paraId="7FE10E08" w14:textId="77777777" w:rsidR="00BC13C0" w:rsidRPr="00C9743F" w:rsidRDefault="00BC13C0" w:rsidP="00BC13C0">
            <w:pPr>
              <w:spacing w:after="0" w:line="140" w:lineRule="exact"/>
              <w:jc w:val="right"/>
              <w:rPr>
                <w:rFonts w:eastAsia="Times New Roman" w:cs="Arial"/>
                <w:sz w:val="18"/>
                <w:szCs w:val="18"/>
              </w:rPr>
            </w:pPr>
          </w:p>
        </w:tc>
      </w:tr>
      <w:tr w:rsidR="00BC13C0" w:rsidRPr="00C9743F" w14:paraId="5F270449" w14:textId="77777777" w:rsidTr="00312975">
        <w:trPr>
          <w:trHeight w:val="200"/>
        </w:trPr>
        <w:tc>
          <w:tcPr>
            <w:tcW w:w="6207" w:type="dxa"/>
            <w:tcBorders>
              <w:top w:val="nil"/>
              <w:left w:val="nil"/>
              <w:bottom w:val="nil"/>
              <w:right w:val="nil"/>
            </w:tcBorders>
            <w:shd w:val="clear" w:color="auto" w:fill="auto"/>
            <w:vAlign w:val="bottom"/>
          </w:tcPr>
          <w:p w14:paraId="09FE1E22" w14:textId="77777777" w:rsidR="00BC13C0" w:rsidRPr="00FB01C4" w:rsidRDefault="00BC13C0" w:rsidP="00BC13C0">
            <w:pPr>
              <w:spacing w:after="0" w:line="220" w:lineRule="exact"/>
              <w:rPr>
                <w:rFonts w:eastAsia="Times New Roman" w:cs="Arial"/>
                <w:bCs/>
                <w:sz w:val="18"/>
                <w:szCs w:val="18"/>
              </w:rPr>
            </w:pPr>
            <w:r w:rsidRPr="00FB01C4">
              <w:rPr>
                <w:rFonts w:eastAsia="Times New Roman" w:cs="Arial"/>
                <w:bCs/>
                <w:sz w:val="18"/>
                <w:szCs w:val="18"/>
              </w:rPr>
              <w:t>Prihodi od provizija i naknada</w:t>
            </w:r>
          </w:p>
        </w:tc>
        <w:tc>
          <w:tcPr>
            <w:tcW w:w="1364" w:type="dxa"/>
            <w:tcBorders>
              <w:top w:val="nil"/>
              <w:left w:val="nil"/>
              <w:bottom w:val="nil"/>
              <w:right w:val="nil"/>
            </w:tcBorders>
            <w:shd w:val="clear" w:color="auto" w:fill="auto"/>
            <w:noWrap/>
          </w:tcPr>
          <w:p w14:paraId="74D6A9BB" w14:textId="1DD97098" w:rsidR="00BC13C0" w:rsidRPr="00C9743F" w:rsidRDefault="00BC13C0" w:rsidP="00BC13C0">
            <w:pPr>
              <w:spacing w:after="0" w:line="220" w:lineRule="exact"/>
              <w:jc w:val="right"/>
              <w:rPr>
                <w:rFonts w:eastAsia="Times New Roman" w:cs="Arial"/>
                <w:bCs/>
                <w:sz w:val="18"/>
                <w:szCs w:val="18"/>
              </w:rPr>
            </w:pPr>
            <w:r>
              <w:rPr>
                <w:rFonts w:ascii="Calibri" w:eastAsia="Times New Roman" w:hAnsi="Calibri" w:cs="Arial"/>
                <w:bCs/>
                <w:sz w:val="18"/>
                <w:szCs w:val="18"/>
              </w:rPr>
              <w:t>1.284</w:t>
            </w:r>
          </w:p>
        </w:tc>
        <w:tc>
          <w:tcPr>
            <w:tcW w:w="1184" w:type="dxa"/>
            <w:tcBorders>
              <w:top w:val="nil"/>
              <w:left w:val="nil"/>
              <w:bottom w:val="nil"/>
              <w:right w:val="nil"/>
            </w:tcBorders>
            <w:shd w:val="clear" w:color="auto" w:fill="auto"/>
            <w:vAlign w:val="bottom"/>
          </w:tcPr>
          <w:p w14:paraId="6A3A71A7" w14:textId="39C138EE" w:rsidR="00BC13C0" w:rsidRPr="00FB01C4" w:rsidRDefault="00BC13C0" w:rsidP="00BC13C0">
            <w:pPr>
              <w:spacing w:after="0" w:line="220" w:lineRule="exact"/>
              <w:jc w:val="right"/>
              <w:rPr>
                <w:rFonts w:eastAsia="Times New Roman" w:cs="Arial"/>
                <w:bCs/>
                <w:sz w:val="18"/>
                <w:szCs w:val="18"/>
              </w:rPr>
            </w:pPr>
            <w:r w:rsidRPr="002B2DDF">
              <w:rPr>
                <w:rFonts w:cs="Arial"/>
                <w:bCs/>
                <w:sz w:val="18"/>
                <w:szCs w:val="18"/>
              </w:rPr>
              <w:t>1.106</w:t>
            </w:r>
          </w:p>
        </w:tc>
      </w:tr>
      <w:tr w:rsidR="00BC13C0" w:rsidRPr="00C9743F" w14:paraId="78EE23F3" w14:textId="77777777" w:rsidTr="00312975">
        <w:trPr>
          <w:trHeight w:val="178"/>
        </w:trPr>
        <w:tc>
          <w:tcPr>
            <w:tcW w:w="6207" w:type="dxa"/>
            <w:tcBorders>
              <w:top w:val="nil"/>
              <w:left w:val="nil"/>
              <w:bottom w:val="nil"/>
              <w:right w:val="nil"/>
            </w:tcBorders>
            <w:shd w:val="clear" w:color="auto" w:fill="auto"/>
            <w:vAlign w:val="bottom"/>
          </w:tcPr>
          <w:p w14:paraId="76DC3E95" w14:textId="77777777" w:rsidR="00BC13C0" w:rsidRPr="00FB01C4" w:rsidRDefault="00BC13C0" w:rsidP="00BC13C0">
            <w:pPr>
              <w:spacing w:after="0" w:line="220" w:lineRule="exact"/>
              <w:rPr>
                <w:rFonts w:eastAsia="Times New Roman" w:cs="Arial"/>
                <w:sz w:val="18"/>
                <w:szCs w:val="18"/>
              </w:rPr>
            </w:pPr>
            <w:r w:rsidRPr="00FB01C4">
              <w:rPr>
                <w:rFonts w:eastAsia="Times New Roman" w:cs="Arial"/>
                <w:sz w:val="18"/>
                <w:szCs w:val="18"/>
              </w:rPr>
              <w:t>Neto prihodi od ulaganja</w:t>
            </w:r>
          </w:p>
        </w:tc>
        <w:tc>
          <w:tcPr>
            <w:tcW w:w="1364" w:type="dxa"/>
            <w:tcBorders>
              <w:top w:val="nil"/>
              <w:left w:val="nil"/>
              <w:bottom w:val="nil"/>
              <w:right w:val="nil"/>
            </w:tcBorders>
            <w:shd w:val="clear" w:color="auto" w:fill="auto"/>
            <w:noWrap/>
          </w:tcPr>
          <w:p w14:paraId="7A59C0B4" w14:textId="44B1E7C4" w:rsidR="00BC13C0" w:rsidRPr="00C9743F" w:rsidRDefault="00BC13C0" w:rsidP="00BC13C0">
            <w:pPr>
              <w:spacing w:after="0" w:line="220" w:lineRule="exact"/>
              <w:jc w:val="right"/>
              <w:rPr>
                <w:rFonts w:eastAsia="Times New Roman" w:cs="Arial"/>
                <w:bCs/>
                <w:sz w:val="18"/>
                <w:szCs w:val="18"/>
              </w:rPr>
            </w:pPr>
            <w:r>
              <w:rPr>
                <w:rFonts w:ascii="Calibri" w:eastAsia="Times New Roman" w:hAnsi="Calibri" w:cs="Arial"/>
                <w:bCs/>
                <w:sz w:val="18"/>
                <w:szCs w:val="18"/>
              </w:rPr>
              <w:t>577</w:t>
            </w:r>
          </w:p>
        </w:tc>
        <w:tc>
          <w:tcPr>
            <w:tcW w:w="1184" w:type="dxa"/>
            <w:tcBorders>
              <w:top w:val="nil"/>
              <w:left w:val="nil"/>
              <w:bottom w:val="nil"/>
              <w:right w:val="nil"/>
            </w:tcBorders>
            <w:shd w:val="clear" w:color="auto" w:fill="auto"/>
            <w:vAlign w:val="bottom"/>
          </w:tcPr>
          <w:p w14:paraId="6042ACDA" w14:textId="781513DB" w:rsidR="00BC13C0" w:rsidRPr="00FB01C4" w:rsidRDefault="00BC13C0" w:rsidP="00BC13C0">
            <w:pPr>
              <w:spacing w:after="0" w:line="220" w:lineRule="exact"/>
              <w:jc w:val="right"/>
              <w:rPr>
                <w:rFonts w:eastAsia="Times New Roman" w:cs="Arial"/>
                <w:bCs/>
                <w:sz w:val="18"/>
                <w:szCs w:val="18"/>
              </w:rPr>
            </w:pPr>
            <w:r w:rsidRPr="002B2DDF">
              <w:rPr>
                <w:rFonts w:cs="Arial"/>
                <w:bCs/>
                <w:sz w:val="18"/>
                <w:szCs w:val="18"/>
              </w:rPr>
              <w:t>855</w:t>
            </w:r>
          </w:p>
        </w:tc>
      </w:tr>
      <w:tr w:rsidR="00BC13C0" w:rsidRPr="00C9743F" w14:paraId="2B75D000" w14:textId="77777777" w:rsidTr="00312975">
        <w:trPr>
          <w:trHeight w:val="169"/>
        </w:trPr>
        <w:tc>
          <w:tcPr>
            <w:tcW w:w="6207" w:type="dxa"/>
            <w:tcBorders>
              <w:top w:val="nil"/>
              <w:left w:val="nil"/>
              <w:right w:val="nil"/>
            </w:tcBorders>
            <w:shd w:val="clear" w:color="auto" w:fill="auto"/>
            <w:vAlign w:val="bottom"/>
          </w:tcPr>
          <w:p w14:paraId="62E60BAC" w14:textId="77777777" w:rsidR="00BC13C0" w:rsidRPr="00FB01C4" w:rsidRDefault="00BC13C0" w:rsidP="00BC13C0">
            <w:pPr>
              <w:spacing w:after="0" w:line="220" w:lineRule="exact"/>
              <w:rPr>
                <w:rFonts w:eastAsia="Times New Roman" w:cs="Arial"/>
                <w:sz w:val="18"/>
                <w:szCs w:val="18"/>
              </w:rPr>
            </w:pPr>
            <w:r w:rsidRPr="00FB01C4">
              <w:rPr>
                <w:rFonts w:eastAsia="Times New Roman" w:cs="Arial"/>
                <w:sz w:val="18"/>
                <w:szCs w:val="18"/>
              </w:rPr>
              <w:t>Ostali poslovni prihodi</w:t>
            </w:r>
          </w:p>
        </w:tc>
        <w:tc>
          <w:tcPr>
            <w:tcW w:w="1364" w:type="dxa"/>
            <w:tcBorders>
              <w:top w:val="nil"/>
              <w:left w:val="nil"/>
              <w:bottom w:val="single" w:sz="4" w:space="0" w:color="auto"/>
              <w:right w:val="nil"/>
            </w:tcBorders>
            <w:shd w:val="clear" w:color="auto" w:fill="auto"/>
            <w:noWrap/>
          </w:tcPr>
          <w:p w14:paraId="2E5AC2FE" w14:textId="5BA7A79A" w:rsidR="00BC13C0" w:rsidRPr="00C9743F" w:rsidRDefault="00BC13C0" w:rsidP="00BC13C0">
            <w:pPr>
              <w:spacing w:after="0" w:line="220" w:lineRule="exact"/>
              <w:jc w:val="right"/>
              <w:rPr>
                <w:rFonts w:eastAsia="Times New Roman" w:cs="Arial"/>
                <w:sz w:val="18"/>
                <w:szCs w:val="18"/>
              </w:rPr>
            </w:pPr>
            <w:r>
              <w:rPr>
                <w:rFonts w:ascii="Calibri" w:eastAsia="Times New Roman" w:hAnsi="Calibri" w:cs="Arial"/>
                <w:sz w:val="18"/>
                <w:szCs w:val="18"/>
              </w:rPr>
              <w:t>36</w:t>
            </w:r>
          </w:p>
        </w:tc>
        <w:tc>
          <w:tcPr>
            <w:tcW w:w="1184" w:type="dxa"/>
            <w:tcBorders>
              <w:top w:val="nil"/>
              <w:left w:val="nil"/>
              <w:bottom w:val="single" w:sz="4" w:space="0" w:color="auto"/>
              <w:right w:val="nil"/>
            </w:tcBorders>
            <w:shd w:val="clear" w:color="auto" w:fill="auto"/>
            <w:vAlign w:val="bottom"/>
          </w:tcPr>
          <w:p w14:paraId="6AF74743" w14:textId="49D5A047" w:rsidR="00BC13C0" w:rsidRPr="00FB01C4" w:rsidRDefault="00BC13C0" w:rsidP="00BC13C0">
            <w:pPr>
              <w:spacing w:after="0" w:line="220" w:lineRule="exact"/>
              <w:jc w:val="right"/>
              <w:rPr>
                <w:rFonts w:eastAsia="Times New Roman" w:cs="Arial"/>
                <w:sz w:val="18"/>
                <w:szCs w:val="18"/>
              </w:rPr>
            </w:pPr>
            <w:r w:rsidRPr="002B2DDF">
              <w:rPr>
                <w:rFonts w:cs="Arial"/>
                <w:sz w:val="18"/>
                <w:szCs w:val="18"/>
              </w:rPr>
              <w:t>25</w:t>
            </w:r>
          </w:p>
        </w:tc>
      </w:tr>
      <w:tr w:rsidR="00BC13C0" w:rsidRPr="00C9743F" w14:paraId="1C20A114" w14:textId="77777777" w:rsidTr="00312975">
        <w:trPr>
          <w:trHeight w:val="151"/>
        </w:trPr>
        <w:tc>
          <w:tcPr>
            <w:tcW w:w="6207" w:type="dxa"/>
            <w:tcBorders>
              <w:left w:val="nil"/>
              <w:right w:val="nil"/>
            </w:tcBorders>
            <w:shd w:val="clear" w:color="auto" w:fill="auto"/>
            <w:vAlign w:val="bottom"/>
          </w:tcPr>
          <w:p w14:paraId="61B950D0" w14:textId="77777777" w:rsidR="00BC13C0" w:rsidRPr="00FB01C4" w:rsidRDefault="00BC13C0" w:rsidP="00BC13C0">
            <w:pPr>
              <w:spacing w:after="0" w:line="220" w:lineRule="exact"/>
              <w:rPr>
                <w:rFonts w:eastAsia="Times New Roman" w:cs="Arial"/>
                <w:b/>
                <w:bCs/>
                <w:sz w:val="18"/>
                <w:szCs w:val="18"/>
              </w:rPr>
            </w:pPr>
            <w:r w:rsidRPr="00FB01C4">
              <w:rPr>
                <w:rFonts w:eastAsia="Times New Roman" w:cs="Arial"/>
                <w:b/>
                <w:bCs/>
                <w:sz w:val="18"/>
                <w:szCs w:val="18"/>
              </w:rPr>
              <w:t>Neto prihodi</w:t>
            </w:r>
          </w:p>
        </w:tc>
        <w:tc>
          <w:tcPr>
            <w:tcW w:w="1364" w:type="dxa"/>
            <w:tcBorders>
              <w:top w:val="single" w:sz="4" w:space="0" w:color="auto"/>
              <w:left w:val="nil"/>
              <w:bottom w:val="single" w:sz="12" w:space="0" w:color="auto"/>
              <w:right w:val="nil"/>
            </w:tcBorders>
            <w:shd w:val="clear" w:color="auto" w:fill="auto"/>
            <w:noWrap/>
          </w:tcPr>
          <w:p w14:paraId="1D5E19F9" w14:textId="23729BC3" w:rsidR="00BC13C0" w:rsidRPr="00C9743F" w:rsidRDefault="00BC13C0" w:rsidP="00BC13C0">
            <w:pPr>
              <w:spacing w:after="0" w:line="220" w:lineRule="exact"/>
              <w:jc w:val="right"/>
              <w:rPr>
                <w:rFonts w:eastAsia="Times New Roman" w:cs="Arial"/>
                <w:b/>
                <w:bCs/>
                <w:sz w:val="18"/>
                <w:szCs w:val="18"/>
              </w:rPr>
            </w:pPr>
            <w:r>
              <w:rPr>
                <w:rFonts w:ascii="Calibri" w:eastAsia="Times New Roman" w:hAnsi="Calibri" w:cs="Arial"/>
                <w:b/>
                <w:bCs/>
                <w:sz w:val="18"/>
                <w:szCs w:val="18"/>
              </w:rPr>
              <w:t>5.211</w:t>
            </w:r>
          </w:p>
        </w:tc>
        <w:tc>
          <w:tcPr>
            <w:tcW w:w="1184" w:type="dxa"/>
            <w:tcBorders>
              <w:top w:val="single" w:sz="4" w:space="0" w:color="auto"/>
              <w:left w:val="nil"/>
              <w:bottom w:val="single" w:sz="12" w:space="0" w:color="auto"/>
              <w:right w:val="nil"/>
            </w:tcBorders>
            <w:shd w:val="clear" w:color="auto" w:fill="auto"/>
            <w:vAlign w:val="bottom"/>
          </w:tcPr>
          <w:p w14:paraId="3E173A34" w14:textId="7ECE44C1" w:rsidR="00BC13C0" w:rsidRPr="00FB01C4" w:rsidRDefault="00BC13C0" w:rsidP="00BC13C0">
            <w:pPr>
              <w:spacing w:after="0" w:line="220" w:lineRule="exact"/>
              <w:jc w:val="right"/>
              <w:rPr>
                <w:rFonts w:eastAsia="Times New Roman" w:cs="Arial"/>
                <w:b/>
                <w:bCs/>
                <w:sz w:val="18"/>
                <w:szCs w:val="18"/>
              </w:rPr>
            </w:pPr>
            <w:r w:rsidRPr="002B2DDF">
              <w:rPr>
                <w:rFonts w:cs="Arial"/>
                <w:b/>
                <w:bCs/>
                <w:sz w:val="18"/>
                <w:szCs w:val="18"/>
              </w:rPr>
              <w:t>5.243</w:t>
            </w:r>
          </w:p>
        </w:tc>
      </w:tr>
      <w:tr w:rsidR="00BC13C0" w:rsidRPr="00C9743F" w14:paraId="01DB98BB" w14:textId="77777777" w:rsidTr="00312975">
        <w:trPr>
          <w:trHeight w:val="87"/>
        </w:trPr>
        <w:tc>
          <w:tcPr>
            <w:tcW w:w="6207" w:type="dxa"/>
            <w:tcBorders>
              <w:left w:val="nil"/>
              <w:bottom w:val="nil"/>
              <w:right w:val="nil"/>
            </w:tcBorders>
            <w:shd w:val="clear" w:color="auto" w:fill="auto"/>
            <w:vAlign w:val="bottom"/>
          </w:tcPr>
          <w:p w14:paraId="2AD03AFB" w14:textId="77777777" w:rsidR="00BC13C0" w:rsidRPr="00FB01C4" w:rsidRDefault="00BC13C0" w:rsidP="00BC13C0">
            <w:pPr>
              <w:spacing w:after="0" w:line="140" w:lineRule="exact"/>
              <w:rPr>
                <w:rFonts w:eastAsia="Times New Roman" w:cs="Arial"/>
                <w:sz w:val="18"/>
                <w:szCs w:val="18"/>
              </w:rPr>
            </w:pPr>
          </w:p>
        </w:tc>
        <w:tc>
          <w:tcPr>
            <w:tcW w:w="1364" w:type="dxa"/>
            <w:tcBorders>
              <w:top w:val="single" w:sz="12" w:space="0" w:color="auto"/>
              <w:left w:val="nil"/>
              <w:bottom w:val="nil"/>
              <w:right w:val="nil"/>
            </w:tcBorders>
            <w:shd w:val="clear" w:color="auto" w:fill="auto"/>
            <w:noWrap/>
          </w:tcPr>
          <w:p w14:paraId="11738A4D" w14:textId="77777777" w:rsidR="00BC13C0" w:rsidRPr="00C9743F" w:rsidRDefault="00BC13C0" w:rsidP="00BC13C0">
            <w:pPr>
              <w:spacing w:after="0" w:line="140" w:lineRule="exact"/>
              <w:jc w:val="right"/>
              <w:rPr>
                <w:rFonts w:eastAsia="Times New Roman" w:cs="Arial"/>
                <w:sz w:val="18"/>
                <w:szCs w:val="18"/>
              </w:rPr>
            </w:pPr>
          </w:p>
        </w:tc>
        <w:tc>
          <w:tcPr>
            <w:tcW w:w="1184" w:type="dxa"/>
            <w:tcBorders>
              <w:top w:val="single" w:sz="12" w:space="0" w:color="auto"/>
              <w:left w:val="nil"/>
              <w:bottom w:val="nil"/>
              <w:right w:val="nil"/>
            </w:tcBorders>
            <w:shd w:val="clear" w:color="auto" w:fill="auto"/>
            <w:vAlign w:val="bottom"/>
          </w:tcPr>
          <w:p w14:paraId="188D5AA8" w14:textId="77777777" w:rsidR="00BC13C0" w:rsidRPr="00C9743F" w:rsidRDefault="00BC13C0" w:rsidP="00BC13C0">
            <w:pPr>
              <w:spacing w:after="0" w:line="140" w:lineRule="exact"/>
              <w:jc w:val="right"/>
              <w:rPr>
                <w:rFonts w:eastAsia="Times New Roman" w:cs="Arial"/>
                <w:sz w:val="18"/>
                <w:szCs w:val="18"/>
              </w:rPr>
            </w:pPr>
          </w:p>
        </w:tc>
      </w:tr>
      <w:tr w:rsidR="00BC13C0" w:rsidRPr="00C9743F" w14:paraId="676184C1" w14:textId="77777777" w:rsidTr="00312975">
        <w:trPr>
          <w:trHeight w:val="149"/>
        </w:trPr>
        <w:tc>
          <w:tcPr>
            <w:tcW w:w="6207" w:type="dxa"/>
            <w:tcBorders>
              <w:top w:val="nil"/>
              <w:left w:val="nil"/>
              <w:right w:val="nil"/>
            </w:tcBorders>
            <w:shd w:val="clear" w:color="auto" w:fill="auto"/>
            <w:vAlign w:val="bottom"/>
          </w:tcPr>
          <w:p w14:paraId="607EEC2A" w14:textId="77777777" w:rsidR="00BC13C0" w:rsidRPr="00FB01C4" w:rsidRDefault="00BC13C0" w:rsidP="00BC13C0">
            <w:pPr>
              <w:spacing w:after="0" w:line="220" w:lineRule="exact"/>
              <w:rPr>
                <w:rFonts w:eastAsia="Times New Roman" w:cs="Arial"/>
                <w:sz w:val="18"/>
                <w:szCs w:val="18"/>
              </w:rPr>
            </w:pPr>
            <w:r w:rsidRPr="00FB01C4">
              <w:rPr>
                <w:rFonts w:eastAsia="Times New Roman" w:cs="Arial"/>
                <w:sz w:val="18"/>
                <w:szCs w:val="18"/>
              </w:rPr>
              <w:t>Bruto izdatak za povrat premije</w:t>
            </w:r>
          </w:p>
        </w:tc>
        <w:tc>
          <w:tcPr>
            <w:tcW w:w="1364" w:type="dxa"/>
            <w:tcBorders>
              <w:top w:val="nil"/>
              <w:left w:val="nil"/>
              <w:right w:val="nil"/>
            </w:tcBorders>
            <w:shd w:val="clear" w:color="auto" w:fill="auto"/>
            <w:noWrap/>
          </w:tcPr>
          <w:p w14:paraId="0036E3E0" w14:textId="4A3093CD" w:rsidR="00BC13C0" w:rsidRPr="00C9743F" w:rsidRDefault="00BC13C0" w:rsidP="00BC13C0">
            <w:pPr>
              <w:spacing w:after="0" w:line="220" w:lineRule="exact"/>
              <w:jc w:val="right"/>
              <w:rPr>
                <w:rFonts w:eastAsia="Times New Roman" w:cs="Arial"/>
                <w:sz w:val="18"/>
                <w:szCs w:val="18"/>
              </w:rPr>
            </w:pPr>
            <w:r>
              <w:rPr>
                <w:rFonts w:ascii="Calibri" w:eastAsia="Times New Roman" w:hAnsi="Calibri" w:cs="Arial"/>
                <w:sz w:val="18"/>
                <w:szCs w:val="18"/>
              </w:rPr>
              <w:t>(215)</w:t>
            </w:r>
          </w:p>
        </w:tc>
        <w:tc>
          <w:tcPr>
            <w:tcW w:w="1184" w:type="dxa"/>
            <w:tcBorders>
              <w:top w:val="nil"/>
              <w:left w:val="nil"/>
              <w:right w:val="nil"/>
            </w:tcBorders>
            <w:shd w:val="clear" w:color="auto" w:fill="auto"/>
            <w:vAlign w:val="bottom"/>
          </w:tcPr>
          <w:p w14:paraId="54D0BFF9" w14:textId="44A30AB2" w:rsidR="00BC13C0" w:rsidRPr="00FB01C4" w:rsidRDefault="00BC13C0" w:rsidP="00BC13C0">
            <w:pPr>
              <w:spacing w:after="0" w:line="220" w:lineRule="exact"/>
              <w:jc w:val="right"/>
              <w:rPr>
                <w:rFonts w:eastAsia="Times New Roman" w:cs="Arial"/>
                <w:sz w:val="18"/>
                <w:szCs w:val="18"/>
              </w:rPr>
            </w:pPr>
            <w:r w:rsidRPr="002B2DDF">
              <w:rPr>
                <w:rFonts w:cs="Arial"/>
                <w:sz w:val="18"/>
                <w:szCs w:val="18"/>
              </w:rPr>
              <w:t>(772)</w:t>
            </w:r>
          </w:p>
        </w:tc>
      </w:tr>
      <w:tr w:rsidR="00BC13C0" w:rsidRPr="00C9743F" w14:paraId="3BEE7C9C" w14:textId="77777777" w:rsidTr="00312975">
        <w:trPr>
          <w:trHeight w:val="204"/>
        </w:trPr>
        <w:tc>
          <w:tcPr>
            <w:tcW w:w="6207" w:type="dxa"/>
            <w:tcBorders>
              <w:top w:val="nil"/>
              <w:left w:val="nil"/>
              <w:right w:val="nil"/>
            </w:tcBorders>
            <w:shd w:val="clear" w:color="auto" w:fill="auto"/>
            <w:vAlign w:val="bottom"/>
          </w:tcPr>
          <w:p w14:paraId="232ECB6A" w14:textId="77777777" w:rsidR="00BC13C0" w:rsidRPr="00FB01C4" w:rsidRDefault="00BC13C0" w:rsidP="00BC13C0">
            <w:pPr>
              <w:spacing w:after="0" w:line="220" w:lineRule="exact"/>
              <w:rPr>
                <w:rFonts w:eastAsia="Times New Roman" w:cs="Arial"/>
                <w:sz w:val="18"/>
                <w:szCs w:val="18"/>
              </w:rPr>
            </w:pPr>
            <w:r w:rsidRPr="00FB01C4">
              <w:rPr>
                <w:rFonts w:eastAsia="Times New Roman" w:cs="Arial"/>
                <w:sz w:val="18"/>
                <w:szCs w:val="18"/>
              </w:rPr>
              <w:t>Udio reosiguravatelja u povratu premije</w:t>
            </w:r>
          </w:p>
        </w:tc>
        <w:tc>
          <w:tcPr>
            <w:tcW w:w="1364" w:type="dxa"/>
            <w:tcBorders>
              <w:top w:val="nil"/>
              <w:left w:val="nil"/>
              <w:right w:val="nil"/>
            </w:tcBorders>
            <w:shd w:val="clear" w:color="auto" w:fill="auto"/>
            <w:noWrap/>
          </w:tcPr>
          <w:p w14:paraId="553E592E" w14:textId="3DDE25BB" w:rsidR="00BC13C0" w:rsidRPr="00C9743F" w:rsidRDefault="00BC13C0" w:rsidP="00BC13C0">
            <w:pPr>
              <w:spacing w:after="0" w:line="220" w:lineRule="exact"/>
              <w:jc w:val="right"/>
              <w:rPr>
                <w:rFonts w:eastAsia="Times New Roman" w:cs="Arial"/>
                <w:sz w:val="18"/>
                <w:szCs w:val="18"/>
              </w:rPr>
            </w:pPr>
            <w:r>
              <w:rPr>
                <w:rFonts w:ascii="Calibri" w:eastAsia="Times New Roman" w:hAnsi="Calibri" w:cs="Arial"/>
                <w:sz w:val="18"/>
                <w:szCs w:val="18"/>
              </w:rPr>
              <w:t>80</w:t>
            </w:r>
          </w:p>
        </w:tc>
        <w:tc>
          <w:tcPr>
            <w:tcW w:w="1184" w:type="dxa"/>
            <w:tcBorders>
              <w:top w:val="nil"/>
              <w:left w:val="nil"/>
              <w:right w:val="nil"/>
            </w:tcBorders>
            <w:shd w:val="clear" w:color="auto" w:fill="auto"/>
            <w:vAlign w:val="bottom"/>
          </w:tcPr>
          <w:p w14:paraId="53F011FA" w14:textId="0E5A5353" w:rsidR="00BC13C0" w:rsidRPr="00FB01C4" w:rsidRDefault="00BC13C0" w:rsidP="00BC13C0">
            <w:pPr>
              <w:spacing w:after="0" w:line="220" w:lineRule="exact"/>
              <w:jc w:val="right"/>
              <w:rPr>
                <w:rFonts w:eastAsia="Times New Roman" w:cs="Arial"/>
                <w:sz w:val="18"/>
                <w:szCs w:val="18"/>
              </w:rPr>
            </w:pPr>
            <w:r w:rsidRPr="002B2DDF">
              <w:rPr>
                <w:rFonts w:cs="Arial"/>
                <w:sz w:val="18"/>
                <w:szCs w:val="18"/>
              </w:rPr>
              <w:t>428</w:t>
            </w:r>
          </w:p>
        </w:tc>
      </w:tr>
      <w:tr w:rsidR="00BC13C0" w:rsidRPr="00C9743F" w14:paraId="076C1DA8" w14:textId="77777777" w:rsidTr="00E45CA6">
        <w:trPr>
          <w:trHeight w:val="260"/>
        </w:trPr>
        <w:tc>
          <w:tcPr>
            <w:tcW w:w="6207" w:type="dxa"/>
            <w:tcBorders>
              <w:top w:val="nil"/>
              <w:left w:val="nil"/>
              <w:right w:val="nil"/>
            </w:tcBorders>
            <w:shd w:val="clear" w:color="auto" w:fill="auto"/>
            <w:vAlign w:val="bottom"/>
          </w:tcPr>
          <w:p w14:paraId="472F4FE0" w14:textId="77777777" w:rsidR="00BC13C0" w:rsidRPr="00FB01C4" w:rsidRDefault="00BC13C0" w:rsidP="00BC13C0">
            <w:pPr>
              <w:spacing w:after="0" w:line="220" w:lineRule="exact"/>
              <w:rPr>
                <w:rFonts w:eastAsia="Times New Roman" w:cs="Arial"/>
                <w:sz w:val="18"/>
                <w:szCs w:val="18"/>
              </w:rPr>
            </w:pPr>
            <w:r w:rsidRPr="00FB01C4">
              <w:rPr>
                <w:rFonts w:eastAsia="Times New Roman" w:cs="Arial"/>
                <w:sz w:val="18"/>
                <w:szCs w:val="18"/>
              </w:rPr>
              <w:t>Bruto pričuva za povrate premija</w:t>
            </w:r>
          </w:p>
        </w:tc>
        <w:tc>
          <w:tcPr>
            <w:tcW w:w="1364" w:type="dxa"/>
            <w:tcBorders>
              <w:top w:val="nil"/>
              <w:left w:val="nil"/>
              <w:right w:val="nil"/>
            </w:tcBorders>
            <w:shd w:val="clear" w:color="auto" w:fill="auto"/>
            <w:noWrap/>
            <w:vAlign w:val="bottom"/>
          </w:tcPr>
          <w:p w14:paraId="7D183118" w14:textId="3A3B4935" w:rsidR="00BC13C0" w:rsidRPr="00C9743F" w:rsidRDefault="00BC13C0" w:rsidP="00BC13C0">
            <w:pPr>
              <w:spacing w:after="0" w:line="220" w:lineRule="exact"/>
              <w:jc w:val="right"/>
              <w:rPr>
                <w:rFonts w:eastAsia="Times New Roman" w:cs="Arial"/>
                <w:sz w:val="18"/>
                <w:szCs w:val="18"/>
              </w:rPr>
            </w:pPr>
            <w:r>
              <w:rPr>
                <w:rFonts w:ascii="Calibri" w:eastAsia="Times New Roman" w:hAnsi="Calibri" w:cs="Arial"/>
                <w:sz w:val="18"/>
                <w:szCs w:val="18"/>
              </w:rPr>
              <w:t>(204)</w:t>
            </w:r>
          </w:p>
        </w:tc>
        <w:tc>
          <w:tcPr>
            <w:tcW w:w="1184" w:type="dxa"/>
            <w:tcBorders>
              <w:top w:val="nil"/>
              <w:left w:val="nil"/>
              <w:right w:val="nil"/>
            </w:tcBorders>
            <w:shd w:val="clear" w:color="auto" w:fill="auto"/>
            <w:vAlign w:val="bottom"/>
          </w:tcPr>
          <w:p w14:paraId="24205510" w14:textId="0F74369F" w:rsidR="00BC13C0" w:rsidRPr="00FB01C4" w:rsidRDefault="00BC13C0" w:rsidP="00BC13C0">
            <w:pPr>
              <w:spacing w:after="0" w:line="220" w:lineRule="exact"/>
              <w:jc w:val="right"/>
              <w:rPr>
                <w:rFonts w:eastAsia="Times New Roman" w:cs="Arial"/>
                <w:sz w:val="18"/>
                <w:szCs w:val="18"/>
              </w:rPr>
            </w:pPr>
            <w:r w:rsidRPr="002B2DDF">
              <w:rPr>
                <w:rFonts w:cs="Arial"/>
                <w:sz w:val="18"/>
                <w:szCs w:val="18"/>
              </w:rPr>
              <w:t>(22)</w:t>
            </w:r>
          </w:p>
        </w:tc>
      </w:tr>
      <w:tr w:rsidR="00BC13C0" w:rsidRPr="00C9743F" w14:paraId="37FC8147" w14:textId="77777777" w:rsidTr="005F1FBF">
        <w:trPr>
          <w:trHeight w:val="120"/>
        </w:trPr>
        <w:tc>
          <w:tcPr>
            <w:tcW w:w="6207" w:type="dxa"/>
            <w:tcBorders>
              <w:top w:val="nil"/>
              <w:left w:val="nil"/>
              <w:right w:val="nil"/>
            </w:tcBorders>
            <w:shd w:val="clear" w:color="auto" w:fill="auto"/>
            <w:vAlign w:val="bottom"/>
          </w:tcPr>
          <w:p w14:paraId="59BA7D83" w14:textId="77777777" w:rsidR="00BC13C0" w:rsidRPr="00FB01C4" w:rsidRDefault="00BC13C0" w:rsidP="00BC13C0">
            <w:pPr>
              <w:spacing w:after="0" w:line="220" w:lineRule="exact"/>
              <w:rPr>
                <w:rFonts w:eastAsia="Times New Roman" w:cs="Arial"/>
                <w:sz w:val="18"/>
                <w:szCs w:val="18"/>
              </w:rPr>
            </w:pPr>
            <w:r w:rsidRPr="00FB01C4">
              <w:rPr>
                <w:rFonts w:eastAsia="Times New Roman" w:cs="Arial"/>
                <w:sz w:val="18"/>
                <w:szCs w:val="18"/>
              </w:rPr>
              <w:t>Udio reosiguravatelja u pričuvi</w:t>
            </w:r>
          </w:p>
        </w:tc>
        <w:tc>
          <w:tcPr>
            <w:tcW w:w="1364" w:type="dxa"/>
            <w:tcBorders>
              <w:top w:val="nil"/>
              <w:left w:val="nil"/>
              <w:bottom w:val="single" w:sz="4" w:space="0" w:color="auto"/>
              <w:right w:val="nil"/>
            </w:tcBorders>
            <w:shd w:val="clear" w:color="auto" w:fill="auto"/>
            <w:noWrap/>
            <w:vAlign w:val="bottom"/>
          </w:tcPr>
          <w:p w14:paraId="626DEF5E" w14:textId="7860265C" w:rsidR="00BC13C0" w:rsidRPr="00C9743F" w:rsidRDefault="00BC13C0" w:rsidP="00BC13C0">
            <w:pPr>
              <w:spacing w:after="0" w:line="220" w:lineRule="exact"/>
              <w:jc w:val="right"/>
              <w:rPr>
                <w:rFonts w:eastAsia="Times New Roman" w:cs="Arial"/>
                <w:sz w:val="18"/>
                <w:szCs w:val="18"/>
              </w:rPr>
            </w:pPr>
            <w:r>
              <w:rPr>
                <w:rFonts w:ascii="Calibri" w:eastAsia="Times New Roman" w:hAnsi="Calibri" w:cs="Arial"/>
                <w:sz w:val="18"/>
                <w:szCs w:val="18"/>
              </w:rPr>
              <w:t>81</w:t>
            </w:r>
          </w:p>
        </w:tc>
        <w:tc>
          <w:tcPr>
            <w:tcW w:w="1184" w:type="dxa"/>
            <w:tcBorders>
              <w:top w:val="nil"/>
              <w:left w:val="nil"/>
              <w:bottom w:val="single" w:sz="4" w:space="0" w:color="auto"/>
              <w:right w:val="nil"/>
            </w:tcBorders>
            <w:shd w:val="clear" w:color="auto" w:fill="auto"/>
            <w:vAlign w:val="bottom"/>
          </w:tcPr>
          <w:p w14:paraId="2E84CEC1" w14:textId="1BAC84E5" w:rsidR="00BC13C0" w:rsidRPr="00FB01C4" w:rsidRDefault="00BC13C0" w:rsidP="00BC13C0">
            <w:pPr>
              <w:spacing w:after="0" w:line="220" w:lineRule="exact"/>
              <w:jc w:val="right"/>
              <w:rPr>
                <w:rFonts w:eastAsia="Times New Roman" w:cs="Arial"/>
                <w:sz w:val="18"/>
                <w:szCs w:val="18"/>
              </w:rPr>
            </w:pPr>
            <w:r w:rsidRPr="002B2DDF">
              <w:rPr>
                <w:rFonts w:cs="Arial"/>
                <w:sz w:val="18"/>
                <w:szCs w:val="18"/>
              </w:rPr>
              <w:t>(21)</w:t>
            </w:r>
          </w:p>
        </w:tc>
      </w:tr>
      <w:tr w:rsidR="00BC13C0" w:rsidRPr="00C9743F" w14:paraId="19262D69" w14:textId="77777777" w:rsidTr="00312975">
        <w:trPr>
          <w:trHeight w:val="166"/>
        </w:trPr>
        <w:tc>
          <w:tcPr>
            <w:tcW w:w="6207" w:type="dxa"/>
            <w:tcBorders>
              <w:left w:val="nil"/>
              <w:right w:val="nil"/>
            </w:tcBorders>
            <w:shd w:val="clear" w:color="auto" w:fill="auto"/>
            <w:vAlign w:val="bottom"/>
          </w:tcPr>
          <w:p w14:paraId="6CF85F5A" w14:textId="77777777" w:rsidR="00BC13C0" w:rsidRPr="00AC74E4" w:rsidRDefault="00BC13C0" w:rsidP="00BC13C0">
            <w:pPr>
              <w:spacing w:after="0" w:line="220" w:lineRule="exact"/>
              <w:rPr>
                <w:rFonts w:eastAsia="Times New Roman" w:cs="Arial"/>
                <w:b/>
                <w:bCs/>
                <w:sz w:val="18"/>
                <w:szCs w:val="18"/>
              </w:rPr>
            </w:pPr>
            <w:r w:rsidRPr="00FB01C4">
              <w:rPr>
                <w:rFonts w:eastAsia="Times New Roman" w:cs="Arial"/>
                <w:b/>
                <w:bCs/>
                <w:sz w:val="18"/>
                <w:szCs w:val="18"/>
              </w:rPr>
              <w:t>Neto izdaci i pričuve za povrat premije</w:t>
            </w:r>
          </w:p>
        </w:tc>
        <w:tc>
          <w:tcPr>
            <w:tcW w:w="1364" w:type="dxa"/>
            <w:tcBorders>
              <w:top w:val="single" w:sz="4" w:space="0" w:color="auto"/>
              <w:left w:val="nil"/>
              <w:bottom w:val="single" w:sz="12" w:space="0" w:color="auto"/>
              <w:right w:val="nil"/>
            </w:tcBorders>
            <w:shd w:val="clear" w:color="auto" w:fill="auto"/>
            <w:noWrap/>
          </w:tcPr>
          <w:p w14:paraId="0F6EE261" w14:textId="44730734" w:rsidR="00BC13C0" w:rsidRPr="00C9743F" w:rsidRDefault="00BC13C0" w:rsidP="00BC13C0">
            <w:pPr>
              <w:spacing w:after="0" w:line="220" w:lineRule="exact"/>
              <w:jc w:val="right"/>
              <w:rPr>
                <w:rFonts w:eastAsia="Times New Roman" w:cs="Arial"/>
                <w:b/>
                <w:sz w:val="18"/>
                <w:szCs w:val="18"/>
              </w:rPr>
            </w:pPr>
            <w:r>
              <w:rPr>
                <w:rFonts w:ascii="Calibri" w:eastAsia="Times New Roman" w:hAnsi="Calibri" w:cs="Arial"/>
                <w:b/>
                <w:sz w:val="18"/>
                <w:szCs w:val="18"/>
              </w:rPr>
              <w:t>(258)</w:t>
            </w:r>
          </w:p>
        </w:tc>
        <w:tc>
          <w:tcPr>
            <w:tcW w:w="1184" w:type="dxa"/>
            <w:tcBorders>
              <w:top w:val="single" w:sz="4" w:space="0" w:color="auto"/>
              <w:left w:val="nil"/>
              <w:bottom w:val="single" w:sz="12" w:space="0" w:color="auto"/>
              <w:right w:val="nil"/>
            </w:tcBorders>
            <w:shd w:val="clear" w:color="auto" w:fill="auto"/>
            <w:vAlign w:val="bottom"/>
          </w:tcPr>
          <w:p w14:paraId="2BEF5F42" w14:textId="0BE830B5" w:rsidR="00BC13C0" w:rsidRPr="00FB01C4" w:rsidRDefault="00BC13C0" w:rsidP="00BC13C0">
            <w:pPr>
              <w:spacing w:after="0" w:line="220" w:lineRule="exact"/>
              <w:jc w:val="right"/>
              <w:rPr>
                <w:rFonts w:eastAsia="Times New Roman" w:cs="Arial"/>
                <w:b/>
                <w:sz w:val="18"/>
                <w:szCs w:val="18"/>
              </w:rPr>
            </w:pPr>
            <w:r w:rsidRPr="002B2DDF">
              <w:rPr>
                <w:rFonts w:cs="Arial"/>
                <w:b/>
                <w:sz w:val="18"/>
                <w:szCs w:val="18"/>
              </w:rPr>
              <w:t>(387)</w:t>
            </w:r>
          </w:p>
        </w:tc>
      </w:tr>
      <w:tr w:rsidR="00BC13C0" w:rsidRPr="00C9743F" w14:paraId="72896BC1" w14:textId="77777777" w:rsidTr="00312975">
        <w:trPr>
          <w:trHeight w:val="110"/>
        </w:trPr>
        <w:tc>
          <w:tcPr>
            <w:tcW w:w="6207" w:type="dxa"/>
            <w:tcBorders>
              <w:left w:val="nil"/>
              <w:bottom w:val="nil"/>
              <w:right w:val="nil"/>
            </w:tcBorders>
            <w:shd w:val="clear" w:color="auto" w:fill="auto"/>
            <w:vAlign w:val="bottom"/>
          </w:tcPr>
          <w:p w14:paraId="68A8E517" w14:textId="77777777" w:rsidR="00BC13C0" w:rsidRPr="00FB01C4" w:rsidRDefault="00BC13C0" w:rsidP="00BC13C0">
            <w:pPr>
              <w:spacing w:after="0" w:line="140" w:lineRule="exact"/>
              <w:rPr>
                <w:rFonts w:eastAsia="Times New Roman" w:cs="Arial"/>
                <w:sz w:val="18"/>
                <w:szCs w:val="18"/>
              </w:rPr>
            </w:pPr>
          </w:p>
        </w:tc>
        <w:tc>
          <w:tcPr>
            <w:tcW w:w="1364" w:type="dxa"/>
            <w:tcBorders>
              <w:top w:val="single" w:sz="12" w:space="0" w:color="auto"/>
              <w:left w:val="nil"/>
              <w:bottom w:val="nil"/>
              <w:right w:val="nil"/>
            </w:tcBorders>
            <w:shd w:val="clear" w:color="auto" w:fill="auto"/>
            <w:noWrap/>
          </w:tcPr>
          <w:p w14:paraId="32699C4A" w14:textId="77777777" w:rsidR="00BC13C0" w:rsidRPr="00C9743F" w:rsidRDefault="00BC13C0" w:rsidP="00BC13C0">
            <w:pPr>
              <w:spacing w:after="0" w:line="140" w:lineRule="exact"/>
              <w:jc w:val="right"/>
              <w:rPr>
                <w:rFonts w:eastAsia="Times New Roman" w:cs="Arial"/>
                <w:sz w:val="18"/>
                <w:szCs w:val="18"/>
              </w:rPr>
            </w:pPr>
          </w:p>
        </w:tc>
        <w:tc>
          <w:tcPr>
            <w:tcW w:w="1184" w:type="dxa"/>
            <w:tcBorders>
              <w:top w:val="single" w:sz="12" w:space="0" w:color="auto"/>
              <w:left w:val="nil"/>
              <w:bottom w:val="nil"/>
              <w:right w:val="nil"/>
            </w:tcBorders>
            <w:shd w:val="clear" w:color="auto" w:fill="auto"/>
            <w:vAlign w:val="bottom"/>
          </w:tcPr>
          <w:p w14:paraId="189DA32B" w14:textId="77777777" w:rsidR="00BC13C0" w:rsidRPr="00C9743F" w:rsidRDefault="00BC13C0" w:rsidP="00BC13C0">
            <w:pPr>
              <w:spacing w:after="0" w:line="140" w:lineRule="exact"/>
              <w:jc w:val="right"/>
              <w:rPr>
                <w:rFonts w:eastAsia="Times New Roman" w:cs="Arial"/>
                <w:sz w:val="18"/>
                <w:szCs w:val="18"/>
              </w:rPr>
            </w:pPr>
          </w:p>
        </w:tc>
      </w:tr>
      <w:tr w:rsidR="00BC13C0" w:rsidRPr="00C9743F" w14:paraId="25BCCC1F" w14:textId="77777777" w:rsidTr="00312975">
        <w:trPr>
          <w:trHeight w:val="219"/>
        </w:trPr>
        <w:tc>
          <w:tcPr>
            <w:tcW w:w="6207" w:type="dxa"/>
            <w:tcBorders>
              <w:top w:val="nil"/>
              <w:left w:val="nil"/>
              <w:bottom w:val="nil"/>
              <w:right w:val="nil"/>
            </w:tcBorders>
            <w:shd w:val="clear" w:color="auto" w:fill="auto"/>
            <w:vAlign w:val="bottom"/>
          </w:tcPr>
          <w:p w14:paraId="1CF7C1BA" w14:textId="77777777" w:rsidR="00BC13C0" w:rsidRPr="00FB01C4" w:rsidRDefault="00BC13C0" w:rsidP="00BC13C0">
            <w:pPr>
              <w:spacing w:after="0" w:line="220" w:lineRule="exact"/>
              <w:rPr>
                <w:rFonts w:eastAsia="Times New Roman" w:cs="Arial"/>
                <w:sz w:val="18"/>
                <w:szCs w:val="18"/>
              </w:rPr>
            </w:pPr>
            <w:r w:rsidRPr="00FB01C4">
              <w:rPr>
                <w:rFonts w:eastAsia="Times New Roman" w:cs="Arial"/>
                <w:sz w:val="18"/>
                <w:szCs w:val="18"/>
              </w:rPr>
              <w:t>Izdaci za osigurane slučajeve</w:t>
            </w:r>
          </w:p>
        </w:tc>
        <w:tc>
          <w:tcPr>
            <w:tcW w:w="1364" w:type="dxa"/>
            <w:tcBorders>
              <w:top w:val="nil"/>
              <w:left w:val="nil"/>
              <w:bottom w:val="nil"/>
              <w:right w:val="nil"/>
            </w:tcBorders>
            <w:shd w:val="clear" w:color="auto" w:fill="auto"/>
            <w:noWrap/>
          </w:tcPr>
          <w:p w14:paraId="67CFC4B9" w14:textId="65A148EC" w:rsidR="00BC13C0" w:rsidRPr="00C9743F" w:rsidRDefault="00BC13C0" w:rsidP="00BC13C0">
            <w:pPr>
              <w:spacing w:after="0" w:line="220" w:lineRule="exact"/>
              <w:jc w:val="right"/>
              <w:rPr>
                <w:rFonts w:eastAsia="Times New Roman" w:cs="Arial"/>
                <w:sz w:val="18"/>
                <w:szCs w:val="18"/>
              </w:rPr>
            </w:pPr>
            <w:r>
              <w:rPr>
                <w:rFonts w:ascii="Calibri" w:eastAsia="Times New Roman" w:hAnsi="Calibri" w:cs="Arial"/>
                <w:sz w:val="18"/>
                <w:szCs w:val="18"/>
              </w:rPr>
              <w:t>(111)</w:t>
            </w:r>
          </w:p>
        </w:tc>
        <w:tc>
          <w:tcPr>
            <w:tcW w:w="1184" w:type="dxa"/>
            <w:tcBorders>
              <w:top w:val="nil"/>
              <w:left w:val="nil"/>
              <w:bottom w:val="nil"/>
              <w:right w:val="nil"/>
            </w:tcBorders>
            <w:shd w:val="clear" w:color="auto" w:fill="auto"/>
            <w:vAlign w:val="bottom"/>
          </w:tcPr>
          <w:p w14:paraId="28BAEA57" w14:textId="77777646" w:rsidR="00BC13C0" w:rsidRPr="00FB01C4" w:rsidRDefault="00BC13C0" w:rsidP="00BC13C0">
            <w:pPr>
              <w:spacing w:after="0" w:line="220" w:lineRule="exact"/>
              <w:jc w:val="right"/>
              <w:rPr>
                <w:rFonts w:eastAsia="Times New Roman" w:cs="Arial"/>
                <w:sz w:val="18"/>
                <w:szCs w:val="18"/>
              </w:rPr>
            </w:pPr>
            <w:r w:rsidRPr="002B2DDF">
              <w:rPr>
                <w:rFonts w:cs="Arial"/>
                <w:sz w:val="18"/>
                <w:szCs w:val="18"/>
              </w:rPr>
              <w:t>(1.607)</w:t>
            </w:r>
          </w:p>
        </w:tc>
      </w:tr>
      <w:tr w:rsidR="00BC13C0" w:rsidRPr="00C9743F" w14:paraId="46C0240C" w14:textId="77777777" w:rsidTr="00312975">
        <w:trPr>
          <w:trHeight w:val="132"/>
        </w:trPr>
        <w:tc>
          <w:tcPr>
            <w:tcW w:w="6207" w:type="dxa"/>
            <w:tcBorders>
              <w:top w:val="nil"/>
              <w:left w:val="nil"/>
              <w:bottom w:val="nil"/>
              <w:right w:val="nil"/>
            </w:tcBorders>
            <w:shd w:val="clear" w:color="auto" w:fill="auto"/>
            <w:vAlign w:val="bottom"/>
          </w:tcPr>
          <w:p w14:paraId="56EF83CC" w14:textId="77777777" w:rsidR="00BC13C0" w:rsidRPr="00FB01C4" w:rsidRDefault="00BC13C0" w:rsidP="00BC13C0">
            <w:pPr>
              <w:spacing w:after="0" w:line="220" w:lineRule="exact"/>
              <w:rPr>
                <w:rFonts w:eastAsia="Times New Roman" w:cs="Arial"/>
                <w:sz w:val="18"/>
                <w:szCs w:val="18"/>
              </w:rPr>
            </w:pPr>
            <w:r w:rsidRPr="00FB01C4">
              <w:rPr>
                <w:rFonts w:eastAsia="Times New Roman" w:cs="Arial"/>
                <w:sz w:val="18"/>
                <w:szCs w:val="18"/>
              </w:rPr>
              <w:t>Izdaci za osigurane slučajeve, udio reosiguranja</w:t>
            </w:r>
          </w:p>
        </w:tc>
        <w:tc>
          <w:tcPr>
            <w:tcW w:w="1364" w:type="dxa"/>
            <w:tcBorders>
              <w:top w:val="nil"/>
              <w:left w:val="nil"/>
              <w:bottom w:val="nil"/>
              <w:right w:val="nil"/>
            </w:tcBorders>
            <w:shd w:val="clear" w:color="auto" w:fill="auto"/>
            <w:noWrap/>
          </w:tcPr>
          <w:p w14:paraId="3DA00E57" w14:textId="3D0154E4" w:rsidR="00BC13C0" w:rsidRPr="00C9743F" w:rsidRDefault="00BC13C0" w:rsidP="00BC13C0">
            <w:pPr>
              <w:spacing w:after="0" w:line="220" w:lineRule="exact"/>
              <w:jc w:val="right"/>
              <w:rPr>
                <w:rFonts w:eastAsia="Times New Roman" w:cs="Arial"/>
                <w:sz w:val="18"/>
                <w:szCs w:val="18"/>
              </w:rPr>
            </w:pPr>
            <w:r>
              <w:rPr>
                <w:rFonts w:ascii="Calibri" w:eastAsia="Times New Roman" w:hAnsi="Calibri" w:cs="Arial"/>
                <w:sz w:val="18"/>
                <w:szCs w:val="18"/>
              </w:rPr>
              <w:t>42</w:t>
            </w:r>
          </w:p>
        </w:tc>
        <w:tc>
          <w:tcPr>
            <w:tcW w:w="1184" w:type="dxa"/>
            <w:tcBorders>
              <w:top w:val="nil"/>
              <w:left w:val="nil"/>
              <w:bottom w:val="nil"/>
              <w:right w:val="nil"/>
            </w:tcBorders>
            <w:shd w:val="clear" w:color="auto" w:fill="auto"/>
            <w:vAlign w:val="bottom"/>
          </w:tcPr>
          <w:p w14:paraId="4052E24B" w14:textId="7722733C" w:rsidR="00BC13C0" w:rsidRPr="00FB01C4" w:rsidRDefault="00BC13C0" w:rsidP="00BC13C0">
            <w:pPr>
              <w:spacing w:after="0" w:line="220" w:lineRule="exact"/>
              <w:jc w:val="right"/>
              <w:rPr>
                <w:rFonts w:eastAsia="Times New Roman" w:cs="Arial"/>
                <w:sz w:val="18"/>
                <w:szCs w:val="18"/>
              </w:rPr>
            </w:pPr>
            <w:r w:rsidRPr="002B2DDF">
              <w:rPr>
                <w:rFonts w:cs="Arial"/>
                <w:sz w:val="18"/>
                <w:szCs w:val="18"/>
              </w:rPr>
              <w:t>98</w:t>
            </w:r>
          </w:p>
        </w:tc>
      </w:tr>
      <w:tr w:rsidR="00BC13C0" w:rsidRPr="00C9743F" w14:paraId="7369D973" w14:textId="77777777" w:rsidTr="00312975">
        <w:trPr>
          <w:trHeight w:val="186"/>
        </w:trPr>
        <w:tc>
          <w:tcPr>
            <w:tcW w:w="6207" w:type="dxa"/>
            <w:tcBorders>
              <w:top w:val="nil"/>
              <w:left w:val="nil"/>
              <w:bottom w:val="nil"/>
              <w:right w:val="nil"/>
            </w:tcBorders>
            <w:shd w:val="clear" w:color="auto" w:fill="auto"/>
            <w:vAlign w:val="bottom"/>
          </w:tcPr>
          <w:p w14:paraId="5433C12A" w14:textId="77777777" w:rsidR="00BC13C0" w:rsidRPr="00FB01C4" w:rsidRDefault="00BC13C0" w:rsidP="00BC13C0">
            <w:pPr>
              <w:spacing w:after="0" w:line="220" w:lineRule="exact"/>
              <w:rPr>
                <w:rFonts w:eastAsia="Times New Roman" w:cs="Arial"/>
                <w:sz w:val="18"/>
                <w:szCs w:val="18"/>
              </w:rPr>
            </w:pPr>
            <w:r w:rsidRPr="00FB01C4">
              <w:rPr>
                <w:rFonts w:eastAsia="Times New Roman" w:cs="Arial"/>
                <w:sz w:val="18"/>
                <w:szCs w:val="18"/>
              </w:rPr>
              <w:t>Promjena pričuva za štete</w:t>
            </w:r>
          </w:p>
        </w:tc>
        <w:tc>
          <w:tcPr>
            <w:tcW w:w="1364" w:type="dxa"/>
            <w:tcBorders>
              <w:top w:val="nil"/>
              <w:left w:val="nil"/>
              <w:bottom w:val="nil"/>
              <w:right w:val="nil"/>
            </w:tcBorders>
            <w:shd w:val="clear" w:color="auto" w:fill="auto"/>
            <w:noWrap/>
          </w:tcPr>
          <w:p w14:paraId="60865C2C" w14:textId="7FABBEC7" w:rsidR="00BC13C0" w:rsidRPr="00C9743F" w:rsidRDefault="00BC13C0" w:rsidP="00257CDB">
            <w:pPr>
              <w:spacing w:after="0" w:line="220" w:lineRule="exact"/>
              <w:jc w:val="right"/>
              <w:rPr>
                <w:rFonts w:eastAsia="Times New Roman" w:cs="Arial"/>
                <w:sz w:val="18"/>
                <w:szCs w:val="18"/>
              </w:rPr>
            </w:pPr>
            <w:r>
              <w:rPr>
                <w:rFonts w:ascii="Calibri" w:eastAsia="Times New Roman" w:hAnsi="Calibri" w:cs="Arial"/>
                <w:sz w:val="18"/>
                <w:szCs w:val="18"/>
              </w:rPr>
              <w:t>(595)</w:t>
            </w:r>
          </w:p>
        </w:tc>
        <w:tc>
          <w:tcPr>
            <w:tcW w:w="1184" w:type="dxa"/>
            <w:tcBorders>
              <w:top w:val="nil"/>
              <w:left w:val="nil"/>
              <w:bottom w:val="nil"/>
              <w:right w:val="nil"/>
            </w:tcBorders>
            <w:shd w:val="clear" w:color="auto" w:fill="auto"/>
            <w:vAlign w:val="bottom"/>
          </w:tcPr>
          <w:p w14:paraId="1D8ADDC0" w14:textId="7AC2CD67" w:rsidR="00BC13C0" w:rsidRPr="00FB01C4" w:rsidRDefault="00BC13C0" w:rsidP="00BC13C0">
            <w:pPr>
              <w:spacing w:after="0" w:line="220" w:lineRule="exact"/>
              <w:jc w:val="right"/>
              <w:rPr>
                <w:rFonts w:eastAsia="Times New Roman" w:cs="Arial"/>
                <w:sz w:val="18"/>
                <w:szCs w:val="18"/>
              </w:rPr>
            </w:pPr>
            <w:r w:rsidRPr="002B2DDF">
              <w:rPr>
                <w:rFonts w:cs="Arial"/>
                <w:sz w:val="18"/>
                <w:szCs w:val="18"/>
              </w:rPr>
              <w:t>(515)</w:t>
            </w:r>
          </w:p>
        </w:tc>
      </w:tr>
      <w:tr w:rsidR="00BC13C0" w:rsidRPr="00C9743F" w14:paraId="41D60270" w14:textId="77777777" w:rsidTr="00312975">
        <w:trPr>
          <w:trHeight w:val="111"/>
        </w:trPr>
        <w:tc>
          <w:tcPr>
            <w:tcW w:w="6207" w:type="dxa"/>
            <w:tcBorders>
              <w:top w:val="nil"/>
              <w:left w:val="nil"/>
              <w:right w:val="nil"/>
            </w:tcBorders>
            <w:shd w:val="clear" w:color="auto" w:fill="auto"/>
            <w:vAlign w:val="bottom"/>
          </w:tcPr>
          <w:p w14:paraId="3EC814A7" w14:textId="77777777" w:rsidR="00BC13C0" w:rsidRPr="00FB01C4" w:rsidRDefault="00BC13C0" w:rsidP="00BC13C0">
            <w:pPr>
              <w:spacing w:after="0" w:line="220" w:lineRule="exact"/>
              <w:rPr>
                <w:rFonts w:eastAsia="Times New Roman" w:cs="Arial"/>
                <w:sz w:val="18"/>
                <w:szCs w:val="18"/>
              </w:rPr>
            </w:pPr>
            <w:r w:rsidRPr="00FB01C4">
              <w:rPr>
                <w:rFonts w:eastAsia="Times New Roman" w:cs="Arial"/>
                <w:sz w:val="18"/>
                <w:szCs w:val="18"/>
              </w:rPr>
              <w:t>Promjena pričuva za štete, udio reosiguranja</w:t>
            </w:r>
          </w:p>
        </w:tc>
        <w:tc>
          <w:tcPr>
            <w:tcW w:w="1364" w:type="dxa"/>
            <w:tcBorders>
              <w:top w:val="nil"/>
              <w:left w:val="nil"/>
              <w:bottom w:val="single" w:sz="4" w:space="0" w:color="auto"/>
              <w:right w:val="nil"/>
            </w:tcBorders>
            <w:shd w:val="clear" w:color="auto" w:fill="auto"/>
            <w:noWrap/>
          </w:tcPr>
          <w:p w14:paraId="1CCD1885" w14:textId="1E4EE507" w:rsidR="00BC13C0" w:rsidRPr="00C9743F" w:rsidRDefault="00BC13C0" w:rsidP="00BC13C0">
            <w:pPr>
              <w:spacing w:after="0" w:line="220" w:lineRule="exact"/>
              <w:jc w:val="right"/>
              <w:rPr>
                <w:rFonts w:eastAsia="Times New Roman" w:cs="Arial"/>
                <w:sz w:val="18"/>
                <w:szCs w:val="18"/>
              </w:rPr>
            </w:pPr>
            <w:r>
              <w:rPr>
                <w:rFonts w:ascii="Calibri" w:eastAsia="Times New Roman" w:hAnsi="Calibri" w:cs="Arial"/>
                <w:sz w:val="18"/>
                <w:szCs w:val="18"/>
              </w:rPr>
              <w:t>184</w:t>
            </w:r>
          </w:p>
        </w:tc>
        <w:tc>
          <w:tcPr>
            <w:tcW w:w="1184" w:type="dxa"/>
            <w:tcBorders>
              <w:top w:val="nil"/>
              <w:left w:val="nil"/>
              <w:bottom w:val="single" w:sz="4" w:space="0" w:color="auto"/>
              <w:right w:val="nil"/>
            </w:tcBorders>
            <w:shd w:val="clear" w:color="auto" w:fill="auto"/>
            <w:vAlign w:val="bottom"/>
          </w:tcPr>
          <w:p w14:paraId="03327598" w14:textId="53B4F3B7" w:rsidR="00BC13C0" w:rsidRPr="00FB01C4" w:rsidRDefault="00BC13C0" w:rsidP="00BC13C0">
            <w:pPr>
              <w:spacing w:after="0" w:line="220" w:lineRule="exact"/>
              <w:jc w:val="right"/>
              <w:rPr>
                <w:rFonts w:eastAsia="Times New Roman" w:cs="Arial"/>
                <w:sz w:val="18"/>
                <w:szCs w:val="18"/>
              </w:rPr>
            </w:pPr>
            <w:r w:rsidRPr="002B2DDF">
              <w:rPr>
                <w:rFonts w:cs="Arial"/>
                <w:sz w:val="18"/>
                <w:szCs w:val="18"/>
              </w:rPr>
              <w:t>615</w:t>
            </w:r>
          </w:p>
        </w:tc>
      </w:tr>
      <w:tr w:rsidR="00BC13C0" w:rsidRPr="00C9743F" w14:paraId="0A881CAA" w14:textId="77777777" w:rsidTr="00312975">
        <w:trPr>
          <w:trHeight w:val="131"/>
        </w:trPr>
        <w:tc>
          <w:tcPr>
            <w:tcW w:w="6207" w:type="dxa"/>
            <w:tcBorders>
              <w:left w:val="nil"/>
              <w:right w:val="nil"/>
            </w:tcBorders>
            <w:shd w:val="clear" w:color="auto" w:fill="auto"/>
            <w:vAlign w:val="bottom"/>
          </w:tcPr>
          <w:p w14:paraId="4A2861B3" w14:textId="77777777" w:rsidR="00BC13C0" w:rsidRPr="00AC74E4" w:rsidRDefault="00BC13C0" w:rsidP="00BC13C0">
            <w:pPr>
              <w:spacing w:after="0" w:line="220" w:lineRule="exact"/>
              <w:rPr>
                <w:rFonts w:eastAsia="Times New Roman" w:cs="Arial"/>
                <w:b/>
                <w:bCs/>
                <w:sz w:val="18"/>
                <w:szCs w:val="18"/>
              </w:rPr>
            </w:pPr>
            <w:r w:rsidRPr="00FB01C4">
              <w:rPr>
                <w:rFonts w:eastAsia="Times New Roman" w:cs="Arial"/>
                <w:b/>
                <w:bCs/>
                <w:sz w:val="18"/>
                <w:szCs w:val="18"/>
              </w:rPr>
              <w:t>Neto izdaci za osigurane slučajeve</w:t>
            </w:r>
          </w:p>
        </w:tc>
        <w:tc>
          <w:tcPr>
            <w:tcW w:w="1364" w:type="dxa"/>
            <w:tcBorders>
              <w:top w:val="single" w:sz="4" w:space="0" w:color="auto"/>
              <w:left w:val="nil"/>
              <w:bottom w:val="single" w:sz="12" w:space="0" w:color="auto"/>
              <w:right w:val="nil"/>
            </w:tcBorders>
            <w:shd w:val="clear" w:color="auto" w:fill="auto"/>
            <w:noWrap/>
          </w:tcPr>
          <w:p w14:paraId="0A38E6CC" w14:textId="5FF699D5" w:rsidR="00BC13C0" w:rsidRPr="00C9743F" w:rsidRDefault="00BC13C0" w:rsidP="00BC13C0">
            <w:pPr>
              <w:spacing w:after="0" w:line="220" w:lineRule="exact"/>
              <w:jc w:val="right"/>
              <w:rPr>
                <w:rFonts w:eastAsia="Times New Roman" w:cs="Arial"/>
                <w:b/>
                <w:bCs/>
                <w:sz w:val="18"/>
                <w:szCs w:val="18"/>
              </w:rPr>
            </w:pPr>
            <w:r>
              <w:rPr>
                <w:rFonts w:ascii="Calibri" w:eastAsia="Times New Roman" w:hAnsi="Calibri" w:cs="Arial"/>
                <w:b/>
                <w:bCs/>
                <w:sz w:val="18"/>
                <w:szCs w:val="18"/>
              </w:rPr>
              <w:t>(480)</w:t>
            </w:r>
          </w:p>
        </w:tc>
        <w:tc>
          <w:tcPr>
            <w:tcW w:w="1184" w:type="dxa"/>
            <w:tcBorders>
              <w:top w:val="single" w:sz="4" w:space="0" w:color="auto"/>
              <w:left w:val="nil"/>
              <w:bottom w:val="single" w:sz="12" w:space="0" w:color="auto"/>
              <w:right w:val="nil"/>
            </w:tcBorders>
            <w:shd w:val="clear" w:color="auto" w:fill="auto"/>
            <w:vAlign w:val="bottom"/>
          </w:tcPr>
          <w:p w14:paraId="43FAE09F" w14:textId="12785EDE" w:rsidR="00BC13C0" w:rsidRPr="00FB01C4" w:rsidRDefault="00BC13C0" w:rsidP="00BC13C0">
            <w:pPr>
              <w:spacing w:after="0" w:line="220" w:lineRule="exact"/>
              <w:jc w:val="right"/>
              <w:rPr>
                <w:rFonts w:eastAsia="Times New Roman" w:cs="Arial"/>
                <w:b/>
                <w:bCs/>
                <w:sz w:val="18"/>
                <w:szCs w:val="18"/>
              </w:rPr>
            </w:pPr>
            <w:r w:rsidRPr="002B2DDF">
              <w:rPr>
                <w:rFonts w:cs="Arial"/>
                <w:b/>
                <w:bCs/>
                <w:sz w:val="18"/>
                <w:szCs w:val="18"/>
              </w:rPr>
              <w:t>(1.409)</w:t>
            </w:r>
          </w:p>
        </w:tc>
      </w:tr>
      <w:tr w:rsidR="00BC13C0" w:rsidRPr="00C9743F" w14:paraId="1B697898" w14:textId="77777777" w:rsidTr="00312975">
        <w:trPr>
          <w:trHeight w:val="51"/>
        </w:trPr>
        <w:tc>
          <w:tcPr>
            <w:tcW w:w="6207" w:type="dxa"/>
            <w:tcBorders>
              <w:left w:val="nil"/>
              <w:right w:val="nil"/>
            </w:tcBorders>
            <w:shd w:val="clear" w:color="auto" w:fill="auto"/>
            <w:vAlign w:val="bottom"/>
          </w:tcPr>
          <w:p w14:paraId="22C064A0" w14:textId="77777777" w:rsidR="00BC13C0" w:rsidRPr="00FB01C4" w:rsidRDefault="00BC13C0" w:rsidP="00BC13C0">
            <w:pPr>
              <w:spacing w:after="0" w:line="140" w:lineRule="exact"/>
              <w:rPr>
                <w:rFonts w:eastAsia="Times New Roman" w:cs="Arial"/>
                <w:b/>
                <w:bCs/>
                <w:sz w:val="18"/>
                <w:szCs w:val="18"/>
              </w:rPr>
            </w:pPr>
          </w:p>
        </w:tc>
        <w:tc>
          <w:tcPr>
            <w:tcW w:w="1364" w:type="dxa"/>
            <w:tcBorders>
              <w:top w:val="single" w:sz="12" w:space="0" w:color="auto"/>
              <w:left w:val="nil"/>
              <w:right w:val="nil"/>
            </w:tcBorders>
            <w:shd w:val="clear" w:color="auto" w:fill="auto"/>
            <w:noWrap/>
          </w:tcPr>
          <w:p w14:paraId="49E110D0" w14:textId="77777777" w:rsidR="00BC13C0" w:rsidRPr="00C9743F" w:rsidRDefault="00BC13C0" w:rsidP="00BC13C0">
            <w:pPr>
              <w:spacing w:after="0" w:line="140" w:lineRule="exact"/>
              <w:jc w:val="right"/>
              <w:rPr>
                <w:rFonts w:eastAsia="Times New Roman" w:cs="Arial"/>
                <w:b/>
                <w:bCs/>
                <w:sz w:val="18"/>
                <w:szCs w:val="18"/>
              </w:rPr>
            </w:pPr>
          </w:p>
        </w:tc>
        <w:tc>
          <w:tcPr>
            <w:tcW w:w="1184" w:type="dxa"/>
            <w:tcBorders>
              <w:top w:val="single" w:sz="12" w:space="0" w:color="auto"/>
              <w:left w:val="nil"/>
              <w:right w:val="nil"/>
            </w:tcBorders>
            <w:shd w:val="clear" w:color="auto" w:fill="auto"/>
            <w:vAlign w:val="bottom"/>
          </w:tcPr>
          <w:p w14:paraId="5A4EC85D" w14:textId="77777777" w:rsidR="00BC13C0" w:rsidRPr="00C9743F" w:rsidRDefault="00BC13C0" w:rsidP="00BC13C0">
            <w:pPr>
              <w:spacing w:after="0" w:line="140" w:lineRule="exact"/>
              <w:jc w:val="right"/>
              <w:rPr>
                <w:rFonts w:eastAsia="Times New Roman" w:cs="Arial"/>
                <w:b/>
                <w:bCs/>
                <w:sz w:val="18"/>
                <w:szCs w:val="18"/>
              </w:rPr>
            </w:pPr>
          </w:p>
        </w:tc>
      </w:tr>
      <w:tr w:rsidR="00BC13C0" w:rsidRPr="00C9743F" w14:paraId="5A8FAFA3" w14:textId="77777777" w:rsidTr="00312975">
        <w:trPr>
          <w:trHeight w:val="209"/>
        </w:trPr>
        <w:tc>
          <w:tcPr>
            <w:tcW w:w="6207" w:type="dxa"/>
            <w:tcBorders>
              <w:left w:val="nil"/>
              <w:right w:val="nil"/>
            </w:tcBorders>
            <w:shd w:val="clear" w:color="auto" w:fill="auto"/>
            <w:vAlign w:val="bottom"/>
          </w:tcPr>
          <w:p w14:paraId="38442CC5" w14:textId="77777777" w:rsidR="00BC13C0" w:rsidRPr="00FB01C4" w:rsidRDefault="00BC13C0" w:rsidP="00BC13C0">
            <w:pPr>
              <w:spacing w:after="0" w:line="220" w:lineRule="exact"/>
              <w:rPr>
                <w:rFonts w:eastAsia="Times New Roman" w:cs="Arial"/>
                <w:bCs/>
                <w:sz w:val="18"/>
                <w:szCs w:val="18"/>
              </w:rPr>
            </w:pPr>
            <w:r w:rsidRPr="00FB01C4">
              <w:rPr>
                <w:rFonts w:eastAsia="Times New Roman" w:cs="Arial"/>
                <w:bCs/>
                <w:sz w:val="18"/>
                <w:szCs w:val="18"/>
              </w:rPr>
              <w:t>Troškovi pribave i marketinga</w:t>
            </w:r>
          </w:p>
        </w:tc>
        <w:tc>
          <w:tcPr>
            <w:tcW w:w="1364" w:type="dxa"/>
            <w:tcBorders>
              <w:left w:val="nil"/>
              <w:right w:val="nil"/>
            </w:tcBorders>
            <w:shd w:val="clear" w:color="auto" w:fill="auto"/>
            <w:noWrap/>
          </w:tcPr>
          <w:p w14:paraId="2A765B55" w14:textId="2EDC2000" w:rsidR="00BC13C0" w:rsidRPr="00C9743F" w:rsidRDefault="00BC13C0" w:rsidP="00BC13C0">
            <w:pPr>
              <w:spacing w:after="0" w:line="220" w:lineRule="exact"/>
              <w:jc w:val="right"/>
              <w:rPr>
                <w:rFonts w:eastAsia="Times New Roman" w:cs="Arial"/>
                <w:bCs/>
                <w:sz w:val="18"/>
                <w:szCs w:val="18"/>
              </w:rPr>
            </w:pPr>
            <w:r>
              <w:rPr>
                <w:rFonts w:ascii="Calibri" w:eastAsia="Times New Roman" w:hAnsi="Calibri" w:cs="Arial"/>
                <w:bCs/>
                <w:sz w:val="18"/>
                <w:szCs w:val="18"/>
              </w:rPr>
              <w:t>(225)</w:t>
            </w:r>
          </w:p>
        </w:tc>
        <w:tc>
          <w:tcPr>
            <w:tcW w:w="1184" w:type="dxa"/>
            <w:tcBorders>
              <w:left w:val="nil"/>
              <w:right w:val="nil"/>
            </w:tcBorders>
            <w:shd w:val="clear" w:color="auto" w:fill="auto"/>
            <w:vAlign w:val="bottom"/>
          </w:tcPr>
          <w:p w14:paraId="199A9696" w14:textId="4DC46010" w:rsidR="00BC13C0" w:rsidRPr="00FB01C4" w:rsidRDefault="00BC13C0" w:rsidP="00BC13C0">
            <w:pPr>
              <w:spacing w:after="0" w:line="220" w:lineRule="exact"/>
              <w:jc w:val="right"/>
              <w:rPr>
                <w:rFonts w:eastAsia="Times New Roman" w:cs="Arial"/>
                <w:bCs/>
                <w:sz w:val="18"/>
                <w:szCs w:val="18"/>
              </w:rPr>
            </w:pPr>
            <w:r w:rsidRPr="002B2DDF">
              <w:rPr>
                <w:rFonts w:cs="Arial"/>
                <w:bCs/>
                <w:sz w:val="18"/>
                <w:szCs w:val="18"/>
              </w:rPr>
              <w:t>(352)</w:t>
            </w:r>
          </w:p>
        </w:tc>
      </w:tr>
      <w:tr w:rsidR="00BC13C0" w:rsidRPr="00C9743F" w14:paraId="5D99B53F" w14:textId="77777777" w:rsidTr="00312975">
        <w:trPr>
          <w:trHeight w:val="122"/>
        </w:trPr>
        <w:tc>
          <w:tcPr>
            <w:tcW w:w="6207" w:type="dxa"/>
            <w:tcBorders>
              <w:left w:val="nil"/>
              <w:right w:val="nil"/>
            </w:tcBorders>
            <w:shd w:val="clear" w:color="auto" w:fill="auto"/>
            <w:vAlign w:val="bottom"/>
          </w:tcPr>
          <w:p w14:paraId="5551F46D" w14:textId="77777777" w:rsidR="00BC13C0" w:rsidRPr="00FB01C4" w:rsidRDefault="00BC13C0" w:rsidP="00BC13C0">
            <w:pPr>
              <w:spacing w:after="0" w:line="220" w:lineRule="exact"/>
              <w:rPr>
                <w:rFonts w:eastAsia="Times New Roman" w:cs="Arial"/>
                <w:bCs/>
                <w:sz w:val="18"/>
                <w:szCs w:val="18"/>
              </w:rPr>
            </w:pPr>
            <w:r w:rsidRPr="00FB01C4">
              <w:rPr>
                <w:rFonts w:eastAsia="Times New Roman" w:cs="Arial"/>
                <w:bCs/>
                <w:sz w:val="18"/>
                <w:szCs w:val="18"/>
              </w:rPr>
              <w:t>Administrativni troškovi</w:t>
            </w:r>
          </w:p>
        </w:tc>
        <w:tc>
          <w:tcPr>
            <w:tcW w:w="1364" w:type="dxa"/>
            <w:tcBorders>
              <w:left w:val="nil"/>
              <w:right w:val="nil"/>
            </w:tcBorders>
            <w:shd w:val="clear" w:color="auto" w:fill="auto"/>
            <w:noWrap/>
          </w:tcPr>
          <w:p w14:paraId="441AEF3C" w14:textId="01A62B45" w:rsidR="00BC13C0" w:rsidRPr="00C9743F" w:rsidRDefault="00BC13C0" w:rsidP="00BC13C0">
            <w:pPr>
              <w:spacing w:after="0" w:line="220" w:lineRule="exact"/>
              <w:jc w:val="right"/>
              <w:rPr>
                <w:rFonts w:eastAsia="Times New Roman" w:cs="Arial"/>
                <w:bCs/>
                <w:sz w:val="18"/>
                <w:szCs w:val="18"/>
              </w:rPr>
            </w:pPr>
            <w:r>
              <w:rPr>
                <w:rFonts w:ascii="Calibri" w:eastAsia="Times New Roman" w:hAnsi="Calibri" w:cs="Arial"/>
                <w:bCs/>
                <w:sz w:val="18"/>
                <w:szCs w:val="18"/>
              </w:rPr>
              <w:t>(2.862)</w:t>
            </w:r>
          </w:p>
        </w:tc>
        <w:tc>
          <w:tcPr>
            <w:tcW w:w="1184" w:type="dxa"/>
            <w:tcBorders>
              <w:left w:val="nil"/>
              <w:right w:val="nil"/>
            </w:tcBorders>
            <w:shd w:val="clear" w:color="auto" w:fill="auto"/>
            <w:vAlign w:val="bottom"/>
          </w:tcPr>
          <w:p w14:paraId="5858B161" w14:textId="5ED6A74B" w:rsidR="00BC13C0" w:rsidRPr="00FB01C4" w:rsidRDefault="00BC13C0" w:rsidP="00BC13C0">
            <w:pPr>
              <w:spacing w:after="0" w:line="220" w:lineRule="exact"/>
              <w:jc w:val="right"/>
              <w:rPr>
                <w:rFonts w:eastAsia="Times New Roman" w:cs="Arial"/>
                <w:bCs/>
                <w:sz w:val="18"/>
                <w:szCs w:val="18"/>
              </w:rPr>
            </w:pPr>
            <w:r w:rsidRPr="002B2DDF">
              <w:rPr>
                <w:rFonts w:cs="Arial"/>
                <w:bCs/>
                <w:sz w:val="18"/>
                <w:szCs w:val="18"/>
              </w:rPr>
              <w:t>(2.632)</w:t>
            </w:r>
          </w:p>
        </w:tc>
      </w:tr>
      <w:tr w:rsidR="00BC13C0" w:rsidRPr="00C9743F" w14:paraId="1684E73B" w14:textId="77777777" w:rsidTr="00312975">
        <w:trPr>
          <w:trHeight w:val="189"/>
        </w:trPr>
        <w:tc>
          <w:tcPr>
            <w:tcW w:w="6207" w:type="dxa"/>
            <w:tcBorders>
              <w:left w:val="nil"/>
              <w:right w:val="nil"/>
            </w:tcBorders>
            <w:shd w:val="clear" w:color="auto" w:fill="auto"/>
            <w:vAlign w:val="bottom"/>
          </w:tcPr>
          <w:p w14:paraId="6CCB1803" w14:textId="77777777" w:rsidR="00BC13C0" w:rsidRPr="00FB01C4" w:rsidRDefault="00BC13C0" w:rsidP="00BC13C0">
            <w:pPr>
              <w:spacing w:after="0" w:line="220" w:lineRule="exact"/>
              <w:rPr>
                <w:rFonts w:eastAsia="Times New Roman" w:cs="Arial"/>
                <w:bCs/>
                <w:sz w:val="18"/>
                <w:szCs w:val="18"/>
              </w:rPr>
            </w:pPr>
            <w:r w:rsidRPr="00FB01C4">
              <w:rPr>
                <w:rFonts w:eastAsia="Times New Roman" w:cs="Arial"/>
                <w:bCs/>
                <w:sz w:val="18"/>
                <w:szCs w:val="18"/>
              </w:rPr>
              <w:t>Ostali poslovni troškovi</w:t>
            </w:r>
          </w:p>
        </w:tc>
        <w:tc>
          <w:tcPr>
            <w:tcW w:w="1364" w:type="dxa"/>
            <w:tcBorders>
              <w:left w:val="nil"/>
              <w:right w:val="nil"/>
            </w:tcBorders>
            <w:shd w:val="clear" w:color="auto" w:fill="auto"/>
            <w:noWrap/>
          </w:tcPr>
          <w:p w14:paraId="46651B08" w14:textId="6BDCCF0C" w:rsidR="00BC13C0" w:rsidRPr="00C9743F" w:rsidRDefault="00BC13C0" w:rsidP="00BC13C0">
            <w:pPr>
              <w:spacing w:after="0" w:line="220" w:lineRule="exact"/>
              <w:jc w:val="right"/>
              <w:rPr>
                <w:rFonts w:eastAsia="Times New Roman" w:cs="Arial"/>
                <w:bCs/>
                <w:sz w:val="18"/>
                <w:szCs w:val="18"/>
              </w:rPr>
            </w:pPr>
            <w:r>
              <w:rPr>
                <w:rFonts w:ascii="Calibri" w:eastAsia="Times New Roman" w:hAnsi="Calibri" w:cs="Arial"/>
                <w:bCs/>
                <w:sz w:val="18"/>
                <w:szCs w:val="18"/>
              </w:rPr>
              <w:t>(5)</w:t>
            </w:r>
          </w:p>
        </w:tc>
        <w:tc>
          <w:tcPr>
            <w:tcW w:w="1184" w:type="dxa"/>
            <w:tcBorders>
              <w:left w:val="nil"/>
              <w:right w:val="nil"/>
            </w:tcBorders>
            <w:shd w:val="clear" w:color="auto" w:fill="auto"/>
            <w:vAlign w:val="bottom"/>
          </w:tcPr>
          <w:p w14:paraId="2FCAEA22" w14:textId="10FFECC2" w:rsidR="00BC13C0" w:rsidRPr="00FB01C4" w:rsidRDefault="00BC13C0" w:rsidP="00BC13C0">
            <w:pPr>
              <w:spacing w:after="0" w:line="220" w:lineRule="exact"/>
              <w:jc w:val="right"/>
              <w:rPr>
                <w:rFonts w:eastAsia="Times New Roman" w:cs="Arial"/>
                <w:bCs/>
                <w:sz w:val="18"/>
                <w:szCs w:val="18"/>
              </w:rPr>
            </w:pPr>
            <w:r w:rsidRPr="002B2DDF">
              <w:rPr>
                <w:rFonts w:cs="Arial"/>
                <w:bCs/>
                <w:sz w:val="18"/>
                <w:szCs w:val="18"/>
              </w:rPr>
              <w:t>(27)</w:t>
            </w:r>
          </w:p>
        </w:tc>
      </w:tr>
      <w:tr w:rsidR="00BC13C0" w:rsidRPr="00C9743F" w14:paraId="3D0DD6DE" w14:textId="77777777" w:rsidTr="00312975">
        <w:trPr>
          <w:trHeight w:val="244"/>
        </w:trPr>
        <w:tc>
          <w:tcPr>
            <w:tcW w:w="6207" w:type="dxa"/>
            <w:tcBorders>
              <w:left w:val="nil"/>
              <w:right w:val="nil"/>
            </w:tcBorders>
            <w:shd w:val="clear" w:color="auto" w:fill="auto"/>
            <w:vAlign w:val="bottom"/>
          </w:tcPr>
          <w:p w14:paraId="03A783DA" w14:textId="77777777" w:rsidR="00BC13C0" w:rsidRPr="00FB01C4" w:rsidRDefault="00BC13C0" w:rsidP="00BC13C0">
            <w:pPr>
              <w:spacing w:after="0" w:line="220" w:lineRule="exact"/>
              <w:rPr>
                <w:rFonts w:eastAsia="Times New Roman" w:cs="Arial"/>
                <w:bCs/>
                <w:sz w:val="18"/>
                <w:szCs w:val="18"/>
              </w:rPr>
            </w:pPr>
            <w:r w:rsidRPr="00FB01C4">
              <w:rPr>
                <w:rFonts w:eastAsia="Times New Roman" w:cs="Arial"/>
                <w:bCs/>
                <w:sz w:val="18"/>
                <w:szCs w:val="18"/>
              </w:rPr>
              <w:t>Neto tečajne razlike koje ne proizlaze iz financijskih instrumenata</w:t>
            </w:r>
          </w:p>
        </w:tc>
        <w:tc>
          <w:tcPr>
            <w:tcW w:w="1364" w:type="dxa"/>
            <w:tcBorders>
              <w:left w:val="nil"/>
              <w:bottom w:val="single" w:sz="4" w:space="0" w:color="auto"/>
              <w:right w:val="nil"/>
            </w:tcBorders>
            <w:shd w:val="clear" w:color="auto" w:fill="auto"/>
            <w:noWrap/>
          </w:tcPr>
          <w:p w14:paraId="4C79E543" w14:textId="452A8972" w:rsidR="00BC13C0" w:rsidRPr="00C9743F" w:rsidRDefault="00BC13C0" w:rsidP="00BC13C0">
            <w:pPr>
              <w:spacing w:after="0" w:line="220" w:lineRule="exact"/>
              <w:jc w:val="right"/>
              <w:rPr>
                <w:rFonts w:eastAsia="Times New Roman" w:cs="Arial"/>
                <w:bCs/>
                <w:sz w:val="18"/>
                <w:szCs w:val="18"/>
              </w:rPr>
            </w:pPr>
            <w:r>
              <w:rPr>
                <w:rFonts w:ascii="Calibri" w:eastAsia="Times New Roman" w:hAnsi="Calibri" w:cs="Arial"/>
                <w:bCs/>
                <w:sz w:val="18"/>
                <w:szCs w:val="18"/>
              </w:rPr>
              <w:t>13</w:t>
            </w:r>
          </w:p>
        </w:tc>
        <w:tc>
          <w:tcPr>
            <w:tcW w:w="1184" w:type="dxa"/>
            <w:tcBorders>
              <w:left w:val="nil"/>
              <w:bottom w:val="single" w:sz="4" w:space="0" w:color="auto"/>
              <w:right w:val="nil"/>
            </w:tcBorders>
            <w:shd w:val="clear" w:color="auto" w:fill="auto"/>
            <w:vAlign w:val="bottom"/>
          </w:tcPr>
          <w:p w14:paraId="7B5D157A" w14:textId="0BE7B262" w:rsidR="00BC13C0" w:rsidRPr="00FB01C4" w:rsidRDefault="00BC13C0" w:rsidP="00BC13C0">
            <w:pPr>
              <w:spacing w:after="0" w:line="220" w:lineRule="exact"/>
              <w:jc w:val="right"/>
              <w:rPr>
                <w:rFonts w:eastAsia="Times New Roman" w:cs="Arial"/>
                <w:bCs/>
                <w:sz w:val="18"/>
                <w:szCs w:val="18"/>
              </w:rPr>
            </w:pPr>
            <w:r w:rsidRPr="002B2DDF">
              <w:rPr>
                <w:rFonts w:cs="Arial"/>
                <w:bCs/>
                <w:sz w:val="18"/>
                <w:szCs w:val="18"/>
              </w:rPr>
              <w:t>7</w:t>
            </w:r>
          </w:p>
        </w:tc>
      </w:tr>
      <w:tr w:rsidR="00BC13C0" w:rsidRPr="00C9743F" w14:paraId="298C04A0" w14:textId="77777777" w:rsidTr="00312975">
        <w:trPr>
          <w:trHeight w:val="98"/>
        </w:trPr>
        <w:tc>
          <w:tcPr>
            <w:tcW w:w="6207" w:type="dxa"/>
            <w:tcBorders>
              <w:left w:val="nil"/>
              <w:right w:val="nil"/>
            </w:tcBorders>
            <w:shd w:val="clear" w:color="auto" w:fill="auto"/>
            <w:vAlign w:val="bottom"/>
          </w:tcPr>
          <w:p w14:paraId="56F8CBB4" w14:textId="77777777" w:rsidR="00BC13C0" w:rsidRPr="00FB01C4" w:rsidRDefault="00BC13C0" w:rsidP="00BC13C0">
            <w:pPr>
              <w:spacing w:after="0" w:line="220" w:lineRule="exact"/>
              <w:rPr>
                <w:rFonts w:eastAsia="Times New Roman" w:cs="Arial"/>
                <w:b/>
                <w:bCs/>
                <w:sz w:val="18"/>
                <w:szCs w:val="18"/>
              </w:rPr>
            </w:pPr>
            <w:r w:rsidRPr="00FB01C4">
              <w:rPr>
                <w:rFonts w:eastAsia="Times New Roman" w:cs="Arial"/>
                <w:b/>
                <w:bCs/>
                <w:sz w:val="18"/>
                <w:szCs w:val="18"/>
              </w:rPr>
              <w:t>Dobit prije oporezivanja</w:t>
            </w:r>
          </w:p>
        </w:tc>
        <w:tc>
          <w:tcPr>
            <w:tcW w:w="1364" w:type="dxa"/>
            <w:tcBorders>
              <w:top w:val="single" w:sz="4" w:space="0" w:color="auto"/>
              <w:left w:val="nil"/>
              <w:bottom w:val="single" w:sz="12" w:space="0" w:color="auto"/>
              <w:right w:val="nil"/>
            </w:tcBorders>
            <w:shd w:val="clear" w:color="auto" w:fill="auto"/>
            <w:noWrap/>
          </w:tcPr>
          <w:p w14:paraId="21AB960E" w14:textId="52B31684" w:rsidR="00BC13C0" w:rsidRPr="00C9743F" w:rsidRDefault="00BC13C0" w:rsidP="00BC13C0">
            <w:pPr>
              <w:spacing w:after="0" w:line="220" w:lineRule="exact"/>
              <w:jc w:val="right"/>
              <w:rPr>
                <w:rFonts w:eastAsia="Times New Roman" w:cs="Arial"/>
                <w:b/>
                <w:bCs/>
                <w:sz w:val="18"/>
                <w:szCs w:val="18"/>
              </w:rPr>
            </w:pPr>
            <w:r>
              <w:rPr>
                <w:rFonts w:ascii="Calibri" w:eastAsia="Times New Roman" w:hAnsi="Calibri" w:cs="Arial"/>
                <w:b/>
                <w:bCs/>
                <w:sz w:val="18"/>
                <w:szCs w:val="18"/>
              </w:rPr>
              <w:t>1.394</w:t>
            </w:r>
          </w:p>
        </w:tc>
        <w:tc>
          <w:tcPr>
            <w:tcW w:w="1184" w:type="dxa"/>
            <w:tcBorders>
              <w:top w:val="single" w:sz="4" w:space="0" w:color="auto"/>
              <w:left w:val="nil"/>
              <w:bottom w:val="single" w:sz="12" w:space="0" w:color="auto"/>
              <w:right w:val="nil"/>
            </w:tcBorders>
            <w:shd w:val="clear" w:color="auto" w:fill="auto"/>
            <w:vAlign w:val="bottom"/>
          </w:tcPr>
          <w:p w14:paraId="4EA84C82" w14:textId="3B73B9A5" w:rsidR="00BC13C0" w:rsidRPr="00FB01C4" w:rsidRDefault="00BC13C0" w:rsidP="00BC13C0">
            <w:pPr>
              <w:spacing w:after="0" w:line="220" w:lineRule="exact"/>
              <w:jc w:val="right"/>
              <w:rPr>
                <w:rFonts w:eastAsia="Times New Roman" w:cs="Arial"/>
                <w:b/>
                <w:bCs/>
                <w:sz w:val="18"/>
                <w:szCs w:val="18"/>
              </w:rPr>
            </w:pPr>
            <w:r w:rsidRPr="002B2DDF">
              <w:rPr>
                <w:rFonts w:cs="Arial"/>
                <w:b/>
                <w:bCs/>
                <w:sz w:val="18"/>
                <w:szCs w:val="18"/>
              </w:rPr>
              <w:t>443</w:t>
            </w:r>
          </w:p>
        </w:tc>
      </w:tr>
      <w:tr w:rsidR="00BC13C0" w:rsidRPr="00C9743F" w14:paraId="5E3347A0" w14:textId="77777777" w:rsidTr="00312975">
        <w:trPr>
          <w:trHeight w:val="51"/>
        </w:trPr>
        <w:tc>
          <w:tcPr>
            <w:tcW w:w="6207" w:type="dxa"/>
            <w:tcBorders>
              <w:left w:val="nil"/>
              <w:right w:val="nil"/>
            </w:tcBorders>
            <w:shd w:val="clear" w:color="auto" w:fill="auto"/>
            <w:vAlign w:val="bottom"/>
          </w:tcPr>
          <w:p w14:paraId="7B9A2917" w14:textId="77777777" w:rsidR="00BC13C0" w:rsidRPr="00FB01C4" w:rsidRDefault="00BC13C0" w:rsidP="00BC13C0">
            <w:pPr>
              <w:spacing w:after="0" w:line="140" w:lineRule="exact"/>
              <w:rPr>
                <w:rFonts w:eastAsia="Times New Roman" w:cs="Arial"/>
                <w:bCs/>
                <w:sz w:val="18"/>
                <w:szCs w:val="18"/>
              </w:rPr>
            </w:pPr>
          </w:p>
        </w:tc>
        <w:tc>
          <w:tcPr>
            <w:tcW w:w="1364" w:type="dxa"/>
            <w:tcBorders>
              <w:top w:val="single" w:sz="12" w:space="0" w:color="auto"/>
              <w:left w:val="nil"/>
              <w:right w:val="nil"/>
            </w:tcBorders>
            <w:shd w:val="clear" w:color="auto" w:fill="auto"/>
            <w:noWrap/>
          </w:tcPr>
          <w:p w14:paraId="642755AF" w14:textId="77777777" w:rsidR="00BC13C0" w:rsidRPr="00C9743F" w:rsidRDefault="00BC13C0" w:rsidP="00BC13C0">
            <w:pPr>
              <w:spacing w:after="0" w:line="140" w:lineRule="exact"/>
              <w:jc w:val="right"/>
              <w:rPr>
                <w:rFonts w:eastAsia="Times New Roman" w:cs="Arial"/>
                <w:bCs/>
                <w:sz w:val="18"/>
                <w:szCs w:val="18"/>
              </w:rPr>
            </w:pPr>
          </w:p>
        </w:tc>
        <w:tc>
          <w:tcPr>
            <w:tcW w:w="1184" w:type="dxa"/>
            <w:tcBorders>
              <w:top w:val="single" w:sz="12" w:space="0" w:color="auto"/>
              <w:left w:val="nil"/>
              <w:right w:val="nil"/>
            </w:tcBorders>
            <w:shd w:val="clear" w:color="auto" w:fill="auto"/>
            <w:vAlign w:val="bottom"/>
          </w:tcPr>
          <w:p w14:paraId="540EFE01" w14:textId="77777777" w:rsidR="00BC13C0" w:rsidRPr="00C9743F" w:rsidRDefault="00BC13C0" w:rsidP="00BC13C0">
            <w:pPr>
              <w:spacing w:after="0" w:line="140" w:lineRule="exact"/>
              <w:jc w:val="right"/>
              <w:rPr>
                <w:rFonts w:eastAsia="Times New Roman" w:cs="Arial"/>
                <w:bCs/>
                <w:sz w:val="18"/>
                <w:szCs w:val="18"/>
              </w:rPr>
            </w:pPr>
          </w:p>
        </w:tc>
      </w:tr>
      <w:tr w:rsidR="00BC13C0" w:rsidRPr="00C9743F" w14:paraId="67DF8729" w14:textId="77777777" w:rsidTr="00312975">
        <w:trPr>
          <w:trHeight w:val="138"/>
        </w:trPr>
        <w:tc>
          <w:tcPr>
            <w:tcW w:w="6207" w:type="dxa"/>
            <w:tcBorders>
              <w:left w:val="nil"/>
              <w:right w:val="nil"/>
            </w:tcBorders>
            <w:shd w:val="clear" w:color="auto" w:fill="auto"/>
            <w:vAlign w:val="bottom"/>
          </w:tcPr>
          <w:p w14:paraId="704FA81A" w14:textId="77777777" w:rsidR="00BC13C0" w:rsidRPr="00FB01C4" w:rsidRDefault="00BC13C0" w:rsidP="00BC13C0">
            <w:pPr>
              <w:spacing w:after="0" w:line="220" w:lineRule="exact"/>
              <w:rPr>
                <w:rFonts w:eastAsia="Times New Roman" w:cs="Arial"/>
                <w:bCs/>
                <w:sz w:val="18"/>
                <w:szCs w:val="18"/>
              </w:rPr>
            </w:pPr>
            <w:r w:rsidRPr="00FB01C4">
              <w:rPr>
                <w:rFonts w:eastAsia="Times New Roman" w:cs="Arial"/>
                <w:bCs/>
                <w:sz w:val="18"/>
                <w:szCs w:val="18"/>
              </w:rPr>
              <w:t>Porez na dobit</w:t>
            </w:r>
          </w:p>
        </w:tc>
        <w:tc>
          <w:tcPr>
            <w:tcW w:w="1364" w:type="dxa"/>
            <w:tcBorders>
              <w:left w:val="nil"/>
              <w:right w:val="nil"/>
            </w:tcBorders>
            <w:shd w:val="clear" w:color="auto" w:fill="auto"/>
            <w:noWrap/>
          </w:tcPr>
          <w:p w14:paraId="3AF0EBA0" w14:textId="61A5B3CC" w:rsidR="00BC13C0" w:rsidRPr="00C9743F" w:rsidRDefault="00BC13C0" w:rsidP="00BC13C0">
            <w:pPr>
              <w:spacing w:after="0" w:line="220" w:lineRule="exact"/>
              <w:jc w:val="right"/>
              <w:rPr>
                <w:rFonts w:eastAsia="Times New Roman" w:cs="Arial"/>
                <w:bCs/>
                <w:sz w:val="18"/>
                <w:szCs w:val="18"/>
              </w:rPr>
            </w:pPr>
            <w:r w:rsidRPr="00D77059">
              <w:rPr>
                <w:rFonts w:ascii="Calibri" w:eastAsia="Times New Roman" w:hAnsi="Calibri" w:cs="Arial"/>
                <w:bCs/>
                <w:sz w:val="18"/>
                <w:szCs w:val="18"/>
              </w:rPr>
              <w:t>-</w:t>
            </w:r>
          </w:p>
        </w:tc>
        <w:tc>
          <w:tcPr>
            <w:tcW w:w="1184" w:type="dxa"/>
            <w:tcBorders>
              <w:left w:val="nil"/>
              <w:right w:val="nil"/>
            </w:tcBorders>
            <w:shd w:val="clear" w:color="auto" w:fill="auto"/>
            <w:vAlign w:val="bottom"/>
          </w:tcPr>
          <w:p w14:paraId="478C2E78" w14:textId="2CEF968A" w:rsidR="00BC13C0" w:rsidRPr="00FB01C4" w:rsidRDefault="00BC13C0" w:rsidP="00BC13C0">
            <w:pPr>
              <w:spacing w:after="0" w:line="220" w:lineRule="exact"/>
              <w:jc w:val="right"/>
              <w:rPr>
                <w:rFonts w:eastAsia="Times New Roman" w:cs="Arial"/>
                <w:bCs/>
                <w:sz w:val="18"/>
                <w:szCs w:val="18"/>
              </w:rPr>
            </w:pPr>
            <w:r w:rsidRPr="002B2DDF">
              <w:rPr>
                <w:rFonts w:cs="Arial"/>
                <w:bCs/>
                <w:sz w:val="18"/>
                <w:szCs w:val="18"/>
              </w:rPr>
              <w:t>-</w:t>
            </w:r>
          </w:p>
        </w:tc>
      </w:tr>
      <w:tr w:rsidR="00BC13C0" w:rsidRPr="00C9743F" w14:paraId="727ED949" w14:textId="77777777" w:rsidTr="00312975">
        <w:trPr>
          <w:trHeight w:val="146"/>
        </w:trPr>
        <w:tc>
          <w:tcPr>
            <w:tcW w:w="6207" w:type="dxa"/>
            <w:tcBorders>
              <w:left w:val="nil"/>
              <w:right w:val="nil"/>
            </w:tcBorders>
            <w:shd w:val="clear" w:color="auto" w:fill="auto"/>
            <w:vAlign w:val="bottom"/>
          </w:tcPr>
          <w:p w14:paraId="05511A5F" w14:textId="77777777" w:rsidR="00BC13C0" w:rsidRPr="00FB01C4" w:rsidRDefault="00BC13C0" w:rsidP="00BC13C0">
            <w:pPr>
              <w:spacing w:after="0" w:line="140" w:lineRule="exact"/>
              <w:rPr>
                <w:rFonts w:eastAsia="Times New Roman" w:cs="Arial"/>
                <w:b/>
                <w:bCs/>
                <w:sz w:val="18"/>
                <w:szCs w:val="18"/>
              </w:rPr>
            </w:pPr>
          </w:p>
        </w:tc>
        <w:tc>
          <w:tcPr>
            <w:tcW w:w="1364" w:type="dxa"/>
            <w:tcBorders>
              <w:left w:val="nil"/>
              <w:bottom w:val="single" w:sz="4" w:space="0" w:color="auto"/>
              <w:right w:val="nil"/>
            </w:tcBorders>
            <w:shd w:val="clear" w:color="auto" w:fill="auto"/>
            <w:noWrap/>
          </w:tcPr>
          <w:p w14:paraId="136D6643" w14:textId="77777777" w:rsidR="00BC13C0" w:rsidRPr="00C9743F" w:rsidRDefault="00BC13C0" w:rsidP="00BC13C0">
            <w:pPr>
              <w:spacing w:after="0" w:line="140" w:lineRule="exact"/>
              <w:jc w:val="right"/>
              <w:rPr>
                <w:rFonts w:eastAsia="Times New Roman" w:cs="Arial"/>
                <w:b/>
                <w:bCs/>
                <w:sz w:val="18"/>
                <w:szCs w:val="18"/>
              </w:rPr>
            </w:pPr>
          </w:p>
        </w:tc>
        <w:tc>
          <w:tcPr>
            <w:tcW w:w="1184" w:type="dxa"/>
            <w:tcBorders>
              <w:left w:val="nil"/>
              <w:bottom w:val="single" w:sz="4" w:space="0" w:color="auto"/>
              <w:right w:val="nil"/>
            </w:tcBorders>
            <w:shd w:val="clear" w:color="auto" w:fill="auto"/>
            <w:vAlign w:val="bottom"/>
          </w:tcPr>
          <w:p w14:paraId="66F8D135" w14:textId="77777777" w:rsidR="00BC13C0" w:rsidRPr="00C9743F" w:rsidRDefault="00BC13C0" w:rsidP="00BC13C0">
            <w:pPr>
              <w:spacing w:after="0" w:line="140" w:lineRule="exact"/>
              <w:jc w:val="right"/>
              <w:rPr>
                <w:rFonts w:eastAsia="Times New Roman" w:cs="Arial"/>
                <w:b/>
                <w:bCs/>
                <w:sz w:val="18"/>
                <w:szCs w:val="18"/>
              </w:rPr>
            </w:pPr>
          </w:p>
        </w:tc>
      </w:tr>
      <w:tr w:rsidR="00BC13C0" w:rsidRPr="00C9743F" w14:paraId="4B755CA6" w14:textId="77777777" w:rsidTr="00312975">
        <w:trPr>
          <w:trHeight w:val="182"/>
        </w:trPr>
        <w:tc>
          <w:tcPr>
            <w:tcW w:w="6207" w:type="dxa"/>
            <w:tcBorders>
              <w:left w:val="nil"/>
              <w:right w:val="nil"/>
            </w:tcBorders>
            <w:shd w:val="clear" w:color="auto" w:fill="auto"/>
            <w:vAlign w:val="bottom"/>
          </w:tcPr>
          <w:p w14:paraId="0762A91A" w14:textId="77777777" w:rsidR="00BC13C0" w:rsidRPr="00FB01C4" w:rsidRDefault="00BC13C0" w:rsidP="00BC13C0">
            <w:pPr>
              <w:spacing w:after="0" w:line="220" w:lineRule="exact"/>
              <w:rPr>
                <w:rFonts w:eastAsia="Times New Roman" w:cs="Arial"/>
                <w:b/>
                <w:bCs/>
                <w:sz w:val="18"/>
                <w:szCs w:val="18"/>
              </w:rPr>
            </w:pPr>
            <w:r w:rsidRPr="00FB01C4">
              <w:rPr>
                <w:rFonts w:eastAsia="Times New Roman" w:cs="Arial"/>
                <w:b/>
                <w:bCs/>
                <w:sz w:val="18"/>
                <w:szCs w:val="18"/>
              </w:rPr>
              <w:t>Dobit/(gubitak) tekućeg razdoblja</w:t>
            </w:r>
          </w:p>
        </w:tc>
        <w:tc>
          <w:tcPr>
            <w:tcW w:w="1364" w:type="dxa"/>
            <w:tcBorders>
              <w:top w:val="single" w:sz="4" w:space="0" w:color="auto"/>
              <w:left w:val="nil"/>
              <w:bottom w:val="single" w:sz="12" w:space="0" w:color="auto"/>
              <w:right w:val="nil"/>
            </w:tcBorders>
            <w:shd w:val="clear" w:color="auto" w:fill="auto"/>
            <w:noWrap/>
          </w:tcPr>
          <w:p w14:paraId="6EFE0D5B" w14:textId="7E6F0884" w:rsidR="00BC13C0" w:rsidRPr="00C9743F" w:rsidRDefault="00BC13C0" w:rsidP="00BC13C0">
            <w:pPr>
              <w:spacing w:after="0" w:line="220" w:lineRule="exact"/>
              <w:jc w:val="right"/>
              <w:rPr>
                <w:rFonts w:eastAsia="Times New Roman" w:cs="Arial"/>
                <w:b/>
                <w:bCs/>
                <w:sz w:val="18"/>
                <w:szCs w:val="18"/>
              </w:rPr>
            </w:pPr>
            <w:r>
              <w:rPr>
                <w:rFonts w:ascii="Calibri" w:eastAsia="Times New Roman" w:hAnsi="Calibri" w:cs="Arial"/>
                <w:b/>
                <w:bCs/>
                <w:sz w:val="18"/>
                <w:szCs w:val="18"/>
              </w:rPr>
              <w:t>1.394</w:t>
            </w:r>
          </w:p>
        </w:tc>
        <w:tc>
          <w:tcPr>
            <w:tcW w:w="1184" w:type="dxa"/>
            <w:tcBorders>
              <w:top w:val="single" w:sz="4" w:space="0" w:color="auto"/>
              <w:left w:val="nil"/>
              <w:bottom w:val="single" w:sz="12" w:space="0" w:color="auto"/>
              <w:right w:val="nil"/>
            </w:tcBorders>
            <w:shd w:val="clear" w:color="auto" w:fill="auto"/>
            <w:vAlign w:val="bottom"/>
          </w:tcPr>
          <w:p w14:paraId="23533DC4" w14:textId="04A6AEBC" w:rsidR="00BC13C0" w:rsidRPr="00FB01C4" w:rsidRDefault="00BC13C0" w:rsidP="00BC13C0">
            <w:pPr>
              <w:spacing w:after="0" w:line="220" w:lineRule="exact"/>
              <w:jc w:val="right"/>
              <w:rPr>
                <w:rFonts w:eastAsia="Times New Roman" w:cs="Arial"/>
                <w:b/>
                <w:bCs/>
                <w:sz w:val="18"/>
                <w:szCs w:val="18"/>
              </w:rPr>
            </w:pPr>
            <w:r w:rsidRPr="002B2DDF">
              <w:rPr>
                <w:rFonts w:cs="Arial"/>
                <w:b/>
                <w:bCs/>
                <w:sz w:val="18"/>
                <w:szCs w:val="18"/>
              </w:rPr>
              <w:t>443</w:t>
            </w:r>
          </w:p>
        </w:tc>
      </w:tr>
      <w:tr w:rsidR="00E45CA6" w:rsidRPr="00C9743F" w14:paraId="674213FB" w14:textId="77777777" w:rsidTr="000E5941">
        <w:trPr>
          <w:trHeight w:val="180"/>
        </w:trPr>
        <w:tc>
          <w:tcPr>
            <w:tcW w:w="6207" w:type="dxa"/>
            <w:tcBorders>
              <w:left w:val="nil"/>
              <w:right w:val="nil"/>
            </w:tcBorders>
            <w:shd w:val="clear" w:color="auto" w:fill="auto"/>
            <w:vAlign w:val="bottom"/>
          </w:tcPr>
          <w:p w14:paraId="70701AFA" w14:textId="77777777" w:rsidR="00E45CA6" w:rsidRPr="00FB01C4" w:rsidRDefault="00E45CA6" w:rsidP="00E45CA6">
            <w:pPr>
              <w:spacing w:after="0" w:line="140" w:lineRule="exact"/>
              <w:rPr>
                <w:rFonts w:eastAsia="Times New Roman" w:cs="Arial"/>
                <w:b/>
                <w:bCs/>
                <w:sz w:val="18"/>
                <w:szCs w:val="18"/>
              </w:rPr>
            </w:pPr>
          </w:p>
        </w:tc>
        <w:tc>
          <w:tcPr>
            <w:tcW w:w="1364" w:type="dxa"/>
            <w:tcBorders>
              <w:top w:val="single" w:sz="12" w:space="0" w:color="auto"/>
              <w:left w:val="nil"/>
              <w:right w:val="nil"/>
            </w:tcBorders>
            <w:shd w:val="clear" w:color="auto" w:fill="auto"/>
            <w:noWrap/>
          </w:tcPr>
          <w:p w14:paraId="17C7DE63" w14:textId="77777777" w:rsidR="00E45CA6" w:rsidRPr="00C9743F" w:rsidRDefault="00E45CA6" w:rsidP="00E45CA6">
            <w:pPr>
              <w:spacing w:after="0" w:line="140" w:lineRule="exact"/>
              <w:jc w:val="right"/>
              <w:rPr>
                <w:rFonts w:eastAsia="Times New Roman" w:cs="Arial"/>
                <w:b/>
                <w:bCs/>
                <w:sz w:val="18"/>
                <w:szCs w:val="18"/>
              </w:rPr>
            </w:pPr>
          </w:p>
        </w:tc>
        <w:tc>
          <w:tcPr>
            <w:tcW w:w="1184" w:type="dxa"/>
            <w:tcBorders>
              <w:top w:val="single" w:sz="12" w:space="0" w:color="auto"/>
              <w:left w:val="nil"/>
              <w:right w:val="nil"/>
            </w:tcBorders>
            <w:shd w:val="clear" w:color="auto" w:fill="auto"/>
          </w:tcPr>
          <w:p w14:paraId="69AB2F4A" w14:textId="77777777" w:rsidR="00E45CA6" w:rsidRPr="00C9743F" w:rsidRDefault="00E45CA6" w:rsidP="00E45CA6">
            <w:pPr>
              <w:spacing w:after="0" w:line="140" w:lineRule="exact"/>
              <w:jc w:val="right"/>
              <w:rPr>
                <w:rFonts w:eastAsia="Times New Roman" w:cs="Arial"/>
                <w:b/>
                <w:bCs/>
                <w:sz w:val="18"/>
                <w:szCs w:val="18"/>
              </w:rPr>
            </w:pPr>
          </w:p>
        </w:tc>
      </w:tr>
      <w:tr w:rsidR="00E45CA6" w:rsidRPr="00C9743F" w14:paraId="46B5168C" w14:textId="77777777" w:rsidTr="00E45CA6">
        <w:trPr>
          <w:trHeight w:val="287"/>
        </w:trPr>
        <w:tc>
          <w:tcPr>
            <w:tcW w:w="6207" w:type="dxa"/>
            <w:tcBorders>
              <w:left w:val="nil"/>
              <w:right w:val="nil"/>
            </w:tcBorders>
            <w:shd w:val="clear" w:color="auto" w:fill="auto"/>
            <w:vAlign w:val="bottom"/>
          </w:tcPr>
          <w:p w14:paraId="6D0565D0" w14:textId="77777777" w:rsidR="00E45CA6" w:rsidRPr="00FB01C4" w:rsidRDefault="00E45CA6" w:rsidP="00E45CA6">
            <w:pPr>
              <w:spacing w:after="0" w:line="220" w:lineRule="exact"/>
              <w:rPr>
                <w:rFonts w:eastAsia="Times New Roman" w:cs="Arial"/>
                <w:b/>
                <w:bCs/>
                <w:sz w:val="18"/>
                <w:szCs w:val="18"/>
              </w:rPr>
            </w:pPr>
            <w:r w:rsidRPr="00FB01C4">
              <w:rPr>
                <w:rFonts w:eastAsia="Times New Roman" w:cs="Arial"/>
                <w:b/>
                <w:bCs/>
                <w:sz w:val="18"/>
                <w:szCs w:val="18"/>
              </w:rPr>
              <w:t>Ostala sveobuhvatna dobit</w:t>
            </w:r>
          </w:p>
        </w:tc>
        <w:tc>
          <w:tcPr>
            <w:tcW w:w="1364" w:type="dxa"/>
            <w:tcBorders>
              <w:left w:val="nil"/>
              <w:right w:val="nil"/>
            </w:tcBorders>
            <w:shd w:val="clear" w:color="auto" w:fill="auto"/>
            <w:noWrap/>
          </w:tcPr>
          <w:p w14:paraId="031FD068" w14:textId="77777777" w:rsidR="00E45CA6" w:rsidRPr="00C9743F" w:rsidRDefault="00E45CA6" w:rsidP="00E45CA6">
            <w:pPr>
              <w:spacing w:after="0" w:line="220" w:lineRule="exact"/>
              <w:jc w:val="right"/>
              <w:rPr>
                <w:rFonts w:eastAsia="Times New Roman" w:cs="Arial"/>
                <w:b/>
                <w:bCs/>
                <w:sz w:val="18"/>
                <w:szCs w:val="18"/>
              </w:rPr>
            </w:pPr>
          </w:p>
        </w:tc>
        <w:tc>
          <w:tcPr>
            <w:tcW w:w="1184" w:type="dxa"/>
            <w:tcBorders>
              <w:left w:val="nil"/>
              <w:right w:val="nil"/>
            </w:tcBorders>
            <w:shd w:val="clear" w:color="auto" w:fill="auto"/>
          </w:tcPr>
          <w:p w14:paraId="768AD25C" w14:textId="77777777" w:rsidR="00E45CA6" w:rsidRPr="00C9743F" w:rsidRDefault="00E45CA6" w:rsidP="00E45CA6">
            <w:pPr>
              <w:spacing w:after="0" w:line="220" w:lineRule="exact"/>
              <w:jc w:val="right"/>
              <w:rPr>
                <w:rFonts w:eastAsia="Times New Roman" w:cs="Arial"/>
                <w:b/>
                <w:bCs/>
                <w:sz w:val="18"/>
                <w:szCs w:val="18"/>
              </w:rPr>
            </w:pPr>
          </w:p>
        </w:tc>
      </w:tr>
      <w:tr w:rsidR="00E45CA6" w:rsidRPr="00C9743F" w14:paraId="6A2FDCC9" w14:textId="77777777" w:rsidTr="000E5941">
        <w:trPr>
          <w:trHeight w:val="87"/>
        </w:trPr>
        <w:tc>
          <w:tcPr>
            <w:tcW w:w="6207" w:type="dxa"/>
            <w:tcBorders>
              <w:left w:val="nil"/>
              <w:right w:val="nil"/>
            </w:tcBorders>
            <w:shd w:val="clear" w:color="auto" w:fill="auto"/>
            <w:vAlign w:val="bottom"/>
          </w:tcPr>
          <w:p w14:paraId="257CC82D" w14:textId="77777777" w:rsidR="00E45CA6" w:rsidRPr="00FB01C4" w:rsidRDefault="00E45CA6" w:rsidP="00E45CA6">
            <w:pPr>
              <w:spacing w:after="0" w:line="140" w:lineRule="exact"/>
              <w:rPr>
                <w:rFonts w:eastAsia="Times New Roman" w:cs="Arial"/>
                <w:bCs/>
                <w:sz w:val="18"/>
                <w:szCs w:val="18"/>
              </w:rPr>
            </w:pPr>
          </w:p>
        </w:tc>
        <w:tc>
          <w:tcPr>
            <w:tcW w:w="1364" w:type="dxa"/>
            <w:tcBorders>
              <w:left w:val="nil"/>
              <w:right w:val="nil"/>
            </w:tcBorders>
            <w:shd w:val="clear" w:color="auto" w:fill="auto"/>
            <w:noWrap/>
          </w:tcPr>
          <w:p w14:paraId="3F183253" w14:textId="77777777" w:rsidR="00E45CA6" w:rsidRPr="00C9743F" w:rsidRDefault="00E45CA6" w:rsidP="00E45CA6">
            <w:pPr>
              <w:spacing w:after="0" w:line="140" w:lineRule="exact"/>
              <w:jc w:val="right"/>
              <w:rPr>
                <w:rFonts w:eastAsia="Times New Roman" w:cs="Arial"/>
                <w:bCs/>
                <w:sz w:val="18"/>
                <w:szCs w:val="18"/>
              </w:rPr>
            </w:pPr>
          </w:p>
        </w:tc>
        <w:tc>
          <w:tcPr>
            <w:tcW w:w="1184" w:type="dxa"/>
            <w:tcBorders>
              <w:left w:val="nil"/>
              <w:right w:val="nil"/>
            </w:tcBorders>
            <w:shd w:val="clear" w:color="auto" w:fill="auto"/>
          </w:tcPr>
          <w:p w14:paraId="1E4F7B09" w14:textId="77777777" w:rsidR="00E45CA6" w:rsidRPr="00C9743F" w:rsidRDefault="00E45CA6" w:rsidP="00E45CA6">
            <w:pPr>
              <w:spacing w:after="0" w:line="140" w:lineRule="exact"/>
              <w:jc w:val="right"/>
              <w:rPr>
                <w:rFonts w:eastAsia="Times New Roman" w:cs="Arial"/>
                <w:bCs/>
                <w:sz w:val="18"/>
                <w:szCs w:val="18"/>
              </w:rPr>
            </w:pPr>
          </w:p>
        </w:tc>
      </w:tr>
      <w:tr w:rsidR="00E45CA6" w:rsidRPr="00C9743F" w14:paraId="3049705C" w14:textId="77777777" w:rsidTr="00E45CA6">
        <w:trPr>
          <w:trHeight w:val="167"/>
        </w:trPr>
        <w:tc>
          <w:tcPr>
            <w:tcW w:w="6207" w:type="dxa"/>
            <w:tcBorders>
              <w:left w:val="nil"/>
              <w:right w:val="nil"/>
            </w:tcBorders>
            <w:shd w:val="clear" w:color="auto" w:fill="auto"/>
            <w:vAlign w:val="bottom"/>
          </w:tcPr>
          <w:p w14:paraId="49360707" w14:textId="77777777" w:rsidR="00E45CA6" w:rsidRPr="00FB01C4" w:rsidRDefault="00E45CA6" w:rsidP="00E45CA6">
            <w:pPr>
              <w:spacing w:after="0" w:line="220" w:lineRule="exact"/>
              <w:rPr>
                <w:rFonts w:eastAsia="Times New Roman" w:cs="Arial"/>
                <w:b/>
                <w:bCs/>
                <w:sz w:val="18"/>
                <w:szCs w:val="18"/>
              </w:rPr>
            </w:pPr>
            <w:r w:rsidRPr="00FB01C4">
              <w:rPr>
                <w:rFonts w:eastAsia="Times New Roman" w:cs="Arial"/>
                <w:b/>
                <w:bCs/>
                <w:sz w:val="18"/>
                <w:szCs w:val="18"/>
              </w:rPr>
              <w:t>Stavke koje se kasnije mogu uračunati u dobit ili gubitak:</w:t>
            </w:r>
          </w:p>
        </w:tc>
        <w:tc>
          <w:tcPr>
            <w:tcW w:w="1364" w:type="dxa"/>
            <w:tcBorders>
              <w:left w:val="nil"/>
              <w:right w:val="nil"/>
            </w:tcBorders>
            <w:shd w:val="clear" w:color="auto" w:fill="auto"/>
            <w:noWrap/>
          </w:tcPr>
          <w:p w14:paraId="38B8629F" w14:textId="77777777" w:rsidR="00E45CA6" w:rsidRPr="00C9743F" w:rsidRDefault="00E45CA6" w:rsidP="00E45CA6">
            <w:pPr>
              <w:spacing w:after="0" w:line="220" w:lineRule="exact"/>
              <w:jc w:val="right"/>
              <w:rPr>
                <w:rFonts w:eastAsia="Times New Roman" w:cs="Arial"/>
                <w:b/>
                <w:bCs/>
                <w:sz w:val="18"/>
                <w:szCs w:val="18"/>
              </w:rPr>
            </w:pPr>
          </w:p>
        </w:tc>
        <w:tc>
          <w:tcPr>
            <w:tcW w:w="1184" w:type="dxa"/>
            <w:tcBorders>
              <w:left w:val="nil"/>
              <w:right w:val="nil"/>
            </w:tcBorders>
            <w:shd w:val="clear" w:color="auto" w:fill="auto"/>
          </w:tcPr>
          <w:p w14:paraId="14AC47C1" w14:textId="77777777" w:rsidR="00E45CA6" w:rsidRPr="00C9743F" w:rsidRDefault="00E45CA6" w:rsidP="00E45CA6">
            <w:pPr>
              <w:spacing w:after="0" w:line="220" w:lineRule="exact"/>
              <w:jc w:val="right"/>
              <w:rPr>
                <w:rFonts w:eastAsia="Times New Roman" w:cs="Arial"/>
                <w:b/>
                <w:bCs/>
                <w:sz w:val="18"/>
                <w:szCs w:val="18"/>
              </w:rPr>
            </w:pPr>
          </w:p>
        </w:tc>
      </w:tr>
      <w:tr w:rsidR="00491327" w:rsidRPr="00C9743F" w14:paraId="5AE7DC63" w14:textId="77777777" w:rsidTr="00E45CA6">
        <w:trPr>
          <w:trHeight w:val="155"/>
        </w:trPr>
        <w:tc>
          <w:tcPr>
            <w:tcW w:w="6207" w:type="dxa"/>
            <w:tcBorders>
              <w:left w:val="nil"/>
              <w:right w:val="nil"/>
            </w:tcBorders>
            <w:shd w:val="clear" w:color="auto" w:fill="auto"/>
            <w:vAlign w:val="bottom"/>
          </w:tcPr>
          <w:p w14:paraId="0C684A93" w14:textId="77777777" w:rsidR="00491327" w:rsidRPr="00FB01C4" w:rsidRDefault="00491327" w:rsidP="00491327">
            <w:pPr>
              <w:spacing w:after="0" w:line="220" w:lineRule="exact"/>
              <w:rPr>
                <w:rFonts w:eastAsia="Times New Roman" w:cs="Arial"/>
                <w:bCs/>
                <w:sz w:val="18"/>
                <w:szCs w:val="18"/>
              </w:rPr>
            </w:pPr>
            <w:r w:rsidRPr="00FB01C4">
              <w:rPr>
                <w:rFonts w:eastAsia="Times New Roman" w:cs="Arial"/>
                <w:bCs/>
                <w:sz w:val="18"/>
                <w:szCs w:val="18"/>
              </w:rPr>
              <w:t>Dobici proizašli iz revalorizacije financijske imovine raspoložive za prodaju</w:t>
            </w:r>
          </w:p>
        </w:tc>
        <w:tc>
          <w:tcPr>
            <w:tcW w:w="1364" w:type="dxa"/>
            <w:tcBorders>
              <w:left w:val="nil"/>
              <w:right w:val="nil"/>
            </w:tcBorders>
            <w:shd w:val="clear" w:color="auto" w:fill="auto"/>
            <w:noWrap/>
          </w:tcPr>
          <w:p w14:paraId="18019204" w14:textId="098A22AA" w:rsidR="00491327" w:rsidRPr="00C9743F" w:rsidRDefault="00491327" w:rsidP="00491327">
            <w:pPr>
              <w:spacing w:after="0" w:line="220" w:lineRule="exact"/>
              <w:jc w:val="right"/>
              <w:rPr>
                <w:rFonts w:eastAsia="Times New Roman" w:cs="Arial"/>
                <w:bCs/>
                <w:sz w:val="18"/>
                <w:szCs w:val="18"/>
              </w:rPr>
            </w:pPr>
            <w:r>
              <w:rPr>
                <w:rFonts w:ascii="Calibri" w:eastAsia="Times New Roman" w:hAnsi="Calibri" w:cs="Arial"/>
                <w:bCs/>
                <w:sz w:val="18"/>
                <w:szCs w:val="18"/>
              </w:rPr>
              <w:t>1.236</w:t>
            </w:r>
          </w:p>
        </w:tc>
        <w:tc>
          <w:tcPr>
            <w:tcW w:w="1184" w:type="dxa"/>
            <w:tcBorders>
              <w:left w:val="nil"/>
              <w:right w:val="nil"/>
            </w:tcBorders>
            <w:shd w:val="clear" w:color="auto" w:fill="auto"/>
          </w:tcPr>
          <w:p w14:paraId="0F4B682A" w14:textId="1360885C" w:rsidR="00491327" w:rsidRPr="00FB01C4" w:rsidRDefault="00491327" w:rsidP="00491327">
            <w:pPr>
              <w:spacing w:after="0" w:line="220" w:lineRule="exact"/>
              <w:jc w:val="right"/>
              <w:rPr>
                <w:rFonts w:eastAsia="Times New Roman" w:cs="Arial"/>
                <w:bCs/>
                <w:sz w:val="18"/>
                <w:szCs w:val="18"/>
              </w:rPr>
            </w:pPr>
            <w:r>
              <w:rPr>
                <w:rFonts w:cs="Arial"/>
                <w:bCs/>
                <w:sz w:val="18"/>
                <w:szCs w:val="18"/>
              </w:rPr>
              <w:t>968</w:t>
            </w:r>
          </w:p>
        </w:tc>
      </w:tr>
      <w:tr w:rsidR="00491327" w:rsidRPr="00C9743F" w14:paraId="699653D2" w14:textId="77777777" w:rsidTr="00E45CA6">
        <w:trPr>
          <w:trHeight w:val="239"/>
        </w:trPr>
        <w:tc>
          <w:tcPr>
            <w:tcW w:w="6207" w:type="dxa"/>
            <w:tcBorders>
              <w:left w:val="nil"/>
              <w:right w:val="nil"/>
            </w:tcBorders>
            <w:shd w:val="clear" w:color="auto" w:fill="auto"/>
            <w:vAlign w:val="bottom"/>
          </w:tcPr>
          <w:p w14:paraId="0BFEA699" w14:textId="77777777" w:rsidR="00491327" w:rsidRPr="00FB01C4" w:rsidRDefault="00491327" w:rsidP="00491327">
            <w:pPr>
              <w:spacing w:after="0" w:line="220" w:lineRule="exact"/>
              <w:rPr>
                <w:rFonts w:eastAsia="Times New Roman" w:cs="Arial"/>
                <w:bCs/>
                <w:sz w:val="18"/>
                <w:szCs w:val="18"/>
              </w:rPr>
            </w:pPr>
            <w:r w:rsidRPr="00FB01C4">
              <w:rPr>
                <w:rFonts w:eastAsia="Times New Roman" w:cs="Arial"/>
                <w:bCs/>
                <w:sz w:val="18"/>
                <w:szCs w:val="18"/>
              </w:rPr>
              <w:t>Smanjenje fer vrijednosti imovine raspoložive za prodaju</w:t>
            </w:r>
          </w:p>
        </w:tc>
        <w:tc>
          <w:tcPr>
            <w:tcW w:w="1364" w:type="dxa"/>
            <w:tcBorders>
              <w:left w:val="nil"/>
              <w:right w:val="nil"/>
            </w:tcBorders>
            <w:shd w:val="clear" w:color="auto" w:fill="auto"/>
            <w:noWrap/>
          </w:tcPr>
          <w:p w14:paraId="4349ECE3" w14:textId="795BF887" w:rsidR="00491327" w:rsidRPr="00C9743F" w:rsidRDefault="00491327" w:rsidP="00491327">
            <w:pPr>
              <w:spacing w:after="0" w:line="220" w:lineRule="exact"/>
              <w:jc w:val="right"/>
              <w:rPr>
                <w:rFonts w:eastAsia="Times New Roman" w:cs="Arial"/>
                <w:bCs/>
                <w:sz w:val="18"/>
                <w:szCs w:val="18"/>
              </w:rPr>
            </w:pPr>
            <w:r>
              <w:rPr>
                <w:rFonts w:ascii="Calibri" w:eastAsia="Times New Roman" w:hAnsi="Calibri" w:cs="Arial"/>
                <w:bCs/>
                <w:sz w:val="18"/>
                <w:szCs w:val="18"/>
              </w:rPr>
              <w:t>(1.100)</w:t>
            </w:r>
          </w:p>
        </w:tc>
        <w:tc>
          <w:tcPr>
            <w:tcW w:w="1184" w:type="dxa"/>
            <w:tcBorders>
              <w:left w:val="nil"/>
              <w:right w:val="nil"/>
            </w:tcBorders>
            <w:shd w:val="clear" w:color="auto" w:fill="auto"/>
          </w:tcPr>
          <w:p w14:paraId="061187E0" w14:textId="585A3B58" w:rsidR="00491327" w:rsidRPr="00FB01C4" w:rsidRDefault="00491327" w:rsidP="00257CDB">
            <w:pPr>
              <w:spacing w:after="0" w:line="220" w:lineRule="exact"/>
              <w:jc w:val="right"/>
              <w:rPr>
                <w:rFonts w:eastAsia="Times New Roman" w:cs="Arial"/>
                <w:bCs/>
                <w:sz w:val="18"/>
                <w:szCs w:val="18"/>
              </w:rPr>
            </w:pPr>
            <w:r w:rsidRPr="000E5941">
              <w:rPr>
                <w:rFonts w:cs="Arial"/>
                <w:bCs/>
                <w:sz w:val="18"/>
                <w:szCs w:val="18"/>
              </w:rPr>
              <w:t>(</w:t>
            </w:r>
            <w:r>
              <w:rPr>
                <w:rFonts w:cs="Arial"/>
                <w:bCs/>
                <w:sz w:val="18"/>
                <w:szCs w:val="18"/>
              </w:rPr>
              <w:t>270</w:t>
            </w:r>
            <w:r w:rsidRPr="000E5941">
              <w:rPr>
                <w:rFonts w:cs="Arial"/>
                <w:bCs/>
                <w:sz w:val="18"/>
                <w:szCs w:val="18"/>
              </w:rPr>
              <w:t>)</w:t>
            </w:r>
          </w:p>
        </w:tc>
      </w:tr>
      <w:tr w:rsidR="00491327" w:rsidRPr="00C9743F" w14:paraId="05B8CC3C" w14:textId="77777777" w:rsidTr="00E45CA6">
        <w:trPr>
          <w:trHeight w:val="239"/>
        </w:trPr>
        <w:tc>
          <w:tcPr>
            <w:tcW w:w="6207" w:type="dxa"/>
            <w:tcBorders>
              <w:left w:val="nil"/>
              <w:right w:val="nil"/>
            </w:tcBorders>
            <w:shd w:val="clear" w:color="auto" w:fill="auto"/>
            <w:vAlign w:val="bottom"/>
          </w:tcPr>
          <w:p w14:paraId="471A8903" w14:textId="77777777" w:rsidR="00491327" w:rsidRPr="00FB01C4" w:rsidRDefault="00491327" w:rsidP="00491327">
            <w:pPr>
              <w:spacing w:after="0" w:line="220" w:lineRule="exact"/>
              <w:rPr>
                <w:rFonts w:eastAsia="Times New Roman" w:cs="Arial"/>
                <w:bCs/>
                <w:sz w:val="18"/>
                <w:szCs w:val="18"/>
              </w:rPr>
            </w:pPr>
            <w:r w:rsidRPr="00FB01C4">
              <w:rPr>
                <w:rFonts w:eastAsia="Times New Roman" w:cs="Arial"/>
                <w:bCs/>
                <w:sz w:val="18"/>
                <w:szCs w:val="18"/>
              </w:rPr>
              <w:t>Prijenos realiziranog dobitka po imovini raspoloživoj za prodaju u IDG</w:t>
            </w:r>
          </w:p>
        </w:tc>
        <w:tc>
          <w:tcPr>
            <w:tcW w:w="1364" w:type="dxa"/>
            <w:tcBorders>
              <w:left w:val="nil"/>
              <w:right w:val="nil"/>
            </w:tcBorders>
            <w:shd w:val="clear" w:color="auto" w:fill="auto"/>
            <w:noWrap/>
          </w:tcPr>
          <w:p w14:paraId="60071D3E" w14:textId="18A372D1" w:rsidR="00491327" w:rsidRPr="00C9743F" w:rsidRDefault="00491327" w:rsidP="00491327">
            <w:pPr>
              <w:spacing w:after="0" w:line="220" w:lineRule="exact"/>
              <w:jc w:val="right"/>
              <w:rPr>
                <w:rFonts w:eastAsia="Times New Roman" w:cs="Arial"/>
                <w:bCs/>
                <w:sz w:val="18"/>
                <w:szCs w:val="18"/>
              </w:rPr>
            </w:pPr>
            <w:r>
              <w:rPr>
                <w:rFonts w:ascii="Calibri" w:eastAsia="Times New Roman" w:hAnsi="Calibri" w:cs="Arial"/>
                <w:bCs/>
                <w:sz w:val="18"/>
                <w:szCs w:val="18"/>
              </w:rPr>
              <w:t>(1)</w:t>
            </w:r>
          </w:p>
        </w:tc>
        <w:tc>
          <w:tcPr>
            <w:tcW w:w="1184" w:type="dxa"/>
            <w:tcBorders>
              <w:left w:val="nil"/>
              <w:right w:val="nil"/>
            </w:tcBorders>
            <w:shd w:val="clear" w:color="auto" w:fill="auto"/>
          </w:tcPr>
          <w:p w14:paraId="0BF9B59C" w14:textId="51787937" w:rsidR="00491327" w:rsidRPr="00FB01C4" w:rsidRDefault="00491327" w:rsidP="00257CDB">
            <w:pPr>
              <w:spacing w:after="0" w:line="220" w:lineRule="exact"/>
              <w:jc w:val="right"/>
              <w:rPr>
                <w:rFonts w:eastAsia="Times New Roman" w:cs="Arial"/>
                <w:bCs/>
                <w:sz w:val="18"/>
                <w:szCs w:val="18"/>
              </w:rPr>
            </w:pPr>
            <w:r w:rsidRPr="000E5941">
              <w:rPr>
                <w:rFonts w:cs="Arial"/>
                <w:bCs/>
                <w:sz w:val="18"/>
                <w:szCs w:val="18"/>
              </w:rPr>
              <w:t>(</w:t>
            </w:r>
            <w:r>
              <w:rPr>
                <w:rFonts w:cs="Arial"/>
                <w:bCs/>
                <w:sz w:val="18"/>
                <w:szCs w:val="18"/>
              </w:rPr>
              <w:t>163</w:t>
            </w:r>
            <w:r w:rsidRPr="000E5941">
              <w:rPr>
                <w:rFonts w:cs="Arial"/>
                <w:bCs/>
                <w:sz w:val="18"/>
                <w:szCs w:val="18"/>
              </w:rPr>
              <w:t>)</w:t>
            </w:r>
          </w:p>
        </w:tc>
      </w:tr>
      <w:tr w:rsidR="00491327" w:rsidRPr="00C9743F" w14:paraId="62F72097" w14:textId="77777777" w:rsidTr="00E45CA6">
        <w:trPr>
          <w:trHeight w:val="239"/>
        </w:trPr>
        <w:tc>
          <w:tcPr>
            <w:tcW w:w="6207" w:type="dxa"/>
            <w:tcBorders>
              <w:left w:val="nil"/>
              <w:right w:val="nil"/>
            </w:tcBorders>
            <w:shd w:val="clear" w:color="auto" w:fill="auto"/>
            <w:vAlign w:val="bottom"/>
          </w:tcPr>
          <w:p w14:paraId="4344C379" w14:textId="6FA49382" w:rsidR="00491327" w:rsidRPr="00AC74E4" w:rsidRDefault="00491327" w:rsidP="00491327">
            <w:pPr>
              <w:spacing w:after="0" w:line="220" w:lineRule="exact"/>
              <w:rPr>
                <w:rFonts w:eastAsia="Times New Roman" w:cs="Arial"/>
                <w:bCs/>
                <w:sz w:val="18"/>
                <w:szCs w:val="18"/>
              </w:rPr>
            </w:pPr>
            <w:r w:rsidRPr="00FB01C4">
              <w:rPr>
                <w:rFonts w:eastAsia="Times New Roman" w:cs="Arial"/>
                <w:bCs/>
                <w:sz w:val="18"/>
                <w:szCs w:val="18"/>
              </w:rPr>
              <w:t>Prijenos realiziranog gubitka</w:t>
            </w:r>
            <w:r w:rsidRPr="00AC74E4">
              <w:rPr>
                <w:rFonts w:eastAsia="Times New Roman" w:cs="Arial"/>
                <w:bCs/>
                <w:sz w:val="18"/>
                <w:szCs w:val="18"/>
              </w:rPr>
              <w:t xml:space="preserve"> po imovini raspoloživoj za prodaju u IDG</w:t>
            </w:r>
          </w:p>
        </w:tc>
        <w:tc>
          <w:tcPr>
            <w:tcW w:w="1364" w:type="dxa"/>
            <w:tcBorders>
              <w:left w:val="nil"/>
              <w:right w:val="nil"/>
            </w:tcBorders>
            <w:shd w:val="clear" w:color="auto" w:fill="auto"/>
            <w:noWrap/>
          </w:tcPr>
          <w:p w14:paraId="400BCDA0" w14:textId="15CF2327" w:rsidR="00491327" w:rsidRPr="00C9743F" w:rsidRDefault="00491327" w:rsidP="00491327">
            <w:pPr>
              <w:spacing w:after="0" w:line="220" w:lineRule="exact"/>
              <w:jc w:val="right"/>
              <w:rPr>
                <w:rFonts w:eastAsia="Times New Roman" w:cs="Arial"/>
                <w:bCs/>
                <w:sz w:val="18"/>
                <w:szCs w:val="18"/>
              </w:rPr>
            </w:pPr>
            <w:r>
              <w:rPr>
                <w:rFonts w:ascii="Calibri" w:eastAsia="Times New Roman" w:hAnsi="Calibri" w:cs="Arial"/>
                <w:bCs/>
                <w:sz w:val="18"/>
                <w:szCs w:val="18"/>
              </w:rPr>
              <w:t>6</w:t>
            </w:r>
          </w:p>
        </w:tc>
        <w:tc>
          <w:tcPr>
            <w:tcW w:w="1184" w:type="dxa"/>
            <w:tcBorders>
              <w:left w:val="nil"/>
              <w:right w:val="nil"/>
            </w:tcBorders>
            <w:shd w:val="clear" w:color="auto" w:fill="auto"/>
          </w:tcPr>
          <w:p w14:paraId="1FDC56B5" w14:textId="1B3886C0" w:rsidR="00491327" w:rsidRPr="000E5941" w:rsidRDefault="00491327" w:rsidP="00491327">
            <w:pPr>
              <w:spacing w:after="0" w:line="220" w:lineRule="exact"/>
              <w:jc w:val="right"/>
              <w:rPr>
                <w:rFonts w:cs="Arial"/>
                <w:bCs/>
                <w:sz w:val="18"/>
                <w:szCs w:val="18"/>
              </w:rPr>
            </w:pPr>
            <w:r w:rsidRPr="000E5941">
              <w:rPr>
                <w:rFonts w:cs="Arial"/>
                <w:bCs/>
                <w:sz w:val="18"/>
                <w:szCs w:val="18"/>
              </w:rPr>
              <w:t>-</w:t>
            </w:r>
          </w:p>
        </w:tc>
      </w:tr>
      <w:tr w:rsidR="00491327" w:rsidRPr="00C9743F" w14:paraId="5CF87FCF" w14:textId="77777777" w:rsidTr="00E45CA6">
        <w:trPr>
          <w:trHeight w:val="138"/>
        </w:trPr>
        <w:tc>
          <w:tcPr>
            <w:tcW w:w="6207" w:type="dxa"/>
            <w:tcBorders>
              <w:left w:val="nil"/>
              <w:right w:val="nil"/>
            </w:tcBorders>
            <w:shd w:val="clear" w:color="auto" w:fill="auto"/>
            <w:vAlign w:val="bottom"/>
          </w:tcPr>
          <w:p w14:paraId="1D7FD3DE" w14:textId="77777777" w:rsidR="00491327" w:rsidRPr="00FB01C4" w:rsidRDefault="00491327" w:rsidP="00491327">
            <w:pPr>
              <w:spacing w:after="0" w:line="220" w:lineRule="exact"/>
              <w:rPr>
                <w:rFonts w:eastAsia="Times New Roman" w:cs="Arial"/>
                <w:bCs/>
                <w:sz w:val="18"/>
                <w:szCs w:val="18"/>
              </w:rPr>
            </w:pPr>
            <w:r w:rsidRPr="00FB01C4">
              <w:rPr>
                <w:rFonts w:eastAsia="Times New Roman" w:cs="Arial"/>
                <w:bCs/>
                <w:sz w:val="18"/>
                <w:szCs w:val="18"/>
              </w:rPr>
              <w:t>Odgođeni porez</w:t>
            </w:r>
          </w:p>
        </w:tc>
        <w:tc>
          <w:tcPr>
            <w:tcW w:w="1364" w:type="dxa"/>
            <w:tcBorders>
              <w:left w:val="nil"/>
              <w:bottom w:val="single" w:sz="4" w:space="0" w:color="auto"/>
              <w:right w:val="nil"/>
            </w:tcBorders>
            <w:shd w:val="clear" w:color="auto" w:fill="auto"/>
            <w:noWrap/>
          </w:tcPr>
          <w:p w14:paraId="4BEFBCB8" w14:textId="46843F6C" w:rsidR="00491327" w:rsidRPr="00C9743F" w:rsidRDefault="00491327" w:rsidP="00491327">
            <w:pPr>
              <w:spacing w:after="0" w:line="220" w:lineRule="exact"/>
              <w:jc w:val="right"/>
              <w:rPr>
                <w:rFonts w:eastAsia="Times New Roman" w:cs="Arial"/>
                <w:bCs/>
                <w:sz w:val="18"/>
                <w:szCs w:val="18"/>
              </w:rPr>
            </w:pPr>
            <w:r>
              <w:rPr>
                <w:rFonts w:ascii="Calibri" w:eastAsia="Times New Roman" w:hAnsi="Calibri" w:cs="Arial"/>
                <w:bCs/>
                <w:sz w:val="18"/>
                <w:szCs w:val="18"/>
              </w:rPr>
              <w:t>(25)</w:t>
            </w:r>
          </w:p>
        </w:tc>
        <w:tc>
          <w:tcPr>
            <w:tcW w:w="1184" w:type="dxa"/>
            <w:tcBorders>
              <w:left w:val="nil"/>
              <w:bottom w:val="single" w:sz="4" w:space="0" w:color="auto"/>
              <w:right w:val="nil"/>
            </w:tcBorders>
            <w:shd w:val="clear" w:color="auto" w:fill="auto"/>
          </w:tcPr>
          <w:p w14:paraId="4727CD37" w14:textId="5A81EB2C" w:rsidR="00491327" w:rsidRPr="00FB01C4" w:rsidRDefault="00491327" w:rsidP="00257CDB">
            <w:pPr>
              <w:spacing w:after="0" w:line="220" w:lineRule="exact"/>
              <w:jc w:val="right"/>
              <w:rPr>
                <w:rFonts w:eastAsia="Times New Roman" w:cs="Arial"/>
                <w:bCs/>
                <w:sz w:val="18"/>
                <w:szCs w:val="18"/>
              </w:rPr>
            </w:pPr>
            <w:r w:rsidRPr="000E5941">
              <w:rPr>
                <w:rFonts w:cs="Arial"/>
                <w:bCs/>
                <w:sz w:val="18"/>
                <w:szCs w:val="18"/>
              </w:rPr>
              <w:t>(</w:t>
            </w:r>
            <w:r>
              <w:rPr>
                <w:rFonts w:cs="Arial"/>
                <w:bCs/>
                <w:sz w:val="18"/>
                <w:szCs w:val="18"/>
              </w:rPr>
              <w:t>107</w:t>
            </w:r>
            <w:r w:rsidRPr="000E5941">
              <w:rPr>
                <w:rFonts w:cs="Arial"/>
                <w:bCs/>
                <w:sz w:val="18"/>
                <w:szCs w:val="18"/>
              </w:rPr>
              <w:t>)</w:t>
            </w:r>
          </w:p>
        </w:tc>
      </w:tr>
      <w:tr w:rsidR="00491327" w:rsidRPr="00C9743F" w14:paraId="5C280F61" w14:textId="77777777" w:rsidTr="005F1FBF">
        <w:trPr>
          <w:trHeight w:val="287"/>
        </w:trPr>
        <w:tc>
          <w:tcPr>
            <w:tcW w:w="6207" w:type="dxa"/>
            <w:tcBorders>
              <w:left w:val="nil"/>
              <w:right w:val="nil"/>
            </w:tcBorders>
            <w:shd w:val="clear" w:color="auto" w:fill="auto"/>
            <w:vAlign w:val="bottom"/>
          </w:tcPr>
          <w:p w14:paraId="444C1751" w14:textId="77777777" w:rsidR="00491327" w:rsidRPr="00AC74E4" w:rsidRDefault="00491327" w:rsidP="00491327">
            <w:pPr>
              <w:spacing w:after="0" w:line="220" w:lineRule="exact"/>
              <w:rPr>
                <w:rFonts w:eastAsia="Times New Roman" w:cs="Arial"/>
                <w:b/>
                <w:bCs/>
                <w:sz w:val="18"/>
                <w:szCs w:val="18"/>
              </w:rPr>
            </w:pPr>
            <w:r w:rsidRPr="00FB01C4">
              <w:rPr>
                <w:rFonts w:eastAsia="Times New Roman" w:cs="Arial"/>
                <w:b/>
                <w:bCs/>
                <w:sz w:val="18"/>
                <w:szCs w:val="18"/>
              </w:rPr>
              <w:t>Ukupno stavke koje se kasnije mogu uračunati u dobit ili gubitak</w:t>
            </w:r>
          </w:p>
        </w:tc>
        <w:tc>
          <w:tcPr>
            <w:tcW w:w="1364" w:type="dxa"/>
            <w:tcBorders>
              <w:top w:val="single" w:sz="4" w:space="0" w:color="auto"/>
              <w:left w:val="nil"/>
              <w:bottom w:val="single" w:sz="12" w:space="0" w:color="auto"/>
              <w:right w:val="nil"/>
            </w:tcBorders>
            <w:shd w:val="clear" w:color="auto" w:fill="auto"/>
            <w:noWrap/>
            <w:vAlign w:val="bottom"/>
          </w:tcPr>
          <w:p w14:paraId="36276694" w14:textId="4527E820" w:rsidR="00491327" w:rsidRPr="00C9743F" w:rsidRDefault="00491327" w:rsidP="00257CDB">
            <w:pPr>
              <w:spacing w:after="0" w:line="220" w:lineRule="exact"/>
              <w:jc w:val="right"/>
              <w:rPr>
                <w:rFonts w:eastAsia="Times New Roman" w:cs="Arial"/>
                <w:b/>
                <w:bCs/>
                <w:sz w:val="18"/>
                <w:szCs w:val="18"/>
              </w:rPr>
            </w:pPr>
            <w:r>
              <w:rPr>
                <w:rFonts w:ascii="Calibri" w:eastAsia="Times New Roman" w:hAnsi="Calibri" w:cs="Arial"/>
                <w:b/>
                <w:bCs/>
                <w:sz w:val="18"/>
                <w:szCs w:val="18"/>
              </w:rPr>
              <w:t>116</w:t>
            </w:r>
          </w:p>
        </w:tc>
        <w:tc>
          <w:tcPr>
            <w:tcW w:w="1184" w:type="dxa"/>
            <w:tcBorders>
              <w:top w:val="single" w:sz="4" w:space="0" w:color="auto"/>
              <w:left w:val="nil"/>
              <w:bottom w:val="single" w:sz="12" w:space="0" w:color="auto"/>
              <w:right w:val="nil"/>
            </w:tcBorders>
            <w:shd w:val="clear" w:color="auto" w:fill="auto"/>
            <w:vAlign w:val="bottom"/>
          </w:tcPr>
          <w:p w14:paraId="209701AD" w14:textId="6B3AED89" w:rsidR="00491327" w:rsidRPr="00FB01C4" w:rsidRDefault="00491327" w:rsidP="00491327">
            <w:pPr>
              <w:spacing w:after="0" w:line="220" w:lineRule="exact"/>
              <w:jc w:val="right"/>
              <w:rPr>
                <w:rFonts w:eastAsia="Times New Roman" w:cs="Arial"/>
                <w:b/>
                <w:bCs/>
                <w:sz w:val="18"/>
                <w:szCs w:val="18"/>
              </w:rPr>
            </w:pPr>
            <w:r w:rsidRPr="000E5941">
              <w:rPr>
                <w:rFonts w:cs="Arial"/>
                <w:b/>
                <w:bCs/>
                <w:sz w:val="18"/>
                <w:szCs w:val="18"/>
              </w:rPr>
              <w:t>4</w:t>
            </w:r>
            <w:r>
              <w:rPr>
                <w:rFonts w:cs="Arial"/>
                <w:b/>
                <w:bCs/>
                <w:sz w:val="18"/>
                <w:szCs w:val="18"/>
              </w:rPr>
              <w:t>28</w:t>
            </w:r>
          </w:p>
        </w:tc>
      </w:tr>
      <w:tr w:rsidR="00491327" w:rsidRPr="00C9743F" w14:paraId="4D314463" w14:textId="77777777" w:rsidTr="00E45CA6">
        <w:trPr>
          <w:trHeight w:val="167"/>
        </w:trPr>
        <w:tc>
          <w:tcPr>
            <w:tcW w:w="6207" w:type="dxa"/>
            <w:tcBorders>
              <w:left w:val="nil"/>
              <w:right w:val="nil"/>
            </w:tcBorders>
            <w:shd w:val="clear" w:color="auto" w:fill="auto"/>
            <w:vAlign w:val="bottom"/>
          </w:tcPr>
          <w:p w14:paraId="07E2EBA9" w14:textId="77777777" w:rsidR="00491327" w:rsidRPr="00FB01C4" w:rsidRDefault="00491327" w:rsidP="00491327">
            <w:pPr>
              <w:spacing w:after="0" w:line="140" w:lineRule="exact"/>
              <w:rPr>
                <w:rFonts w:eastAsia="Times New Roman" w:cs="Arial"/>
                <w:b/>
                <w:bCs/>
                <w:sz w:val="18"/>
                <w:szCs w:val="18"/>
              </w:rPr>
            </w:pPr>
          </w:p>
        </w:tc>
        <w:tc>
          <w:tcPr>
            <w:tcW w:w="1364" w:type="dxa"/>
            <w:tcBorders>
              <w:top w:val="single" w:sz="12" w:space="0" w:color="auto"/>
              <w:left w:val="nil"/>
              <w:right w:val="nil"/>
            </w:tcBorders>
            <w:shd w:val="clear" w:color="auto" w:fill="auto"/>
            <w:noWrap/>
          </w:tcPr>
          <w:p w14:paraId="277769B2" w14:textId="77777777" w:rsidR="00491327" w:rsidRPr="00C9743F" w:rsidRDefault="00491327" w:rsidP="00491327">
            <w:pPr>
              <w:spacing w:after="0" w:line="140" w:lineRule="exact"/>
              <w:jc w:val="right"/>
              <w:rPr>
                <w:rFonts w:eastAsia="Times New Roman" w:cs="Arial"/>
                <w:bCs/>
                <w:sz w:val="18"/>
                <w:szCs w:val="18"/>
              </w:rPr>
            </w:pPr>
          </w:p>
        </w:tc>
        <w:tc>
          <w:tcPr>
            <w:tcW w:w="1184" w:type="dxa"/>
            <w:tcBorders>
              <w:top w:val="single" w:sz="12" w:space="0" w:color="auto"/>
              <w:left w:val="nil"/>
              <w:right w:val="nil"/>
            </w:tcBorders>
            <w:shd w:val="clear" w:color="auto" w:fill="auto"/>
          </w:tcPr>
          <w:p w14:paraId="2B1E8717" w14:textId="77777777" w:rsidR="00491327" w:rsidRPr="00C9743F" w:rsidRDefault="00491327" w:rsidP="00491327">
            <w:pPr>
              <w:spacing w:after="0" w:line="140" w:lineRule="exact"/>
              <w:jc w:val="right"/>
              <w:rPr>
                <w:rFonts w:eastAsia="Times New Roman" w:cs="Arial"/>
                <w:bCs/>
                <w:sz w:val="18"/>
                <w:szCs w:val="18"/>
              </w:rPr>
            </w:pPr>
          </w:p>
        </w:tc>
      </w:tr>
      <w:tr w:rsidR="00491327" w:rsidRPr="00C9743F" w14:paraId="2F4432A5" w14:textId="77777777" w:rsidTr="00E45CA6">
        <w:trPr>
          <w:trHeight w:val="127"/>
        </w:trPr>
        <w:tc>
          <w:tcPr>
            <w:tcW w:w="6207" w:type="dxa"/>
            <w:tcBorders>
              <w:left w:val="nil"/>
              <w:right w:val="nil"/>
            </w:tcBorders>
            <w:shd w:val="clear" w:color="auto" w:fill="auto"/>
            <w:vAlign w:val="bottom"/>
          </w:tcPr>
          <w:p w14:paraId="76196B4B" w14:textId="77777777" w:rsidR="00491327" w:rsidRPr="00FB01C4" w:rsidRDefault="00491327" w:rsidP="00491327">
            <w:pPr>
              <w:spacing w:after="0" w:line="220" w:lineRule="exact"/>
              <w:rPr>
                <w:rFonts w:eastAsia="Times New Roman" w:cs="Arial"/>
                <w:b/>
                <w:bCs/>
                <w:sz w:val="18"/>
                <w:szCs w:val="18"/>
              </w:rPr>
            </w:pPr>
            <w:r w:rsidRPr="00FB01C4">
              <w:rPr>
                <w:rFonts w:eastAsia="Times New Roman" w:cs="Arial"/>
                <w:b/>
                <w:bCs/>
                <w:sz w:val="18"/>
                <w:szCs w:val="18"/>
              </w:rPr>
              <w:t>Ostala sveobuhvatna dobit nakon oporezivanja</w:t>
            </w:r>
          </w:p>
        </w:tc>
        <w:tc>
          <w:tcPr>
            <w:tcW w:w="1364" w:type="dxa"/>
            <w:tcBorders>
              <w:left w:val="nil"/>
              <w:right w:val="nil"/>
            </w:tcBorders>
            <w:shd w:val="clear" w:color="auto" w:fill="auto"/>
            <w:noWrap/>
          </w:tcPr>
          <w:p w14:paraId="48361A93" w14:textId="4EB796C8" w:rsidR="00491327" w:rsidRPr="00C9743F" w:rsidRDefault="00491327" w:rsidP="00491327">
            <w:pPr>
              <w:spacing w:after="0" w:line="220" w:lineRule="exact"/>
              <w:jc w:val="right"/>
              <w:rPr>
                <w:rFonts w:eastAsia="Times New Roman" w:cs="Arial"/>
                <w:b/>
                <w:bCs/>
                <w:sz w:val="18"/>
                <w:szCs w:val="18"/>
              </w:rPr>
            </w:pPr>
            <w:r>
              <w:rPr>
                <w:rFonts w:ascii="Calibri" w:eastAsia="Times New Roman" w:hAnsi="Calibri" w:cs="Arial"/>
                <w:b/>
                <w:bCs/>
                <w:sz w:val="18"/>
                <w:szCs w:val="18"/>
              </w:rPr>
              <w:t>116</w:t>
            </w:r>
          </w:p>
        </w:tc>
        <w:tc>
          <w:tcPr>
            <w:tcW w:w="1184" w:type="dxa"/>
            <w:tcBorders>
              <w:left w:val="nil"/>
              <w:right w:val="nil"/>
            </w:tcBorders>
            <w:shd w:val="clear" w:color="auto" w:fill="auto"/>
          </w:tcPr>
          <w:p w14:paraId="5EA65CD5" w14:textId="742053CA" w:rsidR="00491327" w:rsidRPr="00FB01C4" w:rsidRDefault="00491327" w:rsidP="00257CDB">
            <w:pPr>
              <w:spacing w:after="0" w:line="220" w:lineRule="exact"/>
              <w:jc w:val="right"/>
              <w:rPr>
                <w:rFonts w:eastAsia="Times New Roman" w:cs="Arial"/>
                <w:b/>
                <w:bCs/>
                <w:sz w:val="18"/>
                <w:szCs w:val="18"/>
              </w:rPr>
            </w:pPr>
            <w:r w:rsidRPr="000E5941">
              <w:rPr>
                <w:rFonts w:cs="Arial"/>
                <w:b/>
                <w:bCs/>
                <w:sz w:val="18"/>
                <w:szCs w:val="18"/>
              </w:rPr>
              <w:t>4</w:t>
            </w:r>
            <w:r>
              <w:rPr>
                <w:rFonts w:cs="Arial"/>
                <w:b/>
                <w:bCs/>
                <w:sz w:val="18"/>
                <w:szCs w:val="18"/>
              </w:rPr>
              <w:t>28</w:t>
            </w:r>
          </w:p>
        </w:tc>
      </w:tr>
      <w:tr w:rsidR="00491327" w:rsidRPr="00C9743F" w14:paraId="27BE016E" w14:textId="77777777" w:rsidTr="00E45CA6">
        <w:trPr>
          <w:trHeight w:val="89"/>
        </w:trPr>
        <w:tc>
          <w:tcPr>
            <w:tcW w:w="6207" w:type="dxa"/>
            <w:tcBorders>
              <w:left w:val="nil"/>
              <w:right w:val="nil"/>
            </w:tcBorders>
            <w:shd w:val="clear" w:color="auto" w:fill="auto"/>
            <w:vAlign w:val="bottom"/>
          </w:tcPr>
          <w:p w14:paraId="6657A08E" w14:textId="77777777" w:rsidR="00491327" w:rsidRPr="00FB01C4" w:rsidRDefault="00491327" w:rsidP="00491327">
            <w:pPr>
              <w:spacing w:after="0" w:line="140" w:lineRule="exact"/>
              <w:rPr>
                <w:rFonts w:eastAsia="Times New Roman" w:cs="Arial"/>
                <w:b/>
                <w:bCs/>
                <w:sz w:val="18"/>
                <w:szCs w:val="18"/>
              </w:rPr>
            </w:pPr>
          </w:p>
        </w:tc>
        <w:tc>
          <w:tcPr>
            <w:tcW w:w="1364" w:type="dxa"/>
            <w:tcBorders>
              <w:left w:val="nil"/>
              <w:bottom w:val="single" w:sz="4" w:space="0" w:color="auto"/>
              <w:right w:val="nil"/>
            </w:tcBorders>
            <w:shd w:val="clear" w:color="auto" w:fill="auto"/>
            <w:noWrap/>
          </w:tcPr>
          <w:p w14:paraId="4AB765C4" w14:textId="77777777" w:rsidR="00491327" w:rsidRPr="00C9743F" w:rsidRDefault="00491327" w:rsidP="00491327">
            <w:pPr>
              <w:spacing w:after="0" w:line="140" w:lineRule="exact"/>
              <w:jc w:val="right"/>
              <w:rPr>
                <w:rFonts w:eastAsia="Times New Roman" w:cs="Arial"/>
                <w:b/>
                <w:bCs/>
                <w:sz w:val="18"/>
                <w:szCs w:val="18"/>
              </w:rPr>
            </w:pPr>
          </w:p>
        </w:tc>
        <w:tc>
          <w:tcPr>
            <w:tcW w:w="1184" w:type="dxa"/>
            <w:tcBorders>
              <w:left w:val="nil"/>
              <w:bottom w:val="single" w:sz="4" w:space="0" w:color="auto"/>
              <w:right w:val="nil"/>
            </w:tcBorders>
            <w:shd w:val="clear" w:color="auto" w:fill="auto"/>
          </w:tcPr>
          <w:p w14:paraId="78C7E58B" w14:textId="77777777" w:rsidR="00491327" w:rsidRPr="00C9743F" w:rsidRDefault="00491327" w:rsidP="00491327">
            <w:pPr>
              <w:spacing w:after="0" w:line="140" w:lineRule="exact"/>
              <w:jc w:val="right"/>
              <w:rPr>
                <w:rFonts w:eastAsia="Times New Roman" w:cs="Arial"/>
                <w:b/>
                <w:bCs/>
                <w:sz w:val="18"/>
                <w:szCs w:val="18"/>
              </w:rPr>
            </w:pPr>
          </w:p>
        </w:tc>
      </w:tr>
      <w:tr w:rsidR="00491327" w:rsidRPr="00C9743F" w14:paraId="6B6AA734" w14:textId="77777777" w:rsidTr="00E45CA6">
        <w:trPr>
          <w:trHeight w:val="166"/>
        </w:trPr>
        <w:tc>
          <w:tcPr>
            <w:tcW w:w="6207" w:type="dxa"/>
            <w:tcBorders>
              <w:left w:val="nil"/>
              <w:right w:val="nil"/>
            </w:tcBorders>
            <w:shd w:val="clear" w:color="auto" w:fill="auto"/>
            <w:vAlign w:val="bottom"/>
          </w:tcPr>
          <w:p w14:paraId="3F499D39" w14:textId="77777777" w:rsidR="00491327" w:rsidRPr="00FB01C4" w:rsidRDefault="00491327" w:rsidP="00491327">
            <w:pPr>
              <w:spacing w:after="0" w:line="220" w:lineRule="exact"/>
              <w:rPr>
                <w:rFonts w:eastAsia="Times New Roman" w:cs="Arial"/>
                <w:b/>
                <w:bCs/>
                <w:sz w:val="18"/>
                <w:szCs w:val="18"/>
              </w:rPr>
            </w:pPr>
            <w:r w:rsidRPr="00FB01C4">
              <w:rPr>
                <w:rFonts w:eastAsia="Times New Roman" w:cs="Arial"/>
                <w:b/>
                <w:bCs/>
                <w:sz w:val="18"/>
                <w:szCs w:val="18"/>
              </w:rPr>
              <w:t>Ukupna sveobuhvatna dobit prije oporezivanja</w:t>
            </w:r>
          </w:p>
        </w:tc>
        <w:tc>
          <w:tcPr>
            <w:tcW w:w="1364" w:type="dxa"/>
            <w:tcBorders>
              <w:top w:val="single" w:sz="4" w:space="0" w:color="auto"/>
              <w:left w:val="nil"/>
              <w:bottom w:val="single" w:sz="12" w:space="0" w:color="auto"/>
              <w:right w:val="nil"/>
            </w:tcBorders>
            <w:shd w:val="clear" w:color="auto" w:fill="auto"/>
            <w:noWrap/>
          </w:tcPr>
          <w:p w14:paraId="06215965" w14:textId="173B641F" w:rsidR="00491327" w:rsidRPr="00C9743F" w:rsidRDefault="00491327" w:rsidP="00491327">
            <w:pPr>
              <w:spacing w:after="0" w:line="220" w:lineRule="exact"/>
              <w:jc w:val="right"/>
              <w:rPr>
                <w:rFonts w:eastAsia="Times New Roman" w:cs="Arial"/>
                <w:b/>
                <w:bCs/>
                <w:sz w:val="18"/>
                <w:szCs w:val="18"/>
              </w:rPr>
            </w:pPr>
            <w:r>
              <w:rPr>
                <w:rFonts w:ascii="Calibri" w:eastAsia="Times New Roman" w:hAnsi="Calibri" w:cs="Arial"/>
                <w:b/>
                <w:bCs/>
                <w:sz w:val="18"/>
                <w:szCs w:val="18"/>
              </w:rPr>
              <w:t>1.510</w:t>
            </w:r>
          </w:p>
        </w:tc>
        <w:tc>
          <w:tcPr>
            <w:tcW w:w="1184" w:type="dxa"/>
            <w:tcBorders>
              <w:top w:val="single" w:sz="4" w:space="0" w:color="auto"/>
              <w:left w:val="nil"/>
              <w:bottom w:val="single" w:sz="12" w:space="0" w:color="auto"/>
              <w:right w:val="nil"/>
            </w:tcBorders>
            <w:shd w:val="clear" w:color="auto" w:fill="auto"/>
          </w:tcPr>
          <w:p w14:paraId="486F2852" w14:textId="5C7CB6ED" w:rsidR="00491327" w:rsidRPr="00FB01C4" w:rsidRDefault="00491327" w:rsidP="00491327">
            <w:pPr>
              <w:spacing w:after="0" w:line="220" w:lineRule="exact"/>
              <w:jc w:val="right"/>
              <w:rPr>
                <w:rFonts w:eastAsia="Times New Roman" w:cs="Arial"/>
                <w:b/>
                <w:bCs/>
                <w:sz w:val="18"/>
                <w:szCs w:val="18"/>
              </w:rPr>
            </w:pPr>
            <w:r>
              <w:rPr>
                <w:rFonts w:cs="Arial"/>
                <w:b/>
                <w:bCs/>
                <w:sz w:val="18"/>
                <w:szCs w:val="18"/>
              </w:rPr>
              <w:t>871</w:t>
            </w:r>
          </w:p>
        </w:tc>
      </w:tr>
      <w:tr w:rsidR="00491327" w:rsidRPr="00C9743F" w14:paraId="014FDB22" w14:textId="77777777" w:rsidTr="00E45CA6">
        <w:trPr>
          <w:trHeight w:val="92"/>
        </w:trPr>
        <w:tc>
          <w:tcPr>
            <w:tcW w:w="6207" w:type="dxa"/>
            <w:tcBorders>
              <w:left w:val="nil"/>
              <w:right w:val="nil"/>
            </w:tcBorders>
            <w:shd w:val="clear" w:color="auto" w:fill="auto"/>
            <w:vAlign w:val="bottom"/>
          </w:tcPr>
          <w:p w14:paraId="759D78CA" w14:textId="77777777" w:rsidR="00491327" w:rsidRPr="00FB01C4" w:rsidRDefault="00491327" w:rsidP="00491327">
            <w:pPr>
              <w:spacing w:after="0" w:line="140" w:lineRule="exact"/>
              <w:rPr>
                <w:rFonts w:eastAsia="Times New Roman" w:cs="Arial"/>
                <w:bCs/>
                <w:sz w:val="18"/>
                <w:szCs w:val="18"/>
              </w:rPr>
            </w:pPr>
          </w:p>
        </w:tc>
        <w:tc>
          <w:tcPr>
            <w:tcW w:w="1364" w:type="dxa"/>
            <w:tcBorders>
              <w:top w:val="single" w:sz="12" w:space="0" w:color="auto"/>
              <w:left w:val="nil"/>
              <w:right w:val="nil"/>
            </w:tcBorders>
            <w:shd w:val="clear" w:color="auto" w:fill="auto"/>
            <w:noWrap/>
          </w:tcPr>
          <w:p w14:paraId="352FC3D0" w14:textId="77777777" w:rsidR="00491327" w:rsidRPr="00C9743F" w:rsidRDefault="00491327" w:rsidP="00491327">
            <w:pPr>
              <w:spacing w:after="0" w:line="140" w:lineRule="exact"/>
              <w:jc w:val="right"/>
              <w:rPr>
                <w:rFonts w:eastAsia="Times New Roman" w:cs="Arial"/>
                <w:bCs/>
                <w:sz w:val="18"/>
                <w:szCs w:val="18"/>
              </w:rPr>
            </w:pPr>
          </w:p>
        </w:tc>
        <w:tc>
          <w:tcPr>
            <w:tcW w:w="1184" w:type="dxa"/>
            <w:tcBorders>
              <w:top w:val="single" w:sz="12" w:space="0" w:color="auto"/>
              <w:left w:val="nil"/>
              <w:right w:val="nil"/>
            </w:tcBorders>
            <w:shd w:val="clear" w:color="auto" w:fill="auto"/>
          </w:tcPr>
          <w:p w14:paraId="0477C1BB" w14:textId="77777777" w:rsidR="00491327" w:rsidRPr="00C9743F" w:rsidRDefault="00491327" w:rsidP="00491327">
            <w:pPr>
              <w:spacing w:after="0" w:line="140" w:lineRule="exact"/>
              <w:jc w:val="right"/>
              <w:rPr>
                <w:rFonts w:eastAsia="Times New Roman" w:cs="Arial"/>
                <w:bCs/>
                <w:sz w:val="18"/>
                <w:szCs w:val="18"/>
              </w:rPr>
            </w:pPr>
          </w:p>
        </w:tc>
      </w:tr>
      <w:tr w:rsidR="00491327" w:rsidRPr="00C9743F" w14:paraId="4EB645D3" w14:textId="77777777" w:rsidTr="00E45CA6">
        <w:trPr>
          <w:trHeight w:val="93"/>
        </w:trPr>
        <w:tc>
          <w:tcPr>
            <w:tcW w:w="6207" w:type="dxa"/>
            <w:tcBorders>
              <w:left w:val="nil"/>
              <w:right w:val="nil"/>
            </w:tcBorders>
            <w:shd w:val="clear" w:color="auto" w:fill="auto"/>
            <w:vAlign w:val="bottom"/>
          </w:tcPr>
          <w:p w14:paraId="6F9663AB" w14:textId="77777777" w:rsidR="00491327" w:rsidRPr="00FB01C4" w:rsidRDefault="00491327" w:rsidP="00491327">
            <w:pPr>
              <w:spacing w:after="0" w:line="220" w:lineRule="exact"/>
              <w:rPr>
                <w:rFonts w:eastAsia="Times New Roman" w:cs="Arial"/>
                <w:b/>
                <w:bCs/>
                <w:sz w:val="18"/>
                <w:szCs w:val="18"/>
              </w:rPr>
            </w:pPr>
            <w:r w:rsidRPr="00FB01C4">
              <w:rPr>
                <w:rFonts w:eastAsia="Times New Roman" w:cs="Arial"/>
                <w:b/>
                <w:bCs/>
                <w:sz w:val="18"/>
                <w:szCs w:val="18"/>
              </w:rPr>
              <w:t>Ukupna sveobuhvatna dobit za raspodjelu:</w:t>
            </w:r>
          </w:p>
        </w:tc>
        <w:tc>
          <w:tcPr>
            <w:tcW w:w="1364" w:type="dxa"/>
            <w:tcBorders>
              <w:left w:val="nil"/>
              <w:right w:val="nil"/>
            </w:tcBorders>
            <w:shd w:val="clear" w:color="auto" w:fill="auto"/>
            <w:noWrap/>
          </w:tcPr>
          <w:p w14:paraId="777A796D" w14:textId="77777777" w:rsidR="00491327" w:rsidRPr="00C9743F" w:rsidRDefault="00491327" w:rsidP="00491327">
            <w:pPr>
              <w:spacing w:after="0" w:line="220" w:lineRule="exact"/>
              <w:jc w:val="right"/>
              <w:rPr>
                <w:rFonts w:eastAsia="Times New Roman" w:cs="Arial"/>
                <w:bCs/>
                <w:sz w:val="18"/>
                <w:szCs w:val="18"/>
              </w:rPr>
            </w:pPr>
          </w:p>
        </w:tc>
        <w:tc>
          <w:tcPr>
            <w:tcW w:w="1184" w:type="dxa"/>
            <w:tcBorders>
              <w:left w:val="nil"/>
              <w:right w:val="nil"/>
            </w:tcBorders>
            <w:shd w:val="clear" w:color="auto" w:fill="auto"/>
          </w:tcPr>
          <w:p w14:paraId="30913BF7" w14:textId="77777777" w:rsidR="00491327" w:rsidRPr="00C9743F" w:rsidRDefault="00491327" w:rsidP="00491327">
            <w:pPr>
              <w:spacing w:after="0" w:line="220" w:lineRule="exact"/>
              <w:jc w:val="right"/>
              <w:rPr>
                <w:rFonts w:eastAsia="Times New Roman" w:cs="Arial"/>
                <w:bCs/>
                <w:sz w:val="18"/>
                <w:szCs w:val="18"/>
              </w:rPr>
            </w:pPr>
          </w:p>
        </w:tc>
      </w:tr>
      <w:tr w:rsidR="00491327" w:rsidRPr="00C9743F" w14:paraId="72ABD8D5" w14:textId="77777777" w:rsidTr="00E45CA6">
        <w:trPr>
          <w:trHeight w:val="73"/>
        </w:trPr>
        <w:tc>
          <w:tcPr>
            <w:tcW w:w="6207" w:type="dxa"/>
            <w:tcBorders>
              <w:left w:val="nil"/>
              <w:right w:val="nil"/>
            </w:tcBorders>
            <w:shd w:val="clear" w:color="auto" w:fill="auto"/>
            <w:vAlign w:val="bottom"/>
          </w:tcPr>
          <w:p w14:paraId="41A19A5A" w14:textId="77777777" w:rsidR="00491327" w:rsidRPr="00FB01C4" w:rsidRDefault="00491327" w:rsidP="00491327">
            <w:pPr>
              <w:spacing w:after="0" w:line="220" w:lineRule="exact"/>
              <w:rPr>
                <w:rFonts w:eastAsia="Times New Roman" w:cs="Arial"/>
                <w:bCs/>
                <w:sz w:val="18"/>
                <w:szCs w:val="18"/>
              </w:rPr>
            </w:pPr>
            <w:r w:rsidRPr="00FB01C4">
              <w:rPr>
                <w:rFonts w:eastAsia="Times New Roman" w:cs="Arial"/>
                <w:bCs/>
                <w:sz w:val="18"/>
                <w:szCs w:val="18"/>
              </w:rPr>
              <w:t>Vlasnicima društva</w:t>
            </w:r>
          </w:p>
        </w:tc>
        <w:tc>
          <w:tcPr>
            <w:tcW w:w="1364" w:type="dxa"/>
            <w:tcBorders>
              <w:left w:val="nil"/>
              <w:bottom w:val="single" w:sz="12" w:space="0" w:color="auto"/>
              <w:right w:val="nil"/>
            </w:tcBorders>
            <w:shd w:val="clear" w:color="auto" w:fill="auto"/>
            <w:noWrap/>
          </w:tcPr>
          <w:p w14:paraId="6FAB3B58" w14:textId="37828EBF" w:rsidR="00491327" w:rsidRPr="00C9743F" w:rsidRDefault="00491327" w:rsidP="00491327">
            <w:pPr>
              <w:spacing w:after="0" w:line="220" w:lineRule="exact"/>
              <w:jc w:val="right"/>
              <w:rPr>
                <w:rFonts w:eastAsia="Times New Roman" w:cs="Arial"/>
                <w:bCs/>
                <w:sz w:val="18"/>
                <w:szCs w:val="18"/>
              </w:rPr>
            </w:pPr>
            <w:r>
              <w:rPr>
                <w:rFonts w:ascii="Calibri" w:eastAsia="Times New Roman" w:hAnsi="Calibri" w:cs="Arial"/>
                <w:bCs/>
                <w:sz w:val="18"/>
                <w:szCs w:val="18"/>
              </w:rPr>
              <w:t>1.510</w:t>
            </w:r>
          </w:p>
        </w:tc>
        <w:tc>
          <w:tcPr>
            <w:tcW w:w="1184" w:type="dxa"/>
            <w:tcBorders>
              <w:left w:val="nil"/>
              <w:bottom w:val="single" w:sz="12" w:space="0" w:color="auto"/>
              <w:right w:val="nil"/>
            </w:tcBorders>
            <w:shd w:val="clear" w:color="auto" w:fill="auto"/>
          </w:tcPr>
          <w:p w14:paraId="17109835" w14:textId="26AAF767" w:rsidR="00491327" w:rsidRPr="00FB01C4" w:rsidRDefault="00491327" w:rsidP="00491327">
            <w:pPr>
              <w:spacing w:after="0" w:line="220" w:lineRule="exact"/>
              <w:jc w:val="right"/>
              <w:rPr>
                <w:rFonts w:eastAsia="Times New Roman" w:cs="Arial"/>
                <w:bCs/>
                <w:sz w:val="18"/>
                <w:szCs w:val="18"/>
              </w:rPr>
            </w:pPr>
            <w:r>
              <w:rPr>
                <w:rFonts w:cs="Arial"/>
                <w:bCs/>
                <w:sz w:val="18"/>
                <w:szCs w:val="18"/>
              </w:rPr>
              <w:t>871</w:t>
            </w:r>
          </w:p>
        </w:tc>
      </w:tr>
    </w:tbl>
    <w:p w14:paraId="45AA4A55" w14:textId="77777777" w:rsidR="00EB5C92" w:rsidRPr="00EB5C92" w:rsidRDefault="00EB5C92" w:rsidP="00EB5C92">
      <w:pPr>
        <w:rPr>
          <w:rFonts w:eastAsia="Times New Roman" w:cs="Calibri"/>
          <w:lang w:eastAsia="hr-HR"/>
        </w:rPr>
      </w:pPr>
    </w:p>
    <w:p w14:paraId="36C7D037" w14:textId="77777777" w:rsidR="00D874CD" w:rsidRDefault="00D874CD" w:rsidP="00EB5C92">
      <w:pPr>
        <w:rPr>
          <w:rFonts w:eastAsia="Times New Roman" w:cs="Calibri"/>
          <w:lang w:eastAsia="hr-HR"/>
        </w:rPr>
        <w:sectPr w:rsidR="00D874CD" w:rsidSect="00AD6209">
          <w:headerReference w:type="default" r:id="rId137"/>
          <w:footerReference w:type="default" r:id="rId138"/>
          <w:headerReference w:type="first" r:id="rId139"/>
          <w:footerReference w:type="first" r:id="rId140"/>
          <w:pgSz w:w="11906" w:h="16838" w:code="9"/>
          <w:pgMar w:top="1418" w:right="1418" w:bottom="595" w:left="1134" w:header="709" w:footer="709" w:gutter="0"/>
          <w:cols w:space="708"/>
          <w:titlePg/>
          <w:docGrid w:linePitch="360"/>
        </w:sectPr>
      </w:pPr>
    </w:p>
    <w:p w14:paraId="30F26889" w14:textId="21F45E06" w:rsidR="00EB5C92" w:rsidRPr="00EB5C92" w:rsidRDefault="00EB5C92" w:rsidP="00EB5C92">
      <w:pPr>
        <w:rPr>
          <w:rFonts w:eastAsia="Times New Roman" w:cs="Calibri"/>
          <w:lang w:eastAsia="hr-HR"/>
        </w:rPr>
      </w:pPr>
    </w:p>
    <w:tbl>
      <w:tblPr>
        <w:tblpPr w:leftFromText="181" w:rightFromText="181" w:vertAnchor="text" w:horzAnchor="margin" w:tblpXSpec="center" w:tblpY="126"/>
        <w:tblW w:w="8472" w:type="dxa"/>
        <w:tblLayout w:type="fixed"/>
        <w:tblLook w:val="04A0" w:firstRow="1" w:lastRow="0" w:firstColumn="1" w:lastColumn="0" w:noHBand="0" w:noVBand="1"/>
      </w:tblPr>
      <w:tblGrid>
        <w:gridCol w:w="6062"/>
        <w:gridCol w:w="1134"/>
        <w:gridCol w:w="1276"/>
      </w:tblGrid>
      <w:tr w:rsidR="00D874CD" w:rsidRPr="002D31C7" w14:paraId="530A1289" w14:textId="77777777" w:rsidTr="00312975">
        <w:trPr>
          <w:trHeight w:val="119"/>
        </w:trPr>
        <w:tc>
          <w:tcPr>
            <w:tcW w:w="6062" w:type="dxa"/>
            <w:tcBorders>
              <w:left w:val="nil"/>
              <w:bottom w:val="nil"/>
              <w:right w:val="nil"/>
            </w:tcBorders>
            <w:shd w:val="clear" w:color="auto" w:fill="auto"/>
            <w:vAlign w:val="bottom"/>
          </w:tcPr>
          <w:p w14:paraId="3DAC6154" w14:textId="77777777" w:rsidR="00D874CD" w:rsidRPr="002D31C7" w:rsidRDefault="00D874CD" w:rsidP="00D874CD">
            <w:pPr>
              <w:spacing w:after="0" w:line="220" w:lineRule="exact"/>
              <w:rPr>
                <w:rFonts w:eastAsia="Times New Roman" w:cs="Arial"/>
                <w:b/>
                <w:bCs/>
                <w:sz w:val="18"/>
                <w:szCs w:val="18"/>
              </w:rPr>
            </w:pPr>
          </w:p>
        </w:tc>
        <w:tc>
          <w:tcPr>
            <w:tcW w:w="1134" w:type="dxa"/>
            <w:tcBorders>
              <w:left w:val="nil"/>
              <w:bottom w:val="nil"/>
              <w:right w:val="nil"/>
            </w:tcBorders>
            <w:shd w:val="clear" w:color="auto" w:fill="auto"/>
            <w:noWrap/>
            <w:vAlign w:val="bottom"/>
          </w:tcPr>
          <w:p w14:paraId="191EA39E" w14:textId="77777777" w:rsidR="00D874CD" w:rsidRPr="002D31C7" w:rsidRDefault="00D874CD" w:rsidP="00D874CD">
            <w:pPr>
              <w:spacing w:after="0" w:line="220" w:lineRule="exact"/>
              <w:jc w:val="right"/>
              <w:rPr>
                <w:rFonts w:eastAsia="Times New Roman" w:cs="Arial"/>
                <w:b/>
                <w:bCs/>
                <w:sz w:val="18"/>
                <w:szCs w:val="18"/>
              </w:rPr>
            </w:pPr>
            <w:r w:rsidRPr="00E45CA6">
              <w:rPr>
                <w:rFonts w:eastAsia="Times New Roman" w:cs="Arial"/>
                <w:b/>
                <w:bCs/>
                <w:sz w:val="18"/>
                <w:szCs w:val="18"/>
              </w:rPr>
              <w:t>3</w:t>
            </w:r>
            <w:r>
              <w:rPr>
                <w:rFonts w:eastAsia="Times New Roman" w:cs="Arial"/>
                <w:b/>
                <w:bCs/>
                <w:sz w:val="18"/>
                <w:szCs w:val="18"/>
              </w:rPr>
              <w:t>0</w:t>
            </w:r>
            <w:r w:rsidRPr="00E45CA6">
              <w:rPr>
                <w:rFonts w:eastAsia="Times New Roman" w:cs="Arial"/>
                <w:b/>
                <w:bCs/>
                <w:sz w:val="18"/>
                <w:szCs w:val="18"/>
              </w:rPr>
              <w:t>.</w:t>
            </w:r>
            <w:r>
              <w:rPr>
                <w:rFonts w:eastAsia="Times New Roman" w:cs="Arial"/>
                <w:b/>
                <w:bCs/>
                <w:sz w:val="18"/>
                <w:szCs w:val="18"/>
              </w:rPr>
              <w:t>6</w:t>
            </w:r>
            <w:r w:rsidRPr="00E45CA6">
              <w:rPr>
                <w:rFonts w:eastAsia="Times New Roman" w:cs="Arial"/>
                <w:b/>
                <w:bCs/>
                <w:sz w:val="18"/>
                <w:szCs w:val="18"/>
              </w:rPr>
              <w:t>.2017</w:t>
            </w:r>
            <w:r>
              <w:rPr>
                <w:rFonts w:eastAsia="Times New Roman" w:cs="Arial"/>
                <w:b/>
                <w:bCs/>
                <w:sz w:val="18"/>
                <w:szCs w:val="18"/>
              </w:rPr>
              <w:t>.</w:t>
            </w:r>
          </w:p>
        </w:tc>
        <w:tc>
          <w:tcPr>
            <w:tcW w:w="1276" w:type="dxa"/>
            <w:tcBorders>
              <w:left w:val="nil"/>
              <w:bottom w:val="nil"/>
              <w:right w:val="nil"/>
            </w:tcBorders>
            <w:vAlign w:val="bottom"/>
          </w:tcPr>
          <w:p w14:paraId="47779E8B" w14:textId="77777777" w:rsidR="00D874CD" w:rsidRPr="002D31C7" w:rsidRDefault="00D874CD" w:rsidP="00D874CD">
            <w:pPr>
              <w:spacing w:after="0" w:line="220" w:lineRule="exact"/>
              <w:jc w:val="right"/>
              <w:rPr>
                <w:rFonts w:eastAsia="Times New Roman" w:cs="Arial"/>
                <w:b/>
                <w:bCs/>
                <w:sz w:val="18"/>
                <w:szCs w:val="18"/>
              </w:rPr>
            </w:pPr>
            <w:r w:rsidRPr="002D31C7">
              <w:rPr>
                <w:rFonts w:eastAsia="Times New Roman" w:cs="Arial"/>
                <w:b/>
                <w:bCs/>
                <w:sz w:val="18"/>
                <w:szCs w:val="18"/>
              </w:rPr>
              <w:t>31.12.201</w:t>
            </w:r>
            <w:r>
              <w:rPr>
                <w:rFonts w:eastAsia="Times New Roman" w:cs="Arial"/>
                <w:b/>
                <w:bCs/>
                <w:sz w:val="18"/>
                <w:szCs w:val="18"/>
              </w:rPr>
              <w:t>6</w:t>
            </w:r>
            <w:r w:rsidRPr="002D31C7">
              <w:rPr>
                <w:rFonts w:eastAsia="Times New Roman" w:cs="Arial"/>
                <w:b/>
                <w:bCs/>
                <w:sz w:val="18"/>
                <w:szCs w:val="18"/>
              </w:rPr>
              <w:t>.</w:t>
            </w:r>
          </w:p>
        </w:tc>
      </w:tr>
      <w:tr w:rsidR="00D874CD" w:rsidRPr="002D31C7" w14:paraId="2069520E" w14:textId="77777777" w:rsidTr="00312975">
        <w:trPr>
          <w:trHeight w:val="59"/>
        </w:trPr>
        <w:tc>
          <w:tcPr>
            <w:tcW w:w="6062" w:type="dxa"/>
            <w:tcBorders>
              <w:top w:val="nil"/>
              <w:left w:val="nil"/>
              <w:bottom w:val="nil"/>
              <w:right w:val="nil"/>
            </w:tcBorders>
            <w:shd w:val="clear" w:color="auto" w:fill="auto"/>
            <w:vAlign w:val="bottom"/>
          </w:tcPr>
          <w:p w14:paraId="4475FC05" w14:textId="77777777" w:rsidR="00D874CD" w:rsidRPr="002D31C7" w:rsidRDefault="00D874CD" w:rsidP="00D874CD">
            <w:pPr>
              <w:spacing w:after="0" w:line="140" w:lineRule="exact"/>
              <w:rPr>
                <w:rFonts w:eastAsia="Times New Roman" w:cs="Arial"/>
                <w:sz w:val="18"/>
                <w:szCs w:val="18"/>
              </w:rPr>
            </w:pPr>
          </w:p>
        </w:tc>
        <w:tc>
          <w:tcPr>
            <w:tcW w:w="1134" w:type="dxa"/>
            <w:tcBorders>
              <w:top w:val="nil"/>
              <w:left w:val="nil"/>
              <w:bottom w:val="nil"/>
              <w:right w:val="nil"/>
            </w:tcBorders>
            <w:shd w:val="clear" w:color="auto" w:fill="auto"/>
            <w:noWrap/>
            <w:vAlign w:val="bottom"/>
          </w:tcPr>
          <w:p w14:paraId="7D521505" w14:textId="77777777" w:rsidR="00D874CD" w:rsidRPr="002D31C7" w:rsidRDefault="00D874CD" w:rsidP="00D874CD">
            <w:pPr>
              <w:spacing w:after="0" w:line="140" w:lineRule="exact"/>
              <w:rPr>
                <w:rFonts w:eastAsia="Times New Roman" w:cs="Arial"/>
                <w:sz w:val="18"/>
                <w:szCs w:val="18"/>
              </w:rPr>
            </w:pPr>
          </w:p>
        </w:tc>
        <w:tc>
          <w:tcPr>
            <w:tcW w:w="1276" w:type="dxa"/>
            <w:tcBorders>
              <w:top w:val="nil"/>
              <w:left w:val="nil"/>
              <w:bottom w:val="nil"/>
              <w:right w:val="nil"/>
            </w:tcBorders>
            <w:vAlign w:val="bottom"/>
          </w:tcPr>
          <w:p w14:paraId="50FD4C6A" w14:textId="77777777" w:rsidR="00D874CD" w:rsidRPr="002D31C7" w:rsidRDefault="00D874CD" w:rsidP="00D874CD">
            <w:pPr>
              <w:spacing w:after="0" w:line="140" w:lineRule="exact"/>
              <w:rPr>
                <w:rFonts w:eastAsia="Times New Roman" w:cs="Arial"/>
                <w:sz w:val="18"/>
                <w:szCs w:val="18"/>
              </w:rPr>
            </w:pPr>
          </w:p>
        </w:tc>
      </w:tr>
      <w:tr w:rsidR="00D874CD" w:rsidRPr="002D31C7" w14:paraId="5BBA935C" w14:textId="77777777" w:rsidTr="00312975">
        <w:trPr>
          <w:trHeight w:val="109"/>
        </w:trPr>
        <w:tc>
          <w:tcPr>
            <w:tcW w:w="6062" w:type="dxa"/>
            <w:tcBorders>
              <w:top w:val="nil"/>
              <w:left w:val="nil"/>
              <w:bottom w:val="nil"/>
              <w:right w:val="nil"/>
            </w:tcBorders>
            <w:shd w:val="clear" w:color="auto" w:fill="auto"/>
            <w:vAlign w:val="bottom"/>
          </w:tcPr>
          <w:p w14:paraId="037DAADF" w14:textId="77777777" w:rsidR="00D874CD" w:rsidRPr="002D31C7" w:rsidRDefault="00D874CD" w:rsidP="00D874CD">
            <w:pPr>
              <w:spacing w:after="0" w:line="220" w:lineRule="exact"/>
              <w:rPr>
                <w:rFonts w:eastAsia="Times New Roman" w:cs="Arial"/>
                <w:b/>
                <w:sz w:val="18"/>
                <w:szCs w:val="18"/>
              </w:rPr>
            </w:pPr>
            <w:r w:rsidRPr="002D31C7">
              <w:rPr>
                <w:rFonts w:eastAsia="Times New Roman" w:cs="Arial"/>
                <w:b/>
                <w:sz w:val="18"/>
                <w:szCs w:val="18"/>
              </w:rPr>
              <w:t>Imovina</w:t>
            </w:r>
          </w:p>
        </w:tc>
        <w:tc>
          <w:tcPr>
            <w:tcW w:w="1134" w:type="dxa"/>
            <w:tcBorders>
              <w:top w:val="nil"/>
              <w:left w:val="nil"/>
              <w:bottom w:val="nil"/>
              <w:right w:val="nil"/>
            </w:tcBorders>
            <w:shd w:val="clear" w:color="auto" w:fill="auto"/>
            <w:noWrap/>
            <w:vAlign w:val="bottom"/>
          </w:tcPr>
          <w:p w14:paraId="0710E0F1" w14:textId="77777777" w:rsidR="00D874CD" w:rsidRPr="002D31C7" w:rsidRDefault="00D874CD" w:rsidP="00D874CD">
            <w:pPr>
              <w:spacing w:after="0" w:line="220" w:lineRule="exact"/>
              <w:jc w:val="right"/>
              <w:rPr>
                <w:rFonts w:eastAsia="Times New Roman" w:cs="Arial"/>
                <w:sz w:val="18"/>
                <w:szCs w:val="18"/>
              </w:rPr>
            </w:pPr>
          </w:p>
        </w:tc>
        <w:tc>
          <w:tcPr>
            <w:tcW w:w="1276" w:type="dxa"/>
            <w:tcBorders>
              <w:top w:val="nil"/>
              <w:left w:val="nil"/>
              <w:bottom w:val="nil"/>
              <w:right w:val="nil"/>
            </w:tcBorders>
            <w:vAlign w:val="bottom"/>
          </w:tcPr>
          <w:p w14:paraId="2D922C4F" w14:textId="77777777" w:rsidR="00D874CD" w:rsidRPr="002D31C7" w:rsidRDefault="00D874CD" w:rsidP="00D874CD">
            <w:pPr>
              <w:spacing w:after="0" w:line="220" w:lineRule="exact"/>
              <w:jc w:val="right"/>
              <w:rPr>
                <w:rFonts w:eastAsia="Times New Roman" w:cs="Arial"/>
                <w:sz w:val="18"/>
                <w:szCs w:val="18"/>
              </w:rPr>
            </w:pPr>
          </w:p>
        </w:tc>
      </w:tr>
      <w:tr w:rsidR="00D874CD" w:rsidRPr="002D31C7" w14:paraId="324C0561" w14:textId="77777777" w:rsidTr="00312975">
        <w:trPr>
          <w:trHeight w:val="66"/>
        </w:trPr>
        <w:tc>
          <w:tcPr>
            <w:tcW w:w="6062" w:type="dxa"/>
            <w:tcBorders>
              <w:top w:val="nil"/>
              <w:left w:val="nil"/>
              <w:bottom w:val="nil"/>
              <w:right w:val="nil"/>
            </w:tcBorders>
            <w:shd w:val="clear" w:color="auto" w:fill="auto"/>
            <w:vAlign w:val="bottom"/>
          </w:tcPr>
          <w:p w14:paraId="1FB42743" w14:textId="77777777" w:rsidR="00D874CD" w:rsidRPr="002D31C7" w:rsidRDefault="00D874CD" w:rsidP="00D874CD">
            <w:pPr>
              <w:spacing w:after="0" w:line="220" w:lineRule="exact"/>
              <w:rPr>
                <w:rFonts w:eastAsia="Times New Roman" w:cs="Arial"/>
                <w:b/>
                <w:sz w:val="18"/>
                <w:szCs w:val="18"/>
              </w:rPr>
            </w:pPr>
            <w:r w:rsidRPr="002D31C7">
              <w:rPr>
                <w:rFonts w:eastAsia="Times New Roman" w:cs="Arial"/>
                <w:b/>
                <w:sz w:val="18"/>
                <w:szCs w:val="18"/>
              </w:rPr>
              <w:t>Dugotrajna imovina</w:t>
            </w:r>
          </w:p>
        </w:tc>
        <w:tc>
          <w:tcPr>
            <w:tcW w:w="1134" w:type="dxa"/>
            <w:tcBorders>
              <w:top w:val="nil"/>
              <w:left w:val="nil"/>
              <w:bottom w:val="nil"/>
              <w:right w:val="nil"/>
            </w:tcBorders>
            <w:shd w:val="clear" w:color="auto" w:fill="auto"/>
            <w:noWrap/>
            <w:vAlign w:val="bottom"/>
          </w:tcPr>
          <w:p w14:paraId="5D52EBF6" w14:textId="77777777" w:rsidR="00D874CD" w:rsidRPr="002D31C7" w:rsidRDefault="00D874CD" w:rsidP="00D874CD">
            <w:pPr>
              <w:spacing w:after="0" w:line="220" w:lineRule="exact"/>
              <w:jc w:val="right"/>
              <w:rPr>
                <w:rFonts w:eastAsia="Times New Roman" w:cs="Arial"/>
                <w:sz w:val="18"/>
                <w:szCs w:val="18"/>
              </w:rPr>
            </w:pPr>
          </w:p>
        </w:tc>
        <w:tc>
          <w:tcPr>
            <w:tcW w:w="1276" w:type="dxa"/>
            <w:tcBorders>
              <w:top w:val="nil"/>
              <w:left w:val="nil"/>
              <w:bottom w:val="nil"/>
              <w:right w:val="nil"/>
            </w:tcBorders>
            <w:vAlign w:val="bottom"/>
          </w:tcPr>
          <w:p w14:paraId="5133262A" w14:textId="77777777" w:rsidR="00D874CD" w:rsidRPr="002D31C7" w:rsidRDefault="00D874CD" w:rsidP="00D874CD">
            <w:pPr>
              <w:spacing w:after="0" w:line="220" w:lineRule="exact"/>
              <w:jc w:val="right"/>
              <w:rPr>
                <w:rFonts w:eastAsia="Times New Roman" w:cs="Arial"/>
                <w:sz w:val="18"/>
                <w:szCs w:val="18"/>
              </w:rPr>
            </w:pPr>
          </w:p>
        </w:tc>
      </w:tr>
      <w:tr w:rsidR="00491327" w:rsidRPr="002D31C7" w14:paraId="58121B24" w14:textId="77777777" w:rsidTr="00312975">
        <w:trPr>
          <w:trHeight w:val="180"/>
        </w:trPr>
        <w:tc>
          <w:tcPr>
            <w:tcW w:w="6062" w:type="dxa"/>
            <w:tcBorders>
              <w:top w:val="nil"/>
              <w:left w:val="nil"/>
              <w:bottom w:val="nil"/>
              <w:right w:val="nil"/>
            </w:tcBorders>
            <w:shd w:val="clear" w:color="auto" w:fill="auto"/>
            <w:vAlign w:val="bottom"/>
          </w:tcPr>
          <w:p w14:paraId="29773833" w14:textId="77777777" w:rsidR="00491327" w:rsidRPr="002D31C7" w:rsidRDefault="00491327" w:rsidP="00491327">
            <w:pPr>
              <w:spacing w:after="0" w:line="220" w:lineRule="exact"/>
              <w:rPr>
                <w:rFonts w:eastAsia="Times New Roman" w:cs="Arial"/>
                <w:sz w:val="18"/>
                <w:szCs w:val="18"/>
              </w:rPr>
            </w:pPr>
            <w:r w:rsidRPr="002D31C7">
              <w:rPr>
                <w:rFonts w:eastAsia="Times New Roman" w:cs="Arial"/>
                <w:sz w:val="18"/>
                <w:szCs w:val="18"/>
              </w:rPr>
              <w:t>Nekretnine i oprema</w:t>
            </w:r>
          </w:p>
        </w:tc>
        <w:tc>
          <w:tcPr>
            <w:tcW w:w="1134" w:type="dxa"/>
            <w:tcBorders>
              <w:top w:val="nil"/>
              <w:left w:val="nil"/>
              <w:bottom w:val="nil"/>
              <w:right w:val="nil"/>
            </w:tcBorders>
            <w:shd w:val="clear" w:color="auto" w:fill="auto"/>
            <w:noWrap/>
            <w:vAlign w:val="bottom"/>
          </w:tcPr>
          <w:p w14:paraId="5DB3CDD3" w14:textId="254D5915" w:rsidR="00491327" w:rsidRPr="002D31C7" w:rsidRDefault="00491327" w:rsidP="00491327">
            <w:pPr>
              <w:spacing w:after="0" w:line="220" w:lineRule="exact"/>
              <w:jc w:val="right"/>
              <w:rPr>
                <w:rFonts w:eastAsia="Times New Roman" w:cs="Arial"/>
                <w:sz w:val="18"/>
                <w:szCs w:val="18"/>
              </w:rPr>
            </w:pPr>
            <w:r>
              <w:rPr>
                <w:rFonts w:ascii="Calibri" w:eastAsia="Times New Roman" w:hAnsi="Calibri" w:cs="Arial"/>
                <w:sz w:val="18"/>
                <w:szCs w:val="18"/>
              </w:rPr>
              <w:t>64</w:t>
            </w:r>
          </w:p>
        </w:tc>
        <w:tc>
          <w:tcPr>
            <w:tcW w:w="1276" w:type="dxa"/>
            <w:tcBorders>
              <w:top w:val="nil"/>
              <w:left w:val="nil"/>
              <w:bottom w:val="nil"/>
              <w:right w:val="nil"/>
            </w:tcBorders>
            <w:shd w:val="clear" w:color="auto" w:fill="auto"/>
            <w:vAlign w:val="bottom"/>
          </w:tcPr>
          <w:p w14:paraId="55EBF490" w14:textId="77777777" w:rsidR="00491327" w:rsidRPr="002D31C7" w:rsidRDefault="00491327" w:rsidP="00491327">
            <w:pPr>
              <w:spacing w:after="0" w:line="220" w:lineRule="exact"/>
              <w:jc w:val="right"/>
              <w:rPr>
                <w:rFonts w:eastAsia="Times New Roman" w:cs="Arial"/>
                <w:sz w:val="18"/>
                <w:szCs w:val="18"/>
              </w:rPr>
            </w:pPr>
            <w:r w:rsidRPr="002A3E38">
              <w:rPr>
                <w:sz w:val="18"/>
                <w:szCs w:val="18"/>
              </w:rPr>
              <w:t>86</w:t>
            </w:r>
          </w:p>
        </w:tc>
      </w:tr>
      <w:tr w:rsidR="00491327" w:rsidRPr="002D31C7" w14:paraId="6827C5D1" w14:textId="77777777" w:rsidTr="00312975">
        <w:trPr>
          <w:trHeight w:val="180"/>
        </w:trPr>
        <w:tc>
          <w:tcPr>
            <w:tcW w:w="6062" w:type="dxa"/>
            <w:tcBorders>
              <w:top w:val="nil"/>
              <w:left w:val="nil"/>
              <w:bottom w:val="nil"/>
              <w:right w:val="nil"/>
            </w:tcBorders>
            <w:shd w:val="clear" w:color="auto" w:fill="auto"/>
            <w:vAlign w:val="bottom"/>
          </w:tcPr>
          <w:p w14:paraId="49A82452" w14:textId="77777777" w:rsidR="00491327" w:rsidRPr="002D31C7" w:rsidRDefault="00491327" w:rsidP="00491327">
            <w:pPr>
              <w:spacing w:after="0" w:line="220" w:lineRule="exact"/>
              <w:rPr>
                <w:rFonts w:eastAsia="Times New Roman" w:cs="Arial"/>
                <w:sz w:val="18"/>
                <w:szCs w:val="18"/>
              </w:rPr>
            </w:pPr>
            <w:r w:rsidRPr="002D31C7">
              <w:rPr>
                <w:rFonts w:eastAsia="Times New Roman" w:cs="Arial"/>
                <w:sz w:val="18"/>
                <w:szCs w:val="18"/>
              </w:rPr>
              <w:t>Nematerijalna imovina</w:t>
            </w:r>
          </w:p>
        </w:tc>
        <w:tc>
          <w:tcPr>
            <w:tcW w:w="1134" w:type="dxa"/>
            <w:tcBorders>
              <w:top w:val="nil"/>
              <w:left w:val="nil"/>
              <w:bottom w:val="nil"/>
              <w:right w:val="nil"/>
            </w:tcBorders>
            <w:shd w:val="clear" w:color="auto" w:fill="auto"/>
            <w:noWrap/>
            <w:vAlign w:val="bottom"/>
          </w:tcPr>
          <w:p w14:paraId="52863B60" w14:textId="235F33CE" w:rsidR="00491327" w:rsidRPr="002D31C7" w:rsidRDefault="00491327" w:rsidP="00491327">
            <w:pPr>
              <w:spacing w:after="0" w:line="220" w:lineRule="exact"/>
              <w:jc w:val="right"/>
              <w:rPr>
                <w:rFonts w:eastAsia="Times New Roman" w:cs="Arial"/>
                <w:sz w:val="18"/>
                <w:szCs w:val="18"/>
              </w:rPr>
            </w:pPr>
            <w:r>
              <w:rPr>
                <w:rFonts w:ascii="Calibri" w:eastAsia="Times New Roman" w:hAnsi="Calibri" w:cs="Arial"/>
                <w:sz w:val="18"/>
                <w:szCs w:val="18"/>
              </w:rPr>
              <w:t>6</w:t>
            </w:r>
          </w:p>
        </w:tc>
        <w:tc>
          <w:tcPr>
            <w:tcW w:w="1276" w:type="dxa"/>
            <w:tcBorders>
              <w:top w:val="nil"/>
              <w:left w:val="nil"/>
              <w:bottom w:val="nil"/>
              <w:right w:val="nil"/>
            </w:tcBorders>
            <w:shd w:val="clear" w:color="auto" w:fill="auto"/>
            <w:vAlign w:val="bottom"/>
          </w:tcPr>
          <w:p w14:paraId="02A0A6B3" w14:textId="77777777" w:rsidR="00491327" w:rsidRPr="002D31C7" w:rsidRDefault="00491327" w:rsidP="00491327">
            <w:pPr>
              <w:spacing w:after="0" w:line="220" w:lineRule="exact"/>
              <w:jc w:val="right"/>
              <w:rPr>
                <w:rFonts w:eastAsia="Times New Roman" w:cs="Arial"/>
                <w:sz w:val="18"/>
                <w:szCs w:val="18"/>
              </w:rPr>
            </w:pPr>
            <w:r w:rsidRPr="002A3E38">
              <w:rPr>
                <w:sz w:val="18"/>
                <w:szCs w:val="18"/>
              </w:rPr>
              <w:t>5</w:t>
            </w:r>
          </w:p>
        </w:tc>
      </w:tr>
      <w:tr w:rsidR="00491327" w:rsidRPr="002D31C7" w14:paraId="4344CB20" w14:textId="77777777" w:rsidTr="00312975">
        <w:trPr>
          <w:trHeight w:val="180"/>
        </w:trPr>
        <w:tc>
          <w:tcPr>
            <w:tcW w:w="6062" w:type="dxa"/>
            <w:tcBorders>
              <w:top w:val="nil"/>
              <w:left w:val="nil"/>
              <w:bottom w:val="nil"/>
              <w:right w:val="nil"/>
            </w:tcBorders>
            <w:shd w:val="clear" w:color="auto" w:fill="auto"/>
            <w:vAlign w:val="bottom"/>
          </w:tcPr>
          <w:p w14:paraId="58DCC3E2" w14:textId="77777777" w:rsidR="00491327" w:rsidRPr="002D31C7" w:rsidRDefault="00491327" w:rsidP="00491327">
            <w:pPr>
              <w:spacing w:after="0" w:line="220" w:lineRule="exact"/>
              <w:rPr>
                <w:rFonts w:eastAsia="Times New Roman" w:cs="Arial"/>
                <w:sz w:val="18"/>
                <w:szCs w:val="18"/>
              </w:rPr>
            </w:pPr>
            <w:r w:rsidRPr="002D31C7">
              <w:rPr>
                <w:rFonts w:eastAsia="Times New Roman" w:cs="Arial"/>
                <w:sz w:val="18"/>
                <w:szCs w:val="18"/>
              </w:rPr>
              <w:t>Ulaganja koja se drže do dospijeća</w:t>
            </w:r>
          </w:p>
        </w:tc>
        <w:tc>
          <w:tcPr>
            <w:tcW w:w="1134" w:type="dxa"/>
            <w:tcBorders>
              <w:top w:val="nil"/>
              <w:left w:val="nil"/>
              <w:bottom w:val="nil"/>
              <w:right w:val="nil"/>
            </w:tcBorders>
            <w:shd w:val="clear" w:color="auto" w:fill="auto"/>
            <w:noWrap/>
            <w:vAlign w:val="bottom"/>
          </w:tcPr>
          <w:p w14:paraId="2853A798" w14:textId="165320A8" w:rsidR="00491327" w:rsidRPr="002D31C7" w:rsidRDefault="00491327" w:rsidP="00491327">
            <w:pPr>
              <w:spacing w:after="0" w:line="220" w:lineRule="exact"/>
              <w:jc w:val="right"/>
              <w:rPr>
                <w:rFonts w:eastAsia="Times New Roman" w:cs="Arial"/>
                <w:sz w:val="18"/>
                <w:szCs w:val="18"/>
              </w:rPr>
            </w:pPr>
            <w:r>
              <w:rPr>
                <w:rFonts w:ascii="Calibri" w:eastAsia="Times New Roman" w:hAnsi="Calibri" w:cs="Arial"/>
                <w:sz w:val="18"/>
                <w:szCs w:val="18"/>
              </w:rPr>
              <w:t>1.390</w:t>
            </w:r>
          </w:p>
        </w:tc>
        <w:tc>
          <w:tcPr>
            <w:tcW w:w="1276" w:type="dxa"/>
            <w:tcBorders>
              <w:top w:val="nil"/>
              <w:left w:val="nil"/>
              <w:bottom w:val="nil"/>
              <w:right w:val="nil"/>
            </w:tcBorders>
            <w:shd w:val="clear" w:color="auto" w:fill="auto"/>
            <w:vAlign w:val="bottom"/>
          </w:tcPr>
          <w:p w14:paraId="2C513AAD" w14:textId="77777777" w:rsidR="00491327" w:rsidRPr="002D31C7" w:rsidRDefault="00491327" w:rsidP="00491327">
            <w:pPr>
              <w:spacing w:after="0" w:line="220" w:lineRule="exact"/>
              <w:jc w:val="right"/>
              <w:rPr>
                <w:rFonts w:eastAsia="Times New Roman" w:cs="Arial"/>
                <w:sz w:val="18"/>
                <w:szCs w:val="18"/>
              </w:rPr>
            </w:pPr>
            <w:r w:rsidRPr="002A3E38">
              <w:rPr>
                <w:sz w:val="18"/>
                <w:szCs w:val="18"/>
              </w:rPr>
              <w:t>1.422</w:t>
            </w:r>
          </w:p>
        </w:tc>
      </w:tr>
      <w:tr w:rsidR="00491327" w:rsidRPr="002D31C7" w14:paraId="7CFFC098" w14:textId="77777777" w:rsidTr="00312975">
        <w:trPr>
          <w:trHeight w:val="184"/>
        </w:trPr>
        <w:tc>
          <w:tcPr>
            <w:tcW w:w="6062" w:type="dxa"/>
            <w:tcBorders>
              <w:top w:val="nil"/>
              <w:left w:val="nil"/>
              <w:bottom w:val="nil"/>
              <w:right w:val="nil"/>
            </w:tcBorders>
            <w:shd w:val="clear" w:color="auto" w:fill="auto"/>
            <w:vAlign w:val="bottom"/>
          </w:tcPr>
          <w:p w14:paraId="41316104" w14:textId="77777777" w:rsidR="00491327" w:rsidRPr="002D31C7" w:rsidRDefault="00491327" w:rsidP="00491327">
            <w:pPr>
              <w:spacing w:after="0" w:line="220" w:lineRule="exact"/>
              <w:rPr>
                <w:rFonts w:eastAsia="Times New Roman" w:cs="Arial"/>
                <w:sz w:val="18"/>
                <w:szCs w:val="18"/>
              </w:rPr>
            </w:pPr>
            <w:r w:rsidRPr="002D31C7">
              <w:rPr>
                <w:rFonts w:eastAsia="Times New Roman" w:cs="Arial"/>
                <w:sz w:val="18"/>
                <w:szCs w:val="18"/>
              </w:rPr>
              <w:t>Odgođena porezna imovina</w:t>
            </w:r>
          </w:p>
        </w:tc>
        <w:tc>
          <w:tcPr>
            <w:tcW w:w="1134" w:type="dxa"/>
            <w:tcBorders>
              <w:top w:val="nil"/>
              <w:left w:val="nil"/>
              <w:bottom w:val="single" w:sz="4" w:space="0" w:color="auto"/>
              <w:right w:val="nil"/>
            </w:tcBorders>
            <w:shd w:val="clear" w:color="auto" w:fill="auto"/>
            <w:noWrap/>
            <w:vAlign w:val="bottom"/>
          </w:tcPr>
          <w:p w14:paraId="1E63C0DB" w14:textId="0E189710" w:rsidR="00491327" w:rsidRPr="002D31C7" w:rsidRDefault="00491327" w:rsidP="00491327">
            <w:pPr>
              <w:spacing w:after="0" w:line="220" w:lineRule="exact"/>
              <w:jc w:val="right"/>
              <w:rPr>
                <w:rFonts w:eastAsia="Times New Roman" w:cs="Arial"/>
                <w:sz w:val="18"/>
                <w:szCs w:val="18"/>
              </w:rPr>
            </w:pPr>
            <w:r>
              <w:rPr>
                <w:rFonts w:ascii="Calibri" w:eastAsia="Times New Roman" w:hAnsi="Calibri" w:cs="Arial"/>
                <w:sz w:val="18"/>
                <w:szCs w:val="18"/>
              </w:rPr>
              <w:t>247</w:t>
            </w:r>
          </w:p>
        </w:tc>
        <w:tc>
          <w:tcPr>
            <w:tcW w:w="1276" w:type="dxa"/>
            <w:tcBorders>
              <w:top w:val="nil"/>
              <w:left w:val="nil"/>
              <w:bottom w:val="single" w:sz="4" w:space="0" w:color="auto"/>
              <w:right w:val="nil"/>
            </w:tcBorders>
            <w:shd w:val="clear" w:color="auto" w:fill="auto"/>
            <w:vAlign w:val="bottom"/>
          </w:tcPr>
          <w:p w14:paraId="73EA4256" w14:textId="77777777" w:rsidR="00491327" w:rsidRPr="002D31C7" w:rsidRDefault="00491327" w:rsidP="00491327">
            <w:pPr>
              <w:spacing w:after="0" w:line="220" w:lineRule="exact"/>
              <w:jc w:val="right"/>
              <w:rPr>
                <w:rFonts w:eastAsia="Times New Roman" w:cs="Arial"/>
                <w:sz w:val="18"/>
                <w:szCs w:val="18"/>
              </w:rPr>
            </w:pPr>
            <w:r w:rsidRPr="002A3E38">
              <w:rPr>
                <w:sz w:val="18"/>
                <w:szCs w:val="18"/>
              </w:rPr>
              <w:t>54</w:t>
            </w:r>
          </w:p>
        </w:tc>
      </w:tr>
      <w:tr w:rsidR="00491327" w:rsidRPr="002D31C7" w14:paraId="338EFBF3" w14:textId="77777777" w:rsidTr="00312975">
        <w:trPr>
          <w:trHeight w:val="164"/>
        </w:trPr>
        <w:tc>
          <w:tcPr>
            <w:tcW w:w="6062" w:type="dxa"/>
            <w:tcBorders>
              <w:left w:val="nil"/>
              <w:right w:val="nil"/>
            </w:tcBorders>
            <w:shd w:val="clear" w:color="auto" w:fill="auto"/>
            <w:vAlign w:val="bottom"/>
          </w:tcPr>
          <w:p w14:paraId="7A8C8206" w14:textId="77777777" w:rsidR="00491327" w:rsidRPr="002D31C7" w:rsidRDefault="00491327" w:rsidP="00491327">
            <w:pPr>
              <w:spacing w:after="0" w:line="220" w:lineRule="exact"/>
              <w:rPr>
                <w:rFonts w:eastAsia="Times New Roman" w:cs="Arial"/>
                <w:b/>
                <w:sz w:val="18"/>
                <w:szCs w:val="18"/>
              </w:rPr>
            </w:pPr>
            <w:r w:rsidRPr="002D31C7">
              <w:rPr>
                <w:rFonts w:eastAsia="Times New Roman" w:cs="Arial"/>
                <w:b/>
                <w:sz w:val="18"/>
                <w:szCs w:val="18"/>
              </w:rPr>
              <w:t>Ukupna dugotrajna imovina</w:t>
            </w:r>
          </w:p>
        </w:tc>
        <w:tc>
          <w:tcPr>
            <w:tcW w:w="1134" w:type="dxa"/>
            <w:tcBorders>
              <w:top w:val="single" w:sz="4" w:space="0" w:color="auto"/>
              <w:left w:val="nil"/>
              <w:bottom w:val="single" w:sz="12" w:space="0" w:color="auto"/>
              <w:right w:val="nil"/>
            </w:tcBorders>
            <w:shd w:val="clear" w:color="auto" w:fill="auto"/>
            <w:noWrap/>
            <w:vAlign w:val="bottom"/>
          </w:tcPr>
          <w:p w14:paraId="7B65154A" w14:textId="33556AD1" w:rsidR="00491327" w:rsidRPr="002D31C7" w:rsidRDefault="00491327" w:rsidP="00491327">
            <w:pPr>
              <w:spacing w:after="0" w:line="220" w:lineRule="exact"/>
              <w:jc w:val="right"/>
              <w:rPr>
                <w:rFonts w:eastAsia="Times New Roman" w:cs="Arial"/>
                <w:b/>
                <w:bCs/>
                <w:sz w:val="18"/>
                <w:szCs w:val="18"/>
              </w:rPr>
            </w:pPr>
            <w:r>
              <w:rPr>
                <w:rFonts w:ascii="Calibri" w:eastAsia="Times New Roman" w:hAnsi="Calibri" w:cs="Arial"/>
                <w:b/>
                <w:bCs/>
                <w:sz w:val="18"/>
                <w:szCs w:val="18"/>
              </w:rPr>
              <w:t>1</w:t>
            </w:r>
            <w:r w:rsidR="00FA09F4">
              <w:rPr>
                <w:rFonts w:ascii="Calibri" w:eastAsia="Times New Roman" w:hAnsi="Calibri" w:cs="Arial"/>
                <w:b/>
                <w:bCs/>
                <w:sz w:val="18"/>
                <w:szCs w:val="18"/>
              </w:rPr>
              <w:t>.</w:t>
            </w:r>
            <w:r>
              <w:rPr>
                <w:rFonts w:ascii="Calibri" w:eastAsia="Times New Roman" w:hAnsi="Calibri" w:cs="Arial"/>
                <w:b/>
                <w:bCs/>
                <w:sz w:val="18"/>
                <w:szCs w:val="18"/>
              </w:rPr>
              <w:t>707</w:t>
            </w:r>
          </w:p>
        </w:tc>
        <w:tc>
          <w:tcPr>
            <w:tcW w:w="1276" w:type="dxa"/>
            <w:tcBorders>
              <w:top w:val="single" w:sz="4" w:space="0" w:color="auto"/>
              <w:left w:val="nil"/>
              <w:bottom w:val="single" w:sz="12" w:space="0" w:color="auto"/>
              <w:right w:val="nil"/>
            </w:tcBorders>
            <w:shd w:val="clear" w:color="auto" w:fill="auto"/>
            <w:vAlign w:val="bottom"/>
          </w:tcPr>
          <w:p w14:paraId="6FEEB47C" w14:textId="77777777" w:rsidR="00491327" w:rsidRPr="002D31C7" w:rsidRDefault="00491327" w:rsidP="00491327">
            <w:pPr>
              <w:spacing w:after="0" w:line="220" w:lineRule="exact"/>
              <w:jc w:val="right"/>
              <w:rPr>
                <w:rFonts w:eastAsia="Times New Roman" w:cs="Arial"/>
                <w:b/>
                <w:bCs/>
                <w:sz w:val="18"/>
                <w:szCs w:val="18"/>
              </w:rPr>
            </w:pPr>
            <w:r w:rsidRPr="00D952AA">
              <w:rPr>
                <w:rFonts w:cs="Arial"/>
                <w:b/>
                <w:bCs/>
                <w:sz w:val="18"/>
                <w:szCs w:val="18"/>
              </w:rPr>
              <w:t>1.567</w:t>
            </w:r>
          </w:p>
        </w:tc>
      </w:tr>
      <w:tr w:rsidR="00491327" w:rsidRPr="002D31C7" w14:paraId="7841256E" w14:textId="77777777" w:rsidTr="00312975">
        <w:trPr>
          <w:trHeight w:val="60"/>
        </w:trPr>
        <w:tc>
          <w:tcPr>
            <w:tcW w:w="6062" w:type="dxa"/>
            <w:tcBorders>
              <w:left w:val="nil"/>
              <w:bottom w:val="nil"/>
              <w:right w:val="nil"/>
            </w:tcBorders>
            <w:shd w:val="clear" w:color="auto" w:fill="auto"/>
            <w:vAlign w:val="bottom"/>
          </w:tcPr>
          <w:p w14:paraId="0F645958" w14:textId="77777777" w:rsidR="00491327" w:rsidRPr="002D31C7" w:rsidRDefault="00491327" w:rsidP="00491327">
            <w:pPr>
              <w:spacing w:after="0" w:line="140" w:lineRule="exact"/>
              <w:rPr>
                <w:rFonts w:eastAsia="Times New Roman" w:cs="Arial"/>
                <w:sz w:val="18"/>
                <w:szCs w:val="18"/>
              </w:rPr>
            </w:pPr>
          </w:p>
        </w:tc>
        <w:tc>
          <w:tcPr>
            <w:tcW w:w="1134" w:type="dxa"/>
            <w:tcBorders>
              <w:top w:val="single" w:sz="12" w:space="0" w:color="auto"/>
              <w:left w:val="nil"/>
              <w:bottom w:val="nil"/>
              <w:right w:val="nil"/>
            </w:tcBorders>
            <w:shd w:val="clear" w:color="auto" w:fill="auto"/>
            <w:noWrap/>
            <w:vAlign w:val="bottom"/>
          </w:tcPr>
          <w:p w14:paraId="17C44410" w14:textId="77777777" w:rsidR="00491327" w:rsidRPr="002D31C7" w:rsidRDefault="00491327" w:rsidP="00491327">
            <w:pPr>
              <w:spacing w:after="0" w:line="140" w:lineRule="exact"/>
              <w:jc w:val="right"/>
              <w:rPr>
                <w:rFonts w:eastAsia="Times New Roman" w:cs="Arial"/>
                <w:sz w:val="18"/>
                <w:szCs w:val="18"/>
              </w:rPr>
            </w:pPr>
          </w:p>
        </w:tc>
        <w:tc>
          <w:tcPr>
            <w:tcW w:w="1276" w:type="dxa"/>
            <w:tcBorders>
              <w:top w:val="single" w:sz="12" w:space="0" w:color="auto"/>
              <w:left w:val="nil"/>
              <w:bottom w:val="nil"/>
              <w:right w:val="nil"/>
            </w:tcBorders>
            <w:shd w:val="clear" w:color="auto" w:fill="auto"/>
            <w:vAlign w:val="bottom"/>
          </w:tcPr>
          <w:p w14:paraId="5F73CB0A" w14:textId="77777777" w:rsidR="00491327" w:rsidRPr="002D31C7" w:rsidRDefault="00491327" w:rsidP="00491327">
            <w:pPr>
              <w:spacing w:after="0" w:line="140" w:lineRule="exact"/>
              <w:jc w:val="right"/>
              <w:rPr>
                <w:rFonts w:eastAsia="Times New Roman" w:cs="Arial"/>
                <w:sz w:val="18"/>
                <w:szCs w:val="18"/>
              </w:rPr>
            </w:pPr>
          </w:p>
        </w:tc>
      </w:tr>
      <w:tr w:rsidR="00491327" w:rsidRPr="002D31C7" w14:paraId="0AECCD29" w14:textId="77777777" w:rsidTr="00312975">
        <w:trPr>
          <w:trHeight w:val="148"/>
        </w:trPr>
        <w:tc>
          <w:tcPr>
            <w:tcW w:w="6062" w:type="dxa"/>
            <w:tcBorders>
              <w:top w:val="nil"/>
              <w:left w:val="nil"/>
              <w:bottom w:val="nil"/>
              <w:right w:val="nil"/>
            </w:tcBorders>
            <w:shd w:val="clear" w:color="auto" w:fill="auto"/>
            <w:vAlign w:val="bottom"/>
          </w:tcPr>
          <w:p w14:paraId="7645F541" w14:textId="77777777" w:rsidR="00491327" w:rsidRPr="002D31C7" w:rsidRDefault="00491327" w:rsidP="00491327">
            <w:pPr>
              <w:spacing w:after="0" w:line="220" w:lineRule="exact"/>
              <w:rPr>
                <w:rFonts w:eastAsia="Times New Roman" w:cs="Arial"/>
                <w:b/>
                <w:sz w:val="18"/>
                <w:szCs w:val="18"/>
              </w:rPr>
            </w:pPr>
            <w:r w:rsidRPr="002D31C7">
              <w:rPr>
                <w:rFonts w:eastAsia="Times New Roman" w:cs="Arial"/>
                <w:b/>
                <w:sz w:val="18"/>
                <w:szCs w:val="18"/>
              </w:rPr>
              <w:t>Kratkotrajna imovina</w:t>
            </w:r>
          </w:p>
        </w:tc>
        <w:tc>
          <w:tcPr>
            <w:tcW w:w="1134" w:type="dxa"/>
            <w:tcBorders>
              <w:top w:val="nil"/>
              <w:left w:val="nil"/>
              <w:bottom w:val="nil"/>
              <w:right w:val="nil"/>
            </w:tcBorders>
            <w:shd w:val="clear" w:color="auto" w:fill="auto"/>
            <w:noWrap/>
            <w:vAlign w:val="bottom"/>
          </w:tcPr>
          <w:p w14:paraId="74DEA809" w14:textId="77777777" w:rsidR="00491327" w:rsidRPr="002D31C7" w:rsidRDefault="00491327" w:rsidP="00491327">
            <w:pPr>
              <w:spacing w:after="0" w:line="220" w:lineRule="exact"/>
              <w:jc w:val="right"/>
              <w:rPr>
                <w:rFonts w:eastAsia="Times New Roman" w:cs="Arial"/>
                <w:sz w:val="18"/>
                <w:szCs w:val="18"/>
              </w:rPr>
            </w:pPr>
          </w:p>
        </w:tc>
        <w:tc>
          <w:tcPr>
            <w:tcW w:w="1276" w:type="dxa"/>
            <w:tcBorders>
              <w:top w:val="nil"/>
              <w:left w:val="nil"/>
              <w:bottom w:val="nil"/>
              <w:right w:val="nil"/>
            </w:tcBorders>
            <w:shd w:val="clear" w:color="auto" w:fill="auto"/>
            <w:vAlign w:val="bottom"/>
          </w:tcPr>
          <w:p w14:paraId="1CE150FD" w14:textId="77777777" w:rsidR="00491327" w:rsidRPr="002D31C7" w:rsidRDefault="00491327" w:rsidP="00491327">
            <w:pPr>
              <w:spacing w:after="0" w:line="220" w:lineRule="exact"/>
              <w:jc w:val="right"/>
              <w:rPr>
                <w:rFonts w:eastAsia="Times New Roman" w:cs="Arial"/>
                <w:sz w:val="18"/>
                <w:szCs w:val="18"/>
              </w:rPr>
            </w:pPr>
          </w:p>
        </w:tc>
      </w:tr>
      <w:tr w:rsidR="00491327" w:rsidRPr="002D31C7" w14:paraId="659565F9" w14:textId="77777777" w:rsidTr="00312975">
        <w:trPr>
          <w:trHeight w:val="254"/>
        </w:trPr>
        <w:tc>
          <w:tcPr>
            <w:tcW w:w="6062" w:type="dxa"/>
            <w:tcBorders>
              <w:top w:val="nil"/>
              <w:left w:val="nil"/>
              <w:bottom w:val="nil"/>
              <w:right w:val="nil"/>
            </w:tcBorders>
            <w:shd w:val="clear" w:color="auto" w:fill="auto"/>
            <w:vAlign w:val="bottom"/>
          </w:tcPr>
          <w:p w14:paraId="398749CE" w14:textId="77777777" w:rsidR="00491327" w:rsidRPr="002D31C7" w:rsidRDefault="00491327" w:rsidP="00491327">
            <w:pPr>
              <w:spacing w:after="0" w:line="220" w:lineRule="exact"/>
              <w:rPr>
                <w:rFonts w:eastAsia="Times New Roman" w:cs="Arial"/>
                <w:sz w:val="18"/>
                <w:szCs w:val="18"/>
              </w:rPr>
            </w:pPr>
            <w:r w:rsidRPr="002D31C7">
              <w:rPr>
                <w:rFonts w:eastAsia="Times New Roman" w:cs="Arial"/>
                <w:sz w:val="18"/>
                <w:szCs w:val="18"/>
              </w:rPr>
              <w:t>Ulaganja raspoloživa za prodaju</w:t>
            </w:r>
          </w:p>
        </w:tc>
        <w:tc>
          <w:tcPr>
            <w:tcW w:w="1134" w:type="dxa"/>
            <w:tcBorders>
              <w:top w:val="nil"/>
              <w:left w:val="nil"/>
              <w:bottom w:val="nil"/>
              <w:right w:val="nil"/>
            </w:tcBorders>
            <w:shd w:val="clear" w:color="auto" w:fill="auto"/>
            <w:noWrap/>
            <w:vAlign w:val="bottom"/>
          </w:tcPr>
          <w:p w14:paraId="16272840" w14:textId="11B9EE09" w:rsidR="00491327" w:rsidRPr="002D31C7" w:rsidRDefault="00491327" w:rsidP="00491327">
            <w:pPr>
              <w:spacing w:after="0" w:line="220" w:lineRule="exact"/>
              <w:jc w:val="right"/>
              <w:rPr>
                <w:rFonts w:eastAsia="Times New Roman" w:cs="Arial"/>
                <w:sz w:val="18"/>
                <w:szCs w:val="18"/>
              </w:rPr>
            </w:pPr>
            <w:r>
              <w:rPr>
                <w:rFonts w:ascii="Calibri" w:eastAsia="Times New Roman" w:hAnsi="Calibri" w:cs="Arial"/>
                <w:sz w:val="18"/>
                <w:szCs w:val="18"/>
              </w:rPr>
              <w:t>49.224</w:t>
            </w:r>
          </w:p>
        </w:tc>
        <w:tc>
          <w:tcPr>
            <w:tcW w:w="1276" w:type="dxa"/>
            <w:tcBorders>
              <w:top w:val="nil"/>
              <w:left w:val="nil"/>
              <w:bottom w:val="nil"/>
              <w:right w:val="nil"/>
            </w:tcBorders>
            <w:shd w:val="clear" w:color="auto" w:fill="auto"/>
            <w:vAlign w:val="bottom"/>
          </w:tcPr>
          <w:p w14:paraId="773FCC81" w14:textId="77777777" w:rsidR="00491327" w:rsidRPr="002D31C7" w:rsidRDefault="00491327" w:rsidP="00491327">
            <w:pPr>
              <w:spacing w:after="0" w:line="220" w:lineRule="exact"/>
              <w:jc w:val="right"/>
              <w:rPr>
                <w:rFonts w:eastAsia="Times New Roman" w:cs="Arial"/>
                <w:sz w:val="18"/>
                <w:szCs w:val="18"/>
              </w:rPr>
            </w:pPr>
            <w:r w:rsidRPr="002A3E38">
              <w:rPr>
                <w:sz w:val="18"/>
                <w:szCs w:val="18"/>
              </w:rPr>
              <w:t>46.459</w:t>
            </w:r>
          </w:p>
        </w:tc>
      </w:tr>
      <w:tr w:rsidR="00491327" w:rsidRPr="002D31C7" w14:paraId="20C3422C" w14:textId="77777777" w:rsidTr="00312975">
        <w:trPr>
          <w:trHeight w:val="254"/>
        </w:trPr>
        <w:tc>
          <w:tcPr>
            <w:tcW w:w="6062" w:type="dxa"/>
            <w:tcBorders>
              <w:top w:val="nil"/>
              <w:left w:val="nil"/>
              <w:bottom w:val="nil"/>
              <w:right w:val="nil"/>
            </w:tcBorders>
            <w:shd w:val="clear" w:color="auto" w:fill="auto"/>
            <w:vAlign w:val="bottom"/>
          </w:tcPr>
          <w:p w14:paraId="2F75FE10" w14:textId="77777777" w:rsidR="00491327" w:rsidRPr="002D31C7" w:rsidRDefault="00491327" w:rsidP="00491327">
            <w:pPr>
              <w:spacing w:after="0" w:line="220" w:lineRule="exact"/>
              <w:rPr>
                <w:rFonts w:eastAsia="Times New Roman" w:cs="Arial"/>
                <w:sz w:val="18"/>
                <w:szCs w:val="18"/>
              </w:rPr>
            </w:pPr>
            <w:r w:rsidRPr="002D31C7">
              <w:rPr>
                <w:rFonts w:eastAsia="Times New Roman" w:cs="Arial"/>
                <w:sz w:val="18"/>
                <w:szCs w:val="18"/>
              </w:rPr>
              <w:t>Ulaganja po fer vrijednosti kroz IDG</w:t>
            </w:r>
          </w:p>
        </w:tc>
        <w:tc>
          <w:tcPr>
            <w:tcW w:w="1134" w:type="dxa"/>
            <w:tcBorders>
              <w:top w:val="nil"/>
              <w:left w:val="nil"/>
              <w:bottom w:val="nil"/>
              <w:right w:val="nil"/>
            </w:tcBorders>
            <w:shd w:val="clear" w:color="auto" w:fill="auto"/>
            <w:noWrap/>
            <w:vAlign w:val="bottom"/>
          </w:tcPr>
          <w:p w14:paraId="5CA08846" w14:textId="24ED9B2D" w:rsidR="00491327" w:rsidRPr="002D31C7" w:rsidRDefault="00491327" w:rsidP="00491327">
            <w:pPr>
              <w:spacing w:after="0" w:line="220" w:lineRule="exact"/>
              <w:jc w:val="right"/>
              <w:rPr>
                <w:rFonts w:eastAsia="Times New Roman" w:cs="Arial"/>
                <w:sz w:val="18"/>
                <w:szCs w:val="18"/>
              </w:rPr>
            </w:pPr>
            <w:r>
              <w:rPr>
                <w:rFonts w:ascii="Calibri" w:eastAsia="Times New Roman" w:hAnsi="Calibri" w:cs="Arial"/>
                <w:sz w:val="18"/>
                <w:szCs w:val="18"/>
              </w:rPr>
              <w:t>284</w:t>
            </w:r>
          </w:p>
        </w:tc>
        <w:tc>
          <w:tcPr>
            <w:tcW w:w="1276" w:type="dxa"/>
            <w:tcBorders>
              <w:top w:val="nil"/>
              <w:left w:val="nil"/>
              <w:bottom w:val="nil"/>
              <w:right w:val="nil"/>
            </w:tcBorders>
            <w:shd w:val="clear" w:color="auto" w:fill="auto"/>
            <w:vAlign w:val="bottom"/>
          </w:tcPr>
          <w:p w14:paraId="1598C4D1" w14:textId="77777777" w:rsidR="00491327" w:rsidRPr="002D31C7" w:rsidRDefault="00491327" w:rsidP="00491327">
            <w:pPr>
              <w:spacing w:after="0" w:line="220" w:lineRule="exact"/>
              <w:jc w:val="right"/>
              <w:rPr>
                <w:rFonts w:eastAsia="Times New Roman" w:cs="Arial"/>
                <w:sz w:val="18"/>
                <w:szCs w:val="18"/>
              </w:rPr>
            </w:pPr>
            <w:r w:rsidRPr="002A3E38">
              <w:rPr>
                <w:sz w:val="18"/>
                <w:szCs w:val="18"/>
              </w:rPr>
              <w:t>286</w:t>
            </w:r>
          </w:p>
        </w:tc>
      </w:tr>
      <w:tr w:rsidR="00491327" w:rsidRPr="002D31C7" w14:paraId="7BB6CAC6" w14:textId="77777777" w:rsidTr="00312975">
        <w:trPr>
          <w:trHeight w:val="254"/>
        </w:trPr>
        <w:tc>
          <w:tcPr>
            <w:tcW w:w="6062" w:type="dxa"/>
            <w:tcBorders>
              <w:top w:val="nil"/>
              <w:left w:val="nil"/>
              <w:bottom w:val="nil"/>
              <w:right w:val="nil"/>
            </w:tcBorders>
            <w:shd w:val="clear" w:color="auto" w:fill="auto"/>
            <w:vAlign w:val="bottom"/>
          </w:tcPr>
          <w:p w14:paraId="7DCE46F5" w14:textId="77777777" w:rsidR="00491327" w:rsidRPr="002D31C7" w:rsidRDefault="00491327" w:rsidP="00491327">
            <w:pPr>
              <w:spacing w:after="0" w:line="220" w:lineRule="exact"/>
              <w:rPr>
                <w:rFonts w:eastAsia="Times New Roman" w:cs="Arial"/>
                <w:sz w:val="18"/>
                <w:szCs w:val="18"/>
              </w:rPr>
            </w:pPr>
            <w:r w:rsidRPr="002D31C7">
              <w:rPr>
                <w:rFonts w:eastAsia="Times New Roman" w:cs="Arial"/>
                <w:sz w:val="18"/>
                <w:szCs w:val="18"/>
              </w:rPr>
              <w:t>Potraživanja iz poslova osiguranja</w:t>
            </w:r>
          </w:p>
        </w:tc>
        <w:tc>
          <w:tcPr>
            <w:tcW w:w="1134" w:type="dxa"/>
            <w:tcBorders>
              <w:top w:val="nil"/>
              <w:left w:val="nil"/>
              <w:bottom w:val="nil"/>
              <w:right w:val="nil"/>
            </w:tcBorders>
            <w:shd w:val="clear" w:color="auto" w:fill="auto"/>
            <w:noWrap/>
            <w:vAlign w:val="bottom"/>
          </w:tcPr>
          <w:p w14:paraId="6D850EF3" w14:textId="4A66C0E6" w:rsidR="00491327" w:rsidRPr="002D31C7" w:rsidRDefault="00491327" w:rsidP="00491327">
            <w:pPr>
              <w:spacing w:after="0" w:line="220" w:lineRule="exact"/>
              <w:jc w:val="right"/>
              <w:rPr>
                <w:rFonts w:eastAsia="Times New Roman" w:cs="Arial"/>
                <w:sz w:val="18"/>
                <w:szCs w:val="18"/>
              </w:rPr>
            </w:pPr>
            <w:r>
              <w:rPr>
                <w:rFonts w:ascii="Calibri" w:eastAsia="Times New Roman" w:hAnsi="Calibri" w:cs="Arial"/>
                <w:sz w:val="18"/>
                <w:szCs w:val="18"/>
              </w:rPr>
              <w:t>1.185</w:t>
            </w:r>
          </w:p>
        </w:tc>
        <w:tc>
          <w:tcPr>
            <w:tcW w:w="1276" w:type="dxa"/>
            <w:tcBorders>
              <w:top w:val="nil"/>
              <w:left w:val="nil"/>
              <w:bottom w:val="nil"/>
              <w:right w:val="nil"/>
            </w:tcBorders>
            <w:shd w:val="clear" w:color="auto" w:fill="auto"/>
            <w:vAlign w:val="bottom"/>
          </w:tcPr>
          <w:p w14:paraId="249B7A7D" w14:textId="77777777" w:rsidR="00491327" w:rsidRPr="002D31C7" w:rsidRDefault="00491327" w:rsidP="00491327">
            <w:pPr>
              <w:spacing w:after="0" w:line="220" w:lineRule="exact"/>
              <w:jc w:val="right"/>
              <w:rPr>
                <w:rFonts w:eastAsia="Times New Roman" w:cs="Arial"/>
                <w:sz w:val="18"/>
                <w:szCs w:val="18"/>
              </w:rPr>
            </w:pPr>
            <w:r w:rsidRPr="002A3E38">
              <w:rPr>
                <w:sz w:val="18"/>
                <w:szCs w:val="18"/>
              </w:rPr>
              <w:t>985</w:t>
            </w:r>
          </w:p>
        </w:tc>
      </w:tr>
      <w:tr w:rsidR="00491327" w:rsidRPr="002D31C7" w14:paraId="457EFD83" w14:textId="77777777" w:rsidTr="00312975">
        <w:trPr>
          <w:trHeight w:val="254"/>
        </w:trPr>
        <w:tc>
          <w:tcPr>
            <w:tcW w:w="6062" w:type="dxa"/>
            <w:tcBorders>
              <w:top w:val="nil"/>
              <w:left w:val="nil"/>
              <w:bottom w:val="nil"/>
              <w:right w:val="nil"/>
            </w:tcBorders>
            <w:shd w:val="clear" w:color="auto" w:fill="auto"/>
            <w:vAlign w:val="bottom"/>
          </w:tcPr>
          <w:p w14:paraId="2E8E0511" w14:textId="77777777" w:rsidR="00491327" w:rsidRPr="002D31C7" w:rsidRDefault="00491327" w:rsidP="00491327">
            <w:pPr>
              <w:spacing w:after="0" w:line="220" w:lineRule="exact"/>
              <w:rPr>
                <w:rFonts w:eastAsia="Times New Roman" w:cs="Arial"/>
                <w:sz w:val="18"/>
                <w:szCs w:val="18"/>
              </w:rPr>
            </w:pPr>
            <w:r w:rsidRPr="002D31C7">
              <w:rPr>
                <w:rFonts w:eastAsia="Times New Roman" w:cs="Arial"/>
                <w:sz w:val="18"/>
                <w:szCs w:val="18"/>
              </w:rPr>
              <w:t>Ostala potraživanja</w:t>
            </w:r>
          </w:p>
        </w:tc>
        <w:tc>
          <w:tcPr>
            <w:tcW w:w="1134" w:type="dxa"/>
            <w:tcBorders>
              <w:top w:val="nil"/>
              <w:left w:val="nil"/>
              <w:bottom w:val="nil"/>
              <w:right w:val="nil"/>
            </w:tcBorders>
            <w:shd w:val="clear" w:color="auto" w:fill="auto"/>
            <w:noWrap/>
            <w:vAlign w:val="bottom"/>
          </w:tcPr>
          <w:p w14:paraId="19652FD3" w14:textId="63031031" w:rsidR="00491327" w:rsidRPr="002D31C7" w:rsidRDefault="00491327" w:rsidP="00491327">
            <w:pPr>
              <w:spacing w:after="0" w:line="220" w:lineRule="exact"/>
              <w:jc w:val="right"/>
              <w:rPr>
                <w:rFonts w:eastAsia="Times New Roman" w:cs="Arial"/>
                <w:sz w:val="18"/>
                <w:szCs w:val="18"/>
              </w:rPr>
            </w:pPr>
            <w:r>
              <w:rPr>
                <w:rFonts w:ascii="Calibri" w:eastAsia="Times New Roman" w:hAnsi="Calibri" w:cs="Arial"/>
                <w:sz w:val="18"/>
                <w:szCs w:val="18"/>
              </w:rPr>
              <w:t>336</w:t>
            </w:r>
          </w:p>
        </w:tc>
        <w:tc>
          <w:tcPr>
            <w:tcW w:w="1276" w:type="dxa"/>
            <w:tcBorders>
              <w:top w:val="nil"/>
              <w:left w:val="nil"/>
              <w:bottom w:val="nil"/>
              <w:right w:val="nil"/>
            </w:tcBorders>
            <w:shd w:val="clear" w:color="auto" w:fill="auto"/>
            <w:vAlign w:val="bottom"/>
          </w:tcPr>
          <w:p w14:paraId="59E8728A" w14:textId="77777777" w:rsidR="00491327" w:rsidRPr="002D31C7" w:rsidRDefault="00491327" w:rsidP="00491327">
            <w:pPr>
              <w:spacing w:after="0" w:line="220" w:lineRule="exact"/>
              <w:jc w:val="right"/>
              <w:rPr>
                <w:rFonts w:eastAsia="Times New Roman" w:cs="Arial"/>
                <w:sz w:val="18"/>
                <w:szCs w:val="18"/>
              </w:rPr>
            </w:pPr>
            <w:r w:rsidRPr="002A3E38">
              <w:rPr>
                <w:sz w:val="18"/>
                <w:szCs w:val="18"/>
              </w:rPr>
              <w:t>2.185</w:t>
            </w:r>
          </w:p>
        </w:tc>
      </w:tr>
      <w:tr w:rsidR="00491327" w:rsidRPr="002D31C7" w14:paraId="00B498D0" w14:textId="77777777" w:rsidTr="00312975">
        <w:trPr>
          <w:trHeight w:val="254"/>
        </w:trPr>
        <w:tc>
          <w:tcPr>
            <w:tcW w:w="6062" w:type="dxa"/>
            <w:tcBorders>
              <w:top w:val="nil"/>
              <w:left w:val="nil"/>
              <w:bottom w:val="nil"/>
              <w:right w:val="nil"/>
            </w:tcBorders>
            <w:shd w:val="clear" w:color="auto" w:fill="auto"/>
            <w:vAlign w:val="bottom"/>
          </w:tcPr>
          <w:p w14:paraId="33D05B37" w14:textId="77777777" w:rsidR="00491327" w:rsidRPr="002D31C7" w:rsidRDefault="00491327" w:rsidP="00491327">
            <w:pPr>
              <w:spacing w:after="0" w:line="220" w:lineRule="exact"/>
              <w:rPr>
                <w:rFonts w:eastAsia="Times New Roman" w:cs="Arial"/>
                <w:sz w:val="18"/>
                <w:szCs w:val="18"/>
              </w:rPr>
            </w:pPr>
            <w:r w:rsidRPr="002D31C7">
              <w:rPr>
                <w:rFonts w:eastAsia="Times New Roman" w:cs="Arial"/>
                <w:sz w:val="18"/>
                <w:szCs w:val="18"/>
              </w:rPr>
              <w:t>Novac i novčani ekvivalenti</w:t>
            </w:r>
          </w:p>
        </w:tc>
        <w:tc>
          <w:tcPr>
            <w:tcW w:w="1134" w:type="dxa"/>
            <w:tcBorders>
              <w:top w:val="nil"/>
              <w:left w:val="nil"/>
              <w:bottom w:val="single" w:sz="4" w:space="0" w:color="auto"/>
              <w:right w:val="nil"/>
            </w:tcBorders>
            <w:shd w:val="clear" w:color="auto" w:fill="auto"/>
            <w:noWrap/>
            <w:vAlign w:val="bottom"/>
          </w:tcPr>
          <w:p w14:paraId="5B48118A" w14:textId="07912370" w:rsidR="00491327" w:rsidRPr="002D31C7" w:rsidRDefault="00491327" w:rsidP="00491327">
            <w:pPr>
              <w:spacing w:after="0" w:line="220" w:lineRule="exact"/>
              <w:jc w:val="right"/>
              <w:rPr>
                <w:rFonts w:eastAsia="Times New Roman" w:cs="Arial"/>
                <w:sz w:val="18"/>
                <w:szCs w:val="18"/>
              </w:rPr>
            </w:pPr>
            <w:r>
              <w:rPr>
                <w:rFonts w:ascii="Calibri" w:eastAsia="Times New Roman" w:hAnsi="Calibri" w:cs="Arial"/>
                <w:sz w:val="18"/>
                <w:szCs w:val="18"/>
              </w:rPr>
              <w:t>1.258</w:t>
            </w:r>
          </w:p>
        </w:tc>
        <w:tc>
          <w:tcPr>
            <w:tcW w:w="1276" w:type="dxa"/>
            <w:tcBorders>
              <w:top w:val="nil"/>
              <w:left w:val="nil"/>
              <w:bottom w:val="single" w:sz="4" w:space="0" w:color="auto"/>
              <w:right w:val="nil"/>
            </w:tcBorders>
            <w:shd w:val="clear" w:color="auto" w:fill="auto"/>
            <w:vAlign w:val="bottom"/>
          </w:tcPr>
          <w:p w14:paraId="76D5BCB0" w14:textId="77777777" w:rsidR="00491327" w:rsidRPr="002D31C7" w:rsidRDefault="00491327" w:rsidP="00491327">
            <w:pPr>
              <w:spacing w:after="0" w:line="220" w:lineRule="exact"/>
              <w:jc w:val="right"/>
              <w:rPr>
                <w:rFonts w:eastAsia="Times New Roman" w:cs="Arial"/>
                <w:sz w:val="18"/>
                <w:szCs w:val="18"/>
              </w:rPr>
            </w:pPr>
            <w:r w:rsidRPr="002A3E38">
              <w:rPr>
                <w:sz w:val="18"/>
                <w:szCs w:val="18"/>
              </w:rPr>
              <w:t>551</w:t>
            </w:r>
          </w:p>
        </w:tc>
      </w:tr>
      <w:tr w:rsidR="00491327" w:rsidRPr="002D31C7" w14:paraId="3283D347" w14:textId="77777777" w:rsidTr="00312975">
        <w:trPr>
          <w:trHeight w:val="190"/>
        </w:trPr>
        <w:tc>
          <w:tcPr>
            <w:tcW w:w="6062" w:type="dxa"/>
            <w:tcBorders>
              <w:left w:val="nil"/>
              <w:right w:val="nil"/>
            </w:tcBorders>
            <w:shd w:val="clear" w:color="auto" w:fill="auto"/>
            <w:vAlign w:val="bottom"/>
          </w:tcPr>
          <w:p w14:paraId="2B571431" w14:textId="77777777" w:rsidR="00491327" w:rsidRPr="002D31C7" w:rsidRDefault="00491327" w:rsidP="00491327">
            <w:pPr>
              <w:spacing w:after="0" w:line="220" w:lineRule="exact"/>
              <w:rPr>
                <w:rFonts w:eastAsia="Times New Roman" w:cs="Arial"/>
                <w:b/>
                <w:bCs/>
                <w:sz w:val="18"/>
                <w:szCs w:val="18"/>
              </w:rPr>
            </w:pPr>
            <w:r w:rsidRPr="002D31C7">
              <w:rPr>
                <w:rFonts w:eastAsia="Times New Roman" w:cs="Arial"/>
                <w:b/>
                <w:bCs/>
                <w:sz w:val="18"/>
                <w:szCs w:val="18"/>
              </w:rPr>
              <w:t>Ukupna kratkotrajna imovina</w:t>
            </w:r>
          </w:p>
        </w:tc>
        <w:tc>
          <w:tcPr>
            <w:tcW w:w="1134" w:type="dxa"/>
            <w:tcBorders>
              <w:top w:val="single" w:sz="4" w:space="0" w:color="auto"/>
              <w:left w:val="nil"/>
              <w:bottom w:val="single" w:sz="12" w:space="0" w:color="auto"/>
              <w:right w:val="nil"/>
            </w:tcBorders>
            <w:shd w:val="clear" w:color="auto" w:fill="auto"/>
            <w:noWrap/>
            <w:vAlign w:val="bottom"/>
          </w:tcPr>
          <w:p w14:paraId="46AE7138" w14:textId="660927EC" w:rsidR="00491327" w:rsidRPr="002D31C7" w:rsidRDefault="00491327" w:rsidP="00491327">
            <w:pPr>
              <w:spacing w:after="0" w:line="220" w:lineRule="exact"/>
              <w:jc w:val="right"/>
              <w:rPr>
                <w:rFonts w:eastAsia="Times New Roman" w:cs="Arial"/>
                <w:b/>
                <w:bCs/>
                <w:sz w:val="18"/>
                <w:szCs w:val="18"/>
              </w:rPr>
            </w:pPr>
            <w:r>
              <w:rPr>
                <w:rFonts w:ascii="Calibri" w:eastAsia="Times New Roman" w:hAnsi="Calibri" w:cs="Arial"/>
                <w:b/>
                <w:bCs/>
                <w:sz w:val="18"/>
                <w:szCs w:val="18"/>
              </w:rPr>
              <w:t>52.287</w:t>
            </w:r>
          </w:p>
        </w:tc>
        <w:tc>
          <w:tcPr>
            <w:tcW w:w="1276" w:type="dxa"/>
            <w:tcBorders>
              <w:top w:val="single" w:sz="4" w:space="0" w:color="auto"/>
              <w:left w:val="nil"/>
              <w:bottom w:val="single" w:sz="12" w:space="0" w:color="auto"/>
              <w:right w:val="nil"/>
            </w:tcBorders>
            <w:shd w:val="clear" w:color="auto" w:fill="auto"/>
            <w:vAlign w:val="bottom"/>
          </w:tcPr>
          <w:p w14:paraId="2D3A5962" w14:textId="77777777" w:rsidR="00491327" w:rsidRPr="002D31C7" w:rsidRDefault="00491327" w:rsidP="00491327">
            <w:pPr>
              <w:spacing w:after="0" w:line="220" w:lineRule="exact"/>
              <w:jc w:val="right"/>
              <w:rPr>
                <w:rFonts w:eastAsia="Times New Roman" w:cs="Arial"/>
                <w:b/>
                <w:bCs/>
                <w:sz w:val="18"/>
                <w:szCs w:val="18"/>
              </w:rPr>
            </w:pPr>
            <w:r w:rsidRPr="00D952AA">
              <w:rPr>
                <w:rFonts w:cs="Arial"/>
                <w:b/>
                <w:bCs/>
                <w:sz w:val="18"/>
                <w:szCs w:val="18"/>
              </w:rPr>
              <w:t>50.466</w:t>
            </w:r>
          </w:p>
        </w:tc>
      </w:tr>
      <w:tr w:rsidR="00491327" w:rsidRPr="002D31C7" w14:paraId="2F7F05F9" w14:textId="77777777" w:rsidTr="00312975">
        <w:trPr>
          <w:trHeight w:val="56"/>
        </w:trPr>
        <w:tc>
          <w:tcPr>
            <w:tcW w:w="6062" w:type="dxa"/>
            <w:tcBorders>
              <w:left w:val="nil"/>
              <w:bottom w:val="nil"/>
              <w:right w:val="nil"/>
            </w:tcBorders>
            <w:shd w:val="clear" w:color="auto" w:fill="auto"/>
            <w:vAlign w:val="bottom"/>
          </w:tcPr>
          <w:p w14:paraId="064D19FF" w14:textId="77777777" w:rsidR="00491327" w:rsidRPr="002D31C7" w:rsidRDefault="00491327" w:rsidP="00491327">
            <w:pPr>
              <w:spacing w:after="0" w:line="140" w:lineRule="exact"/>
              <w:rPr>
                <w:rFonts w:eastAsia="Times New Roman" w:cs="Arial"/>
                <w:sz w:val="18"/>
                <w:szCs w:val="18"/>
              </w:rPr>
            </w:pPr>
          </w:p>
        </w:tc>
        <w:tc>
          <w:tcPr>
            <w:tcW w:w="1134" w:type="dxa"/>
            <w:tcBorders>
              <w:top w:val="single" w:sz="12" w:space="0" w:color="auto"/>
              <w:left w:val="nil"/>
              <w:bottom w:val="single" w:sz="4" w:space="0" w:color="auto"/>
              <w:right w:val="nil"/>
            </w:tcBorders>
            <w:shd w:val="clear" w:color="auto" w:fill="auto"/>
            <w:noWrap/>
            <w:vAlign w:val="bottom"/>
          </w:tcPr>
          <w:p w14:paraId="56EAFEE3" w14:textId="77777777" w:rsidR="00491327" w:rsidRPr="002D31C7" w:rsidRDefault="00491327" w:rsidP="00491327">
            <w:pPr>
              <w:spacing w:after="0" w:line="140" w:lineRule="exact"/>
              <w:jc w:val="right"/>
              <w:rPr>
                <w:rFonts w:eastAsia="Times New Roman" w:cs="Arial"/>
                <w:sz w:val="18"/>
                <w:szCs w:val="18"/>
              </w:rPr>
            </w:pPr>
          </w:p>
        </w:tc>
        <w:tc>
          <w:tcPr>
            <w:tcW w:w="1276" w:type="dxa"/>
            <w:tcBorders>
              <w:top w:val="single" w:sz="12" w:space="0" w:color="auto"/>
              <w:left w:val="nil"/>
              <w:bottom w:val="single" w:sz="4" w:space="0" w:color="auto"/>
              <w:right w:val="nil"/>
            </w:tcBorders>
            <w:shd w:val="clear" w:color="auto" w:fill="auto"/>
            <w:vAlign w:val="bottom"/>
          </w:tcPr>
          <w:p w14:paraId="10412D99" w14:textId="77777777" w:rsidR="00491327" w:rsidRPr="002D31C7" w:rsidRDefault="00491327" w:rsidP="00491327">
            <w:pPr>
              <w:spacing w:after="0" w:line="140" w:lineRule="exact"/>
              <w:jc w:val="right"/>
              <w:rPr>
                <w:rFonts w:eastAsia="Times New Roman" w:cs="Arial"/>
                <w:sz w:val="18"/>
                <w:szCs w:val="18"/>
              </w:rPr>
            </w:pPr>
          </w:p>
        </w:tc>
      </w:tr>
      <w:tr w:rsidR="00491327" w:rsidRPr="002D31C7" w14:paraId="4CE0419D" w14:textId="77777777" w:rsidTr="00312975">
        <w:trPr>
          <w:trHeight w:val="220"/>
        </w:trPr>
        <w:tc>
          <w:tcPr>
            <w:tcW w:w="6062" w:type="dxa"/>
            <w:tcBorders>
              <w:top w:val="nil"/>
              <w:left w:val="nil"/>
              <w:bottom w:val="nil"/>
              <w:right w:val="nil"/>
            </w:tcBorders>
            <w:shd w:val="clear" w:color="auto" w:fill="auto"/>
            <w:vAlign w:val="bottom"/>
          </w:tcPr>
          <w:p w14:paraId="3714EE8F" w14:textId="77777777" w:rsidR="00491327" w:rsidRPr="002D31C7" w:rsidRDefault="00491327" w:rsidP="00491327">
            <w:pPr>
              <w:spacing w:after="0" w:line="220" w:lineRule="exact"/>
              <w:rPr>
                <w:rFonts w:eastAsia="Times New Roman" w:cs="Arial"/>
                <w:b/>
                <w:bCs/>
                <w:sz w:val="18"/>
                <w:szCs w:val="18"/>
              </w:rPr>
            </w:pPr>
            <w:r w:rsidRPr="002D31C7">
              <w:rPr>
                <w:rFonts w:eastAsia="Times New Roman" w:cs="Arial"/>
                <w:b/>
                <w:bCs/>
                <w:sz w:val="18"/>
                <w:szCs w:val="18"/>
              </w:rPr>
              <w:t>Ukupna imovina</w:t>
            </w:r>
          </w:p>
        </w:tc>
        <w:tc>
          <w:tcPr>
            <w:tcW w:w="1134" w:type="dxa"/>
            <w:tcBorders>
              <w:top w:val="single" w:sz="4" w:space="0" w:color="auto"/>
              <w:left w:val="nil"/>
              <w:bottom w:val="single" w:sz="12" w:space="0" w:color="auto"/>
              <w:right w:val="nil"/>
            </w:tcBorders>
            <w:shd w:val="clear" w:color="auto" w:fill="auto"/>
            <w:noWrap/>
            <w:vAlign w:val="bottom"/>
          </w:tcPr>
          <w:p w14:paraId="3910BA44" w14:textId="084D7755" w:rsidR="00491327" w:rsidRPr="002D31C7" w:rsidRDefault="00491327" w:rsidP="00491327">
            <w:pPr>
              <w:spacing w:after="0" w:line="220" w:lineRule="exact"/>
              <w:jc w:val="right"/>
              <w:rPr>
                <w:rFonts w:cs="Arial"/>
                <w:b/>
                <w:sz w:val="18"/>
                <w:szCs w:val="18"/>
              </w:rPr>
            </w:pPr>
            <w:r>
              <w:rPr>
                <w:rFonts w:ascii="Calibri" w:eastAsia="Calibri" w:hAnsi="Calibri" w:cs="Arial"/>
                <w:b/>
                <w:sz w:val="18"/>
                <w:szCs w:val="18"/>
              </w:rPr>
              <w:t>53.994</w:t>
            </w:r>
          </w:p>
        </w:tc>
        <w:tc>
          <w:tcPr>
            <w:tcW w:w="1276" w:type="dxa"/>
            <w:tcBorders>
              <w:top w:val="single" w:sz="4" w:space="0" w:color="auto"/>
              <w:left w:val="nil"/>
              <w:bottom w:val="single" w:sz="12" w:space="0" w:color="auto"/>
              <w:right w:val="nil"/>
            </w:tcBorders>
            <w:shd w:val="clear" w:color="auto" w:fill="auto"/>
            <w:vAlign w:val="bottom"/>
          </w:tcPr>
          <w:p w14:paraId="51C6A622" w14:textId="77777777" w:rsidR="00491327" w:rsidRPr="002D31C7" w:rsidRDefault="00491327" w:rsidP="00491327">
            <w:pPr>
              <w:spacing w:after="0" w:line="220" w:lineRule="exact"/>
              <w:jc w:val="right"/>
              <w:rPr>
                <w:rFonts w:eastAsia="Times New Roman" w:cs="Arial"/>
                <w:b/>
                <w:bCs/>
                <w:sz w:val="18"/>
                <w:szCs w:val="18"/>
              </w:rPr>
            </w:pPr>
            <w:r w:rsidRPr="00D952AA">
              <w:rPr>
                <w:rFonts w:cs="Arial"/>
                <w:b/>
                <w:bCs/>
                <w:sz w:val="18"/>
                <w:szCs w:val="18"/>
              </w:rPr>
              <w:t>52.033</w:t>
            </w:r>
          </w:p>
        </w:tc>
      </w:tr>
      <w:tr w:rsidR="00491327" w:rsidRPr="002D31C7" w14:paraId="51CC69B6" w14:textId="77777777" w:rsidTr="00312975">
        <w:trPr>
          <w:trHeight w:val="74"/>
        </w:trPr>
        <w:tc>
          <w:tcPr>
            <w:tcW w:w="6062" w:type="dxa"/>
            <w:tcBorders>
              <w:top w:val="nil"/>
              <w:left w:val="nil"/>
              <w:bottom w:val="nil"/>
              <w:right w:val="nil"/>
            </w:tcBorders>
            <w:shd w:val="clear" w:color="auto" w:fill="auto"/>
            <w:vAlign w:val="bottom"/>
          </w:tcPr>
          <w:p w14:paraId="52420704" w14:textId="77777777" w:rsidR="00491327" w:rsidRPr="002D31C7" w:rsidRDefault="00491327" w:rsidP="00491327">
            <w:pPr>
              <w:spacing w:after="0" w:line="140" w:lineRule="exact"/>
              <w:rPr>
                <w:rFonts w:eastAsia="Times New Roman" w:cs="Arial"/>
                <w:sz w:val="18"/>
                <w:szCs w:val="18"/>
              </w:rPr>
            </w:pPr>
          </w:p>
        </w:tc>
        <w:tc>
          <w:tcPr>
            <w:tcW w:w="1134" w:type="dxa"/>
            <w:tcBorders>
              <w:top w:val="single" w:sz="12" w:space="0" w:color="auto"/>
              <w:left w:val="nil"/>
              <w:right w:val="nil"/>
            </w:tcBorders>
            <w:shd w:val="clear" w:color="auto" w:fill="auto"/>
            <w:noWrap/>
            <w:vAlign w:val="bottom"/>
          </w:tcPr>
          <w:p w14:paraId="4A13FC45" w14:textId="77777777" w:rsidR="00491327" w:rsidRPr="002D31C7" w:rsidRDefault="00491327" w:rsidP="00491327">
            <w:pPr>
              <w:spacing w:after="0" w:line="140" w:lineRule="exact"/>
              <w:jc w:val="right"/>
              <w:rPr>
                <w:rFonts w:eastAsia="Times New Roman" w:cs="Arial"/>
                <w:bCs/>
                <w:sz w:val="18"/>
                <w:szCs w:val="18"/>
              </w:rPr>
            </w:pPr>
          </w:p>
        </w:tc>
        <w:tc>
          <w:tcPr>
            <w:tcW w:w="1276" w:type="dxa"/>
            <w:tcBorders>
              <w:top w:val="single" w:sz="12" w:space="0" w:color="auto"/>
              <w:left w:val="nil"/>
              <w:right w:val="nil"/>
            </w:tcBorders>
            <w:shd w:val="clear" w:color="auto" w:fill="auto"/>
            <w:vAlign w:val="bottom"/>
          </w:tcPr>
          <w:p w14:paraId="7BC1B868" w14:textId="77777777" w:rsidR="00491327" w:rsidRPr="002D31C7" w:rsidRDefault="00491327" w:rsidP="00491327">
            <w:pPr>
              <w:spacing w:after="0" w:line="140" w:lineRule="exact"/>
              <w:jc w:val="right"/>
              <w:rPr>
                <w:rFonts w:eastAsia="Times New Roman" w:cs="Arial"/>
                <w:bCs/>
                <w:sz w:val="18"/>
                <w:szCs w:val="18"/>
              </w:rPr>
            </w:pPr>
          </w:p>
        </w:tc>
      </w:tr>
      <w:tr w:rsidR="00491327" w:rsidRPr="002D31C7" w14:paraId="12C329CF" w14:textId="77777777" w:rsidTr="00312975">
        <w:trPr>
          <w:trHeight w:val="196"/>
        </w:trPr>
        <w:tc>
          <w:tcPr>
            <w:tcW w:w="6062" w:type="dxa"/>
            <w:tcBorders>
              <w:top w:val="nil"/>
              <w:left w:val="nil"/>
              <w:bottom w:val="nil"/>
              <w:right w:val="nil"/>
            </w:tcBorders>
            <w:shd w:val="clear" w:color="auto" w:fill="auto"/>
            <w:vAlign w:val="bottom"/>
          </w:tcPr>
          <w:p w14:paraId="2A0055BE" w14:textId="77777777" w:rsidR="00491327" w:rsidRPr="002D31C7" w:rsidRDefault="00491327" w:rsidP="00491327">
            <w:pPr>
              <w:spacing w:after="0" w:line="220" w:lineRule="exact"/>
              <w:rPr>
                <w:rFonts w:eastAsia="Times New Roman" w:cs="Arial"/>
                <w:b/>
                <w:sz w:val="18"/>
                <w:szCs w:val="18"/>
              </w:rPr>
            </w:pPr>
            <w:r w:rsidRPr="002D31C7">
              <w:rPr>
                <w:rFonts w:eastAsia="Times New Roman" w:cs="Arial"/>
                <w:b/>
                <w:sz w:val="18"/>
                <w:szCs w:val="18"/>
              </w:rPr>
              <w:t>Kapital i obveze</w:t>
            </w:r>
          </w:p>
        </w:tc>
        <w:tc>
          <w:tcPr>
            <w:tcW w:w="1134" w:type="dxa"/>
            <w:tcBorders>
              <w:left w:val="nil"/>
              <w:bottom w:val="nil"/>
              <w:right w:val="nil"/>
            </w:tcBorders>
            <w:shd w:val="clear" w:color="auto" w:fill="auto"/>
            <w:noWrap/>
            <w:vAlign w:val="bottom"/>
          </w:tcPr>
          <w:p w14:paraId="69E61FB4" w14:textId="77777777" w:rsidR="00491327" w:rsidRPr="002D31C7" w:rsidRDefault="00491327" w:rsidP="00491327">
            <w:pPr>
              <w:spacing w:after="0" w:line="220" w:lineRule="exact"/>
              <w:jc w:val="right"/>
              <w:rPr>
                <w:rFonts w:eastAsia="Times New Roman" w:cs="Arial"/>
                <w:bCs/>
                <w:sz w:val="18"/>
                <w:szCs w:val="18"/>
              </w:rPr>
            </w:pPr>
          </w:p>
        </w:tc>
        <w:tc>
          <w:tcPr>
            <w:tcW w:w="1276" w:type="dxa"/>
            <w:tcBorders>
              <w:left w:val="nil"/>
              <w:bottom w:val="nil"/>
              <w:right w:val="nil"/>
            </w:tcBorders>
            <w:shd w:val="clear" w:color="auto" w:fill="auto"/>
            <w:vAlign w:val="bottom"/>
          </w:tcPr>
          <w:p w14:paraId="3C5B39BF" w14:textId="77777777" w:rsidR="00491327" w:rsidRPr="002D31C7" w:rsidRDefault="00491327" w:rsidP="00491327">
            <w:pPr>
              <w:spacing w:after="0" w:line="220" w:lineRule="exact"/>
              <w:jc w:val="right"/>
              <w:rPr>
                <w:rFonts w:eastAsia="Times New Roman" w:cs="Arial"/>
                <w:bCs/>
                <w:sz w:val="18"/>
                <w:szCs w:val="18"/>
              </w:rPr>
            </w:pPr>
          </w:p>
        </w:tc>
      </w:tr>
      <w:tr w:rsidR="00491327" w:rsidRPr="002D31C7" w14:paraId="4674BF47" w14:textId="77777777" w:rsidTr="00312975">
        <w:trPr>
          <w:trHeight w:val="186"/>
        </w:trPr>
        <w:tc>
          <w:tcPr>
            <w:tcW w:w="6062" w:type="dxa"/>
            <w:tcBorders>
              <w:top w:val="nil"/>
              <w:left w:val="nil"/>
              <w:right w:val="nil"/>
            </w:tcBorders>
            <w:shd w:val="clear" w:color="auto" w:fill="auto"/>
            <w:vAlign w:val="bottom"/>
          </w:tcPr>
          <w:p w14:paraId="6427A05F" w14:textId="77777777" w:rsidR="00491327" w:rsidRPr="002D31C7" w:rsidRDefault="00491327" w:rsidP="00491327">
            <w:pPr>
              <w:spacing w:after="0" w:line="220" w:lineRule="exact"/>
              <w:rPr>
                <w:rFonts w:eastAsia="Times New Roman" w:cs="Arial"/>
                <w:b/>
                <w:sz w:val="18"/>
                <w:szCs w:val="18"/>
              </w:rPr>
            </w:pPr>
            <w:r w:rsidRPr="002D31C7">
              <w:rPr>
                <w:rFonts w:eastAsia="Times New Roman" w:cs="Arial"/>
                <w:b/>
                <w:sz w:val="18"/>
                <w:szCs w:val="18"/>
              </w:rPr>
              <w:t>Kapital</w:t>
            </w:r>
          </w:p>
        </w:tc>
        <w:tc>
          <w:tcPr>
            <w:tcW w:w="1134" w:type="dxa"/>
            <w:tcBorders>
              <w:top w:val="nil"/>
              <w:left w:val="nil"/>
              <w:bottom w:val="nil"/>
              <w:right w:val="nil"/>
            </w:tcBorders>
            <w:shd w:val="clear" w:color="auto" w:fill="auto"/>
            <w:noWrap/>
            <w:vAlign w:val="bottom"/>
          </w:tcPr>
          <w:p w14:paraId="5F4042DD" w14:textId="77777777" w:rsidR="00491327" w:rsidRPr="002D31C7" w:rsidRDefault="00491327" w:rsidP="00491327">
            <w:pPr>
              <w:spacing w:after="0" w:line="220" w:lineRule="exact"/>
              <w:jc w:val="right"/>
              <w:rPr>
                <w:rFonts w:eastAsia="Times New Roman" w:cs="Arial"/>
                <w:sz w:val="18"/>
                <w:szCs w:val="18"/>
              </w:rPr>
            </w:pPr>
          </w:p>
        </w:tc>
        <w:tc>
          <w:tcPr>
            <w:tcW w:w="1276" w:type="dxa"/>
            <w:tcBorders>
              <w:top w:val="nil"/>
              <w:left w:val="nil"/>
              <w:bottom w:val="nil"/>
              <w:right w:val="nil"/>
            </w:tcBorders>
            <w:shd w:val="clear" w:color="auto" w:fill="auto"/>
            <w:vAlign w:val="bottom"/>
          </w:tcPr>
          <w:p w14:paraId="3F51F6C5" w14:textId="77777777" w:rsidR="00491327" w:rsidRPr="002D31C7" w:rsidRDefault="00491327" w:rsidP="00491327">
            <w:pPr>
              <w:spacing w:after="0" w:line="220" w:lineRule="exact"/>
              <w:jc w:val="right"/>
              <w:rPr>
                <w:rFonts w:eastAsia="Times New Roman" w:cs="Arial"/>
                <w:sz w:val="18"/>
                <w:szCs w:val="18"/>
              </w:rPr>
            </w:pPr>
          </w:p>
        </w:tc>
      </w:tr>
      <w:tr w:rsidR="00491327" w:rsidRPr="002D31C7" w14:paraId="648CD0E7" w14:textId="77777777" w:rsidTr="00312975">
        <w:trPr>
          <w:trHeight w:val="186"/>
        </w:trPr>
        <w:tc>
          <w:tcPr>
            <w:tcW w:w="6062" w:type="dxa"/>
            <w:tcBorders>
              <w:top w:val="nil"/>
              <w:left w:val="nil"/>
              <w:right w:val="nil"/>
            </w:tcBorders>
            <w:shd w:val="clear" w:color="auto" w:fill="auto"/>
            <w:vAlign w:val="bottom"/>
          </w:tcPr>
          <w:p w14:paraId="07DAED39" w14:textId="77777777" w:rsidR="00491327" w:rsidRPr="002D31C7" w:rsidRDefault="00491327" w:rsidP="00491327">
            <w:pPr>
              <w:spacing w:after="0" w:line="220" w:lineRule="exact"/>
              <w:rPr>
                <w:rFonts w:eastAsia="Times New Roman" w:cs="Arial"/>
                <w:sz w:val="18"/>
                <w:szCs w:val="18"/>
              </w:rPr>
            </w:pPr>
            <w:r w:rsidRPr="002D31C7">
              <w:rPr>
                <w:rFonts w:eastAsia="Times New Roman" w:cs="Arial"/>
                <w:sz w:val="18"/>
                <w:szCs w:val="18"/>
              </w:rPr>
              <w:t>Temeljni kapital</w:t>
            </w:r>
          </w:p>
        </w:tc>
        <w:tc>
          <w:tcPr>
            <w:tcW w:w="1134" w:type="dxa"/>
            <w:tcBorders>
              <w:top w:val="nil"/>
              <w:left w:val="nil"/>
              <w:bottom w:val="nil"/>
              <w:right w:val="nil"/>
            </w:tcBorders>
            <w:shd w:val="clear" w:color="auto" w:fill="auto"/>
            <w:noWrap/>
            <w:vAlign w:val="bottom"/>
          </w:tcPr>
          <w:p w14:paraId="74CB62CB" w14:textId="1EE7AF41" w:rsidR="00491327" w:rsidRPr="002D31C7" w:rsidRDefault="00491327" w:rsidP="00491327">
            <w:pPr>
              <w:spacing w:after="0" w:line="220" w:lineRule="exact"/>
              <w:jc w:val="right"/>
              <w:rPr>
                <w:rFonts w:eastAsia="Times New Roman" w:cs="Arial"/>
                <w:sz w:val="18"/>
                <w:szCs w:val="18"/>
              </w:rPr>
            </w:pPr>
            <w:r>
              <w:rPr>
                <w:rFonts w:ascii="Calibri" w:eastAsia="Times New Roman" w:hAnsi="Calibri" w:cs="Arial"/>
                <w:sz w:val="18"/>
                <w:szCs w:val="18"/>
              </w:rPr>
              <w:t>37.500</w:t>
            </w:r>
          </w:p>
        </w:tc>
        <w:tc>
          <w:tcPr>
            <w:tcW w:w="1276" w:type="dxa"/>
            <w:tcBorders>
              <w:top w:val="nil"/>
              <w:left w:val="nil"/>
              <w:bottom w:val="nil"/>
              <w:right w:val="nil"/>
            </w:tcBorders>
            <w:shd w:val="clear" w:color="auto" w:fill="auto"/>
            <w:vAlign w:val="bottom"/>
          </w:tcPr>
          <w:p w14:paraId="399A03B4" w14:textId="77777777" w:rsidR="00491327" w:rsidRPr="002D31C7" w:rsidRDefault="00491327" w:rsidP="00491327">
            <w:pPr>
              <w:spacing w:after="0" w:line="220" w:lineRule="exact"/>
              <w:jc w:val="right"/>
              <w:rPr>
                <w:rFonts w:eastAsia="Times New Roman" w:cs="Arial"/>
                <w:sz w:val="18"/>
                <w:szCs w:val="18"/>
              </w:rPr>
            </w:pPr>
            <w:r w:rsidRPr="002A3E38">
              <w:rPr>
                <w:sz w:val="18"/>
                <w:szCs w:val="18"/>
              </w:rPr>
              <w:t>37.500</w:t>
            </w:r>
          </w:p>
        </w:tc>
      </w:tr>
      <w:tr w:rsidR="00491327" w:rsidRPr="002D31C7" w14:paraId="1620EB26" w14:textId="77777777" w:rsidTr="00312975">
        <w:trPr>
          <w:trHeight w:val="186"/>
        </w:trPr>
        <w:tc>
          <w:tcPr>
            <w:tcW w:w="6062" w:type="dxa"/>
            <w:tcBorders>
              <w:top w:val="nil"/>
              <w:left w:val="nil"/>
              <w:right w:val="nil"/>
            </w:tcBorders>
            <w:shd w:val="clear" w:color="auto" w:fill="auto"/>
            <w:vAlign w:val="bottom"/>
          </w:tcPr>
          <w:p w14:paraId="093716D2" w14:textId="77777777" w:rsidR="00491327" w:rsidRPr="002D31C7" w:rsidRDefault="00491327" w:rsidP="00491327">
            <w:pPr>
              <w:spacing w:after="0" w:line="220" w:lineRule="exact"/>
              <w:rPr>
                <w:rFonts w:eastAsia="Times New Roman" w:cs="Arial"/>
                <w:sz w:val="18"/>
                <w:szCs w:val="18"/>
              </w:rPr>
            </w:pPr>
            <w:r w:rsidRPr="002D31C7">
              <w:rPr>
                <w:rFonts w:eastAsia="Times New Roman" w:cs="Arial"/>
                <w:sz w:val="18"/>
                <w:szCs w:val="18"/>
              </w:rPr>
              <w:t>Akumulirani gubitak</w:t>
            </w:r>
          </w:p>
        </w:tc>
        <w:tc>
          <w:tcPr>
            <w:tcW w:w="1134" w:type="dxa"/>
            <w:tcBorders>
              <w:top w:val="nil"/>
              <w:left w:val="nil"/>
              <w:bottom w:val="nil"/>
              <w:right w:val="nil"/>
            </w:tcBorders>
            <w:shd w:val="clear" w:color="auto" w:fill="auto"/>
            <w:noWrap/>
            <w:vAlign w:val="bottom"/>
          </w:tcPr>
          <w:p w14:paraId="21733528" w14:textId="393B0D02" w:rsidR="00491327" w:rsidRPr="002D31C7" w:rsidRDefault="00491327" w:rsidP="00491327">
            <w:pPr>
              <w:spacing w:after="0" w:line="220" w:lineRule="exact"/>
              <w:jc w:val="right"/>
              <w:rPr>
                <w:rFonts w:eastAsia="Times New Roman" w:cs="Arial"/>
                <w:sz w:val="18"/>
                <w:szCs w:val="18"/>
              </w:rPr>
            </w:pPr>
            <w:r>
              <w:rPr>
                <w:rFonts w:ascii="Calibri" w:eastAsia="Times New Roman" w:hAnsi="Calibri" w:cs="Arial"/>
                <w:sz w:val="18"/>
                <w:szCs w:val="18"/>
              </w:rPr>
              <w:t>1.167</w:t>
            </w:r>
          </w:p>
        </w:tc>
        <w:tc>
          <w:tcPr>
            <w:tcW w:w="1276" w:type="dxa"/>
            <w:tcBorders>
              <w:top w:val="nil"/>
              <w:left w:val="nil"/>
              <w:bottom w:val="nil"/>
              <w:right w:val="nil"/>
            </w:tcBorders>
            <w:shd w:val="clear" w:color="auto" w:fill="auto"/>
            <w:vAlign w:val="bottom"/>
          </w:tcPr>
          <w:p w14:paraId="5BCB0237" w14:textId="77777777" w:rsidR="00491327" w:rsidRPr="002D31C7" w:rsidRDefault="00491327" w:rsidP="00491327">
            <w:pPr>
              <w:spacing w:after="0" w:line="220" w:lineRule="exact"/>
              <w:jc w:val="right"/>
              <w:rPr>
                <w:rFonts w:eastAsia="Times New Roman" w:cs="Arial"/>
                <w:sz w:val="18"/>
                <w:szCs w:val="18"/>
              </w:rPr>
            </w:pPr>
            <w:r w:rsidRPr="00D952AA">
              <w:rPr>
                <w:sz w:val="18"/>
                <w:szCs w:val="18"/>
              </w:rPr>
              <w:t>(</w:t>
            </w:r>
            <w:r w:rsidRPr="002A3E38">
              <w:rPr>
                <w:sz w:val="18"/>
                <w:szCs w:val="18"/>
              </w:rPr>
              <w:t>148</w:t>
            </w:r>
            <w:r>
              <w:rPr>
                <w:sz w:val="18"/>
                <w:szCs w:val="18"/>
              </w:rPr>
              <w:t>)</w:t>
            </w:r>
          </w:p>
        </w:tc>
      </w:tr>
      <w:tr w:rsidR="00491327" w:rsidRPr="002D31C7" w14:paraId="792773DC" w14:textId="77777777" w:rsidTr="00312975">
        <w:trPr>
          <w:trHeight w:val="186"/>
        </w:trPr>
        <w:tc>
          <w:tcPr>
            <w:tcW w:w="6062" w:type="dxa"/>
            <w:tcBorders>
              <w:top w:val="nil"/>
              <w:left w:val="nil"/>
              <w:right w:val="nil"/>
            </w:tcBorders>
            <w:shd w:val="clear" w:color="auto" w:fill="auto"/>
            <w:vAlign w:val="bottom"/>
          </w:tcPr>
          <w:p w14:paraId="07E9CB41" w14:textId="77777777" w:rsidR="00491327" w:rsidRPr="002D31C7" w:rsidRDefault="00491327" w:rsidP="00491327">
            <w:pPr>
              <w:spacing w:after="0" w:line="220" w:lineRule="exact"/>
              <w:rPr>
                <w:rFonts w:eastAsia="Times New Roman" w:cs="Arial"/>
                <w:sz w:val="18"/>
                <w:szCs w:val="18"/>
              </w:rPr>
            </w:pPr>
            <w:r w:rsidRPr="002D31C7">
              <w:rPr>
                <w:rFonts w:eastAsia="Times New Roman" w:cs="Arial"/>
                <w:sz w:val="18"/>
                <w:szCs w:val="18"/>
              </w:rPr>
              <w:t>Ostale rezerve</w:t>
            </w:r>
          </w:p>
        </w:tc>
        <w:tc>
          <w:tcPr>
            <w:tcW w:w="1134" w:type="dxa"/>
            <w:tcBorders>
              <w:top w:val="nil"/>
              <w:left w:val="nil"/>
              <w:bottom w:val="nil"/>
              <w:right w:val="nil"/>
            </w:tcBorders>
            <w:shd w:val="clear" w:color="auto" w:fill="auto"/>
            <w:noWrap/>
            <w:vAlign w:val="bottom"/>
          </w:tcPr>
          <w:p w14:paraId="2F2723CD" w14:textId="296EC8A4" w:rsidR="00491327" w:rsidRPr="002D31C7" w:rsidRDefault="00491327" w:rsidP="00491327">
            <w:pPr>
              <w:spacing w:after="0" w:line="220" w:lineRule="exact"/>
              <w:jc w:val="right"/>
              <w:rPr>
                <w:rFonts w:eastAsia="Times New Roman" w:cs="Arial"/>
                <w:sz w:val="18"/>
                <w:szCs w:val="18"/>
              </w:rPr>
            </w:pPr>
            <w:r>
              <w:rPr>
                <w:rFonts w:ascii="Calibri" w:eastAsia="Times New Roman" w:hAnsi="Calibri" w:cs="Arial"/>
                <w:sz w:val="18"/>
                <w:szCs w:val="18"/>
              </w:rPr>
              <w:t>2.304</w:t>
            </w:r>
          </w:p>
        </w:tc>
        <w:tc>
          <w:tcPr>
            <w:tcW w:w="1276" w:type="dxa"/>
            <w:tcBorders>
              <w:top w:val="nil"/>
              <w:left w:val="nil"/>
              <w:bottom w:val="nil"/>
              <w:right w:val="nil"/>
            </w:tcBorders>
            <w:shd w:val="clear" w:color="auto" w:fill="auto"/>
            <w:vAlign w:val="bottom"/>
          </w:tcPr>
          <w:p w14:paraId="0B95493E" w14:textId="77777777" w:rsidR="00491327" w:rsidRPr="002D31C7" w:rsidRDefault="00491327" w:rsidP="00491327">
            <w:pPr>
              <w:spacing w:after="0" w:line="220" w:lineRule="exact"/>
              <w:jc w:val="right"/>
              <w:rPr>
                <w:rFonts w:eastAsia="Times New Roman" w:cs="Arial"/>
                <w:sz w:val="18"/>
                <w:szCs w:val="18"/>
              </w:rPr>
            </w:pPr>
            <w:r w:rsidRPr="002A3E38">
              <w:rPr>
                <w:sz w:val="18"/>
                <w:szCs w:val="18"/>
              </w:rPr>
              <w:t>2.188</w:t>
            </w:r>
          </w:p>
        </w:tc>
      </w:tr>
      <w:tr w:rsidR="00491327" w:rsidRPr="002D31C7" w14:paraId="14643109" w14:textId="77777777" w:rsidTr="00312975">
        <w:trPr>
          <w:trHeight w:val="186"/>
        </w:trPr>
        <w:tc>
          <w:tcPr>
            <w:tcW w:w="6062" w:type="dxa"/>
            <w:tcBorders>
              <w:top w:val="nil"/>
              <w:left w:val="nil"/>
              <w:right w:val="nil"/>
            </w:tcBorders>
            <w:shd w:val="clear" w:color="auto" w:fill="auto"/>
            <w:vAlign w:val="bottom"/>
          </w:tcPr>
          <w:p w14:paraId="7994C2CB" w14:textId="77777777" w:rsidR="00491327" w:rsidRPr="002D31C7" w:rsidRDefault="00491327" w:rsidP="00491327">
            <w:pPr>
              <w:spacing w:after="0" w:line="220" w:lineRule="exact"/>
              <w:rPr>
                <w:rFonts w:eastAsia="Times New Roman" w:cs="Arial"/>
                <w:sz w:val="18"/>
                <w:szCs w:val="18"/>
              </w:rPr>
            </w:pPr>
            <w:r w:rsidRPr="002D31C7">
              <w:rPr>
                <w:rFonts w:eastAsia="Times New Roman" w:cs="Arial"/>
                <w:sz w:val="18"/>
                <w:szCs w:val="18"/>
              </w:rPr>
              <w:t>Dobit tekućeg razdoblja</w:t>
            </w:r>
          </w:p>
        </w:tc>
        <w:tc>
          <w:tcPr>
            <w:tcW w:w="1134" w:type="dxa"/>
            <w:tcBorders>
              <w:top w:val="nil"/>
              <w:left w:val="nil"/>
              <w:bottom w:val="single" w:sz="4" w:space="0" w:color="auto"/>
              <w:right w:val="nil"/>
            </w:tcBorders>
            <w:shd w:val="clear" w:color="auto" w:fill="auto"/>
            <w:noWrap/>
            <w:vAlign w:val="bottom"/>
          </w:tcPr>
          <w:p w14:paraId="5B01D9F5" w14:textId="1A13F6ED" w:rsidR="00491327" w:rsidRPr="002D31C7" w:rsidRDefault="00491327" w:rsidP="00491327">
            <w:pPr>
              <w:spacing w:after="0" w:line="220" w:lineRule="exact"/>
              <w:jc w:val="right"/>
              <w:rPr>
                <w:rFonts w:eastAsia="Times New Roman" w:cs="Arial"/>
                <w:sz w:val="18"/>
                <w:szCs w:val="18"/>
              </w:rPr>
            </w:pPr>
            <w:r>
              <w:rPr>
                <w:rFonts w:ascii="Calibri" w:eastAsia="Times New Roman" w:hAnsi="Calibri" w:cs="Arial"/>
                <w:sz w:val="18"/>
                <w:szCs w:val="18"/>
              </w:rPr>
              <w:t>1.394</w:t>
            </w:r>
          </w:p>
        </w:tc>
        <w:tc>
          <w:tcPr>
            <w:tcW w:w="1276" w:type="dxa"/>
            <w:tcBorders>
              <w:top w:val="nil"/>
              <w:left w:val="nil"/>
              <w:bottom w:val="single" w:sz="4" w:space="0" w:color="auto"/>
              <w:right w:val="nil"/>
            </w:tcBorders>
            <w:shd w:val="clear" w:color="auto" w:fill="auto"/>
            <w:vAlign w:val="bottom"/>
          </w:tcPr>
          <w:p w14:paraId="711381B7" w14:textId="77777777" w:rsidR="00491327" w:rsidRPr="002D31C7" w:rsidRDefault="00491327" w:rsidP="00491327">
            <w:pPr>
              <w:spacing w:after="0" w:line="220" w:lineRule="exact"/>
              <w:jc w:val="right"/>
              <w:rPr>
                <w:rFonts w:eastAsia="Times New Roman" w:cs="Arial"/>
                <w:sz w:val="18"/>
                <w:szCs w:val="18"/>
              </w:rPr>
            </w:pPr>
            <w:r w:rsidRPr="002A3E38">
              <w:rPr>
                <w:sz w:val="18"/>
                <w:szCs w:val="18"/>
              </w:rPr>
              <w:t>1.315</w:t>
            </w:r>
          </w:p>
        </w:tc>
      </w:tr>
      <w:tr w:rsidR="00491327" w:rsidRPr="002D31C7" w14:paraId="171DB794" w14:textId="77777777" w:rsidTr="00312975">
        <w:trPr>
          <w:trHeight w:val="166"/>
        </w:trPr>
        <w:tc>
          <w:tcPr>
            <w:tcW w:w="6062" w:type="dxa"/>
            <w:tcBorders>
              <w:left w:val="nil"/>
              <w:right w:val="nil"/>
            </w:tcBorders>
            <w:shd w:val="clear" w:color="auto" w:fill="auto"/>
            <w:vAlign w:val="bottom"/>
          </w:tcPr>
          <w:p w14:paraId="62B9DAF1" w14:textId="77777777" w:rsidR="00491327" w:rsidRPr="002D31C7" w:rsidRDefault="00491327" w:rsidP="00491327">
            <w:pPr>
              <w:spacing w:after="0" w:line="220" w:lineRule="exact"/>
              <w:rPr>
                <w:rFonts w:eastAsia="Times New Roman" w:cs="Arial"/>
                <w:b/>
                <w:bCs/>
                <w:sz w:val="18"/>
                <w:szCs w:val="18"/>
              </w:rPr>
            </w:pPr>
            <w:r w:rsidRPr="002D31C7">
              <w:rPr>
                <w:rFonts w:eastAsia="Times New Roman" w:cs="Arial"/>
                <w:b/>
                <w:bCs/>
                <w:sz w:val="18"/>
                <w:szCs w:val="18"/>
              </w:rPr>
              <w:t>Ukupan kapital</w:t>
            </w:r>
          </w:p>
        </w:tc>
        <w:tc>
          <w:tcPr>
            <w:tcW w:w="1134" w:type="dxa"/>
            <w:tcBorders>
              <w:top w:val="single" w:sz="4" w:space="0" w:color="auto"/>
              <w:left w:val="nil"/>
              <w:bottom w:val="single" w:sz="12" w:space="0" w:color="auto"/>
              <w:right w:val="nil"/>
            </w:tcBorders>
            <w:shd w:val="clear" w:color="auto" w:fill="auto"/>
            <w:noWrap/>
            <w:vAlign w:val="bottom"/>
          </w:tcPr>
          <w:p w14:paraId="0F1143FE" w14:textId="0AF4902F" w:rsidR="00491327" w:rsidRPr="002D31C7" w:rsidRDefault="00491327" w:rsidP="00491327">
            <w:pPr>
              <w:spacing w:after="0" w:line="220" w:lineRule="exact"/>
              <w:jc w:val="right"/>
              <w:rPr>
                <w:rFonts w:eastAsia="Times New Roman" w:cs="Arial"/>
                <w:b/>
                <w:bCs/>
                <w:sz w:val="18"/>
                <w:szCs w:val="18"/>
              </w:rPr>
            </w:pPr>
            <w:r>
              <w:rPr>
                <w:rFonts w:ascii="Calibri" w:eastAsia="Times New Roman" w:hAnsi="Calibri" w:cs="Arial"/>
                <w:b/>
                <w:bCs/>
                <w:sz w:val="18"/>
                <w:szCs w:val="18"/>
              </w:rPr>
              <w:t>42.365</w:t>
            </w:r>
          </w:p>
        </w:tc>
        <w:tc>
          <w:tcPr>
            <w:tcW w:w="1276" w:type="dxa"/>
            <w:tcBorders>
              <w:top w:val="single" w:sz="4" w:space="0" w:color="auto"/>
              <w:left w:val="nil"/>
              <w:bottom w:val="single" w:sz="12" w:space="0" w:color="auto"/>
              <w:right w:val="nil"/>
            </w:tcBorders>
            <w:shd w:val="clear" w:color="auto" w:fill="auto"/>
            <w:vAlign w:val="bottom"/>
          </w:tcPr>
          <w:p w14:paraId="246A2517" w14:textId="77777777" w:rsidR="00491327" w:rsidRPr="002D31C7" w:rsidRDefault="00491327" w:rsidP="00491327">
            <w:pPr>
              <w:spacing w:after="0" w:line="220" w:lineRule="exact"/>
              <w:jc w:val="right"/>
              <w:rPr>
                <w:rFonts w:eastAsia="Times New Roman" w:cs="Arial"/>
                <w:b/>
                <w:bCs/>
                <w:sz w:val="18"/>
                <w:szCs w:val="18"/>
              </w:rPr>
            </w:pPr>
            <w:r w:rsidRPr="00D952AA">
              <w:rPr>
                <w:rFonts w:cs="Arial"/>
                <w:b/>
                <w:bCs/>
                <w:sz w:val="18"/>
                <w:szCs w:val="18"/>
              </w:rPr>
              <w:t>40.855</w:t>
            </w:r>
          </w:p>
        </w:tc>
      </w:tr>
      <w:tr w:rsidR="00491327" w:rsidRPr="002D31C7" w14:paraId="74DBC9D7" w14:textId="77777777" w:rsidTr="00312975">
        <w:trPr>
          <w:trHeight w:val="96"/>
        </w:trPr>
        <w:tc>
          <w:tcPr>
            <w:tcW w:w="6062" w:type="dxa"/>
            <w:tcBorders>
              <w:left w:val="nil"/>
              <w:bottom w:val="nil"/>
              <w:right w:val="nil"/>
            </w:tcBorders>
            <w:shd w:val="clear" w:color="auto" w:fill="auto"/>
            <w:vAlign w:val="bottom"/>
          </w:tcPr>
          <w:p w14:paraId="6A186288" w14:textId="77777777" w:rsidR="00491327" w:rsidRPr="002D31C7" w:rsidRDefault="00491327" w:rsidP="00491327">
            <w:pPr>
              <w:spacing w:after="0" w:line="140" w:lineRule="exact"/>
              <w:rPr>
                <w:rFonts w:eastAsia="Times New Roman" w:cs="Arial"/>
                <w:sz w:val="18"/>
                <w:szCs w:val="18"/>
              </w:rPr>
            </w:pPr>
          </w:p>
        </w:tc>
        <w:tc>
          <w:tcPr>
            <w:tcW w:w="1134" w:type="dxa"/>
            <w:tcBorders>
              <w:top w:val="single" w:sz="12" w:space="0" w:color="auto"/>
              <w:left w:val="nil"/>
              <w:bottom w:val="nil"/>
              <w:right w:val="nil"/>
            </w:tcBorders>
            <w:shd w:val="clear" w:color="auto" w:fill="auto"/>
            <w:noWrap/>
            <w:vAlign w:val="bottom"/>
          </w:tcPr>
          <w:p w14:paraId="4488FD55" w14:textId="77777777" w:rsidR="00491327" w:rsidRPr="002D31C7" w:rsidRDefault="00491327" w:rsidP="00491327">
            <w:pPr>
              <w:spacing w:after="0" w:line="140" w:lineRule="exact"/>
              <w:jc w:val="right"/>
              <w:rPr>
                <w:rFonts w:eastAsia="Times New Roman" w:cs="Arial"/>
                <w:sz w:val="18"/>
                <w:szCs w:val="18"/>
              </w:rPr>
            </w:pPr>
          </w:p>
        </w:tc>
        <w:tc>
          <w:tcPr>
            <w:tcW w:w="1276" w:type="dxa"/>
            <w:tcBorders>
              <w:top w:val="single" w:sz="12" w:space="0" w:color="auto"/>
              <w:left w:val="nil"/>
              <w:bottom w:val="nil"/>
              <w:right w:val="nil"/>
            </w:tcBorders>
            <w:shd w:val="clear" w:color="auto" w:fill="auto"/>
            <w:vAlign w:val="bottom"/>
          </w:tcPr>
          <w:p w14:paraId="566B7E5E" w14:textId="77777777" w:rsidR="00491327" w:rsidRPr="002D31C7" w:rsidRDefault="00491327" w:rsidP="00491327">
            <w:pPr>
              <w:spacing w:after="0" w:line="140" w:lineRule="exact"/>
              <w:jc w:val="right"/>
              <w:rPr>
                <w:rFonts w:eastAsia="Times New Roman" w:cs="Arial"/>
                <w:sz w:val="18"/>
                <w:szCs w:val="18"/>
              </w:rPr>
            </w:pPr>
          </w:p>
        </w:tc>
      </w:tr>
      <w:tr w:rsidR="00491327" w:rsidRPr="002D31C7" w14:paraId="2ED207ED" w14:textId="77777777" w:rsidTr="00312975">
        <w:trPr>
          <w:trHeight w:val="164"/>
        </w:trPr>
        <w:tc>
          <w:tcPr>
            <w:tcW w:w="6062" w:type="dxa"/>
            <w:tcBorders>
              <w:top w:val="nil"/>
              <w:left w:val="nil"/>
              <w:right w:val="nil"/>
            </w:tcBorders>
            <w:shd w:val="clear" w:color="auto" w:fill="auto"/>
            <w:vAlign w:val="bottom"/>
          </w:tcPr>
          <w:p w14:paraId="2EDB3A50" w14:textId="77777777" w:rsidR="00491327" w:rsidRPr="002D31C7" w:rsidRDefault="00491327" w:rsidP="00491327">
            <w:pPr>
              <w:spacing w:after="0" w:line="220" w:lineRule="exact"/>
              <w:rPr>
                <w:rFonts w:eastAsia="Times New Roman" w:cs="Arial"/>
                <w:b/>
                <w:sz w:val="18"/>
                <w:szCs w:val="18"/>
              </w:rPr>
            </w:pPr>
            <w:r w:rsidRPr="002D31C7">
              <w:rPr>
                <w:rFonts w:eastAsia="Times New Roman" w:cs="Arial"/>
                <w:b/>
                <w:sz w:val="18"/>
                <w:szCs w:val="18"/>
              </w:rPr>
              <w:t>Tehničke pričuve</w:t>
            </w:r>
          </w:p>
        </w:tc>
        <w:tc>
          <w:tcPr>
            <w:tcW w:w="1134" w:type="dxa"/>
            <w:tcBorders>
              <w:top w:val="nil"/>
              <w:left w:val="nil"/>
              <w:bottom w:val="nil"/>
              <w:right w:val="nil"/>
            </w:tcBorders>
            <w:shd w:val="clear" w:color="auto" w:fill="auto"/>
            <w:noWrap/>
            <w:vAlign w:val="bottom"/>
          </w:tcPr>
          <w:p w14:paraId="2B58D69F" w14:textId="77777777" w:rsidR="00491327" w:rsidRPr="002D31C7" w:rsidRDefault="00491327" w:rsidP="00491327">
            <w:pPr>
              <w:spacing w:after="0" w:line="220" w:lineRule="exact"/>
              <w:jc w:val="right"/>
              <w:rPr>
                <w:rFonts w:eastAsia="Times New Roman" w:cs="Arial"/>
                <w:sz w:val="18"/>
                <w:szCs w:val="18"/>
              </w:rPr>
            </w:pPr>
          </w:p>
        </w:tc>
        <w:tc>
          <w:tcPr>
            <w:tcW w:w="1276" w:type="dxa"/>
            <w:tcBorders>
              <w:top w:val="nil"/>
              <w:left w:val="nil"/>
              <w:bottom w:val="nil"/>
              <w:right w:val="nil"/>
            </w:tcBorders>
            <w:shd w:val="clear" w:color="auto" w:fill="auto"/>
            <w:vAlign w:val="bottom"/>
          </w:tcPr>
          <w:p w14:paraId="0A2E5726" w14:textId="77777777" w:rsidR="00491327" w:rsidRPr="002D31C7" w:rsidRDefault="00491327" w:rsidP="00491327">
            <w:pPr>
              <w:spacing w:after="0" w:line="220" w:lineRule="exact"/>
              <w:jc w:val="right"/>
              <w:rPr>
                <w:rFonts w:eastAsia="Times New Roman" w:cs="Arial"/>
                <w:sz w:val="18"/>
                <w:szCs w:val="18"/>
              </w:rPr>
            </w:pPr>
          </w:p>
        </w:tc>
      </w:tr>
      <w:tr w:rsidR="00491327" w:rsidRPr="002D31C7" w14:paraId="68F9511D" w14:textId="77777777" w:rsidTr="00312975">
        <w:trPr>
          <w:trHeight w:val="164"/>
        </w:trPr>
        <w:tc>
          <w:tcPr>
            <w:tcW w:w="6062" w:type="dxa"/>
            <w:tcBorders>
              <w:top w:val="nil"/>
              <w:left w:val="nil"/>
              <w:right w:val="nil"/>
            </w:tcBorders>
            <w:shd w:val="clear" w:color="auto" w:fill="auto"/>
            <w:vAlign w:val="bottom"/>
          </w:tcPr>
          <w:p w14:paraId="4A86CEA3" w14:textId="77777777" w:rsidR="00491327" w:rsidRPr="002D31C7" w:rsidRDefault="00491327" w:rsidP="00491327">
            <w:pPr>
              <w:spacing w:after="0" w:line="220" w:lineRule="exact"/>
              <w:rPr>
                <w:rFonts w:eastAsia="Times New Roman" w:cs="Arial"/>
                <w:sz w:val="18"/>
                <w:szCs w:val="18"/>
              </w:rPr>
            </w:pPr>
            <w:r w:rsidRPr="002D31C7">
              <w:rPr>
                <w:rFonts w:eastAsia="Times New Roman" w:cs="Arial"/>
                <w:sz w:val="18"/>
                <w:szCs w:val="18"/>
              </w:rPr>
              <w:t>Bruto tehničke pričuve</w:t>
            </w:r>
          </w:p>
        </w:tc>
        <w:tc>
          <w:tcPr>
            <w:tcW w:w="1134" w:type="dxa"/>
            <w:tcBorders>
              <w:top w:val="nil"/>
              <w:left w:val="nil"/>
              <w:bottom w:val="nil"/>
              <w:right w:val="nil"/>
            </w:tcBorders>
            <w:shd w:val="clear" w:color="auto" w:fill="auto"/>
            <w:noWrap/>
            <w:vAlign w:val="bottom"/>
          </w:tcPr>
          <w:p w14:paraId="30B21E41" w14:textId="634C0362" w:rsidR="00491327" w:rsidRPr="002D31C7" w:rsidRDefault="00491327" w:rsidP="00491327">
            <w:pPr>
              <w:spacing w:after="0" w:line="220" w:lineRule="exact"/>
              <w:jc w:val="right"/>
              <w:rPr>
                <w:rFonts w:eastAsia="Times New Roman" w:cs="Arial"/>
                <w:sz w:val="18"/>
                <w:szCs w:val="18"/>
              </w:rPr>
            </w:pPr>
            <w:r>
              <w:rPr>
                <w:rFonts w:ascii="Calibri" w:eastAsia="Times New Roman" w:hAnsi="Calibri" w:cs="Arial"/>
                <w:sz w:val="18"/>
                <w:szCs w:val="18"/>
              </w:rPr>
              <w:t>14.355</w:t>
            </w:r>
          </w:p>
        </w:tc>
        <w:tc>
          <w:tcPr>
            <w:tcW w:w="1276" w:type="dxa"/>
            <w:tcBorders>
              <w:top w:val="nil"/>
              <w:left w:val="nil"/>
              <w:bottom w:val="nil"/>
              <w:right w:val="nil"/>
            </w:tcBorders>
            <w:shd w:val="clear" w:color="auto" w:fill="auto"/>
            <w:vAlign w:val="bottom"/>
          </w:tcPr>
          <w:p w14:paraId="3C3F71B0" w14:textId="77777777" w:rsidR="00491327" w:rsidRPr="002D31C7" w:rsidRDefault="00491327" w:rsidP="00491327">
            <w:pPr>
              <w:spacing w:after="0" w:line="220" w:lineRule="exact"/>
              <w:jc w:val="right"/>
              <w:rPr>
                <w:rFonts w:eastAsia="Times New Roman" w:cs="Arial"/>
                <w:sz w:val="18"/>
                <w:szCs w:val="18"/>
              </w:rPr>
            </w:pPr>
            <w:r w:rsidRPr="002A3E38">
              <w:rPr>
                <w:sz w:val="18"/>
                <w:szCs w:val="18"/>
              </w:rPr>
              <w:t>14.225</w:t>
            </w:r>
          </w:p>
        </w:tc>
      </w:tr>
      <w:tr w:rsidR="00491327" w:rsidRPr="002D31C7" w14:paraId="1665413D" w14:textId="77777777" w:rsidTr="00312975">
        <w:trPr>
          <w:trHeight w:val="164"/>
        </w:trPr>
        <w:tc>
          <w:tcPr>
            <w:tcW w:w="6062" w:type="dxa"/>
            <w:tcBorders>
              <w:top w:val="nil"/>
              <w:left w:val="nil"/>
              <w:right w:val="nil"/>
            </w:tcBorders>
            <w:shd w:val="clear" w:color="auto" w:fill="auto"/>
            <w:vAlign w:val="bottom"/>
          </w:tcPr>
          <w:p w14:paraId="3FA9C01E" w14:textId="77777777" w:rsidR="00491327" w:rsidRPr="002D31C7" w:rsidRDefault="00491327" w:rsidP="00491327">
            <w:pPr>
              <w:spacing w:after="0" w:line="220" w:lineRule="exact"/>
              <w:rPr>
                <w:rFonts w:eastAsia="Times New Roman" w:cs="Arial"/>
                <w:sz w:val="18"/>
                <w:szCs w:val="18"/>
              </w:rPr>
            </w:pPr>
            <w:r w:rsidRPr="002D31C7">
              <w:rPr>
                <w:rFonts w:eastAsia="Times New Roman" w:cs="Arial"/>
                <w:sz w:val="18"/>
                <w:szCs w:val="18"/>
              </w:rPr>
              <w:t>Tehničke pričuve – udio reosiguranja</w:t>
            </w:r>
          </w:p>
        </w:tc>
        <w:tc>
          <w:tcPr>
            <w:tcW w:w="1134" w:type="dxa"/>
            <w:tcBorders>
              <w:top w:val="nil"/>
              <w:left w:val="nil"/>
              <w:bottom w:val="single" w:sz="4" w:space="0" w:color="auto"/>
              <w:right w:val="nil"/>
            </w:tcBorders>
            <w:shd w:val="clear" w:color="auto" w:fill="auto"/>
            <w:noWrap/>
            <w:vAlign w:val="bottom"/>
          </w:tcPr>
          <w:p w14:paraId="6E3C1F07" w14:textId="762ABC29" w:rsidR="00491327" w:rsidRPr="002D31C7" w:rsidRDefault="00491327" w:rsidP="00491327">
            <w:pPr>
              <w:spacing w:after="0" w:line="220" w:lineRule="exact"/>
              <w:jc w:val="right"/>
              <w:rPr>
                <w:rFonts w:eastAsia="Times New Roman" w:cs="Arial"/>
                <w:sz w:val="18"/>
                <w:szCs w:val="18"/>
              </w:rPr>
            </w:pPr>
            <w:r>
              <w:rPr>
                <w:rFonts w:ascii="Calibri" w:eastAsia="Times New Roman" w:hAnsi="Calibri" w:cs="Arial"/>
                <w:sz w:val="18"/>
                <w:szCs w:val="18"/>
              </w:rPr>
              <w:t>(6.298)</w:t>
            </w:r>
          </w:p>
        </w:tc>
        <w:tc>
          <w:tcPr>
            <w:tcW w:w="1276" w:type="dxa"/>
            <w:tcBorders>
              <w:top w:val="nil"/>
              <w:left w:val="nil"/>
              <w:bottom w:val="single" w:sz="4" w:space="0" w:color="auto"/>
              <w:right w:val="nil"/>
            </w:tcBorders>
            <w:shd w:val="clear" w:color="auto" w:fill="auto"/>
            <w:vAlign w:val="bottom"/>
          </w:tcPr>
          <w:p w14:paraId="137F5179" w14:textId="77777777" w:rsidR="00491327" w:rsidRPr="002D31C7" w:rsidRDefault="00491327" w:rsidP="00491327">
            <w:pPr>
              <w:spacing w:after="0" w:line="220" w:lineRule="exact"/>
              <w:jc w:val="right"/>
              <w:rPr>
                <w:rFonts w:eastAsia="Times New Roman" w:cs="Arial"/>
                <w:sz w:val="18"/>
                <w:szCs w:val="18"/>
              </w:rPr>
            </w:pPr>
            <w:r w:rsidRPr="00D952AA">
              <w:rPr>
                <w:sz w:val="18"/>
                <w:szCs w:val="18"/>
              </w:rPr>
              <w:t>(</w:t>
            </w:r>
            <w:r w:rsidRPr="002A3E38">
              <w:rPr>
                <w:sz w:val="18"/>
                <w:szCs w:val="18"/>
              </w:rPr>
              <w:t>6.419</w:t>
            </w:r>
            <w:r>
              <w:rPr>
                <w:sz w:val="18"/>
                <w:szCs w:val="18"/>
              </w:rPr>
              <w:t>)</w:t>
            </w:r>
          </w:p>
        </w:tc>
      </w:tr>
      <w:tr w:rsidR="00491327" w:rsidRPr="002D31C7" w14:paraId="2A0CBE6B" w14:textId="77777777" w:rsidTr="00312975">
        <w:trPr>
          <w:trHeight w:val="182"/>
        </w:trPr>
        <w:tc>
          <w:tcPr>
            <w:tcW w:w="6062" w:type="dxa"/>
            <w:tcBorders>
              <w:left w:val="nil"/>
              <w:right w:val="nil"/>
            </w:tcBorders>
            <w:shd w:val="clear" w:color="auto" w:fill="auto"/>
            <w:vAlign w:val="bottom"/>
          </w:tcPr>
          <w:p w14:paraId="45847011" w14:textId="77777777" w:rsidR="00491327" w:rsidRPr="002D31C7" w:rsidRDefault="00491327" w:rsidP="00491327">
            <w:pPr>
              <w:spacing w:after="0" w:line="220" w:lineRule="exact"/>
              <w:rPr>
                <w:rFonts w:eastAsia="Times New Roman" w:cs="Arial"/>
                <w:b/>
                <w:bCs/>
                <w:sz w:val="18"/>
                <w:szCs w:val="18"/>
              </w:rPr>
            </w:pPr>
          </w:p>
        </w:tc>
        <w:tc>
          <w:tcPr>
            <w:tcW w:w="1134" w:type="dxa"/>
            <w:tcBorders>
              <w:top w:val="single" w:sz="4" w:space="0" w:color="auto"/>
              <w:left w:val="nil"/>
              <w:bottom w:val="single" w:sz="12" w:space="0" w:color="auto"/>
              <w:right w:val="nil"/>
            </w:tcBorders>
            <w:shd w:val="clear" w:color="auto" w:fill="auto"/>
            <w:noWrap/>
            <w:vAlign w:val="bottom"/>
          </w:tcPr>
          <w:p w14:paraId="04CC0AC8" w14:textId="608170DF" w:rsidR="00491327" w:rsidRPr="002D31C7" w:rsidRDefault="00491327" w:rsidP="00491327">
            <w:pPr>
              <w:spacing w:after="0" w:line="220" w:lineRule="exact"/>
              <w:jc w:val="right"/>
              <w:rPr>
                <w:rFonts w:eastAsia="Times New Roman" w:cs="Arial"/>
                <w:b/>
                <w:bCs/>
                <w:sz w:val="18"/>
                <w:szCs w:val="18"/>
              </w:rPr>
            </w:pPr>
            <w:r>
              <w:rPr>
                <w:rFonts w:ascii="Calibri" w:eastAsia="Times New Roman" w:hAnsi="Calibri" w:cs="Arial"/>
                <w:b/>
                <w:bCs/>
                <w:sz w:val="18"/>
                <w:szCs w:val="18"/>
              </w:rPr>
              <w:t>8.057</w:t>
            </w:r>
          </w:p>
        </w:tc>
        <w:tc>
          <w:tcPr>
            <w:tcW w:w="1276" w:type="dxa"/>
            <w:tcBorders>
              <w:top w:val="single" w:sz="4" w:space="0" w:color="auto"/>
              <w:left w:val="nil"/>
              <w:bottom w:val="single" w:sz="12" w:space="0" w:color="auto"/>
              <w:right w:val="nil"/>
            </w:tcBorders>
            <w:shd w:val="clear" w:color="auto" w:fill="auto"/>
            <w:vAlign w:val="bottom"/>
          </w:tcPr>
          <w:p w14:paraId="22C63C87" w14:textId="77777777" w:rsidR="00491327" w:rsidRPr="002D31C7" w:rsidRDefault="00491327" w:rsidP="00491327">
            <w:pPr>
              <w:spacing w:after="0" w:line="220" w:lineRule="exact"/>
              <w:jc w:val="right"/>
              <w:rPr>
                <w:rFonts w:eastAsia="Times New Roman" w:cs="Arial"/>
                <w:b/>
                <w:bCs/>
                <w:sz w:val="18"/>
                <w:szCs w:val="18"/>
              </w:rPr>
            </w:pPr>
            <w:r w:rsidRPr="00D952AA">
              <w:rPr>
                <w:rFonts w:cs="Arial"/>
                <w:b/>
                <w:bCs/>
                <w:sz w:val="18"/>
                <w:szCs w:val="18"/>
              </w:rPr>
              <w:t>7.806</w:t>
            </w:r>
          </w:p>
        </w:tc>
      </w:tr>
      <w:tr w:rsidR="00491327" w:rsidRPr="002D31C7" w14:paraId="778FD777" w14:textId="77777777" w:rsidTr="00312975">
        <w:trPr>
          <w:trHeight w:val="121"/>
        </w:trPr>
        <w:tc>
          <w:tcPr>
            <w:tcW w:w="6062" w:type="dxa"/>
            <w:tcBorders>
              <w:left w:val="nil"/>
              <w:bottom w:val="nil"/>
              <w:right w:val="nil"/>
            </w:tcBorders>
            <w:shd w:val="clear" w:color="auto" w:fill="auto"/>
            <w:vAlign w:val="bottom"/>
          </w:tcPr>
          <w:p w14:paraId="45F1CB43" w14:textId="77777777" w:rsidR="00491327" w:rsidRPr="002D31C7" w:rsidRDefault="00491327" w:rsidP="00491327">
            <w:pPr>
              <w:spacing w:after="0" w:line="140" w:lineRule="exact"/>
              <w:rPr>
                <w:rFonts w:eastAsia="Times New Roman" w:cs="Arial"/>
                <w:sz w:val="18"/>
                <w:szCs w:val="18"/>
              </w:rPr>
            </w:pPr>
          </w:p>
        </w:tc>
        <w:tc>
          <w:tcPr>
            <w:tcW w:w="1134" w:type="dxa"/>
            <w:tcBorders>
              <w:top w:val="single" w:sz="12" w:space="0" w:color="auto"/>
              <w:left w:val="nil"/>
              <w:bottom w:val="nil"/>
              <w:right w:val="nil"/>
            </w:tcBorders>
            <w:shd w:val="clear" w:color="auto" w:fill="auto"/>
            <w:noWrap/>
            <w:vAlign w:val="bottom"/>
          </w:tcPr>
          <w:p w14:paraId="680FB29D" w14:textId="77777777" w:rsidR="00491327" w:rsidRPr="002D31C7" w:rsidRDefault="00491327" w:rsidP="00491327">
            <w:pPr>
              <w:spacing w:after="0" w:line="140" w:lineRule="exact"/>
              <w:jc w:val="right"/>
              <w:rPr>
                <w:rFonts w:eastAsia="Times New Roman" w:cs="Arial"/>
                <w:sz w:val="18"/>
                <w:szCs w:val="18"/>
              </w:rPr>
            </w:pPr>
          </w:p>
        </w:tc>
        <w:tc>
          <w:tcPr>
            <w:tcW w:w="1276" w:type="dxa"/>
            <w:tcBorders>
              <w:top w:val="single" w:sz="12" w:space="0" w:color="auto"/>
              <w:left w:val="nil"/>
              <w:bottom w:val="nil"/>
              <w:right w:val="nil"/>
            </w:tcBorders>
            <w:shd w:val="clear" w:color="auto" w:fill="auto"/>
            <w:vAlign w:val="bottom"/>
          </w:tcPr>
          <w:p w14:paraId="3D4412BE" w14:textId="77777777" w:rsidR="00491327" w:rsidRPr="002D31C7" w:rsidRDefault="00491327" w:rsidP="00491327">
            <w:pPr>
              <w:spacing w:after="0" w:line="140" w:lineRule="exact"/>
              <w:jc w:val="right"/>
              <w:rPr>
                <w:rFonts w:eastAsia="Times New Roman" w:cs="Arial"/>
                <w:sz w:val="18"/>
                <w:szCs w:val="18"/>
              </w:rPr>
            </w:pPr>
          </w:p>
        </w:tc>
      </w:tr>
      <w:tr w:rsidR="00491327" w:rsidRPr="002D31C7" w14:paraId="6014CB57" w14:textId="77777777" w:rsidTr="00312975">
        <w:trPr>
          <w:trHeight w:val="240"/>
        </w:trPr>
        <w:tc>
          <w:tcPr>
            <w:tcW w:w="6062" w:type="dxa"/>
            <w:tcBorders>
              <w:top w:val="nil"/>
              <w:left w:val="nil"/>
              <w:bottom w:val="nil"/>
              <w:right w:val="nil"/>
            </w:tcBorders>
            <w:shd w:val="clear" w:color="auto" w:fill="auto"/>
            <w:vAlign w:val="bottom"/>
          </w:tcPr>
          <w:p w14:paraId="6449E544" w14:textId="77777777" w:rsidR="00491327" w:rsidRPr="002D31C7" w:rsidRDefault="00491327" w:rsidP="00491327">
            <w:pPr>
              <w:spacing w:after="0" w:line="220" w:lineRule="exact"/>
              <w:rPr>
                <w:rFonts w:eastAsia="Times New Roman" w:cs="Arial"/>
                <w:b/>
                <w:sz w:val="18"/>
                <w:szCs w:val="18"/>
              </w:rPr>
            </w:pPr>
            <w:r w:rsidRPr="002D31C7">
              <w:rPr>
                <w:rFonts w:eastAsia="Times New Roman" w:cs="Arial"/>
                <w:b/>
                <w:sz w:val="18"/>
                <w:szCs w:val="18"/>
              </w:rPr>
              <w:t>Kratkotrajne obveze</w:t>
            </w:r>
          </w:p>
        </w:tc>
        <w:tc>
          <w:tcPr>
            <w:tcW w:w="1134" w:type="dxa"/>
            <w:tcBorders>
              <w:top w:val="nil"/>
              <w:left w:val="nil"/>
              <w:bottom w:val="nil"/>
              <w:right w:val="nil"/>
            </w:tcBorders>
            <w:shd w:val="clear" w:color="auto" w:fill="auto"/>
            <w:noWrap/>
            <w:vAlign w:val="bottom"/>
          </w:tcPr>
          <w:p w14:paraId="01ED576B" w14:textId="77777777" w:rsidR="00491327" w:rsidRPr="002D31C7" w:rsidRDefault="00491327" w:rsidP="00491327">
            <w:pPr>
              <w:spacing w:after="0" w:line="220" w:lineRule="exact"/>
              <w:jc w:val="right"/>
              <w:rPr>
                <w:rFonts w:eastAsia="Times New Roman" w:cs="Arial"/>
                <w:sz w:val="18"/>
                <w:szCs w:val="18"/>
              </w:rPr>
            </w:pPr>
          </w:p>
        </w:tc>
        <w:tc>
          <w:tcPr>
            <w:tcW w:w="1276" w:type="dxa"/>
            <w:tcBorders>
              <w:top w:val="nil"/>
              <w:left w:val="nil"/>
              <w:bottom w:val="nil"/>
              <w:right w:val="nil"/>
            </w:tcBorders>
            <w:shd w:val="clear" w:color="auto" w:fill="auto"/>
            <w:vAlign w:val="bottom"/>
          </w:tcPr>
          <w:p w14:paraId="093F6510" w14:textId="77777777" w:rsidR="00491327" w:rsidRPr="002D31C7" w:rsidRDefault="00491327" w:rsidP="00491327">
            <w:pPr>
              <w:spacing w:after="0" w:line="220" w:lineRule="exact"/>
              <w:jc w:val="right"/>
              <w:rPr>
                <w:rFonts w:eastAsia="Times New Roman" w:cs="Arial"/>
                <w:sz w:val="18"/>
                <w:szCs w:val="18"/>
              </w:rPr>
            </w:pPr>
          </w:p>
        </w:tc>
      </w:tr>
      <w:tr w:rsidR="00491327" w:rsidRPr="002D31C7" w14:paraId="247D3ECB" w14:textId="77777777" w:rsidTr="00312975">
        <w:trPr>
          <w:trHeight w:val="145"/>
        </w:trPr>
        <w:tc>
          <w:tcPr>
            <w:tcW w:w="6062" w:type="dxa"/>
            <w:tcBorders>
              <w:top w:val="nil"/>
              <w:left w:val="nil"/>
              <w:bottom w:val="nil"/>
              <w:right w:val="nil"/>
            </w:tcBorders>
            <w:shd w:val="clear" w:color="auto" w:fill="auto"/>
            <w:vAlign w:val="bottom"/>
          </w:tcPr>
          <w:p w14:paraId="18C99FBE" w14:textId="77777777" w:rsidR="00491327" w:rsidRPr="002D31C7" w:rsidRDefault="00491327" w:rsidP="00491327">
            <w:pPr>
              <w:spacing w:after="0" w:line="220" w:lineRule="exact"/>
              <w:rPr>
                <w:rFonts w:eastAsia="Times New Roman" w:cs="Arial"/>
                <w:sz w:val="18"/>
                <w:szCs w:val="18"/>
              </w:rPr>
            </w:pPr>
            <w:r w:rsidRPr="002D31C7">
              <w:rPr>
                <w:rFonts w:eastAsia="Times New Roman" w:cs="Arial"/>
                <w:sz w:val="18"/>
                <w:szCs w:val="18"/>
              </w:rPr>
              <w:t>Obveze iz poslova osiguranja</w:t>
            </w:r>
          </w:p>
        </w:tc>
        <w:tc>
          <w:tcPr>
            <w:tcW w:w="1134" w:type="dxa"/>
            <w:tcBorders>
              <w:top w:val="nil"/>
              <w:left w:val="nil"/>
              <w:bottom w:val="nil"/>
              <w:right w:val="nil"/>
            </w:tcBorders>
            <w:shd w:val="clear" w:color="auto" w:fill="auto"/>
            <w:noWrap/>
            <w:vAlign w:val="bottom"/>
          </w:tcPr>
          <w:p w14:paraId="0A01E9BC" w14:textId="60D3FE24" w:rsidR="00491327" w:rsidRPr="002D31C7" w:rsidRDefault="00491327" w:rsidP="00491327">
            <w:pPr>
              <w:spacing w:after="0" w:line="220" w:lineRule="exact"/>
              <w:jc w:val="right"/>
              <w:rPr>
                <w:rFonts w:eastAsia="Times New Roman" w:cs="Arial"/>
                <w:sz w:val="18"/>
                <w:szCs w:val="18"/>
              </w:rPr>
            </w:pPr>
            <w:r>
              <w:rPr>
                <w:rFonts w:ascii="Calibri" w:eastAsia="Times New Roman" w:hAnsi="Calibri" w:cs="Arial"/>
                <w:sz w:val="18"/>
                <w:szCs w:val="18"/>
              </w:rPr>
              <w:t>1.484</w:t>
            </w:r>
          </w:p>
        </w:tc>
        <w:tc>
          <w:tcPr>
            <w:tcW w:w="1276" w:type="dxa"/>
            <w:tcBorders>
              <w:top w:val="nil"/>
              <w:left w:val="nil"/>
              <w:bottom w:val="nil"/>
              <w:right w:val="nil"/>
            </w:tcBorders>
            <w:shd w:val="clear" w:color="auto" w:fill="auto"/>
            <w:vAlign w:val="bottom"/>
          </w:tcPr>
          <w:p w14:paraId="06707D22" w14:textId="77777777" w:rsidR="00491327" w:rsidRPr="002D31C7" w:rsidRDefault="00491327" w:rsidP="00491327">
            <w:pPr>
              <w:spacing w:after="0" w:line="220" w:lineRule="exact"/>
              <w:jc w:val="right"/>
              <w:rPr>
                <w:rFonts w:eastAsia="Times New Roman" w:cs="Arial"/>
                <w:sz w:val="18"/>
                <w:szCs w:val="18"/>
              </w:rPr>
            </w:pPr>
            <w:r w:rsidRPr="002A3E38">
              <w:rPr>
                <w:sz w:val="18"/>
                <w:szCs w:val="18"/>
              </w:rPr>
              <w:t>1.190</w:t>
            </w:r>
          </w:p>
        </w:tc>
      </w:tr>
      <w:tr w:rsidR="00491327" w:rsidRPr="002D31C7" w14:paraId="20E35F99" w14:textId="77777777" w:rsidTr="00312975">
        <w:trPr>
          <w:trHeight w:val="204"/>
        </w:trPr>
        <w:tc>
          <w:tcPr>
            <w:tcW w:w="6062" w:type="dxa"/>
            <w:tcBorders>
              <w:top w:val="nil"/>
              <w:left w:val="nil"/>
              <w:bottom w:val="nil"/>
              <w:right w:val="nil"/>
            </w:tcBorders>
            <w:shd w:val="clear" w:color="auto" w:fill="auto"/>
            <w:vAlign w:val="bottom"/>
          </w:tcPr>
          <w:p w14:paraId="73DEC97C" w14:textId="77777777" w:rsidR="00491327" w:rsidRPr="002D31C7" w:rsidRDefault="00491327" w:rsidP="00491327">
            <w:pPr>
              <w:spacing w:after="0" w:line="220" w:lineRule="exact"/>
              <w:rPr>
                <w:rFonts w:eastAsia="Times New Roman" w:cs="Arial"/>
                <w:sz w:val="18"/>
                <w:szCs w:val="18"/>
              </w:rPr>
            </w:pPr>
            <w:r w:rsidRPr="002D31C7">
              <w:rPr>
                <w:rFonts w:eastAsia="Times New Roman" w:cs="Arial"/>
                <w:sz w:val="18"/>
                <w:szCs w:val="18"/>
              </w:rPr>
              <w:t>Ostale obveze</w:t>
            </w:r>
          </w:p>
        </w:tc>
        <w:tc>
          <w:tcPr>
            <w:tcW w:w="1134" w:type="dxa"/>
            <w:tcBorders>
              <w:top w:val="nil"/>
              <w:left w:val="nil"/>
              <w:bottom w:val="single" w:sz="4" w:space="0" w:color="auto"/>
              <w:right w:val="nil"/>
            </w:tcBorders>
            <w:shd w:val="clear" w:color="auto" w:fill="auto"/>
            <w:noWrap/>
            <w:vAlign w:val="bottom"/>
          </w:tcPr>
          <w:p w14:paraId="44E48EC9" w14:textId="3FC990D5" w:rsidR="00491327" w:rsidRPr="002D31C7" w:rsidRDefault="00491327" w:rsidP="00491327">
            <w:pPr>
              <w:spacing w:after="0" w:line="220" w:lineRule="exact"/>
              <w:jc w:val="right"/>
              <w:rPr>
                <w:rFonts w:eastAsia="Times New Roman" w:cs="Arial"/>
                <w:sz w:val="18"/>
                <w:szCs w:val="18"/>
              </w:rPr>
            </w:pPr>
            <w:r>
              <w:rPr>
                <w:rFonts w:ascii="Calibri" w:eastAsia="Times New Roman" w:hAnsi="Calibri" w:cs="Arial"/>
                <w:sz w:val="18"/>
                <w:szCs w:val="18"/>
              </w:rPr>
              <w:t>2.088</w:t>
            </w:r>
          </w:p>
        </w:tc>
        <w:tc>
          <w:tcPr>
            <w:tcW w:w="1276" w:type="dxa"/>
            <w:tcBorders>
              <w:top w:val="nil"/>
              <w:left w:val="nil"/>
              <w:bottom w:val="single" w:sz="4" w:space="0" w:color="auto"/>
              <w:right w:val="nil"/>
            </w:tcBorders>
            <w:shd w:val="clear" w:color="auto" w:fill="auto"/>
            <w:vAlign w:val="bottom"/>
          </w:tcPr>
          <w:p w14:paraId="0F468EDD" w14:textId="77777777" w:rsidR="00491327" w:rsidRPr="002D31C7" w:rsidRDefault="00491327" w:rsidP="00491327">
            <w:pPr>
              <w:spacing w:after="0" w:line="220" w:lineRule="exact"/>
              <w:jc w:val="right"/>
              <w:rPr>
                <w:rFonts w:eastAsia="Times New Roman" w:cs="Arial"/>
                <w:sz w:val="18"/>
                <w:szCs w:val="18"/>
              </w:rPr>
            </w:pPr>
            <w:r w:rsidRPr="002A3E38">
              <w:rPr>
                <w:sz w:val="18"/>
                <w:szCs w:val="18"/>
              </w:rPr>
              <w:t>2.182</w:t>
            </w:r>
          </w:p>
        </w:tc>
      </w:tr>
      <w:tr w:rsidR="00491327" w:rsidRPr="002D31C7" w14:paraId="481FC6AD" w14:textId="77777777" w:rsidTr="00312975">
        <w:trPr>
          <w:trHeight w:val="144"/>
        </w:trPr>
        <w:tc>
          <w:tcPr>
            <w:tcW w:w="6062" w:type="dxa"/>
            <w:tcBorders>
              <w:left w:val="nil"/>
              <w:right w:val="nil"/>
            </w:tcBorders>
            <w:shd w:val="clear" w:color="auto" w:fill="auto"/>
            <w:vAlign w:val="bottom"/>
          </w:tcPr>
          <w:p w14:paraId="4DD7239C" w14:textId="77777777" w:rsidR="00491327" w:rsidRPr="002D31C7" w:rsidRDefault="00491327" w:rsidP="00491327">
            <w:pPr>
              <w:spacing w:after="0" w:line="220" w:lineRule="exact"/>
              <w:rPr>
                <w:rFonts w:eastAsia="Times New Roman" w:cs="Arial"/>
                <w:b/>
                <w:bCs/>
                <w:sz w:val="18"/>
                <w:szCs w:val="18"/>
              </w:rPr>
            </w:pPr>
            <w:r w:rsidRPr="002D31C7">
              <w:rPr>
                <w:rFonts w:eastAsia="Times New Roman" w:cs="Arial"/>
                <w:b/>
                <w:bCs/>
                <w:sz w:val="18"/>
                <w:szCs w:val="18"/>
              </w:rPr>
              <w:t>Ukupno obveze</w:t>
            </w:r>
          </w:p>
        </w:tc>
        <w:tc>
          <w:tcPr>
            <w:tcW w:w="1134" w:type="dxa"/>
            <w:tcBorders>
              <w:top w:val="single" w:sz="4" w:space="0" w:color="auto"/>
              <w:left w:val="nil"/>
              <w:bottom w:val="single" w:sz="12" w:space="0" w:color="auto"/>
              <w:right w:val="nil"/>
            </w:tcBorders>
            <w:shd w:val="clear" w:color="auto" w:fill="auto"/>
            <w:noWrap/>
            <w:vAlign w:val="bottom"/>
          </w:tcPr>
          <w:p w14:paraId="517DE5E5" w14:textId="32C6087B" w:rsidR="00491327" w:rsidRPr="002D31C7" w:rsidRDefault="00491327" w:rsidP="00491327">
            <w:pPr>
              <w:spacing w:after="0" w:line="220" w:lineRule="exact"/>
              <w:jc w:val="right"/>
              <w:rPr>
                <w:rFonts w:eastAsia="Times New Roman" w:cs="Arial"/>
                <w:b/>
                <w:bCs/>
                <w:sz w:val="18"/>
                <w:szCs w:val="18"/>
              </w:rPr>
            </w:pPr>
            <w:r>
              <w:rPr>
                <w:rFonts w:ascii="Calibri" w:eastAsia="Times New Roman" w:hAnsi="Calibri" w:cs="Arial"/>
                <w:b/>
                <w:bCs/>
                <w:sz w:val="18"/>
                <w:szCs w:val="18"/>
              </w:rPr>
              <w:t>3.572</w:t>
            </w:r>
          </w:p>
        </w:tc>
        <w:tc>
          <w:tcPr>
            <w:tcW w:w="1276" w:type="dxa"/>
            <w:tcBorders>
              <w:top w:val="single" w:sz="4" w:space="0" w:color="auto"/>
              <w:left w:val="nil"/>
              <w:bottom w:val="single" w:sz="12" w:space="0" w:color="auto"/>
              <w:right w:val="nil"/>
            </w:tcBorders>
            <w:shd w:val="clear" w:color="auto" w:fill="auto"/>
            <w:vAlign w:val="bottom"/>
          </w:tcPr>
          <w:p w14:paraId="65E9744E" w14:textId="77777777" w:rsidR="00491327" w:rsidRPr="002D31C7" w:rsidRDefault="00491327" w:rsidP="00491327">
            <w:pPr>
              <w:spacing w:after="0" w:line="220" w:lineRule="exact"/>
              <w:jc w:val="right"/>
              <w:rPr>
                <w:rFonts w:eastAsia="Times New Roman" w:cs="Arial"/>
                <w:b/>
                <w:bCs/>
                <w:sz w:val="18"/>
                <w:szCs w:val="18"/>
              </w:rPr>
            </w:pPr>
            <w:r w:rsidRPr="00D952AA">
              <w:rPr>
                <w:rFonts w:cs="Arial"/>
                <w:b/>
                <w:bCs/>
                <w:sz w:val="18"/>
                <w:szCs w:val="18"/>
              </w:rPr>
              <w:t>3.372</w:t>
            </w:r>
          </w:p>
        </w:tc>
      </w:tr>
      <w:tr w:rsidR="00491327" w:rsidRPr="002D31C7" w14:paraId="4CD8B619" w14:textId="77777777" w:rsidTr="00312975">
        <w:trPr>
          <w:trHeight w:val="56"/>
        </w:trPr>
        <w:tc>
          <w:tcPr>
            <w:tcW w:w="6062" w:type="dxa"/>
            <w:tcBorders>
              <w:left w:val="nil"/>
              <w:right w:val="nil"/>
            </w:tcBorders>
            <w:shd w:val="clear" w:color="auto" w:fill="auto"/>
            <w:vAlign w:val="bottom"/>
          </w:tcPr>
          <w:p w14:paraId="0615BBBC" w14:textId="77777777" w:rsidR="00491327" w:rsidRPr="002D31C7" w:rsidRDefault="00491327" w:rsidP="00491327">
            <w:pPr>
              <w:spacing w:after="0" w:line="140" w:lineRule="exact"/>
              <w:rPr>
                <w:rFonts w:eastAsia="Times New Roman" w:cs="Arial"/>
                <w:b/>
                <w:bCs/>
                <w:sz w:val="18"/>
                <w:szCs w:val="18"/>
              </w:rPr>
            </w:pPr>
          </w:p>
        </w:tc>
        <w:tc>
          <w:tcPr>
            <w:tcW w:w="1134" w:type="dxa"/>
            <w:tcBorders>
              <w:top w:val="single" w:sz="12" w:space="0" w:color="auto"/>
              <w:left w:val="nil"/>
              <w:bottom w:val="single" w:sz="4" w:space="0" w:color="auto"/>
              <w:right w:val="nil"/>
            </w:tcBorders>
            <w:shd w:val="clear" w:color="auto" w:fill="auto"/>
            <w:noWrap/>
            <w:vAlign w:val="bottom"/>
          </w:tcPr>
          <w:p w14:paraId="0ACFC975" w14:textId="77777777" w:rsidR="00491327" w:rsidRPr="002D31C7" w:rsidRDefault="00491327" w:rsidP="00491327">
            <w:pPr>
              <w:spacing w:after="0" w:line="140" w:lineRule="exact"/>
              <w:jc w:val="right"/>
              <w:rPr>
                <w:rFonts w:eastAsia="Times New Roman" w:cs="Arial"/>
                <w:b/>
                <w:bCs/>
                <w:sz w:val="18"/>
                <w:szCs w:val="18"/>
              </w:rPr>
            </w:pPr>
          </w:p>
        </w:tc>
        <w:tc>
          <w:tcPr>
            <w:tcW w:w="1276" w:type="dxa"/>
            <w:tcBorders>
              <w:top w:val="single" w:sz="12" w:space="0" w:color="auto"/>
              <w:left w:val="nil"/>
              <w:bottom w:val="single" w:sz="4" w:space="0" w:color="auto"/>
              <w:right w:val="nil"/>
            </w:tcBorders>
            <w:shd w:val="clear" w:color="auto" w:fill="auto"/>
            <w:vAlign w:val="bottom"/>
          </w:tcPr>
          <w:p w14:paraId="60703CC8" w14:textId="77777777" w:rsidR="00491327" w:rsidRPr="002D31C7" w:rsidRDefault="00491327" w:rsidP="00491327">
            <w:pPr>
              <w:spacing w:after="0" w:line="140" w:lineRule="exact"/>
              <w:jc w:val="right"/>
              <w:rPr>
                <w:rFonts w:eastAsia="Times New Roman" w:cs="Arial"/>
                <w:b/>
                <w:bCs/>
                <w:sz w:val="18"/>
                <w:szCs w:val="18"/>
              </w:rPr>
            </w:pPr>
          </w:p>
        </w:tc>
      </w:tr>
      <w:tr w:rsidR="00491327" w:rsidRPr="002D31C7" w14:paraId="243BCE9E" w14:textId="77777777" w:rsidTr="00312975">
        <w:trPr>
          <w:trHeight w:val="230"/>
        </w:trPr>
        <w:tc>
          <w:tcPr>
            <w:tcW w:w="6062" w:type="dxa"/>
            <w:tcBorders>
              <w:left w:val="nil"/>
              <w:right w:val="nil"/>
            </w:tcBorders>
            <w:shd w:val="clear" w:color="auto" w:fill="auto"/>
            <w:vAlign w:val="bottom"/>
          </w:tcPr>
          <w:p w14:paraId="30CEB712" w14:textId="77777777" w:rsidR="00491327" w:rsidRPr="002D31C7" w:rsidRDefault="00491327" w:rsidP="00491327">
            <w:pPr>
              <w:spacing w:after="0" w:line="220" w:lineRule="exact"/>
              <w:rPr>
                <w:rFonts w:eastAsia="Times New Roman" w:cs="Arial"/>
                <w:b/>
                <w:bCs/>
                <w:sz w:val="18"/>
                <w:szCs w:val="18"/>
              </w:rPr>
            </w:pPr>
            <w:r w:rsidRPr="002D31C7">
              <w:rPr>
                <w:rFonts w:eastAsia="Times New Roman" w:cs="Arial"/>
                <w:b/>
                <w:bCs/>
                <w:sz w:val="18"/>
                <w:szCs w:val="18"/>
              </w:rPr>
              <w:t>Ukupno kapital i obveze</w:t>
            </w:r>
          </w:p>
        </w:tc>
        <w:tc>
          <w:tcPr>
            <w:tcW w:w="1134" w:type="dxa"/>
            <w:tcBorders>
              <w:top w:val="single" w:sz="4" w:space="0" w:color="auto"/>
              <w:left w:val="nil"/>
              <w:bottom w:val="single" w:sz="12" w:space="0" w:color="auto"/>
              <w:right w:val="nil"/>
            </w:tcBorders>
            <w:shd w:val="clear" w:color="auto" w:fill="auto"/>
            <w:noWrap/>
            <w:vAlign w:val="bottom"/>
          </w:tcPr>
          <w:p w14:paraId="05520D27" w14:textId="72402D00" w:rsidR="00491327" w:rsidRPr="002D31C7" w:rsidRDefault="00491327" w:rsidP="00491327">
            <w:pPr>
              <w:spacing w:after="0" w:line="220" w:lineRule="exact"/>
              <w:jc w:val="right"/>
              <w:rPr>
                <w:rFonts w:eastAsia="Times New Roman" w:cs="Arial"/>
                <w:b/>
                <w:bCs/>
                <w:sz w:val="18"/>
                <w:szCs w:val="18"/>
              </w:rPr>
            </w:pPr>
            <w:r>
              <w:rPr>
                <w:rFonts w:ascii="Calibri" w:eastAsia="Times New Roman" w:hAnsi="Calibri" w:cs="Arial"/>
                <w:b/>
                <w:bCs/>
                <w:sz w:val="18"/>
                <w:szCs w:val="18"/>
              </w:rPr>
              <w:t>53.994</w:t>
            </w:r>
          </w:p>
        </w:tc>
        <w:tc>
          <w:tcPr>
            <w:tcW w:w="1276" w:type="dxa"/>
            <w:tcBorders>
              <w:top w:val="single" w:sz="4" w:space="0" w:color="auto"/>
              <w:left w:val="nil"/>
              <w:bottom w:val="single" w:sz="12" w:space="0" w:color="auto"/>
              <w:right w:val="nil"/>
            </w:tcBorders>
            <w:shd w:val="clear" w:color="auto" w:fill="auto"/>
            <w:vAlign w:val="bottom"/>
          </w:tcPr>
          <w:p w14:paraId="37CF3BF4" w14:textId="77777777" w:rsidR="00491327" w:rsidRPr="002D31C7" w:rsidRDefault="00491327" w:rsidP="00491327">
            <w:pPr>
              <w:spacing w:after="0" w:line="220" w:lineRule="exact"/>
              <w:jc w:val="right"/>
              <w:rPr>
                <w:rFonts w:eastAsia="Times New Roman" w:cs="Arial"/>
                <w:b/>
                <w:bCs/>
                <w:sz w:val="18"/>
                <w:szCs w:val="18"/>
              </w:rPr>
            </w:pPr>
            <w:r w:rsidRPr="00D952AA">
              <w:rPr>
                <w:rFonts w:cs="Arial"/>
                <w:b/>
                <w:bCs/>
                <w:sz w:val="18"/>
                <w:szCs w:val="18"/>
              </w:rPr>
              <w:t>52.033</w:t>
            </w:r>
          </w:p>
        </w:tc>
      </w:tr>
    </w:tbl>
    <w:p w14:paraId="7E496B84" w14:textId="0E60D5AE" w:rsidR="00EB5C92" w:rsidRPr="00EB5C92" w:rsidRDefault="00EB5C92" w:rsidP="00EB5C92">
      <w:pPr>
        <w:rPr>
          <w:rFonts w:eastAsia="Times New Roman" w:cs="Calibri"/>
          <w:lang w:eastAsia="hr-HR"/>
        </w:rPr>
      </w:pPr>
    </w:p>
    <w:p w14:paraId="61AEAE0C" w14:textId="77777777" w:rsidR="00EB5C92" w:rsidRPr="00EB5C92" w:rsidRDefault="00EB5C92" w:rsidP="00EB5C92">
      <w:pPr>
        <w:rPr>
          <w:rFonts w:eastAsia="Times New Roman" w:cs="Calibri"/>
          <w:lang w:eastAsia="hr-HR"/>
        </w:rPr>
      </w:pPr>
    </w:p>
    <w:p w14:paraId="0557EF62" w14:textId="77777777" w:rsidR="00EB5C92" w:rsidRPr="00EB5C92" w:rsidRDefault="00EB5C92" w:rsidP="00EB5C92">
      <w:pPr>
        <w:rPr>
          <w:rFonts w:eastAsia="Times New Roman" w:cs="Calibri"/>
          <w:lang w:eastAsia="hr-HR"/>
        </w:rPr>
        <w:sectPr w:rsidR="00EB5C92" w:rsidRPr="00EB5C92" w:rsidSect="00AD6209">
          <w:headerReference w:type="first" r:id="rId141"/>
          <w:footerReference w:type="first" r:id="rId142"/>
          <w:pgSz w:w="11906" w:h="16838" w:code="9"/>
          <w:pgMar w:top="1418" w:right="1418" w:bottom="595" w:left="1134" w:header="709" w:footer="709" w:gutter="0"/>
          <w:cols w:space="708"/>
          <w:titlePg/>
          <w:docGrid w:linePitch="360"/>
        </w:sectPr>
      </w:pPr>
    </w:p>
    <w:p w14:paraId="19874118" w14:textId="77777777" w:rsidR="00EB5C92" w:rsidRPr="00EB5C92" w:rsidRDefault="00EB5C92" w:rsidP="00EB5C92">
      <w:pPr>
        <w:rPr>
          <w:rFonts w:eastAsia="Times New Roman" w:cs="Calibri"/>
          <w:lang w:eastAsia="hr-HR"/>
        </w:rPr>
      </w:pPr>
    </w:p>
    <w:tbl>
      <w:tblPr>
        <w:tblpPr w:leftFromText="181" w:rightFromText="181" w:vertAnchor="text" w:horzAnchor="margin" w:tblpXSpec="center" w:tblpY="1"/>
        <w:tblW w:w="8647" w:type="dxa"/>
        <w:tblLayout w:type="fixed"/>
        <w:tblLook w:val="04A0" w:firstRow="1" w:lastRow="0" w:firstColumn="1" w:lastColumn="0" w:noHBand="0" w:noVBand="1"/>
      </w:tblPr>
      <w:tblGrid>
        <w:gridCol w:w="6237"/>
        <w:gridCol w:w="1276"/>
        <w:gridCol w:w="1134"/>
      </w:tblGrid>
      <w:tr w:rsidR="00706D2E" w:rsidRPr="00693900" w14:paraId="59552C44" w14:textId="77777777" w:rsidTr="00706D2E">
        <w:trPr>
          <w:trHeight w:val="66"/>
        </w:trPr>
        <w:tc>
          <w:tcPr>
            <w:tcW w:w="6237" w:type="dxa"/>
            <w:tcBorders>
              <w:left w:val="nil"/>
              <w:right w:val="nil"/>
            </w:tcBorders>
            <w:shd w:val="clear" w:color="auto" w:fill="auto"/>
          </w:tcPr>
          <w:p w14:paraId="74D8FBEC" w14:textId="77777777" w:rsidR="00706D2E" w:rsidRPr="00FB01C4" w:rsidRDefault="00706D2E" w:rsidP="00706D2E">
            <w:pPr>
              <w:spacing w:after="0" w:line="140" w:lineRule="exact"/>
              <w:rPr>
                <w:rFonts w:eastAsia="Times New Roman" w:cs="Arial"/>
                <w:sz w:val="18"/>
                <w:szCs w:val="18"/>
              </w:rPr>
            </w:pPr>
          </w:p>
        </w:tc>
        <w:tc>
          <w:tcPr>
            <w:tcW w:w="1276" w:type="dxa"/>
            <w:tcBorders>
              <w:left w:val="nil"/>
              <w:right w:val="nil"/>
            </w:tcBorders>
            <w:shd w:val="clear" w:color="auto" w:fill="auto"/>
          </w:tcPr>
          <w:p w14:paraId="43459481" w14:textId="77777777" w:rsidR="00706D2E" w:rsidRPr="00693900" w:rsidRDefault="00706D2E" w:rsidP="00706D2E">
            <w:pPr>
              <w:spacing w:after="0" w:line="140" w:lineRule="exact"/>
              <w:jc w:val="right"/>
              <w:rPr>
                <w:rFonts w:eastAsia="Times New Roman" w:cs="Arial"/>
                <w:sz w:val="18"/>
                <w:szCs w:val="18"/>
              </w:rPr>
            </w:pPr>
          </w:p>
        </w:tc>
        <w:tc>
          <w:tcPr>
            <w:tcW w:w="1134" w:type="dxa"/>
            <w:tcBorders>
              <w:left w:val="nil"/>
              <w:right w:val="nil"/>
            </w:tcBorders>
          </w:tcPr>
          <w:p w14:paraId="5F5EF7CC" w14:textId="77777777" w:rsidR="00706D2E" w:rsidRPr="00693900" w:rsidRDefault="00706D2E" w:rsidP="00706D2E">
            <w:pPr>
              <w:spacing w:after="0" w:line="140" w:lineRule="exact"/>
              <w:jc w:val="right"/>
              <w:rPr>
                <w:rFonts w:eastAsia="Times New Roman" w:cs="Arial"/>
                <w:sz w:val="18"/>
                <w:szCs w:val="18"/>
              </w:rPr>
            </w:pPr>
          </w:p>
        </w:tc>
      </w:tr>
      <w:tr w:rsidR="00E45CA6" w:rsidRPr="00693900" w14:paraId="48009B48" w14:textId="77777777" w:rsidTr="00706D2E">
        <w:trPr>
          <w:trHeight w:val="119"/>
        </w:trPr>
        <w:tc>
          <w:tcPr>
            <w:tcW w:w="6237" w:type="dxa"/>
            <w:tcBorders>
              <w:left w:val="nil"/>
              <w:bottom w:val="nil"/>
              <w:right w:val="nil"/>
            </w:tcBorders>
            <w:shd w:val="clear" w:color="auto" w:fill="auto"/>
            <w:vAlign w:val="bottom"/>
          </w:tcPr>
          <w:p w14:paraId="339020C5" w14:textId="77777777" w:rsidR="00E45CA6" w:rsidRPr="00FB01C4" w:rsidRDefault="00E45CA6" w:rsidP="00E45CA6">
            <w:pPr>
              <w:spacing w:after="0" w:line="220" w:lineRule="exact"/>
              <w:rPr>
                <w:rFonts w:eastAsia="Times New Roman" w:cs="Arial"/>
                <w:b/>
                <w:bCs/>
                <w:sz w:val="18"/>
                <w:szCs w:val="18"/>
              </w:rPr>
            </w:pPr>
          </w:p>
        </w:tc>
        <w:tc>
          <w:tcPr>
            <w:tcW w:w="1276" w:type="dxa"/>
            <w:tcBorders>
              <w:left w:val="nil"/>
              <w:bottom w:val="nil"/>
              <w:right w:val="nil"/>
            </w:tcBorders>
            <w:shd w:val="clear" w:color="auto" w:fill="auto"/>
            <w:noWrap/>
            <w:vAlign w:val="bottom"/>
          </w:tcPr>
          <w:p w14:paraId="3B45E6E8" w14:textId="7F2FCA2E" w:rsidR="00E45CA6" w:rsidRPr="00693900" w:rsidRDefault="00665926" w:rsidP="00257CDB">
            <w:pPr>
              <w:spacing w:after="0" w:line="220" w:lineRule="exact"/>
              <w:jc w:val="right"/>
              <w:rPr>
                <w:rFonts w:eastAsia="Times New Roman" w:cs="Arial"/>
                <w:b/>
                <w:bCs/>
                <w:sz w:val="18"/>
                <w:szCs w:val="18"/>
              </w:rPr>
            </w:pPr>
            <w:r w:rsidRPr="00693900">
              <w:rPr>
                <w:rFonts w:eastAsia="Times New Roman" w:cs="Arial"/>
                <w:b/>
                <w:bCs/>
                <w:sz w:val="18"/>
                <w:szCs w:val="18"/>
              </w:rPr>
              <w:t>3</w:t>
            </w:r>
            <w:r>
              <w:rPr>
                <w:rFonts w:eastAsia="Times New Roman" w:cs="Arial"/>
                <w:b/>
                <w:bCs/>
                <w:sz w:val="18"/>
                <w:szCs w:val="18"/>
              </w:rPr>
              <w:t>0</w:t>
            </w:r>
            <w:r w:rsidR="00E45CA6" w:rsidRPr="00693900">
              <w:rPr>
                <w:rFonts w:eastAsia="Times New Roman" w:cs="Arial"/>
                <w:b/>
                <w:bCs/>
                <w:sz w:val="18"/>
                <w:szCs w:val="18"/>
              </w:rPr>
              <w:t>.</w:t>
            </w:r>
            <w:r>
              <w:rPr>
                <w:rFonts w:eastAsia="Times New Roman" w:cs="Arial"/>
                <w:b/>
                <w:bCs/>
                <w:sz w:val="18"/>
                <w:szCs w:val="18"/>
              </w:rPr>
              <w:t>6</w:t>
            </w:r>
            <w:r w:rsidR="00E45CA6" w:rsidRPr="00693900">
              <w:rPr>
                <w:rFonts w:eastAsia="Times New Roman" w:cs="Arial"/>
                <w:b/>
                <w:bCs/>
                <w:sz w:val="18"/>
                <w:szCs w:val="18"/>
              </w:rPr>
              <w:t>.2017.</w:t>
            </w:r>
          </w:p>
        </w:tc>
        <w:tc>
          <w:tcPr>
            <w:tcW w:w="1134" w:type="dxa"/>
            <w:tcBorders>
              <w:left w:val="nil"/>
              <w:bottom w:val="nil"/>
              <w:right w:val="nil"/>
            </w:tcBorders>
          </w:tcPr>
          <w:p w14:paraId="03B814BF" w14:textId="3D908BDC" w:rsidR="00E45CA6" w:rsidRPr="00693900" w:rsidRDefault="00665926" w:rsidP="00AE31A1">
            <w:pPr>
              <w:spacing w:after="0" w:line="220" w:lineRule="exact"/>
              <w:jc w:val="right"/>
              <w:rPr>
                <w:rFonts w:eastAsia="Times New Roman" w:cs="Arial"/>
                <w:b/>
                <w:bCs/>
                <w:sz w:val="18"/>
                <w:szCs w:val="18"/>
              </w:rPr>
            </w:pPr>
            <w:r w:rsidRPr="00693900">
              <w:rPr>
                <w:rFonts w:eastAsia="Times New Roman" w:cs="Arial"/>
                <w:b/>
                <w:bCs/>
                <w:sz w:val="18"/>
                <w:szCs w:val="18"/>
              </w:rPr>
              <w:t>3</w:t>
            </w:r>
            <w:r>
              <w:rPr>
                <w:rFonts w:eastAsia="Times New Roman" w:cs="Arial"/>
                <w:b/>
                <w:bCs/>
                <w:sz w:val="18"/>
                <w:szCs w:val="18"/>
              </w:rPr>
              <w:t>0</w:t>
            </w:r>
            <w:r w:rsidR="00E45CA6" w:rsidRPr="00693900">
              <w:rPr>
                <w:rFonts w:eastAsia="Times New Roman" w:cs="Arial"/>
                <w:b/>
                <w:bCs/>
                <w:sz w:val="18"/>
                <w:szCs w:val="18"/>
              </w:rPr>
              <w:t>.</w:t>
            </w:r>
            <w:r>
              <w:rPr>
                <w:rFonts w:eastAsia="Times New Roman" w:cs="Arial"/>
                <w:b/>
                <w:bCs/>
                <w:sz w:val="18"/>
                <w:szCs w:val="18"/>
              </w:rPr>
              <w:t>6</w:t>
            </w:r>
            <w:r w:rsidR="00E45CA6" w:rsidRPr="00693900">
              <w:rPr>
                <w:rFonts w:eastAsia="Times New Roman" w:cs="Arial"/>
                <w:b/>
                <w:bCs/>
                <w:sz w:val="18"/>
                <w:szCs w:val="18"/>
              </w:rPr>
              <w:t>.2016.</w:t>
            </w:r>
          </w:p>
        </w:tc>
      </w:tr>
      <w:tr w:rsidR="00706D2E" w:rsidRPr="00693900" w14:paraId="2EB406E5" w14:textId="77777777" w:rsidTr="00706D2E">
        <w:trPr>
          <w:trHeight w:val="95"/>
        </w:trPr>
        <w:tc>
          <w:tcPr>
            <w:tcW w:w="6237" w:type="dxa"/>
            <w:tcBorders>
              <w:left w:val="nil"/>
              <w:bottom w:val="nil"/>
              <w:right w:val="nil"/>
            </w:tcBorders>
            <w:shd w:val="clear" w:color="auto" w:fill="auto"/>
            <w:vAlign w:val="bottom"/>
          </w:tcPr>
          <w:p w14:paraId="5A520653" w14:textId="77777777" w:rsidR="00706D2E" w:rsidRPr="00FB01C4" w:rsidRDefault="00706D2E" w:rsidP="00706D2E">
            <w:pPr>
              <w:spacing w:after="0" w:line="220" w:lineRule="exact"/>
              <w:rPr>
                <w:rFonts w:eastAsia="Times New Roman" w:cs="Arial"/>
                <w:b/>
                <w:bCs/>
                <w:sz w:val="18"/>
                <w:szCs w:val="18"/>
              </w:rPr>
            </w:pPr>
          </w:p>
        </w:tc>
        <w:tc>
          <w:tcPr>
            <w:tcW w:w="1276" w:type="dxa"/>
            <w:tcBorders>
              <w:left w:val="nil"/>
              <w:bottom w:val="nil"/>
              <w:right w:val="nil"/>
            </w:tcBorders>
            <w:shd w:val="clear" w:color="auto" w:fill="auto"/>
            <w:noWrap/>
            <w:vAlign w:val="bottom"/>
          </w:tcPr>
          <w:p w14:paraId="17C990F2" w14:textId="77777777" w:rsidR="00706D2E" w:rsidRPr="00693900" w:rsidRDefault="00706D2E" w:rsidP="00706D2E">
            <w:pPr>
              <w:spacing w:after="0" w:line="220" w:lineRule="exact"/>
              <w:jc w:val="right"/>
              <w:rPr>
                <w:rFonts w:eastAsia="Times New Roman" w:cs="Arial"/>
                <w:b/>
                <w:bCs/>
                <w:sz w:val="18"/>
                <w:szCs w:val="18"/>
              </w:rPr>
            </w:pPr>
          </w:p>
        </w:tc>
        <w:tc>
          <w:tcPr>
            <w:tcW w:w="1134" w:type="dxa"/>
            <w:tcBorders>
              <w:left w:val="nil"/>
              <w:bottom w:val="nil"/>
              <w:right w:val="nil"/>
            </w:tcBorders>
          </w:tcPr>
          <w:p w14:paraId="2ACA51E2" w14:textId="77777777" w:rsidR="00706D2E" w:rsidRPr="00693900" w:rsidRDefault="00706D2E" w:rsidP="00706D2E">
            <w:pPr>
              <w:spacing w:after="0" w:line="220" w:lineRule="exact"/>
              <w:jc w:val="right"/>
              <w:rPr>
                <w:rFonts w:eastAsia="Times New Roman" w:cs="Arial"/>
                <w:b/>
                <w:bCs/>
                <w:sz w:val="18"/>
                <w:szCs w:val="18"/>
              </w:rPr>
            </w:pPr>
          </w:p>
        </w:tc>
      </w:tr>
      <w:tr w:rsidR="00706D2E" w:rsidRPr="00693900" w14:paraId="08F2137D" w14:textId="77777777" w:rsidTr="00706D2E">
        <w:trPr>
          <w:trHeight w:val="59"/>
        </w:trPr>
        <w:tc>
          <w:tcPr>
            <w:tcW w:w="6237" w:type="dxa"/>
            <w:tcBorders>
              <w:top w:val="nil"/>
              <w:left w:val="nil"/>
              <w:bottom w:val="nil"/>
              <w:right w:val="nil"/>
            </w:tcBorders>
            <w:shd w:val="clear" w:color="auto" w:fill="auto"/>
            <w:vAlign w:val="bottom"/>
          </w:tcPr>
          <w:p w14:paraId="4B795715" w14:textId="77777777" w:rsidR="00706D2E" w:rsidRPr="00FB01C4" w:rsidRDefault="00706D2E" w:rsidP="00706D2E">
            <w:pPr>
              <w:spacing w:after="0" w:line="140" w:lineRule="exact"/>
              <w:rPr>
                <w:rFonts w:eastAsia="Times New Roman" w:cs="Arial"/>
                <w:sz w:val="18"/>
                <w:szCs w:val="18"/>
              </w:rPr>
            </w:pPr>
          </w:p>
        </w:tc>
        <w:tc>
          <w:tcPr>
            <w:tcW w:w="1276" w:type="dxa"/>
            <w:tcBorders>
              <w:top w:val="nil"/>
              <w:left w:val="nil"/>
              <w:bottom w:val="nil"/>
              <w:right w:val="nil"/>
            </w:tcBorders>
            <w:shd w:val="clear" w:color="auto" w:fill="auto"/>
            <w:noWrap/>
            <w:vAlign w:val="bottom"/>
          </w:tcPr>
          <w:p w14:paraId="090E9CF2" w14:textId="77777777" w:rsidR="00706D2E" w:rsidRPr="00693900" w:rsidRDefault="00706D2E" w:rsidP="00706D2E">
            <w:pPr>
              <w:spacing w:after="0" w:line="140" w:lineRule="exact"/>
              <w:rPr>
                <w:rFonts w:eastAsia="Times New Roman" w:cs="Arial"/>
                <w:sz w:val="18"/>
                <w:szCs w:val="18"/>
              </w:rPr>
            </w:pPr>
          </w:p>
        </w:tc>
        <w:tc>
          <w:tcPr>
            <w:tcW w:w="1134" w:type="dxa"/>
            <w:tcBorders>
              <w:top w:val="nil"/>
              <w:left w:val="nil"/>
              <w:bottom w:val="nil"/>
              <w:right w:val="nil"/>
            </w:tcBorders>
          </w:tcPr>
          <w:p w14:paraId="10A79B00" w14:textId="77777777" w:rsidR="00706D2E" w:rsidRPr="00693900" w:rsidRDefault="00706D2E" w:rsidP="00706D2E">
            <w:pPr>
              <w:spacing w:after="0" w:line="140" w:lineRule="exact"/>
              <w:rPr>
                <w:rFonts w:eastAsia="Times New Roman" w:cs="Arial"/>
                <w:sz w:val="18"/>
                <w:szCs w:val="18"/>
              </w:rPr>
            </w:pPr>
          </w:p>
        </w:tc>
      </w:tr>
      <w:tr w:rsidR="00665926" w:rsidRPr="00693900" w14:paraId="29C66310" w14:textId="77777777" w:rsidTr="00312975">
        <w:trPr>
          <w:trHeight w:val="109"/>
        </w:trPr>
        <w:tc>
          <w:tcPr>
            <w:tcW w:w="6237" w:type="dxa"/>
            <w:tcBorders>
              <w:top w:val="nil"/>
              <w:left w:val="nil"/>
              <w:bottom w:val="nil"/>
              <w:right w:val="nil"/>
            </w:tcBorders>
            <w:shd w:val="clear" w:color="auto" w:fill="auto"/>
            <w:vAlign w:val="bottom"/>
          </w:tcPr>
          <w:p w14:paraId="49E256A3" w14:textId="77777777" w:rsidR="00665926" w:rsidRPr="00FB01C4" w:rsidRDefault="00665926" w:rsidP="00665926">
            <w:pPr>
              <w:spacing w:after="0" w:line="220" w:lineRule="exact"/>
              <w:rPr>
                <w:rFonts w:eastAsia="Times New Roman" w:cs="Arial"/>
                <w:b/>
                <w:sz w:val="18"/>
                <w:szCs w:val="18"/>
              </w:rPr>
            </w:pPr>
            <w:r w:rsidRPr="00FB01C4">
              <w:rPr>
                <w:rFonts w:eastAsia="Times New Roman" w:cs="Arial"/>
                <w:b/>
                <w:sz w:val="18"/>
                <w:szCs w:val="18"/>
              </w:rPr>
              <w:t>Poslovne aktivnosti</w:t>
            </w:r>
          </w:p>
        </w:tc>
        <w:tc>
          <w:tcPr>
            <w:tcW w:w="1276" w:type="dxa"/>
            <w:tcBorders>
              <w:top w:val="nil"/>
              <w:left w:val="nil"/>
              <w:bottom w:val="nil"/>
              <w:right w:val="nil"/>
            </w:tcBorders>
            <w:shd w:val="clear" w:color="auto" w:fill="auto"/>
            <w:noWrap/>
            <w:vAlign w:val="bottom"/>
          </w:tcPr>
          <w:p w14:paraId="0B2275D9" w14:textId="77777777" w:rsidR="00665926" w:rsidRPr="00693900" w:rsidRDefault="00665926" w:rsidP="00665926">
            <w:pPr>
              <w:spacing w:after="0" w:line="220" w:lineRule="exact"/>
              <w:jc w:val="right"/>
              <w:rPr>
                <w:rFonts w:eastAsia="Times New Roman" w:cs="Arial"/>
                <w:sz w:val="18"/>
                <w:szCs w:val="18"/>
              </w:rPr>
            </w:pPr>
          </w:p>
        </w:tc>
        <w:tc>
          <w:tcPr>
            <w:tcW w:w="1134" w:type="dxa"/>
            <w:tcBorders>
              <w:top w:val="nil"/>
              <w:left w:val="nil"/>
              <w:bottom w:val="nil"/>
              <w:right w:val="nil"/>
            </w:tcBorders>
            <w:shd w:val="clear" w:color="auto" w:fill="auto"/>
            <w:vAlign w:val="bottom"/>
          </w:tcPr>
          <w:p w14:paraId="440FB603" w14:textId="77777777" w:rsidR="00665926" w:rsidRPr="00693900" w:rsidRDefault="00665926" w:rsidP="00665926">
            <w:pPr>
              <w:spacing w:after="0" w:line="220" w:lineRule="exact"/>
              <w:jc w:val="right"/>
              <w:rPr>
                <w:rFonts w:eastAsia="Times New Roman" w:cs="Arial"/>
                <w:sz w:val="18"/>
                <w:szCs w:val="18"/>
              </w:rPr>
            </w:pPr>
          </w:p>
        </w:tc>
      </w:tr>
      <w:tr w:rsidR="00C854C0" w:rsidRPr="00693900" w14:paraId="7D1F0741" w14:textId="77777777" w:rsidTr="00312975">
        <w:trPr>
          <w:trHeight w:val="66"/>
        </w:trPr>
        <w:tc>
          <w:tcPr>
            <w:tcW w:w="6237" w:type="dxa"/>
            <w:tcBorders>
              <w:top w:val="nil"/>
              <w:left w:val="nil"/>
              <w:bottom w:val="nil"/>
              <w:right w:val="nil"/>
            </w:tcBorders>
            <w:shd w:val="clear" w:color="auto" w:fill="auto"/>
            <w:vAlign w:val="bottom"/>
          </w:tcPr>
          <w:p w14:paraId="3AD32BB6" w14:textId="77777777" w:rsidR="00C854C0" w:rsidRPr="00FB01C4" w:rsidRDefault="00C854C0" w:rsidP="00C854C0">
            <w:pPr>
              <w:spacing w:after="0" w:line="220" w:lineRule="exact"/>
              <w:rPr>
                <w:rFonts w:eastAsia="Times New Roman" w:cs="Arial"/>
                <w:sz w:val="18"/>
                <w:szCs w:val="18"/>
              </w:rPr>
            </w:pPr>
            <w:r w:rsidRPr="00FB01C4">
              <w:rPr>
                <w:rFonts w:eastAsia="Times New Roman" w:cs="Arial"/>
                <w:sz w:val="18"/>
                <w:szCs w:val="18"/>
              </w:rPr>
              <w:t>Dobit prije oporezivanja</w:t>
            </w:r>
          </w:p>
        </w:tc>
        <w:tc>
          <w:tcPr>
            <w:tcW w:w="1276" w:type="dxa"/>
            <w:tcBorders>
              <w:top w:val="nil"/>
              <w:left w:val="nil"/>
              <w:bottom w:val="nil"/>
              <w:right w:val="nil"/>
            </w:tcBorders>
            <w:shd w:val="clear" w:color="auto" w:fill="auto"/>
            <w:noWrap/>
            <w:vAlign w:val="bottom"/>
          </w:tcPr>
          <w:p w14:paraId="5240C938" w14:textId="6D524931" w:rsidR="00C854C0" w:rsidRPr="00693900" w:rsidRDefault="00C854C0" w:rsidP="00C854C0">
            <w:pPr>
              <w:spacing w:after="0" w:line="220" w:lineRule="exact"/>
              <w:jc w:val="right"/>
              <w:rPr>
                <w:rFonts w:eastAsia="Times New Roman" w:cs="Arial"/>
                <w:sz w:val="18"/>
                <w:szCs w:val="18"/>
              </w:rPr>
            </w:pPr>
            <w:r>
              <w:rPr>
                <w:rFonts w:ascii="Calibri" w:eastAsia="Times New Roman" w:hAnsi="Calibri" w:cs="Arial"/>
                <w:sz w:val="18"/>
                <w:szCs w:val="18"/>
              </w:rPr>
              <w:t>1.394</w:t>
            </w:r>
          </w:p>
        </w:tc>
        <w:tc>
          <w:tcPr>
            <w:tcW w:w="1134" w:type="dxa"/>
            <w:tcBorders>
              <w:top w:val="nil"/>
              <w:left w:val="nil"/>
              <w:bottom w:val="nil"/>
              <w:right w:val="nil"/>
            </w:tcBorders>
            <w:shd w:val="clear" w:color="auto" w:fill="auto"/>
            <w:vAlign w:val="bottom"/>
          </w:tcPr>
          <w:p w14:paraId="1A745CF6" w14:textId="08CEC794" w:rsidR="00C854C0" w:rsidRPr="00FB01C4" w:rsidRDefault="00C854C0" w:rsidP="00C854C0">
            <w:pPr>
              <w:spacing w:after="0" w:line="220" w:lineRule="exact"/>
              <w:jc w:val="right"/>
              <w:rPr>
                <w:rFonts w:eastAsia="Times New Roman" w:cs="Arial"/>
                <w:sz w:val="18"/>
                <w:szCs w:val="18"/>
              </w:rPr>
            </w:pPr>
            <w:r w:rsidRPr="002B2DDF">
              <w:rPr>
                <w:rFonts w:eastAsia="Times New Roman" w:cs="Arial"/>
                <w:sz w:val="18"/>
                <w:szCs w:val="18"/>
              </w:rPr>
              <w:t>443</w:t>
            </w:r>
          </w:p>
        </w:tc>
      </w:tr>
      <w:tr w:rsidR="00C854C0" w:rsidRPr="00693900" w14:paraId="0CF6FD3A" w14:textId="77777777" w:rsidTr="00312975">
        <w:trPr>
          <w:trHeight w:val="180"/>
        </w:trPr>
        <w:tc>
          <w:tcPr>
            <w:tcW w:w="6237" w:type="dxa"/>
            <w:tcBorders>
              <w:top w:val="nil"/>
              <w:left w:val="nil"/>
              <w:bottom w:val="nil"/>
              <w:right w:val="nil"/>
            </w:tcBorders>
            <w:shd w:val="clear" w:color="auto" w:fill="auto"/>
            <w:vAlign w:val="bottom"/>
          </w:tcPr>
          <w:p w14:paraId="2A664A2A" w14:textId="77777777" w:rsidR="00C854C0" w:rsidRPr="00693900" w:rsidRDefault="00C854C0" w:rsidP="00C854C0">
            <w:pPr>
              <w:spacing w:after="0" w:line="220" w:lineRule="exact"/>
              <w:rPr>
                <w:rFonts w:eastAsia="Times New Roman" w:cs="Arial"/>
                <w:i/>
                <w:sz w:val="18"/>
                <w:szCs w:val="18"/>
              </w:rPr>
            </w:pPr>
            <w:r w:rsidRPr="00FB01C4">
              <w:rPr>
                <w:rFonts w:eastAsia="Times New Roman" w:cs="Arial"/>
                <w:i/>
                <w:sz w:val="18"/>
                <w:szCs w:val="18"/>
              </w:rPr>
              <w:t>Usklađenje na neto novčana sredstva ostvarena i uporabljena za poslovne aktivnosti</w:t>
            </w:r>
          </w:p>
        </w:tc>
        <w:tc>
          <w:tcPr>
            <w:tcW w:w="1276" w:type="dxa"/>
            <w:tcBorders>
              <w:top w:val="nil"/>
              <w:left w:val="nil"/>
              <w:bottom w:val="nil"/>
              <w:right w:val="nil"/>
            </w:tcBorders>
            <w:shd w:val="clear" w:color="auto" w:fill="auto"/>
            <w:noWrap/>
            <w:vAlign w:val="bottom"/>
          </w:tcPr>
          <w:p w14:paraId="31380959" w14:textId="77777777" w:rsidR="00C854C0" w:rsidRPr="00693900" w:rsidRDefault="00C854C0" w:rsidP="00C854C0">
            <w:pPr>
              <w:spacing w:after="0" w:line="220" w:lineRule="exact"/>
              <w:jc w:val="right"/>
              <w:rPr>
                <w:rFonts w:eastAsia="Times New Roman" w:cs="Arial"/>
                <w:sz w:val="18"/>
                <w:szCs w:val="18"/>
              </w:rPr>
            </w:pPr>
          </w:p>
        </w:tc>
        <w:tc>
          <w:tcPr>
            <w:tcW w:w="1134" w:type="dxa"/>
            <w:tcBorders>
              <w:top w:val="nil"/>
              <w:left w:val="nil"/>
              <w:bottom w:val="nil"/>
              <w:right w:val="nil"/>
            </w:tcBorders>
            <w:shd w:val="clear" w:color="auto" w:fill="auto"/>
            <w:vAlign w:val="bottom"/>
          </w:tcPr>
          <w:p w14:paraId="4DCB57E0" w14:textId="77777777" w:rsidR="00C854C0" w:rsidRPr="00693900" w:rsidRDefault="00C854C0" w:rsidP="00C854C0">
            <w:pPr>
              <w:spacing w:after="0" w:line="220" w:lineRule="exact"/>
              <w:jc w:val="right"/>
              <w:rPr>
                <w:rFonts w:eastAsia="Times New Roman" w:cs="Arial"/>
                <w:sz w:val="18"/>
                <w:szCs w:val="18"/>
              </w:rPr>
            </w:pPr>
          </w:p>
        </w:tc>
      </w:tr>
      <w:tr w:rsidR="00C854C0" w:rsidRPr="00693900" w14:paraId="087E6E32" w14:textId="77777777" w:rsidTr="00312975">
        <w:trPr>
          <w:trHeight w:val="180"/>
        </w:trPr>
        <w:tc>
          <w:tcPr>
            <w:tcW w:w="6237" w:type="dxa"/>
            <w:tcBorders>
              <w:top w:val="nil"/>
              <w:left w:val="nil"/>
              <w:bottom w:val="nil"/>
              <w:right w:val="nil"/>
            </w:tcBorders>
            <w:shd w:val="clear" w:color="auto" w:fill="auto"/>
            <w:vAlign w:val="bottom"/>
          </w:tcPr>
          <w:p w14:paraId="7A5D4D2B" w14:textId="77777777" w:rsidR="00C854C0" w:rsidRPr="00FB01C4" w:rsidRDefault="00C854C0" w:rsidP="00C854C0">
            <w:pPr>
              <w:spacing w:after="0" w:line="220" w:lineRule="exact"/>
              <w:rPr>
                <w:rFonts w:eastAsia="Times New Roman" w:cs="Arial"/>
                <w:sz w:val="18"/>
                <w:szCs w:val="18"/>
              </w:rPr>
            </w:pPr>
            <w:r w:rsidRPr="00FB01C4">
              <w:rPr>
                <w:rFonts w:eastAsia="Times New Roman" w:cs="Arial"/>
                <w:sz w:val="18"/>
                <w:szCs w:val="18"/>
              </w:rPr>
              <w:t>Amortizacija</w:t>
            </w:r>
          </w:p>
        </w:tc>
        <w:tc>
          <w:tcPr>
            <w:tcW w:w="1276" w:type="dxa"/>
            <w:tcBorders>
              <w:top w:val="nil"/>
              <w:left w:val="nil"/>
              <w:bottom w:val="nil"/>
              <w:right w:val="nil"/>
            </w:tcBorders>
            <w:shd w:val="clear" w:color="auto" w:fill="auto"/>
            <w:noWrap/>
            <w:vAlign w:val="bottom"/>
          </w:tcPr>
          <w:p w14:paraId="6866662D" w14:textId="7FCB2618" w:rsidR="00C854C0" w:rsidRPr="00693900" w:rsidRDefault="00C854C0" w:rsidP="00C854C0">
            <w:pPr>
              <w:spacing w:after="0" w:line="220" w:lineRule="exact"/>
              <w:jc w:val="right"/>
              <w:rPr>
                <w:rFonts w:eastAsia="Times New Roman" w:cs="Arial"/>
                <w:sz w:val="18"/>
                <w:szCs w:val="18"/>
              </w:rPr>
            </w:pPr>
            <w:r>
              <w:rPr>
                <w:rFonts w:ascii="Calibri" w:eastAsia="Times New Roman" w:hAnsi="Calibri" w:cs="Arial"/>
                <w:sz w:val="18"/>
                <w:szCs w:val="18"/>
              </w:rPr>
              <w:t>31</w:t>
            </w:r>
          </w:p>
        </w:tc>
        <w:tc>
          <w:tcPr>
            <w:tcW w:w="1134" w:type="dxa"/>
            <w:tcBorders>
              <w:top w:val="nil"/>
              <w:left w:val="nil"/>
              <w:bottom w:val="nil"/>
              <w:right w:val="nil"/>
            </w:tcBorders>
            <w:shd w:val="clear" w:color="auto" w:fill="auto"/>
            <w:vAlign w:val="bottom"/>
          </w:tcPr>
          <w:p w14:paraId="3B6ABA6B" w14:textId="2F8162CD" w:rsidR="00C854C0" w:rsidRPr="00FB01C4" w:rsidRDefault="00C854C0" w:rsidP="00C854C0">
            <w:pPr>
              <w:spacing w:after="0" w:line="220" w:lineRule="exact"/>
              <w:jc w:val="right"/>
              <w:rPr>
                <w:rFonts w:eastAsia="Times New Roman" w:cs="Arial"/>
                <w:sz w:val="18"/>
                <w:szCs w:val="18"/>
              </w:rPr>
            </w:pPr>
            <w:r w:rsidRPr="002B2DDF">
              <w:rPr>
                <w:rFonts w:eastAsia="Times New Roman" w:cs="Arial"/>
                <w:sz w:val="18"/>
                <w:szCs w:val="18"/>
              </w:rPr>
              <w:t>36</w:t>
            </w:r>
          </w:p>
        </w:tc>
      </w:tr>
      <w:tr w:rsidR="00C854C0" w:rsidRPr="00693900" w14:paraId="31A35FEC" w14:textId="77777777" w:rsidTr="00312975">
        <w:trPr>
          <w:trHeight w:val="180"/>
        </w:trPr>
        <w:tc>
          <w:tcPr>
            <w:tcW w:w="6237" w:type="dxa"/>
            <w:tcBorders>
              <w:top w:val="nil"/>
              <w:left w:val="nil"/>
              <w:bottom w:val="nil"/>
              <w:right w:val="nil"/>
            </w:tcBorders>
            <w:shd w:val="clear" w:color="auto" w:fill="auto"/>
            <w:vAlign w:val="bottom"/>
          </w:tcPr>
          <w:p w14:paraId="7556270A" w14:textId="77777777" w:rsidR="00C854C0" w:rsidRPr="00AC74E4" w:rsidRDefault="00C854C0" w:rsidP="00C854C0">
            <w:pPr>
              <w:spacing w:after="0" w:line="220" w:lineRule="exact"/>
              <w:rPr>
                <w:rFonts w:eastAsia="Times New Roman" w:cs="Arial"/>
                <w:sz w:val="18"/>
                <w:szCs w:val="18"/>
              </w:rPr>
            </w:pPr>
            <w:r w:rsidRPr="00FB01C4">
              <w:rPr>
                <w:rFonts w:eastAsia="Times New Roman" w:cs="Arial"/>
                <w:sz w:val="18"/>
                <w:szCs w:val="18"/>
              </w:rPr>
              <w:t>Gubitak od umanjenja vrijednosti i rezerviranja</w:t>
            </w:r>
          </w:p>
        </w:tc>
        <w:tc>
          <w:tcPr>
            <w:tcW w:w="1276" w:type="dxa"/>
            <w:tcBorders>
              <w:top w:val="nil"/>
              <w:left w:val="nil"/>
              <w:bottom w:val="nil"/>
              <w:right w:val="nil"/>
            </w:tcBorders>
            <w:shd w:val="clear" w:color="auto" w:fill="auto"/>
            <w:noWrap/>
            <w:vAlign w:val="bottom"/>
          </w:tcPr>
          <w:p w14:paraId="0524914A" w14:textId="11B82486" w:rsidR="00C854C0" w:rsidRPr="00693900" w:rsidRDefault="00C854C0" w:rsidP="00C854C0">
            <w:pPr>
              <w:spacing w:after="0" w:line="220" w:lineRule="exact"/>
              <w:jc w:val="right"/>
              <w:rPr>
                <w:rFonts w:eastAsia="Times New Roman" w:cs="Arial"/>
                <w:sz w:val="18"/>
                <w:szCs w:val="18"/>
              </w:rPr>
            </w:pPr>
            <w:r>
              <w:rPr>
                <w:rFonts w:ascii="Calibri" w:eastAsia="Times New Roman" w:hAnsi="Calibri" w:cs="Arial"/>
                <w:sz w:val="18"/>
                <w:szCs w:val="18"/>
              </w:rPr>
              <w:t>(26)</w:t>
            </w:r>
          </w:p>
        </w:tc>
        <w:tc>
          <w:tcPr>
            <w:tcW w:w="1134" w:type="dxa"/>
            <w:tcBorders>
              <w:top w:val="nil"/>
              <w:left w:val="nil"/>
              <w:bottom w:val="nil"/>
              <w:right w:val="nil"/>
            </w:tcBorders>
            <w:shd w:val="clear" w:color="auto" w:fill="auto"/>
            <w:vAlign w:val="bottom"/>
          </w:tcPr>
          <w:p w14:paraId="66E671A9" w14:textId="605DD82F" w:rsidR="00C854C0" w:rsidRPr="00FB01C4" w:rsidRDefault="00C854C0" w:rsidP="00C854C0">
            <w:pPr>
              <w:spacing w:after="0" w:line="220" w:lineRule="exact"/>
              <w:jc w:val="right"/>
              <w:rPr>
                <w:rFonts w:eastAsia="Times New Roman" w:cs="Arial"/>
                <w:sz w:val="18"/>
                <w:szCs w:val="18"/>
              </w:rPr>
            </w:pPr>
            <w:r w:rsidRPr="002B2DDF">
              <w:rPr>
                <w:rFonts w:eastAsia="Times New Roman" w:cs="Arial"/>
                <w:sz w:val="18"/>
                <w:szCs w:val="18"/>
              </w:rPr>
              <w:t>(42)</w:t>
            </w:r>
          </w:p>
        </w:tc>
      </w:tr>
      <w:tr w:rsidR="00C854C0" w:rsidRPr="00693900" w14:paraId="5E8C2849" w14:textId="77777777" w:rsidTr="00312975">
        <w:trPr>
          <w:trHeight w:val="184"/>
        </w:trPr>
        <w:tc>
          <w:tcPr>
            <w:tcW w:w="6237" w:type="dxa"/>
            <w:tcBorders>
              <w:top w:val="nil"/>
              <w:left w:val="nil"/>
              <w:bottom w:val="nil"/>
              <w:right w:val="nil"/>
            </w:tcBorders>
            <w:shd w:val="clear" w:color="auto" w:fill="auto"/>
            <w:vAlign w:val="bottom"/>
          </w:tcPr>
          <w:p w14:paraId="63A3C06A" w14:textId="77777777" w:rsidR="00C854C0" w:rsidRPr="00FB01C4" w:rsidRDefault="00C854C0" w:rsidP="00C854C0">
            <w:pPr>
              <w:spacing w:after="0" w:line="220" w:lineRule="exact"/>
              <w:rPr>
                <w:rFonts w:eastAsia="Times New Roman" w:cs="Arial"/>
                <w:sz w:val="18"/>
                <w:szCs w:val="18"/>
              </w:rPr>
            </w:pPr>
            <w:r w:rsidRPr="00FB01C4">
              <w:rPr>
                <w:rFonts w:eastAsia="Times New Roman" w:cs="Arial"/>
                <w:sz w:val="18"/>
                <w:szCs w:val="18"/>
              </w:rPr>
              <w:t>Porez na dobit</w:t>
            </w:r>
          </w:p>
        </w:tc>
        <w:tc>
          <w:tcPr>
            <w:tcW w:w="1276" w:type="dxa"/>
            <w:tcBorders>
              <w:top w:val="nil"/>
              <w:left w:val="nil"/>
              <w:bottom w:val="nil"/>
              <w:right w:val="nil"/>
            </w:tcBorders>
            <w:shd w:val="clear" w:color="auto" w:fill="auto"/>
            <w:noWrap/>
            <w:vAlign w:val="bottom"/>
          </w:tcPr>
          <w:p w14:paraId="1C19A0FD" w14:textId="0B3B6310" w:rsidR="00C854C0" w:rsidRPr="00693900" w:rsidRDefault="00C854C0" w:rsidP="00C854C0">
            <w:pPr>
              <w:spacing w:after="0" w:line="220" w:lineRule="exact"/>
              <w:jc w:val="right"/>
              <w:rPr>
                <w:rFonts w:eastAsia="Times New Roman" w:cs="Arial"/>
                <w:sz w:val="18"/>
                <w:szCs w:val="18"/>
              </w:rPr>
            </w:pPr>
            <w:r w:rsidRPr="00D77059">
              <w:rPr>
                <w:rFonts w:ascii="Calibri" w:eastAsia="Times New Roman" w:hAnsi="Calibri" w:cs="Arial"/>
                <w:sz w:val="18"/>
                <w:szCs w:val="18"/>
              </w:rPr>
              <w:t>-</w:t>
            </w:r>
          </w:p>
        </w:tc>
        <w:tc>
          <w:tcPr>
            <w:tcW w:w="1134" w:type="dxa"/>
            <w:tcBorders>
              <w:top w:val="nil"/>
              <w:left w:val="nil"/>
              <w:bottom w:val="nil"/>
              <w:right w:val="nil"/>
            </w:tcBorders>
            <w:shd w:val="clear" w:color="auto" w:fill="auto"/>
            <w:vAlign w:val="bottom"/>
          </w:tcPr>
          <w:p w14:paraId="1E41D4C4" w14:textId="00540414" w:rsidR="00C854C0" w:rsidRPr="00FB01C4" w:rsidRDefault="00C854C0" w:rsidP="00C854C0">
            <w:pPr>
              <w:spacing w:after="0" w:line="220" w:lineRule="exact"/>
              <w:jc w:val="right"/>
              <w:rPr>
                <w:rFonts w:eastAsia="Times New Roman" w:cs="Arial"/>
                <w:sz w:val="18"/>
                <w:szCs w:val="18"/>
              </w:rPr>
            </w:pPr>
            <w:r w:rsidRPr="002B2DDF">
              <w:rPr>
                <w:rFonts w:eastAsia="Times New Roman" w:cs="Arial"/>
                <w:sz w:val="18"/>
                <w:szCs w:val="18"/>
              </w:rPr>
              <w:t>-</w:t>
            </w:r>
          </w:p>
        </w:tc>
      </w:tr>
      <w:tr w:rsidR="00C854C0" w:rsidRPr="00693900" w14:paraId="40388878" w14:textId="77777777" w:rsidTr="00312975">
        <w:trPr>
          <w:trHeight w:val="184"/>
        </w:trPr>
        <w:tc>
          <w:tcPr>
            <w:tcW w:w="6237" w:type="dxa"/>
            <w:tcBorders>
              <w:top w:val="nil"/>
              <w:left w:val="nil"/>
              <w:bottom w:val="nil"/>
              <w:right w:val="nil"/>
            </w:tcBorders>
            <w:shd w:val="clear" w:color="auto" w:fill="auto"/>
            <w:vAlign w:val="bottom"/>
          </w:tcPr>
          <w:p w14:paraId="41F2647E" w14:textId="77777777" w:rsidR="00C854C0" w:rsidRPr="00FB01C4" w:rsidRDefault="00C854C0" w:rsidP="00C854C0">
            <w:pPr>
              <w:spacing w:after="0" w:line="220" w:lineRule="exact"/>
              <w:rPr>
                <w:rFonts w:eastAsia="Times New Roman" w:cs="Arial"/>
                <w:sz w:val="18"/>
                <w:szCs w:val="18"/>
              </w:rPr>
            </w:pPr>
            <w:r w:rsidRPr="00FB01C4">
              <w:rPr>
                <w:rFonts w:eastAsia="Times New Roman" w:cs="Arial"/>
                <w:sz w:val="18"/>
                <w:szCs w:val="18"/>
              </w:rPr>
              <w:t>Obračunane kamate</w:t>
            </w:r>
          </w:p>
        </w:tc>
        <w:tc>
          <w:tcPr>
            <w:tcW w:w="1276" w:type="dxa"/>
            <w:tcBorders>
              <w:top w:val="nil"/>
              <w:left w:val="nil"/>
              <w:bottom w:val="nil"/>
              <w:right w:val="nil"/>
            </w:tcBorders>
            <w:shd w:val="clear" w:color="auto" w:fill="auto"/>
            <w:noWrap/>
            <w:vAlign w:val="bottom"/>
          </w:tcPr>
          <w:p w14:paraId="0B0605CD" w14:textId="322D2DA3" w:rsidR="00C854C0" w:rsidRPr="00693900" w:rsidRDefault="00C854C0" w:rsidP="00C854C0">
            <w:pPr>
              <w:spacing w:after="0" w:line="220" w:lineRule="exact"/>
              <w:jc w:val="right"/>
              <w:rPr>
                <w:rFonts w:eastAsia="Times New Roman" w:cs="Arial"/>
                <w:sz w:val="18"/>
                <w:szCs w:val="18"/>
              </w:rPr>
            </w:pPr>
            <w:r>
              <w:rPr>
                <w:rFonts w:ascii="Calibri" w:eastAsia="Times New Roman" w:hAnsi="Calibri" w:cs="Arial"/>
                <w:sz w:val="18"/>
                <w:szCs w:val="18"/>
              </w:rPr>
              <w:t>(22)</w:t>
            </w:r>
          </w:p>
        </w:tc>
        <w:tc>
          <w:tcPr>
            <w:tcW w:w="1134" w:type="dxa"/>
            <w:tcBorders>
              <w:top w:val="nil"/>
              <w:left w:val="nil"/>
              <w:right w:val="nil"/>
            </w:tcBorders>
            <w:shd w:val="clear" w:color="auto" w:fill="auto"/>
            <w:vAlign w:val="bottom"/>
          </w:tcPr>
          <w:p w14:paraId="01193CA7" w14:textId="0A3C8CCD" w:rsidR="00C854C0" w:rsidRPr="00FB01C4" w:rsidRDefault="00C854C0" w:rsidP="00C854C0">
            <w:pPr>
              <w:spacing w:after="0" w:line="220" w:lineRule="exact"/>
              <w:jc w:val="right"/>
              <w:rPr>
                <w:rFonts w:eastAsia="Times New Roman" w:cs="Arial"/>
                <w:sz w:val="18"/>
                <w:szCs w:val="18"/>
              </w:rPr>
            </w:pPr>
            <w:r w:rsidRPr="002B2DDF">
              <w:rPr>
                <w:rFonts w:eastAsia="Times New Roman" w:cs="Arial"/>
                <w:sz w:val="18"/>
                <w:szCs w:val="18"/>
              </w:rPr>
              <w:t>15</w:t>
            </w:r>
          </w:p>
        </w:tc>
      </w:tr>
      <w:tr w:rsidR="00C854C0" w:rsidRPr="00693900" w14:paraId="5122139D" w14:textId="77777777" w:rsidTr="00312975">
        <w:trPr>
          <w:trHeight w:val="164"/>
        </w:trPr>
        <w:tc>
          <w:tcPr>
            <w:tcW w:w="6237" w:type="dxa"/>
            <w:tcBorders>
              <w:left w:val="nil"/>
              <w:right w:val="nil"/>
            </w:tcBorders>
            <w:shd w:val="clear" w:color="auto" w:fill="auto"/>
            <w:vAlign w:val="bottom"/>
          </w:tcPr>
          <w:p w14:paraId="53D8271B" w14:textId="77777777" w:rsidR="00C854C0" w:rsidRPr="00FB01C4" w:rsidRDefault="00C854C0" w:rsidP="00C854C0">
            <w:pPr>
              <w:spacing w:after="0" w:line="220" w:lineRule="exact"/>
              <w:rPr>
                <w:rFonts w:eastAsia="Times New Roman" w:cs="Arial"/>
                <w:i/>
                <w:sz w:val="18"/>
                <w:szCs w:val="18"/>
              </w:rPr>
            </w:pPr>
            <w:r w:rsidRPr="00FB01C4">
              <w:rPr>
                <w:rFonts w:eastAsia="Times New Roman" w:cs="Arial"/>
                <w:i/>
                <w:sz w:val="18"/>
                <w:szCs w:val="18"/>
              </w:rPr>
              <w:t>Dobit iz poslovnih aktivnosti prije promjena radnoga kapitala</w:t>
            </w:r>
          </w:p>
        </w:tc>
        <w:tc>
          <w:tcPr>
            <w:tcW w:w="1276" w:type="dxa"/>
            <w:tcBorders>
              <w:top w:val="nil"/>
              <w:left w:val="nil"/>
              <w:bottom w:val="nil"/>
              <w:right w:val="nil"/>
            </w:tcBorders>
            <w:shd w:val="clear" w:color="auto" w:fill="auto"/>
            <w:noWrap/>
            <w:vAlign w:val="bottom"/>
          </w:tcPr>
          <w:p w14:paraId="26610F00" w14:textId="4FF25A61" w:rsidR="00C854C0" w:rsidRPr="00693900" w:rsidRDefault="00C854C0" w:rsidP="00C854C0">
            <w:pPr>
              <w:spacing w:after="0" w:line="220" w:lineRule="exact"/>
              <w:jc w:val="right"/>
              <w:rPr>
                <w:rFonts w:eastAsia="Times New Roman" w:cs="Arial"/>
                <w:i/>
                <w:sz w:val="18"/>
                <w:szCs w:val="18"/>
              </w:rPr>
            </w:pPr>
            <w:r w:rsidRPr="009216A1">
              <w:rPr>
                <w:rFonts w:ascii="Calibri" w:eastAsia="Times New Roman" w:hAnsi="Calibri" w:cs="Arial"/>
                <w:sz w:val="18"/>
                <w:szCs w:val="18"/>
              </w:rPr>
              <w:t>1.377</w:t>
            </w:r>
          </w:p>
        </w:tc>
        <w:tc>
          <w:tcPr>
            <w:tcW w:w="1134" w:type="dxa"/>
            <w:tcBorders>
              <w:left w:val="nil"/>
              <w:right w:val="nil"/>
            </w:tcBorders>
            <w:shd w:val="clear" w:color="auto" w:fill="auto"/>
            <w:vAlign w:val="bottom"/>
          </w:tcPr>
          <w:p w14:paraId="748944D2" w14:textId="1F822723" w:rsidR="00C854C0" w:rsidRPr="00FB01C4" w:rsidRDefault="00C854C0" w:rsidP="00C854C0">
            <w:pPr>
              <w:spacing w:after="0" w:line="220" w:lineRule="exact"/>
              <w:jc w:val="right"/>
              <w:rPr>
                <w:rFonts w:eastAsia="Times New Roman" w:cs="Arial"/>
                <w:i/>
                <w:sz w:val="18"/>
                <w:szCs w:val="18"/>
              </w:rPr>
            </w:pPr>
            <w:r w:rsidRPr="002B2DDF">
              <w:rPr>
                <w:rFonts w:eastAsia="Times New Roman" w:cs="Arial"/>
                <w:sz w:val="18"/>
                <w:szCs w:val="18"/>
              </w:rPr>
              <w:t>452</w:t>
            </w:r>
          </w:p>
        </w:tc>
      </w:tr>
      <w:tr w:rsidR="00C854C0" w:rsidRPr="00693900" w14:paraId="26965543" w14:textId="77777777" w:rsidTr="00312975">
        <w:trPr>
          <w:trHeight w:val="60"/>
        </w:trPr>
        <w:tc>
          <w:tcPr>
            <w:tcW w:w="6237" w:type="dxa"/>
            <w:tcBorders>
              <w:left w:val="nil"/>
              <w:bottom w:val="nil"/>
              <w:right w:val="nil"/>
            </w:tcBorders>
            <w:shd w:val="clear" w:color="auto" w:fill="auto"/>
            <w:vAlign w:val="bottom"/>
          </w:tcPr>
          <w:p w14:paraId="23575A75" w14:textId="77777777" w:rsidR="00C854C0" w:rsidRPr="00FB01C4" w:rsidRDefault="00C854C0" w:rsidP="00C854C0">
            <w:pPr>
              <w:spacing w:after="0" w:line="140" w:lineRule="exact"/>
              <w:rPr>
                <w:rFonts w:eastAsia="Times New Roman" w:cs="Arial"/>
                <w:sz w:val="18"/>
                <w:szCs w:val="18"/>
              </w:rPr>
            </w:pPr>
          </w:p>
        </w:tc>
        <w:tc>
          <w:tcPr>
            <w:tcW w:w="1276" w:type="dxa"/>
            <w:tcBorders>
              <w:left w:val="nil"/>
              <w:bottom w:val="nil"/>
              <w:right w:val="nil"/>
            </w:tcBorders>
            <w:shd w:val="clear" w:color="auto" w:fill="auto"/>
            <w:noWrap/>
            <w:vAlign w:val="bottom"/>
          </w:tcPr>
          <w:p w14:paraId="69360DF9" w14:textId="77777777" w:rsidR="00C854C0" w:rsidRPr="00693900" w:rsidRDefault="00C854C0" w:rsidP="00C854C0">
            <w:pPr>
              <w:spacing w:after="0" w:line="140" w:lineRule="exact"/>
              <w:jc w:val="right"/>
              <w:rPr>
                <w:rFonts w:eastAsia="Times New Roman" w:cs="Arial"/>
                <w:sz w:val="18"/>
                <w:szCs w:val="18"/>
              </w:rPr>
            </w:pPr>
          </w:p>
        </w:tc>
        <w:tc>
          <w:tcPr>
            <w:tcW w:w="1134" w:type="dxa"/>
            <w:tcBorders>
              <w:left w:val="nil"/>
              <w:bottom w:val="nil"/>
              <w:right w:val="nil"/>
            </w:tcBorders>
            <w:shd w:val="clear" w:color="auto" w:fill="auto"/>
            <w:vAlign w:val="bottom"/>
          </w:tcPr>
          <w:p w14:paraId="59C2F0A2" w14:textId="77777777" w:rsidR="00C854C0" w:rsidRPr="00693900" w:rsidRDefault="00C854C0" w:rsidP="00C854C0">
            <w:pPr>
              <w:spacing w:after="0" w:line="140" w:lineRule="exact"/>
              <w:jc w:val="right"/>
              <w:rPr>
                <w:rFonts w:eastAsia="Times New Roman" w:cs="Arial"/>
                <w:sz w:val="18"/>
                <w:szCs w:val="18"/>
              </w:rPr>
            </w:pPr>
          </w:p>
        </w:tc>
      </w:tr>
      <w:tr w:rsidR="00C854C0" w:rsidRPr="00693900" w14:paraId="367C7774" w14:textId="77777777" w:rsidTr="00312975">
        <w:trPr>
          <w:trHeight w:val="148"/>
        </w:trPr>
        <w:tc>
          <w:tcPr>
            <w:tcW w:w="6237" w:type="dxa"/>
            <w:tcBorders>
              <w:top w:val="nil"/>
              <w:left w:val="nil"/>
              <w:bottom w:val="nil"/>
              <w:right w:val="nil"/>
            </w:tcBorders>
            <w:shd w:val="clear" w:color="auto" w:fill="auto"/>
            <w:vAlign w:val="bottom"/>
          </w:tcPr>
          <w:p w14:paraId="7051C015" w14:textId="77777777" w:rsidR="00C854C0" w:rsidRPr="00FB01C4" w:rsidRDefault="00C854C0" w:rsidP="00C854C0">
            <w:pPr>
              <w:spacing w:after="0" w:line="220" w:lineRule="exact"/>
              <w:rPr>
                <w:rFonts w:eastAsia="Times New Roman" w:cs="Arial"/>
                <w:b/>
                <w:sz w:val="18"/>
                <w:szCs w:val="18"/>
              </w:rPr>
            </w:pPr>
            <w:r w:rsidRPr="00FB01C4">
              <w:rPr>
                <w:rFonts w:eastAsia="Times New Roman" w:cs="Arial"/>
                <w:b/>
                <w:sz w:val="18"/>
                <w:szCs w:val="18"/>
              </w:rPr>
              <w:t>Promjene u poslovnim sredstvima i izvorima</w:t>
            </w:r>
          </w:p>
        </w:tc>
        <w:tc>
          <w:tcPr>
            <w:tcW w:w="1276" w:type="dxa"/>
            <w:tcBorders>
              <w:top w:val="nil"/>
              <w:left w:val="nil"/>
              <w:bottom w:val="nil"/>
              <w:right w:val="nil"/>
            </w:tcBorders>
            <w:shd w:val="clear" w:color="auto" w:fill="auto"/>
            <w:noWrap/>
            <w:vAlign w:val="bottom"/>
          </w:tcPr>
          <w:p w14:paraId="0B42D02E" w14:textId="77777777" w:rsidR="00C854C0" w:rsidRPr="00693900" w:rsidRDefault="00C854C0" w:rsidP="00C854C0">
            <w:pPr>
              <w:spacing w:after="0" w:line="220" w:lineRule="exact"/>
              <w:jc w:val="right"/>
              <w:rPr>
                <w:rFonts w:eastAsia="Times New Roman" w:cs="Arial"/>
                <w:sz w:val="18"/>
                <w:szCs w:val="18"/>
              </w:rPr>
            </w:pPr>
          </w:p>
        </w:tc>
        <w:tc>
          <w:tcPr>
            <w:tcW w:w="1134" w:type="dxa"/>
            <w:tcBorders>
              <w:top w:val="nil"/>
              <w:left w:val="nil"/>
              <w:bottom w:val="nil"/>
              <w:right w:val="nil"/>
            </w:tcBorders>
            <w:shd w:val="clear" w:color="auto" w:fill="auto"/>
            <w:vAlign w:val="bottom"/>
          </w:tcPr>
          <w:p w14:paraId="1D393394" w14:textId="77777777" w:rsidR="00C854C0" w:rsidRPr="00693900" w:rsidRDefault="00C854C0" w:rsidP="00C854C0">
            <w:pPr>
              <w:spacing w:after="0" w:line="220" w:lineRule="exact"/>
              <w:jc w:val="right"/>
              <w:rPr>
                <w:rFonts w:eastAsia="Times New Roman" w:cs="Arial"/>
                <w:sz w:val="18"/>
                <w:szCs w:val="18"/>
              </w:rPr>
            </w:pPr>
          </w:p>
        </w:tc>
      </w:tr>
      <w:tr w:rsidR="00C854C0" w:rsidRPr="00693900" w14:paraId="42CC333D" w14:textId="77777777" w:rsidTr="00312975">
        <w:trPr>
          <w:trHeight w:val="254"/>
        </w:trPr>
        <w:tc>
          <w:tcPr>
            <w:tcW w:w="6237" w:type="dxa"/>
            <w:tcBorders>
              <w:top w:val="nil"/>
              <w:left w:val="nil"/>
              <w:bottom w:val="nil"/>
              <w:right w:val="nil"/>
            </w:tcBorders>
            <w:shd w:val="clear" w:color="auto" w:fill="auto"/>
            <w:vAlign w:val="bottom"/>
          </w:tcPr>
          <w:p w14:paraId="653CF3B2" w14:textId="62CFC010" w:rsidR="00C854C0" w:rsidRPr="00FB01C4" w:rsidRDefault="00C854C0" w:rsidP="00C854C0">
            <w:pPr>
              <w:spacing w:after="0" w:line="220" w:lineRule="exact"/>
              <w:rPr>
                <w:rFonts w:eastAsia="Times New Roman" w:cs="Arial"/>
                <w:sz w:val="18"/>
                <w:szCs w:val="18"/>
              </w:rPr>
            </w:pPr>
            <w:r w:rsidRPr="00765D3F">
              <w:rPr>
                <w:rFonts w:eastAsia="Times New Roman" w:cs="Arial"/>
                <w:sz w:val="18"/>
                <w:szCs w:val="18"/>
              </w:rPr>
              <w:t>Neto smanjenje depozita kod drugih banaka</w:t>
            </w:r>
          </w:p>
        </w:tc>
        <w:tc>
          <w:tcPr>
            <w:tcW w:w="1276" w:type="dxa"/>
            <w:tcBorders>
              <w:top w:val="nil"/>
              <w:left w:val="nil"/>
              <w:bottom w:val="nil"/>
              <w:right w:val="nil"/>
            </w:tcBorders>
            <w:shd w:val="clear" w:color="auto" w:fill="auto"/>
            <w:noWrap/>
            <w:vAlign w:val="bottom"/>
          </w:tcPr>
          <w:p w14:paraId="6E5DF331" w14:textId="04EEC372" w:rsidR="00C854C0" w:rsidRPr="00693900" w:rsidDel="00665926" w:rsidRDefault="00C854C0" w:rsidP="00C854C0">
            <w:pPr>
              <w:spacing w:after="0" w:line="220" w:lineRule="exact"/>
              <w:jc w:val="right"/>
              <w:rPr>
                <w:rFonts w:eastAsia="Times New Roman" w:cs="Arial"/>
                <w:sz w:val="18"/>
                <w:szCs w:val="18"/>
              </w:rPr>
            </w:pPr>
            <w:r>
              <w:rPr>
                <w:rFonts w:ascii="Calibri" w:eastAsia="Times New Roman" w:hAnsi="Calibri" w:cs="Arial"/>
                <w:sz w:val="18"/>
                <w:szCs w:val="18"/>
              </w:rPr>
              <w:t>-</w:t>
            </w:r>
          </w:p>
        </w:tc>
        <w:tc>
          <w:tcPr>
            <w:tcW w:w="1134" w:type="dxa"/>
            <w:tcBorders>
              <w:top w:val="nil"/>
              <w:left w:val="nil"/>
              <w:bottom w:val="nil"/>
              <w:right w:val="nil"/>
            </w:tcBorders>
            <w:shd w:val="clear" w:color="auto" w:fill="auto"/>
            <w:vAlign w:val="bottom"/>
          </w:tcPr>
          <w:p w14:paraId="25477E7C" w14:textId="61BF045D" w:rsidR="00C854C0" w:rsidRPr="00665926" w:rsidRDefault="00C854C0" w:rsidP="00C854C0">
            <w:pPr>
              <w:spacing w:after="0" w:line="220" w:lineRule="exact"/>
              <w:jc w:val="right"/>
              <w:rPr>
                <w:rFonts w:cs="Arial"/>
                <w:sz w:val="18"/>
                <w:szCs w:val="18"/>
              </w:rPr>
            </w:pPr>
            <w:r>
              <w:rPr>
                <w:rFonts w:cs="Arial"/>
                <w:sz w:val="18"/>
                <w:szCs w:val="18"/>
              </w:rPr>
              <w:t>2.000</w:t>
            </w:r>
          </w:p>
        </w:tc>
      </w:tr>
      <w:tr w:rsidR="00C854C0" w:rsidRPr="00693900" w14:paraId="3B74DC60" w14:textId="77777777" w:rsidTr="00312975">
        <w:trPr>
          <w:trHeight w:val="254"/>
        </w:trPr>
        <w:tc>
          <w:tcPr>
            <w:tcW w:w="6237" w:type="dxa"/>
            <w:tcBorders>
              <w:top w:val="nil"/>
              <w:left w:val="nil"/>
              <w:bottom w:val="nil"/>
              <w:right w:val="nil"/>
            </w:tcBorders>
            <w:shd w:val="clear" w:color="auto" w:fill="auto"/>
            <w:vAlign w:val="bottom"/>
          </w:tcPr>
          <w:p w14:paraId="2C510C69" w14:textId="77777777" w:rsidR="00C854C0" w:rsidRPr="00FB01C4" w:rsidRDefault="00C854C0" w:rsidP="00C854C0">
            <w:pPr>
              <w:spacing w:after="0" w:line="220" w:lineRule="exact"/>
              <w:rPr>
                <w:rFonts w:eastAsia="Times New Roman" w:cs="Arial"/>
                <w:sz w:val="18"/>
                <w:szCs w:val="18"/>
              </w:rPr>
            </w:pPr>
            <w:r w:rsidRPr="00FB01C4">
              <w:rPr>
                <w:rFonts w:eastAsia="Times New Roman" w:cs="Arial"/>
                <w:sz w:val="18"/>
                <w:szCs w:val="18"/>
              </w:rPr>
              <w:t>Neto (dobitak) od ulaganja u imovinu raspoloživu za prodaju</w:t>
            </w:r>
          </w:p>
        </w:tc>
        <w:tc>
          <w:tcPr>
            <w:tcW w:w="1276" w:type="dxa"/>
            <w:tcBorders>
              <w:top w:val="nil"/>
              <w:left w:val="nil"/>
              <w:bottom w:val="nil"/>
              <w:right w:val="nil"/>
            </w:tcBorders>
            <w:shd w:val="clear" w:color="auto" w:fill="auto"/>
            <w:noWrap/>
            <w:vAlign w:val="bottom"/>
          </w:tcPr>
          <w:p w14:paraId="3C55F5A8" w14:textId="5F2432C5" w:rsidR="00C854C0" w:rsidRPr="00693900" w:rsidRDefault="00C854C0" w:rsidP="00C854C0">
            <w:pPr>
              <w:spacing w:after="0" w:line="220" w:lineRule="exact"/>
              <w:jc w:val="right"/>
              <w:rPr>
                <w:rFonts w:eastAsia="Times New Roman" w:cs="Arial"/>
                <w:sz w:val="18"/>
                <w:szCs w:val="18"/>
              </w:rPr>
            </w:pPr>
            <w:r>
              <w:rPr>
                <w:rFonts w:ascii="Calibri" w:eastAsia="Times New Roman" w:hAnsi="Calibri" w:cs="Arial"/>
                <w:sz w:val="18"/>
                <w:szCs w:val="18"/>
              </w:rPr>
              <w:t>(1)</w:t>
            </w:r>
          </w:p>
        </w:tc>
        <w:tc>
          <w:tcPr>
            <w:tcW w:w="1134" w:type="dxa"/>
            <w:tcBorders>
              <w:top w:val="nil"/>
              <w:left w:val="nil"/>
              <w:bottom w:val="nil"/>
              <w:right w:val="nil"/>
            </w:tcBorders>
            <w:shd w:val="clear" w:color="auto" w:fill="auto"/>
            <w:vAlign w:val="bottom"/>
          </w:tcPr>
          <w:p w14:paraId="48BDFBE2" w14:textId="0ABC8D3B" w:rsidR="00C854C0" w:rsidRPr="00FB01C4" w:rsidRDefault="00C854C0" w:rsidP="00C854C0">
            <w:pPr>
              <w:spacing w:after="0" w:line="220" w:lineRule="exact"/>
              <w:jc w:val="right"/>
              <w:rPr>
                <w:rFonts w:eastAsia="Times New Roman" w:cs="Arial"/>
                <w:sz w:val="18"/>
                <w:szCs w:val="18"/>
              </w:rPr>
            </w:pPr>
            <w:r w:rsidRPr="00665926">
              <w:rPr>
                <w:rFonts w:cs="Arial"/>
                <w:sz w:val="18"/>
                <w:szCs w:val="18"/>
              </w:rPr>
              <w:t>(164)</w:t>
            </w:r>
          </w:p>
        </w:tc>
      </w:tr>
      <w:tr w:rsidR="00C854C0" w:rsidRPr="00693900" w14:paraId="7BB9316C" w14:textId="77777777" w:rsidTr="00312975">
        <w:trPr>
          <w:trHeight w:val="254"/>
        </w:trPr>
        <w:tc>
          <w:tcPr>
            <w:tcW w:w="6237" w:type="dxa"/>
            <w:tcBorders>
              <w:top w:val="nil"/>
              <w:left w:val="nil"/>
              <w:bottom w:val="nil"/>
              <w:right w:val="nil"/>
            </w:tcBorders>
            <w:shd w:val="clear" w:color="auto" w:fill="auto"/>
            <w:vAlign w:val="bottom"/>
          </w:tcPr>
          <w:p w14:paraId="0D372F76" w14:textId="77777777" w:rsidR="00C854C0" w:rsidRPr="00FB01C4" w:rsidRDefault="00C854C0" w:rsidP="00C854C0">
            <w:pPr>
              <w:spacing w:after="0" w:line="220" w:lineRule="exact"/>
              <w:rPr>
                <w:rFonts w:eastAsia="Times New Roman" w:cs="Arial"/>
                <w:sz w:val="18"/>
                <w:szCs w:val="18"/>
              </w:rPr>
            </w:pPr>
            <w:r w:rsidRPr="00FB01C4">
              <w:rPr>
                <w:rFonts w:eastAsia="Times New Roman" w:cs="Arial"/>
                <w:sz w:val="18"/>
                <w:szCs w:val="18"/>
              </w:rPr>
              <w:t>Smanjenje diskonta po imovini raspoloživoj za prodaju i imovini do dospijeća</w:t>
            </w:r>
          </w:p>
        </w:tc>
        <w:tc>
          <w:tcPr>
            <w:tcW w:w="1276" w:type="dxa"/>
            <w:tcBorders>
              <w:top w:val="nil"/>
              <w:left w:val="nil"/>
              <w:bottom w:val="nil"/>
              <w:right w:val="nil"/>
            </w:tcBorders>
            <w:shd w:val="clear" w:color="auto" w:fill="auto"/>
            <w:noWrap/>
            <w:vAlign w:val="bottom"/>
          </w:tcPr>
          <w:p w14:paraId="19247A84" w14:textId="7E82C5DB" w:rsidR="00C854C0" w:rsidRPr="00693900" w:rsidRDefault="00C854C0" w:rsidP="00C854C0">
            <w:pPr>
              <w:spacing w:after="0" w:line="220" w:lineRule="exact"/>
              <w:jc w:val="right"/>
              <w:rPr>
                <w:rFonts w:eastAsia="Times New Roman" w:cs="Arial"/>
                <w:sz w:val="18"/>
                <w:szCs w:val="18"/>
              </w:rPr>
            </w:pPr>
            <w:r>
              <w:rPr>
                <w:rFonts w:ascii="Calibri" w:eastAsia="Times New Roman" w:hAnsi="Calibri" w:cs="Arial"/>
                <w:sz w:val="18"/>
                <w:szCs w:val="18"/>
              </w:rPr>
              <w:t>220</w:t>
            </w:r>
          </w:p>
        </w:tc>
        <w:tc>
          <w:tcPr>
            <w:tcW w:w="1134" w:type="dxa"/>
            <w:tcBorders>
              <w:top w:val="nil"/>
              <w:left w:val="nil"/>
              <w:bottom w:val="nil"/>
              <w:right w:val="nil"/>
            </w:tcBorders>
            <w:shd w:val="clear" w:color="auto" w:fill="auto"/>
            <w:vAlign w:val="bottom"/>
          </w:tcPr>
          <w:p w14:paraId="277CD9B8" w14:textId="79ED4FF3" w:rsidR="00C854C0" w:rsidRPr="00FB01C4" w:rsidRDefault="00C854C0" w:rsidP="00C854C0">
            <w:pPr>
              <w:spacing w:after="0" w:line="220" w:lineRule="exact"/>
              <w:jc w:val="right"/>
              <w:rPr>
                <w:rFonts w:eastAsia="Times New Roman" w:cs="Arial"/>
                <w:sz w:val="18"/>
                <w:szCs w:val="18"/>
              </w:rPr>
            </w:pPr>
            <w:r w:rsidRPr="00665926">
              <w:rPr>
                <w:rFonts w:cs="Arial"/>
                <w:sz w:val="18"/>
                <w:szCs w:val="18"/>
              </w:rPr>
              <w:t>201</w:t>
            </w:r>
          </w:p>
        </w:tc>
      </w:tr>
      <w:tr w:rsidR="00C854C0" w:rsidRPr="00693900" w14:paraId="71503263" w14:textId="77777777" w:rsidTr="00312975">
        <w:trPr>
          <w:trHeight w:val="254"/>
        </w:trPr>
        <w:tc>
          <w:tcPr>
            <w:tcW w:w="6237" w:type="dxa"/>
            <w:tcBorders>
              <w:top w:val="nil"/>
              <w:left w:val="nil"/>
              <w:bottom w:val="nil"/>
              <w:right w:val="nil"/>
            </w:tcBorders>
            <w:shd w:val="clear" w:color="auto" w:fill="auto"/>
            <w:vAlign w:val="bottom"/>
          </w:tcPr>
          <w:p w14:paraId="0AA9E450" w14:textId="77777777" w:rsidR="00C854C0" w:rsidRPr="00FB01C4" w:rsidRDefault="00C854C0" w:rsidP="00C854C0">
            <w:pPr>
              <w:spacing w:after="0" w:line="220" w:lineRule="exact"/>
              <w:rPr>
                <w:rFonts w:eastAsia="Times New Roman" w:cs="Arial"/>
                <w:sz w:val="18"/>
                <w:szCs w:val="18"/>
              </w:rPr>
            </w:pPr>
            <w:r w:rsidRPr="00FB01C4">
              <w:rPr>
                <w:rFonts w:eastAsia="Times New Roman" w:cs="Arial"/>
                <w:sz w:val="18"/>
                <w:szCs w:val="18"/>
              </w:rPr>
              <w:t>Neto dobitak/(gubitak) od imovine po fer vrijednosti u IDG</w:t>
            </w:r>
          </w:p>
        </w:tc>
        <w:tc>
          <w:tcPr>
            <w:tcW w:w="1276" w:type="dxa"/>
            <w:tcBorders>
              <w:top w:val="nil"/>
              <w:left w:val="nil"/>
              <w:bottom w:val="nil"/>
              <w:right w:val="nil"/>
            </w:tcBorders>
            <w:shd w:val="clear" w:color="auto" w:fill="auto"/>
            <w:noWrap/>
            <w:vAlign w:val="bottom"/>
          </w:tcPr>
          <w:p w14:paraId="32A89014" w14:textId="202124FA" w:rsidR="00C854C0" w:rsidRPr="00693900" w:rsidRDefault="00C854C0" w:rsidP="00C854C0">
            <w:pPr>
              <w:spacing w:after="0" w:line="220" w:lineRule="exact"/>
              <w:jc w:val="right"/>
              <w:rPr>
                <w:rFonts w:eastAsia="Times New Roman" w:cs="Arial"/>
                <w:sz w:val="18"/>
                <w:szCs w:val="18"/>
              </w:rPr>
            </w:pPr>
            <w:r>
              <w:rPr>
                <w:rFonts w:ascii="Calibri" w:eastAsia="Times New Roman" w:hAnsi="Calibri" w:cs="Arial"/>
                <w:sz w:val="18"/>
                <w:szCs w:val="18"/>
              </w:rPr>
              <w:t>(3)</w:t>
            </w:r>
          </w:p>
        </w:tc>
        <w:tc>
          <w:tcPr>
            <w:tcW w:w="1134" w:type="dxa"/>
            <w:tcBorders>
              <w:top w:val="nil"/>
              <w:left w:val="nil"/>
              <w:bottom w:val="nil"/>
              <w:right w:val="nil"/>
            </w:tcBorders>
            <w:shd w:val="clear" w:color="auto" w:fill="auto"/>
            <w:vAlign w:val="bottom"/>
          </w:tcPr>
          <w:p w14:paraId="07AC1FE4" w14:textId="32943C80" w:rsidR="00C854C0" w:rsidRPr="00FB01C4" w:rsidRDefault="00C854C0" w:rsidP="00C854C0">
            <w:pPr>
              <w:spacing w:after="0" w:line="220" w:lineRule="exact"/>
              <w:jc w:val="right"/>
              <w:rPr>
                <w:rFonts w:eastAsia="Times New Roman" w:cs="Arial"/>
                <w:sz w:val="18"/>
                <w:szCs w:val="18"/>
              </w:rPr>
            </w:pPr>
            <w:r w:rsidRPr="00665926">
              <w:rPr>
                <w:rFonts w:cs="Arial"/>
                <w:sz w:val="18"/>
                <w:szCs w:val="18"/>
              </w:rPr>
              <w:t>(89)</w:t>
            </w:r>
          </w:p>
        </w:tc>
      </w:tr>
      <w:tr w:rsidR="00C854C0" w:rsidRPr="00693900" w14:paraId="44B2854A" w14:textId="77777777" w:rsidTr="00312975">
        <w:trPr>
          <w:trHeight w:val="254"/>
        </w:trPr>
        <w:tc>
          <w:tcPr>
            <w:tcW w:w="6237" w:type="dxa"/>
            <w:tcBorders>
              <w:top w:val="nil"/>
              <w:left w:val="nil"/>
              <w:bottom w:val="nil"/>
              <w:right w:val="nil"/>
            </w:tcBorders>
            <w:shd w:val="clear" w:color="auto" w:fill="auto"/>
            <w:vAlign w:val="bottom"/>
          </w:tcPr>
          <w:p w14:paraId="2CA9E186" w14:textId="77777777" w:rsidR="00C854C0" w:rsidRPr="00FB01C4" w:rsidRDefault="00C854C0" w:rsidP="00C854C0">
            <w:pPr>
              <w:spacing w:after="0" w:line="220" w:lineRule="exact"/>
              <w:rPr>
                <w:rFonts w:eastAsia="Times New Roman" w:cs="Arial"/>
                <w:sz w:val="18"/>
                <w:szCs w:val="18"/>
              </w:rPr>
            </w:pPr>
            <w:r w:rsidRPr="00FB01C4">
              <w:rPr>
                <w:rFonts w:eastAsia="Times New Roman" w:cs="Arial"/>
                <w:sz w:val="18"/>
                <w:szCs w:val="18"/>
              </w:rPr>
              <w:t>Potraživanja po premijama</w:t>
            </w:r>
          </w:p>
        </w:tc>
        <w:tc>
          <w:tcPr>
            <w:tcW w:w="1276" w:type="dxa"/>
            <w:tcBorders>
              <w:top w:val="nil"/>
              <w:left w:val="nil"/>
              <w:bottom w:val="nil"/>
              <w:right w:val="nil"/>
            </w:tcBorders>
            <w:shd w:val="clear" w:color="auto" w:fill="auto"/>
            <w:noWrap/>
            <w:vAlign w:val="bottom"/>
          </w:tcPr>
          <w:p w14:paraId="0C3D9857" w14:textId="7BE1BE62" w:rsidR="00C854C0" w:rsidRPr="00693900" w:rsidRDefault="00C854C0" w:rsidP="00C854C0">
            <w:pPr>
              <w:spacing w:after="0" w:line="220" w:lineRule="exact"/>
              <w:jc w:val="right"/>
              <w:rPr>
                <w:rFonts w:eastAsia="Times New Roman" w:cs="Arial"/>
                <w:sz w:val="18"/>
                <w:szCs w:val="18"/>
              </w:rPr>
            </w:pPr>
            <w:r>
              <w:rPr>
                <w:rFonts w:ascii="Calibri" w:eastAsia="Times New Roman" w:hAnsi="Calibri" w:cs="Arial"/>
                <w:sz w:val="18"/>
                <w:szCs w:val="18"/>
              </w:rPr>
              <w:t>(242)</w:t>
            </w:r>
          </w:p>
        </w:tc>
        <w:tc>
          <w:tcPr>
            <w:tcW w:w="1134" w:type="dxa"/>
            <w:tcBorders>
              <w:top w:val="nil"/>
              <w:left w:val="nil"/>
              <w:bottom w:val="nil"/>
              <w:right w:val="nil"/>
            </w:tcBorders>
            <w:shd w:val="clear" w:color="auto" w:fill="auto"/>
            <w:vAlign w:val="bottom"/>
          </w:tcPr>
          <w:p w14:paraId="320A0019" w14:textId="1E51A52C" w:rsidR="00C854C0" w:rsidRPr="00FB01C4" w:rsidRDefault="00C854C0" w:rsidP="00C854C0">
            <w:pPr>
              <w:spacing w:after="0" w:line="220" w:lineRule="exact"/>
              <w:jc w:val="right"/>
              <w:rPr>
                <w:rFonts w:eastAsia="Times New Roman" w:cs="Arial"/>
                <w:sz w:val="18"/>
                <w:szCs w:val="18"/>
              </w:rPr>
            </w:pPr>
            <w:r>
              <w:rPr>
                <w:rFonts w:cs="Arial"/>
                <w:sz w:val="18"/>
                <w:szCs w:val="18"/>
              </w:rPr>
              <w:t>(281)</w:t>
            </w:r>
          </w:p>
        </w:tc>
      </w:tr>
      <w:tr w:rsidR="00C854C0" w:rsidRPr="00693900" w14:paraId="7C8DB0D7" w14:textId="77777777" w:rsidTr="00312975">
        <w:trPr>
          <w:trHeight w:val="254"/>
        </w:trPr>
        <w:tc>
          <w:tcPr>
            <w:tcW w:w="6237" w:type="dxa"/>
            <w:tcBorders>
              <w:top w:val="nil"/>
              <w:left w:val="nil"/>
              <w:bottom w:val="nil"/>
              <w:right w:val="nil"/>
            </w:tcBorders>
            <w:shd w:val="clear" w:color="auto" w:fill="auto"/>
            <w:vAlign w:val="bottom"/>
          </w:tcPr>
          <w:p w14:paraId="0FB0494B" w14:textId="3462FB94" w:rsidR="00C854C0" w:rsidRPr="00AC74E4" w:rsidRDefault="00C854C0" w:rsidP="00C854C0">
            <w:pPr>
              <w:spacing w:after="0" w:line="220" w:lineRule="exact"/>
              <w:rPr>
                <w:rFonts w:eastAsia="Times New Roman" w:cs="Arial"/>
                <w:sz w:val="18"/>
                <w:szCs w:val="18"/>
              </w:rPr>
            </w:pPr>
            <w:r w:rsidRPr="00FB01C4">
              <w:rPr>
                <w:rFonts w:eastAsia="Times New Roman" w:cs="Arial"/>
                <w:sz w:val="18"/>
                <w:szCs w:val="18"/>
              </w:rPr>
              <w:t>Neto smanjenje/</w:t>
            </w:r>
            <w:r w:rsidRPr="00AC74E4">
              <w:rPr>
                <w:rFonts w:eastAsia="Times New Roman" w:cs="Arial"/>
                <w:sz w:val="18"/>
                <w:szCs w:val="18"/>
              </w:rPr>
              <w:t>(povećanje) ostale imovine</w:t>
            </w:r>
          </w:p>
        </w:tc>
        <w:tc>
          <w:tcPr>
            <w:tcW w:w="1276" w:type="dxa"/>
            <w:tcBorders>
              <w:top w:val="nil"/>
              <w:left w:val="nil"/>
              <w:bottom w:val="nil"/>
              <w:right w:val="nil"/>
            </w:tcBorders>
            <w:shd w:val="clear" w:color="auto" w:fill="auto"/>
            <w:noWrap/>
            <w:vAlign w:val="bottom"/>
          </w:tcPr>
          <w:p w14:paraId="78F87AD0" w14:textId="6EEFB242" w:rsidR="00C854C0" w:rsidRPr="00693900" w:rsidRDefault="00C854C0" w:rsidP="00C854C0">
            <w:pPr>
              <w:spacing w:after="0" w:line="220" w:lineRule="exact"/>
              <w:jc w:val="right"/>
              <w:rPr>
                <w:rFonts w:eastAsia="Times New Roman" w:cs="Arial"/>
                <w:sz w:val="18"/>
                <w:szCs w:val="18"/>
              </w:rPr>
            </w:pPr>
            <w:r>
              <w:rPr>
                <w:rFonts w:ascii="Calibri" w:eastAsia="Times New Roman" w:hAnsi="Calibri" w:cs="Arial"/>
                <w:sz w:val="18"/>
                <w:szCs w:val="18"/>
              </w:rPr>
              <w:t>1</w:t>
            </w:r>
            <w:r w:rsidR="00FA09F4">
              <w:rPr>
                <w:rFonts w:ascii="Calibri" w:eastAsia="Times New Roman" w:hAnsi="Calibri" w:cs="Arial"/>
                <w:sz w:val="18"/>
                <w:szCs w:val="18"/>
              </w:rPr>
              <w:t>.</w:t>
            </w:r>
            <w:r>
              <w:rPr>
                <w:rFonts w:ascii="Calibri" w:eastAsia="Times New Roman" w:hAnsi="Calibri" w:cs="Arial"/>
                <w:sz w:val="18"/>
                <w:szCs w:val="18"/>
              </w:rPr>
              <w:t>624</w:t>
            </w:r>
          </w:p>
        </w:tc>
        <w:tc>
          <w:tcPr>
            <w:tcW w:w="1134" w:type="dxa"/>
            <w:tcBorders>
              <w:top w:val="nil"/>
              <w:left w:val="nil"/>
              <w:bottom w:val="nil"/>
              <w:right w:val="nil"/>
            </w:tcBorders>
            <w:shd w:val="clear" w:color="auto" w:fill="auto"/>
            <w:vAlign w:val="bottom"/>
          </w:tcPr>
          <w:p w14:paraId="6F8C8315" w14:textId="00DA6DC3" w:rsidR="00C854C0" w:rsidRPr="00FB01C4" w:rsidRDefault="00C854C0" w:rsidP="00C854C0">
            <w:pPr>
              <w:spacing w:after="0" w:line="220" w:lineRule="exact"/>
              <w:jc w:val="right"/>
              <w:rPr>
                <w:rFonts w:eastAsia="Times New Roman" w:cs="Arial"/>
                <w:sz w:val="18"/>
                <w:szCs w:val="18"/>
              </w:rPr>
            </w:pPr>
            <w:r>
              <w:rPr>
                <w:rFonts w:cs="Arial"/>
                <w:sz w:val="18"/>
                <w:szCs w:val="18"/>
              </w:rPr>
              <w:t>(192)</w:t>
            </w:r>
          </w:p>
        </w:tc>
      </w:tr>
      <w:tr w:rsidR="00C854C0" w:rsidRPr="00693900" w14:paraId="21314AA6" w14:textId="77777777" w:rsidTr="00312975">
        <w:trPr>
          <w:trHeight w:val="254"/>
        </w:trPr>
        <w:tc>
          <w:tcPr>
            <w:tcW w:w="6237" w:type="dxa"/>
            <w:tcBorders>
              <w:top w:val="nil"/>
              <w:left w:val="nil"/>
              <w:bottom w:val="nil"/>
              <w:right w:val="nil"/>
            </w:tcBorders>
            <w:shd w:val="clear" w:color="auto" w:fill="auto"/>
            <w:vAlign w:val="bottom"/>
          </w:tcPr>
          <w:p w14:paraId="62C61DD1" w14:textId="56B19580" w:rsidR="00C854C0" w:rsidRPr="00FB01C4" w:rsidRDefault="00C854C0" w:rsidP="00C854C0">
            <w:pPr>
              <w:spacing w:after="0" w:line="220" w:lineRule="exact"/>
              <w:rPr>
                <w:rFonts w:eastAsia="Times New Roman" w:cs="Arial"/>
                <w:sz w:val="18"/>
                <w:szCs w:val="18"/>
              </w:rPr>
            </w:pPr>
            <w:r w:rsidRPr="00FB01C4">
              <w:rPr>
                <w:rFonts w:eastAsia="Times New Roman" w:cs="Arial"/>
                <w:sz w:val="18"/>
                <w:szCs w:val="18"/>
              </w:rPr>
              <w:t xml:space="preserve">Neto </w:t>
            </w:r>
            <w:r w:rsidR="00042D1A" w:rsidRPr="00042D1A">
              <w:rPr>
                <w:rFonts w:eastAsia="Times New Roman" w:cs="Arial"/>
                <w:sz w:val="18"/>
                <w:szCs w:val="18"/>
              </w:rPr>
              <w:t xml:space="preserve">povećanje/(smanjenje) </w:t>
            </w:r>
            <w:r w:rsidRPr="00FB01C4">
              <w:rPr>
                <w:rFonts w:eastAsia="Times New Roman" w:cs="Arial"/>
                <w:sz w:val="18"/>
                <w:szCs w:val="18"/>
              </w:rPr>
              <w:t xml:space="preserve"> imovine i obveza iz poslova osiguranja</w:t>
            </w:r>
          </w:p>
        </w:tc>
        <w:tc>
          <w:tcPr>
            <w:tcW w:w="1276" w:type="dxa"/>
            <w:tcBorders>
              <w:top w:val="nil"/>
              <w:left w:val="nil"/>
              <w:bottom w:val="nil"/>
              <w:right w:val="nil"/>
            </w:tcBorders>
            <w:shd w:val="clear" w:color="auto" w:fill="auto"/>
            <w:noWrap/>
            <w:vAlign w:val="bottom"/>
          </w:tcPr>
          <w:p w14:paraId="6572C28D" w14:textId="75C12A29" w:rsidR="00C854C0" w:rsidRPr="00693900" w:rsidRDefault="00C854C0" w:rsidP="00C854C0">
            <w:pPr>
              <w:spacing w:after="0" w:line="220" w:lineRule="exact"/>
              <w:jc w:val="right"/>
              <w:rPr>
                <w:rFonts w:eastAsia="Times New Roman" w:cs="Arial"/>
                <w:sz w:val="18"/>
                <w:szCs w:val="18"/>
              </w:rPr>
            </w:pPr>
            <w:r>
              <w:rPr>
                <w:rFonts w:ascii="Calibri" w:eastAsia="Times New Roman" w:hAnsi="Calibri" w:cs="Arial"/>
                <w:sz w:val="18"/>
                <w:szCs w:val="18"/>
              </w:rPr>
              <w:t>294</w:t>
            </w:r>
          </w:p>
        </w:tc>
        <w:tc>
          <w:tcPr>
            <w:tcW w:w="1134" w:type="dxa"/>
            <w:tcBorders>
              <w:top w:val="nil"/>
              <w:left w:val="nil"/>
              <w:bottom w:val="nil"/>
              <w:right w:val="nil"/>
            </w:tcBorders>
            <w:shd w:val="clear" w:color="auto" w:fill="auto"/>
            <w:vAlign w:val="bottom"/>
          </w:tcPr>
          <w:p w14:paraId="7E9E7D13" w14:textId="0E7B6A52" w:rsidR="00C854C0" w:rsidRPr="00FB01C4" w:rsidRDefault="00C854C0" w:rsidP="00C854C0">
            <w:pPr>
              <w:spacing w:after="0" w:line="220" w:lineRule="exact"/>
              <w:jc w:val="right"/>
              <w:rPr>
                <w:rFonts w:eastAsia="Times New Roman" w:cs="Arial"/>
                <w:sz w:val="18"/>
                <w:szCs w:val="18"/>
              </w:rPr>
            </w:pPr>
            <w:r>
              <w:rPr>
                <w:rFonts w:cs="Arial"/>
                <w:sz w:val="18"/>
                <w:szCs w:val="18"/>
              </w:rPr>
              <w:t>(284)</w:t>
            </w:r>
          </w:p>
        </w:tc>
      </w:tr>
      <w:tr w:rsidR="00C854C0" w:rsidRPr="00693900" w14:paraId="5AF05C02" w14:textId="77777777" w:rsidTr="00312975">
        <w:trPr>
          <w:trHeight w:val="254"/>
        </w:trPr>
        <w:tc>
          <w:tcPr>
            <w:tcW w:w="6237" w:type="dxa"/>
            <w:tcBorders>
              <w:top w:val="nil"/>
              <w:left w:val="nil"/>
              <w:bottom w:val="nil"/>
              <w:right w:val="nil"/>
            </w:tcBorders>
            <w:shd w:val="clear" w:color="auto" w:fill="auto"/>
            <w:vAlign w:val="bottom"/>
          </w:tcPr>
          <w:p w14:paraId="7B0988CF" w14:textId="2FAA9658" w:rsidR="00C854C0" w:rsidRPr="00FB01C4" w:rsidRDefault="00C854C0" w:rsidP="002D2F01">
            <w:pPr>
              <w:spacing w:after="0" w:line="220" w:lineRule="exact"/>
              <w:rPr>
                <w:rFonts w:eastAsia="Times New Roman" w:cs="Arial"/>
                <w:sz w:val="18"/>
                <w:szCs w:val="18"/>
              </w:rPr>
            </w:pPr>
            <w:r w:rsidRPr="00FB01C4">
              <w:rPr>
                <w:rFonts w:eastAsia="Times New Roman" w:cs="Arial"/>
                <w:sz w:val="18"/>
                <w:szCs w:val="18"/>
              </w:rPr>
              <w:t>Neto povećanje tehničkih pričuva</w:t>
            </w:r>
          </w:p>
        </w:tc>
        <w:tc>
          <w:tcPr>
            <w:tcW w:w="1276" w:type="dxa"/>
            <w:tcBorders>
              <w:top w:val="nil"/>
              <w:left w:val="nil"/>
              <w:bottom w:val="nil"/>
              <w:right w:val="nil"/>
            </w:tcBorders>
            <w:shd w:val="clear" w:color="auto" w:fill="auto"/>
            <w:noWrap/>
            <w:vAlign w:val="bottom"/>
          </w:tcPr>
          <w:p w14:paraId="37D26A7B" w14:textId="171B1397" w:rsidR="00C854C0" w:rsidRPr="00693900" w:rsidRDefault="00C854C0" w:rsidP="00C854C0">
            <w:pPr>
              <w:spacing w:after="0" w:line="220" w:lineRule="exact"/>
              <w:jc w:val="right"/>
              <w:rPr>
                <w:rFonts w:eastAsia="Times New Roman" w:cs="Arial"/>
                <w:sz w:val="18"/>
                <w:szCs w:val="18"/>
              </w:rPr>
            </w:pPr>
            <w:r>
              <w:rPr>
                <w:rFonts w:ascii="Calibri" w:eastAsia="Times New Roman" w:hAnsi="Calibri" w:cs="Arial"/>
                <w:sz w:val="18"/>
                <w:szCs w:val="18"/>
              </w:rPr>
              <w:t>251</w:t>
            </w:r>
          </w:p>
        </w:tc>
        <w:tc>
          <w:tcPr>
            <w:tcW w:w="1134" w:type="dxa"/>
            <w:tcBorders>
              <w:top w:val="nil"/>
              <w:left w:val="nil"/>
              <w:bottom w:val="nil"/>
              <w:right w:val="nil"/>
            </w:tcBorders>
            <w:shd w:val="clear" w:color="auto" w:fill="auto"/>
            <w:vAlign w:val="bottom"/>
          </w:tcPr>
          <w:p w14:paraId="1E4BBF23" w14:textId="04CB5662" w:rsidR="00C854C0" w:rsidRPr="00FB01C4" w:rsidRDefault="00C854C0" w:rsidP="00C854C0">
            <w:pPr>
              <w:spacing w:after="0" w:line="220" w:lineRule="exact"/>
              <w:jc w:val="right"/>
              <w:rPr>
                <w:rFonts w:eastAsia="Times New Roman" w:cs="Arial"/>
                <w:sz w:val="18"/>
                <w:szCs w:val="18"/>
              </w:rPr>
            </w:pPr>
            <w:r>
              <w:rPr>
                <w:rFonts w:cs="Arial"/>
                <w:sz w:val="18"/>
                <w:szCs w:val="18"/>
              </w:rPr>
              <w:t>169</w:t>
            </w:r>
          </w:p>
        </w:tc>
      </w:tr>
      <w:tr w:rsidR="00ED0747" w:rsidRPr="00693900" w14:paraId="429D2148" w14:textId="77777777" w:rsidTr="00312975">
        <w:trPr>
          <w:trHeight w:val="254"/>
        </w:trPr>
        <w:tc>
          <w:tcPr>
            <w:tcW w:w="6237" w:type="dxa"/>
            <w:tcBorders>
              <w:top w:val="nil"/>
              <w:left w:val="nil"/>
              <w:bottom w:val="nil"/>
              <w:right w:val="nil"/>
            </w:tcBorders>
            <w:shd w:val="clear" w:color="auto" w:fill="auto"/>
            <w:vAlign w:val="bottom"/>
          </w:tcPr>
          <w:p w14:paraId="52069EB4" w14:textId="12EA3625" w:rsidR="00ED0747" w:rsidRPr="00FB01C4" w:rsidRDefault="00ED0747" w:rsidP="002D2F01">
            <w:pPr>
              <w:spacing w:after="0" w:line="220" w:lineRule="exact"/>
              <w:rPr>
                <w:rFonts w:eastAsia="Times New Roman" w:cs="Arial"/>
                <w:sz w:val="18"/>
                <w:szCs w:val="18"/>
              </w:rPr>
            </w:pPr>
            <w:r w:rsidRPr="00FB01C4">
              <w:rPr>
                <w:rFonts w:eastAsia="Times New Roman" w:cs="Arial"/>
                <w:sz w:val="18"/>
                <w:szCs w:val="18"/>
              </w:rPr>
              <w:t xml:space="preserve">Neto </w:t>
            </w:r>
            <w:r>
              <w:rPr>
                <w:rFonts w:eastAsia="Times New Roman" w:cs="Arial"/>
                <w:sz w:val="18"/>
                <w:szCs w:val="18"/>
              </w:rPr>
              <w:t>(smanjenje)</w:t>
            </w:r>
            <w:r w:rsidRPr="00FB01C4">
              <w:rPr>
                <w:rFonts w:eastAsia="Times New Roman" w:cs="Arial"/>
                <w:sz w:val="18"/>
                <w:szCs w:val="18"/>
              </w:rPr>
              <w:t xml:space="preserve"> ostalih obveza</w:t>
            </w:r>
          </w:p>
        </w:tc>
        <w:tc>
          <w:tcPr>
            <w:tcW w:w="1276" w:type="dxa"/>
            <w:tcBorders>
              <w:top w:val="nil"/>
              <w:left w:val="nil"/>
              <w:bottom w:val="nil"/>
              <w:right w:val="nil"/>
            </w:tcBorders>
            <w:shd w:val="clear" w:color="auto" w:fill="auto"/>
            <w:noWrap/>
            <w:vAlign w:val="bottom"/>
          </w:tcPr>
          <w:p w14:paraId="63034165" w14:textId="3E2BE576" w:rsidR="00ED0747" w:rsidRPr="00693900" w:rsidRDefault="00ED0747" w:rsidP="00ED0747">
            <w:pPr>
              <w:spacing w:after="0" w:line="220" w:lineRule="exact"/>
              <w:jc w:val="right"/>
              <w:rPr>
                <w:rFonts w:eastAsia="Times New Roman" w:cs="Arial"/>
                <w:sz w:val="18"/>
                <w:szCs w:val="18"/>
              </w:rPr>
            </w:pPr>
            <w:r>
              <w:rPr>
                <w:rFonts w:ascii="Calibri" w:eastAsia="Times New Roman" w:hAnsi="Calibri" w:cs="Arial"/>
                <w:sz w:val="18"/>
                <w:szCs w:val="18"/>
              </w:rPr>
              <w:t>(19)</w:t>
            </w:r>
          </w:p>
        </w:tc>
        <w:tc>
          <w:tcPr>
            <w:tcW w:w="1134" w:type="dxa"/>
            <w:tcBorders>
              <w:top w:val="nil"/>
              <w:left w:val="nil"/>
              <w:bottom w:val="nil"/>
              <w:right w:val="nil"/>
            </w:tcBorders>
            <w:shd w:val="clear" w:color="auto" w:fill="auto"/>
            <w:vAlign w:val="bottom"/>
          </w:tcPr>
          <w:p w14:paraId="0EF0B003" w14:textId="350EA64D" w:rsidR="00ED0747" w:rsidRPr="00FB01C4" w:rsidRDefault="00ED0747" w:rsidP="002D2F01">
            <w:pPr>
              <w:spacing w:after="0" w:line="220" w:lineRule="exact"/>
              <w:jc w:val="right"/>
              <w:rPr>
                <w:rFonts w:eastAsia="Times New Roman" w:cs="Arial"/>
                <w:sz w:val="18"/>
                <w:szCs w:val="18"/>
              </w:rPr>
            </w:pPr>
            <w:r>
              <w:rPr>
                <w:rFonts w:ascii="Calibri" w:eastAsia="Times New Roman" w:hAnsi="Calibri" w:cs="Arial"/>
                <w:sz w:val="18"/>
                <w:szCs w:val="18"/>
              </w:rPr>
              <w:t>(69)</w:t>
            </w:r>
          </w:p>
        </w:tc>
      </w:tr>
      <w:tr w:rsidR="00ED0747" w:rsidRPr="00693900" w14:paraId="1D205FD8" w14:textId="77777777" w:rsidTr="00312975">
        <w:trPr>
          <w:trHeight w:val="190"/>
        </w:trPr>
        <w:tc>
          <w:tcPr>
            <w:tcW w:w="6237" w:type="dxa"/>
            <w:tcBorders>
              <w:left w:val="nil"/>
              <w:right w:val="nil"/>
            </w:tcBorders>
            <w:shd w:val="clear" w:color="auto" w:fill="auto"/>
            <w:vAlign w:val="bottom"/>
          </w:tcPr>
          <w:p w14:paraId="211297DB" w14:textId="77777777" w:rsidR="00ED0747" w:rsidRPr="00AC74E4" w:rsidRDefault="00ED0747" w:rsidP="00ED0747">
            <w:pPr>
              <w:spacing w:after="0" w:line="220" w:lineRule="exact"/>
              <w:rPr>
                <w:rFonts w:eastAsia="Times New Roman" w:cs="Arial"/>
                <w:b/>
                <w:bCs/>
                <w:sz w:val="18"/>
                <w:szCs w:val="18"/>
              </w:rPr>
            </w:pPr>
            <w:r w:rsidRPr="00FB01C4">
              <w:rPr>
                <w:rFonts w:eastAsia="Times New Roman" w:cs="Arial"/>
                <w:b/>
                <w:bCs/>
                <w:sz w:val="18"/>
                <w:szCs w:val="18"/>
              </w:rPr>
              <w:t>Neto novčana sredstva ostvarena za poslovne aktivnosti</w:t>
            </w:r>
          </w:p>
        </w:tc>
        <w:tc>
          <w:tcPr>
            <w:tcW w:w="1276" w:type="dxa"/>
            <w:tcBorders>
              <w:top w:val="single" w:sz="8" w:space="0" w:color="auto"/>
              <w:left w:val="nil"/>
              <w:bottom w:val="single" w:sz="8" w:space="0" w:color="auto"/>
              <w:right w:val="nil"/>
            </w:tcBorders>
            <w:shd w:val="clear" w:color="auto" w:fill="auto"/>
            <w:noWrap/>
            <w:vAlign w:val="bottom"/>
          </w:tcPr>
          <w:p w14:paraId="61587816" w14:textId="0E0EA7ED" w:rsidR="00ED0747" w:rsidRPr="00693900" w:rsidRDefault="00ED0747" w:rsidP="00ED0747">
            <w:pPr>
              <w:spacing w:after="0" w:line="220" w:lineRule="exact"/>
              <w:jc w:val="right"/>
              <w:rPr>
                <w:rFonts w:eastAsia="Times New Roman" w:cs="Arial"/>
                <w:b/>
                <w:sz w:val="18"/>
                <w:szCs w:val="18"/>
              </w:rPr>
            </w:pPr>
            <w:r>
              <w:rPr>
                <w:rFonts w:ascii="Calibri" w:eastAsia="Times New Roman" w:hAnsi="Calibri" w:cs="Arial"/>
                <w:b/>
                <w:sz w:val="18"/>
                <w:szCs w:val="18"/>
              </w:rPr>
              <w:t>3.501</w:t>
            </w:r>
          </w:p>
        </w:tc>
        <w:tc>
          <w:tcPr>
            <w:tcW w:w="1134" w:type="dxa"/>
            <w:tcBorders>
              <w:top w:val="single" w:sz="8" w:space="0" w:color="auto"/>
              <w:left w:val="nil"/>
              <w:bottom w:val="single" w:sz="8" w:space="0" w:color="auto"/>
              <w:right w:val="nil"/>
            </w:tcBorders>
            <w:shd w:val="clear" w:color="auto" w:fill="auto"/>
            <w:vAlign w:val="bottom"/>
          </w:tcPr>
          <w:p w14:paraId="1A03C16E" w14:textId="634CDB4E" w:rsidR="00ED0747" w:rsidRPr="00FB01C4" w:rsidRDefault="00ED0747" w:rsidP="00ED0747">
            <w:pPr>
              <w:spacing w:after="0" w:line="220" w:lineRule="exact"/>
              <w:jc w:val="right"/>
              <w:rPr>
                <w:rFonts w:eastAsia="Times New Roman" w:cs="Arial"/>
                <w:b/>
                <w:sz w:val="18"/>
                <w:szCs w:val="18"/>
              </w:rPr>
            </w:pPr>
            <w:r>
              <w:rPr>
                <w:rFonts w:ascii="Calibri" w:eastAsia="Times New Roman" w:hAnsi="Calibri" w:cs="Arial"/>
                <w:b/>
                <w:sz w:val="18"/>
                <w:szCs w:val="18"/>
              </w:rPr>
              <w:t>1.743</w:t>
            </w:r>
          </w:p>
        </w:tc>
      </w:tr>
      <w:tr w:rsidR="00C854C0" w:rsidRPr="00693900" w14:paraId="612DAAB4" w14:textId="77777777" w:rsidTr="005F1FBF">
        <w:trPr>
          <w:trHeight w:val="74"/>
        </w:trPr>
        <w:tc>
          <w:tcPr>
            <w:tcW w:w="6237" w:type="dxa"/>
            <w:tcBorders>
              <w:top w:val="nil"/>
              <w:left w:val="nil"/>
              <w:bottom w:val="nil"/>
              <w:right w:val="nil"/>
            </w:tcBorders>
            <w:shd w:val="clear" w:color="auto" w:fill="auto"/>
            <w:vAlign w:val="bottom"/>
          </w:tcPr>
          <w:p w14:paraId="7E09B4DC" w14:textId="77777777" w:rsidR="00C854C0" w:rsidRPr="00FB01C4" w:rsidRDefault="00C854C0" w:rsidP="00C854C0">
            <w:pPr>
              <w:spacing w:after="0" w:line="140" w:lineRule="exact"/>
              <w:rPr>
                <w:rFonts w:eastAsia="Times New Roman" w:cs="Arial"/>
                <w:sz w:val="18"/>
                <w:szCs w:val="18"/>
              </w:rPr>
            </w:pPr>
          </w:p>
        </w:tc>
        <w:tc>
          <w:tcPr>
            <w:tcW w:w="1276" w:type="dxa"/>
            <w:tcBorders>
              <w:top w:val="single" w:sz="12" w:space="0" w:color="auto"/>
              <w:left w:val="nil"/>
              <w:right w:val="nil"/>
            </w:tcBorders>
            <w:shd w:val="clear" w:color="auto" w:fill="auto"/>
            <w:noWrap/>
          </w:tcPr>
          <w:p w14:paraId="556C627E" w14:textId="77777777" w:rsidR="00C854C0" w:rsidRPr="00693900" w:rsidRDefault="00C854C0" w:rsidP="00C854C0">
            <w:pPr>
              <w:spacing w:after="0" w:line="140" w:lineRule="exact"/>
              <w:jc w:val="right"/>
              <w:rPr>
                <w:rFonts w:eastAsia="Times New Roman" w:cs="Arial"/>
                <w:bCs/>
                <w:sz w:val="18"/>
                <w:szCs w:val="18"/>
              </w:rPr>
            </w:pPr>
          </w:p>
        </w:tc>
        <w:tc>
          <w:tcPr>
            <w:tcW w:w="1134" w:type="dxa"/>
            <w:tcBorders>
              <w:top w:val="single" w:sz="12" w:space="0" w:color="auto"/>
              <w:left w:val="nil"/>
              <w:right w:val="nil"/>
            </w:tcBorders>
            <w:shd w:val="clear" w:color="auto" w:fill="auto"/>
            <w:vAlign w:val="bottom"/>
          </w:tcPr>
          <w:p w14:paraId="3A0B5E4E" w14:textId="77777777" w:rsidR="00C854C0" w:rsidRPr="00693900" w:rsidRDefault="00C854C0" w:rsidP="00C854C0">
            <w:pPr>
              <w:spacing w:after="0" w:line="140" w:lineRule="exact"/>
              <w:jc w:val="right"/>
              <w:rPr>
                <w:rFonts w:eastAsia="Times New Roman" w:cs="Arial"/>
                <w:bCs/>
                <w:sz w:val="18"/>
                <w:szCs w:val="18"/>
              </w:rPr>
            </w:pPr>
          </w:p>
        </w:tc>
      </w:tr>
      <w:tr w:rsidR="00C854C0" w:rsidRPr="00693900" w14:paraId="48C5D480" w14:textId="77777777" w:rsidTr="005F1FBF">
        <w:trPr>
          <w:trHeight w:val="196"/>
        </w:trPr>
        <w:tc>
          <w:tcPr>
            <w:tcW w:w="6237" w:type="dxa"/>
            <w:tcBorders>
              <w:top w:val="nil"/>
              <w:left w:val="nil"/>
              <w:bottom w:val="nil"/>
              <w:right w:val="nil"/>
            </w:tcBorders>
            <w:shd w:val="clear" w:color="auto" w:fill="auto"/>
            <w:vAlign w:val="bottom"/>
          </w:tcPr>
          <w:p w14:paraId="2FFAA976" w14:textId="77777777" w:rsidR="00C854C0" w:rsidRPr="00FB01C4" w:rsidRDefault="00C854C0" w:rsidP="00C854C0">
            <w:pPr>
              <w:spacing w:after="0" w:line="220" w:lineRule="exact"/>
              <w:rPr>
                <w:rFonts w:eastAsia="Times New Roman" w:cs="Arial"/>
                <w:b/>
                <w:sz w:val="18"/>
                <w:szCs w:val="18"/>
              </w:rPr>
            </w:pPr>
            <w:proofErr w:type="spellStart"/>
            <w:r w:rsidRPr="00FB01C4">
              <w:rPr>
                <w:rFonts w:eastAsia="Times New Roman" w:cs="Arial"/>
                <w:b/>
                <w:sz w:val="18"/>
                <w:szCs w:val="18"/>
              </w:rPr>
              <w:t>Ulagateljske</w:t>
            </w:r>
            <w:proofErr w:type="spellEnd"/>
            <w:r w:rsidRPr="00FB01C4">
              <w:rPr>
                <w:rFonts w:eastAsia="Times New Roman" w:cs="Arial"/>
                <w:b/>
                <w:sz w:val="18"/>
                <w:szCs w:val="18"/>
              </w:rPr>
              <w:t xml:space="preserve"> aktivnosti</w:t>
            </w:r>
          </w:p>
        </w:tc>
        <w:tc>
          <w:tcPr>
            <w:tcW w:w="1276" w:type="dxa"/>
            <w:tcBorders>
              <w:left w:val="nil"/>
              <w:bottom w:val="nil"/>
              <w:right w:val="nil"/>
            </w:tcBorders>
            <w:shd w:val="clear" w:color="auto" w:fill="auto"/>
            <w:noWrap/>
          </w:tcPr>
          <w:p w14:paraId="3E43E730" w14:textId="77777777" w:rsidR="00C854C0" w:rsidRPr="00693900" w:rsidRDefault="00C854C0" w:rsidP="00C854C0">
            <w:pPr>
              <w:spacing w:after="0" w:line="220" w:lineRule="exact"/>
              <w:jc w:val="right"/>
              <w:rPr>
                <w:rFonts w:eastAsia="Times New Roman" w:cs="Arial"/>
                <w:bCs/>
                <w:sz w:val="18"/>
                <w:szCs w:val="18"/>
              </w:rPr>
            </w:pPr>
          </w:p>
        </w:tc>
        <w:tc>
          <w:tcPr>
            <w:tcW w:w="1134" w:type="dxa"/>
            <w:tcBorders>
              <w:left w:val="nil"/>
              <w:bottom w:val="nil"/>
              <w:right w:val="nil"/>
            </w:tcBorders>
            <w:shd w:val="clear" w:color="auto" w:fill="auto"/>
            <w:vAlign w:val="bottom"/>
          </w:tcPr>
          <w:p w14:paraId="4E08F5AD" w14:textId="77777777" w:rsidR="00C854C0" w:rsidRPr="00693900" w:rsidRDefault="00C854C0" w:rsidP="00C854C0">
            <w:pPr>
              <w:spacing w:after="0" w:line="220" w:lineRule="exact"/>
              <w:jc w:val="right"/>
              <w:rPr>
                <w:rFonts w:eastAsia="Times New Roman" w:cs="Arial"/>
                <w:bCs/>
                <w:sz w:val="18"/>
                <w:szCs w:val="18"/>
              </w:rPr>
            </w:pPr>
          </w:p>
        </w:tc>
      </w:tr>
      <w:tr w:rsidR="00C854C0" w:rsidRPr="00693900" w14:paraId="5894017B" w14:textId="77777777" w:rsidTr="00312975">
        <w:trPr>
          <w:trHeight w:val="186"/>
        </w:trPr>
        <w:tc>
          <w:tcPr>
            <w:tcW w:w="6237" w:type="dxa"/>
            <w:tcBorders>
              <w:top w:val="nil"/>
              <w:left w:val="nil"/>
              <w:right w:val="nil"/>
            </w:tcBorders>
            <w:shd w:val="clear" w:color="auto" w:fill="auto"/>
            <w:vAlign w:val="bottom"/>
          </w:tcPr>
          <w:p w14:paraId="6876067E" w14:textId="77777777" w:rsidR="00C854C0" w:rsidRPr="00FB01C4" w:rsidRDefault="00C854C0" w:rsidP="00C854C0">
            <w:pPr>
              <w:spacing w:after="0" w:line="220" w:lineRule="exact"/>
              <w:rPr>
                <w:rFonts w:eastAsia="Times New Roman" w:cs="Arial"/>
                <w:sz w:val="18"/>
                <w:szCs w:val="18"/>
              </w:rPr>
            </w:pPr>
            <w:r w:rsidRPr="00FB01C4">
              <w:rPr>
                <w:rFonts w:eastAsia="Times New Roman" w:cs="Arial"/>
                <w:sz w:val="18"/>
                <w:szCs w:val="18"/>
              </w:rPr>
              <w:t>Neto (kupovina) imovine po fer vrijednosti kroz IDG</w:t>
            </w:r>
          </w:p>
        </w:tc>
        <w:tc>
          <w:tcPr>
            <w:tcW w:w="1276" w:type="dxa"/>
            <w:tcBorders>
              <w:top w:val="nil"/>
              <w:left w:val="nil"/>
              <w:bottom w:val="nil"/>
              <w:right w:val="nil"/>
            </w:tcBorders>
            <w:shd w:val="clear" w:color="auto" w:fill="auto"/>
            <w:noWrap/>
            <w:vAlign w:val="bottom"/>
          </w:tcPr>
          <w:p w14:paraId="12E4015E" w14:textId="16861F9F" w:rsidR="00C854C0" w:rsidRPr="00693900" w:rsidRDefault="00C854C0" w:rsidP="00C854C0">
            <w:pPr>
              <w:spacing w:after="0" w:line="220" w:lineRule="exact"/>
              <w:jc w:val="right"/>
              <w:rPr>
                <w:rFonts w:eastAsia="Times New Roman" w:cs="Arial"/>
                <w:sz w:val="18"/>
                <w:szCs w:val="18"/>
              </w:rPr>
            </w:pPr>
            <w:r w:rsidRPr="00D77059">
              <w:rPr>
                <w:rFonts w:ascii="Calibri" w:eastAsia="Times New Roman" w:hAnsi="Calibri" w:cs="Arial"/>
                <w:sz w:val="18"/>
                <w:szCs w:val="18"/>
              </w:rPr>
              <w:t>-</w:t>
            </w:r>
          </w:p>
        </w:tc>
        <w:tc>
          <w:tcPr>
            <w:tcW w:w="1134" w:type="dxa"/>
            <w:tcBorders>
              <w:top w:val="nil"/>
              <w:left w:val="nil"/>
              <w:bottom w:val="nil"/>
              <w:right w:val="nil"/>
            </w:tcBorders>
            <w:shd w:val="clear" w:color="auto" w:fill="auto"/>
            <w:vAlign w:val="bottom"/>
          </w:tcPr>
          <w:p w14:paraId="501534B6" w14:textId="3277D9E6" w:rsidR="00C854C0" w:rsidRPr="00FB01C4" w:rsidRDefault="00C854C0" w:rsidP="00C854C0">
            <w:pPr>
              <w:spacing w:after="0" w:line="220" w:lineRule="exact"/>
              <w:jc w:val="right"/>
              <w:rPr>
                <w:rFonts w:eastAsia="Times New Roman" w:cs="Arial"/>
                <w:sz w:val="18"/>
                <w:szCs w:val="18"/>
              </w:rPr>
            </w:pPr>
            <w:r w:rsidRPr="002B2DDF">
              <w:rPr>
                <w:rFonts w:cs="Arial"/>
                <w:sz w:val="18"/>
                <w:szCs w:val="18"/>
              </w:rPr>
              <w:t>(4.570)</w:t>
            </w:r>
          </w:p>
        </w:tc>
      </w:tr>
      <w:tr w:rsidR="00C854C0" w:rsidRPr="00693900" w14:paraId="1527598B" w14:textId="77777777" w:rsidTr="00312975">
        <w:trPr>
          <w:trHeight w:val="186"/>
        </w:trPr>
        <w:tc>
          <w:tcPr>
            <w:tcW w:w="6237" w:type="dxa"/>
            <w:tcBorders>
              <w:top w:val="nil"/>
              <w:left w:val="nil"/>
              <w:right w:val="nil"/>
            </w:tcBorders>
            <w:shd w:val="clear" w:color="auto" w:fill="auto"/>
            <w:vAlign w:val="bottom"/>
          </w:tcPr>
          <w:p w14:paraId="4109C3F2" w14:textId="77777777" w:rsidR="00C854C0" w:rsidRPr="00FB01C4" w:rsidRDefault="00C854C0" w:rsidP="00C854C0">
            <w:pPr>
              <w:spacing w:after="0" w:line="220" w:lineRule="exact"/>
              <w:rPr>
                <w:rFonts w:eastAsia="Times New Roman" w:cs="Arial"/>
                <w:sz w:val="18"/>
                <w:szCs w:val="18"/>
              </w:rPr>
            </w:pPr>
            <w:r w:rsidRPr="00FB01C4">
              <w:rPr>
                <w:rFonts w:eastAsia="Times New Roman" w:cs="Arial"/>
                <w:sz w:val="18"/>
                <w:szCs w:val="18"/>
              </w:rPr>
              <w:t>Neto prodaja imovine po fer vrijednosti kroz IDG</w:t>
            </w:r>
          </w:p>
        </w:tc>
        <w:tc>
          <w:tcPr>
            <w:tcW w:w="1276" w:type="dxa"/>
            <w:tcBorders>
              <w:top w:val="nil"/>
              <w:left w:val="nil"/>
              <w:bottom w:val="nil"/>
              <w:right w:val="nil"/>
            </w:tcBorders>
            <w:shd w:val="clear" w:color="auto" w:fill="auto"/>
            <w:noWrap/>
            <w:vAlign w:val="bottom"/>
          </w:tcPr>
          <w:p w14:paraId="2EAEE2D9" w14:textId="3AEF1CCE" w:rsidR="00C854C0" w:rsidRPr="00693900" w:rsidRDefault="00C854C0" w:rsidP="00C854C0">
            <w:pPr>
              <w:spacing w:after="0" w:line="220" w:lineRule="exact"/>
              <w:jc w:val="right"/>
              <w:rPr>
                <w:rFonts w:eastAsia="Times New Roman" w:cs="Arial"/>
                <w:sz w:val="18"/>
                <w:szCs w:val="18"/>
              </w:rPr>
            </w:pPr>
            <w:r w:rsidRPr="00D77059">
              <w:rPr>
                <w:rFonts w:ascii="Calibri" w:eastAsia="Times New Roman" w:hAnsi="Calibri" w:cs="Arial"/>
                <w:sz w:val="18"/>
                <w:szCs w:val="18"/>
              </w:rPr>
              <w:t>-</w:t>
            </w:r>
          </w:p>
        </w:tc>
        <w:tc>
          <w:tcPr>
            <w:tcW w:w="1134" w:type="dxa"/>
            <w:tcBorders>
              <w:top w:val="nil"/>
              <w:left w:val="nil"/>
              <w:bottom w:val="nil"/>
              <w:right w:val="nil"/>
            </w:tcBorders>
            <w:shd w:val="clear" w:color="auto" w:fill="auto"/>
            <w:vAlign w:val="bottom"/>
          </w:tcPr>
          <w:p w14:paraId="064160B3" w14:textId="0230D2EC" w:rsidR="00C854C0" w:rsidRPr="00FB01C4" w:rsidRDefault="00C854C0" w:rsidP="00C854C0">
            <w:pPr>
              <w:spacing w:after="0" w:line="220" w:lineRule="exact"/>
              <w:jc w:val="right"/>
              <w:rPr>
                <w:rFonts w:eastAsia="Times New Roman" w:cs="Arial"/>
                <w:sz w:val="18"/>
                <w:szCs w:val="18"/>
              </w:rPr>
            </w:pPr>
            <w:r w:rsidRPr="002B2DDF">
              <w:rPr>
                <w:rFonts w:cs="Arial"/>
                <w:sz w:val="18"/>
                <w:szCs w:val="18"/>
              </w:rPr>
              <w:t>3.821</w:t>
            </w:r>
          </w:p>
        </w:tc>
      </w:tr>
      <w:tr w:rsidR="00C854C0" w:rsidRPr="00693900" w14:paraId="6DAB5A2E" w14:textId="77777777" w:rsidTr="00312975">
        <w:trPr>
          <w:trHeight w:val="186"/>
        </w:trPr>
        <w:tc>
          <w:tcPr>
            <w:tcW w:w="6237" w:type="dxa"/>
            <w:tcBorders>
              <w:top w:val="nil"/>
              <w:left w:val="nil"/>
              <w:right w:val="nil"/>
            </w:tcBorders>
            <w:shd w:val="clear" w:color="auto" w:fill="auto"/>
            <w:vAlign w:val="bottom"/>
          </w:tcPr>
          <w:p w14:paraId="21A2EAE9" w14:textId="77777777" w:rsidR="00C854C0" w:rsidRPr="00FB01C4" w:rsidRDefault="00C854C0" w:rsidP="00C854C0">
            <w:pPr>
              <w:spacing w:after="0" w:line="220" w:lineRule="exact"/>
              <w:rPr>
                <w:rFonts w:eastAsia="Times New Roman" w:cs="Arial"/>
                <w:sz w:val="18"/>
                <w:szCs w:val="18"/>
              </w:rPr>
            </w:pPr>
            <w:r w:rsidRPr="00FB01C4">
              <w:rPr>
                <w:rFonts w:eastAsia="Times New Roman" w:cs="Arial"/>
                <w:sz w:val="18"/>
                <w:szCs w:val="18"/>
              </w:rPr>
              <w:t>Neto (kupovina) imovine raspoložive za prodaju</w:t>
            </w:r>
          </w:p>
        </w:tc>
        <w:tc>
          <w:tcPr>
            <w:tcW w:w="1276" w:type="dxa"/>
            <w:tcBorders>
              <w:top w:val="nil"/>
              <w:left w:val="nil"/>
              <w:bottom w:val="nil"/>
              <w:right w:val="nil"/>
            </w:tcBorders>
            <w:shd w:val="clear" w:color="auto" w:fill="auto"/>
            <w:noWrap/>
            <w:vAlign w:val="bottom"/>
          </w:tcPr>
          <w:p w14:paraId="021AB614" w14:textId="2618512C" w:rsidR="00C854C0" w:rsidRPr="00693900" w:rsidRDefault="00C854C0" w:rsidP="00C854C0">
            <w:pPr>
              <w:spacing w:after="0" w:line="220" w:lineRule="exact"/>
              <w:jc w:val="right"/>
              <w:rPr>
                <w:rFonts w:eastAsia="Times New Roman" w:cs="Arial"/>
                <w:sz w:val="18"/>
                <w:szCs w:val="18"/>
              </w:rPr>
            </w:pPr>
            <w:r>
              <w:rPr>
                <w:rFonts w:ascii="Calibri" w:eastAsia="Times New Roman" w:hAnsi="Calibri" w:cs="Arial"/>
                <w:sz w:val="18"/>
                <w:szCs w:val="18"/>
              </w:rPr>
              <w:t>(6.417)</w:t>
            </w:r>
          </w:p>
        </w:tc>
        <w:tc>
          <w:tcPr>
            <w:tcW w:w="1134" w:type="dxa"/>
            <w:tcBorders>
              <w:top w:val="nil"/>
              <w:left w:val="nil"/>
              <w:bottom w:val="nil"/>
              <w:right w:val="nil"/>
            </w:tcBorders>
            <w:shd w:val="clear" w:color="auto" w:fill="auto"/>
            <w:vAlign w:val="bottom"/>
          </w:tcPr>
          <w:p w14:paraId="55C7D10A" w14:textId="0DEEC9A0" w:rsidR="00C854C0" w:rsidRPr="00FB01C4" w:rsidRDefault="00C854C0" w:rsidP="00C854C0">
            <w:pPr>
              <w:spacing w:after="0" w:line="220" w:lineRule="exact"/>
              <w:jc w:val="right"/>
              <w:rPr>
                <w:rFonts w:eastAsia="Times New Roman" w:cs="Arial"/>
                <w:sz w:val="18"/>
                <w:szCs w:val="18"/>
              </w:rPr>
            </w:pPr>
            <w:r w:rsidRPr="002B2DDF">
              <w:rPr>
                <w:rFonts w:cs="Arial"/>
                <w:sz w:val="18"/>
                <w:szCs w:val="18"/>
              </w:rPr>
              <w:t>(2.796)</w:t>
            </w:r>
          </w:p>
        </w:tc>
      </w:tr>
      <w:tr w:rsidR="00C854C0" w:rsidRPr="00693900" w14:paraId="39E4F6C7" w14:textId="77777777" w:rsidTr="00312975">
        <w:trPr>
          <w:trHeight w:val="186"/>
        </w:trPr>
        <w:tc>
          <w:tcPr>
            <w:tcW w:w="6237" w:type="dxa"/>
            <w:tcBorders>
              <w:top w:val="nil"/>
              <w:left w:val="nil"/>
              <w:right w:val="nil"/>
            </w:tcBorders>
            <w:shd w:val="clear" w:color="auto" w:fill="auto"/>
            <w:vAlign w:val="bottom"/>
          </w:tcPr>
          <w:p w14:paraId="61AF769E" w14:textId="77777777" w:rsidR="00C854C0" w:rsidRPr="00AC74E4" w:rsidRDefault="00C854C0" w:rsidP="00C854C0">
            <w:pPr>
              <w:spacing w:after="0" w:line="220" w:lineRule="exact"/>
              <w:rPr>
                <w:rFonts w:eastAsia="Times New Roman" w:cs="Arial"/>
                <w:sz w:val="18"/>
                <w:szCs w:val="18"/>
              </w:rPr>
            </w:pPr>
            <w:r w:rsidRPr="00FB01C4">
              <w:rPr>
                <w:rFonts w:eastAsia="Times New Roman" w:cs="Arial"/>
                <w:sz w:val="18"/>
                <w:szCs w:val="18"/>
              </w:rPr>
              <w:t>Neto prodaja imovine raspoložive za prodaju</w:t>
            </w:r>
          </w:p>
        </w:tc>
        <w:tc>
          <w:tcPr>
            <w:tcW w:w="1276" w:type="dxa"/>
            <w:tcBorders>
              <w:top w:val="nil"/>
              <w:left w:val="nil"/>
              <w:bottom w:val="nil"/>
              <w:right w:val="nil"/>
            </w:tcBorders>
            <w:shd w:val="clear" w:color="auto" w:fill="auto"/>
            <w:noWrap/>
            <w:vAlign w:val="bottom"/>
          </w:tcPr>
          <w:p w14:paraId="2366786C" w14:textId="1CB9B1EE" w:rsidR="00C854C0" w:rsidRPr="00693900" w:rsidRDefault="00C854C0" w:rsidP="00C854C0">
            <w:pPr>
              <w:spacing w:after="0" w:line="220" w:lineRule="exact"/>
              <w:jc w:val="right"/>
              <w:rPr>
                <w:rFonts w:eastAsia="Times New Roman" w:cs="Arial"/>
                <w:sz w:val="18"/>
                <w:szCs w:val="18"/>
              </w:rPr>
            </w:pPr>
            <w:r>
              <w:rPr>
                <w:rFonts w:ascii="Calibri" w:eastAsia="Times New Roman" w:hAnsi="Calibri" w:cs="Arial"/>
                <w:sz w:val="18"/>
                <w:szCs w:val="18"/>
              </w:rPr>
              <w:t>3.372</w:t>
            </w:r>
          </w:p>
        </w:tc>
        <w:tc>
          <w:tcPr>
            <w:tcW w:w="1134" w:type="dxa"/>
            <w:tcBorders>
              <w:top w:val="nil"/>
              <w:left w:val="nil"/>
              <w:bottom w:val="nil"/>
              <w:right w:val="nil"/>
            </w:tcBorders>
            <w:shd w:val="clear" w:color="auto" w:fill="auto"/>
            <w:vAlign w:val="bottom"/>
          </w:tcPr>
          <w:p w14:paraId="2D2685BA" w14:textId="1AEBB0C9" w:rsidR="00C854C0" w:rsidRPr="00FB01C4" w:rsidRDefault="00C854C0" w:rsidP="00C854C0">
            <w:pPr>
              <w:spacing w:after="0" w:line="220" w:lineRule="exact"/>
              <w:jc w:val="right"/>
              <w:rPr>
                <w:rFonts w:eastAsia="Times New Roman" w:cs="Arial"/>
                <w:sz w:val="18"/>
                <w:szCs w:val="18"/>
              </w:rPr>
            </w:pPr>
            <w:r w:rsidRPr="002B2DDF">
              <w:rPr>
                <w:rFonts w:cs="Arial"/>
                <w:sz w:val="18"/>
                <w:szCs w:val="18"/>
              </w:rPr>
              <w:t>1.758</w:t>
            </w:r>
          </w:p>
        </w:tc>
      </w:tr>
      <w:tr w:rsidR="00364A61" w:rsidRPr="00693900" w14:paraId="5B07BF67" w14:textId="77777777" w:rsidTr="00312975">
        <w:trPr>
          <w:trHeight w:val="186"/>
        </w:trPr>
        <w:tc>
          <w:tcPr>
            <w:tcW w:w="6237" w:type="dxa"/>
            <w:tcBorders>
              <w:top w:val="nil"/>
              <w:left w:val="nil"/>
              <w:right w:val="nil"/>
            </w:tcBorders>
            <w:shd w:val="clear" w:color="auto" w:fill="auto"/>
            <w:vAlign w:val="bottom"/>
          </w:tcPr>
          <w:p w14:paraId="60727D76" w14:textId="77777777" w:rsidR="00364A61" w:rsidRPr="00FB01C4" w:rsidRDefault="00364A61" w:rsidP="00364A61">
            <w:pPr>
              <w:spacing w:after="0" w:line="220" w:lineRule="exact"/>
              <w:rPr>
                <w:rFonts w:eastAsia="Times New Roman" w:cs="Arial"/>
                <w:sz w:val="18"/>
                <w:szCs w:val="18"/>
              </w:rPr>
            </w:pPr>
            <w:r w:rsidRPr="00FB01C4">
              <w:rPr>
                <w:rFonts w:eastAsia="Times New Roman" w:cs="Arial"/>
                <w:sz w:val="18"/>
                <w:szCs w:val="18"/>
              </w:rPr>
              <w:t>Neto (nabava) nekretnina, postrojenja i opreme i nematerijalne imovine</w:t>
            </w:r>
          </w:p>
        </w:tc>
        <w:tc>
          <w:tcPr>
            <w:tcW w:w="1276" w:type="dxa"/>
            <w:tcBorders>
              <w:top w:val="nil"/>
              <w:left w:val="nil"/>
              <w:bottom w:val="nil"/>
              <w:right w:val="nil"/>
            </w:tcBorders>
            <w:shd w:val="clear" w:color="auto" w:fill="auto"/>
            <w:noWrap/>
            <w:vAlign w:val="bottom"/>
          </w:tcPr>
          <w:p w14:paraId="2344033E" w14:textId="5EE9C0C5" w:rsidR="00364A61" w:rsidRPr="00693900" w:rsidRDefault="00364A61" w:rsidP="00364A61">
            <w:pPr>
              <w:spacing w:after="0" w:line="220" w:lineRule="exact"/>
              <w:jc w:val="right"/>
              <w:rPr>
                <w:rFonts w:eastAsia="Times New Roman" w:cs="Arial"/>
                <w:sz w:val="18"/>
                <w:szCs w:val="18"/>
              </w:rPr>
            </w:pPr>
            <w:r>
              <w:rPr>
                <w:rFonts w:ascii="Calibri" w:eastAsia="Times New Roman" w:hAnsi="Calibri" w:cs="Arial"/>
                <w:sz w:val="18"/>
                <w:szCs w:val="18"/>
              </w:rPr>
              <w:t>(10)</w:t>
            </w:r>
          </w:p>
        </w:tc>
        <w:tc>
          <w:tcPr>
            <w:tcW w:w="1134" w:type="dxa"/>
            <w:tcBorders>
              <w:top w:val="nil"/>
              <w:left w:val="nil"/>
              <w:bottom w:val="nil"/>
              <w:right w:val="nil"/>
            </w:tcBorders>
            <w:shd w:val="clear" w:color="auto" w:fill="auto"/>
            <w:vAlign w:val="bottom"/>
          </w:tcPr>
          <w:p w14:paraId="033D202B" w14:textId="489536C8" w:rsidR="00364A61" w:rsidRPr="00FB01C4" w:rsidRDefault="00364A61" w:rsidP="00364A61">
            <w:pPr>
              <w:spacing w:after="0" w:line="220" w:lineRule="exact"/>
              <w:jc w:val="right"/>
              <w:rPr>
                <w:rFonts w:eastAsia="Times New Roman" w:cs="Arial"/>
                <w:sz w:val="18"/>
                <w:szCs w:val="18"/>
              </w:rPr>
            </w:pPr>
            <w:r>
              <w:rPr>
                <w:rFonts w:ascii="Calibri" w:eastAsia="Times New Roman" w:hAnsi="Calibri" w:cs="Arial"/>
                <w:sz w:val="18"/>
                <w:szCs w:val="18"/>
              </w:rPr>
              <w:t>23</w:t>
            </w:r>
          </w:p>
        </w:tc>
      </w:tr>
      <w:tr w:rsidR="00364A61" w:rsidRPr="00693900" w14:paraId="604A537F" w14:textId="77777777" w:rsidTr="00312975">
        <w:trPr>
          <w:trHeight w:val="166"/>
        </w:trPr>
        <w:tc>
          <w:tcPr>
            <w:tcW w:w="6237" w:type="dxa"/>
            <w:tcBorders>
              <w:left w:val="nil"/>
              <w:right w:val="nil"/>
            </w:tcBorders>
            <w:shd w:val="clear" w:color="auto" w:fill="auto"/>
            <w:vAlign w:val="bottom"/>
          </w:tcPr>
          <w:p w14:paraId="5346AB96" w14:textId="77777777" w:rsidR="00364A61" w:rsidRPr="00FB01C4" w:rsidRDefault="00364A61" w:rsidP="00364A61">
            <w:pPr>
              <w:spacing w:after="0" w:line="220" w:lineRule="exact"/>
              <w:rPr>
                <w:rFonts w:eastAsia="Times New Roman" w:cs="Arial"/>
                <w:b/>
                <w:bCs/>
                <w:sz w:val="18"/>
                <w:szCs w:val="18"/>
              </w:rPr>
            </w:pPr>
            <w:r w:rsidRPr="00FB01C4">
              <w:rPr>
                <w:rFonts w:eastAsia="Times New Roman" w:cs="Arial"/>
                <w:b/>
                <w:bCs/>
                <w:sz w:val="18"/>
                <w:szCs w:val="18"/>
              </w:rPr>
              <w:t xml:space="preserve">Neto novčana sredstva (uporabljena) u </w:t>
            </w:r>
            <w:proofErr w:type="spellStart"/>
            <w:r w:rsidRPr="00FB01C4">
              <w:rPr>
                <w:rFonts w:eastAsia="Times New Roman" w:cs="Arial"/>
                <w:b/>
                <w:bCs/>
                <w:sz w:val="18"/>
                <w:szCs w:val="18"/>
              </w:rPr>
              <w:t>ulagateljskim</w:t>
            </w:r>
            <w:proofErr w:type="spellEnd"/>
            <w:r w:rsidRPr="00FB01C4">
              <w:rPr>
                <w:rFonts w:eastAsia="Times New Roman" w:cs="Arial"/>
                <w:b/>
                <w:bCs/>
                <w:sz w:val="18"/>
                <w:szCs w:val="18"/>
              </w:rPr>
              <w:t xml:space="preserve"> aktivnostima</w:t>
            </w:r>
          </w:p>
        </w:tc>
        <w:tc>
          <w:tcPr>
            <w:tcW w:w="1276" w:type="dxa"/>
            <w:tcBorders>
              <w:top w:val="single" w:sz="8" w:space="0" w:color="auto"/>
              <w:left w:val="nil"/>
              <w:bottom w:val="single" w:sz="8" w:space="0" w:color="auto"/>
              <w:right w:val="nil"/>
            </w:tcBorders>
            <w:shd w:val="clear" w:color="auto" w:fill="auto"/>
            <w:noWrap/>
          </w:tcPr>
          <w:p w14:paraId="593169D0" w14:textId="1F63821B" w:rsidR="00364A61" w:rsidRPr="00693900" w:rsidRDefault="00364A61" w:rsidP="00364A61">
            <w:pPr>
              <w:spacing w:after="0" w:line="220" w:lineRule="exact"/>
              <w:jc w:val="right"/>
              <w:rPr>
                <w:rFonts w:eastAsia="Times New Roman" w:cs="Arial"/>
                <w:b/>
                <w:sz w:val="18"/>
                <w:szCs w:val="18"/>
              </w:rPr>
            </w:pPr>
            <w:r>
              <w:rPr>
                <w:rFonts w:ascii="Calibri" w:eastAsia="Times New Roman" w:hAnsi="Calibri" w:cs="Arial"/>
                <w:b/>
                <w:sz w:val="18"/>
                <w:szCs w:val="18"/>
              </w:rPr>
              <w:t>(3.055)</w:t>
            </w:r>
          </w:p>
        </w:tc>
        <w:tc>
          <w:tcPr>
            <w:tcW w:w="1134" w:type="dxa"/>
            <w:tcBorders>
              <w:top w:val="single" w:sz="8" w:space="0" w:color="auto"/>
              <w:left w:val="nil"/>
              <w:bottom w:val="single" w:sz="8" w:space="0" w:color="auto"/>
              <w:right w:val="nil"/>
            </w:tcBorders>
            <w:shd w:val="clear" w:color="auto" w:fill="auto"/>
          </w:tcPr>
          <w:p w14:paraId="57B545F9" w14:textId="47830B6B" w:rsidR="00364A61" w:rsidRPr="00FB01C4" w:rsidRDefault="00364A61" w:rsidP="002D2F01">
            <w:pPr>
              <w:spacing w:after="0" w:line="220" w:lineRule="exact"/>
              <w:jc w:val="right"/>
              <w:rPr>
                <w:rFonts w:eastAsia="Times New Roman" w:cs="Arial"/>
                <w:b/>
                <w:sz w:val="18"/>
                <w:szCs w:val="18"/>
              </w:rPr>
            </w:pPr>
            <w:r>
              <w:rPr>
                <w:rFonts w:ascii="Calibri" w:eastAsia="Times New Roman" w:hAnsi="Calibri" w:cs="Arial"/>
                <w:b/>
                <w:sz w:val="18"/>
                <w:szCs w:val="18"/>
              </w:rPr>
              <w:t>(1.764)</w:t>
            </w:r>
          </w:p>
        </w:tc>
      </w:tr>
      <w:tr w:rsidR="00C854C0" w:rsidRPr="00693900" w14:paraId="273A07EF" w14:textId="77777777" w:rsidTr="00E45CA6">
        <w:trPr>
          <w:trHeight w:val="96"/>
        </w:trPr>
        <w:tc>
          <w:tcPr>
            <w:tcW w:w="6237" w:type="dxa"/>
            <w:tcBorders>
              <w:left w:val="nil"/>
              <w:bottom w:val="nil"/>
              <w:right w:val="nil"/>
            </w:tcBorders>
            <w:shd w:val="clear" w:color="auto" w:fill="auto"/>
            <w:vAlign w:val="bottom"/>
          </w:tcPr>
          <w:p w14:paraId="1E721A83" w14:textId="77777777" w:rsidR="00C854C0" w:rsidRPr="00FB01C4" w:rsidRDefault="00C854C0" w:rsidP="00C854C0">
            <w:pPr>
              <w:spacing w:after="0" w:line="140" w:lineRule="exact"/>
              <w:rPr>
                <w:rFonts w:eastAsia="Times New Roman" w:cs="Arial"/>
                <w:sz w:val="18"/>
                <w:szCs w:val="18"/>
              </w:rPr>
            </w:pPr>
          </w:p>
        </w:tc>
        <w:tc>
          <w:tcPr>
            <w:tcW w:w="1276" w:type="dxa"/>
            <w:tcBorders>
              <w:top w:val="single" w:sz="12" w:space="0" w:color="auto"/>
              <w:left w:val="nil"/>
              <w:bottom w:val="nil"/>
              <w:right w:val="nil"/>
            </w:tcBorders>
            <w:shd w:val="clear" w:color="auto" w:fill="auto"/>
            <w:noWrap/>
          </w:tcPr>
          <w:p w14:paraId="1A6FD23C" w14:textId="77777777" w:rsidR="00C854C0" w:rsidRPr="00693900" w:rsidRDefault="00C854C0" w:rsidP="00C854C0">
            <w:pPr>
              <w:spacing w:after="0" w:line="220" w:lineRule="exact"/>
              <w:jc w:val="right"/>
              <w:rPr>
                <w:rFonts w:eastAsia="Times New Roman" w:cs="Arial"/>
                <w:sz w:val="18"/>
                <w:szCs w:val="18"/>
              </w:rPr>
            </w:pPr>
          </w:p>
        </w:tc>
        <w:tc>
          <w:tcPr>
            <w:tcW w:w="1134" w:type="dxa"/>
            <w:tcBorders>
              <w:top w:val="single" w:sz="12" w:space="0" w:color="auto"/>
              <w:left w:val="nil"/>
              <w:bottom w:val="nil"/>
              <w:right w:val="nil"/>
            </w:tcBorders>
            <w:shd w:val="clear" w:color="auto" w:fill="auto"/>
            <w:vAlign w:val="bottom"/>
          </w:tcPr>
          <w:p w14:paraId="4EE0F594" w14:textId="2CC6DF35" w:rsidR="00C854C0" w:rsidRPr="00693900" w:rsidRDefault="00C854C0" w:rsidP="00C854C0">
            <w:pPr>
              <w:spacing w:after="0" w:line="220" w:lineRule="exact"/>
              <w:jc w:val="right"/>
              <w:rPr>
                <w:rFonts w:eastAsia="Times New Roman" w:cs="Arial"/>
                <w:sz w:val="18"/>
                <w:szCs w:val="18"/>
              </w:rPr>
            </w:pPr>
          </w:p>
        </w:tc>
      </w:tr>
      <w:tr w:rsidR="00C854C0" w:rsidRPr="00693900" w14:paraId="2D641FEC" w14:textId="77777777" w:rsidTr="00E45CA6">
        <w:trPr>
          <w:trHeight w:val="164"/>
        </w:trPr>
        <w:tc>
          <w:tcPr>
            <w:tcW w:w="6237" w:type="dxa"/>
            <w:tcBorders>
              <w:top w:val="nil"/>
              <w:left w:val="nil"/>
              <w:right w:val="nil"/>
            </w:tcBorders>
            <w:shd w:val="clear" w:color="auto" w:fill="auto"/>
            <w:vAlign w:val="bottom"/>
          </w:tcPr>
          <w:p w14:paraId="784F1524" w14:textId="77777777" w:rsidR="00C854C0" w:rsidRPr="00AC74E4" w:rsidRDefault="00C854C0" w:rsidP="00C854C0">
            <w:pPr>
              <w:spacing w:after="0" w:line="220" w:lineRule="exact"/>
              <w:rPr>
                <w:rFonts w:eastAsia="Times New Roman" w:cs="Arial"/>
                <w:b/>
                <w:sz w:val="18"/>
                <w:szCs w:val="18"/>
              </w:rPr>
            </w:pPr>
            <w:r w:rsidRPr="00FB01C4">
              <w:rPr>
                <w:rFonts w:eastAsia="Times New Roman" w:cs="Arial"/>
                <w:b/>
                <w:sz w:val="18"/>
                <w:szCs w:val="18"/>
              </w:rPr>
              <w:t>Učinci promjene tečajeva na novac i novčane ekvivalente</w:t>
            </w:r>
          </w:p>
        </w:tc>
        <w:tc>
          <w:tcPr>
            <w:tcW w:w="1276" w:type="dxa"/>
            <w:tcBorders>
              <w:top w:val="nil"/>
              <w:left w:val="nil"/>
              <w:bottom w:val="nil"/>
              <w:right w:val="nil"/>
            </w:tcBorders>
            <w:shd w:val="clear" w:color="auto" w:fill="auto"/>
            <w:noWrap/>
          </w:tcPr>
          <w:p w14:paraId="0CEB048F" w14:textId="77777777" w:rsidR="00C854C0" w:rsidRPr="00693900" w:rsidRDefault="00C854C0" w:rsidP="00C854C0">
            <w:pPr>
              <w:spacing w:after="0" w:line="220" w:lineRule="exact"/>
              <w:jc w:val="right"/>
              <w:rPr>
                <w:rFonts w:eastAsia="Times New Roman" w:cs="Arial"/>
                <w:sz w:val="18"/>
                <w:szCs w:val="18"/>
              </w:rPr>
            </w:pPr>
          </w:p>
        </w:tc>
        <w:tc>
          <w:tcPr>
            <w:tcW w:w="1134" w:type="dxa"/>
            <w:tcBorders>
              <w:top w:val="nil"/>
              <w:left w:val="nil"/>
              <w:bottom w:val="nil"/>
              <w:right w:val="nil"/>
            </w:tcBorders>
            <w:shd w:val="clear" w:color="auto" w:fill="auto"/>
            <w:vAlign w:val="bottom"/>
          </w:tcPr>
          <w:p w14:paraId="2F1AACCE" w14:textId="646DC433" w:rsidR="00C854C0" w:rsidRPr="00693900" w:rsidRDefault="00C854C0" w:rsidP="00C854C0">
            <w:pPr>
              <w:spacing w:after="0" w:line="220" w:lineRule="exact"/>
              <w:jc w:val="right"/>
              <w:rPr>
                <w:rFonts w:eastAsia="Times New Roman" w:cs="Arial"/>
                <w:sz w:val="18"/>
                <w:szCs w:val="18"/>
              </w:rPr>
            </w:pPr>
          </w:p>
        </w:tc>
      </w:tr>
      <w:tr w:rsidR="00C854C0" w:rsidRPr="00693900" w14:paraId="786BE1B9" w14:textId="77777777" w:rsidTr="00E45CA6">
        <w:trPr>
          <w:trHeight w:val="164"/>
        </w:trPr>
        <w:tc>
          <w:tcPr>
            <w:tcW w:w="6237" w:type="dxa"/>
            <w:tcBorders>
              <w:top w:val="nil"/>
              <w:left w:val="nil"/>
              <w:right w:val="nil"/>
            </w:tcBorders>
            <w:shd w:val="clear" w:color="auto" w:fill="auto"/>
            <w:vAlign w:val="bottom"/>
          </w:tcPr>
          <w:p w14:paraId="75296657" w14:textId="77777777" w:rsidR="00C854C0" w:rsidRPr="00FB01C4" w:rsidRDefault="00C854C0" w:rsidP="00C854C0">
            <w:pPr>
              <w:spacing w:after="0" w:line="220" w:lineRule="exact"/>
              <w:rPr>
                <w:rFonts w:eastAsia="Times New Roman" w:cs="Arial"/>
                <w:sz w:val="18"/>
                <w:szCs w:val="18"/>
              </w:rPr>
            </w:pPr>
            <w:r w:rsidRPr="00FB01C4">
              <w:rPr>
                <w:rFonts w:eastAsia="Times New Roman" w:cs="Arial"/>
                <w:sz w:val="18"/>
                <w:szCs w:val="18"/>
              </w:rPr>
              <w:t xml:space="preserve">Neto tečajne razlike </w:t>
            </w:r>
          </w:p>
        </w:tc>
        <w:tc>
          <w:tcPr>
            <w:tcW w:w="1276" w:type="dxa"/>
            <w:tcBorders>
              <w:top w:val="nil"/>
              <w:left w:val="nil"/>
              <w:bottom w:val="single" w:sz="4" w:space="0" w:color="auto"/>
              <w:right w:val="nil"/>
            </w:tcBorders>
            <w:shd w:val="clear" w:color="auto" w:fill="auto"/>
            <w:noWrap/>
          </w:tcPr>
          <w:p w14:paraId="50480DFE" w14:textId="0959D7E6" w:rsidR="00C854C0" w:rsidRPr="00693900" w:rsidRDefault="00C854C0" w:rsidP="00C854C0">
            <w:pPr>
              <w:spacing w:after="0" w:line="220" w:lineRule="exact"/>
              <w:jc w:val="right"/>
              <w:rPr>
                <w:rFonts w:eastAsia="Times New Roman" w:cs="Arial"/>
                <w:sz w:val="18"/>
                <w:szCs w:val="18"/>
              </w:rPr>
            </w:pPr>
            <w:r>
              <w:rPr>
                <w:rFonts w:ascii="Calibri" w:eastAsia="Times New Roman" w:hAnsi="Calibri" w:cs="Arial"/>
                <w:sz w:val="18"/>
                <w:szCs w:val="18"/>
              </w:rPr>
              <w:t>261</w:t>
            </w:r>
          </w:p>
        </w:tc>
        <w:tc>
          <w:tcPr>
            <w:tcW w:w="1134" w:type="dxa"/>
            <w:tcBorders>
              <w:top w:val="nil"/>
              <w:left w:val="nil"/>
              <w:bottom w:val="single" w:sz="4" w:space="0" w:color="auto"/>
              <w:right w:val="nil"/>
            </w:tcBorders>
            <w:shd w:val="clear" w:color="auto" w:fill="auto"/>
            <w:vAlign w:val="bottom"/>
          </w:tcPr>
          <w:p w14:paraId="774DA2CF" w14:textId="56BC45BB" w:rsidR="00C854C0" w:rsidRPr="00FB01C4" w:rsidRDefault="00C854C0" w:rsidP="00257CDB">
            <w:pPr>
              <w:spacing w:after="0" w:line="220" w:lineRule="exact"/>
              <w:jc w:val="right"/>
              <w:rPr>
                <w:rFonts w:eastAsia="Times New Roman" w:cs="Arial"/>
                <w:sz w:val="18"/>
                <w:szCs w:val="18"/>
              </w:rPr>
            </w:pPr>
            <w:r w:rsidRPr="000E5941">
              <w:rPr>
                <w:rFonts w:cs="Arial"/>
                <w:sz w:val="18"/>
                <w:szCs w:val="18"/>
              </w:rPr>
              <w:t>2</w:t>
            </w:r>
            <w:r>
              <w:rPr>
                <w:rFonts w:cs="Arial"/>
                <w:sz w:val="18"/>
                <w:szCs w:val="18"/>
              </w:rPr>
              <w:t>31</w:t>
            </w:r>
          </w:p>
        </w:tc>
      </w:tr>
      <w:tr w:rsidR="00C854C0" w:rsidRPr="00693900" w14:paraId="62014185" w14:textId="77777777" w:rsidTr="00E45CA6">
        <w:trPr>
          <w:trHeight w:val="164"/>
        </w:trPr>
        <w:tc>
          <w:tcPr>
            <w:tcW w:w="6237" w:type="dxa"/>
            <w:tcBorders>
              <w:top w:val="nil"/>
              <w:left w:val="nil"/>
              <w:right w:val="nil"/>
            </w:tcBorders>
            <w:shd w:val="clear" w:color="auto" w:fill="auto"/>
            <w:vAlign w:val="bottom"/>
          </w:tcPr>
          <w:p w14:paraId="5DBF603B" w14:textId="77777777" w:rsidR="00C854C0" w:rsidRPr="00FB01C4" w:rsidRDefault="00C854C0" w:rsidP="00C854C0">
            <w:pPr>
              <w:spacing w:after="0" w:line="220" w:lineRule="exact"/>
              <w:rPr>
                <w:rFonts w:eastAsia="Times New Roman" w:cs="Arial"/>
                <w:b/>
                <w:sz w:val="18"/>
                <w:szCs w:val="18"/>
              </w:rPr>
            </w:pPr>
            <w:r w:rsidRPr="00FB01C4">
              <w:rPr>
                <w:rFonts w:eastAsia="Times New Roman" w:cs="Arial"/>
                <w:b/>
                <w:sz w:val="18"/>
                <w:szCs w:val="18"/>
              </w:rPr>
              <w:t>Neto učinak</w:t>
            </w:r>
          </w:p>
        </w:tc>
        <w:tc>
          <w:tcPr>
            <w:tcW w:w="1276" w:type="dxa"/>
            <w:tcBorders>
              <w:top w:val="single" w:sz="4" w:space="0" w:color="auto"/>
              <w:left w:val="nil"/>
              <w:bottom w:val="single" w:sz="12" w:space="0" w:color="auto"/>
              <w:right w:val="nil"/>
            </w:tcBorders>
            <w:shd w:val="clear" w:color="auto" w:fill="auto"/>
            <w:noWrap/>
          </w:tcPr>
          <w:p w14:paraId="11DB922D" w14:textId="0FCBF319" w:rsidR="00C854C0" w:rsidRPr="00693900" w:rsidRDefault="00C854C0" w:rsidP="00C854C0">
            <w:pPr>
              <w:spacing w:after="0" w:line="220" w:lineRule="exact"/>
              <w:jc w:val="right"/>
              <w:rPr>
                <w:rFonts w:eastAsia="Times New Roman" w:cs="Arial"/>
                <w:b/>
                <w:sz w:val="18"/>
                <w:szCs w:val="18"/>
              </w:rPr>
            </w:pPr>
            <w:r>
              <w:rPr>
                <w:rFonts w:ascii="Calibri" w:eastAsia="Times New Roman" w:hAnsi="Calibri" w:cs="Arial"/>
                <w:b/>
                <w:sz w:val="18"/>
                <w:szCs w:val="18"/>
              </w:rPr>
              <w:t>261</w:t>
            </w:r>
          </w:p>
        </w:tc>
        <w:tc>
          <w:tcPr>
            <w:tcW w:w="1134" w:type="dxa"/>
            <w:tcBorders>
              <w:top w:val="single" w:sz="4" w:space="0" w:color="auto"/>
              <w:left w:val="nil"/>
              <w:bottom w:val="single" w:sz="12" w:space="0" w:color="auto"/>
              <w:right w:val="nil"/>
            </w:tcBorders>
            <w:shd w:val="clear" w:color="auto" w:fill="auto"/>
            <w:vAlign w:val="bottom"/>
          </w:tcPr>
          <w:p w14:paraId="2F837A8D" w14:textId="1E39C998" w:rsidR="00C854C0" w:rsidRPr="00FB01C4" w:rsidRDefault="00C854C0" w:rsidP="00C854C0">
            <w:pPr>
              <w:spacing w:after="0" w:line="220" w:lineRule="exact"/>
              <w:jc w:val="right"/>
              <w:rPr>
                <w:rFonts w:eastAsia="Times New Roman" w:cs="Arial"/>
                <w:b/>
                <w:sz w:val="18"/>
                <w:szCs w:val="18"/>
              </w:rPr>
            </w:pPr>
            <w:r w:rsidRPr="000E5941">
              <w:rPr>
                <w:rFonts w:cs="Arial"/>
                <w:b/>
                <w:sz w:val="18"/>
                <w:szCs w:val="18"/>
              </w:rPr>
              <w:t>2</w:t>
            </w:r>
            <w:r>
              <w:rPr>
                <w:rFonts w:cs="Arial"/>
                <w:b/>
                <w:sz w:val="18"/>
                <w:szCs w:val="18"/>
              </w:rPr>
              <w:t>31</w:t>
            </w:r>
          </w:p>
        </w:tc>
      </w:tr>
      <w:tr w:rsidR="00C854C0" w:rsidRPr="00693900" w14:paraId="56A419EF" w14:textId="77777777" w:rsidTr="00E45CA6">
        <w:trPr>
          <w:trHeight w:val="56"/>
        </w:trPr>
        <w:tc>
          <w:tcPr>
            <w:tcW w:w="6237" w:type="dxa"/>
            <w:tcBorders>
              <w:top w:val="nil"/>
              <w:left w:val="nil"/>
              <w:right w:val="nil"/>
            </w:tcBorders>
            <w:shd w:val="clear" w:color="auto" w:fill="auto"/>
            <w:vAlign w:val="bottom"/>
          </w:tcPr>
          <w:p w14:paraId="653B8466" w14:textId="77777777" w:rsidR="00C854C0" w:rsidRPr="00FB01C4" w:rsidRDefault="00C854C0" w:rsidP="00C854C0">
            <w:pPr>
              <w:spacing w:after="0" w:line="140" w:lineRule="exact"/>
              <w:rPr>
                <w:rFonts w:eastAsia="Times New Roman" w:cs="Arial"/>
                <w:sz w:val="18"/>
                <w:szCs w:val="18"/>
              </w:rPr>
            </w:pPr>
          </w:p>
        </w:tc>
        <w:tc>
          <w:tcPr>
            <w:tcW w:w="1276" w:type="dxa"/>
            <w:tcBorders>
              <w:top w:val="single" w:sz="12" w:space="0" w:color="auto"/>
              <w:left w:val="nil"/>
              <w:bottom w:val="nil"/>
              <w:right w:val="nil"/>
            </w:tcBorders>
            <w:shd w:val="clear" w:color="auto" w:fill="auto"/>
            <w:noWrap/>
          </w:tcPr>
          <w:p w14:paraId="37532B46" w14:textId="77777777" w:rsidR="00C854C0" w:rsidRPr="00693900" w:rsidRDefault="00C854C0" w:rsidP="00C854C0">
            <w:pPr>
              <w:spacing w:after="0" w:line="140" w:lineRule="exact"/>
              <w:jc w:val="right"/>
              <w:rPr>
                <w:rFonts w:eastAsia="Times New Roman" w:cs="Arial"/>
                <w:sz w:val="18"/>
                <w:szCs w:val="18"/>
              </w:rPr>
            </w:pPr>
          </w:p>
        </w:tc>
        <w:tc>
          <w:tcPr>
            <w:tcW w:w="1134" w:type="dxa"/>
            <w:tcBorders>
              <w:top w:val="single" w:sz="12" w:space="0" w:color="auto"/>
              <w:left w:val="nil"/>
              <w:bottom w:val="nil"/>
              <w:right w:val="nil"/>
            </w:tcBorders>
            <w:shd w:val="clear" w:color="auto" w:fill="auto"/>
            <w:vAlign w:val="bottom"/>
          </w:tcPr>
          <w:p w14:paraId="0CAFFDB1" w14:textId="77777777" w:rsidR="00C854C0" w:rsidRPr="00693900" w:rsidRDefault="00C854C0" w:rsidP="00C854C0">
            <w:pPr>
              <w:spacing w:after="0" w:line="140" w:lineRule="exact"/>
              <w:jc w:val="right"/>
              <w:rPr>
                <w:rFonts w:eastAsia="Times New Roman" w:cs="Arial"/>
                <w:sz w:val="18"/>
                <w:szCs w:val="18"/>
              </w:rPr>
            </w:pPr>
          </w:p>
        </w:tc>
      </w:tr>
      <w:tr w:rsidR="00C854C0" w:rsidRPr="00693900" w14:paraId="3C925E7E" w14:textId="77777777" w:rsidTr="005F1FBF">
        <w:trPr>
          <w:trHeight w:val="164"/>
        </w:trPr>
        <w:tc>
          <w:tcPr>
            <w:tcW w:w="6237" w:type="dxa"/>
            <w:tcBorders>
              <w:top w:val="nil"/>
              <w:left w:val="nil"/>
              <w:right w:val="nil"/>
            </w:tcBorders>
            <w:shd w:val="clear" w:color="auto" w:fill="auto"/>
            <w:vAlign w:val="bottom"/>
          </w:tcPr>
          <w:p w14:paraId="7083CD39" w14:textId="397C301F" w:rsidR="00C854C0" w:rsidRPr="00FB01C4" w:rsidRDefault="00C854C0" w:rsidP="00C854C0">
            <w:pPr>
              <w:spacing w:after="0" w:line="220" w:lineRule="exact"/>
              <w:rPr>
                <w:rFonts w:eastAsia="Times New Roman" w:cs="Arial"/>
                <w:sz w:val="18"/>
                <w:szCs w:val="18"/>
              </w:rPr>
            </w:pPr>
            <w:r w:rsidRPr="00FB01C4">
              <w:rPr>
                <w:rFonts w:eastAsia="Times New Roman" w:cs="Arial"/>
                <w:sz w:val="18"/>
                <w:szCs w:val="18"/>
              </w:rPr>
              <w:t>Neto povećanje</w:t>
            </w:r>
            <w:r>
              <w:rPr>
                <w:rFonts w:eastAsia="Times New Roman" w:cs="Arial"/>
                <w:sz w:val="18"/>
                <w:szCs w:val="18"/>
              </w:rPr>
              <w:t>/(smanjenje)</w:t>
            </w:r>
            <w:r w:rsidRPr="00FB01C4">
              <w:rPr>
                <w:rFonts w:eastAsia="Times New Roman" w:cs="Arial"/>
                <w:sz w:val="18"/>
                <w:szCs w:val="18"/>
              </w:rPr>
              <w:t xml:space="preserve"> novca i novčanih ekvivalenata</w:t>
            </w:r>
          </w:p>
        </w:tc>
        <w:tc>
          <w:tcPr>
            <w:tcW w:w="1276" w:type="dxa"/>
            <w:tcBorders>
              <w:top w:val="nil"/>
              <w:left w:val="nil"/>
              <w:bottom w:val="nil"/>
              <w:right w:val="nil"/>
            </w:tcBorders>
            <w:shd w:val="clear" w:color="auto" w:fill="auto"/>
            <w:noWrap/>
          </w:tcPr>
          <w:p w14:paraId="0B64F706" w14:textId="29F798F2" w:rsidR="00C854C0" w:rsidRPr="00693900" w:rsidRDefault="00C854C0" w:rsidP="00C854C0">
            <w:pPr>
              <w:spacing w:after="0" w:line="220" w:lineRule="exact"/>
              <w:jc w:val="right"/>
              <w:rPr>
                <w:rFonts w:eastAsia="Times New Roman" w:cs="Arial"/>
                <w:sz w:val="18"/>
                <w:szCs w:val="18"/>
              </w:rPr>
            </w:pPr>
            <w:r>
              <w:rPr>
                <w:rFonts w:ascii="Calibri" w:eastAsia="Times New Roman" w:hAnsi="Calibri" w:cs="Arial"/>
                <w:sz w:val="18"/>
                <w:szCs w:val="18"/>
              </w:rPr>
              <w:t>707</w:t>
            </w:r>
          </w:p>
        </w:tc>
        <w:tc>
          <w:tcPr>
            <w:tcW w:w="1134" w:type="dxa"/>
            <w:tcBorders>
              <w:top w:val="nil"/>
              <w:left w:val="nil"/>
              <w:bottom w:val="nil"/>
              <w:right w:val="nil"/>
            </w:tcBorders>
            <w:shd w:val="clear" w:color="auto" w:fill="auto"/>
            <w:vAlign w:val="bottom"/>
          </w:tcPr>
          <w:p w14:paraId="3B6569A3" w14:textId="1AB355C1" w:rsidR="00C854C0" w:rsidRPr="00FB01C4" w:rsidRDefault="00C854C0" w:rsidP="00C854C0">
            <w:pPr>
              <w:spacing w:after="0" w:line="220" w:lineRule="exact"/>
              <w:jc w:val="right"/>
              <w:rPr>
                <w:rFonts w:eastAsia="Times New Roman" w:cs="Arial"/>
                <w:sz w:val="18"/>
                <w:szCs w:val="18"/>
              </w:rPr>
            </w:pPr>
            <w:r w:rsidRPr="002B2DDF">
              <w:rPr>
                <w:rFonts w:cs="Arial"/>
                <w:sz w:val="18"/>
                <w:szCs w:val="18"/>
              </w:rPr>
              <w:t>210</w:t>
            </w:r>
          </w:p>
        </w:tc>
      </w:tr>
      <w:tr w:rsidR="00C854C0" w:rsidRPr="00693900" w14:paraId="265FE26B" w14:textId="77777777" w:rsidTr="005F1FBF">
        <w:trPr>
          <w:trHeight w:val="66"/>
        </w:trPr>
        <w:tc>
          <w:tcPr>
            <w:tcW w:w="6237" w:type="dxa"/>
            <w:tcBorders>
              <w:top w:val="nil"/>
              <w:left w:val="nil"/>
              <w:right w:val="nil"/>
            </w:tcBorders>
            <w:shd w:val="clear" w:color="auto" w:fill="auto"/>
            <w:vAlign w:val="bottom"/>
          </w:tcPr>
          <w:p w14:paraId="563FDE2A" w14:textId="77777777" w:rsidR="00C854C0" w:rsidRPr="00FB01C4" w:rsidRDefault="00C854C0" w:rsidP="00C854C0">
            <w:pPr>
              <w:spacing w:after="0" w:line="140" w:lineRule="exact"/>
              <w:rPr>
                <w:rFonts w:eastAsia="Times New Roman" w:cs="Arial"/>
                <w:sz w:val="18"/>
                <w:szCs w:val="18"/>
              </w:rPr>
            </w:pPr>
          </w:p>
        </w:tc>
        <w:tc>
          <w:tcPr>
            <w:tcW w:w="1276" w:type="dxa"/>
            <w:tcBorders>
              <w:top w:val="nil"/>
              <w:left w:val="nil"/>
              <w:bottom w:val="nil"/>
              <w:right w:val="nil"/>
            </w:tcBorders>
            <w:shd w:val="clear" w:color="auto" w:fill="auto"/>
            <w:noWrap/>
          </w:tcPr>
          <w:p w14:paraId="6B3ADBA7" w14:textId="77777777" w:rsidR="00C854C0" w:rsidRPr="00693900" w:rsidRDefault="00C854C0" w:rsidP="00C854C0">
            <w:pPr>
              <w:spacing w:after="0" w:line="140" w:lineRule="exact"/>
              <w:jc w:val="right"/>
              <w:rPr>
                <w:rFonts w:eastAsia="Times New Roman" w:cs="Arial"/>
                <w:sz w:val="18"/>
                <w:szCs w:val="18"/>
              </w:rPr>
            </w:pPr>
          </w:p>
        </w:tc>
        <w:tc>
          <w:tcPr>
            <w:tcW w:w="1134" w:type="dxa"/>
            <w:tcBorders>
              <w:top w:val="nil"/>
              <w:left w:val="nil"/>
              <w:bottom w:val="nil"/>
              <w:right w:val="nil"/>
            </w:tcBorders>
            <w:shd w:val="clear" w:color="auto" w:fill="auto"/>
            <w:vAlign w:val="bottom"/>
          </w:tcPr>
          <w:p w14:paraId="4C09932C" w14:textId="6DC49459" w:rsidR="00C854C0" w:rsidRPr="00693900" w:rsidRDefault="00C854C0" w:rsidP="00C854C0">
            <w:pPr>
              <w:spacing w:after="0" w:line="140" w:lineRule="exact"/>
              <w:jc w:val="right"/>
              <w:rPr>
                <w:rFonts w:eastAsia="Times New Roman" w:cs="Arial"/>
                <w:sz w:val="18"/>
                <w:szCs w:val="18"/>
              </w:rPr>
            </w:pPr>
          </w:p>
        </w:tc>
      </w:tr>
      <w:tr w:rsidR="00C854C0" w:rsidRPr="00693900" w14:paraId="211CE731" w14:textId="77777777" w:rsidTr="00E45CA6">
        <w:trPr>
          <w:trHeight w:val="164"/>
        </w:trPr>
        <w:tc>
          <w:tcPr>
            <w:tcW w:w="6237" w:type="dxa"/>
            <w:tcBorders>
              <w:top w:val="nil"/>
              <w:left w:val="nil"/>
              <w:right w:val="nil"/>
            </w:tcBorders>
            <w:shd w:val="clear" w:color="auto" w:fill="auto"/>
            <w:vAlign w:val="bottom"/>
          </w:tcPr>
          <w:p w14:paraId="477DD7C5" w14:textId="77777777" w:rsidR="00C854C0" w:rsidRPr="00FB01C4" w:rsidRDefault="00C854C0" w:rsidP="00C854C0">
            <w:pPr>
              <w:spacing w:after="0" w:line="220" w:lineRule="exact"/>
              <w:rPr>
                <w:rFonts w:eastAsia="Times New Roman" w:cs="Arial"/>
                <w:sz w:val="18"/>
                <w:szCs w:val="18"/>
              </w:rPr>
            </w:pPr>
            <w:r w:rsidRPr="00FB01C4">
              <w:rPr>
                <w:rFonts w:eastAsia="Times New Roman" w:cs="Arial"/>
                <w:sz w:val="18"/>
                <w:szCs w:val="18"/>
              </w:rPr>
              <w:t>Stanje na dan 1. siječnja</w:t>
            </w:r>
          </w:p>
        </w:tc>
        <w:tc>
          <w:tcPr>
            <w:tcW w:w="1276" w:type="dxa"/>
            <w:tcBorders>
              <w:top w:val="nil"/>
              <w:left w:val="nil"/>
              <w:bottom w:val="nil"/>
              <w:right w:val="nil"/>
            </w:tcBorders>
            <w:shd w:val="clear" w:color="auto" w:fill="auto"/>
            <w:noWrap/>
          </w:tcPr>
          <w:p w14:paraId="41CB838C" w14:textId="6CED9EC8" w:rsidR="00C854C0" w:rsidRPr="00693900" w:rsidRDefault="00C854C0" w:rsidP="00C854C0">
            <w:pPr>
              <w:spacing w:after="0" w:line="220" w:lineRule="exact"/>
              <w:jc w:val="right"/>
              <w:rPr>
                <w:rFonts w:eastAsia="Times New Roman" w:cs="Arial"/>
                <w:sz w:val="18"/>
                <w:szCs w:val="18"/>
              </w:rPr>
            </w:pPr>
            <w:r>
              <w:rPr>
                <w:rFonts w:ascii="Calibri" w:eastAsia="Times New Roman" w:hAnsi="Calibri" w:cs="Arial"/>
                <w:sz w:val="18"/>
                <w:szCs w:val="18"/>
              </w:rPr>
              <w:t>551</w:t>
            </w:r>
          </w:p>
        </w:tc>
        <w:tc>
          <w:tcPr>
            <w:tcW w:w="1134" w:type="dxa"/>
            <w:tcBorders>
              <w:top w:val="nil"/>
              <w:left w:val="nil"/>
              <w:bottom w:val="nil"/>
              <w:right w:val="nil"/>
            </w:tcBorders>
            <w:shd w:val="clear" w:color="auto" w:fill="auto"/>
            <w:vAlign w:val="bottom"/>
          </w:tcPr>
          <w:p w14:paraId="378269AD" w14:textId="72F15E68" w:rsidR="00C854C0" w:rsidRPr="00FB01C4" w:rsidRDefault="00C854C0" w:rsidP="00C854C0">
            <w:pPr>
              <w:spacing w:after="0" w:line="220" w:lineRule="exact"/>
              <w:jc w:val="right"/>
              <w:rPr>
                <w:rFonts w:eastAsia="Times New Roman" w:cs="Arial"/>
                <w:sz w:val="18"/>
                <w:szCs w:val="18"/>
              </w:rPr>
            </w:pPr>
            <w:r w:rsidRPr="002B2DDF">
              <w:rPr>
                <w:rFonts w:cs="Arial"/>
                <w:sz w:val="18"/>
                <w:szCs w:val="18"/>
              </w:rPr>
              <w:t>242</w:t>
            </w:r>
          </w:p>
        </w:tc>
      </w:tr>
      <w:tr w:rsidR="00C854C0" w:rsidRPr="00693900" w14:paraId="0C14EF1F" w14:textId="77777777" w:rsidTr="00312975">
        <w:trPr>
          <w:trHeight w:val="164"/>
        </w:trPr>
        <w:tc>
          <w:tcPr>
            <w:tcW w:w="6237" w:type="dxa"/>
            <w:tcBorders>
              <w:top w:val="nil"/>
              <w:left w:val="nil"/>
              <w:right w:val="nil"/>
            </w:tcBorders>
            <w:shd w:val="clear" w:color="auto" w:fill="auto"/>
            <w:vAlign w:val="bottom"/>
          </w:tcPr>
          <w:p w14:paraId="6CDE185E" w14:textId="0AD3ED3D" w:rsidR="00C854C0" w:rsidRPr="00AC74E4" w:rsidRDefault="00C854C0" w:rsidP="00C854C0">
            <w:pPr>
              <w:spacing w:after="0" w:line="220" w:lineRule="exact"/>
              <w:rPr>
                <w:rFonts w:eastAsia="Times New Roman" w:cs="Arial"/>
                <w:sz w:val="18"/>
                <w:szCs w:val="18"/>
              </w:rPr>
            </w:pPr>
            <w:r w:rsidRPr="00FB01C4">
              <w:rPr>
                <w:rFonts w:eastAsia="Times New Roman" w:cs="Arial"/>
                <w:sz w:val="18"/>
                <w:szCs w:val="18"/>
              </w:rPr>
              <w:t>Neto povećanje/(smanjenje)</w:t>
            </w:r>
            <w:r w:rsidRPr="00AC74E4">
              <w:rPr>
                <w:rFonts w:eastAsia="Times New Roman" w:cs="Arial"/>
                <w:sz w:val="18"/>
                <w:szCs w:val="18"/>
              </w:rPr>
              <w:t xml:space="preserve"> novca</w:t>
            </w:r>
          </w:p>
        </w:tc>
        <w:tc>
          <w:tcPr>
            <w:tcW w:w="1276" w:type="dxa"/>
            <w:tcBorders>
              <w:top w:val="nil"/>
              <w:left w:val="nil"/>
              <w:bottom w:val="nil"/>
              <w:right w:val="nil"/>
            </w:tcBorders>
            <w:shd w:val="clear" w:color="auto" w:fill="auto"/>
            <w:noWrap/>
          </w:tcPr>
          <w:p w14:paraId="1F59B8A0" w14:textId="30BFB072" w:rsidR="00C854C0" w:rsidRPr="00693900" w:rsidRDefault="00C854C0" w:rsidP="00C854C0">
            <w:pPr>
              <w:spacing w:after="0" w:line="220" w:lineRule="exact"/>
              <w:jc w:val="right"/>
              <w:rPr>
                <w:rFonts w:eastAsia="Times New Roman" w:cs="Arial"/>
                <w:sz w:val="18"/>
                <w:szCs w:val="18"/>
              </w:rPr>
            </w:pPr>
            <w:r>
              <w:rPr>
                <w:rFonts w:ascii="Calibri" w:eastAsia="Times New Roman" w:hAnsi="Calibri" w:cs="Arial"/>
                <w:sz w:val="18"/>
                <w:szCs w:val="18"/>
              </w:rPr>
              <w:t>707</w:t>
            </w:r>
          </w:p>
        </w:tc>
        <w:tc>
          <w:tcPr>
            <w:tcW w:w="1134" w:type="dxa"/>
            <w:tcBorders>
              <w:top w:val="nil"/>
              <w:left w:val="nil"/>
              <w:right w:val="nil"/>
            </w:tcBorders>
            <w:shd w:val="clear" w:color="auto" w:fill="auto"/>
            <w:vAlign w:val="bottom"/>
          </w:tcPr>
          <w:p w14:paraId="500C89F2" w14:textId="44E0D836" w:rsidR="00C854C0" w:rsidRPr="00FB01C4" w:rsidRDefault="00C854C0" w:rsidP="00C854C0">
            <w:pPr>
              <w:spacing w:after="0" w:line="220" w:lineRule="exact"/>
              <w:jc w:val="right"/>
              <w:rPr>
                <w:rFonts w:eastAsia="Times New Roman" w:cs="Arial"/>
                <w:sz w:val="18"/>
                <w:szCs w:val="18"/>
              </w:rPr>
            </w:pPr>
            <w:r w:rsidRPr="002B2DDF">
              <w:rPr>
                <w:rFonts w:cs="Arial"/>
                <w:sz w:val="18"/>
                <w:szCs w:val="18"/>
              </w:rPr>
              <w:t>210</w:t>
            </w:r>
          </w:p>
        </w:tc>
      </w:tr>
      <w:tr w:rsidR="00C854C0" w:rsidRPr="00693900" w14:paraId="7AE7E525" w14:textId="77777777" w:rsidTr="00E45CA6">
        <w:trPr>
          <w:trHeight w:val="66"/>
        </w:trPr>
        <w:tc>
          <w:tcPr>
            <w:tcW w:w="6237" w:type="dxa"/>
            <w:tcBorders>
              <w:top w:val="nil"/>
              <w:left w:val="nil"/>
              <w:right w:val="nil"/>
            </w:tcBorders>
            <w:shd w:val="clear" w:color="auto" w:fill="auto"/>
            <w:vAlign w:val="bottom"/>
          </w:tcPr>
          <w:p w14:paraId="1A262273" w14:textId="77777777" w:rsidR="00C854C0" w:rsidRPr="00FB01C4" w:rsidRDefault="00C854C0" w:rsidP="00C854C0">
            <w:pPr>
              <w:spacing w:after="0" w:line="140" w:lineRule="exact"/>
              <w:rPr>
                <w:rFonts w:eastAsia="Times New Roman" w:cs="Arial"/>
                <w:sz w:val="18"/>
                <w:szCs w:val="18"/>
              </w:rPr>
            </w:pPr>
          </w:p>
        </w:tc>
        <w:tc>
          <w:tcPr>
            <w:tcW w:w="1276" w:type="dxa"/>
            <w:tcBorders>
              <w:top w:val="nil"/>
              <w:left w:val="nil"/>
              <w:bottom w:val="single" w:sz="4" w:space="0" w:color="auto"/>
              <w:right w:val="nil"/>
            </w:tcBorders>
            <w:shd w:val="clear" w:color="auto" w:fill="auto"/>
            <w:noWrap/>
          </w:tcPr>
          <w:p w14:paraId="4404535E" w14:textId="77777777" w:rsidR="00C854C0" w:rsidRPr="00693900" w:rsidRDefault="00C854C0" w:rsidP="00C854C0">
            <w:pPr>
              <w:spacing w:after="0" w:line="140" w:lineRule="exact"/>
              <w:jc w:val="right"/>
              <w:rPr>
                <w:rFonts w:eastAsia="Times New Roman" w:cs="Arial"/>
                <w:sz w:val="18"/>
                <w:szCs w:val="18"/>
              </w:rPr>
            </w:pPr>
          </w:p>
        </w:tc>
        <w:tc>
          <w:tcPr>
            <w:tcW w:w="1134" w:type="dxa"/>
            <w:tcBorders>
              <w:top w:val="nil"/>
              <w:left w:val="nil"/>
              <w:bottom w:val="single" w:sz="4" w:space="0" w:color="auto"/>
              <w:right w:val="nil"/>
            </w:tcBorders>
            <w:shd w:val="clear" w:color="auto" w:fill="auto"/>
            <w:vAlign w:val="bottom"/>
          </w:tcPr>
          <w:p w14:paraId="74FF22D3" w14:textId="01E23865" w:rsidR="00C854C0" w:rsidRPr="00693900" w:rsidRDefault="00C854C0" w:rsidP="00C854C0">
            <w:pPr>
              <w:spacing w:after="0" w:line="140" w:lineRule="exact"/>
              <w:jc w:val="right"/>
              <w:rPr>
                <w:rFonts w:eastAsia="Times New Roman" w:cs="Arial"/>
                <w:sz w:val="18"/>
                <w:szCs w:val="18"/>
              </w:rPr>
            </w:pPr>
          </w:p>
        </w:tc>
      </w:tr>
      <w:tr w:rsidR="00C854C0" w:rsidRPr="00693900" w14:paraId="7CBFBE55" w14:textId="77777777" w:rsidTr="00E45CA6">
        <w:trPr>
          <w:trHeight w:val="164"/>
        </w:trPr>
        <w:tc>
          <w:tcPr>
            <w:tcW w:w="6237" w:type="dxa"/>
            <w:tcBorders>
              <w:top w:val="nil"/>
              <w:left w:val="nil"/>
              <w:right w:val="nil"/>
            </w:tcBorders>
            <w:shd w:val="clear" w:color="auto" w:fill="auto"/>
            <w:vAlign w:val="bottom"/>
          </w:tcPr>
          <w:p w14:paraId="2D4EBD3F" w14:textId="47DAF230" w:rsidR="00C854C0" w:rsidRPr="00AC74E4" w:rsidRDefault="00C854C0" w:rsidP="00257CDB">
            <w:pPr>
              <w:spacing w:after="0" w:line="220" w:lineRule="exact"/>
              <w:rPr>
                <w:rFonts w:eastAsia="Times New Roman" w:cs="Arial"/>
                <w:b/>
                <w:sz w:val="18"/>
                <w:szCs w:val="18"/>
              </w:rPr>
            </w:pPr>
            <w:r w:rsidRPr="00FB01C4">
              <w:rPr>
                <w:rFonts w:eastAsia="Times New Roman" w:cs="Arial"/>
                <w:b/>
                <w:sz w:val="18"/>
                <w:szCs w:val="18"/>
              </w:rPr>
              <w:t>Stanje na dan 3</w:t>
            </w:r>
            <w:r>
              <w:rPr>
                <w:rFonts w:eastAsia="Times New Roman" w:cs="Arial"/>
                <w:b/>
                <w:sz w:val="18"/>
                <w:szCs w:val="18"/>
              </w:rPr>
              <w:t>0</w:t>
            </w:r>
            <w:r w:rsidRPr="00FB01C4">
              <w:rPr>
                <w:rFonts w:eastAsia="Times New Roman" w:cs="Arial"/>
                <w:b/>
                <w:sz w:val="18"/>
                <w:szCs w:val="18"/>
              </w:rPr>
              <w:t xml:space="preserve">. </w:t>
            </w:r>
            <w:r>
              <w:rPr>
                <w:rFonts w:eastAsia="Times New Roman" w:cs="Arial"/>
                <w:b/>
                <w:sz w:val="18"/>
                <w:szCs w:val="18"/>
              </w:rPr>
              <w:t>lipnja</w:t>
            </w:r>
          </w:p>
        </w:tc>
        <w:tc>
          <w:tcPr>
            <w:tcW w:w="1276" w:type="dxa"/>
            <w:tcBorders>
              <w:top w:val="single" w:sz="4" w:space="0" w:color="auto"/>
              <w:left w:val="nil"/>
              <w:bottom w:val="single" w:sz="12" w:space="0" w:color="auto"/>
              <w:right w:val="nil"/>
            </w:tcBorders>
            <w:shd w:val="clear" w:color="auto" w:fill="auto"/>
            <w:noWrap/>
          </w:tcPr>
          <w:p w14:paraId="40BED6A7" w14:textId="3589ECD0" w:rsidR="00C854C0" w:rsidRPr="00693900" w:rsidRDefault="00C854C0" w:rsidP="00C854C0">
            <w:pPr>
              <w:spacing w:after="0" w:line="220" w:lineRule="exact"/>
              <w:jc w:val="right"/>
              <w:rPr>
                <w:rFonts w:eastAsia="Times New Roman" w:cs="Arial"/>
                <w:b/>
                <w:sz w:val="18"/>
                <w:szCs w:val="18"/>
              </w:rPr>
            </w:pPr>
            <w:r>
              <w:rPr>
                <w:rFonts w:ascii="Calibri" w:eastAsia="Times New Roman" w:hAnsi="Calibri" w:cs="Arial"/>
                <w:b/>
                <w:sz w:val="18"/>
                <w:szCs w:val="18"/>
              </w:rPr>
              <w:t>1.258</w:t>
            </w:r>
          </w:p>
        </w:tc>
        <w:tc>
          <w:tcPr>
            <w:tcW w:w="1134" w:type="dxa"/>
            <w:tcBorders>
              <w:top w:val="single" w:sz="4" w:space="0" w:color="auto"/>
              <w:left w:val="nil"/>
              <w:bottom w:val="single" w:sz="12" w:space="0" w:color="auto"/>
              <w:right w:val="nil"/>
            </w:tcBorders>
            <w:shd w:val="clear" w:color="auto" w:fill="auto"/>
            <w:vAlign w:val="bottom"/>
          </w:tcPr>
          <w:p w14:paraId="743DAA6B" w14:textId="074EB08C" w:rsidR="00C854C0" w:rsidRPr="00FB01C4" w:rsidRDefault="00C854C0" w:rsidP="00C854C0">
            <w:pPr>
              <w:spacing w:after="0" w:line="220" w:lineRule="exact"/>
              <w:jc w:val="right"/>
              <w:rPr>
                <w:rFonts w:eastAsia="Times New Roman" w:cs="Arial"/>
                <w:b/>
                <w:sz w:val="18"/>
                <w:szCs w:val="18"/>
              </w:rPr>
            </w:pPr>
            <w:r w:rsidRPr="002B2DDF">
              <w:rPr>
                <w:rFonts w:cs="Arial"/>
                <w:b/>
                <w:sz w:val="18"/>
                <w:szCs w:val="18"/>
              </w:rPr>
              <w:t>452</w:t>
            </w:r>
          </w:p>
        </w:tc>
      </w:tr>
    </w:tbl>
    <w:p w14:paraId="62F5BFA2" w14:textId="77777777" w:rsidR="00EB5C92" w:rsidRPr="00EB5C92" w:rsidRDefault="00EB5C92" w:rsidP="00EB5C92">
      <w:pPr>
        <w:rPr>
          <w:rFonts w:eastAsia="Times New Roman" w:cs="Calibri"/>
          <w:lang w:eastAsia="hr-HR"/>
        </w:rPr>
      </w:pPr>
    </w:p>
    <w:p w14:paraId="08C59454" w14:textId="77777777" w:rsidR="00EB5C92" w:rsidRPr="00EB5C92" w:rsidRDefault="00EB5C92" w:rsidP="00EB5C92">
      <w:pPr>
        <w:rPr>
          <w:rFonts w:eastAsia="Times New Roman" w:cs="Calibri"/>
          <w:lang w:eastAsia="hr-HR"/>
        </w:rPr>
      </w:pPr>
    </w:p>
    <w:p w14:paraId="1ED81244" w14:textId="77777777" w:rsidR="00EB5C92" w:rsidRPr="00EB5C92" w:rsidRDefault="00EB5C92" w:rsidP="00EB5C92">
      <w:pPr>
        <w:rPr>
          <w:rFonts w:eastAsia="Times New Roman" w:cs="Calibri"/>
          <w:lang w:eastAsia="hr-HR"/>
        </w:rPr>
      </w:pPr>
    </w:p>
    <w:p w14:paraId="62417392" w14:textId="77777777" w:rsidR="00EB5C92" w:rsidRPr="00EB5C92" w:rsidRDefault="00EB5C92" w:rsidP="00EB5C92">
      <w:pPr>
        <w:rPr>
          <w:rFonts w:eastAsia="Times New Roman" w:cs="Calibri"/>
          <w:lang w:eastAsia="hr-HR"/>
        </w:rPr>
        <w:sectPr w:rsidR="00EB5C92" w:rsidRPr="00EB5C92" w:rsidSect="009C3D13">
          <w:headerReference w:type="first" r:id="rId143"/>
          <w:footerReference w:type="first" r:id="rId144"/>
          <w:pgSz w:w="11906" w:h="16838" w:code="9"/>
          <w:pgMar w:top="1418" w:right="1418" w:bottom="595" w:left="1134" w:header="709" w:footer="709" w:gutter="0"/>
          <w:cols w:space="708"/>
          <w:titlePg/>
          <w:docGrid w:linePitch="360"/>
        </w:sectPr>
      </w:pPr>
    </w:p>
    <w:p w14:paraId="03FBA313" w14:textId="77777777" w:rsidR="00EB5C92" w:rsidRPr="00EB5C92" w:rsidRDefault="00EB5C92" w:rsidP="00EB5C92">
      <w:pPr>
        <w:rPr>
          <w:rFonts w:eastAsia="Times New Roman" w:cs="Calibri"/>
          <w:lang w:eastAsia="hr-HR"/>
        </w:rPr>
      </w:pPr>
    </w:p>
    <w:tbl>
      <w:tblPr>
        <w:tblpPr w:leftFromText="180" w:rightFromText="180" w:vertAnchor="page" w:horzAnchor="margin" w:tblpXSpec="center" w:tblpY="2602"/>
        <w:tblW w:w="5117" w:type="pct"/>
        <w:tblLayout w:type="fixed"/>
        <w:tblCellMar>
          <w:left w:w="120" w:type="dxa"/>
          <w:right w:w="120" w:type="dxa"/>
        </w:tblCellMar>
        <w:tblLook w:val="0000" w:firstRow="0" w:lastRow="0" w:firstColumn="0" w:lastColumn="0" w:noHBand="0" w:noVBand="0"/>
      </w:tblPr>
      <w:tblGrid>
        <w:gridCol w:w="2524"/>
        <w:gridCol w:w="1178"/>
        <w:gridCol w:w="1178"/>
        <w:gridCol w:w="1177"/>
        <w:gridCol w:w="1177"/>
        <w:gridCol w:w="1177"/>
        <w:gridCol w:w="1162"/>
      </w:tblGrid>
      <w:tr w:rsidR="00706D2E" w:rsidRPr="00B52775" w14:paraId="058728D9" w14:textId="77777777" w:rsidTr="00944CC6">
        <w:trPr>
          <w:trHeight w:val="716"/>
        </w:trPr>
        <w:tc>
          <w:tcPr>
            <w:tcW w:w="1318" w:type="pct"/>
          </w:tcPr>
          <w:p w14:paraId="67ABCD1E" w14:textId="77777777" w:rsidR="00706D2E" w:rsidRPr="00B52775" w:rsidRDefault="00706D2E" w:rsidP="00706D2E">
            <w:pPr>
              <w:tabs>
                <w:tab w:val="right" w:pos="1202"/>
              </w:tabs>
              <w:spacing w:after="0" w:line="301" w:lineRule="exact"/>
              <w:outlineLvl w:val="0"/>
              <w:rPr>
                <w:rFonts w:eastAsia="Times New Roman" w:cs="Arial"/>
                <w:b/>
                <w:iCs/>
                <w:sz w:val="18"/>
                <w:szCs w:val="18"/>
              </w:rPr>
            </w:pPr>
          </w:p>
        </w:tc>
        <w:tc>
          <w:tcPr>
            <w:tcW w:w="615" w:type="pct"/>
            <w:vAlign w:val="bottom"/>
          </w:tcPr>
          <w:p w14:paraId="44E8E119" w14:textId="77777777" w:rsidR="00706D2E" w:rsidRPr="00B52775" w:rsidRDefault="00706D2E" w:rsidP="00706D2E">
            <w:pPr>
              <w:tabs>
                <w:tab w:val="right" w:pos="1202"/>
              </w:tabs>
              <w:spacing w:after="0" w:line="301" w:lineRule="exact"/>
              <w:jc w:val="right"/>
              <w:outlineLvl w:val="0"/>
              <w:rPr>
                <w:rFonts w:eastAsia="Times New Roman" w:cs="Arial"/>
                <w:b/>
                <w:iCs/>
                <w:sz w:val="18"/>
                <w:szCs w:val="18"/>
              </w:rPr>
            </w:pPr>
            <w:r w:rsidRPr="00B52775">
              <w:rPr>
                <w:rFonts w:eastAsia="Times New Roman" w:cs="Arial"/>
                <w:b/>
                <w:iCs/>
                <w:sz w:val="18"/>
                <w:szCs w:val="18"/>
              </w:rPr>
              <w:t xml:space="preserve">Temeljni </w:t>
            </w:r>
          </w:p>
          <w:p w14:paraId="351056D2" w14:textId="77777777" w:rsidR="00706D2E" w:rsidRPr="00B52775" w:rsidRDefault="00706D2E" w:rsidP="00706D2E">
            <w:pPr>
              <w:tabs>
                <w:tab w:val="right" w:pos="1202"/>
              </w:tabs>
              <w:spacing w:after="0" w:line="301" w:lineRule="exact"/>
              <w:jc w:val="right"/>
              <w:outlineLvl w:val="0"/>
              <w:rPr>
                <w:rFonts w:eastAsia="Times New Roman" w:cs="Arial"/>
                <w:b/>
                <w:iCs/>
                <w:sz w:val="18"/>
                <w:szCs w:val="18"/>
              </w:rPr>
            </w:pPr>
            <w:r w:rsidRPr="00B52775">
              <w:rPr>
                <w:rFonts w:eastAsia="Times New Roman" w:cs="Arial"/>
                <w:b/>
                <w:iCs/>
                <w:sz w:val="18"/>
                <w:szCs w:val="18"/>
              </w:rPr>
              <w:t>kapital</w:t>
            </w:r>
          </w:p>
        </w:tc>
        <w:tc>
          <w:tcPr>
            <w:tcW w:w="615" w:type="pct"/>
            <w:vAlign w:val="bottom"/>
          </w:tcPr>
          <w:p w14:paraId="4EDF8EDB" w14:textId="77777777" w:rsidR="00706D2E" w:rsidRPr="00B52775" w:rsidRDefault="00706D2E" w:rsidP="00706D2E">
            <w:pPr>
              <w:tabs>
                <w:tab w:val="right" w:pos="1202"/>
              </w:tabs>
              <w:spacing w:after="0" w:line="301" w:lineRule="exact"/>
              <w:jc w:val="right"/>
              <w:outlineLvl w:val="0"/>
              <w:rPr>
                <w:rFonts w:eastAsia="Times New Roman" w:cs="Arial"/>
                <w:b/>
                <w:iCs/>
                <w:sz w:val="18"/>
                <w:szCs w:val="18"/>
              </w:rPr>
            </w:pPr>
            <w:r w:rsidRPr="00B52775">
              <w:rPr>
                <w:rFonts w:eastAsia="Times New Roman" w:cs="Arial"/>
                <w:b/>
                <w:iCs/>
                <w:sz w:val="18"/>
                <w:szCs w:val="18"/>
              </w:rPr>
              <w:t>Akumulirani gubitak</w:t>
            </w:r>
          </w:p>
        </w:tc>
        <w:tc>
          <w:tcPr>
            <w:tcW w:w="615" w:type="pct"/>
            <w:vAlign w:val="bottom"/>
          </w:tcPr>
          <w:p w14:paraId="717835DB" w14:textId="77777777" w:rsidR="00706D2E" w:rsidRPr="00B52775" w:rsidRDefault="00706D2E" w:rsidP="00706D2E">
            <w:pPr>
              <w:tabs>
                <w:tab w:val="right" w:pos="1202"/>
              </w:tabs>
              <w:spacing w:after="0" w:line="301" w:lineRule="exact"/>
              <w:jc w:val="right"/>
              <w:outlineLvl w:val="0"/>
              <w:rPr>
                <w:rFonts w:eastAsia="Times New Roman" w:cs="Arial"/>
                <w:b/>
                <w:iCs/>
                <w:sz w:val="18"/>
                <w:szCs w:val="18"/>
              </w:rPr>
            </w:pPr>
            <w:r w:rsidRPr="00B52775">
              <w:rPr>
                <w:rFonts w:eastAsia="Times New Roman" w:cs="Arial"/>
                <w:b/>
                <w:iCs/>
                <w:sz w:val="18"/>
                <w:szCs w:val="18"/>
              </w:rPr>
              <w:t>Ostale rezerve</w:t>
            </w:r>
          </w:p>
        </w:tc>
        <w:tc>
          <w:tcPr>
            <w:tcW w:w="615" w:type="pct"/>
            <w:vAlign w:val="bottom"/>
          </w:tcPr>
          <w:p w14:paraId="2BB70BA5" w14:textId="77777777" w:rsidR="00706D2E" w:rsidRPr="00B52775" w:rsidRDefault="00706D2E" w:rsidP="00706D2E">
            <w:pPr>
              <w:tabs>
                <w:tab w:val="right" w:pos="1202"/>
              </w:tabs>
              <w:spacing w:after="0" w:line="301" w:lineRule="exact"/>
              <w:jc w:val="right"/>
              <w:outlineLvl w:val="0"/>
              <w:rPr>
                <w:rFonts w:eastAsia="Times New Roman" w:cs="Arial"/>
                <w:b/>
                <w:iCs/>
                <w:sz w:val="18"/>
                <w:szCs w:val="18"/>
              </w:rPr>
            </w:pPr>
            <w:r w:rsidRPr="00B52775">
              <w:rPr>
                <w:rFonts w:eastAsia="Times New Roman" w:cs="Arial"/>
                <w:b/>
                <w:iCs/>
                <w:sz w:val="18"/>
                <w:szCs w:val="18"/>
              </w:rPr>
              <w:t xml:space="preserve">Neto dobit </w:t>
            </w:r>
          </w:p>
          <w:p w14:paraId="284680CD" w14:textId="77777777" w:rsidR="00706D2E" w:rsidRPr="00B52775" w:rsidRDefault="00706D2E" w:rsidP="00706D2E">
            <w:pPr>
              <w:tabs>
                <w:tab w:val="right" w:pos="1202"/>
              </w:tabs>
              <w:spacing w:after="0" w:line="301" w:lineRule="exact"/>
              <w:jc w:val="right"/>
              <w:outlineLvl w:val="0"/>
              <w:rPr>
                <w:rFonts w:eastAsia="Times New Roman" w:cs="Arial"/>
                <w:b/>
                <w:iCs/>
                <w:sz w:val="18"/>
                <w:szCs w:val="18"/>
              </w:rPr>
            </w:pPr>
            <w:r w:rsidRPr="00B52775">
              <w:rPr>
                <w:rFonts w:eastAsia="Times New Roman" w:cs="Arial"/>
                <w:b/>
                <w:iCs/>
                <w:sz w:val="18"/>
                <w:szCs w:val="18"/>
              </w:rPr>
              <w:t>tekuće godine</w:t>
            </w:r>
          </w:p>
        </w:tc>
        <w:tc>
          <w:tcPr>
            <w:tcW w:w="615" w:type="pct"/>
            <w:vAlign w:val="bottom"/>
          </w:tcPr>
          <w:p w14:paraId="33C7F35E" w14:textId="77777777" w:rsidR="00706D2E" w:rsidRPr="00B52775" w:rsidRDefault="00706D2E" w:rsidP="00706D2E">
            <w:pPr>
              <w:tabs>
                <w:tab w:val="right" w:pos="1202"/>
              </w:tabs>
              <w:spacing w:after="0" w:line="301" w:lineRule="exact"/>
              <w:jc w:val="right"/>
              <w:outlineLvl w:val="0"/>
              <w:rPr>
                <w:rFonts w:eastAsia="Times New Roman" w:cs="Arial"/>
                <w:b/>
                <w:iCs/>
                <w:sz w:val="18"/>
                <w:szCs w:val="18"/>
              </w:rPr>
            </w:pPr>
            <w:r w:rsidRPr="00B52775">
              <w:rPr>
                <w:rFonts w:eastAsia="Times New Roman" w:cs="Arial"/>
                <w:b/>
                <w:iCs/>
                <w:sz w:val="18"/>
                <w:szCs w:val="18"/>
              </w:rPr>
              <w:t>Ukupni kapital koji pripada vlasnicima kapitala</w:t>
            </w:r>
          </w:p>
        </w:tc>
        <w:tc>
          <w:tcPr>
            <w:tcW w:w="607" w:type="pct"/>
            <w:vAlign w:val="bottom"/>
          </w:tcPr>
          <w:p w14:paraId="18D02E26" w14:textId="77777777" w:rsidR="00706D2E" w:rsidRPr="00B52775" w:rsidRDefault="00706D2E" w:rsidP="00706D2E">
            <w:pPr>
              <w:tabs>
                <w:tab w:val="right" w:pos="1202"/>
              </w:tabs>
              <w:spacing w:after="0" w:line="301" w:lineRule="exact"/>
              <w:jc w:val="right"/>
              <w:outlineLvl w:val="0"/>
              <w:rPr>
                <w:rFonts w:eastAsia="Times New Roman" w:cs="Arial"/>
                <w:b/>
                <w:iCs/>
                <w:sz w:val="18"/>
                <w:szCs w:val="18"/>
              </w:rPr>
            </w:pPr>
            <w:r w:rsidRPr="00B52775">
              <w:rPr>
                <w:rFonts w:eastAsia="Times New Roman" w:cs="Arial"/>
                <w:b/>
                <w:iCs/>
                <w:sz w:val="18"/>
                <w:szCs w:val="18"/>
              </w:rPr>
              <w:t>Ukupni kapital</w:t>
            </w:r>
          </w:p>
        </w:tc>
      </w:tr>
      <w:tr w:rsidR="00706D2E" w:rsidRPr="00B52775" w14:paraId="43049001" w14:textId="77777777" w:rsidTr="00944CC6">
        <w:trPr>
          <w:trHeight w:val="272"/>
        </w:trPr>
        <w:tc>
          <w:tcPr>
            <w:tcW w:w="1318" w:type="pct"/>
          </w:tcPr>
          <w:p w14:paraId="2D36B36C" w14:textId="77777777" w:rsidR="00706D2E" w:rsidRPr="00B52775" w:rsidRDefault="00706D2E" w:rsidP="00706D2E">
            <w:pPr>
              <w:tabs>
                <w:tab w:val="right" w:pos="1202"/>
              </w:tabs>
              <w:spacing w:after="0" w:line="301" w:lineRule="exact"/>
              <w:outlineLvl w:val="0"/>
              <w:rPr>
                <w:rFonts w:eastAsia="Times New Roman" w:cs="Arial"/>
                <w:iCs/>
                <w:sz w:val="18"/>
                <w:szCs w:val="18"/>
              </w:rPr>
            </w:pPr>
          </w:p>
        </w:tc>
        <w:tc>
          <w:tcPr>
            <w:tcW w:w="615" w:type="pct"/>
          </w:tcPr>
          <w:p w14:paraId="268DFE9E" w14:textId="77777777" w:rsidR="00706D2E" w:rsidRPr="00B52775" w:rsidRDefault="00706D2E" w:rsidP="00706D2E">
            <w:pPr>
              <w:keepLines/>
              <w:tabs>
                <w:tab w:val="right" w:pos="1202"/>
              </w:tabs>
              <w:spacing w:after="0" w:line="301" w:lineRule="exact"/>
              <w:jc w:val="right"/>
              <w:outlineLvl w:val="0"/>
              <w:rPr>
                <w:rFonts w:eastAsia="Times New Roman" w:cs="Arial"/>
                <w:b/>
                <w:bCs/>
                <w:sz w:val="18"/>
                <w:szCs w:val="18"/>
              </w:rPr>
            </w:pPr>
          </w:p>
        </w:tc>
        <w:tc>
          <w:tcPr>
            <w:tcW w:w="615" w:type="pct"/>
          </w:tcPr>
          <w:p w14:paraId="306DB8B5" w14:textId="77777777" w:rsidR="00706D2E" w:rsidRPr="00B52775" w:rsidRDefault="00706D2E" w:rsidP="00706D2E">
            <w:pPr>
              <w:keepLines/>
              <w:tabs>
                <w:tab w:val="right" w:pos="1202"/>
              </w:tabs>
              <w:spacing w:after="0" w:line="301" w:lineRule="exact"/>
              <w:jc w:val="right"/>
              <w:outlineLvl w:val="0"/>
              <w:rPr>
                <w:rFonts w:eastAsia="Times New Roman" w:cs="Arial"/>
                <w:b/>
                <w:bCs/>
                <w:sz w:val="18"/>
                <w:szCs w:val="18"/>
              </w:rPr>
            </w:pPr>
          </w:p>
        </w:tc>
        <w:tc>
          <w:tcPr>
            <w:tcW w:w="615" w:type="pct"/>
          </w:tcPr>
          <w:p w14:paraId="7C53D244" w14:textId="77777777" w:rsidR="00706D2E" w:rsidRPr="00B52775" w:rsidRDefault="00706D2E" w:rsidP="00706D2E">
            <w:pPr>
              <w:keepLines/>
              <w:tabs>
                <w:tab w:val="right" w:pos="1202"/>
              </w:tabs>
              <w:spacing w:after="0" w:line="301" w:lineRule="exact"/>
              <w:jc w:val="right"/>
              <w:outlineLvl w:val="0"/>
              <w:rPr>
                <w:rFonts w:eastAsia="Times New Roman" w:cs="Arial"/>
                <w:b/>
                <w:bCs/>
                <w:sz w:val="18"/>
                <w:szCs w:val="18"/>
              </w:rPr>
            </w:pPr>
          </w:p>
        </w:tc>
        <w:tc>
          <w:tcPr>
            <w:tcW w:w="615" w:type="pct"/>
          </w:tcPr>
          <w:p w14:paraId="36B664BA" w14:textId="77777777" w:rsidR="00706D2E" w:rsidRPr="00B52775" w:rsidRDefault="00706D2E" w:rsidP="00706D2E">
            <w:pPr>
              <w:keepLines/>
              <w:tabs>
                <w:tab w:val="right" w:pos="1202"/>
              </w:tabs>
              <w:spacing w:after="0" w:line="301" w:lineRule="exact"/>
              <w:jc w:val="right"/>
              <w:outlineLvl w:val="0"/>
              <w:rPr>
                <w:rFonts w:eastAsia="Times New Roman" w:cs="Arial"/>
                <w:b/>
                <w:bCs/>
                <w:sz w:val="18"/>
                <w:szCs w:val="18"/>
              </w:rPr>
            </w:pPr>
          </w:p>
        </w:tc>
        <w:tc>
          <w:tcPr>
            <w:tcW w:w="615" w:type="pct"/>
          </w:tcPr>
          <w:p w14:paraId="0E430E50" w14:textId="77777777" w:rsidR="00706D2E" w:rsidRPr="00B52775" w:rsidRDefault="00706D2E" w:rsidP="00706D2E">
            <w:pPr>
              <w:keepLines/>
              <w:tabs>
                <w:tab w:val="right" w:pos="1202"/>
              </w:tabs>
              <w:spacing w:after="0" w:line="301" w:lineRule="exact"/>
              <w:jc w:val="right"/>
              <w:outlineLvl w:val="0"/>
              <w:rPr>
                <w:rFonts w:eastAsia="Times New Roman" w:cs="Arial"/>
                <w:b/>
                <w:bCs/>
                <w:sz w:val="18"/>
                <w:szCs w:val="18"/>
              </w:rPr>
            </w:pPr>
          </w:p>
        </w:tc>
        <w:tc>
          <w:tcPr>
            <w:tcW w:w="607" w:type="pct"/>
          </w:tcPr>
          <w:p w14:paraId="3D88C544" w14:textId="77777777" w:rsidR="00706D2E" w:rsidRPr="00B52775" w:rsidRDefault="00706D2E" w:rsidP="00706D2E">
            <w:pPr>
              <w:keepLines/>
              <w:tabs>
                <w:tab w:val="right" w:pos="1202"/>
              </w:tabs>
              <w:spacing w:after="0" w:line="301" w:lineRule="exact"/>
              <w:jc w:val="right"/>
              <w:outlineLvl w:val="0"/>
              <w:rPr>
                <w:rFonts w:eastAsia="Times New Roman" w:cs="Arial"/>
                <w:b/>
                <w:bCs/>
                <w:sz w:val="18"/>
                <w:szCs w:val="18"/>
              </w:rPr>
            </w:pPr>
          </w:p>
        </w:tc>
      </w:tr>
      <w:tr w:rsidR="00706D2E" w:rsidRPr="00B52775" w14:paraId="29315C12" w14:textId="77777777" w:rsidTr="00944CC6">
        <w:trPr>
          <w:trHeight w:val="120"/>
        </w:trPr>
        <w:tc>
          <w:tcPr>
            <w:tcW w:w="1318" w:type="pct"/>
          </w:tcPr>
          <w:p w14:paraId="21154916" w14:textId="77777777" w:rsidR="00706D2E" w:rsidRPr="00B52775" w:rsidRDefault="00706D2E" w:rsidP="00706D2E">
            <w:pPr>
              <w:tabs>
                <w:tab w:val="right" w:pos="1202"/>
              </w:tabs>
              <w:spacing w:after="0" w:line="140" w:lineRule="exact"/>
              <w:outlineLvl w:val="0"/>
              <w:rPr>
                <w:rFonts w:eastAsia="Times New Roman" w:cs="Arial"/>
                <w:iCs/>
                <w:sz w:val="18"/>
                <w:szCs w:val="18"/>
              </w:rPr>
            </w:pPr>
          </w:p>
        </w:tc>
        <w:tc>
          <w:tcPr>
            <w:tcW w:w="615" w:type="pct"/>
            <w:vAlign w:val="bottom"/>
          </w:tcPr>
          <w:p w14:paraId="48A198D9" w14:textId="77777777" w:rsidR="00706D2E" w:rsidRPr="00B52775" w:rsidRDefault="00706D2E" w:rsidP="00706D2E">
            <w:pPr>
              <w:tabs>
                <w:tab w:val="right" w:pos="1202"/>
              </w:tabs>
              <w:spacing w:after="0" w:line="140" w:lineRule="exact"/>
              <w:jc w:val="right"/>
              <w:outlineLvl w:val="0"/>
              <w:rPr>
                <w:rFonts w:eastAsia="Times New Roman" w:cs="Arial"/>
                <w:b/>
                <w:bCs/>
                <w:sz w:val="18"/>
                <w:szCs w:val="18"/>
              </w:rPr>
            </w:pPr>
          </w:p>
        </w:tc>
        <w:tc>
          <w:tcPr>
            <w:tcW w:w="615" w:type="pct"/>
            <w:vAlign w:val="bottom"/>
          </w:tcPr>
          <w:p w14:paraId="7A719E16" w14:textId="77777777" w:rsidR="00706D2E" w:rsidRPr="00B52775" w:rsidRDefault="00706D2E" w:rsidP="00706D2E">
            <w:pPr>
              <w:tabs>
                <w:tab w:val="right" w:pos="1202"/>
              </w:tabs>
              <w:spacing w:after="0" w:line="140" w:lineRule="exact"/>
              <w:jc w:val="right"/>
              <w:outlineLvl w:val="0"/>
              <w:rPr>
                <w:rFonts w:eastAsia="Times New Roman" w:cs="Arial"/>
                <w:b/>
                <w:bCs/>
                <w:sz w:val="18"/>
                <w:szCs w:val="18"/>
              </w:rPr>
            </w:pPr>
          </w:p>
        </w:tc>
        <w:tc>
          <w:tcPr>
            <w:tcW w:w="615" w:type="pct"/>
          </w:tcPr>
          <w:p w14:paraId="73CAA95A" w14:textId="77777777" w:rsidR="00706D2E" w:rsidRPr="00B52775" w:rsidRDefault="00706D2E" w:rsidP="00706D2E">
            <w:pPr>
              <w:tabs>
                <w:tab w:val="right" w:pos="1202"/>
              </w:tabs>
              <w:spacing w:after="0" w:line="140" w:lineRule="exact"/>
              <w:jc w:val="right"/>
              <w:outlineLvl w:val="0"/>
              <w:rPr>
                <w:rFonts w:eastAsia="Times New Roman" w:cs="Arial"/>
                <w:b/>
                <w:bCs/>
                <w:sz w:val="18"/>
                <w:szCs w:val="18"/>
              </w:rPr>
            </w:pPr>
          </w:p>
        </w:tc>
        <w:tc>
          <w:tcPr>
            <w:tcW w:w="615" w:type="pct"/>
            <w:vAlign w:val="bottom"/>
          </w:tcPr>
          <w:p w14:paraId="40CFC92C" w14:textId="77777777" w:rsidR="00706D2E" w:rsidRPr="00B52775" w:rsidRDefault="00706D2E" w:rsidP="00706D2E">
            <w:pPr>
              <w:tabs>
                <w:tab w:val="right" w:pos="1202"/>
              </w:tabs>
              <w:spacing w:after="0" w:line="140" w:lineRule="exact"/>
              <w:jc w:val="right"/>
              <w:outlineLvl w:val="0"/>
              <w:rPr>
                <w:rFonts w:eastAsia="Times New Roman" w:cs="Arial"/>
                <w:b/>
                <w:bCs/>
                <w:sz w:val="18"/>
                <w:szCs w:val="18"/>
              </w:rPr>
            </w:pPr>
          </w:p>
        </w:tc>
        <w:tc>
          <w:tcPr>
            <w:tcW w:w="615" w:type="pct"/>
            <w:vAlign w:val="bottom"/>
          </w:tcPr>
          <w:p w14:paraId="7E6570FA" w14:textId="77777777" w:rsidR="00706D2E" w:rsidRPr="00B52775" w:rsidRDefault="00706D2E" w:rsidP="00706D2E">
            <w:pPr>
              <w:tabs>
                <w:tab w:val="right" w:pos="1202"/>
              </w:tabs>
              <w:spacing w:after="0" w:line="140" w:lineRule="exact"/>
              <w:jc w:val="right"/>
              <w:outlineLvl w:val="0"/>
              <w:rPr>
                <w:rFonts w:eastAsia="Times New Roman" w:cs="Arial"/>
                <w:b/>
                <w:bCs/>
                <w:sz w:val="18"/>
                <w:szCs w:val="18"/>
              </w:rPr>
            </w:pPr>
          </w:p>
        </w:tc>
        <w:tc>
          <w:tcPr>
            <w:tcW w:w="607" w:type="pct"/>
            <w:vAlign w:val="bottom"/>
          </w:tcPr>
          <w:p w14:paraId="14AC186A" w14:textId="77777777" w:rsidR="00706D2E" w:rsidRPr="00B52775" w:rsidRDefault="00706D2E" w:rsidP="00706D2E">
            <w:pPr>
              <w:tabs>
                <w:tab w:val="right" w:pos="1202"/>
              </w:tabs>
              <w:spacing w:after="0" w:line="140" w:lineRule="exact"/>
              <w:jc w:val="right"/>
              <w:outlineLvl w:val="0"/>
              <w:rPr>
                <w:rFonts w:eastAsia="Times New Roman" w:cs="Arial"/>
                <w:b/>
                <w:bCs/>
                <w:sz w:val="18"/>
                <w:szCs w:val="18"/>
              </w:rPr>
            </w:pPr>
          </w:p>
        </w:tc>
      </w:tr>
      <w:tr w:rsidR="007F39CE" w:rsidRPr="00B52775" w14:paraId="74AE31E6" w14:textId="77777777" w:rsidTr="007E0F45">
        <w:trPr>
          <w:trHeight w:val="317"/>
        </w:trPr>
        <w:tc>
          <w:tcPr>
            <w:tcW w:w="1318" w:type="pct"/>
            <w:vAlign w:val="bottom"/>
          </w:tcPr>
          <w:p w14:paraId="65A5F5E7" w14:textId="292E19CA" w:rsidR="007F39CE" w:rsidRPr="00B52775" w:rsidRDefault="007F39CE" w:rsidP="007F39CE">
            <w:pPr>
              <w:tabs>
                <w:tab w:val="right" w:pos="1202"/>
              </w:tabs>
              <w:spacing w:after="0" w:line="240" w:lineRule="exact"/>
              <w:outlineLvl w:val="0"/>
              <w:rPr>
                <w:rFonts w:eastAsia="Times New Roman" w:cs="Arial"/>
                <w:b/>
                <w:iCs/>
                <w:sz w:val="18"/>
                <w:szCs w:val="18"/>
              </w:rPr>
            </w:pPr>
            <w:r w:rsidRPr="00B52775">
              <w:rPr>
                <w:rFonts w:eastAsia="Times New Roman" w:cs="Arial"/>
                <w:b/>
                <w:iCs/>
                <w:sz w:val="18"/>
                <w:szCs w:val="18"/>
              </w:rPr>
              <w:t>Stanje 1. siječnja 2016. godine</w:t>
            </w:r>
          </w:p>
        </w:tc>
        <w:tc>
          <w:tcPr>
            <w:tcW w:w="615" w:type="pct"/>
            <w:vAlign w:val="bottom"/>
          </w:tcPr>
          <w:p w14:paraId="2AD7972E" w14:textId="70D79B2F" w:rsidR="007F39CE" w:rsidRPr="00B52775" w:rsidRDefault="007F39CE" w:rsidP="007F39CE">
            <w:pPr>
              <w:tabs>
                <w:tab w:val="right" w:pos="1202"/>
              </w:tabs>
              <w:spacing w:after="0" w:line="301" w:lineRule="exact"/>
              <w:jc w:val="right"/>
              <w:outlineLvl w:val="0"/>
              <w:rPr>
                <w:rFonts w:eastAsia="Times New Roman" w:cs="Arial"/>
                <w:b/>
                <w:iCs/>
                <w:sz w:val="18"/>
                <w:szCs w:val="18"/>
              </w:rPr>
            </w:pPr>
            <w:r w:rsidRPr="00F561C9">
              <w:rPr>
                <w:rFonts w:cs="Arial"/>
                <w:b/>
                <w:iCs/>
                <w:sz w:val="18"/>
                <w:szCs w:val="18"/>
              </w:rPr>
              <w:t>37.500</w:t>
            </w:r>
          </w:p>
        </w:tc>
        <w:tc>
          <w:tcPr>
            <w:tcW w:w="615" w:type="pct"/>
            <w:vAlign w:val="bottom"/>
          </w:tcPr>
          <w:p w14:paraId="2BCF87A5" w14:textId="1A696059" w:rsidR="007F39CE" w:rsidRPr="00B52775" w:rsidRDefault="007F39CE" w:rsidP="007F39CE">
            <w:pPr>
              <w:tabs>
                <w:tab w:val="right" w:pos="1202"/>
              </w:tabs>
              <w:spacing w:after="0" w:line="301" w:lineRule="exact"/>
              <w:jc w:val="right"/>
              <w:outlineLvl w:val="0"/>
              <w:rPr>
                <w:rFonts w:eastAsia="Times New Roman" w:cs="Arial"/>
                <w:b/>
                <w:iCs/>
                <w:sz w:val="18"/>
                <w:szCs w:val="18"/>
              </w:rPr>
            </w:pPr>
            <w:r w:rsidRPr="00F561C9">
              <w:rPr>
                <w:rFonts w:cs="Arial"/>
                <w:b/>
                <w:iCs/>
                <w:sz w:val="18"/>
                <w:szCs w:val="18"/>
              </w:rPr>
              <w:t>(1.184)</w:t>
            </w:r>
          </w:p>
        </w:tc>
        <w:tc>
          <w:tcPr>
            <w:tcW w:w="615" w:type="pct"/>
            <w:vAlign w:val="bottom"/>
          </w:tcPr>
          <w:p w14:paraId="539386CD" w14:textId="57A1FCFD" w:rsidR="007F39CE" w:rsidRPr="00B52775" w:rsidRDefault="007F39CE" w:rsidP="007F39CE">
            <w:pPr>
              <w:tabs>
                <w:tab w:val="right" w:pos="1202"/>
              </w:tabs>
              <w:spacing w:after="0" w:line="301" w:lineRule="exact"/>
              <w:jc w:val="right"/>
              <w:outlineLvl w:val="0"/>
              <w:rPr>
                <w:rFonts w:eastAsia="Times New Roman" w:cs="Arial"/>
                <w:b/>
                <w:iCs/>
                <w:sz w:val="18"/>
                <w:szCs w:val="18"/>
              </w:rPr>
            </w:pPr>
            <w:r w:rsidRPr="00F561C9">
              <w:rPr>
                <w:rFonts w:cs="Arial"/>
                <w:b/>
                <w:iCs/>
                <w:sz w:val="18"/>
                <w:szCs w:val="18"/>
              </w:rPr>
              <w:t>874</w:t>
            </w:r>
          </w:p>
        </w:tc>
        <w:tc>
          <w:tcPr>
            <w:tcW w:w="615" w:type="pct"/>
            <w:vAlign w:val="bottom"/>
          </w:tcPr>
          <w:p w14:paraId="5DA759B6" w14:textId="7C735AC3" w:rsidR="007F39CE" w:rsidRPr="00B52775" w:rsidRDefault="007F39CE" w:rsidP="007F39CE">
            <w:pPr>
              <w:tabs>
                <w:tab w:val="right" w:pos="1202"/>
              </w:tabs>
              <w:spacing w:after="0" w:line="301" w:lineRule="exact"/>
              <w:jc w:val="right"/>
              <w:outlineLvl w:val="0"/>
              <w:rPr>
                <w:rFonts w:eastAsia="Times New Roman" w:cs="Arial"/>
                <w:b/>
                <w:iCs/>
                <w:sz w:val="18"/>
                <w:szCs w:val="18"/>
              </w:rPr>
            </w:pPr>
            <w:r w:rsidRPr="00F561C9">
              <w:rPr>
                <w:rFonts w:cs="Arial"/>
                <w:b/>
                <w:iCs/>
                <w:sz w:val="18"/>
                <w:szCs w:val="18"/>
              </w:rPr>
              <w:t>1.036</w:t>
            </w:r>
          </w:p>
        </w:tc>
        <w:tc>
          <w:tcPr>
            <w:tcW w:w="615" w:type="pct"/>
            <w:vAlign w:val="bottom"/>
          </w:tcPr>
          <w:p w14:paraId="782982E4" w14:textId="706DD769" w:rsidR="007F39CE" w:rsidRPr="00B52775" w:rsidRDefault="007F39CE" w:rsidP="007F39CE">
            <w:pPr>
              <w:tabs>
                <w:tab w:val="right" w:pos="1202"/>
              </w:tabs>
              <w:spacing w:after="0" w:line="301" w:lineRule="exact"/>
              <w:jc w:val="right"/>
              <w:outlineLvl w:val="0"/>
              <w:rPr>
                <w:rFonts w:eastAsia="Times New Roman" w:cs="Arial"/>
                <w:b/>
                <w:iCs/>
                <w:sz w:val="18"/>
                <w:szCs w:val="18"/>
              </w:rPr>
            </w:pPr>
            <w:r w:rsidRPr="00F561C9">
              <w:rPr>
                <w:rFonts w:cs="Arial"/>
                <w:b/>
                <w:iCs/>
                <w:sz w:val="18"/>
                <w:szCs w:val="18"/>
              </w:rPr>
              <w:t>38.226</w:t>
            </w:r>
          </w:p>
        </w:tc>
        <w:tc>
          <w:tcPr>
            <w:tcW w:w="607" w:type="pct"/>
            <w:vAlign w:val="bottom"/>
          </w:tcPr>
          <w:p w14:paraId="6B8F549E" w14:textId="40EDB8A0" w:rsidR="007F39CE" w:rsidRPr="00B52775" w:rsidRDefault="007F39CE" w:rsidP="007F39CE">
            <w:pPr>
              <w:tabs>
                <w:tab w:val="right" w:pos="1202"/>
              </w:tabs>
              <w:spacing w:after="0" w:line="301" w:lineRule="exact"/>
              <w:jc w:val="right"/>
              <w:outlineLvl w:val="0"/>
              <w:rPr>
                <w:rFonts w:eastAsia="Times New Roman" w:cs="Arial"/>
                <w:b/>
                <w:iCs/>
                <w:sz w:val="18"/>
                <w:szCs w:val="18"/>
              </w:rPr>
            </w:pPr>
            <w:r w:rsidRPr="00F561C9">
              <w:rPr>
                <w:rFonts w:cs="Arial"/>
                <w:b/>
                <w:iCs/>
                <w:sz w:val="18"/>
                <w:szCs w:val="18"/>
              </w:rPr>
              <w:t>38.226</w:t>
            </w:r>
          </w:p>
        </w:tc>
      </w:tr>
      <w:tr w:rsidR="007F39CE" w:rsidRPr="00B52775" w14:paraId="5593EA8B" w14:textId="77777777" w:rsidTr="00944CC6">
        <w:trPr>
          <w:trHeight w:val="92"/>
        </w:trPr>
        <w:tc>
          <w:tcPr>
            <w:tcW w:w="1318" w:type="pct"/>
          </w:tcPr>
          <w:p w14:paraId="59BD322C" w14:textId="77777777" w:rsidR="007F39CE" w:rsidRPr="00B52775" w:rsidRDefault="007F39CE" w:rsidP="007F39CE">
            <w:pPr>
              <w:tabs>
                <w:tab w:val="right" w:pos="1202"/>
              </w:tabs>
              <w:spacing w:after="0" w:line="140" w:lineRule="exact"/>
              <w:jc w:val="right"/>
              <w:outlineLvl w:val="0"/>
              <w:rPr>
                <w:rFonts w:eastAsia="Times New Roman" w:cs="Arial"/>
                <w:b/>
                <w:iCs/>
                <w:sz w:val="18"/>
                <w:szCs w:val="18"/>
              </w:rPr>
            </w:pPr>
          </w:p>
        </w:tc>
        <w:tc>
          <w:tcPr>
            <w:tcW w:w="615" w:type="pct"/>
            <w:vAlign w:val="bottom"/>
          </w:tcPr>
          <w:p w14:paraId="4A3AB84C" w14:textId="7AD0B819" w:rsidR="007F39CE" w:rsidRPr="00B52775" w:rsidRDefault="007F39CE" w:rsidP="007F39CE">
            <w:pPr>
              <w:keepNext/>
              <w:keepLines/>
              <w:tabs>
                <w:tab w:val="decimal" w:pos="1015"/>
              </w:tabs>
              <w:spacing w:after="0" w:line="140" w:lineRule="exact"/>
              <w:jc w:val="right"/>
              <w:rPr>
                <w:rFonts w:eastAsia="Times New Roman" w:cs="Arial"/>
                <w:b/>
                <w:position w:val="4"/>
                <w:sz w:val="18"/>
                <w:szCs w:val="18"/>
                <w:u w:val="thick"/>
              </w:rPr>
            </w:pPr>
          </w:p>
        </w:tc>
        <w:tc>
          <w:tcPr>
            <w:tcW w:w="615" w:type="pct"/>
            <w:vAlign w:val="bottom"/>
          </w:tcPr>
          <w:p w14:paraId="49BD0E2E" w14:textId="34339F74" w:rsidR="007F39CE" w:rsidRPr="00B52775" w:rsidRDefault="007F39CE" w:rsidP="007F39CE">
            <w:pPr>
              <w:keepNext/>
              <w:keepLines/>
              <w:tabs>
                <w:tab w:val="decimal" w:pos="1015"/>
              </w:tabs>
              <w:spacing w:after="0" w:line="140" w:lineRule="exact"/>
              <w:jc w:val="right"/>
              <w:rPr>
                <w:rFonts w:eastAsia="Times New Roman" w:cs="Arial"/>
                <w:b/>
                <w:position w:val="4"/>
                <w:sz w:val="18"/>
                <w:szCs w:val="18"/>
                <w:u w:val="thick"/>
              </w:rPr>
            </w:pPr>
          </w:p>
        </w:tc>
        <w:tc>
          <w:tcPr>
            <w:tcW w:w="615" w:type="pct"/>
            <w:vAlign w:val="bottom"/>
          </w:tcPr>
          <w:p w14:paraId="74D5DAFE" w14:textId="3B78EF18" w:rsidR="007F39CE" w:rsidRPr="00B52775" w:rsidRDefault="007F39CE" w:rsidP="007F39CE">
            <w:pPr>
              <w:keepNext/>
              <w:keepLines/>
              <w:tabs>
                <w:tab w:val="decimal" w:pos="1015"/>
              </w:tabs>
              <w:spacing w:after="0" w:line="140" w:lineRule="exact"/>
              <w:jc w:val="right"/>
              <w:rPr>
                <w:rFonts w:eastAsia="Times New Roman" w:cs="Arial"/>
                <w:b/>
                <w:position w:val="4"/>
                <w:sz w:val="18"/>
                <w:szCs w:val="18"/>
                <w:u w:val="thick"/>
              </w:rPr>
            </w:pPr>
          </w:p>
        </w:tc>
        <w:tc>
          <w:tcPr>
            <w:tcW w:w="615" w:type="pct"/>
            <w:vAlign w:val="bottom"/>
          </w:tcPr>
          <w:p w14:paraId="4B3F2BC6" w14:textId="29795046" w:rsidR="007F39CE" w:rsidRPr="00B52775" w:rsidRDefault="007F39CE" w:rsidP="007F39CE">
            <w:pPr>
              <w:keepNext/>
              <w:keepLines/>
              <w:tabs>
                <w:tab w:val="decimal" w:pos="1015"/>
              </w:tabs>
              <w:spacing w:after="0" w:line="140" w:lineRule="exact"/>
              <w:jc w:val="right"/>
              <w:rPr>
                <w:rFonts w:eastAsia="Times New Roman" w:cs="Arial"/>
                <w:b/>
                <w:position w:val="4"/>
                <w:sz w:val="18"/>
                <w:szCs w:val="18"/>
                <w:u w:val="thick"/>
              </w:rPr>
            </w:pPr>
          </w:p>
        </w:tc>
        <w:tc>
          <w:tcPr>
            <w:tcW w:w="615" w:type="pct"/>
            <w:vAlign w:val="bottom"/>
          </w:tcPr>
          <w:p w14:paraId="517F1B2D" w14:textId="2E095E21" w:rsidR="007F39CE" w:rsidRPr="00B52775" w:rsidRDefault="007F39CE" w:rsidP="007F39CE">
            <w:pPr>
              <w:keepNext/>
              <w:keepLines/>
              <w:tabs>
                <w:tab w:val="decimal" w:pos="1015"/>
              </w:tabs>
              <w:spacing w:after="0" w:line="140" w:lineRule="exact"/>
              <w:jc w:val="right"/>
              <w:rPr>
                <w:rFonts w:eastAsia="Times New Roman" w:cs="Arial"/>
                <w:b/>
                <w:position w:val="4"/>
                <w:sz w:val="18"/>
                <w:szCs w:val="18"/>
                <w:u w:val="thick"/>
              </w:rPr>
            </w:pPr>
          </w:p>
        </w:tc>
        <w:tc>
          <w:tcPr>
            <w:tcW w:w="607" w:type="pct"/>
            <w:vAlign w:val="bottom"/>
          </w:tcPr>
          <w:p w14:paraId="14427BCC" w14:textId="386CE384" w:rsidR="007F39CE" w:rsidRPr="00B52775" w:rsidRDefault="007F39CE" w:rsidP="007F39CE">
            <w:pPr>
              <w:keepNext/>
              <w:keepLines/>
              <w:tabs>
                <w:tab w:val="decimal" w:pos="1015"/>
              </w:tabs>
              <w:spacing w:after="0" w:line="140" w:lineRule="exact"/>
              <w:jc w:val="right"/>
              <w:rPr>
                <w:rFonts w:eastAsia="Times New Roman" w:cs="Arial"/>
                <w:b/>
                <w:position w:val="4"/>
                <w:sz w:val="18"/>
                <w:szCs w:val="18"/>
                <w:u w:val="thick"/>
              </w:rPr>
            </w:pPr>
          </w:p>
        </w:tc>
      </w:tr>
      <w:tr w:rsidR="007F39CE" w:rsidRPr="00B52775" w14:paraId="06D046B0" w14:textId="77777777" w:rsidTr="00312975">
        <w:trPr>
          <w:trHeight w:val="70"/>
        </w:trPr>
        <w:tc>
          <w:tcPr>
            <w:tcW w:w="1318" w:type="pct"/>
            <w:vAlign w:val="bottom"/>
          </w:tcPr>
          <w:p w14:paraId="2699C17F" w14:textId="77777777" w:rsidR="007F39CE" w:rsidRPr="00312975" w:rsidRDefault="007F39CE" w:rsidP="00312975">
            <w:pPr>
              <w:tabs>
                <w:tab w:val="right" w:pos="1202"/>
              </w:tabs>
              <w:spacing w:after="0" w:line="140" w:lineRule="exact"/>
              <w:jc w:val="right"/>
              <w:outlineLvl w:val="0"/>
              <w:rPr>
                <w:rFonts w:eastAsia="Times New Roman" w:cs="Arial"/>
                <w:b/>
                <w:iCs/>
                <w:sz w:val="18"/>
                <w:szCs w:val="18"/>
              </w:rPr>
            </w:pPr>
          </w:p>
        </w:tc>
        <w:tc>
          <w:tcPr>
            <w:tcW w:w="615" w:type="pct"/>
          </w:tcPr>
          <w:p w14:paraId="73A0E74C" w14:textId="63F35138" w:rsidR="007F39CE" w:rsidRPr="00B52775" w:rsidRDefault="007F39CE" w:rsidP="007F39CE">
            <w:pPr>
              <w:keepNext/>
              <w:keepLines/>
              <w:tabs>
                <w:tab w:val="decimal" w:pos="1202"/>
              </w:tabs>
              <w:spacing w:after="0" w:line="140" w:lineRule="exact"/>
              <w:jc w:val="right"/>
              <w:rPr>
                <w:rFonts w:eastAsia="Times New Roman" w:cs="Arial"/>
                <w:b/>
                <w:position w:val="4"/>
                <w:sz w:val="18"/>
                <w:szCs w:val="18"/>
                <w:u w:val="thick"/>
              </w:rPr>
            </w:pPr>
            <w:r w:rsidRPr="00F561C9">
              <w:rPr>
                <w:rFonts w:eastAsia="Times New Roman" w:cs="Arial"/>
                <w:b/>
                <w:position w:val="4"/>
                <w:sz w:val="18"/>
                <w:szCs w:val="18"/>
                <w:u w:val="thick"/>
              </w:rPr>
              <w:t>__________</w:t>
            </w:r>
          </w:p>
        </w:tc>
        <w:tc>
          <w:tcPr>
            <w:tcW w:w="615" w:type="pct"/>
          </w:tcPr>
          <w:p w14:paraId="7ED6375B" w14:textId="087FC5B6" w:rsidR="007F39CE" w:rsidRPr="00B52775" w:rsidRDefault="007F39CE" w:rsidP="007F39CE">
            <w:pPr>
              <w:keepNext/>
              <w:keepLines/>
              <w:tabs>
                <w:tab w:val="decimal" w:pos="1202"/>
              </w:tabs>
              <w:spacing w:after="0" w:line="140" w:lineRule="exact"/>
              <w:jc w:val="right"/>
              <w:rPr>
                <w:rFonts w:eastAsia="Times New Roman" w:cs="Arial"/>
                <w:b/>
                <w:position w:val="4"/>
                <w:sz w:val="18"/>
                <w:szCs w:val="18"/>
                <w:u w:val="thick"/>
              </w:rPr>
            </w:pPr>
            <w:r w:rsidRPr="00F561C9">
              <w:rPr>
                <w:rFonts w:eastAsia="Times New Roman" w:cs="Arial"/>
                <w:b/>
                <w:position w:val="4"/>
                <w:sz w:val="18"/>
                <w:szCs w:val="18"/>
                <w:u w:val="thick"/>
              </w:rPr>
              <w:t>_________</w:t>
            </w:r>
          </w:p>
        </w:tc>
        <w:tc>
          <w:tcPr>
            <w:tcW w:w="615" w:type="pct"/>
          </w:tcPr>
          <w:p w14:paraId="7B169BDC" w14:textId="28D08DF7" w:rsidR="007F39CE" w:rsidRPr="00B52775" w:rsidRDefault="007F39CE" w:rsidP="007F39CE">
            <w:pPr>
              <w:keepNext/>
              <w:keepLines/>
              <w:tabs>
                <w:tab w:val="decimal" w:pos="1202"/>
              </w:tabs>
              <w:spacing w:after="0" w:line="140" w:lineRule="exact"/>
              <w:jc w:val="right"/>
              <w:rPr>
                <w:rFonts w:eastAsia="Times New Roman" w:cs="Arial"/>
                <w:b/>
                <w:position w:val="4"/>
                <w:sz w:val="18"/>
                <w:szCs w:val="18"/>
                <w:u w:val="thick"/>
              </w:rPr>
            </w:pPr>
            <w:r w:rsidRPr="00F561C9">
              <w:rPr>
                <w:rFonts w:eastAsia="Times New Roman" w:cs="Arial"/>
                <w:b/>
                <w:position w:val="4"/>
                <w:sz w:val="18"/>
                <w:szCs w:val="18"/>
                <w:u w:val="thick"/>
              </w:rPr>
              <w:t>_________</w:t>
            </w:r>
          </w:p>
        </w:tc>
        <w:tc>
          <w:tcPr>
            <w:tcW w:w="615" w:type="pct"/>
          </w:tcPr>
          <w:p w14:paraId="2D66463A" w14:textId="63E31512" w:rsidR="007F39CE" w:rsidRPr="00B52775" w:rsidRDefault="007F39CE" w:rsidP="007F39CE">
            <w:pPr>
              <w:keepNext/>
              <w:keepLines/>
              <w:tabs>
                <w:tab w:val="decimal" w:pos="1202"/>
              </w:tabs>
              <w:spacing w:after="0" w:line="140" w:lineRule="exact"/>
              <w:jc w:val="right"/>
              <w:rPr>
                <w:rFonts w:eastAsia="Times New Roman" w:cs="Arial"/>
                <w:b/>
                <w:position w:val="4"/>
                <w:sz w:val="18"/>
                <w:szCs w:val="18"/>
                <w:u w:val="thick"/>
              </w:rPr>
            </w:pPr>
            <w:r w:rsidRPr="00F561C9">
              <w:rPr>
                <w:rFonts w:eastAsia="Times New Roman" w:cs="Arial"/>
                <w:b/>
                <w:position w:val="4"/>
                <w:sz w:val="18"/>
                <w:szCs w:val="18"/>
                <w:u w:val="thick"/>
              </w:rPr>
              <w:t>__________</w:t>
            </w:r>
          </w:p>
        </w:tc>
        <w:tc>
          <w:tcPr>
            <w:tcW w:w="615" w:type="pct"/>
          </w:tcPr>
          <w:p w14:paraId="47A0E9EC" w14:textId="19AC334D" w:rsidR="007F39CE" w:rsidRPr="00B52775" w:rsidRDefault="007F39CE" w:rsidP="007F39CE">
            <w:pPr>
              <w:keepNext/>
              <w:keepLines/>
              <w:tabs>
                <w:tab w:val="decimal" w:pos="1202"/>
              </w:tabs>
              <w:spacing w:after="0" w:line="140" w:lineRule="exact"/>
              <w:jc w:val="right"/>
              <w:rPr>
                <w:rFonts w:eastAsia="Times New Roman" w:cs="Arial"/>
                <w:b/>
                <w:position w:val="4"/>
                <w:sz w:val="18"/>
                <w:szCs w:val="18"/>
                <w:u w:val="thick"/>
              </w:rPr>
            </w:pPr>
            <w:r w:rsidRPr="00F561C9">
              <w:rPr>
                <w:rFonts w:eastAsia="Times New Roman" w:cs="Arial"/>
                <w:b/>
                <w:position w:val="4"/>
                <w:sz w:val="18"/>
                <w:szCs w:val="18"/>
                <w:u w:val="thick"/>
              </w:rPr>
              <w:t>__________</w:t>
            </w:r>
          </w:p>
        </w:tc>
        <w:tc>
          <w:tcPr>
            <w:tcW w:w="607" w:type="pct"/>
          </w:tcPr>
          <w:p w14:paraId="033AEE30" w14:textId="7E38C9B1" w:rsidR="007F39CE" w:rsidRPr="00B52775" w:rsidRDefault="007F39CE" w:rsidP="007F39CE">
            <w:pPr>
              <w:keepNext/>
              <w:keepLines/>
              <w:tabs>
                <w:tab w:val="decimal" w:pos="1202"/>
              </w:tabs>
              <w:spacing w:after="0" w:line="140" w:lineRule="exact"/>
              <w:jc w:val="right"/>
              <w:rPr>
                <w:rFonts w:eastAsia="Times New Roman" w:cs="Arial"/>
                <w:b/>
                <w:position w:val="4"/>
                <w:sz w:val="18"/>
                <w:szCs w:val="18"/>
                <w:u w:val="thick"/>
              </w:rPr>
            </w:pPr>
            <w:r w:rsidRPr="00F561C9">
              <w:rPr>
                <w:rFonts w:eastAsia="Times New Roman" w:cs="Arial"/>
                <w:b/>
                <w:position w:val="4"/>
                <w:sz w:val="18"/>
                <w:szCs w:val="18"/>
                <w:u w:val="thick"/>
              </w:rPr>
              <w:t>__________</w:t>
            </w:r>
          </w:p>
        </w:tc>
      </w:tr>
      <w:tr w:rsidR="007F39CE" w:rsidRPr="00B52775" w14:paraId="11957231" w14:textId="77777777" w:rsidTr="007E0F45">
        <w:trPr>
          <w:trHeight w:val="69"/>
        </w:trPr>
        <w:tc>
          <w:tcPr>
            <w:tcW w:w="1318" w:type="pct"/>
            <w:vAlign w:val="bottom"/>
          </w:tcPr>
          <w:p w14:paraId="7F347799" w14:textId="77777777" w:rsidR="007F39CE" w:rsidRPr="00B52775" w:rsidRDefault="007F39CE" w:rsidP="007F39CE">
            <w:pPr>
              <w:tabs>
                <w:tab w:val="right" w:pos="1202"/>
              </w:tabs>
              <w:spacing w:after="0" w:line="240" w:lineRule="exact"/>
              <w:outlineLvl w:val="0"/>
              <w:rPr>
                <w:rFonts w:eastAsia="Times New Roman" w:cs="Arial"/>
                <w:iCs/>
                <w:sz w:val="18"/>
                <w:szCs w:val="18"/>
              </w:rPr>
            </w:pPr>
            <w:r w:rsidRPr="00B52775">
              <w:rPr>
                <w:rFonts w:eastAsia="Times New Roman" w:cs="Arial"/>
                <w:iCs/>
                <w:sz w:val="18"/>
                <w:szCs w:val="18"/>
              </w:rPr>
              <w:t>Dobit tekuće godine</w:t>
            </w:r>
          </w:p>
        </w:tc>
        <w:tc>
          <w:tcPr>
            <w:tcW w:w="615" w:type="pct"/>
            <w:vAlign w:val="bottom"/>
          </w:tcPr>
          <w:p w14:paraId="1ADD191E" w14:textId="44611C64" w:rsidR="007F39CE" w:rsidRPr="00B52775" w:rsidRDefault="007F39CE" w:rsidP="007F39CE">
            <w:pPr>
              <w:tabs>
                <w:tab w:val="right" w:pos="1202"/>
              </w:tabs>
              <w:spacing w:after="0" w:line="301" w:lineRule="exact"/>
              <w:jc w:val="right"/>
              <w:outlineLvl w:val="0"/>
              <w:rPr>
                <w:rFonts w:eastAsia="Times New Roman" w:cs="Arial"/>
                <w:iCs/>
                <w:sz w:val="18"/>
                <w:szCs w:val="18"/>
              </w:rPr>
            </w:pPr>
            <w:r w:rsidRPr="002B2DDF">
              <w:rPr>
                <w:rFonts w:cs="Arial"/>
                <w:iCs/>
                <w:sz w:val="18"/>
                <w:szCs w:val="18"/>
              </w:rPr>
              <w:t>-</w:t>
            </w:r>
          </w:p>
        </w:tc>
        <w:tc>
          <w:tcPr>
            <w:tcW w:w="615" w:type="pct"/>
            <w:vAlign w:val="bottom"/>
          </w:tcPr>
          <w:p w14:paraId="2F1957DC" w14:textId="5C8AEF35" w:rsidR="007F39CE" w:rsidRPr="00B52775" w:rsidRDefault="007F39CE" w:rsidP="007F39CE">
            <w:pPr>
              <w:tabs>
                <w:tab w:val="right" w:pos="1202"/>
              </w:tabs>
              <w:spacing w:after="0" w:line="301" w:lineRule="exact"/>
              <w:jc w:val="right"/>
              <w:outlineLvl w:val="0"/>
              <w:rPr>
                <w:rFonts w:eastAsia="Times New Roman" w:cs="Arial"/>
                <w:iCs/>
                <w:sz w:val="18"/>
                <w:szCs w:val="18"/>
              </w:rPr>
            </w:pPr>
            <w:r w:rsidRPr="002B2DDF">
              <w:rPr>
                <w:rFonts w:cs="Arial"/>
                <w:iCs/>
                <w:sz w:val="18"/>
                <w:szCs w:val="18"/>
              </w:rPr>
              <w:t>-</w:t>
            </w:r>
          </w:p>
        </w:tc>
        <w:tc>
          <w:tcPr>
            <w:tcW w:w="615" w:type="pct"/>
            <w:vAlign w:val="bottom"/>
          </w:tcPr>
          <w:p w14:paraId="7A4C6318" w14:textId="5907BE03" w:rsidR="007F39CE" w:rsidRPr="00B52775" w:rsidRDefault="007F39CE" w:rsidP="007F39CE">
            <w:pPr>
              <w:tabs>
                <w:tab w:val="right" w:pos="1202"/>
              </w:tabs>
              <w:spacing w:after="0" w:line="301" w:lineRule="exact"/>
              <w:jc w:val="right"/>
              <w:outlineLvl w:val="0"/>
              <w:rPr>
                <w:rFonts w:eastAsia="Times New Roman" w:cs="Arial"/>
                <w:iCs/>
                <w:sz w:val="18"/>
                <w:szCs w:val="18"/>
              </w:rPr>
            </w:pPr>
            <w:r w:rsidRPr="002B2DDF">
              <w:rPr>
                <w:rFonts w:cs="Arial"/>
                <w:iCs/>
                <w:sz w:val="18"/>
                <w:szCs w:val="18"/>
              </w:rPr>
              <w:t>-</w:t>
            </w:r>
          </w:p>
        </w:tc>
        <w:tc>
          <w:tcPr>
            <w:tcW w:w="615" w:type="pct"/>
            <w:vAlign w:val="bottom"/>
          </w:tcPr>
          <w:p w14:paraId="5F827731" w14:textId="1911594D" w:rsidR="007F39CE" w:rsidRPr="00B52775" w:rsidRDefault="007F39CE" w:rsidP="007F39CE">
            <w:pPr>
              <w:tabs>
                <w:tab w:val="right" w:pos="1202"/>
              </w:tabs>
              <w:spacing w:after="0" w:line="301" w:lineRule="exact"/>
              <w:jc w:val="right"/>
              <w:outlineLvl w:val="0"/>
              <w:rPr>
                <w:rFonts w:eastAsia="Times New Roman" w:cs="Arial"/>
                <w:iCs/>
                <w:sz w:val="18"/>
                <w:szCs w:val="18"/>
              </w:rPr>
            </w:pPr>
            <w:r w:rsidRPr="002B2DDF">
              <w:rPr>
                <w:rFonts w:cs="Arial"/>
                <w:iCs/>
                <w:sz w:val="18"/>
                <w:szCs w:val="18"/>
              </w:rPr>
              <w:t>443</w:t>
            </w:r>
          </w:p>
        </w:tc>
        <w:tc>
          <w:tcPr>
            <w:tcW w:w="615" w:type="pct"/>
            <w:vAlign w:val="bottom"/>
          </w:tcPr>
          <w:p w14:paraId="2B238D29" w14:textId="499B9B24" w:rsidR="007F39CE" w:rsidRPr="00B52775" w:rsidRDefault="007F39CE" w:rsidP="007F39CE">
            <w:pPr>
              <w:tabs>
                <w:tab w:val="right" w:pos="1202"/>
              </w:tabs>
              <w:spacing w:after="0" w:line="301" w:lineRule="exact"/>
              <w:jc w:val="right"/>
              <w:outlineLvl w:val="0"/>
              <w:rPr>
                <w:rFonts w:eastAsia="Times New Roman" w:cs="Arial"/>
                <w:b/>
                <w:iCs/>
                <w:sz w:val="18"/>
                <w:szCs w:val="18"/>
              </w:rPr>
            </w:pPr>
            <w:r w:rsidRPr="002B2DDF">
              <w:rPr>
                <w:rFonts w:cs="Arial"/>
                <w:b/>
                <w:bCs/>
                <w:sz w:val="18"/>
                <w:szCs w:val="18"/>
              </w:rPr>
              <w:t>443</w:t>
            </w:r>
          </w:p>
        </w:tc>
        <w:tc>
          <w:tcPr>
            <w:tcW w:w="607" w:type="pct"/>
            <w:tcBorders>
              <w:top w:val="nil"/>
              <w:left w:val="nil"/>
              <w:bottom w:val="nil"/>
              <w:right w:val="nil"/>
            </w:tcBorders>
            <w:shd w:val="clear" w:color="auto" w:fill="auto"/>
            <w:vAlign w:val="bottom"/>
          </w:tcPr>
          <w:p w14:paraId="0DEB2920" w14:textId="719B8872" w:rsidR="007F39CE" w:rsidRPr="00B52775" w:rsidRDefault="007F39CE" w:rsidP="007F39CE">
            <w:pPr>
              <w:tabs>
                <w:tab w:val="right" w:pos="1202"/>
              </w:tabs>
              <w:spacing w:after="0" w:line="301" w:lineRule="exact"/>
              <w:jc w:val="right"/>
              <w:outlineLvl w:val="0"/>
              <w:rPr>
                <w:rFonts w:eastAsia="Times New Roman" w:cs="Arial"/>
                <w:b/>
                <w:iCs/>
                <w:sz w:val="18"/>
                <w:szCs w:val="18"/>
              </w:rPr>
            </w:pPr>
            <w:r w:rsidRPr="002B2DDF">
              <w:rPr>
                <w:rFonts w:cs="Arial"/>
                <w:b/>
                <w:bCs/>
                <w:sz w:val="18"/>
                <w:szCs w:val="18"/>
              </w:rPr>
              <w:t>443</w:t>
            </w:r>
          </w:p>
        </w:tc>
      </w:tr>
      <w:tr w:rsidR="007F39CE" w:rsidRPr="00B52775" w14:paraId="3D443E8D" w14:textId="77777777" w:rsidTr="007E0F45">
        <w:trPr>
          <w:trHeight w:val="69"/>
        </w:trPr>
        <w:tc>
          <w:tcPr>
            <w:tcW w:w="1318" w:type="pct"/>
            <w:vAlign w:val="bottom"/>
          </w:tcPr>
          <w:p w14:paraId="2D4A72CE" w14:textId="77777777" w:rsidR="007F39CE" w:rsidRPr="00B52775" w:rsidRDefault="007F39CE" w:rsidP="007F39CE">
            <w:pPr>
              <w:tabs>
                <w:tab w:val="right" w:pos="1202"/>
              </w:tabs>
              <w:spacing w:after="0" w:line="240" w:lineRule="exact"/>
              <w:outlineLvl w:val="0"/>
              <w:rPr>
                <w:rFonts w:eastAsia="Times New Roman" w:cs="Arial"/>
                <w:iCs/>
                <w:sz w:val="18"/>
                <w:szCs w:val="18"/>
              </w:rPr>
            </w:pPr>
            <w:r w:rsidRPr="00B52775">
              <w:rPr>
                <w:rFonts w:eastAsia="Times New Roman" w:cs="Arial"/>
                <w:iCs/>
                <w:sz w:val="18"/>
                <w:szCs w:val="18"/>
              </w:rPr>
              <w:t>Ostala sveobuhvatna dobit</w:t>
            </w:r>
          </w:p>
        </w:tc>
        <w:tc>
          <w:tcPr>
            <w:tcW w:w="615" w:type="pct"/>
            <w:vAlign w:val="bottom"/>
          </w:tcPr>
          <w:p w14:paraId="1C231ABC" w14:textId="76CE6B7B" w:rsidR="007F39CE" w:rsidRPr="00B52775" w:rsidRDefault="007F39CE" w:rsidP="007F39CE">
            <w:pPr>
              <w:tabs>
                <w:tab w:val="right" w:pos="1202"/>
              </w:tabs>
              <w:spacing w:after="0" w:line="301" w:lineRule="exact"/>
              <w:jc w:val="right"/>
              <w:outlineLvl w:val="0"/>
              <w:rPr>
                <w:rFonts w:eastAsia="Times New Roman" w:cs="Arial"/>
                <w:iCs/>
                <w:sz w:val="18"/>
                <w:szCs w:val="18"/>
              </w:rPr>
            </w:pPr>
            <w:r w:rsidRPr="002B2DDF">
              <w:rPr>
                <w:rFonts w:cs="Arial"/>
                <w:iCs/>
                <w:sz w:val="18"/>
                <w:szCs w:val="18"/>
              </w:rPr>
              <w:t>-</w:t>
            </w:r>
          </w:p>
        </w:tc>
        <w:tc>
          <w:tcPr>
            <w:tcW w:w="615" w:type="pct"/>
            <w:vAlign w:val="bottom"/>
          </w:tcPr>
          <w:p w14:paraId="09C5663B" w14:textId="67FE4771" w:rsidR="007F39CE" w:rsidRPr="00B52775" w:rsidRDefault="007F39CE" w:rsidP="007F39CE">
            <w:pPr>
              <w:tabs>
                <w:tab w:val="right" w:pos="1202"/>
              </w:tabs>
              <w:spacing w:after="0" w:line="301" w:lineRule="exact"/>
              <w:jc w:val="right"/>
              <w:outlineLvl w:val="0"/>
              <w:rPr>
                <w:rFonts w:eastAsia="Times New Roman" w:cs="Arial"/>
                <w:iCs/>
                <w:sz w:val="18"/>
                <w:szCs w:val="18"/>
              </w:rPr>
            </w:pPr>
            <w:r w:rsidRPr="002B2DDF">
              <w:rPr>
                <w:rFonts w:cs="Arial"/>
                <w:iCs/>
                <w:sz w:val="18"/>
                <w:szCs w:val="18"/>
              </w:rPr>
              <w:t>-</w:t>
            </w:r>
          </w:p>
        </w:tc>
        <w:tc>
          <w:tcPr>
            <w:tcW w:w="615" w:type="pct"/>
            <w:vAlign w:val="bottom"/>
          </w:tcPr>
          <w:p w14:paraId="74EFA74B" w14:textId="21079A56" w:rsidR="007F39CE" w:rsidRPr="00B52775" w:rsidRDefault="007F39CE" w:rsidP="007F39CE">
            <w:pPr>
              <w:tabs>
                <w:tab w:val="right" w:pos="1202"/>
              </w:tabs>
              <w:spacing w:after="0" w:line="301" w:lineRule="exact"/>
              <w:jc w:val="right"/>
              <w:outlineLvl w:val="0"/>
              <w:rPr>
                <w:rFonts w:eastAsia="Times New Roman" w:cs="Arial"/>
                <w:iCs/>
                <w:sz w:val="18"/>
                <w:szCs w:val="18"/>
              </w:rPr>
            </w:pPr>
            <w:r w:rsidRPr="002B2DDF">
              <w:rPr>
                <w:rFonts w:cs="Arial"/>
                <w:iCs/>
                <w:sz w:val="18"/>
                <w:szCs w:val="18"/>
              </w:rPr>
              <w:t>428</w:t>
            </w:r>
          </w:p>
        </w:tc>
        <w:tc>
          <w:tcPr>
            <w:tcW w:w="615" w:type="pct"/>
            <w:vAlign w:val="bottom"/>
          </w:tcPr>
          <w:p w14:paraId="28F1DB7D" w14:textId="3BB89861" w:rsidR="007F39CE" w:rsidRPr="00B52775" w:rsidRDefault="007F39CE" w:rsidP="007F39CE">
            <w:pPr>
              <w:tabs>
                <w:tab w:val="right" w:pos="1202"/>
              </w:tabs>
              <w:spacing w:after="0" w:line="301" w:lineRule="exact"/>
              <w:jc w:val="right"/>
              <w:outlineLvl w:val="0"/>
              <w:rPr>
                <w:rFonts w:eastAsia="Times New Roman" w:cs="Arial"/>
                <w:iCs/>
                <w:sz w:val="18"/>
                <w:szCs w:val="18"/>
              </w:rPr>
            </w:pPr>
            <w:r w:rsidRPr="002B2DDF">
              <w:rPr>
                <w:rFonts w:cs="Arial"/>
                <w:iCs/>
                <w:sz w:val="18"/>
                <w:szCs w:val="18"/>
              </w:rPr>
              <w:t>-</w:t>
            </w:r>
          </w:p>
        </w:tc>
        <w:tc>
          <w:tcPr>
            <w:tcW w:w="615" w:type="pct"/>
            <w:vAlign w:val="bottom"/>
          </w:tcPr>
          <w:p w14:paraId="617E0BF8" w14:textId="33BA917D" w:rsidR="007F39CE" w:rsidRPr="00B52775" w:rsidRDefault="007F39CE" w:rsidP="007F39CE">
            <w:pPr>
              <w:tabs>
                <w:tab w:val="right" w:pos="1202"/>
              </w:tabs>
              <w:spacing w:after="0" w:line="301" w:lineRule="exact"/>
              <w:jc w:val="right"/>
              <w:outlineLvl w:val="0"/>
              <w:rPr>
                <w:rFonts w:eastAsia="Times New Roman" w:cs="Arial"/>
                <w:b/>
                <w:iCs/>
                <w:sz w:val="18"/>
                <w:szCs w:val="18"/>
              </w:rPr>
            </w:pPr>
            <w:r w:rsidRPr="002B2DDF">
              <w:rPr>
                <w:rFonts w:cs="Arial"/>
                <w:b/>
                <w:bCs/>
                <w:sz w:val="18"/>
                <w:szCs w:val="18"/>
              </w:rPr>
              <w:t>428</w:t>
            </w:r>
          </w:p>
        </w:tc>
        <w:tc>
          <w:tcPr>
            <w:tcW w:w="607" w:type="pct"/>
            <w:tcBorders>
              <w:top w:val="nil"/>
              <w:left w:val="nil"/>
              <w:bottom w:val="nil"/>
              <w:right w:val="nil"/>
            </w:tcBorders>
            <w:shd w:val="clear" w:color="auto" w:fill="auto"/>
            <w:vAlign w:val="bottom"/>
          </w:tcPr>
          <w:p w14:paraId="3B9E26D3" w14:textId="176C307E" w:rsidR="007F39CE" w:rsidRPr="00B52775" w:rsidRDefault="007F39CE" w:rsidP="007F39CE">
            <w:pPr>
              <w:tabs>
                <w:tab w:val="right" w:pos="1202"/>
              </w:tabs>
              <w:spacing w:after="0" w:line="301" w:lineRule="exact"/>
              <w:jc w:val="right"/>
              <w:outlineLvl w:val="0"/>
              <w:rPr>
                <w:rFonts w:eastAsia="Times New Roman" w:cs="Arial"/>
                <w:b/>
                <w:iCs/>
                <w:sz w:val="18"/>
                <w:szCs w:val="18"/>
              </w:rPr>
            </w:pPr>
            <w:r w:rsidRPr="002B2DDF">
              <w:rPr>
                <w:rFonts w:cs="Arial"/>
                <w:b/>
                <w:bCs/>
                <w:sz w:val="18"/>
                <w:szCs w:val="18"/>
              </w:rPr>
              <w:t>428</w:t>
            </w:r>
          </w:p>
        </w:tc>
      </w:tr>
      <w:tr w:rsidR="007F39CE" w:rsidRPr="00B52775" w14:paraId="07328602" w14:textId="77777777" w:rsidTr="00944CC6">
        <w:trPr>
          <w:trHeight w:val="120"/>
        </w:trPr>
        <w:tc>
          <w:tcPr>
            <w:tcW w:w="1318" w:type="pct"/>
          </w:tcPr>
          <w:p w14:paraId="7E206F26" w14:textId="77777777" w:rsidR="007F39CE" w:rsidRPr="00B52775" w:rsidRDefault="007F39CE" w:rsidP="007F39CE">
            <w:pPr>
              <w:tabs>
                <w:tab w:val="right" w:pos="1202"/>
              </w:tabs>
              <w:spacing w:after="0" w:line="140" w:lineRule="exact"/>
              <w:jc w:val="right"/>
              <w:outlineLvl w:val="0"/>
              <w:rPr>
                <w:rFonts w:eastAsia="Times New Roman" w:cs="Arial"/>
                <w:iCs/>
                <w:sz w:val="18"/>
                <w:szCs w:val="18"/>
              </w:rPr>
            </w:pPr>
          </w:p>
        </w:tc>
        <w:tc>
          <w:tcPr>
            <w:tcW w:w="615" w:type="pct"/>
            <w:vAlign w:val="bottom"/>
          </w:tcPr>
          <w:p w14:paraId="3D551365" w14:textId="2C8D2193" w:rsidR="007F39CE" w:rsidRPr="00B52775" w:rsidRDefault="007F39CE" w:rsidP="007F39CE">
            <w:pPr>
              <w:keepNext/>
              <w:keepLines/>
              <w:tabs>
                <w:tab w:val="decimal" w:pos="1015"/>
                <w:tab w:val="decimal" w:pos="1202"/>
              </w:tabs>
              <w:spacing w:after="0"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15" w:type="pct"/>
            <w:vAlign w:val="bottom"/>
          </w:tcPr>
          <w:p w14:paraId="03D5D6A6" w14:textId="3D4DC90A" w:rsidR="007F39CE" w:rsidRPr="00B52775" w:rsidRDefault="007F39CE" w:rsidP="007F39CE">
            <w:pPr>
              <w:keepNext/>
              <w:keepLines/>
              <w:tabs>
                <w:tab w:val="decimal" w:pos="1015"/>
                <w:tab w:val="decimal" w:pos="1202"/>
              </w:tabs>
              <w:spacing w:after="0"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15" w:type="pct"/>
            <w:vAlign w:val="bottom"/>
          </w:tcPr>
          <w:p w14:paraId="3D984053" w14:textId="6C2646CB" w:rsidR="007F39CE" w:rsidRPr="00B52775" w:rsidRDefault="007F39CE" w:rsidP="007F39CE">
            <w:pPr>
              <w:keepNext/>
              <w:keepLines/>
              <w:tabs>
                <w:tab w:val="decimal" w:pos="1015"/>
                <w:tab w:val="decimal" w:pos="1202"/>
              </w:tabs>
              <w:spacing w:after="0"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15" w:type="pct"/>
            <w:vAlign w:val="bottom"/>
          </w:tcPr>
          <w:p w14:paraId="14E87577" w14:textId="1376C280" w:rsidR="007F39CE" w:rsidRPr="00B52775" w:rsidRDefault="007F39CE" w:rsidP="007F39CE">
            <w:pPr>
              <w:keepNext/>
              <w:keepLines/>
              <w:tabs>
                <w:tab w:val="decimal" w:pos="1015"/>
                <w:tab w:val="decimal" w:pos="1202"/>
              </w:tabs>
              <w:spacing w:after="0"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15" w:type="pct"/>
            <w:vAlign w:val="bottom"/>
          </w:tcPr>
          <w:p w14:paraId="34EF0A62" w14:textId="4E105994" w:rsidR="007F39CE" w:rsidRPr="00B52775" w:rsidRDefault="007F39CE" w:rsidP="007F39CE">
            <w:pPr>
              <w:keepNext/>
              <w:keepLines/>
              <w:tabs>
                <w:tab w:val="decimal" w:pos="1015"/>
                <w:tab w:val="decimal" w:pos="1202"/>
              </w:tabs>
              <w:spacing w:after="0"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07" w:type="pct"/>
            <w:vAlign w:val="bottom"/>
          </w:tcPr>
          <w:p w14:paraId="516E1543" w14:textId="64495BA1" w:rsidR="007F39CE" w:rsidRPr="00B52775" w:rsidRDefault="007F39CE" w:rsidP="007F39CE">
            <w:pPr>
              <w:keepNext/>
              <w:keepLines/>
              <w:tabs>
                <w:tab w:val="decimal" w:pos="1015"/>
                <w:tab w:val="decimal" w:pos="1202"/>
              </w:tabs>
              <w:spacing w:after="0"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r>
      <w:tr w:rsidR="007F39CE" w:rsidRPr="00B52775" w14:paraId="002B3622" w14:textId="77777777" w:rsidTr="00312975">
        <w:trPr>
          <w:trHeight w:val="69"/>
        </w:trPr>
        <w:tc>
          <w:tcPr>
            <w:tcW w:w="1318" w:type="pct"/>
            <w:vAlign w:val="bottom"/>
          </w:tcPr>
          <w:p w14:paraId="384BA5F6" w14:textId="77777777" w:rsidR="007F39CE" w:rsidRPr="00B52775" w:rsidRDefault="007F39CE" w:rsidP="007F39CE">
            <w:pPr>
              <w:tabs>
                <w:tab w:val="right" w:pos="1202"/>
              </w:tabs>
              <w:spacing w:after="0" w:line="240" w:lineRule="exact"/>
              <w:outlineLvl w:val="0"/>
              <w:rPr>
                <w:rFonts w:eastAsia="Times New Roman" w:cs="Arial"/>
                <w:iCs/>
                <w:sz w:val="18"/>
                <w:szCs w:val="18"/>
              </w:rPr>
            </w:pPr>
            <w:r w:rsidRPr="00B52775">
              <w:rPr>
                <w:rFonts w:eastAsia="Times New Roman" w:cs="Arial"/>
                <w:iCs/>
                <w:sz w:val="18"/>
                <w:szCs w:val="18"/>
              </w:rPr>
              <w:t>Ukupna sveobuhvatna dobit</w:t>
            </w:r>
          </w:p>
        </w:tc>
        <w:tc>
          <w:tcPr>
            <w:tcW w:w="615" w:type="pct"/>
            <w:tcBorders>
              <w:left w:val="nil"/>
              <w:right w:val="nil"/>
            </w:tcBorders>
            <w:shd w:val="clear" w:color="auto" w:fill="auto"/>
            <w:vAlign w:val="bottom"/>
          </w:tcPr>
          <w:p w14:paraId="492AA0CA" w14:textId="6D4D19A9" w:rsidR="007F39CE" w:rsidRPr="00B52775" w:rsidRDefault="007F39CE" w:rsidP="007F39CE">
            <w:pPr>
              <w:tabs>
                <w:tab w:val="right" w:pos="1202"/>
              </w:tabs>
              <w:spacing w:after="0" w:line="301" w:lineRule="exact"/>
              <w:jc w:val="right"/>
              <w:outlineLvl w:val="0"/>
              <w:rPr>
                <w:rFonts w:eastAsia="Times New Roman" w:cs="Arial"/>
                <w:iCs/>
                <w:sz w:val="18"/>
                <w:szCs w:val="18"/>
              </w:rPr>
            </w:pPr>
            <w:r w:rsidRPr="002B2DDF">
              <w:rPr>
                <w:rFonts w:cs="Arial"/>
                <w:sz w:val="18"/>
                <w:szCs w:val="18"/>
              </w:rPr>
              <w:t>-</w:t>
            </w:r>
          </w:p>
        </w:tc>
        <w:tc>
          <w:tcPr>
            <w:tcW w:w="615" w:type="pct"/>
            <w:tcBorders>
              <w:left w:val="nil"/>
              <w:right w:val="nil"/>
            </w:tcBorders>
            <w:shd w:val="clear" w:color="auto" w:fill="auto"/>
            <w:vAlign w:val="bottom"/>
          </w:tcPr>
          <w:p w14:paraId="036737BC" w14:textId="41DE50FF" w:rsidR="007F39CE" w:rsidRPr="00B52775" w:rsidRDefault="007F39CE" w:rsidP="007F39CE">
            <w:pPr>
              <w:tabs>
                <w:tab w:val="right" w:pos="1202"/>
              </w:tabs>
              <w:spacing w:after="0" w:line="301" w:lineRule="exact"/>
              <w:jc w:val="right"/>
              <w:outlineLvl w:val="0"/>
              <w:rPr>
                <w:rFonts w:eastAsia="Times New Roman" w:cs="Arial"/>
                <w:iCs/>
                <w:sz w:val="18"/>
                <w:szCs w:val="18"/>
              </w:rPr>
            </w:pPr>
            <w:r w:rsidRPr="002B2DDF">
              <w:rPr>
                <w:rFonts w:cs="Arial"/>
                <w:sz w:val="18"/>
                <w:szCs w:val="18"/>
              </w:rPr>
              <w:t>-</w:t>
            </w:r>
          </w:p>
        </w:tc>
        <w:tc>
          <w:tcPr>
            <w:tcW w:w="615" w:type="pct"/>
            <w:tcBorders>
              <w:left w:val="nil"/>
              <w:right w:val="nil"/>
            </w:tcBorders>
            <w:shd w:val="clear" w:color="auto" w:fill="auto"/>
            <w:vAlign w:val="bottom"/>
          </w:tcPr>
          <w:p w14:paraId="29D1CC50" w14:textId="08D60FFF" w:rsidR="007F39CE" w:rsidRPr="00B52775" w:rsidRDefault="007F39CE" w:rsidP="007F39CE">
            <w:pPr>
              <w:tabs>
                <w:tab w:val="right" w:pos="1202"/>
              </w:tabs>
              <w:spacing w:after="0" w:line="301" w:lineRule="exact"/>
              <w:jc w:val="right"/>
              <w:outlineLvl w:val="0"/>
              <w:rPr>
                <w:rFonts w:eastAsia="Times New Roman" w:cs="Arial"/>
                <w:iCs/>
                <w:sz w:val="18"/>
                <w:szCs w:val="18"/>
              </w:rPr>
            </w:pPr>
            <w:r w:rsidRPr="002B2DDF">
              <w:rPr>
                <w:rFonts w:cs="Arial"/>
                <w:sz w:val="18"/>
                <w:szCs w:val="18"/>
              </w:rPr>
              <w:t>428</w:t>
            </w:r>
          </w:p>
        </w:tc>
        <w:tc>
          <w:tcPr>
            <w:tcW w:w="615" w:type="pct"/>
            <w:tcBorders>
              <w:left w:val="nil"/>
              <w:right w:val="nil"/>
            </w:tcBorders>
            <w:shd w:val="clear" w:color="auto" w:fill="auto"/>
            <w:vAlign w:val="bottom"/>
          </w:tcPr>
          <w:p w14:paraId="7097E88F" w14:textId="17305672" w:rsidR="007F39CE" w:rsidRPr="00B52775" w:rsidRDefault="007F39CE" w:rsidP="007F39CE">
            <w:pPr>
              <w:tabs>
                <w:tab w:val="right" w:pos="1202"/>
              </w:tabs>
              <w:spacing w:after="0" w:line="301" w:lineRule="exact"/>
              <w:jc w:val="right"/>
              <w:outlineLvl w:val="0"/>
              <w:rPr>
                <w:rFonts w:eastAsia="Times New Roman" w:cs="Arial"/>
                <w:iCs/>
                <w:sz w:val="18"/>
                <w:szCs w:val="18"/>
              </w:rPr>
            </w:pPr>
            <w:r w:rsidRPr="002B2DDF">
              <w:rPr>
                <w:rFonts w:cs="Arial"/>
                <w:sz w:val="18"/>
                <w:szCs w:val="18"/>
              </w:rPr>
              <w:t>443</w:t>
            </w:r>
          </w:p>
        </w:tc>
        <w:tc>
          <w:tcPr>
            <w:tcW w:w="615" w:type="pct"/>
            <w:tcBorders>
              <w:left w:val="nil"/>
              <w:right w:val="nil"/>
            </w:tcBorders>
            <w:shd w:val="clear" w:color="auto" w:fill="auto"/>
            <w:vAlign w:val="bottom"/>
          </w:tcPr>
          <w:p w14:paraId="0EC1AB71" w14:textId="34711EB8" w:rsidR="007F39CE" w:rsidRPr="00B52775" w:rsidRDefault="007F39CE" w:rsidP="007F39CE">
            <w:pPr>
              <w:tabs>
                <w:tab w:val="right" w:pos="1202"/>
              </w:tabs>
              <w:spacing w:after="0" w:line="301" w:lineRule="exact"/>
              <w:jc w:val="right"/>
              <w:outlineLvl w:val="0"/>
              <w:rPr>
                <w:rFonts w:eastAsia="Times New Roman" w:cs="Arial"/>
                <w:b/>
                <w:iCs/>
                <w:sz w:val="18"/>
                <w:szCs w:val="18"/>
              </w:rPr>
            </w:pPr>
            <w:r w:rsidRPr="002B2DDF">
              <w:rPr>
                <w:rFonts w:cs="Arial"/>
                <w:b/>
                <w:bCs/>
                <w:sz w:val="18"/>
                <w:szCs w:val="18"/>
              </w:rPr>
              <w:t>871</w:t>
            </w:r>
          </w:p>
        </w:tc>
        <w:tc>
          <w:tcPr>
            <w:tcW w:w="607" w:type="pct"/>
            <w:tcBorders>
              <w:left w:val="nil"/>
              <w:right w:val="nil"/>
            </w:tcBorders>
            <w:shd w:val="clear" w:color="auto" w:fill="auto"/>
            <w:vAlign w:val="bottom"/>
          </w:tcPr>
          <w:p w14:paraId="36DABA56" w14:textId="72B4415F" w:rsidR="007F39CE" w:rsidRPr="00B52775" w:rsidRDefault="007F39CE" w:rsidP="007F39CE">
            <w:pPr>
              <w:tabs>
                <w:tab w:val="right" w:pos="1202"/>
              </w:tabs>
              <w:spacing w:after="0" w:line="301" w:lineRule="exact"/>
              <w:jc w:val="right"/>
              <w:outlineLvl w:val="0"/>
              <w:rPr>
                <w:rFonts w:eastAsia="Times New Roman" w:cs="Arial"/>
                <w:b/>
                <w:iCs/>
                <w:sz w:val="18"/>
                <w:szCs w:val="18"/>
              </w:rPr>
            </w:pPr>
            <w:r w:rsidRPr="002B2DDF">
              <w:rPr>
                <w:rFonts w:cs="Arial"/>
                <w:b/>
                <w:bCs/>
                <w:sz w:val="18"/>
                <w:szCs w:val="18"/>
              </w:rPr>
              <w:t>871</w:t>
            </w:r>
          </w:p>
        </w:tc>
      </w:tr>
      <w:tr w:rsidR="007F39CE" w:rsidRPr="00B52775" w14:paraId="0544F4E4" w14:textId="77777777" w:rsidTr="00944CC6">
        <w:trPr>
          <w:trHeight w:val="120"/>
        </w:trPr>
        <w:tc>
          <w:tcPr>
            <w:tcW w:w="1318" w:type="pct"/>
          </w:tcPr>
          <w:p w14:paraId="14C8755F" w14:textId="77777777" w:rsidR="007F39CE" w:rsidRPr="00B52775" w:rsidRDefault="007F39CE" w:rsidP="007F39CE">
            <w:pPr>
              <w:tabs>
                <w:tab w:val="right" w:pos="1202"/>
              </w:tabs>
              <w:spacing w:after="0" w:line="140" w:lineRule="exact"/>
              <w:jc w:val="right"/>
              <w:outlineLvl w:val="0"/>
              <w:rPr>
                <w:rFonts w:eastAsia="Times New Roman" w:cs="Arial"/>
                <w:iCs/>
                <w:sz w:val="18"/>
                <w:szCs w:val="18"/>
              </w:rPr>
            </w:pPr>
          </w:p>
        </w:tc>
        <w:tc>
          <w:tcPr>
            <w:tcW w:w="615" w:type="pct"/>
            <w:vAlign w:val="bottom"/>
          </w:tcPr>
          <w:p w14:paraId="694B67C5" w14:textId="083CD320" w:rsidR="007F39CE" w:rsidRPr="00B52775" w:rsidRDefault="007F39CE" w:rsidP="007F39CE">
            <w:pPr>
              <w:keepNext/>
              <w:keepLines/>
              <w:tabs>
                <w:tab w:val="decimal" w:pos="1015"/>
                <w:tab w:val="decimal" w:pos="1202"/>
              </w:tabs>
              <w:spacing w:after="0"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15" w:type="pct"/>
            <w:vAlign w:val="bottom"/>
          </w:tcPr>
          <w:p w14:paraId="0CD8E9DC" w14:textId="207C1E9C" w:rsidR="007F39CE" w:rsidRPr="00B52775" w:rsidRDefault="007F39CE" w:rsidP="007F39CE">
            <w:pPr>
              <w:keepNext/>
              <w:keepLines/>
              <w:tabs>
                <w:tab w:val="decimal" w:pos="1015"/>
                <w:tab w:val="decimal" w:pos="1202"/>
              </w:tabs>
              <w:spacing w:after="0"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15" w:type="pct"/>
            <w:vAlign w:val="bottom"/>
          </w:tcPr>
          <w:p w14:paraId="78905B2F" w14:textId="54AF120C" w:rsidR="007F39CE" w:rsidRPr="00B52775" w:rsidRDefault="007F39CE" w:rsidP="007F39CE">
            <w:pPr>
              <w:keepNext/>
              <w:keepLines/>
              <w:tabs>
                <w:tab w:val="decimal" w:pos="1015"/>
                <w:tab w:val="decimal" w:pos="1202"/>
              </w:tabs>
              <w:spacing w:after="0"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15" w:type="pct"/>
            <w:vAlign w:val="bottom"/>
          </w:tcPr>
          <w:p w14:paraId="5507181A" w14:textId="5B544C38" w:rsidR="007F39CE" w:rsidRPr="00B52775" w:rsidRDefault="007F39CE" w:rsidP="007F39CE">
            <w:pPr>
              <w:keepNext/>
              <w:keepLines/>
              <w:tabs>
                <w:tab w:val="decimal" w:pos="1015"/>
                <w:tab w:val="decimal" w:pos="1202"/>
              </w:tabs>
              <w:spacing w:after="0"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15" w:type="pct"/>
            <w:vAlign w:val="bottom"/>
          </w:tcPr>
          <w:p w14:paraId="0C348B5E" w14:textId="4BFCF5D5" w:rsidR="007F39CE" w:rsidRPr="00B52775" w:rsidRDefault="007F39CE" w:rsidP="007F39CE">
            <w:pPr>
              <w:keepNext/>
              <w:keepLines/>
              <w:tabs>
                <w:tab w:val="decimal" w:pos="1015"/>
                <w:tab w:val="decimal" w:pos="1202"/>
              </w:tabs>
              <w:spacing w:after="0"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07" w:type="pct"/>
            <w:vAlign w:val="bottom"/>
          </w:tcPr>
          <w:p w14:paraId="56D35A88" w14:textId="426FBF06" w:rsidR="007F39CE" w:rsidRPr="00B52775" w:rsidRDefault="007F39CE" w:rsidP="007F39CE">
            <w:pPr>
              <w:keepNext/>
              <w:keepLines/>
              <w:tabs>
                <w:tab w:val="decimal" w:pos="1015"/>
                <w:tab w:val="decimal" w:pos="1202"/>
              </w:tabs>
              <w:spacing w:after="0"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r>
      <w:tr w:rsidR="007F39CE" w:rsidRPr="00B52775" w14:paraId="377E904C" w14:textId="77777777" w:rsidTr="007E0F45">
        <w:trPr>
          <w:trHeight w:val="423"/>
        </w:trPr>
        <w:tc>
          <w:tcPr>
            <w:tcW w:w="1318" w:type="pct"/>
          </w:tcPr>
          <w:p w14:paraId="41738E5E" w14:textId="61AD66A8" w:rsidR="007F39CE" w:rsidRPr="00B52775" w:rsidRDefault="007F39CE" w:rsidP="007F39CE">
            <w:pPr>
              <w:tabs>
                <w:tab w:val="right" w:pos="1202"/>
              </w:tabs>
              <w:spacing w:after="0" w:line="240" w:lineRule="exact"/>
              <w:outlineLvl w:val="0"/>
              <w:rPr>
                <w:rFonts w:eastAsia="Times New Roman" w:cs="Arial"/>
                <w:i/>
                <w:iCs/>
                <w:sz w:val="18"/>
                <w:szCs w:val="18"/>
              </w:rPr>
            </w:pPr>
            <w:r w:rsidRPr="00B52775">
              <w:rPr>
                <w:rFonts w:eastAsia="Times New Roman" w:cs="Arial"/>
                <w:iCs/>
                <w:sz w:val="18"/>
                <w:szCs w:val="18"/>
              </w:rPr>
              <w:t>Prijenos dobiti iz 2015. godine u zadržanu dobit</w:t>
            </w:r>
          </w:p>
        </w:tc>
        <w:tc>
          <w:tcPr>
            <w:tcW w:w="615" w:type="pct"/>
            <w:tcBorders>
              <w:top w:val="nil"/>
              <w:left w:val="nil"/>
              <w:bottom w:val="nil"/>
              <w:right w:val="nil"/>
            </w:tcBorders>
            <w:shd w:val="clear" w:color="auto" w:fill="auto"/>
            <w:vAlign w:val="bottom"/>
          </w:tcPr>
          <w:p w14:paraId="09298731" w14:textId="5400306E" w:rsidR="007F39CE" w:rsidRPr="00B52775" w:rsidRDefault="007F39CE" w:rsidP="007F39CE">
            <w:pPr>
              <w:tabs>
                <w:tab w:val="right" w:pos="1202"/>
              </w:tabs>
              <w:spacing w:after="0" w:line="301" w:lineRule="exact"/>
              <w:jc w:val="right"/>
              <w:outlineLvl w:val="0"/>
              <w:rPr>
                <w:rFonts w:eastAsia="Times New Roman" w:cs="Arial"/>
                <w:iCs/>
                <w:sz w:val="18"/>
                <w:szCs w:val="18"/>
              </w:rPr>
            </w:pPr>
            <w:r w:rsidRPr="00F561C9">
              <w:rPr>
                <w:rFonts w:cs="Arial"/>
                <w:sz w:val="18"/>
                <w:szCs w:val="18"/>
              </w:rPr>
              <w:t>-</w:t>
            </w:r>
          </w:p>
        </w:tc>
        <w:tc>
          <w:tcPr>
            <w:tcW w:w="615" w:type="pct"/>
            <w:tcBorders>
              <w:top w:val="nil"/>
              <w:left w:val="nil"/>
              <w:bottom w:val="nil"/>
              <w:right w:val="nil"/>
            </w:tcBorders>
            <w:shd w:val="clear" w:color="auto" w:fill="auto"/>
            <w:vAlign w:val="bottom"/>
          </w:tcPr>
          <w:p w14:paraId="19340A84" w14:textId="264ED157" w:rsidR="007F39CE" w:rsidRPr="00B52775" w:rsidRDefault="007F39CE" w:rsidP="007F39CE">
            <w:pPr>
              <w:tabs>
                <w:tab w:val="right" w:pos="1202"/>
              </w:tabs>
              <w:spacing w:after="0" w:line="301" w:lineRule="exact"/>
              <w:jc w:val="right"/>
              <w:outlineLvl w:val="0"/>
              <w:rPr>
                <w:rFonts w:eastAsia="Times New Roman" w:cs="Arial"/>
                <w:iCs/>
                <w:sz w:val="18"/>
                <w:szCs w:val="18"/>
              </w:rPr>
            </w:pPr>
            <w:r w:rsidRPr="00F561C9">
              <w:rPr>
                <w:rFonts w:cs="Arial"/>
                <w:sz w:val="18"/>
                <w:szCs w:val="18"/>
              </w:rPr>
              <w:t>1.036</w:t>
            </w:r>
          </w:p>
        </w:tc>
        <w:tc>
          <w:tcPr>
            <w:tcW w:w="615" w:type="pct"/>
            <w:tcBorders>
              <w:top w:val="nil"/>
              <w:left w:val="nil"/>
              <w:bottom w:val="nil"/>
              <w:right w:val="nil"/>
            </w:tcBorders>
            <w:shd w:val="clear" w:color="auto" w:fill="auto"/>
            <w:vAlign w:val="bottom"/>
          </w:tcPr>
          <w:p w14:paraId="7C8427C4" w14:textId="38C1C73B" w:rsidR="007F39CE" w:rsidRPr="00B52775" w:rsidRDefault="007F39CE" w:rsidP="007F39CE">
            <w:pPr>
              <w:tabs>
                <w:tab w:val="right" w:pos="1202"/>
              </w:tabs>
              <w:spacing w:after="0" w:line="301" w:lineRule="exact"/>
              <w:jc w:val="right"/>
              <w:outlineLvl w:val="0"/>
              <w:rPr>
                <w:rFonts w:eastAsia="Times New Roman" w:cs="Arial"/>
                <w:iCs/>
                <w:sz w:val="18"/>
                <w:szCs w:val="18"/>
              </w:rPr>
            </w:pPr>
            <w:r w:rsidRPr="00F561C9">
              <w:rPr>
                <w:rFonts w:cs="Arial"/>
                <w:sz w:val="18"/>
                <w:szCs w:val="18"/>
              </w:rPr>
              <w:t>-</w:t>
            </w:r>
          </w:p>
        </w:tc>
        <w:tc>
          <w:tcPr>
            <w:tcW w:w="615" w:type="pct"/>
            <w:tcBorders>
              <w:top w:val="nil"/>
              <w:left w:val="nil"/>
              <w:bottom w:val="nil"/>
              <w:right w:val="nil"/>
            </w:tcBorders>
            <w:shd w:val="clear" w:color="auto" w:fill="auto"/>
            <w:vAlign w:val="bottom"/>
          </w:tcPr>
          <w:p w14:paraId="74F684C8" w14:textId="7D04E6FD" w:rsidR="007F39CE" w:rsidRPr="00B52775" w:rsidRDefault="007F39CE" w:rsidP="007F39CE">
            <w:pPr>
              <w:tabs>
                <w:tab w:val="right" w:pos="1202"/>
              </w:tabs>
              <w:spacing w:after="0" w:line="301" w:lineRule="exact"/>
              <w:jc w:val="right"/>
              <w:outlineLvl w:val="0"/>
              <w:rPr>
                <w:rFonts w:eastAsia="Times New Roman" w:cs="Arial"/>
                <w:iCs/>
                <w:sz w:val="18"/>
                <w:szCs w:val="18"/>
              </w:rPr>
            </w:pPr>
            <w:r w:rsidRPr="00F561C9">
              <w:rPr>
                <w:rFonts w:cs="Arial"/>
                <w:sz w:val="18"/>
                <w:szCs w:val="18"/>
              </w:rPr>
              <w:t>(1.036)</w:t>
            </w:r>
          </w:p>
        </w:tc>
        <w:tc>
          <w:tcPr>
            <w:tcW w:w="615" w:type="pct"/>
            <w:tcBorders>
              <w:top w:val="nil"/>
              <w:left w:val="nil"/>
              <w:bottom w:val="nil"/>
              <w:right w:val="nil"/>
            </w:tcBorders>
            <w:shd w:val="clear" w:color="auto" w:fill="auto"/>
            <w:vAlign w:val="bottom"/>
          </w:tcPr>
          <w:p w14:paraId="3050F327" w14:textId="401E7FD5" w:rsidR="007F39CE" w:rsidRPr="00B52775" w:rsidRDefault="007F39CE" w:rsidP="007F39CE">
            <w:pPr>
              <w:tabs>
                <w:tab w:val="right" w:pos="1202"/>
              </w:tabs>
              <w:spacing w:after="0" w:line="301" w:lineRule="exact"/>
              <w:jc w:val="right"/>
              <w:outlineLvl w:val="0"/>
              <w:rPr>
                <w:rFonts w:eastAsia="Times New Roman" w:cs="Arial"/>
                <w:b/>
                <w:iCs/>
                <w:sz w:val="18"/>
                <w:szCs w:val="18"/>
              </w:rPr>
            </w:pPr>
            <w:r w:rsidRPr="00F561C9">
              <w:rPr>
                <w:rFonts w:cs="Arial"/>
                <w:b/>
                <w:bCs/>
                <w:sz w:val="18"/>
                <w:szCs w:val="18"/>
              </w:rPr>
              <w:t>-</w:t>
            </w:r>
          </w:p>
        </w:tc>
        <w:tc>
          <w:tcPr>
            <w:tcW w:w="607" w:type="pct"/>
            <w:tcBorders>
              <w:top w:val="nil"/>
              <w:left w:val="nil"/>
              <w:bottom w:val="nil"/>
              <w:right w:val="nil"/>
            </w:tcBorders>
            <w:shd w:val="clear" w:color="auto" w:fill="auto"/>
            <w:vAlign w:val="bottom"/>
          </w:tcPr>
          <w:p w14:paraId="2C8CFACF" w14:textId="6D1AD509" w:rsidR="007F39CE" w:rsidRPr="00B52775" w:rsidRDefault="007F39CE" w:rsidP="007F39CE">
            <w:pPr>
              <w:tabs>
                <w:tab w:val="right" w:pos="1202"/>
              </w:tabs>
              <w:spacing w:after="0" w:line="301" w:lineRule="exact"/>
              <w:jc w:val="right"/>
              <w:outlineLvl w:val="0"/>
              <w:rPr>
                <w:rFonts w:eastAsia="Times New Roman" w:cs="Arial"/>
                <w:b/>
                <w:iCs/>
                <w:sz w:val="18"/>
                <w:szCs w:val="18"/>
              </w:rPr>
            </w:pPr>
            <w:r w:rsidRPr="00F561C9">
              <w:rPr>
                <w:rFonts w:cs="Arial"/>
                <w:b/>
                <w:bCs/>
                <w:sz w:val="18"/>
                <w:szCs w:val="18"/>
              </w:rPr>
              <w:t>-</w:t>
            </w:r>
          </w:p>
        </w:tc>
      </w:tr>
      <w:tr w:rsidR="007F39CE" w:rsidRPr="00B52775" w14:paraId="6C9F1D6E" w14:textId="77777777" w:rsidTr="00944CC6">
        <w:trPr>
          <w:trHeight w:val="120"/>
        </w:trPr>
        <w:tc>
          <w:tcPr>
            <w:tcW w:w="1318" w:type="pct"/>
          </w:tcPr>
          <w:p w14:paraId="0D7276D3" w14:textId="77777777" w:rsidR="007F39CE" w:rsidRPr="00B52775" w:rsidRDefault="007F39CE" w:rsidP="007F39CE">
            <w:pPr>
              <w:tabs>
                <w:tab w:val="right" w:pos="1202"/>
              </w:tabs>
              <w:spacing w:after="0" w:line="140" w:lineRule="exact"/>
              <w:jc w:val="right"/>
              <w:outlineLvl w:val="0"/>
              <w:rPr>
                <w:rFonts w:eastAsia="Times New Roman" w:cs="Arial"/>
                <w:iCs/>
                <w:sz w:val="18"/>
                <w:szCs w:val="18"/>
              </w:rPr>
            </w:pPr>
          </w:p>
        </w:tc>
        <w:tc>
          <w:tcPr>
            <w:tcW w:w="615" w:type="pct"/>
            <w:vAlign w:val="bottom"/>
          </w:tcPr>
          <w:p w14:paraId="7B452D81" w14:textId="396B9F20" w:rsidR="007F39CE" w:rsidRPr="00B52775" w:rsidRDefault="007F39CE" w:rsidP="007F39CE">
            <w:pPr>
              <w:keepNext/>
              <w:keepLines/>
              <w:tabs>
                <w:tab w:val="decimal" w:pos="1015"/>
                <w:tab w:val="decimal" w:pos="1202"/>
              </w:tabs>
              <w:spacing w:after="0"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15" w:type="pct"/>
            <w:vAlign w:val="bottom"/>
          </w:tcPr>
          <w:p w14:paraId="27EF9830" w14:textId="70C454FB" w:rsidR="007F39CE" w:rsidRPr="00B52775" w:rsidRDefault="007F39CE" w:rsidP="007F39CE">
            <w:pPr>
              <w:keepNext/>
              <w:keepLines/>
              <w:tabs>
                <w:tab w:val="decimal" w:pos="1015"/>
                <w:tab w:val="decimal" w:pos="1202"/>
              </w:tabs>
              <w:spacing w:after="0"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15" w:type="pct"/>
            <w:vAlign w:val="bottom"/>
          </w:tcPr>
          <w:p w14:paraId="2DAE39B0" w14:textId="36FD1087" w:rsidR="007F39CE" w:rsidRPr="00B52775" w:rsidRDefault="007F39CE" w:rsidP="007F39CE">
            <w:pPr>
              <w:keepNext/>
              <w:keepLines/>
              <w:tabs>
                <w:tab w:val="decimal" w:pos="1015"/>
                <w:tab w:val="decimal" w:pos="1202"/>
              </w:tabs>
              <w:spacing w:after="0"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15" w:type="pct"/>
            <w:vAlign w:val="bottom"/>
          </w:tcPr>
          <w:p w14:paraId="0FE7DD06" w14:textId="256FE1E3" w:rsidR="007F39CE" w:rsidRPr="00B52775" w:rsidRDefault="007F39CE" w:rsidP="007F39CE">
            <w:pPr>
              <w:keepNext/>
              <w:keepLines/>
              <w:tabs>
                <w:tab w:val="decimal" w:pos="1015"/>
                <w:tab w:val="decimal" w:pos="1202"/>
              </w:tabs>
              <w:spacing w:after="0"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15" w:type="pct"/>
            <w:vAlign w:val="bottom"/>
          </w:tcPr>
          <w:p w14:paraId="4D16D89D" w14:textId="503988F2" w:rsidR="007F39CE" w:rsidRPr="00B52775" w:rsidRDefault="007F39CE" w:rsidP="007F39CE">
            <w:pPr>
              <w:keepNext/>
              <w:keepLines/>
              <w:tabs>
                <w:tab w:val="decimal" w:pos="1015"/>
                <w:tab w:val="decimal" w:pos="1202"/>
              </w:tabs>
              <w:spacing w:after="0"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c>
          <w:tcPr>
            <w:tcW w:w="607" w:type="pct"/>
            <w:vAlign w:val="bottom"/>
          </w:tcPr>
          <w:p w14:paraId="0080EA09" w14:textId="4A4790B1" w:rsidR="007F39CE" w:rsidRPr="00B52775" w:rsidRDefault="007F39CE" w:rsidP="007F39CE">
            <w:pPr>
              <w:keepNext/>
              <w:keepLines/>
              <w:tabs>
                <w:tab w:val="decimal" w:pos="1015"/>
                <w:tab w:val="decimal" w:pos="1202"/>
              </w:tabs>
              <w:spacing w:after="0" w:line="140" w:lineRule="exact"/>
              <w:jc w:val="right"/>
              <w:rPr>
                <w:rFonts w:eastAsia="Times New Roman" w:cs="Arial"/>
                <w:spacing w:val="-2"/>
                <w:position w:val="4"/>
                <w:sz w:val="18"/>
                <w:szCs w:val="18"/>
              </w:rPr>
            </w:pPr>
            <w:r w:rsidRPr="00F561C9">
              <w:rPr>
                <w:rFonts w:eastAsia="Times New Roman" w:cs="Arial"/>
                <w:spacing w:val="-2"/>
                <w:position w:val="4"/>
                <w:sz w:val="18"/>
                <w:szCs w:val="18"/>
              </w:rPr>
              <w:t>_________</w:t>
            </w:r>
          </w:p>
        </w:tc>
      </w:tr>
      <w:tr w:rsidR="007F39CE" w:rsidRPr="00B52775" w14:paraId="6586BAB4" w14:textId="77777777" w:rsidTr="007E0F45">
        <w:trPr>
          <w:trHeight w:val="413"/>
        </w:trPr>
        <w:tc>
          <w:tcPr>
            <w:tcW w:w="1318" w:type="pct"/>
            <w:vAlign w:val="center"/>
          </w:tcPr>
          <w:p w14:paraId="2F38EDB7" w14:textId="69E37272" w:rsidR="007F39CE" w:rsidRPr="00B52775" w:rsidRDefault="007F39CE" w:rsidP="00257CDB">
            <w:pPr>
              <w:tabs>
                <w:tab w:val="right" w:pos="1202"/>
              </w:tabs>
              <w:spacing w:after="0" w:line="240" w:lineRule="exact"/>
              <w:outlineLvl w:val="0"/>
              <w:rPr>
                <w:rFonts w:eastAsia="Times New Roman" w:cs="Arial"/>
                <w:b/>
                <w:iCs/>
                <w:sz w:val="18"/>
                <w:szCs w:val="18"/>
              </w:rPr>
            </w:pPr>
            <w:r w:rsidRPr="00B52775">
              <w:rPr>
                <w:rFonts w:eastAsia="Times New Roman" w:cs="Arial"/>
                <w:b/>
                <w:iCs/>
                <w:sz w:val="18"/>
                <w:szCs w:val="18"/>
              </w:rPr>
              <w:t>Stanje 3</w:t>
            </w:r>
            <w:r>
              <w:rPr>
                <w:rFonts w:eastAsia="Times New Roman" w:cs="Arial"/>
                <w:b/>
                <w:iCs/>
                <w:sz w:val="18"/>
                <w:szCs w:val="18"/>
              </w:rPr>
              <w:t>0</w:t>
            </w:r>
            <w:r w:rsidRPr="00B52775">
              <w:rPr>
                <w:rFonts w:eastAsia="Times New Roman" w:cs="Arial"/>
                <w:b/>
                <w:iCs/>
                <w:sz w:val="18"/>
                <w:szCs w:val="18"/>
              </w:rPr>
              <w:t xml:space="preserve">. </w:t>
            </w:r>
            <w:r>
              <w:rPr>
                <w:rFonts w:eastAsia="Times New Roman" w:cs="Arial"/>
                <w:b/>
                <w:iCs/>
                <w:sz w:val="18"/>
                <w:szCs w:val="18"/>
              </w:rPr>
              <w:t>lipnj</w:t>
            </w:r>
            <w:r w:rsidRPr="00B52775">
              <w:rPr>
                <w:rFonts w:eastAsia="Times New Roman" w:cs="Arial"/>
                <w:b/>
                <w:iCs/>
                <w:sz w:val="18"/>
                <w:szCs w:val="18"/>
              </w:rPr>
              <w:t>a 2016. godine</w:t>
            </w:r>
          </w:p>
        </w:tc>
        <w:tc>
          <w:tcPr>
            <w:tcW w:w="615" w:type="pct"/>
            <w:tcBorders>
              <w:top w:val="nil"/>
              <w:left w:val="nil"/>
              <w:bottom w:val="nil"/>
              <w:right w:val="nil"/>
            </w:tcBorders>
            <w:shd w:val="clear" w:color="auto" w:fill="auto"/>
            <w:vAlign w:val="bottom"/>
          </w:tcPr>
          <w:p w14:paraId="360441F3" w14:textId="55AA5DF9" w:rsidR="007F39CE" w:rsidRPr="00B52775" w:rsidRDefault="007F39CE" w:rsidP="007F39CE">
            <w:pPr>
              <w:tabs>
                <w:tab w:val="right" w:pos="1202"/>
              </w:tabs>
              <w:spacing w:after="0" w:line="301" w:lineRule="exact"/>
              <w:jc w:val="right"/>
              <w:outlineLvl w:val="0"/>
              <w:rPr>
                <w:rFonts w:eastAsia="Times New Roman" w:cs="Arial"/>
                <w:b/>
                <w:iCs/>
                <w:sz w:val="18"/>
                <w:szCs w:val="18"/>
              </w:rPr>
            </w:pPr>
            <w:r w:rsidRPr="002B2DDF">
              <w:rPr>
                <w:rFonts w:cs="Arial"/>
                <w:b/>
                <w:bCs/>
                <w:sz w:val="18"/>
                <w:szCs w:val="18"/>
              </w:rPr>
              <w:t>37.500</w:t>
            </w:r>
          </w:p>
        </w:tc>
        <w:tc>
          <w:tcPr>
            <w:tcW w:w="615" w:type="pct"/>
            <w:tcBorders>
              <w:top w:val="nil"/>
              <w:left w:val="nil"/>
              <w:bottom w:val="nil"/>
              <w:right w:val="nil"/>
            </w:tcBorders>
            <w:shd w:val="clear" w:color="auto" w:fill="auto"/>
            <w:vAlign w:val="bottom"/>
          </w:tcPr>
          <w:p w14:paraId="5C62D128" w14:textId="03E3FC24" w:rsidR="007F39CE" w:rsidRPr="00B52775" w:rsidRDefault="007F39CE" w:rsidP="007F39CE">
            <w:pPr>
              <w:tabs>
                <w:tab w:val="right" w:pos="1202"/>
              </w:tabs>
              <w:spacing w:after="0" w:line="301" w:lineRule="exact"/>
              <w:jc w:val="right"/>
              <w:outlineLvl w:val="0"/>
              <w:rPr>
                <w:rFonts w:eastAsia="Times New Roman" w:cs="Arial"/>
                <w:b/>
                <w:iCs/>
                <w:sz w:val="18"/>
                <w:szCs w:val="18"/>
              </w:rPr>
            </w:pPr>
            <w:r w:rsidRPr="002B2DDF">
              <w:rPr>
                <w:rFonts w:cs="Arial"/>
                <w:b/>
                <w:bCs/>
                <w:sz w:val="18"/>
                <w:szCs w:val="18"/>
              </w:rPr>
              <w:t>(148)</w:t>
            </w:r>
          </w:p>
        </w:tc>
        <w:tc>
          <w:tcPr>
            <w:tcW w:w="615" w:type="pct"/>
            <w:tcBorders>
              <w:top w:val="nil"/>
              <w:left w:val="nil"/>
              <w:bottom w:val="nil"/>
              <w:right w:val="nil"/>
            </w:tcBorders>
            <w:shd w:val="clear" w:color="auto" w:fill="auto"/>
            <w:vAlign w:val="bottom"/>
          </w:tcPr>
          <w:p w14:paraId="55FEC91E" w14:textId="5C4CAD05" w:rsidR="007F39CE" w:rsidRPr="00B52775" w:rsidRDefault="007F39CE" w:rsidP="007F39CE">
            <w:pPr>
              <w:tabs>
                <w:tab w:val="right" w:pos="1202"/>
              </w:tabs>
              <w:spacing w:after="0" w:line="301" w:lineRule="exact"/>
              <w:jc w:val="right"/>
              <w:outlineLvl w:val="0"/>
              <w:rPr>
                <w:rFonts w:eastAsia="Times New Roman" w:cs="Arial"/>
                <w:b/>
                <w:iCs/>
                <w:sz w:val="18"/>
                <w:szCs w:val="18"/>
              </w:rPr>
            </w:pPr>
            <w:r w:rsidRPr="002B2DDF">
              <w:rPr>
                <w:rFonts w:cs="Arial"/>
                <w:b/>
                <w:bCs/>
                <w:sz w:val="18"/>
                <w:szCs w:val="18"/>
              </w:rPr>
              <w:t>1.302</w:t>
            </w:r>
          </w:p>
        </w:tc>
        <w:tc>
          <w:tcPr>
            <w:tcW w:w="615" w:type="pct"/>
            <w:tcBorders>
              <w:top w:val="nil"/>
              <w:left w:val="nil"/>
              <w:bottom w:val="nil"/>
              <w:right w:val="nil"/>
            </w:tcBorders>
            <w:shd w:val="clear" w:color="auto" w:fill="auto"/>
            <w:vAlign w:val="bottom"/>
          </w:tcPr>
          <w:p w14:paraId="2A7658B8" w14:textId="04967EA6" w:rsidR="007F39CE" w:rsidRPr="00B52775" w:rsidRDefault="007F39CE" w:rsidP="007F39CE">
            <w:pPr>
              <w:tabs>
                <w:tab w:val="right" w:pos="1202"/>
              </w:tabs>
              <w:spacing w:after="0" w:line="301" w:lineRule="exact"/>
              <w:jc w:val="right"/>
              <w:outlineLvl w:val="0"/>
              <w:rPr>
                <w:rFonts w:eastAsia="Times New Roman" w:cs="Arial"/>
                <w:b/>
                <w:iCs/>
                <w:sz w:val="18"/>
                <w:szCs w:val="18"/>
              </w:rPr>
            </w:pPr>
            <w:r w:rsidRPr="002B2DDF">
              <w:rPr>
                <w:rFonts w:cs="Arial"/>
                <w:b/>
                <w:bCs/>
                <w:sz w:val="18"/>
                <w:szCs w:val="18"/>
              </w:rPr>
              <w:t>443</w:t>
            </w:r>
          </w:p>
        </w:tc>
        <w:tc>
          <w:tcPr>
            <w:tcW w:w="615" w:type="pct"/>
            <w:tcBorders>
              <w:top w:val="nil"/>
              <w:left w:val="nil"/>
              <w:bottom w:val="nil"/>
              <w:right w:val="nil"/>
            </w:tcBorders>
            <w:shd w:val="clear" w:color="auto" w:fill="auto"/>
            <w:vAlign w:val="bottom"/>
          </w:tcPr>
          <w:p w14:paraId="19365600" w14:textId="1C855403" w:rsidR="007F39CE" w:rsidRPr="00B52775" w:rsidRDefault="007F39CE" w:rsidP="007F39CE">
            <w:pPr>
              <w:tabs>
                <w:tab w:val="right" w:pos="1202"/>
              </w:tabs>
              <w:spacing w:after="0" w:line="301" w:lineRule="exact"/>
              <w:jc w:val="right"/>
              <w:outlineLvl w:val="0"/>
              <w:rPr>
                <w:rFonts w:eastAsia="Times New Roman" w:cs="Arial"/>
                <w:b/>
                <w:iCs/>
                <w:sz w:val="18"/>
                <w:szCs w:val="18"/>
              </w:rPr>
            </w:pPr>
            <w:r w:rsidRPr="002B2DDF">
              <w:rPr>
                <w:rFonts w:cs="Arial"/>
                <w:b/>
                <w:bCs/>
                <w:sz w:val="18"/>
                <w:szCs w:val="18"/>
              </w:rPr>
              <w:t>39.097</w:t>
            </w:r>
          </w:p>
        </w:tc>
        <w:tc>
          <w:tcPr>
            <w:tcW w:w="607" w:type="pct"/>
            <w:tcBorders>
              <w:top w:val="nil"/>
              <w:left w:val="nil"/>
              <w:bottom w:val="nil"/>
              <w:right w:val="nil"/>
            </w:tcBorders>
            <w:shd w:val="clear" w:color="auto" w:fill="auto"/>
            <w:vAlign w:val="bottom"/>
          </w:tcPr>
          <w:p w14:paraId="548DF898" w14:textId="41F4C949" w:rsidR="007F39CE" w:rsidRPr="00B52775" w:rsidRDefault="007F39CE" w:rsidP="007F39CE">
            <w:pPr>
              <w:tabs>
                <w:tab w:val="right" w:pos="1202"/>
              </w:tabs>
              <w:spacing w:after="0" w:line="301" w:lineRule="exact"/>
              <w:jc w:val="right"/>
              <w:outlineLvl w:val="0"/>
              <w:rPr>
                <w:rFonts w:eastAsia="Times New Roman" w:cs="Arial"/>
                <w:b/>
                <w:iCs/>
                <w:sz w:val="18"/>
                <w:szCs w:val="18"/>
              </w:rPr>
            </w:pPr>
            <w:r w:rsidRPr="002B2DDF">
              <w:rPr>
                <w:rFonts w:cs="Arial"/>
                <w:b/>
                <w:bCs/>
                <w:sz w:val="18"/>
                <w:szCs w:val="18"/>
              </w:rPr>
              <w:t>39.097</w:t>
            </w:r>
          </w:p>
        </w:tc>
      </w:tr>
      <w:tr w:rsidR="0020593F" w:rsidRPr="00B52775" w14:paraId="7B82D150" w14:textId="77777777" w:rsidTr="00944CC6">
        <w:trPr>
          <w:trHeight w:hRule="exact" w:val="200"/>
        </w:trPr>
        <w:tc>
          <w:tcPr>
            <w:tcW w:w="1318" w:type="pct"/>
            <w:vAlign w:val="center"/>
          </w:tcPr>
          <w:p w14:paraId="7CB58346" w14:textId="77777777" w:rsidR="0020593F" w:rsidRPr="00B52775" w:rsidRDefault="0020593F" w:rsidP="00F1130C">
            <w:pPr>
              <w:tabs>
                <w:tab w:val="right" w:pos="1202"/>
              </w:tabs>
              <w:spacing w:after="0" w:line="240" w:lineRule="exact"/>
              <w:jc w:val="right"/>
              <w:outlineLvl w:val="0"/>
              <w:rPr>
                <w:rFonts w:eastAsia="Times New Roman" w:cs="Arial"/>
                <w:b/>
                <w:iCs/>
                <w:sz w:val="18"/>
                <w:szCs w:val="18"/>
              </w:rPr>
            </w:pPr>
          </w:p>
        </w:tc>
        <w:tc>
          <w:tcPr>
            <w:tcW w:w="615" w:type="pct"/>
            <w:vAlign w:val="center"/>
          </w:tcPr>
          <w:p w14:paraId="5A7A063F" w14:textId="77777777" w:rsidR="0020593F" w:rsidRPr="00B52775" w:rsidRDefault="0020593F" w:rsidP="00F1130C">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15" w:type="pct"/>
            <w:vAlign w:val="center"/>
          </w:tcPr>
          <w:p w14:paraId="164E756F" w14:textId="77777777" w:rsidR="0020593F" w:rsidRPr="00B52775" w:rsidRDefault="0020593F" w:rsidP="00F1130C">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w:t>
            </w:r>
          </w:p>
        </w:tc>
        <w:tc>
          <w:tcPr>
            <w:tcW w:w="615" w:type="pct"/>
            <w:vAlign w:val="center"/>
          </w:tcPr>
          <w:p w14:paraId="5AFBCEEE" w14:textId="77777777" w:rsidR="0020593F" w:rsidRPr="00B52775" w:rsidRDefault="0020593F" w:rsidP="00F1130C">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w:t>
            </w:r>
          </w:p>
        </w:tc>
        <w:tc>
          <w:tcPr>
            <w:tcW w:w="615" w:type="pct"/>
            <w:vAlign w:val="center"/>
          </w:tcPr>
          <w:p w14:paraId="093E75BA" w14:textId="77777777" w:rsidR="0020593F" w:rsidRPr="00B52775" w:rsidRDefault="0020593F" w:rsidP="00F1130C">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15" w:type="pct"/>
            <w:vAlign w:val="center"/>
          </w:tcPr>
          <w:p w14:paraId="3C371E50" w14:textId="77777777" w:rsidR="0020593F" w:rsidRPr="00B52775" w:rsidRDefault="0020593F" w:rsidP="00F1130C">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07" w:type="pct"/>
            <w:vAlign w:val="center"/>
          </w:tcPr>
          <w:p w14:paraId="2992B051" w14:textId="77777777" w:rsidR="0020593F" w:rsidRPr="00B52775" w:rsidRDefault="0020593F" w:rsidP="00F1130C">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r>
      <w:tr w:rsidR="00883A29" w:rsidRPr="00B52775" w14:paraId="4B3D99F5" w14:textId="77777777" w:rsidTr="007E0F45">
        <w:trPr>
          <w:trHeight w:val="68"/>
        </w:trPr>
        <w:tc>
          <w:tcPr>
            <w:tcW w:w="1318" w:type="pct"/>
            <w:vAlign w:val="center"/>
          </w:tcPr>
          <w:p w14:paraId="64A4EB9D" w14:textId="378AFE69" w:rsidR="00883A29" w:rsidRPr="00B52775" w:rsidRDefault="00883A29" w:rsidP="00883A29">
            <w:pPr>
              <w:tabs>
                <w:tab w:val="right" w:pos="1202"/>
              </w:tabs>
              <w:spacing w:after="0" w:line="240" w:lineRule="exact"/>
              <w:outlineLvl w:val="0"/>
              <w:rPr>
                <w:rFonts w:eastAsia="Times New Roman" w:cs="Arial"/>
                <w:b/>
                <w:iCs/>
                <w:sz w:val="18"/>
                <w:szCs w:val="18"/>
              </w:rPr>
            </w:pPr>
            <w:r w:rsidRPr="00B52775">
              <w:rPr>
                <w:rFonts w:eastAsia="Times New Roman" w:cs="Arial"/>
                <w:b/>
                <w:iCs/>
                <w:sz w:val="18"/>
                <w:szCs w:val="18"/>
              </w:rPr>
              <w:t>Stanje 1. siječnja 2017. godine</w:t>
            </w:r>
          </w:p>
        </w:tc>
        <w:tc>
          <w:tcPr>
            <w:tcW w:w="615" w:type="pct"/>
            <w:tcBorders>
              <w:top w:val="nil"/>
              <w:left w:val="nil"/>
              <w:bottom w:val="nil"/>
              <w:right w:val="nil"/>
            </w:tcBorders>
            <w:shd w:val="clear" w:color="auto" w:fill="auto"/>
            <w:vAlign w:val="center"/>
          </w:tcPr>
          <w:p w14:paraId="25EFC220" w14:textId="707574F1"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bCs/>
                <w:sz w:val="18"/>
                <w:szCs w:val="18"/>
              </w:rPr>
              <w:t>37.500</w:t>
            </w:r>
          </w:p>
        </w:tc>
        <w:tc>
          <w:tcPr>
            <w:tcW w:w="615" w:type="pct"/>
            <w:tcBorders>
              <w:top w:val="nil"/>
              <w:left w:val="nil"/>
              <w:bottom w:val="nil"/>
              <w:right w:val="nil"/>
            </w:tcBorders>
            <w:shd w:val="clear" w:color="auto" w:fill="auto"/>
            <w:vAlign w:val="center"/>
          </w:tcPr>
          <w:p w14:paraId="79F7022A" w14:textId="65143F6E"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bCs/>
                <w:sz w:val="18"/>
                <w:szCs w:val="18"/>
              </w:rPr>
              <w:t>(148)</w:t>
            </w:r>
          </w:p>
        </w:tc>
        <w:tc>
          <w:tcPr>
            <w:tcW w:w="615" w:type="pct"/>
            <w:tcBorders>
              <w:top w:val="nil"/>
              <w:left w:val="nil"/>
              <w:bottom w:val="nil"/>
              <w:right w:val="nil"/>
            </w:tcBorders>
            <w:shd w:val="clear" w:color="auto" w:fill="auto"/>
            <w:vAlign w:val="center"/>
          </w:tcPr>
          <w:p w14:paraId="141AFC79" w14:textId="54D23ECB"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bCs/>
                <w:sz w:val="18"/>
                <w:szCs w:val="18"/>
              </w:rPr>
              <w:t>2.188</w:t>
            </w:r>
          </w:p>
        </w:tc>
        <w:tc>
          <w:tcPr>
            <w:tcW w:w="615" w:type="pct"/>
            <w:tcBorders>
              <w:top w:val="nil"/>
              <w:left w:val="nil"/>
              <w:bottom w:val="nil"/>
              <w:right w:val="nil"/>
            </w:tcBorders>
            <w:shd w:val="clear" w:color="auto" w:fill="auto"/>
            <w:vAlign w:val="center"/>
          </w:tcPr>
          <w:p w14:paraId="6A546121" w14:textId="20BFD7CD"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bCs/>
                <w:sz w:val="18"/>
                <w:szCs w:val="18"/>
              </w:rPr>
              <w:t>1.315</w:t>
            </w:r>
          </w:p>
        </w:tc>
        <w:tc>
          <w:tcPr>
            <w:tcW w:w="615" w:type="pct"/>
            <w:tcBorders>
              <w:top w:val="nil"/>
              <w:left w:val="nil"/>
              <w:bottom w:val="nil"/>
              <w:right w:val="nil"/>
            </w:tcBorders>
            <w:shd w:val="clear" w:color="auto" w:fill="auto"/>
            <w:vAlign w:val="center"/>
          </w:tcPr>
          <w:p w14:paraId="421F3183" w14:textId="7AC69615"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bCs/>
                <w:sz w:val="18"/>
                <w:szCs w:val="18"/>
              </w:rPr>
              <w:t>40.855</w:t>
            </w:r>
          </w:p>
        </w:tc>
        <w:tc>
          <w:tcPr>
            <w:tcW w:w="607" w:type="pct"/>
            <w:tcBorders>
              <w:top w:val="nil"/>
              <w:left w:val="nil"/>
              <w:bottom w:val="nil"/>
              <w:right w:val="nil"/>
            </w:tcBorders>
            <w:shd w:val="clear" w:color="auto" w:fill="auto"/>
            <w:vAlign w:val="center"/>
          </w:tcPr>
          <w:p w14:paraId="41BB5877" w14:textId="2F788FD4" w:rsidR="00883A29" w:rsidRPr="00B52775" w:rsidRDefault="00883A29" w:rsidP="00883A29">
            <w:pPr>
              <w:tabs>
                <w:tab w:val="right" w:pos="1202"/>
              </w:tabs>
              <w:spacing w:after="0" w:line="301" w:lineRule="exact"/>
              <w:jc w:val="right"/>
              <w:outlineLvl w:val="0"/>
              <w:rPr>
                <w:rFonts w:eastAsia="Times New Roman" w:cs="Arial"/>
                <w:b/>
                <w:iCs/>
                <w:sz w:val="18"/>
                <w:szCs w:val="18"/>
              </w:rPr>
            </w:pPr>
            <w:r w:rsidRPr="00B52775">
              <w:rPr>
                <w:rFonts w:cs="Arial"/>
                <w:b/>
                <w:bCs/>
                <w:sz w:val="18"/>
                <w:szCs w:val="18"/>
              </w:rPr>
              <w:t>40.855</w:t>
            </w:r>
          </w:p>
        </w:tc>
      </w:tr>
      <w:tr w:rsidR="007E5F1B" w:rsidRPr="00B52775" w14:paraId="4ED239E3" w14:textId="77777777" w:rsidTr="007E0F45">
        <w:trPr>
          <w:trHeight w:val="68"/>
        </w:trPr>
        <w:tc>
          <w:tcPr>
            <w:tcW w:w="1318" w:type="pct"/>
          </w:tcPr>
          <w:p w14:paraId="154825D9" w14:textId="77777777" w:rsidR="007E5F1B" w:rsidRPr="00B52775" w:rsidRDefault="007E5F1B" w:rsidP="007E5F1B">
            <w:pPr>
              <w:tabs>
                <w:tab w:val="right" w:pos="1202"/>
              </w:tabs>
              <w:spacing w:after="0" w:line="140" w:lineRule="exact"/>
              <w:jc w:val="right"/>
              <w:outlineLvl w:val="0"/>
              <w:rPr>
                <w:rFonts w:eastAsia="Times New Roman" w:cs="Arial"/>
                <w:b/>
                <w:iCs/>
                <w:sz w:val="18"/>
                <w:szCs w:val="18"/>
              </w:rPr>
            </w:pPr>
          </w:p>
        </w:tc>
        <w:tc>
          <w:tcPr>
            <w:tcW w:w="615" w:type="pct"/>
          </w:tcPr>
          <w:p w14:paraId="0BE0A125" w14:textId="435EC4A5" w:rsidR="007E5F1B" w:rsidRPr="00B52775" w:rsidRDefault="007E5F1B" w:rsidP="007E5F1B">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15" w:type="pct"/>
          </w:tcPr>
          <w:p w14:paraId="4392BB78" w14:textId="25AAB92C" w:rsidR="007E5F1B" w:rsidRPr="00B52775" w:rsidRDefault="007E5F1B" w:rsidP="007E5F1B">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w:t>
            </w:r>
          </w:p>
        </w:tc>
        <w:tc>
          <w:tcPr>
            <w:tcW w:w="615" w:type="pct"/>
          </w:tcPr>
          <w:p w14:paraId="6F2EB8D1" w14:textId="218E8E8C" w:rsidR="007E5F1B" w:rsidRPr="00B52775" w:rsidRDefault="007E5F1B" w:rsidP="007E5F1B">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w:t>
            </w:r>
          </w:p>
        </w:tc>
        <w:tc>
          <w:tcPr>
            <w:tcW w:w="615" w:type="pct"/>
          </w:tcPr>
          <w:p w14:paraId="6E751C0A" w14:textId="74FF6839" w:rsidR="007E5F1B" w:rsidRPr="00B52775" w:rsidRDefault="007E5F1B" w:rsidP="007E5F1B">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15" w:type="pct"/>
          </w:tcPr>
          <w:p w14:paraId="1DC19E0D" w14:textId="054E4AF9" w:rsidR="007E5F1B" w:rsidRPr="00B52775" w:rsidRDefault="007E5F1B" w:rsidP="007E5F1B">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07" w:type="pct"/>
          </w:tcPr>
          <w:p w14:paraId="27D91A49" w14:textId="279ED41A" w:rsidR="007E5F1B" w:rsidRPr="00B52775" w:rsidRDefault="007E5F1B" w:rsidP="007E5F1B">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r>
      <w:tr w:rsidR="0020593F" w:rsidRPr="00B52775" w14:paraId="5F32BB07" w14:textId="77777777" w:rsidTr="00944CC6">
        <w:trPr>
          <w:trHeight w:hRule="exact" w:val="266"/>
        </w:trPr>
        <w:tc>
          <w:tcPr>
            <w:tcW w:w="1318" w:type="pct"/>
          </w:tcPr>
          <w:p w14:paraId="72038B5C" w14:textId="77777777" w:rsidR="0020593F" w:rsidRPr="00B52775" w:rsidRDefault="0020593F" w:rsidP="0020593F">
            <w:pPr>
              <w:tabs>
                <w:tab w:val="right" w:pos="1202"/>
              </w:tabs>
              <w:spacing w:after="0" w:line="140" w:lineRule="exact"/>
              <w:jc w:val="right"/>
              <w:outlineLvl w:val="0"/>
              <w:rPr>
                <w:rFonts w:eastAsia="Times New Roman" w:cs="Arial"/>
                <w:b/>
                <w:iCs/>
                <w:sz w:val="18"/>
                <w:szCs w:val="18"/>
              </w:rPr>
            </w:pPr>
          </w:p>
        </w:tc>
        <w:tc>
          <w:tcPr>
            <w:tcW w:w="615" w:type="pct"/>
          </w:tcPr>
          <w:p w14:paraId="0D0636B8" w14:textId="6F46535E" w:rsidR="0020593F" w:rsidRPr="00B52775" w:rsidRDefault="0020593F" w:rsidP="00F1130C">
            <w:pPr>
              <w:keepNext/>
              <w:keepLines/>
              <w:tabs>
                <w:tab w:val="decimal" w:pos="1015"/>
              </w:tabs>
              <w:spacing w:after="0" w:line="140" w:lineRule="exact"/>
              <w:jc w:val="right"/>
              <w:rPr>
                <w:rFonts w:eastAsia="Times New Roman" w:cs="Arial"/>
                <w:b/>
                <w:position w:val="4"/>
                <w:sz w:val="18"/>
                <w:szCs w:val="18"/>
                <w:u w:val="thick"/>
              </w:rPr>
            </w:pPr>
          </w:p>
        </w:tc>
        <w:tc>
          <w:tcPr>
            <w:tcW w:w="615" w:type="pct"/>
          </w:tcPr>
          <w:p w14:paraId="426DF2B5" w14:textId="43715E95" w:rsidR="0020593F" w:rsidRPr="00B52775" w:rsidRDefault="0020593F" w:rsidP="00F1130C">
            <w:pPr>
              <w:keepNext/>
              <w:keepLines/>
              <w:tabs>
                <w:tab w:val="decimal" w:pos="1015"/>
              </w:tabs>
              <w:spacing w:after="0" w:line="140" w:lineRule="exact"/>
              <w:jc w:val="right"/>
              <w:rPr>
                <w:rFonts w:eastAsia="Times New Roman" w:cs="Arial"/>
                <w:b/>
                <w:position w:val="4"/>
                <w:sz w:val="18"/>
                <w:szCs w:val="18"/>
                <w:u w:val="thick"/>
              </w:rPr>
            </w:pPr>
          </w:p>
        </w:tc>
        <w:tc>
          <w:tcPr>
            <w:tcW w:w="615" w:type="pct"/>
          </w:tcPr>
          <w:p w14:paraId="0F04D6A2" w14:textId="702B2D2F" w:rsidR="0020593F" w:rsidRPr="00B52775" w:rsidRDefault="0020593F" w:rsidP="00F1130C">
            <w:pPr>
              <w:keepNext/>
              <w:keepLines/>
              <w:tabs>
                <w:tab w:val="decimal" w:pos="1015"/>
              </w:tabs>
              <w:spacing w:after="0" w:line="140" w:lineRule="exact"/>
              <w:jc w:val="right"/>
              <w:rPr>
                <w:rFonts w:eastAsia="Times New Roman" w:cs="Arial"/>
                <w:b/>
                <w:position w:val="4"/>
                <w:sz w:val="18"/>
                <w:szCs w:val="18"/>
                <w:u w:val="thick"/>
              </w:rPr>
            </w:pPr>
          </w:p>
        </w:tc>
        <w:tc>
          <w:tcPr>
            <w:tcW w:w="615" w:type="pct"/>
          </w:tcPr>
          <w:p w14:paraId="47AAC644" w14:textId="489AA7FB" w:rsidR="0020593F" w:rsidRPr="00B52775" w:rsidRDefault="0020593F" w:rsidP="00F1130C">
            <w:pPr>
              <w:keepNext/>
              <w:keepLines/>
              <w:tabs>
                <w:tab w:val="decimal" w:pos="1015"/>
              </w:tabs>
              <w:spacing w:after="0" w:line="140" w:lineRule="exact"/>
              <w:jc w:val="right"/>
              <w:rPr>
                <w:rFonts w:eastAsia="Times New Roman" w:cs="Arial"/>
                <w:b/>
                <w:position w:val="4"/>
                <w:sz w:val="18"/>
                <w:szCs w:val="18"/>
                <w:u w:val="thick"/>
              </w:rPr>
            </w:pPr>
          </w:p>
        </w:tc>
        <w:tc>
          <w:tcPr>
            <w:tcW w:w="615" w:type="pct"/>
          </w:tcPr>
          <w:p w14:paraId="7D84E821" w14:textId="4D942D4C" w:rsidR="0020593F" w:rsidRPr="00B52775" w:rsidRDefault="0020593F" w:rsidP="00F1130C">
            <w:pPr>
              <w:keepNext/>
              <w:keepLines/>
              <w:tabs>
                <w:tab w:val="decimal" w:pos="1015"/>
              </w:tabs>
              <w:spacing w:after="0" w:line="140" w:lineRule="exact"/>
              <w:jc w:val="right"/>
              <w:rPr>
                <w:rFonts w:eastAsia="Times New Roman" w:cs="Arial"/>
                <w:b/>
                <w:position w:val="4"/>
                <w:sz w:val="18"/>
                <w:szCs w:val="18"/>
                <w:u w:val="thick"/>
              </w:rPr>
            </w:pPr>
          </w:p>
        </w:tc>
        <w:tc>
          <w:tcPr>
            <w:tcW w:w="607" w:type="pct"/>
          </w:tcPr>
          <w:p w14:paraId="6ECA3A7D" w14:textId="1495B02B" w:rsidR="0020593F" w:rsidRPr="00B52775" w:rsidRDefault="0020593F" w:rsidP="00F1130C">
            <w:pPr>
              <w:keepNext/>
              <w:keepLines/>
              <w:tabs>
                <w:tab w:val="decimal" w:pos="1015"/>
              </w:tabs>
              <w:spacing w:after="0" w:line="140" w:lineRule="exact"/>
              <w:jc w:val="right"/>
              <w:rPr>
                <w:rFonts w:eastAsia="Times New Roman" w:cs="Arial"/>
                <w:b/>
                <w:position w:val="4"/>
                <w:sz w:val="18"/>
                <w:szCs w:val="18"/>
                <w:u w:val="thick"/>
              </w:rPr>
            </w:pPr>
          </w:p>
        </w:tc>
      </w:tr>
      <w:tr w:rsidR="00275F8F" w:rsidRPr="00B52775" w14:paraId="5A209B39" w14:textId="77777777" w:rsidTr="005F1FBF">
        <w:trPr>
          <w:trHeight w:val="68"/>
        </w:trPr>
        <w:tc>
          <w:tcPr>
            <w:tcW w:w="1318" w:type="pct"/>
            <w:vAlign w:val="bottom"/>
          </w:tcPr>
          <w:p w14:paraId="383DF1DB" w14:textId="77777777" w:rsidR="00275F8F" w:rsidRPr="00B52775" w:rsidRDefault="00275F8F" w:rsidP="00275F8F">
            <w:pPr>
              <w:tabs>
                <w:tab w:val="right" w:pos="1202"/>
              </w:tabs>
              <w:spacing w:after="0" w:line="240" w:lineRule="exact"/>
              <w:outlineLvl w:val="0"/>
              <w:rPr>
                <w:rFonts w:eastAsia="Times New Roman" w:cs="Arial"/>
                <w:iCs/>
                <w:sz w:val="18"/>
                <w:szCs w:val="18"/>
              </w:rPr>
            </w:pPr>
            <w:r w:rsidRPr="00B52775">
              <w:rPr>
                <w:rFonts w:eastAsia="Times New Roman" w:cs="Arial"/>
                <w:iCs/>
                <w:sz w:val="18"/>
                <w:szCs w:val="18"/>
              </w:rPr>
              <w:t>Dobit tekuće godine</w:t>
            </w:r>
          </w:p>
        </w:tc>
        <w:tc>
          <w:tcPr>
            <w:tcW w:w="615" w:type="pct"/>
          </w:tcPr>
          <w:p w14:paraId="3B743121" w14:textId="66DAD952" w:rsidR="00275F8F" w:rsidRPr="00B52775" w:rsidRDefault="00275F8F" w:rsidP="00275F8F">
            <w:pPr>
              <w:tabs>
                <w:tab w:val="right" w:pos="1202"/>
              </w:tabs>
              <w:spacing w:after="0" w:line="301" w:lineRule="exact"/>
              <w:jc w:val="right"/>
              <w:outlineLvl w:val="0"/>
              <w:rPr>
                <w:rFonts w:eastAsia="Times New Roman" w:cs="Arial"/>
                <w:iCs/>
                <w:sz w:val="18"/>
                <w:szCs w:val="18"/>
              </w:rPr>
            </w:pPr>
            <w:r w:rsidRPr="00D77059">
              <w:rPr>
                <w:rFonts w:ascii="Calibri" w:eastAsia="Times New Roman" w:hAnsi="Calibri" w:cs="Arial"/>
                <w:iCs/>
                <w:sz w:val="18"/>
                <w:szCs w:val="18"/>
              </w:rPr>
              <w:t>-</w:t>
            </w:r>
          </w:p>
        </w:tc>
        <w:tc>
          <w:tcPr>
            <w:tcW w:w="615" w:type="pct"/>
          </w:tcPr>
          <w:p w14:paraId="738D9F45" w14:textId="74D01CE4" w:rsidR="00275F8F" w:rsidRPr="00B52775" w:rsidRDefault="00275F8F" w:rsidP="00275F8F">
            <w:pPr>
              <w:tabs>
                <w:tab w:val="right" w:pos="1202"/>
              </w:tabs>
              <w:spacing w:after="0" w:line="301" w:lineRule="exact"/>
              <w:jc w:val="right"/>
              <w:outlineLvl w:val="0"/>
              <w:rPr>
                <w:rFonts w:eastAsia="Times New Roman" w:cs="Arial"/>
                <w:iCs/>
                <w:sz w:val="18"/>
                <w:szCs w:val="18"/>
              </w:rPr>
            </w:pPr>
            <w:r w:rsidRPr="00D77059">
              <w:rPr>
                <w:rFonts w:ascii="Calibri" w:eastAsia="Times New Roman" w:hAnsi="Calibri" w:cs="Arial"/>
                <w:iCs/>
                <w:sz w:val="18"/>
                <w:szCs w:val="18"/>
              </w:rPr>
              <w:t>-</w:t>
            </w:r>
          </w:p>
        </w:tc>
        <w:tc>
          <w:tcPr>
            <w:tcW w:w="615" w:type="pct"/>
          </w:tcPr>
          <w:p w14:paraId="1B240391" w14:textId="6EF14B90" w:rsidR="00275F8F" w:rsidRPr="00B52775" w:rsidRDefault="00275F8F" w:rsidP="00275F8F">
            <w:pPr>
              <w:tabs>
                <w:tab w:val="right" w:pos="1202"/>
              </w:tabs>
              <w:spacing w:after="0" w:line="301" w:lineRule="exact"/>
              <w:jc w:val="right"/>
              <w:outlineLvl w:val="0"/>
              <w:rPr>
                <w:rFonts w:eastAsia="Times New Roman" w:cs="Arial"/>
                <w:iCs/>
                <w:sz w:val="18"/>
                <w:szCs w:val="18"/>
              </w:rPr>
            </w:pPr>
            <w:r w:rsidRPr="00D77059">
              <w:rPr>
                <w:rFonts w:ascii="Calibri" w:eastAsia="Times New Roman" w:hAnsi="Calibri" w:cs="Arial"/>
                <w:iCs/>
                <w:sz w:val="18"/>
                <w:szCs w:val="18"/>
              </w:rPr>
              <w:t>-</w:t>
            </w:r>
          </w:p>
        </w:tc>
        <w:tc>
          <w:tcPr>
            <w:tcW w:w="615" w:type="pct"/>
          </w:tcPr>
          <w:p w14:paraId="4FA9A1EC" w14:textId="39ECD384" w:rsidR="00275F8F" w:rsidRPr="00B52775" w:rsidRDefault="00275F8F" w:rsidP="00275F8F">
            <w:pPr>
              <w:tabs>
                <w:tab w:val="right" w:pos="1202"/>
              </w:tabs>
              <w:spacing w:after="0" w:line="301" w:lineRule="exact"/>
              <w:jc w:val="right"/>
              <w:outlineLvl w:val="0"/>
              <w:rPr>
                <w:rFonts w:eastAsia="Times New Roman" w:cs="Arial"/>
                <w:iCs/>
                <w:sz w:val="18"/>
                <w:szCs w:val="18"/>
              </w:rPr>
            </w:pPr>
            <w:r>
              <w:rPr>
                <w:rFonts w:ascii="Calibri" w:eastAsia="Times New Roman" w:hAnsi="Calibri" w:cs="Arial"/>
                <w:iCs/>
                <w:sz w:val="18"/>
                <w:szCs w:val="18"/>
              </w:rPr>
              <w:t>1.394</w:t>
            </w:r>
          </w:p>
        </w:tc>
        <w:tc>
          <w:tcPr>
            <w:tcW w:w="615" w:type="pct"/>
          </w:tcPr>
          <w:p w14:paraId="39B5C92E" w14:textId="4D7B40B3" w:rsidR="00275F8F" w:rsidRPr="00B52775" w:rsidRDefault="00275F8F" w:rsidP="00275F8F">
            <w:pPr>
              <w:tabs>
                <w:tab w:val="right" w:pos="1202"/>
              </w:tabs>
              <w:spacing w:after="0" w:line="301" w:lineRule="exact"/>
              <w:jc w:val="right"/>
              <w:outlineLvl w:val="0"/>
              <w:rPr>
                <w:rFonts w:eastAsia="Times New Roman" w:cs="Arial"/>
                <w:b/>
                <w:iCs/>
                <w:sz w:val="18"/>
                <w:szCs w:val="18"/>
              </w:rPr>
            </w:pPr>
            <w:r>
              <w:rPr>
                <w:rFonts w:ascii="Calibri" w:eastAsia="Times New Roman" w:hAnsi="Calibri" w:cs="Arial"/>
                <w:b/>
                <w:iCs/>
                <w:sz w:val="18"/>
                <w:szCs w:val="18"/>
              </w:rPr>
              <w:t>1.394</w:t>
            </w:r>
          </w:p>
        </w:tc>
        <w:tc>
          <w:tcPr>
            <w:tcW w:w="607" w:type="pct"/>
          </w:tcPr>
          <w:p w14:paraId="0DF3B983" w14:textId="0C6DF363" w:rsidR="00275F8F" w:rsidRPr="00B52775" w:rsidRDefault="00275F8F" w:rsidP="00275F8F">
            <w:pPr>
              <w:tabs>
                <w:tab w:val="right" w:pos="1202"/>
              </w:tabs>
              <w:spacing w:after="0" w:line="301" w:lineRule="exact"/>
              <w:jc w:val="right"/>
              <w:outlineLvl w:val="0"/>
              <w:rPr>
                <w:rFonts w:eastAsia="Times New Roman" w:cs="Arial"/>
                <w:b/>
                <w:iCs/>
                <w:sz w:val="18"/>
                <w:szCs w:val="18"/>
              </w:rPr>
            </w:pPr>
            <w:r>
              <w:rPr>
                <w:rFonts w:ascii="Calibri" w:eastAsia="Times New Roman" w:hAnsi="Calibri" w:cs="Arial"/>
                <w:b/>
                <w:iCs/>
                <w:sz w:val="18"/>
                <w:szCs w:val="18"/>
              </w:rPr>
              <w:t>1.394</w:t>
            </w:r>
          </w:p>
        </w:tc>
      </w:tr>
      <w:tr w:rsidR="00275F8F" w:rsidRPr="00B52775" w14:paraId="6B0280D1" w14:textId="77777777" w:rsidTr="005F1FBF">
        <w:trPr>
          <w:trHeight w:val="68"/>
        </w:trPr>
        <w:tc>
          <w:tcPr>
            <w:tcW w:w="1318" w:type="pct"/>
            <w:vAlign w:val="bottom"/>
          </w:tcPr>
          <w:p w14:paraId="2FEFC23C" w14:textId="77777777" w:rsidR="00275F8F" w:rsidRPr="00B52775" w:rsidRDefault="00275F8F" w:rsidP="00275F8F">
            <w:pPr>
              <w:tabs>
                <w:tab w:val="right" w:pos="1202"/>
              </w:tabs>
              <w:spacing w:after="0" w:line="240" w:lineRule="exact"/>
              <w:outlineLvl w:val="0"/>
              <w:rPr>
                <w:rFonts w:eastAsia="Times New Roman" w:cs="Arial"/>
                <w:iCs/>
                <w:sz w:val="18"/>
                <w:szCs w:val="18"/>
              </w:rPr>
            </w:pPr>
            <w:r w:rsidRPr="00B52775">
              <w:rPr>
                <w:rFonts w:eastAsia="Times New Roman" w:cs="Arial"/>
                <w:iCs/>
                <w:sz w:val="18"/>
                <w:szCs w:val="18"/>
              </w:rPr>
              <w:t>Ostala sveobuhvatna dobit</w:t>
            </w:r>
          </w:p>
        </w:tc>
        <w:tc>
          <w:tcPr>
            <w:tcW w:w="615" w:type="pct"/>
          </w:tcPr>
          <w:p w14:paraId="1BFB3A30" w14:textId="711EE711" w:rsidR="00275F8F" w:rsidRPr="00B52775" w:rsidRDefault="00275F8F" w:rsidP="00275F8F">
            <w:pPr>
              <w:tabs>
                <w:tab w:val="right" w:pos="1202"/>
              </w:tabs>
              <w:spacing w:after="0" w:line="301" w:lineRule="exact"/>
              <w:jc w:val="right"/>
              <w:outlineLvl w:val="0"/>
              <w:rPr>
                <w:rFonts w:eastAsia="Times New Roman" w:cs="Arial"/>
                <w:iCs/>
                <w:sz w:val="18"/>
                <w:szCs w:val="18"/>
              </w:rPr>
            </w:pPr>
            <w:r w:rsidRPr="00D77059">
              <w:rPr>
                <w:rFonts w:ascii="Calibri" w:eastAsia="Times New Roman" w:hAnsi="Calibri" w:cs="Arial"/>
                <w:iCs/>
                <w:sz w:val="18"/>
                <w:szCs w:val="18"/>
              </w:rPr>
              <w:t>-</w:t>
            </w:r>
          </w:p>
        </w:tc>
        <w:tc>
          <w:tcPr>
            <w:tcW w:w="615" w:type="pct"/>
          </w:tcPr>
          <w:p w14:paraId="0FF3F45E" w14:textId="499369AA" w:rsidR="00275F8F" w:rsidRPr="00B52775" w:rsidRDefault="00275F8F" w:rsidP="00275F8F">
            <w:pPr>
              <w:tabs>
                <w:tab w:val="right" w:pos="1202"/>
              </w:tabs>
              <w:spacing w:after="0" w:line="301" w:lineRule="exact"/>
              <w:jc w:val="right"/>
              <w:outlineLvl w:val="0"/>
              <w:rPr>
                <w:rFonts w:eastAsia="Times New Roman" w:cs="Arial"/>
                <w:iCs/>
                <w:sz w:val="18"/>
                <w:szCs w:val="18"/>
              </w:rPr>
            </w:pPr>
            <w:r w:rsidRPr="00D77059">
              <w:rPr>
                <w:rFonts w:ascii="Calibri" w:eastAsia="Times New Roman" w:hAnsi="Calibri" w:cs="Arial"/>
                <w:iCs/>
                <w:sz w:val="18"/>
                <w:szCs w:val="18"/>
              </w:rPr>
              <w:t>-</w:t>
            </w:r>
          </w:p>
        </w:tc>
        <w:tc>
          <w:tcPr>
            <w:tcW w:w="615" w:type="pct"/>
          </w:tcPr>
          <w:p w14:paraId="1CF28514" w14:textId="37498D94" w:rsidR="00275F8F" w:rsidRPr="00B52775" w:rsidRDefault="00275F8F" w:rsidP="00275F8F">
            <w:pPr>
              <w:tabs>
                <w:tab w:val="right" w:pos="1202"/>
              </w:tabs>
              <w:spacing w:after="0" w:line="301" w:lineRule="exact"/>
              <w:jc w:val="right"/>
              <w:outlineLvl w:val="0"/>
              <w:rPr>
                <w:rFonts w:eastAsia="Times New Roman" w:cs="Arial"/>
                <w:iCs/>
                <w:sz w:val="18"/>
                <w:szCs w:val="18"/>
              </w:rPr>
            </w:pPr>
            <w:r>
              <w:rPr>
                <w:rFonts w:ascii="Calibri" w:eastAsia="Times New Roman" w:hAnsi="Calibri" w:cs="Arial"/>
                <w:iCs/>
                <w:sz w:val="18"/>
                <w:szCs w:val="18"/>
              </w:rPr>
              <w:t>116</w:t>
            </w:r>
          </w:p>
        </w:tc>
        <w:tc>
          <w:tcPr>
            <w:tcW w:w="615" w:type="pct"/>
          </w:tcPr>
          <w:p w14:paraId="1EE81C52" w14:textId="1BC9330C" w:rsidR="00275F8F" w:rsidRPr="00B52775" w:rsidRDefault="00275F8F" w:rsidP="00275F8F">
            <w:pPr>
              <w:tabs>
                <w:tab w:val="right" w:pos="1202"/>
              </w:tabs>
              <w:spacing w:after="0" w:line="301" w:lineRule="exact"/>
              <w:jc w:val="right"/>
              <w:outlineLvl w:val="0"/>
              <w:rPr>
                <w:rFonts w:eastAsia="Times New Roman" w:cs="Arial"/>
                <w:iCs/>
                <w:sz w:val="18"/>
                <w:szCs w:val="18"/>
              </w:rPr>
            </w:pPr>
            <w:r w:rsidRPr="00D77059">
              <w:rPr>
                <w:rFonts w:ascii="Calibri" w:eastAsia="Times New Roman" w:hAnsi="Calibri" w:cs="Arial"/>
                <w:iCs/>
                <w:sz w:val="18"/>
                <w:szCs w:val="18"/>
              </w:rPr>
              <w:t>-</w:t>
            </w:r>
          </w:p>
        </w:tc>
        <w:tc>
          <w:tcPr>
            <w:tcW w:w="615" w:type="pct"/>
          </w:tcPr>
          <w:p w14:paraId="49933747" w14:textId="10B80364" w:rsidR="00275F8F" w:rsidRPr="00B52775" w:rsidRDefault="00275F8F" w:rsidP="00275F8F">
            <w:pPr>
              <w:tabs>
                <w:tab w:val="right" w:pos="1202"/>
              </w:tabs>
              <w:spacing w:after="0" w:line="301" w:lineRule="exact"/>
              <w:jc w:val="right"/>
              <w:outlineLvl w:val="0"/>
              <w:rPr>
                <w:rFonts w:eastAsia="Times New Roman" w:cs="Arial"/>
                <w:b/>
                <w:iCs/>
                <w:sz w:val="18"/>
                <w:szCs w:val="18"/>
              </w:rPr>
            </w:pPr>
            <w:r>
              <w:rPr>
                <w:rFonts w:ascii="Calibri" w:eastAsia="Times New Roman" w:hAnsi="Calibri" w:cs="Arial"/>
                <w:b/>
                <w:iCs/>
                <w:sz w:val="18"/>
                <w:szCs w:val="18"/>
              </w:rPr>
              <w:t>116</w:t>
            </w:r>
          </w:p>
        </w:tc>
        <w:tc>
          <w:tcPr>
            <w:tcW w:w="607" w:type="pct"/>
          </w:tcPr>
          <w:p w14:paraId="2FBC6F31" w14:textId="4A60E1ED" w:rsidR="00275F8F" w:rsidRPr="00B52775" w:rsidRDefault="00275F8F" w:rsidP="00275F8F">
            <w:pPr>
              <w:tabs>
                <w:tab w:val="right" w:pos="1202"/>
              </w:tabs>
              <w:spacing w:after="0" w:line="301" w:lineRule="exact"/>
              <w:jc w:val="right"/>
              <w:outlineLvl w:val="0"/>
              <w:rPr>
                <w:rFonts w:eastAsia="Times New Roman" w:cs="Arial"/>
                <w:b/>
                <w:iCs/>
                <w:sz w:val="18"/>
                <w:szCs w:val="18"/>
              </w:rPr>
            </w:pPr>
            <w:r>
              <w:rPr>
                <w:rFonts w:ascii="Calibri" w:eastAsia="Times New Roman" w:hAnsi="Calibri" w:cs="Arial"/>
                <w:b/>
                <w:iCs/>
                <w:sz w:val="18"/>
                <w:szCs w:val="18"/>
              </w:rPr>
              <w:t>116</w:t>
            </w:r>
          </w:p>
        </w:tc>
      </w:tr>
      <w:tr w:rsidR="00275F8F" w:rsidRPr="00B52775" w14:paraId="74218807" w14:textId="77777777" w:rsidTr="00944CC6">
        <w:trPr>
          <w:trHeight w:val="68"/>
        </w:trPr>
        <w:tc>
          <w:tcPr>
            <w:tcW w:w="1318" w:type="pct"/>
          </w:tcPr>
          <w:p w14:paraId="5A14BFD8" w14:textId="77777777" w:rsidR="00275F8F" w:rsidRPr="00B52775" w:rsidRDefault="00275F8F" w:rsidP="00275F8F">
            <w:pPr>
              <w:tabs>
                <w:tab w:val="right" w:pos="1202"/>
              </w:tabs>
              <w:spacing w:after="0" w:line="140" w:lineRule="exact"/>
              <w:jc w:val="right"/>
              <w:outlineLvl w:val="0"/>
              <w:rPr>
                <w:rFonts w:eastAsia="Times New Roman" w:cs="Arial"/>
                <w:iCs/>
                <w:sz w:val="18"/>
                <w:szCs w:val="18"/>
              </w:rPr>
            </w:pPr>
          </w:p>
        </w:tc>
        <w:tc>
          <w:tcPr>
            <w:tcW w:w="615" w:type="pct"/>
            <w:vAlign w:val="bottom"/>
          </w:tcPr>
          <w:p w14:paraId="6910AD4A" w14:textId="01C82488" w:rsidR="00275F8F" w:rsidRPr="00B52775" w:rsidRDefault="00275F8F" w:rsidP="00275F8F">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15" w:type="pct"/>
            <w:vAlign w:val="bottom"/>
          </w:tcPr>
          <w:p w14:paraId="3FD4D855" w14:textId="762E2A4D" w:rsidR="00275F8F" w:rsidRPr="00B52775" w:rsidRDefault="00275F8F" w:rsidP="00275F8F">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15" w:type="pct"/>
            <w:vAlign w:val="bottom"/>
          </w:tcPr>
          <w:p w14:paraId="637C16A9" w14:textId="6419D551" w:rsidR="00275F8F" w:rsidRPr="00B52775" w:rsidRDefault="00275F8F" w:rsidP="00275F8F">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15" w:type="pct"/>
            <w:vAlign w:val="bottom"/>
          </w:tcPr>
          <w:p w14:paraId="2A7E2CCF" w14:textId="4E19733F" w:rsidR="00275F8F" w:rsidRPr="00B52775" w:rsidRDefault="00275F8F" w:rsidP="00275F8F">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15" w:type="pct"/>
            <w:vAlign w:val="bottom"/>
          </w:tcPr>
          <w:p w14:paraId="4589CBC1" w14:textId="4167042A" w:rsidR="00275F8F" w:rsidRPr="00B52775" w:rsidRDefault="00275F8F" w:rsidP="00275F8F">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07" w:type="pct"/>
            <w:vAlign w:val="bottom"/>
          </w:tcPr>
          <w:p w14:paraId="525A7AB0" w14:textId="281795A7" w:rsidR="00275F8F" w:rsidRPr="00B52775" w:rsidRDefault="00275F8F" w:rsidP="00275F8F">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r>
      <w:tr w:rsidR="00275F8F" w:rsidRPr="00B52775" w14:paraId="415F616C" w14:textId="77777777" w:rsidTr="005F1FBF">
        <w:trPr>
          <w:trHeight w:val="68"/>
        </w:trPr>
        <w:tc>
          <w:tcPr>
            <w:tcW w:w="1318" w:type="pct"/>
            <w:vAlign w:val="bottom"/>
          </w:tcPr>
          <w:p w14:paraId="456C696E" w14:textId="77777777" w:rsidR="00275F8F" w:rsidRPr="00B52775" w:rsidRDefault="00275F8F" w:rsidP="00275F8F">
            <w:pPr>
              <w:tabs>
                <w:tab w:val="right" w:pos="1202"/>
              </w:tabs>
              <w:spacing w:after="0" w:line="240" w:lineRule="exact"/>
              <w:outlineLvl w:val="0"/>
              <w:rPr>
                <w:rFonts w:eastAsia="Times New Roman" w:cs="Arial"/>
                <w:iCs/>
                <w:sz w:val="18"/>
                <w:szCs w:val="18"/>
              </w:rPr>
            </w:pPr>
            <w:r w:rsidRPr="00B52775">
              <w:rPr>
                <w:rFonts w:eastAsia="Times New Roman" w:cs="Arial"/>
                <w:iCs/>
                <w:sz w:val="18"/>
                <w:szCs w:val="18"/>
              </w:rPr>
              <w:t>Ukupna sveobuhvatna dobit</w:t>
            </w:r>
          </w:p>
        </w:tc>
        <w:tc>
          <w:tcPr>
            <w:tcW w:w="615" w:type="pct"/>
          </w:tcPr>
          <w:p w14:paraId="6B158896" w14:textId="2BD4EBB4" w:rsidR="00275F8F" w:rsidRPr="00B52775" w:rsidRDefault="00275F8F" w:rsidP="00275F8F">
            <w:pPr>
              <w:tabs>
                <w:tab w:val="right" w:pos="1202"/>
              </w:tabs>
              <w:spacing w:after="0" w:line="301" w:lineRule="exact"/>
              <w:jc w:val="right"/>
              <w:outlineLvl w:val="0"/>
              <w:rPr>
                <w:rFonts w:eastAsia="Times New Roman" w:cs="Arial"/>
                <w:iCs/>
                <w:sz w:val="18"/>
                <w:szCs w:val="18"/>
              </w:rPr>
            </w:pPr>
            <w:r w:rsidRPr="00D77059">
              <w:rPr>
                <w:rFonts w:ascii="Calibri" w:eastAsia="Times New Roman" w:hAnsi="Calibri" w:cs="Arial"/>
                <w:iCs/>
                <w:sz w:val="18"/>
                <w:szCs w:val="18"/>
              </w:rPr>
              <w:t>-</w:t>
            </w:r>
          </w:p>
        </w:tc>
        <w:tc>
          <w:tcPr>
            <w:tcW w:w="615" w:type="pct"/>
          </w:tcPr>
          <w:p w14:paraId="3425C459" w14:textId="22632F89" w:rsidR="00275F8F" w:rsidRPr="00B52775" w:rsidRDefault="00275F8F" w:rsidP="00275F8F">
            <w:pPr>
              <w:tabs>
                <w:tab w:val="right" w:pos="1202"/>
              </w:tabs>
              <w:spacing w:after="0" w:line="301" w:lineRule="exact"/>
              <w:jc w:val="right"/>
              <w:outlineLvl w:val="0"/>
              <w:rPr>
                <w:rFonts w:eastAsia="Times New Roman" w:cs="Arial"/>
                <w:iCs/>
                <w:sz w:val="18"/>
                <w:szCs w:val="18"/>
              </w:rPr>
            </w:pPr>
            <w:r w:rsidRPr="00D77059">
              <w:rPr>
                <w:rFonts w:ascii="Calibri" w:eastAsia="Times New Roman" w:hAnsi="Calibri" w:cs="Arial"/>
                <w:iCs/>
                <w:sz w:val="18"/>
                <w:szCs w:val="18"/>
              </w:rPr>
              <w:t>-</w:t>
            </w:r>
          </w:p>
        </w:tc>
        <w:tc>
          <w:tcPr>
            <w:tcW w:w="615" w:type="pct"/>
          </w:tcPr>
          <w:p w14:paraId="27EA6CDD" w14:textId="522357C3" w:rsidR="00275F8F" w:rsidRPr="00B52775" w:rsidRDefault="00275F8F" w:rsidP="00275F8F">
            <w:pPr>
              <w:tabs>
                <w:tab w:val="right" w:pos="1202"/>
              </w:tabs>
              <w:spacing w:after="0" w:line="301" w:lineRule="exact"/>
              <w:jc w:val="right"/>
              <w:outlineLvl w:val="0"/>
              <w:rPr>
                <w:rFonts w:eastAsia="Times New Roman" w:cs="Arial"/>
                <w:iCs/>
                <w:sz w:val="18"/>
                <w:szCs w:val="18"/>
              </w:rPr>
            </w:pPr>
            <w:r>
              <w:rPr>
                <w:rFonts w:ascii="Calibri" w:eastAsia="Times New Roman" w:hAnsi="Calibri" w:cs="Arial"/>
                <w:iCs/>
                <w:sz w:val="18"/>
                <w:szCs w:val="18"/>
              </w:rPr>
              <w:t>116</w:t>
            </w:r>
          </w:p>
        </w:tc>
        <w:tc>
          <w:tcPr>
            <w:tcW w:w="615" w:type="pct"/>
          </w:tcPr>
          <w:p w14:paraId="675F2EA7" w14:textId="30EAA823" w:rsidR="00275F8F" w:rsidRPr="00B52775" w:rsidRDefault="00275F8F" w:rsidP="00275F8F">
            <w:pPr>
              <w:tabs>
                <w:tab w:val="right" w:pos="1202"/>
              </w:tabs>
              <w:spacing w:after="0" w:line="301" w:lineRule="exact"/>
              <w:jc w:val="right"/>
              <w:outlineLvl w:val="0"/>
              <w:rPr>
                <w:rFonts w:eastAsia="Times New Roman" w:cs="Arial"/>
                <w:iCs/>
                <w:sz w:val="18"/>
                <w:szCs w:val="18"/>
              </w:rPr>
            </w:pPr>
            <w:r>
              <w:rPr>
                <w:rFonts w:ascii="Calibri" w:eastAsia="Times New Roman" w:hAnsi="Calibri" w:cs="Arial"/>
                <w:iCs/>
                <w:sz w:val="18"/>
                <w:szCs w:val="18"/>
              </w:rPr>
              <w:t>1.394</w:t>
            </w:r>
          </w:p>
        </w:tc>
        <w:tc>
          <w:tcPr>
            <w:tcW w:w="615" w:type="pct"/>
          </w:tcPr>
          <w:p w14:paraId="498DAABD" w14:textId="35410774" w:rsidR="00275F8F" w:rsidRPr="00B52775" w:rsidRDefault="00275F8F" w:rsidP="00275F8F">
            <w:pPr>
              <w:tabs>
                <w:tab w:val="right" w:pos="1202"/>
              </w:tabs>
              <w:spacing w:after="0" w:line="301" w:lineRule="exact"/>
              <w:jc w:val="right"/>
              <w:outlineLvl w:val="0"/>
              <w:rPr>
                <w:rFonts w:eastAsia="Times New Roman" w:cs="Arial"/>
                <w:b/>
                <w:iCs/>
                <w:sz w:val="18"/>
                <w:szCs w:val="18"/>
              </w:rPr>
            </w:pPr>
            <w:r>
              <w:rPr>
                <w:rFonts w:ascii="Calibri" w:eastAsia="Times New Roman" w:hAnsi="Calibri" w:cs="Arial"/>
                <w:b/>
                <w:iCs/>
                <w:sz w:val="18"/>
                <w:szCs w:val="18"/>
              </w:rPr>
              <w:t>1.510</w:t>
            </w:r>
          </w:p>
        </w:tc>
        <w:tc>
          <w:tcPr>
            <w:tcW w:w="607" w:type="pct"/>
          </w:tcPr>
          <w:p w14:paraId="5ADBE7FB" w14:textId="1AC7C496" w:rsidR="00275F8F" w:rsidRPr="00B52775" w:rsidRDefault="00275F8F" w:rsidP="00275F8F">
            <w:pPr>
              <w:tabs>
                <w:tab w:val="right" w:pos="1202"/>
              </w:tabs>
              <w:spacing w:after="0" w:line="301" w:lineRule="exact"/>
              <w:jc w:val="right"/>
              <w:outlineLvl w:val="0"/>
              <w:rPr>
                <w:rFonts w:eastAsia="Times New Roman" w:cs="Arial"/>
                <w:b/>
                <w:iCs/>
                <w:sz w:val="18"/>
                <w:szCs w:val="18"/>
              </w:rPr>
            </w:pPr>
            <w:r>
              <w:rPr>
                <w:rFonts w:ascii="Calibri" w:eastAsia="Times New Roman" w:hAnsi="Calibri" w:cs="Arial"/>
                <w:b/>
                <w:iCs/>
                <w:sz w:val="18"/>
                <w:szCs w:val="18"/>
              </w:rPr>
              <w:t>1.510</w:t>
            </w:r>
          </w:p>
        </w:tc>
      </w:tr>
      <w:tr w:rsidR="00275F8F" w:rsidRPr="00B52775" w14:paraId="7213FBFC" w14:textId="77777777" w:rsidTr="00944CC6">
        <w:trPr>
          <w:trHeight w:val="68"/>
        </w:trPr>
        <w:tc>
          <w:tcPr>
            <w:tcW w:w="1318" w:type="pct"/>
          </w:tcPr>
          <w:p w14:paraId="032952E4" w14:textId="77777777" w:rsidR="00275F8F" w:rsidRPr="00B52775" w:rsidRDefault="00275F8F" w:rsidP="00275F8F">
            <w:pPr>
              <w:tabs>
                <w:tab w:val="right" w:pos="1202"/>
              </w:tabs>
              <w:spacing w:after="0" w:line="140" w:lineRule="exact"/>
              <w:jc w:val="right"/>
              <w:outlineLvl w:val="0"/>
              <w:rPr>
                <w:rFonts w:eastAsia="Times New Roman" w:cs="Arial"/>
                <w:iCs/>
                <w:sz w:val="18"/>
                <w:szCs w:val="18"/>
              </w:rPr>
            </w:pPr>
          </w:p>
        </w:tc>
        <w:tc>
          <w:tcPr>
            <w:tcW w:w="615" w:type="pct"/>
            <w:vAlign w:val="bottom"/>
          </w:tcPr>
          <w:p w14:paraId="635DA275" w14:textId="7CCD60FE" w:rsidR="00275F8F" w:rsidRPr="00B52775" w:rsidRDefault="00275F8F" w:rsidP="00275F8F">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15" w:type="pct"/>
            <w:vAlign w:val="bottom"/>
          </w:tcPr>
          <w:p w14:paraId="1A2E541A" w14:textId="6E0EDA72" w:rsidR="00275F8F" w:rsidRPr="00B52775" w:rsidRDefault="00275F8F" w:rsidP="00275F8F">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15" w:type="pct"/>
            <w:vAlign w:val="bottom"/>
          </w:tcPr>
          <w:p w14:paraId="7E5D1BA5" w14:textId="4ADF3017" w:rsidR="00275F8F" w:rsidRPr="00B52775" w:rsidRDefault="00275F8F" w:rsidP="00275F8F">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15" w:type="pct"/>
            <w:vAlign w:val="bottom"/>
          </w:tcPr>
          <w:p w14:paraId="54FA7D9B" w14:textId="6F44B2C0" w:rsidR="00275F8F" w:rsidRPr="00B52775" w:rsidRDefault="00275F8F" w:rsidP="00275F8F">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15" w:type="pct"/>
            <w:vAlign w:val="bottom"/>
          </w:tcPr>
          <w:p w14:paraId="28B1761B" w14:textId="398A6C22" w:rsidR="00275F8F" w:rsidRPr="00B52775" w:rsidRDefault="00275F8F" w:rsidP="00275F8F">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07" w:type="pct"/>
            <w:vAlign w:val="bottom"/>
          </w:tcPr>
          <w:p w14:paraId="3B0CB8A2" w14:textId="0E631BE9" w:rsidR="00275F8F" w:rsidRPr="00B52775" w:rsidRDefault="00275F8F" w:rsidP="00275F8F">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r>
      <w:tr w:rsidR="00275F8F" w:rsidRPr="00B52775" w14:paraId="4F8A7FA9" w14:textId="77777777" w:rsidTr="00966406">
        <w:trPr>
          <w:trHeight w:val="68"/>
        </w:trPr>
        <w:tc>
          <w:tcPr>
            <w:tcW w:w="1318" w:type="pct"/>
          </w:tcPr>
          <w:p w14:paraId="03B6EA49" w14:textId="4F7D8BEC" w:rsidR="00275F8F" w:rsidRPr="00B52775" w:rsidRDefault="00275F8F" w:rsidP="00275F8F">
            <w:pPr>
              <w:tabs>
                <w:tab w:val="right" w:pos="1202"/>
              </w:tabs>
              <w:spacing w:after="0" w:line="240" w:lineRule="exact"/>
              <w:outlineLvl w:val="0"/>
              <w:rPr>
                <w:rFonts w:eastAsia="Times New Roman" w:cs="Arial"/>
                <w:i/>
                <w:iCs/>
                <w:sz w:val="18"/>
                <w:szCs w:val="18"/>
              </w:rPr>
            </w:pPr>
            <w:r w:rsidRPr="00B52775">
              <w:rPr>
                <w:rFonts w:eastAsia="Times New Roman" w:cs="Arial"/>
                <w:iCs/>
                <w:sz w:val="18"/>
                <w:szCs w:val="18"/>
              </w:rPr>
              <w:t>Prijenos dobiti iz 2016. godine u zadržanu dobit</w:t>
            </w:r>
          </w:p>
        </w:tc>
        <w:tc>
          <w:tcPr>
            <w:tcW w:w="615" w:type="pct"/>
            <w:tcBorders>
              <w:top w:val="nil"/>
              <w:left w:val="nil"/>
              <w:bottom w:val="nil"/>
              <w:right w:val="nil"/>
            </w:tcBorders>
            <w:shd w:val="clear" w:color="auto" w:fill="auto"/>
            <w:vAlign w:val="bottom"/>
          </w:tcPr>
          <w:p w14:paraId="1B46B030" w14:textId="0B327F08" w:rsidR="00275F8F" w:rsidRPr="00B52775" w:rsidRDefault="00275F8F" w:rsidP="00275F8F">
            <w:pPr>
              <w:tabs>
                <w:tab w:val="right" w:pos="1202"/>
              </w:tabs>
              <w:spacing w:after="0" w:line="301" w:lineRule="exact"/>
              <w:jc w:val="right"/>
              <w:outlineLvl w:val="0"/>
              <w:rPr>
                <w:rFonts w:eastAsia="Times New Roman" w:cs="Arial"/>
                <w:iCs/>
                <w:sz w:val="18"/>
                <w:szCs w:val="18"/>
              </w:rPr>
            </w:pPr>
            <w:r w:rsidRPr="00D77059">
              <w:rPr>
                <w:rFonts w:ascii="Calibri" w:eastAsia="Times New Roman" w:hAnsi="Calibri" w:cs="Arial"/>
                <w:iCs/>
                <w:sz w:val="18"/>
                <w:szCs w:val="18"/>
              </w:rPr>
              <w:t>-</w:t>
            </w:r>
          </w:p>
        </w:tc>
        <w:tc>
          <w:tcPr>
            <w:tcW w:w="615" w:type="pct"/>
            <w:tcBorders>
              <w:top w:val="nil"/>
              <w:left w:val="nil"/>
              <w:bottom w:val="nil"/>
              <w:right w:val="nil"/>
            </w:tcBorders>
            <w:shd w:val="clear" w:color="auto" w:fill="auto"/>
            <w:vAlign w:val="bottom"/>
          </w:tcPr>
          <w:p w14:paraId="01E1E7B9" w14:textId="2B401107" w:rsidR="00275F8F" w:rsidRPr="00B52775" w:rsidRDefault="00275F8F" w:rsidP="00275F8F">
            <w:pPr>
              <w:tabs>
                <w:tab w:val="right" w:pos="1202"/>
              </w:tabs>
              <w:spacing w:after="0" w:line="301" w:lineRule="exact"/>
              <w:jc w:val="right"/>
              <w:outlineLvl w:val="0"/>
              <w:rPr>
                <w:rFonts w:eastAsia="Times New Roman" w:cs="Arial"/>
                <w:iCs/>
                <w:sz w:val="18"/>
                <w:szCs w:val="18"/>
              </w:rPr>
            </w:pPr>
            <w:r>
              <w:rPr>
                <w:rFonts w:ascii="Calibri" w:eastAsia="Times New Roman" w:hAnsi="Calibri" w:cs="Arial"/>
                <w:iCs/>
                <w:sz w:val="18"/>
                <w:szCs w:val="18"/>
              </w:rPr>
              <w:t>1.315</w:t>
            </w:r>
          </w:p>
        </w:tc>
        <w:tc>
          <w:tcPr>
            <w:tcW w:w="615" w:type="pct"/>
            <w:tcBorders>
              <w:top w:val="nil"/>
              <w:left w:val="nil"/>
              <w:bottom w:val="nil"/>
              <w:right w:val="nil"/>
            </w:tcBorders>
            <w:shd w:val="clear" w:color="auto" w:fill="auto"/>
            <w:vAlign w:val="bottom"/>
          </w:tcPr>
          <w:p w14:paraId="52836638" w14:textId="53D9F915" w:rsidR="00275F8F" w:rsidRPr="00B52775" w:rsidRDefault="00275F8F" w:rsidP="00275F8F">
            <w:pPr>
              <w:tabs>
                <w:tab w:val="right" w:pos="1202"/>
              </w:tabs>
              <w:spacing w:after="0" w:line="301" w:lineRule="exact"/>
              <w:jc w:val="right"/>
              <w:outlineLvl w:val="0"/>
              <w:rPr>
                <w:rFonts w:eastAsia="Times New Roman" w:cs="Arial"/>
                <w:iCs/>
                <w:sz w:val="18"/>
                <w:szCs w:val="18"/>
              </w:rPr>
            </w:pPr>
            <w:r w:rsidRPr="00D77059">
              <w:rPr>
                <w:rFonts w:ascii="Calibri" w:eastAsia="Times New Roman" w:hAnsi="Calibri" w:cs="Arial"/>
                <w:iCs/>
                <w:sz w:val="18"/>
                <w:szCs w:val="18"/>
              </w:rPr>
              <w:t>-</w:t>
            </w:r>
          </w:p>
        </w:tc>
        <w:tc>
          <w:tcPr>
            <w:tcW w:w="615" w:type="pct"/>
            <w:tcBorders>
              <w:top w:val="nil"/>
              <w:left w:val="nil"/>
              <w:bottom w:val="nil"/>
              <w:right w:val="nil"/>
            </w:tcBorders>
            <w:shd w:val="clear" w:color="auto" w:fill="auto"/>
            <w:vAlign w:val="bottom"/>
          </w:tcPr>
          <w:p w14:paraId="15F54D29" w14:textId="6C3575AA" w:rsidR="00275F8F" w:rsidRPr="00B52775" w:rsidRDefault="00275F8F" w:rsidP="00275F8F">
            <w:pPr>
              <w:tabs>
                <w:tab w:val="right" w:pos="1202"/>
              </w:tabs>
              <w:spacing w:after="0" w:line="301" w:lineRule="exact"/>
              <w:jc w:val="right"/>
              <w:outlineLvl w:val="0"/>
              <w:rPr>
                <w:rFonts w:eastAsia="Times New Roman" w:cs="Arial"/>
                <w:iCs/>
                <w:sz w:val="18"/>
                <w:szCs w:val="18"/>
              </w:rPr>
            </w:pPr>
            <w:r>
              <w:rPr>
                <w:rFonts w:ascii="Calibri" w:eastAsia="Times New Roman" w:hAnsi="Calibri" w:cs="Arial"/>
                <w:iCs/>
                <w:sz w:val="18"/>
                <w:szCs w:val="18"/>
              </w:rPr>
              <w:t>(1.315)</w:t>
            </w:r>
          </w:p>
        </w:tc>
        <w:tc>
          <w:tcPr>
            <w:tcW w:w="615" w:type="pct"/>
            <w:tcBorders>
              <w:top w:val="nil"/>
              <w:left w:val="nil"/>
              <w:bottom w:val="nil"/>
              <w:right w:val="nil"/>
            </w:tcBorders>
            <w:shd w:val="clear" w:color="auto" w:fill="auto"/>
            <w:vAlign w:val="bottom"/>
          </w:tcPr>
          <w:p w14:paraId="7E9DEE10" w14:textId="59EFEF32" w:rsidR="00275F8F" w:rsidRPr="00B52775" w:rsidRDefault="00275F8F" w:rsidP="00275F8F">
            <w:pPr>
              <w:tabs>
                <w:tab w:val="right" w:pos="1202"/>
              </w:tabs>
              <w:spacing w:after="0" w:line="301" w:lineRule="exact"/>
              <w:jc w:val="right"/>
              <w:outlineLvl w:val="0"/>
              <w:rPr>
                <w:rFonts w:eastAsia="Times New Roman" w:cs="Arial"/>
                <w:b/>
                <w:iCs/>
                <w:sz w:val="18"/>
                <w:szCs w:val="18"/>
              </w:rPr>
            </w:pPr>
            <w:r w:rsidRPr="00D77059">
              <w:rPr>
                <w:rFonts w:ascii="Calibri" w:eastAsia="Times New Roman" w:hAnsi="Calibri" w:cs="Arial"/>
                <w:b/>
                <w:iCs/>
                <w:sz w:val="18"/>
                <w:szCs w:val="18"/>
              </w:rPr>
              <w:t>-</w:t>
            </w:r>
          </w:p>
        </w:tc>
        <w:tc>
          <w:tcPr>
            <w:tcW w:w="607" w:type="pct"/>
            <w:tcBorders>
              <w:top w:val="nil"/>
              <w:left w:val="nil"/>
              <w:bottom w:val="nil"/>
              <w:right w:val="nil"/>
            </w:tcBorders>
            <w:shd w:val="clear" w:color="auto" w:fill="auto"/>
            <w:vAlign w:val="bottom"/>
          </w:tcPr>
          <w:p w14:paraId="0BC2E9A8" w14:textId="64B8357E" w:rsidR="00275F8F" w:rsidRPr="00B52775" w:rsidRDefault="00275F8F" w:rsidP="00275F8F">
            <w:pPr>
              <w:tabs>
                <w:tab w:val="right" w:pos="1202"/>
              </w:tabs>
              <w:spacing w:after="0" w:line="301" w:lineRule="exact"/>
              <w:jc w:val="right"/>
              <w:outlineLvl w:val="0"/>
              <w:rPr>
                <w:rFonts w:eastAsia="Times New Roman" w:cs="Arial"/>
                <w:b/>
                <w:iCs/>
                <w:sz w:val="18"/>
                <w:szCs w:val="18"/>
              </w:rPr>
            </w:pPr>
            <w:r w:rsidRPr="00D77059">
              <w:rPr>
                <w:rFonts w:ascii="Calibri" w:eastAsia="Times New Roman" w:hAnsi="Calibri" w:cs="Arial"/>
                <w:b/>
                <w:iCs/>
                <w:sz w:val="18"/>
                <w:szCs w:val="18"/>
              </w:rPr>
              <w:t>-</w:t>
            </w:r>
          </w:p>
        </w:tc>
      </w:tr>
      <w:tr w:rsidR="00275F8F" w:rsidRPr="00B52775" w14:paraId="10B546E6" w14:textId="77777777" w:rsidTr="00944CC6">
        <w:trPr>
          <w:trHeight w:val="64"/>
        </w:trPr>
        <w:tc>
          <w:tcPr>
            <w:tcW w:w="1318" w:type="pct"/>
          </w:tcPr>
          <w:p w14:paraId="0F5067FD" w14:textId="77777777" w:rsidR="00275F8F" w:rsidRPr="00B52775" w:rsidRDefault="00275F8F" w:rsidP="00275F8F">
            <w:pPr>
              <w:tabs>
                <w:tab w:val="right" w:pos="1202"/>
              </w:tabs>
              <w:spacing w:after="0" w:line="140" w:lineRule="exact"/>
              <w:jc w:val="right"/>
              <w:outlineLvl w:val="0"/>
              <w:rPr>
                <w:rFonts w:eastAsia="Times New Roman" w:cs="Arial"/>
                <w:iCs/>
                <w:sz w:val="18"/>
                <w:szCs w:val="18"/>
              </w:rPr>
            </w:pPr>
          </w:p>
        </w:tc>
        <w:tc>
          <w:tcPr>
            <w:tcW w:w="615" w:type="pct"/>
            <w:vAlign w:val="bottom"/>
          </w:tcPr>
          <w:p w14:paraId="1AB2167A" w14:textId="09E904EF" w:rsidR="00275F8F" w:rsidRPr="00B52775" w:rsidRDefault="00275F8F" w:rsidP="00275F8F">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15" w:type="pct"/>
            <w:vAlign w:val="bottom"/>
          </w:tcPr>
          <w:p w14:paraId="3D14F753" w14:textId="4B6EF65A" w:rsidR="00275F8F" w:rsidRPr="00B52775" w:rsidRDefault="00275F8F" w:rsidP="00275F8F">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15" w:type="pct"/>
            <w:vAlign w:val="bottom"/>
          </w:tcPr>
          <w:p w14:paraId="6860FD0C" w14:textId="7AEDB701" w:rsidR="00275F8F" w:rsidRPr="00B52775" w:rsidRDefault="00275F8F" w:rsidP="00275F8F">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15" w:type="pct"/>
            <w:vAlign w:val="bottom"/>
          </w:tcPr>
          <w:p w14:paraId="6BD8A3A7" w14:textId="0C92992D" w:rsidR="00275F8F" w:rsidRPr="00B52775" w:rsidRDefault="00275F8F" w:rsidP="00275F8F">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15" w:type="pct"/>
            <w:vAlign w:val="bottom"/>
          </w:tcPr>
          <w:p w14:paraId="710B25E4" w14:textId="6F0B17E8" w:rsidR="00275F8F" w:rsidRPr="00B52775" w:rsidRDefault="00275F8F" w:rsidP="00275F8F">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c>
          <w:tcPr>
            <w:tcW w:w="607" w:type="pct"/>
            <w:vAlign w:val="bottom"/>
          </w:tcPr>
          <w:p w14:paraId="53B98F24" w14:textId="17A100D7" w:rsidR="00275F8F" w:rsidRPr="00B52775" w:rsidRDefault="00275F8F" w:rsidP="00275F8F">
            <w:pPr>
              <w:keepNext/>
              <w:keepLines/>
              <w:tabs>
                <w:tab w:val="decimal" w:pos="1015"/>
                <w:tab w:val="decimal" w:pos="1202"/>
              </w:tabs>
              <w:spacing w:after="0" w:line="140" w:lineRule="exact"/>
              <w:jc w:val="right"/>
              <w:rPr>
                <w:rFonts w:eastAsia="Times New Roman" w:cs="Arial"/>
                <w:spacing w:val="-2"/>
                <w:position w:val="4"/>
                <w:sz w:val="18"/>
                <w:szCs w:val="18"/>
              </w:rPr>
            </w:pPr>
            <w:r w:rsidRPr="00D77059">
              <w:rPr>
                <w:rFonts w:ascii="Calibri" w:eastAsia="Times New Roman" w:hAnsi="Calibri" w:cs="Arial"/>
                <w:spacing w:val="-2"/>
                <w:position w:val="4"/>
                <w:sz w:val="18"/>
                <w:szCs w:val="18"/>
              </w:rPr>
              <w:t>_________</w:t>
            </w:r>
          </w:p>
        </w:tc>
      </w:tr>
      <w:tr w:rsidR="00275F8F" w:rsidRPr="00B52775" w14:paraId="4AB818D0" w14:textId="77777777" w:rsidTr="000E5941">
        <w:trPr>
          <w:trHeight w:val="68"/>
        </w:trPr>
        <w:tc>
          <w:tcPr>
            <w:tcW w:w="1318" w:type="pct"/>
          </w:tcPr>
          <w:p w14:paraId="156DB1D6" w14:textId="129F63B2" w:rsidR="00275F8F" w:rsidRPr="00B52775" w:rsidRDefault="00275F8F" w:rsidP="00257CDB">
            <w:pPr>
              <w:tabs>
                <w:tab w:val="right" w:pos="1202"/>
              </w:tabs>
              <w:spacing w:after="0" w:line="240" w:lineRule="exact"/>
              <w:outlineLvl w:val="0"/>
              <w:rPr>
                <w:rFonts w:eastAsia="Times New Roman" w:cs="Arial"/>
                <w:iCs/>
                <w:sz w:val="18"/>
                <w:szCs w:val="18"/>
              </w:rPr>
            </w:pPr>
            <w:r w:rsidRPr="00B52775">
              <w:rPr>
                <w:rFonts w:eastAsia="Times New Roman" w:cs="Arial"/>
                <w:b/>
                <w:iCs/>
                <w:sz w:val="18"/>
                <w:szCs w:val="18"/>
              </w:rPr>
              <w:t>Stanje 3</w:t>
            </w:r>
            <w:r>
              <w:rPr>
                <w:rFonts w:eastAsia="Times New Roman" w:cs="Arial"/>
                <w:b/>
                <w:iCs/>
                <w:sz w:val="18"/>
                <w:szCs w:val="18"/>
              </w:rPr>
              <w:t>0</w:t>
            </w:r>
            <w:r w:rsidRPr="00B52775">
              <w:rPr>
                <w:rFonts w:eastAsia="Times New Roman" w:cs="Arial"/>
                <w:b/>
                <w:iCs/>
                <w:sz w:val="18"/>
                <w:szCs w:val="18"/>
              </w:rPr>
              <w:t xml:space="preserve">. </w:t>
            </w:r>
            <w:r>
              <w:rPr>
                <w:rFonts w:eastAsia="Times New Roman" w:cs="Arial"/>
                <w:b/>
                <w:iCs/>
                <w:sz w:val="18"/>
                <w:szCs w:val="18"/>
              </w:rPr>
              <w:t>lipnja</w:t>
            </w:r>
            <w:r w:rsidRPr="00B52775">
              <w:rPr>
                <w:rFonts w:eastAsia="Times New Roman" w:cs="Arial"/>
                <w:b/>
                <w:iCs/>
                <w:sz w:val="18"/>
                <w:szCs w:val="18"/>
              </w:rPr>
              <w:t xml:space="preserve"> 2017. godine</w:t>
            </w:r>
          </w:p>
        </w:tc>
        <w:tc>
          <w:tcPr>
            <w:tcW w:w="615" w:type="pct"/>
            <w:vAlign w:val="bottom"/>
          </w:tcPr>
          <w:p w14:paraId="2C4C0EC6" w14:textId="07C069E0" w:rsidR="00275F8F" w:rsidRPr="00B52775" w:rsidRDefault="00275F8F" w:rsidP="00275F8F">
            <w:pPr>
              <w:tabs>
                <w:tab w:val="right" w:pos="1202"/>
              </w:tabs>
              <w:spacing w:after="0" w:line="301" w:lineRule="exact"/>
              <w:jc w:val="right"/>
              <w:outlineLvl w:val="0"/>
              <w:rPr>
                <w:rFonts w:eastAsia="Times New Roman" w:cs="Arial"/>
                <w:b/>
                <w:iCs/>
                <w:sz w:val="18"/>
                <w:szCs w:val="18"/>
              </w:rPr>
            </w:pPr>
            <w:r>
              <w:rPr>
                <w:rFonts w:ascii="Calibri" w:eastAsia="Times New Roman" w:hAnsi="Calibri" w:cs="Arial"/>
                <w:b/>
                <w:iCs/>
                <w:sz w:val="18"/>
                <w:szCs w:val="18"/>
              </w:rPr>
              <w:t>37.500</w:t>
            </w:r>
          </w:p>
        </w:tc>
        <w:tc>
          <w:tcPr>
            <w:tcW w:w="615" w:type="pct"/>
            <w:vAlign w:val="bottom"/>
          </w:tcPr>
          <w:p w14:paraId="7CDF85F6" w14:textId="7BAA716A" w:rsidR="00275F8F" w:rsidRPr="00B52775" w:rsidRDefault="00275F8F" w:rsidP="00275F8F">
            <w:pPr>
              <w:tabs>
                <w:tab w:val="right" w:pos="1202"/>
              </w:tabs>
              <w:spacing w:after="0" w:line="301" w:lineRule="exact"/>
              <w:jc w:val="right"/>
              <w:outlineLvl w:val="0"/>
              <w:rPr>
                <w:rFonts w:eastAsia="Times New Roman" w:cs="Arial"/>
                <w:b/>
                <w:iCs/>
                <w:sz w:val="18"/>
                <w:szCs w:val="18"/>
              </w:rPr>
            </w:pPr>
            <w:r>
              <w:rPr>
                <w:rFonts w:ascii="Calibri" w:eastAsia="Times New Roman" w:hAnsi="Calibri" w:cs="Arial"/>
                <w:b/>
                <w:iCs/>
                <w:sz w:val="18"/>
                <w:szCs w:val="18"/>
              </w:rPr>
              <w:t>1.167</w:t>
            </w:r>
          </w:p>
        </w:tc>
        <w:tc>
          <w:tcPr>
            <w:tcW w:w="615" w:type="pct"/>
            <w:vAlign w:val="bottom"/>
          </w:tcPr>
          <w:p w14:paraId="26232BE0" w14:textId="54CDF4CE" w:rsidR="00275F8F" w:rsidRPr="00B52775" w:rsidRDefault="00275F8F" w:rsidP="00275F8F">
            <w:pPr>
              <w:tabs>
                <w:tab w:val="right" w:pos="1202"/>
              </w:tabs>
              <w:spacing w:after="0" w:line="301" w:lineRule="exact"/>
              <w:jc w:val="right"/>
              <w:outlineLvl w:val="0"/>
              <w:rPr>
                <w:rFonts w:eastAsia="Times New Roman" w:cs="Arial"/>
                <w:b/>
                <w:iCs/>
                <w:sz w:val="18"/>
                <w:szCs w:val="18"/>
              </w:rPr>
            </w:pPr>
            <w:r>
              <w:rPr>
                <w:rFonts w:ascii="Calibri" w:eastAsia="Times New Roman" w:hAnsi="Calibri" w:cs="Arial"/>
                <w:b/>
                <w:iCs/>
                <w:sz w:val="18"/>
                <w:szCs w:val="18"/>
              </w:rPr>
              <w:t>2.304</w:t>
            </w:r>
          </w:p>
        </w:tc>
        <w:tc>
          <w:tcPr>
            <w:tcW w:w="615" w:type="pct"/>
            <w:vAlign w:val="bottom"/>
          </w:tcPr>
          <w:p w14:paraId="2E56ED71" w14:textId="7C356211" w:rsidR="00275F8F" w:rsidRPr="00B52775" w:rsidRDefault="00275F8F" w:rsidP="00275F8F">
            <w:pPr>
              <w:tabs>
                <w:tab w:val="right" w:pos="1202"/>
              </w:tabs>
              <w:spacing w:after="0" w:line="301" w:lineRule="exact"/>
              <w:jc w:val="right"/>
              <w:outlineLvl w:val="0"/>
              <w:rPr>
                <w:rFonts w:eastAsia="Times New Roman" w:cs="Arial"/>
                <w:b/>
                <w:iCs/>
                <w:sz w:val="18"/>
                <w:szCs w:val="18"/>
              </w:rPr>
            </w:pPr>
            <w:r>
              <w:rPr>
                <w:rFonts w:ascii="Calibri" w:eastAsia="Times New Roman" w:hAnsi="Calibri" w:cs="Arial"/>
                <w:b/>
                <w:iCs/>
                <w:sz w:val="18"/>
                <w:szCs w:val="18"/>
              </w:rPr>
              <w:t>1.394</w:t>
            </w:r>
          </w:p>
        </w:tc>
        <w:tc>
          <w:tcPr>
            <w:tcW w:w="615" w:type="pct"/>
            <w:vAlign w:val="bottom"/>
          </w:tcPr>
          <w:p w14:paraId="57DFE350" w14:textId="27002136" w:rsidR="00275F8F" w:rsidRPr="00B52775" w:rsidRDefault="00275F8F" w:rsidP="00275F8F">
            <w:pPr>
              <w:tabs>
                <w:tab w:val="right" w:pos="1202"/>
              </w:tabs>
              <w:spacing w:after="0" w:line="301" w:lineRule="exact"/>
              <w:jc w:val="right"/>
              <w:outlineLvl w:val="0"/>
              <w:rPr>
                <w:rFonts w:eastAsia="Times New Roman" w:cs="Arial"/>
                <w:b/>
                <w:iCs/>
                <w:sz w:val="18"/>
                <w:szCs w:val="18"/>
              </w:rPr>
            </w:pPr>
            <w:r>
              <w:rPr>
                <w:rFonts w:ascii="Calibri" w:eastAsia="Times New Roman" w:hAnsi="Calibri" w:cs="Arial"/>
                <w:b/>
                <w:iCs/>
                <w:sz w:val="18"/>
                <w:szCs w:val="18"/>
              </w:rPr>
              <w:t>42.365</w:t>
            </w:r>
          </w:p>
        </w:tc>
        <w:tc>
          <w:tcPr>
            <w:tcW w:w="607" w:type="pct"/>
            <w:vAlign w:val="bottom"/>
          </w:tcPr>
          <w:p w14:paraId="4320570B" w14:textId="4B06D1FC" w:rsidR="00275F8F" w:rsidRPr="00B52775" w:rsidRDefault="00275F8F" w:rsidP="00275F8F">
            <w:pPr>
              <w:tabs>
                <w:tab w:val="right" w:pos="1202"/>
              </w:tabs>
              <w:spacing w:after="0" w:line="301" w:lineRule="exact"/>
              <w:jc w:val="right"/>
              <w:outlineLvl w:val="0"/>
              <w:rPr>
                <w:rFonts w:eastAsia="Times New Roman" w:cs="Arial"/>
                <w:b/>
                <w:iCs/>
                <w:sz w:val="18"/>
                <w:szCs w:val="18"/>
              </w:rPr>
            </w:pPr>
            <w:r>
              <w:rPr>
                <w:rFonts w:ascii="Calibri" w:eastAsia="Times New Roman" w:hAnsi="Calibri" w:cs="Arial"/>
                <w:b/>
                <w:iCs/>
                <w:sz w:val="18"/>
                <w:szCs w:val="18"/>
              </w:rPr>
              <w:t>42.365</w:t>
            </w:r>
          </w:p>
        </w:tc>
      </w:tr>
      <w:tr w:rsidR="00706D2E" w:rsidRPr="00B52775" w14:paraId="78FF201D" w14:textId="77777777" w:rsidTr="00944CC6">
        <w:trPr>
          <w:trHeight w:val="100"/>
        </w:trPr>
        <w:tc>
          <w:tcPr>
            <w:tcW w:w="1318" w:type="pct"/>
          </w:tcPr>
          <w:p w14:paraId="139CB8E9" w14:textId="77777777" w:rsidR="00706D2E" w:rsidRPr="00B52775" w:rsidRDefault="00706D2E" w:rsidP="00706D2E">
            <w:pPr>
              <w:tabs>
                <w:tab w:val="right" w:pos="1202"/>
              </w:tabs>
              <w:spacing w:after="0" w:line="140" w:lineRule="exact"/>
              <w:jc w:val="right"/>
              <w:outlineLvl w:val="0"/>
              <w:rPr>
                <w:rFonts w:eastAsia="Times New Roman" w:cs="Arial"/>
                <w:iCs/>
                <w:sz w:val="18"/>
                <w:szCs w:val="18"/>
              </w:rPr>
            </w:pPr>
          </w:p>
        </w:tc>
        <w:tc>
          <w:tcPr>
            <w:tcW w:w="615" w:type="pct"/>
            <w:vAlign w:val="bottom"/>
          </w:tcPr>
          <w:p w14:paraId="7E6E71D9"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15" w:type="pct"/>
            <w:vAlign w:val="bottom"/>
          </w:tcPr>
          <w:p w14:paraId="6E127C4D"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15" w:type="pct"/>
            <w:vAlign w:val="bottom"/>
          </w:tcPr>
          <w:p w14:paraId="56379A85"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c>
          <w:tcPr>
            <w:tcW w:w="615" w:type="pct"/>
            <w:vAlign w:val="bottom"/>
          </w:tcPr>
          <w:p w14:paraId="2E2FC698"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w:t>
            </w:r>
          </w:p>
        </w:tc>
        <w:tc>
          <w:tcPr>
            <w:tcW w:w="615" w:type="pct"/>
            <w:vAlign w:val="bottom"/>
          </w:tcPr>
          <w:p w14:paraId="79E28CBB"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w:t>
            </w:r>
          </w:p>
        </w:tc>
        <w:tc>
          <w:tcPr>
            <w:tcW w:w="607" w:type="pct"/>
            <w:vAlign w:val="bottom"/>
          </w:tcPr>
          <w:p w14:paraId="033DE822"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r w:rsidRPr="00B52775">
              <w:rPr>
                <w:rFonts w:eastAsia="Times New Roman" w:cs="Arial"/>
                <w:b/>
                <w:position w:val="4"/>
                <w:sz w:val="18"/>
                <w:szCs w:val="18"/>
                <w:u w:val="thick"/>
              </w:rPr>
              <w:t>__________</w:t>
            </w:r>
          </w:p>
        </w:tc>
      </w:tr>
      <w:tr w:rsidR="00706D2E" w:rsidRPr="00B52775" w14:paraId="48C5C613" w14:textId="77777777" w:rsidTr="00944CC6">
        <w:trPr>
          <w:trHeight w:val="52"/>
        </w:trPr>
        <w:tc>
          <w:tcPr>
            <w:tcW w:w="1318" w:type="pct"/>
          </w:tcPr>
          <w:p w14:paraId="6E7FE87A" w14:textId="77777777" w:rsidR="00706D2E" w:rsidRPr="00B52775" w:rsidRDefault="00706D2E" w:rsidP="00706D2E">
            <w:pPr>
              <w:tabs>
                <w:tab w:val="right" w:pos="1202"/>
              </w:tabs>
              <w:spacing w:after="0" w:line="140" w:lineRule="exact"/>
              <w:jc w:val="right"/>
              <w:outlineLvl w:val="0"/>
              <w:rPr>
                <w:rFonts w:eastAsia="Times New Roman" w:cs="Arial"/>
                <w:b/>
                <w:iCs/>
                <w:sz w:val="18"/>
                <w:szCs w:val="18"/>
              </w:rPr>
            </w:pPr>
          </w:p>
        </w:tc>
        <w:tc>
          <w:tcPr>
            <w:tcW w:w="615" w:type="pct"/>
          </w:tcPr>
          <w:p w14:paraId="3C068F79"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p>
        </w:tc>
        <w:tc>
          <w:tcPr>
            <w:tcW w:w="615" w:type="pct"/>
          </w:tcPr>
          <w:p w14:paraId="62BAF83C"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p>
        </w:tc>
        <w:tc>
          <w:tcPr>
            <w:tcW w:w="615" w:type="pct"/>
          </w:tcPr>
          <w:p w14:paraId="39D2097D"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p>
        </w:tc>
        <w:tc>
          <w:tcPr>
            <w:tcW w:w="615" w:type="pct"/>
          </w:tcPr>
          <w:p w14:paraId="49C2C545"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p>
        </w:tc>
        <w:tc>
          <w:tcPr>
            <w:tcW w:w="615" w:type="pct"/>
          </w:tcPr>
          <w:p w14:paraId="5016BF22"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p>
        </w:tc>
        <w:tc>
          <w:tcPr>
            <w:tcW w:w="607" w:type="pct"/>
          </w:tcPr>
          <w:p w14:paraId="13AF57BE" w14:textId="77777777" w:rsidR="00706D2E" w:rsidRPr="00B52775" w:rsidRDefault="00706D2E" w:rsidP="00706D2E">
            <w:pPr>
              <w:keepNext/>
              <w:keepLines/>
              <w:tabs>
                <w:tab w:val="decimal" w:pos="1015"/>
              </w:tabs>
              <w:spacing w:after="0" w:line="140" w:lineRule="exact"/>
              <w:jc w:val="right"/>
              <w:rPr>
                <w:rFonts w:eastAsia="Times New Roman" w:cs="Arial"/>
                <w:b/>
                <w:position w:val="4"/>
                <w:sz w:val="18"/>
                <w:szCs w:val="18"/>
                <w:u w:val="thick"/>
              </w:rPr>
            </w:pPr>
          </w:p>
        </w:tc>
      </w:tr>
    </w:tbl>
    <w:p w14:paraId="664CADA1" w14:textId="77777777" w:rsidR="00EB5C92" w:rsidRPr="00EB5C92" w:rsidRDefault="00EB5C92" w:rsidP="00EB5C92">
      <w:pPr>
        <w:ind w:firstLine="708"/>
        <w:rPr>
          <w:rFonts w:eastAsia="Times New Roman" w:cs="Calibri"/>
          <w:lang w:eastAsia="hr-HR"/>
        </w:rPr>
      </w:pPr>
    </w:p>
    <w:p w14:paraId="26ADD474" w14:textId="77777777" w:rsidR="00EB5C92" w:rsidRPr="00FC1E58" w:rsidRDefault="00EB5C92" w:rsidP="009F4F01">
      <w:pPr>
        <w:spacing w:after="0" w:line="240" w:lineRule="auto"/>
        <w:jc w:val="both"/>
        <w:rPr>
          <w:rFonts w:eastAsia="Times New Roman" w:cs="Calibri"/>
          <w:lang w:eastAsia="hr-HR"/>
        </w:rPr>
      </w:pPr>
    </w:p>
    <w:sectPr w:rsidR="00EB5C92" w:rsidRPr="00FC1E58" w:rsidSect="00257CDB">
      <w:headerReference w:type="first" r:id="rId145"/>
      <w:footerReference w:type="first" r:id="rId146"/>
      <w:pgSz w:w="11906" w:h="16838" w:code="9"/>
      <w:pgMar w:top="1418" w:right="1418" w:bottom="59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547FB" w14:textId="77777777" w:rsidR="00BC5207" w:rsidRDefault="00BC5207" w:rsidP="004D4B9D">
      <w:pPr>
        <w:spacing w:after="0" w:line="240" w:lineRule="auto"/>
      </w:pPr>
      <w:r>
        <w:separator/>
      </w:r>
    </w:p>
  </w:endnote>
  <w:endnote w:type="continuationSeparator" w:id="0">
    <w:p w14:paraId="0041472E" w14:textId="77777777" w:rsidR="00BC5207" w:rsidRDefault="00BC5207" w:rsidP="004D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FrutigerLTCom-Ligh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DD970" w14:textId="77777777" w:rsidR="00D74825" w:rsidRPr="0091098F" w:rsidRDefault="00D74825" w:rsidP="00DE00A1">
    <w:pPr>
      <w:pBdr>
        <w:top w:val="single" w:sz="4" w:space="1" w:color="auto"/>
      </w:pBdr>
      <w:tabs>
        <w:tab w:val="center" w:pos="4153"/>
        <w:tab w:val="right" w:pos="9072"/>
      </w:tabs>
      <w:spacing w:after="0" w:line="240" w:lineRule="auto"/>
      <w:ind w:right="283"/>
      <w:rPr>
        <w:rFonts w:eastAsia="Times New Roman" w:cs="Times New Roman"/>
        <w:sz w:val="19"/>
        <w:szCs w:val="20"/>
        <w:lang w:val="pl-PL"/>
      </w:rPr>
    </w:pPr>
    <w:r>
      <w:rPr>
        <w:rFonts w:eastAsia="Times New Roman" w:cs="Arial"/>
        <w:sz w:val="19"/>
        <w:szCs w:val="19"/>
        <w:lang w:val="pl-PL"/>
      </w:rPr>
      <w:t>15</w:t>
    </w:r>
    <w:r w:rsidRPr="0091098F">
      <w:rPr>
        <w:rFonts w:eastAsia="Times New Roman" w:cs="Arial"/>
        <w:sz w:val="19"/>
        <w:szCs w:val="19"/>
        <w:lang w:val="pl-PL"/>
      </w:rPr>
      <w:t xml:space="preserve">   </w:t>
    </w:r>
    <w:r w:rsidRPr="0091098F">
      <w:rPr>
        <w:rFonts w:eastAsia="Times New Roman" w:cs="Arial"/>
        <w:sz w:val="19"/>
        <w:szCs w:val="19"/>
        <w:lang w:val="pl-PL"/>
      </w:rPr>
      <w:t>Hrvatska banka za obnovu i razvitak</w:t>
    </w:r>
  </w:p>
  <w:p w14:paraId="06AB5F07" w14:textId="77777777" w:rsidR="00D74825" w:rsidRDefault="00D7482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8E6F0" w14:textId="3524B511" w:rsidR="00D74825" w:rsidRPr="0091098F" w:rsidRDefault="00D74825" w:rsidP="0091098F">
    <w:pPr>
      <w:pBdr>
        <w:top w:val="single" w:sz="4" w:space="1" w:color="auto"/>
      </w:pBdr>
      <w:tabs>
        <w:tab w:val="center" w:pos="4153"/>
        <w:tab w:val="right" w:pos="9072"/>
      </w:tabs>
      <w:spacing w:after="0" w:line="240" w:lineRule="auto"/>
      <w:ind w:right="283"/>
      <w:rPr>
        <w:rFonts w:eastAsia="Times New Roman" w:cs="Times New Roman"/>
        <w:sz w:val="19"/>
        <w:szCs w:val="20"/>
        <w:lang w:val="pl-PL"/>
      </w:rPr>
    </w:pPr>
    <w:r>
      <w:rPr>
        <w:rFonts w:eastAsia="Times New Roman" w:cs="Arial"/>
        <w:sz w:val="19"/>
        <w:szCs w:val="19"/>
        <w:lang w:val="pl-PL"/>
      </w:rPr>
      <w:t>9</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820458D" w14:textId="77777777" w:rsidR="00D74825" w:rsidRDefault="00D74825">
    <w:pPr>
      <w:pStyle w:val="Foote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E0C7A" w14:textId="24A5D0F0"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94</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03618369" w14:textId="77777777" w:rsidR="00D74825" w:rsidRDefault="00D74825">
    <w:pPr>
      <w:pStyle w:val="Foote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FB449" w14:textId="1876BEE9"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95</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E94127C" w14:textId="77777777" w:rsidR="00D74825" w:rsidRDefault="00D74825">
    <w:pPr>
      <w:pStyle w:val="Footer"/>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FC9" w14:textId="31FC20C6"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96</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E3977F7" w14:textId="77777777" w:rsidR="00D74825" w:rsidRPr="00517366" w:rsidRDefault="00D74825">
    <w:pPr>
      <w:pStyle w:val="Footer"/>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536FC" w14:textId="0BC1CA50"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97</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99B15C6" w14:textId="77777777" w:rsidR="00D74825" w:rsidRDefault="00D74825">
    <w:pPr>
      <w:pStyle w:val="Foote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79F7E" w14:textId="247B074D"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 xml:space="preserve">98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B8E76BF" w14:textId="77777777" w:rsidR="00D74825" w:rsidRPr="00517366" w:rsidRDefault="00D74825">
    <w:pPr>
      <w:pStyle w:val="Footer"/>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E3354" w14:textId="40D9F1A0"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99</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BD40E95" w14:textId="77777777" w:rsidR="00D74825" w:rsidRPr="00517366" w:rsidRDefault="00D74825">
    <w:pPr>
      <w:pStyle w:val="Footer"/>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7816B" w14:textId="2242B90B" w:rsidR="00D74825" w:rsidRPr="002A33EB" w:rsidRDefault="00D74825" w:rsidP="00A37280">
    <w:pPr>
      <w:pStyle w:val="Footer"/>
      <w:pBdr>
        <w:top w:val="single" w:sz="4" w:space="1" w:color="auto"/>
      </w:pBdr>
      <w:ind w:right="283"/>
      <w:rPr>
        <w:sz w:val="19"/>
        <w:lang w:val="pl-PL"/>
      </w:rPr>
    </w:pPr>
    <w:r>
      <w:rPr>
        <w:rFonts w:cs="Arial"/>
        <w:sz w:val="19"/>
        <w:szCs w:val="19"/>
      </w:rPr>
      <w:t xml:space="preserve">92 </w:t>
    </w:r>
    <w:r w:rsidRPr="002A33EB">
      <w:rPr>
        <w:rFonts w:cs="Arial"/>
        <w:sz w:val="19"/>
        <w:szCs w:val="19"/>
        <w:lang w:val="pl-PL"/>
      </w:rPr>
      <w:t xml:space="preserve">  </w:t>
    </w:r>
    <w:r w:rsidRPr="002A33EB">
      <w:rPr>
        <w:rFonts w:cs="Arial"/>
        <w:sz w:val="19"/>
        <w:szCs w:val="19"/>
        <w:lang w:val="pl-PL"/>
      </w:rPr>
      <w:t>Hrvatska banka za obnovu i razvitak</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4FF1B" w14:textId="3671608E"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100</w:t>
    </w:r>
    <w:r w:rsidRPr="0091098F">
      <w:rPr>
        <w:rFonts w:eastAsia="Times New Roman" w:cs="Arial"/>
        <w:sz w:val="19"/>
        <w:szCs w:val="19"/>
        <w:lang w:val="pl-PL"/>
      </w:rPr>
      <w:t xml:space="preserve"> </w:t>
    </w:r>
    <w:r>
      <w:rPr>
        <w:rFonts w:eastAsia="Times New Roman" w:cs="Arial"/>
        <w:sz w:val="19"/>
        <w:szCs w:val="19"/>
        <w:lang w:val="pl-PL"/>
      </w:rPr>
      <w:t xml:space="preserve">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A5B9E3B" w14:textId="3691F643" w:rsidR="00D74825" w:rsidRPr="00517366" w:rsidRDefault="00D74825" w:rsidP="000E5941">
    <w:pPr>
      <w:pStyle w:val="Footer"/>
      <w:tabs>
        <w:tab w:val="clear" w:pos="4536"/>
        <w:tab w:val="clear" w:pos="9072"/>
        <w:tab w:val="left" w:pos="5935"/>
      </w:tabs>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844C7" w14:textId="5428FEF8"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 xml:space="preserve">101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9C335CB" w14:textId="43CA49EF" w:rsidR="00D74825" w:rsidRPr="00517366" w:rsidRDefault="00D74825" w:rsidP="000E5941">
    <w:pPr>
      <w:pStyle w:val="Footer"/>
      <w:tabs>
        <w:tab w:val="clear" w:pos="4536"/>
        <w:tab w:val="clear" w:pos="9072"/>
        <w:tab w:val="left" w:pos="5935"/>
      </w:tabs>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5E69E" w14:textId="7999D3D1"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102</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DAD1E88" w14:textId="77777777" w:rsidR="00D74825" w:rsidRPr="00517366" w:rsidRDefault="00D7482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FA773" w14:textId="00C236A3" w:rsidR="00D74825" w:rsidRPr="0091098F" w:rsidRDefault="00D74825" w:rsidP="0091098F">
    <w:pPr>
      <w:pBdr>
        <w:top w:val="single" w:sz="4" w:space="1" w:color="auto"/>
      </w:pBdr>
      <w:tabs>
        <w:tab w:val="center" w:pos="4153"/>
        <w:tab w:val="right" w:pos="9072"/>
      </w:tabs>
      <w:spacing w:after="0" w:line="240" w:lineRule="auto"/>
      <w:ind w:right="283"/>
      <w:rPr>
        <w:rFonts w:eastAsia="Times New Roman" w:cs="Times New Roman"/>
        <w:sz w:val="19"/>
        <w:szCs w:val="20"/>
        <w:lang w:val="pl-PL"/>
      </w:rPr>
    </w:pPr>
    <w:r>
      <w:rPr>
        <w:rFonts w:eastAsia="Times New Roman" w:cs="Arial"/>
        <w:sz w:val="19"/>
        <w:szCs w:val="19"/>
        <w:lang w:val="pl-PL"/>
      </w:rPr>
      <w:t>10</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5D7CA6E" w14:textId="77777777" w:rsidR="00D74825" w:rsidRDefault="00D74825">
    <w:pPr>
      <w:pStyle w:val="Footer"/>
    </w:pP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9913B" w14:textId="4048BF84"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103</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5B56B03" w14:textId="77777777" w:rsidR="00D74825" w:rsidRPr="00517366" w:rsidRDefault="00D7482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6B37A" w14:textId="3CE41350" w:rsidR="00D74825" w:rsidRPr="00517366" w:rsidRDefault="00D74825" w:rsidP="0091098F">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11</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E2053B7" w14:textId="77777777" w:rsidR="00D74825" w:rsidRDefault="00D7482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9A6C5" w14:textId="65030E00" w:rsidR="00D74825" w:rsidRPr="0091098F" w:rsidRDefault="00D74825" w:rsidP="0091098F">
    <w:pPr>
      <w:pBdr>
        <w:top w:val="single" w:sz="4" w:space="1" w:color="auto"/>
      </w:pBdr>
      <w:tabs>
        <w:tab w:val="center" w:pos="4153"/>
        <w:tab w:val="right" w:pos="9072"/>
      </w:tabs>
      <w:spacing w:after="0" w:line="240" w:lineRule="auto"/>
      <w:ind w:right="283"/>
      <w:rPr>
        <w:rFonts w:eastAsia="Times New Roman" w:cs="Times New Roman"/>
        <w:sz w:val="19"/>
        <w:szCs w:val="20"/>
        <w:lang w:val="pl-PL"/>
      </w:rPr>
    </w:pPr>
    <w:r>
      <w:rPr>
        <w:rFonts w:eastAsia="Times New Roman" w:cs="Arial"/>
        <w:sz w:val="19"/>
        <w:szCs w:val="19"/>
        <w:lang w:val="pl-PL"/>
      </w:rPr>
      <w:t>12</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ADFA875" w14:textId="77777777" w:rsidR="00D74825" w:rsidRDefault="00D74825">
    <w:pPr>
      <w:pStyle w:val="Footer"/>
    </w:pP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1EA04" w14:textId="6F76BBE0" w:rsidR="00D74825" w:rsidRPr="00517366" w:rsidRDefault="00D74825" w:rsidP="0091098F">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13</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83B542C" w14:textId="77777777" w:rsidR="00D74825" w:rsidRDefault="00D74825">
    <w:pPr>
      <w:pStyle w:val="Footer"/>
    </w:pP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2618D" w14:textId="0BD13678" w:rsidR="00D74825" w:rsidRPr="00517366" w:rsidRDefault="00D74825" w:rsidP="0091098F">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14</w:t>
    </w:r>
    <w:r w:rsidRPr="00517366">
      <w:rPr>
        <w:rFonts w:eastAsia="Times New Roman" w:cs="Arial"/>
        <w:sz w:val="19"/>
        <w:szCs w:val="19"/>
      </w:rPr>
      <w:t xml:space="preserve">  Hrvatska banka za obnovu i razvitak</w:t>
    </w:r>
  </w:p>
  <w:p w14:paraId="02150E1B" w14:textId="77777777" w:rsidR="00D74825" w:rsidRDefault="00D74825">
    <w:pPr>
      <w:pStyle w:val="Footer"/>
    </w:pPr>
    <w: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597EE" w14:textId="5559F1FE" w:rsidR="00D74825" w:rsidRPr="00517366" w:rsidRDefault="00D74825" w:rsidP="0091098F">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15</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07F27DE0" w14:textId="77777777" w:rsidR="00D74825" w:rsidRDefault="00D74825">
    <w:pPr>
      <w:pStyle w:val="Footer"/>
    </w:pPr>
    <w: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C760F" w14:textId="469AB0E7" w:rsidR="00D74825" w:rsidRPr="00517366" w:rsidRDefault="00D74825" w:rsidP="0091098F">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16</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F5A1196" w14:textId="77777777" w:rsidR="00D74825" w:rsidRDefault="00D74825">
    <w:pPr>
      <w:pStyle w:val="Footer"/>
    </w:pPr>
    <w: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CD2DA" w14:textId="74BDDF70" w:rsidR="00D74825" w:rsidRPr="00517366" w:rsidRDefault="00D74825" w:rsidP="0091098F">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17</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491CA64" w14:textId="77777777" w:rsidR="00D74825" w:rsidRDefault="00D74825">
    <w:pPr>
      <w:pStyle w:val="Footer"/>
    </w:pPr>
    <w: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E068D" w14:textId="760A6B66" w:rsidR="00D74825" w:rsidRPr="00517366" w:rsidRDefault="00D74825" w:rsidP="0091098F">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18</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07E0EFC" w14:textId="77777777" w:rsidR="00D74825" w:rsidRDefault="00D74825">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BCEA0" w14:textId="77777777" w:rsidR="00D74825" w:rsidRDefault="00D74825" w:rsidP="006605A2">
    <w:pPr>
      <w:pStyle w:val="Footer"/>
      <w:jc w:val="both"/>
      <w:rPr>
        <w:b/>
        <w:bCs/>
      </w:rPr>
    </w:pPr>
  </w:p>
  <w:p w14:paraId="0EB29716" w14:textId="77777777" w:rsidR="00D74825" w:rsidRDefault="00D74825">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CD50E" w14:textId="73626787"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19</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1A66A7A" w14:textId="77777777" w:rsidR="00D74825" w:rsidRDefault="00D74825">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50979" w14:textId="212AA161" w:rsidR="00D74825" w:rsidRPr="0091098F" w:rsidRDefault="00D74825" w:rsidP="00DE00A1">
    <w:pPr>
      <w:pBdr>
        <w:top w:val="single" w:sz="4" w:space="1" w:color="auto"/>
      </w:pBdr>
      <w:tabs>
        <w:tab w:val="center" w:pos="4153"/>
        <w:tab w:val="right" w:pos="9072"/>
      </w:tabs>
      <w:spacing w:after="0" w:line="240" w:lineRule="auto"/>
      <w:ind w:right="283"/>
      <w:rPr>
        <w:rFonts w:eastAsia="Times New Roman" w:cs="Times New Roman"/>
        <w:sz w:val="19"/>
        <w:szCs w:val="20"/>
        <w:lang w:val="pl-PL"/>
      </w:rPr>
    </w:pPr>
    <w:r>
      <w:rPr>
        <w:rFonts w:eastAsia="Times New Roman" w:cs="Arial"/>
        <w:sz w:val="19"/>
        <w:szCs w:val="19"/>
        <w:lang w:val="pl-PL"/>
      </w:rPr>
      <w:t>21</w:t>
    </w:r>
    <w:r w:rsidRPr="0091098F">
      <w:rPr>
        <w:rFonts w:eastAsia="Times New Roman" w:cs="Arial"/>
        <w:sz w:val="19"/>
        <w:szCs w:val="19"/>
        <w:lang w:val="pl-PL"/>
      </w:rPr>
      <w:t xml:space="preserve">   Hrvatska banka za obnovu i razvitak</w:t>
    </w:r>
  </w:p>
  <w:p w14:paraId="5DF91B2E" w14:textId="77777777" w:rsidR="00D74825" w:rsidRDefault="00D74825">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99041" w14:textId="6997A6ED"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20</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5CFC79B" w14:textId="77777777" w:rsidR="00D74825" w:rsidRDefault="00D74825">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BDDDC" w14:textId="66AD889E"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21</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05B1D75" w14:textId="77777777" w:rsidR="00D74825" w:rsidRDefault="00D74825">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81F7F" w14:textId="2A5F00EC"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22</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AFD1A8F" w14:textId="77777777" w:rsidR="00D74825" w:rsidRDefault="00D74825">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AC9C0" w14:textId="19B32A50" w:rsidR="00D74825" w:rsidRPr="007A429A" w:rsidRDefault="00D74825" w:rsidP="009170A3">
    <w:pPr>
      <w:pStyle w:val="Footer"/>
      <w:pBdr>
        <w:top w:val="single" w:sz="4" w:space="1" w:color="auto"/>
      </w:pBdr>
      <w:tabs>
        <w:tab w:val="left" w:pos="8916"/>
      </w:tabs>
      <w:ind w:right="4"/>
      <w:rPr>
        <w:rStyle w:val="PageNumber"/>
        <w:sz w:val="19"/>
        <w:lang w:val="pl-PL"/>
      </w:rPr>
    </w:pPr>
    <w:r>
      <w:rPr>
        <w:rStyle w:val="PageNumber"/>
        <w:sz w:val="19"/>
        <w:lang w:val="pl-PL"/>
      </w:rPr>
      <w:t>23</w:t>
    </w:r>
    <w:r w:rsidRPr="007A429A">
      <w:rPr>
        <w:rStyle w:val="PageNumber"/>
        <w:sz w:val="19"/>
        <w:lang w:val="pl-PL"/>
      </w:rPr>
      <w:t xml:space="preserve">   Hrvatska banka za obnovu i razvitak</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FF1D1" w14:textId="096B0AF8" w:rsidR="00D74825" w:rsidRPr="007A429A" w:rsidRDefault="00D74825" w:rsidP="009170A3">
    <w:pPr>
      <w:pStyle w:val="Footer"/>
      <w:pBdr>
        <w:top w:val="single" w:sz="4" w:space="1" w:color="auto"/>
      </w:pBdr>
      <w:tabs>
        <w:tab w:val="left" w:pos="8916"/>
      </w:tabs>
      <w:ind w:right="4"/>
      <w:rPr>
        <w:rStyle w:val="PageNumber"/>
        <w:sz w:val="19"/>
        <w:lang w:val="pl-PL"/>
      </w:rPr>
    </w:pPr>
    <w:r>
      <w:rPr>
        <w:rStyle w:val="PageNumber"/>
        <w:sz w:val="19"/>
        <w:lang w:val="pl-PL"/>
      </w:rPr>
      <w:t>24</w:t>
    </w:r>
    <w:r w:rsidRPr="007A429A">
      <w:rPr>
        <w:rStyle w:val="PageNumber"/>
        <w:sz w:val="19"/>
        <w:lang w:val="pl-PL"/>
      </w:rPr>
      <w:t xml:space="preserve">   </w:t>
    </w:r>
    <w:r w:rsidRPr="007A429A">
      <w:rPr>
        <w:rStyle w:val="PageNumber"/>
        <w:sz w:val="19"/>
        <w:lang w:val="pl-PL"/>
      </w:rPr>
      <w:t>Hrvatska banka za obnovu i razvitak</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53480" w14:textId="6A907FA4" w:rsidR="00D74825" w:rsidRPr="007A429A" w:rsidRDefault="00D74825" w:rsidP="009170A3">
    <w:pPr>
      <w:pStyle w:val="Footer"/>
      <w:pBdr>
        <w:top w:val="single" w:sz="4" w:space="1" w:color="auto"/>
      </w:pBdr>
      <w:tabs>
        <w:tab w:val="left" w:pos="8916"/>
      </w:tabs>
      <w:ind w:right="4"/>
      <w:rPr>
        <w:rStyle w:val="PageNumber"/>
        <w:sz w:val="19"/>
        <w:lang w:val="pl-PL"/>
      </w:rPr>
    </w:pPr>
    <w:r>
      <w:rPr>
        <w:rStyle w:val="PageNumber"/>
        <w:sz w:val="19"/>
        <w:lang w:val="pl-PL"/>
      </w:rPr>
      <w:t>25</w:t>
    </w:r>
    <w:r w:rsidRPr="007A429A">
      <w:rPr>
        <w:rStyle w:val="PageNumber"/>
        <w:sz w:val="19"/>
        <w:lang w:val="pl-PL"/>
      </w:rPr>
      <w:t xml:space="preserve">   </w:t>
    </w:r>
    <w:r w:rsidRPr="007A429A">
      <w:rPr>
        <w:rStyle w:val="PageNumber"/>
        <w:sz w:val="19"/>
        <w:lang w:val="pl-PL"/>
      </w:rPr>
      <w:t>Hrvatska banka za obnovu i razvitak</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04804" w14:textId="447DB595" w:rsidR="00D74825" w:rsidRPr="007A429A" w:rsidRDefault="00D74825" w:rsidP="009170A3">
    <w:pPr>
      <w:pStyle w:val="Footer"/>
      <w:pBdr>
        <w:top w:val="single" w:sz="4" w:space="1" w:color="auto"/>
      </w:pBdr>
      <w:tabs>
        <w:tab w:val="left" w:pos="8916"/>
      </w:tabs>
      <w:ind w:right="4"/>
      <w:rPr>
        <w:rStyle w:val="PageNumber"/>
        <w:sz w:val="19"/>
        <w:lang w:val="pl-PL"/>
      </w:rPr>
    </w:pPr>
    <w:r>
      <w:rPr>
        <w:rStyle w:val="PageNumber"/>
        <w:sz w:val="19"/>
        <w:lang w:val="pl-PL"/>
      </w:rPr>
      <w:t>26</w:t>
    </w:r>
    <w:r w:rsidRPr="007A429A">
      <w:rPr>
        <w:rStyle w:val="PageNumber"/>
        <w:sz w:val="19"/>
        <w:lang w:val="pl-PL"/>
      </w:rPr>
      <w:t xml:space="preserve">   </w:t>
    </w:r>
    <w:r w:rsidRPr="007A429A">
      <w:rPr>
        <w:rStyle w:val="PageNumber"/>
        <w:sz w:val="19"/>
        <w:lang w:val="pl-PL"/>
      </w:rPr>
      <w:t>Hrvatska banka za obnovu i razvitak</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CD98C" w14:textId="25ABEA66" w:rsidR="00D74825" w:rsidRPr="007A429A" w:rsidRDefault="00D74825" w:rsidP="009170A3">
    <w:pPr>
      <w:pStyle w:val="Footer"/>
      <w:pBdr>
        <w:top w:val="single" w:sz="4" w:space="1" w:color="auto"/>
      </w:pBdr>
      <w:tabs>
        <w:tab w:val="left" w:pos="8916"/>
      </w:tabs>
      <w:ind w:right="4"/>
      <w:rPr>
        <w:rStyle w:val="PageNumber"/>
        <w:sz w:val="19"/>
        <w:lang w:val="pl-PL"/>
      </w:rPr>
    </w:pPr>
    <w:r>
      <w:rPr>
        <w:rStyle w:val="PageNumber"/>
        <w:sz w:val="19"/>
        <w:lang w:val="pl-PL"/>
      </w:rPr>
      <w:t>27</w:t>
    </w:r>
    <w:r w:rsidRPr="007A429A">
      <w:rPr>
        <w:rStyle w:val="PageNumber"/>
        <w:sz w:val="19"/>
        <w:lang w:val="pl-PL"/>
      </w:rPr>
      <w:t xml:space="preserve">   </w:t>
    </w:r>
    <w:r w:rsidRPr="007A429A">
      <w:rPr>
        <w:rStyle w:val="PageNumber"/>
        <w:sz w:val="19"/>
        <w:lang w:val="pl-PL"/>
      </w:rPr>
      <w:t>Hrvatska banka za obnovu i razvitak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DF66A" w14:textId="77777777" w:rsidR="00D74825" w:rsidRPr="007A0C28" w:rsidRDefault="00D74825" w:rsidP="0091098F">
    <w:pPr>
      <w:pBdr>
        <w:top w:val="single" w:sz="4" w:space="1" w:color="auto"/>
      </w:pBdr>
      <w:tabs>
        <w:tab w:val="center" w:pos="4153"/>
        <w:tab w:val="right" w:pos="9072"/>
      </w:tabs>
      <w:spacing w:after="0" w:line="240" w:lineRule="auto"/>
      <w:ind w:right="283"/>
      <w:rPr>
        <w:rFonts w:eastAsia="Times New Roman" w:cs="Times New Roman"/>
        <w:sz w:val="19"/>
        <w:szCs w:val="20"/>
      </w:rPr>
    </w:pPr>
    <w:r w:rsidRPr="007A0C28">
      <w:rPr>
        <w:rFonts w:eastAsia="Times New Roman" w:cs="Arial"/>
        <w:sz w:val="19"/>
        <w:szCs w:val="19"/>
      </w:rPr>
      <w:t>2   Hrvatska banka za obnovu i razvitak</w:t>
    </w:r>
  </w:p>
  <w:p w14:paraId="38A31E9E" w14:textId="77777777" w:rsidR="00D74825" w:rsidRDefault="00D74825">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6F611" w14:textId="35810A43"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28</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66AE641" w14:textId="77777777" w:rsidR="00D74825" w:rsidRDefault="00D74825">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DEE63" w14:textId="1584DDA9"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29</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18F1A45" w14:textId="77777777" w:rsidR="00D74825" w:rsidRDefault="00D74825">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E0151" w14:textId="7EAD150A"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30</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0C52F1A" w14:textId="77777777" w:rsidR="00D74825" w:rsidRDefault="00D74825">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0AF04" w14:textId="7EE28CCC"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31</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4A6F489" w14:textId="77777777" w:rsidR="00D74825" w:rsidRDefault="00D74825">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E701F" w14:textId="4647EB39"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32</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1F03C4A" w14:textId="77777777" w:rsidR="00D74825" w:rsidRDefault="00D74825">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B23FA" w14:textId="387F5D02"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 xml:space="preserve">33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DB003E9" w14:textId="77777777" w:rsidR="00D74825" w:rsidRPr="00517366" w:rsidRDefault="00D74825">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1B003" w14:textId="2A13B564"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 xml:space="preserve">34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1CA2CBF" w14:textId="77777777" w:rsidR="00D74825" w:rsidRPr="00517366" w:rsidRDefault="00D74825">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9F230" w14:textId="356D510C"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 xml:space="preserve">35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A4CE145" w14:textId="77777777" w:rsidR="00D74825" w:rsidRPr="00517366" w:rsidRDefault="00D74825">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DD6E1" w14:textId="302B5A0A"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 xml:space="preserve">36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18963CE" w14:textId="77777777" w:rsidR="00D74825" w:rsidRPr="00517366" w:rsidRDefault="00D74825">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6DA80" w14:textId="77777777" w:rsidR="00D74825" w:rsidRPr="0091098F" w:rsidRDefault="00D74825" w:rsidP="00DE00A1">
    <w:pPr>
      <w:pBdr>
        <w:top w:val="single" w:sz="4" w:space="1" w:color="auto"/>
      </w:pBdr>
      <w:tabs>
        <w:tab w:val="center" w:pos="4153"/>
        <w:tab w:val="right" w:pos="9072"/>
      </w:tabs>
      <w:spacing w:after="0" w:line="240" w:lineRule="auto"/>
      <w:ind w:right="283"/>
      <w:rPr>
        <w:rFonts w:eastAsia="Times New Roman" w:cs="Times New Roman"/>
        <w:sz w:val="19"/>
        <w:szCs w:val="20"/>
        <w:lang w:val="pl-PL"/>
      </w:rPr>
    </w:pPr>
    <w:r>
      <w:rPr>
        <w:rFonts w:eastAsia="Times New Roman" w:cs="Arial"/>
        <w:sz w:val="19"/>
        <w:szCs w:val="19"/>
        <w:lang w:val="pl-PL"/>
      </w:rPr>
      <w:t>22</w:t>
    </w:r>
    <w:r w:rsidRPr="0091098F">
      <w:rPr>
        <w:rFonts w:eastAsia="Times New Roman" w:cs="Arial"/>
        <w:sz w:val="19"/>
        <w:szCs w:val="19"/>
        <w:lang w:val="pl-PL"/>
      </w:rPr>
      <w:t xml:space="preserve">   Hrvatska banka za obnovu i razvitak</w:t>
    </w:r>
  </w:p>
  <w:p w14:paraId="43C94A00" w14:textId="77777777" w:rsidR="00D74825" w:rsidRDefault="00D748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79B11" w14:textId="77777777" w:rsidR="00D74825" w:rsidRPr="00517366" w:rsidRDefault="00D74825" w:rsidP="00517366">
    <w:pPr>
      <w:pBdr>
        <w:top w:val="single" w:sz="4" w:space="1" w:color="auto"/>
      </w:pBdr>
      <w:tabs>
        <w:tab w:val="left" w:pos="3364"/>
      </w:tabs>
      <w:spacing w:after="0" w:line="240" w:lineRule="auto"/>
      <w:ind w:right="283"/>
      <w:rPr>
        <w:rFonts w:eastAsia="Times New Roman" w:cs="Times New Roman"/>
        <w:sz w:val="19"/>
        <w:szCs w:val="20"/>
      </w:rPr>
    </w:pPr>
    <w:r>
      <w:rPr>
        <w:rFonts w:eastAsia="Times New Roman" w:cs="Arial"/>
        <w:sz w:val="19"/>
        <w:szCs w:val="19"/>
        <w:lang w:val="pl-PL"/>
      </w:rPr>
      <w:t>3</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r w:rsidRPr="00517366">
      <w:rPr>
        <w:rFonts w:eastAsia="Times New Roman" w:cs="Arial"/>
        <w:sz w:val="19"/>
        <w:szCs w:val="19"/>
      </w:rPr>
      <w:tab/>
    </w:r>
  </w:p>
  <w:p w14:paraId="3D04B3BE" w14:textId="77777777" w:rsidR="00D74825" w:rsidRDefault="00D74825">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B0954" w14:textId="09B39662"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37</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9B1D1AE" w14:textId="77777777" w:rsidR="00D74825" w:rsidRPr="00517366" w:rsidRDefault="00D74825">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D7AFE" w14:textId="230BE716" w:rsidR="00D74825" w:rsidRPr="0091098F" w:rsidRDefault="00D74825" w:rsidP="00DE00A1">
    <w:pPr>
      <w:pBdr>
        <w:top w:val="single" w:sz="4" w:space="1" w:color="auto"/>
      </w:pBdr>
      <w:tabs>
        <w:tab w:val="center" w:pos="4153"/>
        <w:tab w:val="right" w:pos="9072"/>
      </w:tabs>
      <w:spacing w:after="0" w:line="240" w:lineRule="auto"/>
      <w:ind w:right="283"/>
      <w:rPr>
        <w:rFonts w:eastAsia="Times New Roman" w:cs="Times New Roman"/>
        <w:sz w:val="19"/>
        <w:szCs w:val="20"/>
        <w:lang w:val="pl-PL"/>
      </w:rPr>
    </w:pPr>
    <w:r>
      <w:rPr>
        <w:rFonts w:eastAsia="Times New Roman" w:cs="Arial"/>
        <w:sz w:val="19"/>
        <w:szCs w:val="19"/>
        <w:lang w:val="pl-PL"/>
      </w:rPr>
      <w:t>40</w:t>
    </w:r>
    <w:r w:rsidRPr="0091098F">
      <w:rPr>
        <w:rFonts w:eastAsia="Times New Roman" w:cs="Arial"/>
        <w:sz w:val="19"/>
        <w:szCs w:val="19"/>
        <w:lang w:val="pl-PL"/>
      </w:rPr>
      <w:t xml:space="preserve">   Hrvatska banka za obnovu i razvitak</w:t>
    </w:r>
  </w:p>
  <w:p w14:paraId="69044B19" w14:textId="77777777" w:rsidR="00D74825" w:rsidRDefault="00D74825">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EE2C6" w14:textId="785DDBBC"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38</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DBEB8B9" w14:textId="77777777" w:rsidR="00D74825" w:rsidRDefault="00D74825">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72D23" w14:textId="45A6DE90"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 xml:space="preserve">39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D5B95F8" w14:textId="77777777" w:rsidR="00D74825" w:rsidRDefault="00D74825">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F21CB" w14:textId="126B0C84" w:rsidR="000D2957" w:rsidRPr="00517366" w:rsidRDefault="000D2957"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 xml:space="preserve">40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3903B64" w14:textId="77777777" w:rsidR="000D2957" w:rsidRDefault="000D2957">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87218" w14:textId="15829CF9" w:rsidR="00D74825" w:rsidRPr="0091098F"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lang w:val="pl-PL"/>
      </w:rPr>
    </w:pPr>
    <w:r>
      <w:rPr>
        <w:rFonts w:eastAsia="Times New Roman" w:cs="Arial"/>
        <w:sz w:val="19"/>
        <w:szCs w:val="19"/>
        <w:lang w:val="pl-PL"/>
      </w:rPr>
      <w:t>41</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0ADE0FD0" w14:textId="77777777" w:rsidR="00D74825" w:rsidRDefault="00D74825">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193D" w14:textId="20B970A4" w:rsidR="00D74825" w:rsidRPr="0091098F"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lang w:val="pl-PL"/>
      </w:rPr>
    </w:pPr>
    <w:r>
      <w:rPr>
        <w:rFonts w:eastAsia="Times New Roman" w:cs="Arial"/>
        <w:sz w:val="19"/>
        <w:szCs w:val="19"/>
        <w:lang w:val="pl-PL"/>
      </w:rPr>
      <w:t>42</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CDBF6FA" w14:textId="77777777" w:rsidR="00D74825" w:rsidRDefault="00D74825">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7C4C5" w14:textId="2B91AD0F"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 xml:space="preserve">43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CD46EC4" w14:textId="77777777" w:rsidR="00D74825" w:rsidRDefault="00D74825">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7CCFF" w14:textId="77777777" w:rsidR="00D74825" w:rsidRPr="00517366" w:rsidRDefault="00D74825" w:rsidP="00DE00A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33</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B70297A" w14:textId="77777777" w:rsidR="00D74825" w:rsidRDefault="00D74825">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2FF09" w14:textId="7F58D599"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44</w:t>
    </w:r>
    <w:r w:rsidRPr="00517366">
      <w:rPr>
        <w:rFonts w:eastAsia="Times New Roman" w:cs="Arial"/>
        <w:sz w:val="19"/>
        <w:szCs w:val="19"/>
      </w:rPr>
      <w:t xml:space="preserve">  </w:t>
    </w:r>
    <w:r>
      <w:rPr>
        <w:rFonts w:eastAsia="Times New Roman" w:cs="Arial"/>
        <w:sz w:val="19"/>
        <w:szCs w:val="19"/>
      </w:rPr>
      <w:t xml:space="preserve"> </w:t>
    </w:r>
    <w:r w:rsidRPr="00517366">
      <w:rPr>
        <w:rFonts w:eastAsia="Times New Roman" w:cs="Arial"/>
        <w:sz w:val="19"/>
        <w:szCs w:val="19"/>
      </w:rPr>
      <w:t>Hrvatska banka za obnovu i razvitak</w:t>
    </w:r>
  </w:p>
  <w:p w14:paraId="1EBEE1F3" w14:textId="77777777" w:rsidR="00D74825" w:rsidRDefault="00D7482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4C70A" w14:textId="2E63A577" w:rsidR="00D74825" w:rsidRPr="0091098F" w:rsidRDefault="00D74825" w:rsidP="0091098F">
    <w:pPr>
      <w:pBdr>
        <w:top w:val="single" w:sz="4" w:space="1" w:color="auto"/>
      </w:pBdr>
      <w:tabs>
        <w:tab w:val="center" w:pos="4153"/>
        <w:tab w:val="right" w:pos="9072"/>
      </w:tabs>
      <w:spacing w:after="0" w:line="240" w:lineRule="auto"/>
      <w:ind w:right="283"/>
      <w:rPr>
        <w:rFonts w:eastAsia="Times New Roman" w:cs="Times New Roman"/>
        <w:sz w:val="19"/>
        <w:szCs w:val="20"/>
        <w:lang w:val="pl-PL"/>
      </w:rPr>
    </w:pPr>
    <w:r>
      <w:rPr>
        <w:rFonts w:eastAsia="Times New Roman" w:cs="Arial"/>
        <w:sz w:val="19"/>
        <w:szCs w:val="19"/>
        <w:lang w:val="pl-PL"/>
      </w:rPr>
      <w:t>4</w:t>
    </w:r>
    <w:r w:rsidRPr="0091098F">
      <w:rPr>
        <w:rFonts w:eastAsia="Times New Roman" w:cs="Arial"/>
        <w:sz w:val="19"/>
        <w:szCs w:val="19"/>
        <w:lang w:val="pl-PL"/>
      </w:rPr>
      <w:t xml:space="preserve">   </w:t>
    </w:r>
  </w:p>
  <w:p w14:paraId="12F4B962" w14:textId="77777777" w:rsidR="00D74825" w:rsidRDefault="00D74825">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6AF95" w14:textId="49F8E03F"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45</w:t>
    </w:r>
    <w:r w:rsidRPr="00517366">
      <w:rPr>
        <w:rFonts w:eastAsia="Times New Roman" w:cs="Arial"/>
        <w:sz w:val="19"/>
        <w:szCs w:val="19"/>
      </w:rPr>
      <w:t xml:space="preserve">   Hrvatska banka za obnovu i razvitak</w:t>
    </w:r>
  </w:p>
  <w:p w14:paraId="595ACA2F" w14:textId="77777777" w:rsidR="00D74825" w:rsidRDefault="00D74825">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A0825" w14:textId="324A9BA6"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46</w:t>
    </w:r>
    <w:r w:rsidRPr="00517366">
      <w:rPr>
        <w:rFonts w:eastAsia="Times New Roman" w:cs="Arial"/>
        <w:sz w:val="19"/>
        <w:szCs w:val="19"/>
      </w:rPr>
      <w:t xml:space="preserve"> </w:t>
    </w:r>
    <w:r>
      <w:rPr>
        <w:rFonts w:eastAsia="Times New Roman" w:cs="Arial"/>
        <w:sz w:val="19"/>
        <w:szCs w:val="19"/>
      </w:rPr>
      <w:t xml:space="preserve"> </w:t>
    </w:r>
    <w:r w:rsidRPr="00517366">
      <w:rPr>
        <w:rFonts w:eastAsia="Times New Roman" w:cs="Arial"/>
        <w:sz w:val="19"/>
        <w:szCs w:val="19"/>
      </w:rPr>
      <w:t xml:space="preserve"> Hrvatska banka za obnovu i razvitak</w:t>
    </w:r>
  </w:p>
  <w:p w14:paraId="3DC74962" w14:textId="77777777" w:rsidR="00D74825" w:rsidRDefault="00D74825">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8E018" w14:textId="77777777" w:rsidR="00D74825" w:rsidRPr="00517366" w:rsidRDefault="00D74825" w:rsidP="00DE00A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40</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649B377" w14:textId="77777777" w:rsidR="00D74825" w:rsidRDefault="00D74825">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9C988" w14:textId="473D63EC"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 xml:space="preserve">47   </w:t>
    </w:r>
    <w:r w:rsidRPr="00517366">
      <w:rPr>
        <w:rFonts w:eastAsia="Times New Roman" w:cs="Arial"/>
        <w:sz w:val="19"/>
        <w:szCs w:val="19"/>
      </w:rPr>
      <w:t>Hrvatska banka za obnovu i razvitak</w:t>
    </w:r>
  </w:p>
  <w:p w14:paraId="29450C66" w14:textId="77777777" w:rsidR="00D74825" w:rsidRDefault="00D74825">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15C9C" w14:textId="44EEEE7C"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48</w:t>
    </w:r>
    <w:r w:rsidRPr="0091098F">
      <w:rPr>
        <w:rFonts w:eastAsia="Times New Roman" w:cs="Arial"/>
        <w:sz w:val="19"/>
        <w:szCs w:val="19"/>
        <w:lang w:val="pl-PL"/>
      </w:rPr>
      <w:t xml:space="preserve"> </w:t>
    </w:r>
    <w:r>
      <w:rPr>
        <w:rFonts w:eastAsia="Times New Roman" w:cs="Arial"/>
        <w:sz w:val="19"/>
        <w:szCs w:val="19"/>
        <w:lang w:val="pl-PL"/>
      </w:rPr>
      <w:t xml:space="preserve">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03BAAE88" w14:textId="77777777" w:rsidR="00D74825" w:rsidRDefault="00D74825">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D44FF" w14:textId="36C3EF92"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49</w:t>
    </w:r>
    <w:r w:rsidRPr="0091098F">
      <w:rPr>
        <w:rFonts w:eastAsia="Times New Roman" w:cs="Arial"/>
        <w:sz w:val="19"/>
        <w:szCs w:val="19"/>
        <w:lang w:val="pl-PL"/>
      </w:rPr>
      <w:t xml:space="preserve"> </w:t>
    </w:r>
    <w:r>
      <w:rPr>
        <w:rFonts w:eastAsia="Times New Roman" w:cs="Arial"/>
        <w:sz w:val="19"/>
        <w:szCs w:val="19"/>
        <w:lang w:val="pl-PL"/>
      </w:rPr>
      <w:t xml:space="preserve">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C5CE884" w14:textId="77777777" w:rsidR="00D74825" w:rsidRDefault="00D74825">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46286" w14:textId="4D068BAD" w:rsidR="00D74825" w:rsidRDefault="00D74825" w:rsidP="00F4789E">
    <w:pPr>
      <w:pStyle w:val="Footer"/>
      <w:pBdr>
        <w:top w:val="single" w:sz="4" w:space="1" w:color="auto"/>
      </w:pBdr>
      <w:ind w:right="283"/>
      <w:rPr>
        <w:rFonts w:cs="Arial"/>
        <w:sz w:val="19"/>
        <w:szCs w:val="19"/>
        <w:lang w:val="pl-PL"/>
      </w:rPr>
    </w:pPr>
    <w:r>
      <w:rPr>
        <w:rFonts w:cs="Arial"/>
        <w:sz w:val="19"/>
        <w:szCs w:val="19"/>
        <w:lang w:val="pl-PL"/>
      </w:rPr>
      <w:t>50</w:t>
    </w:r>
    <w:r w:rsidRPr="00621261">
      <w:rPr>
        <w:rFonts w:cs="Arial"/>
        <w:sz w:val="19"/>
        <w:szCs w:val="19"/>
        <w:lang w:val="pl-PL"/>
      </w:rPr>
      <w:t xml:space="preserve">  </w:t>
    </w:r>
    <w:r w:rsidRPr="008C45B8">
      <w:rPr>
        <w:rFonts w:cs="Arial"/>
        <w:sz w:val="19"/>
        <w:szCs w:val="19"/>
        <w:lang w:val="pl-PL"/>
      </w:rPr>
      <w:t xml:space="preserve"> Hrvatska banka za obnovu i razvitak</w:t>
    </w:r>
  </w:p>
  <w:p w14:paraId="2406DACC" w14:textId="77777777" w:rsidR="00D74825" w:rsidRPr="008C45B8" w:rsidRDefault="00D74825" w:rsidP="00F4789E">
    <w:pPr>
      <w:pStyle w:val="Footer"/>
      <w:pBdr>
        <w:top w:val="single" w:sz="4" w:space="1" w:color="auto"/>
      </w:pBdr>
      <w:ind w:right="283"/>
      <w:rPr>
        <w:sz w:val="19"/>
        <w:lang w:val="pl-PL"/>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853BD" w14:textId="3F79EA8E"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51</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04617EE3" w14:textId="77777777" w:rsidR="00D74825" w:rsidRDefault="00D74825">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BDACF" w14:textId="75EF5DC0"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52</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9F61649" w14:textId="77777777" w:rsidR="00D74825" w:rsidRDefault="00D74825">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51E89" w14:textId="5DAB559D"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54</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92110AF" w14:textId="77777777" w:rsidR="00D74825" w:rsidRDefault="00D7482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E14DA" w14:textId="61DFB743" w:rsidR="00D74825" w:rsidRPr="0091098F" w:rsidRDefault="00D74825" w:rsidP="0091098F">
    <w:pPr>
      <w:pBdr>
        <w:top w:val="single" w:sz="4" w:space="1" w:color="auto"/>
      </w:pBdr>
      <w:tabs>
        <w:tab w:val="center" w:pos="4153"/>
        <w:tab w:val="right" w:pos="9072"/>
      </w:tabs>
      <w:spacing w:after="0" w:line="240" w:lineRule="auto"/>
      <w:ind w:right="283"/>
      <w:rPr>
        <w:rFonts w:eastAsia="Times New Roman" w:cs="Times New Roman"/>
        <w:sz w:val="19"/>
        <w:szCs w:val="20"/>
        <w:lang w:val="pl-PL"/>
      </w:rPr>
    </w:pPr>
    <w:r>
      <w:rPr>
        <w:rFonts w:eastAsia="Times New Roman" w:cs="Arial"/>
        <w:sz w:val="19"/>
        <w:szCs w:val="19"/>
        <w:lang w:val="pl-PL"/>
      </w:rPr>
      <w:t>5</w:t>
    </w:r>
    <w:r w:rsidRPr="0091098F">
      <w:rPr>
        <w:rFonts w:eastAsia="Times New Roman" w:cs="Arial"/>
        <w:sz w:val="19"/>
        <w:szCs w:val="19"/>
        <w:lang w:val="pl-PL"/>
      </w:rPr>
      <w:t xml:space="preserve"> </w:t>
    </w:r>
  </w:p>
  <w:p w14:paraId="1E82ACDD" w14:textId="77777777" w:rsidR="00D74825" w:rsidRDefault="00D74825">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AC094" w14:textId="5481224D"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55</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7DABCE5" w14:textId="77777777" w:rsidR="00D74825" w:rsidRDefault="00D74825">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88E35" w14:textId="7D1F4D99" w:rsidR="00D74825" w:rsidRDefault="00D74825" w:rsidP="00727B7F">
    <w:pPr>
      <w:pStyle w:val="Footer"/>
      <w:pBdr>
        <w:top w:val="single" w:sz="4" w:space="1" w:color="auto"/>
      </w:pBdr>
      <w:ind w:right="283"/>
      <w:rPr>
        <w:rFonts w:cs="Arial"/>
        <w:sz w:val="19"/>
        <w:szCs w:val="19"/>
        <w:lang w:val="pl-PL"/>
      </w:rPr>
    </w:pPr>
    <w:r>
      <w:rPr>
        <w:rFonts w:cs="Arial"/>
        <w:sz w:val="19"/>
        <w:szCs w:val="19"/>
        <w:lang w:val="pl-PL"/>
      </w:rPr>
      <w:t>56</w:t>
    </w:r>
    <w:r w:rsidRPr="00621261">
      <w:rPr>
        <w:rFonts w:cs="Arial"/>
        <w:sz w:val="19"/>
        <w:szCs w:val="19"/>
        <w:lang w:val="pl-PL"/>
      </w:rPr>
      <w:t xml:space="preserve"> </w:t>
    </w:r>
    <w:r w:rsidRPr="008C45B8">
      <w:rPr>
        <w:rFonts w:cs="Arial"/>
        <w:sz w:val="19"/>
        <w:szCs w:val="19"/>
        <w:lang w:val="pl-PL"/>
      </w:rPr>
      <w:t xml:space="preserve">  Hrvatska banka za obnovu i razvitak</w:t>
    </w:r>
  </w:p>
  <w:p w14:paraId="36049555" w14:textId="77777777" w:rsidR="00D74825" w:rsidRPr="008C45B8" w:rsidRDefault="00D74825" w:rsidP="00727B7F">
    <w:pPr>
      <w:pStyle w:val="Footer"/>
      <w:pBdr>
        <w:top w:val="single" w:sz="4" w:space="1" w:color="auto"/>
      </w:pBdr>
      <w:ind w:right="283"/>
      <w:rPr>
        <w:sz w:val="19"/>
        <w:lang w:val="pl-PL"/>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8538D" w14:textId="19F7B194"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 xml:space="preserve">57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2BA13C0" w14:textId="77777777" w:rsidR="00D74825" w:rsidRDefault="00D74825">
    <w:pPr>
      <w:pStyle w:val="Foote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61A53" w14:textId="02DDB7A4" w:rsidR="00D74825" w:rsidRDefault="00D74825" w:rsidP="00727B7F">
    <w:pPr>
      <w:pStyle w:val="Footer"/>
      <w:pBdr>
        <w:top w:val="single" w:sz="4" w:space="1" w:color="auto"/>
      </w:pBdr>
      <w:ind w:right="283"/>
      <w:rPr>
        <w:rFonts w:cs="Arial"/>
        <w:sz w:val="19"/>
        <w:szCs w:val="19"/>
        <w:lang w:val="pl-PL"/>
      </w:rPr>
    </w:pPr>
    <w:r>
      <w:rPr>
        <w:rFonts w:cs="Arial"/>
        <w:sz w:val="19"/>
        <w:szCs w:val="19"/>
        <w:lang w:val="pl-PL"/>
      </w:rPr>
      <w:t>58</w:t>
    </w:r>
    <w:r w:rsidRPr="00621261">
      <w:rPr>
        <w:rFonts w:cs="Arial"/>
        <w:sz w:val="19"/>
        <w:szCs w:val="19"/>
        <w:lang w:val="pl-PL"/>
      </w:rPr>
      <w:t xml:space="preserve"> </w:t>
    </w:r>
    <w:r w:rsidRPr="008C45B8">
      <w:rPr>
        <w:rFonts w:cs="Arial"/>
        <w:sz w:val="19"/>
        <w:szCs w:val="19"/>
        <w:lang w:val="pl-PL"/>
      </w:rPr>
      <w:t xml:space="preserve">  Hrvatska banka za obnovu i razvitak</w:t>
    </w:r>
  </w:p>
  <w:p w14:paraId="68E1B3D2" w14:textId="77777777" w:rsidR="00D74825" w:rsidRPr="008C45B8" w:rsidRDefault="00D74825" w:rsidP="00727B7F">
    <w:pPr>
      <w:pStyle w:val="Footer"/>
      <w:pBdr>
        <w:top w:val="single" w:sz="4" w:space="1" w:color="auto"/>
      </w:pBdr>
      <w:ind w:right="283"/>
      <w:rPr>
        <w:sz w:val="19"/>
        <w:lang w:val="pl-PL"/>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DDE48" w14:textId="77FA7447"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59</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74552B0" w14:textId="77777777" w:rsidR="00D74825" w:rsidRDefault="00D74825">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74012" w14:textId="00CC6649" w:rsidR="00D74825" w:rsidRPr="008C45B8" w:rsidRDefault="00D74825" w:rsidP="00727B7F">
    <w:pPr>
      <w:pStyle w:val="Footer"/>
      <w:pBdr>
        <w:top w:val="single" w:sz="4" w:space="1" w:color="auto"/>
      </w:pBdr>
      <w:ind w:right="283"/>
      <w:rPr>
        <w:sz w:val="19"/>
        <w:lang w:val="pl-PL"/>
      </w:rPr>
    </w:pPr>
    <w:r>
      <w:rPr>
        <w:rFonts w:cs="Arial"/>
        <w:sz w:val="19"/>
        <w:szCs w:val="19"/>
        <w:lang w:val="pl-PL"/>
      </w:rPr>
      <w:t>55</w:t>
    </w:r>
    <w:r w:rsidRPr="00621261">
      <w:rPr>
        <w:rFonts w:cs="Arial"/>
        <w:sz w:val="19"/>
        <w:szCs w:val="19"/>
        <w:lang w:val="pl-PL"/>
      </w:rPr>
      <w:t xml:space="preserve"> </w:t>
    </w:r>
    <w:r w:rsidRPr="008C45B8">
      <w:rPr>
        <w:rFonts w:cs="Arial"/>
        <w:sz w:val="19"/>
        <w:szCs w:val="19"/>
        <w:lang w:val="pl-PL"/>
      </w:rPr>
      <w:t xml:space="preserve">  Hrvatska banka za obnovu i razvitak</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E469" w14:textId="17498F5D"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60</w:t>
    </w:r>
    <w:r w:rsidRPr="0091098F">
      <w:rPr>
        <w:rFonts w:eastAsia="Times New Roman" w:cs="Arial"/>
        <w:sz w:val="19"/>
        <w:szCs w:val="19"/>
        <w:lang w:val="pl-PL"/>
      </w:rPr>
      <w:t xml:space="preserve"> </w:t>
    </w:r>
    <w:r>
      <w:rPr>
        <w:rFonts w:eastAsia="Times New Roman" w:cs="Arial"/>
        <w:sz w:val="19"/>
        <w:szCs w:val="19"/>
        <w:lang w:val="pl-PL"/>
      </w:rPr>
      <w:t xml:space="preserve">  </w:t>
    </w:r>
    <w:r w:rsidRPr="00517366">
      <w:rPr>
        <w:rFonts w:eastAsia="Times New Roman" w:cs="Arial"/>
        <w:sz w:val="19"/>
        <w:szCs w:val="19"/>
      </w:rPr>
      <w:t>Hrvatska banka za obnovu i razvitak</w:t>
    </w:r>
  </w:p>
  <w:p w14:paraId="7C183D2C" w14:textId="77777777" w:rsidR="00D74825" w:rsidRDefault="00D74825">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B86E8" w14:textId="3247231F"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 xml:space="preserve">61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5C37734" w14:textId="77777777" w:rsidR="00D74825" w:rsidRDefault="00D74825">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7751E" w14:textId="24D4D6AC"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62</w:t>
    </w:r>
    <w:r w:rsidRPr="0091098F">
      <w:rPr>
        <w:rFonts w:eastAsia="Times New Roman" w:cs="Arial"/>
        <w:sz w:val="19"/>
        <w:szCs w:val="19"/>
        <w:lang w:val="pl-PL"/>
      </w:rPr>
      <w:t xml:space="preserve"> </w:t>
    </w:r>
    <w:r>
      <w:rPr>
        <w:rFonts w:eastAsia="Times New Roman" w:cs="Arial"/>
        <w:sz w:val="19"/>
        <w:szCs w:val="19"/>
        <w:lang w:val="pl-PL"/>
      </w:rPr>
      <w:t xml:space="preserve">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BE4D444" w14:textId="77777777" w:rsidR="00D74825" w:rsidRDefault="00D74825">
    <w:pPr>
      <w:pStyle w:val="Foote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2D941" w14:textId="66D9976A"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63</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7DC5457C" w14:textId="77777777" w:rsidR="00D74825" w:rsidRDefault="00D7482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A4955" w14:textId="0FD9DA3A" w:rsidR="00D74825" w:rsidRPr="0091098F" w:rsidRDefault="00D74825" w:rsidP="0091098F">
    <w:pPr>
      <w:pBdr>
        <w:top w:val="single" w:sz="4" w:space="1" w:color="auto"/>
      </w:pBdr>
      <w:tabs>
        <w:tab w:val="center" w:pos="4153"/>
        <w:tab w:val="right" w:pos="9072"/>
      </w:tabs>
      <w:spacing w:after="0" w:line="240" w:lineRule="auto"/>
      <w:ind w:right="283"/>
      <w:rPr>
        <w:rFonts w:eastAsia="Times New Roman" w:cs="Times New Roman"/>
        <w:sz w:val="19"/>
        <w:szCs w:val="20"/>
        <w:lang w:val="pl-PL"/>
      </w:rPr>
    </w:pPr>
    <w:r>
      <w:rPr>
        <w:rFonts w:eastAsia="Times New Roman" w:cs="Arial"/>
        <w:sz w:val="19"/>
        <w:szCs w:val="19"/>
        <w:lang w:val="pl-PL"/>
      </w:rPr>
      <w:t>6</w:t>
    </w:r>
    <w:r w:rsidRPr="0091098F">
      <w:rPr>
        <w:rFonts w:eastAsia="Times New Roman" w:cs="Arial"/>
        <w:sz w:val="19"/>
        <w:szCs w:val="19"/>
        <w:lang w:val="pl-PL"/>
      </w:rPr>
      <w:t xml:space="preserve"> </w:t>
    </w:r>
  </w:p>
  <w:p w14:paraId="6C5BF401" w14:textId="77777777" w:rsidR="00D74825" w:rsidRDefault="00D74825">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D40F6" w14:textId="49C1A09A"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 xml:space="preserve">64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861D02C" w14:textId="77777777" w:rsidR="00D74825" w:rsidRDefault="00D74825">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F4573" w14:textId="0AEE0E47"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65</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F983DFF" w14:textId="77777777" w:rsidR="00D74825" w:rsidRDefault="00D74825">
    <w:pPr>
      <w:pStyle w:val="Foote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092D1" w14:textId="31F6F383"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66</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38D2C06" w14:textId="77777777" w:rsidR="00D74825" w:rsidRDefault="00D74825">
    <w:pPr>
      <w:pStyle w:val="Foote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FB1FB" w14:textId="2274BC41"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67</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DBBAE11" w14:textId="77777777" w:rsidR="00D74825" w:rsidRDefault="00D74825">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CB1B2" w14:textId="4A848997"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 xml:space="preserve">68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E99D42E" w14:textId="77777777" w:rsidR="00D74825" w:rsidRDefault="00D74825">
    <w:pPr>
      <w:pStyle w:val="Foote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A932D" w14:textId="508BBC9B"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69</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96CF6F2" w14:textId="77777777" w:rsidR="00D74825" w:rsidRDefault="00D74825">
    <w:pPr>
      <w:pStyle w:val="Foote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DD996" w14:textId="006B83AB"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70</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671413C" w14:textId="77777777" w:rsidR="00D74825" w:rsidRDefault="00D74825">
    <w:pPr>
      <w:pStyle w:val="Foo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AB4BD" w14:textId="16FEDE3A"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71</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7D462F2" w14:textId="77777777" w:rsidR="00D74825" w:rsidRDefault="00D74825">
    <w:pPr>
      <w:pStyle w:val="Foote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F7C27" w14:textId="7AC3F761"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 xml:space="preserve">72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0EA8F40" w14:textId="77777777" w:rsidR="00D74825" w:rsidRDefault="00D74825">
    <w:pPr>
      <w:pStyle w:val="Foote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03F50" w14:textId="634AE4A1"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73</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999B602" w14:textId="77777777" w:rsidR="00D74825" w:rsidRDefault="00D7482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98DEC" w14:textId="049F69AC" w:rsidR="00D74825" w:rsidRPr="0091098F" w:rsidRDefault="00D74825" w:rsidP="0091098F">
    <w:pPr>
      <w:pBdr>
        <w:top w:val="single" w:sz="4" w:space="1" w:color="auto"/>
      </w:pBdr>
      <w:tabs>
        <w:tab w:val="center" w:pos="4153"/>
        <w:tab w:val="right" w:pos="9072"/>
      </w:tabs>
      <w:spacing w:after="0" w:line="240" w:lineRule="auto"/>
      <w:ind w:right="283"/>
      <w:rPr>
        <w:rFonts w:eastAsia="Times New Roman" w:cs="Times New Roman"/>
        <w:sz w:val="19"/>
        <w:szCs w:val="20"/>
        <w:lang w:val="pl-PL"/>
      </w:rPr>
    </w:pPr>
    <w:r>
      <w:rPr>
        <w:rFonts w:eastAsia="Times New Roman" w:cs="Arial"/>
        <w:sz w:val="19"/>
        <w:szCs w:val="19"/>
        <w:lang w:val="pl-PL"/>
      </w:rPr>
      <w:t>7</w:t>
    </w:r>
    <w:r w:rsidRPr="0091098F">
      <w:rPr>
        <w:rFonts w:eastAsia="Times New Roman" w:cs="Arial"/>
        <w:sz w:val="19"/>
        <w:szCs w:val="19"/>
        <w:lang w:val="pl-PL"/>
      </w:rPr>
      <w:t xml:space="preserve"> </w:t>
    </w:r>
  </w:p>
  <w:p w14:paraId="4EE67A04" w14:textId="77777777" w:rsidR="00D74825" w:rsidRDefault="00D74825">
    <w:pPr>
      <w:pStyle w:val="Foote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28BEE" w14:textId="51ED50DE"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74</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14F0A91" w14:textId="77777777" w:rsidR="00D74825" w:rsidRDefault="00D74825">
    <w:pPr>
      <w:pStyle w:val="Footer"/>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AD75C" w14:textId="0D383449"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75</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C84B9D7" w14:textId="77777777" w:rsidR="00D74825" w:rsidRDefault="00D74825">
    <w:pPr>
      <w:pStyle w:val="Foote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6C3AD" w14:textId="2251BE5C"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76</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76D9B70" w14:textId="77777777" w:rsidR="00D74825" w:rsidRDefault="00D74825">
    <w:pPr>
      <w:pStyle w:val="Foote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F1CBA" w14:textId="7308DC6D"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77</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BADD7C6" w14:textId="77777777" w:rsidR="00D74825" w:rsidRDefault="00D74825">
    <w:pPr>
      <w:pStyle w:val="Foote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3E936" w14:textId="4E7376FF"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78</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0516B9C0" w14:textId="77777777" w:rsidR="00D74825" w:rsidRDefault="00D74825">
    <w:pPr>
      <w:pStyle w:val="Foote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CE23D" w14:textId="7366DDC1"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79</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5002364" w14:textId="77777777" w:rsidR="00D74825" w:rsidRDefault="00D74825">
    <w:pPr>
      <w:pStyle w:val="Foo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12420" w14:textId="215F60BA"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80</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4D83BC50" w14:textId="77777777" w:rsidR="00D74825" w:rsidRDefault="00D74825">
    <w:pPr>
      <w:pStyle w:val="Footer"/>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ABE28" w14:textId="3CAE018A"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81</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10DBAA1" w14:textId="77777777" w:rsidR="00D74825" w:rsidRDefault="00D74825">
    <w:pPr>
      <w:pStyle w:val="Foote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1FA9E" w14:textId="4B47504F"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82</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38485ABD" w14:textId="77777777" w:rsidR="00D74825" w:rsidRDefault="00D74825">
    <w:pPr>
      <w:pStyle w:val="Foote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7EC95" w14:textId="0F2D3576"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 xml:space="preserve">83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208BE5D9" w14:textId="77777777" w:rsidR="00D74825" w:rsidRDefault="00D7482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5CB69" w14:textId="5A0B8D19" w:rsidR="00D74825" w:rsidRPr="0091098F" w:rsidRDefault="00D74825" w:rsidP="0091098F">
    <w:pPr>
      <w:pBdr>
        <w:top w:val="single" w:sz="4" w:space="1" w:color="auto"/>
      </w:pBdr>
      <w:tabs>
        <w:tab w:val="center" w:pos="4153"/>
        <w:tab w:val="right" w:pos="9072"/>
      </w:tabs>
      <w:spacing w:after="0" w:line="240" w:lineRule="auto"/>
      <w:ind w:right="283"/>
      <w:rPr>
        <w:rFonts w:eastAsia="Times New Roman" w:cs="Times New Roman"/>
        <w:sz w:val="19"/>
        <w:szCs w:val="20"/>
        <w:lang w:val="pl-PL"/>
      </w:rPr>
    </w:pPr>
    <w:r>
      <w:rPr>
        <w:rFonts w:eastAsia="Times New Roman" w:cs="Arial"/>
        <w:sz w:val="19"/>
        <w:szCs w:val="19"/>
        <w:lang w:val="pl-PL"/>
      </w:rPr>
      <w:t>8</w:t>
    </w:r>
    <w:r w:rsidRPr="0091098F">
      <w:rPr>
        <w:rFonts w:eastAsia="Times New Roman" w:cs="Arial"/>
        <w:sz w:val="19"/>
        <w:szCs w:val="19"/>
        <w:lang w:val="pl-PL"/>
      </w:rPr>
      <w:t xml:space="preserve"> </w:t>
    </w:r>
  </w:p>
  <w:p w14:paraId="33997820" w14:textId="77777777" w:rsidR="00D74825" w:rsidRDefault="00D74825">
    <w:pPr>
      <w:pStyle w:val="Foote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D9D7B" w14:textId="4F93DE84"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 xml:space="preserve">84 </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B9F6E38" w14:textId="77777777" w:rsidR="00D74825" w:rsidRDefault="00D74825">
    <w:pPr>
      <w:pStyle w:val="Foote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2989B" w14:textId="17947548" w:rsidR="00D74825" w:rsidRPr="008C45B8" w:rsidRDefault="00D74825" w:rsidP="00A37280">
    <w:pPr>
      <w:pStyle w:val="Footer"/>
      <w:pBdr>
        <w:top w:val="single" w:sz="4" w:space="1" w:color="auto"/>
      </w:pBdr>
      <w:ind w:right="283"/>
      <w:rPr>
        <w:sz w:val="19"/>
        <w:lang w:val="pl-PL"/>
      </w:rPr>
    </w:pPr>
    <w:r>
      <w:rPr>
        <w:rFonts w:cs="Arial"/>
        <w:sz w:val="19"/>
        <w:szCs w:val="19"/>
      </w:rPr>
      <w:t xml:space="preserve">85 </w:t>
    </w:r>
    <w:r w:rsidRPr="008C45B8">
      <w:rPr>
        <w:rFonts w:cs="Arial"/>
        <w:sz w:val="19"/>
        <w:szCs w:val="19"/>
        <w:lang w:val="pl-PL"/>
      </w:rPr>
      <w:t xml:space="preserve">  </w:t>
    </w:r>
    <w:r w:rsidRPr="008C45B8">
      <w:rPr>
        <w:rFonts w:cs="Arial"/>
        <w:sz w:val="19"/>
        <w:szCs w:val="19"/>
        <w:lang w:val="pl-PL"/>
      </w:rPr>
      <w:t>Hrvatska banka za obnovu i razvitak</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2D4E0" w14:textId="58B65851" w:rsidR="00D74825" w:rsidRPr="008C45B8" w:rsidRDefault="00D74825" w:rsidP="00A37280">
    <w:pPr>
      <w:pStyle w:val="Footer"/>
      <w:pBdr>
        <w:top w:val="single" w:sz="4" w:space="1" w:color="auto"/>
      </w:pBdr>
      <w:ind w:right="283"/>
      <w:rPr>
        <w:sz w:val="19"/>
        <w:lang w:val="pl-PL"/>
      </w:rPr>
    </w:pPr>
    <w:r>
      <w:rPr>
        <w:rFonts w:cs="Arial"/>
        <w:sz w:val="19"/>
        <w:szCs w:val="19"/>
      </w:rPr>
      <w:t xml:space="preserve">86 </w:t>
    </w:r>
    <w:r w:rsidRPr="008C45B8">
      <w:rPr>
        <w:rFonts w:cs="Arial"/>
        <w:sz w:val="19"/>
        <w:szCs w:val="19"/>
        <w:lang w:val="pl-PL"/>
      </w:rPr>
      <w:t xml:space="preserve">  </w:t>
    </w:r>
    <w:r w:rsidRPr="008C45B8">
      <w:rPr>
        <w:rFonts w:cs="Arial"/>
        <w:sz w:val="19"/>
        <w:szCs w:val="19"/>
        <w:lang w:val="pl-PL"/>
      </w:rPr>
      <w:t>Hrvatska banka za obnovu i razvitak</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918F8" w14:textId="15E4CE80" w:rsidR="00D74825" w:rsidRPr="002A33EB" w:rsidRDefault="00D74825" w:rsidP="00A37280">
    <w:pPr>
      <w:pStyle w:val="Footer"/>
      <w:pBdr>
        <w:top w:val="single" w:sz="4" w:space="1" w:color="auto"/>
      </w:pBdr>
      <w:ind w:right="283"/>
      <w:rPr>
        <w:sz w:val="19"/>
        <w:lang w:val="pl-PL"/>
      </w:rPr>
    </w:pPr>
    <w:r>
      <w:rPr>
        <w:rFonts w:cs="Arial"/>
        <w:sz w:val="19"/>
        <w:szCs w:val="19"/>
      </w:rPr>
      <w:t xml:space="preserve">87 </w:t>
    </w:r>
    <w:r w:rsidRPr="002A33EB">
      <w:rPr>
        <w:rFonts w:cs="Arial"/>
        <w:sz w:val="19"/>
        <w:szCs w:val="19"/>
        <w:lang w:val="pl-PL"/>
      </w:rPr>
      <w:t xml:space="preserve">  </w:t>
    </w:r>
    <w:r w:rsidRPr="002A33EB">
      <w:rPr>
        <w:rFonts w:cs="Arial"/>
        <w:sz w:val="19"/>
        <w:szCs w:val="19"/>
        <w:lang w:val="pl-PL"/>
      </w:rPr>
      <w:t>Hrvatska banka za obnovu i razvitak</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4CA84" w14:textId="0136347F" w:rsidR="00D74825" w:rsidRPr="002A33EB" w:rsidRDefault="00D74825" w:rsidP="00A37280">
    <w:pPr>
      <w:pStyle w:val="Footer"/>
      <w:pBdr>
        <w:top w:val="single" w:sz="4" w:space="1" w:color="auto"/>
      </w:pBdr>
      <w:ind w:right="283"/>
      <w:rPr>
        <w:sz w:val="19"/>
        <w:lang w:val="pl-PL"/>
      </w:rPr>
    </w:pPr>
    <w:r>
      <w:rPr>
        <w:rFonts w:cs="Arial"/>
        <w:sz w:val="19"/>
        <w:szCs w:val="19"/>
      </w:rPr>
      <w:t xml:space="preserve">88 </w:t>
    </w:r>
    <w:r w:rsidRPr="002A33EB">
      <w:rPr>
        <w:rFonts w:cs="Arial"/>
        <w:sz w:val="19"/>
        <w:szCs w:val="19"/>
        <w:lang w:val="pl-PL"/>
      </w:rPr>
      <w:t xml:space="preserve">  </w:t>
    </w:r>
    <w:r w:rsidRPr="002A33EB">
      <w:rPr>
        <w:rFonts w:cs="Arial"/>
        <w:sz w:val="19"/>
        <w:szCs w:val="19"/>
        <w:lang w:val="pl-PL"/>
      </w:rPr>
      <w:t>Hrvatska banka za obnovu i razvitak</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48A38" w14:textId="6CA87B01"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89</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624753BE" w14:textId="77777777" w:rsidR="00D74825" w:rsidRDefault="00D74825">
    <w:pPr>
      <w:pStyle w:val="Footer"/>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A6453" w14:textId="56876CDB"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90</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17177396" w14:textId="77777777" w:rsidR="00D74825" w:rsidRDefault="00D74825">
    <w:pPr>
      <w:pStyle w:val="Foote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A1AED" w14:textId="44C57BF4"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91</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BF7D2DC" w14:textId="77777777" w:rsidR="00D74825" w:rsidRDefault="00D74825">
    <w:pPr>
      <w:pStyle w:val="Foote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5220D" w14:textId="6357A216"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92</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5FE80332" w14:textId="77777777" w:rsidR="00D74825" w:rsidRDefault="00D74825">
    <w:pPr>
      <w:pStyle w:val="Footer"/>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FE78B" w14:textId="65D68136" w:rsidR="00D74825" w:rsidRPr="00517366" w:rsidRDefault="00D74825" w:rsidP="00FE7274">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lang w:val="pl-PL"/>
      </w:rPr>
      <w:t>93</w:t>
    </w:r>
    <w:r w:rsidRPr="0091098F">
      <w:rPr>
        <w:rFonts w:eastAsia="Times New Roman" w:cs="Arial"/>
        <w:sz w:val="19"/>
        <w:szCs w:val="19"/>
        <w:lang w:val="pl-PL"/>
      </w:rPr>
      <w:t xml:space="preserve">  </w:t>
    </w:r>
    <w:r w:rsidRPr="00517366">
      <w:rPr>
        <w:rFonts w:eastAsia="Times New Roman" w:cs="Arial"/>
        <w:sz w:val="19"/>
        <w:szCs w:val="19"/>
      </w:rPr>
      <w:t>Hrvatska banka za obnovu i razvitak</w:t>
    </w:r>
  </w:p>
  <w:p w14:paraId="07D29CB6" w14:textId="77777777" w:rsidR="00D74825" w:rsidRPr="00517366" w:rsidRDefault="00D74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C54F3" w14:textId="77777777" w:rsidR="00BC5207" w:rsidRDefault="00BC5207" w:rsidP="004D4B9D">
      <w:pPr>
        <w:spacing w:after="0" w:line="240" w:lineRule="auto"/>
      </w:pPr>
      <w:r>
        <w:separator/>
      </w:r>
    </w:p>
  </w:footnote>
  <w:footnote w:type="continuationSeparator" w:id="0">
    <w:p w14:paraId="1CCE54C4" w14:textId="77777777" w:rsidR="00BC5207" w:rsidRDefault="00BC5207" w:rsidP="004D4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06170" w14:textId="77777777" w:rsidR="00D74825" w:rsidRDefault="00D74825" w:rsidP="002509F3">
    <w:pPr>
      <w:pBdr>
        <w:bottom w:val="single" w:sz="4" w:space="1" w:color="auto"/>
      </w:pBdr>
      <w:spacing w:after="0" w:line="310" w:lineRule="atLeast"/>
      <w:rPr>
        <w:rFonts w:ascii="Calibri" w:eastAsia="Times New Roman" w:hAnsi="Calibri" w:cs="Arial"/>
        <w:sz w:val="28"/>
        <w:szCs w:val="28"/>
        <w:lang w:val="pl-PL"/>
      </w:rPr>
    </w:pPr>
    <w:r>
      <w:rPr>
        <w:rFonts w:ascii="Calibri" w:eastAsia="Times New Roman" w:hAnsi="Calibri" w:cs="Arial"/>
        <w:sz w:val="28"/>
        <w:szCs w:val="28"/>
        <w:lang w:val="pl-PL"/>
      </w:rPr>
      <w:t xml:space="preserve">Bilješke uz skraćeni financijski izvještaj </w:t>
    </w:r>
  </w:p>
  <w:p w14:paraId="1376E4A0" w14:textId="77777777" w:rsidR="00D74825" w:rsidRPr="00542F1A" w:rsidRDefault="00D74825" w:rsidP="00542F1A">
    <w:pPr>
      <w:pBdr>
        <w:bottom w:val="single" w:sz="4" w:space="1" w:color="auto"/>
      </w:pBdr>
      <w:spacing w:after="0" w:line="310" w:lineRule="atLeast"/>
      <w:rPr>
        <w:rFonts w:ascii="Calibri" w:eastAsia="Times New Roman" w:hAnsi="Calibri" w:cs="Arial"/>
        <w:lang w:val="pl-PL"/>
      </w:rPr>
    </w:pPr>
    <w:r>
      <w:rPr>
        <w:rFonts w:ascii="Calibri" w:eastAsia="Times New Roman" w:hAnsi="Calibri" w:cs="Arial"/>
        <w:sz w:val="28"/>
        <w:szCs w:val="28"/>
        <w:lang w:val="pl-PL"/>
      </w:rPr>
      <w:t>za razdoblje od 01. siječnja do 31. ožujka 2014. godine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58DD7" w14:textId="77777777" w:rsidR="00D74825" w:rsidRPr="007A0C28" w:rsidRDefault="00D74825" w:rsidP="00AC2E60">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22FF22B6" w14:textId="77777777" w:rsidR="00D74825" w:rsidRPr="007A0C28" w:rsidRDefault="00D74825" w:rsidP="00C97A45">
    <w:pPr>
      <w:pBdr>
        <w:bottom w:val="single" w:sz="4" w:space="1" w:color="auto"/>
      </w:pBdr>
      <w:tabs>
        <w:tab w:val="center" w:pos="4513"/>
      </w:tabs>
      <w:suppressAutoHyphens/>
      <w:spacing w:after="0" w:line="310" w:lineRule="atLeast"/>
      <w:jc w:val="both"/>
      <w:rPr>
        <w:rFonts w:ascii="Calibri" w:eastAsia="Times New Roman" w:hAnsi="Calibri" w:cs="Arial"/>
        <w:spacing w:val="-3"/>
        <w:sz w:val="28"/>
        <w:szCs w:val="28"/>
      </w:rPr>
    </w:pPr>
    <w:r w:rsidRPr="007A0C28">
      <w:rPr>
        <w:rFonts w:ascii="Calibri" w:eastAsia="Times New Roman" w:hAnsi="Calibri" w:cs="Arial"/>
        <w:spacing w:val="-3"/>
        <w:sz w:val="28"/>
        <w:szCs w:val="28"/>
      </w:rPr>
      <w:t>Izvještaj o dobiti i gubitku</w:t>
    </w:r>
  </w:p>
  <w:p w14:paraId="30E35D09" w14:textId="2D551C20" w:rsidR="00D74825" w:rsidRPr="007A0C28" w:rsidRDefault="00D74825" w:rsidP="00C97A45">
    <w:pPr>
      <w:pBdr>
        <w:bottom w:val="single" w:sz="4" w:space="1" w:color="auto"/>
      </w:pBdr>
      <w:tabs>
        <w:tab w:val="center" w:pos="4513"/>
      </w:tabs>
      <w:suppressAutoHyphens/>
      <w:spacing w:after="0" w:line="310" w:lineRule="atLeast"/>
      <w:jc w:val="both"/>
      <w:rPr>
        <w:rFonts w:ascii="Calibri" w:eastAsia="Times New Roman" w:hAnsi="Calibri" w:cs="Arial"/>
        <w:spacing w:val="-3"/>
        <w:sz w:val="28"/>
        <w:szCs w:val="28"/>
      </w:rPr>
    </w:pPr>
    <w:r>
      <w:rPr>
        <w:rFonts w:ascii="Calibri" w:eastAsia="Times New Roman" w:hAnsi="Calibri" w:cs="Arial"/>
        <w:spacing w:val="-3"/>
        <w:sz w:val="28"/>
        <w:szCs w:val="28"/>
      </w:rPr>
      <w:t>za razdoblje od 1.</w:t>
    </w:r>
    <w:r w:rsidRPr="007A0C28">
      <w:rPr>
        <w:rFonts w:ascii="Calibri" w:eastAsia="Times New Roman" w:hAnsi="Calibri" w:cs="Arial"/>
        <w:spacing w:val="-3"/>
        <w:sz w:val="28"/>
        <w:szCs w:val="28"/>
      </w:rPr>
      <w:t>1. do 3</w:t>
    </w:r>
    <w:r>
      <w:rPr>
        <w:rFonts w:ascii="Calibri" w:eastAsia="Times New Roman" w:hAnsi="Calibri" w:cs="Arial"/>
        <w:spacing w:val="-3"/>
        <w:sz w:val="28"/>
        <w:szCs w:val="28"/>
      </w:rPr>
      <w:t>0.6</w:t>
    </w:r>
    <w:r w:rsidRPr="007A0C28">
      <w:rPr>
        <w:rFonts w:ascii="Calibri" w:eastAsia="Times New Roman" w:hAnsi="Calibri" w:cs="Arial"/>
        <w:spacing w:val="-3"/>
        <w:sz w:val="28"/>
        <w:szCs w:val="28"/>
      </w:rPr>
      <w:t>.</w:t>
    </w:r>
  </w:p>
  <w:p w14:paraId="1D74EF99" w14:textId="77777777" w:rsidR="00D74825" w:rsidRPr="007A0C28" w:rsidRDefault="00D74825" w:rsidP="00C97A45">
    <w:pPr>
      <w:pBdr>
        <w:bottom w:val="single" w:sz="4" w:space="1" w:color="auto"/>
      </w:pBdr>
      <w:tabs>
        <w:tab w:val="center" w:pos="4513"/>
      </w:tabs>
      <w:suppressAutoHyphens/>
      <w:spacing w:after="0" w:line="310" w:lineRule="atLeast"/>
      <w:jc w:val="both"/>
      <w:rPr>
        <w:rFonts w:ascii="Calibri" w:eastAsia="Times New Roman" w:hAnsi="Calibri" w:cs="Arial"/>
        <w:spacing w:val="-3"/>
      </w:rPr>
    </w:pPr>
    <w:r w:rsidRPr="007A0C28">
      <w:rPr>
        <w:rFonts w:ascii="Calibri" w:eastAsia="Times New Roman" w:hAnsi="Calibri" w:cs="Arial"/>
        <w:spacing w:val="-3"/>
      </w:rPr>
      <w:t>(Svi iznosi izraženi su u tisućama kuna)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0C48B" w14:textId="77777777" w:rsidR="00D74825" w:rsidRPr="007A0C28" w:rsidRDefault="00D74825" w:rsidP="00AC2E60">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5610C8DC" w14:textId="77777777" w:rsidR="00D74825" w:rsidRPr="007A0C28" w:rsidRDefault="00D74825" w:rsidP="00C97A45">
    <w:pPr>
      <w:pBdr>
        <w:bottom w:val="single" w:sz="4" w:space="1" w:color="auto"/>
      </w:pBdr>
      <w:tabs>
        <w:tab w:val="center" w:pos="4513"/>
      </w:tabs>
      <w:suppressAutoHyphens/>
      <w:spacing w:after="0" w:line="310" w:lineRule="atLeast"/>
      <w:jc w:val="both"/>
      <w:rPr>
        <w:rFonts w:ascii="Calibri" w:eastAsia="Times New Roman" w:hAnsi="Calibri" w:cs="Arial"/>
        <w:spacing w:val="-3"/>
        <w:sz w:val="28"/>
        <w:szCs w:val="28"/>
      </w:rPr>
    </w:pPr>
    <w:r w:rsidRPr="007A0C28">
      <w:rPr>
        <w:rFonts w:ascii="Calibri" w:eastAsia="Times New Roman" w:hAnsi="Calibri" w:cs="Arial"/>
        <w:spacing w:val="-3"/>
        <w:sz w:val="28"/>
        <w:szCs w:val="28"/>
      </w:rPr>
      <w:t>Izvještaj o dobiti i gubitku te ostaloj sveobuhvatnoj dobiti</w:t>
    </w:r>
  </w:p>
  <w:p w14:paraId="5CF67AE2" w14:textId="15EB5901" w:rsidR="00D74825" w:rsidRPr="007A0C28" w:rsidRDefault="00D74825" w:rsidP="00C97A45">
    <w:pPr>
      <w:pBdr>
        <w:bottom w:val="single" w:sz="4" w:space="1" w:color="auto"/>
      </w:pBdr>
      <w:tabs>
        <w:tab w:val="center" w:pos="4513"/>
      </w:tabs>
      <w:suppressAutoHyphens/>
      <w:spacing w:after="0" w:line="310" w:lineRule="atLeast"/>
      <w:jc w:val="both"/>
      <w:rPr>
        <w:rFonts w:ascii="Calibri" w:eastAsia="Times New Roman" w:hAnsi="Calibri" w:cs="Arial"/>
        <w:spacing w:val="-3"/>
        <w:sz w:val="28"/>
        <w:szCs w:val="28"/>
      </w:rPr>
    </w:pPr>
    <w:r>
      <w:rPr>
        <w:rFonts w:ascii="Calibri" w:eastAsia="Times New Roman" w:hAnsi="Calibri" w:cs="Arial"/>
        <w:spacing w:val="-3"/>
        <w:sz w:val="28"/>
        <w:szCs w:val="28"/>
      </w:rPr>
      <w:t>za razdoblje od 1.</w:t>
    </w:r>
    <w:r w:rsidRPr="007A0C28">
      <w:rPr>
        <w:rFonts w:ascii="Calibri" w:eastAsia="Times New Roman" w:hAnsi="Calibri" w:cs="Arial"/>
        <w:spacing w:val="-3"/>
        <w:sz w:val="28"/>
        <w:szCs w:val="28"/>
      </w:rPr>
      <w:t>1. do 3</w:t>
    </w:r>
    <w:r>
      <w:rPr>
        <w:rFonts w:ascii="Calibri" w:eastAsia="Times New Roman" w:hAnsi="Calibri" w:cs="Arial"/>
        <w:spacing w:val="-3"/>
        <w:sz w:val="28"/>
        <w:szCs w:val="28"/>
      </w:rPr>
      <w:t>0.6</w:t>
    </w:r>
    <w:r w:rsidRPr="007A0C28">
      <w:rPr>
        <w:rFonts w:ascii="Calibri" w:eastAsia="Times New Roman" w:hAnsi="Calibri" w:cs="Arial"/>
        <w:spacing w:val="-3"/>
        <w:sz w:val="28"/>
        <w:szCs w:val="28"/>
      </w:rPr>
      <w:t xml:space="preserve">. </w:t>
    </w:r>
  </w:p>
  <w:p w14:paraId="76D51D92" w14:textId="77777777" w:rsidR="00D74825" w:rsidRPr="007A0C28" w:rsidRDefault="00D74825" w:rsidP="00C97A45">
    <w:pPr>
      <w:pBdr>
        <w:bottom w:val="single" w:sz="4" w:space="1" w:color="auto"/>
      </w:pBdr>
      <w:tabs>
        <w:tab w:val="center" w:pos="4513"/>
      </w:tabs>
      <w:suppressAutoHyphens/>
      <w:spacing w:after="0" w:line="310" w:lineRule="atLeast"/>
      <w:jc w:val="both"/>
      <w:rPr>
        <w:rFonts w:ascii="Calibri" w:eastAsia="Times New Roman" w:hAnsi="Calibri" w:cs="Arial"/>
        <w:spacing w:val="-3"/>
      </w:rPr>
    </w:pPr>
    <w:r w:rsidRPr="007A0C28">
      <w:rPr>
        <w:rFonts w:ascii="Calibri" w:eastAsia="Times New Roman" w:hAnsi="Calibri" w:cs="Arial"/>
        <w:spacing w:val="-3"/>
      </w:rPr>
      <w:t>(Svi iznosi izraženi su u tisućama kuna)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99EAE" w14:textId="77777777" w:rsidR="00D74825" w:rsidRPr="007A0C28" w:rsidRDefault="00D74825" w:rsidP="00AC2E60">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0C295933" w14:textId="35B6B254" w:rsidR="00D74825" w:rsidRPr="007A0C28" w:rsidRDefault="00D74825" w:rsidP="00FE7274">
    <w:pPr>
      <w:pStyle w:val="Header"/>
      <w:rPr>
        <w:rFonts w:ascii="Calibri" w:eastAsia="Times New Roman" w:hAnsi="Calibri" w:cs="Arial"/>
        <w:sz w:val="28"/>
        <w:szCs w:val="28"/>
      </w:rPr>
    </w:pPr>
    <w:r w:rsidRPr="007A0C28">
      <w:rPr>
        <w:rFonts w:ascii="Calibri" w:eastAsia="Times New Roman" w:hAnsi="Calibri" w:cs="Arial"/>
        <w:sz w:val="28"/>
        <w:szCs w:val="28"/>
      </w:rPr>
      <w:t xml:space="preserve">Izvještaj o financijskom položaju na dan </w:t>
    </w:r>
  </w:p>
  <w:p w14:paraId="294FA0CB" w14:textId="77777777" w:rsidR="00D74825" w:rsidRPr="007A0C28" w:rsidRDefault="00D74825" w:rsidP="00FE7274">
    <w:pPr>
      <w:pStyle w:val="Header"/>
      <w:pBdr>
        <w:bottom w:val="single" w:sz="4" w:space="1" w:color="auto"/>
      </w:pBdr>
    </w:pPr>
    <w:r w:rsidRPr="007A0C28">
      <w:rPr>
        <w:rFonts w:ascii="Calibri" w:eastAsia="Times New Roman" w:hAnsi="Calibri" w:cs="Arial"/>
      </w:rPr>
      <w:t>(Svi iznosi izraženi su u tisućama kuna)</w:t>
    </w:r>
    <w:r w:rsidRPr="007A0C28">
      <w:rPr>
        <w:rFonts w:ascii="Calibri" w:eastAsia="Times New Roman" w:hAnsi="Calibri" w:cs="Arial"/>
        <w:spacing w:val="-3"/>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CF4E8" w14:textId="7A249729" w:rsidR="00D74825" w:rsidRPr="007A0C28" w:rsidRDefault="00D74825" w:rsidP="00C432B4">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 xml:space="preserve">Bilješke uz Skraćene </w:t>
    </w:r>
    <w:r>
      <w:rPr>
        <w:rFonts w:ascii="Calibri" w:eastAsia="Times New Roman" w:hAnsi="Calibri" w:cs="Arial"/>
        <w:sz w:val="28"/>
        <w:szCs w:val="28"/>
      </w:rPr>
      <w:t xml:space="preserve">konsolidirane </w:t>
    </w:r>
    <w:r w:rsidRPr="007A0C28">
      <w:rPr>
        <w:rFonts w:ascii="Calibri" w:eastAsia="Times New Roman" w:hAnsi="Calibri" w:cs="Arial"/>
        <w:sz w:val="28"/>
        <w:szCs w:val="28"/>
      </w:rPr>
      <w:t xml:space="preserve">financijske izvještaje koje </w:t>
    </w:r>
    <w:r>
      <w:rPr>
        <w:rFonts w:ascii="Calibri" w:eastAsia="Times New Roman" w:hAnsi="Calibri" w:cs="Arial"/>
        <w:sz w:val="28"/>
        <w:szCs w:val="28"/>
      </w:rPr>
      <w:t>obuhvaćaju važne</w:t>
    </w:r>
    <w:r w:rsidRPr="007A0C28">
      <w:rPr>
        <w:rFonts w:ascii="Calibri" w:eastAsia="Times New Roman" w:hAnsi="Calibri" w:cs="Arial"/>
        <w:sz w:val="28"/>
        <w:szCs w:val="28"/>
      </w:rPr>
      <w:t xml:space="preserve"> računovodstven</w:t>
    </w:r>
    <w:r>
      <w:rPr>
        <w:rFonts w:ascii="Calibri" w:eastAsia="Times New Roman" w:hAnsi="Calibri" w:cs="Arial"/>
        <w:sz w:val="28"/>
        <w:szCs w:val="28"/>
      </w:rPr>
      <w:t xml:space="preserve">e </w:t>
    </w:r>
    <w:r w:rsidRPr="007A0C28">
      <w:rPr>
        <w:rFonts w:ascii="Calibri" w:eastAsia="Times New Roman" w:hAnsi="Calibri" w:cs="Arial"/>
        <w:sz w:val="28"/>
        <w:szCs w:val="28"/>
      </w:rPr>
      <w:t>politik</w:t>
    </w:r>
    <w:r>
      <w:rPr>
        <w:rFonts w:ascii="Calibri" w:eastAsia="Times New Roman" w:hAnsi="Calibri" w:cs="Arial"/>
        <w:sz w:val="28"/>
        <w:szCs w:val="28"/>
      </w:rPr>
      <w:t>e</w:t>
    </w:r>
    <w:r w:rsidRPr="007A0C28">
      <w:rPr>
        <w:rFonts w:ascii="Calibri" w:eastAsia="Times New Roman" w:hAnsi="Calibri" w:cs="Arial"/>
        <w:sz w:val="28"/>
        <w:szCs w:val="28"/>
      </w:rPr>
      <w:t xml:space="preserve"> i drug</w:t>
    </w:r>
    <w:r>
      <w:rPr>
        <w:rFonts w:ascii="Calibri" w:eastAsia="Times New Roman" w:hAnsi="Calibri" w:cs="Arial"/>
        <w:sz w:val="28"/>
        <w:szCs w:val="28"/>
      </w:rPr>
      <w:t>a</w:t>
    </w:r>
    <w:r w:rsidRPr="007A0C28">
      <w:rPr>
        <w:rFonts w:ascii="Calibri" w:eastAsia="Times New Roman" w:hAnsi="Calibri" w:cs="Arial"/>
        <w:sz w:val="28"/>
        <w:szCs w:val="28"/>
      </w:rPr>
      <w:t xml:space="preserve"> objašnj</w:t>
    </w:r>
    <w:r>
      <w:rPr>
        <w:rFonts w:ascii="Calibri" w:eastAsia="Times New Roman" w:hAnsi="Calibri" w:cs="Arial"/>
        <w:sz w:val="28"/>
        <w:szCs w:val="28"/>
      </w:rPr>
      <w:t>enja</w:t>
    </w:r>
    <w:r w:rsidRPr="007A0C28">
      <w:rPr>
        <w:rFonts w:ascii="Calibri" w:eastAsia="Times New Roman" w:hAnsi="Calibri" w:cs="Arial"/>
        <w:sz w:val="28"/>
        <w:szCs w:val="28"/>
      </w:rPr>
      <w:t xml:space="preserve"> </w:t>
    </w:r>
  </w:p>
  <w:p w14:paraId="355C4E56" w14:textId="6A49AD96" w:rsidR="00D74825" w:rsidRPr="007A0C28" w:rsidRDefault="00D74825" w:rsidP="00C432B4">
    <w:pPr>
      <w:pBdr>
        <w:bottom w:val="single" w:sz="4" w:space="1" w:color="auto"/>
      </w:pBdr>
      <w:spacing w:after="0" w:line="310" w:lineRule="atLeast"/>
      <w:rPr>
        <w:rFonts w:ascii="Calibri" w:eastAsia="Times New Roman" w:hAnsi="Calibri" w:cs="Arial"/>
        <w:sz w:val="28"/>
        <w:szCs w:val="28"/>
      </w:rPr>
    </w:pPr>
    <w:r>
      <w:rPr>
        <w:rFonts w:ascii="Calibri" w:eastAsia="Times New Roman" w:hAnsi="Calibri" w:cs="Arial"/>
        <w:sz w:val="28"/>
        <w:szCs w:val="28"/>
      </w:rPr>
      <w:t>za razdoblje od 1.1. do 30.6.</w:t>
    </w:r>
    <w:r w:rsidRPr="007A0C28">
      <w:rPr>
        <w:rFonts w:ascii="Calibri" w:eastAsia="Times New Roman" w:hAnsi="Calibri" w:cs="Arial"/>
        <w:sz w:val="28"/>
        <w:szCs w:val="28"/>
      </w:rPr>
      <w:t>201</w:t>
    </w:r>
    <w:r>
      <w:rPr>
        <w:rFonts w:ascii="Calibri" w:eastAsia="Times New Roman" w:hAnsi="Calibri" w:cs="Arial"/>
        <w:sz w:val="28"/>
        <w:szCs w:val="28"/>
      </w:rPr>
      <w:t>7</w:t>
    </w:r>
    <w:r w:rsidRPr="007A0C28">
      <w:rPr>
        <w:rFonts w:ascii="Calibri" w:eastAsia="Times New Roman" w:hAnsi="Calibri" w:cs="Arial"/>
        <w:sz w:val="28"/>
        <w:szCs w:val="28"/>
      </w:rPr>
      <w:t>. godine</w:t>
    </w:r>
    <w:r w:rsidRPr="00065224">
      <w:rPr>
        <w:rFonts w:ascii="Calibri" w:eastAsia="Times New Roman" w:hAnsi="Calibri" w:cs="Arial"/>
        <w:sz w:val="28"/>
        <w:szCs w:val="28"/>
      </w:rPr>
      <w:t xml:space="preserve"> </w:t>
    </w:r>
    <w:r>
      <w:rPr>
        <w:rFonts w:ascii="Calibri" w:eastAsia="Times New Roman" w:hAnsi="Calibri" w:cs="Arial"/>
        <w:sz w:val="28"/>
        <w:szCs w:val="28"/>
      </w:rPr>
      <w:t>(nastavak)</w:t>
    </w:r>
  </w:p>
  <w:p w14:paraId="3135FBDB" w14:textId="77777777" w:rsidR="00D74825" w:rsidRPr="00C432B4" w:rsidRDefault="00D74825" w:rsidP="00C432B4">
    <w:pPr>
      <w:pBdr>
        <w:bottom w:val="single" w:sz="4" w:space="1" w:color="auto"/>
      </w:pBdr>
      <w:spacing w:after="0" w:line="310" w:lineRule="atLeast"/>
      <w:rPr>
        <w:rFonts w:ascii="Calibri" w:eastAsia="Times New Roman" w:hAnsi="Calibri" w:cs="Arial"/>
        <w:sz w:val="24"/>
        <w:szCs w:val="24"/>
      </w:rPr>
    </w:pPr>
    <w:r w:rsidRPr="007A0C28">
      <w:rPr>
        <w:rFonts w:ascii="Calibri" w:eastAsia="Times New Roman" w:hAnsi="Calibri" w:cs="Arial"/>
        <w:sz w:val="24"/>
        <w:szCs w:val="24"/>
      </w:rPr>
      <w:t>(Svi iznosi izraženi su u tisućama kuna)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6CF43" w14:textId="77777777" w:rsidR="00D74825" w:rsidRPr="007A0C28" w:rsidRDefault="00D74825" w:rsidP="00AC2E60">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4309E43A" w14:textId="77777777" w:rsidR="00D74825" w:rsidRPr="007A0C28" w:rsidRDefault="00D74825" w:rsidP="00C97A45">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novčanim tokovima </w:t>
    </w:r>
  </w:p>
  <w:p w14:paraId="6D856953" w14:textId="3E01C583" w:rsidR="00D74825" w:rsidRPr="007A0C28" w:rsidRDefault="00D74825" w:rsidP="00C97A45">
    <w:pPr>
      <w:pBdr>
        <w:bottom w:val="single" w:sz="4" w:space="1" w:color="auto"/>
      </w:pBdr>
      <w:spacing w:after="0" w:line="310" w:lineRule="atLeast"/>
      <w:rPr>
        <w:rFonts w:ascii="Calibri" w:eastAsia="Times New Roman" w:hAnsi="Calibri" w:cs="Arial"/>
        <w:sz w:val="28"/>
        <w:szCs w:val="28"/>
      </w:rPr>
    </w:pPr>
    <w:r>
      <w:rPr>
        <w:rFonts w:ascii="Calibri" w:eastAsia="Times New Roman" w:hAnsi="Calibri" w:cs="Arial"/>
        <w:sz w:val="28"/>
        <w:szCs w:val="28"/>
      </w:rPr>
      <w:t>za razdoblje od 1.1. do 30.6</w:t>
    </w:r>
    <w:r w:rsidRPr="007A0C28">
      <w:rPr>
        <w:rFonts w:ascii="Calibri" w:eastAsia="Times New Roman" w:hAnsi="Calibri" w:cs="Arial"/>
        <w:sz w:val="28"/>
        <w:szCs w:val="28"/>
      </w:rPr>
      <w:t xml:space="preserve">. </w:t>
    </w:r>
  </w:p>
  <w:p w14:paraId="32268758" w14:textId="77777777" w:rsidR="00D74825" w:rsidRPr="007A0C28" w:rsidRDefault="00D74825" w:rsidP="00C97A45">
    <w:pPr>
      <w:pBdr>
        <w:bottom w:val="single" w:sz="4" w:space="1" w:color="auto"/>
      </w:pBdr>
      <w:spacing w:after="0"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A2EBF" w14:textId="77777777" w:rsidR="00D74825" w:rsidRPr="007A0C28" w:rsidRDefault="00D74825" w:rsidP="009F280B">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1F103140" w14:textId="77777777" w:rsidR="00D74825" w:rsidRDefault="00D74825" w:rsidP="00E74113">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Izvještaj o promjen</w:t>
    </w:r>
    <w:r>
      <w:rPr>
        <w:rFonts w:ascii="Calibri" w:eastAsia="Times New Roman" w:hAnsi="Calibri" w:cs="Arial"/>
        <w:sz w:val="28"/>
        <w:szCs w:val="28"/>
      </w:rPr>
      <w:t xml:space="preserve">ama na kapitalu </w:t>
    </w:r>
  </w:p>
  <w:p w14:paraId="4B3E3240" w14:textId="71C36140" w:rsidR="00D74825" w:rsidRPr="007A0C28" w:rsidRDefault="00D74825" w:rsidP="00E74113">
    <w:pPr>
      <w:pBdr>
        <w:bottom w:val="single" w:sz="4" w:space="1" w:color="auto"/>
      </w:pBdr>
      <w:spacing w:after="0" w:line="310" w:lineRule="atLeast"/>
      <w:rPr>
        <w:rFonts w:ascii="Calibri" w:eastAsia="Times New Roman" w:hAnsi="Calibri" w:cs="Arial"/>
        <w:sz w:val="28"/>
        <w:szCs w:val="28"/>
      </w:rPr>
    </w:pPr>
    <w:r>
      <w:rPr>
        <w:rFonts w:ascii="Calibri" w:eastAsia="Times New Roman" w:hAnsi="Calibri" w:cs="Arial"/>
        <w:sz w:val="28"/>
        <w:szCs w:val="28"/>
      </w:rPr>
      <w:t>za razdoblje 1.</w:t>
    </w:r>
    <w:r w:rsidRPr="007A0C28">
      <w:rPr>
        <w:rFonts w:ascii="Calibri" w:eastAsia="Times New Roman" w:hAnsi="Calibri" w:cs="Arial"/>
        <w:sz w:val="28"/>
        <w:szCs w:val="28"/>
      </w:rPr>
      <w:t>1. do 3</w:t>
    </w:r>
    <w:r>
      <w:rPr>
        <w:rFonts w:ascii="Calibri" w:eastAsia="Times New Roman" w:hAnsi="Calibri" w:cs="Arial"/>
        <w:sz w:val="28"/>
        <w:szCs w:val="28"/>
      </w:rPr>
      <w:t>0.6</w:t>
    </w:r>
    <w:r w:rsidRPr="007A0C28">
      <w:rPr>
        <w:rFonts w:ascii="Calibri" w:eastAsia="Times New Roman" w:hAnsi="Calibri" w:cs="Arial"/>
        <w:sz w:val="28"/>
        <w:szCs w:val="28"/>
      </w:rPr>
      <w:t xml:space="preserve">. </w:t>
    </w:r>
  </w:p>
  <w:p w14:paraId="2C1A9E76" w14:textId="77777777" w:rsidR="00D74825" w:rsidRPr="007A0C28" w:rsidRDefault="00D74825" w:rsidP="00E74113">
    <w:pPr>
      <w:pBdr>
        <w:bottom w:val="single" w:sz="4" w:space="1" w:color="auto"/>
      </w:pBdr>
      <w:spacing w:after="0"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E3017" w14:textId="77777777" w:rsidR="00D74825" w:rsidRPr="007A0C28" w:rsidRDefault="00D74825" w:rsidP="00F342AA">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Skraćeni nekonsolidirani financijski izvještaji Banke</w:t>
    </w:r>
  </w:p>
  <w:p w14:paraId="2207A472" w14:textId="77777777" w:rsidR="00D74825" w:rsidRPr="007A0C28" w:rsidRDefault="00D74825" w:rsidP="00AA4235">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dobiti i gubitku </w:t>
    </w:r>
  </w:p>
  <w:p w14:paraId="1A3C64D6" w14:textId="1998891F" w:rsidR="00D74825" w:rsidRPr="007A0C28" w:rsidRDefault="00D74825" w:rsidP="00AA4235">
    <w:pPr>
      <w:pBdr>
        <w:bottom w:val="single" w:sz="4" w:space="1" w:color="auto"/>
      </w:pBdr>
      <w:spacing w:after="0" w:line="310" w:lineRule="atLeast"/>
      <w:rPr>
        <w:rFonts w:ascii="Calibri" w:eastAsia="Times New Roman" w:hAnsi="Calibri" w:cs="Arial"/>
        <w:sz w:val="28"/>
        <w:szCs w:val="28"/>
      </w:rPr>
    </w:pPr>
    <w:r>
      <w:rPr>
        <w:rFonts w:ascii="Calibri" w:eastAsia="Times New Roman" w:hAnsi="Calibri" w:cs="Arial"/>
        <w:sz w:val="28"/>
        <w:szCs w:val="28"/>
      </w:rPr>
      <w:t>za razdoblje od 1.1. do 30.6</w:t>
    </w:r>
    <w:r w:rsidRPr="007A0C28">
      <w:rPr>
        <w:rFonts w:ascii="Calibri" w:eastAsia="Times New Roman" w:hAnsi="Calibri" w:cs="Arial"/>
        <w:sz w:val="28"/>
        <w:szCs w:val="28"/>
      </w:rPr>
      <w:t xml:space="preserve">. </w:t>
    </w:r>
  </w:p>
  <w:p w14:paraId="19F51ACB" w14:textId="77777777" w:rsidR="00D74825" w:rsidRPr="007A0C28" w:rsidRDefault="00D74825" w:rsidP="00AA4235">
    <w:pPr>
      <w:pBdr>
        <w:bottom w:val="single" w:sz="4" w:space="1" w:color="auto"/>
      </w:pBdr>
      <w:spacing w:after="0"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9BEAC" w14:textId="77777777" w:rsidR="00D74825" w:rsidRPr="007A0C28" w:rsidRDefault="00D74825" w:rsidP="009F280B">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Skraćeni nekonsolidirani financijski izvještaji Banke</w:t>
    </w:r>
  </w:p>
  <w:p w14:paraId="32A4795E" w14:textId="77777777" w:rsidR="00D74825" w:rsidRPr="007A0C28" w:rsidRDefault="00D74825" w:rsidP="00AA4235">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Izvještaj o dobiti i gubitku te ostaloj sveobuhvatnoj dobiti</w:t>
    </w:r>
  </w:p>
  <w:p w14:paraId="6AD0DD6B" w14:textId="427D20A3" w:rsidR="00D74825" w:rsidRPr="007A0C28" w:rsidRDefault="00D74825" w:rsidP="00AA4235">
    <w:pPr>
      <w:pBdr>
        <w:bottom w:val="single" w:sz="4" w:space="1" w:color="auto"/>
      </w:pBdr>
      <w:spacing w:after="0" w:line="310" w:lineRule="atLeast"/>
      <w:rPr>
        <w:rFonts w:ascii="Calibri" w:eastAsia="Times New Roman" w:hAnsi="Calibri" w:cs="Arial"/>
        <w:sz w:val="28"/>
        <w:szCs w:val="28"/>
      </w:rPr>
    </w:pPr>
    <w:r>
      <w:rPr>
        <w:rFonts w:ascii="Calibri" w:eastAsia="Times New Roman" w:hAnsi="Calibri" w:cs="Arial"/>
        <w:sz w:val="28"/>
        <w:szCs w:val="28"/>
      </w:rPr>
      <w:t>za razdoblje od 1.</w:t>
    </w:r>
    <w:r w:rsidRPr="007A0C28">
      <w:rPr>
        <w:rFonts w:ascii="Calibri" w:eastAsia="Times New Roman" w:hAnsi="Calibri" w:cs="Arial"/>
        <w:sz w:val="28"/>
        <w:szCs w:val="28"/>
      </w:rPr>
      <w:t>1. do 3</w:t>
    </w:r>
    <w:r>
      <w:rPr>
        <w:rFonts w:ascii="Calibri" w:eastAsia="Times New Roman" w:hAnsi="Calibri" w:cs="Arial"/>
        <w:sz w:val="28"/>
        <w:szCs w:val="28"/>
      </w:rPr>
      <w:t>0.6</w:t>
    </w:r>
    <w:r w:rsidRPr="007A0C28">
      <w:rPr>
        <w:rFonts w:ascii="Calibri" w:eastAsia="Times New Roman" w:hAnsi="Calibri" w:cs="Arial"/>
        <w:sz w:val="28"/>
        <w:szCs w:val="28"/>
      </w:rPr>
      <w:t>.</w:t>
    </w:r>
  </w:p>
  <w:p w14:paraId="69CB3CA4" w14:textId="77777777" w:rsidR="00D74825" w:rsidRPr="007A0C28" w:rsidRDefault="00D74825" w:rsidP="00AA4235">
    <w:pPr>
      <w:pBdr>
        <w:bottom w:val="single" w:sz="4" w:space="1" w:color="auto"/>
      </w:pBdr>
      <w:spacing w:after="0"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8FCB8" w14:textId="77777777" w:rsidR="00D74825" w:rsidRPr="007A0C28" w:rsidRDefault="00D74825" w:rsidP="009F280B">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Skraćeni nekonsolidirani financijski izvještaji Banke</w:t>
    </w:r>
  </w:p>
  <w:p w14:paraId="427412E8" w14:textId="76A582E0" w:rsidR="00D74825" w:rsidRPr="007A0C28" w:rsidRDefault="00D74825" w:rsidP="00F342AA">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financijskom položaju na dan </w:t>
    </w:r>
  </w:p>
  <w:p w14:paraId="7A0635FB" w14:textId="77777777" w:rsidR="00D74825" w:rsidRPr="007A0C28" w:rsidRDefault="00D74825" w:rsidP="00F342AA">
    <w:pPr>
      <w:pBdr>
        <w:bottom w:val="single" w:sz="4" w:space="1" w:color="auto"/>
      </w:pBdr>
      <w:spacing w:after="0"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0476A" w14:textId="77777777" w:rsidR="00D74825" w:rsidRPr="007A0C28" w:rsidRDefault="00D74825" w:rsidP="009F280B">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Skraćeni nekonsolidirani financijski izvještaji Banke</w:t>
    </w:r>
  </w:p>
  <w:p w14:paraId="78508AF1" w14:textId="77777777" w:rsidR="00D74825" w:rsidRPr="007A0C28" w:rsidRDefault="00D74825" w:rsidP="007311E0">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novčanim tokovima </w:t>
    </w:r>
  </w:p>
  <w:p w14:paraId="44EF2CCC" w14:textId="3961B733" w:rsidR="00D74825" w:rsidRDefault="00D74825" w:rsidP="007311E0">
    <w:pPr>
      <w:pBdr>
        <w:bottom w:val="single" w:sz="4" w:space="1" w:color="auto"/>
      </w:pBdr>
      <w:spacing w:after="0" w:line="310" w:lineRule="atLeast"/>
      <w:rPr>
        <w:rFonts w:ascii="Calibri" w:eastAsia="Times New Roman" w:hAnsi="Calibri" w:cs="Arial"/>
        <w:sz w:val="28"/>
        <w:szCs w:val="28"/>
      </w:rPr>
    </w:pPr>
    <w:r>
      <w:rPr>
        <w:rFonts w:ascii="Calibri" w:eastAsia="Times New Roman" w:hAnsi="Calibri" w:cs="Arial"/>
        <w:sz w:val="28"/>
        <w:szCs w:val="28"/>
      </w:rPr>
      <w:t>za razdoblje od 1.</w:t>
    </w:r>
    <w:r w:rsidRPr="00484F77">
      <w:rPr>
        <w:rFonts w:ascii="Calibri" w:eastAsia="Times New Roman" w:hAnsi="Calibri" w:cs="Arial"/>
        <w:sz w:val="28"/>
        <w:szCs w:val="28"/>
      </w:rPr>
      <w:t xml:space="preserve">1. do </w:t>
    </w:r>
    <w:r>
      <w:rPr>
        <w:rFonts w:ascii="Calibri" w:eastAsia="Times New Roman" w:hAnsi="Calibri" w:cs="Arial"/>
        <w:sz w:val="28"/>
        <w:szCs w:val="28"/>
      </w:rPr>
      <w:t>30.6</w:t>
    </w:r>
    <w:r w:rsidRPr="00484F77">
      <w:rPr>
        <w:rFonts w:ascii="Calibri" w:eastAsia="Times New Roman" w:hAnsi="Calibri" w:cs="Arial"/>
        <w:sz w:val="28"/>
        <w:szCs w:val="28"/>
      </w:rPr>
      <w:t>.</w:t>
    </w:r>
    <w:r>
      <w:rPr>
        <w:rFonts w:ascii="Calibri" w:eastAsia="Times New Roman" w:hAnsi="Calibri" w:cs="Arial"/>
        <w:sz w:val="28"/>
        <w:szCs w:val="28"/>
      </w:rPr>
      <w:t xml:space="preserve"> </w:t>
    </w:r>
  </w:p>
  <w:p w14:paraId="269661A8" w14:textId="77777777" w:rsidR="00D74825" w:rsidRPr="00254B1C" w:rsidRDefault="00D74825" w:rsidP="007311E0">
    <w:pPr>
      <w:pBdr>
        <w:bottom w:val="single" w:sz="4" w:space="1" w:color="auto"/>
      </w:pBdr>
      <w:spacing w:after="0" w:line="310" w:lineRule="atLeast"/>
      <w:rPr>
        <w:rFonts w:ascii="Calibri" w:eastAsia="Times New Roman" w:hAnsi="Calibri" w:cs="Arial"/>
      </w:rPr>
    </w:pPr>
    <w:r w:rsidRPr="00254B1C">
      <w:rPr>
        <w:rFonts w:ascii="Calibri" w:eastAsia="Times New Roman" w:hAnsi="Calibri" w:cs="Arial"/>
      </w:rPr>
      <w:t>(Svi iznosi izraženi su u tisućama kuna)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01E5C" w14:textId="77777777" w:rsidR="00D74825" w:rsidRDefault="00D74825" w:rsidP="00607E56">
    <w:pPr>
      <w:pStyle w:val="Header"/>
      <w:pBdr>
        <w:bottom w:val="single" w:sz="4" w:space="1" w:color="auto"/>
      </w:pBdr>
      <w:rPr>
        <w:sz w:val="28"/>
        <w:szCs w:val="28"/>
      </w:rPr>
    </w:pPr>
    <w:r w:rsidRPr="00607E56">
      <w:rPr>
        <w:sz w:val="28"/>
        <w:szCs w:val="28"/>
      </w:rPr>
      <w:t>Odgovornost za Skraćene financijske izvještaje</w:t>
    </w:r>
    <w:r>
      <w:rPr>
        <w:sz w:val="28"/>
        <w:szCs w:val="28"/>
      </w:rPr>
      <w:t xml:space="preserve"> </w:t>
    </w:r>
  </w:p>
  <w:p w14:paraId="1FE99268" w14:textId="77777777" w:rsidR="00D74825" w:rsidRPr="00607E56" w:rsidRDefault="00D74825" w:rsidP="00607E56">
    <w:pPr>
      <w:pStyle w:val="Header"/>
      <w:pBdr>
        <w:bottom w:val="single" w:sz="4" w:space="1" w:color="auto"/>
      </w:pBdr>
      <w:rPr>
        <w:sz w:val="28"/>
        <w:szCs w:val="28"/>
      </w:rPr>
    </w:pPr>
    <w:r>
      <w:rPr>
        <w:sz w:val="28"/>
        <w:szCs w:val="28"/>
      </w:rPr>
      <w:t>za razdoblje od 01.01. do 30.06.2014. godine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31AB9" w14:textId="77777777" w:rsidR="00D74825" w:rsidRPr="007A0C28" w:rsidRDefault="00D74825" w:rsidP="009F280B">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Skraćeni nekonsolidirani financijski izvještaji Banke</w:t>
    </w:r>
  </w:p>
  <w:p w14:paraId="7BC01229" w14:textId="77777777" w:rsidR="00D74825" w:rsidRDefault="00D74825" w:rsidP="00AA4235">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Izvještaj o promjenama na kapitalu</w:t>
    </w:r>
  </w:p>
  <w:p w14:paraId="6AB4E234" w14:textId="141EA0C5" w:rsidR="00D74825" w:rsidRPr="007A0C28" w:rsidRDefault="00D74825" w:rsidP="00AA4235">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z</w:t>
    </w:r>
    <w:r>
      <w:rPr>
        <w:rFonts w:ascii="Calibri" w:eastAsia="Times New Roman" w:hAnsi="Calibri" w:cs="Arial"/>
        <w:sz w:val="28"/>
        <w:szCs w:val="28"/>
      </w:rPr>
      <w:t>a razdoblje 1.</w:t>
    </w:r>
    <w:r w:rsidRPr="007A0C28">
      <w:rPr>
        <w:rFonts w:ascii="Calibri" w:eastAsia="Times New Roman" w:hAnsi="Calibri" w:cs="Arial"/>
        <w:sz w:val="28"/>
        <w:szCs w:val="28"/>
      </w:rPr>
      <w:t xml:space="preserve">1. do </w:t>
    </w:r>
    <w:r>
      <w:rPr>
        <w:rFonts w:ascii="Calibri" w:eastAsia="Times New Roman" w:hAnsi="Calibri" w:cs="Arial"/>
        <w:sz w:val="28"/>
        <w:szCs w:val="28"/>
      </w:rPr>
      <w:t>30.6</w:t>
    </w:r>
    <w:r w:rsidRPr="007A0C28">
      <w:rPr>
        <w:rFonts w:ascii="Calibri" w:eastAsia="Times New Roman" w:hAnsi="Calibri" w:cs="Arial"/>
        <w:sz w:val="28"/>
        <w:szCs w:val="28"/>
      </w:rPr>
      <w:t xml:space="preserve">. </w:t>
    </w:r>
  </w:p>
  <w:p w14:paraId="3856CB2B" w14:textId="77777777" w:rsidR="00D74825" w:rsidRPr="007A0C28" w:rsidRDefault="00D74825" w:rsidP="00AA4235">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rPr>
      <w:t>(Svi iznosi izraženi su u tisućama kuna)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BA87D" w14:textId="77777777" w:rsidR="00D74825" w:rsidRDefault="00D74825" w:rsidP="00D17FF0">
    <w:pPr>
      <w:pBdr>
        <w:bottom w:val="single" w:sz="4" w:space="1" w:color="auto"/>
      </w:pBdr>
      <w:spacing w:after="0" w:line="310" w:lineRule="atLeast"/>
      <w:jc w:val="both"/>
      <w:rPr>
        <w:rFonts w:ascii="Calibri" w:eastAsia="Times New Roman" w:hAnsi="Calibri" w:cs="Arial"/>
        <w:sz w:val="28"/>
        <w:szCs w:val="28"/>
      </w:rPr>
    </w:pPr>
    <w:r w:rsidRPr="007910A0">
      <w:rPr>
        <w:rFonts w:ascii="Calibri" w:eastAsia="Times New Roman" w:hAnsi="Calibri" w:cs="Arial"/>
        <w:sz w:val="28"/>
        <w:szCs w:val="28"/>
      </w:rPr>
      <w:t>Bilješke uz skraćene konsolidirane financijske izvještaje koje obuhvaćaju važne računovodstvene politike i druga objašnjenja</w:t>
    </w:r>
  </w:p>
  <w:p w14:paraId="152B825A" w14:textId="5BF8D078" w:rsidR="00D74825" w:rsidRPr="007A0C28" w:rsidRDefault="00D74825" w:rsidP="009F280B">
    <w:pPr>
      <w:pBdr>
        <w:bottom w:val="single" w:sz="4" w:space="1" w:color="auto"/>
      </w:pBdr>
      <w:spacing w:after="0" w:line="310" w:lineRule="atLeast"/>
      <w:rPr>
        <w:rFonts w:ascii="Calibri" w:eastAsia="Times New Roman" w:hAnsi="Calibri" w:cs="Arial"/>
        <w:sz w:val="28"/>
        <w:szCs w:val="28"/>
      </w:rPr>
    </w:pPr>
    <w:r>
      <w:rPr>
        <w:rFonts w:ascii="Calibri" w:eastAsia="Times New Roman" w:hAnsi="Calibri" w:cs="Arial"/>
        <w:sz w:val="28"/>
        <w:szCs w:val="28"/>
      </w:rPr>
      <w:t>za razdoblje od 1.</w:t>
    </w:r>
    <w:r w:rsidRPr="007A0C28">
      <w:rPr>
        <w:rFonts w:ascii="Calibri" w:eastAsia="Times New Roman" w:hAnsi="Calibri" w:cs="Arial"/>
        <w:sz w:val="28"/>
        <w:szCs w:val="28"/>
      </w:rPr>
      <w:t>1. do 3</w:t>
    </w:r>
    <w:r>
      <w:rPr>
        <w:rFonts w:ascii="Calibri" w:eastAsia="Times New Roman" w:hAnsi="Calibri" w:cs="Arial"/>
        <w:sz w:val="28"/>
        <w:szCs w:val="28"/>
      </w:rPr>
      <w:t>0.6</w:t>
    </w:r>
    <w:r w:rsidRPr="007A0C28">
      <w:rPr>
        <w:rFonts w:ascii="Calibri" w:eastAsia="Times New Roman" w:hAnsi="Calibri" w:cs="Arial"/>
        <w:sz w:val="28"/>
        <w:szCs w:val="28"/>
      </w:rPr>
      <w:t>.201</w:t>
    </w:r>
    <w:r>
      <w:rPr>
        <w:rFonts w:ascii="Calibri" w:eastAsia="Times New Roman" w:hAnsi="Calibri" w:cs="Arial"/>
        <w:sz w:val="28"/>
        <w:szCs w:val="28"/>
      </w:rPr>
      <w:t>7</w:t>
    </w:r>
    <w:r w:rsidRPr="007A0C28">
      <w:rPr>
        <w:rFonts w:ascii="Calibri" w:eastAsia="Times New Roman" w:hAnsi="Calibri" w:cs="Arial"/>
        <w:sz w:val="28"/>
        <w:szCs w:val="28"/>
      </w:rPr>
      <w:t xml:space="preserve">. godine </w:t>
    </w:r>
  </w:p>
  <w:p w14:paraId="4134805A" w14:textId="77777777" w:rsidR="00D74825" w:rsidRPr="007A0C28" w:rsidRDefault="00D74825" w:rsidP="009F280B">
    <w:pPr>
      <w:pBdr>
        <w:bottom w:val="single" w:sz="4" w:space="1" w:color="auto"/>
      </w:pBdr>
      <w:spacing w:after="0" w:line="310" w:lineRule="atLeast"/>
      <w:rPr>
        <w:rFonts w:ascii="Calibri" w:eastAsia="Times New Roman" w:hAnsi="Calibri" w:cs="Arial"/>
        <w:sz w:val="24"/>
        <w:szCs w:val="24"/>
      </w:rPr>
    </w:pPr>
    <w:r w:rsidRPr="007A0C28">
      <w:rPr>
        <w:rFonts w:ascii="Calibri" w:eastAsia="Times New Roman" w:hAnsi="Calibri" w:cs="Arial"/>
        <w:sz w:val="24"/>
        <w:szCs w:val="24"/>
      </w:rPr>
      <w:t>(Svi iznosi izraženi su u tisućama kuna)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FEC1F" w14:textId="77777777" w:rsidR="00D74825" w:rsidRPr="007910A0" w:rsidRDefault="00D74825" w:rsidP="00D17FF0">
    <w:pPr>
      <w:pBdr>
        <w:bottom w:val="single" w:sz="4" w:space="1" w:color="auto"/>
      </w:pBdr>
      <w:spacing w:after="0" w:line="310" w:lineRule="atLeast"/>
      <w:jc w:val="both"/>
      <w:rPr>
        <w:rFonts w:ascii="Calibri" w:eastAsia="Times New Roman" w:hAnsi="Calibri" w:cs="Arial"/>
        <w:sz w:val="28"/>
        <w:szCs w:val="28"/>
      </w:rPr>
    </w:pPr>
    <w:r w:rsidRPr="007910A0">
      <w:rPr>
        <w:rFonts w:ascii="Calibri" w:eastAsia="Times New Roman" w:hAnsi="Calibri" w:cs="Arial"/>
        <w:sz w:val="28"/>
        <w:szCs w:val="28"/>
      </w:rPr>
      <w:t>Bilješke uz skraćene konsolidirane financijske izvještaje koje obuhvaćaju važne računovodstvene politike i druga objašnjenja</w:t>
    </w:r>
  </w:p>
  <w:p w14:paraId="29123422" w14:textId="0431124C" w:rsidR="00D74825" w:rsidRPr="007A0C28" w:rsidRDefault="00D74825" w:rsidP="007910A0">
    <w:pPr>
      <w:pBdr>
        <w:bottom w:val="single" w:sz="4" w:space="1" w:color="auto"/>
      </w:pBdr>
      <w:spacing w:after="0" w:line="310" w:lineRule="atLeast"/>
      <w:rPr>
        <w:rFonts w:ascii="Calibri" w:eastAsia="Times New Roman" w:hAnsi="Calibri" w:cs="Arial"/>
        <w:sz w:val="28"/>
        <w:szCs w:val="28"/>
      </w:rPr>
    </w:pPr>
    <w:r w:rsidRPr="007910A0">
      <w:rPr>
        <w:rFonts w:ascii="Calibri" w:eastAsia="Times New Roman" w:hAnsi="Calibri" w:cs="Arial"/>
        <w:sz w:val="28"/>
        <w:szCs w:val="28"/>
      </w:rPr>
      <w:t xml:space="preserve">za razdoblje od 1.1. do </w:t>
    </w:r>
    <w:r>
      <w:rPr>
        <w:rFonts w:ascii="Calibri" w:eastAsia="Times New Roman" w:hAnsi="Calibri" w:cs="Arial"/>
        <w:sz w:val="28"/>
        <w:szCs w:val="28"/>
      </w:rPr>
      <w:t>30</w:t>
    </w:r>
    <w:r w:rsidRPr="007910A0">
      <w:rPr>
        <w:rFonts w:ascii="Calibri" w:eastAsia="Times New Roman" w:hAnsi="Calibri" w:cs="Arial"/>
        <w:sz w:val="28"/>
        <w:szCs w:val="28"/>
      </w:rPr>
      <w:t>.</w:t>
    </w:r>
    <w:r>
      <w:rPr>
        <w:rFonts w:ascii="Calibri" w:eastAsia="Times New Roman" w:hAnsi="Calibri" w:cs="Arial"/>
        <w:sz w:val="28"/>
        <w:szCs w:val="28"/>
      </w:rPr>
      <w:t>6</w:t>
    </w:r>
    <w:r w:rsidRPr="007910A0">
      <w:rPr>
        <w:rFonts w:ascii="Calibri" w:eastAsia="Times New Roman" w:hAnsi="Calibri" w:cs="Arial"/>
        <w:sz w:val="28"/>
        <w:szCs w:val="28"/>
      </w:rPr>
      <w:t>.201</w:t>
    </w:r>
    <w:r>
      <w:rPr>
        <w:rFonts w:ascii="Calibri" w:eastAsia="Times New Roman" w:hAnsi="Calibri" w:cs="Arial"/>
        <w:sz w:val="28"/>
        <w:szCs w:val="28"/>
      </w:rPr>
      <w:t>7</w:t>
    </w:r>
    <w:r w:rsidRPr="007910A0">
      <w:rPr>
        <w:rFonts w:ascii="Calibri" w:eastAsia="Times New Roman" w:hAnsi="Calibri" w:cs="Arial"/>
        <w:sz w:val="28"/>
        <w:szCs w:val="28"/>
      </w:rPr>
      <w:t xml:space="preserve">. godine </w:t>
    </w:r>
    <w:r w:rsidRPr="007A0C28">
      <w:rPr>
        <w:rFonts w:ascii="Calibri" w:eastAsia="Times New Roman" w:hAnsi="Calibri" w:cs="Arial"/>
        <w:sz w:val="28"/>
        <w:szCs w:val="28"/>
      </w:rPr>
      <w:t>(nastavak)</w:t>
    </w:r>
  </w:p>
  <w:p w14:paraId="3A66D225" w14:textId="77777777" w:rsidR="00D74825" w:rsidRPr="007A0C28" w:rsidRDefault="00D74825" w:rsidP="009F280B">
    <w:pPr>
      <w:pBdr>
        <w:bottom w:val="single" w:sz="4" w:space="1" w:color="auto"/>
      </w:pBdr>
      <w:spacing w:after="0" w:line="310" w:lineRule="atLeast"/>
      <w:rPr>
        <w:rFonts w:ascii="Calibri" w:eastAsia="Times New Roman" w:hAnsi="Calibri" w:cs="Arial"/>
        <w:sz w:val="24"/>
        <w:szCs w:val="24"/>
      </w:rPr>
    </w:pPr>
    <w:r w:rsidRPr="007A0C28">
      <w:rPr>
        <w:rFonts w:ascii="Calibri" w:eastAsia="Times New Roman" w:hAnsi="Calibri" w:cs="Arial"/>
        <w:sz w:val="24"/>
        <w:szCs w:val="24"/>
      </w:rPr>
      <w:t>(Svi iznosi izraženi su u tisućama kuna)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BD812" w14:textId="0F0929F7" w:rsidR="00D74825" w:rsidRPr="00FE19CC" w:rsidRDefault="00D74825" w:rsidP="00581360">
    <w:pPr>
      <w:pBdr>
        <w:bottom w:val="single" w:sz="4" w:space="1" w:color="auto"/>
      </w:pBdr>
      <w:spacing w:after="0" w:line="310" w:lineRule="atLeast"/>
      <w:rPr>
        <w:rFonts w:ascii="Calibri" w:eastAsia="Times New Roman" w:hAnsi="Calibri" w:cs="Arial"/>
        <w:sz w:val="28"/>
        <w:szCs w:val="28"/>
      </w:rPr>
    </w:pPr>
    <w:r w:rsidRPr="00FE19CC">
      <w:rPr>
        <w:rFonts w:ascii="Calibri" w:eastAsia="Times New Roman" w:hAnsi="Calibri" w:cs="Arial"/>
        <w:sz w:val="28"/>
        <w:szCs w:val="28"/>
      </w:rPr>
      <w:t xml:space="preserve">Bilješke uz skraćene konsolidirane financijske izvještaje koje </w:t>
    </w:r>
    <w:r>
      <w:rPr>
        <w:rFonts w:ascii="Calibri" w:eastAsia="Times New Roman" w:hAnsi="Calibri" w:cs="Arial"/>
        <w:sz w:val="28"/>
        <w:szCs w:val="28"/>
      </w:rPr>
      <w:t xml:space="preserve">obuhvaćaju važne </w:t>
    </w:r>
    <w:r w:rsidRPr="00FE19CC">
      <w:rPr>
        <w:rFonts w:ascii="Calibri" w:eastAsia="Times New Roman" w:hAnsi="Calibri" w:cs="Arial"/>
        <w:sz w:val="28"/>
        <w:szCs w:val="28"/>
      </w:rPr>
      <w:t>računovodstven</w:t>
    </w:r>
    <w:r>
      <w:rPr>
        <w:rFonts w:ascii="Calibri" w:eastAsia="Times New Roman" w:hAnsi="Calibri" w:cs="Arial"/>
        <w:sz w:val="28"/>
        <w:szCs w:val="28"/>
      </w:rPr>
      <w:t>e</w:t>
    </w:r>
    <w:r w:rsidRPr="00FE19CC">
      <w:rPr>
        <w:rFonts w:ascii="Calibri" w:eastAsia="Times New Roman" w:hAnsi="Calibri" w:cs="Arial"/>
        <w:sz w:val="28"/>
        <w:szCs w:val="28"/>
      </w:rPr>
      <w:t xml:space="preserve"> politik</w:t>
    </w:r>
    <w:r>
      <w:rPr>
        <w:rFonts w:ascii="Calibri" w:eastAsia="Times New Roman" w:hAnsi="Calibri" w:cs="Arial"/>
        <w:sz w:val="28"/>
        <w:szCs w:val="28"/>
      </w:rPr>
      <w:t>e</w:t>
    </w:r>
    <w:r w:rsidRPr="00FE19CC">
      <w:rPr>
        <w:rFonts w:ascii="Calibri" w:eastAsia="Times New Roman" w:hAnsi="Calibri" w:cs="Arial"/>
        <w:sz w:val="28"/>
        <w:szCs w:val="28"/>
      </w:rPr>
      <w:t xml:space="preserve"> i drug</w:t>
    </w:r>
    <w:r>
      <w:rPr>
        <w:rFonts w:ascii="Calibri" w:eastAsia="Times New Roman" w:hAnsi="Calibri" w:cs="Arial"/>
        <w:sz w:val="28"/>
        <w:szCs w:val="28"/>
      </w:rPr>
      <w:t>a</w:t>
    </w:r>
    <w:r w:rsidRPr="00FE19CC">
      <w:rPr>
        <w:rFonts w:ascii="Calibri" w:eastAsia="Times New Roman" w:hAnsi="Calibri" w:cs="Arial"/>
        <w:sz w:val="28"/>
        <w:szCs w:val="28"/>
      </w:rPr>
      <w:t xml:space="preserve"> objašnj</w:t>
    </w:r>
    <w:r>
      <w:rPr>
        <w:rFonts w:ascii="Calibri" w:eastAsia="Times New Roman" w:hAnsi="Calibri" w:cs="Arial"/>
        <w:sz w:val="28"/>
        <w:szCs w:val="28"/>
      </w:rPr>
      <w:t>enja</w:t>
    </w:r>
  </w:p>
  <w:p w14:paraId="586D1383" w14:textId="321C9516" w:rsidR="00D74825" w:rsidRPr="00FE19CC" w:rsidRDefault="00D74825" w:rsidP="00581360">
    <w:pPr>
      <w:pBdr>
        <w:bottom w:val="single" w:sz="4" w:space="1" w:color="auto"/>
      </w:pBdr>
      <w:spacing w:after="0" w:line="310" w:lineRule="atLeast"/>
      <w:rPr>
        <w:rFonts w:ascii="Calibri" w:eastAsia="Times New Roman" w:hAnsi="Calibri" w:cs="Arial"/>
        <w:sz w:val="28"/>
        <w:szCs w:val="28"/>
      </w:rPr>
    </w:pPr>
    <w:r w:rsidRPr="00FE19CC">
      <w:rPr>
        <w:rFonts w:ascii="Calibri" w:eastAsia="Times New Roman" w:hAnsi="Calibri" w:cs="Arial"/>
        <w:sz w:val="28"/>
        <w:szCs w:val="28"/>
      </w:rPr>
      <w:t>za razdoblje od</w:t>
    </w:r>
    <w:r>
      <w:rPr>
        <w:rFonts w:ascii="Calibri" w:eastAsia="Times New Roman" w:hAnsi="Calibri" w:cs="Arial"/>
        <w:sz w:val="28"/>
        <w:szCs w:val="28"/>
      </w:rPr>
      <w:t xml:space="preserve"> 1.1. do 30.6</w:t>
    </w:r>
    <w:r w:rsidRPr="00FE19CC">
      <w:rPr>
        <w:rFonts w:ascii="Calibri" w:eastAsia="Times New Roman" w:hAnsi="Calibri" w:cs="Arial"/>
        <w:sz w:val="28"/>
        <w:szCs w:val="28"/>
      </w:rPr>
      <w:t>.201</w:t>
    </w:r>
    <w:r>
      <w:rPr>
        <w:rFonts w:ascii="Calibri" w:eastAsia="Times New Roman" w:hAnsi="Calibri" w:cs="Arial"/>
        <w:sz w:val="28"/>
        <w:szCs w:val="28"/>
      </w:rPr>
      <w:t>7</w:t>
    </w:r>
    <w:r w:rsidRPr="00FE19CC">
      <w:rPr>
        <w:rFonts w:ascii="Calibri" w:eastAsia="Times New Roman" w:hAnsi="Calibri" w:cs="Arial"/>
        <w:sz w:val="28"/>
        <w:szCs w:val="28"/>
      </w:rPr>
      <w:t xml:space="preserve">. godine </w:t>
    </w:r>
    <w:r>
      <w:rPr>
        <w:rFonts w:ascii="Calibri" w:eastAsia="Times New Roman" w:hAnsi="Calibri" w:cs="Arial"/>
        <w:sz w:val="28"/>
        <w:szCs w:val="28"/>
      </w:rPr>
      <w:t>(nastavak)</w:t>
    </w:r>
  </w:p>
  <w:p w14:paraId="6B9274C9" w14:textId="77777777" w:rsidR="00D74825" w:rsidRPr="00FE19CC" w:rsidRDefault="00D74825" w:rsidP="00581360">
    <w:pPr>
      <w:pBdr>
        <w:bottom w:val="single" w:sz="4" w:space="1" w:color="auto"/>
      </w:pBdr>
      <w:spacing w:after="0" w:line="310" w:lineRule="atLeast"/>
      <w:rPr>
        <w:rFonts w:ascii="Calibri" w:eastAsia="Times New Roman" w:hAnsi="Calibri" w:cs="Arial"/>
        <w:sz w:val="24"/>
        <w:szCs w:val="24"/>
      </w:rPr>
    </w:pPr>
    <w:r w:rsidRPr="00FE19CC">
      <w:rPr>
        <w:rFonts w:ascii="Calibri" w:eastAsia="Times New Roman" w:hAnsi="Calibri" w:cs="Arial"/>
        <w:sz w:val="24"/>
        <w:szCs w:val="24"/>
      </w:rPr>
      <w:t>(Svi iznosi izraženi su u tisućama kuna)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7072E" w14:textId="77777777" w:rsidR="00D74825" w:rsidRPr="007559E4" w:rsidRDefault="00D74825" w:rsidP="00FD2C50">
    <w:pPr>
      <w:pBdr>
        <w:bottom w:val="single" w:sz="4" w:space="1" w:color="auto"/>
      </w:pBdr>
      <w:spacing w:after="0" w:line="310" w:lineRule="atLeast"/>
      <w:rPr>
        <w:rFonts w:ascii="Calibri" w:eastAsia="Times New Roman" w:hAnsi="Calibri" w:cs="Arial"/>
        <w:sz w:val="28"/>
        <w:szCs w:val="28"/>
      </w:rPr>
    </w:pPr>
    <w:r w:rsidRPr="007559E4">
      <w:rPr>
        <w:rFonts w:ascii="Calibri" w:eastAsia="Times New Roman" w:hAnsi="Calibri" w:cs="Arial"/>
        <w:sz w:val="28"/>
        <w:szCs w:val="28"/>
      </w:rPr>
      <w:t xml:space="preserve">Dodatak uz financijske izvještaje – Financijsko poslovanje Grupe HKO </w:t>
    </w:r>
  </w:p>
  <w:p w14:paraId="1BAB255D" w14:textId="77777777" w:rsidR="00D74825" w:rsidRPr="007559E4" w:rsidRDefault="00D74825" w:rsidP="00FD2C50">
    <w:pPr>
      <w:pBdr>
        <w:bottom w:val="single" w:sz="4" w:space="1" w:color="auto"/>
      </w:pBdr>
      <w:spacing w:after="0" w:line="310" w:lineRule="atLeast"/>
      <w:rPr>
        <w:rFonts w:ascii="Calibri" w:eastAsia="Times New Roman" w:hAnsi="Calibri" w:cs="Arial"/>
        <w:sz w:val="28"/>
        <w:szCs w:val="28"/>
      </w:rPr>
    </w:pPr>
    <w:r w:rsidRPr="007559E4">
      <w:rPr>
        <w:rFonts w:ascii="Calibri" w:eastAsia="Times New Roman" w:hAnsi="Calibri" w:cs="Arial"/>
        <w:sz w:val="28"/>
        <w:szCs w:val="28"/>
      </w:rPr>
      <w:t>Izvještaj o financijskom položaju</w:t>
    </w:r>
    <w:r>
      <w:rPr>
        <w:rFonts w:ascii="Calibri" w:eastAsia="Times New Roman" w:hAnsi="Calibri" w:cs="Arial"/>
        <w:sz w:val="28"/>
        <w:szCs w:val="28"/>
      </w:rPr>
      <w:t xml:space="preserve"> (nerevidirano)</w:t>
    </w:r>
  </w:p>
  <w:p w14:paraId="0FC5165D" w14:textId="77777777" w:rsidR="00D74825" w:rsidRPr="007559E4" w:rsidRDefault="00D74825" w:rsidP="00FD2C50">
    <w:pPr>
      <w:pBdr>
        <w:bottom w:val="single" w:sz="4" w:space="1" w:color="auto"/>
      </w:pBdr>
      <w:spacing w:after="0" w:line="310" w:lineRule="atLeast"/>
      <w:rPr>
        <w:rFonts w:ascii="Calibri" w:eastAsia="Times New Roman" w:hAnsi="Calibri" w:cs="Arial"/>
        <w:sz w:val="24"/>
        <w:szCs w:val="24"/>
        <w:lang w:val="pl-PL"/>
      </w:rPr>
    </w:pPr>
    <w:r w:rsidRPr="00817F9D">
      <w:rPr>
        <w:rFonts w:ascii="Calibri" w:eastAsia="Times New Roman" w:hAnsi="Calibri" w:cs="Arial"/>
        <w:sz w:val="24"/>
        <w:szCs w:val="24"/>
      </w:rPr>
      <w:t>(Svi iznosi izraženi su u tisućama kuna)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85CBA" w14:textId="77777777" w:rsidR="00D74825" w:rsidRPr="00E16AAF" w:rsidRDefault="00D74825" w:rsidP="00FD2C50">
    <w:pPr>
      <w:pBdr>
        <w:bottom w:val="single" w:sz="4" w:space="1" w:color="auto"/>
      </w:pBdr>
      <w:spacing w:after="0" w:line="310" w:lineRule="atLeast"/>
      <w:rPr>
        <w:rFonts w:ascii="Calibri" w:eastAsia="Times New Roman" w:hAnsi="Calibri" w:cs="Arial"/>
        <w:sz w:val="28"/>
        <w:szCs w:val="28"/>
      </w:rPr>
    </w:pPr>
    <w:r w:rsidRPr="00E16AAF">
      <w:rPr>
        <w:rFonts w:ascii="Calibri" w:eastAsia="Times New Roman" w:hAnsi="Calibri" w:cs="Arial"/>
        <w:sz w:val="28"/>
        <w:szCs w:val="28"/>
      </w:rPr>
      <w:t xml:space="preserve">Dodatak uz financijske izvještaje – Financijsko poslovanje Grupe HKO </w:t>
    </w:r>
  </w:p>
  <w:p w14:paraId="656A3C69" w14:textId="4B685376" w:rsidR="00D74825" w:rsidRDefault="00D74825" w:rsidP="00FD2C50">
    <w:pPr>
      <w:pBdr>
        <w:bottom w:val="single" w:sz="4" w:space="1" w:color="auto"/>
      </w:pBdr>
      <w:spacing w:after="0" w:line="310" w:lineRule="atLeast"/>
      <w:rPr>
        <w:rFonts w:ascii="Calibri" w:eastAsia="Times New Roman" w:hAnsi="Calibri" w:cs="Arial"/>
        <w:sz w:val="28"/>
        <w:szCs w:val="28"/>
      </w:rPr>
    </w:pPr>
    <w:r w:rsidRPr="00E16AAF">
      <w:rPr>
        <w:rFonts w:ascii="Calibri" w:eastAsia="Times New Roman" w:hAnsi="Calibri" w:cs="Arial"/>
        <w:sz w:val="28"/>
        <w:szCs w:val="28"/>
      </w:rPr>
      <w:t xml:space="preserve">Izvještaj o dobiti i gubitku te ostaloj sveobuhvatnoj dobiti </w:t>
    </w:r>
  </w:p>
  <w:p w14:paraId="379C7744" w14:textId="1145C604" w:rsidR="00D74825" w:rsidRPr="00E16AAF" w:rsidRDefault="00D74825" w:rsidP="00FD2C50">
    <w:pPr>
      <w:pBdr>
        <w:bottom w:val="single" w:sz="4" w:space="1" w:color="auto"/>
      </w:pBdr>
      <w:spacing w:after="0" w:line="310" w:lineRule="atLeast"/>
      <w:rPr>
        <w:rFonts w:ascii="Calibri" w:eastAsia="Times New Roman" w:hAnsi="Calibri" w:cs="Arial"/>
        <w:sz w:val="28"/>
        <w:szCs w:val="28"/>
      </w:rPr>
    </w:pPr>
    <w:r>
      <w:rPr>
        <w:rFonts w:ascii="Calibri" w:eastAsia="Times New Roman" w:hAnsi="Calibri" w:cs="Arial"/>
        <w:sz w:val="28"/>
        <w:szCs w:val="28"/>
      </w:rPr>
      <w:t xml:space="preserve">za razdoblje od 1.1. do 30.6. (nerevidirano) </w:t>
    </w:r>
  </w:p>
  <w:p w14:paraId="08982D7E" w14:textId="77777777" w:rsidR="00D74825" w:rsidRPr="00E16AAF" w:rsidRDefault="00D74825" w:rsidP="00FD2C50">
    <w:pPr>
      <w:pBdr>
        <w:bottom w:val="single" w:sz="4" w:space="1" w:color="auto"/>
      </w:pBdr>
      <w:spacing w:after="0" w:line="310" w:lineRule="atLeast"/>
      <w:rPr>
        <w:rFonts w:ascii="Calibri" w:eastAsia="Times New Roman" w:hAnsi="Calibri" w:cs="Arial"/>
        <w:sz w:val="24"/>
        <w:szCs w:val="24"/>
      </w:rPr>
    </w:pPr>
    <w:r w:rsidRPr="00817F9D">
      <w:rPr>
        <w:rFonts w:ascii="Calibri" w:eastAsia="Times New Roman" w:hAnsi="Calibri" w:cs="Arial"/>
        <w:sz w:val="24"/>
        <w:szCs w:val="24"/>
      </w:rPr>
      <w:t>(Svi iznosi izraženi su u tisućama kuna)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CF7FF" w14:textId="77777777" w:rsidR="00D74825" w:rsidRPr="00E16AAF" w:rsidRDefault="00D74825" w:rsidP="00FD2C50">
    <w:pPr>
      <w:pBdr>
        <w:bottom w:val="single" w:sz="4" w:space="1" w:color="auto"/>
      </w:pBdr>
      <w:spacing w:after="0" w:line="310" w:lineRule="atLeast"/>
      <w:rPr>
        <w:rFonts w:ascii="Calibri" w:eastAsia="Times New Roman" w:hAnsi="Calibri" w:cs="Arial"/>
        <w:sz w:val="28"/>
        <w:szCs w:val="28"/>
      </w:rPr>
    </w:pPr>
    <w:r w:rsidRPr="00E16AAF">
      <w:rPr>
        <w:rFonts w:ascii="Calibri" w:eastAsia="Times New Roman" w:hAnsi="Calibri" w:cs="Arial"/>
        <w:sz w:val="28"/>
        <w:szCs w:val="28"/>
      </w:rPr>
      <w:t xml:space="preserve">Dodatak uz financijske izvještaje – Financijsko poslovanje Grupe HKO </w:t>
    </w:r>
  </w:p>
  <w:p w14:paraId="2426D0F5" w14:textId="61079902" w:rsidR="00D74825" w:rsidRPr="00E16AAF" w:rsidRDefault="00D74825">
    <w:pPr>
      <w:pBdr>
        <w:bottom w:val="single" w:sz="4" w:space="1" w:color="auto"/>
      </w:pBdr>
      <w:spacing w:after="0" w:line="310" w:lineRule="atLeast"/>
      <w:rPr>
        <w:rFonts w:ascii="Calibri" w:eastAsia="Times New Roman" w:hAnsi="Calibri" w:cs="Arial"/>
        <w:sz w:val="28"/>
        <w:szCs w:val="28"/>
      </w:rPr>
    </w:pPr>
    <w:r w:rsidRPr="00E16AAF">
      <w:rPr>
        <w:rFonts w:ascii="Calibri" w:eastAsia="Times New Roman" w:hAnsi="Calibri" w:cs="Arial"/>
        <w:sz w:val="28"/>
        <w:szCs w:val="28"/>
      </w:rPr>
      <w:t xml:space="preserve">Izvještaj o </w:t>
    </w:r>
    <w:r>
      <w:rPr>
        <w:rFonts w:ascii="Calibri" w:eastAsia="Times New Roman" w:hAnsi="Calibri" w:cs="Arial"/>
        <w:sz w:val="28"/>
        <w:szCs w:val="28"/>
      </w:rPr>
      <w:t xml:space="preserve">financijskom položaju (nerevidirano) </w:t>
    </w:r>
  </w:p>
  <w:p w14:paraId="002B1FCC" w14:textId="77777777" w:rsidR="00D74825" w:rsidRPr="00E16AAF" w:rsidRDefault="00D74825" w:rsidP="00FD2C50">
    <w:pPr>
      <w:pBdr>
        <w:bottom w:val="single" w:sz="4" w:space="1" w:color="auto"/>
      </w:pBdr>
      <w:spacing w:after="0" w:line="310" w:lineRule="atLeast"/>
      <w:rPr>
        <w:rFonts w:ascii="Calibri" w:eastAsia="Times New Roman" w:hAnsi="Calibri" w:cs="Arial"/>
        <w:sz w:val="24"/>
        <w:szCs w:val="24"/>
      </w:rPr>
    </w:pPr>
    <w:r w:rsidRPr="00817F9D">
      <w:rPr>
        <w:rFonts w:ascii="Calibri" w:eastAsia="Times New Roman" w:hAnsi="Calibri" w:cs="Arial"/>
        <w:sz w:val="24"/>
        <w:szCs w:val="24"/>
      </w:rPr>
      <w:t>(Svi iznosi izraženi su u tisućama kuna)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685B8" w14:textId="77777777" w:rsidR="00D74825" w:rsidRPr="00817F9D" w:rsidRDefault="00D74825" w:rsidP="00FD2C50">
    <w:pPr>
      <w:pBdr>
        <w:bottom w:val="single" w:sz="4" w:space="1" w:color="auto"/>
      </w:pBdr>
      <w:spacing w:after="0" w:line="310" w:lineRule="atLeast"/>
      <w:rPr>
        <w:rFonts w:eastAsia="Times New Roman" w:cs="Arial"/>
        <w:sz w:val="28"/>
        <w:szCs w:val="28"/>
      </w:rPr>
    </w:pPr>
    <w:r w:rsidRPr="00817F9D">
      <w:rPr>
        <w:rFonts w:eastAsia="Times New Roman" w:cs="Arial"/>
        <w:sz w:val="28"/>
        <w:szCs w:val="28"/>
      </w:rPr>
      <w:t xml:space="preserve">Dodatak uz financijske izvještaje – Financijsko poslovanje Grupe HKO </w:t>
    </w:r>
  </w:p>
  <w:p w14:paraId="4B64D13D" w14:textId="77777777" w:rsidR="00D74825" w:rsidRPr="00817F9D" w:rsidRDefault="00D74825" w:rsidP="00FD2C50">
    <w:pPr>
      <w:pBdr>
        <w:bottom w:val="single" w:sz="4" w:space="1" w:color="auto"/>
      </w:pBdr>
      <w:spacing w:after="0" w:line="310" w:lineRule="atLeast"/>
      <w:rPr>
        <w:rFonts w:eastAsia="Times New Roman" w:cs="Arial"/>
        <w:sz w:val="28"/>
        <w:szCs w:val="28"/>
      </w:rPr>
    </w:pPr>
    <w:r w:rsidRPr="00817F9D">
      <w:rPr>
        <w:rFonts w:eastAsia="Times New Roman" w:cs="Arial"/>
        <w:sz w:val="28"/>
        <w:szCs w:val="28"/>
      </w:rPr>
      <w:t>Izvještaj o novčanim tokovima</w:t>
    </w:r>
  </w:p>
  <w:p w14:paraId="75BBF27D" w14:textId="3C8F0C87" w:rsidR="00D74825" w:rsidRPr="00E16AAF" w:rsidRDefault="00D74825" w:rsidP="00FD2C50">
    <w:pPr>
      <w:pBdr>
        <w:bottom w:val="single" w:sz="4" w:space="1" w:color="auto"/>
      </w:pBdr>
      <w:spacing w:after="0" w:line="310" w:lineRule="atLeast"/>
      <w:rPr>
        <w:rFonts w:ascii="Calibri" w:eastAsia="Times New Roman" w:hAnsi="Calibri" w:cs="Arial"/>
        <w:sz w:val="28"/>
        <w:szCs w:val="28"/>
      </w:rPr>
    </w:pPr>
    <w:r>
      <w:rPr>
        <w:rFonts w:ascii="Calibri" w:eastAsia="Times New Roman" w:hAnsi="Calibri" w:cs="Arial"/>
        <w:sz w:val="28"/>
        <w:szCs w:val="28"/>
      </w:rPr>
      <w:t xml:space="preserve">za razdoblje od 1.1. do 30.6. (nerevidirano) </w:t>
    </w:r>
  </w:p>
  <w:p w14:paraId="4652A3BD" w14:textId="77777777" w:rsidR="00D74825" w:rsidRPr="00817F9D" w:rsidRDefault="00D74825" w:rsidP="00FD2C50">
    <w:pPr>
      <w:pBdr>
        <w:bottom w:val="single" w:sz="4" w:space="1" w:color="auto"/>
      </w:pBdr>
      <w:spacing w:after="0" w:line="310" w:lineRule="atLeast"/>
      <w:rPr>
        <w:rFonts w:eastAsia="Times New Roman" w:cs="Arial"/>
        <w:sz w:val="24"/>
        <w:szCs w:val="24"/>
      </w:rPr>
    </w:pPr>
    <w:r w:rsidRPr="00817F9D">
      <w:rPr>
        <w:rFonts w:eastAsia="Times New Roman" w:cs="Arial"/>
        <w:sz w:val="24"/>
        <w:szCs w:val="24"/>
      </w:rPr>
      <w:t>(Svi iznosi izraženi su u tisućama kuna)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96D14" w14:textId="77777777" w:rsidR="00D74825" w:rsidRPr="00817F9D" w:rsidRDefault="00D74825" w:rsidP="00FD2C50">
    <w:pPr>
      <w:pBdr>
        <w:bottom w:val="single" w:sz="4" w:space="1" w:color="auto"/>
      </w:pBdr>
      <w:spacing w:after="0" w:line="310" w:lineRule="atLeast"/>
      <w:rPr>
        <w:rFonts w:eastAsia="Times New Roman" w:cs="Arial"/>
        <w:sz w:val="28"/>
        <w:szCs w:val="28"/>
      </w:rPr>
    </w:pPr>
    <w:r w:rsidRPr="00817F9D">
      <w:rPr>
        <w:rFonts w:eastAsia="Times New Roman" w:cs="Arial"/>
        <w:sz w:val="28"/>
        <w:szCs w:val="28"/>
      </w:rPr>
      <w:t xml:space="preserve">Dodatak uz financijske izvještaje – Financijsko poslovanje Grupe HKO </w:t>
    </w:r>
  </w:p>
  <w:p w14:paraId="57AA90D3" w14:textId="77777777" w:rsidR="00D74825" w:rsidRDefault="00D74825" w:rsidP="00FD2C50">
    <w:pPr>
      <w:pBdr>
        <w:bottom w:val="single" w:sz="4" w:space="1" w:color="auto"/>
      </w:pBdr>
      <w:spacing w:after="0" w:line="310" w:lineRule="atLeast"/>
      <w:rPr>
        <w:rFonts w:ascii="Calibri" w:eastAsia="Times New Roman" w:hAnsi="Calibri" w:cs="Arial"/>
        <w:sz w:val="28"/>
        <w:szCs w:val="28"/>
      </w:rPr>
    </w:pPr>
    <w:r w:rsidRPr="007A0C28">
      <w:rPr>
        <w:rFonts w:ascii="Calibri" w:eastAsia="Times New Roman" w:hAnsi="Calibri" w:cs="Arial"/>
        <w:sz w:val="28"/>
        <w:szCs w:val="28"/>
      </w:rPr>
      <w:t>Izvještaj o promjen</w:t>
    </w:r>
    <w:r>
      <w:rPr>
        <w:rFonts w:ascii="Calibri" w:eastAsia="Times New Roman" w:hAnsi="Calibri" w:cs="Arial"/>
        <w:sz w:val="28"/>
        <w:szCs w:val="28"/>
      </w:rPr>
      <w:t xml:space="preserve">ama na kapitalu </w:t>
    </w:r>
  </w:p>
  <w:p w14:paraId="4582D288" w14:textId="03D170BD" w:rsidR="00D74825" w:rsidRPr="00E16AAF" w:rsidRDefault="00D74825" w:rsidP="00FD2C50">
    <w:pPr>
      <w:pBdr>
        <w:bottom w:val="single" w:sz="4" w:space="1" w:color="auto"/>
      </w:pBdr>
      <w:spacing w:after="0" w:line="310" w:lineRule="atLeast"/>
      <w:rPr>
        <w:rFonts w:ascii="Calibri" w:eastAsia="Times New Roman" w:hAnsi="Calibri" w:cs="Arial"/>
        <w:sz w:val="28"/>
        <w:szCs w:val="28"/>
      </w:rPr>
    </w:pPr>
    <w:r>
      <w:rPr>
        <w:rFonts w:ascii="Calibri" w:eastAsia="Times New Roman" w:hAnsi="Calibri" w:cs="Arial"/>
        <w:sz w:val="28"/>
        <w:szCs w:val="28"/>
      </w:rPr>
      <w:t xml:space="preserve">za razdoblje od 1.1. do 30.6. (nerevidirano) </w:t>
    </w:r>
  </w:p>
  <w:p w14:paraId="46D38A1E" w14:textId="77777777" w:rsidR="00D74825" w:rsidRPr="00817F9D" w:rsidRDefault="00D74825" w:rsidP="00FD2C50">
    <w:pPr>
      <w:pBdr>
        <w:bottom w:val="single" w:sz="4" w:space="1" w:color="auto"/>
      </w:pBdr>
      <w:spacing w:after="0" w:line="310" w:lineRule="atLeast"/>
      <w:rPr>
        <w:rFonts w:eastAsia="Times New Roman" w:cs="Arial"/>
        <w:sz w:val="24"/>
        <w:szCs w:val="24"/>
      </w:rPr>
    </w:pPr>
    <w:r w:rsidRPr="00817F9D">
      <w:rPr>
        <w:rFonts w:eastAsia="Times New Roman" w:cs="Arial"/>
        <w:sz w:val="24"/>
        <w:szCs w:val="24"/>
      </w:rPr>
      <w:t>(Svi iznosi izraženi su u tisućama kuna)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34025" w14:textId="77777777" w:rsidR="00D74825" w:rsidRPr="007A0C28" w:rsidRDefault="00D74825" w:rsidP="00B675AD">
    <w:pPr>
      <w:pStyle w:val="Header"/>
      <w:pBdr>
        <w:bottom w:val="single" w:sz="4" w:space="1" w:color="auto"/>
      </w:pBdr>
    </w:pPr>
    <w:r w:rsidRPr="007A0C28">
      <w:rPr>
        <w:rFonts w:ascii="Calibri" w:eastAsia="Times New Roman" w:hAnsi="Calibri" w:cs="Arial"/>
        <w:sz w:val="28"/>
        <w:szCs w:val="28"/>
      </w:rPr>
      <w:t>Sadržaj</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C8586" w14:textId="77777777" w:rsidR="00D74825" w:rsidRPr="007A0C28" w:rsidRDefault="00D74825" w:rsidP="002E70EA">
    <w:pPr>
      <w:pStyle w:val="Header"/>
      <w:pBdr>
        <w:bottom w:val="single" w:sz="4" w:space="1" w:color="auto"/>
      </w:pBdr>
      <w:rPr>
        <w:rFonts w:ascii="Calibri" w:eastAsia="Times New Roman" w:hAnsi="Calibri" w:cs="Arial"/>
        <w:sz w:val="28"/>
        <w:szCs w:val="28"/>
      </w:rPr>
    </w:pPr>
    <w:r w:rsidRPr="007A0C28">
      <w:rPr>
        <w:rFonts w:ascii="Calibri" w:eastAsia="Times New Roman" w:hAnsi="Calibri" w:cs="Arial"/>
        <w:sz w:val="28"/>
        <w:szCs w:val="28"/>
      </w:rPr>
      <w:t xml:space="preserve">Izjava osoba odgovornih za </w:t>
    </w:r>
    <w:r>
      <w:rPr>
        <w:rFonts w:ascii="Calibri" w:eastAsia="Times New Roman" w:hAnsi="Calibri" w:cs="Arial"/>
        <w:sz w:val="28"/>
        <w:szCs w:val="28"/>
      </w:rPr>
      <w:t>s</w:t>
    </w:r>
    <w:r w:rsidRPr="007A0C28">
      <w:rPr>
        <w:rFonts w:ascii="Calibri" w:eastAsia="Times New Roman" w:hAnsi="Calibri" w:cs="Arial"/>
        <w:sz w:val="28"/>
        <w:szCs w:val="28"/>
      </w:rPr>
      <w:t xml:space="preserve">kraćene konsolidirane financijske izvještaje </w:t>
    </w:r>
  </w:p>
  <w:p w14:paraId="7D4B22E5" w14:textId="554E5EFF" w:rsidR="00D74825" w:rsidRPr="002E70EA" w:rsidRDefault="00D74825" w:rsidP="002E70EA">
    <w:pPr>
      <w:pStyle w:val="Header"/>
      <w:pBdr>
        <w:bottom w:val="single" w:sz="4" w:space="1" w:color="auto"/>
      </w:pBdr>
    </w:pPr>
    <w:r>
      <w:rPr>
        <w:rFonts w:ascii="Calibri" w:eastAsia="Times New Roman" w:hAnsi="Calibri" w:cs="Arial"/>
        <w:sz w:val="28"/>
        <w:szCs w:val="28"/>
      </w:rPr>
      <w:t>za razdoblje od 1.</w:t>
    </w:r>
    <w:r w:rsidRPr="007A0C28">
      <w:rPr>
        <w:rFonts w:ascii="Calibri" w:eastAsia="Times New Roman" w:hAnsi="Calibri" w:cs="Arial"/>
        <w:sz w:val="28"/>
        <w:szCs w:val="28"/>
      </w:rPr>
      <w:t>1. do 3</w:t>
    </w:r>
    <w:r>
      <w:rPr>
        <w:rFonts w:ascii="Calibri" w:eastAsia="Times New Roman" w:hAnsi="Calibri" w:cs="Arial"/>
        <w:sz w:val="28"/>
        <w:szCs w:val="28"/>
      </w:rPr>
      <w:t>0</w:t>
    </w:r>
    <w:r w:rsidRPr="007A0C28">
      <w:rPr>
        <w:rFonts w:ascii="Calibri" w:eastAsia="Times New Roman" w:hAnsi="Calibri" w:cs="Arial"/>
        <w:sz w:val="28"/>
        <w:szCs w:val="28"/>
      </w:rPr>
      <w:t>.</w:t>
    </w:r>
    <w:r>
      <w:rPr>
        <w:rFonts w:ascii="Calibri" w:eastAsia="Times New Roman" w:hAnsi="Calibri" w:cs="Arial"/>
        <w:sz w:val="28"/>
        <w:szCs w:val="28"/>
      </w:rPr>
      <w:t>6.</w:t>
    </w:r>
    <w:r w:rsidRPr="007A0C28">
      <w:rPr>
        <w:rFonts w:ascii="Calibri" w:eastAsia="Times New Roman" w:hAnsi="Calibri" w:cs="Arial"/>
        <w:sz w:val="28"/>
        <w:szCs w:val="28"/>
      </w:rPr>
      <w:t>201</w:t>
    </w:r>
    <w:r>
      <w:rPr>
        <w:rFonts w:ascii="Calibri" w:eastAsia="Times New Roman" w:hAnsi="Calibri" w:cs="Arial"/>
        <w:sz w:val="28"/>
        <w:szCs w:val="28"/>
      </w:rPr>
      <w:t>7</w:t>
    </w:r>
    <w:r w:rsidRPr="007A0C28">
      <w:rPr>
        <w:rFonts w:ascii="Calibri" w:eastAsia="Times New Roman" w:hAnsi="Calibri" w:cs="Arial"/>
        <w:sz w:val="28"/>
        <w:szCs w:val="28"/>
      </w:rPr>
      <w:t>. godine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4084D" w14:textId="2FCB896B" w:rsidR="00D74825" w:rsidRPr="007A0C28" w:rsidRDefault="00D74825" w:rsidP="00C97A45">
    <w:pPr>
      <w:pBdr>
        <w:bottom w:val="single" w:sz="4" w:space="1" w:color="auto"/>
      </w:pBdr>
      <w:tabs>
        <w:tab w:val="center" w:pos="4513"/>
      </w:tabs>
      <w:suppressAutoHyphens/>
      <w:spacing w:after="0" w:line="310" w:lineRule="atLeast"/>
      <w:jc w:val="both"/>
      <w:rPr>
        <w:rFonts w:ascii="Calibri" w:eastAsia="Times New Roman" w:hAnsi="Calibri" w:cs="Arial"/>
        <w:spacing w:val="-3"/>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E0121" w14:textId="5E2B9163" w:rsidR="00D74825" w:rsidRPr="007A0C28" w:rsidRDefault="00D74825" w:rsidP="00C97A45">
    <w:pPr>
      <w:pBdr>
        <w:bottom w:val="single" w:sz="4" w:space="1" w:color="auto"/>
      </w:pBdr>
      <w:tabs>
        <w:tab w:val="center" w:pos="4513"/>
      </w:tabs>
      <w:suppressAutoHyphens/>
      <w:spacing w:after="0" w:line="310" w:lineRule="atLeast"/>
      <w:jc w:val="both"/>
      <w:rPr>
        <w:rFonts w:ascii="Calibri" w:eastAsia="Times New Roman" w:hAnsi="Calibri" w:cs="Arial"/>
        <w:spacing w:val="-3"/>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8344B" w14:textId="48B2F470" w:rsidR="00D74825" w:rsidRPr="007A0C28" w:rsidRDefault="00D74825" w:rsidP="00C97A45">
    <w:pPr>
      <w:pBdr>
        <w:bottom w:val="single" w:sz="4" w:space="1" w:color="auto"/>
      </w:pBdr>
      <w:tabs>
        <w:tab w:val="center" w:pos="4513"/>
      </w:tabs>
      <w:suppressAutoHyphens/>
      <w:spacing w:after="0" w:line="310" w:lineRule="atLeast"/>
      <w:jc w:val="both"/>
      <w:rPr>
        <w:rFonts w:ascii="Calibri" w:eastAsia="Times New Roman" w:hAnsi="Calibri" w:cs="Arial"/>
        <w:spacing w:val="-3"/>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43CC0" w14:textId="1B61ADB7" w:rsidR="00D74825" w:rsidRPr="007A0C28" w:rsidRDefault="00D74825" w:rsidP="00C97A45">
    <w:pPr>
      <w:pBdr>
        <w:bottom w:val="single" w:sz="4" w:space="1" w:color="auto"/>
      </w:pBdr>
      <w:tabs>
        <w:tab w:val="center" w:pos="4513"/>
      </w:tabs>
      <w:suppressAutoHyphens/>
      <w:spacing w:after="0" w:line="310" w:lineRule="atLeast"/>
      <w:jc w:val="both"/>
      <w:rPr>
        <w:rFonts w:ascii="Calibri" w:eastAsia="Times New Roman" w:hAnsi="Calibri" w:cs="Arial"/>
        <w:spacing w:val="-3"/>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F499A" w14:textId="7A1AAA7F" w:rsidR="00D74825" w:rsidRPr="007A0C28" w:rsidRDefault="00D74825" w:rsidP="00C97A45">
    <w:pPr>
      <w:pBdr>
        <w:bottom w:val="single" w:sz="4" w:space="1" w:color="auto"/>
      </w:pBdr>
      <w:tabs>
        <w:tab w:val="center" w:pos="4513"/>
      </w:tabs>
      <w:suppressAutoHyphens/>
      <w:spacing w:after="0" w:line="310" w:lineRule="atLeast"/>
      <w:jc w:val="both"/>
      <w:rPr>
        <w:rFonts w:ascii="Calibri" w:eastAsia="Times New Roman" w:hAnsi="Calibri" w:cs="Arial"/>
        <w:spacing w:val="-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73355"/>
    <w:multiLevelType w:val="hybridMultilevel"/>
    <w:tmpl w:val="0B24AC7E"/>
    <w:lvl w:ilvl="0" w:tplc="AFD297EE">
      <w:start w:val="1"/>
      <w:numFmt w:val="bullet"/>
      <w:lvlText w:val=""/>
      <w:lvlJc w:val="left"/>
      <w:pPr>
        <w:ind w:left="720" w:hanging="360"/>
      </w:pPr>
      <w:rPr>
        <w:rFonts w:ascii="Symbol" w:hAnsi="Symbol" w:hint="default"/>
        <w:b w:val="0"/>
        <w:sz w:val="20"/>
        <w:szCs w:val="20"/>
        <w:lang w:val="en-G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8C60F1"/>
    <w:multiLevelType w:val="hybridMultilevel"/>
    <w:tmpl w:val="74F0AFFA"/>
    <w:lvl w:ilvl="0" w:tplc="AFD297EE">
      <w:start w:val="1"/>
      <w:numFmt w:val="bullet"/>
      <w:lvlText w:val=""/>
      <w:lvlJc w:val="left"/>
      <w:pPr>
        <w:ind w:left="720" w:hanging="360"/>
      </w:pPr>
      <w:rPr>
        <w:rFonts w:ascii="Symbol" w:hAnsi="Symbol" w:hint="default"/>
        <w:b w:val="0"/>
        <w:sz w:val="20"/>
        <w:szCs w:val="20"/>
        <w:lang w:val="en-G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8043F1"/>
    <w:multiLevelType w:val="hybridMultilevel"/>
    <w:tmpl w:val="5324EE5A"/>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AE18E2"/>
    <w:multiLevelType w:val="multilevel"/>
    <w:tmpl w:val="7934471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168E01B9"/>
    <w:multiLevelType w:val="multilevel"/>
    <w:tmpl w:val="717043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DB0ACB"/>
    <w:multiLevelType w:val="hybridMultilevel"/>
    <w:tmpl w:val="D43A6648"/>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6F0ED6"/>
    <w:multiLevelType w:val="hybridMultilevel"/>
    <w:tmpl w:val="CC209D9A"/>
    <w:lvl w:ilvl="0" w:tplc="89A2892E">
      <w:numFmt w:val="bullet"/>
      <w:lvlText w:val="-"/>
      <w:lvlJc w:val="left"/>
      <w:pPr>
        <w:tabs>
          <w:tab w:val="num" w:pos="1080"/>
        </w:tabs>
        <w:ind w:left="108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E3E0A97C">
      <w:start w:val="1"/>
      <w:numFmt w:val="bullet"/>
      <w:lvlText w:val=""/>
      <w:lvlJc w:val="left"/>
      <w:pPr>
        <w:tabs>
          <w:tab w:val="num" w:pos="2160"/>
        </w:tabs>
        <w:ind w:left="2160" w:hanging="360"/>
      </w:pPr>
      <w:rPr>
        <w:rFonts w:ascii="Symbol" w:hAnsi="Symbol" w:hint="default"/>
        <w:color w:val="auto"/>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10" w15:restartNumberingAfterBreak="0">
    <w:nsid w:val="253E0159"/>
    <w:multiLevelType w:val="hybridMultilevel"/>
    <w:tmpl w:val="C944AC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7731460"/>
    <w:multiLevelType w:val="hybridMultilevel"/>
    <w:tmpl w:val="93B2AF26"/>
    <w:lvl w:ilvl="0" w:tplc="6BC62CD4">
      <w:numFmt w:val="bullet"/>
      <w:lvlText w:val="-"/>
      <w:lvlJc w:val="left"/>
      <w:pPr>
        <w:tabs>
          <w:tab w:val="num" w:pos="4472"/>
        </w:tabs>
        <w:ind w:left="4472" w:hanging="360"/>
      </w:pPr>
      <w:rPr>
        <w:rFonts w:ascii="Times New Roman" w:hAnsi="Times New Roman" w:cs="Times New Roman" w:hint="default"/>
        <w:color w:val="auto"/>
      </w:rPr>
    </w:lvl>
    <w:lvl w:ilvl="1" w:tplc="041A0003" w:tentative="1">
      <w:start w:val="1"/>
      <w:numFmt w:val="bullet"/>
      <w:lvlText w:val="o"/>
      <w:lvlJc w:val="left"/>
      <w:pPr>
        <w:tabs>
          <w:tab w:val="num" w:pos="4112"/>
        </w:tabs>
        <w:ind w:left="4112" w:hanging="360"/>
      </w:pPr>
      <w:rPr>
        <w:rFonts w:ascii="Courier New" w:hAnsi="Courier New" w:cs="Courier New" w:hint="default"/>
      </w:rPr>
    </w:lvl>
    <w:lvl w:ilvl="2" w:tplc="041A0005" w:tentative="1">
      <w:start w:val="1"/>
      <w:numFmt w:val="bullet"/>
      <w:lvlText w:val=""/>
      <w:lvlJc w:val="left"/>
      <w:pPr>
        <w:tabs>
          <w:tab w:val="num" w:pos="4832"/>
        </w:tabs>
        <w:ind w:left="4832" w:hanging="360"/>
      </w:pPr>
      <w:rPr>
        <w:rFonts w:ascii="Wingdings" w:hAnsi="Wingdings" w:hint="default"/>
      </w:rPr>
    </w:lvl>
    <w:lvl w:ilvl="3" w:tplc="041A0001" w:tentative="1">
      <w:start w:val="1"/>
      <w:numFmt w:val="bullet"/>
      <w:lvlText w:val=""/>
      <w:lvlJc w:val="left"/>
      <w:pPr>
        <w:tabs>
          <w:tab w:val="num" w:pos="5552"/>
        </w:tabs>
        <w:ind w:left="5552" w:hanging="360"/>
      </w:pPr>
      <w:rPr>
        <w:rFonts w:ascii="Symbol" w:hAnsi="Symbol" w:hint="default"/>
      </w:rPr>
    </w:lvl>
    <w:lvl w:ilvl="4" w:tplc="041A0003" w:tentative="1">
      <w:start w:val="1"/>
      <w:numFmt w:val="bullet"/>
      <w:lvlText w:val="o"/>
      <w:lvlJc w:val="left"/>
      <w:pPr>
        <w:tabs>
          <w:tab w:val="num" w:pos="6272"/>
        </w:tabs>
        <w:ind w:left="6272" w:hanging="360"/>
      </w:pPr>
      <w:rPr>
        <w:rFonts w:ascii="Courier New" w:hAnsi="Courier New" w:cs="Courier New" w:hint="default"/>
      </w:rPr>
    </w:lvl>
    <w:lvl w:ilvl="5" w:tplc="041A0005" w:tentative="1">
      <w:start w:val="1"/>
      <w:numFmt w:val="bullet"/>
      <w:lvlText w:val=""/>
      <w:lvlJc w:val="left"/>
      <w:pPr>
        <w:tabs>
          <w:tab w:val="num" w:pos="6992"/>
        </w:tabs>
        <w:ind w:left="6992" w:hanging="360"/>
      </w:pPr>
      <w:rPr>
        <w:rFonts w:ascii="Wingdings" w:hAnsi="Wingdings" w:hint="default"/>
      </w:rPr>
    </w:lvl>
    <w:lvl w:ilvl="6" w:tplc="041A0001" w:tentative="1">
      <w:start w:val="1"/>
      <w:numFmt w:val="bullet"/>
      <w:lvlText w:val=""/>
      <w:lvlJc w:val="left"/>
      <w:pPr>
        <w:tabs>
          <w:tab w:val="num" w:pos="7712"/>
        </w:tabs>
        <w:ind w:left="7712" w:hanging="360"/>
      </w:pPr>
      <w:rPr>
        <w:rFonts w:ascii="Symbol" w:hAnsi="Symbol" w:hint="default"/>
      </w:rPr>
    </w:lvl>
    <w:lvl w:ilvl="7" w:tplc="041A0003" w:tentative="1">
      <w:start w:val="1"/>
      <w:numFmt w:val="bullet"/>
      <w:lvlText w:val="o"/>
      <w:lvlJc w:val="left"/>
      <w:pPr>
        <w:tabs>
          <w:tab w:val="num" w:pos="8432"/>
        </w:tabs>
        <w:ind w:left="8432" w:hanging="360"/>
      </w:pPr>
      <w:rPr>
        <w:rFonts w:ascii="Courier New" w:hAnsi="Courier New" w:cs="Courier New" w:hint="default"/>
      </w:rPr>
    </w:lvl>
    <w:lvl w:ilvl="8" w:tplc="041A0005" w:tentative="1">
      <w:start w:val="1"/>
      <w:numFmt w:val="bullet"/>
      <w:lvlText w:val=""/>
      <w:lvlJc w:val="left"/>
      <w:pPr>
        <w:tabs>
          <w:tab w:val="num" w:pos="9152"/>
        </w:tabs>
        <w:ind w:left="9152" w:hanging="360"/>
      </w:pPr>
      <w:rPr>
        <w:rFonts w:ascii="Wingdings" w:hAnsi="Wingdings" w:hint="default"/>
      </w:rPr>
    </w:lvl>
  </w:abstractNum>
  <w:abstractNum w:abstractNumId="12" w15:restartNumberingAfterBreak="0">
    <w:nsid w:val="2F9D635F"/>
    <w:multiLevelType w:val="hybridMultilevel"/>
    <w:tmpl w:val="F782CD1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BA55BA"/>
    <w:multiLevelType w:val="hybridMultilevel"/>
    <w:tmpl w:val="FA2033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B863F25"/>
    <w:multiLevelType w:val="hybridMultilevel"/>
    <w:tmpl w:val="80301558"/>
    <w:lvl w:ilvl="0" w:tplc="DC1800CE">
      <w:numFmt w:val="bullet"/>
      <w:lvlText w:val=""/>
      <w:lvlJc w:val="left"/>
      <w:pPr>
        <w:ind w:left="1429" w:hanging="360"/>
      </w:pPr>
      <w:rPr>
        <w:rFonts w:ascii="Symbol" w:eastAsia="Times New Roman" w:hAnsi="Symbol" w:hint="default"/>
        <w:color w:val="auto"/>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5" w15:restartNumberingAfterBreak="0">
    <w:nsid w:val="3CA66766"/>
    <w:multiLevelType w:val="multilevel"/>
    <w:tmpl w:val="0FA820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405426E6"/>
    <w:multiLevelType w:val="hybridMultilevel"/>
    <w:tmpl w:val="E226607A"/>
    <w:lvl w:ilvl="0" w:tplc="89A2892E">
      <w:numFmt w:val="bullet"/>
      <w:lvlText w:val="-"/>
      <w:lvlJc w:val="left"/>
      <w:pPr>
        <w:tabs>
          <w:tab w:val="num" w:pos="1080"/>
        </w:tabs>
        <w:ind w:left="108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283064"/>
    <w:multiLevelType w:val="hybridMultilevel"/>
    <w:tmpl w:val="4934D23C"/>
    <w:lvl w:ilvl="0" w:tplc="04090001">
      <w:start w:val="1"/>
      <w:numFmt w:val="bullet"/>
      <w:lvlText w:val=""/>
      <w:lvlJc w:val="left"/>
      <w:pPr>
        <w:ind w:left="1646" w:hanging="360"/>
      </w:pPr>
      <w:rPr>
        <w:rFonts w:ascii="Symbol" w:hAnsi="Symbol" w:hint="default"/>
        <w:color w:val="auto"/>
      </w:rPr>
    </w:lvl>
    <w:lvl w:ilvl="1" w:tplc="54E41676">
      <w:numFmt w:val="bullet"/>
      <w:lvlText w:val="–"/>
      <w:lvlJc w:val="left"/>
      <w:pPr>
        <w:ind w:left="2366" w:hanging="360"/>
      </w:pPr>
      <w:rPr>
        <w:rFonts w:ascii="Times New Roman" w:eastAsia="Times New Roman" w:hAnsi="Times New Roman" w:cs="Times New Roman" w:hint="default"/>
      </w:rPr>
    </w:lvl>
    <w:lvl w:ilvl="2" w:tplc="041A0005">
      <w:start w:val="1"/>
      <w:numFmt w:val="bullet"/>
      <w:lvlText w:val=""/>
      <w:lvlJc w:val="left"/>
      <w:pPr>
        <w:ind w:left="3086" w:hanging="360"/>
      </w:pPr>
      <w:rPr>
        <w:rFonts w:ascii="Wingdings" w:hAnsi="Wingdings" w:hint="default"/>
      </w:rPr>
    </w:lvl>
    <w:lvl w:ilvl="3" w:tplc="041A0001" w:tentative="1">
      <w:start w:val="1"/>
      <w:numFmt w:val="bullet"/>
      <w:lvlText w:val=""/>
      <w:lvlJc w:val="left"/>
      <w:pPr>
        <w:ind w:left="3806" w:hanging="360"/>
      </w:pPr>
      <w:rPr>
        <w:rFonts w:ascii="Symbol" w:hAnsi="Symbol" w:hint="default"/>
      </w:rPr>
    </w:lvl>
    <w:lvl w:ilvl="4" w:tplc="041A0003" w:tentative="1">
      <w:start w:val="1"/>
      <w:numFmt w:val="bullet"/>
      <w:lvlText w:val="o"/>
      <w:lvlJc w:val="left"/>
      <w:pPr>
        <w:ind w:left="4526" w:hanging="360"/>
      </w:pPr>
      <w:rPr>
        <w:rFonts w:ascii="Courier New" w:hAnsi="Courier New" w:cs="Courier New" w:hint="default"/>
      </w:rPr>
    </w:lvl>
    <w:lvl w:ilvl="5" w:tplc="041A0005" w:tentative="1">
      <w:start w:val="1"/>
      <w:numFmt w:val="bullet"/>
      <w:lvlText w:val=""/>
      <w:lvlJc w:val="left"/>
      <w:pPr>
        <w:ind w:left="5246" w:hanging="360"/>
      </w:pPr>
      <w:rPr>
        <w:rFonts w:ascii="Wingdings" w:hAnsi="Wingdings" w:hint="default"/>
      </w:rPr>
    </w:lvl>
    <w:lvl w:ilvl="6" w:tplc="041A0001" w:tentative="1">
      <w:start w:val="1"/>
      <w:numFmt w:val="bullet"/>
      <w:lvlText w:val=""/>
      <w:lvlJc w:val="left"/>
      <w:pPr>
        <w:ind w:left="5966" w:hanging="360"/>
      </w:pPr>
      <w:rPr>
        <w:rFonts w:ascii="Symbol" w:hAnsi="Symbol" w:hint="default"/>
      </w:rPr>
    </w:lvl>
    <w:lvl w:ilvl="7" w:tplc="041A0003" w:tentative="1">
      <w:start w:val="1"/>
      <w:numFmt w:val="bullet"/>
      <w:lvlText w:val="o"/>
      <w:lvlJc w:val="left"/>
      <w:pPr>
        <w:ind w:left="6686" w:hanging="360"/>
      </w:pPr>
      <w:rPr>
        <w:rFonts w:ascii="Courier New" w:hAnsi="Courier New" w:cs="Courier New" w:hint="default"/>
      </w:rPr>
    </w:lvl>
    <w:lvl w:ilvl="8" w:tplc="041A0005" w:tentative="1">
      <w:start w:val="1"/>
      <w:numFmt w:val="bullet"/>
      <w:lvlText w:val=""/>
      <w:lvlJc w:val="left"/>
      <w:pPr>
        <w:ind w:left="7406" w:hanging="360"/>
      </w:pPr>
      <w:rPr>
        <w:rFonts w:ascii="Wingdings" w:hAnsi="Wingdings" w:hint="default"/>
      </w:rPr>
    </w:lvl>
  </w:abstractNum>
  <w:abstractNum w:abstractNumId="18" w15:restartNumberingAfterBreak="0">
    <w:nsid w:val="488973E0"/>
    <w:multiLevelType w:val="hybridMultilevel"/>
    <w:tmpl w:val="70922B2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4DD352A1"/>
    <w:multiLevelType w:val="multilevel"/>
    <w:tmpl w:val="60AE5972"/>
    <w:lvl w:ilvl="0">
      <w:numFmt w:val="bullet"/>
      <w:lvlText w:val=""/>
      <w:lvlJc w:val="left"/>
      <w:pPr>
        <w:ind w:left="720" w:hanging="360"/>
      </w:pPr>
      <w:rPr>
        <w:rFonts w:ascii="Symbol" w:eastAsia="Times New Roman"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4A17619"/>
    <w:multiLevelType w:val="multilevel"/>
    <w:tmpl w:val="C66A6C2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60C65364"/>
    <w:multiLevelType w:val="multilevel"/>
    <w:tmpl w:val="F2345E7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621F034C"/>
    <w:multiLevelType w:val="hybridMultilevel"/>
    <w:tmpl w:val="6F14C9F2"/>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5F526C6"/>
    <w:multiLevelType w:val="hybridMultilevel"/>
    <w:tmpl w:val="9D1CAB40"/>
    <w:lvl w:ilvl="0" w:tplc="041A0017">
      <w:start w:val="2"/>
      <w:numFmt w:val="lowerLetter"/>
      <w:lvlText w:val="%1)"/>
      <w:lvlJc w:val="left"/>
      <w:pPr>
        <w:ind w:left="1572" w:hanging="360"/>
      </w:pPr>
      <w:rPr>
        <w:rFonts w:hint="default"/>
      </w:rPr>
    </w:lvl>
    <w:lvl w:ilvl="1" w:tplc="041A0019" w:tentative="1">
      <w:start w:val="1"/>
      <w:numFmt w:val="lowerLetter"/>
      <w:lvlText w:val="%2."/>
      <w:lvlJc w:val="left"/>
      <w:pPr>
        <w:ind w:left="2292" w:hanging="360"/>
      </w:pPr>
    </w:lvl>
    <w:lvl w:ilvl="2" w:tplc="041A001B" w:tentative="1">
      <w:start w:val="1"/>
      <w:numFmt w:val="lowerRoman"/>
      <w:lvlText w:val="%3."/>
      <w:lvlJc w:val="right"/>
      <w:pPr>
        <w:ind w:left="3012" w:hanging="180"/>
      </w:pPr>
    </w:lvl>
    <w:lvl w:ilvl="3" w:tplc="041A000F" w:tentative="1">
      <w:start w:val="1"/>
      <w:numFmt w:val="decimal"/>
      <w:lvlText w:val="%4."/>
      <w:lvlJc w:val="left"/>
      <w:pPr>
        <w:ind w:left="3732" w:hanging="360"/>
      </w:pPr>
    </w:lvl>
    <w:lvl w:ilvl="4" w:tplc="041A0019" w:tentative="1">
      <w:start w:val="1"/>
      <w:numFmt w:val="lowerLetter"/>
      <w:lvlText w:val="%5."/>
      <w:lvlJc w:val="left"/>
      <w:pPr>
        <w:ind w:left="4452" w:hanging="360"/>
      </w:pPr>
    </w:lvl>
    <w:lvl w:ilvl="5" w:tplc="041A001B" w:tentative="1">
      <w:start w:val="1"/>
      <w:numFmt w:val="lowerRoman"/>
      <w:lvlText w:val="%6."/>
      <w:lvlJc w:val="right"/>
      <w:pPr>
        <w:ind w:left="5172" w:hanging="180"/>
      </w:pPr>
    </w:lvl>
    <w:lvl w:ilvl="6" w:tplc="041A000F" w:tentative="1">
      <w:start w:val="1"/>
      <w:numFmt w:val="decimal"/>
      <w:lvlText w:val="%7."/>
      <w:lvlJc w:val="left"/>
      <w:pPr>
        <w:ind w:left="5892" w:hanging="360"/>
      </w:pPr>
    </w:lvl>
    <w:lvl w:ilvl="7" w:tplc="041A0019" w:tentative="1">
      <w:start w:val="1"/>
      <w:numFmt w:val="lowerLetter"/>
      <w:lvlText w:val="%8."/>
      <w:lvlJc w:val="left"/>
      <w:pPr>
        <w:ind w:left="6612" w:hanging="360"/>
      </w:pPr>
    </w:lvl>
    <w:lvl w:ilvl="8" w:tplc="041A001B" w:tentative="1">
      <w:start w:val="1"/>
      <w:numFmt w:val="lowerRoman"/>
      <w:lvlText w:val="%9."/>
      <w:lvlJc w:val="right"/>
      <w:pPr>
        <w:ind w:left="7332" w:hanging="180"/>
      </w:pPr>
    </w:lvl>
  </w:abstractNum>
  <w:abstractNum w:abstractNumId="25" w15:restartNumberingAfterBreak="0">
    <w:nsid w:val="6D510870"/>
    <w:multiLevelType w:val="multilevel"/>
    <w:tmpl w:val="8DC649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03B6434"/>
    <w:multiLevelType w:val="multilevel"/>
    <w:tmpl w:val="E91ECE24"/>
    <w:lvl w:ilvl="0">
      <w:start w:val="1"/>
      <w:numFmt w:val="decimal"/>
      <w:pStyle w:val="Level1"/>
      <w:lvlText w:val="%1"/>
      <w:lvlJc w:val="left"/>
      <w:pPr>
        <w:tabs>
          <w:tab w:val="num" w:pos="680"/>
        </w:tabs>
        <w:ind w:left="680" w:hanging="680"/>
      </w:pPr>
      <w:rPr>
        <w:rFonts w:ascii="Arial" w:hAnsi="Arial" w:hint="default"/>
        <w:b/>
        <w:i w:val="0"/>
        <w:sz w:val="22"/>
      </w:rPr>
    </w:lvl>
    <w:lvl w:ilvl="1">
      <w:start w:val="1"/>
      <w:numFmt w:val="decimal"/>
      <w:pStyle w:val="Level2"/>
      <w:lvlText w:val="%1.%2"/>
      <w:lvlJc w:val="left"/>
      <w:pPr>
        <w:tabs>
          <w:tab w:val="num" w:pos="680"/>
        </w:tabs>
        <w:ind w:left="680" w:hanging="680"/>
      </w:pPr>
      <w:rPr>
        <w:rFonts w:ascii="Arial" w:hAnsi="Arial" w:hint="default"/>
        <w:b/>
        <w:i w:val="0"/>
        <w:sz w:val="21"/>
      </w:rPr>
    </w:lvl>
    <w:lvl w:ilvl="2">
      <w:start w:val="1"/>
      <w:numFmt w:val="decimal"/>
      <w:pStyle w:val="Level3"/>
      <w:lvlText w:val="%1.%2.%3"/>
      <w:lvlJc w:val="left"/>
      <w:pPr>
        <w:tabs>
          <w:tab w:val="num" w:pos="1361"/>
        </w:tabs>
        <w:ind w:left="1361" w:hanging="681"/>
      </w:pPr>
      <w:rPr>
        <w:rFonts w:ascii="Arial" w:hAnsi="Arial" w:hint="default"/>
        <w:b/>
        <w:i w:val="0"/>
        <w:sz w:val="17"/>
      </w:rPr>
    </w:lvl>
    <w:lvl w:ilvl="3">
      <w:start w:val="1"/>
      <w:numFmt w:val="lowerRoman"/>
      <w:pStyle w:val="Level4"/>
      <w:lvlText w:val="(%4)"/>
      <w:lvlJc w:val="left"/>
      <w:pPr>
        <w:tabs>
          <w:tab w:val="num" w:pos="2041"/>
        </w:tabs>
        <w:ind w:left="2041" w:hanging="680"/>
      </w:pPr>
      <w:rPr>
        <w:rFonts w:ascii="Arial" w:hAnsi="Arial"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7" w15:restartNumberingAfterBreak="0">
    <w:nsid w:val="73E26E6B"/>
    <w:multiLevelType w:val="hybridMultilevel"/>
    <w:tmpl w:val="1D1284CE"/>
    <w:lvl w:ilvl="0" w:tplc="DC1800CE">
      <w:numFmt w:val="bullet"/>
      <w:lvlText w:val=""/>
      <w:lvlJc w:val="left"/>
      <w:pPr>
        <w:ind w:left="720" w:hanging="360"/>
      </w:pPr>
      <w:rPr>
        <w:rFonts w:ascii="Symbol" w:eastAsia="Times New Roman"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580748C"/>
    <w:multiLevelType w:val="multilevel"/>
    <w:tmpl w:val="C33A16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71238C3"/>
    <w:multiLevelType w:val="hybridMultilevel"/>
    <w:tmpl w:val="92FEC7CE"/>
    <w:lvl w:ilvl="0" w:tplc="041A0005">
      <w:start w:val="1"/>
      <w:numFmt w:val="bullet"/>
      <w:lvlText w:val=""/>
      <w:lvlJc w:val="left"/>
      <w:pPr>
        <w:ind w:left="720" w:hanging="360"/>
      </w:pPr>
      <w:rPr>
        <w:rFonts w:ascii="Wingdings" w:hAnsi="Wingdings" w:hint="default"/>
        <w:b w:val="0"/>
        <w:sz w:val="20"/>
        <w:szCs w:val="20"/>
        <w:lang w:val="en-G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8BF1A35"/>
    <w:multiLevelType w:val="hybridMultilevel"/>
    <w:tmpl w:val="247861D8"/>
    <w:lvl w:ilvl="0" w:tplc="041A0005">
      <w:start w:val="1"/>
      <w:numFmt w:val="bullet"/>
      <w:lvlText w:val=""/>
      <w:lvlJc w:val="left"/>
      <w:pPr>
        <w:ind w:left="2080" w:hanging="360"/>
      </w:pPr>
      <w:rPr>
        <w:rFonts w:ascii="Wingdings" w:hAnsi="Wingdings" w:hint="default"/>
      </w:rPr>
    </w:lvl>
    <w:lvl w:ilvl="1" w:tplc="041A0003">
      <w:start w:val="1"/>
      <w:numFmt w:val="bullet"/>
      <w:lvlText w:val="o"/>
      <w:lvlJc w:val="left"/>
      <w:pPr>
        <w:ind w:left="2800" w:hanging="360"/>
      </w:pPr>
      <w:rPr>
        <w:rFonts w:ascii="Courier New" w:hAnsi="Courier New" w:cs="Courier New" w:hint="default"/>
      </w:rPr>
    </w:lvl>
    <w:lvl w:ilvl="2" w:tplc="041A0005" w:tentative="1">
      <w:start w:val="1"/>
      <w:numFmt w:val="bullet"/>
      <w:lvlText w:val=""/>
      <w:lvlJc w:val="left"/>
      <w:pPr>
        <w:ind w:left="3520" w:hanging="360"/>
      </w:pPr>
      <w:rPr>
        <w:rFonts w:ascii="Wingdings" w:hAnsi="Wingdings" w:hint="default"/>
      </w:rPr>
    </w:lvl>
    <w:lvl w:ilvl="3" w:tplc="041A0001" w:tentative="1">
      <w:start w:val="1"/>
      <w:numFmt w:val="bullet"/>
      <w:lvlText w:val=""/>
      <w:lvlJc w:val="left"/>
      <w:pPr>
        <w:ind w:left="4240" w:hanging="360"/>
      </w:pPr>
      <w:rPr>
        <w:rFonts w:ascii="Symbol" w:hAnsi="Symbol" w:hint="default"/>
      </w:rPr>
    </w:lvl>
    <w:lvl w:ilvl="4" w:tplc="041A0003" w:tentative="1">
      <w:start w:val="1"/>
      <w:numFmt w:val="bullet"/>
      <w:lvlText w:val="o"/>
      <w:lvlJc w:val="left"/>
      <w:pPr>
        <w:ind w:left="4960" w:hanging="360"/>
      </w:pPr>
      <w:rPr>
        <w:rFonts w:ascii="Courier New" w:hAnsi="Courier New" w:cs="Courier New" w:hint="default"/>
      </w:rPr>
    </w:lvl>
    <w:lvl w:ilvl="5" w:tplc="041A0005" w:tentative="1">
      <w:start w:val="1"/>
      <w:numFmt w:val="bullet"/>
      <w:lvlText w:val=""/>
      <w:lvlJc w:val="left"/>
      <w:pPr>
        <w:ind w:left="5680" w:hanging="360"/>
      </w:pPr>
      <w:rPr>
        <w:rFonts w:ascii="Wingdings" w:hAnsi="Wingdings" w:hint="default"/>
      </w:rPr>
    </w:lvl>
    <w:lvl w:ilvl="6" w:tplc="041A0001" w:tentative="1">
      <w:start w:val="1"/>
      <w:numFmt w:val="bullet"/>
      <w:lvlText w:val=""/>
      <w:lvlJc w:val="left"/>
      <w:pPr>
        <w:ind w:left="6400" w:hanging="360"/>
      </w:pPr>
      <w:rPr>
        <w:rFonts w:ascii="Symbol" w:hAnsi="Symbol" w:hint="default"/>
      </w:rPr>
    </w:lvl>
    <w:lvl w:ilvl="7" w:tplc="041A0003" w:tentative="1">
      <w:start w:val="1"/>
      <w:numFmt w:val="bullet"/>
      <w:lvlText w:val="o"/>
      <w:lvlJc w:val="left"/>
      <w:pPr>
        <w:ind w:left="7120" w:hanging="360"/>
      </w:pPr>
      <w:rPr>
        <w:rFonts w:ascii="Courier New" w:hAnsi="Courier New" w:cs="Courier New" w:hint="default"/>
      </w:rPr>
    </w:lvl>
    <w:lvl w:ilvl="8" w:tplc="041A0005" w:tentative="1">
      <w:start w:val="1"/>
      <w:numFmt w:val="bullet"/>
      <w:lvlText w:val=""/>
      <w:lvlJc w:val="left"/>
      <w:pPr>
        <w:ind w:left="7840" w:hanging="360"/>
      </w:pPr>
      <w:rPr>
        <w:rFonts w:ascii="Wingdings" w:hAnsi="Wingdings" w:hint="default"/>
      </w:rPr>
    </w:lvl>
  </w:abstractNum>
  <w:abstractNum w:abstractNumId="31" w15:restartNumberingAfterBreak="0">
    <w:nsid w:val="7C644DF7"/>
    <w:multiLevelType w:val="hybridMultilevel"/>
    <w:tmpl w:val="342E56D2"/>
    <w:lvl w:ilvl="0" w:tplc="AFD297EE">
      <w:start w:val="1"/>
      <w:numFmt w:val="bullet"/>
      <w:lvlText w:val=""/>
      <w:lvlJc w:val="left"/>
      <w:pPr>
        <w:ind w:left="720" w:hanging="360"/>
      </w:pPr>
      <w:rPr>
        <w:rFonts w:ascii="Symbol" w:hAnsi="Symbol" w:hint="default"/>
        <w:b w:val="0"/>
        <w:sz w:val="20"/>
        <w:szCs w:val="20"/>
        <w:lang w:val="en-G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FB460AA"/>
    <w:multiLevelType w:val="hybridMultilevel"/>
    <w:tmpl w:val="24100252"/>
    <w:lvl w:ilvl="0" w:tplc="AFD297EE">
      <w:start w:val="1"/>
      <w:numFmt w:val="bullet"/>
      <w:lvlText w:val=""/>
      <w:lvlJc w:val="left"/>
      <w:pPr>
        <w:ind w:left="720" w:hanging="360"/>
      </w:pPr>
      <w:rPr>
        <w:rFonts w:ascii="Symbol" w:hAnsi="Symbol" w:hint="default"/>
        <w:b w:val="0"/>
        <w:sz w:val="20"/>
        <w:szCs w:val="20"/>
        <w:lang w:val="en-G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9"/>
  </w:num>
  <w:num w:numId="4">
    <w:abstractNumId w:val="25"/>
  </w:num>
  <w:num w:numId="5">
    <w:abstractNumId w:val="12"/>
  </w:num>
  <w:num w:numId="6">
    <w:abstractNumId w:val="11"/>
  </w:num>
  <w:num w:numId="7">
    <w:abstractNumId w:val="26"/>
  </w:num>
  <w:num w:numId="8">
    <w:abstractNumId w:val="23"/>
  </w:num>
  <w:num w:numId="9">
    <w:abstractNumId w:val="4"/>
  </w:num>
  <w:num w:numId="10">
    <w:abstractNumId w:val="0"/>
  </w:num>
  <w:num w:numId="11">
    <w:abstractNumId w:val="17"/>
  </w:num>
  <w:num w:numId="12">
    <w:abstractNumId w:val="16"/>
  </w:num>
  <w:num w:numId="13">
    <w:abstractNumId w:val="27"/>
  </w:num>
  <w:num w:numId="14">
    <w:abstractNumId w:val="7"/>
  </w:num>
  <w:num w:numId="15">
    <w:abstractNumId w:val="31"/>
  </w:num>
  <w:num w:numId="16">
    <w:abstractNumId w:val="32"/>
  </w:num>
  <w:num w:numId="17">
    <w:abstractNumId w:val="29"/>
  </w:num>
  <w:num w:numId="18">
    <w:abstractNumId w:val="2"/>
  </w:num>
  <w:num w:numId="19">
    <w:abstractNumId w:val="3"/>
  </w:num>
  <w:num w:numId="20">
    <w:abstractNumId w:val="30"/>
  </w:num>
  <w:num w:numId="21">
    <w:abstractNumId w:val="10"/>
  </w:num>
  <w:num w:numId="22">
    <w:abstractNumId w:val="14"/>
  </w:num>
  <w:num w:numId="23">
    <w:abstractNumId w:val="24"/>
  </w:num>
  <w:num w:numId="24">
    <w:abstractNumId w:val="15"/>
  </w:num>
  <w:num w:numId="25">
    <w:abstractNumId w:val="22"/>
  </w:num>
  <w:num w:numId="26">
    <w:abstractNumId w:val="20"/>
  </w:num>
  <w:num w:numId="27">
    <w:abstractNumId w:val="21"/>
  </w:num>
  <w:num w:numId="28">
    <w:abstractNumId w:val="5"/>
  </w:num>
  <w:num w:numId="29">
    <w:abstractNumId w:val="13"/>
  </w:num>
  <w:num w:numId="30">
    <w:abstractNumId w:val="1"/>
  </w:num>
  <w:num w:numId="31">
    <w:abstractNumId w:val="18"/>
  </w:num>
  <w:num w:numId="32">
    <w:abstractNumId w:val="6"/>
  </w:num>
  <w:num w:numId="33">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hideSpellingErrors/>
  <w:hideGrammaticalErrors/>
  <w:proofState w:spelling="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9D"/>
    <w:rsid w:val="00000848"/>
    <w:rsid w:val="00000EB5"/>
    <w:rsid w:val="00001352"/>
    <w:rsid w:val="00001CFC"/>
    <w:rsid w:val="0000330C"/>
    <w:rsid w:val="000035C6"/>
    <w:rsid w:val="00004CF0"/>
    <w:rsid w:val="0000502B"/>
    <w:rsid w:val="00005608"/>
    <w:rsid w:val="00005D85"/>
    <w:rsid w:val="000063A9"/>
    <w:rsid w:val="00006D29"/>
    <w:rsid w:val="0000767F"/>
    <w:rsid w:val="00007DF4"/>
    <w:rsid w:val="00007FC2"/>
    <w:rsid w:val="0001181B"/>
    <w:rsid w:val="00011922"/>
    <w:rsid w:val="0001200B"/>
    <w:rsid w:val="000122EC"/>
    <w:rsid w:val="00012F7C"/>
    <w:rsid w:val="0001360A"/>
    <w:rsid w:val="000137C9"/>
    <w:rsid w:val="000141E9"/>
    <w:rsid w:val="00015973"/>
    <w:rsid w:val="00016CA6"/>
    <w:rsid w:val="00016D55"/>
    <w:rsid w:val="00016D60"/>
    <w:rsid w:val="00016DA5"/>
    <w:rsid w:val="000173B7"/>
    <w:rsid w:val="00017A2F"/>
    <w:rsid w:val="000200A7"/>
    <w:rsid w:val="0002093D"/>
    <w:rsid w:val="000209B1"/>
    <w:rsid w:val="0002287E"/>
    <w:rsid w:val="00023AF5"/>
    <w:rsid w:val="000241DA"/>
    <w:rsid w:val="00025AC9"/>
    <w:rsid w:val="00025D11"/>
    <w:rsid w:val="00026683"/>
    <w:rsid w:val="00026EE1"/>
    <w:rsid w:val="000272D4"/>
    <w:rsid w:val="00031261"/>
    <w:rsid w:val="00032A4D"/>
    <w:rsid w:val="0003309A"/>
    <w:rsid w:val="00033903"/>
    <w:rsid w:val="00033F4B"/>
    <w:rsid w:val="0003481B"/>
    <w:rsid w:val="00035A14"/>
    <w:rsid w:val="000363BC"/>
    <w:rsid w:val="00036770"/>
    <w:rsid w:val="000376E7"/>
    <w:rsid w:val="00040174"/>
    <w:rsid w:val="00042D1A"/>
    <w:rsid w:val="00043FDC"/>
    <w:rsid w:val="000445AB"/>
    <w:rsid w:val="000450F3"/>
    <w:rsid w:val="00050251"/>
    <w:rsid w:val="00050D24"/>
    <w:rsid w:val="00050DEE"/>
    <w:rsid w:val="0005130C"/>
    <w:rsid w:val="000517C9"/>
    <w:rsid w:val="000525D8"/>
    <w:rsid w:val="00053917"/>
    <w:rsid w:val="00053B73"/>
    <w:rsid w:val="00054114"/>
    <w:rsid w:val="00055072"/>
    <w:rsid w:val="0006011C"/>
    <w:rsid w:val="000601E2"/>
    <w:rsid w:val="00060490"/>
    <w:rsid w:val="0006065C"/>
    <w:rsid w:val="000606E8"/>
    <w:rsid w:val="00060748"/>
    <w:rsid w:val="00061002"/>
    <w:rsid w:val="000628AC"/>
    <w:rsid w:val="00062DDA"/>
    <w:rsid w:val="000633E4"/>
    <w:rsid w:val="00063AEF"/>
    <w:rsid w:val="00064A88"/>
    <w:rsid w:val="00065224"/>
    <w:rsid w:val="000670B6"/>
    <w:rsid w:val="0006716C"/>
    <w:rsid w:val="00070899"/>
    <w:rsid w:val="00071AB6"/>
    <w:rsid w:val="00071AD1"/>
    <w:rsid w:val="00071B05"/>
    <w:rsid w:val="00073963"/>
    <w:rsid w:val="00073CC7"/>
    <w:rsid w:val="000746B4"/>
    <w:rsid w:val="000772FF"/>
    <w:rsid w:val="0008134F"/>
    <w:rsid w:val="00084B16"/>
    <w:rsid w:val="000862C1"/>
    <w:rsid w:val="000864A0"/>
    <w:rsid w:val="00086ABF"/>
    <w:rsid w:val="00086F1D"/>
    <w:rsid w:val="000871FD"/>
    <w:rsid w:val="00087E03"/>
    <w:rsid w:val="000901BA"/>
    <w:rsid w:val="00091114"/>
    <w:rsid w:val="000920C4"/>
    <w:rsid w:val="000920E2"/>
    <w:rsid w:val="000923C6"/>
    <w:rsid w:val="0009428A"/>
    <w:rsid w:val="00095B8B"/>
    <w:rsid w:val="0009617C"/>
    <w:rsid w:val="00096642"/>
    <w:rsid w:val="0009711E"/>
    <w:rsid w:val="00097B0B"/>
    <w:rsid w:val="00097C89"/>
    <w:rsid w:val="000A1B3B"/>
    <w:rsid w:val="000A2244"/>
    <w:rsid w:val="000A283B"/>
    <w:rsid w:val="000A28A2"/>
    <w:rsid w:val="000A2BD5"/>
    <w:rsid w:val="000A2E26"/>
    <w:rsid w:val="000A33A6"/>
    <w:rsid w:val="000A383E"/>
    <w:rsid w:val="000A4249"/>
    <w:rsid w:val="000A4F05"/>
    <w:rsid w:val="000A52DD"/>
    <w:rsid w:val="000B034B"/>
    <w:rsid w:val="000B0B47"/>
    <w:rsid w:val="000B2DAE"/>
    <w:rsid w:val="000B3518"/>
    <w:rsid w:val="000B47D7"/>
    <w:rsid w:val="000B59D9"/>
    <w:rsid w:val="000B60DD"/>
    <w:rsid w:val="000B6113"/>
    <w:rsid w:val="000B6D16"/>
    <w:rsid w:val="000B7984"/>
    <w:rsid w:val="000C1EA4"/>
    <w:rsid w:val="000C1F7F"/>
    <w:rsid w:val="000C285E"/>
    <w:rsid w:val="000C2D10"/>
    <w:rsid w:val="000C378C"/>
    <w:rsid w:val="000C4E32"/>
    <w:rsid w:val="000C5F2B"/>
    <w:rsid w:val="000D2918"/>
    <w:rsid w:val="000D2957"/>
    <w:rsid w:val="000D50E7"/>
    <w:rsid w:val="000D5944"/>
    <w:rsid w:val="000D5FF9"/>
    <w:rsid w:val="000D6D32"/>
    <w:rsid w:val="000D7ED9"/>
    <w:rsid w:val="000E0E7A"/>
    <w:rsid w:val="000E0F0C"/>
    <w:rsid w:val="000E113C"/>
    <w:rsid w:val="000E115D"/>
    <w:rsid w:val="000E1DCB"/>
    <w:rsid w:val="000E2DF6"/>
    <w:rsid w:val="000E504A"/>
    <w:rsid w:val="000E58F2"/>
    <w:rsid w:val="000E5941"/>
    <w:rsid w:val="000E7C00"/>
    <w:rsid w:val="000F0074"/>
    <w:rsid w:val="000F1134"/>
    <w:rsid w:val="000F2377"/>
    <w:rsid w:val="000F34FB"/>
    <w:rsid w:val="000F37EF"/>
    <w:rsid w:val="000F410E"/>
    <w:rsid w:val="000F552C"/>
    <w:rsid w:val="000F5741"/>
    <w:rsid w:val="000F6508"/>
    <w:rsid w:val="000F66C9"/>
    <w:rsid w:val="000F7A1F"/>
    <w:rsid w:val="00100409"/>
    <w:rsid w:val="00101206"/>
    <w:rsid w:val="0010338D"/>
    <w:rsid w:val="0010585E"/>
    <w:rsid w:val="00106416"/>
    <w:rsid w:val="00106DB9"/>
    <w:rsid w:val="00111051"/>
    <w:rsid w:val="00113BD0"/>
    <w:rsid w:val="00114CCE"/>
    <w:rsid w:val="00114EB9"/>
    <w:rsid w:val="001167E0"/>
    <w:rsid w:val="00117564"/>
    <w:rsid w:val="0011768F"/>
    <w:rsid w:val="0012166B"/>
    <w:rsid w:val="00121DA5"/>
    <w:rsid w:val="0012207C"/>
    <w:rsid w:val="00122187"/>
    <w:rsid w:val="001223B5"/>
    <w:rsid w:val="00122720"/>
    <w:rsid w:val="00122BE0"/>
    <w:rsid w:val="001242DF"/>
    <w:rsid w:val="001245E7"/>
    <w:rsid w:val="00125536"/>
    <w:rsid w:val="001256F0"/>
    <w:rsid w:val="001264E4"/>
    <w:rsid w:val="00126A4A"/>
    <w:rsid w:val="00126FD1"/>
    <w:rsid w:val="00130762"/>
    <w:rsid w:val="00130902"/>
    <w:rsid w:val="0013187E"/>
    <w:rsid w:val="001319E4"/>
    <w:rsid w:val="00131E15"/>
    <w:rsid w:val="00132844"/>
    <w:rsid w:val="0013404D"/>
    <w:rsid w:val="0013579C"/>
    <w:rsid w:val="00135BD2"/>
    <w:rsid w:val="00136468"/>
    <w:rsid w:val="00140ACC"/>
    <w:rsid w:val="0014299A"/>
    <w:rsid w:val="0014316B"/>
    <w:rsid w:val="00143790"/>
    <w:rsid w:val="00143B52"/>
    <w:rsid w:val="00143FF9"/>
    <w:rsid w:val="0014495F"/>
    <w:rsid w:val="00144A8D"/>
    <w:rsid w:val="00144BFD"/>
    <w:rsid w:val="001458AC"/>
    <w:rsid w:val="00146A3E"/>
    <w:rsid w:val="00146FF3"/>
    <w:rsid w:val="00147527"/>
    <w:rsid w:val="0015106F"/>
    <w:rsid w:val="0015142B"/>
    <w:rsid w:val="00151A86"/>
    <w:rsid w:val="001537EA"/>
    <w:rsid w:val="0015628B"/>
    <w:rsid w:val="001571AC"/>
    <w:rsid w:val="00157E51"/>
    <w:rsid w:val="00160FC6"/>
    <w:rsid w:val="00163A54"/>
    <w:rsid w:val="001654C1"/>
    <w:rsid w:val="001658AD"/>
    <w:rsid w:val="001701FF"/>
    <w:rsid w:val="00170F99"/>
    <w:rsid w:val="001720F7"/>
    <w:rsid w:val="00172FD9"/>
    <w:rsid w:val="00173968"/>
    <w:rsid w:val="00175A41"/>
    <w:rsid w:val="0017694D"/>
    <w:rsid w:val="00176FBF"/>
    <w:rsid w:val="0017765E"/>
    <w:rsid w:val="00177853"/>
    <w:rsid w:val="00177A0D"/>
    <w:rsid w:val="00177C3A"/>
    <w:rsid w:val="00180CAA"/>
    <w:rsid w:val="00180E6B"/>
    <w:rsid w:val="00181EFA"/>
    <w:rsid w:val="00182148"/>
    <w:rsid w:val="00182B50"/>
    <w:rsid w:val="0018332A"/>
    <w:rsid w:val="001834A4"/>
    <w:rsid w:val="00184BF8"/>
    <w:rsid w:val="00184EFA"/>
    <w:rsid w:val="001852D4"/>
    <w:rsid w:val="001865CD"/>
    <w:rsid w:val="00186CE1"/>
    <w:rsid w:val="00187650"/>
    <w:rsid w:val="00187C89"/>
    <w:rsid w:val="001912B4"/>
    <w:rsid w:val="00193309"/>
    <w:rsid w:val="00194905"/>
    <w:rsid w:val="001962BE"/>
    <w:rsid w:val="001969E3"/>
    <w:rsid w:val="00197B92"/>
    <w:rsid w:val="001A0990"/>
    <w:rsid w:val="001A5702"/>
    <w:rsid w:val="001A57D8"/>
    <w:rsid w:val="001A5D78"/>
    <w:rsid w:val="001A6832"/>
    <w:rsid w:val="001A7C45"/>
    <w:rsid w:val="001B1F1B"/>
    <w:rsid w:val="001B316F"/>
    <w:rsid w:val="001B3EB7"/>
    <w:rsid w:val="001B4492"/>
    <w:rsid w:val="001B60B0"/>
    <w:rsid w:val="001B63EA"/>
    <w:rsid w:val="001B6627"/>
    <w:rsid w:val="001B7E1B"/>
    <w:rsid w:val="001C242A"/>
    <w:rsid w:val="001C3A3C"/>
    <w:rsid w:val="001C53D5"/>
    <w:rsid w:val="001C7558"/>
    <w:rsid w:val="001C75B5"/>
    <w:rsid w:val="001D02E1"/>
    <w:rsid w:val="001D1CCD"/>
    <w:rsid w:val="001D31CF"/>
    <w:rsid w:val="001D4794"/>
    <w:rsid w:val="001D5A9E"/>
    <w:rsid w:val="001D5D68"/>
    <w:rsid w:val="001D634D"/>
    <w:rsid w:val="001D67D6"/>
    <w:rsid w:val="001D7414"/>
    <w:rsid w:val="001D74FC"/>
    <w:rsid w:val="001D7A95"/>
    <w:rsid w:val="001E2337"/>
    <w:rsid w:val="001E23F9"/>
    <w:rsid w:val="001E387E"/>
    <w:rsid w:val="001E3EF9"/>
    <w:rsid w:val="001E4506"/>
    <w:rsid w:val="001E47CC"/>
    <w:rsid w:val="001E4F43"/>
    <w:rsid w:val="001E748D"/>
    <w:rsid w:val="001E7884"/>
    <w:rsid w:val="001F05F0"/>
    <w:rsid w:val="001F05F4"/>
    <w:rsid w:val="001F0624"/>
    <w:rsid w:val="001F0715"/>
    <w:rsid w:val="001F155C"/>
    <w:rsid w:val="001F3BBA"/>
    <w:rsid w:val="001F4E39"/>
    <w:rsid w:val="001F555B"/>
    <w:rsid w:val="001F5D3D"/>
    <w:rsid w:val="001F6214"/>
    <w:rsid w:val="001F73FB"/>
    <w:rsid w:val="0020027D"/>
    <w:rsid w:val="00200B84"/>
    <w:rsid w:val="00202F35"/>
    <w:rsid w:val="00204DB0"/>
    <w:rsid w:val="002050B0"/>
    <w:rsid w:val="0020564A"/>
    <w:rsid w:val="0020593F"/>
    <w:rsid w:val="00205C7A"/>
    <w:rsid w:val="00210483"/>
    <w:rsid w:val="00210ED4"/>
    <w:rsid w:val="00211DA8"/>
    <w:rsid w:val="00213A9D"/>
    <w:rsid w:val="00215328"/>
    <w:rsid w:val="002155E5"/>
    <w:rsid w:val="00215746"/>
    <w:rsid w:val="00215F19"/>
    <w:rsid w:val="0021697A"/>
    <w:rsid w:val="00216EE2"/>
    <w:rsid w:val="00217567"/>
    <w:rsid w:val="00217802"/>
    <w:rsid w:val="0022016A"/>
    <w:rsid w:val="0022299C"/>
    <w:rsid w:val="00222BB6"/>
    <w:rsid w:val="00222CEB"/>
    <w:rsid w:val="00222D67"/>
    <w:rsid w:val="00223206"/>
    <w:rsid w:val="0022366D"/>
    <w:rsid w:val="00224391"/>
    <w:rsid w:val="002244DF"/>
    <w:rsid w:val="00224AAD"/>
    <w:rsid w:val="002255D9"/>
    <w:rsid w:val="00225C0F"/>
    <w:rsid w:val="002262DF"/>
    <w:rsid w:val="002264EB"/>
    <w:rsid w:val="0022769E"/>
    <w:rsid w:val="0022781D"/>
    <w:rsid w:val="00230906"/>
    <w:rsid w:val="00231BF3"/>
    <w:rsid w:val="00232807"/>
    <w:rsid w:val="00233B69"/>
    <w:rsid w:val="002347E4"/>
    <w:rsid w:val="00234A41"/>
    <w:rsid w:val="00234B5B"/>
    <w:rsid w:val="00234CDB"/>
    <w:rsid w:val="00235F91"/>
    <w:rsid w:val="0023671A"/>
    <w:rsid w:val="00236E35"/>
    <w:rsid w:val="00236FC0"/>
    <w:rsid w:val="00237B05"/>
    <w:rsid w:val="00237BC2"/>
    <w:rsid w:val="0024017D"/>
    <w:rsid w:val="002416CA"/>
    <w:rsid w:val="00243509"/>
    <w:rsid w:val="0024414F"/>
    <w:rsid w:val="00244266"/>
    <w:rsid w:val="002445F5"/>
    <w:rsid w:val="00244907"/>
    <w:rsid w:val="0024506F"/>
    <w:rsid w:val="00245E97"/>
    <w:rsid w:val="002467CB"/>
    <w:rsid w:val="00247E4D"/>
    <w:rsid w:val="002509F3"/>
    <w:rsid w:val="00252ABE"/>
    <w:rsid w:val="00252DA7"/>
    <w:rsid w:val="00252DF3"/>
    <w:rsid w:val="0025331F"/>
    <w:rsid w:val="002535BF"/>
    <w:rsid w:val="00254637"/>
    <w:rsid w:val="00254942"/>
    <w:rsid w:val="00254B1C"/>
    <w:rsid w:val="00256A5F"/>
    <w:rsid w:val="00256E20"/>
    <w:rsid w:val="00257453"/>
    <w:rsid w:val="00257953"/>
    <w:rsid w:val="00257CDB"/>
    <w:rsid w:val="002607D1"/>
    <w:rsid w:val="002607D2"/>
    <w:rsid w:val="0026089C"/>
    <w:rsid w:val="00260D75"/>
    <w:rsid w:val="00261563"/>
    <w:rsid w:val="00261846"/>
    <w:rsid w:val="00263122"/>
    <w:rsid w:val="00263823"/>
    <w:rsid w:val="00264C9E"/>
    <w:rsid w:val="0026529E"/>
    <w:rsid w:val="00265A1F"/>
    <w:rsid w:val="00265D65"/>
    <w:rsid w:val="00265E38"/>
    <w:rsid w:val="0027066E"/>
    <w:rsid w:val="00271ABC"/>
    <w:rsid w:val="00271C1A"/>
    <w:rsid w:val="0027420F"/>
    <w:rsid w:val="002753EB"/>
    <w:rsid w:val="002759BF"/>
    <w:rsid w:val="00275F8F"/>
    <w:rsid w:val="00276154"/>
    <w:rsid w:val="0027691C"/>
    <w:rsid w:val="002829FE"/>
    <w:rsid w:val="00283319"/>
    <w:rsid w:val="00283B51"/>
    <w:rsid w:val="00285194"/>
    <w:rsid w:val="002855CA"/>
    <w:rsid w:val="00287C25"/>
    <w:rsid w:val="002920DD"/>
    <w:rsid w:val="002921DA"/>
    <w:rsid w:val="00296BBE"/>
    <w:rsid w:val="0029753A"/>
    <w:rsid w:val="002A0320"/>
    <w:rsid w:val="002A05EC"/>
    <w:rsid w:val="002A094E"/>
    <w:rsid w:val="002A1770"/>
    <w:rsid w:val="002A2697"/>
    <w:rsid w:val="002A33EB"/>
    <w:rsid w:val="002A4A84"/>
    <w:rsid w:val="002A6CC6"/>
    <w:rsid w:val="002A6FA6"/>
    <w:rsid w:val="002A7C22"/>
    <w:rsid w:val="002B00EA"/>
    <w:rsid w:val="002B0874"/>
    <w:rsid w:val="002B1276"/>
    <w:rsid w:val="002B1673"/>
    <w:rsid w:val="002B2E6A"/>
    <w:rsid w:val="002B3D50"/>
    <w:rsid w:val="002B4203"/>
    <w:rsid w:val="002B4452"/>
    <w:rsid w:val="002B5D43"/>
    <w:rsid w:val="002B6BD0"/>
    <w:rsid w:val="002B7DC6"/>
    <w:rsid w:val="002C0EA5"/>
    <w:rsid w:val="002C12B4"/>
    <w:rsid w:val="002C29C6"/>
    <w:rsid w:val="002C2D56"/>
    <w:rsid w:val="002C432B"/>
    <w:rsid w:val="002C4A90"/>
    <w:rsid w:val="002C5A40"/>
    <w:rsid w:val="002C691C"/>
    <w:rsid w:val="002C776F"/>
    <w:rsid w:val="002C7775"/>
    <w:rsid w:val="002C7901"/>
    <w:rsid w:val="002C7E28"/>
    <w:rsid w:val="002D22DB"/>
    <w:rsid w:val="002D2A14"/>
    <w:rsid w:val="002D2D17"/>
    <w:rsid w:val="002D2F01"/>
    <w:rsid w:val="002D31C7"/>
    <w:rsid w:val="002D4CB4"/>
    <w:rsid w:val="002D625E"/>
    <w:rsid w:val="002D6B06"/>
    <w:rsid w:val="002D6F76"/>
    <w:rsid w:val="002E090D"/>
    <w:rsid w:val="002E0C1C"/>
    <w:rsid w:val="002E1695"/>
    <w:rsid w:val="002E1FA4"/>
    <w:rsid w:val="002E237C"/>
    <w:rsid w:val="002E249F"/>
    <w:rsid w:val="002E2C90"/>
    <w:rsid w:val="002E5131"/>
    <w:rsid w:val="002E6435"/>
    <w:rsid w:val="002E6BD9"/>
    <w:rsid w:val="002E6F84"/>
    <w:rsid w:val="002E70EA"/>
    <w:rsid w:val="002E7163"/>
    <w:rsid w:val="002E7C23"/>
    <w:rsid w:val="002F1007"/>
    <w:rsid w:val="002F2717"/>
    <w:rsid w:val="002F362D"/>
    <w:rsid w:val="002F3AED"/>
    <w:rsid w:val="002F4C78"/>
    <w:rsid w:val="002F53BA"/>
    <w:rsid w:val="002F77F4"/>
    <w:rsid w:val="00300B14"/>
    <w:rsid w:val="003013A7"/>
    <w:rsid w:val="00301797"/>
    <w:rsid w:val="003020B1"/>
    <w:rsid w:val="00302C9D"/>
    <w:rsid w:val="003036F5"/>
    <w:rsid w:val="00304596"/>
    <w:rsid w:val="00305343"/>
    <w:rsid w:val="003057CA"/>
    <w:rsid w:val="0030691F"/>
    <w:rsid w:val="00306FE8"/>
    <w:rsid w:val="00307F9E"/>
    <w:rsid w:val="0031006E"/>
    <w:rsid w:val="003101C8"/>
    <w:rsid w:val="00310383"/>
    <w:rsid w:val="0031170A"/>
    <w:rsid w:val="00311A2D"/>
    <w:rsid w:val="00312975"/>
    <w:rsid w:val="00312E87"/>
    <w:rsid w:val="00315768"/>
    <w:rsid w:val="00315776"/>
    <w:rsid w:val="00315F97"/>
    <w:rsid w:val="00316370"/>
    <w:rsid w:val="003207B4"/>
    <w:rsid w:val="00321CF4"/>
    <w:rsid w:val="00321F3A"/>
    <w:rsid w:val="003226D4"/>
    <w:rsid w:val="00322AAA"/>
    <w:rsid w:val="00322BE8"/>
    <w:rsid w:val="00323882"/>
    <w:rsid w:val="003239D0"/>
    <w:rsid w:val="00325FDF"/>
    <w:rsid w:val="003272DB"/>
    <w:rsid w:val="00327639"/>
    <w:rsid w:val="00330B4F"/>
    <w:rsid w:val="00331AF1"/>
    <w:rsid w:val="0033262A"/>
    <w:rsid w:val="00332638"/>
    <w:rsid w:val="003328E5"/>
    <w:rsid w:val="003329E3"/>
    <w:rsid w:val="00333C6F"/>
    <w:rsid w:val="00333CF8"/>
    <w:rsid w:val="0033463F"/>
    <w:rsid w:val="0033486C"/>
    <w:rsid w:val="003354A2"/>
    <w:rsid w:val="00337860"/>
    <w:rsid w:val="00337B2C"/>
    <w:rsid w:val="0034325D"/>
    <w:rsid w:val="0034370F"/>
    <w:rsid w:val="00344011"/>
    <w:rsid w:val="00344BD6"/>
    <w:rsid w:val="0035002F"/>
    <w:rsid w:val="00350116"/>
    <w:rsid w:val="00350377"/>
    <w:rsid w:val="0035061D"/>
    <w:rsid w:val="00350DDC"/>
    <w:rsid w:val="0035121F"/>
    <w:rsid w:val="00351527"/>
    <w:rsid w:val="00351DF7"/>
    <w:rsid w:val="00353D24"/>
    <w:rsid w:val="00354F02"/>
    <w:rsid w:val="0035546B"/>
    <w:rsid w:val="00355A88"/>
    <w:rsid w:val="003579C1"/>
    <w:rsid w:val="00360CC7"/>
    <w:rsid w:val="00360F1E"/>
    <w:rsid w:val="0036279A"/>
    <w:rsid w:val="003644E9"/>
    <w:rsid w:val="00364A61"/>
    <w:rsid w:val="00365545"/>
    <w:rsid w:val="00365FCF"/>
    <w:rsid w:val="00366539"/>
    <w:rsid w:val="003706C8"/>
    <w:rsid w:val="0037117C"/>
    <w:rsid w:val="0037153F"/>
    <w:rsid w:val="003723E8"/>
    <w:rsid w:val="0037287F"/>
    <w:rsid w:val="00372AFC"/>
    <w:rsid w:val="00372D9E"/>
    <w:rsid w:val="00372F82"/>
    <w:rsid w:val="003740CC"/>
    <w:rsid w:val="00375666"/>
    <w:rsid w:val="0037704A"/>
    <w:rsid w:val="0037715E"/>
    <w:rsid w:val="003776B2"/>
    <w:rsid w:val="003805F3"/>
    <w:rsid w:val="0038086E"/>
    <w:rsid w:val="00382A1B"/>
    <w:rsid w:val="00382D5C"/>
    <w:rsid w:val="00383992"/>
    <w:rsid w:val="00383C42"/>
    <w:rsid w:val="0038422A"/>
    <w:rsid w:val="003859EA"/>
    <w:rsid w:val="00385D82"/>
    <w:rsid w:val="00385FA3"/>
    <w:rsid w:val="00387071"/>
    <w:rsid w:val="00387E37"/>
    <w:rsid w:val="00390459"/>
    <w:rsid w:val="0039147A"/>
    <w:rsid w:val="00391576"/>
    <w:rsid w:val="00391EC7"/>
    <w:rsid w:val="00392710"/>
    <w:rsid w:val="0039322A"/>
    <w:rsid w:val="003936C2"/>
    <w:rsid w:val="0039508C"/>
    <w:rsid w:val="003954E4"/>
    <w:rsid w:val="003958C8"/>
    <w:rsid w:val="00396FDF"/>
    <w:rsid w:val="00397729"/>
    <w:rsid w:val="003A05E8"/>
    <w:rsid w:val="003A1120"/>
    <w:rsid w:val="003A1449"/>
    <w:rsid w:val="003A1661"/>
    <w:rsid w:val="003A16C5"/>
    <w:rsid w:val="003A2F91"/>
    <w:rsid w:val="003A32F3"/>
    <w:rsid w:val="003A42A5"/>
    <w:rsid w:val="003A434A"/>
    <w:rsid w:val="003A43EB"/>
    <w:rsid w:val="003A63DB"/>
    <w:rsid w:val="003B0BEE"/>
    <w:rsid w:val="003B17FD"/>
    <w:rsid w:val="003B1B2F"/>
    <w:rsid w:val="003B1EBF"/>
    <w:rsid w:val="003B2137"/>
    <w:rsid w:val="003B2919"/>
    <w:rsid w:val="003B34B0"/>
    <w:rsid w:val="003B49EC"/>
    <w:rsid w:val="003B54D4"/>
    <w:rsid w:val="003B5CEC"/>
    <w:rsid w:val="003B6609"/>
    <w:rsid w:val="003B7156"/>
    <w:rsid w:val="003C006B"/>
    <w:rsid w:val="003C0EA4"/>
    <w:rsid w:val="003C1067"/>
    <w:rsid w:val="003C19B7"/>
    <w:rsid w:val="003C43AE"/>
    <w:rsid w:val="003C5086"/>
    <w:rsid w:val="003C6D42"/>
    <w:rsid w:val="003D4172"/>
    <w:rsid w:val="003D5BE9"/>
    <w:rsid w:val="003D6932"/>
    <w:rsid w:val="003D6F6D"/>
    <w:rsid w:val="003E230C"/>
    <w:rsid w:val="003E2666"/>
    <w:rsid w:val="003E2E75"/>
    <w:rsid w:val="003E4660"/>
    <w:rsid w:val="003E466F"/>
    <w:rsid w:val="003E4896"/>
    <w:rsid w:val="003E56D4"/>
    <w:rsid w:val="003E604A"/>
    <w:rsid w:val="003E729D"/>
    <w:rsid w:val="003F24CF"/>
    <w:rsid w:val="003F324C"/>
    <w:rsid w:val="003F3356"/>
    <w:rsid w:val="003F3485"/>
    <w:rsid w:val="003F48ED"/>
    <w:rsid w:val="003F538F"/>
    <w:rsid w:val="003F62C7"/>
    <w:rsid w:val="0040077C"/>
    <w:rsid w:val="004008CD"/>
    <w:rsid w:val="004031E7"/>
    <w:rsid w:val="004032D9"/>
    <w:rsid w:val="004036C0"/>
    <w:rsid w:val="00403F47"/>
    <w:rsid w:val="00404088"/>
    <w:rsid w:val="004054FF"/>
    <w:rsid w:val="00405AA6"/>
    <w:rsid w:val="00407CDB"/>
    <w:rsid w:val="004102C2"/>
    <w:rsid w:val="00414506"/>
    <w:rsid w:val="004145D7"/>
    <w:rsid w:val="00415DCF"/>
    <w:rsid w:val="00417BB7"/>
    <w:rsid w:val="00417E7D"/>
    <w:rsid w:val="004200E0"/>
    <w:rsid w:val="00420CED"/>
    <w:rsid w:val="00423A4B"/>
    <w:rsid w:val="00424827"/>
    <w:rsid w:val="00425450"/>
    <w:rsid w:val="00425975"/>
    <w:rsid w:val="00425FBF"/>
    <w:rsid w:val="0042623F"/>
    <w:rsid w:val="0042708F"/>
    <w:rsid w:val="00427210"/>
    <w:rsid w:val="00427DD5"/>
    <w:rsid w:val="00431F93"/>
    <w:rsid w:val="00432777"/>
    <w:rsid w:val="0043292B"/>
    <w:rsid w:val="00433F57"/>
    <w:rsid w:val="0043561E"/>
    <w:rsid w:val="004356BF"/>
    <w:rsid w:val="00435FE3"/>
    <w:rsid w:val="004363F8"/>
    <w:rsid w:val="0043760F"/>
    <w:rsid w:val="0044030B"/>
    <w:rsid w:val="00442887"/>
    <w:rsid w:val="00442B7A"/>
    <w:rsid w:val="00443560"/>
    <w:rsid w:val="004448D6"/>
    <w:rsid w:val="004505E8"/>
    <w:rsid w:val="004512C4"/>
    <w:rsid w:val="00452A47"/>
    <w:rsid w:val="00452ABE"/>
    <w:rsid w:val="00452E72"/>
    <w:rsid w:val="0045408B"/>
    <w:rsid w:val="004561D7"/>
    <w:rsid w:val="00456B27"/>
    <w:rsid w:val="00456E1A"/>
    <w:rsid w:val="00457FE3"/>
    <w:rsid w:val="00461267"/>
    <w:rsid w:val="004614F8"/>
    <w:rsid w:val="004634C8"/>
    <w:rsid w:val="00463771"/>
    <w:rsid w:val="0046395A"/>
    <w:rsid w:val="00465EC1"/>
    <w:rsid w:val="004671C7"/>
    <w:rsid w:val="00467E34"/>
    <w:rsid w:val="00471E3E"/>
    <w:rsid w:val="00472182"/>
    <w:rsid w:val="004721E2"/>
    <w:rsid w:val="00473076"/>
    <w:rsid w:val="00475A1A"/>
    <w:rsid w:val="00476F87"/>
    <w:rsid w:val="004773FD"/>
    <w:rsid w:val="004774CF"/>
    <w:rsid w:val="00477F42"/>
    <w:rsid w:val="00481D71"/>
    <w:rsid w:val="00481F7C"/>
    <w:rsid w:val="00482E12"/>
    <w:rsid w:val="004839D8"/>
    <w:rsid w:val="00484F77"/>
    <w:rsid w:val="004852B7"/>
    <w:rsid w:val="004853F9"/>
    <w:rsid w:val="00485704"/>
    <w:rsid w:val="00485876"/>
    <w:rsid w:val="00485D10"/>
    <w:rsid w:val="00485D4B"/>
    <w:rsid w:val="00485F5F"/>
    <w:rsid w:val="004865C1"/>
    <w:rsid w:val="00486D97"/>
    <w:rsid w:val="004875D3"/>
    <w:rsid w:val="0049023C"/>
    <w:rsid w:val="00490445"/>
    <w:rsid w:val="00490462"/>
    <w:rsid w:val="00490E19"/>
    <w:rsid w:val="00491327"/>
    <w:rsid w:val="00491B2D"/>
    <w:rsid w:val="00491F0E"/>
    <w:rsid w:val="00492AB8"/>
    <w:rsid w:val="004933A3"/>
    <w:rsid w:val="004933DC"/>
    <w:rsid w:val="00493F09"/>
    <w:rsid w:val="00494FC3"/>
    <w:rsid w:val="00495383"/>
    <w:rsid w:val="0049738B"/>
    <w:rsid w:val="00497BE9"/>
    <w:rsid w:val="004A0260"/>
    <w:rsid w:val="004A169A"/>
    <w:rsid w:val="004A2884"/>
    <w:rsid w:val="004A4736"/>
    <w:rsid w:val="004B058E"/>
    <w:rsid w:val="004B1314"/>
    <w:rsid w:val="004B16B5"/>
    <w:rsid w:val="004B1F05"/>
    <w:rsid w:val="004B1FC4"/>
    <w:rsid w:val="004B42E3"/>
    <w:rsid w:val="004B5CF6"/>
    <w:rsid w:val="004B6165"/>
    <w:rsid w:val="004B61BF"/>
    <w:rsid w:val="004B6362"/>
    <w:rsid w:val="004B709F"/>
    <w:rsid w:val="004C187F"/>
    <w:rsid w:val="004C2FFF"/>
    <w:rsid w:val="004C34CC"/>
    <w:rsid w:val="004C3D93"/>
    <w:rsid w:val="004C4147"/>
    <w:rsid w:val="004C4ABF"/>
    <w:rsid w:val="004C5F95"/>
    <w:rsid w:val="004D0E12"/>
    <w:rsid w:val="004D1763"/>
    <w:rsid w:val="004D1BC3"/>
    <w:rsid w:val="004D1F8D"/>
    <w:rsid w:val="004D2586"/>
    <w:rsid w:val="004D43BF"/>
    <w:rsid w:val="004D49F5"/>
    <w:rsid w:val="004D4B9D"/>
    <w:rsid w:val="004D6C85"/>
    <w:rsid w:val="004D7519"/>
    <w:rsid w:val="004E2EBC"/>
    <w:rsid w:val="004E316F"/>
    <w:rsid w:val="004E390A"/>
    <w:rsid w:val="004E6F70"/>
    <w:rsid w:val="004E75DA"/>
    <w:rsid w:val="004E7BD6"/>
    <w:rsid w:val="004E7C31"/>
    <w:rsid w:val="004F15AD"/>
    <w:rsid w:val="004F15ED"/>
    <w:rsid w:val="004F19A2"/>
    <w:rsid w:val="004F258E"/>
    <w:rsid w:val="004F31C8"/>
    <w:rsid w:val="004F4015"/>
    <w:rsid w:val="004F48C2"/>
    <w:rsid w:val="004F6FDF"/>
    <w:rsid w:val="0050027D"/>
    <w:rsid w:val="00500B30"/>
    <w:rsid w:val="00501C6C"/>
    <w:rsid w:val="00501E63"/>
    <w:rsid w:val="00502129"/>
    <w:rsid w:val="0050249B"/>
    <w:rsid w:val="005032A2"/>
    <w:rsid w:val="00503809"/>
    <w:rsid w:val="00504060"/>
    <w:rsid w:val="00505551"/>
    <w:rsid w:val="00505E47"/>
    <w:rsid w:val="00511084"/>
    <w:rsid w:val="00511448"/>
    <w:rsid w:val="00511F71"/>
    <w:rsid w:val="00512962"/>
    <w:rsid w:val="005131C0"/>
    <w:rsid w:val="0051360F"/>
    <w:rsid w:val="005144B3"/>
    <w:rsid w:val="00514B27"/>
    <w:rsid w:val="0051550B"/>
    <w:rsid w:val="00517366"/>
    <w:rsid w:val="00520612"/>
    <w:rsid w:val="00520898"/>
    <w:rsid w:val="00523296"/>
    <w:rsid w:val="0052338A"/>
    <w:rsid w:val="00523B8B"/>
    <w:rsid w:val="0052420D"/>
    <w:rsid w:val="00525190"/>
    <w:rsid w:val="00526E61"/>
    <w:rsid w:val="00530B26"/>
    <w:rsid w:val="00530C21"/>
    <w:rsid w:val="00530E0D"/>
    <w:rsid w:val="005313D8"/>
    <w:rsid w:val="00532755"/>
    <w:rsid w:val="00532810"/>
    <w:rsid w:val="00532AE5"/>
    <w:rsid w:val="00533C1B"/>
    <w:rsid w:val="00534339"/>
    <w:rsid w:val="00535783"/>
    <w:rsid w:val="00535F46"/>
    <w:rsid w:val="00537E19"/>
    <w:rsid w:val="00540A39"/>
    <w:rsid w:val="00540DC1"/>
    <w:rsid w:val="005412AF"/>
    <w:rsid w:val="005413FB"/>
    <w:rsid w:val="00542F1A"/>
    <w:rsid w:val="0054389B"/>
    <w:rsid w:val="00543AAE"/>
    <w:rsid w:val="00544137"/>
    <w:rsid w:val="00551DC7"/>
    <w:rsid w:val="005526F6"/>
    <w:rsid w:val="005531A0"/>
    <w:rsid w:val="00553A21"/>
    <w:rsid w:val="005554E8"/>
    <w:rsid w:val="0055591A"/>
    <w:rsid w:val="00556F51"/>
    <w:rsid w:val="00557826"/>
    <w:rsid w:val="005601BF"/>
    <w:rsid w:val="0056176F"/>
    <w:rsid w:val="00564886"/>
    <w:rsid w:val="005657A1"/>
    <w:rsid w:val="00567520"/>
    <w:rsid w:val="005676C6"/>
    <w:rsid w:val="0057096C"/>
    <w:rsid w:val="0057097E"/>
    <w:rsid w:val="005723A9"/>
    <w:rsid w:val="0057240E"/>
    <w:rsid w:val="005724BE"/>
    <w:rsid w:val="00575008"/>
    <w:rsid w:val="0057554D"/>
    <w:rsid w:val="00577430"/>
    <w:rsid w:val="0058023F"/>
    <w:rsid w:val="00580584"/>
    <w:rsid w:val="00580E17"/>
    <w:rsid w:val="00581360"/>
    <w:rsid w:val="00582A19"/>
    <w:rsid w:val="0058380A"/>
    <w:rsid w:val="0058686E"/>
    <w:rsid w:val="0058711A"/>
    <w:rsid w:val="00587890"/>
    <w:rsid w:val="00587A8D"/>
    <w:rsid w:val="005934E9"/>
    <w:rsid w:val="00594B69"/>
    <w:rsid w:val="00597934"/>
    <w:rsid w:val="00597D2E"/>
    <w:rsid w:val="005A008A"/>
    <w:rsid w:val="005A04C8"/>
    <w:rsid w:val="005A0B1C"/>
    <w:rsid w:val="005A0C9D"/>
    <w:rsid w:val="005A35D3"/>
    <w:rsid w:val="005A607D"/>
    <w:rsid w:val="005A792B"/>
    <w:rsid w:val="005A79A9"/>
    <w:rsid w:val="005B072B"/>
    <w:rsid w:val="005B0AF9"/>
    <w:rsid w:val="005B1231"/>
    <w:rsid w:val="005B1E80"/>
    <w:rsid w:val="005B2B30"/>
    <w:rsid w:val="005B2E27"/>
    <w:rsid w:val="005B3D6C"/>
    <w:rsid w:val="005B3F21"/>
    <w:rsid w:val="005B420C"/>
    <w:rsid w:val="005B722B"/>
    <w:rsid w:val="005C10B0"/>
    <w:rsid w:val="005C10F2"/>
    <w:rsid w:val="005C11EE"/>
    <w:rsid w:val="005C1545"/>
    <w:rsid w:val="005C2BC6"/>
    <w:rsid w:val="005C6F21"/>
    <w:rsid w:val="005C701D"/>
    <w:rsid w:val="005C7114"/>
    <w:rsid w:val="005D2C17"/>
    <w:rsid w:val="005D3657"/>
    <w:rsid w:val="005D369C"/>
    <w:rsid w:val="005D3A35"/>
    <w:rsid w:val="005D5C54"/>
    <w:rsid w:val="005D5F69"/>
    <w:rsid w:val="005D603C"/>
    <w:rsid w:val="005D6D92"/>
    <w:rsid w:val="005D74B5"/>
    <w:rsid w:val="005D7B1B"/>
    <w:rsid w:val="005D7D96"/>
    <w:rsid w:val="005E04F6"/>
    <w:rsid w:val="005E167E"/>
    <w:rsid w:val="005E298C"/>
    <w:rsid w:val="005E55CC"/>
    <w:rsid w:val="005E6864"/>
    <w:rsid w:val="005E6967"/>
    <w:rsid w:val="005E7414"/>
    <w:rsid w:val="005F07F7"/>
    <w:rsid w:val="005F0AFA"/>
    <w:rsid w:val="005F169D"/>
    <w:rsid w:val="005F1FBF"/>
    <w:rsid w:val="005F2401"/>
    <w:rsid w:val="005F316D"/>
    <w:rsid w:val="005F3F05"/>
    <w:rsid w:val="005F3F86"/>
    <w:rsid w:val="005F4BDB"/>
    <w:rsid w:val="005F585F"/>
    <w:rsid w:val="005F7A94"/>
    <w:rsid w:val="00603C97"/>
    <w:rsid w:val="00604754"/>
    <w:rsid w:val="00604FF8"/>
    <w:rsid w:val="0060564D"/>
    <w:rsid w:val="00605E8A"/>
    <w:rsid w:val="00606A89"/>
    <w:rsid w:val="0060762F"/>
    <w:rsid w:val="00607BFB"/>
    <w:rsid w:val="00607E56"/>
    <w:rsid w:val="0061016D"/>
    <w:rsid w:val="00611729"/>
    <w:rsid w:val="006118AF"/>
    <w:rsid w:val="00611E94"/>
    <w:rsid w:val="006137C7"/>
    <w:rsid w:val="006144EE"/>
    <w:rsid w:val="006151FE"/>
    <w:rsid w:val="00615238"/>
    <w:rsid w:val="006152B9"/>
    <w:rsid w:val="006167DA"/>
    <w:rsid w:val="0061692E"/>
    <w:rsid w:val="00616C82"/>
    <w:rsid w:val="00617123"/>
    <w:rsid w:val="006176A4"/>
    <w:rsid w:val="00617FF5"/>
    <w:rsid w:val="006202F2"/>
    <w:rsid w:val="006203E0"/>
    <w:rsid w:val="00620656"/>
    <w:rsid w:val="006208BF"/>
    <w:rsid w:val="0062100B"/>
    <w:rsid w:val="00621261"/>
    <w:rsid w:val="00621642"/>
    <w:rsid w:val="006226AA"/>
    <w:rsid w:val="00622C3A"/>
    <w:rsid w:val="0062352B"/>
    <w:rsid w:val="006246CD"/>
    <w:rsid w:val="0062557E"/>
    <w:rsid w:val="00625D28"/>
    <w:rsid w:val="00627649"/>
    <w:rsid w:val="00627EC9"/>
    <w:rsid w:val="00631559"/>
    <w:rsid w:val="006328D7"/>
    <w:rsid w:val="00633306"/>
    <w:rsid w:val="00633BA0"/>
    <w:rsid w:val="00633FF4"/>
    <w:rsid w:val="0063522C"/>
    <w:rsid w:val="006352D4"/>
    <w:rsid w:val="00635366"/>
    <w:rsid w:val="00635981"/>
    <w:rsid w:val="00637378"/>
    <w:rsid w:val="006379CB"/>
    <w:rsid w:val="00637B8A"/>
    <w:rsid w:val="00637F7F"/>
    <w:rsid w:val="00640198"/>
    <w:rsid w:val="006427B5"/>
    <w:rsid w:val="0064340B"/>
    <w:rsid w:val="00643717"/>
    <w:rsid w:val="00646F16"/>
    <w:rsid w:val="00646F82"/>
    <w:rsid w:val="00647AB5"/>
    <w:rsid w:val="006504FB"/>
    <w:rsid w:val="00650A7E"/>
    <w:rsid w:val="00650E28"/>
    <w:rsid w:val="0065110B"/>
    <w:rsid w:val="00651238"/>
    <w:rsid w:val="0065161E"/>
    <w:rsid w:val="00651E38"/>
    <w:rsid w:val="00652C24"/>
    <w:rsid w:val="0065404A"/>
    <w:rsid w:val="0065627F"/>
    <w:rsid w:val="006567D6"/>
    <w:rsid w:val="00656B5C"/>
    <w:rsid w:val="006603CE"/>
    <w:rsid w:val="006605A2"/>
    <w:rsid w:val="00660BB6"/>
    <w:rsid w:val="00660D78"/>
    <w:rsid w:val="00664D88"/>
    <w:rsid w:val="00664E32"/>
    <w:rsid w:val="00665797"/>
    <w:rsid w:val="00665926"/>
    <w:rsid w:val="00665D27"/>
    <w:rsid w:val="00666051"/>
    <w:rsid w:val="00667F3A"/>
    <w:rsid w:val="00670F4A"/>
    <w:rsid w:val="006733D4"/>
    <w:rsid w:val="0067403D"/>
    <w:rsid w:val="00674ECC"/>
    <w:rsid w:val="00681A09"/>
    <w:rsid w:val="00682116"/>
    <w:rsid w:val="00682ABB"/>
    <w:rsid w:val="00684BEA"/>
    <w:rsid w:val="00684C15"/>
    <w:rsid w:val="00684EE3"/>
    <w:rsid w:val="0068599A"/>
    <w:rsid w:val="006869E7"/>
    <w:rsid w:val="00687EB8"/>
    <w:rsid w:val="00690221"/>
    <w:rsid w:val="006903C5"/>
    <w:rsid w:val="00690803"/>
    <w:rsid w:val="00693900"/>
    <w:rsid w:val="006968D2"/>
    <w:rsid w:val="006A0984"/>
    <w:rsid w:val="006A0FBC"/>
    <w:rsid w:val="006A1B20"/>
    <w:rsid w:val="006A28E8"/>
    <w:rsid w:val="006A29CF"/>
    <w:rsid w:val="006A443E"/>
    <w:rsid w:val="006A45B1"/>
    <w:rsid w:val="006A56E2"/>
    <w:rsid w:val="006A6DC8"/>
    <w:rsid w:val="006A75C6"/>
    <w:rsid w:val="006A7900"/>
    <w:rsid w:val="006B0162"/>
    <w:rsid w:val="006B02C2"/>
    <w:rsid w:val="006B1436"/>
    <w:rsid w:val="006B153F"/>
    <w:rsid w:val="006B1C30"/>
    <w:rsid w:val="006B23D8"/>
    <w:rsid w:val="006B337B"/>
    <w:rsid w:val="006B35D1"/>
    <w:rsid w:val="006B3AF4"/>
    <w:rsid w:val="006B663E"/>
    <w:rsid w:val="006B7FFD"/>
    <w:rsid w:val="006C0838"/>
    <w:rsid w:val="006C12B6"/>
    <w:rsid w:val="006C1376"/>
    <w:rsid w:val="006C2B8B"/>
    <w:rsid w:val="006C3964"/>
    <w:rsid w:val="006C4DC1"/>
    <w:rsid w:val="006D0573"/>
    <w:rsid w:val="006D1008"/>
    <w:rsid w:val="006D17B8"/>
    <w:rsid w:val="006D1805"/>
    <w:rsid w:val="006D18B1"/>
    <w:rsid w:val="006D5224"/>
    <w:rsid w:val="006D6122"/>
    <w:rsid w:val="006D7D73"/>
    <w:rsid w:val="006E02CC"/>
    <w:rsid w:val="006E19D4"/>
    <w:rsid w:val="006E4148"/>
    <w:rsid w:val="006E4A01"/>
    <w:rsid w:val="006E637F"/>
    <w:rsid w:val="006E6971"/>
    <w:rsid w:val="006E7438"/>
    <w:rsid w:val="006F009D"/>
    <w:rsid w:val="006F2872"/>
    <w:rsid w:val="006F40A6"/>
    <w:rsid w:val="006F4D98"/>
    <w:rsid w:val="006F4E11"/>
    <w:rsid w:val="006F6C32"/>
    <w:rsid w:val="006F6F2A"/>
    <w:rsid w:val="006F7F77"/>
    <w:rsid w:val="0070094D"/>
    <w:rsid w:val="00701703"/>
    <w:rsid w:val="0070292C"/>
    <w:rsid w:val="00703FEB"/>
    <w:rsid w:val="00706D2E"/>
    <w:rsid w:val="00706DE3"/>
    <w:rsid w:val="00710477"/>
    <w:rsid w:val="00710F27"/>
    <w:rsid w:val="00711807"/>
    <w:rsid w:val="00712EF8"/>
    <w:rsid w:val="00713AF6"/>
    <w:rsid w:val="00713E41"/>
    <w:rsid w:val="007141BB"/>
    <w:rsid w:val="00715318"/>
    <w:rsid w:val="00717446"/>
    <w:rsid w:val="00717BDE"/>
    <w:rsid w:val="00721D4D"/>
    <w:rsid w:val="007236FE"/>
    <w:rsid w:val="00723E19"/>
    <w:rsid w:val="00724BFE"/>
    <w:rsid w:val="00725820"/>
    <w:rsid w:val="00726744"/>
    <w:rsid w:val="0072745A"/>
    <w:rsid w:val="00727B7F"/>
    <w:rsid w:val="0073002E"/>
    <w:rsid w:val="00730EC5"/>
    <w:rsid w:val="007311E0"/>
    <w:rsid w:val="007312B3"/>
    <w:rsid w:val="00731F04"/>
    <w:rsid w:val="00732C85"/>
    <w:rsid w:val="007332F8"/>
    <w:rsid w:val="00733804"/>
    <w:rsid w:val="0073484A"/>
    <w:rsid w:val="00735568"/>
    <w:rsid w:val="00735BDF"/>
    <w:rsid w:val="00736FB5"/>
    <w:rsid w:val="0073774C"/>
    <w:rsid w:val="0074115C"/>
    <w:rsid w:val="00741212"/>
    <w:rsid w:val="00743655"/>
    <w:rsid w:val="00744A29"/>
    <w:rsid w:val="00745301"/>
    <w:rsid w:val="00745CE4"/>
    <w:rsid w:val="00746C7A"/>
    <w:rsid w:val="00747D2D"/>
    <w:rsid w:val="00750C9E"/>
    <w:rsid w:val="00750DF0"/>
    <w:rsid w:val="0075177B"/>
    <w:rsid w:val="00751D84"/>
    <w:rsid w:val="007521E2"/>
    <w:rsid w:val="007531A3"/>
    <w:rsid w:val="00753DDC"/>
    <w:rsid w:val="00755336"/>
    <w:rsid w:val="00755360"/>
    <w:rsid w:val="00755D6F"/>
    <w:rsid w:val="007576AE"/>
    <w:rsid w:val="00760BBB"/>
    <w:rsid w:val="00762F15"/>
    <w:rsid w:val="0076309B"/>
    <w:rsid w:val="007638A4"/>
    <w:rsid w:val="00764A9A"/>
    <w:rsid w:val="007655CD"/>
    <w:rsid w:val="007659BE"/>
    <w:rsid w:val="00765ACD"/>
    <w:rsid w:val="00765D3F"/>
    <w:rsid w:val="00770DD9"/>
    <w:rsid w:val="00772CDF"/>
    <w:rsid w:val="00773BBA"/>
    <w:rsid w:val="00773D71"/>
    <w:rsid w:val="007745D7"/>
    <w:rsid w:val="00775072"/>
    <w:rsid w:val="00776636"/>
    <w:rsid w:val="00780595"/>
    <w:rsid w:val="00780877"/>
    <w:rsid w:val="00781AD8"/>
    <w:rsid w:val="007828B1"/>
    <w:rsid w:val="007845FE"/>
    <w:rsid w:val="00785659"/>
    <w:rsid w:val="007859F6"/>
    <w:rsid w:val="007861B6"/>
    <w:rsid w:val="00786CDA"/>
    <w:rsid w:val="00790723"/>
    <w:rsid w:val="007910A0"/>
    <w:rsid w:val="00792200"/>
    <w:rsid w:val="0079311E"/>
    <w:rsid w:val="0079435A"/>
    <w:rsid w:val="00794704"/>
    <w:rsid w:val="007949CB"/>
    <w:rsid w:val="00797A88"/>
    <w:rsid w:val="007A0C28"/>
    <w:rsid w:val="007A0F85"/>
    <w:rsid w:val="007A0FCD"/>
    <w:rsid w:val="007A1953"/>
    <w:rsid w:val="007A2D65"/>
    <w:rsid w:val="007A3CF5"/>
    <w:rsid w:val="007A41DC"/>
    <w:rsid w:val="007A46AD"/>
    <w:rsid w:val="007A48C7"/>
    <w:rsid w:val="007A6715"/>
    <w:rsid w:val="007A7808"/>
    <w:rsid w:val="007B0197"/>
    <w:rsid w:val="007B0382"/>
    <w:rsid w:val="007B14E7"/>
    <w:rsid w:val="007B158F"/>
    <w:rsid w:val="007B2C90"/>
    <w:rsid w:val="007B2E93"/>
    <w:rsid w:val="007B33B9"/>
    <w:rsid w:val="007B340C"/>
    <w:rsid w:val="007B620C"/>
    <w:rsid w:val="007B6DE6"/>
    <w:rsid w:val="007B7120"/>
    <w:rsid w:val="007B783A"/>
    <w:rsid w:val="007C181D"/>
    <w:rsid w:val="007C1855"/>
    <w:rsid w:val="007C19E6"/>
    <w:rsid w:val="007C2DB9"/>
    <w:rsid w:val="007C34B5"/>
    <w:rsid w:val="007C409B"/>
    <w:rsid w:val="007C44E3"/>
    <w:rsid w:val="007C5E58"/>
    <w:rsid w:val="007C6683"/>
    <w:rsid w:val="007C6C73"/>
    <w:rsid w:val="007C6C9A"/>
    <w:rsid w:val="007C791A"/>
    <w:rsid w:val="007C7D99"/>
    <w:rsid w:val="007D0926"/>
    <w:rsid w:val="007D0C69"/>
    <w:rsid w:val="007D14C8"/>
    <w:rsid w:val="007D1CD6"/>
    <w:rsid w:val="007D1D5D"/>
    <w:rsid w:val="007D356C"/>
    <w:rsid w:val="007D46EF"/>
    <w:rsid w:val="007D5CBC"/>
    <w:rsid w:val="007D67A9"/>
    <w:rsid w:val="007E0219"/>
    <w:rsid w:val="007E02E9"/>
    <w:rsid w:val="007E0F45"/>
    <w:rsid w:val="007E1860"/>
    <w:rsid w:val="007E29AB"/>
    <w:rsid w:val="007E2CD0"/>
    <w:rsid w:val="007E430E"/>
    <w:rsid w:val="007E4493"/>
    <w:rsid w:val="007E5962"/>
    <w:rsid w:val="007E5F1B"/>
    <w:rsid w:val="007E6F00"/>
    <w:rsid w:val="007F0E9F"/>
    <w:rsid w:val="007F2102"/>
    <w:rsid w:val="007F21AB"/>
    <w:rsid w:val="007F2C8B"/>
    <w:rsid w:val="007F35E9"/>
    <w:rsid w:val="007F39CE"/>
    <w:rsid w:val="007F40D6"/>
    <w:rsid w:val="007F5A9F"/>
    <w:rsid w:val="007F5F8E"/>
    <w:rsid w:val="007F61D1"/>
    <w:rsid w:val="007F62C6"/>
    <w:rsid w:val="007F7733"/>
    <w:rsid w:val="007F7F0D"/>
    <w:rsid w:val="00800247"/>
    <w:rsid w:val="00801B73"/>
    <w:rsid w:val="00801BB1"/>
    <w:rsid w:val="00802E1C"/>
    <w:rsid w:val="00803DA8"/>
    <w:rsid w:val="008055E6"/>
    <w:rsid w:val="00805A37"/>
    <w:rsid w:val="00806686"/>
    <w:rsid w:val="00807B55"/>
    <w:rsid w:val="00807DD9"/>
    <w:rsid w:val="00810509"/>
    <w:rsid w:val="00810883"/>
    <w:rsid w:val="008111E3"/>
    <w:rsid w:val="00811E8F"/>
    <w:rsid w:val="008125AC"/>
    <w:rsid w:val="00813AE3"/>
    <w:rsid w:val="008144D8"/>
    <w:rsid w:val="00815091"/>
    <w:rsid w:val="00815546"/>
    <w:rsid w:val="00816068"/>
    <w:rsid w:val="00817B7E"/>
    <w:rsid w:val="008201D2"/>
    <w:rsid w:val="00820C10"/>
    <w:rsid w:val="00822EBA"/>
    <w:rsid w:val="00822EE0"/>
    <w:rsid w:val="00824C34"/>
    <w:rsid w:val="00825A28"/>
    <w:rsid w:val="008261A7"/>
    <w:rsid w:val="00826883"/>
    <w:rsid w:val="0083166A"/>
    <w:rsid w:val="00831B14"/>
    <w:rsid w:val="00831E8B"/>
    <w:rsid w:val="008336F0"/>
    <w:rsid w:val="00833DB6"/>
    <w:rsid w:val="00834477"/>
    <w:rsid w:val="00834787"/>
    <w:rsid w:val="008350EC"/>
    <w:rsid w:val="0083584D"/>
    <w:rsid w:val="00835B13"/>
    <w:rsid w:val="00837863"/>
    <w:rsid w:val="00837E53"/>
    <w:rsid w:val="008413A1"/>
    <w:rsid w:val="00842E30"/>
    <w:rsid w:val="00845D70"/>
    <w:rsid w:val="00845ECD"/>
    <w:rsid w:val="0084768A"/>
    <w:rsid w:val="008514D1"/>
    <w:rsid w:val="008514E4"/>
    <w:rsid w:val="00853621"/>
    <w:rsid w:val="0085524F"/>
    <w:rsid w:val="00855399"/>
    <w:rsid w:val="00855615"/>
    <w:rsid w:val="00861C84"/>
    <w:rsid w:val="00861DF8"/>
    <w:rsid w:val="0086266C"/>
    <w:rsid w:val="00862D99"/>
    <w:rsid w:val="008638F9"/>
    <w:rsid w:val="00863FA0"/>
    <w:rsid w:val="0086417D"/>
    <w:rsid w:val="00866742"/>
    <w:rsid w:val="00867A1A"/>
    <w:rsid w:val="00867E8C"/>
    <w:rsid w:val="00870625"/>
    <w:rsid w:val="00870F99"/>
    <w:rsid w:val="00871469"/>
    <w:rsid w:val="0087170D"/>
    <w:rsid w:val="00871A5A"/>
    <w:rsid w:val="00871DFE"/>
    <w:rsid w:val="0087336F"/>
    <w:rsid w:val="00873F9D"/>
    <w:rsid w:val="008741B0"/>
    <w:rsid w:val="00876425"/>
    <w:rsid w:val="00880F6C"/>
    <w:rsid w:val="00881AEB"/>
    <w:rsid w:val="00882293"/>
    <w:rsid w:val="0088252B"/>
    <w:rsid w:val="00883003"/>
    <w:rsid w:val="00883973"/>
    <w:rsid w:val="00883A29"/>
    <w:rsid w:val="00883FE8"/>
    <w:rsid w:val="008840B2"/>
    <w:rsid w:val="00884556"/>
    <w:rsid w:val="008849AD"/>
    <w:rsid w:val="00884E2D"/>
    <w:rsid w:val="008865B8"/>
    <w:rsid w:val="008868BC"/>
    <w:rsid w:val="00887417"/>
    <w:rsid w:val="00887532"/>
    <w:rsid w:val="00887BF5"/>
    <w:rsid w:val="008908B1"/>
    <w:rsid w:val="00893203"/>
    <w:rsid w:val="00893B41"/>
    <w:rsid w:val="00894C6A"/>
    <w:rsid w:val="008A1961"/>
    <w:rsid w:val="008A1EDB"/>
    <w:rsid w:val="008A2068"/>
    <w:rsid w:val="008A36CA"/>
    <w:rsid w:val="008A38ED"/>
    <w:rsid w:val="008A56B5"/>
    <w:rsid w:val="008A5933"/>
    <w:rsid w:val="008A596A"/>
    <w:rsid w:val="008A5FE5"/>
    <w:rsid w:val="008A6393"/>
    <w:rsid w:val="008A6B88"/>
    <w:rsid w:val="008A7458"/>
    <w:rsid w:val="008A7CD9"/>
    <w:rsid w:val="008B11CE"/>
    <w:rsid w:val="008B217F"/>
    <w:rsid w:val="008B2A4B"/>
    <w:rsid w:val="008B38E6"/>
    <w:rsid w:val="008B4284"/>
    <w:rsid w:val="008B4A91"/>
    <w:rsid w:val="008B5B98"/>
    <w:rsid w:val="008B67C4"/>
    <w:rsid w:val="008B72C7"/>
    <w:rsid w:val="008C22C0"/>
    <w:rsid w:val="008C3C8C"/>
    <w:rsid w:val="008C45B8"/>
    <w:rsid w:val="008C4932"/>
    <w:rsid w:val="008C4975"/>
    <w:rsid w:val="008C547A"/>
    <w:rsid w:val="008C5A27"/>
    <w:rsid w:val="008C661C"/>
    <w:rsid w:val="008C6DBF"/>
    <w:rsid w:val="008D03AF"/>
    <w:rsid w:val="008D1725"/>
    <w:rsid w:val="008D1B2A"/>
    <w:rsid w:val="008D2315"/>
    <w:rsid w:val="008D359F"/>
    <w:rsid w:val="008D4A9D"/>
    <w:rsid w:val="008D6061"/>
    <w:rsid w:val="008D717A"/>
    <w:rsid w:val="008E0252"/>
    <w:rsid w:val="008E11CE"/>
    <w:rsid w:val="008E16E7"/>
    <w:rsid w:val="008E1DA4"/>
    <w:rsid w:val="008E22AF"/>
    <w:rsid w:val="008E38B1"/>
    <w:rsid w:val="008E40FA"/>
    <w:rsid w:val="008E5C69"/>
    <w:rsid w:val="008E665F"/>
    <w:rsid w:val="008E75D8"/>
    <w:rsid w:val="008E7B08"/>
    <w:rsid w:val="008E7E9C"/>
    <w:rsid w:val="008F206A"/>
    <w:rsid w:val="008F4611"/>
    <w:rsid w:val="008F4FD9"/>
    <w:rsid w:val="008F59A4"/>
    <w:rsid w:val="008F64E3"/>
    <w:rsid w:val="00900026"/>
    <w:rsid w:val="00900873"/>
    <w:rsid w:val="0090311C"/>
    <w:rsid w:val="0090404E"/>
    <w:rsid w:val="0090433A"/>
    <w:rsid w:val="00905C27"/>
    <w:rsid w:val="00905C3C"/>
    <w:rsid w:val="009075FE"/>
    <w:rsid w:val="00907DAC"/>
    <w:rsid w:val="0091098F"/>
    <w:rsid w:val="00911878"/>
    <w:rsid w:val="0091561C"/>
    <w:rsid w:val="00915DAC"/>
    <w:rsid w:val="009167D7"/>
    <w:rsid w:val="00916852"/>
    <w:rsid w:val="00916B86"/>
    <w:rsid w:val="00916BF5"/>
    <w:rsid w:val="009170A3"/>
    <w:rsid w:val="009202E1"/>
    <w:rsid w:val="00921591"/>
    <w:rsid w:val="00921DC5"/>
    <w:rsid w:val="00925963"/>
    <w:rsid w:val="00926D3B"/>
    <w:rsid w:val="009273DC"/>
    <w:rsid w:val="009305DB"/>
    <w:rsid w:val="0093087C"/>
    <w:rsid w:val="009318A3"/>
    <w:rsid w:val="009319B1"/>
    <w:rsid w:val="00931C72"/>
    <w:rsid w:val="0093259D"/>
    <w:rsid w:val="00932654"/>
    <w:rsid w:val="009329FF"/>
    <w:rsid w:val="00933A0A"/>
    <w:rsid w:val="00933C8A"/>
    <w:rsid w:val="0093445B"/>
    <w:rsid w:val="00942B2B"/>
    <w:rsid w:val="009439C9"/>
    <w:rsid w:val="00943E33"/>
    <w:rsid w:val="00944769"/>
    <w:rsid w:val="0094480B"/>
    <w:rsid w:val="00944CC6"/>
    <w:rsid w:val="00945830"/>
    <w:rsid w:val="00946E17"/>
    <w:rsid w:val="00946EF8"/>
    <w:rsid w:val="00947462"/>
    <w:rsid w:val="009479AC"/>
    <w:rsid w:val="00947A7E"/>
    <w:rsid w:val="00950514"/>
    <w:rsid w:val="00950691"/>
    <w:rsid w:val="00950804"/>
    <w:rsid w:val="009517F4"/>
    <w:rsid w:val="00951A9A"/>
    <w:rsid w:val="00952137"/>
    <w:rsid w:val="00953840"/>
    <w:rsid w:val="00954047"/>
    <w:rsid w:val="00954295"/>
    <w:rsid w:val="00955533"/>
    <w:rsid w:val="009556BE"/>
    <w:rsid w:val="009557C4"/>
    <w:rsid w:val="00955FDC"/>
    <w:rsid w:val="009568EF"/>
    <w:rsid w:val="00956BD3"/>
    <w:rsid w:val="00956D11"/>
    <w:rsid w:val="00960144"/>
    <w:rsid w:val="009602DA"/>
    <w:rsid w:val="009605FB"/>
    <w:rsid w:val="00961B31"/>
    <w:rsid w:val="00961FE6"/>
    <w:rsid w:val="009620BF"/>
    <w:rsid w:val="009620EF"/>
    <w:rsid w:val="00962E56"/>
    <w:rsid w:val="009634EB"/>
    <w:rsid w:val="009640D6"/>
    <w:rsid w:val="00966406"/>
    <w:rsid w:val="009666DA"/>
    <w:rsid w:val="00966CE3"/>
    <w:rsid w:val="00967C43"/>
    <w:rsid w:val="00967EA8"/>
    <w:rsid w:val="00970E2A"/>
    <w:rsid w:val="0097302A"/>
    <w:rsid w:val="0097302E"/>
    <w:rsid w:val="009735C5"/>
    <w:rsid w:val="009736AF"/>
    <w:rsid w:val="009738EC"/>
    <w:rsid w:val="00974F01"/>
    <w:rsid w:val="00980C1E"/>
    <w:rsid w:val="00981AE3"/>
    <w:rsid w:val="00982718"/>
    <w:rsid w:val="00983F4F"/>
    <w:rsid w:val="0098410A"/>
    <w:rsid w:val="0098489B"/>
    <w:rsid w:val="009878A6"/>
    <w:rsid w:val="00987D66"/>
    <w:rsid w:val="00987DBF"/>
    <w:rsid w:val="00991279"/>
    <w:rsid w:val="009957DA"/>
    <w:rsid w:val="00995903"/>
    <w:rsid w:val="00995F9A"/>
    <w:rsid w:val="00997056"/>
    <w:rsid w:val="009970FB"/>
    <w:rsid w:val="009A116B"/>
    <w:rsid w:val="009A140E"/>
    <w:rsid w:val="009A18AF"/>
    <w:rsid w:val="009A3785"/>
    <w:rsid w:val="009A389F"/>
    <w:rsid w:val="009A506C"/>
    <w:rsid w:val="009A5D6A"/>
    <w:rsid w:val="009A7A30"/>
    <w:rsid w:val="009B2E72"/>
    <w:rsid w:val="009B43ED"/>
    <w:rsid w:val="009B51DF"/>
    <w:rsid w:val="009B6196"/>
    <w:rsid w:val="009B741E"/>
    <w:rsid w:val="009B7C41"/>
    <w:rsid w:val="009C0405"/>
    <w:rsid w:val="009C0503"/>
    <w:rsid w:val="009C0AF4"/>
    <w:rsid w:val="009C12A9"/>
    <w:rsid w:val="009C2641"/>
    <w:rsid w:val="009C2836"/>
    <w:rsid w:val="009C2AE4"/>
    <w:rsid w:val="009C3C12"/>
    <w:rsid w:val="009C3D13"/>
    <w:rsid w:val="009C4B94"/>
    <w:rsid w:val="009C511D"/>
    <w:rsid w:val="009D038B"/>
    <w:rsid w:val="009D064A"/>
    <w:rsid w:val="009D0A38"/>
    <w:rsid w:val="009D1762"/>
    <w:rsid w:val="009D2ADC"/>
    <w:rsid w:val="009D4562"/>
    <w:rsid w:val="009D467E"/>
    <w:rsid w:val="009D49EB"/>
    <w:rsid w:val="009D6004"/>
    <w:rsid w:val="009D73F8"/>
    <w:rsid w:val="009E2A3F"/>
    <w:rsid w:val="009E5442"/>
    <w:rsid w:val="009E59E7"/>
    <w:rsid w:val="009E7570"/>
    <w:rsid w:val="009F007E"/>
    <w:rsid w:val="009F0625"/>
    <w:rsid w:val="009F0BBB"/>
    <w:rsid w:val="009F158B"/>
    <w:rsid w:val="009F280B"/>
    <w:rsid w:val="009F37D3"/>
    <w:rsid w:val="009F3910"/>
    <w:rsid w:val="009F3D21"/>
    <w:rsid w:val="009F45AB"/>
    <w:rsid w:val="009F4E0E"/>
    <w:rsid w:val="009F4F01"/>
    <w:rsid w:val="009F6466"/>
    <w:rsid w:val="009F6ADE"/>
    <w:rsid w:val="009F7660"/>
    <w:rsid w:val="009F76E4"/>
    <w:rsid w:val="00A018FB"/>
    <w:rsid w:val="00A02FC0"/>
    <w:rsid w:val="00A038EE"/>
    <w:rsid w:val="00A03EF2"/>
    <w:rsid w:val="00A05D2F"/>
    <w:rsid w:val="00A06A6F"/>
    <w:rsid w:val="00A1037D"/>
    <w:rsid w:val="00A106A1"/>
    <w:rsid w:val="00A10FA9"/>
    <w:rsid w:val="00A11340"/>
    <w:rsid w:val="00A12FC2"/>
    <w:rsid w:val="00A15369"/>
    <w:rsid w:val="00A15FBF"/>
    <w:rsid w:val="00A17353"/>
    <w:rsid w:val="00A17A03"/>
    <w:rsid w:val="00A17E13"/>
    <w:rsid w:val="00A209AE"/>
    <w:rsid w:val="00A21DE7"/>
    <w:rsid w:val="00A234AF"/>
    <w:rsid w:val="00A234E8"/>
    <w:rsid w:val="00A238E6"/>
    <w:rsid w:val="00A23AEB"/>
    <w:rsid w:val="00A245A3"/>
    <w:rsid w:val="00A249B7"/>
    <w:rsid w:val="00A24B9F"/>
    <w:rsid w:val="00A30D10"/>
    <w:rsid w:val="00A313DB"/>
    <w:rsid w:val="00A316C8"/>
    <w:rsid w:val="00A31C61"/>
    <w:rsid w:val="00A32151"/>
    <w:rsid w:val="00A32C32"/>
    <w:rsid w:val="00A334F4"/>
    <w:rsid w:val="00A33792"/>
    <w:rsid w:val="00A35BC6"/>
    <w:rsid w:val="00A366C7"/>
    <w:rsid w:val="00A367AE"/>
    <w:rsid w:val="00A367C6"/>
    <w:rsid w:val="00A37280"/>
    <w:rsid w:val="00A37C92"/>
    <w:rsid w:val="00A408A9"/>
    <w:rsid w:val="00A411F8"/>
    <w:rsid w:val="00A415A8"/>
    <w:rsid w:val="00A43314"/>
    <w:rsid w:val="00A44510"/>
    <w:rsid w:val="00A44EA3"/>
    <w:rsid w:val="00A45CEA"/>
    <w:rsid w:val="00A46387"/>
    <w:rsid w:val="00A46E9E"/>
    <w:rsid w:val="00A50781"/>
    <w:rsid w:val="00A507A2"/>
    <w:rsid w:val="00A541D8"/>
    <w:rsid w:val="00A5622B"/>
    <w:rsid w:val="00A57CCF"/>
    <w:rsid w:val="00A57D09"/>
    <w:rsid w:val="00A61C88"/>
    <w:rsid w:val="00A63059"/>
    <w:rsid w:val="00A633C8"/>
    <w:rsid w:val="00A67274"/>
    <w:rsid w:val="00A67D80"/>
    <w:rsid w:val="00A70A72"/>
    <w:rsid w:val="00A71707"/>
    <w:rsid w:val="00A72ECB"/>
    <w:rsid w:val="00A732E8"/>
    <w:rsid w:val="00A73CD1"/>
    <w:rsid w:val="00A74B80"/>
    <w:rsid w:val="00A74BAA"/>
    <w:rsid w:val="00A755F8"/>
    <w:rsid w:val="00A77BD1"/>
    <w:rsid w:val="00A815A7"/>
    <w:rsid w:val="00A8193A"/>
    <w:rsid w:val="00A81C7E"/>
    <w:rsid w:val="00A82098"/>
    <w:rsid w:val="00A833C2"/>
    <w:rsid w:val="00A836AE"/>
    <w:rsid w:val="00A8495B"/>
    <w:rsid w:val="00A84C8A"/>
    <w:rsid w:val="00A859CF"/>
    <w:rsid w:val="00A86ACE"/>
    <w:rsid w:val="00A86E1C"/>
    <w:rsid w:val="00A910CB"/>
    <w:rsid w:val="00A9211C"/>
    <w:rsid w:val="00A92476"/>
    <w:rsid w:val="00A9248C"/>
    <w:rsid w:val="00A935C2"/>
    <w:rsid w:val="00A94D99"/>
    <w:rsid w:val="00A96AE7"/>
    <w:rsid w:val="00A96C84"/>
    <w:rsid w:val="00A96D05"/>
    <w:rsid w:val="00A96D92"/>
    <w:rsid w:val="00A96DB9"/>
    <w:rsid w:val="00A9730C"/>
    <w:rsid w:val="00AA13FA"/>
    <w:rsid w:val="00AA200D"/>
    <w:rsid w:val="00AA21F6"/>
    <w:rsid w:val="00AA3988"/>
    <w:rsid w:val="00AA3AC0"/>
    <w:rsid w:val="00AA3EA3"/>
    <w:rsid w:val="00AA4235"/>
    <w:rsid w:val="00AA4751"/>
    <w:rsid w:val="00AA6410"/>
    <w:rsid w:val="00AA7454"/>
    <w:rsid w:val="00AB0A61"/>
    <w:rsid w:val="00AB0B5A"/>
    <w:rsid w:val="00AB15CD"/>
    <w:rsid w:val="00AB2942"/>
    <w:rsid w:val="00AB2E07"/>
    <w:rsid w:val="00AB341F"/>
    <w:rsid w:val="00AB4FDB"/>
    <w:rsid w:val="00AB5059"/>
    <w:rsid w:val="00AB62C5"/>
    <w:rsid w:val="00AC0885"/>
    <w:rsid w:val="00AC277D"/>
    <w:rsid w:val="00AC2E60"/>
    <w:rsid w:val="00AC4966"/>
    <w:rsid w:val="00AC497B"/>
    <w:rsid w:val="00AC4D66"/>
    <w:rsid w:val="00AC64D5"/>
    <w:rsid w:val="00AC713F"/>
    <w:rsid w:val="00AC74E4"/>
    <w:rsid w:val="00AC787D"/>
    <w:rsid w:val="00AC7E63"/>
    <w:rsid w:val="00AD0168"/>
    <w:rsid w:val="00AD06C7"/>
    <w:rsid w:val="00AD0961"/>
    <w:rsid w:val="00AD1F16"/>
    <w:rsid w:val="00AD21FB"/>
    <w:rsid w:val="00AD38E0"/>
    <w:rsid w:val="00AD3B39"/>
    <w:rsid w:val="00AD49F4"/>
    <w:rsid w:val="00AD50F5"/>
    <w:rsid w:val="00AD6209"/>
    <w:rsid w:val="00AD73E4"/>
    <w:rsid w:val="00AD7F4C"/>
    <w:rsid w:val="00AE09B0"/>
    <w:rsid w:val="00AE12ED"/>
    <w:rsid w:val="00AE1588"/>
    <w:rsid w:val="00AE1A35"/>
    <w:rsid w:val="00AE2573"/>
    <w:rsid w:val="00AE2EC4"/>
    <w:rsid w:val="00AE31A1"/>
    <w:rsid w:val="00AE3FF4"/>
    <w:rsid w:val="00AE4A9E"/>
    <w:rsid w:val="00AE57F7"/>
    <w:rsid w:val="00AE5967"/>
    <w:rsid w:val="00AE62B2"/>
    <w:rsid w:val="00AE6D5B"/>
    <w:rsid w:val="00AE7476"/>
    <w:rsid w:val="00AF07EE"/>
    <w:rsid w:val="00AF37F3"/>
    <w:rsid w:val="00AF3D18"/>
    <w:rsid w:val="00AF556C"/>
    <w:rsid w:val="00AF5587"/>
    <w:rsid w:val="00AF5D99"/>
    <w:rsid w:val="00AF7C63"/>
    <w:rsid w:val="00B00091"/>
    <w:rsid w:val="00B005E2"/>
    <w:rsid w:val="00B01DFE"/>
    <w:rsid w:val="00B03DC0"/>
    <w:rsid w:val="00B0477A"/>
    <w:rsid w:val="00B06001"/>
    <w:rsid w:val="00B0623A"/>
    <w:rsid w:val="00B07241"/>
    <w:rsid w:val="00B0763B"/>
    <w:rsid w:val="00B07F22"/>
    <w:rsid w:val="00B12F60"/>
    <w:rsid w:val="00B1432E"/>
    <w:rsid w:val="00B15302"/>
    <w:rsid w:val="00B15E69"/>
    <w:rsid w:val="00B1723A"/>
    <w:rsid w:val="00B17C16"/>
    <w:rsid w:val="00B20705"/>
    <w:rsid w:val="00B20C74"/>
    <w:rsid w:val="00B21660"/>
    <w:rsid w:val="00B23032"/>
    <w:rsid w:val="00B24B2A"/>
    <w:rsid w:val="00B24C90"/>
    <w:rsid w:val="00B25458"/>
    <w:rsid w:val="00B259D5"/>
    <w:rsid w:val="00B26322"/>
    <w:rsid w:val="00B31EBC"/>
    <w:rsid w:val="00B337C4"/>
    <w:rsid w:val="00B345CE"/>
    <w:rsid w:val="00B34E62"/>
    <w:rsid w:val="00B3588C"/>
    <w:rsid w:val="00B35C60"/>
    <w:rsid w:val="00B35D9E"/>
    <w:rsid w:val="00B361CF"/>
    <w:rsid w:val="00B36F63"/>
    <w:rsid w:val="00B3779D"/>
    <w:rsid w:val="00B37A8E"/>
    <w:rsid w:val="00B37B7A"/>
    <w:rsid w:val="00B404A2"/>
    <w:rsid w:val="00B4179E"/>
    <w:rsid w:val="00B41AE6"/>
    <w:rsid w:val="00B45788"/>
    <w:rsid w:val="00B4610C"/>
    <w:rsid w:val="00B46EF4"/>
    <w:rsid w:val="00B47C66"/>
    <w:rsid w:val="00B510EC"/>
    <w:rsid w:val="00B52775"/>
    <w:rsid w:val="00B52DF1"/>
    <w:rsid w:val="00B534ED"/>
    <w:rsid w:val="00B53959"/>
    <w:rsid w:val="00B53C79"/>
    <w:rsid w:val="00B54003"/>
    <w:rsid w:val="00B545F2"/>
    <w:rsid w:val="00B5557F"/>
    <w:rsid w:val="00B57520"/>
    <w:rsid w:val="00B57A2A"/>
    <w:rsid w:val="00B604A4"/>
    <w:rsid w:val="00B60583"/>
    <w:rsid w:val="00B61B93"/>
    <w:rsid w:val="00B631EA"/>
    <w:rsid w:val="00B641C3"/>
    <w:rsid w:val="00B64758"/>
    <w:rsid w:val="00B6491F"/>
    <w:rsid w:val="00B64E90"/>
    <w:rsid w:val="00B65399"/>
    <w:rsid w:val="00B67023"/>
    <w:rsid w:val="00B670F3"/>
    <w:rsid w:val="00B674DB"/>
    <w:rsid w:val="00B675AD"/>
    <w:rsid w:val="00B67A64"/>
    <w:rsid w:val="00B70635"/>
    <w:rsid w:val="00B71D34"/>
    <w:rsid w:val="00B72568"/>
    <w:rsid w:val="00B7327B"/>
    <w:rsid w:val="00B751A7"/>
    <w:rsid w:val="00B75A03"/>
    <w:rsid w:val="00B75A7D"/>
    <w:rsid w:val="00B760D0"/>
    <w:rsid w:val="00B779AD"/>
    <w:rsid w:val="00B77C80"/>
    <w:rsid w:val="00B80155"/>
    <w:rsid w:val="00B80592"/>
    <w:rsid w:val="00B807CB"/>
    <w:rsid w:val="00B80E06"/>
    <w:rsid w:val="00B81E3B"/>
    <w:rsid w:val="00B822FB"/>
    <w:rsid w:val="00B82696"/>
    <w:rsid w:val="00B82A94"/>
    <w:rsid w:val="00B842DE"/>
    <w:rsid w:val="00B85327"/>
    <w:rsid w:val="00B86EF5"/>
    <w:rsid w:val="00B87276"/>
    <w:rsid w:val="00B87E7D"/>
    <w:rsid w:val="00B9018C"/>
    <w:rsid w:val="00B90EC1"/>
    <w:rsid w:val="00B90F81"/>
    <w:rsid w:val="00B916CD"/>
    <w:rsid w:val="00B92569"/>
    <w:rsid w:val="00B928FC"/>
    <w:rsid w:val="00B92CB1"/>
    <w:rsid w:val="00B937AA"/>
    <w:rsid w:val="00B941AF"/>
    <w:rsid w:val="00B9593A"/>
    <w:rsid w:val="00B96E33"/>
    <w:rsid w:val="00B97A92"/>
    <w:rsid w:val="00BA0756"/>
    <w:rsid w:val="00BA1323"/>
    <w:rsid w:val="00BA2609"/>
    <w:rsid w:val="00BA2CE4"/>
    <w:rsid w:val="00BA42C4"/>
    <w:rsid w:val="00BA627D"/>
    <w:rsid w:val="00BA6638"/>
    <w:rsid w:val="00BA7820"/>
    <w:rsid w:val="00BA7906"/>
    <w:rsid w:val="00BA7DFE"/>
    <w:rsid w:val="00BB0B92"/>
    <w:rsid w:val="00BB161E"/>
    <w:rsid w:val="00BB2B82"/>
    <w:rsid w:val="00BB2F36"/>
    <w:rsid w:val="00BB3267"/>
    <w:rsid w:val="00BB34CB"/>
    <w:rsid w:val="00BB5575"/>
    <w:rsid w:val="00BB5C78"/>
    <w:rsid w:val="00BB66E6"/>
    <w:rsid w:val="00BB6EF2"/>
    <w:rsid w:val="00BB7DF4"/>
    <w:rsid w:val="00BB7ED4"/>
    <w:rsid w:val="00BC0E1F"/>
    <w:rsid w:val="00BC13C0"/>
    <w:rsid w:val="00BC1A0E"/>
    <w:rsid w:val="00BC5121"/>
    <w:rsid w:val="00BC5207"/>
    <w:rsid w:val="00BC56A3"/>
    <w:rsid w:val="00BC6330"/>
    <w:rsid w:val="00BC67DE"/>
    <w:rsid w:val="00BC685B"/>
    <w:rsid w:val="00BC70EB"/>
    <w:rsid w:val="00BC744D"/>
    <w:rsid w:val="00BD15B5"/>
    <w:rsid w:val="00BD197E"/>
    <w:rsid w:val="00BD24CD"/>
    <w:rsid w:val="00BD2C4F"/>
    <w:rsid w:val="00BD5521"/>
    <w:rsid w:val="00BE0307"/>
    <w:rsid w:val="00BE087D"/>
    <w:rsid w:val="00BE2AB4"/>
    <w:rsid w:val="00BE35B9"/>
    <w:rsid w:val="00BE368E"/>
    <w:rsid w:val="00BE41D7"/>
    <w:rsid w:val="00BE573C"/>
    <w:rsid w:val="00BE688D"/>
    <w:rsid w:val="00BE6BE5"/>
    <w:rsid w:val="00BE798B"/>
    <w:rsid w:val="00BF2EA1"/>
    <w:rsid w:val="00BF3447"/>
    <w:rsid w:val="00BF397F"/>
    <w:rsid w:val="00BF3DE3"/>
    <w:rsid w:val="00BF3F8B"/>
    <w:rsid w:val="00BF6251"/>
    <w:rsid w:val="00BF63DE"/>
    <w:rsid w:val="00BF6584"/>
    <w:rsid w:val="00BF6A5B"/>
    <w:rsid w:val="00BF71D2"/>
    <w:rsid w:val="00BF7E5D"/>
    <w:rsid w:val="00C00A93"/>
    <w:rsid w:val="00C00D73"/>
    <w:rsid w:val="00C01D95"/>
    <w:rsid w:val="00C04323"/>
    <w:rsid w:val="00C06385"/>
    <w:rsid w:val="00C108A7"/>
    <w:rsid w:val="00C118CC"/>
    <w:rsid w:val="00C13D97"/>
    <w:rsid w:val="00C14AFC"/>
    <w:rsid w:val="00C15D84"/>
    <w:rsid w:val="00C1642A"/>
    <w:rsid w:val="00C172EB"/>
    <w:rsid w:val="00C17426"/>
    <w:rsid w:val="00C1772D"/>
    <w:rsid w:val="00C1793E"/>
    <w:rsid w:val="00C20E40"/>
    <w:rsid w:val="00C21121"/>
    <w:rsid w:val="00C21858"/>
    <w:rsid w:val="00C21E9F"/>
    <w:rsid w:val="00C2240F"/>
    <w:rsid w:val="00C234AE"/>
    <w:rsid w:val="00C2621D"/>
    <w:rsid w:val="00C26905"/>
    <w:rsid w:val="00C27560"/>
    <w:rsid w:val="00C301EF"/>
    <w:rsid w:val="00C30367"/>
    <w:rsid w:val="00C30A6E"/>
    <w:rsid w:val="00C30C49"/>
    <w:rsid w:val="00C30F20"/>
    <w:rsid w:val="00C31C6A"/>
    <w:rsid w:val="00C3458E"/>
    <w:rsid w:val="00C35141"/>
    <w:rsid w:val="00C36867"/>
    <w:rsid w:val="00C36D24"/>
    <w:rsid w:val="00C3769E"/>
    <w:rsid w:val="00C37DFB"/>
    <w:rsid w:val="00C41346"/>
    <w:rsid w:val="00C41F32"/>
    <w:rsid w:val="00C41FFD"/>
    <w:rsid w:val="00C4266C"/>
    <w:rsid w:val="00C42B11"/>
    <w:rsid w:val="00C42D42"/>
    <w:rsid w:val="00C432B4"/>
    <w:rsid w:val="00C43DD8"/>
    <w:rsid w:val="00C447CE"/>
    <w:rsid w:val="00C45A0C"/>
    <w:rsid w:val="00C45AE1"/>
    <w:rsid w:val="00C513C6"/>
    <w:rsid w:val="00C531E5"/>
    <w:rsid w:val="00C53309"/>
    <w:rsid w:val="00C53D68"/>
    <w:rsid w:val="00C54BE1"/>
    <w:rsid w:val="00C559D5"/>
    <w:rsid w:val="00C5652D"/>
    <w:rsid w:val="00C56854"/>
    <w:rsid w:val="00C616B4"/>
    <w:rsid w:val="00C66644"/>
    <w:rsid w:val="00C677B0"/>
    <w:rsid w:val="00C70831"/>
    <w:rsid w:val="00C71155"/>
    <w:rsid w:val="00C74BCE"/>
    <w:rsid w:val="00C74CD5"/>
    <w:rsid w:val="00C752D2"/>
    <w:rsid w:val="00C755DC"/>
    <w:rsid w:val="00C7581E"/>
    <w:rsid w:val="00C7626A"/>
    <w:rsid w:val="00C77290"/>
    <w:rsid w:val="00C800B6"/>
    <w:rsid w:val="00C80912"/>
    <w:rsid w:val="00C813C4"/>
    <w:rsid w:val="00C81E96"/>
    <w:rsid w:val="00C82178"/>
    <w:rsid w:val="00C82CC6"/>
    <w:rsid w:val="00C85479"/>
    <w:rsid w:val="00C854C0"/>
    <w:rsid w:val="00C87AB8"/>
    <w:rsid w:val="00C907AF"/>
    <w:rsid w:val="00C90B15"/>
    <w:rsid w:val="00C91A17"/>
    <w:rsid w:val="00C93CF9"/>
    <w:rsid w:val="00C940AF"/>
    <w:rsid w:val="00C949A8"/>
    <w:rsid w:val="00C94DF0"/>
    <w:rsid w:val="00C95219"/>
    <w:rsid w:val="00C96ABF"/>
    <w:rsid w:val="00C96BDB"/>
    <w:rsid w:val="00C9743F"/>
    <w:rsid w:val="00C97A45"/>
    <w:rsid w:val="00CA0982"/>
    <w:rsid w:val="00CA0B1B"/>
    <w:rsid w:val="00CA161B"/>
    <w:rsid w:val="00CA1675"/>
    <w:rsid w:val="00CA2C67"/>
    <w:rsid w:val="00CA37C8"/>
    <w:rsid w:val="00CA530D"/>
    <w:rsid w:val="00CA5353"/>
    <w:rsid w:val="00CA7BA7"/>
    <w:rsid w:val="00CB2F3E"/>
    <w:rsid w:val="00CB3B67"/>
    <w:rsid w:val="00CB44C2"/>
    <w:rsid w:val="00CB489C"/>
    <w:rsid w:val="00CB5277"/>
    <w:rsid w:val="00CB56D1"/>
    <w:rsid w:val="00CB5A48"/>
    <w:rsid w:val="00CB7403"/>
    <w:rsid w:val="00CC2AD1"/>
    <w:rsid w:val="00CC353D"/>
    <w:rsid w:val="00CC4087"/>
    <w:rsid w:val="00CC445C"/>
    <w:rsid w:val="00CC4C64"/>
    <w:rsid w:val="00CC7CB8"/>
    <w:rsid w:val="00CC7EC1"/>
    <w:rsid w:val="00CD0830"/>
    <w:rsid w:val="00CD18F4"/>
    <w:rsid w:val="00CD25DA"/>
    <w:rsid w:val="00CD2656"/>
    <w:rsid w:val="00CD3EAD"/>
    <w:rsid w:val="00CD490F"/>
    <w:rsid w:val="00CD5D26"/>
    <w:rsid w:val="00CD602F"/>
    <w:rsid w:val="00CD7CA8"/>
    <w:rsid w:val="00CD7E65"/>
    <w:rsid w:val="00CD7E7F"/>
    <w:rsid w:val="00CE1D7A"/>
    <w:rsid w:val="00CE1EAC"/>
    <w:rsid w:val="00CE2C44"/>
    <w:rsid w:val="00CE478C"/>
    <w:rsid w:val="00CE49B3"/>
    <w:rsid w:val="00CE5065"/>
    <w:rsid w:val="00CE53FC"/>
    <w:rsid w:val="00CE77F8"/>
    <w:rsid w:val="00CF2A73"/>
    <w:rsid w:val="00CF40F8"/>
    <w:rsid w:val="00CF53C0"/>
    <w:rsid w:val="00CF6115"/>
    <w:rsid w:val="00CF6D54"/>
    <w:rsid w:val="00CF72B8"/>
    <w:rsid w:val="00CF7DD0"/>
    <w:rsid w:val="00D00F43"/>
    <w:rsid w:val="00D012A0"/>
    <w:rsid w:val="00D014E8"/>
    <w:rsid w:val="00D01551"/>
    <w:rsid w:val="00D01DD2"/>
    <w:rsid w:val="00D0278F"/>
    <w:rsid w:val="00D02F3F"/>
    <w:rsid w:val="00D03035"/>
    <w:rsid w:val="00D036CA"/>
    <w:rsid w:val="00D0407E"/>
    <w:rsid w:val="00D072E9"/>
    <w:rsid w:val="00D07AE4"/>
    <w:rsid w:val="00D07C59"/>
    <w:rsid w:val="00D12062"/>
    <w:rsid w:val="00D1233D"/>
    <w:rsid w:val="00D123BF"/>
    <w:rsid w:val="00D12899"/>
    <w:rsid w:val="00D1632F"/>
    <w:rsid w:val="00D1704A"/>
    <w:rsid w:val="00D17FF0"/>
    <w:rsid w:val="00D20300"/>
    <w:rsid w:val="00D2121E"/>
    <w:rsid w:val="00D21A81"/>
    <w:rsid w:val="00D21F0A"/>
    <w:rsid w:val="00D22947"/>
    <w:rsid w:val="00D235E1"/>
    <w:rsid w:val="00D2377D"/>
    <w:rsid w:val="00D24179"/>
    <w:rsid w:val="00D241E6"/>
    <w:rsid w:val="00D255FB"/>
    <w:rsid w:val="00D333B2"/>
    <w:rsid w:val="00D334E7"/>
    <w:rsid w:val="00D338FE"/>
    <w:rsid w:val="00D345B7"/>
    <w:rsid w:val="00D34B9C"/>
    <w:rsid w:val="00D35591"/>
    <w:rsid w:val="00D367A9"/>
    <w:rsid w:val="00D36A42"/>
    <w:rsid w:val="00D36BA6"/>
    <w:rsid w:val="00D36D24"/>
    <w:rsid w:val="00D408F8"/>
    <w:rsid w:val="00D40C4B"/>
    <w:rsid w:val="00D419E2"/>
    <w:rsid w:val="00D43533"/>
    <w:rsid w:val="00D43540"/>
    <w:rsid w:val="00D46A5D"/>
    <w:rsid w:val="00D474DA"/>
    <w:rsid w:val="00D518D1"/>
    <w:rsid w:val="00D53A0F"/>
    <w:rsid w:val="00D54380"/>
    <w:rsid w:val="00D5458C"/>
    <w:rsid w:val="00D55BD1"/>
    <w:rsid w:val="00D56049"/>
    <w:rsid w:val="00D56101"/>
    <w:rsid w:val="00D563D0"/>
    <w:rsid w:val="00D568C4"/>
    <w:rsid w:val="00D57578"/>
    <w:rsid w:val="00D57580"/>
    <w:rsid w:val="00D576BF"/>
    <w:rsid w:val="00D603B9"/>
    <w:rsid w:val="00D604D6"/>
    <w:rsid w:val="00D61239"/>
    <w:rsid w:val="00D61503"/>
    <w:rsid w:val="00D62D26"/>
    <w:rsid w:val="00D62DAB"/>
    <w:rsid w:val="00D62E32"/>
    <w:rsid w:val="00D63869"/>
    <w:rsid w:val="00D64053"/>
    <w:rsid w:val="00D65341"/>
    <w:rsid w:val="00D65861"/>
    <w:rsid w:val="00D6587A"/>
    <w:rsid w:val="00D65D06"/>
    <w:rsid w:val="00D66E1B"/>
    <w:rsid w:val="00D66F12"/>
    <w:rsid w:val="00D67E0A"/>
    <w:rsid w:val="00D7057A"/>
    <w:rsid w:val="00D70D41"/>
    <w:rsid w:val="00D71E84"/>
    <w:rsid w:val="00D72273"/>
    <w:rsid w:val="00D73198"/>
    <w:rsid w:val="00D74825"/>
    <w:rsid w:val="00D77374"/>
    <w:rsid w:val="00D77488"/>
    <w:rsid w:val="00D801CF"/>
    <w:rsid w:val="00D81EB1"/>
    <w:rsid w:val="00D832B3"/>
    <w:rsid w:val="00D8516F"/>
    <w:rsid w:val="00D85283"/>
    <w:rsid w:val="00D85F3F"/>
    <w:rsid w:val="00D86234"/>
    <w:rsid w:val="00D869BA"/>
    <w:rsid w:val="00D874CD"/>
    <w:rsid w:val="00D915B3"/>
    <w:rsid w:val="00D91796"/>
    <w:rsid w:val="00D91F7F"/>
    <w:rsid w:val="00D93139"/>
    <w:rsid w:val="00D9367E"/>
    <w:rsid w:val="00D9390D"/>
    <w:rsid w:val="00D95999"/>
    <w:rsid w:val="00D96118"/>
    <w:rsid w:val="00D96540"/>
    <w:rsid w:val="00D96A48"/>
    <w:rsid w:val="00D96F33"/>
    <w:rsid w:val="00D97711"/>
    <w:rsid w:val="00D97C38"/>
    <w:rsid w:val="00DA1B61"/>
    <w:rsid w:val="00DA1F57"/>
    <w:rsid w:val="00DA2085"/>
    <w:rsid w:val="00DA4E52"/>
    <w:rsid w:val="00DA5464"/>
    <w:rsid w:val="00DB094D"/>
    <w:rsid w:val="00DB1D2B"/>
    <w:rsid w:val="00DB2538"/>
    <w:rsid w:val="00DB3490"/>
    <w:rsid w:val="00DB385B"/>
    <w:rsid w:val="00DB47E4"/>
    <w:rsid w:val="00DB4889"/>
    <w:rsid w:val="00DB6E63"/>
    <w:rsid w:val="00DC0C02"/>
    <w:rsid w:val="00DC1817"/>
    <w:rsid w:val="00DC1E8E"/>
    <w:rsid w:val="00DC244A"/>
    <w:rsid w:val="00DC2F09"/>
    <w:rsid w:val="00DC3F6D"/>
    <w:rsid w:val="00DC446C"/>
    <w:rsid w:val="00DC4A96"/>
    <w:rsid w:val="00DC4CDD"/>
    <w:rsid w:val="00DC4ED1"/>
    <w:rsid w:val="00DC4F51"/>
    <w:rsid w:val="00DC501B"/>
    <w:rsid w:val="00DC658B"/>
    <w:rsid w:val="00DC6C21"/>
    <w:rsid w:val="00DC7131"/>
    <w:rsid w:val="00DD1304"/>
    <w:rsid w:val="00DD185F"/>
    <w:rsid w:val="00DD27E7"/>
    <w:rsid w:val="00DD2B4D"/>
    <w:rsid w:val="00DD43ED"/>
    <w:rsid w:val="00DD46A9"/>
    <w:rsid w:val="00DD68E4"/>
    <w:rsid w:val="00DE00A1"/>
    <w:rsid w:val="00DE024D"/>
    <w:rsid w:val="00DE042F"/>
    <w:rsid w:val="00DE25CD"/>
    <w:rsid w:val="00DE293B"/>
    <w:rsid w:val="00DE4C8C"/>
    <w:rsid w:val="00DF069F"/>
    <w:rsid w:val="00DF2189"/>
    <w:rsid w:val="00DF33BC"/>
    <w:rsid w:val="00DF3EB5"/>
    <w:rsid w:val="00DF44F2"/>
    <w:rsid w:val="00DF44F9"/>
    <w:rsid w:val="00DF596A"/>
    <w:rsid w:val="00DF5E1B"/>
    <w:rsid w:val="00DF6823"/>
    <w:rsid w:val="00DF6B0A"/>
    <w:rsid w:val="00DF7223"/>
    <w:rsid w:val="00E0067A"/>
    <w:rsid w:val="00E009B2"/>
    <w:rsid w:val="00E026FB"/>
    <w:rsid w:val="00E03E9F"/>
    <w:rsid w:val="00E05FD2"/>
    <w:rsid w:val="00E0604C"/>
    <w:rsid w:val="00E0653A"/>
    <w:rsid w:val="00E077AA"/>
    <w:rsid w:val="00E0785E"/>
    <w:rsid w:val="00E104E7"/>
    <w:rsid w:val="00E110B3"/>
    <w:rsid w:val="00E1166A"/>
    <w:rsid w:val="00E14766"/>
    <w:rsid w:val="00E14C8D"/>
    <w:rsid w:val="00E15358"/>
    <w:rsid w:val="00E1580A"/>
    <w:rsid w:val="00E15A6F"/>
    <w:rsid w:val="00E16D86"/>
    <w:rsid w:val="00E20309"/>
    <w:rsid w:val="00E207EC"/>
    <w:rsid w:val="00E20DB2"/>
    <w:rsid w:val="00E22373"/>
    <w:rsid w:val="00E23075"/>
    <w:rsid w:val="00E23847"/>
    <w:rsid w:val="00E243F6"/>
    <w:rsid w:val="00E24B12"/>
    <w:rsid w:val="00E26951"/>
    <w:rsid w:val="00E26FA0"/>
    <w:rsid w:val="00E271EB"/>
    <w:rsid w:val="00E2745D"/>
    <w:rsid w:val="00E303D6"/>
    <w:rsid w:val="00E30952"/>
    <w:rsid w:val="00E31017"/>
    <w:rsid w:val="00E310EF"/>
    <w:rsid w:val="00E31311"/>
    <w:rsid w:val="00E320EB"/>
    <w:rsid w:val="00E3362E"/>
    <w:rsid w:val="00E41106"/>
    <w:rsid w:val="00E42439"/>
    <w:rsid w:val="00E4343A"/>
    <w:rsid w:val="00E43774"/>
    <w:rsid w:val="00E43F20"/>
    <w:rsid w:val="00E4507A"/>
    <w:rsid w:val="00E45CA6"/>
    <w:rsid w:val="00E46421"/>
    <w:rsid w:val="00E47E3B"/>
    <w:rsid w:val="00E51C27"/>
    <w:rsid w:val="00E521AE"/>
    <w:rsid w:val="00E53213"/>
    <w:rsid w:val="00E53B05"/>
    <w:rsid w:val="00E55A87"/>
    <w:rsid w:val="00E56218"/>
    <w:rsid w:val="00E57049"/>
    <w:rsid w:val="00E604A2"/>
    <w:rsid w:val="00E61A69"/>
    <w:rsid w:val="00E61CD6"/>
    <w:rsid w:val="00E61E9F"/>
    <w:rsid w:val="00E65032"/>
    <w:rsid w:val="00E656D4"/>
    <w:rsid w:val="00E703D2"/>
    <w:rsid w:val="00E70904"/>
    <w:rsid w:val="00E7095A"/>
    <w:rsid w:val="00E71A3D"/>
    <w:rsid w:val="00E74113"/>
    <w:rsid w:val="00E832EB"/>
    <w:rsid w:val="00E85378"/>
    <w:rsid w:val="00E85B4F"/>
    <w:rsid w:val="00E86487"/>
    <w:rsid w:val="00E91E59"/>
    <w:rsid w:val="00E91EAE"/>
    <w:rsid w:val="00E93161"/>
    <w:rsid w:val="00E93E89"/>
    <w:rsid w:val="00E94B00"/>
    <w:rsid w:val="00E95A8D"/>
    <w:rsid w:val="00E95BFB"/>
    <w:rsid w:val="00E96DF6"/>
    <w:rsid w:val="00EA02FF"/>
    <w:rsid w:val="00EA1EE5"/>
    <w:rsid w:val="00EA30BB"/>
    <w:rsid w:val="00EA3A8F"/>
    <w:rsid w:val="00EA4079"/>
    <w:rsid w:val="00EA4AEE"/>
    <w:rsid w:val="00EA4D11"/>
    <w:rsid w:val="00EA62A3"/>
    <w:rsid w:val="00EA6C29"/>
    <w:rsid w:val="00EA751E"/>
    <w:rsid w:val="00EA791D"/>
    <w:rsid w:val="00EB0FDA"/>
    <w:rsid w:val="00EB1205"/>
    <w:rsid w:val="00EB1375"/>
    <w:rsid w:val="00EB1986"/>
    <w:rsid w:val="00EB1D3D"/>
    <w:rsid w:val="00EB35E7"/>
    <w:rsid w:val="00EB383B"/>
    <w:rsid w:val="00EB4B01"/>
    <w:rsid w:val="00EB5C92"/>
    <w:rsid w:val="00EB6AD9"/>
    <w:rsid w:val="00EB78CF"/>
    <w:rsid w:val="00EB7EAF"/>
    <w:rsid w:val="00EC0BFC"/>
    <w:rsid w:val="00EC1653"/>
    <w:rsid w:val="00EC1985"/>
    <w:rsid w:val="00EC1B73"/>
    <w:rsid w:val="00EC2837"/>
    <w:rsid w:val="00EC2B03"/>
    <w:rsid w:val="00EC2CE1"/>
    <w:rsid w:val="00EC5CBE"/>
    <w:rsid w:val="00EC5CCB"/>
    <w:rsid w:val="00EC5F23"/>
    <w:rsid w:val="00EC64CD"/>
    <w:rsid w:val="00EC6F96"/>
    <w:rsid w:val="00EC7DCD"/>
    <w:rsid w:val="00ED0747"/>
    <w:rsid w:val="00ED08E6"/>
    <w:rsid w:val="00ED11E0"/>
    <w:rsid w:val="00ED4731"/>
    <w:rsid w:val="00ED53B8"/>
    <w:rsid w:val="00ED5429"/>
    <w:rsid w:val="00ED6B94"/>
    <w:rsid w:val="00ED7164"/>
    <w:rsid w:val="00ED7F4D"/>
    <w:rsid w:val="00EE14D1"/>
    <w:rsid w:val="00EE25AE"/>
    <w:rsid w:val="00EE31B8"/>
    <w:rsid w:val="00EE3D7C"/>
    <w:rsid w:val="00EE42F7"/>
    <w:rsid w:val="00EE4C50"/>
    <w:rsid w:val="00EE6173"/>
    <w:rsid w:val="00EE73D0"/>
    <w:rsid w:val="00EF0B07"/>
    <w:rsid w:val="00EF1195"/>
    <w:rsid w:val="00EF27CE"/>
    <w:rsid w:val="00EF4016"/>
    <w:rsid w:val="00EF5864"/>
    <w:rsid w:val="00EF6062"/>
    <w:rsid w:val="00EF6080"/>
    <w:rsid w:val="00EF6456"/>
    <w:rsid w:val="00F03BA7"/>
    <w:rsid w:val="00F0543D"/>
    <w:rsid w:val="00F057D6"/>
    <w:rsid w:val="00F061DB"/>
    <w:rsid w:val="00F06CF9"/>
    <w:rsid w:val="00F0777F"/>
    <w:rsid w:val="00F07C69"/>
    <w:rsid w:val="00F1022C"/>
    <w:rsid w:val="00F111E0"/>
    <w:rsid w:val="00F1130C"/>
    <w:rsid w:val="00F11F04"/>
    <w:rsid w:val="00F12A0B"/>
    <w:rsid w:val="00F1388C"/>
    <w:rsid w:val="00F13F54"/>
    <w:rsid w:val="00F146D0"/>
    <w:rsid w:val="00F14786"/>
    <w:rsid w:val="00F15EC4"/>
    <w:rsid w:val="00F162FF"/>
    <w:rsid w:val="00F1720F"/>
    <w:rsid w:val="00F20469"/>
    <w:rsid w:val="00F22999"/>
    <w:rsid w:val="00F238C2"/>
    <w:rsid w:val="00F23D9C"/>
    <w:rsid w:val="00F23FEC"/>
    <w:rsid w:val="00F2453D"/>
    <w:rsid w:val="00F2566B"/>
    <w:rsid w:val="00F27563"/>
    <w:rsid w:val="00F27B14"/>
    <w:rsid w:val="00F32351"/>
    <w:rsid w:val="00F32785"/>
    <w:rsid w:val="00F32A50"/>
    <w:rsid w:val="00F3366C"/>
    <w:rsid w:val="00F33730"/>
    <w:rsid w:val="00F33B0A"/>
    <w:rsid w:val="00F342AA"/>
    <w:rsid w:val="00F343CF"/>
    <w:rsid w:val="00F34BF5"/>
    <w:rsid w:val="00F361A0"/>
    <w:rsid w:val="00F36624"/>
    <w:rsid w:val="00F36B3F"/>
    <w:rsid w:val="00F37608"/>
    <w:rsid w:val="00F3766F"/>
    <w:rsid w:val="00F379A0"/>
    <w:rsid w:val="00F417B5"/>
    <w:rsid w:val="00F41974"/>
    <w:rsid w:val="00F4243A"/>
    <w:rsid w:val="00F42BEB"/>
    <w:rsid w:val="00F42CA3"/>
    <w:rsid w:val="00F42E62"/>
    <w:rsid w:val="00F43AB6"/>
    <w:rsid w:val="00F44347"/>
    <w:rsid w:val="00F444AD"/>
    <w:rsid w:val="00F44646"/>
    <w:rsid w:val="00F447E9"/>
    <w:rsid w:val="00F44A8C"/>
    <w:rsid w:val="00F4521E"/>
    <w:rsid w:val="00F46BB1"/>
    <w:rsid w:val="00F471C7"/>
    <w:rsid w:val="00F4789E"/>
    <w:rsid w:val="00F51330"/>
    <w:rsid w:val="00F516B4"/>
    <w:rsid w:val="00F52E8F"/>
    <w:rsid w:val="00F542BB"/>
    <w:rsid w:val="00F628D8"/>
    <w:rsid w:val="00F62C6F"/>
    <w:rsid w:val="00F6305E"/>
    <w:rsid w:val="00F733EA"/>
    <w:rsid w:val="00F75302"/>
    <w:rsid w:val="00F75453"/>
    <w:rsid w:val="00F75E59"/>
    <w:rsid w:val="00F76218"/>
    <w:rsid w:val="00F77039"/>
    <w:rsid w:val="00F77057"/>
    <w:rsid w:val="00F84320"/>
    <w:rsid w:val="00F86904"/>
    <w:rsid w:val="00F86B5D"/>
    <w:rsid w:val="00F87180"/>
    <w:rsid w:val="00F87602"/>
    <w:rsid w:val="00F87CCC"/>
    <w:rsid w:val="00F87F79"/>
    <w:rsid w:val="00F903D9"/>
    <w:rsid w:val="00F9118D"/>
    <w:rsid w:val="00F92F5E"/>
    <w:rsid w:val="00F9324D"/>
    <w:rsid w:val="00F93702"/>
    <w:rsid w:val="00F9386B"/>
    <w:rsid w:val="00F949BD"/>
    <w:rsid w:val="00F94F44"/>
    <w:rsid w:val="00F9509E"/>
    <w:rsid w:val="00F957D8"/>
    <w:rsid w:val="00F95924"/>
    <w:rsid w:val="00F966EF"/>
    <w:rsid w:val="00F97337"/>
    <w:rsid w:val="00F97394"/>
    <w:rsid w:val="00F9741E"/>
    <w:rsid w:val="00FA09B4"/>
    <w:rsid w:val="00FA09E3"/>
    <w:rsid w:val="00FA09F4"/>
    <w:rsid w:val="00FA0F29"/>
    <w:rsid w:val="00FA1A21"/>
    <w:rsid w:val="00FA1E36"/>
    <w:rsid w:val="00FA25D0"/>
    <w:rsid w:val="00FA2889"/>
    <w:rsid w:val="00FA2B89"/>
    <w:rsid w:val="00FA2DB6"/>
    <w:rsid w:val="00FA2DF6"/>
    <w:rsid w:val="00FA2E91"/>
    <w:rsid w:val="00FA33F0"/>
    <w:rsid w:val="00FA35CF"/>
    <w:rsid w:val="00FA4CA8"/>
    <w:rsid w:val="00FA4D98"/>
    <w:rsid w:val="00FA5B32"/>
    <w:rsid w:val="00FA5DA7"/>
    <w:rsid w:val="00FA61B5"/>
    <w:rsid w:val="00FA64FA"/>
    <w:rsid w:val="00FA6F86"/>
    <w:rsid w:val="00FA72AE"/>
    <w:rsid w:val="00FB01C4"/>
    <w:rsid w:val="00FB0AAD"/>
    <w:rsid w:val="00FB10F4"/>
    <w:rsid w:val="00FB1BBF"/>
    <w:rsid w:val="00FB1CB5"/>
    <w:rsid w:val="00FB1F0D"/>
    <w:rsid w:val="00FB2062"/>
    <w:rsid w:val="00FB2C86"/>
    <w:rsid w:val="00FB44E4"/>
    <w:rsid w:val="00FB559A"/>
    <w:rsid w:val="00FB6B28"/>
    <w:rsid w:val="00FB78E7"/>
    <w:rsid w:val="00FB7A34"/>
    <w:rsid w:val="00FC1E58"/>
    <w:rsid w:val="00FC32F6"/>
    <w:rsid w:val="00FC41A8"/>
    <w:rsid w:val="00FC5389"/>
    <w:rsid w:val="00FC65F6"/>
    <w:rsid w:val="00FC717E"/>
    <w:rsid w:val="00FD21F5"/>
    <w:rsid w:val="00FD2575"/>
    <w:rsid w:val="00FD2C50"/>
    <w:rsid w:val="00FD44AE"/>
    <w:rsid w:val="00FD4D9D"/>
    <w:rsid w:val="00FD5EB1"/>
    <w:rsid w:val="00FD70BB"/>
    <w:rsid w:val="00FD7170"/>
    <w:rsid w:val="00FE0287"/>
    <w:rsid w:val="00FE0B1B"/>
    <w:rsid w:val="00FE0C0F"/>
    <w:rsid w:val="00FE1374"/>
    <w:rsid w:val="00FE19BE"/>
    <w:rsid w:val="00FE19CC"/>
    <w:rsid w:val="00FE20A4"/>
    <w:rsid w:val="00FE2167"/>
    <w:rsid w:val="00FE35EB"/>
    <w:rsid w:val="00FE3644"/>
    <w:rsid w:val="00FE4533"/>
    <w:rsid w:val="00FE4B91"/>
    <w:rsid w:val="00FE5287"/>
    <w:rsid w:val="00FE69C6"/>
    <w:rsid w:val="00FE6A80"/>
    <w:rsid w:val="00FE7274"/>
    <w:rsid w:val="00FF1B7B"/>
    <w:rsid w:val="00FF1C0B"/>
    <w:rsid w:val="00FF27D4"/>
    <w:rsid w:val="00FF308B"/>
    <w:rsid w:val="00FF40D7"/>
    <w:rsid w:val="00FF4DDA"/>
    <w:rsid w:val="00FF75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65472"/>
  <w15:docId w15:val="{4169BA3A-BAEF-4D33-AFB3-8E6AFD60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C44"/>
  </w:style>
  <w:style w:type="paragraph" w:styleId="Heading1">
    <w:name w:val="heading 1"/>
    <w:basedOn w:val="Normal"/>
    <w:next w:val="Normal"/>
    <w:link w:val="Heading1Char"/>
    <w:uiPriority w:val="9"/>
    <w:qFormat/>
    <w:rsid w:val="006152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7564"/>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B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4B9D"/>
  </w:style>
  <w:style w:type="paragraph" w:styleId="Footer">
    <w:name w:val="footer"/>
    <w:basedOn w:val="Normal"/>
    <w:link w:val="FooterChar"/>
    <w:uiPriority w:val="99"/>
    <w:unhideWhenUsed/>
    <w:rsid w:val="004D4B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4B9D"/>
  </w:style>
  <w:style w:type="paragraph" w:styleId="BalloonText">
    <w:name w:val="Balloon Text"/>
    <w:basedOn w:val="Normal"/>
    <w:link w:val="BalloonTextChar"/>
    <w:uiPriority w:val="99"/>
    <w:semiHidden/>
    <w:unhideWhenUsed/>
    <w:rsid w:val="004D4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B9D"/>
    <w:rPr>
      <w:rFonts w:ascii="Tahoma" w:hAnsi="Tahoma" w:cs="Tahoma"/>
      <w:sz w:val="16"/>
      <w:szCs w:val="16"/>
    </w:rPr>
  </w:style>
  <w:style w:type="character" w:styleId="IntenseReference">
    <w:name w:val="Intense Reference"/>
    <w:basedOn w:val="DefaultParagraphFont"/>
    <w:uiPriority w:val="32"/>
    <w:qFormat/>
    <w:rsid w:val="00484F77"/>
    <w:rPr>
      <w:b/>
      <w:bCs/>
      <w:smallCaps/>
      <w:color w:val="C0504D" w:themeColor="accent2"/>
      <w:spacing w:val="5"/>
      <w:u w:val="single"/>
    </w:rPr>
  </w:style>
  <w:style w:type="paragraph" w:customStyle="1" w:styleId="TT">
    <w:name w:val="TT"/>
    <w:basedOn w:val="Normal"/>
    <w:rsid w:val="003239D0"/>
    <w:pPr>
      <w:tabs>
        <w:tab w:val="right" w:pos="1202"/>
      </w:tabs>
      <w:spacing w:after="0" w:line="301" w:lineRule="exact"/>
      <w:outlineLvl w:val="0"/>
    </w:pPr>
    <w:rPr>
      <w:rFonts w:ascii="Arial" w:eastAsia="Times New Roman" w:hAnsi="Arial" w:cs="Times New Roman"/>
      <w:sz w:val="19"/>
      <w:szCs w:val="20"/>
      <w:lang w:val="en-GB"/>
    </w:rPr>
  </w:style>
  <w:style w:type="paragraph" w:customStyle="1" w:styleId="Thick">
    <w:name w:val="Thick"/>
    <w:basedOn w:val="Normal"/>
    <w:next w:val="Normal"/>
    <w:rsid w:val="003239D0"/>
    <w:pPr>
      <w:keepNext/>
      <w:keepLines/>
      <w:tabs>
        <w:tab w:val="decimal" w:pos="1202"/>
      </w:tabs>
      <w:spacing w:after="0" w:line="100" w:lineRule="exact"/>
    </w:pPr>
    <w:rPr>
      <w:rFonts w:ascii="Arial" w:eastAsia="Times New Roman" w:hAnsi="Arial" w:cs="Times New Roman"/>
      <w:b/>
      <w:position w:val="4"/>
      <w:sz w:val="16"/>
      <w:szCs w:val="20"/>
      <w:u w:val="thick"/>
      <w:lang w:val="en-US"/>
    </w:rPr>
  </w:style>
  <w:style w:type="paragraph" w:customStyle="1" w:styleId="Thin">
    <w:name w:val="Thin"/>
    <w:basedOn w:val="Normal"/>
    <w:next w:val="Normal"/>
    <w:rsid w:val="003239D0"/>
    <w:pPr>
      <w:keepNext/>
      <w:keepLines/>
      <w:tabs>
        <w:tab w:val="decimal" w:pos="1202"/>
      </w:tabs>
      <w:spacing w:after="0" w:line="100" w:lineRule="exact"/>
    </w:pPr>
    <w:rPr>
      <w:rFonts w:ascii="Arial" w:eastAsia="Times New Roman" w:hAnsi="Arial" w:cs="Times New Roman"/>
      <w:b/>
      <w:position w:val="4"/>
      <w:sz w:val="16"/>
      <w:szCs w:val="20"/>
      <w:lang w:val="en-US"/>
    </w:rPr>
  </w:style>
  <w:style w:type="paragraph" w:styleId="ListParagraph">
    <w:name w:val="List Paragraph"/>
    <w:basedOn w:val="Normal"/>
    <w:link w:val="ListParagraphChar"/>
    <w:qFormat/>
    <w:rsid w:val="00637F7F"/>
    <w:pPr>
      <w:ind w:left="720"/>
      <w:contextualSpacing/>
    </w:pPr>
  </w:style>
  <w:style w:type="paragraph" w:styleId="BodyText">
    <w:name w:val="Body Text"/>
    <w:basedOn w:val="Normal"/>
    <w:link w:val="BodyTextChar"/>
    <w:uiPriority w:val="99"/>
    <w:semiHidden/>
    <w:unhideWhenUsed/>
    <w:rsid w:val="00745301"/>
    <w:pPr>
      <w:spacing w:after="120"/>
    </w:pPr>
  </w:style>
  <w:style w:type="character" w:customStyle="1" w:styleId="BodyTextChar">
    <w:name w:val="Body Text Char"/>
    <w:basedOn w:val="DefaultParagraphFont"/>
    <w:link w:val="BodyText"/>
    <w:uiPriority w:val="99"/>
    <w:semiHidden/>
    <w:rsid w:val="00745301"/>
  </w:style>
  <w:style w:type="paragraph" w:customStyle="1" w:styleId="T1PARAGRAPH">
    <w:name w:val="T1PARAGRAPH"/>
    <w:basedOn w:val="BodyText3"/>
    <w:rsid w:val="004363F8"/>
    <w:pPr>
      <w:numPr>
        <w:numId w:val="2"/>
      </w:numPr>
      <w:tabs>
        <w:tab w:val="clear" w:pos="720"/>
        <w:tab w:val="num" w:pos="360"/>
      </w:tabs>
      <w:spacing w:after="301" w:line="301" w:lineRule="atLeast"/>
      <w:ind w:left="360" w:hanging="360"/>
      <w:jc w:val="both"/>
    </w:pPr>
    <w:rPr>
      <w:rFonts w:ascii="Arial" w:eastAsia="Times New Roman" w:hAnsi="Arial" w:cs="Arial"/>
      <w:sz w:val="19"/>
      <w:szCs w:val="20"/>
    </w:rPr>
  </w:style>
  <w:style w:type="paragraph" w:styleId="BodyText3">
    <w:name w:val="Body Text 3"/>
    <w:basedOn w:val="Normal"/>
    <w:link w:val="BodyText3Char"/>
    <w:uiPriority w:val="99"/>
    <w:semiHidden/>
    <w:unhideWhenUsed/>
    <w:rsid w:val="004363F8"/>
    <w:pPr>
      <w:spacing w:after="120"/>
    </w:pPr>
    <w:rPr>
      <w:sz w:val="16"/>
      <w:szCs w:val="16"/>
    </w:rPr>
  </w:style>
  <w:style w:type="character" w:customStyle="1" w:styleId="BodyText3Char">
    <w:name w:val="Body Text 3 Char"/>
    <w:basedOn w:val="DefaultParagraphFont"/>
    <w:link w:val="BodyText3"/>
    <w:uiPriority w:val="99"/>
    <w:semiHidden/>
    <w:rsid w:val="004363F8"/>
    <w:rPr>
      <w:sz w:val="16"/>
      <w:szCs w:val="16"/>
    </w:rPr>
  </w:style>
  <w:style w:type="paragraph" w:styleId="BodyTextIndent3">
    <w:name w:val="Body Text Indent 3"/>
    <w:basedOn w:val="Normal"/>
    <w:link w:val="BodyTextIndent3Char"/>
    <w:uiPriority w:val="99"/>
    <w:semiHidden/>
    <w:unhideWhenUsed/>
    <w:rsid w:val="00955F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55FDC"/>
    <w:rPr>
      <w:sz w:val="16"/>
      <w:szCs w:val="16"/>
    </w:rPr>
  </w:style>
  <w:style w:type="table" w:styleId="TableGrid">
    <w:name w:val="Table Grid"/>
    <w:basedOn w:val="TableNormal"/>
    <w:uiPriority w:val="59"/>
    <w:rsid w:val="00955FD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A4A84"/>
    <w:pPr>
      <w:spacing w:after="0" w:line="240" w:lineRule="auto"/>
      <w:jc w:val="both"/>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507A"/>
    <w:rPr>
      <w:sz w:val="16"/>
      <w:szCs w:val="16"/>
    </w:rPr>
  </w:style>
  <w:style w:type="paragraph" w:styleId="CommentText">
    <w:name w:val="annotation text"/>
    <w:basedOn w:val="Normal"/>
    <w:link w:val="CommentTextChar"/>
    <w:unhideWhenUsed/>
    <w:rsid w:val="00E4507A"/>
    <w:pPr>
      <w:spacing w:line="240" w:lineRule="auto"/>
    </w:pPr>
    <w:rPr>
      <w:sz w:val="20"/>
      <w:szCs w:val="20"/>
    </w:rPr>
  </w:style>
  <w:style w:type="character" w:customStyle="1" w:styleId="CommentTextChar">
    <w:name w:val="Comment Text Char"/>
    <w:basedOn w:val="DefaultParagraphFont"/>
    <w:link w:val="CommentText"/>
    <w:rsid w:val="00E4507A"/>
    <w:rPr>
      <w:sz w:val="20"/>
      <w:szCs w:val="20"/>
    </w:rPr>
  </w:style>
  <w:style w:type="paragraph" w:styleId="CommentSubject">
    <w:name w:val="annotation subject"/>
    <w:basedOn w:val="CommentText"/>
    <w:next w:val="CommentText"/>
    <w:link w:val="CommentSubjectChar"/>
    <w:uiPriority w:val="99"/>
    <w:semiHidden/>
    <w:unhideWhenUsed/>
    <w:rsid w:val="00E4507A"/>
    <w:rPr>
      <w:b/>
      <w:bCs/>
    </w:rPr>
  </w:style>
  <w:style w:type="character" w:customStyle="1" w:styleId="CommentSubjectChar">
    <w:name w:val="Comment Subject Char"/>
    <w:basedOn w:val="CommentTextChar"/>
    <w:link w:val="CommentSubject"/>
    <w:uiPriority w:val="99"/>
    <w:semiHidden/>
    <w:rsid w:val="00E4507A"/>
    <w:rPr>
      <w:b/>
      <w:bCs/>
      <w:sz w:val="20"/>
      <w:szCs w:val="20"/>
    </w:rPr>
  </w:style>
  <w:style w:type="character" w:customStyle="1" w:styleId="hps">
    <w:name w:val="hps"/>
    <w:basedOn w:val="DefaultParagraphFont"/>
    <w:rsid w:val="007B620C"/>
  </w:style>
  <w:style w:type="paragraph" w:customStyle="1" w:styleId="T1">
    <w:name w:val="T1"/>
    <w:basedOn w:val="Heading1"/>
    <w:link w:val="T1Char"/>
    <w:rsid w:val="00615238"/>
    <w:pPr>
      <w:keepLines w:val="0"/>
      <w:spacing w:before="240" w:after="120" w:line="360" w:lineRule="auto"/>
      <w:jc w:val="both"/>
      <w:outlineLvl w:val="9"/>
    </w:pPr>
    <w:rPr>
      <w:rFonts w:ascii="Arial" w:eastAsia="Times New Roman" w:hAnsi="Arial" w:cs="Times New Roman"/>
      <w:color w:val="auto"/>
      <w:sz w:val="19"/>
      <w:szCs w:val="20"/>
      <w:lang w:val="pl-PL"/>
    </w:rPr>
  </w:style>
  <w:style w:type="character" w:customStyle="1" w:styleId="T1Char">
    <w:name w:val="T1 Char"/>
    <w:link w:val="T1"/>
    <w:rsid w:val="00615238"/>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615238"/>
    <w:rPr>
      <w:rFonts w:asciiTheme="majorHAnsi" w:eastAsiaTheme="majorEastAsia" w:hAnsiTheme="majorHAnsi" w:cstheme="majorBidi"/>
      <w:b/>
      <w:bCs/>
      <w:color w:val="365F91" w:themeColor="accent1" w:themeShade="BF"/>
      <w:sz w:val="28"/>
      <w:szCs w:val="28"/>
    </w:rPr>
  </w:style>
  <w:style w:type="paragraph" w:customStyle="1" w:styleId="Tot">
    <w:name w:val="Tot"/>
    <w:basedOn w:val="TT"/>
    <w:rsid w:val="00E3362E"/>
    <w:pPr>
      <w:spacing w:line="340" w:lineRule="exact"/>
    </w:pPr>
  </w:style>
  <w:style w:type="paragraph" w:customStyle="1" w:styleId="Noteheading1">
    <w:name w:val="Note heading1"/>
    <w:basedOn w:val="Normal"/>
    <w:autoRedefine/>
    <w:rsid w:val="001F6214"/>
    <w:pPr>
      <w:tabs>
        <w:tab w:val="num" w:pos="720"/>
      </w:tabs>
      <w:spacing w:before="360" w:after="240" w:line="240" w:lineRule="auto"/>
      <w:ind w:left="720" w:hanging="360"/>
      <w:jc w:val="both"/>
    </w:pPr>
    <w:rPr>
      <w:rFonts w:ascii="Arial" w:eastAsia="Times New Roman" w:hAnsi="Arial" w:cs="Arial"/>
      <w:b/>
      <w:bCs/>
      <w:sz w:val="19"/>
      <w:szCs w:val="20"/>
      <w:lang w:val="en-US"/>
    </w:rPr>
  </w:style>
  <w:style w:type="paragraph" w:customStyle="1" w:styleId="accountingpolicytitle">
    <w:name w:val="accounting policy title"/>
    <w:basedOn w:val="Normal"/>
    <w:uiPriority w:val="99"/>
    <w:rsid w:val="001F6214"/>
    <w:pPr>
      <w:spacing w:after="0" w:line="240" w:lineRule="auto"/>
      <w:jc w:val="both"/>
    </w:pPr>
    <w:rPr>
      <w:rFonts w:ascii="Arial" w:eastAsia="Times New Roman" w:hAnsi="Arial" w:cs="Times New Roman"/>
      <w:b/>
      <w:sz w:val="19"/>
      <w:szCs w:val="20"/>
      <w:lang w:val="pl-PL"/>
    </w:rPr>
  </w:style>
  <w:style w:type="paragraph" w:customStyle="1" w:styleId="PH1">
    <w:name w:val="PH1"/>
    <w:basedOn w:val="Normal"/>
    <w:rsid w:val="001F6214"/>
    <w:pPr>
      <w:spacing w:after="0" w:line="301" w:lineRule="exact"/>
    </w:pPr>
    <w:rPr>
      <w:rFonts w:ascii="Arial" w:eastAsia="Times New Roman" w:hAnsi="Arial" w:cs="Times New Roman"/>
      <w:sz w:val="19"/>
      <w:szCs w:val="20"/>
      <w:lang w:val="en-GB"/>
    </w:rPr>
  </w:style>
  <w:style w:type="paragraph" w:customStyle="1" w:styleId="TH">
    <w:name w:val="TH"/>
    <w:basedOn w:val="Normal"/>
    <w:rsid w:val="001F6214"/>
    <w:pPr>
      <w:tabs>
        <w:tab w:val="right" w:pos="1202"/>
      </w:tabs>
      <w:spacing w:after="0" w:line="240" w:lineRule="atLeast"/>
      <w:outlineLvl w:val="0"/>
    </w:pPr>
    <w:rPr>
      <w:rFonts w:ascii="Arial" w:eastAsia="Times New Roman" w:hAnsi="Arial" w:cs="Times New Roman"/>
      <w:b/>
      <w:sz w:val="19"/>
      <w:szCs w:val="20"/>
      <w:lang w:val="en-GB"/>
    </w:rPr>
  </w:style>
  <w:style w:type="character" w:styleId="LineNumber">
    <w:name w:val="line number"/>
    <w:basedOn w:val="DefaultParagraphFont"/>
    <w:uiPriority w:val="99"/>
    <w:semiHidden/>
    <w:unhideWhenUsed/>
    <w:rsid w:val="00797A88"/>
  </w:style>
  <w:style w:type="paragraph" w:customStyle="1" w:styleId="Bodycopy">
    <w:name w:val="Body copy"/>
    <w:rsid w:val="00B81E3B"/>
    <w:pPr>
      <w:spacing w:before="20" w:after="0" w:line="210" w:lineRule="exact"/>
    </w:pPr>
    <w:rPr>
      <w:rFonts w:ascii="Arial" w:eastAsia="PMingLiU" w:hAnsi="Arial" w:cs="Arial"/>
      <w:color w:val="000000"/>
      <w:sz w:val="17"/>
      <w:szCs w:val="17"/>
      <w:lang w:eastAsia="hr-HR" w:bidi="hr-HR"/>
    </w:rPr>
  </w:style>
  <w:style w:type="character" w:customStyle="1" w:styleId="Heading2Char">
    <w:name w:val="Heading 2 Char"/>
    <w:basedOn w:val="DefaultParagraphFont"/>
    <w:link w:val="Heading2"/>
    <w:rsid w:val="00117564"/>
    <w:rPr>
      <w:rFonts w:ascii="Cambria" w:eastAsia="Times New Roman" w:hAnsi="Cambria" w:cs="Times New Roman"/>
      <w:b/>
      <w:bCs/>
      <w:i/>
      <w:iCs/>
      <w:sz w:val="28"/>
      <w:szCs w:val="28"/>
      <w:lang w:val="x-none" w:eastAsia="x-none"/>
    </w:rPr>
  </w:style>
  <w:style w:type="paragraph" w:customStyle="1" w:styleId="t-9-8">
    <w:name w:val="t-9-8"/>
    <w:basedOn w:val="Normal"/>
    <w:rsid w:val="0011756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odyTextIndent">
    <w:name w:val="Body Text Indent"/>
    <w:basedOn w:val="Normal"/>
    <w:link w:val="BodyTextIndentChar"/>
    <w:uiPriority w:val="99"/>
    <w:semiHidden/>
    <w:unhideWhenUsed/>
    <w:rsid w:val="00D43533"/>
    <w:pPr>
      <w:spacing w:after="120"/>
      <w:ind w:left="283"/>
    </w:pPr>
  </w:style>
  <w:style w:type="character" w:customStyle="1" w:styleId="BodyTextIndentChar">
    <w:name w:val="Body Text Indent Char"/>
    <w:basedOn w:val="DefaultParagraphFont"/>
    <w:link w:val="BodyTextIndent"/>
    <w:uiPriority w:val="99"/>
    <w:semiHidden/>
    <w:rsid w:val="00D43533"/>
  </w:style>
  <w:style w:type="paragraph" w:customStyle="1" w:styleId="T2">
    <w:name w:val="T2"/>
    <w:basedOn w:val="Normal"/>
    <w:rsid w:val="00C42D42"/>
    <w:pPr>
      <w:keepNext/>
      <w:spacing w:after="0" w:line="301" w:lineRule="atLeast"/>
    </w:pPr>
    <w:rPr>
      <w:rFonts w:ascii="Arial" w:eastAsia="Times New Roman" w:hAnsi="Arial" w:cs="Times New Roman"/>
      <w:sz w:val="19"/>
      <w:szCs w:val="20"/>
      <w:lang w:val="en-GB"/>
    </w:rPr>
  </w:style>
  <w:style w:type="paragraph" w:customStyle="1" w:styleId="PH">
    <w:name w:val="PH"/>
    <w:basedOn w:val="Header"/>
    <w:rsid w:val="00D81EB1"/>
    <w:pPr>
      <w:tabs>
        <w:tab w:val="clear" w:pos="4536"/>
        <w:tab w:val="clear" w:pos="9072"/>
      </w:tabs>
      <w:spacing w:line="301" w:lineRule="atLeast"/>
    </w:pPr>
    <w:rPr>
      <w:rFonts w:ascii="Arial" w:eastAsia="Times New Roman" w:hAnsi="Arial" w:cs="Times New Roman"/>
      <w:sz w:val="24"/>
      <w:szCs w:val="20"/>
      <w:lang w:val="en-GB"/>
    </w:rPr>
  </w:style>
  <w:style w:type="character" w:styleId="PageNumber">
    <w:name w:val="page number"/>
    <w:basedOn w:val="DefaultParagraphFont"/>
    <w:rsid w:val="00D81EB1"/>
  </w:style>
  <w:style w:type="paragraph" w:customStyle="1" w:styleId="Level1">
    <w:name w:val="Level 1"/>
    <w:basedOn w:val="Normal"/>
    <w:next w:val="Normal"/>
    <w:rsid w:val="00EC1B73"/>
    <w:pPr>
      <w:keepNext/>
      <w:numPr>
        <w:numId w:val="7"/>
      </w:numPr>
      <w:spacing w:before="140" w:after="140" w:line="290" w:lineRule="auto"/>
      <w:jc w:val="both"/>
      <w:outlineLvl w:val="0"/>
    </w:pPr>
    <w:rPr>
      <w:rFonts w:ascii="Arial" w:eastAsia="Times New Roman" w:hAnsi="Arial" w:cs="Times New Roman"/>
      <w:b/>
      <w:kern w:val="20"/>
      <w:szCs w:val="20"/>
    </w:rPr>
  </w:style>
  <w:style w:type="paragraph" w:customStyle="1" w:styleId="Level2">
    <w:name w:val="Level 2"/>
    <w:basedOn w:val="Normal"/>
    <w:rsid w:val="00EC1B73"/>
    <w:pPr>
      <w:numPr>
        <w:ilvl w:val="1"/>
        <w:numId w:val="7"/>
      </w:numPr>
      <w:spacing w:after="140" w:line="290" w:lineRule="auto"/>
      <w:jc w:val="both"/>
    </w:pPr>
    <w:rPr>
      <w:rFonts w:ascii="Arial" w:eastAsia="Times New Roman" w:hAnsi="Arial" w:cs="Times New Roman"/>
      <w:kern w:val="20"/>
      <w:sz w:val="20"/>
      <w:szCs w:val="20"/>
    </w:rPr>
  </w:style>
  <w:style w:type="paragraph" w:customStyle="1" w:styleId="Level3">
    <w:name w:val="Level 3"/>
    <w:basedOn w:val="Normal"/>
    <w:rsid w:val="00EC1B73"/>
    <w:pPr>
      <w:numPr>
        <w:ilvl w:val="2"/>
        <w:numId w:val="7"/>
      </w:numPr>
      <w:spacing w:after="140" w:line="290" w:lineRule="auto"/>
      <w:jc w:val="both"/>
    </w:pPr>
    <w:rPr>
      <w:rFonts w:ascii="Arial" w:eastAsia="Times New Roman" w:hAnsi="Arial" w:cs="Times New Roman"/>
      <w:kern w:val="20"/>
      <w:sz w:val="20"/>
      <w:szCs w:val="20"/>
    </w:rPr>
  </w:style>
  <w:style w:type="paragraph" w:customStyle="1" w:styleId="Level4">
    <w:name w:val="Level 4"/>
    <w:basedOn w:val="Normal"/>
    <w:rsid w:val="00EC1B73"/>
    <w:pPr>
      <w:numPr>
        <w:ilvl w:val="3"/>
        <w:numId w:val="7"/>
      </w:numPr>
      <w:spacing w:after="140" w:line="290" w:lineRule="auto"/>
      <w:jc w:val="both"/>
    </w:pPr>
    <w:rPr>
      <w:rFonts w:ascii="Arial" w:eastAsia="Times New Roman" w:hAnsi="Arial" w:cs="Times New Roman"/>
      <w:kern w:val="20"/>
      <w:sz w:val="20"/>
      <w:szCs w:val="20"/>
    </w:rPr>
  </w:style>
  <w:style w:type="paragraph" w:customStyle="1" w:styleId="Level5">
    <w:name w:val="Level 5"/>
    <w:basedOn w:val="Normal"/>
    <w:rsid w:val="00EC1B73"/>
    <w:pPr>
      <w:numPr>
        <w:ilvl w:val="4"/>
        <w:numId w:val="7"/>
      </w:numPr>
      <w:spacing w:after="140" w:line="290" w:lineRule="auto"/>
      <w:jc w:val="both"/>
    </w:pPr>
    <w:rPr>
      <w:rFonts w:ascii="Arial" w:eastAsia="Times New Roman" w:hAnsi="Arial" w:cs="Times New Roman"/>
      <w:kern w:val="20"/>
      <w:sz w:val="20"/>
      <w:szCs w:val="20"/>
    </w:rPr>
  </w:style>
  <w:style w:type="paragraph" w:customStyle="1" w:styleId="Level6">
    <w:name w:val="Level 6"/>
    <w:basedOn w:val="Normal"/>
    <w:rsid w:val="00EC1B73"/>
    <w:pPr>
      <w:numPr>
        <w:ilvl w:val="5"/>
        <w:numId w:val="7"/>
      </w:numPr>
      <w:spacing w:after="140" w:line="290" w:lineRule="auto"/>
      <w:jc w:val="both"/>
    </w:pPr>
    <w:rPr>
      <w:rFonts w:ascii="Arial" w:eastAsia="Times New Roman" w:hAnsi="Arial" w:cs="Times New Roman"/>
      <w:kern w:val="20"/>
      <w:sz w:val="20"/>
      <w:szCs w:val="20"/>
    </w:rPr>
  </w:style>
  <w:style w:type="table" w:customStyle="1" w:styleId="TableGrid2">
    <w:name w:val="Table Grid2"/>
    <w:basedOn w:val="TableNormal"/>
    <w:next w:val="TableGrid"/>
    <w:uiPriority w:val="59"/>
    <w:rsid w:val="00650A7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0E0F0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Spacing">
    <w:name w:val="No Spacing"/>
    <w:uiPriority w:val="1"/>
    <w:qFormat/>
    <w:rsid w:val="00C06385"/>
    <w:pPr>
      <w:spacing w:after="0" w:line="240" w:lineRule="auto"/>
    </w:pPr>
  </w:style>
  <w:style w:type="paragraph" w:styleId="Revision">
    <w:name w:val="Revision"/>
    <w:hidden/>
    <w:uiPriority w:val="99"/>
    <w:semiHidden/>
    <w:rsid w:val="0074115C"/>
    <w:pPr>
      <w:spacing w:after="0" w:line="240" w:lineRule="auto"/>
    </w:pPr>
  </w:style>
  <w:style w:type="character" w:customStyle="1" w:styleId="ListParagraphChar">
    <w:name w:val="List Paragraph Char"/>
    <w:link w:val="ListParagraph"/>
    <w:uiPriority w:val="34"/>
    <w:rsid w:val="007910A0"/>
  </w:style>
  <w:style w:type="character" w:customStyle="1" w:styleId="NormalWebChar">
    <w:name w:val="Normal (Web) Char"/>
    <w:basedOn w:val="DefaultParagraphFont"/>
    <w:link w:val="NormalWeb"/>
    <w:uiPriority w:val="99"/>
    <w:rsid w:val="00FB6B28"/>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3839">
      <w:bodyDiv w:val="1"/>
      <w:marLeft w:val="0"/>
      <w:marRight w:val="0"/>
      <w:marTop w:val="0"/>
      <w:marBottom w:val="0"/>
      <w:divBdr>
        <w:top w:val="none" w:sz="0" w:space="0" w:color="auto"/>
        <w:left w:val="none" w:sz="0" w:space="0" w:color="auto"/>
        <w:bottom w:val="none" w:sz="0" w:space="0" w:color="auto"/>
        <w:right w:val="none" w:sz="0" w:space="0" w:color="auto"/>
      </w:divBdr>
    </w:div>
    <w:div w:id="123282363">
      <w:bodyDiv w:val="1"/>
      <w:marLeft w:val="0"/>
      <w:marRight w:val="0"/>
      <w:marTop w:val="0"/>
      <w:marBottom w:val="0"/>
      <w:divBdr>
        <w:top w:val="none" w:sz="0" w:space="0" w:color="auto"/>
        <w:left w:val="none" w:sz="0" w:space="0" w:color="auto"/>
        <w:bottom w:val="none" w:sz="0" w:space="0" w:color="auto"/>
        <w:right w:val="none" w:sz="0" w:space="0" w:color="auto"/>
      </w:divBdr>
    </w:div>
    <w:div w:id="199560934">
      <w:bodyDiv w:val="1"/>
      <w:marLeft w:val="0"/>
      <w:marRight w:val="0"/>
      <w:marTop w:val="0"/>
      <w:marBottom w:val="0"/>
      <w:divBdr>
        <w:top w:val="none" w:sz="0" w:space="0" w:color="auto"/>
        <w:left w:val="none" w:sz="0" w:space="0" w:color="auto"/>
        <w:bottom w:val="none" w:sz="0" w:space="0" w:color="auto"/>
        <w:right w:val="none" w:sz="0" w:space="0" w:color="auto"/>
      </w:divBdr>
    </w:div>
    <w:div w:id="216861753">
      <w:bodyDiv w:val="1"/>
      <w:marLeft w:val="0"/>
      <w:marRight w:val="0"/>
      <w:marTop w:val="0"/>
      <w:marBottom w:val="0"/>
      <w:divBdr>
        <w:top w:val="none" w:sz="0" w:space="0" w:color="auto"/>
        <w:left w:val="none" w:sz="0" w:space="0" w:color="auto"/>
        <w:bottom w:val="none" w:sz="0" w:space="0" w:color="auto"/>
        <w:right w:val="none" w:sz="0" w:space="0" w:color="auto"/>
      </w:divBdr>
    </w:div>
    <w:div w:id="231891894">
      <w:bodyDiv w:val="1"/>
      <w:marLeft w:val="0"/>
      <w:marRight w:val="0"/>
      <w:marTop w:val="0"/>
      <w:marBottom w:val="0"/>
      <w:divBdr>
        <w:top w:val="none" w:sz="0" w:space="0" w:color="auto"/>
        <w:left w:val="none" w:sz="0" w:space="0" w:color="auto"/>
        <w:bottom w:val="none" w:sz="0" w:space="0" w:color="auto"/>
        <w:right w:val="none" w:sz="0" w:space="0" w:color="auto"/>
      </w:divBdr>
    </w:div>
    <w:div w:id="286546125">
      <w:bodyDiv w:val="1"/>
      <w:marLeft w:val="0"/>
      <w:marRight w:val="0"/>
      <w:marTop w:val="0"/>
      <w:marBottom w:val="0"/>
      <w:divBdr>
        <w:top w:val="none" w:sz="0" w:space="0" w:color="auto"/>
        <w:left w:val="none" w:sz="0" w:space="0" w:color="auto"/>
        <w:bottom w:val="none" w:sz="0" w:space="0" w:color="auto"/>
        <w:right w:val="none" w:sz="0" w:space="0" w:color="auto"/>
      </w:divBdr>
    </w:div>
    <w:div w:id="372388908">
      <w:bodyDiv w:val="1"/>
      <w:marLeft w:val="0"/>
      <w:marRight w:val="0"/>
      <w:marTop w:val="0"/>
      <w:marBottom w:val="0"/>
      <w:divBdr>
        <w:top w:val="none" w:sz="0" w:space="0" w:color="auto"/>
        <w:left w:val="none" w:sz="0" w:space="0" w:color="auto"/>
        <w:bottom w:val="none" w:sz="0" w:space="0" w:color="auto"/>
        <w:right w:val="none" w:sz="0" w:space="0" w:color="auto"/>
      </w:divBdr>
    </w:div>
    <w:div w:id="425150898">
      <w:bodyDiv w:val="1"/>
      <w:marLeft w:val="0"/>
      <w:marRight w:val="0"/>
      <w:marTop w:val="0"/>
      <w:marBottom w:val="0"/>
      <w:divBdr>
        <w:top w:val="none" w:sz="0" w:space="0" w:color="auto"/>
        <w:left w:val="none" w:sz="0" w:space="0" w:color="auto"/>
        <w:bottom w:val="none" w:sz="0" w:space="0" w:color="auto"/>
        <w:right w:val="none" w:sz="0" w:space="0" w:color="auto"/>
      </w:divBdr>
    </w:div>
    <w:div w:id="444085482">
      <w:bodyDiv w:val="1"/>
      <w:marLeft w:val="0"/>
      <w:marRight w:val="0"/>
      <w:marTop w:val="0"/>
      <w:marBottom w:val="0"/>
      <w:divBdr>
        <w:top w:val="none" w:sz="0" w:space="0" w:color="auto"/>
        <w:left w:val="none" w:sz="0" w:space="0" w:color="auto"/>
        <w:bottom w:val="none" w:sz="0" w:space="0" w:color="auto"/>
        <w:right w:val="none" w:sz="0" w:space="0" w:color="auto"/>
      </w:divBdr>
    </w:div>
    <w:div w:id="466092134">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601039047">
      <w:bodyDiv w:val="1"/>
      <w:marLeft w:val="0"/>
      <w:marRight w:val="0"/>
      <w:marTop w:val="0"/>
      <w:marBottom w:val="0"/>
      <w:divBdr>
        <w:top w:val="none" w:sz="0" w:space="0" w:color="auto"/>
        <w:left w:val="none" w:sz="0" w:space="0" w:color="auto"/>
        <w:bottom w:val="none" w:sz="0" w:space="0" w:color="auto"/>
        <w:right w:val="none" w:sz="0" w:space="0" w:color="auto"/>
      </w:divBdr>
    </w:div>
    <w:div w:id="609358253">
      <w:bodyDiv w:val="1"/>
      <w:marLeft w:val="0"/>
      <w:marRight w:val="0"/>
      <w:marTop w:val="0"/>
      <w:marBottom w:val="0"/>
      <w:divBdr>
        <w:top w:val="none" w:sz="0" w:space="0" w:color="auto"/>
        <w:left w:val="none" w:sz="0" w:space="0" w:color="auto"/>
        <w:bottom w:val="none" w:sz="0" w:space="0" w:color="auto"/>
        <w:right w:val="none" w:sz="0" w:space="0" w:color="auto"/>
      </w:divBdr>
    </w:div>
    <w:div w:id="664164826">
      <w:bodyDiv w:val="1"/>
      <w:marLeft w:val="0"/>
      <w:marRight w:val="0"/>
      <w:marTop w:val="0"/>
      <w:marBottom w:val="0"/>
      <w:divBdr>
        <w:top w:val="none" w:sz="0" w:space="0" w:color="auto"/>
        <w:left w:val="none" w:sz="0" w:space="0" w:color="auto"/>
        <w:bottom w:val="none" w:sz="0" w:space="0" w:color="auto"/>
        <w:right w:val="none" w:sz="0" w:space="0" w:color="auto"/>
      </w:divBdr>
    </w:div>
    <w:div w:id="671034903">
      <w:bodyDiv w:val="1"/>
      <w:marLeft w:val="0"/>
      <w:marRight w:val="0"/>
      <w:marTop w:val="0"/>
      <w:marBottom w:val="0"/>
      <w:divBdr>
        <w:top w:val="none" w:sz="0" w:space="0" w:color="auto"/>
        <w:left w:val="none" w:sz="0" w:space="0" w:color="auto"/>
        <w:bottom w:val="none" w:sz="0" w:space="0" w:color="auto"/>
        <w:right w:val="none" w:sz="0" w:space="0" w:color="auto"/>
      </w:divBdr>
    </w:div>
    <w:div w:id="723529095">
      <w:bodyDiv w:val="1"/>
      <w:marLeft w:val="0"/>
      <w:marRight w:val="0"/>
      <w:marTop w:val="0"/>
      <w:marBottom w:val="0"/>
      <w:divBdr>
        <w:top w:val="none" w:sz="0" w:space="0" w:color="auto"/>
        <w:left w:val="none" w:sz="0" w:space="0" w:color="auto"/>
        <w:bottom w:val="none" w:sz="0" w:space="0" w:color="auto"/>
        <w:right w:val="none" w:sz="0" w:space="0" w:color="auto"/>
      </w:divBdr>
    </w:div>
    <w:div w:id="727192677">
      <w:bodyDiv w:val="1"/>
      <w:marLeft w:val="0"/>
      <w:marRight w:val="0"/>
      <w:marTop w:val="0"/>
      <w:marBottom w:val="0"/>
      <w:divBdr>
        <w:top w:val="none" w:sz="0" w:space="0" w:color="auto"/>
        <w:left w:val="none" w:sz="0" w:space="0" w:color="auto"/>
        <w:bottom w:val="none" w:sz="0" w:space="0" w:color="auto"/>
        <w:right w:val="none" w:sz="0" w:space="0" w:color="auto"/>
      </w:divBdr>
    </w:div>
    <w:div w:id="809321287">
      <w:bodyDiv w:val="1"/>
      <w:marLeft w:val="0"/>
      <w:marRight w:val="0"/>
      <w:marTop w:val="0"/>
      <w:marBottom w:val="0"/>
      <w:divBdr>
        <w:top w:val="none" w:sz="0" w:space="0" w:color="auto"/>
        <w:left w:val="none" w:sz="0" w:space="0" w:color="auto"/>
        <w:bottom w:val="none" w:sz="0" w:space="0" w:color="auto"/>
        <w:right w:val="none" w:sz="0" w:space="0" w:color="auto"/>
      </w:divBdr>
    </w:div>
    <w:div w:id="809980005">
      <w:bodyDiv w:val="1"/>
      <w:marLeft w:val="0"/>
      <w:marRight w:val="0"/>
      <w:marTop w:val="0"/>
      <w:marBottom w:val="0"/>
      <w:divBdr>
        <w:top w:val="none" w:sz="0" w:space="0" w:color="auto"/>
        <w:left w:val="none" w:sz="0" w:space="0" w:color="auto"/>
        <w:bottom w:val="none" w:sz="0" w:space="0" w:color="auto"/>
        <w:right w:val="none" w:sz="0" w:space="0" w:color="auto"/>
      </w:divBdr>
    </w:div>
    <w:div w:id="1048380562">
      <w:bodyDiv w:val="1"/>
      <w:marLeft w:val="0"/>
      <w:marRight w:val="0"/>
      <w:marTop w:val="0"/>
      <w:marBottom w:val="0"/>
      <w:divBdr>
        <w:top w:val="none" w:sz="0" w:space="0" w:color="auto"/>
        <w:left w:val="none" w:sz="0" w:space="0" w:color="auto"/>
        <w:bottom w:val="none" w:sz="0" w:space="0" w:color="auto"/>
        <w:right w:val="none" w:sz="0" w:space="0" w:color="auto"/>
      </w:divBdr>
    </w:div>
    <w:div w:id="1060328508">
      <w:bodyDiv w:val="1"/>
      <w:marLeft w:val="0"/>
      <w:marRight w:val="0"/>
      <w:marTop w:val="0"/>
      <w:marBottom w:val="0"/>
      <w:divBdr>
        <w:top w:val="none" w:sz="0" w:space="0" w:color="auto"/>
        <w:left w:val="none" w:sz="0" w:space="0" w:color="auto"/>
        <w:bottom w:val="none" w:sz="0" w:space="0" w:color="auto"/>
        <w:right w:val="none" w:sz="0" w:space="0" w:color="auto"/>
      </w:divBdr>
    </w:div>
    <w:div w:id="1105348417">
      <w:bodyDiv w:val="1"/>
      <w:marLeft w:val="0"/>
      <w:marRight w:val="0"/>
      <w:marTop w:val="0"/>
      <w:marBottom w:val="0"/>
      <w:divBdr>
        <w:top w:val="none" w:sz="0" w:space="0" w:color="auto"/>
        <w:left w:val="none" w:sz="0" w:space="0" w:color="auto"/>
        <w:bottom w:val="none" w:sz="0" w:space="0" w:color="auto"/>
        <w:right w:val="none" w:sz="0" w:space="0" w:color="auto"/>
      </w:divBdr>
    </w:div>
    <w:div w:id="1157039052">
      <w:bodyDiv w:val="1"/>
      <w:marLeft w:val="0"/>
      <w:marRight w:val="0"/>
      <w:marTop w:val="0"/>
      <w:marBottom w:val="0"/>
      <w:divBdr>
        <w:top w:val="none" w:sz="0" w:space="0" w:color="auto"/>
        <w:left w:val="none" w:sz="0" w:space="0" w:color="auto"/>
        <w:bottom w:val="none" w:sz="0" w:space="0" w:color="auto"/>
        <w:right w:val="none" w:sz="0" w:space="0" w:color="auto"/>
      </w:divBdr>
    </w:div>
    <w:div w:id="1298730369">
      <w:bodyDiv w:val="1"/>
      <w:marLeft w:val="0"/>
      <w:marRight w:val="0"/>
      <w:marTop w:val="0"/>
      <w:marBottom w:val="0"/>
      <w:divBdr>
        <w:top w:val="none" w:sz="0" w:space="0" w:color="auto"/>
        <w:left w:val="none" w:sz="0" w:space="0" w:color="auto"/>
        <w:bottom w:val="none" w:sz="0" w:space="0" w:color="auto"/>
        <w:right w:val="none" w:sz="0" w:space="0" w:color="auto"/>
      </w:divBdr>
    </w:div>
    <w:div w:id="1338651526">
      <w:bodyDiv w:val="1"/>
      <w:marLeft w:val="0"/>
      <w:marRight w:val="0"/>
      <w:marTop w:val="0"/>
      <w:marBottom w:val="0"/>
      <w:divBdr>
        <w:top w:val="none" w:sz="0" w:space="0" w:color="auto"/>
        <w:left w:val="none" w:sz="0" w:space="0" w:color="auto"/>
        <w:bottom w:val="none" w:sz="0" w:space="0" w:color="auto"/>
        <w:right w:val="none" w:sz="0" w:space="0" w:color="auto"/>
      </w:divBdr>
    </w:div>
    <w:div w:id="1405057772">
      <w:bodyDiv w:val="1"/>
      <w:marLeft w:val="0"/>
      <w:marRight w:val="0"/>
      <w:marTop w:val="0"/>
      <w:marBottom w:val="0"/>
      <w:divBdr>
        <w:top w:val="none" w:sz="0" w:space="0" w:color="auto"/>
        <w:left w:val="none" w:sz="0" w:space="0" w:color="auto"/>
        <w:bottom w:val="none" w:sz="0" w:space="0" w:color="auto"/>
        <w:right w:val="none" w:sz="0" w:space="0" w:color="auto"/>
      </w:divBdr>
    </w:div>
    <w:div w:id="1421103674">
      <w:bodyDiv w:val="1"/>
      <w:marLeft w:val="0"/>
      <w:marRight w:val="0"/>
      <w:marTop w:val="0"/>
      <w:marBottom w:val="0"/>
      <w:divBdr>
        <w:top w:val="none" w:sz="0" w:space="0" w:color="auto"/>
        <w:left w:val="none" w:sz="0" w:space="0" w:color="auto"/>
        <w:bottom w:val="none" w:sz="0" w:space="0" w:color="auto"/>
        <w:right w:val="none" w:sz="0" w:space="0" w:color="auto"/>
      </w:divBdr>
    </w:div>
    <w:div w:id="1508909466">
      <w:bodyDiv w:val="1"/>
      <w:marLeft w:val="0"/>
      <w:marRight w:val="0"/>
      <w:marTop w:val="0"/>
      <w:marBottom w:val="0"/>
      <w:divBdr>
        <w:top w:val="none" w:sz="0" w:space="0" w:color="auto"/>
        <w:left w:val="none" w:sz="0" w:space="0" w:color="auto"/>
        <w:bottom w:val="none" w:sz="0" w:space="0" w:color="auto"/>
        <w:right w:val="none" w:sz="0" w:space="0" w:color="auto"/>
      </w:divBdr>
    </w:div>
    <w:div w:id="1511335785">
      <w:bodyDiv w:val="1"/>
      <w:marLeft w:val="0"/>
      <w:marRight w:val="0"/>
      <w:marTop w:val="0"/>
      <w:marBottom w:val="0"/>
      <w:divBdr>
        <w:top w:val="none" w:sz="0" w:space="0" w:color="auto"/>
        <w:left w:val="none" w:sz="0" w:space="0" w:color="auto"/>
        <w:bottom w:val="none" w:sz="0" w:space="0" w:color="auto"/>
        <w:right w:val="none" w:sz="0" w:space="0" w:color="auto"/>
      </w:divBdr>
    </w:div>
    <w:div w:id="1658797835">
      <w:bodyDiv w:val="1"/>
      <w:marLeft w:val="0"/>
      <w:marRight w:val="0"/>
      <w:marTop w:val="0"/>
      <w:marBottom w:val="0"/>
      <w:divBdr>
        <w:top w:val="none" w:sz="0" w:space="0" w:color="auto"/>
        <w:left w:val="none" w:sz="0" w:space="0" w:color="auto"/>
        <w:bottom w:val="none" w:sz="0" w:space="0" w:color="auto"/>
        <w:right w:val="none" w:sz="0" w:space="0" w:color="auto"/>
      </w:divBdr>
    </w:div>
    <w:div w:id="1674214227">
      <w:bodyDiv w:val="1"/>
      <w:marLeft w:val="0"/>
      <w:marRight w:val="0"/>
      <w:marTop w:val="0"/>
      <w:marBottom w:val="0"/>
      <w:divBdr>
        <w:top w:val="none" w:sz="0" w:space="0" w:color="auto"/>
        <w:left w:val="none" w:sz="0" w:space="0" w:color="auto"/>
        <w:bottom w:val="none" w:sz="0" w:space="0" w:color="auto"/>
        <w:right w:val="none" w:sz="0" w:space="0" w:color="auto"/>
      </w:divBdr>
    </w:div>
    <w:div w:id="1687632597">
      <w:bodyDiv w:val="1"/>
      <w:marLeft w:val="0"/>
      <w:marRight w:val="0"/>
      <w:marTop w:val="0"/>
      <w:marBottom w:val="0"/>
      <w:divBdr>
        <w:top w:val="none" w:sz="0" w:space="0" w:color="auto"/>
        <w:left w:val="none" w:sz="0" w:space="0" w:color="auto"/>
        <w:bottom w:val="none" w:sz="0" w:space="0" w:color="auto"/>
        <w:right w:val="none" w:sz="0" w:space="0" w:color="auto"/>
      </w:divBdr>
    </w:div>
    <w:div w:id="1809130698">
      <w:bodyDiv w:val="1"/>
      <w:marLeft w:val="0"/>
      <w:marRight w:val="0"/>
      <w:marTop w:val="0"/>
      <w:marBottom w:val="0"/>
      <w:divBdr>
        <w:top w:val="none" w:sz="0" w:space="0" w:color="auto"/>
        <w:left w:val="none" w:sz="0" w:space="0" w:color="auto"/>
        <w:bottom w:val="none" w:sz="0" w:space="0" w:color="auto"/>
        <w:right w:val="none" w:sz="0" w:space="0" w:color="auto"/>
      </w:divBdr>
    </w:div>
    <w:div w:id="1842232277">
      <w:bodyDiv w:val="1"/>
      <w:marLeft w:val="0"/>
      <w:marRight w:val="0"/>
      <w:marTop w:val="0"/>
      <w:marBottom w:val="0"/>
      <w:divBdr>
        <w:top w:val="none" w:sz="0" w:space="0" w:color="auto"/>
        <w:left w:val="none" w:sz="0" w:space="0" w:color="auto"/>
        <w:bottom w:val="none" w:sz="0" w:space="0" w:color="auto"/>
        <w:right w:val="none" w:sz="0" w:space="0" w:color="auto"/>
      </w:divBdr>
    </w:div>
    <w:div w:id="2063287529">
      <w:bodyDiv w:val="1"/>
      <w:marLeft w:val="0"/>
      <w:marRight w:val="0"/>
      <w:marTop w:val="0"/>
      <w:marBottom w:val="0"/>
      <w:divBdr>
        <w:top w:val="none" w:sz="0" w:space="0" w:color="auto"/>
        <w:left w:val="none" w:sz="0" w:space="0" w:color="auto"/>
        <w:bottom w:val="none" w:sz="0" w:space="0" w:color="auto"/>
        <w:right w:val="none" w:sz="0" w:space="0" w:color="auto"/>
      </w:divBdr>
    </w:div>
    <w:div w:id="2081513342">
      <w:bodyDiv w:val="1"/>
      <w:marLeft w:val="0"/>
      <w:marRight w:val="0"/>
      <w:marTop w:val="0"/>
      <w:marBottom w:val="0"/>
      <w:divBdr>
        <w:top w:val="none" w:sz="0" w:space="0" w:color="auto"/>
        <w:left w:val="none" w:sz="0" w:space="0" w:color="auto"/>
        <w:bottom w:val="none" w:sz="0" w:space="0" w:color="auto"/>
        <w:right w:val="none" w:sz="0" w:space="0" w:color="auto"/>
      </w:divBdr>
    </w:div>
    <w:div w:id="214435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footer" Target="footer86.xml"/><Relationship Id="rId21" Type="http://schemas.openxmlformats.org/officeDocument/2006/relationships/footer" Target="footer7.xml"/><Relationship Id="rId42" Type="http://schemas.openxmlformats.org/officeDocument/2006/relationships/footer" Target="footer17.xml"/><Relationship Id="rId47" Type="http://schemas.openxmlformats.org/officeDocument/2006/relationships/header" Target="header21.xml"/><Relationship Id="rId63" Type="http://schemas.openxmlformats.org/officeDocument/2006/relationships/footer" Target="footer33.xml"/><Relationship Id="rId68" Type="http://schemas.openxmlformats.org/officeDocument/2006/relationships/footer" Target="footer38.xml"/><Relationship Id="rId84" Type="http://schemas.openxmlformats.org/officeDocument/2006/relationships/footer" Target="footer54.xml"/><Relationship Id="rId89" Type="http://schemas.openxmlformats.org/officeDocument/2006/relationships/footer" Target="footer58.xml"/><Relationship Id="rId112" Type="http://schemas.openxmlformats.org/officeDocument/2006/relationships/footer" Target="footer81.xml"/><Relationship Id="rId133" Type="http://schemas.openxmlformats.org/officeDocument/2006/relationships/footer" Target="footer102.xml"/><Relationship Id="rId138" Type="http://schemas.openxmlformats.org/officeDocument/2006/relationships/footer" Target="footer106.xml"/><Relationship Id="rId16" Type="http://schemas.openxmlformats.org/officeDocument/2006/relationships/header" Target="header5.xml"/><Relationship Id="rId107" Type="http://schemas.openxmlformats.org/officeDocument/2006/relationships/footer" Target="footer76.xml"/><Relationship Id="rId11" Type="http://schemas.openxmlformats.org/officeDocument/2006/relationships/header" Target="header2.xml"/><Relationship Id="rId32" Type="http://schemas.openxmlformats.org/officeDocument/2006/relationships/header" Target="header13.xml"/><Relationship Id="rId37" Type="http://schemas.openxmlformats.org/officeDocument/2006/relationships/header" Target="header16.xml"/><Relationship Id="rId53" Type="http://schemas.openxmlformats.org/officeDocument/2006/relationships/footer" Target="footer24.xml"/><Relationship Id="rId58" Type="http://schemas.openxmlformats.org/officeDocument/2006/relationships/footer" Target="footer28.xml"/><Relationship Id="rId74" Type="http://schemas.openxmlformats.org/officeDocument/2006/relationships/footer" Target="footer44.xml"/><Relationship Id="rId79" Type="http://schemas.openxmlformats.org/officeDocument/2006/relationships/footer" Target="footer49.xml"/><Relationship Id="rId102" Type="http://schemas.openxmlformats.org/officeDocument/2006/relationships/footer" Target="footer71.xml"/><Relationship Id="rId123" Type="http://schemas.openxmlformats.org/officeDocument/2006/relationships/footer" Target="footer92.xml"/><Relationship Id="rId128" Type="http://schemas.openxmlformats.org/officeDocument/2006/relationships/footer" Target="footer97.xml"/><Relationship Id="rId144" Type="http://schemas.openxmlformats.org/officeDocument/2006/relationships/footer" Target="footer109.xml"/><Relationship Id="rId5" Type="http://schemas.openxmlformats.org/officeDocument/2006/relationships/webSettings" Target="webSettings.xml"/><Relationship Id="rId90" Type="http://schemas.openxmlformats.org/officeDocument/2006/relationships/footer" Target="footer59.xml"/><Relationship Id="rId95" Type="http://schemas.openxmlformats.org/officeDocument/2006/relationships/footer" Target="footer64.xml"/><Relationship Id="rId22" Type="http://schemas.openxmlformats.org/officeDocument/2006/relationships/header" Target="header8.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footer" Target="footer20.xml"/><Relationship Id="rId64" Type="http://schemas.openxmlformats.org/officeDocument/2006/relationships/footer" Target="footer34.xml"/><Relationship Id="rId69" Type="http://schemas.openxmlformats.org/officeDocument/2006/relationships/footer" Target="footer39.xml"/><Relationship Id="rId113" Type="http://schemas.openxmlformats.org/officeDocument/2006/relationships/footer" Target="footer82.xml"/><Relationship Id="rId118" Type="http://schemas.openxmlformats.org/officeDocument/2006/relationships/footer" Target="footer87.xml"/><Relationship Id="rId134" Type="http://schemas.openxmlformats.org/officeDocument/2006/relationships/footer" Target="footer103.xml"/><Relationship Id="rId139" Type="http://schemas.openxmlformats.org/officeDocument/2006/relationships/header" Target="header25.xml"/><Relationship Id="rId80" Type="http://schemas.openxmlformats.org/officeDocument/2006/relationships/footer" Target="footer50.xml"/><Relationship Id="rId85" Type="http://schemas.openxmlformats.org/officeDocument/2006/relationships/footer" Target="footer5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footer" Target="footer29.xml"/><Relationship Id="rId67" Type="http://schemas.openxmlformats.org/officeDocument/2006/relationships/footer" Target="footer37.xml"/><Relationship Id="rId103" Type="http://schemas.openxmlformats.org/officeDocument/2006/relationships/footer" Target="footer72.xml"/><Relationship Id="rId108" Type="http://schemas.openxmlformats.org/officeDocument/2006/relationships/footer" Target="footer77.xml"/><Relationship Id="rId116" Type="http://schemas.openxmlformats.org/officeDocument/2006/relationships/footer" Target="footer85.xml"/><Relationship Id="rId124" Type="http://schemas.openxmlformats.org/officeDocument/2006/relationships/footer" Target="footer93.xml"/><Relationship Id="rId129" Type="http://schemas.openxmlformats.org/officeDocument/2006/relationships/footer" Target="footer98.xml"/><Relationship Id="rId137" Type="http://schemas.openxmlformats.org/officeDocument/2006/relationships/header" Target="header24.xml"/><Relationship Id="rId20" Type="http://schemas.openxmlformats.org/officeDocument/2006/relationships/header" Target="header7.xml"/><Relationship Id="rId41" Type="http://schemas.openxmlformats.org/officeDocument/2006/relationships/header" Target="header18.xml"/><Relationship Id="rId54" Type="http://schemas.openxmlformats.org/officeDocument/2006/relationships/hyperlink" Target="http://www.hbor.hr" TargetMode="External"/><Relationship Id="rId62" Type="http://schemas.openxmlformats.org/officeDocument/2006/relationships/footer" Target="footer32.xml"/><Relationship Id="rId70" Type="http://schemas.openxmlformats.org/officeDocument/2006/relationships/footer" Target="footer40.xml"/><Relationship Id="rId75" Type="http://schemas.openxmlformats.org/officeDocument/2006/relationships/footer" Target="footer45.xml"/><Relationship Id="rId83" Type="http://schemas.openxmlformats.org/officeDocument/2006/relationships/footer" Target="footer53.xml"/><Relationship Id="rId88" Type="http://schemas.openxmlformats.org/officeDocument/2006/relationships/footer" Target="footer57.xml"/><Relationship Id="rId91" Type="http://schemas.openxmlformats.org/officeDocument/2006/relationships/footer" Target="footer60.xml"/><Relationship Id="rId96" Type="http://schemas.openxmlformats.org/officeDocument/2006/relationships/footer" Target="footer65.xml"/><Relationship Id="rId111" Type="http://schemas.openxmlformats.org/officeDocument/2006/relationships/footer" Target="footer80.xml"/><Relationship Id="rId132" Type="http://schemas.openxmlformats.org/officeDocument/2006/relationships/footer" Target="footer101.xml"/><Relationship Id="rId140" Type="http://schemas.openxmlformats.org/officeDocument/2006/relationships/footer" Target="footer107.xml"/><Relationship Id="rId145"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footer" Target="footer21.xml"/><Relationship Id="rId57" Type="http://schemas.openxmlformats.org/officeDocument/2006/relationships/footer" Target="footer27.xml"/><Relationship Id="rId106" Type="http://schemas.openxmlformats.org/officeDocument/2006/relationships/footer" Target="footer75.xml"/><Relationship Id="rId114" Type="http://schemas.openxmlformats.org/officeDocument/2006/relationships/footer" Target="footer83.xml"/><Relationship Id="rId119" Type="http://schemas.openxmlformats.org/officeDocument/2006/relationships/footer" Target="footer88.xml"/><Relationship Id="rId127" Type="http://schemas.openxmlformats.org/officeDocument/2006/relationships/footer" Target="footer96.xml"/><Relationship Id="rId10" Type="http://schemas.openxmlformats.org/officeDocument/2006/relationships/footer" Target="footer2.xml"/><Relationship Id="rId31" Type="http://schemas.openxmlformats.org/officeDocument/2006/relationships/footer" Target="footer12.xml"/><Relationship Id="rId44" Type="http://schemas.openxmlformats.org/officeDocument/2006/relationships/footer" Target="footer18.xml"/><Relationship Id="rId52" Type="http://schemas.openxmlformats.org/officeDocument/2006/relationships/footer" Target="footer23.xml"/><Relationship Id="rId60" Type="http://schemas.openxmlformats.org/officeDocument/2006/relationships/footer" Target="footer30.xml"/><Relationship Id="rId65" Type="http://schemas.openxmlformats.org/officeDocument/2006/relationships/footer" Target="footer35.xml"/><Relationship Id="rId73" Type="http://schemas.openxmlformats.org/officeDocument/2006/relationships/footer" Target="footer43.xml"/><Relationship Id="rId78" Type="http://schemas.openxmlformats.org/officeDocument/2006/relationships/footer" Target="footer48.xml"/><Relationship Id="rId81" Type="http://schemas.openxmlformats.org/officeDocument/2006/relationships/footer" Target="footer51.xml"/><Relationship Id="rId86" Type="http://schemas.openxmlformats.org/officeDocument/2006/relationships/header" Target="header23.xml"/><Relationship Id="rId94" Type="http://schemas.openxmlformats.org/officeDocument/2006/relationships/footer" Target="footer63.xml"/><Relationship Id="rId99" Type="http://schemas.openxmlformats.org/officeDocument/2006/relationships/footer" Target="footer68.xml"/><Relationship Id="rId101" Type="http://schemas.openxmlformats.org/officeDocument/2006/relationships/footer" Target="footer70.xml"/><Relationship Id="rId122" Type="http://schemas.openxmlformats.org/officeDocument/2006/relationships/footer" Target="footer91.xml"/><Relationship Id="rId130" Type="http://schemas.openxmlformats.org/officeDocument/2006/relationships/footer" Target="footer99.xml"/><Relationship Id="rId135" Type="http://schemas.openxmlformats.org/officeDocument/2006/relationships/footer" Target="footer104.xml"/><Relationship Id="rId143" Type="http://schemas.openxmlformats.org/officeDocument/2006/relationships/header" Target="header27.xm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109" Type="http://schemas.openxmlformats.org/officeDocument/2006/relationships/footer" Target="footer78.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5.xml"/><Relationship Id="rId76" Type="http://schemas.openxmlformats.org/officeDocument/2006/relationships/footer" Target="footer46.xml"/><Relationship Id="rId97" Type="http://schemas.openxmlformats.org/officeDocument/2006/relationships/footer" Target="footer66.xml"/><Relationship Id="rId104" Type="http://schemas.openxmlformats.org/officeDocument/2006/relationships/footer" Target="footer73.xml"/><Relationship Id="rId120" Type="http://schemas.openxmlformats.org/officeDocument/2006/relationships/footer" Target="footer89.xml"/><Relationship Id="rId125" Type="http://schemas.openxmlformats.org/officeDocument/2006/relationships/footer" Target="footer94.xml"/><Relationship Id="rId141" Type="http://schemas.openxmlformats.org/officeDocument/2006/relationships/header" Target="header26.xml"/><Relationship Id="rId146" Type="http://schemas.openxmlformats.org/officeDocument/2006/relationships/footer" Target="footer110.xml"/><Relationship Id="rId7" Type="http://schemas.openxmlformats.org/officeDocument/2006/relationships/endnotes" Target="endnotes.xml"/><Relationship Id="rId71" Type="http://schemas.openxmlformats.org/officeDocument/2006/relationships/footer" Target="footer41.xml"/><Relationship Id="rId92" Type="http://schemas.openxmlformats.org/officeDocument/2006/relationships/footer" Target="footer61.xm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footer" Target="footer16.xml"/><Relationship Id="rId45" Type="http://schemas.openxmlformats.org/officeDocument/2006/relationships/header" Target="header20.xml"/><Relationship Id="rId66" Type="http://schemas.openxmlformats.org/officeDocument/2006/relationships/footer" Target="footer36.xml"/><Relationship Id="rId87" Type="http://schemas.openxmlformats.org/officeDocument/2006/relationships/footer" Target="footer56.xml"/><Relationship Id="rId110" Type="http://schemas.openxmlformats.org/officeDocument/2006/relationships/footer" Target="footer79.xml"/><Relationship Id="rId115" Type="http://schemas.openxmlformats.org/officeDocument/2006/relationships/footer" Target="footer84.xml"/><Relationship Id="rId131" Type="http://schemas.openxmlformats.org/officeDocument/2006/relationships/footer" Target="footer100.xml"/><Relationship Id="rId136" Type="http://schemas.openxmlformats.org/officeDocument/2006/relationships/footer" Target="footer105.xml"/><Relationship Id="rId61" Type="http://schemas.openxmlformats.org/officeDocument/2006/relationships/footer" Target="footer31.xml"/><Relationship Id="rId82" Type="http://schemas.openxmlformats.org/officeDocument/2006/relationships/footer" Target="footer52.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header" Target="header15.xml"/><Relationship Id="rId56" Type="http://schemas.openxmlformats.org/officeDocument/2006/relationships/footer" Target="footer26.xml"/><Relationship Id="rId77" Type="http://schemas.openxmlformats.org/officeDocument/2006/relationships/footer" Target="footer47.xml"/><Relationship Id="rId100" Type="http://schemas.openxmlformats.org/officeDocument/2006/relationships/footer" Target="footer69.xml"/><Relationship Id="rId105" Type="http://schemas.openxmlformats.org/officeDocument/2006/relationships/footer" Target="footer74.xml"/><Relationship Id="rId126" Type="http://schemas.openxmlformats.org/officeDocument/2006/relationships/footer" Target="footer95.xml"/><Relationship Id="rId14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footer" Target="footer42.xml"/><Relationship Id="rId93" Type="http://schemas.openxmlformats.org/officeDocument/2006/relationships/footer" Target="footer62.xml"/><Relationship Id="rId98" Type="http://schemas.openxmlformats.org/officeDocument/2006/relationships/footer" Target="footer67.xml"/><Relationship Id="rId121" Type="http://schemas.openxmlformats.org/officeDocument/2006/relationships/footer" Target="footer90.xml"/><Relationship Id="rId142" Type="http://schemas.openxmlformats.org/officeDocument/2006/relationships/footer" Target="footer10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43B53-8E52-420D-827C-65021931AE3E}">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632943</vt:lpwstr>
  </property>
  <property fmtid="{D5CDD505-2E9C-101B-9397-08002B2CF9AE}" pid="4" name="OptimizationTime">
    <vt:lpwstr>20170830_0930</vt:lpwstr>
  </property>
</Properties>
</file>

<file path=docProps/app.xml><?xml version="1.0" encoding="utf-8"?>
<Properties xmlns="http://schemas.openxmlformats.org/officeDocument/2006/extended-properties" xmlns:vt="http://schemas.openxmlformats.org/officeDocument/2006/docPropsVTypes">
  <Template>Normal.dotm</Template>
  <TotalTime>69</TotalTime>
  <Pages>1</Pages>
  <Words>26842</Words>
  <Characters>153006</Characters>
  <Application>Microsoft Office Word</Application>
  <DocSecurity>0</DocSecurity>
  <Lines>1275</Lines>
  <Paragraphs>358</Paragraphs>
  <ScaleCrop>false</ScaleCrop>
  <HeadingPairs>
    <vt:vector size="2" baseType="variant">
      <vt:variant>
        <vt:lpstr>Title</vt:lpstr>
      </vt:variant>
      <vt:variant>
        <vt:i4>1</vt:i4>
      </vt:variant>
    </vt:vector>
  </HeadingPairs>
  <TitlesOfParts>
    <vt:vector size="1" baseType="lpstr">
      <vt:lpstr/>
    </vt:vector>
  </TitlesOfParts>
  <Company>HBOR</Company>
  <LinksUpToDate>false</LinksUpToDate>
  <CharactersWithSpaces>179490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dantolovic@hbor.hr</dc:creator>
  <cp:lastModifiedBy>Vedran Kuterovac</cp:lastModifiedBy>
  <cp:revision>17</cp:revision>
  <cp:lastPrinted>2017-08-02T08:39:00Z</cp:lastPrinted>
  <dcterms:created xsi:type="dcterms:W3CDTF">2017-08-28T11:28:00Z</dcterms:created>
  <dcterms:modified xsi:type="dcterms:W3CDTF">2017-08-29T13:11:00Z</dcterms:modified>
</cp:coreProperties>
</file>